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imes New Roman" w:cs="Times New Roman"/>
          <w:b w:val="0"/>
          <w:noProof w:val="0"/>
          <w:color w:val="auto"/>
          <w:spacing w:val="0"/>
          <w:kern w:val="0"/>
          <w:sz w:val="22"/>
          <w:szCs w:val="20"/>
        </w:rPr>
        <w:id w:val="-1442289537"/>
        <w:docPartObj>
          <w:docPartGallery w:val="Cover Pages"/>
          <w:docPartUnique/>
        </w:docPartObj>
      </w:sdtPr>
      <w:sdtEndPr>
        <w:rPr>
          <w:sz w:val="21"/>
          <w:szCs w:val="21"/>
        </w:rPr>
      </w:sdtEndPr>
      <w:sdtContent>
        <w:p w14:paraId="47781DCF" w14:textId="6CA08754" w:rsidR="00A97160" w:rsidRPr="003E2249" w:rsidRDefault="00273952" w:rsidP="003E2249">
          <w:pPr>
            <w:pStyle w:val="Title"/>
          </w:pPr>
          <w:r w:rsidRPr="003E2249">
            <w:drawing>
              <wp:anchor distT="0" distB="0" distL="114300" distR="114300" simplePos="0" relativeHeight="251656192" behindDoc="1" locked="0" layoutInCell="1" allowOverlap="1" wp14:anchorId="6082173D" wp14:editId="661241E4">
                <wp:simplePos x="0" y="0"/>
                <wp:positionH relativeFrom="page">
                  <wp:align>left</wp:align>
                </wp:positionH>
                <wp:positionV relativeFrom="page">
                  <wp:align>bottom</wp:align>
                </wp:positionV>
                <wp:extent cx="7570800" cy="10709019"/>
                <wp:effectExtent l="0" t="0" r="0" b="0"/>
                <wp:wrapNone/>
                <wp:docPr id="4" name="Picture 4" descr="Australian Government, The Treasury, Competition Revie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The Treasury, Competition Review">
                          <a:extLst>
                            <a:ext uri="{C183D7F6-B498-43B3-948B-1728B52AA6E4}">
                              <adec:decorative xmlns:adec="http://schemas.microsoft.com/office/drawing/2017/decorative" val="0"/>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70800" cy="107090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5238" w:rsidRPr="003E2249">
            <w:t>Review of the Motor Vehicle Service and Repair Information Sharing Scheme</w:t>
          </w:r>
        </w:p>
        <w:p w14:paraId="661C62A4" w14:textId="2CEF5A56" w:rsidR="00A97160" w:rsidRPr="003E2249" w:rsidRDefault="00AE5238" w:rsidP="003E2249">
          <w:pPr>
            <w:pStyle w:val="Subtitle"/>
          </w:pPr>
          <w:r w:rsidRPr="003E2249">
            <w:t>Final Report</w:t>
          </w:r>
        </w:p>
        <w:p w14:paraId="0464B24C" w14:textId="14FAF16F" w:rsidR="00A97160" w:rsidRPr="003E2249" w:rsidRDefault="00EC0F8F" w:rsidP="003E2249">
          <w:pPr>
            <w:pStyle w:val="ReportDate"/>
          </w:pPr>
          <w:r w:rsidRPr="00851F7E">
            <w:rPr>
              <w:rStyle w:val="ReportDateChar"/>
            </w:rPr>
            <w:t>February</w:t>
          </w:r>
          <w:r w:rsidR="004A7BE7" w:rsidRPr="00851F7E">
            <w:rPr>
              <w:rStyle w:val="ReportDateChar"/>
            </w:rPr>
            <w:t xml:space="preserve"> 202</w:t>
          </w:r>
          <w:r w:rsidR="0090571B">
            <w:rPr>
              <w:rStyle w:val="ReportDateChar"/>
            </w:rPr>
            <w:t>6</w:t>
          </w:r>
        </w:p>
        <w:p w14:paraId="207D461A" w14:textId="77777777" w:rsidR="00A97160" w:rsidRPr="00883271" w:rsidRDefault="00A97160">
          <w:pPr>
            <w:spacing w:before="0" w:after="160" w:line="259" w:lineRule="auto"/>
            <w:rPr>
              <w:sz w:val="21"/>
              <w:szCs w:val="21"/>
            </w:rPr>
          </w:pPr>
          <w:r w:rsidRPr="00883271">
            <w:rPr>
              <w:sz w:val="21"/>
              <w:szCs w:val="21"/>
            </w:rPr>
            <w:br w:type="page"/>
          </w:r>
        </w:p>
      </w:sdtContent>
    </w:sdt>
    <w:p w14:paraId="7094106D" w14:textId="180F9AC3" w:rsidR="000E0B74" w:rsidRPr="00883271" w:rsidRDefault="000E0B74" w:rsidP="003E2249">
      <w:r w:rsidRPr="00883271">
        <w:lastRenderedPageBreak/>
        <w:t>© Commonwealth of Australia 20</w:t>
      </w:r>
      <w:r w:rsidR="00D64CEC" w:rsidRPr="00883271">
        <w:t>2</w:t>
      </w:r>
      <w:r w:rsidR="00D50602">
        <w:t>6</w:t>
      </w:r>
    </w:p>
    <w:p w14:paraId="470F770B" w14:textId="5EAA2FB3" w:rsidR="00DA7E69" w:rsidRDefault="006469CC" w:rsidP="003E2249">
      <w:r w:rsidRPr="00883271">
        <w:t xml:space="preserve">ISBN: </w:t>
      </w:r>
      <w:r w:rsidR="00DA7E69" w:rsidRPr="00DA7E69">
        <w:t>978</w:t>
      </w:r>
      <w:r w:rsidR="007B3C6A">
        <w:noBreakHyphen/>
      </w:r>
      <w:r w:rsidR="00DA7E69" w:rsidRPr="00DA7E69">
        <w:t>1</w:t>
      </w:r>
      <w:r w:rsidR="007B3C6A">
        <w:noBreakHyphen/>
      </w:r>
      <w:r w:rsidR="00DA7E69" w:rsidRPr="00DA7E69">
        <w:t>923278</w:t>
      </w:r>
      <w:r w:rsidR="007B3C6A">
        <w:noBreakHyphen/>
      </w:r>
      <w:r w:rsidR="00DA7E69" w:rsidRPr="00DA7E69">
        <w:t>33</w:t>
      </w:r>
      <w:r w:rsidR="007B3C6A">
        <w:noBreakHyphen/>
      </w:r>
      <w:r w:rsidR="00DA7E69" w:rsidRPr="00DA7E69">
        <w:t xml:space="preserve">2 </w:t>
      </w:r>
    </w:p>
    <w:p w14:paraId="72DE22AA" w14:textId="77777777" w:rsidR="000E0B74" w:rsidRPr="00883271" w:rsidRDefault="000E0B74" w:rsidP="003E2249">
      <w:pPr>
        <w:rPr>
          <w:rFonts w:cstheme="minorBidi"/>
          <w:sz w:val="23"/>
          <w:szCs w:val="23"/>
        </w:rPr>
      </w:pPr>
      <w:r w:rsidRPr="00883271">
        <w:t>This publication is available for your use under a</w:t>
      </w:r>
      <w:r w:rsidRPr="00883271">
        <w:rPr>
          <w:rFonts w:cstheme="minorHAnsi"/>
          <w:sz w:val="23"/>
          <w:szCs w:val="23"/>
        </w:rPr>
        <w:t xml:space="preserve"> </w:t>
      </w:r>
      <w:hyperlink r:id="rId8" w:history="1">
        <w:r w:rsidR="00444CDB" w:rsidRPr="003E2249">
          <w:rPr>
            <w:rStyle w:val="Hyperlink"/>
          </w:rPr>
          <w:t>Creative Commons Attribution 4.0 International</w:t>
        </w:r>
      </w:hyperlink>
      <w:r w:rsidRPr="00883271">
        <w:rPr>
          <w:rFonts w:cstheme="minorHAnsi"/>
          <w:sz w:val="23"/>
          <w:szCs w:val="23"/>
        </w:rPr>
        <w:t xml:space="preserve"> </w:t>
      </w:r>
      <w:r w:rsidRPr="00883271">
        <w:t xml:space="preserve">licence, with the exception of the Commonwealth Coat of Arms, the Treasury logo, photographs, images, </w:t>
      </w:r>
      <w:r w:rsidR="00444CDB" w:rsidRPr="00883271">
        <w:t xml:space="preserve">third party materials, materials protected by a trademark, </w:t>
      </w:r>
      <w:r w:rsidRPr="00883271">
        <w:t>signatures and where otherwise stated</w:t>
      </w:r>
      <w:r w:rsidR="00444CDB" w:rsidRPr="00883271">
        <w:t xml:space="preserve">. </w:t>
      </w:r>
      <w:r w:rsidRPr="00883271">
        <w:t>The full licence terms are available from</w:t>
      </w:r>
      <w:r w:rsidRPr="00883271">
        <w:rPr>
          <w:rFonts w:cstheme="minorHAnsi"/>
          <w:sz w:val="23"/>
          <w:szCs w:val="23"/>
        </w:rPr>
        <w:t xml:space="preserve"> </w:t>
      </w:r>
      <w:hyperlink r:id="rId9" w:history="1">
        <w:r w:rsidR="00444CDB" w:rsidRPr="003E2249">
          <w:rPr>
            <w:rStyle w:val="Hyperlink"/>
          </w:rPr>
          <w:t>creativecommons.org/licenses/by/4.0/legalcode</w:t>
        </w:r>
      </w:hyperlink>
      <w:r w:rsidRPr="00883271">
        <w:t>.</w:t>
      </w:r>
      <w:r w:rsidRPr="00883271">
        <w:rPr>
          <w:sz w:val="23"/>
          <w:szCs w:val="23"/>
        </w:rPr>
        <w:t xml:space="preserve"> </w:t>
      </w:r>
    </w:p>
    <w:p w14:paraId="4EE4BFE1" w14:textId="77777777" w:rsidR="000E0B74" w:rsidRPr="00883271" w:rsidRDefault="000E0B74" w:rsidP="00CE1BB8">
      <w:pPr>
        <w:pStyle w:val="ChartGraphic"/>
        <w:jc w:val="left"/>
      </w:pPr>
      <w:r w:rsidRPr="00883271">
        <w:drawing>
          <wp:inline distT="0" distB="0" distL="0" distR="0" wp14:anchorId="0CF669A1" wp14:editId="7585B3B1">
            <wp:extent cx="809625" cy="285750"/>
            <wp:effectExtent l="0" t="0" r="9525" b="0"/>
            <wp:docPr id="3" name="Picture 1" descr="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reative Commons ic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38A1F8C6" w14:textId="77777777" w:rsidR="000E0B74" w:rsidRPr="00883271" w:rsidRDefault="000E0B74" w:rsidP="003E2249">
      <w:r w:rsidRPr="00883271">
        <w:t>Use of Treasury material under a</w:t>
      </w:r>
      <w:r w:rsidRPr="00883271">
        <w:rPr>
          <w:rFonts w:cstheme="minorHAnsi"/>
          <w:sz w:val="23"/>
          <w:szCs w:val="23"/>
        </w:rPr>
        <w:t xml:space="preserve"> </w:t>
      </w:r>
      <w:hyperlink r:id="rId11" w:history="1">
        <w:r w:rsidR="00444CDB" w:rsidRPr="003E2249">
          <w:rPr>
            <w:rStyle w:val="Hyperlink"/>
          </w:rPr>
          <w:t>Creative Commons Attribution 4.0 International</w:t>
        </w:r>
      </w:hyperlink>
      <w:r w:rsidR="00A155F0" w:rsidRPr="00883271">
        <w:t xml:space="preserve"> l</w:t>
      </w:r>
      <w:r w:rsidRPr="00883271">
        <w:t>icence requires you to attribute the work (but not in any way that suggests that the Treasury endorses you or your use of the work).</w:t>
      </w:r>
    </w:p>
    <w:p w14:paraId="38D19C32" w14:textId="3F3FA455" w:rsidR="000E0B74" w:rsidRPr="003E2249" w:rsidRDefault="000E0B74" w:rsidP="003E2249">
      <w:pPr>
        <w:rPr>
          <w:b/>
          <w:bCs/>
        </w:rPr>
      </w:pPr>
      <w:r w:rsidRPr="003E2249">
        <w:rPr>
          <w:b/>
          <w:bCs/>
        </w:rPr>
        <w:t xml:space="preserve">Treasury material used </w:t>
      </w:r>
      <w:r w:rsidR="00BF0433">
        <w:rPr>
          <w:b/>
          <w:bCs/>
        </w:rPr>
        <w:t>‘</w:t>
      </w:r>
      <w:r w:rsidRPr="003E2249">
        <w:rPr>
          <w:b/>
          <w:bCs/>
        </w:rPr>
        <w:t>as supplied</w:t>
      </w:r>
      <w:r w:rsidR="00BF0433">
        <w:rPr>
          <w:b/>
          <w:bCs/>
        </w:rPr>
        <w:t>’</w:t>
      </w:r>
    </w:p>
    <w:p w14:paraId="5C6202F4" w14:textId="77777777" w:rsidR="000E0B74" w:rsidRPr="00883271" w:rsidRDefault="000E0B74" w:rsidP="003E2249">
      <w:r w:rsidRPr="00883271">
        <w:t xml:space="preserve">Provided you have not modified or transformed Treasury material in any way including, for example, by changing the Treasury text; calculating percentage changes; graphing or charting data; or deriving new statistics from published Treasury statistics </w:t>
      </w:r>
      <w:r w:rsidR="00444CDB" w:rsidRPr="00883271">
        <w:rPr>
          <w:rFonts w:cs="Calibri Light"/>
        </w:rPr>
        <w:t>–</w:t>
      </w:r>
      <w:r w:rsidRPr="00883271">
        <w:t xml:space="preserve"> then Treasury prefers the following attribution: </w:t>
      </w:r>
    </w:p>
    <w:p w14:paraId="37182DD9" w14:textId="77777777" w:rsidR="00444CDB" w:rsidRPr="003E2249" w:rsidRDefault="00444CDB" w:rsidP="003E2249">
      <w:pPr>
        <w:ind w:firstLine="720"/>
      </w:pPr>
      <w:r w:rsidRPr="003E2249">
        <w:t xml:space="preserve">Source: </w:t>
      </w:r>
      <w:r w:rsidRPr="003E2249">
        <w:rPr>
          <w:i/>
          <w:iCs/>
        </w:rPr>
        <w:t>The Commonwealth of Australia.</w:t>
      </w:r>
    </w:p>
    <w:p w14:paraId="35A3A431" w14:textId="77777777" w:rsidR="000E0B74" w:rsidRPr="003E2249" w:rsidRDefault="000E0B74" w:rsidP="003E2249">
      <w:pPr>
        <w:rPr>
          <w:b/>
          <w:bCs/>
        </w:rPr>
      </w:pPr>
      <w:r w:rsidRPr="003E2249">
        <w:rPr>
          <w:b/>
          <w:bCs/>
        </w:rPr>
        <w:t>Derivative material</w:t>
      </w:r>
    </w:p>
    <w:p w14:paraId="61DEB4C7" w14:textId="77777777" w:rsidR="000E0B74" w:rsidRPr="00883271" w:rsidRDefault="000E0B74" w:rsidP="003E2249">
      <w:r w:rsidRPr="00883271">
        <w:t xml:space="preserve">If you have modified or transformed Treasury material, or derived new material from those of the Treasury in any way, then Treasury prefers the following attribution: </w:t>
      </w:r>
    </w:p>
    <w:p w14:paraId="37CA3359" w14:textId="77777777" w:rsidR="00444CDB" w:rsidRPr="003E2249" w:rsidRDefault="00444CDB" w:rsidP="003E2249">
      <w:pPr>
        <w:ind w:firstLine="720"/>
        <w:rPr>
          <w:i/>
          <w:iCs/>
        </w:rPr>
      </w:pPr>
      <w:r w:rsidRPr="003E2249">
        <w:rPr>
          <w:i/>
          <w:iCs/>
        </w:rPr>
        <w:t>Based on Commonwealth of Australia</w:t>
      </w:r>
      <w:r w:rsidRPr="003E2249" w:rsidDel="002A3368">
        <w:rPr>
          <w:i/>
          <w:iCs/>
        </w:rPr>
        <w:t xml:space="preserve"> </w:t>
      </w:r>
      <w:r w:rsidRPr="003E2249">
        <w:rPr>
          <w:i/>
          <w:iCs/>
        </w:rPr>
        <w:t>data.</w:t>
      </w:r>
    </w:p>
    <w:p w14:paraId="6320BD3D" w14:textId="77777777" w:rsidR="000E0B74" w:rsidRPr="003E2249" w:rsidRDefault="000E0B74" w:rsidP="003E2249">
      <w:pPr>
        <w:rPr>
          <w:b/>
          <w:bCs/>
        </w:rPr>
      </w:pPr>
      <w:r w:rsidRPr="003E2249">
        <w:rPr>
          <w:b/>
          <w:bCs/>
        </w:rPr>
        <w:t>Use of the Coat of Arms</w:t>
      </w:r>
    </w:p>
    <w:p w14:paraId="7A08BA2D" w14:textId="20C8255F" w:rsidR="005C503A" w:rsidRPr="00883271" w:rsidRDefault="005C503A" w:rsidP="003E2249">
      <w:r w:rsidRPr="00883271">
        <w:t xml:space="preserve">The terms under which the Coat of Arms can be used are set out on the Department of the Prime Minister and Cabinet website (see </w:t>
      </w:r>
      <w:hyperlink r:id="rId12" w:history="1">
        <w:r w:rsidR="00444CDB" w:rsidRPr="003E2249">
          <w:rPr>
            <w:rStyle w:val="Hyperlink"/>
          </w:rPr>
          <w:t>www.pmc.gov.au/government/commonwealth</w:t>
        </w:r>
        <w:r w:rsidR="007B3C6A">
          <w:rPr>
            <w:rStyle w:val="Hyperlink"/>
          </w:rPr>
          <w:noBreakHyphen/>
        </w:r>
        <w:r w:rsidR="00444CDB" w:rsidRPr="003E2249">
          <w:rPr>
            <w:rStyle w:val="Hyperlink"/>
          </w:rPr>
          <w:t>coat</w:t>
        </w:r>
        <w:r w:rsidR="007B3C6A">
          <w:rPr>
            <w:rStyle w:val="Hyperlink"/>
          </w:rPr>
          <w:noBreakHyphen/>
        </w:r>
        <w:r w:rsidR="00444CDB" w:rsidRPr="003E2249">
          <w:rPr>
            <w:rStyle w:val="Hyperlink"/>
          </w:rPr>
          <w:t>arms</w:t>
        </w:r>
      </w:hyperlink>
      <w:r w:rsidRPr="00883271">
        <w:t>).</w:t>
      </w:r>
    </w:p>
    <w:p w14:paraId="3BDB5B91" w14:textId="77777777" w:rsidR="000E0B74" w:rsidRPr="003E2249" w:rsidRDefault="000E0B74" w:rsidP="003E2249">
      <w:pPr>
        <w:rPr>
          <w:b/>
          <w:bCs/>
        </w:rPr>
      </w:pPr>
      <w:r w:rsidRPr="003E2249">
        <w:rPr>
          <w:b/>
          <w:bCs/>
        </w:rPr>
        <w:t>Other uses</w:t>
      </w:r>
    </w:p>
    <w:p w14:paraId="69549008" w14:textId="77777777" w:rsidR="000E0B74" w:rsidRPr="00883271" w:rsidRDefault="000E0B74" w:rsidP="003E2249">
      <w:r w:rsidRPr="00883271">
        <w:t>Enquiries regarding this licence and any other use of this document are welcome at:</w:t>
      </w:r>
    </w:p>
    <w:p w14:paraId="6C26723F" w14:textId="77777777" w:rsidR="00DF7CBD" w:rsidRPr="00883271" w:rsidRDefault="000E0B74" w:rsidP="003E2249">
      <w:pPr>
        <w:ind w:left="720"/>
        <w:rPr>
          <w:rStyle w:val="Hyperlink"/>
          <w:sz w:val="21"/>
          <w:szCs w:val="21"/>
        </w:rPr>
      </w:pPr>
      <w:r w:rsidRPr="00883271">
        <w:t>Manager</w:t>
      </w:r>
      <w:r w:rsidR="00A72960" w:rsidRPr="00883271">
        <w:br/>
      </w:r>
      <w:r w:rsidRPr="00883271">
        <w:t>Media Unit</w:t>
      </w:r>
      <w:r w:rsidRPr="00883271">
        <w:br/>
        <w:t>The Treasury</w:t>
      </w:r>
      <w:r w:rsidRPr="00883271">
        <w:br/>
        <w:t xml:space="preserve">Langton Crescent </w:t>
      </w:r>
      <w:r w:rsidRPr="00883271">
        <w:br/>
        <w:t>Parkes  ACT  2600</w:t>
      </w:r>
      <w:r w:rsidRPr="00883271">
        <w:br/>
        <w:t xml:space="preserve">Email: </w:t>
      </w:r>
      <w:hyperlink r:id="rId13" w:history="1">
        <w:r w:rsidR="00386297" w:rsidRPr="003E2249">
          <w:rPr>
            <w:rStyle w:val="Hyperlink"/>
          </w:rPr>
          <w:t>media@treasury.gov.au</w:t>
        </w:r>
      </w:hyperlink>
    </w:p>
    <w:p w14:paraId="548CEC15" w14:textId="77777777" w:rsidR="00110D67" w:rsidRDefault="00D32709" w:rsidP="00D32709">
      <w:pPr>
        <w:rPr>
          <w:i/>
          <w:iCs/>
        </w:rPr>
        <w:sectPr w:rsidR="00110D67" w:rsidSect="004F5132">
          <w:footerReference w:type="even" r:id="rId14"/>
          <w:footerReference w:type="default" r:id="rId15"/>
          <w:footerReference w:type="first" r:id="rId16"/>
          <w:pgSz w:w="11906" w:h="16838" w:code="9"/>
          <w:pgMar w:top="1843" w:right="1418" w:bottom="1418" w:left="1418" w:header="709" w:footer="709" w:gutter="0"/>
          <w:pgNumType w:start="1"/>
          <w:cols w:space="708"/>
          <w:docGrid w:linePitch="360"/>
        </w:sectPr>
      </w:pPr>
      <w:r w:rsidRPr="003E2249">
        <w:rPr>
          <w:i/>
          <w:iCs/>
        </w:rPr>
        <w:t>In the spirit of reconciliation, the Treasury acknowledges the Traditional Custodians of country throughout Australia and their connections to land, sea and community. We pay our respect to their Elders past and present and extend that respect to all Aboriginal and Torres Strait Islander peoples</w:t>
      </w:r>
      <w:r w:rsidR="00862EE6" w:rsidRPr="003E2249">
        <w:rPr>
          <w:i/>
          <w:iCs/>
        </w:rPr>
        <w:t>.</w:t>
      </w:r>
    </w:p>
    <w:p w14:paraId="02E76FD9" w14:textId="345F07A2" w:rsidR="0096108D" w:rsidRPr="00883271" w:rsidRDefault="0096108D" w:rsidP="00110D67">
      <w:pPr>
        <w:pStyle w:val="Heading1"/>
        <w:spacing w:before="0"/>
        <w:rPr>
          <w:sz w:val="21"/>
          <w:szCs w:val="21"/>
        </w:rPr>
      </w:pPr>
      <w:bookmarkStart w:id="0" w:name="_Toc212037291"/>
      <w:bookmarkStart w:id="1" w:name="_Toc212130848"/>
      <w:bookmarkStart w:id="2" w:name="_Toc213340388"/>
      <w:r w:rsidRPr="00851F7E">
        <w:lastRenderedPageBreak/>
        <w:t>Contents</w:t>
      </w:r>
      <w:bookmarkEnd w:id="0"/>
      <w:bookmarkEnd w:id="1"/>
      <w:bookmarkEnd w:id="2"/>
    </w:p>
    <w:sdt>
      <w:sdtPr>
        <w:rPr>
          <w:b w:val="0"/>
          <w:noProof w:val="0"/>
          <w:color w:val="auto"/>
          <w:szCs w:val="20"/>
        </w:rPr>
        <w:id w:val="-362438516"/>
        <w:docPartObj>
          <w:docPartGallery w:val="Table of Contents"/>
          <w:docPartUnique/>
        </w:docPartObj>
      </w:sdtPr>
      <w:sdtEndPr/>
      <w:sdtContent>
        <w:p w14:paraId="2D3838C8" w14:textId="0C03387B" w:rsidR="00906497" w:rsidRPr="00883271" w:rsidRDefault="003B4BD7">
          <w:pPr>
            <w:pStyle w:val="TOC1"/>
            <w:rPr>
              <w:rFonts w:asciiTheme="minorHAnsi" w:eastAsiaTheme="minorEastAsia" w:hAnsiTheme="minorHAnsi" w:cstheme="minorBidi"/>
              <w:b w:val="0"/>
              <w:color w:val="auto"/>
              <w:kern w:val="2"/>
              <w:sz w:val="24"/>
              <w:szCs w:val="24"/>
              <w14:ligatures w14:val="standardContextual"/>
            </w:rPr>
          </w:pPr>
          <w:r w:rsidRPr="00883271">
            <w:fldChar w:fldCharType="begin"/>
          </w:r>
          <w:r w:rsidRPr="00883271">
            <w:instrText xml:space="preserve"> TOC \o "1-2" \h \z \u </w:instrText>
          </w:r>
          <w:r w:rsidRPr="00883271">
            <w:fldChar w:fldCharType="separate"/>
          </w:r>
          <w:hyperlink w:anchor="_Toc213340389" w:history="1">
            <w:r w:rsidR="00906497" w:rsidRPr="00883271">
              <w:rPr>
                <w:rStyle w:val="Hyperlink"/>
              </w:rPr>
              <w:t>Executive Summary</w:t>
            </w:r>
            <w:r w:rsidR="00906497" w:rsidRPr="00883271">
              <w:rPr>
                <w:webHidden/>
              </w:rPr>
              <w:tab/>
            </w:r>
            <w:r w:rsidR="00906497" w:rsidRPr="00883271">
              <w:rPr>
                <w:webHidden/>
              </w:rPr>
              <w:fldChar w:fldCharType="begin"/>
            </w:r>
            <w:r w:rsidR="00906497" w:rsidRPr="00883271">
              <w:rPr>
                <w:webHidden/>
              </w:rPr>
              <w:instrText xml:space="preserve"> PAGEREF _Toc213340389 \h </w:instrText>
            </w:r>
            <w:r w:rsidR="00906497" w:rsidRPr="00883271">
              <w:rPr>
                <w:webHidden/>
              </w:rPr>
            </w:r>
            <w:r w:rsidR="00906497" w:rsidRPr="00883271">
              <w:rPr>
                <w:webHidden/>
              </w:rPr>
              <w:fldChar w:fldCharType="separate"/>
            </w:r>
            <w:r w:rsidR="008F2BFB">
              <w:rPr>
                <w:webHidden/>
              </w:rPr>
              <w:t>1</w:t>
            </w:r>
            <w:r w:rsidR="00906497" w:rsidRPr="00883271">
              <w:rPr>
                <w:webHidden/>
              </w:rPr>
              <w:fldChar w:fldCharType="end"/>
            </w:r>
          </w:hyperlink>
        </w:p>
        <w:p w14:paraId="60E70D46" w14:textId="2DF3AA0C" w:rsidR="00906497" w:rsidRPr="00883271" w:rsidRDefault="00906497">
          <w:pPr>
            <w:pStyle w:val="TOC1"/>
            <w:rPr>
              <w:rFonts w:asciiTheme="minorHAnsi" w:eastAsiaTheme="minorEastAsia" w:hAnsiTheme="minorHAnsi" w:cstheme="minorBidi"/>
              <w:b w:val="0"/>
              <w:color w:val="auto"/>
              <w:kern w:val="2"/>
              <w:sz w:val="24"/>
              <w:szCs w:val="24"/>
              <w14:ligatures w14:val="standardContextual"/>
            </w:rPr>
          </w:pPr>
          <w:hyperlink w:anchor="_Toc213340390" w:history="1">
            <w:r w:rsidRPr="00883271">
              <w:rPr>
                <w:rStyle w:val="Hyperlink"/>
              </w:rPr>
              <w:t>Chapter 1 – Introduction</w:t>
            </w:r>
            <w:r w:rsidRPr="00883271">
              <w:rPr>
                <w:webHidden/>
              </w:rPr>
              <w:tab/>
            </w:r>
            <w:r w:rsidRPr="00883271">
              <w:rPr>
                <w:webHidden/>
              </w:rPr>
              <w:fldChar w:fldCharType="begin"/>
            </w:r>
            <w:r w:rsidRPr="00883271">
              <w:rPr>
                <w:webHidden/>
              </w:rPr>
              <w:instrText xml:space="preserve"> PAGEREF _Toc213340390 \h </w:instrText>
            </w:r>
            <w:r w:rsidRPr="00883271">
              <w:rPr>
                <w:webHidden/>
              </w:rPr>
            </w:r>
            <w:r w:rsidRPr="00883271">
              <w:rPr>
                <w:webHidden/>
              </w:rPr>
              <w:fldChar w:fldCharType="separate"/>
            </w:r>
            <w:r w:rsidR="008F2BFB">
              <w:rPr>
                <w:webHidden/>
              </w:rPr>
              <w:t>4</w:t>
            </w:r>
            <w:r w:rsidRPr="00883271">
              <w:rPr>
                <w:webHidden/>
              </w:rPr>
              <w:fldChar w:fldCharType="end"/>
            </w:r>
          </w:hyperlink>
        </w:p>
        <w:p w14:paraId="1AF50E40" w14:textId="68CC55FE" w:rsidR="00906497" w:rsidRPr="00883271" w:rsidRDefault="00906497">
          <w:pPr>
            <w:pStyle w:val="TOC2"/>
            <w:rPr>
              <w:rFonts w:asciiTheme="minorHAnsi" w:eastAsiaTheme="minorEastAsia" w:hAnsiTheme="minorHAnsi" w:cstheme="minorBidi"/>
              <w:color w:val="auto"/>
              <w:kern w:val="2"/>
              <w:sz w:val="24"/>
              <w:szCs w:val="24"/>
              <w14:ligatures w14:val="standardContextual"/>
            </w:rPr>
          </w:pPr>
          <w:hyperlink w:anchor="_Toc213340391" w:history="1">
            <w:r w:rsidRPr="00883271">
              <w:rPr>
                <w:rStyle w:val="Hyperlink"/>
              </w:rPr>
              <w:t>The scheme</w:t>
            </w:r>
            <w:r w:rsidRPr="00883271">
              <w:rPr>
                <w:webHidden/>
              </w:rPr>
              <w:tab/>
            </w:r>
            <w:r w:rsidRPr="00883271">
              <w:rPr>
                <w:webHidden/>
              </w:rPr>
              <w:fldChar w:fldCharType="begin"/>
            </w:r>
            <w:r w:rsidRPr="00883271">
              <w:rPr>
                <w:webHidden/>
              </w:rPr>
              <w:instrText xml:space="preserve"> PAGEREF _Toc213340391 \h </w:instrText>
            </w:r>
            <w:r w:rsidRPr="00883271">
              <w:rPr>
                <w:webHidden/>
              </w:rPr>
            </w:r>
            <w:r w:rsidRPr="00883271">
              <w:rPr>
                <w:webHidden/>
              </w:rPr>
              <w:fldChar w:fldCharType="separate"/>
            </w:r>
            <w:r w:rsidR="008F2BFB">
              <w:rPr>
                <w:webHidden/>
              </w:rPr>
              <w:t>5</w:t>
            </w:r>
            <w:r w:rsidRPr="00883271">
              <w:rPr>
                <w:webHidden/>
              </w:rPr>
              <w:fldChar w:fldCharType="end"/>
            </w:r>
          </w:hyperlink>
        </w:p>
        <w:p w14:paraId="46305C3B" w14:textId="1DD73708" w:rsidR="00906497" w:rsidRPr="00883271" w:rsidRDefault="00906497">
          <w:pPr>
            <w:pStyle w:val="TOC2"/>
            <w:rPr>
              <w:rFonts w:asciiTheme="minorHAnsi" w:eastAsiaTheme="minorEastAsia" w:hAnsiTheme="minorHAnsi" w:cstheme="minorBidi"/>
              <w:color w:val="auto"/>
              <w:kern w:val="2"/>
              <w:sz w:val="24"/>
              <w:szCs w:val="24"/>
              <w14:ligatures w14:val="standardContextual"/>
            </w:rPr>
          </w:pPr>
          <w:hyperlink w:anchor="_Toc213340392" w:history="1">
            <w:r w:rsidRPr="00883271">
              <w:rPr>
                <w:rStyle w:val="Hyperlink"/>
              </w:rPr>
              <w:t>The Review</w:t>
            </w:r>
            <w:r w:rsidRPr="00883271">
              <w:rPr>
                <w:webHidden/>
              </w:rPr>
              <w:tab/>
            </w:r>
            <w:r w:rsidRPr="00883271">
              <w:rPr>
                <w:webHidden/>
              </w:rPr>
              <w:fldChar w:fldCharType="begin"/>
            </w:r>
            <w:r w:rsidRPr="00883271">
              <w:rPr>
                <w:webHidden/>
              </w:rPr>
              <w:instrText xml:space="preserve"> PAGEREF _Toc213340392 \h </w:instrText>
            </w:r>
            <w:r w:rsidRPr="00883271">
              <w:rPr>
                <w:webHidden/>
              </w:rPr>
            </w:r>
            <w:r w:rsidRPr="00883271">
              <w:rPr>
                <w:webHidden/>
              </w:rPr>
              <w:fldChar w:fldCharType="separate"/>
            </w:r>
            <w:r w:rsidR="008F2BFB">
              <w:rPr>
                <w:webHidden/>
              </w:rPr>
              <w:t>6</w:t>
            </w:r>
            <w:r w:rsidRPr="00883271">
              <w:rPr>
                <w:webHidden/>
              </w:rPr>
              <w:fldChar w:fldCharType="end"/>
            </w:r>
          </w:hyperlink>
        </w:p>
        <w:p w14:paraId="484F1900" w14:textId="5BA780D7" w:rsidR="00906497" w:rsidRPr="00883271" w:rsidRDefault="00906497">
          <w:pPr>
            <w:pStyle w:val="TOC1"/>
            <w:rPr>
              <w:rFonts w:asciiTheme="minorHAnsi" w:eastAsiaTheme="minorEastAsia" w:hAnsiTheme="minorHAnsi" w:cstheme="minorBidi"/>
              <w:b w:val="0"/>
              <w:color w:val="auto"/>
              <w:kern w:val="2"/>
              <w:sz w:val="24"/>
              <w:szCs w:val="24"/>
              <w14:ligatures w14:val="standardContextual"/>
            </w:rPr>
          </w:pPr>
          <w:hyperlink w:anchor="_Toc213340393" w:history="1">
            <w:r w:rsidRPr="00883271">
              <w:rPr>
                <w:rStyle w:val="Hyperlink"/>
              </w:rPr>
              <w:t>Chapter 2 – Promoting competition and consumer choice</w:t>
            </w:r>
            <w:r w:rsidRPr="00883271">
              <w:rPr>
                <w:webHidden/>
              </w:rPr>
              <w:tab/>
            </w:r>
            <w:r w:rsidRPr="00883271">
              <w:rPr>
                <w:webHidden/>
              </w:rPr>
              <w:fldChar w:fldCharType="begin"/>
            </w:r>
            <w:r w:rsidRPr="00883271">
              <w:rPr>
                <w:webHidden/>
              </w:rPr>
              <w:instrText xml:space="preserve"> PAGEREF _Toc213340393 \h </w:instrText>
            </w:r>
            <w:r w:rsidRPr="00883271">
              <w:rPr>
                <w:webHidden/>
              </w:rPr>
            </w:r>
            <w:r w:rsidRPr="00883271">
              <w:rPr>
                <w:webHidden/>
              </w:rPr>
              <w:fldChar w:fldCharType="separate"/>
            </w:r>
            <w:r w:rsidR="008F2BFB">
              <w:rPr>
                <w:webHidden/>
              </w:rPr>
              <w:t>8</w:t>
            </w:r>
            <w:r w:rsidRPr="00883271">
              <w:rPr>
                <w:webHidden/>
              </w:rPr>
              <w:fldChar w:fldCharType="end"/>
            </w:r>
          </w:hyperlink>
        </w:p>
        <w:p w14:paraId="1D7EFF7A" w14:textId="4F94AEFC" w:rsidR="00906497" w:rsidRPr="00883271" w:rsidRDefault="00906497">
          <w:pPr>
            <w:pStyle w:val="TOC2"/>
            <w:rPr>
              <w:rFonts w:asciiTheme="minorHAnsi" w:eastAsiaTheme="minorEastAsia" w:hAnsiTheme="minorHAnsi" w:cstheme="minorBidi"/>
              <w:color w:val="auto"/>
              <w:kern w:val="2"/>
              <w:sz w:val="24"/>
              <w:szCs w:val="24"/>
              <w14:ligatures w14:val="standardContextual"/>
            </w:rPr>
          </w:pPr>
          <w:hyperlink w:anchor="_Toc213340394" w:history="1">
            <w:r w:rsidRPr="00883271">
              <w:rPr>
                <w:rStyle w:val="Hyperlink"/>
              </w:rPr>
              <w:t>Competition in repair markets</w:t>
            </w:r>
            <w:r w:rsidRPr="00883271">
              <w:rPr>
                <w:webHidden/>
              </w:rPr>
              <w:tab/>
            </w:r>
            <w:r w:rsidRPr="00883271">
              <w:rPr>
                <w:webHidden/>
              </w:rPr>
              <w:fldChar w:fldCharType="begin"/>
            </w:r>
            <w:r w:rsidRPr="00883271">
              <w:rPr>
                <w:webHidden/>
              </w:rPr>
              <w:instrText xml:space="preserve"> PAGEREF _Toc213340394 \h </w:instrText>
            </w:r>
            <w:r w:rsidRPr="00883271">
              <w:rPr>
                <w:webHidden/>
              </w:rPr>
            </w:r>
            <w:r w:rsidRPr="00883271">
              <w:rPr>
                <w:webHidden/>
              </w:rPr>
              <w:fldChar w:fldCharType="separate"/>
            </w:r>
            <w:r w:rsidR="008F2BFB">
              <w:rPr>
                <w:webHidden/>
              </w:rPr>
              <w:t>9</w:t>
            </w:r>
            <w:r w:rsidRPr="00883271">
              <w:rPr>
                <w:webHidden/>
              </w:rPr>
              <w:fldChar w:fldCharType="end"/>
            </w:r>
          </w:hyperlink>
        </w:p>
        <w:p w14:paraId="2C1BA312" w14:textId="12BA263C" w:rsidR="00906497" w:rsidRPr="00883271" w:rsidRDefault="00906497">
          <w:pPr>
            <w:pStyle w:val="TOC2"/>
            <w:rPr>
              <w:rFonts w:asciiTheme="minorHAnsi" w:eastAsiaTheme="minorEastAsia" w:hAnsiTheme="minorHAnsi" w:cstheme="minorBidi"/>
              <w:color w:val="auto"/>
              <w:kern w:val="2"/>
              <w:sz w:val="24"/>
              <w:szCs w:val="24"/>
              <w14:ligatures w14:val="standardContextual"/>
            </w:rPr>
          </w:pPr>
          <w:hyperlink w:anchor="_Toc213340395" w:history="1">
            <w:r w:rsidRPr="00883271">
              <w:rPr>
                <w:rStyle w:val="Hyperlink"/>
              </w:rPr>
              <w:t>Impact on automotive repair sector</w:t>
            </w:r>
            <w:r w:rsidRPr="00883271">
              <w:rPr>
                <w:webHidden/>
              </w:rPr>
              <w:tab/>
            </w:r>
            <w:r w:rsidRPr="00883271">
              <w:rPr>
                <w:webHidden/>
              </w:rPr>
              <w:fldChar w:fldCharType="begin"/>
            </w:r>
            <w:r w:rsidRPr="00883271">
              <w:rPr>
                <w:webHidden/>
              </w:rPr>
              <w:instrText xml:space="preserve"> PAGEREF _Toc213340395 \h </w:instrText>
            </w:r>
            <w:r w:rsidRPr="00883271">
              <w:rPr>
                <w:webHidden/>
              </w:rPr>
            </w:r>
            <w:r w:rsidRPr="00883271">
              <w:rPr>
                <w:webHidden/>
              </w:rPr>
              <w:fldChar w:fldCharType="separate"/>
            </w:r>
            <w:r w:rsidR="008F2BFB">
              <w:rPr>
                <w:webHidden/>
              </w:rPr>
              <w:t>11</w:t>
            </w:r>
            <w:r w:rsidRPr="00883271">
              <w:rPr>
                <w:webHidden/>
              </w:rPr>
              <w:fldChar w:fldCharType="end"/>
            </w:r>
          </w:hyperlink>
        </w:p>
        <w:p w14:paraId="3B4BA269" w14:textId="267D11B7" w:rsidR="00906497" w:rsidRPr="00883271" w:rsidRDefault="00906497">
          <w:pPr>
            <w:pStyle w:val="TOC2"/>
            <w:rPr>
              <w:rFonts w:asciiTheme="minorHAnsi" w:eastAsiaTheme="minorEastAsia" w:hAnsiTheme="minorHAnsi" w:cstheme="minorBidi"/>
              <w:color w:val="auto"/>
              <w:kern w:val="2"/>
              <w:sz w:val="24"/>
              <w:szCs w:val="24"/>
              <w14:ligatures w14:val="standardContextual"/>
            </w:rPr>
          </w:pPr>
          <w:hyperlink w:anchor="_Toc213340396" w:history="1">
            <w:r w:rsidRPr="00883271">
              <w:rPr>
                <w:rStyle w:val="Hyperlink"/>
              </w:rPr>
              <w:t>Impacts on consumers</w:t>
            </w:r>
            <w:r w:rsidRPr="00883271">
              <w:rPr>
                <w:webHidden/>
              </w:rPr>
              <w:tab/>
            </w:r>
            <w:r w:rsidRPr="00883271">
              <w:rPr>
                <w:webHidden/>
              </w:rPr>
              <w:fldChar w:fldCharType="begin"/>
            </w:r>
            <w:r w:rsidRPr="00883271">
              <w:rPr>
                <w:webHidden/>
              </w:rPr>
              <w:instrText xml:space="preserve"> PAGEREF _Toc213340396 \h </w:instrText>
            </w:r>
            <w:r w:rsidRPr="00883271">
              <w:rPr>
                <w:webHidden/>
              </w:rPr>
            </w:r>
            <w:r w:rsidRPr="00883271">
              <w:rPr>
                <w:webHidden/>
              </w:rPr>
              <w:fldChar w:fldCharType="separate"/>
            </w:r>
            <w:r w:rsidR="008F2BFB">
              <w:rPr>
                <w:webHidden/>
              </w:rPr>
              <w:t>15</w:t>
            </w:r>
            <w:r w:rsidRPr="00883271">
              <w:rPr>
                <w:webHidden/>
              </w:rPr>
              <w:fldChar w:fldCharType="end"/>
            </w:r>
          </w:hyperlink>
        </w:p>
        <w:p w14:paraId="5FA26AD0" w14:textId="2DF25894" w:rsidR="00906497" w:rsidRPr="00883271" w:rsidRDefault="00906497">
          <w:pPr>
            <w:pStyle w:val="TOC1"/>
            <w:rPr>
              <w:rFonts w:asciiTheme="minorHAnsi" w:eastAsiaTheme="minorEastAsia" w:hAnsiTheme="minorHAnsi" w:cstheme="minorBidi"/>
              <w:b w:val="0"/>
              <w:color w:val="auto"/>
              <w:kern w:val="2"/>
              <w:sz w:val="24"/>
              <w:szCs w:val="24"/>
              <w14:ligatures w14:val="standardContextual"/>
            </w:rPr>
          </w:pPr>
          <w:hyperlink w:anchor="_Toc213340397" w:history="1">
            <w:r w:rsidRPr="00883271">
              <w:rPr>
                <w:rStyle w:val="Hyperlink"/>
              </w:rPr>
              <w:t>Chapter 3 – Information access</w:t>
            </w:r>
            <w:r w:rsidRPr="00883271">
              <w:rPr>
                <w:webHidden/>
              </w:rPr>
              <w:tab/>
            </w:r>
            <w:r w:rsidRPr="00883271">
              <w:rPr>
                <w:webHidden/>
              </w:rPr>
              <w:fldChar w:fldCharType="begin"/>
            </w:r>
            <w:r w:rsidRPr="00883271">
              <w:rPr>
                <w:webHidden/>
              </w:rPr>
              <w:instrText xml:space="preserve"> PAGEREF _Toc213340397 \h </w:instrText>
            </w:r>
            <w:r w:rsidRPr="00883271">
              <w:rPr>
                <w:webHidden/>
              </w:rPr>
            </w:r>
            <w:r w:rsidRPr="00883271">
              <w:rPr>
                <w:webHidden/>
              </w:rPr>
              <w:fldChar w:fldCharType="separate"/>
            </w:r>
            <w:r w:rsidR="008F2BFB">
              <w:rPr>
                <w:webHidden/>
              </w:rPr>
              <w:t>19</w:t>
            </w:r>
            <w:r w:rsidRPr="00883271">
              <w:rPr>
                <w:webHidden/>
              </w:rPr>
              <w:fldChar w:fldCharType="end"/>
            </w:r>
          </w:hyperlink>
        </w:p>
        <w:p w14:paraId="74E89124" w14:textId="4C74F987" w:rsidR="00906497" w:rsidRPr="00883271" w:rsidRDefault="00906497">
          <w:pPr>
            <w:pStyle w:val="TOC2"/>
            <w:rPr>
              <w:rFonts w:asciiTheme="minorHAnsi" w:eastAsiaTheme="minorEastAsia" w:hAnsiTheme="minorHAnsi" w:cstheme="minorBidi"/>
              <w:color w:val="auto"/>
              <w:kern w:val="2"/>
              <w:sz w:val="24"/>
              <w:szCs w:val="24"/>
              <w14:ligatures w14:val="standardContextual"/>
            </w:rPr>
          </w:pPr>
          <w:hyperlink w:anchor="_Toc213340398" w:history="1">
            <w:r w:rsidRPr="00883271">
              <w:rPr>
                <w:rStyle w:val="Hyperlink"/>
              </w:rPr>
              <w:t>The price of scheme information</w:t>
            </w:r>
            <w:r w:rsidRPr="00883271">
              <w:rPr>
                <w:webHidden/>
              </w:rPr>
              <w:tab/>
            </w:r>
            <w:r w:rsidRPr="00883271">
              <w:rPr>
                <w:webHidden/>
              </w:rPr>
              <w:fldChar w:fldCharType="begin"/>
            </w:r>
            <w:r w:rsidRPr="00883271">
              <w:rPr>
                <w:webHidden/>
              </w:rPr>
              <w:instrText xml:space="preserve"> PAGEREF _Toc213340398 \h </w:instrText>
            </w:r>
            <w:r w:rsidRPr="00883271">
              <w:rPr>
                <w:webHidden/>
              </w:rPr>
            </w:r>
            <w:r w:rsidRPr="00883271">
              <w:rPr>
                <w:webHidden/>
              </w:rPr>
              <w:fldChar w:fldCharType="separate"/>
            </w:r>
            <w:r w:rsidR="008F2BFB">
              <w:rPr>
                <w:webHidden/>
              </w:rPr>
              <w:t>20</w:t>
            </w:r>
            <w:r w:rsidRPr="00883271">
              <w:rPr>
                <w:webHidden/>
              </w:rPr>
              <w:fldChar w:fldCharType="end"/>
            </w:r>
          </w:hyperlink>
        </w:p>
        <w:p w14:paraId="1914FB48" w14:textId="0BBD3EEC" w:rsidR="00906497" w:rsidRPr="00883271" w:rsidRDefault="00906497">
          <w:pPr>
            <w:pStyle w:val="TOC2"/>
            <w:rPr>
              <w:rFonts w:asciiTheme="minorHAnsi" w:eastAsiaTheme="minorEastAsia" w:hAnsiTheme="minorHAnsi" w:cstheme="minorBidi"/>
              <w:color w:val="auto"/>
              <w:kern w:val="2"/>
              <w:sz w:val="24"/>
              <w:szCs w:val="24"/>
              <w14:ligatures w14:val="standardContextual"/>
            </w:rPr>
          </w:pPr>
          <w:hyperlink w:anchor="_Toc213340399" w:history="1">
            <w:r w:rsidRPr="00883271">
              <w:rPr>
                <w:rStyle w:val="Hyperlink"/>
              </w:rPr>
              <w:t>Information accessibility</w:t>
            </w:r>
            <w:r w:rsidRPr="00883271">
              <w:rPr>
                <w:webHidden/>
              </w:rPr>
              <w:tab/>
            </w:r>
            <w:r w:rsidRPr="00883271">
              <w:rPr>
                <w:webHidden/>
              </w:rPr>
              <w:fldChar w:fldCharType="begin"/>
            </w:r>
            <w:r w:rsidRPr="00883271">
              <w:rPr>
                <w:webHidden/>
              </w:rPr>
              <w:instrText xml:space="preserve"> PAGEREF _Toc213340399 \h </w:instrText>
            </w:r>
            <w:r w:rsidRPr="00883271">
              <w:rPr>
                <w:webHidden/>
              </w:rPr>
            </w:r>
            <w:r w:rsidRPr="00883271">
              <w:rPr>
                <w:webHidden/>
              </w:rPr>
              <w:fldChar w:fldCharType="separate"/>
            </w:r>
            <w:r w:rsidR="008F2BFB">
              <w:rPr>
                <w:webHidden/>
              </w:rPr>
              <w:t>33</w:t>
            </w:r>
            <w:r w:rsidRPr="00883271">
              <w:rPr>
                <w:webHidden/>
              </w:rPr>
              <w:fldChar w:fldCharType="end"/>
            </w:r>
          </w:hyperlink>
        </w:p>
        <w:p w14:paraId="54F8AD88" w14:textId="4D786F48" w:rsidR="00906497" w:rsidRPr="00883271" w:rsidRDefault="00906497">
          <w:pPr>
            <w:pStyle w:val="TOC1"/>
            <w:rPr>
              <w:rFonts w:asciiTheme="minorHAnsi" w:eastAsiaTheme="minorEastAsia" w:hAnsiTheme="minorHAnsi" w:cstheme="minorBidi"/>
              <w:b w:val="0"/>
              <w:color w:val="auto"/>
              <w:kern w:val="2"/>
              <w:sz w:val="24"/>
              <w:szCs w:val="24"/>
              <w14:ligatures w14:val="standardContextual"/>
            </w:rPr>
          </w:pPr>
          <w:hyperlink w:anchor="_Toc213340400" w:history="1">
            <w:r w:rsidRPr="00883271">
              <w:rPr>
                <w:rStyle w:val="Hyperlink"/>
              </w:rPr>
              <w:t>Chapter 4 – Protecting information</w:t>
            </w:r>
            <w:r w:rsidRPr="00883271">
              <w:rPr>
                <w:webHidden/>
              </w:rPr>
              <w:tab/>
            </w:r>
            <w:r w:rsidRPr="00883271">
              <w:rPr>
                <w:webHidden/>
              </w:rPr>
              <w:fldChar w:fldCharType="begin"/>
            </w:r>
            <w:r w:rsidRPr="00883271">
              <w:rPr>
                <w:webHidden/>
              </w:rPr>
              <w:instrText xml:space="preserve"> PAGEREF _Toc213340400 \h </w:instrText>
            </w:r>
            <w:r w:rsidRPr="00883271">
              <w:rPr>
                <w:webHidden/>
              </w:rPr>
            </w:r>
            <w:r w:rsidRPr="00883271">
              <w:rPr>
                <w:webHidden/>
              </w:rPr>
              <w:fldChar w:fldCharType="separate"/>
            </w:r>
            <w:r w:rsidR="008F2BFB">
              <w:rPr>
                <w:webHidden/>
              </w:rPr>
              <w:t>40</w:t>
            </w:r>
            <w:r w:rsidRPr="00883271">
              <w:rPr>
                <w:webHidden/>
              </w:rPr>
              <w:fldChar w:fldCharType="end"/>
            </w:r>
          </w:hyperlink>
        </w:p>
        <w:p w14:paraId="632612F8" w14:textId="042F9E4B" w:rsidR="00906497" w:rsidRPr="00883271" w:rsidRDefault="00906497">
          <w:pPr>
            <w:pStyle w:val="TOC2"/>
            <w:rPr>
              <w:rFonts w:asciiTheme="minorHAnsi" w:eastAsiaTheme="minorEastAsia" w:hAnsiTheme="minorHAnsi" w:cstheme="minorBidi"/>
              <w:color w:val="auto"/>
              <w:kern w:val="2"/>
              <w:sz w:val="24"/>
              <w:szCs w:val="24"/>
              <w14:ligatures w14:val="standardContextual"/>
            </w:rPr>
          </w:pPr>
          <w:hyperlink w:anchor="_Toc213340401" w:history="1">
            <w:r w:rsidRPr="00883271">
              <w:rPr>
                <w:rStyle w:val="Hyperlink"/>
              </w:rPr>
              <w:t>Safety information</w:t>
            </w:r>
            <w:r w:rsidRPr="00883271">
              <w:rPr>
                <w:webHidden/>
              </w:rPr>
              <w:tab/>
            </w:r>
            <w:r w:rsidRPr="00883271">
              <w:rPr>
                <w:webHidden/>
              </w:rPr>
              <w:fldChar w:fldCharType="begin"/>
            </w:r>
            <w:r w:rsidRPr="00883271">
              <w:rPr>
                <w:webHidden/>
              </w:rPr>
              <w:instrText xml:space="preserve"> PAGEREF _Toc213340401 \h </w:instrText>
            </w:r>
            <w:r w:rsidRPr="00883271">
              <w:rPr>
                <w:webHidden/>
              </w:rPr>
            </w:r>
            <w:r w:rsidRPr="00883271">
              <w:rPr>
                <w:webHidden/>
              </w:rPr>
              <w:fldChar w:fldCharType="separate"/>
            </w:r>
            <w:r w:rsidR="008F2BFB">
              <w:rPr>
                <w:webHidden/>
              </w:rPr>
              <w:t>41</w:t>
            </w:r>
            <w:r w:rsidRPr="00883271">
              <w:rPr>
                <w:webHidden/>
              </w:rPr>
              <w:fldChar w:fldCharType="end"/>
            </w:r>
          </w:hyperlink>
        </w:p>
        <w:p w14:paraId="46B2A8C2" w14:textId="5566B327" w:rsidR="00906497" w:rsidRPr="00883271" w:rsidRDefault="00906497">
          <w:pPr>
            <w:pStyle w:val="TOC2"/>
            <w:rPr>
              <w:rFonts w:asciiTheme="minorHAnsi" w:eastAsiaTheme="minorEastAsia" w:hAnsiTheme="minorHAnsi" w:cstheme="minorBidi"/>
              <w:color w:val="auto"/>
              <w:kern w:val="2"/>
              <w:sz w:val="24"/>
              <w:szCs w:val="24"/>
              <w14:ligatures w14:val="standardContextual"/>
            </w:rPr>
          </w:pPr>
          <w:hyperlink w:anchor="_Toc213340402" w:history="1">
            <w:r w:rsidRPr="00883271">
              <w:rPr>
                <w:rStyle w:val="Hyperlink"/>
              </w:rPr>
              <w:t>Security information</w:t>
            </w:r>
            <w:r w:rsidRPr="00883271">
              <w:rPr>
                <w:webHidden/>
              </w:rPr>
              <w:tab/>
            </w:r>
            <w:r w:rsidRPr="00883271">
              <w:rPr>
                <w:webHidden/>
              </w:rPr>
              <w:fldChar w:fldCharType="begin"/>
            </w:r>
            <w:r w:rsidRPr="00883271">
              <w:rPr>
                <w:webHidden/>
              </w:rPr>
              <w:instrText xml:space="preserve"> PAGEREF _Toc213340402 \h </w:instrText>
            </w:r>
            <w:r w:rsidRPr="00883271">
              <w:rPr>
                <w:webHidden/>
              </w:rPr>
            </w:r>
            <w:r w:rsidRPr="00883271">
              <w:rPr>
                <w:webHidden/>
              </w:rPr>
              <w:fldChar w:fldCharType="separate"/>
            </w:r>
            <w:r w:rsidR="008F2BFB">
              <w:rPr>
                <w:webHidden/>
              </w:rPr>
              <w:t>47</w:t>
            </w:r>
            <w:r w:rsidRPr="00883271">
              <w:rPr>
                <w:webHidden/>
              </w:rPr>
              <w:fldChar w:fldCharType="end"/>
            </w:r>
          </w:hyperlink>
        </w:p>
        <w:p w14:paraId="4F00ED32" w14:textId="23B71748" w:rsidR="00906497" w:rsidRPr="00883271" w:rsidRDefault="00906497">
          <w:pPr>
            <w:pStyle w:val="TOC1"/>
            <w:rPr>
              <w:rFonts w:asciiTheme="minorHAnsi" w:eastAsiaTheme="minorEastAsia" w:hAnsiTheme="minorHAnsi" w:cstheme="minorBidi"/>
              <w:b w:val="0"/>
              <w:color w:val="auto"/>
              <w:kern w:val="2"/>
              <w:sz w:val="24"/>
              <w:szCs w:val="24"/>
              <w14:ligatures w14:val="standardContextual"/>
            </w:rPr>
          </w:pPr>
          <w:hyperlink w:anchor="_Toc213340403" w:history="1">
            <w:r w:rsidRPr="00883271">
              <w:rPr>
                <w:rStyle w:val="Hyperlink"/>
              </w:rPr>
              <w:t>Chapter 5 – The role of intermediaries</w:t>
            </w:r>
            <w:r w:rsidRPr="00883271">
              <w:rPr>
                <w:webHidden/>
              </w:rPr>
              <w:tab/>
            </w:r>
            <w:r w:rsidRPr="00883271">
              <w:rPr>
                <w:webHidden/>
              </w:rPr>
              <w:fldChar w:fldCharType="begin"/>
            </w:r>
            <w:r w:rsidRPr="00883271">
              <w:rPr>
                <w:webHidden/>
              </w:rPr>
              <w:instrText xml:space="preserve"> PAGEREF _Toc213340403 \h </w:instrText>
            </w:r>
            <w:r w:rsidRPr="00883271">
              <w:rPr>
                <w:webHidden/>
              </w:rPr>
            </w:r>
            <w:r w:rsidRPr="00883271">
              <w:rPr>
                <w:webHidden/>
              </w:rPr>
              <w:fldChar w:fldCharType="separate"/>
            </w:r>
            <w:r w:rsidR="008F2BFB">
              <w:rPr>
                <w:webHidden/>
              </w:rPr>
              <w:t>49</w:t>
            </w:r>
            <w:r w:rsidRPr="00883271">
              <w:rPr>
                <w:webHidden/>
              </w:rPr>
              <w:fldChar w:fldCharType="end"/>
            </w:r>
          </w:hyperlink>
        </w:p>
        <w:p w14:paraId="71988562" w14:textId="502E028E" w:rsidR="00906497" w:rsidRPr="00883271" w:rsidRDefault="00906497">
          <w:pPr>
            <w:pStyle w:val="TOC2"/>
            <w:rPr>
              <w:rFonts w:asciiTheme="minorHAnsi" w:eastAsiaTheme="minorEastAsia" w:hAnsiTheme="minorHAnsi" w:cstheme="minorBidi"/>
              <w:color w:val="auto"/>
              <w:kern w:val="2"/>
              <w:sz w:val="24"/>
              <w:szCs w:val="24"/>
              <w14:ligatures w14:val="standardContextual"/>
            </w:rPr>
          </w:pPr>
          <w:hyperlink w:anchor="_Toc213340404" w:history="1">
            <w:r w:rsidRPr="00883271">
              <w:rPr>
                <w:rStyle w:val="Hyperlink"/>
              </w:rPr>
              <w:t>Accessing and distributing scheme information</w:t>
            </w:r>
            <w:r w:rsidRPr="00883271">
              <w:rPr>
                <w:webHidden/>
              </w:rPr>
              <w:tab/>
            </w:r>
            <w:r w:rsidRPr="00883271">
              <w:rPr>
                <w:webHidden/>
              </w:rPr>
              <w:fldChar w:fldCharType="begin"/>
            </w:r>
            <w:r w:rsidRPr="00883271">
              <w:rPr>
                <w:webHidden/>
              </w:rPr>
              <w:instrText xml:space="preserve"> PAGEREF _Toc213340404 \h </w:instrText>
            </w:r>
            <w:r w:rsidRPr="00883271">
              <w:rPr>
                <w:webHidden/>
              </w:rPr>
            </w:r>
            <w:r w:rsidRPr="00883271">
              <w:rPr>
                <w:webHidden/>
              </w:rPr>
              <w:fldChar w:fldCharType="separate"/>
            </w:r>
            <w:r w:rsidR="008F2BFB">
              <w:rPr>
                <w:webHidden/>
              </w:rPr>
              <w:t>50</w:t>
            </w:r>
            <w:r w:rsidRPr="00883271">
              <w:rPr>
                <w:webHidden/>
              </w:rPr>
              <w:fldChar w:fldCharType="end"/>
            </w:r>
          </w:hyperlink>
        </w:p>
        <w:p w14:paraId="0341E1DD" w14:textId="733BDCA9" w:rsidR="00906497" w:rsidRPr="00883271" w:rsidRDefault="00906497">
          <w:pPr>
            <w:pStyle w:val="TOC2"/>
            <w:rPr>
              <w:rFonts w:asciiTheme="minorHAnsi" w:eastAsiaTheme="minorEastAsia" w:hAnsiTheme="minorHAnsi" w:cstheme="minorBidi"/>
              <w:color w:val="auto"/>
              <w:kern w:val="2"/>
              <w:sz w:val="24"/>
              <w:szCs w:val="24"/>
              <w14:ligatures w14:val="standardContextual"/>
            </w:rPr>
          </w:pPr>
          <w:hyperlink w:anchor="_Toc213340405" w:history="1">
            <w:r w:rsidRPr="00883271">
              <w:rPr>
                <w:rStyle w:val="Hyperlink"/>
              </w:rPr>
              <w:t>Impact on intermediaries</w:t>
            </w:r>
            <w:r w:rsidRPr="00883271">
              <w:rPr>
                <w:webHidden/>
              </w:rPr>
              <w:tab/>
            </w:r>
            <w:r w:rsidRPr="00883271">
              <w:rPr>
                <w:webHidden/>
              </w:rPr>
              <w:fldChar w:fldCharType="begin"/>
            </w:r>
            <w:r w:rsidRPr="00883271">
              <w:rPr>
                <w:webHidden/>
              </w:rPr>
              <w:instrText xml:space="preserve"> PAGEREF _Toc213340405 \h </w:instrText>
            </w:r>
            <w:r w:rsidRPr="00883271">
              <w:rPr>
                <w:webHidden/>
              </w:rPr>
            </w:r>
            <w:r w:rsidRPr="00883271">
              <w:rPr>
                <w:webHidden/>
              </w:rPr>
              <w:fldChar w:fldCharType="separate"/>
            </w:r>
            <w:r w:rsidR="008F2BFB">
              <w:rPr>
                <w:webHidden/>
              </w:rPr>
              <w:t>51</w:t>
            </w:r>
            <w:r w:rsidRPr="00883271">
              <w:rPr>
                <w:webHidden/>
              </w:rPr>
              <w:fldChar w:fldCharType="end"/>
            </w:r>
          </w:hyperlink>
        </w:p>
        <w:p w14:paraId="11828613" w14:textId="762FB4F3" w:rsidR="00906497" w:rsidRPr="00883271" w:rsidRDefault="00906497">
          <w:pPr>
            <w:pStyle w:val="TOC1"/>
            <w:rPr>
              <w:rFonts w:asciiTheme="minorHAnsi" w:eastAsiaTheme="minorEastAsia" w:hAnsiTheme="minorHAnsi" w:cstheme="minorBidi"/>
              <w:b w:val="0"/>
              <w:color w:val="auto"/>
              <w:kern w:val="2"/>
              <w:sz w:val="24"/>
              <w:szCs w:val="24"/>
              <w14:ligatures w14:val="standardContextual"/>
            </w:rPr>
          </w:pPr>
          <w:hyperlink w:anchor="_Toc213340406" w:history="1">
            <w:r w:rsidRPr="00883271">
              <w:rPr>
                <w:rStyle w:val="Hyperlink"/>
              </w:rPr>
              <w:t>Chapter 6 – Scope of information</w:t>
            </w:r>
            <w:r w:rsidRPr="00883271">
              <w:rPr>
                <w:webHidden/>
              </w:rPr>
              <w:tab/>
            </w:r>
            <w:r w:rsidRPr="00883271">
              <w:rPr>
                <w:webHidden/>
              </w:rPr>
              <w:fldChar w:fldCharType="begin"/>
            </w:r>
            <w:r w:rsidRPr="00883271">
              <w:rPr>
                <w:webHidden/>
              </w:rPr>
              <w:instrText xml:space="preserve"> PAGEREF _Toc213340406 \h </w:instrText>
            </w:r>
            <w:r w:rsidRPr="00883271">
              <w:rPr>
                <w:webHidden/>
              </w:rPr>
            </w:r>
            <w:r w:rsidRPr="00883271">
              <w:rPr>
                <w:webHidden/>
              </w:rPr>
              <w:fldChar w:fldCharType="separate"/>
            </w:r>
            <w:r w:rsidR="008F2BFB">
              <w:rPr>
                <w:webHidden/>
              </w:rPr>
              <w:t>53</w:t>
            </w:r>
            <w:r w:rsidRPr="00883271">
              <w:rPr>
                <w:webHidden/>
              </w:rPr>
              <w:fldChar w:fldCharType="end"/>
            </w:r>
          </w:hyperlink>
        </w:p>
        <w:p w14:paraId="575E2F84" w14:textId="1F134E6F" w:rsidR="00906497" w:rsidRPr="00883271" w:rsidRDefault="00906497">
          <w:pPr>
            <w:pStyle w:val="TOC2"/>
            <w:rPr>
              <w:rFonts w:asciiTheme="minorHAnsi" w:eastAsiaTheme="minorEastAsia" w:hAnsiTheme="minorHAnsi" w:cstheme="minorBidi"/>
              <w:color w:val="auto"/>
              <w:kern w:val="2"/>
              <w:sz w:val="24"/>
              <w:szCs w:val="24"/>
              <w14:ligatures w14:val="standardContextual"/>
            </w:rPr>
          </w:pPr>
          <w:hyperlink w:anchor="_Toc213340407" w:history="1">
            <w:r w:rsidRPr="00883271">
              <w:rPr>
                <w:rStyle w:val="Hyperlink"/>
              </w:rPr>
              <w:t>Electronic logbooks</w:t>
            </w:r>
            <w:r w:rsidRPr="00883271">
              <w:rPr>
                <w:webHidden/>
              </w:rPr>
              <w:tab/>
            </w:r>
            <w:r w:rsidRPr="00883271">
              <w:rPr>
                <w:webHidden/>
              </w:rPr>
              <w:fldChar w:fldCharType="begin"/>
            </w:r>
            <w:r w:rsidRPr="00883271">
              <w:rPr>
                <w:webHidden/>
              </w:rPr>
              <w:instrText xml:space="preserve"> PAGEREF _Toc213340407 \h </w:instrText>
            </w:r>
            <w:r w:rsidRPr="00883271">
              <w:rPr>
                <w:webHidden/>
              </w:rPr>
            </w:r>
            <w:r w:rsidRPr="00883271">
              <w:rPr>
                <w:webHidden/>
              </w:rPr>
              <w:fldChar w:fldCharType="separate"/>
            </w:r>
            <w:r w:rsidR="008F2BFB">
              <w:rPr>
                <w:webHidden/>
              </w:rPr>
              <w:t>54</w:t>
            </w:r>
            <w:r w:rsidRPr="00883271">
              <w:rPr>
                <w:webHidden/>
              </w:rPr>
              <w:fldChar w:fldCharType="end"/>
            </w:r>
          </w:hyperlink>
        </w:p>
        <w:p w14:paraId="5351B6AA" w14:textId="297A3A46" w:rsidR="00906497" w:rsidRPr="00883271" w:rsidRDefault="00906497">
          <w:pPr>
            <w:pStyle w:val="TOC2"/>
            <w:rPr>
              <w:rFonts w:asciiTheme="minorHAnsi" w:eastAsiaTheme="minorEastAsia" w:hAnsiTheme="minorHAnsi" w:cstheme="minorBidi"/>
              <w:color w:val="auto"/>
              <w:kern w:val="2"/>
              <w:sz w:val="24"/>
              <w:szCs w:val="24"/>
              <w14:ligatures w14:val="standardContextual"/>
            </w:rPr>
          </w:pPr>
          <w:hyperlink w:anchor="_Toc213340408" w:history="1">
            <w:r w:rsidRPr="00883271">
              <w:rPr>
                <w:rStyle w:val="Hyperlink"/>
              </w:rPr>
              <w:t>Telematics</w:t>
            </w:r>
            <w:r w:rsidRPr="00883271">
              <w:rPr>
                <w:webHidden/>
              </w:rPr>
              <w:tab/>
            </w:r>
            <w:r w:rsidRPr="00883271">
              <w:rPr>
                <w:webHidden/>
              </w:rPr>
              <w:fldChar w:fldCharType="begin"/>
            </w:r>
            <w:r w:rsidRPr="00883271">
              <w:rPr>
                <w:webHidden/>
              </w:rPr>
              <w:instrText xml:space="preserve"> PAGEREF _Toc213340408 \h </w:instrText>
            </w:r>
            <w:r w:rsidRPr="00883271">
              <w:rPr>
                <w:webHidden/>
              </w:rPr>
            </w:r>
            <w:r w:rsidRPr="00883271">
              <w:rPr>
                <w:webHidden/>
              </w:rPr>
              <w:fldChar w:fldCharType="separate"/>
            </w:r>
            <w:r w:rsidR="008F2BFB">
              <w:rPr>
                <w:webHidden/>
              </w:rPr>
              <w:t>56</w:t>
            </w:r>
            <w:r w:rsidRPr="00883271">
              <w:rPr>
                <w:webHidden/>
              </w:rPr>
              <w:fldChar w:fldCharType="end"/>
            </w:r>
          </w:hyperlink>
        </w:p>
        <w:p w14:paraId="00D97E30" w14:textId="7B2BC5EB" w:rsidR="00906497" w:rsidRPr="00883271" w:rsidRDefault="00906497">
          <w:pPr>
            <w:pStyle w:val="TOC2"/>
            <w:rPr>
              <w:rFonts w:asciiTheme="minorHAnsi" w:eastAsiaTheme="minorEastAsia" w:hAnsiTheme="minorHAnsi" w:cstheme="minorBidi"/>
              <w:color w:val="auto"/>
              <w:kern w:val="2"/>
              <w:sz w:val="24"/>
              <w:szCs w:val="24"/>
              <w14:ligatures w14:val="standardContextual"/>
            </w:rPr>
          </w:pPr>
          <w:hyperlink w:anchor="_Toc213340409" w:history="1">
            <w:r w:rsidRPr="00883271">
              <w:rPr>
                <w:rStyle w:val="Hyperlink"/>
              </w:rPr>
              <w:t>Automated driving systems</w:t>
            </w:r>
            <w:r w:rsidRPr="00883271">
              <w:rPr>
                <w:webHidden/>
              </w:rPr>
              <w:tab/>
            </w:r>
            <w:r w:rsidRPr="00883271">
              <w:rPr>
                <w:webHidden/>
              </w:rPr>
              <w:fldChar w:fldCharType="begin"/>
            </w:r>
            <w:r w:rsidRPr="00883271">
              <w:rPr>
                <w:webHidden/>
              </w:rPr>
              <w:instrText xml:space="preserve"> PAGEREF _Toc213340409 \h </w:instrText>
            </w:r>
            <w:r w:rsidRPr="00883271">
              <w:rPr>
                <w:webHidden/>
              </w:rPr>
            </w:r>
            <w:r w:rsidRPr="00883271">
              <w:rPr>
                <w:webHidden/>
              </w:rPr>
              <w:fldChar w:fldCharType="separate"/>
            </w:r>
            <w:r w:rsidR="008F2BFB">
              <w:rPr>
                <w:webHidden/>
              </w:rPr>
              <w:t>59</w:t>
            </w:r>
            <w:r w:rsidRPr="00883271">
              <w:rPr>
                <w:webHidden/>
              </w:rPr>
              <w:fldChar w:fldCharType="end"/>
            </w:r>
          </w:hyperlink>
        </w:p>
        <w:p w14:paraId="32CAB687" w14:textId="250F9C2F" w:rsidR="00906497" w:rsidRPr="00883271" w:rsidRDefault="00906497">
          <w:pPr>
            <w:pStyle w:val="TOC2"/>
            <w:rPr>
              <w:rFonts w:asciiTheme="minorHAnsi" w:eastAsiaTheme="minorEastAsia" w:hAnsiTheme="minorHAnsi" w:cstheme="minorBidi"/>
              <w:color w:val="auto"/>
              <w:kern w:val="2"/>
              <w:sz w:val="24"/>
              <w:szCs w:val="24"/>
              <w14:ligatures w14:val="standardContextual"/>
            </w:rPr>
          </w:pPr>
          <w:hyperlink w:anchor="_Toc213340410" w:history="1">
            <w:r w:rsidRPr="00883271">
              <w:rPr>
                <w:rStyle w:val="Hyperlink"/>
              </w:rPr>
              <w:t>Parts</w:t>
            </w:r>
            <w:r w:rsidRPr="00883271">
              <w:rPr>
                <w:webHidden/>
              </w:rPr>
              <w:tab/>
            </w:r>
            <w:r w:rsidRPr="00883271">
              <w:rPr>
                <w:webHidden/>
              </w:rPr>
              <w:fldChar w:fldCharType="begin"/>
            </w:r>
            <w:r w:rsidRPr="00883271">
              <w:rPr>
                <w:webHidden/>
              </w:rPr>
              <w:instrText xml:space="preserve"> PAGEREF _Toc213340410 \h </w:instrText>
            </w:r>
            <w:r w:rsidRPr="00883271">
              <w:rPr>
                <w:webHidden/>
              </w:rPr>
            </w:r>
            <w:r w:rsidRPr="00883271">
              <w:rPr>
                <w:webHidden/>
              </w:rPr>
              <w:fldChar w:fldCharType="separate"/>
            </w:r>
            <w:r w:rsidR="008F2BFB">
              <w:rPr>
                <w:webHidden/>
              </w:rPr>
              <w:t>61</w:t>
            </w:r>
            <w:r w:rsidRPr="00883271">
              <w:rPr>
                <w:webHidden/>
              </w:rPr>
              <w:fldChar w:fldCharType="end"/>
            </w:r>
          </w:hyperlink>
        </w:p>
        <w:p w14:paraId="25C930A3" w14:textId="63DE0A29" w:rsidR="00906497" w:rsidRPr="00883271" w:rsidRDefault="00906497">
          <w:pPr>
            <w:pStyle w:val="TOC1"/>
            <w:rPr>
              <w:rFonts w:asciiTheme="minorHAnsi" w:eastAsiaTheme="minorEastAsia" w:hAnsiTheme="minorHAnsi" w:cstheme="minorBidi"/>
              <w:b w:val="0"/>
              <w:color w:val="auto"/>
              <w:kern w:val="2"/>
              <w:sz w:val="24"/>
              <w:szCs w:val="24"/>
              <w14:ligatures w14:val="standardContextual"/>
            </w:rPr>
          </w:pPr>
          <w:hyperlink w:anchor="_Toc213340411" w:history="1">
            <w:r w:rsidRPr="00883271">
              <w:rPr>
                <w:rStyle w:val="Hyperlink"/>
              </w:rPr>
              <w:t>Chapter 7 – Governance and enforcement</w:t>
            </w:r>
            <w:r w:rsidRPr="00883271">
              <w:rPr>
                <w:webHidden/>
              </w:rPr>
              <w:tab/>
            </w:r>
            <w:r w:rsidRPr="00883271">
              <w:rPr>
                <w:webHidden/>
              </w:rPr>
              <w:fldChar w:fldCharType="begin"/>
            </w:r>
            <w:r w:rsidRPr="00883271">
              <w:rPr>
                <w:webHidden/>
              </w:rPr>
              <w:instrText xml:space="preserve"> PAGEREF _Toc213340411 \h </w:instrText>
            </w:r>
            <w:r w:rsidRPr="00883271">
              <w:rPr>
                <w:webHidden/>
              </w:rPr>
            </w:r>
            <w:r w:rsidRPr="00883271">
              <w:rPr>
                <w:webHidden/>
              </w:rPr>
              <w:fldChar w:fldCharType="separate"/>
            </w:r>
            <w:r w:rsidR="008F2BFB">
              <w:rPr>
                <w:webHidden/>
              </w:rPr>
              <w:t>63</w:t>
            </w:r>
            <w:r w:rsidRPr="00883271">
              <w:rPr>
                <w:webHidden/>
              </w:rPr>
              <w:fldChar w:fldCharType="end"/>
            </w:r>
          </w:hyperlink>
        </w:p>
        <w:p w14:paraId="325BA928" w14:textId="0FE57930" w:rsidR="00906497" w:rsidRPr="00883271" w:rsidRDefault="00906497">
          <w:pPr>
            <w:pStyle w:val="TOC2"/>
            <w:rPr>
              <w:rFonts w:asciiTheme="minorHAnsi" w:eastAsiaTheme="minorEastAsia" w:hAnsiTheme="minorHAnsi" w:cstheme="minorBidi"/>
              <w:color w:val="auto"/>
              <w:kern w:val="2"/>
              <w:sz w:val="24"/>
              <w:szCs w:val="24"/>
              <w14:ligatures w14:val="standardContextual"/>
            </w:rPr>
          </w:pPr>
          <w:hyperlink w:anchor="_Toc213340412" w:history="1">
            <w:r w:rsidRPr="00883271">
              <w:rPr>
                <w:rStyle w:val="Hyperlink"/>
              </w:rPr>
              <w:t>Role of the Scheme Adviser</w:t>
            </w:r>
            <w:r w:rsidRPr="00883271">
              <w:rPr>
                <w:webHidden/>
              </w:rPr>
              <w:tab/>
            </w:r>
            <w:r w:rsidRPr="00883271">
              <w:rPr>
                <w:webHidden/>
              </w:rPr>
              <w:fldChar w:fldCharType="begin"/>
            </w:r>
            <w:r w:rsidRPr="00883271">
              <w:rPr>
                <w:webHidden/>
              </w:rPr>
              <w:instrText xml:space="preserve"> PAGEREF _Toc213340412 \h </w:instrText>
            </w:r>
            <w:r w:rsidRPr="00883271">
              <w:rPr>
                <w:webHidden/>
              </w:rPr>
            </w:r>
            <w:r w:rsidRPr="00883271">
              <w:rPr>
                <w:webHidden/>
              </w:rPr>
              <w:fldChar w:fldCharType="separate"/>
            </w:r>
            <w:r w:rsidR="008F2BFB">
              <w:rPr>
                <w:webHidden/>
              </w:rPr>
              <w:t>63</w:t>
            </w:r>
            <w:r w:rsidRPr="00883271">
              <w:rPr>
                <w:webHidden/>
              </w:rPr>
              <w:fldChar w:fldCharType="end"/>
            </w:r>
          </w:hyperlink>
        </w:p>
        <w:p w14:paraId="01752DC0" w14:textId="11D6D6C7" w:rsidR="00906497" w:rsidRPr="00883271" w:rsidRDefault="00906497">
          <w:pPr>
            <w:pStyle w:val="TOC2"/>
            <w:rPr>
              <w:rFonts w:asciiTheme="minorHAnsi" w:eastAsiaTheme="minorEastAsia" w:hAnsiTheme="minorHAnsi" w:cstheme="minorBidi"/>
              <w:color w:val="auto"/>
              <w:kern w:val="2"/>
              <w:sz w:val="24"/>
              <w:szCs w:val="24"/>
              <w14:ligatures w14:val="standardContextual"/>
            </w:rPr>
          </w:pPr>
          <w:hyperlink w:anchor="_Toc213340413" w:history="1">
            <w:r w:rsidRPr="00883271">
              <w:rPr>
                <w:rStyle w:val="Hyperlink"/>
              </w:rPr>
              <w:t>Enforcement</w:t>
            </w:r>
            <w:r w:rsidRPr="00883271">
              <w:rPr>
                <w:webHidden/>
              </w:rPr>
              <w:tab/>
            </w:r>
            <w:r w:rsidRPr="00883271">
              <w:rPr>
                <w:webHidden/>
              </w:rPr>
              <w:fldChar w:fldCharType="begin"/>
            </w:r>
            <w:r w:rsidRPr="00883271">
              <w:rPr>
                <w:webHidden/>
              </w:rPr>
              <w:instrText xml:space="preserve"> PAGEREF _Toc213340413 \h </w:instrText>
            </w:r>
            <w:r w:rsidRPr="00883271">
              <w:rPr>
                <w:webHidden/>
              </w:rPr>
            </w:r>
            <w:r w:rsidRPr="00883271">
              <w:rPr>
                <w:webHidden/>
              </w:rPr>
              <w:fldChar w:fldCharType="separate"/>
            </w:r>
            <w:r w:rsidR="008F2BFB">
              <w:rPr>
                <w:webHidden/>
              </w:rPr>
              <w:t>67</w:t>
            </w:r>
            <w:r w:rsidRPr="00883271">
              <w:rPr>
                <w:webHidden/>
              </w:rPr>
              <w:fldChar w:fldCharType="end"/>
            </w:r>
          </w:hyperlink>
        </w:p>
        <w:p w14:paraId="0768E227" w14:textId="12655E77" w:rsidR="00906497" w:rsidRPr="00883271" w:rsidRDefault="00906497">
          <w:pPr>
            <w:pStyle w:val="TOC1"/>
            <w:rPr>
              <w:rFonts w:asciiTheme="minorHAnsi" w:eastAsiaTheme="minorEastAsia" w:hAnsiTheme="minorHAnsi" w:cstheme="minorBidi"/>
              <w:b w:val="0"/>
              <w:color w:val="auto"/>
              <w:kern w:val="2"/>
              <w:sz w:val="24"/>
              <w:szCs w:val="24"/>
              <w14:ligatures w14:val="standardContextual"/>
            </w:rPr>
          </w:pPr>
          <w:hyperlink w:anchor="_Toc213340414" w:history="1">
            <w:r w:rsidRPr="00883271">
              <w:rPr>
                <w:rStyle w:val="Hyperlink"/>
              </w:rPr>
              <w:t>Chapter 8 – Conclusion</w:t>
            </w:r>
            <w:r w:rsidRPr="00883271">
              <w:rPr>
                <w:webHidden/>
              </w:rPr>
              <w:tab/>
            </w:r>
            <w:r w:rsidRPr="00883271">
              <w:rPr>
                <w:webHidden/>
              </w:rPr>
              <w:fldChar w:fldCharType="begin"/>
            </w:r>
            <w:r w:rsidRPr="00883271">
              <w:rPr>
                <w:webHidden/>
              </w:rPr>
              <w:instrText xml:space="preserve"> PAGEREF _Toc213340414 \h </w:instrText>
            </w:r>
            <w:r w:rsidRPr="00883271">
              <w:rPr>
                <w:webHidden/>
              </w:rPr>
            </w:r>
            <w:r w:rsidRPr="00883271">
              <w:rPr>
                <w:webHidden/>
              </w:rPr>
              <w:fldChar w:fldCharType="separate"/>
            </w:r>
            <w:r w:rsidR="008F2BFB">
              <w:rPr>
                <w:webHidden/>
              </w:rPr>
              <w:t>76</w:t>
            </w:r>
            <w:r w:rsidRPr="00883271">
              <w:rPr>
                <w:webHidden/>
              </w:rPr>
              <w:fldChar w:fldCharType="end"/>
            </w:r>
          </w:hyperlink>
        </w:p>
        <w:p w14:paraId="5DB8A143" w14:textId="66BFAF2F" w:rsidR="00906497" w:rsidRPr="00883271" w:rsidRDefault="00906497">
          <w:pPr>
            <w:pStyle w:val="TOC1"/>
            <w:rPr>
              <w:rFonts w:asciiTheme="minorHAnsi" w:eastAsiaTheme="minorEastAsia" w:hAnsiTheme="minorHAnsi" w:cstheme="minorBidi"/>
              <w:b w:val="0"/>
              <w:color w:val="auto"/>
              <w:kern w:val="2"/>
              <w:sz w:val="24"/>
              <w:szCs w:val="24"/>
              <w14:ligatures w14:val="standardContextual"/>
            </w:rPr>
          </w:pPr>
          <w:hyperlink w:anchor="_Toc213340415" w:history="1">
            <w:r w:rsidRPr="00883271">
              <w:rPr>
                <w:rStyle w:val="Hyperlink"/>
              </w:rPr>
              <w:t>Key terminology</w:t>
            </w:r>
            <w:r w:rsidRPr="00883271">
              <w:rPr>
                <w:webHidden/>
              </w:rPr>
              <w:tab/>
            </w:r>
            <w:r w:rsidRPr="00883271">
              <w:rPr>
                <w:webHidden/>
              </w:rPr>
              <w:fldChar w:fldCharType="begin"/>
            </w:r>
            <w:r w:rsidRPr="00883271">
              <w:rPr>
                <w:webHidden/>
              </w:rPr>
              <w:instrText xml:space="preserve"> PAGEREF _Toc213340415 \h </w:instrText>
            </w:r>
            <w:r w:rsidRPr="00883271">
              <w:rPr>
                <w:webHidden/>
              </w:rPr>
            </w:r>
            <w:r w:rsidRPr="00883271">
              <w:rPr>
                <w:webHidden/>
              </w:rPr>
              <w:fldChar w:fldCharType="separate"/>
            </w:r>
            <w:r w:rsidR="008F2BFB">
              <w:rPr>
                <w:webHidden/>
              </w:rPr>
              <w:t>78</w:t>
            </w:r>
            <w:r w:rsidRPr="00883271">
              <w:rPr>
                <w:webHidden/>
              </w:rPr>
              <w:fldChar w:fldCharType="end"/>
            </w:r>
          </w:hyperlink>
        </w:p>
        <w:p w14:paraId="0F0F5FAF" w14:textId="297340F9" w:rsidR="00906497" w:rsidRPr="00883271" w:rsidRDefault="00906497">
          <w:pPr>
            <w:pStyle w:val="TOC1"/>
            <w:rPr>
              <w:rFonts w:asciiTheme="minorHAnsi" w:eastAsiaTheme="minorEastAsia" w:hAnsiTheme="minorHAnsi" w:cstheme="minorBidi"/>
              <w:b w:val="0"/>
              <w:color w:val="auto"/>
              <w:kern w:val="2"/>
              <w:sz w:val="24"/>
              <w:szCs w:val="24"/>
              <w14:ligatures w14:val="standardContextual"/>
            </w:rPr>
          </w:pPr>
          <w:hyperlink w:anchor="_Toc213340416" w:history="1">
            <w:r w:rsidRPr="00883271">
              <w:rPr>
                <w:rStyle w:val="Hyperlink"/>
              </w:rPr>
              <w:t>Appendix A – Survey results</w:t>
            </w:r>
            <w:r w:rsidRPr="00883271">
              <w:rPr>
                <w:webHidden/>
              </w:rPr>
              <w:tab/>
            </w:r>
            <w:r w:rsidRPr="00883271">
              <w:rPr>
                <w:webHidden/>
              </w:rPr>
              <w:fldChar w:fldCharType="begin"/>
            </w:r>
            <w:r w:rsidRPr="00883271">
              <w:rPr>
                <w:webHidden/>
              </w:rPr>
              <w:instrText xml:space="preserve"> PAGEREF _Toc213340416 \h </w:instrText>
            </w:r>
            <w:r w:rsidRPr="00883271">
              <w:rPr>
                <w:webHidden/>
              </w:rPr>
            </w:r>
            <w:r w:rsidRPr="00883271">
              <w:rPr>
                <w:webHidden/>
              </w:rPr>
              <w:fldChar w:fldCharType="separate"/>
            </w:r>
            <w:r w:rsidR="008F2BFB">
              <w:rPr>
                <w:webHidden/>
              </w:rPr>
              <w:t>79</w:t>
            </w:r>
            <w:r w:rsidRPr="00883271">
              <w:rPr>
                <w:webHidden/>
              </w:rPr>
              <w:fldChar w:fldCharType="end"/>
            </w:r>
          </w:hyperlink>
        </w:p>
        <w:p w14:paraId="5BD675F8" w14:textId="4B59F02F" w:rsidR="00906497" w:rsidRPr="00883271" w:rsidRDefault="00906497">
          <w:pPr>
            <w:pStyle w:val="TOC1"/>
            <w:rPr>
              <w:rFonts w:asciiTheme="minorHAnsi" w:eastAsiaTheme="minorEastAsia" w:hAnsiTheme="minorHAnsi" w:cstheme="minorBidi"/>
              <w:b w:val="0"/>
              <w:color w:val="auto"/>
              <w:kern w:val="2"/>
              <w:sz w:val="24"/>
              <w:szCs w:val="24"/>
              <w14:ligatures w14:val="standardContextual"/>
            </w:rPr>
          </w:pPr>
          <w:hyperlink w:anchor="_Toc213340417" w:history="1">
            <w:r w:rsidRPr="00883271">
              <w:rPr>
                <w:rStyle w:val="Hyperlink"/>
              </w:rPr>
              <w:t>Appendix B – International frameworks</w:t>
            </w:r>
            <w:r w:rsidRPr="00883271">
              <w:rPr>
                <w:webHidden/>
              </w:rPr>
              <w:tab/>
            </w:r>
            <w:r w:rsidRPr="00883271">
              <w:rPr>
                <w:webHidden/>
              </w:rPr>
              <w:fldChar w:fldCharType="begin"/>
            </w:r>
            <w:r w:rsidRPr="00883271">
              <w:rPr>
                <w:webHidden/>
              </w:rPr>
              <w:instrText xml:space="preserve"> PAGEREF _Toc213340417 \h </w:instrText>
            </w:r>
            <w:r w:rsidRPr="00883271">
              <w:rPr>
                <w:webHidden/>
              </w:rPr>
            </w:r>
            <w:r w:rsidRPr="00883271">
              <w:rPr>
                <w:webHidden/>
              </w:rPr>
              <w:fldChar w:fldCharType="separate"/>
            </w:r>
            <w:r w:rsidR="008F2BFB">
              <w:rPr>
                <w:webHidden/>
              </w:rPr>
              <w:t>86</w:t>
            </w:r>
            <w:r w:rsidRPr="00883271">
              <w:rPr>
                <w:webHidden/>
              </w:rPr>
              <w:fldChar w:fldCharType="end"/>
            </w:r>
          </w:hyperlink>
        </w:p>
        <w:p w14:paraId="242B53E0" w14:textId="0684D5DF" w:rsidR="00906497" w:rsidRPr="00883271" w:rsidRDefault="00906497">
          <w:pPr>
            <w:pStyle w:val="TOC1"/>
            <w:rPr>
              <w:rFonts w:asciiTheme="minorHAnsi" w:eastAsiaTheme="minorEastAsia" w:hAnsiTheme="minorHAnsi" w:cstheme="minorBidi"/>
              <w:b w:val="0"/>
              <w:color w:val="auto"/>
              <w:kern w:val="2"/>
              <w:sz w:val="24"/>
              <w:szCs w:val="24"/>
              <w14:ligatures w14:val="standardContextual"/>
            </w:rPr>
          </w:pPr>
          <w:hyperlink w:anchor="_Toc213340420" w:history="1">
            <w:r w:rsidRPr="00883271">
              <w:rPr>
                <w:rStyle w:val="Hyperlink"/>
              </w:rPr>
              <w:t>Appendix C – Analysis methodology</w:t>
            </w:r>
            <w:r w:rsidRPr="00883271">
              <w:rPr>
                <w:webHidden/>
              </w:rPr>
              <w:tab/>
            </w:r>
            <w:r w:rsidRPr="00883271">
              <w:rPr>
                <w:webHidden/>
              </w:rPr>
              <w:fldChar w:fldCharType="begin"/>
            </w:r>
            <w:r w:rsidRPr="00883271">
              <w:rPr>
                <w:webHidden/>
              </w:rPr>
              <w:instrText xml:space="preserve"> PAGEREF _Toc213340420 \h </w:instrText>
            </w:r>
            <w:r w:rsidRPr="00883271">
              <w:rPr>
                <w:webHidden/>
              </w:rPr>
            </w:r>
            <w:r w:rsidRPr="00883271">
              <w:rPr>
                <w:webHidden/>
              </w:rPr>
              <w:fldChar w:fldCharType="separate"/>
            </w:r>
            <w:r w:rsidR="008F2BFB">
              <w:rPr>
                <w:webHidden/>
              </w:rPr>
              <w:t>90</w:t>
            </w:r>
            <w:r w:rsidRPr="00883271">
              <w:rPr>
                <w:webHidden/>
              </w:rPr>
              <w:fldChar w:fldCharType="end"/>
            </w:r>
          </w:hyperlink>
        </w:p>
        <w:p w14:paraId="0608176E" w14:textId="7499CC42" w:rsidR="00C1275C" w:rsidRPr="003E2249" w:rsidRDefault="003B4BD7" w:rsidP="003E2249">
          <w:r w:rsidRPr="00883271">
            <w:fldChar w:fldCharType="end"/>
          </w:r>
        </w:p>
        <w:bookmarkStart w:id="3" w:name="_Toc452635030" w:displacedByCustomXml="next"/>
        <w:bookmarkStart w:id="4" w:name="_Toc432067103" w:displacedByCustomXml="next"/>
      </w:sdtContent>
    </w:sdt>
    <w:p w14:paraId="57D7926B" w14:textId="5D15A394" w:rsidR="003B4BD7" w:rsidRPr="00883271" w:rsidRDefault="003B4BD7" w:rsidP="003B4BD7">
      <w:pPr>
        <w:tabs>
          <w:tab w:val="left" w:pos="2177"/>
        </w:tabs>
      </w:pPr>
    </w:p>
    <w:p w14:paraId="5975783F" w14:textId="39CCFCE5" w:rsidR="00B775EE" w:rsidRPr="00883271" w:rsidRDefault="00B775EE" w:rsidP="003B4BD7">
      <w:pPr>
        <w:tabs>
          <w:tab w:val="left" w:pos="2177"/>
        </w:tabs>
        <w:sectPr w:rsidR="00B775EE" w:rsidRPr="00883271" w:rsidSect="00BC1074">
          <w:footerReference w:type="default" r:id="rId17"/>
          <w:pgSz w:w="11906" w:h="16838" w:code="9"/>
          <w:pgMar w:top="1843" w:right="1418" w:bottom="1418" w:left="1418" w:header="709" w:footer="709" w:gutter="0"/>
          <w:pgNumType w:fmt="lowerRoman" w:start="3"/>
          <w:cols w:space="708"/>
          <w:docGrid w:linePitch="360"/>
        </w:sectPr>
      </w:pPr>
    </w:p>
    <w:p w14:paraId="12A94C8C" w14:textId="4A48ECC2" w:rsidR="006C5B73" w:rsidRPr="00883271" w:rsidRDefault="006B4F77" w:rsidP="00851F7E">
      <w:pPr>
        <w:pStyle w:val="Heading1"/>
        <w:spacing w:before="0"/>
      </w:pPr>
      <w:bookmarkStart w:id="5" w:name="_Toc432067104"/>
      <w:bookmarkStart w:id="6" w:name="_Toc452635031"/>
      <w:bookmarkStart w:id="7" w:name="_Toc204692970"/>
      <w:bookmarkStart w:id="8" w:name="_Toc211963298"/>
      <w:bookmarkStart w:id="9" w:name="_Toc213340389"/>
      <w:bookmarkEnd w:id="4"/>
      <w:bookmarkEnd w:id="3"/>
      <w:r w:rsidRPr="00883271">
        <w:lastRenderedPageBreak/>
        <w:t xml:space="preserve">Executive </w:t>
      </w:r>
      <w:r w:rsidR="006C5B73" w:rsidRPr="00851F7E">
        <w:t>Summary</w:t>
      </w:r>
      <w:bookmarkEnd w:id="5"/>
      <w:bookmarkEnd w:id="6"/>
      <w:bookmarkEnd w:id="7"/>
      <w:bookmarkEnd w:id="8"/>
      <w:bookmarkEnd w:id="9"/>
    </w:p>
    <w:p w14:paraId="11E11221" w14:textId="40A86646" w:rsidR="0048052A" w:rsidRPr="00883271" w:rsidRDefault="009A2439" w:rsidP="00502AFC">
      <w:pPr>
        <w:rPr>
          <w:sz w:val="21"/>
          <w:szCs w:val="21"/>
        </w:rPr>
      </w:pPr>
      <w:r w:rsidRPr="00883271">
        <w:rPr>
          <w:sz w:val="21"/>
          <w:szCs w:val="21"/>
        </w:rPr>
        <w:t>The Motor Vehicle Service and Repair Information Sharing Scheme (the scheme)</w:t>
      </w:r>
      <w:r w:rsidR="00ED7E91" w:rsidRPr="00883271">
        <w:rPr>
          <w:sz w:val="21"/>
          <w:szCs w:val="21"/>
        </w:rPr>
        <w:t xml:space="preserve"> commenced</w:t>
      </w:r>
      <w:r w:rsidRPr="00883271">
        <w:rPr>
          <w:sz w:val="21"/>
          <w:szCs w:val="21"/>
        </w:rPr>
        <w:t xml:space="preserve"> on 1</w:t>
      </w:r>
      <w:r w:rsidR="00D523DF">
        <w:rPr>
          <w:sz w:val="21"/>
          <w:szCs w:val="21"/>
        </w:rPr>
        <w:t> </w:t>
      </w:r>
      <w:r w:rsidRPr="00883271">
        <w:rPr>
          <w:sz w:val="21"/>
          <w:szCs w:val="21"/>
        </w:rPr>
        <w:t>July</w:t>
      </w:r>
      <w:r w:rsidR="00D523DF">
        <w:rPr>
          <w:sz w:val="21"/>
          <w:szCs w:val="21"/>
        </w:rPr>
        <w:t> </w:t>
      </w:r>
      <w:r w:rsidRPr="00883271">
        <w:rPr>
          <w:sz w:val="21"/>
          <w:szCs w:val="21"/>
        </w:rPr>
        <w:t>2022</w:t>
      </w:r>
      <w:r w:rsidR="00ED7E91" w:rsidRPr="00883271">
        <w:rPr>
          <w:sz w:val="21"/>
          <w:szCs w:val="21"/>
        </w:rPr>
        <w:t xml:space="preserve"> and</w:t>
      </w:r>
      <w:r w:rsidRPr="00883271">
        <w:rPr>
          <w:sz w:val="21"/>
          <w:szCs w:val="21"/>
        </w:rPr>
        <w:t xml:space="preserve"> </w:t>
      </w:r>
      <w:r w:rsidR="0005131A" w:rsidRPr="00883271">
        <w:rPr>
          <w:sz w:val="21"/>
          <w:szCs w:val="21"/>
        </w:rPr>
        <w:t>is</w:t>
      </w:r>
      <w:r w:rsidRPr="00883271">
        <w:rPr>
          <w:sz w:val="21"/>
          <w:szCs w:val="21"/>
        </w:rPr>
        <w:t xml:space="preserve"> Australia</w:t>
      </w:r>
      <w:r w:rsidR="00BF0433">
        <w:rPr>
          <w:sz w:val="21"/>
          <w:szCs w:val="21"/>
        </w:rPr>
        <w:t>’</w:t>
      </w:r>
      <w:r w:rsidRPr="00883271">
        <w:rPr>
          <w:sz w:val="21"/>
          <w:szCs w:val="21"/>
        </w:rPr>
        <w:t xml:space="preserve">s first </w:t>
      </w:r>
      <w:r w:rsidR="00BF0433">
        <w:rPr>
          <w:sz w:val="21"/>
          <w:szCs w:val="21"/>
        </w:rPr>
        <w:t>‘</w:t>
      </w:r>
      <w:r w:rsidRPr="00883271">
        <w:rPr>
          <w:sz w:val="21"/>
          <w:szCs w:val="21"/>
        </w:rPr>
        <w:t>right to repair</w:t>
      </w:r>
      <w:r w:rsidR="00BF0433">
        <w:rPr>
          <w:sz w:val="21"/>
          <w:szCs w:val="21"/>
        </w:rPr>
        <w:t>’</w:t>
      </w:r>
      <w:r w:rsidRPr="00883271">
        <w:rPr>
          <w:sz w:val="21"/>
          <w:szCs w:val="21"/>
        </w:rPr>
        <w:t xml:space="preserve"> law.</w:t>
      </w:r>
      <w:r w:rsidR="00FC3BA5" w:rsidRPr="00883271">
        <w:rPr>
          <w:sz w:val="21"/>
          <w:szCs w:val="21"/>
        </w:rPr>
        <w:t xml:space="preserve"> </w:t>
      </w:r>
      <w:r w:rsidR="0048052A" w:rsidRPr="00883271">
        <w:rPr>
          <w:sz w:val="21"/>
          <w:szCs w:val="21"/>
        </w:rPr>
        <w:t>It is</w:t>
      </w:r>
      <w:r w:rsidR="00FC3BA5" w:rsidRPr="00883271">
        <w:rPr>
          <w:sz w:val="21"/>
          <w:szCs w:val="21"/>
        </w:rPr>
        <w:t xml:space="preserve"> contained in Part IVE of the </w:t>
      </w:r>
      <w:r w:rsidR="00FC3BA5" w:rsidRPr="00883271">
        <w:rPr>
          <w:i/>
          <w:sz w:val="21"/>
          <w:szCs w:val="21"/>
        </w:rPr>
        <w:t>Competition and Consumer Act 2010</w:t>
      </w:r>
      <w:r w:rsidR="00FC3BA5" w:rsidRPr="00883271">
        <w:rPr>
          <w:sz w:val="21"/>
          <w:szCs w:val="21"/>
        </w:rPr>
        <w:t xml:space="preserve"> (Cth)</w:t>
      </w:r>
      <w:r w:rsidR="0048052A" w:rsidRPr="00883271">
        <w:rPr>
          <w:sz w:val="21"/>
          <w:szCs w:val="21"/>
        </w:rPr>
        <w:t xml:space="preserve"> and</w:t>
      </w:r>
      <w:r w:rsidR="00FC3BA5" w:rsidRPr="00883271">
        <w:rPr>
          <w:sz w:val="21"/>
          <w:szCs w:val="21"/>
        </w:rPr>
        <w:t xml:space="preserve"> </w:t>
      </w:r>
      <w:r w:rsidR="00564C1C" w:rsidRPr="00883271">
        <w:rPr>
          <w:sz w:val="21"/>
          <w:szCs w:val="21"/>
        </w:rPr>
        <w:t>has the primary objective</w:t>
      </w:r>
      <w:r w:rsidR="00956D26" w:rsidRPr="00883271">
        <w:rPr>
          <w:sz w:val="21"/>
          <w:szCs w:val="21"/>
        </w:rPr>
        <w:t xml:space="preserve"> </w:t>
      </w:r>
      <w:r w:rsidR="00564C1C" w:rsidRPr="00883271">
        <w:rPr>
          <w:sz w:val="21"/>
          <w:szCs w:val="21"/>
        </w:rPr>
        <w:t>of</w:t>
      </w:r>
      <w:r w:rsidR="00FC3BA5" w:rsidRPr="00883271">
        <w:rPr>
          <w:sz w:val="21"/>
          <w:szCs w:val="21"/>
        </w:rPr>
        <w:t xml:space="preserve"> </w:t>
      </w:r>
      <w:r w:rsidR="00393BF1" w:rsidRPr="00883271">
        <w:rPr>
          <w:sz w:val="21"/>
          <w:szCs w:val="21"/>
        </w:rPr>
        <w:t>promot</w:t>
      </w:r>
      <w:r w:rsidR="00564C1C" w:rsidRPr="00883271">
        <w:rPr>
          <w:sz w:val="21"/>
          <w:szCs w:val="21"/>
        </w:rPr>
        <w:t>ing</w:t>
      </w:r>
      <w:r w:rsidR="00393BF1" w:rsidRPr="00883271">
        <w:rPr>
          <w:sz w:val="21"/>
          <w:szCs w:val="21"/>
        </w:rPr>
        <w:t xml:space="preserve"> </w:t>
      </w:r>
      <w:r w:rsidR="00FC3BA5" w:rsidRPr="00883271">
        <w:rPr>
          <w:sz w:val="21"/>
          <w:szCs w:val="21"/>
        </w:rPr>
        <w:t xml:space="preserve">competition in the </w:t>
      </w:r>
      <w:r w:rsidR="00564C1C" w:rsidRPr="00883271">
        <w:rPr>
          <w:sz w:val="21"/>
          <w:szCs w:val="21"/>
        </w:rPr>
        <w:t xml:space="preserve">Australian </w:t>
      </w:r>
      <w:r w:rsidR="00FC3BA5" w:rsidRPr="00883271">
        <w:rPr>
          <w:sz w:val="21"/>
          <w:szCs w:val="21"/>
        </w:rPr>
        <w:t>market for motor vehicle service and repair.</w:t>
      </w:r>
      <w:r w:rsidR="009B68D2" w:rsidRPr="00883271">
        <w:rPr>
          <w:sz w:val="21"/>
          <w:szCs w:val="21"/>
        </w:rPr>
        <w:t xml:space="preserve"> </w:t>
      </w:r>
    </w:p>
    <w:p w14:paraId="1281D8AC" w14:textId="6FB6C7EF" w:rsidR="00551351" w:rsidRPr="00883271" w:rsidRDefault="0048052A" w:rsidP="009A2439">
      <w:pPr>
        <w:rPr>
          <w:sz w:val="21"/>
          <w:szCs w:val="21"/>
        </w:rPr>
      </w:pPr>
      <w:r w:rsidRPr="00883271">
        <w:rPr>
          <w:sz w:val="21"/>
          <w:szCs w:val="21"/>
        </w:rPr>
        <w:t xml:space="preserve">The scheme </w:t>
      </w:r>
      <w:r w:rsidR="00502AFC" w:rsidRPr="00883271">
        <w:rPr>
          <w:sz w:val="21"/>
          <w:szCs w:val="21"/>
        </w:rPr>
        <w:t xml:space="preserve">achieves </w:t>
      </w:r>
      <w:r w:rsidR="006D46FB" w:rsidRPr="00883271">
        <w:rPr>
          <w:sz w:val="21"/>
          <w:szCs w:val="21"/>
        </w:rPr>
        <w:t>this objective</w:t>
      </w:r>
      <w:r w:rsidR="00C759C8" w:rsidRPr="00883271">
        <w:rPr>
          <w:sz w:val="21"/>
          <w:szCs w:val="21"/>
        </w:rPr>
        <w:t xml:space="preserve"> </w:t>
      </w:r>
      <w:r w:rsidR="001C7582" w:rsidRPr="00883271">
        <w:rPr>
          <w:sz w:val="21"/>
          <w:szCs w:val="21"/>
        </w:rPr>
        <w:t>by</w:t>
      </w:r>
      <w:r w:rsidR="00FC3BA5" w:rsidRPr="00883271">
        <w:rPr>
          <w:sz w:val="21"/>
          <w:szCs w:val="21"/>
        </w:rPr>
        <w:t xml:space="preserve"> </w:t>
      </w:r>
      <w:r w:rsidR="00444E07" w:rsidRPr="00883271">
        <w:rPr>
          <w:sz w:val="21"/>
          <w:szCs w:val="21"/>
        </w:rPr>
        <w:t>requiring manufacturers</w:t>
      </w:r>
      <w:r w:rsidR="00BF0433">
        <w:rPr>
          <w:sz w:val="21"/>
          <w:szCs w:val="21"/>
        </w:rPr>
        <w:t>’</w:t>
      </w:r>
      <w:r w:rsidR="00FC3BA5" w:rsidRPr="00883271">
        <w:rPr>
          <w:sz w:val="21"/>
          <w:szCs w:val="21"/>
        </w:rPr>
        <w:t xml:space="preserve"> service and repair information </w:t>
      </w:r>
      <w:r w:rsidR="005C5B24" w:rsidRPr="00883271">
        <w:rPr>
          <w:sz w:val="21"/>
          <w:szCs w:val="21"/>
        </w:rPr>
        <w:t xml:space="preserve">to </w:t>
      </w:r>
      <w:r w:rsidR="00FC3BA5" w:rsidRPr="00883271">
        <w:rPr>
          <w:sz w:val="21"/>
          <w:szCs w:val="21"/>
        </w:rPr>
        <w:t xml:space="preserve">be made available to independent repairers </w:t>
      </w:r>
      <w:r w:rsidR="00A37333" w:rsidRPr="00883271">
        <w:rPr>
          <w:sz w:val="21"/>
          <w:szCs w:val="21"/>
        </w:rPr>
        <w:t>(</w:t>
      </w:r>
      <w:r w:rsidR="00FC3BA5" w:rsidRPr="00883271">
        <w:rPr>
          <w:sz w:val="21"/>
          <w:szCs w:val="21"/>
        </w:rPr>
        <w:t>and registered training organisations (RTOs) such as TAFEs</w:t>
      </w:r>
      <w:r w:rsidR="00A37333" w:rsidRPr="00883271">
        <w:rPr>
          <w:sz w:val="21"/>
          <w:szCs w:val="21"/>
        </w:rPr>
        <w:t>)</w:t>
      </w:r>
      <w:r w:rsidR="00FC3BA5" w:rsidRPr="00883271">
        <w:rPr>
          <w:sz w:val="21"/>
          <w:szCs w:val="21"/>
        </w:rPr>
        <w:t xml:space="preserve"> at a price not exceeding its fair market value. </w:t>
      </w:r>
      <w:r w:rsidR="00C27D6B" w:rsidRPr="00883271">
        <w:rPr>
          <w:sz w:val="21"/>
          <w:szCs w:val="21"/>
        </w:rPr>
        <w:t xml:space="preserve">By doing so, it </w:t>
      </w:r>
      <w:r w:rsidR="00A37333" w:rsidRPr="00883271">
        <w:rPr>
          <w:sz w:val="21"/>
          <w:szCs w:val="21"/>
        </w:rPr>
        <w:t xml:space="preserve">helps </w:t>
      </w:r>
      <w:r w:rsidR="00D83AC2" w:rsidRPr="00883271">
        <w:rPr>
          <w:sz w:val="21"/>
          <w:szCs w:val="21"/>
        </w:rPr>
        <w:t xml:space="preserve">to </w:t>
      </w:r>
      <w:r w:rsidR="002D3F34" w:rsidRPr="00883271">
        <w:rPr>
          <w:sz w:val="21"/>
          <w:szCs w:val="21"/>
        </w:rPr>
        <w:t xml:space="preserve">provide a level playing field for third party repairers to compete with </w:t>
      </w:r>
      <w:r w:rsidR="00462B6C" w:rsidRPr="00883271">
        <w:rPr>
          <w:sz w:val="21"/>
          <w:szCs w:val="21"/>
        </w:rPr>
        <w:t>dealership</w:t>
      </w:r>
      <w:r w:rsidR="002D3F34" w:rsidRPr="00883271">
        <w:rPr>
          <w:sz w:val="21"/>
          <w:szCs w:val="21"/>
        </w:rPr>
        <w:t>s in the repair market</w:t>
      </w:r>
      <w:r w:rsidR="0080527C" w:rsidRPr="00883271">
        <w:rPr>
          <w:sz w:val="21"/>
          <w:szCs w:val="21"/>
        </w:rPr>
        <w:t xml:space="preserve">. </w:t>
      </w:r>
      <w:r w:rsidR="00FC3BA5" w:rsidRPr="00883271">
        <w:rPr>
          <w:sz w:val="21"/>
          <w:szCs w:val="21"/>
        </w:rPr>
        <w:t>The scheme also imposes information sharing obligations on certain third</w:t>
      </w:r>
      <w:r w:rsidR="00270960" w:rsidRPr="00883271">
        <w:rPr>
          <w:sz w:val="21"/>
          <w:szCs w:val="21"/>
        </w:rPr>
        <w:t xml:space="preserve"> </w:t>
      </w:r>
      <w:r w:rsidR="00FC3BA5" w:rsidRPr="00883271">
        <w:rPr>
          <w:sz w:val="21"/>
          <w:szCs w:val="21"/>
        </w:rPr>
        <w:t>party data providers.</w:t>
      </w:r>
    </w:p>
    <w:p w14:paraId="23F83095" w14:textId="2FA01FE2" w:rsidR="00DE6239" w:rsidRPr="00883271" w:rsidRDefault="00DE6239" w:rsidP="00DE6239">
      <w:pPr>
        <w:rPr>
          <w:sz w:val="21"/>
          <w:szCs w:val="21"/>
        </w:rPr>
      </w:pPr>
      <w:r w:rsidRPr="00883271">
        <w:rPr>
          <w:sz w:val="21"/>
          <w:szCs w:val="21"/>
        </w:rPr>
        <w:t>The Commonwealth committed to a review of the scheme under Australia</w:t>
      </w:r>
      <w:r w:rsidR="00BF0433">
        <w:rPr>
          <w:sz w:val="21"/>
          <w:szCs w:val="21"/>
        </w:rPr>
        <w:t>’</w:t>
      </w:r>
      <w:r w:rsidRPr="00883271">
        <w:rPr>
          <w:sz w:val="21"/>
          <w:szCs w:val="21"/>
        </w:rPr>
        <w:t>s revitalised National Competition Policy (NCP)</w:t>
      </w:r>
      <w:r w:rsidR="005702BF" w:rsidRPr="00883271">
        <w:rPr>
          <w:sz w:val="21"/>
          <w:szCs w:val="21"/>
        </w:rPr>
        <w:t xml:space="preserve"> </w:t>
      </w:r>
      <w:r w:rsidR="007D2F7D" w:rsidRPr="00883271">
        <w:rPr>
          <w:sz w:val="21"/>
          <w:szCs w:val="21"/>
        </w:rPr>
        <w:t xml:space="preserve">and </w:t>
      </w:r>
      <w:r w:rsidR="005702BF" w:rsidRPr="00883271">
        <w:rPr>
          <w:sz w:val="21"/>
          <w:szCs w:val="21"/>
        </w:rPr>
        <w:t>as part of Treasury</w:t>
      </w:r>
      <w:r w:rsidR="00BF0433">
        <w:rPr>
          <w:sz w:val="21"/>
          <w:szCs w:val="21"/>
        </w:rPr>
        <w:t>’</w:t>
      </w:r>
      <w:r w:rsidR="005702BF" w:rsidRPr="00883271">
        <w:rPr>
          <w:sz w:val="21"/>
          <w:szCs w:val="21"/>
        </w:rPr>
        <w:t xml:space="preserve">s </w:t>
      </w:r>
      <w:r w:rsidR="002C4D32" w:rsidRPr="00883271">
        <w:rPr>
          <w:sz w:val="21"/>
          <w:szCs w:val="21"/>
        </w:rPr>
        <w:t>broader Competition Revie</w:t>
      </w:r>
      <w:r w:rsidR="006C38C7" w:rsidRPr="00883271">
        <w:rPr>
          <w:sz w:val="21"/>
          <w:szCs w:val="21"/>
        </w:rPr>
        <w:t>w examining how to improve competition across the economy</w:t>
      </w:r>
      <w:r w:rsidRPr="00883271">
        <w:rPr>
          <w:sz w:val="21"/>
          <w:szCs w:val="21"/>
        </w:rPr>
        <w:t>. NCP is a shared vision amongst the Commonwealth, states and territories to build a more cohesive, vibrant and globally competitive economy.</w:t>
      </w:r>
      <w:r w:rsidR="00877FA9" w:rsidRPr="00883271">
        <w:rPr>
          <w:sz w:val="21"/>
          <w:szCs w:val="21"/>
        </w:rPr>
        <w:t xml:space="preserve"> This review </w:t>
      </w:r>
      <w:r w:rsidR="002C6813" w:rsidRPr="00883271">
        <w:rPr>
          <w:sz w:val="21"/>
          <w:szCs w:val="21"/>
        </w:rPr>
        <w:t>examines</w:t>
      </w:r>
      <w:r w:rsidR="00877FA9" w:rsidRPr="00883271">
        <w:rPr>
          <w:sz w:val="21"/>
          <w:szCs w:val="21"/>
        </w:rPr>
        <w:t xml:space="preserve"> the </w:t>
      </w:r>
      <w:r w:rsidR="00F63EB6" w:rsidRPr="00883271">
        <w:rPr>
          <w:sz w:val="21"/>
          <w:szCs w:val="21"/>
        </w:rPr>
        <w:t xml:space="preserve">extent to which the scheme </w:t>
      </w:r>
      <w:r w:rsidR="005D24F6" w:rsidRPr="00883271">
        <w:rPr>
          <w:sz w:val="21"/>
          <w:szCs w:val="21"/>
        </w:rPr>
        <w:t>is achieving</w:t>
      </w:r>
      <w:r w:rsidR="00F63EB6" w:rsidRPr="00883271">
        <w:rPr>
          <w:sz w:val="21"/>
          <w:szCs w:val="21"/>
        </w:rPr>
        <w:t xml:space="preserve"> its legislated objectives, </w:t>
      </w:r>
      <w:r w:rsidR="002C6813" w:rsidRPr="00883271">
        <w:rPr>
          <w:sz w:val="21"/>
          <w:szCs w:val="21"/>
        </w:rPr>
        <w:t>consider</w:t>
      </w:r>
      <w:r w:rsidR="00A87042" w:rsidRPr="00883271">
        <w:rPr>
          <w:sz w:val="21"/>
          <w:szCs w:val="21"/>
        </w:rPr>
        <w:t>s</w:t>
      </w:r>
      <w:r w:rsidR="00F63EB6" w:rsidRPr="00883271">
        <w:rPr>
          <w:sz w:val="21"/>
          <w:szCs w:val="21"/>
        </w:rPr>
        <w:t xml:space="preserve"> whether the design of the scheme remains appropriate, and </w:t>
      </w:r>
      <w:r w:rsidR="00A87042" w:rsidRPr="00883271">
        <w:rPr>
          <w:sz w:val="21"/>
          <w:szCs w:val="21"/>
        </w:rPr>
        <w:t>assesses</w:t>
      </w:r>
      <w:r w:rsidR="00F63EB6" w:rsidRPr="00883271">
        <w:rPr>
          <w:sz w:val="21"/>
          <w:szCs w:val="21"/>
        </w:rPr>
        <w:t xml:space="preserve"> </w:t>
      </w:r>
      <w:r w:rsidR="000E3FF8" w:rsidRPr="00883271">
        <w:rPr>
          <w:sz w:val="21"/>
          <w:szCs w:val="21"/>
        </w:rPr>
        <w:t>its</w:t>
      </w:r>
      <w:r w:rsidR="00F63EB6" w:rsidRPr="00883271">
        <w:rPr>
          <w:sz w:val="21"/>
          <w:szCs w:val="21"/>
        </w:rPr>
        <w:t xml:space="preserve"> economic impact.</w:t>
      </w:r>
    </w:p>
    <w:p w14:paraId="66547C45" w14:textId="347BE2ED" w:rsidR="00676243" w:rsidRPr="00883271" w:rsidRDefault="00934402" w:rsidP="001529F3">
      <w:pPr>
        <w:rPr>
          <w:sz w:val="21"/>
          <w:szCs w:val="21"/>
        </w:rPr>
      </w:pPr>
      <w:r w:rsidRPr="00883271">
        <w:rPr>
          <w:sz w:val="21"/>
          <w:szCs w:val="21"/>
        </w:rPr>
        <w:t>T</w:t>
      </w:r>
      <w:r w:rsidR="003271DF" w:rsidRPr="00883271">
        <w:rPr>
          <w:sz w:val="21"/>
          <w:szCs w:val="21"/>
        </w:rPr>
        <w:t xml:space="preserve">his </w:t>
      </w:r>
      <w:r w:rsidR="00630CB2" w:rsidRPr="00883271">
        <w:rPr>
          <w:sz w:val="21"/>
          <w:szCs w:val="21"/>
        </w:rPr>
        <w:t xml:space="preserve">Final Report of the Review of the Motor Vehicle Service and Repair Information Sharing Scheme </w:t>
      </w:r>
      <w:r w:rsidR="00FF438A" w:rsidRPr="00883271">
        <w:rPr>
          <w:sz w:val="21"/>
          <w:szCs w:val="21"/>
        </w:rPr>
        <w:t xml:space="preserve">finds </w:t>
      </w:r>
      <w:r w:rsidR="0097082A" w:rsidRPr="00883271">
        <w:rPr>
          <w:sz w:val="21"/>
          <w:szCs w:val="21"/>
        </w:rPr>
        <w:t>that</w:t>
      </w:r>
      <w:r w:rsidR="00235370" w:rsidRPr="00883271">
        <w:rPr>
          <w:sz w:val="21"/>
          <w:szCs w:val="21"/>
        </w:rPr>
        <w:t xml:space="preserve"> t</w:t>
      </w:r>
      <w:r w:rsidR="00C9348A" w:rsidRPr="00883271">
        <w:rPr>
          <w:sz w:val="21"/>
          <w:szCs w:val="21"/>
        </w:rPr>
        <w:t xml:space="preserve">he </w:t>
      </w:r>
      <w:r w:rsidR="00235370" w:rsidRPr="00883271">
        <w:rPr>
          <w:sz w:val="21"/>
          <w:szCs w:val="21"/>
        </w:rPr>
        <w:t>s</w:t>
      </w:r>
      <w:r w:rsidR="00C9348A" w:rsidRPr="00883271">
        <w:rPr>
          <w:sz w:val="21"/>
          <w:szCs w:val="21"/>
        </w:rPr>
        <w:t xml:space="preserve">cheme has contributed to a more competitive </w:t>
      </w:r>
      <w:r w:rsidR="00EA1618" w:rsidRPr="00883271">
        <w:rPr>
          <w:sz w:val="21"/>
          <w:szCs w:val="21"/>
        </w:rPr>
        <w:t xml:space="preserve">and productive </w:t>
      </w:r>
      <w:r w:rsidR="00C9348A" w:rsidRPr="00883271">
        <w:rPr>
          <w:sz w:val="21"/>
          <w:szCs w:val="21"/>
        </w:rPr>
        <w:t>repair market, supporting the growth of independent workshops and enhancing consumer choice</w:t>
      </w:r>
      <w:r w:rsidR="00235370" w:rsidRPr="00883271">
        <w:rPr>
          <w:sz w:val="21"/>
          <w:szCs w:val="21"/>
        </w:rPr>
        <w:t>.</w:t>
      </w:r>
      <w:r w:rsidR="00B218A2" w:rsidRPr="00883271">
        <w:rPr>
          <w:sz w:val="21"/>
          <w:szCs w:val="21"/>
        </w:rPr>
        <w:t xml:space="preserve"> The </w:t>
      </w:r>
      <w:r w:rsidR="00FE1C7B" w:rsidRPr="00883271">
        <w:rPr>
          <w:sz w:val="21"/>
          <w:szCs w:val="21"/>
        </w:rPr>
        <w:t xml:space="preserve">scheme has also had a significant positive economic impact </w:t>
      </w:r>
      <w:r w:rsidR="000270D9" w:rsidRPr="00883271">
        <w:rPr>
          <w:sz w:val="21"/>
          <w:szCs w:val="21"/>
        </w:rPr>
        <w:t>and</w:t>
      </w:r>
      <w:r w:rsidR="00FE1C7B" w:rsidRPr="00883271">
        <w:rPr>
          <w:sz w:val="21"/>
          <w:szCs w:val="21"/>
        </w:rPr>
        <w:t xml:space="preserve"> </w:t>
      </w:r>
      <w:r w:rsidR="00676243" w:rsidRPr="00883271">
        <w:rPr>
          <w:sz w:val="21"/>
          <w:szCs w:val="21"/>
        </w:rPr>
        <w:t>has been</w:t>
      </w:r>
      <w:r w:rsidR="00FE1C7B" w:rsidRPr="00883271">
        <w:rPr>
          <w:sz w:val="21"/>
          <w:szCs w:val="21"/>
        </w:rPr>
        <w:t xml:space="preserve"> associated with a </w:t>
      </w:r>
      <w:r w:rsidR="004938AC" w:rsidRPr="00883271">
        <w:rPr>
          <w:sz w:val="21"/>
          <w:szCs w:val="21"/>
        </w:rPr>
        <w:t>$2.4 billion increase in repairer turnover since its introduction.</w:t>
      </w:r>
    </w:p>
    <w:p w14:paraId="3023D533" w14:textId="3109144A" w:rsidR="00F37F13" w:rsidRPr="00883271" w:rsidRDefault="00676243" w:rsidP="001529F3">
      <w:pPr>
        <w:rPr>
          <w:rFonts w:ascii="Calibri" w:hAnsi="Calibri" w:cs="Arial"/>
          <w:color w:val="2C384A" w:themeColor="accent1"/>
          <w:kern w:val="32"/>
          <w:sz w:val="35"/>
          <w:szCs w:val="35"/>
        </w:rPr>
      </w:pPr>
      <w:r w:rsidRPr="00883271">
        <w:rPr>
          <w:sz w:val="21"/>
          <w:szCs w:val="21"/>
        </w:rPr>
        <w:t>The Review identifies several</w:t>
      </w:r>
      <w:r w:rsidR="007F6421" w:rsidRPr="00883271">
        <w:rPr>
          <w:sz w:val="21"/>
          <w:szCs w:val="21"/>
        </w:rPr>
        <w:t xml:space="preserve"> opportunities to </w:t>
      </w:r>
      <w:r w:rsidR="00A74EDD" w:rsidRPr="00883271">
        <w:rPr>
          <w:sz w:val="21"/>
          <w:szCs w:val="21"/>
        </w:rPr>
        <w:t xml:space="preserve">improve </w:t>
      </w:r>
      <w:r w:rsidR="00F15397" w:rsidRPr="00883271">
        <w:rPr>
          <w:sz w:val="21"/>
          <w:szCs w:val="21"/>
        </w:rPr>
        <w:t xml:space="preserve">the </w:t>
      </w:r>
      <w:r w:rsidR="00195E4E" w:rsidRPr="00883271">
        <w:rPr>
          <w:sz w:val="21"/>
          <w:szCs w:val="21"/>
        </w:rPr>
        <w:t>scheme</w:t>
      </w:r>
      <w:r w:rsidR="00BF0433">
        <w:rPr>
          <w:sz w:val="21"/>
          <w:szCs w:val="21"/>
        </w:rPr>
        <w:t>’</w:t>
      </w:r>
      <w:r w:rsidR="00195E4E" w:rsidRPr="00883271">
        <w:rPr>
          <w:sz w:val="21"/>
          <w:szCs w:val="21"/>
        </w:rPr>
        <w:t xml:space="preserve">s </w:t>
      </w:r>
      <w:r w:rsidR="00003BE6" w:rsidRPr="00883271">
        <w:rPr>
          <w:sz w:val="21"/>
          <w:szCs w:val="21"/>
        </w:rPr>
        <w:t xml:space="preserve">clarity, </w:t>
      </w:r>
      <w:r w:rsidR="00195E4E" w:rsidRPr="00883271">
        <w:rPr>
          <w:sz w:val="21"/>
          <w:szCs w:val="21"/>
        </w:rPr>
        <w:t xml:space="preserve">alignment with international frameworks, </w:t>
      </w:r>
      <w:r w:rsidR="004F0683" w:rsidRPr="00883271">
        <w:rPr>
          <w:sz w:val="21"/>
          <w:szCs w:val="21"/>
        </w:rPr>
        <w:t>and adaptability</w:t>
      </w:r>
      <w:r w:rsidR="00076AF6" w:rsidRPr="00883271">
        <w:rPr>
          <w:sz w:val="21"/>
          <w:szCs w:val="21"/>
        </w:rPr>
        <w:t xml:space="preserve"> </w:t>
      </w:r>
      <w:r w:rsidR="00F02B88" w:rsidRPr="00883271">
        <w:rPr>
          <w:sz w:val="21"/>
          <w:szCs w:val="21"/>
        </w:rPr>
        <w:t>to ongoing technological developments within the automotive sector.</w:t>
      </w:r>
      <w:r w:rsidR="001E69A9" w:rsidRPr="00883271">
        <w:rPr>
          <w:sz w:val="21"/>
          <w:szCs w:val="21"/>
        </w:rPr>
        <w:t xml:space="preserve"> </w:t>
      </w:r>
      <w:r w:rsidR="00E81335" w:rsidRPr="00883271">
        <w:rPr>
          <w:sz w:val="21"/>
          <w:szCs w:val="21"/>
        </w:rPr>
        <w:t>C</w:t>
      </w:r>
      <w:r w:rsidR="006A16FA" w:rsidRPr="00883271">
        <w:rPr>
          <w:sz w:val="21"/>
          <w:szCs w:val="21"/>
        </w:rPr>
        <w:t>onsideration of the Review</w:t>
      </w:r>
      <w:r w:rsidR="00BF0433">
        <w:rPr>
          <w:sz w:val="21"/>
          <w:szCs w:val="21"/>
        </w:rPr>
        <w:t>’</w:t>
      </w:r>
      <w:r w:rsidR="006A16FA" w:rsidRPr="00883271">
        <w:rPr>
          <w:sz w:val="21"/>
          <w:szCs w:val="21"/>
        </w:rPr>
        <w:t>s findings in consultation with industry</w:t>
      </w:r>
      <w:r w:rsidR="001E69A9" w:rsidRPr="00883271">
        <w:rPr>
          <w:sz w:val="21"/>
          <w:szCs w:val="21"/>
        </w:rPr>
        <w:t xml:space="preserve"> will ensu</w:t>
      </w:r>
      <w:r w:rsidR="00FA4C25" w:rsidRPr="00883271">
        <w:rPr>
          <w:sz w:val="21"/>
          <w:szCs w:val="21"/>
        </w:rPr>
        <w:t xml:space="preserve">re </w:t>
      </w:r>
      <w:r w:rsidR="00FB6F6F" w:rsidRPr="00883271">
        <w:rPr>
          <w:sz w:val="21"/>
          <w:szCs w:val="21"/>
        </w:rPr>
        <w:t xml:space="preserve">the scheme </w:t>
      </w:r>
      <w:r w:rsidR="008E4DDC" w:rsidRPr="00883271">
        <w:rPr>
          <w:sz w:val="21"/>
          <w:szCs w:val="21"/>
        </w:rPr>
        <w:t xml:space="preserve">continues to </w:t>
      </w:r>
      <w:r w:rsidR="00117982" w:rsidRPr="00883271">
        <w:rPr>
          <w:sz w:val="21"/>
          <w:szCs w:val="21"/>
        </w:rPr>
        <w:t>facilitate</w:t>
      </w:r>
      <w:r w:rsidR="00CB0505" w:rsidRPr="00883271">
        <w:rPr>
          <w:sz w:val="21"/>
          <w:szCs w:val="21"/>
        </w:rPr>
        <w:t xml:space="preserve"> a fair playing field between Australian repairers</w:t>
      </w:r>
      <w:r w:rsidR="00293562" w:rsidRPr="00883271">
        <w:rPr>
          <w:sz w:val="21"/>
          <w:szCs w:val="21"/>
        </w:rPr>
        <w:t xml:space="preserve">, driving productivity and </w:t>
      </w:r>
      <w:r w:rsidR="00F1590E" w:rsidRPr="00883271">
        <w:rPr>
          <w:sz w:val="21"/>
          <w:szCs w:val="21"/>
        </w:rPr>
        <w:t xml:space="preserve">keeping Australians </w:t>
      </w:r>
      <w:r w:rsidR="007E578A" w:rsidRPr="00883271">
        <w:rPr>
          <w:sz w:val="21"/>
          <w:szCs w:val="21"/>
        </w:rPr>
        <w:t xml:space="preserve">safely </w:t>
      </w:r>
      <w:r w:rsidR="00F1590E" w:rsidRPr="00883271">
        <w:rPr>
          <w:sz w:val="21"/>
          <w:szCs w:val="21"/>
        </w:rPr>
        <w:t>on the road</w:t>
      </w:r>
      <w:r w:rsidR="00BF0433">
        <w:rPr>
          <w:sz w:val="21"/>
          <w:szCs w:val="21"/>
        </w:rPr>
        <w:t xml:space="preserve">. </w:t>
      </w:r>
    </w:p>
    <w:p w14:paraId="71F16399" w14:textId="3E1FC104" w:rsidR="00B255A6" w:rsidRPr="00883271" w:rsidRDefault="00BB5C4C" w:rsidP="00B255A6">
      <w:pPr>
        <w:rPr>
          <w:sz w:val="21"/>
          <w:szCs w:val="21"/>
        </w:rPr>
      </w:pPr>
      <w:r w:rsidRPr="00883271">
        <w:rPr>
          <w:sz w:val="21"/>
          <w:szCs w:val="21"/>
        </w:rPr>
        <w:t xml:space="preserve">The </w:t>
      </w:r>
      <w:bookmarkStart w:id="10" w:name="_Toc204692971"/>
      <w:r w:rsidR="006B4F77" w:rsidRPr="00883271">
        <w:rPr>
          <w:sz w:val="21"/>
          <w:szCs w:val="21"/>
        </w:rPr>
        <w:t xml:space="preserve">Review </w:t>
      </w:r>
      <w:r w:rsidRPr="00883271">
        <w:rPr>
          <w:sz w:val="21"/>
          <w:szCs w:val="21"/>
        </w:rPr>
        <w:t xml:space="preserve">makes </w:t>
      </w:r>
      <w:r w:rsidR="00B255A6" w:rsidRPr="00883271">
        <w:rPr>
          <w:sz w:val="21"/>
          <w:szCs w:val="21"/>
        </w:rPr>
        <w:t>11</w:t>
      </w:r>
      <w:r w:rsidRPr="00883271">
        <w:rPr>
          <w:sz w:val="21"/>
          <w:szCs w:val="21"/>
        </w:rPr>
        <w:t xml:space="preserve"> </w:t>
      </w:r>
      <w:r w:rsidR="006B4F77" w:rsidRPr="00883271">
        <w:rPr>
          <w:sz w:val="21"/>
          <w:szCs w:val="21"/>
        </w:rPr>
        <w:t>findings</w:t>
      </w:r>
      <w:bookmarkEnd w:id="10"/>
      <w:r w:rsidRPr="00883271">
        <w:rPr>
          <w:sz w:val="21"/>
          <w:szCs w:val="21"/>
        </w:rPr>
        <w:t>:</w:t>
      </w:r>
    </w:p>
    <w:tbl>
      <w:tblPr>
        <w:tblW w:w="4921" w:type="pct"/>
        <w:shd w:val="clear" w:color="auto" w:fill="F2F9FC"/>
        <w:tblCellMar>
          <w:top w:w="57" w:type="dxa"/>
          <w:left w:w="57" w:type="dxa"/>
          <w:bottom w:w="57" w:type="dxa"/>
          <w:right w:w="57" w:type="dxa"/>
        </w:tblCellMar>
        <w:tblLook w:val="0620" w:firstRow="1" w:lastRow="0" w:firstColumn="0" w:lastColumn="0" w:noHBand="1" w:noVBand="1"/>
      </w:tblPr>
      <w:tblGrid>
        <w:gridCol w:w="1277"/>
        <w:gridCol w:w="7652"/>
      </w:tblGrid>
      <w:tr w:rsidR="00E30F3D" w:rsidRPr="00883271" w14:paraId="46DF9743" w14:textId="77777777" w:rsidTr="00B51161">
        <w:tc>
          <w:tcPr>
            <w:tcW w:w="715" w:type="pct"/>
            <w:shd w:val="clear" w:color="auto" w:fill="F2F9FC"/>
            <w:hideMark/>
          </w:tcPr>
          <w:p w14:paraId="25F5B836" w14:textId="40297C11" w:rsidR="00690936" w:rsidRPr="00883271" w:rsidRDefault="005C42BD" w:rsidP="00D523DF">
            <w:pPr>
              <w:pStyle w:val="BoxHeading"/>
              <w:spacing w:before="120"/>
              <w:rPr>
                <w:lang w:eastAsia="en-US"/>
              </w:rPr>
            </w:pPr>
            <w:r w:rsidRPr="00883271">
              <w:rPr>
                <w:lang w:eastAsia="en-US"/>
              </w:rPr>
              <w:t xml:space="preserve"> </w:t>
            </w:r>
            <w:r w:rsidR="00690936" w:rsidRPr="00883271">
              <w:rPr>
                <w:lang w:eastAsia="en-US"/>
              </w:rPr>
              <w:t>Finding 1</w:t>
            </w:r>
          </w:p>
        </w:tc>
        <w:tc>
          <w:tcPr>
            <w:tcW w:w="4285" w:type="pct"/>
            <w:shd w:val="clear" w:color="auto" w:fill="F2F9FC"/>
          </w:tcPr>
          <w:p w14:paraId="4A555661" w14:textId="1EC24252" w:rsidR="00E30F3D" w:rsidRPr="00883271" w:rsidRDefault="00690936" w:rsidP="00D523DF">
            <w:pPr>
              <w:pStyle w:val="BoxText"/>
              <w:rPr>
                <w:lang w:eastAsia="en-US"/>
              </w:rPr>
            </w:pPr>
            <w:r w:rsidRPr="00883271">
              <w:rPr>
                <w:lang w:eastAsia="en-US"/>
              </w:rPr>
              <w:t xml:space="preserve">The Motor Vehicle Service and Repair Information Sharing </w:t>
            </w:r>
            <w:r w:rsidR="00D72396">
              <w:rPr>
                <w:lang w:eastAsia="en-US"/>
              </w:rPr>
              <w:t>S</w:t>
            </w:r>
            <w:r w:rsidRPr="00883271">
              <w:rPr>
                <w:lang w:eastAsia="en-US"/>
              </w:rPr>
              <w:t>cheme (the scheme) is broadly realising its legislated objectives by encouraging competition between Australian repairers. The scheme supports consumer choice and has contributed to increased productivity and competition in the automotive repair sector.</w:t>
            </w:r>
          </w:p>
        </w:tc>
      </w:tr>
    </w:tbl>
    <w:p w14:paraId="65FDDD04" w14:textId="77777777" w:rsidR="000B17CD" w:rsidRPr="00883271" w:rsidRDefault="000B17CD" w:rsidP="000B17CD">
      <w:pPr>
        <w:pStyle w:val="SingleParagraph"/>
        <w:rPr>
          <w:sz w:val="16"/>
          <w:szCs w:val="16"/>
        </w:rPr>
      </w:pPr>
    </w:p>
    <w:tbl>
      <w:tblPr>
        <w:tblW w:w="8929" w:type="dxa"/>
        <w:shd w:val="clear" w:color="auto" w:fill="F2F9FC"/>
        <w:tblCellMar>
          <w:top w:w="57" w:type="dxa"/>
          <w:left w:w="57" w:type="dxa"/>
          <w:bottom w:w="57" w:type="dxa"/>
          <w:right w:w="57" w:type="dxa"/>
        </w:tblCellMar>
        <w:tblLook w:val="0620" w:firstRow="1" w:lastRow="0" w:firstColumn="0" w:lastColumn="0" w:noHBand="1" w:noVBand="1"/>
      </w:tblPr>
      <w:tblGrid>
        <w:gridCol w:w="1275"/>
        <w:gridCol w:w="7654"/>
      </w:tblGrid>
      <w:tr w:rsidR="000B17CD" w:rsidRPr="00883271" w14:paraId="3B97C2B5" w14:textId="77777777" w:rsidTr="00B51161">
        <w:tc>
          <w:tcPr>
            <w:tcW w:w="1275" w:type="dxa"/>
            <w:shd w:val="clear" w:color="auto" w:fill="F2F9FC"/>
            <w:hideMark/>
          </w:tcPr>
          <w:p w14:paraId="5714CCC6" w14:textId="164EE589" w:rsidR="000B17CD" w:rsidRPr="00883271" w:rsidRDefault="005C42BD" w:rsidP="00D523DF">
            <w:pPr>
              <w:pStyle w:val="BoxHeading"/>
              <w:spacing w:before="120"/>
              <w:rPr>
                <w:lang w:eastAsia="en-US"/>
              </w:rPr>
            </w:pPr>
            <w:r w:rsidRPr="00883271">
              <w:rPr>
                <w:lang w:eastAsia="en-US"/>
              </w:rPr>
              <w:t xml:space="preserve"> </w:t>
            </w:r>
            <w:r w:rsidR="000B17CD" w:rsidRPr="00883271">
              <w:rPr>
                <w:lang w:eastAsia="en-US"/>
              </w:rPr>
              <w:t xml:space="preserve">Finding </w:t>
            </w:r>
            <w:r w:rsidR="00625C5F" w:rsidRPr="00883271">
              <w:rPr>
                <w:lang w:eastAsia="en-US"/>
              </w:rPr>
              <w:t>2</w:t>
            </w:r>
          </w:p>
        </w:tc>
        <w:tc>
          <w:tcPr>
            <w:tcW w:w="7654" w:type="dxa"/>
            <w:shd w:val="clear" w:color="auto" w:fill="F2F9FC"/>
          </w:tcPr>
          <w:p w14:paraId="078124B1" w14:textId="5FF36A78" w:rsidR="00291049" w:rsidRPr="00883271" w:rsidRDefault="00291049" w:rsidP="00D523DF">
            <w:pPr>
              <w:pStyle w:val="BoxText"/>
              <w:rPr>
                <w:lang w:eastAsia="en-US"/>
              </w:rPr>
            </w:pPr>
            <w:r w:rsidRPr="00883271">
              <w:rPr>
                <w:lang w:eastAsia="en-US"/>
              </w:rPr>
              <w:t xml:space="preserve">The scheme effectively regulates the price of scheme information, but there are </w:t>
            </w:r>
            <w:r w:rsidR="002C4CD5" w:rsidRPr="00883271">
              <w:rPr>
                <w:lang w:eastAsia="en-US"/>
              </w:rPr>
              <w:t>some</w:t>
            </w:r>
            <w:r w:rsidRPr="00883271">
              <w:rPr>
                <w:lang w:eastAsia="en-US"/>
              </w:rPr>
              <w:t xml:space="preserve"> opportunities for enhancement to ensure information pricing remains accurate and transparent, </w:t>
            </w:r>
            <w:r w:rsidRPr="00D523DF">
              <w:t>including</w:t>
            </w:r>
            <w:r w:rsidR="0071192F" w:rsidRPr="00883271">
              <w:rPr>
                <w:lang w:eastAsia="en-US"/>
              </w:rPr>
              <w:t xml:space="preserve"> in relation to</w:t>
            </w:r>
            <w:r w:rsidRPr="00883271">
              <w:rPr>
                <w:lang w:eastAsia="en-US"/>
              </w:rPr>
              <w:t>:</w:t>
            </w:r>
          </w:p>
          <w:p w14:paraId="21DC2631" w14:textId="1443C8F5" w:rsidR="00291049" w:rsidRPr="00883271" w:rsidRDefault="00291049" w:rsidP="00D523DF">
            <w:pPr>
              <w:pStyle w:val="Boxbullet"/>
              <w:spacing w:after="40"/>
              <w:rPr>
                <w:lang w:eastAsia="en-US"/>
              </w:rPr>
            </w:pPr>
            <w:r w:rsidRPr="00883271">
              <w:rPr>
                <w:lang w:eastAsia="en-US"/>
              </w:rPr>
              <w:t>Consistent pricing of information in Australian dollars</w:t>
            </w:r>
          </w:p>
          <w:p w14:paraId="15B1E112" w14:textId="4B527BFB" w:rsidR="00291049" w:rsidRPr="00883271" w:rsidRDefault="003560E9" w:rsidP="00D523DF">
            <w:pPr>
              <w:pStyle w:val="Boxbullet"/>
              <w:spacing w:after="40"/>
              <w:rPr>
                <w:lang w:eastAsia="en-US"/>
              </w:rPr>
            </w:pPr>
            <w:r w:rsidRPr="00883271">
              <w:rPr>
                <w:lang w:eastAsia="en-US"/>
              </w:rPr>
              <w:t xml:space="preserve">The accuracy </w:t>
            </w:r>
            <w:r w:rsidR="00291049" w:rsidRPr="00883271">
              <w:rPr>
                <w:lang w:eastAsia="en-US"/>
              </w:rPr>
              <w:t xml:space="preserve">of </w:t>
            </w:r>
            <w:r w:rsidRPr="00883271">
              <w:rPr>
                <w:lang w:eastAsia="en-US"/>
              </w:rPr>
              <w:t xml:space="preserve">scheme </w:t>
            </w:r>
            <w:r w:rsidR="00291049" w:rsidRPr="00883271">
              <w:rPr>
                <w:lang w:eastAsia="en-US"/>
              </w:rPr>
              <w:t xml:space="preserve">offers </w:t>
            </w:r>
          </w:p>
          <w:p w14:paraId="5400BE77" w14:textId="366B384E" w:rsidR="000B17CD" w:rsidRPr="00883271" w:rsidRDefault="0071192F" w:rsidP="00D523DF">
            <w:pPr>
              <w:pStyle w:val="Boxbullet"/>
              <w:rPr>
                <w:lang w:eastAsia="en-US"/>
              </w:rPr>
            </w:pPr>
            <w:r w:rsidRPr="00883271">
              <w:rPr>
                <w:lang w:eastAsia="en-US"/>
              </w:rPr>
              <w:t>Factors relevant in</w:t>
            </w:r>
            <w:r w:rsidR="00291049" w:rsidRPr="00883271">
              <w:rPr>
                <w:lang w:eastAsia="en-US"/>
              </w:rPr>
              <w:t xml:space="preserve"> determining Fair Market Value</w:t>
            </w:r>
          </w:p>
        </w:tc>
      </w:tr>
    </w:tbl>
    <w:p w14:paraId="7A85B1A7" w14:textId="77777777" w:rsidR="000B17CD" w:rsidRPr="00883271" w:rsidRDefault="000B17CD" w:rsidP="000B17CD">
      <w:pPr>
        <w:pStyle w:val="SingleParagraph"/>
        <w:rPr>
          <w:sz w:val="16"/>
          <w:szCs w:val="16"/>
        </w:rPr>
      </w:pPr>
    </w:p>
    <w:tbl>
      <w:tblPr>
        <w:tblW w:w="4921" w:type="pct"/>
        <w:shd w:val="clear" w:color="auto" w:fill="F2F9FC"/>
        <w:tblCellMar>
          <w:top w:w="57" w:type="dxa"/>
          <w:left w:w="57" w:type="dxa"/>
          <w:bottom w:w="57" w:type="dxa"/>
          <w:right w:w="57" w:type="dxa"/>
        </w:tblCellMar>
        <w:tblLook w:val="0620" w:firstRow="1" w:lastRow="0" w:firstColumn="0" w:lastColumn="0" w:noHBand="1" w:noVBand="1"/>
      </w:tblPr>
      <w:tblGrid>
        <w:gridCol w:w="1277"/>
        <w:gridCol w:w="7652"/>
      </w:tblGrid>
      <w:tr w:rsidR="000B17CD" w:rsidRPr="00883271" w14:paraId="7EBE7ED8" w14:textId="77777777" w:rsidTr="00B51161">
        <w:tc>
          <w:tcPr>
            <w:tcW w:w="715" w:type="pct"/>
            <w:shd w:val="clear" w:color="auto" w:fill="F2F9FC"/>
            <w:hideMark/>
          </w:tcPr>
          <w:p w14:paraId="75FD55F7" w14:textId="3ECBAAE2" w:rsidR="000B17CD" w:rsidRPr="00883271" w:rsidRDefault="005C42BD" w:rsidP="00D523DF">
            <w:pPr>
              <w:pStyle w:val="BoxHeading"/>
              <w:spacing w:before="120"/>
              <w:rPr>
                <w:lang w:eastAsia="en-US"/>
              </w:rPr>
            </w:pPr>
            <w:r w:rsidRPr="00883271">
              <w:rPr>
                <w:lang w:eastAsia="en-US"/>
              </w:rPr>
              <w:lastRenderedPageBreak/>
              <w:t xml:space="preserve"> </w:t>
            </w:r>
            <w:r w:rsidR="000B17CD" w:rsidRPr="00883271">
              <w:rPr>
                <w:lang w:eastAsia="en-US"/>
              </w:rPr>
              <w:t xml:space="preserve">Finding </w:t>
            </w:r>
            <w:r w:rsidR="00625C5F" w:rsidRPr="00883271">
              <w:rPr>
                <w:lang w:eastAsia="en-US"/>
              </w:rPr>
              <w:t>3</w:t>
            </w:r>
          </w:p>
        </w:tc>
        <w:tc>
          <w:tcPr>
            <w:tcW w:w="4285" w:type="pct"/>
            <w:shd w:val="clear" w:color="auto" w:fill="F2F9FC"/>
          </w:tcPr>
          <w:p w14:paraId="12D7E024" w14:textId="12A684EF" w:rsidR="000B17CD" w:rsidRPr="00883271" w:rsidRDefault="00625C5F" w:rsidP="00D523DF">
            <w:pPr>
              <w:pStyle w:val="BoxText"/>
              <w:rPr>
                <w:lang w:eastAsia="en-US"/>
              </w:rPr>
            </w:pPr>
            <w:r w:rsidRPr="00883271">
              <w:rPr>
                <w:lang w:eastAsia="en-US"/>
              </w:rPr>
              <w:t xml:space="preserve">Where proprietary hardware is required to utilise scheme information, associated cost, functionality </w:t>
            </w:r>
            <w:r w:rsidRPr="00D523DF">
              <w:t>and</w:t>
            </w:r>
            <w:r w:rsidRPr="00883271">
              <w:rPr>
                <w:lang w:eastAsia="en-US"/>
              </w:rPr>
              <w:t xml:space="preserve"> access issues can significantly hamper independent repairers’ ability to compete. Providing tool manufacturers and data aggregators with improved access to scheme information may increase repairer choice of hardware, placing downward pressure on costs and benefiting consumers.</w:t>
            </w:r>
          </w:p>
        </w:tc>
      </w:tr>
    </w:tbl>
    <w:p w14:paraId="1B9029C8" w14:textId="77777777" w:rsidR="00D523DF" w:rsidRDefault="00D523DF" w:rsidP="00D523DF">
      <w:pPr>
        <w:pStyle w:val="SingleParagraph"/>
      </w:pPr>
    </w:p>
    <w:tbl>
      <w:tblPr>
        <w:tblW w:w="4921" w:type="pct"/>
        <w:shd w:val="clear" w:color="auto" w:fill="F2F9FC"/>
        <w:tblCellMar>
          <w:top w:w="57" w:type="dxa"/>
          <w:left w:w="57" w:type="dxa"/>
          <w:bottom w:w="57" w:type="dxa"/>
          <w:right w:w="57" w:type="dxa"/>
        </w:tblCellMar>
        <w:tblLook w:val="0620" w:firstRow="1" w:lastRow="0" w:firstColumn="0" w:lastColumn="0" w:noHBand="1" w:noVBand="1"/>
      </w:tblPr>
      <w:tblGrid>
        <w:gridCol w:w="1277"/>
        <w:gridCol w:w="7652"/>
      </w:tblGrid>
      <w:tr w:rsidR="000B17CD" w:rsidRPr="00883271" w14:paraId="216094A6" w14:textId="77777777" w:rsidTr="00B51161">
        <w:tc>
          <w:tcPr>
            <w:tcW w:w="715" w:type="pct"/>
            <w:shd w:val="clear" w:color="auto" w:fill="F2F9FC"/>
            <w:hideMark/>
          </w:tcPr>
          <w:p w14:paraId="760646D3" w14:textId="6E809332" w:rsidR="000B17CD" w:rsidRPr="00883271" w:rsidRDefault="005C42BD" w:rsidP="00D523DF">
            <w:pPr>
              <w:pStyle w:val="BoxHeading"/>
              <w:spacing w:before="120"/>
              <w:rPr>
                <w:lang w:eastAsia="en-US"/>
              </w:rPr>
            </w:pPr>
            <w:r w:rsidRPr="00883271">
              <w:rPr>
                <w:lang w:eastAsia="en-US"/>
              </w:rPr>
              <w:t xml:space="preserve"> </w:t>
            </w:r>
            <w:r w:rsidR="000B17CD" w:rsidRPr="00883271">
              <w:rPr>
                <w:lang w:eastAsia="en-US"/>
              </w:rPr>
              <w:t xml:space="preserve">Finding </w:t>
            </w:r>
            <w:r w:rsidR="00625C5F" w:rsidRPr="00883271">
              <w:rPr>
                <w:lang w:eastAsia="en-US"/>
              </w:rPr>
              <w:t>4</w:t>
            </w:r>
          </w:p>
        </w:tc>
        <w:tc>
          <w:tcPr>
            <w:tcW w:w="4285" w:type="pct"/>
            <w:shd w:val="clear" w:color="auto" w:fill="F2F9FC"/>
          </w:tcPr>
          <w:p w14:paraId="69D81312" w14:textId="55BF14B1" w:rsidR="000B17CD" w:rsidRPr="00883271" w:rsidRDefault="00625C5F" w:rsidP="00D523DF">
            <w:pPr>
              <w:pStyle w:val="BoxText"/>
              <w:rPr>
                <w:lang w:eastAsia="en-US"/>
              </w:rPr>
            </w:pPr>
            <w:r w:rsidRPr="00883271">
              <w:rPr>
                <w:lang w:eastAsia="en-US"/>
              </w:rPr>
              <w:t xml:space="preserve">The scheme </w:t>
            </w:r>
            <w:r w:rsidR="00DC4BDC" w:rsidRPr="00883271">
              <w:rPr>
                <w:lang w:eastAsia="en-US"/>
              </w:rPr>
              <w:t>generally</w:t>
            </w:r>
            <w:r w:rsidRPr="00883271">
              <w:rPr>
                <w:lang w:eastAsia="en-US"/>
              </w:rPr>
              <w:t xml:space="preserve"> support</w:t>
            </w:r>
            <w:r w:rsidR="00DC4BDC" w:rsidRPr="00883271">
              <w:rPr>
                <w:lang w:eastAsia="en-US"/>
              </w:rPr>
              <w:t>s</w:t>
            </w:r>
            <w:r w:rsidRPr="00883271">
              <w:rPr>
                <w:lang w:eastAsia="en-US"/>
              </w:rPr>
              <w:t xml:space="preserve"> timely access to the information needed by Australian </w:t>
            </w:r>
            <w:r w:rsidRPr="00D523DF">
              <w:t>repairers</w:t>
            </w:r>
            <w:r w:rsidRPr="00883271">
              <w:rPr>
                <w:lang w:eastAsia="en-US"/>
              </w:rPr>
              <w:t xml:space="preserve"> and RTOs. Bolstering access to scheme information in electronic </w:t>
            </w:r>
            <w:r w:rsidR="00AB2253" w:rsidRPr="00883271">
              <w:rPr>
                <w:lang w:eastAsia="en-US"/>
              </w:rPr>
              <w:t>formats and</w:t>
            </w:r>
            <w:r w:rsidRPr="00883271">
              <w:rPr>
                <w:lang w:eastAsia="en-US"/>
              </w:rPr>
              <w:t xml:space="preserve"> </w:t>
            </w:r>
            <w:r w:rsidR="00923EC6" w:rsidRPr="00883271">
              <w:rPr>
                <w:lang w:eastAsia="en-US"/>
              </w:rPr>
              <w:t xml:space="preserve">aligning </w:t>
            </w:r>
            <w:r w:rsidRPr="00883271">
              <w:rPr>
                <w:lang w:eastAsia="en-US"/>
              </w:rPr>
              <w:t xml:space="preserve">timeframes </w:t>
            </w:r>
            <w:r w:rsidR="00923EC6" w:rsidRPr="00883271">
              <w:rPr>
                <w:lang w:eastAsia="en-US"/>
              </w:rPr>
              <w:t>with</w:t>
            </w:r>
            <w:r w:rsidRPr="00883271">
              <w:rPr>
                <w:lang w:eastAsia="en-US"/>
              </w:rPr>
              <w:t xml:space="preserve"> the operational realities of making information available with proprietary hardware, would increase certainty for data providers and ensure consistent </w:t>
            </w:r>
            <w:r w:rsidR="00BF1287" w:rsidRPr="00883271">
              <w:rPr>
                <w:lang w:eastAsia="en-US"/>
              </w:rPr>
              <w:t xml:space="preserve">aftermarket </w:t>
            </w:r>
            <w:r w:rsidRPr="00883271">
              <w:rPr>
                <w:lang w:eastAsia="en-US"/>
              </w:rPr>
              <w:t>access to information.</w:t>
            </w:r>
          </w:p>
        </w:tc>
      </w:tr>
    </w:tbl>
    <w:p w14:paraId="6FBF8E32" w14:textId="77777777" w:rsidR="000B17CD" w:rsidRPr="00883271" w:rsidRDefault="000B17CD" w:rsidP="000B17CD">
      <w:pPr>
        <w:pStyle w:val="SingleParagraph"/>
        <w:rPr>
          <w:sz w:val="16"/>
          <w:szCs w:val="16"/>
        </w:rPr>
      </w:pPr>
    </w:p>
    <w:tbl>
      <w:tblPr>
        <w:tblW w:w="4921" w:type="pct"/>
        <w:shd w:val="clear" w:color="auto" w:fill="F2F9FC"/>
        <w:tblCellMar>
          <w:top w:w="57" w:type="dxa"/>
          <w:left w:w="57" w:type="dxa"/>
          <w:bottom w:w="57" w:type="dxa"/>
          <w:right w:w="57" w:type="dxa"/>
        </w:tblCellMar>
        <w:tblLook w:val="0620" w:firstRow="1" w:lastRow="0" w:firstColumn="0" w:lastColumn="0" w:noHBand="1" w:noVBand="1"/>
      </w:tblPr>
      <w:tblGrid>
        <w:gridCol w:w="1277"/>
        <w:gridCol w:w="7652"/>
      </w:tblGrid>
      <w:tr w:rsidR="000B17CD" w:rsidRPr="00883271" w14:paraId="7B2260DB" w14:textId="77777777" w:rsidTr="00B51161">
        <w:tc>
          <w:tcPr>
            <w:tcW w:w="715" w:type="pct"/>
            <w:shd w:val="clear" w:color="auto" w:fill="F2F9FC"/>
            <w:hideMark/>
          </w:tcPr>
          <w:p w14:paraId="22BF0EAD" w14:textId="4DBA3B8D" w:rsidR="000B17CD" w:rsidRPr="00883271" w:rsidRDefault="005C42BD" w:rsidP="00D523DF">
            <w:pPr>
              <w:pStyle w:val="BoxHeading"/>
              <w:spacing w:before="120"/>
              <w:rPr>
                <w:lang w:eastAsia="en-US"/>
              </w:rPr>
            </w:pPr>
            <w:r w:rsidRPr="00883271">
              <w:rPr>
                <w:lang w:eastAsia="en-US"/>
              </w:rPr>
              <w:t xml:space="preserve"> </w:t>
            </w:r>
            <w:r w:rsidR="000B17CD" w:rsidRPr="00883271">
              <w:rPr>
                <w:lang w:eastAsia="en-US"/>
              </w:rPr>
              <w:t xml:space="preserve">Finding </w:t>
            </w:r>
            <w:r w:rsidR="00625C5F" w:rsidRPr="00883271">
              <w:rPr>
                <w:lang w:eastAsia="en-US"/>
              </w:rPr>
              <w:t>5</w:t>
            </w:r>
          </w:p>
        </w:tc>
        <w:tc>
          <w:tcPr>
            <w:tcW w:w="4285" w:type="pct"/>
            <w:shd w:val="clear" w:color="auto" w:fill="F2F9FC"/>
          </w:tcPr>
          <w:p w14:paraId="16A2B5BA" w14:textId="402885C7" w:rsidR="000B17CD" w:rsidRPr="00883271" w:rsidRDefault="00625C5F" w:rsidP="00D523DF">
            <w:pPr>
              <w:pStyle w:val="BoxText"/>
              <w:rPr>
                <w:lang w:eastAsia="en-US"/>
              </w:rPr>
            </w:pPr>
            <w:r w:rsidRPr="00883271">
              <w:rPr>
                <w:lang w:eastAsia="en-US"/>
              </w:rPr>
              <w:t xml:space="preserve">The scheme effectively protects safety and security information. However, the regulation of safety information under the scheme imposes a substantial regulatory burden on vehicle manufacturers, intermediaries and repairers. </w:t>
            </w:r>
            <w:r w:rsidR="00CE29C8" w:rsidRPr="00883271">
              <w:rPr>
                <w:lang w:eastAsia="en-US"/>
              </w:rPr>
              <w:t xml:space="preserve">Alternative approaches which do not require the separation of safety information </w:t>
            </w:r>
            <w:r w:rsidR="00FF6494" w:rsidRPr="00883271">
              <w:rPr>
                <w:lang w:eastAsia="en-US"/>
              </w:rPr>
              <w:t xml:space="preserve">could </w:t>
            </w:r>
            <w:r w:rsidR="00EB25F3" w:rsidRPr="00883271">
              <w:rPr>
                <w:lang w:eastAsia="en-US"/>
              </w:rPr>
              <w:t xml:space="preserve">provide </w:t>
            </w:r>
            <w:r w:rsidRPr="00883271">
              <w:rPr>
                <w:lang w:eastAsia="en-US"/>
              </w:rPr>
              <w:t xml:space="preserve">an equivalent level of protection </w:t>
            </w:r>
            <w:r w:rsidR="00F76963" w:rsidRPr="00883271">
              <w:rPr>
                <w:lang w:eastAsia="en-US"/>
              </w:rPr>
              <w:t xml:space="preserve">while improving </w:t>
            </w:r>
            <w:r w:rsidR="00E47862" w:rsidRPr="00883271">
              <w:rPr>
                <w:lang w:eastAsia="en-US"/>
              </w:rPr>
              <w:t>sector productivity</w:t>
            </w:r>
            <w:r w:rsidRPr="00883271">
              <w:rPr>
                <w:lang w:eastAsia="en-US"/>
              </w:rPr>
              <w:t>.</w:t>
            </w:r>
          </w:p>
        </w:tc>
      </w:tr>
    </w:tbl>
    <w:p w14:paraId="26E75838" w14:textId="77777777" w:rsidR="000B17CD" w:rsidRPr="00883271" w:rsidRDefault="000B17CD" w:rsidP="000B17CD">
      <w:pPr>
        <w:pStyle w:val="SingleParagraph"/>
        <w:rPr>
          <w:sz w:val="16"/>
          <w:szCs w:val="16"/>
        </w:rPr>
      </w:pPr>
    </w:p>
    <w:tbl>
      <w:tblPr>
        <w:tblW w:w="4921" w:type="pct"/>
        <w:shd w:val="clear" w:color="auto" w:fill="F2F9FC"/>
        <w:tblCellMar>
          <w:top w:w="57" w:type="dxa"/>
          <w:left w:w="57" w:type="dxa"/>
          <w:bottom w:w="57" w:type="dxa"/>
          <w:right w:w="57" w:type="dxa"/>
        </w:tblCellMar>
        <w:tblLook w:val="0620" w:firstRow="1" w:lastRow="0" w:firstColumn="0" w:lastColumn="0" w:noHBand="1" w:noVBand="1"/>
      </w:tblPr>
      <w:tblGrid>
        <w:gridCol w:w="1277"/>
        <w:gridCol w:w="7652"/>
      </w:tblGrid>
      <w:tr w:rsidR="000B17CD" w:rsidRPr="00883271" w14:paraId="1438554A" w14:textId="77777777" w:rsidTr="00B51161">
        <w:tc>
          <w:tcPr>
            <w:tcW w:w="715" w:type="pct"/>
            <w:shd w:val="clear" w:color="auto" w:fill="F2F9FC"/>
            <w:hideMark/>
          </w:tcPr>
          <w:p w14:paraId="14302ADF" w14:textId="65199EF1" w:rsidR="000B17CD" w:rsidRPr="00883271" w:rsidRDefault="005C42BD" w:rsidP="00D523DF">
            <w:pPr>
              <w:pStyle w:val="BoxHeading"/>
              <w:spacing w:before="120"/>
              <w:rPr>
                <w:lang w:eastAsia="en-US"/>
              </w:rPr>
            </w:pPr>
            <w:r w:rsidRPr="00883271">
              <w:rPr>
                <w:lang w:eastAsia="en-US"/>
              </w:rPr>
              <w:t xml:space="preserve"> </w:t>
            </w:r>
            <w:r w:rsidR="000B17CD" w:rsidRPr="00883271">
              <w:rPr>
                <w:lang w:eastAsia="en-US"/>
              </w:rPr>
              <w:t xml:space="preserve">Finding </w:t>
            </w:r>
            <w:r w:rsidR="00D73583" w:rsidRPr="00883271">
              <w:rPr>
                <w:lang w:eastAsia="en-US"/>
              </w:rPr>
              <w:t>6</w:t>
            </w:r>
          </w:p>
        </w:tc>
        <w:tc>
          <w:tcPr>
            <w:tcW w:w="4285" w:type="pct"/>
            <w:shd w:val="clear" w:color="auto" w:fill="F2F9FC"/>
          </w:tcPr>
          <w:p w14:paraId="16E96E47" w14:textId="6FA46C66" w:rsidR="000B17CD" w:rsidRPr="00883271" w:rsidRDefault="00D73583" w:rsidP="00D523DF">
            <w:pPr>
              <w:pStyle w:val="BoxText"/>
              <w:rPr>
                <w:lang w:eastAsia="en-US"/>
              </w:rPr>
            </w:pPr>
            <w:r w:rsidRPr="00883271">
              <w:rPr>
                <w:lang w:eastAsia="en-US"/>
              </w:rPr>
              <w:t xml:space="preserve">Intermediaries are critical in providing Australian repairers and RTOs with the products and services needed to compete. </w:t>
            </w:r>
            <w:r w:rsidR="00903A01" w:rsidRPr="00883271">
              <w:rPr>
                <w:lang w:eastAsia="en-US"/>
              </w:rPr>
              <w:t>A</w:t>
            </w:r>
            <w:r w:rsidRPr="00883271">
              <w:rPr>
                <w:lang w:eastAsia="en-US"/>
              </w:rPr>
              <w:t>ligning the</w:t>
            </w:r>
            <w:r w:rsidR="00903A01" w:rsidRPr="00883271">
              <w:rPr>
                <w:lang w:eastAsia="en-US"/>
              </w:rPr>
              <w:t>ir</w:t>
            </w:r>
            <w:r w:rsidRPr="00883271">
              <w:rPr>
                <w:lang w:eastAsia="en-US"/>
              </w:rPr>
              <w:t xml:space="preserve"> treatment under the scheme with comparable </w:t>
            </w:r>
            <w:r w:rsidRPr="00D523DF">
              <w:t>international</w:t>
            </w:r>
            <w:r w:rsidRPr="00883271">
              <w:rPr>
                <w:lang w:eastAsia="en-US"/>
              </w:rPr>
              <w:t xml:space="preserve"> frameworks is likely to better support the efficient flow of accessible and affordable information, reduce barriers to entry </w:t>
            </w:r>
            <w:r w:rsidR="007718F9" w:rsidRPr="00883271">
              <w:rPr>
                <w:lang w:eastAsia="en-US"/>
              </w:rPr>
              <w:t xml:space="preserve">into </w:t>
            </w:r>
            <w:r w:rsidRPr="00883271">
              <w:rPr>
                <w:lang w:eastAsia="en-US"/>
              </w:rPr>
              <w:t xml:space="preserve">the Australian </w:t>
            </w:r>
            <w:r w:rsidR="007718F9" w:rsidRPr="00883271">
              <w:rPr>
                <w:lang w:eastAsia="en-US"/>
              </w:rPr>
              <w:t>automotive repair</w:t>
            </w:r>
            <w:r w:rsidRPr="00883271">
              <w:rPr>
                <w:lang w:eastAsia="en-US"/>
              </w:rPr>
              <w:t xml:space="preserve"> market and increase repairer productivity.</w:t>
            </w:r>
            <w:r w:rsidR="008C643A" w:rsidRPr="00883271">
              <w:rPr>
                <w:lang w:eastAsia="en-US"/>
              </w:rPr>
              <w:t xml:space="preserve"> </w:t>
            </w:r>
            <w:r w:rsidR="008C643A" w:rsidRPr="00883271">
              <w:t>Such an approach would also partly address challenges expressed by stakeholders in navigating OEM portals.</w:t>
            </w:r>
          </w:p>
        </w:tc>
      </w:tr>
    </w:tbl>
    <w:p w14:paraId="3328C4CE" w14:textId="77777777" w:rsidR="000B17CD" w:rsidRPr="00883271" w:rsidRDefault="000B17CD" w:rsidP="000B17CD">
      <w:pPr>
        <w:pStyle w:val="SingleParagraph"/>
        <w:rPr>
          <w:sz w:val="16"/>
          <w:szCs w:val="16"/>
        </w:rPr>
      </w:pPr>
    </w:p>
    <w:tbl>
      <w:tblPr>
        <w:tblW w:w="4921" w:type="pct"/>
        <w:shd w:val="clear" w:color="auto" w:fill="F2F9FC"/>
        <w:tblCellMar>
          <w:top w:w="57" w:type="dxa"/>
          <w:left w:w="57" w:type="dxa"/>
          <w:bottom w:w="57" w:type="dxa"/>
          <w:right w:w="57" w:type="dxa"/>
        </w:tblCellMar>
        <w:tblLook w:val="0620" w:firstRow="1" w:lastRow="0" w:firstColumn="0" w:lastColumn="0" w:noHBand="1" w:noVBand="1"/>
      </w:tblPr>
      <w:tblGrid>
        <w:gridCol w:w="1277"/>
        <w:gridCol w:w="7652"/>
      </w:tblGrid>
      <w:tr w:rsidR="000B17CD" w:rsidRPr="00883271" w14:paraId="60310BC3" w14:textId="77777777" w:rsidTr="00B51161">
        <w:tc>
          <w:tcPr>
            <w:tcW w:w="715" w:type="pct"/>
            <w:shd w:val="clear" w:color="auto" w:fill="F2F9FC"/>
            <w:hideMark/>
          </w:tcPr>
          <w:p w14:paraId="3E12E5C8" w14:textId="106FDB34" w:rsidR="000B17CD" w:rsidRPr="00883271" w:rsidRDefault="005C42BD" w:rsidP="00D523DF">
            <w:pPr>
              <w:pStyle w:val="BoxHeading"/>
              <w:spacing w:before="120"/>
              <w:rPr>
                <w:lang w:eastAsia="en-US"/>
              </w:rPr>
            </w:pPr>
            <w:r w:rsidRPr="00883271">
              <w:rPr>
                <w:lang w:eastAsia="en-US"/>
              </w:rPr>
              <w:t xml:space="preserve"> </w:t>
            </w:r>
            <w:r w:rsidR="000B17CD" w:rsidRPr="00883271">
              <w:rPr>
                <w:lang w:eastAsia="en-US"/>
              </w:rPr>
              <w:t xml:space="preserve">Finding </w:t>
            </w:r>
            <w:r w:rsidR="00D73583" w:rsidRPr="00883271">
              <w:rPr>
                <w:lang w:eastAsia="en-US"/>
              </w:rPr>
              <w:t>7</w:t>
            </w:r>
          </w:p>
        </w:tc>
        <w:tc>
          <w:tcPr>
            <w:tcW w:w="4285" w:type="pct"/>
            <w:shd w:val="clear" w:color="auto" w:fill="F2F9FC"/>
          </w:tcPr>
          <w:p w14:paraId="7606066A" w14:textId="26AD6D7C" w:rsidR="000B17CD" w:rsidRPr="00883271" w:rsidRDefault="00D73583" w:rsidP="00D523DF">
            <w:pPr>
              <w:pStyle w:val="BoxText"/>
              <w:rPr>
                <w:lang w:eastAsia="en-US"/>
              </w:rPr>
            </w:pPr>
            <w:r w:rsidRPr="00883271">
              <w:rPr>
                <w:lang w:eastAsia="en-US"/>
              </w:rPr>
              <w:t xml:space="preserve">The adoption of electronic logbooks is an emerging challenge for independent repairers. </w:t>
            </w:r>
            <w:r w:rsidR="00802905" w:rsidRPr="00883271">
              <w:rPr>
                <w:lang w:eastAsia="en-US"/>
              </w:rPr>
              <w:t>R</w:t>
            </w:r>
            <w:r w:rsidR="00794420" w:rsidRPr="00883271">
              <w:rPr>
                <w:lang w:eastAsia="en-US"/>
              </w:rPr>
              <w:t xml:space="preserve">egulated </w:t>
            </w:r>
            <w:r w:rsidRPr="00883271">
              <w:rPr>
                <w:lang w:eastAsia="en-US"/>
              </w:rPr>
              <w:t>access to these records</w:t>
            </w:r>
            <w:r w:rsidR="00794420" w:rsidRPr="00883271">
              <w:rPr>
                <w:lang w:eastAsia="en-US"/>
              </w:rPr>
              <w:t xml:space="preserve"> </w:t>
            </w:r>
            <w:r w:rsidRPr="00883271">
              <w:rPr>
                <w:lang w:eastAsia="en-US"/>
              </w:rPr>
              <w:t xml:space="preserve">would ensure independent repairers are not disadvantaged in the </w:t>
            </w:r>
            <w:r w:rsidRPr="00D523DF">
              <w:t>transition</w:t>
            </w:r>
            <w:r w:rsidRPr="00883271">
              <w:rPr>
                <w:lang w:eastAsia="en-US"/>
              </w:rPr>
              <w:t xml:space="preserve"> to digital records and </w:t>
            </w:r>
            <w:r w:rsidR="009E4586" w:rsidRPr="00883271">
              <w:rPr>
                <w:lang w:eastAsia="en-US"/>
              </w:rPr>
              <w:t>enable</w:t>
            </w:r>
            <w:r w:rsidR="00B944E0" w:rsidRPr="00883271">
              <w:rPr>
                <w:lang w:eastAsia="en-US"/>
              </w:rPr>
              <w:t xml:space="preserve"> </w:t>
            </w:r>
            <w:r w:rsidRPr="00883271">
              <w:rPr>
                <w:lang w:eastAsia="en-US"/>
              </w:rPr>
              <w:t xml:space="preserve">complete </w:t>
            </w:r>
            <w:r w:rsidR="004A4C01" w:rsidRPr="00883271">
              <w:rPr>
                <w:lang w:eastAsia="en-US"/>
              </w:rPr>
              <w:t xml:space="preserve">vehicle </w:t>
            </w:r>
            <w:r w:rsidRPr="00883271">
              <w:rPr>
                <w:lang w:eastAsia="en-US"/>
              </w:rPr>
              <w:t xml:space="preserve">service histories </w:t>
            </w:r>
            <w:r w:rsidR="009E4586" w:rsidRPr="00883271">
              <w:rPr>
                <w:lang w:eastAsia="en-US"/>
              </w:rPr>
              <w:t>to</w:t>
            </w:r>
            <w:r w:rsidRPr="00883271">
              <w:rPr>
                <w:lang w:eastAsia="en-US"/>
              </w:rPr>
              <w:t xml:space="preserve"> be efficiently maintained.</w:t>
            </w:r>
          </w:p>
        </w:tc>
      </w:tr>
    </w:tbl>
    <w:p w14:paraId="6E5152DC" w14:textId="77777777" w:rsidR="000B17CD" w:rsidRPr="00883271" w:rsidRDefault="000B17CD" w:rsidP="000B17CD">
      <w:pPr>
        <w:pStyle w:val="SingleParagraph"/>
        <w:rPr>
          <w:sz w:val="16"/>
          <w:szCs w:val="16"/>
        </w:rPr>
      </w:pPr>
    </w:p>
    <w:tbl>
      <w:tblPr>
        <w:tblW w:w="4921" w:type="pct"/>
        <w:shd w:val="clear" w:color="auto" w:fill="F2F9FC"/>
        <w:tblCellMar>
          <w:top w:w="57" w:type="dxa"/>
          <w:left w:w="57" w:type="dxa"/>
          <w:bottom w:w="57" w:type="dxa"/>
          <w:right w:w="57" w:type="dxa"/>
        </w:tblCellMar>
        <w:tblLook w:val="0620" w:firstRow="1" w:lastRow="0" w:firstColumn="0" w:lastColumn="0" w:noHBand="1" w:noVBand="1"/>
      </w:tblPr>
      <w:tblGrid>
        <w:gridCol w:w="1277"/>
        <w:gridCol w:w="7652"/>
      </w:tblGrid>
      <w:tr w:rsidR="000B17CD" w:rsidRPr="00883271" w14:paraId="22837AE5" w14:textId="77777777" w:rsidTr="00B51161">
        <w:tc>
          <w:tcPr>
            <w:tcW w:w="715" w:type="pct"/>
            <w:shd w:val="clear" w:color="auto" w:fill="F2F9FC"/>
            <w:hideMark/>
          </w:tcPr>
          <w:p w14:paraId="40E4C6FF" w14:textId="0D24959D" w:rsidR="000B17CD" w:rsidRPr="00883271" w:rsidRDefault="005C42BD" w:rsidP="00D523DF">
            <w:pPr>
              <w:pStyle w:val="BoxHeading"/>
              <w:spacing w:before="120"/>
              <w:rPr>
                <w:lang w:eastAsia="en-US"/>
              </w:rPr>
            </w:pPr>
            <w:r w:rsidRPr="00883271">
              <w:rPr>
                <w:lang w:eastAsia="en-US"/>
              </w:rPr>
              <w:t xml:space="preserve"> </w:t>
            </w:r>
            <w:r w:rsidR="000B17CD" w:rsidRPr="00883271">
              <w:rPr>
                <w:lang w:eastAsia="en-US"/>
              </w:rPr>
              <w:t xml:space="preserve">Finding </w:t>
            </w:r>
            <w:r w:rsidR="002124E7" w:rsidRPr="00883271">
              <w:rPr>
                <w:lang w:eastAsia="en-US"/>
              </w:rPr>
              <w:t>8</w:t>
            </w:r>
          </w:p>
        </w:tc>
        <w:tc>
          <w:tcPr>
            <w:tcW w:w="4285" w:type="pct"/>
            <w:shd w:val="clear" w:color="auto" w:fill="F2F9FC"/>
          </w:tcPr>
          <w:p w14:paraId="23B2EEE5" w14:textId="1D57D82A" w:rsidR="000B17CD" w:rsidRPr="00883271" w:rsidRDefault="00DA30A3" w:rsidP="00D523DF">
            <w:pPr>
              <w:pStyle w:val="BoxText"/>
              <w:rPr>
                <w:lang w:eastAsia="en-US"/>
              </w:rPr>
            </w:pPr>
            <w:r w:rsidRPr="00883271">
              <w:rPr>
                <w:lang w:eastAsia="en-US"/>
              </w:rPr>
              <w:t>The</w:t>
            </w:r>
            <w:r w:rsidR="003A57AA" w:rsidRPr="00883271">
              <w:rPr>
                <w:lang w:eastAsia="en-US"/>
              </w:rPr>
              <w:t xml:space="preserve"> </w:t>
            </w:r>
            <w:r w:rsidR="003B5868" w:rsidRPr="00883271">
              <w:rPr>
                <w:lang w:eastAsia="en-US"/>
              </w:rPr>
              <w:t>emergence</w:t>
            </w:r>
            <w:r w:rsidR="003A57AA" w:rsidRPr="00883271">
              <w:rPr>
                <w:lang w:eastAsia="en-US"/>
              </w:rPr>
              <w:t xml:space="preserve"> of telematics and </w:t>
            </w:r>
            <w:r w:rsidR="00E9017F" w:rsidRPr="00883271">
              <w:rPr>
                <w:lang w:eastAsia="en-US"/>
              </w:rPr>
              <w:t>automated driving systems</w:t>
            </w:r>
            <w:r w:rsidR="006B03E2" w:rsidRPr="00883271">
              <w:rPr>
                <w:lang w:eastAsia="en-US"/>
              </w:rPr>
              <w:t xml:space="preserve"> </w:t>
            </w:r>
            <w:r w:rsidR="009369F5" w:rsidRPr="00883271">
              <w:rPr>
                <w:lang w:eastAsia="en-US"/>
              </w:rPr>
              <w:t>is</w:t>
            </w:r>
            <w:r w:rsidR="006B03E2" w:rsidRPr="00883271">
              <w:rPr>
                <w:lang w:eastAsia="en-US"/>
              </w:rPr>
              <w:t xml:space="preserve"> </w:t>
            </w:r>
            <w:r w:rsidR="004F351B" w:rsidRPr="00883271">
              <w:rPr>
                <w:lang w:eastAsia="en-US"/>
              </w:rPr>
              <w:t>not materially</w:t>
            </w:r>
            <w:r w:rsidR="00F70B7F" w:rsidRPr="00883271">
              <w:rPr>
                <w:lang w:eastAsia="en-US"/>
              </w:rPr>
              <w:t xml:space="preserve"> impact</w:t>
            </w:r>
            <w:r w:rsidR="004F351B" w:rsidRPr="00883271">
              <w:rPr>
                <w:lang w:eastAsia="en-US"/>
              </w:rPr>
              <w:t>ing</w:t>
            </w:r>
            <w:r w:rsidR="00F70B7F" w:rsidRPr="00883271">
              <w:rPr>
                <w:lang w:eastAsia="en-US"/>
              </w:rPr>
              <w:t xml:space="preserve"> </w:t>
            </w:r>
            <w:r w:rsidR="006B03E2" w:rsidRPr="00883271">
              <w:rPr>
                <w:lang w:eastAsia="en-US"/>
              </w:rPr>
              <w:t>independent repairers</w:t>
            </w:r>
            <w:r w:rsidR="00EB0248">
              <w:rPr>
                <w:lang w:eastAsia="en-US"/>
              </w:rPr>
              <w:t>’</w:t>
            </w:r>
            <w:r w:rsidR="006B03E2" w:rsidRPr="00883271">
              <w:rPr>
                <w:lang w:eastAsia="en-US"/>
              </w:rPr>
              <w:t xml:space="preserve"> ability to compete</w:t>
            </w:r>
            <w:r w:rsidR="00D42A6E" w:rsidRPr="00883271">
              <w:rPr>
                <w:lang w:eastAsia="en-US"/>
              </w:rPr>
              <w:t xml:space="preserve"> at this time</w:t>
            </w:r>
            <w:r w:rsidR="006B03E2" w:rsidRPr="00883271">
              <w:rPr>
                <w:lang w:eastAsia="en-US"/>
              </w:rPr>
              <w:t xml:space="preserve">. </w:t>
            </w:r>
            <w:r w:rsidR="002C4CD5" w:rsidRPr="00883271">
              <w:rPr>
                <w:lang w:eastAsia="en-US"/>
              </w:rPr>
              <w:t>However</w:t>
            </w:r>
            <w:r w:rsidR="00BD290E" w:rsidRPr="00883271">
              <w:rPr>
                <w:lang w:eastAsia="en-US"/>
              </w:rPr>
              <w:t>,</w:t>
            </w:r>
            <w:r w:rsidR="002C4CD5" w:rsidRPr="00883271">
              <w:rPr>
                <w:lang w:eastAsia="en-US"/>
              </w:rPr>
              <w:t xml:space="preserve"> c</w:t>
            </w:r>
            <w:r w:rsidR="00E40AB1" w:rsidRPr="00883271">
              <w:rPr>
                <w:lang w:eastAsia="en-US"/>
              </w:rPr>
              <w:t>ontinued collaboration</w:t>
            </w:r>
            <w:r w:rsidR="006B03E2" w:rsidRPr="00883271">
              <w:rPr>
                <w:lang w:eastAsia="en-US"/>
              </w:rPr>
              <w:t xml:space="preserve"> across industry </w:t>
            </w:r>
            <w:r w:rsidR="00EE0722" w:rsidRPr="00883271">
              <w:rPr>
                <w:lang w:eastAsia="en-US"/>
              </w:rPr>
              <w:t>is</w:t>
            </w:r>
            <w:r w:rsidR="006B03E2" w:rsidRPr="00883271">
              <w:rPr>
                <w:lang w:eastAsia="en-US"/>
              </w:rPr>
              <w:t xml:space="preserve"> </w:t>
            </w:r>
            <w:r w:rsidR="00EB484B" w:rsidRPr="00883271">
              <w:rPr>
                <w:lang w:eastAsia="en-US"/>
              </w:rPr>
              <w:t xml:space="preserve">required </w:t>
            </w:r>
            <w:r w:rsidR="006B03E2" w:rsidRPr="00883271">
              <w:rPr>
                <w:lang w:eastAsia="en-US"/>
              </w:rPr>
              <w:t xml:space="preserve">to </w:t>
            </w:r>
            <w:r w:rsidR="006B03E2" w:rsidRPr="00D523DF">
              <w:t>en</w:t>
            </w:r>
            <w:r w:rsidR="00E633E4" w:rsidRPr="00D523DF">
              <w:t>sure</w:t>
            </w:r>
            <w:r w:rsidR="00E633E4" w:rsidRPr="00883271">
              <w:rPr>
                <w:lang w:eastAsia="en-US"/>
              </w:rPr>
              <w:t xml:space="preserve"> the scheme’s early competition and productivity benefits are </w:t>
            </w:r>
            <w:r w:rsidR="002604D0" w:rsidRPr="00883271">
              <w:rPr>
                <w:lang w:eastAsia="en-US"/>
              </w:rPr>
              <w:t xml:space="preserve">retained as this technology is deployed further. </w:t>
            </w:r>
          </w:p>
        </w:tc>
      </w:tr>
    </w:tbl>
    <w:p w14:paraId="18549663" w14:textId="77777777" w:rsidR="000B17CD" w:rsidRPr="00883271" w:rsidRDefault="000B17CD" w:rsidP="000B17CD">
      <w:pPr>
        <w:pStyle w:val="SingleParagraph"/>
        <w:rPr>
          <w:sz w:val="16"/>
          <w:szCs w:val="16"/>
        </w:rPr>
      </w:pPr>
    </w:p>
    <w:tbl>
      <w:tblPr>
        <w:tblW w:w="5000" w:type="pct"/>
        <w:shd w:val="clear" w:color="auto" w:fill="F2F9FC"/>
        <w:tblCellMar>
          <w:top w:w="57" w:type="dxa"/>
          <w:left w:w="57" w:type="dxa"/>
          <w:bottom w:w="57" w:type="dxa"/>
          <w:right w:w="57" w:type="dxa"/>
        </w:tblCellMar>
        <w:tblLook w:val="0620" w:firstRow="1" w:lastRow="0" w:firstColumn="0" w:lastColumn="0" w:noHBand="1" w:noVBand="1"/>
      </w:tblPr>
      <w:tblGrid>
        <w:gridCol w:w="1276"/>
        <w:gridCol w:w="7796"/>
      </w:tblGrid>
      <w:tr w:rsidR="000B17CD" w:rsidRPr="00883271" w14:paraId="4A4036CE" w14:textId="77777777" w:rsidTr="00B51161">
        <w:tc>
          <w:tcPr>
            <w:tcW w:w="703" w:type="pct"/>
            <w:shd w:val="clear" w:color="auto" w:fill="F2F9FC"/>
            <w:hideMark/>
          </w:tcPr>
          <w:p w14:paraId="001A1036" w14:textId="56A16733" w:rsidR="000B17CD" w:rsidRPr="00883271" w:rsidRDefault="005C42BD" w:rsidP="00D523DF">
            <w:pPr>
              <w:pStyle w:val="BoxHeading"/>
              <w:spacing w:before="120"/>
              <w:rPr>
                <w:lang w:eastAsia="en-US"/>
              </w:rPr>
            </w:pPr>
            <w:r w:rsidRPr="00883271">
              <w:rPr>
                <w:lang w:eastAsia="en-US"/>
              </w:rPr>
              <w:t xml:space="preserve"> </w:t>
            </w:r>
            <w:r w:rsidR="000B17CD" w:rsidRPr="00883271">
              <w:rPr>
                <w:lang w:eastAsia="en-US"/>
              </w:rPr>
              <w:t xml:space="preserve">Finding </w:t>
            </w:r>
            <w:r w:rsidR="00B4582A" w:rsidRPr="00883271">
              <w:rPr>
                <w:lang w:eastAsia="en-US"/>
              </w:rPr>
              <w:t>9</w:t>
            </w:r>
          </w:p>
        </w:tc>
        <w:tc>
          <w:tcPr>
            <w:tcW w:w="4297" w:type="pct"/>
            <w:shd w:val="clear" w:color="auto" w:fill="F2F9FC"/>
          </w:tcPr>
          <w:p w14:paraId="02EC9C98" w14:textId="132150BB" w:rsidR="000B17CD" w:rsidRPr="00883271" w:rsidRDefault="00B4582A" w:rsidP="00D523DF">
            <w:pPr>
              <w:pStyle w:val="BoxText"/>
              <w:rPr>
                <w:lang w:eastAsia="en-US"/>
              </w:rPr>
            </w:pPr>
            <w:r w:rsidRPr="00883271">
              <w:rPr>
                <w:lang w:eastAsia="en-US"/>
              </w:rPr>
              <w:t>The scheme’s governance arrangements are generally fit</w:t>
            </w:r>
            <w:r w:rsidR="007B3C6A">
              <w:rPr>
                <w:lang w:eastAsia="en-US"/>
              </w:rPr>
              <w:noBreakHyphen/>
            </w:r>
            <w:r w:rsidRPr="00883271">
              <w:rPr>
                <w:lang w:eastAsia="en-US"/>
              </w:rPr>
              <w:t>for</w:t>
            </w:r>
            <w:r w:rsidR="007B3C6A">
              <w:rPr>
                <w:lang w:eastAsia="en-US"/>
              </w:rPr>
              <w:noBreakHyphen/>
            </w:r>
            <w:r w:rsidRPr="00883271">
              <w:rPr>
                <w:lang w:eastAsia="en-US"/>
              </w:rPr>
              <w:t xml:space="preserve">purpose. Reducing routine reporting by data providers, while </w:t>
            </w:r>
            <w:r w:rsidR="007C4EA7" w:rsidRPr="00883271">
              <w:rPr>
                <w:lang w:eastAsia="en-US"/>
              </w:rPr>
              <w:t xml:space="preserve">requiring </w:t>
            </w:r>
            <w:r w:rsidR="0024742F" w:rsidRPr="00883271">
              <w:rPr>
                <w:lang w:eastAsia="en-US"/>
              </w:rPr>
              <w:t xml:space="preserve">system </w:t>
            </w:r>
            <w:r w:rsidR="007C4EA7" w:rsidRPr="00883271">
              <w:rPr>
                <w:lang w:eastAsia="en-US"/>
              </w:rPr>
              <w:t>outage</w:t>
            </w:r>
            <w:r w:rsidR="00CB24E2" w:rsidRPr="00883271">
              <w:rPr>
                <w:lang w:eastAsia="en-US"/>
              </w:rPr>
              <w:t xml:space="preserve"> notifications</w:t>
            </w:r>
            <w:r w:rsidRPr="00883271">
              <w:rPr>
                <w:lang w:eastAsia="en-US"/>
              </w:rPr>
              <w:t xml:space="preserve"> to </w:t>
            </w:r>
            <w:r w:rsidR="0024742F" w:rsidRPr="00883271">
              <w:rPr>
                <w:lang w:eastAsia="en-US"/>
              </w:rPr>
              <w:t>the Scheme Adviser</w:t>
            </w:r>
            <w:r w:rsidRPr="00883271">
              <w:rPr>
                <w:lang w:eastAsia="en-US"/>
              </w:rPr>
              <w:t xml:space="preserve">, </w:t>
            </w:r>
            <w:r w:rsidR="0024742F" w:rsidRPr="00883271">
              <w:rPr>
                <w:lang w:eastAsia="en-US"/>
              </w:rPr>
              <w:t>would</w:t>
            </w:r>
            <w:r w:rsidRPr="00883271">
              <w:rPr>
                <w:lang w:eastAsia="en-US"/>
              </w:rPr>
              <w:t xml:space="preserve"> enhance </w:t>
            </w:r>
            <w:r w:rsidRPr="00D523DF">
              <w:t>the</w:t>
            </w:r>
            <w:r w:rsidRPr="00883271">
              <w:rPr>
                <w:lang w:eastAsia="en-US"/>
              </w:rPr>
              <w:t xml:space="preserve"> transparency of scheme operations and reduce the overall regulatory burden imposed on data providers.</w:t>
            </w:r>
          </w:p>
        </w:tc>
      </w:tr>
    </w:tbl>
    <w:p w14:paraId="6C97F550" w14:textId="77777777" w:rsidR="000B17CD" w:rsidRPr="00883271" w:rsidRDefault="000B17CD" w:rsidP="000B17CD">
      <w:pPr>
        <w:pStyle w:val="SingleParagraph"/>
        <w:rPr>
          <w:sz w:val="16"/>
          <w:szCs w:val="16"/>
        </w:rPr>
      </w:pPr>
    </w:p>
    <w:tbl>
      <w:tblPr>
        <w:tblW w:w="5000" w:type="pct"/>
        <w:shd w:val="clear" w:color="auto" w:fill="F2F9FC"/>
        <w:tblCellMar>
          <w:top w:w="57" w:type="dxa"/>
          <w:left w:w="57" w:type="dxa"/>
          <w:bottom w:w="57" w:type="dxa"/>
          <w:right w:w="57" w:type="dxa"/>
        </w:tblCellMar>
        <w:tblLook w:val="0620" w:firstRow="1" w:lastRow="0" w:firstColumn="0" w:lastColumn="0" w:noHBand="1" w:noVBand="1"/>
      </w:tblPr>
      <w:tblGrid>
        <w:gridCol w:w="1276"/>
        <w:gridCol w:w="7796"/>
      </w:tblGrid>
      <w:tr w:rsidR="000B17CD" w:rsidRPr="00883271" w14:paraId="0B2DE40D" w14:textId="77777777" w:rsidTr="00B51161">
        <w:tc>
          <w:tcPr>
            <w:tcW w:w="703" w:type="pct"/>
            <w:shd w:val="clear" w:color="auto" w:fill="F2F9FC"/>
            <w:hideMark/>
          </w:tcPr>
          <w:p w14:paraId="1CAAF1E7" w14:textId="1A22BB38" w:rsidR="000B17CD" w:rsidRPr="00883271" w:rsidRDefault="005C42BD" w:rsidP="00D523DF">
            <w:pPr>
              <w:pStyle w:val="BoxHeading"/>
              <w:spacing w:before="120"/>
              <w:rPr>
                <w:lang w:eastAsia="en-US"/>
              </w:rPr>
            </w:pPr>
            <w:r w:rsidRPr="00883271">
              <w:rPr>
                <w:lang w:eastAsia="en-US"/>
              </w:rPr>
              <w:lastRenderedPageBreak/>
              <w:t xml:space="preserve"> </w:t>
            </w:r>
            <w:r w:rsidR="000B17CD" w:rsidRPr="00883271">
              <w:rPr>
                <w:lang w:eastAsia="en-US"/>
              </w:rPr>
              <w:t>Finding 1</w:t>
            </w:r>
            <w:r w:rsidR="00B4582A" w:rsidRPr="00883271">
              <w:rPr>
                <w:lang w:eastAsia="en-US"/>
              </w:rPr>
              <w:t>0</w:t>
            </w:r>
          </w:p>
        </w:tc>
        <w:tc>
          <w:tcPr>
            <w:tcW w:w="4297" w:type="pct"/>
            <w:shd w:val="clear" w:color="auto" w:fill="F2F9FC"/>
          </w:tcPr>
          <w:p w14:paraId="650EFDDD" w14:textId="515095EB" w:rsidR="000B17CD" w:rsidRPr="00883271" w:rsidRDefault="00B4582A" w:rsidP="00D523DF">
            <w:pPr>
              <w:pStyle w:val="BoxText"/>
              <w:rPr>
                <w:lang w:eastAsia="en-US"/>
              </w:rPr>
            </w:pPr>
            <w:r w:rsidRPr="00883271">
              <w:rPr>
                <w:lang w:eastAsia="en-US"/>
              </w:rPr>
              <w:t xml:space="preserve">Incomplete compliance with the scheme by some data providers </w:t>
            </w:r>
            <w:r w:rsidR="00164D12" w:rsidRPr="00883271">
              <w:rPr>
                <w:lang w:eastAsia="en-US"/>
              </w:rPr>
              <w:t>risks</w:t>
            </w:r>
            <w:r w:rsidRPr="00883271">
              <w:rPr>
                <w:lang w:eastAsia="en-US"/>
              </w:rPr>
              <w:t xml:space="preserve"> undermin</w:t>
            </w:r>
            <w:r w:rsidR="00164D12" w:rsidRPr="00883271">
              <w:rPr>
                <w:lang w:eastAsia="en-US"/>
              </w:rPr>
              <w:t>ing</w:t>
            </w:r>
            <w:r w:rsidRPr="00883271">
              <w:rPr>
                <w:lang w:eastAsia="en-US"/>
              </w:rPr>
              <w:t xml:space="preserve"> confidence in the scheme as a whole. </w:t>
            </w:r>
            <w:r w:rsidR="00484986" w:rsidRPr="00883271">
              <w:rPr>
                <w:lang w:eastAsia="en-US"/>
              </w:rPr>
              <w:t>Technical amendments to the scheme</w:t>
            </w:r>
            <w:r w:rsidR="00724A9B" w:rsidRPr="00883271">
              <w:rPr>
                <w:lang w:eastAsia="en-US"/>
              </w:rPr>
              <w:t>,</w:t>
            </w:r>
            <w:r w:rsidR="00484986" w:rsidRPr="00883271">
              <w:rPr>
                <w:lang w:eastAsia="en-US"/>
              </w:rPr>
              <w:t xml:space="preserve"> including those aimed at </w:t>
            </w:r>
            <w:r w:rsidR="00484986" w:rsidRPr="00D523DF">
              <w:t>improving</w:t>
            </w:r>
            <w:r w:rsidR="00484986" w:rsidRPr="00883271">
              <w:rPr>
                <w:lang w:eastAsia="en-US"/>
              </w:rPr>
              <w:t xml:space="preserve"> regulatory clarity</w:t>
            </w:r>
            <w:r w:rsidR="00724A9B" w:rsidRPr="00883271">
              <w:rPr>
                <w:lang w:eastAsia="en-US"/>
              </w:rPr>
              <w:t>,</w:t>
            </w:r>
            <w:r w:rsidR="00484986" w:rsidRPr="00883271">
              <w:rPr>
                <w:lang w:eastAsia="en-US"/>
              </w:rPr>
              <w:t xml:space="preserve"> could allow more timely and proportionate enforcement activities by the Australian Competition and Consumer Commission. More visible public enforcement would also assist in deterring non</w:t>
            </w:r>
            <w:r w:rsidR="007B3C6A">
              <w:rPr>
                <w:lang w:eastAsia="en-US"/>
              </w:rPr>
              <w:noBreakHyphen/>
            </w:r>
            <w:r w:rsidR="00484986" w:rsidRPr="00883271">
              <w:rPr>
                <w:lang w:eastAsia="en-US"/>
              </w:rPr>
              <w:t>compliance.</w:t>
            </w:r>
          </w:p>
        </w:tc>
      </w:tr>
    </w:tbl>
    <w:p w14:paraId="3A802502" w14:textId="77777777" w:rsidR="000B17CD" w:rsidRPr="00883271" w:rsidRDefault="000B17CD" w:rsidP="000B17CD">
      <w:pPr>
        <w:pStyle w:val="SingleParagraph"/>
        <w:rPr>
          <w:sz w:val="16"/>
          <w:szCs w:val="16"/>
        </w:rPr>
      </w:pPr>
    </w:p>
    <w:tbl>
      <w:tblPr>
        <w:tblW w:w="5000" w:type="pct"/>
        <w:shd w:val="clear" w:color="auto" w:fill="F2F9FC"/>
        <w:tblCellMar>
          <w:top w:w="57" w:type="dxa"/>
          <w:left w:w="57" w:type="dxa"/>
          <w:bottom w:w="57" w:type="dxa"/>
          <w:right w:w="57" w:type="dxa"/>
        </w:tblCellMar>
        <w:tblLook w:val="0620" w:firstRow="1" w:lastRow="0" w:firstColumn="0" w:lastColumn="0" w:noHBand="1" w:noVBand="1"/>
      </w:tblPr>
      <w:tblGrid>
        <w:gridCol w:w="1276"/>
        <w:gridCol w:w="7796"/>
      </w:tblGrid>
      <w:tr w:rsidR="000B17CD" w:rsidRPr="00883271" w14:paraId="7F1CC4A6" w14:textId="77777777" w:rsidTr="00B51161">
        <w:tc>
          <w:tcPr>
            <w:tcW w:w="703" w:type="pct"/>
            <w:shd w:val="clear" w:color="auto" w:fill="F2F9FC"/>
            <w:hideMark/>
          </w:tcPr>
          <w:p w14:paraId="61188B47" w14:textId="408AEAD8" w:rsidR="000B17CD" w:rsidRPr="00883271" w:rsidRDefault="005C42BD" w:rsidP="00D523DF">
            <w:pPr>
              <w:pStyle w:val="BoxHeading"/>
              <w:spacing w:before="120"/>
              <w:rPr>
                <w:lang w:eastAsia="en-US"/>
              </w:rPr>
            </w:pPr>
            <w:r w:rsidRPr="00883271">
              <w:rPr>
                <w:lang w:eastAsia="en-US"/>
              </w:rPr>
              <w:t xml:space="preserve"> </w:t>
            </w:r>
            <w:r w:rsidR="000B17CD" w:rsidRPr="00883271">
              <w:rPr>
                <w:lang w:eastAsia="en-US"/>
              </w:rPr>
              <w:t>Finding 1</w:t>
            </w:r>
            <w:r w:rsidR="003D1C6A" w:rsidRPr="00883271">
              <w:rPr>
                <w:lang w:eastAsia="en-US"/>
              </w:rPr>
              <w:t>1</w:t>
            </w:r>
          </w:p>
        </w:tc>
        <w:tc>
          <w:tcPr>
            <w:tcW w:w="4297" w:type="pct"/>
            <w:shd w:val="clear" w:color="auto" w:fill="F2F9FC"/>
          </w:tcPr>
          <w:p w14:paraId="05A3FC90" w14:textId="55B493DB" w:rsidR="000B17CD" w:rsidRPr="00883271" w:rsidRDefault="003D1C6A" w:rsidP="00A6726C">
            <w:pPr>
              <w:pStyle w:val="BoxText"/>
              <w:rPr>
                <w:lang w:eastAsia="en-US"/>
              </w:rPr>
            </w:pPr>
            <w:r w:rsidRPr="00883271">
              <w:rPr>
                <w:lang w:eastAsia="en-US"/>
              </w:rPr>
              <w:t>The scheme's success to</w:t>
            </w:r>
            <w:r w:rsidR="00F816B1">
              <w:rPr>
                <w:lang w:eastAsia="en-US"/>
              </w:rPr>
              <w:t xml:space="preserve"> </w:t>
            </w:r>
            <w:r w:rsidRPr="00883271">
              <w:rPr>
                <w:lang w:eastAsia="en-US"/>
              </w:rPr>
              <w:t xml:space="preserve">date reflects strong collaboration across the Australian automotive sector. </w:t>
            </w:r>
            <w:r w:rsidRPr="00A6726C">
              <w:t>Ongoing</w:t>
            </w:r>
            <w:r w:rsidRPr="00883271">
              <w:rPr>
                <w:lang w:eastAsia="en-US"/>
              </w:rPr>
              <w:t xml:space="preserve"> effective stewardship of the scheme will require continued industry engagement</w:t>
            </w:r>
            <w:r w:rsidR="007C18FD" w:rsidRPr="00883271">
              <w:t xml:space="preserve"> to ensure the scheme remains responsive to market developments</w:t>
            </w:r>
            <w:r w:rsidRPr="00883271">
              <w:rPr>
                <w:lang w:eastAsia="en-US"/>
              </w:rPr>
              <w:t>.</w:t>
            </w:r>
          </w:p>
        </w:tc>
      </w:tr>
    </w:tbl>
    <w:p w14:paraId="3DE23CA4" w14:textId="77777777" w:rsidR="00A6726C" w:rsidRDefault="00A6726C" w:rsidP="00DC2E0F">
      <w:pPr>
        <w:pStyle w:val="Heading1Numbered"/>
        <w:sectPr w:rsidR="00A6726C" w:rsidSect="00BC1074">
          <w:headerReference w:type="even" r:id="rId18"/>
          <w:headerReference w:type="default" r:id="rId19"/>
          <w:footerReference w:type="even" r:id="rId20"/>
          <w:headerReference w:type="first" r:id="rId21"/>
          <w:footerReference w:type="first" r:id="rId22"/>
          <w:pgSz w:w="11906" w:h="16838" w:code="9"/>
          <w:pgMar w:top="1843" w:right="1417" w:bottom="1417" w:left="1417" w:header="709" w:footer="709" w:gutter="0"/>
          <w:pgNumType w:start="1"/>
          <w:cols w:space="708"/>
          <w:docGrid w:linePitch="360"/>
        </w:sectPr>
      </w:pPr>
      <w:bookmarkStart w:id="11" w:name="_Toc211963299"/>
      <w:bookmarkStart w:id="12" w:name="_Toc213340390"/>
    </w:p>
    <w:p w14:paraId="731D6B6E" w14:textId="5486C7DA" w:rsidR="00A967D9" w:rsidRPr="00B85192" w:rsidRDefault="008E31B8" w:rsidP="00A6726C">
      <w:pPr>
        <w:pStyle w:val="Heading1Numbered"/>
        <w:spacing w:before="0"/>
      </w:pPr>
      <w:r w:rsidRPr="00B85192">
        <w:lastRenderedPageBreak/>
        <w:t>Introduction</w:t>
      </w:r>
      <w:bookmarkEnd w:id="11"/>
      <w:bookmarkEnd w:id="12"/>
      <w:r w:rsidR="00E4411D" w:rsidRPr="00B85192">
        <w:t xml:space="preserve"> </w:t>
      </w:r>
    </w:p>
    <w:p w14:paraId="5A9A32BE" w14:textId="0310AC78" w:rsidR="00D6622A" w:rsidRPr="00883271" w:rsidRDefault="00083B1F" w:rsidP="00B85192">
      <w:r w:rsidRPr="00883271">
        <w:t>Across jurisdictions, the</w:t>
      </w:r>
      <w:r w:rsidR="000C3F8A" w:rsidRPr="00883271">
        <w:t xml:space="preserve"> </w:t>
      </w:r>
      <w:r w:rsidR="00BF0433">
        <w:t>‘</w:t>
      </w:r>
      <w:r w:rsidRPr="00883271">
        <w:t>r</w:t>
      </w:r>
      <w:r w:rsidR="00D6622A" w:rsidRPr="00883271">
        <w:t>ight to repair</w:t>
      </w:r>
      <w:r w:rsidR="00BF0433">
        <w:t>’</w:t>
      </w:r>
      <w:r w:rsidR="00D6622A" w:rsidRPr="00883271">
        <w:t xml:space="preserve"> </w:t>
      </w:r>
      <w:r w:rsidRPr="00883271">
        <w:t xml:space="preserve">has </w:t>
      </w:r>
      <w:r w:rsidR="00D52CD6" w:rsidRPr="00883271">
        <w:t>emerged</w:t>
      </w:r>
      <w:r w:rsidRPr="00883271">
        <w:t xml:space="preserve"> as a</w:t>
      </w:r>
      <w:r w:rsidR="00EE22F0" w:rsidRPr="00883271">
        <w:t xml:space="preserve"> multi</w:t>
      </w:r>
      <w:r w:rsidR="007B3C6A">
        <w:noBreakHyphen/>
      </w:r>
      <w:r w:rsidR="00EE22F0" w:rsidRPr="00883271">
        <w:t xml:space="preserve">faceted policy </w:t>
      </w:r>
      <w:r w:rsidR="00812E19" w:rsidRPr="00883271">
        <w:t>response to</w:t>
      </w:r>
      <w:r w:rsidR="00D6622A" w:rsidRPr="00883271">
        <w:t xml:space="preserve"> </w:t>
      </w:r>
      <w:r w:rsidR="00812E19" w:rsidRPr="00883271">
        <w:t>m</w:t>
      </w:r>
      <w:r w:rsidR="00D20F6F" w:rsidRPr="00883271">
        <w:t>anufacturer</w:t>
      </w:r>
      <w:r w:rsidR="007B3C6A">
        <w:noBreakHyphen/>
      </w:r>
      <w:r w:rsidR="00D52CD6" w:rsidRPr="00883271">
        <w:t>imposed</w:t>
      </w:r>
      <w:r w:rsidR="00D6622A" w:rsidRPr="00883271">
        <w:t xml:space="preserve"> constraints on the ability to repair goods such as electronics, appliances, motor vehicles</w:t>
      </w:r>
      <w:r w:rsidRPr="00883271">
        <w:t>, medical equipment and agricultural machinery</w:t>
      </w:r>
      <w:r w:rsidR="00D6622A" w:rsidRPr="00883271">
        <w:t xml:space="preserve">. </w:t>
      </w:r>
      <w:r w:rsidR="00D52CD6" w:rsidRPr="00883271">
        <w:t>Manufacturer control</w:t>
      </w:r>
      <w:r w:rsidR="007B6CD6" w:rsidRPr="00883271">
        <w:t xml:space="preserve"> over</w:t>
      </w:r>
      <w:r w:rsidR="00980B75" w:rsidRPr="00883271">
        <w:t xml:space="preserve"> the information needed to repair and service goods</w:t>
      </w:r>
      <w:r w:rsidR="00BE18A3" w:rsidRPr="00883271">
        <w:t xml:space="preserve"> can be used by manufacturers to restrict</w:t>
      </w:r>
      <w:r w:rsidR="00322119" w:rsidRPr="00883271">
        <w:t xml:space="preserve"> </w:t>
      </w:r>
      <w:r w:rsidR="0061337E" w:rsidRPr="00883271">
        <w:t>competition in the market for repairs</w:t>
      </w:r>
      <w:r w:rsidR="00BE18A3" w:rsidRPr="00883271">
        <w:t>.</w:t>
      </w:r>
      <w:r w:rsidR="00D6622A" w:rsidRPr="00883271">
        <w:t xml:space="preserve"> </w:t>
      </w:r>
      <w:r w:rsidR="00791C25" w:rsidRPr="00883271">
        <w:t>T</w:t>
      </w:r>
      <w:r w:rsidR="00D6622A" w:rsidRPr="00883271">
        <w:t>his dynamic may reduce opportunities for domestic value creation</w:t>
      </w:r>
      <w:r w:rsidR="00BE18A3" w:rsidRPr="00883271">
        <w:t xml:space="preserve"> and result in consumers relying on </w:t>
      </w:r>
      <w:r w:rsidR="000746E7" w:rsidRPr="00883271">
        <w:t>higher cost</w:t>
      </w:r>
      <w:r w:rsidR="00BE18A3" w:rsidRPr="00883271">
        <w:t xml:space="preserve"> authorised repairers</w:t>
      </w:r>
      <w:r w:rsidR="00D6622A" w:rsidRPr="00883271">
        <w:t>.</w:t>
      </w:r>
      <w:r w:rsidR="00D6622A" w:rsidRPr="00883271" w:rsidDel="00513A66">
        <w:t xml:space="preserve"> </w:t>
      </w:r>
      <w:r w:rsidR="00BE18A3" w:rsidRPr="00883271">
        <w:t xml:space="preserve">While </w:t>
      </w:r>
      <w:r w:rsidR="00BF0433">
        <w:t>‘</w:t>
      </w:r>
      <w:r w:rsidR="00BE18A3" w:rsidRPr="00883271">
        <w:t>r</w:t>
      </w:r>
      <w:r w:rsidR="00F61B4B" w:rsidRPr="00883271">
        <w:t>ight to repair</w:t>
      </w:r>
      <w:r w:rsidR="00BF0433">
        <w:t>’</w:t>
      </w:r>
      <w:r w:rsidR="00D6622A" w:rsidRPr="00883271">
        <w:t xml:space="preserve"> </w:t>
      </w:r>
      <w:r w:rsidR="00F61B4B" w:rsidRPr="00883271">
        <w:t>policy interventions vary globall</w:t>
      </w:r>
      <w:r w:rsidR="000746E7" w:rsidRPr="00883271">
        <w:t>y, they</w:t>
      </w:r>
      <w:r w:rsidR="00226B42" w:rsidRPr="00883271">
        <w:t xml:space="preserve"> typically</w:t>
      </w:r>
      <w:r w:rsidR="00D6622A" w:rsidRPr="00883271">
        <w:t xml:space="preserve"> aim to lower repair costs, support local </w:t>
      </w:r>
      <w:r w:rsidR="00791C25" w:rsidRPr="00883271">
        <w:t>repairers</w:t>
      </w:r>
      <w:r w:rsidR="00D6622A" w:rsidRPr="00883271">
        <w:t>, and reduce waste by addressing barriers to entry in the repair sector.</w:t>
      </w:r>
    </w:p>
    <w:p w14:paraId="73ECEDAA" w14:textId="2DFC1889" w:rsidR="00991A73" w:rsidRPr="00883271" w:rsidRDefault="000E6B34" w:rsidP="00B85192">
      <w:r w:rsidRPr="00883271">
        <w:t xml:space="preserve">The Motor Vehicle Service and Repair Information Sharing Scheme (the scheme) </w:t>
      </w:r>
      <w:r w:rsidR="005359D2" w:rsidRPr="00883271">
        <w:t>commenced</w:t>
      </w:r>
      <w:r w:rsidRPr="00883271">
        <w:t xml:space="preserve"> on 1</w:t>
      </w:r>
      <w:r w:rsidR="00CB15AB">
        <w:t> </w:t>
      </w:r>
      <w:r w:rsidRPr="00883271">
        <w:t>July</w:t>
      </w:r>
      <w:r w:rsidR="00CB15AB">
        <w:t> </w:t>
      </w:r>
      <w:r w:rsidRPr="00883271">
        <w:t>2022</w:t>
      </w:r>
      <w:r w:rsidR="000C24E7" w:rsidRPr="00883271">
        <w:t xml:space="preserve"> and is Australia</w:t>
      </w:r>
      <w:r w:rsidR="00BF0433">
        <w:t>’</w:t>
      </w:r>
      <w:r w:rsidR="000C24E7" w:rsidRPr="00883271">
        <w:t>s first right to repair law</w:t>
      </w:r>
      <w:r w:rsidRPr="00883271">
        <w:t xml:space="preserve">. </w:t>
      </w:r>
      <w:r w:rsidR="00EE7A75" w:rsidRPr="00883271">
        <w:t xml:space="preserve">In </w:t>
      </w:r>
      <w:r w:rsidR="00C9228E" w:rsidRPr="00883271">
        <w:t>November 2024</w:t>
      </w:r>
      <w:r w:rsidR="00EE7A75" w:rsidRPr="00883271">
        <w:t xml:space="preserve">, the </w:t>
      </w:r>
      <w:r w:rsidRPr="00883271">
        <w:t>Commonwealth committed to a review of the scheme under Australia</w:t>
      </w:r>
      <w:r w:rsidR="00BF0433">
        <w:t>’</w:t>
      </w:r>
      <w:r w:rsidRPr="00883271">
        <w:t xml:space="preserve">s revitalised National Competition Policy (NCP). </w:t>
      </w:r>
      <w:r w:rsidR="003778B7" w:rsidRPr="00883271">
        <w:t>T</w:t>
      </w:r>
      <w:r w:rsidRPr="00883271">
        <w:t xml:space="preserve">he first tranche of reforms </w:t>
      </w:r>
      <w:r w:rsidR="00793956" w:rsidRPr="00883271">
        <w:t xml:space="preserve">announced under the </w:t>
      </w:r>
      <w:r w:rsidRPr="00883271">
        <w:t>revitalis</w:t>
      </w:r>
      <w:r w:rsidR="00793956" w:rsidRPr="00883271">
        <w:t>ed</w:t>
      </w:r>
      <w:r w:rsidRPr="00883271">
        <w:t xml:space="preserve"> NCP </w:t>
      </w:r>
      <w:r w:rsidR="0082091D" w:rsidRPr="00883271">
        <w:t>ha</w:t>
      </w:r>
      <w:r w:rsidR="00793956" w:rsidRPr="00883271">
        <w:t>d</w:t>
      </w:r>
      <w:r w:rsidR="0082091D" w:rsidRPr="00883271">
        <w:t xml:space="preserve"> a</w:t>
      </w:r>
      <w:r w:rsidR="00793956" w:rsidRPr="00883271">
        <w:t>n express</w:t>
      </w:r>
      <w:r w:rsidR="0082091D" w:rsidRPr="00883271">
        <w:t xml:space="preserve"> </w:t>
      </w:r>
      <w:r w:rsidRPr="00883271">
        <w:t xml:space="preserve">focus on </w:t>
      </w:r>
      <w:r w:rsidR="00C47971" w:rsidRPr="00883271">
        <w:t xml:space="preserve">relieving </w:t>
      </w:r>
      <w:r w:rsidRPr="00883271">
        <w:t>cost of living and regulatory burdens</w:t>
      </w:r>
      <w:r w:rsidR="00C47971" w:rsidRPr="00883271">
        <w:t xml:space="preserve">, and </w:t>
      </w:r>
      <w:r w:rsidR="006B200D" w:rsidRPr="00883271">
        <w:t>the</w:t>
      </w:r>
      <w:r w:rsidRPr="00883271">
        <w:t xml:space="preserve"> Review of the Motor Vehicle Service and Repair Information Sharing Scheme</w:t>
      </w:r>
      <w:r w:rsidR="00A17E02" w:rsidRPr="00883271">
        <w:t xml:space="preserve"> </w:t>
      </w:r>
      <w:r w:rsidRPr="00883271">
        <w:t>forms part of this tranche.</w:t>
      </w:r>
    </w:p>
    <w:p w14:paraId="33E70A50" w14:textId="009D91FA" w:rsidR="00411524" w:rsidRPr="00883271" w:rsidRDefault="000E6B34" w:rsidP="0078672A">
      <w:pPr>
        <w:spacing w:after="240"/>
      </w:pPr>
      <w:r w:rsidRPr="00883271">
        <w:t xml:space="preserve">The Review </w:t>
      </w:r>
      <w:r w:rsidR="00411524" w:rsidRPr="00883271">
        <w:t>considered</w:t>
      </w:r>
      <w:r w:rsidR="00A10D0A" w:rsidRPr="00883271">
        <w:t xml:space="preserve"> </w:t>
      </w:r>
      <w:r w:rsidRPr="00883271">
        <w:t xml:space="preserve">the extent to which the scheme </w:t>
      </w:r>
      <w:r w:rsidR="006B200D" w:rsidRPr="00883271">
        <w:t>is achieving</w:t>
      </w:r>
      <w:r w:rsidRPr="00883271">
        <w:t xml:space="preserve"> its legislated objectives</w:t>
      </w:r>
      <w:r w:rsidR="00751922" w:rsidRPr="00883271">
        <w:t xml:space="preserve"> </w:t>
      </w:r>
      <w:r w:rsidR="00457D84" w:rsidRPr="00883271">
        <w:t xml:space="preserve">as set out in </w:t>
      </w:r>
      <w:r w:rsidR="002E2E7E" w:rsidRPr="00883271">
        <w:t>Box 1.1</w:t>
      </w:r>
      <w:r w:rsidR="00457D84" w:rsidRPr="00883271">
        <w:t>. It also</w:t>
      </w:r>
      <w:r w:rsidR="00411524" w:rsidRPr="00883271">
        <w:t xml:space="preserve"> </w:t>
      </w:r>
      <w:r w:rsidRPr="00883271">
        <w:t>assess</w:t>
      </w:r>
      <w:r w:rsidR="005C3C97" w:rsidRPr="00883271">
        <w:t>ed</w:t>
      </w:r>
      <w:r w:rsidRPr="00883271">
        <w:t xml:space="preserve"> the </w:t>
      </w:r>
      <w:r w:rsidR="00BB5637" w:rsidRPr="00883271">
        <w:t xml:space="preserve">early </w:t>
      </w:r>
      <w:r w:rsidRPr="00883271">
        <w:t xml:space="preserve">economic impact of the scheme and its impact on stakeholders. </w:t>
      </w:r>
    </w:p>
    <w:tbl>
      <w:tblPr>
        <w:tblStyle w:val="TableGrid"/>
        <w:tblpPr w:leftFromText="181" w:rightFromText="181" w:vertAnchor="text" w:horzAnchor="margin" w:tblpY="1"/>
        <w:tblW w:w="5078" w:type="pct"/>
        <w:shd w:val="clear" w:color="auto" w:fill="FCEEE5" w:themeFill="accent6" w:themeFillTint="33"/>
        <w:tblCellMar>
          <w:top w:w="227" w:type="dxa"/>
          <w:left w:w="227" w:type="dxa"/>
          <w:bottom w:w="227" w:type="dxa"/>
          <w:right w:w="227" w:type="dxa"/>
        </w:tblCellMar>
        <w:tblLook w:val="0620" w:firstRow="1" w:lastRow="0" w:firstColumn="0" w:lastColumn="0" w:noHBand="1" w:noVBand="1"/>
      </w:tblPr>
      <w:tblGrid>
        <w:gridCol w:w="9214"/>
      </w:tblGrid>
      <w:tr w:rsidR="00363B34" w:rsidRPr="00883271" w14:paraId="681C5B91" w14:textId="77777777">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CEEE5" w:themeFill="accent6" w:themeFillTint="33"/>
            <w:hideMark/>
          </w:tcPr>
          <w:p w14:paraId="174E1998" w14:textId="1950FFBE" w:rsidR="00363B34" w:rsidRPr="00883271" w:rsidRDefault="001C4D99" w:rsidP="00076F29">
            <w:pPr>
              <w:pStyle w:val="BoxHeading"/>
              <w:spacing w:before="0"/>
              <w:rPr>
                <w:sz w:val="27"/>
                <w:szCs w:val="27"/>
              </w:rPr>
            </w:pPr>
            <w:r w:rsidRPr="00883271">
              <w:rPr>
                <w:noProof/>
              </w:rPr>
              <w:drawing>
                <wp:inline distT="0" distB="0" distL="0" distR="0" wp14:anchorId="62700C2D" wp14:editId="74C09F04">
                  <wp:extent cx="280670" cy="280670"/>
                  <wp:effectExtent l="0" t="0" r="5080" b="5080"/>
                  <wp:docPr id="174484201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42012" name="Picture 5">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inline>
              </w:drawing>
            </w:r>
            <w:r w:rsidR="003E10A8" w:rsidRPr="00255C4E">
              <w:t>Box 1</w:t>
            </w:r>
            <w:r w:rsidR="00DC3E13" w:rsidRPr="00255C4E">
              <w:t>.1</w:t>
            </w:r>
            <w:r w:rsidR="00255C4E">
              <w:t>:</w:t>
            </w:r>
            <w:r w:rsidR="00DC3E13" w:rsidRPr="00255C4E">
              <w:t xml:space="preserve"> </w:t>
            </w:r>
            <w:r w:rsidR="00363B34" w:rsidRPr="00255C4E">
              <w:t>Objectives of the Motor Vehicle Service and Repair Information Sharing Scheme</w:t>
            </w:r>
          </w:p>
          <w:p w14:paraId="29FB0028" w14:textId="188FE6C7" w:rsidR="00255C4E" w:rsidRPr="00B876F2" w:rsidRDefault="00363B34" w:rsidP="00255C4E">
            <w:pPr>
              <w:pStyle w:val="BoxText"/>
              <w:rPr>
                <w:b/>
                <w:bCs/>
                <w:color w:val="auto"/>
              </w:rPr>
            </w:pPr>
            <w:r w:rsidRPr="00B876F2">
              <w:rPr>
                <w:bCs/>
                <w:color w:val="auto"/>
              </w:rPr>
              <w:t>The objectives of the scheme are to:</w:t>
            </w:r>
          </w:p>
          <w:p w14:paraId="5A0C8D62" w14:textId="77777777" w:rsidR="00363B34" w:rsidRPr="00255C4E" w:rsidRDefault="00363B34" w:rsidP="00255C4E">
            <w:pPr>
              <w:pStyle w:val="BoxAlpha"/>
              <w:rPr>
                <w:b/>
                <w:bCs w:val="0"/>
              </w:rPr>
            </w:pPr>
            <w:r w:rsidRPr="00255C4E">
              <w:rPr>
                <w:bCs w:val="0"/>
              </w:rPr>
              <w:t>promote competition between Australian repairers of passenger and light goods motor vehicles and establish a fair playing field by mandating access, on fair and reasonable commercial terms, to information used to diagnose, repair, service, modify or dismantle scheme vehicles</w:t>
            </w:r>
          </w:p>
          <w:p w14:paraId="2E98C73D" w14:textId="77777777" w:rsidR="00363B34" w:rsidRPr="00255C4E" w:rsidRDefault="00363B34" w:rsidP="00255C4E">
            <w:pPr>
              <w:pStyle w:val="BoxAlpha"/>
              <w:rPr>
                <w:b/>
                <w:bCs w:val="0"/>
              </w:rPr>
            </w:pPr>
            <w:r w:rsidRPr="00255C4E">
              <w:rPr>
                <w:bCs w:val="0"/>
              </w:rPr>
              <w:t>enable consumers to have scheme vehicles diagnosed, repaired, serviced, modified or dismantled safely and effectively by an Australian repairer of their choice</w:t>
            </w:r>
          </w:p>
          <w:p w14:paraId="36203272" w14:textId="77777777" w:rsidR="00363B34" w:rsidRPr="00255C4E" w:rsidRDefault="00363B34" w:rsidP="00255C4E">
            <w:pPr>
              <w:pStyle w:val="BoxAlpha"/>
              <w:rPr>
                <w:b/>
                <w:bCs w:val="0"/>
              </w:rPr>
            </w:pPr>
            <w:r w:rsidRPr="00255C4E">
              <w:rPr>
                <w:bCs w:val="0"/>
              </w:rPr>
              <w:t>encourage the provision of accessible and affordable</w:t>
            </w:r>
            <w:r w:rsidR="00C350B4" w:rsidRPr="00255C4E">
              <w:rPr>
                <w:bCs w:val="0"/>
              </w:rPr>
              <w:t xml:space="preserve"> </w:t>
            </w:r>
            <w:r w:rsidRPr="00255C4E">
              <w:rPr>
                <w:bCs w:val="0"/>
              </w:rPr>
              <w:t>information about scheme vehicles to Australian repairers, and to registered training organisations (for training purposes)</w:t>
            </w:r>
          </w:p>
          <w:p w14:paraId="0C3C1D9A" w14:textId="77777777" w:rsidR="00363B34" w:rsidRPr="00255C4E" w:rsidRDefault="00363B34" w:rsidP="00255C4E">
            <w:pPr>
              <w:pStyle w:val="BoxAlpha"/>
              <w:rPr>
                <w:b/>
                <w:bCs w:val="0"/>
              </w:rPr>
            </w:pPr>
            <w:r w:rsidRPr="00255C4E">
              <w:rPr>
                <w:bCs w:val="0"/>
              </w:rPr>
              <w:t>protect safety and security information about scheme vehicles to ensure the safety and security of consumers, information users and the general public, and</w:t>
            </w:r>
          </w:p>
          <w:p w14:paraId="79485CC8" w14:textId="77777777" w:rsidR="00363B34" w:rsidRPr="00883271" w:rsidRDefault="00363B34" w:rsidP="00076F29">
            <w:pPr>
              <w:pStyle w:val="BoxAlpha"/>
              <w:spacing w:after="0"/>
            </w:pPr>
            <w:r w:rsidRPr="00255C4E">
              <w:rPr>
                <w:bCs w:val="0"/>
              </w:rPr>
              <w:t>provide for the resolution of disputes about the application of the scheme.</w:t>
            </w:r>
          </w:p>
        </w:tc>
      </w:tr>
    </w:tbl>
    <w:p w14:paraId="66DE62F3" w14:textId="0210E295" w:rsidR="00E8246D" w:rsidRPr="00883271" w:rsidRDefault="00E8246D" w:rsidP="0078672A">
      <w:pPr>
        <w:spacing w:before="240"/>
      </w:pPr>
      <w:r w:rsidRPr="00883271">
        <w:t xml:space="preserve">The capability of agencies, including the </w:t>
      </w:r>
      <w:r w:rsidR="00F43E15" w:rsidRPr="00883271">
        <w:t>Australian Competition and Consumer Commission (ACCC)</w:t>
      </w:r>
      <w:r w:rsidRPr="00883271">
        <w:t xml:space="preserve"> and Scheme Adviser, to perform functions under or in connection with the scheme, as well as the appointment arrangements for the Scheme Adviser, </w:t>
      </w:r>
      <w:r w:rsidR="007C18E7" w:rsidRPr="00883271">
        <w:t>were not in</w:t>
      </w:r>
      <w:r w:rsidRPr="00883271">
        <w:t xml:space="preserve"> scope of the Review.</w:t>
      </w:r>
    </w:p>
    <w:p w14:paraId="149BF47B" w14:textId="1ABF24B3" w:rsidR="00A56046" w:rsidRPr="00883271" w:rsidRDefault="001017B3" w:rsidP="00110D67">
      <w:r w:rsidRPr="00883271">
        <w:t xml:space="preserve">This </w:t>
      </w:r>
      <w:r w:rsidR="00527A79">
        <w:t xml:space="preserve">Final </w:t>
      </w:r>
      <w:r w:rsidR="00805671" w:rsidRPr="00883271">
        <w:t xml:space="preserve">Report </w:t>
      </w:r>
      <w:r w:rsidR="000942B1" w:rsidRPr="00883271">
        <w:t xml:space="preserve">builds on </w:t>
      </w:r>
      <w:r w:rsidR="00977BFB" w:rsidRPr="00883271">
        <w:t xml:space="preserve">the </w:t>
      </w:r>
      <w:r w:rsidR="0098323F" w:rsidRPr="00883271">
        <w:t>ACCC</w:t>
      </w:r>
      <w:r w:rsidR="00BF0433">
        <w:t>’</w:t>
      </w:r>
      <w:r w:rsidR="0098323F" w:rsidRPr="00883271">
        <w:t>s 2017 New Car</w:t>
      </w:r>
      <w:r w:rsidR="0098323F" w:rsidRPr="00883271">
        <w:rPr>
          <w:i/>
        </w:rPr>
        <w:t xml:space="preserve"> </w:t>
      </w:r>
      <w:r w:rsidR="0098323F" w:rsidRPr="00883271">
        <w:t>Retailing Industry market study</w:t>
      </w:r>
      <w:r w:rsidR="00A76DE3" w:rsidRPr="00883271">
        <w:t xml:space="preserve"> and</w:t>
      </w:r>
      <w:r w:rsidR="0098323F" w:rsidRPr="00883271">
        <w:t xml:space="preserve"> the Productivity Commission</w:t>
      </w:r>
      <w:r w:rsidR="00BF0433">
        <w:t>’</w:t>
      </w:r>
      <w:r w:rsidR="0098323F" w:rsidRPr="00883271">
        <w:t xml:space="preserve">s </w:t>
      </w:r>
      <w:r w:rsidR="00500EEA" w:rsidRPr="00883271">
        <w:t>2021</w:t>
      </w:r>
      <w:r w:rsidR="00F32C55" w:rsidRPr="00883271">
        <w:t xml:space="preserve"> Right to Repair Inquiry</w:t>
      </w:r>
      <w:r w:rsidR="002B1014" w:rsidRPr="00883271">
        <w:t xml:space="preserve">. The Review </w:t>
      </w:r>
      <w:r w:rsidR="00411801" w:rsidRPr="00883271">
        <w:t xml:space="preserve">was also informed by </w:t>
      </w:r>
      <w:r w:rsidR="00841A3F" w:rsidRPr="00883271">
        <w:t>the June 2025 update to the ACCC</w:t>
      </w:r>
      <w:r w:rsidR="00BF0433">
        <w:t>’</w:t>
      </w:r>
      <w:r w:rsidR="00841A3F" w:rsidRPr="00883271">
        <w:t xml:space="preserve">s </w:t>
      </w:r>
      <w:r w:rsidR="005D55F5" w:rsidRPr="00883271">
        <w:rPr>
          <w:i/>
          <w:iCs/>
        </w:rPr>
        <w:t>G</w:t>
      </w:r>
      <w:r w:rsidR="000914D0" w:rsidRPr="00883271">
        <w:rPr>
          <w:i/>
          <w:iCs/>
        </w:rPr>
        <w:t>uidance</w:t>
      </w:r>
      <w:r w:rsidR="000914D0" w:rsidRPr="00883271">
        <w:rPr>
          <w:i/>
        </w:rPr>
        <w:t xml:space="preserve"> on the motor vehicle service and repair information sharing scheme for data providers</w:t>
      </w:r>
      <w:r w:rsidR="00A835AC" w:rsidRPr="00883271">
        <w:rPr>
          <w:i/>
          <w:iCs/>
        </w:rPr>
        <w:t xml:space="preserve"> </w:t>
      </w:r>
      <w:r w:rsidR="00A835AC" w:rsidRPr="00883271">
        <w:t>(</w:t>
      </w:r>
      <w:r w:rsidR="00BF0433">
        <w:t>‘</w:t>
      </w:r>
      <w:r w:rsidR="00A835AC" w:rsidRPr="00883271">
        <w:t>ACCC Regulatory Guidance</w:t>
      </w:r>
      <w:r w:rsidR="00BF0433">
        <w:t>’</w:t>
      </w:r>
      <w:r w:rsidR="00A835AC" w:rsidRPr="00883271">
        <w:t>)</w:t>
      </w:r>
      <w:r w:rsidR="000914D0" w:rsidRPr="00883271">
        <w:t xml:space="preserve">. </w:t>
      </w:r>
      <w:r w:rsidR="00E11746" w:rsidRPr="00883271">
        <w:t xml:space="preserve">The Review will inform consideration by the Commonwealth, states and territories regarding future directions of right to repair </w:t>
      </w:r>
      <w:r w:rsidR="00917F05" w:rsidRPr="00883271">
        <w:t>policy in Australia within the NCP framework.</w:t>
      </w:r>
    </w:p>
    <w:p w14:paraId="5C6F0F27" w14:textId="73038951" w:rsidR="004A2B8E" w:rsidRPr="00883271" w:rsidRDefault="00883471" w:rsidP="00B876F2">
      <w:pPr>
        <w:pStyle w:val="Heading2"/>
      </w:pPr>
      <w:bookmarkStart w:id="13" w:name="_Toc211963300"/>
      <w:bookmarkStart w:id="14" w:name="_Toc212130851"/>
      <w:bookmarkStart w:id="15" w:name="_Toc213340391"/>
      <w:r w:rsidRPr="00883271">
        <w:lastRenderedPageBreak/>
        <w:t xml:space="preserve">The </w:t>
      </w:r>
      <w:r w:rsidR="004A2B8E" w:rsidRPr="00B876F2">
        <w:t>scheme</w:t>
      </w:r>
      <w:bookmarkEnd w:id="13"/>
      <w:bookmarkEnd w:id="14"/>
      <w:bookmarkEnd w:id="15"/>
      <w:r w:rsidR="00E4411D" w:rsidRPr="00883271">
        <w:t xml:space="preserve"> </w:t>
      </w:r>
    </w:p>
    <w:p w14:paraId="7DF08BB7" w14:textId="1B81FFFE" w:rsidR="009B2016" w:rsidRPr="00883271" w:rsidRDefault="00147196" w:rsidP="00B85192">
      <w:r w:rsidRPr="00883271">
        <w:t xml:space="preserve">The scheme, contained in Part IVE of the </w:t>
      </w:r>
      <w:r w:rsidRPr="00883271">
        <w:rPr>
          <w:i/>
        </w:rPr>
        <w:t>Competition and Consumer Act 2010</w:t>
      </w:r>
      <w:r w:rsidRPr="00883271">
        <w:t xml:space="preserve"> (Cth)</w:t>
      </w:r>
      <w:r w:rsidR="00322761" w:rsidRPr="00883271">
        <w:t xml:space="preserve"> (</w:t>
      </w:r>
      <w:r w:rsidR="00BF0433">
        <w:t>‘</w:t>
      </w:r>
      <w:r w:rsidR="00322761" w:rsidRPr="00883271">
        <w:t>CCA</w:t>
      </w:r>
      <w:r w:rsidR="00BF0433">
        <w:t>’</w:t>
      </w:r>
      <w:r w:rsidR="00322761" w:rsidRPr="00883271">
        <w:t>)</w:t>
      </w:r>
      <w:r w:rsidRPr="00883271">
        <w:t>, supports competition in the market for motor vehicle service and repair. The scheme establishes a fair playing field between Australian repairers by mandating access, on fair and reasonable commercial terms, to information used to diagnose, repair, service, modify or dismantle vehicles to which it applies</w:t>
      </w:r>
      <w:r w:rsidR="001E2B89" w:rsidRPr="00883271">
        <w:t xml:space="preserve"> (</w:t>
      </w:r>
      <w:r w:rsidR="00BF0433">
        <w:t>‘</w:t>
      </w:r>
      <w:r w:rsidR="001E2B89" w:rsidRPr="00883271">
        <w:t>scheme information</w:t>
      </w:r>
      <w:r w:rsidR="00BF0433">
        <w:t>’</w:t>
      </w:r>
      <w:r w:rsidR="001E2B89" w:rsidRPr="00883271">
        <w:t>)</w:t>
      </w:r>
      <w:r w:rsidRPr="00883271">
        <w:t xml:space="preserve">. </w:t>
      </w:r>
    </w:p>
    <w:p w14:paraId="692750E7" w14:textId="6F63909D" w:rsidR="000B1302" w:rsidRPr="00883271" w:rsidRDefault="003815FD" w:rsidP="00110D67">
      <w:pPr>
        <w:spacing w:after="100"/>
        <w:rPr>
          <w:rFonts w:cs="Calibri Light"/>
        </w:rPr>
      </w:pPr>
      <w:r w:rsidRPr="00883271">
        <w:t>The definition of scheme information is broad and captures a range of information that an Australian repairer needs to diagnose, re</w:t>
      </w:r>
      <w:r w:rsidRPr="00883271">
        <w:rPr>
          <w:rFonts w:cs="Calibri Light"/>
        </w:rPr>
        <w:t>pair, service, modify or dismantle scheme vehicles.</w:t>
      </w:r>
      <w:r w:rsidR="000B1302" w:rsidRPr="00883271">
        <w:rPr>
          <w:rStyle w:val="FootnoteReference"/>
          <w:rFonts w:cs="Calibri Light"/>
          <w:sz w:val="21"/>
          <w:szCs w:val="21"/>
        </w:rPr>
        <w:footnoteReference w:id="2"/>
      </w:r>
      <w:r w:rsidR="000B1302" w:rsidRPr="00883271">
        <w:rPr>
          <w:rFonts w:cs="Calibri Light"/>
        </w:rPr>
        <w:t xml:space="preserve"> This includes:</w:t>
      </w:r>
    </w:p>
    <w:p w14:paraId="245791B9" w14:textId="04C8B5CE" w:rsidR="000B1302" w:rsidRPr="00883271" w:rsidRDefault="000B1302" w:rsidP="00110D67">
      <w:pPr>
        <w:pStyle w:val="Bullet"/>
        <w:spacing w:after="100"/>
      </w:pPr>
      <w:r w:rsidRPr="00883271">
        <w:t xml:space="preserve">manuals, </w:t>
      </w:r>
      <w:r w:rsidRPr="00B85192">
        <w:t>technical</w:t>
      </w:r>
      <w:r w:rsidRPr="00883271">
        <w:t xml:space="preserve"> service bulletins, wiring diagrams, technical specifications for components and lubricants and testing procedures (including in relation to environmental performance)</w:t>
      </w:r>
    </w:p>
    <w:p w14:paraId="4E7E3DF3" w14:textId="0D9B6AB8" w:rsidR="000B1302" w:rsidRPr="00883271" w:rsidRDefault="000B1302" w:rsidP="00110D67">
      <w:pPr>
        <w:pStyle w:val="Bullet"/>
        <w:spacing w:after="100"/>
      </w:pPr>
      <w:r w:rsidRPr="00B85192">
        <w:t>information</w:t>
      </w:r>
      <w:r w:rsidRPr="00883271">
        <w:t xml:space="preserve"> and codes for computerised systems (such as information that may appear on a scheme vehicle</w:t>
      </w:r>
      <w:r w:rsidR="00BF0433">
        <w:t>’</w:t>
      </w:r>
      <w:r w:rsidRPr="00883271">
        <w:t>s on</w:t>
      </w:r>
      <w:r w:rsidR="007B3C6A">
        <w:noBreakHyphen/>
      </w:r>
      <w:r w:rsidRPr="00883271">
        <w:t>board display after being plugged into a computer system)</w:t>
      </w:r>
    </w:p>
    <w:p w14:paraId="5C1B61A7" w14:textId="77777777" w:rsidR="000B1302" w:rsidRPr="00883271" w:rsidRDefault="000B1302" w:rsidP="00110D67">
      <w:pPr>
        <w:pStyle w:val="Bullet"/>
        <w:spacing w:after="100"/>
      </w:pPr>
      <w:r w:rsidRPr="00B85192">
        <w:t>information</w:t>
      </w:r>
      <w:r w:rsidRPr="00883271">
        <w:t xml:space="preserve"> about a voluntary or mandatory recalled component of a vehicle and information needed to rectify the issue, and</w:t>
      </w:r>
    </w:p>
    <w:p w14:paraId="217E1D5C" w14:textId="104C7207" w:rsidR="000B1302" w:rsidRPr="00883271" w:rsidRDefault="000B1302" w:rsidP="00B85192">
      <w:pPr>
        <w:pStyle w:val="Bullet"/>
      </w:pPr>
      <w:r w:rsidRPr="00883271">
        <w:t>software updates, for example where necessary after replacement parts are installed to ensure the vehicle</w:t>
      </w:r>
      <w:r w:rsidR="00BF0433">
        <w:t>’</w:t>
      </w:r>
      <w:r w:rsidRPr="00883271">
        <w:t>s electronic systems recognise and accept the new part.</w:t>
      </w:r>
      <w:r w:rsidRPr="00883271">
        <w:rPr>
          <w:rStyle w:val="FootnoteReference"/>
          <w:szCs w:val="21"/>
        </w:rPr>
        <w:footnoteReference w:id="3"/>
      </w:r>
    </w:p>
    <w:p w14:paraId="21E64871" w14:textId="276A2B9B" w:rsidR="000B1302" w:rsidRPr="00883271" w:rsidRDefault="000B1302" w:rsidP="00B85192">
      <w:r w:rsidRPr="00883271">
        <w:t>Generally, scheme information is prepared by or for vehicle manufacturers (or related entities) for use in diagnosing faults, servicing or repairing vehicles covered by the scheme. </w:t>
      </w:r>
    </w:p>
    <w:p w14:paraId="1D8CAB7F" w14:textId="6B1A87F6" w:rsidR="000B1302" w:rsidRPr="00883271" w:rsidRDefault="000B1302" w:rsidP="00B85192">
      <w:r w:rsidRPr="00883271">
        <w:t xml:space="preserve">The </w:t>
      </w:r>
      <w:r w:rsidRPr="00883271">
        <w:rPr>
          <w:i/>
        </w:rPr>
        <w:t xml:space="preserve">Competition and Consumer (Motor Vehicle Service and Repair Information Sharing Scheme) Rules 2021 </w:t>
      </w:r>
      <w:r w:rsidRPr="00883271">
        <w:rPr>
          <w:iCs/>
        </w:rPr>
        <w:t>(Cth)</w:t>
      </w:r>
      <w:r w:rsidRPr="00883271">
        <w:t xml:space="preserve"> (the Rules), made by the Minister under section 57GE of the CCA, prescribe access criteria and other technical and administrative details necessary to implement the scheme. </w:t>
      </w:r>
    </w:p>
    <w:p w14:paraId="0D683319" w14:textId="3D506F97" w:rsidR="000B1302" w:rsidRPr="00883271" w:rsidRDefault="000B1302" w:rsidP="00110D67">
      <w:pPr>
        <w:spacing w:after="80"/>
      </w:pPr>
      <w:r w:rsidRPr="00883271">
        <w:t>Under the scheme, data providers must make information available in the same form for all repairers and RTOs or, if not practicable, in an electronic form that is reasonably accessible (</w:t>
      </w:r>
      <w:r w:rsidR="00BF0433">
        <w:t>‘</w:t>
      </w:r>
      <w:r w:rsidRPr="00883271">
        <w:t>main obligation</w:t>
      </w:r>
      <w:r w:rsidR="00BF0433">
        <w:t>’</w:t>
      </w:r>
      <w:r w:rsidRPr="00883271">
        <w:t>).</w:t>
      </w:r>
      <w:r w:rsidRPr="00A740DC">
        <w:rPr>
          <w:rStyle w:val="FootnoteReference"/>
        </w:rPr>
        <w:footnoteReference w:id="4"/>
      </w:r>
      <w:r w:rsidRPr="00883271">
        <w:t xml:space="preserve"> Data providers may include: </w:t>
      </w:r>
    </w:p>
    <w:p w14:paraId="56C2C06F" w14:textId="003B9EF8" w:rsidR="000B1302" w:rsidRPr="00B85192" w:rsidRDefault="000B1302" w:rsidP="00110D67">
      <w:pPr>
        <w:pStyle w:val="Bullet"/>
        <w:spacing w:after="80"/>
      </w:pPr>
      <w:r w:rsidRPr="00B85192">
        <w:t xml:space="preserve">a motor vehicle manufacturer </w:t>
      </w:r>
    </w:p>
    <w:p w14:paraId="75892079" w14:textId="0878F4DF" w:rsidR="000B1302" w:rsidRPr="00B85192" w:rsidRDefault="000B1302" w:rsidP="00110D67">
      <w:pPr>
        <w:pStyle w:val="Bullet"/>
        <w:spacing w:after="80"/>
      </w:pPr>
      <w:r w:rsidRPr="00B85192">
        <w:t xml:space="preserve">an Australian subsidiary of an overseas motor vehicle manufacturer </w:t>
      </w:r>
    </w:p>
    <w:p w14:paraId="53E2D666" w14:textId="719BBF2E" w:rsidR="000B1302" w:rsidRPr="00B85192" w:rsidRDefault="000B1302" w:rsidP="00110D67">
      <w:pPr>
        <w:pStyle w:val="Bullet"/>
        <w:spacing w:after="80"/>
      </w:pPr>
      <w:r w:rsidRPr="00B85192">
        <w:t>an affiliated dealership</w:t>
      </w:r>
    </w:p>
    <w:p w14:paraId="3F2CEEED" w14:textId="3BD3859B" w:rsidR="000B1302" w:rsidRPr="00B85192" w:rsidRDefault="000B1302" w:rsidP="00110D67">
      <w:pPr>
        <w:pStyle w:val="Bullet"/>
        <w:spacing w:after="80"/>
      </w:pPr>
      <w:r w:rsidRPr="00B85192">
        <w:t>an information owner or licensee</w:t>
      </w:r>
    </w:p>
    <w:p w14:paraId="60E3F8CE" w14:textId="4EFEFDD4" w:rsidR="000B1302" w:rsidRPr="00B85192" w:rsidRDefault="000B1302" w:rsidP="00110D67">
      <w:pPr>
        <w:pStyle w:val="Bullet"/>
        <w:spacing w:after="80"/>
      </w:pPr>
      <w:r w:rsidRPr="00B85192">
        <w:t xml:space="preserve">a data aggregator who sells scheme information in its own right </w:t>
      </w:r>
    </w:p>
    <w:p w14:paraId="354300AC" w14:textId="04590F5C" w:rsidR="000B1302" w:rsidRPr="00B85192" w:rsidRDefault="000B1302" w:rsidP="00110D67">
      <w:pPr>
        <w:pStyle w:val="Bullet"/>
        <w:spacing w:after="80"/>
      </w:pPr>
      <w:r w:rsidRPr="00B85192">
        <w:t>a scan tool provider providing aggregated scheme information such as diagnostic code interpretation</w:t>
      </w:r>
    </w:p>
    <w:p w14:paraId="4B905B58" w14:textId="5F5BF519" w:rsidR="000B1302" w:rsidRPr="00B85192" w:rsidRDefault="000B1302" w:rsidP="00110D67">
      <w:pPr>
        <w:pStyle w:val="Bullet"/>
        <w:spacing w:after="100"/>
      </w:pPr>
      <w:r w:rsidRPr="00B85192">
        <w:t xml:space="preserve">an Australian new or used vehicle importer providing scheme information. </w:t>
      </w:r>
    </w:p>
    <w:p w14:paraId="5A88A1D5" w14:textId="74B94D29" w:rsidR="000B1302" w:rsidRPr="00883271" w:rsidRDefault="000B1302" w:rsidP="00B85192">
      <w:r w:rsidRPr="00883271">
        <w:t>The main obligation allows independent repairers to access and use information to service and repair vehicles which may otherwise need to be returned to the dealership or authorised repairer. The scheme is Australia</w:t>
      </w:r>
      <w:r w:rsidR="00BF0433">
        <w:t>’</w:t>
      </w:r>
      <w:r w:rsidRPr="00883271">
        <w:t xml:space="preserve">s first </w:t>
      </w:r>
      <w:r w:rsidR="00BF0433">
        <w:t>‘</w:t>
      </w:r>
      <w:r w:rsidRPr="00883271">
        <w:t>right to repair</w:t>
      </w:r>
      <w:r w:rsidR="00BF0433">
        <w:t>’</w:t>
      </w:r>
      <w:r w:rsidRPr="00883271">
        <w:t xml:space="preserve"> law. </w:t>
      </w:r>
    </w:p>
    <w:p w14:paraId="2C030A1F" w14:textId="1D3A721F" w:rsidR="000B1302" w:rsidRPr="00883271" w:rsidRDefault="000B1302" w:rsidP="00110D67">
      <w:pPr>
        <w:pStyle w:val="FigureMainHeading"/>
      </w:pPr>
      <w:r w:rsidRPr="00883271">
        <w:lastRenderedPageBreak/>
        <w:t>Figure 1</w:t>
      </w:r>
      <w:r w:rsidR="00B876F2">
        <w:t>.1</w:t>
      </w:r>
      <w:r w:rsidRPr="00883271">
        <w:t>: Scheme overview</w:t>
      </w:r>
    </w:p>
    <w:p w14:paraId="73A75B22" w14:textId="5A6FCDE4" w:rsidR="000B1302" w:rsidRPr="00883271" w:rsidRDefault="00BC1074" w:rsidP="00BC1074">
      <w:pPr>
        <w:pStyle w:val="ChartGraphic"/>
        <w:rPr>
          <w:sz w:val="21"/>
          <w:szCs w:val="21"/>
        </w:rPr>
      </w:pPr>
      <w:r>
        <w:drawing>
          <wp:inline distT="0" distB="0" distL="0" distR="0" wp14:anchorId="0E3A8C22" wp14:editId="75E3241F">
            <wp:extent cx="3524250" cy="1533525"/>
            <wp:effectExtent l="0" t="0" r="0" b="0"/>
            <wp:docPr id="1128644521" name="Graphic 1" descr="Graphic shows that data providers provide scheme information to Australian repairers and scheme RTOs. Scheme information is shown to be shared in exchange for fair market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44521" name="Graphic 1" descr="Graphic shows that data providers provide scheme information to Australian repairers and scheme RTOs. Scheme information is shown to be shared in exchange for fair market value."/>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0" cy="1533525"/>
                    </a:xfrm>
                    <a:prstGeom prst="rect">
                      <a:avLst/>
                    </a:prstGeom>
                  </pic:spPr>
                </pic:pic>
              </a:graphicData>
            </a:graphic>
          </wp:inline>
        </w:drawing>
      </w:r>
    </w:p>
    <w:p w14:paraId="721E1E3B" w14:textId="534B1258" w:rsidR="000B1302" w:rsidRPr="00883271" w:rsidRDefault="000B1302" w:rsidP="00B876F2">
      <w:r w:rsidRPr="00883271">
        <w:t>The scheme applies to passenger vehicles and light goods vehicles manufactured on or after 1 January 2002 (</w:t>
      </w:r>
      <w:r w:rsidR="00BF0433">
        <w:t>‘</w:t>
      </w:r>
      <w:r w:rsidRPr="00883271">
        <w:t>scheme vehicles</w:t>
      </w:r>
      <w:r w:rsidR="00BF0433">
        <w:t>’</w:t>
      </w:r>
      <w:r w:rsidRPr="00883271">
        <w:t>) and captures the majority of vehicles on Australian roads.</w:t>
      </w:r>
      <w:r w:rsidRPr="00A740DC">
        <w:rPr>
          <w:rStyle w:val="FootnoteReference"/>
        </w:rPr>
        <w:footnoteReference w:id="5"/>
      </w:r>
      <w:r w:rsidRPr="00A740DC">
        <w:rPr>
          <w:rStyle w:val="FootnoteReference"/>
        </w:rPr>
        <w:t xml:space="preserve"> </w:t>
      </w:r>
      <w:r w:rsidRPr="00883271">
        <w:t>The scheme does not apply to two</w:t>
      </w:r>
      <w:r w:rsidR="007B3C6A">
        <w:noBreakHyphen/>
      </w:r>
      <w:r w:rsidRPr="00883271">
        <w:t xml:space="preserve"> or three</w:t>
      </w:r>
      <w:r w:rsidR="007B3C6A">
        <w:noBreakHyphen/>
      </w:r>
      <w:r w:rsidRPr="00883271">
        <w:t>wheeled vehicles, farm, construction or heavy vehicles, motor homes or buses. </w:t>
      </w:r>
    </w:p>
    <w:p w14:paraId="275AF5CE" w14:textId="15B97F7E" w:rsidR="000B1302" w:rsidRPr="00883271" w:rsidRDefault="000B1302" w:rsidP="00B85192">
      <w:r w:rsidRPr="00883271">
        <w:t>Although some stakeholders advocated for expanding the definition of scheme vehicles to include categories such as motorcycles, heavy vehicles, and agricultural equipment, the Review</w:t>
      </w:r>
      <w:r w:rsidR="00BF0433">
        <w:t>’</w:t>
      </w:r>
      <w:r w:rsidRPr="00883271">
        <w:t>s primary focus was assessing the operation of the scheme in its application to passenger and light goods vehicles. However, the findings of the Review will complement broader policy work underway to strengthen Australia</w:t>
      </w:r>
      <w:r w:rsidR="00BF0433">
        <w:t>’</w:t>
      </w:r>
      <w:r w:rsidRPr="00883271">
        <w:t>s consumer protection and competition frameworks, and insights will inform whole</w:t>
      </w:r>
      <w:r w:rsidR="007B3C6A">
        <w:noBreakHyphen/>
      </w:r>
      <w:r w:rsidRPr="00883271">
        <w:t>of</w:t>
      </w:r>
      <w:r w:rsidR="007B3C6A">
        <w:noBreakHyphen/>
      </w:r>
      <w:r w:rsidRPr="00883271">
        <w:t>government consideration of future right to repair developments.</w:t>
      </w:r>
    </w:p>
    <w:p w14:paraId="3A3F0365" w14:textId="471E2201" w:rsidR="000B1302" w:rsidRPr="00883271" w:rsidRDefault="000B1302" w:rsidP="00B85192">
      <w:r w:rsidRPr="00883271">
        <w:t>The ACCC administers the scheme with the day</w:t>
      </w:r>
      <w:r w:rsidR="007B3C6A">
        <w:noBreakHyphen/>
      </w:r>
      <w:r w:rsidRPr="00883271">
        <w:t>to</w:t>
      </w:r>
      <w:r w:rsidR="007B3C6A">
        <w:noBreakHyphen/>
      </w:r>
      <w:r w:rsidRPr="00883271">
        <w:t>day operation overseen by the Scheme Adviser, the Australian Automotive Service and Repair Authority (</w:t>
      </w:r>
      <w:r w:rsidR="00BF0433">
        <w:t>‘</w:t>
      </w:r>
      <w:r w:rsidRPr="00883271">
        <w:t>AASRA</w:t>
      </w:r>
      <w:r w:rsidR="00BF0433">
        <w:t>’</w:t>
      </w:r>
      <w:r w:rsidRPr="00883271">
        <w:t>). AASRA is a joint industry</w:t>
      </w:r>
      <w:r w:rsidR="007B3C6A">
        <w:noBreakHyphen/>
      </w:r>
      <w:r w:rsidRPr="00883271">
        <w:t>led body appointed by the Australian Government on 24 February 2022 and reappointed for a period of two years from 1 July 2025. The functions of the Scheme Adviser include facilitating dispute resolution, sharing information about the scheme and reporting to the ACCC and the Minister about the operation of the scheme.</w:t>
      </w:r>
      <w:r w:rsidRPr="00CB15AB">
        <w:rPr>
          <w:rStyle w:val="FootnoteReference"/>
        </w:rPr>
        <w:footnoteReference w:id="6"/>
      </w:r>
      <w:r w:rsidRPr="00CB15AB">
        <w:rPr>
          <w:rStyle w:val="FootnoteReference"/>
        </w:rPr>
        <w:t> </w:t>
      </w:r>
    </w:p>
    <w:p w14:paraId="7D7398E5" w14:textId="77777777" w:rsidR="000B1302" w:rsidRPr="00883271" w:rsidRDefault="000B1302" w:rsidP="00B85192">
      <w:pPr>
        <w:pStyle w:val="Heading2"/>
      </w:pPr>
      <w:bookmarkStart w:id="16" w:name="_Toc211963301"/>
      <w:bookmarkStart w:id="17" w:name="_Toc212130852"/>
      <w:bookmarkStart w:id="18" w:name="_Toc213340392"/>
      <w:r w:rsidRPr="00883271">
        <w:t xml:space="preserve">The </w:t>
      </w:r>
      <w:r w:rsidRPr="00B85192">
        <w:t>Review</w:t>
      </w:r>
      <w:bookmarkEnd w:id="16"/>
      <w:bookmarkEnd w:id="17"/>
      <w:bookmarkEnd w:id="18"/>
    </w:p>
    <w:p w14:paraId="5FF70C44" w14:textId="78E76F4F" w:rsidR="000B1302" w:rsidRPr="00883271" w:rsidRDefault="000B1302" w:rsidP="00110D67">
      <w:pPr>
        <w:spacing w:after="100"/>
      </w:pPr>
      <w:r w:rsidRPr="00883271">
        <w:t>The Review of the scheme was established in March 2025 as part of Treasury</w:t>
      </w:r>
      <w:r w:rsidR="00BF0433">
        <w:t>’</w:t>
      </w:r>
      <w:r w:rsidRPr="00883271">
        <w:t>s broader Competition Review.</w:t>
      </w:r>
      <w:r w:rsidRPr="00883271">
        <w:rPr>
          <w:rFonts w:ascii="Calibri" w:hAnsi="Calibri" w:cs="Calibri"/>
          <w:szCs w:val="22"/>
        </w:rPr>
        <w:t xml:space="preserve"> </w:t>
      </w:r>
      <w:r w:rsidRPr="00883271">
        <w:t>Public consultation and engagement with industry formed a core part of the Review with Treasury releasing a</w:t>
      </w:r>
      <w:r w:rsidRPr="00883271">
        <w:rPr>
          <w:iCs/>
        </w:rPr>
        <w:t xml:space="preserve"> discussion paper </w:t>
      </w:r>
      <w:r w:rsidRPr="00883271">
        <w:t xml:space="preserve">on 30 June 2025 inviting submissions by 4 August. The discussion paper sought views on a range of issues including: </w:t>
      </w:r>
    </w:p>
    <w:p w14:paraId="239E8291" w14:textId="2EAF2C6F" w:rsidR="000B1302" w:rsidRPr="00883271" w:rsidRDefault="000B1302" w:rsidP="00110D67">
      <w:pPr>
        <w:pStyle w:val="Bullet"/>
        <w:spacing w:after="100"/>
      </w:pPr>
      <w:r w:rsidRPr="00883271">
        <w:t xml:space="preserve">How effectively the scheme is </w:t>
      </w:r>
      <w:r w:rsidRPr="00B876F2">
        <w:t>operating</w:t>
      </w:r>
      <w:r w:rsidRPr="00883271">
        <w:t xml:space="preserve"> in facilitating the provision of information from data providers to Australian repairers and scheme RTOs.</w:t>
      </w:r>
    </w:p>
    <w:p w14:paraId="1303C3CE" w14:textId="701A03C9" w:rsidR="000B1302" w:rsidRPr="00883271" w:rsidRDefault="000B1302" w:rsidP="00110D67">
      <w:pPr>
        <w:pStyle w:val="Bullet"/>
        <w:spacing w:after="100"/>
      </w:pPr>
      <w:r w:rsidRPr="00883271">
        <w:t xml:space="preserve">The </w:t>
      </w:r>
      <w:r w:rsidRPr="00B85192">
        <w:t>appropriateness</w:t>
      </w:r>
      <w:r w:rsidRPr="00883271">
        <w:t xml:space="preserve"> of protections applying to safety and security information, and whether any barriers exist to accessing those types of information. </w:t>
      </w:r>
    </w:p>
    <w:p w14:paraId="127B621F" w14:textId="12E5F02E" w:rsidR="000B1302" w:rsidRPr="00883271" w:rsidRDefault="000B1302" w:rsidP="00110D67">
      <w:pPr>
        <w:pStyle w:val="Bullet"/>
        <w:spacing w:after="100"/>
      </w:pPr>
      <w:r w:rsidRPr="00883271">
        <w:t xml:space="preserve">The </w:t>
      </w:r>
      <w:r w:rsidRPr="00B85192">
        <w:t>impact</w:t>
      </w:r>
      <w:r w:rsidRPr="00883271">
        <w:t xml:space="preserve"> the scheme has had on stakeholders, including independent repairers, scheme RTOs, dealers and preferred repairers, and consumers of motor vehicle service and repair services.</w:t>
      </w:r>
    </w:p>
    <w:p w14:paraId="22700027" w14:textId="77777777" w:rsidR="000B1302" w:rsidRPr="00883271" w:rsidRDefault="000B1302" w:rsidP="00B876F2">
      <w:pPr>
        <w:pStyle w:val="Bullet"/>
      </w:pPr>
      <w:r w:rsidRPr="00883271">
        <w:t xml:space="preserve">Whether the dispute </w:t>
      </w:r>
      <w:r w:rsidRPr="00B85192">
        <w:t>resolution</w:t>
      </w:r>
      <w:r w:rsidRPr="00883271">
        <w:t xml:space="preserve"> mechanisms available under the scheme are adequate and effective.</w:t>
      </w:r>
    </w:p>
    <w:p w14:paraId="177CAF55" w14:textId="694C6982" w:rsidR="000B1302" w:rsidRPr="00B876F2" w:rsidRDefault="000B1302" w:rsidP="00110D67">
      <w:pPr>
        <w:spacing w:after="240"/>
      </w:pPr>
      <w:r w:rsidRPr="00883271">
        <w:lastRenderedPageBreak/>
        <w:t>Treasury also released a short survey targeted at independent repairers and held an industry roundtable. A description of Treasury</w:t>
      </w:r>
      <w:r w:rsidR="00BF0433">
        <w:t>’</w:t>
      </w:r>
      <w:r w:rsidRPr="00883271">
        <w:t xml:space="preserve">s survey and a summary of the survey results is at </w:t>
      </w:r>
      <w:r w:rsidRPr="00883271">
        <w:rPr>
          <w:b/>
        </w:rPr>
        <w:t>appendix A.</w:t>
      </w:r>
    </w:p>
    <w:tbl>
      <w:tblPr>
        <w:tblStyle w:val="TableGrid"/>
        <w:tblpPr w:leftFromText="181" w:rightFromText="181" w:vertAnchor="text" w:horzAnchor="margin" w:tblpY="1"/>
        <w:tblW w:w="5000" w:type="pct"/>
        <w:shd w:val="clear" w:color="auto" w:fill="FCEEE5" w:themeFill="accent6" w:themeFillTint="33"/>
        <w:tblCellMar>
          <w:top w:w="227" w:type="dxa"/>
          <w:left w:w="227" w:type="dxa"/>
          <w:bottom w:w="227" w:type="dxa"/>
          <w:right w:w="227" w:type="dxa"/>
        </w:tblCellMar>
        <w:tblLook w:val="0620" w:firstRow="1" w:lastRow="0" w:firstColumn="0" w:lastColumn="0" w:noHBand="1" w:noVBand="1"/>
      </w:tblPr>
      <w:tblGrid>
        <w:gridCol w:w="9072"/>
      </w:tblGrid>
      <w:tr w:rsidR="000B1302" w:rsidRPr="00883271" w14:paraId="5D5A2D28" w14:textId="77777777" w:rsidTr="00B876F2">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CEEE5" w:themeFill="accent6" w:themeFillTint="33"/>
            <w:hideMark/>
          </w:tcPr>
          <w:p w14:paraId="5DB063BD" w14:textId="06C59FC3" w:rsidR="000B1302" w:rsidRPr="00B876F2" w:rsidRDefault="000B1302" w:rsidP="0078672A">
            <w:pPr>
              <w:pStyle w:val="BoxHeading"/>
              <w:spacing w:before="0"/>
              <w:rPr>
                <w:b w:val="0"/>
              </w:rPr>
            </w:pPr>
            <w:r w:rsidRPr="00B876F2">
              <w:rPr>
                <w:noProof/>
              </w:rPr>
              <w:drawing>
                <wp:inline distT="0" distB="0" distL="0" distR="0" wp14:anchorId="67832E4C" wp14:editId="0E8BBB1B">
                  <wp:extent cx="280670" cy="280670"/>
                  <wp:effectExtent l="0" t="0" r="5080" b="5080"/>
                  <wp:docPr id="78348837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88373" name="Picture 5">
                            <a:extLst>
                              <a:ext uri="{C183D7F6-B498-43B3-948B-1728B52AA6E4}">
                                <adec:decorative xmlns:adec="http://schemas.microsoft.com/office/drawing/2017/decorative" val="1"/>
                              </a:ext>
                            </a:extLst>
                          </pic:cNvPr>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280670" cy="280670"/>
                          </a:xfrm>
                          <a:prstGeom prst="rect">
                            <a:avLst/>
                          </a:prstGeom>
                        </pic:spPr>
                      </pic:pic>
                    </a:graphicData>
                  </a:graphic>
                </wp:inline>
              </w:drawing>
            </w:r>
            <w:r w:rsidRPr="00B876F2">
              <w:t>Box 1.2</w:t>
            </w:r>
            <w:r w:rsidR="00A6726C">
              <w:t>:</w:t>
            </w:r>
            <w:r w:rsidRPr="00B876F2">
              <w:t xml:space="preserve"> The Competition Review </w:t>
            </w:r>
          </w:p>
          <w:p w14:paraId="4CD0473A" w14:textId="5D68078B" w:rsidR="000B1302" w:rsidRPr="00B876F2" w:rsidRDefault="000B1302" w:rsidP="00B876F2">
            <w:pPr>
              <w:pStyle w:val="BoxText"/>
              <w:rPr>
                <w:b/>
                <w:bCs/>
                <w:color w:val="auto"/>
              </w:rPr>
            </w:pPr>
            <w:r w:rsidRPr="00B876F2">
              <w:rPr>
                <w:bCs/>
                <w:color w:val="auto"/>
              </w:rPr>
              <w:t xml:space="preserve">In August 2023, the Treasurer announced a Competition Review to provide advice to Government on how to improve competition across the economy. </w:t>
            </w:r>
          </w:p>
          <w:p w14:paraId="34E08B55" w14:textId="007D7D6C" w:rsidR="000B1302" w:rsidRPr="00B876F2" w:rsidRDefault="000B1302" w:rsidP="00B876F2">
            <w:pPr>
              <w:pStyle w:val="BoxText"/>
              <w:rPr>
                <w:b/>
                <w:bCs/>
                <w:color w:val="auto"/>
              </w:rPr>
            </w:pPr>
            <w:r w:rsidRPr="00B876F2">
              <w:rPr>
                <w:bCs/>
                <w:color w:val="auto"/>
              </w:rPr>
              <w:t>Coordinated by Treasury, the Competition Review is examining competition laws, policies and institutions to ensure they remain fit</w:t>
            </w:r>
            <w:r w:rsidR="007B3C6A">
              <w:rPr>
                <w:bCs/>
                <w:color w:val="auto"/>
              </w:rPr>
              <w:noBreakHyphen/>
            </w:r>
            <w:r w:rsidRPr="00B876F2">
              <w:rPr>
                <w:bCs/>
                <w:color w:val="auto"/>
              </w:rPr>
              <w:t>for</w:t>
            </w:r>
            <w:r w:rsidR="007B3C6A">
              <w:rPr>
                <w:bCs/>
                <w:color w:val="auto"/>
              </w:rPr>
              <w:noBreakHyphen/>
            </w:r>
            <w:r w:rsidRPr="00B876F2">
              <w:rPr>
                <w:bCs/>
                <w:color w:val="auto"/>
              </w:rPr>
              <w:t xml:space="preserve">purpose for the modern economy, with a focus on reforms that increase productivity, reduce the cost of living and/or lift wages. </w:t>
            </w:r>
          </w:p>
          <w:p w14:paraId="0942A900" w14:textId="64E4BB45" w:rsidR="000B1302" w:rsidRPr="00883271" w:rsidRDefault="000B1302" w:rsidP="00B876F2">
            <w:pPr>
              <w:pStyle w:val="BoxText"/>
            </w:pPr>
            <w:r w:rsidRPr="00B876F2">
              <w:rPr>
                <w:bCs/>
                <w:color w:val="auto"/>
              </w:rPr>
              <w:t xml:space="preserve">The Review of the Motor Vehicle Service and Repair Information Sharing Scheme forms part of the Competition Review. More information on the Competition Review is available at </w:t>
            </w:r>
            <w:hyperlink r:id="rId28" w:history="1">
              <w:r w:rsidRPr="00B876F2">
                <w:rPr>
                  <w:rStyle w:val="Hyperlink"/>
                  <w:bCs/>
                  <w:u w:val="single"/>
                </w:rPr>
                <w:t>treasury.gov.au/review/competition</w:t>
              </w:r>
              <w:r w:rsidR="007B3C6A">
                <w:rPr>
                  <w:rStyle w:val="Hyperlink"/>
                  <w:bCs/>
                  <w:u w:val="single"/>
                </w:rPr>
                <w:noBreakHyphen/>
              </w:r>
              <w:r w:rsidRPr="00B876F2">
                <w:rPr>
                  <w:rStyle w:val="Hyperlink"/>
                  <w:bCs/>
                  <w:u w:val="single"/>
                </w:rPr>
                <w:t>review</w:t>
              </w:r>
              <w:r w:rsidR="007B3C6A">
                <w:rPr>
                  <w:rStyle w:val="Hyperlink"/>
                  <w:bCs/>
                  <w:u w:val="single"/>
                </w:rPr>
                <w:noBreakHyphen/>
              </w:r>
              <w:r w:rsidRPr="00B876F2">
                <w:rPr>
                  <w:rStyle w:val="Hyperlink"/>
                  <w:bCs/>
                  <w:u w:val="single"/>
                </w:rPr>
                <w:t>2023</w:t>
              </w:r>
            </w:hyperlink>
            <w:r w:rsidRPr="00B876F2">
              <w:rPr>
                <w:rStyle w:val="Hyperlink"/>
                <w:bCs/>
                <w:u w:val="single"/>
              </w:rPr>
              <w:t>.</w:t>
            </w:r>
          </w:p>
        </w:tc>
      </w:tr>
    </w:tbl>
    <w:p w14:paraId="046BB462" w14:textId="75927D4C" w:rsidR="000B1302" w:rsidRPr="00883271" w:rsidRDefault="000B1302" w:rsidP="00110D67">
      <w:pPr>
        <w:spacing w:before="240"/>
      </w:pPr>
      <w:r w:rsidRPr="00883271">
        <w:t xml:space="preserve">The Review received 29 submissions in response to consultation and 308 survey responses from a variety of repairers. Submissions were received from a range of stakeholders participating in the scheme, including independent repairers, manufacturers, dealers, and tool makers. No submissions were received directly from RTOs participating in the scheme. The Review benefited from views shared by stakeholders as part of an industry roundtable, and approximately 20 additional bilateral meetings with domestic and international industry stakeholders. The Review has also taken into consideration views provided to Government since the commencement of the scheme, a report provided by the Scheme Adviser to the Minister regarding the operation of the scheme and advice provided by the Competition Review Expert Advisory Panel. </w:t>
      </w:r>
    </w:p>
    <w:p w14:paraId="3ECCC78C" w14:textId="231A77D2" w:rsidR="000B1302" w:rsidRPr="00883271" w:rsidRDefault="000B1302" w:rsidP="00DC2E0F">
      <w:r w:rsidRPr="00883271">
        <w:t>The outcomes of the Review are detailed over the following chapters:</w:t>
      </w:r>
    </w:p>
    <w:p w14:paraId="7801C1F3" w14:textId="11C559AB" w:rsidR="000B1302" w:rsidRPr="00DC2E0F" w:rsidRDefault="000B1302" w:rsidP="00DC2E0F">
      <w:pPr>
        <w:pStyle w:val="Bullet"/>
      </w:pPr>
      <w:r w:rsidRPr="00DC2E0F">
        <w:rPr>
          <w:b/>
          <w:bCs/>
        </w:rPr>
        <w:t>Chapter 2 – Promoting competition and consumer choice:</w:t>
      </w:r>
      <w:r w:rsidRPr="00DC2E0F">
        <w:t xml:space="preserve"> examines how the scheme has affected competition in the automotive repair sector and enhanced consumer choice.</w:t>
      </w:r>
    </w:p>
    <w:p w14:paraId="79984539" w14:textId="4C89A45A" w:rsidR="000B1302" w:rsidRPr="00DC2E0F" w:rsidRDefault="000B1302" w:rsidP="00DC2E0F">
      <w:pPr>
        <w:pStyle w:val="Bullet"/>
      </w:pPr>
      <w:r w:rsidRPr="00DC2E0F">
        <w:rPr>
          <w:b/>
          <w:bCs/>
        </w:rPr>
        <w:t>Chapter 3 – Information access:</w:t>
      </w:r>
      <w:r w:rsidRPr="00DC2E0F">
        <w:t xml:space="preserve"> explores the pricing and accessibility of scheme information, including practical challenges faced by repairers in obtaining and using information and hardware.</w:t>
      </w:r>
    </w:p>
    <w:p w14:paraId="60EF75A6" w14:textId="41F925FA" w:rsidR="000B1302" w:rsidRPr="00DC2E0F" w:rsidRDefault="000B1302" w:rsidP="00DC2E0F">
      <w:pPr>
        <w:pStyle w:val="Bullet"/>
      </w:pPr>
      <w:r w:rsidRPr="00DC2E0F">
        <w:rPr>
          <w:b/>
          <w:bCs/>
        </w:rPr>
        <w:t>Chapter 4 – Protecting information:</w:t>
      </w:r>
      <w:r w:rsidRPr="00DC2E0F">
        <w:t xml:space="preserve"> discusses the scheme</w:t>
      </w:r>
      <w:r w:rsidR="00BF0433">
        <w:t>’</w:t>
      </w:r>
      <w:r w:rsidRPr="00DC2E0F">
        <w:t>s approach to safeguarding safety and security information and the requirements for accessing this information.</w:t>
      </w:r>
    </w:p>
    <w:p w14:paraId="73C41818" w14:textId="34127794" w:rsidR="000B1302" w:rsidRPr="00DC2E0F" w:rsidRDefault="000B1302" w:rsidP="00DC2E0F">
      <w:pPr>
        <w:pStyle w:val="Bullet"/>
      </w:pPr>
      <w:r w:rsidRPr="00DC2E0F">
        <w:rPr>
          <w:b/>
          <w:bCs/>
        </w:rPr>
        <w:t>Chapter 5 – The role of intermediaries:</w:t>
      </w:r>
      <w:r w:rsidRPr="00DC2E0F">
        <w:t xml:space="preserve"> analyses the critical role of intermediaries, such as data aggregators and tool manufacturers, in distributing scheme information, and considers opportunities for better alignment with international frameworks.</w:t>
      </w:r>
    </w:p>
    <w:p w14:paraId="481F586A" w14:textId="53E52D1F" w:rsidR="000B1302" w:rsidRPr="00DC2E0F" w:rsidRDefault="000B1302" w:rsidP="00DC2E0F">
      <w:pPr>
        <w:pStyle w:val="Bullet"/>
      </w:pPr>
      <w:r w:rsidRPr="00DC2E0F">
        <w:rPr>
          <w:b/>
          <w:bCs/>
        </w:rPr>
        <w:t>Chapter 6 – Scope of information:</w:t>
      </w:r>
      <w:r w:rsidRPr="00DC2E0F">
        <w:t xml:space="preserve"> reviews the breadth of information covered by the scheme, including current exclusions, and assesses the need for future adaptation in response to evolving vehicle technologies.</w:t>
      </w:r>
    </w:p>
    <w:p w14:paraId="51BE6D59" w14:textId="53A39E36" w:rsidR="000B1302" w:rsidRPr="00883271" w:rsidRDefault="000B1302" w:rsidP="00DC2E0F">
      <w:pPr>
        <w:pStyle w:val="Bullet"/>
      </w:pPr>
      <w:r w:rsidRPr="00110D67">
        <w:rPr>
          <w:b/>
          <w:bCs/>
        </w:rPr>
        <w:t>Chapter 7 –Governance and enforcement:</w:t>
      </w:r>
      <w:r w:rsidRPr="00DC2E0F">
        <w:t xml:space="preserve"> outlines the governance and enforcement arrangements of the scheme, including the roles of the Scheme Adviser and ACCC, dispute resolution mechanisms, and opportunities for improving transparency and compliance</w:t>
      </w:r>
      <w:r w:rsidRPr="00883271">
        <w:t>.</w:t>
      </w:r>
    </w:p>
    <w:p w14:paraId="7F3A4160" w14:textId="201D3C8F" w:rsidR="000B1302" w:rsidRPr="00883271" w:rsidRDefault="000B1302" w:rsidP="00DC2E0F">
      <w:pPr>
        <w:pStyle w:val="Heading1Numbered"/>
      </w:pPr>
      <w:bookmarkStart w:id="19" w:name="_Toc204692975"/>
      <w:bookmarkStart w:id="20" w:name="_Toc211963302"/>
      <w:bookmarkStart w:id="21" w:name="_Toc213340393"/>
      <w:r w:rsidRPr="00883271">
        <w:lastRenderedPageBreak/>
        <w:t xml:space="preserve">Promoting competition and </w:t>
      </w:r>
      <w:r w:rsidRPr="00DC2E0F">
        <w:t>consumer</w:t>
      </w:r>
      <w:r w:rsidRPr="00883271">
        <w:t xml:space="preserve"> </w:t>
      </w:r>
      <w:r w:rsidRPr="00EA0768">
        <w:t>choice</w:t>
      </w:r>
      <w:bookmarkEnd w:id="19"/>
      <w:bookmarkEnd w:id="20"/>
      <w:bookmarkEnd w:id="21"/>
      <w:r w:rsidRPr="00883271">
        <w:t xml:space="preserve"> </w:t>
      </w:r>
    </w:p>
    <w:tbl>
      <w:tblPr>
        <w:tblStyle w:val="TableGrid"/>
        <w:tblW w:w="5000" w:type="pct"/>
        <w:shd w:val="clear" w:color="auto" w:fill="F2F2F2" w:themeFill="background1" w:themeFillShade="F2"/>
        <w:tblCellMar>
          <w:top w:w="227" w:type="dxa"/>
          <w:left w:w="227" w:type="dxa"/>
          <w:bottom w:w="227" w:type="dxa"/>
          <w:right w:w="227" w:type="dxa"/>
        </w:tblCellMar>
        <w:tblLook w:val="0620" w:firstRow="1" w:lastRow="0" w:firstColumn="0" w:lastColumn="0" w:noHBand="1" w:noVBand="1"/>
      </w:tblPr>
      <w:tblGrid>
        <w:gridCol w:w="9072"/>
      </w:tblGrid>
      <w:tr w:rsidR="000B1302" w:rsidRPr="00883271" w14:paraId="52095C32" w14:textId="77777777" w:rsidTr="00B81D15">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2F2" w:themeFill="background1" w:themeFillShade="F2"/>
          </w:tcPr>
          <w:p w14:paraId="1B2F8395" w14:textId="32090B54" w:rsidR="000B1302" w:rsidRPr="00DC2E0F" w:rsidRDefault="000B1302" w:rsidP="00110D67">
            <w:pPr>
              <w:pStyle w:val="BoxHeading"/>
              <w:rPr>
                <w:b w:val="0"/>
              </w:rPr>
            </w:pPr>
            <w:bookmarkStart w:id="22" w:name="_Toc204692976"/>
            <w:r w:rsidRPr="00DC2E0F">
              <w:rPr>
                <w:lang w:eastAsia="en-US"/>
              </w:rPr>
              <w:t>Key points</w:t>
            </w:r>
          </w:p>
          <w:p w14:paraId="2E13A8BB" w14:textId="6673A44B" w:rsidR="000B1302" w:rsidRPr="0078672A" w:rsidRDefault="000B1302" w:rsidP="0078672A">
            <w:pPr>
              <w:pStyle w:val="Boxbullet"/>
              <w:tabs>
                <w:tab w:val="clear" w:pos="284"/>
                <w:tab w:val="num" w:pos="283"/>
              </w:tabs>
            </w:pPr>
            <w:r w:rsidRPr="0078672A">
              <w:t>The scheme is broadly achieving its legislated objectives by encouraging competition among Australian repairers, increasing productivity, and supporting consumer choice.</w:t>
            </w:r>
          </w:p>
          <w:p w14:paraId="433CCC20" w14:textId="71FC2AE8" w:rsidR="000B1302" w:rsidRPr="0078672A" w:rsidRDefault="000B1302" w:rsidP="0078672A">
            <w:pPr>
              <w:pStyle w:val="Boxbullet"/>
            </w:pPr>
            <w:r w:rsidRPr="0078672A">
              <w:t>Since the scheme’s introduction, the automotive repair sector has experienced steady growth in business numbers, employment, and turnover.</w:t>
            </w:r>
          </w:p>
          <w:p w14:paraId="6EFF13AD" w14:textId="48AF1813" w:rsidR="000B1302" w:rsidRPr="0078672A" w:rsidRDefault="000B1302" w:rsidP="0078672A">
            <w:pPr>
              <w:pStyle w:val="Boxbullet"/>
            </w:pPr>
            <w:r w:rsidRPr="0078672A">
              <w:t>Among users of the scheme, reported benefits include significant improvements in productivity, profitability, ability to service a wider range of vehicles, and customer satisfaction; however, uptake is constrained by inconsistent awareness and barriers that hinder the scheme’s effectiveness.</w:t>
            </w:r>
          </w:p>
          <w:p w14:paraId="4AA2D7A5" w14:textId="72EA5FC1" w:rsidR="000B1302" w:rsidRPr="0078672A" w:rsidRDefault="000B1302" w:rsidP="0078672A">
            <w:pPr>
              <w:pStyle w:val="Boxbullet"/>
            </w:pPr>
            <w:r w:rsidRPr="0078672A">
              <w:t>Uptake of the scheme varies significantly by firm characteristics, with more sophisticated firms more likely to benefit as they are better able to incorporate scheme information into existing workflows.</w:t>
            </w:r>
          </w:p>
          <w:p w14:paraId="7F8827BE" w14:textId="5204BB1E" w:rsidR="000B1302" w:rsidRPr="0078672A" w:rsidRDefault="000B1302" w:rsidP="0078672A">
            <w:pPr>
              <w:pStyle w:val="Boxbullet"/>
            </w:pPr>
            <w:r w:rsidRPr="0078672A">
              <w:t xml:space="preserve">Econometric analysis conducted as part of the Review found that, on average, the scheme has been associated with a 6.7 per cent expansion in industry turnover, equivalent to $2.4 billion in 2024. </w:t>
            </w:r>
          </w:p>
          <w:p w14:paraId="474A6BB0" w14:textId="77777777" w:rsidR="000B1302" w:rsidRPr="0078672A" w:rsidRDefault="000B1302" w:rsidP="0078672A">
            <w:pPr>
              <w:pStyle w:val="Boxbullet"/>
            </w:pPr>
            <w:r w:rsidRPr="0078672A">
              <w:t>Consumers have benefited from greater choice and convenience, with a notable reduction in vehicles being turned away by repairers using the scheme and increased customer satisfaction reported by participating workshops.</w:t>
            </w:r>
          </w:p>
          <w:p w14:paraId="08D798B0" w14:textId="17A9DADA" w:rsidR="000B1302" w:rsidRPr="00883271" w:rsidRDefault="000B1302" w:rsidP="0078672A">
            <w:pPr>
              <w:pStyle w:val="Boxbullet"/>
            </w:pPr>
            <w:r w:rsidRPr="0078672A">
              <w:t>Despite these improvements, ongoing challenges such as delays in information provision and difficulties navigating manufacturer portals can adversely affect service speed and satisfaction.</w:t>
            </w:r>
          </w:p>
        </w:tc>
      </w:tr>
    </w:tbl>
    <w:p w14:paraId="5E76D252" w14:textId="386B79E9" w:rsidR="000B1302" w:rsidRPr="00883271" w:rsidRDefault="000B1302" w:rsidP="00110D67">
      <w:pPr>
        <w:spacing w:before="240"/>
      </w:pPr>
      <w:r w:rsidRPr="00883271">
        <w:t>Competition strengthens incentives for businesses to act efficiently and produce high quality goods and services that meet the changing needs of consumers at competitive prices. Competition drives efficiency and innovation, benefiting consumers and other businesses through lower prices and workers through higher wages. Over time, competition contributes to higher aggregate output, productivity and real wages.</w:t>
      </w:r>
      <w:r w:rsidRPr="00883271">
        <w:rPr>
          <w:rStyle w:val="FootnoteReference"/>
          <w:szCs w:val="21"/>
        </w:rPr>
        <w:footnoteReference w:id="7"/>
      </w:r>
    </w:p>
    <w:p w14:paraId="0F6F8F6D" w14:textId="25A1E5B7" w:rsidR="000B1302" w:rsidRPr="00883271" w:rsidRDefault="000B1302" w:rsidP="00DC2E0F">
      <w:r w:rsidRPr="00883271">
        <w:t xml:space="preserve">Competition creates market conditions where firms are incentivised to differentiate their offerings, leading to a broader range of products that cater to diverse consumer preferences. When new businesses are free to </w:t>
      </w:r>
      <w:r w:rsidRPr="00883271" w:rsidDel="00897EAD">
        <w:t xml:space="preserve">enter </w:t>
      </w:r>
      <w:r w:rsidRPr="00883271">
        <w:t>the market and challenge incumbents, the increase in competitive pressure spurs businesses to improve, providing consumers with greater choice at lower prices. These benefits are central to the Commonwealth</w:t>
      </w:r>
      <w:r w:rsidR="007B3C6A">
        <w:noBreakHyphen/>
      </w:r>
      <w:r w:rsidRPr="00883271">
        <w:t>state long</w:t>
      </w:r>
      <w:r w:rsidR="007B3C6A">
        <w:noBreakHyphen/>
      </w:r>
      <w:r w:rsidRPr="00883271">
        <w:t xml:space="preserve">term commitment to a revitalised NCP. </w:t>
      </w:r>
    </w:p>
    <w:p w14:paraId="45DDF0D6" w14:textId="1213BB0F" w:rsidR="000B1302" w:rsidRPr="00883271" w:rsidRDefault="000B1302" w:rsidP="00DC2E0F">
      <w:r w:rsidRPr="00883271">
        <w:t xml:space="preserve">The Review provides an opportunity to examine the impact of the scheme to date. Understanding how repair markets are structured, and the competitive dynamics within them, is an important first step in examining the effectiveness of the scheme and building the evidence base for right to repair policy in Australia. This chapter examines the dynamics of competition in repair markets and the impact of the scheme on the automotive repair sector and consumers. </w:t>
      </w:r>
    </w:p>
    <w:p w14:paraId="4D6EAC42" w14:textId="2A20DA90" w:rsidR="000B1302" w:rsidRPr="004343EF" w:rsidRDefault="000B1302" w:rsidP="00DC2E0F">
      <w:pPr>
        <w:pStyle w:val="Heading2"/>
      </w:pPr>
      <w:bookmarkStart w:id="23" w:name="_Toc211963303"/>
      <w:bookmarkStart w:id="24" w:name="_Toc213340394"/>
      <w:r w:rsidRPr="00DC2E0F">
        <w:lastRenderedPageBreak/>
        <w:t>Competition</w:t>
      </w:r>
      <w:r w:rsidRPr="004343EF">
        <w:t xml:space="preserve"> in repair markets</w:t>
      </w:r>
      <w:bookmarkEnd w:id="23"/>
      <w:bookmarkEnd w:id="24"/>
      <w:r w:rsidRPr="004343EF">
        <w:t xml:space="preserve"> </w:t>
      </w:r>
    </w:p>
    <w:p w14:paraId="384A6545" w14:textId="6683F8E0" w:rsidR="000B1302" w:rsidRPr="00883271" w:rsidRDefault="000B1302" w:rsidP="00DC2E0F">
      <w:r w:rsidRPr="00883271">
        <w:t>Secondary markets, or aftermarkets, supply products or services (</w:t>
      </w:r>
      <w:r w:rsidR="00BF0433">
        <w:t>‘</w:t>
      </w:r>
      <w:r w:rsidRPr="00883271">
        <w:t>secondary products</w:t>
      </w:r>
      <w:r w:rsidR="00BF0433">
        <w:t>’</w:t>
      </w:r>
      <w:r w:rsidRPr="00883271">
        <w:t>) used in conjunction with an existing product that has already been acquired (</w:t>
      </w:r>
      <w:r w:rsidR="00BF0433">
        <w:t>‘</w:t>
      </w:r>
      <w:r w:rsidRPr="00883271">
        <w:t>primary product</w:t>
      </w:r>
      <w:r w:rsidR="00BF0433">
        <w:t>’</w:t>
      </w:r>
      <w:r w:rsidRPr="00883271">
        <w:t>). In the motor vehicle sector, the primary market involves the sale of vehicles, while the secondary market includes repair and maintenance services. These secondary markets are heavily shaped by the conduct of original equipment manufacturers (OEMs), who exercise control over, and access to, information, parts and tools used in the provision of secondary market goods and services.</w:t>
      </w:r>
    </w:p>
    <w:p w14:paraId="72437601" w14:textId="77777777" w:rsidR="000B1302" w:rsidRPr="00883271" w:rsidRDefault="000B1302" w:rsidP="00DC2E0F">
      <w:r w:rsidRPr="00883271">
        <w:t>Participants in the secondary market fall into two broad categories:</w:t>
      </w:r>
    </w:p>
    <w:p w14:paraId="40D5168A" w14:textId="5E50E648" w:rsidR="000B1302" w:rsidRPr="00883271" w:rsidRDefault="000B1302" w:rsidP="00DC2E0F">
      <w:pPr>
        <w:pStyle w:val="OutlineNumbered1"/>
      </w:pPr>
      <w:r w:rsidRPr="00883271">
        <w:t>Authorised entities, such as dealerships, operating within OEM</w:t>
      </w:r>
      <w:r w:rsidR="007B3C6A">
        <w:noBreakHyphen/>
      </w:r>
      <w:r w:rsidRPr="00883271">
        <w:t>branded networks and benefiting from direct access to information, parts and tools</w:t>
      </w:r>
      <w:r>
        <w:t>.</w:t>
      </w:r>
    </w:p>
    <w:p w14:paraId="25F9967C" w14:textId="5A3EC7EA" w:rsidR="000B1302" w:rsidRPr="00883271" w:rsidRDefault="000B1302" w:rsidP="00DC2E0F">
      <w:pPr>
        <w:pStyle w:val="OutlineNumbered1"/>
      </w:pPr>
      <w:r w:rsidRPr="00883271">
        <w:t>Independent entities, such as independent service and crash repairers, operating outside these networks and ranging from small owner</w:t>
      </w:r>
      <w:r w:rsidR="007B3C6A">
        <w:noBreakHyphen/>
      </w:r>
      <w:r w:rsidRPr="00883271">
        <w:t>operated garages to franchised service chains.</w:t>
      </w:r>
      <w:r w:rsidRPr="00A740DC">
        <w:rPr>
          <w:rStyle w:val="FootnoteReference"/>
        </w:rPr>
        <w:footnoteReference w:id="8"/>
      </w:r>
      <w:r w:rsidRPr="00A740DC">
        <w:rPr>
          <w:rStyle w:val="FootnoteReference"/>
        </w:rPr>
        <w:t xml:space="preserve"> </w:t>
      </w:r>
    </w:p>
    <w:p w14:paraId="6B265E30" w14:textId="381630C6" w:rsidR="000B1302" w:rsidRPr="00883271" w:rsidRDefault="000B1302" w:rsidP="00DC2E0F">
      <w:r w:rsidRPr="00883271">
        <w:t>OEMs</w:t>
      </w:r>
      <w:r w:rsidR="00BF0433">
        <w:t>’</w:t>
      </w:r>
      <w:r w:rsidRPr="00883271">
        <w:t xml:space="preserve"> vertical integration provides authorised repairers with certain competitive advantages, including having direct access to product knowledge, technical specifications on how to repair and service vehicles, access to major suppliers of parts and economies of scale from the OEMs</w:t>
      </w:r>
      <w:r w:rsidR="00BF0433">
        <w:t>’</w:t>
      </w:r>
      <w:r w:rsidRPr="00883271">
        <w:t xml:space="preserve"> global footprint. By contrast, the majority of independent repairers provide an </w:t>
      </w:r>
      <w:r w:rsidR="00BF0433">
        <w:t>‘</w:t>
      </w:r>
      <w:r w:rsidRPr="00883271">
        <w:t>all makes and models</w:t>
      </w:r>
      <w:r w:rsidR="00BF0433">
        <w:t>’</w:t>
      </w:r>
      <w:r w:rsidRPr="00883271">
        <w:t xml:space="preserve"> service offering, engaging with a variety of OEMs and aftermarket providers in order to access the inputs needed to service a wide range of vehicles.</w:t>
      </w:r>
    </w:p>
    <w:p w14:paraId="5A6186B5" w14:textId="591A56D1" w:rsidR="000B1302" w:rsidRPr="00883271" w:rsidRDefault="000B1302" w:rsidP="00DC2E0F">
      <w:r w:rsidRPr="00883271">
        <w:t>Independent workshops account for approximately 60 per cent of total vehicle service and repair activities,</w:t>
      </w:r>
      <w:r w:rsidRPr="00A740DC">
        <w:rPr>
          <w:rStyle w:val="FootnoteReference"/>
        </w:rPr>
        <w:footnoteReference w:id="9"/>
      </w:r>
      <w:r w:rsidRPr="00883271">
        <w:t xml:space="preserve"> and play a critical role in meeting consumer demand. The services provided by independent repairers can be particularly critical in regional areas where access to authorised repairers may be limited. Despite the significance of independent repairers in the secondary market, OEMs may seek to leverage their position in the primary market to restrict competition in the secondary market by limiting access to repair information or controlling supply chains. These practices can raise barriers to entry, lower competition, and reduce consumer choice.</w:t>
      </w:r>
    </w:p>
    <w:p w14:paraId="7390CA96" w14:textId="4CB1B2CB" w:rsidR="000B1302" w:rsidRPr="00883271" w:rsidRDefault="000B1302" w:rsidP="00DC2E0F">
      <w:r w:rsidRPr="00883271">
        <w:t>While the sale of vehicles occurs in a relatively competitive environment, the repair and servicing of those vehicles takes places in a secondary market that is often shaped by OEM control. This lack of competitive discipline in the secondary market may result in reduced consumer choice and affordability when seeking repairs.</w:t>
      </w:r>
    </w:p>
    <w:p w14:paraId="329AA882" w14:textId="426833E6" w:rsidR="000B1302" w:rsidRPr="00883271" w:rsidRDefault="000B1302" w:rsidP="00DC2E0F">
      <w:r w:rsidRPr="00883271">
        <w:t xml:space="preserve">Pricing in the secondary market can depend on the competitive structure of the primary market. When competition in the primary market is high businesses may lower prices to attract buyers, then offset resultant lower margins by raising prices in the secondary market. This dynamic is known as the </w:t>
      </w:r>
      <w:r w:rsidR="00BF0433">
        <w:t>‘</w:t>
      </w:r>
      <w:r w:rsidRPr="00883271">
        <w:t>waterbed effect</w:t>
      </w:r>
      <w:r w:rsidR="00BF0433">
        <w:t>’</w:t>
      </w:r>
      <w:r w:rsidRPr="00883271">
        <w:t>.</w:t>
      </w:r>
      <w:r w:rsidRPr="00A740DC">
        <w:rPr>
          <w:rStyle w:val="FootnoteReference"/>
        </w:rPr>
        <w:footnoteReference w:id="10"/>
      </w:r>
      <w:r w:rsidRPr="00883271">
        <w:t xml:space="preserve"> Analogously, gaming console manufacturers may price consoles competitively, sometimes at a small loss to attract buyers, with the aim of making profits on game sales, subscription services or accessories. In vehicle markets, this could mean competitive vehicle pricing is paired with inflated repair costs, particularly if OEMs restrict access to repair services.</w:t>
      </w:r>
    </w:p>
    <w:p w14:paraId="3F690B14" w14:textId="286B1056" w:rsidR="000B1302" w:rsidRPr="00883271" w:rsidRDefault="000B1302" w:rsidP="00DC2E0F">
      <w:pPr>
        <w:rPr>
          <w:b/>
          <w:bCs/>
        </w:rPr>
      </w:pPr>
      <w:r w:rsidRPr="00883271">
        <w:lastRenderedPageBreak/>
        <w:t xml:space="preserve">Due to limited information or behavioural biases, consumers may underestimate the total cost of ownership at the point of purchase. This can be exploited by </w:t>
      </w:r>
      <w:r w:rsidR="00BF0433">
        <w:t>‘</w:t>
      </w:r>
      <w:r w:rsidRPr="00883271">
        <w:t>locking</w:t>
      </w:r>
      <w:r w:rsidR="007B3C6A">
        <w:noBreakHyphen/>
      </w:r>
      <w:r w:rsidRPr="00883271">
        <w:t>in</w:t>
      </w:r>
      <w:r w:rsidR="00BF0433">
        <w:t>’</w:t>
      </w:r>
      <w:r w:rsidRPr="00883271">
        <w:t xml:space="preserve"> consumers to proprietary products and services in the secondary market at the time of sale. This lock</w:t>
      </w:r>
      <w:r w:rsidR="007B3C6A">
        <w:noBreakHyphen/>
      </w:r>
      <w:r w:rsidRPr="00883271">
        <w:t>in can reduce aftermarket competition by increasing the cost, financially or logistically, of switching to independent providers. A less competitive secondary market also has non</w:t>
      </w:r>
      <w:r w:rsidR="007B3C6A">
        <w:noBreakHyphen/>
      </w:r>
      <w:r w:rsidRPr="00883271">
        <w:t>price impacts on consumers, and may result in fewer independent repairers, increased repair and travel times, and less choice and convenience for consumers. Figure 2.1 shows a stylised depiction of the waterbed effect where there is limited competition in the secondary market. Here, firms restrict aftermarket competition to increase the price of repairs. Firms also use the increased profits to lower prices of the primary product to attract consumers.</w:t>
      </w:r>
    </w:p>
    <w:p w14:paraId="24B6074D" w14:textId="65C476A3" w:rsidR="000B1302" w:rsidRPr="00883271" w:rsidRDefault="000B1302" w:rsidP="00110D67">
      <w:pPr>
        <w:pStyle w:val="FigureMainHeading"/>
        <w:rPr>
          <w:rFonts w:cs="Calibri Light"/>
        </w:rPr>
      </w:pPr>
      <w:r w:rsidRPr="00883271">
        <w:t>Figure 2.1: Representation of the waterbed effect</w:t>
      </w:r>
      <w:r w:rsidRPr="00A740DC">
        <w:rPr>
          <w:rStyle w:val="FootnoteReference"/>
        </w:rPr>
        <w:footnoteReference w:id="11"/>
      </w:r>
    </w:p>
    <w:p w14:paraId="73A375DF" w14:textId="691AE47C" w:rsidR="000B1302" w:rsidRPr="00883271" w:rsidRDefault="000B1302" w:rsidP="0078672A">
      <w:pPr>
        <w:pStyle w:val="ChartGraphic"/>
      </w:pPr>
      <w:r w:rsidRPr="0078672A">
        <w:drawing>
          <wp:inline distT="0" distB="0" distL="0" distR="0" wp14:anchorId="0D4CA770" wp14:editId="0162C413">
            <wp:extent cx="5704776" cy="3924000"/>
            <wp:effectExtent l="0" t="0" r="0" b="635"/>
            <wp:docPr id="1253318236" name="Picture 16" descr="Line chart showing four lines over time, with the vertical axis labelled “Price change” (ranging from -4 to 4) and the horizontal axis labelled “Time” (0 to 4). All lines start at 0 before Time 1. At Time 1, when repair competition is restricted, the red “Repair Price” line rises from 0 to 4, the blue “Total lifecycle cost” line rises from 0 to 2, the purple “Primary Product Price” line falls from 0 to -2, and the dotted black “Complete Waterbed Effect” line remains a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18236" name="Picture 16" descr="Line chart showing four lines over time, with the vertical axis labelled “Price change” (ranging from -4 to 4) and the horizontal axis labelled “Time” (0 to 4). All lines start at 0 before Time 1. At Time 1, when repair competition is restricted, the red “Repair Price” line rises from 0 to 4, the blue “Total lifecycle cost” line rises from 0 to 2, the purple “Primary Product Price” line falls from 0 to -2, and the dotted black “Complete Waterbed Effect” line remains at 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04776" cy="3924000"/>
                    </a:xfrm>
                    <a:prstGeom prst="rect">
                      <a:avLst/>
                    </a:prstGeom>
                    <a:noFill/>
                    <a:ln>
                      <a:noFill/>
                    </a:ln>
                  </pic:spPr>
                </pic:pic>
              </a:graphicData>
            </a:graphic>
          </wp:inline>
        </w:drawing>
      </w:r>
    </w:p>
    <w:p w14:paraId="6DEA5A51" w14:textId="1B5CEA6A" w:rsidR="000B1302" w:rsidRPr="00883271" w:rsidRDefault="000B1302" w:rsidP="00110D67">
      <w:pPr>
        <w:spacing w:before="240"/>
      </w:pPr>
      <w:r w:rsidRPr="00883271">
        <w:t xml:space="preserve">A competitive secondary market places downward pressure on prices so that consumers are protected from potential </w:t>
      </w:r>
      <w:r w:rsidR="00BF0433">
        <w:t>‘</w:t>
      </w:r>
      <w:r w:rsidRPr="00883271">
        <w:t>waterbed</w:t>
      </w:r>
      <w:r w:rsidR="00BF0433">
        <w:t>’</w:t>
      </w:r>
      <w:r w:rsidRPr="00883271">
        <w:t xml:space="preserve"> effects, and facilitates greater consumer choice, control and convenience. A competitive secondary market can also improve service quality, innovation and business dynamism. While specific right to repair policies vary across jurisdictions, these interventions have the common goal of levelling the playing field between authorised and independent entities in the secondary market. In an Australian context, the scheme aims to promote competition in the secondary market by improving access to information used to diagnose, repair and service vehicles for independent repairers and scheme RTOs. The scheme directly targets information asymmetry and OEM control over critical repair information – two mechanisms that would otherwise limit competition in the repair sector.</w:t>
      </w:r>
    </w:p>
    <w:p w14:paraId="0B8DE4BC" w14:textId="781B810E" w:rsidR="000B1302" w:rsidRPr="00883271" w:rsidRDefault="000B1302" w:rsidP="00DC2E0F">
      <w:r w:rsidRPr="00883271">
        <w:lastRenderedPageBreak/>
        <w:t>The effects of right to repair interventions differ across markets. Economic theory suggests that the response of manufacturers to right to repair policies will depend on a number of factors including cost of supplying the product, as well as the (sometimes strategic) trade</w:t>
      </w:r>
      <w:r w:rsidR="007B3C6A">
        <w:noBreakHyphen/>
      </w:r>
      <w:r w:rsidRPr="00883271">
        <w:t>offs between pricing, repairability and product lifespan:</w:t>
      </w:r>
    </w:p>
    <w:p w14:paraId="31259372" w14:textId="052B4892" w:rsidR="000B1302" w:rsidRPr="00883271" w:rsidRDefault="000B1302" w:rsidP="00DC2E0F">
      <w:pPr>
        <w:pStyle w:val="Bullet"/>
      </w:pPr>
      <w:r w:rsidRPr="00883271">
        <w:rPr>
          <w:b/>
        </w:rPr>
        <w:t>Low production cost goods:</w:t>
      </w:r>
      <w:r w:rsidRPr="00883271">
        <w:t xml:space="preserve"> Manufacturers often adopt a volume</w:t>
      </w:r>
      <w:r w:rsidR="007B3C6A">
        <w:noBreakHyphen/>
      </w:r>
      <w:r w:rsidRPr="00883271">
        <w:t xml:space="preserve">based strategy. As right to repair laws may reduce the </w:t>
      </w:r>
      <w:r w:rsidRPr="00DC2E0F">
        <w:t>incentive</w:t>
      </w:r>
      <w:r w:rsidRPr="00883271">
        <w:t xml:space="preserve"> for consumers to replace products, firms may respond by further lowering prices to discourage repair and resale. While lower prices benefit consumers this may also lead to increased waste. </w:t>
      </w:r>
    </w:p>
    <w:p w14:paraId="24D8B48E" w14:textId="552D75B8" w:rsidR="000B1302" w:rsidRPr="00883271" w:rsidRDefault="000B1302" w:rsidP="00DC2E0F">
      <w:pPr>
        <w:pStyle w:val="Bullet"/>
      </w:pPr>
      <w:r w:rsidRPr="00883271">
        <w:rPr>
          <w:b/>
        </w:rPr>
        <w:t xml:space="preserve">Intermediate production cost goods: </w:t>
      </w:r>
      <w:r w:rsidRPr="00883271">
        <w:t>Manufacturers may initially follow a volume</w:t>
      </w:r>
      <w:r w:rsidR="007B3C6A">
        <w:noBreakHyphen/>
      </w:r>
      <w:r w:rsidRPr="00883271">
        <w:t xml:space="preserve">based strategy, but as independent repair costs decline, may switch to raising the purchase price and facilitating repairs, prolonging product life and increasing the use value and resale value of the product. </w:t>
      </w:r>
    </w:p>
    <w:p w14:paraId="5A1FDB89" w14:textId="3E203C11" w:rsidR="000B1302" w:rsidRPr="00883271" w:rsidRDefault="000B1302" w:rsidP="00DC2E0F">
      <w:pPr>
        <w:pStyle w:val="Bullet"/>
      </w:pPr>
      <w:r w:rsidRPr="00883271">
        <w:rPr>
          <w:b/>
        </w:rPr>
        <w:t>High production cost products</w:t>
      </w:r>
      <w:r w:rsidRPr="00883271">
        <w:t>: Manufacturers have a stronger incentive to ensure the products last longer, so facilitating repair can enhance the product</w:t>
      </w:r>
      <w:r w:rsidR="00BF0433">
        <w:t>’</w:t>
      </w:r>
      <w:r w:rsidRPr="00883271">
        <w:t>s value, support resale markets, and justify higher upfront prices.</w:t>
      </w:r>
      <w:r w:rsidRPr="00A740DC">
        <w:rPr>
          <w:rStyle w:val="FootnoteReference"/>
        </w:rPr>
        <w:footnoteReference w:id="12"/>
      </w:r>
      <w:r w:rsidRPr="00A740DC">
        <w:rPr>
          <w:rStyle w:val="FootnoteReference"/>
        </w:rPr>
        <w:t xml:space="preserve"> </w:t>
      </w:r>
    </w:p>
    <w:p w14:paraId="1335EF6A" w14:textId="20852511" w:rsidR="000B1302" w:rsidRPr="00883271" w:rsidRDefault="000B1302" w:rsidP="00DC2E0F">
      <w:r w:rsidRPr="00883271">
        <w:t>Motor vehicles have high production costs where product longevity is valued by consumers. As a result, theory suggests right to repair policies are more likely to deliver net positive outcomes. International evidence supports this view. For example, right to repair laws implemented in Massachusetts have been found to have a positive and significant impact on the number and proportion of small motor vehicle repair shops in the market.</w:t>
      </w:r>
      <w:r w:rsidRPr="00A740DC">
        <w:rPr>
          <w:rStyle w:val="FootnoteReference"/>
        </w:rPr>
        <w:footnoteReference w:id="13"/>
      </w:r>
      <w:r w:rsidRPr="00A740DC">
        <w:rPr>
          <w:rStyle w:val="FootnoteReference"/>
        </w:rPr>
        <w:t xml:space="preserve"> </w:t>
      </w:r>
    </w:p>
    <w:p w14:paraId="319098DE" w14:textId="32A5931F" w:rsidR="000B1302" w:rsidRPr="00883271" w:rsidRDefault="000B1302" w:rsidP="00DC2E0F">
      <w:r w:rsidRPr="00883271">
        <w:t>The complex nature of secondary markets and the variety of potential market responses to right to repair policies highlight the importance of tailored interventions, stakeholder consultation and sector</w:t>
      </w:r>
      <w:r w:rsidR="007B3C6A">
        <w:noBreakHyphen/>
      </w:r>
      <w:r w:rsidRPr="00883271">
        <w:t xml:space="preserve">specific economic analysis. The following sections examine the impact of the scheme on the local automotive sector and consumers since its introduction. </w:t>
      </w:r>
      <w:bookmarkEnd w:id="22"/>
    </w:p>
    <w:p w14:paraId="4E845B4D" w14:textId="0B398A7F" w:rsidR="000B1302" w:rsidRPr="004343EF" w:rsidRDefault="000B1302" w:rsidP="00DC2E0F">
      <w:pPr>
        <w:pStyle w:val="Heading2"/>
      </w:pPr>
      <w:bookmarkStart w:id="25" w:name="_Toc211963304"/>
      <w:bookmarkStart w:id="26" w:name="_Toc213340395"/>
      <w:r w:rsidRPr="004343EF">
        <w:t xml:space="preserve">Impact on </w:t>
      </w:r>
      <w:r w:rsidRPr="00DC2E0F">
        <w:t>automotive</w:t>
      </w:r>
      <w:r w:rsidRPr="004343EF">
        <w:t xml:space="preserve"> repair sector</w:t>
      </w:r>
      <w:bookmarkEnd w:id="25"/>
      <w:bookmarkEnd w:id="26"/>
    </w:p>
    <w:p w14:paraId="0C5715E8" w14:textId="217AB9B6" w:rsidR="000B1302" w:rsidRPr="00883271" w:rsidRDefault="000B1302" w:rsidP="00DC2E0F">
      <w:r w:rsidRPr="00883271">
        <w:t>The automotive repair sector plays a critical role in keeping Australia moving. To understand how the sector has evolved in recent years, and to contextualise the environment in which the scheme was introduced, the following sections examine key trends in business growth, employment, and turnover in the automotive repair sector, followed by an analysis of the scheme</w:t>
      </w:r>
      <w:r w:rsidR="00BF0433">
        <w:t>’</w:t>
      </w:r>
      <w:r w:rsidRPr="00883271">
        <w:t>s economic impact.</w:t>
      </w:r>
    </w:p>
    <w:p w14:paraId="51904F66" w14:textId="031B75C8" w:rsidR="0078672A" w:rsidRDefault="000B1302" w:rsidP="00DC2E0F">
      <w:r w:rsidRPr="00883271">
        <w:t>As of 2024, the automotive repair and maintenance sector comprised of approximately 50,000</w:t>
      </w:r>
      <w:r w:rsidR="00A740DC">
        <w:t> </w:t>
      </w:r>
      <w:r w:rsidRPr="00883271">
        <w:t>businesses, employing 141,000 people nationally, with an average of three employees per</w:t>
      </w:r>
      <w:r w:rsidR="00A740DC">
        <w:t xml:space="preserve"> </w:t>
      </w:r>
      <w:r w:rsidRPr="00883271">
        <w:t>firm, and generating a total of $35 billion in turnover. Independent repairers account for the majority of businesses and work undertaken while dealerships dominate warranty servicing and higher</w:t>
      </w:r>
      <w:r w:rsidR="007B3C6A">
        <w:noBreakHyphen/>
      </w:r>
      <w:r w:rsidRPr="00883271">
        <w:t>value repairs. In 2024, independent workshops accounted for 60 per cent of all service and repair activities, and are largely small businesses, with the majority of firms being non</w:t>
      </w:r>
      <w:r w:rsidR="007B3C6A">
        <w:noBreakHyphen/>
      </w:r>
      <w:r w:rsidRPr="00883271">
        <w:t xml:space="preserve">employing, or employing between one and four people. </w:t>
      </w:r>
      <w:r w:rsidR="0078672A">
        <w:br w:type="page"/>
      </w:r>
    </w:p>
    <w:p w14:paraId="20872D8A" w14:textId="61CF3E9C" w:rsidR="000B1302" w:rsidRPr="00883271" w:rsidRDefault="000B1302" w:rsidP="00DC2E0F">
      <w:r w:rsidRPr="00883271">
        <w:lastRenderedPageBreak/>
        <w:t>To establish baseline conditions before the scheme was introduced and understand broader industry shifts, Figure 2.2 illustrates changes in business count and turnover over the last decade. The motor vehicle repair industry has experienced steady growth, with the number of businesses increasing 20</w:t>
      </w:r>
      <w:r w:rsidR="00CB15AB">
        <w:t> </w:t>
      </w:r>
      <w:r w:rsidRPr="00883271">
        <w:t>per</w:t>
      </w:r>
      <w:r w:rsidR="00CB15AB">
        <w:t> </w:t>
      </w:r>
      <w:r w:rsidRPr="00883271">
        <w:t>cent, from 41,500 in 2014 to 50,000 in 2024, and total nominal turnover rising by 82 per cent over the same period. Employment has also expanded by approximately 31,000 positions.</w:t>
      </w:r>
    </w:p>
    <w:p w14:paraId="25E1934F" w14:textId="393E413E" w:rsidR="000B1302" w:rsidRDefault="000B1302" w:rsidP="00110D67">
      <w:pPr>
        <w:pStyle w:val="FigureMainHeading"/>
      </w:pPr>
      <w:r w:rsidRPr="00883271">
        <w:t>Figure 2.2: Trends in automotive repair and maintenance business count and turnover</w:t>
      </w:r>
    </w:p>
    <w:tbl>
      <w:tblPr>
        <w:tblW w:w="5000" w:type="pct"/>
        <w:tblLook w:val="01E0" w:firstRow="1" w:lastRow="1" w:firstColumn="1" w:lastColumn="1" w:noHBand="0" w:noVBand="0"/>
      </w:tblPr>
      <w:tblGrid>
        <w:gridCol w:w="4540"/>
        <w:gridCol w:w="4532"/>
      </w:tblGrid>
      <w:tr w:rsidR="00DC2E0F" w14:paraId="59D59B3C" w14:textId="77777777" w:rsidTr="00637889">
        <w:trPr>
          <w:cantSplit/>
          <w:trHeight w:val="4536"/>
        </w:trPr>
        <w:tc>
          <w:tcPr>
            <w:tcW w:w="2500" w:type="pct"/>
          </w:tcPr>
          <w:p w14:paraId="485EACE7" w14:textId="327ECCD5" w:rsidR="00DC2E0F" w:rsidRPr="00DC2E0F" w:rsidRDefault="00DC2E0F" w:rsidP="0078672A">
            <w:pPr>
              <w:pStyle w:val="ChartGraphic"/>
            </w:pPr>
            <w:r w:rsidRPr="00DC2E0F">
              <w:br w:type="page"/>
            </w:r>
            <w:r w:rsidRPr="00DC2E0F">
              <w:rPr>
                <w:sz w:val="21"/>
                <w:szCs w:val="21"/>
              </w:rPr>
              <w:drawing>
                <wp:inline distT="0" distB="0" distL="0" distR="0" wp14:anchorId="48AD991B" wp14:editId="6F997C9C">
                  <wp:extent cx="2843530" cy="2716772"/>
                  <wp:effectExtent l="0" t="0" r="0" b="7620"/>
                  <wp:docPr id="674052448" name="Picture 5" descr="Line chart showing the number of businesses in the Automotive Repair and Maintenance industry from 2014 to 2024. The vertical axis is labelled &quot;Number of businesses&quot; and the horizontal axis is years. The line rises steadily from about 41,500 in 2014 to a peak of 51,000 in 2023, before slightly declining to 50,000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52448" name="Picture 5" descr="Line chart showing the number of businesses in the Automotive Repair and Maintenance industry from 2014 to 2024. The vertical axis is labelled &quot;Number of businesses&quot; and the horizontal axis is years. The line rises steadily from about 41,500 in 2014 to a peak of 51,000 in 2023, before slightly declining to 50,000 in 202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4458"/>
                          <a:stretch/>
                        </pic:blipFill>
                        <pic:spPr bwMode="auto">
                          <a:xfrm>
                            <a:off x="0" y="0"/>
                            <a:ext cx="2844000" cy="2717221"/>
                          </a:xfrm>
                          <a:prstGeom prst="rect">
                            <a:avLst/>
                          </a:prstGeom>
                          <a:noFill/>
                          <a:ln>
                            <a:noFill/>
                          </a:ln>
                          <a:extLst>
                            <a:ext uri="{53640926-AAD7-44D8-BBD7-CCE9431645EC}">
                              <a14:shadowObscured xmlns:a14="http://schemas.microsoft.com/office/drawing/2010/main"/>
                            </a:ext>
                          </a:extLst>
                        </pic:spPr>
                      </pic:pic>
                    </a:graphicData>
                  </a:graphic>
                </wp:inline>
              </w:drawing>
            </w:r>
          </w:p>
          <w:p w14:paraId="47BE294C" w14:textId="26AF1496" w:rsidR="00DC2E0F" w:rsidRPr="00DC2E0F" w:rsidRDefault="00DC2E0F" w:rsidP="00BC1074">
            <w:pPr>
              <w:pStyle w:val="ChartorTableNote"/>
              <w:spacing w:after="0"/>
            </w:pPr>
            <w:r w:rsidRPr="00DC2E0F">
              <w:t>Source:</w:t>
            </w:r>
            <w:r>
              <w:tab/>
              <w:t>ABS TableBuilder</w:t>
            </w:r>
          </w:p>
        </w:tc>
        <w:tc>
          <w:tcPr>
            <w:tcW w:w="2500" w:type="pct"/>
          </w:tcPr>
          <w:p w14:paraId="5D0E3EA3" w14:textId="263EAC98" w:rsidR="00DC2E0F" w:rsidRPr="00DC2E0F" w:rsidRDefault="00DC2E0F" w:rsidP="0078672A">
            <w:pPr>
              <w:pStyle w:val="ChartGraphic"/>
            </w:pPr>
            <w:r w:rsidRPr="00DC2E0F">
              <w:drawing>
                <wp:inline distT="0" distB="0" distL="0" distR="0" wp14:anchorId="214A4578" wp14:editId="3CE59C5F">
                  <wp:extent cx="2833789" cy="2718000"/>
                  <wp:effectExtent l="0" t="0" r="5080" b="6350"/>
                  <wp:docPr id="786000418" name="Picture 6" descr="Line chart showing the total turnover of businesses in the automotive repair and maintenance industry from 2014 to 2024. The vertical axis is labelled &quot;Total turnover ($ billions)&quot; and the horizontal axis is years. The line rises steadily from about $20 billion in in 2014 to 35 billion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00418" name="Picture 6" descr="Line chart showing the total turnover of businesses in the automotive repair and maintenance industry from 2014 to 2024. The vertical axis is labelled &quot;Total turnover ($ billions)&quot; and the horizontal axis is years. The line rises steadily from about $20 billion in in 2014 to 35 billion in 202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4086"/>
                          <a:stretch/>
                        </pic:blipFill>
                        <pic:spPr bwMode="auto">
                          <a:xfrm>
                            <a:off x="0" y="0"/>
                            <a:ext cx="2833789" cy="2718000"/>
                          </a:xfrm>
                          <a:prstGeom prst="rect">
                            <a:avLst/>
                          </a:prstGeom>
                          <a:noFill/>
                          <a:ln>
                            <a:noFill/>
                          </a:ln>
                          <a:extLst>
                            <a:ext uri="{53640926-AAD7-44D8-BBD7-CCE9431645EC}">
                              <a14:shadowObscured xmlns:a14="http://schemas.microsoft.com/office/drawing/2010/main"/>
                            </a:ext>
                          </a:extLst>
                        </pic:spPr>
                      </pic:pic>
                    </a:graphicData>
                  </a:graphic>
                </wp:inline>
              </w:drawing>
            </w:r>
          </w:p>
          <w:p w14:paraId="654316FB" w14:textId="0889B05B" w:rsidR="00DC2E0F" w:rsidRPr="00DC2E0F" w:rsidRDefault="00DC2E0F" w:rsidP="00BC1074">
            <w:pPr>
              <w:pStyle w:val="ChartorTableNote"/>
              <w:spacing w:after="0"/>
            </w:pPr>
            <w:r w:rsidRPr="00DC2E0F">
              <w:t>Source:</w:t>
            </w:r>
            <w:r>
              <w:tab/>
              <w:t>ABS TableBuilder</w:t>
            </w:r>
          </w:p>
        </w:tc>
      </w:tr>
    </w:tbl>
    <w:p w14:paraId="2CAC1468" w14:textId="067ABEFC" w:rsidR="000B1302" w:rsidRPr="00883271" w:rsidRDefault="000B1302" w:rsidP="00110D67">
      <w:pPr>
        <w:spacing w:before="240"/>
      </w:pPr>
      <w:r w:rsidRPr="00883271">
        <w:t xml:space="preserve">Growth has not been uniform across all firms. Larger businesses (firms with more than three full time equivalent staff) have outpaced smaller operations in turnover, employment and business count, suggesting that scale and access to capital have enabled these firms to capture growing demand for vehicle maintenance and repair. </w:t>
      </w:r>
    </w:p>
    <w:p w14:paraId="541EB04B" w14:textId="4D8EFF9B" w:rsidR="000B1302" w:rsidRPr="00883271" w:rsidRDefault="000B1302" w:rsidP="00DC2E0F">
      <w:r w:rsidRPr="00883271">
        <w:t>Demand for automotive repair services is closely tied to the size and utilisation of Australia</w:t>
      </w:r>
      <w:r w:rsidR="00BF0433">
        <w:t>’</w:t>
      </w:r>
      <w:r w:rsidRPr="00883271">
        <w:t>s passenger vehicle fleet. Over the past decade, the number of registered vehicles covered by the scheme increased from 11 million in 2014 to 17.5 million in 2024, while total vehicle kilometres travelled rose by five per cent to approximately 234 billion kilometres (Figure 2.3). Noticeably, while the COVID</w:t>
      </w:r>
      <w:r w:rsidR="007B3C6A">
        <w:noBreakHyphen/>
      </w:r>
      <w:r w:rsidRPr="00883271">
        <w:t>19 pandemic caused a temporary dip in kilometres travelled, this primarily impacted metropolitan areas and was relatively short lived, with demand for servicing rebounding strongly as restrictions eased and travel patterns normalised. These trends reflect both population growth and demand for private vehicles for transport. As the fleet of scheme vehicles grows and ages, the need for maintenance and repair increases, further contributing to demand for automotive repair services which are covered by the scheme.</w:t>
      </w:r>
    </w:p>
    <w:p w14:paraId="3EC12B47" w14:textId="45EDAFE9" w:rsidR="000B1302" w:rsidRDefault="000B1302" w:rsidP="00110D67">
      <w:pPr>
        <w:pStyle w:val="FigureMainHeading"/>
      </w:pPr>
      <w:r w:rsidRPr="00883271">
        <w:lastRenderedPageBreak/>
        <w:t>Figure 2.3: Trends in vehicle kilometres travelled and registered vehicles</w:t>
      </w:r>
    </w:p>
    <w:tbl>
      <w:tblPr>
        <w:tblW w:w="5000" w:type="pct"/>
        <w:tblLook w:val="01E0" w:firstRow="1" w:lastRow="1" w:firstColumn="1" w:lastColumn="1" w:noHBand="0" w:noVBand="0"/>
      </w:tblPr>
      <w:tblGrid>
        <w:gridCol w:w="4547"/>
        <w:gridCol w:w="4525"/>
      </w:tblGrid>
      <w:tr w:rsidR="00DC2E0F" w14:paraId="68795568" w14:textId="77777777" w:rsidTr="00BC1074">
        <w:trPr>
          <w:cantSplit/>
          <w:trHeight w:val="3367"/>
        </w:trPr>
        <w:tc>
          <w:tcPr>
            <w:tcW w:w="2500" w:type="pct"/>
          </w:tcPr>
          <w:p w14:paraId="5E7EB55B" w14:textId="4592EF5A" w:rsidR="00DC2E0F" w:rsidRDefault="00DC2E0F" w:rsidP="0078672A">
            <w:pPr>
              <w:pStyle w:val="ChartGraphic"/>
            </w:pPr>
            <w:r>
              <w:br w:type="page"/>
            </w:r>
            <w:r w:rsidRPr="00883271">
              <w:rPr>
                <w:sz w:val="21"/>
                <w:szCs w:val="21"/>
              </w:rPr>
              <w:drawing>
                <wp:inline distT="0" distB="0" distL="0" distR="0" wp14:anchorId="6B76A9DD" wp14:editId="6A4A58D7">
                  <wp:extent cx="2858094" cy="2736000"/>
                  <wp:effectExtent l="0" t="0" r="0" b="7620"/>
                  <wp:docPr id="1212758028" name="Picture 7" descr="Line chart showing the number of kilometres travelled by scheme vehicles from 2014 to 2024. The vertical axis is labelled &quot;km (billion)&quot; and the horizontal axis is years. The line starts at about 224 billion kilometres in 2013, rises to nearly 235 billion in 2019, drops below 220 billion during 2020-2022, then rises again to 235 billion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758028" name="Picture 7" descr="Line chart showing the number of kilometres travelled by scheme vehicles from 2014 to 2024. The vertical axis is labelled &quot;km (billion)&quot; and the horizontal axis is years. The line starts at about 224 billion kilometres in 2013, rises to nearly 235 billion in 2019, drops below 220 billion during 2020-2022, then rises again to 235 billion in 202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4272"/>
                          <a:stretch/>
                        </pic:blipFill>
                        <pic:spPr bwMode="auto">
                          <a:xfrm>
                            <a:off x="0" y="0"/>
                            <a:ext cx="2858094" cy="2736000"/>
                          </a:xfrm>
                          <a:prstGeom prst="rect">
                            <a:avLst/>
                          </a:prstGeom>
                          <a:noFill/>
                          <a:ln>
                            <a:noFill/>
                          </a:ln>
                          <a:extLst>
                            <a:ext uri="{53640926-AAD7-44D8-BBD7-CCE9431645EC}">
                              <a14:shadowObscured xmlns:a14="http://schemas.microsoft.com/office/drawing/2010/main"/>
                            </a:ext>
                          </a:extLst>
                        </pic:spPr>
                      </pic:pic>
                    </a:graphicData>
                  </a:graphic>
                </wp:inline>
              </w:drawing>
            </w:r>
          </w:p>
          <w:p w14:paraId="6B9DE1A2" w14:textId="6FD4FF7F" w:rsidR="00DC2E0F" w:rsidRPr="00DC2E0F" w:rsidRDefault="00DC2E0F" w:rsidP="00BC1074">
            <w:pPr>
              <w:pStyle w:val="ChartorTableNote"/>
              <w:spacing w:after="0"/>
            </w:pPr>
            <w:r>
              <w:t>Source:</w:t>
            </w:r>
            <w:r>
              <w:tab/>
              <w:t>BITRE</w:t>
            </w:r>
          </w:p>
        </w:tc>
        <w:tc>
          <w:tcPr>
            <w:tcW w:w="2500" w:type="pct"/>
          </w:tcPr>
          <w:p w14:paraId="0F3737BA" w14:textId="6AC1D08A" w:rsidR="00DC2E0F" w:rsidRDefault="00DC2E0F" w:rsidP="0078672A">
            <w:pPr>
              <w:pStyle w:val="ChartGraphic"/>
            </w:pPr>
            <w:r w:rsidRPr="00883271">
              <w:drawing>
                <wp:inline distT="0" distB="0" distL="0" distR="0" wp14:anchorId="22BADA37" wp14:editId="115C382C">
                  <wp:extent cx="2843530" cy="2737914"/>
                  <wp:effectExtent l="0" t="0" r="0" b="5715"/>
                  <wp:docPr id="1810465053" name="Picture 8" descr="Line chart showing the number of registered scheme vehicles from 2014 to 2024. The vertical axis is labelled &quot;Registered vehicles (millions)&quot; and the horizontal axis is years. The line starts at 11 million registered vehicles in 2014 and rises nearly 17.5 million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65053" name="Picture 8" descr="Line chart showing the number of registered scheme vehicles from 2014 to 2024. The vertical axis is labelled &quot;Registered vehicles (millions)&quot; and the horizontal axis is years. The line starts at 11 million registered vehicles in 2014 and rises nearly 17.5 million in 202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3715"/>
                          <a:stretch/>
                        </pic:blipFill>
                        <pic:spPr bwMode="auto">
                          <a:xfrm>
                            <a:off x="0" y="0"/>
                            <a:ext cx="2844000" cy="2738367"/>
                          </a:xfrm>
                          <a:prstGeom prst="rect">
                            <a:avLst/>
                          </a:prstGeom>
                          <a:noFill/>
                          <a:ln>
                            <a:noFill/>
                          </a:ln>
                          <a:extLst>
                            <a:ext uri="{53640926-AAD7-44D8-BBD7-CCE9431645EC}">
                              <a14:shadowObscured xmlns:a14="http://schemas.microsoft.com/office/drawing/2010/main"/>
                            </a:ext>
                          </a:extLst>
                        </pic:spPr>
                      </pic:pic>
                    </a:graphicData>
                  </a:graphic>
                </wp:inline>
              </w:drawing>
            </w:r>
          </w:p>
          <w:p w14:paraId="22E5E470" w14:textId="78A1205B" w:rsidR="00DC2E0F" w:rsidRPr="00DC2E0F" w:rsidRDefault="00DC2E0F" w:rsidP="00BC1074">
            <w:pPr>
              <w:pStyle w:val="ChartorTableNote"/>
              <w:spacing w:after="0"/>
            </w:pPr>
            <w:r>
              <w:t>Source:</w:t>
            </w:r>
            <w:r>
              <w:tab/>
              <w:t>BITRE</w:t>
            </w:r>
          </w:p>
        </w:tc>
      </w:tr>
    </w:tbl>
    <w:p w14:paraId="6828AB29" w14:textId="0C91E8C1" w:rsidR="000B1302" w:rsidRPr="00883271" w:rsidRDefault="000B1302" w:rsidP="00110D67">
      <w:pPr>
        <w:spacing w:before="240"/>
      </w:pPr>
      <w:r w:rsidRPr="00883271">
        <w:t>Competitiveness in the automotive repair sector is critical for ensuring fair pricing and providing consumers with choice. The Productivity Commission</w:t>
      </w:r>
      <w:r w:rsidR="00BF0433">
        <w:t>’</w:t>
      </w:r>
      <w:r w:rsidRPr="00883271">
        <w:t>s 2021 Right to Repair Inquiry examined several high</w:t>
      </w:r>
      <w:r w:rsidR="007B3C6A">
        <w:noBreakHyphen/>
      </w:r>
      <w:r w:rsidRPr="00883271">
        <w:t xml:space="preserve">level competition indicators to assess the state of competition in several repair markets, including market concentration, profit margins, and barriers to entry and exit. </w:t>
      </w:r>
    </w:p>
    <w:p w14:paraId="2EA0DFBB" w14:textId="454C6EB6" w:rsidR="000B1302" w:rsidRPr="00883271" w:rsidRDefault="000B1302" w:rsidP="00DC2E0F">
      <w:r w:rsidRPr="00883271">
        <w:t>At an aggregated industry level, the motor vehicle repair sector appears to be broadly competitive, with no clear evidence of widespread market power (as measured by the Herfindahl</w:t>
      </w:r>
      <w:r w:rsidR="007B3C6A">
        <w:noBreakHyphen/>
      </w:r>
      <w:r w:rsidRPr="00883271">
        <w:t>Hirschman Index, a standard measure of market concentration), similar entry and exit rates to other repair industries, and no sustained increase in profit margins, suggesting limited pricing power.</w:t>
      </w:r>
      <w:r w:rsidRPr="00A740DC">
        <w:rPr>
          <w:rStyle w:val="FootnoteReference"/>
        </w:rPr>
        <w:footnoteReference w:id="14"/>
      </w:r>
      <w:r w:rsidRPr="00A740DC">
        <w:rPr>
          <w:rStyle w:val="FootnoteReference"/>
        </w:rPr>
        <w:t xml:space="preserve"> </w:t>
      </w:r>
      <w:r w:rsidRPr="00883271">
        <w:t>These findings suggest there is no immediate evidence of systemic competition issues at the industry level. However, due to data aggregation at the industry and national level, these metrics may obscure product</w:t>
      </w:r>
      <w:r w:rsidR="007B3C6A">
        <w:noBreakHyphen/>
      </w:r>
      <w:r w:rsidRPr="00883271">
        <w:t>specific or regional disparities.</w:t>
      </w:r>
    </w:p>
    <w:p w14:paraId="52B3F8B5" w14:textId="541FF0FC" w:rsidR="000B1302" w:rsidRPr="00883271" w:rsidRDefault="000B1302" w:rsidP="00DC2E0F">
      <w:r w:rsidRPr="00883271">
        <w:t>Despite no clear indications of lack of competition from these metrics, it does not mean competition issues are absent altogether. The ACCC</w:t>
      </w:r>
      <w:r w:rsidR="00BF0433">
        <w:t>’</w:t>
      </w:r>
      <w:r w:rsidRPr="00883271">
        <w:t>s New Car Retailing Industry market study noted that competition in the supply of aftermarket services for cars is less robust due to several factors:</w:t>
      </w:r>
      <w:r w:rsidRPr="00A740DC">
        <w:rPr>
          <w:rStyle w:val="FootnoteReference"/>
        </w:rPr>
        <w:footnoteReference w:id="15"/>
      </w:r>
      <w:r w:rsidRPr="00A740DC">
        <w:rPr>
          <w:rStyle w:val="FootnoteReference"/>
        </w:rPr>
        <w:t xml:space="preserve"> </w:t>
      </w:r>
    </w:p>
    <w:p w14:paraId="7B0B2610" w14:textId="6CC30ED8" w:rsidR="000B1302" w:rsidRPr="00883271" w:rsidRDefault="000B1302" w:rsidP="00DC2E0F">
      <w:pPr>
        <w:pStyle w:val="Bullet"/>
      </w:pPr>
      <w:r w:rsidRPr="00883271">
        <w:t xml:space="preserve">The ability of vehicle manufacturers and dealers to control access to inputs and information needed for </w:t>
      </w:r>
      <w:r w:rsidRPr="00DC2E0F">
        <w:t>repair</w:t>
      </w:r>
      <w:r w:rsidRPr="00883271">
        <w:t xml:space="preserve"> and servicing of vehicles.</w:t>
      </w:r>
    </w:p>
    <w:p w14:paraId="19B92F8E" w14:textId="5B475657" w:rsidR="000B1302" w:rsidRPr="00883271" w:rsidRDefault="000B1302" w:rsidP="00DC2E0F">
      <w:pPr>
        <w:pStyle w:val="Bullet"/>
      </w:pPr>
      <w:r w:rsidRPr="00DC2E0F">
        <w:t>Consumers</w:t>
      </w:r>
      <w:r w:rsidRPr="00883271">
        <w:t xml:space="preserve"> misunderstanding warranty and servicing requirements.</w:t>
      </w:r>
    </w:p>
    <w:p w14:paraId="0ECE87D2" w14:textId="004F34FA" w:rsidR="000B1302" w:rsidRPr="00883271" w:rsidRDefault="000B1302" w:rsidP="00DC2E0F">
      <w:pPr>
        <w:pStyle w:val="Bullet"/>
      </w:pPr>
      <w:r w:rsidRPr="00883271">
        <w:t xml:space="preserve">High </w:t>
      </w:r>
      <w:r w:rsidRPr="00DC2E0F">
        <w:t>switching</w:t>
      </w:r>
      <w:r w:rsidRPr="00883271">
        <w:t xml:space="preserve"> costs once consumers have purchased a particular brand of vehicle. </w:t>
      </w:r>
    </w:p>
    <w:p w14:paraId="70783920" w14:textId="75F8396C" w:rsidR="000B1302" w:rsidRPr="00883271" w:rsidRDefault="000B1302" w:rsidP="00DC2E0F">
      <w:r w:rsidRPr="00883271">
        <w:t>While high level indicators suggest a broadly competitive market, the ACCC</w:t>
      </w:r>
      <w:r w:rsidR="00BF0433">
        <w:t>’</w:t>
      </w:r>
      <w:r w:rsidRPr="00883271">
        <w:t>s analysis highlighted deeper structural issues, particularly around access to repair information. These features of the repair industry underpin the rationale for the scheme, which aims to reduce information asymmetries and improve competitive conditions for independent repairers.</w:t>
      </w:r>
    </w:p>
    <w:p w14:paraId="7E86ED1B" w14:textId="3D67B3D2" w:rsidR="000B1302" w:rsidRPr="00883271" w:rsidRDefault="000B1302" w:rsidP="00DC2E0F">
      <w:r w:rsidRPr="00883271">
        <w:lastRenderedPageBreak/>
        <w:t>Independent repairers, who make up the majority of businesses and perform most repair services across the sector, report mixed but generally positive outcomes from the scheme. A survey conducted by Fifth Quadrant on behalf of the Australian Automotive Aftermarket Association (AAAA) found 87</w:t>
      </w:r>
      <w:r w:rsidR="00110D67">
        <w:t> </w:t>
      </w:r>
      <w:r w:rsidRPr="00883271">
        <w:t>per cent of workshops are aware of the scheme, yet AASRA membership remains modest relative to the size of the sector</w:t>
      </w:r>
      <w:r w:rsidR="00BF0433">
        <w:t>’</w:t>
      </w:r>
      <w:r w:rsidRPr="00883271">
        <w:t xml:space="preserve">s workforce, at around 3,000 members. </w:t>
      </w:r>
    </w:p>
    <w:p w14:paraId="7076EE0D" w14:textId="694DBD37" w:rsidR="000B1302" w:rsidRPr="00883271" w:rsidRDefault="000B1302" w:rsidP="00DC2E0F">
      <w:r w:rsidRPr="00883271">
        <w:t>Among users of the scheme, reported benefits include significant improvements in productivity, profitability and ability to service a wider range of vehicles. Amongst firms surveyed by industry, around 60 per cent reported a positive impact on revenue and profitability. However, uptake is constrained by several barriers, detailed in this report, that limit the scheme</w:t>
      </w:r>
      <w:r w:rsidR="00BF0433">
        <w:t>’</w:t>
      </w:r>
      <w:r w:rsidRPr="00883271">
        <w:t>s ability to correct for information asymmetries. Information sharing amongst technicians within workshops also complicates assessments of the scheme</w:t>
      </w:r>
      <w:r w:rsidR="00BF0433">
        <w:t>’</w:t>
      </w:r>
      <w:r w:rsidRPr="00883271">
        <w:t xml:space="preserve">s overall reach. </w:t>
      </w:r>
    </w:p>
    <w:p w14:paraId="1E785B3F" w14:textId="474DDAC4" w:rsidR="000B1302" w:rsidRPr="00CE1BB8" w:rsidRDefault="000B1302" w:rsidP="00DC2E0F">
      <w:pPr>
        <w:rPr>
          <w:spacing w:val="-2"/>
        </w:rPr>
      </w:pPr>
      <w:r w:rsidRPr="00CE1BB8">
        <w:rPr>
          <w:spacing w:val="-2"/>
        </w:rPr>
        <w:t>Uptake varies significantly by firm characteristics. The Fifth Quadrant survey found that while 63</w:t>
      </w:r>
      <w:r w:rsidR="00110D67" w:rsidRPr="00CE1BB8">
        <w:rPr>
          <w:spacing w:val="-2"/>
        </w:rPr>
        <w:t> </w:t>
      </w:r>
      <w:r w:rsidRPr="00CE1BB8">
        <w:rPr>
          <w:spacing w:val="-2"/>
        </w:rPr>
        <w:t>per</w:t>
      </w:r>
      <w:r w:rsidR="00110D67" w:rsidRPr="00CE1BB8">
        <w:rPr>
          <w:spacing w:val="-2"/>
        </w:rPr>
        <w:t> </w:t>
      </w:r>
      <w:r w:rsidRPr="00CE1BB8">
        <w:rPr>
          <w:spacing w:val="-2"/>
        </w:rPr>
        <w:t xml:space="preserve">cent of surveyed workshops used the scheme, usage was only 22 per cent amongst </w:t>
      </w:r>
      <w:r w:rsidR="00BF0433" w:rsidRPr="00CE1BB8">
        <w:rPr>
          <w:spacing w:val="-2"/>
        </w:rPr>
        <w:t>‘</w:t>
      </w:r>
      <w:r w:rsidRPr="00CE1BB8">
        <w:rPr>
          <w:spacing w:val="-2"/>
        </w:rPr>
        <w:t>Foundational</w:t>
      </w:r>
      <w:r w:rsidR="00BF0433" w:rsidRPr="00CE1BB8">
        <w:rPr>
          <w:spacing w:val="-2"/>
        </w:rPr>
        <w:t>’</w:t>
      </w:r>
      <w:r w:rsidRPr="00CE1BB8">
        <w:rPr>
          <w:spacing w:val="-2"/>
        </w:rPr>
        <w:t xml:space="preserve"> firms, compared to 66 per cent and 93 per cent for </w:t>
      </w:r>
      <w:r w:rsidR="00BF0433" w:rsidRPr="00CE1BB8">
        <w:rPr>
          <w:spacing w:val="-2"/>
        </w:rPr>
        <w:t>‘</w:t>
      </w:r>
      <w:r w:rsidRPr="00CE1BB8">
        <w:rPr>
          <w:spacing w:val="-2"/>
        </w:rPr>
        <w:t>Developing</w:t>
      </w:r>
      <w:r w:rsidR="00BF0433" w:rsidRPr="00CE1BB8">
        <w:rPr>
          <w:spacing w:val="-2"/>
        </w:rPr>
        <w:t>’</w:t>
      </w:r>
      <w:r w:rsidRPr="00CE1BB8">
        <w:rPr>
          <w:spacing w:val="-2"/>
        </w:rPr>
        <w:t xml:space="preserve"> and </w:t>
      </w:r>
      <w:r w:rsidR="00BF0433" w:rsidRPr="00CE1BB8">
        <w:rPr>
          <w:spacing w:val="-2"/>
        </w:rPr>
        <w:t>‘</w:t>
      </w:r>
      <w:r w:rsidRPr="00CE1BB8">
        <w:rPr>
          <w:spacing w:val="-2"/>
        </w:rPr>
        <w:t>Leader</w:t>
      </w:r>
      <w:r w:rsidR="00BF0433" w:rsidRPr="00CE1BB8">
        <w:rPr>
          <w:spacing w:val="-2"/>
        </w:rPr>
        <w:t>’</w:t>
      </w:r>
      <w:r w:rsidRPr="00CE1BB8">
        <w:rPr>
          <w:spacing w:val="-2"/>
        </w:rPr>
        <w:t xml:space="preserve"> firms respectively.</w:t>
      </w:r>
      <w:r w:rsidRPr="00CE1BB8">
        <w:rPr>
          <w:rStyle w:val="FootnoteReference"/>
          <w:spacing w:val="-2"/>
        </w:rPr>
        <w:footnoteReference w:id="16"/>
      </w:r>
      <w:r w:rsidRPr="00CE1BB8">
        <w:rPr>
          <w:spacing w:val="-2"/>
        </w:rPr>
        <w:t xml:space="preserve"> This difference in uptake suggests that the scheme is likely to disproportionately benefit larger and more sophisticated firms who can more effectively incorporate scheme information into their workflows.</w:t>
      </w:r>
    </w:p>
    <w:p w14:paraId="1F82E4FD" w14:textId="24CF22D7" w:rsidR="000B1302" w:rsidRPr="00883271" w:rsidRDefault="000B1302" w:rsidP="00DC2E0F">
      <w:r w:rsidRPr="00883271">
        <w:t>Dealerships, by contrast, reported minimal direct impact associated with the scheme. While data providers incur compliance costs for making scheme information available, authorised entities retain advantages in access to information, proprietary tools and training, and a</w:t>
      </w:r>
      <w:r>
        <w:t>re</w:t>
      </w:r>
      <w:r w:rsidRPr="00883271">
        <w:t xml:space="preserve"> the preferred option for warranty servicing. </w:t>
      </w:r>
    </w:p>
    <w:p w14:paraId="720E31A1" w14:textId="04203E0E" w:rsidR="000B1302" w:rsidRPr="00883271" w:rsidRDefault="000B1302" w:rsidP="00CE1BB8">
      <w:pPr>
        <w:pStyle w:val="Heading3"/>
        <w:spacing w:before="240"/>
      </w:pPr>
      <w:r w:rsidRPr="00883271">
        <w:t xml:space="preserve">Econometric </w:t>
      </w:r>
      <w:r w:rsidRPr="00DC2E0F">
        <w:t>analysis</w:t>
      </w:r>
    </w:p>
    <w:p w14:paraId="1395004B" w14:textId="748D042E" w:rsidR="000B1302" w:rsidRPr="00883271" w:rsidRDefault="000B1302" w:rsidP="00CE1BB8">
      <w:pPr>
        <w:spacing w:before="100"/>
      </w:pPr>
      <w:r w:rsidRPr="00883271">
        <w:t>To assess the impact of the scheme on business, the Review compared business outcomes before and after the scheme</w:t>
      </w:r>
      <w:r w:rsidR="00BF0433">
        <w:t>’</w:t>
      </w:r>
      <w:r w:rsidRPr="00883271">
        <w:t>s commencement. The scheme took effect on 1 July 2022, providing a clear point in time to evaluate changes. By controlling for factors that influence demand for vehicle repairs, the analysis sought to isolate the scheme</w:t>
      </w:r>
      <w:r w:rsidR="00BF0433">
        <w:t>’</w:t>
      </w:r>
      <w:r w:rsidRPr="00883271">
        <w:t xml:space="preserve">s effect on business performance. </w:t>
      </w:r>
    </w:p>
    <w:p w14:paraId="356E364A" w14:textId="5D7597CC" w:rsidR="000B1302" w:rsidRPr="00883271" w:rsidRDefault="000B1302" w:rsidP="00110D67">
      <w:r w:rsidRPr="00883271">
        <w:t>The Review analysed whether the scheme has been associated with changes in inflation</w:t>
      </w:r>
      <w:r w:rsidR="007B3C6A">
        <w:noBreakHyphen/>
      </w:r>
      <w:r w:rsidRPr="00883271">
        <w:t>adjusted business turnover since its introduction, using firm</w:t>
      </w:r>
      <w:r w:rsidR="007B3C6A">
        <w:noBreakHyphen/>
      </w:r>
      <w:r w:rsidRPr="00883271">
        <w:t>level data from automotive repair businesses that employed at least one full</w:t>
      </w:r>
      <w:r w:rsidR="007B3C6A">
        <w:noBreakHyphen/>
      </w:r>
      <w:r w:rsidRPr="00883271">
        <w:t>time equivalent staff member, and reported quarterly turnover of at least $50,000.</w:t>
      </w:r>
      <w:r w:rsidRPr="00883271">
        <w:rPr>
          <w:rStyle w:val="FootnoteReference"/>
          <w:szCs w:val="21"/>
        </w:rPr>
        <w:footnoteReference w:id="17"/>
      </w:r>
      <w:r w:rsidRPr="00883271">
        <w:t xml:space="preserve"> The dataset covers 2013</w:t>
      </w:r>
      <w:r w:rsidR="007B3C6A">
        <w:t>–</w:t>
      </w:r>
      <w:r w:rsidRPr="00883271">
        <w:t>14 to 2023</w:t>
      </w:r>
      <w:r w:rsidR="007B3C6A">
        <w:t>–</w:t>
      </w:r>
      <w:r w:rsidRPr="00883271">
        <w:t>24 financial years and includes businesses from across Australia.</w:t>
      </w:r>
      <w:r w:rsidRPr="00883271">
        <w:rPr>
          <w:rStyle w:val="FootnoteReference"/>
          <w:szCs w:val="21"/>
        </w:rPr>
        <w:footnoteReference w:id="18"/>
      </w:r>
    </w:p>
    <w:p w14:paraId="2E17379A" w14:textId="08A0F680" w:rsidR="000B1302" w:rsidRPr="00883271" w:rsidRDefault="000B1302" w:rsidP="00CE1BB8">
      <w:pPr>
        <w:spacing w:before="100" w:after="0"/>
      </w:pPr>
      <w:r w:rsidRPr="00883271">
        <w:t>To estimate the scheme</w:t>
      </w:r>
      <w:r w:rsidR="00BF0433">
        <w:t>’</w:t>
      </w:r>
      <w:r w:rsidRPr="00883271">
        <w:t>s average impact of business turnover, the Review employed statistical analysis comparing firm outcomes over time while accounting for differences between firms. This involved comparing firm turnover before and after the scheme</w:t>
      </w:r>
      <w:r w:rsidR="00BF0433">
        <w:t>’</w:t>
      </w:r>
      <w:r w:rsidRPr="00883271">
        <w:t>s introduction and controlling for changes in factors such as kilometres driven by vehicles, population growth, gross state product – all of which influence demand for vehicle repair and servicing. The model also controlled for previous levels of capital expenditure by firms and employment to account for prior investment and workforce capacity, which could affect a workshop</w:t>
      </w:r>
      <w:r w:rsidR="00BF0433">
        <w:t>’</w:t>
      </w:r>
      <w:r w:rsidRPr="00883271">
        <w:t>s ability to respond to future demand. The analysis also accounted for state</w:t>
      </w:r>
      <w:r w:rsidR="007B3C6A">
        <w:noBreakHyphen/>
      </w:r>
      <w:r w:rsidRPr="00883271">
        <w:t xml:space="preserve">level differences in geography and market conditions across Australia. Additional detail on the modelling approach adopted is at </w:t>
      </w:r>
      <w:r w:rsidRPr="00883271">
        <w:rPr>
          <w:b/>
          <w:bCs/>
        </w:rPr>
        <w:t>appendix C</w:t>
      </w:r>
      <w:r w:rsidRPr="00883271">
        <w:t>.</w:t>
      </w:r>
    </w:p>
    <w:p w14:paraId="796EBDE9" w14:textId="597C50DA" w:rsidR="000B1302" w:rsidRPr="00883271" w:rsidRDefault="000B1302" w:rsidP="00DC2E0F">
      <w:r w:rsidRPr="00883271">
        <w:lastRenderedPageBreak/>
        <w:t>Results of the Review</w:t>
      </w:r>
      <w:r w:rsidR="00BF0433">
        <w:t>’</w:t>
      </w:r>
      <w:r w:rsidRPr="00883271">
        <w:t>s econometric analysis suggest that, on average, the scheme is associated with a positive increase in firm turnover. Specifically, the introduction of the scheme is associated with a 6.7</w:t>
      </w:r>
      <w:r w:rsidR="000158E0">
        <w:t> </w:t>
      </w:r>
      <w:r w:rsidRPr="00883271">
        <w:t>per</w:t>
      </w:r>
      <w:r w:rsidR="000158E0">
        <w:t> </w:t>
      </w:r>
      <w:r w:rsidRPr="00883271">
        <w:t>cent expansion in turnover compared to pre</w:t>
      </w:r>
      <w:r w:rsidR="007B3C6A">
        <w:noBreakHyphen/>
      </w:r>
      <w:r w:rsidRPr="00883271">
        <w:t xml:space="preserve">scheme periods and after controlling for other factors influencing demand for automotive repair and maintenance services. For the automotive repair industry as a whole, this translates to around $2.4 billion per year. Given that small and independent businesses comprise the majority of firms in the industry, and are responsible for most servicing and repair work, it is these businesses who stand to benefit from improved access to vehicle information. With broader access, small and medium sized businesses are better equipped to service a wider range of makes and models, and spend less time locating scheme information, improving efficiency and expanding their customer base. </w:t>
      </w:r>
    </w:p>
    <w:p w14:paraId="6C178604" w14:textId="08F82E78" w:rsidR="000B1302" w:rsidRPr="00883271" w:rsidRDefault="000B1302" w:rsidP="00DC2E0F">
      <w:r w:rsidRPr="00883271">
        <w:t>While this analysis suggests the scheme had a positive impact on aggregate business turnover, it is important to note that the scheme commenced at the same time that COVID</w:t>
      </w:r>
      <w:r w:rsidR="007B3C6A">
        <w:noBreakHyphen/>
      </w:r>
      <w:r w:rsidRPr="00883271">
        <w:t>19 travel restrictions were eased. While the chosen econometric specification controls at least partly for the effects of COVID</w:t>
      </w:r>
      <w:r w:rsidR="007B3C6A">
        <w:noBreakHyphen/>
      </w:r>
      <w:r w:rsidRPr="00883271">
        <w:t>19 on vehicle usage, it is difficult to entirely separate the scheme</w:t>
      </w:r>
      <w:r w:rsidR="00BF0433">
        <w:t>’</w:t>
      </w:r>
      <w:r w:rsidRPr="00883271">
        <w:t>s effect from the broader economic recovery from the COVID</w:t>
      </w:r>
      <w:r w:rsidR="007B3C6A">
        <w:noBreakHyphen/>
      </w:r>
      <w:r w:rsidRPr="00883271">
        <w:t>19 pandemic. In addition, it is not possible to identify which specific businesses accessed scheme information, limiting the ability to assess the scheme</w:t>
      </w:r>
      <w:r w:rsidR="00BF0433">
        <w:t>’</w:t>
      </w:r>
      <w:r w:rsidRPr="00883271">
        <w:t xml:space="preserve">s direct effect on firms utilising the scheme compared with those who do not. </w:t>
      </w:r>
    </w:p>
    <w:p w14:paraId="4186233E" w14:textId="5D231A93" w:rsidR="000B1302" w:rsidRPr="00883271" w:rsidRDefault="000B1302" w:rsidP="00DC2E0F">
      <w:r w:rsidRPr="00883271">
        <w:t>These caveats highlight the need for further data and analysis as scheme uptake improves, to better understand its effects on the industry.</w:t>
      </w:r>
    </w:p>
    <w:p w14:paraId="31AFA97A" w14:textId="0FF407A5" w:rsidR="000B1302" w:rsidRPr="004343EF" w:rsidRDefault="000B1302" w:rsidP="00DC2E0F">
      <w:pPr>
        <w:pStyle w:val="Heading2"/>
      </w:pPr>
      <w:bookmarkStart w:id="27" w:name="_Toc204692982"/>
      <w:bookmarkStart w:id="28" w:name="_Toc211963305"/>
      <w:bookmarkStart w:id="29" w:name="_Toc213340396"/>
      <w:r w:rsidRPr="004343EF">
        <w:t xml:space="preserve">Impacts on </w:t>
      </w:r>
      <w:r w:rsidRPr="00DC2E0F">
        <w:t>consumers</w:t>
      </w:r>
      <w:bookmarkEnd w:id="27"/>
      <w:bookmarkEnd w:id="28"/>
      <w:bookmarkEnd w:id="29"/>
      <w:r w:rsidRPr="004343EF">
        <w:t xml:space="preserve"> </w:t>
      </w:r>
    </w:p>
    <w:p w14:paraId="2794D49C" w14:textId="5AA861F3" w:rsidR="000B1302" w:rsidRPr="00883271" w:rsidRDefault="000B1302" w:rsidP="00DC2E0F">
      <w:r w:rsidRPr="00883271">
        <w:t>Resolving automotive concerns can be particularly challenging for consumers.</w:t>
      </w:r>
      <w:r w:rsidRPr="00A740DC">
        <w:rPr>
          <w:rStyle w:val="FootnoteReference"/>
        </w:rPr>
        <w:footnoteReference w:id="19"/>
      </w:r>
      <w:r w:rsidRPr="00883271">
        <w:t xml:space="preserve"> The scheme aims to assist consumers, by enabling them to have scheme vehicles diagnosed, repaired, serviced, modified or dismantled by a repairer of their choice. The scheme does not encourage consumers to utilise the services of specific Australian repairers, but instead seeks to facilitate consumer choice of repairer, according to whatever factors are most important to them.</w:t>
      </w:r>
    </w:p>
    <w:p w14:paraId="51F42344" w14:textId="6260D643" w:rsidR="000B1302" w:rsidRPr="00883271" w:rsidRDefault="000B1302" w:rsidP="00DC2E0F">
      <w:r w:rsidRPr="00883271">
        <w:t>In many cases, consumers may be unaware of the information needed to carry out service and repair work and the potential limitations on the ability of an independent repairer to complete such work.</w:t>
      </w:r>
      <w:r w:rsidRPr="00883271">
        <w:rPr>
          <w:vertAlign w:val="superscript"/>
        </w:rPr>
        <w:footnoteReference w:id="20"/>
      </w:r>
      <w:r w:rsidRPr="00883271">
        <w:t xml:space="preserve"> If the scheme is operating effectively, it is likely that most consumers would not be aware of its existence. By contrast, if the scheme is not operating as intended, this may manifest in higher prices for repair services, or in independent repairers being unable to provide consumers with the services sought and instead referring consumers to a dealer or authorised repairer, even where the consumer would prefer to engage an independent repairer.</w:t>
      </w:r>
    </w:p>
    <w:p w14:paraId="2E020DAF" w14:textId="39853F2A" w:rsidR="000B1302" w:rsidRPr="00883271" w:rsidRDefault="000B1302" w:rsidP="00DC2E0F">
      <w:r w:rsidRPr="00883271">
        <w:t>Stakeholders representing independent repairers reflected that the scheme</w:t>
      </w:r>
      <w:r w:rsidR="00BF0433">
        <w:t>’</w:t>
      </w:r>
      <w:r w:rsidRPr="00883271">
        <w:t>s impact on consumer choice was broadly positive. The AAAA</w:t>
      </w:r>
      <w:r w:rsidR="00BF0433">
        <w:t>’</w:t>
      </w:r>
      <w:r w:rsidRPr="00883271">
        <w:t>s submission to the Review noted that independent repairers who used the scheme have reported positive outcomes for customer satisfaction and improved customer convenience in delivering repair work</w:t>
      </w:r>
      <w:r w:rsidR="0078672A">
        <w:t>.</w:t>
      </w:r>
    </w:p>
    <w:p w14:paraId="1FD3CD77" w14:textId="14A6A495" w:rsidR="000B1302" w:rsidRPr="00883271" w:rsidRDefault="000B1302" w:rsidP="00DC2E0F">
      <w:r w:rsidRPr="00883271">
        <w:t xml:space="preserve">Stakeholders representing manufacturers and dealers noted little to no impact on consumer outcomes. The Federal Chamber of Automotive Industries (FCAI) contended the scheme has had a negligible impact for consumers, including on their ability to choose a preferred repairer. The Australian Automotive Dealer Association (AADA) reported that market dynamics have been </w:t>
      </w:r>
      <w:r w:rsidRPr="00883271">
        <w:lastRenderedPageBreak/>
        <w:t>fundamentally unchanged since the introduction of the scheme, with the market being highly competitive and having no substantive barriers to consumer choice of repairer.</w:t>
      </w:r>
    </w:p>
    <w:p w14:paraId="4C3ED91E" w14:textId="3210FA07" w:rsidR="000B1302" w:rsidRPr="00883271" w:rsidRDefault="000B1302" w:rsidP="00DC2E0F">
      <w:r w:rsidRPr="00883271">
        <w:t>Feedback received through consultation regarding the scheme</w:t>
      </w:r>
      <w:r w:rsidR="00BF0433">
        <w:t>’</w:t>
      </w:r>
      <w:r w:rsidRPr="00883271">
        <w:t>s impact on consumers also noted concerns around overall awareness of the scheme amongst repairers. Improved engagement was posited to be important in driving greater benefits for consumers. A range of stakeholders, including O</w:t>
      </w:r>
      <w:r w:rsidR="00BF0433">
        <w:t>’</w:t>
      </w:r>
      <w:r w:rsidRPr="00883271">
        <w:t>Brien and the Queensland Law Society noted that, without greater awareness amongst consumers and repairers of the rights conferred by the scheme, consumers may continue to defer to dealer and preferred repairer networks for fear of compromising their vehicle</w:t>
      </w:r>
      <w:r w:rsidR="00BF0433">
        <w:t>’</w:t>
      </w:r>
      <w:r w:rsidRPr="00883271">
        <w:t>s manufacturer warranty, potentially undermining the scheme</w:t>
      </w:r>
      <w:r w:rsidR="00BF0433">
        <w:t>’</w:t>
      </w:r>
      <w:r w:rsidRPr="00883271">
        <w:t>s objectives.</w:t>
      </w:r>
    </w:p>
    <w:p w14:paraId="59B59EB2" w14:textId="33386045" w:rsidR="000B1302" w:rsidRPr="00883271" w:rsidRDefault="000B1302" w:rsidP="00DC2E0F">
      <w:r w:rsidRPr="00883271">
        <w:t>The differing stakeholder perspectives on the scheme</w:t>
      </w:r>
      <w:r w:rsidR="00BF0433">
        <w:t>’</w:t>
      </w:r>
      <w:r w:rsidRPr="00883271">
        <w:t>s impact on consumers may reflect the multiple ways in which the scheme can affect consumers, and variation across these individual measures, including:</w:t>
      </w:r>
    </w:p>
    <w:p w14:paraId="2795F964" w14:textId="1E12487A" w:rsidR="000B1302" w:rsidRPr="00883271" w:rsidRDefault="000B1302" w:rsidP="00DC2E0F">
      <w:pPr>
        <w:pStyle w:val="Bullet"/>
      </w:pPr>
      <w:r w:rsidRPr="00DC2E0F">
        <w:t>reduced</w:t>
      </w:r>
      <w:r w:rsidRPr="00883271">
        <w:t xml:space="preserve"> repair costs due to increased competition in the market for vehicle repairs</w:t>
      </w:r>
    </w:p>
    <w:p w14:paraId="3F8D4C4B" w14:textId="5429F9D4" w:rsidR="000B1302" w:rsidRPr="00883271" w:rsidRDefault="000B1302" w:rsidP="00DC2E0F">
      <w:pPr>
        <w:pStyle w:val="Bullet"/>
      </w:pPr>
      <w:r w:rsidRPr="00DC2E0F">
        <w:t>greater</w:t>
      </w:r>
      <w:r w:rsidRPr="00883271">
        <w:t xml:space="preserve"> choice as a result of reduced barriers to repair, and</w:t>
      </w:r>
    </w:p>
    <w:p w14:paraId="6E7884FE" w14:textId="451DF47D" w:rsidR="000B1302" w:rsidRPr="00883271" w:rsidRDefault="000B1302" w:rsidP="00DC2E0F">
      <w:pPr>
        <w:pStyle w:val="Bullet"/>
      </w:pPr>
      <w:r w:rsidRPr="00883271">
        <w:t>improved service quality due to improved information access.</w:t>
      </w:r>
    </w:p>
    <w:p w14:paraId="163BDA4F" w14:textId="1A5A5134" w:rsidR="000B1302" w:rsidRPr="00883271" w:rsidRDefault="000B1302" w:rsidP="00DC2E0F">
      <w:r w:rsidRPr="00883271">
        <w:t xml:space="preserve">In relation to the price effects of the scheme, motor vehicle repair prices have continued to broadly track inflation, as outlined in Figure 2.4. Analysis conducted as part of the Review found that motor vehicle repair prices are driven by several factors, including the cost of parts and of labour, and appear linked to the cost of purchasing motor vehicles (see </w:t>
      </w:r>
      <w:r w:rsidRPr="00883271">
        <w:rPr>
          <w:b/>
          <w:bCs/>
        </w:rPr>
        <w:t>appendix C</w:t>
      </w:r>
      <w:r w:rsidRPr="00883271">
        <w:t>). A positive relationship was observed between repair prices and the prices of spare parts, of labour, and of new vehicles, indicating that repair costs respond to, and are subject to, broader market dynamics. While no statistically significant impact from the scheme on prices was observed as part of this analysis, the short timeframe since the scheme</w:t>
      </w:r>
      <w:r w:rsidR="00BF0433">
        <w:t>’</w:t>
      </w:r>
      <w:r w:rsidRPr="00883271">
        <w:t xml:space="preserve">s introduction precludes any definitive conclusions </w:t>
      </w:r>
      <w:r>
        <w:t xml:space="preserve">being drawn </w:t>
      </w:r>
      <w:r w:rsidRPr="00883271">
        <w:t>about the long</w:t>
      </w:r>
      <w:r w:rsidR="007B3C6A">
        <w:noBreakHyphen/>
      </w:r>
      <w:r w:rsidRPr="00883271">
        <w:t>term impact of the scheme on the price of repairs.</w:t>
      </w:r>
    </w:p>
    <w:p w14:paraId="76205BE6" w14:textId="4DBFFB3D" w:rsidR="000B1302" w:rsidRPr="00883271" w:rsidRDefault="000B1302" w:rsidP="00110D67">
      <w:pPr>
        <w:pStyle w:val="FigureMainHeading"/>
      </w:pPr>
      <w:r w:rsidRPr="00883271">
        <w:lastRenderedPageBreak/>
        <w:t>Figure 2.4: Motor vehicle repair Consumer Price Index (CPI) and economy</w:t>
      </w:r>
      <w:r w:rsidR="007B3C6A">
        <w:noBreakHyphen/>
      </w:r>
      <w:r w:rsidRPr="00883271">
        <w:t>wide CPI</w:t>
      </w:r>
      <w:r w:rsidRPr="00A740DC">
        <w:rPr>
          <w:rStyle w:val="FootnoteReference"/>
        </w:rPr>
        <w:footnoteReference w:id="21"/>
      </w:r>
    </w:p>
    <w:p w14:paraId="2386FBA8" w14:textId="766F723E" w:rsidR="000B1302" w:rsidRDefault="000B1302" w:rsidP="0078672A">
      <w:pPr>
        <w:pStyle w:val="ChartGraphic"/>
      </w:pPr>
      <w:r w:rsidRPr="0078672A">
        <w:drawing>
          <wp:inline distT="0" distB="0" distL="0" distR="0" wp14:anchorId="166D8286" wp14:editId="5B955271">
            <wp:extent cx="5400000" cy="3569109"/>
            <wp:effectExtent l="0" t="0" r="0" b="0"/>
            <wp:docPr id="1408030560" name="Picture 9" descr="Line chart shows quarterly CPI index for &quot;All groups&quot; and &quot;automotive maintenance and repair&quot; from 2013 to 2024. The vertical axis is labelled &quot;Index&quot; and the horizontal axis is years. Both lines start at about 104 in 2013 and rise steadily to around 135 in 2024, closely tracking each other throughout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30560" name="Picture 9" descr="Line chart shows quarterly CPI index for &quot;All groups&quot; and &quot;automotive maintenance and repair&quot; from 2013 to 2024. The vertical axis is labelled &quot;Index&quot; and the horizontal axis is years. Both lines start at about 104 in 2013 and rise steadily to around 135 in 2024, closely tracking each other throughout the perio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3948"/>
                    <a:stretch/>
                  </pic:blipFill>
                  <pic:spPr bwMode="auto">
                    <a:xfrm>
                      <a:off x="0" y="0"/>
                      <a:ext cx="5400000" cy="3569109"/>
                    </a:xfrm>
                    <a:prstGeom prst="rect">
                      <a:avLst/>
                    </a:prstGeom>
                    <a:noFill/>
                    <a:ln>
                      <a:noFill/>
                    </a:ln>
                    <a:extLst>
                      <a:ext uri="{53640926-AAD7-44D8-BBD7-CCE9431645EC}">
                        <a14:shadowObscured xmlns:a14="http://schemas.microsoft.com/office/drawing/2010/main"/>
                      </a:ext>
                    </a:extLst>
                  </pic:spPr>
                </pic:pic>
              </a:graphicData>
            </a:graphic>
          </wp:inline>
        </w:drawing>
      </w:r>
    </w:p>
    <w:p w14:paraId="68F329C6" w14:textId="2740F95E" w:rsidR="00DC2E0F" w:rsidRPr="00DC2E0F" w:rsidRDefault="00DC2E0F" w:rsidP="00DC2E0F">
      <w:pPr>
        <w:pStyle w:val="ChartorTableNote"/>
      </w:pPr>
      <w:r>
        <w:t>Source:</w:t>
      </w:r>
      <w:r>
        <w:tab/>
        <w:t>CPI (ABS)</w:t>
      </w:r>
    </w:p>
    <w:p w14:paraId="318FE7B9" w14:textId="418FD8C5" w:rsidR="000B1302" w:rsidRPr="00110D67" w:rsidRDefault="000B1302" w:rsidP="00110D67">
      <w:r w:rsidRPr="00110D67">
        <w:t>Beyond price, the scheme has played a significant role in expanding consumer choice by reducing barriers to repair and enabling more Australians to access the services they need from a repairer of their choice. Market research conducted by Fifth Quadrant on behalf of AAAA, surveying automotive repairers, reported a 40 per cent reduction in vehicles being turned away by repairers utilising the scheme. Notably, the reduction in the rate of turn</w:t>
      </w:r>
      <w:r w:rsidR="007B3C6A">
        <w:noBreakHyphen/>
      </w:r>
      <w:r w:rsidRPr="00110D67">
        <w:t>aways was reportedly higher amongst repairers who were not considered to be as technologically engaged or advanced, suggesting that the benefits of the scheme are being realised broadly, and not amongst a narrow group of specialised and technologically engaged workshops. Similarly, responses to Treasury</w:t>
      </w:r>
      <w:r w:rsidR="00BF0433">
        <w:t>’</w:t>
      </w:r>
      <w:r w:rsidRPr="00110D67">
        <w:t>s survey indicated just 13</w:t>
      </w:r>
      <w:r w:rsidR="00110D67" w:rsidRPr="00110D67">
        <w:t> </w:t>
      </w:r>
      <w:r w:rsidRPr="00110D67">
        <w:t>per</w:t>
      </w:r>
      <w:r w:rsidR="00110D67" w:rsidRPr="00110D67">
        <w:t> </w:t>
      </w:r>
      <w:r w:rsidRPr="00110D67">
        <w:t>cent of respondents frequently send vehicles to an authorised repairer due to limited access to repair information.</w:t>
      </w:r>
      <w:r w:rsidRPr="00110D67" w:rsidDel="00C142D5">
        <w:t xml:space="preserve"> </w:t>
      </w:r>
    </w:p>
    <w:p w14:paraId="78B9623F" w14:textId="47788AD9" w:rsidR="000B1302" w:rsidRPr="00883271" w:rsidRDefault="000B1302" w:rsidP="00110D67">
      <w:r w:rsidRPr="00883271">
        <w:t xml:space="preserve">The same research conducted by Fifth Quadrant explored customer satisfaction and convenience, as reported by repairers. Amongst those using the </w:t>
      </w:r>
      <w:r w:rsidRPr="00CB15AB">
        <w:t>scheme, approximately two thirds reported the scheme has had a positive impact on customer satisfaction (68 per cent) and a positive impact on customer convenience (66 per cent). Feedback to the Review gathered through the Treasury</w:t>
      </w:r>
      <w:r w:rsidR="00BF0433">
        <w:t>’</w:t>
      </w:r>
      <w:r w:rsidRPr="00CB15AB">
        <w:t>s survey of repairers frequently highlighted the potential benefits of the scheme, though ongoing challenges with information access, including delays in timeliness of the provision</w:t>
      </w:r>
      <w:r w:rsidRPr="00883271">
        <w:t xml:space="preserve"> of information and practical challenges in navigating online portals, were linked to slower service and poorer customer satisfaction.</w:t>
      </w:r>
    </w:p>
    <w:p w14:paraId="749F0B15" w14:textId="77777777" w:rsidR="00110D67" w:rsidRDefault="00110D67">
      <w:pPr>
        <w:spacing w:before="0" w:after="160" w:line="259" w:lineRule="auto"/>
      </w:pPr>
      <w:r>
        <w:br w:type="page"/>
      </w:r>
    </w:p>
    <w:p w14:paraId="1CDD12F7" w14:textId="4BBEDFDD" w:rsidR="000B1302" w:rsidRPr="00883271" w:rsidRDefault="000B1302" w:rsidP="00110D67">
      <w:pPr>
        <w:spacing w:after="240"/>
      </w:pPr>
      <w:r w:rsidRPr="00883271">
        <w:lastRenderedPageBreak/>
        <w:t>Taken together, evidence obtained as part of the Review suggests that the scheme is benefiting consumers through increased choice of repairer, reduced instances of repairers being unable to service a vehicle, and through improved servicing and convenience by repairers who are engaged with the scheme. While the scheme does not appear to have had an impact on the price of vehicle repairs, it is expected that greater uptake the scheme by repairers over time will continue to deliver benefits to consumers.</w:t>
      </w:r>
    </w:p>
    <w:tbl>
      <w:tblPr>
        <w:tblStyle w:val="TableGrid"/>
        <w:tblW w:w="5000" w:type="pct"/>
        <w:shd w:val="clear" w:color="auto" w:fill="FCEEE5" w:themeFill="accent6" w:themeFillTint="33"/>
        <w:tblCellMar>
          <w:top w:w="113" w:type="dxa"/>
          <w:left w:w="227" w:type="dxa"/>
          <w:bottom w:w="113" w:type="dxa"/>
          <w:right w:w="227" w:type="dxa"/>
        </w:tblCellMar>
        <w:tblLook w:val="0620" w:firstRow="1" w:lastRow="0" w:firstColumn="0" w:lastColumn="0" w:noHBand="1" w:noVBand="1"/>
      </w:tblPr>
      <w:tblGrid>
        <w:gridCol w:w="9072"/>
      </w:tblGrid>
      <w:tr w:rsidR="000B1302" w:rsidRPr="00883271" w14:paraId="5E4B20E6" w14:textId="77777777" w:rsidTr="00FD39A3">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9FC"/>
          </w:tcPr>
          <w:p w14:paraId="7239A377" w14:textId="3E9F1297" w:rsidR="000B1302" w:rsidRPr="00110D67" w:rsidRDefault="000B1302" w:rsidP="00110D67">
            <w:pPr>
              <w:pStyle w:val="BoxHeading"/>
            </w:pPr>
            <w:r w:rsidRPr="00110D67">
              <w:t>Finding 1</w:t>
            </w:r>
          </w:p>
          <w:p w14:paraId="2840F030" w14:textId="39D449C3" w:rsidR="000B1302" w:rsidRPr="0078672A" w:rsidRDefault="000B1302" w:rsidP="0078672A">
            <w:pPr>
              <w:pStyle w:val="BoxText"/>
            </w:pPr>
            <w:r w:rsidRPr="0078672A">
              <w:t xml:space="preserve">The Motor Vehicle Service and Repair Information Sharing </w:t>
            </w:r>
            <w:r w:rsidR="00D72396" w:rsidRPr="0078672A">
              <w:t>S</w:t>
            </w:r>
            <w:r w:rsidRPr="0078672A">
              <w:t>cheme (the scheme) is broadly realising its</w:t>
            </w:r>
            <w:r w:rsidR="0078672A">
              <w:t> </w:t>
            </w:r>
            <w:r w:rsidRPr="0078672A">
              <w:t>legislated objectives by encouraging competition between Australian repairers. The scheme supports consumer choice and has contributed to increased productivity and competition in the automotive repair</w:t>
            </w:r>
            <w:r w:rsidR="0078672A">
              <w:t> </w:t>
            </w:r>
            <w:r w:rsidRPr="0078672A">
              <w:t>sector.</w:t>
            </w:r>
          </w:p>
        </w:tc>
      </w:tr>
    </w:tbl>
    <w:p w14:paraId="1724D78A" w14:textId="77777777" w:rsidR="000B1302" w:rsidRPr="00883271" w:rsidRDefault="000B1302" w:rsidP="00B6741D">
      <w:pPr>
        <w:spacing w:before="0" w:after="0"/>
        <w:rPr>
          <w:sz w:val="8"/>
          <w:szCs w:val="6"/>
        </w:rPr>
      </w:pPr>
      <w:bookmarkStart w:id="30" w:name="_Toc211963306"/>
      <w:bookmarkStart w:id="31" w:name="_Toc213340397"/>
      <w:bookmarkStart w:id="32" w:name="_Toc204692984"/>
    </w:p>
    <w:p w14:paraId="42678E9F" w14:textId="77777777" w:rsidR="00110D67" w:rsidRPr="00110D67" w:rsidRDefault="00110D67" w:rsidP="00110D67">
      <w:r w:rsidRPr="00110D67">
        <w:br w:type="page"/>
      </w:r>
    </w:p>
    <w:p w14:paraId="03276C0F" w14:textId="255ED6EA" w:rsidR="000B1302" w:rsidRPr="00883271" w:rsidRDefault="000B1302" w:rsidP="00DC2E0F">
      <w:pPr>
        <w:pStyle w:val="Heading1Numbered"/>
      </w:pPr>
      <w:r w:rsidRPr="00883271">
        <w:lastRenderedPageBreak/>
        <w:t>Information access</w:t>
      </w:r>
      <w:bookmarkEnd w:id="30"/>
      <w:bookmarkEnd w:id="31"/>
      <w:r w:rsidRPr="00883271">
        <w:t xml:space="preserve"> </w:t>
      </w:r>
    </w:p>
    <w:tbl>
      <w:tblPr>
        <w:tblStyle w:val="TableGrid"/>
        <w:tblW w:w="5000" w:type="pct"/>
        <w:shd w:val="clear" w:color="auto" w:fill="F2F2F2" w:themeFill="background1" w:themeFillShade="F2"/>
        <w:tblCellMar>
          <w:top w:w="227" w:type="dxa"/>
          <w:left w:w="227" w:type="dxa"/>
          <w:bottom w:w="227" w:type="dxa"/>
          <w:right w:w="227" w:type="dxa"/>
        </w:tblCellMar>
        <w:tblLook w:val="0620" w:firstRow="1" w:lastRow="0" w:firstColumn="0" w:lastColumn="0" w:noHBand="1" w:noVBand="1"/>
      </w:tblPr>
      <w:tblGrid>
        <w:gridCol w:w="9072"/>
      </w:tblGrid>
      <w:tr w:rsidR="000B1302" w:rsidRPr="00883271" w14:paraId="69E392F3" w14:textId="77777777" w:rsidTr="00B81D15">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2F2" w:themeFill="background1" w:themeFillShade="F2"/>
          </w:tcPr>
          <w:bookmarkEnd w:id="32"/>
          <w:p w14:paraId="6D3D447E" w14:textId="77777777" w:rsidR="000B1302" w:rsidRPr="00DC2E0F" w:rsidRDefault="000B1302" w:rsidP="00110D67">
            <w:pPr>
              <w:pStyle w:val="BoxHeading"/>
              <w:rPr>
                <w:b w:val="0"/>
              </w:rPr>
            </w:pPr>
            <w:r w:rsidRPr="00DC2E0F">
              <w:t>Key points</w:t>
            </w:r>
          </w:p>
          <w:p w14:paraId="5093911D" w14:textId="2779A2CD" w:rsidR="000B1302" w:rsidRPr="00DC2E0F" w:rsidRDefault="000B1302" w:rsidP="00DC2E0F">
            <w:pPr>
              <w:pStyle w:val="Boxbullet"/>
              <w:rPr>
                <w:b/>
                <w:bCs/>
              </w:rPr>
            </w:pPr>
            <w:r w:rsidRPr="00DC2E0F">
              <w:rPr>
                <w:bCs/>
                <w:szCs w:val="22"/>
              </w:rPr>
              <w:t xml:space="preserve">The </w:t>
            </w:r>
            <w:r w:rsidRPr="00DC2E0F">
              <w:rPr>
                <w:bCs/>
              </w:rPr>
              <w:t>scheme regulates the price of, and access to, scheme information and requires that it be supplied at a price not exceeding fair market value, and in a form reasonably accessible to all Australian repairers and RTOs.</w:t>
            </w:r>
          </w:p>
          <w:p w14:paraId="4832ED9C" w14:textId="3EC3A872" w:rsidR="000B1302" w:rsidRPr="00DC2E0F" w:rsidRDefault="000B1302" w:rsidP="00DC2E0F">
            <w:pPr>
              <w:pStyle w:val="Boxbullet"/>
              <w:rPr>
                <w:b/>
                <w:bCs/>
              </w:rPr>
            </w:pPr>
            <w:r w:rsidRPr="00DC2E0F">
              <w:rPr>
                <w:bCs/>
              </w:rPr>
              <w:t>While the price of scheme information was generally not a major concern for most stakeholders, additional costs incurred to utilise scheme information, particularly in relation to proprietary hardware, can present substantial barriers for repairers.</w:t>
            </w:r>
          </w:p>
          <w:p w14:paraId="64C50466" w14:textId="700CE8D5" w:rsidR="000B1302" w:rsidRPr="00DC2E0F" w:rsidRDefault="000B1302" w:rsidP="00DC2E0F">
            <w:pPr>
              <w:pStyle w:val="Boxbullet"/>
              <w:rPr>
                <w:b/>
                <w:bCs/>
              </w:rPr>
            </w:pPr>
            <w:r w:rsidRPr="00DC2E0F">
              <w:rPr>
                <w:bCs/>
              </w:rPr>
              <w:t>High costs, limited availability, and functionality restrictions of proprietary diagnostic hardware pose competitive barriers for independent workshops. Australian repairers and RTOs would benefit from an expanded range of hardware options and improved clarity regarding the scheme’s intersection with proprietary hardware.</w:t>
            </w:r>
          </w:p>
          <w:p w14:paraId="0B949E4E" w14:textId="41101C7C" w:rsidR="000B1302" w:rsidRPr="00DC2E0F" w:rsidRDefault="000B1302" w:rsidP="00DC2E0F">
            <w:pPr>
              <w:pStyle w:val="Boxbullet"/>
              <w:rPr>
                <w:b/>
                <w:bCs/>
              </w:rPr>
            </w:pPr>
            <w:r w:rsidRPr="00DC2E0F">
              <w:rPr>
                <w:bCs/>
              </w:rPr>
              <w:t>The scheme prescribes specific timeframes for supplying scheme information to repairers; however, stakeholders report persistent delays, particularly for security information and when proprietary hardware is involved.</w:t>
            </w:r>
          </w:p>
          <w:p w14:paraId="62797DFF" w14:textId="4E193A5A" w:rsidR="000B1302" w:rsidRPr="00883271" w:rsidRDefault="000B1302" w:rsidP="00DC2E0F">
            <w:pPr>
              <w:pStyle w:val="Boxbullet"/>
            </w:pPr>
            <w:r w:rsidRPr="00DC2E0F">
              <w:rPr>
                <w:bCs/>
              </w:rPr>
              <w:t>Independent repairers report significant challenges in accessing scheme information through multiple OEM portals, which may be ameliorated through modifications to the treatment of intermediaries under the scheme</w:t>
            </w:r>
            <w:r w:rsidRPr="00DC2E0F">
              <w:rPr>
                <w:bCs/>
                <w:szCs w:val="22"/>
              </w:rPr>
              <w:t>.</w:t>
            </w:r>
          </w:p>
        </w:tc>
      </w:tr>
    </w:tbl>
    <w:p w14:paraId="7AFB9EAE" w14:textId="16A8394B" w:rsidR="000B1302" w:rsidRPr="00883271" w:rsidRDefault="000B1302" w:rsidP="00110D67">
      <w:pPr>
        <w:spacing w:before="240"/>
      </w:pPr>
      <w:r w:rsidRPr="00883271">
        <w:t>The scheme governs a range of matters necessary to promote competition between Australian repairers. These requirements include prescribing the maximum price which can be charged to Australian repairers and RTOs for scheme information, terms and conditions of the supply of that information, and the form in which scheme information is to be provided. The scheme also</w:t>
      </w:r>
      <w:r w:rsidRPr="00883271" w:rsidDel="004876AC">
        <w:t xml:space="preserve"> </w:t>
      </w:r>
      <w:r w:rsidRPr="00883271">
        <w:t>requires scheme information be made available for varying periods (daily, monthly and yearly) in certain circumstances.</w:t>
      </w:r>
    </w:p>
    <w:p w14:paraId="6619B8F2" w14:textId="2A2A448D" w:rsidR="000B1302" w:rsidRPr="00883271" w:rsidRDefault="000B1302" w:rsidP="00DC2E0F">
      <w:r w:rsidRPr="00883271">
        <w:t>Data providers may provide scheme information subject to reasonable terms and conditions.</w:t>
      </w:r>
      <w:r w:rsidRPr="00A740DC">
        <w:rPr>
          <w:rStyle w:val="FootnoteReference"/>
        </w:rPr>
        <w:footnoteReference w:id="22"/>
      </w:r>
      <w:r w:rsidRPr="00CB15AB">
        <w:rPr>
          <w:rStyle w:val="FootnoteReference"/>
        </w:rPr>
        <w:t xml:space="preserve"> </w:t>
      </w:r>
      <w:r w:rsidRPr="00883271">
        <w:t>These terms and conditions cannot prevent, restrict or limit access to the use of the scheme information for the purposes for which it is supplied. The scheme also expressly prohibits certain terms and conditions.</w:t>
      </w:r>
      <w:r w:rsidRPr="00A740DC">
        <w:rPr>
          <w:rStyle w:val="FootnoteReference"/>
        </w:rPr>
        <w:footnoteReference w:id="23"/>
      </w:r>
    </w:p>
    <w:p w14:paraId="03D90DF5" w14:textId="1553C16C" w:rsidR="000B1302" w:rsidRPr="00883271" w:rsidRDefault="000B1302" w:rsidP="00DC2E0F">
      <w:r w:rsidRPr="00883271">
        <w:t>The scheme</w:t>
      </w:r>
      <w:r w:rsidR="00BF0433">
        <w:t>’</w:t>
      </w:r>
      <w:r w:rsidRPr="00883271">
        <w:t>s main obligation requires a data provider</w:t>
      </w:r>
      <w:r w:rsidRPr="00883271" w:rsidDel="0099370E">
        <w:t xml:space="preserve"> </w:t>
      </w:r>
      <w:r w:rsidRPr="00883271">
        <w:t>to offer to supply the same scheme information to all Australian repairers (a scheme offer). The scheme offer must be accessible free of charge and published on the internet in English.</w:t>
      </w:r>
      <w:r w:rsidRPr="00A740DC">
        <w:rPr>
          <w:rStyle w:val="FootnoteReference"/>
        </w:rPr>
        <w:footnoteReference w:id="24"/>
      </w:r>
      <w:r w:rsidRPr="00883271">
        <w:t xml:space="preserve"> Data providers must also provide a copy of their scheme offer, in writing, to the Scheme Adviser and notify the Scheme Adviser of any changes to the scheme offer as soon as possible.</w:t>
      </w:r>
      <w:r w:rsidRPr="00A740DC">
        <w:rPr>
          <w:rStyle w:val="FootnoteReference"/>
        </w:rPr>
        <w:footnoteReference w:id="25"/>
      </w:r>
      <w:r w:rsidRPr="00883271">
        <w:t xml:space="preserve"> These requirements are intended to increase transparency of pricing of information and of associated terms and conditions for Australian repairers and scheme RTOs.</w:t>
      </w:r>
    </w:p>
    <w:p w14:paraId="72AD9AFD" w14:textId="21FF05A5" w:rsidR="000B1302" w:rsidRPr="00883271" w:rsidRDefault="000B1302" w:rsidP="00DC2E0F">
      <w:r w:rsidRPr="00883271">
        <w:lastRenderedPageBreak/>
        <w:t>To make use of service and repair information, repairers may need to purchase a number of additional goods and services</w:t>
      </w:r>
      <w:r w:rsidRPr="00883271" w:rsidDel="00B06A8D">
        <w:t xml:space="preserve"> </w:t>
      </w:r>
      <w:r w:rsidRPr="00883271">
        <w:t>depending on the brand of vehicle.</w:t>
      </w:r>
      <w:r w:rsidRPr="00A740DC">
        <w:rPr>
          <w:rStyle w:val="FootnoteReference"/>
        </w:rPr>
        <w:footnoteReference w:id="26"/>
      </w:r>
      <w:r w:rsidRPr="00883271">
        <w:t xml:space="preserve"> For example, a repairer may need to subscribe to a manufacturer</w:t>
      </w:r>
      <w:r w:rsidR="00BF0433">
        <w:t>’</w:t>
      </w:r>
      <w:r w:rsidRPr="00883271">
        <w:t xml:space="preserve">s website, purchase additional hardware to access or utilise information from that </w:t>
      </w:r>
      <w:r>
        <w:t>website</w:t>
      </w:r>
      <w:r w:rsidRPr="00883271">
        <w:t xml:space="preserve"> or purchase an AASRA membership for vetting purposes. At the time of writing, if a workshop is considering expanding its service offering to include repair services for one of the top ten registered </w:t>
      </w:r>
      <w:bookmarkStart w:id="33" w:name="_Hlk215670332"/>
      <w:r w:rsidRPr="00883271">
        <w:t xml:space="preserve">vehicle </w:t>
      </w:r>
      <w:bookmarkEnd w:id="33"/>
      <w:r w:rsidRPr="00883271">
        <w:t>brands in Australia, additional marginal costs to access initial service and repair information for that brand may exceed $7,000, excluding any required proprietary hardware and diagnostic software.</w:t>
      </w:r>
    </w:p>
    <w:p w14:paraId="2F6668A9" w14:textId="49CB30CA" w:rsidR="000B1302" w:rsidRPr="00883271" w:rsidRDefault="000B1302" w:rsidP="00110D67">
      <w:pPr>
        <w:pStyle w:val="FigureMainHeading"/>
      </w:pPr>
      <w:r w:rsidRPr="00883271">
        <w:t>Figure 3.1: Example of each time a fee might need to be paid to access or utilise information</w:t>
      </w:r>
    </w:p>
    <w:p w14:paraId="06C9DB9D" w14:textId="04D6A240" w:rsidR="000B1302" w:rsidRPr="00883271" w:rsidRDefault="00BC1074" w:rsidP="00BC1074">
      <w:pPr>
        <w:pStyle w:val="ChartGraphic"/>
      </w:pPr>
      <w:r w:rsidRPr="00BC1074">
        <w:drawing>
          <wp:inline distT="0" distB="0" distL="0" distR="0" wp14:anchorId="391B276D" wp14:editId="13985630">
            <wp:extent cx="5760720" cy="873760"/>
            <wp:effectExtent l="0" t="0" r="0" b="0"/>
            <wp:docPr id="346732327" name="Graphic 1" descr="Graphic shows that fees may be incurred for AASRA membership, safety or security updates, service information access fees, diagnostic hardware and diagnostic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32327" name="Graphic 1" descr="Graphic shows that fees may be incurred for AASRA membership, safety or security updates, service information access fees, diagnostic hardware and diagnostic software."/>
                    <pic:cNvPicPr/>
                  </pic:nvPicPr>
                  <pic:blipFill>
                    <a:blip r:embed="rId35">
                      <a:extLst>
                        <a:ext uri="{96DAC541-7B7A-43D3-8B79-37D633B846F1}">
                          <asvg:svgBlip xmlns:asvg="http://schemas.microsoft.com/office/drawing/2016/SVG/main" r:embed="rId36"/>
                        </a:ext>
                      </a:extLst>
                    </a:blip>
                    <a:stretch>
                      <a:fillRect/>
                    </a:stretch>
                  </pic:blipFill>
                  <pic:spPr>
                    <a:xfrm>
                      <a:off x="0" y="0"/>
                      <a:ext cx="5760720" cy="873760"/>
                    </a:xfrm>
                    <a:prstGeom prst="rect">
                      <a:avLst/>
                    </a:prstGeom>
                  </pic:spPr>
                </pic:pic>
              </a:graphicData>
            </a:graphic>
          </wp:inline>
        </w:drawing>
      </w:r>
    </w:p>
    <w:p w14:paraId="4B739918" w14:textId="1645F680" w:rsidR="000B1302" w:rsidRPr="00883271" w:rsidRDefault="000B1302" w:rsidP="00110D67">
      <w:pPr>
        <w:spacing w:before="240"/>
      </w:pPr>
      <w:r w:rsidRPr="00883271">
        <w:t>The price of scheme information, which includes proprietary software, is expressly regulated under the scheme, with a non</w:t>
      </w:r>
      <w:r w:rsidR="007B3C6A">
        <w:noBreakHyphen/>
      </w:r>
      <w:r w:rsidRPr="00883271">
        <w:t>exhaustive range of factors to which regard may be had in determining its fair market value.</w:t>
      </w:r>
      <w:r w:rsidRPr="00A740DC">
        <w:rPr>
          <w:rStyle w:val="FootnoteReference"/>
        </w:rPr>
        <w:footnoteReference w:id="27"/>
      </w:r>
      <w:r w:rsidRPr="00883271">
        <w:t xml:space="preserve"> The scheme does not directly regulate the cost of other goods and services which may be needed to utilise scheme information; however, requires scheme information be in a form that is reasonably accessible to all Australian repairers and scheme RTOs. As a result, a data provider will breach the main obligation under the scheme where it only supplies scheme information which must be used alongside a range of additional goods and services which, when viewed as a whole, result in the scheme information itself not being reasonably accessible. </w:t>
      </w:r>
    </w:p>
    <w:p w14:paraId="2CC501DD" w14:textId="20F185F8" w:rsidR="000B1302" w:rsidRPr="00883271" w:rsidRDefault="000B1302" w:rsidP="00DC2E0F">
      <w:r w:rsidRPr="00883271">
        <w:t xml:space="preserve">This chapter examines issues relating to the pricing of and access to scheme information, including in relation to hardware and additional subscription and software fees. Related issues associated with the separation of safety and security information, and treatment of intermediaries are covered in </w:t>
      </w:r>
      <w:r w:rsidRPr="00883271">
        <w:rPr>
          <w:b/>
        </w:rPr>
        <w:t>chapters</w:t>
      </w:r>
      <w:r w:rsidR="00BC1074">
        <w:rPr>
          <w:b/>
        </w:rPr>
        <w:t> </w:t>
      </w:r>
      <w:r w:rsidRPr="00883271">
        <w:rPr>
          <w:b/>
        </w:rPr>
        <w:t>4 and 5</w:t>
      </w:r>
      <w:r w:rsidRPr="00883271">
        <w:t>, respectively.</w:t>
      </w:r>
    </w:p>
    <w:p w14:paraId="1CE55474" w14:textId="77777777" w:rsidR="000B1302" w:rsidRPr="004343EF" w:rsidRDefault="000B1302" w:rsidP="00DC2E0F">
      <w:pPr>
        <w:pStyle w:val="Heading2"/>
      </w:pPr>
      <w:bookmarkStart w:id="34" w:name="_Toc211963307"/>
      <w:bookmarkStart w:id="35" w:name="_Toc213340398"/>
      <w:r w:rsidRPr="004343EF">
        <w:t xml:space="preserve">The price of scheme </w:t>
      </w:r>
      <w:r w:rsidRPr="00DC2E0F">
        <w:t>information</w:t>
      </w:r>
      <w:bookmarkEnd w:id="34"/>
      <w:bookmarkEnd w:id="35"/>
    </w:p>
    <w:p w14:paraId="24E59F76" w14:textId="07714261" w:rsidR="000B1302" w:rsidRPr="00883271" w:rsidRDefault="000B1302" w:rsidP="00DC2E0F">
      <w:r w:rsidRPr="00883271">
        <w:t xml:space="preserve">Scheme information must be made available at a price that does not exceed </w:t>
      </w:r>
      <w:r w:rsidR="00BF0433">
        <w:t>‘</w:t>
      </w:r>
      <w:r w:rsidRPr="00883271">
        <w:t>fair market value</w:t>
      </w:r>
      <w:r w:rsidR="00BF0433">
        <w:t>’</w:t>
      </w:r>
      <w:r w:rsidRPr="00883271">
        <w:t>. Fair market value is a recognised concept in both Australian law and international contexts and is often described as the price a willing buyer would pay a willing seller in a transaction on the open market.</w:t>
      </w:r>
      <w:r w:rsidRPr="00A740DC">
        <w:rPr>
          <w:rStyle w:val="FootnoteReference"/>
        </w:rPr>
        <w:footnoteReference w:id="28"/>
      </w:r>
    </w:p>
    <w:p w14:paraId="182349FC" w14:textId="77777777" w:rsidR="000B1302" w:rsidRPr="00883271" w:rsidRDefault="000B1302" w:rsidP="00DC2E0F">
      <w:r w:rsidRPr="00883271">
        <w:t xml:space="preserve">Limiting the price of scheme information to fair market value aims to allow for data providers to recover costs and retain profitability in line with the value of the associated information, while ensuring that pricing does not become a substantial barrier to accessing scheme information for Australian repairers and scheme RTOs. The scheme describes a range of factors which are relevant to determining fair market value, including: </w:t>
      </w:r>
    </w:p>
    <w:p w14:paraId="1CDA1367" w14:textId="55058103" w:rsidR="000B1302" w:rsidRPr="00883271" w:rsidRDefault="000B1302" w:rsidP="00DC2E0F">
      <w:pPr>
        <w:pStyle w:val="Bullet"/>
      </w:pPr>
      <w:r w:rsidRPr="00883271">
        <w:t xml:space="preserve">the price charged to other </w:t>
      </w:r>
      <w:r w:rsidRPr="00DC2E0F">
        <w:t>Australian</w:t>
      </w:r>
      <w:r w:rsidRPr="00883271">
        <w:t xml:space="preserve"> repairers and scheme RTOs for that particular make, model and year, or otherwise for a similar make model and year</w:t>
      </w:r>
    </w:p>
    <w:p w14:paraId="75271B80" w14:textId="161D51DC" w:rsidR="000B1302" w:rsidRPr="00883271" w:rsidRDefault="000B1302" w:rsidP="00DC2E0F">
      <w:pPr>
        <w:pStyle w:val="Bullet"/>
      </w:pPr>
      <w:r w:rsidRPr="00883271">
        <w:lastRenderedPageBreak/>
        <w:t xml:space="preserve">the terms on </w:t>
      </w:r>
      <w:r w:rsidRPr="00DC2E0F">
        <w:t>which</w:t>
      </w:r>
      <w:r w:rsidRPr="00883271">
        <w:t xml:space="preserve"> information is offered</w:t>
      </w:r>
    </w:p>
    <w:p w14:paraId="7856E978" w14:textId="7AEEBE2F" w:rsidR="000B1302" w:rsidRPr="00DC2E0F" w:rsidRDefault="000B1302" w:rsidP="00DC2E0F">
      <w:pPr>
        <w:pStyle w:val="Bullet"/>
      </w:pPr>
      <w:r w:rsidRPr="00DC2E0F">
        <w:t>anticipated demand by Australian repairers and scheme RTOs</w:t>
      </w:r>
    </w:p>
    <w:p w14:paraId="3947970E" w14:textId="099FA724" w:rsidR="000B1302" w:rsidRPr="00DC2E0F" w:rsidRDefault="000B1302" w:rsidP="00DC2E0F">
      <w:pPr>
        <w:pStyle w:val="Bullet"/>
      </w:pPr>
      <w:r w:rsidRPr="00DC2E0F">
        <w:t>the reasonable recovery of costs</w:t>
      </w:r>
    </w:p>
    <w:p w14:paraId="0A7AD4AC" w14:textId="77777777" w:rsidR="000B1302" w:rsidRPr="00DC2E0F" w:rsidRDefault="000B1302" w:rsidP="00DC2E0F">
      <w:pPr>
        <w:pStyle w:val="Bullet"/>
      </w:pPr>
      <w:r w:rsidRPr="00DC2E0F">
        <w:t xml:space="preserve">prices for information in overseas markets, and </w:t>
      </w:r>
    </w:p>
    <w:p w14:paraId="253D8322" w14:textId="2AE417E2" w:rsidR="000B1302" w:rsidRPr="00DC2E0F" w:rsidRDefault="000B1302" w:rsidP="00DC2E0F">
      <w:pPr>
        <w:pStyle w:val="Bullet"/>
      </w:pPr>
      <w:r w:rsidRPr="00DC2E0F">
        <w:t>any amount payable to a third party with a proprietary interest.</w:t>
      </w:r>
    </w:p>
    <w:p w14:paraId="43DC6F1E" w14:textId="6766218C" w:rsidR="000B1302" w:rsidRPr="00883271" w:rsidRDefault="000B1302" w:rsidP="00DC2E0F">
      <w:r w:rsidRPr="00883271">
        <w:t>Where concerns emerge within industry, including in relation to the price of scheme information, these may be resolved through the scheme</w:t>
      </w:r>
      <w:r w:rsidR="00BF0433">
        <w:t>’</w:t>
      </w:r>
      <w:r w:rsidRPr="00883271">
        <w:t xml:space="preserve">s dispute resolution framework (see </w:t>
      </w:r>
      <w:r w:rsidRPr="00883271">
        <w:rPr>
          <w:b/>
          <w:bCs/>
        </w:rPr>
        <w:t>chapter 7</w:t>
      </w:r>
      <w:r w:rsidRPr="00883271">
        <w:t>). More broadly, the Scheme Adviser</w:t>
      </w:r>
      <w:r w:rsidR="00BF0433">
        <w:t>’</w:t>
      </w:r>
      <w:r w:rsidRPr="00883271">
        <w:t xml:space="preserve">s functions include providing reports on scheme prices and the ACCC is responsible for enforcing the requirement that scheme information not exceed fair market value. </w:t>
      </w:r>
    </w:p>
    <w:p w14:paraId="7A9F9B7A" w14:textId="07DA73D0" w:rsidR="000B1302" w:rsidRPr="00883271" w:rsidRDefault="000B1302" w:rsidP="00DC2E0F">
      <w:r w:rsidRPr="00883271">
        <w:t>The price of scheme information was not typically a key concern raised by stakeholders during the Review. Stakeholders were more commonly concerned with accessibility and usability of scheme information. Where views were expressed in relation to the price of scheme information, these varied significantly. Some independent repairers cited concerns with the variability of prices between brands while others flagged ambiguity over the meaning of fair market value, and what factors make up the pricing of scheme information.</w:t>
      </w:r>
      <w:r w:rsidRPr="00883271" w:rsidDel="000A3C54">
        <w:t xml:space="preserve"> </w:t>
      </w:r>
      <w:r w:rsidRPr="00883271">
        <w:t xml:space="preserve">Other repairers expressed that the pricing of scheme information is transparent and reflects fair market value, and noted the scheme enhances clarity and accountability for costs charged by data providers. </w:t>
      </w:r>
    </w:p>
    <w:p w14:paraId="58502B11" w14:textId="77777777" w:rsidR="000B1302" w:rsidRPr="004343EF" w:rsidRDefault="000B1302" w:rsidP="00DC2E0F">
      <w:pPr>
        <w:pStyle w:val="Heading3"/>
      </w:pPr>
      <w:r w:rsidRPr="004343EF">
        <w:t xml:space="preserve">Variability of </w:t>
      </w:r>
      <w:r w:rsidRPr="00DC2E0F">
        <w:t>scheme</w:t>
      </w:r>
      <w:r w:rsidRPr="004343EF">
        <w:t xml:space="preserve"> prices</w:t>
      </w:r>
    </w:p>
    <w:p w14:paraId="1691222A" w14:textId="54E62E2C" w:rsidR="000B1302" w:rsidRPr="00883271" w:rsidRDefault="000B1302" w:rsidP="00DC2E0F">
      <w:r w:rsidRPr="00883271">
        <w:t>The Review considered whether reported variations in scheme prices between brands is consistent with the policy objectives of the scheme.</w:t>
      </w:r>
      <w:r w:rsidRPr="00A740DC">
        <w:rPr>
          <w:rStyle w:val="FootnoteReference"/>
        </w:rPr>
        <w:footnoteReference w:id="29"/>
      </w:r>
      <w:r w:rsidRPr="00883271">
        <w:t xml:space="preserve"> While</w:t>
      </w:r>
      <w:r w:rsidRPr="00883271" w:rsidDel="001E4E36">
        <w:t xml:space="preserve"> </w:t>
      </w:r>
      <w:r w:rsidRPr="00883271">
        <w:t>a degree of variability in pricing between data providers is expected, substantial variations may suggest practical access to scheme information provided under the scheme varies by brand.</w:t>
      </w:r>
    </w:p>
    <w:p w14:paraId="58D869D1" w14:textId="0AF83DCB" w:rsidR="000B1302" w:rsidRPr="00883271" w:rsidRDefault="000B1302" w:rsidP="00DC2E0F">
      <w:r w:rsidRPr="00883271">
        <w:t>The average price for daily access</w:t>
      </w:r>
      <w:r w:rsidRPr="00883271" w:rsidDel="00B958BF">
        <w:t xml:space="preserve"> </w:t>
      </w:r>
      <w:r w:rsidRPr="00883271">
        <w:t>to scheme information across all manufacturers at 30 June 2025 was approximately $45, with a median price of $30. Access to information for prestige and low</w:t>
      </w:r>
      <w:r w:rsidR="007B3C6A">
        <w:noBreakHyphen/>
      </w:r>
      <w:r w:rsidRPr="00883271">
        <w:t>volume brands, including Aston Martin, Ferrari and Maserati, was significantly more expensive and often exceeded $100 per day. However, the relatively low sales figures for these brands limit market</w:t>
      </w:r>
      <w:r w:rsidR="007B3C6A">
        <w:noBreakHyphen/>
      </w:r>
      <w:r w:rsidRPr="00883271">
        <w:t>wide demand for repairs and reduce manufacturer capacity for the reasonable recoupment of costs. As such, these charges are unrepresentative of the broader costs for scheme information faced by Australian repairers and are not necessarily indicative of scheme information being priced above fair market value.</w:t>
      </w:r>
    </w:p>
    <w:p w14:paraId="0160587D" w14:textId="66E6A63F" w:rsidR="000B1302" w:rsidRPr="00883271" w:rsidRDefault="000B1302" w:rsidP="00DC2E0F">
      <w:r w:rsidRPr="00883271">
        <w:t>Table 3.1 sets out the prices charged as of 30 July 2025 by the top ten registered passenger vehicle brands in Australia,</w:t>
      </w:r>
      <w:r w:rsidRPr="00A740DC">
        <w:rPr>
          <w:rStyle w:val="FootnoteReference"/>
        </w:rPr>
        <w:footnoteReference w:id="30"/>
      </w:r>
      <w:r w:rsidRPr="00883271">
        <w:t xml:space="preserve"> as of January 2025. These brands represent approximately 75 per cent of registered vehicles in Australia</w:t>
      </w:r>
      <w:r w:rsidRPr="00A740DC">
        <w:rPr>
          <w:rStyle w:val="FootnoteReference"/>
        </w:rPr>
        <w:footnoteReference w:id="31"/>
      </w:r>
      <w:r w:rsidRPr="00883271">
        <w:t xml:space="preserve"> and, consequently, reflect the costs of service and repair information most commonly faced by Australian repairers.</w:t>
      </w:r>
    </w:p>
    <w:p w14:paraId="209C608B" w14:textId="0CCE3898" w:rsidR="000B1302" w:rsidRPr="00883271" w:rsidRDefault="000B1302" w:rsidP="00110D67">
      <w:pPr>
        <w:pStyle w:val="TableMainHeading"/>
      </w:pPr>
      <w:r w:rsidRPr="00883271">
        <w:lastRenderedPageBreak/>
        <w:t xml:space="preserve">Table 3.1: Daily, monthly and yearly </w:t>
      </w:r>
      <w:r w:rsidRPr="00883271">
        <w:rPr>
          <w:bCs/>
        </w:rPr>
        <w:t>fees for service</w:t>
      </w:r>
      <w:r w:rsidRPr="00883271">
        <w:t xml:space="preserve"> and repair information</w:t>
      </w:r>
      <w:r w:rsidRPr="00883271">
        <w:rPr>
          <w:bCs/>
        </w:rPr>
        <w:t>,</w:t>
      </w:r>
      <w:r w:rsidRPr="00883271">
        <w:t xml:space="preserve"> top 10 brands in Australia,</w:t>
      </w:r>
      <w:r w:rsidRPr="00883271">
        <w:rPr>
          <w:bCs/>
        </w:rPr>
        <w:t xml:space="preserve"> </w:t>
      </w:r>
      <w:r w:rsidRPr="00883271">
        <w:t>30 July 2025 (AUD)</w:t>
      </w:r>
    </w:p>
    <w:tbl>
      <w:tblPr>
        <w:tblStyle w:val="TableGrid"/>
        <w:tblW w:w="9072" w:type="dxa"/>
        <w:tblBorders>
          <w:bottom w:val="single" w:sz="4" w:space="0" w:color="auto"/>
          <w:insideV w:val="single" w:sz="4" w:space="0" w:color="auto"/>
        </w:tblBorders>
        <w:tblCellMar>
          <w:top w:w="28" w:type="dxa"/>
          <w:bottom w:w="28" w:type="dxa"/>
        </w:tblCellMar>
        <w:tblLook w:val="04A0" w:firstRow="1" w:lastRow="0" w:firstColumn="1" w:lastColumn="0" w:noHBand="0" w:noVBand="1"/>
      </w:tblPr>
      <w:tblGrid>
        <w:gridCol w:w="2268"/>
        <w:gridCol w:w="2268"/>
        <w:gridCol w:w="2268"/>
        <w:gridCol w:w="2268"/>
      </w:tblGrid>
      <w:tr w:rsidR="000B1302" w:rsidRPr="00883271" w14:paraId="3BA3324F" w14:textId="77777777">
        <w:trPr>
          <w:cnfStyle w:val="100000000000" w:firstRow="1" w:lastRow="0" w:firstColumn="0" w:lastColumn="0" w:oddVBand="0" w:evenVBand="0" w:oddHBand="0" w:evenHBand="0" w:firstRowFirstColumn="0" w:firstRowLastColumn="0" w:lastRowFirstColumn="0" w:lastRowLastColumn="0"/>
          <w:trHeight w:val="340"/>
        </w:trPr>
        <w:tc>
          <w:tcPr>
            <w:tcW w:w="2268" w:type="dxa"/>
            <w:tcBorders>
              <w:top w:val="single" w:sz="4" w:space="0" w:color="auto"/>
              <w:bottom w:val="single" w:sz="4" w:space="0" w:color="auto"/>
              <w:right w:val="nil"/>
            </w:tcBorders>
            <w:shd w:val="clear" w:color="auto" w:fill="D6D6D6" w:themeFill="background2" w:themeFillShade="E6"/>
            <w:vAlign w:val="center"/>
          </w:tcPr>
          <w:p w14:paraId="5B297FAE" w14:textId="77777777" w:rsidR="000B1302" w:rsidRPr="00423EB7" w:rsidRDefault="000B1302" w:rsidP="00DC2E0F">
            <w:pPr>
              <w:pStyle w:val="TableColumnHeadingLeft"/>
              <w:rPr>
                <w:b w:val="0"/>
                <w:bCs/>
              </w:rPr>
            </w:pPr>
            <w:r w:rsidRPr="00423EB7">
              <w:rPr>
                <w:bCs/>
              </w:rPr>
              <w:t>Manufacturer</w:t>
            </w:r>
          </w:p>
        </w:tc>
        <w:tc>
          <w:tcPr>
            <w:tcW w:w="2268" w:type="dxa"/>
            <w:tcBorders>
              <w:top w:val="single" w:sz="4" w:space="0" w:color="auto"/>
              <w:left w:val="nil"/>
              <w:bottom w:val="single" w:sz="4" w:space="0" w:color="auto"/>
              <w:right w:val="nil"/>
            </w:tcBorders>
            <w:shd w:val="clear" w:color="auto" w:fill="D6D6D6" w:themeFill="background2" w:themeFillShade="E6"/>
            <w:vAlign w:val="center"/>
          </w:tcPr>
          <w:p w14:paraId="62142720" w14:textId="77777777" w:rsidR="000B1302" w:rsidRPr="00423EB7" w:rsidRDefault="000B1302" w:rsidP="00423EB7">
            <w:pPr>
              <w:pStyle w:val="TableColumnHeadingRight"/>
              <w:rPr>
                <w:b w:val="0"/>
                <w:bCs/>
              </w:rPr>
            </w:pPr>
            <w:r w:rsidRPr="00423EB7">
              <w:rPr>
                <w:bCs/>
              </w:rPr>
              <w:t>Daily fees</w:t>
            </w:r>
          </w:p>
        </w:tc>
        <w:tc>
          <w:tcPr>
            <w:tcW w:w="2268" w:type="dxa"/>
            <w:tcBorders>
              <w:top w:val="single" w:sz="4" w:space="0" w:color="auto"/>
              <w:left w:val="nil"/>
              <w:bottom w:val="single" w:sz="4" w:space="0" w:color="auto"/>
              <w:right w:val="nil"/>
            </w:tcBorders>
            <w:shd w:val="clear" w:color="auto" w:fill="D6D6D6" w:themeFill="background2" w:themeFillShade="E6"/>
            <w:vAlign w:val="center"/>
          </w:tcPr>
          <w:p w14:paraId="3A2DEC90" w14:textId="77777777" w:rsidR="000B1302" w:rsidRPr="00423EB7" w:rsidRDefault="000B1302" w:rsidP="00423EB7">
            <w:pPr>
              <w:pStyle w:val="TableColumnHeadingRight"/>
              <w:rPr>
                <w:b w:val="0"/>
                <w:bCs/>
              </w:rPr>
            </w:pPr>
            <w:r w:rsidRPr="00423EB7">
              <w:rPr>
                <w:bCs/>
              </w:rPr>
              <w:t>Monthly fees</w:t>
            </w:r>
          </w:p>
        </w:tc>
        <w:tc>
          <w:tcPr>
            <w:tcW w:w="2268" w:type="dxa"/>
            <w:tcBorders>
              <w:top w:val="single" w:sz="4" w:space="0" w:color="auto"/>
              <w:left w:val="nil"/>
              <w:bottom w:val="single" w:sz="4" w:space="0" w:color="auto"/>
            </w:tcBorders>
            <w:shd w:val="clear" w:color="auto" w:fill="D6D6D6" w:themeFill="background2" w:themeFillShade="E6"/>
            <w:vAlign w:val="center"/>
          </w:tcPr>
          <w:p w14:paraId="0ED92669" w14:textId="77777777" w:rsidR="000B1302" w:rsidRPr="00423EB7" w:rsidRDefault="000B1302" w:rsidP="00423EB7">
            <w:pPr>
              <w:pStyle w:val="TableColumnHeadingRight"/>
              <w:rPr>
                <w:b w:val="0"/>
                <w:bCs/>
              </w:rPr>
            </w:pPr>
            <w:r w:rsidRPr="00423EB7">
              <w:rPr>
                <w:bCs/>
              </w:rPr>
              <w:t>Annual fees</w:t>
            </w:r>
          </w:p>
        </w:tc>
      </w:tr>
      <w:tr w:rsidR="000B1302" w:rsidRPr="00883271" w14:paraId="5E0A221C" w14:textId="77777777">
        <w:trPr>
          <w:cnfStyle w:val="000000100000" w:firstRow="0" w:lastRow="0" w:firstColumn="0" w:lastColumn="0" w:oddVBand="0" w:evenVBand="0" w:oddHBand="1" w:evenHBand="0" w:firstRowFirstColumn="0" w:firstRowLastColumn="0" w:lastRowFirstColumn="0" w:lastRowLastColumn="0"/>
          <w:trHeight w:val="340"/>
        </w:trPr>
        <w:tc>
          <w:tcPr>
            <w:tcW w:w="2268" w:type="dxa"/>
            <w:tcBorders>
              <w:top w:val="single" w:sz="4" w:space="0" w:color="auto"/>
              <w:right w:val="nil"/>
            </w:tcBorders>
            <w:vAlign w:val="center"/>
          </w:tcPr>
          <w:p w14:paraId="7ECDC1F5" w14:textId="77777777" w:rsidR="000B1302" w:rsidRPr="00883271" w:rsidRDefault="000B1302" w:rsidP="00423EB7">
            <w:pPr>
              <w:pStyle w:val="TableTextLeft"/>
            </w:pPr>
            <w:r w:rsidRPr="00883271">
              <w:t>Toyota</w:t>
            </w:r>
          </w:p>
        </w:tc>
        <w:tc>
          <w:tcPr>
            <w:tcW w:w="2268" w:type="dxa"/>
            <w:tcBorders>
              <w:top w:val="single" w:sz="4" w:space="0" w:color="auto"/>
              <w:left w:val="nil"/>
              <w:right w:val="nil"/>
            </w:tcBorders>
            <w:vAlign w:val="center"/>
          </w:tcPr>
          <w:p w14:paraId="3696DC39" w14:textId="77777777" w:rsidR="000B1302" w:rsidRPr="00883271" w:rsidRDefault="000B1302" w:rsidP="00423EB7">
            <w:pPr>
              <w:pStyle w:val="TableTextRight"/>
            </w:pPr>
            <w:r w:rsidRPr="00883271">
              <w:t>21.00</w:t>
            </w:r>
          </w:p>
        </w:tc>
        <w:tc>
          <w:tcPr>
            <w:tcW w:w="2268" w:type="dxa"/>
            <w:tcBorders>
              <w:top w:val="single" w:sz="4" w:space="0" w:color="auto"/>
              <w:left w:val="nil"/>
              <w:right w:val="nil"/>
            </w:tcBorders>
            <w:vAlign w:val="center"/>
          </w:tcPr>
          <w:p w14:paraId="548B593D" w14:textId="77777777" w:rsidR="000B1302" w:rsidRPr="00883271" w:rsidRDefault="000B1302" w:rsidP="00423EB7">
            <w:pPr>
              <w:pStyle w:val="TableTextRight"/>
            </w:pPr>
            <w:r w:rsidRPr="00883271">
              <w:t>220.00</w:t>
            </w:r>
          </w:p>
        </w:tc>
        <w:tc>
          <w:tcPr>
            <w:tcW w:w="2268" w:type="dxa"/>
            <w:tcBorders>
              <w:top w:val="single" w:sz="4" w:space="0" w:color="auto"/>
              <w:left w:val="nil"/>
            </w:tcBorders>
            <w:vAlign w:val="center"/>
          </w:tcPr>
          <w:p w14:paraId="00EB4D89" w14:textId="77777777" w:rsidR="000B1302" w:rsidRPr="00883271" w:rsidRDefault="000B1302" w:rsidP="00423EB7">
            <w:pPr>
              <w:pStyle w:val="TableTextRight"/>
            </w:pPr>
            <w:r w:rsidRPr="00883271">
              <w:t>2,200.00</w:t>
            </w:r>
          </w:p>
        </w:tc>
      </w:tr>
      <w:tr w:rsidR="000B1302" w:rsidRPr="00883271" w14:paraId="74EF46FE" w14:textId="77777777">
        <w:trPr>
          <w:cnfStyle w:val="000000010000" w:firstRow="0" w:lastRow="0" w:firstColumn="0" w:lastColumn="0" w:oddVBand="0" w:evenVBand="0" w:oddHBand="0" w:evenHBand="1" w:firstRowFirstColumn="0" w:firstRowLastColumn="0" w:lastRowFirstColumn="0" w:lastRowLastColumn="0"/>
          <w:trHeight w:val="340"/>
        </w:trPr>
        <w:tc>
          <w:tcPr>
            <w:tcW w:w="2268" w:type="dxa"/>
            <w:tcBorders>
              <w:right w:val="nil"/>
            </w:tcBorders>
            <w:vAlign w:val="center"/>
          </w:tcPr>
          <w:p w14:paraId="45CB85DB" w14:textId="77777777" w:rsidR="000B1302" w:rsidRPr="00883271" w:rsidRDefault="000B1302" w:rsidP="00423EB7">
            <w:pPr>
              <w:pStyle w:val="TableTextLeft"/>
            </w:pPr>
            <w:r w:rsidRPr="00883271">
              <w:t>Mazda</w:t>
            </w:r>
          </w:p>
        </w:tc>
        <w:tc>
          <w:tcPr>
            <w:tcW w:w="2268" w:type="dxa"/>
            <w:tcBorders>
              <w:left w:val="nil"/>
              <w:right w:val="nil"/>
            </w:tcBorders>
            <w:vAlign w:val="center"/>
          </w:tcPr>
          <w:p w14:paraId="2BDB0744" w14:textId="77777777" w:rsidR="000B1302" w:rsidRPr="00883271" w:rsidRDefault="000B1302" w:rsidP="00423EB7">
            <w:pPr>
              <w:pStyle w:val="TableTextRight"/>
            </w:pPr>
            <w:r w:rsidRPr="00883271">
              <w:t>19.95</w:t>
            </w:r>
          </w:p>
        </w:tc>
        <w:tc>
          <w:tcPr>
            <w:tcW w:w="2268" w:type="dxa"/>
            <w:tcBorders>
              <w:left w:val="nil"/>
              <w:right w:val="nil"/>
            </w:tcBorders>
            <w:vAlign w:val="center"/>
          </w:tcPr>
          <w:p w14:paraId="0CB273FA" w14:textId="77777777" w:rsidR="000B1302" w:rsidRPr="00883271" w:rsidRDefault="000B1302" w:rsidP="00423EB7">
            <w:pPr>
              <w:pStyle w:val="TableTextRight"/>
            </w:pPr>
            <w:r w:rsidRPr="00883271">
              <w:t>199.00</w:t>
            </w:r>
          </w:p>
        </w:tc>
        <w:tc>
          <w:tcPr>
            <w:tcW w:w="2268" w:type="dxa"/>
            <w:tcBorders>
              <w:left w:val="nil"/>
            </w:tcBorders>
            <w:vAlign w:val="center"/>
          </w:tcPr>
          <w:p w14:paraId="3518011B" w14:textId="77777777" w:rsidR="000B1302" w:rsidRPr="00883271" w:rsidRDefault="000B1302" w:rsidP="00423EB7">
            <w:pPr>
              <w:pStyle w:val="TableTextRight"/>
            </w:pPr>
            <w:r w:rsidRPr="00883271">
              <w:t>1,999.00</w:t>
            </w:r>
          </w:p>
        </w:tc>
      </w:tr>
      <w:tr w:rsidR="000B1302" w:rsidRPr="00883271" w14:paraId="2DCDB943" w14:textId="77777777">
        <w:trPr>
          <w:cnfStyle w:val="000000100000" w:firstRow="0" w:lastRow="0" w:firstColumn="0" w:lastColumn="0" w:oddVBand="0" w:evenVBand="0" w:oddHBand="1" w:evenHBand="0" w:firstRowFirstColumn="0" w:firstRowLastColumn="0" w:lastRowFirstColumn="0" w:lastRowLastColumn="0"/>
          <w:trHeight w:val="340"/>
        </w:trPr>
        <w:tc>
          <w:tcPr>
            <w:tcW w:w="2268" w:type="dxa"/>
            <w:tcBorders>
              <w:right w:val="nil"/>
            </w:tcBorders>
            <w:vAlign w:val="center"/>
          </w:tcPr>
          <w:p w14:paraId="1A83647A" w14:textId="77777777" w:rsidR="000B1302" w:rsidRPr="00883271" w:rsidRDefault="000B1302" w:rsidP="00423EB7">
            <w:pPr>
              <w:pStyle w:val="TableTextLeft"/>
            </w:pPr>
            <w:r w:rsidRPr="00883271">
              <w:t>Hyundai</w:t>
            </w:r>
          </w:p>
        </w:tc>
        <w:tc>
          <w:tcPr>
            <w:tcW w:w="2268" w:type="dxa"/>
            <w:tcBorders>
              <w:left w:val="nil"/>
              <w:right w:val="nil"/>
            </w:tcBorders>
            <w:vAlign w:val="center"/>
          </w:tcPr>
          <w:p w14:paraId="3DB26CDE" w14:textId="77777777" w:rsidR="000B1302" w:rsidRPr="00883271" w:rsidRDefault="000B1302" w:rsidP="00423EB7">
            <w:pPr>
              <w:pStyle w:val="TableTextRight"/>
            </w:pPr>
            <w:r w:rsidRPr="00883271">
              <w:t>18.50</w:t>
            </w:r>
          </w:p>
        </w:tc>
        <w:tc>
          <w:tcPr>
            <w:tcW w:w="2268" w:type="dxa"/>
            <w:tcBorders>
              <w:left w:val="nil"/>
              <w:right w:val="nil"/>
            </w:tcBorders>
            <w:vAlign w:val="center"/>
          </w:tcPr>
          <w:p w14:paraId="0107649B" w14:textId="77777777" w:rsidR="000B1302" w:rsidRPr="00883271" w:rsidRDefault="000B1302" w:rsidP="00423EB7">
            <w:pPr>
              <w:pStyle w:val="TableTextRight"/>
            </w:pPr>
            <w:r w:rsidRPr="00883271">
              <w:t>200.00</w:t>
            </w:r>
          </w:p>
        </w:tc>
        <w:tc>
          <w:tcPr>
            <w:tcW w:w="2268" w:type="dxa"/>
            <w:tcBorders>
              <w:left w:val="nil"/>
            </w:tcBorders>
            <w:vAlign w:val="center"/>
          </w:tcPr>
          <w:p w14:paraId="13AB4DA0" w14:textId="77777777" w:rsidR="000B1302" w:rsidRPr="00883271" w:rsidRDefault="000B1302" w:rsidP="00423EB7">
            <w:pPr>
              <w:pStyle w:val="TableTextRight"/>
            </w:pPr>
            <w:r w:rsidRPr="00883271">
              <w:t>2,000.00</w:t>
            </w:r>
          </w:p>
        </w:tc>
      </w:tr>
      <w:tr w:rsidR="000B1302" w:rsidRPr="00883271" w14:paraId="4F894B79" w14:textId="77777777">
        <w:trPr>
          <w:cnfStyle w:val="000000010000" w:firstRow="0" w:lastRow="0" w:firstColumn="0" w:lastColumn="0" w:oddVBand="0" w:evenVBand="0" w:oddHBand="0" w:evenHBand="1" w:firstRowFirstColumn="0" w:firstRowLastColumn="0" w:lastRowFirstColumn="0" w:lastRowLastColumn="0"/>
          <w:trHeight w:val="340"/>
        </w:trPr>
        <w:tc>
          <w:tcPr>
            <w:tcW w:w="2268" w:type="dxa"/>
            <w:tcBorders>
              <w:right w:val="nil"/>
            </w:tcBorders>
            <w:vAlign w:val="center"/>
          </w:tcPr>
          <w:p w14:paraId="4848FEEB" w14:textId="77777777" w:rsidR="000B1302" w:rsidRPr="00883271" w:rsidRDefault="000B1302" w:rsidP="00423EB7">
            <w:pPr>
              <w:pStyle w:val="TableTextLeft"/>
            </w:pPr>
            <w:r w:rsidRPr="00883271">
              <w:t>GM (Holden)</w:t>
            </w:r>
          </w:p>
        </w:tc>
        <w:tc>
          <w:tcPr>
            <w:tcW w:w="2268" w:type="dxa"/>
            <w:tcBorders>
              <w:left w:val="nil"/>
              <w:right w:val="nil"/>
            </w:tcBorders>
            <w:vAlign w:val="center"/>
          </w:tcPr>
          <w:p w14:paraId="336848B6" w14:textId="77777777" w:rsidR="000B1302" w:rsidRPr="00883271" w:rsidRDefault="000B1302" w:rsidP="00423EB7">
            <w:pPr>
              <w:pStyle w:val="TableTextRight"/>
            </w:pPr>
            <w:r w:rsidRPr="00883271">
              <w:t>28.00</w:t>
            </w:r>
          </w:p>
        </w:tc>
        <w:tc>
          <w:tcPr>
            <w:tcW w:w="2268" w:type="dxa"/>
            <w:tcBorders>
              <w:left w:val="nil"/>
              <w:right w:val="nil"/>
            </w:tcBorders>
            <w:vAlign w:val="center"/>
          </w:tcPr>
          <w:p w14:paraId="42BA4D47" w14:textId="77777777" w:rsidR="000B1302" w:rsidRPr="00883271" w:rsidRDefault="000B1302" w:rsidP="00423EB7">
            <w:pPr>
              <w:pStyle w:val="TableTextRight"/>
            </w:pPr>
            <w:r w:rsidRPr="00883271">
              <w:t>206.00</w:t>
            </w:r>
          </w:p>
        </w:tc>
        <w:tc>
          <w:tcPr>
            <w:tcW w:w="2268" w:type="dxa"/>
            <w:tcBorders>
              <w:left w:val="nil"/>
            </w:tcBorders>
            <w:vAlign w:val="center"/>
          </w:tcPr>
          <w:p w14:paraId="00336A7F" w14:textId="77777777" w:rsidR="000B1302" w:rsidRPr="00883271" w:rsidRDefault="000B1302" w:rsidP="00423EB7">
            <w:pPr>
              <w:pStyle w:val="TableTextRight"/>
            </w:pPr>
            <w:r w:rsidRPr="00883271">
              <w:t>1,642.00</w:t>
            </w:r>
          </w:p>
        </w:tc>
      </w:tr>
      <w:tr w:rsidR="000B1302" w:rsidRPr="00883271" w14:paraId="5181CBF9" w14:textId="77777777">
        <w:trPr>
          <w:cnfStyle w:val="000000100000" w:firstRow="0" w:lastRow="0" w:firstColumn="0" w:lastColumn="0" w:oddVBand="0" w:evenVBand="0" w:oddHBand="1" w:evenHBand="0" w:firstRowFirstColumn="0" w:firstRowLastColumn="0" w:lastRowFirstColumn="0" w:lastRowLastColumn="0"/>
          <w:trHeight w:val="340"/>
        </w:trPr>
        <w:tc>
          <w:tcPr>
            <w:tcW w:w="2268" w:type="dxa"/>
            <w:tcBorders>
              <w:right w:val="nil"/>
            </w:tcBorders>
            <w:vAlign w:val="center"/>
          </w:tcPr>
          <w:p w14:paraId="612149C8" w14:textId="77777777" w:rsidR="000B1302" w:rsidRPr="00883271" w:rsidRDefault="000B1302" w:rsidP="00423EB7">
            <w:pPr>
              <w:pStyle w:val="TableTextLeft"/>
            </w:pPr>
            <w:r w:rsidRPr="00883271">
              <w:t>Mitsubishi</w:t>
            </w:r>
          </w:p>
        </w:tc>
        <w:tc>
          <w:tcPr>
            <w:tcW w:w="2268" w:type="dxa"/>
            <w:tcBorders>
              <w:left w:val="nil"/>
              <w:right w:val="nil"/>
            </w:tcBorders>
            <w:vAlign w:val="center"/>
          </w:tcPr>
          <w:p w14:paraId="55186A4D" w14:textId="77777777" w:rsidR="000B1302" w:rsidRPr="00883271" w:rsidRDefault="000B1302" w:rsidP="00423EB7">
            <w:pPr>
              <w:pStyle w:val="TableTextRight"/>
            </w:pPr>
            <w:r w:rsidRPr="00883271">
              <w:t>35.00</w:t>
            </w:r>
          </w:p>
        </w:tc>
        <w:tc>
          <w:tcPr>
            <w:tcW w:w="2268" w:type="dxa"/>
            <w:tcBorders>
              <w:left w:val="nil"/>
              <w:right w:val="nil"/>
            </w:tcBorders>
            <w:vAlign w:val="center"/>
          </w:tcPr>
          <w:p w14:paraId="24B2F45A" w14:textId="77777777" w:rsidR="000B1302" w:rsidRPr="00883271" w:rsidRDefault="000B1302" w:rsidP="00423EB7">
            <w:pPr>
              <w:pStyle w:val="TableTextRight"/>
            </w:pPr>
            <w:r w:rsidRPr="00883271">
              <w:t>490.00</w:t>
            </w:r>
          </w:p>
        </w:tc>
        <w:tc>
          <w:tcPr>
            <w:tcW w:w="2268" w:type="dxa"/>
            <w:tcBorders>
              <w:left w:val="nil"/>
            </w:tcBorders>
            <w:vAlign w:val="center"/>
          </w:tcPr>
          <w:p w14:paraId="0054D526" w14:textId="77777777" w:rsidR="000B1302" w:rsidRPr="00883271" w:rsidRDefault="000B1302" w:rsidP="00423EB7">
            <w:pPr>
              <w:pStyle w:val="TableTextRight"/>
            </w:pPr>
            <w:r w:rsidRPr="00883271">
              <w:t>5,106.00</w:t>
            </w:r>
          </w:p>
        </w:tc>
      </w:tr>
      <w:tr w:rsidR="000B1302" w:rsidRPr="00883271" w14:paraId="12EBD360" w14:textId="77777777">
        <w:trPr>
          <w:cnfStyle w:val="000000010000" w:firstRow="0" w:lastRow="0" w:firstColumn="0" w:lastColumn="0" w:oddVBand="0" w:evenVBand="0" w:oddHBand="0" w:evenHBand="1" w:firstRowFirstColumn="0" w:firstRowLastColumn="0" w:lastRowFirstColumn="0" w:lastRowLastColumn="0"/>
          <w:trHeight w:val="340"/>
        </w:trPr>
        <w:tc>
          <w:tcPr>
            <w:tcW w:w="2268" w:type="dxa"/>
            <w:tcBorders>
              <w:right w:val="nil"/>
            </w:tcBorders>
            <w:vAlign w:val="center"/>
          </w:tcPr>
          <w:p w14:paraId="7B7AFFFF" w14:textId="77777777" w:rsidR="000B1302" w:rsidRPr="00883271" w:rsidRDefault="000B1302" w:rsidP="00423EB7">
            <w:pPr>
              <w:pStyle w:val="TableTextLeft"/>
            </w:pPr>
            <w:r w:rsidRPr="00883271">
              <w:t>Ford</w:t>
            </w:r>
          </w:p>
        </w:tc>
        <w:tc>
          <w:tcPr>
            <w:tcW w:w="2268" w:type="dxa"/>
            <w:tcBorders>
              <w:left w:val="nil"/>
              <w:right w:val="nil"/>
            </w:tcBorders>
            <w:vAlign w:val="center"/>
          </w:tcPr>
          <w:p w14:paraId="38BBE17C" w14:textId="77777777" w:rsidR="000B1302" w:rsidRPr="00883271" w:rsidRDefault="000B1302" w:rsidP="00423EB7">
            <w:pPr>
              <w:pStyle w:val="TableTextRight"/>
            </w:pPr>
            <w:r w:rsidRPr="00883271">
              <w:t>33.77</w:t>
            </w:r>
          </w:p>
        </w:tc>
        <w:tc>
          <w:tcPr>
            <w:tcW w:w="2268" w:type="dxa"/>
            <w:tcBorders>
              <w:left w:val="nil"/>
              <w:right w:val="nil"/>
            </w:tcBorders>
            <w:vAlign w:val="center"/>
          </w:tcPr>
          <w:p w14:paraId="1AC611AA" w14:textId="77777777" w:rsidR="000B1302" w:rsidRPr="00883271" w:rsidRDefault="000B1302" w:rsidP="00423EB7">
            <w:pPr>
              <w:pStyle w:val="TableTextRight"/>
            </w:pPr>
            <w:r w:rsidRPr="00883271">
              <w:t>499.92</w:t>
            </w:r>
          </w:p>
        </w:tc>
        <w:tc>
          <w:tcPr>
            <w:tcW w:w="2268" w:type="dxa"/>
            <w:tcBorders>
              <w:left w:val="nil"/>
            </w:tcBorders>
            <w:vAlign w:val="center"/>
          </w:tcPr>
          <w:p w14:paraId="3BA06267" w14:textId="77777777" w:rsidR="000B1302" w:rsidRPr="00883271" w:rsidRDefault="000B1302" w:rsidP="00423EB7">
            <w:pPr>
              <w:pStyle w:val="TableTextRight"/>
            </w:pPr>
            <w:r w:rsidRPr="00883271">
              <w:t>4,153.77</w:t>
            </w:r>
          </w:p>
        </w:tc>
      </w:tr>
      <w:tr w:rsidR="000B1302" w:rsidRPr="00883271" w14:paraId="4F14D2D5" w14:textId="77777777">
        <w:trPr>
          <w:cnfStyle w:val="000000100000" w:firstRow="0" w:lastRow="0" w:firstColumn="0" w:lastColumn="0" w:oddVBand="0" w:evenVBand="0" w:oddHBand="1" w:evenHBand="0" w:firstRowFirstColumn="0" w:firstRowLastColumn="0" w:lastRowFirstColumn="0" w:lastRowLastColumn="0"/>
          <w:trHeight w:val="340"/>
        </w:trPr>
        <w:tc>
          <w:tcPr>
            <w:tcW w:w="2268" w:type="dxa"/>
            <w:tcBorders>
              <w:right w:val="nil"/>
            </w:tcBorders>
            <w:vAlign w:val="center"/>
          </w:tcPr>
          <w:p w14:paraId="7C18C810" w14:textId="77777777" w:rsidR="000B1302" w:rsidRPr="00883271" w:rsidRDefault="000B1302" w:rsidP="00423EB7">
            <w:pPr>
              <w:pStyle w:val="TableTextLeft"/>
            </w:pPr>
            <w:r w:rsidRPr="00883271">
              <w:t>Nissan</w:t>
            </w:r>
          </w:p>
        </w:tc>
        <w:tc>
          <w:tcPr>
            <w:tcW w:w="2268" w:type="dxa"/>
            <w:tcBorders>
              <w:left w:val="nil"/>
              <w:right w:val="nil"/>
            </w:tcBorders>
            <w:vAlign w:val="center"/>
          </w:tcPr>
          <w:p w14:paraId="5DC004DF" w14:textId="77777777" w:rsidR="000B1302" w:rsidRPr="00883271" w:rsidRDefault="000B1302" w:rsidP="00423EB7">
            <w:pPr>
              <w:pStyle w:val="TableTextRight"/>
            </w:pPr>
            <w:r w:rsidRPr="00883271">
              <w:t>49.95</w:t>
            </w:r>
          </w:p>
        </w:tc>
        <w:tc>
          <w:tcPr>
            <w:tcW w:w="2268" w:type="dxa"/>
            <w:tcBorders>
              <w:left w:val="nil"/>
              <w:right w:val="nil"/>
            </w:tcBorders>
            <w:vAlign w:val="center"/>
          </w:tcPr>
          <w:p w14:paraId="2A87D0FB" w14:textId="77777777" w:rsidR="000B1302" w:rsidRPr="00883271" w:rsidRDefault="000B1302" w:rsidP="00423EB7">
            <w:pPr>
              <w:pStyle w:val="TableTextRight"/>
            </w:pPr>
            <w:r w:rsidRPr="00883271">
              <w:t>495.00</w:t>
            </w:r>
          </w:p>
        </w:tc>
        <w:tc>
          <w:tcPr>
            <w:tcW w:w="2268" w:type="dxa"/>
            <w:tcBorders>
              <w:left w:val="nil"/>
            </w:tcBorders>
            <w:vAlign w:val="center"/>
          </w:tcPr>
          <w:p w14:paraId="3768EB3A" w14:textId="77777777" w:rsidR="000B1302" w:rsidRPr="00883271" w:rsidRDefault="000B1302" w:rsidP="00423EB7">
            <w:pPr>
              <w:pStyle w:val="TableTextRight"/>
            </w:pPr>
            <w:r w:rsidRPr="00883271">
              <w:t>2,995.00</w:t>
            </w:r>
          </w:p>
        </w:tc>
      </w:tr>
      <w:tr w:rsidR="000B1302" w:rsidRPr="00883271" w14:paraId="681B886B" w14:textId="77777777">
        <w:trPr>
          <w:cnfStyle w:val="000000010000" w:firstRow="0" w:lastRow="0" w:firstColumn="0" w:lastColumn="0" w:oddVBand="0" w:evenVBand="0" w:oddHBand="0" w:evenHBand="1" w:firstRowFirstColumn="0" w:firstRowLastColumn="0" w:lastRowFirstColumn="0" w:lastRowLastColumn="0"/>
          <w:trHeight w:val="340"/>
        </w:trPr>
        <w:tc>
          <w:tcPr>
            <w:tcW w:w="2268" w:type="dxa"/>
            <w:tcBorders>
              <w:right w:val="nil"/>
            </w:tcBorders>
            <w:vAlign w:val="center"/>
          </w:tcPr>
          <w:p w14:paraId="6CE90925" w14:textId="77777777" w:rsidR="000B1302" w:rsidRPr="00883271" w:rsidRDefault="000B1302" w:rsidP="00423EB7">
            <w:pPr>
              <w:pStyle w:val="TableTextLeft"/>
            </w:pPr>
            <w:r w:rsidRPr="00883271">
              <w:t>Subaru</w:t>
            </w:r>
          </w:p>
        </w:tc>
        <w:tc>
          <w:tcPr>
            <w:tcW w:w="2268" w:type="dxa"/>
            <w:tcBorders>
              <w:left w:val="nil"/>
              <w:right w:val="nil"/>
            </w:tcBorders>
            <w:vAlign w:val="center"/>
          </w:tcPr>
          <w:p w14:paraId="4310D37E" w14:textId="77777777" w:rsidR="000B1302" w:rsidRPr="00883271" w:rsidRDefault="000B1302" w:rsidP="00423EB7">
            <w:pPr>
              <w:pStyle w:val="TableTextRight"/>
            </w:pPr>
            <w:r w:rsidRPr="00883271">
              <w:t>35.00</w:t>
            </w:r>
          </w:p>
        </w:tc>
        <w:tc>
          <w:tcPr>
            <w:tcW w:w="2268" w:type="dxa"/>
            <w:tcBorders>
              <w:left w:val="nil"/>
              <w:right w:val="nil"/>
            </w:tcBorders>
            <w:vAlign w:val="center"/>
          </w:tcPr>
          <w:p w14:paraId="778E56C5" w14:textId="77777777" w:rsidR="000B1302" w:rsidRPr="00883271" w:rsidRDefault="000B1302" w:rsidP="00423EB7">
            <w:pPr>
              <w:pStyle w:val="TableTextRight"/>
            </w:pPr>
            <w:r w:rsidRPr="00883271">
              <w:t>249.00</w:t>
            </w:r>
          </w:p>
        </w:tc>
        <w:tc>
          <w:tcPr>
            <w:tcW w:w="2268" w:type="dxa"/>
            <w:tcBorders>
              <w:left w:val="nil"/>
            </w:tcBorders>
            <w:vAlign w:val="center"/>
          </w:tcPr>
          <w:p w14:paraId="2AA3C724" w14:textId="77777777" w:rsidR="000B1302" w:rsidRPr="00883271" w:rsidRDefault="000B1302" w:rsidP="00423EB7">
            <w:pPr>
              <w:pStyle w:val="TableTextRight"/>
            </w:pPr>
            <w:r w:rsidRPr="00883271">
              <w:t>1,949.00</w:t>
            </w:r>
          </w:p>
        </w:tc>
      </w:tr>
      <w:tr w:rsidR="000B1302" w:rsidRPr="00883271" w14:paraId="3C5275BB" w14:textId="77777777">
        <w:trPr>
          <w:cnfStyle w:val="000000100000" w:firstRow="0" w:lastRow="0" w:firstColumn="0" w:lastColumn="0" w:oddVBand="0" w:evenVBand="0" w:oddHBand="1" w:evenHBand="0" w:firstRowFirstColumn="0" w:firstRowLastColumn="0" w:lastRowFirstColumn="0" w:lastRowLastColumn="0"/>
          <w:trHeight w:val="340"/>
        </w:trPr>
        <w:tc>
          <w:tcPr>
            <w:tcW w:w="2268" w:type="dxa"/>
            <w:tcBorders>
              <w:right w:val="nil"/>
            </w:tcBorders>
            <w:vAlign w:val="center"/>
          </w:tcPr>
          <w:p w14:paraId="034D50A2" w14:textId="77777777" w:rsidR="000B1302" w:rsidRPr="00883271" w:rsidRDefault="000B1302" w:rsidP="00423EB7">
            <w:pPr>
              <w:pStyle w:val="TableTextLeft"/>
            </w:pPr>
            <w:r w:rsidRPr="00883271">
              <w:t>Kia</w:t>
            </w:r>
          </w:p>
        </w:tc>
        <w:tc>
          <w:tcPr>
            <w:tcW w:w="2268" w:type="dxa"/>
            <w:tcBorders>
              <w:left w:val="nil"/>
              <w:right w:val="nil"/>
            </w:tcBorders>
            <w:vAlign w:val="center"/>
          </w:tcPr>
          <w:p w14:paraId="481B0F92" w14:textId="77777777" w:rsidR="000B1302" w:rsidRPr="00883271" w:rsidRDefault="000B1302" w:rsidP="00423EB7">
            <w:pPr>
              <w:pStyle w:val="TableTextRight"/>
            </w:pPr>
            <w:r w:rsidRPr="00883271">
              <w:t>25.00</w:t>
            </w:r>
          </w:p>
        </w:tc>
        <w:tc>
          <w:tcPr>
            <w:tcW w:w="2268" w:type="dxa"/>
            <w:tcBorders>
              <w:left w:val="nil"/>
              <w:right w:val="nil"/>
            </w:tcBorders>
            <w:vAlign w:val="center"/>
          </w:tcPr>
          <w:p w14:paraId="51314123" w14:textId="77777777" w:rsidR="000B1302" w:rsidRPr="00883271" w:rsidRDefault="000B1302" w:rsidP="00423EB7">
            <w:pPr>
              <w:pStyle w:val="TableTextRight"/>
            </w:pPr>
            <w:r w:rsidRPr="00883271">
              <w:t>275.00</w:t>
            </w:r>
          </w:p>
        </w:tc>
        <w:tc>
          <w:tcPr>
            <w:tcW w:w="2268" w:type="dxa"/>
            <w:tcBorders>
              <w:left w:val="nil"/>
            </w:tcBorders>
            <w:vAlign w:val="center"/>
          </w:tcPr>
          <w:p w14:paraId="699CB82D" w14:textId="77777777" w:rsidR="000B1302" w:rsidRPr="00883271" w:rsidRDefault="000B1302" w:rsidP="00423EB7">
            <w:pPr>
              <w:pStyle w:val="TableTextRight"/>
            </w:pPr>
            <w:r w:rsidRPr="00883271">
              <w:t>2,500.00</w:t>
            </w:r>
          </w:p>
        </w:tc>
      </w:tr>
      <w:tr w:rsidR="000B1302" w:rsidRPr="00883271" w14:paraId="1E406885" w14:textId="77777777">
        <w:trPr>
          <w:cnfStyle w:val="000000010000" w:firstRow="0" w:lastRow="0" w:firstColumn="0" w:lastColumn="0" w:oddVBand="0" w:evenVBand="0" w:oddHBand="0" w:evenHBand="1" w:firstRowFirstColumn="0" w:firstRowLastColumn="0" w:lastRowFirstColumn="0" w:lastRowLastColumn="0"/>
          <w:trHeight w:val="340"/>
        </w:trPr>
        <w:tc>
          <w:tcPr>
            <w:tcW w:w="2268" w:type="dxa"/>
            <w:tcBorders>
              <w:bottom w:val="single" w:sz="4" w:space="0" w:color="auto"/>
              <w:right w:val="nil"/>
            </w:tcBorders>
            <w:vAlign w:val="center"/>
          </w:tcPr>
          <w:p w14:paraId="427B698A" w14:textId="77777777" w:rsidR="000B1302" w:rsidRPr="00883271" w:rsidRDefault="000B1302" w:rsidP="00423EB7">
            <w:pPr>
              <w:pStyle w:val="TableTextLeft"/>
            </w:pPr>
            <w:r w:rsidRPr="00883271">
              <w:t>Honda</w:t>
            </w:r>
          </w:p>
        </w:tc>
        <w:tc>
          <w:tcPr>
            <w:tcW w:w="2268" w:type="dxa"/>
            <w:tcBorders>
              <w:left w:val="nil"/>
              <w:bottom w:val="single" w:sz="4" w:space="0" w:color="auto"/>
              <w:right w:val="nil"/>
            </w:tcBorders>
            <w:vAlign w:val="center"/>
          </w:tcPr>
          <w:p w14:paraId="138CAE79" w14:textId="77777777" w:rsidR="000B1302" w:rsidRPr="00883271" w:rsidRDefault="000B1302" w:rsidP="00423EB7">
            <w:pPr>
              <w:pStyle w:val="TableTextRight"/>
            </w:pPr>
            <w:r w:rsidRPr="00883271">
              <w:t>20.00</w:t>
            </w:r>
          </w:p>
        </w:tc>
        <w:tc>
          <w:tcPr>
            <w:tcW w:w="2268" w:type="dxa"/>
            <w:tcBorders>
              <w:left w:val="nil"/>
              <w:bottom w:val="single" w:sz="4" w:space="0" w:color="auto"/>
              <w:right w:val="nil"/>
            </w:tcBorders>
            <w:vAlign w:val="center"/>
          </w:tcPr>
          <w:p w14:paraId="170E1B8C" w14:textId="77777777" w:rsidR="000B1302" w:rsidRPr="00883271" w:rsidRDefault="000B1302" w:rsidP="00423EB7">
            <w:pPr>
              <w:pStyle w:val="TableTextRight"/>
            </w:pPr>
            <w:r w:rsidRPr="00883271">
              <w:t>390.00</w:t>
            </w:r>
          </w:p>
        </w:tc>
        <w:tc>
          <w:tcPr>
            <w:tcW w:w="2268" w:type="dxa"/>
            <w:tcBorders>
              <w:left w:val="nil"/>
              <w:bottom w:val="single" w:sz="4" w:space="0" w:color="auto"/>
            </w:tcBorders>
            <w:vAlign w:val="center"/>
          </w:tcPr>
          <w:p w14:paraId="13437732" w14:textId="77777777" w:rsidR="000B1302" w:rsidRPr="00883271" w:rsidRDefault="000B1302" w:rsidP="00423EB7">
            <w:pPr>
              <w:pStyle w:val="TableTextRight"/>
            </w:pPr>
            <w:r w:rsidRPr="00883271">
              <w:t>3,380.00</w:t>
            </w:r>
          </w:p>
        </w:tc>
      </w:tr>
      <w:tr w:rsidR="000B1302" w:rsidRPr="00423EB7" w14:paraId="1C4898FB" w14:textId="77777777">
        <w:trPr>
          <w:cnfStyle w:val="000000100000" w:firstRow="0" w:lastRow="0" w:firstColumn="0" w:lastColumn="0" w:oddVBand="0" w:evenVBand="0" w:oddHBand="1" w:evenHBand="0" w:firstRowFirstColumn="0" w:firstRowLastColumn="0" w:lastRowFirstColumn="0" w:lastRowLastColumn="0"/>
          <w:trHeight w:val="340"/>
        </w:trPr>
        <w:tc>
          <w:tcPr>
            <w:tcW w:w="2268" w:type="dxa"/>
            <w:tcBorders>
              <w:top w:val="single" w:sz="4" w:space="0" w:color="auto"/>
              <w:bottom w:val="single" w:sz="4" w:space="0" w:color="auto"/>
              <w:right w:val="nil"/>
            </w:tcBorders>
            <w:shd w:val="clear" w:color="auto" w:fill="EEEEEE" w:themeFill="background2"/>
            <w:vAlign w:val="center"/>
          </w:tcPr>
          <w:p w14:paraId="27F6885D" w14:textId="60A3BD3D" w:rsidR="000B1302" w:rsidRPr="00423EB7" w:rsidRDefault="000B1302" w:rsidP="00423EB7">
            <w:pPr>
              <w:pStyle w:val="TableTextLeft"/>
              <w:rPr>
                <w:b/>
                <w:bCs/>
              </w:rPr>
            </w:pPr>
            <w:r w:rsidRPr="00423EB7">
              <w:rPr>
                <w:b/>
                <w:bCs/>
              </w:rPr>
              <w:t xml:space="preserve">Average </w:t>
            </w:r>
          </w:p>
        </w:tc>
        <w:tc>
          <w:tcPr>
            <w:tcW w:w="2268" w:type="dxa"/>
            <w:tcBorders>
              <w:top w:val="single" w:sz="4" w:space="0" w:color="auto"/>
              <w:left w:val="nil"/>
              <w:bottom w:val="single" w:sz="4" w:space="0" w:color="auto"/>
              <w:right w:val="nil"/>
            </w:tcBorders>
            <w:shd w:val="clear" w:color="auto" w:fill="EEEEEE" w:themeFill="background2"/>
            <w:vAlign w:val="center"/>
          </w:tcPr>
          <w:p w14:paraId="37DA2DA7" w14:textId="77777777" w:rsidR="000B1302" w:rsidRPr="00423EB7" w:rsidRDefault="000B1302" w:rsidP="00423EB7">
            <w:pPr>
              <w:pStyle w:val="TableTextRight"/>
              <w:rPr>
                <w:b/>
                <w:bCs/>
                <w:i/>
                <w:iCs/>
              </w:rPr>
            </w:pPr>
            <w:r w:rsidRPr="00423EB7">
              <w:rPr>
                <w:b/>
                <w:bCs/>
                <w:i/>
                <w:iCs/>
              </w:rPr>
              <w:t>28.62</w:t>
            </w:r>
          </w:p>
        </w:tc>
        <w:tc>
          <w:tcPr>
            <w:tcW w:w="2268" w:type="dxa"/>
            <w:tcBorders>
              <w:top w:val="single" w:sz="4" w:space="0" w:color="auto"/>
              <w:left w:val="nil"/>
              <w:bottom w:val="single" w:sz="4" w:space="0" w:color="auto"/>
              <w:right w:val="nil"/>
            </w:tcBorders>
            <w:shd w:val="clear" w:color="auto" w:fill="EEEEEE" w:themeFill="background2"/>
            <w:vAlign w:val="center"/>
          </w:tcPr>
          <w:p w14:paraId="48163FA7" w14:textId="77777777" w:rsidR="000B1302" w:rsidRPr="00423EB7" w:rsidRDefault="000B1302" w:rsidP="00423EB7">
            <w:pPr>
              <w:pStyle w:val="TableTextRight"/>
              <w:rPr>
                <w:b/>
                <w:bCs/>
                <w:i/>
                <w:iCs/>
              </w:rPr>
            </w:pPr>
            <w:r w:rsidRPr="00423EB7">
              <w:rPr>
                <w:b/>
                <w:bCs/>
                <w:i/>
                <w:iCs/>
              </w:rPr>
              <w:t>322.39</w:t>
            </w:r>
          </w:p>
        </w:tc>
        <w:tc>
          <w:tcPr>
            <w:tcW w:w="2268" w:type="dxa"/>
            <w:tcBorders>
              <w:top w:val="single" w:sz="4" w:space="0" w:color="auto"/>
              <w:left w:val="nil"/>
              <w:bottom w:val="single" w:sz="4" w:space="0" w:color="auto"/>
            </w:tcBorders>
            <w:shd w:val="clear" w:color="auto" w:fill="EEEEEE" w:themeFill="background2"/>
            <w:vAlign w:val="center"/>
          </w:tcPr>
          <w:p w14:paraId="1894B74C" w14:textId="77777777" w:rsidR="000B1302" w:rsidRPr="00423EB7" w:rsidRDefault="000B1302" w:rsidP="00423EB7">
            <w:pPr>
              <w:pStyle w:val="TableTextRight"/>
              <w:rPr>
                <w:b/>
                <w:bCs/>
                <w:i/>
                <w:iCs/>
              </w:rPr>
            </w:pPr>
            <w:r w:rsidRPr="00423EB7">
              <w:rPr>
                <w:b/>
                <w:bCs/>
                <w:i/>
                <w:iCs/>
              </w:rPr>
              <w:t>2,792.48</w:t>
            </w:r>
          </w:p>
        </w:tc>
      </w:tr>
    </w:tbl>
    <w:p w14:paraId="28219BC5" w14:textId="3932DD92" w:rsidR="000B1302" w:rsidRPr="00883271" w:rsidRDefault="000B1302" w:rsidP="00423EB7">
      <w:pPr>
        <w:pStyle w:val="ChartorTableNote"/>
      </w:pPr>
      <w:r w:rsidRPr="00883271">
        <w:t xml:space="preserve">Note: </w:t>
      </w:r>
      <w:r w:rsidR="00423EB7">
        <w:tab/>
      </w:r>
      <w:r w:rsidRPr="00883271">
        <w:t>Ford scheme offer made in USD; converted to AUD at FX=0.65.</w:t>
      </w:r>
    </w:p>
    <w:p w14:paraId="2C618C17" w14:textId="79CBE89F" w:rsidR="000B1302" w:rsidRPr="00423EB7" w:rsidRDefault="000B1302" w:rsidP="00423EB7">
      <w:pPr>
        <w:pStyle w:val="ChartorTableNote"/>
        <w:rPr>
          <w:iCs/>
          <w:sz w:val="17"/>
          <w:szCs w:val="17"/>
        </w:rPr>
      </w:pPr>
      <w:r w:rsidRPr="00423EB7">
        <w:rPr>
          <w:iCs/>
          <w:sz w:val="17"/>
          <w:szCs w:val="17"/>
        </w:rPr>
        <w:t xml:space="preserve">Source: </w:t>
      </w:r>
      <w:r w:rsidR="00423EB7">
        <w:rPr>
          <w:iCs/>
          <w:sz w:val="17"/>
          <w:szCs w:val="17"/>
        </w:rPr>
        <w:tab/>
      </w:r>
      <w:r w:rsidRPr="00423EB7">
        <w:rPr>
          <w:iCs/>
          <w:sz w:val="17"/>
          <w:szCs w:val="17"/>
        </w:rPr>
        <w:t xml:space="preserve">AASRA, </w:t>
      </w:r>
      <w:hyperlink r:id="rId37" w:history="1">
        <w:r w:rsidRPr="00423EB7">
          <w:rPr>
            <w:rStyle w:val="Hyperlink"/>
            <w:iCs/>
            <w:sz w:val="17"/>
            <w:szCs w:val="17"/>
          </w:rPr>
          <w:t>Automaker information links</w:t>
        </w:r>
      </w:hyperlink>
      <w:r w:rsidRPr="00423EB7">
        <w:rPr>
          <w:iCs/>
          <w:sz w:val="17"/>
          <w:szCs w:val="17"/>
        </w:rPr>
        <w:t xml:space="preserve">. </w:t>
      </w:r>
    </w:p>
    <w:p w14:paraId="6648DF7C" w14:textId="61E254A3" w:rsidR="000B1302" w:rsidRPr="00883271" w:rsidRDefault="000B1302" w:rsidP="00423EB7">
      <w:r w:rsidRPr="00883271">
        <w:t>The price of service and repair information among the top ten brands in Australia varies significantly and for any given time period, the highest price charged may be between 2.5</w:t>
      </w:r>
      <w:r w:rsidR="007B3C6A">
        <w:noBreakHyphen/>
      </w:r>
      <w:r w:rsidRPr="00883271">
        <w:t>3.1 times as high as the lowest price. Data contained in Table 3.2 and obtained by AASRA from the National Automotive Service Task Force (NASTF) indicates that this is materially lower than the variation faced by repairers in the United States (US), with the highest price for any given time period in that jurisdiction ranging between 2.0</w:t>
      </w:r>
      <w:r w:rsidR="007B3C6A">
        <w:noBreakHyphen/>
      </w:r>
      <w:r w:rsidRPr="00883271">
        <w:t xml:space="preserve">5.7 times the lowest price available on the market. </w:t>
      </w:r>
    </w:p>
    <w:p w14:paraId="14B28286" w14:textId="51DBBC6E" w:rsidR="000B1302" w:rsidRPr="00883271" w:rsidRDefault="000B1302" w:rsidP="00423EB7">
      <w:r w:rsidRPr="00883271">
        <w:t xml:space="preserve">While it is not possible to identify whether this variation is indicative of pricing which exceeds fair market value, it does indicate that (i) the reports of significant variation in scheme prices by stakeholders are supported by the data in 2025, and (ii) the level of variability in scheme prices faced by Australian repairers is materially lower than under comparable arrangements in the US. </w:t>
      </w:r>
    </w:p>
    <w:p w14:paraId="1F46066E" w14:textId="77777777" w:rsidR="000B1302" w:rsidRPr="004343EF" w:rsidRDefault="000B1302" w:rsidP="00423EB7">
      <w:pPr>
        <w:pStyle w:val="Heading3"/>
      </w:pPr>
      <w:r w:rsidRPr="004343EF">
        <w:t xml:space="preserve">The evolution of </w:t>
      </w:r>
      <w:r w:rsidRPr="00423EB7">
        <w:t>scheme</w:t>
      </w:r>
      <w:r w:rsidRPr="004343EF">
        <w:t xml:space="preserve"> prices </w:t>
      </w:r>
    </w:p>
    <w:p w14:paraId="6BB5DAAF" w14:textId="7D41A636" w:rsidR="000B1302" w:rsidRPr="00423EB7" w:rsidRDefault="000B1302" w:rsidP="00423EB7">
      <w:r w:rsidRPr="00883271">
        <w:t>The Review also examined prices of scheme information since the scheme</w:t>
      </w:r>
      <w:r w:rsidR="00BF0433">
        <w:t>’</w:t>
      </w:r>
      <w:r w:rsidRPr="00883271">
        <w:t>s commencement and for FY23</w:t>
      </w:r>
      <w:r w:rsidR="007B3C6A">
        <w:t>–</w:t>
      </w:r>
      <w:r w:rsidRPr="00883271">
        <w:t>24 and FY24</w:t>
      </w:r>
      <w:r w:rsidR="007B3C6A">
        <w:t>–</w:t>
      </w:r>
      <w:r w:rsidRPr="00883271">
        <w:t>25 for the top ten registered passenger vehicle brands in Australia. As noted above, these ten brands represent approximately 75 per cent of registered vehicles on Australian roads. Figure 3.2 presents the mean, minimum and maximum prices charged for access to daily, monthly and yearly information by the top ten brands in Australia from July 2023</w:t>
      </w:r>
      <w:r w:rsidR="007B3C6A">
        <w:t>–</w:t>
      </w:r>
      <w:r w:rsidRPr="00883271">
        <w:t>June 2025.</w:t>
      </w:r>
    </w:p>
    <w:p w14:paraId="048CF97B" w14:textId="77B7C576" w:rsidR="00423EB7" w:rsidRDefault="000B1302" w:rsidP="00110D67">
      <w:pPr>
        <w:pStyle w:val="FigureMainHeading"/>
      </w:pPr>
      <w:r w:rsidRPr="00883271">
        <w:lastRenderedPageBreak/>
        <w:t>Figure 3.2: Mean, minimum and maximum fees for scheme information for top 10</w:t>
      </w:r>
      <w:r w:rsidR="00423EB7">
        <w:t> </w:t>
      </w:r>
      <w:r w:rsidRPr="00883271">
        <w:t>brands in Australia, July 2023</w:t>
      </w:r>
      <w:r w:rsidR="007B3C6A">
        <w:t>–</w:t>
      </w:r>
      <w:r w:rsidRPr="00883271">
        <w:t>June 2025 (AUD)</w:t>
      </w:r>
    </w:p>
    <w:p w14:paraId="428B253A" w14:textId="45DD228C" w:rsidR="000B1302" w:rsidRDefault="000B1302" w:rsidP="0078672A">
      <w:pPr>
        <w:pStyle w:val="ChartGraphic"/>
      </w:pPr>
      <w:r w:rsidRPr="00883271">
        <w:drawing>
          <wp:inline distT="0" distB="0" distL="0" distR="0" wp14:anchorId="3736710D" wp14:editId="4577A3DA">
            <wp:extent cx="5753735" cy="3615315"/>
            <wp:effectExtent l="0" t="0" r="0" b="4445"/>
            <wp:docPr id="30907285" name="Picture 11" descr="Line chart with three separate panels, each showing minimum, mean and maximum fees for scheme information access from 2023 to 2025. The first panel is for daily access, the second for monthly access, and the third for yearly access. In each panel, lines for the minimum, mean and maximum fee remains stable over the period. Between panels, the fee amount increases: fees for monthly access are higher than daily, and yearly access are higher than month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7285" name="Picture 11" descr="Line chart with three separate panels, each showing minimum, mean and maximum fees for scheme information access from 2023 to 2025. The first panel is for daily access, the second for monthly access, and the third for yearly access. In each panel, lines for the minimum, mean and maximum fee remains stable over the period. Between panels, the fee amount increases: fees for monthly access are higher than daily, and yearly access are higher than monthly."/>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8686"/>
                    <a:stretch/>
                  </pic:blipFill>
                  <pic:spPr bwMode="auto">
                    <a:xfrm>
                      <a:off x="0" y="0"/>
                      <a:ext cx="5753735" cy="3615315"/>
                    </a:xfrm>
                    <a:prstGeom prst="rect">
                      <a:avLst/>
                    </a:prstGeom>
                    <a:noFill/>
                    <a:ln>
                      <a:noFill/>
                    </a:ln>
                    <a:extLst>
                      <a:ext uri="{53640926-AAD7-44D8-BBD7-CCE9431645EC}">
                        <a14:shadowObscured xmlns:a14="http://schemas.microsoft.com/office/drawing/2010/main"/>
                      </a:ext>
                    </a:extLst>
                  </pic:spPr>
                </pic:pic>
              </a:graphicData>
            </a:graphic>
          </wp:inline>
        </w:drawing>
      </w:r>
    </w:p>
    <w:p w14:paraId="35F6DADE" w14:textId="65E4B7A3" w:rsidR="00423EB7" w:rsidRDefault="00423EB7" w:rsidP="00423EB7">
      <w:pPr>
        <w:pStyle w:val="ChartorTableNote"/>
      </w:pPr>
      <w:r>
        <w:t>Note:</w:t>
      </w:r>
      <w:r>
        <w:tab/>
      </w:r>
      <w:r w:rsidR="00225F60">
        <w:t xml:space="preserve">Data captured via screen scraping from AASRA website and may be subject to error. All fees converted to AUD where offers are made </w:t>
      </w:r>
      <w:r w:rsidR="00BD4B71">
        <w:t>i</w:t>
      </w:r>
      <w:r w:rsidR="00225F60">
        <w:t>n other currencies according to historical conversation rates published by the RBA</w:t>
      </w:r>
      <w:r w:rsidR="00BF0433">
        <w:t xml:space="preserve">. </w:t>
      </w:r>
    </w:p>
    <w:p w14:paraId="182955C5" w14:textId="04DEE84D" w:rsidR="00423EB7" w:rsidRPr="00423EB7" w:rsidRDefault="00423EB7" w:rsidP="00423EB7">
      <w:pPr>
        <w:pStyle w:val="ChartorTableNote"/>
      </w:pPr>
      <w:r>
        <w:t>Source:</w:t>
      </w:r>
      <w:r>
        <w:tab/>
      </w:r>
      <w:r w:rsidR="00225F60">
        <w:t>AASRA.</w:t>
      </w:r>
    </w:p>
    <w:p w14:paraId="37D63374" w14:textId="4C8AA8D4" w:rsidR="000B1302" w:rsidRPr="00883271" w:rsidRDefault="000B1302" w:rsidP="00110D67">
      <w:r w:rsidRPr="00883271">
        <w:t>Prices for these brands have been stable over the two years. This suggests that, although stakeholder views received as part of the Review varied in relation to the price of scheme information, this variation is mainly attributable to differences in stakeholder perspectives rather than significant fluctuations in scheme prices over the period of the scheme</w:t>
      </w:r>
      <w:r w:rsidR="00BF0433">
        <w:t>’</w:t>
      </w:r>
      <w:r w:rsidRPr="00883271">
        <w:t xml:space="preserve">s operation. The small degree of variability visible in Figures 3.1 and 3.2 predominantly reflects shifts in the real value associated with manufacturers who list prices in foreign currencies. </w:t>
      </w:r>
    </w:p>
    <w:p w14:paraId="4A31CBF9" w14:textId="75FDE54D" w:rsidR="000B1302" w:rsidRPr="00423EB7" w:rsidRDefault="000B1302" w:rsidP="00423EB7">
      <w:r w:rsidRPr="00883271">
        <w:t>Scheme offers are currently listed in a variety of currencies, including AUD, USD, Euro and GBP. A comparison of scheme offer prices to exchange rates reveals that the apparently stable pricing of scheme information obscures variable real costs to repairers. Figure 3.3 compares the pricing of daily scheme information for a selected manufacturer over time, with prices offered in USD, to the AUD</w:t>
      </w:r>
      <w:r w:rsidR="007B3C6A">
        <w:noBreakHyphen/>
      </w:r>
      <w:r w:rsidRPr="00883271">
        <w:t>USD exchange rate over the same period. The figure illustrates that fluctuations in exchange rates underly otherwise static scheme prices and mean, for example, that a workshop purchasing the same information in October 2024 would face a different real cost for that same information in February</w:t>
      </w:r>
      <w:r w:rsidR="00423EB7">
        <w:t> </w:t>
      </w:r>
      <w:r w:rsidRPr="00883271">
        <w:t>2025.</w:t>
      </w:r>
    </w:p>
    <w:p w14:paraId="078C4346" w14:textId="1C447196" w:rsidR="000B1302" w:rsidRPr="00883271" w:rsidRDefault="000B1302" w:rsidP="00110D67">
      <w:pPr>
        <w:pStyle w:val="FigureMainHeading"/>
      </w:pPr>
      <w:r w:rsidRPr="00883271">
        <w:lastRenderedPageBreak/>
        <w:t>Figure 3.</w:t>
      </w:r>
      <w:r w:rsidRPr="00883271">
        <w:rPr>
          <w:bCs/>
        </w:rPr>
        <w:t>3</w:t>
      </w:r>
      <w:r w:rsidRPr="00883271">
        <w:t xml:space="preserve">: Daily </w:t>
      </w:r>
      <w:r w:rsidRPr="00883271">
        <w:rPr>
          <w:bCs/>
        </w:rPr>
        <w:t>fee</w:t>
      </w:r>
      <w:r w:rsidRPr="00883271">
        <w:t xml:space="preserve">s for a </w:t>
      </w:r>
      <w:r w:rsidRPr="00883271">
        <w:rPr>
          <w:bCs/>
        </w:rPr>
        <w:t xml:space="preserve">scheme </w:t>
      </w:r>
      <w:r w:rsidRPr="00883271">
        <w:t>offer</w:t>
      </w:r>
      <w:r w:rsidRPr="00883271">
        <w:rPr>
          <w:bCs/>
        </w:rPr>
        <w:t xml:space="preserve"> made</w:t>
      </w:r>
      <w:r w:rsidRPr="00883271">
        <w:t xml:space="preserve"> in US</w:t>
      </w:r>
      <w:r w:rsidRPr="00883271">
        <w:rPr>
          <w:bCs/>
        </w:rPr>
        <w:t>$</w:t>
      </w:r>
      <w:r w:rsidRPr="00883271">
        <w:t xml:space="preserve"> and AU</w:t>
      </w:r>
      <w:r w:rsidRPr="00883271">
        <w:rPr>
          <w:bCs/>
        </w:rPr>
        <w:t>$/</w:t>
      </w:r>
      <w:r w:rsidRPr="00883271">
        <w:t>US</w:t>
      </w:r>
      <w:r w:rsidRPr="00883271">
        <w:rPr>
          <w:bCs/>
        </w:rPr>
        <w:t>$</w:t>
      </w:r>
      <w:r w:rsidRPr="00883271">
        <w:t xml:space="preserve"> exchange rate, July 2023</w:t>
      </w:r>
      <w:r w:rsidR="007B3C6A">
        <w:t>–</w:t>
      </w:r>
      <w:r w:rsidRPr="00883271">
        <w:t>June 2025</w:t>
      </w:r>
    </w:p>
    <w:p w14:paraId="7B443FA7" w14:textId="227FF2F1" w:rsidR="000B1302" w:rsidRDefault="000B1302" w:rsidP="0078672A">
      <w:pPr>
        <w:pStyle w:val="ChartGraphic"/>
      </w:pPr>
      <w:r w:rsidRPr="00883271">
        <w:drawing>
          <wp:inline distT="0" distB="0" distL="0" distR="0" wp14:anchorId="0BDFD4D5" wp14:editId="520CF8B1">
            <wp:extent cx="5756910" cy="3705170"/>
            <wp:effectExtent l="0" t="0" r="0" b="0"/>
            <wp:docPr id="1404134754" name="Picture 14" descr="Line chart showing the daily scheme information fee in USD and the AUD to USD exchange rate from August 2023 to June 2025. The left vertical axis is labelled &quot;Scheme offer fee (USD$)&quot; and shows a constant flat line. The right vertical axis is labelled &quot;AUD/USD exchange rate&quot; and shows a fluctuating line with several peaks and troug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34754" name="Picture 14" descr="Line chart showing the daily scheme information fee in USD and the AUD to USD exchange rate from August 2023 to June 2025. The left vertical axis is labelled &quot;Scheme offer fee (USD$)&quot; and shows a constant flat line. The right vertical axis is labelled &quot;AUD/USD exchange rate&quot; and shows a fluctuating line with several peaks and trough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6432"/>
                    <a:stretch/>
                  </pic:blipFill>
                  <pic:spPr bwMode="auto">
                    <a:xfrm>
                      <a:off x="0" y="0"/>
                      <a:ext cx="5756910" cy="3705170"/>
                    </a:xfrm>
                    <a:prstGeom prst="rect">
                      <a:avLst/>
                    </a:prstGeom>
                    <a:noFill/>
                    <a:ln>
                      <a:noFill/>
                    </a:ln>
                    <a:extLst>
                      <a:ext uri="{53640926-AAD7-44D8-BBD7-CCE9431645EC}">
                        <a14:shadowObscured xmlns:a14="http://schemas.microsoft.com/office/drawing/2010/main"/>
                      </a:ext>
                    </a:extLst>
                  </pic:spPr>
                </pic:pic>
              </a:graphicData>
            </a:graphic>
          </wp:inline>
        </w:drawing>
      </w:r>
    </w:p>
    <w:p w14:paraId="6A64BC1B" w14:textId="084499ED" w:rsidR="00423EB7" w:rsidRDefault="00423EB7" w:rsidP="00423EB7">
      <w:pPr>
        <w:pStyle w:val="ChartorTableNote"/>
      </w:pPr>
      <w:r>
        <w:t>Note:</w:t>
      </w:r>
      <w:r>
        <w:tab/>
      </w:r>
      <w:r w:rsidR="007D6178">
        <w:t>Scheme offer data captured via screen</w:t>
      </w:r>
      <w:r w:rsidR="007B3C6A">
        <w:noBreakHyphen/>
      </w:r>
      <w:r w:rsidR="007D6178">
        <w:t xml:space="preserve">scraping from AASRA website and may be subject to error. </w:t>
      </w:r>
    </w:p>
    <w:p w14:paraId="359156BD" w14:textId="13B37E7A" w:rsidR="00423EB7" w:rsidRPr="00423EB7" w:rsidRDefault="00423EB7" w:rsidP="00423EB7">
      <w:pPr>
        <w:pStyle w:val="ChartorTableNote"/>
      </w:pPr>
      <w:r>
        <w:t>Source:</w:t>
      </w:r>
      <w:r>
        <w:tab/>
      </w:r>
      <w:r w:rsidR="007D6178">
        <w:t xml:space="preserve">Historical conversation rates published by the RBA. </w:t>
      </w:r>
    </w:p>
    <w:p w14:paraId="044AE813" w14:textId="48E68477" w:rsidR="000B1302" w:rsidRPr="00883271" w:rsidRDefault="000B1302" w:rsidP="00423EB7">
      <w:r w:rsidRPr="00883271">
        <w:t>Similar patterns are observed for manufacturers presenting scheme offers in other currencies. Fluctuations of this kind may reduce clarity for repairers as to the real cost of scheme information over time.</w:t>
      </w:r>
      <w:r w:rsidRPr="00883271" w:rsidDel="00402853">
        <w:t xml:space="preserve"> </w:t>
      </w:r>
      <w:r w:rsidRPr="00883271">
        <w:t>The cost of scheme information may also be obscured where the price of scheme information reflected in scheme offers does not reflect the price of scheme information at the point of purchase via a data provider</w:t>
      </w:r>
      <w:r w:rsidR="00BF0433">
        <w:t>’</w:t>
      </w:r>
      <w:r w:rsidRPr="00883271">
        <w:t xml:space="preserve">s website. </w:t>
      </w:r>
    </w:p>
    <w:p w14:paraId="48B5E4DD" w14:textId="6C2F25C1" w:rsidR="000B1302" w:rsidRPr="00883271" w:rsidRDefault="000B1302" w:rsidP="00423EB7">
      <w:r w:rsidRPr="00883271">
        <w:t xml:space="preserve">The Review received </w:t>
      </w:r>
      <w:r>
        <w:t>reports</w:t>
      </w:r>
      <w:r w:rsidRPr="00883271">
        <w:t xml:space="preserve"> of discrepancies between the prices of published scheme offers on the AASRA website and prices charged through manufacturer portals. Analysis conducted as part of the Review corroborated at least one such instance. While discrepancies appear minor, they represent non</w:t>
      </w:r>
      <w:r w:rsidR="007B3C6A">
        <w:noBreakHyphen/>
      </w:r>
      <w:r w:rsidRPr="00883271">
        <w:t xml:space="preserve">compliance with the scheme and have the potential, over time, to reduce the perceived value of the scheme for independent repairers. Reporting obligations requiring data providers to share with the Scheme Adviser the price at which scheme information is ultimately supplied, have the potential to better address such discrepancies moving </w:t>
      </w:r>
      <w:r w:rsidRPr="00883271" w:rsidDel="004D30FE">
        <w:t>forward</w:t>
      </w:r>
      <w:r w:rsidRPr="00883271">
        <w:t xml:space="preserve">. Data provider reporting obligations are discussed further in </w:t>
      </w:r>
      <w:r w:rsidRPr="00883271">
        <w:rPr>
          <w:b/>
          <w:bCs/>
        </w:rPr>
        <w:t>chapter 7</w:t>
      </w:r>
      <w:r w:rsidRPr="00883271">
        <w:t>.</w:t>
      </w:r>
    </w:p>
    <w:p w14:paraId="0519C276" w14:textId="650657FD" w:rsidR="0078672A" w:rsidRDefault="000B1302" w:rsidP="00423EB7">
      <w:r w:rsidRPr="00883271">
        <w:t>Continued efforts towards effective administration of the scheme by all entities, including through the provision of accurate scheme offers and clear pricing in Australian dollars are likely to support Australian repairers</w:t>
      </w:r>
      <w:r w:rsidR="00BF0433">
        <w:t>’</w:t>
      </w:r>
      <w:r w:rsidRPr="00883271">
        <w:t xml:space="preserve"> and scheme RTOs</w:t>
      </w:r>
      <w:r w:rsidR="00BF0433">
        <w:t>’</w:t>
      </w:r>
      <w:r w:rsidRPr="00883271">
        <w:t xml:space="preserve"> ability to effectively and efficiently engage with the scheme. </w:t>
      </w:r>
    </w:p>
    <w:p w14:paraId="3BA8E9DE" w14:textId="77777777" w:rsidR="0078672A" w:rsidRDefault="0078672A">
      <w:pPr>
        <w:spacing w:before="0" w:after="160" w:line="259" w:lineRule="auto"/>
      </w:pPr>
      <w:r>
        <w:br w:type="page"/>
      </w:r>
    </w:p>
    <w:p w14:paraId="4845E9FB" w14:textId="2A9DE22F" w:rsidR="000B1302" w:rsidRPr="004343EF" w:rsidRDefault="000B1302" w:rsidP="00423EB7">
      <w:pPr>
        <w:pStyle w:val="Heading3"/>
      </w:pPr>
      <w:r w:rsidRPr="00423EB7">
        <w:lastRenderedPageBreak/>
        <w:t>Comparability</w:t>
      </w:r>
      <w:r w:rsidRPr="004343EF">
        <w:t xml:space="preserve"> of scheme prices </w:t>
      </w:r>
    </w:p>
    <w:p w14:paraId="3D2E161B" w14:textId="3E3511B9" w:rsidR="000B1302" w:rsidRPr="00883271" w:rsidRDefault="000B1302" w:rsidP="00110D67">
      <w:pPr>
        <w:spacing w:after="100"/>
      </w:pPr>
      <w:r w:rsidRPr="00883271">
        <w:t>As noted above, the scheme</w:t>
      </w:r>
      <w:r w:rsidRPr="00883271" w:rsidDel="005454CC">
        <w:t xml:space="preserve"> </w:t>
      </w:r>
      <w:r w:rsidRPr="00883271">
        <w:t>utilises comparison as a factor which may be considered in determining the fair market value of scheme information. Two aspects of the scheme</w:t>
      </w:r>
      <w:r w:rsidR="00BF0433">
        <w:t>’</w:t>
      </w:r>
      <w:r w:rsidRPr="00883271">
        <w:t xml:space="preserve">s comparative pricing approach raised as part of the Review related to determining the fair market value by reference to: </w:t>
      </w:r>
    </w:p>
    <w:p w14:paraId="2C12CE12" w14:textId="591229CD" w:rsidR="000B1302" w:rsidRPr="00883271" w:rsidRDefault="000B1302" w:rsidP="00284E88">
      <w:pPr>
        <w:pStyle w:val="OutlineNumbered1"/>
        <w:numPr>
          <w:ilvl w:val="0"/>
          <w:numId w:val="13"/>
        </w:numPr>
        <w:spacing w:after="100"/>
      </w:pPr>
      <w:r w:rsidRPr="00883271">
        <w:t xml:space="preserve">The price of scheme information in relation to a scheme vehicle of a </w:t>
      </w:r>
      <w:r w:rsidR="00BF0433">
        <w:t>‘</w:t>
      </w:r>
      <w:r w:rsidRPr="00883271">
        <w:t>similar make, model and year</w:t>
      </w:r>
      <w:r w:rsidR="00BF0433">
        <w:t>’</w:t>
      </w:r>
      <w:r w:rsidRPr="00883271">
        <w:t xml:space="preserve"> where pricing of scheme information is not already available in relation to a scheme vehicle of that particular make, model and year;</w:t>
      </w:r>
      <w:r w:rsidRPr="00A740DC">
        <w:rPr>
          <w:rStyle w:val="FootnoteReference"/>
        </w:rPr>
        <w:footnoteReference w:id="32"/>
      </w:r>
      <w:r w:rsidRPr="00883271">
        <w:t xml:space="preserve"> and </w:t>
      </w:r>
    </w:p>
    <w:p w14:paraId="68784E38" w14:textId="77777777" w:rsidR="000B1302" w:rsidRPr="00883271" w:rsidRDefault="000B1302" w:rsidP="00423EB7">
      <w:pPr>
        <w:pStyle w:val="OutlineNumbered1"/>
      </w:pPr>
      <w:r w:rsidRPr="00883271">
        <w:t>The price charged for the supply of information similar to scheme information in overseas markets.</w:t>
      </w:r>
      <w:r w:rsidRPr="00A740DC">
        <w:rPr>
          <w:rStyle w:val="FootnoteReference"/>
        </w:rPr>
        <w:footnoteReference w:id="33"/>
      </w:r>
      <w:r w:rsidRPr="00CB15AB">
        <w:rPr>
          <w:rStyle w:val="FootnoteReference"/>
        </w:rPr>
        <w:t xml:space="preserve"> </w:t>
      </w:r>
    </w:p>
    <w:p w14:paraId="6A5DB7B2" w14:textId="6988F87B" w:rsidR="000B1302" w:rsidRPr="00883271" w:rsidRDefault="000B1302" w:rsidP="00423EB7">
      <w:r w:rsidRPr="00883271">
        <w:t xml:space="preserve">The ACCC noted that considering pricing for a similar make, model and year (where pricing is not available for a vehicle of a particular make, model and year) requires the existence of an appropriate comparator. Given the increasingly complex nature of computerised systems in vehicles requiring proprietary tools to complete repairs, it was argued that this factor is of limited practical utility in illuminating the fair market value of scheme information as such information is not substitutable between brands. However, as this is but one matter to which regard may be had in determining fair market value, the Review considers that its retention remains appropriate to ensure fair market value may be determined having regard to a sufficiently broad range of matters across a variety of circumstances. </w:t>
      </w:r>
    </w:p>
    <w:p w14:paraId="575DE510" w14:textId="33784259" w:rsidR="000B1302" w:rsidRPr="00883271" w:rsidRDefault="000B1302" w:rsidP="00423EB7">
      <w:r w:rsidRPr="00883271">
        <w:t>In relation to the price of information in other jurisdictions, Table 3.2 sets out data provided by AASRA on the prices charged by the top 10 registered passenger vehicle brands in Australia, as of January</w:t>
      </w:r>
      <w:r w:rsidR="00423EB7">
        <w:t> </w:t>
      </w:r>
      <w:r w:rsidRPr="00883271">
        <w:t>2025, in Australia and the US.</w:t>
      </w:r>
    </w:p>
    <w:p w14:paraId="069BBE2E" w14:textId="6F540272" w:rsidR="000B1302" w:rsidRPr="00110D67" w:rsidRDefault="000B1302" w:rsidP="00110D67">
      <w:pPr>
        <w:pStyle w:val="TableMainHeading"/>
      </w:pPr>
      <w:r w:rsidRPr="00110D67">
        <w:t>Table 3.2: Comparison between daily, monthly and yearly scheme information fees in Australia and comparable prices for information in US, top 10 brands in Australia, 30</w:t>
      </w:r>
      <w:r w:rsidR="00423EB7" w:rsidRPr="00110D67">
        <w:t> </w:t>
      </w:r>
      <w:r w:rsidRPr="00110D67">
        <w:t>July 2025 (AUD)</w:t>
      </w:r>
    </w:p>
    <w:tbl>
      <w:tblPr>
        <w:tblStyle w:val="TableGrid"/>
        <w:tblW w:w="5000" w:type="pct"/>
        <w:tblLayout w:type="fixed"/>
        <w:tblCellMar>
          <w:left w:w="57" w:type="dxa"/>
        </w:tblCellMar>
        <w:tblLook w:val="04A0" w:firstRow="1" w:lastRow="0" w:firstColumn="1" w:lastColumn="0" w:noHBand="0" w:noVBand="1"/>
      </w:tblPr>
      <w:tblGrid>
        <w:gridCol w:w="1419"/>
        <w:gridCol w:w="779"/>
        <w:gridCol w:w="779"/>
        <w:gridCol w:w="993"/>
        <w:gridCol w:w="708"/>
        <w:gridCol w:w="709"/>
        <w:gridCol w:w="992"/>
        <w:gridCol w:w="850"/>
        <w:gridCol w:w="851"/>
        <w:gridCol w:w="992"/>
      </w:tblGrid>
      <w:tr w:rsidR="000B1302" w:rsidRPr="00883271" w14:paraId="60A82A14" w14:textId="77777777" w:rsidTr="00110D67">
        <w:trPr>
          <w:cnfStyle w:val="100000000000" w:firstRow="1" w:lastRow="0" w:firstColumn="0" w:lastColumn="0" w:oddVBand="0" w:evenVBand="0" w:oddHBand="0" w:evenHBand="0" w:firstRowFirstColumn="0" w:firstRowLastColumn="0" w:lastRowFirstColumn="0" w:lastRowLastColumn="0"/>
          <w:trHeight w:val="83"/>
        </w:trPr>
        <w:tc>
          <w:tcPr>
            <w:tcW w:w="1419" w:type="dxa"/>
            <w:tcBorders>
              <w:top w:val="single" w:sz="4" w:space="0" w:color="auto"/>
              <w:bottom w:val="single" w:sz="4" w:space="0" w:color="auto"/>
            </w:tcBorders>
            <w:shd w:val="clear" w:color="auto" w:fill="D6D6D6" w:themeFill="background2" w:themeFillShade="E6"/>
            <w:vAlign w:val="center"/>
          </w:tcPr>
          <w:p w14:paraId="1FDBA9CE" w14:textId="77777777" w:rsidR="000B1302" w:rsidRPr="00423EB7" w:rsidRDefault="000B1302" w:rsidP="00423EB7">
            <w:pPr>
              <w:pStyle w:val="TableColumnHeadingCentred"/>
              <w:rPr>
                <w:b w:val="0"/>
                <w:bCs/>
              </w:rPr>
            </w:pPr>
          </w:p>
        </w:tc>
        <w:tc>
          <w:tcPr>
            <w:tcW w:w="2551" w:type="dxa"/>
            <w:gridSpan w:val="3"/>
            <w:tcBorders>
              <w:top w:val="single" w:sz="4" w:space="0" w:color="auto"/>
              <w:bottom w:val="single" w:sz="4" w:space="0" w:color="auto"/>
            </w:tcBorders>
            <w:shd w:val="clear" w:color="auto" w:fill="D6D6D6" w:themeFill="background2" w:themeFillShade="E6"/>
            <w:vAlign w:val="center"/>
          </w:tcPr>
          <w:p w14:paraId="490DF510" w14:textId="77777777" w:rsidR="000B1302" w:rsidRPr="00423EB7" w:rsidRDefault="000B1302" w:rsidP="00423EB7">
            <w:pPr>
              <w:pStyle w:val="TableColumnHeadingCentred"/>
              <w:rPr>
                <w:b w:val="0"/>
                <w:bCs/>
              </w:rPr>
            </w:pPr>
            <w:r w:rsidRPr="00423EB7">
              <w:rPr>
                <w:bCs/>
              </w:rPr>
              <w:t>Daily fees</w:t>
            </w:r>
          </w:p>
        </w:tc>
        <w:tc>
          <w:tcPr>
            <w:tcW w:w="2409" w:type="dxa"/>
            <w:gridSpan w:val="3"/>
            <w:tcBorders>
              <w:top w:val="single" w:sz="4" w:space="0" w:color="auto"/>
              <w:bottom w:val="single" w:sz="4" w:space="0" w:color="auto"/>
            </w:tcBorders>
            <w:shd w:val="clear" w:color="auto" w:fill="D6D6D6" w:themeFill="background2" w:themeFillShade="E6"/>
            <w:vAlign w:val="center"/>
          </w:tcPr>
          <w:p w14:paraId="377F4D9D" w14:textId="77777777" w:rsidR="000B1302" w:rsidRPr="00423EB7" w:rsidRDefault="000B1302" w:rsidP="00423EB7">
            <w:pPr>
              <w:pStyle w:val="TableColumnHeadingCentred"/>
              <w:rPr>
                <w:b w:val="0"/>
                <w:bCs/>
              </w:rPr>
            </w:pPr>
            <w:r w:rsidRPr="00423EB7">
              <w:rPr>
                <w:bCs/>
              </w:rPr>
              <w:t>Monthly fees</w:t>
            </w:r>
          </w:p>
        </w:tc>
        <w:tc>
          <w:tcPr>
            <w:tcW w:w="2693" w:type="dxa"/>
            <w:gridSpan w:val="3"/>
            <w:tcBorders>
              <w:top w:val="single" w:sz="4" w:space="0" w:color="auto"/>
              <w:bottom w:val="single" w:sz="4" w:space="0" w:color="auto"/>
            </w:tcBorders>
            <w:shd w:val="clear" w:color="auto" w:fill="D6D6D6" w:themeFill="background2" w:themeFillShade="E6"/>
            <w:vAlign w:val="center"/>
          </w:tcPr>
          <w:p w14:paraId="29D161F8" w14:textId="77777777" w:rsidR="000B1302" w:rsidRPr="00423EB7" w:rsidRDefault="000B1302" w:rsidP="00423EB7">
            <w:pPr>
              <w:pStyle w:val="TableColumnHeadingCentred"/>
              <w:rPr>
                <w:b w:val="0"/>
                <w:bCs/>
              </w:rPr>
            </w:pPr>
            <w:r w:rsidRPr="00423EB7">
              <w:rPr>
                <w:bCs/>
              </w:rPr>
              <w:t>Annual fees</w:t>
            </w:r>
          </w:p>
        </w:tc>
      </w:tr>
      <w:tr w:rsidR="00423EB7" w:rsidRPr="00883271" w14:paraId="302E102D" w14:textId="77777777" w:rsidTr="00110D67">
        <w:trPr>
          <w:cnfStyle w:val="000000100000" w:firstRow="0" w:lastRow="0" w:firstColumn="0" w:lastColumn="0" w:oddVBand="0" w:evenVBand="0" w:oddHBand="1" w:evenHBand="0" w:firstRowFirstColumn="0" w:firstRowLastColumn="0" w:lastRowFirstColumn="0" w:lastRowLastColumn="0"/>
        </w:trPr>
        <w:tc>
          <w:tcPr>
            <w:tcW w:w="1419" w:type="dxa"/>
            <w:tcBorders>
              <w:top w:val="single" w:sz="4" w:space="0" w:color="auto"/>
              <w:bottom w:val="single" w:sz="4" w:space="0" w:color="auto"/>
            </w:tcBorders>
            <w:shd w:val="clear" w:color="auto" w:fill="EEEEEE" w:themeFill="background2"/>
            <w:vAlign w:val="center"/>
          </w:tcPr>
          <w:p w14:paraId="2E6329F1" w14:textId="77777777" w:rsidR="000B1302" w:rsidRPr="00423EB7" w:rsidRDefault="000B1302" w:rsidP="00423EB7">
            <w:pPr>
              <w:pStyle w:val="TableColumnHeadingLeft"/>
            </w:pPr>
            <w:r w:rsidRPr="00423EB7">
              <w:t>Manufacturer</w:t>
            </w:r>
          </w:p>
        </w:tc>
        <w:tc>
          <w:tcPr>
            <w:tcW w:w="779" w:type="dxa"/>
            <w:tcBorders>
              <w:top w:val="single" w:sz="4" w:space="0" w:color="auto"/>
              <w:bottom w:val="single" w:sz="4" w:space="0" w:color="auto"/>
            </w:tcBorders>
            <w:shd w:val="clear" w:color="auto" w:fill="EEEEEE" w:themeFill="background2"/>
            <w:vAlign w:val="center"/>
          </w:tcPr>
          <w:p w14:paraId="2D4CD2E0" w14:textId="77777777" w:rsidR="000B1302" w:rsidRPr="00423EB7" w:rsidRDefault="000B1302" w:rsidP="00423EB7">
            <w:pPr>
              <w:pStyle w:val="TableColumnHeadingRight"/>
            </w:pPr>
            <w:r w:rsidRPr="00423EB7">
              <w:t>Aust.</w:t>
            </w:r>
          </w:p>
        </w:tc>
        <w:tc>
          <w:tcPr>
            <w:tcW w:w="779" w:type="dxa"/>
            <w:tcBorders>
              <w:top w:val="single" w:sz="4" w:space="0" w:color="auto"/>
              <w:bottom w:val="single" w:sz="4" w:space="0" w:color="auto"/>
            </w:tcBorders>
            <w:shd w:val="clear" w:color="auto" w:fill="EEEEEE" w:themeFill="background2"/>
            <w:vAlign w:val="center"/>
          </w:tcPr>
          <w:p w14:paraId="7742AA6C" w14:textId="77777777" w:rsidR="000B1302" w:rsidRPr="00423EB7" w:rsidRDefault="000B1302" w:rsidP="00423EB7">
            <w:pPr>
              <w:pStyle w:val="TableColumnHeadingRight"/>
            </w:pPr>
            <w:r w:rsidRPr="00423EB7">
              <w:t>US</w:t>
            </w:r>
          </w:p>
        </w:tc>
        <w:tc>
          <w:tcPr>
            <w:tcW w:w="993" w:type="dxa"/>
            <w:tcBorders>
              <w:top w:val="single" w:sz="4" w:space="0" w:color="auto"/>
              <w:bottom w:val="single" w:sz="4" w:space="0" w:color="auto"/>
            </w:tcBorders>
            <w:shd w:val="clear" w:color="auto" w:fill="EEEEEE" w:themeFill="background2"/>
            <w:vAlign w:val="center"/>
          </w:tcPr>
          <w:p w14:paraId="5390E346" w14:textId="77777777" w:rsidR="000B1302" w:rsidRPr="00423EB7" w:rsidRDefault="000B1302" w:rsidP="00423EB7">
            <w:pPr>
              <w:pStyle w:val="TableColumnHeadingRight"/>
            </w:pPr>
            <w:r w:rsidRPr="00423EB7">
              <w:t>Aust v US</w:t>
            </w:r>
          </w:p>
        </w:tc>
        <w:tc>
          <w:tcPr>
            <w:tcW w:w="708" w:type="dxa"/>
            <w:tcBorders>
              <w:top w:val="single" w:sz="4" w:space="0" w:color="auto"/>
              <w:bottom w:val="single" w:sz="4" w:space="0" w:color="auto"/>
            </w:tcBorders>
            <w:shd w:val="clear" w:color="auto" w:fill="EEEEEE" w:themeFill="background2"/>
            <w:vAlign w:val="center"/>
          </w:tcPr>
          <w:p w14:paraId="786BDFF3" w14:textId="77777777" w:rsidR="000B1302" w:rsidRPr="00423EB7" w:rsidRDefault="000B1302" w:rsidP="00423EB7">
            <w:pPr>
              <w:pStyle w:val="TableColumnHeadingRight"/>
            </w:pPr>
            <w:r w:rsidRPr="00423EB7">
              <w:t>Aust.</w:t>
            </w:r>
          </w:p>
        </w:tc>
        <w:tc>
          <w:tcPr>
            <w:tcW w:w="709" w:type="dxa"/>
            <w:tcBorders>
              <w:top w:val="single" w:sz="4" w:space="0" w:color="auto"/>
              <w:bottom w:val="single" w:sz="4" w:space="0" w:color="auto"/>
            </w:tcBorders>
            <w:shd w:val="clear" w:color="auto" w:fill="EEEEEE" w:themeFill="background2"/>
            <w:vAlign w:val="center"/>
          </w:tcPr>
          <w:p w14:paraId="5D7B6037" w14:textId="77777777" w:rsidR="000B1302" w:rsidRPr="00423EB7" w:rsidRDefault="000B1302" w:rsidP="00423EB7">
            <w:pPr>
              <w:pStyle w:val="TableColumnHeadingRight"/>
            </w:pPr>
            <w:r w:rsidRPr="00423EB7">
              <w:t>US</w:t>
            </w:r>
          </w:p>
        </w:tc>
        <w:tc>
          <w:tcPr>
            <w:tcW w:w="992" w:type="dxa"/>
            <w:tcBorders>
              <w:top w:val="single" w:sz="4" w:space="0" w:color="auto"/>
              <w:bottom w:val="single" w:sz="4" w:space="0" w:color="auto"/>
            </w:tcBorders>
            <w:shd w:val="clear" w:color="auto" w:fill="EEEEEE" w:themeFill="background2"/>
            <w:vAlign w:val="center"/>
          </w:tcPr>
          <w:p w14:paraId="61271065" w14:textId="77777777" w:rsidR="000B1302" w:rsidRPr="00423EB7" w:rsidRDefault="000B1302" w:rsidP="00423EB7">
            <w:pPr>
              <w:pStyle w:val="TableColumnHeadingRight"/>
            </w:pPr>
            <w:r w:rsidRPr="00423EB7">
              <w:t>Aust v US</w:t>
            </w:r>
          </w:p>
        </w:tc>
        <w:tc>
          <w:tcPr>
            <w:tcW w:w="850" w:type="dxa"/>
            <w:tcBorders>
              <w:top w:val="single" w:sz="4" w:space="0" w:color="auto"/>
              <w:bottom w:val="single" w:sz="4" w:space="0" w:color="auto"/>
            </w:tcBorders>
            <w:shd w:val="clear" w:color="auto" w:fill="EEEEEE" w:themeFill="background2"/>
            <w:vAlign w:val="center"/>
          </w:tcPr>
          <w:p w14:paraId="32ACDA8B" w14:textId="77777777" w:rsidR="000B1302" w:rsidRPr="00423EB7" w:rsidRDefault="000B1302" w:rsidP="00423EB7">
            <w:pPr>
              <w:pStyle w:val="TableColumnHeadingRight"/>
            </w:pPr>
            <w:r w:rsidRPr="00423EB7">
              <w:t>Aust.</w:t>
            </w:r>
          </w:p>
        </w:tc>
        <w:tc>
          <w:tcPr>
            <w:tcW w:w="851" w:type="dxa"/>
            <w:tcBorders>
              <w:top w:val="single" w:sz="4" w:space="0" w:color="auto"/>
              <w:bottom w:val="single" w:sz="4" w:space="0" w:color="auto"/>
            </w:tcBorders>
            <w:shd w:val="clear" w:color="auto" w:fill="EEEEEE" w:themeFill="background2"/>
            <w:vAlign w:val="center"/>
          </w:tcPr>
          <w:p w14:paraId="2C48D6E5" w14:textId="77777777" w:rsidR="000B1302" w:rsidRPr="00423EB7" w:rsidRDefault="000B1302" w:rsidP="00423EB7">
            <w:pPr>
              <w:pStyle w:val="TableColumnHeadingRight"/>
            </w:pPr>
            <w:r w:rsidRPr="00423EB7">
              <w:t>US</w:t>
            </w:r>
          </w:p>
        </w:tc>
        <w:tc>
          <w:tcPr>
            <w:tcW w:w="992" w:type="dxa"/>
            <w:tcBorders>
              <w:top w:val="single" w:sz="4" w:space="0" w:color="auto"/>
              <w:bottom w:val="single" w:sz="4" w:space="0" w:color="auto"/>
            </w:tcBorders>
            <w:shd w:val="clear" w:color="auto" w:fill="EEEEEE" w:themeFill="background2"/>
            <w:vAlign w:val="center"/>
          </w:tcPr>
          <w:p w14:paraId="0168E537" w14:textId="77777777" w:rsidR="000B1302" w:rsidRPr="00423EB7" w:rsidRDefault="000B1302" w:rsidP="00423EB7">
            <w:pPr>
              <w:pStyle w:val="TableColumnHeadingRight"/>
            </w:pPr>
            <w:r w:rsidRPr="00423EB7">
              <w:t>Aust v US</w:t>
            </w:r>
          </w:p>
        </w:tc>
      </w:tr>
      <w:tr w:rsidR="00423EB7" w:rsidRPr="00883271" w14:paraId="78DB6FB8" w14:textId="77777777" w:rsidTr="00110D67">
        <w:trPr>
          <w:cnfStyle w:val="000000010000" w:firstRow="0" w:lastRow="0" w:firstColumn="0" w:lastColumn="0" w:oddVBand="0" w:evenVBand="0" w:oddHBand="0" w:evenHBand="1" w:firstRowFirstColumn="0" w:firstRowLastColumn="0" w:lastRowFirstColumn="0" w:lastRowLastColumn="0"/>
        </w:trPr>
        <w:tc>
          <w:tcPr>
            <w:tcW w:w="1419" w:type="dxa"/>
            <w:tcBorders>
              <w:top w:val="single" w:sz="4" w:space="0" w:color="auto"/>
            </w:tcBorders>
            <w:vAlign w:val="center"/>
          </w:tcPr>
          <w:p w14:paraId="722F53BB" w14:textId="77777777" w:rsidR="000B1302" w:rsidRPr="00883271" w:rsidRDefault="000B1302" w:rsidP="00423EB7">
            <w:pPr>
              <w:pStyle w:val="TableTextLeft"/>
            </w:pPr>
            <w:r w:rsidRPr="00883271">
              <w:t>Toyota</w:t>
            </w:r>
          </w:p>
        </w:tc>
        <w:tc>
          <w:tcPr>
            <w:tcW w:w="779" w:type="dxa"/>
            <w:tcBorders>
              <w:top w:val="single" w:sz="4" w:space="0" w:color="auto"/>
            </w:tcBorders>
            <w:vAlign w:val="center"/>
          </w:tcPr>
          <w:p w14:paraId="1CAC19EB" w14:textId="77777777" w:rsidR="000B1302" w:rsidRPr="00883271" w:rsidRDefault="000B1302" w:rsidP="00423EB7">
            <w:pPr>
              <w:pStyle w:val="TableTextRight"/>
            </w:pPr>
            <w:r w:rsidRPr="00883271">
              <w:t>21.00</w:t>
            </w:r>
          </w:p>
        </w:tc>
        <w:tc>
          <w:tcPr>
            <w:tcW w:w="779" w:type="dxa"/>
            <w:tcBorders>
              <w:top w:val="single" w:sz="4" w:space="0" w:color="auto"/>
            </w:tcBorders>
            <w:vAlign w:val="center"/>
          </w:tcPr>
          <w:p w14:paraId="116B1AAD" w14:textId="77777777" w:rsidR="000B1302" w:rsidRPr="00883271" w:rsidRDefault="000B1302" w:rsidP="00423EB7">
            <w:pPr>
              <w:pStyle w:val="TableTextRight"/>
            </w:pPr>
            <w:r w:rsidRPr="00883271">
              <w:t>38.46</w:t>
            </w:r>
          </w:p>
        </w:tc>
        <w:tc>
          <w:tcPr>
            <w:tcW w:w="993" w:type="dxa"/>
            <w:tcBorders>
              <w:top w:val="single" w:sz="4" w:space="0" w:color="auto"/>
            </w:tcBorders>
            <w:vAlign w:val="center"/>
          </w:tcPr>
          <w:p w14:paraId="54EB0B34" w14:textId="0BCDA851" w:rsidR="000B1302" w:rsidRPr="00883271" w:rsidRDefault="007B3C6A" w:rsidP="00423EB7">
            <w:pPr>
              <w:pStyle w:val="TableTextRight"/>
            </w:pPr>
            <w:r>
              <w:noBreakHyphen/>
            </w:r>
            <w:r w:rsidR="000B1302" w:rsidRPr="00883271">
              <w:t>17.46</w:t>
            </w:r>
          </w:p>
        </w:tc>
        <w:tc>
          <w:tcPr>
            <w:tcW w:w="708" w:type="dxa"/>
            <w:tcBorders>
              <w:top w:val="single" w:sz="4" w:space="0" w:color="auto"/>
            </w:tcBorders>
            <w:vAlign w:val="center"/>
          </w:tcPr>
          <w:p w14:paraId="5819B81C" w14:textId="77777777" w:rsidR="000B1302" w:rsidRPr="00883271" w:rsidRDefault="000B1302" w:rsidP="00423EB7">
            <w:pPr>
              <w:pStyle w:val="TableTextRight"/>
            </w:pPr>
            <w:r w:rsidRPr="00883271">
              <w:t>220.00</w:t>
            </w:r>
          </w:p>
        </w:tc>
        <w:tc>
          <w:tcPr>
            <w:tcW w:w="709" w:type="dxa"/>
            <w:tcBorders>
              <w:top w:val="single" w:sz="4" w:space="0" w:color="auto"/>
            </w:tcBorders>
            <w:vAlign w:val="center"/>
          </w:tcPr>
          <w:p w14:paraId="6DB8EB6D" w14:textId="77777777" w:rsidR="000B1302" w:rsidRPr="00883271" w:rsidRDefault="000B1302" w:rsidP="00423EB7">
            <w:pPr>
              <w:pStyle w:val="TableTextRight"/>
            </w:pPr>
            <w:r w:rsidRPr="00883271">
              <w:t>146.15</w:t>
            </w:r>
          </w:p>
        </w:tc>
        <w:tc>
          <w:tcPr>
            <w:tcW w:w="992" w:type="dxa"/>
            <w:tcBorders>
              <w:top w:val="single" w:sz="4" w:space="0" w:color="auto"/>
            </w:tcBorders>
            <w:vAlign w:val="center"/>
          </w:tcPr>
          <w:p w14:paraId="6A2CABF5" w14:textId="77777777" w:rsidR="000B1302" w:rsidRPr="00883271" w:rsidRDefault="000B1302" w:rsidP="00423EB7">
            <w:pPr>
              <w:pStyle w:val="TableTextRight"/>
            </w:pPr>
            <w:r w:rsidRPr="00883271">
              <w:t>73.85</w:t>
            </w:r>
          </w:p>
        </w:tc>
        <w:tc>
          <w:tcPr>
            <w:tcW w:w="850" w:type="dxa"/>
            <w:tcBorders>
              <w:top w:val="single" w:sz="4" w:space="0" w:color="auto"/>
            </w:tcBorders>
            <w:vAlign w:val="center"/>
          </w:tcPr>
          <w:p w14:paraId="4ECDBD7B" w14:textId="77777777" w:rsidR="000B1302" w:rsidRPr="00883271" w:rsidRDefault="000B1302" w:rsidP="00423EB7">
            <w:pPr>
              <w:pStyle w:val="TableTextRight"/>
            </w:pPr>
            <w:r w:rsidRPr="00883271">
              <w:t>2,200.00</w:t>
            </w:r>
          </w:p>
        </w:tc>
        <w:tc>
          <w:tcPr>
            <w:tcW w:w="851" w:type="dxa"/>
            <w:tcBorders>
              <w:top w:val="single" w:sz="4" w:space="0" w:color="auto"/>
            </w:tcBorders>
            <w:vAlign w:val="center"/>
          </w:tcPr>
          <w:p w14:paraId="45EAEB9A" w14:textId="77777777" w:rsidR="000B1302" w:rsidRPr="00883271" w:rsidRDefault="000B1302" w:rsidP="00423EB7">
            <w:pPr>
              <w:pStyle w:val="TableTextRight"/>
            </w:pPr>
            <w:r w:rsidRPr="00883271">
              <w:t>776.92</w:t>
            </w:r>
          </w:p>
        </w:tc>
        <w:tc>
          <w:tcPr>
            <w:tcW w:w="992" w:type="dxa"/>
            <w:tcBorders>
              <w:top w:val="single" w:sz="4" w:space="0" w:color="auto"/>
            </w:tcBorders>
            <w:vAlign w:val="center"/>
          </w:tcPr>
          <w:p w14:paraId="605D5D91" w14:textId="77777777" w:rsidR="000B1302" w:rsidRPr="00883271" w:rsidRDefault="000B1302" w:rsidP="00423EB7">
            <w:pPr>
              <w:pStyle w:val="TableTextRight"/>
            </w:pPr>
            <w:r w:rsidRPr="00883271">
              <w:t>1,423.08</w:t>
            </w:r>
          </w:p>
        </w:tc>
      </w:tr>
      <w:tr w:rsidR="00423EB7" w:rsidRPr="00883271" w14:paraId="6C516027" w14:textId="77777777" w:rsidTr="00110D67">
        <w:trPr>
          <w:cnfStyle w:val="000000100000" w:firstRow="0" w:lastRow="0" w:firstColumn="0" w:lastColumn="0" w:oddVBand="0" w:evenVBand="0" w:oddHBand="1" w:evenHBand="0" w:firstRowFirstColumn="0" w:firstRowLastColumn="0" w:lastRowFirstColumn="0" w:lastRowLastColumn="0"/>
        </w:trPr>
        <w:tc>
          <w:tcPr>
            <w:tcW w:w="1419" w:type="dxa"/>
            <w:vAlign w:val="center"/>
          </w:tcPr>
          <w:p w14:paraId="1559E334" w14:textId="77777777" w:rsidR="000B1302" w:rsidRPr="00883271" w:rsidRDefault="000B1302" w:rsidP="00423EB7">
            <w:pPr>
              <w:pStyle w:val="TableTextLeft"/>
            </w:pPr>
            <w:r w:rsidRPr="00883271">
              <w:t>Mazda</w:t>
            </w:r>
          </w:p>
        </w:tc>
        <w:tc>
          <w:tcPr>
            <w:tcW w:w="779" w:type="dxa"/>
            <w:vAlign w:val="center"/>
          </w:tcPr>
          <w:p w14:paraId="346DF106" w14:textId="77777777" w:rsidR="000B1302" w:rsidRPr="00883271" w:rsidRDefault="000B1302" w:rsidP="00423EB7">
            <w:pPr>
              <w:pStyle w:val="TableTextRight"/>
            </w:pPr>
            <w:r w:rsidRPr="00883271">
              <w:t>19.95</w:t>
            </w:r>
          </w:p>
        </w:tc>
        <w:tc>
          <w:tcPr>
            <w:tcW w:w="779" w:type="dxa"/>
            <w:vAlign w:val="center"/>
          </w:tcPr>
          <w:p w14:paraId="78C43051" w14:textId="77777777" w:rsidR="000B1302" w:rsidRPr="00883271" w:rsidRDefault="000B1302" w:rsidP="00423EB7">
            <w:pPr>
              <w:pStyle w:val="TableTextRight"/>
            </w:pPr>
            <w:r w:rsidRPr="00883271">
              <w:t>46.15</w:t>
            </w:r>
          </w:p>
        </w:tc>
        <w:tc>
          <w:tcPr>
            <w:tcW w:w="993" w:type="dxa"/>
            <w:vAlign w:val="center"/>
          </w:tcPr>
          <w:p w14:paraId="197E9C06" w14:textId="1734962B" w:rsidR="000B1302" w:rsidRPr="00883271" w:rsidRDefault="007B3C6A" w:rsidP="00423EB7">
            <w:pPr>
              <w:pStyle w:val="TableTextRight"/>
            </w:pPr>
            <w:r>
              <w:noBreakHyphen/>
            </w:r>
            <w:r w:rsidR="000B1302" w:rsidRPr="00883271">
              <w:t>26.20</w:t>
            </w:r>
          </w:p>
        </w:tc>
        <w:tc>
          <w:tcPr>
            <w:tcW w:w="708" w:type="dxa"/>
            <w:vAlign w:val="center"/>
          </w:tcPr>
          <w:p w14:paraId="29344AC1" w14:textId="77777777" w:rsidR="000B1302" w:rsidRPr="00883271" w:rsidRDefault="000B1302" w:rsidP="00423EB7">
            <w:pPr>
              <w:pStyle w:val="TableTextRight"/>
            </w:pPr>
            <w:r w:rsidRPr="00883271">
              <w:t>199.00</w:t>
            </w:r>
          </w:p>
        </w:tc>
        <w:tc>
          <w:tcPr>
            <w:tcW w:w="709" w:type="dxa"/>
            <w:vAlign w:val="center"/>
          </w:tcPr>
          <w:p w14:paraId="562486E8" w14:textId="77777777" w:rsidR="000B1302" w:rsidRPr="00883271" w:rsidRDefault="000B1302" w:rsidP="00423EB7">
            <w:pPr>
              <w:pStyle w:val="TableTextRight"/>
            </w:pPr>
            <w:r w:rsidRPr="00883271">
              <w:t>384.62</w:t>
            </w:r>
          </w:p>
        </w:tc>
        <w:tc>
          <w:tcPr>
            <w:tcW w:w="992" w:type="dxa"/>
            <w:vAlign w:val="center"/>
          </w:tcPr>
          <w:p w14:paraId="52586658" w14:textId="3CE40F41" w:rsidR="000B1302" w:rsidRPr="00883271" w:rsidRDefault="007B3C6A" w:rsidP="00423EB7">
            <w:pPr>
              <w:pStyle w:val="TableTextRight"/>
            </w:pPr>
            <w:r>
              <w:noBreakHyphen/>
            </w:r>
            <w:r w:rsidR="000B1302" w:rsidRPr="00883271">
              <w:t>185.62</w:t>
            </w:r>
          </w:p>
        </w:tc>
        <w:tc>
          <w:tcPr>
            <w:tcW w:w="850" w:type="dxa"/>
            <w:vAlign w:val="center"/>
          </w:tcPr>
          <w:p w14:paraId="245B25AC" w14:textId="77777777" w:rsidR="000B1302" w:rsidRPr="00883271" w:rsidRDefault="000B1302" w:rsidP="00423EB7">
            <w:pPr>
              <w:pStyle w:val="TableTextRight"/>
            </w:pPr>
            <w:r w:rsidRPr="00883271">
              <w:t>1,999.00</w:t>
            </w:r>
          </w:p>
        </w:tc>
        <w:tc>
          <w:tcPr>
            <w:tcW w:w="851" w:type="dxa"/>
            <w:vAlign w:val="center"/>
          </w:tcPr>
          <w:p w14:paraId="57C0F9F2" w14:textId="77777777" w:rsidR="000B1302" w:rsidRPr="00883271" w:rsidRDefault="000B1302" w:rsidP="00423EB7">
            <w:pPr>
              <w:pStyle w:val="TableTextRight"/>
            </w:pPr>
            <w:r w:rsidRPr="00883271">
              <w:t>3,461.54</w:t>
            </w:r>
          </w:p>
        </w:tc>
        <w:tc>
          <w:tcPr>
            <w:tcW w:w="992" w:type="dxa"/>
            <w:vAlign w:val="center"/>
          </w:tcPr>
          <w:p w14:paraId="2141972D" w14:textId="2D21C754" w:rsidR="000B1302" w:rsidRPr="00883271" w:rsidRDefault="007B3C6A" w:rsidP="00423EB7">
            <w:pPr>
              <w:pStyle w:val="TableTextRight"/>
            </w:pPr>
            <w:r>
              <w:noBreakHyphen/>
            </w:r>
            <w:r w:rsidR="000B1302" w:rsidRPr="00883271">
              <w:t>1,462.54</w:t>
            </w:r>
          </w:p>
        </w:tc>
      </w:tr>
      <w:tr w:rsidR="00423EB7" w:rsidRPr="00883271" w14:paraId="0A64111C" w14:textId="77777777" w:rsidTr="00110D67">
        <w:trPr>
          <w:cnfStyle w:val="000000010000" w:firstRow="0" w:lastRow="0" w:firstColumn="0" w:lastColumn="0" w:oddVBand="0" w:evenVBand="0" w:oddHBand="0" w:evenHBand="1" w:firstRowFirstColumn="0" w:firstRowLastColumn="0" w:lastRowFirstColumn="0" w:lastRowLastColumn="0"/>
        </w:trPr>
        <w:tc>
          <w:tcPr>
            <w:tcW w:w="1419" w:type="dxa"/>
            <w:vAlign w:val="center"/>
          </w:tcPr>
          <w:p w14:paraId="08E2AAF6" w14:textId="77777777" w:rsidR="000B1302" w:rsidRPr="00883271" w:rsidRDefault="000B1302" w:rsidP="00423EB7">
            <w:pPr>
              <w:pStyle w:val="TableTextLeft"/>
            </w:pPr>
            <w:r w:rsidRPr="00883271">
              <w:t>Hyundai</w:t>
            </w:r>
          </w:p>
        </w:tc>
        <w:tc>
          <w:tcPr>
            <w:tcW w:w="779" w:type="dxa"/>
            <w:vAlign w:val="center"/>
          </w:tcPr>
          <w:p w14:paraId="7AC55D54" w14:textId="77777777" w:rsidR="000B1302" w:rsidRPr="00883271" w:rsidRDefault="000B1302" w:rsidP="00423EB7">
            <w:pPr>
              <w:pStyle w:val="TableTextRight"/>
            </w:pPr>
            <w:r w:rsidRPr="00883271">
              <w:t>18.50</w:t>
            </w:r>
          </w:p>
        </w:tc>
        <w:tc>
          <w:tcPr>
            <w:tcW w:w="779" w:type="dxa"/>
            <w:vAlign w:val="center"/>
          </w:tcPr>
          <w:p w14:paraId="009A680A" w14:textId="77777777" w:rsidR="000B1302" w:rsidRPr="00883271" w:rsidRDefault="000B1302" w:rsidP="00423EB7">
            <w:pPr>
              <w:pStyle w:val="TableTextRight"/>
            </w:pPr>
            <w:r w:rsidRPr="00883271">
              <w:t>61.54</w:t>
            </w:r>
          </w:p>
        </w:tc>
        <w:tc>
          <w:tcPr>
            <w:tcW w:w="993" w:type="dxa"/>
            <w:vAlign w:val="center"/>
          </w:tcPr>
          <w:p w14:paraId="3E95F950" w14:textId="12292694" w:rsidR="000B1302" w:rsidRPr="00883271" w:rsidRDefault="007B3C6A" w:rsidP="00423EB7">
            <w:pPr>
              <w:pStyle w:val="TableTextRight"/>
            </w:pPr>
            <w:r>
              <w:noBreakHyphen/>
            </w:r>
            <w:r w:rsidR="000B1302" w:rsidRPr="00883271">
              <w:t>43.04</w:t>
            </w:r>
          </w:p>
        </w:tc>
        <w:tc>
          <w:tcPr>
            <w:tcW w:w="708" w:type="dxa"/>
            <w:vAlign w:val="center"/>
          </w:tcPr>
          <w:p w14:paraId="1A8A35F4" w14:textId="77777777" w:rsidR="000B1302" w:rsidRPr="00883271" w:rsidRDefault="000B1302" w:rsidP="00423EB7">
            <w:pPr>
              <w:pStyle w:val="TableTextRight"/>
            </w:pPr>
            <w:r w:rsidRPr="00883271">
              <w:t>200.00</w:t>
            </w:r>
          </w:p>
        </w:tc>
        <w:tc>
          <w:tcPr>
            <w:tcW w:w="709" w:type="dxa"/>
            <w:vAlign w:val="center"/>
          </w:tcPr>
          <w:p w14:paraId="43447FF2" w14:textId="77777777" w:rsidR="000B1302" w:rsidRPr="00883271" w:rsidRDefault="000B1302" w:rsidP="00423EB7">
            <w:pPr>
              <w:pStyle w:val="TableTextRight"/>
            </w:pPr>
            <w:r w:rsidRPr="00883271">
              <w:t>92.31</w:t>
            </w:r>
          </w:p>
        </w:tc>
        <w:tc>
          <w:tcPr>
            <w:tcW w:w="992" w:type="dxa"/>
            <w:vAlign w:val="center"/>
          </w:tcPr>
          <w:p w14:paraId="35ED4A7F" w14:textId="77777777" w:rsidR="000B1302" w:rsidRPr="00883271" w:rsidRDefault="000B1302" w:rsidP="00423EB7">
            <w:pPr>
              <w:pStyle w:val="TableTextRight"/>
            </w:pPr>
            <w:r w:rsidRPr="00883271">
              <w:t>107.69</w:t>
            </w:r>
          </w:p>
        </w:tc>
        <w:tc>
          <w:tcPr>
            <w:tcW w:w="850" w:type="dxa"/>
            <w:vAlign w:val="center"/>
          </w:tcPr>
          <w:p w14:paraId="6B4FACF8" w14:textId="77777777" w:rsidR="000B1302" w:rsidRPr="00883271" w:rsidRDefault="000B1302" w:rsidP="00423EB7">
            <w:pPr>
              <w:pStyle w:val="TableTextRight"/>
            </w:pPr>
            <w:r w:rsidRPr="00883271">
              <w:t>2,000.00</w:t>
            </w:r>
          </w:p>
        </w:tc>
        <w:tc>
          <w:tcPr>
            <w:tcW w:w="851" w:type="dxa"/>
            <w:vAlign w:val="center"/>
          </w:tcPr>
          <w:p w14:paraId="6AABA731" w14:textId="77777777" w:rsidR="000B1302" w:rsidRPr="00883271" w:rsidRDefault="000B1302" w:rsidP="00423EB7">
            <w:pPr>
              <w:pStyle w:val="TableTextRight"/>
            </w:pPr>
            <w:r w:rsidRPr="00883271">
              <w:t>923.08</w:t>
            </w:r>
          </w:p>
        </w:tc>
        <w:tc>
          <w:tcPr>
            <w:tcW w:w="992" w:type="dxa"/>
            <w:vAlign w:val="center"/>
          </w:tcPr>
          <w:p w14:paraId="563A01CE" w14:textId="77777777" w:rsidR="000B1302" w:rsidRPr="00883271" w:rsidRDefault="000B1302" w:rsidP="00423EB7">
            <w:pPr>
              <w:pStyle w:val="TableTextRight"/>
            </w:pPr>
            <w:r w:rsidRPr="00883271">
              <w:t>1,076.92</w:t>
            </w:r>
          </w:p>
        </w:tc>
      </w:tr>
      <w:tr w:rsidR="00423EB7" w:rsidRPr="00883271" w14:paraId="01DADC50" w14:textId="77777777" w:rsidTr="00110D67">
        <w:trPr>
          <w:cnfStyle w:val="000000100000" w:firstRow="0" w:lastRow="0" w:firstColumn="0" w:lastColumn="0" w:oddVBand="0" w:evenVBand="0" w:oddHBand="1" w:evenHBand="0" w:firstRowFirstColumn="0" w:firstRowLastColumn="0" w:lastRowFirstColumn="0" w:lastRowLastColumn="0"/>
        </w:trPr>
        <w:tc>
          <w:tcPr>
            <w:tcW w:w="1419" w:type="dxa"/>
            <w:vAlign w:val="center"/>
          </w:tcPr>
          <w:p w14:paraId="3BF10769" w14:textId="77777777" w:rsidR="000B1302" w:rsidRPr="00883271" w:rsidRDefault="000B1302" w:rsidP="00423EB7">
            <w:pPr>
              <w:pStyle w:val="TableTextLeft"/>
            </w:pPr>
            <w:r w:rsidRPr="00883271">
              <w:t>GM (Holden)</w:t>
            </w:r>
          </w:p>
        </w:tc>
        <w:tc>
          <w:tcPr>
            <w:tcW w:w="779" w:type="dxa"/>
            <w:vAlign w:val="center"/>
          </w:tcPr>
          <w:p w14:paraId="28B60F61" w14:textId="77777777" w:rsidR="000B1302" w:rsidRPr="00883271" w:rsidRDefault="000B1302" w:rsidP="00423EB7">
            <w:pPr>
              <w:pStyle w:val="TableTextRight"/>
            </w:pPr>
            <w:r w:rsidRPr="00883271">
              <w:t>28.00</w:t>
            </w:r>
          </w:p>
        </w:tc>
        <w:tc>
          <w:tcPr>
            <w:tcW w:w="779" w:type="dxa"/>
            <w:vAlign w:val="center"/>
          </w:tcPr>
          <w:p w14:paraId="6B78B39C" w14:textId="77777777" w:rsidR="000B1302" w:rsidRPr="00883271" w:rsidRDefault="000B1302" w:rsidP="00423EB7">
            <w:pPr>
              <w:pStyle w:val="TableTextRight"/>
            </w:pPr>
            <w:r w:rsidRPr="00883271">
              <w:t>33.85</w:t>
            </w:r>
          </w:p>
        </w:tc>
        <w:tc>
          <w:tcPr>
            <w:tcW w:w="993" w:type="dxa"/>
            <w:vAlign w:val="center"/>
          </w:tcPr>
          <w:p w14:paraId="108F4A6E" w14:textId="238A17EB" w:rsidR="000B1302" w:rsidRPr="00883271" w:rsidRDefault="007B3C6A" w:rsidP="00423EB7">
            <w:pPr>
              <w:pStyle w:val="TableTextRight"/>
            </w:pPr>
            <w:r>
              <w:noBreakHyphen/>
            </w:r>
            <w:r w:rsidR="000B1302" w:rsidRPr="00883271">
              <w:t>5.85</w:t>
            </w:r>
          </w:p>
        </w:tc>
        <w:tc>
          <w:tcPr>
            <w:tcW w:w="708" w:type="dxa"/>
            <w:vAlign w:val="center"/>
          </w:tcPr>
          <w:p w14:paraId="64272105" w14:textId="77777777" w:rsidR="000B1302" w:rsidRPr="00883271" w:rsidRDefault="000B1302" w:rsidP="00423EB7">
            <w:pPr>
              <w:pStyle w:val="TableTextRight"/>
            </w:pPr>
            <w:r w:rsidRPr="00883271">
              <w:t>206.00</w:t>
            </w:r>
          </w:p>
        </w:tc>
        <w:tc>
          <w:tcPr>
            <w:tcW w:w="709" w:type="dxa"/>
            <w:vAlign w:val="center"/>
          </w:tcPr>
          <w:p w14:paraId="4C2AAC76" w14:textId="77777777" w:rsidR="000B1302" w:rsidRPr="00883271" w:rsidRDefault="000B1302" w:rsidP="00423EB7">
            <w:pPr>
              <w:pStyle w:val="TableTextRight"/>
            </w:pPr>
            <w:r w:rsidRPr="00883271">
              <w:t>258.46</w:t>
            </w:r>
          </w:p>
        </w:tc>
        <w:tc>
          <w:tcPr>
            <w:tcW w:w="992" w:type="dxa"/>
            <w:vAlign w:val="center"/>
          </w:tcPr>
          <w:p w14:paraId="1C26F712" w14:textId="1F787C50" w:rsidR="000B1302" w:rsidRPr="00883271" w:rsidRDefault="007B3C6A" w:rsidP="00423EB7">
            <w:pPr>
              <w:pStyle w:val="TableTextRight"/>
            </w:pPr>
            <w:r>
              <w:noBreakHyphen/>
            </w:r>
            <w:r w:rsidR="000B1302" w:rsidRPr="00883271">
              <w:t>52.46</w:t>
            </w:r>
          </w:p>
        </w:tc>
        <w:tc>
          <w:tcPr>
            <w:tcW w:w="850" w:type="dxa"/>
            <w:vAlign w:val="center"/>
          </w:tcPr>
          <w:p w14:paraId="1DE13CF7" w14:textId="77777777" w:rsidR="000B1302" w:rsidRPr="00883271" w:rsidRDefault="000B1302" w:rsidP="00423EB7">
            <w:pPr>
              <w:pStyle w:val="TableTextRight"/>
            </w:pPr>
            <w:r w:rsidRPr="00883271">
              <w:t>1,642.00</w:t>
            </w:r>
          </w:p>
        </w:tc>
        <w:tc>
          <w:tcPr>
            <w:tcW w:w="851" w:type="dxa"/>
            <w:vAlign w:val="center"/>
          </w:tcPr>
          <w:p w14:paraId="64EC97E2" w14:textId="77777777" w:rsidR="000B1302" w:rsidRPr="00883271" w:rsidRDefault="000B1302" w:rsidP="00423EB7">
            <w:pPr>
              <w:pStyle w:val="TableTextRight"/>
            </w:pPr>
            <w:r w:rsidRPr="00883271">
              <w:t>2,067.69</w:t>
            </w:r>
          </w:p>
        </w:tc>
        <w:tc>
          <w:tcPr>
            <w:tcW w:w="992" w:type="dxa"/>
            <w:vAlign w:val="center"/>
          </w:tcPr>
          <w:p w14:paraId="638BB63B" w14:textId="4AFFC490" w:rsidR="000B1302" w:rsidRPr="00883271" w:rsidRDefault="007B3C6A" w:rsidP="00423EB7">
            <w:pPr>
              <w:pStyle w:val="TableTextRight"/>
            </w:pPr>
            <w:r>
              <w:noBreakHyphen/>
            </w:r>
            <w:r w:rsidR="000B1302" w:rsidRPr="00883271">
              <w:t>425.69</w:t>
            </w:r>
          </w:p>
        </w:tc>
      </w:tr>
      <w:tr w:rsidR="00423EB7" w:rsidRPr="00883271" w14:paraId="2D34F3C2" w14:textId="77777777" w:rsidTr="00110D67">
        <w:trPr>
          <w:cnfStyle w:val="000000010000" w:firstRow="0" w:lastRow="0" w:firstColumn="0" w:lastColumn="0" w:oddVBand="0" w:evenVBand="0" w:oddHBand="0" w:evenHBand="1" w:firstRowFirstColumn="0" w:firstRowLastColumn="0" w:lastRowFirstColumn="0" w:lastRowLastColumn="0"/>
        </w:trPr>
        <w:tc>
          <w:tcPr>
            <w:tcW w:w="1419" w:type="dxa"/>
            <w:vAlign w:val="center"/>
          </w:tcPr>
          <w:p w14:paraId="4442AB99" w14:textId="77777777" w:rsidR="000B1302" w:rsidRPr="00883271" w:rsidRDefault="000B1302" w:rsidP="00423EB7">
            <w:pPr>
              <w:pStyle w:val="TableTextLeft"/>
            </w:pPr>
            <w:r w:rsidRPr="00883271">
              <w:t>Mitsubishi</w:t>
            </w:r>
          </w:p>
        </w:tc>
        <w:tc>
          <w:tcPr>
            <w:tcW w:w="779" w:type="dxa"/>
            <w:vAlign w:val="center"/>
          </w:tcPr>
          <w:p w14:paraId="4CBDF1D0" w14:textId="77777777" w:rsidR="000B1302" w:rsidRPr="00883271" w:rsidRDefault="000B1302" w:rsidP="00423EB7">
            <w:pPr>
              <w:pStyle w:val="TableTextRight"/>
            </w:pPr>
            <w:r w:rsidRPr="00883271">
              <w:t>35.00</w:t>
            </w:r>
          </w:p>
        </w:tc>
        <w:tc>
          <w:tcPr>
            <w:tcW w:w="779" w:type="dxa"/>
            <w:vAlign w:val="center"/>
          </w:tcPr>
          <w:p w14:paraId="2DF29241" w14:textId="77777777" w:rsidR="000B1302" w:rsidRPr="00883271" w:rsidRDefault="000B1302" w:rsidP="00423EB7">
            <w:pPr>
              <w:pStyle w:val="TableTextRight"/>
            </w:pPr>
            <w:r w:rsidRPr="00883271">
              <w:t>30.77</w:t>
            </w:r>
          </w:p>
        </w:tc>
        <w:tc>
          <w:tcPr>
            <w:tcW w:w="993" w:type="dxa"/>
            <w:vAlign w:val="center"/>
          </w:tcPr>
          <w:p w14:paraId="4DE18B59" w14:textId="77777777" w:rsidR="000B1302" w:rsidRPr="00883271" w:rsidRDefault="000B1302" w:rsidP="00423EB7">
            <w:pPr>
              <w:pStyle w:val="TableTextRight"/>
            </w:pPr>
            <w:r w:rsidRPr="00883271">
              <w:t>4.23</w:t>
            </w:r>
          </w:p>
        </w:tc>
        <w:tc>
          <w:tcPr>
            <w:tcW w:w="708" w:type="dxa"/>
            <w:vAlign w:val="center"/>
          </w:tcPr>
          <w:p w14:paraId="60ABB6F6" w14:textId="77777777" w:rsidR="000B1302" w:rsidRPr="00883271" w:rsidRDefault="000B1302" w:rsidP="00423EB7">
            <w:pPr>
              <w:pStyle w:val="TableTextRight"/>
            </w:pPr>
            <w:r w:rsidRPr="00883271">
              <w:t>490.00</w:t>
            </w:r>
          </w:p>
        </w:tc>
        <w:tc>
          <w:tcPr>
            <w:tcW w:w="709" w:type="dxa"/>
            <w:vAlign w:val="center"/>
          </w:tcPr>
          <w:p w14:paraId="3696EF35" w14:textId="77777777" w:rsidR="000B1302" w:rsidRPr="00883271" w:rsidRDefault="000B1302" w:rsidP="00423EB7">
            <w:pPr>
              <w:pStyle w:val="TableTextRight"/>
            </w:pPr>
            <w:r w:rsidRPr="00883271">
              <w:t>384.62</w:t>
            </w:r>
          </w:p>
        </w:tc>
        <w:tc>
          <w:tcPr>
            <w:tcW w:w="992" w:type="dxa"/>
            <w:vAlign w:val="center"/>
          </w:tcPr>
          <w:p w14:paraId="5763970C" w14:textId="77777777" w:rsidR="000B1302" w:rsidRPr="00883271" w:rsidRDefault="000B1302" w:rsidP="00423EB7">
            <w:pPr>
              <w:pStyle w:val="TableTextRight"/>
            </w:pPr>
            <w:r w:rsidRPr="00883271">
              <w:t>105.38</w:t>
            </w:r>
          </w:p>
        </w:tc>
        <w:tc>
          <w:tcPr>
            <w:tcW w:w="850" w:type="dxa"/>
            <w:vAlign w:val="center"/>
          </w:tcPr>
          <w:p w14:paraId="22A69C8D" w14:textId="77777777" w:rsidR="000B1302" w:rsidRPr="00883271" w:rsidRDefault="000B1302" w:rsidP="00423EB7">
            <w:pPr>
              <w:pStyle w:val="TableTextRight"/>
            </w:pPr>
            <w:r w:rsidRPr="00883271">
              <w:t>5,106.00</w:t>
            </w:r>
          </w:p>
        </w:tc>
        <w:tc>
          <w:tcPr>
            <w:tcW w:w="851" w:type="dxa"/>
            <w:vAlign w:val="center"/>
          </w:tcPr>
          <w:p w14:paraId="6CD083FE" w14:textId="77777777" w:rsidR="000B1302" w:rsidRPr="00883271" w:rsidRDefault="000B1302" w:rsidP="00423EB7">
            <w:pPr>
              <w:pStyle w:val="TableTextRight"/>
            </w:pPr>
            <w:r w:rsidRPr="00883271">
              <w:t>2,307.69</w:t>
            </w:r>
          </w:p>
        </w:tc>
        <w:tc>
          <w:tcPr>
            <w:tcW w:w="992" w:type="dxa"/>
            <w:vAlign w:val="center"/>
          </w:tcPr>
          <w:p w14:paraId="16649F03" w14:textId="77777777" w:rsidR="000B1302" w:rsidRPr="00883271" w:rsidRDefault="000B1302" w:rsidP="00423EB7">
            <w:pPr>
              <w:pStyle w:val="TableTextRight"/>
            </w:pPr>
            <w:r w:rsidRPr="00883271">
              <w:t>2,798.31</w:t>
            </w:r>
          </w:p>
        </w:tc>
      </w:tr>
      <w:tr w:rsidR="00423EB7" w:rsidRPr="00883271" w14:paraId="29647B75" w14:textId="77777777" w:rsidTr="00110D67">
        <w:trPr>
          <w:cnfStyle w:val="000000100000" w:firstRow="0" w:lastRow="0" w:firstColumn="0" w:lastColumn="0" w:oddVBand="0" w:evenVBand="0" w:oddHBand="1" w:evenHBand="0" w:firstRowFirstColumn="0" w:firstRowLastColumn="0" w:lastRowFirstColumn="0" w:lastRowLastColumn="0"/>
        </w:trPr>
        <w:tc>
          <w:tcPr>
            <w:tcW w:w="1419" w:type="dxa"/>
            <w:vAlign w:val="center"/>
          </w:tcPr>
          <w:p w14:paraId="63781FC2" w14:textId="77777777" w:rsidR="000B1302" w:rsidRPr="00883271" w:rsidRDefault="000B1302" w:rsidP="00423EB7">
            <w:pPr>
              <w:pStyle w:val="TableTextLeft"/>
            </w:pPr>
            <w:r w:rsidRPr="00883271">
              <w:t>Ford</w:t>
            </w:r>
          </w:p>
        </w:tc>
        <w:tc>
          <w:tcPr>
            <w:tcW w:w="779" w:type="dxa"/>
            <w:vAlign w:val="center"/>
          </w:tcPr>
          <w:p w14:paraId="12673DDB" w14:textId="77777777" w:rsidR="000B1302" w:rsidRPr="00883271" w:rsidRDefault="000B1302" w:rsidP="00423EB7">
            <w:pPr>
              <w:pStyle w:val="TableTextRight"/>
            </w:pPr>
            <w:r w:rsidRPr="00883271">
              <w:t>33.77</w:t>
            </w:r>
          </w:p>
        </w:tc>
        <w:tc>
          <w:tcPr>
            <w:tcW w:w="779" w:type="dxa"/>
            <w:vAlign w:val="center"/>
          </w:tcPr>
          <w:p w14:paraId="1DBCAF03" w14:textId="77777777" w:rsidR="000B1302" w:rsidRPr="00883271" w:rsidRDefault="000B1302" w:rsidP="00423EB7">
            <w:pPr>
              <w:pStyle w:val="TableTextRight"/>
            </w:pPr>
            <w:r w:rsidRPr="00883271">
              <w:t>40.00</w:t>
            </w:r>
          </w:p>
        </w:tc>
        <w:tc>
          <w:tcPr>
            <w:tcW w:w="993" w:type="dxa"/>
            <w:vAlign w:val="center"/>
          </w:tcPr>
          <w:p w14:paraId="6A92BF42" w14:textId="054B0565" w:rsidR="000B1302" w:rsidRPr="00883271" w:rsidRDefault="007B3C6A" w:rsidP="00423EB7">
            <w:pPr>
              <w:pStyle w:val="TableTextRight"/>
            </w:pPr>
            <w:r>
              <w:noBreakHyphen/>
            </w:r>
            <w:r w:rsidR="000B1302" w:rsidRPr="00883271">
              <w:t>6.23</w:t>
            </w:r>
          </w:p>
        </w:tc>
        <w:tc>
          <w:tcPr>
            <w:tcW w:w="708" w:type="dxa"/>
            <w:vAlign w:val="center"/>
          </w:tcPr>
          <w:p w14:paraId="1AC03785" w14:textId="77777777" w:rsidR="000B1302" w:rsidRPr="00883271" w:rsidRDefault="000B1302" w:rsidP="00423EB7">
            <w:pPr>
              <w:pStyle w:val="TableTextRight"/>
            </w:pPr>
            <w:r w:rsidRPr="00883271">
              <w:t>499.92</w:t>
            </w:r>
          </w:p>
        </w:tc>
        <w:tc>
          <w:tcPr>
            <w:tcW w:w="709" w:type="dxa"/>
            <w:vAlign w:val="center"/>
          </w:tcPr>
          <w:p w14:paraId="5B1EBC69" w14:textId="77777777" w:rsidR="000B1302" w:rsidRPr="00883271" w:rsidRDefault="000B1302" w:rsidP="00423EB7">
            <w:pPr>
              <w:pStyle w:val="TableTextRight"/>
            </w:pPr>
            <w:r w:rsidRPr="00883271">
              <w:t>524.62</w:t>
            </w:r>
          </w:p>
        </w:tc>
        <w:tc>
          <w:tcPr>
            <w:tcW w:w="992" w:type="dxa"/>
            <w:vAlign w:val="center"/>
          </w:tcPr>
          <w:p w14:paraId="452EF2D8" w14:textId="5D241BED" w:rsidR="000B1302" w:rsidRPr="00883271" w:rsidRDefault="007B3C6A" w:rsidP="00423EB7">
            <w:pPr>
              <w:pStyle w:val="TableTextRight"/>
            </w:pPr>
            <w:r>
              <w:noBreakHyphen/>
            </w:r>
            <w:r w:rsidR="000B1302" w:rsidRPr="00883271">
              <w:t>24.70</w:t>
            </w:r>
          </w:p>
        </w:tc>
        <w:tc>
          <w:tcPr>
            <w:tcW w:w="850" w:type="dxa"/>
            <w:vAlign w:val="center"/>
          </w:tcPr>
          <w:p w14:paraId="3527151F" w14:textId="77777777" w:rsidR="000B1302" w:rsidRPr="00883271" w:rsidRDefault="000B1302" w:rsidP="00423EB7">
            <w:pPr>
              <w:pStyle w:val="TableTextRight"/>
            </w:pPr>
            <w:r w:rsidRPr="00883271">
              <w:t>4,153.77</w:t>
            </w:r>
          </w:p>
        </w:tc>
        <w:tc>
          <w:tcPr>
            <w:tcW w:w="851" w:type="dxa"/>
            <w:vAlign w:val="center"/>
          </w:tcPr>
          <w:p w14:paraId="37621922" w14:textId="77777777" w:rsidR="000B1302" w:rsidRPr="00883271" w:rsidRDefault="000B1302" w:rsidP="00423EB7">
            <w:pPr>
              <w:pStyle w:val="TableTextRight"/>
            </w:pPr>
            <w:r w:rsidRPr="00883271">
              <w:t>4,361.54</w:t>
            </w:r>
          </w:p>
        </w:tc>
        <w:tc>
          <w:tcPr>
            <w:tcW w:w="992" w:type="dxa"/>
            <w:vAlign w:val="center"/>
          </w:tcPr>
          <w:p w14:paraId="496B0325" w14:textId="1C11943C" w:rsidR="000B1302" w:rsidRPr="00883271" w:rsidRDefault="007B3C6A" w:rsidP="00423EB7">
            <w:pPr>
              <w:pStyle w:val="TableTextRight"/>
            </w:pPr>
            <w:r>
              <w:noBreakHyphen/>
            </w:r>
            <w:r w:rsidR="000B1302" w:rsidRPr="00883271">
              <w:t>207.77</w:t>
            </w:r>
          </w:p>
        </w:tc>
      </w:tr>
      <w:tr w:rsidR="00423EB7" w:rsidRPr="00883271" w14:paraId="4BD7A29B" w14:textId="77777777" w:rsidTr="00110D67">
        <w:trPr>
          <w:cnfStyle w:val="000000010000" w:firstRow="0" w:lastRow="0" w:firstColumn="0" w:lastColumn="0" w:oddVBand="0" w:evenVBand="0" w:oddHBand="0" w:evenHBand="1" w:firstRowFirstColumn="0" w:firstRowLastColumn="0" w:lastRowFirstColumn="0" w:lastRowLastColumn="0"/>
        </w:trPr>
        <w:tc>
          <w:tcPr>
            <w:tcW w:w="1419" w:type="dxa"/>
            <w:vAlign w:val="center"/>
          </w:tcPr>
          <w:p w14:paraId="0EE10941" w14:textId="77777777" w:rsidR="000B1302" w:rsidRPr="00883271" w:rsidRDefault="000B1302" w:rsidP="00423EB7">
            <w:pPr>
              <w:pStyle w:val="TableTextLeft"/>
            </w:pPr>
            <w:r w:rsidRPr="00883271">
              <w:t>Nissan</w:t>
            </w:r>
          </w:p>
        </w:tc>
        <w:tc>
          <w:tcPr>
            <w:tcW w:w="779" w:type="dxa"/>
            <w:vAlign w:val="center"/>
          </w:tcPr>
          <w:p w14:paraId="6A2CBC9B" w14:textId="77777777" w:rsidR="000B1302" w:rsidRPr="00883271" w:rsidRDefault="000B1302" w:rsidP="00423EB7">
            <w:pPr>
              <w:pStyle w:val="TableTextRight"/>
            </w:pPr>
            <w:r w:rsidRPr="00883271">
              <w:t>49.95</w:t>
            </w:r>
          </w:p>
        </w:tc>
        <w:tc>
          <w:tcPr>
            <w:tcW w:w="779" w:type="dxa"/>
            <w:vAlign w:val="center"/>
          </w:tcPr>
          <w:p w14:paraId="514C76C6" w14:textId="77777777" w:rsidR="000B1302" w:rsidRPr="00883271" w:rsidRDefault="000B1302" w:rsidP="00423EB7">
            <w:pPr>
              <w:pStyle w:val="TableTextRight"/>
            </w:pPr>
            <w:r w:rsidRPr="00883271">
              <w:t>53.85</w:t>
            </w:r>
          </w:p>
        </w:tc>
        <w:tc>
          <w:tcPr>
            <w:tcW w:w="993" w:type="dxa"/>
            <w:vAlign w:val="center"/>
          </w:tcPr>
          <w:p w14:paraId="7D757C6B" w14:textId="1DBF6888" w:rsidR="000B1302" w:rsidRPr="00883271" w:rsidRDefault="007B3C6A" w:rsidP="00423EB7">
            <w:pPr>
              <w:pStyle w:val="TableTextRight"/>
            </w:pPr>
            <w:r>
              <w:noBreakHyphen/>
            </w:r>
            <w:r w:rsidR="000B1302" w:rsidRPr="00883271">
              <w:t>3.90</w:t>
            </w:r>
          </w:p>
        </w:tc>
        <w:tc>
          <w:tcPr>
            <w:tcW w:w="708" w:type="dxa"/>
            <w:vAlign w:val="center"/>
          </w:tcPr>
          <w:p w14:paraId="1F3303B1" w14:textId="77777777" w:rsidR="000B1302" w:rsidRPr="00883271" w:rsidRDefault="000B1302" w:rsidP="00423EB7">
            <w:pPr>
              <w:pStyle w:val="TableTextRight"/>
            </w:pPr>
            <w:r w:rsidRPr="00883271">
              <w:t>495.00</w:t>
            </w:r>
          </w:p>
        </w:tc>
        <w:tc>
          <w:tcPr>
            <w:tcW w:w="709" w:type="dxa"/>
            <w:vAlign w:val="center"/>
          </w:tcPr>
          <w:p w14:paraId="032169A8" w14:textId="77777777" w:rsidR="000B1302" w:rsidRPr="00883271" w:rsidRDefault="000B1302" w:rsidP="00423EB7">
            <w:pPr>
              <w:pStyle w:val="TableTextRight"/>
            </w:pPr>
            <w:r w:rsidRPr="00883271">
              <w:t>207.69</w:t>
            </w:r>
          </w:p>
        </w:tc>
        <w:tc>
          <w:tcPr>
            <w:tcW w:w="992" w:type="dxa"/>
            <w:vAlign w:val="center"/>
          </w:tcPr>
          <w:p w14:paraId="33DF0908" w14:textId="77777777" w:rsidR="000B1302" w:rsidRPr="00883271" w:rsidRDefault="000B1302" w:rsidP="00423EB7">
            <w:pPr>
              <w:pStyle w:val="TableTextRight"/>
            </w:pPr>
            <w:r w:rsidRPr="00883271">
              <w:t>287.31</w:t>
            </w:r>
          </w:p>
        </w:tc>
        <w:tc>
          <w:tcPr>
            <w:tcW w:w="850" w:type="dxa"/>
            <w:vAlign w:val="center"/>
          </w:tcPr>
          <w:p w14:paraId="0E6A37D3" w14:textId="77777777" w:rsidR="000B1302" w:rsidRPr="00883271" w:rsidRDefault="000B1302" w:rsidP="00423EB7">
            <w:pPr>
              <w:pStyle w:val="TableTextRight"/>
            </w:pPr>
            <w:r w:rsidRPr="00883271">
              <w:t>2,995.00</w:t>
            </w:r>
          </w:p>
        </w:tc>
        <w:tc>
          <w:tcPr>
            <w:tcW w:w="851" w:type="dxa"/>
            <w:vAlign w:val="center"/>
          </w:tcPr>
          <w:p w14:paraId="1BEC61D0" w14:textId="77777777" w:rsidR="000B1302" w:rsidRPr="00883271" w:rsidRDefault="000B1302" w:rsidP="00423EB7">
            <w:pPr>
              <w:pStyle w:val="TableTextRight"/>
            </w:pPr>
            <w:r w:rsidRPr="00883271">
              <w:t>1,923.08</w:t>
            </w:r>
          </w:p>
        </w:tc>
        <w:tc>
          <w:tcPr>
            <w:tcW w:w="992" w:type="dxa"/>
            <w:vAlign w:val="center"/>
          </w:tcPr>
          <w:p w14:paraId="567118F7" w14:textId="77777777" w:rsidR="000B1302" w:rsidRPr="00883271" w:rsidRDefault="000B1302" w:rsidP="00423EB7">
            <w:pPr>
              <w:pStyle w:val="TableTextRight"/>
            </w:pPr>
            <w:r w:rsidRPr="00883271">
              <w:t>1,071.92</w:t>
            </w:r>
          </w:p>
        </w:tc>
      </w:tr>
      <w:tr w:rsidR="00423EB7" w:rsidRPr="00883271" w14:paraId="6D6CCC50" w14:textId="77777777" w:rsidTr="00110D67">
        <w:trPr>
          <w:cnfStyle w:val="000000100000" w:firstRow="0" w:lastRow="0" w:firstColumn="0" w:lastColumn="0" w:oddVBand="0" w:evenVBand="0" w:oddHBand="1" w:evenHBand="0" w:firstRowFirstColumn="0" w:firstRowLastColumn="0" w:lastRowFirstColumn="0" w:lastRowLastColumn="0"/>
        </w:trPr>
        <w:tc>
          <w:tcPr>
            <w:tcW w:w="1419" w:type="dxa"/>
            <w:vAlign w:val="center"/>
          </w:tcPr>
          <w:p w14:paraId="2A85FD36" w14:textId="77777777" w:rsidR="000B1302" w:rsidRPr="00883271" w:rsidRDefault="000B1302" w:rsidP="00423EB7">
            <w:pPr>
              <w:pStyle w:val="TableTextLeft"/>
            </w:pPr>
            <w:r w:rsidRPr="00883271">
              <w:t>Subaru</w:t>
            </w:r>
          </w:p>
        </w:tc>
        <w:tc>
          <w:tcPr>
            <w:tcW w:w="779" w:type="dxa"/>
            <w:vAlign w:val="center"/>
          </w:tcPr>
          <w:p w14:paraId="714FBF7B" w14:textId="77777777" w:rsidR="000B1302" w:rsidRPr="00883271" w:rsidRDefault="000B1302" w:rsidP="00423EB7">
            <w:pPr>
              <w:pStyle w:val="TableTextRight"/>
            </w:pPr>
            <w:r w:rsidRPr="00883271">
              <w:t>35.00</w:t>
            </w:r>
          </w:p>
        </w:tc>
        <w:tc>
          <w:tcPr>
            <w:tcW w:w="779" w:type="dxa"/>
            <w:vAlign w:val="center"/>
          </w:tcPr>
          <w:p w14:paraId="1B71BABC" w14:textId="77777777" w:rsidR="000B1302" w:rsidRPr="00883271" w:rsidRDefault="000B1302" w:rsidP="00423EB7">
            <w:pPr>
              <w:pStyle w:val="TableTextRight"/>
            </w:pPr>
            <w:r w:rsidRPr="00883271">
              <w:t>53.85</w:t>
            </w:r>
          </w:p>
        </w:tc>
        <w:tc>
          <w:tcPr>
            <w:tcW w:w="993" w:type="dxa"/>
            <w:vAlign w:val="center"/>
          </w:tcPr>
          <w:p w14:paraId="75158B3F" w14:textId="22E81404" w:rsidR="000B1302" w:rsidRPr="00883271" w:rsidRDefault="007B3C6A" w:rsidP="00423EB7">
            <w:pPr>
              <w:pStyle w:val="TableTextRight"/>
            </w:pPr>
            <w:r>
              <w:noBreakHyphen/>
            </w:r>
            <w:r w:rsidR="000B1302" w:rsidRPr="00883271">
              <w:t>18.85</w:t>
            </w:r>
          </w:p>
        </w:tc>
        <w:tc>
          <w:tcPr>
            <w:tcW w:w="708" w:type="dxa"/>
            <w:vAlign w:val="center"/>
          </w:tcPr>
          <w:p w14:paraId="568BDEA1" w14:textId="77777777" w:rsidR="000B1302" w:rsidRPr="00883271" w:rsidRDefault="000B1302" w:rsidP="00423EB7">
            <w:pPr>
              <w:pStyle w:val="TableTextRight"/>
            </w:pPr>
            <w:r w:rsidRPr="00883271">
              <w:t>249.00</w:t>
            </w:r>
          </w:p>
        </w:tc>
        <w:tc>
          <w:tcPr>
            <w:tcW w:w="709" w:type="dxa"/>
            <w:vAlign w:val="center"/>
          </w:tcPr>
          <w:p w14:paraId="4EE8B24F" w14:textId="77777777" w:rsidR="000B1302" w:rsidRPr="00883271" w:rsidRDefault="000B1302" w:rsidP="00423EB7">
            <w:pPr>
              <w:pStyle w:val="TableTextRight"/>
            </w:pPr>
            <w:r w:rsidRPr="00883271">
              <w:t>461.54</w:t>
            </w:r>
          </w:p>
        </w:tc>
        <w:tc>
          <w:tcPr>
            <w:tcW w:w="992" w:type="dxa"/>
            <w:vAlign w:val="center"/>
          </w:tcPr>
          <w:p w14:paraId="500D6926" w14:textId="1667E82F" w:rsidR="000B1302" w:rsidRPr="00883271" w:rsidRDefault="007B3C6A" w:rsidP="00423EB7">
            <w:pPr>
              <w:pStyle w:val="TableTextRight"/>
            </w:pPr>
            <w:r>
              <w:noBreakHyphen/>
            </w:r>
            <w:r w:rsidR="000B1302" w:rsidRPr="00883271">
              <w:t>212.54</w:t>
            </w:r>
          </w:p>
        </w:tc>
        <w:tc>
          <w:tcPr>
            <w:tcW w:w="850" w:type="dxa"/>
            <w:vAlign w:val="center"/>
          </w:tcPr>
          <w:p w14:paraId="2D87B896" w14:textId="77777777" w:rsidR="000B1302" w:rsidRPr="00883271" w:rsidRDefault="000B1302" w:rsidP="00423EB7">
            <w:pPr>
              <w:pStyle w:val="TableTextRight"/>
            </w:pPr>
            <w:r w:rsidRPr="00883271">
              <w:t>1,949.00</w:t>
            </w:r>
          </w:p>
        </w:tc>
        <w:tc>
          <w:tcPr>
            <w:tcW w:w="851" w:type="dxa"/>
            <w:vAlign w:val="center"/>
          </w:tcPr>
          <w:p w14:paraId="4AC12DE8" w14:textId="77777777" w:rsidR="000B1302" w:rsidRPr="00883271" w:rsidRDefault="000B1302" w:rsidP="00423EB7">
            <w:pPr>
              <w:pStyle w:val="TableTextRight"/>
            </w:pPr>
            <w:r w:rsidRPr="00883271">
              <w:t>3,846.15</w:t>
            </w:r>
          </w:p>
        </w:tc>
        <w:tc>
          <w:tcPr>
            <w:tcW w:w="992" w:type="dxa"/>
            <w:vAlign w:val="center"/>
          </w:tcPr>
          <w:p w14:paraId="700AE7D5" w14:textId="4617189E" w:rsidR="000B1302" w:rsidRPr="00883271" w:rsidRDefault="007B3C6A" w:rsidP="00423EB7">
            <w:pPr>
              <w:pStyle w:val="TableTextRight"/>
            </w:pPr>
            <w:r>
              <w:noBreakHyphen/>
            </w:r>
            <w:r w:rsidR="000B1302" w:rsidRPr="00883271">
              <w:t>1,897.15</w:t>
            </w:r>
          </w:p>
        </w:tc>
      </w:tr>
      <w:tr w:rsidR="00423EB7" w:rsidRPr="00883271" w14:paraId="6F1BFF80" w14:textId="77777777" w:rsidTr="00110D67">
        <w:trPr>
          <w:cnfStyle w:val="000000010000" w:firstRow="0" w:lastRow="0" w:firstColumn="0" w:lastColumn="0" w:oddVBand="0" w:evenVBand="0" w:oddHBand="0" w:evenHBand="1" w:firstRowFirstColumn="0" w:firstRowLastColumn="0" w:lastRowFirstColumn="0" w:lastRowLastColumn="0"/>
        </w:trPr>
        <w:tc>
          <w:tcPr>
            <w:tcW w:w="1419" w:type="dxa"/>
            <w:vAlign w:val="center"/>
          </w:tcPr>
          <w:p w14:paraId="01E715AC" w14:textId="77777777" w:rsidR="000B1302" w:rsidRPr="00883271" w:rsidRDefault="000B1302" w:rsidP="00423EB7">
            <w:pPr>
              <w:pStyle w:val="TableTextLeft"/>
            </w:pPr>
            <w:r w:rsidRPr="00883271">
              <w:t>Kia</w:t>
            </w:r>
          </w:p>
        </w:tc>
        <w:tc>
          <w:tcPr>
            <w:tcW w:w="779" w:type="dxa"/>
            <w:vAlign w:val="center"/>
          </w:tcPr>
          <w:p w14:paraId="19371DA9" w14:textId="77777777" w:rsidR="000B1302" w:rsidRPr="00883271" w:rsidRDefault="000B1302" w:rsidP="00423EB7">
            <w:pPr>
              <w:pStyle w:val="TableTextRight"/>
            </w:pPr>
            <w:r w:rsidRPr="00883271">
              <w:t>25.00</w:t>
            </w:r>
          </w:p>
        </w:tc>
        <w:tc>
          <w:tcPr>
            <w:tcW w:w="779" w:type="dxa"/>
            <w:vAlign w:val="center"/>
          </w:tcPr>
          <w:p w14:paraId="72799C62" w14:textId="77777777" w:rsidR="000B1302" w:rsidRPr="00883271" w:rsidRDefault="000B1302" w:rsidP="00423EB7">
            <w:pPr>
              <w:pStyle w:val="TableTextRight"/>
            </w:pPr>
            <w:r w:rsidRPr="00883271">
              <w:t>30.77</w:t>
            </w:r>
          </w:p>
        </w:tc>
        <w:tc>
          <w:tcPr>
            <w:tcW w:w="993" w:type="dxa"/>
            <w:vAlign w:val="center"/>
          </w:tcPr>
          <w:p w14:paraId="3E715117" w14:textId="60E59154" w:rsidR="000B1302" w:rsidRPr="00883271" w:rsidRDefault="007B3C6A" w:rsidP="00423EB7">
            <w:pPr>
              <w:pStyle w:val="TableTextRight"/>
            </w:pPr>
            <w:r>
              <w:noBreakHyphen/>
            </w:r>
            <w:r w:rsidR="000B1302" w:rsidRPr="00883271">
              <w:t>5.77</w:t>
            </w:r>
          </w:p>
        </w:tc>
        <w:tc>
          <w:tcPr>
            <w:tcW w:w="708" w:type="dxa"/>
            <w:vAlign w:val="center"/>
          </w:tcPr>
          <w:p w14:paraId="1C40B201" w14:textId="77777777" w:rsidR="000B1302" w:rsidRPr="00883271" w:rsidRDefault="000B1302" w:rsidP="00423EB7">
            <w:pPr>
              <w:pStyle w:val="TableTextRight"/>
            </w:pPr>
            <w:r w:rsidRPr="00883271">
              <w:t>275.00</w:t>
            </w:r>
          </w:p>
        </w:tc>
        <w:tc>
          <w:tcPr>
            <w:tcW w:w="709" w:type="dxa"/>
            <w:vAlign w:val="center"/>
          </w:tcPr>
          <w:p w14:paraId="78F9913F" w14:textId="77777777" w:rsidR="000B1302" w:rsidRPr="00883271" w:rsidRDefault="000B1302" w:rsidP="00423EB7">
            <w:pPr>
              <w:pStyle w:val="TableTextRight"/>
            </w:pPr>
            <w:r w:rsidRPr="00883271">
              <w:t>230.77</w:t>
            </w:r>
          </w:p>
        </w:tc>
        <w:tc>
          <w:tcPr>
            <w:tcW w:w="992" w:type="dxa"/>
            <w:vAlign w:val="center"/>
          </w:tcPr>
          <w:p w14:paraId="194629A1" w14:textId="77777777" w:rsidR="000B1302" w:rsidRPr="00883271" w:rsidRDefault="000B1302" w:rsidP="00423EB7">
            <w:pPr>
              <w:pStyle w:val="TableTextRight"/>
            </w:pPr>
            <w:r w:rsidRPr="00883271">
              <w:t>44.23</w:t>
            </w:r>
          </w:p>
        </w:tc>
        <w:tc>
          <w:tcPr>
            <w:tcW w:w="850" w:type="dxa"/>
            <w:vAlign w:val="center"/>
          </w:tcPr>
          <w:p w14:paraId="33B7D630" w14:textId="77777777" w:rsidR="000B1302" w:rsidRPr="00883271" w:rsidRDefault="000B1302" w:rsidP="00423EB7">
            <w:pPr>
              <w:pStyle w:val="TableTextRight"/>
            </w:pPr>
            <w:r w:rsidRPr="00883271">
              <w:t>2,500.00</w:t>
            </w:r>
          </w:p>
        </w:tc>
        <w:tc>
          <w:tcPr>
            <w:tcW w:w="851" w:type="dxa"/>
            <w:vAlign w:val="center"/>
          </w:tcPr>
          <w:p w14:paraId="2EA0BAF7" w14:textId="77777777" w:rsidR="000B1302" w:rsidRPr="00883271" w:rsidRDefault="000B1302" w:rsidP="00423EB7">
            <w:pPr>
              <w:pStyle w:val="TableTextRight"/>
            </w:pPr>
            <w:r w:rsidRPr="00883271">
              <w:t>2,307.69</w:t>
            </w:r>
          </w:p>
        </w:tc>
        <w:tc>
          <w:tcPr>
            <w:tcW w:w="992" w:type="dxa"/>
            <w:vAlign w:val="center"/>
          </w:tcPr>
          <w:p w14:paraId="6731732A" w14:textId="77777777" w:rsidR="000B1302" w:rsidRPr="00883271" w:rsidRDefault="000B1302" w:rsidP="00423EB7">
            <w:pPr>
              <w:pStyle w:val="TableTextRight"/>
            </w:pPr>
            <w:r w:rsidRPr="00883271">
              <w:t>192.31</w:t>
            </w:r>
          </w:p>
        </w:tc>
      </w:tr>
      <w:tr w:rsidR="00423EB7" w:rsidRPr="00883271" w14:paraId="14C4CFC5" w14:textId="77777777" w:rsidTr="00110D67">
        <w:trPr>
          <w:cnfStyle w:val="000000100000" w:firstRow="0" w:lastRow="0" w:firstColumn="0" w:lastColumn="0" w:oddVBand="0" w:evenVBand="0" w:oddHBand="1" w:evenHBand="0" w:firstRowFirstColumn="0" w:firstRowLastColumn="0" w:lastRowFirstColumn="0" w:lastRowLastColumn="0"/>
        </w:trPr>
        <w:tc>
          <w:tcPr>
            <w:tcW w:w="1419" w:type="dxa"/>
            <w:tcBorders>
              <w:bottom w:val="single" w:sz="4" w:space="0" w:color="auto"/>
            </w:tcBorders>
            <w:vAlign w:val="center"/>
          </w:tcPr>
          <w:p w14:paraId="2025CB43" w14:textId="77777777" w:rsidR="000B1302" w:rsidRPr="00883271" w:rsidRDefault="000B1302" w:rsidP="00423EB7">
            <w:pPr>
              <w:pStyle w:val="TableTextLeft"/>
            </w:pPr>
            <w:r w:rsidRPr="00883271">
              <w:t>Honda</w:t>
            </w:r>
          </w:p>
        </w:tc>
        <w:tc>
          <w:tcPr>
            <w:tcW w:w="779" w:type="dxa"/>
            <w:tcBorders>
              <w:bottom w:val="single" w:sz="4" w:space="0" w:color="auto"/>
            </w:tcBorders>
            <w:vAlign w:val="center"/>
          </w:tcPr>
          <w:p w14:paraId="64F38342" w14:textId="77777777" w:rsidR="000B1302" w:rsidRPr="00883271" w:rsidRDefault="000B1302" w:rsidP="00423EB7">
            <w:pPr>
              <w:pStyle w:val="TableTextRight"/>
            </w:pPr>
            <w:r w:rsidRPr="00883271">
              <w:t>20.00</w:t>
            </w:r>
          </w:p>
        </w:tc>
        <w:tc>
          <w:tcPr>
            <w:tcW w:w="779" w:type="dxa"/>
            <w:tcBorders>
              <w:bottom w:val="single" w:sz="4" w:space="0" w:color="auto"/>
            </w:tcBorders>
            <w:vAlign w:val="center"/>
          </w:tcPr>
          <w:p w14:paraId="6CFF6479" w14:textId="77777777" w:rsidR="000B1302" w:rsidRPr="00883271" w:rsidRDefault="000B1302" w:rsidP="00423EB7">
            <w:pPr>
              <w:pStyle w:val="TableTextRight"/>
            </w:pPr>
            <w:r w:rsidRPr="00883271">
              <w:t>46.15</w:t>
            </w:r>
          </w:p>
        </w:tc>
        <w:tc>
          <w:tcPr>
            <w:tcW w:w="993" w:type="dxa"/>
            <w:tcBorders>
              <w:bottom w:val="single" w:sz="4" w:space="0" w:color="auto"/>
            </w:tcBorders>
            <w:vAlign w:val="center"/>
          </w:tcPr>
          <w:p w14:paraId="1CBE6C92" w14:textId="7D9F4B8C" w:rsidR="000B1302" w:rsidRPr="00883271" w:rsidRDefault="007B3C6A" w:rsidP="00423EB7">
            <w:pPr>
              <w:pStyle w:val="TableTextRight"/>
            </w:pPr>
            <w:r>
              <w:noBreakHyphen/>
            </w:r>
            <w:r w:rsidR="000B1302" w:rsidRPr="00883271">
              <w:t>26.15</w:t>
            </w:r>
          </w:p>
        </w:tc>
        <w:tc>
          <w:tcPr>
            <w:tcW w:w="708" w:type="dxa"/>
            <w:tcBorders>
              <w:bottom w:val="single" w:sz="4" w:space="0" w:color="auto"/>
            </w:tcBorders>
            <w:vAlign w:val="center"/>
          </w:tcPr>
          <w:p w14:paraId="5057E532" w14:textId="77777777" w:rsidR="000B1302" w:rsidRPr="00883271" w:rsidRDefault="000B1302" w:rsidP="00423EB7">
            <w:pPr>
              <w:pStyle w:val="TableTextRight"/>
            </w:pPr>
            <w:r w:rsidRPr="00883271">
              <w:t>390.00</w:t>
            </w:r>
          </w:p>
        </w:tc>
        <w:tc>
          <w:tcPr>
            <w:tcW w:w="709" w:type="dxa"/>
            <w:tcBorders>
              <w:bottom w:val="single" w:sz="4" w:space="0" w:color="auto"/>
            </w:tcBorders>
            <w:vAlign w:val="center"/>
          </w:tcPr>
          <w:p w14:paraId="570085EE" w14:textId="77777777" w:rsidR="000B1302" w:rsidRPr="00883271" w:rsidRDefault="000B1302" w:rsidP="00423EB7">
            <w:pPr>
              <w:pStyle w:val="TableTextRight"/>
            </w:pPr>
            <w:r w:rsidRPr="00883271">
              <w:t>230.77</w:t>
            </w:r>
          </w:p>
        </w:tc>
        <w:tc>
          <w:tcPr>
            <w:tcW w:w="992" w:type="dxa"/>
            <w:tcBorders>
              <w:bottom w:val="single" w:sz="4" w:space="0" w:color="auto"/>
            </w:tcBorders>
            <w:vAlign w:val="center"/>
          </w:tcPr>
          <w:p w14:paraId="4A1EE256" w14:textId="77777777" w:rsidR="000B1302" w:rsidRPr="00883271" w:rsidRDefault="000B1302" w:rsidP="00423EB7">
            <w:pPr>
              <w:pStyle w:val="TableTextRight"/>
            </w:pPr>
            <w:r w:rsidRPr="00883271">
              <w:t>159.23</w:t>
            </w:r>
          </w:p>
        </w:tc>
        <w:tc>
          <w:tcPr>
            <w:tcW w:w="850" w:type="dxa"/>
            <w:tcBorders>
              <w:bottom w:val="single" w:sz="4" w:space="0" w:color="auto"/>
            </w:tcBorders>
            <w:vAlign w:val="center"/>
          </w:tcPr>
          <w:p w14:paraId="1DDDE625" w14:textId="77777777" w:rsidR="000B1302" w:rsidRPr="00883271" w:rsidRDefault="000B1302" w:rsidP="00423EB7">
            <w:pPr>
              <w:pStyle w:val="TableTextRight"/>
            </w:pPr>
            <w:r w:rsidRPr="00883271">
              <w:t>3,380.00</w:t>
            </w:r>
          </w:p>
        </w:tc>
        <w:tc>
          <w:tcPr>
            <w:tcW w:w="851" w:type="dxa"/>
            <w:tcBorders>
              <w:bottom w:val="single" w:sz="4" w:space="0" w:color="auto"/>
            </w:tcBorders>
            <w:vAlign w:val="center"/>
          </w:tcPr>
          <w:p w14:paraId="64D2D84E" w14:textId="77777777" w:rsidR="000B1302" w:rsidRPr="00883271" w:rsidRDefault="000B1302" w:rsidP="00423EB7">
            <w:pPr>
              <w:pStyle w:val="TableTextRight"/>
            </w:pPr>
            <w:r w:rsidRPr="00883271">
              <w:t>2,307.69</w:t>
            </w:r>
          </w:p>
        </w:tc>
        <w:tc>
          <w:tcPr>
            <w:tcW w:w="992" w:type="dxa"/>
            <w:tcBorders>
              <w:bottom w:val="single" w:sz="4" w:space="0" w:color="auto"/>
            </w:tcBorders>
            <w:vAlign w:val="center"/>
          </w:tcPr>
          <w:p w14:paraId="07C11164" w14:textId="77777777" w:rsidR="000B1302" w:rsidRPr="00883271" w:rsidRDefault="000B1302" w:rsidP="00423EB7">
            <w:pPr>
              <w:pStyle w:val="TableTextRight"/>
            </w:pPr>
            <w:r w:rsidRPr="00883271">
              <w:t>1,072.31</w:t>
            </w:r>
          </w:p>
        </w:tc>
      </w:tr>
    </w:tbl>
    <w:p w14:paraId="5D637302" w14:textId="1A04325F" w:rsidR="000B1302" w:rsidRPr="00883271" w:rsidRDefault="000B1302" w:rsidP="00423EB7">
      <w:pPr>
        <w:pStyle w:val="ChartorTableNote"/>
      </w:pPr>
      <w:r w:rsidRPr="00883271">
        <w:t xml:space="preserve">Note: </w:t>
      </w:r>
      <w:r w:rsidR="00423EB7">
        <w:tab/>
      </w:r>
      <w:r w:rsidRPr="00883271">
        <w:t>Ford</w:t>
      </w:r>
      <w:r w:rsidR="00BF0433">
        <w:t>’</w:t>
      </w:r>
      <w:r>
        <w:t>s</w:t>
      </w:r>
      <w:r w:rsidRPr="00883271">
        <w:t xml:space="preserve"> Australia</w:t>
      </w:r>
      <w:r>
        <w:t>n</w:t>
      </w:r>
      <w:r w:rsidRPr="00883271">
        <w:t xml:space="preserve"> scheme offer made, and US prices offered, in USD; converted to AUD at FX=0.65.</w:t>
      </w:r>
    </w:p>
    <w:p w14:paraId="40232CAF" w14:textId="7C6771CB" w:rsidR="000B1302" w:rsidRPr="00883271" w:rsidRDefault="000B1302" w:rsidP="00110D67">
      <w:pPr>
        <w:pStyle w:val="ChartorTableNote"/>
        <w:rPr>
          <w:sz w:val="21"/>
          <w:szCs w:val="21"/>
        </w:rPr>
      </w:pPr>
      <w:r w:rsidRPr="00883271">
        <w:t xml:space="preserve">Source: </w:t>
      </w:r>
      <w:r w:rsidR="00423EB7">
        <w:tab/>
      </w:r>
      <w:r w:rsidRPr="00883271">
        <w:t xml:space="preserve">AASRA, </w:t>
      </w:r>
      <w:hyperlink r:id="rId40" w:history="1">
        <w:r w:rsidRPr="00883271">
          <w:rPr>
            <w:rStyle w:val="Hyperlink"/>
            <w:i/>
            <w:sz w:val="17"/>
            <w:szCs w:val="17"/>
          </w:rPr>
          <w:t>Automaker information links</w:t>
        </w:r>
      </w:hyperlink>
      <w:r w:rsidRPr="00883271">
        <w:t xml:space="preserve">; National </w:t>
      </w:r>
      <w:r w:rsidRPr="00110D67">
        <w:t>Automotive</w:t>
      </w:r>
      <w:r w:rsidRPr="00883271">
        <w:t xml:space="preserve"> Service Task Force (NASTF), as provided to the Review by AASRA.</w:t>
      </w:r>
    </w:p>
    <w:p w14:paraId="09E538F5" w14:textId="77777777" w:rsidR="00110D67" w:rsidRDefault="00110D67">
      <w:pPr>
        <w:spacing w:before="0" w:after="160" w:line="259" w:lineRule="auto"/>
      </w:pPr>
      <w:r>
        <w:br w:type="page"/>
      </w:r>
    </w:p>
    <w:p w14:paraId="2076126A" w14:textId="2BC6EFAB" w:rsidR="000B1302" w:rsidRPr="00883271" w:rsidRDefault="000B1302" w:rsidP="00423EB7">
      <w:r w:rsidRPr="00883271">
        <w:lastRenderedPageBreak/>
        <w:t>The data presented in Table 3.2 indicates a lack of consistency between scheme pricing in Australia and pricing of comparable information in the US. On average, daily information in Australia is priced $14.92 below comparable information in the US, or approximately 66 per cent of the equivalent price. By contrast, monthly and yearly information in Australia tended to be more expensive and priced at approximately 10 per cent and 15 per cent higher than the equivalent US price, respectively.</w:t>
      </w:r>
    </w:p>
    <w:p w14:paraId="6CAD2201" w14:textId="3220E07B" w:rsidR="000B1302" w:rsidRPr="00883271" w:rsidRDefault="000B1302" w:rsidP="00423EB7">
      <w:r w:rsidRPr="00883271">
        <w:t xml:space="preserve">Five of the ten brands were consistently priced lower or higher in Australia across all three time periods. The remaining five showed mixed pricing – lower in one period and higher in two. </w:t>
      </w:r>
    </w:p>
    <w:p w14:paraId="48FE74BA" w14:textId="27B7EE86" w:rsidR="000B1302" w:rsidRPr="00883271" w:rsidRDefault="000B1302" w:rsidP="00423EB7">
      <w:r w:rsidRPr="00883271">
        <w:t xml:space="preserve">The inconsistency in pricing across jurisdictions, including among manufacturers from the same region, may reflect a range of factors such as exchange rate fluctuations. However, it remains unclear to what extent manufacturers consider overseas pricing when setting scheme prices Australia. Additionally, the variation in comparative costs across time periods for individual manufacturers suggest that overall market size or relative market concentration is not consistently influential in determining the price of information. </w:t>
      </w:r>
    </w:p>
    <w:p w14:paraId="3C4F10DE" w14:textId="7BCDCA64" w:rsidR="000B1302" w:rsidRPr="00883271" w:rsidRDefault="000B1302" w:rsidP="00423EB7">
      <w:r w:rsidRPr="00883271">
        <w:t>The lack of discernible pattern in the comparative pricing of information across jurisdictions may complicate the use of overseas prices as a benchmark for fair market value in Australia. While the Review</w:t>
      </w:r>
      <w:r w:rsidR="00BF0433">
        <w:t>’</w:t>
      </w:r>
      <w:r w:rsidRPr="00883271">
        <w:t xml:space="preserve">s consideration of scheme prices was limited to a single jurisdiction, on the information available the Review considers there may be a risk that expressly inviting comparisons with overseas pricing could, in an appropriate case, distort the assessment of fair market value in Australia. This risk arises principally due to (i) the low observed consistency with the pricing of scheme information in Australia; and (ii) the lack of enforcement precedents on fair market value globally. </w:t>
      </w:r>
    </w:p>
    <w:p w14:paraId="4046F049" w14:textId="0DA1990B" w:rsidR="000B1302" w:rsidRPr="00883271" w:rsidRDefault="000B1302" w:rsidP="00423EB7">
      <w:r w:rsidRPr="00883271">
        <w:t>While overseas comparisons may at times assist in assessing fair market value</w:t>
      </w:r>
      <w:bookmarkStart w:id="36" w:name="_Hlk215670144"/>
      <w:r w:rsidRPr="00883271">
        <w:t xml:space="preserve">, steps could be taken following appropriate consultation to mitigate this </w:t>
      </w:r>
      <w:bookmarkEnd w:id="36"/>
      <w:r w:rsidRPr="00883271">
        <w:t xml:space="preserve">risk. Options may include clarifying that, in order to rely on the price of scheme information overseas as evidence that scheme information made available domestically does not exceed fair market value, a data provider must demonstrate that the information in the relevant overseas market does not itself exceed a fair market value. </w:t>
      </w:r>
    </w:p>
    <w:p w14:paraId="7C7CFFFA" w14:textId="77777777" w:rsidR="000B1302" w:rsidRPr="004343EF" w:rsidRDefault="000B1302" w:rsidP="00423EB7">
      <w:pPr>
        <w:pStyle w:val="Heading3"/>
      </w:pPr>
      <w:r w:rsidRPr="004343EF">
        <w:t xml:space="preserve">Cost recovery and scheme offers </w:t>
      </w:r>
    </w:p>
    <w:p w14:paraId="62750364" w14:textId="2163824D" w:rsidR="000B1302" w:rsidRPr="00883271" w:rsidRDefault="000B1302" w:rsidP="00423EB7">
      <w:pPr>
        <w:rPr>
          <w:u w:val="single"/>
        </w:rPr>
      </w:pPr>
      <w:r w:rsidRPr="00883271">
        <w:t>In response to consultation, the FCAI contended that the scheme does not permit vehicle manufacturers to fully cover the costs associated with the preparation of information and ongoing compliance with the scheme. Compliance costs and additional operating costs associated with the scheme, including technical support provided to independent repairers, were identified as particular cost drivers for data providers.</w:t>
      </w:r>
    </w:p>
    <w:p w14:paraId="1ECF33AD" w14:textId="77777777" w:rsidR="000B1302" w:rsidRPr="00883271" w:rsidRDefault="000B1302" w:rsidP="00423EB7">
      <w:r w:rsidRPr="00883271">
        <w:t>The scheme provides that the fair market value of scheme information is determined having regard to factors including the reasonable recovery of costs incurred in creating, producing and providing scheme information.</w:t>
      </w:r>
      <w:r w:rsidRPr="00A740DC">
        <w:rPr>
          <w:rStyle w:val="FootnoteReference"/>
        </w:rPr>
        <w:footnoteReference w:id="34"/>
      </w:r>
      <w:r w:rsidRPr="00883271">
        <w:t xml:space="preserve"> In this way, the scheme recognises that the provision of scheme information outside of the manufacturer authorised supply chain may result in data providers incurring additional costs which must be recovered to ensure the sustainability of the scheme. </w:t>
      </w:r>
    </w:p>
    <w:p w14:paraId="209E944E" w14:textId="76F7CA35" w:rsidR="000B1302" w:rsidRPr="00883271" w:rsidRDefault="000B1302" w:rsidP="00423EB7">
      <w:r w:rsidRPr="00883271">
        <w:t xml:space="preserve">Given the flexibility to cost recover under the scheme, cost recovery outcomes for vehicle manufacturers (or any other data providers) are </w:t>
      </w:r>
      <w:r>
        <w:t>primarily</w:t>
      </w:r>
      <w:r w:rsidRPr="00883271">
        <w:t xml:space="preserve"> shaped by individual commercial decisions. Based on information provided, the Review considers the provision made for cost recovery under the scheme remains appropriate.</w:t>
      </w:r>
    </w:p>
    <w:tbl>
      <w:tblPr>
        <w:tblStyle w:val="TableGrid"/>
        <w:tblW w:w="5000" w:type="pct"/>
        <w:shd w:val="clear" w:color="auto" w:fill="FCEEE5" w:themeFill="accent6" w:themeFillTint="33"/>
        <w:tblCellMar>
          <w:top w:w="57" w:type="dxa"/>
          <w:left w:w="227" w:type="dxa"/>
          <w:bottom w:w="113" w:type="dxa"/>
          <w:right w:w="227" w:type="dxa"/>
        </w:tblCellMar>
        <w:tblLook w:val="0620" w:firstRow="1" w:lastRow="0" w:firstColumn="0" w:lastColumn="0" w:noHBand="1" w:noVBand="1"/>
      </w:tblPr>
      <w:tblGrid>
        <w:gridCol w:w="9072"/>
      </w:tblGrid>
      <w:tr w:rsidR="000B1302" w:rsidRPr="00883271" w14:paraId="26AD7B46" w14:textId="77777777" w:rsidTr="00FD39A3">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9FC"/>
          </w:tcPr>
          <w:p w14:paraId="7EAC251C" w14:textId="77777777" w:rsidR="000B1302" w:rsidRPr="00883271" w:rsidRDefault="000B1302" w:rsidP="00110D67">
            <w:pPr>
              <w:pStyle w:val="BoxHeading"/>
            </w:pPr>
            <w:r w:rsidRPr="00423EB7">
              <w:lastRenderedPageBreak/>
              <w:t>Finding</w:t>
            </w:r>
            <w:r w:rsidRPr="00883271">
              <w:t xml:space="preserve"> 2</w:t>
            </w:r>
          </w:p>
          <w:p w14:paraId="42A7B95F" w14:textId="3E5565DA" w:rsidR="000B1302" w:rsidRPr="008832FB" w:rsidRDefault="000B1302" w:rsidP="00423EB7">
            <w:pPr>
              <w:pStyle w:val="BoxText"/>
              <w:rPr>
                <w:b/>
                <w:bCs/>
              </w:rPr>
            </w:pPr>
            <w:r w:rsidRPr="008832FB">
              <w:rPr>
                <w:bCs/>
              </w:rPr>
              <w:t>The scheme effectively regulates the price of scheme information, but there are some opportunities for enhancement to ensure information pricing remains accurate and transparent, including in relation to:</w:t>
            </w:r>
          </w:p>
          <w:p w14:paraId="377F5205" w14:textId="13DB39A3" w:rsidR="000B1302" w:rsidRPr="008832FB" w:rsidRDefault="000B1302" w:rsidP="00423EB7">
            <w:pPr>
              <w:pStyle w:val="Boxbullet"/>
              <w:rPr>
                <w:b/>
                <w:bCs/>
              </w:rPr>
            </w:pPr>
            <w:r w:rsidRPr="008832FB">
              <w:rPr>
                <w:bCs/>
              </w:rPr>
              <w:t>Consistent pricing of information in Australian dollars</w:t>
            </w:r>
          </w:p>
          <w:p w14:paraId="2A7A61DC" w14:textId="2AD0AB0C" w:rsidR="000B1302" w:rsidRPr="008832FB" w:rsidRDefault="000B1302" w:rsidP="00423EB7">
            <w:pPr>
              <w:pStyle w:val="Boxbullet"/>
              <w:rPr>
                <w:b/>
                <w:bCs/>
              </w:rPr>
            </w:pPr>
            <w:r w:rsidRPr="008832FB">
              <w:rPr>
                <w:bCs/>
              </w:rPr>
              <w:t xml:space="preserve">The accuracy of scheme offers </w:t>
            </w:r>
          </w:p>
          <w:p w14:paraId="2D18ACE4" w14:textId="74B635DC" w:rsidR="000B1302" w:rsidRPr="00883271" w:rsidRDefault="000B1302" w:rsidP="00423EB7">
            <w:pPr>
              <w:pStyle w:val="Boxbullet"/>
              <w:rPr>
                <w:sz w:val="17"/>
                <w:szCs w:val="17"/>
              </w:rPr>
            </w:pPr>
            <w:r w:rsidRPr="008832FB">
              <w:rPr>
                <w:bCs/>
              </w:rPr>
              <w:t>Factors relevant in determining Fair Market Value</w:t>
            </w:r>
          </w:p>
        </w:tc>
      </w:tr>
    </w:tbl>
    <w:p w14:paraId="685EFB1A" w14:textId="77777777" w:rsidR="000B1302" w:rsidRPr="00883271" w:rsidRDefault="000B1302" w:rsidP="00C87367">
      <w:pPr>
        <w:pStyle w:val="SingleParagraph"/>
        <w:rPr>
          <w:sz w:val="4"/>
          <w:szCs w:val="4"/>
        </w:rPr>
      </w:pPr>
    </w:p>
    <w:p w14:paraId="7829EB46" w14:textId="77777777" w:rsidR="000B1302" w:rsidRPr="004343EF" w:rsidRDefault="000B1302" w:rsidP="00110D67">
      <w:pPr>
        <w:pStyle w:val="Heading3"/>
        <w:spacing w:before="240"/>
      </w:pPr>
      <w:bookmarkStart w:id="37" w:name="_Toc211963308"/>
      <w:r w:rsidRPr="00423EB7">
        <w:t>Hardware</w:t>
      </w:r>
      <w:bookmarkEnd w:id="37"/>
      <w:r w:rsidRPr="004343EF">
        <w:t xml:space="preserve"> </w:t>
      </w:r>
    </w:p>
    <w:p w14:paraId="7B33C82C" w14:textId="15C4C7D8" w:rsidR="000B1302" w:rsidRPr="00883271" w:rsidRDefault="000B1302" w:rsidP="00423EB7">
      <w:r w:rsidRPr="00883271">
        <w:t xml:space="preserve">Servicing, repairing, and diagnosing faults in modern vehicles requires the use of a range of electronic devices (collectively referred to as </w:t>
      </w:r>
      <w:r w:rsidR="00BF0433">
        <w:t>‘</w:t>
      </w:r>
      <w:r w:rsidRPr="00883271">
        <w:t>hardware</w:t>
      </w:r>
      <w:r w:rsidR="00BF0433">
        <w:t>’</w:t>
      </w:r>
      <w:r w:rsidRPr="00883271">
        <w:t>). In most cases, this means that in addition to accessing scheme information, an Australian repairer must possess compatible hardware to apply that information effectively. Scheme information may also be integrated directly into certain diagnostic platforms such as all</w:t>
      </w:r>
      <w:r w:rsidR="007B3C6A">
        <w:noBreakHyphen/>
      </w:r>
      <w:r w:rsidRPr="00883271">
        <w:t>in</w:t>
      </w:r>
      <w:r w:rsidR="007B3C6A">
        <w:noBreakHyphen/>
      </w:r>
      <w:r w:rsidRPr="00883271">
        <w:t>one diagnostic tablets that combine software and technical data access to enable coverage across a range of vehicles.</w:t>
      </w:r>
    </w:p>
    <w:p w14:paraId="0C9347FC" w14:textId="4075BFC6" w:rsidR="000B1302" w:rsidRPr="00883271" w:rsidRDefault="000B1302" w:rsidP="00423EB7">
      <w:r w:rsidRPr="00883271">
        <w:t>In basic fault detection scenarios, tools such as OBD</w:t>
      </w:r>
      <w:r w:rsidR="007B3C6A">
        <w:noBreakHyphen/>
      </w:r>
      <w:r w:rsidRPr="00883271">
        <w:t>II code readers can retrieve Diagnostic Trouble Codes (DTCs) from the vehicle</w:t>
      </w:r>
      <w:r w:rsidR="00BF0433">
        <w:t>’</w:t>
      </w:r>
      <w:r w:rsidRPr="00883271">
        <w:t>s Engine Control Unit (ECU). However, more advanced procedures including ECU reprogramming, module coding, and system adaptation require bi</w:t>
      </w:r>
      <w:r w:rsidR="007B3C6A">
        <w:noBreakHyphen/>
      </w:r>
      <w:r w:rsidRPr="00883271">
        <w:t>directional scan tools or pass</w:t>
      </w:r>
      <w:r w:rsidR="007B3C6A">
        <w:noBreakHyphen/>
      </w:r>
      <w:r w:rsidRPr="00883271">
        <w:t>through devices that support protocols such as SAE J2534. These tools, often comprising a diagnostic platform and Vehicle Communication Interface (VCI), must often interface with OEM portals or aggregator platforms to access scheme information. The diagnostic hardware</w:t>
      </w:r>
      <w:r w:rsidR="00BF0433">
        <w:t>’</w:t>
      </w:r>
      <w:r w:rsidRPr="00883271">
        <w:t>s ability to support secure authentication, protocol compatibility, and software integration directly affects a repairer</w:t>
      </w:r>
      <w:r w:rsidR="00BF0433">
        <w:t>’</w:t>
      </w:r>
      <w:r w:rsidRPr="00883271">
        <w:t>s capacity to utilise scheme information in practice.</w:t>
      </w:r>
    </w:p>
    <w:p w14:paraId="093D35BD" w14:textId="77777777" w:rsidR="000B1302" w:rsidRPr="00883271" w:rsidRDefault="000B1302" w:rsidP="00110D67">
      <w:pPr>
        <w:spacing w:after="100"/>
      </w:pPr>
      <w:r w:rsidRPr="00883271">
        <w:t>As noted above, the scheme does not directly regulate the cost of the hardware which may need to be used in combination with scheme information to diagnose, service or repair scheme vehicles. However, the scheme does require that scheme information is offered in a form that repairers and RTOs are able to use.</w:t>
      </w:r>
      <w:r w:rsidRPr="00A740DC">
        <w:rPr>
          <w:rStyle w:val="FootnoteReference"/>
        </w:rPr>
        <w:footnoteReference w:id="35"/>
      </w:r>
      <w:r w:rsidRPr="00883271">
        <w:t xml:space="preserve"> The main obligation imposed on data providers under the scheme contains two limbs, and requires data providers to make scheme information available: </w:t>
      </w:r>
    </w:p>
    <w:p w14:paraId="0C434710" w14:textId="77777777" w:rsidR="000B1302" w:rsidRPr="00883271" w:rsidRDefault="000B1302" w:rsidP="00284E88">
      <w:pPr>
        <w:pStyle w:val="OutlineNumbered1"/>
        <w:numPr>
          <w:ilvl w:val="0"/>
          <w:numId w:val="14"/>
        </w:numPr>
        <w:spacing w:after="100"/>
      </w:pPr>
      <w:r w:rsidRPr="00883271">
        <w:t xml:space="preserve">in the same form in which it is supplied or offered to be supplied to all Australian repairers or RTOs, or </w:t>
      </w:r>
    </w:p>
    <w:p w14:paraId="0C09FB85" w14:textId="64A91976" w:rsidR="000B1302" w:rsidRPr="00883271" w:rsidRDefault="000B1302" w:rsidP="00110D67">
      <w:pPr>
        <w:pStyle w:val="OutlineNumbered1"/>
        <w:spacing w:after="100"/>
      </w:pPr>
      <w:r w:rsidRPr="00883271">
        <w:t>if supply in that form is not practicable or accessible – in an electronic form that is reasonably accessible to all Australian repairers and scheme RTOs.</w:t>
      </w:r>
      <w:r w:rsidRPr="00A740DC">
        <w:rPr>
          <w:rStyle w:val="FootnoteReference"/>
        </w:rPr>
        <w:footnoteReference w:id="36"/>
      </w:r>
    </w:p>
    <w:p w14:paraId="7602D476" w14:textId="7C813EA0" w:rsidR="000B1302" w:rsidRPr="00883271" w:rsidRDefault="000B1302" w:rsidP="00AA27CF">
      <w:r w:rsidRPr="00883271">
        <w:t>Relevantly,</w:t>
      </w:r>
      <w:r w:rsidRPr="00883271" w:rsidDel="006D6823">
        <w:t xml:space="preserve"> </w:t>
      </w:r>
      <w:r w:rsidRPr="00883271">
        <w:t>this obligation requires that where scheme information must be used in combination with hardware, such as a VCI device, the hardware must be made available to any repairer who requests it, or otherwise the scheme information would need to be supplied in another electronic form that is reasonably accessible to all repairers. Reasonably accessible electronic forms include using any computer and a non</w:t>
      </w:r>
      <w:r w:rsidR="007B3C6A">
        <w:noBreakHyphen/>
      </w:r>
      <w:r w:rsidRPr="00883271">
        <w:t>proprietary vehicle interface which complies with the SAE J2534, ISO 22900 or equivalent generic pass</w:t>
      </w:r>
      <w:r w:rsidR="007B3C6A">
        <w:noBreakHyphen/>
      </w:r>
      <w:r w:rsidRPr="00883271">
        <w:t>through device.</w:t>
      </w:r>
      <w:r w:rsidRPr="00A740DC">
        <w:rPr>
          <w:rStyle w:val="FootnoteReference"/>
        </w:rPr>
        <w:footnoteReference w:id="37"/>
      </w:r>
    </w:p>
    <w:p w14:paraId="659DA714" w14:textId="5F65F068" w:rsidR="000B1302" w:rsidRPr="00883271" w:rsidRDefault="000B1302" w:rsidP="00AA27CF">
      <w:r w:rsidRPr="00883271">
        <w:lastRenderedPageBreak/>
        <w:t>Scheme information may not be considered reasonably accessible where it is made available only in combination with a costly proprietary tool. In addition, the scheme prohibits data providers from requiring that a repairer buy other services or products (for example, tools or spare parts) as a condition of purchasing scheme information.</w:t>
      </w:r>
      <w:r w:rsidRPr="00A740DC">
        <w:rPr>
          <w:rStyle w:val="FootnoteReference"/>
        </w:rPr>
        <w:footnoteReference w:id="38"/>
      </w:r>
      <w:r w:rsidRPr="00883271">
        <w:t xml:space="preserve"> This requirement reflects the scheme</w:t>
      </w:r>
      <w:r w:rsidR="00BF0433">
        <w:t>’</w:t>
      </w:r>
      <w:r w:rsidRPr="00883271">
        <w:t>s objective of moderating the market power of data providers in the provision of scheme information and preventing vehicle manufacturers from increasing the cost of access to scheme information through unnecessarily bundling information and hardware. This objective is reflected in the ACCC</w:t>
      </w:r>
      <w:r w:rsidR="00BF0433">
        <w:t>’</w:t>
      </w:r>
      <w:r w:rsidRPr="00883271">
        <w:t>s Regulatory Guidance</w:t>
      </w:r>
      <w:r w:rsidRPr="00883271" w:rsidDel="00866F06">
        <w:t xml:space="preserve"> </w:t>
      </w:r>
      <w:r w:rsidRPr="00883271">
        <w:t xml:space="preserve">which notes that it </w:t>
      </w:r>
      <w:r>
        <w:t xml:space="preserve">is </w:t>
      </w:r>
      <w:r w:rsidRPr="00883271">
        <w:t>considered good practice for data providers to offer to supply scheme information that is accessible via an alternative means such as a generic pass</w:t>
      </w:r>
      <w:r w:rsidR="007B3C6A">
        <w:noBreakHyphen/>
      </w:r>
      <w:r w:rsidRPr="00883271">
        <w:t>through device.</w:t>
      </w:r>
      <w:r w:rsidRPr="00A740DC">
        <w:rPr>
          <w:rStyle w:val="FootnoteReference"/>
        </w:rPr>
        <w:footnoteReference w:id="39"/>
      </w:r>
    </w:p>
    <w:p w14:paraId="6C1F9FFA" w14:textId="2F3A53F9" w:rsidR="000B1302" w:rsidRPr="00883271" w:rsidRDefault="000B1302" w:rsidP="00AA27CF">
      <w:r w:rsidRPr="00883271">
        <w:t xml:space="preserve">Although the main obligation under the scheme applies to ensure scheme information is reasonably accessible regardless of the form in which it is provided, the Review identified dissatisfaction amongst some repairers regarding access to, and the cost and quality of, proprietary hardware. </w:t>
      </w:r>
    </w:p>
    <w:p w14:paraId="14492160" w14:textId="4D82DBC5" w:rsidR="000B1302" w:rsidRPr="004343EF" w:rsidRDefault="000B1302" w:rsidP="00AA27CF">
      <w:pPr>
        <w:pStyle w:val="Heading4"/>
      </w:pPr>
      <w:r w:rsidRPr="004343EF">
        <w:t xml:space="preserve">Cost, </w:t>
      </w:r>
      <w:r w:rsidRPr="00AA27CF">
        <w:t>Functionality</w:t>
      </w:r>
      <w:r w:rsidRPr="004343EF">
        <w:t xml:space="preserve"> and Access </w:t>
      </w:r>
    </w:p>
    <w:p w14:paraId="5492148C" w14:textId="2D92FE27" w:rsidR="000B1302" w:rsidRPr="00883271" w:rsidRDefault="000B1302" w:rsidP="00AA27CF">
      <w:r w:rsidRPr="00883271">
        <w:t>Submissions from aftermarket industry stakeholders and survey responses received from repairers highlighted the cost of hardware as a key concern, with many regarding prices charged by data providers for proprietary hardware as prohibitive.</w:t>
      </w:r>
    </w:p>
    <w:p w14:paraId="032B334D" w14:textId="1D791D63" w:rsidR="000B1302" w:rsidRPr="00883271" w:rsidRDefault="000B1302" w:rsidP="00AA27CF">
      <w:r w:rsidRPr="00883271">
        <w:t>The current arrangements in relation to hardware were described as unsustainable for smaller workshops, with many commenting on the expense of having to purchase or lease specific diagnostic hardware for multiple brands. Repairers expressed that the combination of searching for the appropriate tool and escalating costs can feel disproportionate to the repair at hand, particularly for workshops operating on thin margins. In particular, the AAAA submitted that 62 per cent of surveyed workshops identify tool acquisition and subscription fees as cost prohibitive. Similarly, the AADA noted that dealers also incur costs to access information and to service vehicles according to manufacturer</w:t>
      </w:r>
      <w:r w:rsidR="00BF0433">
        <w:t>’</w:t>
      </w:r>
      <w:r w:rsidRPr="00883271">
        <w:t>s specifications, as they may be required to purchase special hardware to undertake some service and repair tasks.</w:t>
      </w:r>
    </w:p>
    <w:p w14:paraId="2B5BCECA" w14:textId="77777777" w:rsidR="000B1302" w:rsidRPr="00883271" w:rsidRDefault="000B1302" w:rsidP="00AA27CF">
      <w:r w:rsidRPr="00883271">
        <w:t xml:space="preserve">Other issues raised in relation to hardware in response to consultation included: </w:t>
      </w:r>
    </w:p>
    <w:p w14:paraId="7C18EF9A" w14:textId="060B23B9" w:rsidR="000B1302" w:rsidRPr="00883271" w:rsidRDefault="000B1302" w:rsidP="00AA27CF">
      <w:pPr>
        <w:pStyle w:val="Bullet"/>
      </w:pPr>
      <w:r w:rsidRPr="00883271">
        <w:t>limited lease periods, high upfront bond payments, and delays in receiving devices</w:t>
      </w:r>
    </w:p>
    <w:p w14:paraId="63ACDE14" w14:textId="2A03BEB4" w:rsidR="000B1302" w:rsidRPr="00883271" w:rsidRDefault="000B1302" w:rsidP="00AA27CF">
      <w:pPr>
        <w:pStyle w:val="Bullet"/>
      </w:pPr>
      <w:r w:rsidRPr="00883271">
        <w:t>a data provider will only sell independent repairers a Vehicle Communication Interface (VCI) – rather than proprietary hardware</w:t>
      </w:r>
      <w:r w:rsidR="00BF0433">
        <w:t xml:space="preserve"> – </w:t>
      </w:r>
      <w:r w:rsidRPr="00883271">
        <w:t>which limits access to full diagnostic functionality; and</w:t>
      </w:r>
    </w:p>
    <w:p w14:paraId="79D09E46" w14:textId="3CA3595D" w:rsidR="000B1302" w:rsidRPr="00883271" w:rsidRDefault="000B1302" w:rsidP="00AA27CF">
      <w:pPr>
        <w:pStyle w:val="Bullet"/>
        <w:rPr>
          <w:u w:val="single"/>
        </w:rPr>
      </w:pPr>
      <w:r w:rsidRPr="00883271">
        <w:t xml:space="preserve">the use of </w:t>
      </w:r>
      <w:r w:rsidRPr="00AA27CF">
        <w:t>system</w:t>
      </w:r>
      <w:r w:rsidRPr="00883271">
        <w:t xml:space="preserve"> </w:t>
      </w:r>
      <w:r w:rsidRPr="00AA27CF">
        <w:t>gateways</w:t>
      </w:r>
      <w:r w:rsidRPr="00883271">
        <w:t xml:space="preserve"> which result in an increasing reliance on proprietary hardware. </w:t>
      </w:r>
    </w:p>
    <w:p w14:paraId="5354CAAE" w14:textId="0C492ADF" w:rsidR="000B1302" w:rsidRPr="00883271" w:rsidRDefault="000B1302" w:rsidP="00AA27CF">
      <w:r w:rsidRPr="00883271">
        <w:t>System gateways are now a standard feature in many modern vehicles as manufacturers seek to align vehicle design with cybersecurity requirements arising from United Nations Economic Commission for Europe Regulation 155 concerning vehicle cybersecurity.</w:t>
      </w:r>
      <w:r w:rsidRPr="00A740DC">
        <w:rPr>
          <w:rStyle w:val="FootnoteReference"/>
        </w:rPr>
        <w:footnoteReference w:id="40"/>
      </w:r>
      <w:r w:rsidRPr="00883271">
        <w:t xml:space="preserve"> These gateways manage access to the vehicle</w:t>
      </w:r>
      <w:r w:rsidR="00BF0433">
        <w:t>’</w:t>
      </w:r>
      <w:r w:rsidRPr="00883271">
        <w:t>s internal systems and data, regulating access to the vehicle and acting as the first line of defence against cyber hacking and unauthorised tampering. When a technician connects a diagnostic tool to the OBD port, or when a manufacturer sends an over</w:t>
      </w:r>
      <w:r w:rsidR="007B3C6A">
        <w:noBreakHyphen/>
      </w:r>
      <w:r w:rsidRPr="00883271">
        <w:t>the</w:t>
      </w:r>
      <w:r w:rsidR="007B3C6A">
        <w:noBreakHyphen/>
      </w:r>
      <w:r w:rsidRPr="00883271">
        <w:t xml:space="preserve">air (OTA) update, this connection is effectively mediated by the gateway and acts much like a firewall. </w:t>
      </w:r>
    </w:p>
    <w:p w14:paraId="76F05ABC" w14:textId="174455B6" w:rsidR="000B1302" w:rsidRPr="00883271" w:rsidRDefault="000B1302" w:rsidP="00AA27CF">
      <w:r w:rsidRPr="00883271">
        <w:lastRenderedPageBreak/>
        <w:t>Several submissions to the Review suggested secure gateways are limiting independent repairers</w:t>
      </w:r>
      <w:r w:rsidR="00BF0433">
        <w:t>’</w:t>
      </w:r>
      <w:r w:rsidRPr="00883271">
        <w:t xml:space="preserve"> ability to complete a repair with non</w:t>
      </w:r>
      <w:r w:rsidR="007B3C6A">
        <w:noBreakHyphen/>
      </w:r>
      <w:r w:rsidRPr="00883271">
        <w:t>proprietary hardware. For example, one stakeholder noted that recalibrating an advanced driver assistance system (ADAS) after a windscreen replacement can increasingly only be completed with proprietary hardware and that the number of recalibrations able to be undertaken with non</w:t>
      </w:r>
      <w:r w:rsidR="007B3C6A">
        <w:noBreakHyphen/>
      </w:r>
      <w:r w:rsidRPr="00883271">
        <w:t xml:space="preserve">proprietary hardware is expected to significantly decrease over time. </w:t>
      </w:r>
    </w:p>
    <w:p w14:paraId="7DD5E337" w14:textId="6DE84774" w:rsidR="000B1302" w:rsidRDefault="000B1302" w:rsidP="00AA27CF">
      <w:pPr>
        <w:spacing w:after="240"/>
      </w:pPr>
      <w:r w:rsidRPr="00883271">
        <w:t>Reflecting on these challenges, several stakeholders, including the ACCC, called for amendments requiring hardware to be made available to independent repairers under the scheme, pointing to similar requirements in the US and European Union (EU). Repairers emphasised the need for the scheme to mandate the provision of an entire diagnostic system, rather than information alone. By contrast, the FCAI noted that OEMs have a right to develop and use proprietary diagnostic hardware and protocols to ensure the integrity of their vehicle</w:t>
      </w:r>
      <w:r w:rsidR="00BF0433">
        <w:t>’</w:t>
      </w:r>
      <w:r w:rsidRPr="00883271">
        <w:t>s systems.</w:t>
      </w:r>
    </w:p>
    <w:p w14:paraId="54539F61" w14:textId="0D932207" w:rsidR="00AA27CF" w:rsidRPr="00AA27CF" w:rsidRDefault="00BF0433" w:rsidP="00AA27CF">
      <w:pPr>
        <w:pStyle w:val="PullQuote"/>
      </w:pPr>
      <w:r>
        <w:t>“</w:t>
      </w:r>
      <w:r w:rsidR="00AA27CF" w:rsidRPr="00AA27CF">
        <w:t>We are charged $45 every time we use the scan tool to diagnose a problem. We try to fix it, but if it faults again, we have to pay and then on</w:t>
      </w:r>
      <w:r w:rsidR="007B3C6A">
        <w:noBreakHyphen/>
      </w:r>
      <w:r w:rsidR="00AA27CF" w:rsidRPr="00AA27CF">
        <w:t>charge this to the consumer</w:t>
      </w:r>
      <w:r>
        <w:t>”</w:t>
      </w:r>
    </w:p>
    <w:p w14:paraId="27163E6E" w14:textId="77777777" w:rsidR="00AA27CF" w:rsidRPr="00AA27CF" w:rsidRDefault="00AA27CF" w:rsidP="00AA27CF">
      <w:pPr>
        <w:pStyle w:val="PullQuote"/>
      </w:pPr>
      <w:r w:rsidRPr="00AA27CF">
        <w:t xml:space="preserve">– Australian repairer on the cost of utilising proprietary hardware </w:t>
      </w:r>
    </w:p>
    <w:p w14:paraId="117ABE2D" w14:textId="206B40A5" w:rsidR="000B1302" w:rsidRPr="00883271" w:rsidRDefault="000B1302" w:rsidP="00AA27CF">
      <w:pPr>
        <w:spacing w:before="240"/>
      </w:pPr>
      <w:r w:rsidRPr="00883271">
        <w:t>Data providers are entitled to price proprietary hardware in view of their own commercial considerations. However, where scheme information is only able to be used in combination with this hardware, a data provider may breach the main obligation under the scheme if the cost of the hardware means the scheme information itself is not reasonably accessible. This assessment will be context</w:t>
      </w:r>
      <w:r w:rsidR="007B3C6A">
        <w:noBreakHyphen/>
      </w:r>
      <w:r w:rsidRPr="00883271">
        <w:t xml:space="preserve">specific and likely involve consideration of factors including: </w:t>
      </w:r>
    </w:p>
    <w:p w14:paraId="2CDE8E4E" w14:textId="2769D61E" w:rsidR="000B1302" w:rsidRPr="00883271" w:rsidRDefault="000B1302" w:rsidP="00AA27CF">
      <w:pPr>
        <w:pStyle w:val="Bullet"/>
      </w:pPr>
      <w:r w:rsidRPr="00883271">
        <w:t xml:space="preserve">how the cost of the </w:t>
      </w:r>
      <w:r w:rsidRPr="00AA27CF">
        <w:t>proprietary</w:t>
      </w:r>
      <w:r w:rsidRPr="00883271">
        <w:t xml:space="preserve"> hardware was determined</w:t>
      </w:r>
    </w:p>
    <w:p w14:paraId="71060486" w14:textId="6BF08A28" w:rsidR="000B1302" w:rsidRPr="00883271" w:rsidRDefault="000B1302" w:rsidP="00AA27CF">
      <w:pPr>
        <w:pStyle w:val="Bullet"/>
      </w:pPr>
      <w:r w:rsidRPr="00883271">
        <w:t xml:space="preserve">the </w:t>
      </w:r>
      <w:r w:rsidRPr="00AA27CF">
        <w:t>relative</w:t>
      </w:r>
      <w:r w:rsidRPr="00883271">
        <w:t xml:space="preserve"> cost of the proprietary hardware to non</w:t>
      </w:r>
      <w:r w:rsidR="007B3C6A">
        <w:noBreakHyphen/>
      </w:r>
      <w:r w:rsidRPr="00883271">
        <w:t>proprietary equivalents, and</w:t>
      </w:r>
    </w:p>
    <w:p w14:paraId="0EE87FBE" w14:textId="07474611" w:rsidR="000B1302" w:rsidRPr="00883271" w:rsidRDefault="000B1302" w:rsidP="00AA27CF">
      <w:pPr>
        <w:pStyle w:val="Bullet"/>
      </w:pPr>
      <w:r w:rsidRPr="00883271">
        <w:t xml:space="preserve">the functionality of the proprietary device. </w:t>
      </w:r>
    </w:p>
    <w:p w14:paraId="087967A1" w14:textId="0C4877A7" w:rsidR="000B1302" w:rsidRPr="00883271" w:rsidRDefault="000B1302" w:rsidP="00AA27CF">
      <w:r w:rsidRPr="00883271">
        <w:t>As a result, determining whether the cost of proprietary hardware in any particular case breaches the obligations under the scheme is beyond the scope of the Review. An assessment regarding whether hardware provided with different functionalities is inconsistent with the aim of the scheme to ensure all repairers utilising scheme information enjoy the same functionality also necessarily involves a context</w:t>
      </w:r>
      <w:r w:rsidR="007B3C6A">
        <w:noBreakHyphen/>
      </w:r>
      <w:r w:rsidRPr="00883271">
        <w:t>specific assessment.</w:t>
      </w:r>
      <w:r w:rsidRPr="002A17FE">
        <w:rPr>
          <w:rStyle w:val="FootnoteReference"/>
        </w:rPr>
        <w:footnoteReference w:id="41"/>
      </w:r>
      <w:r w:rsidRPr="00883271">
        <w:t xml:space="preserve"> </w:t>
      </w:r>
    </w:p>
    <w:p w14:paraId="34894988" w14:textId="52B5922B" w:rsidR="000B1302" w:rsidRPr="00883271" w:rsidRDefault="000B1302" w:rsidP="00AA27CF">
      <w:r w:rsidRPr="00883271">
        <w:t>The centrality of hardware to vehicle diagnosis, repair and maintenance means the second limb of the main obligation is critical in ensuring the effective operation of the scheme. Given this, and in light of submissions received in response to consultation, the Review considers that any steps taken to clarify the operation of the second limb would likely yield practical benefits for independent repairers and provide greater certainty for data providers. This may be provided by clarifying the matters to which a court may have regard in determining whether:</w:t>
      </w:r>
    </w:p>
    <w:p w14:paraId="11D6A92C" w14:textId="2F2480C6" w:rsidR="000B1302" w:rsidRPr="00AA27CF" w:rsidRDefault="000B1302" w:rsidP="00AA27CF">
      <w:pPr>
        <w:pStyle w:val="Bullet"/>
      </w:pPr>
      <w:r w:rsidRPr="00883271">
        <w:t xml:space="preserve">the </w:t>
      </w:r>
      <w:r w:rsidRPr="00AA27CF">
        <w:t xml:space="preserve">supply of scheme information in the same form is </w:t>
      </w:r>
      <w:r w:rsidR="00BF0433">
        <w:t>‘</w:t>
      </w:r>
      <w:r w:rsidRPr="00AA27CF">
        <w:t>practicable or accessible</w:t>
      </w:r>
      <w:r w:rsidR="00BF0433">
        <w:t>’</w:t>
      </w:r>
      <w:r w:rsidRPr="00AA27CF">
        <w:t xml:space="preserve">; and </w:t>
      </w:r>
    </w:p>
    <w:p w14:paraId="7324AA63" w14:textId="2B3083E4" w:rsidR="000B1302" w:rsidRPr="00883271" w:rsidRDefault="000B1302" w:rsidP="00AA27CF">
      <w:pPr>
        <w:pStyle w:val="Bullet"/>
      </w:pPr>
      <w:r w:rsidRPr="00AA27CF">
        <w:t>whet</w:t>
      </w:r>
      <w:r w:rsidRPr="00883271">
        <w:t xml:space="preserve">her a particular electronic form is </w:t>
      </w:r>
      <w:r w:rsidR="00BF0433">
        <w:t>‘</w:t>
      </w:r>
      <w:r w:rsidRPr="00883271">
        <w:t>reasonably accessible</w:t>
      </w:r>
      <w:r w:rsidR="00BF0433">
        <w:t>’</w:t>
      </w:r>
      <w:r w:rsidRPr="00883271">
        <w:t>.</w:t>
      </w:r>
    </w:p>
    <w:p w14:paraId="2EB141AF" w14:textId="24C2B860" w:rsidR="000B1302" w:rsidRPr="00883271" w:rsidRDefault="000B1302" w:rsidP="00AA27CF">
      <w:r w:rsidRPr="00883271">
        <w:t xml:space="preserve">While the Explanatory Memorandum provides direction in this regard, greater legislative articulation of the matters relevant to limb two of the main obligation may provide improved certainty to industry and result in an uplift of hardware accessibility for repairers. However, other mechanisms may also support repairer access to proprietary hardware. </w:t>
      </w:r>
    </w:p>
    <w:p w14:paraId="27C1B853" w14:textId="2DE4B6D5" w:rsidR="000B1302" w:rsidRPr="00883271" w:rsidRDefault="000B1302" w:rsidP="00AA27CF">
      <w:r w:rsidRPr="00883271">
        <w:lastRenderedPageBreak/>
        <w:t>Mandating that data providers offer proprietary hardware to repairers at a price no greater than its fair market value could directly respond to cost concerns raised by independent repairers during consultation. However, such a requirement would likely impose a significant and unsustainable regulatory burden on data providers. It may also result in excess demand for hardware and a net reduction in overall economic welfare.</w:t>
      </w:r>
    </w:p>
    <w:p w14:paraId="4DC917F3" w14:textId="329AF3BF" w:rsidR="000B1302" w:rsidRPr="00883271" w:rsidRDefault="000B1302" w:rsidP="00AA27CF">
      <w:r w:rsidRPr="00883271">
        <w:t>This outcome reflects the fundamental differences between hardware and scheme information. For scheme information, which is typically made available in a digital form, the marginal cost of supplying an additional unit (for example, granting portal access to another repairer) is minimal. Consequently, a price cap set at fair market value is not likely to be binding for many data providers.</w:t>
      </w:r>
    </w:p>
    <w:p w14:paraId="1E855834" w14:textId="6B3BC457" w:rsidR="000B1302" w:rsidRPr="00883271" w:rsidRDefault="000B1302" w:rsidP="00AA27CF">
      <w:r w:rsidRPr="00883271">
        <w:t>By contrast, applying a fair market value price ceiling to hardware where the intent is to reduce current market prices would likely be binding. Data providers would be less willing to supply hardware at the capped price, leading to excess demand. If required to meet this demand, providers would incur costs that exceed the regulated sale price, potentially resulting in an unsustainable financial burden. In addition to these economic considerations, mandating the supply of hardware under the scheme would engage with the rights of patent and registered design owners and Australia</w:t>
      </w:r>
      <w:r w:rsidR="00BF0433">
        <w:t>’</w:t>
      </w:r>
      <w:r w:rsidRPr="00883271">
        <w:t xml:space="preserve">s obligations under international agreements. </w:t>
      </w:r>
    </w:p>
    <w:p w14:paraId="5B0451BD" w14:textId="65FF42FC" w:rsidR="000B1302" w:rsidRPr="00883271" w:rsidRDefault="000B1302" w:rsidP="00AA27CF">
      <w:r w:rsidRPr="00883271">
        <w:t>Australia is party to a number of international agreements with obligations relating to intellectual property rights including patents and registered designs. Under Australia</w:t>
      </w:r>
      <w:r w:rsidR="00BF0433">
        <w:t>’</w:t>
      </w:r>
      <w:r w:rsidRPr="00883271">
        <w:t>s intellectual properly laws, patent and registered design owners (and their exclusive licensees) have exclusive rights to prevent third parties from using a certified design or a patented product or process without the consent of the owner or exclusive licensee. Any mandated provision of hardware under the scheme would need to be carefully assessed against the terms of Australia</w:t>
      </w:r>
      <w:r w:rsidR="00BF0433">
        <w:t>’</w:t>
      </w:r>
      <w:r w:rsidRPr="00883271">
        <w:t xml:space="preserve">s international legal obligations, including requirements under exceptions to the exclusive rights of patent and registered design owners. </w:t>
      </w:r>
    </w:p>
    <w:p w14:paraId="53BE2B75" w14:textId="0FDCA7A3" w:rsidR="000B1302" w:rsidRPr="00883271" w:rsidRDefault="000B1302" w:rsidP="00AA27CF">
      <w:r w:rsidRPr="00883271">
        <w:t>In this context, the Review considers that options to address access to hardware which do not engage with intellectual property rights not presently addressed by the scheme should be explored in the first instance. Alternative approaches which increase the supply of substitutes for proprietary hardware and place downward pressure on hardware costs without the imposition of price controls are likely preferable.</w:t>
      </w:r>
    </w:p>
    <w:p w14:paraId="3BC50430" w14:textId="74F26AF2" w:rsidR="000B1302" w:rsidRPr="00883271" w:rsidRDefault="000B1302" w:rsidP="00AA27CF">
      <w:r w:rsidRPr="00883271">
        <w:t>Some stakeholders submitted that increasing substitutes for proprietary hardware (i.e. expanding the circumstances in which non</w:t>
      </w:r>
      <w:r w:rsidR="007B3C6A">
        <w:noBreakHyphen/>
      </w:r>
      <w:r w:rsidRPr="00883271">
        <w:t>proprietary hardware can be used) may be achieved through mandating that scheme information be accessible in combination with a non</w:t>
      </w:r>
      <w:r w:rsidR="007B3C6A">
        <w:noBreakHyphen/>
      </w:r>
      <w:r w:rsidRPr="00883271">
        <w:t xml:space="preserve">proprietary vehicle interface which complies with the SAE </w:t>
      </w:r>
      <w:r>
        <w:t>J</w:t>
      </w:r>
      <w:r w:rsidRPr="00883271">
        <w:t>2534 standard.</w:t>
      </w:r>
    </w:p>
    <w:p w14:paraId="757F85C2" w14:textId="6BB20B4C" w:rsidR="000B1302" w:rsidRPr="004343EF" w:rsidRDefault="000B1302" w:rsidP="00AA27CF">
      <w:pPr>
        <w:pStyle w:val="Heading4"/>
      </w:pPr>
      <w:r w:rsidRPr="004343EF">
        <w:t xml:space="preserve">J2534 </w:t>
      </w:r>
      <w:r w:rsidRPr="00AA27CF">
        <w:t>Standard</w:t>
      </w:r>
    </w:p>
    <w:p w14:paraId="144C2F2F" w14:textId="5B36A975" w:rsidR="000B1302" w:rsidRPr="00883271" w:rsidRDefault="000B1302" w:rsidP="00AA27CF">
      <w:pPr>
        <w:rPr>
          <w:sz w:val="21"/>
          <w:szCs w:val="21"/>
        </w:rPr>
      </w:pPr>
      <w:r w:rsidRPr="00883271">
        <w:rPr>
          <w:sz w:val="21"/>
          <w:szCs w:val="21"/>
        </w:rPr>
        <w:t>SAE J2534 is a standard developed by the Society of Automotive Engineers (SAE) for vehicle diagnostic tools, enabling them to communicate with the vehicle</w:t>
      </w:r>
      <w:r w:rsidR="00BF0433">
        <w:rPr>
          <w:sz w:val="21"/>
          <w:szCs w:val="21"/>
        </w:rPr>
        <w:t>’</w:t>
      </w:r>
      <w:r w:rsidRPr="00883271">
        <w:rPr>
          <w:sz w:val="21"/>
          <w:szCs w:val="21"/>
        </w:rPr>
        <w:t>s on</w:t>
      </w:r>
      <w:r w:rsidR="007B3C6A">
        <w:rPr>
          <w:sz w:val="21"/>
          <w:szCs w:val="21"/>
        </w:rPr>
        <w:noBreakHyphen/>
      </w:r>
      <w:r w:rsidRPr="00883271">
        <w:rPr>
          <w:sz w:val="21"/>
          <w:szCs w:val="21"/>
        </w:rPr>
        <w:t>board diagnostic system. SAE J2534 provides an interface for diagnostic devices to perform a variety of functions, including diagnostics, software updates, and emissions testing.</w:t>
      </w:r>
      <w:r w:rsidRPr="00A740DC">
        <w:rPr>
          <w:rStyle w:val="FootnoteReference"/>
        </w:rPr>
        <w:footnoteReference w:id="42"/>
      </w:r>
      <w:r w:rsidRPr="00883271">
        <w:rPr>
          <w:sz w:val="21"/>
          <w:szCs w:val="21"/>
        </w:rPr>
        <w:t xml:space="preserve"> Figure 3.4 demonstrates how access to a consumer vehicle operates for a user of a SAE J2534 pass</w:t>
      </w:r>
      <w:r w:rsidR="007B3C6A">
        <w:rPr>
          <w:sz w:val="21"/>
          <w:szCs w:val="21"/>
        </w:rPr>
        <w:noBreakHyphen/>
      </w:r>
      <w:r w:rsidRPr="00883271">
        <w:rPr>
          <w:sz w:val="21"/>
          <w:szCs w:val="21"/>
        </w:rPr>
        <w:t>through device.</w:t>
      </w:r>
    </w:p>
    <w:p w14:paraId="3B2092B8" w14:textId="77777777" w:rsidR="00AA27CF" w:rsidRDefault="000B1302" w:rsidP="00110D67">
      <w:pPr>
        <w:pStyle w:val="FigureMainHeading"/>
      </w:pPr>
      <w:r w:rsidRPr="00883271">
        <w:lastRenderedPageBreak/>
        <w:t>Figure 3.4:</w:t>
      </w:r>
      <w:r w:rsidR="00AA27CF">
        <w:tab/>
      </w:r>
      <w:r w:rsidRPr="00883271">
        <w:t>Vehicle communication via J2534</w:t>
      </w:r>
    </w:p>
    <w:p w14:paraId="0E2F4010" w14:textId="62A3A5E8" w:rsidR="000B1302" w:rsidRPr="00883271" w:rsidRDefault="000B1302" w:rsidP="0078672A">
      <w:pPr>
        <w:pStyle w:val="ChartGraphic"/>
      </w:pPr>
      <w:r w:rsidRPr="00883271">
        <w:drawing>
          <wp:inline distT="0" distB="0" distL="0" distR="0" wp14:anchorId="4B3F7DD3" wp14:editId="31DB245E">
            <wp:extent cx="5612310" cy="1330779"/>
            <wp:effectExtent l="0" t="0" r="0" b="0"/>
            <wp:docPr id="239743456" name="Picture 3" descr="Graphic shows that information flows between the internet and a computer through an internet connection, a computer and a SAE J2534 device through connection via J2534 protocol, and a JAE J2534 device and the consumer's vehicle through a connection to the vehi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43456" name="Picture 3" descr="Graphic shows that information flows between the internet and a computer through an internet connection, a computer and a SAE J2534 device through connection via J2534 protocol, and a JAE J2534 device and the consumer's vehicle through a connection to the vehicle.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42145" cy="1337853"/>
                    </a:xfrm>
                    <a:prstGeom prst="rect">
                      <a:avLst/>
                    </a:prstGeom>
                    <a:noFill/>
                    <a:ln>
                      <a:noFill/>
                    </a:ln>
                  </pic:spPr>
                </pic:pic>
              </a:graphicData>
            </a:graphic>
          </wp:inline>
        </w:drawing>
      </w:r>
    </w:p>
    <w:p w14:paraId="1FFC375A" w14:textId="2DBD2C86" w:rsidR="000B1302" w:rsidRPr="00883271" w:rsidRDefault="000B1302" w:rsidP="00AA27CF">
      <w:pPr>
        <w:rPr>
          <w:sz w:val="21"/>
          <w:szCs w:val="21"/>
        </w:rPr>
      </w:pPr>
      <w:r w:rsidRPr="00883271">
        <w:rPr>
          <w:sz w:val="21"/>
          <w:szCs w:val="21"/>
        </w:rPr>
        <w:t>Information which can be accessed utilising any computer and a non</w:t>
      </w:r>
      <w:r w:rsidR="007B3C6A">
        <w:rPr>
          <w:sz w:val="21"/>
          <w:szCs w:val="21"/>
        </w:rPr>
        <w:noBreakHyphen/>
      </w:r>
      <w:r w:rsidRPr="00883271">
        <w:rPr>
          <w:sz w:val="21"/>
          <w:szCs w:val="21"/>
        </w:rPr>
        <w:t>proprietary vehicle interface which complies with the SAE J2534, or equivalent generic pass</w:t>
      </w:r>
      <w:r w:rsidR="007B3C6A">
        <w:rPr>
          <w:sz w:val="21"/>
          <w:szCs w:val="21"/>
        </w:rPr>
        <w:noBreakHyphen/>
      </w:r>
      <w:r w:rsidRPr="00883271">
        <w:rPr>
          <w:sz w:val="21"/>
          <w:szCs w:val="21"/>
        </w:rPr>
        <w:t xml:space="preserve">through device is </w:t>
      </w:r>
      <w:r w:rsidR="00BF0433">
        <w:rPr>
          <w:sz w:val="21"/>
          <w:szCs w:val="21"/>
        </w:rPr>
        <w:t>‘</w:t>
      </w:r>
      <w:r w:rsidRPr="00883271">
        <w:rPr>
          <w:sz w:val="21"/>
          <w:szCs w:val="21"/>
        </w:rPr>
        <w:t>reasonably accessible</w:t>
      </w:r>
      <w:r w:rsidR="00BF0433">
        <w:rPr>
          <w:sz w:val="21"/>
          <w:szCs w:val="21"/>
        </w:rPr>
        <w:t>’</w:t>
      </w:r>
      <w:r w:rsidRPr="00883271">
        <w:rPr>
          <w:sz w:val="21"/>
          <w:szCs w:val="21"/>
        </w:rPr>
        <w:t xml:space="preserve"> within the meaning of the scheme.</w:t>
      </w:r>
      <w:r w:rsidRPr="00A740DC">
        <w:rPr>
          <w:rStyle w:val="FootnoteReference"/>
        </w:rPr>
        <w:footnoteReference w:id="43"/>
      </w:r>
      <w:r w:rsidRPr="00883271">
        <w:rPr>
          <w:sz w:val="21"/>
          <w:szCs w:val="21"/>
        </w:rPr>
        <w:t xml:space="preserve"> However, the scheme contemplates that scheme information available in other formats can also be reasonably accessible and does not require information be made available in a J2534 compatible form. Further, </w:t>
      </w:r>
      <w:r w:rsidR="00BF0433">
        <w:rPr>
          <w:sz w:val="21"/>
          <w:szCs w:val="21"/>
        </w:rPr>
        <w:t>‘</w:t>
      </w:r>
      <w:r w:rsidRPr="00883271">
        <w:rPr>
          <w:sz w:val="21"/>
          <w:szCs w:val="21"/>
        </w:rPr>
        <w:t>reasonable accessibility</w:t>
      </w:r>
      <w:r w:rsidR="00BF0433">
        <w:rPr>
          <w:sz w:val="21"/>
          <w:szCs w:val="21"/>
        </w:rPr>
        <w:t>’</w:t>
      </w:r>
      <w:r w:rsidRPr="00883271">
        <w:rPr>
          <w:sz w:val="21"/>
          <w:szCs w:val="21"/>
        </w:rPr>
        <w:t xml:space="preserve"> is a standard that is context specific. </w:t>
      </w:r>
    </w:p>
    <w:p w14:paraId="6B80F5BB" w14:textId="3E411B14" w:rsidR="000B1302" w:rsidRPr="00883271" w:rsidRDefault="000B1302" w:rsidP="00AA27CF">
      <w:pPr>
        <w:rPr>
          <w:sz w:val="21"/>
          <w:szCs w:val="21"/>
        </w:rPr>
      </w:pPr>
      <w:r w:rsidRPr="00883271">
        <w:t xml:space="preserve">Several stakeholders, including industry associations representing the aftermarket and a data aggregator, </w:t>
      </w:r>
      <w:r w:rsidRPr="00883271">
        <w:rPr>
          <w:sz w:val="21"/>
          <w:szCs w:val="21"/>
        </w:rPr>
        <w:t xml:space="preserve">suggested that the scheme should mandate that </w:t>
      </w:r>
      <w:r w:rsidRPr="00883271">
        <w:t>data providers offer scheme information using a generic pass</w:t>
      </w:r>
      <w:r w:rsidR="007B3C6A">
        <w:noBreakHyphen/>
      </w:r>
      <w:r w:rsidRPr="00883271">
        <w:t>through device using the J2534 Application Programming Interface (API). These stakeholders pointed to similar approaches adopted in the EU, Maine and Massachusetts. Submissions asserted that this would allow better interoperability with diagnostic software, r</w:t>
      </w:r>
      <w:r w:rsidRPr="00883271">
        <w:rPr>
          <w:sz w:val="21"/>
          <w:szCs w:val="21"/>
        </w:rPr>
        <w:t>educe reliance on multiple proprietary tools and lower or eliminate cost barriers for smaller workshops. It was suggested that imposing this standard as part of the scheme would also improve independent repairers</w:t>
      </w:r>
      <w:r w:rsidR="00BF0433">
        <w:rPr>
          <w:sz w:val="21"/>
          <w:szCs w:val="21"/>
        </w:rPr>
        <w:t>’</w:t>
      </w:r>
      <w:r w:rsidRPr="00883271">
        <w:rPr>
          <w:sz w:val="21"/>
          <w:szCs w:val="21"/>
        </w:rPr>
        <w:t xml:space="preserve"> ability to compete with dealerships. </w:t>
      </w:r>
    </w:p>
    <w:p w14:paraId="4EA71C9C" w14:textId="369D7F19" w:rsidR="000B1302" w:rsidRPr="00883271" w:rsidRDefault="000B1302" w:rsidP="00AA27CF">
      <w:r w:rsidRPr="00883271">
        <w:t>The FCAI and a data aggregator were critical of proposals to adopt the SAE J2534 as part of the scheme, suggesting that the benefits of such a reform are likely overstated. These stakeholders highlighted the potential for such an intervention to:</w:t>
      </w:r>
    </w:p>
    <w:p w14:paraId="295ADEE9" w14:textId="55E0F3A8" w:rsidR="000B1302" w:rsidRPr="00883271" w:rsidRDefault="000B1302" w:rsidP="00AA27CF">
      <w:pPr>
        <w:pStyle w:val="Bullet"/>
      </w:pPr>
      <w:r w:rsidRPr="00883271">
        <w:t xml:space="preserve">inappropriately intervene in </w:t>
      </w:r>
      <w:r w:rsidRPr="00AA27CF">
        <w:t>vehicle</w:t>
      </w:r>
      <w:r w:rsidRPr="00883271">
        <w:t xml:space="preserve"> design, outside the harmonised international framework and Australian Design Rules</w:t>
      </w:r>
    </w:p>
    <w:p w14:paraId="78E39AEB" w14:textId="3A6629A5" w:rsidR="000B1302" w:rsidRPr="00883271" w:rsidRDefault="000B1302" w:rsidP="00AA27CF">
      <w:pPr>
        <w:pStyle w:val="Bullet"/>
      </w:pPr>
      <w:r w:rsidRPr="00883271">
        <w:t xml:space="preserve">result in worse outcomes for </w:t>
      </w:r>
      <w:r w:rsidRPr="00AA27CF">
        <w:t>Australian</w:t>
      </w:r>
      <w:r w:rsidRPr="00883271">
        <w:t xml:space="preserve"> repairers and preclude improvements in the sharing of scheme information which may arise as new technologies develop, and </w:t>
      </w:r>
    </w:p>
    <w:p w14:paraId="38478D37" w14:textId="6018F0DC" w:rsidR="000B1302" w:rsidRPr="00883271" w:rsidRDefault="000B1302" w:rsidP="00AA27CF">
      <w:pPr>
        <w:pStyle w:val="Bullet"/>
      </w:pPr>
      <w:r w:rsidRPr="00883271">
        <w:rPr>
          <w:rStyle w:val="eop"/>
          <w:rFonts w:cs="Calibri Light"/>
          <w:sz w:val="21"/>
          <w:szCs w:val="21"/>
        </w:rPr>
        <w:t xml:space="preserve">provide only limited </w:t>
      </w:r>
      <w:r w:rsidRPr="00AA27CF">
        <w:rPr>
          <w:rStyle w:val="eop"/>
        </w:rPr>
        <w:t>utility</w:t>
      </w:r>
      <w:r w:rsidRPr="00883271">
        <w:rPr>
          <w:rStyle w:val="eop"/>
          <w:rFonts w:cs="Calibri Light"/>
          <w:sz w:val="21"/>
          <w:szCs w:val="21"/>
        </w:rPr>
        <w:t>, as independent repairers would still be required to utilise proprietary hardware which provides higher</w:t>
      </w:r>
      <w:r w:rsidR="007B3C6A">
        <w:rPr>
          <w:rStyle w:val="eop"/>
          <w:rFonts w:cs="Calibri Light"/>
          <w:sz w:val="21"/>
          <w:szCs w:val="21"/>
        </w:rPr>
        <w:noBreakHyphen/>
      </w:r>
      <w:r w:rsidRPr="00883271">
        <w:rPr>
          <w:rStyle w:val="eop"/>
          <w:rFonts w:cs="Calibri Light"/>
          <w:sz w:val="21"/>
          <w:szCs w:val="21"/>
        </w:rPr>
        <w:t xml:space="preserve">level functionalities, such as guided diagnostics and dynamic wiring diagrams, which cannot be delivered with J2534. </w:t>
      </w:r>
    </w:p>
    <w:p w14:paraId="4A395B81" w14:textId="37230A49" w:rsidR="000B1302" w:rsidRPr="00883271" w:rsidRDefault="000B1302" w:rsidP="00AA27CF">
      <w:r w:rsidRPr="00883271">
        <w:t>Imposing an API, such as SAE J2534, can increase standardisation, usability and interoperability. However, a shift to API</w:t>
      </w:r>
      <w:r w:rsidR="007B3C6A">
        <w:noBreakHyphen/>
      </w:r>
      <w:r w:rsidRPr="00883271">
        <w:t xml:space="preserve">based data sharing as part of the scheme would likely impose significant costs on data providers and be inconsistent with industry momentum toward newer technologies. </w:t>
      </w:r>
    </w:p>
    <w:p w14:paraId="7F82D9A6" w14:textId="17F66A3D" w:rsidR="000B1302" w:rsidRPr="00883271" w:rsidRDefault="000B1302" w:rsidP="00AA27CF">
      <w:r w:rsidRPr="00883271">
        <w:t>Information provided as part of the review suggests industry momentum to Diagnostics over Internet Protocol (DoIP), with several OEMs moving beyond the OBD</w:t>
      </w:r>
      <w:r w:rsidR="007B3C6A">
        <w:noBreakHyphen/>
      </w:r>
      <w:r w:rsidRPr="00883271">
        <w:t xml:space="preserve">II interface by incorporating Ethernet connectors. While manufacturer transition timelines vary and DoIP is not yet universally supported, Ethernet offers substantially greater bandwidth, which is better suited to the large volumes of data generated by modern ECUs. </w:t>
      </w:r>
    </w:p>
    <w:p w14:paraId="204C062A" w14:textId="77777777" w:rsidR="003B1E03" w:rsidRDefault="003B1E03" w:rsidP="00110D67">
      <w:pPr>
        <w:spacing w:after="240"/>
      </w:pPr>
      <w:r>
        <w:br w:type="page"/>
      </w:r>
    </w:p>
    <w:p w14:paraId="2370EB24" w14:textId="08984DC9" w:rsidR="000B1302" w:rsidRPr="00883271" w:rsidRDefault="000B1302" w:rsidP="00110D67">
      <w:pPr>
        <w:spacing w:after="240"/>
      </w:pPr>
      <w:r w:rsidRPr="00883271">
        <w:lastRenderedPageBreak/>
        <w:t>Under the Australian Design Rule 79/03 onwards, passenger and light commercial vehicles are required to be fitted with an OBD</w:t>
      </w:r>
      <w:r w:rsidR="007B3C6A">
        <w:noBreakHyphen/>
      </w:r>
      <w:r w:rsidRPr="00883271">
        <w:t>II port for emissions</w:t>
      </w:r>
      <w:r w:rsidR="007B3C6A">
        <w:noBreakHyphen/>
      </w:r>
      <w:r w:rsidRPr="00883271">
        <w:t xml:space="preserve">related diagnostics. However, not all diagnostics are exposed through this interface. The SAE J2534 </w:t>
      </w:r>
      <w:r w:rsidR="00BF0433">
        <w:t>‘</w:t>
      </w:r>
      <w:r w:rsidRPr="00883271">
        <w:t>pass</w:t>
      </w:r>
      <w:r w:rsidR="007B3C6A">
        <w:noBreakHyphen/>
      </w:r>
      <w:r w:rsidRPr="00883271">
        <w:t>through</w:t>
      </w:r>
      <w:r w:rsidR="00BF0433">
        <w:t>’</w:t>
      </w:r>
      <w:r w:rsidRPr="00883271">
        <w:t xml:space="preserve"> standard was originally developed to facilitate ECU reprogramming over OBD</w:t>
      </w:r>
      <w:r w:rsidR="007B3C6A">
        <w:noBreakHyphen/>
      </w:r>
      <w:r w:rsidRPr="00883271">
        <w:t xml:space="preserve">II protocols, but it is not the default framework for DoIP. As OEMs transition more diagnostic functionality to Ethernet, there is a risk that mandating the provision of scheme information compatible with the J2534 API would hinder industry momentum towards more efficient means of data transfer, locking in technology which is already beginning to be surpassed. Some tool manufacturers have developed J2534 compliant tools that support DoIP and other protocols, but these are not currently widely adopted. </w:t>
      </w:r>
    </w:p>
    <w:tbl>
      <w:tblPr>
        <w:tblStyle w:val="TableGrid"/>
        <w:tblpPr w:leftFromText="180" w:rightFromText="180" w:vertAnchor="text" w:horzAnchor="margin" w:tblpY="-56"/>
        <w:tblW w:w="5000" w:type="pct"/>
        <w:shd w:val="clear" w:color="auto" w:fill="FCEEE5" w:themeFill="accent6" w:themeFillTint="33"/>
        <w:tblCellMar>
          <w:top w:w="227" w:type="dxa"/>
          <w:left w:w="227" w:type="dxa"/>
          <w:bottom w:w="227" w:type="dxa"/>
          <w:right w:w="227" w:type="dxa"/>
        </w:tblCellMar>
        <w:tblLook w:val="04A0" w:firstRow="1" w:lastRow="0" w:firstColumn="1" w:lastColumn="0" w:noHBand="0" w:noVBand="1"/>
      </w:tblPr>
      <w:tblGrid>
        <w:gridCol w:w="9072"/>
      </w:tblGrid>
      <w:tr w:rsidR="000B1302" w:rsidRPr="00883271" w14:paraId="58577967" w14:textId="77777777" w:rsidTr="00AA27CF">
        <w:trPr>
          <w:cnfStyle w:val="100000000000" w:firstRow="1" w:lastRow="0" w:firstColumn="0" w:lastColumn="0" w:oddVBand="0" w:evenVBand="0" w:oddHBand="0" w:evenHBand="0" w:firstRowFirstColumn="0" w:firstRowLastColumn="0" w:lastRowFirstColumn="0" w:lastRowLastColumn="0"/>
        </w:trPr>
        <w:tc>
          <w:tcPr>
            <w:tcW w:w="9071" w:type="dxa"/>
            <w:shd w:val="clear" w:color="auto" w:fill="FCEEE5" w:themeFill="accent6" w:themeFillTint="33"/>
          </w:tcPr>
          <w:p w14:paraId="3BB51BCA" w14:textId="111444E6" w:rsidR="000B1302" w:rsidRPr="00883271" w:rsidRDefault="000B1302" w:rsidP="003B1E03">
            <w:pPr>
              <w:pStyle w:val="BoxHeading"/>
              <w:spacing w:before="0"/>
            </w:pPr>
            <w:bookmarkStart w:id="38" w:name="_Hlk209534079"/>
            <w:r w:rsidRPr="00883271">
              <w:rPr>
                <w:noProof/>
              </w:rPr>
              <w:drawing>
                <wp:inline distT="0" distB="0" distL="0" distR="0" wp14:anchorId="2ED936D7" wp14:editId="54612A8C">
                  <wp:extent cx="285750" cy="285750"/>
                  <wp:effectExtent l="0" t="0" r="0" b="0"/>
                  <wp:docPr id="131824628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46288" name="Graphic 1">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285750" cy="285750"/>
                          </a:xfrm>
                          <a:prstGeom prst="rect">
                            <a:avLst/>
                          </a:prstGeom>
                        </pic:spPr>
                      </pic:pic>
                    </a:graphicData>
                  </a:graphic>
                </wp:inline>
              </w:drawing>
            </w:r>
            <w:r w:rsidRPr="00AA27CF">
              <w:t>Box 3.1</w:t>
            </w:r>
            <w:r w:rsidR="00FD39A3">
              <w:t>:</w:t>
            </w:r>
            <w:r w:rsidRPr="00AA27CF">
              <w:t xml:space="preserve"> International approaches</w:t>
            </w:r>
          </w:p>
          <w:p w14:paraId="2DF7D74C" w14:textId="46CB68CD" w:rsidR="000B1302" w:rsidRPr="00AA27CF" w:rsidRDefault="000B1302" w:rsidP="003B1E03">
            <w:pPr>
              <w:pStyle w:val="BoxText"/>
              <w:rPr>
                <w:b/>
                <w:kern w:val="32"/>
              </w:rPr>
            </w:pPr>
            <w:r w:rsidRPr="00AA27CF">
              <w:t xml:space="preserve">Standardised protocols such as the SAE J2534 and TMC RP 1210B have been adopted to facilitate access to vehicle repair and reprogramming </w:t>
            </w:r>
            <w:r w:rsidRPr="003B1E03">
              <w:t>functions</w:t>
            </w:r>
            <w:r w:rsidRPr="00AA27CF">
              <w:t xml:space="preserve"> across different jurisdictions:</w:t>
            </w:r>
          </w:p>
          <w:p w14:paraId="180B39F5" w14:textId="6F946040" w:rsidR="000B1302" w:rsidRPr="003B1E03" w:rsidRDefault="000B1302" w:rsidP="003B1E03">
            <w:pPr>
              <w:pStyle w:val="Boxbullet"/>
              <w:tabs>
                <w:tab w:val="clear" w:pos="284"/>
                <w:tab w:val="num" w:pos="283"/>
              </w:tabs>
              <w:rPr>
                <w:rStyle w:val="eop"/>
              </w:rPr>
            </w:pPr>
            <w:r w:rsidRPr="003B1E03">
              <w:rPr>
                <w:rStyle w:val="eop"/>
              </w:rPr>
              <w:t>In the United States, the Environmental Protection Agency mandates SAE J2534 compliance for emissions</w:t>
            </w:r>
            <w:r w:rsidR="007B3C6A">
              <w:rPr>
                <w:rStyle w:val="eop"/>
              </w:rPr>
              <w:noBreakHyphen/>
            </w:r>
            <w:r w:rsidRPr="003B1E03">
              <w:rPr>
                <w:rStyle w:val="eop"/>
              </w:rPr>
              <w:t>related ECUs in vehicles from model year 2004 onwards, ensuring that independent repairers can use generic pass</w:t>
            </w:r>
            <w:r w:rsidR="007B3C6A">
              <w:rPr>
                <w:rStyle w:val="eop"/>
              </w:rPr>
              <w:noBreakHyphen/>
            </w:r>
            <w:r w:rsidRPr="003B1E03">
              <w:rPr>
                <w:rStyle w:val="eop"/>
              </w:rPr>
              <w:t>through devices with OEM software.</w:t>
            </w:r>
          </w:p>
          <w:p w14:paraId="01E48CAC" w14:textId="6B4AD9E8" w:rsidR="000B1302" w:rsidRPr="003B1E03" w:rsidRDefault="000B1302" w:rsidP="003B1E03">
            <w:pPr>
              <w:pStyle w:val="Boxbullet"/>
              <w:rPr>
                <w:rStyle w:val="eop"/>
              </w:rPr>
            </w:pPr>
            <w:r w:rsidRPr="003B1E03">
              <w:rPr>
                <w:rStyle w:val="eop"/>
              </w:rPr>
              <w:t>The Maine and Massachusetts schemes and the US</w:t>
            </w:r>
            <w:r w:rsidR="007B3C6A">
              <w:rPr>
                <w:rStyle w:val="eop"/>
              </w:rPr>
              <w:noBreakHyphen/>
            </w:r>
            <w:r w:rsidRPr="003B1E03">
              <w:rPr>
                <w:rStyle w:val="eop"/>
              </w:rPr>
              <w:t xml:space="preserve">wide MOU (see </w:t>
            </w:r>
            <w:r w:rsidRPr="003B1E03">
              <w:rPr>
                <w:rStyle w:val="eop"/>
                <w:b/>
                <w:bCs/>
              </w:rPr>
              <w:t>appendix B</w:t>
            </w:r>
            <w:r w:rsidRPr="003B1E03">
              <w:rPr>
                <w:rStyle w:val="eop"/>
              </w:rPr>
              <w:t>) require manufacturers to provide access to diagnostic software using a SAE J2534 pass</w:t>
            </w:r>
            <w:r w:rsidR="007B3C6A">
              <w:rPr>
                <w:rStyle w:val="eop"/>
              </w:rPr>
              <w:noBreakHyphen/>
            </w:r>
            <w:r w:rsidRPr="003B1E03">
              <w:rPr>
                <w:rStyle w:val="eop"/>
              </w:rPr>
              <w:t>through device (generic hardware) for vehicles from model year 2018 onwards.</w:t>
            </w:r>
          </w:p>
          <w:p w14:paraId="37F54B53" w14:textId="6CE3F727" w:rsidR="000B1302" w:rsidRPr="00883271" w:rsidRDefault="000B1302" w:rsidP="003B1E03">
            <w:pPr>
              <w:pStyle w:val="Boxbullet"/>
            </w:pPr>
            <w:r w:rsidRPr="003B1E03">
              <w:rPr>
                <w:rStyle w:val="eop"/>
              </w:rPr>
              <w:t>Regulation (EU) 2018/858 (the type</w:t>
            </w:r>
            <w:r w:rsidR="007B3C6A">
              <w:rPr>
                <w:rStyle w:val="eop"/>
              </w:rPr>
              <w:noBreakHyphen/>
            </w:r>
            <w:r w:rsidRPr="003B1E03">
              <w:rPr>
                <w:rStyle w:val="eop"/>
              </w:rPr>
              <w:t xml:space="preserve">approval framework) requires that reprogramming of control units </w:t>
            </w:r>
            <w:r w:rsidRPr="003B1E03">
              <w:t>shall be conducted in accordance with either international standard ISO 22900</w:t>
            </w:r>
            <w:r w:rsidR="007B3C6A">
              <w:noBreakHyphen/>
            </w:r>
            <w:r w:rsidRPr="003B1E03">
              <w:t>2 or SAE J2534 or TMC RP1210B using non</w:t>
            </w:r>
            <w:r w:rsidR="007B3C6A">
              <w:noBreakHyphen/>
            </w:r>
            <w:r w:rsidRPr="003B1E03">
              <w:t>proprietary hardware.</w:t>
            </w:r>
            <w:r w:rsidRPr="00A740DC">
              <w:rPr>
                <w:rStyle w:val="FootnoteReference"/>
              </w:rPr>
              <w:footnoteReference w:id="44"/>
            </w:r>
            <w:r w:rsidRPr="00A740DC">
              <w:rPr>
                <w:rStyle w:val="FootnoteReference"/>
              </w:rPr>
              <w:t xml:space="preserve"> </w:t>
            </w:r>
          </w:p>
        </w:tc>
      </w:tr>
    </w:tbl>
    <w:bookmarkEnd w:id="38"/>
    <w:p w14:paraId="14B51EA0" w14:textId="72B541E4" w:rsidR="000B1302" w:rsidRPr="00AA27CF" w:rsidRDefault="000B1302" w:rsidP="00110D67">
      <w:pPr>
        <w:spacing w:before="240"/>
      </w:pPr>
      <w:r w:rsidRPr="00883271">
        <w:t>The market for light passenger vehicles has been characterised by significant technological advancement since the introduction of the scheme. Given this, requiring J2534 compliance as a feature of the scheme would likely have negative longer</w:t>
      </w:r>
      <w:r w:rsidR="007B3C6A">
        <w:noBreakHyphen/>
      </w:r>
      <w:r w:rsidRPr="00883271">
        <w:t>term impacts on the ability of the scheme to realise its legislated objectives, increasing regulatory burden for data providers and potentially reduced product offerings as OEMs remove non</w:t>
      </w:r>
      <w:r w:rsidR="007B3C6A">
        <w:noBreakHyphen/>
      </w:r>
      <w:r w:rsidRPr="00883271">
        <w:t>J2534 compliant vehicles from the market. As a result, the Review considers that the scheme</w:t>
      </w:r>
      <w:r w:rsidR="00BF0433">
        <w:t>’</w:t>
      </w:r>
      <w:r w:rsidRPr="00883271">
        <w:t xml:space="preserve">s current technology neutral approach to </w:t>
      </w:r>
      <w:r w:rsidR="00BF0433">
        <w:t>‘</w:t>
      </w:r>
      <w:r w:rsidRPr="00883271">
        <w:t>reasonable accessibility</w:t>
      </w:r>
      <w:r w:rsidR="00BF0433">
        <w:t>’</w:t>
      </w:r>
      <w:r w:rsidRPr="00883271">
        <w:t xml:space="preserve"> remains appropriate and the objective of decreasing reliance on proprietary hardware may be better pursued through alternative means, such as addressing challenges faced by intermediaries, including tool manufacturers, in engaging with the scheme.</w:t>
      </w:r>
      <w:bookmarkStart w:id="39" w:name="_Toc204692988"/>
    </w:p>
    <w:tbl>
      <w:tblPr>
        <w:tblStyle w:val="TableGrid"/>
        <w:tblW w:w="5000" w:type="pct"/>
        <w:shd w:val="clear" w:color="auto" w:fill="FCEEE5" w:themeFill="accent6" w:themeFillTint="33"/>
        <w:tblCellMar>
          <w:top w:w="227" w:type="dxa"/>
          <w:left w:w="227" w:type="dxa"/>
          <w:bottom w:w="227" w:type="dxa"/>
          <w:right w:w="227" w:type="dxa"/>
        </w:tblCellMar>
        <w:tblLook w:val="0620" w:firstRow="1" w:lastRow="0" w:firstColumn="0" w:lastColumn="0" w:noHBand="1" w:noVBand="1"/>
      </w:tblPr>
      <w:tblGrid>
        <w:gridCol w:w="9072"/>
      </w:tblGrid>
      <w:tr w:rsidR="000B1302" w:rsidRPr="00883271" w14:paraId="44AE688C" w14:textId="77777777" w:rsidTr="00076F29">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9FC"/>
          </w:tcPr>
          <w:p w14:paraId="0364A596" w14:textId="6F32C2BC" w:rsidR="000B1302" w:rsidRPr="00883271" w:rsidRDefault="000B1302" w:rsidP="00110D67">
            <w:pPr>
              <w:pStyle w:val="BoxHeading"/>
            </w:pPr>
            <w:r w:rsidRPr="00883271">
              <w:lastRenderedPageBreak/>
              <w:t>Finding 3</w:t>
            </w:r>
          </w:p>
          <w:p w14:paraId="47312D94" w14:textId="00FC325C" w:rsidR="000B1302" w:rsidRPr="00883271" w:rsidRDefault="000B1302" w:rsidP="00AA27CF">
            <w:pPr>
              <w:pStyle w:val="BoxText"/>
              <w:rPr>
                <w:sz w:val="17"/>
                <w:szCs w:val="17"/>
              </w:rPr>
            </w:pPr>
            <w:r w:rsidRPr="00883271">
              <w:t xml:space="preserve">Where proprietary hardware is required to utilise scheme information, associated cost, functionality and access issues can significantly hamper independent repairers’ ability to compete. Providing tool manufacturers and data aggregators with improved access to scheme information may increase repairer choice of </w:t>
            </w:r>
            <w:r w:rsidRPr="00AA27CF">
              <w:t>hardware</w:t>
            </w:r>
            <w:r w:rsidRPr="00883271">
              <w:t>, placing downward pressure on costs and benefiting consumers.</w:t>
            </w:r>
          </w:p>
        </w:tc>
      </w:tr>
    </w:tbl>
    <w:p w14:paraId="3F5D1FD3" w14:textId="2612D35F" w:rsidR="000B1302" w:rsidRPr="004343EF" w:rsidRDefault="000B1302" w:rsidP="007565F2">
      <w:pPr>
        <w:pStyle w:val="Heading2"/>
      </w:pPr>
      <w:bookmarkStart w:id="40" w:name="_Toc211963309"/>
      <w:bookmarkStart w:id="41" w:name="_Toc213340399"/>
      <w:r w:rsidRPr="004343EF">
        <w:t>Information accessibility</w:t>
      </w:r>
      <w:bookmarkEnd w:id="39"/>
      <w:bookmarkEnd w:id="40"/>
      <w:bookmarkEnd w:id="41"/>
      <w:r w:rsidRPr="004343EF">
        <w:t xml:space="preserve"> </w:t>
      </w:r>
    </w:p>
    <w:p w14:paraId="50DBD69D" w14:textId="263420F6" w:rsidR="000B1302" w:rsidRPr="00883271" w:rsidRDefault="000B1302" w:rsidP="007565F2">
      <w:r w:rsidRPr="00883271">
        <w:t xml:space="preserve">The scheme seeks to ensure that scheme information is practically accessible by prescribing how long it must be made available for, and the timeframes within which it must be supplied. This section examines the operation of these legislated timeframes, as well as practical issues experienced by repairers in navigating manufacturer portals to access scheme information. </w:t>
      </w:r>
    </w:p>
    <w:p w14:paraId="0681115E" w14:textId="19E1B78A" w:rsidR="000B1302" w:rsidRPr="004343EF" w:rsidRDefault="000B1302" w:rsidP="007565F2">
      <w:pPr>
        <w:pStyle w:val="Heading3"/>
      </w:pPr>
      <w:bookmarkStart w:id="42" w:name="_Toc211963310"/>
      <w:r w:rsidRPr="007565F2">
        <w:t>Scheme</w:t>
      </w:r>
      <w:r w:rsidRPr="004343EF">
        <w:t xml:space="preserve"> </w:t>
      </w:r>
      <w:r w:rsidRPr="00AA27CF">
        <w:t>information</w:t>
      </w:r>
      <w:r w:rsidRPr="004343EF">
        <w:t xml:space="preserve"> supply periods</w:t>
      </w:r>
      <w:bookmarkEnd w:id="42"/>
    </w:p>
    <w:p w14:paraId="13798D30" w14:textId="2348097A" w:rsidR="000B1302" w:rsidRPr="00883271" w:rsidRDefault="000B1302" w:rsidP="00AA27CF">
      <w:r w:rsidRPr="00883271">
        <w:t xml:space="preserve">Under the scheme, where the form in which scheme information is supplied allows for variability in supply periods, scheme information must be made available: </w:t>
      </w:r>
    </w:p>
    <w:p w14:paraId="62C2CE78" w14:textId="10EDD64F" w:rsidR="000B1302" w:rsidRPr="00883271" w:rsidRDefault="000B1302" w:rsidP="00284E88">
      <w:pPr>
        <w:pStyle w:val="OutlineNumbered1"/>
        <w:numPr>
          <w:ilvl w:val="0"/>
          <w:numId w:val="15"/>
        </w:numPr>
      </w:pPr>
      <w:r w:rsidRPr="00883271">
        <w:t>For any period nominated by an Australian repairer; or</w:t>
      </w:r>
    </w:p>
    <w:p w14:paraId="4F1E35AC" w14:textId="1E816082" w:rsidR="000B1302" w:rsidRPr="00883271" w:rsidRDefault="000B1302" w:rsidP="00AA27CF">
      <w:pPr>
        <w:pStyle w:val="OutlineNumbered1"/>
      </w:pPr>
      <w:r w:rsidRPr="00883271">
        <w:t>By day, by month and by year.</w:t>
      </w:r>
      <w:r w:rsidRPr="00A740DC">
        <w:rPr>
          <w:rStyle w:val="FootnoteReference"/>
        </w:rPr>
        <w:footnoteReference w:id="45"/>
      </w:r>
      <w:r w:rsidRPr="00883271">
        <w:t xml:space="preserve"> </w:t>
      </w:r>
    </w:p>
    <w:p w14:paraId="50AF4EEC" w14:textId="52086100" w:rsidR="000B1302" w:rsidRPr="00883271" w:rsidRDefault="000B1302" w:rsidP="007565F2">
      <w:r w:rsidRPr="00883271">
        <w:t>While the scheme prescribes a minimum level of variability, several manufacturers provide greater variability in the periods for which scheme information is available. Where the form of the scheme information does not allow for variability, the data provider may choose to offer scheme information on a fee</w:t>
      </w:r>
      <w:r w:rsidR="007B3C6A">
        <w:noBreakHyphen/>
      </w:r>
      <w:r w:rsidRPr="00883271">
        <w:t>per</w:t>
      </w:r>
      <w:r w:rsidR="007B3C6A">
        <w:noBreakHyphen/>
      </w:r>
      <w:r w:rsidRPr="00883271">
        <w:t xml:space="preserve">request basis. By providing repairers with the flexibility to access scheme information across multiple time periods, the scheme enables repairers to match their investment in scheme information with its expected use. </w:t>
      </w:r>
    </w:p>
    <w:p w14:paraId="23721E9D" w14:textId="40DB7949" w:rsidR="000B1302" w:rsidRPr="00883271" w:rsidRDefault="000B1302" w:rsidP="007565F2">
      <w:r w:rsidRPr="00883271">
        <w:t>In response to consultation, stakeholders raised two main concerns regarding scheme information supply periods. Firstly, the FCAI raised that the one</w:t>
      </w:r>
      <w:r w:rsidR="007B3C6A">
        <w:noBreakHyphen/>
      </w:r>
      <w:r w:rsidRPr="00883271">
        <w:t>day supply period obligation is poorly adapted to circumstances where a diagnostic solution necessitates the use of proprietary hardware. The FCAI recommended that the requirement for one</w:t>
      </w:r>
      <w:r w:rsidR="007B3C6A">
        <w:noBreakHyphen/>
      </w:r>
      <w:r w:rsidRPr="00883271">
        <w:t xml:space="preserve">day access be removed in these circumstances. </w:t>
      </w:r>
    </w:p>
    <w:p w14:paraId="2CD04948" w14:textId="4C34DF94" w:rsidR="000B1302" w:rsidRPr="00883271" w:rsidRDefault="000B1302" w:rsidP="007565F2">
      <w:r w:rsidRPr="00883271">
        <w:t xml:space="preserve">Separately, the ACCC noted that supply periods have been an ongoing compliance issue and recommended legislative clarification that: </w:t>
      </w:r>
    </w:p>
    <w:p w14:paraId="51B249D6" w14:textId="33E6BAAD" w:rsidR="000B1302" w:rsidRPr="00883271" w:rsidRDefault="000B1302" w:rsidP="00AA27CF">
      <w:pPr>
        <w:pStyle w:val="Bullet"/>
      </w:pPr>
      <w:r w:rsidRPr="00883271">
        <w:t>Data providers must offer a time</w:t>
      </w:r>
      <w:r w:rsidR="007B3C6A">
        <w:noBreakHyphen/>
      </w:r>
      <w:r w:rsidRPr="00883271">
        <w:t xml:space="preserve">variable supply period should the form of information allow for variability, even if the dealership is only able to purchase the information for a specific period, and </w:t>
      </w:r>
    </w:p>
    <w:p w14:paraId="75C1C6D6" w14:textId="4007FD26" w:rsidR="000B1302" w:rsidRPr="00883271" w:rsidRDefault="000B1302" w:rsidP="00AA27CF">
      <w:pPr>
        <w:pStyle w:val="Bullet"/>
      </w:pPr>
      <w:r w:rsidRPr="00AA27CF">
        <w:t>Generally</w:t>
      </w:r>
      <w:r w:rsidRPr="00883271">
        <w:t xml:space="preserve">, all electronic forms of information can reasonably be expected to allow for variability of the supply period, when appropriate technology is applied and enabled. </w:t>
      </w:r>
    </w:p>
    <w:p w14:paraId="5DEDD45E" w14:textId="4B0840D9" w:rsidR="000B1302" w:rsidRPr="00883271" w:rsidRDefault="000B1302" w:rsidP="00147B3A">
      <w:r w:rsidRPr="00883271">
        <w:t>The issues raised by the ACCC and FCAI suggest that the scheme may benefit from bolstering the scheme</w:t>
      </w:r>
      <w:r w:rsidR="00BF0433">
        <w:t>’</w:t>
      </w:r>
      <w:r w:rsidRPr="00883271">
        <w:t xml:space="preserve">s information supply periods. </w:t>
      </w:r>
    </w:p>
    <w:p w14:paraId="63B21670" w14:textId="5E49AC67" w:rsidR="000B1302" w:rsidRPr="004343EF" w:rsidRDefault="000B1302" w:rsidP="00AA27CF">
      <w:pPr>
        <w:pStyle w:val="Heading4"/>
      </w:pPr>
      <w:r w:rsidRPr="004343EF">
        <w:lastRenderedPageBreak/>
        <w:t xml:space="preserve">Supply </w:t>
      </w:r>
      <w:r w:rsidRPr="00AA27CF">
        <w:t>periods</w:t>
      </w:r>
      <w:r w:rsidRPr="004343EF">
        <w:t xml:space="preserve"> and hardware </w:t>
      </w:r>
    </w:p>
    <w:p w14:paraId="7E5AFF68" w14:textId="2C7ECC7B" w:rsidR="000B1302" w:rsidRPr="00883271" w:rsidRDefault="000B1302" w:rsidP="00147B3A">
      <w:r w:rsidRPr="00883271">
        <w:t>A substantial portion of Australia</w:t>
      </w:r>
      <w:r w:rsidR="00BF0433">
        <w:t>’</w:t>
      </w:r>
      <w:r w:rsidRPr="00883271">
        <w:t xml:space="preserve">s independent workshops operate outside metropolitan centres. While industry analysis suggests that regional workshops are somewhat less likely to engage with the scheme, data providers packaging and dispatching proprietary hardware in compliance with the scheme will often do so outside of metropolitan areas and, in many cases, this hardware may be shipped over long distances. </w:t>
      </w:r>
    </w:p>
    <w:p w14:paraId="12FD98EF" w14:textId="4CF6DF88" w:rsidR="000B1302" w:rsidRPr="00883271" w:rsidRDefault="000B1302" w:rsidP="00AA27CF">
      <w:r w:rsidRPr="00883271">
        <w:t>Given this, hardware supplied for one</w:t>
      </w:r>
      <w:r w:rsidR="007B3C6A">
        <w:noBreakHyphen/>
      </w:r>
      <w:r w:rsidRPr="00883271">
        <w:t>day access may often be made unavailable for supply to other repairers for multiple days, at a cost to data providers. While concerns regarding the one</w:t>
      </w:r>
      <w:r w:rsidR="007B3C6A">
        <w:noBreakHyphen/>
      </w:r>
      <w:r w:rsidRPr="00883271">
        <w:t>day supply period will not apply in each circumstance, the views raised by industry support a case for re</w:t>
      </w:r>
      <w:r w:rsidR="007B3C6A">
        <w:noBreakHyphen/>
      </w:r>
      <w:r w:rsidRPr="00883271">
        <w:t>examining the one</w:t>
      </w:r>
      <w:r w:rsidR="007B3C6A">
        <w:noBreakHyphen/>
      </w:r>
      <w:r w:rsidRPr="00883271">
        <w:t xml:space="preserve">day supply period requirement in circumstances where: </w:t>
      </w:r>
    </w:p>
    <w:p w14:paraId="4F5C0B62" w14:textId="68569706" w:rsidR="000B1302" w:rsidRPr="00883271" w:rsidRDefault="000B1302" w:rsidP="00284E88">
      <w:pPr>
        <w:pStyle w:val="OutlineNumbered1"/>
        <w:numPr>
          <w:ilvl w:val="0"/>
          <w:numId w:val="16"/>
        </w:numPr>
      </w:pPr>
      <w:r w:rsidRPr="00883271">
        <w:t xml:space="preserve">scheme information is utilised in combination with proprietary hardware, and </w:t>
      </w:r>
    </w:p>
    <w:p w14:paraId="1B75378D" w14:textId="4BE8B0F0" w:rsidR="000B1302" w:rsidRPr="00883271" w:rsidRDefault="000B1302" w:rsidP="00AA27CF">
      <w:pPr>
        <w:pStyle w:val="OutlineNumbered1"/>
      </w:pPr>
      <w:r w:rsidRPr="00883271">
        <w:t xml:space="preserve">the Australian repairer acquires the hardware from the data provider, requiring the data provider to send a physical device to the repairer. </w:t>
      </w:r>
    </w:p>
    <w:p w14:paraId="56A8E0CA" w14:textId="659CB67E" w:rsidR="000B1302" w:rsidRPr="00883271" w:rsidRDefault="000B1302" w:rsidP="00AA27CF">
      <w:r w:rsidRPr="00883271">
        <w:t xml:space="preserve">The existing timeframes remain appropriate where a repairer obtains a daily subscription to access scheme information and does not also acquire hardware as part of the same transaction. </w:t>
      </w:r>
    </w:p>
    <w:p w14:paraId="0E7445AE" w14:textId="01E3412B" w:rsidR="000B1302" w:rsidRPr="00883271" w:rsidRDefault="000B1302" w:rsidP="00AA27CF">
      <w:r w:rsidRPr="00883271">
        <w:t xml:space="preserve">In considering alternative supply periods appropriate for this circumstance, it is likely that a simple reduction in the range of time periods prescribed in the legislation to only include monthly and yearly options would be inconsistent with the policy intent underlying the existing provisions. Given the increased cost of accessing proprietary hardware over longer periods, such a change may practically result in reduced access to scheme information by independent repairers. </w:t>
      </w:r>
    </w:p>
    <w:p w14:paraId="0A3AE7DC" w14:textId="09E9C769" w:rsidR="000B1302" w:rsidRPr="00883271" w:rsidRDefault="000B1302" w:rsidP="00AA27CF">
      <w:r w:rsidRPr="00883271">
        <w:t>The Review considers that there may be benefit in exploring the feasibility of prescribing a period longer than one day, and less than one month, as the shortest period for the supply of scheme information in these circumstances. Such an approach may better avoid redistributing the apparent existing regulatory burden from data providers onto repairers and enable repairers to continue to align their investment in scheme information with their operational needs.</w:t>
      </w:r>
    </w:p>
    <w:p w14:paraId="065F9804" w14:textId="3BF240EF" w:rsidR="000B1302" w:rsidRPr="004343EF" w:rsidRDefault="000B1302" w:rsidP="00AA27CF">
      <w:pPr>
        <w:pStyle w:val="Heading4"/>
      </w:pPr>
      <w:r w:rsidRPr="004343EF">
        <w:t xml:space="preserve">Form variability </w:t>
      </w:r>
    </w:p>
    <w:p w14:paraId="339020D1" w14:textId="7770FC66" w:rsidR="000B1302" w:rsidRPr="00883271" w:rsidRDefault="000B1302" w:rsidP="00AA27CF">
      <w:r w:rsidRPr="00883271">
        <w:t>The ACCC</w:t>
      </w:r>
      <w:r w:rsidR="00BF0433">
        <w:t>’</w:t>
      </w:r>
      <w:r w:rsidRPr="00883271">
        <w:t>s recommendation to clarify that information supplied in an electronic form is expected to allow for variability in the supply period reflects updates made to the ACCC</w:t>
      </w:r>
      <w:r w:rsidR="00BF0433">
        <w:t>’</w:t>
      </w:r>
      <w:r w:rsidRPr="00883271">
        <w:t>s Regulatory Guidance in mid</w:t>
      </w:r>
      <w:r w:rsidR="007B3C6A">
        <w:noBreakHyphen/>
      </w:r>
      <w:r w:rsidRPr="00883271">
        <w:t xml:space="preserve">2025. Specifically, the guidance provides that, when assessing whether the form of scheme information allows for variability in the supply period, the data provider may consider: </w:t>
      </w:r>
    </w:p>
    <w:p w14:paraId="6A73404F" w14:textId="66524D83" w:rsidR="000B1302" w:rsidRPr="00AA27CF" w:rsidRDefault="000B1302" w:rsidP="00AA27CF">
      <w:pPr>
        <w:pStyle w:val="Bullet"/>
      </w:pPr>
      <w:r w:rsidRPr="00AA27CF">
        <w:t>Whether it has previously supplied the scheme information by way of a time limited subscription service</w:t>
      </w:r>
    </w:p>
    <w:p w14:paraId="61863FC9" w14:textId="79DC36A9" w:rsidR="000B1302" w:rsidRPr="00AA27CF" w:rsidRDefault="000B1302" w:rsidP="00AA27CF">
      <w:pPr>
        <w:pStyle w:val="Bullet"/>
      </w:pPr>
      <w:r w:rsidRPr="00AA27CF">
        <w:t>Whether scheme information for the same vehicle has been offered to independent repairers in overseas jurisdictions in a time limited manner</w:t>
      </w:r>
    </w:p>
    <w:p w14:paraId="2D9BEF9D" w14:textId="07392726" w:rsidR="000B1302" w:rsidRPr="00AA27CF" w:rsidRDefault="000B1302" w:rsidP="00AA27CF">
      <w:pPr>
        <w:pStyle w:val="Bullet"/>
      </w:pPr>
      <w:r w:rsidRPr="00AA27CF">
        <w:t>Whether the existing form of scheme information already functions to provide variable time limited supplies of scheme information, or whether the data provider can take additional steps to enable the scheme information to be supplied for time limited periods</w:t>
      </w:r>
    </w:p>
    <w:p w14:paraId="48E73ECB" w14:textId="07A85158" w:rsidR="000B1302" w:rsidRPr="00883271" w:rsidRDefault="000B1302" w:rsidP="00AA27CF">
      <w:pPr>
        <w:pStyle w:val="Bullet"/>
      </w:pPr>
      <w:r w:rsidRPr="00AA27CF">
        <w:t>If it is feasible for the data provider to take steps to enable the supply of scheme information for time limited periods</w:t>
      </w:r>
      <w:r w:rsidRPr="00883271">
        <w:t xml:space="preserve"> the form allows for variability in the supply period, in which case the data</w:t>
      </w:r>
      <w:r w:rsidR="00E95A84">
        <w:t xml:space="preserve"> provider</w:t>
      </w:r>
      <w:r w:rsidRPr="00883271">
        <w:t xml:space="preserve"> must take those steps to comply with s 57CA(3).</w:t>
      </w:r>
    </w:p>
    <w:p w14:paraId="71569272" w14:textId="5C541DF7" w:rsidR="000B1302" w:rsidRPr="00883271" w:rsidRDefault="000B1302" w:rsidP="00AA27CF">
      <w:r w:rsidRPr="00883271">
        <w:lastRenderedPageBreak/>
        <w:t>Analysis undertaken as part of the Review suggests that at least eight scheme vehicle manufacturers do not currently provide access to diagnostic software by day, month and year. While identifying whether each of these instances reflects non</w:t>
      </w:r>
      <w:r w:rsidR="007B3C6A">
        <w:noBreakHyphen/>
      </w:r>
      <w:r w:rsidRPr="00883271">
        <w:t xml:space="preserve">compliance is beyond the scope of the Review, the level of variation seen in the periods for which scheme information is made available speaks in favour of providing greater clarity in relation to the operation of s 57CA(3). </w:t>
      </w:r>
    </w:p>
    <w:p w14:paraId="018CCC5A" w14:textId="39830934" w:rsidR="000B1302" w:rsidRPr="00883271" w:rsidRDefault="000B1302" w:rsidP="00147B3A">
      <w:r w:rsidRPr="00883271">
        <w:t>The Review considers that enhancing the express alignment between the scheme and the ACCC</w:t>
      </w:r>
      <w:r w:rsidR="00BF0433">
        <w:t>’</w:t>
      </w:r>
      <w:r w:rsidRPr="00883271">
        <w:t>s Regulatory Guidance on supply periods would support the provision of accessible and affordable information, consistent with the scheme</w:t>
      </w:r>
      <w:r w:rsidR="00BF0433">
        <w:t>’</w:t>
      </w:r>
      <w:r w:rsidRPr="00883271">
        <w:t>s objectives. Any such clarification to supply periods under the scheme would, however, need to recognise the unique considerations applying to circumstances involving the supply of proprietary hardware.</w:t>
      </w:r>
    </w:p>
    <w:p w14:paraId="5AA945C0" w14:textId="286F1C96" w:rsidR="000B1302" w:rsidRPr="004343EF" w:rsidRDefault="000B1302" w:rsidP="00AA27CF">
      <w:pPr>
        <w:pStyle w:val="Heading3"/>
      </w:pPr>
      <w:bookmarkStart w:id="43" w:name="_Toc211963311"/>
      <w:r w:rsidRPr="004343EF">
        <w:t>Timeframes for the supply of scheme information</w:t>
      </w:r>
      <w:bookmarkEnd w:id="43"/>
      <w:r w:rsidRPr="004343EF">
        <w:t xml:space="preserve"> </w:t>
      </w:r>
    </w:p>
    <w:p w14:paraId="19E97C72" w14:textId="52F47C5E" w:rsidR="000B1302" w:rsidRPr="00883271" w:rsidRDefault="000B1302" w:rsidP="00AA27CF">
      <w:r w:rsidRPr="00883271">
        <w:t>Ensuring scheme information is made available promptly is critical in supporting competition in the market for motor vehicle repair. The scheme prescribes that, depending on the context, scheme information must be supplied to Australian repairers and scheme RTOs either (i) immediately, (ii) within 2 business days, or (iii) within five business days (or an alternative agreed period). The timeframe for supply starts once the repairer has paid, or offered to pay, the scheme offer price or another agreed price. Figure 3.5, from the ACCC</w:t>
      </w:r>
      <w:r w:rsidR="00BF0433">
        <w:t>’</w:t>
      </w:r>
      <w:r w:rsidRPr="00883271">
        <w:t xml:space="preserve">s Regulatory Guidance, summarises the circumstances to which each of the timeframes apply: </w:t>
      </w:r>
    </w:p>
    <w:p w14:paraId="06186D3E" w14:textId="7831DC09" w:rsidR="000B1302" w:rsidRPr="00883271" w:rsidRDefault="000B1302" w:rsidP="00110D67">
      <w:pPr>
        <w:pStyle w:val="FigureMainHeading"/>
      </w:pPr>
      <w:r w:rsidRPr="00883271">
        <w:t>Figure 3.5: Timeframes for the supply of scheme information</w:t>
      </w:r>
      <w:r w:rsidRPr="00A740DC">
        <w:rPr>
          <w:rStyle w:val="FootnoteReference"/>
        </w:rPr>
        <w:footnoteReference w:id="46"/>
      </w:r>
    </w:p>
    <w:p w14:paraId="645440CB" w14:textId="47810D99" w:rsidR="003F598B" w:rsidRDefault="003F598B" w:rsidP="003B1E03">
      <w:pPr>
        <w:pStyle w:val="ChartGraphic"/>
        <w:keepNext w:val="0"/>
        <w:spacing w:before="80"/>
      </w:pPr>
      <w:r>
        <w:drawing>
          <wp:inline distT="0" distB="0" distL="0" distR="0" wp14:anchorId="5E69B29E" wp14:editId="4082069D">
            <wp:extent cx="5688000" cy="4314503"/>
            <wp:effectExtent l="0" t="0" r="8255" b="0"/>
            <wp:docPr id="1027438294" name="Picture 1" descr="Graphic shows a flow chart which demonstrates that scheme information must be provided immediately where it is readily accessible and does not contain safety or security information. Where scheme information has not been provided previously, data providers have up to two business days to provide it. Where information is not readily accessible and has not been provided previously, information must be supplied within five business days or a later alternative time agreed between the par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38294" name="Picture 1" descr="Graphic shows a flow chart which demonstrates that scheme information must be provided immediately where it is readily accessible and does not contain safety or security information. Where scheme information has not been provided previously, data providers have up to two business days to provide it. Where information is not readily accessible and has not been provided previously, information must be supplied within five business days or a later alternative time agreed between the parties. "/>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a:fillRect/>
                    </a:stretch>
                  </pic:blipFill>
                  <pic:spPr bwMode="auto">
                    <a:xfrm>
                      <a:off x="0" y="0"/>
                      <a:ext cx="5688000" cy="4314503"/>
                    </a:xfrm>
                    <a:prstGeom prst="rect">
                      <a:avLst/>
                    </a:prstGeom>
                    <a:noFill/>
                    <a:ln>
                      <a:noFill/>
                    </a:ln>
                    <a:extLst>
                      <a:ext uri="{53640926-AAD7-44D8-BBD7-CCE9431645EC}">
                        <a14:shadowObscured xmlns:a14="http://schemas.microsoft.com/office/drawing/2010/main"/>
                      </a:ext>
                    </a:extLst>
                  </pic:spPr>
                </pic:pic>
              </a:graphicData>
            </a:graphic>
          </wp:inline>
        </w:drawing>
      </w:r>
    </w:p>
    <w:p w14:paraId="4C5005C0" w14:textId="1F2003B4" w:rsidR="000B1302" w:rsidRPr="00883271" w:rsidRDefault="000B1302" w:rsidP="00AA27CF">
      <w:r w:rsidRPr="00883271">
        <w:lastRenderedPageBreak/>
        <w:t xml:space="preserve">In response to consultation, the AAAA expressed concern regarding compliance with the prescribed timeframes for the supply of scheme information, citing particular difficulties associated with timely access to security information. Survey results reflected these views, with approximately 45 per cent of stakeholders indicating that issues experienced in accessing service, repair and diagnostic information in the last 12 months were due to delays in receiving scheme information. </w:t>
      </w:r>
    </w:p>
    <w:p w14:paraId="5F97C0F9" w14:textId="5CC46075" w:rsidR="000B1302" w:rsidRPr="00883271" w:rsidRDefault="000B1302" w:rsidP="00AA27CF">
      <w:r w:rsidRPr="00883271">
        <w:t>The Motor Trades Association of Australia (MTAA) submitted that the scheme should be amended to decrease delays in information transfer, by reducing the longest prescribed period for supply under the scheme from five days to 24 hours. Consistent with the theme of ensuring timely access to scheme information, the ACCC separately recommended amendments be made to:</w:t>
      </w:r>
    </w:p>
    <w:p w14:paraId="4DC74C74" w14:textId="4B589FB7" w:rsidR="000B1302" w:rsidRPr="00AA27CF" w:rsidRDefault="000B1302" w:rsidP="00AA27CF">
      <w:pPr>
        <w:pStyle w:val="Bullet"/>
      </w:pPr>
      <w:r w:rsidRPr="00883271">
        <w:t xml:space="preserve">ensure </w:t>
      </w:r>
      <w:r w:rsidRPr="00AA27CF">
        <w:t xml:space="preserve">locksmiths have timely access to security information </w:t>
      </w:r>
    </w:p>
    <w:p w14:paraId="15129074" w14:textId="33839DAC" w:rsidR="000B1302" w:rsidRPr="00AA27CF" w:rsidRDefault="000B1302" w:rsidP="00AA27CF">
      <w:pPr>
        <w:pStyle w:val="Bullet"/>
      </w:pPr>
      <w:r w:rsidRPr="00AA27CF">
        <w:t>require data providers to set up automated systems for the provision of scheme information, including outside of the data provider</w:t>
      </w:r>
      <w:r w:rsidR="00BF0433">
        <w:t>’</w:t>
      </w:r>
      <w:r w:rsidRPr="00AA27CF">
        <w:t xml:space="preserve">s business hours </w:t>
      </w:r>
    </w:p>
    <w:p w14:paraId="47204050" w14:textId="0B6204A9" w:rsidR="000B1302" w:rsidRPr="00883271" w:rsidRDefault="000B1302" w:rsidP="00AA27CF">
      <w:pPr>
        <w:pStyle w:val="Bullet"/>
      </w:pPr>
      <w:r w:rsidRPr="00AA27CF">
        <w:t>require data providers ensure access to scheme information can take place within minutes rather than hours or</w:t>
      </w:r>
      <w:r w:rsidRPr="00883271">
        <w:t xml:space="preserve"> days of the request, where information is supplied in an electronic form.</w:t>
      </w:r>
    </w:p>
    <w:p w14:paraId="16C3749E" w14:textId="6DEA58CF" w:rsidR="000B1302" w:rsidRPr="00883271" w:rsidRDefault="000B1302" w:rsidP="00AA27CF">
      <w:r w:rsidRPr="00883271">
        <w:t xml:space="preserve">The FCAI emphasised the need for flexibility in legislated timeframes for supply in circumstances where diagnostic solutions include the supply of proprietary hardware. </w:t>
      </w:r>
    </w:p>
    <w:p w14:paraId="435B21C3" w14:textId="0F31EFCD" w:rsidR="000B1302" w:rsidRPr="00883271" w:rsidRDefault="000B1302" w:rsidP="00A740DC">
      <w:r w:rsidRPr="00883271">
        <w:t xml:space="preserve">Taken together, the information provided to the Review suggests that there may be scope to clarify the existing timeframes for the supply of scheme information, particularly in relation to (i) security information, and (ii) scheme information made available with proprietary hardware. </w:t>
      </w:r>
    </w:p>
    <w:p w14:paraId="4E368ED0" w14:textId="5C3F0FB7" w:rsidR="000B1302" w:rsidRPr="00883271" w:rsidRDefault="000B1302" w:rsidP="00A740DC">
      <w:r w:rsidRPr="00883271">
        <w:t>Concerns regarding timely access to security information are most acute in the context of key re</w:t>
      </w:r>
      <w:r w:rsidR="007B3C6A">
        <w:noBreakHyphen/>
      </w:r>
      <w:r w:rsidRPr="00883271">
        <w:t>coding. For modern vehicles, where a consumer requires a new vehicle key, for example because all keys have been lost, an independent repairer will need to obtain a security code from a data provider to re</w:t>
      </w:r>
      <w:r w:rsidR="007B3C6A">
        <w:noBreakHyphen/>
      </w:r>
      <w:r w:rsidRPr="00883271">
        <w:t xml:space="preserve">code keys. Being able to service consumers immediately in these circumstances is critical. </w:t>
      </w:r>
    </w:p>
    <w:p w14:paraId="2493567D" w14:textId="18F62E17" w:rsidR="000B1302" w:rsidRPr="00883271" w:rsidRDefault="000B1302" w:rsidP="00A740DC">
      <w:r w:rsidRPr="00883271">
        <w:t>Where data providers use automated processes to provide codes to dealerships but manual processes to provide information to independent repairers, this can result in material delays and substantially reduce the independent repairer</w:t>
      </w:r>
      <w:r w:rsidR="00BF0433">
        <w:t>’</w:t>
      </w:r>
      <w:r w:rsidRPr="00883271">
        <w:t xml:space="preserve">s ability to compete. Under the scheme, data providers have up to two days to provide these codes to independent repairers where they have not previously determined the repairer meets the fit and proper person requirements to access security information. However, where the data provider has previously determined the repairer meets these requirements, this information must be provided immediately. </w:t>
      </w:r>
    </w:p>
    <w:p w14:paraId="15BBF1C7" w14:textId="2462B917" w:rsidR="000B1302" w:rsidRPr="00883271" w:rsidRDefault="000B1302" w:rsidP="00A740DC">
      <w:r w:rsidRPr="00883271">
        <w:t>The Review notes the time</w:t>
      </w:r>
      <w:r w:rsidR="007B3C6A">
        <w:noBreakHyphen/>
      </w:r>
      <w:r w:rsidRPr="00883271">
        <w:t>critical nature of key re</w:t>
      </w:r>
      <w:r w:rsidR="007B3C6A">
        <w:noBreakHyphen/>
      </w:r>
      <w:r w:rsidRPr="00883271">
        <w:t xml:space="preserve">coding in an </w:t>
      </w:r>
      <w:r w:rsidR="00BF0433">
        <w:t>‘</w:t>
      </w:r>
      <w:r w:rsidRPr="00883271">
        <w:t>all keys lost</w:t>
      </w:r>
      <w:r w:rsidR="00BF0433">
        <w:t>’</w:t>
      </w:r>
      <w:r w:rsidRPr="00883271">
        <w:t xml:space="preserve"> situation means that, where the two</w:t>
      </w:r>
      <w:r w:rsidR="007B3C6A">
        <w:noBreakHyphen/>
      </w:r>
      <w:r w:rsidRPr="00883271">
        <w:t>day legislated time</w:t>
      </w:r>
      <w:r w:rsidR="007B3C6A">
        <w:noBreakHyphen/>
      </w:r>
      <w:r w:rsidRPr="00883271">
        <w:t>period applies and consumers have access to a dealership alternative, independent repairers</w:t>
      </w:r>
      <w:r w:rsidR="00BF0433">
        <w:t>’</w:t>
      </w:r>
      <w:r w:rsidRPr="00883271">
        <w:t xml:space="preserve"> ability to compete is likely limited. Nevertheless, in the absence of detailed evidence regarding the aggregate impact of this competitive disadvantage, imposing a requirement on data providers which requires the development of new automated systems to facilitate the immediate delivery of scheme information in these circumstances would likely impose an unacceptable and disproportionate regulatory burden on data providers. However, alternative approaches may enhance timely access to security information under the scheme.</w:t>
      </w:r>
    </w:p>
    <w:p w14:paraId="77497CD0" w14:textId="2151AE8C" w:rsidR="000B1302" w:rsidRPr="00A740DC" w:rsidRDefault="000B1302" w:rsidP="00A740DC">
      <w:pPr>
        <w:rPr>
          <w:spacing w:val="-1"/>
        </w:rPr>
      </w:pPr>
      <w:r w:rsidRPr="00A740DC">
        <w:rPr>
          <w:spacing w:val="-1"/>
        </w:rPr>
        <w:t xml:space="preserve">A central limitation in improving the timely access to this information where data providers use manual systems is the need for data providers to consider declarations made by repairers confirming they: </w:t>
      </w:r>
    </w:p>
    <w:p w14:paraId="0AFA2262" w14:textId="71B0A022" w:rsidR="000B1302" w:rsidRPr="00883271" w:rsidRDefault="000B1302" w:rsidP="00284E88">
      <w:pPr>
        <w:pStyle w:val="OutlineNumbered1"/>
        <w:numPr>
          <w:ilvl w:val="0"/>
          <w:numId w:val="18"/>
        </w:numPr>
      </w:pPr>
      <w:r w:rsidRPr="00883271">
        <w:t>are authorised by the owner of the vehicle to access security information and providing the vehicle</w:t>
      </w:r>
      <w:r w:rsidR="00BF0433">
        <w:t>’</w:t>
      </w:r>
      <w:r w:rsidRPr="00883271">
        <w:t>s Vehicle Identification Number (VIN) (</w:t>
      </w:r>
      <w:r w:rsidR="00BF0433">
        <w:t>‘</w:t>
      </w:r>
      <w:r w:rsidRPr="00883271">
        <w:t>Consumer Authorisation</w:t>
      </w:r>
      <w:r w:rsidR="00BF0433">
        <w:t>’</w:t>
      </w:r>
      <w:r w:rsidRPr="00883271">
        <w:t>), and</w:t>
      </w:r>
    </w:p>
    <w:p w14:paraId="2EC92F25" w14:textId="5F4E73F5" w:rsidR="000B1302" w:rsidRPr="00883271" w:rsidRDefault="000B1302" w:rsidP="00110D67">
      <w:pPr>
        <w:pStyle w:val="OutlineNumbered1"/>
      </w:pPr>
      <w:r w:rsidRPr="00883271">
        <w:t>have not been convicted of an offence since the date of their most recent national police check report (</w:t>
      </w:r>
      <w:r w:rsidR="00BF0433">
        <w:t>‘</w:t>
      </w:r>
      <w:r w:rsidRPr="00883271">
        <w:t>Conviction Declaration</w:t>
      </w:r>
      <w:r w:rsidR="00BF0433">
        <w:t>’</w:t>
      </w:r>
      <w:r w:rsidRPr="00883271">
        <w:t>).</w:t>
      </w:r>
    </w:p>
    <w:p w14:paraId="25D28AD4" w14:textId="50B48E25" w:rsidR="000B1302" w:rsidRPr="00883271" w:rsidRDefault="000B1302" w:rsidP="00A740DC">
      <w:r w:rsidRPr="00883271">
        <w:lastRenderedPageBreak/>
        <w:t>Currently, a data provider must consider both declarations to determine whether security information may be supplied. The Review considers that recalibrating the interaction between the two</w:t>
      </w:r>
      <w:r w:rsidR="007B3C6A">
        <w:noBreakHyphen/>
      </w:r>
      <w:r w:rsidRPr="00883271">
        <w:t xml:space="preserve">day supply period and the declaration requirements may have the effect of reducing the burden on data providers utilising manual systems and that this may, in turn, increase the circumstances in which the immediate provision of security information is possible. </w:t>
      </w:r>
    </w:p>
    <w:p w14:paraId="7F2217BF" w14:textId="2E03BD65" w:rsidR="000B1302" w:rsidRPr="00883271" w:rsidRDefault="000B1302" w:rsidP="00A740DC">
      <w:r w:rsidRPr="00883271">
        <w:t xml:space="preserve">For example, reducing the frequency with which conviction declarations are required, and excluding reference to consumer authorisations as part of the timeframes for the supply of scheme information, may reduce the regulatory burden imposed on data providers utilising manual systems and continue to minimise the risk of misuse of scheme information. Given the potential for unintended consequences, any changes to legislated timeframes intended to facilitate faster access to security information would need to be developed in close consultation with industry. Further nuance could also be considered in the legislated timeframes for circumstances involving the supply of scheme information alongside proprietary hardware. </w:t>
      </w:r>
    </w:p>
    <w:p w14:paraId="0F2CEFD6" w14:textId="237236DE" w:rsidR="000B1302" w:rsidRPr="00883271" w:rsidRDefault="000B1302" w:rsidP="00A740DC">
      <w:r w:rsidRPr="00883271">
        <w:t xml:space="preserve">The analysis in the preceding section regarding the application of the timeframes to circumstances involving the supply of scheme information with physical diagnostic hardware applies equally to the legislated timeframes for the supply of scheme information. The Review considers that all parties may benefit from greater clarity in relation to how the existing timeframes apply in these circumstances, including in relation to the meaning of </w:t>
      </w:r>
      <w:r w:rsidR="00BF0433">
        <w:t>‘</w:t>
      </w:r>
      <w:r w:rsidRPr="00883271">
        <w:t>immediately</w:t>
      </w:r>
      <w:r w:rsidR="00BF0433">
        <w:t>’</w:t>
      </w:r>
      <w:r w:rsidRPr="00883271">
        <w:t xml:space="preserve"> when used in this context. While flexibility in timeframes is practically important for data providers supplying information, this must be balanced against the scheme</w:t>
      </w:r>
      <w:r w:rsidR="00BF0433">
        <w:t>’</w:t>
      </w:r>
      <w:r w:rsidRPr="00883271">
        <w:t>s objective of establishing a level playing field for independent repairers.</w:t>
      </w:r>
    </w:p>
    <w:p w14:paraId="13D5AED3" w14:textId="77777777" w:rsidR="000B1302" w:rsidRPr="004343EF" w:rsidRDefault="000B1302" w:rsidP="00C641DB">
      <w:pPr>
        <w:pStyle w:val="Heading4"/>
        <w:rPr>
          <w:szCs w:val="24"/>
        </w:rPr>
      </w:pPr>
      <w:r w:rsidRPr="004343EF">
        <w:rPr>
          <w:szCs w:val="24"/>
        </w:rPr>
        <w:t xml:space="preserve">Compliance with timeframes for the supply of scheme information </w:t>
      </w:r>
    </w:p>
    <w:p w14:paraId="15B629D3" w14:textId="71E99CBE" w:rsidR="000B1302" w:rsidRPr="00883271" w:rsidRDefault="000B1302" w:rsidP="00A740DC">
      <w:pPr>
        <w:rPr>
          <w:b/>
        </w:rPr>
      </w:pPr>
      <w:r w:rsidRPr="00883271">
        <w:t>Many of the views provided to the Review in relation to delays in receiving scheme information suggest a degree of non</w:t>
      </w:r>
      <w:r w:rsidR="007B3C6A">
        <w:noBreakHyphen/>
      </w:r>
      <w:r w:rsidRPr="00883271">
        <w:t>compliance with the timeframes prescribed under the scheme. Enforcement of the scheme is a matter for the ACCC supported by the Scheme Adviser, whose functions include providing reports to the ACCC of systemic non</w:t>
      </w:r>
      <w:r w:rsidR="007B3C6A">
        <w:noBreakHyphen/>
      </w:r>
      <w:r w:rsidRPr="00883271">
        <w:t xml:space="preserve">compliance. </w:t>
      </w:r>
    </w:p>
    <w:p w14:paraId="07A09CBD" w14:textId="0F8B6EA8" w:rsidR="000B1302" w:rsidRPr="00883271" w:rsidRDefault="000B1302" w:rsidP="00A740DC">
      <w:r w:rsidRPr="00883271">
        <w:t>A pecuniary penalty of up to $10 million may be imposed for a contravention of the timeframes for supply of scheme information. This penalty reflects the importance of the timely supply of information to the effective operation of the scheme. To date, no penalties have been imposed for contraventions of legislated timeframes for the supply of scheme information.</w:t>
      </w:r>
    </w:p>
    <w:p w14:paraId="1FD2BCAE" w14:textId="6A725952" w:rsidR="000B1302" w:rsidRPr="00883271" w:rsidRDefault="000B1302" w:rsidP="00A740DC">
      <w:pPr>
        <w:spacing w:after="240"/>
      </w:pPr>
      <w:r w:rsidRPr="00883271">
        <w:t>Adherence to the legislated timeframes for the supply of scheme information is critical to the success of the scheme and in promoting competition between data providers and independent repairers. Given the apparent non</w:t>
      </w:r>
      <w:r w:rsidR="007B3C6A">
        <w:noBreakHyphen/>
      </w:r>
      <w:r w:rsidRPr="00883271">
        <w:t xml:space="preserve">compliance and disquiet with the timeliness of the provision of scheme information amongst some stakeholders, further sustained work by all parties towards ensuring these objectives are met would likely materially improve the operation of the scheme. </w:t>
      </w:r>
    </w:p>
    <w:tbl>
      <w:tblPr>
        <w:tblStyle w:val="TableGrid"/>
        <w:tblW w:w="5000" w:type="pct"/>
        <w:shd w:val="clear" w:color="auto" w:fill="FCEEE5" w:themeFill="accent6" w:themeFillTint="33"/>
        <w:tblCellMar>
          <w:top w:w="227" w:type="dxa"/>
          <w:left w:w="227" w:type="dxa"/>
          <w:bottom w:w="227" w:type="dxa"/>
          <w:right w:w="227" w:type="dxa"/>
        </w:tblCellMar>
        <w:tblLook w:val="0620" w:firstRow="1" w:lastRow="0" w:firstColumn="0" w:lastColumn="0" w:noHBand="1" w:noVBand="1"/>
      </w:tblPr>
      <w:tblGrid>
        <w:gridCol w:w="9072"/>
      </w:tblGrid>
      <w:tr w:rsidR="000B1302" w:rsidRPr="00883271" w14:paraId="0348863A" w14:textId="77777777" w:rsidTr="00076F29">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9FC"/>
          </w:tcPr>
          <w:p w14:paraId="729D2AA9" w14:textId="36F39F66" w:rsidR="000B1302" w:rsidRPr="00883271" w:rsidRDefault="000B1302" w:rsidP="00110D67">
            <w:pPr>
              <w:pStyle w:val="BoxHeading"/>
            </w:pPr>
            <w:r w:rsidRPr="00883271">
              <w:t>Finding 4</w:t>
            </w:r>
          </w:p>
          <w:p w14:paraId="127A923A" w14:textId="2CDF6401" w:rsidR="000B1302" w:rsidRPr="00A740DC" w:rsidRDefault="000B1302" w:rsidP="00A740DC">
            <w:pPr>
              <w:pStyle w:val="BoxText"/>
            </w:pPr>
            <w:r w:rsidRPr="00A740DC">
              <w:t>The scheme generally supports timely access to the information needed by Australian repairers and RTOs. Bolstering access to scheme information in electronic formats and aligning timeframes with the operational realities of making information available with proprietary hardware, would increase certainty for data providers and ensure consistent aftermarket access to information.</w:t>
            </w:r>
          </w:p>
        </w:tc>
      </w:tr>
    </w:tbl>
    <w:p w14:paraId="08FD482C" w14:textId="77777777" w:rsidR="00110D67" w:rsidRPr="00110D67" w:rsidRDefault="00110D67" w:rsidP="00110D67">
      <w:bookmarkStart w:id="44" w:name="_Toc211963312"/>
      <w:r>
        <w:br w:type="page"/>
      </w:r>
    </w:p>
    <w:p w14:paraId="4CB5825E" w14:textId="3C11913B" w:rsidR="000B1302" w:rsidRPr="004343EF" w:rsidRDefault="000B1302" w:rsidP="00110D67">
      <w:pPr>
        <w:pStyle w:val="Heading3"/>
      </w:pPr>
      <w:r w:rsidRPr="004343EF">
        <w:lastRenderedPageBreak/>
        <w:t>OEM Portals</w:t>
      </w:r>
      <w:bookmarkEnd w:id="44"/>
      <w:r w:rsidRPr="004343EF">
        <w:t xml:space="preserve"> </w:t>
      </w:r>
    </w:p>
    <w:p w14:paraId="1C0905AC" w14:textId="24E6C472" w:rsidR="000B1302" w:rsidRPr="00883271" w:rsidRDefault="000B1302" w:rsidP="00A740DC">
      <w:r w:rsidRPr="00883271">
        <w:t>Accessing scheme information typically involves Australian repairers and scheme RTOs purchasing daily, monthly or yearly software subscriptions offered by data providers. Once subscribed, scheme information is accessed by navigating to the relevant OEM portal. If a repairer intends to service and repair multiple brands of vehicles, they will likely be required to obtain specific tools and subscriptions for each brand.</w:t>
      </w:r>
    </w:p>
    <w:p w14:paraId="4EEFAF43" w14:textId="2DD4C21E" w:rsidR="000B1302" w:rsidRPr="00883271" w:rsidRDefault="000B1302" w:rsidP="00A740DC">
      <w:r w:rsidRPr="00883271">
        <w:t>Depending on the manufacturer, accessing scheme information may first require authentication through AASRA. AASRA</w:t>
      </w:r>
      <w:r w:rsidR="00BF0433">
        <w:t>’</w:t>
      </w:r>
      <w:r w:rsidRPr="00883271">
        <w:t xml:space="preserve">s portal functions as a centralised </w:t>
      </w:r>
      <w:r w:rsidR="00BF0433">
        <w:t>‘</w:t>
      </w:r>
      <w:r w:rsidRPr="00883271">
        <w:t>landing page</w:t>
      </w:r>
      <w:r w:rsidR="00BF0433">
        <w:t>’</w:t>
      </w:r>
      <w:r w:rsidRPr="00883271">
        <w:t xml:space="preserve"> for repairers and RTOs which are members of AASRA. The aim of this portal is to simplify the process for navigating to each data provider</w:t>
      </w:r>
      <w:r w:rsidR="00BF0433">
        <w:t>’</w:t>
      </w:r>
      <w:r w:rsidRPr="00883271">
        <w:t xml:space="preserve">s system. Once accessed, whether via AASRA or another means, OEM online portals provide access to scheme information and may differ significantly in both presentation and structure. While the scheme requires scheme information to be supplied in a form which is reasonably accessible, it does not prescribe standards on how OEMs present information on their portals. </w:t>
      </w:r>
    </w:p>
    <w:p w14:paraId="20E21514" w14:textId="1A5D26A0" w:rsidR="000B1302" w:rsidRDefault="000B1302" w:rsidP="00A740DC">
      <w:pPr>
        <w:spacing w:after="240"/>
      </w:pPr>
      <w:r w:rsidRPr="00883271">
        <w:t>In response to consultation, repairers operating all makes all models workshops expressed frustrations with the need to have multiple accounts, the costs associated with multiple subscriptions and the differences between online portals offered by data providers.</w:t>
      </w:r>
    </w:p>
    <w:p w14:paraId="517CC401" w14:textId="77777777" w:rsidR="00A740DC" w:rsidRDefault="00110D67" w:rsidP="00110D67">
      <w:pPr>
        <w:pStyle w:val="PullQuote"/>
      </w:pPr>
      <w:r w:rsidRPr="003B1659">
        <w:t>“Our productivity is low because we spend so much time researching the work to be done, rather</w:t>
      </w:r>
      <w:r w:rsidR="00A740DC">
        <w:t> </w:t>
      </w:r>
      <w:r w:rsidRPr="003B1659">
        <w:t xml:space="preserve">than doing it” </w:t>
      </w:r>
    </w:p>
    <w:p w14:paraId="17261B66" w14:textId="2E035912" w:rsidR="00110D67" w:rsidRPr="003B1659" w:rsidRDefault="00110D67" w:rsidP="00110D67">
      <w:pPr>
        <w:pStyle w:val="PullQuote"/>
      </w:pPr>
      <w:r w:rsidRPr="003B1659">
        <w:t>– Australian repairer</w:t>
      </w:r>
    </w:p>
    <w:p w14:paraId="7A7A2AF4" w14:textId="554CF90D" w:rsidR="000B1302" w:rsidRPr="00883271" w:rsidRDefault="000B1302" w:rsidP="00A740DC">
      <w:pPr>
        <w:spacing w:before="240"/>
      </w:pPr>
      <w:r w:rsidRPr="00883271">
        <w:t>Beyond the need for multiple subscriptions, a common experience shared by independent repairers as part of consultation was that it can be difficult to navigate various OEM websites and portals. These</w:t>
      </w:r>
      <w:r w:rsidRPr="00883271" w:rsidDel="00EC1E9F">
        <w:t xml:space="preserve"> </w:t>
      </w:r>
      <w:r w:rsidRPr="00883271">
        <w:t>stakeholders frequently cited this as a practical barrier to accessing information and one of the most frequent challenges they face with the scheme. Nearly half of respondents to the Treasury</w:t>
      </w:r>
      <w:r w:rsidR="00BF0433">
        <w:t>’</w:t>
      </w:r>
      <w:r w:rsidRPr="00883271">
        <w:t xml:space="preserve">s survey flagged that navigating multiple different websites places additional burdens on their business. </w:t>
      </w:r>
    </w:p>
    <w:p w14:paraId="3F8A310C" w14:textId="7B0870DA" w:rsidR="000B1302" w:rsidRPr="00883271" w:rsidRDefault="000B1302" w:rsidP="00A740DC">
      <w:r w:rsidRPr="00883271">
        <w:t>Differences in OEM portal architecture were described as limiting users</w:t>
      </w:r>
      <w:r w:rsidR="00BF0433">
        <w:t>’</w:t>
      </w:r>
      <w:r w:rsidRPr="00883271">
        <w:t xml:space="preserve"> ability to easily access the information required and stakeholders noted that different manufacturers often operate on entirely different systems, with different customer account management, communication and authentication methods. Stakeholders also noted that these challenges are exacerbated by factors including slow speeds, general </w:t>
      </w:r>
      <w:r w:rsidR="00BF0433">
        <w:t>‘</w:t>
      </w:r>
      <w:r w:rsidRPr="00883271">
        <w:t>bugginess</w:t>
      </w:r>
      <w:r w:rsidR="00BF0433">
        <w:t>’</w:t>
      </w:r>
      <w:r w:rsidRPr="00883271">
        <w:t xml:space="preserve"> and other accessibility issues, such as users being frequently logged out and server outages. One stakeholder noted that prolonged server outages can materially affect repairers</w:t>
      </w:r>
      <w:r w:rsidR="00BF0433">
        <w:t>’</w:t>
      </w:r>
      <w:r w:rsidRPr="00883271">
        <w:t xml:space="preserve"> ability to access scheme information and that, in some cases, these outages may affect aftermarket access only.</w:t>
      </w:r>
    </w:p>
    <w:p w14:paraId="17A0A89D" w14:textId="16CFD4D3" w:rsidR="000B1302" w:rsidRPr="00883271" w:rsidRDefault="000B1302" w:rsidP="00A740DC">
      <w:r w:rsidRPr="00883271">
        <w:t>The Review recognises that multiple subscriptions can be costly for repairers to maintain and that these costs must necessarily be factored in by individual business owners in determining the extent of their service offering. While utilising goods and services provided by intermediaries can reduce subscription costs, repairers may still need to consult OEM websites for certain tasks, such as retrieving programming and coding modules, VIN</w:t>
      </w:r>
      <w:r w:rsidR="007B3C6A">
        <w:noBreakHyphen/>
      </w:r>
      <w:r w:rsidRPr="00883271">
        <w:t xml:space="preserve">specific wiring diagrams, or understanding fault code logic and test parameters. </w:t>
      </w:r>
    </w:p>
    <w:p w14:paraId="627F369D" w14:textId="148D1034" w:rsidR="00A740DC" w:rsidRPr="00A740DC" w:rsidRDefault="000B1302" w:rsidP="00A740DC">
      <w:r w:rsidRPr="00883271">
        <w:t>Industry has already taken steps to support repairers engaging with subscription</w:t>
      </w:r>
      <w:r w:rsidR="007B3C6A">
        <w:noBreakHyphen/>
      </w:r>
      <w:r w:rsidRPr="00883271">
        <w:t>based offerings from a range of brands. For example, AASRA produces navigation guides to assist repairers navigate participating brand websites to access scheme information. However, both the limitations of guidance materials and the variety of issues surfaced as part of consultation in relation to OEM websites invites consideration as to whether further standardisation may be necessary to ensure the scheme realises its legislated objectives.</w:t>
      </w:r>
    </w:p>
    <w:p w14:paraId="7DF97605" w14:textId="51BD9A07" w:rsidR="000B1302" w:rsidRPr="00883271" w:rsidRDefault="000B1302" w:rsidP="00A740DC">
      <w:r w:rsidRPr="00883271">
        <w:lastRenderedPageBreak/>
        <w:t>The Review is aware of similar challenges in navigating OEM websites being encountered by independent repairers in the EU, following the introduction of that jurisdiction</w:t>
      </w:r>
      <w:r w:rsidR="00BF0433">
        <w:t>’</w:t>
      </w:r>
      <w:r w:rsidRPr="00883271">
        <w:t>s information sharing scheme in 2009.</w:t>
      </w:r>
      <w:r w:rsidRPr="00A740DC">
        <w:rPr>
          <w:rStyle w:val="FootnoteReference"/>
        </w:rPr>
        <w:footnoteReference w:id="47"/>
      </w:r>
      <w:r w:rsidRPr="00883271">
        <w:t xml:space="preserve"> In response, the EU mandated that OEMs make information available in a standardised format compliant with International Organisation for Standardisation (ISO) standard 18541 </w:t>
      </w:r>
      <w:r w:rsidRPr="00883271">
        <w:rPr>
          <w:i/>
        </w:rPr>
        <w:t>Road vehicles – Standardized access to automotive repair and maintenance information</w:t>
      </w:r>
      <w:r w:rsidRPr="00883271">
        <w:t>.</w:t>
      </w:r>
      <w:r w:rsidRPr="00A740DC">
        <w:rPr>
          <w:rStyle w:val="FootnoteReference"/>
        </w:rPr>
        <w:footnoteReference w:id="48"/>
      </w:r>
      <w:r w:rsidRPr="00883271">
        <w:t xml:space="preserve"> This standard specifies the minimum set of technical requirements related to a vehicle manufacturer</w:t>
      </w:r>
      <w:r w:rsidR="00BF0433">
        <w:t>’</w:t>
      </w:r>
      <w:r w:rsidRPr="00883271">
        <w:t xml:space="preserve">s repair and maintenance information (RMI) system. ISO 18541 plays an important role in harmonising the structure and accessibility of RMI across OEM portals in the EU, and in enhancing consistency and usability for independent operators. </w:t>
      </w:r>
    </w:p>
    <w:p w14:paraId="369C15BC" w14:textId="6DCE8767" w:rsidR="000B1302" w:rsidRPr="00883271" w:rsidRDefault="000B1302" w:rsidP="00A740DC">
      <w:r w:rsidRPr="00883271">
        <w:t>Given the EU</w:t>
      </w:r>
      <w:r w:rsidR="00BF0433">
        <w:t>’</w:t>
      </w:r>
      <w:r w:rsidRPr="00883271">
        <w:t>s reliance on ISO 18541 to mitigate fragmentation and reduce barriers for repairers, adopting a similar approach may address the concerns raised by stakeholders in the Australian context. However, the extent of changes to existing systems which would likely be required across data providers means the implementation of such a standard would impose a significant additional regulatory burden on data providers. Assuming a material rebuild in data provider portals to comply with ISO 18541, Treasury</w:t>
      </w:r>
      <w:r w:rsidR="00BF0433">
        <w:t>’</w:t>
      </w:r>
      <w:r w:rsidRPr="00883271">
        <w:t xml:space="preserve">s preliminary estimates suggest the total additional regulatory burden may be in the order of $20 million. </w:t>
      </w:r>
    </w:p>
    <w:p w14:paraId="48C7C673" w14:textId="6531BA38" w:rsidR="000B1302" w:rsidRPr="00883271" w:rsidRDefault="000B1302" w:rsidP="00A740DC">
      <w:r w:rsidRPr="00883271">
        <w:t>The Review considers that imposing such an additional regulatory burden on data providers is disproportionate in light of the current level of scheme utilisation. An alternative approach which leverages independent repairers</w:t>
      </w:r>
      <w:r w:rsidR="00BF0433">
        <w:t>’</w:t>
      </w:r>
      <w:r w:rsidRPr="00883271">
        <w:t xml:space="preserve"> preference for intermediaries in providing standardised access to information is likely to deliver similar benefits with reduced regulatory burden. The treatment of intermediaries under the scheme and their potential role in addressing these concerns is discussed further in </w:t>
      </w:r>
      <w:r w:rsidRPr="00883271">
        <w:rPr>
          <w:b/>
          <w:bCs/>
        </w:rPr>
        <w:t>chapter 5</w:t>
      </w:r>
      <w:r w:rsidRPr="00883271">
        <w:t xml:space="preserve">. </w:t>
      </w:r>
    </w:p>
    <w:p w14:paraId="3FD019FC" w14:textId="6755B95F" w:rsidR="000B1302" w:rsidRPr="00883271" w:rsidRDefault="000B1302" w:rsidP="00A740DC">
      <w:r w:rsidRPr="00883271">
        <w:t xml:space="preserve">While the imposition of standards for OEM portals likely does not represent a proportionate response to the challenges described above at this stage, data providers must ensure that the scheme information continues to be reasonably accessible. What amounts to reasonable accessibility is context specific and may invite consideration of the challenges raised during the Review, particularly where information becomes unavailable or practically unavailable through reliance on outdated software and technology or consistent unplanned server outages. How data provider reporting requirements may be utilised to improve visibility of the latter is discussed further in </w:t>
      </w:r>
      <w:r w:rsidRPr="00883271">
        <w:rPr>
          <w:b/>
          <w:bCs/>
        </w:rPr>
        <w:t>chapter 7.</w:t>
      </w:r>
      <w:r w:rsidRPr="00883271">
        <w:t xml:space="preserve"> </w:t>
      </w:r>
      <w:bookmarkStart w:id="45" w:name="_Toc204693001"/>
      <w:bookmarkStart w:id="46" w:name="_Toc204692993"/>
    </w:p>
    <w:p w14:paraId="78448062" w14:textId="77777777" w:rsidR="000B1302" w:rsidRPr="00110D67" w:rsidRDefault="000B1302" w:rsidP="00110D67">
      <w:bookmarkStart w:id="47" w:name="_Toc211963313"/>
      <w:bookmarkStart w:id="48" w:name="_Toc213340400"/>
      <w:r>
        <w:rPr>
          <w:sz w:val="42"/>
          <w:szCs w:val="42"/>
        </w:rPr>
        <w:br w:type="page"/>
      </w:r>
    </w:p>
    <w:p w14:paraId="19635F7F" w14:textId="4AC2D726" w:rsidR="000B1302" w:rsidRPr="00883271" w:rsidRDefault="000B1302" w:rsidP="00DC2E0F">
      <w:pPr>
        <w:pStyle w:val="Heading1Numbered"/>
      </w:pPr>
      <w:r w:rsidRPr="00883271">
        <w:lastRenderedPageBreak/>
        <w:t>Protecting information</w:t>
      </w:r>
      <w:bookmarkEnd w:id="45"/>
      <w:bookmarkEnd w:id="47"/>
      <w:bookmarkEnd w:id="48"/>
      <w:r w:rsidRPr="00883271">
        <w:t xml:space="preserve"> </w:t>
      </w:r>
    </w:p>
    <w:tbl>
      <w:tblPr>
        <w:tblStyle w:val="TableGrid"/>
        <w:tblW w:w="5000" w:type="pct"/>
        <w:shd w:val="clear" w:color="auto" w:fill="F2F2F2" w:themeFill="background1" w:themeFillShade="F2"/>
        <w:tblCellMar>
          <w:top w:w="227" w:type="dxa"/>
          <w:left w:w="227" w:type="dxa"/>
          <w:bottom w:w="227" w:type="dxa"/>
          <w:right w:w="227" w:type="dxa"/>
        </w:tblCellMar>
        <w:tblLook w:val="0620" w:firstRow="1" w:lastRow="0" w:firstColumn="0" w:lastColumn="0" w:noHBand="1" w:noVBand="1"/>
      </w:tblPr>
      <w:tblGrid>
        <w:gridCol w:w="9072"/>
      </w:tblGrid>
      <w:tr w:rsidR="000B1302" w:rsidRPr="00883271" w14:paraId="4B413922" w14:textId="77777777" w:rsidTr="000F7365">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2F2" w:themeFill="background1" w:themeFillShade="F2"/>
          </w:tcPr>
          <w:p w14:paraId="54797AF1" w14:textId="77777777" w:rsidR="000B1302" w:rsidRPr="00110D67" w:rsidRDefault="000B1302" w:rsidP="00110D67">
            <w:pPr>
              <w:pStyle w:val="BoxHeading"/>
              <w:rPr>
                <w:b w:val="0"/>
                <w:bCs w:val="0"/>
              </w:rPr>
            </w:pPr>
            <w:r w:rsidRPr="00110D67">
              <w:rPr>
                <w:bCs w:val="0"/>
              </w:rPr>
              <w:t>Key points</w:t>
            </w:r>
          </w:p>
          <w:p w14:paraId="336BA581" w14:textId="382BA5C4" w:rsidR="000B1302" w:rsidRPr="00110D67" w:rsidRDefault="000B1302" w:rsidP="00110D67">
            <w:pPr>
              <w:pStyle w:val="Boxbullet"/>
              <w:spacing w:after="80"/>
              <w:rPr>
                <w:b/>
                <w:bCs/>
              </w:rPr>
            </w:pPr>
            <w:r w:rsidRPr="00110D67">
              <w:rPr>
                <w:bCs/>
              </w:rPr>
              <w:t>The scheme restricts access to safety and security information and requires the separation of this information where practicable.</w:t>
            </w:r>
          </w:p>
          <w:p w14:paraId="2E3BE27F" w14:textId="55ACF921" w:rsidR="000B1302" w:rsidRPr="00110D67" w:rsidRDefault="000B1302" w:rsidP="00110D67">
            <w:pPr>
              <w:pStyle w:val="Boxbullet"/>
              <w:spacing w:after="80"/>
              <w:rPr>
                <w:b/>
                <w:bCs/>
              </w:rPr>
            </w:pPr>
            <w:r w:rsidRPr="00110D67">
              <w:rPr>
                <w:bCs/>
              </w:rPr>
              <w:t>The requirement to separate safety information from other information has created significant practical challenges for manufacturers, intermediaries, and repairers, often resulting in increased costs and regulatory burden.</w:t>
            </w:r>
          </w:p>
          <w:p w14:paraId="4A6CFA7A" w14:textId="67DE3EA7" w:rsidR="000B1302" w:rsidRPr="00110D67" w:rsidRDefault="000B1302" w:rsidP="00110D67">
            <w:pPr>
              <w:pStyle w:val="Boxbullet"/>
              <w:spacing w:after="80"/>
              <w:rPr>
                <w:b/>
                <w:bCs/>
              </w:rPr>
            </w:pPr>
            <w:r w:rsidRPr="00110D67">
              <w:rPr>
                <w:bCs/>
              </w:rPr>
              <w:t xml:space="preserve">Adjustments which remove the need to separate safety information from other types of scheme information may be effective in reducing the regulatory burden for data providers and increase productivity for Australian repairers. </w:t>
            </w:r>
          </w:p>
          <w:p w14:paraId="51D1FA14" w14:textId="77777777" w:rsidR="000B1302" w:rsidRPr="00110D67" w:rsidRDefault="000B1302" w:rsidP="00110D67">
            <w:pPr>
              <w:pStyle w:val="Boxbullet"/>
              <w:spacing w:after="80"/>
              <w:rPr>
                <w:b/>
                <w:bCs/>
              </w:rPr>
            </w:pPr>
            <w:r w:rsidRPr="00110D67">
              <w:rPr>
                <w:bCs/>
              </w:rPr>
              <w:t>The scheme’s treatment of security information is broadly aligned with international frameworks and is considered appropriate for protecting against misuse, though timely access to security information remains a challenge for some repairers.</w:t>
            </w:r>
          </w:p>
          <w:p w14:paraId="7F73B059" w14:textId="369DFD9E" w:rsidR="000B1302" w:rsidRPr="00110D67" w:rsidRDefault="000B1302" w:rsidP="00110D67">
            <w:pPr>
              <w:pStyle w:val="Boxbullet"/>
              <w:spacing w:after="80"/>
              <w:rPr>
                <w:b/>
                <w:bCs/>
              </w:rPr>
            </w:pPr>
            <w:r w:rsidRPr="00110D67">
              <w:rPr>
                <w:bCs/>
              </w:rPr>
              <w:t>Intermediaries, such as data aggregators and tool manufacturers, face unique challenges in complying with the scheme’s requirements for separating and distributing safety and security information, which can impact the availability of multi</w:t>
            </w:r>
            <w:r w:rsidR="007B3C6A">
              <w:rPr>
                <w:bCs/>
              </w:rPr>
              <w:noBreakHyphen/>
            </w:r>
            <w:r w:rsidRPr="00110D67">
              <w:rPr>
                <w:bCs/>
              </w:rPr>
              <w:t>brand diagnostic tools.</w:t>
            </w:r>
          </w:p>
          <w:p w14:paraId="536E5860" w14:textId="1441336E" w:rsidR="000B1302" w:rsidRPr="00883271" w:rsidRDefault="000B1302" w:rsidP="00110D67">
            <w:pPr>
              <w:pStyle w:val="Boxbullet"/>
              <w:spacing w:after="0"/>
            </w:pPr>
            <w:r w:rsidRPr="00110D67">
              <w:rPr>
                <w:bCs/>
              </w:rPr>
              <w:t>Opportunities exist to clarify definitions and streamline regulatory requirements to better balance safety, security, and accessibility for repairers and intermediaries.</w:t>
            </w:r>
          </w:p>
        </w:tc>
      </w:tr>
    </w:tbl>
    <w:p w14:paraId="4A885C54" w14:textId="17D0E353" w:rsidR="000B1302" w:rsidRPr="00883271" w:rsidRDefault="000B1302" w:rsidP="00110D67">
      <w:pPr>
        <w:spacing w:before="240"/>
      </w:pPr>
      <w:r w:rsidRPr="00883271">
        <w:t>To protect the safety and security of vehicle owners, individuals working for an Australian repairer or scheme RTO and the general public, the scheme restricts access to, and requires the separation of, safety information and security information.</w:t>
      </w:r>
      <w:r w:rsidRPr="00A740DC">
        <w:rPr>
          <w:rStyle w:val="FootnoteReference"/>
        </w:rPr>
        <w:footnoteReference w:id="49"/>
      </w:r>
      <w:r w:rsidRPr="00883271">
        <w:t xml:space="preserve"> To access safety and security information under the scheme, Australian repairers and scheme RTOs must satisfy a </w:t>
      </w:r>
      <w:r w:rsidR="00BF0433">
        <w:t>‘</w:t>
      </w:r>
      <w:r w:rsidRPr="00883271">
        <w:t>fit and proper person</w:t>
      </w:r>
      <w:r w:rsidR="00BF0433">
        <w:t>’</w:t>
      </w:r>
      <w:r w:rsidRPr="00883271">
        <w:t xml:space="preserve"> test. The requirements of the test differ for safety information and security information. </w:t>
      </w:r>
    </w:p>
    <w:p w14:paraId="4564DC8C" w14:textId="7F3D875D" w:rsidR="000B1302" w:rsidRPr="00883271" w:rsidRDefault="000B1302" w:rsidP="00110D67">
      <w:r w:rsidRPr="00883271">
        <w:t xml:space="preserve">In relation to safety information, data providers must only provide access if an individual can demonstrate they have successfully completed appropriate training in safely working on the relevant systems. To retain flexibility, the scheme does not specify a particular training course that an individual must have undertaken to access this information. </w:t>
      </w:r>
    </w:p>
    <w:p w14:paraId="496DC425" w14:textId="0BF692EF" w:rsidR="000B1302" w:rsidRPr="00883271" w:rsidRDefault="000B1302" w:rsidP="00110D67">
      <w:pPr>
        <w:spacing w:after="100"/>
      </w:pPr>
      <w:r w:rsidRPr="00883271">
        <w:t>To establish that an individual is a fit and proper person to access security information, an assessment is made having regard to matters including:</w:t>
      </w:r>
    </w:p>
    <w:p w14:paraId="130A9EC1" w14:textId="5653F42C" w:rsidR="000B1302" w:rsidRPr="00110D67" w:rsidRDefault="000B1302" w:rsidP="00110D67">
      <w:pPr>
        <w:pStyle w:val="Bullet"/>
        <w:spacing w:after="100"/>
      </w:pPr>
      <w:r w:rsidRPr="00883271">
        <w:t xml:space="preserve">information about the </w:t>
      </w:r>
      <w:r w:rsidRPr="00110D67">
        <w:t>person</w:t>
      </w:r>
      <w:r w:rsidR="00BF0433">
        <w:t>’</w:t>
      </w:r>
      <w:r w:rsidRPr="00110D67">
        <w:t>s relationship with the repairer or RTO</w:t>
      </w:r>
    </w:p>
    <w:p w14:paraId="531D406C" w14:textId="4CD45E6C" w:rsidR="000B1302" w:rsidRPr="00110D67" w:rsidRDefault="000B1302" w:rsidP="00110D67">
      <w:pPr>
        <w:pStyle w:val="Bullet"/>
        <w:spacing w:after="100"/>
      </w:pPr>
      <w:r w:rsidRPr="00110D67">
        <w:t xml:space="preserve">a national police check </w:t>
      </w:r>
    </w:p>
    <w:p w14:paraId="243D58CF" w14:textId="2C8EA3C5" w:rsidR="000B1302" w:rsidRPr="00883271" w:rsidRDefault="000B1302" w:rsidP="00110D67">
      <w:pPr>
        <w:pStyle w:val="Bullet"/>
      </w:pPr>
      <w:r w:rsidRPr="00110D67">
        <w:t xml:space="preserve">a declaration confirming </w:t>
      </w:r>
      <w:r w:rsidRPr="00883271">
        <w:t>that they are authorised by the owner of the scheme vehicle to access the information and specifying the vehicle identification number for that vehicle. </w:t>
      </w:r>
    </w:p>
    <w:p w14:paraId="7C6586A8" w14:textId="5A3A65D7" w:rsidR="000B1302" w:rsidRPr="00883271" w:rsidRDefault="000B1302" w:rsidP="00110D67">
      <w:r w:rsidRPr="00883271">
        <w:t xml:space="preserve">Safety and security information are widely and regularly used by Australian repairers and scheme RTOs, and ensuring an efficient flow of this information is critical to the operation of the scheme. The following sections examine the operation of the scheme as it relates to each of these categories of information. </w:t>
      </w:r>
    </w:p>
    <w:tbl>
      <w:tblPr>
        <w:tblStyle w:val="TableGrid"/>
        <w:tblW w:w="5035" w:type="pct"/>
        <w:shd w:val="clear" w:color="auto" w:fill="FCEEE5" w:themeFill="accent6" w:themeFillTint="33"/>
        <w:tblCellMar>
          <w:top w:w="113" w:type="dxa"/>
          <w:left w:w="227" w:type="dxa"/>
          <w:bottom w:w="113" w:type="dxa"/>
          <w:right w:w="227" w:type="dxa"/>
        </w:tblCellMar>
        <w:tblLook w:val="0620" w:firstRow="1" w:lastRow="0" w:firstColumn="0" w:lastColumn="0" w:noHBand="1" w:noVBand="1"/>
      </w:tblPr>
      <w:tblGrid>
        <w:gridCol w:w="4568"/>
        <w:gridCol w:w="4568"/>
      </w:tblGrid>
      <w:tr w:rsidR="000B1302" w:rsidRPr="00883271" w14:paraId="28BC4504" w14:textId="77777777" w:rsidTr="00A740DC">
        <w:trPr>
          <w:cnfStyle w:val="100000000000" w:firstRow="1" w:lastRow="0" w:firstColumn="0" w:lastColumn="0" w:oddVBand="0" w:evenVBand="0" w:oddHBand="0" w:evenHBand="0" w:firstRowFirstColumn="0" w:firstRowLastColumn="0" w:lastRowFirstColumn="0" w:lastRowLastColumn="0"/>
          <w:trHeight w:val="173"/>
        </w:trPr>
        <w:tc>
          <w:tcPr>
            <w:tcW w:w="5000" w:type="pct"/>
            <w:gridSpan w:val="2"/>
            <w:shd w:val="clear" w:color="auto" w:fill="FCEEE5" w:themeFill="accent6" w:themeFillTint="33"/>
          </w:tcPr>
          <w:p w14:paraId="54AA6A49" w14:textId="3279817D" w:rsidR="000B1302" w:rsidRPr="00883271" w:rsidRDefault="000B1302" w:rsidP="00A740DC">
            <w:pPr>
              <w:pStyle w:val="BoxHeading"/>
              <w:spacing w:before="0" w:after="0"/>
              <w:rPr>
                <w:sz w:val="21"/>
                <w:szCs w:val="21"/>
              </w:rPr>
            </w:pPr>
            <w:r w:rsidRPr="00883271">
              <w:rPr>
                <w:noProof/>
              </w:rPr>
              <w:lastRenderedPageBreak/>
              <w:drawing>
                <wp:inline distT="0" distB="0" distL="0" distR="0" wp14:anchorId="5C3C5A55" wp14:editId="6FE046D3">
                  <wp:extent cx="284400" cy="284400"/>
                  <wp:effectExtent l="0" t="0" r="0" b="1905"/>
                  <wp:docPr id="256311535"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11535" name="Graphic 3">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284400" cy="284400"/>
                          </a:xfrm>
                          <a:prstGeom prst="rect">
                            <a:avLst/>
                          </a:prstGeom>
                        </pic:spPr>
                      </pic:pic>
                    </a:graphicData>
                  </a:graphic>
                </wp:inline>
              </w:drawing>
            </w:r>
            <w:r w:rsidRPr="00883271">
              <w:t>Box 4.1</w:t>
            </w:r>
            <w:r w:rsidR="00FD39A3">
              <w:t>:</w:t>
            </w:r>
            <w:r w:rsidRPr="00883271">
              <w:t xml:space="preserve"> Safety and security information</w:t>
            </w:r>
            <w:r w:rsidRPr="00883271">
              <w:rPr>
                <w:sz w:val="21"/>
                <w:szCs w:val="21"/>
              </w:rPr>
              <w:t xml:space="preserve"> </w:t>
            </w:r>
          </w:p>
        </w:tc>
      </w:tr>
      <w:tr w:rsidR="000B1302" w:rsidRPr="00883271" w14:paraId="55D7826F" w14:textId="77777777" w:rsidTr="00A740DC">
        <w:trPr>
          <w:trHeight w:val="3829"/>
        </w:trPr>
        <w:tc>
          <w:tcPr>
            <w:tcW w:w="2500" w:type="pct"/>
            <w:shd w:val="clear" w:color="auto" w:fill="FCEEE5" w:themeFill="accent6" w:themeFillTint="33"/>
          </w:tcPr>
          <w:p w14:paraId="46C9C61B" w14:textId="0438F6F0" w:rsidR="000B1302" w:rsidRPr="00110D67" w:rsidRDefault="000B1302" w:rsidP="00A740DC">
            <w:pPr>
              <w:pStyle w:val="BoxText"/>
              <w:spacing w:before="0"/>
              <w:rPr>
                <w:b/>
                <w:bCs/>
              </w:rPr>
            </w:pPr>
            <w:r w:rsidRPr="00110D67">
              <w:rPr>
                <w:b/>
                <w:bCs/>
              </w:rPr>
              <w:t>Safety Information</w:t>
            </w:r>
            <w:r w:rsidRPr="00A740DC">
              <w:rPr>
                <w:rStyle w:val="FootnoteReference"/>
                <w:b/>
                <w:bCs/>
              </w:rPr>
              <w:footnoteReference w:id="50"/>
            </w:r>
          </w:p>
          <w:p w14:paraId="45C1D55F" w14:textId="3BB4B179" w:rsidR="000B1302" w:rsidRPr="00A740DC" w:rsidRDefault="000B1302" w:rsidP="00110D67">
            <w:pPr>
              <w:pStyle w:val="BoxText"/>
            </w:pPr>
            <w:r w:rsidRPr="00883271">
              <w:t>Safety information is information relating to:</w:t>
            </w:r>
          </w:p>
          <w:p w14:paraId="38237601" w14:textId="77777777" w:rsidR="000B1302" w:rsidRPr="00A740DC" w:rsidRDefault="000B1302" w:rsidP="00110D67">
            <w:pPr>
              <w:pStyle w:val="Boxbullet"/>
            </w:pPr>
            <w:r w:rsidRPr="00A740DC">
              <w:t>the hydrogen system, broadly understood to mean a system having one or more hydrogen fuel containers fitted to the vehicle,</w:t>
            </w:r>
          </w:p>
          <w:p w14:paraId="4372CBB2" w14:textId="00E0077B" w:rsidR="000B1302" w:rsidRPr="00A740DC" w:rsidRDefault="000B1302" w:rsidP="00110D67">
            <w:pPr>
              <w:pStyle w:val="Boxbullet"/>
            </w:pPr>
            <w:r w:rsidRPr="00A740DC">
              <w:t>the electric propulsion system, broadly understood to mean a system powered by one or more electric motors or traction motors, or</w:t>
            </w:r>
          </w:p>
          <w:p w14:paraId="25FD4282" w14:textId="0B39BD21" w:rsidR="000B1302" w:rsidRPr="00A740DC" w:rsidRDefault="000B1302" w:rsidP="00110D67">
            <w:pPr>
              <w:pStyle w:val="Boxbullet"/>
            </w:pPr>
            <w:r w:rsidRPr="00A740DC">
              <w:t>the high voltage system, which includes a system that has a hazardous voltage of greater than 60 V and less than 1,500 V direct current (DC) or greater than 30 V and less than 1,000 V alternating current (AC).</w:t>
            </w:r>
          </w:p>
          <w:p w14:paraId="7FED3CB4" w14:textId="6F801A0E" w:rsidR="000B1302" w:rsidRPr="00110D67" w:rsidRDefault="000B1302" w:rsidP="00110D67">
            <w:pPr>
              <w:pStyle w:val="BoxText"/>
            </w:pPr>
            <w:r w:rsidRPr="00A740DC">
              <w:t>Systems connected to the systems outlined above.</w:t>
            </w:r>
          </w:p>
        </w:tc>
        <w:tc>
          <w:tcPr>
            <w:tcW w:w="2500" w:type="pct"/>
            <w:shd w:val="clear" w:color="auto" w:fill="FCEEE5" w:themeFill="accent6" w:themeFillTint="33"/>
          </w:tcPr>
          <w:p w14:paraId="4B3ED088" w14:textId="77777777" w:rsidR="000B1302" w:rsidRPr="00110D67" w:rsidRDefault="000B1302" w:rsidP="00A740DC">
            <w:pPr>
              <w:pStyle w:val="BoxText"/>
              <w:spacing w:before="0"/>
              <w:rPr>
                <w:b/>
                <w:bCs/>
              </w:rPr>
            </w:pPr>
            <w:r w:rsidRPr="00110D67">
              <w:rPr>
                <w:b/>
                <w:bCs/>
              </w:rPr>
              <w:t>Security Information</w:t>
            </w:r>
            <w:r w:rsidRPr="00A740DC">
              <w:rPr>
                <w:rStyle w:val="FootnoteReference"/>
                <w:b/>
                <w:bCs/>
              </w:rPr>
              <w:footnoteReference w:id="51"/>
            </w:r>
          </w:p>
          <w:p w14:paraId="43D2D716" w14:textId="23F50A23" w:rsidR="000B1302" w:rsidRPr="00883271" w:rsidRDefault="000B1302" w:rsidP="00110D67">
            <w:pPr>
              <w:pStyle w:val="BoxText"/>
              <w:rPr>
                <w:b/>
              </w:rPr>
            </w:pPr>
            <w:r w:rsidRPr="00883271">
              <w:t>Security information is information relating to the security of the vehicle, where that information is:</w:t>
            </w:r>
          </w:p>
          <w:p w14:paraId="0A922D21" w14:textId="309CA5C7" w:rsidR="000B1302" w:rsidRPr="00883271" w:rsidRDefault="000B1302" w:rsidP="00110D67">
            <w:pPr>
              <w:pStyle w:val="Boxbullet"/>
              <w:rPr>
                <w:b/>
              </w:rPr>
            </w:pPr>
            <w:r w:rsidRPr="00883271">
              <w:t>Unique to the vehicle, and/or</w:t>
            </w:r>
          </w:p>
          <w:p w14:paraId="24D9FF11" w14:textId="5BF0565F" w:rsidR="000B1302" w:rsidRPr="00883271" w:rsidRDefault="000B1302" w:rsidP="00110D67">
            <w:pPr>
              <w:pStyle w:val="Boxbullet"/>
              <w:rPr>
                <w:b/>
              </w:rPr>
            </w:pPr>
            <w:r w:rsidRPr="00883271">
              <w:t>Only able to be used for a limited period of time</w:t>
            </w:r>
          </w:p>
          <w:p w14:paraId="5A1AEBDE" w14:textId="07492A31" w:rsidR="000B1302" w:rsidRPr="00883271" w:rsidRDefault="000B1302" w:rsidP="00110D67">
            <w:pPr>
              <w:pStyle w:val="BoxText"/>
            </w:pPr>
            <w:r w:rsidRPr="00883271">
              <w:t>Security information includes information relating to the locking and immobilising of the vehicle e.g. a code used to cut a key that fits a particular vehicle.</w:t>
            </w:r>
          </w:p>
        </w:tc>
      </w:tr>
    </w:tbl>
    <w:p w14:paraId="77B64968" w14:textId="314CFA0D" w:rsidR="000B1302" w:rsidRPr="004343EF" w:rsidRDefault="000B1302" w:rsidP="00ED1FB4">
      <w:pPr>
        <w:pStyle w:val="Heading2"/>
        <w:spacing w:line="276" w:lineRule="auto"/>
        <w:rPr>
          <w:szCs w:val="36"/>
        </w:rPr>
      </w:pPr>
      <w:bookmarkStart w:id="49" w:name="_Toc211963314"/>
      <w:bookmarkStart w:id="50" w:name="_Toc213340401"/>
      <w:r w:rsidRPr="004343EF">
        <w:rPr>
          <w:szCs w:val="36"/>
        </w:rPr>
        <w:t>Safety information</w:t>
      </w:r>
      <w:bookmarkEnd w:id="49"/>
      <w:bookmarkEnd w:id="50"/>
      <w:r w:rsidRPr="004343EF">
        <w:rPr>
          <w:szCs w:val="36"/>
        </w:rPr>
        <w:t xml:space="preserve"> </w:t>
      </w:r>
    </w:p>
    <w:p w14:paraId="682106C0" w14:textId="6164861A" w:rsidR="000B1302" w:rsidRPr="00883271" w:rsidRDefault="000B1302" w:rsidP="00110D67">
      <w:r w:rsidRPr="00883271">
        <w:t>The regulation of safety information is intended to ensure that appropriate safeguards are placed on accessing information which presents a higher risk to repairer safety, without unduly restricting access to other kinds of scheme information. The proportion of scheme information classified as safety information varies by vehicle. Electric vehicles (EVs) will typically have high proportion of safety information whereas internal combustion engine (ICE) vehicles may have none. While regulating access to security information is common throughout comparable schemes abroad, Australia is the only jurisdiction to regulate safety information and require its separation.</w:t>
      </w:r>
    </w:p>
    <w:p w14:paraId="1519FCEC" w14:textId="557B3662" w:rsidR="000B1302" w:rsidRPr="00883271" w:rsidRDefault="000B1302" w:rsidP="00110D67">
      <w:pPr>
        <w:spacing w:after="100"/>
      </w:pPr>
      <w:r w:rsidRPr="00883271">
        <w:t xml:space="preserve">Stakeholder views in relation to the regulation of safety information under the scheme focused on: </w:t>
      </w:r>
    </w:p>
    <w:p w14:paraId="18DE56D2" w14:textId="64104A1B" w:rsidR="000B1302" w:rsidRPr="00110D67" w:rsidRDefault="000B1302" w:rsidP="00110D67">
      <w:pPr>
        <w:pStyle w:val="Bullet"/>
        <w:spacing w:after="100"/>
      </w:pPr>
      <w:r w:rsidRPr="00110D67">
        <w:t>separating safety information from other types of scheme information</w:t>
      </w:r>
    </w:p>
    <w:p w14:paraId="26B1C615" w14:textId="36923E54" w:rsidR="000B1302" w:rsidRPr="00110D67" w:rsidRDefault="000B1302" w:rsidP="00110D67">
      <w:pPr>
        <w:pStyle w:val="Bullet"/>
        <w:spacing w:after="100"/>
      </w:pPr>
      <w:r w:rsidRPr="00110D67">
        <w:t xml:space="preserve">the rationale for regulating safety information as a distinct class of scheme information, </w:t>
      </w:r>
    </w:p>
    <w:p w14:paraId="306C579F" w14:textId="5C01A9B9" w:rsidR="000B1302" w:rsidRPr="00110D67" w:rsidRDefault="000B1302" w:rsidP="00110D67">
      <w:pPr>
        <w:pStyle w:val="Bullet"/>
        <w:spacing w:after="100"/>
      </w:pPr>
      <w:r w:rsidRPr="00110D67">
        <w:t xml:space="preserve">training requirements, and </w:t>
      </w:r>
    </w:p>
    <w:p w14:paraId="2BB85E00" w14:textId="5945993B" w:rsidR="000B1302" w:rsidRPr="00883271" w:rsidRDefault="000B1302" w:rsidP="00110D67">
      <w:pPr>
        <w:pStyle w:val="Bullet"/>
      </w:pPr>
      <w:r w:rsidRPr="00110D67">
        <w:t>regul</w:t>
      </w:r>
      <w:r w:rsidRPr="00883271">
        <w:t xml:space="preserve">atory uncertainty. </w:t>
      </w:r>
    </w:p>
    <w:p w14:paraId="53EAFE7D" w14:textId="025C0FE9" w:rsidR="000B1302" w:rsidRPr="004343EF" w:rsidRDefault="000B1302" w:rsidP="002A111A">
      <w:pPr>
        <w:pStyle w:val="Heading3"/>
        <w:rPr>
          <w:szCs w:val="28"/>
        </w:rPr>
      </w:pPr>
      <w:bookmarkStart w:id="51" w:name="_Toc211963315"/>
      <w:r w:rsidRPr="004343EF">
        <w:rPr>
          <w:szCs w:val="28"/>
        </w:rPr>
        <w:t>Separating safety information</w:t>
      </w:r>
      <w:bookmarkEnd w:id="51"/>
      <w:r w:rsidRPr="004343EF">
        <w:rPr>
          <w:szCs w:val="28"/>
        </w:rPr>
        <w:t xml:space="preserve"> </w:t>
      </w:r>
    </w:p>
    <w:p w14:paraId="50663310" w14:textId="736F2197" w:rsidR="000B1302" w:rsidRPr="00883271" w:rsidRDefault="000B1302" w:rsidP="00110D67">
      <w:r w:rsidRPr="00883271">
        <w:t xml:space="preserve">The requirement to separate safety information from other kinds of scheme information has presented significant practical challenges for manufacturers, intermediaries such as data aggregators and tool manufacturers, and Australian repairers. </w:t>
      </w:r>
    </w:p>
    <w:p w14:paraId="55B43117" w14:textId="4AC347B9" w:rsidR="000B1302" w:rsidRPr="00883271" w:rsidRDefault="000B1302" w:rsidP="00A740DC">
      <w:r w:rsidRPr="00883271">
        <w:lastRenderedPageBreak/>
        <w:t>In response to consultation, the FCAI described that difficulties faced by OEMs in separating safety information from other kinds of scheme information arise due to the integrated nature of information within broader technical documents. These documents may cover multiple vehicle functionalities, systems, and components. From a manufacturer</w:t>
      </w:r>
      <w:r w:rsidR="00BF0433">
        <w:t>’</w:t>
      </w:r>
      <w:r w:rsidRPr="00883271">
        <w:t xml:space="preserve">s perspective, separating this information can be costly and may require preparing bespoke technical documentation for the Australian market. As OEM documentation is developed and managed at a headquarter level for global markets, the FCAI noted that imposing requirements to modify these global resources to isolate specific information could lead to substantial costs, which may be passed on to repairers and consumers. The FCAI recommended that a preferable approach would be to instead focus on managing who can access scheme information and who is qualified to use it, rather than fundamentally altering how vehicle information is structured. </w:t>
      </w:r>
    </w:p>
    <w:p w14:paraId="38FEDCD1" w14:textId="56B49A2A" w:rsidR="000B1302" w:rsidRPr="00883271" w:rsidRDefault="000B1302" w:rsidP="00110D67">
      <w:pPr>
        <w:spacing w:after="240"/>
      </w:pPr>
      <w:r w:rsidRPr="00883271">
        <w:t>Given the challenges, many data providers consider it is not reasonably practicable to separate safety information from other kinds of scheme information. Where this is the case, Australian repairers and scheme RTOs are required to meet the fit and proper person requirements for safety information to access scheme information which contains non</w:t>
      </w:r>
      <w:r w:rsidR="007B3C6A">
        <w:noBreakHyphen/>
      </w:r>
      <w:r w:rsidRPr="00883271">
        <w:t>safety information. Some survey responses raised concerns with obtaining and utilising AASRA membership to meet the fit and proper person requirements to access non</w:t>
      </w:r>
      <w:r w:rsidR="007B3C6A">
        <w:noBreakHyphen/>
      </w:r>
      <w:r w:rsidRPr="00883271">
        <w:t>safety information under the scheme (</w:t>
      </w:r>
      <w:r w:rsidR="00BF0433">
        <w:t>‘</w:t>
      </w:r>
      <w:r w:rsidRPr="00883271">
        <w:t>AASRA vetting</w:t>
      </w:r>
      <w:r w:rsidR="00BF0433">
        <w:t>’</w:t>
      </w:r>
      <w:r w:rsidRPr="00883271">
        <w:t>).</w:t>
      </w:r>
    </w:p>
    <w:tbl>
      <w:tblPr>
        <w:tblW w:w="5000" w:type="pct"/>
        <w:shd w:val="clear" w:color="auto" w:fill="F2F9FC"/>
        <w:tblCellMar>
          <w:top w:w="227" w:type="dxa"/>
          <w:left w:w="227" w:type="dxa"/>
          <w:bottom w:w="227" w:type="dxa"/>
          <w:right w:w="227" w:type="dxa"/>
        </w:tblCellMar>
        <w:tblLook w:val="0600" w:firstRow="0" w:lastRow="0" w:firstColumn="0" w:lastColumn="0" w:noHBand="1" w:noVBand="1"/>
      </w:tblPr>
      <w:tblGrid>
        <w:gridCol w:w="9072"/>
      </w:tblGrid>
      <w:tr w:rsidR="000B1302" w:rsidRPr="00883271" w14:paraId="63320EF4" w14:textId="77777777">
        <w:tc>
          <w:tcPr>
            <w:tcW w:w="5000" w:type="pct"/>
            <w:shd w:val="clear" w:color="auto" w:fill="FCEEE5" w:themeFill="accent6" w:themeFillTint="33"/>
            <w:hideMark/>
          </w:tcPr>
          <w:p w14:paraId="169FBA8C" w14:textId="30ED5F43" w:rsidR="000B1302" w:rsidRPr="00883271" w:rsidRDefault="000B1302" w:rsidP="00110D67">
            <w:pPr>
              <w:pStyle w:val="BoxHeading"/>
              <w:spacing w:before="0"/>
            </w:pPr>
            <w:r w:rsidRPr="00883271">
              <w:rPr>
                <w:noProof/>
              </w:rPr>
              <w:drawing>
                <wp:inline distT="0" distB="0" distL="0" distR="0" wp14:anchorId="1BE1AFCE" wp14:editId="29E812B0">
                  <wp:extent cx="284400" cy="284400"/>
                  <wp:effectExtent l="0" t="0" r="1905" b="1905"/>
                  <wp:docPr id="666015310"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15310" name="Graphic 2">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284400" cy="284400"/>
                          </a:xfrm>
                          <a:prstGeom prst="rect">
                            <a:avLst/>
                          </a:prstGeom>
                        </pic:spPr>
                      </pic:pic>
                    </a:graphicData>
                  </a:graphic>
                </wp:inline>
              </w:drawing>
            </w:r>
            <w:r w:rsidRPr="00883271">
              <w:t>Box 4.2</w:t>
            </w:r>
            <w:r w:rsidR="00FD39A3">
              <w:t xml:space="preserve">: </w:t>
            </w:r>
            <w:r w:rsidRPr="00883271">
              <w:t>AASRA vetting</w:t>
            </w:r>
          </w:p>
          <w:p w14:paraId="08C4571E" w14:textId="60AB719A" w:rsidR="000B1302" w:rsidRPr="00883271" w:rsidRDefault="000B1302" w:rsidP="00110D67">
            <w:pPr>
              <w:pStyle w:val="BoxText"/>
            </w:pPr>
            <w:r w:rsidRPr="00883271">
              <w:rPr>
                <w:sz w:val="19"/>
                <w:szCs w:val="19"/>
                <w:lang w:eastAsia="en-US"/>
              </w:rPr>
              <w:t xml:space="preserve">Data </w:t>
            </w:r>
            <w:r w:rsidRPr="00883271">
              <w:rPr>
                <w:lang w:eastAsia="en-US"/>
              </w:rPr>
              <w:t xml:space="preserve">providers must ensure that repairers who are accessing either safety or </w:t>
            </w:r>
            <w:r w:rsidRPr="00883271">
              <w:t xml:space="preserve">security information meet the associated fit and proper person criteria. Data providers have flexibility in how they conduct this vetting process as long as the requirements under the scheme are met. </w:t>
            </w:r>
          </w:p>
          <w:p w14:paraId="6F4ECD99" w14:textId="29693219" w:rsidR="000B1302" w:rsidRPr="00883271" w:rsidRDefault="000B1302" w:rsidP="00110D67">
            <w:pPr>
              <w:pStyle w:val="BoxText"/>
            </w:pPr>
            <w:r w:rsidRPr="00883271">
              <w:t xml:space="preserve">AASRA facilitates a vetting process in accordance with the Rules for individuals seeking to access security and/or safety information. This vetting process is not within the Scheme Adviser’s legislated functions. </w:t>
            </w:r>
          </w:p>
          <w:p w14:paraId="3D324D29" w14:textId="19F61541" w:rsidR="000B1302" w:rsidRPr="00883271" w:rsidRDefault="000B1302" w:rsidP="00110D67">
            <w:pPr>
              <w:pStyle w:val="BoxText"/>
            </w:pPr>
            <w:r w:rsidRPr="00883271">
              <w:t>Data providers who utilise AASRA’s vetting process are “participating brands”. Approximately half (36</w:t>
            </w:r>
            <w:r w:rsidR="00A740DC">
              <w:t> </w:t>
            </w:r>
            <w:r w:rsidRPr="00883271">
              <w:t>brands out of 60 listed on AASRA website) of data providers are participating brands. “Non</w:t>
            </w:r>
            <w:r w:rsidR="007B3C6A">
              <w:noBreakHyphen/>
            </w:r>
            <w:r w:rsidRPr="00883271">
              <w:t>participating brands” must still ensure that individuals accessing their information meet criteria.</w:t>
            </w:r>
          </w:p>
          <w:p w14:paraId="4DC6EAFF" w14:textId="670E4ECF" w:rsidR="000B1302" w:rsidRPr="00883271" w:rsidRDefault="000B1302" w:rsidP="00110D67">
            <w:pPr>
              <w:pStyle w:val="BoxText"/>
              <w:rPr>
                <w:lang w:eastAsia="en-US"/>
              </w:rPr>
            </w:pPr>
            <w:r w:rsidRPr="00883271">
              <w:t>The vetting process involves repairers becoming members of AASRA and providing the relevant documentation to access scheme information from participating brands, AASRA then assesses this documentation and indicates to data providers that the repairer is eligible to access the information under the scheme. A basic membership currently costs AUD$90+GST per year. Technicians who are members can</w:t>
            </w:r>
            <w:r w:rsidR="00A740DC">
              <w:t> </w:t>
            </w:r>
            <w:r w:rsidRPr="00883271">
              <w:t xml:space="preserve">‘upgrade’ their membership to access safety and security information </w:t>
            </w:r>
            <w:r w:rsidRPr="002F593D">
              <w:rPr>
                <w:szCs w:val="22"/>
              </w:rPr>
              <w:t>at a cost of AUD$50 and AUD$210</w:t>
            </w:r>
            <w:r w:rsidR="00A740DC">
              <w:rPr>
                <w:szCs w:val="22"/>
              </w:rPr>
              <w:t> </w:t>
            </w:r>
            <w:r w:rsidRPr="002F593D">
              <w:rPr>
                <w:szCs w:val="22"/>
              </w:rPr>
              <w:t>per year, per person, respectively.</w:t>
            </w:r>
          </w:p>
        </w:tc>
      </w:tr>
    </w:tbl>
    <w:p w14:paraId="3C5A5F2D" w14:textId="77777777" w:rsidR="000B1302" w:rsidRPr="00883271" w:rsidRDefault="000B1302">
      <w:pPr>
        <w:spacing w:before="0" w:after="160" w:line="259" w:lineRule="auto"/>
        <w:rPr>
          <w:sz w:val="21"/>
          <w:szCs w:val="21"/>
        </w:rPr>
      </w:pPr>
      <w:r w:rsidRPr="00883271">
        <w:rPr>
          <w:sz w:val="21"/>
          <w:szCs w:val="21"/>
        </w:rPr>
        <w:br w:type="page"/>
      </w:r>
    </w:p>
    <w:p w14:paraId="603FA372" w14:textId="7EA07BE5" w:rsidR="000B1302" w:rsidRDefault="000B1302" w:rsidP="00110D67">
      <w:pPr>
        <w:spacing w:after="240"/>
      </w:pPr>
      <w:r w:rsidRPr="00883271">
        <w:lastRenderedPageBreak/>
        <w:t xml:space="preserve">While the AAAA supports credentialling where appropriate, it regards imposing training requirements related to EVs on repairers working on ICE vehicles as inefficient and an unnecessary use of time and resources. </w:t>
      </w:r>
    </w:p>
    <w:p w14:paraId="4921B32D" w14:textId="77777777" w:rsidR="00110D67" w:rsidRPr="003B1659" w:rsidRDefault="00110D67" w:rsidP="00110D67">
      <w:pPr>
        <w:pStyle w:val="PullQuote"/>
      </w:pPr>
      <w:r w:rsidRPr="003B1659">
        <w:t xml:space="preserve">“Some OEMs are unable to differentiate between EV, hybrid and internal combustion engine (ICE) variants of the same make and model. As a result, technicians are required to complete [safety training] simply to access information about ICE vehicles” </w:t>
      </w:r>
    </w:p>
    <w:p w14:paraId="2CE3B238" w14:textId="77777777" w:rsidR="00110D67" w:rsidRPr="003B1659" w:rsidRDefault="00110D67" w:rsidP="00110D67">
      <w:pPr>
        <w:pStyle w:val="PullQuote"/>
      </w:pPr>
      <w:r w:rsidRPr="003B1659">
        <w:t xml:space="preserve">– AAAA submission </w:t>
      </w:r>
    </w:p>
    <w:p w14:paraId="4977FDCB" w14:textId="00A15228" w:rsidR="000B1302" w:rsidRPr="00883271" w:rsidRDefault="000B1302" w:rsidP="00110D67">
      <w:pPr>
        <w:spacing w:before="240"/>
      </w:pPr>
      <w:r w:rsidRPr="00883271">
        <w:t xml:space="preserve">As noted in </w:t>
      </w:r>
      <w:r w:rsidRPr="00883271">
        <w:rPr>
          <w:b/>
        </w:rPr>
        <w:t>chapter 3</w:t>
      </w:r>
      <w:r w:rsidRPr="00883271">
        <w:t>, the scheme provides extended timeframes for the supply of safety information. Accordingly, where non</w:t>
      </w:r>
      <w:r w:rsidR="007B3C6A">
        <w:noBreakHyphen/>
      </w:r>
      <w:r w:rsidRPr="00883271">
        <w:t>safety information is subject to additional safety</w:t>
      </w:r>
      <w:r w:rsidR="007B3C6A">
        <w:noBreakHyphen/>
      </w:r>
      <w:r w:rsidRPr="00883271">
        <w:t>related restrictions, this may present real additional costs and delays for repairers and reduce workshop productivity. Similar feedback on this issue was also received from the ACCC, Victorian Automotive Chamber of Commerce (VACC), AADA and Snap</w:t>
      </w:r>
      <w:r w:rsidR="007B3C6A">
        <w:noBreakHyphen/>
      </w:r>
      <w:r w:rsidRPr="00883271">
        <w:t>on Tools.</w:t>
      </w:r>
    </w:p>
    <w:p w14:paraId="27F01698" w14:textId="62C76F26" w:rsidR="000B1302" w:rsidRPr="00883271" w:rsidRDefault="000B1302" w:rsidP="00A740DC">
      <w:pPr>
        <w:rPr>
          <w:u w:val="single"/>
        </w:rPr>
      </w:pPr>
      <w:r w:rsidRPr="00883271">
        <w:t>The challenges with the separation of safety information can be particularly acute for intermediaries, including data aggregators and tool manufacturers. Intermediaries noted</w:t>
      </w:r>
      <w:r w:rsidRPr="00883271" w:rsidDel="008D3918">
        <w:t xml:space="preserve"> </w:t>
      </w:r>
      <w:r w:rsidRPr="00883271">
        <w:t>they face unique challenges in separating safety information from other types of scheme information due to the:</w:t>
      </w:r>
    </w:p>
    <w:p w14:paraId="409F8FFF" w14:textId="42C6E870" w:rsidR="000B1302" w:rsidRPr="00110D67" w:rsidRDefault="000B1302" w:rsidP="00110D67">
      <w:pPr>
        <w:pStyle w:val="Bullet"/>
      </w:pPr>
      <w:r w:rsidRPr="00883271">
        <w:t xml:space="preserve">form in which the original </w:t>
      </w:r>
      <w:r w:rsidRPr="00110D67">
        <w:t>information is made available to intermediaries by manufacturers,</w:t>
      </w:r>
    </w:p>
    <w:p w14:paraId="44640E1E" w14:textId="7F9EB62F" w:rsidR="000B1302" w:rsidRPr="00110D67" w:rsidRDefault="000B1302" w:rsidP="00110D67">
      <w:pPr>
        <w:pStyle w:val="Bullet"/>
      </w:pPr>
      <w:r w:rsidRPr="00110D67">
        <w:t>complexity and entangled nature of scheme information, and</w:t>
      </w:r>
    </w:p>
    <w:p w14:paraId="4D7E5EA1" w14:textId="7AA91E3C" w:rsidR="000B1302" w:rsidRPr="00883271" w:rsidRDefault="000B1302" w:rsidP="00110D67">
      <w:pPr>
        <w:pStyle w:val="Bullet"/>
      </w:pPr>
      <w:r w:rsidRPr="00110D67">
        <w:t>costs associated with separ</w:t>
      </w:r>
      <w:r w:rsidRPr="00883271">
        <w:t>ation.</w:t>
      </w:r>
    </w:p>
    <w:p w14:paraId="7CD8B1B2" w14:textId="7C3DD87E" w:rsidR="000B1302" w:rsidRPr="00883271" w:rsidRDefault="000B1302" w:rsidP="00110D67">
      <w:r w:rsidRPr="00883271">
        <w:t>As many Australian intermediaries operate internationally, the development and deployment of bespoke solutions for an Australian context may be commercially unattractive. The ACCC has noted that the obligations imposed on intermediaries under the scheme have in some cases resulted in unintended consequences for repairers and that some intermediaries have removed information from multi</w:t>
      </w:r>
      <w:r w:rsidR="007B3C6A">
        <w:noBreakHyphen/>
      </w:r>
      <w:r w:rsidRPr="00883271">
        <w:t>brand products in an effort to achieve compliance.</w:t>
      </w:r>
    </w:p>
    <w:p w14:paraId="52D15B71" w14:textId="0E2DDDD4" w:rsidR="000B1302" w:rsidRPr="00883271" w:rsidRDefault="000B1302" w:rsidP="00110D67">
      <w:r w:rsidRPr="00883271">
        <w:t xml:space="preserve">While manufacturers have responded to challenges in separating safety information by mandating compliance with the fit and proper person requirements, due to </w:t>
      </w:r>
      <w:r w:rsidRPr="00883271" w:rsidDel="00D7246A">
        <w:t>the</w:t>
      </w:r>
      <w:r w:rsidRPr="00883271" w:rsidDel="006A0054">
        <w:t xml:space="preserve"> </w:t>
      </w:r>
      <w:r w:rsidRPr="00883271">
        <w:t>nature of their goods and services, intermediaries often have difficulties in establishing that these requirements are satisfied. For example, a tool may provide access to scheme information which includes safety information. In order to access this information under the scheme, a repairer must provide – amongst other things – evidence of their appropriate training or qualifications.</w:t>
      </w:r>
      <w:r w:rsidRPr="00A740DC">
        <w:rPr>
          <w:rStyle w:val="FootnoteReference"/>
        </w:rPr>
        <w:footnoteReference w:id="52"/>
      </w:r>
      <w:r w:rsidRPr="00883271">
        <w:t xml:space="preserve"> The scheme prohibits the supply of scheme information unless the data provider is satisfied that these requirements are met. While in some cases some multi</w:t>
      </w:r>
      <w:r w:rsidR="007B3C6A">
        <w:noBreakHyphen/>
      </w:r>
      <w:r w:rsidRPr="00883271">
        <w:t>brand tools will be able to integrate user authentication to meet this requirement, this is not possible in all cases and one major tool manufacturer observed that there may be no clear way to verify who is in possession of a device once that hardware is in use.</w:t>
      </w:r>
    </w:p>
    <w:p w14:paraId="1A02E3DF" w14:textId="7404D264" w:rsidR="000B1302" w:rsidRPr="00883271" w:rsidRDefault="000B1302" w:rsidP="00110D67">
      <w:r w:rsidRPr="00883271">
        <w:t>Taken together, Australia</w:t>
      </w:r>
      <w:r w:rsidR="00BF0433">
        <w:t>’</w:t>
      </w:r>
      <w:r w:rsidRPr="00883271">
        <w:t>s unique approach to regulating safety information has imposed significant practical challenges for manufacturers, intermediaries and repairers. The Review considers that the resolution of these issues represents the single greatest opportunity to uplift productivity under the scheme.</w:t>
      </w:r>
    </w:p>
    <w:p w14:paraId="121FFB71" w14:textId="02643389" w:rsidR="000B1302" w:rsidRPr="004343EF" w:rsidRDefault="000B1302" w:rsidP="003039AE">
      <w:pPr>
        <w:pStyle w:val="Heading3"/>
        <w:rPr>
          <w:szCs w:val="28"/>
        </w:rPr>
      </w:pPr>
      <w:bookmarkStart w:id="52" w:name="_Toc211963316"/>
      <w:r w:rsidRPr="004343EF">
        <w:rPr>
          <w:szCs w:val="28"/>
        </w:rPr>
        <w:lastRenderedPageBreak/>
        <w:t>Safety information as a distinct class of scheme information</w:t>
      </w:r>
      <w:bookmarkEnd w:id="52"/>
      <w:r w:rsidRPr="004343EF">
        <w:rPr>
          <w:szCs w:val="28"/>
        </w:rPr>
        <w:t xml:space="preserve"> </w:t>
      </w:r>
    </w:p>
    <w:p w14:paraId="21B8B825" w14:textId="7A07C2DD" w:rsidR="000B1302" w:rsidRPr="00883271" w:rsidRDefault="000B1302" w:rsidP="00110D67">
      <w:r w:rsidRPr="00883271">
        <w:t>Stakeholder views in relation to Australia</w:t>
      </w:r>
      <w:r w:rsidR="00BF0433">
        <w:t>’</w:t>
      </w:r>
      <w:r w:rsidRPr="00883271">
        <w:t xml:space="preserve">s unique approach to regulating safety information invite consideration of the marginal benefit of this approach, when viewed in the context of other relevant legal frameworks. </w:t>
      </w:r>
    </w:p>
    <w:p w14:paraId="59106AFF" w14:textId="73400632" w:rsidR="000B1302" w:rsidRPr="00883271" w:rsidRDefault="000B1302" w:rsidP="00110D67">
      <w:r w:rsidRPr="00883271">
        <w:t>The ACCC submitted that the existing restriction on safety information should be removed, while keeping the restrictions on accessing security information. It was suggested that this would make the scheme more effective, leading to better outcomes for repairers and scheme RTOs. Specifically, the ACCC understands that:</w:t>
      </w:r>
    </w:p>
    <w:p w14:paraId="4A5340CF" w14:textId="777BF6D6" w:rsidR="000B1302" w:rsidRPr="00110D67" w:rsidRDefault="000B1302" w:rsidP="00110D67">
      <w:pPr>
        <w:pStyle w:val="Bullet"/>
      </w:pPr>
      <w:r w:rsidRPr="00883271">
        <w:t xml:space="preserve">defining </w:t>
      </w:r>
      <w:r w:rsidRPr="00110D67">
        <w:t>safety information to include any system connected to the hydrogen, high</w:t>
      </w:r>
      <w:r w:rsidR="007B3C6A">
        <w:noBreakHyphen/>
      </w:r>
      <w:r w:rsidRPr="00110D67">
        <w:t>voltage, or electric propulsion system makes the scope of safety information too broad and ambiguous</w:t>
      </w:r>
    </w:p>
    <w:p w14:paraId="66568FD5" w14:textId="086A7B4A" w:rsidR="000B1302" w:rsidRPr="00110D67" w:rsidRDefault="000B1302" w:rsidP="00110D67">
      <w:pPr>
        <w:pStyle w:val="Bullet"/>
      </w:pPr>
      <w:r w:rsidRPr="00110D67">
        <w:t>while legitimate safety risks exist relating to EV repair (for example, electrocution, fire, and high</w:t>
      </w:r>
      <w:r w:rsidR="007B3C6A">
        <w:noBreakHyphen/>
      </w:r>
      <w:r w:rsidRPr="00110D67">
        <w:t>pressure release associated with hydrogen fuel cells), these risks are generally considered low</w:t>
      </w:r>
    </w:p>
    <w:p w14:paraId="0242F189" w14:textId="22470954" w:rsidR="000B1302" w:rsidRPr="00110D67" w:rsidRDefault="000B1302" w:rsidP="00110D67">
      <w:pPr>
        <w:pStyle w:val="Bullet"/>
      </w:pPr>
      <w:r w:rsidRPr="00110D67">
        <w:t>the information captured under the scheme</w:t>
      </w:r>
      <w:r w:rsidR="00BF0433">
        <w:t>’</w:t>
      </w:r>
      <w:r w:rsidRPr="00110D67">
        <w:t xml:space="preserve">s definition of </w:t>
      </w:r>
      <w:r w:rsidR="00BF0433">
        <w:t>‘</w:t>
      </w:r>
      <w:r w:rsidRPr="00110D67">
        <w:t>safety information</w:t>
      </w:r>
      <w:r w:rsidR="00BF0433">
        <w:t>’</w:t>
      </w:r>
      <w:r w:rsidRPr="00110D67">
        <w:t xml:space="preserve"> was available to independent repairers prior to the scheme coming into effect, without any reported incidents</w:t>
      </w:r>
    </w:p>
    <w:p w14:paraId="65E59D6A" w14:textId="45F22E78" w:rsidR="000B1302" w:rsidRPr="00883271" w:rsidRDefault="000B1302" w:rsidP="00110D67">
      <w:pPr>
        <w:pStyle w:val="Bullet"/>
      </w:pPr>
      <w:r w:rsidRPr="00110D67">
        <w:t>existing work health</w:t>
      </w:r>
      <w:r w:rsidRPr="00883271">
        <w:t xml:space="preserve"> and safety (WHS) laws already require employers to train workers to perform repairs safely, meaning that additional requirements under this scheme are duplicative.</w:t>
      </w:r>
    </w:p>
    <w:p w14:paraId="1767D145" w14:textId="76ED909A" w:rsidR="000B1302" w:rsidRPr="00883271" w:rsidRDefault="000B1302" w:rsidP="00110D67">
      <w:r w:rsidRPr="00883271">
        <w:t>Similarly, the Electric Vehicle Association (EVA) recommended removing the restriction on safety information, noting that information about electrical systems should not be subject to restrictions under the scheme compared to other types of technical information, suggesting that such measures may unintentionally act as a barrier to access. The EVA consider that electrical systems are not inherently more dangerous than other vehicle components when handled by appropriately trained professionals.</w:t>
      </w:r>
    </w:p>
    <w:p w14:paraId="545E5554" w14:textId="549845F5" w:rsidR="000B1302" w:rsidRPr="00883271" w:rsidRDefault="000B1302" w:rsidP="00110D67">
      <w:r w:rsidRPr="00883271">
        <w:t>The regulation of safety information under the scheme recognises the importance of ensuring that an individual has the technical competency to safely work on automotive systems which present different risks to traditional ICE engine systems. A key question raised by the ACCC</w:t>
      </w:r>
      <w:r w:rsidR="00BF0433">
        <w:t>’</w:t>
      </w:r>
      <w:r w:rsidRPr="00883271">
        <w:t>s submission is, to the extent that the scheme is duplicative of requirements imposed under WHS regulations, whether these requirements should be removed.</w:t>
      </w:r>
    </w:p>
    <w:p w14:paraId="1849E9C2" w14:textId="4105AB33" w:rsidR="000B1302" w:rsidRPr="00883271" w:rsidRDefault="000B1302" w:rsidP="00110D67">
      <w:r w:rsidRPr="00883271">
        <w:t xml:space="preserve">All Australian states, territories and the Commonwealth are responsible for making and enforcing their own WHS laws. WHS laws are largely harmonised across Australia through a set of uniform laws (the model WHS laws) which have been adopted (with some variations) by all jurisdictions, except Victoria. Victoria has enacted similar laws under its </w:t>
      </w:r>
      <w:r w:rsidRPr="00883271">
        <w:rPr>
          <w:i/>
        </w:rPr>
        <w:t>Occupational Health and Safety Act 2004</w:t>
      </w:r>
      <w:r w:rsidRPr="00883271">
        <w:t xml:space="preserve"> (Vic). Under the model WHS laws, a person conducting a business or undertaking (PCBU) (usually the employer), has a primary duty of care to ensure the health and safety of workers and others at the workplace, so far as reasonably practicable</w:t>
      </w:r>
      <w:r>
        <w:t>.</w:t>
      </w:r>
      <w:r w:rsidRPr="00A740DC">
        <w:rPr>
          <w:rStyle w:val="FootnoteReference"/>
        </w:rPr>
        <w:footnoteReference w:id="53"/>
      </w:r>
      <w:r w:rsidRPr="00883271">
        <w:t xml:space="preserve"> As part of this duty, PCBUs have an obligation to provide workers with the necessary training, instruction or supervision to ensure their health and safety at work, as far as reasonably practicable. </w:t>
      </w:r>
    </w:p>
    <w:p w14:paraId="11A5B8E7" w14:textId="68525117" w:rsidR="000B1302" w:rsidRPr="00883271" w:rsidRDefault="000B1302" w:rsidP="00110D67">
      <w:r w:rsidRPr="00883271">
        <w:t xml:space="preserve">In practice, in order to meet their duties under WHS laws, an Australian repairer is likely already required to provide similar training to their workers as is required under the scheme. Given the training requirements imposed by the scheme are intended to set a minimum standard in order to access safety information, in many cases it is likely that the obligations imposed under the WHS framework, and the scheme will overlap. </w:t>
      </w:r>
    </w:p>
    <w:p w14:paraId="0426E1E5" w14:textId="6A846E54" w:rsidR="000B1302" w:rsidRPr="00883271" w:rsidRDefault="000B1302" w:rsidP="00110D67">
      <w:r w:rsidRPr="00883271">
        <w:lastRenderedPageBreak/>
        <w:t>While this suggests the marginal benefit of the scheme</w:t>
      </w:r>
      <w:r w:rsidR="00BF0433">
        <w:t>’</w:t>
      </w:r>
      <w:r w:rsidRPr="00883271">
        <w:t xml:space="preserve">s training requirements may in some cases be limited when compared with the obligations which already exist under WHS laws, the training requirements also serve an important function of providing data providers with certainty that information provided under the scheme is only used by suitably qualified repairers. This obligation is central to ensuring data provider trust in the scheme and removing the regulation of safety information entirely may serve to erode this trust. </w:t>
      </w:r>
    </w:p>
    <w:p w14:paraId="219F5A98" w14:textId="7610C804" w:rsidR="000B1302" w:rsidRPr="0069652F" w:rsidRDefault="000B1302" w:rsidP="00A740DC">
      <w:pPr>
        <w:spacing w:after="80"/>
        <w:rPr>
          <w:spacing w:val="-1"/>
        </w:rPr>
      </w:pPr>
      <w:r w:rsidRPr="0069652F">
        <w:rPr>
          <w:spacing w:val="-1"/>
        </w:rPr>
        <w:t>While the majority of stakeholder submissions did not advocate for removing the restriction on safety information, evidence available to the Review provides a strong case for re</w:t>
      </w:r>
      <w:r w:rsidR="007B3C6A">
        <w:rPr>
          <w:spacing w:val="-1"/>
        </w:rPr>
        <w:noBreakHyphen/>
      </w:r>
      <w:r w:rsidRPr="0069652F">
        <w:rPr>
          <w:spacing w:val="-1"/>
        </w:rPr>
        <w:t>examining the current treatment of safety information within the scheme to address difficulties associated with separating safety information discussed above. In particular, providing a mechanism which removes the need to separate safety information from other types of scheme information while continuing to provide assurance that safety information will be used appropriately would likely enhance productivity through:</w:t>
      </w:r>
    </w:p>
    <w:p w14:paraId="726A30DB" w14:textId="529E1240" w:rsidR="000B1302" w:rsidRPr="00110D67" w:rsidRDefault="000B1302" w:rsidP="00A740DC">
      <w:pPr>
        <w:pStyle w:val="Bullet"/>
        <w:spacing w:after="80"/>
      </w:pPr>
      <w:r w:rsidRPr="00883271">
        <w:t xml:space="preserve">reducing </w:t>
      </w:r>
      <w:r w:rsidRPr="00110D67">
        <w:t xml:space="preserve">administrative burden </w:t>
      </w:r>
    </w:p>
    <w:p w14:paraId="6BF6FB72" w14:textId="41D864D5" w:rsidR="000B1302" w:rsidRPr="00110D67" w:rsidRDefault="000B1302" w:rsidP="00A740DC">
      <w:pPr>
        <w:pStyle w:val="Bullet"/>
        <w:spacing w:after="80"/>
      </w:pPr>
      <w:r w:rsidRPr="00110D67">
        <w:t>avoiding costly and time</w:t>
      </w:r>
      <w:r w:rsidR="007B3C6A">
        <w:noBreakHyphen/>
      </w:r>
      <w:r w:rsidRPr="00110D67">
        <w:t xml:space="preserve">intensive restructuring of OEM information </w:t>
      </w:r>
    </w:p>
    <w:p w14:paraId="4EBB6E90" w14:textId="6A490B17" w:rsidR="000B1302" w:rsidRPr="00110D67" w:rsidRDefault="000B1302" w:rsidP="00A740DC">
      <w:pPr>
        <w:pStyle w:val="Bullet"/>
        <w:spacing w:after="80"/>
      </w:pPr>
      <w:r w:rsidRPr="00110D67">
        <w:t>allowing repairers to better align their training with the vehicles they work on</w:t>
      </w:r>
    </w:p>
    <w:p w14:paraId="6BE0FBB7" w14:textId="555A9750" w:rsidR="000B1302" w:rsidRPr="00883271" w:rsidRDefault="000B1302" w:rsidP="00110D67">
      <w:pPr>
        <w:pStyle w:val="Bullet"/>
      </w:pPr>
      <w:r w:rsidRPr="00110D67">
        <w:t>providing</w:t>
      </w:r>
      <w:r w:rsidRPr="00883271">
        <w:t xml:space="preserve"> repairers access which is equivalent to overseas schemes</w:t>
      </w:r>
    </w:p>
    <w:p w14:paraId="2CC582DA" w14:textId="73261D90" w:rsidR="000B1302" w:rsidRPr="00883271" w:rsidRDefault="000B1302" w:rsidP="00110D67">
      <w:r w:rsidRPr="00883271">
        <w:t xml:space="preserve">Any changes to the status quo would need to be designed in close consultation with industry and Safe Work Australia. However, models which remove the need to separate safety information from other types of scheme information and recast existing arrangements to mandate use in line with competence, may effectively address existing challenges. For example, one such approach may involve framing the existing requirements as an implied condition in the supply of scheme information which imposes a contractual obligation on repairers to ensure scheme information which contains safety information is only utilised by repairers with suitable qualifications. In considering any alternative regulatory arrangements which may be applied to safety information, and to avoid regulatory dislocation, particular regard would need to be had to regulatory consistency with similar schemes in comparable jurisdictions. </w:t>
      </w:r>
    </w:p>
    <w:p w14:paraId="0128EAB7" w14:textId="75C6968D" w:rsidR="000B1302" w:rsidRPr="004343EF" w:rsidRDefault="000B1302" w:rsidP="00A740DC">
      <w:pPr>
        <w:pStyle w:val="Heading3"/>
        <w:spacing w:before="280"/>
      </w:pPr>
      <w:bookmarkStart w:id="53" w:name="_Toc211963317"/>
      <w:r w:rsidRPr="004343EF">
        <w:t xml:space="preserve">Training </w:t>
      </w:r>
      <w:r w:rsidRPr="00110D67">
        <w:t>requirements</w:t>
      </w:r>
      <w:bookmarkEnd w:id="53"/>
      <w:r w:rsidRPr="004343EF">
        <w:t xml:space="preserve"> </w:t>
      </w:r>
    </w:p>
    <w:p w14:paraId="5E06EBB3" w14:textId="77777777" w:rsidR="000B1302" w:rsidRPr="00883271" w:rsidRDefault="000B1302" w:rsidP="00110D67">
      <w:r w:rsidRPr="00883271">
        <w:t xml:space="preserve">The majority of stakeholder feedback in relation to the fit and proper person requirements applying to safety information concerned the requirement under s 7(2) of the Rules to demonstrate the repairer has undertaken relevant training. As noted above, the scheme provides flexibility in the type of training which can be undertaken and specifies competencies that must be taught as part of the training, rather than prescribing training courses by name. Training can be delivered either through a scheme RTO or directly by or on behalf of a manufacturer. </w:t>
      </w:r>
    </w:p>
    <w:p w14:paraId="2FED18A2" w14:textId="4E14F9A8" w:rsidR="000B1302" w:rsidRPr="00883271" w:rsidRDefault="000B1302" w:rsidP="00110D67">
      <w:r w:rsidRPr="00883271">
        <w:t>The most common type of safety information accessed by repairers relates to high voltage systems and electric propulsion systems, or systems connected to one of these systems. In order to access safety information of this kind, repairers must demonstrate that they have successfully completed training that teaches competency in safely depowering, isolating and re</w:t>
      </w:r>
      <w:r w:rsidR="007B3C6A">
        <w:noBreakHyphen/>
      </w:r>
      <w:r w:rsidRPr="00883271">
        <w:t xml:space="preserve">initialising a high voltage battery installed in a scheme vehicle. Where this training is accessed through a scheme RTO, a TAFE course known as AURETH101/001 </w:t>
      </w:r>
      <w:r w:rsidRPr="00883271">
        <w:rPr>
          <w:i/>
        </w:rPr>
        <w:t>Depower and reinitialise battery electric vehicles</w:t>
      </w:r>
      <w:r w:rsidRPr="00883271">
        <w:t xml:space="preserve"> is commonly undertaken.</w:t>
      </w:r>
      <w:r w:rsidRPr="00883271">
        <w:rPr>
          <w:rStyle w:val="FootnoteReference"/>
          <w:szCs w:val="21"/>
        </w:rPr>
        <w:footnoteReference w:id="54"/>
      </w:r>
      <w:r w:rsidRPr="00883271">
        <w:t xml:space="preserve"> This course provides the minimum competency required to safely undertake work on high</w:t>
      </w:r>
      <w:r w:rsidR="007B3C6A">
        <w:noBreakHyphen/>
      </w:r>
      <w:r w:rsidRPr="00883271">
        <w:t xml:space="preserve">voltage or electric propulsion systems, can be undertaken as a standalone course, and takes around ten hours to complete. </w:t>
      </w:r>
    </w:p>
    <w:p w14:paraId="02F785B2" w14:textId="24CA2D95" w:rsidR="000B1302" w:rsidRPr="00883271" w:rsidRDefault="000B1302" w:rsidP="00110D67">
      <w:r w:rsidRPr="00883271">
        <w:lastRenderedPageBreak/>
        <w:t xml:space="preserve">Some submissions advocated for a higher level of competency to be prescribed to perform work on EVs due to the increased risks and dangers associated with repairs. The FCAI argued that the scheme has an opportunity and, arguably, a duty to ensure robust safety standards. Other industry groups and stakeholders, including VACC, considered the current definition and requirements are appropriate. </w:t>
      </w:r>
    </w:p>
    <w:p w14:paraId="3800AE21" w14:textId="441E92B3" w:rsidR="000B1302" w:rsidRPr="00883271" w:rsidRDefault="000B1302" w:rsidP="00110D67">
      <w:r w:rsidRPr="00883271">
        <w:t>During the early stages of the scheme</w:t>
      </w:r>
      <w:r w:rsidR="00BF0433">
        <w:t>’</w:t>
      </w:r>
      <w:r w:rsidRPr="00883271">
        <w:t>s implementation, some stakeholders expressed concerns about the availability of appropriate training courses, limiting access to scheme information particularly in regional areas. Access to appropriate training in order to access safety information under the scheme was not flagged as a key issue in response to consultation. Since 2022, enrolments in AURETH101/001 have increased by approximately 26 per cent. This growth has been driven primary by increased enrolments in major cities, with enrolments from regional Australia decreasing approximately 2.3</w:t>
      </w:r>
      <w:r w:rsidR="00F11B20">
        <w:t> </w:t>
      </w:r>
      <w:r w:rsidRPr="00883271">
        <w:t>per</w:t>
      </w:r>
      <w:r w:rsidR="00F11B20">
        <w:t> </w:t>
      </w:r>
      <w:r w:rsidRPr="00883271">
        <w:t>cent over the same period to 1,275.</w:t>
      </w:r>
      <w:r w:rsidRPr="00883271">
        <w:rPr>
          <w:rStyle w:val="FootnoteReference"/>
          <w:szCs w:val="21"/>
        </w:rPr>
        <w:footnoteReference w:id="55"/>
      </w:r>
      <w:r w:rsidRPr="00883271">
        <w:t xml:space="preserve"> While the overall trend is positive, it is expected that access to training may continue to be relatively more challenging for those in rural and regional Australia. Additionally, the uptake of training to access safety information is also affected by broader structural skills shortages affecting the aftermarket.</w:t>
      </w:r>
      <w:r w:rsidRPr="00F11B20">
        <w:rPr>
          <w:rStyle w:val="FootnoteReference"/>
        </w:rPr>
        <w:footnoteReference w:id="56"/>
      </w:r>
    </w:p>
    <w:p w14:paraId="416EA6DE" w14:textId="2EF822A2" w:rsidR="000B1302" w:rsidRPr="00883271" w:rsidRDefault="000B1302" w:rsidP="00110D67">
      <w:r w:rsidRPr="00883271">
        <w:t>The scheme</w:t>
      </w:r>
      <w:r w:rsidR="00BF0433">
        <w:t>’</w:t>
      </w:r>
      <w:r w:rsidRPr="00883271">
        <w:t>s training requirements to access safety information reflect the minimum level of training needed to access high</w:t>
      </w:r>
      <w:r w:rsidR="007B3C6A">
        <w:noBreakHyphen/>
      </w:r>
      <w:r w:rsidRPr="00883271">
        <w:t xml:space="preserve">risk systems across a range of scheme vehicles. As motor vehicles continue to develop and become more complex, the training needed to work on them is likely to evolve. While changes in industry and the operation of the existing training requirements contained in the scheme should continue to be monitored, reforms which are principally directed at ensuring the safety of Australian repairers should generally be progressed through other legislative frameworks. </w:t>
      </w:r>
    </w:p>
    <w:p w14:paraId="2B2785AC" w14:textId="2A17C125" w:rsidR="000B1302" w:rsidRPr="00883271" w:rsidRDefault="000B1302" w:rsidP="00110D67">
      <w:r w:rsidRPr="00883271">
        <w:t>Consistent with the commitment to promote a single national market by removing barriers to the movement of workers and goods under Australia</w:t>
      </w:r>
      <w:r w:rsidR="00BF0433">
        <w:t>’</w:t>
      </w:r>
      <w:r w:rsidRPr="00883271">
        <w:t>s revitalised NCP framework, such work would necessarily be undertaken in collaboration with states and territories. Unilateral Commonwealth action in relation to training requirements would be unlikely to advance the objectives of the scheme and risk further inconsistencies in the legislative landscape applying to this sector. Additionally, the interim report of the Productivity Commission</w:t>
      </w:r>
      <w:r w:rsidR="00BF0433">
        <w:t>’</w:t>
      </w:r>
      <w:r w:rsidRPr="00883271">
        <w:t>s Inquiry into building a skilled and adaptable workforce demonstrates that licensing requirements in the motor vehicle repair sector are not strongly correlated with quality and safety metrics and warns against excessive and inconsistent occupational entry regulations.</w:t>
      </w:r>
      <w:r w:rsidRPr="0069652F">
        <w:rPr>
          <w:rStyle w:val="FootnoteReference"/>
        </w:rPr>
        <w:footnoteReference w:id="57"/>
      </w:r>
    </w:p>
    <w:p w14:paraId="6DA8ACE4" w14:textId="607087AB" w:rsidR="000B1302" w:rsidRPr="004343EF" w:rsidRDefault="000B1302" w:rsidP="00110D67">
      <w:pPr>
        <w:pStyle w:val="Heading3"/>
      </w:pPr>
      <w:bookmarkStart w:id="54" w:name="_Toc211963318"/>
      <w:r w:rsidRPr="00110D67">
        <w:t>Connected</w:t>
      </w:r>
      <w:r w:rsidRPr="004343EF">
        <w:t xml:space="preserve"> systems</w:t>
      </w:r>
      <w:bookmarkEnd w:id="54"/>
    </w:p>
    <w:p w14:paraId="4D730F48" w14:textId="5ED91DB5" w:rsidR="000B1302" w:rsidRPr="00883271" w:rsidRDefault="000B1302" w:rsidP="00110D67">
      <w:r w:rsidRPr="00883271">
        <w:t xml:space="preserve">A number of stakeholders expressed considerable support for refining the definition of safety information to provide greater clarity. In particular, these stakeholders described that paragraph (d) of the definition of safety information, which provides that safety information includes </w:t>
      </w:r>
      <w:r w:rsidR="00BF0433">
        <w:t>‘</w:t>
      </w:r>
      <w:r w:rsidRPr="00883271">
        <w:t>a system connected to the hydrogen system, the high voltage system or the electronic propulsion system</w:t>
      </w:r>
      <w:r w:rsidR="00BF0433">
        <w:t>’</w:t>
      </w:r>
      <w:r w:rsidRPr="00883271">
        <w:t xml:space="preserve"> is unclear and may encompass nearly every system in an EV. </w:t>
      </w:r>
    </w:p>
    <w:p w14:paraId="0B085EBD" w14:textId="2F1627D9" w:rsidR="000B1302" w:rsidRPr="00883271" w:rsidRDefault="000B1302" w:rsidP="00110D67">
      <w:r w:rsidRPr="00883271">
        <w:t xml:space="preserve">In this context, stakeholders suggested that the scheme should provide greater clarity in relation to the meaning of connected systems to reduce regulatory uncertainty and narrow the range of cases in which safety information must be separated. The practical difficulty of classifying information held in digital diagnostic products as </w:t>
      </w:r>
      <w:r w:rsidR="00BF0433">
        <w:t>‘</w:t>
      </w:r>
      <w:r w:rsidRPr="00883271">
        <w:t>safety</w:t>
      </w:r>
      <w:r w:rsidR="00BF0433">
        <w:t>’</w:t>
      </w:r>
      <w:r w:rsidRPr="00883271">
        <w:t xml:space="preserve"> or </w:t>
      </w:r>
      <w:r w:rsidR="00BF0433">
        <w:t>‘</w:t>
      </w:r>
      <w:r w:rsidRPr="00883271">
        <w:t>security</w:t>
      </w:r>
      <w:r w:rsidR="00BF0433">
        <w:t>’</w:t>
      </w:r>
      <w:r w:rsidRPr="00883271">
        <w:t xml:space="preserve"> information was also raised.</w:t>
      </w:r>
    </w:p>
    <w:p w14:paraId="1DE89574" w14:textId="73939C8D" w:rsidR="000B1302" w:rsidRPr="00883271" w:rsidRDefault="000B1302" w:rsidP="00110D67">
      <w:pPr>
        <w:spacing w:after="240"/>
      </w:pPr>
      <w:r w:rsidRPr="00883271">
        <w:lastRenderedPageBreak/>
        <w:t xml:space="preserve">The Rules provide some clarity relating to the definition of </w:t>
      </w:r>
      <w:r w:rsidR="00BF0433">
        <w:t>‘</w:t>
      </w:r>
      <w:r w:rsidRPr="00883271">
        <w:t>connected systems</w:t>
      </w:r>
      <w:r w:rsidR="00BF0433">
        <w:t>’</w:t>
      </w:r>
      <w:r w:rsidRPr="00883271">
        <w:t>. For example, the Explanatory Statement to the Rules notes that:</w:t>
      </w:r>
    </w:p>
    <w:p w14:paraId="3676FF43" w14:textId="6742CD26" w:rsidR="000B1302" w:rsidRPr="00883271" w:rsidRDefault="000B1302" w:rsidP="00110D67">
      <w:pPr>
        <w:pStyle w:val="PullQuote"/>
      </w:pPr>
      <w:r w:rsidRPr="00883271">
        <w:t>The majority of scheme information about systems in hydrogen and high voltage battery</w:t>
      </w:r>
      <w:r w:rsidR="007B3C6A">
        <w:noBreakHyphen/>
      </w:r>
      <w:r w:rsidRPr="00883271">
        <w:t>electric vehicles is effectively prescribed as safety information. Depending on the design of the vehicle there will however still be some scheme information for these vehicles which will not be captured as safety information. For example, tyres, oil changes, air conditioning, suspension, basic sensor replacement and panels not connected to electric sensors, as well as internal components and mechanical systems. This will vary across different vehicle makes and models. In relation to a high voltage system, a connected system would not include for example the wheels of the vehicle, wheel nuts or oil changes.</w:t>
      </w:r>
      <w:r w:rsidRPr="0069652F">
        <w:rPr>
          <w:rStyle w:val="FootnoteReference"/>
        </w:rPr>
        <w:footnoteReference w:id="58"/>
      </w:r>
      <w:r w:rsidRPr="0069652F">
        <w:rPr>
          <w:rStyle w:val="FootnoteReference"/>
        </w:rPr>
        <w:t xml:space="preserve"> </w:t>
      </w:r>
    </w:p>
    <w:p w14:paraId="79F6D243" w14:textId="42D1AE0C" w:rsidR="000B1302" w:rsidRPr="00883271" w:rsidRDefault="000B1302" w:rsidP="00110D67">
      <w:pPr>
        <w:spacing w:before="240"/>
      </w:pPr>
      <w:r w:rsidRPr="00883271">
        <w:t xml:space="preserve">While the desire amongst some stakeholders for greater clarity regarding the definition of </w:t>
      </w:r>
      <w:r w:rsidR="00BF0433">
        <w:t>‘</w:t>
      </w:r>
      <w:r w:rsidRPr="00883271">
        <w:t>connected systems</w:t>
      </w:r>
      <w:r w:rsidR="00BF0433">
        <w:t>’</w:t>
      </w:r>
      <w:r w:rsidRPr="00883271">
        <w:t xml:space="preserve"> is understandable, the variation between vehicle makes and models means providing an exhaustive definition is not possible. However, based on stakeholder submissions, the Review considers there may be value in the ACCC working together with the Scheme Adviser on options to engage with this issue as part of future updates to the ACCC</w:t>
      </w:r>
      <w:r w:rsidR="00BF0433">
        <w:t>’</w:t>
      </w:r>
      <w:r w:rsidRPr="00883271">
        <w:t xml:space="preserve">s Regulatory Guidance. </w:t>
      </w:r>
    </w:p>
    <w:p w14:paraId="7BB34D46" w14:textId="3552F9CC" w:rsidR="000B1302" w:rsidRPr="004343EF" w:rsidRDefault="000B1302" w:rsidP="003E2AE9">
      <w:pPr>
        <w:pStyle w:val="Heading2"/>
        <w:rPr>
          <w:szCs w:val="36"/>
        </w:rPr>
      </w:pPr>
      <w:bookmarkStart w:id="55" w:name="_Toc211963319"/>
      <w:bookmarkStart w:id="56" w:name="_Toc213340402"/>
      <w:r w:rsidRPr="004343EF">
        <w:rPr>
          <w:szCs w:val="36"/>
        </w:rPr>
        <w:t>Security information</w:t>
      </w:r>
      <w:bookmarkEnd w:id="55"/>
      <w:bookmarkEnd w:id="56"/>
      <w:r w:rsidRPr="004343EF">
        <w:rPr>
          <w:szCs w:val="36"/>
        </w:rPr>
        <w:t xml:space="preserve"> </w:t>
      </w:r>
    </w:p>
    <w:p w14:paraId="7A21DFF4" w14:textId="077E72BE" w:rsidR="000B1302" w:rsidRPr="00883271" w:rsidRDefault="000B1302" w:rsidP="00110D67">
      <w:r w:rsidRPr="00883271">
        <w:t>In modern vehicles, security information is generally unique to the vehicle</w:t>
      </w:r>
      <w:r w:rsidR="00BF0433">
        <w:t>’</w:t>
      </w:r>
      <w:r w:rsidRPr="00883271">
        <w:t>s VIN or is time limited. Examples of unique information may include a code used to:</w:t>
      </w:r>
    </w:p>
    <w:p w14:paraId="701987BB" w14:textId="6824234C" w:rsidR="000B1302" w:rsidRPr="00110D67" w:rsidRDefault="000B1302" w:rsidP="00110D67">
      <w:pPr>
        <w:pStyle w:val="Bullet"/>
      </w:pPr>
      <w:r w:rsidRPr="00883271">
        <w:t xml:space="preserve">cut a key </w:t>
      </w:r>
      <w:r w:rsidRPr="00110D67">
        <w:t xml:space="preserve">that fits a particular vehicle </w:t>
      </w:r>
    </w:p>
    <w:p w14:paraId="3574264F" w14:textId="081CA61E" w:rsidR="000B1302" w:rsidRPr="00110D67" w:rsidRDefault="000B1302" w:rsidP="00110D67">
      <w:pPr>
        <w:pStyle w:val="Bullet"/>
      </w:pPr>
      <w:r w:rsidRPr="00110D67">
        <w:t>program an electronic component of the vehicle</w:t>
      </w:r>
      <w:r w:rsidR="00BF0433">
        <w:t>’</w:t>
      </w:r>
      <w:r w:rsidRPr="00110D67">
        <w:t xml:space="preserve">s locking or immobilisation system </w:t>
      </w:r>
    </w:p>
    <w:p w14:paraId="556304C0" w14:textId="7DEF3582" w:rsidR="000B1302" w:rsidRPr="00883271" w:rsidRDefault="000B1302" w:rsidP="00110D67">
      <w:pPr>
        <w:pStyle w:val="Bullet"/>
      </w:pPr>
      <w:r w:rsidRPr="00110D67">
        <w:t>allow the</w:t>
      </w:r>
      <w:r w:rsidRPr="00883271">
        <w:t xml:space="preserve"> operation of a component of a vehicle </w:t>
      </w:r>
    </w:p>
    <w:p w14:paraId="0C429ED9" w14:textId="2B49A8B1" w:rsidR="000B1302" w:rsidRPr="00883271" w:rsidRDefault="000B1302" w:rsidP="00110D67">
      <w:r w:rsidRPr="00883271">
        <w:t>Examples of time limited information may include a reset code which changes regularly or system</w:t>
      </w:r>
      <w:r w:rsidR="007B3C6A">
        <w:noBreakHyphen/>
      </w:r>
      <w:r w:rsidRPr="00883271">
        <w:t>to</w:t>
      </w:r>
      <w:r w:rsidR="007B3C6A">
        <w:noBreakHyphen/>
      </w:r>
      <w:r w:rsidRPr="00883271">
        <w:t>system security management or pass</w:t>
      </w:r>
      <w:r w:rsidR="007B3C6A">
        <w:noBreakHyphen/>
      </w:r>
      <w:r w:rsidRPr="00883271">
        <w:t>through technology requiring programming to be completed within certain time limits.</w:t>
      </w:r>
    </w:p>
    <w:p w14:paraId="49AC2CC3" w14:textId="50E88989" w:rsidR="000B1302" w:rsidRPr="00883271" w:rsidRDefault="000B1302" w:rsidP="00110D67">
      <w:r w:rsidRPr="00883271">
        <w:t>Restricting access to security information is necessary to ensure that information that is unique to a VIN or that is time limited remains secure, reducing the risk of misuse resulting in vehicle theft or associated crimes. The separation and fit and proper person requirement imposed to access security information under the scheme reflect similar requirements in other jurisdictions, including the EU and</w:t>
      </w:r>
      <w:r w:rsidR="0069652F">
        <w:t> </w:t>
      </w:r>
      <w:r w:rsidRPr="00883271">
        <w:t>US.</w:t>
      </w:r>
    </w:p>
    <w:p w14:paraId="760AD249" w14:textId="02163173" w:rsidR="000B1302" w:rsidRPr="00883271" w:rsidRDefault="000B1302" w:rsidP="00110D67">
      <w:r w:rsidRPr="00883271">
        <w:t>Submissions received from stakeholders generally supported the scheme</w:t>
      </w:r>
      <w:r w:rsidR="00BF0433">
        <w:t>’</w:t>
      </w:r>
      <w:r w:rsidRPr="00883271">
        <w:t>s treatment of security information, noting that it aligns with other jurisdictions and that protecting this information remains vital given the threat of criminal exploitation. Snap</w:t>
      </w:r>
      <w:r w:rsidR="007B3C6A">
        <w:noBreakHyphen/>
      </w:r>
      <w:r w:rsidRPr="00883271">
        <w:t xml:space="preserve">on tools suggested that key cutting services that are required by an existing vehicle owner who presents a master key should be excluded from the definition of security information, as requiring a repairer to satisfy the fit and proper person requirements in this scenario increases wait times and directs consumers to dealers for faster service. Issues concerning the timeframes for delivery of security information, including for locksmiths, are discussed in </w:t>
      </w:r>
      <w:r w:rsidRPr="00883271">
        <w:rPr>
          <w:b/>
        </w:rPr>
        <w:t>chapter 3</w:t>
      </w:r>
      <w:r w:rsidRPr="00883271">
        <w:t>.</w:t>
      </w:r>
    </w:p>
    <w:p w14:paraId="616E966B" w14:textId="77777777" w:rsidR="0069652F" w:rsidRDefault="0069652F">
      <w:pPr>
        <w:spacing w:before="0" w:after="160" w:line="259" w:lineRule="auto"/>
      </w:pPr>
      <w:r>
        <w:br w:type="page"/>
      </w:r>
    </w:p>
    <w:p w14:paraId="564F07A1" w14:textId="24F4E129" w:rsidR="000B1302" w:rsidRPr="00883271" w:rsidRDefault="000B1302" w:rsidP="0069652F">
      <w:r w:rsidRPr="00883271">
        <w:lastRenderedPageBreak/>
        <w:t>The Scheme Adviser has reported that it is aware of anecdotal information concerning independent workshops using a single user registration to access scheme information and which is shared with multiple users within the workshop. When this relates to security information, this practice – if confirmed – has the potential to increase the risk of misuse of security information.</w:t>
      </w:r>
    </w:p>
    <w:p w14:paraId="0D1FC736" w14:textId="78F56CEF" w:rsidR="000B1302" w:rsidRPr="00883271" w:rsidRDefault="000B1302" w:rsidP="00110D67">
      <w:r w:rsidRPr="00883271">
        <w:t xml:space="preserve">Based on the information provided, the Review considers that the current treatment of security information as a distinct class of information remains broadly appropriate and aligned with comparable frameworks. However, as discussed in </w:t>
      </w:r>
      <w:r w:rsidRPr="00883271">
        <w:rPr>
          <w:b/>
        </w:rPr>
        <w:t>chapter 3</w:t>
      </w:r>
      <w:r w:rsidRPr="00883271">
        <w:t>, there is scope to better facilitate timely provision of security information.</w:t>
      </w:r>
    </w:p>
    <w:p w14:paraId="2C4D1CAC" w14:textId="6B6D4FB8" w:rsidR="000B1302" w:rsidRPr="00883271" w:rsidDel="00050C62" w:rsidRDefault="000B1302" w:rsidP="00110D67">
      <w:pPr>
        <w:spacing w:after="240"/>
      </w:pPr>
      <w:r w:rsidRPr="00883271">
        <w:t>In relation to the reported sharing of credentials, the scheme does not enable penalties to be imposed on Australian repairers and scheme RTOs for the misuse of security information. However, data providers have discretion to supply scheme information subject to reasonable terms and conditions. The Review considers that conditions imposed on the supply of security information which disincentivise the unauthorised sharing of credentials may be effective in addressing this reported practice, particularly when coupled with increased industry education around the consequences of improper use of security information.</w:t>
      </w:r>
    </w:p>
    <w:tbl>
      <w:tblPr>
        <w:tblStyle w:val="TableGrid"/>
        <w:tblW w:w="5000" w:type="pct"/>
        <w:shd w:val="clear" w:color="auto" w:fill="FCEEE5" w:themeFill="accent6" w:themeFillTint="33"/>
        <w:tblCellMar>
          <w:top w:w="57" w:type="dxa"/>
          <w:left w:w="227" w:type="dxa"/>
          <w:bottom w:w="113" w:type="dxa"/>
          <w:right w:w="227" w:type="dxa"/>
        </w:tblCellMar>
        <w:tblLook w:val="0620" w:firstRow="1" w:lastRow="0" w:firstColumn="0" w:lastColumn="0" w:noHBand="1" w:noVBand="1"/>
      </w:tblPr>
      <w:tblGrid>
        <w:gridCol w:w="9072"/>
      </w:tblGrid>
      <w:tr w:rsidR="000B1302" w:rsidRPr="00883271" w14:paraId="78341D02" w14:textId="77777777" w:rsidTr="00076F29">
        <w:trPr>
          <w:cnfStyle w:val="100000000000" w:firstRow="1" w:lastRow="0" w:firstColumn="0" w:lastColumn="0" w:oddVBand="0" w:evenVBand="0" w:oddHBand="0" w:evenHBand="0" w:firstRowFirstColumn="0" w:firstRowLastColumn="0" w:lastRowFirstColumn="0" w:lastRowLastColumn="0"/>
        </w:trPr>
        <w:tc>
          <w:tcPr>
            <w:tcW w:w="0" w:type="pct"/>
            <w:shd w:val="clear" w:color="auto" w:fill="F2F9FC"/>
          </w:tcPr>
          <w:p w14:paraId="7D453E3D" w14:textId="1D8814DC" w:rsidR="000B1302" w:rsidRPr="00110D67" w:rsidRDefault="000B1302" w:rsidP="00110D67">
            <w:pPr>
              <w:pStyle w:val="BoxHeading"/>
            </w:pPr>
            <w:r w:rsidRPr="00110D67">
              <w:t>Finding 5</w:t>
            </w:r>
          </w:p>
          <w:p w14:paraId="6471AE2F" w14:textId="42845602" w:rsidR="000B1302" w:rsidRPr="00883271" w:rsidRDefault="000B1302" w:rsidP="00110D67">
            <w:pPr>
              <w:pStyle w:val="BoxText"/>
              <w:rPr>
                <w:sz w:val="17"/>
                <w:szCs w:val="17"/>
              </w:rPr>
            </w:pPr>
            <w:r w:rsidRPr="00883271">
              <w:rPr>
                <w:szCs w:val="21"/>
              </w:rPr>
              <w:t>The scheme effectively protects safety and security information. However,</w:t>
            </w:r>
            <w:r w:rsidRPr="00883271">
              <w:t xml:space="preserve"> the regulation of safety information under the scheme </w:t>
            </w:r>
            <w:r w:rsidRPr="00110D67">
              <w:t>imposes</w:t>
            </w:r>
            <w:r w:rsidRPr="00883271">
              <w:t xml:space="preserve"> a substantial regulatory burden on vehicle manufacturers, intermediaries and repairers. </w:t>
            </w:r>
            <w:r w:rsidRPr="00883271">
              <w:rPr>
                <w:szCs w:val="21"/>
              </w:rPr>
              <w:t>Alternative approaches which do not require the separation of safety information could provide an equivalent level of protection while improving sector productivity.</w:t>
            </w:r>
          </w:p>
        </w:tc>
      </w:tr>
    </w:tbl>
    <w:p w14:paraId="3B2F6019" w14:textId="23D1B520" w:rsidR="000B1302" w:rsidRPr="00883271" w:rsidRDefault="000B1302">
      <w:pPr>
        <w:spacing w:before="0" w:after="160" w:line="259" w:lineRule="auto"/>
        <w:rPr>
          <w:sz w:val="21"/>
          <w:szCs w:val="21"/>
        </w:rPr>
      </w:pPr>
      <w:r w:rsidRPr="00883271">
        <w:rPr>
          <w:sz w:val="21"/>
          <w:szCs w:val="21"/>
        </w:rPr>
        <w:br w:type="page"/>
      </w:r>
    </w:p>
    <w:p w14:paraId="39C3724A" w14:textId="58BC0F87" w:rsidR="000B1302" w:rsidRPr="00883271" w:rsidRDefault="000B1302" w:rsidP="00DC2E0F">
      <w:pPr>
        <w:pStyle w:val="Heading1Numbered"/>
      </w:pPr>
      <w:bookmarkStart w:id="57" w:name="_Toc211963320"/>
      <w:bookmarkStart w:id="58" w:name="_Toc213340403"/>
      <w:bookmarkStart w:id="59" w:name="_Toc204692997"/>
      <w:bookmarkEnd w:id="46"/>
      <w:r w:rsidRPr="00883271">
        <w:lastRenderedPageBreak/>
        <w:t>The role of intermediaries</w:t>
      </w:r>
      <w:bookmarkEnd w:id="57"/>
      <w:bookmarkEnd w:id="58"/>
      <w:r w:rsidRPr="00883271">
        <w:t xml:space="preserve"> </w:t>
      </w:r>
    </w:p>
    <w:tbl>
      <w:tblPr>
        <w:tblStyle w:val="TableGrid"/>
        <w:tblW w:w="5000" w:type="pct"/>
        <w:shd w:val="clear" w:color="auto" w:fill="EEEEEE" w:themeFill="background2"/>
        <w:tblCellMar>
          <w:top w:w="227" w:type="dxa"/>
          <w:left w:w="227" w:type="dxa"/>
          <w:bottom w:w="227" w:type="dxa"/>
          <w:right w:w="227" w:type="dxa"/>
        </w:tblCellMar>
        <w:tblLook w:val="0620" w:firstRow="1" w:lastRow="0" w:firstColumn="0" w:lastColumn="0" w:noHBand="1" w:noVBand="1"/>
      </w:tblPr>
      <w:tblGrid>
        <w:gridCol w:w="9072"/>
      </w:tblGrid>
      <w:tr w:rsidR="000B1302" w:rsidRPr="00883271" w14:paraId="031C5C62" w14:textId="28A8169D" w:rsidTr="00110D67">
        <w:trPr>
          <w:cnfStyle w:val="100000000000" w:firstRow="1" w:lastRow="0" w:firstColumn="0" w:lastColumn="0" w:oddVBand="0" w:evenVBand="0" w:oddHBand="0" w:evenHBand="0" w:firstRowFirstColumn="0" w:firstRowLastColumn="0" w:lastRowFirstColumn="0" w:lastRowLastColumn="0"/>
        </w:trPr>
        <w:tc>
          <w:tcPr>
            <w:tcW w:w="0" w:type="pct"/>
          </w:tcPr>
          <w:p w14:paraId="072B20D8" w14:textId="6B01FD44" w:rsidR="000B1302" w:rsidRPr="00110D67" w:rsidRDefault="000B1302" w:rsidP="00110D67">
            <w:pPr>
              <w:pStyle w:val="BoxHeading"/>
              <w:rPr>
                <w:b w:val="0"/>
                <w:bCs w:val="0"/>
              </w:rPr>
            </w:pPr>
            <w:r w:rsidRPr="00110D67">
              <w:rPr>
                <w:bCs w:val="0"/>
              </w:rPr>
              <w:t>Key points</w:t>
            </w:r>
          </w:p>
          <w:p w14:paraId="4BECE24C" w14:textId="5FE43296" w:rsidR="000B1302" w:rsidRPr="00110D67" w:rsidRDefault="000B1302" w:rsidP="00110D67">
            <w:pPr>
              <w:pStyle w:val="Boxbullet"/>
              <w:rPr>
                <w:b/>
                <w:bCs/>
              </w:rPr>
            </w:pPr>
            <w:r w:rsidRPr="00110D67">
              <w:rPr>
                <w:bCs/>
              </w:rPr>
              <w:t>Intermediaries, including data aggregators and tool manufacturers, play a critical role in providing Australian repairers and RTOs with the products and services needed to compete in the automotive repair sector.</w:t>
            </w:r>
          </w:p>
          <w:p w14:paraId="59B24E61" w14:textId="2C4E0B5B" w:rsidR="000B1302" w:rsidRPr="00110D67" w:rsidRDefault="000B1302" w:rsidP="00110D67">
            <w:pPr>
              <w:pStyle w:val="Boxbullet"/>
              <w:rPr>
                <w:b/>
                <w:bCs/>
              </w:rPr>
            </w:pPr>
            <w:r w:rsidRPr="00110D67">
              <w:rPr>
                <w:bCs/>
              </w:rPr>
              <w:t xml:space="preserve">The scheme treats intermediaries as data providers, imposing the same obligations as vehicle manufacturers. </w:t>
            </w:r>
          </w:p>
          <w:p w14:paraId="26109916" w14:textId="5E051896" w:rsidR="000B1302" w:rsidRPr="00110D67" w:rsidRDefault="000B1302" w:rsidP="00110D67">
            <w:pPr>
              <w:pStyle w:val="Boxbullet"/>
              <w:rPr>
                <w:b/>
                <w:bCs/>
              </w:rPr>
            </w:pPr>
            <w:r w:rsidRPr="00110D67">
              <w:rPr>
                <w:bCs/>
              </w:rPr>
              <w:t xml:space="preserve">Intermediaries face practical challenges in accessing and distributing scheme information, including in negotiating licensing agreements with OEMs, complying with supply period requirements and separating safety and security information. </w:t>
            </w:r>
          </w:p>
          <w:p w14:paraId="3E8B7DE4" w14:textId="1D538C3D" w:rsidR="000B1302" w:rsidRPr="00883271" w:rsidRDefault="000B1302" w:rsidP="00110D67">
            <w:pPr>
              <w:pStyle w:val="Boxbullet"/>
              <w:rPr>
                <w:szCs w:val="22"/>
              </w:rPr>
            </w:pPr>
            <w:r w:rsidRPr="00110D67">
              <w:rPr>
                <w:bCs/>
              </w:rPr>
              <w:t>Mandating access to scheme information for intermediaries under the scheme, subject to appropriate rights and obligations, would align more closely with comparable schemes in the EU and US and likely improve the availability of scheme information for Australian repairers, supporting competition and enhancing productivity</w:t>
            </w:r>
            <w:r w:rsidRPr="00110D67">
              <w:rPr>
                <w:bCs/>
                <w:szCs w:val="22"/>
              </w:rPr>
              <w:t>.</w:t>
            </w:r>
            <w:r w:rsidRPr="00883271">
              <w:t xml:space="preserve"> </w:t>
            </w:r>
          </w:p>
        </w:tc>
      </w:tr>
    </w:tbl>
    <w:p w14:paraId="551F59CE" w14:textId="349392DA" w:rsidR="000B1302" w:rsidRPr="00883271" w:rsidRDefault="000B1302" w:rsidP="0069652F">
      <w:r w:rsidRPr="00883271">
        <w:t xml:space="preserve">Intermediaries play an important role in disseminating scheme information within the Australian repair sector. These intermediaries include: </w:t>
      </w:r>
    </w:p>
    <w:p w14:paraId="68BBCA44" w14:textId="51CEA31A" w:rsidR="000B1302" w:rsidRPr="00883271" w:rsidRDefault="000B1302" w:rsidP="00110D67">
      <w:pPr>
        <w:pStyle w:val="Bullet"/>
      </w:pPr>
      <w:r w:rsidRPr="00883271">
        <w:rPr>
          <w:b/>
        </w:rPr>
        <w:t>Data aggregators</w:t>
      </w:r>
      <w:r w:rsidRPr="00883271">
        <w:t xml:space="preserve"> who publish vehicle diagnostic, repair and service information obtained from a variety of sources, including vehicle manufacturers. This information is typically standardised and compiled to provide repairers with accessible information and additional practical insights for undertaking vehicle repair, service and maintenance.</w:t>
      </w:r>
    </w:p>
    <w:p w14:paraId="3F91F712" w14:textId="74085A60" w:rsidR="000B1302" w:rsidRPr="00883271" w:rsidRDefault="000B1302" w:rsidP="00110D67">
      <w:pPr>
        <w:pStyle w:val="Bullet"/>
      </w:pPr>
      <w:r w:rsidRPr="00883271">
        <w:rPr>
          <w:b/>
        </w:rPr>
        <w:t>Tool manufacturers</w:t>
      </w:r>
      <w:r w:rsidRPr="00883271">
        <w:t xml:space="preserve"> who supply tools and software utilising or containing scheme information and that connect to a vehicle</w:t>
      </w:r>
      <w:r w:rsidR="00BF0433">
        <w:t>’</w:t>
      </w:r>
      <w:r w:rsidRPr="00883271">
        <w:t xml:space="preserve">s onboard </w:t>
      </w:r>
      <w:r w:rsidRPr="00110D67">
        <w:t>system</w:t>
      </w:r>
      <w:r w:rsidRPr="00883271">
        <w:t xml:space="preserve"> to either diagnose or resolve faults.</w:t>
      </w:r>
    </w:p>
    <w:p w14:paraId="73024CEA" w14:textId="2618E7E7" w:rsidR="000B1302" w:rsidRPr="00883271" w:rsidRDefault="000B1302" w:rsidP="00110D67">
      <w:r w:rsidRPr="00883271">
        <w:t xml:space="preserve">While business models vary, intermediaries are commonly involved in the aggregation of data from multiple sources for the purpose of integrating this information into hardware. Intermediaries play an important role in facilitating the interoperability of hardware used by repairers outside of manufacturer authorised supply chains. By providing repairers with a means of diagnosing, repairing and servicing a range of vehicles, hardware costs can be reduced. </w:t>
      </w:r>
    </w:p>
    <w:p w14:paraId="5F1E3210" w14:textId="6383ACF5" w:rsidR="000B1302" w:rsidRPr="00883271" w:rsidRDefault="000B1302" w:rsidP="00110D67">
      <w:pPr>
        <w:pStyle w:val="FigureMainHeading"/>
      </w:pPr>
      <w:r w:rsidRPr="00883271">
        <w:t>Figure 5.1: Flow of information</w:t>
      </w:r>
      <w:r w:rsidR="00BF0433">
        <w:t xml:space="preserve"> – </w:t>
      </w:r>
      <w:r w:rsidR="00BF51B3">
        <w:t>intermediaries</w:t>
      </w:r>
      <w:r w:rsidRPr="00883271">
        <w:t xml:space="preserve"> to the aftermarket</w:t>
      </w:r>
    </w:p>
    <w:p w14:paraId="333FBF05" w14:textId="07F8B316" w:rsidR="000B1302" w:rsidRPr="00883271" w:rsidRDefault="00BC1074" w:rsidP="00BC1074">
      <w:pPr>
        <w:pStyle w:val="ChartGraphic"/>
        <w:keepNext w:val="0"/>
        <w:rPr>
          <w:sz w:val="21"/>
          <w:szCs w:val="21"/>
        </w:rPr>
      </w:pPr>
      <w:r>
        <w:drawing>
          <wp:inline distT="0" distB="0" distL="0" distR="0" wp14:anchorId="6AFB1860" wp14:editId="790A16E6">
            <wp:extent cx="5760720" cy="1263650"/>
            <wp:effectExtent l="0" t="0" r="0" b="0"/>
            <wp:docPr id="1682909838" name="Graphic 1" descr="Graphic shows information flowing from vehicle manufacturers to intermediaries and then onto Australian repairers and R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09838" name="Graphic 1" descr="Graphic shows information flowing from vehicle manufacturers to intermediaries and then onto Australian repairers and RTOs."/>
                    <pic:cNvPicPr/>
                  </pic:nvPicPr>
                  <pic:blipFill>
                    <a:blip r:embed="rId49">
                      <a:extLst>
                        <a:ext uri="{96DAC541-7B7A-43D3-8B79-37D633B846F1}">
                          <asvg:svgBlip xmlns:asvg="http://schemas.microsoft.com/office/drawing/2016/SVG/main" r:embed="rId50"/>
                        </a:ext>
                      </a:extLst>
                    </a:blip>
                    <a:stretch>
                      <a:fillRect/>
                    </a:stretch>
                  </pic:blipFill>
                  <pic:spPr>
                    <a:xfrm>
                      <a:off x="0" y="0"/>
                      <a:ext cx="5760720" cy="1263650"/>
                    </a:xfrm>
                    <a:prstGeom prst="rect">
                      <a:avLst/>
                    </a:prstGeom>
                  </pic:spPr>
                </pic:pic>
              </a:graphicData>
            </a:graphic>
          </wp:inline>
        </w:drawing>
      </w:r>
    </w:p>
    <w:p w14:paraId="3D205A6B" w14:textId="23711A33" w:rsidR="000B1302" w:rsidRPr="00883271" w:rsidRDefault="000B1302" w:rsidP="00110D67">
      <w:r w:rsidRPr="00883271">
        <w:lastRenderedPageBreak/>
        <w:t>There are approximately 68 motor vehicle brands offering 380 models of vehicle within Australia.</w:t>
      </w:r>
      <w:r w:rsidRPr="0069652F">
        <w:rPr>
          <w:rStyle w:val="FootnoteReference"/>
          <w:szCs w:val="22"/>
        </w:rPr>
        <w:footnoteReference w:id="59"/>
      </w:r>
      <w:r w:rsidRPr="0069652F">
        <w:rPr>
          <w:szCs w:val="22"/>
        </w:rPr>
        <w:t xml:space="preserve"> </w:t>
      </w:r>
      <w:r w:rsidRPr="00883271">
        <w:t>As independent repairers typically service all makes and all models, intermediaries play a critical role in facilitating access to affordable standardised information adapted to a variety of diagnostic, repair, service and maintenance tasks.</w:t>
      </w:r>
      <w:r w:rsidRPr="00883271" w:rsidDel="005774D3">
        <w:t xml:space="preserve"> </w:t>
      </w:r>
      <w:r w:rsidRPr="00883271">
        <w:t>Approximately 65 per cent of Treasury survey respondents indicated they sourced service, repair and diagnostic information from third party information providers or data aggregators within the last 12 months, and this figure was notably higher amongst smaller businesses (those with less than 20 employees) than larger businesses (those with 20 or more employees).</w:t>
      </w:r>
      <w:r w:rsidRPr="0069652F">
        <w:rPr>
          <w:rStyle w:val="FootnoteReference"/>
        </w:rPr>
        <w:footnoteReference w:id="60"/>
      </w:r>
      <w:r w:rsidRPr="0069652F">
        <w:rPr>
          <w:rStyle w:val="FootnoteReference"/>
        </w:rPr>
        <w:t xml:space="preserve"> </w:t>
      </w:r>
    </w:p>
    <w:p w14:paraId="35E8B594" w14:textId="2AA15199" w:rsidR="000B1302" w:rsidRPr="00883271" w:rsidRDefault="000B1302" w:rsidP="00110D67">
      <w:r w:rsidRPr="00883271">
        <w:t>Under the scheme, intermediaries supplying scheme information, whether directly or indirectly, are treated as data providers.</w:t>
      </w:r>
      <w:r w:rsidRPr="0069652F">
        <w:rPr>
          <w:rStyle w:val="FootnoteReference"/>
        </w:rPr>
        <w:footnoteReference w:id="61"/>
      </w:r>
      <w:r w:rsidRPr="00883271">
        <w:t xml:space="preserve"> As a result, intermediaries are subject to the same obligations imposed on OEMs. The scheme does not require OEMs to provide scheme information to intermediaries and contemplates that access to scheme information by intermediaries and parts manufacturers will continue to be negotiated between parties on commercial terms.</w:t>
      </w:r>
      <w:r w:rsidRPr="0069652F">
        <w:rPr>
          <w:rStyle w:val="FootnoteReference"/>
        </w:rPr>
        <w:footnoteReference w:id="62"/>
      </w:r>
      <w:r w:rsidRPr="0069652F">
        <w:rPr>
          <w:rStyle w:val="FootnoteReference"/>
        </w:rPr>
        <w:t xml:space="preserve"> </w:t>
      </w:r>
    </w:p>
    <w:p w14:paraId="27FB31BB" w14:textId="5457A534" w:rsidR="000B1302" w:rsidRPr="00883271" w:rsidRDefault="000B1302" w:rsidP="00110D67">
      <w:r w:rsidRPr="00883271">
        <w:t xml:space="preserve">The treatment of intermediaries under the scheme differs from similar schemes abroad, which position intermediaries as data recipients rather than data providers (see </w:t>
      </w:r>
      <w:r w:rsidRPr="00883271">
        <w:rPr>
          <w:b/>
          <w:bCs/>
        </w:rPr>
        <w:t>appendix B</w:t>
      </w:r>
      <w:r w:rsidRPr="00883271">
        <w:t xml:space="preserve">) and was designed with a view to ensuring competitive neutrality between entities supplying scheme information to the Australian market. This approach reflects the intent of NCP as it promotes a more dynamic business environment by reducing information asymmetries and supporting competition while ensuring an equal playing field across businesses. However, stakeholder feedback received as part of the review suggests that the current approach presents a range of practical challenges for intermediaries relating to accessing and distributing scheme information. These challenges are in addition to those relating to the separation of scheme information detailed in </w:t>
      </w:r>
      <w:r w:rsidRPr="00883271">
        <w:rPr>
          <w:b/>
        </w:rPr>
        <w:t>chapter 4</w:t>
      </w:r>
      <w:r w:rsidRPr="00883271">
        <w:t xml:space="preserve">. </w:t>
      </w:r>
    </w:p>
    <w:p w14:paraId="3606725C" w14:textId="584669DE" w:rsidR="000B1302" w:rsidRPr="004343EF" w:rsidRDefault="000B1302" w:rsidP="00306E2B">
      <w:pPr>
        <w:pStyle w:val="Heading2"/>
        <w:rPr>
          <w:szCs w:val="36"/>
        </w:rPr>
      </w:pPr>
      <w:bookmarkStart w:id="60" w:name="_Toc211963321"/>
      <w:bookmarkStart w:id="61" w:name="_Toc213340404"/>
      <w:r w:rsidRPr="004343EF">
        <w:rPr>
          <w:szCs w:val="36"/>
        </w:rPr>
        <w:t>Accessing and distributing scheme information</w:t>
      </w:r>
      <w:bookmarkEnd w:id="60"/>
      <w:bookmarkEnd w:id="61"/>
      <w:r w:rsidRPr="004343EF">
        <w:rPr>
          <w:szCs w:val="36"/>
        </w:rPr>
        <w:t xml:space="preserve"> </w:t>
      </w:r>
    </w:p>
    <w:p w14:paraId="31C898BA" w14:textId="0C263E65" w:rsidR="000B1302" w:rsidRPr="00883271" w:rsidRDefault="000B1302" w:rsidP="00110D67">
      <w:r w:rsidRPr="00883271">
        <w:t xml:space="preserve">The scheme does not require OEMs to provide intermediaries with access to scheme information. While some information is reverse engineered, much of the information made available by intermediaries is done so under licence agreements with OEMs. Licence agreements are commonly concluded following extensive contractual negotiations and impose a variety of rights and obligations on parties which may also be impacted by relevant statutory frameworks. </w:t>
      </w:r>
    </w:p>
    <w:p w14:paraId="33C52492" w14:textId="1DF0392D" w:rsidR="000B1302" w:rsidRPr="00883271" w:rsidRDefault="000B1302" w:rsidP="00110D67">
      <w:r w:rsidRPr="00883271">
        <w:t>While both intermediaries and OEMs operate globally, negotiations for the distribution of information are often jurisdiction specific. Several intermediaries ascribed difficulties in accessing scheme information through licensing agreements with OEMs in Australia to regulatory differences between the scheme and the equivalent scheme in operation in the EU. These stakeholders highlighted that although the scheme expressly presumes that intermediaries will continue to be able to negotiate access to service and repair information on commercial terms, in practice some OEMs have shown a reluctance to license scheme information in the absence of a statutory requirement to do so.</w:t>
      </w:r>
    </w:p>
    <w:p w14:paraId="6B30CA3D" w14:textId="7B9994D1" w:rsidR="000B1302" w:rsidRPr="00883271" w:rsidRDefault="000B1302" w:rsidP="00110D67">
      <w:r w:rsidRPr="00883271">
        <w:t xml:space="preserve">Existing challenges faced by intermediaries in accessing scheme information may be compounded in the medium term with the anticipated introduction in the EU of more stringent conditions and procedures to access vehicle OBD information (described in </w:t>
      </w:r>
      <w:r w:rsidRPr="00883271">
        <w:rPr>
          <w:b/>
        </w:rPr>
        <w:t>appendix B</w:t>
      </w:r>
      <w:r w:rsidRPr="00883271">
        <w:t xml:space="preserve">). While uncertainty exists over how these amendments will be implemented and flow through to the Australian market, one intermediary noted there is a risk that these changes may have the effect of </w:t>
      </w:r>
      <w:r w:rsidR="00BF0433">
        <w:t>‘</w:t>
      </w:r>
      <w:r w:rsidRPr="00883271">
        <w:t>locking out</w:t>
      </w:r>
      <w:r w:rsidR="00BF0433">
        <w:t>’</w:t>
      </w:r>
      <w:r w:rsidRPr="00883271">
        <w:t xml:space="preserve"> non</w:t>
      </w:r>
      <w:r w:rsidR="007B3C6A">
        <w:noBreakHyphen/>
      </w:r>
      <w:r w:rsidRPr="00883271">
        <w:t xml:space="preserve">proprietary devices, where intermediaries are not provided with the information necessary to </w:t>
      </w:r>
      <w:r w:rsidRPr="00883271">
        <w:lastRenderedPageBreak/>
        <w:t>comply with updated authentication and server checks. However, even where intermediaries are not locked out as a result of these changes and are able to access scheme information, a number of intermediaries identified that it is not practicable, within the context of their operations, to offer scheme information for the periods required under the scheme.</w:t>
      </w:r>
    </w:p>
    <w:p w14:paraId="59B21FD8" w14:textId="317734D6" w:rsidR="000B1302" w:rsidRPr="00883271" w:rsidRDefault="000B1302" w:rsidP="00110D67">
      <w:r w:rsidRPr="00883271">
        <w:t>As</w:t>
      </w:r>
      <w:r w:rsidRPr="00883271" w:rsidDel="005379A4">
        <w:t xml:space="preserve"> </w:t>
      </w:r>
      <w:r w:rsidRPr="00883271">
        <w:t xml:space="preserve">noted in </w:t>
      </w:r>
      <w:r w:rsidRPr="00883271">
        <w:rPr>
          <w:b/>
        </w:rPr>
        <w:t xml:space="preserve">chapter </w:t>
      </w:r>
      <w:r w:rsidRPr="00883271">
        <w:rPr>
          <w:b/>
          <w:bCs/>
        </w:rPr>
        <w:t>3</w:t>
      </w:r>
      <w:r w:rsidRPr="00883271">
        <w:t>, scheme information must be made available by day, month and year, where the underlying form of the information allows for variability. The majority of intermediaries engaging with the review reported that their global business models rely on annual subscriptions or one</w:t>
      </w:r>
      <w:r w:rsidR="007B3C6A">
        <w:rPr>
          <w:rFonts w:cs="Calibri Light"/>
        </w:rPr>
        <w:noBreakHyphen/>
      </w:r>
      <w:r w:rsidRPr="00883271">
        <w:t>off purchases and that it is commercially unviable to amend these models to the Australian market.</w:t>
      </w:r>
    </w:p>
    <w:p w14:paraId="24D4FE7F" w14:textId="47B74B4B" w:rsidR="000B1302" w:rsidRPr="00883271" w:rsidRDefault="000B1302" w:rsidP="00110D67">
      <w:r w:rsidRPr="00883271">
        <w:t>The Review was unable to test claims in relation to the viability of short</w:t>
      </w:r>
      <w:r w:rsidR="007B3C6A">
        <w:noBreakHyphen/>
      </w:r>
      <w:r w:rsidRPr="00883271">
        <w:t>term subscription periods in the context of intermediaries</w:t>
      </w:r>
      <w:r w:rsidR="00BF0433">
        <w:t>’</w:t>
      </w:r>
      <w:r w:rsidRPr="00883271">
        <w:t xml:space="preserve"> business models. However, it is accepted that short, legislated timeframes for the supply of scheme information may present commercial challenges for intermediaries in some circumstances as: </w:t>
      </w:r>
    </w:p>
    <w:p w14:paraId="3F79098F" w14:textId="1E85E484" w:rsidR="000B1302" w:rsidRPr="00883271" w:rsidRDefault="000B1302" w:rsidP="007B3C6A">
      <w:r w:rsidRPr="00883271">
        <w:t>vehicle</w:t>
      </w:r>
      <w:r w:rsidR="007B3C6A">
        <w:noBreakHyphen/>
      </w:r>
      <w:r w:rsidRPr="00883271">
        <w:t xml:space="preserve">specific scheme information provided by vehicle manufacturers and intermediary goods and services capable of operating across a large number of vehicles are fundamentally different investments </w:t>
      </w:r>
    </w:p>
    <w:p w14:paraId="65C9FD0A" w14:textId="6EE8979F" w:rsidR="000B1302" w:rsidRPr="00883271" w:rsidRDefault="000B1302" w:rsidP="00110D67">
      <w:pPr>
        <w:pStyle w:val="Bullet"/>
      </w:pPr>
      <w:r w:rsidRPr="00110D67">
        <w:t>intermediaries</w:t>
      </w:r>
      <w:r w:rsidR="00BF0433">
        <w:t>’</w:t>
      </w:r>
      <w:r w:rsidRPr="00883271">
        <w:t xml:space="preserve"> value proposition involves value</w:t>
      </w:r>
      <w:r w:rsidR="007B3C6A">
        <w:noBreakHyphen/>
      </w:r>
      <w:r w:rsidRPr="00883271">
        <w:t>adding to OEM data and realising a return on this value</w:t>
      </w:r>
      <w:r w:rsidR="007B3C6A">
        <w:noBreakHyphen/>
      </w:r>
      <w:r w:rsidRPr="00883271">
        <w:t xml:space="preserve">add is likely to require customers to be committed for relatively longer periods. </w:t>
      </w:r>
    </w:p>
    <w:p w14:paraId="15D82E84" w14:textId="1FE62DE3" w:rsidR="000B1302" w:rsidRPr="004343EF" w:rsidRDefault="000B1302" w:rsidP="00110D67">
      <w:pPr>
        <w:pStyle w:val="Heading2"/>
      </w:pPr>
      <w:bookmarkStart w:id="62" w:name="_Toc211963322"/>
      <w:bookmarkStart w:id="63" w:name="_Toc213340405"/>
      <w:r w:rsidRPr="004343EF">
        <w:t>Impact on intermediaries</w:t>
      </w:r>
      <w:bookmarkEnd w:id="62"/>
      <w:bookmarkEnd w:id="63"/>
    </w:p>
    <w:p w14:paraId="4B6888A5" w14:textId="040FC05A" w:rsidR="000B1302" w:rsidRPr="00883271" w:rsidRDefault="000B1302" w:rsidP="00110D67">
      <w:r w:rsidRPr="00883271">
        <w:t>The challenges described above suggest that there is opportunity for the scheme to better support intermediaries in providing scheme information. Given the extensive utilisation of intermediaries as a source of scheme information in Australia, any improvements to the scheme</w:t>
      </w:r>
      <w:r w:rsidR="00BF0433">
        <w:t>’</w:t>
      </w:r>
      <w:r w:rsidRPr="00883271">
        <w:t xml:space="preserve">s application to this class of data provider is likely to have a material impact on the provision of accessible and affordable scheme information and the productivity of repairers. </w:t>
      </w:r>
    </w:p>
    <w:p w14:paraId="1538F581" w14:textId="769F676C" w:rsidR="000B1302" w:rsidRPr="00883271" w:rsidRDefault="000B1302" w:rsidP="00110D67">
      <w:r w:rsidRPr="00883271">
        <w:t>While the feedback received in relation to the challenges faced by intermediaries was consistent across stakeholders, views on precisely how intermediaries should be captured within the scheme varied:</w:t>
      </w:r>
    </w:p>
    <w:p w14:paraId="410DBF71" w14:textId="130B4D0E" w:rsidR="000B1302" w:rsidRPr="00110D67" w:rsidRDefault="000B1302" w:rsidP="00110D67">
      <w:pPr>
        <w:pStyle w:val="Bullet"/>
      </w:pPr>
      <w:r w:rsidRPr="00883271">
        <w:t xml:space="preserve">A third of </w:t>
      </w:r>
      <w:r w:rsidRPr="00110D67">
        <w:t xml:space="preserve">submissions stated that intermediaries should be treated the same or similar to Australian repairers, enabling intermediaries to receive the same information as independent repairers and bringing Australia into line with other jurisdictions. </w:t>
      </w:r>
    </w:p>
    <w:p w14:paraId="6559A940" w14:textId="38364E2C" w:rsidR="000B1302" w:rsidRPr="00110D67" w:rsidRDefault="000B1302" w:rsidP="00110D67">
      <w:pPr>
        <w:pStyle w:val="Bullet"/>
      </w:pPr>
      <w:r w:rsidRPr="00110D67">
        <w:t>A third of submissions, including submissions from the FCAI and some data aggregators, suggested that a new set of rights and obligations should be defined in relation to intermediaries, an approach supported by the Scheme Adviser.</w:t>
      </w:r>
    </w:p>
    <w:p w14:paraId="4F495112" w14:textId="18DD503E" w:rsidR="000B1302" w:rsidRPr="00883271" w:rsidRDefault="000B1302" w:rsidP="00110D67">
      <w:pPr>
        <w:pStyle w:val="Bullet"/>
      </w:pPr>
      <w:r w:rsidRPr="00110D67">
        <w:t>The balance of submissions varied in their views, which included excluding intermediaries from the definition of data providers, imposing goods faith dealing obligations between data providers and intermediaries and exempting</w:t>
      </w:r>
      <w:r w:rsidRPr="00883271">
        <w:t xml:space="preserve"> intermediaries from the scheme</w:t>
      </w:r>
      <w:r w:rsidR="00BF0433">
        <w:t>’</w:t>
      </w:r>
      <w:r w:rsidRPr="00883271">
        <w:t>s requirements in relation to safety information.</w:t>
      </w:r>
    </w:p>
    <w:p w14:paraId="661E8785" w14:textId="638DF072" w:rsidR="000B1302" w:rsidRPr="00883271" w:rsidRDefault="000B1302" w:rsidP="00110D67">
      <w:r w:rsidRPr="00883271">
        <w:t>The Review considers that the issues relating to accessing and separating scheme information present the most acute challenges for intermediaries. While matters raised in relation to short</w:t>
      </w:r>
      <w:r w:rsidR="007B3C6A">
        <w:noBreakHyphen/>
      </w:r>
      <w:r w:rsidRPr="00883271">
        <w:t>term subscriptions may present significant obstacles in certain commercial contexts, the extent and impact of this issue across intermediaries was less clear.</w:t>
      </w:r>
    </w:p>
    <w:p w14:paraId="7C818649" w14:textId="77777777" w:rsidR="0069652F" w:rsidRDefault="0069652F">
      <w:pPr>
        <w:spacing w:before="0" w:after="160" w:line="259" w:lineRule="auto"/>
      </w:pPr>
      <w:r>
        <w:br w:type="page"/>
      </w:r>
    </w:p>
    <w:p w14:paraId="56DF290B" w14:textId="7F04F6EB" w:rsidR="000B1302" w:rsidRPr="00883271" w:rsidRDefault="000B1302" w:rsidP="0069652F">
      <w:r w:rsidRPr="00883271">
        <w:lastRenderedPageBreak/>
        <w:t xml:space="preserve">Evidence suggests that increased emphasis on aligning the treatment of intermediaries under the scheme with comparable frameworks in the EU and US may be beneficial in addressing the practical challenges raised during consultation. This may involve treating intermediaries as recipients of scheme information, rather than providers, and requiring OEMs to supply scheme information subject to newly defined and appropriately calibrated rights and obligations. These rights and obligations may relate to ensuring appropriate use of scheme information and requiring that scheme information is provided to intermediaries in a form which facilitates its efficient transformation and integration into goods and services. </w:t>
      </w:r>
      <w:r w:rsidRPr="00883271" w:rsidDel="00D04CA0">
        <w:t xml:space="preserve">The </w:t>
      </w:r>
      <w:r w:rsidRPr="00883271">
        <w:t xml:space="preserve">potential benefits associated with such a change may include: </w:t>
      </w:r>
    </w:p>
    <w:p w14:paraId="6906D2F3" w14:textId="706F7E92" w:rsidR="000B1302" w:rsidRPr="00883271" w:rsidRDefault="000B1302" w:rsidP="00110D67">
      <w:pPr>
        <w:pStyle w:val="Bullet"/>
      </w:pPr>
      <w:r w:rsidRPr="00883271">
        <w:rPr>
          <w:b/>
        </w:rPr>
        <w:t>Increased availability of scheme information</w:t>
      </w:r>
      <w:r w:rsidRPr="00883271">
        <w:t xml:space="preserve"> for </w:t>
      </w:r>
      <w:r w:rsidRPr="00110D67">
        <w:t>intermediaries</w:t>
      </w:r>
      <w:r w:rsidRPr="00883271">
        <w:t>, supporting the availability of goods and services incorporating scheme information to Australian repairers and scheme RTOs.</w:t>
      </w:r>
    </w:p>
    <w:p w14:paraId="3EBE0662" w14:textId="7CCBB72C" w:rsidR="000B1302" w:rsidRPr="00883271" w:rsidRDefault="000B1302" w:rsidP="00110D67">
      <w:pPr>
        <w:pStyle w:val="Bullet"/>
      </w:pPr>
      <w:r w:rsidRPr="00883271">
        <w:rPr>
          <w:b/>
        </w:rPr>
        <w:t xml:space="preserve">Enhanced competition </w:t>
      </w:r>
      <w:r w:rsidRPr="00883271">
        <w:t xml:space="preserve">amongst intermediaries by reducing barriers to entry through increased alignment with the regulatory settings </w:t>
      </w:r>
      <w:r w:rsidRPr="00110D67">
        <w:t>applying</w:t>
      </w:r>
      <w:r w:rsidRPr="00883271">
        <w:t xml:space="preserve"> in the EU and US.</w:t>
      </w:r>
    </w:p>
    <w:p w14:paraId="72406B32" w14:textId="6861D7F2" w:rsidR="000B1302" w:rsidRPr="00883271" w:rsidRDefault="000B1302" w:rsidP="00110D67">
      <w:pPr>
        <w:pStyle w:val="Bullet"/>
      </w:pPr>
      <w:r w:rsidRPr="00883271">
        <w:rPr>
          <w:b/>
        </w:rPr>
        <w:t xml:space="preserve">Increased productivity </w:t>
      </w:r>
      <w:r w:rsidRPr="00883271">
        <w:t>for Australian repairers by expanding the scope of circumstances in which their preferred intermediaries</w:t>
      </w:r>
      <w:r w:rsidR="00BF0433">
        <w:t>’</w:t>
      </w:r>
      <w:r w:rsidRPr="00883271">
        <w:t xml:space="preserve"> </w:t>
      </w:r>
      <w:r w:rsidRPr="00110D67">
        <w:t>goods</w:t>
      </w:r>
      <w:r w:rsidRPr="00883271">
        <w:t xml:space="preserve"> and services can be used, reducing the need to access proprietary solutions and OEM portals in some instances which have been reported to cause delay.</w:t>
      </w:r>
    </w:p>
    <w:p w14:paraId="4EAFA21B" w14:textId="092F2F90" w:rsidR="000B1302" w:rsidRPr="00883271" w:rsidRDefault="000B1302" w:rsidP="00110D67">
      <w:pPr>
        <w:pStyle w:val="Bullet"/>
      </w:pPr>
      <w:r w:rsidRPr="00883271">
        <w:rPr>
          <w:b/>
        </w:rPr>
        <w:t xml:space="preserve">Reduced regulatory burden </w:t>
      </w:r>
      <w:r w:rsidRPr="00883271">
        <w:t xml:space="preserve">on OEMs associated with supporting repairers navigate and utilise OEM systems, as an </w:t>
      </w:r>
      <w:r w:rsidRPr="00110D67">
        <w:t>increased</w:t>
      </w:r>
      <w:r w:rsidRPr="00883271">
        <w:t xml:space="preserve"> amount of scheme information would be accessed through intermediary goods and services. </w:t>
      </w:r>
    </w:p>
    <w:p w14:paraId="4BD3B3A6" w14:textId="28F38DAE" w:rsidR="000B1302" w:rsidRPr="00883271" w:rsidRDefault="000B1302" w:rsidP="0069652F">
      <w:pPr>
        <w:spacing w:after="240"/>
      </w:pPr>
      <w:r w:rsidRPr="00883271">
        <w:t>Given the significant complexity and variability of OEM and intermediary operations, realising these benefits would necessarily require extensive industry engagement to minimise any marginal regulatory burden on scheme participants.</w:t>
      </w:r>
    </w:p>
    <w:tbl>
      <w:tblPr>
        <w:tblStyle w:val="TableGrid"/>
        <w:tblW w:w="5000" w:type="pct"/>
        <w:shd w:val="clear" w:color="auto" w:fill="FCEEE5" w:themeFill="accent6" w:themeFillTint="33"/>
        <w:tblCellMar>
          <w:top w:w="227" w:type="dxa"/>
          <w:left w:w="227" w:type="dxa"/>
          <w:bottom w:w="227" w:type="dxa"/>
          <w:right w:w="227" w:type="dxa"/>
        </w:tblCellMar>
        <w:tblLook w:val="0620" w:firstRow="1" w:lastRow="0" w:firstColumn="0" w:lastColumn="0" w:noHBand="1" w:noVBand="1"/>
      </w:tblPr>
      <w:tblGrid>
        <w:gridCol w:w="9072"/>
      </w:tblGrid>
      <w:tr w:rsidR="000B1302" w:rsidRPr="00883271" w14:paraId="2EF078EC" w14:textId="77777777" w:rsidTr="0069652F">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9FC"/>
          </w:tcPr>
          <w:p w14:paraId="0EF80939" w14:textId="30871F1E" w:rsidR="000B1302" w:rsidRPr="00110D67" w:rsidRDefault="000B1302" w:rsidP="00110D67">
            <w:pPr>
              <w:pStyle w:val="BoxHeading"/>
            </w:pPr>
            <w:r w:rsidRPr="00110D67">
              <w:t>Finding 6</w:t>
            </w:r>
          </w:p>
          <w:p w14:paraId="5C86802F" w14:textId="303570FB" w:rsidR="000B1302" w:rsidRPr="00883271" w:rsidRDefault="000B1302" w:rsidP="00110D67">
            <w:pPr>
              <w:pStyle w:val="BoxText"/>
              <w:rPr>
                <w:sz w:val="17"/>
                <w:szCs w:val="17"/>
              </w:rPr>
            </w:pPr>
            <w:r w:rsidRPr="00883271">
              <w:t xml:space="preserve">Intermediaries are critical in providing Australian repairers and RTOs with the products and services needed to compete. Aligning their treatment under the scheme with comparable international frameworks is likely to better support the efficient flow of accessible and affordable information, reduce barriers to entry into the Australian automotive repair market and increase repairer productivity. Such an </w:t>
            </w:r>
            <w:r w:rsidRPr="00110D67">
              <w:t>approach</w:t>
            </w:r>
            <w:r w:rsidRPr="00883271">
              <w:t xml:space="preserve"> would also partly address challenges expressed by stakeholders in navigating OEM portals.</w:t>
            </w:r>
          </w:p>
        </w:tc>
      </w:tr>
    </w:tbl>
    <w:p w14:paraId="62318113" w14:textId="7589D689" w:rsidR="000B1302" w:rsidRPr="00147B3A" w:rsidRDefault="000B1302" w:rsidP="00147B3A"/>
    <w:p w14:paraId="317BF8BE" w14:textId="5B174FC0" w:rsidR="000B1302" w:rsidRPr="00883271" w:rsidRDefault="000B1302" w:rsidP="00DC2E0F">
      <w:pPr>
        <w:pStyle w:val="Heading1Numbered"/>
      </w:pPr>
      <w:bookmarkStart w:id="64" w:name="_Toc211963323"/>
      <w:bookmarkStart w:id="65" w:name="_Toc213340406"/>
      <w:r w:rsidRPr="00883271">
        <w:lastRenderedPageBreak/>
        <w:t>Scope of information</w:t>
      </w:r>
      <w:bookmarkEnd w:id="59"/>
      <w:bookmarkEnd w:id="64"/>
      <w:bookmarkEnd w:id="65"/>
      <w:r w:rsidRPr="00883271">
        <w:t xml:space="preserve"> </w:t>
      </w:r>
    </w:p>
    <w:tbl>
      <w:tblPr>
        <w:tblStyle w:val="TableGrid"/>
        <w:tblW w:w="5000" w:type="pct"/>
        <w:shd w:val="clear" w:color="auto" w:fill="F2F2F2" w:themeFill="background1" w:themeFillShade="F2"/>
        <w:tblCellMar>
          <w:top w:w="227" w:type="dxa"/>
          <w:left w:w="227" w:type="dxa"/>
          <w:bottom w:w="227" w:type="dxa"/>
          <w:right w:w="227" w:type="dxa"/>
        </w:tblCellMar>
        <w:tblLook w:val="0620" w:firstRow="1" w:lastRow="0" w:firstColumn="0" w:lastColumn="0" w:noHBand="1" w:noVBand="1"/>
      </w:tblPr>
      <w:tblGrid>
        <w:gridCol w:w="9072"/>
      </w:tblGrid>
      <w:tr w:rsidR="000B1302" w:rsidRPr="00883271" w14:paraId="5BE29E4A" w14:textId="77777777" w:rsidTr="000F7365">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2F2" w:themeFill="background1" w:themeFillShade="F2"/>
          </w:tcPr>
          <w:p w14:paraId="13032BFD" w14:textId="77777777" w:rsidR="000B1302" w:rsidRPr="00147B3A" w:rsidRDefault="000B1302" w:rsidP="00110D67">
            <w:pPr>
              <w:pStyle w:val="BoxHeading"/>
              <w:rPr>
                <w:b w:val="0"/>
              </w:rPr>
            </w:pPr>
            <w:r w:rsidRPr="00147B3A">
              <w:t>Key points</w:t>
            </w:r>
          </w:p>
          <w:p w14:paraId="18492C31" w14:textId="000F457E" w:rsidR="000B1302" w:rsidRPr="00147B3A" w:rsidRDefault="000B1302" w:rsidP="00147B3A">
            <w:pPr>
              <w:pStyle w:val="Boxbullet"/>
              <w:rPr>
                <w:b/>
                <w:bCs/>
              </w:rPr>
            </w:pPr>
            <w:r w:rsidRPr="00147B3A">
              <w:rPr>
                <w:bCs/>
              </w:rPr>
              <w:t xml:space="preserve">The scheme requires data providers to share a wide range of scheme information with Australian repairers and RTOs, subject to a limited set of narrowly defined exceptions. </w:t>
            </w:r>
          </w:p>
          <w:p w14:paraId="5562045B" w14:textId="2C11CBDB" w:rsidR="000B1302" w:rsidRPr="00147B3A" w:rsidRDefault="000B1302" w:rsidP="00147B3A">
            <w:pPr>
              <w:pStyle w:val="Boxbullet"/>
              <w:rPr>
                <w:b/>
                <w:bCs/>
              </w:rPr>
            </w:pPr>
            <w:r w:rsidRPr="00147B3A">
              <w:rPr>
                <w:bCs/>
              </w:rPr>
              <w:t>Access to electronic logbooks is not currently mandated under the scheme. It will be important to ensure that independent repairers and their customers are not disadvantaged as the use of digital service records grows.</w:t>
            </w:r>
          </w:p>
          <w:p w14:paraId="561EFE65" w14:textId="5172C6CC" w:rsidR="000B1302" w:rsidRPr="00147B3A" w:rsidRDefault="000B1302" w:rsidP="00147B3A">
            <w:pPr>
              <w:pStyle w:val="Boxbullet"/>
              <w:rPr>
                <w:b/>
                <w:bCs/>
              </w:rPr>
            </w:pPr>
            <w:r w:rsidRPr="00147B3A">
              <w:rPr>
                <w:bCs/>
              </w:rPr>
              <w:t xml:space="preserve">The existing exclusion of telematics does not currently present significant barriers to the operation of the scheme, however industry momentum towards telematics as a means of data transfer necessitates consideration of the potential competitive impacts for independent repairers in the near term. </w:t>
            </w:r>
          </w:p>
          <w:p w14:paraId="46307036" w14:textId="77777777" w:rsidR="000B1302" w:rsidRPr="00147B3A" w:rsidRDefault="000B1302" w:rsidP="00147B3A">
            <w:pPr>
              <w:pStyle w:val="Boxbullet"/>
              <w:rPr>
                <w:b/>
                <w:bCs/>
              </w:rPr>
            </w:pPr>
            <w:r w:rsidRPr="00147B3A">
              <w:rPr>
                <w:bCs/>
              </w:rPr>
              <w:t>Information related to automated driving systems (SAE Level 3 and above) is excluded from the scheme, reflecting the early stage of deployment in Australia; future consideration may be needed as these technologies become more prevalent.</w:t>
            </w:r>
          </w:p>
          <w:p w14:paraId="7BBB4F6A" w14:textId="367C6C92" w:rsidR="000B1302" w:rsidRPr="00883271" w:rsidRDefault="000B1302" w:rsidP="00147B3A">
            <w:pPr>
              <w:pStyle w:val="Boxbullet"/>
              <w:rPr>
                <w:szCs w:val="22"/>
              </w:rPr>
            </w:pPr>
            <w:r w:rsidRPr="00147B3A">
              <w:rPr>
                <w:bCs/>
              </w:rPr>
              <w:t>The scheme does not apply to physical parts, but access to parts and parts pairing is an emerging issue that may affect repairer competitiveness and insurance</w:t>
            </w:r>
            <w:r w:rsidRPr="00147B3A">
              <w:rPr>
                <w:bCs/>
                <w:szCs w:val="22"/>
              </w:rPr>
              <w:t xml:space="preserve"> costs.</w:t>
            </w:r>
          </w:p>
        </w:tc>
      </w:tr>
    </w:tbl>
    <w:p w14:paraId="56D8EFF3" w14:textId="3683BF6E" w:rsidR="000B1302" w:rsidRPr="00883271" w:rsidRDefault="000B1302" w:rsidP="00110D67">
      <w:pPr>
        <w:spacing w:before="240"/>
      </w:pPr>
      <w:r w:rsidRPr="00883271">
        <w:t>Ensuring that the information captured by the scheme reflects what is required to diagnose, repair, service, modify or dismantle scheme vehicles is critical in driving competition between Australian repairers. Over time, the information necessary to effectively work on modern vehicles is likely to change alongside developments in vehicle technology.</w:t>
      </w:r>
    </w:p>
    <w:p w14:paraId="0D2001AC" w14:textId="603DA69F" w:rsidR="000B1302" w:rsidRPr="00883271" w:rsidRDefault="000B1302" w:rsidP="00147B3A">
      <w:r w:rsidRPr="00883271">
        <w:t xml:space="preserve">As detailed in </w:t>
      </w:r>
      <w:r w:rsidRPr="00883271">
        <w:rPr>
          <w:b/>
        </w:rPr>
        <w:t>chapter 1</w:t>
      </w:r>
      <w:r w:rsidRPr="00883271">
        <w:t>, the definition of scheme information is broad and captures a range of information that an Australian repairer may need. However, the scheme does not require that all information which may be used in diagnosing faults, servicing or repairing vehicles be made available to all Australian repairers and scheme RTOs. Specifically, scheme information does not include:</w:t>
      </w:r>
    </w:p>
    <w:p w14:paraId="0BD0F4CF" w14:textId="77777777" w:rsidR="000B1302" w:rsidRPr="00883271" w:rsidRDefault="000B1302" w:rsidP="00147B3A">
      <w:pPr>
        <w:pStyle w:val="Bullet"/>
      </w:pPr>
      <w:r w:rsidRPr="00883271">
        <w:t>trade secrets</w:t>
      </w:r>
    </w:p>
    <w:p w14:paraId="7995B1E4" w14:textId="7ACB3D26" w:rsidR="000B1302" w:rsidRPr="00883271" w:rsidRDefault="000B1302" w:rsidP="00147B3A">
      <w:pPr>
        <w:pStyle w:val="Bullet"/>
      </w:pPr>
      <w:r w:rsidRPr="00883271">
        <w:t xml:space="preserve">intellectual </w:t>
      </w:r>
      <w:r w:rsidRPr="00147B3A">
        <w:t>property</w:t>
      </w:r>
      <w:r w:rsidRPr="00883271">
        <w:t xml:space="preserve"> of a person, other than intellectual property protected under the </w:t>
      </w:r>
      <w:r w:rsidRPr="00883271">
        <w:rPr>
          <w:i/>
        </w:rPr>
        <w:t>Copyright</w:t>
      </w:r>
      <w:r w:rsidR="0069652F">
        <w:rPr>
          <w:i/>
        </w:rPr>
        <w:t> </w:t>
      </w:r>
      <w:r w:rsidRPr="00883271">
        <w:rPr>
          <w:i/>
        </w:rPr>
        <w:t>Act 1968</w:t>
      </w:r>
    </w:p>
    <w:p w14:paraId="6A2718E2" w14:textId="0646DD27" w:rsidR="000B1302" w:rsidRPr="00883271" w:rsidRDefault="000B1302" w:rsidP="00147B3A">
      <w:pPr>
        <w:pStyle w:val="Bullet"/>
      </w:pPr>
      <w:r w:rsidRPr="00883271">
        <w:t>a source code version of a program</w:t>
      </w:r>
    </w:p>
    <w:p w14:paraId="660323B8" w14:textId="6138D3B3" w:rsidR="000B1302" w:rsidRPr="00883271" w:rsidRDefault="000B1302" w:rsidP="00147B3A">
      <w:pPr>
        <w:pStyle w:val="Bullet"/>
      </w:pPr>
      <w:r w:rsidRPr="00147B3A">
        <w:t>automatically</w:t>
      </w:r>
      <w:r w:rsidRPr="00883271">
        <w:t xml:space="preserve"> generated data created by the vehicle while it is being driven </w:t>
      </w:r>
    </w:p>
    <w:p w14:paraId="1BD63937" w14:textId="77777777" w:rsidR="000B1302" w:rsidRPr="00147B3A" w:rsidRDefault="000B1302" w:rsidP="00147B3A">
      <w:pPr>
        <w:pStyle w:val="Bullet"/>
      </w:pPr>
      <w:r w:rsidRPr="00147B3A">
        <w:t>global positioning system data</w:t>
      </w:r>
    </w:p>
    <w:p w14:paraId="585126B1" w14:textId="77777777" w:rsidR="000B1302" w:rsidRPr="00147B3A" w:rsidRDefault="000B1302" w:rsidP="00147B3A">
      <w:pPr>
        <w:pStyle w:val="Bullet"/>
      </w:pPr>
      <w:r w:rsidRPr="00147B3A">
        <w:t>information used to develop solutions to emerging or unexpected faults</w:t>
      </w:r>
    </w:p>
    <w:p w14:paraId="142A0127" w14:textId="77777777" w:rsidR="000B1302" w:rsidRPr="00147B3A" w:rsidRDefault="000B1302" w:rsidP="00147B3A">
      <w:pPr>
        <w:pStyle w:val="Bullet"/>
      </w:pPr>
      <w:r w:rsidRPr="00147B3A">
        <w:t>a commercially sensitive agreement between a data provider and another person, and</w:t>
      </w:r>
    </w:p>
    <w:p w14:paraId="1CD742A4" w14:textId="16D679DA" w:rsidR="000B1302" w:rsidRPr="00883271" w:rsidRDefault="000B1302" w:rsidP="00147B3A">
      <w:pPr>
        <w:pStyle w:val="Bullet"/>
      </w:pPr>
      <w:r w:rsidRPr="00147B3A">
        <w:t>information connected to a vehicle</w:t>
      </w:r>
      <w:r w:rsidR="00BF0433">
        <w:t>’</w:t>
      </w:r>
      <w:r w:rsidRPr="00147B3A">
        <w:t>s automated driving system</w:t>
      </w:r>
      <w:r w:rsidRPr="00883271">
        <w:t>.</w:t>
      </w:r>
      <w:r w:rsidRPr="0069652F">
        <w:rPr>
          <w:rStyle w:val="FootnoteReference"/>
        </w:rPr>
        <w:footnoteReference w:id="63"/>
      </w:r>
    </w:p>
    <w:p w14:paraId="0AD00B8F" w14:textId="7753B307" w:rsidR="000B1302" w:rsidRPr="00883271" w:rsidRDefault="000B1302" w:rsidP="00147B3A">
      <w:r w:rsidRPr="00883271">
        <w:lastRenderedPageBreak/>
        <w:t>In addition, the scheme excludes information that manufacturers utilise as training material in training their own repairers, as well as electronic or hard copy logbooks.</w:t>
      </w:r>
      <w:r w:rsidRPr="0069652F">
        <w:rPr>
          <w:rStyle w:val="FootnoteReference"/>
        </w:rPr>
        <w:footnoteReference w:id="64"/>
      </w:r>
    </w:p>
    <w:p w14:paraId="6CF9FA29" w14:textId="28C3345A" w:rsidR="000B1302" w:rsidRPr="00883271" w:rsidRDefault="000B1302" w:rsidP="00147B3A">
      <w:r w:rsidRPr="00883271">
        <w:t xml:space="preserve">Feedback received through consultation highlighted the need to ensure the scheme can adapt to future technological developments, including through updates to the scope of scheme information. Electronic logbooks, telematics and automated driving systems were frequently highlighted as possible areas of expansion. </w:t>
      </w:r>
    </w:p>
    <w:p w14:paraId="6466ABF6" w14:textId="20D2CDEA" w:rsidR="000B1302" w:rsidRPr="004343EF" w:rsidRDefault="000B1302" w:rsidP="00147B3A">
      <w:pPr>
        <w:pStyle w:val="Heading2"/>
      </w:pPr>
      <w:bookmarkStart w:id="66" w:name="_Toc211963326"/>
      <w:bookmarkStart w:id="67" w:name="_Toc213340407"/>
      <w:r w:rsidRPr="00147B3A">
        <w:t>Electronic</w:t>
      </w:r>
      <w:r w:rsidRPr="004343EF">
        <w:t xml:space="preserve"> logbooks</w:t>
      </w:r>
      <w:bookmarkEnd w:id="66"/>
      <w:bookmarkEnd w:id="67"/>
      <w:r w:rsidRPr="004343EF">
        <w:t xml:space="preserve"> </w:t>
      </w:r>
    </w:p>
    <w:p w14:paraId="51DFE484" w14:textId="4CFF9123" w:rsidR="000B1302" w:rsidRPr="00883271" w:rsidRDefault="000B1302" w:rsidP="00147B3A">
      <w:r w:rsidRPr="00883271">
        <w:t>Electronic logbooks are a digital alternative to traditional hard copy logbooks typically provided with the purchase of a vehicle. When used, they can provide consumers a recommended scheduled servicing plan and a means to record work done on their vehicle, incorporating a richer set of data than paper</w:t>
      </w:r>
      <w:r w:rsidR="007B3C6A">
        <w:noBreakHyphen/>
      </w:r>
      <w:r w:rsidRPr="00883271">
        <w:t xml:space="preserve">based equivalents. </w:t>
      </w:r>
    </w:p>
    <w:p w14:paraId="154E883A" w14:textId="63D3E048" w:rsidR="000B1302" w:rsidRPr="00883271" w:rsidRDefault="000B1302" w:rsidP="00147B3A">
      <w:r w:rsidRPr="00883271">
        <w:t>A list of tasks, such as a service schedule and record of their completion for a particular vehicle is not scheme information. However, information such as steps involved in performing a scheduled service, technical specifications for components and lubricants, and testing procedures must be made available under the scheme, even if contained within a logbook</w:t>
      </w:r>
      <w:r w:rsidRPr="00883271" w:rsidDel="00685402">
        <w:t>.</w:t>
      </w:r>
      <w:r w:rsidRPr="0069652F">
        <w:rPr>
          <w:rStyle w:val="FootnoteReference"/>
        </w:rPr>
        <w:footnoteReference w:id="65"/>
      </w:r>
    </w:p>
    <w:p w14:paraId="00CCDE9C" w14:textId="71C12CD7" w:rsidR="000B1302" w:rsidRPr="00883271" w:rsidRDefault="000B1302" w:rsidP="00147B3A">
      <w:r w:rsidRPr="00883271" w:rsidDel="006E1AAE">
        <w:t>E</w:t>
      </w:r>
      <w:r w:rsidRPr="00883271">
        <w:t xml:space="preserve">lectronic logbooks can assist repairers by providing information on prior work performed on a vehicle and in some cases allow necessary materials </w:t>
      </w:r>
      <w:r w:rsidRPr="00883271" w:rsidDel="00B77A66">
        <w:t xml:space="preserve">to </w:t>
      </w:r>
      <w:r w:rsidRPr="00883271">
        <w:t>be pre</w:t>
      </w:r>
      <w:r w:rsidR="007B3C6A">
        <w:noBreakHyphen/>
      </w:r>
      <w:r w:rsidRPr="00883271">
        <w:t>ordered, increasing productivity and reducing delays for consumers. Ensuring work completed on a vehicle is consistently recorded in</w:t>
      </w:r>
      <w:r w:rsidRPr="00883271" w:rsidDel="00B440B6">
        <w:t xml:space="preserve"> </w:t>
      </w:r>
      <w:r w:rsidRPr="00883271">
        <w:t>the</w:t>
      </w:r>
      <w:r w:rsidRPr="00883271" w:rsidDel="00B27E2A">
        <w:t xml:space="preserve"> </w:t>
      </w:r>
      <w:r w:rsidRPr="00883271">
        <w:t>electronic logbook</w:t>
      </w:r>
      <w:r w:rsidRPr="00883271" w:rsidDel="00B440B6">
        <w:t xml:space="preserve"> </w:t>
      </w:r>
      <w:r w:rsidRPr="00883271">
        <w:t>is particularly important in establishing a complete service history which can influence a vehicle</w:t>
      </w:r>
      <w:r w:rsidR="00BF0433">
        <w:t>’</w:t>
      </w:r>
      <w:r w:rsidRPr="00883271">
        <w:t>s resale value.</w:t>
      </w:r>
    </w:p>
    <w:p w14:paraId="4E84A95D" w14:textId="1F093A22" w:rsidR="000B1302" w:rsidRPr="00883271" w:rsidRDefault="000B1302" w:rsidP="00147B3A">
      <w:r w:rsidRPr="00883271">
        <w:t>Stakeholders representing the Australian aftermarket, including the AAAA, AAA and VACC expressed support for the inclusion of electronic logbooks under the scheme. It was noted that a number of vehicle manufacturers are no longer providing hard copy logbooks, placing reliance on electronic logbooks in ensuring vehicle service histories are accurately maintained. VACC noted that the primary concern associated with excluding logbooks from the scheme was the negative impact that incomplete repair records may have on the residual value of a motor vehicle, or on any associated warranties. It was argued, including by the AAA, that this uncertainty produces a competitive advantage for dealerships as consumers may feel obliged to access repair and maintenance services from parties with the most complete set of information about their vehicle. AASRA supports the inclusion of electronic logbooks as part of the scheme, citing the increasing reliance on digital technologies.</w:t>
      </w:r>
    </w:p>
    <w:p w14:paraId="52623272" w14:textId="35CE15FA" w:rsidR="000B1302" w:rsidRPr="00883271" w:rsidRDefault="000B1302" w:rsidP="00147B3A">
      <w:r w:rsidRPr="00883271">
        <w:t>The FCAI does not support the inclusion of electronic logbooks under the scheme and does not regard logbook access as a prerequisite for essential repair work. The FCAI raised several concerns including:</w:t>
      </w:r>
    </w:p>
    <w:p w14:paraId="1C3626AB" w14:textId="73C6C364" w:rsidR="000B1302" w:rsidRPr="00883271" w:rsidRDefault="000B1302" w:rsidP="00147B3A">
      <w:pPr>
        <w:pStyle w:val="Bullet"/>
      </w:pPr>
      <w:r w:rsidRPr="00883271">
        <w:t>OEM</w:t>
      </w:r>
      <w:r w:rsidR="007B3C6A">
        <w:noBreakHyphen/>
      </w:r>
      <w:r w:rsidRPr="00883271">
        <w:t>franchised workshops may seek reciprocal access to independent repairers</w:t>
      </w:r>
      <w:r w:rsidR="00BF0433">
        <w:t>’</w:t>
      </w:r>
      <w:r w:rsidRPr="00883271">
        <w:t xml:space="preserve"> logbook entries</w:t>
      </w:r>
    </w:p>
    <w:p w14:paraId="64762D22" w14:textId="2ADCE0CF" w:rsidR="000B1302" w:rsidRPr="00883271" w:rsidRDefault="000B1302" w:rsidP="00147B3A">
      <w:pPr>
        <w:pStyle w:val="Bullet"/>
      </w:pPr>
      <w:r w:rsidRPr="00883271">
        <w:t>Repairers may be unaware of which businesses have previously worked on a vehicle</w:t>
      </w:r>
    </w:p>
    <w:p w14:paraId="24AE6857" w14:textId="77777777" w:rsidR="000B1302" w:rsidRPr="00883271" w:rsidRDefault="000B1302" w:rsidP="00147B3A">
      <w:pPr>
        <w:pStyle w:val="Bullet"/>
      </w:pPr>
      <w:r w:rsidRPr="00883271">
        <w:t xml:space="preserve">Logbooks frequently contain personal information, raising privacy concerns. </w:t>
      </w:r>
    </w:p>
    <w:p w14:paraId="54CF8BBE" w14:textId="77777777" w:rsidR="0069652F" w:rsidRDefault="0069652F" w:rsidP="00FF4986">
      <w:r>
        <w:br w:type="page"/>
      </w:r>
    </w:p>
    <w:p w14:paraId="51E5962A" w14:textId="315A7E2E" w:rsidR="000B1302" w:rsidRPr="00883271" w:rsidRDefault="000B1302" w:rsidP="00FF4986">
      <w:r w:rsidRPr="00883271">
        <w:lastRenderedPageBreak/>
        <w:t xml:space="preserve">The FCAI also noted the operational complexity of the sharing of electronic logbooks with independent repairers, including the need to define what information must be included within logbooks, and that providing access may necessitate the development of updated or novel digital platforms as existing platforms may not support </w:t>
      </w:r>
      <w:r w:rsidR="00BF0433">
        <w:t>‘</w:t>
      </w:r>
      <w:r w:rsidRPr="00883271">
        <w:t>write access</w:t>
      </w:r>
      <w:r w:rsidR="00BF0433">
        <w:t>’</w:t>
      </w:r>
      <w:r w:rsidRPr="00883271">
        <w:t xml:space="preserve"> for independent repairers. </w:t>
      </w:r>
    </w:p>
    <w:p w14:paraId="00ABDA70" w14:textId="796A6FC8" w:rsidR="000B1302" w:rsidRPr="00883271" w:rsidRDefault="000B1302" w:rsidP="00FF4986">
      <w:r w:rsidRPr="00883271">
        <w:t xml:space="preserve">Currently, electronic logbook access </w:t>
      </w:r>
      <w:r w:rsidRPr="00883271" w:rsidDel="006D5C44">
        <w:t xml:space="preserve">is </w:t>
      </w:r>
      <w:r w:rsidRPr="00883271">
        <w:t>relevant</w:t>
      </w:r>
      <w:r w:rsidRPr="00883271" w:rsidDel="00807192">
        <w:t xml:space="preserve"> </w:t>
      </w:r>
      <w:r w:rsidRPr="00883271">
        <w:t>to approximately one in ten new vehicles sold in Australia.</w:t>
      </w:r>
      <w:r w:rsidRPr="00883271">
        <w:rPr>
          <w:rStyle w:val="FootnoteReference"/>
          <w:szCs w:val="21"/>
        </w:rPr>
        <w:footnoteReference w:id="66"/>
      </w:r>
      <w:r w:rsidRPr="00883271">
        <w:t xml:space="preserve"> European manufacturers were highlighted as commonly employing the technology, which is required to be made available to independent repairers under the EU</w:t>
      </w:r>
      <w:r w:rsidR="00BF0433">
        <w:t>’</w:t>
      </w:r>
      <w:r w:rsidRPr="00883271">
        <w:t>s information sharing framework.</w:t>
      </w:r>
      <w:r w:rsidRPr="00883271">
        <w:rPr>
          <w:rStyle w:val="FootnoteReference"/>
          <w:szCs w:val="21"/>
        </w:rPr>
        <w:footnoteReference w:id="67"/>
      </w:r>
      <w:r w:rsidRPr="00883271">
        <w:t xml:space="preserve"> Among manufacturers utilising electronic logbooks, the majority provide aftermarket access in Australia in some form. However, as this access is not governed by the scheme, the terms and conditions of access vary. For example, one survey respondent noted that a manufacturer would only make logbook access available through a one year, cost prohibitive, subscription. </w:t>
      </w:r>
    </w:p>
    <w:p w14:paraId="5BE7AB51" w14:textId="08FC66FA" w:rsidR="000B1302" w:rsidRPr="00883271" w:rsidRDefault="000B1302" w:rsidP="00FF4986">
      <w:r w:rsidRPr="00883271">
        <w:t>The AAAA expects that the use of electronic logbooks is likely to grow over time as vehicles become more technologically advanced across all market segments. As service schedules and records transition from hard copy to digital formats, the Review considers that barriers to accessing and updating this information in the aftermarket may reduce repairer productivity, increase costs and make maintaining complete records of vehicle repair and maintenance more difficult. Facilitating access to electronic logbooks under the scheme could serve to future proof the framework against these potential challenges, while ensuring those manufacturers continuing to use hard copy logbooks remain unaffected.</w:t>
      </w:r>
    </w:p>
    <w:p w14:paraId="61A417D8" w14:textId="3BB7513A" w:rsidR="000B1302" w:rsidRPr="00883271" w:rsidRDefault="000B1302" w:rsidP="0069652F">
      <w:pPr>
        <w:spacing w:after="100"/>
      </w:pPr>
      <w:r w:rsidRPr="00883271">
        <w:t>Commencing consideration of access to electronic logbooks while adoption remains in its infancy would allow for an appropriately calibrated approach to be settled through consultation with industry and minimise the likelihood of consumer detriment as uptake grows. In considering electronic logbook access, particular regard would need to be had to how the framework operates both between authorised and independent repairers, and between successive vehicle owners, particularly in the second</w:t>
      </w:r>
      <w:r w:rsidR="007B3C6A">
        <w:noBreakHyphen/>
      </w:r>
      <w:r w:rsidRPr="00883271">
        <w:t xml:space="preserve">hand market. Factors requiring detailed consideration are likely to include: </w:t>
      </w:r>
    </w:p>
    <w:p w14:paraId="6F33A177" w14:textId="77777777" w:rsidR="000B1302" w:rsidRPr="00883271" w:rsidRDefault="000B1302" w:rsidP="0069652F">
      <w:pPr>
        <w:pStyle w:val="Bullet"/>
        <w:spacing w:after="100"/>
      </w:pPr>
      <w:r w:rsidRPr="00883271">
        <w:t xml:space="preserve">Ensuring consumer privacy and consent in the sharing of any personal information </w:t>
      </w:r>
    </w:p>
    <w:p w14:paraId="2AC656EE" w14:textId="17F6134A" w:rsidR="000B1302" w:rsidRPr="00883271" w:rsidRDefault="000B1302" w:rsidP="0069652F">
      <w:pPr>
        <w:pStyle w:val="Bullet"/>
        <w:spacing w:after="100"/>
      </w:pPr>
      <w:r w:rsidRPr="00883271">
        <w:t>Limiting access to the extent necessary to effectively diagnose, service and repair scheme vehicles and record tasks performed</w:t>
      </w:r>
    </w:p>
    <w:p w14:paraId="5ABBEA56" w14:textId="5C7B07BE" w:rsidR="000B1302" w:rsidRPr="00883271" w:rsidRDefault="000B1302" w:rsidP="0069652F">
      <w:pPr>
        <w:pStyle w:val="Bullet"/>
        <w:spacing w:after="0"/>
      </w:pPr>
      <w:r w:rsidRPr="00883271">
        <w:t>Providing flexibility for vehicle manufacturers and minimising regulatory burden.</w:t>
      </w:r>
    </w:p>
    <w:p w14:paraId="041CE200" w14:textId="48997B6B" w:rsidR="000B1302" w:rsidRDefault="000B1302" w:rsidP="0069652F">
      <w:pPr>
        <w:spacing w:after="240"/>
      </w:pPr>
      <w:r w:rsidRPr="00883271">
        <w:t>Given the complexity of these issues, early consideration of electronic logbook access may also provide greater certainty for vehicle manufacturers planning a transition to electronic logbooks.</w:t>
      </w:r>
    </w:p>
    <w:tbl>
      <w:tblPr>
        <w:tblStyle w:val="TableGrid"/>
        <w:tblW w:w="5000" w:type="pct"/>
        <w:shd w:val="clear" w:color="auto" w:fill="FCEEE5" w:themeFill="accent6" w:themeFillTint="33"/>
        <w:tblCellMar>
          <w:top w:w="227" w:type="dxa"/>
          <w:left w:w="227" w:type="dxa"/>
          <w:bottom w:w="227" w:type="dxa"/>
          <w:right w:w="227" w:type="dxa"/>
        </w:tblCellMar>
        <w:tblLook w:val="0620" w:firstRow="1" w:lastRow="0" w:firstColumn="0" w:lastColumn="0" w:noHBand="1" w:noVBand="1"/>
      </w:tblPr>
      <w:tblGrid>
        <w:gridCol w:w="9072"/>
      </w:tblGrid>
      <w:tr w:rsidR="0069652F" w:rsidRPr="00883271" w14:paraId="44DEDE99" w14:textId="77777777" w:rsidTr="00637889">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9FC"/>
          </w:tcPr>
          <w:p w14:paraId="22B97420" w14:textId="77777777" w:rsidR="0069652F" w:rsidRPr="00FF4986" w:rsidRDefault="0069652F" w:rsidP="0069652F">
            <w:pPr>
              <w:pStyle w:val="BoxHeading"/>
              <w:keepNext w:val="0"/>
            </w:pPr>
            <w:r w:rsidRPr="00FF4986">
              <w:t>Finding 7</w:t>
            </w:r>
          </w:p>
          <w:p w14:paraId="3FA8AC18" w14:textId="77777777" w:rsidR="0069652F" w:rsidRPr="00883271" w:rsidRDefault="0069652F" w:rsidP="00637889">
            <w:pPr>
              <w:pStyle w:val="BoxText"/>
              <w:rPr>
                <w:sz w:val="17"/>
                <w:szCs w:val="17"/>
              </w:rPr>
            </w:pPr>
            <w:r w:rsidRPr="00883271">
              <w:t xml:space="preserve">The adoption of electronic logbooks is an emerging challenge for independent repairers. Regulated access to these </w:t>
            </w:r>
            <w:r w:rsidRPr="00FF4986">
              <w:t>records</w:t>
            </w:r>
            <w:r w:rsidRPr="00883271">
              <w:t xml:space="preserve"> would ensure independent repairers are not disadvantaged in the transition to digital records and enable complete vehicle service histories to be efficiently maintained.</w:t>
            </w:r>
          </w:p>
        </w:tc>
      </w:tr>
    </w:tbl>
    <w:p w14:paraId="261C9455" w14:textId="2C09BC9A" w:rsidR="000B1302" w:rsidRPr="004343EF" w:rsidRDefault="000B1302" w:rsidP="00FF4986">
      <w:pPr>
        <w:pStyle w:val="Heading2"/>
      </w:pPr>
      <w:bookmarkStart w:id="68" w:name="_Toc204692998"/>
      <w:bookmarkStart w:id="69" w:name="_Toc211963324"/>
      <w:bookmarkStart w:id="70" w:name="_Toc213340408"/>
      <w:r w:rsidRPr="00FF4986">
        <w:lastRenderedPageBreak/>
        <w:t>Telematics</w:t>
      </w:r>
      <w:bookmarkEnd w:id="68"/>
      <w:bookmarkEnd w:id="69"/>
      <w:bookmarkEnd w:id="70"/>
      <w:r w:rsidRPr="004343EF">
        <w:t xml:space="preserve"> </w:t>
      </w:r>
    </w:p>
    <w:p w14:paraId="0F30B2F4" w14:textId="77777777" w:rsidR="000B1302" w:rsidRPr="00883271" w:rsidRDefault="000B1302" w:rsidP="00FF4986">
      <w:r w:rsidRPr="00883271">
        <w:t>There is no universally accepted definition of telematics; however, telematics is commonly understood to refer to the transmission of data from a remote source, such as a motor vehicle, to a control centre, such as manufacturer servers. The use of telematics allows a vehicle to store and wirelessly transmit large volumes of information. This may include, for example:</w:t>
      </w:r>
    </w:p>
    <w:p w14:paraId="6AB8682B" w14:textId="77777777" w:rsidR="000B1302" w:rsidRPr="00FF4986" w:rsidRDefault="000B1302" w:rsidP="00FF4986">
      <w:pPr>
        <w:pStyle w:val="Bullet"/>
      </w:pPr>
      <w:r w:rsidRPr="00FF4986">
        <w:t>Information on shutting down, powering up or idling of the engine</w:t>
      </w:r>
    </w:p>
    <w:p w14:paraId="6B864065" w14:textId="0C642DA1" w:rsidR="000B1302" w:rsidRPr="00FF4986" w:rsidRDefault="000B1302" w:rsidP="00FF4986">
      <w:pPr>
        <w:pStyle w:val="Bullet"/>
      </w:pPr>
      <w:r w:rsidRPr="00FF4986">
        <w:t>Information related to vehicle emissions, fuel efficiency, fuel level and battery life</w:t>
      </w:r>
    </w:p>
    <w:p w14:paraId="5B7861E3" w14:textId="1D599DF4" w:rsidR="000B1302" w:rsidRPr="00FF4986" w:rsidRDefault="000B1302" w:rsidP="00FF4986">
      <w:pPr>
        <w:pStyle w:val="Bullet"/>
      </w:pPr>
      <w:r w:rsidRPr="00FF4986">
        <w:t>Driving behaviour such as speed and rates of acceleration and braking</w:t>
      </w:r>
    </w:p>
    <w:p w14:paraId="7832816A" w14:textId="4E7988F6" w:rsidR="000B1302" w:rsidRPr="00FF4986" w:rsidRDefault="000B1302" w:rsidP="00FF4986">
      <w:pPr>
        <w:pStyle w:val="Bullet"/>
      </w:pPr>
      <w:r w:rsidRPr="00FF4986">
        <w:t>Real</w:t>
      </w:r>
      <w:r w:rsidR="007B3C6A">
        <w:noBreakHyphen/>
      </w:r>
      <w:r w:rsidRPr="00FF4986">
        <w:t>time vehicle location</w:t>
      </w:r>
    </w:p>
    <w:p w14:paraId="371291A5" w14:textId="6DC0E791" w:rsidR="000B1302" w:rsidRPr="00FF4986" w:rsidRDefault="000B1302" w:rsidP="00FF4986">
      <w:pPr>
        <w:pStyle w:val="Bullet"/>
      </w:pPr>
      <w:r w:rsidRPr="00FF4986">
        <w:t>Driver focus metrics, such as eye tracking and blinking intervals</w:t>
      </w:r>
    </w:p>
    <w:p w14:paraId="01440E47" w14:textId="457CEE26" w:rsidR="000B1302" w:rsidRPr="00883271" w:rsidRDefault="000B1302" w:rsidP="00FF4986">
      <w:pPr>
        <w:pStyle w:val="Bullet"/>
      </w:pPr>
      <w:r w:rsidRPr="00FF4986">
        <w:t>Reporting of a</w:t>
      </w:r>
      <w:r w:rsidRPr="00883271">
        <w:t>ny vehicle malfunctions</w:t>
      </w:r>
      <w:r w:rsidRPr="00883271">
        <w:rPr>
          <w:noProof/>
        </w:rPr>
        <w:t xml:space="preserve"> </w:t>
      </w:r>
    </w:p>
    <w:p w14:paraId="3805FB18" w14:textId="3A2E44B7" w:rsidR="000B1302" w:rsidRPr="00883271" w:rsidRDefault="000B1302" w:rsidP="00FF4986">
      <w:r w:rsidRPr="00883271">
        <w:t>Data transferred using telematics to a manufacturer</w:t>
      </w:r>
      <w:r w:rsidR="00BF0433">
        <w:t>’</w:t>
      </w:r>
      <w:r w:rsidRPr="00883271">
        <w:t>s server may be relevant to the diagnosis, repair or service task and assist a technician to understand how certain issues have occurred and enable faster</w:t>
      </w:r>
      <w:r w:rsidRPr="00883271" w:rsidDel="00A2634C">
        <w:t xml:space="preserve"> </w:t>
      </w:r>
      <w:r w:rsidRPr="00883271">
        <w:t>malfunction diagnosis. The use of telematics</w:t>
      </w:r>
      <w:r w:rsidRPr="00883271" w:rsidDel="00362054">
        <w:t xml:space="preserve"> </w:t>
      </w:r>
      <w:r w:rsidRPr="00883271">
        <w:t>can be particularly helpful in identifying upcoming or preventative maintenance, by highlighting abnormalities in vehicle functioning or patterns in driver behaviour that may contribute to premature wear and tear on components of the vehicle. In Australia, telematics are currently predominantly used in commercials contexts. For example, fleet managers use telematics to optimise repair and maintenance of fleet vehicles. The National Telematics Framework, which focuses primarily on schemes linked to heavy vehicles, also facilitates the use of telematics data by authorities, providers and operators for a range of schemes across jurisdictions.</w:t>
      </w:r>
      <w:r w:rsidRPr="00637889">
        <w:rPr>
          <w:rStyle w:val="FootnoteReference"/>
        </w:rPr>
        <w:footnoteReference w:id="68"/>
      </w:r>
    </w:p>
    <w:p w14:paraId="272BAEE9" w14:textId="5F0E6520" w:rsidR="000B1302" w:rsidRPr="00883271" w:rsidRDefault="000B1302" w:rsidP="00FF4986">
      <w:r w:rsidRPr="00883271">
        <w:t>The information required to be shared under the scheme expressly</w:t>
      </w:r>
      <w:r w:rsidRPr="00883271" w:rsidDel="0097591F">
        <w:t xml:space="preserve"> </w:t>
      </w:r>
      <w:r w:rsidRPr="00883271">
        <w:t>excludes data automatically generated and transmitted by a vehicle while it is being driven, whether that information is driver</w:t>
      </w:r>
      <w:r w:rsidR="007B3C6A">
        <w:noBreakHyphen/>
      </w:r>
      <w:r w:rsidRPr="00883271">
        <w:t>related or is related to vehicle performance.</w:t>
      </w:r>
      <w:r w:rsidRPr="00637889">
        <w:rPr>
          <w:rStyle w:val="FootnoteReference"/>
        </w:rPr>
        <w:footnoteReference w:id="69"/>
      </w:r>
      <w:r w:rsidRPr="00883271">
        <w:t xml:space="preserve"> Since the scheme commenced, approaches to regulating telematics in the motor vehicle industry have rapidly evolved across jurisdictions, including through reforms to incorporate telematics as part of comparable right to repair frameworks. These developments highlight the need to balance access to data in secondary markets with privacy and security</w:t>
      </w:r>
      <w:r w:rsidR="007B3C6A">
        <w:noBreakHyphen/>
      </w:r>
      <w:r w:rsidRPr="00883271">
        <w:t xml:space="preserve">related concerns. </w:t>
      </w:r>
    </w:p>
    <w:p w14:paraId="39323502" w14:textId="05D5F6AC" w:rsidR="000B1302" w:rsidRPr="00883271" w:rsidRDefault="000B1302" w:rsidP="00FF4986">
      <w:r w:rsidRPr="00883271">
        <w:t>Stakeholder views received as part of the Review on expanding the scheme to include telematics varied. The FCAI indicated that privacy concerns continue to outweigh any benefit that might be gained from expansion of the scheme to include telematics. It was also contended that any additional data sharing requirements would increase the complexity of the scheme, and the accompanying regulatory burden placed on manufacturers. Conversely, stakeholders representing independent repairers and the AAA called for amendments to include telematics under the scheme. In voicing support for inclusion of telematics, stakeholders pointed to:</w:t>
      </w:r>
    </w:p>
    <w:p w14:paraId="56286744" w14:textId="77777777" w:rsidR="000B1302" w:rsidRPr="00FF4986" w:rsidRDefault="000B1302" w:rsidP="00FF4986">
      <w:pPr>
        <w:pStyle w:val="Bullet"/>
      </w:pPr>
      <w:r w:rsidRPr="00883271">
        <w:t xml:space="preserve">the </w:t>
      </w:r>
      <w:r w:rsidRPr="00FF4986">
        <w:t>growing use of the technology in motor vehicles</w:t>
      </w:r>
    </w:p>
    <w:p w14:paraId="670E77DD" w14:textId="377999A8" w:rsidR="000B1302" w:rsidRPr="00FF4986" w:rsidRDefault="000B1302" w:rsidP="00FF4986">
      <w:pPr>
        <w:pStyle w:val="Bullet"/>
      </w:pPr>
      <w:r w:rsidRPr="00FF4986">
        <w:t>the potential use of telematics in ways that advantage dealers and preferred repairer networks, such as using real</w:t>
      </w:r>
      <w:r w:rsidR="007B3C6A">
        <w:noBreakHyphen/>
      </w:r>
      <w:r w:rsidRPr="00FF4986">
        <w:t>time transfer of data to identify maintenance requirements on a vehicle, pre</w:t>
      </w:r>
      <w:r w:rsidR="007B3C6A">
        <w:noBreakHyphen/>
      </w:r>
      <w:r w:rsidRPr="00FF4986">
        <w:t>emptively notifying the driver and encouraging continued servicing with an authorised repairer</w:t>
      </w:r>
    </w:p>
    <w:p w14:paraId="31194329" w14:textId="35741AF7" w:rsidR="000B1302" w:rsidRPr="00883271" w:rsidRDefault="000B1302" w:rsidP="00FF4986">
      <w:pPr>
        <w:pStyle w:val="Bullet"/>
      </w:pPr>
      <w:r w:rsidRPr="00FF4986">
        <w:lastRenderedPageBreak/>
        <w:t>the</w:t>
      </w:r>
      <w:r w:rsidRPr="00883271">
        <w:t xml:space="preserve"> importance of telematics in calibrating Advanced Driver Assistance Systems (ADAS), such as autonomous emergency braking systems which are compulsory on all new vehicles sold in Australia from 1 March 2025.</w:t>
      </w:r>
    </w:p>
    <w:p w14:paraId="7118D599" w14:textId="19983CF1" w:rsidR="000B1302" w:rsidRPr="00883271" w:rsidRDefault="000B1302" w:rsidP="00FF4986">
      <w:r w:rsidRPr="00883271">
        <w:t>Feedback from data aggregators supported the inclusion of telematics, noting that its inclusion is necessary to future</w:t>
      </w:r>
      <w:r w:rsidR="007B3C6A">
        <w:noBreakHyphen/>
      </w:r>
      <w:r w:rsidRPr="00883271">
        <w:t xml:space="preserve">proof the scheme. The ACCC suggested that a reconsideration of the risks and benefits of the inclusion of telematics was warranted, noting developments to incorporate telematics within similar frameworks in other jurisdictions since the commencement of the scheme (see </w:t>
      </w:r>
      <w:r w:rsidRPr="00883271">
        <w:rPr>
          <w:b/>
          <w:bCs/>
        </w:rPr>
        <w:t>appendix B)</w:t>
      </w:r>
      <w:r w:rsidRPr="00883271">
        <w:t>.</w:t>
      </w:r>
    </w:p>
    <w:p w14:paraId="06A4E16D" w14:textId="7FE73611" w:rsidR="000B1302" w:rsidRPr="00FD39A3" w:rsidRDefault="000B1302" w:rsidP="00FD39A3">
      <w:pPr>
        <w:spacing w:after="240"/>
      </w:pPr>
      <w:r w:rsidRPr="00883271">
        <w:t>Given the variety of information capable of being transferred via telematics, privacy risks associated with passenger vehicles equipped with such systems vary considerably and depend both on the type of data transferred and how data transfers occur. Depending on the technology employed, data may be transmitted via the internet to remote manufacturer data servers or via short</w:t>
      </w:r>
      <w:r w:rsidR="007B3C6A">
        <w:noBreakHyphen/>
      </w:r>
      <w:r w:rsidRPr="00883271">
        <w:t>range wireless transmission to a locally accessed device, as in the calibration of</w:t>
      </w:r>
      <w:r w:rsidRPr="00883271" w:rsidDel="00A70134">
        <w:t xml:space="preserve"> </w:t>
      </w:r>
      <w:r w:rsidRPr="00883271">
        <w:t>ADAS systems.</w:t>
      </w:r>
      <w:r w:rsidRPr="00637889">
        <w:rPr>
          <w:rStyle w:val="FootnoteReference"/>
        </w:rPr>
        <w:footnoteReference w:id="70"/>
      </w:r>
      <w:r w:rsidRPr="00637889">
        <w:rPr>
          <w:rStyle w:val="FootnoteReference"/>
        </w:rPr>
        <w:t xml:space="preserve"> </w:t>
      </w:r>
    </w:p>
    <w:tbl>
      <w:tblPr>
        <w:tblpPr w:leftFromText="180" w:rightFromText="180" w:vertAnchor="text" w:horzAnchor="margin" w:tblpY="-38"/>
        <w:tblW w:w="5000" w:type="pct"/>
        <w:shd w:val="clear" w:color="auto" w:fill="F2F9FC"/>
        <w:tblCellMar>
          <w:top w:w="227" w:type="dxa"/>
          <w:left w:w="227" w:type="dxa"/>
          <w:bottom w:w="227" w:type="dxa"/>
          <w:right w:w="227" w:type="dxa"/>
        </w:tblCellMar>
        <w:tblLook w:val="0600" w:firstRow="0" w:lastRow="0" w:firstColumn="0" w:lastColumn="0" w:noHBand="1" w:noVBand="1"/>
      </w:tblPr>
      <w:tblGrid>
        <w:gridCol w:w="9072"/>
      </w:tblGrid>
      <w:tr w:rsidR="000B1302" w:rsidRPr="00883271" w14:paraId="4B25146C" w14:textId="77777777" w:rsidTr="00DD22EF">
        <w:tc>
          <w:tcPr>
            <w:tcW w:w="5000" w:type="pct"/>
            <w:shd w:val="clear" w:color="auto" w:fill="FCEEE5" w:themeFill="accent6" w:themeFillTint="33"/>
            <w:hideMark/>
          </w:tcPr>
          <w:p w14:paraId="428496D5" w14:textId="76631C2D" w:rsidR="000B1302" w:rsidRPr="00883271" w:rsidRDefault="000B1302" w:rsidP="00FD39A3">
            <w:pPr>
              <w:pStyle w:val="BoxHeading"/>
              <w:spacing w:before="0"/>
            </w:pPr>
            <w:r w:rsidRPr="00883271">
              <w:rPr>
                <w:noProof/>
              </w:rPr>
              <w:drawing>
                <wp:inline distT="0" distB="0" distL="0" distR="0" wp14:anchorId="08FF7759" wp14:editId="391727D6">
                  <wp:extent cx="284400" cy="284400"/>
                  <wp:effectExtent l="0" t="0" r="1905" b="1905"/>
                  <wp:docPr id="602791545"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91545" name="Graphic 8">
                            <a:extLst>
                              <a:ext uri="{C183D7F6-B498-43B3-948B-1728B52AA6E4}">
                                <adec:decorative xmlns:adec="http://schemas.microsoft.com/office/drawing/2017/decorative" val="1"/>
                              </a:ext>
                            </a:extLst>
                          </pic:cNvPr>
                          <pic:cNvPicPr/>
                        </pic:nvPicPr>
                        <pic:blipFill>
                          <a:blip r:embed="rId51">
                            <a:extLst>
                              <a:ext uri="{96DAC541-7B7A-43D3-8B79-37D633B846F1}">
                                <asvg:svgBlip xmlns:asvg="http://schemas.microsoft.com/office/drawing/2016/SVG/main" r:embed="rId52"/>
                              </a:ext>
                            </a:extLst>
                          </a:blip>
                          <a:stretch>
                            <a:fillRect/>
                          </a:stretch>
                        </pic:blipFill>
                        <pic:spPr>
                          <a:xfrm>
                            <a:off x="0" y="0"/>
                            <a:ext cx="284400" cy="284400"/>
                          </a:xfrm>
                          <a:prstGeom prst="rect">
                            <a:avLst/>
                          </a:prstGeom>
                        </pic:spPr>
                      </pic:pic>
                    </a:graphicData>
                  </a:graphic>
                </wp:inline>
              </w:drawing>
            </w:r>
            <w:r w:rsidRPr="00883271">
              <w:t>Box 6.1</w:t>
            </w:r>
            <w:r w:rsidR="00FD39A3">
              <w:t xml:space="preserve">: </w:t>
            </w:r>
            <w:r w:rsidRPr="00883271">
              <w:t>ADAS Calibration</w:t>
            </w:r>
          </w:p>
          <w:p w14:paraId="7C059D4F" w14:textId="28E7E040" w:rsidR="000B1302" w:rsidRPr="00883271" w:rsidRDefault="000B1302" w:rsidP="00FF4986">
            <w:pPr>
              <w:pStyle w:val="BoxText"/>
              <w:rPr>
                <w:lang w:eastAsia="en-US"/>
              </w:rPr>
            </w:pPr>
            <w:r w:rsidRPr="00883271">
              <w:rPr>
                <w:lang w:eastAsia="en-US"/>
              </w:rPr>
              <w:t>Accurate calibration of Advanced Driver Assistance Systems (ADAS), such as lane</w:t>
            </w:r>
            <w:r w:rsidR="007B3C6A">
              <w:rPr>
                <w:lang w:eastAsia="en-US"/>
              </w:rPr>
              <w:noBreakHyphen/>
            </w:r>
            <w:r w:rsidRPr="00883271">
              <w:rPr>
                <w:lang w:eastAsia="en-US"/>
              </w:rPr>
              <w:t>keeping assist, adaptive cruise control, and autonomous emergency braking, is essential to ensure their safe operation. This calibration process may involve one or both of two phases: static calibration and/or dynamic calibration.</w:t>
            </w:r>
          </w:p>
          <w:p w14:paraId="7E70DEED" w14:textId="19D744FA" w:rsidR="000B1302" w:rsidRPr="00883271" w:rsidRDefault="000B1302" w:rsidP="00FF4986">
            <w:pPr>
              <w:pStyle w:val="BoxText"/>
              <w:rPr>
                <w:lang w:eastAsia="en-US"/>
              </w:rPr>
            </w:pPr>
            <w:r w:rsidRPr="00883271">
              <w:rPr>
                <w:lang w:eastAsia="en-US"/>
              </w:rPr>
              <w:t>Static calibration is performed while the vehicle is stationary and focuses on aligning sensors using fixed targets and manufacturer specifications. Dynamic calibration, conducted while the vehicle is in motion, is critical for confirming that sensors perform correctly under real</w:t>
            </w:r>
            <w:r w:rsidR="007B3C6A">
              <w:rPr>
                <w:lang w:eastAsia="en-US"/>
              </w:rPr>
              <w:noBreakHyphen/>
            </w:r>
            <w:r w:rsidRPr="00FF4986">
              <w:t>world</w:t>
            </w:r>
            <w:r w:rsidRPr="00883271">
              <w:rPr>
                <w:lang w:eastAsia="en-US"/>
              </w:rPr>
              <w:t xml:space="preserve"> conditions. Telematics systems are often used in this context, as they enable the real</w:t>
            </w:r>
            <w:r w:rsidR="007B3C6A">
              <w:rPr>
                <w:lang w:eastAsia="en-US"/>
              </w:rPr>
              <w:noBreakHyphen/>
            </w:r>
            <w:r w:rsidRPr="00883271">
              <w:rPr>
                <w:lang w:eastAsia="en-US"/>
              </w:rPr>
              <w:t>time transmission of vehicle data, such as speed, steering angle, and sensor feedback, during dynamic calibration.</w:t>
            </w:r>
          </w:p>
        </w:tc>
      </w:tr>
    </w:tbl>
    <w:p w14:paraId="48D2F55B" w14:textId="753DDE1B" w:rsidR="000B1302" w:rsidRPr="00883271" w:rsidRDefault="000B1302" w:rsidP="007B3C6A">
      <w:pPr>
        <w:spacing w:before="240"/>
      </w:pPr>
      <w:r w:rsidRPr="00883271">
        <w:t>The transfer of driver</w:t>
      </w:r>
      <w:r w:rsidR="007B3C6A">
        <w:noBreakHyphen/>
      </w:r>
      <w:r w:rsidRPr="00883271">
        <w:t>related data presents greater privacy risks than the transfer of vehicle</w:t>
      </w:r>
      <w:r w:rsidR="007B3C6A">
        <w:noBreakHyphen/>
      </w:r>
      <w:r w:rsidRPr="00883271">
        <w:t>related information, regardless of the type of transfer. The Australian Information Commissioner has identified the risks associated with data collected by motor vehicles as significant, noting the lack of awareness by consumers of what information is collected, the lack of individual control over that data collection, and the breadth of data points being collected.</w:t>
      </w:r>
      <w:r w:rsidRPr="00F11B20">
        <w:rPr>
          <w:rStyle w:val="FootnoteReference"/>
        </w:rPr>
        <w:footnoteReference w:id="71"/>
      </w:r>
      <w:r w:rsidRPr="00883271">
        <w:t xml:space="preserve"> Research has found that approximately eight in ten drivers are unaware that vehicle data is being collected and transferred.</w:t>
      </w:r>
      <w:r w:rsidRPr="00F11B20">
        <w:rPr>
          <w:rStyle w:val="FootnoteReference"/>
        </w:rPr>
        <w:footnoteReference w:id="72"/>
      </w:r>
    </w:p>
    <w:p w14:paraId="4C95B3AB" w14:textId="529744D2" w:rsidR="000B1302" w:rsidRPr="00883271" w:rsidRDefault="000B1302" w:rsidP="00FF4986">
      <w:r w:rsidRPr="00883271">
        <w:lastRenderedPageBreak/>
        <w:t>The use of telematics by vehicle manufacturers is expected to increase in coming years.</w:t>
      </w:r>
      <w:r w:rsidRPr="00F11B20">
        <w:rPr>
          <w:rStyle w:val="FootnoteReference"/>
        </w:rPr>
        <w:footnoteReference w:id="73"/>
      </w:r>
      <w:r w:rsidRPr="00F11B20">
        <w:rPr>
          <w:rStyle w:val="FootnoteReference"/>
        </w:rPr>
        <w:t xml:space="preserve"> </w:t>
      </w:r>
      <w:r w:rsidRPr="00883271">
        <w:t>This reflects, in part, that modern vehicles are increasingly generating data flows which are too large and too complex to manage through traditional OBD</w:t>
      </w:r>
      <w:r w:rsidR="007B3C6A">
        <w:noBreakHyphen/>
      </w:r>
      <w:r w:rsidRPr="00883271">
        <w:t>II interfaces.</w:t>
      </w:r>
      <w:r w:rsidRPr="00F11B20">
        <w:rPr>
          <w:rStyle w:val="FootnoteReference"/>
        </w:rPr>
        <w:footnoteReference w:id="74"/>
      </w:r>
      <w:r w:rsidRPr="00F11B20">
        <w:rPr>
          <w:rStyle w:val="FootnoteReference"/>
        </w:rPr>
        <w:t xml:space="preserve"> </w:t>
      </w:r>
    </w:p>
    <w:p w14:paraId="5DA594B8" w14:textId="1E75251F" w:rsidR="000B1302" w:rsidRPr="00883271" w:rsidRDefault="000B1302" w:rsidP="00FF4986">
      <w:r w:rsidRPr="00883271">
        <w:t>The Australian Design Rules require that certain information, particularly emissions</w:t>
      </w:r>
      <w:r w:rsidR="007B3C6A">
        <w:noBreakHyphen/>
      </w:r>
      <w:r w:rsidRPr="00883271">
        <w:t>related data and diagnostic trouble codes, must be made available via the OBD</w:t>
      </w:r>
      <w:r w:rsidR="007B3C6A">
        <w:noBreakHyphen/>
      </w:r>
      <w:r w:rsidRPr="00883271">
        <w:t>II port. While the OBD</w:t>
      </w:r>
      <w:r w:rsidR="007B3C6A">
        <w:noBreakHyphen/>
      </w:r>
      <w:r w:rsidRPr="00883271">
        <w:t>II port has traditionally been a critical channel through which information is made available to repairers, a shift towards telematics presents a risk that information relevant to vehicle diagnosis, repair and servicing but which is not required to be made available via the OBD</w:t>
      </w:r>
      <w:r w:rsidR="007B3C6A">
        <w:noBreakHyphen/>
      </w:r>
      <w:r w:rsidRPr="00883271">
        <w:t xml:space="preserve">II port may, over time, become inaccessible. </w:t>
      </w:r>
    </w:p>
    <w:p w14:paraId="607B0B32" w14:textId="3B50EE6A" w:rsidR="000B1302" w:rsidRPr="00883271" w:rsidRDefault="000B1302" w:rsidP="00FF4986">
      <w:r w:rsidRPr="00883271">
        <w:t>In the United States, the concern that the use of telematics may result in a reduction in the information available to independent repairers was addressed as part of the 2023 Automotive Repair Data Sharing Commitment (</w:t>
      </w:r>
      <w:r w:rsidR="00BF0433">
        <w:t>‘</w:t>
      </w:r>
      <w:r w:rsidRPr="00883271">
        <w:t>the Commitment</w:t>
      </w:r>
      <w:r w:rsidR="00BF0433">
        <w:t>’</w:t>
      </w:r>
      <w:r w:rsidRPr="00883271">
        <w:t xml:space="preserve">) and prohibits manufacturers from using telematics systems to circumvent existing data sharing obligations (detailed in </w:t>
      </w:r>
      <w:r w:rsidRPr="00883271">
        <w:rPr>
          <w:b/>
          <w:bCs/>
        </w:rPr>
        <w:t>appendix B</w:t>
      </w:r>
      <w:r w:rsidRPr="00883271">
        <w:t>).</w:t>
      </w:r>
      <w:r w:rsidRPr="00F11B20">
        <w:rPr>
          <w:rStyle w:val="FootnoteReference"/>
        </w:rPr>
        <w:footnoteReference w:id="75"/>
      </w:r>
      <w:r w:rsidRPr="00F11B20">
        <w:rPr>
          <w:rStyle w:val="FootnoteReference"/>
        </w:rPr>
        <w:t xml:space="preserve"> </w:t>
      </w:r>
      <w:r w:rsidRPr="00883271">
        <w:t xml:space="preserve">The Commitment further provides that, to the extent specific telematic diagnostic and repair data is needed to complete a repair, that data is to be made available to independent repairers and vehicle owners if it is not otherwise available through a tool or third party service information provider. </w:t>
      </w:r>
    </w:p>
    <w:p w14:paraId="610BFC9E" w14:textId="070786DD" w:rsidR="000B1302" w:rsidRPr="00883271" w:rsidRDefault="000B1302" w:rsidP="00FF4986">
      <w:r w:rsidRPr="00883271">
        <w:t>In Australia, work by government and industry regarding the use of vehicle generated data to support positive road safety outcomes is being conducted through the joint industry</w:t>
      </w:r>
      <w:r w:rsidR="007B3C6A">
        <w:noBreakHyphen/>
      </w:r>
      <w:r w:rsidRPr="00883271">
        <w:t>government Vehicle Generated Data Working Group established by the National Transport Commission. This group is building relationships between governments, OEMs and data aggregators regarding the sharing of vehicle and transport data.</w:t>
      </w:r>
      <w:r w:rsidRPr="00883271">
        <w:rPr>
          <w:rStyle w:val="FootnoteReference"/>
          <w:szCs w:val="21"/>
        </w:rPr>
        <w:footnoteReference w:id="76"/>
      </w:r>
      <w:r w:rsidRPr="00883271">
        <w:t xml:space="preserve"> </w:t>
      </w:r>
    </w:p>
    <w:p w14:paraId="17D46BCF" w14:textId="012047D5" w:rsidR="000B1302" w:rsidRPr="00883271" w:rsidRDefault="000B1302" w:rsidP="00FF4986">
      <w:r w:rsidRPr="00883271">
        <w:t xml:space="preserve">Depending on near term industry developments, the increased use of telematics may have significant implications for independent repairers. At the time of writing, the Productivity Commission is considering new pathways to expand data access across the economy. As detailed in its interim report into </w:t>
      </w:r>
      <w:r w:rsidRPr="00883271">
        <w:rPr>
          <w:i/>
          <w:iCs/>
        </w:rPr>
        <w:t>Harnessing data and digital technology</w:t>
      </w:r>
      <w:r w:rsidRPr="00883271">
        <w:t>, there are a range of governance approaches to facilitating data access, from regulation</w:t>
      </w:r>
      <w:r w:rsidR="007B3C6A">
        <w:noBreakHyphen/>
      </w:r>
      <w:r w:rsidRPr="00883271">
        <w:t>led mandates and standards to industry</w:t>
      </w:r>
      <w:r w:rsidR="007B3C6A">
        <w:noBreakHyphen/>
      </w:r>
      <w:r w:rsidRPr="00883271">
        <w:t>led approaches which rely on market forces. The Productivity Commission note</w:t>
      </w:r>
      <w:r>
        <w:t>s</w:t>
      </w:r>
      <w:r w:rsidRPr="00883271">
        <w:t xml:space="preserve"> that while regulatory approaches may be appropriate in certain contexts, overly prescriptive mandates may reduce the incentives for participation and undermine innovation. At this time,</w:t>
      </w:r>
      <w:r w:rsidRPr="00883271" w:rsidDel="00A9302D">
        <w:t xml:space="preserve"> </w:t>
      </w:r>
      <w:r w:rsidRPr="00883271">
        <w:t>the Review considers that interventions falling at the mandatory end of this spectrum would likely impose large economic costs disproportionate to the size of the scheme.</w:t>
      </w:r>
      <w:r w:rsidRPr="00637889">
        <w:rPr>
          <w:rStyle w:val="FootnoteReference"/>
        </w:rPr>
        <w:footnoteReference w:id="77"/>
      </w:r>
      <w:r w:rsidRPr="00637889">
        <w:rPr>
          <w:rStyle w:val="FootnoteReference"/>
        </w:rPr>
        <w:t xml:space="preserve"> </w:t>
      </w:r>
    </w:p>
    <w:p w14:paraId="2B65A894" w14:textId="77777777" w:rsidR="00637889" w:rsidRDefault="00637889">
      <w:pPr>
        <w:spacing w:before="0" w:after="160" w:line="259" w:lineRule="auto"/>
      </w:pPr>
      <w:r>
        <w:br w:type="page"/>
      </w:r>
    </w:p>
    <w:p w14:paraId="24B06AC2" w14:textId="0D40B215" w:rsidR="000B1302" w:rsidRPr="00883271" w:rsidRDefault="000B1302" w:rsidP="00FF4986">
      <w:r w:rsidRPr="00883271">
        <w:lastRenderedPageBreak/>
        <w:t>The Productivity Commission notes that mandatory obligations are particularly beneficial in kickstarting progress. However, the automotive industry appears to be facilitating access by repairers to telematics data and the trend towards a greater use of telematics does not appear to be negatively impacting the operation of the scheme at this time. For example, even where telematics is critical to support dynamic re</w:t>
      </w:r>
      <w:r w:rsidR="007B3C6A">
        <w:noBreakHyphen/>
      </w:r>
      <w:r w:rsidRPr="00883271">
        <w:t>calibration of certain ADAS systems, it appears that this information is currently being made available to independent repairers. While it is possible that changes in market dynamics may eventually necessitate a structured arrangement for the sharing of telematics information related to repair as in some other jurisdictions, the Review considers that an industry</w:t>
      </w:r>
      <w:r w:rsidR="007B3C6A">
        <w:noBreakHyphen/>
      </w:r>
      <w:r w:rsidRPr="00883271">
        <w:t>led solution is likely preferable in the first instance. Given the span of industry perspectives on telematics shared with the Review, there would likely be benefit in industry commencing a dialogue around how future developments in this space might influence the realisation of the scheme</w:t>
      </w:r>
      <w:r w:rsidR="00BF0433">
        <w:t>’</w:t>
      </w:r>
      <w:r w:rsidRPr="00883271">
        <w:t>s objectives, and what industry</w:t>
      </w:r>
      <w:r w:rsidR="007B3C6A">
        <w:noBreakHyphen/>
      </w:r>
      <w:r w:rsidRPr="00883271">
        <w:t>led solutions to these challenges might look like.</w:t>
      </w:r>
    </w:p>
    <w:p w14:paraId="24B9629D" w14:textId="17ED03AD" w:rsidR="000B1302" w:rsidRPr="004343EF" w:rsidRDefault="000B1302" w:rsidP="00FF4986">
      <w:pPr>
        <w:pStyle w:val="Heading2"/>
      </w:pPr>
      <w:bookmarkStart w:id="71" w:name="_Toc211963325"/>
      <w:bookmarkStart w:id="72" w:name="_Toc213340409"/>
      <w:bookmarkStart w:id="73" w:name="_Toc204692999"/>
      <w:r w:rsidRPr="004343EF">
        <w:t xml:space="preserve">Automated driving </w:t>
      </w:r>
      <w:r w:rsidRPr="00FF4986">
        <w:t>systems</w:t>
      </w:r>
      <w:bookmarkEnd w:id="71"/>
      <w:bookmarkEnd w:id="72"/>
    </w:p>
    <w:p w14:paraId="0730F8D6" w14:textId="5B0B28A7" w:rsidR="000B1302" w:rsidRPr="00883271" w:rsidRDefault="000B1302" w:rsidP="00FF4986">
      <w:r w:rsidRPr="00883271">
        <w:t>Scheme information excludes information relating to an automated driving system (ADS). Under the scheme, an ADS is a system which has a level of three or greater under the Surface Vehicle Information Report J3106, published by the Society of Automotive Engineers (SAE) International and as amended from time to time.</w:t>
      </w:r>
      <w:r w:rsidRPr="00F11B20">
        <w:rPr>
          <w:rStyle w:val="FootnoteReference"/>
        </w:rPr>
        <w:footnoteReference w:id="78"/>
      </w:r>
      <w:r w:rsidRPr="00F11B20">
        <w:rPr>
          <w:rStyle w:val="FootnoteReference"/>
        </w:rPr>
        <w:t xml:space="preserve"> </w:t>
      </w:r>
    </w:p>
    <w:p w14:paraId="2C0ED986" w14:textId="3911554F" w:rsidR="000B1302" w:rsidRPr="00883271" w:rsidRDefault="000B1302" w:rsidP="00FF4986">
      <w:r w:rsidRPr="00883271">
        <w:t>The Surface Vehicle Information Report J3016 describes six levels ADS ranging from no automation to full automation. Level one and two systems, such as lane keeping assistance and autonomous emergency braking, involve a licensed human driver remaining in control of the vehicle at all times. Information related to these systems is covered under the scheme. Systems which are rated as level three or greater according to SAE standards are defined as automated driving systems under the scheme and are excluded from the scope of scheme information.</w:t>
      </w:r>
    </w:p>
    <w:p w14:paraId="64BB58E7" w14:textId="5864A7F9" w:rsidR="000B1302" w:rsidRPr="00883271" w:rsidRDefault="000B1302" w:rsidP="00FF4986">
      <w:r w:rsidRPr="00883271">
        <w:t>A vehicle may be capable of delivering driving automation at different levels. In such vehicles, the level of automation exhibited in any given instance is determined by the features that are engaged, with an assessment made on system</w:t>
      </w:r>
      <w:r w:rsidR="007B3C6A">
        <w:noBreakHyphen/>
      </w:r>
      <w:r w:rsidRPr="00883271">
        <w:t>by</w:t>
      </w:r>
      <w:r w:rsidR="007B3C6A">
        <w:noBreakHyphen/>
      </w:r>
      <w:r w:rsidRPr="00883271">
        <w:t>system basis to determine whether or not information is scheme information. For example, service and repair information relating to a vehicle</w:t>
      </w:r>
      <w:r w:rsidR="00BF0433">
        <w:t>’</w:t>
      </w:r>
      <w:r w:rsidRPr="00883271">
        <w:t>s traffic jam chauffeur is not included under the scheme, but information needed to repair other features such as a vehicle</w:t>
      </w:r>
      <w:r w:rsidR="00BF0433">
        <w:t>’</w:t>
      </w:r>
      <w:r w:rsidRPr="00883271">
        <w:t>s windscreen is included (provided those features are not part of the level three or above automated system).</w:t>
      </w:r>
      <w:r w:rsidRPr="00F11B20">
        <w:rPr>
          <w:rStyle w:val="FootnoteReference"/>
        </w:rPr>
        <w:footnoteReference w:id="79"/>
      </w:r>
    </w:p>
    <w:p w14:paraId="363D1D0E" w14:textId="41CAC926" w:rsidR="000B1302" w:rsidRPr="00FF4986" w:rsidRDefault="000B1302" w:rsidP="00FF4986">
      <w:r w:rsidRPr="00883271">
        <w:t>Vehicles with level three and above capabilities are not currently commercially available on Australian public roads, however trials are underway and this technology has been deployed in other countries, including the US. The Australian Government is working closely with state and territory governments, industry and the research community to prepare Australia for the safe deployment of automated vehicles. For example, infrastructure and transport ministers, through the Infrastructure and Transport Ministers</w:t>
      </w:r>
      <w:r w:rsidR="00BF0433">
        <w:t>’</w:t>
      </w:r>
      <w:r w:rsidRPr="00883271">
        <w:t xml:space="preserve"> Meeting, have agreed on a national approach to regulating vehicles equipped with automated driving systems. A new law, the Automated Vehicle Safety Law (AVSL), will be an important part of this framework. The Australian Government is developing the AVSL in line with the policy paper </w:t>
      </w:r>
      <w:hyperlink r:id="rId53" w:tgtFrame="_blank" w:history="1">
        <w:r w:rsidRPr="00883271">
          <w:rPr>
            <w:rStyle w:val="Hyperlink"/>
            <w:i/>
            <w:color w:val="auto"/>
            <w:sz w:val="21"/>
            <w:szCs w:val="21"/>
          </w:rPr>
          <w:t>National in</w:t>
        </w:r>
        <w:r w:rsidR="007B3C6A">
          <w:rPr>
            <w:rStyle w:val="Hyperlink"/>
            <w:i/>
            <w:color w:val="auto"/>
            <w:sz w:val="21"/>
            <w:szCs w:val="21"/>
          </w:rPr>
          <w:noBreakHyphen/>
        </w:r>
        <w:r w:rsidRPr="00883271">
          <w:rPr>
            <w:rStyle w:val="Hyperlink"/>
            <w:i/>
            <w:color w:val="auto"/>
            <w:sz w:val="21"/>
            <w:szCs w:val="21"/>
          </w:rPr>
          <w:t>service safety framework for automated vehicles</w:t>
        </w:r>
      </w:hyperlink>
      <w:r w:rsidRPr="00883271">
        <w:t> developed by the National Transport Commission. The AVSL will deliver a nationally consistent regulatory approach to ensure the safe operation of automated vehicles on Australian roads and will be complemented by amendments to state and territory laws.</w:t>
      </w:r>
    </w:p>
    <w:tbl>
      <w:tblPr>
        <w:tblStyle w:val="TableGrid"/>
        <w:tblW w:w="5000" w:type="pct"/>
        <w:shd w:val="clear" w:color="auto" w:fill="FCEEE5" w:themeFill="accent6" w:themeFillTint="33"/>
        <w:tblCellMar>
          <w:top w:w="227" w:type="dxa"/>
          <w:left w:w="227" w:type="dxa"/>
          <w:bottom w:w="227" w:type="dxa"/>
          <w:right w:w="227" w:type="dxa"/>
        </w:tblCellMar>
        <w:tblLook w:val="0620" w:firstRow="1" w:lastRow="0" w:firstColumn="0" w:lastColumn="0" w:noHBand="1" w:noVBand="1"/>
      </w:tblPr>
      <w:tblGrid>
        <w:gridCol w:w="9072"/>
      </w:tblGrid>
      <w:tr w:rsidR="000B1302" w:rsidRPr="00883271" w14:paraId="03BA4E5C" w14:textId="77777777" w:rsidTr="00076F29">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CEEE5" w:themeFill="accent6" w:themeFillTint="33"/>
          </w:tcPr>
          <w:p w14:paraId="069B4FA5" w14:textId="23BB3748" w:rsidR="000B1302" w:rsidRPr="00FF4986" w:rsidRDefault="000B1302" w:rsidP="00FD39A3">
            <w:pPr>
              <w:pStyle w:val="BoxHeading"/>
              <w:spacing w:before="0"/>
            </w:pPr>
            <w:r w:rsidRPr="00FF4986">
              <w:rPr>
                <w:noProof/>
              </w:rPr>
              <w:lastRenderedPageBreak/>
              <w:drawing>
                <wp:inline distT="0" distB="0" distL="0" distR="0" wp14:anchorId="62BCE49B" wp14:editId="5229C340">
                  <wp:extent cx="284400" cy="284400"/>
                  <wp:effectExtent l="0" t="0" r="1905" b="1905"/>
                  <wp:docPr id="923254694"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54694" name="Graphic 9">
                            <a:extLst>
                              <a:ext uri="{C183D7F6-B498-43B3-948B-1728B52AA6E4}">
                                <adec:decorative xmlns:adec="http://schemas.microsoft.com/office/drawing/2017/decorative" val="1"/>
                              </a:ext>
                            </a:extLst>
                          </pic:cNvPr>
                          <pic:cNvPicPr/>
                        </pic:nvPicPr>
                        <pic:blipFill>
                          <a:blip r:embed="rId54">
                            <a:extLst>
                              <a:ext uri="{96DAC541-7B7A-43D3-8B79-37D633B846F1}">
                                <asvg:svgBlip xmlns:asvg="http://schemas.microsoft.com/office/drawing/2016/SVG/main" r:embed="rId55"/>
                              </a:ext>
                            </a:extLst>
                          </a:blip>
                          <a:stretch>
                            <a:fillRect/>
                          </a:stretch>
                        </pic:blipFill>
                        <pic:spPr>
                          <a:xfrm>
                            <a:off x="0" y="0"/>
                            <a:ext cx="284400" cy="284400"/>
                          </a:xfrm>
                          <a:prstGeom prst="rect">
                            <a:avLst/>
                          </a:prstGeom>
                        </pic:spPr>
                      </pic:pic>
                    </a:graphicData>
                  </a:graphic>
                </wp:inline>
              </w:drawing>
            </w:r>
            <w:r w:rsidR="00637889">
              <w:t xml:space="preserve"> </w:t>
            </w:r>
            <w:r w:rsidRPr="00FF4986">
              <w:t>Box 6.2</w:t>
            </w:r>
            <w:r w:rsidR="00FD39A3">
              <w:t xml:space="preserve">: </w:t>
            </w:r>
            <w:r w:rsidRPr="00FF4986">
              <w:t>ADS and ADAS</w:t>
            </w:r>
          </w:p>
          <w:p w14:paraId="7C87E071" w14:textId="57732D12" w:rsidR="000B1302" w:rsidRPr="00883271" w:rsidRDefault="000B1302" w:rsidP="00FF4986">
            <w:pPr>
              <w:pStyle w:val="BoxText"/>
              <w:rPr>
                <w:lang w:eastAsia="en-US"/>
              </w:rPr>
            </w:pPr>
            <w:r w:rsidRPr="00883271">
              <w:rPr>
                <w:lang w:eastAsia="en-US"/>
              </w:rPr>
              <w:t>A related term commonly used in this context is Advanced Driver Assistance Systems (ADAS). ADAS may refer to a wide range of features, including driver warnings, such as lane keeping assistance systems, some safety intervention systems, such as automatic emergency braking, as well as convenience features, such as parking assistance features. ADAS encompasses features which are driver aids designed to assist the driver, but ADAS features do not perform the entire driving task. When ADAS features are being used, the driver remains fully responsible for driving, monitoring road conditions and intervening when needed.</w:t>
            </w:r>
            <w:r w:rsidRPr="00883271">
              <w:rPr>
                <w:rStyle w:val="FootnoteReference"/>
                <w:sz w:val="21"/>
                <w:szCs w:val="21"/>
                <w:lang w:eastAsia="en-US"/>
              </w:rPr>
              <w:footnoteReference w:id="80"/>
            </w:r>
          </w:p>
        </w:tc>
      </w:tr>
    </w:tbl>
    <w:p w14:paraId="68250107" w14:textId="49AEDECE" w:rsidR="000B1302" w:rsidRPr="00883271" w:rsidRDefault="000B1302" w:rsidP="00110D67">
      <w:pPr>
        <w:spacing w:before="240"/>
      </w:pPr>
      <w:r w:rsidRPr="00883271">
        <w:t>ADS systems were not typically a focus for stakeholders during consultation. Where ADS systems were addressed, stakeholders representing independent repairers and data aggregators contended that the existing exclusion limits, or may limit in the future, the ability of independent repairers to effectively service and repair vehicles with ADS technology. It was noted that access to up</w:t>
      </w:r>
      <w:r w:rsidR="007B3C6A">
        <w:noBreakHyphen/>
      </w:r>
      <w:r w:rsidRPr="00883271">
        <w:t>to</w:t>
      </w:r>
      <w:r w:rsidR="007B3C6A">
        <w:noBreakHyphen/>
      </w:r>
      <w:r w:rsidRPr="00883271">
        <w:t>date service procedures, diagnostic protocols and calibration specifications, including via intermediaries, is necessary for independent workshops to maintain and develop technical expertise and specialisation in advanced systems in anticipation of greater availability of ADS on the Australian market. Stakeholders representing manufacturers support a gradual approach to any sharing of ADS</w:t>
      </w:r>
      <w:r w:rsidR="007B3C6A">
        <w:noBreakHyphen/>
      </w:r>
      <w:r w:rsidRPr="00883271">
        <w:t>related information, with manufacturers to retain full discretion during the early stages of the commercialisation and deployment of the technology.</w:t>
      </w:r>
    </w:p>
    <w:p w14:paraId="3C53010A" w14:textId="77C42AD7" w:rsidR="000B1302" w:rsidRPr="00883271" w:rsidRDefault="000B1302" w:rsidP="00FF4986">
      <w:r w:rsidRPr="00883271">
        <w:t>The Bureau of Infrastructure and Transport Research Economics (BITRE) and Ausroads estimate that a small number of vehicles with level three systems and above may enter the Australian market from 2026.</w:t>
      </w:r>
      <w:r w:rsidRPr="00637889">
        <w:rPr>
          <w:rStyle w:val="FootnoteReference"/>
        </w:rPr>
        <w:footnoteReference w:id="81"/>
      </w:r>
      <w:r w:rsidRPr="00883271">
        <w:t xml:space="preserve"> BITRE forecast introduction of level four vehicles between 2026 and 2031, with 2.6 per cent of new passenger vehicles to be highly or fully automated by 2030, increasing to around half of all new vehicles by 2046.</w:t>
      </w:r>
      <w:r w:rsidRPr="00637889">
        <w:rPr>
          <w:rStyle w:val="FootnoteReference"/>
        </w:rPr>
        <w:footnoteReference w:id="82"/>
      </w:r>
      <w:r w:rsidRPr="00883271">
        <w:t xml:space="preserve"> </w:t>
      </w:r>
    </w:p>
    <w:p w14:paraId="24A9218A" w14:textId="0833D5B0" w:rsidR="000B1302" w:rsidRPr="00110D67" w:rsidRDefault="000B1302" w:rsidP="00110D67">
      <w:r w:rsidRPr="00883271">
        <w:t>As the number of scheme vehicles fitted with ADS at level three or greater increase, so too does the risk that excluding scheme information relating to these systems may have a negative effect on independent repairers</w:t>
      </w:r>
      <w:r w:rsidR="00BF0433">
        <w:t>’</w:t>
      </w:r>
      <w:r w:rsidRPr="00883271">
        <w:t xml:space="preserve"> ability to compete. However, the extent of this risk will be determined through the deployment of this technology in the market. Given the current treatment of ADS information under the scheme does not significantly impact independent repairers and the future availability of automated vehicles in Australia remains uncertain, consideration of any changes to the scheme in relation to ADS is premature. Any future amendments in relation to ADS information would necessarily be informed by both regulatory and market developments associated with ADS technologies.</w:t>
      </w:r>
    </w:p>
    <w:tbl>
      <w:tblPr>
        <w:tblStyle w:val="TableGrid"/>
        <w:tblW w:w="5000" w:type="pct"/>
        <w:shd w:val="clear" w:color="auto" w:fill="FCEEE5" w:themeFill="accent6" w:themeFillTint="33"/>
        <w:tblCellMar>
          <w:top w:w="227" w:type="dxa"/>
          <w:left w:w="227" w:type="dxa"/>
          <w:bottom w:w="227" w:type="dxa"/>
          <w:right w:w="227" w:type="dxa"/>
        </w:tblCellMar>
        <w:tblLook w:val="0620" w:firstRow="1" w:lastRow="0" w:firstColumn="0" w:lastColumn="0" w:noHBand="1" w:noVBand="1"/>
      </w:tblPr>
      <w:tblGrid>
        <w:gridCol w:w="9072"/>
      </w:tblGrid>
      <w:tr w:rsidR="000B1302" w:rsidRPr="00883271" w14:paraId="50D60CF5" w14:textId="77777777" w:rsidTr="00076F29">
        <w:trPr>
          <w:cnfStyle w:val="100000000000" w:firstRow="1" w:lastRow="0" w:firstColumn="0" w:lastColumn="0" w:oddVBand="0" w:evenVBand="0" w:oddHBand="0" w:evenHBand="0" w:firstRowFirstColumn="0" w:firstRowLastColumn="0" w:lastRowFirstColumn="0" w:lastRowLastColumn="0"/>
        </w:trPr>
        <w:tc>
          <w:tcPr>
            <w:tcW w:w="0" w:type="pct"/>
            <w:shd w:val="clear" w:color="auto" w:fill="F2F9FC"/>
          </w:tcPr>
          <w:p w14:paraId="077869DA" w14:textId="2BD32927" w:rsidR="000B1302" w:rsidRPr="00FF4986" w:rsidRDefault="000B1302" w:rsidP="00110D67">
            <w:pPr>
              <w:pStyle w:val="BoxHeading"/>
            </w:pPr>
            <w:r w:rsidRPr="00FF4986">
              <w:lastRenderedPageBreak/>
              <w:t>Finding 8</w:t>
            </w:r>
          </w:p>
          <w:p w14:paraId="318184F2" w14:textId="5D6CC50B" w:rsidR="000B1302" w:rsidRPr="00883271" w:rsidRDefault="000B1302" w:rsidP="00FF4986">
            <w:pPr>
              <w:pStyle w:val="BoxText"/>
              <w:rPr>
                <w:sz w:val="17"/>
                <w:szCs w:val="17"/>
              </w:rPr>
            </w:pPr>
            <w:r w:rsidRPr="00883271">
              <w:t xml:space="preserve">The emergence of </w:t>
            </w:r>
            <w:r w:rsidRPr="00FF4986">
              <w:t>telematics</w:t>
            </w:r>
            <w:r w:rsidRPr="00883271">
              <w:t xml:space="preserve"> and automated driving systems is not materially impacting independent repairers</w:t>
            </w:r>
            <w:r>
              <w:t>’</w:t>
            </w:r>
            <w:r w:rsidRPr="00883271">
              <w:t xml:space="preserve"> ability to compete at this time. </w:t>
            </w:r>
            <w:r w:rsidRPr="00883271">
              <w:rPr>
                <w:lang w:eastAsia="en-US"/>
              </w:rPr>
              <w:t>However, continued</w:t>
            </w:r>
            <w:r w:rsidRPr="00883271">
              <w:t xml:space="preserve"> collaboration across industry is required to ensure the scheme’s early competition and productivity benefits are retained as this technology is deployed further.</w:t>
            </w:r>
          </w:p>
        </w:tc>
      </w:tr>
    </w:tbl>
    <w:p w14:paraId="00B1AC38" w14:textId="121C6EDA" w:rsidR="000B1302" w:rsidRPr="004343EF" w:rsidRDefault="000B1302" w:rsidP="00FF4986">
      <w:pPr>
        <w:pStyle w:val="Heading2"/>
      </w:pPr>
      <w:bookmarkStart w:id="74" w:name="_Toc211963327"/>
      <w:bookmarkStart w:id="75" w:name="_Toc213340410"/>
      <w:bookmarkStart w:id="76" w:name="_Toc204692996"/>
      <w:bookmarkEnd w:id="73"/>
      <w:r w:rsidRPr="00FF4986">
        <w:t>Parts</w:t>
      </w:r>
      <w:bookmarkEnd w:id="74"/>
      <w:bookmarkEnd w:id="75"/>
      <w:r w:rsidRPr="004343EF">
        <w:t xml:space="preserve"> </w:t>
      </w:r>
      <w:bookmarkEnd w:id="76"/>
    </w:p>
    <w:p w14:paraId="0832BC46" w14:textId="77DD07EE" w:rsidR="000B1302" w:rsidRPr="00883271" w:rsidRDefault="000B1302" w:rsidP="00FF4986">
      <w:r w:rsidRPr="00883271">
        <w:t>Vehicle parts for a particular brand may be obtained from a range of sources, including from original equipment manufacturers (either original equipment car manufactured parts or automotive supplier branded parts), through parallel imports, or by sourcing recycled, reconditioned and salvaged parts.</w:t>
      </w:r>
      <w:r w:rsidRPr="00637889">
        <w:rPr>
          <w:rStyle w:val="FootnoteReference"/>
        </w:rPr>
        <w:footnoteReference w:id="83"/>
      </w:r>
      <w:r w:rsidRPr="00883271">
        <w:t xml:space="preserve"> In most cases, vehicle parts are produced by third party specialist component producers. Australia</w:t>
      </w:r>
      <w:r w:rsidR="00BF0433">
        <w:t>’</w:t>
      </w:r>
      <w:r w:rsidRPr="00883271">
        <w:t>s vehicle part and accessory imports totalled approximately $4.8 billion in 2024.</w:t>
      </w:r>
      <w:r w:rsidRPr="00883271">
        <w:rPr>
          <w:rStyle w:val="FootnoteReference"/>
          <w:szCs w:val="21"/>
        </w:rPr>
        <w:footnoteReference w:id="84"/>
      </w:r>
    </w:p>
    <w:p w14:paraId="124670DA" w14:textId="250CA338" w:rsidR="000B1302" w:rsidRPr="00883271" w:rsidRDefault="000B1302" w:rsidP="00FF4986">
      <w:r w:rsidRPr="00883271">
        <w:t>Scheme information does not include information concerning aftermarket parts (whether supplied by a vehicle manufacturer or an aftermarket provider). This is because information relating to a part, such as its dimensions, strength or any relevant warnings are typically supplied with the product at the point of supply or on the product itself. The part is then installed by a repairer using relevant scheme information, such as information relating to how to disassemble the engine to replace a part. The scheme</w:t>
      </w:r>
      <w:r w:rsidR="00BF0433">
        <w:t>’</w:t>
      </w:r>
      <w:r w:rsidRPr="00883271">
        <w:t xml:space="preserve">s focus on the supply of information, rather than parts, aligns with similar schemes in the EU and US. </w:t>
      </w:r>
    </w:p>
    <w:p w14:paraId="4C3DDF80" w14:textId="628E896A" w:rsidR="000B1302" w:rsidRPr="00883271" w:rsidRDefault="000B1302" w:rsidP="00FF4986">
      <w:r w:rsidRPr="00883271">
        <w:t>The ACCC</w:t>
      </w:r>
      <w:r w:rsidR="00BF0433">
        <w:t>’</w:t>
      </w:r>
      <w:r w:rsidRPr="00883271">
        <w:t>s 2017 New Car Retailing Industry market study found that vehicle manufacturers and dealers sometimes restrict access to certain parts for legitimate security reasons that may benefit consumers; however, an additional motive for restricting access can be to steer more repair and service work to authorised detailers and preferred repairer networks.</w:t>
      </w:r>
      <w:r w:rsidRPr="00637889">
        <w:rPr>
          <w:rStyle w:val="FootnoteReference"/>
          <w:szCs w:val="22"/>
        </w:rPr>
        <w:footnoteReference w:id="85"/>
      </w:r>
      <w:r w:rsidRPr="00637889">
        <w:rPr>
          <w:szCs w:val="22"/>
        </w:rPr>
        <w:t xml:space="preserve"> </w:t>
      </w:r>
      <w:r w:rsidRPr="00883271">
        <w:t>The study did not find the practice of restricting parts to be widespread.</w:t>
      </w:r>
      <w:r w:rsidRPr="00A16BC0">
        <w:rPr>
          <w:rStyle w:val="FootnoteReference"/>
        </w:rPr>
        <w:footnoteReference w:id="86"/>
      </w:r>
    </w:p>
    <w:p w14:paraId="554165BC" w14:textId="4298F176" w:rsidR="000B1302" w:rsidRPr="00883271" w:rsidRDefault="000B1302" w:rsidP="00FF4986">
      <w:bookmarkStart w:id="77" w:name="_Hlk215670563"/>
      <w:r w:rsidRPr="00883271">
        <w:t>Stakeholder submissions to the Review highlighted restrictions on parts access as an emerging challenge which has the potential to undermine the operation of the scheme. For example, the AAAA reflected growing concerns around parts availability, including OEMs not making certain components available to the independent aftermarket, delays in supply, or parts being restricted to authorised dealerships only. The Insurance Council of Australia (ICA) echoed these concerns and highlighted that parts access is the most significant issue that can undermine the scheme</w:t>
      </w:r>
      <w:r w:rsidR="00BF0433">
        <w:t>’</w:t>
      </w:r>
      <w:r w:rsidRPr="00883271">
        <w:t xml:space="preserve">s objectives. The ICA referred to its 2025 </w:t>
      </w:r>
      <w:r w:rsidRPr="00883271">
        <w:rPr>
          <w:i/>
        </w:rPr>
        <w:t xml:space="preserve">Motor Insurance Policy Paper – a road map for reducing rising premiums </w:t>
      </w:r>
      <w:r w:rsidRPr="00883271">
        <w:t>which reported average vehicle repair times have increased from 38.57 days in 2019 to 61.25 days in 2024, with parts delays contributing to this increase.</w:t>
      </w:r>
      <w:r w:rsidRPr="00883271">
        <w:rPr>
          <w:rStyle w:val="FootnoteReference"/>
          <w:szCs w:val="21"/>
        </w:rPr>
        <w:footnoteReference w:id="87"/>
      </w:r>
      <w:r w:rsidRPr="00883271">
        <w:t xml:space="preserve"> Limited access to parts, and delays in receiving those parts, can increase insurance claim costs and place upward pressure on premiums. </w:t>
      </w:r>
      <w:bookmarkStart w:id="78" w:name="_Hlk215670108"/>
      <w:r w:rsidRPr="00883271">
        <w:t>Expanding the scheme to cover parts was also supported by a number of other stakeholders, including VACC and the Garage Network. Relatedly, the ACCC recommended exploring amendments to the Australian type</w:t>
      </w:r>
      <w:r w:rsidR="007B3C6A">
        <w:noBreakHyphen/>
      </w:r>
      <w:r w:rsidRPr="00883271">
        <w:t xml:space="preserve">approval </w:t>
      </w:r>
      <w:r w:rsidRPr="00883271">
        <w:lastRenderedPageBreak/>
        <w:t xml:space="preserve">framework to require manufacturers to ensure that parts and scheme information are available for supply to Australian repairers at the time a new vehicle is placed on the market. The FCAI highlighted that it is not aware of any instances where FCAI members may have restricted access to specific parts on security grounds and noted that members have a direct commercial interest in maximising parts sales. </w:t>
      </w:r>
    </w:p>
    <w:bookmarkEnd w:id="77"/>
    <w:bookmarkEnd w:id="78"/>
    <w:p w14:paraId="4E3AC919" w14:textId="31ED979D" w:rsidR="000B1302" w:rsidRPr="00883271" w:rsidRDefault="000B1302" w:rsidP="00FF4986">
      <w:r w:rsidRPr="00883271">
        <w:t xml:space="preserve">Several stakeholders also highlighted parts pairing as an emerging issue. Parts pairing involves the use of activation codes or software locks by some vehicle manufacturers in order to complete installation of certain replacement parts. This practice may restrict the ability of aftermarket parts distributors to compete, placing upward pressure on the price of repairs. </w:t>
      </w:r>
    </w:p>
    <w:p w14:paraId="1C0CE5F8" w14:textId="48076606" w:rsidR="000B1302" w:rsidRPr="00883271" w:rsidRDefault="000B1302" w:rsidP="00FF4986">
      <w:r w:rsidRPr="00883271">
        <w:t>Other submissions to consultation raised challenges associated with accessing information about parts. For example, eBay Australia and New Zealand highlighted the need for access to fitment information to help enable the identification of parts. While the scheme currently provides access to fitment information for repairers and scheme RTOs,</w:t>
      </w:r>
      <w:r w:rsidRPr="00A16BC0">
        <w:rPr>
          <w:rStyle w:val="FootnoteReference"/>
        </w:rPr>
        <w:footnoteReference w:id="88"/>
      </w:r>
      <w:r w:rsidRPr="00883271">
        <w:t xml:space="preserve"> as eBay is an online marketplace it does not have access to this information under the scheme. The Review considers this issue should be examined alongside broader issues relating to the treatment of intermediaries highlighted earlier in this report. </w:t>
      </w:r>
    </w:p>
    <w:p w14:paraId="4A081848" w14:textId="49A00C83" w:rsidR="000B1302" w:rsidRPr="00883271" w:rsidRDefault="000B1302" w:rsidP="00FF4986">
      <w:r w:rsidRPr="00883271">
        <w:t xml:space="preserve">VACC also recommended that the scheme be amended to include electronic parts catalogues (EPCs). EPCs allow repairers to: </w:t>
      </w:r>
    </w:p>
    <w:p w14:paraId="00B16BF8" w14:textId="69289B59" w:rsidR="000B1302" w:rsidRPr="00FF4986" w:rsidRDefault="000B1302" w:rsidP="00FF4986">
      <w:pPr>
        <w:pStyle w:val="Bullet"/>
      </w:pPr>
      <w:r w:rsidRPr="00FF4986">
        <w:t>look up parts using VIN</w:t>
      </w:r>
      <w:r w:rsidR="007B3C6A">
        <w:noBreakHyphen/>
      </w:r>
      <w:r w:rsidRPr="00FF4986">
        <w:t xml:space="preserve">specific information, ensuring compatibility </w:t>
      </w:r>
    </w:p>
    <w:p w14:paraId="2511F157" w14:textId="77777777" w:rsidR="000B1302" w:rsidRPr="00FF4986" w:rsidRDefault="000B1302" w:rsidP="00FF4986">
      <w:pPr>
        <w:pStyle w:val="Bullet"/>
      </w:pPr>
      <w:r w:rsidRPr="00FF4986">
        <w:t xml:space="preserve">visualise exploded diagrams to identify all required components for a specific repair </w:t>
      </w:r>
    </w:p>
    <w:p w14:paraId="0E248AEE" w14:textId="240F4427" w:rsidR="000B1302" w:rsidRPr="00FF4986" w:rsidRDefault="000B1302" w:rsidP="00FF4986">
      <w:pPr>
        <w:pStyle w:val="Bullet"/>
      </w:pPr>
      <w:r w:rsidRPr="00FF4986">
        <w:t>avoid incorrect parts ordering and return delays, which are costly for both workshops and customers.</w:t>
      </w:r>
    </w:p>
    <w:p w14:paraId="1B89E9D4" w14:textId="2B9E5240" w:rsidR="000B1302" w:rsidRPr="00883271" w:rsidRDefault="000B1302" w:rsidP="00FF4986">
      <w:r w:rsidRPr="00883271">
        <w:t>The scheme is principally designed to facilitate the efficient sharing of information, not products. While stakeholder submissions suggest that access to parts and associated information may pose an emerging risk to the effective operation of the scheme, the complexity of the parts supply chain, the diversity of stakeholder perspectives, and the variation in manufacturer practices prevent the Review from drawing firm conclusions about the extent or impact of these issues, and whether a departure from alignment with comparable schemes on the treatment of parts is warranted.</w:t>
      </w:r>
    </w:p>
    <w:p w14:paraId="7203C469" w14:textId="71FFA475" w:rsidR="000B1302" w:rsidRPr="00FF4986" w:rsidRDefault="000B1302" w:rsidP="00161607">
      <w:r w:rsidRPr="00883271">
        <w:t>Consideration of including physical parts within the scope of the scheme, the role of parts pairing, and the timing of the supply of parts to the Australian market also raises a range of complex matters, including implications for Australia</w:t>
      </w:r>
      <w:r w:rsidR="00BF0433">
        <w:t>’</w:t>
      </w:r>
      <w:r w:rsidRPr="00883271">
        <w:t>s international trade obligations and intellectual property protections. A sufficiently detailed assessment of these issues, necessary to weigh the potential costs and benefits of such an inclusion, is beyond the scope of this Review.</w:t>
      </w:r>
      <w:r>
        <w:t xml:space="preserve"> However, a</w:t>
      </w:r>
      <w:r w:rsidRPr="000F5B9C">
        <w:t xml:space="preserve">s the </w:t>
      </w:r>
      <w:r>
        <w:t>variety</w:t>
      </w:r>
      <w:r w:rsidRPr="000F5B9C">
        <w:t xml:space="preserve"> of vehicle brands within Australia continue</w:t>
      </w:r>
      <w:r>
        <w:t>s</w:t>
      </w:r>
      <w:r w:rsidRPr="000F5B9C">
        <w:t xml:space="preserve"> to expand, further examination</w:t>
      </w:r>
      <w:r>
        <w:t xml:space="preserve"> and consultation on</w:t>
      </w:r>
      <w:r w:rsidRPr="000F5B9C">
        <w:t xml:space="preserve"> </w:t>
      </w:r>
      <w:r>
        <w:t>appropriate</w:t>
      </w:r>
      <w:r w:rsidRPr="000F5B9C">
        <w:t xml:space="preserve"> </w:t>
      </w:r>
      <w:r>
        <w:t>regulatory settings governing the</w:t>
      </w:r>
      <w:r w:rsidRPr="000F5B9C">
        <w:t xml:space="preserve"> timeliness of parts and scheme information availability to Australian repairers may be required.</w:t>
      </w:r>
      <w:bookmarkStart w:id="79" w:name="_Toc204693006"/>
    </w:p>
    <w:p w14:paraId="4B2BE357" w14:textId="396AF60B" w:rsidR="000B1302" w:rsidRPr="00883271" w:rsidRDefault="000B1302" w:rsidP="00DC2E0F">
      <w:pPr>
        <w:pStyle w:val="Heading1Numbered"/>
      </w:pPr>
      <w:bookmarkStart w:id="80" w:name="_Toc211963328"/>
      <w:bookmarkStart w:id="81" w:name="_Toc213340411"/>
      <w:r w:rsidRPr="00883271">
        <w:lastRenderedPageBreak/>
        <w:t>Governance</w:t>
      </w:r>
      <w:bookmarkEnd w:id="80"/>
      <w:r w:rsidRPr="00883271">
        <w:t xml:space="preserve"> and enforcement</w:t>
      </w:r>
      <w:bookmarkEnd w:id="81"/>
    </w:p>
    <w:tbl>
      <w:tblPr>
        <w:tblStyle w:val="TableGrid"/>
        <w:tblW w:w="5000" w:type="pct"/>
        <w:shd w:val="clear" w:color="auto" w:fill="F2F2F2" w:themeFill="background1" w:themeFillShade="F2"/>
        <w:tblCellMar>
          <w:top w:w="227" w:type="dxa"/>
          <w:left w:w="227" w:type="dxa"/>
          <w:bottom w:w="227" w:type="dxa"/>
          <w:right w:w="227" w:type="dxa"/>
        </w:tblCellMar>
        <w:tblLook w:val="0620" w:firstRow="1" w:lastRow="0" w:firstColumn="0" w:lastColumn="0" w:noHBand="1" w:noVBand="1"/>
      </w:tblPr>
      <w:tblGrid>
        <w:gridCol w:w="9072"/>
      </w:tblGrid>
      <w:tr w:rsidR="000B1302" w:rsidRPr="00883271" w14:paraId="6936AA99" w14:textId="77777777" w:rsidTr="000F7365">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2F2" w:themeFill="background1" w:themeFillShade="F2"/>
          </w:tcPr>
          <w:p w14:paraId="3F0E9732" w14:textId="77777777" w:rsidR="000B1302" w:rsidRPr="00FF4986" w:rsidRDefault="000B1302" w:rsidP="00110D67">
            <w:pPr>
              <w:pStyle w:val="BoxHeading"/>
              <w:rPr>
                <w:b w:val="0"/>
              </w:rPr>
            </w:pPr>
            <w:r w:rsidRPr="00FF4986">
              <w:t>Key points</w:t>
            </w:r>
          </w:p>
          <w:p w14:paraId="3BD29AB5" w14:textId="77777777" w:rsidR="000B1302" w:rsidRPr="00FF4986" w:rsidRDefault="000B1302" w:rsidP="00FF4986">
            <w:pPr>
              <w:pStyle w:val="Boxbullet"/>
              <w:rPr>
                <w:b/>
                <w:bCs/>
              </w:rPr>
            </w:pPr>
            <w:r w:rsidRPr="00FF4986">
              <w:rPr>
                <w:bCs/>
              </w:rPr>
              <w:t>Effective governance and enforcement are key to the operation of the scheme, with the Scheme Adviser and the ACCC playing central roles in administration, oversight, and compliance.</w:t>
            </w:r>
          </w:p>
          <w:p w14:paraId="1985DDBC" w14:textId="77777777" w:rsidR="000B1302" w:rsidRPr="00FF4986" w:rsidRDefault="000B1302" w:rsidP="00FF4986">
            <w:pPr>
              <w:pStyle w:val="Boxbullet"/>
              <w:rPr>
                <w:b/>
                <w:bCs/>
              </w:rPr>
            </w:pPr>
            <w:r w:rsidRPr="00FF4986">
              <w:rPr>
                <w:bCs/>
              </w:rPr>
              <w:t>The Scheme Adviser is responsible for facilitating dispute resolution, reporting on scheme prices and systemic issues, and providing general advice and annual reporting to support transparency.</w:t>
            </w:r>
          </w:p>
          <w:p w14:paraId="3F982FD1" w14:textId="2003019A" w:rsidR="000B1302" w:rsidRPr="00FF4986" w:rsidRDefault="000B1302" w:rsidP="00FF4986">
            <w:pPr>
              <w:pStyle w:val="Boxbullet"/>
              <w:rPr>
                <w:b/>
                <w:bCs/>
              </w:rPr>
            </w:pPr>
            <w:r w:rsidRPr="00FF4986">
              <w:rPr>
                <w:bCs/>
              </w:rPr>
              <w:t>Data providers are required to report scheme offers and supply terms and conditions to the Scheme Adviser; however, these arrangements impose a significant regulatory burden.</w:t>
            </w:r>
          </w:p>
          <w:p w14:paraId="4C6F3972" w14:textId="77777777" w:rsidR="000B1302" w:rsidRPr="00FF4986" w:rsidRDefault="000B1302" w:rsidP="00FF4986">
            <w:pPr>
              <w:pStyle w:val="Boxbullet"/>
              <w:rPr>
                <w:b/>
                <w:bCs/>
              </w:rPr>
            </w:pPr>
            <w:r w:rsidRPr="00FF4986">
              <w:rPr>
                <w:bCs/>
              </w:rPr>
              <w:t>The scheme includes structured dispute resolution processes, but most issues are resolved informally, and the level of formal disputation remains low.</w:t>
            </w:r>
          </w:p>
          <w:p w14:paraId="61FBA00E" w14:textId="744B94A9" w:rsidR="000B1302" w:rsidRPr="00FF4986" w:rsidRDefault="000B1302" w:rsidP="00FF4986">
            <w:pPr>
              <w:pStyle w:val="Boxbullet"/>
              <w:rPr>
                <w:b/>
                <w:bCs/>
              </w:rPr>
            </w:pPr>
            <w:r w:rsidRPr="00FF4986">
              <w:rPr>
                <w:bCs/>
              </w:rPr>
              <w:t>Stakeholders report inconsistent compliance with the scheme’s obligations amongst some data providers, with aftermarket participants expressing concerns about the lack of visible enforcement by the ACCC and its impact on confidence in the scheme.</w:t>
            </w:r>
          </w:p>
          <w:p w14:paraId="0D382A88" w14:textId="0B997806" w:rsidR="000B1302" w:rsidRPr="00FF4986" w:rsidRDefault="000B1302" w:rsidP="00FF4986">
            <w:pPr>
              <w:pStyle w:val="Boxbullet"/>
              <w:rPr>
                <w:b/>
                <w:bCs/>
              </w:rPr>
            </w:pPr>
            <w:r w:rsidRPr="00FF4986">
              <w:rPr>
                <w:bCs/>
              </w:rPr>
              <w:t>Penalties for non</w:t>
            </w:r>
            <w:r w:rsidR="007B3C6A">
              <w:rPr>
                <w:bCs/>
              </w:rPr>
              <w:noBreakHyphen/>
            </w:r>
            <w:r w:rsidRPr="00FF4986">
              <w:rPr>
                <w:bCs/>
              </w:rPr>
              <w:t>compliance are significant, but expanding the ACCC’s enforcement toolkit to include intermediate options such as infringement notices may uplift compliance and trust.</w:t>
            </w:r>
          </w:p>
          <w:p w14:paraId="2DCB3ED8" w14:textId="7BDCF2F1" w:rsidR="000B1302" w:rsidRPr="00883271" w:rsidRDefault="000B1302" w:rsidP="00FF4986">
            <w:pPr>
              <w:pStyle w:val="Boxbullet"/>
            </w:pPr>
            <w:r w:rsidRPr="00FF4986">
              <w:rPr>
                <w:bCs/>
              </w:rPr>
              <w:t>Opportunities exist to clarify the application of the scheme to certain business models to ensure responsibilities and obligations are clear.</w:t>
            </w:r>
          </w:p>
        </w:tc>
      </w:tr>
    </w:tbl>
    <w:p w14:paraId="2244D8E2" w14:textId="31BED01B" w:rsidR="000B1302" w:rsidRPr="00883271" w:rsidRDefault="000B1302" w:rsidP="00110D67">
      <w:pPr>
        <w:spacing w:before="240"/>
      </w:pPr>
      <w:r w:rsidRPr="00883271">
        <w:t>Effective governance and enforcement are key to the operation of the scheme. This chapter examines aspects of the scheme</w:t>
      </w:r>
      <w:r w:rsidR="00BF0433">
        <w:t>’</w:t>
      </w:r>
      <w:r w:rsidRPr="00883271">
        <w:t>s governance, including the respective administrative and enforcement roles of the Scheme Adviser and the ACCC as well as the scheme</w:t>
      </w:r>
      <w:r w:rsidR="00BF0433">
        <w:t>’</w:t>
      </w:r>
      <w:r w:rsidRPr="00883271">
        <w:t xml:space="preserve">s dispute resolution arrangements. </w:t>
      </w:r>
    </w:p>
    <w:p w14:paraId="3821003C" w14:textId="39CB3576" w:rsidR="000B1302" w:rsidRPr="00883271" w:rsidRDefault="000B1302" w:rsidP="00FF4986">
      <w:r w:rsidRPr="00883271">
        <w:t xml:space="preserve">While the review considered the legislated functions and powers of the Scheme Adviser and the ACCC, an assessment of the capability of AASRA in performing the role of Scheme Adviser and the ACCC in undertaking these functions is beyond the scope of the Review. </w:t>
      </w:r>
    </w:p>
    <w:p w14:paraId="0FC7080D" w14:textId="0CDE83CE" w:rsidR="000B1302" w:rsidRPr="004343EF" w:rsidRDefault="000B1302" w:rsidP="00FF4986">
      <w:pPr>
        <w:pStyle w:val="Heading2"/>
      </w:pPr>
      <w:bookmarkStart w:id="82" w:name="_Toc211963329"/>
      <w:bookmarkStart w:id="83" w:name="_Toc213340412"/>
      <w:r w:rsidRPr="004343EF">
        <w:t>Role of the Scheme Adviser</w:t>
      </w:r>
      <w:bookmarkEnd w:id="82"/>
      <w:bookmarkEnd w:id="83"/>
      <w:r w:rsidRPr="004343EF">
        <w:t xml:space="preserve"> </w:t>
      </w:r>
    </w:p>
    <w:p w14:paraId="78F722D4" w14:textId="59980607" w:rsidR="000B1302" w:rsidRPr="00637889" w:rsidRDefault="000B1302" w:rsidP="00FF4986">
      <w:pPr>
        <w:rPr>
          <w:rStyle w:val="FootnoteReference"/>
        </w:rPr>
      </w:pPr>
      <w:r w:rsidRPr="00883271">
        <w:t>The scheme establishes a role for a Scheme Adviser with the following functions:</w:t>
      </w:r>
      <w:r w:rsidRPr="00637889">
        <w:rPr>
          <w:rStyle w:val="FootnoteReference"/>
        </w:rPr>
        <w:footnoteReference w:id="89"/>
      </w:r>
    </w:p>
    <w:p w14:paraId="034B477C" w14:textId="69F0C69D" w:rsidR="000B1302" w:rsidRPr="00FF4986" w:rsidRDefault="000B1302" w:rsidP="00FF4986">
      <w:pPr>
        <w:pStyle w:val="Bullet"/>
      </w:pPr>
      <w:r w:rsidRPr="00883271">
        <w:t xml:space="preserve">Nominating mediators or technical </w:t>
      </w:r>
      <w:r w:rsidRPr="00FF4986">
        <w:t>experts for the purposes of dispute resolution</w:t>
      </w:r>
    </w:p>
    <w:p w14:paraId="7A021192" w14:textId="2D2CA5CE" w:rsidR="000B1302" w:rsidRPr="00883271" w:rsidRDefault="000B1302" w:rsidP="00FF4986">
      <w:pPr>
        <w:pStyle w:val="Bullet"/>
      </w:pPr>
      <w:r w:rsidRPr="00FF4986">
        <w:t>Reporting to the Mi</w:t>
      </w:r>
      <w:r w:rsidRPr="00883271">
        <w:t>nister on</w:t>
      </w:r>
    </w:p>
    <w:p w14:paraId="3C6910B8" w14:textId="6AF67ED5" w:rsidR="000B1302" w:rsidRPr="00FF4986" w:rsidRDefault="000B1302" w:rsidP="00FF4986">
      <w:pPr>
        <w:pStyle w:val="Dash"/>
      </w:pPr>
      <w:r w:rsidRPr="00FF4986">
        <w:t>Scheme prices</w:t>
      </w:r>
    </w:p>
    <w:p w14:paraId="25B32502" w14:textId="6DC095D5" w:rsidR="000B1302" w:rsidRPr="00FF4986" w:rsidRDefault="000B1302" w:rsidP="00FF4986">
      <w:pPr>
        <w:pStyle w:val="Dash"/>
      </w:pPr>
      <w:r w:rsidRPr="00FF4986">
        <w:t>Whether particular information is, or should be, scheme information</w:t>
      </w:r>
    </w:p>
    <w:p w14:paraId="649F801C" w14:textId="4C1D8DBB" w:rsidR="000B1302" w:rsidRPr="00883271" w:rsidRDefault="000B1302" w:rsidP="00FF4986">
      <w:pPr>
        <w:pStyle w:val="Dash"/>
      </w:pPr>
      <w:r w:rsidRPr="00FF4986">
        <w:t>Any</w:t>
      </w:r>
      <w:r w:rsidRPr="00883271">
        <w:t xml:space="preserve"> other matter relevant to the operation of the scheme</w:t>
      </w:r>
    </w:p>
    <w:p w14:paraId="5602AFD3" w14:textId="4BC93078" w:rsidR="000B1302" w:rsidRPr="00FF4986" w:rsidRDefault="000B1302" w:rsidP="00FF4986">
      <w:pPr>
        <w:pStyle w:val="Bullet"/>
      </w:pPr>
      <w:r w:rsidRPr="00FF4986">
        <w:t>Reporting to the ACCC about systemic regulatory or enforcement issues relation to the scheme</w:t>
      </w:r>
    </w:p>
    <w:p w14:paraId="402022F2" w14:textId="6D4BD913" w:rsidR="000B1302" w:rsidRPr="00883271" w:rsidRDefault="000B1302" w:rsidP="00FF4986">
      <w:pPr>
        <w:pStyle w:val="Bullet"/>
      </w:pPr>
      <w:r w:rsidRPr="00FF4986">
        <w:lastRenderedPageBreak/>
        <w:t>Providin</w:t>
      </w:r>
      <w:r w:rsidRPr="00883271">
        <w:t>g general advice in relation to the application of the scheme</w:t>
      </w:r>
    </w:p>
    <w:p w14:paraId="16309852" w14:textId="435C5C00" w:rsidR="000B1302" w:rsidRPr="00FF4986" w:rsidRDefault="000B1302" w:rsidP="00FF4986">
      <w:pPr>
        <w:pStyle w:val="Bullet"/>
      </w:pPr>
      <w:r w:rsidRPr="00883271">
        <w:t xml:space="preserve">Providing </w:t>
      </w:r>
      <w:r w:rsidRPr="00FF4986">
        <w:t>information online about the availability of scheme information</w:t>
      </w:r>
    </w:p>
    <w:p w14:paraId="150CC10E" w14:textId="1A0C71AC" w:rsidR="000B1302" w:rsidRPr="00883271" w:rsidRDefault="000B1302" w:rsidP="00FF4986">
      <w:pPr>
        <w:pStyle w:val="Bullet"/>
      </w:pPr>
      <w:r w:rsidRPr="00FF4986">
        <w:t>Publishing an</w:t>
      </w:r>
      <w:r w:rsidRPr="00883271">
        <w:t>nual reports on their website about the number and type of inquiries and disputes, the number and types of disputes for which a mediator was appointed, resolution rates for disputes and anything else relating to the operation of the scheme or requested by the Minister.</w:t>
      </w:r>
    </w:p>
    <w:p w14:paraId="7D0BC9F6" w14:textId="7E5E5FA8" w:rsidR="000B1302" w:rsidRPr="00883271" w:rsidRDefault="000B1302" w:rsidP="00FF4986">
      <w:r w:rsidRPr="00883271">
        <w:t>The Scheme Adviser is also expected to receive copies of scheme offers published by data providers as well as reports of the terms and conditions, including price, on which scheme information is ultimately supplied to repairers and scheme RTOs. AASRA was appointed the inaugural Scheme Adviser and re</w:t>
      </w:r>
      <w:r w:rsidR="007B3C6A">
        <w:noBreakHyphen/>
      </w:r>
      <w:r w:rsidRPr="00883271">
        <w:t>appointed Scheme Adviser for a further 2</w:t>
      </w:r>
      <w:r w:rsidR="007B3C6A">
        <w:noBreakHyphen/>
      </w:r>
      <w:r w:rsidRPr="00883271">
        <w:t xml:space="preserve">year period from 1 July 2025. In undertaking this appointment, AASRA has agreed to performance expectations set by the Minister. </w:t>
      </w:r>
    </w:p>
    <w:p w14:paraId="42536D2B" w14:textId="587CAB7F" w:rsidR="000B1302" w:rsidRPr="00883271" w:rsidRDefault="000B1302" w:rsidP="00FF4986">
      <w:r w:rsidRPr="00883271">
        <w:t xml:space="preserve">In addition to performing its legislated functions, AASRA provides commercial services to the industry by offering a vetting service. As noted in </w:t>
      </w:r>
      <w:r w:rsidRPr="00883271">
        <w:rPr>
          <w:b/>
        </w:rPr>
        <w:t>chapter 4</w:t>
      </w:r>
      <w:r w:rsidRPr="00883271">
        <w:t>, the vetting service assists data providers which have become members of AASRA ensure repairers meet the fit and proper person requirements. This centralised function also enables data providers domiciled abroad to more easily comply with the requirements under the legislation that sensitive information provided for the purpose of fit and proper person assessments be held within Australia (</w:t>
      </w:r>
      <w:r w:rsidR="00BF0433">
        <w:t>‘</w:t>
      </w:r>
      <w:r w:rsidRPr="00883271">
        <w:t>data localisation requirements</w:t>
      </w:r>
      <w:r w:rsidR="00BF0433">
        <w:t>’</w:t>
      </w:r>
      <w:r w:rsidRPr="00883271">
        <w:t>).</w:t>
      </w:r>
      <w:r w:rsidRPr="00637889">
        <w:rPr>
          <w:rStyle w:val="FootnoteReference"/>
        </w:rPr>
        <w:footnoteReference w:id="90"/>
      </w:r>
      <w:r w:rsidRPr="00883271">
        <w:t xml:space="preserve"> </w:t>
      </w:r>
      <w:r w:rsidRPr="00883271">
        <w:rPr>
          <w:lang w:eastAsia="en-US"/>
        </w:rPr>
        <w:t>AASRA vetting may be required for approximately 8 out of 10 vehicles registered on Australian roads.</w:t>
      </w:r>
      <w:r w:rsidRPr="00637889">
        <w:rPr>
          <w:rStyle w:val="FootnoteReference"/>
        </w:rPr>
        <w:footnoteReference w:id="91"/>
      </w:r>
    </w:p>
    <w:p w14:paraId="46E24DF2" w14:textId="68311BB7" w:rsidR="000B1302" w:rsidRPr="00883271" w:rsidRDefault="000B1302" w:rsidP="00FF4986">
      <w:r w:rsidRPr="00883271">
        <w:t>The Review did not receive any evidence which suggests that the existing functions of the Scheme Adviser require amendment. However, AASRA</w:t>
      </w:r>
      <w:r w:rsidR="00BF0433">
        <w:t>’</w:t>
      </w:r>
      <w:r w:rsidRPr="00883271">
        <w:t xml:space="preserve">s dominant market position in the supply of vetting services under the scheme has features characteristic of a natural monopoly. While other data providers could seek an authorisation from the ACCC to implement their own </w:t>
      </w:r>
      <w:r>
        <w:t>multi</w:t>
      </w:r>
      <w:r w:rsidR="007B3C6A">
        <w:noBreakHyphen/>
      </w:r>
      <w:r>
        <w:t xml:space="preserve">brand </w:t>
      </w:r>
      <w:r w:rsidRPr="00883271">
        <w:t>vetting arrangements, currently AASRA</w:t>
      </w:r>
      <w:r w:rsidR="00BF0433">
        <w:t>’</w:t>
      </w:r>
      <w:r w:rsidRPr="00883271">
        <w:t xml:space="preserve">s vetting operations are, in practice, subject to a low degree of competitive discipline. </w:t>
      </w:r>
    </w:p>
    <w:p w14:paraId="614364C8" w14:textId="1648DB01" w:rsidR="000B1302" w:rsidRPr="00883271" w:rsidRDefault="000B1302" w:rsidP="00FF4986">
      <w:r w:rsidRPr="00883271">
        <w:t>Stakeholder responses to consultation did not indicate widespread industry concerns with AASRA</w:t>
      </w:r>
      <w:r w:rsidR="00BF0433">
        <w:t>’</w:t>
      </w:r>
      <w:r w:rsidRPr="00883271">
        <w:t>s fee structure. In addition,</w:t>
      </w:r>
      <w:r w:rsidRPr="00883271" w:rsidDel="00A9302D">
        <w:t xml:space="preserve"> </w:t>
      </w:r>
      <w:r w:rsidRPr="00883271">
        <w:t>the Review considers that – in the absence of AASRA</w:t>
      </w:r>
      <w:r w:rsidR="00BF0433">
        <w:t>’</w:t>
      </w:r>
      <w:r w:rsidRPr="00883271">
        <w:t>s vetting service – the cost of each individual manufacturer assessing the fit and proper person requirements and complying with the scheme</w:t>
      </w:r>
      <w:r w:rsidR="00BF0433">
        <w:t>’</w:t>
      </w:r>
      <w:r w:rsidRPr="00883271">
        <w:t>s data localisation requirements would likely result in a relatively higher cost being imposed on repairers and scheme RTOs. In this way, AASRA</w:t>
      </w:r>
      <w:r w:rsidR="00BF0433">
        <w:t>’</w:t>
      </w:r>
      <w:r w:rsidRPr="00883271">
        <w:t>s commercial operations provide a material net benefit to industry.</w:t>
      </w:r>
    </w:p>
    <w:p w14:paraId="3EA61C62" w14:textId="2CA0A2A7" w:rsidR="000B1302" w:rsidRPr="00883271" w:rsidRDefault="000B1302" w:rsidP="00FF4986">
      <w:r w:rsidRPr="00883271">
        <w:t>However, given the Scheme Adviser</w:t>
      </w:r>
      <w:r w:rsidR="00BF0433">
        <w:t>’</w:t>
      </w:r>
      <w:r w:rsidRPr="00883271">
        <w:t>s central position within the scheme, transparency and trust in the Scheme Adviser may be further enhanced were it to adopt a practice of publishing financial statements detailing revenue</w:t>
      </w:r>
      <w:r w:rsidR="007B3C6A">
        <w:noBreakHyphen/>
      </w:r>
      <w:r w:rsidRPr="00883271">
        <w:t xml:space="preserve">generating activities undertaken in connection with the scheme as part of its existing annual reporting arrangements. The publication of these statements may also support consideration as to whether the fees charged for services connected with the scheme by a Scheme Adviser, but which are not regulated by it, require </w:t>
      </w:r>
      <w:bookmarkStart w:id="84" w:name="_Hlk215670229"/>
      <w:r w:rsidRPr="00883271">
        <w:t>further examination</w:t>
      </w:r>
      <w:bookmarkEnd w:id="84"/>
      <w:r w:rsidRPr="00883271">
        <w:t xml:space="preserve"> in future.</w:t>
      </w:r>
    </w:p>
    <w:p w14:paraId="57F4BB10" w14:textId="77777777" w:rsidR="00110D67" w:rsidRPr="00110D67" w:rsidRDefault="00110D67" w:rsidP="00110D67">
      <w:bookmarkStart w:id="85" w:name="_Toc211963330"/>
      <w:bookmarkStart w:id="86" w:name="_Toc204693014"/>
      <w:bookmarkEnd w:id="79"/>
      <w:r>
        <w:br w:type="page"/>
      </w:r>
    </w:p>
    <w:p w14:paraId="21CC64CF" w14:textId="2A5347C3" w:rsidR="000B1302" w:rsidRPr="004343EF" w:rsidRDefault="000B1302" w:rsidP="00FF4986">
      <w:pPr>
        <w:pStyle w:val="Heading3"/>
      </w:pPr>
      <w:r w:rsidRPr="004343EF">
        <w:lastRenderedPageBreak/>
        <w:t xml:space="preserve">Reporting to the Scheme </w:t>
      </w:r>
      <w:r w:rsidRPr="00FF4986">
        <w:t>Adviser</w:t>
      </w:r>
      <w:bookmarkEnd w:id="85"/>
      <w:r w:rsidRPr="004343EF">
        <w:t xml:space="preserve"> </w:t>
      </w:r>
    </w:p>
    <w:p w14:paraId="398A18FF" w14:textId="7932D535" w:rsidR="000B1302" w:rsidRPr="00883271" w:rsidRDefault="000B1302" w:rsidP="00FF4986">
      <w:r w:rsidRPr="00883271">
        <w:t>As noted above, under the scheme data providers must:</w:t>
      </w:r>
    </w:p>
    <w:p w14:paraId="6B768F5E" w14:textId="6B8C9754" w:rsidR="000B1302" w:rsidRPr="00883271" w:rsidRDefault="000B1302" w:rsidP="00284E88">
      <w:pPr>
        <w:pStyle w:val="OutlineNumbered1"/>
        <w:numPr>
          <w:ilvl w:val="0"/>
          <w:numId w:val="17"/>
        </w:numPr>
      </w:pPr>
      <w:r w:rsidRPr="00883271">
        <w:t>Provide a copy of their scheme offer in writing to the Scheme Adviser</w:t>
      </w:r>
      <w:r w:rsidRPr="00883271">
        <w:rPr>
          <w:rStyle w:val="FootnoteReference"/>
          <w:szCs w:val="21"/>
        </w:rPr>
        <w:footnoteReference w:id="92"/>
      </w:r>
      <w:r w:rsidRPr="00883271">
        <w:t xml:space="preserve"> </w:t>
      </w:r>
    </w:p>
    <w:p w14:paraId="4DE598AC" w14:textId="47404620" w:rsidR="000B1302" w:rsidRPr="00883271" w:rsidRDefault="000B1302" w:rsidP="00FF4986">
      <w:pPr>
        <w:pStyle w:val="OutlineNumbered1"/>
      </w:pPr>
      <w:r w:rsidRPr="00883271">
        <w:t>Provide written notifications to the Scheme Adviser regarding updates to the data provider</w:t>
      </w:r>
      <w:r w:rsidR="00BF0433">
        <w:t>’</w:t>
      </w:r>
      <w:r w:rsidRPr="00883271">
        <w:t>s scheme offer</w:t>
      </w:r>
      <w:r w:rsidRPr="00883271">
        <w:rPr>
          <w:rStyle w:val="FootnoteReference"/>
          <w:szCs w:val="21"/>
        </w:rPr>
        <w:footnoteReference w:id="93"/>
      </w:r>
      <w:r w:rsidRPr="00883271">
        <w:t xml:space="preserve"> </w:t>
      </w:r>
    </w:p>
    <w:p w14:paraId="380BBD0B" w14:textId="16B0C0D7" w:rsidR="000B1302" w:rsidRPr="00883271" w:rsidRDefault="000B1302" w:rsidP="00FF4986">
      <w:pPr>
        <w:pStyle w:val="OutlineNumbered1"/>
      </w:pPr>
      <w:r w:rsidRPr="00883271">
        <w:t>Notify the Scheme Adviser within two business days following the supply of scheme information about the terms and conditions of the supply, including the price for which the information is supplied (</w:t>
      </w:r>
      <w:r w:rsidR="00BF0433">
        <w:t>‘</w:t>
      </w:r>
      <w:r w:rsidRPr="00883271">
        <w:t>post</w:t>
      </w:r>
      <w:r w:rsidR="007B3C6A">
        <w:noBreakHyphen/>
      </w:r>
      <w:r w:rsidRPr="00883271">
        <w:t>supply notification arrangements</w:t>
      </w:r>
      <w:r w:rsidR="00BF0433">
        <w:t>’</w:t>
      </w:r>
      <w:r w:rsidRPr="00883271">
        <w:t>)</w:t>
      </w:r>
      <w:r w:rsidRPr="00883271">
        <w:rPr>
          <w:rStyle w:val="FootnoteReference"/>
          <w:szCs w:val="21"/>
        </w:rPr>
        <w:footnoteReference w:id="94"/>
      </w:r>
    </w:p>
    <w:p w14:paraId="40E2EC02" w14:textId="35FA2BC3" w:rsidR="000B1302" w:rsidRPr="00883271" w:rsidRDefault="000B1302" w:rsidP="00FF4986">
      <w:r w:rsidRPr="00883271">
        <w:t>These reporting obligations are intended to provide the Scheme Adviser with effective oversight of the scheme</w:t>
      </w:r>
      <w:r w:rsidR="00BF0433">
        <w:t>’</w:t>
      </w:r>
      <w:r w:rsidRPr="00883271">
        <w:t>s day</w:t>
      </w:r>
      <w:r w:rsidR="007B3C6A">
        <w:noBreakHyphen/>
      </w:r>
      <w:r w:rsidRPr="00883271">
        <w:t>to</w:t>
      </w:r>
      <w:r w:rsidR="007B3C6A">
        <w:noBreakHyphen/>
      </w:r>
      <w:r w:rsidRPr="00883271">
        <w:t xml:space="preserve">day operations. </w:t>
      </w:r>
    </w:p>
    <w:p w14:paraId="34A3172E" w14:textId="5D1E7639" w:rsidR="000B1302" w:rsidRPr="00883271" w:rsidRDefault="000B1302" w:rsidP="00FF4986">
      <w:r w:rsidRPr="00883271">
        <w:t xml:space="preserve">The FCAI has noted that the scheme to date has imposed an </w:t>
      </w:r>
      <w:r>
        <w:t xml:space="preserve">average </w:t>
      </w:r>
      <w:r w:rsidRPr="00883271">
        <w:t>ongoing operational cost of $120,000 per annum per brand compared with an average annual revenue of $20,000 from the sale of scheme information. On this basis, the FCAI has emphasised the need for the Review to focus on options to minimise costs associated with the scheme which are ultimately passed onto consumers. The ACCC observed in response to consultation that the requirement to provide a notification within two business days of each supply of scheme information appears to be overly burdensome on data providers, which has led to widespread non</w:t>
      </w:r>
      <w:r w:rsidR="007B3C6A">
        <w:noBreakHyphen/>
      </w:r>
      <w:r w:rsidRPr="00883271">
        <w:t xml:space="preserve">compliance with this obligation. </w:t>
      </w:r>
    </w:p>
    <w:p w14:paraId="66A750D7" w14:textId="43C79B05" w:rsidR="000B1302" w:rsidRPr="00883271" w:rsidRDefault="000B1302" w:rsidP="00FF4986">
      <w:r w:rsidRPr="00883271">
        <w:t>Based on the information provided, the Review considers amending the existing post</w:t>
      </w:r>
      <w:r w:rsidR="007B3C6A">
        <w:noBreakHyphen/>
      </w:r>
      <w:r w:rsidRPr="00883271">
        <w:t xml:space="preserve">supply notification arrangement would have the likely effect of reducing the regulatory and administrative burden associated with the scheme. For example, enabling data providers to provide aggregated periodic reports relating to the terms and conditions of the supply of scheme information over a period, rather than details of each individual supply, would likely decrease the regulatory burden on data providers and provide AASRA with an information flow more useful in the context of its legislative functions. </w:t>
      </w:r>
    </w:p>
    <w:p w14:paraId="0CBC6E38" w14:textId="306CAA41" w:rsidR="000B1302" w:rsidRPr="00883271" w:rsidRDefault="000B1302" w:rsidP="00FF4986">
      <w:r w:rsidRPr="00883271">
        <w:t>The Review considers AASRA would be further supported in performing its legislative functions if data providers were required to provide near real</w:t>
      </w:r>
      <w:r w:rsidR="007B3C6A">
        <w:noBreakHyphen/>
      </w:r>
      <w:r w:rsidRPr="00883271">
        <w:t xml:space="preserve">time reports of server outages which affect independent repairer access to scheme information. When combined with other changes to data provider reporting obligations, it is likely that appropriately calibrated reporting obligations would result in a net reduction in the regulatory burden imposed on data providers and provide insight into the operation and stability of the scheme. It is expected that such reports may also support an effective dialogue between industry participants on maintaining access to scheme information, and a means by which data providers could communicate access interruptions centrally to existing and prospective subscribers. </w:t>
      </w:r>
    </w:p>
    <w:p w14:paraId="2573F814" w14:textId="31B01BE5" w:rsidR="000B1302" w:rsidRPr="00883271" w:rsidRDefault="000B1302" w:rsidP="00FF4986">
      <w:r w:rsidRPr="00883271">
        <w:t>Given the significant benefit to Australian repairers and scheme RTOs of having a central repository of scheme offers available on the Scheme Adviser website, the Review considers that existing arrangements in relation to the reporting of scheme offers remains appropriate.</w:t>
      </w:r>
    </w:p>
    <w:p w14:paraId="27CFCA77" w14:textId="77777777" w:rsidR="00110D67" w:rsidRDefault="00110D67">
      <w:pPr>
        <w:spacing w:before="0" w:after="160" w:line="259" w:lineRule="auto"/>
        <w:rPr>
          <w:rFonts w:ascii="Calibri" w:hAnsi="Calibri" w:cs="Arial"/>
          <w:b/>
          <w:color w:val="4D7861" w:themeColor="accent2"/>
          <w:kern w:val="32"/>
          <w:sz w:val="28"/>
          <w:szCs w:val="26"/>
        </w:rPr>
      </w:pPr>
      <w:bookmarkStart w:id="87" w:name="_Toc211963331"/>
      <w:r>
        <w:br w:type="page"/>
      </w:r>
    </w:p>
    <w:p w14:paraId="2884898D" w14:textId="345479C2" w:rsidR="000B1302" w:rsidRPr="004343EF" w:rsidRDefault="000B1302" w:rsidP="00FF4986">
      <w:pPr>
        <w:pStyle w:val="Heading3"/>
      </w:pPr>
      <w:r w:rsidRPr="004343EF">
        <w:lastRenderedPageBreak/>
        <w:t xml:space="preserve">Dispute </w:t>
      </w:r>
      <w:r w:rsidRPr="00FF4986">
        <w:t>resolution</w:t>
      </w:r>
      <w:bookmarkEnd w:id="86"/>
      <w:bookmarkEnd w:id="87"/>
      <w:r w:rsidRPr="004343EF">
        <w:t xml:space="preserve"> </w:t>
      </w:r>
    </w:p>
    <w:p w14:paraId="0F9C8A11" w14:textId="2D86E788" w:rsidR="000B1302" w:rsidRPr="00883271" w:rsidRDefault="000B1302" w:rsidP="00FF4986">
      <w:r w:rsidRPr="00883271">
        <w:t xml:space="preserve">The scheme includes a structured dispute resolution process which may be used to help resolve disagreements in connection with the scheme. Data providers and repairers can use this process to resolve a dispute regarding a wide range of matters, including in relation to what is or is not scheme information, the timeliness of access to scheme information, and whether the price charged for scheme information exceeds its fair market value. </w:t>
      </w:r>
    </w:p>
    <w:p w14:paraId="22A7A755" w14:textId="4DECE8B4" w:rsidR="000B1302" w:rsidRPr="00883271" w:rsidRDefault="000B1302" w:rsidP="00FF4986">
      <w:r w:rsidRPr="00883271">
        <w:t>The Scheme Adviser</w:t>
      </w:r>
      <w:r w:rsidR="00BF0433">
        <w:t>’</w:t>
      </w:r>
      <w:r w:rsidRPr="00883271">
        <w:t>s functions include nominating mediators or technical experts for the purposes of dispute resolution and the Scheme Adviser receives reports on mediation outcomes.</w:t>
      </w:r>
      <w:r w:rsidRPr="00A16BC0">
        <w:rPr>
          <w:rStyle w:val="FootnoteReference"/>
        </w:rPr>
        <w:footnoteReference w:id="95"/>
      </w:r>
      <w:r w:rsidRPr="00A16BC0">
        <w:rPr>
          <w:rStyle w:val="FootnoteReference"/>
        </w:rPr>
        <w:t xml:space="preserve"> </w:t>
      </w:r>
      <w:r w:rsidRPr="00883271">
        <w:t xml:space="preserve">This function enables the Scheme Adviser to monitor the overall effectiveness of the scheme and maintain visibility of potential issues and disputes. </w:t>
      </w:r>
    </w:p>
    <w:p w14:paraId="0BAF392D" w14:textId="4B53B36B" w:rsidR="000B1302" w:rsidRPr="00883271" w:rsidRDefault="000B1302" w:rsidP="00FF4986">
      <w:r w:rsidRPr="00883271">
        <w:t>The dispute resolution process under the scheme is set out in Figure 7.1. Should either party be dissatisfied with the mediation outcome, they may initiate further alternative dispute resolution processes or bring legal proceedings.</w:t>
      </w:r>
    </w:p>
    <w:p w14:paraId="740BEEB1" w14:textId="57A6AB3D" w:rsidR="000B1302" w:rsidRPr="00883271" w:rsidRDefault="000B1302" w:rsidP="00110D67">
      <w:pPr>
        <w:pStyle w:val="FigureMainHeading"/>
        <w:rPr>
          <w:rFonts w:cs="Calibri Light"/>
        </w:rPr>
      </w:pPr>
      <w:r w:rsidRPr="00883271">
        <w:t>Figure 7.1: Dispute resolution process under the scheme</w:t>
      </w:r>
    </w:p>
    <w:p w14:paraId="1E9913A2" w14:textId="2537A376" w:rsidR="000B1302" w:rsidRPr="00883271" w:rsidRDefault="000B1302" w:rsidP="0078672A">
      <w:pPr>
        <w:pStyle w:val="ChartGraphic"/>
      </w:pPr>
      <w:r w:rsidRPr="008A3271">
        <w:drawing>
          <wp:inline distT="0" distB="0" distL="0" distR="0" wp14:anchorId="146BA2C3" wp14:editId="73846425">
            <wp:extent cx="4533900" cy="2749550"/>
            <wp:effectExtent l="0" t="0" r="0" b="0"/>
            <wp:docPr id="495116647" name="Picture 1" descr="Flowchart showing the dispute resolution process under the Scheme. A dispute begins when a repairer or RTO notifies the data provider in writing of the dispute and desired outcome. If the parties cannot agree within two days, the matter may be referred to mediation. If the parties cannot agree on a mediator, the Scheme Adviser appoints one. Mediation may result in the dispute being resolved, or it may be terminated by the mediator or either party after 30 days, without prejudice to the parties’ legal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16647" name="Picture 1" descr="Flowchart showing the dispute resolution process under the Scheme. A dispute begins when a repairer or RTO notifies the data provider in writing of the dispute and desired outcome. If the parties cannot agree within two days, the matter may be referred to mediation. If the parties cannot agree on a mediator, the Scheme Adviser appoints one. Mediation may result in the dispute being resolved, or it may be terminated by the mediator or either party after 30 days, without prejudice to the parties’ legal rights."/>
                    <pic:cNvPicPr/>
                  </pic:nvPicPr>
                  <pic:blipFill>
                    <a:blip r:embed="rId56"/>
                    <a:stretch>
                      <a:fillRect/>
                    </a:stretch>
                  </pic:blipFill>
                  <pic:spPr>
                    <a:xfrm>
                      <a:off x="0" y="0"/>
                      <a:ext cx="4534133" cy="2749691"/>
                    </a:xfrm>
                    <a:prstGeom prst="rect">
                      <a:avLst/>
                    </a:prstGeom>
                  </pic:spPr>
                </pic:pic>
              </a:graphicData>
            </a:graphic>
          </wp:inline>
        </w:drawing>
      </w:r>
    </w:p>
    <w:p w14:paraId="5193F631" w14:textId="2D13DDA3" w:rsidR="000B1302" w:rsidRPr="00883271" w:rsidRDefault="000B1302" w:rsidP="00110D67">
      <w:pPr>
        <w:spacing w:before="240"/>
      </w:pPr>
      <w:r w:rsidRPr="00883271">
        <w:t>One mediation request between a repairer and a data provider has been lodged since the scheme</w:t>
      </w:r>
      <w:r w:rsidR="00BF0433">
        <w:t>’</w:t>
      </w:r>
      <w:r w:rsidRPr="00883271">
        <w:t>s commencement; however, given the other information provided by stakeholders as part of the Review, the number of reported mediations contains limited explanatory power as to the overall operation of the scheme to date.</w:t>
      </w:r>
    </w:p>
    <w:p w14:paraId="1CFEA1B2" w14:textId="348C2941" w:rsidR="000B1302" w:rsidRPr="00883271" w:rsidRDefault="000B1302" w:rsidP="00FF4986">
      <w:r w:rsidRPr="00883271">
        <w:t>In many cases, formal dispute resolution processes under the scheme may be too resource</w:t>
      </w:r>
      <w:r w:rsidR="007B3C6A">
        <w:noBreakHyphen/>
      </w:r>
      <w:r w:rsidRPr="00883271">
        <w:t xml:space="preserve">intensive or disproportionate to the scale of individual challenges faced under the scheme. As a result, the majority of issues which arise in the operation of the scheme are resolved either directly between data providers and repairers or informally with the assistance of AASRA. </w:t>
      </w:r>
    </w:p>
    <w:p w14:paraId="183100BA" w14:textId="77777777" w:rsidR="00110D67" w:rsidRDefault="00110D67">
      <w:pPr>
        <w:spacing w:before="0" w:after="160" w:line="259" w:lineRule="auto"/>
      </w:pPr>
      <w:r>
        <w:br w:type="page"/>
      </w:r>
    </w:p>
    <w:p w14:paraId="67A25CB0" w14:textId="745640A9" w:rsidR="000B1302" w:rsidRPr="00883271" w:rsidRDefault="000B1302" w:rsidP="00FF4986">
      <w:r w:rsidRPr="00883271">
        <w:lastRenderedPageBreak/>
        <w:t>In 2023</w:t>
      </w:r>
      <w:r w:rsidR="007B3C6A">
        <w:t>–</w:t>
      </w:r>
      <w:r w:rsidR="00637889">
        <w:t>2</w:t>
      </w:r>
      <w:r w:rsidRPr="00883271">
        <w:t>4, AASRA reported 3,546 requests for assistance from independent repairers. During the same period, AASRA received 92 missing information reports from repairers, of which approximately 90</w:t>
      </w:r>
      <w:r w:rsidR="00110D67">
        <w:t> </w:t>
      </w:r>
      <w:r w:rsidRPr="00883271">
        <w:t>per</w:t>
      </w:r>
      <w:r w:rsidR="00110D67">
        <w:t> </w:t>
      </w:r>
      <w:r w:rsidRPr="00883271">
        <w:t>cent were resolved.</w:t>
      </w:r>
      <w:r w:rsidRPr="00637889">
        <w:rPr>
          <w:rStyle w:val="FootnoteReference"/>
        </w:rPr>
        <w:footnoteReference w:id="96"/>
      </w:r>
      <w:r w:rsidRPr="00883271">
        <w:t xml:space="preserve"> While several repairers expressed frustration regarding the effectiveness of the informal dispute resolution process, overall this informal dispute resolution pathway was not a focus of stakeholder feedback. </w:t>
      </w:r>
    </w:p>
    <w:p w14:paraId="7B3140E5" w14:textId="4F85B73C" w:rsidR="000B1302" w:rsidRPr="00883271" w:rsidRDefault="000B1302" w:rsidP="00FF4986">
      <w:r w:rsidRPr="00883271">
        <w:t xml:space="preserve">Although experiences in engaging with the scheme differ between repairers, evidence provided to the Review suggests that the level of disputation in connection with the scheme is generally low. AASRA continues to assist independent repairers to engage with the scheme within the limits of its function and resources and has taken steps over recent years to improve service levels, including through the introduction of a 1300 number. </w:t>
      </w:r>
    </w:p>
    <w:p w14:paraId="4C421A77" w14:textId="0AC025BA" w:rsidR="000B1302" w:rsidRPr="00883271" w:rsidRDefault="000B1302" w:rsidP="00FF4986">
      <w:r w:rsidRPr="00883271">
        <w:t xml:space="preserve">VACC and the Garage Network suggested that current arrangements may be enhanced through the introduction of a public register, upon which anonymised complaints information and common access issues are posted. In their submission, the Consumer Policy Research Centre (CPRC) also noted several benefits that may flow from publicising complaints data, including improved business practices and enhanced decision making. </w:t>
      </w:r>
    </w:p>
    <w:p w14:paraId="741E60EF" w14:textId="6BB5E39C" w:rsidR="000B1302" w:rsidRPr="00883271" w:rsidRDefault="000B1302" w:rsidP="00637889">
      <w:pPr>
        <w:spacing w:after="240"/>
      </w:pPr>
      <w:r w:rsidRPr="00883271">
        <w:t>The Review notes that AASRA</w:t>
      </w:r>
      <w:r w:rsidR="00BF0433">
        <w:t>’</w:t>
      </w:r>
      <w:r w:rsidRPr="00883271">
        <w:t>s annual reports provide details of matters raised by independent repairers. While any changes in the reporting of complaints data is a matter for AASRA, steps to improve the granularity of reporting are likely to support future decision</w:t>
      </w:r>
      <w:r w:rsidR="007B3C6A">
        <w:noBreakHyphen/>
      </w:r>
      <w:r w:rsidRPr="00883271">
        <w:t xml:space="preserve">making in connection with the scheme, particularly in relation to repairer concerns regarding the timeframes for the supply of scheme information (discussed in </w:t>
      </w:r>
      <w:r w:rsidRPr="00883271">
        <w:rPr>
          <w:b/>
        </w:rPr>
        <w:t>chapter 3</w:t>
      </w:r>
      <w:r w:rsidRPr="00883271">
        <w:t>).</w:t>
      </w:r>
    </w:p>
    <w:tbl>
      <w:tblPr>
        <w:tblStyle w:val="TableGrid"/>
        <w:tblW w:w="5000" w:type="pct"/>
        <w:shd w:val="clear" w:color="auto" w:fill="FCEEE5" w:themeFill="accent6" w:themeFillTint="33"/>
        <w:tblCellMar>
          <w:top w:w="227" w:type="dxa"/>
          <w:left w:w="227" w:type="dxa"/>
          <w:bottom w:w="227" w:type="dxa"/>
          <w:right w:w="227" w:type="dxa"/>
        </w:tblCellMar>
        <w:tblLook w:val="0620" w:firstRow="1" w:lastRow="0" w:firstColumn="0" w:lastColumn="0" w:noHBand="1" w:noVBand="1"/>
      </w:tblPr>
      <w:tblGrid>
        <w:gridCol w:w="9072"/>
      </w:tblGrid>
      <w:tr w:rsidR="000B1302" w:rsidRPr="00883271" w14:paraId="0C426F72" w14:textId="77777777" w:rsidTr="00076F29">
        <w:trPr>
          <w:cnfStyle w:val="100000000000" w:firstRow="1" w:lastRow="0" w:firstColumn="0" w:lastColumn="0" w:oddVBand="0" w:evenVBand="0" w:oddHBand="0" w:evenHBand="0" w:firstRowFirstColumn="0" w:firstRowLastColumn="0" w:lastRowFirstColumn="0" w:lastRowLastColumn="0"/>
        </w:trPr>
        <w:tc>
          <w:tcPr>
            <w:tcW w:w="0" w:type="pct"/>
            <w:shd w:val="clear" w:color="auto" w:fill="F2F9FC"/>
          </w:tcPr>
          <w:p w14:paraId="4C79A137" w14:textId="42067D0A" w:rsidR="000B1302" w:rsidRPr="00FF4986" w:rsidRDefault="000B1302" w:rsidP="00110D67">
            <w:pPr>
              <w:pStyle w:val="BoxHeading"/>
            </w:pPr>
            <w:r w:rsidRPr="00883271">
              <w:t>Finding 9</w:t>
            </w:r>
          </w:p>
          <w:p w14:paraId="712AA680" w14:textId="39C7BCB1" w:rsidR="000B1302" w:rsidRPr="00883271" w:rsidRDefault="000B1302" w:rsidP="00FF4986">
            <w:pPr>
              <w:pStyle w:val="BoxText"/>
              <w:rPr>
                <w:sz w:val="17"/>
                <w:szCs w:val="17"/>
              </w:rPr>
            </w:pPr>
            <w:r w:rsidRPr="00883271">
              <w:t>The scheme’s governance arrangements are generally fit</w:t>
            </w:r>
            <w:r w:rsidR="007B3C6A">
              <w:noBreakHyphen/>
            </w:r>
            <w:r w:rsidRPr="00883271">
              <w:t>for</w:t>
            </w:r>
            <w:r w:rsidR="007B3C6A">
              <w:noBreakHyphen/>
            </w:r>
            <w:r w:rsidRPr="00883271">
              <w:t>purpose. Reducing routine reporting by data providers, while requiring system outage notifications to the Scheme Adviser, would enhance the transparency of scheme operations and reduce the overall regulatory burden imposed on data providers.</w:t>
            </w:r>
          </w:p>
        </w:tc>
      </w:tr>
    </w:tbl>
    <w:p w14:paraId="7C2FE4D7" w14:textId="459178FA" w:rsidR="000B1302" w:rsidRPr="004343EF" w:rsidRDefault="000B1302" w:rsidP="00FF4986">
      <w:pPr>
        <w:pStyle w:val="Heading2"/>
      </w:pPr>
      <w:bookmarkStart w:id="88" w:name="_Toc211963332"/>
      <w:bookmarkStart w:id="89" w:name="_Toc213340413"/>
      <w:r w:rsidRPr="00FF4986">
        <w:t>Enforcement</w:t>
      </w:r>
      <w:bookmarkEnd w:id="88"/>
      <w:bookmarkEnd w:id="89"/>
      <w:r w:rsidRPr="004343EF">
        <w:t xml:space="preserve"> </w:t>
      </w:r>
    </w:p>
    <w:p w14:paraId="7CA294D2" w14:textId="26D7122B" w:rsidR="000B1302" w:rsidRPr="00883271" w:rsidRDefault="000B1302" w:rsidP="00FF4986">
      <w:r w:rsidRPr="00883271">
        <w:t>The ACCC is the statutory authority responsible for administering and enforcing the scheme and investigating reported instances of non</w:t>
      </w:r>
      <w:r w:rsidR="007B3C6A">
        <w:noBreakHyphen/>
      </w:r>
      <w:r w:rsidRPr="00883271">
        <w:t xml:space="preserve">compliance. If required, the ACCC may take action including by implementing administrative </w:t>
      </w:r>
      <w:r w:rsidRPr="00FF4986">
        <w:t>resolutions</w:t>
      </w:r>
      <w:r w:rsidRPr="00883271">
        <w:t>, issuing infringement notices, entering into court</w:t>
      </w:r>
      <w:r w:rsidR="007B3C6A">
        <w:noBreakHyphen/>
      </w:r>
      <w:r w:rsidRPr="00883271">
        <w:t>enforceable undertakings and commencing court proceedings.</w:t>
      </w:r>
    </w:p>
    <w:p w14:paraId="1C07254A" w14:textId="7E7BFA4F" w:rsidR="000B1302" w:rsidRPr="00883271" w:rsidRDefault="000B1302" w:rsidP="00FF4986">
      <w:r w:rsidRPr="00883271">
        <w:t>The ACCC takes a risk</w:t>
      </w:r>
      <w:r w:rsidR="007B3C6A">
        <w:noBreakHyphen/>
      </w:r>
      <w:r w:rsidRPr="00883271">
        <w:t>based approach towards its compliance and enforcement obligations which considers the ACCC</w:t>
      </w:r>
      <w:r w:rsidR="00BF0433">
        <w:t>’</w:t>
      </w:r>
      <w:r w:rsidRPr="00883271">
        <w:t>s Compliance and Enforcement Policy (</w:t>
      </w:r>
      <w:r w:rsidR="00BF0433">
        <w:t>‘</w:t>
      </w:r>
      <w:r w:rsidRPr="00883271">
        <w:t>ACCC C&amp;E Policy</w:t>
      </w:r>
      <w:r w:rsidR="00BF0433">
        <w:t>’</w:t>
      </w:r>
      <w:r w:rsidRPr="00883271">
        <w:t>). As the ACCC is an independent Commonwealth statutory agency it takes enforcement action at its discretion.</w:t>
      </w:r>
    </w:p>
    <w:p w14:paraId="08D06F7B" w14:textId="00BA0E0B" w:rsidR="000B1302" w:rsidRDefault="000B1302" w:rsidP="00110D67">
      <w:pPr>
        <w:spacing w:after="240"/>
      </w:pPr>
      <w:r w:rsidRPr="00883271">
        <w:t>Stakeholder feedback provided to the Review suggests that while the scheme is generally operating as intended, the degree of compliance with its requirements varies across the sector. Particular challenges shared with the Review related to the timely supply of scheme information as well as compliance with the scheme by newer entrants to the Australian market. Determining whether allegations of non</w:t>
      </w:r>
      <w:r w:rsidR="007B3C6A">
        <w:noBreakHyphen/>
      </w:r>
      <w:r w:rsidRPr="00883271">
        <w:t xml:space="preserve">compliance are substantiated is a matter for a court of competent jurisdiction. However, inconsistent or incomplete compliance with the obligations imposed on data providers </w:t>
      </w:r>
      <w:r w:rsidRPr="00883271">
        <w:lastRenderedPageBreak/>
        <w:t>hampers independent repairers</w:t>
      </w:r>
      <w:r w:rsidR="00BF0433">
        <w:t>’</w:t>
      </w:r>
      <w:r w:rsidRPr="00883271">
        <w:t xml:space="preserve"> ability to compete and reliably meet the needs of their customers. Throughout consultation stakeholders raised concerns with the lack of public action taken by the ACCC under the scheme. Some stakeholders, including the AAAA,</w:t>
      </w:r>
      <w:r w:rsidRPr="00883271" w:rsidDel="00CA734D">
        <w:t xml:space="preserve"> </w:t>
      </w:r>
      <w:r w:rsidRPr="00883271">
        <w:t>MTAA and the Garage Network suggested that the lack of transparency around ACCC enforcement practices, including in relation to matters referred by the Scheme Adviser, reduces confidence in the operation of the scheme. AASRA has also observed that “a lack of visible enforcement could undermine stakeholder confidence in the legislation” and noted that in the first three years of the scheme</w:t>
      </w:r>
      <w:r w:rsidR="00BF0433">
        <w:t>’</w:t>
      </w:r>
      <w:r w:rsidRPr="00883271">
        <w:t>s operation, 17 referrals were made to the ACCC with only one public facing outcome being imposed to date.</w:t>
      </w:r>
    </w:p>
    <w:tbl>
      <w:tblPr>
        <w:tblStyle w:val="TableGrid"/>
        <w:tblpPr w:leftFromText="180" w:rightFromText="180" w:vertAnchor="text" w:horzAnchor="margin" w:tblpY="91"/>
        <w:tblW w:w="5000" w:type="pct"/>
        <w:shd w:val="clear" w:color="auto" w:fill="F2F2F2" w:themeFill="background1" w:themeFillShade="F2"/>
        <w:tblCellMar>
          <w:top w:w="227" w:type="dxa"/>
          <w:left w:w="227" w:type="dxa"/>
          <w:bottom w:w="227" w:type="dxa"/>
          <w:right w:w="227" w:type="dxa"/>
        </w:tblCellMar>
        <w:tblLook w:val="0620" w:firstRow="1" w:lastRow="0" w:firstColumn="0" w:lastColumn="0" w:noHBand="1" w:noVBand="1"/>
      </w:tblPr>
      <w:tblGrid>
        <w:gridCol w:w="9072"/>
      </w:tblGrid>
      <w:tr w:rsidR="000B1302" w:rsidRPr="0059551A" w14:paraId="10688528" w14:textId="77777777" w:rsidTr="00076F29">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CEEE5" w:themeFill="accent6" w:themeFillTint="33"/>
          </w:tcPr>
          <w:p w14:paraId="01A9B1B2" w14:textId="72AB32F8" w:rsidR="000B1302" w:rsidRPr="0059551A" w:rsidRDefault="000B1302" w:rsidP="00637889">
            <w:pPr>
              <w:pStyle w:val="BoxHeading"/>
              <w:spacing w:before="0"/>
              <w:rPr>
                <w:lang w:eastAsia="en-US"/>
              </w:rPr>
            </w:pPr>
            <w:r w:rsidRPr="0059551A">
              <w:rPr>
                <w:noProof/>
                <w:lang w:eastAsia="en-US"/>
              </w:rPr>
              <w:drawing>
                <wp:inline distT="0" distB="0" distL="0" distR="0" wp14:anchorId="14C9058F" wp14:editId="41A11123">
                  <wp:extent cx="284400" cy="284400"/>
                  <wp:effectExtent l="0" t="0" r="1905" b="1905"/>
                  <wp:docPr id="530941948"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41948" name="Graphic 6">
                            <a:extLst>
                              <a:ext uri="{C183D7F6-B498-43B3-948B-1728B52AA6E4}">
                                <adec:decorative xmlns:adec="http://schemas.microsoft.com/office/drawing/2017/decorative" val="1"/>
                              </a:ext>
                            </a:extLst>
                          </pic:cNvPr>
                          <pic:cNvPicPr/>
                        </pic:nvPicPr>
                        <pic:blipFill>
                          <a:blip r:embed="rId57">
                            <a:extLst>
                              <a:ext uri="{96DAC541-7B7A-43D3-8B79-37D633B846F1}">
                                <asvg:svgBlip xmlns:asvg="http://schemas.microsoft.com/office/drawing/2016/SVG/main" r:embed="rId58"/>
                              </a:ext>
                            </a:extLst>
                          </a:blip>
                          <a:stretch>
                            <a:fillRect/>
                          </a:stretch>
                        </pic:blipFill>
                        <pic:spPr>
                          <a:xfrm>
                            <a:off x="0" y="0"/>
                            <a:ext cx="284400" cy="284400"/>
                          </a:xfrm>
                          <a:prstGeom prst="rect">
                            <a:avLst/>
                          </a:prstGeom>
                        </pic:spPr>
                      </pic:pic>
                    </a:graphicData>
                  </a:graphic>
                </wp:inline>
              </w:drawing>
            </w:r>
            <w:r w:rsidRPr="008F7E98">
              <w:t>Box 7.1</w:t>
            </w:r>
            <w:r w:rsidR="00FD39A3" w:rsidRPr="008F7E98">
              <w:t>:</w:t>
            </w:r>
            <w:r w:rsidRPr="008F7E98">
              <w:t xml:space="preserve"> ACCC Enforcement </w:t>
            </w:r>
            <w:r w:rsidR="007B3C6A">
              <w:noBreakHyphen/>
            </w:r>
            <w:r w:rsidRPr="008F7E98">
              <w:t xml:space="preserve"> Honda</w:t>
            </w:r>
          </w:p>
          <w:p w14:paraId="6612B18F" w14:textId="77777777" w:rsidR="000B1302" w:rsidRPr="0059551A" w:rsidRDefault="000B1302" w:rsidP="00FF4986">
            <w:pPr>
              <w:pStyle w:val="BoxText"/>
              <w:rPr>
                <w:lang w:eastAsia="en-US"/>
              </w:rPr>
            </w:pPr>
            <w:r w:rsidRPr="0059551A">
              <w:rPr>
                <w:lang w:eastAsia="en-US"/>
              </w:rPr>
              <w:t>0n 16 September 2024, the ACCC reported that Honda had paid a penalty of $18,780 after the ACCC issued an infringement notice for an alleged breach of scheme information sharing requirements.</w:t>
            </w:r>
          </w:p>
          <w:p w14:paraId="7632A81E" w14:textId="77777777" w:rsidR="000B1302" w:rsidRPr="0059551A" w:rsidRDefault="000B1302" w:rsidP="00FF4986">
            <w:pPr>
              <w:pStyle w:val="BoxText"/>
              <w:rPr>
                <w:sz w:val="17"/>
                <w:szCs w:val="17"/>
                <w:lang w:eastAsia="en-US"/>
              </w:rPr>
            </w:pPr>
            <w:r w:rsidRPr="0059551A">
              <w:rPr>
                <w:lang w:eastAsia="en-US"/>
              </w:rPr>
              <w:t>The ACCC alleged that, from 1 July 2022 to 6 May 2024, Honda had offered access to software captured under the definition of scheme information for a yearly period only, and not also by day and month as required under the scheme.</w:t>
            </w:r>
            <w:r w:rsidRPr="00637889">
              <w:rPr>
                <w:rStyle w:val="FootnoteReference"/>
              </w:rPr>
              <w:footnoteReference w:id="97"/>
            </w:r>
          </w:p>
        </w:tc>
      </w:tr>
    </w:tbl>
    <w:p w14:paraId="30B85E87" w14:textId="28A83BF2" w:rsidR="000B1302" w:rsidRPr="00506A96" w:rsidRDefault="000B1302" w:rsidP="00110D67">
      <w:pPr>
        <w:spacing w:before="240"/>
        <w:rPr>
          <w:b/>
        </w:rPr>
      </w:pPr>
      <w:r w:rsidRPr="00883271">
        <w:t>The ACCC</w:t>
      </w:r>
      <w:r w:rsidR="00BF0433">
        <w:t>’</w:t>
      </w:r>
      <w:r w:rsidRPr="00883271">
        <w:t>s enforcement function must be, and be seen to be, carried out independently of Government. While the Scheme Adviser is required to provide reports of systemic non</w:t>
      </w:r>
      <w:r w:rsidR="007B3C6A">
        <w:noBreakHyphen/>
      </w:r>
      <w:r w:rsidRPr="00883271">
        <w:t xml:space="preserve">compliance to the ACCC, the ACCC takes any decisions connected with these referrals independently and in line with the ACCC C&amp;E Policy. </w:t>
      </w:r>
    </w:p>
    <w:p w14:paraId="52151230" w14:textId="00A01E26" w:rsidR="000B1302" w:rsidRPr="00883271" w:rsidRDefault="000B1302" w:rsidP="00FF4986">
      <w:r w:rsidRPr="00883271">
        <w:t>The ACCC</w:t>
      </w:r>
      <w:r w:rsidR="00BF0433">
        <w:t>’</w:t>
      </w:r>
      <w:r w:rsidRPr="00883271">
        <w:t>s Regulatory Guidance</w:t>
      </w:r>
      <w:r w:rsidRPr="00883271" w:rsidDel="00974926">
        <w:t xml:space="preserve"> </w:t>
      </w:r>
      <w:r w:rsidRPr="00883271">
        <w:t>notes that, consistent with the ACCC C&amp;E policy, it will take into account a number of factors when considering enforcement action, including whether a data provider</w:t>
      </w:r>
      <w:r w:rsidR="00637889">
        <w:t> </w:t>
      </w:r>
      <w:r w:rsidRPr="00883271">
        <w:t>has:</w:t>
      </w:r>
    </w:p>
    <w:p w14:paraId="0D679BCC" w14:textId="77777777" w:rsidR="000B1302" w:rsidRPr="00FF4986" w:rsidRDefault="000B1302" w:rsidP="00FF4986">
      <w:pPr>
        <w:pStyle w:val="Bullet"/>
      </w:pPr>
      <w:r w:rsidRPr="00FF4986">
        <w:t xml:space="preserve">made little or no effort to comply with the scheme </w:t>
      </w:r>
    </w:p>
    <w:p w14:paraId="5AD0AB36" w14:textId="77777777" w:rsidR="000B1302" w:rsidRPr="00FF4986" w:rsidRDefault="000B1302" w:rsidP="00FF4986">
      <w:pPr>
        <w:pStyle w:val="Bullet"/>
      </w:pPr>
      <w:r w:rsidRPr="00FF4986">
        <w:t>unnecessarily or intentionally withheld or delayed the provision of scheme information</w:t>
      </w:r>
    </w:p>
    <w:p w14:paraId="1245291C" w14:textId="77777777" w:rsidR="000B1302" w:rsidRPr="00FF4986" w:rsidRDefault="000B1302" w:rsidP="00FF4986">
      <w:pPr>
        <w:pStyle w:val="Bullet"/>
      </w:pPr>
      <w:r w:rsidRPr="00FF4986">
        <w:t xml:space="preserve">consistently not complied with the main obligations of the scheme </w:t>
      </w:r>
    </w:p>
    <w:p w14:paraId="0246DFA2" w14:textId="670966EB" w:rsidR="000B1302" w:rsidRPr="00FF4986" w:rsidRDefault="000B1302" w:rsidP="00FF4986">
      <w:pPr>
        <w:pStyle w:val="Bullet"/>
      </w:pPr>
      <w:r w:rsidRPr="00FF4986">
        <w:t>engaged in systemic conduct which could result in substantial harm to repairers</w:t>
      </w:r>
      <w:r w:rsidR="00BF0433">
        <w:t xml:space="preserve"> – </w:t>
      </w:r>
      <w:r w:rsidRPr="00FF4986">
        <w:t>in addition to the main obligations, this may include non</w:t>
      </w:r>
      <w:r w:rsidR="007B3C6A">
        <w:noBreakHyphen/>
      </w:r>
      <w:r w:rsidRPr="00FF4986">
        <w:t xml:space="preserve">compliance with requirements such as to ensure personal information obtained from repairers cannot be stored or accessed outside Australia </w:t>
      </w:r>
    </w:p>
    <w:p w14:paraId="0310101C" w14:textId="491AE486" w:rsidR="000B1302" w:rsidRPr="00883271" w:rsidRDefault="000B1302" w:rsidP="00FF4986">
      <w:pPr>
        <w:pStyle w:val="Bullet"/>
      </w:pPr>
      <w:r w:rsidRPr="00FF4986">
        <w:t>maintained</w:t>
      </w:r>
      <w:r w:rsidRPr="00883271">
        <w:t xml:space="preserve"> or gained an advantage by not complying with one or more obligations under the scheme.</w:t>
      </w:r>
      <w:r w:rsidRPr="00637889">
        <w:rPr>
          <w:rStyle w:val="FootnoteReference"/>
        </w:rPr>
        <w:footnoteReference w:id="98"/>
      </w:r>
    </w:p>
    <w:p w14:paraId="30152261" w14:textId="77777777" w:rsidR="00110D67" w:rsidRDefault="00110D67">
      <w:pPr>
        <w:spacing w:before="0" w:after="160" w:line="259" w:lineRule="auto"/>
      </w:pPr>
      <w:r>
        <w:br w:type="page"/>
      </w:r>
    </w:p>
    <w:p w14:paraId="36CE455A" w14:textId="6A469027" w:rsidR="000B1302" w:rsidRPr="00883271" w:rsidRDefault="000B1302" w:rsidP="00FF4986">
      <w:r w:rsidRPr="00883271">
        <w:lastRenderedPageBreak/>
        <w:t xml:space="preserve">The ACCC submission to the Review notes unique challenges faced with enforcing a new and novel regulation. The ACCC raised a number of compliance and enforcement barriers preventing the scheme from achieving its full potential, and considers that the scheme cannot achieve this potential unless the following matters are addressed: </w:t>
      </w:r>
    </w:p>
    <w:p w14:paraId="795E3700" w14:textId="518C213B" w:rsidR="000B1302" w:rsidRPr="00FF4986" w:rsidRDefault="000B1302" w:rsidP="00FF4986">
      <w:pPr>
        <w:pStyle w:val="Bullet"/>
      </w:pPr>
      <w:r w:rsidRPr="00FF4986">
        <w:t xml:space="preserve">compliance challenges associated with safety information requirements impacting data providers </w:t>
      </w:r>
    </w:p>
    <w:p w14:paraId="3EA5A6DA" w14:textId="563256F4" w:rsidR="000B1302" w:rsidRPr="00FF4986" w:rsidRDefault="000B1302" w:rsidP="00FF4986">
      <w:pPr>
        <w:pStyle w:val="Bullet"/>
      </w:pPr>
      <w:r w:rsidRPr="00FF4986">
        <w:t>the removal of technical information previously available to repairers</w:t>
      </w:r>
    </w:p>
    <w:p w14:paraId="300CAB86" w14:textId="4875D001" w:rsidR="000B1302" w:rsidRPr="00FF4986" w:rsidRDefault="000B1302" w:rsidP="00FF4986">
      <w:pPr>
        <w:pStyle w:val="Bullet"/>
      </w:pPr>
      <w:r w:rsidRPr="00FF4986">
        <w:t>ambiguity of language leading to misinterpretation of the intent of some scheme provisions</w:t>
      </w:r>
    </w:p>
    <w:p w14:paraId="66DB7EC7" w14:textId="66AFD705" w:rsidR="000B1302" w:rsidRPr="00883271" w:rsidRDefault="000B1302" w:rsidP="00FF4986">
      <w:pPr>
        <w:pStyle w:val="Bullet"/>
      </w:pPr>
      <w:r w:rsidRPr="00FF4986">
        <w:t>a lack</w:t>
      </w:r>
      <w:r w:rsidRPr="00883271">
        <w:t xml:space="preserve"> of intermediate penalties for some key scheme provisions, which limits enforcement options.</w:t>
      </w:r>
    </w:p>
    <w:p w14:paraId="14DA57AF" w14:textId="18D59F9D" w:rsidR="000B1302" w:rsidRPr="00883271" w:rsidRDefault="000B1302" w:rsidP="00FF4986">
      <w:r w:rsidRPr="00883271">
        <w:t>The ACCC considers that these barriers arise due to the scheme</w:t>
      </w:r>
      <w:r w:rsidR="00BF0433">
        <w:t>’</w:t>
      </w:r>
      <w:r w:rsidRPr="00883271">
        <w:t xml:space="preserve">s safety information requirements, the requirement for intermediaries to comply with the same obligations as data providers, the exclusion of diagnostic hardware from the scheme, and the absence of any provision which requires diagnostic software to be compatible with generic hardware. </w:t>
      </w:r>
    </w:p>
    <w:p w14:paraId="523AD1F6" w14:textId="3F731CEC" w:rsidR="000B1302" w:rsidRPr="00883271" w:rsidRDefault="000B1302" w:rsidP="00FF4986">
      <w:r w:rsidRPr="00883271">
        <w:t>That existing enforcement challenges associated with the scheme would be ameliorated in some cases through greater alignment between the scheme and comparable schemes abroad supports other conclusions reached as part of the Review. The following sections consider discrete enforcement issues relating to infringement notices, prohibited terms and conditions, and liability.</w:t>
      </w:r>
    </w:p>
    <w:p w14:paraId="26712ABA" w14:textId="5C93082D" w:rsidR="000B1302" w:rsidRPr="004343EF" w:rsidRDefault="000B1302" w:rsidP="00FF4986">
      <w:pPr>
        <w:pStyle w:val="Heading3"/>
      </w:pPr>
      <w:bookmarkStart w:id="90" w:name="_Toc211963333"/>
      <w:r w:rsidRPr="004343EF">
        <w:t>Infringement notices</w:t>
      </w:r>
      <w:bookmarkEnd w:id="90"/>
      <w:r w:rsidRPr="004343EF">
        <w:t xml:space="preserve"> </w:t>
      </w:r>
    </w:p>
    <w:p w14:paraId="57E9EBAE" w14:textId="6169FA57" w:rsidR="000B1302" w:rsidRPr="00883271" w:rsidRDefault="000B1302" w:rsidP="00FF4986">
      <w:r w:rsidRPr="00883271">
        <w:t xml:space="preserve">While increased alignment with comparable information sharing schemes can support enforcement activities, in order for enforcement to effectively encourage compliance it is important that the penalties imposed under the scheme are not able to be viewed as </w:t>
      </w:r>
      <w:r w:rsidR="00BF0433">
        <w:t>‘</w:t>
      </w:r>
      <w:r w:rsidRPr="00883271">
        <w:t>the cost of doing business</w:t>
      </w:r>
      <w:r w:rsidR="00BF0433">
        <w:t>’</w:t>
      </w:r>
      <w:r w:rsidRPr="00883271">
        <w:t xml:space="preserve">. </w:t>
      </w:r>
    </w:p>
    <w:p w14:paraId="5F93C833" w14:textId="54BDCC8D" w:rsidR="000B1302" w:rsidRPr="00883271" w:rsidRDefault="000B1302" w:rsidP="00FF4986">
      <w:r w:rsidRPr="00883271">
        <w:t>The scheme enables the ACCC to issue an infringement notice if it has reasonable grounds to believe a breach of certain provisions of the scheme have occurred. In October 2025, maximum infringement notice penalties able to be imposed are:</w:t>
      </w:r>
    </w:p>
    <w:p w14:paraId="43744889" w14:textId="77777777" w:rsidR="000B1302" w:rsidRPr="00FF4986" w:rsidRDefault="000B1302" w:rsidP="00FF4986">
      <w:pPr>
        <w:pStyle w:val="Bullet"/>
      </w:pPr>
      <w:r w:rsidRPr="00883271">
        <w:t xml:space="preserve">$198,000 (600 penalty units) </w:t>
      </w:r>
      <w:r w:rsidRPr="00FF4986">
        <w:t>for corporations.</w:t>
      </w:r>
    </w:p>
    <w:p w14:paraId="5F0F7AD9" w14:textId="62193A59" w:rsidR="000B1302" w:rsidRPr="00883271" w:rsidRDefault="000B1302" w:rsidP="00FF4986">
      <w:pPr>
        <w:pStyle w:val="Bullet"/>
      </w:pPr>
      <w:r w:rsidRPr="00FF4986">
        <w:t>$39,600 (120 penalty units) fo</w:t>
      </w:r>
      <w:r w:rsidRPr="00883271">
        <w:t>r individuals.</w:t>
      </w:r>
      <w:r w:rsidRPr="00883271">
        <w:rPr>
          <w:rStyle w:val="FootnoteReference"/>
          <w:szCs w:val="21"/>
        </w:rPr>
        <w:footnoteReference w:id="99"/>
      </w:r>
    </w:p>
    <w:p w14:paraId="70F7ADC1" w14:textId="0B4F0BCB" w:rsidR="000B1302" w:rsidRPr="00883271" w:rsidRDefault="000B1302" w:rsidP="00FF4986">
      <w:r w:rsidRPr="00883271">
        <w:t>Currently, the ACCC may not issue an infringement notice for alleged contraventions of the scheme</w:t>
      </w:r>
      <w:r w:rsidR="00BF0433">
        <w:t>’</w:t>
      </w:r>
      <w:r w:rsidRPr="00883271">
        <w:t>s main obligation or the requirement that the price of scheme offers not exceed the fair market value (</w:t>
      </w:r>
      <w:r w:rsidR="00BF0433">
        <w:t>‘</w:t>
      </w:r>
      <w:r w:rsidRPr="00883271">
        <w:t>fair market value requirement</w:t>
      </w:r>
      <w:r w:rsidR="00BF0433">
        <w:t>’</w:t>
      </w:r>
      <w:r w:rsidRPr="00883271">
        <w:t>). The ACCC</w:t>
      </w:r>
      <w:r w:rsidR="00BF0433">
        <w:t>’</w:t>
      </w:r>
      <w:r w:rsidRPr="00883271">
        <w:t>s submission notes that “one of the most persistent and systemic compliance issues since the commencement of the scheme relates to the main obligation”.</w:t>
      </w:r>
    </w:p>
    <w:p w14:paraId="7BA9590B" w14:textId="0A1DC1F8" w:rsidR="000B1302" w:rsidRPr="00883271" w:rsidRDefault="000B1302" w:rsidP="00FF4986">
      <w:r w:rsidRPr="00883271">
        <w:t>The scheme</w:t>
      </w:r>
      <w:r w:rsidR="00BF0433">
        <w:t>’</w:t>
      </w:r>
      <w:r w:rsidRPr="00883271">
        <w:t>s main obligation to make a scheme offer (s 57CA(2)) and fair market value requirement allow for a civil pecuniary penalty of a maximum of $10 million for a body corporate and $500,000 for an individual.</w:t>
      </w:r>
      <w:r w:rsidRPr="00883271">
        <w:rPr>
          <w:rStyle w:val="FootnoteReference"/>
          <w:szCs w:val="21"/>
        </w:rPr>
        <w:footnoteReference w:id="100"/>
      </w:r>
      <w:r w:rsidRPr="00883271">
        <w:t xml:space="preserve"> These penalty amounts are necessary and appropriate as compliance by data providers is critical to the integrity of the scheme and the achievement of its objectives. </w:t>
      </w:r>
    </w:p>
    <w:p w14:paraId="337E51FB" w14:textId="11806C9B" w:rsidR="000B1302" w:rsidRPr="00883271" w:rsidRDefault="000B1302" w:rsidP="00FF4986">
      <w:r w:rsidRPr="00883271">
        <w:t>Litigation can be the most effective way to achieve compliance outcomes. Where used, litigation may produce broader benefits beyond the conduct it addresses through the creation of case law which may be instructive as to the interpretation of the scheme</w:t>
      </w:r>
      <w:r w:rsidR="00BF0433">
        <w:t>’</w:t>
      </w:r>
      <w:r w:rsidRPr="00883271">
        <w:t>s principles and the scheme</w:t>
      </w:r>
      <w:r w:rsidR="00BF0433">
        <w:t>’</w:t>
      </w:r>
      <w:r w:rsidRPr="00883271">
        <w:t>s application in factually similar scenarios. However, litigation may not always be the most appropriate response to non</w:t>
      </w:r>
      <w:r w:rsidR="007B3C6A">
        <w:noBreakHyphen/>
      </w:r>
      <w:r w:rsidRPr="00883271">
        <w:t xml:space="preserve">compliance with the scheme. </w:t>
      </w:r>
    </w:p>
    <w:p w14:paraId="03D8942B" w14:textId="71D3A933" w:rsidR="000B1302" w:rsidRPr="00883271" w:rsidRDefault="000B1302" w:rsidP="00FF4986">
      <w:r w:rsidRPr="00883271">
        <w:lastRenderedPageBreak/>
        <w:t>The ACCC submit that it would be more effective for enforcement purposes to also have an intermediate option, in addition to litigation, in relation to the main obligation and the fair market value requirement. A benefit of the infringement notice provisions is that they allow for timely and efficient dispute resolution without the need for litigation. The ability to issue an infringement notice provides the ACCC with flexibility in considering enforcement options in order to deter non</w:t>
      </w:r>
      <w:r w:rsidR="007B3C6A">
        <w:noBreakHyphen/>
      </w:r>
      <w:r w:rsidRPr="00883271">
        <w:t>compliance and as an alternative to civil proceedings. The ACCC</w:t>
      </w:r>
      <w:r w:rsidR="00BF0433">
        <w:t>’</w:t>
      </w:r>
      <w:r w:rsidRPr="00883271">
        <w:t>s guidance on its use of infringement notices notes that the publication of notices may also have educative and deterrent effects.</w:t>
      </w:r>
      <w:r w:rsidRPr="00883271">
        <w:rPr>
          <w:rStyle w:val="FootnoteReference"/>
          <w:szCs w:val="21"/>
        </w:rPr>
        <w:footnoteReference w:id="101"/>
      </w:r>
    </w:p>
    <w:p w14:paraId="0F280DA2" w14:textId="3C28DA5A" w:rsidR="000B1302" w:rsidRPr="00883271" w:rsidRDefault="000B1302" w:rsidP="00D91013">
      <w:r w:rsidRPr="00883271">
        <w:t>Expanding the ACCC</w:t>
      </w:r>
      <w:r w:rsidR="00BF0433">
        <w:t>’</w:t>
      </w:r>
      <w:r w:rsidRPr="00883271">
        <w:t>s regulatory toolkit to respond proportionately to instances of non</w:t>
      </w:r>
      <w:r w:rsidR="007B3C6A">
        <w:noBreakHyphen/>
      </w:r>
      <w:r w:rsidRPr="00883271">
        <w:t xml:space="preserve">compliance would not preclude the use of litigation in an appropriate case. The ACCC is less likely to consider issuing infringement notices in certain cases, including where: </w:t>
      </w:r>
    </w:p>
    <w:p w14:paraId="295479E7" w14:textId="2E4DA801" w:rsidR="000B1302" w:rsidRPr="00883271" w:rsidRDefault="000B1302" w:rsidP="00D91013">
      <w:pPr>
        <w:pStyle w:val="Bullet"/>
      </w:pPr>
      <w:r w:rsidRPr="00883271">
        <w:t xml:space="preserve">The ACCC considers the concerns are more serious in nature and warrant consideration by the court </w:t>
      </w:r>
    </w:p>
    <w:p w14:paraId="22424D6E" w14:textId="44A09933" w:rsidR="000B1302" w:rsidRPr="00883271" w:rsidRDefault="000B1302" w:rsidP="00D91013">
      <w:pPr>
        <w:pStyle w:val="Bullet"/>
      </w:pPr>
      <w:r w:rsidRPr="00883271">
        <w:t xml:space="preserve">There has been significant detriment arising from the alleged conduct </w:t>
      </w:r>
    </w:p>
    <w:p w14:paraId="4E355626" w14:textId="11BD24BE" w:rsidR="000B1302" w:rsidRPr="00883271" w:rsidRDefault="000B1302" w:rsidP="00D91013">
      <w:pPr>
        <w:pStyle w:val="Bullet"/>
      </w:pPr>
      <w:r w:rsidRPr="00883271">
        <w:t xml:space="preserve">The ACCC has concerns that the alleged conduct may be continuing </w:t>
      </w:r>
    </w:p>
    <w:p w14:paraId="1E398B14" w14:textId="68D791CA" w:rsidR="000B1302" w:rsidRPr="00883271" w:rsidRDefault="000B1302" w:rsidP="00D91013">
      <w:pPr>
        <w:pStyle w:val="Bullet"/>
      </w:pPr>
      <w:r w:rsidRPr="00883271">
        <w:t>There are questions about whether the alleged conduct occurred within the 12</w:t>
      </w:r>
      <w:r w:rsidR="007B3C6A">
        <w:noBreakHyphen/>
      </w:r>
      <w:r w:rsidRPr="00883271">
        <w:t xml:space="preserve">month period in which the ACCC may issue an infringement notice </w:t>
      </w:r>
    </w:p>
    <w:p w14:paraId="006A226D" w14:textId="0C58D6D0" w:rsidR="000B1302" w:rsidRPr="00883271" w:rsidRDefault="000B1302" w:rsidP="00D91013">
      <w:r w:rsidRPr="00883271">
        <w:t>Perceptions around enforcement appear to have influenced the perceived value of the scheme amongst some independent repairers. The Review considers that expanding the ACCC</w:t>
      </w:r>
      <w:r w:rsidR="00BF0433">
        <w:t>’</w:t>
      </w:r>
      <w:r w:rsidRPr="00883271">
        <w:t>s enforcement toolkit would provide the ACCC with greater flexibility and enable proportionate enforcement actions to be taken in a wider variety of circumstances. The public and proportionate use of enforcement powers by the ACCC in response to non</w:t>
      </w:r>
      <w:r w:rsidR="007B3C6A">
        <w:noBreakHyphen/>
      </w:r>
      <w:r w:rsidRPr="00883271">
        <w:t>compliance would ensure repairers continue to see value in the scheme and broaden its uptake.</w:t>
      </w:r>
    </w:p>
    <w:p w14:paraId="4409DB03" w14:textId="18BF7280" w:rsidR="000B1302" w:rsidRPr="004343EF" w:rsidRDefault="000B1302" w:rsidP="00D91013">
      <w:pPr>
        <w:pStyle w:val="Heading3"/>
      </w:pPr>
      <w:bookmarkStart w:id="91" w:name="_Toc204693012"/>
      <w:bookmarkStart w:id="92" w:name="_Toc211963334"/>
      <w:r w:rsidRPr="004343EF">
        <w:t>Prohibited terms and conditions</w:t>
      </w:r>
      <w:bookmarkEnd w:id="91"/>
      <w:bookmarkEnd w:id="92"/>
      <w:r w:rsidRPr="004343EF">
        <w:t xml:space="preserve"> </w:t>
      </w:r>
    </w:p>
    <w:p w14:paraId="423F943F" w14:textId="524A6D73" w:rsidR="000B1302" w:rsidRPr="00883271" w:rsidRDefault="000B1302" w:rsidP="00D91013">
      <w:r w:rsidRPr="00883271">
        <w:t>The scheme provides that data providers may make scheme information available subject to reasonable terms and conditions which do not prevent, restrict or limit access to scheme information.</w:t>
      </w:r>
      <w:r w:rsidRPr="00637889">
        <w:rPr>
          <w:rStyle w:val="FootnoteReference"/>
        </w:rPr>
        <w:footnoteReference w:id="102"/>
      </w:r>
      <w:r w:rsidRPr="00637889">
        <w:t xml:space="preserve"> </w:t>
      </w:r>
      <w:r w:rsidRPr="00883271">
        <w:t>The flexibility afforded to data providers is restricted by section 57CC which prohibits data providers from entering into contracts to supply scheme information containing certain terms and conditions, including:</w:t>
      </w:r>
    </w:p>
    <w:p w14:paraId="0415D710" w14:textId="1C397AC8" w:rsidR="000B1302" w:rsidRPr="00D91013" w:rsidRDefault="000B1302" w:rsidP="00D91013">
      <w:pPr>
        <w:pStyle w:val="Bullet"/>
      </w:pPr>
      <w:r w:rsidRPr="00D91013">
        <w:t>a term or condition requiring an Australian repairer or scheme RTO to acquire one or more services or products from the data provider or any other person (</w:t>
      </w:r>
      <w:r w:rsidR="00BF0433">
        <w:t>‘</w:t>
      </w:r>
      <w:r w:rsidRPr="00D91013">
        <w:t>bundling prohibition</w:t>
      </w:r>
      <w:r w:rsidR="00BF0433">
        <w:t>’</w:t>
      </w:r>
      <w:r w:rsidRPr="00D91013">
        <w:t>)</w:t>
      </w:r>
    </w:p>
    <w:p w14:paraId="54E8461F" w14:textId="41BD10F1" w:rsidR="000B1302" w:rsidRPr="00D91013" w:rsidRDefault="000B1302" w:rsidP="00D91013">
      <w:pPr>
        <w:pStyle w:val="Bullet"/>
      </w:pPr>
      <w:r w:rsidRPr="00D91013">
        <w:t>a term or condition allowing an increase, after the contract is made, in the price for the supply of the scheme information under the contract</w:t>
      </w:r>
    </w:p>
    <w:p w14:paraId="6DD6EDC6" w14:textId="6340E611" w:rsidR="000B1302" w:rsidRPr="00D91013" w:rsidRDefault="000B1302" w:rsidP="00D91013">
      <w:pPr>
        <w:pStyle w:val="Bullet"/>
      </w:pPr>
      <w:r w:rsidRPr="00D91013">
        <w:t> a term or condition prohibited by the Rules.</w:t>
      </w:r>
    </w:p>
    <w:p w14:paraId="54F07515" w14:textId="5CFEA721" w:rsidR="000B1302" w:rsidRPr="00883271" w:rsidRDefault="000B1302" w:rsidP="00D91013">
      <w:r w:rsidRPr="00883271">
        <w:t xml:space="preserve">The ACCC has observed that making a scheme offer that contains a prohibited term is not a contravention of the scheme and that the current prohibition is only breached when the supply of scheme information occurs subject to a prohibited term. However, a scheme offer that contains a </w:t>
      </w:r>
      <w:r w:rsidRPr="00883271">
        <w:lastRenderedPageBreak/>
        <w:t>prohibited term can disincentivise independent repairers from taking up a scheme offer. Separately,</w:t>
      </w:r>
      <w:r w:rsidR="00637889">
        <w:t> </w:t>
      </w:r>
      <w:r w:rsidRPr="00883271">
        <w:t xml:space="preserve">the ACCC notes that data providers who supply software which is only compatible with proprietary hardware effectively compel repairers to purchase that hardware in addition to purchasing scheme information, undermining the intent of the bundling prohibition. The regulator has also expressed concerns about data providers supplying software with incomplete functionality, unless additional products or services are purchased, potentially also circumventing the bundling prohibition. </w:t>
      </w:r>
    </w:p>
    <w:p w14:paraId="543FB65E" w14:textId="3A6FCAFA" w:rsidR="000B1302" w:rsidRPr="00883271" w:rsidRDefault="000B1302" w:rsidP="00D91013">
      <w:r w:rsidRPr="00883271">
        <w:t>In light of these concerns, the ACCC has recommended that the scheme be amended to introduce a new prohibition which prohibits data providers from supplying information in a form that would prevent, restrict or limit the access to, or use of, scheme information. These issues are considered further below.</w:t>
      </w:r>
    </w:p>
    <w:p w14:paraId="78368A47" w14:textId="71DB9783" w:rsidR="000B1302" w:rsidRPr="004343EF" w:rsidRDefault="000B1302" w:rsidP="00D91013">
      <w:pPr>
        <w:pStyle w:val="Heading4"/>
      </w:pPr>
      <w:r w:rsidRPr="004343EF">
        <w:t>Pre</w:t>
      </w:r>
      <w:r w:rsidR="007B3C6A">
        <w:noBreakHyphen/>
      </w:r>
      <w:r w:rsidRPr="00D91013">
        <w:t>contractual</w:t>
      </w:r>
      <w:r w:rsidRPr="004343EF">
        <w:t xml:space="preserve"> conduct </w:t>
      </w:r>
    </w:p>
    <w:p w14:paraId="606AD594" w14:textId="2E27407B" w:rsidR="000B1302" w:rsidRPr="00883271" w:rsidRDefault="000B1302" w:rsidP="00D91013">
      <w:r w:rsidRPr="00883271">
        <w:t>Contracts entered into to access scheme information will, in many cases, be standard form contracts. As a result, the prohibited terms and conditions provisions under the scheme</w:t>
      </w:r>
      <w:r w:rsidR="00637889">
        <w:t xml:space="preserve"> </w:t>
      </w:r>
      <w:r w:rsidRPr="00883271">
        <w:t xml:space="preserve">will apply in addition to the </w:t>
      </w:r>
      <w:r>
        <w:t xml:space="preserve">unfair contract terms (UCT) </w:t>
      </w:r>
      <w:r w:rsidRPr="00883271">
        <w:t>protections provided under the Australian Consumer Law.</w:t>
      </w:r>
      <w:r w:rsidR="00637889" w:rsidRPr="00637889">
        <w:rPr>
          <w:rStyle w:val="FootnoteReference"/>
        </w:rPr>
        <w:footnoteReference w:id="103"/>
      </w:r>
      <w:r w:rsidR="00637889" w:rsidRPr="00883271">
        <w:t xml:space="preserve"> </w:t>
      </w:r>
      <w:r>
        <w:t>Where at least one of the parties is a small business, the UCT regime prohibits the use of, and reliance on, unfair terms in standard form contracts</w:t>
      </w:r>
      <w:r w:rsidRPr="00883271">
        <w:t>.</w:t>
      </w:r>
      <w:r w:rsidRPr="00637889">
        <w:rPr>
          <w:rStyle w:val="FootnoteReference"/>
        </w:rPr>
        <w:footnoteReference w:id="104"/>
      </w:r>
      <w:r w:rsidRPr="00883271">
        <w:t xml:space="preserve"> </w:t>
      </w:r>
    </w:p>
    <w:p w14:paraId="438947FD" w14:textId="7B57637C" w:rsidR="000B1302" w:rsidRPr="00883271" w:rsidRDefault="000B1302" w:rsidP="00D91013">
      <w:r w:rsidRPr="00883271">
        <w:t>The Review considers that extending the existing arrangements for prohibited terms and conditions under the scheme to prohibit scheme offers which contain prohibited terms and conditions, as recommended by the ACCC, would align with the broader concern for pre</w:t>
      </w:r>
      <w:r w:rsidR="007B3C6A">
        <w:noBreakHyphen/>
      </w:r>
      <w:r w:rsidRPr="00883271">
        <w:t xml:space="preserve">contractual conduct under the CCA. Such an amendment would also enable the ACCC to take action to protect repairers from the harm associated with prohibited terms and conditions before it occurs. </w:t>
      </w:r>
    </w:p>
    <w:p w14:paraId="2A1CF770" w14:textId="77777777" w:rsidR="000B1302" w:rsidRPr="004343EF" w:rsidRDefault="000B1302" w:rsidP="00AD4FEC">
      <w:pPr>
        <w:pStyle w:val="Heading4"/>
        <w:rPr>
          <w:szCs w:val="24"/>
        </w:rPr>
      </w:pPr>
      <w:r w:rsidRPr="004343EF">
        <w:rPr>
          <w:szCs w:val="24"/>
        </w:rPr>
        <w:t>Bundling</w:t>
      </w:r>
    </w:p>
    <w:p w14:paraId="7A40F0A2" w14:textId="11FE395C" w:rsidR="000B1302" w:rsidRPr="00883271" w:rsidRDefault="000B1302" w:rsidP="00D91013">
      <w:r w:rsidRPr="00883271">
        <w:t>The scheme aims to provide data providers with the flexibility to use their existing systems to supply scheme information to repairers and RTOs, helping to reduce compliance costs.</w:t>
      </w:r>
      <w:r w:rsidRPr="00883271">
        <w:rPr>
          <w:rStyle w:val="FootnoteReference"/>
          <w:sz w:val="17"/>
          <w:szCs w:val="17"/>
        </w:rPr>
        <w:t xml:space="preserve"> </w:t>
      </w:r>
      <w:r w:rsidRPr="00637889">
        <w:rPr>
          <w:rStyle w:val="FootnoteReference"/>
        </w:rPr>
        <w:footnoteReference w:id="105"/>
      </w:r>
      <w:r w:rsidRPr="00883271">
        <w:t xml:space="preserve"> In some cases, these systems will necessitate the use of proprietary hardware. </w:t>
      </w:r>
    </w:p>
    <w:p w14:paraId="373259AC" w14:textId="5BCB7B99" w:rsidR="000B1302" w:rsidRPr="00883271" w:rsidRDefault="000B1302" w:rsidP="00D91013">
      <w:r w:rsidRPr="00883271">
        <w:t>The supply of scheme information which must be used in combination with proprietary hardware is not itself inconsistent with the intent of the scheme, provided scheme information remains reasonably accessible in line with the main obligation. The ACCC</w:t>
      </w:r>
      <w:r w:rsidR="00BF0433">
        <w:t>’</w:t>
      </w:r>
      <w:r w:rsidRPr="00883271">
        <w:t xml:space="preserve">s submission therefore raises the question of how the legislative intent of the scheme as a whole can be reconciled with the breadth of the bundling prohibition. </w:t>
      </w:r>
    </w:p>
    <w:p w14:paraId="6C7D745F" w14:textId="601ED106" w:rsidR="00110D67" w:rsidRDefault="000B1302" w:rsidP="00D91013">
      <w:r w:rsidRPr="00883271">
        <w:t>The bundling prohibition is an important restraint on data providers</w:t>
      </w:r>
      <w:r w:rsidR="00BF0433">
        <w:t>’</w:t>
      </w:r>
      <w:r w:rsidRPr="00883271">
        <w:t xml:space="preserve"> ability to contract and seeks to ensure data providers do not unnecessarily increase the price of scheme information through bundling information with other goods and services. However,</w:t>
      </w:r>
      <w:r w:rsidRPr="00883271" w:rsidDel="005A5AA1">
        <w:t xml:space="preserve"> </w:t>
      </w:r>
      <w:r w:rsidRPr="00883271">
        <w:t>the Review considers that data providers and repairers would benefit from clarity regarding the operation of this prohibition in the context of data providers</w:t>
      </w:r>
      <w:r w:rsidR="00BF0433">
        <w:t>’</w:t>
      </w:r>
      <w:r w:rsidRPr="00883271">
        <w:t xml:space="preserve"> legitimate need, in some cases, to make scheme information available in a form which requires a repairer or scheme RTO to purchase additional goods or services. Greater clarity in relation to circumstances where bundling occurs post</w:t>
      </w:r>
      <w:r w:rsidR="007B3C6A">
        <w:noBreakHyphen/>
      </w:r>
      <w:r w:rsidRPr="00883271">
        <w:t xml:space="preserve">supply, as flagged in the ACCC submission, may also support the effective operation of the scheme. </w:t>
      </w:r>
    </w:p>
    <w:p w14:paraId="1D8F214C" w14:textId="77777777" w:rsidR="00110D67" w:rsidRDefault="00110D67" w:rsidP="00D91013">
      <w:r>
        <w:br w:type="page"/>
      </w:r>
    </w:p>
    <w:p w14:paraId="2ECA6463" w14:textId="288E8F30" w:rsidR="000B1302" w:rsidRPr="00883271" w:rsidRDefault="000B1302" w:rsidP="00D91013">
      <w:r w:rsidRPr="00883271">
        <w:lastRenderedPageBreak/>
        <w:t>Consideration of any changes to the bundling prohibition would need to be undertaken in consultation with industry. Any changes would also need to strike a balance between facilitating data providers</w:t>
      </w:r>
      <w:r w:rsidR="00BF0433">
        <w:t>’</w:t>
      </w:r>
      <w:r w:rsidRPr="00883271">
        <w:t xml:space="preserve"> right to make goods and services available in the market and the scheme</w:t>
      </w:r>
      <w:r w:rsidR="00BF0433">
        <w:t>’</w:t>
      </w:r>
      <w:r w:rsidRPr="00883271">
        <w:t>s objective that all repairers should be able to enjoy access to scheme information with the same functionality as, for example, authorised repairers.</w:t>
      </w:r>
      <w:r w:rsidRPr="00637889">
        <w:rPr>
          <w:rStyle w:val="FootnoteReference"/>
        </w:rPr>
        <w:footnoteReference w:id="106"/>
      </w:r>
    </w:p>
    <w:p w14:paraId="21349043" w14:textId="1196915D" w:rsidR="000B1302" w:rsidRPr="004343EF" w:rsidRDefault="000B1302" w:rsidP="00110D67">
      <w:pPr>
        <w:pStyle w:val="Heading3"/>
        <w:spacing w:before="280"/>
      </w:pPr>
      <w:bookmarkStart w:id="93" w:name="_Toc211963335"/>
      <w:r w:rsidRPr="00D91013">
        <w:t>Liability</w:t>
      </w:r>
      <w:bookmarkEnd w:id="93"/>
      <w:r w:rsidRPr="004343EF">
        <w:t xml:space="preserve"> </w:t>
      </w:r>
    </w:p>
    <w:p w14:paraId="78C2D904" w14:textId="60409C4D" w:rsidR="000B1302" w:rsidRPr="00883271" w:rsidRDefault="000B1302" w:rsidP="00D91013">
      <w:r w:rsidRPr="00883271">
        <w:t xml:space="preserve">As noted in </w:t>
      </w:r>
      <w:r w:rsidRPr="00883271">
        <w:rPr>
          <w:b/>
        </w:rPr>
        <w:t>chapter 2</w:t>
      </w:r>
      <w:r w:rsidRPr="00883271">
        <w:t xml:space="preserve">, the manufacturer authorised supply chain for motor vehicles in Australia can be complex. As a result, the provision of scheme information often arises in the context of complex corporate structures and associated contractual arrangements. </w:t>
      </w:r>
    </w:p>
    <w:p w14:paraId="049C649D" w14:textId="291E0575" w:rsidR="000B1302" w:rsidRPr="00883271" w:rsidRDefault="000B1302" w:rsidP="00D91013">
      <w:r w:rsidRPr="00883271">
        <w:t>Distributors of vehicles in Australia frequently operate as a separate legal entity from the foreign corporations responsible for vehicle manufacture and which hold the intellectual property rights associated with those vehicles. In many cases, manufacturers may also choose to partner with other entities, such as diagnostic hardware and software manufacturers, in supplying scheme information to the Australian market. While methods of facilitating access to scheme information differ, the scheme seeks to ensure that responsibility for compliance ultimately rests with the entity which controls scheme information, independent of their level of involvement in the supply of that information.</w:t>
      </w:r>
      <w:r w:rsidRPr="00637889">
        <w:rPr>
          <w:rStyle w:val="FootnoteReference"/>
        </w:rPr>
        <w:footnoteReference w:id="107"/>
      </w:r>
      <w:r w:rsidRPr="00637889">
        <w:rPr>
          <w:rStyle w:val="FootnoteReference"/>
        </w:rPr>
        <w:t xml:space="preserve"> </w:t>
      </w:r>
    </w:p>
    <w:p w14:paraId="4E5B1664" w14:textId="4D00756E" w:rsidR="000B1302" w:rsidRPr="00883271" w:rsidRDefault="000B1302" w:rsidP="00D91013">
      <w:r w:rsidRPr="00883271">
        <w:t>Submissions from both the ACCC and FCAI suggest there is scope to clarify how the obligations imposed under the scheme apply to certain business models and in certain contexts. The ACCC observed that some manufacturers have sought to delegate responsibility for compliance to dealerships or intermediaries, and that certain retailers may also be unintentionally captured by the scheme</w:t>
      </w:r>
      <w:r w:rsidR="00BF0433">
        <w:t>’</w:t>
      </w:r>
      <w:r w:rsidRPr="00883271">
        <w:t xml:space="preserve">s data provider obligations. </w:t>
      </w:r>
    </w:p>
    <w:p w14:paraId="4729EB99" w14:textId="6F5ED36E" w:rsidR="000B1302" w:rsidRPr="00883271" w:rsidRDefault="000B1302" w:rsidP="00D91013">
      <w:r w:rsidRPr="00883271">
        <w:t xml:space="preserve">The FCAI has advocated for clarification of the application of the scheme to certain types of data providers, including remote diagnostic and technical support services, scan tool providers (examined in </w:t>
      </w:r>
      <w:r w:rsidRPr="00883271">
        <w:rPr>
          <w:b/>
        </w:rPr>
        <w:t>chapter 5</w:t>
      </w:r>
      <w:r w:rsidRPr="00883271">
        <w:t xml:space="preserve">), and to used vehicle importers. </w:t>
      </w:r>
    </w:p>
    <w:p w14:paraId="0316277D" w14:textId="343ECC46" w:rsidR="000B1302" w:rsidRPr="004343EF" w:rsidRDefault="000B1302" w:rsidP="00110D67">
      <w:pPr>
        <w:pStyle w:val="Heading4"/>
        <w:spacing w:before="240"/>
        <w:rPr>
          <w:szCs w:val="24"/>
        </w:rPr>
      </w:pPr>
      <w:r w:rsidRPr="004343EF">
        <w:rPr>
          <w:szCs w:val="24"/>
        </w:rPr>
        <w:t xml:space="preserve">Data providers </w:t>
      </w:r>
    </w:p>
    <w:p w14:paraId="05AAA6BA" w14:textId="70050298" w:rsidR="000B1302" w:rsidRPr="00883271" w:rsidRDefault="000B1302" w:rsidP="00D91013">
      <w:r w:rsidRPr="00883271">
        <w:t xml:space="preserve">To be a data provider under the scheme, a corporation or person must generally have some level of control or ownership over scheme information. The centrality of ownership or control of scheme information is reflected both in the definition of </w:t>
      </w:r>
      <w:r w:rsidR="00BF0433">
        <w:t>‘</w:t>
      </w:r>
      <w:r w:rsidRPr="00883271">
        <w:t>data provider</w:t>
      </w:r>
      <w:r w:rsidR="00BF0433">
        <w:t>’</w:t>
      </w:r>
      <w:r w:rsidRPr="00883271">
        <w:t xml:space="preserve"> and in the Explanatory Memorandum to the Bill.</w:t>
      </w:r>
      <w:r w:rsidRPr="00883271">
        <w:rPr>
          <w:rStyle w:val="FootnoteReference"/>
          <w:sz w:val="17"/>
          <w:szCs w:val="17"/>
        </w:rPr>
        <w:footnoteReference w:id="108"/>
      </w:r>
      <w:r w:rsidRPr="00883271">
        <w:t xml:space="preserve"> While regulatory clarity may be enhanced by expressly excluding retailers from the definition of data providers, in many cases retailers would be unlikely to have the requisite degree of control over scheme information under the scheme in order to be considered a data provider.</w:t>
      </w:r>
    </w:p>
    <w:p w14:paraId="24B984EB" w14:textId="3AD8FD7E" w:rsidR="000B1302" w:rsidRPr="00883271" w:rsidRDefault="000B1302" w:rsidP="00110D67">
      <w:r w:rsidRPr="00883271">
        <w:t>By contrast, greater uncertainty may arise in situating remote diagnostic and technical support service providers within the scheme. Diagnostic and technical support service providers operate under a number of business models. A common model involves pairing a hardware and remote service offering, typically on a subscription basis. Businesses utilising this model may provide a branded tool which repairers can purchase, and which enables the user to receive remote technical support. This service can play a role in addressing industry</w:t>
      </w:r>
      <w:r w:rsidR="007B3C6A">
        <w:noBreakHyphen/>
      </w:r>
      <w:r w:rsidRPr="00883271">
        <w:t>wide skills shortages where on</w:t>
      </w:r>
      <w:r w:rsidR="007B3C6A">
        <w:noBreakHyphen/>
      </w:r>
      <w:r w:rsidRPr="00883271">
        <w:t xml:space="preserve">site expertise is limited or unavailable. In many cases, remote diagnostic and technical support service providers may have a sufficient degree of control over scheme information to fall within the definition of data provider. </w:t>
      </w:r>
      <w:r w:rsidRPr="00883271">
        <w:lastRenderedPageBreak/>
        <w:t xml:space="preserve">However, as these businesses also assist repairers to diagnose, repair, and service scheme vehicles, such entities may also be regarded as Australian repairers under s 57BB of the Act. </w:t>
      </w:r>
    </w:p>
    <w:p w14:paraId="194BE6BC" w14:textId="1CB04AFF" w:rsidR="000B1302" w:rsidRPr="00883271" w:rsidRDefault="000B1302" w:rsidP="00D91013">
      <w:r w:rsidRPr="00883271">
        <w:t>Under the scheme, entities may be both a data provider and a repairer. For example, a dealership may supply scheme information and also carry on a business of servicing and repairing motor vehicles. While remote service providers themselves did not raise concerns regarding the application of the scheme, the Review considers that subject to appropriate consultation, there may be value in further clarifying the application of the legislation to entities of this kind given their unique position within the market.</w:t>
      </w:r>
    </w:p>
    <w:p w14:paraId="7B47ECA6" w14:textId="2F3594CA" w:rsidR="000B1302" w:rsidRPr="00883271" w:rsidRDefault="000B1302" w:rsidP="00D91013">
      <w:r w:rsidRPr="00883271">
        <w:t xml:space="preserve">While questions in relation to retailers and remote diagnostic and technical support services primarily raise issues of legislative clarity, views raised in relation to used vehicle importers invite consideration of broader policy issues relevant to the operation of the scheme. </w:t>
      </w:r>
    </w:p>
    <w:p w14:paraId="477AC0A8" w14:textId="1C395966" w:rsidR="000B1302" w:rsidRPr="004343EF" w:rsidRDefault="000B1302" w:rsidP="00F13BA8">
      <w:pPr>
        <w:pStyle w:val="Heading4"/>
        <w:rPr>
          <w:szCs w:val="24"/>
        </w:rPr>
      </w:pPr>
      <w:r w:rsidRPr="004343EF">
        <w:rPr>
          <w:szCs w:val="24"/>
        </w:rPr>
        <w:t xml:space="preserve">Used vehicle importers </w:t>
      </w:r>
    </w:p>
    <w:p w14:paraId="18E72124" w14:textId="5B5C0CB3" w:rsidR="000B1302" w:rsidRPr="00883271" w:rsidRDefault="000B1302" w:rsidP="00D91013">
      <w:r w:rsidRPr="00883271">
        <w:t xml:space="preserve">Used vehicle imports, like all vehicle imports, are regulated under the </w:t>
      </w:r>
      <w:r w:rsidRPr="00883271">
        <w:rPr>
          <w:i/>
        </w:rPr>
        <w:t xml:space="preserve">Road Vehicle Standards Act 2018 </w:t>
      </w:r>
      <w:r w:rsidRPr="00883271">
        <w:rPr>
          <w:iCs/>
        </w:rPr>
        <w:t>(Cth)</w:t>
      </w:r>
      <w:r w:rsidRPr="00883271">
        <w:t>. The International Transport Forum estimates that between 1988 and 2022, 71,935 used vehicles were imported into Australia, approximately 0.47 per cent of the approximately 15.05 million passenger vehicles registered in Australia in that year.</w:t>
      </w:r>
      <w:r w:rsidRPr="00883271">
        <w:rPr>
          <w:rStyle w:val="FootnoteReference"/>
          <w:szCs w:val="21"/>
        </w:rPr>
        <w:footnoteReference w:id="109"/>
      </w:r>
      <w:r w:rsidRPr="00883271">
        <w:t xml:space="preserve"> </w:t>
      </w:r>
    </w:p>
    <w:p w14:paraId="3063F391" w14:textId="23841B34" w:rsidR="000B1302" w:rsidRPr="00883271" w:rsidRDefault="000B1302" w:rsidP="00D91013">
      <w:r w:rsidRPr="00883271">
        <w:t>Where a vehicle is imported into Australia by a used vehicle importer, but that importer does not provide scheme information in relation to the vehicle, obligations under the scheme will not apply. Although</w:t>
      </w:r>
      <w:r w:rsidRPr="00883271" w:rsidDel="005A5AA1">
        <w:t xml:space="preserve"> </w:t>
      </w:r>
      <w:r w:rsidRPr="00883271">
        <w:t xml:space="preserve">the Review expects the majority of used vehicle importers will not be involved in the supply of scheme information, where scheme information is provided by these importers to Australian repairers the used vehicle importer will be treated as a data provider under the scheme. The substantive issue to be considered by the Review in relation to used vehicle importers is therefore whether OEMs should be exempted from providing scheme information in relation to vehicles which they did not import. </w:t>
      </w:r>
    </w:p>
    <w:p w14:paraId="0313052D" w14:textId="3EB83116" w:rsidR="000B1302" w:rsidRPr="00883271" w:rsidRDefault="000B1302" w:rsidP="00D91013">
      <w:r w:rsidRPr="00883271">
        <w:t>The scheme does not obligate OEMs to supply scheme information in relation to scheme vehicles imported into Australia where this information is not currently supplied to Australian repairers or RTOs. However, where the OEM does provide scheme information in relation to a kind of vehicle which has been imported through another arrangement, the legislation does not permit the data provider to withhold scheme information in relation to that particular vehicle on the basis that it was imported outside the manufacturer</w:t>
      </w:r>
      <w:r w:rsidR="00BF0433">
        <w:t>’</w:t>
      </w:r>
      <w:r w:rsidRPr="00883271">
        <w:t>s authorised supply chain.</w:t>
      </w:r>
      <w:r w:rsidRPr="00883271">
        <w:rPr>
          <w:rStyle w:val="FootnoteReference"/>
          <w:szCs w:val="21"/>
        </w:rPr>
        <w:footnoteReference w:id="110"/>
      </w:r>
      <w:r w:rsidRPr="00883271">
        <w:t xml:space="preserve"> </w:t>
      </w:r>
    </w:p>
    <w:p w14:paraId="6D9F66ED" w14:textId="709637F0" w:rsidR="000B1302" w:rsidRPr="00883271" w:rsidRDefault="000B1302" w:rsidP="00D91013">
      <w:r w:rsidRPr="00883271">
        <w:t>No evidence was provided to the Review which suggests that these current arrangements are impeding the operation of the scheme or imposing a material regulatory burden on vehicle manufacturers. While OEM</w:t>
      </w:r>
      <w:r w:rsidR="00BF0433">
        <w:t>’</w:t>
      </w:r>
      <w:r w:rsidRPr="00883271">
        <w:t xml:space="preserve">s have a legitimate commercial interest in limiting the costs they incur in connection with vehicles imported outside of the authorised supply chain, the scheme only requires manufacturers to provide scheme information where that information is already made available in the Australian market. Given this and noting that scheme information is made available to repairers at a price not exceeding fair market value, the Review estimates that the marginal cost to OEMs of providing scheme information to this class of imported vehicles is limited. </w:t>
      </w:r>
    </w:p>
    <w:p w14:paraId="22A1B302" w14:textId="77777777" w:rsidR="000B1302" w:rsidRPr="004343EF" w:rsidRDefault="000B1302" w:rsidP="0091637C">
      <w:pPr>
        <w:pStyle w:val="Heading4"/>
        <w:rPr>
          <w:szCs w:val="24"/>
        </w:rPr>
      </w:pPr>
      <w:r w:rsidRPr="004343EF">
        <w:rPr>
          <w:szCs w:val="24"/>
        </w:rPr>
        <w:lastRenderedPageBreak/>
        <w:t xml:space="preserve">Third party agreements </w:t>
      </w:r>
    </w:p>
    <w:p w14:paraId="305D149E" w14:textId="30A09E2C" w:rsidR="000B1302" w:rsidRPr="00883271" w:rsidRDefault="000B1302" w:rsidP="00D91013">
      <w:r w:rsidRPr="00883271">
        <w:t xml:space="preserve">Information provided as part of the Review suggests that a small number of manufacturers may be seeking to avoid obligations under the scheme through contracting with dealerships and third parties, such as diagnostic hardware and software suppliers. These entities may be engaged to: </w:t>
      </w:r>
    </w:p>
    <w:p w14:paraId="7DECB069" w14:textId="423B2582" w:rsidR="000B1302" w:rsidRPr="00D91013" w:rsidRDefault="000B1302" w:rsidP="00D91013">
      <w:pPr>
        <w:pStyle w:val="Bullet"/>
      </w:pPr>
      <w:r w:rsidRPr="00883271">
        <w:t xml:space="preserve">Establish </w:t>
      </w:r>
      <w:r w:rsidRPr="00D91013">
        <w:t xml:space="preserve">and manage the online platform where dealerships and independent repairers purchase hardware and software </w:t>
      </w:r>
    </w:p>
    <w:p w14:paraId="7C38A321" w14:textId="20AEA335" w:rsidR="000B1302" w:rsidRPr="00D91013" w:rsidRDefault="000B1302" w:rsidP="00D91013">
      <w:pPr>
        <w:pStyle w:val="Bullet"/>
      </w:pPr>
      <w:r w:rsidRPr="00D91013">
        <w:t xml:space="preserve">Supply the diagnostic hardware and software directly to dealerships and independent repairers </w:t>
      </w:r>
    </w:p>
    <w:p w14:paraId="23D713EA" w14:textId="279F6081" w:rsidR="000B1302" w:rsidRPr="00883271" w:rsidRDefault="000B1302" w:rsidP="00D91013">
      <w:pPr>
        <w:pStyle w:val="Bullet"/>
      </w:pPr>
      <w:r w:rsidRPr="00D91013">
        <w:t>Resolve te</w:t>
      </w:r>
      <w:r w:rsidRPr="00883271">
        <w:t xml:space="preserve">chnical issues with the diagnostic hardware and/or software, including handling complaints or enquiries. </w:t>
      </w:r>
    </w:p>
    <w:p w14:paraId="4D9E9FAF" w14:textId="2D8C55F8" w:rsidR="000B1302" w:rsidRPr="00883271" w:rsidRDefault="000B1302" w:rsidP="00D91013">
      <w:r w:rsidRPr="00883271">
        <w:t>The scheme permits data providers to make arrangements that enable compliance with the scheme, and which suit their operating context. The scheme contemplates that data providers may enter into arrangements with third parties, including within vertically integrated structures and with related bodies corporate, to support the provision of scheme information. In some cases, although an agent may be contractually responsible to the data provider to perform functions necessary to comply with the scheme, the data provider is ultimately liable for compliance.</w:t>
      </w:r>
      <w:r w:rsidRPr="00883271">
        <w:rPr>
          <w:vertAlign w:val="superscript"/>
        </w:rPr>
        <w:footnoteReference w:id="111"/>
      </w:r>
      <w:r w:rsidRPr="00883271">
        <w:rPr>
          <w:vertAlign w:val="superscript"/>
        </w:rPr>
        <w:t xml:space="preserve"> </w:t>
      </w:r>
    </w:p>
    <w:p w14:paraId="16BC8A67" w14:textId="45E12468" w:rsidR="000B1302" w:rsidRPr="00883271" w:rsidRDefault="000B1302" w:rsidP="00D91013">
      <w:r w:rsidRPr="00883271">
        <w:t>A manufacturer may choose to outsource certain aspects of scheme compliance to their dealership network, a circumstance expressly contemplated by the scheme.</w:t>
      </w:r>
      <w:r w:rsidRPr="00A16BC0">
        <w:rPr>
          <w:rStyle w:val="FootnoteReference"/>
        </w:rPr>
        <w:footnoteReference w:id="112"/>
      </w:r>
      <w:r w:rsidRPr="00A16BC0">
        <w:rPr>
          <w:rStyle w:val="FootnoteReference"/>
        </w:rPr>
        <w:t xml:space="preserve"> </w:t>
      </w:r>
      <w:r w:rsidRPr="00883271">
        <w:t>In this case, the main obligation to make a scheme offer available may still apply to the vehicle manufacturer where the dealership is itself an Australian repairer.</w:t>
      </w:r>
      <w:r w:rsidRPr="00637889">
        <w:rPr>
          <w:rStyle w:val="FootnoteReference"/>
        </w:rPr>
        <w:footnoteReference w:id="113"/>
      </w:r>
      <w:r w:rsidRPr="00883271">
        <w:t xml:space="preserve"> While contractual arrangements in these circumstances may purport to place sole responsibility for scheme compliance on the dealership, such arrangements do not negate the obligations imposed under the scheme. However, additional clarity may be needed to address the potential for avoidance behaviour involving contractual relationships outside the manufacturer authorised supply chain. </w:t>
      </w:r>
    </w:p>
    <w:p w14:paraId="2DA17845" w14:textId="5A394DEA" w:rsidR="000B1302" w:rsidRPr="00883271" w:rsidRDefault="000B1302" w:rsidP="00D91013">
      <w:r w:rsidRPr="00883271">
        <w:t>A data provider</w:t>
      </w:r>
      <w:r w:rsidR="00BF0433">
        <w:t>’</w:t>
      </w:r>
      <w:r w:rsidRPr="00883271">
        <w:t>s main obligation under the scheme is triggered at the point scheme information is supplied, or offered to be supplied, in relation to one or more kinds of scheme vehicles to one or more Australian repairers or scheme RTOs.</w:t>
      </w:r>
      <w:r w:rsidRPr="00637889">
        <w:rPr>
          <w:rStyle w:val="FootnoteReference"/>
        </w:rPr>
        <w:footnoteReference w:id="114"/>
      </w:r>
      <w:r w:rsidRPr="00883271">
        <w:t xml:space="preserve"> Information provided as part of the Review suggests that a data provider may seek to exploit this framing, by entering into an arrangement with a third party, such as a tool manufacturer, to supply scheme information to its domestic dealership network. In this case, the manufacturer may assert that the third party, and not the manufacturer, is the data provider for the purposes of the scheme, and that the manufacturer</w:t>
      </w:r>
      <w:r w:rsidR="00BF0433">
        <w:t>’</w:t>
      </w:r>
      <w:r w:rsidRPr="00883271">
        <w:t>s main obligation under s 57CA(2) has not been enlivened.</w:t>
      </w:r>
      <w:r w:rsidRPr="00637889">
        <w:rPr>
          <w:rStyle w:val="FootnoteReference"/>
        </w:rPr>
        <w:footnoteReference w:id="115"/>
      </w:r>
    </w:p>
    <w:p w14:paraId="66364A2B" w14:textId="77777777" w:rsidR="00110D67" w:rsidRDefault="00110D67" w:rsidP="0091637C">
      <w:r>
        <w:br w:type="page"/>
      </w:r>
    </w:p>
    <w:p w14:paraId="64AA21F0" w14:textId="3AD0832A" w:rsidR="000B1302" w:rsidRPr="00D91013" w:rsidRDefault="000B1302" w:rsidP="00637889">
      <w:pPr>
        <w:spacing w:after="240"/>
      </w:pPr>
      <w:r w:rsidRPr="00883271">
        <w:lastRenderedPageBreak/>
        <w:t>The Review did not receive evidence of widespread avoidance behaviour of this kind amongst manufacturers. However, if entered into, such arrangements would be contrary to the intent of the legislation and enable vehicle manufacturers to argue responsibility for compliance with the scheme rests with an entity outside the manufacturer authorised supply chain. As third parties necessarily apply their own markup to scheme information under such arrangements, such an outcome would likely impede the realisation of the scheme</w:t>
      </w:r>
      <w:r w:rsidR="00BF0433">
        <w:t>’</w:t>
      </w:r>
      <w:r w:rsidRPr="00883271">
        <w:t>s legislated objectives by increasing the minimum price at which scheme information is made available in the market. The Review considers that technical amendments which address the potential for this type of avoidance behaviour may be beneficial, and further strengthen the operation of the scheme.</w:t>
      </w:r>
    </w:p>
    <w:tbl>
      <w:tblPr>
        <w:tblStyle w:val="TableGrid"/>
        <w:tblW w:w="5000" w:type="pct"/>
        <w:shd w:val="clear" w:color="auto" w:fill="FCEEE5" w:themeFill="accent6" w:themeFillTint="33"/>
        <w:tblCellMar>
          <w:top w:w="227" w:type="dxa"/>
          <w:left w:w="227" w:type="dxa"/>
          <w:bottom w:w="227" w:type="dxa"/>
          <w:right w:w="227" w:type="dxa"/>
        </w:tblCellMar>
        <w:tblLook w:val="0620" w:firstRow="1" w:lastRow="0" w:firstColumn="0" w:lastColumn="0" w:noHBand="1" w:noVBand="1"/>
      </w:tblPr>
      <w:tblGrid>
        <w:gridCol w:w="9072"/>
      </w:tblGrid>
      <w:tr w:rsidR="000B1302" w:rsidRPr="00883271" w14:paraId="6A5192D9" w14:textId="77777777" w:rsidTr="00076F29">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9FC"/>
          </w:tcPr>
          <w:p w14:paraId="7A6318F0" w14:textId="68741701" w:rsidR="000B1302" w:rsidRPr="00D91013" w:rsidRDefault="000B1302" w:rsidP="00110D67">
            <w:pPr>
              <w:pStyle w:val="BoxHeading"/>
            </w:pPr>
            <w:r w:rsidRPr="00D91013">
              <w:t>Finding 10</w:t>
            </w:r>
          </w:p>
          <w:p w14:paraId="46C0B7A2" w14:textId="53BD81EA" w:rsidR="000B1302" w:rsidRPr="00883271" w:rsidRDefault="000B1302" w:rsidP="00D91013">
            <w:pPr>
              <w:pStyle w:val="BoxText"/>
              <w:rPr>
                <w:sz w:val="17"/>
                <w:szCs w:val="17"/>
              </w:rPr>
            </w:pPr>
            <w:r w:rsidRPr="00883271">
              <w:t xml:space="preserve">Incomplete compliance with the scheme by some data providers risks undermining confidence in the scheme as a whole. </w:t>
            </w:r>
            <w:r w:rsidRPr="00883271">
              <w:rPr>
                <w:lang w:eastAsia="en-US"/>
              </w:rPr>
              <w:t>Technical</w:t>
            </w:r>
            <w:r w:rsidRPr="00883271">
              <w:t xml:space="preserve"> amendments to the scheme, </w:t>
            </w:r>
            <w:r w:rsidRPr="00883271">
              <w:rPr>
                <w:lang w:eastAsia="en-US"/>
              </w:rPr>
              <w:t>including those aimed at improving regulatory clarity could, allow more</w:t>
            </w:r>
            <w:r w:rsidRPr="00883271">
              <w:t xml:space="preserve"> timely and proportionate enforcement activities by the Australian Competition and Consumer Commission.</w:t>
            </w:r>
            <w:r w:rsidRPr="00883271">
              <w:rPr>
                <w:lang w:eastAsia="en-US"/>
              </w:rPr>
              <w:t xml:space="preserve"> More visible public enforcement would also assist in deterring non</w:t>
            </w:r>
            <w:r w:rsidR="007B3C6A">
              <w:rPr>
                <w:lang w:eastAsia="en-US"/>
              </w:rPr>
              <w:noBreakHyphen/>
            </w:r>
            <w:r w:rsidRPr="00D91013">
              <w:t>compliance</w:t>
            </w:r>
            <w:r w:rsidRPr="00883271">
              <w:rPr>
                <w:lang w:eastAsia="en-US"/>
              </w:rPr>
              <w:t>.</w:t>
            </w:r>
          </w:p>
        </w:tc>
      </w:tr>
    </w:tbl>
    <w:p w14:paraId="316DA3CB" w14:textId="77777777" w:rsidR="00110D67" w:rsidRDefault="00110D67" w:rsidP="00C250C8">
      <w:pPr>
        <w:pStyle w:val="SingleParagraph"/>
        <w:rPr>
          <w:sz w:val="21"/>
          <w:szCs w:val="21"/>
        </w:rPr>
        <w:sectPr w:rsidR="00110D67" w:rsidSect="00A6726C">
          <w:footerReference w:type="default" r:id="rId59"/>
          <w:pgSz w:w="11906" w:h="16838" w:code="9"/>
          <w:pgMar w:top="1843" w:right="1417" w:bottom="1417" w:left="1417" w:header="709" w:footer="709" w:gutter="0"/>
          <w:cols w:space="708"/>
          <w:docGrid w:linePitch="360"/>
        </w:sectPr>
      </w:pPr>
    </w:p>
    <w:p w14:paraId="079B3334" w14:textId="31B9596B" w:rsidR="000B1302" w:rsidRPr="00883271" w:rsidRDefault="000B1302" w:rsidP="00110D67">
      <w:pPr>
        <w:pStyle w:val="Heading1Numbered"/>
        <w:spacing w:before="0"/>
      </w:pPr>
      <w:bookmarkStart w:id="94" w:name="_Toc204693015"/>
      <w:bookmarkStart w:id="95" w:name="_Toc211963336"/>
      <w:bookmarkStart w:id="96" w:name="_Toc213340414"/>
      <w:r w:rsidRPr="00883271">
        <w:lastRenderedPageBreak/>
        <w:t>Conclusion</w:t>
      </w:r>
      <w:bookmarkEnd w:id="94"/>
      <w:bookmarkEnd w:id="95"/>
      <w:bookmarkEnd w:id="96"/>
    </w:p>
    <w:p w14:paraId="0E5638AA" w14:textId="7935283F" w:rsidR="000B1302" w:rsidRPr="00883271" w:rsidRDefault="000B1302" w:rsidP="00D91013">
      <w:r w:rsidRPr="00883271">
        <w:t>A genuinely competitive market for motor vehicle service and repair services relies on all repairers having fair access to the information they require to safely carry out these tasks on their customers</w:t>
      </w:r>
      <w:r w:rsidR="00BF0433">
        <w:t>’</w:t>
      </w:r>
      <w:r w:rsidRPr="00883271">
        <w:t xml:space="preserve"> vehicles. However, as motor vehicles become increasingly technologically advanced, the information required to safely undertake these tasks increases. </w:t>
      </w:r>
    </w:p>
    <w:p w14:paraId="1CCF65C7" w14:textId="7EF3BA78" w:rsidR="000B1302" w:rsidRPr="00883271" w:rsidRDefault="000B1302" w:rsidP="00D91013">
      <w:r w:rsidRPr="00883271">
        <w:t>The Motor Vehicle Service and Repair Information Sharing Scheme (the scheme) is Australia</w:t>
      </w:r>
      <w:r w:rsidR="00BF0433">
        <w:t>’</w:t>
      </w:r>
      <w:r w:rsidRPr="00883271">
        <w:t xml:space="preserve">s first </w:t>
      </w:r>
      <w:r w:rsidR="00BF0433">
        <w:t>‘</w:t>
      </w:r>
      <w:r w:rsidRPr="00883271">
        <w:t>right to repair</w:t>
      </w:r>
      <w:r w:rsidR="00BF0433">
        <w:t>’</w:t>
      </w:r>
      <w:r w:rsidRPr="00883271">
        <w:t xml:space="preserve"> law and is designed to support competition in the market for motor vehicle service and repair. </w:t>
      </w:r>
      <w:r w:rsidRPr="00883271">
        <w:rPr>
          <w:rFonts w:cs="Calibri Light"/>
        </w:rPr>
        <w:t xml:space="preserve">The scheme establishes a fair playing field between </w:t>
      </w:r>
      <w:r w:rsidRPr="00883271">
        <w:t>Australian repairers by mandating access, on fair and reasonable commercial terms, to information used to diagnose, repair, service, modify or dismantle vehicles to which it applies. Since its commencement, the scheme has become an important part of Australia</w:t>
      </w:r>
      <w:r w:rsidR="00BF0433">
        <w:t>’</w:t>
      </w:r>
      <w:r w:rsidRPr="00883271">
        <w:t>s automotive landscape.</w:t>
      </w:r>
    </w:p>
    <w:p w14:paraId="28756315" w14:textId="4CAFF2C0" w:rsidR="000B1302" w:rsidRPr="00883271" w:rsidRDefault="000B1302" w:rsidP="00D91013">
      <w:r w:rsidRPr="00883271">
        <w:t>The Review of the scheme, undertaken as part of Treasury</w:t>
      </w:r>
      <w:r w:rsidR="00BF0433">
        <w:t>’</w:t>
      </w:r>
      <w:r w:rsidRPr="00883271">
        <w:t xml:space="preserve">s broader Competition Review, found that since its introduction the scheme has had a material positive impact on competition, productivity and consumer choice, and has been associated with a 6.7 per cent increase in automotive repair sector turnover. While opportunities for greater engagement with the scheme amongst repairers remain, evidence presented to the Review identified reduced service refusals and improved customer satisfaction among engaged repairers. </w:t>
      </w:r>
    </w:p>
    <w:p w14:paraId="7E97275A" w14:textId="51941FEC" w:rsidR="000B1302" w:rsidRPr="00883271" w:rsidRDefault="000B1302" w:rsidP="00D91013">
      <w:r w:rsidRPr="00883271">
        <w:t xml:space="preserve">Scheme information was found to generally be available at fair prices, though there are some opportunities for enhancement to ensure information pricing remains accurate and transparent. Additional costs associated with hardware may also be increasing the real cost borne by repairers. The Review also identified that the scheme is broadly proving effective in regulating the supply of information. Practical challenges persist however, with minimum supply periods and timeframes for information provision presenting challenges in certain circumstances. </w:t>
      </w:r>
    </w:p>
    <w:p w14:paraId="606272A0" w14:textId="77777777" w:rsidR="000B1302" w:rsidRPr="00883271" w:rsidRDefault="000B1302" w:rsidP="00D91013">
      <w:r w:rsidRPr="00883271">
        <w:t>Right to repair frameworks, including in the automotive repair sector, are being progressed in a number of jurisdictions. Increased alignment with these international frameworks may support greater accessibility</w:t>
      </w:r>
      <w:r w:rsidRPr="00883271" w:rsidDel="001340F4">
        <w:t xml:space="preserve"> </w:t>
      </w:r>
      <w:r w:rsidRPr="00883271">
        <w:t>of information while reducing regulatory burden in Australia. The Review identified opportunities for improved alignment, including regarding the separation and regulation of safety information which is unique to Australia. While intended to safeguard consumers and repairers, stakeholders highlighted difficulties in separating safety information and meeting fit and proper person requirements. Addressing these challenges through targeted amendments could deliver further productivity gains across the sector while maintaining the existing level of protection for information of this kind.</w:t>
      </w:r>
    </w:p>
    <w:p w14:paraId="4396C382" w14:textId="2644D0A3" w:rsidR="000B1302" w:rsidRPr="00883271" w:rsidRDefault="000B1302" w:rsidP="00D91013">
      <w:r w:rsidRPr="00883271">
        <w:t>The treatment of intermediaries such as data aggregators and tool manufacturers under the scheme is also unique to the Australian context. Intermediaries play a vital role in disseminating scheme information and the scheme</w:t>
      </w:r>
      <w:r w:rsidR="00BF0433">
        <w:t>’</w:t>
      </w:r>
      <w:r w:rsidRPr="00883271">
        <w:t xml:space="preserve">s unique treatment of these entities increases costs and regulatory burden for businesses operating across borders. Recalibrating their treatment is likely to facilitate greater distribution of scheme information amongst repairers and may reduce the reliance on proprietary solutions and OEM portals which have, in some instances, been reported to cause delays in accessing information. </w:t>
      </w:r>
    </w:p>
    <w:p w14:paraId="73689BC6" w14:textId="75059D62" w:rsidR="000B1302" w:rsidRPr="00883271" w:rsidRDefault="000B1302" w:rsidP="00D91013">
      <w:r w:rsidRPr="00883271">
        <w:t>The scheme</w:t>
      </w:r>
      <w:r w:rsidR="00BF0433">
        <w:t>’</w:t>
      </w:r>
      <w:r w:rsidRPr="00883271">
        <w:t>s scope is broad but rapid technological changes in the automotive sector underscore the need for future proof regulatory settings. As the industry moves from hard copy to electronic logbooks it will be important to ensure that independent repairers and their customers are not disadvantaged through continued access to service records. Ongoing evaluation of aftermarket access to other categories of information, including in relation to telematics and automated driving systems, will be necessary to ensure the scheme</w:t>
      </w:r>
      <w:r w:rsidR="00BF0433">
        <w:t>’</w:t>
      </w:r>
      <w:r w:rsidRPr="00883271">
        <w:t>s benefits are maintained.</w:t>
      </w:r>
    </w:p>
    <w:p w14:paraId="09D723E7" w14:textId="35501DE4" w:rsidR="000B1302" w:rsidRPr="00883271" w:rsidRDefault="000B1302" w:rsidP="00D91013">
      <w:r w:rsidRPr="00883271">
        <w:lastRenderedPageBreak/>
        <w:t>Effective governance by the ACCC and the Scheme Adviser is central to the scheme</w:t>
      </w:r>
      <w:r w:rsidR="00BF0433">
        <w:t>’</w:t>
      </w:r>
      <w:r w:rsidRPr="00883271">
        <w:t>s success. While dispute resolution mechanisms are provided under the scheme, the use of these mechanisms and public enforcement outcomes have, to</w:t>
      </w:r>
      <w:r w:rsidR="00F816B1">
        <w:t xml:space="preserve"> </w:t>
      </w:r>
      <w:r w:rsidRPr="00883271">
        <w:t>date, been limited. Strengthening enforcement options and adapting reporting obligations may help build further trust in, and ensure consistent and ongoing compliance with, the scheme.</w:t>
      </w:r>
    </w:p>
    <w:p w14:paraId="68314103" w14:textId="053D02E5" w:rsidR="000B1302" w:rsidRPr="00D91013" w:rsidRDefault="000B1302" w:rsidP="00637889">
      <w:pPr>
        <w:spacing w:after="240"/>
      </w:pPr>
      <w:r w:rsidRPr="00883271">
        <w:t>The</w:t>
      </w:r>
      <w:r>
        <w:t xml:space="preserve"> </w:t>
      </w:r>
      <w:r w:rsidRPr="00883271">
        <w:t>Review</w:t>
      </w:r>
      <w:r w:rsidR="00BF0433">
        <w:t>’</w:t>
      </w:r>
      <w:r>
        <w:t>s findings</w:t>
      </w:r>
      <w:r w:rsidRPr="00883271">
        <w:t xml:space="preserve"> indicate that Australia</w:t>
      </w:r>
      <w:r w:rsidR="00BF0433">
        <w:t>’</w:t>
      </w:r>
      <w:r w:rsidRPr="00883271">
        <w:t>s first right to repair law is broadly realising its legislated objectives. This outcome has been possible because of close engagement with industry in the design and administration of the scheme. The findings of the Review also suggest that the scheme may serve as an appropriate framework for addressing similar challenges experienced across other sectors of the economy when appropriately calibrated to unique market contexts.</w:t>
      </w:r>
    </w:p>
    <w:tbl>
      <w:tblPr>
        <w:tblStyle w:val="TableGrid"/>
        <w:tblW w:w="5000" w:type="pct"/>
        <w:shd w:val="clear" w:color="auto" w:fill="FCEEE5" w:themeFill="accent6" w:themeFillTint="33"/>
        <w:tblCellMar>
          <w:top w:w="227" w:type="dxa"/>
          <w:left w:w="227" w:type="dxa"/>
          <w:bottom w:w="227" w:type="dxa"/>
          <w:right w:w="227" w:type="dxa"/>
        </w:tblCellMar>
        <w:tblLook w:val="0620" w:firstRow="1" w:lastRow="0" w:firstColumn="0" w:lastColumn="0" w:noHBand="1" w:noVBand="1"/>
      </w:tblPr>
      <w:tblGrid>
        <w:gridCol w:w="9072"/>
      </w:tblGrid>
      <w:tr w:rsidR="000B1302" w:rsidRPr="00883271" w14:paraId="3844D7B6" w14:textId="77777777" w:rsidTr="00076F29">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9FC"/>
          </w:tcPr>
          <w:p w14:paraId="62AFB296" w14:textId="4B13ABD9" w:rsidR="000B1302" w:rsidRPr="00D91013" w:rsidRDefault="000B1302" w:rsidP="00110D67">
            <w:pPr>
              <w:pStyle w:val="BoxHeading"/>
            </w:pPr>
            <w:r w:rsidRPr="00D91013">
              <w:t>Finding 11</w:t>
            </w:r>
          </w:p>
          <w:p w14:paraId="09630F0B" w14:textId="02F920B4" w:rsidR="000B1302" w:rsidRPr="00883271" w:rsidRDefault="000B1302" w:rsidP="00D91013">
            <w:pPr>
              <w:pStyle w:val="BoxText"/>
              <w:rPr>
                <w:sz w:val="17"/>
                <w:szCs w:val="17"/>
              </w:rPr>
            </w:pPr>
            <w:r w:rsidRPr="00883271">
              <w:t>The scheme's success to</w:t>
            </w:r>
            <w:r w:rsidR="00F816B1">
              <w:t xml:space="preserve"> </w:t>
            </w:r>
            <w:r w:rsidRPr="00883271">
              <w:t xml:space="preserve">date reflects strong collaboration across the Australian automotive sector. Ongoing effective </w:t>
            </w:r>
            <w:r w:rsidRPr="00D91013">
              <w:t>stewardship</w:t>
            </w:r>
            <w:r w:rsidRPr="00883271">
              <w:t xml:space="preserve"> of the scheme will require continued industry engagement to ensure the scheme remains responsive to market developments. </w:t>
            </w:r>
          </w:p>
        </w:tc>
      </w:tr>
    </w:tbl>
    <w:p w14:paraId="3C96D778" w14:textId="77777777" w:rsidR="00D91013" w:rsidRPr="00D91013" w:rsidRDefault="00D91013" w:rsidP="00D91013">
      <w:bookmarkStart w:id="97" w:name="_Toc211963337"/>
      <w:bookmarkStart w:id="98" w:name="_Toc213340415"/>
      <w:bookmarkStart w:id="99" w:name="_Toc204693016"/>
      <w:r w:rsidRPr="00D91013">
        <w:br w:type="page"/>
      </w:r>
    </w:p>
    <w:p w14:paraId="331ADF7D" w14:textId="0C1FD764" w:rsidR="000B1302" w:rsidRPr="00883271" w:rsidRDefault="000B1302" w:rsidP="00255C4E">
      <w:pPr>
        <w:pStyle w:val="Heading1"/>
      </w:pPr>
      <w:r w:rsidRPr="00883271">
        <w:lastRenderedPageBreak/>
        <w:t>Key terminology</w:t>
      </w:r>
      <w:bookmarkEnd w:id="97"/>
      <w:bookmarkEnd w:id="98"/>
    </w:p>
    <w:tbl>
      <w:tblPr>
        <w:tblStyle w:val="TableGrid"/>
        <w:tblW w:w="0" w:type="auto"/>
        <w:tblLook w:val="04A0" w:firstRow="1" w:lastRow="0" w:firstColumn="1" w:lastColumn="0" w:noHBand="0" w:noVBand="1"/>
      </w:tblPr>
      <w:tblGrid>
        <w:gridCol w:w="3186"/>
        <w:gridCol w:w="5454"/>
      </w:tblGrid>
      <w:tr w:rsidR="000B1302" w:rsidRPr="00883271" w14:paraId="4FDE2E1D" w14:textId="77777777" w:rsidTr="006A71C9">
        <w:trPr>
          <w:cnfStyle w:val="100000000000" w:firstRow="1" w:lastRow="0" w:firstColumn="0" w:lastColumn="0" w:oddVBand="0" w:evenVBand="0" w:oddHBand="0" w:evenHBand="0" w:firstRowFirstColumn="0" w:firstRowLastColumn="0" w:lastRowFirstColumn="0" w:lastRowLastColumn="0"/>
        </w:trPr>
        <w:tc>
          <w:tcPr>
            <w:tcW w:w="3186" w:type="dxa"/>
          </w:tcPr>
          <w:p w14:paraId="3C7177C7" w14:textId="77777777" w:rsidR="000B1302" w:rsidRPr="00D91013" w:rsidRDefault="000B1302" w:rsidP="00D91013">
            <w:pPr>
              <w:pStyle w:val="TableColumnHeadingLeft"/>
              <w:rPr>
                <w:b w:val="0"/>
                <w:bCs/>
              </w:rPr>
            </w:pPr>
            <w:r w:rsidRPr="00D91013">
              <w:rPr>
                <w:bCs/>
              </w:rPr>
              <w:t>Term</w:t>
            </w:r>
          </w:p>
        </w:tc>
        <w:tc>
          <w:tcPr>
            <w:tcW w:w="5454" w:type="dxa"/>
          </w:tcPr>
          <w:p w14:paraId="680CD898" w14:textId="77777777" w:rsidR="000B1302" w:rsidRPr="00D91013" w:rsidRDefault="000B1302" w:rsidP="00D91013">
            <w:pPr>
              <w:pStyle w:val="TableColumnHeadingLeft"/>
              <w:rPr>
                <w:b w:val="0"/>
                <w:bCs/>
              </w:rPr>
            </w:pPr>
            <w:r w:rsidRPr="00D91013">
              <w:rPr>
                <w:bCs/>
              </w:rPr>
              <w:t>Definition</w:t>
            </w:r>
          </w:p>
        </w:tc>
      </w:tr>
      <w:tr w:rsidR="000B1302" w:rsidRPr="00883271" w14:paraId="633879DE" w14:textId="77777777" w:rsidTr="006A71C9">
        <w:trPr>
          <w:cnfStyle w:val="000000100000" w:firstRow="0" w:lastRow="0" w:firstColumn="0" w:lastColumn="0" w:oddVBand="0" w:evenVBand="0" w:oddHBand="1" w:evenHBand="0" w:firstRowFirstColumn="0" w:firstRowLastColumn="0" w:lastRowFirstColumn="0" w:lastRowLastColumn="0"/>
        </w:trPr>
        <w:tc>
          <w:tcPr>
            <w:tcW w:w="3186" w:type="dxa"/>
          </w:tcPr>
          <w:p w14:paraId="199BE1C8" w14:textId="77777777" w:rsidR="000B1302" w:rsidRPr="00DE1B8B" w:rsidRDefault="000B1302" w:rsidP="00D91013">
            <w:pPr>
              <w:pStyle w:val="TableTextLeft"/>
            </w:pPr>
            <w:r w:rsidRPr="00DE1B8B">
              <w:t>The scheme</w:t>
            </w:r>
          </w:p>
        </w:tc>
        <w:tc>
          <w:tcPr>
            <w:tcW w:w="5454" w:type="dxa"/>
          </w:tcPr>
          <w:p w14:paraId="0C3187EE" w14:textId="77777777" w:rsidR="000B1302" w:rsidRPr="00DE1B8B" w:rsidRDefault="000B1302" w:rsidP="00D91013">
            <w:pPr>
              <w:pStyle w:val="TableTextLeft"/>
            </w:pPr>
            <w:r w:rsidRPr="00DE1B8B">
              <w:t>Motor Vehicle Service and Repair Information Sharing Scheme established under Part IVE of the Competition and Consumer Act 2010.</w:t>
            </w:r>
          </w:p>
        </w:tc>
      </w:tr>
      <w:tr w:rsidR="000B1302" w:rsidRPr="00883271" w14:paraId="7F71961C" w14:textId="77777777" w:rsidTr="006A71C9">
        <w:trPr>
          <w:cnfStyle w:val="000000010000" w:firstRow="0" w:lastRow="0" w:firstColumn="0" w:lastColumn="0" w:oddVBand="0" w:evenVBand="0" w:oddHBand="0" w:evenHBand="1" w:firstRowFirstColumn="0" w:firstRowLastColumn="0" w:lastRowFirstColumn="0" w:lastRowLastColumn="0"/>
        </w:trPr>
        <w:tc>
          <w:tcPr>
            <w:tcW w:w="3186" w:type="dxa"/>
          </w:tcPr>
          <w:p w14:paraId="08A833A3" w14:textId="77777777" w:rsidR="000B1302" w:rsidRPr="00DE1B8B" w:rsidRDefault="000B1302" w:rsidP="00D91013">
            <w:pPr>
              <w:pStyle w:val="TableTextLeft"/>
            </w:pPr>
            <w:r w:rsidRPr="00DE1B8B">
              <w:t>Scheme Information</w:t>
            </w:r>
          </w:p>
        </w:tc>
        <w:tc>
          <w:tcPr>
            <w:tcW w:w="5454" w:type="dxa"/>
          </w:tcPr>
          <w:p w14:paraId="37D19C9A" w14:textId="77777777" w:rsidR="000B1302" w:rsidRPr="00DE1B8B" w:rsidRDefault="000B1302" w:rsidP="00D91013">
            <w:pPr>
              <w:pStyle w:val="TableTextLeft"/>
            </w:pPr>
            <w:r w:rsidRPr="00DE1B8B">
              <w:t>Information required to be shared under the scheme, including repair manuals, wiring diagrams, software updates, and diagnostic codes.</w:t>
            </w:r>
          </w:p>
        </w:tc>
      </w:tr>
      <w:tr w:rsidR="000B1302" w:rsidRPr="00883271" w14:paraId="1E9CCA77" w14:textId="77777777" w:rsidTr="006A71C9">
        <w:trPr>
          <w:cnfStyle w:val="000000100000" w:firstRow="0" w:lastRow="0" w:firstColumn="0" w:lastColumn="0" w:oddVBand="0" w:evenVBand="0" w:oddHBand="1" w:evenHBand="0" w:firstRowFirstColumn="0" w:firstRowLastColumn="0" w:lastRowFirstColumn="0" w:lastRowLastColumn="0"/>
        </w:trPr>
        <w:tc>
          <w:tcPr>
            <w:tcW w:w="3186" w:type="dxa"/>
          </w:tcPr>
          <w:p w14:paraId="4398AC07" w14:textId="77777777" w:rsidR="000B1302" w:rsidRPr="00DE1B8B" w:rsidRDefault="000B1302" w:rsidP="00D91013">
            <w:pPr>
              <w:pStyle w:val="TableTextLeft"/>
            </w:pPr>
            <w:r w:rsidRPr="00DE1B8B">
              <w:t>Scheme Vehicle</w:t>
            </w:r>
          </w:p>
        </w:tc>
        <w:tc>
          <w:tcPr>
            <w:tcW w:w="5454" w:type="dxa"/>
          </w:tcPr>
          <w:p w14:paraId="530C6C1F" w14:textId="77777777" w:rsidR="000B1302" w:rsidRPr="00DE1B8B" w:rsidRDefault="000B1302" w:rsidP="00D91013">
            <w:pPr>
              <w:pStyle w:val="TableTextLeft"/>
            </w:pPr>
            <w:r w:rsidRPr="00DE1B8B">
              <w:t>Passenger and light goods vehicles manufactured on or after 1 January 2002, excluding motorcycles, heavy vehicles, and others.</w:t>
            </w:r>
          </w:p>
        </w:tc>
      </w:tr>
      <w:tr w:rsidR="000B1302" w:rsidRPr="00883271" w14:paraId="73F36CAC" w14:textId="77777777" w:rsidTr="006A71C9">
        <w:trPr>
          <w:cnfStyle w:val="000000010000" w:firstRow="0" w:lastRow="0" w:firstColumn="0" w:lastColumn="0" w:oddVBand="0" w:evenVBand="0" w:oddHBand="0" w:evenHBand="1" w:firstRowFirstColumn="0" w:firstRowLastColumn="0" w:lastRowFirstColumn="0" w:lastRowLastColumn="0"/>
        </w:trPr>
        <w:tc>
          <w:tcPr>
            <w:tcW w:w="3186" w:type="dxa"/>
          </w:tcPr>
          <w:p w14:paraId="000FEB9C" w14:textId="77777777" w:rsidR="000B1302" w:rsidRPr="00DE1B8B" w:rsidRDefault="000B1302" w:rsidP="00D91013">
            <w:pPr>
              <w:pStyle w:val="TableTextLeft"/>
            </w:pPr>
            <w:r w:rsidRPr="00DE1B8B">
              <w:t>Scheme Offer</w:t>
            </w:r>
          </w:p>
        </w:tc>
        <w:tc>
          <w:tcPr>
            <w:tcW w:w="5454" w:type="dxa"/>
          </w:tcPr>
          <w:p w14:paraId="7DCE71DF" w14:textId="77777777" w:rsidR="000B1302" w:rsidRPr="00DE1B8B" w:rsidRDefault="000B1302" w:rsidP="00D91013">
            <w:pPr>
              <w:pStyle w:val="TableTextLeft"/>
            </w:pPr>
            <w:r w:rsidRPr="00DE1B8B">
              <w:t>The offer made by a data provider to supply scheme information to Australian repairers and RTOs under regulated terms.</w:t>
            </w:r>
          </w:p>
        </w:tc>
      </w:tr>
      <w:tr w:rsidR="000B1302" w:rsidRPr="00883271" w14:paraId="519EDF4F" w14:textId="77777777" w:rsidTr="006A71C9">
        <w:trPr>
          <w:cnfStyle w:val="000000100000" w:firstRow="0" w:lastRow="0" w:firstColumn="0" w:lastColumn="0" w:oddVBand="0" w:evenVBand="0" w:oddHBand="1" w:evenHBand="0" w:firstRowFirstColumn="0" w:firstRowLastColumn="0" w:lastRowFirstColumn="0" w:lastRowLastColumn="0"/>
        </w:trPr>
        <w:tc>
          <w:tcPr>
            <w:tcW w:w="3186" w:type="dxa"/>
          </w:tcPr>
          <w:p w14:paraId="5C9D0947" w14:textId="77777777" w:rsidR="000B1302" w:rsidRPr="00DE1B8B" w:rsidRDefault="000B1302" w:rsidP="00D91013">
            <w:pPr>
              <w:pStyle w:val="TableTextLeft"/>
            </w:pPr>
            <w:r w:rsidRPr="00DE1B8B">
              <w:t>Fair Market Value</w:t>
            </w:r>
          </w:p>
        </w:tc>
        <w:tc>
          <w:tcPr>
            <w:tcW w:w="5454" w:type="dxa"/>
          </w:tcPr>
          <w:p w14:paraId="0F79E04F" w14:textId="77777777" w:rsidR="000B1302" w:rsidRPr="00DE1B8B" w:rsidRDefault="000B1302" w:rsidP="00D91013">
            <w:pPr>
              <w:pStyle w:val="TableTextLeft"/>
            </w:pPr>
            <w:r w:rsidRPr="00DE1B8B">
              <w:t>The maximum price at which scheme information can be supplied, based on factors such as cost recovery, demand, and international comparators.</w:t>
            </w:r>
          </w:p>
        </w:tc>
      </w:tr>
      <w:tr w:rsidR="000B1302" w:rsidRPr="00883271" w14:paraId="56188914" w14:textId="77777777" w:rsidTr="006A71C9">
        <w:trPr>
          <w:cnfStyle w:val="000000010000" w:firstRow="0" w:lastRow="0" w:firstColumn="0" w:lastColumn="0" w:oddVBand="0" w:evenVBand="0" w:oddHBand="0" w:evenHBand="1" w:firstRowFirstColumn="0" w:firstRowLastColumn="0" w:lastRowFirstColumn="0" w:lastRowLastColumn="0"/>
        </w:trPr>
        <w:tc>
          <w:tcPr>
            <w:tcW w:w="3186" w:type="dxa"/>
          </w:tcPr>
          <w:p w14:paraId="56E9C4C5" w14:textId="77777777" w:rsidR="000B1302" w:rsidRPr="00DE1B8B" w:rsidRDefault="000B1302" w:rsidP="00D91013">
            <w:pPr>
              <w:pStyle w:val="TableTextLeft"/>
            </w:pPr>
            <w:r w:rsidRPr="00DE1B8B">
              <w:t>Data Provider</w:t>
            </w:r>
          </w:p>
        </w:tc>
        <w:tc>
          <w:tcPr>
            <w:tcW w:w="5454" w:type="dxa"/>
          </w:tcPr>
          <w:p w14:paraId="612EA90F" w14:textId="77777777" w:rsidR="000B1302" w:rsidRPr="00DE1B8B" w:rsidRDefault="000B1302" w:rsidP="00D91013">
            <w:pPr>
              <w:pStyle w:val="TableTextLeft"/>
            </w:pPr>
            <w:r w:rsidRPr="00DE1B8B">
              <w:t>A person or corporation that controls or supplies scheme information, including OEMs, intermediaries, and tool manufacturers.</w:t>
            </w:r>
          </w:p>
        </w:tc>
      </w:tr>
      <w:tr w:rsidR="000B1302" w:rsidRPr="00883271" w14:paraId="113CA03F" w14:textId="77777777" w:rsidTr="006A71C9">
        <w:trPr>
          <w:cnfStyle w:val="000000100000" w:firstRow="0" w:lastRow="0" w:firstColumn="0" w:lastColumn="0" w:oddVBand="0" w:evenVBand="0" w:oddHBand="1" w:evenHBand="0" w:firstRowFirstColumn="0" w:firstRowLastColumn="0" w:lastRowFirstColumn="0" w:lastRowLastColumn="0"/>
        </w:trPr>
        <w:tc>
          <w:tcPr>
            <w:tcW w:w="3186" w:type="dxa"/>
          </w:tcPr>
          <w:p w14:paraId="064F9BF0" w14:textId="7B86798A" w:rsidR="000B1302" w:rsidRPr="00DE1B8B" w:rsidRDefault="000B1302" w:rsidP="00D91013">
            <w:pPr>
              <w:pStyle w:val="TableTextLeft"/>
            </w:pPr>
            <w:r w:rsidRPr="00DE1B8B">
              <w:t>Australian Repairer</w:t>
            </w:r>
          </w:p>
        </w:tc>
        <w:tc>
          <w:tcPr>
            <w:tcW w:w="5454" w:type="dxa"/>
          </w:tcPr>
          <w:p w14:paraId="371DE73B" w14:textId="77777777" w:rsidR="000B1302" w:rsidRPr="00DE1B8B" w:rsidRDefault="000B1302" w:rsidP="00D91013">
            <w:pPr>
              <w:pStyle w:val="TableTextLeft"/>
            </w:pPr>
            <w:r w:rsidRPr="00DE1B8B">
              <w:t>A person or business that diagnoses, repairs, services, modifies or dismantles scheme vehicles.</w:t>
            </w:r>
          </w:p>
        </w:tc>
      </w:tr>
      <w:tr w:rsidR="000B1302" w:rsidRPr="00883271" w14:paraId="4AF193B7" w14:textId="77777777" w:rsidTr="006A71C9">
        <w:trPr>
          <w:cnfStyle w:val="000000010000" w:firstRow="0" w:lastRow="0" w:firstColumn="0" w:lastColumn="0" w:oddVBand="0" w:evenVBand="0" w:oddHBand="0" w:evenHBand="1" w:firstRowFirstColumn="0" w:firstRowLastColumn="0" w:lastRowFirstColumn="0" w:lastRowLastColumn="0"/>
        </w:trPr>
        <w:tc>
          <w:tcPr>
            <w:tcW w:w="3186" w:type="dxa"/>
          </w:tcPr>
          <w:p w14:paraId="5DDC543F" w14:textId="77777777" w:rsidR="000B1302" w:rsidRPr="00DE1B8B" w:rsidRDefault="000B1302" w:rsidP="00D91013">
            <w:pPr>
              <w:pStyle w:val="TableTextLeft"/>
            </w:pPr>
            <w:r w:rsidRPr="00DE1B8B">
              <w:t>Scheme RTO</w:t>
            </w:r>
          </w:p>
        </w:tc>
        <w:tc>
          <w:tcPr>
            <w:tcW w:w="5454" w:type="dxa"/>
          </w:tcPr>
          <w:p w14:paraId="6898DA0A" w14:textId="77777777" w:rsidR="000B1302" w:rsidRPr="00DE1B8B" w:rsidRDefault="000B1302" w:rsidP="00D91013">
            <w:pPr>
              <w:pStyle w:val="TableTextLeft"/>
            </w:pPr>
            <w:r w:rsidRPr="00DE1B8B">
              <w:t>A registered training organisation that uses scheme information for training purposes.</w:t>
            </w:r>
          </w:p>
        </w:tc>
      </w:tr>
      <w:tr w:rsidR="000B1302" w:rsidRPr="00883271" w14:paraId="0D60F345" w14:textId="77777777" w:rsidTr="006A71C9">
        <w:trPr>
          <w:cnfStyle w:val="000000100000" w:firstRow="0" w:lastRow="0" w:firstColumn="0" w:lastColumn="0" w:oddVBand="0" w:evenVBand="0" w:oddHBand="1" w:evenHBand="0" w:firstRowFirstColumn="0" w:firstRowLastColumn="0" w:lastRowFirstColumn="0" w:lastRowLastColumn="0"/>
        </w:trPr>
        <w:tc>
          <w:tcPr>
            <w:tcW w:w="3186" w:type="dxa"/>
          </w:tcPr>
          <w:p w14:paraId="30BCA467" w14:textId="77777777" w:rsidR="000B1302" w:rsidRPr="00DE1B8B" w:rsidRDefault="000B1302" w:rsidP="00D91013">
            <w:pPr>
              <w:pStyle w:val="TableTextLeft"/>
            </w:pPr>
            <w:r w:rsidRPr="00DE1B8B">
              <w:t>Scheme Adviser</w:t>
            </w:r>
          </w:p>
        </w:tc>
        <w:tc>
          <w:tcPr>
            <w:tcW w:w="5454" w:type="dxa"/>
          </w:tcPr>
          <w:p w14:paraId="4FFBE3DA" w14:textId="4577C9B3" w:rsidR="000B1302" w:rsidRPr="00DE1B8B" w:rsidRDefault="000B1302" w:rsidP="00D91013">
            <w:pPr>
              <w:pStyle w:val="TableTextLeft"/>
            </w:pPr>
            <w:r w:rsidRPr="00DE1B8B">
              <w:t>The body appointed to oversee day</w:t>
            </w:r>
            <w:r w:rsidR="007B3C6A">
              <w:noBreakHyphen/>
            </w:r>
            <w:r w:rsidRPr="00DE1B8B">
              <w:t>to</w:t>
            </w:r>
            <w:r w:rsidR="007B3C6A">
              <w:noBreakHyphen/>
            </w:r>
            <w:r w:rsidRPr="00DE1B8B">
              <w:t>day scheme operations, currently the Australian Automotive Service and Repair Authority (AASRA).</w:t>
            </w:r>
          </w:p>
        </w:tc>
      </w:tr>
      <w:tr w:rsidR="000B1302" w:rsidRPr="00883271" w14:paraId="0383880E" w14:textId="77777777" w:rsidTr="006A71C9">
        <w:trPr>
          <w:cnfStyle w:val="000000010000" w:firstRow="0" w:lastRow="0" w:firstColumn="0" w:lastColumn="0" w:oddVBand="0" w:evenVBand="0" w:oddHBand="0" w:evenHBand="1" w:firstRowFirstColumn="0" w:firstRowLastColumn="0" w:lastRowFirstColumn="0" w:lastRowLastColumn="0"/>
        </w:trPr>
        <w:tc>
          <w:tcPr>
            <w:tcW w:w="3186" w:type="dxa"/>
          </w:tcPr>
          <w:p w14:paraId="5B616612" w14:textId="77777777" w:rsidR="000B1302" w:rsidRPr="00DE1B8B" w:rsidRDefault="000B1302" w:rsidP="00D91013">
            <w:pPr>
              <w:pStyle w:val="TableTextLeft"/>
            </w:pPr>
            <w:r w:rsidRPr="00DE1B8B">
              <w:t>Safety Information</w:t>
            </w:r>
          </w:p>
        </w:tc>
        <w:tc>
          <w:tcPr>
            <w:tcW w:w="5454" w:type="dxa"/>
          </w:tcPr>
          <w:p w14:paraId="4295AFBC" w14:textId="4C46D231" w:rsidR="000B1302" w:rsidRPr="00DE1B8B" w:rsidRDefault="000B1302" w:rsidP="00D91013">
            <w:pPr>
              <w:pStyle w:val="TableTextLeft"/>
            </w:pPr>
            <w:r w:rsidRPr="00DE1B8B">
              <w:t>Information relating to hydrogen systems, electric propulsion systems, high</w:t>
            </w:r>
            <w:r w:rsidR="007B3C6A">
              <w:noBreakHyphen/>
            </w:r>
            <w:r w:rsidRPr="00DE1B8B">
              <w:t>voltage systems, and connected systems.</w:t>
            </w:r>
          </w:p>
        </w:tc>
      </w:tr>
      <w:tr w:rsidR="000B1302" w:rsidRPr="00883271" w14:paraId="2344230E" w14:textId="77777777" w:rsidTr="006A71C9">
        <w:trPr>
          <w:cnfStyle w:val="000000100000" w:firstRow="0" w:lastRow="0" w:firstColumn="0" w:lastColumn="0" w:oddVBand="0" w:evenVBand="0" w:oddHBand="1" w:evenHBand="0" w:firstRowFirstColumn="0" w:firstRowLastColumn="0" w:lastRowFirstColumn="0" w:lastRowLastColumn="0"/>
        </w:trPr>
        <w:tc>
          <w:tcPr>
            <w:tcW w:w="3186" w:type="dxa"/>
          </w:tcPr>
          <w:p w14:paraId="680742DF" w14:textId="77777777" w:rsidR="000B1302" w:rsidRPr="00DE1B8B" w:rsidRDefault="000B1302" w:rsidP="00D91013">
            <w:pPr>
              <w:pStyle w:val="TableTextLeft"/>
            </w:pPr>
            <w:r w:rsidRPr="00DE1B8B">
              <w:t>Security Information</w:t>
            </w:r>
          </w:p>
        </w:tc>
        <w:tc>
          <w:tcPr>
            <w:tcW w:w="5454" w:type="dxa"/>
          </w:tcPr>
          <w:p w14:paraId="799D5148" w14:textId="4D5D1D9E" w:rsidR="000B1302" w:rsidRPr="00DE1B8B" w:rsidRDefault="000B1302" w:rsidP="00D91013">
            <w:pPr>
              <w:pStyle w:val="TableTextLeft"/>
            </w:pPr>
            <w:r w:rsidRPr="00DE1B8B">
              <w:t>Information unique to a vehicle or time</w:t>
            </w:r>
            <w:r w:rsidR="007B3C6A">
              <w:noBreakHyphen/>
            </w:r>
            <w:r w:rsidRPr="00DE1B8B">
              <w:t>limited, such as key codes or immobiliser data.</w:t>
            </w:r>
          </w:p>
        </w:tc>
      </w:tr>
      <w:tr w:rsidR="000B1302" w:rsidRPr="00883271" w14:paraId="44CD4973" w14:textId="77777777" w:rsidTr="006A71C9">
        <w:trPr>
          <w:cnfStyle w:val="000000010000" w:firstRow="0" w:lastRow="0" w:firstColumn="0" w:lastColumn="0" w:oddVBand="0" w:evenVBand="0" w:oddHBand="0" w:evenHBand="1" w:firstRowFirstColumn="0" w:firstRowLastColumn="0" w:lastRowFirstColumn="0" w:lastRowLastColumn="0"/>
        </w:trPr>
        <w:tc>
          <w:tcPr>
            <w:tcW w:w="3186" w:type="dxa"/>
          </w:tcPr>
          <w:p w14:paraId="08019925" w14:textId="77777777" w:rsidR="000B1302" w:rsidRPr="00DE1B8B" w:rsidRDefault="000B1302" w:rsidP="00D91013">
            <w:pPr>
              <w:pStyle w:val="TableTextLeft"/>
            </w:pPr>
            <w:r w:rsidRPr="00DE1B8B">
              <w:t>Fit and Proper Person Test</w:t>
            </w:r>
          </w:p>
        </w:tc>
        <w:tc>
          <w:tcPr>
            <w:tcW w:w="5454" w:type="dxa"/>
          </w:tcPr>
          <w:p w14:paraId="405CD7BD" w14:textId="77777777" w:rsidR="000B1302" w:rsidRPr="00DE1B8B" w:rsidRDefault="000B1302" w:rsidP="00D91013">
            <w:pPr>
              <w:pStyle w:val="TableTextLeft"/>
            </w:pPr>
            <w:r w:rsidRPr="00DE1B8B">
              <w:t>Criteria that must be met to access safety or security information, including training and police checks.</w:t>
            </w:r>
          </w:p>
        </w:tc>
      </w:tr>
      <w:tr w:rsidR="000B1302" w:rsidRPr="00883271" w14:paraId="524BC65F" w14:textId="77777777" w:rsidTr="006A71C9">
        <w:trPr>
          <w:cnfStyle w:val="000000100000" w:firstRow="0" w:lastRow="0" w:firstColumn="0" w:lastColumn="0" w:oddVBand="0" w:evenVBand="0" w:oddHBand="1" w:evenHBand="0" w:firstRowFirstColumn="0" w:firstRowLastColumn="0" w:lastRowFirstColumn="0" w:lastRowLastColumn="0"/>
        </w:trPr>
        <w:tc>
          <w:tcPr>
            <w:tcW w:w="3186" w:type="dxa"/>
          </w:tcPr>
          <w:p w14:paraId="128787D0" w14:textId="77777777" w:rsidR="000B1302" w:rsidRPr="00DE1B8B" w:rsidRDefault="000B1302" w:rsidP="00D91013">
            <w:pPr>
              <w:pStyle w:val="TableTextLeft"/>
            </w:pPr>
            <w:r w:rsidRPr="00DE1B8B">
              <w:t>Diagnostic Hardware</w:t>
            </w:r>
          </w:p>
        </w:tc>
        <w:tc>
          <w:tcPr>
            <w:tcW w:w="5454" w:type="dxa"/>
          </w:tcPr>
          <w:p w14:paraId="7471F187" w14:textId="0400994B" w:rsidR="000B1302" w:rsidRPr="00DE1B8B" w:rsidRDefault="000B1302" w:rsidP="00D91013">
            <w:pPr>
              <w:pStyle w:val="TableTextLeft"/>
            </w:pPr>
            <w:r w:rsidRPr="00DE1B8B">
              <w:t>Physical tools used to interface with vehicle systems, such as scan tools or pass</w:t>
            </w:r>
            <w:r w:rsidR="007B3C6A">
              <w:noBreakHyphen/>
            </w:r>
            <w:r w:rsidRPr="00DE1B8B">
              <w:t>through devices.</w:t>
            </w:r>
          </w:p>
        </w:tc>
      </w:tr>
      <w:tr w:rsidR="000B1302" w:rsidRPr="00883271" w14:paraId="301F5B8B" w14:textId="77777777" w:rsidTr="006A71C9">
        <w:trPr>
          <w:cnfStyle w:val="000000010000" w:firstRow="0" w:lastRow="0" w:firstColumn="0" w:lastColumn="0" w:oddVBand="0" w:evenVBand="0" w:oddHBand="0" w:evenHBand="1" w:firstRowFirstColumn="0" w:firstRowLastColumn="0" w:lastRowFirstColumn="0" w:lastRowLastColumn="0"/>
        </w:trPr>
        <w:tc>
          <w:tcPr>
            <w:tcW w:w="3186" w:type="dxa"/>
          </w:tcPr>
          <w:p w14:paraId="40060DF1" w14:textId="77777777" w:rsidR="000B1302" w:rsidRPr="00DE1B8B" w:rsidRDefault="000B1302" w:rsidP="00D91013">
            <w:pPr>
              <w:pStyle w:val="TableTextLeft"/>
            </w:pPr>
            <w:r w:rsidRPr="00DE1B8B">
              <w:t>ADAS</w:t>
            </w:r>
          </w:p>
        </w:tc>
        <w:tc>
          <w:tcPr>
            <w:tcW w:w="5454" w:type="dxa"/>
          </w:tcPr>
          <w:p w14:paraId="4351B1D0" w14:textId="3A6C9876" w:rsidR="000B1302" w:rsidRPr="00DE1B8B" w:rsidRDefault="000B1302" w:rsidP="00D91013">
            <w:pPr>
              <w:pStyle w:val="TableTextLeft"/>
            </w:pPr>
            <w:r w:rsidRPr="00DE1B8B">
              <w:t>Advanced Driver Assistance Systems – driver support features such as lane</w:t>
            </w:r>
            <w:r w:rsidR="007B3C6A">
              <w:noBreakHyphen/>
            </w:r>
            <w:r w:rsidRPr="00DE1B8B">
              <w:t>keeping assist and emergency braking.</w:t>
            </w:r>
          </w:p>
        </w:tc>
      </w:tr>
      <w:tr w:rsidR="000B1302" w:rsidRPr="00883271" w14:paraId="106D885A" w14:textId="77777777" w:rsidTr="006A71C9">
        <w:trPr>
          <w:cnfStyle w:val="000000100000" w:firstRow="0" w:lastRow="0" w:firstColumn="0" w:lastColumn="0" w:oddVBand="0" w:evenVBand="0" w:oddHBand="1" w:evenHBand="0" w:firstRowFirstColumn="0" w:firstRowLastColumn="0" w:lastRowFirstColumn="0" w:lastRowLastColumn="0"/>
        </w:trPr>
        <w:tc>
          <w:tcPr>
            <w:tcW w:w="3186" w:type="dxa"/>
          </w:tcPr>
          <w:p w14:paraId="3E07BB50" w14:textId="77777777" w:rsidR="000B1302" w:rsidRPr="00DE1B8B" w:rsidRDefault="000B1302" w:rsidP="00D91013">
            <w:pPr>
              <w:pStyle w:val="TableTextLeft"/>
            </w:pPr>
            <w:r w:rsidRPr="00DE1B8B">
              <w:t>ADS</w:t>
            </w:r>
          </w:p>
        </w:tc>
        <w:tc>
          <w:tcPr>
            <w:tcW w:w="5454" w:type="dxa"/>
          </w:tcPr>
          <w:p w14:paraId="49A9C168" w14:textId="77777777" w:rsidR="000B1302" w:rsidRPr="00DE1B8B" w:rsidRDefault="000B1302" w:rsidP="00D91013">
            <w:pPr>
              <w:pStyle w:val="TableTextLeft"/>
            </w:pPr>
            <w:r w:rsidRPr="00DE1B8B">
              <w:t>Automated Driving Systems – systems rated SAE Level 3 or higher that perform the entire driving task under certain conditions.</w:t>
            </w:r>
          </w:p>
        </w:tc>
      </w:tr>
      <w:tr w:rsidR="000B1302" w:rsidRPr="00883271" w14:paraId="5D3C5725" w14:textId="77777777" w:rsidTr="006A71C9">
        <w:trPr>
          <w:cnfStyle w:val="000000010000" w:firstRow="0" w:lastRow="0" w:firstColumn="0" w:lastColumn="0" w:oddVBand="0" w:evenVBand="0" w:oddHBand="0" w:evenHBand="1" w:firstRowFirstColumn="0" w:firstRowLastColumn="0" w:lastRowFirstColumn="0" w:lastRowLastColumn="0"/>
        </w:trPr>
        <w:tc>
          <w:tcPr>
            <w:tcW w:w="3186" w:type="dxa"/>
          </w:tcPr>
          <w:p w14:paraId="5514A8CE" w14:textId="77777777" w:rsidR="000B1302" w:rsidRPr="00DE1B8B" w:rsidRDefault="000B1302" w:rsidP="00D91013">
            <w:pPr>
              <w:pStyle w:val="TableTextLeft"/>
            </w:pPr>
            <w:r w:rsidRPr="00DE1B8B">
              <w:t>OEM</w:t>
            </w:r>
          </w:p>
        </w:tc>
        <w:tc>
          <w:tcPr>
            <w:tcW w:w="5454" w:type="dxa"/>
          </w:tcPr>
          <w:p w14:paraId="149CC4F3" w14:textId="77777777" w:rsidR="000B1302" w:rsidRPr="00DE1B8B" w:rsidRDefault="000B1302" w:rsidP="00D91013">
            <w:pPr>
              <w:pStyle w:val="TableTextLeft"/>
            </w:pPr>
            <w:r w:rsidRPr="00DE1B8B">
              <w:t xml:space="preserve">Original Equipment Manufacturer – a company that produces vehicles or vehicle components and supplies them under its own brand name. </w:t>
            </w:r>
          </w:p>
        </w:tc>
      </w:tr>
    </w:tbl>
    <w:p w14:paraId="579D5BA1" w14:textId="77777777" w:rsidR="00637889" w:rsidRDefault="00637889">
      <w:pPr>
        <w:spacing w:before="0" w:after="160" w:line="259" w:lineRule="auto"/>
        <w:rPr>
          <w:sz w:val="21"/>
          <w:szCs w:val="21"/>
        </w:rPr>
      </w:pPr>
      <w:r>
        <w:rPr>
          <w:sz w:val="21"/>
          <w:szCs w:val="21"/>
        </w:rPr>
        <w:br w:type="page"/>
      </w:r>
    </w:p>
    <w:p w14:paraId="32A1A96A" w14:textId="77777777" w:rsidR="00637889" w:rsidRPr="00883271" w:rsidRDefault="00637889" w:rsidP="00637889">
      <w:pPr>
        <w:pStyle w:val="Heading1"/>
        <w:spacing w:before="0"/>
      </w:pPr>
      <w:bookmarkStart w:id="100" w:name="_Toc211963338"/>
      <w:bookmarkStart w:id="101" w:name="_Toc213340416"/>
      <w:r w:rsidRPr="00883271">
        <w:lastRenderedPageBreak/>
        <w:t xml:space="preserve">Appendix A – </w:t>
      </w:r>
      <w:r w:rsidRPr="00D91013">
        <w:t>Survey</w:t>
      </w:r>
      <w:r w:rsidRPr="00883271">
        <w:t xml:space="preserve"> </w:t>
      </w:r>
      <w:bookmarkEnd w:id="100"/>
      <w:r w:rsidRPr="00883271">
        <w:t>results</w:t>
      </w:r>
      <w:bookmarkEnd w:id="101"/>
      <w:r w:rsidRPr="00883271">
        <w:t xml:space="preserve"> </w:t>
      </w:r>
    </w:p>
    <w:p w14:paraId="7EED1CFF" w14:textId="6F5B2366" w:rsidR="00637889" w:rsidRPr="00883271" w:rsidRDefault="00637889" w:rsidP="00637889">
      <w:r w:rsidRPr="00883271">
        <w:t xml:space="preserve">As part of public consultation, Treasury undertook a survey on the Treasury website. The survey was open </w:t>
      </w:r>
      <w:r>
        <w:t xml:space="preserve">from </w:t>
      </w:r>
      <w:r w:rsidRPr="00883271">
        <w:t>30 June 2025 to 4 August 2025 and the target audience was automotive repairers. Respondents were given the opportunity to either complete a short survey of eight single and multiple response questions, as well as a final free text response question exploring their experience accessing information under the scheme. Alternatively, respondents were able to elect to skip directly to the free text question. All questions were non</w:t>
      </w:r>
      <w:r w:rsidR="007B3C6A">
        <w:noBreakHyphen/>
      </w:r>
      <w:r w:rsidRPr="00883271">
        <w:t>compulsory and able to be skipped by a respondent.</w:t>
      </w:r>
    </w:p>
    <w:p w14:paraId="697E6C81" w14:textId="77C0C0DE" w:rsidR="00637889" w:rsidRPr="00883271" w:rsidRDefault="00637889" w:rsidP="00637889">
      <w:r w:rsidRPr="00883271">
        <w:t>This was a self</w:t>
      </w:r>
      <w:r w:rsidR="007B3C6A">
        <w:noBreakHyphen/>
      </w:r>
      <w:r w:rsidRPr="00883271">
        <w:t>selecting survey, and no incentives were offered to respondents to encourage completion, responses are anonymous. No post</w:t>
      </w:r>
      <w:r w:rsidR="007B3C6A">
        <w:noBreakHyphen/>
      </w:r>
      <w:r w:rsidRPr="00883271">
        <w:t>survey sampling adjustments were undertaken to improve representation to the total population. Given the self</w:t>
      </w:r>
      <w:r w:rsidR="007B3C6A">
        <w:noBreakHyphen/>
      </w:r>
      <w:r w:rsidRPr="00883271">
        <w:t>selecting nature of the sample the existence of a sampling bias cannot be precluded, however given the intention of the survey to support the consultation process and the high number of responses received, Treasury considers it appropriate to draw inferences from the survey in conjunction with other sources of information and feedback.</w:t>
      </w:r>
    </w:p>
    <w:p w14:paraId="32157318" w14:textId="6AE64B10" w:rsidR="00637889" w:rsidRDefault="00637889" w:rsidP="00637889">
      <w:r w:rsidRPr="00883271">
        <w:t>In total, the Review received 325 survey responses. Of these, 8 responses were excluded from quantitative analyses as respondents fell outside of the target audience. The feedback provided by these responses was still considered as part of the broader analysis conducted by the Review. Of the remaining responses, 9 opted to skip the survey and provide general feedback to the free text question only. These responses provided were considered along with other free</w:t>
      </w:r>
      <w:r w:rsidR="007B3C6A">
        <w:noBreakHyphen/>
      </w:r>
      <w:r w:rsidRPr="00883271">
        <w:t>text responses. A total of 308 survey responses were considered as part of quantitative analysis, and the results are presented in the tables below.</w:t>
      </w:r>
    </w:p>
    <w:p w14:paraId="1DE3E52A" w14:textId="77777777" w:rsidR="000B1302" w:rsidRPr="00883271" w:rsidRDefault="000B1302">
      <w:pPr>
        <w:spacing w:before="0" w:after="160" w:line="259" w:lineRule="auto"/>
        <w:rPr>
          <w:sz w:val="21"/>
          <w:szCs w:val="21"/>
        </w:rPr>
        <w:sectPr w:rsidR="000B1302" w:rsidRPr="00883271" w:rsidSect="00A6726C">
          <w:pgSz w:w="11906" w:h="16838" w:code="9"/>
          <w:pgMar w:top="1843" w:right="1417" w:bottom="1417" w:left="1417" w:header="709" w:footer="709" w:gutter="0"/>
          <w:cols w:space="708"/>
          <w:docGrid w:linePitch="360"/>
        </w:sectPr>
      </w:pPr>
    </w:p>
    <w:p w14:paraId="51C0F1D7" w14:textId="77777777" w:rsidR="00D91013" w:rsidRDefault="00D91013" w:rsidP="00637889">
      <w:pPr>
        <w:pStyle w:val="TableMainHeading"/>
        <w:spacing w:before="0"/>
      </w:pPr>
      <w:r w:rsidRPr="00883271">
        <w:lastRenderedPageBreak/>
        <w:t>Approximately how many vehicles does your business diagnose, repair, service, modify or dismantle each month?</w:t>
      </w:r>
    </w:p>
    <w:tbl>
      <w:tblPr>
        <w:tblStyle w:val="TableGrid"/>
        <w:tblW w:w="5000" w:type="pct"/>
        <w:jc w:val="center"/>
        <w:tblLayout w:type="fixed"/>
        <w:tblCellMar>
          <w:left w:w="113" w:type="dxa"/>
          <w:right w:w="113" w:type="dxa"/>
        </w:tblCellMar>
        <w:tblLook w:val="04A0" w:firstRow="1" w:lastRow="0" w:firstColumn="1" w:lastColumn="0" w:noHBand="0" w:noVBand="1"/>
      </w:tblPr>
      <w:tblGrid>
        <w:gridCol w:w="2037"/>
        <w:gridCol w:w="1018"/>
        <w:gridCol w:w="728"/>
        <w:gridCol w:w="1018"/>
        <w:gridCol w:w="1018"/>
        <w:gridCol w:w="1454"/>
        <w:gridCol w:w="1018"/>
        <w:gridCol w:w="1134"/>
        <w:gridCol w:w="1134"/>
        <w:gridCol w:w="1135"/>
        <w:gridCol w:w="731"/>
        <w:gridCol w:w="955"/>
        <w:gridCol w:w="622"/>
      </w:tblGrid>
      <w:tr w:rsidR="00D91013" w:rsidRPr="00883271" w14:paraId="051540A6" w14:textId="77777777" w:rsidTr="0002544C">
        <w:trPr>
          <w:cnfStyle w:val="100000000000" w:firstRow="1" w:lastRow="0" w:firstColumn="0" w:lastColumn="0" w:oddVBand="0" w:evenVBand="0" w:oddHBand="0" w:evenHBand="0" w:firstRowFirstColumn="0" w:firstRowLastColumn="0" w:lastRowFirstColumn="0" w:lastRowLastColumn="0"/>
          <w:jc w:val="center"/>
        </w:trPr>
        <w:tc>
          <w:tcPr>
            <w:tcW w:w="1975" w:type="dxa"/>
            <w:tcBorders>
              <w:top w:val="single" w:sz="4" w:space="0" w:color="auto"/>
              <w:bottom w:val="single" w:sz="4" w:space="0" w:color="auto"/>
            </w:tcBorders>
          </w:tcPr>
          <w:p w14:paraId="77D3253E" w14:textId="77777777" w:rsidR="00D91013" w:rsidRPr="00D91013" w:rsidRDefault="00D91013" w:rsidP="00637889">
            <w:pPr>
              <w:pStyle w:val="TableColumnHeadingRight"/>
              <w:spacing w:before="30" w:after="30"/>
              <w:rPr>
                <w:sz w:val="18"/>
                <w:szCs w:val="18"/>
              </w:rPr>
            </w:pPr>
          </w:p>
        </w:tc>
        <w:tc>
          <w:tcPr>
            <w:tcW w:w="1693" w:type="dxa"/>
            <w:gridSpan w:val="2"/>
            <w:tcBorders>
              <w:top w:val="single" w:sz="4" w:space="0" w:color="auto"/>
              <w:bottom w:val="single" w:sz="4" w:space="0" w:color="auto"/>
              <w:right w:val="single" w:sz="4" w:space="0" w:color="auto"/>
            </w:tcBorders>
            <w:vAlign w:val="center"/>
          </w:tcPr>
          <w:p w14:paraId="7A48A2FF" w14:textId="77777777" w:rsidR="00D91013" w:rsidRPr="00D91013" w:rsidRDefault="00D91013" w:rsidP="00637889">
            <w:pPr>
              <w:pStyle w:val="TableColumnHeadingCentred"/>
              <w:spacing w:before="30" w:after="30"/>
              <w:rPr>
                <w:b w:val="0"/>
                <w:sz w:val="18"/>
                <w:szCs w:val="18"/>
              </w:rPr>
            </w:pPr>
            <w:r w:rsidRPr="00D91013">
              <w:rPr>
                <w:sz w:val="18"/>
                <w:szCs w:val="18"/>
              </w:rPr>
              <w:t>Vehicles repaired per month</w:t>
            </w:r>
          </w:p>
        </w:tc>
        <w:tc>
          <w:tcPr>
            <w:tcW w:w="3384" w:type="dxa"/>
            <w:gridSpan w:val="3"/>
            <w:tcBorders>
              <w:top w:val="single" w:sz="4" w:space="0" w:color="auto"/>
              <w:left w:val="single" w:sz="4" w:space="0" w:color="auto"/>
              <w:bottom w:val="single" w:sz="4" w:space="0" w:color="auto"/>
              <w:right w:val="single" w:sz="4" w:space="0" w:color="auto"/>
            </w:tcBorders>
            <w:vAlign w:val="center"/>
          </w:tcPr>
          <w:p w14:paraId="4FA20AFE" w14:textId="77777777" w:rsidR="00D91013" w:rsidRPr="00D91013" w:rsidRDefault="00D91013" w:rsidP="00637889">
            <w:pPr>
              <w:pStyle w:val="TableColumnHeadingCentred"/>
              <w:spacing w:before="30" w:after="30"/>
              <w:rPr>
                <w:b w:val="0"/>
                <w:sz w:val="18"/>
                <w:szCs w:val="18"/>
              </w:rPr>
            </w:pPr>
            <w:r w:rsidRPr="00D91013">
              <w:rPr>
                <w:sz w:val="18"/>
                <w:szCs w:val="18"/>
              </w:rPr>
              <w:t>Type of Repairer</w:t>
            </w:r>
          </w:p>
        </w:tc>
        <w:tc>
          <w:tcPr>
            <w:tcW w:w="4288" w:type="dxa"/>
            <w:gridSpan w:val="4"/>
            <w:tcBorders>
              <w:top w:val="single" w:sz="4" w:space="0" w:color="auto"/>
              <w:left w:val="single" w:sz="4" w:space="0" w:color="auto"/>
              <w:bottom w:val="single" w:sz="4" w:space="0" w:color="auto"/>
              <w:right w:val="single" w:sz="4" w:space="0" w:color="auto"/>
            </w:tcBorders>
            <w:vAlign w:val="center"/>
          </w:tcPr>
          <w:p w14:paraId="168CA3F1" w14:textId="77777777" w:rsidR="00D91013" w:rsidRPr="00D91013" w:rsidRDefault="00D91013" w:rsidP="00637889">
            <w:pPr>
              <w:pStyle w:val="TableColumnHeadingCentred"/>
              <w:spacing w:before="30" w:after="30"/>
              <w:rPr>
                <w:b w:val="0"/>
                <w:sz w:val="18"/>
                <w:szCs w:val="18"/>
              </w:rPr>
            </w:pPr>
            <w:r w:rsidRPr="00D91013">
              <w:rPr>
                <w:sz w:val="18"/>
                <w:szCs w:val="18"/>
              </w:rPr>
              <w:t>Business size</w:t>
            </w:r>
          </w:p>
        </w:tc>
        <w:tc>
          <w:tcPr>
            <w:tcW w:w="1635" w:type="dxa"/>
            <w:gridSpan w:val="2"/>
            <w:tcBorders>
              <w:top w:val="single" w:sz="4" w:space="0" w:color="auto"/>
              <w:left w:val="single" w:sz="4" w:space="0" w:color="auto"/>
              <w:bottom w:val="single" w:sz="4" w:space="0" w:color="auto"/>
              <w:right w:val="single" w:sz="4" w:space="0" w:color="auto"/>
            </w:tcBorders>
            <w:vAlign w:val="center"/>
          </w:tcPr>
          <w:p w14:paraId="2C7A1D15" w14:textId="77777777" w:rsidR="00D91013" w:rsidRPr="00D91013" w:rsidRDefault="00D91013" w:rsidP="00637889">
            <w:pPr>
              <w:pStyle w:val="TableColumnHeadingCentred"/>
              <w:spacing w:before="30" w:after="30"/>
              <w:rPr>
                <w:b w:val="0"/>
                <w:sz w:val="18"/>
                <w:szCs w:val="18"/>
              </w:rPr>
            </w:pPr>
            <w:r w:rsidRPr="00D91013">
              <w:rPr>
                <w:sz w:val="18"/>
                <w:szCs w:val="18"/>
              </w:rPr>
              <w:t>Location</w:t>
            </w:r>
          </w:p>
        </w:tc>
        <w:tc>
          <w:tcPr>
            <w:tcW w:w="603" w:type="dxa"/>
            <w:vMerge w:val="restart"/>
            <w:tcBorders>
              <w:top w:val="single" w:sz="4" w:space="0" w:color="auto"/>
              <w:left w:val="single" w:sz="4" w:space="0" w:color="auto"/>
            </w:tcBorders>
            <w:vAlign w:val="center"/>
          </w:tcPr>
          <w:p w14:paraId="63BA81DF" w14:textId="77777777" w:rsidR="00D91013" w:rsidRPr="00D91013" w:rsidRDefault="00D91013" w:rsidP="00637889">
            <w:pPr>
              <w:pStyle w:val="TableColumnHeadingRight"/>
              <w:spacing w:before="30" w:after="30"/>
              <w:rPr>
                <w:b w:val="0"/>
                <w:bCs/>
                <w:sz w:val="18"/>
                <w:szCs w:val="18"/>
              </w:rPr>
            </w:pPr>
            <w:r w:rsidRPr="00D91013">
              <w:rPr>
                <w:bCs/>
                <w:sz w:val="18"/>
                <w:szCs w:val="18"/>
              </w:rPr>
              <w:t>Total</w:t>
            </w:r>
          </w:p>
        </w:tc>
      </w:tr>
      <w:tr w:rsidR="00664208" w:rsidRPr="00883271" w14:paraId="615ACE27" w14:textId="77777777" w:rsidTr="0002544C">
        <w:trPr>
          <w:cnfStyle w:val="000000100000" w:firstRow="0" w:lastRow="0" w:firstColumn="0" w:lastColumn="0" w:oddVBand="0" w:evenVBand="0" w:oddHBand="1" w:evenHBand="0" w:firstRowFirstColumn="0" w:firstRowLastColumn="0" w:lastRowFirstColumn="0" w:lastRowLastColumn="0"/>
          <w:trHeight w:val="501"/>
          <w:jc w:val="center"/>
        </w:trPr>
        <w:tc>
          <w:tcPr>
            <w:tcW w:w="1975" w:type="dxa"/>
            <w:tcBorders>
              <w:top w:val="single" w:sz="4" w:space="0" w:color="auto"/>
              <w:bottom w:val="single" w:sz="4" w:space="0" w:color="auto"/>
            </w:tcBorders>
            <w:shd w:val="clear" w:color="auto" w:fill="EEEEEE" w:themeFill="background2"/>
          </w:tcPr>
          <w:p w14:paraId="1B5DE4B7" w14:textId="77777777" w:rsidR="00D91013" w:rsidRPr="00D91013" w:rsidRDefault="00D91013" w:rsidP="00637889">
            <w:pPr>
              <w:pStyle w:val="TableColumnHeadingRight"/>
              <w:spacing w:before="30" w:after="30"/>
              <w:rPr>
                <w:sz w:val="18"/>
                <w:szCs w:val="18"/>
              </w:rPr>
            </w:pPr>
          </w:p>
        </w:tc>
        <w:tc>
          <w:tcPr>
            <w:tcW w:w="987" w:type="dxa"/>
            <w:tcBorders>
              <w:top w:val="single" w:sz="4" w:space="0" w:color="auto"/>
              <w:bottom w:val="single" w:sz="4" w:space="0" w:color="auto"/>
            </w:tcBorders>
            <w:shd w:val="clear" w:color="auto" w:fill="EEEEEE" w:themeFill="background2"/>
            <w:vAlign w:val="center"/>
          </w:tcPr>
          <w:p w14:paraId="7C1C1419" w14:textId="488DA843" w:rsidR="00D91013" w:rsidRPr="00D91013" w:rsidRDefault="00D91013" w:rsidP="00637889">
            <w:pPr>
              <w:pStyle w:val="TableColumnHeadingRight"/>
              <w:spacing w:before="30" w:after="30"/>
              <w:rPr>
                <w:sz w:val="18"/>
                <w:szCs w:val="18"/>
              </w:rPr>
            </w:pPr>
            <w:r w:rsidRPr="00D91013">
              <w:rPr>
                <w:bCs/>
                <w:sz w:val="18"/>
                <w:szCs w:val="18"/>
              </w:rPr>
              <w:t>Less than</w:t>
            </w:r>
            <w:r w:rsidR="0002544C">
              <w:rPr>
                <w:bCs/>
                <w:sz w:val="18"/>
                <w:szCs w:val="18"/>
              </w:rPr>
              <w:t xml:space="preserve"> </w:t>
            </w:r>
            <w:r w:rsidRPr="00D91013">
              <w:rPr>
                <w:bCs/>
                <w:sz w:val="18"/>
                <w:szCs w:val="18"/>
              </w:rPr>
              <w:t>100</w:t>
            </w:r>
          </w:p>
        </w:tc>
        <w:tc>
          <w:tcPr>
            <w:tcW w:w="706" w:type="dxa"/>
            <w:tcBorders>
              <w:top w:val="single" w:sz="4" w:space="0" w:color="auto"/>
              <w:bottom w:val="single" w:sz="4" w:space="0" w:color="auto"/>
              <w:right w:val="single" w:sz="4" w:space="0" w:color="auto"/>
            </w:tcBorders>
            <w:shd w:val="clear" w:color="auto" w:fill="EEEEEE" w:themeFill="background2"/>
            <w:vAlign w:val="center"/>
          </w:tcPr>
          <w:p w14:paraId="5C3BF832" w14:textId="77777777" w:rsidR="00D91013" w:rsidRPr="00D91013" w:rsidRDefault="00D91013" w:rsidP="00637889">
            <w:pPr>
              <w:pStyle w:val="TableColumnHeadingRight"/>
              <w:spacing w:before="30" w:after="30"/>
              <w:rPr>
                <w:sz w:val="18"/>
                <w:szCs w:val="18"/>
              </w:rPr>
            </w:pPr>
            <w:r w:rsidRPr="00D91013">
              <w:rPr>
                <w:bCs/>
                <w:sz w:val="18"/>
                <w:szCs w:val="18"/>
              </w:rPr>
              <w:t>100 or more</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03AD6C69" w14:textId="77777777" w:rsidR="00D91013" w:rsidRPr="00D91013" w:rsidRDefault="00D91013" w:rsidP="00637889">
            <w:pPr>
              <w:pStyle w:val="TableColumnHeadingRight"/>
              <w:spacing w:before="30" w:after="30"/>
              <w:rPr>
                <w:sz w:val="18"/>
                <w:szCs w:val="18"/>
              </w:rPr>
            </w:pPr>
            <w:r w:rsidRPr="00D91013">
              <w:rPr>
                <w:bCs/>
                <w:sz w:val="18"/>
                <w:szCs w:val="18"/>
              </w:rPr>
              <w:t>Generalist</w:t>
            </w:r>
          </w:p>
        </w:tc>
        <w:tc>
          <w:tcPr>
            <w:tcW w:w="987" w:type="dxa"/>
            <w:tcBorders>
              <w:top w:val="single" w:sz="4" w:space="0" w:color="auto"/>
              <w:bottom w:val="single" w:sz="4" w:space="0" w:color="auto"/>
            </w:tcBorders>
            <w:shd w:val="clear" w:color="auto" w:fill="EEEEEE" w:themeFill="background2"/>
            <w:vAlign w:val="center"/>
          </w:tcPr>
          <w:p w14:paraId="2F24AE3E" w14:textId="2138C4CB" w:rsidR="00D91013" w:rsidRPr="00D91013" w:rsidRDefault="00D91013" w:rsidP="00637889">
            <w:pPr>
              <w:pStyle w:val="TableColumnHeadingRight"/>
              <w:spacing w:before="30" w:after="30"/>
              <w:rPr>
                <w:sz w:val="18"/>
                <w:szCs w:val="18"/>
              </w:rPr>
            </w:pPr>
            <w:r w:rsidRPr="00D91013">
              <w:rPr>
                <w:bCs/>
                <w:sz w:val="18"/>
                <w:szCs w:val="18"/>
              </w:rPr>
              <w:t xml:space="preserve">Specialist </w:t>
            </w:r>
            <w:r w:rsidR="007B3C6A">
              <w:rPr>
                <w:bCs/>
                <w:sz w:val="18"/>
                <w:szCs w:val="18"/>
              </w:rPr>
              <w:noBreakHyphen/>
            </w:r>
            <w:r w:rsidRPr="00D91013">
              <w:rPr>
                <w:bCs/>
                <w:sz w:val="18"/>
                <w:szCs w:val="18"/>
              </w:rPr>
              <w:t xml:space="preserve"> regional</w:t>
            </w:r>
          </w:p>
        </w:tc>
        <w:tc>
          <w:tcPr>
            <w:tcW w:w="1410" w:type="dxa"/>
            <w:tcBorders>
              <w:top w:val="single" w:sz="4" w:space="0" w:color="auto"/>
              <w:bottom w:val="single" w:sz="4" w:space="0" w:color="auto"/>
              <w:right w:val="single" w:sz="4" w:space="0" w:color="auto"/>
            </w:tcBorders>
            <w:shd w:val="clear" w:color="auto" w:fill="EEEEEE" w:themeFill="background2"/>
            <w:vAlign w:val="center"/>
          </w:tcPr>
          <w:p w14:paraId="2D3D5FE9" w14:textId="1BB09718" w:rsidR="00D91013" w:rsidRPr="00D91013" w:rsidRDefault="00D91013" w:rsidP="00637889">
            <w:pPr>
              <w:pStyle w:val="TableColumnHeadingRight"/>
              <w:spacing w:before="30" w:after="30"/>
              <w:rPr>
                <w:sz w:val="18"/>
                <w:szCs w:val="18"/>
              </w:rPr>
            </w:pPr>
            <w:r w:rsidRPr="00D91013">
              <w:rPr>
                <w:bCs/>
                <w:sz w:val="18"/>
                <w:szCs w:val="18"/>
              </w:rPr>
              <w:t xml:space="preserve">Specialist </w:t>
            </w:r>
            <w:r w:rsidR="007B3C6A">
              <w:rPr>
                <w:bCs/>
                <w:sz w:val="18"/>
                <w:szCs w:val="18"/>
              </w:rPr>
              <w:noBreakHyphen/>
            </w:r>
            <w:r w:rsidRPr="00D91013">
              <w:rPr>
                <w:bCs/>
                <w:sz w:val="18"/>
                <w:szCs w:val="18"/>
              </w:rPr>
              <w:t xml:space="preserve"> one / limited makes</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269529E4" w14:textId="77777777" w:rsidR="00D91013" w:rsidRPr="00D91013" w:rsidRDefault="00D91013" w:rsidP="00637889">
            <w:pPr>
              <w:pStyle w:val="TableColumnHeadingRight"/>
              <w:spacing w:before="30" w:after="30"/>
              <w:rPr>
                <w:sz w:val="18"/>
                <w:szCs w:val="18"/>
              </w:rPr>
            </w:pPr>
            <w:r w:rsidRPr="00D91013">
              <w:rPr>
                <w:bCs/>
                <w:sz w:val="18"/>
                <w:szCs w:val="18"/>
              </w:rPr>
              <w:t>Owner operator</w:t>
            </w:r>
          </w:p>
        </w:tc>
        <w:tc>
          <w:tcPr>
            <w:tcW w:w="1100" w:type="dxa"/>
            <w:tcBorders>
              <w:top w:val="single" w:sz="4" w:space="0" w:color="auto"/>
              <w:bottom w:val="single" w:sz="4" w:space="0" w:color="auto"/>
            </w:tcBorders>
            <w:shd w:val="clear" w:color="auto" w:fill="EEEEEE" w:themeFill="background2"/>
            <w:vAlign w:val="center"/>
          </w:tcPr>
          <w:p w14:paraId="4374C4CD" w14:textId="77777777" w:rsidR="00D91013" w:rsidRPr="00D91013" w:rsidRDefault="00D91013" w:rsidP="00637889">
            <w:pPr>
              <w:pStyle w:val="TableColumnHeadingRight"/>
              <w:spacing w:before="30" w:after="30"/>
              <w:rPr>
                <w:sz w:val="18"/>
                <w:szCs w:val="18"/>
              </w:rPr>
            </w:pPr>
            <w:r w:rsidRPr="00D91013">
              <w:rPr>
                <w:bCs/>
                <w:sz w:val="18"/>
                <w:szCs w:val="18"/>
              </w:rPr>
              <w:t>1 to 4 employees</w:t>
            </w:r>
          </w:p>
        </w:tc>
        <w:tc>
          <w:tcPr>
            <w:tcW w:w="1100" w:type="dxa"/>
            <w:tcBorders>
              <w:top w:val="single" w:sz="4" w:space="0" w:color="auto"/>
              <w:bottom w:val="single" w:sz="4" w:space="0" w:color="auto"/>
            </w:tcBorders>
            <w:shd w:val="clear" w:color="auto" w:fill="EEEEEE" w:themeFill="background2"/>
            <w:vAlign w:val="center"/>
          </w:tcPr>
          <w:p w14:paraId="71AED66B" w14:textId="77777777" w:rsidR="00D91013" w:rsidRPr="00D91013" w:rsidRDefault="00D91013" w:rsidP="00637889">
            <w:pPr>
              <w:pStyle w:val="TableColumnHeadingRight"/>
              <w:spacing w:before="30" w:after="30"/>
              <w:rPr>
                <w:sz w:val="18"/>
                <w:szCs w:val="18"/>
              </w:rPr>
            </w:pPr>
            <w:r w:rsidRPr="00D91013">
              <w:rPr>
                <w:bCs/>
                <w:sz w:val="18"/>
                <w:szCs w:val="18"/>
              </w:rPr>
              <w:t>5 to 19 employees</w:t>
            </w:r>
          </w:p>
        </w:tc>
        <w:tc>
          <w:tcPr>
            <w:tcW w:w="1101" w:type="dxa"/>
            <w:tcBorders>
              <w:top w:val="single" w:sz="4" w:space="0" w:color="auto"/>
              <w:bottom w:val="single" w:sz="4" w:space="0" w:color="auto"/>
              <w:right w:val="single" w:sz="4" w:space="0" w:color="auto"/>
            </w:tcBorders>
            <w:shd w:val="clear" w:color="auto" w:fill="EEEEEE" w:themeFill="background2"/>
            <w:vAlign w:val="center"/>
          </w:tcPr>
          <w:p w14:paraId="5B64C0EE" w14:textId="77777777" w:rsidR="00D91013" w:rsidRPr="00D91013" w:rsidRDefault="00D91013" w:rsidP="00637889">
            <w:pPr>
              <w:pStyle w:val="TableColumnHeadingRight"/>
              <w:spacing w:before="30" w:after="30"/>
              <w:rPr>
                <w:sz w:val="18"/>
                <w:szCs w:val="18"/>
              </w:rPr>
            </w:pPr>
            <w:r w:rsidRPr="00D91013">
              <w:rPr>
                <w:bCs/>
                <w:sz w:val="18"/>
                <w:szCs w:val="18"/>
              </w:rPr>
              <w:t>20 or more employees</w:t>
            </w:r>
          </w:p>
        </w:tc>
        <w:tc>
          <w:tcPr>
            <w:tcW w:w="709" w:type="dxa"/>
            <w:tcBorders>
              <w:top w:val="single" w:sz="4" w:space="0" w:color="auto"/>
              <w:left w:val="single" w:sz="4" w:space="0" w:color="auto"/>
              <w:bottom w:val="single" w:sz="4" w:space="0" w:color="auto"/>
            </w:tcBorders>
            <w:shd w:val="clear" w:color="auto" w:fill="EEEEEE" w:themeFill="background2"/>
            <w:vAlign w:val="center"/>
          </w:tcPr>
          <w:p w14:paraId="434A4041" w14:textId="77777777" w:rsidR="00D91013" w:rsidRPr="00D91013" w:rsidRDefault="00D91013" w:rsidP="00637889">
            <w:pPr>
              <w:pStyle w:val="TableColumnHeadingRight"/>
              <w:spacing w:before="30" w:after="30"/>
              <w:rPr>
                <w:sz w:val="18"/>
                <w:szCs w:val="18"/>
              </w:rPr>
            </w:pPr>
            <w:r w:rsidRPr="00D91013">
              <w:rPr>
                <w:bCs/>
                <w:sz w:val="18"/>
                <w:szCs w:val="18"/>
              </w:rPr>
              <w:t>Metro</w:t>
            </w:r>
          </w:p>
        </w:tc>
        <w:tc>
          <w:tcPr>
            <w:tcW w:w="926" w:type="dxa"/>
            <w:tcBorders>
              <w:top w:val="single" w:sz="4" w:space="0" w:color="auto"/>
              <w:bottom w:val="single" w:sz="4" w:space="0" w:color="auto"/>
              <w:right w:val="single" w:sz="4" w:space="0" w:color="auto"/>
            </w:tcBorders>
            <w:shd w:val="clear" w:color="auto" w:fill="EEEEEE" w:themeFill="background2"/>
            <w:vAlign w:val="center"/>
          </w:tcPr>
          <w:p w14:paraId="128FD6A2" w14:textId="77777777" w:rsidR="00D91013" w:rsidRPr="00D91013" w:rsidRDefault="00D91013" w:rsidP="00637889">
            <w:pPr>
              <w:pStyle w:val="TableColumnHeadingRight"/>
              <w:spacing w:before="30" w:after="30"/>
              <w:rPr>
                <w:sz w:val="18"/>
                <w:szCs w:val="18"/>
              </w:rPr>
            </w:pPr>
            <w:r w:rsidRPr="00D91013">
              <w:rPr>
                <w:bCs/>
                <w:sz w:val="18"/>
                <w:szCs w:val="18"/>
              </w:rPr>
              <w:t>Regional</w:t>
            </w:r>
          </w:p>
        </w:tc>
        <w:tc>
          <w:tcPr>
            <w:tcW w:w="603" w:type="dxa"/>
            <w:vMerge/>
            <w:tcBorders>
              <w:left w:val="single" w:sz="4" w:space="0" w:color="auto"/>
              <w:bottom w:val="single" w:sz="4" w:space="0" w:color="auto"/>
            </w:tcBorders>
            <w:shd w:val="clear" w:color="auto" w:fill="EEEEEE" w:themeFill="background2"/>
            <w:vAlign w:val="center"/>
          </w:tcPr>
          <w:p w14:paraId="3329B03C" w14:textId="77777777" w:rsidR="00D91013" w:rsidRPr="00D91013" w:rsidRDefault="00D91013" w:rsidP="00637889">
            <w:pPr>
              <w:pStyle w:val="TableColumnHeadingRight"/>
              <w:spacing w:before="30" w:after="30"/>
              <w:rPr>
                <w:bCs/>
                <w:sz w:val="18"/>
                <w:szCs w:val="18"/>
              </w:rPr>
            </w:pPr>
          </w:p>
        </w:tc>
      </w:tr>
      <w:tr w:rsidR="00D91013" w:rsidRPr="00883271" w14:paraId="5D026181" w14:textId="77777777" w:rsidTr="0002544C">
        <w:trPr>
          <w:cnfStyle w:val="000000010000" w:firstRow="0" w:lastRow="0" w:firstColumn="0" w:lastColumn="0" w:oddVBand="0" w:evenVBand="0" w:oddHBand="0" w:evenHBand="1" w:firstRowFirstColumn="0" w:firstRowLastColumn="0" w:lastRowFirstColumn="0" w:lastRowLastColumn="0"/>
          <w:trHeight w:val="20"/>
          <w:jc w:val="center"/>
        </w:trPr>
        <w:tc>
          <w:tcPr>
            <w:tcW w:w="1975" w:type="dxa"/>
            <w:tcBorders>
              <w:top w:val="single" w:sz="4" w:space="0" w:color="auto"/>
            </w:tcBorders>
            <w:vAlign w:val="center"/>
          </w:tcPr>
          <w:p w14:paraId="73A39EA2" w14:textId="2C809FAF" w:rsidR="00D91013" w:rsidRPr="00D91013" w:rsidRDefault="00D91013" w:rsidP="00637889">
            <w:pPr>
              <w:pStyle w:val="TableTextLeft"/>
              <w:spacing w:before="30" w:after="30"/>
              <w:rPr>
                <w:b/>
                <w:bCs/>
              </w:rPr>
            </w:pPr>
            <w:r w:rsidRPr="00D91013">
              <w:rPr>
                <w:b/>
                <w:bCs/>
              </w:rPr>
              <w:t>Less than 100</w:t>
            </w:r>
          </w:p>
        </w:tc>
        <w:tc>
          <w:tcPr>
            <w:tcW w:w="987" w:type="dxa"/>
            <w:tcBorders>
              <w:top w:val="single" w:sz="4" w:space="0" w:color="auto"/>
            </w:tcBorders>
            <w:vAlign w:val="center"/>
          </w:tcPr>
          <w:p w14:paraId="67099F57" w14:textId="5D7ABA63" w:rsidR="00D91013" w:rsidRPr="00883271" w:rsidRDefault="00D91013" w:rsidP="00637889">
            <w:pPr>
              <w:pStyle w:val="TableTextRight"/>
              <w:spacing w:before="30" w:after="30"/>
            </w:pPr>
            <w:r w:rsidRPr="00883271">
              <w:t>100%</w:t>
            </w:r>
          </w:p>
        </w:tc>
        <w:tc>
          <w:tcPr>
            <w:tcW w:w="706" w:type="dxa"/>
            <w:tcBorders>
              <w:top w:val="single" w:sz="4" w:space="0" w:color="auto"/>
              <w:right w:val="single" w:sz="4" w:space="0" w:color="auto"/>
            </w:tcBorders>
            <w:vAlign w:val="center"/>
          </w:tcPr>
          <w:p w14:paraId="7732BB6C" w14:textId="484D628C" w:rsidR="00D91013" w:rsidRPr="00883271" w:rsidRDefault="00D91013" w:rsidP="00637889">
            <w:pPr>
              <w:pStyle w:val="TableTextRight"/>
              <w:spacing w:before="30" w:after="30"/>
            </w:pPr>
            <w:r w:rsidRPr="00883271">
              <w:t>0%</w:t>
            </w:r>
          </w:p>
        </w:tc>
        <w:tc>
          <w:tcPr>
            <w:tcW w:w="987" w:type="dxa"/>
            <w:tcBorders>
              <w:top w:val="single" w:sz="4" w:space="0" w:color="auto"/>
              <w:left w:val="single" w:sz="4" w:space="0" w:color="auto"/>
            </w:tcBorders>
            <w:vAlign w:val="center"/>
          </w:tcPr>
          <w:p w14:paraId="704D10DF" w14:textId="5BCA74FE" w:rsidR="00D91013" w:rsidRPr="00883271" w:rsidRDefault="00D91013" w:rsidP="00637889">
            <w:pPr>
              <w:pStyle w:val="TableTextRight"/>
              <w:spacing w:before="30" w:after="30"/>
            </w:pPr>
            <w:r w:rsidRPr="00883271">
              <w:t>56%</w:t>
            </w:r>
          </w:p>
        </w:tc>
        <w:tc>
          <w:tcPr>
            <w:tcW w:w="987" w:type="dxa"/>
            <w:tcBorders>
              <w:top w:val="single" w:sz="4" w:space="0" w:color="auto"/>
            </w:tcBorders>
            <w:vAlign w:val="center"/>
          </w:tcPr>
          <w:p w14:paraId="578D37EB" w14:textId="00F70FD7" w:rsidR="00D91013" w:rsidRPr="00883271" w:rsidRDefault="00D91013" w:rsidP="00637889">
            <w:pPr>
              <w:pStyle w:val="TableTextRight"/>
              <w:spacing w:before="30" w:after="30"/>
            </w:pPr>
            <w:r w:rsidRPr="00883271">
              <w:t>70%</w:t>
            </w:r>
          </w:p>
        </w:tc>
        <w:tc>
          <w:tcPr>
            <w:tcW w:w="1410" w:type="dxa"/>
            <w:tcBorders>
              <w:top w:val="single" w:sz="4" w:space="0" w:color="auto"/>
              <w:right w:val="single" w:sz="4" w:space="0" w:color="auto"/>
            </w:tcBorders>
            <w:vAlign w:val="center"/>
          </w:tcPr>
          <w:p w14:paraId="5FA7046A" w14:textId="21275D3C" w:rsidR="00D91013" w:rsidRPr="00883271" w:rsidRDefault="00D91013" w:rsidP="00637889">
            <w:pPr>
              <w:pStyle w:val="TableTextRight"/>
              <w:spacing w:before="30" w:after="30"/>
            </w:pPr>
            <w:r w:rsidRPr="00883271">
              <w:t>60%</w:t>
            </w:r>
          </w:p>
        </w:tc>
        <w:tc>
          <w:tcPr>
            <w:tcW w:w="987" w:type="dxa"/>
            <w:tcBorders>
              <w:top w:val="single" w:sz="4" w:space="0" w:color="auto"/>
              <w:left w:val="single" w:sz="4" w:space="0" w:color="auto"/>
            </w:tcBorders>
            <w:vAlign w:val="center"/>
          </w:tcPr>
          <w:p w14:paraId="256152BE" w14:textId="7E308E20" w:rsidR="00D91013" w:rsidRPr="00883271" w:rsidRDefault="00D91013" w:rsidP="00637889">
            <w:pPr>
              <w:pStyle w:val="TableTextRight"/>
              <w:spacing w:before="30" w:after="30"/>
            </w:pPr>
            <w:r w:rsidRPr="00883271">
              <w:t>92%</w:t>
            </w:r>
          </w:p>
        </w:tc>
        <w:tc>
          <w:tcPr>
            <w:tcW w:w="1100" w:type="dxa"/>
            <w:tcBorders>
              <w:top w:val="single" w:sz="4" w:space="0" w:color="auto"/>
            </w:tcBorders>
            <w:vAlign w:val="center"/>
          </w:tcPr>
          <w:p w14:paraId="21AFFCA5" w14:textId="27C96A55" w:rsidR="00D91013" w:rsidRPr="00883271" w:rsidRDefault="00D91013" w:rsidP="00637889">
            <w:pPr>
              <w:pStyle w:val="TableTextRight"/>
              <w:spacing w:before="30" w:after="30"/>
            </w:pPr>
            <w:r w:rsidRPr="00883271">
              <w:t>79%</w:t>
            </w:r>
          </w:p>
        </w:tc>
        <w:tc>
          <w:tcPr>
            <w:tcW w:w="1100" w:type="dxa"/>
            <w:tcBorders>
              <w:top w:val="single" w:sz="4" w:space="0" w:color="auto"/>
            </w:tcBorders>
            <w:vAlign w:val="center"/>
          </w:tcPr>
          <w:p w14:paraId="777C1390" w14:textId="7501151E" w:rsidR="00D91013" w:rsidRPr="00883271" w:rsidRDefault="00D91013" w:rsidP="00637889">
            <w:pPr>
              <w:pStyle w:val="TableTextRight"/>
              <w:spacing w:before="30" w:after="30"/>
            </w:pPr>
            <w:r w:rsidRPr="00883271">
              <w:t>41%</w:t>
            </w:r>
          </w:p>
        </w:tc>
        <w:tc>
          <w:tcPr>
            <w:tcW w:w="1101" w:type="dxa"/>
            <w:tcBorders>
              <w:top w:val="single" w:sz="4" w:space="0" w:color="auto"/>
              <w:right w:val="single" w:sz="4" w:space="0" w:color="auto"/>
            </w:tcBorders>
            <w:vAlign w:val="center"/>
          </w:tcPr>
          <w:p w14:paraId="6E078268" w14:textId="459422B9" w:rsidR="00D91013" w:rsidRPr="00883271" w:rsidRDefault="00D91013" w:rsidP="00637889">
            <w:pPr>
              <w:pStyle w:val="TableTextRight"/>
              <w:spacing w:before="30" w:after="30"/>
            </w:pPr>
            <w:r w:rsidRPr="00883271">
              <w:t>34%</w:t>
            </w:r>
          </w:p>
        </w:tc>
        <w:tc>
          <w:tcPr>
            <w:tcW w:w="709" w:type="dxa"/>
            <w:tcBorders>
              <w:top w:val="single" w:sz="4" w:space="0" w:color="auto"/>
              <w:left w:val="single" w:sz="4" w:space="0" w:color="auto"/>
            </w:tcBorders>
            <w:vAlign w:val="center"/>
          </w:tcPr>
          <w:p w14:paraId="3122BCCE" w14:textId="5F04F2BD" w:rsidR="00D91013" w:rsidRPr="00883271" w:rsidRDefault="00D91013" w:rsidP="00637889">
            <w:pPr>
              <w:pStyle w:val="TableTextRight"/>
              <w:spacing w:before="30" w:after="30"/>
            </w:pPr>
            <w:r w:rsidRPr="00883271">
              <w:t>56%</w:t>
            </w:r>
          </w:p>
        </w:tc>
        <w:tc>
          <w:tcPr>
            <w:tcW w:w="926" w:type="dxa"/>
            <w:tcBorders>
              <w:top w:val="single" w:sz="4" w:space="0" w:color="auto"/>
              <w:right w:val="single" w:sz="4" w:space="0" w:color="auto"/>
            </w:tcBorders>
            <w:vAlign w:val="center"/>
          </w:tcPr>
          <w:p w14:paraId="1CB1E967" w14:textId="5BE12D33" w:rsidR="00D91013" w:rsidRPr="00883271" w:rsidRDefault="00D91013" w:rsidP="00637889">
            <w:pPr>
              <w:pStyle w:val="TableTextRight"/>
              <w:spacing w:before="30" w:after="30"/>
            </w:pPr>
            <w:r w:rsidRPr="00883271">
              <w:t>61%</w:t>
            </w:r>
          </w:p>
        </w:tc>
        <w:tc>
          <w:tcPr>
            <w:tcW w:w="603" w:type="dxa"/>
            <w:tcBorders>
              <w:top w:val="single" w:sz="4" w:space="0" w:color="auto"/>
              <w:left w:val="single" w:sz="4" w:space="0" w:color="auto"/>
            </w:tcBorders>
            <w:vAlign w:val="center"/>
          </w:tcPr>
          <w:p w14:paraId="7053E197" w14:textId="688FF6FC" w:rsidR="00D91013" w:rsidRPr="00D91013" w:rsidRDefault="00D91013" w:rsidP="00637889">
            <w:pPr>
              <w:pStyle w:val="TableTextRight"/>
              <w:spacing w:before="30" w:after="30"/>
              <w:rPr>
                <w:b/>
                <w:bCs/>
              </w:rPr>
            </w:pPr>
            <w:r w:rsidRPr="00D91013">
              <w:rPr>
                <w:b/>
                <w:bCs/>
              </w:rPr>
              <w:t>59%</w:t>
            </w:r>
          </w:p>
        </w:tc>
      </w:tr>
      <w:tr w:rsidR="00D91013" w:rsidRPr="00883271" w14:paraId="1855FAB0" w14:textId="77777777" w:rsidTr="0002544C">
        <w:trPr>
          <w:cnfStyle w:val="000000100000" w:firstRow="0" w:lastRow="0" w:firstColumn="0" w:lastColumn="0" w:oddVBand="0" w:evenVBand="0" w:oddHBand="1" w:evenHBand="0" w:firstRowFirstColumn="0" w:firstRowLastColumn="0" w:lastRowFirstColumn="0" w:lastRowLastColumn="0"/>
          <w:trHeight w:val="20"/>
          <w:jc w:val="center"/>
        </w:trPr>
        <w:tc>
          <w:tcPr>
            <w:tcW w:w="1975" w:type="dxa"/>
            <w:vAlign w:val="center"/>
          </w:tcPr>
          <w:p w14:paraId="3F63713F" w14:textId="76030C3E" w:rsidR="00D91013" w:rsidRPr="00D91013" w:rsidRDefault="00D91013" w:rsidP="00637889">
            <w:pPr>
              <w:pStyle w:val="TableTextLeft"/>
              <w:spacing w:before="30" w:after="30"/>
              <w:rPr>
                <w:b/>
                <w:bCs/>
              </w:rPr>
            </w:pPr>
            <w:r w:rsidRPr="00D91013">
              <w:rPr>
                <w:b/>
                <w:bCs/>
              </w:rPr>
              <w:t>100 or more</w:t>
            </w:r>
          </w:p>
        </w:tc>
        <w:tc>
          <w:tcPr>
            <w:tcW w:w="987" w:type="dxa"/>
            <w:vAlign w:val="center"/>
          </w:tcPr>
          <w:p w14:paraId="64FC607E" w14:textId="6DF99989" w:rsidR="00D91013" w:rsidRPr="00883271" w:rsidRDefault="00D91013" w:rsidP="00637889">
            <w:pPr>
              <w:pStyle w:val="TableTextRight"/>
              <w:spacing w:before="30" w:after="30"/>
            </w:pPr>
            <w:r w:rsidRPr="00883271">
              <w:t>0%</w:t>
            </w:r>
          </w:p>
        </w:tc>
        <w:tc>
          <w:tcPr>
            <w:tcW w:w="706" w:type="dxa"/>
            <w:tcBorders>
              <w:right w:val="single" w:sz="4" w:space="0" w:color="auto"/>
            </w:tcBorders>
            <w:vAlign w:val="center"/>
          </w:tcPr>
          <w:p w14:paraId="410E9D1C" w14:textId="1B841615" w:rsidR="00D91013" w:rsidRPr="00883271" w:rsidRDefault="00D91013" w:rsidP="00637889">
            <w:pPr>
              <w:pStyle w:val="TableTextRight"/>
              <w:spacing w:before="30" w:after="30"/>
            </w:pPr>
            <w:r w:rsidRPr="00883271">
              <w:t>100%</w:t>
            </w:r>
          </w:p>
        </w:tc>
        <w:tc>
          <w:tcPr>
            <w:tcW w:w="987" w:type="dxa"/>
            <w:tcBorders>
              <w:left w:val="single" w:sz="4" w:space="0" w:color="auto"/>
            </w:tcBorders>
            <w:vAlign w:val="center"/>
          </w:tcPr>
          <w:p w14:paraId="68AE251E" w14:textId="354FDA1A" w:rsidR="00D91013" w:rsidRPr="00883271" w:rsidRDefault="00D91013" w:rsidP="00637889">
            <w:pPr>
              <w:pStyle w:val="TableTextRight"/>
              <w:spacing w:before="30" w:after="30"/>
            </w:pPr>
            <w:r w:rsidRPr="00883271">
              <w:t>42%</w:t>
            </w:r>
          </w:p>
        </w:tc>
        <w:tc>
          <w:tcPr>
            <w:tcW w:w="987" w:type="dxa"/>
            <w:vAlign w:val="center"/>
          </w:tcPr>
          <w:p w14:paraId="7BD2E9F4" w14:textId="536EF34E" w:rsidR="00D91013" w:rsidRPr="00883271" w:rsidRDefault="00D91013" w:rsidP="00637889">
            <w:pPr>
              <w:pStyle w:val="TableTextRight"/>
              <w:spacing w:before="30" w:after="30"/>
            </w:pPr>
            <w:r w:rsidRPr="00883271">
              <w:t>30%</w:t>
            </w:r>
          </w:p>
        </w:tc>
        <w:tc>
          <w:tcPr>
            <w:tcW w:w="1410" w:type="dxa"/>
            <w:tcBorders>
              <w:right w:val="single" w:sz="4" w:space="0" w:color="auto"/>
            </w:tcBorders>
            <w:vAlign w:val="center"/>
          </w:tcPr>
          <w:p w14:paraId="656631B8" w14:textId="6278EBB3" w:rsidR="00D91013" w:rsidRPr="00883271" w:rsidRDefault="00D91013" w:rsidP="00637889">
            <w:pPr>
              <w:pStyle w:val="TableTextRight"/>
              <w:spacing w:before="30" w:after="30"/>
            </w:pPr>
            <w:r w:rsidRPr="00883271">
              <w:t>40%</w:t>
            </w:r>
          </w:p>
        </w:tc>
        <w:tc>
          <w:tcPr>
            <w:tcW w:w="987" w:type="dxa"/>
            <w:tcBorders>
              <w:left w:val="single" w:sz="4" w:space="0" w:color="auto"/>
            </w:tcBorders>
            <w:vAlign w:val="center"/>
          </w:tcPr>
          <w:p w14:paraId="1C8E5842" w14:textId="53F70F3D" w:rsidR="00D91013" w:rsidRPr="00883271" w:rsidRDefault="00D91013" w:rsidP="00637889">
            <w:pPr>
              <w:pStyle w:val="TableTextRight"/>
              <w:spacing w:before="30" w:after="30"/>
            </w:pPr>
            <w:r w:rsidRPr="00883271">
              <w:t>5%</w:t>
            </w:r>
          </w:p>
        </w:tc>
        <w:tc>
          <w:tcPr>
            <w:tcW w:w="1100" w:type="dxa"/>
            <w:vAlign w:val="center"/>
          </w:tcPr>
          <w:p w14:paraId="1BDC8B7C" w14:textId="48106F80" w:rsidR="00D91013" w:rsidRPr="00883271" w:rsidRDefault="00D91013" w:rsidP="00637889">
            <w:pPr>
              <w:pStyle w:val="TableTextRight"/>
              <w:spacing w:before="30" w:after="30"/>
            </w:pPr>
            <w:r w:rsidRPr="00883271">
              <w:t>20%</w:t>
            </w:r>
          </w:p>
        </w:tc>
        <w:tc>
          <w:tcPr>
            <w:tcW w:w="1100" w:type="dxa"/>
            <w:vAlign w:val="center"/>
          </w:tcPr>
          <w:p w14:paraId="76DFCDAA" w14:textId="39926142" w:rsidR="00D91013" w:rsidRPr="00883271" w:rsidRDefault="00D91013" w:rsidP="00637889">
            <w:pPr>
              <w:pStyle w:val="TableTextRight"/>
              <w:spacing w:before="30" w:after="30"/>
            </w:pPr>
            <w:r w:rsidRPr="00883271">
              <w:t>59%</w:t>
            </w:r>
          </w:p>
        </w:tc>
        <w:tc>
          <w:tcPr>
            <w:tcW w:w="1101" w:type="dxa"/>
            <w:tcBorders>
              <w:right w:val="single" w:sz="4" w:space="0" w:color="auto"/>
            </w:tcBorders>
            <w:vAlign w:val="center"/>
          </w:tcPr>
          <w:p w14:paraId="02E1E6C0" w14:textId="3FAA0010" w:rsidR="00D91013" w:rsidRPr="00883271" w:rsidRDefault="00D91013" w:rsidP="00637889">
            <w:pPr>
              <w:pStyle w:val="TableTextRight"/>
              <w:spacing w:before="30" w:after="30"/>
            </w:pPr>
            <w:r w:rsidRPr="00883271">
              <w:t>63%</w:t>
            </w:r>
          </w:p>
        </w:tc>
        <w:tc>
          <w:tcPr>
            <w:tcW w:w="709" w:type="dxa"/>
            <w:tcBorders>
              <w:left w:val="single" w:sz="4" w:space="0" w:color="auto"/>
            </w:tcBorders>
            <w:vAlign w:val="center"/>
          </w:tcPr>
          <w:p w14:paraId="2F5E0E1F" w14:textId="77D12C8B" w:rsidR="00D91013" w:rsidRPr="00883271" w:rsidRDefault="00D91013" w:rsidP="00637889">
            <w:pPr>
              <w:pStyle w:val="TableTextRight"/>
              <w:spacing w:before="30" w:after="30"/>
            </w:pPr>
            <w:r w:rsidRPr="00883271">
              <w:t>44%</w:t>
            </w:r>
          </w:p>
        </w:tc>
        <w:tc>
          <w:tcPr>
            <w:tcW w:w="926" w:type="dxa"/>
            <w:tcBorders>
              <w:right w:val="single" w:sz="4" w:space="0" w:color="auto"/>
            </w:tcBorders>
            <w:vAlign w:val="center"/>
          </w:tcPr>
          <w:p w14:paraId="465081D9" w14:textId="2EA6BC52" w:rsidR="00D91013" w:rsidRPr="00883271" w:rsidRDefault="00D91013" w:rsidP="00637889">
            <w:pPr>
              <w:pStyle w:val="TableTextRight"/>
              <w:spacing w:before="30" w:after="30"/>
            </w:pPr>
            <w:r w:rsidRPr="00883271">
              <w:t>37%</w:t>
            </w:r>
          </w:p>
        </w:tc>
        <w:tc>
          <w:tcPr>
            <w:tcW w:w="603" w:type="dxa"/>
            <w:tcBorders>
              <w:left w:val="single" w:sz="4" w:space="0" w:color="auto"/>
            </w:tcBorders>
            <w:vAlign w:val="center"/>
          </w:tcPr>
          <w:p w14:paraId="1992305C" w14:textId="4D9357F3" w:rsidR="00D91013" w:rsidRPr="00D91013" w:rsidRDefault="00D91013" w:rsidP="00637889">
            <w:pPr>
              <w:pStyle w:val="TableTextRight"/>
              <w:spacing w:before="30" w:after="30"/>
              <w:rPr>
                <w:b/>
                <w:bCs/>
              </w:rPr>
            </w:pPr>
            <w:r w:rsidRPr="00D91013">
              <w:rPr>
                <w:b/>
                <w:bCs/>
              </w:rPr>
              <w:t>40%</w:t>
            </w:r>
          </w:p>
        </w:tc>
      </w:tr>
      <w:tr w:rsidR="00D91013" w:rsidRPr="00883271" w14:paraId="51E2A59D" w14:textId="77777777" w:rsidTr="0002544C">
        <w:trPr>
          <w:cnfStyle w:val="000000010000" w:firstRow="0" w:lastRow="0" w:firstColumn="0" w:lastColumn="0" w:oddVBand="0" w:evenVBand="0" w:oddHBand="0" w:evenHBand="1" w:firstRowFirstColumn="0" w:firstRowLastColumn="0" w:lastRowFirstColumn="0" w:lastRowLastColumn="0"/>
          <w:trHeight w:val="20"/>
          <w:jc w:val="center"/>
        </w:trPr>
        <w:tc>
          <w:tcPr>
            <w:tcW w:w="1975" w:type="dxa"/>
            <w:vAlign w:val="center"/>
          </w:tcPr>
          <w:p w14:paraId="357EED6E" w14:textId="77C3D2EF" w:rsidR="00D91013" w:rsidRPr="00D91013" w:rsidRDefault="00D91013" w:rsidP="00637889">
            <w:pPr>
              <w:pStyle w:val="TableTextLeft"/>
              <w:spacing w:before="30" w:after="30"/>
              <w:rPr>
                <w:b/>
                <w:bCs/>
              </w:rPr>
            </w:pPr>
            <w:r w:rsidRPr="00D91013">
              <w:rPr>
                <w:b/>
                <w:bCs/>
              </w:rPr>
              <w:t>Don't know / Prefer</w:t>
            </w:r>
            <w:r>
              <w:rPr>
                <w:b/>
                <w:bCs/>
              </w:rPr>
              <w:t xml:space="preserve"> </w:t>
            </w:r>
            <w:r w:rsidRPr="00D91013">
              <w:rPr>
                <w:b/>
                <w:bCs/>
              </w:rPr>
              <w:t>not</w:t>
            </w:r>
            <w:r>
              <w:rPr>
                <w:b/>
                <w:bCs/>
              </w:rPr>
              <w:t xml:space="preserve"> </w:t>
            </w:r>
            <w:r w:rsidRPr="00D91013">
              <w:rPr>
                <w:b/>
                <w:bCs/>
              </w:rPr>
              <w:t>to say</w:t>
            </w:r>
          </w:p>
        </w:tc>
        <w:tc>
          <w:tcPr>
            <w:tcW w:w="987" w:type="dxa"/>
            <w:vAlign w:val="center"/>
          </w:tcPr>
          <w:p w14:paraId="61677757" w14:textId="673559D5" w:rsidR="00D91013" w:rsidRPr="00883271" w:rsidRDefault="00D91013" w:rsidP="00637889">
            <w:pPr>
              <w:pStyle w:val="TableTextRight"/>
              <w:spacing w:before="30" w:after="30"/>
            </w:pPr>
            <w:r w:rsidRPr="00883271">
              <w:t>0%</w:t>
            </w:r>
          </w:p>
        </w:tc>
        <w:tc>
          <w:tcPr>
            <w:tcW w:w="706" w:type="dxa"/>
            <w:tcBorders>
              <w:right w:val="single" w:sz="4" w:space="0" w:color="auto"/>
            </w:tcBorders>
            <w:vAlign w:val="center"/>
          </w:tcPr>
          <w:p w14:paraId="595A3166" w14:textId="04C431AD" w:rsidR="00D91013" w:rsidRPr="00883271" w:rsidRDefault="00D91013" w:rsidP="00637889">
            <w:pPr>
              <w:pStyle w:val="TableTextRight"/>
              <w:spacing w:before="30" w:after="30"/>
            </w:pPr>
            <w:r w:rsidRPr="00883271">
              <w:t>0%</w:t>
            </w:r>
          </w:p>
        </w:tc>
        <w:tc>
          <w:tcPr>
            <w:tcW w:w="987" w:type="dxa"/>
            <w:tcBorders>
              <w:left w:val="single" w:sz="4" w:space="0" w:color="auto"/>
            </w:tcBorders>
            <w:vAlign w:val="center"/>
          </w:tcPr>
          <w:p w14:paraId="74260C5D" w14:textId="75B25F89" w:rsidR="00D91013" w:rsidRPr="00883271" w:rsidRDefault="00D91013" w:rsidP="00637889">
            <w:pPr>
              <w:pStyle w:val="TableTextRight"/>
              <w:spacing w:before="30" w:after="30"/>
            </w:pPr>
            <w:r w:rsidRPr="00883271">
              <w:t>1%</w:t>
            </w:r>
          </w:p>
        </w:tc>
        <w:tc>
          <w:tcPr>
            <w:tcW w:w="987" w:type="dxa"/>
            <w:vAlign w:val="center"/>
          </w:tcPr>
          <w:p w14:paraId="72B544B7" w14:textId="5707F29E" w:rsidR="00D91013" w:rsidRPr="00883271" w:rsidRDefault="00D91013" w:rsidP="00637889">
            <w:pPr>
              <w:pStyle w:val="TableTextRight"/>
              <w:spacing w:before="30" w:after="30"/>
            </w:pPr>
            <w:r w:rsidRPr="00883271">
              <w:t>0%</w:t>
            </w:r>
          </w:p>
        </w:tc>
        <w:tc>
          <w:tcPr>
            <w:tcW w:w="1410" w:type="dxa"/>
            <w:tcBorders>
              <w:right w:val="single" w:sz="4" w:space="0" w:color="auto"/>
            </w:tcBorders>
            <w:vAlign w:val="center"/>
          </w:tcPr>
          <w:p w14:paraId="2F1A2747" w14:textId="66F38E4F" w:rsidR="00D91013" w:rsidRPr="00883271" w:rsidRDefault="00D91013" w:rsidP="00637889">
            <w:pPr>
              <w:pStyle w:val="TableTextRight"/>
              <w:spacing w:before="30" w:after="30"/>
            </w:pPr>
            <w:r w:rsidRPr="00883271">
              <w:t>0%</w:t>
            </w:r>
          </w:p>
        </w:tc>
        <w:tc>
          <w:tcPr>
            <w:tcW w:w="987" w:type="dxa"/>
            <w:tcBorders>
              <w:left w:val="single" w:sz="4" w:space="0" w:color="auto"/>
            </w:tcBorders>
            <w:vAlign w:val="center"/>
          </w:tcPr>
          <w:p w14:paraId="19619FF1" w14:textId="28A750A8" w:rsidR="00D91013" w:rsidRPr="00883271" w:rsidRDefault="00D91013" w:rsidP="00637889">
            <w:pPr>
              <w:pStyle w:val="TableTextRight"/>
              <w:spacing w:before="30" w:after="30"/>
            </w:pPr>
            <w:r w:rsidRPr="00883271">
              <w:t>3%</w:t>
            </w:r>
          </w:p>
        </w:tc>
        <w:tc>
          <w:tcPr>
            <w:tcW w:w="1100" w:type="dxa"/>
            <w:vAlign w:val="center"/>
          </w:tcPr>
          <w:p w14:paraId="5141AF86" w14:textId="35CDFC59" w:rsidR="00D91013" w:rsidRPr="00883271" w:rsidRDefault="00D91013" w:rsidP="00637889">
            <w:pPr>
              <w:pStyle w:val="TableTextRight"/>
              <w:spacing w:before="30" w:after="30"/>
            </w:pPr>
            <w:r w:rsidRPr="00883271">
              <w:t>1%</w:t>
            </w:r>
          </w:p>
        </w:tc>
        <w:tc>
          <w:tcPr>
            <w:tcW w:w="1100" w:type="dxa"/>
            <w:vAlign w:val="center"/>
          </w:tcPr>
          <w:p w14:paraId="5FF792C0" w14:textId="3A56A877" w:rsidR="00D91013" w:rsidRPr="00883271" w:rsidRDefault="00D91013" w:rsidP="00637889">
            <w:pPr>
              <w:pStyle w:val="TableTextRight"/>
              <w:spacing w:before="30" w:after="30"/>
            </w:pPr>
            <w:r w:rsidRPr="00883271">
              <w:t>0%</w:t>
            </w:r>
          </w:p>
        </w:tc>
        <w:tc>
          <w:tcPr>
            <w:tcW w:w="1101" w:type="dxa"/>
            <w:tcBorders>
              <w:right w:val="single" w:sz="4" w:space="0" w:color="auto"/>
            </w:tcBorders>
            <w:vAlign w:val="center"/>
          </w:tcPr>
          <w:p w14:paraId="37C5BF3E" w14:textId="2989B7AC" w:rsidR="00D91013" w:rsidRPr="00883271" w:rsidRDefault="00D91013" w:rsidP="00637889">
            <w:pPr>
              <w:pStyle w:val="TableTextRight"/>
              <w:spacing w:before="30" w:after="30"/>
            </w:pPr>
            <w:r w:rsidRPr="00883271">
              <w:t>3%</w:t>
            </w:r>
          </w:p>
        </w:tc>
        <w:tc>
          <w:tcPr>
            <w:tcW w:w="709" w:type="dxa"/>
            <w:tcBorders>
              <w:left w:val="single" w:sz="4" w:space="0" w:color="auto"/>
            </w:tcBorders>
            <w:vAlign w:val="center"/>
          </w:tcPr>
          <w:p w14:paraId="38469227" w14:textId="2357FE2E" w:rsidR="00D91013" w:rsidRPr="00883271" w:rsidRDefault="00D91013" w:rsidP="00637889">
            <w:pPr>
              <w:pStyle w:val="TableTextRight"/>
              <w:spacing w:before="30" w:after="30"/>
            </w:pPr>
            <w:r w:rsidRPr="00883271">
              <w:t>1%</w:t>
            </w:r>
          </w:p>
        </w:tc>
        <w:tc>
          <w:tcPr>
            <w:tcW w:w="926" w:type="dxa"/>
            <w:tcBorders>
              <w:right w:val="single" w:sz="4" w:space="0" w:color="auto"/>
            </w:tcBorders>
            <w:vAlign w:val="center"/>
          </w:tcPr>
          <w:p w14:paraId="0661B9D7" w14:textId="01BEE323" w:rsidR="00D91013" w:rsidRPr="00883271" w:rsidRDefault="00D91013" w:rsidP="00637889">
            <w:pPr>
              <w:pStyle w:val="TableTextRight"/>
              <w:spacing w:before="30" w:after="30"/>
            </w:pPr>
            <w:r w:rsidRPr="00883271">
              <w:t>2%</w:t>
            </w:r>
          </w:p>
        </w:tc>
        <w:tc>
          <w:tcPr>
            <w:tcW w:w="603" w:type="dxa"/>
            <w:tcBorders>
              <w:left w:val="single" w:sz="4" w:space="0" w:color="auto"/>
            </w:tcBorders>
            <w:vAlign w:val="center"/>
          </w:tcPr>
          <w:p w14:paraId="6E230E25" w14:textId="131C6094" w:rsidR="00D91013" w:rsidRPr="00D91013" w:rsidRDefault="00D91013" w:rsidP="00637889">
            <w:pPr>
              <w:pStyle w:val="TableTextRight"/>
              <w:spacing w:before="30" w:after="30"/>
              <w:rPr>
                <w:b/>
                <w:bCs/>
              </w:rPr>
            </w:pPr>
            <w:r w:rsidRPr="00D91013">
              <w:rPr>
                <w:b/>
                <w:bCs/>
              </w:rPr>
              <w:t>1%</w:t>
            </w:r>
          </w:p>
        </w:tc>
      </w:tr>
      <w:tr w:rsidR="00664208" w:rsidRPr="00883271" w14:paraId="2CFF24B9" w14:textId="77777777" w:rsidTr="0002544C">
        <w:trPr>
          <w:cnfStyle w:val="000000100000" w:firstRow="0" w:lastRow="0" w:firstColumn="0" w:lastColumn="0" w:oddVBand="0" w:evenVBand="0" w:oddHBand="1" w:evenHBand="0" w:firstRowFirstColumn="0" w:firstRowLastColumn="0" w:lastRowFirstColumn="0" w:lastRowLastColumn="0"/>
          <w:trHeight w:val="113"/>
          <w:jc w:val="center"/>
        </w:trPr>
        <w:tc>
          <w:tcPr>
            <w:tcW w:w="1975" w:type="dxa"/>
            <w:tcBorders>
              <w:top w:val="single" w:sz="4" w:space="0" w:color="auto"/>
              <w:bottom w:val="single" w:sz="4" w:space="0" w:color="auto"/>
            </w:tcBorders>
            <w:shd w:val="clear" w:color="auto" w:fill="EEEEEE" w:themeFill="background2"/>
            <w:vAlign w:val="center"/>
          </w:tcPr>
          <w:p w14:paraId="416966CF" w14:textId="61BBB33D" w:rsidR="00D91013" w:rsidRPr="00D91013" w:rsidRDefault="00D91013" w:rsidP="00637889">
            <w:pPr>
              <w:pStyle w:val="TableTextLeft"/>
              <w:spacing w:before="30" w:after="30"/>
              <w:rPr>
                <w:b/>
                <w:bCs/>
              </w:rPr>
            </w:pPr>
            <w:r w:rsidRPr="00D91013">
              <w:rPr>
                <w:b/>
                <w:bCs/>
              </w:rPr>
              <w:t>Total responses (n)</w:t>
            </w:r>
          </w:p>
        </w:tc>
        <w:tc>
          <w:tcPr>
            <w:tcW w:w="987" w:type="dxa"/>
            <w:tcBorders>
              <w:top w:val="single" w:sz="4" w:space="0" w:color="auto"/>
              <w:bottom w:val="single" w:sz="4" w:space="0" w:color="auto"/>
            </w:tcBorders>
            <w:shd w:val="clear" w:color="auto" w:fill="EEEEEE" w:themeFill="background2"/>
            <w:vAlign w:val="center"/>
          </w:tcPr>
          <w:p w14:paraId="0399DE0E" w14:textId="78D814BB" w:rsidR="00D91013" w:rsidRPr="00D91013" w:rsidRDefault="00D91013" w:rsidP="00637889">
            <w:pPr>
              <w:pStyle w:val="TableTextRight"/>
              <w:spacing w:before="30" w:after="30"/>
              <w:rPr>
                <w:b/>
                <w:bCs/>
              </w:rPr>
            </w:pPr>
            <w:r w:rsidRPr="00D91013">
              <w:rPr>
                <w:b/>
                <w:bCs/>
              </w:rPr>
              <w:t>169</w:t>
            </w:r>
          </w:p>
        </w:tc>
        <w:tc>
          <w:tcPr>
            <w:tcW w:w="706" w:type="dxa"/>
            <w:tcBorders>
              <w:top w:val="single" w:sz="4" w:space="0" w:color="auto"/>
              <w:bottom w:val="single" w:sz="4" w:space="0" w:color="auto"/>
              <w:right w:val="single" w:sz="4" w:space="0" w:color="auto"/>
            </w:tcBorders>
            <w:shd w:val="clear" w:color="auto" w:fill="EEEEEE" w:themeFill="background2"/>
            <w:vAlign w:val="center"/>
          </w:tcPr>
          <w:p w14:paraId="40E8842C" w14:textId="14A04784" w:rsidR="00D91013" w:rsidRPr="00D91013" w:rsidRDefault="00D91013" w:rsidP="00637889">
            <w:pPr>
              <w:pStyle w:val="TableTextRight"/>
              <w:spacing w:before="30" w:after="30"/>
              <w:rPr>
                <w:b/>
                <w:bCs/>
              </w:rPr>
            </w:pPr>
            <w:r w:rsidRPr="00D91013">
              <w:rPr>
                <w:b/>
                <w:bCs/>
              </w:rPr>
              <w:t>115</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33235198" w14:textId="63E456E9" w:rsidR="00D91013" w:rsidRPr="00D91013" w:rsidRDefault="00D91013" w:rsidP="00637889">
            <w:pPr>
              <w:pStyle w:val="TableTextRight"/>
              <w:spacing w:before="30" w:after="30"/>
              <w:rPr>
                <w:b/>
                <w:bCs/>
              </w:rPr>
            </w:pPr>
            <w:r w:rsidRPr="00D91013">
              <w:rPr>
                <w:b/>
                <w:bCs/>
              </w:rPr>
              <w:t>201</w:t>
            </w:r>
          </w:p>
        </w:tc>
        <w:tc>
          <w:tcPr>
            <w:tcW w:w="987" w:type="dxa"/>
            <w:tcBorders>
              <w:top w:val="single" w:sz="4" w:space="0" w:color="auto"/>
              <w:bottom w:val="single" w:sz="4" w:space="0" w:color="auto"/>
            </w:tcBorders>
            <w:shd w:val="clear" w:color="auto" w:fill="EEEEEE" w:themeFill="background2"/>
            <w:vAlign w:val="center"/>
          </w:tcPr>
          <w:p w14:paraId="6CFE043D" w14:textId="49E71F2E" w:rsidR="00D91013" w:rsidRPr="00D91013" w:rsidRDefault="00D91013" w:rsidP="00637889">
            <w:pPr>
              <w:pStyle w:val="TableTextRight"/>
              <w:spacing w:before="30" w:after="30"/>
              <w:rPr>
                <w:b/>
                <w:bCs/>
              </w:rPr>
            </w:pPr>
            <w:r w:rsidRPr="00D91013">
              <w:rPr>
                <w:b/>
                <w:bCs/>
              </w:rPr>
              <w:t>37</w:t>
            </w:r>
          </w:p>
        </w:tc>
        <w:tc>
          <w:tcPr>
            <w:tcW w:w="1410" w:type="dxa"/>
            <w:tcBorders>
              <w:top w:val="single" w:sz="4" w:space="0" w:color="auto"/>
              <w:bottom w:val="single" w:sz="4" w:space="0" w:color="auto"/>
              <w:right w:val="single" w:sz="4" w:space="0" w:color="auto"/>
            </w:tcBorders>
            <w:shd w:val="clear" w:color="auto" w:fill="EEEEEE" w:themeFill="background2"/>
            <w:vAlign w:val="center"/>
          </w:tcPr>
          <w:p w14:paraId="67F59810" w14:textId="42A40F30" w:rsidR="00D91013" w:rsidRPr="00D91013" w:rsidRDefault="00D91013" w:rsidP="00637889">
            <w:pPr>
              <w:pStyle w:val="TableTextRight"/>
              <w:spacing w:before="30" w:after="30"/>
              <w:rPr>
                <w:b/>
                <w:bCs/>
              </w:rPr>
            </w:pPr>
            <w:r w:rsidRPr="00D91013">
              <w:rPr>
                <w:b/>
                <w:bCs/>
              </w:rPr>
              <w:t>40</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53D77A0C" w14:textId="2AE7785C" w:rsidR="00D91013" w:rsidRPr="00D91013" w:rsidRDefault="00D91013" w:rsidP="00637889">
            <w:pPr>
              <w:pStyle w:val="TableTextRight"/>
              <w:spacing w:before="30" w:after="30"/>
              <w:rPr>
                <w:b/>
                <w:bCs/>
              </w:rPr>
            </w:pPr>
            <w:r w:rsidRPr="00D91013">
              <w:rPr>
                <w:b/>
                <w:bCs/>
              </w:rPr>
              <w:t>37</w:t>
            </w:r>
          </w:p>
        </w:tc>
        <w:tc>
          <w:tcPr>
            <w:tcW w:w="1100" w:type="dxa"/>
            <w:tcBorders>
              <w:top w:val="single" w:sz="4" w:space="0" w:color="auto"/>
              <w:bottom w:val="single" w:sz="4" w:space="0" w:color="auto"/>
            </w:tcBorders>
            <w:shd w:val="clear" w:color="auto" w:fill="EEEEEE" w:themeFill="background2"/>
            <w:vAlign w:val="center"/>
          </w:tcPr>
          <w:p w14:paraId="0C720F34" w14:textId="0D0125AF" w:rsidR="00D91013" w:rsidRPr="00D91013" w:rsidRDefault="00D91013" w:rsidP="00637889">
            <w:pPr>
              <w:pStyle w:val="TableTextRight"/>
              <w:spacing w:before="30" w:after="30"/>
              <w:rPr>
                <w:b/>
                <w:bCs/>
              </w:rPr>
            </w:pPr>
            <w:r w:rsidRPr="00D91013">
              <w:rPr>
                <w:b/>
                <w:bCs/>
              </w:rPr>
              <w:t>85</w:t>
            </w:r>
          </w:p>
        </w:tc>
        <w:tc>
          <w:tcPr>
            <w:tcW w:w="1100" w:type="dxa"/>
            <w:tcBorders>
              <w:top w:val="single" w:sz="4" w:space="0" w:color="auto"/>
              <w:bottom w:val="single" w:sz="4" w:space="0" w:color="auto"/>
            </w:tcBorders>
            <w:shd w:val="clear" w:color="auto" w:fill="EEEEEE" w:themeFill="background2"/>
            <w:vAlign w:val="center"/>
          </w:tcPr>
          <w:p w14:paraId="0EBE0680" w14:textId="000F7043" w:rsidR="00D91013" w:rsidRPr="00D91013" w:rsidRDefault="00D91013" w:rsidP="00637889">
            <w:pPr>
              <w:pStyle w:val="TableTextRight"/>
              <w:spacing w:before="30" w:after="30"/>
              <w:rPr>
                <w:b/>
                <w:bCs/>
              </w:rPr>
            </w:pPr>
            <w:r w:rsidRPr="00D91013">
              <w:rPr>
                <w:b/>
                <w:bCs/>
              </w:rPr>
              <w:t>123</w:t>
            </w:r>
          </w:p>
        </w:tc>
        <w:tc>
          <w:tcPr>
            <w:tcW w:w="1101" w:type="dxa"/>
            <w:tcBorders>
              <w:top w:val="single" w:sz="4" w:space="0" w:color="auto"/>
              <w:bottom w:val="single" w:sz="4" w:space="0" w:color="auto"/>
              <w:right w:val="single" w:sz="4" w:space="0" w:color="auto"/>
            </w:tcBorders>
            <w:shd w:val="clear" w:color="auto" w:fill="EEEEEE" w:themeFill="background2"/>
            <w:vAlign w:val="center"/>
          </w:tcPr>
          <w:p w14:paraId="2B0C105A" w14:textId="6B526AF7" w:rsidR="00D91013" w:rsidRPr="00D91013" w:rsidRDefault="00D91013" w:rsidP="00637889">
            <w:pPr>
              <w:pStyle w:val="TableTextRight"/>
              <w:spacing w:before="30" w:after="30"/>
              <w:rPr>
                <w:b/>
                <w:bCs/>
              </w:rPr>
            </w:pPr>
            <w:r w:rsidRPr="00D91013">
              <w:rPr>
                <w:b/>
                <w:bCs/>
              </w:rPr>
              <w:t>35</w:t>
            </w:r>
          </w:p>
        </w:tc>
        <w:tc>
          <w:tcPr>
            <w:tcW w:w="709" w:type="dxa"/>
            <w:tcBorders>
              <w:top w:val="single" w:sz="4" w:space="0" w:color="auto"/>
              <w:left w:val="single" w:sz="4" w:space="0" w:color="auto"/>
              <w:bottom w:val="single" w:sz="4" w:space="0" w:color="auto"/>
            </w:tcBorders>
            <w:shd w:val="clear" w:color="auto" w:fill="EEEEEE" w:themeFill="background2"/>
            <w:vAlign w:val="center"/>
          </w:tcPr>
          <w:p w14:paraId="08DC1AD9" w14:textId="53DE8183" w:rsidR="00D91013" w:rsidRPr="00D91013" w:rsidRDefault="00D91013" w:rsidP="00637889">
            <w:pPr>
              <w:pStyle w:val="TableTextRight"/>
              <w:spacing w:before="30" w:after="30"/>
              <w:rPr>
                <w:b/>
                <w:bCs/>
              </w:rPr>
            </w:pPr>
            <w:r w:rsidRPr="00D91013">
              <w:rPr>
                <w:b/>
                <w:bCs/>
              </w:rPr>
              <w:t>154</w:t>
            </w:r>
          </w:p>
        </w:tc>
        <w:tc>
          <w:tcPr>
            <w:tcW w:w="926" w:type="dxa"/>
            <w:tcBorders>
              <w:top w:val="single" w:sz="4" w:space="0" w:color="auto"/>
              <w:bottom w:val="single" w:sz="4" w:space="0" w:color="auto"/>
              <w:right w:val="single" w:sz="4" w:space="0" w:color="auto"/>
            </w:tcBorders>
            <w:shd w:val="clear" w:color="auto" w:fill="EEEEEE" w:themeFill="background2"/>
            <w:vAlign w:val="center"/>
          </w:tcPr>
          <w:p w14:paraId="7EFEBB9D" w14:textId="1A1B68EA" w:rsidR="00D91013" w:rsidRPr="00D91013" w:rsidRDefault="00D91013" w:rsidP="00637889">
            <w:pPr>
              <w:pStyle w:val="TableTextRight"/>
              <w:spacing w:before="30" w:after="30"/>
              <w:rPr>
                <w:b/>
                <w:bCs/>
              </w:rPr>
            </w:pPr>
            <w:r w:rsidRPr="00D91013">
              <w:rPr>
                <w:b/>
                <w:bCs/>
              </w:rPr>
              <w:t>118</w:t>
            </w:r>
          </w:p>
        </w:tc>
        <w:tc>
          <w:tcPr>
            <w:tcW w:w="603" w:type="dxa"/>
            <w:tcBorders>
              <w:top w:val="single" w:sz="4" w:space="0" w:color="auto"/>
              <w:left w:val="single" w:sz="4" w:space="0" w:color="auto"/>
              <w:bottom w:val="single" w:sz="4" w:space="0" w:color="auto"/>
            </w:tcBorders>
            <w:shd w:val="clear" w:color="auto" w:fill="EEEEEE" w:themeFill="background2"/>
            <w:vAlign w:val="center"/>
          </w:tcPr>
          <w:p w14:paraId="0D706C80" w14:textId="2894A92F" w:rsidR="00D91013" w:rsidRPr="00D91013" w:rsidRDefault="00D91013" w:rsidP="00637889">
            <w:pPr>
              <w:pStyle w:val="TableTextRight"/>
              <w:spacing w:before="30" w:after="30"/>
              <w:rPr>
                <w:b/>
                <w:bCs/>
              </w:rPr>
            </w:pPr>
            <w:r w:rsidRPr="00D91013">
              <w:rPr>
                <w:b/>
                <w:bCs/>
              </w:rPr>
              <w:t>287</w:t>
            </w:r>
          </w:p>
        </w:tc>
      </w:tr>
    </w:tbl>
    <w:p w14:paraId="4F390C7B" w14:textId="77777777" w:rsidR="00637889" w:rsidRDefault="00637889" w:rsidP="00637889">
      <w:pPr>
        <w:pStyle w:val="SingleParagraph"/>
      </w:pPr>
    </w:p>
    <w:p w14:paraId="1481A246" w14:textId="5D77926B" w:rsidR="000B1302" w:rsidRPr="00883271" w:rsidRDefault="00D91013" w:rsidP="00637889">
      <w:pPr>
        <w:pStyle w:val="TableMainHeading"/>
        <w:spacing w:before="0"/>
      </w:pPr>
      <w:r w:rsidRPr="00883271">
        <w:t>How many scan/diagnostic tools does your business currently have?</w:t>
      </w:r>
    </w:p>
    <w:tbl>
      <w:tblPr>
        <w:tblStyle w:val="TableGrid"/>
        <w:tblW w:w="5000" w:type="pct"/>
        <w:jc w:val="center"/>
        <w:tblLayout w:type="fixed"/>
        <w:tblCellMar>
          <w:left w:w="113" w:type="dxa"/>
          <w:right w:w="113" w:type="dxa"/>
        </w:tblCellMar>
        <w:tblLook w:val="04A0" w:firstRow="1" w:lastRow="0" w:firstColumn="1" w:lastColumn="0" w:noHBand="0" w:noVBand="1"/>
      </w:tblPr>
      <w:tblGrid>
        <w:gridCol w:w="2038"/>
        <w:gridCol w:w="1018"/>
        <w:gridCol w:w="728"/>
        <w:gridCol w:w="1018"/>
        <w:gridCol w:w="1018"/>
        <w:gridCol w:w="1454"/>
        <w:gridCol w:w="1105"/>
        <w:gridCol w:w="1105"/>
        <w:gridCol w:w="1105"/>
        <w:gridCol w:w="1105"/>
        <w:gridCol w:w="731"/>
        <w:gridCol w:w="955"/>
        <w:gridCol w:w="622"/>
      </w:tblGrid>
      <w:tr w:rsidR="00D91013" w:rsidRPr="00883271" w14:paraId="207E73D0" w14:textId="77777777" w:rsidTr="0002544C">
        <w:trPr>
          <w:cnfStyle w:val="100000000000" w:firstRow="1" w:lastRow="0" w:firstColumn="0" w:lastColumn="0" w:oddVBand="0" w:evenVBand="0" w:oddHBand="0" w:evenHBand="0" w:firstRowFirstColumn="0" w:firstRowLastColumn="0" w:lastRowFirstColumn="0" w:lastRowLastColumn="0"/>
          <w:jc w:val="center"/>
        </w:trPr>
        <w:tc>
          <w:tcPr>
            <w:tcW w:w="1975" w:type="dxa"/>
            <w:tcBorders>
              <w:top w:val="single" w:sz="4" w:space="0" w:color="auto"/>
              <w:bottom w:val="single" w:sz="4" w:space="0" w:color="auto"/>
            </w:tcBorders>
          </w:tcPr>
          <w:p w14:paraId="63D4EE9F" w14:textId="77777777" w:rsidR="000B1302" w:rsidRPr="00D91013" w:rsidRDefault="000B1302" w:rsidP="00637889">
            <w:pPr>
              <w:pStyle w:val="TableColumnHeadingRight"/>
              <w:spacing w:before="30" w:after="30"/>
              <w:rPr>
                <w:sz w:val="18"/>
                <w:szCs w:val="18"/>
              </w:rPr>
            </w:pPr>
          </w:p>
        </w:tc>
        <w:tc>
          <w:tcPr>
            <w:tcW w:w="1693" w:type="dxa"/>
            <w:gridSpan w:val="2"/>
            <w:tcBorders>
              <w:top w:val="single" w:sz="4" w:space="0" w:color="auto"/>
              <w:bottom w:val="single" w:sz="4" w:space="0" w:color="auto"/>
              <w:right w:val="single" w:sz="4" w:space="0" w:color="auto"/>
            </w:tcBorders>
            <w:vAlign w:val="center"/>
          </w:tcPr>
          <w:p w14:paraId="15B846B1" w14:textId="0C174E5E" w:rsidR="000B1302" w:rsidRPr="00D91013" w:rsidRDefault="000B1302" w:rsidP="00637889">
            <w:pPr>
              <w:pStyle w:val="TableColumnHeadingCentred"/>
              <w:spacing w:before="30" w:after="30"/>
              <w:rPr>
                <w:b w:val="0"/>
                <w:sz w:val="18"/>
                <w:szCs w:val="18"/>
              </w:rPr>
            </w:pPr>
            <w:r w:rsidRPr="00D91013">
              <w:rPr>
                <w:sz w:val="18"/>
                <w:szCs w:val="18"/>
              </w:rPr>
              <w:t>Vehicles repaired per</w:t>
            </w:r>
            <w:r w:rsidR="00D91013" w:rsidRPr="00D91013">
              <w:rPr>
                <w:sz w:val="18"/>
                <w:szCs w:val="18"/>
              </w:rPr>
              <w:t> </w:t>
            </w:r>
            <w:r w:rsidRPr="00D91013">
              <w:rPr>
                <w:sz w:val="18"/>
                <w:szCs w:val="18"/>
              </w:rPr>
              <w:t>month</w:t>
            </w:r>
          </w:p>
        </w:tc>
        <w:tc>
          <w:tcPr>
            <w:tcW w:w="3384" w:type="dxa"/>
            <w:gridSpan w:val="3"/>
            <w:tcBorders>
              <w:top w:val="single" w:sz="4" w:space="0" w:color="auto"/>
              <w:left w:val="single" w:sz="4" w:space="0" w:color="auto"/>
              <w:bottom w:val="single" w:sz="4" w:space="0" w:color="auto"/>
              <w:right w:val="single" w:sz="4" w:space="0" w:color="auto"/>
            </w:tcBorders>
            <w:vAlign w:val="center"/>
          </w:tcPr>
          <w:p w14:paraId="448C9030" w14:textId="41806546" w:rsidR="000B1302" w:rsidRPr="00D91013" w:rsidRDefault="000B1302" w:rsidP="00637889">
            <w:pPr>
              <w:pStyle w:val="TableColumnHeadingCentred"/>
              <w:spacing w:before="30" w:after="30"/>
              <w:rPr>
                <w:b w:val="0"/>
                <w:sz w:val="18"/>
                <w:szCs w:val="18"/>
              </w:rPr>
            </w:pPr>
            <w:r w:rsidRPr="00D91013">
              <w:rPr>
                <w:sz w:val="18"/>
                <w:szCs w:val="18"/>
              </w:rPr>
              <w:t>Type of Repairer</w:t>
            </w:r>
          </w:p>
        </w:tc>
        <w:tc>
          <w:tcPr>
            <w:tcW w:w="4288" w:type="dxa"/>
            <w:gridSpan w:val="4"/>
            <w:tcBorders>
              <w:top w:val="single" w:sz="4" w:space="0" w:color="auto"/>
              <w:left w:val="single" w:sz="4" w:space="0" w:color="auto"/>
              <w:bottom w:val="single" w:sz="4" w:space="0" w:color="auto"/>
              <w:right w:val="single" w:sz="4" w:space="0" w:color="auto"/>
            </w:tcBorders>
            <w:vAlign w:val="center"/>
          </w:tcPr>
          <w:p w14:paraId="03CF2A47" w14:textId="3A2957DD" w:rsidR="000B1302" w:rsidRPr="00D91013" w:rsidRDefault="000B1302" w:rsidP="00637889">
            <w:pPr>
              <w:pStyle w:val="TableColumnHeadingCentred"/>
              <w:spacing w:before="30" w:after="30"/>
              <w:rPr>
                <w:b w:val="0"/>
                <w:sz w:val="18"/>
                <w:szCs w:val="18"/>
              </w:rPr>
            </w:pPr>
            <w:r w:rsidRPr="00D91013">
              <w:rPr>
                <w:sz w:val="18"/>
                <w:szCs w:val="18"/>
              </w:rPr>
              <w:t>Business size</w:t>
            </w:r>
          </w:p>
        </w:tc>
        <w:tc>
          <w:tcPr>
            <w:tcW w:w="1635" w:type="dxa"/>
            <w:gridSpan w:val="2"/>
            <w:tcBorders>
              <w:top w:val="single" w:sz="4" w:space="0" w:color="auto"/>
              <w:left w:val="single" w:sz="4" w:space="0" w:color="auto"/>
              <w:bottom w:val="single" w:sz="4" w:space="0" w:color="auto"/>
              <w:right w:val="single" w:sz="4" w:space="0" w:color="auto"/>
            </w:tcBorders>
            <w:vAlign w:val="center"/>
          </w:tcPr>
          <w:p w14:paraId="3105C824" w14:textId="32CAFAF9" w:rsidR="000B1302" w:rsidRPr="00D91013" w:rsidRDefault="000B1302" w:rsidP="00637889">
            <w:pPr>
              <w:pStyle w:val="TableColumnHeadingCentred"/>
              <w:spacing w:before="30" w:after="30"/>
              <w:rPr>
                <w:b w:val="0"/>
                <w:sz w:val="18"/>
                <w:szCs w:val="18"/>
              </w:rPr>
            </w:pPr>
            <w:r w:rsidRPr="00D91013">
              <w:rPr>
                <w:sz w:val="18"/>
                <w:szCs w:val="18"/>
              </w:rPr>
              <w:t>Location</w:t>
            </w:r>
          </w:p>
        </w:tc>
        <w:tc>
          <w:tcPr>
            <w:tcW w:w="603" w:type="dxa"/>
            <w:vMerge w:val="restart"/>
            <w:tcBorders>
              <w:top w:val="single" w:sz="4" w:space="0" w:color="auto"/>
              <w:left w:val="single" w:sz="4" w:space="0" w:color="auto"/>
            </w:tcBorders>
            <w:vAlign w:val="center"/>
          </w:tcPr>
          <w:p w14:paraId="45DBE8CA" w14:textId="76C81E89" w:rsidR="000B1302" w:rsidRPr="00D91013" w:rsidRDefault="000B1302" w:rsidP="00637889">
            <w:pPr>
              <w:pStyle w:val="TableColumnHeadingRight"/>
              <w:spacing w:before="30" w:after="30"/>
              <w:rPr>
                <w:b w:val="0"/>
                <w:bCs/>
                <w:sz w:val="18"/>
                <w:szCs w:val="18"/>
              </w:rPr>
            </w:pPr>
            <w:r w:rsidRPr="00D91013">
              <w:rPr>
                <w:bCs/>
                <w:sz w:val="18"/>
                <w:szCs w:val="18"/>
              </w:rPr>
              <w:t>Total</w:t>
            </w:r>
          </w:p>
        </w:tc>
      </w:tr>
      <w:tr w:rsidR="00664208" w:rsidRPr="00883271" w14:paraId="71DEFB42" w14:textId="77777777" w:rsidTr="0002544C">
        <w:trPr>
          <w:cnfStyle w:val="000000100000" w:firstRow="0" w:lastRow="0" w:firstColumn="0" w:lastColumn="0" w:oddVBand="0" w:evenVBand="0" w:oddHBand="1" w:evenHBand="0" w:firstRowFirstColumn="0" w:firstRowLastColumn="0" w:lastRowFirstColumn="0" w:lastRowLastColumn="0"/>
          <w:trHeight w:val="501"/>
          <w:jc w:val="center"/>
        </w:trPr>
        <w:tc>
          <w:tcPr>
            <w:tcW w:w="1975" w:type="dxa"/>
            <w:tcBorders>
              <w:top w:val="single" w:sz="4" w:space="0" w:color="auto"/>
              <w:bottom w:val="single" w:sz="4" w:space="0" w:color="auto"/>
            </w:tcBorders>
            <w:shd w:val="clear" w:color="auto" w:fill="EEEEEE" w:themeFill="background2"/>
          </w:tcPr>
          <w:p w14:paraId="2E2DB1A7" w14:textId="77777777" w:rsidR="000B1302" w:rsidRPr="00D91013" w:rsidRDefault="000B1302" w:rsidP="00637889">
            <w:pPr>
              <w:pStyle w:val="TableColumnHeadingRight"/>
              <w:spacing w:before="30" w:after="30"/>
              <w:rPr>
                <w:sz w:val="18"/>
                <w:szCs w:val="18"/>
              </w:rPr>
            </w:pPr>
          </w:p>
        </w:tc>
        <w:tc>
          <w:tcPr>
            <w:tcW w:w="987" w:type="dxa"/>
            <w:tcBorders>
              <w:top w:val="single" w:sz="4" w:space="0" w:color="auto"/>
              <w:bottom w:val="single" w:sz="4" w:space="0" w:color="auto"/>
            </w:tcBorders>
            <w:shd w:val="clear" w:color="auto" w:fill="EEEEEE" w:themeFill="background2"/>
            <w:vAlign w:val="center"/>
          </w:tcPr>
          <w:p w14:paraId="2A052B43" w14:textId="3E8ED06E" w:rsidR="000B1302" w:rsidRPr="00D91013" w:rsidRDefault="000B1302" w:rsidP="00637889">
            <w:pPr>
              <w:pStyle w:val="TableColumnHeadingRight"/>
              <w:spacing w:before="30" w:after="30"/>
              <w:rPr>
                <w:sz w:val="18"/>
                <w:szCs w:val="18"/>
              </w:rPr>
            </w:pPr>
            <w:r w:rsidRPr="00D91013">
              <w:rPr>
                <w:bCs/>
                <w:sz w:val="18"/>
                <w:szCs w:val="18"/>
              </w:rPr>
              <w:t>Less than 100</w:t>
            </w:r>
          </w:p>
        </w:tc>
        <w:tc>
          <w:tcPr>
            <w:tcW w:w="706" w:type="dxa"/>
            <w:tcBorders>
              <w:top w:val="single" w:sz="4" w:space="0" w:color="auto"/>
              <w:bottom w:val="single" w:sz="4" w:space="0" w:color="auto"/>
              <w:right w:val="single" w:sz="4" w:space="0" w:color="auto"/>
            </w:tcBorders>
            <w:shd w:val="clear" w:color="auto" w:fill="EEEEEE" w:themeFill="background2"/>
            <w:vAlign w:val="center"/>
          </w:tcPr>
          <w:p w14:paraId="235969C8" w14:textId="075E0FBF" w:rsidR="000B1302" w:rsidRPr="00D91013" w:rsidRDefault="000B1302" w:rsidP="00637889">
            <w:pPr>
              <w:pStyle w:val="TableColumnHeadingRight"/>
              <w:spacing w:before="30" w:after="30"/>
              <w:rPr>
                <w:sz w:val="18"/>
                <w:szCs w:val="18"/>
              </w:rPr>
            </w:pPr>
            <w:r w:rsidRPr="00D91013">
              <w:rPr>
                <w:bCs/>
                <w:sz w:val="18"/>
                <w:szCs w:val="18"/>
              </w:rPr>
              <w:t>100 or more</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383BD93A" w14:textId="613D4A73" w:rsidR="000B1302" w:rsidRPr="00D91013" w:rsidRDefault="000B1302" w:rsidP="00637889">
            <w:pPr>
              <w:pStyle w:val="TableColumnHeadingRight"/>
              <w:spacing w:before="30" w:after="30"/>
              <w:rPr>
                <w:sz w:val="18"/>
                <w:szCs w:val="18"/>
              </w:rPr>
            </w:pPr>
            <w:r w:rsidRPr="00D91013">
              <w:rPr>
                <w:bCs/>
                <w:sz w:val="18"/>
                <w:szCs w:val="18"/>
              </w:rPr>
              <w:t>Generalist</w:t>
            </w:r>
          </w:p>
        </w:tc>
        <w:tc>
          <w:tcPr>
            <w:tcW w:w="987" w:type="dxa"/>
            <w:tcBorders>
              <w:top w:val="single" w:sz="4" w:space="0" w:color="auto"/>
              <w:bottom w:val="single" w:sz="4" w:space="0" w:color="auto"/>
            </w:tcBorders>
            <w:shd w:val="clear" w:color="auto" w:fill="EEEEEE" w:themeFill="background2"/>
            <w:vAlign w:val="center"/>
          </w:tcPr>
          <w:p w14:paraId="6B09490E" w14:textId="25EA26FA" w:rsidR="000B1302" w:rsidRPr="00D91013" w:rsidRDefault="000B1302" w:rsidP="00637889">
            <w:pPr>
              <w:pStyle w:val="TableColumnHeadingRight"/>
              <w:spacing w:before="30" w:after="30"/>
              <w:rPr>
                <w:sz w:val="18"/>
                <w:szCs w:val="18"/>
              </w:rPr>
            </w:pPr>
            <w:r w:rsidRPr="00D91013">
              <w:rPr>
                <w:bCs/>
                <w:sz w:val="18"/>
                <w:szCs w:val="18"/>
              </w:rPr>
              <w:t xml:space="preserve">Specialist </w:t>
            </w:r>
            <w:r w:rsidR="007B3C6A">
              <w:rPr>
                <w:bCs/>
                <w:sz w:val="18"/>
                <w:szCs w:val="18"/>
              </w:rPr>
              <w:noBreakHyphen/>
            </w:r>
            <w:r w:rsidRPr="00D91013">
              <w:rPr>
                <w:bCs/>
                <w:sz w:val="18"/>
                <w:szCs w:val="18"/>
              </w:rPr>
              <w:t xml:space="preserve"> regional</w:t>
            </w:r>
          </w:p>
        </w:tc>
        <w:tc>
          <w:tcPr>
            <w:tcW w:w="1410" w:type="dxa"/>
            <w:tcBorders>
              <w:top w:val="single" w:sz="4" w:space="0" w:color="auto"/>
              <w:bottom w:val="single" w:sz="4" w:space="0" w:color="auto"/>
              <w:right w:val="single" w:sz="4" w:space="0" w:color="auto"/>
            </w:tcBorders>
            <w:shd w:val="clear" w:color="auto" w:fill="EEEEEE" w:themeFill="background2"/>
            <w:vAlign w:val="center"/>
          </w:tcPr>
          <w:p w14:paraId="5E4486C2" w14:textId="70B1B0E2" w:rsidR="000B1302" w:rsidRPr="00D91013" w:rsidRDefault="000B1302" w:rsidP="00637889">
            <w:pPr>
              <w:pStyle w:val="TableColumnHeadingRight"/>
              <w:spacing w:before="30" w:after="30"/>
              <w:rPr>
                <w:sz w:val="18"/>
                <w:szCs w:val="18"/>
              </w:rPr>
            </w:pPr>
            <w:r w:rsidRPr="00D91013">
              <w:rPr>
                <w:bCs/>
                <w:sz w:val="18"/>
                <w:szCs w:val="18"/>
              </w:rPr>
              <w:t xml:space="preserve">Specialist </w:t>
            </w:r>
            <w:r w:rsidR="007B3C6A">
              <w:rPr>
                <w:bCs/>
                <w:sz w:val="18"/>
                <w:szCs w:val="18"/>
              </w:rPr>
              <w:noBreakHyphen/>
            </w:r>
            <w:r w:rsidRPr="00D91013">
              <w:rPr>
                <w:bCs/>
                <w:sz w:val="18"/>
                <w:szCs w:val="18"/>
              </w:rPr>
              <w:t xml:space="preserve"> one / limited makes</w:t>
            </w:r>
          </w:p>
        </w:tc>
        <w:tc>
          <w:tcPr>
            <w:tcW w:w="1072" w:type="dxa"/>
            <w:tcBorders>
              <w:top w:val="single" w:sz="4" w:space="0" w:color="auto"/>
              <w:left w:val="single" w:sz="4" w:space="0" w:color="auto"/>
              <w:bottom w:val="single" w:sz="4" w:space="0" w:color="auto"/>
            </w:tcBorders>
            <w:shd w:val="clear" w:color="auto" w:fill="EEEEEE" w:themeFill="background2"/>
            <w:vAlign w:val="center"/>
          </w:tcPr>
          <w:p w14:paraId="05F2B73E" w14:textId="48B88ACD" w:rsidR="000B1302" w:rsidRPr="00D91013" w:rsidRDefault="000B1302" w:rsidP="00637889">
            <w:pPr>
              <w:pStyle w:val="TableColumnHeadingRight"/>
              <w:spacing w:before="30" w:after="30"/>
              <w:rPr>
                <w:sz w:val="18"/>
                <w:szCs w:val="18"/>
              </w:rPr>
            </w:pPr>
            <w:r w:rsidRPr="00D91013">
              <w:rPr>
                <w:bCs/>
                <w:sz w:val="18"/>
                <w:szCs w:val="18"/>
              </w:rPr>
              <w:t>Owner operator</w:t>
            </w:r>
          </w:p>
        </w:tc>
        <w:tc>
          <w:tcPr>
            <w:tcW w:w="1072" w:type="dxa"/>
            <w:tcBorders>
              <w:top w:val="single" w:sz="4" w:space="0" w:color="auto"/>
              <w:bottom w:val="single" w:sz="4" w:space="0" w:color="auto"/>
            </w:tcBorders>
            <w:shd w:val="clear" w:color="auto" w:fill="EEEEEE" w:themeFill="background2"/>
            <w:vAlign w:val="center"/>
          </w:tcPr>
          <w:p w14:paraId="4B6C752D" w14:textId="3A00B8A6" w:rsidR="000B1302" w:rsidRPr="00D91013" w:rsidRDefault="000B1302" w:rsidP="00637889">
            <w:pPr>
              <w:pStyle w:val="TableColumnHeadingRight"/>
              <w:spacing w:before="30" w:after="30"/>
              <w:rPr>
                <w:sz w:val="18"/>
                <w:szCs w:val="18"/>
              </w:rPr>
            </w:pPr>
            <w:r w:rsidRPr="00D91013">
              <w:rPr>
                <w:bCs/>
                <w:sz w:val="18"/>
                <w:szCs w:val="18"/>
              </w:rPr>
              <w:t>1 to 4 employees</w:t>
            </w:r>
          </w:p>
        </w:tc>
        <w:tc>
          <w:tcPr>
            <w:tcW w:w="1072" w:type="dxa"/>
            <w:tcBorders>
              <w:top w:val="single" w:sz="4" w:space="0" w:color="auto"/>
              <w:bottom w:val="single" w:sz="4" w:space="0" w:color="auto"/>
            </w:tcBorders>
            <w:shd w:val="clear" w:color="auto" w:fill="EEEEEE" w:themeFill="background2"/>
            <w:vAlign w:val="center"/>
          </w:tcPr>
          <w:p w14:paraId="1AD82D45" w14:textId="1A794960" w:rsidR="000B1302" w:rsidRPr="00D91013" w:rsidRDefault="000B1302" w:rsidP="00637889">
            <w:pPr>
              <w:pStyle w:val="TableColumnHeadingRight"/>
              <w:spacing w:before="30" w:after="30"/>
              <w:rPr>
                <w:sz w:val="18"/>
                <w:szCs w:val="18"/>
              </w:rPr>
            </w:pPr>
            <w:r w:rsidRPr="00D91013">
              <w:rPr>
                <w:bCs/>
                <w:sz w:val="18"/>
                <w:szCs w:val="18"/>
              </w:rPr>
              <w:t>5 to 19 employees</w:t>
            </w:r>
          </w:p>
        </w:tc>
        <w:tc>
          <w:tcPr>
            <w:tcW w:w="1072" w:type="dxa"/>
            <w:tcBorders>
              <w:top w:val="single" w:sz="4" w:space="0" w:color="auto"/>
              <w:bottom w:val="single" w:sz="4" w:space="0" w:color="auto"/>
              <w:right w:val="single" w:sz="4" w:space="0" w:color="auto"/>
            </w:tcBorders>
            <w:shd w:val="clear" w:color="auto" w:fill="EEEEEE" w:themeFill="background2"/>
            <w:vAlign w:val="center"/>
          </w:tcPr>
          <w:p w14:paraId="724D7572" w14:textId="5B81B7E9" w:rsidR="000B1302" w:rsidRPr="00D91013" w:rsidRDefault="000B1302" w:rsidP="00637889">
            <w:pPr>
              <w:pStyle w:val="TableColumnHeadingRight"/>
              <w:spacing w:before="30" w:after="30"/>
              <w:rPr>
                <w:sz w:val="18"/>
                <w:szCs w:val="18"/>
              </w:rPr>
            </w:pPr>
            <w:r w:rsidRPr="00D91013">
              <w:rPr>
                <w:bCs/>
                <w:sz w:val="18"/>
                <w:szCs w:val="18"/>
              </w:rPr>
              <w:t>20 or more employees</w:t>
            </w:r>
          </w:p>
        </w:tc>
        <w:tc>
          <w:tcPr>
            <w:tcW w:w="709" w:type="dxa"/>
            <w:tcBorders>
              <w:top w:val="single" w:sz="4" w:space="0" w:color="auto"/>
              <w:left w:val="single" w:sz="4" w:space="0" w:color="auto"/>
              <w:bottom w:val="single" w:sz="4" w:space="0" w:color="auto"/>
            </w:tcBorders>
            <w:shd w:val="clear" w:color="auto" w:fill="EEEEEE" w:themeFill="background2"/>
            <w:vAlign w:val="center"/>
          </w:tcPr>
          <w:p w14:paraId="209F9E43" w14:textId="57441FE2" w:rsidR="000B1302" w:rsidRPr="00D91013" w:rsidRDefault="000B1302" w:rsidP="00637889">
            <w:pPr>
              <w:pStyle w:val="TableColumnHeadingRight"/>
              <w:spacing w:before="30" w:after="30"/>
              <w:rPr>
                <w:sz w:val="18"/>
                <w:szCs w:val="18"/>
              </w:rPr>
            </w:pPr>
            <w:r w:rsidRPr="00D91013">
              <w:rPr>
                <w:bCs/>
                <w:sz w:val="18"/>
                <w:szCs w:val="18"/>
              </w:rPr>
              <w:t>Metro</w:t>
            </w:r>
          </w:p>
        </w:tc>
        <w:tc>
          <w:tcPr>
            <w:tcW w:w="926" w:type="dxa"/>
            <w:tcBorders>
              <w:top w:val="single" w:sz="4" w:space="0" w:color="auto"/>
              <w:bottom w:val="single" w:sz="4" w:space="0" w:color="auto"/>
              <w:right w:val="single" w:sz="4" w:space="0" w:color="auto"/>
            </w:tcBorders>
            <w:shd w:val="clear" w:color="auto" w:fill="EEEEEE" w:themeFill="background2"/>
            <w:vAlign w:val="center"/>
          </w:tcPr>
          <w:p w14:paraId="26872FF5" w14:textId="55AFE07E" w:rsidR="000B1302" w:rsidRPr="00D91013" w:rsidRDefault="000B1302" w:rsidP="00637889">
            <w:pPr>
              <w:pStyle w:val="TableColumnHeadingRight"/>
              <w:spacing w:before="30" w:after="30"/>
              <w:rPr>
                <w:sz w:val="18"/>
                <w:szCs w:val="18"/>
              </w:rPr>
            </w:pPr>
            <w:r w:rsidRPr="00D91013">
              <w:rPr>
                <w:bCs/>
                <w:sz w:val="18"/>
                <w:szCs w:val="18"/>
              </w:rPr>
              <w:t>Regional</w:t>
            </w:r>
          </w:p>
        </w:tc>
        <w:tc>
          <w:tcPr>
            <w:tcW w:w="603" w:type="dxa"/>
            <w:vMerge/>
            <w:tcBorders>
              <w:left w:val="single" w:sz="4" w:space="0" w:color="auto"/>
              <w:bottom w:val="single" w:sz="4" w:space="0" w:color="auto"/>
            </w:tcBorders>
            <w:shd w:val="clear" w:color="auto" w:fill="EEEEEE" w:themeFill="background2"/>
            <w:vAlign w:val="center"/>
          </w:tcPr>
          <w:p w14:paraId="2B4785A6" w14:textId="77777777" w:rsidR="000B1302" w:rsidRPr="00D91013" w:rsidRDefault="000B1302" w:rsidP="00637889">
            <w:pPr>
              <w:pStyle w:val="TableColumnHeadingRight"/>
              <w:spacing w:before="30" w:after="30"/>
              <w:rPr>
                <w:bCs/>
                <w:sz w:val="18"/>
                <w:szCs w:val="18"/>
              </w:rPr>
            </w:pPr>
          </w:p>
        </w:tc>
      </w:tr>
      <w:tr w:rsidR="0002544C" w:rsidRPr="00883271" w14:paraId="22E18DE1" w14:textId="77777777" w:rsidTr="0002544C">
        <w:trPr>
          <w:cnfStyle w:val="000000010000" w:firstRow="0" w:lastRow="0" w:firstColumn="0" w:lastColumn="0" w:oddVBand="0" w:evenVBand="0" w:oddHBand="0" w:evenHBand="1" w:firstRowFirstColumn="0" w:firstRowLastColumn="0" w:lastRowFirstColumn="0" w:lastRowLastColumn="0"/>
          <w:trHeight w:val="20"/>
          <w:jc w:val="center"/>
        </w:trPr>
        <w:tc>
          <w:tcPr>
            <w:tcW w:w="1975" w:type="dxa"/>
            <w:tcBorders>
              <w:top w:val="single" w:sz="4" w:space="0" w:color="auto"/>
            </w:tcBorders>
            <w:vAlign w:val="center"/>
          </w:tcPr>
          <w:p w14:paraId="1259F789" w14:textId="26696E4C" w:rsidR="000B1302" w:rsidRPr="00D91013" w:rsidRDefault="000B1302" w:rsidP="00637889">
            <w:pPr>
              <w:pStyle w:val="TableTextLeft"/>
              <w:spacing w:before="30" w:after="30"/>
              <w:rPr>
                <w:b/>
                <w:bCs/>
              </w:rPr>
            </w:pPr>
            <w:r w:rsidRPr="00D91013">
              <w:rPr>
                <w:b/>
                <w:bCs/>
              </w:rPr>
              <w:t>None</w:t>
            </w:r>
          </w:p>
        </w:tc>
        <w:tc>
          <w:tcPr>
            <w:tcW w:w="987" w:type="dxa"/>
            <w:tcBorders>
              <w:top w:val="single" w:sz="4" w:space="0" w:color="auto"/>
            </w:tcBorders>
            <w:vAlign w:val="center"/>
          </w:tcPr>
          <w:p w14:paraId="2079ED42" w14:textId="01FB72A2" w:rsidR="000B1302" w:rsidRPr="00883271" w:rsidRDefault="000B1302" w:rsidP="00637889">
            <w:pPr>
              <w:pStyle w:val="TableTextRight"/>
              <w:spacing w:before="30" w:after="30"/>
            </w:pPr>
            <w:r w:rsidRPr="00883271">
              <w:t>4%</w:t>
            </w:r>
          </w:p>
        </w:tc>
        <w:tc>
          <w:tcPr>
            <w:tcW w:w="706" w:type="dxa"/>
            <w:tcBorders>
              <w:top w:val="single" w:sz="4" w:space="0" w:color="auto"/>
              <w:right w:val="single" w:sz="4" w:space="0" w:color="auto"/>
            </w:tcBorders>
            <w:vAlign w:val="center"/>
          </w:tcPr>
          <w:p w14:paraId="008FB015" w14:textId="016E5D3C" w:rsidR="000B1302" w:rsidRPr="00883271" w:rsidRDefault="000B1302" w:rsidP="00637889">
            <w:pPr>
              <w:pStyle w:val="TableTextRight"/>
              <w:spacing w:before="30" w:after="30"/>
            </w:pPr>
            <w:r w:rsidRPr="00883271">
              <w:t>0%</w:t>
            </w:r>
          </w:p>
        </w:tc>
        <w:tc>
          <w:tcPr>
            <w:tcW w:w="987" w:type="dxa"/>
            <w:tcBorders>
              <w:top w:val="single" w:sz="4" w:space="0" w:color="auto"/>
              <w:left w:val="single" w:sz="4" w:space="0" w:color="auto"/>
            </w:tcBorders>
            <w:vAlign w:val="center"/>
          </w:tcPr>
          <w:p w14:paraId="2362C476" w14:textId="06C9A93E" w:rsidR="000B1302" w:rsidRPr="00883271" w:rsidRDefault="000B1302" w:rsidP="00637889">
            <w:pPr>
              <w:pStyle w:val="TableTextRight"/>
              <w:spacing w:before="30" w:after="30"/>
            </w:pPr>
            <w:r w:rsidRPr="00883271">
              <w:t>1%</w:t>
            </w:r>
          </w:p>
        </w:tc>
        <w:tc>
          <w:tcPr>
            <w:tcW w:w="987" w:type="dxa"/>
            <w:tcBorders>
              <w:top w:val="single" w:sz="4" w:space="0" w:color="auto"/>
            </w:tcBorders>
            <w:vAlign w:val="center"/>
          </w:tcPr>
          <w:p w14:paraId="1F17AA81" w14:textId="5AA1A87D" w:rsidR="000B1302" w:rsidRPr="00883271" w:rsidRDefault="000B1302" w:rsidP="00637889">
            <w:pPr>
              <w:pStyle w:val="TableTextRight"/>
              <w:spacing w:before="30" w:after="30"/>
            </w:pPr>
            <w:r w:rsidRPr="00883271">
              <w:t>3%</w:t>
            </w:r>
          </w:p>
        </w:tc>
        <w:tc>
          <w:tcPr>
            <w:tcW w:w="1410" w:type="dxa"/>
            <w:tcBorders>
              <w:top w:val="single" w:sz="4" w:space="0" w:color="auto"/>
              <w:right w:val="single" w:sz="4" w:space="0" w:color="auto"/>
            </w:tcBorders>
            <w:vAlign w:val="center"/>
          </w:tcPr>
          <w:p w14:paraId="69F4C85A" w14:textId="34C73DFB" w:rsidR="000B1302" w:rsidRPr="00883271" w:rsidRDefault="000B1302" w:rsidP="00637889">
            <w:pPr>
              <w:pStyle w:val="TableTextRight"/>
              <w:spacing w:before="30" w:after="30"/>
            </w:pPr>
            <w:r w:rsidRPr="00883271">
              <w:t>5%</w:t>
            </w:r>
          </w:p>
        </w:tc>
        <w:tc>
          <w:tcPr>
            <w:tcW w:w="1072" w:type="dxa"/>
            <w:tcBorders>
              <w:top w:val="single" w:sz="4" w:space="0" w:color="auto"/>
              <w:left w:val="single" w:sz="4" w:space="0" w:color="auto"/>
            </w:tcBorders>
            <w:vAlign w:val="center"/>
          </w:tcPr>
          <w:p w14:paraId="6EB710B4" w14:textId="35D7D9B1" w:rsidR="000B1302" w:rsidRPr="00883271" w:rsidRDefault="000B1302" w:rsidP="00637889">
            <w:pPr>
              <w:pStyle w:val="TableTextRight"/>
              <w:spacing w:before="30" w:after="30"/>
            </w:pPr>
            <w:r w:rsidRPr="00883271">
              <w:t>8%</w:t>
            </w:r>
          </w:p>
        </w:tc>
        <w:tc>
          <w:tcPr>
            <w:tcW w:w="1072" w:type="dxa"/>
            <w:tcBorders>
              <w:top w:val="single" w:sz="4" w:space="0" w:color="auto"/>
            </w:tcBorders>
            <w:vAlign w:val="center"/>
          </w:tcPr>
          <w:p w14:paraId="0008B00C" w14:textId="7AC6C09A" w:rsidR="000B1302" w:rsidRPr="00883271" w:rsidRDefault="000B1302" w:rsidP="00637889">
            <w:pPr>
              <w:pStyle w:val="TableTextRight"/>
              <w:spacing w:before="30" w:after="30"/>
            </w:pPr>
            <w:r w:rsidRPr="00883271">
              <w:t>0%</w:t>
            </w:r>
          </w:p>
        </w:tc>
        <w:tc>
          <w:tcPr>
            <w:tcW w:w="1072" w:type="dxa"/>
            <w:tcBorders>
              <w:top w:val="single" w:sz="4" w:space="0" w:color="auto"/>
            </w:tcBorders>
            <w:vAlign w:val="center"/>
          </w:tcPr>
          <w:p w14:paraId="68566A23" w14:textId="1A60486A" w:rsidR="000B1302" w:rsidRPr="00883271" w:rsidRDefault="000B1302" w:rsidP="00637889">
            <w:pPr>
              <w:pStyle w:val="TableTextRight"/>
              <w:spacing w:before="30" w:after="30"/>
            </w:pPr>
            <w:r w:rsidRPr="00883271">
              <w:t>2%</w:t>
            </w:r>
          </w:p>
        </w:tc>
        <w:tc>
          <w:tcPr>
            <w:tcW w:w="1072" w:type="dxa"/>
            <w:tcBorders>
              <w:top w:val="single" w:sz="4" w:space="0" w:color="auto"/>
              <w:right w:val="single" w:sz="4" w:space="0" w:color="auto"/>
            </w:tcBorders>
            <w:vAlign w:val="center"/>
          </w:tcPr>
          <w:p w14:paraId="5632C03E" w14:textId="2D366227" w:rsidR="000B1302" w:rsidRPr="00883271" w:rsidRDefault="000B1302" w:rsidP="00637889">
            <w:pPr>
              <w:pStyle w:val="TableTextRight"/>
              <w:spacing w:before="30" w:after="30"/>
            </w:pPr>
            <w:r w:rsidRPr="00883271">
              <w:t>0%</w:t>
            </w:r>
          </w:p>
        </w:tc>
        <w:tc>
          <w:tcPr>
            <w:tcW w:w="709" w:type="dxa"/>
            <w:tcBorders>
              <w:top w:val="single" w:sz="4" w:space="0" w:color="auto"/>
              <w:left w:val="single" w:sz="4" w:space="0" w:color="auto"/>
            </w:tcBorders>
            <w:vAlign w:val="center"/>
          </w:tcPr>
          <w:p w14:paraId="7405F7D7" w14:textId="5BBAED81" w:rsidR="000B1302" w:rsidRPr="00883271" w:rsidRDefault="000B1302" w:rsidP="00637889">
            <w:pPr>
              <w:pStyle w:val="TableTextRight"/>
              <w:spacing w:before="30" w:after="30"/>
            </w:pPr>
            <w:r w:rsidRPr="00883271">
              <w:t>3%</w:t>
            </w:r>
          </w:p>
        </w:tc>
        <w:tc>
          <w:tcPr>
            <w:tcW w:w="926" w:type="dxa"/>
            <w:tcBorders>
              <w:top w:val="single" w:sz="4" w:space="0" w:color="auto"/>
              <w:right w:val="single" w:sz="4" w:space="0" w:color="auto"/>
            </w:tcBorders>
            <w:vAlign w:val="center"/>
          </w:tcPr>
          <w:p w14:paraId="2401F3D6" w14:textId="09AD62FB" w:rsidR="000B1302" w:rsidRPr="00883271" w:rsidRDefault="000B1302" w:rsidP="00637889">
            <w:pPr>
              <w:pStyle w:val="TableTextRight"/>
              <w:spacing w:before="30" w:after="30"/>
            </w:pPr>
            <w:r w:rsidRPr="00883271">
              <w:t>1%</w:t>
            </w:r>
          </w:p>
        </w:tc>
        <w:tc>
          <w:tcPr>
            <w:tcW w:w="603" w:type="dxa"/>
            <w:tcBorders>
              <w:top w:val="single" w:sz="4" w:space="0" w:color="auto"/>
              <w:left w:val="single" w:sz="4" w:space="0" w:color="auto"/>
            </w:tcBorders>
            <w:vAlign w:val="center"/>
          </w:tcPr>
          <w:p w14:paraId="79F40E9D" w14:textId="07DECEBA" w:rsidR="000B1302" w:rsidRPr="00D91013" w:rsidRDefault="000B1302" w:rsidP="00637889">
            <w:pPr>
              <w:pStyle w:val="TableTextRight"/>
              <w:spacing w:before="30" w:after="30"/>
              <w:rPr>
                <w:b/>
                <w:bCs/>
              </w:rPr>
            </w:pPr>
            <w:r w:rsidRPr="00D91013">
              <w:rPr>
                <w:b/>
                <w:bCs/>
              </w:rPr>
              <w:t>2%</w:t>
            </w:r>
          </w:p>
        </w:tc>
      </w:tr>
      <w:tr w:rsidR="0002544C" w:rsidRPr="00883271" w14:paraId="33AEE605" w14:textId="77777777" w:rsidTr="0002544C">
        <w:trPr>
          <w:cnfStyle w:val="000000100000" w:firstRow="0" w:lastRow="0" w:firstColumn="0" w:lastColumn="0" w:oddVBand="0" w:evenVBand="0" w:oddHBand="1" w:evenHBand="0" w:firstRowFirstColumn="0" w:firstRowLastColumn="0" w:lastRowFirstColumn="0" w:lastRowLastColumn="0"/>
          <w:trHeight w:val="20"/>
          <w:jc w:val="center"/>
        </w:trPr>
        <w:tc>
          <w:tcPr>
            <w:tcW w:w="1975" w:type="dxa"/>
            <w:vAlign w:val="center"/>
          </w:tcPr>
          <w:p w14:paraId="420CB97E" w14:textId="3EA9A4A3" w:rsidR="000B1302" w:rsidRPr="00D91013" w:rsidRDefault="000B1302" w:rsidP="00637889">
            <w:pPr>
              <w:pStyle w:val="TableTextLeft"/>
              <w:spacing w:before="30" w:after="30"/>
              <w:rPr>
                <w:b/>
                <w:bCs/>
              </w:rPr>
            </w:pPr>
            <w:r w:rsidRPr="00D91013">
              <w:rPr>
                <w:b/>
                <w:bCs/>
              </w:rPr>
              <w:t>1 to 4</w:t>
            </w:r>
          </w:p>
        </w:tc>
        <w:tc>
          <w:tcPr>
            <w:tcW w:w="987" w:type="dxa"/>
            <w:vAlign w:val="center"/>
          </w:tcPr>
          <w:p w14:paraId="7D34FEEC" w14:textId="61A5E033" w:rsidR="000B1302" w:rsidRPr="00883271" w:rsidRDefault="000B1302" w:rsidP="00637889">
            <w:pPr>
              <w:pStyle w:val="TableTextRight"/>
              <w:spacing w:before="30" w:after="30"/>
            </w:pPr>
            <w:r w:rsidRPr="00883271">
              <w:t>66%</w:t>
            </w:r>
          </w:p>
        </w:tc>
        <w:tc>
          <w:tcPr>
            <w:tcW w:w="706" w:type="dxa"/>
            <w:tcBorders>
              <w:right w:val="single" w:sz="4" w:space="0" w:color="auto"/>
            </w:tcBorders>
            <w:vAlign w:val="center"/>
          </w:tcPr>
          <w:p w14:paraId="75249001" w14:textId="4F49EA14" w:rsidR="000B1302" w:rsidRPr="00883271" w:rsidRDefault="000B1302" w:rsidP="00637889">
            <w:pPr>
              <w:pStyle w:val="TableTextRight"/>
              <w:spacing w:before="30" w:after="30"/>
            </w:pPr>
            <w:r w:rsidRPr="00883271">
              <w:t>43%</w:t>
            </w:r>
          </w:p>
        </w:tc>
        <w:tc>
          <w:tcPr>
            <w:tcW w:w="987" w:type="dxa"/>
            <w:tcBorders>
              <w:left w:val="single" w:sz="4" w:space="0" w:color="auto"/>
            </w:tcBorders>
            <w:vAlign w:val="center"/>
          </w:tcPr>
          <w:p w14:paraId="16B56256" w14:textId="1211C89D" w:rsidR="000B1302" w:rsidRPr="00883271" w:rsidRDefault="000B1302" w:rsidP="00637889">
            <w:pPr>
              <w:pStyle w:val="TableTextRight"/>
              <w:spacing w:before="30" w:after="30"/>
            </w:pPr>
            <w:r w:rsidRPr="00883271">
              <w:t>62%</w:t>
            </w:r>
          </w:p>
        </w:tc>
        <w:tc>
          <w:tcPr>
            <w:tcW w:w="987" w:type="dxa"/>
            <w:vAlign w:val="center"/>
          </w:tcPr>
          <w:p w14:paraId="478A4D57" w14:textId="3C653793" w:rsidR="000B1302" w:rsidRPr="00883271" w:rsidRDefault="000B1302" w:rsidP="00637889">
            <w:pPr>
              <w:pStyle w:val="TableTextRight"/>
              <w:spacing w:before="30" w:after="30"/>
            </w:pPr>
            <w:r w:rsidRPr="00883271">
              <w:t>41%</w:t>
            </w:r>
          </w:p>
        </w:tc>
        <w:tc>
          <w:tcPr>
            <w:tcW w:w="1410" w:type="dxa"/>
            <w:tcBorders>
              <w:right w:val="single" w:sz="4" w:space="0" w:color="auto"/>
            </w:tcBorders>
            <w:vAlign w:val="center"/>
          </w:tcPr>
          <w:p w14:paraId="1FC5E31E" w14:textId="04A80219" w:rsidR="000B1302" w:rsidRPr="00883271" w:rsidRDefault="000B1302" w:rsidP="00637889">
            <w:pPr>
              <w:pStyle w:val="TableTextRight"/>
              <w:spacing w:before="30" w:after="30"/>
            </w:pPr>
            <w:r w:rsidRPr="00883271">
              <w:t>44%</w:t>
            </w:r>
          </w:p>
        </w:tc>
        <w:tc>
          <w:tcPr>
            <w:tcW w:w="1072" w:type="dxa"/>
            <w:tcBorders>
              <w:left w:val="single" w:sz="4" w:space="0" w:color="auto"/>
            </w:tcBorders>
            <w:vAlign w:val="center"/>
          </w:tcPr>
          <w:p w14:paraId="05A6A794" w14:textId="214F9230" w:rsidR="000B1302" w:rsidRPr="00883271" w:rsidRDefault="000B1302" w:rsidP="00637889">
            <w:pPr>
              <w:pStyle w:val="TableTextRight"/>
              <w:spacing w:before="30" w:after="30"/>
            </w:pPr>
            <w:r w:rsidRPr="00883271">
              <w:t>66%</w:t>
            </w:r>
          </w:p>
        </w:tc>
        <w:tc>
          <w:tcPr>
            <w:tcW w:w="1072" w:type="dxa"/>
            <w:vAlign w:val="center"/>
          </w:tcPr>
          <w:p w14:paraId="65779CA6" w14:textId="4722E8F3" w:rsidR="000B1302" w:rsidRPr="00883271" w:rsidRDefault="000B1302" w:rsidP="00637889">
            <w:pPr>
              <w:pStyle w:val="TableTextRight"/>
              <w:spacing w:before="30" w:after="30"/>
            </w:pPr>
            <w:r w:rsidRPr="00883271">
              <w:t>77%</w:t>
            </w:r>
          </w:p>
        </w:tc>
        <w:tc>
          <w:tcPr>
            <w:tcW w:w="1072" w:type="dxa"/>
            <w:vAlign w:val="center"/>
          </w:tcPr>
          <w:p w14:paraId="38C17BE0" w14:textId="30E4732A" w:rsidR="000B1302" w:rsidRPr="00883271" w:rsidRDefault="000B1302" w:rsidP="00637889">
            <w:pPr>
              <w:pStyle w:val="TableTextRight"/>
              <w:spacing w:before="30" w:after="30"/>
            </w:pPr>
            <w:r w:rsidRPr="00883271">
              <w:t>48%</w:t>
            </w:r>
          </w:p>
        </w:tc>
        <w:tc>
          <w:tcPr>
            <w:tcW w:w="1072" w:type="dxa"/>
            <w:tcBorders>
              <w:right w:val="single" w:sz="4" w:space="0" w:color="auto"/>
            </w:tcBorders>
            <w:vAlign w:val="center"/>
          </w:tcPr>
          <w:p w14:paraId="71BA059B" w14:textId="659F71FA" w:rsidR="000B1302" w:rsidRPr="00883271" w:rsidRDefault="000B1302" w:rsidP="00637889">
            <w:pPr>
              <w:pStyle w:val="TableTextRight"/>
              <w:spacing w:before="30" w:after="30"/>
            </w:pPr>
            <w:r w:rsidRPr="00883271">
              <w:t>28%</w:t>
            </w:r>
          </w:p>
        </w:tc>
        <w:tc>
          <w:tcPr>
            <w:tcW w:w="709" w:type="dxa"/>
            <w:tcBorders>
              <w:left w:val="single" w:sz="4" w:space="0" w:color="auto"/>
            </w:tcBorders>
            <w:vAlign w:val="center"/>
          </w:tcPr>
          <w:p w14:paraId="08760538" w14:textId="6045822A" w:rsidR="000B1302" w:rsidRPr="00883271" w:rsidRDefault="000B1302" w:rsidP="00637889">
            <w:pPr>
              <w:pStyle w:val="TableTextRight"/>
              <w:spacing w:before="30" w:after="30"/>
            </w:pPr>
            <w:r w:rsidRPr="00883271">
              <w:t>49%</w:t>
            </w:r>
          </w:p>
        </w:tc>
        <w:tc>
          <w:tcPr>
            <w:tcW w:w="926" w:type="dxa"/>
            <w:tcBorders>
              <w:right w:val="single" w:sz="4" w:space="0" w:color="auto"/>
            </w:tcBorders>
            <w:vAlign w:val="center"/>
          </w:tcPr>
          <w:p w14:paraId="32B2FD33" w14:textId="18A07F6F" w:rsidR="000B1302" w:rsidRPr="00883271" w:rsidRDefault="000B1302" w:rsidP="00637889">
            <w:pPr>
              <w:pStyle w:val="TableTextRight"/>
              <w:spacing w:before="30" w:after="30"/>
            </w:pPr>
            <w:r w:rsidRPr="00883271">
              <w:t>62%</w:t>
            </w:r>
          </w:p>
        </w:tc>
        <w:tc>
          <w:tcPr>
            <w:tcW w:w="603" w:type="dxa"/>
            <w:tcBorders>
              <w:left w:val="single" w:sz="4" w:space="0" w:color="auto"/>
            </w:tcBorders>
            <w:vAlign w:val="center"/>
          </w:tcPr>
          <w:p w14:paraId="17A86EC9" w14:textId="35B9167D" w:rsidR="000B1302" w:rsidRPr="00D91013" w:rsidRDefault="000B1302" w:rsidP="00637889">
            <w:pPr>
              <w:pStyle w:val="TableTextRight"/>
              <w:spacing w:before="30" w:after="30"/>
              <w:rPr>
                <w:b/>
                <w:bCs/>
              </w:rPr>
            </w:pPr>
            <w:r w:rsidRPr="00D91013">
              <w:rPr>
                <w:b/>
                <w:bCs/>
              </w:rPr>
              <w:t>56%</w:t>
            </w:r>
          </w:p>
        </w:tc>
      </w:tr>
      <w:tr w:rsidR="0002544C" w:rsidRPr="00883271" w14:paraId="47110532" w14:textId="77777777" w:rsidTr="0002544C">
        <w:trPr>
          <w:cnfStyle w:val="000000010000" w:firstRow="0" w:lastRow="0" w:firstColumn="0" w:lastColumn="0" w:oddVBand="0" w:evenVBand="0" w:oddHBand="0" w:evenHBand="1" w:firstRowFirstColumn="0" w:firstRowLastColumn="0" w:lastRowFirstColumn="0" w:lastRowLastColumn="0"/>
          <w:trHeight w:val="20"/>
          <w:jc w:val="center"/>
        </w:trPr>
        <w:tc>
          <w:tcPr>
            <w:tcW w:w="1975" w:type="dxa"/>
            <w:vAlign w:val="center"/>
          </w:tcPr>
          <w:p w14:paraId="57BB0EDA" w14:textId="618E16F3" w:rsidR="000B1302" w:rsidRPr="00D91013" w:rsidRDefault="000B1302" w:rsidP="00637889">
            <w:pPr>
              <w:pStyle w:val="TableTextLeft"/>
              <w:spacing w:before="30" w:after="30"/>
              <w:rPr>
                <w:b/>
                <w:bCs/>
              </w:rPr>
            </w:pPr>
            <w:r w:rsidRPr="00D91013">
              <w:rPr>
                <w:b/>
                <w:bCs/>
              </w:rPr>
              <w:t>5 to 9</w:t>
            </w:r>
          </w:p>
        </w:tc>
        <w:tc>
          <w:tcPr>
            <w:tcW w:w="987" w:type="dxa"/>
            <w:vAlign w:val="center"/>
          </w:tcPr>
          <w:p w14:paraId="3E35B483" w14:textId="0354A6C2" w:rsidR="000B1302" w:rsidRPr="00883271" w:rsidRDefault="000B1302" w:rsidP="00637889">
            <w:pPr>
              <w:pStyle w:val="TableTextRight"/>
              <w:spacing w:before="30" w:after="30"/>
            </w:pPr>
            <w:r w:rsidRPr="00883271">
              <w:t>22%</w:t>
            </w:r>
          </w:p>
        </w:tc>
        <w:tc>
          <w:tcPr>
            <w:tcW w:w="706" w:type="dxa"/>
            <w:tcBorders>
              <w:right w:val="single" w:sz="4" w:space="0" w:color="auto"/>
            </w:tcBorders>
            <w:vAlign w:val="center"/>
          </w:tcPr>
          <w:p w14:paraId="2D5ACDF9" w14:textId="715C772B" w:rsidR="000B1302" w:rsidRPr="00883271" w:rsidRDefault="000B1302" w:rsidP="00637889">
            <w:pPr>
              <w:pStyle w:val="TableTextRight"/>
              <w:spacing w:before="30" w:after="30"/>
            </w:pPr>
            <w:r w:rsidRPr="00883271">
              <w:t>34%</w:t>
            </w:r>
          </w:p>
        </w:tc>
        <w:tc>
          <w:tcPr>
            <w:tcW w:w="987" w:type="dxa"/>
            <w:tcBorders>
              <w:left w:val="single" w:sz="4" w:space="0" w:color="auto"/>
            </w:tcBorders>
            <w:vAlign w:val="center"/>
          </w:tcPr>
          <w:p w14:paraId="0F9C8EC5" w14:textId="044F4D7D" w:rsidR="000B1302" w:rsidRPr="00883271" w:rsidRDefault="000B1302" w:rsidP="00637889">
            <w:pPr>
              <w:pStyle w:val="TableTextRight"/>
              <w:spacing w:before="30" w:after="30"/>
            </w:pPr>
            <w:r w:rsidRPr="00883271">
              <w:t>22%</w:t>
            </w:r>
          </w:p>
        </w:tc>
        <w:tc>
          <w:tcPr>
            <w:tcW w:w="987" w:type="dxa"/>
            <w:vAlign w:val="center"/>
          </w:tcPr>
          <w:p w14:paraId="041DCFB8" w14:textId="3BBAB219" w:rsidR="000B1302" w:rsidRPr="00883271" w:rsidRDefault="000B1302" w:rsidP="00637889">
            <w:pPr>
              <w:pStyle w:val="TableTextRight"/>
              <w:spacing w:before="30" w:after="30"/>
            </w:pPr>
            <w:r w:rsidRPr="00883271">
              <w:t>49%</w:t>
            </w:r>
          </w:p>
        </w:tc>
        <w:tc>
          <w:tcPr>
            <w:tcW w:w="1410" w:type="dxa"/>
            <w:tcBorders>
              <w:right w:val="single" w:sz="4" w:space="0" w:color="auto"/>
            </w:tcBorders>
            <w:vAlign w:val="center"/>
          </w:tcPr>
          <w:p w14:paraId="06B68982" w14:textId="29083A8B" w:rsidR="000B1302" w:rsidRPr="00883271" w:rsidRDefault="000B1302" w:rsidP="00637889">
            <w:pPr>
              <w:pStyle w:val="TableTextRight"/>
              <w:spacing w:before="30" w:after="30"/>
            </w:pPr>
            <w:r w:rsidRPr="00883271">
              <w:t>37%</w:t>
            </w:r>
          </w:p>
        </w:tc>
        <w:tc>
          <w:tcPr>
            <w:tcW w:w="1072" w:type="dxa"/>
            <w:tcBorders>
              <w:left w:val="single" w:sz="4" w:space="0" w:color="auto"/>
            </w:tcBorders>
            <w:vAlign w:val="center"/>
          </w:tcPr>
          <w:p w14:paraId="23C5F487" w14:textId="1DFDB4A7" w:rsidR="000B1302" w:rsidRPr="00883271" w:rsidRDefault="000B1302" w:rsidP="00637889">
            <w:pPr>
              <w:pStyle w:val="TableTextRight"/>
              <w:spacing w:before="30" w:after="30"/>
            </w:pPr>
            <w:r w:rsidRPr="00883271">
              <w:t>21%</w:t>
            </w:r>
          </w:p>
        </w:tc>
        <w:tc>
          <w:tcPr>
            <w:tcW w:w="1072" w:type="dxa"/>
            <w:vAlign w:val="center"/>
          </w:tcPr>
          <w:p w14:paraId="7C42B0A3" w14:textId="324862A9" w:rsidR="000B1302" w:rsidRPr="00883271" w:rsidRDefault="000B1302" w:rsidP="00637889">
            <w:pPr>
              <w:pStyle w:val="TableTextRight"/>
              <w:spacing w:before="30" w:after="30"/>
            </w:pPr>
            <w:r w:rsidRPr="00883271">
              <w:t>17%</w:t>
            </w:r>
          </w:p>
        </w:tc>
        <w:tc>
          <w:tcPr>
            <w:tcW w:w="1072" w:type="dxa"/>
            <w:vAlign w:val="center"/>
          </w:tcPr>
          <w:p w14:paraId="257F5600" w14:textId="5BD26A64" w:rsidR="000B1302" w:rsidRPr="00883271" w:rsidRDefault="000B1302" w:rsidP="00637889">
            <w:pPr>
              <w:pStyle w:val="TableTextRight"/>
              <w:spacing w:before="30" w:after="30"/>
            </w:pPr>
            <w:r w:rsidRPr="00883271">
              <w:t>36%</w:t>
            </w:r>
          </w:p>
        </w:tc>
        <w:tc>
          <w:tcPr>
            <w:tcW w:w="1072" w:type="dxa"/>
            <w:tcBorders>
              <w:right w:val="single" w:sz="4" w:space="0" w:color="auto"/>
            </w:tcBorders>
            <w:vAlign w:val="center"/>
          </w:tcPr>
          <w:p w14:paraId="21131059" w14:textId="01956864" w:rsidR="000B1302" w:rsidRPr="00883271" w:rsidRDefault="000B1302" w:rsidP="00637889">
            <w:pPr>
              <w:pStyle w:val="TableTextRight"/>
              <w:spacing w:before="30" w:after="30"/>
            </w:pPr>
            <w:r w:rsidRPr="00883271">
              <w:t>28%</w:t>
            </w:r>
          </w:p>
        </w:tc>
        <w:tc>
          <w:tcPr>
            <w:tcW w:w="709" w:type="dxa"/>
            <w:tcBorders>
              <w:left w:val="single" w:sz="4" w:space="0" w:color="auto"/>
            </w:tcBorders>
            <w:vAlign w:val="center"/>
          </w:tcPr>
          <w:p w14:paraId="7366F1B5" w14:textId="135366A4" w:rsidR="000B1302" w:rsidRPr="00883271" w:rsidRDefault="000B1302" w:rsidP="00637889">
            <w:pPr>
              <w:pStyle w:val="TableTextRight"/>
              <w:spacing w:before="30" w:after="30"/>
            </w:pPr>
            <w:r w:rsidRPr="00883271">
              <w:t>29%</w:t>
            </w:r>
          </w:p>
        </w:tc>
        <w:tc>
          <w:tcPr>
            <w:tcW w:w="926" w:type="dxa"/>
            <w:tcBorders>
              <w:right w:val="single" w:sz="4" w:space="0" w:color="auto"/>
            </w:tcBorders>
            <w:vAlign w:val="center"/>
          </w:tcPr>
          <w:p w14:paraId="4F53A29E" w14:textId="4F7D41D5" w:rsidR="000B1302" w:rsidRPr="00883271" w:rsidRDefault="000B1302" w:rsidP="00637889">
            <w:pPr>
              <w:pStyle w:val="TableTextRight"/>
              <w:spacing w:before="30" w:after="30"/>
            </w:pPr>
            <w:r w:rsidRPr="00883271">
              <w:t>27%</w:t>
            </w:r>
          </w:p>
        </w:tc>
        <w:tc>
          <w:tcPr>
            <w:tcW w:w="603" w:type="dxa"/>
            <w:tcBorders>
              <w:left w:val="single" w:sz="4" w:space="0" w:color="auto"/>
            </w:tcBorders>
            <w:vAlign w:val="center"/>
          </w:tcPr>
          <w:p w14:paraId="56925699" w14:textId="0D1DE8EB" w:rsidR="000B1302" w:rsidRPr="00D91013" w:rsidRDefault="000B1302" w:rsidP="00637889">
            <w:pPr>
              <w:pStyle w:val="TableTextRight"/>
              <w:spacing w:before="30" w:after="30"/>
              <w:rPr>
                <w:b/>
                <w:bCs/>
              </w:rPr>
            </w:pPr>
            <w:r w:rsidRPr="00D91013">
              <w:rPr>
                <w:b/>
                <w:bCs/>
              </w:rPr>
              <w:t>27%</w:t>
            </w:r>
          </w:p>
        </w:tc>
      </w:tr>
      <w:tr w:rsidR="0002544C" w:rsidRPr="00883271" w14:paraId="127659ED" w14:textId="77777777" w:rsidTr="0002544C">
        <w:trPr>
          <w:cnfStyle w:val="000000100000" w:firstRow="0" w:lastRow="0" w:firstColumn="0" w:lastColumn="0" w:oddVBand="0" w:evenVBand="0" w:oddHBand="1" w:evenHBand="0" w:firstRowFirstColumn="0" w:firstRowLastColumn="0" w:lastRowFirstColumn="0" w:lastRowLastColumn="0"/>
          <w:trHeight w:val="20"/>
          <w:jc w:val="center"/>
        </w:trPr>
        <w:tc>
          <w:tcPr>
            <w:tcW w:w="1975" w:type="dxa"/>
            <w:tcBorders>
              <w:bottom w:val="single" w:sz="4" w:space="0" w:color="auto"/>
            </w:tcBorders>
            <w:vAlign w:val="center"/>
          </w:tcPr>
          <w:p w14:paraId="7301324B" w14:textId="42BF4497" w:rsidR="000B1302" w:rsidRPr="00D91013" w:rsidRDefault="000B1302" w:rsidP="00637889">
            <w:pPr>
              <w:pStyle w:val="TableTextLeft"/>
              <w:spacing w:before="30" w:after="30"/>
              <w:rPr>
                <w:b/>
                <w:bCs/>
              </w:rPr>
            </w:pPr>
            <w:r w:rsidRPr="00D91013">
              <w:rPr>
                <w:b/>
                <w:bCs/>
              </w:rPr>
              <w:t>10 or more</w:t>
            </w:r>
          </w:p>
        </w:tc>
        <w:tc>
          <w:tcPr>
            <w:tcW w:w="987" w:type="dxa"/>
            <w:tcBorders>
              <w:bottom w:val="single" w:sz="4" w:space="0" w:color="auto"/>
            </w:tcBorders>
            <w:vAlign w:val="center"/>
          </w:tcPr>
          <w:p w14:paraId="0FF34D01" w14:textId="05D7CC24" w:rsidR="000B1302" w:rsidRPr="00883271" w:rsidRDefault="000B1302" w:rsidP="00637889">
            <w:pPr>
              <w:pStyle w:val="TableTextRight"/>
              <w:spacing w:before="30" w:after="30"/>
            </w:pPr>
            <w:r w:rsidRPr="00883271">
              <w:t>8%</w:t>
            </w:r>
          </w:p>
        </w:tc>
        <w:tc>
          <w:tcPr>
            <w:tcW w:w="706" w:type="dxa"/>
            <w:tcBorders>
              <w:bottom w:val="single" w:sz="4" w:space="0" w:color="auto"/>
              <w:right w:val="single" w:sz="4" w:space="0" w:color="auto"/>
            </w:tcBorders>
            <w:vAlign w:val="center"/>
          </w:tcPr>
          <w:p w14:paraId="03DDC641" w14:textId="5E1C7C42" w:rsidR="000B1302" w:rsidRPr="00883271" w:rsidRDefault="000B1302" w:rsidP="00637889">
            <w:pPr>
              <w:pStyle w:val="TableTextRight"/>
              <w:spacing w:before="30" w:after="30"/>
            </w:pPr>
            <w:r w:rsidRPr="00883271">
              <w:t>23%</w:t>
            </w:r>
          </w:p>
        </w:tc>
        <w:tc>
          <w:tcPr>
            <w:tcW w:w="987" w:type="dxa"/>
            <w:tcBorders>
              <w:left w:val="single" w:sz="4" w:space="0" w:color="auto"/>
              <w:bottom w:val="single" w:sz="4" w:space="0" w:color="auto"/>
            </w:tcBorders>
            <w:vAlign w:val="center"/>
          </w:tcPr>
          <w:p w14:paraId="6E0B6980" w14:textId="59279218" w:rsidR="000B1302" w:rsidRPr="00883271" w:rsidRDefault="000B1302" w:rsidP="00637889">
            <w:pPr>
              <w:pStyle w:val="TableTextRight"/>
              <w:spacing w:before="30" w:after="30"/>
            </w:pPr>
            <w:r w:rsidRPr="00883271">
              <w:t>15%</w:t>
            </w:r>
          </w:p>
        </w:tc>
        <w:tc>
          <w:tcPr>
            <w:tcW w:w="987" w:type="dxa"/>
            <w:tcBorders>
              <w:bottom w:val="single" w:sz="4" w:space="0" w:color="auto"/>
            </w:tcBorders>
            <w:vAlign w:val="center"/>
          </w:tcPr>
          <w:p w14:paraId="46DB550D" w14:textId="70F74539" w:rsidR="000B1302" w:rsidRPr="00883271" w:rsidRDefault="000B1302" w:rsidP="00637889">
            <w:pPr>
              <w:pStyle w:val="TableTextRight"/>
              <w:spacing w:before="30" w:after="30"/>
            </w:pPr>
            <w:r w:rsidRPr="00883271">
              <w:t>8%</w:t>
            </w:r>
          </w:p>
        </w:tc>
        <w:tc>
          <w:tcPr>
            <w:tcW w:w="1410" w:type="dxa"/>
            <w:tcBorders>
              <w:bottom w:val="single" w:sz="4" w:space="0" w:color="auto"/>
              <w:right w:val="single" w:sz="4" w:space="0" w:color="auto"/>
            </w:tcBorders>
            <w:vAlign w:val="center"/>
          </w:tcPr>
          <w:p w14:paraId="675AAFCF" w14:textId="0D758836" w:rsidR="000B1302" w:rsidRPr="00883271" w:rsidRDefault="000B1302" w:rsidP="00637889">
            <w:pPr>
              <w:pStyle w:val="TableTextRight"/>
              <w:spacing w:before="30" w:after="30"/>
            </w:pPr>
            <w:r w:rsidRPr="00883271">
              <w:t>15%</w:t>
            </w:r>
          </w:p>
        </w:tc>
        <w:tc>
          <w:tcPr>
            <w:tcW w:w="1072" w:type="dxa"/>
            <w:tcBorders>
              <w:left w:val="single" w:sz="4" w:space="0" w:color="auto"/>
              <w:bottom w:val="single" w:sz="4" w:space="0" w:color="auto"/>
            </w:tcBorders>
            <w:vAlign w:val="center"/>
          </w:tcPr>
          <w:p w14:paraId="1D177B1B" w14:textId="4DD55D9F" w:rsidR="000B1302" w:rsidRPr="00883271" w:rsidRDefault="000B1302" w:rsidP="00637889">
            <w:pPr>
              <w:pStyle w:val="TableTextRight"/>
              <w:spacing w:before="30" w:after="30"/>
            </w:pPr>
            <w:r w:rsidRPr="00883271">
              <w:t>5%</w:t>
            </w:r>
          </w:p>
        </w:tc>
        <w:tc>
          <w:tcPr>
            <w:tcW w:w="1072" w:type="dxa"/>
            <w:tcBorders>
              <w:bottom w:val="single" w:sz="4" w:space="0" w:color="auto"/>
            </w:tcBorders>
            <w:vAlign w:val="center"/>
          </w:tcPr>
          <w:p w14:paraId="28DA8BA8" w14:textId="1ECD8789" w:rsidR="000B1302" w:rsidRPr="00883271" w:rsidRDefault="000B1302" w:rsidP="00637889">
            <w:pPr>
              <w:pStyle w:val="TableTextRight"/>
              <w:spacing w:before="30" w:after="30"/>
            </w:pPr>
            <w:r w:rsidRPr="00883271">
              <w:t>6%</w:t>
            </w:r>
          </w:p>
        </w:tc>
        <w:tc>
          <w:tcPr>
            <w:tcW w:w="1072" w:type="dxa"/>
            <w:tcBorders>
              <w:bottom w:val="single" w:sz="4" w:space="0" w:color="auto"/>
            </w:tcBorders>
            <w:vAlign w:val="center"/>
          </w:tcPr>
          <w:p w14:paraId="632C857E" w14:textId="4CE24067" w:rsidR="000B1302" w:rsidRPr="00883271" w:rsidRDefault="000B1302" w:rsidP="00637889">
            <w:pPr>
              <w:pStyle w:val="TableTextRight"/>
              <w:spacing w:before="30" w:after="30"/>
            </w:pPr>
            <w:r w:rsidRPr="00883271">
              <w:t>15%</w:t>
            </w:r>
          </w:p>
        </w:tc>
        <w:tc>
          <w:tcPr>
            <w:tcW w:w="1072" w:type="dxa"/>
            <w:tcBorders>
              <w:bottom w:val="single" w:sz="4" w:space="0" w:color="auto"/>
              <w:right w:val="single" w:sz="4" w:space="0" w:color="auto"/>
            </w:tcBorders>
            <w:vAlign w:val="center"/>
          </w:tcPr>
          <w:p w14:paraId="3E0A2E55" w14:textId="0F6C6819" w:rsidR="000B1302" w:rsidRPr="00883271" w:rsidRDefault="000B1302" w:rsidP="00637889">
            <w:pPr>
              <w:pStyle w:val="TableTextRight"/>
              <w:spacing w:before="30" w:after="30"/>
            </w:pPr>
            <w:r w:rsidRPr="00883271">
              <w:t>44%</w:t>
            </w:r>
          </w:p>
        </w:tc>
        <w:tc>
          <w:tcPr>
            <w:tcW w:w="709" w:type="dxa"/>
            <w:tcBorders>
              <w:left w:val="single" w:sz="4" w:space="0" w:color="auto"/>
              <w:bottom w:val="single" w:sz="4" w:space="0" w:color="auto"/>
            </w:tcBorders>
            <w:vAlign w:val="center"/>
          </w:tcPr>
          <w:p w14:paraId="27A03A83" w14:textId="27053FC6" w:rsidR="000B1302" w:rsidRPr="00883271" w:rsidRDefault="000B1302" w:rsidP="00637889">
            <w:pPr>
              <w:pStyle w:val="TableTextRight"/>
              <w:spacing w:before="30" w:after="30"/>
            </w:pPr>
            <w:r w:rsidRPr="00883271">
              <w:t>19%</w:t>
            </w:r>
          </w:p>
        </w:tc>
        <w:tc>
          <w:tcPr>
            <w:tcW w:w="926" w:type="dxa"/>
            <w:tcBorders>
              <w:bottom w:val="single" w:sz="4" w:space="0" w:color="auto"/>
              <w:right w:val="single" w:sz="4" w:space="0" w:color="auto"/>
            </w:tcBorders>
            <w:vAlign w:val="center"/>
          </w:tcPr>
          <w:p w14:paraId="48F17FF1" w14:textId="3529FE15" w:rsidR="000B1302" w:rsidRPr="00883271" w:rsidRDefault="000B1302" w:rsidP="00637889">
            <w:pPr>
              <w:pStyle w:val="TableTextRight"/>
              <w:spacing w:before="30" w:after="30"/>
            </w:pPr>
            <w:r w:rsidRPr="00883271">
              <w:t>11%</w:t>
            </w:r>
          </w:p>
        </w:tc>
        <w:tc>
          <w:tcPr>
            <w:tcW w:w="603" w:type="dxa"/>
            <w:tcBorders>
              <w:left w:val="single" w:sz="4" w:space="0" w:color="auto"/>
              <w:bottom w:val="single" w:sz="4" w:space="0" w:color="auto"/>
            </w:tcBorders>
            <w:vAlign w:val="center"/>
          </w:tcPr>
          <w:p w14:paraId="73C61DE9" w14:textId="5877186C" w:rsidR="000B1302" w:rsidRPr="00D91013" w:rsidRDefault="000B1302" w:rsidP="00637889">
            <w:pPr>
              <w:pStyle w:val="TableTextRight"/>
              <w:spacing w:before="30" w:after="30"/>
              <w:rPr>
                <w:b/>
                <w:bCs/>
              </w:rPr>
            </w:pPr>
            <w:r w:rsidRPr="00D91013">
              <w:rPr>
                <w:b/>
                <w:bCs/>
              </w:rPr>
              <w:t>15%</w:t>
            </w:r>
          </w:p>
        </w:tc>
      </w:tr>
      <w:tr w:rsidR="00664208" w:rsidRPr="00883271" w14:paraId="60345848" w14:textId="77777777" w:rsidTr="0002544C">
        <w:trPr>
          <w:cnfStyle w:val="000000010000" w:firstRow="0" w:lastRow="0" w:firstColumn="0" w:lastColumn="0" w:oddVBand="0" w:evenVBand="0" w:oddHBand="0" w:evenHBand="1" w:firstRowFirstColumn="0" w:firstRowLastColumn="0" w:lastRowFirstColumn="0" w:lastRowLastColumn="0"/>
          <w:trHeight w:val="113"/>
          <w:jc w:val="center"/>
        </w:trPr>
        <w:tc>
          <w:tcPr>
            <w:tcW w:w="1975" w:type="dxa"/>
            <w:tcBorders>
              <w:top w:val="single" w:sz="4" w:space="0" w:color="auto"/>
              <w:bottom w:val="single" w:sz="4" w:space="0" w:color="auto"/>
            </w:tcBorders>
            <w:shd w:val="clear" w:color="auto" w:fill="EEEEEE" w:themeFill="background2"/>
            <w:vAlign w:val="center"/>
          </w:tcPr>
          <w:p w14:paraId="61648A53" w14:textId="0F41F133" w:rsidR="000B1302" w:rsidRPr="00D91013" w:rsidRDefault="000B1302" w:rsidP="00637889">
            <w:pPr>
              <w:pStyle w:val="TableTextLeft"/>
              <w:spacing w:before="30" w:after="30"/>
              <w:rPr>
                <w:b/>
                <w:bCs/>
              </w:rPr>
            </w:pPr>
            <w:r w:rsidRPr="00D91013">
              <w:rPr>
                <w:b/>
                <w:bCs/>
              </w:rPr>
              <w:t>Total responses (n)</w:t>
            </w:r>
          </w:p>
        </w:tc>
        <w:tc>
          <w:tcPr>
            <w:tcW w:w="987" w:type="dxa"/>
            <w:tcBorders>
              <w:top w:val="single" w:sz="4" w:space="0" w:color="auto"/>
              <w:bottom w:val="single" w:sz="4" w:space="0" w:color="auto"/>
            </w:tcBorders>
            <w:shd w:val="clear" w:color="auto" w:fill="EEEEEE" w:themeFill="background2"/>
            <w:vAlign w:val="center"/>
          </w:tcPr>
          <w:p w14:paraId="691B78F4" w14:textId="1DCE528F" w:rsidR="000B1302" w:rsidRPr="00D91013" w:rsidRDefault="000B1302" w:rsidP="00637889">
            <w:pPr>
              <w:pStyle w:val="TableTextRight"/>
              <w:spacing w:before="30" w:after="30"/>
              <w:rPr>
                <w:b/>
                <w:bCs/>
              </w:rPr>
            </w:pPr>
            <w:r w:rsidRPr="00D91013">
              <w:rPr>
                <w:b/>
                <w:bCs/>
              </w:rPr>
              <w:t>169</w:t>
            </w:r>
          </w:p>
        </w:tc>
        <w:tc>
          <w:tcPr>
            <w:tcW w:w="706" w:type="dxa"/>
            <w:tcBorders>
              <w:top w:val="single" w:sz="4" w:space="0" w:color="auto"/>
              <w:bottom w:val="single" w:sz="4" w:space="0" w:color="auto"/>
              <w:right w:val="single" w:sz="4" w:space="0" w:color="auto"/>
            </w:tcBorders>
            <w:shd w:val="clear" w:color="auto" w:fill="EEEEEE" w:themeFill="background2"/>
            <w:vAlign w:val="center"/>
          </w:tcPr>
          <w:p w14:paraId="5DFC0A92" w14:textId="22AE8FC6" w:rsidR="000B1302" w:rsidRPr="00D91013" w:rsidRDefault="000B1302" w:rsidP="00637889">
            <w:pPr>
              <w:pStyle w:val="TableTextRight"/>
              <w:spacing w:before="30" w:after="30"/>
              <w:rPr>
                <w:b/>
                <w:bCs/>
              </w:rPr>
            </w:pPr>
            <w:r w:rsidRPr="00D91013">
              <w:rPr>
                <w:b/>
                <w:bCs/>
              </w:rPr>
              <w:t>115</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292E6C64" w14:textId="372F0A65" w:rsidR="000B1302" w:rsidRPr="00D91013" w:rsidRDefault="000B1302" w:rsidP="00637889">
            <w:pPr>
              <w:pStyle w:val="TableTextRight"/>
              <w:spacing w:before="30" w:after="30"/>
              <w:rPr>
                <w:b/>
                <w:bCs/>
              </w:rPr>
            </w:pPr>
            <w:r w:rsidRPr="00D91013">
              <w:rPr>
                <w:b/>
                <w:bCs/>
              </w:rPr>
              <w:t>204</w:t>
            </w:r>
          </w:p>
        </w:tc>
        <w:tc>
          <w:tcPr>
            <w:tcW w:w="987" w:type="dxa"/>
            <w:tcBorders>
              <w:top w:val="single" w:sz="4" w:space="0" w:color="auto"/>
              <w:bottom w:val="single" w:sz="4" w:space="0" w:color="auto"/>
            </w:tcBorders>
            <w:shd w:val="clear" w:color="auto" w:fill="EEEEEE" w:themeFill="background2"/>
            <w:vAlign w:val="center"/>
          </w:tcPr>
          <w:p w14:paraId="7500FAA3" w14:textId="11063BC1" w:rsidR="000B1302" w:rsidRPr="00D91013" w:rsidRDefault="000B1302" w:rsidP="00637889">
            <w:pPr>
              <w:pStyle w:val="TableTextRight"/>
              <w:spacing w:before="30" w:after="30"/>
              <w:rPr>
                <w:b/>
                <w:bCs/>
              </w:rPr>
            </w:pPr>
            <w:r w:rsidRPr="00D91013">
              <w:rPr>
                <w:b/>
                <w:bCs/>
              </w:rPr>
              <w:t>37</w:t>
            </w:r>
          </w:p>
        </w:tc>
        <w:tc>
          <w:tcPr>
            <w:tcW w:w="1410" w:type="dxa"/>
            <w:tcBorders>
              <w:top w:val="single" w:sz="4" w:space="0" w:color="auto"/>
              <w:bottom w:val="single" w:sz="4" w:space="0" w:color="auto"/>
              <w:right w:val="single" w:sz="4" w:space="0" w:color="auto"/>
            </w:tcBorders>
            <w:shd w:val="clear" w:color="auto" w:fill="EEEEEE" w:themeFill="background2"/>
            <w:vAlign w:val="center"/>
          </w:tcPr>
          <w:p w14:paraId="419C35E7" w14:textId="11A8BA78" w:rsidR="000B1302" w:rsidRPr="00D91013" w:rsidRDefault="000B1302" w:rsidP="00637889">
            <w:pPr>
              <w:pStyle w:val="TableTextRight"/>
              <w:spacing w:before="30" w:after="30"/>
              <w:rPr>
                <w:b/>
                <w:bCs/>
              </w:rPr>
            </w:pPr>
            <w:r w:rsidRPr="00D91013">
              <w:rPr>
                <w:b/>
                <w:bCs/>
              </w:rPr>
              <w:t>41</w:t>
            </w:r>
          </w:p>
        </w:tc>
        <w:tc>
          <w:tcPr>
            <w:tcW w:w="1072" w:type="dxa"/>
            <w:tcBorders>
              <w:top w:val="single" w:sz="4" w:space="0" w:color="auto"/>
              <w:left w:val="single" w:sz="4" w:space="0" w:color="auto"/>
              <w:bottom w:val="single" w:sz="4" w:space="0" w:color="auto"/>
            </w:tcBorders>
            <w:shd w:val="clear" w:color="auto" w:fill="EEEEEE" w:themeFill="background2"/>
            <w:vAlign w:val="center"/>
          </w:tcPr>
          <w:p w14:paraId="20CCADF8" w14:textId="18F1DC9A" w:rsidR="000B1302" w:rsidRPr="00D91013" w:rsidRDefault="000B1302" w:rsidP="00637889">
            <w:pPr>
              <w:pStyle w:val="TableTextRight"/>
              <w:spacing w:before="30" w:after="30"/>
              <w:rPr>
                <w:b/>
                <w:bCs/>
              </w:rPr>
            </w:pPr>
            <w:r w:rsidRPr="00D91013">
              <w:rPr>
                <w:b/>
                <w:bCs/>
              </w:rPr>
              <w:t>38</w:t>
            </w:r>
          </w:p>
        </w:tc>
        <w:tc>
          <w:tcPr>
            <w:tcW w:w="1072" w:type="dxa"/>
            <w:tcBorders>
              <w:top w:val="single" w:sz="4" w:space="0" w:color="auto"/>
              <w:bottom w:val="single" w:sz="4" w:space="0" w:color="auto"/>
            </w:tcBorders>
            <w:shd w:val="clear" w:color="auto" w:fill="EEEEEE" w:themeFill="background2"/>
            <w:vAlign w:val="center"/>
          </w:tcPr>
          <w:p w14:paraId="673ACEC5" w14:textId="64512B2A" w:rsidR="000B1302" w:rsidRPr="00D91013" w:rsidRDefault="000B1302" w:rsidP="00637889">
            <w:pPr>
              <w:pStyle w:val="TableTextRight"/>
              <w:spacing w:before="30" w:after="30"/>
              <w:rPr>
                <w:b/>
                <w:bCs/>
              </w:rPr>
            </w:pPr>
            <w:r w:rsidRPr="00D91013">
              <w:rPr>
                <w:b/>
                <w:bCs/>
              </w:rPr>
              <w:t>86</w:t>
            </w:r>
          </w:p>
        </w:tc>
        <w:tc>
          <w:tcPr>
            <w:tcW w:w="1072" w:type="dxa"/>
            <w:tcBorders>
              <w:top w:val="single" w:sz="4" w:space="0" w:color="auto"/>
              <w:bottom w:val="single" w:sz="4" w:space="0" w:color="auto"/>
            </w:tcBorders>
            <w:shd w:val="clear" w:color="auto" w:fill="EEEEEE" w:themeFill="background2"/>
            <w:vAlign w:val="center"/>
          </w:tcPr>
          <w:p w14:paraId="561B46F0" w14:textId="5EF7D271" w:rsidR="000B1302" w:rsidRPr="00D91013" w:rsidRDefault="000B1302" w:rsidP="00637889">
            <w:pPr>
              <w:pStyle w:val="TableTextRight"/>
              <w:spacing w:before="30" w:after="30"/>
              <w:rPr>
                <w:b/>
                <w:bCs/>
              </w:rPr>
            </w:pPr>
            <w:r w:rsidRPr="00D91013">
              <w:rPr>
                <w:b/>
                <w:bCs/>
              </w:rPr>
              <w:t>124</w:t>
            </w:r>
          </w:p>
        </w:tc>
        <w:tc>
          <w:tcPr>
            <w:tcW w:w="1072" w:type="dxa"/>
            <w:tcBorders>
              <w:top w:val="single" w:sz="4" w:space="0" w:color="auto"/>
              <w:bottom w:val="single" w:sz="4" w:space="0" w:color="auto"/>
              <w:right w:val="single" w:sz="4" w:space="0" w:color="auto"/>
            </w:tcBorders>
            <w:shd w:val="clear" w:color="auto" w:fill="EEEEEE" w:themeFill="background2"/>
            <w:vAlign w:val="center"/>
          </w:tcPr>
          <w:p w14:paraId="6F7D4A30" w14:textId="3FC76198" w:rsidR="000B1302" w:rsidRPr="00D91013" w:rsidRDefault="000B1302" w:rsidP="00637889">
            <w:pPr>
              <w:pStyle w:val="TableTextRight"/>
              <w:spacing w:before="30" w:after="30"/>
              <w:rPr>
                <w:b/>
                <w:bCs/>
              </w:rPr>
            </w:pPr>
            <w:r w:rsidRPr="00D91013">
              <w:rPr>
                <w:b/>
                <w:bCs/>
              </w:rPr>
              <w:t>36</w:t>
            </w:r>
          </w:p>
        </w:tc>
        <w:tc>
          <w:tcPr>
            <w:tcW w:w="709" w:type="dxa"/>
            <w:tcBorders>
              <w:top w:val="single" w:sz="4" w:space="0" w:color="auto"/>
              <w:left w:val="single" w:sz="4" w:space="0" w:color="auto"/>
              <w:bottom w:val="single" w:sz="4" w:space="0" w:color="auto"/>
            </w:tcBorders>
            <w:shd w:val="clear" w:color="auto" w:fill="EEEEEE" w:themeFill="background2"/>
            <w:vAlign w:val="center"/>
          </w:tcPr>
          <w:p w14:paraId="34940DF2" w14:textId="3FCD3DC4" w:rsidR="000B1302" w:rsidRPr="00D91013" w:rsidRDefault="000B1302" w:rsidP="00637889">
            <w:pPr>
              <w:pStyle w:val="TableTextRight"/>
              <w:spacing w:before="30" w:after="30"/>
              <w:rPr>
                <w:b/>
                <w:bCs/>
              </w:rPr>
            </w:pPr>
            <w:r w:rsidRPr="00D91013">
              <w:rPr>
                <w:b/>
                <w:bCs/>
              </w:rPr>
              <w:t>156</w:t>
            </w:r>
          </w:p>
        </w:tc>
        <w:tc>
          <w:tcPr>
            <w:tcW w:w="926" w:type="dxa"/>
            <w:tcBorders>
              <w:top w:val="single" w:sz="4" w:space="0" w:color="auto"/>
              <w:bottom w:val="single" w:sz="4" w:space="0" w:color="auto"/>
              <w:right w:val="single" w:sz="4" w:space="0" w:color="auto"/>
            </w:tcBorders>
            <w:shd w:val="clear" w:color="auto" w:fill="EEEEEE" w:themeFill="background2"/>
            <w:vAlign w:val="center"/>
          </w:tcPr>
          <w:p w14:paraId="2EE7D628" w14:textId="12902AF9" w:rsidR="000B1302" w:rsidRPr="00D91013" w:rsidRDefault="000B1302" w:rsidP="00637889">
            <w:pPr>
              <w:pStyle w:val="TableTextRight"/>
              <w:spacing w:before="30" w:after="30"/>
              <w:rPr>
                <w:b/>
                <w:bCs/>
              </w:rPr>
            </w:pPr>
            <w:r w:rsidRPr="00D91013">
              <w:rPr>
                <w:b/>
                <w:bCs/>
              </w:rPr>
              <w:t>120</w:t>
            </w:r>
          </w:p>
        </w:tc>
        <w:tc>
          <w:tcPr>
            <w:tcW w:w="603" w:type="dxa"/>
            <w:tcBorders>
              <w:top w:val="single" w:sz="4" w:space="0" w:color="auto"/>
              <w:left w:val="single" w:sz="4" w:space="0" w:color="auto"/>
              <w:bottom w:val="single" w:sz="4" w:space="0" w:color="auto"/>
            </w:tcBorders>
            <w:shd w:val="clear" w:color="auto" w:fill="EEEEEE" w:themeFill="background2"/>
            <w:vAlign w:val="center"/>
          </w:tcPr>
          <w:p w14:paraId="0F0F7CD3" w14:textId="3EB72195" w:rsidR="000B1302" w:rsidRPr="00D91013" w:rsidRDefault="000B1302" w:rsidP="00637889">
            <w:pPr>
              <w:pStyle w:val="TableTextRight"/>
              <w:spacing w:before="30" w:after="30"/>
              <w:rPr>
                <w:b/>
                <w:bCs/>
              </w:rPr>
            </w:pPr>
            <w:r w:rsidRPr="00D91013">
              <w:rPr>
                <w:b/>
                <w:bCs/>
              </w:rPr>
              <w:t>291</w:t>
            </w:r>
          </w:p>
        </w:tc>
      </w:tr>
    </w:tbl>
    <w:p w14:paraId="2AE09948" w14:textId="77777777" w:rsidR="00637889" w:rsidRPr="00637889" w:rsidRDefault="00637889" w:rsidP="00637889">
      <w:r w:rsidRPr="00637889">
        <w:br w:type="page"/>
      </w:r>
    </w:p>
    <w:p w14:paraId="241D9157" w14:textId="21E6B5FE" w:rsidR="00D91013" w:rsidRDefault="00D91013" w:rsidP="00110D67">
      <w:pPr>
        <w:pStyle w:val="TableMainHeading"/>
      </w:pPr>
      <w:r w:rsidRPr="00883271">
        <w:lastRenderedPageBreak/>
        <w:t>Where have you sourced service, repair and diagnostic information from in the last 12 months?</w:t>
      </w:r>
    </w:p>
    <w:tbl>
      <w:tblPr>
        <w:tblStyle w:val="TableGrid"/>
        <w:tblW w:w="5000" w:type="pct"/>
        <w:jc w:val="center"/>
        <w:tblLayout w:type="fixed"/>
        <w:tblCellMar>
          <w:left w:w="113" w:type="dxa"/>
          <w:right w:w="113" w:type="dxa"/>
        </w:tblCellMar>
        <w:tblLook w:val="04A0" w:firstRow="1" w:lastRow="0" w:firstColumn="1" w:lastColumn="0" w:noHBand="0" w:noVBand="1"/>
      </w:tblPr>
      <w:tblGrid>
        <w:gridCol w:w="2037"/>
        <w:gridCol w:w="1018"/>
        <w:gridCol w:w="728"/>
        <w:gridCol w:w="1018"/>
        <w:gridCol w:w="1018"/>
        <w:gridCol w:w="1454"/>
        <w:gridCol w:w="1018"/>
        <w:gridCol w:w="1134"/>
        <w:gridCol w:w="1134"/>
        <w:gridCol w:w="1135"/>
        <w:gridCol w:w="731"/>
        <w:gridCol w:w="955"/>
        <w:gridCol w:w="622"/>
      </w:tblGrid>
      <w:tr w:rsidR="00D91013" w:rsidRPr="00883271" w14:paraId="50505F27" w14:textId="77777777" w:rsidTr="0002544C">
        <w:trPr>
          <w:cnfStyle w:val="100000000000" w:firstRow="1" w:lastRow="0" w:firstColumn="0" w:lastColumn="0" w:oddVBand="0" w:evenVBand="0" w:oddHBand="0" w:evenHBand="0" w:firstRowFirstColumn="0" w:firstRowLastColumn="0" w:lastRowFirstColumn="0" w:lastRowLastColumn="0"/>
          <w:jc w:val="center"/>
        </w:trPr>
        <w:tc>
          <w:tcPr>
            <w:tcW w:w="1975" w:type="dxa"/>
            <w:tcBorders>
              <w:top w:val="single" w:sz="4" w:space="0" w:color="auto"/>
              <w:bottom w:val="single" w:sz="4" w:space="0" w:color="auto"/>
            </w:tcBorders>
          </w:tcPr>
          <w:p w14:paraId="1A084D9A" w14:textId="77777777" w:rsidR="00D91013" w:rsidRPr="00D91013" w:rsidRDefault="00D91013" w:rsidP="00637889">
            <w:pPr>
              <w:pStyle w:val="TableColumnHeadingRight"/>
              <w:spacing w:before="30" w:after="30"/>
              <w:rPr>
                <w:sz w:val="18"/>
                <w:szCs w:val="18"/>
              </w:rPr>
            </w:pPr>
          </w:p>
        </w:tc>
        <w:tc>
          <w:tcPr>
            <w:tcW w:w="1693" w:type="dxa"/>
            <w:gridSpan w:val="2"/>
            <w:tcBorders>
              <w:top w:val="single" w:sz="4" w:space="0" w:color="auto"/>
              <w:bottom w:val="single" w:sz="4" w:space="0" w:color="auto"/>
              <w:right w:val="single" w:sz="4" w:space="0" w:color="auto"/>
            </w:tcBorders>
            <w:vAlign w:val="center"/>
          </w:tcPr>
          <w:p w14:paraId="4B95DBEB" w14:textId="77777777" w:rsidR="00D91013" w:rsidRPr="00D91013" w:rsidRDefault="00D91013" w:rsidP="00637889">
            <w:pPr>
              <w:pStyle w:val="TableColumnHeadingCentred"/>
              <w:spacing w:before="30" w:after="30"/>
              <w:rPr>
                <w:b w:val="0"/>
                <w:sz w:val="18"/>
                <w:szCs w:val="18"/>
              </w:rPr>
            </w:pPr>
            <w:r w:rsidRPr="00D91013">
              <w:rPr>
                <w:sz w:val="18"/>
                <w:szCs w:val="18"/>
              </w:rPr>
              <w:t>Vehicles repaired per month</w:t>
            </w:r>
          </w:p>
        </w:tc>
        <w:tc>
          <w:tcPr>
            <w:tcW w:w="3384" w:type="dxa"/>
            <w:gridSpan w:val="3"/>
            <w:tcBorders>
              <w:top w:val="single" w:sz="4" w:space="0" w:color="auto"/>
              <w:left w:val="single" w:sz="4" w:space="0" w:color="auto"/>
              <w:bottom w:val="single" w:sz="4" w:space="0" w:color="auto"/>
              <w:right w:val="single" w:sz="4" w:space="0" w:color="auto"/>
            </w:tcBorders>
            <w:vAlign w:val="center"/>
          </w:tcPr>
          <w:p w14:paraId="4F22B171" w14:textId="77777777" w:rsidR="00D91013" w:rsidRPr="00D91013" w:rsidRDefault="00D91013" w:rsidP="00637889">
            <w:pPr>
              <w:pStyle w:val="TableColumnHeadingCentred"/>
              <w:spacing w:before="30" w:after="30"/>
              <w:rPr>
                <w:b w:val="0"/>
                <w:sz w:val="18"/>
                <w:szCs w:val="18"/>
              </w:rPr>
            </w:pPr>
            <w:r w:rsidRPr="00D91013">
              <w:rPr>
                <w:sz w:val="18"/>
                <w:szCs w:val="18"/>
              </w:rPr>
              <w:t>Type of Repairer</w:t>
            </w:r>
          </w:p>
        </w:tc>
        <w:tc>
          <w:tcPr>
            <w:tcW w:w="4288" w:type="dxa"/>
            <w:gridSpan w:val="4"/>
            <w:tcBorders>
              <w:top w:val="single" w:sz="4" w:space="0" w:color="auto"/>
              <w:left w:val="single" w:sz="4" w:space="0" w:color="auto"/>
              <w:bottom w:val="single" w:sz="4" w:space="0" w:color="auto"/>
              <w:right w:val="single" w:sz="4" w:space="0" w:color="auto"/>
            </w:tcBorders>
            <w:vAlign w:val="center"/>
          </w:tcPr>
          <w:p w14:paraId="00FE2B8C" w14:textId="77777777" w:rsidR="00D91013" w:rsidRPr="00D91013" w:rsidRDefault="00D91013" w:rsidP="00637889">
            <w:pPr>
              <w:pStyle w:val="TableColumnHeadingCentred"/>
              <w:spacing w:before="30" w:after="30"/>
              <w:rPr>
                <w:b w:val="0"/>
                <w:sz w:val="18"/>
                <w:szCs w:val="18"/>
              </w:rPr>
            </w:pPr>
            <w:r w:rsidRPr="00D91013">
              <w:rPr>
                <w:sz w:val="18"/>
                <w:szCs w:val="18"/>
              </w:rPr>
              <w:t>Business size</w:t>
            </w:r>
          </w:p>
        </w:tc>
        <w:tc>
          <w:tcPr>
            <w:tcW w:w="1635" w:type="dxa"/>
            <w:gridSpan w:val="2"/>
            <w:tcBorders>
              <w:top w:val="single" w:sz="4" w:space="0" w:color="auto"/>
              <w:left w:val="single" w:sz="4" w:space="0" w:color="auto"/>
              <w:bottom w:val="single" w:sz="4" w:space="0" w:color="auto"/>
              <w:right w:val="single" w:sz="4" w:space="0" w:color="auto"/>
            </w:tcBorders>
            <w:vAlign w:val="center"/>
          </w:tcPr>
          <w:p w14:paraId="31D95820" w14:textId="77777777" w:rsidR="00D91013" w:rsidRPr="00D91013" w:rsidRDefault="00D91013" w:rsidP="00637889">
            <w:pPr>
              <w:pStyle w:val="TableColumnHeadingCentred"/>
              <w:spacing w:before="30" w:after="30"/>
              <w:rPr>
                <w:b w:val="0"/>
                <w:sz w:val="18"/>
                <w:szCs w:val="18"/>
              </w:rPr>
            </w:pPr>
            <w:r w:rsidRPr="00D91013">
              <w:rPr>
                <w:sz w:val="18"/>
                <w:szCs w:val="18"/>
              </w:rPr>
              <w:t>Location</w:t>
            </w:r>
          </w:p>
        </w:tc>
        <w:tc>
          <w:tcPr>
            <w:tcW w:w="603" w:type="dxa"/>
            <w:vMerge w:val="restart"/>
            <w:tcBorders>
              <w:top w:val="single" w:sz="4" w:space="0" w:color="auto"/>
              <w:left w:val="single" w:sz="4" w:space="0" w:color="auto"/>
            </w:tcBorders>
            <w:vAlign w:val="center"/>
          </w:tcPr>
          <w:p w14:paraId="7A169B4A" w14:textId="77777777" w:rsidR="00D91013" w:rsidRPr="00D91013" w:rsidRDefault="00D91013" w:rsidP="00637889">
            <w:pPr>
              <w:pStyle w:val="TableColumnHeadingRight"/>
              <w:spacing w:before="30" w:after="30"/>
              <w:rPr>
                <w:b w:val="0"/>
                <w:bCs/>
                <w:sz w:val="18"/>
                <w:szCs w:val="18"/>
              </w:rPr>
            </w:pPr>
            <w:r w:rsidRPr="00D91013">
              <w:rPr>
                <w:bCs/>
                <w:sz w:val="18"/>
                <w:szCs w:val="18"/>
              </w:rPr>
              <w:t>Total</w:t>
            </w:r>
          </w:p>
        </w:tc>
      </w:tr>
      <w:tr w:rsidR="00664208" w:rsidRPr="00883271" w14:paraId="2B30681D" w14:textId="77777777" w:rsidTr="0002544C">
        <w:trPr>
          <w:cnfStyle w:val="000000100000" w:firstRow="0" w:lastRow="0" w:firstColumn="0" w:lastColumn="0" w:oddVBand="0" w:evenVBand="0" w:oddHBand="1" w:evenHBand="0" w:firstRowFirstColumn="0" w:firstRowLastColumn="0" w:lastRowFirstColumn="0" w:lastRowLastColumn="0"/>
          <w:trHeight w:val="501"/>
          <w:jc w:val="center"/>
        </w:trPr>
        <w:tc>
          <w:tcPr>
            <w:tcW w:w="1975" w:type="dxa"/>
            <w:tcBorders>
              <w:top w:val="single" w:sz="4" w:space="0" w:color="auto"/>
              <w:bottom w:val="single" w:sz="4" w:space="0" w:color="auto"/>
            </w:tcBorders>
            <w:shd w:val="clear" w:color="auto" w:fill="EEEEEE" w:themeFill="background2"/>
          </w:tcPr>
          <w:p w14:paraId="365F47BD" w14:textId="77777777" w:rsidR="00D91013" w:rsidRPr="00D91013" w:rsidRDefault="00D91013" w:rsidP="00637889">
            <w:pPr>
              <w:pStyle w:val="TableColumnHeadingRight"/>
              <w:spacing w:before="30" w:after="30"/>
              <w:rPr>
                <w:sz w:val="18"/>
                <w:szCs w:val="18"/>
              </w:rPr>
            </w:pPr>
          </w:p>
        </w:tc>
        <w:tc>
          <w:tcPr>
            <w:tcW w:w="987" w:type="dxa"/>
            <w:tcBorders>
              <w:top w:val="single" w:sz="4" w:space="0" w:color="auto"/>
              <w:bottom w:val="single" w:sz="4" w:space="0" w:color="auto"/>
            </w:tcBorders>
            <w:shd w:val="clear" w:color="auto" w:fill="EEEEEE" w:themeFill="background2"/>
            <w:vAlign w:val="center"/>
          </w:tcPr>
          <w:p w14:paraId="004FFF12" w14:textId="77777777" w:rsidR="00D91013" w:rsidRPr="00D91013" w:rsidRDefault="00D91013" w:rsidP="00637889">
            <w:pPr>
              <w:pStyle w:val="TableColumnHeadingRight"/>
              <w:spacing w:before="30" w:after="30"/>
              <w:rPr>
                <w:sz w:val="18"/>
                <w:szCs w:val="18"/>
              </w:rPr>
            </w:pPr>
            <w:r w:rsidRPr="00D91013">
              <w:rPr>
                <w:bCs/>
                <w:sz w:val="18"/>
                <w:szCs w:val="18"/>
              </w:rPr>
              <w:t>Less than 100</w:t>
            </w:r>
          </w:p>
        </w:tc>
        <w:tc>
          <w:tcPr>
            <w:tcW w:w="706" w:type="dxa"/>
            <w:tcBorders>
              <w:top w:val="single" w:sz="4" w:space="0" w:color="auto"/>
              <w:bottom w:val="single" w:sz="4" w:space="0" w:color="auto"/>
              <w:right w:val="single" w:sz="4" w:space="0" w:color="auto"/>
            </w:tcBorders>
            <w:shd w:val="clear" w:color="auto" w:fill="EEEEEE" w:themeFill="background2"/>
            <w:vAlign w:val="center"/>
          </w:tcPr>
          <w:p w14:paraId="17F90E1D" w14:textId="77777777" w:rsidR="00D91013" w:rsidRPr="00D91013" w:rsidRDefault="00D91013" w:rsidP="00637889">
            <w:pPr>
              <w:pStyle w:val="TableColumnHeadingRight"/>
              <w:spacing w:before="30" w:after="30"/>
              <w:rPr>
                <w:sz w:val="18"/>
                <w:szCs w:val="18"/>
              </w:rPr>
            </w:pPr>
            <w:r w:rsidRPr="00D91013">
              <w:rPr>
                <w:bCs/>
                <w:sz w:val="18"/>
                <w:szCs w:val="18"/>
              </w:rPr>
              <w:t>100 or more</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489F2755" w14:textId="77777777" w:rsidR="00D91013" w:rsidRPr="00D91013" w:rsidRDefault="00D91013" w:rsidP="00637889">
            <w:pPr>
              <w:pStyle w:val="TableColumnHeadingRight"/>
              <w:spacing w:before="30" w:after="30"/>
              <w:rPr>
                <w:sz w:val="18"/>
                <w:szCs w:val="18"/>
              </w:rPr>
            </w:pPr>
            <w:r w:rsidRPr="00D91013">
              <w:rPr>
                <w:bCs/>
                <w:sz w:val="18"/>
                <w:szCs w:val="18"/>
              </w:rPr>
              <w:t>Generalist</w:t>
            </w:r>
          </w:p>
        </w:tc>
        <w:tc>
          <w:tcPr>
            <w:tcW w:w="987" w:type="dxa"/>
            <w:tcBorders>
              <w:top w:val="single" w:sz="4" w:space="0" w:color="auto"/>
              <w:bottom w:val="single" w:sz="4" w:space="0" w:color="auto"/>
            </w:tcBorders>
            <w:shd w:val="clear" w:color="auto" w:fill="EEEEEE" w:themeFill="background2"/>
            <w:vAlign w:val="center"/>
          </w:tcPr>
          <w:p w14:paraId="1CB4C3F3" w14:textId="6980C3C6" w:rsidR="00D91013" w:rsidRPr="00D91013" w:rsidRDefault="00D91013" w:rsidP="00637889">
            <w:pPr>
              <w:pStyle w:val="TableColumnHeadingRight"/>
              <w:spacing w:before="30" w:after="30"/>
              <w:rPr>
                <w:sz w:val="18"/>
                <w:szCs w:val="18"/>
              </w:rPr>
            </w:pPr>
            <w:r w:rsidRPr="00D91013">
              <w:rPr>
                <w:bCs/>
                <w:sz w:val="18"/>
                <w:szCs w:val="18"/>
              </w:rPr>
              <w:t xml:space="preserve">Specialist </w:t>
            </w:r>
            <w:r w:rsidR="007B3C6A">
              <w:rPr>
                <w:bCs/>
                <w:sz w:val="18"/>
                <w:szCs w:val="18"/>
              </w:rPr>
              <w:noBreakHyphen/>
            </w:r>
            <w:r w:rsidRPr="00D91013">
              <w:rPr>
                <w:bCs/>
                <w:sz w:val="18"/>
                <w:szCs w:val="18"/>
              </w:rPr>
              <w:t xml:space="preserve"> regional</w:t>
            </w:r>
          </w:p>
        </w:tc>
        <w:tc>
          <w:tcPr>
            <w:tcW w:w="1410" w:type="dxa"/>
            <w:tcBorders>
              <w:top w:val="single" w:sz="4" w:space="0" w:color="auto"/>
              <w:bottom w:val="single" w:sz="4" w:space="0" w:color="auto"/>
              <w:right w:val="single" w:sz="4" w:space="0" w:color="auto"/>
            </w:tcBorders>
            <w:shd w:val="clear" w:color="auto" w:fill="EEEEEE" w:themeFill="background2"/>
            <w:vAlign w:val="center"/>
          </w:tcPr>
          <w:p w14:paraId="5DCE05AF" w14:textId="30D1908B" w:rsidR="00D91013" w:rsidRPr="00D91013" w:rsidRDefault="00D91013" w:rsidP="00637889">
            <w:pPr>
              <w:pStyle w:val="TableColumnHeadingRight"/>
              <w:spacing w:before="30" w:after="30"/>
              <w:rPr>
                <w:sz w:val="18"/>
                <w:szCs w:val="18"/>
              </w:rPr>
            </w:pPr>
            <w:r w:rsidRPr="00D91013">
              <w:rPr>
                <w:bCs/>
                <w:sz w:val="18"/>
                <w:szCs w:val="18"/>
              </w:rPr>
              <w:t xml:space="preserve">Specialist </w:t>
            </w:r>
            <w:r w:rsidR="007B3C6A">
              <w:rPr>
                <w:bCs/>
                <w:sz w:val="18"/>
                <w:szCs w:val="18"/>
              </w:rPr>
              <w:noBreakHyphen/>
            </w:r>
            <w:r w:rsidRPr="00D91013">
              <w:rPr>
                <w:bCs/>
                <w:sz w:val="18"/>
                <w:szCs w:val="18"/>
              </w:rPr>
              <w:t xml:space="preserve"> one / limited makes</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43BD048F" w14:textId="77777777" w:rsidR="00D91013" w:rsidRPr="00D91013" w:rsidRDefault="00D91013" w:rsidP="00637889">
            <w:pPr>
              <w:pStyle w:val="TableColumnHeadingRight"/>
              <w:spacing w:before="30" w:after="30"/>
              <w:rPr>
                <w:sz w:val="18"/>
                <w:szCs w:val="18"/>
              </w:rPr>
            </w:pPr>
            <w:r w:rsidRPr="00D91013">
              <w:rPr>
                <w:bCs/>
                <w:sz w:val="18"/>
                <w:szCs w:val="18"/>
              </w:rPr>
              <w:t>Owner operator</w:t>
            </w:r>
          </w:p>
        </w:tc>
        <w:tc>
          <w:tcPr>
            <w:tcW w:w="1100" w:type="dxa"/>
            <w:tcBorders>
              <w:top w:val="single" w:sz="4" w:space="0" w:color="auto"/>
              <w:bottom w:val="single" w:sz="4" w:space="0" w:color="auto"/>
            </w:tcBorders>
            <w:shd w:val="clear" w:color="auto" w:fill="EEEEEE" w:themeFill="background2"/>
            <w:vAlign w:val="center"/>
          </w:tcPr>
          <w:p w14:paraId="4564B0B3" w14:textId="77777777" w:rsidR="00D91013" w:rsidRPr="00D91013" w:rsidRDefault="00D91013" w:rsidP="00637889">
            <w:pPr>
              <w:pStyle w:val="TableColumnHeadingRight"/>
              <w:spacing w:before="30" w:after="30"/>
              <w:rPr>
                <w:sz w:val="18"/>
                <w:szCs w:val="18"/>
              </w:rPr>
            </w:pPr>
            <w:r w:rsidRPr="00D91013">
              <w:rPr>
                <w:bCs/>
                <w:sz w:val="18"/>
                <w:szCs w:val="18"/>
              </w:rPr>
              <w:t>1 to 4 employees</w:t>
            </w:r>
          </w:p>
        </w:tc>
        <w:tc>
          <w:tcPr>
            <w:tcW w:w="1100" w:type="dxa"/>
            <w:tcBorders>
              <w:top w:val="single" w:sz="4" w:space="0" w:color="auto"/>
              <w:bottom w:val="single" w:sz="4" w:space="0" w:color="auto"/>
            </w:tcBorders>
            <w:shd w:val="clear" w:color="auto" w:fill="EEEEEE" w:themeFill="background2"/>
            <w:vAlign w:val="center"/>
          </w:tcPr>
          <w:p w14:paraId="42DB9932" w14:textId="77777777" w:rsidR="00D91013" w:rsidRPr="00D91013" w:rsidRDefault="00D91013" w:rsidP="00637889">
            <w:pPr>
              <w:pStyle w:val="TableColumnHeadingRight"/>
              <w:spacing w:before="30" w:after="30"/>
              <w:rPr>
                <w:sz w:val="18"/>
                <w:szCs w:val="18"/>
              </w:rPr>
            </w:pPr>
            <w:r w:rsidRPr="00D91013">
              <w:rPr>
                <w:bCs/>
                <w:sz w:val="18"/>
                <w:szCs w:val="18"/>
              </w:rPr>
              <w:t>5 to 19 employees</w:t>
            </w:r>
          </w:p>
        </w:tc>
        <w:tc>
          <w:tcPr>
            <w:tcW w:w="1101" w:type="dxa"/>
            <w:tcBorders>
              <w:top w:val="single" w:sz="4" w:space="0" w:color="auto"/>
              <w:bottom w:val="single" w:sz="4" w:space="0" w:color="auto"/>
              <w:right w:val="single" w:sz="4" w:space="0" w:color="auto"/>
            </w:tcBorders>
            <w:shd w:val="clear" w:color="auto" w:fill="EEEEEE" w:themeFill="background2"/>
            <w:vAlign w:val="center"/>
          </w:tcPr>
          <w:p w14:paraId="7D90E8A7" w14:textId="77777777" w:rsidR="00D91013" w:rsidRPr="00D91013" w:rsidRDefault="00D91013" w:rsidP="00637889">
            <w:pPr>
              <w:pStyle w:val="TableColumnHeadingRight"/>
              <w:spacing w:before="30" w:after="30"/>
              <w:rPr>
                <w:sz w:val="18"/>
                <w:szCs w:val="18"/>
              </w:rPr>
            </w:pPr>
            <w:r w:rsidRPr="00D91013">
              <w:rPr>
                <w:bCs/>
                <w:sz w:val="18"/>
                <w:szCs w:val="18"/>
              </w:rPr>
              <w:t>20 or more employees</w:t>
            </w:r>
          </w:p>
        </w:tc>
        <w:tc>
          <w:tcPr>
            <w:tcW w:w="709" w:type="dxa"/>
            <w:tcBorders>
              <w:top w:val="single" w:sz="4" w:space="0" w:color="auto"/>
              <w:left w:val="single" w:sz="4" w:space="0" w:color="auto"/>
              <w:bottom w:val="single" w:sz="4" w:space="0" w:color="auto"/>
            </w:tcBorders>
            <w:shd w:val="clear" w:color="auto" w:fill="EEEEEE" w:themeFill="background2"/>
            <w:vAlign w:val="center"/>
          </w:tcPr>
          <w:p w14:paraId="3B3A5889" w14:textId="77777777" w:rsidR="00D91013" w:rsidRPr="00D91013" w:rsidRDefault="00D91013" w:rsidP="00637889">
            <w:pPr>
              <w:pStyle w:val="TableColumnHeadingRight"/>
              <w:spacing w:before="30" w:after="30"/>
              <w:rPr>
                <w:sz w:val="18"/>
                <w:szCs w:val="18"/>
              </w:rPr>
            </w:pPr>
            <w:r w:rsidRPr="00D91013">
              <w:rPr>
                <w:bCs/>
                <w:sz w:val="18"/>
                <w:szCs w:val="18"/>
              </w:rPr>
              <w:t>Metro</w:t>
            </w:r>
          </w:p>
        </w:tc>
        <w:tc>
          <w:tcPr>
            <w:tcW w:w="926" w:type="dxa"/>
            <w:tcBorders>
              <w:top w:val="single" w:sz="4" w:space="0" w:color="auto"/>
              <w:bottom w:val="single" w:sz="4" w:space="0" w:color="auto"/>
              <w:right w:val="single" w:sz="4" w:space="0" w:color="auto"/>
            </w:tcBorders>
            <w:shd w:val="clear" w:color="auto" w:fill="EEEEEE" w:themeFill="background2"/>
            <w:vAlign w:val="center"/>
          </w:tcPr>
          <w:p w14:paraId="48636200" w14:textId="77777777" w:rsidR="00D91013" w:rsidRPr="00D91013" w:rsidRDefault="00D91013" w:rsidP="00637889">
            <w:pPr>
              <w:pStyle w:val="TableColumnHeadingRight"/>
              <w:spacing w:before="30" w:after="30"/>
              <w:rPr>
                <w:sz w:val="18"/>
                <w:szCs w:val="18"/>
              </w:rPr>
            </w:pPr>
            <w:r w:rsidRPr="00D91013">
              <w:rPr>
                <w:bCs/>
                <w:sz w:val="18"/>
                <w:szCs w:val="18"/>
              </w:rPr>
              <w:t>Regional</w:t>
            </w:r>
          </w:p>
        </w:tc>
        <w:tc>
          <w:tcPr>
            <w:tcW w:w="603" w:type="dxa"/>
            <w:vMerge/>
            <w:tcBorders>
              <w:left w:val="single" w:sz="4" w:space="0" w:color="auto"/>
              <w:bottom w:val="single" w:sz="4" w:space="0" w:color="auto"/>
            </w:tcBorders>
            <w:shd w:val="clear" w:color="auto" w:fill="EEEEEE" w:themeFill="background2"/>
            <w:vAlign w:val="center"/>
          </w:tcPr>
          <w:p w14:paraId="27B378DC" w14:textId="77777777" w:rsidR="00D91013" w:rsidRPr="00D91013" w:rsidRDefault="00D91013" w:rsidP="00637889">
            <w:pPr>
              <w:pStyle w:val="TableColumnHeadingRight"/>
              <w:spacing w:before="30" w:after="30"/>
              <w:rPr>
                <w:bCs/>
                <w:sz w:val="18"/>
                <w:szCs w:val="18"/>
              </w:rPr>
            </w:pPr>
          </w:p>
        </w:tc>
      </w:tr>
      <w:tr w:rsidR="00D91013" w:rsidRPr="00883271" w14:paraId="04E69C09" w14:textId="77777777" w:rsidTr="0002544C">
        <w:trPr>
          <w:cnfStyle w:val="000000010000" w:firstRow="0" w:lastRow="0" w:firstColumn="0" w:lastColumn="0" w:oddVBand="0" w:evenVBand="0" w:oddHBand="0" w:evenHBand="1" w:firstRowFirstColumn="0" w:firstRowLastColumn="0" w:lastRowFirstColumn="0" w:lastRowLastColumn="0"/>
          <w:trHeight w:val="20"/>
          <w:jc w:val="center"/>
        </w:trPr>
        <w:tc>
          <w:tcPr>
            <w:tcW w:w="1975" w:type="dxa"/>
            <w:tcBorders>
              <w:top w:val="single" w:sz="4" w:space="0" w:color="auto"/>
            </w:tcBorders>
            <w:vAlign w:val="center"/>
          </w:tcPr>
          <w:p w14:paraId="7B16F25B" w14:textId="726B15EE" w:rsidR="00D91013" w:rsidRPr="00D91013" w:rsidRDefault="00D91013" w:rsidP="00637889">
            <w:pPr>
              <w:pStyle w:val="TableTextLeft"/>
              <w:spacing w:before="30" w:after="30"/>
              <w:rPr>
                <w:b/>
                <w:bCs/>
              </w:rPr>
            </w:pPr>
            <w:r w:rsidRPr="00D91013">
              <w:rPr>
                <w:b/>
                <w:bCs/>
              </w:rPr>
              <w:t>Purchased from a manufacturer</w:t>
            </w:r>
          </w:p>
        </w:tc>
        <w:tc>
          <w:tcPr>
            <w:tcW w:w="987" w:type="dxa"/>
            <w:tcBorders>
              <w:top w:val="single" w:sz="4" w:space="0" w:color="auto"/>
            </w:tcBorders>
            <w:vAlign w:val="center"/>
          </w:tcPr>
          <w:p w14:paraId="3A5C7463" w14:textId="113547FF" w:rsidR="00D91013" w:rsidRPr="00883271" w:rsidRDefault="00D91013" w:rsidP="00637889">
            <w:pPr>
              <w:pStyle w:val="TableTextRight"/>
              <w:spacing w:before="30" w:after="30"/>
            </w:pPr>
            <w:r w:rsidRPr="00883271">
              <w:t>64%</w:t>
            </w:r>
          </w:p>
        </w:tc>
        <w:tc>
          <w:tcPr>
            <w:tcW w:w="706" w:type="dxa"/>
            <w:tcBorders>
              <w:top w:val="single" w:sz="4" w:space="0" w:color="auto"/>
              <w:right w:val="single" w:sz="4" w:space="0" w:color="auto"/>
            </w:tcBorders>
            <w:vAlign w:val="center"/>
          </w:tcPr>
          <w:p w14:paraId="07E9C007" w14:textId="4417B0EB" w:rsidR="00D91013" w:rsidRPr="00883271" w:rsidRDefault="00D91013" w:rsidP="00637889">
            <w:pPr>
              <w:pStyle w:val="TableTextRight"/>
              <w:spacing w:before="30" w:after="30"/>
            </w:pPr>
            <w:r w:rsidRPr="00883271">
              <w:t>70%</w:t>
            </w:r>
          </w:p>
        </w:tc>
        <w:tc>
          <w:tcPr>
            <w:tcW w:w="987" w:type="dxa"/>
            <w:tcBorders>
              <w:top w:val="single" w:sz="4" w:space="0" w:color="auto"/>
              <w:left w:val="single" w:sz="4" w:space="0" w:color="auto"/>
            </w:tcBorders>
            <w:vAlign w:val="center"/>
          </w:tcPr>
          <w:p w14:paraId="2D7879A7" w14:textId="5BEAF273" w:rsidR="00D91013" w:rsidRPr="00883271" w:rsidRDefault="00D91013" w:rsidP="00637889">
            <w:pPr>
              <w:pStyle w:val="TableTextRight"/>
              <w:spacing w:before="30" w:after="30"/>
            </w:pPr>
            <w:r w:rsidRPr="00883271">
              <w:t>65%</w:t>
            </w:r>
          </w:p>
        </w:tc>
        <w:tc>
          <w:tcPr>
            <w:tcW w:w="987" w:type="dxa"/>
            <w:tcBorders>
              <w:top w:val="single" w:sz="4" w:space="0" w:color="auto"/>
            </w:tcBorders>
            <w:vAlign w:val="center"/>
          </w:tcPr>
          <w:p w14:paraId="01DFBC7C" w14:textId="5F63FFC4" w:rsidR="00D91013" w:rsidRPr="00883271" w:rsidRDefault="00D91013" w:rsidP="00637889">
            <w:pPr>
              <w:pStyle w:val="TableTextRight"/>
              <w:spacing w:before="30" w:after="30"/>
            </w:pPr>
            <w:r w:rsidRPr="00883271">
              <w:t>66%</w:t>
            </w:r>
          </w:p>
        </w:tc>
        <w:tc>
          <w:tcPr>
            <w:tcW w:w="1410" w:type="dxa"/>
            <w:tcBorders>
              <w:top w:val="single" w:sz="4" w:space="0" w:color="auto"/>
              <w:right w:val="single" w:sz="4" w:space="0" w:color="auto"/>
            </w:tcBorders>
            <w:vAlign w:val="center"/>
          </w:tcPr>
          <w:p w14:paraId="7F4E9917" w14:textId="1A57E1D0" w:rsidR="00D91013" w:rsidRPr="00883271" w:rsidRDefault="00D91013" w:rsidP="00637889">
            <w:pPr>
              <w:pStyle w:val="TableTextRight"/>
              <w:spacing w:before="30" w:after="30"/>
            </w:pPr>
            <w:r w:rsidRPr="00883271">
              <w:t>67%</w:t>
            </w:r>
          </w:p>
        </w:tc>
        <w:tc>
          <w:tcPr>
            <w:tcW w:w="987" w:type="dxa"/>
            <w:tcBorders>
              <w:top w:val="single" w:sz="4" w:space="0" w:color="auto"/>
              <w:left w:val="single" w:sz="4" w:space="0" w:color="auto"/>
            </w:tcBorders>
            <w:vAlign w:val="center"/>
          </w:tcPr>
          <w:p w14:paraId="05540278" w14:textId="387EB9B6" w:rsidR="00D91013" w:rsidRPr="00883271" w:rsidRDefault="00D91013" w:rsidP="00637889">
            <w:pPr>
              <w:pStyle w:val="TableTextRight"/>
              <w:spacing w:before="30" w:after="30"/>
            </w:pPr>
            <w:r w:rsidRPr="00883271">
              <w:t>52%</w:t>
            </w:r>
          </w:p>
        </w:tc>
        <w:tc>
          <w:tcPr>
            <w:tcW w:w="1100" w:type="dxa"/>
            <w:tcBorders>
              <w:top w:val="single" w:sz="4" w:space="0" w:color="auto"/>
            </w:tcBorders>
            <w:vAlign w:val="center"/>
          </w:tcPr>
          <w:p w14:paraId="02EF6A6C" w14:textId="70A74A17" w:rsidR="00D91013" w:rsidRPr="00883271" w:rsidRDefault="00D91013" w:rsidP="00637889">
            <w:pPr>
              <w:pStyle w:val="TableTextRight"/>
              <w:spacing w:before="30" w:after="30"/>
            </w:pPr>
            <w:r w:rsidRPr="00883271">
              <w:t>62%</w:t>
            </w:r>
          </w:p>
        </w:tc>
        <w:tc>
          <w:tcPr>
            <w:tcW w:w="1100" w:type="dxa"/>
            <w:tcBorders>
              <w:top w:val="single" w:sz="4" w:space="0" w:color="auto"/>
            </w:tcBorders>
            <w:vAlign w:val="center"/>
          </w:tcPr>
          <w:p w14:paraId="35D266E2" w14:textId="5CD23F6D" w:rsidR="00D91013" w:rsidRPr="00883271" w:rsidRDefault="00D91013" w:rsidP="00637889">
            <w:pPr>
              <w:pStyle w:val="TableTextRight"/>
              <w:spacing w:before="30" w:after="30"/>
            </w:pPr>
            <w:r w:rsidRPr="00883271">
              <w:t>69%</w:t>
            </w:r>
          </w:p>
        </w:tc>
        <w:tc>
          <w:tcPr>
            <w:tcW w:w="1101" w:type="dxa"/>
            <w:tcBorders>
              <w:top w:val="single" w:sz="4" w:space="0" w:color="auto"/>
              <w:right w:val="single" w:sz="4" w:space="0" w:color="auto"/>
            </w:tcBorders>
            <w:vAlign w:val="center"/>
          </w:tcPr>
          <w:p w14:paraId="63C1C80A" w14:textId="08D8282B" w:rsidR="00D91013" w:rsidRPr="00883271" w:rsidRDefault="00D91013" w:rsidP="00637889">
            <w:pPr>
              <w:pStyle w:val="TableTextRight"/>
              <w:spacing w:before="30" w:after="30"/>
            </w:pPr>
            <w:r w:rsidRPr="00883271">
              <w:t>75%</w:t>
            </w:r>
          </w:p>
        </w:tc>
        <w:tc>
          <w:tcPr>
            <w:tcW w:w="709" w:type="dxa"/>
            <w:tcBorders>
              <w:top w:val="single" w:sz="4" w:space="0" w:color="auto"/>
              <w:left w:val="single" w:sz="4" w:space="0" w:color="auto"/>
            </w:tcBorders>
            <w:vAlign w:val="center"/>
          </w:tcPr>
          <w:p w14:paraId="1C24139B" w14:textId="6789BEDA" w:rsidR="00D91013" w:rsidRPr="00883271" w:rsidRDefault="00D91013" w:rsidP="00637889">
            <w:pPr>
              <w:pStyle w:val="TableTextRight"/>
              <w:spacing w:before="30" w:after="30"/>
            </w:pPr>
            <w:r w:rsidRPr="00883271">
              <w:t>63%</w:t>
            </w:r>
          </w:p>
        </w:tc>
        <w:tc>
          <w:tcPr>
            <w:tcW w:w="926" w:type="dxa"/>
            <w:tcBorders>
              <w:top w:val="single" w:sz="4" w:space="0" w:color="auto"/>
              <w:right w:val="single" w:sz="4" w:space="0" w:color="auto"/>
            </w:tcBorders>
            <w:vAlign w:val="center"/>
          </w:tcPr>
          <w:p w14:paraId="2F10F155" w14:textId="2A6BAB1B" w:rsidR="00D91013" w:rsidRPr="00883271" w:rsidRDefault="00D91013" w:rsidP="00637889">
            <w:pPr>
              <w:pStyle w:val="TableTextRight"/>
              <w:spacing w:before="30" w:after="30"/>
            </w:pPr>
            <w:r w:rsidRPr="00883271">
              <w:t>71%</w:t>
            </w:r>
          </w:p>
        </w:tc>
        <w:tc>
          <w:tcPr>
            <w:tcW w:w="603" w:type="dxa"/>
            <w:tcBorders>
              <w:top w:val="single" w:sz="4" w:space="0" w:color="auto"/>
              <w:left w:val="single" w:sz="4" w:space="0" w:color="auto"/>
            </w:tcBorders>
            <w:vAlign w:val="center"/>
          </w:tcPr>
          <w:p w14:paraId="3807236B" w14:textId="7F8FF296" w:rsidR="00D91013" w:rsidRPr="00D91013" w:rsidRDefault="00D91013" w:rsidP="00637889">
            <w:pPr>
              <w:pStyle w:val="TableTextRight"/>
              <w:spacing w:before="30" w:after="30"/>
              <w:rPr>
                <w:b/>
                <w:bCs/>
              </w:rPr>
            </w:pPr>
            <w:r w:rsidRPr="00883271">
              <w:rPr>
                <w:b/>
                <w:bCs/>
              </w:rPr>
              <w:t>65%</w:t>
            </w:r>
          </w:p>
        </w:tc>
      </w:tr>
      <w:tr w:rsidR="00D91013" w:rsidRPr="00883271" w14:paraId="5CE70A77" w14:textId="77777777" w:rsidTr="0002544C">
        <w:trPr>
          <w:cnfStyle w:val="000000100000" w:firstRow="0" w:lastRow="0" w:firstColumn="0" w:lastColumn="0" w:oddVBand="0" w:evenVBand="0" w:oddHBand="1" w:evenHBand="0" w:firstRowFirstColumn="0" w:firstRowLastColumn="0" w:lastRowFirstColumn="0" w:lastRowLastColumn="0"/>
          <w:trHeight w:val="20"/>
          <w:jc w:val="center"/>
        </w:trPr>
        <w:tc>
          <w:tcPr>
            <w:tcW w:w="1975" w:type="dxa"/>
            <w:vAlign w:val="center"/>
          </w:tcPr>
          <w:p w14:paraId="1DFCC8C8" w14:textId="505A6525" w:rsidR="00D91013" w:rsidRPr="00D91013" w:rsidRDefault="00D91013" w:rsidP="00637889">
            <w:pPr>
              <w:pStyle w:val="TableTextLeft"/>
              <w:spacing w:before="30" w:after="30"/>
              <w:rPr>
                <w:b/>
                <w:bCs/>
              </w:rPr>
            </w:pPr>
            <w:r w:rsidRPr="00D91013">
              <w:rPr>
                <w:b/>
                <w:bCs/>
              </w:rPr>
              <w:t>Information from a manufacturer freely available in Australia</w:t>
            </w:r>
          </w:p>
        </w:tc>
        <w:tc>
          <w:tcPr>
            <w:tcW w:w="987" w:type="dxa"/>
            <w:vAlign w:val="center"/>
          </w:tcPr>
          <w:p w14:paraId="05AF6D63" w14:textId="36E711A3" w:rsidR="00D91013" w:rsidRPr="00883271" w:rsidRDefault="00D91013" w:rsidP="00637889">
            <w:pPr>
              <w:pStyle w:val="TableTextRight"/>
              <w:spacing w:before="30" w:after="30"/>
            </w:pPr>
            <w:r w:rsidRPr="00883271">
              <w:t>40%</w:t>
            </w:r>
          </w:p>
        </w:tc>
        <w:tc>
          <w:tcPr>
            <w:tcW w:w="706" w:type="dxa"/>
            <w:tcBorders>
              <w:right w:val="single" w:sz="4" w:space="0" w:color="auto"/>
            </w:tcBorders>
            <w:vAlign w:val="center"/>
          </w:tcPr>
          <w:p w14:paraId="36042271" w14:textId="599C61D8" w:rsidR="00D91013" w:rsidRPr="00883271" w:rsidRDefault="00D91013" w:rsidP="00637889">
            <w:pPr>
              <w:pStyle w:val="TableTextRight"/>
              <w:spacing w:before="30" w:after="30"/>
            </w:pPr>
            <w:r w:rsidRPr="00883271">
              <w:t>38%</w:t>
            </w:r>
          </w:p>
        </w:tc>
        <w:tc>
          <w:tcPr>
            <w:tcW w:w="987" w:type="dxa"/>
            <w:tcBorders>
              <w:left w:val="single" w:sz="4" w:space="0" w:color="auto"/>
            </w:tcBorders>
            <w:vAlign w:val="center"/>
          </w:tcPr>
          <w:p w14:paraId="57AA1AB9" w14:textId="5F628E2F" w:rsidR="00D91013" w:rsidRPr="00883271" w:rsidRDefault="00D91013" w:rsidP="00637889">
            <w:pPr>
              <w:pStyle w:val="TableTextRight"/>
              <w:spacing w:before="30" w:after="30"/>
            </w:pPr>
            <w:r w:rsidRPr="00883271">
              <w:t>36%</w:t>
            </w:r>
          </w:p>
        </w:tc>
        <w:tc>
          <w:tcPr>
            <w:tcW w:w="987" w:type="dxa"/>
            <w:vAlign w:val="center"/>
          </w:tcPr>
          <w:p w14:paraId="33D00499" w14:textId="62F57E6F" w:rsidR="00D91013" w:rsidRPr="00883271" w:rsidRDefault="00D91013" w:rsidP="00637889">
            <w:pPr>
              <w:pStyle w:val="TableTextRight"/>
              <w:spacing w:before="30" w:after="30"/>
            </w:pPr>
            <w:r w:rsidRPr="00883271">
              <w:t>50%</w:t>
            </w:r>
          </w:p>
        </w:tc>
        <w:tc>
          <w:tcPr>
            <w:tcW w:w="1410" w:type="dxa"/>
            <w:tcBorders>
              <w:right w:val="single" w:sz="4" w:space="0" w:color="auto"/>
            </w:tcBorders>
            <w:vAlign w:val="center"/>
          </w:tcPr>
          <w:p w14:paraId="4E4D2FCE" w14:textId="7F004E99" w:rsidR="00D91013" w:rsidRPr="00883271" w:rsidRDefault="00D91013" w:rsidP="00637889">
            <w:pPr>
              <w:pStyle w:val="TableTextRight"/>
              <w:spacing w:before="30" w:after="30"/>
            </w:pPr>
            <w:r w:rsidRPr="00883271">
              <w:t>37%</w:t>
            </w:r>
          </w:p>
        </w:tc>
        <w:tc>
          <w:tcPr>
            <w:tcW w:w="987" w:type="dxa"/>
            <w:tcBorders>
              <w:left w:val="single" w:sz="4" w:space="0" w:color="auto"/>
            </w:tcBorders>
            <w:vAlign w:val="center"/>
          </w:tcPr>
          <w:p w14:paraId="022FE3F5" w14:textId="49D44176" w:rsidR="00D91013" w:rsidRPr="00883271" w:rsidRDefault="00D91013" w:rsidP="00637889">
            <w:pPr>
              <w:pStyle w:val="TableTextRight"/>
              <w:spacing w:before="30" w:after="30"/>
            </w:pPr>
            <w:r w:rsidRPr="00883271">
              <w:t>43%</w:t>
            </w:r>
          </w:p>
        </w:tc>
        <w:tc>
          <w:tcPr>
            <w:tcW w:w="1100" w:type="dxa"/>
            <w:vAlign w:val="center"/>
          </w:tcPr>
          <w:p w14:paraId="0248D39F" w14:textId="6EE02BB3" w:rsidR="00D91013" w:rsidRPr="00883271" w:rsidRDefault="00D91013" w:rsidP="00637889">
            <w:pPr>
              <w:pStyle w:val="TableTextRight"/>
              <w:spacing w:before="30" w:after="30"/>
            </w:pPr>
            <w:r w:rsidRPr="00883271">
              <w:t>35%</w:t>
            </w:r>
          </w:p>
        </w:tc>
        <w:tc>
          <w:tcPr>
            <w:tcW w:w="1100" w:type="dxa"/>
            <w:vAlign w:val="center"/>
          </w:tcPr>
          <w:p w14:paraId="3EEB3549" w14:textId="28F95815" w:rsidR="00D91013" w:rsidRPr="00883271" w:rsidRDefault="00D91013" w:rsidP="00637889">
            <w:pPr>
              <w:pStyle w:val="TableTextRight"/>
              <w:spacing w:before="30" w:after="30"/>
            </w:pPr>
            <w:r w:rsidRPr="00883271">
              <w:t>38%</w:t>
            </w:r>
          </w:p>
        </w:tc>
        <w:tc>
          <w:tcPr>
            <w:tcW w:w="1101" w:type="dxa"/>
            <w:tcBorders>
              <w:right w:val="single" w:sz="4" w:space="0" w:color="auto"/>
            </w:tcBorders>
            <w:vAlign w:val="center"/>
          </w:tcPr>
          <w:p w14:paraId="6067F6AC" w14:textId="00B4E065" w:rsidR="00D91013" w:rsidRPr="00883271" w:rsidRDefault="00D91013" w:rsidP="00637889">
            <w:pPr>
              <w:pStyle w:val="TableTextRight"/>
              <w:spacing w:before="30" w:after="30"/>
            </w:pPr>
            <w:r w:rsidRPr="00883271">
              <w:t>47%</w:t>
            </w:r>
          </w:p>
        </w:tc>
        <w:tc>
          <w:tcPr>
            <w:tcW w:w="709" w:type="dxa"/>
            <w:tcBorders>
              <w:left w:val="single" w:sz="4" w:space="0" w:color="auto"/>
            </w:tcBorders>
            <w:vAlign w:val="center"/>
          </w:tcPr>
          <w:p w14:paraId="0F6F0FC9" w14:textId="36113019" w:rsidR="00D91013" w:rsidRPr="00883271" w:rsidRDefault="00D91013" w:rsidP="00637889">
            <w:pPr>
              <w:pStyle w:val="TableTextRight"/>
              <w:spacing w:before="30" w:after="30"/>
            </w:pPr>
            <w:r w:rsidRPr="00883271">
              <w:t>37%</w:t>
            </w:r>
          </w:p>
        </w:tc>
        <w:tc>
          <w:tcPr>
            <w:tcW w:w="926" w:type="dxa"/>
            <w:tcBorders>
              <w:right w:val="single" w:sz="4" w:space="0" w:color="auto"/>
            </w:tcBorders>
            <w:vAlign w:val="center"/>
          </w:tcPr>
          <w:p w14:paraId="32BD49B1" w14:textId="4C6F0BC5" w:rsidR="00D91013" w:rsidRPr="00883271" w:rsidRDefault="00D91013" w:rsidP="00637889">
            <w:pPr>
              <w:pStyle w:val="TableTextRight"/>
              <w:spacing w:before="30" w:after="30"/>
            </w:pPr>
            <w:r w:rsidRPr="00883271">
              <w:t>41%</w:t>
            </w:r>
          </w:p>
        </w:tc>
        <w:tc>
          <w:tcPr>
            <w:tcW w:w="603" w:type="dxa"/>
            <w:tcBorders>
              <w:left w:val="single" w:sz="4" w:space="0" w:color="auto"/>
            </w:tcBorders>
            <w:vAlign w:val="center"/>
          </w:tcPr>
          <w:p w14:paraId="22C0E392" w14:textId="5B235DF4" w:rsidR="00D91013" w:rsidRPr="00D91013" w:rsidRDefault="00D91013" w:rsidP="00637889">
            <w:pPr>
              <w:pStyle w:val="TableTextRight"/>
              <w:spacing w:before="30" w:after="30"/>
              <w:rPr>
                <w:b/>
                <w:bCs/>
              </w:rPr>
            </w:pPr>
            <w:r w:rsidRPr="00883271">
              <w:rPr>
                <w:b/>
                <w:bCs/>
              </w:rPr>
              <w:t>38%</w:t>
            </w:r>
          </w:p>
        </w:tc>
      </w:tr>
      <w:tr w:rsidR="00D91013" w:rsidRPr="00883271" w14:paraId="166CF786" w14:textId="77777777" w:rsidTr="0002544C">
        <w:trPr>
          <w:cnfStyle w:val="000000010000" w:firstRow="0" w:lastRow="0" w:firstColumn="0" w:lastColumn="0" w:oddVBand="0" w:evenVBand="0" w:oddHBand="0" w:evenHBand="1" w:firstRowFirstColumn="0" w:firstRowLastColumn="0" w:lastRowFirstColumn="0" w:lastRowLastColumn="0"/>
          <w:trHeight w:val="20"/>
          <w:jc w:val="center"/>
        </w:trPr>
        <w:tc>
          <w:tcPr>
            <w:tcW w:w="1975" w:type="dxa"/>
            <w:vAlign w:val="center"/>
          </w:tcPr>
          <w:p w14:paraId="26895A70" w14:textId="76D84E3A" w:rsidR="00D91013" w:rsidRPr="00D91013" w:rsidRDefault="00D91013" w:rsidP="00637889">
            <w:pPr>
              <w:pStyle w:val="TableTextLeft"/>
              <w:spacing w:before="30" w:after="30"/>
              <w:rPr>
                <w:b/>
                <w:bCs/>
              </w:rPr>
            </w:pPr>
            <w:r w:rsidRPr="00D91013">
              <w:rPr>
                <w:b/>
                <w:bCs/>
              </w:rPr>
              <w:t>Information from a manufacturer available overseas</w:t>
            </w:r>
          </w:p>
        </w:tc>
        <w:tc>
          <w:tcPr>
            <w:tcW w:w="987" w:type="dxa"/>
            <w:vAlign w:val="center"/>
          </w:tcPr>
          <w:p w14:paraId="7E5F410B" w14:textId="633DF92F" w:rsidR="00D91013" w:rsidRPr="00883271" w:rsidRDefault="00D91013" w:rsidP="00637889">
            <w:pPr>
              <w:pStyle w:val="TableTextRight"/>
              <w:spacing w:before="30" w:after="30"/>
            </w:pPr>
            <w:r w:rsidRPr="00883271">
              <w:t>33%</w:t>
            </w:r>
          </w:p>
        </w:tc>
        <w:tc>
          <w:tcPr>
            <w:tcW w:w="706" w:type="dxa"/>
            <w:tcBorders>
              <w:right w:val="single" w:sz="4" w:space="0" w:color="auto"/>
            </w:tcBorders>
            <w:vAlign w:val="center"/>
          </w:tcPr>
          <w:p w14:paraId="274F3257" w14:textId="5B8D727D" w:rsidR="00D91013" w:rsidRPr="00883271" w:rsidRDefault="00D91013" w:rsidP="00637889">
            <w:pPr>
              <w:pStyle w:val="TableTextRight"/>
              <w:spacing w:before="30" w:after="30"/>
            </w:pPr>
            <w:r w:rsidRPr="00883271">
              <w:t>38%</w:t>
            </w:r>
          </w:p>
        </w:tc>
        <w:tc>
          <w:tcPr>
            <w:tcW w:w="987" w:type="dxa"/>
            <w:tcBorders>
              <w:left w:val="single" w:sz="4" w:space="0" w:color="auto"/>
            </w:tcBorders>
            <w:vAlign w:val="center"/>
          </w:tcPr>
          <w:p w14:paraId="244B0A73" w14:textId="5C6E0D42" w:rsidR="00D91013" w:rsidRPr="00883271" w:rsidRDefault="00D91013" w:rsidP="00637889">
            <w:pPr>
              <w:pStyle w:val="TableTextRight"/>
              <w:spacing w:before="30" w:after="30"/>
            </w:pPr>
            <w:r w:rsidRPr="00883271">
              <w:t>33%</w:t>
            </w:r>
          </w:p>
        </w:tc>
        <w:tc>
          <w:tcPr>
            <w:tcW w:w="987" w:type="dxa"/>
            <w:vAlign w:val="center"/>
          </w:tcPr>
          <w:p w14:paraId="6DDCA542" w14:textId="04FF93BE" w:rsidR="00D91013" w:rsidRPr="00883271" w:rsidRDefault="00D91013" w:rsidP="00637889">
            <w:pPr>
              <w:pStyle w:val="TableTextRight"/>
              <w:spacing w:before="30" w:after="30"/>
            </w:pPr>
            <w:r w:rsidRPr="00883271">
              <w:t>55%</w:t>
            </w:r>
          </w:p>
        </w:tc>
        <w:tc>
          <w:tcPr>
            <w:tcW w:w="1410" w:type="dxa"/>
            <w:tcBorders>
              <w:right w:val="single" w:sz="4" w:space="0" w:color="auto"/>
            </w:tcBorders>
            <w:vAlign w:val="center"/>
          </w:tcPr>
          <w:p w14:paraId="44BCB9C1" w14:textId="5BD38FAD" w:rsidR="00D91013" w:rsidRPr="00883271" w:rsidRDefault="00D91013" w:rsidP="00637889">
            <w:pPr>
              <w:pStyle w:val="TableTextRight"/>
              <w:spacing w:before="30" w:after="30"/>
            </w:pPr>
            <w:r w:rsidRPr="00883271">
              <w:t>28%</w:t>
            </w:r>
          </w:p>
        </w:tc>
        <w:tc>
          <w:tcPr>
            <w:tcW w:w="987" w:type="dxa"/>
            <w:tcBorders>
              <w:left w:val="single" w:sz="4" w:space="0" w:color="auto"/>
            </w:tcBorders>
            <w:vAlign w:val="center"/>
          </w:tcPr>
          <w:p w14:paraId="172F06CB" w14:textId="5E3BCDC4" w:rsidR="00D91013" w:rsidRPr="00883271" w:rsidRDefault="00D91013" w:rsidP="00637889">
            <w:pPr>
              <w:pStyle w:val="TableTextRight"/>
              <w:spacing w:before="30" w:after="30"/>
            </w:pPr>
            <w:r w:rsidRPr="00883271">
              <w:t>31%</w:t>
            </w:r>
          </w:p>
        </w:tc>
        <w:tc>
          <w:tcPr>
            <w:tcW w:w="1100" w:type="dxa"/>
            <w:vAlign w:val="center"/>
          </w:tcPr>
          <w:p w14:paraId="02245FE2" w14:textId="3751C3F3" w:rsidR="00D91013" w:rsidRPr="00883271" w:rsidRDefault="00D91013" w:rsidP="00637889">
            <w:pPr>
              <w:pStyle w:val="TableTextRight"/>
              <w:spacing w:before="30" w:after="30"/>
            </w:pPr>
            <w:r w:rsidRPr="00883271">
              <w:t>36%</w:t>
            </w:r>
          </w:p>
        </w:tc>
        <w:tc>
          <w:tcPr>
            <w:tcW w:w="1100" w:type="dxa"/>
            <w:vAlign w:val="center"/>
          </w:tcPr>
          <w:p w14:paraId="487F152D" w14:textId="56D722C2" w:rsidR="00D91013" w:rsidRPr="00883271" w:rsidRDefault="00D91013" w:rsidP="00637889">
            <w:pPr>
              <w:pStyle w:val="TableTextRight"/>
              <w:spacing w:before="30" w:after="30"/>
            </w:pPr>
            <w:r w:rsidRPr="00883271">
              <w:t>38%</w:t>
            </w:r>
          </w:p>
        </w:tc>
        <w:tc>
          <w:tcPr>
            <w:tcW w:w="1101" w:type="dxa"/>
            <w:tcBorders>
              <w:right w:val="single" w:sz="4" w:space="0" w:color="auto"/>
            </w:tcBorders>
            <w:vAlign w:val="center"/>
          </w:tcPr>
          <w:p w14:paraId="4E5C4268" w14:textId="165D5262" w:rsidR="00D91013" w:rsidRPr="00883271" w:rsidRDefault="00D91013" w:rsidP="00637889">
            <w:pPr>
              <w:pStyle w:val="TableTextRight"/>
              <w:spacing w:before="30" w:after="30"/>
            </w:pPr>
            <w:r w:rsidRPr="00883271">
              <w:t>33%</w:t>
            </w:r>
          </w:p>
        </w:tc>
        <w:tc>
          <w:tcPr>
            <w:tcW w:w="709" w:type="dxa"/>
            <w:tcBorders>
              <w:left w:val="single" w:sz="4" w:space="0" w:color="auto"/>
            </w:tcBorders>
            <w:vAlign w:val="center"/>
          </w:tcPr>
          <w:p w14:paraId="446C5F35" w14:textId="152E2E47" w:rsidR="00D91013" w:rsidRPr="00883271" w:rsidRDefault="00D91013" w:rsidP="00637889">
            <w:pPr>
              <w:pStyle w:val="TableTextRight"/>
              <w:spacing w:before="30" w:after="30"/>
            </w:pPr>
            <w:r w:rsidRPr="00883271">
              <w:t>39%</w:t>
            </w:r>
          </w:p>
        </w:tc>
        <w:tc>
          <w:tcPr>
            <w:tcW w:w="926" w:type="dxa"/>
            <w:tcBorders>
              <w:right w:val="single" w:sz="4" w:space="0" w:color="auto"/>
            </w:tcBorders>
            <w:vAlign w:val="center"/>
          </w:tcPr>
          <w:p w14:paraId="0C8D3C6A" w14:textId="27B227DF" w:rsidR="00D91013" w:rsidRPr="00883271" w:rsidRDefault="00D91013" w:rsidP="00637889">
            <w:pPr>
              <w:pStyle w:val="TableTextRight"/>
              <w:spacing w:before="30" w:after="30"/>
            </w:pPr>
            <w:r w:rsidRPr="00883271">
              <w:t>33%</w:t>
            </w:r>
          </w:p>
        </w:tc>
        <w:tc>
          <w:tcPr>
            <w:tcW w:w="603" w:type="dxa"/>
            <w:tcBorders>
              <w:left w:val="single" w:sz="4" w:space="0" w:color="auto"/>
            </w:tcBorders>
            <w:vAlign w:val="center"/>
          </w:tcPr>
          <w:p w14:paraId="21535EEA" w14:textId="78B053D3" w:rsidR="00D91013" w:rsidRPr="00D91013" w:rsidRDefault="00D91013" w:rsidP="00637889">
            <w:pPr>
              <w:pStyle w:val="TableTextRight"/>
              <w:spacing w:before="30" w:after="30"/>
              <w:rPr>
                <w:b/>
                <w:bCs/>
              </w:rPr>
            </w:pPr>
            <w:r w:rsidRPr="00883271">
              <w:rPr>
                <w:b/>
                <w:bCs/>
              </w:rPr>
              <w:t>36%</w:t>
            </w:r>
          </w:p>
        </w:tc>
      </w:tr>
      <w:tr w:rsidR="00D91013" w:rsidRPr="00883271" w14:paraId="2E0BF13B" w14:textId="77777777" w:rsidTr="0002544C">
        <w:trPr>
          <w:cnfStyle w:val="000000100000" w:firstRow="0" w:lastRow="0" w:firstColumn="0" w:lastColumn="0" w:oddVBand="0" w:evenVBand="0" w:oddHBand="1" w:evenHBand="0" w:firstRowFirstColumn="0" w:firstRowLastColumn="0" w:lastRowFirstColumn="0" w:lastRowLastColumn="0"/>
          <w:trHeight w:val="20"/>
          <w:jc w:val="center"/>
        </w:trPr>
        <w:tc>
          <w:tcPr>
            <w:tcW w:w="1975" w:type="dxa"/>
            <w:vAlign w:val="center"/>
          </w:tcPr>
          <w:p w14:paraId="60470F60" w14:textId="1F8CC03D" w:rsidR="00D91013" w:rsidRPr="00D91013" w:rsidRDefault="00D91013" w:rsidP="00637889">
            <w:pPr>
              <w:pStyle w:val="TableTextLeft"/>
              <w:spacing w:before="30" w:after="30"/>
              <w:rPr>
                <w:b/>
                <w:bCs/>
              </w:rPr>
            </w:pPr>
            <w:r w:rsidRPr="00D91013">
              <w:rPr>
                <w:b/>
                <w:bCs/>
              </w:rPr>
              <w:t>Purchased from third party information provider / aggregator</w:t>
            </w:r>
          </w:p>
        </w:tc>
        <w:tc>
          <w:tcPr>
            <w:tcW w:w="987" w:type="dxa"/>
            <w:vAlign w:val="center"/>
          </w:tcPr>
          <w:p w14:paraId="2125C79E" w14:textId="75B79DED" w:rsidR="00D91013" w:rsidRPr="00883271" w:rsidRDefault="00D91013" w:rsidP="00637889">
            <w:pPr>
              <w:pStyle w:val="TableTextRight"/>
              <w:spacing w:before="30" w:after="30"/>
            </w:pPr>
            <w:r w:rsidRPr="00883271">
              <w:t>64%</w:t>
            </w:r>
          </w:p>
        </w:tc>
        <w:tc>
          <w:tcPr>
            <w:tcW w:w="706" w:type="dxa"/>
            <w:tcBorders>
              <w:right w:val="single" w:sz="4" w:space="0" w:color="auto"/>
            </w:tcBorders>
            <w:vAlign w:val="center"/>
          </w:tcPr>
          <w:p w14:paraId="4167C7E6" w14:textId="20328F07" w:rsidR="00D91013" w:rsidRPr="00883271" w:rsidRDefault="00D91013" w:rsidP="00637889">
            <w:pPr>
              <w:pStyle w:val="TableTextRight"/>
              <w:spacing w:before="30" w:after="30"/>
            </w:pPr>
            <w:r w:rsidRPr="00883271">
              <w:t>70%</w:t>
            </w:r>
          </w:p>
        </w:tc>
        <w:tc>
          <w:tcPr>
            <w:tcW w:w="987" w:type="dxa"/>
            <w:tcBorders>
              <w:left w:val="single" w:sz="4" w:space="0" w:color="auto"/>
            </w:tcBorders>
            <w:vAlign w:val="center"/>
          </w:tcPr>
          <w:p w14:paraId="456C91AE" w14:textId="4EA5B1D2" w:rsidR="00D91013" w:rsidRPr="00883271" w:rsidRDefault="00D91013" w:rsidP="00637889">
            <w:pPr>
              <w:pStyle w:val="TableTextRight"/>
              <w:spacing w:before="30" w:after="30"/>
            </w:pPr>
            <w:r w:rsidRPr="00883271">
              <w:t>71%</w:t>
            </w:r>
          </w:p>
        </w:tc>
        <w:tc>
          <w:tcPr>
            <w:tcW w:w="987" w:type="dxa"/>
            <w:vAlign w:val="center"/>
          </w:tcPr>
          <w:p w14:paraId="711D92DB" w14:textId="45A39A8F" w:rsidR="00D91013" w:rsidRPr="00883271" w:rsidRDefault="00D91013" w:rsidP="00637889">
            <w:pPr>
              <w:pStyle w:val="TableTextRight"/>
              <w:spacing w:before="30" w:after="30"/>
            </w:pPr>
            <w:r w:rsidRPr="00883271">
              <w:t>61%</w:t>
            </w:r>
          </w:p>
        </w:tc>
        <w:tc>
          <w:tcPr>
            <w:tcW w:w="1410" w:type="dxa"/>
            <w:tcBorders>
              <w:right w:val="single" w:sz="4" w:space="0" w:color="auto"/>
            </w:tcBorders>
            <w:vAlign w:val="center"/>
          </w:tcPr>
          <w:p w14:paraId="1697C2D0" w14:textId="306D2E8D" w:rsidR="00D91013" w:rsidRPr="00883271" w:rsidRDefault="00D91013" w:rsidP="00637889">
            <w:pPr>
              <w:pStyle w:val="TableTextRight"/>
              <w:spacing w:before="30" w:after="30"/>
            </w:pPr>
            <w:r w:rsidRPr="00883271">
              <w:t>39%</w:t>
            </w:r>
          </w:p>
        </w:tc>
        <w:tc>
          <w:tcPr>
            <w:tcW w:w="987" w:type="dxa"/>
            <w:tcBorders>
              <w:left w:val="single" w:sz="4" w:space="0" w:color="auto"/>
            </w:tcBorders>
            <w:vAlign w:val="center"/>
          </w:tcPr>
          <w:p w14:paraId="571964BA" w14:textId="679F9F74" w:rsidR="00D91013" w:rsidRPr="00883271" w:rsidRDefault="00D91013" w:rsidP="00637889">
            <w:pPr>
              <w:pStyle w:val="TableTextRight"/>
              <w:spacing w:before="30" w:after="30"/>
            </w:pPr>
            <w:r w:rsidRPr="00883271">
              <w:t>62%</w:t>
            </w:r>
          </w:p>
        </w:tc>
        <w:tc>
          <w:tcPr>
            <w:tcW w:w="1100" w:type="dxa"/>
            <w:vAlign w:val="center"/>
          </w:tcPr>
          <w:p w14:paraId="043A1222" w14:textId="71B502E0" w:rsidR="00D91013" w:rsidRPr="00883271" w:rsidRDefault="00D91013" w:rsidP="00637889">
            <w:pPr>
              <w:pStyle w:val="TableTextRight"/>
              <w:spacing w:before="30" w:after="30"/>
            </w:pPr>
            <w:r w:rsidRPr="00883271">
              <w:t>66%</w:t>
            </w:r>
          </w:p>
        </w:tc>
        <w:tc>
          <w:tcPr>
            <w:tcW w:w="1100" w:type="dxa"/>
            <w:vAlign w:val="center"/>
          </w:tcPr>
          <w:p w14:paraId="42D65EAB" w14:textId="483C2E21" w:rsidR="00D91013" w:rsidRPr="00883271" w:rsidRDefault="00D91013" w:rsidP="00637889">
            <w:pPr>
              <w:pStyle w:val="TableTextRight"/>
              <w:spacing w:before="30" w:after="30"/>
            </w:pPr>
            <w:r w:rsidRPr="00883271">
              <w:t>72%</w:t>
            </w:r>
          </w:p>
        </w:tc>
        <w:tc>
          <w:tcPr>
            <w:tcW w:w="1101" w:type="dxa"/>
            <w:tcBorders>
              <w:right w:val="single" w:sz="4" w:space="0" w:color="auto"/>
            </w:tcBorders>
            <w:vAlign w:val="center"/>
          </w:tcPr>
          <w:p w14:paraId="34FAA86E" w14:textId="47C2916A" w:rsidR="00D91013" w:rsidRPr="00883271" w:rsidRDefault="00D91013" w:rsidP="00637889">
            <w:pPr>
              <w:pStyle w:val="TableTextRight"/>
              <w:spacing w:before="30" w:after="30"/>
            </w:pPr>
            <w:r w:rsidRPr="00883271">
              <w:t>44%</w:t>
            </w:r>
          </w:p>
        </w:tc>
        <w:tc>
          <w:tcPr>
            <w:tcW w:w="709" w:type="dxa"/>
            <w:tcBorders>
              <w:left w:val="single" w:sz="4" w:space="0" w:color="auto"/>
            </w:tcBorders>
            <w:vAlign w:val="center"/>
          </w:tcPr>
          <w:p w14:paraId="0F1C436E" w14:textId="0E5158CB" w:rsidR="00D91013" w:rsidRPr="00883271" w:rsidRDefault="00D91013" w:rsidP="00637889">
            <w:pPr>
              <w:pStyle w:val="TableTextRight"/>
              <w:spacing w:before="30" w:after="30"/>
            </w:pPr>
            <w:r w:rsidRPr="00883271">
              <w:t>66%</w:t>
            </w:r>
          </w:p>
        </w:tc>
        <w:tc>
          <w:tcPr>
            <w:tcW w:w="926" w:type="dxa"/>
            <w:tcBorders>
              <w:right w:val="single" w:sz="4" w:space="0" w:color="auto"/>
            </w:tcBorders>
            <w:vAlign w:val="center"/>
          </w:tcPr>
          <w:p w14:paraId="4A5380AB" w14:textId="61C80995" w:rsidR="00D91013" w:rsidRPr="00883271" w:rsidRDefault="00D91013" w:rsidP="00637889">
            <w:pPr>
              <w:pStyle w:val="TableTextRight"/>
              <w:spacing w:before="30" w:after="30"/>
            </w:pPr>
            <w:r w:rsidRPr="00883271">
              <w:t>69%</w:t>
            </w:r>
          </w:p>
        </w:tc>
        <w:tc>
          <w:tcPr>
            <w:tcW w:w="603" w:type="dxa"/>
            <w:tcBorders>
              <w:left w:val="single" w:sz="4" w:space="0" w:color="auto"/>
            </w:tcBorders>
            <w:vAlign w:val="center"/>
          </w:tcPr>
          <w:p w14:paraId="007BF252" w14:textId="52248EEA" w:rsidR="00D91013" w:rsidRPr="00D91013" w:rsidRDefault="00D91013" w:rsidP="00637889">
            <w:pPr>
              <w:pStyle w:val="TableTextRight"/>
              <w:spacing w:before="30" w:after="30"/>
              <w:rPr>
                <w:b/>
                <w:bCs/>
              </w:rPr>
            </w:pPr>
            <w:r w:rsidRPr="00883271">
              <w:rPr>
                <w:b/>
                <w:bCs/>
              </w:rPr>
              <w:t>65%</w:t>
            </w:r>
          </w:p>
        </w:tc>
      </w:tr>
      <w:tr w:rsidR="00D91013" w:rsidRPr="00883271" w14:paraId="26F21348" w14:textId="77777777" w:rsidTr="0002544C">
        <w:trPr>
          <w:cnfStyle w:val="000000010000" w:firstRow="0" w:lastRow="0" w:firstColumn="0" w:lastColumn="0" w:oddVBand="0" w:evenVBand="0" w:oddHBand="0" w:evenHBand="1" w:firstRowFirstColumn="0" w:firstRowLastColumn="0" w:lastRowFirstColumn="0" w:lastRowLastColumn="0"/>
          <w:trHeight w:val="20"/>
          <w:jc w:val="center"/>
        </w:trPr>
        <w:tc>
          <w:tcPr>
            <w:tcW w:w="1975" w:type="dxa"/>
            <w:vAlign w:val="center"/>
          </w:tcPr>
          <w:p w14:paraId="0D390008" w14:textId="5F8B9587" w:rsidR="00D91013" w:rsidRPr="00D91013" w:rsidRDefault="00D91013" w:rsidP="00637889">
            <w:pPr>
              <w:pStyle w:val="TableTextLeft"/>
              <w:spacing w:before="30" w:after="30"/>
              <w:rPr>
                <w:b/>
                <w:bCs/>
              </w:rPr>
            </w:pPr>
            <w:r w:rsidRPr="00D91013">
              <w:rPr>
                <w:b/>
                <w:bCs/>
              </w:rPr>
              <w:t>From another repairer</w:t>
            </w:r>
          </w:p>
        </w:tc>
        <w:tc>
          <w:tcPr>
            <w:tcW w:w="987" w:type="dxa"/>
            <w:vAlign w:val="center"/>
          </w:tcPr>
          <w:p w14:paraId="5EC2EB7A" w14:textId="08F432D0" w:rsidR="00D91013" w:rsidRPr="00883271" w:rsidRDefault="00D91013" w:rsidP="00637889">
            <w:pPr>
              <w:pStyle w:val="TableTextRight"/>
              <w:spacing w:before="30" w:after="30"/>
            </w:pPr>
            <w:r w:rsidRPr="00883271">
              <w:t>24%</w:t>
            </w:r>
          </w:p>
        </w:tc>
        <w:tc>
          <w:tcPr>
            <w:tcW w:w="706" w:type="dxa"/>
            <w:tcBorders>
              <w:right w:val="single" w:sz="4" w:space="0" w:color="auto"/>
            </w:tcBorders>
            <w:vAlign w:val="center"/>
          </w:tcPr>
          <w:p w14:paraId="76D0867A" w14:textId="1B4E1614" w:rsidR="00D91013" w:rsidRPr="00883271" w:rsidRDefault="00D91013" w:rsidP="00637889">
            <w:pPr>
              <w:pStyle w:val="TableTextRight"/>
              <w:spacing w:before="30" w:after="30"/>
            </w:pPr>
            <w:r w:rsidRPr="00883271">
              <w:t>31%</w:t>
            </w:r>
          </w:p>
        </w:tc>
        <w:tc>
          <w:tcPr>
            <w:tcW w:w="987" w:type="dxa"/>
            <w:tcBorders>
              <w:left w:val="single" w:sz="4" w:space="0" w:color="auto"/>
            </w:tcBorders>
            <w:vAlign w:val="center"/>
          </w:tcPr>
          <w:p w14:paraId="38C3EA63" w14:textId="1DB1BFCE" w:rsidR="00D91013" w:rsidRPr="00883271" w:rsidRDefault="00D91013" w:rsidP="00637889">
            <w:pPr>
              <w:pStyle w:val="TableTextRight"/>
              <w:spacing w:before="30" w:after="30"/>
            </w:pPr>
            <w:r w:rsidRPr="00883271">
              <w:t>27%</w:t>
            </w:r>
          </w:p>
        </w:tc>
        <w:tc>
          <w:tcPr>
            <w:tcW w:w="987" w:type="dxa"/>
            <w:vAlign w:val="center"/>
          </w:tcPr>
          <w:p w14:paraId="4F039960" w14:textId="471800B3" w:rsidR="00D91013" w:rsidRPr="00883271" w:rsidRDefault="00D91013" w:rsidP="00637889">
            <w:pPr>
              <w:pStyle w:val="TableTextRight"/>
              <w:spacing w:before="30" w:after="30"/>
            </w:pPr>
            <w:r w:rsidRPr="00883271">
              <w:t>39%</w:t>
            </w:r>
          </w:p>
        </w:tc>
        <w:tc>
          <w:tcPr>
            <w:tcW w:w="1410" w:type="dxa"/>
            <w:tcBorders>
              <w:right w:val="single" w:sz="4" w:space="0" w:color="auto"/>
            </w:tcBorders>
            <w:vAlign w:val="center"/>
          </w:tcPr>
          <w:p w14:paraId="581FE7AB" w14:textId="7EDFBC13" w:rsidR="00D91013" w:rsidRPr="00883271" w:rsidRDefault="00D91013" w:rsidP="00637889">
            <w:pPr>
              <w:pStyle w:val="TableTextRight"/>
              <w:spacing w:before="30" w:after="30"/>
            </w:pPr>
            <w:r w:rsidRPr="00883271">
              <w:t>17%</w:t>
            </w:r>
          </w:p>
        </w:tc>
        <w:tc>
          <w:tcPr>
            <w:tcW w:w="987" w:type="dxa"/>
            <w:tcBorders>
              <w:left w:val="single" w:sz="4" w:space="0" w:color="auto"/>
            </w:tcBorders>
            <w:vAlign w:val="center"/>
          </w:tcPr>
          <w:p w14:paraId="5B076542" w14:textId="683F1811" w:rsidR="00D91013" w:rsidRPr="00883271" w:rsidRDefault="00D91013" w:rsidP="00637889">
            <w:pPr>
              <w:pStyle w:val="TableTextRight"/>
              <w:spacing w:before="30" w:after="30"/>
            </w:pPr>
            <w:r w:rsidRPr="00883271">
              <w:t>24%</w:t>
            </w:r>
          </w:p>
        </w:tc>
        <w:tc>
          <w:tcPr>
            <w:tcW w:w="1100" w:type="dxa"/>
            <w:vAlign w:val="center"/>
          </w:tcPr>
          <w:p w14:paraId="45C48286" w14:textId="578B250F" w:rsidR="00D91013" w:rsidRPr="00883271" w:rsidRDefault="00D91013" w:rsidP="00637889">
            <w:pPr>
              <w:pStyle w:val="TableTextRight"/>
              <w:spacing w:before="30" w:after="30"/>
            </w:pPr>
            <w:r w:rsidRPr="00883271">
              <w:t>28%</w:t>
            </w:r>
          </w:p>
        </w:tc>
        <w:tc>
          <w:tcPr>
            <w:tcW w:w="1100" w:type="dxa"/>
            <w:vAlign w:val="center"/>
          </w:tcPr>
          <w:p w14:paraId="1ED01796" w14:textId="101984F9" w:rsidR="00D91013" w:rsidRPr="00883271" w:rsidRDefault="00D91013" w:rsidP="00637889">
            <w:pPr>
              <w:pStyle w:val="TableTextRight"/>
              <w:spacing w:before="30" w:after="30"/>
            </w:pPr>
            <w:r w:rsidRPr="00883271">
              <w:t>29%</w:t>
            </w:r>
          </w:p>
        </w:tc>
        <w:tc>
          <w:tcPr>
            <w:tcW w:w="1101" w:type="dxa"/>
            <w:tcBorders>
              <w:right w:val="single" w:sz="4" w:space="0" w:color="auto"/>
            </w:tcBorders>
            <w:vAlign w:val="center"/>
          </w:tcPr>
          <w:p w14:paraId="3025A538" w14:textId="3E0EF3BD" w:rsidR="00D91013" w:rsidRPr="00883271" w:rsidRDefault="00D91013" w:rsidP="00637889">
            <w:pPr>
              <w:pStyle w:val="TableTextRight"/>
              <w:spacing w:before="30" w:after="30"/>
            </w:pPr>
            <w:r w:rsidRPr="00883271">
              <w:t>22%</w:t>
            </w:r>
          </w:p>
        </w:tc>
        <w:tc>
          <w:tcPr>
            <w:tcW w:w="709" w:type="dxa"/>
            <w:tcBorders>
              <w:left w:val="single" w:sz="4" w:space="0" w:color="auto"/>
            </w:tcBorders>
            <w:vAlign w:val="center"/>
          </w:tcPr>
          <w:p w14:paraId="2F401303" w14:textId="5EA964BD" w:rsidR="00D91013" w:rsidRPr="00883271" w:rsidRDefault="00D91013" w:rsidP="00637889">
            <w:pPr>
              <w:pStyle w:val="TableTextRight"/>
              <w:spacing w:before="30" w:after="30"/>
            </w:pPr>
            <w:r w:rsidRPr="00883271">
              <w:t>31%</w:t>
            </w:r>
          </w:p>
        </w:tc>
        <w:tc>
          <w:tcPr>
            <w:tcW w:w="926" w:type="dxa"/>
            <w:tcBorders>
              <w:right w:val="single" w:sz="4" w:space="0" w:color="auto"/>
            </w:tcBorders>
            <w:vAlign w:val="center"/>
          </w:tcPr>
          <w:p w14:paraId="4826205F" w14:textId="238A80A7" w:rsidR="00D91013" w:rsidRPr="00883271" w:rsidRDefault="00D91013" w:rsidP="00637889">
            <w:pPr>
              <w:pStyle w:val="TableTextRight"/>
              <w:spacing w:before="30" w:after="30"/>
            </w:pPr>
            <w:r w:rsidRPr="00883271">
              <w:t>25%</w:t>
            </w:r>
          </w:p>
        </w:tc>
        <w:tc>
          <w:tcPr>
            <w:tcW w:w="603" w:type="dxa"/>
            <w:tcBorders>
              <w:left w:val="single" w:sz="4" w:space="0" w:color="auto"/>
            </w:tcBorders>
            <w:vAlign w:val="center"/>
          </w:tcPr>
          <w:p w14:paraId="79B4C4E2" w14:textId="13763FEB" w:rsidR="00D91013" w:rsidRPr="00D91013" w:rsidRDefault="00D91013" w:rsidP="00637889">
            <w:pPr>
              <w:pStyle w:val="TableTextRight"/>
              <w:spacing w:before="30" w:after="30"/>
              <w:rPr>
                <w:b/>
                <w:bCs/>
              </w:rPr>
            </w:pPr>
            <w:r w:rsidRPr="00883271">
              <w:rPr>
                <w:b/>
                <w:bCs/>
              </w:rPr>
              <w:t>27%</w:t>
            </w:r>
          </w:p>
        </w:tc>
      </w:tr>
      <w:tr w:rsidR="00D91013" w:rsidRPr="00883271" w14:paraId="0CAA1D87" w14:textId="77777777" w:rsidTr="0002544C">
        <w:trPr>
          <w:cnfStyle w:val="000000100000" w:firstRow="0" w:lastRow="0" w:firstColumn="0" w:lastColumn="0" w:oddVBand="0" w:evenVBand="0" w:oddHBand="1" w:evenHBand="0" w:firstRowFirstColumn="0" w:firstRowLastColumn="0" w:lastRowFirstColumn="0" w:lastRowLastColumn="0"/>
          <w:trHeight w:val="20"/>
          <w:jc w:val="center"/>
        </w:trPr>
        <w:tc>
          <w:tcPr>
            <w:tcW w:w="1975" w:type="dxa"/>
            <w:vAlign w:val="center"/>
          </w:tcPr>
          <w:p w14:paraId="389CA3A6" w14:textId="3A7EC528" w:rsidR="00D91013" w:rsidRPr="00D91013" w:rsidRDefault="00D91013" w:rsidP="00637889">
            <w:pPr>
              <w:pStyle w:val="TableTextLeft"/>
              <w:spacing w:before="30" w:after="30"/>
              <w:rPr>
                <w:b/>
                <w:bCs/>
              </w:rPr>
            </w:pPr>
            <w:r w:rsidRPr="00D91013">
              <w:rPr>
                <w:b/>
                <w:bCs/>
              </w:rPr>
              <w:t>From a general internet search</w:t>
            </w:r>
          </w:p>
        </w:tc>
        <w:tc>
          <w:tcPr>
            <w:tcW w:w="987" w:type="dxa"/>
            <w:vAlign w:val="center"/>
          </w:tcPr>
          <w:p w14:paraId="6C3EDB43" w14:textId="2C5E5E82" w:rsidR="00D91013" w:rsidRPr="00883271" w:rsidRDefault="00D91013" w:rsidP="00637889">
            <w:pPr>
              <w:pStyle w:val="TableTextRight"/>
              <w:spacing w:before="30" w:after="30"/>
            </w:pPr>
            <w:r w:rsidRPr="00883271">
              <w:t>62%</w:t>
            </w:r>
          </w:p>
        </w:tc>
        <w:tc>
          <w:tcPr>
            <w:tcW w:w="706" w:type="dxa"/>
            <w:tcBorders>
              <w:right w:val="single" w:sz="4" w:space="0" w:color="auto"/>
            </w:tcBorders>
            <w:vAlign w:val="center"/>
          </w:tcPr>
          <w:p w14:paraId="426E8FE0" w14:textId="3B5C65F0" w:rsidR="00D91013" w:rsidRPr="00883271" w:rsidRDefault="00D91013" w:rsidP="00637889">
            <w:pPr>
              <w:pStyle w:val="TableTextRight"/>
              <w:spacing w:before="30" w:after="30"/>
            </w:pPr>
            <w:r w:rsidRPr="00883271">
              <w:t>67%</w:t>
            </w:r>
          </w:p>
        </w:tc>
        <w:tc>
          <w:tcPr>
            <w:tcW w:w="987" w:type="dxa"/>
            <w:tcBorders>
              <w:left w:val="single" w:sz="4" w:space="0" w:color="auto"/>
            </w:tcBorders>
            <w:vAlign w:val="center"/>
          </w:tcPr>
          <w:p w14:paraId="26926C01" w14:textId="62BF7151" w:rsidR="00D91013" w:rsidRPr="00883271" w:rsidRDefault="00D91013" w:rsidP="00637889">
            <w:pPr>
              <w:pStyle w:val="TableTextRight"/>
              <w:spacing w:before="30" w:after="30"/>
            </w:pPr>
            <w:r w:rsidRPr="00883271">
              <w:t>66%</w:t>
            </w:r>
          </w:p>
        </w:tc>
        <w:tc>
          <w:tcPr>
            <w:tcW w:w="987" w:type="dxa"/>
            <w:vAlign w:val="center"/>
          </w:tcPr>
          <w:p w14:paraId="5A461DDB" w14:textId="656B150D" w:rsidR="00D91013" w:rsidRPr="00883271" w:rsidRDefault="00D91013" w:rsidP="00637889">
            <w:pPr>
              <w:pStyle w:val="TableTextRight"/>
              <w:spacing w:before="30" w:after="30"/>
            </w:pPr>
            <w:r w:rsidRPr="00883271">
              <w:t>76%</w:t>
            </w:r>
          </w:p>
        </w:tc>
        <w:tc>
          <w:tcPr>
            <w:tcW w:w="1410" w:type="dxa"/>
            <w:tcBorders>
              <w:right w:val="single" w:sz="4" w:space="0" w:color="auto"/>
            </w:tcBorders>
            <w:vAlign w:val="center"/>
          </w:tcPr>
          <w:p w14:paraId="4EF43CF0" w14:textId="581391C0" w:rsidR="00D91013" w:rsidRPr="00883271" w:rsidRDefault="00D91013" w:rsidP="00637889">
            <w:pPr>
              <w:pStyle w:val="TableTextRight"/>
              <w:spacing w:before="30" w:after="30"/>
            </w:pPr>
            <w:r w:rsidRPr="00883271">
              <w:t>46%</w:t>
            </w:r>
          </w:p>
        </w:tc>
        <w:tc>
          <w:tcPr>
            <w:tcW w:w="987" w:type="dxa"/>
            <w:tcBorders>
              <w:left w:val="single" w:sz="4" w:space="0" w:color="auto"/>
            </w:tcBorders>
            <w:vAlign w:val="center"/>
          </w:tcPr>
          <w:p w14:paraId="0AD2AFFD" w14:textId="01CB6086" w:rsidR="00D91013" w:rsidRPr="00883271" w:rsidRDefault="00D91013" w:rsidP="00637889">
            <w:pPr>
              <w:pStyle w:val="TableTextRight"/>
              <w:spacing w:before="30" w:after="30"/>
            </w:pPr>
            <w:r w:rsidRPr="00883271">
              <w:t>57%</w:t>
            </w:r>
          </w:p>
        </w:tc>
        <w:tc>
          <w:tcPr>
            <w:tcW w:w="1100" w:type="dxa"/>
            <w:vAlign w:val="center"/>
          </w:tcPr>
          <w:p w14:paraId="4FB6267F" w14:textId="7242AC20" w:rsidR="00D91013" w:rsidRPr="00883271" w:rsidRDefault="00D91013" w:rsidP="00637889">
            <w:pPr>
              <w:pStyle w:val="TableTextRight"/>
              <w:spacing w:before="30" w:after="30"/>
            </w:pPr>
            <w:r w:rsidRPr="00883271">
              <w:t>73%</w:t>
            </w:r>
          </w:p>
        </w:tc>
        <w:tc>
          <w:tcPr>
            <w:tcW w:w="1100" w:type="dxa"/>
            <w:vAlign w:val="center"/>
          </w:tcPr>
          <w:p w14:paraId="19EFA8B6" w14:textId="02D2315B" w:rsidR="00D91013" w:rsidRPr="00883271" w:rsidRDefault="00D91013" w:rsidP="00637889">
            <w:pPr>
              <w:pStyle w:val="TableTextRight"/>
              <w:spacing w:before="30" w:after="30"/>
            </w:pPr>
            <w:r w:rsidRPr="00883271">
              <w:t>68%</w:t>
            </w:r>
          </w:p>
        </w:tc>
        <w:tc>
          <w:tcPr>
            <w:tcW w:w="1101" w:type="dxa"/>
            <w:tcBorders>
              <w:right w:val="single" w:sz="4" w:space="0" w:color="auto"/>
            </w:tcBorders>
            <w:vAlign w:val="center"/>
          </w:tcPr>
          <w:p w14:paraId="1A28080A" w14:textId="54BC1F7D" w:rsidR="00D91013" w:rsidRPr="00883271" w:rsidRDefault="00D91013" w:rsidP="00637889">
            <w:pPr>
              <w:pStyle w:val="TableTextRight"/>
              <w:spacing w:before="30" w:after="30"/>
            </w:pPr>
            <w:r w:rsidRPr="00883271">
              <w:t>36%</w:t>
            </w:r>
          </w:p>
        </w:tc>
        <w:tc>
          <w:tcPr>
            <w:tcW w:w="709" w:type="dxa"/>
            <w:tcBorders>
              <w:left w:val="single" w:sz="4" w:space="0" w:color="auto"/>
            </w:tcBorders>
            <w:vAlign w:val="center"/>
          </w:tcPr>
          <w:p w14:paraId="0CC92AC6" w14:textId="5010D76D" w:rsidR="00D91013" w:rsidRPr="00883271" w:rsidRDefault="00D91013" w:rsidP="00637889">
            <w:pPr>
              <w:pStyle w:val="TableTextRight"/>
              <w:spacing w:before="30" w:after="30"/>
            </w:pPr>
            <w:r w:rsidRPr="00883271">
              <w:t>63%</w:t>
            </w:r>
          </w:p>
        </w:tc>
        <w:tc>
          <w:tcPr>
            <w:tcW w:w="926" w:type="dxa"/>
            <w:tcBorders>
              <w:right w:val="single" w:sz="4" w:space="0" w:color="auto"/>
            </w:tcBorders>
            <w:vAlign w:val="center"/>
          </w:tcPr>
          <w:p w14:paraId="1C7A97D1" w14:textId="31255959" w:rsidR="00D91013" w:rsidRPr="00883271" w:rsidRDefault="00D91013" w:rsidP="00637889">
            <w:pPr>
              <w:pStyle w:val="TableTextRight"/>
              <w:spacing w:before="30" w:after="30"/>
            </w:pPr>
            <w:r w:rsidRPr="00883271">
              <w:t>67%</w:t>
            </w:r>
          </w:p>
        </w:tc>
        <w:tc>
          <w:tcPr>
            <w:tcW w:w="603" w:type="dxa"/>
            <w:tcBorders>
              <w:left w:val="single" w:sz="4" w:space="0" w:color="auto"/>
            </w:tcBorders>
            <w:vAlign w:val="center"/>
          </w:tcPr>
          <w:p w14:paraId="261EF502" w14:textId="00E182A1" w:rsidR="00D91013" w:rsidRPr="00D91013" w:rsidRDefault="00D91013" w:rsidP="00637889">
            <w:pPr>
              <w:pStyle w:val="TableTextRight"/>
              <w:spacing w:before="30" w:after="30"/>
              <w:rPr>
                <w:b/>
                <w:bCs/>
              </w:rPr>
            </w:pPr>
            <w:r w:rsidRPr="00883271">
              <w:rPr>
                <w:b/>
                <w:bCs/>
              </w:rPr>
              <w:t>64%</w:t>
            </w:r>
          </w:p>
        </w:tc>
      </w:tr>
      <w:tr w:rsidR="00D91013" w:rsidRPr="00883271" w14:paraId="2FB9C00B" w14:textId="77777777" w:rsidTr="0002544C">
        <w:trPr>
          <w:cnfStyle w:val="000000010000" w:firstRow="0" w:lastRow="0" w:firstColumn="0" w:lastColumn="0" w:oddVBand="0" w:evenVBand="0" w:oddHBand="0" w:evenHBand="1" w:firstRowFirstColumn="0" w:firstRowLastColumn="0" w:lastRowFirstColumn="0" w:lastRowLastColumn="0"/>
          <w:trHeight w:val="20"/>
          <w:jc w:val="center"/>
        </w:trPr>
        <w:tc>
          <w:tcPr>
            <w:tcW w:w="1975" w:type="dxa"/>
            <w:vAlign w:val="center"/>
          </w:tcPr>
          <w:p w14:paraId="23FD134D" w14:textId="665CFF0D" w:rsidR="00D91013" w:rsidRPr="00D91013" w:rsidRDefault="00D91013" w:rsidP="00637889">
            <w:pPr>
              <w:pStyle w:val="TableTextLeft"/>
              <w:spacing w:before="30" w:after="30"/>
              <w:rPr>
                <w:b/>
                <w:bCs/>
              </w:rPr>
            </w:pPr>
            <w:r w:rsidRPr="00D91013">
              <w:rPr>
                <w:b/>
                <w:bCs/>
              </w:rPr>
              <w:t>Don't know / Prefer not to say</w:t>
            </w:r>
          </w:p>
        </w:tc>
        <w:tc>
          <w:tcPr>
            <w:tcW w:w="987" w:type="dxa"/>
            <w:vAlign w:val="center"/>
          </w:tcPr>
          <w:p w14:paraId="3EDA4784" w14:textId="18B18824" w:rsidR="00D91013" w:rsidRPr="00883271" w:rsidRDefault="00D91013" w:rsidP="00637889">
            <w:pPr>
              <w:pStyle w:val="TableTextRight"/>
              <w:spacing w:before="30" w:after="30"/>
            </w:pPr>
            <w:r w:rsidRPr="00883271">
              <w:t>3%</w:t>
            </w:r>
          </w:p>
        </w:tc>
        <w:tc>
          <w:tcPr>
            <w:tcW w:w="706" w:type="dxa"/>
            <w:tcBorders>
              <w:right w:val="single" w:sz="4" w:space="0" w:color="auto"/>
            </w:tcBorders>
            <w:vAlign w:val="center"/>
          </w:tcPr>
          <w:p w14:paraId="56F664EC" w14:textId="6DC09A07" w:rsidR="00D91013" w:rsidRPr="00883271" w:rsidRDefault="00D91013" w:rsidP="00637889">
            <w:pPr>
              <w:pStyle w:val="TableTextRight"/>
              <w:spacing w:before="30" w:after="30"/>
            </w:pPr>
            <w:r w:rsidRPr="00883271">
              <w:t>0%</w:t>
            </w:r>
          </w:p>
        </w:tc>
        <w:tc>
          <w:tcPr>
            <w:tcW w:w="987" w:type="dxa"/>
            <w:tcBorders>
              <w:left w:val="single" w:sz="4" w:space="0" w:color="auto"/>
            </w:tcBorders>
            <w:vAlign w:val="center"/>
          </w:tcPr>
          <w:p w14:paraId="458AA6FF" w14:textId="10E1ED4A" w:rsidR="00D91013" w:rsidRPr="00883271" w:rsidRDefault="00D91013" w:rsidP="00637889">
            <w:pPr>
              <w:pStyle w:val="TableTextRight"/>
              <w:spacing w:before="30" w:after="30"/>
            </w:pPr>
            <w:r w:rsidRPr="00883271">
              <w:t>1%</w:t>
            </w:r>
          </w:p>
        </w:tc>
        <w:tc>
          <w:tcPr>
            <w:tcW w:w="987" w:type="dxa"/>
            <w:vAlign w:val="center"/>
          </w:tcPr>
          <w:p w14:paraId="733568BD" w14:textId="4658F557" w:rsidR="00D91013" w:rsidRPr="00883271" w:rsidRDefault="00D91013" w:rsidP="00637889">
            <w:pPr>
              <w:pStyle w:val="TableTextRight"/>
              <w:spacing w:before="30" w:after="30"/>
            </w:pPr>
            <w:r w:rsidRPr="00883271">
              <w:t>3%</w:t>
            </w:r>
          </w:p>
        </w:tc>
        <w:tc>
          <w:tcPr>
            <w:tcW w:w="1410" w:type="dxa"/>
            <w:tcBorders>
              <w:right w:val="single" w:sz="4" w:space="0" w:color="auto"/>
            </w:tcBorders>
            <w:vAlign w:val="center"/>
          </w:tcPr>
          <w:p w14:paraId="63000E46" w14:textId="5DC8F30E" w:rsidR="00D91013" w:rsidRPr="00883271" w:rsidRDefault="00D91013" w:rsidP="00637889">
            <w:pPr>
              <w:pStyle w:val="TableTextRight"/>
              <w:spacing w:before="30" w:after="30"/>
            </w:pPr>
            <w:r w:rsidRPr="00883271">
              <w:t>2%</w:t>
            </w:r>
          </w:p>
        </w:tc>
        <w:tc>
          <w:tcPr>
            <w:tcW w:w="987" w:type="dxa"/>
            <w:tcBorders>
              <w:left w:val="single" w:sz="4" w:space="0" w:color="auto"/>
            </w:tcBorders>
            <w:vAlign w:val="center"/>
          </w:tcPr>
          <w:p w14:paraId="143077C3" w14:textId="012141DF" w:rsidR="00D91013" w:rsidRPr="00883271" w:rsidRDefault="00D91013" w:rsidP="00637889">
            <w:pPr>
              <w:pStyle w:val="TableTextRight"/>
              <w:spacing w:before="30" w:after="30"/>
            </w:pPr>
            <w:r w:rsidRPr="00883271">
              <w:t>5%</w:t>
            </w:r>
          </w:p>
        </w:tc>
        <w:tc>
          <w:tcPr>
            <w:tcW w:w="1100" w:type="dxa"/>
            <w:vAlign w:val="center"/>
          </w:tcPr>
          <w:p w14:paraId="226F2FA2" w14:textId="73E8BD0F" w:rsidR="00D91013" w:rsidRPr="00883271" w:rsidRDefault="00D91013" w:rsidP="00637889">
            <w:pPr>
              <w:pStyle w:val="TableTextRight"/>
              <w:spacing w:before="30" w:after="30"/>
            </w:pPr>
            <w:r w:rsidRPr="00883271">
              <w:t>2%</w:t>
            </w:r>
          </w:p>
        </w:tc>
        <w:tc>
          <w:tcPr>
            <w:tcW w:w="1100" w:type="dxa"/>
            <w:vAlign w:val="center"/>
          </w:tcPr>
          <w:p w14:paraId="1E8331BF" w14:textId="42A9D95E" w:rsidR="00D91013" w:rsidRPr="00883271" w:rsidRDefault="00D91013" w:rsidP="00637889">
            <w:pPr>
              <w:pStyle w:val="TableTextRight"/>
              <w:spacing w:before="30" w:after="30"/>
            </w:pPr>
            <w:r w:rsidRPr="00883271">
              <w:t>0%</w:t>
            </w:r>
          </w:p>
        </w:tc>
        <w:tc>
          <w:tcPr>
            <w:tcW w:w="1101" w:type="dxa"/>
            <w:tcBorders>
              <w:right w:val="single" w:sz="4" w:space="0" w:color="auto"/>
            </w:tcBorders>
            <w:vAlign w:val="center"/>
          </w:tcPr>
          <w:p w14:paraId="2A182256" w14:textId="0904C657" w:rsidR="00D91013" w:rsidRPr="00883271" w:rsidRDefault="00D91013" w:rsidP="00637889">
            <w:pPr>
              <w:pStyle w:val="TableTextRight"/>
              <w:spacing w:before="30" w:after="30"/>
            </w:pPr>
            <w:r w:rsidRPr="00883271">
              <w:t>0%</w:t>
            </w:r>
          </w:p>
        </w:tc>
        <w:tc>
          <w:tcPr>
            <w:tcW w:w="709" w:type="dxa"/>
            <w:tcBorders>
              <w:left w:val="single" w:sz="4" w:space="0" w:color="auto"/>
            </w:tcBorders>
            <w:vAlign w:val="center"/>
          </w:tcPr>
          <w:p w14:paraId="7AEA0EB0" w14:textId="1739AD42" w:rsidR="00D91013" w:rsidRPr="00883271" w:rsidRDefault="00D91013" w:rsidP="00637889">
            <w:pPr>
              <w:pStyle w:val="TableTextRight"/>
              <w:spacing w:before="30" w:after="30"/>
            </w:pPr>
            <w:r w:rsidRPr="00883271">
              <w:t>1%</w:t>
            </w:r>
          </w:p>
        </w:tc>
        <w:tc>
          <w:tcPr>
            <w:tcW w:w="926" w:type="dxa"/>
            <w:tcBorders>
              <w:right w:val="single" w:sz="4" w:space="0" w:color="auto"/>
            </w:tcBorders>
            <w:vAlign w:val="center"/>
          </w:tcPr>
          <w:p w14:paraId="004260CA" w14:textId="1AB8728E" w:rsidR="00D91013" w:rsidRPr="00883271" w:rsidRDefault="00D91013" w:rsidP="00637889">
            <w:pPr>
              <w:pStyle w:val="TableTextRight"/>
              <w:spacing w:before="30" w:after="30"/>
            </w:pPr>
            <w:r w:rsidRPr="00883271">
              <w:t>1%</w:t>
            </w:r>
          </w:p>
        </w:tc>
        <w:tc>
          <w:tcPr>
            <w:tcW w:w="603" w:type="dxa"/>
            <w:tcBorders>
              <w:left w:val="single" w:sz="4" w:space="0" w:color="auto"/>
            </w:tcBorders>
            <w:vAlign w:val="center"/>
          </w:tcPr>
          <w:p w14:paraId="0D87D9C3" w14:textId="310F6031" w:rsidR="00D91013" w:rsidRPr="00D91013" w:rsidRDefault="00D91013" w:rsidP="00637889">
            <w:pPr>
              <w:pStyle w:val="TableTextRight"/>
              <w:spacing w:before="30" w:after="30"/>
              <w:rPr>
                <w:b/>
                <w:bCs/>
              </w:rPr>
            </w:pPr>
            <w:r w:rsidRPr="00883271">
              <w:rPr>
                <w:b/>
                <w:bCs/>
              </w:rPr>
              <w:t>2%</w:t>
            </w:r>
          </w:p>
        </w:tc>
      </w:tr>
      <w:tr w:rsidR="00D91013" w:rsidRPr="00883271" w14:paraId="32ED5BE0" w14:textId="77777777" w:rsidTr="0002544C">
        <w:trPr>
          <w:cnfStyle w:val="000000100000" w:firstRow="0" w:lastRow="0" w:firstColumn="0" w:lastColumn="0" w:oddVBand="0" w:evenVBand="0" w:oddHBand="1" w:evenHBand="0" w:firstRowFirstColumn="0" w:firstRowLastColumn="0" w:lastRowFirstColumn="0" w:lastRowLastColumn="0"/>
          <w:trHeight w:val="20"/>
          <w:jc w:val="center"/>
        </w:trPr>
        <w:tc>
          <w:tcPr>
            <w:tcW w:w="1975" w:type="dxa"/>
            <w:vAlign w:val="center"/>
          </w:tcPr>
          <w:p w14:paraId="34B39925" w14:textId="35EA10E4" w:rsidR="00D91013" w:rsidRPr="00D91013" w:rsidRDefault="00D91013" w:rsidP="00637889">
            <w:pPr>
              <w:pStyle w:val="TableTextLeft"/>
              <w:spacing w:before="30" w:after="30"/>
              <w:rPr>
                <w:b/>
                <w:bCs/>
              </w:rPr>
            </w:pPr>
            <w:r w:rsidRPr="00D91013">
              <w:rPr>
                <w:b/>
                <w:bCs/>
              </w:rPr>
              <w:t>No external sources in last 12 months</w:t>
            </w:r>
          </w:p>
        </w:tc>
        <w:tc>
          <w:tcPr>
            <w:tcW w:w="987" w:type="dxa"/>
            <w:vAlign w:val="center"/>
          </w:tcPr>
          <w:p w14:paraId="6906FA6E" w14:textId="6F96D38A" w:rsidR="00D91013" w:rsidRPr="00883271" w:rsidRDefault="00D91013" w:rsidP="00637889">
            <w:pPr>
              <w:pStyle w:val="TableTextRight"/>
              <w:spacing w:before="30" w:after="30"/>
            </w:pPr>
            <w:r w:rsidRPr="00883271">
              <w:t>1%</w:t>
            </w:r>
          </w:p>
        </w:tc>
        <w:tc>
          <w:tcPr>
            <w:tcW w:w="706" w:type="dxa"/>
            <w:tcBorders>
              <w:right w:val="single" w:sz="4" w:space="0" w:color="auto"/>
            </w:tcBorders>
            <w:vAlign w:val="center"/>
          </w:tcPr>
          <w:p w14:paraId="4BC22D92" w14:textId="083E57BD" w:rsidR="00D91013" w:rsidRPr="00883271" w:rsidRDefault="00D91013" w:rsidP="00637889">
            <w:pPr>
              <w:pStyle w:val="TableTextRight"/>
              <w:spacing w:before="30" w:after="30"/>
            </w:pPr>
            <w:r w:rsidRPr="00883271">
              <w:t>3%</w:t>
            </w:r>
          </w:p>
        </w:tc>
        <w:tc>
          <w:tcPr>
            <w:tcW w:w="987" w:type="dxa"/>
            <w:tcBorders>
              <w:left w:val="single" w:sz="4" w:space="0" w:color="auto"/>
            </w:tcBorders>
            <w:vAlign w:val="center"/>
          </w:tcPr>
          <w:p w14:paraId="735B0B2F" w14:textId="5AB891D9" w:rsidR="00D91013" w:rsidRPr="00883271" w:rsidRDefault="00D91013" w:rsidP="00637889">
            <w:pPr>
              <w:pStyle w:val="TableTextRight"/>
              <w:spacing w:before="30" w:after="30"/>
            </w:pPr>
            <w:r w:rsidRPr="00883271">
              <w:t>2%</w:t>
            </w:r>
          </w:p>
        </w:tc>
        <w:tc>
          <w:tcPr>
            <w:tcW w:w="987" w:type="dxa"/>
            <w:vAlign w:val="center"/>
          </w:tcPr>
          <w:p w14:paraId="06C8FF6A" w14:textId="75C027C4" w:rsidR="00D91013" w:rsidRPr="00883271" w:rsidRDefault="00D91013" w:rsidP="00637889">
            <w:pPr>
              <w:pStyle w:val="TableTextRight"/>
              <w:spacing w:before="30" w:after="30"/>
            </w:pPr>
            <w:r w:rsidRPr="00883271">
              <w:t>0%</w:t>
            </w:r>
          </w:p>
        </w:tc>
        <w:tc>
          <w:tcPr>
            <w:tcW w:w="1410" w:type="dxa"/>
            <w:tcBorders>
              <w:right w:val="single" w:sz="4" w:space="0" w:color="auto"/>
            </w:tcBorders>
            <w:vAlign w:val="center"/>
          </w:tcPr>
          <w:p w14:paraId="67FB4A5D" w14:textId="67C286A8" w:rsidR="00D91013" w:rsidRPr="00883271" w:rsidRDefault="00D91013" w:rsidP="00637889">
            <w:pPr>
              <w:pStyle w:val="TableTextRight"/>
              <w:spacing w:before="30" w:after="30"/>
            </w:pPr>
            <w:r w:rsidRPr="00883271">
              <w:t>7%</w:t>
            </w:r>
          </w:p>
        </w:tc>
        <w:tc>
          <w:tcPr>
            <w:tcW w:w="987" w:type="dxa"/>
            <w:tcBorders>
              <w:left w:val="single" w:sz="4" w:space="0" w:color="auto"/>
            </w:tcBorders>
            <w:vAlign w:val="center"/>
          </w:tcPr>
          <w:p w14:paraId="2E60CF37" w14:textId="2CB4CFFF" w:rsidR="00D91013" w:rsidRPr="00883271" w:rsidRDefault="00D91013" w:rsidP="00637889">
            <w:pPr>
              <w:pStyle w:val="TableTextRight"/>
              <w:spacing w:before="30" w:after="30"/>
            </w:pPr>
            <w:r w:rsidRPr="00883271">
              <w:t>0%</w:t>
            </w:r>
          </w:p>
        </w:tc>
        <w:tc>
          <w:tcPr>
            <w:tcW w:w="1100" w:type="dxa"/>
            <w:vAlign w:val="center"/>
          </w:tcPr>
          <w:p w14:paraId="52FA4D5E" w14:textId="2F9C31DE" w:rsidR="00D91013" w:rsidRPr="00883271" w:rsidRDefault="00D91013" w:rsidP="00637889">
            <w:pPr>
              <w:pStyle w:val="TableTextRight"/>
              <w:spacing w:before="30" w:after="30"/>
            </w:pPr>
            <w:r w:rsidRPr="00883271">
              <w:t>2%</w:t>
            </w:r>
          </w:p>
        </w:tc>
        <w:tc>
          <w:tcPr>
            <w:tcW w:w="1100" w:type="dxa"/>
            <w:vAlign w:val="center"/>
          </w:tcPr>
          <w:p w14:paraId="6776E790" w14:textId="1631EF63" w:rsidR="00D91013" w:rsidRPr="00883271" w:rsidRDefault="00D91013" w:rsidP="00637889">
            <w:pPr>
              <w:pStyle w:val="TableTextRight"/>
              <w:spacing w:before="30" w:after="30"/>
            </w:pPr>
            <w:r w:rsidRPr="00883271">
              <w:t>3%</w:t>
            </w:r>
          </w:p>
        </w:tc>
        <w:tc>
          <w:tcPr>
            <w:tcW w:w="1101" w:type="dxa"/>
            <w:tcBorders>
              <w:right w:val="single" w:sz="4" w:space="0" w:color="auto"/>
            </w:tcBorders>
            <w:vAlign w:val="center"/>
          </w:tcPr>
          <w:p w14:paraId="579E660A" w14:textId="14B9655C" w:rsidR="00D91013" w:rsidRPr="00883271" w:rsidRDefault="00D91013" w:rsidP="00637889">
            <w:pPr>
              <w:pStyle w:val="TableTextRight"/>
              <w:spacing w:before="30" w:after="30"/>
            </w:pPr>
            <w:r w:rsidRPr="00883271">
              <w:t>3%</w:t>
            </w:r>
          </w:p>
        </w:tc>
        <w:tc>
          <w:tcPr>
            <w:tcW w:w="709" w:type="dxa"/>
            <w:tcBorders>
              <w:left w:val="single" w:sz="4" w:space="0" w:color="auto"/>
            </w:tcBorders>
            <w:vAlign w:val="center"/>
          </w:tcPr>
          <w:p w14:paraId="72BD6898" w14:textId="27723D56" w:rsidR="00D91013" w:rsidRPr="00883271" w:rsidRDefault="00D91013" w:rsidP="00637889">
            <w:pPr>
              <w:pStyle w:val="TableTextRight"/>
              <w:spacing w:before="30" w:after="30"/>
            </w:pPr>
            <w:r w:rsidRPr="00883271">
              <w:t>2%</w:t>
            </w:r>
          </w:p>
        </w:tc>
        <w:tc>
          <w:tcPr>
            <w:tcW w:w="926" w:type="dxa"/>
            <w:tcBorders>
              <w:right w:val="single" w:sz="4" w:space="0" w:color="auto"/>
            </w:tcBorders>
            <w:vAlign w:val="center"/>
          </w:tcPr>
          <w:p w14:paraId="67627CB0" w14:textId="64A7C795" w:rsidR="00D91013" w:rsidRPr="00883271" w:rsidRDefault="00D91013" w:rsidP="00637889">
            <w:pPr>
              <w:pStyle w:val="TableTextRight"/>
              <w:spacing w:before="30" w:after="30"/>
            </w:pPr>
            <w:r w:rsidRPr="00883271">
              <w:t>2%</w:t>
            </w:r>
          </w:p>
        </w:tc>
        <w:tc>
          <w:tcPr>
            <w:tcW w:w="603" w:type="dxa"/>
            <w:tcBorders>
              <w:left w:val="single" w:sz="4" w:space="0" w:color="auto"/>
            </w:tcBorders>
            <w:vAlign w:val="center"/>
          </w:tcPr>
          <w:p w14:paraId="48565450" w14:textId="13A099F0" w:rsidR="00D91013" w:rsidRPr="00D91013" w:rsidRDefault="00D91013" w:rsidP="00637889">
            <w:pPr>
              <w:pStyle w:val="TableTextRight"/>
              <w:spacing w:before="30" w:after="30"/>
              <w:rPr>
                <w:b/>
                <w:bCs/>
              </w:rPr>
            </w:pPr>
            <w:r w:rsidRPr="00883271">
              <w:rPr>
                <w:b/>
                <w:bCs/>
              </w:rPr>
              <w:t>2%</w:t>
            </w:r>
          </w:p>
        </w:tc>
      </w:tr>
      <w:tr w:rsidR="00D91013" w:rsidRPr="00883271" w14:paraId="1CE44840" w14:textId="77777777" w:rsidTr="0002544C">
        <w:trPr>
          <w:cnfStyle w:val="000000010000" w:firstRow="0" w:lastRow="0" w:firstColumn="0" w:lastColumn="0" w:oddVBand="0" w:evenVBand="0" w:oddHBand="0" w:evenHBand="1" w:firstRowFirstColumn="0" w:firstRowLastColumn="0" w:lastRowFirstColumn="0" w:lastRowLastColumn="0"/>
          <w:trHeight w:val="20"/>
          <w:jc w:val="center"/>
        </w:trPr>
        <w:tc>
          <w:tcPr>
            <w:tcW w:w="1975" w:type="dxa"/>
            <w:tcBorders>
              <w:bottom w:val="single" w:sz="4" w:space="0" w:color="auto"/>
            </w:tcBorders>
            <w:vAlign w:val="center"/>
          </w:tcPr>
          <w:p w14:paraId="6D609237" w14:textId="133E5ADE" w:rsidR="00D91013" w:rsidRPr="00D91013" w:rsidRDefault="00D91013" w:rsidP="00637889">
            <w:pPr>
              <w:pStyle w:val="TableTextLeft"/>
              <w:spacing w:before="30" w:after="30"/>
              <w:rPr>
                <w:b/>
                <w:bCs/>
              </w:rPr>
            </w:pPr>
            <w:r w:rsidRPr="00D91013">
              <w:rPr>
                <w:b/>
                <w:bCs/>
              </w:rPr>
              <w:t>Other</w:t>
            </w:r>
          </w:p>
        </w:tc>
        <w:tc>
          <w:tcPr>
            <w:tcW w:w="987" w:type="dxa"/>
            <w:tcBorders>
              <w:bottom w:val="single" w:sz="4" w:space="0" w:color="auto"/>
            </w:tcBorders>
            <w:vAlign w:val="center"/>
          </w:tcPr>
          <w:p w14:paraId="2CD62D36" w14:textId="5A309F7C" w:rsidR="00D91013" w:rsidRPr="00883271" w:rsidRDefault="00D91013" w:rsidP="00637889">
            <w:pPr>
              <w:pStyle w:val="TableTextRight"/>
              <w:spacing w:before="30" w:after="30"/>
            </w:pPr>
            <w:r w:rsidRPr="00883271">
              <w:t>1%</w:t>
            </w:r>
          </w:p>
        </w:tc>
        <w:tc>
          <w:tcPr>
            <w:tcW w:w="706" w:type="dxa"/>
            <w:tcBorders>
              <w:bottom w:val="single" w:sz="4" w:space="0" w:color="auto"/>
              <w:right w:val="single" w:sz="4" w:space="0" w:color="auto"/>
            </w:tcBorders>
            <w:vAlign w:val="center"/>
          </w:tcPr>
          <w:p w14:paraId="2F913361" w14:textId="166331AA" w:rsidR="00D91013" w:rsidRPr="00883271" w:rsidRDefault="00D91013" w:rsidP="00637889">
            <w:pPr>
              <w:pStyle w:val="TableTextRight"/>
              <w:spacing w:before="30" w:after="30"/>
            </w:pPr>
            <w:r w:rsidRPr="00883271">
              <w:t>0%</w:t>
            </w:r>
          </w:p>
        </w:tc>
        <w:tc>
          <w:tcPr>
            <w:tcW w:w="987" w:type="dxa"/>
            <w:tcBorders>
              <w:left w:val="single" w:sz="4" w:space="0" w:color="auto"/>
              <w:bottom w:val="single" w:sz="4" w:space="0" w:color="auto"/>
            </w:tcBorders>
            <w:vAlign w:val="center"/>
          </w:tcPr>
          <w:p w14:paraId="706CE401" w14:textId="76750386" w:rsidR="00D91013" w:rsidRPr="00883271" w:rsidRDefault="00D91013" w:rsidP="00637889">
            <w:pPr>
              <w:pStyle w:val="TableTextRight"/>
              <w:spacing w:before="30" w:after="30"/>
            </w:pPr>
            <w:r w:rsidRPr="00883271">
              <w:t>0%</w:t>
            </w:r>
          </w:p>
        </w:tc>
        <w:tc>
          <w:tcPr>
            <w:tcW w:w="987" w:type="dxa"/>
            <w:tcBorders>
              <w:bottom w:val="single" w:sz="4" w:space="0" w:color="auto"/>
            </w:tcBorders>
            <w:vAlign w:val="center"/>
          </w:tcPr>
          <w:p w14:paraId="1C73FD6A" w14:textId="02151170" w:rsidR="00D91013" w:rsidRPr="00883271" w:rsidRDefault="00D91013" w:rsidP="00637889">
            <w:pPr>
              <w:pStyle w:val="TableTextRight"/>
              <w:spacing w:before="30" w:after="30"/>
            </w:pPr>
            <w:r w:rsidRPr="00883271">
              <w:t>3%</w:t>
            </w:r>
          </w:p>
        </w:tc>
        <w:tc>
          <w:tcPr>
            <w:tcW w:w="1410" w:type="dxa"/>
            <w:tcBorders>
              <w:bottom w:val="single" w:sz="4" w:space="0" w:color="auto"/>
              <w:right w:val="single" w:sz="4" w:space="0" w:color="auto"/>
            </w:tcBorders>
            <w:vAlign w:val="center"/>
          </w:tcPr>
          <w:p w14:paraId="28CD9983" w14:textId="7D4A9C92" w:rsidR="00D91013" w:rsidRPr="00883271" w:rsidRDefault="00D91013" w:rsidP="00637889">
            <w:pPr>
              <w:pStyle w:val="TableTextRight"/>
              <w:spacing w:before="30" w:after="30"/>
            </w:pPr>
            <w:r w:rsidRPr="00883271">
              <w:t>2%</w:t>
            </w:r>
          </w:p>
        </w:tc>
        <w:tc>
          <w:tcPr>
            <w:tcW w:w="987" w:type="dxa"/>
            <w:tcBorders>
              <w:left w:val="single" w:sz="4" w:space="0" w:color="auto"/>
              <w:bottom w:val="single" w:sz="4" w:space="0" w:color="auto"/>
            </w:tcBorders>
            <w:vAlign w:val="center"/>
          </w:tcPr>
          <w:p w14:paraId="7286ED6F" w14:textId="326597A9" w:rsidR="00D91013" w:rsidRPr="00883271" w:rsidRDefault="00D91013" w:rsidP="00637889">
            <w:pPr>
              <w:pStyle w:val="TableTextRight"/>
              <w:spacing w:before="30" w:after="30"/>
            </w:pPr>
            <w:r w:rsidRPr="00883271">
              <w:t>0%</w:t>
            </w:r>
          </w:p>
        </w:tc>
        <w:tc>
          <w:tcPr>
            <w:tcW w:w="1100" w:type="dxa"/>
            <w:tcBorders>
              <w:bottom w:val="single" w:sz="4" w:space="0" w:color="auto"/>
            </w:tcBorders>
            <w:vAlign w:val="center"/>
          </w:tcPr>
          <w:p w14:paraId="3D4FBA07" w14:textId="7E77FA4B" w:rsidR="00D91013" w:rsidRPr="00883271" w:rsidRDefault="00D91013" w:rsidP="00637889">
            <w:pPr>
              <w:pStyle w:val="TableTextRight"/>
              <w:spacing w:before="30" w:after="30"/>
            </w:pPr>
            <w:r w:rsidRPr="00883271">
              <w:t>2%</w:t>
            </w:r>
          </w:p>
        </w:tc>
        <w:tc>
          <w:tcPr>
            <w:tcW w:w="1100" w:type="dxa"/>
            <w:tcBorders>
              <w:bottom w:val="single" w:sz="4" w:space="0" w:color="auto"/>
            </w:tcBorders>
            <w:vAlign w:val="center"/>
          </w:tcPr>
          <w:p w14:paraId="36A07E61" w14:textId="5BCA0F86" w:rsidR="00D91013" w:rsidRPr="00883271" w:rsidRDefault="00D91013" w:rsidP="00637889">
            <w:pPr>
              <w:pStyle w:val="TableTextRight"/>
              <w:spacing w:before="30" w:after="30"/>
            </w:pPr>
            <w:r w:rsidRPr="00883271">
              <w:t>0%</w:t>
            </w:r>
          </w:p>
        </w:tc>
        <w:tc>
          <w:tcPr>
            <w:tcW w:w="1101" w:type="dxa"/>
            <w:tcBorders>
              <w:bottom w:val="single" w:sz="4" w:space="0" w:color="auto"/>
              <w:right w:val="single" w:sz="4" w:space="0" w:color="auto"/>
            </w:tcBorders>
            <w:vAlign w:val="center"/>
          </w:tcPr>
          <w:p w14:paraId="461D0EED" w14:textId="71C26051" w:rsidR="00D91013" w:rsidRPr="00883271" w:rsidRDefault="00D91013" w:rsidP="00637889">
            <w:pPr>
              <w:pStyle w:val="TableTextRight"/>
              <w:spacing w:before="30" w:after="30"/>
            </w:pPr>
            <w:r w:rsidRPr="00883271">
              <w:t>0%</w:t>
            </w:r>
          </w:p>
        </w:tc>
        <w:tc>
          <w:tcPr>
            <w:tcW w:w="709" w:type="dxa"/>
            <w:tcBorders>
              <w:left w:val="single" w:sz="4" w:space="0" w:color="auto"/>
              <w:bottom w:val="single" w:sz="4" w:space="0" w:color="auto"/>
            </w:tcBorders>
            <w:vAlign w:val="center"/>
          </w:tcPr>
          <w:p w14:paraId="63D28312" w14:textId="48F5FF0F" w:rsidR="00D91013" w:rsidRPr="00883271" w:rsidRDefault="00D91013" w:rsidP="00637889">
            <w:pPr>
              <w:pStyle w:val="TableTextRight"/>
              <w:spacing w:before="30" w:after="30"/>
            </w:pPr>
            <w:r w:rsidRPr="00883271">
              <w:t>1%</w:t>
            </w:r>
          </w:p>
        </w:tc>
        <w:tc>
          <w:tcPr>
            <w:tcW w:w="926" w:type="dxa"/>
            <w:tcBorders>
              <w:bottom w:val="single" w:sz="4" w:space="0" w:color="auto"/>
              <w:right w:val="single" w:sz="4" w:space="0" w:color="auto"/>
            </w:tcBorders>
            <w:vAlign w:val="center"/>
          </w:tcPr>
          <w:p w14:paraId="1DFB35BD" w14:textId="2046B133" w:rsidR="00D91013" w:rsidRPr="00883271" w:rsidRDefault="00D91013" w:rsidP="00637889">
            <w:pPr>
              <w:pStyle w:val="TableTextRight"/>
              <w:spacing w:before="30" w:after="30"/>
            </w:pPr>
            <w:r w:rsidRPr="00883271">
              <w:t>0%</w:t>
            </w:r>
          </w:p>
        </w:tc>
        <w:tc>
          <w:tcPr>
            <w:tcW w:w="603" w:type="dxa"/>
            <w:tcBorders>
              <w:left w:val="single" w:sz="4" w:space="0" w:color="auto"/>
              <w:bottom w:val="single" w:sz="4" w:space="0" w:color="auto"/>
            </w:tcBorders>
            <w:vAlign w:val="center"/>
          </w:tcPr>
          <w:p w14:paraId="4949523A" w14:textId="5308C7B2" w:rsidR="00D91013" w:rsidRPr="00D91013" w:rsidRDefault="00D91013" w:rsidP="00637889">
            <w:pPr>
              <w:pStyle w:val="TableTextRight"/>
              <w:spacing w:before="30" w:after="30"/>
              <w:rPr>
                <w:b/>
                <w:bCs/>
              </w:rPr>
            </w:pPr>
            <w:r w:rsidRPr="00883271">
              <w:rPr>
                <w:b/>
                <w:bCs/>
              </w:rPr>
              <w:t>1%</w:t>
            </w:r>
          </w:p>
        </w:tc>
      </w:tr>
      <w:tr w:rsidR="00664208" w:rsidRPr="00883271" w14:paraId="67084FE2" w14:textId="77777777" w:rsidTr="0002544C">
        <w:trPr>
          <w:cnfStyle w:val="000000100000" w:firstRow="0" w:lastRow="0" w:firstColumn="0" w:lastColumn="0" w:oddVBand="0" w:evenVBand="0" w:oddHBand="1" w:evenHBand="0" w:firstRowFirstColumn="0" w:firstRowLastColumn="0" w:lastRowFirstColumn="0" w:lastRowLastColumn="0"/>
          <w:trHeight w:val="113"/>
          <w:jc w:val="center"/>
        </w:trPr>
        <w:tc>
          <w:tcPr>
            <w:tcW w:w="1975" w:type="dxa"/>
            <w:tcBorders>
              <w:top w:val="single" w:sz="4" w:space="0" w:color="auto"/>
              <w:bottom w:val="single" w:sz="4" w:space="0" w:color="auto"/>
            </w:tcBorders>
            <w:shd w:val="clear" w:color="auto" w:fill="EEEEEE" w:themeFill="background2"/>
            <w:vAlign w:val="center"/>
          </w:tcPr>
          <w:p w14:paraId="7CB4762B" w14:textId="12E1CD29" w:rsidR="00D91013" w:rsidRPr="00D91013" w:rsidRDefault="00D91013" w:rsidP="00637889">
            <w:pPr>
              <w:pStyle w:val="TableTextLeft"/>
              <w:spacing w:before="30" w:after="30"/>
              <w:rPr>
                <w:b/>
                <w:bCs/>
              </w:rPr>
            </w:pPr>
            <w:r w:rsidRPr="00D91013">
              <w:rPr>
                <w:b/>
                <w:bCs/>
              </w:rPr>
              <w:t>Total responses (n)</w:t>
            </w:r>
          </w:p>
        </w:tc>
        <w:tc>
          <w:tcPr>
            <w:tcW w:w="987" w:type="dxa"/>
            <w:tcBorders>
              <w:top w:val="single" w:sz="4" w:space="0" w:color="auto"/>
              <w:bottom w:val="single" w:sz="4" w:space="0" w:color="auto"/>
            </w:tcBorders>
            <w:shd w:val="clear" w:color="auto" w:fill="EEEEEE" w:themeFill="background2"/>
            <w:vAlign w:val="center"/>
          </w:tcPr>
          <w:p w14:paraId="3226554B" w14:textId="7B885B08" w:rsidR="00D91013" w:rsidRPr="00D91013" w:rsidRDefault="00D91013" w:rsidP="00637889">
            <w:pPr>
              <w:pStyle w:val="TableTextRight"/>
              <w:spacing w:before="30" w:after="30"/>
              <w:rPr>
                <w:b/>
                <w:bCs/>
              </w:rPr>
            </w:pPr>
            <w:r w:rsidRPr="00883271">
              <w:rPr>
                <w:b/>
                <w:bCs/>
              </w:rPr>
              <w:t>168</w:t>
            </w:r>
          </w:p>
        </w:tc>
        <w:tc>
          <w:tcPr>
            <w:tcW w:w="706" w:type="dxa"/>
            <w:tcBorders>
              <w:top w:val="single" w:sz="4" w:space="0" w:color="auto"/>
              <w:bottom w:val="single" w:sz="4" w:space="0" w:color="auto"/>
              <w:right w:val="single" w:sz="4" w:space="0" w:color="auto"/>
            </w:tcBorders>
            <w:shd w:val="clear" w:color="auto" w:fill="EEEEEE" w:themeFill="background2"/>
            <w:vAlign w:val="center"/>
          </w:tcPr>
          <w:p w14:paraId="03A2F9E3" w14:textId="39194A80" w:rsidR="00D91013" w:rsidRPr="00D91013" w:rsidRDefault="00D91013" w:rsidP="00637889">
            <w:pPr>
              <w:pStyle w:val="TableTextRight"/>
              <w:spacing w:before="30" w:after="30"/>
              <w:rPr>
                <w:b/>
                <w:bCs/>
              </w:rPr>
            </w:pPr>
            <w:r w:rsidRPr="00883271">
              <w:rPr>
                <w:b/>
                <w:bCs/>
              </w:rPr>
              <w:t>115</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1E593290" w14:textId="1A4BEF70" w:rsidR="00D91013" w:rsidRPr="00D91013" w:rsidRDefault="00D91013" w:rsidP="00637889">
            <w:pPr>
              <w:pStyle w:val="TableTextRight"/>
              <w:spacing w:before="30" w:after="30"/>
              <w:rPr>
                <w:b/>
                <w:bCs/>
              </w:rPr>
            </w:pPr>
            <w:r w:rsidRPr="00883271">
              <w:rPr>
                <w:b/>
                <w:bCs/>
              </w:rPr>
              <w:t>213</w:t>
            </w:r>
          </w:p>
        </w:tc>
        <w:tc>
          <w:tcPr>
            <w:tcW w:w="987" w:type="dxa"/>
            <w:tcBorders>
              <w:top w:val="single" w:sz="4" w:space="0" w:color="auto"/>
              <w:bottom w:val="single" w:sz="4" w:space="0" w:color="auto"/>
            </w:tcBorders>
            <w:shd w:val="clear" w:color="auto" w:fill="EEEEEE" w:themeFill="background2"/>
            <w:vAlign w:val="center"/>
          </w:tcPr>
          <w:p w14:paraId="5EF58186" w14:textId="6E2D547B" w:rsidR="00D91013" w:rsidRPr="00D91013" w:rsidRDefault="00D91013" w:rsidP="00637889">
            <w:pPr>
              <w:pStyle w:val="TableTextRight"/>
              <w:spacing w:before="30" w:after="30"/>
              <w:rPr>
                <w:b/>
                <w:bCs/>
              </w:rPr>
            </w:pPr>
            <w:r w:rsidRPr="00883271">
              <w:rPr>
                <w:b/>
                <w:bCs/>
              </w:rPr>
              <w:t>38</w:t>
            </w:r>
          </w:p>
        </w:tc>
        <w:tc>
          <w:tcPr>
            <w:tcW w:w="1410" w:type="dxa"/>
            <w:tcBorders>
              <w:top w:val="single" w:sz="4" w:space="0" w:color="auto"/>
              <w:bottom w:val="single" w:sz="4" w:space="0" w:color="auto"/>
              <w:right w:val="single" w:sz="4" w:space="0" w:color="auto"/>
            </w:tcBorders>
            <w:shd w:val="clear" w:color="auto" w:fill="EEEEEE" w:themeFill="background2"/>
            <w:vAlign w:val="center"/>
          </w:tcPr>
          <w:p w14:paraId="0B76C8E6" w14:textId="5C0EE6BF" w:rsidR="00D91013" w:rsidRPr="00D91013" w:rsidRDefault="00D91013" w:rsidP="00637889">
            <w:pPr>
              <w:pStyle w:val="TableTextRight"/>
              <w:spacing w:before="30" w:after="30"/>
              <w:rPr>
                <w:b/>
                <w:bCs/>
              </w:rPr>
            </w:pPr>
            <w:r w:rsidRPr="00883271">
              <w:rPr>
                <w:b/>
                <w:bCs/>
              </w:rPr>
              <w:t>46</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6705E383" w14:textId="42B7152A" w:rsidR="00D91013" w:rsidRPr="00D91013" w:rsidRDefault="00D91013" w:rsidP="00637889">
            <w:pPr>
              <w:pStyle w:val="TableTextRight"/>
              <w:spacing w:before="30" w:after="30"/>
              <w:rPr>
                <w:b/>
                <w:bCs/>
              </w:rPr>
            </w:pPr>
            <w:r w:rsidRPr="00883271">
              <w:rPr>
                <w:b/>
                <w:bCs/>
              </w:rPr>
              <w:t>42</w:t>
            </w:r>
          </w:p>
        </w:tc>
        <w:tc>
          <w:tcPr>
            <w:tcW w:w="1100" w:type="dxa"/>
            <w:tcBorders>
              <w:top w:val="single" w:sz="4" w:space="0" w:color="auto"/>
              <w:bottom w:val="single" w:sz="4" w:space="0" w:color="auto"/>
            </w:tcBorders>
            <w:shd w:val="clear" w:color="auto" w:fill="EEEEEE" w:themeFill="background2"/>
            <w:vAlign w:val="center"/>
          </w:tcPr>
          <w:p w14:paraId="67F60F20" w14:textId="04B3B5B1" w:rsidR="00D91013" w:rsidRPr="00D91013" w:rsidRDefault="00D91013" w:rsidP="00637889">
            <w:pPr>
              <w:pStyle w:val="TableTextRight"/>
              <w:spacing w:before="30" w:after="30"/>
              <w:rPr>
                <w:b/>
                <w:bCs/>
              </w:rPr>
            </w:pPr>
            <w:r w:rsidRPr="00883271">
              <w:rPr>
                <w:b/>
                <w:bCs/>
              </w:rPr>
              <w:t>92</w:t>
            </w:r>
          </w:p>
        </w:tc>
        <w:tc>
          <w:tcPr>
            <w:tcW w:w="1100" w:type="dxa"/>
            <w:tcBorders>
              <w:top w:val="single" w:sz="4" w:space="0" w:color="auto"/>
              <w:bottom w:val="single" w:sz="4" w:space="0" w:color="auto"/>
            </w:tcBorders>
            <w:shd w:val="clear" w:color="auto" w:fill="EEEEEE" w:themeFill="background2"/>
            <w:vAlign w:val="center"/>
          </w:tcPr>
          <w:p w14:paraId="65AF2619" w14:textId="7D4DFB13" w:rsidR="00D91013" w:rsidRPr="00D91013" w:rsidRDefault="00D91013" w:rsidP="00637889">
            <w:pPr>
              <w:pStyle w:val="TableTextRight"/>
              <w:spacing w:before="30" w:after="30"/>
              <w:rPr>
                <w:b/>
                <w:bCs/>
              </w:rPr>
            </w:pPr>
            <w:r w:rsidRPr="00883271">
              <w:rPr>
                <w:b/>
                <w:bCs/>
              </w:rPr>
              <w:t>130</w:t>
            </w:r>
          </w:p>
        </w:tc>
        <w:tc>
          <w:tcPr>
            <w:tcW w:w="1101" w:type="dxa"/>
            <w:tcBorders>
              <w:top w:val="single" w:sz="4" w:space="0" w:color="auto"/>
              <w:bottom w:val="single" w:sz="4" w:space="0" w:color="auto"/>
              <w:right w:val="single" w:sz="4" w:space="0" w:color="auto"/>
            </w:tcBorders>
            <w:shd w:val="clear" w:color="auto" w:fill="EEEEEE" w:themeFill="background2"/>
            <w:vAlign w:val="center"/>
          </w:tcPr>
          <w:p w14:paraId="0B55875E" w14:textId="33A5F573" w:rsidR="00D91013" w:rsidRPr="00D91013" w:rsidRDefault="00D91013" w:rsidP="00637889">
            <w:pPr>
              <w:pStyle w:val="TableTextRight"/>
              <w:spacing w:before="30" w:after="30"/>
              <w:rPr>
                <w:b/>
                <w:bCs/>
              </w:rPr>
            </w:pPr>
            <w:r w:rsidRPr="00883271">
              <w:rPr>
                <w:b/>
                <w:bCs/>
              </w:rPr>
              <w:t>36</w:t>
            </w:r>
          </w:p>
        </w:tc>
        <w:tc>
          <w:tcPr>
            <w:tcW w:w="709" w:type="dxa"/>
            <w:tcBorders>
              <w:top w:val="single" w:sz="4" w:space="0" w:color="auto"/>
              <w:left w:val="single" w:sz="4" w:space="0" w:color="auto"/>
              <w:bottom w:val="single" w:sz="4" w:space="0" w:color="auto"/>
            </w:tcBorders>
            <w:shd w:val="clear" w:color="auto" w:fill="EEEEEE" w:themeFill="background2"/>
            <w:vAlign w:val="center"/>
          </w:tcPr>
          <w:p w14:paraId="6B36E568" w14:textId="00C605D6" w:rsidR="00D91013" w:rsidRPr="00D91013" w:rsidRDefault="00D91013" w:rsidP="00637889">
            <w:pPr>
              <w:pStyle w:val="TableTextRight"/>
              <w:spacing w:before="30" w:after="30"/>
              <w:rPr>
                <w:b/>
                <w:bCs/>
              </w:rPr>
            </w:pPr>
            <w:r w:rsidRPr="00883271">
              <w:rPr>
                <w:b/>
                <w:bCs/>
              </w:rPr>
              <w:t>166</w:t>
            </w:r>
          </w:p>
        </w:tc>
        <w:tc>
          <w:tcPr>
            <w:tcW w:w="926" w:type="dxa"/>
            <w:tcBorders>
              <w:top w:val="single" w:sz="4" w:space="0" w:color="auto"/>
              <w:bottom w:val="single" w:sz="4" w:space="0" w:color="auto"/>
              <w:right w:val="single" w:sz="4" w:space="0" w:color="auto"/>
            </w:tcBorders>
            <w:shd w:val="clear" w:color="auto" w:fill="EEEEEE" w:themeFill="background2"/>
            <w:vAlign w:val="center"/>
          </w:tcPr>
          <w:p w14:paraId="340BB2D4" w14:textId="47DA9A0A" w:rsidR="00D91013" w:rsidRPr="00D91013" w:rsidRDefault="00D91013" w:rsidP="00637889">
            <w:pPr>
              <w:pStyle w:val="TableTextRight"/>
              <w:spacing w:before="30" w:after="30"/>
              <w:rPr>
                <w:b/>
                <w:bCs/>
              </w:rPr>
            </w:pPr>
            <w:r w:rsidRPr="00883271">
              <w:rPr>
                <w:b/>
                <w:bCs/>
              </w:rPr>
              <w:t>125</w:t>
            </w:r>
          </w:p>
        </w:tc>
        <w:tc>
          <w:tcPr>
            <w:tcW w:w="603" w:type="dxa"/>
            <w:tcBorders>
              <w:top w:val="single" w:sz="4" w:space="0" w:color="auto"/>
              <w:left w:val="single" w:sz="4" w:space="0" w:color="auto"/>
              <w:bottom w:val="single" w:sz="4" w:space="0" w:color="auto"/>
            </w:tcBorders>
            <w:shd w:val="clear" w:color="auto" w:fill="EEEEEE" w:themeFill="background2"/>
            <w:vAlign w:val="center"/>
          </w:tcPr>
          <w:p w14:paraId="3FD84628" w14:textId="28544D6C" w:rsidR="00D91013" w:rsidRPr="00D91013" w:rsidRDefault="00D91013" w:rsidP="00637889">
            <w:pPr>
              <w:pStyle w:val="TableTextRight"/>
              <w:spacing w:before="30" w:after="30"/>
              <w:rPr>
                <w:b/>
                <w:bCs/>
              </w:rPr>
            </w:pPr>
            <w:r w:rsidRPr="00883271">
              <w:rPr>
                <w:b/>
                <w:bCs/>
              </w:rPr>
              <w:t>306</w:t>
            </w:r>
          </w:p>
        </w:tc>
      </w:tr>
    </w:tbl>
    <w:p w14:paraId="314F76CF" w14:textId="77777777" w:rsidR="00637889" w:rsidRPr="00637889" w:rsidRDefault="00637889" w:rsidP="00637889">
      <w:r w:rsidRPr="00637889">
        <w:br w:type="page"/>
      </w:r>
    </w:p>
    <w:p w14:paraId="7DFB6E45" w14:textId="05FF6196" w:rsidR="00D91013" w:rsidRDefault="00D91013" w:rsidP="00110D67">
      <w:pPr>
        <w:pStyle w:val="TableMainHeading"/>
      </w:pPr>
      <w:r w:rsidRPr="00D91013">
        <w:lastRenderedPageBreak/>
        <w:t>Have you experienced any issues accessing service, repair and diagnostic information in the last 12 months?</w:t>
      </w:r>
    </w:p>
    <w:tbl>
      <w:tblPr>
        <w:tblStyle w:val="TableGrid"/>
        <w:tblW w:w="5000" w:type="pct"/>
        <w:jc w:val="center"/>
        <w:tblLayout w:type="fixed"/>
        <w:tblCellMar>
          <w:left w:w="113" w:type="dxa"/>
          <w:right w:w="113" w:type="dxa"/>
        </w:tblCellMar>
        <w:tblLook w:val="04A0" w:firstRow="1" w:lastRow="0" w:firstColumn="1" w:lastColumn="0" w:noHBand="0" w:noVBand="1"/>
      </w:tblPr>
      <w:tblGrid>
        <w:gridCol w:w="2037"/>
        <w:gridCol w:w="1018"/>
        <w:gridCol w:w="728"/>
        <w:gridCol w:w="1018"/>
        <w:gridCol w:w="1018"/>
        <w:gridCol w:w="1454"/>
        <w:gridCol w:w="1018"/>
        <w:gridCol w:w="1134"/>
        <w:gridCol w:w="1134"/>
        <w:gridCol w:w="1135"/>
        <w:gridCol w:w="731"/>
        <w:gridCol w:w="955"/>
        <w:gridCol w:w="622"/>
      </w:tblGrid>
      <w:tr w:rsidR="00D91013" w:rsidRPr="00883271" w14:paraId="77F96734" w14:textId="77777777" w:rsidTr="0002544C">
        <w:trPr>
          <w:cnfStyle w:val="100000000000" w:firstRow="1" w:lastRow="0" w:firstColumn="0" w:lastColumn="0" w:oddVBand="0" w:evenVBand="0" w:oddHBand="0" w:evenHBand="0" w:firstRowFirstColumn="0" w:firstRowLastColumn="0" w:lastRowFirstColumn="0" w:lastRowLastColumn="0"/>
          <w:jc w:val="center"/>
        </w:trPr>
        <w:tc>
          <w:tcPr>
            <w:tcW w:w="1975" w:type="dxa"/>
            <w:tcBorders>
              <w:top w:val="single" w:sz="4" w:space="0" w:color="auto"/>
              <w:bottom w:val="single" w:sz="4" w:space="0" w:color="auto"/>
            </w:tcBorders>
          </w:tcPr>
          <w:p w14:paraId="600E61A7" w14:textId="77777777" w:rsidR="00D91013" w:rsidRPr="00D91013" w:rsidRDefault="00D91013" w:rsidP="00637889">
            <w:pPr>
              <w:pStyle w:val="TableColumnHeadingRight"/>
              <w:spacing w:before="30" w:after="30"/>
              <w:rPr>
                <w:sz w:val="18"/>
                <w:szCs w:val="18"/>
              </w:rPr>
            </w:pPr>
          </w:p>
        </w:tc>
        <w:tc>
          <w:tcPr>
            <w:tcW w:w="1693" w:type="dxa"/>
            <w:gridSpan w:val="2"/>
            <w:tcBorders>
              <w:top w:val="single" w:sz="4" w:space="0" w:color="auto"/>
              <w:bottom w:val="single" w:sz="4" w:space="0" w:color="auto"/>
              <w:right w:val="single" w:sz="4" w:space="0" w:color="auto"/>
            </w:tcBorders>
            <w:vAlign w:val="center"/>
          </w:tcPr>
          <w:p w14:paraId="22C53363" w14:textId="77777777" w:rsidR="00D91013" w:rsidRPr="00D91013" w:rsidRDefault="00D91013" w:rsidP="00637889">
            <w:pPr>
              <w:pStyle w:val="TableColumnHeadingCentred"/>
              <w:spacing w:before="30" w:after="30"/>
              <w:rPr>
                <w:b w:val="0"/>
                <w:sz w:val="18"/>
                <w:szCs w:val="18"/>
              </w:rPr>
            </w:pPr>
            <w:r w:rsidRPr="00D91013">
              <w:rPr>
                <w:sz w:val="18"/>
                <w:szCs w:val="18"/>
              </w:rPr>
              <w:t>Vehicles repaired per month</w:t>
            </w:r>
          </w:p>
        </w:tc>
        <w:tc>
          <w:tcPr>
            <w:tcW w:w="3384" w:type="dxa"/>
            <w:gridSpan w:val="3"/>
            <w:tcBorders>
              <w:top w:val="single" w:sz="4" w:space="0" w:color="auto"/>
              <w:left w:val="single" w:sz="4" w:space="0" w:color="auto"/>
              <w:bottom w:val="single" w:sz="4" w:space="0" w:color="auto"/>
              <w:right w:val="single" w:sz="4" w:space="0" w:color="auto"/>
            </w:tcBorders>
            <w:vAlign w:val="center"/>
          </w:tcPr>
          <w:p w14:paraId="02513024" w14:textId="77777777" w:rsidR="00D91013" w:rsidRPr="00D91013" w:rsidRDefault="00D91013" w:rsidP="00637889">
            <w:pPr>
              <w:pStyle w:val="TableColumnHeadingCentred"/>
              <w:spacing w:before="30" w:after="30"/>
              <w:rPr>
                <w:b w:val="0"/>
                <w:sz w:val="18"/>
                <w:szCs w:val="18"/>
              </w:rPr>
            </w:pPr>
            <w:r w:rsidRPr="00D91013">
              <w:rPr>
                <w:sz w:val="18"/>
                <w:szCs w:val="18"/>
              </w:rPr>
              <w:t>Type of Repairer</w:t>
            </w:r>
          </w:p>
        </w:tc>
        <w:tc>
          <w:tcPr>
            <w:tcW w:w="4288" w:type="dxa"/>
            <w:gridSpan w:val="4"/>
            <w:tcBorders>
              <w:top w:val="single" w:sz="4" w:space="0" w:color="auto"/>
              <w:left w:val="single" w:sz="4" w:space="0" w:color="auto"/>
              <w:bottom w:val="single" w:sz="4" w:space="0" w:color="auto"/>
              <w:right w:val="single" w:sz="4" w:space="0" w:color="auto"/>
            </w:tcBorders>
            <w:vAlign w:val="center"/>
          </w:tcPr>
          <w:p w14:paraId="7FB07A04" w14:textId="77777777" w:rsidR="00D91013" w:rsidRPr="00D91013" w:rsidRDefault="00D91013" w:rsidP="00637889">
            <w:pPr>
              <w:pStyle w:val="TableColumnHeadingCentred"/>
              <w:spacing w:before="30" w:after="30"/>
              <w:rPr>
                <w:b w:val="0"/>
                <w:sz w:val="18"/>
                <w:szCs w:val="18"/>
              </w:rPr>
            </w:pPr>
            <w:r w:rsidRPr="00D91013">
              <w:rPr>
                <w:sz w:val="18"/>
                <w:szCs w:val="18"/>
              </w:rPr>
              <w:t>Business size</w:t>
            </w:r>
          </w:p>
        </w:tc>
        <w:tc>
          <w:tcPr>
            <w:tcW w:w="1635" w:type="dxa"/>
            <w:gridSpan w:val="2"/>
            <w:tcBorders>
              <w:top w:val="single" w:sz="4" w:space="0" w:color="auto"/>
              <w:left w:val="single" w:sz="4" w:space="0" w:color="auto"/>
              <w:bottom w:val="single" w:sz="4" w:space="0" w:color="auto"/>
              <w:right w:val="single" w:sz="4" w:space="0" w:color="auto"/>
            </w:tcBorders>
            <w:vAlign w:val="center"/>
          </w:tcPr>
          <w:p w14:paraId="3045DA5A" w14:textId="77777777" w:rsidR="00D91013" w:rsidRPr="00D91013" w:rsidRDefault="00D91013" w:rsidP="00637889">
            <w:pPr>
              <w:pStyle w:val="TableColumnHeadingCentred"/>
              <w:spacing w:before="30" w:after="30"/>
              <w:rPr>
                <w:b w:val="0"/>
                <w:sz w:val="18"/>
                <w:szCs w:val="18"/>
              </w:rPr>
            </w:pPr>
            <w:r w:rsidRPr="00D91013">
              <w:rPr>
                <w:sz w:val="18"/>
                <w:szCs w:val="18"/>
              </w:rPr>
              <w:t>Location</w:t>
            </w:r>
          </w:p>
        </w:tc>
        <w:tc>
          <w:tcPr>
            <w:tcW w:w="603" w:type="dxa"/>
            <w:vMerge w:val="restart"/>
            <w:tcBorders>
              <w:top w:val="single" w:sz="4" w:space="0" w:color="auto"/>
              <w:left w:val="single" w:sz="4" w:space="0" w:color="auto"/>
            </w:tcBorders>
            <w:vAlign w:val="center"/>
          </w:tcPr>
          <w:p w14:paraId="02D672A9" w14:textId="77777777" w:rsidR="00D91013" w:rsidRPr="00D91013" w:rsidRDefault="00D91013" w:rsidP="00637889">
            <w:pPr>
              <w:pStyle w:val="TableColumnHeadingRight"/>
              <w:spacing w:before="30" w:after="30"/>
              <w:rPr>
                <w:b w:val="0"/>
                <w:bCs/>
                <w:sz w:val="18"/>
                <w:szCs w:val="18"/>
              </w:rPr>
            </w:pPr>
            <w:r w:rsidRPr="00D91013">
              <w:rPr>
                <w:bCs/>
                <w:sz w:val="18"/>
                <w:szCs w:val="18"/>
              </w:rPr>
              <w:t>Total</w:t>
            </w:r>
          </w:p>
        </w:tc>
      </w:tr>
      <w:tr w:rsidR="00664208" w:rsidRPr="00883271" w14:paraId="12FF4F0D" w14:textId="77777777" w:rsidTr="0002544C">
        <w:trPr>
          <w:cnfStyle w:val="000000100000" w:firstRow="0" w:lastRow="0" w:firstColumn="0" w:lastColumn="0" w:oddVBand="0" w:evenVBand="0" w:oddHBand="1" w:evenHBand="0" w:firstRowFirstColumn="0" w:firstRowLastColumn="0" w:lastRowFirstColumn="0" w:lastRowLastColumn="0"/>
          <w:trHeight w:val="501"/>
          <w:jc w:val="center"/>
        </w:trPr>
        <w:tc>
          <w:tcPr>
            <w:tcW w:w="1975" w:type="dxa"/>
            <w:tcBorders>
              <w:top w:val="single" w:sz="4" w:space="0" w:color="auto"/>
              <w:bottom w:val="single" w:sz="4" w:space="0" w:color="auto"/>
            </w:tcBorders>
            <w:shd w:val="clear" w:color="auto" w:fill="EEEEEE" w:themeFill="background2"/>
          </w:tcPr>
          <w:p w14:paraId="35F91D5F" w14:textId="77777777" w:rsidR="00D91013" w:rsidRPr="00D91013" w:rsidRDefault="00D91013" w:rsidP="00637889">
            <w:pPr>
              <w:pStyle w:val="TableColumnHeadingRight"/>
              <w:spacing w:before="30" w:after="30"/>
              <w:rPr>
                <w:sz w:val="18"/>
                <w:szCs w:val="18"/>
              </w:rPr>
            </w:pPr>
          </w:p>
        </w:tc>
        <w:tc>
          <w:tcPr>
            <w:tcW w:w="987" w:type="dxa"/>
            <w:tcBorders>
              <w:top w:val="single" w:sz="4" w:space="0" w:color="auto"/>
              <w:bottom w:val="single" w:sz="4" w:space="0" w:color="auto"/>
            </w:tcBorders>
            <w:shd w:val="clear" w:color="auto" w:fill="EEEEEE" w:themeFill="background2"/>
            <w:vAlign w:val="center"/>
          </w:tcPr>
          <w:p w14:paraId="30E88A13" w14:textId="77777777" w:rsidR="00D91013" w:rsidRPr="00D91013" w:rsidRDefault="00D91013" w:rsidP="00637889">
            <w:pPr>
              <w:pStyle w:val="TableColumnHeadingRight"/>
              <w:spacing w:before="30" w:after="30"/>
              <w:rPr>
                <w:sz w:val="18"/>
                <w:szCs w:val="18"/>
              </w:rPr>
            </w:pPr>
            <w:r w:rsidRPr="00D91013">
              <w:rPr>
                <w:bCs/>
                <w:sz w:val="18"/>
                <w:szCs w:val="18"/>
              </w:rPr>
              <w:t>Less than 100</w:t>
            </w:r>
          </w:p>
        </w:tc>
        <w:tc>
          <w:tcPr>
            <w:tcW w:w="706" w:type="dxa"/>
            <w:tcBorders>
              <w:top w:val="single" w:sz="4" w:space="0" w:color="auto"/>
              <w:bottom w:val="single" w:sz="4" w:space="0" w:color="auto"/>
              <w:right w:val="single" w:sz="4" w:space="0" w:color="auto"/>
            </w:tcBorders>
            <w:shd w:val="clear" w:color="auto" w:fill="EEEEEE" w:themeFill="background2"/>
            <w:vAlign w:val="center"/>
          </w:tcPr>
          <w:p w14:paraId="6405B618" w14:textId="77777777" w:rsidR="00D91013" w:rsidRPr="00D91013" w:rsidRDefault="00D91013" w:rsidP="00637889">
            <w:pPr>
              <w:pStyle w:val="TableColumnHeadingRight"/>
              <w:spacing w:before="30" w:after="30"/>
              <w:rPr>
                <w:sz w:val="18"/>
                <w:szCs w:val="18"/>
              </w:rPr>
            </w:pPr>
            <w:r w:rsidRPr="00D91013">
              <w:rPr>
                <w:bCs/>
                <w:sz w:val="18"/>
                <w:szCs w:val="18"/>
              </w:rPr>
              <w:t>100 or more</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4A27A397" w14:textId="77777777" w:rsidR="00D91013" w:rsidRPr="00D91013" w:rsidRDefault="00D91013" w:rsidP="00637889">
            <w:pPr>
              <w:pStyle w:val="TableColumnHeadingRight"/>
              <w:spacing w:before="30" w:after="30"/>
              <w:rPr>
                <w:sz w:val="18"/>
                <w:szCs w:val="18"/>
              </w:rPr>
            </w:pPr>
            <w:r w:rsidRPr="00D91013">
              <w:rPr>
                <w:bCs/>
                <w:sz w:val="18"/>
                <w:szCs w:val="18"/>
              </w:rPr>
              <w:t>Generalist</w:t>
            </w:r>
          </w:p>
        </w:tc>
        <w:tc>
          <w:tcPr>
            <w:tcW w:w="987" w:type="dxa"/>
            <w:tcBorders>
              <w:top w:val="single" w:sz="4" w:space="0" w:color="auto"/>
              <w:bottom w:val="single" w:sz="4" w:space="0" w:color="auto"/>
            </w:tcBorders>
            <w:shd w:val="clear" w:color="auto" w:fill="EEEEEE" w:themeFill="background2"/>
            <w:vAlign w:val="center"/>
          </w:tcPr>
          <w:p w14:paraId="6DBBAEC5" w14:textId="7151C2EE" w:rsidR="00D91013" w:rsidRPr="00D91013" w:rsidRDefault="00D91013" w:rsidP="00637889">
            <w:pPr>
              <w:pStyle w:val="TableColumnHeadingRight"/>
              <w:spacing w:before="30" w:after="30"/>
              <w:rPr>
                <w:sz w:val="18"/>
                <w:szCs w:val="18"/>
              </w:rPr>
            </w:pPr>
            <w:r w:rsidRPr="00D91013">
              <w:rPr>
                <w:bCs/>
                <w:sz w:val="18"/>
                <w:szCs w:val="18"/>
              </w:rPr>
              <w:t xml:space="preserve">Specialist </w:t>
            </w:r>
            <w:r w:rsidR="007B3C6A">
              <w:rPr>
                <w:bCs/>
                <w:sz w:val="18"/>
                <w:szCs w:val="18"/>
              </w:rPr>
              <w:noBreakHyphen/>
            </w:r>
            <w:r w:rsidRPr="00D91013">
              <w:rPr>
                <w:bCs/>
                <w:sz w:val="18"/>
                <w:szCs w:val="18"/>
              </w:rPr>
              <w:t xml:space="preserve"> regional</w:t>
            </w:r>
          </w:p>
        </w:tc>
        <w:tc>
          <w:tcPr>
            <w:tcW w:w="1410" w:type="dxa"/>
            <w:tcBorders>
              <w:top w:val="single" w:sz="4" w:space="0" w:color="auto"/>
              <w:bottom w:val="single" w:sz="4" w:space="0" w:color="auto"/>
              <w:right w:val="single" w:sz="4" w:space="0" w:color="auto"/>
            </w:tcBorders>
            <w:shd w:val="clear" w:color="auto" w:fill="EEEEEE" w:themeFill="background2"/>
            <w:vAlign w:val="center"/>
          </w:tcPr>
          <w:p w14:paraId="542CB061" w14:textId="4675F6C8" w:rsidR="00D91013" w:rsidRPr="00D91013" w:rsidRDefault="00D91013" w:rsidP="00637889">
            <w:pPr>
              <w:pStyle w:val="TableColumnHeadingRight"/>
              <w:spacing w:before="30" w:after="30"/>
              <w:rPr>
                <w:sz w:val="18"/>
                <w:szCs w:val="18"/>
              </w:rPr>
            </w:pPr>
            <w:r w:rsidRPr="00D91013">
              <w:rPr>
                <w:bCs/>
                <w:sz w:val="18"/>
                <w:szCs w:val="18"/>
              </w:rPr>
              <w:t xml:space="preserve">Specialist </w:t>
            </w:r>
            <w:r w:rsidR="007B3C6A">
              <w:rPr>
                <w:bCs/>
                <w:sz w:val="18"/>
                <w:szCs w:val="18"/>
              </w:rPr>
              <w:noBreakHyphen/>
            </w:r>
            <w:r w:rsidRPr="00D91013">
              <w:rPr>
                <w:bCs/>
                <w:sz w:val="18"/>
                <w:szCs w:val="18"/>
              </w:rPr>
              <w:t xml:space="preserve"> one / limited makes</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517759F8" w14:textId="77777777" w:rsidR="00D91013" w:rsidRPr="00D91013" w:rsidRDefault="00D91013" w:rsidP="00637889">
            <w:pPr>
              <w:pStyle w:val="TableColumnHeadingRight"/>
              <w:spacing w:before="30" w:after="30"/>
              <w:rPr>
                <w:sz w:val="18"/>
                <w:szCs w:val="18"/>
              </w:rPr>
            </w:pPr>
            <w:r w:rsidRPr="00D91013">
              <w:rPr>
                <w:bCs/>
                <w:sz w:val="18"/>
                <w:szCs w:val="18"/>
              </w:rPr>
              <w:t>Owner operator</w:t>
            </w:r>
          </w:p>
        </w:tc>
        <w:tc>
          <w:tcPr>
            <w:tcW w:w="1100" w:type="dxa"/>
            <w:tcBorders>
              <w:top w:val="single" w:sz="4" w:space="0" w:color="auto"/>
              <w:bottom w:val="single" w:sz="4" w:space="0" w:color="auto"/>
            </w:tcBorders>
            <w:shd w:val="clear" w:color="auto" w:fill="EEEEEE" w:themeFill="background2"/>
            <w:vAlign w:val="center"/>
          </w:tcPr>
          <w:p w14:paraId="6AC36C0A" w14:textId="77777777" w:rsidR="00D91013" w:rsidRPr="00D91013" w:rsidRDefault="00D91013" w:rsidP="00637889">
            <w:pPr>
              <w:pStyle w:val="TableColumnHeadingRight"/>
              <w:spacing w:before="30" w:after="30"/>
              <w:rPr>
                <w:sz w:val="18"/>
                <w:szCs w:val="18"/>
              </w:rPr>
            </w:pPr>
            <w:r w:rsidRPr="00D91013">
              <w:rPr>
                <w:bCs/>
                <w:sz w:val="18"/>
                <w:szCs w:val="18"/>
              </w:rPr>
              <w:t>1 to 4 employees</w:t>
            </w:r>
          </w:p>
        </w:tc>
        <w:tc>
          <w:tcPr>
            <w:tcW w:w="1100" w:type="dxa"/>
            <w:tcBorders>
              <w:top w:val="single" w:sz="4" w:space="0" w:color="auto"/>
              <w:bottom w:val="single" w:sz="4" w:space="0" w:color="auto"/>
            </w:tcBorders>
            <w:shd w:val="clear" w:color="auto" w:fill="EEEEEE" w:themeFill="background2"/>
            <w:vAlign w:val="center"/>
          </w:tcPr>
          <w:p w14:paraId="66149984" w14:textId="77777777" w:rsidR="00D91013" w:rsidRPr="00D91013" w:rsidRDefault="00D91013" w:rsidP="00637889">
            <w:pPr>
              <w:pStyle w:val="TableColumnHeadingRight"/>
              <w:spacing w:before="30" w:after="30"/>
              <w:rPr>
                <w:sz w:val="18"/>
                <w:szCs w:val="18"/>
              </w:rPr>
            </w:pPr>
            <w:r w:rsidRPr="00D91013">
              <w:rPr>
                <w:bCs/>
                <w:sz w:val="18"/>
                <w:szCs w:val="18"/>
              </w:rPr>
              <w:t>5 to 19 employees</w:t>
            </w:r>
          </w:p>
        </w:tc>
        <w:tc>
          <w:tcPr>
            <w:tcW w:w="1101" w:type="dxa"/>
            <w:tcBorders>
              <w:top w:val="single" w:sz="4" w:space="0" w:color="auto"/>
              <w:bottom w:val="single" w:sz="4" w:space="0" w:color="auto"/>
              <w:right w:val="single" w:sz="4" w:space="0" w:color="auto"/>
            </w:tcBorders>
            <w:shd w:val="clear" w:color="auto" w:fill="EEEEEE" w:themeFill="background2"/>
            <w:vAlign w:val="center"/>
          </w:tcPr>
          <w:p w14:paraId="3F524DA5" w14:textId="77777777" w:rsidR="00D91013" w:rsidRPr="00D91013" w:rsidRDefault="00D91013" w:rsidP="00637889">
            <w:pPr>
              <w:pStyle w:val="TableColumnHeadingRight"/>
              <w:spacing w:before="30" w:after="30"/>
              <w:rPr>
                <w:sz w:val="18"/>
                <w:szCs w:val="18"/>
              </w:rPr>
            </w:pPr>
            <w:r w:rsidRPr="00D91013">
              <w:rPr>
                <w:bCs/>
                <w:sz w:val="18"/>
                <w:szCs w:val="18"/>
              </w:rPr>
              <w:t>20 or more employees</w:t>
            </w:r>
          </w:p>
        </w:tc>
        <w:tc>
          <w:tcPr>
            <w:tcW w:w="709" w:type="dxa"/>
            <w:tcBorders>
              <w:top w:val="single" w:sz="4" w:space="0" w:color="auto"/>
              <w:left w:val="single" w:sz="4" w:space="0" w:color="auto"/>
              <w:bottom w:val="single" w:sz="4" w:space="0" w:color="auto"/>
            </w:tcBorders>
            <w:shd w:val="clear" w:color="auto" w:fill="EEEEEE" w:themeFill="background2"/>
            <w:vAlign w:val="center"/>
          </w:tcPr>
          <w:p w14:paraId="537993F9" w14:textId="77777777" w:rsidR="00D91013" w:rsidRPr="00D91013" w:rsidRDefault="00D91013" w:rsidP="00637889">
            <w:pPr>
              <w:pStyle w:val="TableColumnHeadingRight"/>
              <w:spacing w:before="30" w:after="30"/>
              <w:rPr>
                <w:sz w:val="18"/>
                <w:szCs w:val="18"/>
              </w:rPr>
            </w:pPr>
            <w:r w:rsidRPr="00D91013">
              <w:rPr>
                <w:bCs/>
                <w:sz w:val="18"/>
                <w:szCs w:val="18"/>
              </w:rPr>
              <w:t>Metro</w:t>
            </w:r>
          </w:p>
        </w:tc>
        <w:tc>
          <w:tcPr>
            <w:tcW w:w="926" w:type="dxa"/>
            <w:tcBorders>
              <w:top w:val="single" w:sz="4" w:space="0" w:color="auto"/>
              <w:bottom w:val="single" w:sz="4" w:space="0" w:color="auto"/>
              <w:right w:val="single" w:sz="4" w:space="0" w:color="auto"/>
            </w:tcBorders>
            <w:shd w:val="clear" w:color="auto" w:fill="EEEEEE" w:themeFill="background2"/>
            <w:vAlign w:val="center"/>
          </w:tcPr>
          <w:p w14:paraId="7A2E99E9" w14:textId="77777777" w:rsidR="00D91013" w:rsidRPr="00D91013" w:rsidRDefault="00D91013" w:rsidP="00637889">
            <w:pPr>
              <w:pStyle w:val="TableColumnHeadingRight"/>
              <w:spacing w:before="30" w:after="30"/>
              <w:rPr>
                <w:sz w:val="18"/>
                <w:szCs w:val="18"/>
              </w:rPr>
            </w:pPr>
            <w:r w:rsidRPr="00D91013">
              <w:rPr>
                <w:bCs/>
                <w:sz w:val="18"/>
                <w:szCs w:val="18"/>
              </w:rPr>
              <w:t>Regional</w:t>
            </w:r>
          </w:p>
        </w:tc>
        <w:tc>
          <w:tcPr>
            <w:tcW w:w="603" w:type="dxa"/>
            <w:vMerge/>
            <w:tcBorders>
              <w:left w:val="single" w:sz="4" w:space="0" w:color="auto"/>
              <w:bottom w:val="single" w:sz="4" w:space="0" w:color="auto"/>
            </w:tcBorders>
            <w:shd w:val="clear" w:color="auto" w:fill="EEEEEE" w:themeFill="background2"/>
            <w:vAlign w:val="center"/>
          </w:tcPr>
          <w:p w14:paraId="68D37368" w14:textId="77777777" w:rsidR="00D91013" w:rsidRPr="00D91013" w:rsidRDefault="00D91013" w:rsidP="00637889">
            <w:pPr>
              <w:pStyle w:val="TableColumnHeadingRight"/>
              <w:spacing w:before="30" w:after="30"/>
              <w:rPr>
                <w:bCs/>
                <w:sz w:val="18"/>
                <w:szCs w:val="18"/>
              </w:rPr>
            </w:pPr>
          </w:p>
        </w:tc>
      </w:tr>
      <w:tr w:rsidR="00D91013" w:rsidRPr="00883271" w14:paraId="083F1D50" w14:textId="77777777" w:rsidTr="0002544C">
        <w:trPr>
          <w:cnfStyle w:val="000000010000" w:firstRow="0" w:lastRow="0" w:firstColumn="0" w:lastColumn="0" w:oddVBand="0" w:evenVBand="0" w:oddHBand="0" w:evenHBand="1" w:firstRowFirstColumn="0" w:firstRowLastColumn="0" w:lastRowFirstColumn="0" w:lastRowLastColumn="0"/>
          <w:trHeight w:val="20"/>
          <w:jc w:val="center"/>
        </w:trPr>
        <w:tc>
          <w:tcPr>
            <w:tcW w:w="1975" w:type="dxa"/>
            <w:tcBorders>
              <w:top w:val="single" w:sz="4" w:space="0" w:color="auto"/>
            </w:tcBorders>
            <w:vAlign w:val="center"/>
          </w:tcPr>
          <w:p w14:paraId="67885945" w14:textId="7B52550A" w:rsidR="00D91013" w:rsidRPr="00D91013" w:rsidRDefault="00D91013" w:rsidP="00637889">
            <w:pPr>
              <w:pStyle w:val="TableTextLeft"/>
              <w:spacing w:before="30" w:after="30"/>
              <w:rPr>
                <w:b/>
                <w:bCs/>
              </w:rPr>
            </w:pPr>
            <w:r w:rsidRPr="00D91013">
              <w:rPr>
                <w:b/>
                <w:bCs/>
              </w:rPr>
              <w:t>Yes</w:t>
            </w:r>
          </w:p>
        </w:tc>
        <w:tc>
          <w:tcPr>
            <w:tcW w:w="987" w:type="dxa"/>
            <w:tcBorders>
              <w:top w:val="single" w:sz="4" w:space="0" w:color="auto"/>
            </w:tcBorders>
            <w:vAlign w:val="center"/>
          </w:tcPr>
          <w:p w14:paraId="74D5AB11" w14:textId="1DC4E2A9" w:rsidR="00D91013" w:rsidRPr="00D91013" w:rsidRDefault="00D91013" w:rsidP="00637889">
            <w:pPr>
              <w:pStyle w:val="TableTextRight"/>
              <w:spacing w:before="30" w:after="30"/>
            </w:pPr>
            <w:r w:rsidRPr="00D91013">
              <w:t>81%</w:t>
            </w:r>
          </w:p>
        </w:tc>
        <w:tc>
          <w:tcPr>
            <w:tcW w:w="706" w:type="dxa"/>
            <w:tcBorders>
              <w:top w:val="single" w:sz="4" w:space="0" w:color="auto"/>
              <w:right w:val="single" w:sz="4" w:space="0" w:color="auto"/>
            </w:tcBorders>
            <w:vAlign w:val="center"/>
          </w:tcPr>
          <w:p w14:paraId="4410A6CF" w14:textId="78C454FA" w:rsidR="00D91013" w:rsidRPr="00D91013" w:rsidRDefault="00D91013" w:rsidP="00637889">
            <w:pPr>
              <w:pStyle w:val="TableTextRight"/>
              <w:spacing w:before="30" w:after="30"/>
            </w:pPr>
            <w:r w:rsidRPr="00D91013">
              <w:t>89%</w:t>
            </w:r>
          </w:p>
        </w:tc>
        <w:tc>
          <w:tcPr>
            <w:tcW w:w="987" w:type="dxa"/>
            <w:tcBorders>
              <w:top w:val="single" w:sz="4" w:space="0" w:color="auto"/>
              <w:left w:val="single" w:sz="4" w:space="0" w:color="auto"/>
            </w:tcBorders>
            <w:vAlign w:val="center"/>
          </w:tcPr>
          <w:p w14:paraId="4DDC21F3" w14:textId="6A454634" w:rsidR="00D91013" w:rsidRPr="00D91013" w:rsidRDefault="00D91013" w:rsidP="00637889">
            <w:pPr>
              <w:pStyle w:val="TableTextRight"/>
              <w:spacing w:before="30" w:after="30"/>
            </w:pPr>
            <w:r w:rsidRPr="00D91013">
              <w:t>85%</w:t>
            </w:r>
          </w:p>
        </w:tc>
        <w:tc>
          <w:tcPr>
            <w:tcW w:w="987" w:type="dxa"/>
            <w:tcBorders>
              <w:top w:val="single" w:sz="4" w:space="0" w:color="auto"/>
            </w:tcBorders>
            <w:vAlign w:val="center"/>
          </w:tcPr>
          <w:p w14:paraId="110F3D73" w14:textId="53AA63BB" w:rsidR="00D91013" w:rsidRPr="00D91013" w:rsidRDefault="00D91013" w:rsidP="00637889">
            <w:pPr>
              <w:pStyle w:val="TableTextRight"/>
              <w:spacing w:before="30" w:after="30"/>
            </w:pPr>
            <w:r w:rsidRPr="00D91013">
              <w:t>95%</w:t>
            </w:r>
          </w:p>
        </w:tc>
        <w:tc>
          <w:tcPr>
            <w:tcW w:w="1410" w:type="dxa"/>
            <w:tcBorders>
              <w:top w:val="single" w:sz="4" w:space="0" w:color="auto"/>
              <w:right w:val="single" w:sz="4" w:space="0" w:color="auto"/>
            </w:tcBorders>
            <w:vAlign w:val="center"/>
          </w:tcPr>
          <w:p w14:paraId="10B513E9" w14:textId="63FEEFF6" w:rsidR="00D91013" w:rsidRPr="00D91013" w:rsidRDefault="00D91013" w:rsidP="00637889">
            <w:pPr>
              <w:pStyle w:val="TableTextRight"/>
              <w:spacing w:before="30" w:after="30"/>
            </w:pPr>
            <w:r w:rsidRPr="00D91013">
              <w:t>64%</w:t>
            </w:r>
          </w:p>
        </w:tc>
        <w:tc>
          <w:tcPr>
            <w:tcW w:w="987" w:type="dxa"/>
            <w:tcBorders>
              <w:top w:val="single" w:sz="4" w:space="0" w:color="auto"/>
              <w:left w:val="single" w:sz="4" w:space="0" w:color="auto"/>
            </w:tcBorders>
            <w:vAlign w:val="center"/>
          </w:tcPr>
          <w:p w14:paraId="0DC98ECA" w14:textId="69C24FB7" w:rsidR="00D91013" w:rsidRPr="00D91013" w:rsidRDefault="00D91013" w:rsidP="00637889">
            <w:pPr>
              <w:pStyle w:val="TableTextRight"/>
              <w:spacing w:before="30" w:after="30"/>
            </w:pPr>
            <w:r w:rsidRPr="00D91013">
              <w:t>63%</w:t>
            </w:r>
          </w:p>
        </w:tc>
        <w:tc>
          <w:tcPr>
            <w:tcW w:w="1100" w:type="dxa"/>
            <w:tcBorders>
              <w:top w:val="single" w:sz="4" w:space="0" w:color="auto"/>
            </w:tcBorders>
            <w:vAlign w:val="center"/>
          </w:tcPr>
          <w:p w14:paraId="08779741" w14:textId="6423B7E3" w:rsidR="00D91013" w:rsidRPr="00D91013" w:rsidRDefault="00D91013" w:rsidP="00637889">
            <w:pPr>
              <w:pStyle w:val="TableTextRight"/>
              <w:spacing w:before="30" w:after="30"/>
            </w:pPr>
            <w:r w:rsidRPr="00D91013">
              <w:t>86%</w:t>
            </w:r>
          </w:p>
        </w:tc>
        <w:tc>
          <w:tcPr>
            <w:tcW w:w="1100" w:type="dxa"/>
            <w:tcBorders>
              <w:top w:val="single" w:sz="4" w:space="0" w:color="auto"/>
            </w:tcBorders>
            <w:vAlign w:val="center"/>
          </w:tcPr>
          <w:p w14:paraId="6EF2511B" w14:textId="7A8BB0B9" w:rsidR="00D91013" w:rsidRPr="00D91013" w:rsidRDefault="00D91013" w:rsidP="00637889">
            <w:pPr>
              <w:pStyle w:val="TableTextRight"/>
              <w:spacing w:before="30" w:after="30"/>
            </w:pPr>
            <w:r w:rsidRPr="00D91013">
              <w:t>90%</w:t>
            </w:r>
          </w:p>
        </w:tc>
        <w:tc>
          <w:tcPr>
            <w:tcW w:w="1101" w:type="dxa"/>
            <w:tcBorders>
              <w:top w:val="single" w:sz="4" w:space="0" w:color="auto"/>
              <w:right w:val="single" w:sz="4" w:space="0" w:color="auto"/>
            </w:tcBorders>
            <w:vAlign w:val="center"/>
          </w:tcPr>
          <w:p w14:paraId="611E775C" w14:textId="2E14A638" w:rsidR="00D91013" w:rsidRPr="00D91013" w:rsidRDefault="00D91013" w:rsidP="00637889">
            <w:pPr>
              <w:pStyle w:val="TableTextRight"/>
              <w:spacing w:before="30" w:after="30"/>
            </w:pPr>
            <w:r w:rsidRPr="00D91013">
              <w:t>77%</w:t>
            </w:r>
          </w:p>
        </w:tc>
        <w:tc>
          <w:tcPr>
            <w:tcW w:w="709" w:type="dxa"/>
            <w:tcBorders>
              <w:top w:val="single" w:sz="4" w:space="0" w:color="auto"/>
              <w:left w:val="single" w:sz="4" w:space="0" w:color="auto"/>
            </w:tcBorders>
            <w:vAlign w:val="center"/>
          </w:tcPr>
          <w:p w14:paraId="68D5FCAE" w14:textId="5DB5B069" w:rsidR="00D91013" w:rsidRPr="00D91013" w:rsidRDefault="00D91013" w:rsidP="00637889">
            <w:pPr>
              <w:pStyle w:val="TableTextRight"/>
              <w:spacing w:before="30" w:after="30"/>
            </w:pPr>
            <w:r w:rsidRPr="00D91013">
              <w:t>85%</w:t>
            </w:r>
          </w:p>
        </w:tc>
        <w:tc>
          <w:tcPr>
            <w:tcW w:w="926" w:type="dxa"/>
            <w:tcBorders>
              <w:top w:val="single" w:sz="4" w:space="0" w:color="auto"/>
              <w:right w:val="single" w:sz="4" w:space="0" w:color="auto"/>
            </w:tcBorders>
            <w:vAlign w:val="center"/>
          </w:tcPr>
          <w:p w14:paraId="744B8D81" w14:textId="3D015B6A" w:rsidR="00D91013" w:rsidRPr="00D91013" w:rsidRDefault="00D91013" w:rsidP="00637889">
            <w:pPr>
              <w:pStyle w:val="TableTextRight"/>
              <w:spacing w:before="30" w:after="30"/>
            </w:pPr>
            <w:r w:rsidRPr="00D91013">
              <w:t>83%</w:t>
            </w:r>
          </w:p>
        </w:tc>
        <w:tc>
          <w:tcPr>
            <w:tcW w:w="603" w:type="dxa"/>
            <w:tcBorders>
              <w:top w:val="single" w:sz="4" w:space="0" w:color="auto"/>
              <w:left w:val="single" w:sz="4" w:space="0" w:color="auto"/>
            </w:tcBorders>
            <w:vAlign w:val="center"/>
          </w:tcPr>
          <w:p w14:paraId="11807617" w14:textId="006D6CA4" w:rsidR="00D91013" w:rsidRPr="00D91013" w:rsidRDefault="00D91013" w:rsidP="00637889">
            <w:pPr>
              <w:pStyle w:val="TableTextRight"/>
              <w:spacing w:before="30" w:after="30"/>
              <w:rPr>
                <w:b/>
                <w:bCs/>
              </w:rPr>
            </w:pPr>
            <w:r w:rsidRPr="00D91013">
              <w:rPr>
                <w:b/>
                <w:bCs/>
              </w:rPr>
              <w:t>82%</w:t>
            </w:r>
          </w:p>
        </w:tc>
      </w:tr>
      <w:tr w:rsidR="00D91013" w:rsidRPr="00883271" w14:paraId="1F90876E" w14:textId="77777777" w:rsidTr="0002544C">
        <w:trPr>
          <w:cnfStyle w:val="000000100000" w:firstRow="0" w:lastRow="0" w:firstColumn="0" w:lastColumn="0" w:oddVBand="0" w:evenVBand="0" w:oddHBand="1" w:evenHBand="0" w:firstRowFirstColumn="0" w:firstRowLastColumn="0" w:lastRowFirstColumn="0" w:lastRowLastColumn="0"/>
          <w:trHeight w:val="20"/>
          <w:jc w:val="center"/>
        </w:trPr>
        <w:tc>
          <w:tcPr>
            <w:tcW w:w="1975" w:type="dxa"/>
            <w:vAlign w:val="center"/>
          </w:tcPr>
          <w:p w14:paraId="78542814" w14:textId="34397135" w:rsidR="00D91013" w:rsidRPr="00D91013" w:rsidRDefault="00D91013" w:rsidP="00637889">
            <w:pPr>
              <w:pStyle w:val="TableTextLeft"/>
              <w:spacing w:before="30" w:after="30"/>
              <w:rPr>
                <w:b/>
                <w:bCs/>
              </w:rPr>
            </w:pPr>
            <w:r w:rsidRPr="00D91013">
              <w:rPr>
                <w:b/>
                <w:bCs/>
              </w:rPr>
              <w:t>No</w:t>
            </w:r>
          </w:p>
        </w:tc>
        <w:tc>
          <w:tcPr>
            <w:tcW w:w="987" w:type="dxa"/>
            <w:vAlign w:val="center"/>
          </w:tcPr>
          <w:p w14:paraId="4F9272F0" w14:textId="3D9EF9F9" w:rsidR="00D91013" w:rsidRPr="00D91013" w:rsidRDefault="00D91013" w:rsidP="00637889">
            <w:pPr>
              <w:pStyle w:val="TableTextRight"/>
              <w:spacing w:before="30" w:after="30"/>
            </w:pPr>
            <w:r w:rsidRPr="00D91013">
              <w:t>16%</w:t>
            </w:r>
          </w:p>
        </w:tc>
        <w:tc>
          <w:tcPr>
            <w:tcW w:w="706" w:type="dxa"/>
            <w:tcBorders>
              <w:right w:val="single" w:sz="4" w:space="0" w:color="auto"/>
            </w:tcBorders>
            <w:vAlign w:val="center"/>
          </w:tcPr>
          <w:p w14:paraId="40503BC7" w14:textId="75F31FA4" w:rsidR="00D91013" w:rsidRPr="00D91013" w:rsidRDefault="00D91013" w:rsidP="00637889">
            <w:pPr>
              <w:pStyle w:val="TableTextRight"/>
              <w:spacing w:before="30" w:after="30"/>
            </w:pPr>
            <w:r w:rsidRPr="00D91013">
              <w:t>11%</w:t>
            </w:r>
          </w:p>
        </w:tc>
        <w:tc>
          <w:tcPr>
            <w:tcW w:w="987" w:type="dxa"/>
            <w:tcBorders>
              <w:left w:val="single" w:sz="4" w:space="0" w:color="auto"/>
            </w:tcBorders>
            <w:vAlign w:val="center"/>
          </w:tcPr>
          <w:p w14:paraId="61120BEB" w14:textId="44FF58B3" w:rsidR="00D91013" w:rsidRPr="00D91013" w:rsidRDefault="00D91013" w:rsidP="00637889">
            <w:pPr>
              <w:pStyle w:val="TableTextRight"/>
              <w:spacing w:before="30" w:after="30"/>
            </w:pPr>
            <w:r w:rsidRPr="00D91013">
              <w:t>14%</w:t>
            </w:r>
          </w:p>
        </w:tc>
        <w:tc>
          <w:tcPr>
            <w:tcW w:w="987" w:type="dxa"/>
            <w:vAlign w:val="center"/>
          </w:tcPr>
          <w:p w14:paraId="0C603348" w14:textId="32E19DD9" w:rsidR="00D91013" w:rsidRPr="00D91013" w:rsidRDefault="00D91013" w:rsidP="00637889">
            <w:pPr>
              <w:pStyle w:val="TableTextRight"/>
              <w:spacing w:before="30" w:after="30"/>
            </w:pPr>
            <w:r w:rsidRPr="00D91013">
              <w:t>3%</w:t>
            </w:r>
          </w:p>
        </w:tc>
        <w:tc>
          <w:tcPr>
            <w:tcW w:w="1410" w:type="dxa"/>
            <w:tcBorders>
              <w:right w:val="single" w:sz="4" w:space="0" w:color="auto"/>
            </w:tcBorders>
            <w:vAlign w:val="center"/>
          </w:tcPr>
          <w:p w14:paraId="619BFCC3" w14:textId="5ED69551" w:rsidR="00D91013" w:rsidRPr="00D91013" w:rsidRDefault="00D91013" w:rsidP="00637889">
            <w:pPr>
              <w:pStyle w:val="TableTextRight"/>
              <w:spacing w:before="30" w:after="30"/>
            </w:pPr>
            <w:r w:rsidRPr="00D91013">
              <w:t>34%</w:t>
            </w:r>
          </w:p>
        </w:tc>
        <w:tc>
          <w:tcPr>
            <w:tcW w:w="987" w:type="dxa"/>
            <w:tcBorders>
              <w:left w:val="single" w:sz="4" w:space="0" w:color="auto"/>
            </w:tcBorders>
            <w:vAlign w:val="center"/>
          </w:tcPr>
          <w:p w14:paraId="383CBA1A" w14:textId="390C27A8" w:rsidR="00D91013" w:rsidRPr="00D91013" w:rsidRDefault="00D91013" w:rsidP="00637889">
            <w:pPr>
              <w:pStyle w:val="TableTextRight"/>
              <w:spacing w:before="30" w:after="30"/>
            </w:pPr>
            <w:r w:rsidRPr="00D91013">
              <w:t>32%</w:t>
            </w:r>
          </w:p>
        </w:tc>
        <w:tc>
          <w:tcPr>
            <w:tcW w:w="1100" w:type="dxa"/>
            <w:vAlign w:val="center"/>
          </w:tcPr>
          <w:p w14:paraId="0CBC5B8E" w14:textId="7821363A" w:rsidR="00D91013" w:rsidRPr="00D91013" w:rsidRDefault="00D91013" w:rsidP="00637889">
            <w:pPr>
              <w:pStyle w:val="TableTextRight"/>
              <w:spacing w:before="30" w:after="30"/>
            </w:pPr>
            <w:r w:rsidRPr="00D91013">
              <w:t>13%</w:t>
            </w:r>
          </w:p>
        </w:tc>
        <w:tc>
          <w:tcPr>
            <w:tcW w:w="1100" w:type="dxa"/>
            <w:vAlign w:val="center"/>
          </w:tcPr>
          <w:p w14:paraId="3110FD7A" w14:textId="47C9094A" w:rsidR="00D91013" w:rsidRPr="00D91013" w:rsidRDefault="00D91013" w:rsidP="00637889">
            <w:pPr>
              <w:pStyle w:val="TableTextRight"/>
              <w:spacing w:before="30" w:after="30"/>
            </w:pPr>
            <w:r w:rsidRPr="00D91013">
              <w:t>9%</w:t>
            </w:r>
          </w:p>
        </w:tc>
        <w:tc>
          <w:tcPr>
            <w:tcW w:w="1101" w:type="dxa"/>
            <w:tcBorders>
              <w:right w:val="single" w:sz="4" w:space="0" w:color="auto"/>
            </w:tcBorders>
            <w:vAlign w:val="center"/>
          </w:tcPr>
          <w:p w14:paraId="73D8EF35" w14:textId="7D4E8A87" w:rsidR="00D91013" w:rsidRPr="00D91013" w:rsidRDefault="00D91013" w:rsidP="00637889">
            <w:pPr>
              <w:pStyle w:val="TableTextRight"/>
              <w:spacing w:before="30" w:after="30"/>
            </w:pPr>
            <w:r w:rsidRPr="00D91013">
              <w:t>23%</w:t>
            </w:r>
          </w:p>
        </w:tc>
        <w:tc>
          <w:tcPr>
            <w:tcW w:w="709" w:type="dxa"/>
            <w:tcBorders>
              <w:left w:val="single" w:sz="4" w:space="0" w:color="auto"/>
            </w:tcBorders>
            <w:vAlign w:val="center"/>
          </w:tcPr>
          <w:p w14:paraId="645DC5CE" w14:textId="36499029" w:rsidR="00D91013" w:rsidRPr="00D91013" w:rsidRDefault="00D91013" w:rsidP="00637889">
            <w:pPr>
              <w:pStyle w:val="TableTextRight"/>
              <w:spacing w:before="30" w:after="30"/>
            </w:pPr>
            <w:r w:rsidRPr="00D91013">
              <w:t>13%</w:t>
            </w:r>
          </w:p>
        </w:tc>
        <w:tc>
          <w:tcPr>
            <w:tcW w:w="926" w:type="dxa"/>
            <w:tcBorders>
              <w:right w:val="single" w:sz="4" w:space="0" w:color="auto"/>
            </w:tcBorders>
            <w:vAlign w:val="center"/>
          </w:tcPr>
          <w:p w14:paraId="7C7A4BEB" w14:textId="1E519C73" w:rsidR="00D91013" w:rsidRPr="00D91013" w:rsidRDefault="00D91013" w:rsidP="00637889">
            <w:pPr>
              <w:pStyle w:val="TableTextRight"/>
              <w:spacing w:before="30" w:after="30"/>
            </w:pPr>
            <w:r w:rsidRPr="00D91013">
              <w:t>16%</w:t>
            </w:r>
          </w:p>
        </w:tc>
        <w:tc>
          <w:tcPr>
            <w:tcW w:w="603" w:type="dxa"/>
            <w:tcBorders>
              <w:left w:val="single" w:sz="4" w:space="0" w:color="auto"/>
            </w:tcBorders>
            <w:vAlign w:val="center"/>
          </w:tcPr>
          <w:p w14:paraId="7ABF7FA3" w14:textId="5C3395CE" w:rsidR="00D91013" w:rsidRPr="00D91013" w:rsidRDefault="00D91013" w:rsidP="00637889">
            <w:pPr>
              <w:pStyle w:val="TableTextRight"/>
              <w:spacing w:before="30" w:after="30"/>
              <w:rPr>
                <w:b/>
                <w:bCs/>
              </w:rPr>
            </w:pPr>
            <w:r w:rsidRPr="00D91013">
              <w:rPr>
                <w:b/>
                <w:bCs/>
              </w:rPr>
              <w:t>16%</w:t>
            </w:r>
          </w:p>
        </w:tc>
      </w:tr>
      <w:tr w:rsidR="00D91013" w:rsidRPr="00883271" w14:paraId="18A13634" w14:textId="77777777" w:rsidTr="0002544C">
        <w:trPr>
          <w:cnfStyle w:val="000000010000" w:firstRow="0" w:lastRow="0" w:firstColumn="0" w:lastColumn="0" w:oddVBand="0" w:evenVBand="0" w:oddHBand="0" w:evenHBand="1" w:firstRowFirstColumn="0" w:firstRowLastColumn="0" w:lastRowFirstColumn="0" w:lastRowLastColumn="0"/>
          <w:trHeight w:val="20"/>
          <w:jc w:val="center"/>
        </w:trPr>
        <w:tc>
          <w:tcPr>
            <w:tcW w:w="1975" w:type="dxa"/>
            <w:vAlign w:val="center"/>
          </w:tcPr>
          <w:p w14:paraId="06A83A24" w14:textId="1DF31B57" w:rsidR="00D91013" w:rsidRPr="00D91013" w:rsidRDefault="00D91013" w:rsidP="00637889">
            <w:pPr>
              <w:pStyle w:val="TableTextLeft"/>
              <w:spacing w:before="30" w:after="30"/>
              <w:rPr>
                <w:b/>
                <w:bCs/>
              </w:rPr>
            </w:pPr>
            <w:r w:rsidRPr="00D91013">
              <w:rPr>
                <w:b/>
                <w:bCs/>
              </w:rPr>
              <w:t>Don't know / Prefer not to say</w:t>
            </w:r>
          </w:p>
        </w:tc>
        <w:tc>
          <w:tcPr>
            <w:tcW w:w="987" w:type="dxa"/>
            <w:vAlign w:val="center"/>
          </w:tcPr>
          <w:p w14:paraId="7ECB2CE0" w14:textId="68B439E5" w:rsidR="00D91013" w:rsidRPr="00D91013" w:rsidRDefault="00D91013" w:rsidP="00637889">
            <w:pPr>
              <w:pStyle w:val="TableTextRight"/>
              <w:spacing w:before="30" w:after="30"/>
            </w:pPr>
            <w:r w:rsidRPr="00D91013">
              <w:t>2%</w:t>
            </w:r>
          </w:p>
        </w:tc>
        <w:tc>
          <w:tcPr>
            <w:tcW w:w="706" w:type="dxa"/>
            <w:tcBorders>
              <w:right w:val="single" w:sz="4" w:space="0" w:color="auto"/>
            </w:tcBorders>
            <w:vAlign w:val="center"/>
          </w:tcPr>
          <w:p w14:paraId="5385773F" w14:textId="48D765AB" w:rsidR="00D91013" w:rsidRPr="00D91013" w:rsidRDefault="00D91013" w:rsidP="00637889">
            <w:pPr>
              <w:pStyle w:val="TableTextRight"/>
              <w:spacing w:before="30" w:after="30"/>
            </w:pPr>
            <w:r w:rsidRPr="00D91013">
              <w:t>0%</w:t>
            </w:r>
          </w:p>
        </w:tc>
        <w:tc>
          <w:tcPr>
            <w:tcW w:w="987" w:type="dxa"/>
            <w:tcBorders>
              <w:left w:val="single" w:sz="4" w:space="0" w:color="auto"/>
            </w:tcBorders>
            <w:vAlign w:val="center"/>
          </w:tcPr>
          <w:p w14:paraId="423C9F0D" w14:textId="419FBC38" w:rsidR="00D91013" w:rsidRPr="00D91013" w:rsidRDefault="00D91013" w:rsidP="00637889">
            <w:pPr>
              <w:pStyle w:val="TableTextRight"/>
              <w:spacing w:before="30" w:after="30"/>
            </w:pPr>
            <w:r w:rsidRPr="00D91013">
              <w:t>1%</w:t>
            </w:r>
          </w:p>
        </w:tc>
        <w:tc>
          <w:tcPr>
            <w:tcW w:w="987" w:type="dxa"/>
            <w:vAlign w:val="center"/>
          </w:tcPr>
          <w:p w14:paraId="2AAE9688" w14:textId="4F72B30D" w:rsidR="00D91013" w:rsidRPr="00D91013" w:rsidRDefault="00D91013" w:rsidP="00637889">
            <w:pPr>
              <w:pStyle w:val="TableTextRight"/>
              <w:spacing w:before="30" w:after="30"/>
            </w:pPr>
            <w:r w:rsidRPr="00D91013">
              <w:t>3%</w:t>
            </w:r>
          </w:p>
        </w:tc>
        <w:tc>
          <w:tcPr>
            <w:tcW w:w="1410" w:type="dxa"/>
            <w:tcBorders>
              <w:right w:val="single" w:sz="4" w:space="0" w:color="auto"/>
            </w:tcBorders>
            <w:vAlign w:val="center"/>
          </w:tcPr>
          <w:p w14:paraId="06D1ACF6" w14:textId="3D2876AF" w:rsidR="00D91013" w:rsidRPr="00D91013" w:rsidRDefault="00D91013" w:rsidP="00637889">
            <w:pPr>
              <w:pStyle w:val="TableTextRight"/>
              <w:spacing w:before="30" w:after="30"/>
            </w:pPr>
            <w:r w:rsidRPr="00D91013">
              <w:t>2%</w:t>
            </w:r>
          </w:p>
        </w:tc>
        <w:tc>
          <w:tcPr>
            <w:tcW w:w="987" w:type="dxa"/>
            <w:tcBorders>
              <w:left w:val="single" w:sz="4" w:space="0" w:color="auto"/>
            </w:tcBorders>
            <w:vAlign w:val="center"/>
          </w:tcPr>
          <w:p w14:paraId="34E50CC5" w14:textId="33483E14" w:rsidR="00D91013" w:rsidRPr="00D91013" w:rsidRDefault="00D91013" w:rsidP="00637889">
            <w:pPr>
              <w:pStyle w:val="TableTextRight"/>
              <w:spacing w:before="30" w:after="30"/>
            </w:pPr>
            <w:r w:rsidRPr="00D91013">
              <w:t>5%</w:t>
            </w:r>
          </w:p>
        </w:tc>
        <w:tc>
          <w:tcPr>
            <w:tcW w:w="1100" w:type="dxa"/>
            <w:vAlign w:val="center"/>
          </w:tcPr>
          <w:p w14:paraId="5227AC45" w14:textId="2223478A" w:rsidR="00D91013" w:rsidRPr="00D91013" w:rsidRDefault="00D91013" w:rsidP="00637889">
            <w:pPr>
              <w:pStyle w:val="TableTextRight"/>
              <w:spacing w:before="30" w:after="30"/>
            </w:pPr>
            <w:r w:rsidRPr="00D91013">
              <w:t>1%</w:t>
            </w:r>
          </w:p>
        </w:tc>
        <w:tc>
          <w:tcPr>
            <w:tcW w:w="1100" w:type="dxa"/>
            <w:vAlign w:val="center"/>
          </w:tcPr>
          <w:p w14:paraId="5708B093" w14:textId="3F4091E4" w:rsidR="00D91013" w:rsidRPr="00D91013" w:rsidRDefault="00D91013" w:rsidP="00637889">
            <w:pPr>
              <w:pStyle w:val="TableTextRight"/>
              <w:spacing w:before="30" w:after="30"/>
            </w:pPr>
            <w:r w:rsidRPr="00D91013">
              <w:t>1%</w:t>
            </w:r>
          </w:p>
        </w:tc>
        <w:tc>
          <w:tcPr>
            <w:tcW w:w="1101" w:type="dxa"/>
            <w:tcBorders>
              <w:right w:val="single" w:sz="4" w:space="0" w:color="auto"/>
            </w:tcBorders>
            <w:vAlign w:val="center"/>
          </w:tcPr>
          <w:p w14:paraId="036AEB9F" w14:textId="7B9CE741" w:rsidR="00D91013" w:rsidRPr="00D91013" w:rsidRDefault="00D91013" w:rsidP="00637889">
            <w:pPr>
              <w:pStyle w:val="TableTextRight"/>
              <w:spacing w:before="30" w:after="30"/>
            </w:pPr>
            <w:r w:rsidRPr="00D91013">
              <w:t>0%</w:t>
            </w:r>
          </w:p>
        </w:tc>
        <w:tc>
          <w:tcPr>
            <w:tcW w:w="709" w:type="dxa"/>
            <w:tcBorders>
              <w:left w:val="single" w:sz="4" w:space="0" w:color="auto"/>
            </w:tcBorders>
            <w:vAlign w:val="center"/>
          </w:tcPr>
          <w:p w14:paraId="37DDDBAC" w14:textId="0CFD50EC" w:rsidR="00D91013" w:rsidRPr="00D91013" w:rsidRDefault="00D91013" w:rsidP="00637889">
            <w:pPr>
              <w:pStyle w:val="TableTextRight"/>
              <w:spacing w:before="30" w:after="30"/>
            </w:pPr>
            <w:r w:rsidRPr="00D91013">
              <w:t>2%</w:t>
            </w:r>
          </w:p>
        </w:tc>
        <w:tc>
          <w:tcPr>
            <w:tcW w:w="926" w:type="dxa"/>
            <w:tcBorders>
              <w:right w:val="single" w:sz="4" w:space="0" w:color="auto"/>
            </w:tcBorders>
            <w:vAlign w:val="center"/>
          </w:tcPr>
          <w:p w14:paraId="55413611" w14:textId="05A2FF2E" w:rsidR="00D91013" w:rsidRPr="00D91013" w:rsidRDefault="00D91013" w:rsidP="00637889">
            <w:pPr>
              <w:pStyle w:val="TableTextRight"/>
              <w:spacing w:before="30" w:after="30"/>
            </w:pPr>
            <w:r w:rsidRPr="00D91013">
              <w:t>1%</w:t>
            </w:r>
          </w:p>
        </w:tc>
        <w:tc>
          <w:tcPr>
            <w:tcW w:w="603" w:type="dxa"/>
            <w:tcBorders>
              <w:left w:val="single" w:sz="4" w:space="0" w:color="auto"/>
            </w:tcBorders>
            <w:vAlign w:val="center"/>
          </w:tcPr>
          <w:p w14:paraId="41C4092F" w14:textId="5E782CAD" w:rsidR="00D91013" w:rsidRPr="00D91013" w:rsidRDefault="00D91013" w:rsidP="00637889">
            <w:pPr>
              <w:pStyle w:val="TableTextRight"/>
              <w:spacing w:before="30" w:after="30"/>
              <w:rPr>
                <w:b/>
                <w:bCs/>
              </w:rPr>
            </w:pPr>
            <w:r w:rsidRPr="00D91013">
              <w:rPr>
                <w:b/>
                <w:bCs/>
              </w:rPr>
              <w:t>2%</w:t>
            </w:r>
          </w:p>
        </w:tc>
      </w:tr>
      <w:tr w:rsidR="00664208" w:rsidRPr="00883271" w14:paraId="024C6391" w14:textId="77777777" w:rsidTr="0002544C">
        <w:trPr>
          <w:cnfStyle w:val="000000100000" w:firstRow="0" w:lastRow="0" w:firstColumn="0" w:lastColumn="0" w:oddVBand="0" w:evenVBand="0" w:oddHBand="1" w:evenHBand="0" w:firstRowFirstColumn="0" w:firstRowLastColumn="0" w:lastRowFirstColumn="0" w:lastRowLastColumn="0"/>
          <w:trHeight w:val="113"/>
          <w:jc w:val="center"/>
        </w:trPr>
        <w:tc>
          <w:tcPr>
            <w:tcW w:w="1975" w:type="dxa"/>
            <w:tcBorders>
              <w:top w:val="single" w:sz="4" w:space="0" w:color="auto"/>
              <w:bottom w:val="single" w:sz="4" w:space="0" w:color="auto"/>
            </w:tcBorders>
            <w:shd w:val="clear" w:color="auto" w:fill="EEEEEE" w:themeFill="background2"/>
            <w:vAlign w:val="center"/>
          </w:tcPr>
          <w:p w14:paraId="7BA93278" w14:textId="75350C0D" w:rsidR="00D91013" w:rsidRPr="00D91013" w:rsidRDefault="00D91013" w:rsidP="00637889">
            <w:pPr>
              <w:pStyle w:val="TableTextLeft"/>
              <w:spacing w:before="30" w:after="30"/>
              <w:rPr>
                <w:b/>
                <w:bCs/>
              </w:rPr>
            </w:pPr>
            <w:r w:rsidRPr="00D91013">
              <w:rPr>
                <w:b/>
                <w:bCs/>
              </w:rPr>
              <w:t>Total responses (n)</w:t>
            </w:r>
          </w:p>
        </w:tc>
        <w:tc>
          <w:tcPr>
            <w:tcW w:w="987" w:type="dxa"/>
            <w:tcBorders>
              <w:top w:val="single" w:sz="4" w:space="0" w:color="auto"/>
              <w:bottom w:val="single" w:sz="4" w:space="0" w:color="auto"/>
            </w:tcBorders>
            <w:shd w:val="clear" w:color="auto" w:fill="EEEEEE" w:themeFill="background2"/>
            <w:vAlign w:val="center"/>
          </w:tcPr>
          <w:p w14:paraId="25020DAC" w14:textId="4AC4FA96" w:rsidR="00D91013" w:rsidRPr="00D91013" w:rsidRDefault="00D91013" w:rsidP="00637889">
            <w:pPr>
              <w:pStyle w:val="TableTextRight"/>
              <w:spacing w:before="30" w:after="30"/>
              <w:rPr>
                <w:b/>
                <w:bCs/>
              </w:rPr>
            </w:pPr>
            <w:r w:rsidRPr="00D91013">
              <w:rPr>
                <w:b/>
                <w:bCs/>
              </w:rPr>
              <w:t>167</w:t>
            </w:r>
          </w:p>
        </w:tc>
        <w:tc>
          <w:tcPr>
            <w:tcW w:w="706" w:type="dxa"/>
            <w:tcBorders>
              <w:top w:val="single" w:sz="4" w:space="0" w:color="auto"/>
              <w:bottom w:val="single" w:sz="4" w:space="0" w:color="auto"/>
              <w:right w:val="single" w:sz="4" w:space="0" w:color="auto"/>
            </w:tcBorders>
            <w:shd w:val="clear" w:color="auto" w:fill="EEEEEE" w:themeFill="background2"/>
            <w:vAlign w:val="center"/>
          </w:tcPr>
          <w:p w14:paraId="5AD33E7F" w14:textId="5F05A101" w:rsidR="00D91013" w:rsidRPr="00D91013" w:rsidRDefault="00D91013" w:rsidP="00637889">
            <w:pPr>
              <w:pStyle w:val="TableTextRight"/>
              <w:spacing w:before="30" w:after="30"/>
              <w:rPr>
                <w:b/>
                <w:bCs/>
              </w:rPr>
            </w:pPr>
            <w:r w:rsidRPr="00D91013">
              <w:rPr>
                <w:b/>
                <w:bCs/>
              </w:rPr>
              <w:t>115</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7511851F" w14:textId="3FB43574" w:rsidR="00D91013" w:rsidRPr="00D91013" w:rsidRDefault="00D91013" w:rsidP="00637889">
            <w:pPr>
              <w:pStyle w:val="TableTextRight"/>
              <w:spacing w:before="30" w:after="30"/>
              <w:rPr>
                <w:b/>
                <w:bCs/>
              </w:rPr>
            </w:pPr>
            <w:r w:rsidRPr="00D91013">
              <w:rPr>
                <w:b/>
                <w:bCs/>
              </w:rPr>
              <w:t>211</w:t>
            </w:r>
          </w:p>
        </w:tc>
        <w:tc>
          <w:tcPr>
            <w:tcW w:w="987" w:type="dxa"/>
            <w:tcBorders>
              <w:top w:val="single" w:sz="4" w:space="0" w:color="auto"/>
              <w:bottom w:val="single" w:sz="4" w:space="0" w:color="auto"/>
            </w:tcBorders>
            <w:shd w:val="clear" w:color="auto" w:fill="EEEEEE" w:themeFill="background2"/>
            <w:vAlign w:val="center"/>
          </w:tcPr>
          <w:p w14:paraId="3C2CE12F" w14:textId="0BA88534" w:rsidR="00D91013" w:rsidRPr="00D91013" w:rsidRDefault="00D91013" w:rsidP="00637889">
            <w:pPr>
              <w:pStyle w:val="TableTextRight"/>
              <w:spacing w:before="30" w:after="30"/>
              <w:rPr>
                <w:b/>
                <w:bCs/>
              </w:rPr>
            </w:pPr>
            <w:r w:rsidRPr="00D91013">
              <w:rPr>
                <w:b/>
                <w:bCs/>
              </w:rPr>
              <w:t>38</w:t>
            </w:r>
          </w:p>
        </w:tc>
        <w:tc>
          <w:tcPr>
            <w:tcW w:w="1410" w:type="dxa"/>
            <w:tcBorders>
              <w:top w:val="single" w:sz="4" w:space="0" w:color="auto"/>
              <w:bottom w:val="single" w:sz="4" w:space="0" w:color="auto"/>
              <w:right w:val="single" w:sz="4" w:space="0" w:color="auto"/>
            </w:tcBorders>
            <w:shd w:val="clear" w:color="auto" w:fill="EEEEEE" w:themeFill="background2"/>
            <w:vAlign w:val="center"/>
          </w:tcPr>
          <w:p w14:paraId="20C7A9B5" w14:textId="4C207406" w:rsidR="00D91013" w:rsidRPr="00D91013" w:rsidRDefault="00D91013" w:rsidP="00637889">
            <w:pPr>
              <w:pStyle w:val="TableTextRight"/>
              <w:spacing w:before="30" w:after="30"/>
              <w:rPr>
                <w:b/>
                <w:bCs/>
              </w:rPr>
            </w:pPr>
            <w:r w:rsidRPr="00D91013">
              <w:rPr>
                <w:b/>
                <w:bCs/>
              </w:rPr>
              <w:t>47</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26C6523B" w14:textId="3F4CB544" w:rsidR="00D91013" w:rsidRPr="00D91013" w:rsidRDefault="00D91013" w:rsidP="00637889">
            <w:pPr>
              <w:pStyle w:val="TableTextRight"/>
              <w:spacing w:before="30" w:after="30"/>
              <w:rPr>
                <w:b/>
                <w:bCs/>
              </w:rPr>
            </w:pPr>
            <w:r w:rsidRPr="00D91013">
              <w:rPr>
                <w:b/>
                <w:bCs/>
              </w:rPr>
              <w:t>41</w:t>
            </w:r>
          </w:p>
        </w:tc>
        <w:tc>
          <w:tcPr>
            <w:tcW w:w="1100" w:type="dxa"/>
            <w:tcBorders>
              <w:top w:val="single" w:sz="4" w:space="0" w:color="auto"/>
              <w:bottom w:val="single" w:sz="4" w:space="0" w:color="auto"/>
            </w:tcBorders>
            <w:shd w:val="clear" w:color="auto" w:fill="EEEEEE" w:themeFill="background2"/>
            <w:vAlign w:val="center"/>
          </w:tcPr>
          <w:p w14:paraId="214D743B" w14:textId="3E615EF6" w:rsidR="00D91013" w:rsidRPr="00D91013" w:rsidRDefault="00D91013" w:rsidP="00637889">
            <w:pPr>
              <w:pStyle w:val="TableTextRight"/>
              <w:spacing w:before="30" w:after="30"/>
              <w:rPr>
                <w:b/>
                <w:bCs/>
              </w:rPr>
            </w:pPr>
            <w:r w:rsidRPr="00D91013">
              <w:rPr>
                <w:b/>
                <w:bCs/>
              </w:rPr>
              <w:t>92</w:t>
            </w:r>
          </w:p>
        </w:tc>
        <w:tc>
          <w:tcPr>
            <w:tcW w:w="1100" w:type="dxa"/>
            <w:tcBorders>
              <w:top w:val="single" w:sz="4" w:space="0" w:color="auto"/>
              <w:bottom w:val="single" w:sz="4" w:space="0" w:color="auto"/>
            </w:tcBorders>
            <w:shd w:val="clear" w:color="auto" w:fill="EEEEEE" w:themeFill="background2"/>
            <w:vAlign w:val="center"/>
          </w:tcPr>
          <w:p w14:paraId="3370CA42" w14:textId="5B3596CA" w:rsidR="00D91013" w:rsidRPr="00D91013" w:rsidRDefault="00D91013" w:rsidP="00637889">
            <w:pPr>
              <w:pStyle w:val="TableTextRight"/>
              <w:spacing w:before="30" w:after="30"/>
              <w:rPr>
                <w:b/>
                <w:bCs/>
              </w:rPr>
            </w:pPr>
            <w:r w:rsidRPr="00D91013">
              <w:rPr>
                <w:b/>
                <w:bCs/>
              </w:rPr>
              <w:t>130</w:t>
            </w:r>
          </w:p>
        </w:tc>
        <w:tc>
          <w:tcPr>
            <w:tcW w:w="1101" w:type="dxa"/>
            <w:tcBorders>
              <w:top w:val="single" w:sz="4" w:space="0" w:color="auto"/>
              <w:bottom w:val="single" w:sz="4" w:space="0" w:color="auto"/>
              <w:right w:val="single" w:sz="4" w:space="0" w:color="auto"/>
            </w:tcBorders>
            <w:shd w:val="clear" w:color="auto" w:fill="EEEEEE" w:themeFill="background2"/>
            <w:vAlign w:val="center"/>
          </w:tcPr>
          <w:p w14:paraId="090C231E" w14:textId="773BA49A" w:rsidR="00D91013" w:rsidRPr="00D91013" w:rsidRDefault="00D91013" w:rsidP="00637889">
            <w:pPr>
              <w:pStyle w:val="TableTextRight"/>
              <w:spacing w:before="30" w:after="30"/>
              <w:rPr>
                <w:b/>
                <w:bCs/>
              </w:rPr>
            </w:pPr>
            <w:r w:rsidRPr="00D91013">
              <w:rPr>
                <w:b/>
                <w:bCs/>
              </w:rPr>
              <w:t>35</w:t>
            </w:r>
          </w:p>
        </w:tc>
        <w:tc>
          <w:tcPr>
            <w:tcW w:w="709" w:type="dxa"/>
            <w:tcBorders>
              <w:top w:val="single" w:sz="4" w:space="0" w:color="auto"/>
              <w:left w:val="single" w:sz="4" w:space="0" w:color="auto"/>
              <w:bottom w:val="single" w:sz="4" w:space="0" w:color="auto"/>
            </w:tcBorders>
            <w:shd w:val="clear" w:color="auto" w:fill="EEEEEE" w:themeFill="background2"/>
            <w:vAlign w:val="center"/>
          </w:tcPr>
          <w:p w14:paraId="31ABE0E9" w14:textId="5047B701" w:rsidR="00D91013" w:rsidRPr="00D91013" w:rsidRDefault="00D91013" w:rsidP="00637889">
            <w:pPr>
              <w:pStyle w:val="TableTextRight"/>
              <w:spacing w:before="30" w:after="30"/>
              <w:rPr>
                <w:b/>
                <w:bCs/>
              </w:rPr>
            </w:pPr>
            <w:r w:rsidRPr="00D91013">
              <w:rPr>
                <w:b/>
                <w:bCs/>
              </w:rPr>
              <w:t>165</w:t>
            </w:r>
          </w:p>
        </w:tc>
        <w:tc>
          <w:tcPr>
            <w:tcW w:w="926" w:type="dxa"/>
            <w:tcBorders>
              <w:top w:val="single" w:sz="4" w:space="0" w:color="auto"/>
              <w:bottom w:val="single" w:sz="4" w:space="0" w:color="auto"/>
              <w:right w:val="single" w:sz="4" w:space="0" w:color="auto"/>
            </w:tcBorders>
            <w:shd w:val="clear" w:color="auto" w:fill="EEEEEE" w:themeFill="background2"/>
            <w:vAlign w:val="center"/>
          </w:tcPr>
          <w:p w14:paraId="29E0082A" w14:textId="61BB5A1A" w:rsidR="00D91013" w:rsidRPr="00D91013" w:rsidRDefault="00D91013" w:rsidP="00637889">
            <w:pPr>
              <w:pStyle w:val="TableTextRight"/>
              <w:spacing w:before="30" w:after="30"/>
              <w:rPr>
                <w:b/>
                <w:bCs/>
              </w:rPr>
            </w:pPr>
            <w:r w:rsidRPr="00D91013">
              <w:rPr>
                <w:b/>
                <w:bCs/>
              </w:rPr>
              <w:t>124</w:t>
            </w:r>
          </w:p>
        </w:tc>
        <w:tc>
          <w:tcPr>
            <w:tcW w:w="603" w:type="dxa"/>
            <w:tcBorders>
              <w:top w:val="single" w:sz="4" w:space="0" w:color="auto"/>
              <w:left w:val="single" w:sz="4" w:space="0" w:color="auto"/>
              <w:bottom w:val="single" w:sz="4" w:space="0" w:color="auto"/>
            </w:tcBorders>
            <w:shd w:val="clear" w:color="auto" w:fill="EEEEEE" w:themeFill="background2"/>
            <w:vAlign w:val="center"/>
          </w:tcPr>
          <w:p w14:paraId="12A5EB9B" w14:textId="22DE8EFE" w:rsidR="00D91013" w:rsidRPr="00D91013" w:rsidRDefault="00D91013" w:rsidP="00637889">
            <w:pPr>
              <w:pStyle w:val="TableTextRight"/>
              <w:spacing w:before="30" w:after="30"/>
              <w:rPr>
                <w:b/>
                <w:bCs/>
              </w:rPr>
            </w:pPr>
            <w:r w:rsidRPr="00D91013">
              <w:rPr>
                <w:b/>
                <w:bCs/>
              </w:rPr>
              <w:t>305</w:t>
            </w:r>
          </w:p>
        </w:tc>
      </w:tr>
    </w:tbl>
    <w:p w14:paraId="786AC038" w14:textId="77777777" w:rsidR="00637889" w:rsidRDefault="00637889" w:rsidP="00637889">
      <w:pPr>
        <w:pStyle w:val="SingleParagraph"/>
      </w:pPr>
    </w:p>
    <w:p w14:paraId="30737EB4" w14:textId="01215FF4" w:rsidR="00D91013" w:rsidRDefault="00D91013" w:rsidP="00637889">
      <w:pPr>
        <w:pStyle w:val="TableMainHeading"/>
        <w:spacing w:before="0"/>
      </w:pPr>
      <w:r w:rsidRPr="00883271">
        <w:t>What issues have you experienced accessing service, repair and diagnostic information?</w:t>
      </w:r>
    </w:p>
    <w:tbl>
      <w:tblPr>
        <w:tblStyle w:val="TableGrid"/>
        <w:tblW w:w="5000" w:type="pct"/>
        <w:jc w:val="center"/>
        <w:tblLayout w:type="fixed"/>
        <w:tblCellMar>
          <w:left w:w="113" w:type="dxa"/>
          <w:right w:w="113" w:type="dxa"/>
        </w:tblCellMar>
        <w:tblLook w:val="04A0" w:firstRow="1" w:lastRow="0" w:firstColumn="1" w:lastColumn="0" w:noHBand="0" w:noVBand="1"/>
      </w:tblPr>
      <w:tblGrid>
        <w:gridCol w:w="2037"/>
        <w:gridCol w:w="1018"/>
        <w:gridCol w:w="728"/>
        <w:gridCol w:w="1018"/>
        <w:gridCol w:w="1018"/>
        <w:gridCol w:w="1454"/>
        <w:gridCol w:w="1018"/>
        <w:gridCol w:w="1134"/>
        <w:gridCol w:w="1134"/>
        <w:gridCol w:w="1135"/>
        <w:gridCol w:w="731"/>
        <w:gridCol w:w="955"/>
        <w:gridCol w:w="622"/>
      </w:tblGrid>
      <w:tr w:rsidR="00D91013" w:rsidRPr="00883271" w14:paraId="0103A66A" w14:textId="77777777" w:rsidTr="0002544C">
        <w:trPr>
          <w:cnfStyle w:val="100000000000" w:firstRow="1" w:lastRow="0" w:firstColumn="0" w:lastColumn="0" w:oddVBand="0" w:evenVBand="0" w:oddHBand="0" w:evenHBand="0" w:firstRowFirstColumn="0" w:firstRowLastColumn="0" w:lastRowFirstColumn="0" w:lastRowLastColumn="0"/>
          <w:jc w:val="center"/>
        </w:trPr>
        <w:tc>
          <w:tcPr>
            <w:tcW w:w="1975" w:type="dxa"/>
            <w:tcBorders>
              <w:top w:val="single" w:sz="4" w:space="0" w:color="auto"/>
              <w:bottom w:val="single" w:sz="4" w:space="0" w:color="auto"/>
            </w:tcBorders>
          </w:tcPr>
          <w:p w14:paraId="78E6F98B" w14:textId="77777777" w:rsidR="00D91013" w:rsidRPr="00D91013" w:rsidRDefault="00D91013" w:rsidP="00637889">
            <w:pPr>
              <w:pStyle w:val="TableColumnHeadingRight"/>
              <w:spacing w:before="30" w:after="30"/>
              <w:rPr>
                <w:sz w:val="18"/>
                <w:szCs w:val="18"/>
              </w:rPr>
            </w:pPr>
          </w:p>
        </w:tc>
        <w:tc>
          <w:tcPr>
            <w:tcW w:w="1693" w:type="dxa"/>
            <w:gridSpan w:val="2"/>
            <w:tcBorders>
              <w:top w:val="single" w:sz="4" w:space="0" w:color="auto"/>
              <w:bottom w:val="single" w:sz="4" w:space="0" w:color="auto"/>
              <w:right w:val="single" w:sz="4" w:space="0" w:color="auto"/>
            </w:tcBorders>
            <w:vAlign w:val="center"/>
          </w:tcPr>
          <w:p w14:paraId="50004EF1" w14:textId="77777777" w:rsidR="00D91013" w:rsidRPr="00D91013" w:rsidRDefault="00D91013" w:rsidP="00637889">
            <w:pPr>
              <w:pStyle w:val="TableColumnHeadingCentred"/>
              <w:spacing w:before="30" w:after="30"/>
              <w:rPr>
                <w:b w:val="0"/>
                <w:sz w:val="18"/>
                <w:szCs w:val="18"/>
              </w:rPr>
            </w:pPr>
            <w:r w:rsidRPr="00D91013">
              <w:rPr>
                <w:sz w:val="18"/>
                <w:szCs w:val="18"/>
              </w:rPr>
              <w:t>Vehicles repaired per month</w:t>
            </w:r>
          </w:p>
        </w:tc>
        <w:tc>
          <w:tcPr>
            <w:tcW w:w="3384" w:type="dxa"/>
            <w:gridSpan w:val="3"/>
            <w:tcBorders>
              <w:top w:val="single" w:sz="4" w:space="0" w:color="auto"/>
              <w:left w:val="single" w:sz="4" w:space="0" w:color="auto"/>
              <w:bottom w:val="single" w:sz="4" w:space="0" w:color="auto"/>
              <w:right w:val="single" w:sz="4" w:space="0" w:color="auto"/>
            </w:tcBorders>
            <w:vAlign w:val="center"/>
          </w:tcPr>
          <w:p w14:paraId="36E160B9" w14:textId="77777777" w:rsidR="00D91013" w:rsidRPr="00D91013" w:rsidRDefault="00D91013" w:rsidP="00637889">
            <w:pPr>
              <w:pStyle w:val="TableColumnHeadingCentred"/>
              <w:spacing w:before="30" w:after="30"/>
              <w:rPr>
                <w:b w:val="0"/>
                <w:sz w:val="18"/>
                <w:szCs w:val="18"/>
              </w:rPr>
            </w:pPr>
            <w:r w:rsidRPr="00D91013">
              <w:rPr>
                <w:sz w:val="18"/>
                <w:szCs w:val="18"/>
              </w:rPr>
              <w:t>Type of Repairer</w:t>
            </w:r>
          </w:p>
        </w:tc>
        <w:tc>
          <w:tcPr>
            <w:tcW w:w="4288" w:type="dxa"/>
            <w:gridSpan w:val="4"/>
            <w:tcBorders>
              <w:top w:val="single" w:sz="4" w:space="0" w:color="auto"/>
              <w:left w:val="single" w:sz="4" w:space="0" w:color="auto"/>
              <w:bottom w:val="single" w:sz="4" w:space="0" w:color="auto"/>
              <w:right w:val="single" w:sz="4" w:space="0" w:color="auto"/>
            </w:tcBorders>
            <w:vAlign w:val="center"/>
          </w:tcPr>
          <w:p w14:paraId="7F4865A1" w14:textId="77777777" w:rsidR="00D91013" w:rsidRPr="00D91013" w:rsidRDefault="00D91013" w:rsidP="00637889">
            <w:pPr>
              <w:pStyle w:val="TableColumnHeadingCentred"/>
              <w:spacing w:before="30" w:after="30"/>
              <w:rPr>
                <w:b w:val="0"/>
                <w:sz w:val="18"/>
                <w:szCs w:val="18"/>
              </w:rPr>
            </w:pPr>
            <w:r w:rsidRPr="00D91013">
              <w:rPr>
                <w:sz w:val="18"/>
                <w:szCs w:val="18"/>
              </w:rPr>
              <w:t>Business size</w:t>
            </w:r>
          </w:p>
        </w:tc>
        <w:tc>
          <w:tcPr>
            <w:tcW w:w="1635" w:type="dxa"/>
            <w:gridSpan w:val="2"/>
            <w:tcBorders>
              <w:top w:val="single" w:sz="4" w:space="0" w:color="auto"/>
              <w:left w:val="single" w:sz="4" w:space="0" w:color="auto"/>
              <w:bottom w:val="single" w:sz="4" w:space="0" w:color="auto"/>
              <w:right w:val="single" w:sz="4" w:space="0" w:color="auto"/>
            </w:tcBorders>
            <w:vAlign w:val="center"/>
          </w:tcPr>
          <w:p w14:paraId="176FDC2F" w14:textId="77777777" w:rsidR="00D91013" w:rsidRPr="00D91013" w:rsidRDefault="00D91013" w:rsidP="00637889">
            <w:pPr>
              <w:pStyle w:val="TableColumnHeadingCentred"/>
              <w:spacing w:before="30" w:after="30"/>
              <w:rPr>
                <w:b w:val="0"/>
                <w:sz w:val="18"/>
                <w:szCs w:val="18"/>
              </w:rPr>
            </w:pPr>
            <w:r w:rsidRPr="00D91013">
              <w:rPr>
                <w:sz w:val="18"/>
                <w:szCs w:val="18"/>
              </w:rPr>
              <w:t>Location</w:t>
            </w:r>
          </w:p>
        </w:tc>
        <w:tc>
          <w:tcPr>
            <w:tcW w:w="603" w:type="dxa"/>
            <w:vMerge w:val="restart"/>
            <w:tcBorders>
              <w:top w:val="single" w:sz="4" w:space="0" w:color="auto"/>
              <w:left w:val="single" w:sz="4" w:space="0" w:color="auto"/>
            </w:tcBorders>
            <w:vAlign w:val="center"/>
          </w:tcPr>
          <w:p w14:paraId="395EB2F1" w14:textId="77777777" w:rsidR="00D91013" w:rsidRPr="00D91013" w:rsidRDefault="00D91013" w:rsidP="00637889">
            <w:pPr>
              <w:pStyle w:val="TableColumnHeadingRight"/>
              <w:spacing w:before="30" w:after="30"/>
              <w:rPr>
                <w:b w:val="0"/>
                <w:bCs/>
                <w:sz w:val="18"/>
                <w:szCs w:val="18"/>
              </w:rPr>
            </w:pPr>
            <w:r w:rsidRPr="00D91013">
              <w:rPr>
                <w:bCs/>
                <w:sz w:val="18"/>
                <w:szCs w:val="18"/>
              </w:rPr>
              <w:t>Total</w:t>
            </w:r>
          </w:p>
        </w:tc>
      </w:tr>
      <w:tr w:rsidR="00664208" w:rsidRPr="00883271" w14:paraId="23247966" w14:textId="77777777" w:rsidTr="00637889">
        <w:trPr>
          <w:cnfStyle w:val="000000100000" w:firstRow="0" w:lastRow="0" w:firstColumn="0" w:lastColumn="0" w:oddVBand="0" w:evenVBand="0" w:oddHBand="1" w:evenHBand="0" w:firstRowFirstColumn="0" w:firstRowLastColumn="0" w:lastRowFirstColumn="0" w:lastRowLastColumn="0"/>
          <w:trHeight w:val="161"/>
          <w:jc w:val="center"/>
        </w:trPr>
        <w:tc>
          <w:tcPr>
            <w:tcW w:w="1975" w:type="dxa"/>
            <w:tcBorders>
              <w:top w:val="single" w:sz="4" w:space="0" w:color="auto"/>
              <w:bottom w:val="single" w:sz="4" w:space="0" w:color="auto"/>
            </w:tcBorders>
            <w:shd w:val="clear" w:color="auto" w:fill="EEEEEE" w:themeFill="background2"/>
          </w:tcPr>
          <w:p w14:paraId="0413E257" w14:textId="77777777" w:rsidR="00D91013" w:rsidRPr="00D91013" w:rsidRDefault="00D91013" w:rsidP="00637889">
            <w:pPr>
              <w:pStyle w:val="TableColumnHeadingRight"/>
              <w:spacing w:before="30" w:after="30"/>
              <w:rPr>
                <w:sz w:val="18"/>
                <w:szCs w:val="18"/>
              </w:rPr>
            </w:pPr>
          </w:p>
        </w:tc>
        <w:tc>
          <w:tcPr>
            <w:tcW w:w="987" w:type="dxa"/>
            <w:tcBorders>
              <w:top w:val="single" w:sz="4" w:space="0" w:color="auto"/>
              <w:bottom w:val="single" w:sz="4" w:space="0" w:color="auto"/>
            </w:tcBorders>
            <w:shd w:val="clear" w:color="auto" w:fill="EEEEEE" w:themeFill="background2"/>
            <w:vAlign w:val="center"/>
          </w:tcPr>
          <w:p w14:paraId="09DECF12" w14:textId="77777777" w:rsidR="00D91013" w:rsidRPr="00D91013" w:rsidRDefault="00D91013" w:rsidP="00637889">
            <w:pPr>
              <w:pStyle w:val="TableColumnHeadingRight"/>
              <w:spacing w:before="30" w:after="30"/>
              <w:rPr>
                <w:sz w:val="18"/>
                <w:szCs w:val="18"/>
              </w:rPr>
            </w:pPr>
            <w:r w:rsidRPr="00D91013">
              <w:rPr>
                <w:bCs/>
                <w:sz w:val="18"/>
                <w:szCs w:val="18"/>
              </w:rPr>
              <w:t>Less than 100</w:t>
            </w:r>
          </w:p>
        </w:tc>
        <w:tc>
          <w:tcPr>
            <w:tcW w:w="706" w:type="dxa"/>
            <w:tcBorders>
              <w:top w:val="single" w:sz="4" w:space="0" w:color="auto"/>
              <w:bottom w:val="single" w:sz="4" w:space="0" w:color="auto"/>
              <w:right w:val="single" w:sz="4" w:space="0" w:color="auto"/>
            </w:tcBorders>
            <w:shd w:val="clear" w:color="auto" w:fill="EEEEEE" w:themeFill="background2"/>
            <w:vAlign w:val="center"/>
          </w:tcPr>
          <w:p w14:paraId="43BA8BA3" w14:textId="77777777" w:rsidR="00D91013" w:rsidRPr="00D91013" w:rsidRDefault="00D91013" w:rsidP="00637889">
            <w:pPr>
              <w:pStyle w:val="TableColumnHeadingRight"/>
              <w:spacing w:before="30" w:after="30"/>
              <w:rPr>
                <w:sz w:val="18"/>
                <w:szCs w:val="18"/>
              </w:rPr>
            </w:pPr>
            <w:r w:rsidRPr="00D91013">
              <w:rPr>
                <w:bCs/>
                <w:sz w:val="18"/>
                <w:szCs w:val="18"/>
              </w:rPr>
              <w:t>100 or more</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668BB938" w14:textId="77777777" w:rsidR="00D91013" w:rsidRPr="00D91013" w:rsidRDefault="00D91013" w:rsidP="00637889">
            <w:pPr>
              <w:pStyle w:val="TableColumnHeadingRight"/>
              <w:spacing w:before="30" w:after="30"/>
              <w:rPr>
                <w:sz w:val="18"/>
                <w:szCs w:val="18"/>
              </w:rPr>
            </w:pPr>
            <w:r w:rsidRPr="00D91013">
              <w:rPr>
                <w:bCs/>
                <w:sz w:val="18"/>
                <w:szCs w:val="18"/>
              </w:rPr>
              <w:t>Generalist</w:t>
            </w:r>
          </w:p>
        </w:tc>
        <w:tc>
          <w:tcPr>
            <w:tcW w:w="987" w:type="dxa"/>
            <w:tcBorders>
              <w:top w:val="single" w:sz="4" w:space="0" w:color="auto"/>
              <w:bottom w:val="single" w:sz="4" w:space="0" w:color="auto"/>
            </w:tcBorders>
            <w:shd w:val="clear" w:color="auto" w:fill="EEEEEE" w:themeFill="background2"/>
            <w:vAlign w:val="center"/>
          </w:tcPr>
          <w:p w14:paraId="194D96ED" w14:textId="4AFEC850" w:rsidR="00D91013" w:rsidRPr="00D91013" w:rsidRDefault="00D91013" w:rsidP="00637889">
            <w:pPr>
              <w:pStyle w:val="TableColumnHeadingRight"/>
              <w:spacing w:before="30" w:after="30"/>
              <w:rPr>
                <w:sz w:val="18"/>
                <w:szCs w:val="18"/>
              </w:rPr>
            </w:pPr>
            <w:r w:rsidRPr="00D91013">
              <w:rPr>
                <w:bCs/>
                <w:sz w:val="18"/>
                <w:szCs w:val="18"/>
              </w:rPr>
              <w:t xml:space="preserve">Specialist </w:t>
            </w:r>
            <w:r w:rsidR="007B3C6A">
              <w:rPr>
                <w:bCs/>
                <w:sz w:val="18"/>
                <w:szCs w:val="18"/>
              </w:rPr>
              <w:noBreakHyphen/>
            </w:r>
            <w:r w:rsidRPr="00D91013">
              <w:rPr>
                <w:bCs/>
                <w:sz w:val="18"/>
                <w:szCs w:val="18"/>
              </w:rPr>
              <w:t xml:space="preserve"> regional</w:t>
            </w:r>
          </w:p>
        </w:tc>
        <w:tc>
          <w:tcPr>
            <w:tcW w:w="1410" w:type="dxa"/>
            <w:tcBorders>
              <w:top w:val="single" w:sz="4" w:space="0" w:color="auto"/>
              <w:bottom w:val="single" w:sz="4" w:space="0" w:color="auto"/>
              <w:right w:val="single" w:sz="4" w:space="0" w:color="auto"/>
            </w:tcBorders>
            <w:shd w:val="clear" w:color="auto" w:fill="EEEEEE" w:themeFill="background2"/>
            <w:vAlign w:val="center"/>
          </w:tcPr>
          <w:p w14:paraId="50A3C60F" w14:textId="57A08A99" w:rsidR="00D91013" w:rsidRPr="00D91013" w:rsidRDefault="00D91013" w:rsidP="00637889">
            <w:pPr>
              <w:pStyle w:val="TableColumnHeadingRight"/>
              <w:spacing w:before="30" w:after="30"/>
              <w:rPr>
                <w:sz w:val="18"/>
                <w:szCs w:val="18"/>
              </w:rPr>
            </w:pPr>
            <w:r w:rsidRPr="00D91013">
              <w:rPr>
                <w:bCs/>
                <w:sz w:val="18"/>
                <w:szCs w:val="18"/>
              </w:rPr>
              <w:t xml:space="preserve">Specialist </w:t>
            </w:r>
            <w:r w:rsidR="007B3C6A">
              <w:rPr>
                <w:bCs/>
                <w:sz w:val="18"/>
                <w:szCs w:val="18"/>
              </w:rPr>
              <w:noBreakHyphen/>
            </w:r>
            <w:r w:rsidRPr="00D91013">
              <w:rPr>
                <w:bCs/>
                <w:sz w:val="18"/>
                <w:szCs w:val="18"/>
              </w:rPr>
              <w:t xml:space="preserve"> one / limited makes</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35F1FDA0" w14:textId="77777777" w:rsidR="00D91013" w:rsidRPr="00D91013" w:rsidRDefault="00D91013" w:rsidP="00637889">
            <w:pPr>
              <w:pStyle w:val="TableColumnHeadingRight"/>
              <w:spacing w:before="30" w:after="30"/>
              <w:rPr>
                <w:sz w:val="18"/>
                <w:szCs w:val="18"/>
              </w:rPr>
            </w:pPr>
            <w:r w:rsidRPr="00D91013">
              <w:rPr>
                <w:bCs/>
                <w:sz w:val="18"/>
                <w:szCs w:val="18"/>
              </w:rPr>
              <w:t>Owner operator</w:t>
            </w:r>
          </w:p>
        </w:tc>
        <w:tc>
          <w:tcPr>
            <w:tcW w:w="1100" w:type="dxa"/>
            <w:tcBorders>
              <w:top w:val="single" w:sz="4" w:space="0" w:color="auto"/>
              <w:bottom w:val="single" w:sz="4" w:space="0" w:color="auto"/>
            </w:tcBorders>
            <w:shd w:val="clear" w:color="auto" w:fill="EEEEEE" w:themeFill="background2"/>
            <w:vAlign w:val="center"/>
          </w:tcPr>
          <w:p w14:paraId="1F9BA43D" w14:textId="77777777" w:rsidR="00D91013" w:rsidRPr="00D91013" w:rsidRDefault="00D91013" w:rsidP="00637889">
            <w:pPr>
              <w:pStyle w:val="TableColumnHeadingRight"/>
              <w:spacing w:before="30" w:after="30"/>
              <w:rPr>
                <w:sz w:val="18"/>
                <w:szCs w:val="18"/>
              </w:rPr>
            </w:pPr>
            <w:r w:rsidRPr="00D91013">
              <w:rPr>
                <w:bCs/>
                <w:sz w:val="18"/>
                <w:szCs w:val="18"/>
              </w:rPr>
              <w:t>1 to 4 employees</w:t>
            </w:r>
          </w:p>
        </w:tc>
        <w:tc>
          <w:tcPr>
            <w:tcW w:w="1100" w:type="dxa"/>
            <w:tcBorders>
              <w:top w:val="single" w:sz="4" w:space="0" w:color="auto"/>
              <w:bottom w:val="single" w:sz="4" w:space="0" w:color="auto"/>
            </w:tcBorders>
            <w:shd w:val="clear" w:color="auto" w:fill="EEEEEE" w:themeFill="background2"/>
            <w:vAlign w:val="center"/>
          </w:tcPr>
          <w:p w14:paraId="30F88C15" w14:textId="77777777" w:rsidR="00D91013" w:rsidRPr="00D91013" w:rsidRDefault="00D91013" w:rsidP="00637889">
            <w:pPr>
              <w:pStyle w:val="TableColumnHeadingRight"/>
              <w:spacing w:before="30" w:after="30"/>
              <w:rPr>
                <w:sz w:val="18"/>
                <w:szCs w:val="18"/>
              </w:rPr>
            </w:pPr>
            <w:r w:rsidRPr="00D91013">
              <w:rPr>
                <w:bCs/>
                <w:sz w:val="18"/>
                <w:szCs w:val="18"/>
              </w:rPr>
              <w:t>5 to 19 employees</w:t>
            </w:r>
          </w:p>
        </w:tc>
        <w:tc>
          <w:tcPr>
            <w:tcW w:w="1101" w:type="dxa"/>
            <w:tcBorders>
              <w:top w:val="single" w:sz="4" w:space="0" w:color="auto"/>
              <w:bottom w:val="single" w:sz="4" w:space="0" w:color="auto"/>
              <w:right w:val="single" w:sz="4" w:space="0" w:color="auto"/>
            </w:tcBorders>
            <w:shd w:val="clear" w:color="auto" w:fill="EEEEEE" w:themeFill="background2"/>
            <w:vAlign w:val="center"/>
          </w:tcPr>
          <w:p w14:paraId="4A22C5E3" w14:textId="77777777" w:rsidR="00D91013" w:rsidRPr="00D91013" w:rsidRDefault="00D91013" w:rsidP="00637889">
            <w:pPr>
              <w:pStyle w:val="TableColumnHeadingRight"/>
              <w:spacing w:before="30" w:after="30"/>
              <w:rPr>
                <w:sz w:val="18"/>
                <w:szCs w:val="18"/>
              </w:rPr>
            </w:pPr>
            <w:r w:rsidRPr="00D91013">
              <w:rPr>
                <w:bCs/>
                <w:sz w:val="18"/>
                <w:szCs w:val="18"/>
              </w:rPr>
              <w:t>20 or more employees</w:t>
            </w:r>
          </w:p>
        </w:tc>
        <w:tc>
          <w:tcPr>
            <w:tcW w:w="709" w:type="dxa"/>
            <w:tcBorders>
              <w:top w:val="single" w:sz="4" w:space="0" w:color="auto"/>
              <w:left w:val="single" w:sz="4" w:space="0" w:color="auto"/>
              <w:bottom w:val="single" w:sz="4" w:space="0" w:color="auto"/>
            </w:tcBorders>
            <w:shd w:val="clear" w:color="auto" w:fill="EEEEEE" w:themeFill="background2"/>
            <w:vAlign w:val="center"/>
          </w:tcPr>
          <w:p w14:paraId="330E8183" w14:textId="77777777" w:rsidR="00D91013" w:rsidRPr="00D91013" w:rsidRDefault="00D91013" w:rsidP="00637889">
            <w:pPr>
              <w:pStyle w:val="TableColumnHeadingRight"/>
              <w:spacing w:before="30" w:after="30"/>
              <w:rPr>
                <w:sz w:val="18"/>
                <w:szCs w:val="18"/>
              </w:rPr>
            </w:pPr>
            <w:r w:rsidRPr="00D91013">
              <w:rPr>
                <w:bCs/>
                <w:sz w:val="18"/>
                <w:szCs w:val="18"/>
              </w:rPr>
              <w:t>Metro</w:t>
            </w:r>
          </w:p>
        </w:tc>
        <w:tc>
          <w:tcPr>
            <w:tcW w:w="926" w:type="dxa"/>
            <w:tcBorders>
              <w:top w:val="single" w:sz="4" w:space="0" w:color="auto"/>
              <w:bottom w:val="single" w:sz="4" w:space="0" w:color="auto"/>
              <w:right w:val="single" w:sz="4" w:space="0" w:color="auto"/>
            </w:tcBorders>
            <w:shd w:val="clear" w:color="auto" w:fill="EEEEEE" w:themeFill="background2"/>
            <w:vAlign w:val="center"/>
          </w:tcPr>
          <w:p w14:paraId="4E8B5595" w14:textId="77777777" w:rsidR="00D91013" w:rsidRPr="00D91013" w:rsidRDefault="00D91013" w:rsidP="00637889">
            <w:pPr>
              <w:pStyle w:val="TableColumnHeadingRight"/>
              <w:spacing w:before="30" w:after="30"/>
              <w:rPr>
                <w:sz w:val="18"/>
                <w:szCs w:val="18"/>
              </w:rPr>
            </w:pPr>
            <w:r w:rsidRPr="00D91013">
              <w:rPr>
                <w:bCs/>
                <w:sz w:val="18"/>
                <w:szCs w:val="18"/>
              </w:rPr>
              <w:t>Regional</w:t>
            </w:r>
          </w:p>
        </w:tc>
        <w:tc>
          <w:tcPr>
            <w:tcW w:w="603" w:type="dxa"/>
            <w:vMerge/>
            <w:tcBorders>
              <w:left w:val="single" w:sz="4" w:space="0" w:color="auto"/>
              <w:bottom w:val="single" w:sz="4" w:space="0" w:color="auto"/>
            </w:tcBorders>
            <w:shd w:val="clear" w:color="auto" w:fill="EEEEEE" w:themeFill="background2"/>
            <w:vAlign w:val="center"/>
          </w:tcPr>
          <w:p w14:paraId="525F0A8C" w14:textId="77777777" w:rsidR="00D91013" w:rsidRPr="00D91013" w:rsidRDefault="00D91013" w:rsidP="00637889">
            <w:pPr>
              <w:pStyle w:val="TableColumnHeadingRight"/>
              <w:spacing w:before="30" w:after="30"/>
              <w:rPr>
                <w:bCs/>
                <w:sz w:val="18"/>
                <w:szCs w:val="18"/>
              </w:rPr>
            </w:pPr>
          </w:p>
        </w:tc>
      </w:tr>
      <w:tr w:rsidR="00D91013" w:rsidRPr="00883271" w14:paraId="5DDF48B8" w14:textId="77777777" w:rsidTr="00637889">
        <w:trPr>
          <w:cnfStyle w:val="000000010000" w:firstRow="0" w:lastRow="0" w:firstColumn="0" w:lastColumn="0" w:oddVBand="0" w:evenVBand="0" w:oddHBand="0" w:evenHBand="1" w:firstRowFirstColumn="0" w:firstRowLastColumn="0" w:lastRowFirstColumn="0" w:lastRowLastColumn="0"/>
          <w:trHeight w:val="20"/>
          <w:jc w:val="center"/>
        </w:trPr>
        <w:tc>
          <w:tcPr>
            <w:tcW w:w="1975" w:type="dxa"/>
            <w:tcBorders>
              <w:top w:val="single" w:sz="4" w:space="0" w:color="auto"/>
            </w:tcBorders>
            <w:tcMar>
              <w:right w:w="0" w:type="dxa"/>
            </w:tcMar>
            <w:vAlign w:val="center"/>
          </w:tcPr>
          <w:p w14:paraId="4951FE0B" w14:textId="429CCDD3" w:rsidR="00D91013" w:rsidRPr="00D91013" w:rsidRDefault="00D91013" w:rsidP="00637889">
            <w:pPr>
              <w:pStyle w:val="TableTextLeft"/>
              <w:spacing w:before="30" w:after="30"/>
              <w:rPr>
                <w:b/>
                <w:bCs/>
              </w:rPr>
            </w:pPr>
            <w:r w:rsidRPr="00D91013">
              <w:rPr>
                <w:b/>
                <w:bCs/>
              </w:rPr>
              <w:t>Delays in receiving information</w:t>
            </w:r>
          </w:p>
        </w:tc>
        <w:tc>
          <w:tcPr>
            <w:tcW w:w="987" w:type="dxa"/>
            <w:tcBorders>
              <w:top w:val="single" w:sz="4" w:space="0" w:color="auto"/>
            </w:tcBorders>
            <w:vAlign w:val="center"/>
          </w:tcPr>
          <w:p w14:paraId="698BCA7A" w14:textId="149100C8" w:rsidR="00D91013" w:rsidRPr="00D91013" w:rsidRDefault="00D91013" w:rsidP="00637889">
            <w:pPr>
              <w:pStyle w:val="TableTextRight"/>
              <w:spacing w:before="30" w:after="30"/>
            </w:pPr>
            <w:r w:rsidRPr="00D91013">
              <w:t>52%</w:t>
            </w:r>
          </w:p>
        </w:tc>
        <w:tc>
          <w:tcPr>
            <w:tcW w:w="706" w:type="dxa"/>
            <w:tcBorders>
              <w:top w:val="single" w:sz="4" w:space="0" w:color="auto"/>
              <w:right w:val="single" w:sz="4" w:space="0" w:color="auto"/>
            </w:tcBorders>
            <w:vAlign w:val="center"/>
          </w:tcPr>
          <w:p w14:paraId="32E3AC66" w14:textId="19D7A611" w:rsidR="00D91013" w:rsidRPr="00D91013" w:rsidRDefault="00D91013" w:rsidP="00637889">
            <w:pPr>
              <w:pStyle w:val="TableTextRight"/>
              <w:spacing w:before="30" w:after="30"/>
            </w:pPr>
            <w:r w:rsidRPr="00D91013">
              <w:t>66%</w:t>
            </w:r>
          </w:p>
        </w:tc>
        <w:tc>
          <w:tcPr>
            <w:tcW w:w="987" w:type="dxa"/>
            <w:tcBorders>
              <w:top w:val="single" w:sz="4" w:space="0" w:color="auto"/>
              <w:left w:val="single" w:sz="4" w:space="0" w:color="auto"/>
            </w:tcBorders>
            <w:vAlign w:val="center"/>
          </w:tcPr>
          <w:p w14:paraId="6359851E" w14:textId="010A9081" w:rsidR="00D91013" w:rsidRPr="00D91013" w:rsidRDefault="00D91013" w:rsidP="00637889">
            <w:pPr>
              <w:pStyle w:val="TableTextRight"/>
              <w:spacing w:before="30" w:after="30"/>
            </w:pPr>
            <w:r w:rsidRPr="00D91013">
              <w:t>58%</w:t>
            </w:r>
          </w:p>
        </w:tc>
        <w:tc>
          <w:tcPr>
            <w:tcW w:w="987" w:type="dxa"/>
            <w:tcBorders>
              <w:top w:val="single" w:sz="4" w:space="0" w:color="auto"/>
            </w:tcBorders>
            <w:vAlign w:val="center"/>
          </w:tcPr>
          <w:p w14:paraId="7C54B559" w14:textId="0D564C6E" w:rsidR="00D91013" w:rsidRPr="00D91013" w:rsidRDefault="00D91013" w:rsidP="00637889">
            <w:pPr>
              <w:pStyle w:val="TableTextRight"/>
              <w:spacing w:before="30" w:after="30"/>
            </w:pPr>
            <w:r w:rsidRPr="00D91013">
              <w:t>61%</w:t>
            </w:r>
          </w:p>
        </w:tc>
        <w:tc>
          <w:tcPr>
            <w:tcW w:w="1410" w:type="dxa"/>
            <w:tcBorders>
              <w:top w:val="single" w:sz="4" w:space="0" w:color="auto"/>
              <w:right w:val="single" w:sz="4" w:space="0" w:color="auto"/>
            </w:tcBorders>
            <w:vAlign w:val="center"/>
          </w:tcPr>
          <w:p w14:paraId="58BE1549" w14:textId="42BEC7D7" w:rsidR="00D91013" w:rsidRPr="00D91013" w:rsidRDefault="00D91013" w:rsidP="00637889">
            <w:pPr>
              <w:pStyle w:val="TableTextRight"/>
              <w:spacing w:before="30" w:after="30"/>
            </w:pPr>
            <w:r w:rsidRPr="00D91013">
              <w:t>50%</w:t>
            </w:r>
          </w:p>
        </w:tc>
        <w:tc>
          <w:tcPr>
            <w:tcW w:w="987" w:type="dxa"/>
            <w:tcBorders>
              <w:top w:val="single" w:sz="4" w:space="0" w:color="auto"/>
              <w:left w:val="single" w:sz="4" w:space="0" w:color="auto"/>
            </w:tcBorders>
            <w:vAlign w:val="center"/>
          </w:tcPr>
          <w:p w14:paraId="0F437866" w14:textId="2C056B12" w:rsidR="00D91013" w:rsidRPr="00D91013" w:rsidRDefault="00D91013" w:rsidP="00637889">
            <w:pPr>
              <w:pStyle w:val="TableTextRight"/>
              <w:spacing w:before="30" w:after="30"/>
            </w:pPr>
            <w:r w:rsidRPr="00D91013">
              <w:t>31%</w:t>
            </w:r>
          </w:p>
        </w:tc>
        <w:tc>
          <w:tcPr>
            <w:tcW w:w="1100" w:type="dxa"/>
            <w:tcBorders>
              <w:top w:val="single" w:sz="4" w:space="0" w:color="auto"/>
            </w:tcBorders>
            <w:vAlign w:val="center"/>
          </w:tcPr>
          <w:p w14:paraId="2A6EA398" w14:textId="66E9592B" w:rsidR="00D91013" w:rsidRPr="00D91013" w:rsidRDefault="00D91013" w:rsidP="00637889">
            <w:pPr>
              <w:pStyle w:val="TableTextRight"/>
              <w:spacing w:before="30" w:after="30"/>
            </w:pPr>
            <w:r w:rsidRPr="00D91013">
              <w:t>61%</w:t>
            </w:r>
          </w:p>
        </w:tc>
        <w:tc>
          <w:tcPr>
            <w:tcW w:w="1100" w:type="dxa"/>
            <w:tcBorders>
              <w:top w:val="single" w:sz="4" w:space="0" w:color="auto"/>
            </w:tcBorders>
            <w:vAlign w:val="center"/>
          </w:tcPr>
          <w:p w14:paraId="7186BD15" w14:textId="210EB957" w:rsidR="00D91013" w:rsidRPr="00D91013" w:rsidRDefault="00D91013" w:rsidP="00637889">
            <w:pPr>
              <w:pStyle w:val="TableTextRight"/>
              <w:spacing w:before="30" w:after="30"/>
            </w:pPr>
            <w:r w:rsidRPr="00D91013">
              <w:t>63%</w:t>
            </w:r>
          </w:p>
        </w:tc>
        <w:tc>
          <w:tcPr>
            <w:tcW w:w="1101" w:type="dxa"/>
            <w:tcBorders>
              <w:top w:val="single" w:sz="4" w:space="0" w:color="auto"/>
              <w:right w:val="single" w:sz="4" w:space="0" w:color="auto"/>
            </w:tcBorders>
            <w:vAlign w:val="center"/>
          </w:tcPr>
          <w:p w14:paraId="5910B7AD" w14:textId="4CE8F59A" w:rsidR="00D91013" w:rsidRPr="00D91013" w:rsidRDefault="00D91013" w:rsidP="00637889">
            <w:pPr>
              <w:pStyle w:val="TableTextRight"/>
              <w:spacing w:before="30" w:after="30"/>
            </w:pPr>
            <w:r w:rsidRPr="00D91013">
              <w:t>48%</w:t>
            </w:r>
          </w:p>
        </w:tc>
        <w:tc>
          <w:tcPr>
            <w:tcW w:w="709" w:type="dxa"/>
            <w:tcBorders>
              <w:top w:val="single" w:sz="4" w:space="0" w:color="auto"/>
              <w:left w:val="single" w:sz="4" w:space="0" w:color="auto"/>
            </w:tcBorders>
            <w:vAlign w:val="center"/>
          </w:tcPr>
          <w:p w14:paraId="71635B29" w14:textId="2022FB3A" w:rsidR="00D91013" w:rsidRPr="00D91013" w:rsidRDefault="00D91013" w:rsidP="00637889">
            <w:pPr>
              <w:pStyle w:val="TableTextRight"/>
              <w:spacing w:before="30" w:after="30"/>
            </w:pPr>
            <w:r w:rsidRPr="00D91013">
              <w:t>58%</w:t>
            </w:r>
          </w:p>
        </w:tc>
        <w:tc>
          <w:tcPr>
            <w:tcW w:w="926" w:type="dxa"/>
            <w:tcBorders>
              <w:top w:val="single" w:sz="4" w:space="0" w:color="auto"/>
              <w:right w:val="single" w:sz="4" w:space="0" w:color="auto"/>
            </w:tcBorders>
            <w:vAlign w:val="center"/>
          </w:tcPr>
          <w:p w14:paraId="0BAD22A4" w14:textId="790C9138" w:rsidR="00D91013" w:rsidRPr="00D91013" w:rsidRDefault="00D91013" w:rsidP="00637889">
            <w:pPr>
              <w:pStyle w:val="TableTextRight"/>
              <w:spacing w:before="30" w:after="30"/>
            </w:pPr>
            <w:r w:rsidRPr="00D91013">
              <w:t>58%</w:t>
            </w:r>
          </w:p>
        </w:tc>
        <w:tc>
          <w:tcPr>
            <w:tcW w:w="603" w:type="dxa"/>
            <w:tcBorders>
              <w:top w:val="single" w:sz="4" w:space="0" w:color="auto"/>
              <w:left w:val="single" w:sz="4" w:space="0" w:color="auto"/>
            </w:tcBorders>
            <w:vAlign w:val="center"/>
          </w:tcPr>
          <w:p w14:paraId="0C16B30A" w14:textId="722C178A" w:rsidR="00D91013" w:rsidRPr="00D91013" w:rsidRDefault="00D91013" w:rsidP="00637889">
            <w:pPr>
              <w:pStyle w:val="TableTextRight"/>
              <w:spacing w:before="30" w:after="30"/>
              <w:rPr>
                <w:b/>
                <w:bCs/>
              </w:rPr>
            </w:pPr>
            <w:r w:rsidRPr="00D91013">
              <w:rPr>
                <w:b/>
                <w:bCs/>
              </w:rPr>
              <w:t>57%</w:t>
            </w:r>
          </w:p>
        </w:tc>
      </w:tr>
      <w:tr w:rsidR="00D91013" w:rsidRPr="00883271" w14:paraId="71D7D860" w14:textId="77777777" w:rsidTr="00637889">
        <w:trPr>
          <w:cnfStyle w:val="000000100000" w:firstRow="0" w:lastRow="0" w:firstColumn="0" w:lastColumn="0" w:oddVBand="0" w:evenVBand="0" w:oddHBand="1" w:evenHBand="0" w:firstRowFirstColumn="0" w:firstRowLastColumn="0" w:lastRowFirstColumn="0" w:lastRowLastColumn="0"/>
          <w:trHeight w:val="20"/>
          <w:jc w:val="center"/>
        </w:trPr>
        <w:tc>
          <w:tcPr>
            <w:tcW w:w="1975" w:type="dxa"/>
            <w:tcMar>
              <w:right w:w="0" w:type="dxa"/>
            </w:tcMar>
            <w:vAlign w:val="center"/>
          </w:tcPr>
          <w:p w14:paraId="59F59CA0" w14:textId="208FEF43" w:rsidR="00D91013" w:rsidRPr="00D91013" w:rsidRDefault="00D91013" w:rsidP="00637889">
            <w:pPr>
              <w:pStyle w:val="TableTextLeft"/>
              <w:spacing w:before="30" w:after="30"/>
              <w:rPr>
                <w:b/>
                <w:bCs/>
              </w:rPr>
            </w:pPr>
            <w:r w:rsidRPr="00D91013">
              <w:rPr>
                <w:b/>
                <w:bCs/>
              </w:rPr>
              <w:t>Information was incomplete or unavailable</w:t>
            </w:r>
          </w:p>
        </w:tc>
        <w:tc>
          <w:tcPr>
            <w:tcW w:w="987" w:type="dxa"/>
            <w:vAlign w:val="center"/>
          </w:tcPr>
          <w:p w14:paraId="3E86818A" w14:textId="4CDAA6FE" w:rsidR="00D91013" w:rsidRPr="00D91013" w:rsidRDefault="00D91013" w:rsidP="00637889">
            <w:pPr>
              <w:pStyle w:val="TableTextRight"/>
              <w:spacing w:before="30" w:after="30"/>
            </w:pPr>
            <w:r w:rsidRPr="00D91013">
              <w:t>61%</w:t>
            </w:r>
          </w:p>
        </w:tc>
        <w:tc>
          <w:tcPr>
            <w:tcW w:w="706" w:type="dxa"/>
            <w:tcBorders>
              <w:right w:val="single" w:sz="4" w:space="0" w:color="auto"/>
            </w:tcBorders>
            <w:vAlign w:val="center"/>
          </w:tcPr>
          <w:p w14:paraId="492455B0" w14:textId="7B454D50" w:rsidR="00D91013" w:rsidRPr="00D91013" w:rsidRDefault="00D91013" w:rsidP="00637889">
            <w:pPr>
              <w:pStyle w:val="TableTextRight"/>
              <w:spacing w:before="30" w:after="30"/>
            </w:pPr>
            <w:r w:rsidRPr="00D91013">
              <w:t>74%</w:t>
            </w:r>
          </w:p>
        </w:tc>
        <w:tc>
          <w:tcPr>
            <w:tcW w:w="987" w:type="dxa"/>
            <w:tcBorders>
              <w:left w:val="single" w:sz="4" w:space="0" w:color="auto"/>
            </w:tcBorders>
            <w:vAlign w:val="center"/>
          </w:tcPr>
          <w:p w14:paraId="11F81084" w14:textId="2CB3FD9C" w:rsidR="00D91013" w:rsidRPr="00D91013" w:rsidRDefault="00D91013" w:rsidP="00637889">
            <w:pPr>
              <w:pStyle w:val="TableTextRight"/>
              <w:spacing w:before="30" w:after="30"/>
            </w:pPr>
            <w:r w:rsidRPr="00D91013">
              <w:t>65%</w:t>
            </w:r>
          </w:p>
        </w:tc>
        <w:tc>
          <w:tcPr>
            <w:tcW w:w="987" w:type="dxa"/>
            <w:vAlign w:val="center"/>
          </w:tcPr>
          <w:p w14:paraId="749E47AE" w14:textId="101513C7" w:rsidR="00D91013" w:rsidRPr="00D91013" w:rsidRDefault="00D91013" w:rsidP="00637889">
            <w:pPr>
              <w:pStyle w:val="TableTextRight"/>
              <w:spacing w:before="30" w:after="30"/>
            </w:pPr>
            <w:r w:rsidRPr="00D91013">
              <w:t>72%</w:t>
            </w:r>
          </w:p>
        </w:tc>
        <w:tc>
          <w:tcPr>
            <w:tcW w:w="1410" w:type="dxa"/>
            <w:tcBorders>
              <w:right w:val="single" w:sz="4" w:space="0" w:color="auto"/>
            </w:tcBorders>
            <w:vAlign w:val="center"/>
          </w:tcPr>
          <w:p w14:paraId="7730D319" w14:textId="13A4856C" w:rsidR="00D91013" w:rsidRPr="00D91013" w:rsidRDefault="00D91013" w:rsidP="00637889">
            <w:pPr>
              <w:pStyle w:val="TableTextRight"/>
              <w:spacing w:before="30" w:after="30"/>
            </w:pPr>
            <w:r w:rsidRPr="00D91013">
              <w:t>63%</w:t>
            </w:r>
          </w:p>
        </w:tc>
        <w:tc>
          <w:tcPr>
            <w:tcW w:w="987" w:type="dxa"/>
            <w:tcBorders>
              <w:left w:val="single" w:sz="4" w:space="0" w:color="auto"/>
            </w:tcBorders>
            <w:vAlign w:val="center"/>
          </w:tcPr>
          <w:p w14:paraId="271F4DB6" w14:textId="299F48B1" w:rsidR="00D91013" w:rsidRPr="00D91013" w:rsidRDefault="00D91013" w:rsidP="00637889">
            <w:pPr>
              <w:pStyle w:val="TableTextRight"/>
              <w:spacing w:before="30" w:after="30"/>
            </w:pPr>
            <w:r w:rsidRPr="00D91013">
              <w:t>58%</w:t>
            </w:r>
          </w:p>
        </w:tc>
        <w:tc>
          <w:tcPr>
            <w:tcW w:w="1100" w:type="dxa"/>
            <w:vAlign w:val="center"/>
          </w:tcPr>
          <w:p w14:paraId="76F4FAAF" w14:textId="5EB47A94" w:rsidR="00D91013" w:rsidRPr="00D91013" w:rsidRDefault="00D91013" w:rsidP="00637889">
            <w:pPr>
              <w:pStyle w:val="TableTextRight"/>
              <w:spacing w:before="30" w:after="30"/>
            </w:pPr>
            <w:r w:rsidRPr="00D91013">
              <w:t>61%</w:t>
            </w:r>
          </w:p>
        </w:tc>
        <w:tc>
          <w:tcPr>
            <w:tcW w:w="1100" w:type="dxa"/>
            <w:vAlign w:val="center"/>
          </w:tcPr>
          <w:p w14:paraId="2F41F4ED" w14:textId="4CCF5628" w:rsidR="00D91013" w:rsidRPr="00D91013" w:rsidRDefault="00D91013" w:rsidP="00637889">
            <w:pPr>
              <w:pStyle w:val="TableTextRight"/>
              <w:spacing w:before="30" w:after="30"/>
            </w:pPr>
            <w:r w:rsidRPr="00D91013">
              <w:t>73%</w:t>
            </w:r>
          </w:p>
        </w:tc>
        <w:tc>
          <w:tcPr>
            <w:tcW w:w="1101" w:type="dxa"/>
            <w:tcBorders>
              <w:right w:val="single" w:sz="4" w:space="0" w:color="auto"/>
            </w:tcBorders>
            <w:vAlign w:val="center"/>
          </w:tcPr>
          <w:p w14:paraId="105DEA90" w14:textId="492926EE" w:rsidR="00D91013" w:rsidRPr="00D91013" w:rsidRDefault="00D91013" w:rsidP="00637889">
            <w:pPr>
              <w:pStyle w:val="TableTextRight"/>
              <w:spacing w:before="30" w:after="30"/>
            </w:pPr>
            <w:r w:rsidRPr="00D91013">
              <w:t>59%</w:t>
            </w:r>
          </w:p>
        </w:tc>
        <w:tc>
          <w:tcPr>
            <w:tcW w:w="709" w:type="dxa"/>
            <w:tcBorders>
              <w:left w:val="single" w:sz="4" w:space="0" w:color="auto"/>
            </w:tcBorders>
            <w:vAlign w:val="center"/>
          </w:tcPr>
          <w:p w14:paraId="7DFC4E35" w14:textId="4AC74F9A" w:rsidR="00D91013" w:rsidRPr="00D91013" w:rsidRDefault="00D91013" w:rsidP="00637889">
            <w:pPr>
              <w:pStyle w:val="TableTextRight"/>
              <w:spacing w:before="30" w:after="30"/>
            </w:pPr>
            <w:r w:rsidRPr="00D91013">
              <w:t>68%</w:t>
            </w:r>
          </w:p>
        </w:tc>
        <w:tc>
          <w:tcPr>
            <w:tcW w:w="926" w:type="dxa"/>
            <w:tcBorders>
              <w:right w:val="single" w:sz="4" w:space="0" w:color="auto"/>
            </w:tcBorders>
            <w:vAlign w:val="center"/>
          </w:tcPr>
          <w:p w14:paraId="5351346C" w14:textId="5B45AA4D" w:rsidR="00D91013" w:rsidRPr="00D91013" w:rsidRDefault="00D91013" w:rsidP="00637889">
            <w:pPr>
              <w:pStyle w:val="TableTextRight"/>
              <w:spacing w:before="30" w:after="30"/>
            </w:pPr>
            <w:r w:rsidRPr="00D91013">
              <w:t>65%</w:t>
            </w:r>
          </w:p>
        </w:tc>
        <w:tc>
          <w:tcPr>
            <w:tcW w:w="603" w:type="dxa"/>
            <w:tcBorders>
              <w:left w:val="single" w:sz="4" w:space="0" w:color="auto"/>
            </w:tcBorders>
            <w:vAlign w:val="center"/>
          </w:tcPr>
          <w:p w14:paraId="6D550619" w14:textId="1AA32045" w:rsidR="00D91013" w:rsidRPr="00D91013" w:rsidRDefault="00D91013" w:rsidP="00637889">
            <w:pPr>
              <w:pStyle w:val="TableTextRight"/>
              <w:spacing w:before="30" w:after="30"/>
              <w:rPr>
                <w:b/>
                <w:bCs/>
              </w:rPr>
            </w:pPr>
            <w:r w:rsidRPr="00D91013">
              <w:rPr>
                <w:b/>
                <w:bCs/>
              </w:rPr>
              <w:t>66%</w:t>
            </w:r>
          </w:p>
        </w:tc>
      </w:tr>
      <w:tr w:rsidR="00D91013" w:rsidRPr="00883271" w14:paraId="49B8FA0F" w14:textId="77777777" w:rsidTr="00637889">
        <w:trPr>
          <w:cnfStyle w:val="000000010000" w:firstRow="0" w:lastRow="0" w:firstColumn="0" w:lastColumn="0" w:oddVBand="0" w:evenVBand="0" w:oddHBand="0" w:evenHBand="1" w:firstRowFirstColumn="0" w:firstRowLastColumn="0" w:lastRowFirstColumn="0" w:lastRowLastColumn="0"/>
          <w:trHeight w:val="20"/>
          <w:jc w:val="center"/>
        </w:trPr>
        <w:tc>
          <w:tcPr>
            <w:tcW w:w="1975" w:type="dxa"/>
            <w:tcMar>
              <w:right w:w="0" w:type="dxa"/>
            </w:tcMar>
            <w:vAlign w:val="center"/>
          </w:tcPr>
          <w:p w14:paraId="0094DF47" w14:textId="7F19B7CD" w:rsidR="00D91013" w:rsidRPr="00D91013" w:rsidRDefault="00D91013" w:rsidP="00637889">
            <w:pPr>
              <w:pStyle w:val="TableTextLeft"/>
              <w:spacing w:before="30" w:after="30"/>
              <w:rPr>
                <w:b/>
                <w:bCs/>
              </w:rPr>
            </w:pPr>
            <w:r w:rsidRPr="00D91013">
              <w:rPr>
                <w:b/>
                <w:bCs/>
              </w:rPr>
              <w:t>Difficulties in navigating manufacturer portals or websites</w:t>
            </w:r>
          </w:p>
        </w:tc>
        <w:tc>
          <w:tcPr>
            <w:tcW w:w="987" w:type="dxa"/>
            <w:vAlign w:val="center"/>
          </w:tcPr>
          <w:p w14:paraId="6A4658C5" w14:textId="18AD3148" w:rsidR="00D91013" w:rsidRPr="00D91013" w:rsidRDefault="00D91013" w:rsidP="00637889">
            <w:pPr>
              <w:pStyle w:val="TableTextRight"/>
              <w:spacing w:before="30" w:after="30"/>
            </w:pPr>
            <w:r w:rsidRPr="00D91013">
              <w:t>64%</w:t>
            </w:r>
          </w:p>
        </w:tc>
        <w:tc>
          <w:tcPr>
            <w:tcW w:w="706" w:type="dxa"/>
            <w:tcBorders>
              <w:right w:val="single" w:sz="4" w:space="0" w:color="auto"/>
            </w:tcBorders>
            <w:vAlign w:val="center"/>
          </w:tcPr>
          <w:p w14:paraId="27C85D54" w14:textId="474849BC" w:rsidR="00D91013" w:rsidRPr="00D91013" w:rsidRDefault="00D91013" w:rsidP="00637889">
            <w:pPr>
              <w:pStyle w:val="TableTextRight"/>
              <w:spacing w:before="30" w:after="30"/>
            </w:pPr>
            <w:r w:rsidRPr="00D91013">
              <w:t>63%</w:t>
            </w:r>
          </w:p>
        </w:tc>
        <w:tc>
          <w:tcPr>
            <w:tcW w:w="987" w:type="dxa"/>
            <w:tcBorders>
              <w:left w:val="single" w:sz="4" w:space="0" w:color="auto"/>
            </w:tcBorders>
            <w:vAlign w:val="center"/>
          </w:tcPr>
          <w:p w14:paraId="4CB123B3" w14:textId="3B417C13" w:rsidR="00D91013" w:rsidRPr="00D91013" w:rsidRDefault="00D91013" w:rsidP="00637889">
            <w:pPr>
              <w:pStyle w:val="TableTextRight"/>
              <w:spacing w:before="30" w:after="30"/>
            </w:pPr>
            <w:r w:rsidRPr="00D91013">
              <w:t>65%</w:t>
            </w:r>
          </w:p>
        </w:tc>
        <w:tc>
          <w:tcPr>
            <w:tcW w:w="987" w:type="dxa"/>
            <w:vAlign w:val="center"/>
          </w:tcPr>
          <w:p w14:paraId="42B36F1B" w14:textId="5A41C961" w:rsidR="00D91013" w:rsidRPr="00D91013" w:rsidRDefault="00D91013" w:rsidP="00637889">
            <w:pPr>
              <w:pStyle w:val="TableTextRight"/>
              <w:spacing w:before="30" w:after="30"/>
            </w:pPr>
            <w:r w:rsidRPr="00D91013">
              <w:t>61%</w:t>
            </w:r>
          </w:p>
        </w:tc>
        <w:tc>
          <w:tcPr>
            <w:tcW w:w="1410" w:type="dxa"/>
            <w:tcBorders>
              <w:right w:val="single" w:sz="4" w:space="0" w:color="auto"/>
            </w:tcBorders>
            <w:vAlign w:val="center"/>
          </w:tcPr>
          <w:p w14:paraId="78BA39EB" w14:textId="28D77E55" w:rsidR="00D91013" w:rsidRPr="00D91013" w:rsidRDefault="00D91013" w:rsidP="00637889">
            <w:pPr>
              <w:pStyle w:val="TableTextRight"/>
              <w:spacing w:before="30" w:after="30"/>
            </w:pPr>
            <w:r w:rsidRPr="00D91013">
              <w:t>53%</w:t>
            </w:r>
          </w:p>
        </w:tc>
        <w:tc>
          <w:tcPr>
            <w:tcW w:w="987" w:type="dxa"/>
            <w:tcBorders>
              <w:left w:val="single" w:sz="4" w:space="0" w:color="auto"/>
            </w:tcBorders>
            <w:vAlign w:val="center"/>
          </w:tcPr>
          <w:p w14:paraId="1B4CE7C8" w14:textId="6E165286" w:rsidR="00D91013" w:rsidRPr="00D91013" w:rsidRDefault="00D91013" w:rsidP="00637889">
            <w:pPr>
              <w:pStyle w:val="TableTextRight"/>
              <w:spacing w:before="30" w:after="30"/>
            </w:pPr>
            <w:r w:rsidRPr="00D91013">
              <w:t>35%</w:t>
            </w:r>
          </w:p>
        </w:tc>
        <w:tc>
          <w:tcPr>
            <w:tcW w:w="1100" w:type="dxa"/>
            <w:vAlign w:val="center"/>
          </w:tcPr>
          <w:p w14:paraId="70649D6C" w14:textId="6968E21A" w:rsidR="00D91013" w:rsidRPr="00D91013" w:rsidRDefault="00D91013" w:rsidP="00637889">
            <w:pPr>
              <w:pStyle w:val="TableTextRight"/>
              <w:spacing w:before="30" w:after="30"/>
            </w:pPr>
            <w:r w:rsidRPr="00D91013">
              <w:t>71%</w:t>
            </w:r>
          </w:p>
        </w:tc>
        <w:tc>
          <w:tcPr>
            <w:tcW w:w="1100" w:type="dxa"/>
            <w:vAlign w:val="center"/>
          </w:tcPr>
          <w:p w14:paraId="5EF83A29" w14:textId="77B6F05C" w:rsidR="00D91013" w:rsidRPr="00D91013" w:rsidRDefault="00D91013" w:rsidP="00637889">
            <w:pPr>
              <w:pStyle w:val="TableTextRight"/>
              <w:spacing w:before="30" w:after="30"/>
            </w:pPr>
            <w:r w:rsidRPr="00D91013">
              <w:t>66%</w:t>
            </w:r>
          </w:p>
        </w:tc>
        <w:tc>
          <w:tcPr>
            <w:tcW w:w="1101" w:type="dxa"/>
            <w:tcBorders>
              <w:right w:val="single" w:sz="4" w:space="0" w:color="auto"/>
            </w:tcBorders>
            <w:vAlign w:val="center"/>
          </w:tcPr>
          <w:p w14:paraId="73DC0F88" w14:textId="402FEF5C" w:rsidR="00D91013" w:rsidRPr="00D91013" w:rsidRDefault="00D91013" w:rsidP="00637889">
            <w:pPr>
              <w:pStyle w:val="TableTextRight"/>
              <w:spacing w:before="30" w:after="30"/>
            </w:pPr>
            <w:r w:rsidRPr="00D91013">
              <w:t>52%</w:t>
            </w:r>
          </w:p>
        </w:tc>
        <w:tc>
          <w:tcPr>
            <w:tcW w:w="709" w:type="dxa"/>
            <w:tcBorders>
              <w:left w:val="single" w:sz="4" w:space="0" w:color="auto"/>
            </w:tcBorders>
            <w:vAlign w:val="center"/>
          </w:tcPr>
          <w:p w14:paraId="5C4CD009" w14:textId="09FE72AB" w:rsidR="00D91013" w:rsidRPr="00D91013" w:rsidRDefault="00D91013" w:rsidP="00637889">
            <w:pPr>
              <w:pStyle w:val="TableTextRight"/>
              <w:spacing w:before="30" w:after="30"/>
            </w:pPr>
            <w:r w:rsidRPr="00D91013">
              <w:t>62%</w:t>
            </w:r>
          </w:p>
        </w:tc>
        <w:tc>
          <w:tcPr>
            <w:tcW w:w="926" w:type="dxa"/>
            <w:tcBorders>
              <w:right w:val="single" w:sz="4" w:space="0" w:color="auto"/>
            </w:tcBorders>
            <w:vAlign w:val="center"/>
          </w:tcPr>
          <w:p w14:paraId="09D5DE63" w14:textId="0181C039" w:rsidR="00D91013" w:rsidRPr="00D91013" w:rsidRDefault="00D91013" w:rsidP="00637889">
            <w:pPr>
              <w:pStyle w:val="TableTextRight"/>
              <w:spacing w:before="30" w:after="30"/>
            </w:pPr>
            <w:r w:rsidRPr="00D91013">
              <w:t>63%</w:t>
            </w:r>
          </w:p>
        </w:tc>
        <w:tc>
          <w:tcPr>
            <w:tcW w:w="603" w:type="dxa"/>
            <w:tcBorders>
              <w:left w:val="single" w:sz="4" w:space="0" w:color="auto"/>
            </w:tcBorders>
            <w:vAlign w:val="center"/>
          </w:tcPr>
          <w:p w14:paraId="6CC12BC4" w14:textId="69B803BA" w:rsidR="00D91013" w:rsidRPr="00D91013" w:rsidRDefault="00D91013" w:rsidP="00637889">
            <w:pPr>
              <w:pStyle w:val="TableTextRight"/>
              <w:spacing w:before="30" w:after="30"/>
              <w:rPr>
                <w:b/>
                <w:bCs/>
              </w:rPr>
            </w:pPr>
            <w:r w:rsidRPr="00D91013">
              <w:rPr>
                <w:b/>
                <w:bCs/>
              </w:rPr>
              <w:t>63%</w:t>
            </w:r>
          </w:p>
        </w:tc>
      </w:tr>
      <w:tr w:rsidR="00D91013" w:rsidRPr="00883271" w14:paraId="3C20E8AC" w14:textId="77777777" w:rsidTr="00637889">
        <w:trPr>
          <w:cnfStyle w:val="000000100000" w:firstRow="0" w:lastRow="0" w:firstColumn="0" w:lastColumn="0" w:oddVBand="0" w:evenVBand="0" w:oddHBand="1" w:evenHBand="0" w:firstRowFirstColumn="0" w:firstRowLastColumn="0" w:lastRowFirstColumn="0" w:lastRowLastColumn="0"/>
          <w:trHeight w:val="20"/>
          <w:jc w:val="center"/>
        </w:trPr>
        <w:tc>
          <w:tcPr>
            <w:tcW w:w="1975" w:type="dxa"/>
            <w:tcMar>
              <w:right w:w="0" w:type="dxa"/>
            </w:tcMar>
            <w:vAlign w:val="center"/>
          </w:tcPr>
          <w:p w14:paraId="68604FFB" w14:textId="5373D92D" w:rsidR="00D91013" w:rsidRPr="00D91013" w:rsidRDefault="00D91013" w:rsidP="00637889">
            <w:pPr>
              <w:pStyle w:val="TableTextLeft"/>
              <w:spacing w:before="30" w:after="30"/>
              <w:rPr>
                <w:b/>
                <w:bCs/>
              </w:rPr>
            </w:pPr>
            <w:r w:rsidRPr="00D91013">
              <w:rPr>
                <w:b/>
                <w:bCs/>
              </w:rPr>
              <w:t>Cost to access the information was too high</w:t>
            </w:r>
          </w:p>
        </w:tc>
        <w:tc>
          <w:tcPr>
            <w:tcW w:w="987" w:type="dxa"/>
            <w:vAlign w:val="center"/>
          </w:tcPr>
          <w:p w14:paraId="51E92F0B" w14:textId="1E5F7A27" w:rsidR="00D91013" w:rsidRPr="00D91013" w:rsidRDefault="00D91013" w:rsidP="00637889">
            <w:pPr>
              <w:pStyle w:val="TableTextRight"/>
              <w:spacing w:before="30" w:after="30"/>
            </w:pPr>
            <w:r w:rsidRPr="00D91013">
              <w:t>66%</w:t>
            </w:r>
          </w:p>
        </w:tc>
        <w:tc>
          <w:tcPr>
            <w:tcW w:w="706" w:type="dxa"/>
            <w:tcBorders>
              <w:right w:val="single" w:sz="4" w:space="0" w:color="auto"/>
            </w:tcBorders>
            <w:vAlign w:val="center"/>
          </w:tcPr>
          <w:p w14:paraId="79BE912F" w14:textId="4FDDE5BC" w:rsidR="00D91013" w:rsidRPr="00D91013" w:rsidRDefault="00D91013" w:rsidP="00637889">
            <w:pPr>
              <w:pStyle w:val="TableTextRight"/>
              <w:spacing w:before="30" w:after="30"/>
            </w:pPr>
            <w:r w:rsidRPr="00D91013">
              <w:t>55%</w:t>
            </w:r>
          </w:p>
        </w:tc>
        <w:tc>
          <w:tcPr>
            <w:tcW w:w="987" w:type="dxa"/>
            <w:tcBorders>
              <w:left w:val="single" w:sz="4" w:space="0" w:color="auto"/>
            </w:tcBorders>
            <w:vAlign w:val="center"/>
          </w:tcPr>
          <w:p w14:paraId="1ED4B043" w14:textId="0EC346A6" w:rsidR="00D91013" w:rsidRPr="00D91013" w:rsidRDefault="00D91013" w:rsidP="00637889">
            <w:pPr>
              <w:pStyle w:val="TableTextRight"/>
              <w:spacing w:before="30" w:after="30"/>
            </w:pPr>
            <w:r w:rsidRPr="00D91013">
              <w:t>61%</w:t>
            </w:r>
          </w:p>
        </w:tc>
        <w:tc>
          <w:tcPr>
            <w:tcW w:w="987" w:type="dxa"/>
            <w:vAlign w:val="center"/>
          </w:tcPr>
          <w:p w14:paraId="607ABB4D" w14:textId="747A109D" w:rsidR="00D91013" w:rsidRPr="00D91013" w:rsidRDefault="00D91013" w:rsidP="00637889">
            <w:pPr>
              <w:pStyle w:val="TableTextRight"/>
              <w:spacing w:before="30" w:after="30"/>
            </w:pPr>
            <w:r w:rsidRPr="00D91013">
              <w:t>72%</w:t>
            </w:r>
          </w:p>
        </w:tc>
        <w:tc>
          <w:tcPr>
            <w:tcW w:w="1410" w:type="dxa"/>
            <w:tcBorders>
              <w:right w:val="single" w:sz="4" w:space="0" w:color="auto"/>
            </w:tcBorders>
            <w:vAlign w:val="center"/>
          </w:tcPr>
          <w:p w14:paraId="5F706551" w14:textId="09DC4DBA" w:rsidR="00D91013" w:rsidRPr="00D91013" w:rsidRDefault="00D91013" w:rsidP="00637889">
            <w:pPr>
              <w:pStyle w:val="TableTextRight"/>
              <w:spacing w:before="30" w:after="30"/>
            </w:pPr>
            <w:r w:rsidRPr="00D91013">
              <w:t>47%</w:t>
            </w:r>
          </w:p>
        </w:tc>
        <w:tc>
          <w:tcPr>
            <w:tcW w:w="987" w:type="dxa"/>
            <w:tcBorders>
              <w:left w:val="single" w:sz="4" w:space="0" w:color="auto"/>
            </w:tcBorders>
            <w:vAlign w:val="center"/>
          </w:tcPr>
          <w:p w14:paraId="75EBC74A" w14:textId="639E8141" w:rsidR="00D91013" w:rsidRPr="00D91013" w:rsidRDefault="00D91013" w:rsidP="00637889">
            <w:pPr>
              <w:pStyle w:val="TableTextRight"/>
              <w:spacing w:before="30" w:after="30"/>
            </w:pPr>
            <w:r w:rsidRPr="00D91013">
              <w:t>65%</w:t>
            </w:r>
          </w:p>
        </w:tc>
        <w:tc>
          <w:tcPr>
            <w:tcW w:w="1100" w:type="dxa"/>
            <w:vAlign w:val="center"/>
          </w:tcPr>
          <w:p w14:paraId="71494D2D" w14:textId="52D18CA7" w:rsidR="00D91013" w:rsidRPr="00D91013" w:rsidRDefault="00D91013" w:rsidP="00637889">
            <w:pPr>
              <w:pStyle w:val="TableTextRight"/>
              <w:spacing w:before="30" w:after="30"/>
            </w:pPr>
            <w:r w:rsidRPr="00D91013">
              <w:t>66%</w:t>
            </w:r>
          </w:p>
        </w:tc>
        <w:tc>
          <w:tcPr>
            <w:tcW w:w="1100" w:type="dxa"/>
            <w:vAlign w:val="center"/>
          </w:tcPr>
          <w:p w14:paraId="2422BBBF" w14:textId="4C0DCE0A" w:rsidR="00D91013" w:rsidRPr="00D91013" w:rsidRDefault="00D91013" w:rsidP="00637889">
            <w:pPr>
              <w:pStyle w:val="TableTextRight"/>
              <w:spacing w:before="30" w:after="30"/>
            </w:pPr>
            <w:r w:rsidRPr="00D91013">
              <w:t>59%</w:t>
            </w:r>
          </w:p>
        </w:tc>
        <w:tc>
          <w:tcPr>
            <w:tcW w:w="1101" w:type="dxa"/>
            <w:tcBorders>
              <w:right w:val="single" w:sz="4" w:space="0" w:color="auto"/>
            </w:tcBorders>
            <w:vAlign w:val="center"/>
          </w:tcPr>
          <w:p w14:paraId="638966BA" w14:textId="48A63AA3" w:rsidR="00D91013" w:rsidRPr="00D91013" w:rsidRDefault="00D91013" w:rsidP="00637889">
            <w:pPr>
              <w:pStyle w:val="TableTextRight"/>
              <w:spacing w:before="30" w:after="30"/>
            </w:pPr>
            <w:r w:rsidRPr="00D91013">
              <w:t>48%</w:t>
            </w:r>
          </w:p>
        </w:tc>
        <w:tc>
          <w:tcPr>
            <w:tcW w:w="709" w:type="dxa"/>
            <w:tcBorders>
              <w:left w:val="single" w:sz="4" w:space="0" w:color="auto"/>
            </w:tcBorders>
            <w:vAlign w:val="center"/>
          </w:tcPr>
          <w:p w14:paraId="2936CD55" w14:textId="2C24535C" w:rsidR="00D91013" w:rsidRPr="00D91013" w:rsidRDefault="00D91013" w:rsidP="00637889">
            <w:pPr>
              <w:pStyle w:val="TableTextRight"/>
              <w:spacing w:before="30" w:after="30"/>
            </w:pPr>
            <w:r w:rsidRPr="00D91013">
              <w:t>65%</w:t>
            </w:r>
          </w:p>
        </w:tc>
        <w:tc>
          <w:tcPr>
            <w:tcW w:w="926" w:type="dxa"/>
            <w:tcBorders>
              <w:right w:val="single" w:sz="4" w:space="0" w:color="auto"/>
            </w:tcBorders>
            <w:vAlign w:val="center"/>
          </w:tcPr>
          <w:p w14:paraId="366FEE9A" w14:textId="089EC997" w:rsidR="00D91013" w:rsidRPr="00D91013" w:rsidRDefault="00D91013" w:rsidP="00637889">
            <w:pPr>
              <w:pStyle w:val="TableTextRight"/>
              <w:spacing w:before="30" w:after="30"/>
            </w:pPr>
            <w:r w:rsidRPr="00D91013">
              <w:t>55%</w:t>
            </w:r>
          </w:p>
        </w:tc>
        <w:tc>
          <w:tcPr>
            <w:tcW w:w="603" w:type="dxa"/>
            <w:tcBorders>
              <w:left w:val="single" w:sz="4" w:space="0" w:color="auto"/>
            </w:tcBorders>
            <w:vAlign w:val="center"/>
          </w:tcPr>
          <w:p w14:paraId="7F2150AD" w14:textId="4EA85F2D" w:rsidR="00D91013" w:rsidRPr="00D91013" w:rsidRDefault="00D91013" w:rsidP="00637889">
            <w:pPr>
              <w:pStyle w:val="TableTextRight"/>
              <w:spacing w:before="30" w:after="30"/>
              <w:rPr>
                <w:b/>
                <w:bCs/>
              </w:rPr>
            </w:pPr>
            <w:r w:rsidRPr="00D91013">
              <w:rPr>
                <w:b/>
                <w:bCs/>
              </w:rPr>
              <w:t>61%</w:t>
            </w:r>
          </w:p>
        </w:tc>
      </w:tr>
      <w:tr w:rsidR="00D91013" w:rsidRPr="00883271" w14:paraId="6C3F74E9" w14:textId="77777777" w:rsidTr="00637889">
        <w:trPr>
          <w:cnfStyle w:val="000000010000" w:firstRow="0" w:lastRow="0" w:firstColumn="0" w:lastColumn="0" w:oddVBand="0" w:evenVBand="0" w:oddHBand="0" w:evenHBand="1" w:firstRowFirstColumn="0" w:firstRowLastColumn="0" w:lastRowFirstColumn="0" w:lastRowLastColumn="0"/>
          <w:trHeight w:val="20"/>
          <w:jc w:val="center"/>
        </w:trPr>
        <w:tc>
          <w:tcPr>
            <w:tcW w:w="1975" w:type="dxa"/>
            <w:tcMar>
              <w:right w:w="0" w:type="dxa"/>
            </w:tcMar>
            <w:vAlign w:val="center"/>
          </w:tcPr>
          <w:p w14:paraId="6F4BBA46" w14:textId="2C581977" w:rsidR="00D91013" w:rsidRPr="00D91013" w:rsidRDefault="00D91013" w:rsidP="00637889">
            <w:pPr>
              <w:pStyle w:val="TableTextLeft"/>
              <w:spacing w:before="30" w:after="30"/>
              <w:rPr>
                <w:b/>
                <w:bCs/>
              </w:rPr>
            </w:pPr>
            <w:r w:rsidRPr="00D91013">
              <w:rPr>
                <w:b/>
                <w:bCs/>
              </w:rPr>
              <w:t>Difficulty in meeting safety or security requirements</w:t>
            </w:r>
          </w:p>
        </w:tc>
        <w:tc>
          <w:tcPr>
            <w:tcW w:w="987" w:type="dxa"/>
            <w:vAlign w:val="center"/>
          </w:tcPr>
          <w:p w14:paraId="4735FE53" w14:textId="4AD5B515" w:rsidR="00D91013" w:rsidRPr="00D91013" w:rsidRDefault="00D91013" w:rsidP="00637889">
            <w:pPr>
              <w:pStyle w:val="TableTextRight"/>
              <w:spacing w:before="30" w:after="30"/>
            </w:pPr>
            <w:r w:rsidRPr="00D91013">
              <w:t>24%</w:t>
            </w:r>
          </w:p>
        </w:tc>
        <w:tc>
          <w:tcPr>
            <w:tcW w:w="706" w:type="dxa"/>
            <w:tcBorders>
              <w:right w:val="single" w:sz="4" w:space="0" w:color="auto"/>
            </w:tcBorders>
            <w:vAlign w:val="center"/>
          </w:tcPr>
          <w:p w14:paraId="7D6A8965" w14:textId="0390D215" w:rsidR="00D91013" w:rsidRPr="00D91013" w:rsidRDefault="00D91013" w:rsidP="00637889">
            <w:pPr>
              <w:pStyle w:val="TableTextRight"/>
              <w:spacing w:before="30" w:after="30"/>
            </w:pPr>
            <w:r w:rsidRPr="00D91013">
              <w:t>29%</w:t>
            </w:r>
          </w:p>
        </w:tc>
        <w:tc>
          <w:tcPr>
            <w:tcW w:w="987" w:type="dxa"/>
            <w:tcBorders>
              <w:left w:val="single" w:sz="4" w:space="0" w:color="auto"/>
            </w:tcBorders>
            <w:vAlign w:val="center"/>
          </w:tcPr>
          <w:p w14:paraId="7B25E053" w14:textId="65D80EDF" w:rsidR="00D91013" w:rsidRPr="00D91013" w:rsidRDefault="00D91013" w:rsidP="00637889">
            <w:pPr>
              <w:pStyle w:val="TableTextRight"/>
              <w:spacing w:before="30" w:after="30"/>
            </w:pPr>
            <w:r w:rsidRPr="00D91013">
              <w:t>29%</w:t>
            </w:r>
          </w:p>
        </w:tc>
        <w:tc>
          <w:tcPr>
            <w:tcW w:w="987" w:type="dxa"/>
            <w:vAlign w:val="center"/>
          </w:tcPr>
          <w:p w14:paraId="771BBB12" w14:textId="2CBF7766" w:rsidR="00D91013" w:rsidRPr="00D91013" w:rsidRDefault="00D91013" w:rsidP="00637889">
            <w:pPr>
              <w:pStyle w:val="TableTextRight"/>
              <w:spacing w:before="30" w:after="30"/>
            </w:pPr>
            <w:r w:rsidRPr="00D91013">
              <w:t>28%</w:t>
            </w:r>
          </w:p>
        </w:tc>
        <w:tc>
          <w:tcPr>
            <w:tcW w:w="1410" w:type="dxa"/>
            <w:tcBorders>
              <w:right w:val="single" w:sz="4" w:space="0" w:color="auto"/>
            </w:tcBorders>
            <w:vAlign w:val="center"/>
          </w:tcPr>
          <w:p w14:paraId="7DE4A988" w14:textId="48545D98" w:rsidR="00D91013" w:rsidRPr="00D91013" w:rsidRDefault="00D91013" w:rsidP="00637889">
            <w:pPr>
              <w:pStyle w:val="TableTextRight"/>
              <w:spacing w:before="30" w:after="30"/>
            </w:pPr>
            <w:r w:rsidRPr="00D91013">
              <w:t>13%</w:t>
            </w:r>
          </w:p>
        </w:tc>
        <w:tc>
          <w:tcPr>
            <w:tcW w:w="987" w:type="dxa"/>
            <w:tcBorders>
              <w:left w:val="single" w:sz="4" w:space="0" w:color="auto"/>
            </w:tcBorders>
            <w:vAlign w:val="center"/>
          </w:tcPr>
          <w:p w14:paraId="4848BA52" w14:textId="67976C61" w:rsidR="00D91013" w:rsidRPr="00D91013" w:rsidRDefault="00D91013" w:rsidP="00637889">
            <w:pPr>
              <w:pStyle w:val="TableTextRight"/>
              <w:spacing w:before="30" w:after="30"/>
            </w:pPr>
            <w:r w:rsidRPr="00D91013">
              <w:t>35%</w:t>
            </w:r>
          </w:p>
        </w:tc>
        <w:tc>
          <w:tcPr>
            <w:tcW w:w="1100" w:type="dxa"/>
            <w:vAlign w:val="center"/>
          </w:tcPr>
          <w:p w14:paraId="2920B5A1" w14:textId="3725AF1D" w:rsidR="00D91013" w:rsidRPr="00D91013" w:rsidRDefault="00D91013" w:rsidP="00637889">
            <w:pPr>
              <w:pStyle w:val="TableTextRight"/>
              <w:spacing w:before="30" w:after="30"/>
            </w:pPr>
            <w:r w:rsidRPr="00D91013">
              <w:t>25%</w:t>
            </w:r>
          </w:p>
        </w:tc>
        <w:tc>
          <w:tcPr>
            <w:tcW w:w="1100" w:type="dxa"/>
            <w:vAlign w:val="center"/>
          </w:tcPr>
          <w:p w14:paraId="66E4B328" w14:textId="3BBBB843" w:rsidR="00D91013" w:rsidRPr="00D91013" w:rsidRDefault="00D91013" w:rsidP="00637889">
            <w:pPr>
              <w:pStyle w:val="TableTextRight"/>
              <w:spacing w:before="30" w:after="30"/>
            </w:pPr>
            <w:r w:rsidRPr="00D91013">
              <w:t>26%</w:t>
            </w:r>
          </w:p>
        </w:tc>
        <w:tc>
          <w:tcPr>
            <w:tcW w:w="1101" w:type="dxa"/>
            <w:tcBorders>
              <w:right w:val="single" w:sz="4" w:space="0" w:color="auto"/>
            </w:tcBorders>
            <w:vAlign w:val="center"/>
          </w:tcPr>
          <w:p w14:paraId="6EBA0548" w14:textId="2B98BC2E" w:rsidR="00D91013" w:rsidRPr="00D91013" w:rsidRDefault="00D91013" w:rsidP="00637889">
            <w:pPr>
              <w:pStyle w:val="TableTextRight"/>
              <w:spacing w:before="30" w:after="30"/>
            </w:pPr>
            <w:r w:rsidRPr="00D91013">
              <w:t>30%</w:t>
            </w:r>
          </w:p>
        </w:tc>
        <w:tc>
          <w:tcPr>
            <w:tcW w:w="709" w:type="dxa"/>
            <w:tcBorders>
              <w:left w:val="single" w:sz="4" w:space="0" w:color="auto"/>
            </w:tcBorders>
            <w:vAlign w:val="center"/>
          </w:tcPr>
          <w:p w14:paraId="71698FBE" w14:textId="1D780263" w:rsidR="00D91013" w:rsidRPr="00D91013" w:rsidRDefault="00D91013" w:rsidP="00637889">
            <w:pPr>
              <w:pStyle w:val="TableTextRight"/>
              <w:spacing w:before="30" w:after="30"/>
            </w:pPr>
            <w:r w:rsidRPr="00D91013">
              <w:t>24%</w:t>
            </w:r>
          </w:p>
        </w:tc>
        <w:tc>
          <w:tcPr>
            <w:tcW w:w="926" w:type="dxa"/>
            <w:tcBorders>
              <w:right w:val="single" w:sz="4" w:space="0" w:color="auto"/>
            </w:tcBorders>
            <w:vAlign w:val="center"/>
          </w:tcPr>
          <w:p w14:paraId="79BC5E23" w14:textId="200042FE" w:rsidR="00D91013" w:rsidRPr="00D91013" w:rsidRDefault="00D91013" w:rsidP="00637889">
            <w:pPr>
              <w:pStyle w:val="TableTextRight"/>
              <w:spacing w:before="30" w:after="30"/>
            </w:pPr>
            <w:r w:rsidRPr="00D91013">
              <w:t>30%</w:t>
            </w:r>
          </w:p>
        </w:tc>
        <w:tc>
          <w:tcPr>
            <w:tcW w:w="603" w:type="dxa"/>
            <w:tcBorders>
              <w:left w:val="single" w:sz="4" w:space="0" w:color="auto"/>
            </w:tcBorders>
            <w:vAlign w:val="center"/>
          </w:tcPr>
          <w:p w14:paraId="4A745721" w14:textId="4516D880" w:rsidR="00D91013" w:rsidRPr="00D91013" w:rsidRDefault="00D91013" w:rsidP="00637889">
            <w:pPr>
              <w:pStyle w:val="TableTextRight"/>
              <w:spacing w:before="30" w:after="30"/>
              <w:rPr>
                <w:b/>
                <w:bCs/>
              </w:rPr>
            </w:pPr>
            <w:r w:rsidRPr="00D91013">
              <w:rPr>
                <w:b/>
                <w:bCs/>
              </w:rPr>
              <w:t>27%</w:t>
            </w:r>
          </w:p>
        </w:tc>
      </w:tr>
      <w:tr w:rsidR="00D91013" w:rsidRPr="00883271" w14:paraId="6A93794B" w14:textId="77777777" w:rsidTr="00637889">
        <w:trPr>
          <w:cnfStyle w:val="000000100000" w:firstRow="0" w:lastRow="0" w:firstColumn="0" w:lastColumn="0" w:oddVBand="0" w:evenVBand="0" w:oddHBand="1" w:evenHBand="0" w:firstRowFirstColumn="0" w:firstRowLastColumn="0" w:lastRowFirstColumn="0" w:lastRowLastColumn="0"/>
          <w:trHeight w:val="20"/>
          <w:jc w:val="center"/>
        </w:trPr>
        <w:tc>
          <w:tcPr>
            <w:tcW w:w="1975" w:type="dxa"/>
            <w:tcMar>
              <w:right w:w="0" w:type="dxa"/>
            </w:tcMar>
            <w:vAlign w:val="center"/>
          </w:tcPr>
          <w:p w14:paraId="53C64418" w14:textId="46E37242" w:rsidR="00D91013" w:rsidRPr="00D91013" w:rsidRDefault="00D91013" w:rsidP="00637889">
            <w:pPr>
              <w:pStyle w:val="TableTextLeft"/>
              <w:spacing w:before="30" w:after="30"/>
              <w:rPr>
                <w:b/>
                <w:bCs/>
              </w:rPr>
            </w:pPr>
            <w:r w:rsidRPr="00D91013">
              <w:rPr>
                <w:b/>
                <w:bCs/>
              </w:rPr>
              <w:t>Don't know / Prefer not to</w:t>
            </w:r>
            <w:r w:rsidR="00637889">
              <w:rPr>
                <w:b/>
                <w:bCs/>
              </w:rPr>
              <w:t> </w:t>
            </w:r>
            <w:r w:rsidRPr="00D91013">
              <w:rPr>
                <w:b/>
                <w:bCs/>
              </w:rPr>
              <w:t>say</w:t>
            </w:r>
          </w:p>
        </w:tc>
        <w:tc>
          <w:tcPr>
            <w:tcW w:w="987" w:type="dxa"/>
            <w:vAlign w:val="center"/>
          </w:tcPr>
          <w:p w14:paraId="782F3EFB" w14:textId="7937F396" w:rsidR="00D91013" w:rsidRPr="00D91013" w:rsidRDefault="00D91013" w:rsidP="00637889">
            <w:pPr>
              <w:pStyle w:val="TableTextRight"/>
              <w:spacing w:before="30" w:after="30"/>
            </w:pPr>
            <w:r w:rsidRPr="00D91013">
              <w:t>1%</w:t>
            </w:r>
          </w:p>
        </w:tc>
        <w:tc>
          <w:tcPr>
            <w:tcW w:w="706" w:type="dxa"/>
            <w:tcBorders>
              <w:right w:val="single" w:sz="4" w:space="0" w:color="auto"/>
            </w:tcBorders>
            <w:vAlign w:val="center"/>
          </w:tcPr>
          <w:p w14:paraId="47902376" w14:textId="7288C8BC" w:rsidR="00D91013" w:rsidRPr="00D91013" w:rsidRDefault="00D91013" w:rsidP="00637889">
            <w:pPr>
              <w:pStyle w:val="TableTextRight"/>
              <w:spacing w:before="30" w:after="30"/>
            </w:pPr>
            <w:r w:rsidRPr="00D91013">
              <w:t>1%</w:t>
            </w:r>
          </w:p>
        </w:tc>
        <w:tc>
          <w:tcPr>
            <w:tcW w:w="987" w:type="dxa"/>
            <w:tcBorders>
              <w:left w:val="single" w:sz="4" w:space="0" w:color="auto"/>
            </w:tcBorders>
            <w:vAlign w:val="center"/>
          </w:tcPr>
          <w:p w14:paraId="7FAD3E81" w14:textId="0489CF42" w:rsidR="00D91013" w:rsidRPr="00D91013" w:rsidRDefault="00D91013" w:rsidP="00637889">
            <w:pPr>
              <w:pStyle w:val="TableTextRight"/>
              <w:spacing w:before="30" w:after="30"/>
            </w:pPr>
            <w:r w:rsidRPr="00D91013">
              <w:t>1%</w:t>
            </w:r>
          </w:p>
        </w:tc>
        <w:tc>
          <w:tcPr>
            <w:tcW w:w="987" w:type="dxa"/>
            <w:vAlign w:val="center"/>
          </w:tcPr>
          <w:p w14:paraId="3443D67F" w14:textId="35E0CD4D" w:rsidR="00D91013" w:rsidRPr="00D91013" w:rsidRDefault="00D91013" w:rsidP="00637889">
            <w:pPr>
              <w:pStyle w:val="TableTextRight"/>
              <w:spacing w:before="30" w:after="30"/>
            </w:pPr>
            <w:r w:rsidRPr="00D91013">
              <w:t>0%</w:t>
            </w:r>
          </w:p>
        </w:tc>
        <w:tc>
          <w:tcPr>
            <w:tcW w:w="1410" w:type="dxa"/>
            <w:tcBorders>
              <w:right w:val="single" w:sz="4" w:space="0" w:color="auto"/>
            </w:tcBorders>
            <w:vAlign w:val="center"/>
          </w:tcPr>
          <w:p w14:paraId="298894E3" w14:textId="0C30D0E7" w:rsidR="00D91013" w:rsidRPr="00D91013" w:rsidRDefault="00D91013" w:rsidP="00637889">
            <w:pPr>
              <w:pStyle w:val="TableTextRight"/>
              <w:spacing w:before="30" w:after="30"/>
            </w:pPr>
            <w:r w:rsidRPr="00D91013">
              <w:t>3%</w:t>
            </w:r>
          </w:p>
        </w:tc>
        <w:tc>
          <w:tcPr>
            <w:tcW w:w="987" w:type="dxa"/>
            <w:tcBorders>
              <w:left w:val="single" w:sz="4" w:space="0" w:color="auto"/>
            </w:tcBorders>
            <w:vAlign w:val="center"/>
          </w:tcPr>
          <w:p w14:paraId="77C49EA1" w14:textId="47CADDCC" w:rsidR="00D91013" w:rsidRPr="00D91013" w:rsidRDefault="00D91013" w:rsidP="00637889">
            <w:pPr>
              <w:pStyle w:val="TableTextRight"/>
              <w:spacing w:before="30" w:after="30"/>
            </w:pPr>
            <w:r w:rsidRPr="00D91013">
              <w:t>4%</w:t>
            </w:r>
          </w:p>
        </w:tc>
        <w:tc>
          <w:tcPr>
            <w:tcW w:w="1100" w:type="dxa"/>
            <w:vAlign w:val="center"/>
          </w:tcPr>
          <w:p w14:paraId="4D068258" w14:textId="4CABB792" w:rsidR="00D91013" w:rsidRPr="00D91013" w:rsidRDefault="00D91013" w:rsidP="00637889">
            <w:pPr>
              <w:pStyle w:val="TableTextRight"/>
              <w:spacing w:before="30" w:after="30"/>
            </w:pPr>
            <w:r w:rsidRPr="00D91013">
              <w:t>0%</w:t>
            </w:r>
          </w:p>
        </w:tc>
        <w:tc>
          <w:tcPr>
            <w:tcW w:w="1100" w:type="dxa"/>
            <w:vAlign w:val="center"/>
          </w:tcPr>
          <w:p w14:paraId="0DC34D8D" w14:textId="72AE3B6C" w:rsidR="00D91013" w:rsidRPr="00D91013" w:rsidRDefault="00D91013" w:rsidP="00637889">
            <w:pPr>
              <w:pStyle w:val="TableTextRight"/>
              <w:spacing w:before="30" w:after="30"/>
            </w:pPr>
            <w:r w:rsidRPr="00D91013">
              <w:t>1%</w:t>
            </w:r>
          </w:p>
        </w:tc>
        <w:tc>
          <w:tcPr>
            <w:tcW w:w="1101" w:type="dxa"/>
            <w:tcBorders>
              <w:right w:val="single" w:sz="4" w:space="0" w:color="auto"/>
            </w:tcBorders>
            <w:vAlign w:val="center"/>
          </w:tcPr>
          <w:p w14:paraId="1882DD10" w14:textId="212A80D8" w:rsidR="00D91013" w:rsidRPr="00D91013" w:rsidRDefault="00D91013" w:rsidP="00637889">
            <w:pPr>
              <w:pStyle w:val="TableTextRight"/>
              <w:spacing w:before="30" w:after="30"/>
            </w:pPr>
            <w:r w:rsidRPr="00D91013">
              <w:t>0%</w:t>
            </w:r>
          </w:p>
        </w:tc>
        <w:tc>
          <w:tcPr>
            <w:tcW w:w="709" w:type="dxa"/>
            <w:tcBorders>
              <w:left w:val="single" w:sz="4" w:space="0" w:color="auto"/>
            </w:tcBorders>
            <w:vAlign w:val="center"/>
          </w:tcPr>
          <w:p w14:paraId="6F67632F" w14:textId="769D9371" w:rsidR="00D91013" w:rsidRPr="00D91013" w:rsidRDefault="00D91013" w:rsidP="00637889">
            <w:pPr>
              <w:pStyle w:val="TableTextRight"/>
              <w:spacing w:before="30" w:after="30"/>
            </w:pPr>
            <w:r w:rsidRPr="00D91013">
              <w:t>1%</w:t>
            </w:r>
          </w:p>
        </w:tc>
        <w:tc>
          <w:tcPr>
            <w:tcW w:w="926" w:type="dxa"/>
            <w:tcBorders>
              <w:right w:val="single" w:sz="4" w:space="0" w:color="auto"/>
            </w:tcBorders>
            <w:vAlign w:val="center"/>
          </w:tcPr>
          <w:p w14:paraId="6C550100" w14:textId="162E4001" w:rsidR="00D91013" w:rsidRPr="00D91013" w:rsidRDefault="00D91013" w:rsidP="00637889">
            <w:pPr>
              <w:pStyle w:val="TableTextRight"/>
              <w:spacing w:before="30" w:after="30"/>
            </w:pPr>
            <w:r w:rsidRPr="00D91013">
              <w:t>1%</w:t>
            </w:r>
          </w:p>
        </w:tc>
        <w:tc>
          <w:tcPr>
            <w:tcW w:w="603" w:type="dxa"/>
            <w:tcBorders>
              <w:left w:val="single" w:sz="4" w:space="0" w:color="auto"/>
            </w:tcBorders>
            <w:vAlign w:val="center"/>
          </w:tcPr>
          <w:p w14:paraId="141451D1" w14:textId="075A13D9" w:rsidR="00D91013" w:rsidRPr="00D91013" w:rsidRDefault="00D91013" w:rsidP="00637889">
            <w:pPr>
              <w:pStyle w:val="TableTextRight"/>
              <w:spacing w:before="30" w:after="30"/>
              <w:rPr>
                <w:b/>
                <w:bCs/>
              </w:rPr>
            </w:pPr>
            <w:r w:rsidRPr="00D91013">
              <w:rPr>
                <w:b/>
                <w:bCs/>
              </w:rPr>
              <w:t>1%</w:t>
            </w:r>
          </w:p>
        </w:tc>
      </w:tr>
      <w:tr w:rsidR="00D91013" w:rsidRPr="00883271" w14:paraId="7E971557" w14:textId="77777777" w:rsidTr="00637889">
        <w:trPr>
          <w:cnfStyle w:val="000000010000" w:firstRow="0" w:lastRow="0" w:firstColumn="0" w:lastColumn="0" w:oddVBand="0" w:evenVBand="0" w:oddHBand="0" w:evenHBand="1" w:firstRowFirstColumn="0" w:firstRowLastColumn="0" w:lastRowFirstColumn="0" w:lastRowLastColumn="0"/>
          <w:trHeight w:val="20"/>
          <w:jc w:val="center"/>
        </w:trPr>
        <w:tc>
          <w:tcPr>
            <w:tcW w:w="1975" w:type="dxa"/>
            <w:tcMar>
              <w:right w:w="0" w:type="dxa"/>
            </w:tcMar>
            <w:vAlign w:val="center"/>
          </w:tcPr>
          <w:p w14:paraId="71013511" w14:textId="25B82920" w:rsidR="00D91013" w:rsidRPr="00D91013" w:rsidRDefault="00D91013" w:rsidP="00637889">
            <w:pPr>
              <w:pStyle w:val="TableTextLeft"/>
              <w:spacing w:before="30" w:after="30"/>
              <w:rPr>
                <w:b/>
                <w:bCs/>
              </w:rPr>
            </w:pPr>
            <w:r w:rsidRPr="00D91013">
              <w:rPr>
                <w:b/>
                <w:bCs/>
              </w:rPr>
              <w:t>Other</w:t>
            </w:r>
          </w:p>
        </w:tc>
        <w:tc>
          <w:tcPr>
            <w:tcW w:w="987" w:type="dxa"/>
            <w:vAlign w:val="center"/>
          </w:tcPr>
          <w:p w14:paraId="565DBA32" w14:textId="250E7A6E" w:rsidR="00D91013" w:rsidRPr="00D91013" w:rsidRDefault="00D91013" w:rsidP="00637889">
            <w:pPr>
              <w:pStyle w:val="TableTextRight"/>
              <w:spacing w:before="30" w:after="30"/>
            </w:pPr>
            <w:r w:rsidRPr="00D91013">
              <w:t>1%</w:t>
            </w:r>
          </w:p>
        </w:tc>
        <w:tc>
          <w:tcPr>
            <w:tcW w:w="706" w:type="dxa"/>
            <w:tcBorders>
              <w:right w:val="single" w:sz="4" w:space="0" w:color="auto"/>
            </w:tcBorders>
            <w:vAlign w:val="center"/>
          </w:tcPr>
          <w:p w14:paraId="64BCF517" w14:textId="377BA494" w:rsidR="00D91013" w:rsidRPr="00D91013" w:rsidRDefault="00D91013" w:rsidP="00637889">
            <w:pPr>
              <w:pStyle w:val="TableTextRight"/>
              <w:spacing w:before="30" w:after="30"/>
            </w:pPr>
            <w:r w:rsidRPr="00D91013">
              <w:t>0%</w:t>
            </w:r>
          </w:p>
        </w:tc>
        <w:tc>
          <w:tcPr>
            <w:tcW w:w="987" w:type="dxa"/>
            <w:tcBorders>
              <w:left w:val="single" w:sz="4" w:space="0" w:color="auto"/>
            </w:tcBorders>
            <w:vAlign w:val="center"/>
          </w:tcPr>
          <w:p w14:paraId="401366E5" w14:textId="1D659AB5" w:rsidR="00D91013" w:rsidRPr="00D91013" w:rsidRDefault="00D91013" w:rsidP="00637889">
            <w:pPr>
              <w:pStyle w:val="TableTextRight"/>
              <w:spacing w:before="30" w:after="30"/>
            </w:pPr>
            <w:r w:rsidRPr="00D91013">
              <w:t>0%</w:t>
            </w:r>
          </w:p>
        </w:tc>
        <w:tc>
          <w:tcPr>
            <w:tcW w:w="987" w:type="dxa"/>
            <w:vAlign w:val="center"/>
          </w:tcPr>
          <w:p w14:paraId="435F3C7A" w14:textId="5DECDC88" w:rsidR="00D91013" w:rsidRPr="00D91013" w:rsidRDefault="00D91013" w:rsidP="00637889">
            <w:pPr>
              <w:pStyle w:val="TableTextRight"/>
              <w:spacing w:before="30" w:after="30"/>
            </w:pPr>
            <w:r w:rsidRPr="00D91013">
              <w:t>0%</w:t>
            </w:r>
          </w:p>
        </w:tc>
        <w:tc>
          <w:tcPr>
            <w:tcW w:w="1410" w:type="dxa"/>
            <w:tcBorders>
              <w:right w:val="single" w:sz="4" w:space="0" w:color="auto"/>
            </w:tcBorders>
            <w:vAlign w:val="center"/>
          </w:tcPr>
          <w:p w14:paraId="379FF3A1" w14:textId="62D531E2" w:rsidR="00D91013" w:rsidRPr="00D91013" w:rsidRDefault="00D91013" w:rsidP="00637889">
            <w:pPr>
              <w:pStyle w:val="TableTextRight"/>
              <w:spacing w:before="30" w:after="30"/>
            </w:pPr>
            <w:r w:rsidRPr="00D91013">
              <w:t>3%</w:t>
            </w:r>
          </w:p>
        </w:tc>
        <w:tc>
          <w:tcPr>
            <w:tcW w:w="987" w:type="dxa"/>
            <w:tcBorders>
              <w:left w:val="single" w:sz="4" w:space="0" w:color="auto"/>
            </w:tcBorders>
            <w:vAlign w:val="center"/>
          </w:tcPr>
          <w:p w14:paraId="0E524321" w14:textId="27E79B32" w:rsidR="00D91013" w:rsidRPr="00D91013" w:rsidRDefault="00D91013" w:rsidP="00637889">
            <w:pPr>
              <w:pStyle w:val="TableTextRight"/>
              <w:spacing w:before="30" w:after="30"/>
            </w:pPr>
            <w:r w:rsidRPr="00D91013">
              <w:t>0%</w:t>
            </w:r>
          </w:p>
        </w:tc>
        <w:tc>
          <w:tcPr>
            <w:tcW w:w="1100" w:type="dxa"/>
            <w:vAlign w:val="center"/>
          </w:tcPr>
          <w:p w14:paraId="04E60216" w14:textId="7B399CCF" w:rsidR="00D91013" w:rsidRPr="00D91013" w:rsidRDefault="00D91013" w:rsidP="00637889">
            <w:pPr>
              <w:pStyle w:val="TableTextRight"/>
              <w:spacing w:before="30" w:after="30"/>
            </w:pPr>
            <w:r w:rsidRPr="00D91013">
              <w:t>0%</w:t>
            </w:r>
          </w:p>
        </w:tc>
        <w:tc>
          <w:tcPr>
            <w:tcW w:w="1100" w:type="dxa"/>
            <w:vAlign w:val="center"/>
          </w:tcPr>
          <w:p w14:paraId="06EAC935" w14:textId="6C41B49F" w:rsidR="00D91013" w:rsidRPr="00D91013" w:rsidRDefault="00D91013" w:rsidP="00637889">
            <w:pPr>
              <w:pStyle w:val="TableTextRight"/>
              <w:spacing w:before="30" w:after="30"/>
            </w:pPr>
            <w:r w:rsidRPr="00D91013">
              <w:t>0%</w:t>
            </w:r>
          </w:p>
        </w:tc>
        <w:tc>
          <w:tcPr>
            <w:tcW w:w="1101" w:type="dxa"/>
            <w:tcBorders>
              <w:right w:val="single" w:sz="4" w:space="0" w:color="auto"/>
            </w:tcBorders>
            <w:vAlign w:val="center"/>
          </w:tcPr>
          <w:p w14:paraId="7835A71B" w14:textId="2FBB28AE" w:rsidR="00D91013" w:rsidRPr="00D91013" w:rsidRDefault="00D91013" w:rsidP="00637889">
            <w:pPr>
              <w:pStyle w:val="TableTextRight"/>
              <w:spacing w:before="30" w:after="30"/>
            </w:pPr>
            <w:r w:rsidRPr="00D91013">
              <w:t>4%</w:t>
            </w:r>
          </w:p>
        </w:tc>
        <w:tc>
          <w:tcPr>
            <w:tcW w:w="709" w:type="dxa"/>
            <w:tcBorders>
              <w:left w:val="single" w:sz="4" w:space="0" w:color="auto"/>
            </w:tcBorders>
            <w:vAlign w:val="center"/>
          </w:tcPr>
          <w:p w14:paraId="3D58A122" w14:textId="3A146ADC" w:rsidR="00D91013" w:rsidRPr="00D91013" w:rsidRDefault="00D91013" w:rsidP="00637889">
            <w:pPr>
              <w:pStyle w:val="TableTextRight"/>
              <w:spacing w:before="30" w:after="30"/>
            </w:pPr>
            <w:r w:rsidRPr="00D91013">
              <w:t>1%</w:t>
            </w:r>
          </w:p>
        </w:tc>
        <w:tc>
          <w:tcPr>
            <w:tcW w:w="926" w:type="dxa"/>
            <w:tcBorders>
              <w:right w:val="single" w:sz="4" w:space="0" w:color="auto"/>
            </w:tcBorders>
            <w:vAlign w:val="center"/>
          </w:tcPr>
          <w:p w14:paraId="0C2A659A" w14:textId="3C5456FC" w:rsidR="00D91013" w:rsidRPr="00D91013" w:rsidRDefault="00D91013" w:rsidP="00637889">
            <w:pPr>
              <w:pStyle w:val="TableTextRight"/>
              <w:spacing w:before="30" w:after="30"/>
            </w:pPr>
            <w:r w:rsidRPr="00D91013">
              <w:t>0%</w:t>
            </w:r>
          </w:p>
        </w:tc>
        <w:tc>
          <w:tcPr>
            <w:tcW w:w="603" w:type="dxa"/>
            <w:tcBorders>
              <w:left w:val="single" w:sz="4" w:space="0" w:color="auto"/>
            </w:tcBorders>
            <w:vAlign w:val="center"/>
          </w:tcPr>
          <w:p w14:paraId="51888D07" w14:textId="0A99CBF4" w:rsidR="00D91013" w:rsidRPr="00D91013" w:rsidRDefault="00D91013" w:rsidP="00637889">
            <w:pPr>
              <w:pStyle w:val="TableTextRight"/>
              <w:spacing w:before="30" w:after="30"/>
              <w:rPr>
                <w:b/>
                <w:bCs/>
              </w:rPr>
            </w:pPr>
            <w:r w:rsidRPr="00D91013">
              <w:rPr>
                <w:b/>
                <w:bCs/>
              </w:rPr>
              <w:t>0%</w:t>
            </w:r>
          </w:p>
        </w:tc>
      </w:tr>
      <w:tr w:rsidR="00664208" w:rsidRPr="00883271" w14:paraId="699B297D" w14:textId="77777777" w:rsidTr="0002544C">
        <w:trPr>
          <w:cnfStyle w:val="000000100000" w:firstRow="0" w:lastRow="0" w:firstColumn="0" w:lastColumn="0" w:oddVBand="0" w:evenVBand="0" w:oddHBand="1" w:evenHBand="0" w:firstRowFirstColumn="0" w:firstRowLastColumn="0" w:lastRowFirstColumn="0" w:lastRowLastColumn="0"/>
          <w:trHeight w:val="113"/>
          <w:jc w:val="center"/>
        </w:trPr>
        <w:tc>
          <w:tcPr>
            <w:tcW w:w="1975" w:type="dxa"/>
            <w:tcBorders>
              <w:top w:val="single" w:sz="4" w:space="0" w:color="auto"/>
              <w:bottom w:val="single" w:sz="4" w:space="0" w:color="auto"/>
            </w:tcBorders>
            <w:shd w:val="clear" w:color="auto" w:fill="EEEEEE" w:themeFill="background2"/>
            <w:vAlign w:val="center"/>
          </w:tcPr>
          <w:p w14:paraId="585DF507" w14:textId="5F6AE673" w:rsidR="00D91013" w:rsidRPr="00D91013" w:rsidRDefault="00D91013" w:rsidP="00637889">
            <w:pPr>
              <w:pStyle w:val="TableTextLeft"/>
              <w:spacing w:before="30" w:after="30"/>
              <w:rPr>
                <w:b/>
                <w:bCs/>
              </w:rPr>
            </w:pPr>
            <w:r w:rsidRPr="00D91013">
              <w:rPr>
                <w:b/>
                <w:bCs/>
              </w:rPr>
              <w:t>Total responses (n)</w:t>
            </w:r>
          </w:p>
        </w:tc>
        <w:tc>
          <w:tcPr>
            <w:tcW w:w="987" w:type="dxa"/>
            <w:tcBorders>
              <w:top w:val="single" w:sz="4" w:space="0" w:color="auto"/>
              <w:bottom w:val="single" w:sz="4" w:space="0" w:color="auto"/>
            </w:tcBorders>
            <w:shd w:val="clear" w:color="auto" w:fill="EEEEEE" w:themeFill="background2"/>
            <w:vAlign w:val="center"/>
          </w:tcPr>
          <w:p w14:paraId="278DF6BE" w14:textId="2317BBD2" w:rsidR="00D91013" w:rsidRPr="00D91013" w:rsidRDefault="00D91013" w:rsidP="00637889">
            <w:pPr>
              <w:pStyle w:val="TableTextRight"/>
              <w:spacing w:before="30" w:after="30"/>
              <w:rPr>
                <w:b/>
                <w:bCs/>
              </w:rPr>
            </w:pPr>
            <w:r w:rsidRPr="00D91013">
              <w:rPr>
                <w:b/>
                <w:bCs/>
              </w:rPr>
              <w:t>135</w:t>
            </w:r>
          </w:p>
        </w:tc>
        <w:tc>
          <w:tcPr>
            <w:tcW w:w="706" w:type="dxa"/>
            <w:tcBorders>
              <w:top w:val="single" w:sz="4" w:space="0" w:color="auto"/>
              <w:bottom w:val="single" w:sz="4" w:space="0" w:color="auto"/>
              <w:right w:val="single" w:sz="4" w:space="0" w:color="auto"/>
            </w:tcBorders>
            <w:shd w:val="clear" w:color="auto" w:fill="EEEEEE" w:themeFill="background2"/>
            <w:vAlign w:val="center"/>
          </w:tcPr>
          <w:p w14:paraId="0C3FB1C4" w14:textId="608D2C4C" w:rsidR="00D91013" w:rsidRPr="00D91013" w:rsidRDefault="00D91013" w:rsidP="00637889">
            <w:pPr>
              <w:pStyle w:val="TableTextRight"/>
              <w:spacing w:before="30" w:after="30"/>
              <w:rPr>
                <w:b/>
                <w:bCs/>
              </w:rPr>
            </w:pPr>
            <w:r w:rsidRPr="00D91013">
              <w:rPr>
                <w:b/>
                <w:bCs/>
              </w:rPr>
              <w:t>102</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02935E69" w14:textId="22E9449D" w:rsidR="00D91013" w:rsidRPr="00D91013" w:rsidRDefault="00D91013" w:rsidP="00637889">
            <w:pPr>
              <w:pStyle w:val="TableTextRight"/>
              <w:spacing w:before="30" w:after="30"/>
              <w:rPr>
                <w:b/>
                <w:bCs/>
              </w:rPr>
            </w:pPr>
            <w:r w:rsidRPr="00D91013">
              <w:rPr>
                <w:b/>
                <w:bCs/>
              </w:rPr>
              <w:t>178</w:t>
            </w:r>
          </w:p>
        </w:tc>
        <w:tc>
          <w:tcPr>
            <w:tcW w:w="987" w:type="dxa"/>
            <w:tcBorders>
              <w:top w:val="single" w:sz="4" w:space="0" w:color="auto"/>
              <w:bottom w:val="single" w:sz="4" w:space="0" w:color="auto"/>
            </w:tcBorders>
            <w:shd w:val="clear" w:color="auto" w:fill="EEEEEE" w:themeFill="background2"/>
            <w:vAlign w:val="center"/>
          </w:tcPr>
          <w:p w14:paraId="6A998A14" w14:textId="69FA0F2D" w:rsidR="00D91013" w:rsidRPr="00D91013" w:rsidRDefault="00D91013" w:rsidP="00637889">
            <w:pPr>
              <w:pStyle w:val="TableTextRight"/>
              <w:spacing w:before="30" w:after="30"/>
              <w:rPr>
                <w:b/>
                <w:bCs/>
              </w:rPr>
            </w:pPr>
            <w:r w:rsidRPr="00D91013">
              <w:rPr>
                <w:b/>
                <w:bCs/>
              </w:rPr>
              <w:t>36</w:t>
            </w:r>
          </w:p>
        </w:tc>
        <w:tc>
          <w:tcPr>
            <w:tcW w:w="1410" w:type="dxa"/>
            <w:tcBorders>
              <w:top w:val="single" w:sz="4" w:space="0" w:color="auto"/>
              <w:bottom w:val="single" w:sz="4" w:space="0" w:color="auto"/>
              <w:right w:val="single" w:sz="4" w:space="0" w:color="auto"/>
            </w:tcBorders>
            <w:shd w:val="clear" w:color="auto" w:fill="EEEEEE" w:themeFill="background2"/>
            <w:vAlign w:val="center"/>
          </w:tcPr>
          <w:p w14:paraId="1F531A5B" w14:textId="392530E0" w:rsidR="00D91013" w:rsidRPr="00D91013" w:rsidRDefault="00D91013" w:rsidP="00637889">
            <w:pPr>
              <w:pStyle w:val="TableTextRight"/>
              <w:spacing w:before="30" w:after="30"/>
              <w:rPr>
                <w:b/>
                <w:bCs/>
              </w:rPr>
            </w:pPr>
            <w:r w:rsidRPr="00D91013">
              <w:rPr>
                <w:b/>
                <w:bCs/>
              </w:rPr>
              <w:t>30</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5226CD8E" w14:textId="62D0E10E" w:rsidR="00D91013" w:rsidRPr="00D91013" w:rsidRDefault="00D91013" w:rsidP="00637889">
            <w:pPr>
              <w:pStyle w:val="TableTextRight"/>
              <w:spacing w:before="30" w:after="30"/>
              <w:rPr>
                <w:b/>
                <w:bCs/>
              </w:rPr>
            </w:pPr>
            <w:r w:rsidRPr="00D91013">
              <w:rPr>
                <w:b/>
                <w:bCs/>
              </w:rPr>
              <w:t>26</w:t>
            </w:r>
          </w:p>
        </w:tc>
        <w:tc>
          <w:tcPr>
            <w:tcW w:w="1100" w:type="dxa"/>
            <w:tcBorders>
              <w:top w:val="single" w:sz="4" w:space="0" w:color="auto"/>
              <w:bottom w:val="single" w:sz="4" w:space="0" w:color="auto"/>
            </w:tcBorders>
            <w:shd w:val="clear" w:color="auto" w:fill="EEEEEE" w:themeFill="background2"/>
            <w:vAlign w:val="center"/>
          </w:tcPr>
          <w:p w14:paraId="35A898C7" w14:textId="0256D492" w:rsidR="00D91013" w:rsidRPr="00D91013" w:rsidRDefault="00D91013" w:rsidP="00637889">
            <w:pPr>
              <w:pStyle w:val="TableTextRight"/>
              <w:spacing w:before="30" w:after="30"/>
              <w:rPr>
                <w:b/>
                <w:bCs/>
              </w:rPr>
            </w:pPr>
            <w:r w:rsidRPr="00D91013">
              <w:rPr>
                <w:b/>
                <w:bCs/>
              </w:rPr>
              <w:t>79</w:t>
            </w:r>
          </w:p>
        </w:tc>
        <w:tc>
          <w:tcPr>
            <w:tcW w:w="1100" w:type="dxa"/>
            <w:tcBorders>
              <w:top w:val="single" w:sz="4" w:space="0" w:color="auto"/>
              <w:bottom w:val="single" w:sz="4" w:space="0" w:color="auto"/>
            </w:tcBorders>
            <w:shd w:val="clear" w:color="auto" w:fill="EEEEEE" w:themeFill="background2"/>
            <w:vAlign w:val="center"/>
          </w:tcPr>
          <w:p w14:paraId="1FF9DC1E" w14:textId="58258987" w:rsidR="00D91013" w:rsidRPr="00D91013" w:rsidRDefault="00D91013" w:rsidP="00637889">
            <w:pPr>
              <w:pStyle w:val="TableTextRight"/>
              <w:spacing w:before="30" w:after="30"/>
              <w:rPr>
                <w:b/>
                <w:bCs/>
              </w:rPr>
            </w:pPr>
            <w:r w:rsidRPr="00D91013">
              <w:rPr>
                <w:b/>
                <w:bCs/>
              </w:rPr>
              <w:t>116</w:t>
            </w:r>
          </w:p>
        </w:tc>
        <w:tc>
          <w:tcPr>
            <w:tcW w:w="1101" w:type="dxa"/>
            <w:tcBorders>
              <w:top w:val="single" w:sz="4" w:space="0" w:color="auto"/>
              <w:bottom w:val="single" w:sz="4" w:space="0" w:color="auto"/>
              <w:right w:val="single" w:sz="4" w:space="0" w:color="auto"/>
            </w:tcBorders>
            <w:shd w:val="clear" w:color="auto" w:fill="EEEEEE" w:themeFill="background2"/>
            <w:vAlign w:val="center"/>
          </w:tcPr>
          <w:p w14:paraId="4F7E2BDC" w14:textId="3319EB7E" w:rsidR="00D91013" w:rsidRPr="00D91013" w:rsidRDefault="00D91013" w:rsidP="00637889">
            <w:pPr>
              <w:pStyle w:val="TableTextRight"/>
              <w:spacing w:before="30" w:after="30"/>
              <w:rPr>
                <w:b/>
                <w:bCs/>
              </w:rPr>
            </w:pPr>
            <w:r w:rsidRPr="00D91013">
              <w:rPr>
                <w:b/>
                <w:bCs/>
              </w:rPr>
              <w:t>27</w:t>
            </w:r>
          </w:p>
        </w:tc>
        <w:tc>
          <w:tcPr>
            <w:tcW w:w="709" w:type="dxa"/>
            <w:tcBorders>
              <w:top w:val="single" w:sz="4" w:space="0" w:color="auto"/>
              <w:left w:val="single" w:sz="4" w:space="0" w:color="auto"/>
              <w:bottom w:val="single" w:sz="4" w:space="0" w:color="auto"/>
            </w:tcBorders>
            <w:shd w:val="clear" w:color="auto" w:fill="EEEEEE" w:themeFill="background2"/>
            <w:vAlign w:val="center"/>
          </w:tcPr>
          <w:p w14:paraId="36658345" w14:textId="046C1D64" w:rsidR="00D91013" w:rsidRPr="00D91013" w:rsidRDefault="00D91013" w:rsidP="00637889">
            <w:pPr>
              <w:pStyle w:val="TableTextRight"/>
              <w:spacing w:before="30" w:after="30"/>
              <w:rPr>
                <w:b/>
                <w:bCs/>
              </w:rPr>
            </w:pPr>
            <w:r w:rsidRPr="00D91013">
              <w:rPr>
                <w:b/>
                <w:bCs/>
              </w:rPr>
              <w:t>139</w:t>
            </w:r>
          </w:p>
        </w:tc>
        <w:tc>
          <w:tcPr>
            <w:tcW w:w="926" w:type="dxa"/>
            <w:tcBorders>
              <w:top w:val="single" w:sz="4" w:space="0" w:color="auto"/>
              <w:bottom w:val="single" w:sz="4" w:space="0" w:color="auto"/>
              <w:right w:val="single" w:sz="4" w:space="0" w:color="auto"/>
            </w:tcBorders>
            <w:shd w:val="clear" w:color="auto" w:fill="EEEEEE" w:themeFill="background2"/>
            <w:vAlign w:val="center"/>
          </w:tcPr>
          <w:p w14:paraId="6F69BA91" w14:textId="42B025EC" w:rsidR="00D91013" w:rsidRPr="00D91013" w:rsidRDefault="00D91013" w:rsidP="00637889">
            <w:pPr>
              <w:pStyle w:val="TableTextRight"/>
              <w:spacing w:before="30" w:after="30"/>
              <w:rPr>
                <w:b/>
                <w:bCs/>
              </w:rPr>
            </w:pPr>
            <w:r w:rsidRPr="00D91013">
              <w:rPr>
                <w:b/>
                <w:bCs/>
              </w:rPr>
              <w:t>103</w:t>
            </w:r>
          </w:p>
        </w:tc>
        <w:tc>
          <w:tcPr>
            <w:tcW w:w="603" w:type="dxa"/>
            <w:tcBorders>
              <w:top w:val="single" w:sz="4" w:space="0" w:color="auto"/>
              <w:left w:val="single" w:sz="4" w:space="0" w:color="auto"/>
              <w:bottom w:val="single" w:sz="4" w:space="0" w:color="auto"/>
            </w:tcBorders>
            <w:shd w:val="clear" w:color="auto" w:fill="EEEEEE" w:themeFill="background2"/>
            <w:vAlign w:val="center"/>
          </w:tcPr>
          <w:p w14:paraId="462737F9" w14:textId="7AABA918" w:rsidR="00D91013" w:rsidRPr="00D91013" w:rsidRDefault="00D91013" w:rsidP="00637889">
            <w:pPr>
              <w:pStyle w:val="TableTextRight"/>
              <w:spacing w:before="30" w:after="30"/>
              <w:rPr>
                <w:b/>
                <w:bCs/>
              </w:rPr>
            </w:pPr>
            <w:r w:rsidRPr="00D91013">
              <w:rPr>
                <w:b/>
                <w:bCs/>
              </w:rPr>
              <w:t>250</w:t>
            </w:r>
          </w:p>
        </w:tc>
      </w:tr>
    </w:tbl>
    <w:p w14:paraId="0544B6A3" w14:textId="0125817E" w:rsidR="000B1302" w:rsidRDefault="000B1302" w:rsidP="00D91013">
      <w:pPr>
        <w:pStyle w:val="ChartorTableNote"/>
      </w:pPr>
      <w:r w:rsidRPr="00883271">
        <w:t>Note:</w:t>
      </w:r>
      <w:r w:rsidR="00D91013">
        <w:tab/>
      </w:r>
      <w:r w:rsidRPr="00883271">
        <w:t>This question was asked of those who have experienced issues accessing service, repair and diagnostic information in the last 12 months.</w:t>
      </w:r>
    </w:p>
    <w:p w14:paraId="4FB0F3BE" w14:textId="22802EA5" w:rsidR="00D91013" w:rsidRDefault="00D91013" w:rsidP="00110D67">
      <w:pPr>
        <w:pStyle w:val="TableMainHeading"/>
      </w:pPr>
      <w:r w:rsidRPr="00D91013">
        <w:lastRenderedPageBreak/>
        <w:t>How often, if ever, do you need to send a customer vehicle to a dealer or authorised repairer because you can</w:t>
      </w:r>
      <w:r w:rsidR="00BF0433">
        <w:t>’</w:t>
      </w:r>
      <w:r w:rsidRPr="00D91013">
        <w:t>t access necessary information to complete the work?</w:t>
      </w:r>
    </w:p>
    <w:tbl>
      <w:tblPr>
        <w:tblStyle w:val="TableGrid"/>
        <w:tblW w:w="5000" w:type="pct"/>
        <w:jc w:val="center"/>
        <w:tblLayout w:type="fixed"/>
        <w:tblCellMar>
          <w:left w:w="113" w:type="dxa"/>
          <w:right w:w="113" w:type="dxa"/>
        </w:tblCellMar>
        <w:tblLook w:val="04A0" w:firstRow="1" w:lastRow="0" w:firstColumn="1" w:lastColumn="0" w:noHBand="0" w:noVBand="1"/>
      </w:tblPr>
      <w:tblGrid>
        <w:gridCol w:w="2037"/>
        <w:gridCol w:w="1018"/>
        <w:gridCol w:w="728"/>
        <w:gridCol w:w="1018"/>
        <w:gridCol w:w="1018"/>
        <w:gridCol w:w="1454"/>
        <w:gridCol w:w="1018"/>
        <w:gridCol w:w="1134"/>
        <w:gridCol w:w="1134"/>
        <w:gridCol w:w="1135"/>
        <w:gridCol w:w="731"/>
        <w:gridCol w:w="955"/>
        <w:gridCol w:w="622"/>
      </w:tblGrid>
      <w:tr w:rsidR="00D91013" w:rsidRPr="00883271" w14:paraId="2D3C92C8" w14:textId="77777777" w:rsidTr="0002544C">
        <w:trPr>
          <w:cnfStyle w:val="100000000000" w:firstRow="1" w:lastRow="0" w:firstColumn="0" w:lastColumn="0" w:oddVBand="0" w:evenVBand="0" w:oddHBand="0" w:evenHBand="0" w:firstRowFirstColumn="0" w:firstRowLastColumn="0" w:lastRowFirstColumn="0" w:lastRowLastColumn="0"/>
          <w:jc w:val="center"/>
        </w:trPr>
        <w:tc>
          <w:tcPr>
            <w:tcW w:w="1975" w:type="dxa"/>
            <w:tcBorders>
              <w:top w:val="single" w:sz="4" w:space="0" w:color="auto"/>
              <w:bottom w:val="single" w:sz="4" w:space="0" w:color="auto"/>
            </w:tcBorders>
          </w:tcPr>
          <w:p w14:paraId="37B5655F" w14:textId="77777777" w:rsidR="00D91013" w:rsidRPr="00D91013" w:rsidRDefault="00D91013" w:rsidP="00637889">
            <w:pPr>
              <w:pStyle w:val="TableColumnHeadingRight"/>
              <w:spacing w:before="30" w:after="10"/>
              <w:rPr>
                <w:sz w:val="18"/>
                <w:szCs w:val="18"/>
              </w:rPr>
            </w:pPr>
          </w:p>
        </w:tc>
        <w:tc>
          <w:tcPr>
            <w:tcW w:w="1693" w:type="dxa"/>
            <w:gridSpan w:val="2"/>
            <w:tcBorders>
              <w:top w:val="single" w:sz="4" w:space="0" w:color="auto"/>
              <w:bottom w:val="single" w:sz="4" w:space="0" w:color="auto"/>
              <w:right w:val="single" w:sz="4" w:space="0" w:color="auto"/>
            </w:tcBorders>
            <w:vAlign w:val="center"/>
          </w:tcPr>
          <w:p w14:paraId="44FEC22E" w14:textId="77777777" w:rsidR="00D91013" w:rsidRPr="00D91013" w:rsidRDefault="00D91013" w:rsidP="00637889">
            <w:pPr>
              <w:pStyle w:val="TableColumnHeadingCentred"/>
              <w:spacing w:before="30" w:after="10"/>
              <w:rPr>
                <w:b w:val="0"/>
                <w:sz w:val="18"/>
                <w:szCs w:val="18"/>
              </w:rPr>
            </w:pPr>
            <w:r w:rsidRPr="00D91013">
              <w:rPr>
                <w:sz w:val="18"/>
                <w:szCs w:val="18"/>
              </w:rPr>
              <w:t>Vehicles repaired per month</w:t>
            </w:r>
          </w:p>
        </w:tc>
        <w:tc>
          <w:tcPr>
            <w:tcW w:w="3384" w:type="dxa"/>
            <w:gridSpan w:val="3"/>
            <w:tcBorders>
              <w:top w:val="single" w:sz="4" w:space="0" w:color="auto"/>
              <w:left w:val="single" w:sz="4" w:space="0" w:color="auto"/>
              <w:bottom w:val="single" w:sz="4" w:space="0" w:color="auto"/>
              <w:right w:val="single" w:sz="4" w:space="0" w:color="auto"/>
            </w:tcBorders>
            <w:vAlign w:val="center"/>
          </w:tcPr>
          <w:p w14:paraId="7C6C424A" w14:textId="77777777" w:rsidR="00D91013" w:rsidRPr="00D91013" w:rsidRDefault="00D91013" w:rsidP="00637889">
            <w:pPr>
              <w:pStyle w:val="TableColumnHeadingCentred"/>
              <w:spacing w:before="30" w:after="10"/>
              <w:rPr>
                <w:b w:val="0"/>
                <w:sz w:val="18"/>
                <w:szCs w:val="18"/>
              </w:rPr>
            </w:pPr>
            <w:r w:rsidRPr="00D91013">
              <w:rPr>
                <w:sz w:val="18"/>
                <w:szCs w:val="18"/>
              </w:rPr>
              <w:t>Type of Repairer</w:t>
            </w:r>
          </w:p>
        </w:tc>
        <w:tc>
          <w:tcPr>
            <w:tcW w:w="4288" w:type="dxa"/>
            <w:gridSpan w:val="4"/>
            <w:tcBorders>
              <w:top w:val="single" w:sz="4" w:space="0" w:color="auto"/>
              <w:left w:val="single" w:sz="4" w:space="0" w:color="auto"/>
              <w:bottom w:val="single" w:sz="4" w:space="0" w:color="auto"/>
              <w:right w:val="single" w:sz="4" w:space="0" w:color="auto"/>
            </w:tcBorders>
            <w:vAlign w:val="center"/>
          </w:tcPr>
          <w:p w14:paraId="6037FA15" w14:textId="77777777" w:rsidR="00D91013" w:rsidRPr="00D91013" w:rsidRDefault="00D91013" w:rsidP="00637889">
            <w:pPr>
              <w:pStyle w:val="TableColumnHeadingCentred"/>
              <w:spacing w:before="30" w:after="10"/>
              <w:rPr>
                <w:b w:val="0"/>
                <w:sz w:val="18"/>
                <w:szCs w:val="18"/>
              </w:rPr>
            </w:pPr>
            <w:r w:rsidRPr="00D91013">
              <w:rPr>
                <w:sz w:val="18"/>
                <w:szCs w:val="18"/>
              </w:rPr>
              <w:t>Business size</w:t>
            </w:r>
          </w:p>
        </w:tc>
        <w:tc>
          <w:tcPr>
            <w:tcW w:w="1635" w:type="dxa"/>
            <w:gridSpan w:val="2"/>
            <w:tcBorders>
              <w:top w:val="single" w:sz="4" w:space="0" w:color="auto"/>
              <w:left w:val="single" w:sz="4" w:space="0" w:color="auto"/>
              <w:bottom w:val="single" w:sz="4" w:space="0" w:color="auto"/>
              <w:right w:val="single" w:sz="4" w:space="0" w:color="auto"/>
            </w:tcBorders>
            <w:vAlign w:val="center"/>
          </w:tcPr>
          <w:p w14:paraId="5E81D25E" w14:textId="77777777" w:rsidR="00D91013" w:rsidRPr="00D91013" w:rsidRDefault="00D91013" w:rsidP="00637889">
            <w:pPr>
              <w:pStyle w:val="TableColumnHeadingCentred"/>
              <w:spacing w:before="30" w:after="10"/>
              <w:rPr>
                <w:b w:val="0"/>
                <w:sz w:val="18"/>
                <w:szCs w:val="18"/>
              </w:rPr>
            </w:pPr>
            <w:r w:rsidRPr="00D91013">
              <w:rPr>
                <w:sz w:val="18"/>
                <w:szCs w:val="18"/>
              </w:rPr>
              <w:t>Location</w:t>
            </w:r>
          </w:p>
        </w:tc>
        <w:tc>
          <w:tcPr>
            <w:tcW w:w="603" w:type="dxa"/>
            <w:vMerge w:val="restart"/>
            <w:tcBorders>
              <w:top w:val="single" w:sz="4" w:space="0" w:color="auto"/>
              <w:left w:val="single" w:sz="4" w:space="0" w:color="auto"/>
            </w:tcBorders>
            <w:vAlign w:val="center"/>
          </w:tcPr>
          <w:p w14:paraId="357038B7" w14:textId="77777777" w:rsidR="00D91013" w:rsidRPr="00D91013" w:rsidRDefault="00D91013" w:rsidP="00637889">
            <w:pPr>
              <w:pStyle w:val="TableColumnHeadingRight"/>
              <w:spacing w:before="30" w:after="10"/>
              <w:rPr>
                <w:b w:val="0"/>
                <w:bCs/>
                <w:sz w:val="18"/>
                <w:szCs w:val="18"/>
              </w:rPr>
            </w:pPr>
            <w:r w:rsidRPr="00D91013">
              <w:rPr>
                <w:bCs/>
                <w:sz w:val="18"/>
                <w:szCs w:val="18"/>
              </w:rPr>
              <w:t>Total</w:t>
            </w:r>
          </w:p>
        </w:tc>
      </w:tr>
      <w:tr w:rsidR="00664208" w:rsidRPr="00883271" w14:paraId="3B1651EB" w14:textId="77777777" w:rsidTr="0002544C">
        <w:trPr>
          <w:cnfStyle w:val="000000100000" w:firstRow="0" w:lastRow="0" w:firstColumn="0" w:lastColumn="0" w:oddVBand="0" w:evenVBand="0" w:oddHBand="1" w:evenHBand="0" w:firstRowFirstColumn="0" w:firstRowLastColumn="0" w:lastRowFirstColumn="0" w:lastRowLastColumn="0"/>
          <w:trHeight w:val="501"/>
          <w:jc w:val="center"/>
        </w:trPr>
        <w:tc>
          <w:tcPr>
            <w:tcW w:w="1975" w:type="dxa"/>
            <w:tcBorders>
              <w:top w:val="single" w:sz="4" w:space="0" w:color="auto"/>
              <w:bottom w:val="single" w:sz="4" w:space="0" w:color="auto"/>
            </w:tcBorders>
            <w:shd w:val="clear" w:color="auto" w:fill="EEEEEE" w:themeFill="background2"/>
          </w:tcPr>
          <w:p w14:paraId="07D7D561" w14:textId="77777777" w:rsidR="00D91013" w:rsidRPr="00D91013" w:rsidRDefault="00D91013" w:rsidP="00637889">
            <w:pPr>
              <w:pStyle w:val="TableColumnHeadingRight"/>
              <w:spacing w:before="30" w:after="10"/>
              <w:rPr>
                <w:sz w:val="18"/>
                <w:szCs w:val="18"/>
              </w:rPr>
            </w:pPr>
          </w:p>
        </w:tc>
        <w:tc>
          <w:tcPr>
            <w:tcW w:w="987" w:type="dxa"/>
            <w:tcBorders>
              <w:top w:val="single" w:sz="4" w:space="0" w:color="auto"/>
              <w:bottom w:val="single" w:sz="4" w:space="0" w:color="auto"/>
            </w:tcBorders>
            <w:shd w:val="clear" w:color="auto" w:fill="EEEEEE" w:themeFill="background2"/>
            <w:vAlign w:val="center"/>
          </w:tcPr>
          <w:p w14:paraId="7E21B217" w14:textId="77777777" w:rsidR="00D91013" w:rsidRPr="00D91013" w:rsidRDefault="00D91013" w:rsidP="00637889">
            <w:pPr>
              <w:pStyle w:val="TableColumnHeadingRight"/>
              <w:spacing w:before="30" w:after="10"/>
              <w:rPr>
                <w:sz w:val="18"/>
                <w:szCs w:val="18"/>
              </w:rPr>
            </w:pPr>
            <w:r w:rsidRPr="00D91013">
              <w:rPr>
                <w:bCs/>
                <w:sz w:val="18"/>
                <w:szCs w:val="18"/>
              </w:rPr>
              <w:t>Less than 100</w:t>
            </w:r>
          </w:p>
        </w:tc>
        <w:tc>
          <w:tcPr>
            <w:tcW w:w="706" w:type="dxa"/>
            <w:tcBorders>
              <w:top w:val="single" w:sz="4" w:space="0" w:color="auto"/>
              <w:bottom w:val="single" w:sz="4" w:space="0" w:color="auto"/>
              <w:right w:val="single" w:sz="4" w:space="0" w:color="auto"/>
            </w:tcBorders>
            <w:shd w:val="clear" w:color="auto" w:fill="EEEEEE" w:themeFill="background2"/>
            <w:vAlign w:val="center"/>
          </w:tcPr>
          <w:p w14:paraId="6DBA23F9" w14:textId="77777777" w:rsidR="00D91013" w:rsidRPr="00D91013" w:rsidRDefault="00D91013" w:rsidP="00637889">
            <w:pPr>
              <w:pStyle w:val="TableColumnHeadingRight"/>
              <w:spacing w:before="30" w:after="10"/>
              <w:rPr>
                <w:sz w:val="18"/>
                <w:szCs w:val="18"/>
              </w:rPr>
            </w:pPr>
            <w:r w:rsidRPr="00D91013">
              <w:rPr>
                <w:bCs/>
                <w:sz w:val="18"/>
                <w:szCs w:val="18"/>
              </w:rPr>
              <w:t>100 or more</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1902FEF8" w14:textId="77777777" w:rsidR="00D91013" w:rsidRPr="00D91013" w:rsidRDefault="00D91013" w:rsidP="00637889">
            <w:pPr>
              <w:pStyle w:val="TableColumnHeadingRight"/>
              <w:spacing w:before="30" w:after="10"/>
              <w:rPr>
                <w:sz w:val="18"/>
                <w:szCs w:val="18"/>
              </w:rPr>
            </w:pPr>
            <w:r w:rsidRPr="00D91013">
              <w:rPr>
                <w:bCs/>
                <w:sz w:val="18"/>
                <w:szCs w:val="18"/>
              </w:rPr>
              <w:t>Generalist</w:t>
            </w:r>
          </w:p>
        </w:tc>
        <w:tc>
          <w:tcPr>
            <w:tcW w:w="987" w:type="dxa"/>
            <w:tcBorders>
              <w:top w:val="single" w:sz="4" w:space="0" w:color="auto"/>
              <w:bottom w:val="single" w:sz="4" w:space="0" w:color="auto"/>
            </w:tcBorders>
            <w:shd w:val="clear" w:color="auto" w:fill="EEEEEE" w:themeFill="background2"/>
            <w:vAlign w:val="center"/>
          </w:tcPr>
          <w:p w14:paraId="22FC3F25" w14:textId="0EC2CF5A" w:rsidR="00D91013" w:rsidRPr="00D91013" w:rsidRDefault="00D91013" w:rsidP="00637889">
            <w:pPr>
              <w:pStyle w:val="TableColumnHeadingRight"/>
              <w:spacing w:before="30" w:after="10"/>
              <w:rPr>
                <w:sz w:val="18"/>
                <w:szCs w:val="18"/>
              </w:rPr>
            </w:pPr>
            <w:r w:rsidRPr="00D91013">
              <w:rPr>
                <w:bCs/>
                <w:sz w:val="18"/>
                <w:szCs w:val="18"/>
              </w:rPr>
              <w:t xml:space="preserve">Specialist </w:t>
            </w:r>
            <w:r w:rsidR="007B3C6A">
              <w:rPr>
                <w:bCs/>
                <w:sz w:val="18"/>
                <w:szCs w:val="18"/>
              </w:rPr>
              <w:noBreakHyphen/>
            </w:r>
            <w:r w:rsidRPr="00D91013">
              <w:rPr>
                <w:bCs/>
                <w:sz w:val="18"/>
                <w:szCs w:val="18"/>
              </w:rPr>
              <w:t xml:space="preserve"> regional</w:t>
            </w:r>
          </w:p>
        </w:tc>
        <w:tc>
          <w:tcPr>
            <w:tcW w:w="1410" w:type="dxa"/>
            <w:tcBorders>
              <w:top w:val="single" w:sz="4" w:space="0" w:color="auto"/>
              <w:bottom w:val="single" w:sz="4" w:space="0" w:color="auto"/>
              <w:right w:val="single" w:sz="4" w:space="0" w:color="auto"/>
            </w:tcBorders>
            <w:shd w:val="clear" w:color="auto" w:fill="EEEEEE" w:themeFill="background2"/>
            <w:vAlign w:val="center"/>
          </w:tcPr>
          <w:p w14:paraId="420F3A1F" w14:textId="30844BE9" w:rsidR="00D91013" w:rsidRPr="00D91013" w:rsidRDefault="00D91013" w:rsidP="00637889">
            <w:pPr>
              <w:pStyle w:val="TableColumnHeadingRight"/>
              <w:spacing w:before="30" w:after="10"/>
              <w:rPr>
                <w:sz w:val="18"/>
                <w:szCs w:val="18"/>
              </w:rPr>
            </w:pPr>
            <w:r w:rsidRPr="00D91013">
              <w:rPr>
                <w:bCs/>
                <w:sz w:val="18"/>
                <w:szCs w:val="18"/>
              </w:rPr>
              <w:t xml:space="preserve">Specialist </w:t>
            </w:r>
            <w:r w:rsidR="007B3C6A">
              <w:rPr>
                <w:bCs/>
                <w:sz w:val="18"/>
                <w:szCs w:val="18"/>
              </w:rPr>
              <w:noBreakHyphen/>
            </w:r>
            <w:r w:rsidRPr="00D91013">
              <w:rPr>
                <w:bCs/>
                <w:sz w:val="18"/>
                <w:szCs w:val="18"/>
              </w:rPr>
              <w:t xml:space="preserve"> one / limited makes</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5D357C45" w14:textId="77777777" w:rsidR="00D91013" w:rsidRPr="00D91013" w:rsidRDefault="00D91013" w:rsidP="00637889">
            <w:pPr>
              <w:pStyle w:val="TableColumnHeadingRight"/>
              <w:spacing w:before="30" w:after="10"/>
              <w:rPr>
                <w:sz w:val="18"/>
                <w:szCs w:val="18"/>
              </w:rPr>
            </w:pPr>
            <w:r w:rsidRPr="00D91013">
              <w:rPr>
                <w:bCs/>
                <w:sz w:val="18"/>
                <w:szCs w:val="18"/>
              </w:rPr>
              <w:t>Owner operator</w:t>
            </w:r>
          </w:p>
        </w:tc>
        <w:tc>
          <w:tcPr>
            <w:tcW w:w="1100" w:type="dxa"/>
            <w:tcBorders>
              <w:top w:val="single" w:sz="4" w:space="0" w:color="auto"/>
              <w:bottom w:val="single" w:sz="4" w:space="0" w:color="auto"/>
            </w:tcBorders>
            <w:shd w:val="clear" w:color="auto" w:fill="EEEEEE" w:themeFill="background2"/>
            <w:vAlign w:val="center"/>
          </w:tcPr>
          <w:p w14:paraId="67ED4811" w14:textId="77777777" w:rsidR="00D91013" w:rsidRPr="00D91013" w:rsidRDefault="00D91013" w:rsidP="00637889">
            <w:pPr>
              <w:pStyle w:val="TableColumnHeadingRight"/>
              <w:spacing w:before="30" w:after="10"/>
              <w:rPr>
                <w:sz w:val="18"/>
                <w:szCs w:val="18"/>
              </w:rPr>
            </w:pPr>
            <w:r w:rsidRPr="00D91013">
              <w:rPr>
                <w:bCs/>
                <w:sz w:val="18"/>
                <w:szCs w:val="18"/>
              </w:rPr>
              <w:t>1 to 4 employees</w:t>
            </w:r>
          </w:p>
        </w:tc>
        <w:tc>
          <w:tcPr>
            <w:tcW w:w="1100" w:type="dxa"/>
            <w:tcBorders>
              <w:top w:val="single" w:sz="4" w:space="0" w:color="auto"/>
              <w:bottom w:val="single" w:sz="4" w:space="0" w:color="auto"/>
            </w:tcBorders>
            <w:shd w:val="clear" w:color="auto" w:fill="EEEEEE" w:themeFill="background2"/>
            <w:vAlign w:val="center"/>
          </w:tcPr>
          <w:p w14:paraId="14F2AEB0" w14:textId="77777777" w:rsidR="00D91013" w:rsidRPr="00D91013" w:rsidRDefault="00D91013" w:rsidP="00637889">
            <w:pPr>
              <w:pStyle w:val="TableColumnHeadingRight"/>
              <w:spacing w:before="30" w:after="10"/>
              <w:rPr>
                <w:sz w:val="18"/>
                <w:szCs w:val="18"/>
              </w:rPr>
            </w:pPr>
            <w:r w:rsidRPr="00D91013">
              <w:rPr>
                <w:bCs/>
                <w:sz w:val="18"/>
                <w:szCs w:val="18"/>
              </w:rPr>
              <w:t>5 to 19 employees</w:t>
            </w:r>
          </w:p>
        </w:tc>
        <w:tc>
          <w:tcPr>
            <w:tcW w:w="1101" w:type="dxa"/>
            <w:tcBorders>
              <w:top w:val="single" w:sz="4" w:space="0" w:color="auto"/>
              <w:bottom w:val="single" w:sz="4" w:space="0" w:color="auto"/>
              <w:right w:val="single" w:sz="4" w:space="0" w:color="auto"/>
            </w:tcBorders>
            <w:shd w:val="clear" w:color="auto" w:fill="EEEEEE" w:themeFill="background2"/>
            <w:vAlign w:val="center"/>
          </w:tcPr>
          <w:p w14:paraId="3D2448BD" w14:textId="77777777" w:rsidR="00D91013" w:rsidRPr="00D91013" w:rsidRDefault="00D91013" w:rsidP="00637889">
            <w:pPr>
              <w:pStyle w:val="TableColumnHeadingRight"/>
              <w:spacing w:before="30" w:after="10"/>
              <w:rPr>
                <w:sz w:val="18"/>
                <w:szCs w:val="18"/>
              </w:rPr>
            </w:pPr>
            <w:r w:rsidRPr="00D91013">
              <w:rPr>
                <w:bCs/>
                <w:sz w:val="18"/>
                <w:szCs w:val="18"/>
              </w:rPr>
              <w:t>20 or more employees</w:t>
            </w:r>
          </w:p>
        </w:tc>
        <w:tc>
          <w:tcPr>
            <w:tcW w:w="709" w:type="dxa"/>
            <w:tcBorders>
              <w:top w:val="single" w:sz="4" w:space="0" w:color="auto"/>
              <w:left w:val="single" w:sz="4" w:space="0" w:color="auto"/>
              <w:bottom w:val="single" w:sz="4" w:space="0" w:color="auto"/>
            </w:tcBorders>
            <w:shd w:val="clear" w:color="auto" w:fill="EEEEEE" w:themeFill="background2"/>
            <w:vAlign w:val="center"/>
          </w:tcPr>
          <w:p w14:paraId="34075A58" w14:textId="77777777" w:rsidR="00D91013" w:rsidRPr="00D91013" w:rsidRDefault="00D91013" w:rsidP="00637889">
            <w:pPr>
              <w:pStyle w:val="TableColumnHeadingRight"/>
              <w:spacing w:before="30" w:after="10"/>
              <w:rPr>
                <w:sz w:val="18"/>
                <w:szCs w:val="18"/>
              </w:rPr>
            </w:pPr>
            <w:r w:rsidRPr="00D91013">
              <w:rPr>
                <w:bCs/>
                <w:sz w:val="18"/>
                <w:szCs w:val="18"/>
              </w:rPr>
              <w:t>Metro</w:t>
            </w:r>
          </w:p>
        </w:tc>
        <w:tc>
          <w:tcPr>
            <w:tcW w:w="926" w:type="dxa"/>
            <w:tcBorders>
              <w:top w:val="single" w:sz="4" w:space="0" w:color="auto"/>
              <w:bottom w:val="single" w:sz="4" w:space="0" w:color="auto"/>
              <w:right w:val="single" w:sz="4" w:space="0" w:color="auto"/>
            </w:tcBorders>
            <w:shd w:val="clear" w:color="auto" w:fill="EEEEEE" w:themeFill="background2"/>
            <w:vAlign w:val="center"/>
          </w:tcPr>
          <w:p w14:paraId="1921BA16" w14:textId="77777777" w:rsidR="00D91013" w:rsidRPr="00D91013" w:rsidRDefault="00D91013" w:rsidP="00637889">
            <w:pPr>
              <w:pStyle w:val="TableColumnHeadingRight"/>
              <w:spacing w:before="30" w:after="10"/>
              <w:rPr>
                <w:sz w:val="18"/>
                <w:szCs w:val="18"/>
              </w:rPr>
            </w:pPr>
            <w:r w:rsidRPr="00D91013">
              <w:rPr>
                <w:bCs/>
                <w:sz w:val="18"/>
                <w:szCs w:val="18"/>
              </w:rPr>
              <w:t>Regional</w:t>
            </w:r>
          </w:p>
        </w:tc>
        <w:tc>
          <w:tcPr>
            <w:tcW w:w="603" w:type="dxa"/>
            <w:vMerge/>
            <w:tcBorders>
              <w:left w:val="single" w:sz="4" w:space="0" w:color="auto"/>
              <w:bottom w:val="single" w:sz="4" w:space="0" w:color="auto"/>
            </w:tcBorders>
            <w:shd w:val="clear" w:color="auto" w:fill="EEEEEE" w:themeFill="background2"/>
            <w:vAlign w:val="center"/>
          </w:tcPr>
          <w:p w14:paraId="3DECA8D9" w14:textId="77777777" w:rsidR="00D91013" w:rsidRPr="00D91013" w:rsidRDefault="00D91013" w:rsidP="00637889">
            <w:pPr>
              <w:pStyle w:val="TableColumnHeadingRight"/>
              <w:spacing w:before="30" w:after="10"/>
              <w:rPr>
                <w:bCs/>
                <w:sz w:val="18"/>
                <w:szCs w:val="18"/>
              </w:rPr>
            </w:pPr>
          </w:p>
        </w:tc>
      </w:tr>
      <w:tr w:rsidR="00EE5290" w:rsidRPr="00883271" w14:paraId="2DA853CA" w14:textId="77777777" w:rsidTr="0002544C">
        <w:trPr>
          <w:cnfStyle w:val="000000010000" w:firstRow="0" w:lastRow="0" w:firstColumn="0" w:lastColumn="0" w:oddVBand="0" w:evenVBand="0" w:oddHBand="0" w:evenHBand="1" w:firstRowFirstColumn="0" w:firstRowLastColumn="0" w:lastRowFirstColumn="0" w:lastRowLastColumn="0"/>
          <w:trHeight w:val="20"/>
          <w:jc w:val="center"/>
        </w:trPr>
        <w:tc>
          <w:tcPr>
            <w:tcW w:w="1975" w:type="dxa"/>
            <w:tcBorders>
              <w:top w:val="single" w:sz="4" w:space="0" w:color="auto"/>
            </w:tcBorders>
            <w:vAlign w:val="center"/>
          </w:tcPr>
          <w:p w14:paraId="625169FA" w14:textId="4EA21988" w:rsidR="00EE5290" w:rsidRPr="00D91013" w:rsidRDefault="00EE5290" w:rsidP="00637889">
            <w:pPr>
              <w:pStyle w:val="TableTextLeft"/>
              <w:spacing w:before="30" w:after="10"/>
              <w:rPr>
                <w:b/>
                <w:bCs/>
              </w:rPr>
            </w:pPr>
            <w:r w:rsidRPr="00883271">
              <w:rPr>
                <w:rFonts w:cs="Calibri Light"/>
                <w:b/>
                <w:bCs/>
                <w:sz w:val="19"/>
                <w:szCs w:val="19"/>
              </w:rPr>
              <w:t>Very frequently</w:t>
            </w:r>
          </w:p>
        </w:tc>
        <w:tc>
          <w:tcPr>
            <w:tcW w:w="987" w:type="dxa"/>
            <w:tcBorders>
              <w:top w:val="single" w:sz="4" w:space="0" w:color="auto"/>
            </w:tcBorders>
            <w:vAlign w:val="center"/>
          </w:tcPr>
          <w:p w14:paraId="685B9234" w14:textId="3BBA6587" w:rsidR="00EE5290" w:rsidRPr="00D91013" w:rsidRDefault="00EE5290" w:rsidP="00637889">
            <w:pPr>
              <w:pStyle w:val="TableTextRight"/>
              <w:spacing w:before="30" w:after="10"/>
            </w:pPr>
            <w:r w:rsidRPr="00883271">
              <w:rPr>
                <w:rFonts w:cs="Calibri Light"/>
                <w:sz w:val="19"/>
                <w:szCs w:val="19"/>
              </w:rPr>
              <w:t>3%</w:t>
            </w:r>
          </w:p>
        </w:tc>
        <w:tc>
          <w:tcPr>
            <w:tcW w:w="706" w:type="dxa"/>
            <w:tcBorders>
              <w:top w:val="single" w:sz="4" w:space="0" w:color="auto"/>
              <w:right w:val="single" w:sz="4" w:space="0" w:color="auto"/>
            </w:tcBorders>
            <w:vAlign w:val="center"/>
          </w:tcPr>
          <w:p w14:paraId="1C04D4CC" w14:textId="78D5ADD4" w:rsidR="00EE5290" w:rsidRPr="00D91013" w:rsidRDefault="00EE5290" w:rsidP="00637889">
            <w:pPr>
              <w:pStyle w:val="TableTextRight"/>
              <w:spacing w:before="30" w:after="10"/>
            </w:pPr>
            <w:r w:rsidRPr="00883271">
              <w:rPr>
                <w:rFonts w:cs="Calibri Light"/>
                <w:sz w:val="19"/>
                <w:szCs w:val="19"/>
              </w:rPr>
              <w:t>3%</w:t>
            </w:r>
          </w:p>
        </w:tc>
        <w:tc>
          <w:tcPr>
            <w:tcW w:w="987" w:type="dxa"/>
            <w:tcBorders>
              <w:top w:val="single" w:sz="4" w:space="0" w:color="auto"/>
              <w:left w:val="single" w:sz="4" w:space="0" w:color="auto"/>
            </w:tcBorders>
            <w:vAlign w:val="center"/>
          </w:tcPr>
          <w:p w14:paraId="00644BE9" w14:textId="387A8A4A" w:rsidR="00EE5290" w:rsidRPr="00D91013" w:rsidRDefault="00EE5290" w:rsidP="00637889">
            <w:pPr>
              <w:pStyle w:val="TableTextRight"/>
              <w:spacing w:before="30" w:after="10"/>
            </w:pPr>
            <w:r w:rsidRPr="00883271">
              <w:rPr>
                <w:rFonts w:cs="Calibri Light"/>
                <w:sz w:val="19"/>
                <w:szCs w:val="19"/>
              </w:rPr>
              <w:t>4%</w:t>
            </w:r>
          </w:p>
        </w:tc>
        <w:tc>
          <w:tcPr>
            <w:tcW w:w="987" w:type="dxa"/>
            <w:tcBorders>
              <w:top w:val="single" w:sz="4" w:space="0" w:color="auto"/>
            </w:tcBorders>
            <w:vAlign w:val="center"/>
          </w:tcPr>
          <w:p w14:paraId="22C0ED28" w14:textId="5017FE7E" w:rsidR="00EE5290" w:rsidRPr="00D91013" w:rsidRDefault="00EE5290" w:rsidP="00637889">
            <w:pPr>
              <w:pStyle w:val="TableTextRight"/>
              <w:spacing w:before="30" w:after="10"/>
            </w:pPr>
            <w:r w:rsidRPr="00883271">
              <w:rPr>
                <w:rFonts w:cs="Calibri Light"/>
                <w:sz w:val="19"/>
                <w:szCs w:val="19"/>
              </w:rPr>
              <w:t>0%</w:t>
            </w:r>
          </w:p>
        </w:tc>
        <w:tc>
          <w:tcPr>
            <w:tcW w:w="1410" w:type="dxa"/>
            <w:tcBorders>
              <w:top w:val="single" w:sz="4" w:space="0" w:color="auto"/>
              <w:right w:val="single" w:sz="4" w:space="0" w:color="auto"/>
            </w:tcBorders>
            <w:vAlign w:val="center"/>
          </w:tcPr>
          <w:p w14:paraId="5E56E442" w14:textId="438AF7CC" w:rsidR="00EE5290" w:rsidRPr="00D91013" w:rsidRDefault="00EE5290" w:rsidP="00637889">
            <w:pPr>
              <w:pStyle w:val="TableTextRight"/>
              <w:spacing w:before="30" w:after="10"/>
            </w:pPr>
            <w:r w:rsidRPr="00883271">
              <w:rPr>
                <w:rFonts w:cs="Calibri Light"/>
                <w:sz w:val="19"/>
                <w:szCs w:val="19"/>
              </w:rPr>
              <w:t>0%</w:t>
            </w:r>
          </w:p>
        </w:tc>
        <w:tc>
          <w:tcPr>
            <w:tcW w:w="987" w:type="dxa"/>
            <w:tcBorders>
              <w:top w:val="single" w:sz="4" w:space="0" w:color="auto"/>
              <w:left w:val="single" w:sz="4" w:space="0" w:color="auto"/>
            </w:tcBorders>
            <w:vAlign w:val="center"/>
          </w:tcPr>
          <w:p w14:paraId="467FA034" w14:textId="455126A6" w:rsidR="00EE5290" w:rsidRPr="00D91013" w:rsidRDefault="00EE5290" w:rsidP="00637889">
            <w:pPr>
              <w:pStyle w:val="TableTextRight"/>
              <w:spacing w:before="30" w:after="10"/>
            </w:pPr>
            <w:r w:rsidRPr="00883271">
              <w:rPr>
                <w:rFonts w:cs="Calibri Light"/>
                <w:sz w:val="19"/>
                <w:szCs w:val="19"/>
              </w:rPr>
              <w:t>0%</w:t>
            </w:r>
          </w:p>
        </w:tc>
        <w:tc>
          <w:tcPr>
            <w:tcW w:w="1100" w:type="dxa"/>
            <w:tcBorders>
              <w:top w:val="single" w:sz="4" w:space="0" w:color="auto"/>
            </w:tcBorders>
            <w:vAlign w:val="center"/>
          </w:tcPr>
          <w:p w14:paraId="2931B7C5" w14:textId="55448A77" w:rsidR="00EE5290" w:rsidRPr="00D91013" w:rsidRDefault="00EE5290" w:rsidP="00637889">
            <w:pPr>
              <w:pStyle w:val="TableTextRight"/>
              <w:spacing w:before="30" w:after="10"/>
            </w:pPr>
            <w:r w:rsidRPr="00883271">
              <w:rPr>
                <w:rFonts w:cs="Calibri Light"/>
                <w:sz w:val="19"/>
                <w:szCs w:val="19"/>
              </w:rPr>
              <w:t>3%</w:t>
            </w:r>
          </w:p>
        </w:tc>
        <w:tc>
          <w:tcPr>
            <w:tcW w:w="1100" w:type="dxa"/>
            <w:tcBorders>
              <w:top w:val="single" w:sz="4" w:space="0" w:color="auto"/>
            </w:tcBorders>
            <w:vAlign w:val="center"/>
          </w:tcPr>
          <w:p w14:paraId="7363C1FA" w14:textId="4180E11B" w:rsidR="00EE5290" w:rsidRPr="00D91013" w:rsidRDefault="00EE5290" w:rsidP="00637889">
            <w:pPr>
              <w:pStyle w:val="TableTextRight"/>
              <w:spacing w:before="30" w:after="10"/>
            </w:pPr>
            <w:r w:rsidRPr="00883271">
              <w:rPr>
                <w:rFonts w:cs="Calibri Light"/>
                <w:sz w:val="19"/>
                <w:szCs w:val="19"/>
              </w:rPr>
              <w:t>3%</w:t>
            </w:r>
          </w:p>
        </w:tc>
        <w:tc>
          <w:tcPr>
            <w:tcW w:w="1101" w:type="dxa"/>
            <w:tcBorders>
              <w:top w:val="single" w:sz="4" w:space="0" w:color="auto"/>
              <w:right w:val="single" w:sz="4" w:space="0" w:color="auto"/>
            </w:tcBorders>
            <w:vAlign w:val="center"/>
          </w:tcPr>
          <w:p w14:paraId="5515839D" w14:textId="0848958A" w:rsidR="00EE5290" w:rsidRPr="00D91013" w:rsidRDefault="00EE5290" w:rsidP="00637889">
            <w:pPr>
              <w:pStyle w:val="TableTextRight"/>
              <w:spacing w:before="30" w:after="10"/>
            </w:pPr>
            <w:r w:rsidRPr="00883271">
              <w:rPr>
                <w:rFonts w:cs="Calibri Light"/>
                <w:sz w:val="19"/>
                <w:szCs w:val="19"/>
              </w:rPr>
              <w:t>6%</w:t>
            </w:r>
          </w:p>
        </w:tc>
        <w:tc>
          <w:tcPr>
            <w:tcW w:w="709" w:type="dxa"/>
            <w:tcBorders>
              <w:top w:val="single" w:sz="4" w:space="0" w:color="auto"/>
              <w:left w:val="single" w:sz="4" w:space="0" w:color="auto"/>
            </w:tcBorders>
            <w:vAlign w:val="center"/>
          </w:tcPr>
          <w:p w14:paraId="3566F82D" w14:textId="639D829B" w:rsidR="00EE5290" w:rsidRPr="00D91013" w:rsidRDefault="00EE5290" w:rsidP="00637889">
            <w:pPr>
              <w:pStyle w:val="TableTextRight"/>
              <w:spacing w:before="30" w:after="10"/>
            </w:pPr>
            <w:r w:rsidRPr="00883271">
              <w:rPr>
                <w:rFonts w:cs="Calibri Light"/>
                <w:sz w:val="19"/>
                <w:szCs w:val="19"/>
              </w:rPr>
              <w:t>2%</w:t>
            </w:r>
          </w:p>
        </w:tc>
        <w:tc>
          <w:tcPr>
            <w:tcW w:w="926" w:type="dxa"/>
            <w:tcBorders>
              <w:top w:val="single" w:sz="4" w:space="0" w:color="auto"/>
              <w:right w:val="single" w:sz="4" w:space="0" w:color="auto"/>
            </w:tcBorders>
            <w:vAlign w:val="center"/>
          </w:tcPr>
          <w:p w14:paraId="4A4B9D87" w14:textId="2CA86C58" w:rsidR="00EE5290" w:rsidRPr="00D91013" w:rsidRDefault="00EE5290" w:rsidP="00637889">
            <w:pPr>
              <w:pStyle w:val="TableTextRight"/>
              <w:spacing w:before="30" w:after="10"/>
            </w:pPr>
            <w:r w:rsidRPr="00883271">
              <w:rPr>
                <w:rFonts w:cs="Calibri Light"/>
                <w:sz w:val="19"/>
                <w:szCs w:val="19"/>
              </w:rPr>
              <w:t>2%</w:t>
            </w:r>
          </w:p>
        </w:tc>
        <w:tc>
          <w:tcPr>
            <w:tcW w:w="603" w:type="dxa"/>
            <w:tcBorders>
              <w:top w:val="single" w:sz="4" w:space="0" w:color="auto"/>
              <w:left w:val="single" w:sz="4" w:space="0" w:color="auto"/>
            </w:tcBorders>
            <w:vAlign w:val="center"/>
          </w:tcPr>
          <w:p w14:paraId="51E73350" w14:textId="5451455B" w:rsidR="00EE5290" w:rsidRPr="00D91013" w:rsidRDefault="00EE5290" w:rsidP="00637889">
            <w:pPr>
              <w:pStyle w:val="TableTextRight"/>
              <w:spacing w:before="30" w:after="10"/>
              <w:rPr>
                <w:b/>
                <w:bCs/>
              </w:rPr>
            </w:pPr>
            <w:r w:rsidRPr="00883271">
              <w:rPr>
                <w:rFonts w:cs="Calibri Light"/>
                <w:b/>
                <w:bCs/>
                <w:sz w:val="19"/>
                <w:szCs w:val="19"/>
              </w:rPr>
              <w:t>3%</w:t>
            </w:r>
          </w:p>
        </w:tc>
      </w:tr>
      <w:tr w:rsidR="00EE5290" w:rsidRPr="00883271" w14:paraId="78048A1E" w14:textId="77777777" w:rsidTr="0002544C">
        <w:trPr>
          <w:cnfStyle w:val="000000100000" w:firstRow="0" w:lastRow="0" w:firstColumn="0" w:lastColumn="0" w:oddVBand="0" w:evenVBand="0" w:oddHBand="1" w:evenHBand="0" w:firstRowFirstColumn="0" w:firstRowLastColumn="0" w:lastRowFirstColumn="0" w:lastRowLastColumn="0"/>
          <w:trHeight w:val="20"/>
          <w:jc w:val="center"/>
        </w:trPr>
        <w:tc>
          <w:tcPr>
            <w:tcW w:w="1975" w:type="dxa"/>
            <w:vAlign w:val="center"/>
          </w:tcPr>
          <w:p w14:paraId="2DA32A0D" w14:textId="4CDEA8A6" w:rsidR="00EE5290" w:rsidRPr="00D91013" w:rsidRDefault="00EE5290" w:rsidP="00637889">
            <w:pPr>
              <w:pStyle w:val="TableTextLeft"/>
              <w:spacing w:before="30" w:after="10"/>
              <w:rPr>
                <w:b/>
                <w:bCs/>
              </w:rPr>
            </w:pPr>
            <w:r w:rsidRPr="00883271">
              <w:rPr>
                <w:rFonts w:cs="Calibri Light"/>
                <w:b/>
                <w:bCs/>
                <w:sz w:val="19"/>
                <w:szCs w:val="19"/>
              </w:rPr>
              <w:t>Frequently</w:t>
            </w:r>
          </w:p>
        </w:tc>
        <w:tc>
          <w:tcPr>
            <w:tcW w:w="987" w:type="dxa"/>
            <w:vAlign w:val="center"/>
          </w:tcPr>
          <w:p w14:paraId="6790FB01" w14:textId="14F8B40F" w:rsidR="00EE5290" w:rsidRPr="00D91013" w:rsidRDefault="00EE5290" w:rsidP="00637889">
            <w:pPr>
              <w:pStyle w:val="TableTextRight"/>
              <w:spacing w:before="30" w:after="10"/>
            </w:pPr>
            <w:r w:rsidRPr="00883271">
              <w:rPr>
                <w:rFonts w:cs="Calibri Light"/>
                <w:sz w:val="19"/>
                <w:szCs w:val="19"/>
              </w:rPr>
              <w:t>9%</w:t>
            </w:r>
          </w:p>
        </w:tc>
        <w:tc>
          <w:tcPr>
            <w:tcW w:w="706" w:type="dxa"/>
            <w:tcBorders>
              <w:right w:val="single" w:sz="4" w:space="0" w:color="auto"/>
            </w:tcBorders>
            <w:vAlign w:val="center"/>
          </w:tcPr>
          <w:p w14:paraId="3FFA3DBD" w14:textId="24206F6E" w:rsidR="00EE5290" w:rsidRPr="00D91013" w:rsidRDefault="00EE5290" w:rsidP="00637889">
            <w:pPr>
              <w:pStyle w:val="TableTextRight"/>
              <w:spacing w:before="30" w:after="10"/>
            </w:pPr>
            <w:r w:rsidRPr="00883271">
              <w:rPr>
                <w:rFonts w:cs="Calibri Light"/>
                <w:sz w:val="19"/>
                <w:szCs w:val="19"/>
              </w:rPr>
              <w:t>9%</w:t>
            </w:r>
          </w:p>
        </w:tc>
        <w:tc>
          <w:tcPr>
            <w:tcW w:w="987" w:type="dxa"/>
            <w:tcBorders>
              <w:left w:val="single" w:sz="4" w:space="0" w:color="auto"/>
            </w:tcBorders>
            <w:vAlign w:val="center"/>
          </w:tcPr>
          <w:p w14:paraId="7E1F5678" w14:textId="0B5F897C" w:rsidR="00EE5290" w:rsidRPr="00D91013" w:rsidRDefault="00EE5290" w:rsidP="00637889">
            <w:pPr>
              <w:pStyle w:val="TableTextRight"/>
              <w:spacing w:before="30" w:after="10"/>
            </w:pPr>
            <w:r w:rsidRPr="00883271">
              <w:rPr>
                <w:rFonts w:cs="Calibri Light"/>
                <w:sz w:val="19"/>
                <w:szCs w:val="19"/>
              </w:rPr>
              <w:t>9%</w:t>
            </w:r>
          </w:p>
        </w:tc>
        <w:tc>
          <w:tcPr>
            <w:tcW w:w="987" w:type="dxa"/>
            <w:vAlign w:val="center"/>
          </w:tcPr>
          <w:p w14:paraId="13453F7E" w14:textId="6B2A0833" w:rsidR="00EE5290" w:rsidRPr="00D91013" w:rsidRDefault="00EE5290" w:rsidP="00637889">
            <w:pPr>
              <w:pStyle w:val="TableTextRight"/>
              <w:spacing w:before="30" w:after="10"/>
            </w:pPr>
            <w:r w:rsidRPr="00883271">
              <w:rPr>
                <w:rFonts w:cs="Calibri Light"/>
                <w:sz w:val="19"/>
                <w:szCs w:val="19"/>
              </w:rPr>
              <w:t>14%</w:t>
            </w:r>
          </w:p>
        </w:tc>
        <w:tc>
          <w:tcPr>
            <w:tcW w:w="1410" w:type="dxa"/>
            <w:tcBorders>
              <w:right w:val="single" w:sz="4" w:space="0" w:color="auto"/>
            </w:tcBorders>
            <w:vAlign w:val="center"/>
          </w:tcPr>
          <w:p w14:paraId="62A18F07" w14:textId="46898889" w:rsidR="00EE5290" w:rsidRPr="00D91013" w:rsidRDefault="00EE5290" w:rsidP="00637889">
            <w:pPr>
              <w:pStyle w:val="TableTextRight"/>
              <w:spacing w:before="30" w:after="10"/>
            </w:pPr>
            <w:r w:rsidRPr="00883271">
              <w:rPr>
                <w:rFonts w:cs="Calibri Light"/>
                <w:sz w:val="19"/>
                <w:szCs w:val="19"/>
              </w:rPr>
              <w:t>11%</w:t>
            </w:r>
          </w:p>
        </w:tc>
        <w:tc>
          <w:tcPr>
            <w:tcW w:w="987" w:type="dxa"/>
            <w:tcBorders>
              <w:left w:val="single" w:sz="4" w:space="0" w:color="auto"/>
            </w:tcBorders>
            <w:vAlign w:val="center"/>
          </w:tcPr>
          <w:p w14:paraId="6AF8D99B" w14:textId="2547BAED" w:rsidR="00EE5290" w:rsidRPr="00D91013" w:rsidRDefault="00EE5290" w:rsidP="00637889">
            <w:pPr>
              <w:pStyle w:val="TableTextRight"/>
              <w:spacing w:before="30" w:after="10"/>
            </w:pPr>
            <w:r w:rsidRPr="00883271">
              <w:rPr>
                <w:rFonts w:cs="Calibri Light"/>
                <w:sz w:val="19"/>
                <w:szCs w:val="19"/>
              </w:rPr>
              <w:t>5%</w:t>
            </w:r>
          </w:p>
        </w:tc>
        <w:tc>
          <w:tcPr>
            <w:tcW w:w="1100" w:type="dxa"/>
            <w:vAlign w:val="center"/>
          </w:tcPr>
          <w:p w14:paraId="67C0F5E2" w14:textId="4BDAD0B1" w:rsidR="00EE5290" w:rsidRPr="00D91013" w:rsidRDefault="00EE5290" w:rsidP="00637889">
            <w:pPr>
              <w:pStyle w:val="TableTextRight"/>
              <w:spacing w:before="30" w:after="10"/>
            </w:pPr>
            <w:r w:rsidRPr="00883271">
              <w:rPr>
                <w:rFonts w:cs="Calibri Light"/>
                <w:sz w:val="19"/>
                <w:szCs w:val="19"/>
              </w:rPr>
              <w:t>6%</w:t>
            </w:r>
          </w:p>
        </w:tc>
        <w:tc>
          <w:tcPr>
            <w:tcW w:w="1100" w:type="dxa"/>
            <w:vAlign w:val="center"/>
          </w:tcPr>
          <w:p w14:paraId="70A5D290" w14:textId="2484F1CA" w:rsidR="00EE5290" w:rsidRPr="00D91013" w:rsidRDefault="00EE5290" w:rsidP="00637889">
            <w:pPr>
              <w:pStyle w:val="TableTextRight"/>
              <w:spacing w:before="30" w:after="10"/>
            </w:pPr>
            <w:r w:rsidRPr="00883271">
              <w:rPr>
                <w:rFonts w:cs="Calibri Light"/>
                <w:sz w:val="19"/>
                <w:szCs w:val="19"/>
              </w:rPr>
              <w:t>9%</w:t>
            </w:r>
          </w:p>
        </w:tc>
        <w:tc>
          <w:tcPr>
            <w:tcW w:w="1101" w:type="dxa"/>
            <w:tcBorders>
              <w:right w:val="single" w:sz="4" w:space="0" w:color="auto"/>
            </w:tcBorders>
            <w:vAlign w:val="center"/>
          </w:tcPr>
          <w:p w14:paraId="248BDAFF" w14:textId="1B3CA3E8" w:rsidR="00EE5290" w:rsidRPr="00D91013" w:rsidRDefault="00EE5290" w:rsidP="00637889">
            <w:pPr>
              <w:pStyle w:val="TableTextRight"/>
              <w:spacing w:before="30" w:after="10"/>
            </w:pPr>
            <w:r w:rsidRPr="00883271">
              <w:rPr>
                <w:rFonts w:cs="Calibri Light"/>
                <w:sz w:val="19"/>
                <w:szCs w:val="19"/>
              </w:rPr>
              <w:t>29%</w:t>
            </w:r>
          </w:p>
        </w:tc>
        <w:tc>
          <w:tcPr>
            <w:tcW w:w="709" w:type="dxa"/>
            <w:tcBorders>
              <w:left w:val="single" w:sz="4" w:space="0" w:color="auto"/>
            </w:tcBorders>
            <w:vAlign w:val="center"/>
          </w:tcPr>
          <w:p w14:paraId="245D25B5" w14:textId="0068C6BD" w:rsidR="00EE5290" w:rsidRPr="00D91013" w:rsidRDefault="00EE5290" w:rsidP="00637889">
            <w:pPr>
              <w:pStyle w:val="TableTextRight"/>
              <w:spacing w:before="30" w:after="10"/>
            </w:pPr>
            <w:r w:rsidRPr="00883271">
              <w:rPr>
                <w:rFonts w:cs="Calibri Light"/>
                <w:sz w:val="19"/>
                <w:szCs w:val="19"/>
              </w:rPr>
              <w:t>8%</w:t>
            </w:r>
          </w:p>
        </w:tc>
        <w:tc>
          <w:tcPr>
            <w:tcW w:w="926" w:type="dxa"/>
            <w:tcBorders>
              <w:right w:val="single" w:sz="4" w:space="0" w:color="auto"/>
            </w:tcBorders>
            <w:vAlign w:val="center"/>
          </w:tcPr>
          <w:p w14:paraId="247C45A8" w14:textId="4E9CF0C3" w:rsidR="00EE5290" w:rsidRPr="00D91013" w:rsidRDefault="00EE5290" w:rsidP="00637889">
            <w:pPr>
              <w:pStyle w:val="TableTextRight"/>
              <w:spacing w:before="30" w:after="10"/>
            </w:pPr>
            <w:r w:rsidRPr="00883271">
              <w:rPr>
                <w:rFonts w:cs="Calibri Light"/>
                <w:sz w:val="19"/>
                <w:szCs w:val="19"/>
              </w:rPr>
              <w:t>13%</w:t>
            </w:r>
          </w:p>
        </w:tc>
        <w:tc>
          <w:tcPr>
            <w:tcW w:w="603" w:type="dxa"/>
            <w:tcBorders>
              <w:left w:val="single" w:sz="4" w:space="0" w:color="auto"/>
            </w:tcBorders>
            <w:vAlign w:val="center"/>
          </w:tcPr>
          <w:p w14:paraId="4E88FAA6" w14:textId="75CD5A34" w:rsidR="00EE5290" w:rsidRPr="00D91013" w:rsidRDefault="00EE5290" w:rsidP="00637889">
            <w:pPr>
              <w:pStyle w:val="TableTextRight"/>
              <w:spacing w:before="30" w:after="10"/>
              <w:rPr>
                <w:b/>
                <w:bCs/>
              </w:rPr>
            </w:pPr>
            <w:r w:rsidRPr="00883271">
              <w:rPr>
                <w:rFonts w:cs="Calibri Light"/>
                <w:b/>
                <w:bCs/>
                <w:sz w:val="19"/>
                <w:szCs w:val="19"/>
              </w:rPr>
              <w:t>10%</w:t>
            </w:r>
          </w:p>
        </w:tc>
      </w:tr>
      <w:tr w:rsidR="00EE5290" w:rsidRPr="00883271" w14:paraId="70F722EA" w14:textId="77777777" w:rsidTr="0002544C">
        <w:trPr>
          <w:cnfStyle w:val="000000010000" w:firstRow="0" w:lastRow="0" w:firstColumn="0" w:lastColumn="0" w:oddVBand="0" w:evenVBand="0" w:oddHBand="0" w:evenHBand="1" w:firstRowFirstColumn="0" w:firstRowLastColumn="0" w:lastRowFirstColumn="0" w:lastRowLastColumn="0"/>
          <w:trHeight w:val="20"/>
          <w:jc w:val="center"/>
        </w:trPr>
        <w:tc>
          <w:tcPr>
            <w:tcW w:w="1975" w:type="dxa"/>
            <w:vAlign w:val="center"/>
          </w:tcPr>
          <w:p w14:paraId="61339C9A" w14:textId="620A84A9" w:rsidR="00EE5290" w:rsidRPr="00D91013" w:rsidRDefault="00EE5290" w:rsidP="00637889">
            <w:pPr>
              <w:pStyle w:val="TableTextLeft"/>
              <w:spacing w:before="30" w:after="10"/>
              <w:rPr>
                <w:b/>
                <w:bCs/>
              </w:rPr>
            </w:pPr>
            <w:r w:rsidRPr="00883271">
              <w:rPr>
                <w:rFonts w:cs="Calibri Light"/>
                <w:b/>
                <w:bCs/>
                <w:sz w:val="19"/>
                <w:szCs w:val="19"/>
              </w:rPr>
              <w:t>Occasionally</w:t>
            </w:r>
          </w:p>
        </w:tc>
        <w:tc>
          <w:tcPr>
            <w:tcW w:w="987" w:type="dxa"/>
            <w:vAlign w:val="center"/>
          </w:tcPr>
          <w:p w14:paraId="140BBBF4" w14:textId="48902654" w:rsidR="00EE5290" w:rsidRPr="00D91013" w:rsidRDefault="00EE5290" w:rsidP="00637889">
            <w:pPr>
              <w:pStyle w:val="TableTextRight"/>
              <w:spacing w:before="30" w:after="10"/>
            </w:pPr>
            <w:r w:rsidRPr="00883271">
              <w:t>34%</w:t>
            </w:r>
          </w:p>
        </w:tc>
        <w:tc>
          <w:tcPr>
            <w:tcW w:w="706" w:type="dxa"/>
            <w:tcBorders>
              <w:right w:val="single" w:sz="4" w:space="0" w:color="auto"/>
            </w:tcBorders>
            <w:vAlign w:val="center"/>
          </w:tcPr>
          <w:p w14:paraId="21364AB9" w14:textId="5D1B43AC" w:rsidR="00EE5290" w:rsidRPr="00D91013" w:rsidRDefault="00EE5290" w:rsidP="00637889">
            <w:pPr>
              <w:pStyle w:val="TableTextRight"/>
              <w:spacing w:before="30" w:after="10"/>
            </w:pPr>
            <w:r w:rsidRPr="00883271">
              <w:t>39%</w:t>
            </w:r>
          </w:p>
        </w:tc>
        <w:tc>
          <w:tcPr>
            <w:tcW w:w="987" w:type="dxa"/>
            <w:tcBorders>
              <w:left w:val="single" w:sz="4" w:space="0" w:color="auto"/>
            </w:tcBorders>
            <w:vAlign w:val="center"/>
          </w:tcPr>
          <w:p w14:paraId="3ADD4ED5" w14:textId="7A00118C" w:rsidR="00EE5290" w:rsidRPr="00D91013" w:rsidRDefault="00EE5290" w:rsidP="00637889">
            <w:pPr>
              <w:pStyle w:val="TableTextRight"/>
              <w:spacing w:before="30" w:after="10"/>
            </w:pPr>
            <w:r w:rsidRPr="00883271">
              <w:t>40%</w:t>
            </w:r>
          </w:p>
        </w:tc>
        <w:tc>
          <w:tcPr>
            <w:tcW w:w="987" w:type="dxa"/>
            <w:vAlign w:val="center"/>
          </w:tcPr>
          <w:p w14:paraId="572620FC" w14:textId="6FAE0F8F" w:rsidR="00EE5290" w:rsidRPr="00D91013" w:rsidRDefault="00EE5290" w:rsidP="00637889">
            <w:pPr>
              <w:pStyle w:val="TableTextRight"/>
              <w:spacing w:before="30" w:after="10"/>
            </w:pPr>
            <w:r w:rsidRPr="00883271">
              <w:t>27%</w:t>
            </w:r>
          </w:p>
        </w:tc>
        <w:tc>
          <w:tcPr>
            <w:tcW w:w="1410" w:type="dxa"/>
            <w:tcBorders>
              <w:right w:val="single" w:sz="4" w:space="0" w:color="auto"/>
            </w:tcBorders>
            <w:vAlign w:val="center"/>
          </w:tcPr>
          <w:p w14:paraId="6CCC5B0E" w14:textId="0397C9C7" w:rsidR="00EE5290" w:rsidRPr="00D91013" w:rsidRDefault="00EE5290" w:rsidP="00637889">
            <w:pPr>
              <w:pStyle w:val="TableTextRight"/>
              <w:spacing w:before="30" w:after="10"/>
            </w:pPr>
            <w:r w:rsidRPr="00883271">
              <w:t>30%</w:t>
            </w:r>
          </w:p>
        </w:tc>
        <w:tc>
          <w:tcPr>
            <w:tcW w:w="987" w:type="dxa"/>
            <w:tcBorders>
              <w:left w:val="single" w:sz="4" w:space="0" w:color="auto"/>
            </w:tcBorders>
            <w:vAlign w:val="center"/>
          </w:tcPr>
          <w:p w14:paraId="76CE1D6C" w14:textId="71248F43" w:rsidR="00EE5290" w:rsidRPr="00D91013" w:rsidRDefault="00EE5290" w:rsidP="00637889">
            <w:pPr>
              <w:pStyle w:val="TableTextRight"/>
              <w:spacing w:before="30" w:after="10"/>
            </w:pPr>
            <w:r w:rsidRPr="00883271">
              <w:t>41%</w:t>
            </w:r>
          </w:p>
        </w:tc>
        <w:tc>
          <w:tcPr>
            <w:tcW w:w="1100" w:type="dxa"/>
            <w:vAlign w:val="center"/>
          </w:tcPr>
          <w:p w14:paraId="5C4BA375" w14:textId="2298F17B" w:rsidR="00EE5290" w:rsidRPr="00D91013" w:rsidRDefault="00EE5290" w:rsidP="00637889">
            <w:pPr>
              <w:pStyle w:val="TableTextRight"/>
              <w:spacing w:before="30" w:after="10"/>
            </w:pPr>
            <w:r w:rsidRPr="00883271">
              <w:t>36%</w:t>
            </w:r>
          </w:p>
        </w:tc>
        <w:tc>
          <w:tcPr>
            <w:tcW w:w="1100" w:type="dxa"/>
            <w:vAlign w:val="center"/>
          </w:tcPr>
          <w:p w14:paraId="5CCA96A5" w14:textId="6074C423" w:rsidR="00EE5290" w:rsidRPr="00D91013" w:rsidRDefault="00EE5290" w:rsidP="00637889">
            <w:pPr>
              <w:pStyle w:val="TableTextRight"/>
              <w:spacing w:before="30" w:after="10"/>
            </w:pPr>
            <w:r w:rsidRPr="00883271">
              <w:t>36%</w:t>
            </w:r>
          </w:p>
        </w:tc>
        <w:tc>
          <w:tcPr>
            <w:tcW w:w="1101" w:type="dxa"/>
            <w:tcBorders>
              <w:right w:val="single" w:sz="4" w:space="0" w:color="auto"/>
            </w:tcBorders>
            <w:vAlign w:val="center"/>
          </w:tcPr>
          <w:p w14:paraId="63021B4B" w14:textId="7A95655A" w:rsidR="00EE5290" w:rsidRPr="00D91013" w:rsidRDefault="00EE5290" w:rsidP="00637889">
            <w:pPr>
              <w:pStyle w:val="TableTextRight"/>
              <w:spacing w:before="30" w:after="10"/>
            </w:pPr>
            <w:r w:rsidRPr="00883271">
              <w:t>29%</w:t>
            </w:r>
          </w:p>
        </w:tc>
        <w:tc>
          <w:tcPr>
            <w:tcW w:w="709" w:type="dxa"/>
            <w:tcBorders>
              <w:left w:val="single" w:sz="4" w:space="0" w:color="auto"/>
            </w:tcBorders>
            <w:vAlign w:val="center"/>
          </w:tcPr>
          <w:p w14:paraId="62DE06E7" w14:textId="505E2A73" w:rsidR="00EE5290" w:rsidRPr="00D91013" w:rsidRDefault="00EE5290" w:rsidP="00637889">
            <w:pPr>
              <w:pStyle w:val="TableTextRight"/>
              <w:spacing w:before="30" w:after="10"/>
            </w:pPr>
            <w:r w:rsidRPr="00883271">
              <w:t>36%</w:t>
            </w:r>
          </w:p>
        </w:tc>
        <w:tc>
          <w:tcPr>
            <w:tcW w:w="926" w:type="dxa"/>
            <w:tcBorders>
              <w:right w:val="single" w:sz="4" w:space="0" w:color="auto"/>
            </w:tcBorders>
            <w:vAlign w:val="center"/>
          </w:tcPr>
          <w:p w14:paraId="7ABBB304" w14:textId="478F6840" w:rsidR="00EE5290" w:rsidRPr="00D91013" w:rsidRDefault="00EE5290" w:rsidP="00637889">
            <w:pPr>
              <w:pStyle w:val="TableTextRight"/>
              <w:spacing w:before="30" w:after="10"/>
            </w:pPr>
            <w:r w:rsidRPr="00883271">
              <w:t>36%</w:t>
            </w:r>
          </w:p>
        </w:tc>
        <w:tc>
          <w:tcPr>
            <w:tcW w:w="603" w:type="dxa"/>
            <w:tcBorders>
              <w:left w:val="single" w:sz="4" w:space="0" w:color="auto"/>
            </w:tcBorders>
            <w:vAlign w:val="center"/>
          </w:tcPr>
          <w:p w14:paraId="0DCF9E43" w14:textId="639F3D5C" w:rsidR="00EE5290" w:rsidRPr="00D91013" w:rsidRDefault="00EE5290" w:rsidP="00637889">
            <w:pPr>
              <w:pStyle w:val="TableTextRight"/>
              <w:spacing w:before="30" w:after="10"/>
              <w:rPr>
                <w:b/>
                <w:bCs/>
              </w:rPr>
            </w:pPr>
            <w:r w:rsidRPr="00883271">
              <w:rPr>
                <w:b/>
                <w:bCs/>
              </w:rPr>
              <w:t>36%</w:t>
            </w:r>
          </w:p>
        </w:tc>
      </w:tr>
      <w:tr w:rsidR="00EE5290" w:rsidRPr="00883271" w14:paraId="3AF91C73" w14:textId="77777777" w:rsidTr="0002544C">
        <w:trPr>
          <w:cnfStyle w:val="000000100000" w:firstRow="0" w:lastRow="0" w:firstColumn="0" w:lastColumn="0" w:oddVBand="0" w:evenVBand="0" w:oddHBand="1" w:evenHBand="0" w:firstRowFirstColumn="0" w:firstRowLastColumn="0" w:lastRowFirstColumn="0" w:lastRowLastColumn="0"/>
          <w:trHeight w:val="20"/>
          <w:jc w:val="center"/>
        </w:trPr>
        <w:tc>
          <w:tcPr>
            <w:tcW w:w="1975" w:type="dxa"/>
            <w:vAlign w:val="center"/>
          </w:tcPr>
          <w:p w14:paraId="54035C26" w14:textId="6F01D1A7" w:rsidR="00EE5290" w:rsidRPr="00D91013" w:rsidRDefault="00EE5290" w:rsidP="00637889">
            <w:pPr>
              <w:pStyle w:val="TableTextLeft"/>
              <w:spacing w:before="30" w:after="10"/>
              <w:rPr>
                <w:b/>
                <w:bCs/>
              </w:rPr>
            </w:pPr>
            <w:r w:rsidRPr="00883271">
              <w:rPr>
                <w:rFonts w:cs="Calibri Light"/>
                <w:b/>
                <w:bCs/>
                <w:sz w:val="19"/>
                <w:szCs w:val="19"/>
              </w:rPr>
              <w:t>Rarely</w:t>
            </w:r>
          </w:p>
        </w:tc>
        <w:tc>
          <w:tcPr>
            <w:tcW w:w="987" w:type="dxa"/>
            <w:vAlign w:val="center"/>
          </w:tcPr>
          <w:p w14:paraId="1FF30270" w14:textId="33D4EEB4" w:rsidR="00EE5290" w:rsidRPr="00D91013" w:rsidRDefault="00EE5290" w:rsidP="00637889">
            <w:pPr>
              <w:pStyle w:val="TableTextRight"/>
              <w:spacing w:before="30" w:after="10"/>
            </w:pPr>
            <w:r w:rsidRPr="00883271">
              <w:t>14%</w:t>
            </w:r>
          </w:p>
        </w:tc>
        <w:tc>
          <w:tcPr>
            <w:tcW w:w="706" w:type="dxa"/>
            <w:tcBorders>
              <w:right w:val="single" w:sz="4" w:space="0" w:color="auto"/>
            </w:tcBorders>
            <w:vAlign w:val="center"/>
          </w:tcPr>
          <w:p w14:paraId="48B133FD" w14:textId="0AD62CC3" w:rsidR="00EE5290" w:rsidRPr="00D91013" w:rsidRDefault="00EE5290" w:rsidP="00637889">
            <w:pPr>
              <w:pStyle w:val="TableTextRight"/>
              <w:spacing w:before="30" w:after="10"/>
            </w:pPr>
            <w:r w:rsidRPr="00883271">
              <w:t>17%</w:t>
            </w:r>
          </w:p>
        </w:tc>
        <w:tc>
          <w:tcPr>
            <w:tcW w:w="987" w:type="dxa"/>
            <w:tcBorders>
              <w:left w:val="single" w:sz="4" w:space="0" w:color="auto"/>
            </w:tcBorders>
            <w:vAlign w:val="center"/>
          </w:tcPr>
          <w:p w14:paraId="51245EAE" w14:textId="557FDF40" w:rsidR="00EE5290" w:rsidRPr="00D91013" w:rsidRDefault="00EE5290" w:rsidP="00637889">
            <w:pPr>
              <w:pStyle w:val="TableTextRight"/>
              <w:spacing w:before="30" w:after="10"/>
            </w:pPr>
            <w:r w:rsidRPr="00883271">
              <w:t>14%</w:t>
            </w:r>
          </w:p>
        </w:tc>
        <w:tc>
          <w:tcPr>
            <w:tcW w:w="987" w:type="dxa"/>
            <w:vAlign w:val="center"/>
          </w:tcPr>
          <w:p w14:paraId="7B511705" w14:textId="25A46CBF" w:rsidR="00EE5290" w:rsidRPr="00D91013" w:rsidRDefault="00EE5290" w:rsidP="00637889">
            <w:pPr>
              <w:pStyle w:val="TableTextRight"/>
              <w:spacing w:before="30" w:after="10"/>
            </w:pPr>
            <w:r w:rsidRPr="00883271">
              <w:t>19%</w:t>
            </w:r>
          </w:p>
        </w:tc>
        <w:tc>
          <w:tcPr>
            <w:tcW w:w="1410" w:type="dxa"/>
            <w:tcBorders>
              <w:right w:val="single" w:sz="4" w:space="0" w:color="auto"/>
            </w:tcBorders>
            <w:vAlign w:val="center"/>
          </w:tcPr>
          <w:p w14:paraId="70ED048A" w14:textId="2FECB4B4" w:rsidR="00EE5290" w:rsidRPr="00D91013" w:rsidRDefault="00EE5290" w:rsidP="00637889">
            <w:pPr>
              <w:pStyle w:val="TableTextRight"/>
              <w:spacing w:before="30" w:after="10"/>
            </w:pPr>
            <w:r w:rsidRPr="00883271">
              <w:t>17%</w:t>
            </w:r>
          </w:p>
        </w:tc>
        <w:tc>
          <w:tcPr>
            <w:tcW w:w="987" w:type="dxa"/>
            <w:tcBorders>
              <w:left w:val="single" w:sz="4" w:space="0" w:color="auto"/>
            </w:tcBorders>
            <w:vAlign w:val="center"/>
          </w:tcPr>
          <w:p w14:paraId="4FD4075C" w14:textId="26DD24A6" w:rsidR="00EE5290" w:rsidRPr="00D91013" w:rsidRDefault="00EE5290" w:rsidP="00637889">
            <w:pPr>
              <w:pStyle w:val="TableTextRight"/>
              <w:spacing w:before="30" w:after="10"/>
            </w:pPr>
            <w:r w:rsidRPr="00883271">
              <w:t>10%</w:t>
            </w:r>
          </w:p>
        </w:tc>
        <w:tc>
          <w:tcPr>
            <w:tcW w:w="1100" w:type="dxa"/>
            <w:vAlign w:val="center"/>
          </w:tcPr>
          <w:p w14:paraId="142B3D8D" w14:textId="0CD3C42F" w:rsidR="00EE5290" w:rsidRPr="00D91013" w:rsidRDefault="00EE5290" w:rsidP="00637889">
            <w:pPr>
              <w:pStyle w:val="TableTextRight"/>
              <w:spacing w:before="30" w:after="10"/>
            </w:pPr>
            <w:r w:rsidRPr="00883271">
              <w:t>15%</w:t>
            </w:r>
          </w:p>
        </w:tc>
        <w:tc>
          <w:tcPr>
            <w:tcW w:w="1100" w:type="dxa"/>
            <w:vAlign w:val="center"/>
          </w:tcPr>
          <w:p w14:paraId="59E4F7A1" w14:textId="3319E451" w:rsidR="00EE5290" w:rsidRPr="00D91013" w:rsidRDefault="00EE5290" w:rsidP="00637889">
            <w:pPr>
              <w:pStyle w:val="TableTextRight"/>
              <w:spacing w:before="30" w:after="10"/>
            </w:pPr>
            <w:r w:rsidRPr="00883271">
              <w:t>20%</w:t>
            </w:r>
          </w:p>
        </w:tc>
        <w:tc>
          <w:tcPr>
            <w:tcW w:w="1101" w:type="dxa"/>
            <w:tcBorders>
              <w:right w:val="single" w:sz="4" w:space="0" w:color="auto"/>
            </w:tcBorders>
            <w:vAlign w:val="center"/>
          </w:tcPr>
          <w:p w14:paraId="3FFCB82D" w14:textId="0358B578" w:rsidR="00EE5290" w:rsidRPr="00D91013" w:rsidRDefault="00EE5290" w:rsidP="00637889">
            <w:pPr>
              <w:pStyle w:val="TableTextRight"/>
              <w:spacing w:before="30" w:after="10"/>
            </w:pPr>
            <w:r w:rsidRPr="00883271">
              <w:t>9%</w:t>
            </w:r>
          </w:p>
        </w:tc>
        <w:tc>
          <w:tcPr>
            <w:tcW w:w="709" w:type="dxa"/>
            <w:tcBorders>
              <w:left w:val="single" w:sz="4" w:space="0" w:color="auto"/>
            </w:tcBorders>
            <w:vAlign w:val="center"/>
          </w:tcPr>
          <w:p w14:paraId="5D326446" w14:textId="7D367F5A" w:rsidR="00EE5290" w:rsidRPr="00D91013" w:rsidRDefault="00EE5290" w:rsidP="00637889">
            <w:pPr>
              <w:pStyle w:val="TableTextRight"/>
              <w:spacing w:before="30" w:after="10"/>
            </w:pPr>
            <w:r w:rsidRPr="00883271">
              <w:t>17%</w:t>
            </w:r>
          </w:p>
        </w:tc>
        <w:tc>
          <w:tcPr>
            <w:tcW w:w="926" w:type="dxa"/>
            <w:tcBorders>
              <w:right w:val="single" w:sz="4" w:space="0" w:color="auto"/>
            </w:tcBorders>
            <w:vAlign w:val="center"/>
          </w:tcPr>
          <w:p w14:paraId="713DA7AB" w14:textId="2EC099D4" w:rsidR="00EE5290" w:rsidRPr="00D91013" w:rsidRDefault="00EE5290" w:rsidP="00637889">
            <w:pPr>
              <w:pStyle w:val="TableTextRight"/>
              <w:spacing w:before="30" w:after="10"/>
            </w:pPr>
            <w:r w:rsidRPr="00883271">
              <w:t>14%</w:t>
            </w:r>
          </w:p>
        </w:tc>
        <w:tc>
          <w:tcPr>
            <w:tcW w:w="603" w:type="dxa"/>
            <w:tcBorders>
              <w:left w:val="single" w:sz="4" w:space="0" w:color="auto"/>
            </w:tcBorders>
            <w:vAlign w:val="center"/>
          </w:tcPr>
          <w:p w14:paraId="65564DF2" w14:textId="2DDA36DA" w:rsidR="00EE5290" w:rsidRPr="00D91013" w:rsidRDefault="00EE5290" w:rsidP="00637889">
            <w:pPr>
              <w:pStyle w:val="TableTextRight"/>
              <w:spacing w:before="30" w:after="10"/>
              <w:rPr>
                <w:b/>
                <w:bCs/>
              </w:rPr>
            </w:pPr>
            <w:r w:rsidRPr="00883271">
              <w:rPr>
                <w:b/>
                <w:bCs/>
              </w:rPr>
              <w:t>15%</w:t>
            </w:r>
          </w:p>
        </w:tc>
      </w:tr>
      <w:tr w:rsidR="00EE5290" w:rsidRPr="00883271" w14:paraId="0F69B601" w14:textId="77777777" w:rsidTr="0002544C">
        <w:trPr>
          <w:cnfStyle w:val="000000010000" w:firstRow="0" w:lastRow="0" w:firstColumn="0" w:lastColumn="0" w:oddVBand="0" w:evenVBand="0" w:oddHBand="0" w:evenHBand="1" w:firstRowFirstColumn="0" w:firstRowLastColumn="0" w:lastRowFirstColumn="0" w:lastRowLastColumn="0"/>
          <w:trHeight w:val="20"/>
          <w:jc w:val="center"/>
        </w:trPr>
        <w:tc>
          <w:tcPr>
            <w:tcW w:w="1975" w:type="dxa"/>
            <w:vAlign w:val="center"/>
          </w:tcPr>
          <w:p w14:paraId="01C531F6" w14:textId="2777250F" w:rsidR="00EE5290" w:rsidRPr="00D91013" w:rsidRDefault="00EE5290" w:rsidP="00637889">
            <w:pPr>
              <w:pStyle w:val="TableTextLeft"/>
              <w:spacing w:before="30" w:after="10"/>
              <w:rPr>
                <w:b/>
                <w:bCs/>
              </w:rPr>
            </w:pPr>
            <w:r w:rsidRPr="00883271">
              <w:rPr>
                <w:rFonts w:cs="Calibri Light"/>
                <w:b/>
                <w:bCs/>
                <w:sz w:val="19"/>
                <w:szCs w:val="19"/>
              </w:rPr>
              <w:t>Very rarely</w:t>
            </w:r>
          </w:p>
        </w:tc>
        <w:tc>
          <w:tcPr>
            <w:tcW w:w="987" w:type="dxa"/>
            <w:vAlign w:val="center"/>
          </w:tcPr>
          <w:p w14:paraId="051A571A" w14:textId="20D57E74" w:rsidR="00EE5290" w:rsidRPr="00D91013" w:rsidRDefault="00EE5290" w:rsidP="00637889">
            <w:pPr>
              <w:pStyle w:val="TableTextRight"/>
              <w:spacing w:before="30" w:after="10"/>
            </w:pPr>
            <w:r w:rsidRPr="00883271">
              <w:t>25%</w:t>
            </w:r>
          </w:p>
        </w:tc>
        <w:tc>
          <w:tcPr>
            <w:tcW w:w="706" w:type="dxa"/>
            <w:tcBorders>
              <w:right w:val="single" w:sz="4" w:space="0" w:color="auto"/>
            </w:tcBorders>
            <w:vAlign w:val="center"/>
          </w:tcPr>
          <w:p w14:paraId="5E8C44C8" w14:textId="3960DEFD" w:rsidR="00EE5290" w:rsidRPr="00D91013" w:rsidRDefault="00EE5290" w:rsidP="00637889">
            <w:pPr>
              <w:pStyle w:val="TableTextRight"/>
              <w:spacing w:before="30" w:after="10"/>
            </w:pPr>
            <w:r w:rsidRPr="00883271">
              <w:t>26%</w:t>
            </w:r>
          </w:p>
        </w:tc>
        <w:tc>
          <w:tcPr>
            <w:tcW w:w="987" w:type="dxa"/>
            <w:tcBorders>
              <w:left w:val="single" w:sz="4" w:space="0" w:color="auto"/>
            </w:tcBorders>
            <w:vAlign w:val="center"/>
          </w:tcPr>
          <w:p w14:paraId="4637904D" w14:textId="54576840" w:rsidR="00EE5290" w:rsidRPr="00D91013" w:rsidRDefault="00EE5290" w:rsidP="00637889">
            <w:pPr>
              <w:pStyle w:val="TableTextRight"/>
              <w:spacing w:before="30" w:after="10"/>
            </w:pPr>
            <w:r w:rsidRPr="00883271">
              <w:t>25%</w:t>
            </w:r>
          </w:p>
        </w:tc>
        <w:tc>
          <w:tcPr>
            <w:tcW w:w="987" w:type="dxa"/>
            <w:vAlign w:val="center"/>
          </w:tcPr>
          <w:p w14:paraId="5CA7BADA" w14:textId="38473F02" w:rsidR="00EE5290" w:rsidRPr="00D91013" w:rsidRDefault="00EE5290" w:rsidP="00637889">
            <w:pPr>
              <w:pStyle w:val="TableTextRight"/>
              <w:spacing w:before="30" w:after="10"/>
            </w:pPr>
            <w:r w:rsidRPr="00883271">
              <w:t>30%</w:t>
            </w:r>
          </w:p>
        </w:tc>
        <w:tc>
          <w:tcPr>
            <w:tcW w:w="1410" w:type="dxa"/>
            <w:tcBorders>
              <w:right w:val="single" w:sz="4" w:space="0" w:color="auto"/>
            </w:tcBorders>
            <w:vAlign w:val="center"/>
          </w:tcPr>
          <w:p w14:paraId="29B83814" w14:textId="20490ED0" w:rsidR="00EE5290" w:rsidRPr="00D91013" w:rsidRDefault="00EE5290" w:rsidP="00637889">
            <w:pPr>
              <w:pStyle w:val="TableTextRight"/>
              <w:spacing w:before="30" w:after="10"/>
            </w:pPr>
            <w:r w:rsidRPr="00883271">
              <w:t>15%</w:t>
            </w:r>
          </w:p>
        </w:tc>
        <w:tc>
          <w:tcPr>
            <w:tcW w:w="987" w:type="dxa"/>
            <w:tcBorders>
              <w:left w:val="single" w:sz="4" w:space="0" w:color="auto"/>
            </w:tcBorders>
            <w:vAlign w:val="center"/>
          </w:tcPr>
          <w:p w14:paraId="1B4C2CE9" w14:textId="2DCA084C" w:rsidR="00EE5290" w:rsidRPr="00D91013" w:rsidRDefault="00EE5290" w:rsidP="00637889">
            <w:pPr>
              <w:pStyle w:val="TableTextRight"/>
              <w:spacing w:before="30" w:after="10"/>
            </w:pPr>
            <w:r w:rsidRPr="00883271">
              <w:t>27%</w:t>
            </w:r>
          </w:p>
        </w:tc>
        <w:tc>
          <w:tcPr>
            <w:tcW w:w="1100" w:type="dxa"/>
            <w:vAlign w:val="center"/>
          </w:tcPr>
          <w:p w14:paraId="5463B1B9" w14:textId="3AAD1112" w:rsidR="00EE5290" w:rsidRPr="00D91013" w:rsidRDefault="00EE5290" w:rsidP="00637889">
            <w:pPr>
              <w:pStyle w:val="TableTextRight"/>
              <w:spacing w:before="30" w:after="10"/>
            </w:pPr>
            <w:r w:rsidRPr="00883271">
              <w:t>28%</w:t>
            </w:r>
          </w:p>
        </w:tc>
        <w:tc>
          <w:tcPr>
            <w:tcW w:w="1100" w:type="dxa"/>
            <w:vAlign w:val="center"/>
          </w:tcPr>
          <w:p w14:paraId="0FA5E033" w14:textId="1C74A1A1" w:rsidR="00EE5290" w:rsidRPr="00D91013" w:rsidRDefault="00EE5290" w:rsidP="00637889">
            <w:pPr>
              <w:pStyle w:val="TableTextRight"/>
              <w:spacing w:before="30" w:after="10"/>
            </w:pPr>
            <w:r w:rsidRPr="00883271">
              <w:t>24%</w:t>
            </w:r>
          </w:p>
        </w:tc>
        <w:tc>
          <w:tcPr>
            <w:tcW w:w="1101" w:type="dxa"/>
            <w:tcBorders>
              <w:right w:val="single" w:sz="4" w:space="0" w:color="auto"/>
            </w:tcBorders>
            <w:vAlign w:val="center"/>
          </w:tcPr>
          <w:p w14:paraId="6996BDC5" w14:textId="416958E8" w:rsidR="00EE5290" w:rsidRPr="00D91013" w:rsidRDefault="00EE5290" w:rsidP="00637889">
            <w:pPr>
              <w:pStyle w:val="TableTextRight"/>
              <w:spacing w:before="30" w:after="10"/>
            </w:pPr>
            <w:r w:rsidRPr="00883271">
              <w:t>11%</w:t>
            </w:r>
          </w:p>
        </w:tc>
        <w:tc>
          <w:tcPr>
            <w:tcW w:w="709" w:type="dxa"/>
            <w:tcBorders>
              <w:left w:val="single" w:sz="4" w:space="0" w:color="auto"/>
            </w:tcBorders>
            <w:vAlign w:val="center"/>
          </w:tcPr>
          <w:p w14:paraId="56FB2613" w14:textId="018497B3" w:rsidR="00EE5290" w:rsidRPr="00D91013" w:rsidRDefault="00EE5290" w:rsidP="00637889">
            <w:pPr>
              <w:pStyle w:val="TableTextRight"/>
              <w:spacing w:before="30" w:after="10"/>
            </w:pPr>
            <w:r w:rsidRPr="00883271">
              <w:t>25%</w:t>
            </w:r>
          </w:p>
        </w:tc>
        <w:tc>
          <w:tcPr>
            <w:tcW w:w="926" w:type="dxa"/>
            <w:tcBorders>
              <w:right w:val="single" w:sz="4" w:space="0" w:color="auto"/>
            </w:tcBorders>
            <w:vAlign w:val="center"/>
          </w:tcPr>
          <w:p w14:paraId="7BF09C3D" w14:textId="56BC5237" w:rsidR="00EE5290" w:rsidRPr="00D91013" w:rsidRDefault="00EE5290" w:rsidP="00637889">
            <w:pPr>
              <w:pStyle w:val="TableTextRight"/>
              <w:spacing w:before="30" w:after="10"/>
            </w:pPr>
            <w:r w:rsidRPr="00883271">
              <w:t>26%</w:t>
            </w:r>
          </w:p>
        </w:tc>
        <w:tc>
          <w:tcPr>
            <w:tcW w:w="603" w:type="dxa"/>
            <w:tcBorders>
              <w:left w:val="single" w:sz="4" w:space="0" w:color="auto"/>
            </w:tcBorders>
            <w:vAlign w:val="center"/>
          </w:tcPr>
          <w:p w14:paraId="58A6BB3B" w14:textId="11AAFDEC" w:rsidR="00EE5290" w:rsidRPr="00D91013" w:rsidRDefault="00EE5290" w:rsidP="00637889">
            <w:pPr>
              <w:pStyle w:val="TableTextRight"/>
              <w:spacing w:before="30" w:after="10"/>
              <w:rPr>
                <w:b/>
                <w:bCs/>
              </w:rPr>
            </w:pPr>
            <w:r w:rsidRPr="00883271">
              <w:rPr>
                <w:b/>
                <w:bCs/>
              </w:rPr>
              <w:t>24%</w:t>
            </w:r>
          </w:p>
        </w:tc>
      </w:tr>
      <w:tr w:rsidR="00EE5290" w:rsidRPr="00883271" w14:paraId="057B0A9C" w14:textId="77777777" w:rsidTr="0002544C">
        <w:trPr>
          <w:cnfStyle w:val="000000100000" w:firstRow="0" w:lastRow="0" w:firstColumn="0" w:lastColumn="0" w:oddVBand="0" w:evenVBand="0" w:oddHBand="1" w:evenHBand="0" w:firstRowFirstColumn="0" w:firstRowLastColumn="0" w:lastRowFirstColumn="0" w:lastRowLastColumn="0"/>
          <w:trHeight w:val="20"/>
          <w:jc w:val="center"/>
        </w:trPr>
        <w:tc>
          <w:tcPr>
            <w:tcW w:w="1975" w:type="dxa"/>
            <w:vAlign w:val="center"/>
          </w:tcPr>
          <w:p w14:paraId="65780998" w14:textId="67DC01ED" w:rsidR="00EE5290" w:rsidRPr="00D91013" w:rsidRDefault="00EE5290" w:rsidP="00637889">
            <w:pPr>
              <w:pStyle w:val="TableTextLeft"/>
              <w:spacing w:before="30" w:after="10"/>
              <w:rPr>
                <w:b/>
                <w:bCs/>
              </w:rPr>
            </w:pPr>
            <w:r w:rsidRPr="00883271">
              <w:rPr>
                <w:rFonts w:cs="Calibri Light"/>
                <w:b/>
                <w:bCs/>
                <w:sz w:val="19"/>
                <w:szCs w:val="19"/>
              </w:rPr>
              <w:t>Never</w:t>
            </w:r>
          </w:p>
        </w:tc>
        <w:tc>
          <w:tcPr>
            <w:tcW w:w="987" w:type="dxa"/>
            <w:vAlign w:val="center"/>
          </w:tcPr>
          <w:p w14:paraId="49150620" w14:textId="7E42CDF7" w:rsidR="00EE5290" w:rsidRPr="00D91013" w:rsidRDefault="00EE5290" w:rsidP="00637889">
            <w:pPr>
              <w:pStyle w:val="TableTextRight"/>
              <w:spacing w:before="30" w:after="10"/>
            </w:pPr>
            <w:r w:rsidRPr="00883271">
              <w:t>13%</w:t>
            </w:r>
          </w:p>
        </w:tc>
        <w:tc>
          <w:tcPr>
            <w:tcW w:w="706" w:type="dxa"/>
            <w:tcBorders>
              <w:right w:val="single" w:sz="4" w:space="0" w:color="auto"/>
            </w:tcBorders>
            <w:vAlign w:val="center"/>
          </w:tcPr>
          <w:p w14:paraId="4698E7C5" w14:textId="63E47A02" w:rsidR="00EE5290" w:rsidRPr="00D91013" w:rsidRDefault="00EE5290" w:rsidP="00637889">
            <w:pPr>
              <w:pStyle w:val="TableTextRight"/>
              <w:spacing w:before="30" w:after="10"/>
            </w:pPr>
            <w:r w:rsidRPr="00883271">
              <w:t>6%</w:t>
            </w:r>
          </w:p>
        </w:tc>
        <w:tc>
          <w:tcPr>
            <w:tcW w:w="987" w:type="dxa"/>
            <w:tcBorders>
              <w:left w:val="single" w:sz="4" w:space="0" w:color="auto"/>
            </w:tcBorders>
            <w:vAlign w:val="center"/>
          </w:tcPr>
          <w:p w14:paraId="73004ADA" w14:textId="4F29938A" w:rsidR="00EE5290" w:rsidRPr="00D91013" w:rsidRDefault="00EE5290" w:rsidP="00637889">
            <w:pPr>
              <w:pStyle w:val="TableTextRight"/>
              <w:spacing w:before="30" w:after="10"/>
            </w:pPr>
            <w:r w:rsidRPr="00883271">
              <w:t>7%</w:t>
            </w:r>
          </w:p>
        </w:tc>
        <w:tc>
          <w:tcPr>
            <w:tcW w:w="987" w:type="dxa"/>
            <w:vAlign w:val="center"/>
          </w:tcPr>
          <w:p w14:paraId="6D4488AD" w14:textId="090DF5CB" w:rsidR="00EE5290" w:rsidRPr="00D91013" w:rsidRDefault="00EE5290" w:rsidP="00637889">
            <w:pPr>
              <w:pStyle w:val="TableTextRight"/>
              <w:spacing w:before="30" w:after="10"/>
            </w:pPr>
            <w:r w:rsidRPr="00883271">
              <w:t>11%</w:t>
            </w:r>
          </w:p>
        </w:tc>
        <w:tc>
          <w:tcPr>
            <w:tcW w:w="1410" w:type="dxa"/>
            <w:tcBorders>
              <w:right w:val="single" w:sz="4" w:space="0" w:color="auto"/>
            </w:tcBorders>
            <w:vAlign w:val="center"/>
          </w:tcPr>
          <w:p w14:paraId="793C3BDF" w14:textId="779B2C5B" w:rsidR="00EE5290" w:rsidRPr="00D91013" w:rsidRDefault="00EE5290" w:rsidP="00637889">
            <w:pPr>
              <w:pStyle w:val="TableTextRight"/>
              <w:spacing w:before="30" w:after="10"/>
            </w:pPr>
            <w:r w:rsidRPr="00883271">
              <w:t>24%</w:t>
            </w:r>
          </w:p>
        </w:tc>
        <w:tc>
          <w:tcPr>
            <w:tcW w:w="987" w:type="dxa"/>
            <w:tcBorders>
              <w:left w:val="single" w:sz="4" w:space="0" w:color="auto"/>
            </w:tcBorders>
            <w:vAlign w:val="center"/>
          </w:tcPr>
          <w:p w14:paraId="16D1D0ED" w14:textId="1701A76E" w:rsidR="00EE5290" w:rsidRPr="00D91013" w:rsidRDefault="00EE5290" w:rsidP="00637889">
            <w:pPr>
              <w:pStyle w:val="TableTextRight"/>
              <w:spacing w:before="30" w:after="10"/>
            </w:pPr>
            <w:r w:rsidRPr="00883271">
              <w:t>15%</w:t>
            </w:r>
          </w:p>
        </w:tc>
        <w:tc>
          <w:tcPr>
            <w:tcW w:w="1100" w:type="dxa"/>
            <w:vAlign w:val="center"/>
          </w:tcPr>
          <w:p w14:paraId="0A48D1C4" w14:textId="3580F0EB" w:rsidR="00EE5290" w:rsidRPr="00D91013" w:rsidRDefault="00EE5290" w:rsidP="00637889">
            <w:pPr>
              <w:pStyle w:val="TableTextRight"/>
              <w:spacing w:before="30" w:after="10"/>
            </w:pPr>
            <w:r w:rsidRPr="00883271">
              <w:t>12%</w:t>
            </w:r>
          </w:p>
        </w:tc>
        <w:tc>
          <w:tcPr>
            <w:tcW w:w="1100" w:type="dxa"/>
            <w:vAlign w:val="center"/>
          </w:tcPr>
          <w:p w14:paraId="26A4127D" w14:textId="2EA72590" w:rsidR="00EE5290" w:rsidRPr="00D91013" w:rsidRDefault="00EE5290" w:rsidP="00637889">
            <w:pPr>
              <w:pStyle w:val="TableTextRight"/>
              <w:spacing w:before="30" w:after="10"/>
            </w:pPr>
            <w:r w:rsidRPr="00883271">
              <w:t>6%</w:t>
            </w:r>
          </w:p>
        </w:tc>
        <w:tc>
          <w:tcPr>
            <w:tcW w:w="1101" w:type="dxa"/>
            <w:tcBorders>
              <w:right w:val="single" w:sz="4" w:space="0" w:color="auto"/>
            </w:tcBorders>
            <w:vAlign w:val="center"/>
          </w:tcPr>
          <w:p w14:paraId="7F66076B" w14:textId="5D58D602" w:rsidR="00EE5290" w:rsidRPr="00D91013" w:rsidRDefault="00EE5290" w:rsidP="00637889">
            <w:pPr>
              <w:pStyle w:val="TableTextRight"/>
              <w:spacing w:before="30" w:after="10"/>
            </w:pPr>
            <w:r w:rsidRPr="00883271">
              <w:t>14%</w:t>
            </w:r>
          </w:p>
        </w:tc>
        <w:tc>
          <w:tcPr>
            <w:tcW w:w="709" w:type="dxa"/>
            <w:tcBorders>
              <w:left w:val="single" w:sz="4" w:space="0" w:color="auto"/>
            </w:tcBorders>
            <w:vAlign w:val="center"/>
          </w:tcPr>
          <w:p w14:paraId="0837950D" w14:textId="3416FC9E" w:rsidR="00EE5290" w:rsidRPr="00D91013" w:rsidRDefault="00EE5290" w:rsidP="00637889">
            <w:pPr>
              <w:pStyle w:val="TableTextRight"/>
              <w:spacing w:before="30" w:after="10"/>
            </w:pPr>
            <w:r w:rsidRPr="00883271">
              <w:t>10%</w:t>
            </w:r>
          </w:p>
        </w:tc>
        <w:tc>
          <w:tcPr>
            <w:tcW w:w="926" w:type="dxa"/>
            <w:tcBorders>
              <w:right w:val="single" w:sz="4" w:space="0" w:color="auto"/>
            </w:tcBorders>
            <w:vAlign w:val="center"/>
          </w:tcPr>
          <w:p w14:paraId="575DCCE4" w14:textId="70E616D5" w:rsidR="00EE5290" w:rsidRPr="00D91013" w:rsidRDefault="00EE5290" w:rsidP="00637889">
            <w:pPr>
              <w:pStyle w:val="TableTextRight"/>
              <w:spacing w:before="30" w:after="10"/>
            </w:pPr>
            <w:r w:rsidRPr="00883271">
              <w:t>7%</w:t>
            </w:r>
          </w:p>
        </w:tc>
        <w:tc>
          <w:tcPr>
            <w:tcW w:w="603" w:type="dxa"/>
            <w:tcBorders>
              <w:left w:val="single" w:sz="4" w:space="0" w:color="auto"/>
            </w:tcBorders>
            <w:vAlign w:val="center"/>
          </w:tcPr>
          <w:p w14:paraId="448A375F" w14:textId="4606D6A0" w:rsidR="00EE5290" w:rsidRPr="00D91013" w:rsidRDefault="00EE5290" w:rsidP="00637889">
            <w:pPr>
              <w:pStyle w:val="TableTextRight"/>
              <w:spacing w:before="30" w:after="10"/>
              <w:rPr>
                <w:b/>
                <w:bCs/>
              </w:rPr>
            </w:pPr>
            <w:r w:rsidRPr="00883271">
              <w:rPr>
                <w:b/>
                <w:bCs/>
              </w:rPr>
              <w:t>10%</w:t>
            </w:r>
          </w:p>
        </w:tc>
      </w:tr>
      <w:tr w:rsidR="00EE5290" w:rsidRPr="00883271" w14:paraId="3812FA70" w14:textId="77777777" w:rsidTr="0002544C">
        <w:trPr>
          <w:cnfStyle w:val="000000010000" w:firstRow="0" w:lastRow="0" w:firstColumn="0" w:lastColumn="0" w:oddVBand="0" w:evenVBand="0" w:oddHBand="0" w:evenHBand="1" w:firstRowFirstColumn="0" w:firstRowLastColumn="0" w:lastRowFirstColumn="0" w:lastRowLastColumn="0"/>
          <w:trHeight w:val="20"/>
          <w:jc w:val="center"/>
        </w:trPr>
        <w:tc>
          <w:tcPr>
            <w:tcW w:w="1975" w:type="dxa"/>
            <w:vAlign w:val="center"/>
          </w:tcPr>
          <w:p w14:paraId="5C52C701" w14:textId="0F648BAC" w:rsidR="00EE5290" w:rsidRPr="00D91013" w:rsidRDefault="00EE5290" w:rsidP="00637889">
            <w:pPr>
              <w:pStyle w:val="TableTextLeft"/>
              <w:spacing w:before="30" w:after="10"/>
              <w:rPr>
                <w:b/>
                <w:bCs/>
              </w:rPr>
            </w:pPr>
            <w:r w:rsidRPr="00883271">
              <w:rPr>
                <w:rFonts w:cs="Calibri Light"/>
                <w:b/>
                <w:bCs/>
                <w:sz w:val="19"/>
                <w:szCs w:val="19"/>
              </w:rPr>
              <w:t>Don't know / Prefer not to say</w:t>
            </w:r>
          </w:p>
        </w:tc>
        <w:tc>
          <w:tcPr>
            <w:tcW w:w="987" w:type="dxa"/>
            <w:vAlign w:val="center"/>
          </w:tcPr>
          <w:p w14:paraId="6EA96460" w14:textId="1F4F0D45" w:rsidR="00EE5290" w:rsidRPr="00D91013" w:rsidRDefault="00EE5290" w:rsidP="00637889">
            <w:pPr>
              <w:pStyle w:val="TableTextRight"/>
              <w:spacing w:before="30" w:after="10"/>
            </w:pPr>
            <w:r w:rsidRPr="00883271">
              <w:t>2%</w:t>
            </w:r>
          </w:p>
        </w:tc>
        <w:tc>
          <w:tcPr>
            <w:tcW w:w="706" w:type="dxa"/>
            <w:tcBorders>
              <w:right w:val="single" w:sz="4" w:space="0" w:color="auto"/>
            </w:tcBorders>
            <w:vAlign w:val="center"/>
          </w:tcPr>
          <w:p w14:paraId="737CB01B" w14:textId="36BCC3FE" w:rsidR="00EE5290" w:rsidRPr="00D91013" w:rsidRDefault="00EE5290" w:rsidP="00637889">
            <w:pPr>
              <w:pStyle w:val="TableTextRight"/>
              <w:spacing w:before="30" w:after="10"/>
            </w:pPr>
            <w:r w:rsidRPr="00883271">
              <w:t>1%</w:t>
            </w:r>
          </w:p>
        </w:tc>
        <w:tc>
          <w:tcPr>
            <w:tcW w:w="987" w:type="dxa"/>
            <w:tcBorders>
              <w:left w:val="single" w:sz="4" w:space="0" w:color="auto"/>
            </w:tcBorders>
            <w:vAlign w:val="center"/>
          </w:tcPr>
          <w:p w14:paraId="117CF81E" w14:textId="02B7BC65" w:rsidR="00EE5290" w:rsidRPr="00D91013" w:rsidRDefault="00EE5290" w:rsidP="00637889">
            <w:pPr>
              <w:pStyle w:val="TableTextRight"/>
              <w:spacing w:before="30" w:after="10"/>
            </w:pPr>
            <w:r w:rsidRPr="00883271">
              <w:t>1%</w:t>
            </w:r>
          </w:p>
        </w:tc>
        <w:tc>
          <w:tcPr>
            <w:tcW w:w="987" w:type="dxa"/>
            <w:vAlign w:val="center"/>
          </w:tcPr>
          <w:p w14:paraId="02475791" w14:textId="5DC32F5A" w:rsidR="00EE5290" w:rsidRPr="00D91013" w:rsidRDefault="00EE5290" w:rsidP="00637889">
            <w:pPr>
              <w:pStyle w:val="TableTextRight"/>
              <w:spacing w:before="30" w:after="10"/>
            </w:pPr>
            <w:r w:rsidRPr="00883271">
              <w:t>0%</w:t>
            </w:r>
          </w:p>
        </w:tc>
        <w:tc>
          <w:tcPr>
            <w:tcW w:w="1410" w:type="dxa"/>
            <w:tcBorders>
              <w:right w:val="single" w:sz="4" w:space="0" w:color="auto"/>
            </w:tcBorders>
            <w:vAlign w:val="center"/>
          </w:tcPr>
          <w:p w14:paraId="05F6FFCA" w14:textId="23FC8689" w:rsidR="00EE5290" w:rsidRPr="00D91013" w:rsidRDefault="00EE5290" w:rsidP="00637889">
            <w:pPr>
              <w:pStyle w:val="TableTextRight"/>
              <w:spacing w:before="30" w:after="10"/>
            </w:pPr>
            <w:r w:rsidRPr="00883271">
              <w:t>2%</w:t>
            </w:r>
          </w:p>
        </w:tc>
        <w:tc>
          <w:tcPr>
            <w:tcW w:w="987" w:type="dxa"/>
            <w:tcBorders>
              <w:left w:val="single" w:sz="4" w:space="0" w:color="auto"/>
            </w:tcBorders>
            <w:vAlign w:val="center"/>
          </w:tcPr>
          <w:p w14:paraId="6FBF9F01" w14:textId="29C20366" w:rsidR="00EE5290" w:rsidRPr="00D91013" w:rsidRDefault="00EE5290" w:rsidP="00637889">
            <w:pPr>
              <w:pStyle w:val="TableTextRight"/>
              <w:spacing w:before="30" w:after="10"/>
            </w:pPr>
            <w:r w:rsidRPr="00883271">
              <w:t>2%</w:t>
            </w:r>
          </w:p>
        </w:tc>
        <w:tc>
          <w:tcPr>
            <w:tcW w:w="1100" w:type="dxa"/>
            <w:vAlign w:val="center"/>
          </w:tcPr>
          <w:p w14:paraId="2543EA28" w14:textId="13091A6D" w:rsidR="00EE5290" w:rsidRPr="00D91013" w:rsidRDefault="00EE5290" w:rsidP="00637889">
            <w:pPr>
              <w:pStyle w:val="TableTextRight"/>
              <w:spacing w:before="30" w:after="10"/>
            </w:pPr>
            <w:r w:rsidRPr="00883271">
              <w:t>0%</w:t>
            </w:r>
          </w:p>
        </w:tc>
        <w:tc>
          <w:tcPr>
            <w:tcW w:w="1100" w:type="dxa"/>
            <w:vAlign w:val="center"/>
          </w:tcPr>
          <w:p w14:paraId="397AD460" w14:textId="5F478E2E" w:rsidR="00EE5290" w:rsidRPr="00D91013" w:rsidRDefault="00EE5290" w:rsidP="00637889">
            <w:pPr>
              <w:pStyle w:val="TableTextRight"/>
              <w:spacing w:before="30" w:after="10"/>
            </w:pPr>
            <w:r w:rsidRPr="00883271">
              <w:t>2%</w:t>
            </w:r>
          </w:p>
        </w:tc>
        <w:tc>
          <w:tcPr>
            <w:tcW w:w="1101" w:type="dxa"/>
            <w:tcBorders>
              <w:right w:val="single" w:sz="4" w:space="0" w:color="auto"/>
            </w:tcBorders>
            <w:vAlign w:val="center"/>
          </w:tcPr>
          <w:p w14:paraId="38324A88" w14:textId="57265898" w:rsidR="00EE5290" w:rsidRPr="00D91013" w:rsidRDefault="00EE5290" w:rsidP="00637889">
            <w:pPr>
              <w:pStyle w:val="TableTextRight"/>
              <w:spacing w:before="30" w:after="10"/>
            </w:pPr>
            <w:r w:rsidRPr="00883271">
              <w:t>3%</w:t>
            </w:r>
          </w:p>
        </w:tc>
        <w:tc>
          <w:tcPr>
            <w:tcW w:w="709" w:type="dxa"/>
            <w:tcBorders>
              <w:left w:val="single" w:sz="4" w:space="0" w:color="auto"/>
            </w:tcBorders>
            <w:vAlign w:val="center"/>
          </w:tcPr>
          <w:p w14:paraId="7C620D35" w14:textId="7521AFE8" w:rsidR="00EE5290" w:rsidRPr="00D91013" w:rsidRDefault="00EE5290" w:rsidP="00637889">
            <w:pPr>
              <w:pStyle w:val="TableTextRight"/>
              <w:spacing w:before="30" w:after="10"/>
            </w:pPr>
            <w:r w:rsidRPr="00883271">
              <w:t>2%</w:t>
            </w:r>
          </w:p>
        </w:tc>
        <w:tc>
          <w:tcPr>
            <w:tcW w:w="926" w:type="dxa"/>
            <w:tcBorders>
              <w:right w:val="single" w:sz="4" w:space="0" w:color="auto"/>
            </w:tcBorders>
            <w:vAlign w:val="center"/>
          </w:tcPr>
          <w:p w14:paraId="58A1A73C" w14:textId="28665EAE" w:rsidR="00EE5290" w:rsidRPr="00D91013" w:rsidRDefault="00EE5290" w:rsidP="00637889">
            <w:pPr>
              <w:pStyle w:val="TableTextRight"/>
              <w:spacing w:before="30" w:after="10"/>
            </w:pPr>
            <w:r w:rsidRPr="00883271">
              <w:t>1%</w:t>
            </w:r>
          </w:p>
        </w:tc>
        <w:tc>
          <w:tcPr>
            <w:tcW w:w="603" w:type="dxa"/>
            <w:tcBorders>
              <w:left w:val="single" w:sz="4" w:space="0" w:color="auto"/>
            </w:tcBorders>
            <w:vAlign w:val="center"/>
          </w:tcPr>
          <w:p w14:paraId="4C9981BC" w14:textId="7A4AF560" w:rsidR="00EE5290" w:rsidRPr="00D91013" w:rsidRDefault="00EE5290" w:rsidP="00637889">
            <w:pPr>
              <w:pStyle w:val="TableTextRight"/>
              <w:spacing w:before="30" w:after="10"/>
              <w:rPr>
                <w:b/>
                <w:bCs/>
              </w:rPr>
            </w:pPr>
            <w:r w:rsidRPr="00883271">
              <w:rPr>
                <w:b/>
                <w:bCs/>
              </w:rPr>
              <w:t>2%</w:t>
            </w:r>
          </w:p>
        </w:tc>
      </w:tr>
      <w:tr w:rsidR="00664208" w:rsidRPr="00883271" w14:paraId="5F6542BF" w14:textId="77777777" w:rsidTr="0002544C">
        <w:trPr>
          <w:cnfStyle w:val="000000100000" w:firstRow="0" w:lastRow="0" w:firstColumn="0" w:lastColumn="0" w:oddVBand="0" w:evenVBand="0" w:oddHBand="1" w:evenHBand="0" w:firstRowFirstColumn="0" w:firstRowLastColumn="0" w:lastRowFirstColumn="0" w:lastRowLastColumn="0"/>
          <w:trHeight w:val="113"/>
          <w:jc w:val="center"/>
        </w:trPr>
        <w:tc>
          <w:tcPr>
            <w:tcW w:w="1975" w:type="dxa"/>
            <w:tcBorders>
              <w:top w:val="single" w:sz="4" w:space="0" w:color="auto"/>
              <w:bottom w:val="single" w:sz="4" w:space="0" w:color="auto"/>
            </w:tcBorders>
            <w:shd w:val="clear" w:color="auto" w:fill="EEEEEE" w:themeFill="background2"/>
            <w:vAlign w:val="center"/>
          </w:tcPr>
          <w:p w14:paraId="4B1E7F2A" w14:textId="28B45E9C" w:rsidR="00EE5290" w:rsidRPr="00D91013" w:rsidRDefault="00EE5290" w:rsidP="00637889">
            <w:pPr>
              <w:pStyle w:val="TableTextLeft"/>
              <w:spacing w:before="30" w:after="10"/>
              <w:rPr>
                <w:b/>
                <w:bCs/>
              </w:rPr>
            </w:pPr>
            <w:r w:rsidRPr="00883271">
              <w:rPr>
                <w:rFonts w:cs="Calibri Light"/>
                <w:b/>
                <w:bCs/>
                <w:sz w:val="19"/>
                <w:szCs w:val="19"/>
              </w:rPr>
              <w:t>Total responses (n)</w:t>
            </w:r>
          </w:p>
        </w:tc>
        <w:tc>
          <w:tcPr>
            <w:tcW w:w="987" w:type="dxa"/>
            <w:tcBorders>
              <w:top w:val="single" w:sz="4" w:space="0" w:color="auto"/>
              <w:bottom w:val="single" w:sz="4" w:space="0" w:color="auto"/>
            </w:tcBorders>
            <w:shd w:val="clear" w:color="auto" w:fill="EEEEEE" w:themeFill="background2"/>
            <w:vAlign w:val="center"/>
          </w:tcPr>
          <w:p w14:paraId="6C015E59" w14:textId="2A9E4E88" w:rsidR="00EE5290" w:rsidRPr="00D91013" w:rsidRDefault="00EE5290" w:rsidP="00637889">
            <w:pPr>
              <w:pStyle w:val="TableTextRight"/>
              <w:spacing w:before="30" w:after="10"/>
              <w:rPr>
                <w:b/>
                <w:bCs/>
              </w:rPr>
            </w:pPr>
            <w:r w:rsidRPr="00883271">
              <w:rPr>
                <w:b/>
                <w:bCs/>
              </w:rPr>
              <w:t>163</w:t>
            </w:r>
          </w:p>
        </w:tc>
        <w:tc>
          <w:tcPr>
            <w:tcW w:w="706" w:type="dxa"/>
            <w:tcBorders>
              <w:top w:val="single" w:sz="4" w:space="0" w:color="auto"/>
              <w:bottom w:val="single" w:sz="4" w:space="0" w:color="auto"/>
              <w:right w:val="single" w:sz="4" w:space="0" w:color="auto"/>
            </w:tcBorders>
            <w:shd w:val="clear" w:color="auto" w:fill="EEEEEE" w:themeFill="background2"/>
            <w:vAlign w:val="center"/>
          </w:tcPr>
          <w:p w14:paraId="0B8D7259" w14:textId="1637724E" w:rsidR="00EE5290" w:rsidRPr="00D91013" w:rsidRDefault="00EE5290" w:rsidP="00637889">
            <w:pPr>
              <w:pStyle w:val="TableTextRight"/>
              <w:spacing w:before="30" w:after="10"/>
              <w:rPr>
                <w:b/>
                <w:bCs/>
              </w:rPr>
            </w:pPr>
            <w:r w:rsidRPr="00883271">
              <w:rPr>
                <w:b/>
                <w:bCs/>
              </w:rPr>
              <w:t>113</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4C68771B" w14:textId="6828C4F8" w:rsidR="00EE5290" w:rsidRPr="00D91013" w:rsidRDefault="00EE5290" w:rsidP="00637889">
            <w:pPr>
              <w:pStyle w:val="TableTextRight"/>
              <w:spacing w:before="30" w:after="10"/>
              <w:rPr>
                <w:b/>
                <w:bCs/>
              </w:rPr>
            </w:pPr>
            <w:r w:rsidRPr="00883271">
              <w:rPr>
                <w:b/>
                <w:bCs/>
              </w:rPr>
              <w:t>207</w:t>
            </w:r>
          </w:p>
        </w:tc>
        <w:tc>
          <w:tcPr>
            <w:tcW w:w="987" w:type="dxa"/>
            <w:tcBorders>
              <w:top w:val="single" w:sz="4" w:space="0" w:color="auto"/>
              <w:bottom w:val="single" w:sz="4" w:space="0" w:color="auto"/>
            </w:tcBorders>
            <w:shd w:val="clear" w:color="auto" w:fill="EEEEEE" w:themeFill="background2"/>
            <w:vAlign w:val="center"/>
          </w:tcPr>
          <w:p w14:paraId="5EAE182E" w14:textId="7F19457E" w:rsidR="00EE5290" w:rsidRPr="00D91013" w:rsidRDefault="00EE5290" w:rsidP="00637889">
            <w:pPr>
              <w:pStyle w:val="TableTextRight"/>
              <w:spacing w:before="30" w:after="10"/>
              <w:rPr>
                <w:b/>
                <w:bCs/>
              </w:rPr>
            </w:pPr>
            <w:r w:rsidRPr="00883271">
              <w:rPr>
                <w:b/>
                <w:bCs/>
              </w:rPr>
              <w:t>37</w:t>
            </w:r>
          </w:p>
        </w:tc>
        <w:tc>
          <w:tcPr>
            <w:tcW w:w="1410" w:type="dxa"/>
            <w:tcBorders>
              <w:top w:val="single" w:sz="4" w:space="0" w:color="auto"/>
              <w:bottom w:val="single" w:sz="4" w:space="0" w:color="auto"/>
              <w:right w:val="single" w:sz="4" w:space="0" w:color="auto"/>
            </w:tcBorders>
            <w:shd w:val="clear" w:color="auto" w:fill="EEEEEE" w:themeFill="background2"/>
            <w:vAlign w:val="center"/>
          </w:tcPr>
          <w:p w14:paraId="57E28097" w14:textId="078BE618" w:rsidR="00EE5290" w:rsidRPr="00D91013" w:rsidRDefault="00EE5290" w:rsidP="00637889">
            <w:pPr>
              <w:pStyle w:val="TableTextRight"/>
              <w:spacing w:before="30" w:after="10"/>
              <w:rPr>
                <w:b/>
                <w:bCs/>
              </w:rPr>
            </w:pPr>
            <w:r w:rsidRPr="00883271">
              <w:rPr>
                <w:b/>
                <w:bCs/>
              </w:rPr>
              <w:t>46</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276BFF91" w14:textId="1D06C8D0" w:rsidR="00EE5290" w:rsidRPr="00D91013" w:rsidRDefault="00EE5290" w:rsidP="00637889">
            <w:pPr>
              <w:pStyle w:val="TableTextRight"/>
              <w:spacing w:before="30" w:after="10"/>
              <w:rPr>
                <w:b/>
                <w:bCs/>
              </w:rPr>
            </w:pPr>
            <w:r w:rsidRPr="00883271">
              <w:rPr>
                <w:b/>
                <w:bCs/>
              </w:rPr>
              <w:t>41</w:t>
            </w:r>
          </w:p>
        </w:tc>
        <w:tc>
          <w:tcPr>
            <w:tcW w:w="1100" w:type="dxa"/>
            <w:tcBorders>
              <w:top w:val="single" w:sz="4" w:space="0" w:color="auto"/>
              <w:bottom w:val="single" w:sz="4" w:space="0" w:color="auto"/>
            </w:tcBorders>
            <w:shd w:val="clear" w:color="auto" w:fill="EEEEEE" w:themeFill="background2"/>
            <w:vAlign w:val="center"/>
          </w:tcPr>
          <w:p w14:paraId="753827ED" w14:textId="28529FD7" w:rsidR="00EE5290" w:rsidRPr="00D91013" w:rsidRDefault="00EE5290" w:rsidP="00637889">
            <w:pPr>
              <w:pStyle w:val="TableTextRight"/>
              <w:spacing w:before="30" w:after="10"/>
              <w:rPr>
                <w:b/>
                <w:bCs/>
              </w:rPr>
            </w:pPr>
            <w:r w:rsidRPr="00883271">
              <w:rPr>
                <w:b/>
                <w:bCs/>
              </w:rPr>
              <w:t>89</w:t>
            </w:r>
          </w:p>
        </w:tc>
        <w:tc>
          <w:tcPr>
            <w:tcW w:w="1100" w:type="dxa"/>
            <w:tcBorders>
              <w:top w:val="single" w:sz="4" w:space="0" w:color="auto"/>
              <w:bottom w:val="single" w:sz="4" w:space="0" w:color="auto"/>
            </w:tcBorders>
            <w:shd w:val="clear" w:color="auto" w:fill="EEEEEE" w:themeFill="background2"/>
            <w:vAlign w:val="center"/>
          </w:tcPr>
          <w:p w14:paraId="0660AF87" w14:textId="04CAD180" w:rsidR="00EE5290" w:rsidRPr="00D91013" w:rsidRDefault="00EE5290" w:rsidP="00637889">
            <w:pPr>
              <w:pStyle w:val="TableTextRight"/>
              <w:spacing w:before="30" w:after="10"/>
              <w:rPr>
                <w:b/>
                <w:bCs/>
              </w:rPr>
            </w:pPr>
            <w:r w:rsidRPr="00883271">
              <w:rPr>
                <w:b/>
                <w:bCs/>
              </w:rPr>
              <w:t>127</w:t>
            </w:r>
          </w:p>
        </w:tc>
        <w:tc>
          <w:tcPr>
            <w:tcW w:w="1101" w:type="dxa"/>
            <w:tcBorders>
              <w:top w:val="single" w:sz="4" w:space="0" w:color="auto"/>
              <w:bottom w:val="single" w:sz="4" w:space="0" w:color="auto"/>
              <w:right w:val="single" w:sz="4" w:space="0" w:color="auto"/>
            </w:tcBorders>
            <w:shd w:val="clear" w:color="auto" w:fill="EEEEEE" w:themeFill="background2"/>
            <w:vAlign w:val="center"/>
          </w:tcPr>
          <w:p w14:paraId="463A8E68" w14:textId="73D3DF88" w:rsidR="00EE5290" w:rsidRPr="00D91013" w:rsidRDefault="00EE5290" w:rsidP="00637889">
            <w:pPr>
              <w:pStyle w:val="TableTextRight"/>
              <w:spacing w:before="30" w:after="10"/>
              <w:rPr>
                <w:b/>
                <w:bCs/>
              </w:rPr>
            </w:pPr>
            <w:r w:rsidRPr="00883271">
              <w:rPr>
                <w:b/>
                <w:bCs/>
              </w:rPr>
              <w:t>35</w:t>
            </w:r>
          </w:p>
        </w:tc>
        <w:tc>
          <w:tcPr>
            <w:tcW w:w="709" w:type="dxa"/>
            <w:tcBorders>
              <w:top w:val="single" w:sz="4" w:space="0" w:color="auto"/>
              <w:left w:val="single" w:sz="4" w:space="0" w:color="auto"/>
              <w:bottom w:val="single" w:sz="4" w:space="0" w:color="auto"/>
            </w:tcBorders>
            <w:shd w:val="clear" w:color="auto" w:fill="EEEEEE" w:themeFill="background2"/>
            <w:vAlign w:val="center"/>
          </w:tcPr>
          <w:p w14:paraId="4F7606BE" w14:textId="223361EA" w:rsidR="00EE5290" w:rsidRPr="00D91013" w:rsidRDefault="00EE5290" w:rsidP="00637889">
            <w:pPr>
              <w:pStyle w:val="TableTextRight"/>
              <w:spacing w:before="30" w:after="10"/>
              <w:rPr>
                <w:b/>
                <w:bCs/>
              </w:rPr>
            </w:pPr>
            <w:r w:rsidRPr="00883271">
              <w:rPr>
                <w:b/>
                <w:bCs/>
              </w:rPr>
              <w:t>162</w:t>
            </w:r>
          </w:p>
        </w:tc>
        <w:tc>
          <w:tcPr>
            <w:tcW w:w="926" w:type="dxa"/>
            <w:tcBorders>
              <w:top w:val="single" w:sz="4" w:space="0" w:color="auto"/>
              <w:bottom w:val="single" w:sz="4" w:space="0" w:color="auto"/>
              <w:right w:val="single" w:sz="4" w:space="0" w:color="auto"/>
            </w:tcBorders>
            <w:shd w:val="clear" w:color="auto" w:fill="EEEEEE" w:themeFill="background2"/>
            <w:vAlign w:val="center"/>
          </w:tcPr>
          <w:p w14:paraId="7DED947D" w14:textId="28400B13" w:rsidR="00EE5290" w:rsidRPr="00D91013" w:rsidRDefault="00EE5290" w:rsidP="00637889">
            <w:pPr>
              <w:pStyle w:val="TableTextRight"/>
              <w:spacing w:before="30" w:after="10"/>
              <w:rPr>
                <w:b/>
                <w:bCs/>
              </w:rPr>
            </w:pPr>
            <w:r w:rsidRPr="00883271">
              <w:rPr>
                <w:b/>
                <w:bCs/>
              </w:rPr>
              <w:t>121</w:t>
            </w:r>
          </w:p>
        </w:tc>
        <w:tc>
          <w:tcPr>
            <w:tcW w:w="603" w:type="dxa"/>
            <w:tcBorders>
              <w:top w:val="single" w:sz="4" w:space="0" w:color="auto"/>
              <w:left w:val="single" w:sz="4" w:space="0" w:color="auto"/>
              <w:bottom w:val="single" w:sz="4" w:space="0" w:color="auto"/>
            </w:tcBorders>
            <w:shd w:val="clear" w:color="auto" w:fill="EEEEEE" w:themeFill="background2"/>
            <w:vAlign w:val="center"/>
          </w:tcPr>
          <w:p w14:paraId="1E668E13" w14:textId="3BF5B32A" w:rsidR="00EE5290" w:rsidRPr="00D91013" w:rsidRDefault="00EE5290" w:rsidP="00637889">
            <w:pPr>
              <w:pStyle w:val="TableTextRight"/>
              <w:spacing w:before="30" w:after="10"/>
              <w:rPr>
                <w:b/>
                <w:bCs/>
              </w:rPr>
            </w:pPr>
            <w:r w:rsidRPr="00883271">
              <w:rPr>
                <w:b/>
                <w:bCs/>
              </w:rPr>
              <w:t>298</w:t>
            </w:r>
          </w:p>
        </w:tc>
      </w:tr>
    </w:tbl>
    <w:p w14:paraId="446A9306" w14:textId="5838DFA4" w:rsidR="000B1302" w:rsidRPr="00883271" w:rsidRDefault="000B1302" w:rsidP="00637889">
      <w:pPr>
        <w:pStyle w:val="SingleParagraph"/>
      </w:pPr>
    </w:p>
    <w:p w14:paraId="46748AD2" w14:textId="39797C60" w:rsidR="000B1302" w:rsidRDefault="00EE5290" w:rsidP="00637889">
      <w:pPr>
        <w:pStyle w:val="TableMainHeading"/>
        <w:spacing w:before="0"/>
      </w:pPr>
      <w:r w:rsidRPr="00883271">
        <w:t>Does your business specialise in certain vehicles?</w:t>
      </w:r>
    </w:p>
    <w:tbl>
      <w:tblPr>
        <w:tblStyle w:val="TableGrid"/>
        <w:tblW w:w="5000" w:type="pct"/>
        <w:jc w:val="center"/>
        <w:tblLayout w:type="fixed"/>
        <w:tblCellMar>
          <w:left w:w="113" w:type="dxa"/>
          <w:right w:w="113" w:type="dxa"/>
        </w:tblCellMar>
        <w:tblLook w:val="04A0" w:firstRow="1" w:lastRow="0" w:firstColumn="1" w:lastColumn="0" w:noHBand="0" w:noVBand="1"/>
      </w:tblPr>
      <w:tblGrid>
        <w:gridCol w:w="2038"/>
        <w:gridCol w:w="1018"/>
        <w:gridCol w:w="728"/>
        <w:gridCol w:w="1018"/>
        <w:gridCol w:w="1018"/>
        <w:gridCol w:w="1454"/>
        <w:gridCol w:w="1105"/>
        <w:gridCol w:w="1105"/>
        <w:gridCol w:w="1105"/>
        <w:gridCol w:w="1105"/>
        <w:gridCol w:w="731"/>
        <w:gridCol w:w="955"/>
        <w:gridCol w:w="622"/>
      </w:tblGrid>
      <w:tr w:rsidR="00EE5290" w:rsidRPr="00883271" w14:paraId="31CBD4E2" w14:textId="77777777" w:rsidTr="0002544C">
        <w:trPr>
          <w:cnfStyle w:val="100000000000" w:firstRow="1" w:lastRow="0" w:firstColumn="0" w:lastColumn="0" w:oddVBand="0" w:evenVBand="0" w:oddHBand="0" w:evenHBand="0" w:firstRowFirstColumn="0" w:firstRowLastColumn="0" w:lastRowFirstColumn="0" w:lastRowLastColumn="0"/>
          <w:jc w:val="center"/>
        </w:trPr>
        <w:tc>
          <w:tcPr>
            <w:tcW w:w="1975" w:type="dxa"/>
            <w:tcBorders>
              <w:top w:val="single" w:sz="4" w:space="0" w:color="auto"/>
              <w:bottom w:val="single" w:sz="4" w:space="0" w:color="auto"/>
            </w:tcBorders>
          </w:tcPr>
          <w:p w14:paraId="1A31E3CD" w14:textId="77777777" w:rsidR="00EE5290" w:rsidRPr="00D91013" w:rsidRDefault="00EE5290" w:rsidP="00637889">
            <w:pPr>
              <w:pStyle w:val="TableColumnHeadingRight"/>
              <w:spacing w:before="30" w:after="30"/>
              <w:rPr>
                <w:sz w:val="18"/>
                <w:szCs w:val="18"/>
              </w:rPr>
            </w:pPr>
          </w:p>
        </w:tc>
        <w:tc>
          <w:tcPr>
            <w:tcW w:w="1693" w:type="dxa"/>
            <w:gridSpan w:val="2"/>
            <w:tcBorders>
              <w:top w:val="single" w:sz="4" w:space="0" w:color="auto"/>
              <w:bottom w:val="single" w:sz="4" w:space="0" w:color="auto"/>
              <w:right w:val="single" w:sz="4" w:space="0" w:color="auto"/>
            </w:tcBorders>
            <w:vAlign w:val="center"/>
          </w:tcPr>
          <w:p w14:paraId="06FCF23D" w14:textId="77777777" w:rsidR="00EE5290" w:rsidRPr="00D91013" w:rsidRDefault="00EE5290" w:rsidP="00637889">
            <w:pPr>
              <w:pStyle w:val="TableColumnHeadingCentred"/>
              <w:spacing w:before="30" w:after="30"/>
              <w:rPr>
                <w:b w:val="0"/>
                <w:sz w:val="18"/>
                <w:szCs w:val="18"/>
              </w:rPr>
            </w:pPr>
            <w:r w:rsidRPr="00D91013">
              <w:rPr>
                <w:sz w:val="18"/>
                <w:szCs w:val="18"/>
              </w:rPr>
              <w:t>Vehicles repaired per month</w:t>
            </w:r>
          </w:p>
        </w:tc>
        <w:tc>
          <w:tcPr>
            <w:tcW w:w="3384" w:type="dxa"/>
            <w:gridSpan w:val="3"/>
            <w:tcBorders>
              <w:top w:val="single" w:sz="4" w:space="0" w:color="auto"/>
              <w:left w:val="single" w:sz="4" w:space="0" w:color="auto"/>
              <w:bottom w:val="single" w:sz="4" w:space="0" w:color="auto"/>
              <w:right w:val="single" w:sz="4" w:space="0" w:color="auto"/>
            </w:tcBorders>
            <w:vAlign w:val="center"/>
          </w:tcPr>
          <w:p w14:paraId="30E5BB91" w14:textId="77777777" w:rsidR="00EE5290" w:rsidRPr="00D91013" w:rsidRDefault="00EE5290" w:rsidP="00637889">
            <w:pPr>
              <w:pStyle w:val="TableColumnHeadingCentred"/>
              <w:spacing w:before="30" w:after="30"/>
              <w:rPr>
                <w:b w:val="0"/>
                <w:sz w:val="18"/>
                <w:szCs w:val="18"/>
              </w:rPr>
            </w:pPr>
            <w:r w:rsidRPr="00D91013">
              <w:rPr>
                <w:sz w:val="18"/>
                <w:szCs w:val="18"/>
              </w:rPr>
              <w:t>Type of Repairer</w:t>
            </w:r>
          </w:p>
        </w:tc>
        <w:tc>
          <w:tcPr>
            <w:tcW w:w="4288" w:type="dxa"/>
            <w:gridSpan w:val="4"/>
            <w:tcBorders>
              <w:top w:val="single" w:sz="4" w:space="0" w:color="auto"/>
              <w:left w:val="single" w:sz="4" w:space="0" w:color="auto"/>
              <w:bottom w:val="single" w:sz="4" w:space="0" w:color="auto"/>
              <w:right w:val="single" w:sz="4" w:space="0" w:color="auto"/>
            </w:tcBorders>
            <w:vAlign w:val="center"/>
          </w:tcPr>
          <w:p w14:paraId="7859865C" w14:textId="77777777" w:rsidR="00EE5290" w:rsidRPr="00D91013" w:rsidRDefault="00EE5290" w:rsidP="00637889">
            <w:pPr>
              <w:pStyle w:val="TableColumnHeadingCentred"/>
              <w:spacing w:before="30" w:after="30"/>
              <w:rPr>
                <w:b w:val="0"/>
                <w:sz w:val="18"/>
                <w:szCs w:val="18"/>
              </w:rPr>
            </w:pPr>
            <w:r w:rsidRPr="00D91013">
              <w:rPr>
                <w:sz w:val="18"/>
                <w:szCs w:val="18"/>
              </w:rPr>
              <w:t>Business size</w:t>
            </w:r>
          </w:p>
        </w:tc>
        <w:tc>
          <w:tcPr>
            <w:tcW w:w="1635" w:type="dxa"/>
            <w:gridSpan w:val="2"/>
            <w:tcBorders>
              <w:top w:val="single" w:sz="4" w:space="0" w:color="auto"/>
              <w:left w:val="single" w:sz="4" w:space="0" w:color="auto"/>
              <w:bottom w:val="single" w:sz="4" w:space="0" w:color="auto"/>
              <w:right w:val="single" w:sz="4" w:space="0" w:color="auto"/>
            </w:tcBorders>
            <w:vAlign w:val="center"/>
          </w:tcPr>
          <w:p w14:paraId="1D846BB7" w14:textId="77777777" w:rsidR="00EE5290" w:rsidRPr="00D91013" w:rsidRDefault="00EE5290" w:rsidP="00637889">
            <w:pPr>
              <w:pStyle w:val="TableColumnHeadingCentred"/>
              <w:spacing w:before="30" w:after="30"/>
              <w:rPr>
                <w:b w:val="0"/>
                <w:sz w:val="18"/>
                <w:szCs w:val="18"/>
              </w:rPr>
            </w:pPr>
            <w:r w:rsidRPr="00D91013">
              <w:rPr>
                <w:sz w:val="18"/>
                <w:szCs w:val="18"/>
              </w:rPr>
              <w:t>Location</w:t>
            </w:r>
          </w:p>
        </w:tc>
        <w:tc>
          <w:tcPr>
            <w:tcW w:w="603" w:type="dxa"/>
            <w:vMerge w:val="restart"/>
            <w:tcBorders>
              <w:top w:val="single" w:sz="4" w:space="0" w:color="auto"/>
              <w:left w:val="single" w:sz="4" w:space="0" w:color="auto"/>
            </w:tcBorders>
            <w:vAlign w:val="center"/>
          </w:tcPr>
          <w:p w14:paraId="7C24FB5B" w14:textId="77777777" w:rsidR="00EE5290" w:rsidRPr="00D91013" w:rsidRDefault="00EE5290" w:rsidP="00637889">
            <w:pPr>
              <w:pStyle w:val="TableColumnHeadingRight"/>
              <w:spacing w:before="30" w:after="30"/>
              <w:rPr>
                <w:b w:val="0"/>
                <w:bCs/>
                <w:sz w:val="18"/>
                <w:szCs w:val="18"/>
              </w:rPr>
            </w:pPr>
            <w:r w:rsidRPr="00D91013">
              <w:rPr>
                <w:bCs/>
                <w:sz w:val="18"/>
                <w:szCs w:val="18"/>
              </w:rPr>
              <w:t>Total</w:t>
            </w:r>
          </w:p>
        </w:tc>
      </w:tr>
      <w:tr w:rsidR="00664208" w:rsidRPr="00883271" w14:paraId="2A8690E7" w14:textId="77777777" w:rsidTr="0002544C">
        <w:trPr>
          <w:cnfStyle w:val="000000100000" w:firstRow="0" w:lastRow="0" w:firstColumn="0" w:lastColumn="0" w:oddVBand="0" w:evenVBand="0" w:oddHBand="1" w:evenHBand="0" w:firstRowFirstColumn="0" w:firstRowLastColumn="0" w:lastRowFirstColumn="0" w:lastRowLastColumn="0"/>
          <w:trHeight w:val="501"/>
          <w:jc w:val="center"/>
        </w:trPr>
        <w:tc>
          <w:tcPr>
            <w:tcW w:w="1975" w:type="dxa"/>
            <w:tcBorders>
              <w:top w:val="single" w:sz="4" w:space="0" w:color="auto"/>
              <w:bottom w:val="single" w:sz="4" w:space="0" w:color="auto"/>
            </w:tcBorders>
            <w:shd w:val="clear" w:color="auto" w:fill="EEEEEE" w:themeFill="background2"/>
          </w:tcPr>
          <w:p w14:paraId="73B2C1A2" w14:textId="77777777" w:rsidR="00EE5290" w:rsidRPr="00D91013" w:rsidRDefault="00EE5290" w:rsidP="00637889">
            <w:pPr>
              <w:pStyle w:val="TableColumnHeadingRight"/>
              <w:spacing w:before="30" w:after="30"/>
              <w:rPr>
                <w:sz w:val="18"/>
                <w:szCs w:val="18"/>
              </w:rPr>
            </w:pPr>
          </w:p>
        </w:tc>
        <w:tc>
          <w:tcPr>
            <w:tcW w:w="987" w:type="dxa"/>
            <w:tcBorders>
              <w:top w:val="single" w:sz="4" w:space="0" w:color="auto"/>
              <w:bottom w:val="single" w:sz="4" w:space="0" w:color="auto"/>
            </w:tcBorders>
            <w:shd w:val="clear" w:color="auto" w:fill="EEEEEE" w:themeFill="background2"/>
            <w:vAlign w:val="center"/>
          </w:tcPr>
          <w:p w14:paraId="2BBB5465" w14:textId="77777777" w:rsidR="00EE5290" w:rsidRPr="00D91013" w:rsidRDefault="00EE5290" w:rsidP="00637889">
            <w:pPr>
              <w:pStyle w:val="TableColumnHeadingRight"/>
              <w:spacing w:before="30" w:after="30"/>
              <w:rPr>
                <w:sz w:val="18"/>
                <w:szCs w:val="18"/>
              </w:rPr>
            </w:pPr>
            <w:r w:rsidRPr="00D91013">
              <w:rPr>
                <w:bCs/>
                <w:sz w:val="18"/>
                <w:szCs w:val="18"/>
              </w:rPr>
              <w:t>Less than 100</w:t>
            </w:r>
          </w:p>
        </w:tc>
        <w:tc>
          <w:tcPr>
            <w:tcW w:w="706" w:type="dxa"/>
            <w:tcBorders>
              <w:top w:val="single" w:sz="4" w:space="0" w:color="auto"/>
              <w:bottom w:val="single" w:sz="4" w:space="0" w:color="auto"/>
              <w:right w:val="single" w:sz="4" w:space="0" w:color="auto"/>
            </w:tcBorders>
            <w:shd w:val="clear" w:color="auto" w:fill="EEEEEE" w:themeFill="background2"/>
            <w:vAlign w:val="center"/>
          </w:tcPr>
          <w:p w14:paraId="4CA179F0" w14:textId="77777777" w:rsidR="00EE5290" w:rsidRPr="00D91013" w:rsidRDefault="00EE5290" w:rsidP="00637889">
            <w:pPr>
              <w:pStyle w:val="TableColumnHeadingRight"/>
              <w:spacing w:before="30" w:after="30"/>
              <w:rPr>
                <w:sz w:val="18"/>
                <w:szCs w:val="18"/>
              </w:rPr>
            </w:pPr>
            <w:r w:rsidRPr="00D91013">
              <w:rPr>
                <w:bCs/>
                <w:sz w:val="18"/>
                <w:szCs w:val="18"/>
              </w:rPr>
              <w:t>100 or more</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69CFBE75" w14:textId="77777777" w:rsidR="00EE5290" w:rsidRPr="00D91013" w:rsidRDefault="00EE5290" w:rsidP="00637889">
            <w:pPr>
              <w:pStyle w:val="TableColumnHeadingRight"/>
              <w:spacing w:before="30" w:after="30"/>
              <w:rPr>
                <w:sz w:val="18"/>
                <w:szCs w:val="18"/>
              </w:rPr>
            </w:pPr>
            <w:r w:rsidRPr="00D91013">
              <w:rPr>
                <w:bCs/>
                <w:sz w:val="18"/>
                <w:szCs w:val="18"/>
              </w:rPr>
              <w:t>Generalist</w:t>
            </w:r>
          </w:p>
        </w:tc>
        <w:tc>
          <w:tcPr>
            <w:tcW w:w="987" w:type="dxa"/>
            <w:tcBorders>
              <w:top w:val="single" w:sz="4" w:space="0" w:color="auto"/>
              <w:bottom w:val="single" w:sz="4" w:space="0" w:color="auto"/>
            </w:tcBorders>
            <w:shd w:val="clear" w:color="auto" w:fill="EEEEEE" w:themeFill="background2"/>
            <w:vAlign w:val="center"/>
          </w:tcPr>
          <w:p w14:paraId="61CA7946" w14:textId="46FB49D2" w:rsidR="00EE5290" w:rsidRPr="00D91013" w:rsidRDefault="00EE5290" w:rsidP="00637889">
            <w:pPr>
              <w:pStyle w:val="TableColumnHeadingRight"/>
              <w:spacing w:before="30" w:after="30"/>
              <w:rPr>
                <w:sz w:val="18"/>
                <w:szCs w:val="18"/>
              </w:rPr>
            </w:pPr>
            <w:r w:rsidRPr="00D91013">
              <w:rPr>
                <w:bCs/>
                <w:sz w:val="18"/>
                <w:szCs w:val="18"/>
              </w:rPr>
              <w:t xml:space="preserve">Specialist </w:t>
            </w:r>
            <w:r w:rsidR="007B3C6A">
              <w:rPr>
                <w:bCs/>
                <w:sz w:val="18"/>
                <w:szCs w:val="18"/>
              </w:rPr>
              <w:noBreakHyphen/>
            </w:r>
            <w:r w:rsidRPr="00D91013">
              <w:rPr>
                <w:bCs/>
                <w:sz w:val="18"/>
                <w:szCs w:val="18"/>
              </w:rPr>
              <w:t xml:space="preserve"> regional</w:t>
            </w:r>
          </w:p>
        </w:tc>
        <w:tc>
          <w:tcPr>
            <w:tcW w:w="1410" w:type="dxa"/>
            <w:tcBorders>
              <w:top w:val="single" w:sz="4" w:space="0" w:color="auto"/>
              <w:bottom w:val="single" w:sz="4" w:space="0" w:color="auto"/>
              <w:right w:val="single" w:sz="4" w:space="0" w:color="auto"/>
            </w:tcBorders>
            <w:shd w:val="clear" w:color="auto" w:fill="EEEEEE" w:themeFill="background2"/>
            <w:vAlign w:val="center"/>
          </w:tcPr>
          <w:p w14:paraId="2F9B6C6A" w14:textId="435857E1" w:rsidR="00EE5290" w:rsidRPr="00D91013" w:rsidRDefault="00EE5290" w:rsidP="00637889">
            <w:pPr>
              <w:pStyle w:val="TableColumnHeadingRight"/>
              <w:spacing w:before="30" w:after="30"/>
              <w:rPr>
                <w:sz w:val="18"/>
                <w:szCs w:val="18"/>
              </w:rPr>
            </w:pPr>
            <w:r w:rsidRPr="00D91013">
              <w:rPr>
                <w:bCs/>
                <w:sz w:val="18"/>
                <w:szCs w:val="18"/>
              </w:rPr>
              <w:t xml:space="preserve">Specialist </w:t>
            </w:r>
            <w:r w:rsidR="007B3C6A">
              <w:rPr>
                <w:bCs/>
                <w:sz w:val="18"/>
                <w:szCs w:val="18"/>
              </w:rPr>
              <w:noBreakHyphen/>
            </w:r>
            <w:r w:rsidRPr="00D91013">
              <w:rPr>
                <w:bCs/>
                <w:sz w:val="18"/>
                <w:szCs w:val="18"/>
              </w:rPr>
              <w:t xml:space="preserve"> one / limited makes</w:t>
            </w:r>
          </w:p>
        </w:tc>
        <w:tc>
          <w:tcPr>
            <w:tcW w:w="1072" w:type="dxa"/>
            <w:tcBorders>
              <w:top w:val="single" w:sz="4" w:space="0" w:color="auto"/>
              <w:left w:val="single" w:sz="4" w:space="0" w:color="auto"/>
              <w:bottom w:val="single" w:sz="4" w:space="0" w:color="auto"/>
            </w:tcBorders>
            <w:shd w:val="clear" w:color="auto" w:fill="EEEEEE" w:themeFill="background2"/>
            <w:vAlign w:val="center"/>
          </w:tcPr>
          <w:p w14:paraId="789AED41" w14:textId="77777777" w:rsidR="00EE5290" w:rsidRPr="00D91013" w:rsidRDefault="00EE5290" w:rsidP="00637889">
            <w:pPr>
              <w:pStyle w:val="TableColumnHeadingRight"/>
              <w:spacing w:before="30" w:after="30"/>
              <w:rPr>
                <w:sz w:val="18"/>
                <w:szCs w:val="18"/>
              </w:rPr>
            </w:pPr>
            <w:r w:rsidRPr="00D91013">
              <w:rPr>
                <w:bCs/>
                <w:sz w:val="18"/>
                <w:szCs w:val="18"/>
              </w:rPr>
              <w:t>Owner operator</w:t>
            </w:r>
          </w:p>
        </w:tc>
        <w:tc>
          <w:tcPr>
            <w:tcW w:w="1072" w:type="dxa"/>
            <w:tcBorders>
              <w:top w:val="single" w:sz="4" w:space="0" w:color="auto"/>
              <w:bottom w:val="single" w:sz="4" w:space="0" w:color="auto"/>
            </w:tcBorders>
            <w:shd w:val="clear" w:color="auto" w:fill="EEEEEE" w:themeFill="background2"/>
            <w:vAlign w:val="center"/>
          </w:tcPr>
          <w:p w14:paraId="6A8CD324" w14:textId="77777777" w:rsidR="00EE5290" w:rsidRPr="00D91013" w:rsidRDefault="00EE5290" w:rsidP="00637889">
            <w:pPr>
              <w:pStyle w:val="TableColumnHeadingRight"/>
              <w:spacing w:before="30" w:after="30"/>
              <w:rPr>
                <w:sz w:val="18"/>
                <w:szCs w:val="18"/>
              </w:rPr>
            </w:pPr>
            <w:r w:rsidRPr="00D91013">
              <w:rPr>
                <w:bCs/>
                <w:sz w:val="18"/>
                <w:szCs w:val="18"/>
              </w:rPr>
              <w:t>1 to 4 employees</w:t>
            </w:r>
          </w:p>
        </w:tc>
        <w:tc>
          <w:tcPr>
            <w:tcW w:w="1072" w:type="dxa"/>
            <w:tcBorders>
              <w:top w:val="single" w:sz="4" w:space="0" w:color="auto"/>
              <w:bottom w:val="single" w:sz="4" w:space="0" w:color="auto"/>
            </w:tcBorders>
            <w:shd w:val="clear" w:color="auto" w:fill="EEEEEE" w:themeFill="background2"/>
            <w:vAlign w:val="center"/>
          </w:tcPr>
          <w:p w14:paraId="378D0816" w14:textId="77777777" w:rsidR="00EE5290" w:rsidRPr="00D91013" w:rsidRDefault="00EE5290" w:rsidP="00637889">
            <w:pPr>
              <w:pStyle w:val="TableColumnHeadingRight"/>
              <w:spacing w:before="30" w:after="30"/>
              <w:rPr>
                <w:sz w:val="18"/>
                <w:szCs w:val="18"/>
              </w:rPr>
            </w:pPr>
            <w:r w:rsidRPr="00D91013">
              <w:rPr>
                <w:bCs/>
                <w:sz w:val="18"/>
                <w:szCs w:val="18"/>
              </w:rPr>
              <w:t>5 to 19 employees</w:t>
            </w:r>
          </w:p>
        </w:tc>
        <w:tc>
          <w:tcPr>
            <w:tcW w:w="1072" w:type="dxa"/>
            <w:tcBorders>
              <w:top w:val="single" w:sz="4" w:space="0" w:color="auto"/>
              <w:bottom w:val="single" w:sz="4" w:space="0" w:color="auto"/>
              <w:right w:val="single" w:sz="4" w:space="0" w:color="auto"/>
            </w:tcBorders>
            <w:shd w:val="clear" w:color="auto" w:fill="EEEEEE" w:themeFill="background2"/>
            <w:vAlign w:val="center"/>
          </w:tcPr>
          <w:p w14:paraId="387BFF12" w14:textId="77777777" w:rsidR="00EE5290" w:rsidRPr="00D91013" w:rsidRDefault="00EE5290" w:rsidP="00637889">
            <w:pPr>
              <w:pStyle w:val="TableColumnHeadingRight"/>
              <w:spacing w:before="30" w:after="30"/>
              <w:rPr>
                <w:sz w:val="18"/>
                <w:szCs w:val="18"/>
              </w:rPr>
            </w:pPr>
            <w:r w:rsidRPr="00D91013">
              <w:rPr>
                <w:bCs/>
                <w:sz w:val="18"/>
                <w:szCs w:val="18"/>
              </w:rPr>
              <w:t>20 or more employees</w:t>
            </w:r>
          </w:p>
        </w:tc>
        <w:tc>
          <w:tcPr>
            <w:tcW w:w="709" w:type="dxa"/>
            <w:tcBorders>
              <w:top w:val="single" w:sz="4" w:space="0" w:color="auto"/>
              <w:left w:val="single" w:sz="4" w:space="0" w:color="auto"/>
              <w:bottom w:val="single" w:sz="4" w:space="0" w:color="auto"/>
            </w:tcBorders>
            <w:shd w:val="clear" w:color="auto" w:fill="EEEEEE" w:themeFill="background2"/>
            <w:vAlign w:val="center"/>
          </w:tcPr>
          <w:p w14:paraId="07F52F88" w14:textId="77777777" w:rsidR="00EE5290" w:rsidRPr="00D91013" w:rsidRDefault="00EE5290" w:rsidP="00637889">
            <w:pPr>
              <w:pStyle w:val="TableColumnHeadingRight"/>
              <w:spacing w:before="30" w:after="30"/>
              <w:rPr>
                <w:sz w:val="18"/>
                <w:szCs w:val="18"/>
              </w:rPr>
            </w:pPr>
            <w:r w:rsidRPr="00D91013">
              <w:rPr>
                <w:bCs/>
                <w:sz w:val="18"/>
                <w:szCs w:val="18"/>
              </w:rPr>
              <w:t>Metro</w:t>
            </w:r>
          </w:p>
        </w:tc>
        <w:tc>
          <w:tcPr>
            <w:tcW w:w="926" w:type="dxa"/>
            <w:tcBorders>
              <w:top w:val="single" w:sz="4" w:space="0" w:color="auto"/>
              <w:bottom w:val="single" w:sz="4" w:space="0" w:color="auto"/>
              <w:right w:val="single" w:sz="4" w:space="0" w:color="auto"/>
            </w:tcBorders>
            <w:shd w:val="clear" w:color="auto" w:fill="EEEEEE" w:themeFill="background2"/>
            <w:vAlign w:val="center"/>
          </w:tcPr>
          <w:p w14:paraId="642D2DA6" w14:textId="77777777" w:rsidR="00EE5290" w:rsidRPr="00D91013" w:rsidRDefault="00EE5290" w:rsidP="00637889">
            <w:pPr>
              <w:pStyle w:val="TableColumnHeadingRight"/>
              <w:spacing w:before="30" w:after="30"/>
              <w:rPr>
                <w:sz w:val="18"/>
                <w:szCs w:val="18"/>
              </w:rPr>
            </w:pPr>
            <w:r w:rsidRPr="00D91013">
              <w:rPr>
                <w:bCs/>
                <w:sz w:val="18"/>
                <w:szCs w:val="18"/>
              </w:rPr>
              <w:t>Regional</w:t>
            </w:r>
          </w:p>
        </w:tc>
        <w:tc>
          <w:tcPr>
            <w:tcW w:w="603" w:type="dxa"/>
            <w:vMerge/>
            <w:tcBorders>
              <w:left w:val="single" w:sz="4" w:space="0" w:color="auto"/>
              <w:bottom w:val="single" w:sz="4" w:space="0" w:color="auto"/>
            </w:tcBorders>
            <w:shd w:val="clear" w:color="auto" w:fill="EEEEEE" w:themeFill="background2"/>
            <w:vAlign w:val="center"/>
          </w:tcPr>
          <w:p w14:paraId="343D30D1" w14:textId="77777777" w:rsidR="00EE5290" w:rsidRPr="00D91013" w:rsidRDefault="00EE5290" w:rsidP="00637889">
            <w:pPr>
              <w:pStyle w:val="TableColumnHeadingRight"/>
              <w:spacing w:before="30" w:after="30"/>
              <w:rPr>
                <w:bCs/>
                <w:sz w:val="18"/>
                <w:szCs w:val="18"/>
              </w:rPr>
            </w:pPr>
          </w:p>
        </w:tc>
      </w:tr>
      <w:tr w:rsidR="0002544C" w:rsidRPr="00883271" w14:paraId="05059CA8" w14:textId="77777777" w:rsidTr="0002544C">
        <w:trPr>
          <w:cnfStyle w:val="000000010000" w:firstRow="0" w:lastRow="0" w:firstColumn="0" w:lastColumn="0" w:oddVBand="0" w:evenVBand="0" w:oddHBand="0" w:evenHBand="1" w:firstRowFirstColumn="0" w:firstRowLastColumn="0" w:lastRowFirstColumn="0" w:lastRowLastColumn="0"/>
          <w:trHeight w:val="20"/>
          <w:jc w:val="center"/>
        </w:trPr>
        <w:tc>
          <w:tcPr>
            <w:tcW w:w="1975" w:type="dxa"/>
            <w:tcBorders>
              <w:top w:val="single" w:sz="4" w:space="0" w:color="auto"/>
            </w:tcBorders>
            <w:vAlign w:val="center"/>
          </w:tcPr>
          <w:p w14:paraId="0771B2A2" w14:textId="5944620D" w:rsidR="0002544C" w:rsidRPr="0002544C" w:rsidRDefault="0002544C" w:rsidP="00637889">
            <w:pPr>
              <w:pStyle w:val="TableTextLeft"/>
              <w:spacing w:before="30" w:after="30"/>
              <w:rPr>
                <w:b/>
                <w:bCs/>
                <w:szCs w:val="18"/>
              </w:rPr>
            </w:pPr>
            <w:r w:rsidRPr="0002544C">
              <w:rPr>
                <w:rFonts w:cs="Calibri Light"/>
                <w:b/>
                <w:bCs/>
                <w:szCs w:val="18"/>
              </w:rPr>
              <w:t>Generalist</w:t>
            </w:r>
          </w:p>
        </w:tc>
        <w:tc>
          <w:tcPr>
            <w:tcW w:w="987" w:type="dxa"/>
            <w:tcBorders>
              <w:top w:val="single" w:sz="4" w:space="0" w:color="auto"/>
            </w:tcBorders>
            <w:vAlign w:val="center"/>
          </w:tcPr>
          <w:p w14:paraId="2FDE939F" w14:textId="2F727C4B" w:rsidR="0002544C" w:rsidRPr="0002544C" w:rsidRDefault="0002544C" w:rsidP="00637889">
            <w:pPr>
              <w:pStyle w:val="TableTextRight"/>
              <w:spacing w:before="30" w:after="30"/>
            </w:pPr>
            <w:r w:rsidRPr="0002544C">
              <w:t>68%</w:t>
            </w:r>
          </w:p>
        </w:tc>
        <w:tc>
          <w:tcPr>
            <w:tcW w:w="706" w:type="dxa"/>
            <w:tcBorders>
              <w:top w:val="single" w:sz="4" w:space="0" w:color="auto"/>
              <w:right w:val="single" w:sz="4" w:space="0" w:color="auto"/>
            </w:tcBorders>
            <w:vAlign w:val="center"/>
          </w:tcPr>
          <w:p w14:paraId="08D1F908" w14:textId="56170E7B" w:rsidR="0002544C" w:rsidRPr="0002544C" w:rsidRDefault="0002544C" w:rsidP="00637889">
            <w:pPr>
              <w:pStyle w:val="TableTextRight"/>
              <w:spacing w:before="30" w:after="30"/>
            </w:pPr>
            <w:r w:rsidRPr="0002544C">
              <w:t>75%</w:t>
            </w:r>
          </w:p>
        </w:tc>
        <w:tc>
          <w:tcPr>
            <w:tcW w:w="987" w:type="dxa"/>
            <w:tcBorders>
              <w:top w:val="single" w:sz="4" w:space="0" w:color="auto"/>
              <w:left w:val="single" w:sz="4" w:space="0" w:color="auto"/>
            </w:tcBorders>
            <w:vAlign w:val="center"/>
          </w:tcPr>
          <w:p w14:paraId="7A4B5935" w14:textId="4D93583A" w:rsidR="0002544C" w:rsidRPr="0002544C" w:rsidRDefault="0002544C" w:rsidP="00637889">
            <w:pPr>
              <w:pStyle w:val="TableTextRight"/>
              <w:spacing w:before="30" w:after="30"/>
            </w:pPr>
            <w:r w:rsidRPr="0002544C">
              <w:t>100%</w:t>
            </w:r>
          </w:p>
        </w:tc>
        <w:tc>
          <w:tcPr>
            <w:tcW w:w="987" w:type="dxa"/>
            <w:tcBorders>
              <w:top w:val="single" w:sz="4" w:space="0" w:color="auto"/>
            </w:tcBorders>
            <w:vAlign w:val="center"/>
          </w:tcPr>
          <w:p w14:paraId="37AA3406" w14:textId="28AC9737" w:rsidR="0002544C" w:rsidRPr="0002544C" w:rsidRDefault="0002544C" w:rsidP="00637889">
            <w:pPr>
              <w:pStyle w:val="TableTextRight"/>
              <w:spacing w:before="30" w:after="30"/>
            </w:pPr>
            <w:r w:rsidRPr="0002544C">
              <w:t>0%</w:t>
            </w:r>
          </w:p>
        </w:tc>
        <w:tc>
          <w:tcPr>
            <w:tcW w:w="1410" w:type="dxa"/>
            <w:tcBorders>
              <w:top w:val="single" w:sz="4" w:space="0" w:color="auto"/>
              <w:right w:val="single" w:sz="4" w:space="0" w:color="auto"/>
            </w:tcBorders>
            <w:vAlign w:val="center"/>
          </w:tcPr>
          <w:p w14:paraId="179AA811" w14:textId="0031F346" w:rsidR="0002544C" w:rsidRPr="0002544C" w:rsidRDefault="0002544C" w:rsidP="00637889">
            <w:pPr>
              <w:pStyle w:val="TableTextRight"/>
              <w:spacing w:before="30" w:after="30"/>
            </w:pPr>
            <w:r w:rsidRPr="0002544C">
              <w:t>0%</w:t>
            </w:r>
          </w:p>
        </w:tc>
        <w:tc>
          <w:tcPr>
            <w:tcW w:w="1072" w:type="dxa"/>
            <w:tcBorders>
              <w:top w:val="single" w:sz="4" w:space="0" w:color="auto"/>
              <w:left w:val="single" w:sz="4" w:space="0" w:color="auto"/>
            </w:tcBorders>
            <w:vAlign w:val="center"/>
          </w:tcPr>
          <w:p w14:paraId="232E5E82" w14:textId="174E7330" w:rsidR="0002544C" w:rsidRPr="0002544C" w:rsidRDefault="0002544C" w:rsidP="00637889">
            <w:pPr>
              <w:pStyle w:val="TableTextRight"/>
              <w:spacing w:before="30" w:after="30"/>
            </w:pPr>
            <w:r w:rsidRPr="0002544C">
              <w:t>71%</w:t>
            </w:r>
          </w:p>
        </w:tc>
        <w:tc>
          <w:tcPr>
            <w:tcW w:w="1072" w:type="dxa"/>
            <w:tcBorders>
              <w:top w:val="single" w:sz="4" w:space="0" w:color="auto"/>
            </w:tcBorders>
            <w:vAlign w:val="center"/>
          </w:tcPr>
          <w:p w14:paraId="44EC5BE5" w14:textId="37A5B91A" w:rsidR="0002544C" w:rsidRPr="0002544C" w:rsidRDefault="0002544C" w:rsidP="00637889">
            <w:pPr>
              <w:pStyle w:val="TableTextRight"/>
              <w:spacing w:before="30" w:after="30"/>
            </w:pPr>
            <w:r w:rsidRPr="0002544C">
              <w:t>68%</w:t>
            </w:r>
          </w:p>
        </w:tc>
        <w:tc>
          <w:tcPr>
            <w:tcW w:w="1072" w:type="dxa"/>
            <w:tcBorders>
              <w:top w:val="single" w:sz="4" w:space="0" w:color="auto"/>
            </w:tcBorders>
            <w:vAlign w:val="center"/>
          </w:tcPr>
          <w:p w14:paraId="3A8E42A6" w14:textId="6BBAF949" w:rsidR="0002544C" w:rsidRPr="0002544C" w:rsidRDefault="0002544C" w:rsidP="00637889">
            <w:pPr>
              <w:pStyle w:val="TableTextRight"/>
              <w:spacing w:before="30" w:after="30"/>
            </w:pPr>
            <w:r w:rsidRPr="0002544C">
              <w:t>78%</w:t>
            </w:r>
          </w:p>
        </w:tc>
        <w:tc>
          <w:tcPr>
            <w:tcW w:w="1072" w:type="dxa"/>
            <w:tcBorders>
              <w:top w:val="single" w:sz="4" w:space="0" w:color="auto"/>
              <w:right w:val="single" w:sz="4" w:space="0" w:color="auto"/>
            </w:tcBorders>
            <w:vAlign w:val="center"/>
          </w:tcPr>
          <w:p w14:paraId="7E9FA7B4" w14:textId="7EFA4593" w:rsidR="0002544C" w:rsidRPr="0002544C" w:rsidRDefault="0002544C" w:rsidP="00637889">
            <w:pPr>
              <w:pStyle w:val="TableTextRight"/>
              <w:spacing w:before="30" w:after="30"/>
            </w:pPr>
            <w:r w:rsidRPr="0002544C">
              <w:t>58%</w:t>
            </w:r>
          </w:p>
        </w:tc>
        <w:tc>
          <w:tcPr>
            <w:tcW w:w="709" w:type="dxa"/>
            <w:tcBorders>
              <w:top w:val="single" w:sz="4" w:space="0" w:color="auto"/>
              <w:left w:val="single" w:sz="4" w:space="0" w:color="auto"/>
            </w:tcBorders>
            <w:vAlign w:val="center"/>
          </w:tcPr>
          <w:p w14:paraId="4DF19695" w14:textId="624C1382" w:rsidR="0002544C" w:rsidRPr="0002544C" w:rsidRDefault="0002544C" w:rsidP="00637889">
            <w:pPr>
              <w:pStyle w:val="TableTextRight"/>
              <w:spacing w:before="30" w:after="30"/>
            </w:pPr>
            <w:r w:rsidRPr="0002544C">
              <w:t>68%</w:t>
            </w:r>
          </w:p>
        </w:tc>
        <w:tc>
          <w:tcPr>
            <w:tcW w:w="926" w:type="dxa"/>
            <w:tcBorders>
              <w:top w:val="single" w:sz="4" w:space="0" w:color="auto"/>
              <w:right w:val="single" w:sz="4" w:space="0" w:color="auto"/>
            </w:tcBorders>
            <w:vAlign w:val="center"/>
          </w:tcPr>
          <w:p w14:paraId="482AA513" w14:textId="1B954CDA" w:rsidR="0002544C" w:rsidRPr="0002544C" w:rsidRDefault="0002544C" w:rsidP="00637889">
            <w:pPr>
              <w:pStyle w:val="TableTextRight"/>
              <w:spacing w:before="30" w:after="30"/>
            </w:pPr>
            <w:r w:rsidRPr="0002544C">
              <w:t>75%</w:t>
            </w:r>
          </w:p>
        </w:tc>
        <w:tc>
          <w:tcPr>
            <w:tcW w:w="603" w:type="dxa"/>
            <w:tcBorders>
              <w:top w:val="single" w:sz="4" w:space="0" w:color="auto"/>
              <w:left w:val="single" w:sz="4" w:space="0" w:color="auto"/>
            </w:tcBorders>
            <w:vAlign w:val="center"/>
          </w:tcPr>
          <w:p w14:paraId="270BA6AA" w14:textId="49B20CE1" w:rsidR="0002544C" w:rsidRPr="0002544C" w:rsidRDefault="0002544C" w:rsidP="00637889">
            <w:pPr>
              <w:pStyle w:val="TableTextRight"/>
              <w:spacing w:before="30" w:after="30"/>
              <w:rPr>
                <w:b/>
                <w:bCs/>
              </w:rPr>
            </w:pPr>
            <w:r w:rsidRPr="0002544C">
              <w:rPr>
                <w:b/>
                <w:bCs/>
              </w:rPr>
              <w:t>71%</w:t>
            </w:r>
          </w:p>
        </w:tc>
      </w:tr>
      <w:tr w:rsidR="0002544C" w:rsidRPr="00883271" w14:paraId="55A41382" w14:textId="77777777" w:rsidTr="0002544C">
        <w:trPr>
          <w:cnfStyle w:val="000000100000" w:firstRow="0" w:lastRow="0" w:firstColumn="0" w:lastColumn="0" w:oddVBand="0" w:evenVBand="0" w:oddHBand="1" w:evenHBand="0" w:firstRowFirstColumn="0" w:firstRowLastColumn="0" w:lastRowFirstColumn="0" w:lastRowLastColumn="0"/>
          <w:trHeight w:val="20"/>
          <w:jc w:val="center"/>
        </w:trPr>
        <w:tc>
          <w:tcPr>
            <w:tcW w:w="1975" w:type="dxa"/>
            <w:vAlign w:val="center"/>
          </w:tcPr>
          <w:p w14:paraId="435784CA" w14:textId="4EA4EABB" w:rsidR="0002544C" w:rsidRPr="0002544C" w:rsidRDefault="0002544C" w:rsidP="00637889">
            <w:pPr>
              <w:pStyle w:val="TableTextLeft"/>
              <w:spacing w:before="30" w:after="30"/>
              <w:rPr>
                <w:b/>
                <w:bCs/>
                <w:szCs w:val="18"/>
              </w:rPr>
            </w:pPr>
            <w:r w:rsidRPr="0002544C">
              <w:rPr>
                <w:rFonts w:cs="Calibri Light"/>
                <w:b/>
                <w:bCs/>
                <w:szCs w:val="18"/>
              </w:rPr>
              <w:t>Regional Specialist</w:t>
            </w:r>
          </w:p>
        </w:tc>
        <w:tc>
          <w:tcPr>
            <w:tcW w:w="987" w:type="dxa"/>
            <w:vAlign w:val="center"/>
          </w:tcPr>
          <w:p w14:paraId="0F8E1639" w14:textId="27CDDD5B" w:rsidR="0002544C" w:rsidRPr="0002544C" w:rsidRDefault="0002544C" w:rsidP="00637889">
            <w:pPr>
              <w:pStyle w:val="TableTextRight"/>
              <w:spacing w:before="30" w:after="30"/>
            </w:pPr>
            <w:r w:rsidRPr="0002544C">
              <w:t>16%</w:t>
            </w:r>
          </w:p>
        </w:tc>
        <w:tc>
          <w:tcPr>
            <w:tcW w:w="706" w:type="dxa"/>
            <w:tcBorders>
              <w:right w:val="single" w:sz="4" w:space="0" w:color="auto"/>
            </w:tcBorders>
            <w:vAlign w:val="center"/>
          </w:tcPr>
          <w:p w14:paraId="58F73E34" w14:textId="1FB1A23C" w:rsidR="0002544C" w:rsidRPr="0002544C" w:rsidRDefault="0002544C" w:rsidP="00637889">
            <w:pPr>
              <w:pStyle w:val="TableTextRight"/>
              <w:spacing w:before="30" w:after="30"/>
            </w:pPr>
            <w:r w:rsidRPr="0002544C">
              <w:t>10%</w:t>
            </w:r>
          </w:p>
        </w:tc>
        <w:tc>
          <w:tcPr>
            <w:tcW w:w="987" w:type="dxa"/>
            <w:tcBorders>
              <w:left w:val="single" w:sz="4" w:space="0" w:color="auto"/>
            </w:tcBorders>
            <w:vAlign w:val="center"/>
          </w:tcPr>
          <w:p w14:paraId="201A4542" w14:textId="7CA997C8" w:rsidR="0002544C" w:rsidRPr="0002544C" w:rsidRDefault="0002544C" w:rsidP="00637889">
            <w:pPr>
              <w:pStyle w:val="TableTextRight"/>
              <w:spacing w:before="30" w:after="30"/>
            </w:pPr>
            <w:r w:rsidRPr="0002544C">
              <w:t>0%</w:t>
            </w:r>
          </w:p>
        </w:tc>
        <w:tc>
          <w:tcPr>
            <w:tcW w:w="987" w:type="dxa"/>
            <w:vAlign w:val="center"/>
          </w:tcPr>
          <w:p w14:paraId="2ADFABD3" w14:textId="1130D882" w:rsidR="0002544C" w:rsidRPr="0002544C" w:rsidRDefault="0002544C" w:rsidP="00637889">
            <w:pPr>
              <w:pStyle w:val="TableTextRight"/>
              <w:spacing w:before="30" w:after="30"/>
            </w:pPr>
            <w:r w:rsidRPr="0002544C">
              <w:t>100%</w:t>
            </w:r>
          </w:p>
        </w:tc>
        <w:tc>
          <w:tcPr>
            <w:tcW w:w="1410" w:type="dxa"/>
            <w:tcBorders>
              <w:right w:val="single" w:sz="4" w:space="0" w:color="auto"/>
            </w:tcBorders>
            <w:vAlign w:val="center"/>
          </w:tcPr>
          <w:p w14:paraId="61CF95FE" w14:textId="19EEA8A7" w:rsidR="0002544C" w:rsidRPr="0002544C" w:rsidRDefault="0002544C" w:rsidP="00637889">
            <w:pPr>
              <w:pStyle w:val="TableTextRight"/>
              <w:spacing w:before="30" w:after="30"/>
            </w:pPr>
            <w:r w:rsidRPr="0002544C">
              <w:t>0%</w:t>
            </w:r>
          </w:p>
        </w:tc>
        <w:tc>
          <w:tcPr>
            <w:tcW w:w="1072" w:type="dxa"/>
            <w:tcBorders>
              <w:left w:val="single" w:sz="4" w:space="0" w:color="auto"/>
            </w:tcBorders>
            <w:vAlign w:val="center"/>
          </w:tcPr>
          <w:p w14:paraId="73BA1107" w14:textId="73C8D5B2" w:rsidR="0002544C" w:rsidRPr="0002544C" w:rsidRDefault="0002544C" w:rsidP="00637889">
            <w:pPr>
              <w:pStyle w:val="TableTextRight"/>
              <w:spacing w:before="30" w:after="30"/>
            </w:pPr>
            <w:r w:rsidRPr="0002544C">
              <w:t>7%</w:t>
            </w:r>
          </w:p>
        </w:tc>
        <w:tc>
          <w:tcPr>
            <w:tcW w:w="1072" w:type="dxa"/>
            <w:vAlign w:val="center"/>
          </w:tcPr>
          <w:p w14:paraId="442C3EFE" w14:textId="7ABB155B" w:rsidR="0002544C" w:rsidRPr="0002544C" w:rsidRDefault="0002544C" w:rsidP="00637889">
            <w:pPr>
              <w:pStyle w:val="TableTextRight"/>
              <w:spacing w:before="30" w:after="30"/>
            </w:pPr>
            <w:r w:rsidRPr="0002544C">
              <w:t>18%</w:t>
            </w:r>
          </w:p>
        </w:tc>
        <w:tc>
          <w:tcPr>
            <w:tcW w:w="1072" w:type="dxa"/>
            <w:vAlign w:val="center"/>
          </w:tcPr>
          <w:p w14:paraId="70795D14" w14:textId="762F4276" w:rsidR="0002544C" w:rsidRPr="0002544C" w:rsidRDefault="0002544C" w:rsidP="00637889">
            <w:pPr>
              <w:pStyle w:val="TableTextRight"/>
              <w:spacing w:before="30" w:after="30"/>
            </w:pPr>
            <w:r w:rsidRPr="0002544C">
              <w:t>13%</w:t>
            </w:r>
          </w:p>
        </w:tc>
        <w:tc>
          <w:tcPr>
            <w:tcW w:w="1072" w:type="dxa"/>
            <w:tcBorders>
              <w:right w:val="single" w:sz="4" w:space="0" w:color="auto"/>
            </w:tcBorders>
            <w:vAlign w:val="center"/>
          </w:tcPr>
          <w:p w14:paraId="7AF4BB0D" w14:textId="0E159332" w:rsidR="0002544C" w:rsidRPr="0002544C" w:rsidRDefault="0002544C" w:rsidP="00637889">
            <w:pPr>
              <w:pStyle w:val="TableTextRight"/>
              <w:spacing w:before="30" w:after="30"/>
            </w:pPr>
            <w:r w:rsidRPr="0002544C">
              <w:t>6%</w:t>
            </w:r>
          </w:p>
        </w:tc>
        <w:tc>
          <w:tcPr>
            <w:tcW w:w="709" w:type="dxa"/>
            <w:tcBorders>
              <w:left w:val="single" w:sz="4" w:space="0" w:color="auto"/>
            </w:tcBorders>
            <w:vAlign w:val="center"/>
          </w:tcPr>
          <w:p w14:paraId="19B8EC6B" w14:textId="6CBC8F0C" w:rsidR="0002544C" w:rsidRPr="0002544C" w:rsidRDefault="0002544C" w:rsidP="00637889">
            <w:pPr>
              <w:pStyle w:val="TableTextRight"/>
              <w:spacing w:before="30" w:after="30"/>
            </w:pPr>
            <w:r w:rsidRPr="0002544C">
              <w:t>15%</w:t>
            </w:r>
          </w:p>
        </w:tc>
        <w:tc>
          <w:tcPr>
            <w:tcW w:w="926" w:type="dxa"/>
            <w:tcBorders>
              <w:right w:val="single" w:sz="4" w:space="0" w:color="auto"/>
            </w:tcBorders>
            <w:vAlign w:val="center"/>
          </w:tcPr>
          <w:p w14:paraId="665280BD" w14:textId="18C8ADCE" w:rsidR="0002544C" w:rsidRPr="0002544C" w:rsidRDefault="0002544C" w:rsidP="00637889">
            <w:pPr>
              <w:pStyle w:val="TableTextRight"/>
              <w:spacing w:before="30" w:after="30"/>
            </w:pPr>
            <w:r w:rsidRPr="0002544C">
              <w:t>10%</w:t>
            </w:r>
          </w:p>
        </w:tc>
        <w:tc>
          <w:tcPr>
            <w:tcW w:w="603" w:type="dxa"/>
            <w:tcBorders>
              <w:left w:val="single" w:sz="4" w:space="0" w:color="auto"/>
            </w:tcBorders>
            <w:vAlign w:val="center"/>
          </w:tcPr>
          <w:p w14:paraId="0621B186" w14:textId="65C087C8" w:rsidR="0002544C" w:rsidRPr="0002544C" w:rsidRDefault="0002544C" w:rsidP="00637889">
            <w:pPr>
              <w:pStyle w:val="TableTextRight"/>
              <w:spacing w:before="30" w:after="30"/>
              <w:rPr>
                <w:b/>
                <w:bCs/>
              </w:rPr>
            </w:pPr>
            <w:r w:rsidRPr="0002544C">
              <w:rPr>
                <w:b/>
                <w:bCs/>
              </w:rPr>
              <w:t>13%</w:t>
            </w:r>
          </w:p>
        </w:tc>
      </w:tr>
      <w:tr w:rsidR="0002544C" w:rsidRPr="00883271" w14:paraId="49AE28B3" w14:textId="77777777" w:rsidTr="0002544C">
        <w:trPr>
          <w:cnfStyle w:val="000000010000" w:firstRow="0" w:lastRow="0" w:firstColumn="0" w:lastColumn="0" w:oddVBand="0" w:evenVBand="0" w:oddHBand="0" w:evenHBand="1" w:firstRowFirstColumn="0" w:firstRowLastColumn="0" w:lastRowFirstColumn="0" w:lastRowLastColumn="0"/>
          <w:trHeight w:val="20"/>
          <w:jc w:val="center"/>
        </w:trPr>
        <w:tc>
          <w:tcPr>
            <w:tcW w:w="1975" w:type="dxa"/>
            <w:vAlign w:val="center"/>
          </w:tcPr>
          <w:p w14:paraId="128D340D" w14:textId="65CC1FB4" w:rsidR="0002544C" w:rsidRPr="0002544C" w:rsidRDefault="0002544C" w:rsidP="00637889">
            <w:pPr>
              <w:pStyle w:val="TableTextLeft"/>
              <w:spacing w:before="30" w:after="30"/>
              <w:rPr>
                <w:b/>
                <w:bCs/>
                <w:szCs w:val="18"/>
              </w:rPr>
            </w:pPr>
            <w:r w:rsidRPr="0002544C">
              <w:rPr>
                <w:rFonts w:cs="Calibri Light"/>
                <w:b/>
                <w:bCs/>
                <w:szCs w:val="18"/>
              </w:rPr>
              <w:t xml:space="preserve">Specialist </w:t>
            </w:r>
            <w:r w:rsidR="007B3C6A">
              <w:rPr>
                <w:rFonts w:cs="Calibri Light"/>
                <w:b/>
                <w:bCs/>
                <w:szCs w:val="18"/>
              </w:rPr>
              <w:noBreakHyphen/>
            </w:r>
            <w:r w:rsidRPr="0002544C">
              <w:rPr>
                <w:rFonts w:cs="Calibri Light"/>
                <w:b/>
                <w:bCs/>
                <w:szCs w:val="18"/>
              </w:rPr>
              <w:t xml:space="preserve"> one or a few makes</w:t>
            </w:r>
          </w:p>
        </w:tc>
        <w:tc>
          <w:tcPr>
            <w:tcW w:w="987" w:type="dxa"/>
            <w:vAlign w:val="center"/>
          </w:tcPr>
          <w:p w14:paraId="4E1297AF" w14:textId="1A580D24" w:rsidR="0002544C" w:rsidRPr="0002544C" w:rsidRDefault="0002544C" w:rsidP="00637889">
            <w:pPr>
              <w:pStyle w:val="TableTextRight"/>
              <w:spacing w:before="30" w:after="30"/>
            </w:pPr>
            <w:r w:rsidRPr="0002544C">
              <w:t>15%</w:t>
            </w:r>
          </w:p>
        </w:tc>
        <w:tc>
          <w:tcPr>
            <w:tcW w:w="706" w:type="dxa"/>
            <w:tcBorders>
              <w:right w:val="single" w:sz="4" w:space="0" w:color="auto"/>
            </w:tcBorders>
            <w:vAlign w:val="center"/>
          </w:tcPr>
          <w:p w14:paraId="3A5200EC" w14:textId="3EFCE137" w:rsidR="0002544C" w:rsidRPr="0002544C" w:rsidRDefault="0002544C" w:rsidP="00637889">
            <w:pPr>
              <w:pStyle w:val="TableTextRight"/>
              <w:spacing w:before="30" w:after="30"/>
            </w:pPr>
            <w:r w:rsidRPr="0002544C">
              <w:t>14%</w:t>
            </w:r>
          </w:p>
        </w:tc>
        <w:tc>
          <w:tcPr>
            <w:tcW w:w="987" w:type="dxa"/>
            <w:tcBorders>
              <w:left w:val="single" w:sz="4" w:space="0" w:color="auto"/>
            </w:tcBorders>
            <w:vAlign w:val="center"/>
          </w:tcPr>
          <w:p w14:paraId="76FA2A3C" w14:textId="0658CB3C" w:rsidR="0002544C" w:rsidRPr="0002544C" w:rsidRDefault="0002544C" w:rsidP="00637889">
            <w:pPr>
              <w:pStyle w:val="TableTextRight"/>
              <w:spacing w:before="30" w:after="30"/>
            </w:pPr>
            <w:r w:rsidRPr="0002544C">
              <w:t>0%</w:t>
            </w:r>
          </w:p>
        </w:tc>
        <w:tc>
          <w:tcPr>
            <w:tcW w:w="987" w:type="dxa"/>
            <w:vAlign w:val="center"/>
          </w:tcPr>
          <w:p w14:paraId="76332B17" w14:textId="17795E84" w:rsidR="0002544C" w:rsidRPr="0002544C" w:rsidRDefault="0002544C" w:rsidP="00637889">
            <w:pPr>
              <w:pStyle w:val="TableTextRight"/>
              <w:spacing w:before="30" w:after="30"/>
            </w:pPr>
            <w:r w:rsidRPr="0002544C">
              <w:t>0%</w:t>
            </w:r>
          </w:p>
        </w:tc>
        <w:tc>
          <w:tcPr>
            <w:tcW w:w="1410" w:type="dxa"/>
            <w:tcBorders>
              <w:right w:val="single" w:sz="4" w:space="0" w:color="auto"/>
            </w:tcBorders>
            <w:vAlign w:val="center"/>
          </w:tcPr>
          <w:p w14:paraId="240915C1" w14:textId="262BBDC1" w:rsidR="0002544C" w:rsidRPr="0002544C" w:rsidRDefault="0002544C" w:rsidP="00637889">
            <w:pPr>
              <w:pStyle w:val="TableTextRight"/>
              <w:spacing w:before="30" w:after="30"/>
            </w:pPr>
            <w:r w:rsidRPr="0002544C">
              <w:t>100%</w:t>
            </w:r>
          </w:p>
        </w:tc>
        <w:tc>
          <w:tcPr>
            <w:tcW w:w="1072" w:type="dxa"/>
            <w:tcBorders>
              <w:left w:val="single" w:sz="4" w:space="0" w:color="auto"/>
            </w:tcBorders>
            <w:vAlign w:val="center"/>
          </w:tcPr>
          <w:p w14:paraId="0B946575" w14:textId="771B59BF" w:rsidR="0002544C" w:rsidRPr="0002544C" w:rsidRDefault="0002544C" w:rsidP="00637889">
            <w:pPr>
              <w:pStyle w:val="TableTextRight"/>
              <w:spacing w:before="30" w:after="30"/>
            </w:pPr>
            <w:r w:rsidRPr="0002544C">
              <w:t>21%</w:t>
            </w:r>
          </w:p>
        </w:tc>
        <w:tc>
          <w:tcPr>
            <w:tcW w:w="1072" w:type="dxa"/>
            <w:vAlign w:val="center"/>
          </w:tcPr>
          <w:p w14:paraId="5704F2E6" w14:textId="6F4EDCE9" w:rsidR="0002544C" w:rsidRPr="0002544C" w:rsidRDefault="0002544C" w:rsidP="00637889">
            <w:pPr>
              <w:pStyle w:val="TableTextRight"/>
              <w:spacing w:before="30" w:after="30"/>
            </w:pPr>
            <w:r w:rsidRPr="0002544C">
              <w:t>14%</w:t>
            </w:r>
          </w:p>
        </w:tc>
        <w:tc>
          <w:tcPr>
            <w:tcW w:w="1072" w:type="dxa"/>
            <w:vAlign w:val="center"/>
          </w:tcPr>
          <w:p w14:paraId="73E740A3" w14:textId="3F7DBF78" w:rsidR="0002544C" w:rsidRPr="0002544C" w:rsidRDefault="0002544C" w:rsidP="00637889">
            <w:pPr>
              <w:pStyle w:val="TableTextRight"/>
              <w:spacing w:before="30" w:after="30"/>
            </w:pPr>
            <w:r w:rsidRPr="0002544C">
              <w:t>9%</w:t>
            </w:r>
          </w:p>
        </w:tc>
        <w:tc>
          <w:tcPr>
            <w:tcW w:w="1072" w:type="dxa"/>
            <w:tcBorders>
              <w:right w:val="single" w:sz="4" w:space="0" w:color="auto"/>
            </w:tcBorders>
            <w:vAlign w:val="center"/>
          </w:tcPr>
          <w:p w14:paraId="09A79A50" w14:textId="56273CED" w:rsidR="0002544C" w:rsidRPr="0002544C" w:rsidRDefault="0002544C" w:rsidP="00637889">
            <w:pPr>
              <w:pStyle w:val="TableTextRight"/>
              <w:spacing w:before="30" w:after="30"/>
            </w:pPr>
            <w:r w:rsidRPr="0002544C">
              <w:t>33%</w:t>
            </w:r>
          </w:p>
        </w:tc>
        <w:tc>
          <w:tcPr>
            <w:tcW w:w="709" w:type="dxa"/>
            <w:tcBorders>
              <w:left w:val="single" w:sz="4" w:space="0" w:color="auto"/>
            </w:tcBorders>
            <w:vAlign w:val="center"/>
          </w:tcPr>
          <w:p w14:paraId="7DD7B485" w14:textId="3A59443D" w:rsidR="0002544C" w:rsidRPr="0002544C" w:rsidRDefault="0002544C" w:rsidP="00637889">
            <w:pPr>
              <w:pStyle w:val="TableTextRight"/>
              <w:spacing w:before="30" w:after="30"/>
            </w:pPr>
            <w:r w:rsidRPr="0002544C">
              <w:t>15%</w:t>
            </w:r>
          </w:p>
        </w:tc>
        <w:tc>
          <w:tcPr>
            <w:tcW w:w="926" w:type="dxa"/>
            <w:tcBorders>
              <w:right w:val="single" w:sz="4" w:space="0" w:color="auto"/>
            </w:tcBorders>
            <w:vAlign w:val="center"/>
          </w:tcPr>
          <w:p w14:paraId="57353AC4" w14:textId="0D9BA078" w:rsidR="0002544C" w:rsidRPr="0002544C" w:rsidRDefault="0002544C" w:rsidP="00637889">
            <w:pPr>
              <w:pStyle w:val="TableTextRight"/>
              <w:spacing w:before="30" w:after="30"/>
            </w:pPr>
            <w:r w:rsidRPr="0002544C">
              <w:t>15%</w:t>
            </w:r>
          </w:p>
        </w:tc>
        <w:tc>
          <w:tcPr>
            <w:tcW w:w="603" w:type="dxa"/>
            <w:tcBorders>
              <w:left w:val="single" w:sz="4" w:space="0" w:color="auto"/>
            </w:tcBorders>
            <w:vAlign w:val="center"/>
          </w:tcPr>
          <w:p w14:paraId="301C5323" w14:textId="2667D9F0" w:rsidR="0002544C" w:rsidRPr="0002544C" w:rsidRDefault="0002544C" w:rsidP="00637889">
            <w:pPr>
              <w:pStyle w:val="TableTextRight"/>
              <w:spacing w:before="30" w:after="30"/>
              <w:rPr>
                <w:b/>
                <w:bCs/>
              </w:rPr>
            </w:pPr>
            <w:r w:rsidRPr="0002544C">
              <w:rPr>
                <w:b/>
                <w:bCs/>
              </w:rPr>
              <w:t>16%</w:t>
            </w:r>
          </w:p>
        </w:tc>
      </w:tr>
      <w:tr w:rsidR="0002544C" w:rsidRPr="00883271" w14:paraId="3DA315D2" w14:textId="77777777" w:rsidTr="0002544C">
        <w:trPr>
          <w:cnfStyle w:val="000000100000" w:firstRow="0" w:lastRow="0" w:firstColumn="0" w:lastColumn="0" w:oddVBand="0" w:evenVBand="0" w:oddHBand="1" w:evenHBand="0" w:firstRowFirstColumn="0" w:firstRowLastColumn="0" w:lastRowFirstColumn="0" w:lastRowLastColumn="0"/>
          <w:trHeight w:val="20"/>
          <w:jc w:val="center"/>
        </w:trPr>
        <w:tc>
          <w:tcPr>
            <w:tcW w:w="1975" w:type="dxa"/>
            <w:vAlign w:val="center"/>
          </w:tcPr>
          <w:p w14:paraId="395C43B4" w14:textId="79208475" w:rsidR="0002544C" w:rsidRPr="0002544C" w:rsidRDefault="0002544C" w:rsidP="00637889">
            <w:pPr>
              <w:pStyle w:val="TableTextLeft"/>
              <w:spacing w:before="30" w:after="30"/>
              <w:rPr>
                <w:b/>
                <w:bCs/>
                <w:szCs w:val="18"/>
              </w:rPr>
            </w:pPr>
            <w:r w:rsidRPr="0002544C">
              <w:rPr>
                <w:rFonts w:cs="Calibri Light"/>
                <w:b/>
                <w:bCs/>
                <w:szCs w:val="18"/>
              </w:rPr>
              <w:t>Don't know / Prefer not to say</w:t>
            </w:r>
          </w:p>
        </w:tc>
        <w:tc>
          <w:tcPr>
            <w:tcW w:w="987" w:type="dxa"/>
            <w:vAlign w:val="center"/>
          </w:tcPr>
          <w:p w14:paraId="239E20B7" w14:textId="6F866626" w:rsidR="0002544C" w:rsidRPr="0002544C" w:rsidRDefault="0002544C" w:rsidP="00637889">
            <w:pPr>
              <w:pStyle w:val="TableTextRight"/>
              <w:spacing w:before="30" w:after="30"/>
            </w:pPr>
            <w:r w:rsidRPr="0002544C">
              <w:t>1%</w:t>
            </w:r>
          </w:p>
        </w:tc>
        <w:tc>
          <w:tcPr>
            <w:tcW w:w="706" w:type="dxa"/>
            <w:tcBorders>
              <w:right w:val="single" w:sz="4" w:space="0" w:color="auto"/>
            </w:tcBorders>
            <w:vAlign w:val="center"/>
          </w:tcPr>
          <w:p w14:paraId="0459DB89" w14:textId="1209C481" w:rsidR="0002544C" w:rsidRPr="0002544C" w:rsidRDefault="0002544C" w:rsidP="00637889">
            <w:pPr>
              <w:pStyle w:val="TableTextRight"/>
              <w:spacing w:before="30" w:after="30"/>
            </w:pPr>
            <w:r w:rsidRPr="0002544C">
              <w:t>1%</w:t>
            </w:r>
          </w:p>
        </w:tc>
        <w:tc>
          <w:tcPr>
            <w:tcW w:w="987" w:type="dxa"/>
            <w:tcBorders>
              <w:left w:val="single" w:sz="4" w:space="0" w:color="auto"/>
            </w:tcBorders>
            <w:vAlign w:val="center"/>
          </w:tcPr>
          <w:p w14:paraId="0647BC16" w14:textId="1BC456B7" w:rsidR="0002544C" w:rsidRPr="0002544C" w:rsidRDefault="0002544C" w:rsidP="00637889">
            <w:pPr>
              <w:pStyle w:val="TableTextRight"/>
              <w:spacing w:before="30" w:after="30"/>
            </w:pPr>
            <w:r w:rsidRPr="0002544C">
              <w:t>0%</w:t>
            </w:r>
          </w:p>
        </w:tc>
        <w:tc>
          <w:tcPr>
            <w:tcW w:w="987" w:type="dxa"/>
            <w:vAlign w:val="center"/>
          </w:tcPr>
          <w:p w14:paraId="09075D01" w14:textId="563F79C1" w:rsidR="0002544C" w:rsidRPr="0002544C" w:rsidRDefault="0002544C" w:rsidP="00637889">
            <w:pPr>
              <w:pStyle w:val="TableTextRight"/>
              <w:spacing w:before="30" w:after="30"/>
            </w:pPr>
            <w:r w:rsidRPr="0002544C">
              <w:t>0%</w:t>
            </w:r>
          </w:p>
        </w:tc>
        <w:tc>
          <w:tcPr>
            <w:tcW w:w="1410" w:type="dxa"/>
            <w:tcBorders>
              <w:right w:val="single" w:sz="4" w:space="0" w:color="auto"/>
            </w:tcBorders>
            <w:vAlign w:val="center"/>
          </w:tcPr>
          <w:p w14:paraId="7A87AE00" w14:textId="5C2EC1B2" w:rsidR="0002544C" w:rsidRPr="0002544C" w:rsidRDefault="0002544C" w:rsidP="00637889">
            <w:pPr>
              <w:pStyle w:val="TableTextRight"/>
              <w:spacing w:before="30" w:after="30"/>
            </w:pPr>
            <w:r w:rsidRPr="0002544C">
              <w:t>0%</w:t>
            </w:r>
          </w:p>
        </w:tc>
        <w:tc>
          <w:tcPr>
            <w:tcW w:w="1072" w:type="dxa"/>
            <w:tcBorders>
              <w:left w:val="single" w:sz="4" w:space="0" w:color="auto"/>
            </w:tcBorders>
            <w:vAlign w:val="center"/>
          </w:tcPr>
          <w:p w14:paraId="422B3082" w14:textId="08C9A8AD" w:rsidR="0002544C" w:rsidRPr="0002544C" w:rsidRDefault="0002544C" w:rsidP="00637889">
            <w:pPr>
              <w:pStyle w:val="TableTextRight"/>
              <w:spacing w:before="30" w:after="30"/>
            </w:pPr>
            <w:r w:rsidRPr="0002544C">
              <w:t>0%</w:t>
            </w:r>
          </w:p>
        </w:tc>
        <w:tc>
          <w:tcPr>
            <w:tcW w:w="1072" w:type="dxa"/>
            <w:vAlign w:val="center"/>
          </w:tcPr>
          <w:p w14:paraId="0DF0C478" w14:textId="3B58B49D" w:rsidR="0002544C" w:rsidRPr="0002544C" w:rsidRDefault="0002544C" w:rsidP="00637889">
            <w:pPr>
              <w:pStyle w:val="TableTextRight"/>
              <w:spacing w:before="30" w:after="30"/>
            </w:pPr>
            <w:r w:rsidRPr="0002544C">
              <w:t>0%</w:t>
            </w:r>
          </w:p>
        </w:tc>
        <w:tc>
          <w:tcPr>
            <w:tcW w:w="1072" w:type="dxa"/>
            <w:vAlign w:val="center"/>
          </w:tcPr>
          <w:p w14:paraId="68ADEFE1" w14:textId="5515B49D" w:rsidR="0002544C" w:rsidRPr="0002544C" w:rsidRDefault="0002544C" w:rsidP="00637889">
            <w:pPr>
              <w:pStyle w:val="TableTextRight"/>
              <w:spacing w:before="30" w:after="30"/>
            </w:pPr>
            <w:r w:rsidRPr="0002544C">
              <w:t>0%</w:t>
            </w:r>
          </w:p>
        </w:tc>
        <w:tc>
          <w:tcPr>
            <w:tcW w:w="1072" w:type="dxa"/>
            <w:tcBorders>
              <w:right w:val="single" w:sz="4" w:space="0" w:color="auto"/>
            </w:tcBorders>
            <w:vAlign w:val="center"/>
          </w:tcPr>
          <w:p w14:paraId="73D88518" w14:textId="3CBED31C" w:rsidR="0002544C" w:rsidRPr="0002544C" w:rsidRDefault="0002544C" w:rsidP="00637889">
            <w:pPr>
              <w:pStyle w:val="TableTextRight"/>
              <w:spacing w:before="30" w:after="30"/>
            </w:pPr>
            <w:r w:rsidRPr="0002544C">
              <w:t>3%</w:t>
            </w:r>
          </w:p>
        </w:tc>
        <w:tc>
          <w:tcPr>
            <w:tcW w:w="709" w:type="dxa"/>
            <w:tcBorders>
              <w:left w:val="single" w:sz="4" w:space="0" w:color="auto"/>
            </w:tcBorders>
            <w:vAlign w:val="center"/>
          </w:tcPr>
          <w:p w14:paraId="5476DB4F" w14:textId="7FB5BE79" w:rsidR="0002544C" w:rsidRPr="0002544C" w:rsidRDefault="0002544C" w:rsidP="00637889">
            <w:pPr>
              <w:pStyle w:val="TableTextRight"/>
              <w:spacing w:before="30" w:after="30"/>
            </w:pPr>
            <w:r w:rsidRPr="0002544C">
              <w:t>1%</w:t>
            </w:r>
          </w:p>
        </w:tc>
        <w:tc>
          <w:tcPr>
            <w:tcW w:w="926" w:type="dxa"/>
            <w:tcBorders>
              <w:right w:val="single" w:sz="4" w:space="0" w:color="auto"/>
            </w:tcBorders>
            <w:vAlign w:val="center"/>
          </w:tcPr>
          <w:p w14:paraId="6EC84D9F" w14:textId="7A5917F9" w:rsidR="0002544C" w:rsidRPr="0002544C" w:rsidRDefault="0002544C" w:rsidP="00637889">
            <w:pPr>
              <w:pStyle w:val="TableTextRight"/>
              <w:spacing w:before="30" w:after="30"/>
            </w:pPr>
            <w:r w:rsidRPr="0002544C">
              <w:t>0%</w:t>
            </w:r>
          </w:p>
        </w:tc>
        <w:tc>
          <w:tcPr>
            <w:tcW w:w="603" w:type="dxa"/>
            <w:tcBorders>
              <w:left w:val="single" w:sz="4" w:space="0" w:color="auto"/>
            </w:tcBorders>
            <w:vAlign w:val="center"/>
          </w:tcPr>
          <w:p w14:paraId="1556CA7F" w14:textId="46F99A93" w:rsidR="0002544C" w:rsidRPr="0002544C" w:rsidRDefault="0002544C" w:rsidP="00637889">
            <w:pPr>
              <w:pStyle w:val="TableTextRight"/>
              <w:spacing w:before="30" w:after="30"/>
              <w:rPr>
                <w:b/>
                <w:bCs/>
              </w:rPr>
            </w:pPr>
            <w:r w:rsidRPr="0002544C">
              <w:rPr>
                <w:b/>
                <w:bCs/>
              </w:rPr>
              <w:t>1%</w:t>
            </w:r>
          </w:p>
        </w:tc>
      </w:tr>
      <w:tr w:rsidR="00664208" w:rsidRPr="00883271" w14:paraId="246CE47C" w14:textId="77777777" w:rsidTr="0002544C">
        <w:trPr>
          <w:cnfStyle w:val="000000010000" w:firstRow="0" w:lastRow="0" w:firstColumn="0" w:lastColumn="0" w:oddVBand="0" w:evenVBand="0" w:oddHBand="0" w:evenHBand="1" w:firstRowFirstColumn="0" w:firstRowLastColumn="0" w:lastRowFirstColumn="0" w:lastRowLastColumn="0"/>
          <w:trHeight w:val="113"/>
          <w:jc w:val="center"/>
        </w:trPr>
        <w:tc>
          <w:tcPr>
            <w:tcW w:w="1975" w:type="dxa"/>
            <w:tcBorders>
              <w:top w:val="single" w:sz="4" w:space="0" w:color="auto"/>
              <w:bottom w:val="single" w:sz="4" w:space="0" w:color="auto"/>
            </w:tcBorders>
            <w:shd w:val="clear" w:color="auto" w:fill="EEEEEE" w:themeFill="background2"/>
            <w:vAlign w:val="center"/>
          </w:tcPr>
          <w:p w14:paraId="652DD630" w14:textId="28C07968" w:rsidR="0002544C" w:rsidRPr="0002544C" w:rsidRDefault="0002544C" w:rsidP="00637889">
            <w:pPr>
              <w:pStyle w:val="TableTextLeft"/>
              <w:spacing w:before="30" w:after="30"/>
              <w:rPr>
                <w:b/>
                <w:bCs/>
                <w:szCs w:val="18"/>
              </w:rPr>
            </w:pPr>
            <w:r w:rsidRPr="0002544C">
              <w:rPr>
                <w:rFonts w:cs="Calibri Light"/>
                <w:b/>
                <w:bCs/>
                <w:szCs w:val="18"/>
              </w:rPr>
              <w:t>Total responses (n)</w:t>
            </w:r>
          </w:p>
        </w:tc>
        <w:tc>
          <w:tcPr>
            <w:tcW w:w="987" w:type="dxa"/>
            <w:tcBorders>
              <w:top w:val="single" w:sz="4" w:space="0" w:color="auto"/>
              <w:bottom w:val="single" w:sz="4" w:space="0" w:color="auto"/>
            </w:tcBorders>
            <w:shd w:val="clear" w:color="auto" w:fill="EEEEEE" w:themeFill="background2"/>
            <w:vAlign w:val="center"/>
          </w:tcPr>
          <w:p w14:paraId="2A7EEA65" w14:textId="7AFE4586" w:rsidR="0002544C" w:rsidRPr="0002544C" w:rsidRDefault="0002544C" w:rsidP="00637889">
            <w:pPr>
              <w:pStyle w:val="TableTextRight"/>
              <w:spacing w:before="30" w:after="30"/>
              <w:rPr>
                <w:b/>
                <w:bCs/>
              </w:rPr>
            </w:pPr>
            <w:r w:rsidRPr="0002544C">
              <w:rPr>
                <w:b/>
                <w:bCs/>
              </w:rPr>
              <w:t>165</w:t>
            </w:r>
          </w:p>
        </w:tc>
        <w:tc>
          <w:tcPr>
            <w:tcW w:w="706" w:type="dxa"/>
            <w:tcBorders>
              <w:top w:val="single" w:sz="4" w:space="0" w:color="auto"/>
              <w:bottom w:val="single" w:sz="4" w:space="0" w:color="auto"/>
              <w:right w:val="single" w:sz="4" w:space="0" w:color="auto"/>
            </w:tcBorders>
            <w:shd w:val="clear" w:color="auto" w:fill="EEEEEE" w:themeFill="background2"/>
            <w:vAlign w:val="center"/>
          </w:tcPr>
          <w:p w14:paraId="61F3014D" w14:textId="07BE0F1C" w:rsidR="0002544C" w:rsidRPr="0002544C" w:rsidRDefault="0002544C" w:rsidP="00637889">
            <w:pPr>
              <w:pStyle w:val="TableTextRight"/>
              <w:spacing w:before="30" w:after="30"/>
              <w:rPr>
                <w:b/>
                <w:bCs/>
              </w:rPr>
            </w:pPr>
            <w:r w:rsidRPr="0002544C">
              <w:rPr>
                <w:b/>
                <w:bCs/>
              </w:rPr>
              <w:t>113</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4285D44B" w14:textId="2156482A" w:rsidR="0002544C" w:rsidRPr="0002544C" w:rsidRDefault="0002544C" w:rsidP="00637889">
            <w:pPr>
              <w:pStyle w:val="TableTextRight"/>
              <w:spacing w:before="30" w:after="30"/>
              <w:rPr>
                <w:b/>
                <w:bCs/>
              </w:rPr>
            </w:pPr>
            <w:r w:rsidRPr="0002544C">
              <w:rPr>
                <w:b/>
                <w:bCs/>
              </w:rPr>
              <w:t>213</w:t>
            </w:r>
          </w:p>
        </w:tc>
        <w:tc>
          <w:tcPr>
            <w:tcW w:w="987" w:type="dxa"/>
            <w:tcBorders>
              <w:top w:val="single" w:sz="4" w:space="0" w:color="auto"/>
              <w:bottom w:val="single" w:sz="4" w:space="0" w:color="auto"/>
            </w:tcBorders>
            <w:shd w:val="clear" w:color="auto" w:fill="EEEEEE" w:themeFill="background2"/>
            <w:vAlign w:val="center"/>
          </w:tcPr>
          <w:p w14:paraId="232E1B9D" w14:textId="061B466F" w:rsidR="0002544C" w:rsidRPr="0002544C" w:rsidRDefault="0002544C" w:rsidP="00637889">
            <w:pPr>
              <w:pStyle w:val="TableTextRight"/>
              <w:spacing w:before="30" w:after="30"/>
              <w:rPr>
                <w:b/>
                <w:bCs/>
              </w:rPr>
            </w:pPr>
            <w:r w:rsidRPr="0002544C">
              <w:rPr>
                <w:b/>
                <w:bCs/>
              </w:rPr>
              <w:t>38</w:t>
            </w:r>
          </w:p>
        </w:tc>
        <w:tc>
          <w:tcPr>
            <w:tcW w:w="1410" w:type="dxa"/>
            <w:tcBorders>
              <w:top w:val="single" w:sz="4" w:space="0" w:color="auto"/>
              <w:bottom w:val="single" w:sz="4" w:space="0" w:color="auto"/>
              <w:right w:val="single" w:sz="4" w:space="0" w:color="auto"/>
            </w:tcBorders>
            <w:shd w:val="clear" w:color="auto" w:fill="EEEEEE" w:themeFill="background2"/>
            <w:vAlign w:val="center"/>
          </w:tcPr>
          <w:p w14:paraId="3AE60BC2" w14:textId="5F69B543" w:rsidR="0002544C" w:rsidRPr="0002544C" w:rsidRDefault="0002544C" w:rsidP="00637889">
            <w:pPr>
              <w:pStyle w:val="TableTextRight"/>
              <w:spacing w:before="30" w:after="30"/>
              <w:rPr>
                <w:b/>
                <w:bCs/>
              </w:rPr>
            </w:pPr>
            <w:r w:rsidRPr="0002544C">
              <w:rPr>
                <w:b/>
                <w:bCs/>
              </w:rPr>
              <w:t>47</w:t>
            </w:r>
          </w:p>
        </w:tc>
        <w:tc>
          <w:tcPr>
            <w:tcW w:w="1072" w:type="dxa"/>
            <w:tcBorders>
              <w:top w:val="single" w:sz="4" w:space="0" w:color="auto"/>
              <w:left w:val="single" w:sz="4" w:space="0" w:color="auto"/>
              <w:bottom w:val="single" w:sz="4" w:space="0" w:color="auto"/>
            </w:tcBorders>
            <w:shd w:val="clear" w:color="auto" w:fill="EEEEEE" w:themeFill="background2"/>
            <w:vAlign w:val="center"/>
          </w:tcPr>
          <w:p w14:paraId="265DF462" w14:textId="755BBA3B" w:rsidR="0002544C" w:rsidRPr="0002544C" w:rsidRDefault="0002544C" w:rsidP="00637889">
            <w:pPr>
              <w:pStyle w:val="TableTextRight"/>
              <w:spacing w:before="30" w:after="30"/>
              <w:rPr>
                <w:b/>
                <w:bCs/>
              </w:rPr>
            </w:pPr>
            <w:r w:rsidRPr="0002544C">
              <w:rPr>
                <w:b/>
                <w:bCs/>
              </w:rPr>
              <w:t>42</w:t>
            </w:r>
          </w:p>
        </w:tc>
        <w:tc>
          <w:tcPr>
            <w:tcW w:w="1072" w:type="dxa"/>
            <w:tcBorders>
              <w:top w:val="single" w:sz="4" w:space="0" w:color="auto"/>
              <w:bottom w:val="single" w:sz="4" w:space="0" w:color="auto"/>
            </w:tcBorders>
            <w:shd w:val="clear" w:color="auto" w:fill="EEEEEE" w:themeFill="background2"/>
            <w:vAlign w:val="center"/>
          </w:tcPr>
          <w:p w14:paraId="7D752472" w14:textId="5B04630A" w:rsidR="0002544C" w:rsidRPr="0002544C" w:rsidRDefault="0002544C" w:rsidP="00637889">
            <w:pPr>
              <w:pStyle w:val="TableTextRight"/>
              <w:spacing w:before="30" w:after="30"/>
              <w:rPr>
                <w:b/>
                <w:bCs/>
              </w:rPr>
            </w:pPr>
            <w:r w:rsidRPr="0002544C">
              <w:rPr>
                <w:b/>
                <w:bCs/>
              </w:rPr>
              <w:t>90</w:t>
            </w:r>
          </w:p>
        </w:tc>
        <w:tc>
          <w:tcPr>
            <w:tcW w:w="1072" w:type="dxa"/>
            <w:tcBorders>
              <w:top w:val="single" w:sz="4" w:space="0" w:color="auto"/>
              <w:bottom w:val="single" w:sz="4" w:space="0" w:color="auto"/>
            </w:tcBorders>
            <w:shd w:val="clear" w:color="auto" w:fill="EEEEEE" w:themeFill="background2"/>
            <w:vAlign w:val="center"/>
          </w:tcPr>
          <w:p w14:paraId="1204293F" w14:textId="52586F57" w:rsidR="0002544C" w:rsidRPr="0002544C" w:rsidRDefault="0002544C" w:rsidP="00637889">
            <w:pPr>
              <w:pStyle w:val="TableTextRight"/>
              <w:spacing w:before="30" w:after="30"/>
              <w:rPr>
                <w:b/>
                <w:bCs/>
              </w:rPr>
            </w:pPr>
            <w:r w:rsidRPr="0002544C">
              <w:rPr>
                <w:b/>
                <w:bCs/>
              </w:rPr>
              <w:t>129</w:t>
            </w:r>
          </w:p>
        </w:tc>
        <w:tc>
          <w:tcPr>
            <w:tcW w:w="1072" w:type="dxa"/>
            <w:tcBorders>
              <w:top w:val="single" w:sz="4" w:space="0" w:color="auto"/>
              <w:bottom w:val="single" w:sz="4" w:space="0" w:color="auto"/>
              <w:right w:val="single" w:sz="4" w:space="0" w:color="auto"/>
            </w:tcBorders>
            <w:shd w:val="clear" w:color="auto" w:fill="EEEEEE" w:themeFill="background2"/>
            <w:vAlign w:val="center"/>
          </w:tcPr>
          <w:p w14:paraId="44AF04DE" w14:textId="25B44E59" w:rsidR="0002544C" w:rsidRPr="0002544C" w:rsidRDefault="0002544C" w:rsidP="00637889">
            <w:pPr>
              <w:pStyle w:val="TableTextRight"/>
              <w:spacing w:before="30" w:after="30"/>
              <w:rPr>
                <w:b/>
                <w:bCs/>
              </w:rPr>
            </w:pPr>
            <w:r w:rsidRPr="0002544C">
              <w:rPr>
                <w:b/>
                <w:bCs/>
              </w:rPr>
              <w:t>36</w:t>
            </w:r>
          </w:p>
        </w:tc>
        <w:tc>
          <w:tcPr>
            <w:tcW w:w="709" w:type="dxa"/>
            <w:tcBorders>
              <w:top w:val="single" w:sz="4" w:space="0" w:color="auto"/>
              <w:left w:val="single" w:sz="4" w:space="0" w:color="auto"/>
              <w:bottom w:val="single" w:sz="4" w:space="0" w:color="auto"/>
            </w:tcBorders>
            <w:shd w:val="clear" w:color="auto" w:fill="EEEEEE" w:themeFill="background2"/>
            <w:vAlign w:val="center"/>
          </w:tcPr>
          <w:p w14:paraId="095A8E38" w14:textId="112E7BD6" w:rsidR="0002544C" w:rsidRPr="0002544C" w:rsidRDefault="0002544C" w:rsidP="00637889">
            <w:pPr>
              <w:pStyle w:val="TableTextRight"/>
              <w:spacing w:before="30" w:after="30"/>
              <w:rPr>
                <w:b/>
                <w:bCs/>
              </w:rPr>
            </w:pPr>
            <w:r w:rsidRPr="0002544C">
              <w:rPr>
                <w:b/>
                <w:bCs/>
              </w:rPr>
              <w:t>165</w:t>
            </w:r>
          </w:p>
        </w:tc>
        <w:tc>
          <w:tcPr>
            <w:tcW w:w="926" w:type="dxa"/>
            <w:tcBorders>
              <w:top w:val="single" w:sz="4" w:space="0" w:color="auto"/>
              <w:bottom w:val="single" w:sz="4" w:space="0" w:color="auto"/>
              <w:right w:val="single" w:sz="4" w:space="0" w:color="auto"/>
            </w:tcBorders>
            <w:shd w:val="clear" w:color="auto" w:fill="EEEEEE" w:themeFill="background2"/>
            <w:vAlign w:val="center"/>
          </w:tcPr>
          <w:p w14:paraId="720EBE73" w14:textId="3F516981" w:rsidR="0002544C" w:rsidRPr="0002544C" w:rsidRDefault="0002544C" w:rsidP="00637889">
            <w:pPr>
              <w:pStyle w:val="TableTextRight"/>
              <w:spacing w:before="30" w:after="30"/>
              <w:rPr>
                <w:b/>
                <w:bCs/>
              </w:rPr>
            </w:pPr>
            <w:r w:rsidRPr="0002544C">
              <w:rPr>
                <w:b/>
                <w:bCs/>
              </w:rPr>
              <w:t>120</w:t>
            </w:r>
          </w:p>
        </w:tc>
        <w:tc>
          <w:tcPr>
            <w:tcW w:w="603" w:type="dxa"/>
            <w:tcBorders>
              <w:top w:val="single" w:sz="4" w:space="0" w:color="auto"/>
              <w:left w:val="single" w:sz="4" w:space="0" w:color="auto"/>
              <w:bottom w:val="single" w:sz="4" w:space="0" w:color="auto"/>
            </w:tcBorders>
            <w:shd w:val="clear" w:color="auto" w:fill="EEEEEE" w:themeFill="background2"/>
            <w:vAlign w:val="center"/>
          </w:tcPr>
          <w:p w14:paraId="3AAD4640" w14:textId="31494C83" w:rsidR="0002544C" w:rsidRPr="0002544C" w:rsidRDefault="0002544C" w:rsidP="00637889">
            <w:pPr>
              <w:pStyle w:val="TableTextRight"/>
              <w:spacing w:before="30" w:after="30"/>
              <w:rPr>
                <w:b/>
                <w:bCs/>
              </w:rPr>
            </w:pPr>
            <w:r w:rsidRPr="0002544C">
              <w:rPr>
                <w:b/>
                <w:bCs/>
              </w:rPr>
              <w:t>301</w:t>
            </w:r>
          </w:p>
        </w:tc>
      </w:tr>
    </w:tbl>
    <w:p w14:paraId="17B98771" w14:textId="77777777" w:rsidR="00637889" w:rsidRPr="00637889" w:rsidRDefault="00637889" w:rsidP="00637889">
      <w:r w:rsidRPr="00637889">
        <w:br w:type="page"/>
      </w:r>
    </w:p>
    <w:p w14:paraId="24FE22AF" w14:textId="31C618FE" w:rsidR="0002544C" w:rsidRDefault="0002544C" w:rsidP="00110D67">
      <w:pPr>
        <w:pStyle w:val="TableMainHeading"/>
      </w:pPr>
      <w:r w:rsidRPr="00883271">
        <w:lastRenderedPageBreak/>
        <w:t>Approximately how many people does your business employ?</w:t>
      </w:r>
    </w:p>
    <w:tbl>
      <w:tblPr>
        <w:tblStyle w:val="TableGrid"/>
        <w:tblW w:w="5000" w:type="pct"/>
        <w:jc w:val="center"/>
        <w:tblLayout w:type="fixed"/>
        <w:tblCellMar>
          <w:left w:w="113" w:type="dxa"/>
          <w:right w:w="113" w:type="dxa"/>
        </w:tblCellMar>
        <w:tblLook w:val="04A0" w:firstRow="1" w:lastRow="0" w:firstColumn="1" w:lastColumn="0" w:noHBand="0" w:noVBand="1"/>
      </w:tblPr>
      <w:tblGrid>
        <w:gridCol w:w="2038"/>
        <w:gridCol w:w="1018"/>
        <w:gridCol w:w="728"/>
        <w:gridCol w:w="1018"/>
        <w:gridCol w:w="1018"/>
        <w:gridCol w:w="1454"/>
        <w:gridCol w:w="1105"/>
        <w:gridCol w:w="1105"/>
        <w:gridCol w:w="1105"/>
        <w:gridCol w:w="1105"/>
        <w:gridCol w:w="731"/>
        <w:gridCol w:w="955"/>
        <w:gridCol w:w="622"/>
      </w:tblGrid>
      <w:tr w:rsidR="0002544C" w:rsidRPr="00883271" w14:paraId="1ABA1424" w14:textId="77777777" w:rsidTr="0002544C">
        <w:trPr>
          <w:cnfStyle w:val="100000000000" w:firstRow="1" w:lastRow="0" w:firstColumn="0" w:lastColumn="0" w:oddVBand="0" w:evenVBand="0" w:oddHBand="0" w:evenHBand="0" w:firstRowFirstColumn="0" w:firstRowLastColumn="0" w:lastRowFirstColumn="0" w:lastRowLastColumn="0"/>
          <w:jc w:val="center"/>
        </w:trPr>
        <w:tc>
          <w:tcPr>
            <w:tcW w:w="1975" w:type="dxa"/>
            <w:tcBorders>
              <w:top w:val="single" w:sz="4" w:space="0" w:color="auto"/>
              <w:bottom w:val="single" w:sz="4" w:space="0" w:color="auto"/>
            </w:tcBorders>
          </w:tcPr>
          <w:p w14:paraId="6D23A3E6" w14:textId="77777777" w:rsidR="0002544C" w:rsidRPr="00D91013" w:rsidRDefault="0002544C" w:rsidP="00637889">
            <w:pPr>
              <w:pStyle w:val="TableColumnHeadingRight"/>
              <w:spacing w:before="30" w:after="30"/>
              <w:rPr>
                <w:sz w:val="18"/>
                <w:szCs w:val="18"/>
              </w:rPr>
            </w:pPr>
          </w:p>
        </w:tc>
        <w:tc>
          <w:tcPr>
            <w:tcW w:w="1693" w:type="dxa"/>
            <w:gridSpan w:val="2"/>
            <w:tcBorders>
              <w:top w:val="single" w:sz="4" w:space="0" w:color="auto"/>
              <w:bottom w:val="single" w:sz="4" w:space="0" w:color="auto"/>
              <w:right w:val="single" w:sz="4" w:space="0" w:color="auto"/>
            </w:tcBorders>
            <w:vAlign w:val="center"/>
          </w:tcPr>
          <w:p w14:paraId="0B53A505" w14:textId="77777777" w:rsidR="0002544C" w:rsidRPr="00D91013" w:rsidRDefault="0002544C" w:rsidP="00637889">
            <w:pPr>
              <w:pStyle w:val="TableColumnHeadingCentred"/>
              <w:spacing w:before="30" w:after="30"/>
              <w:rPr>
                <w:b w:val="0"/>
                <w:sz w:val="18"/>
                <w:szCs w:val="18"/>
              </w:rPr>
            </w:pPr>
            <w:r w:rsidRPr="00D91013">
              <w:rPr>
                <w:sz w:val="18"/>
                <w:szCs w:val="18"/>
              </w:rPr>
              <w:t>Vehicles repaired per month</w:t>
            </w:r>
          </w:p>
        </w:tc>
        <w:tc>
          <w:tcPr>
            <w:tcW w:w="3384" w:type="dxa"/>
            <w:gridSpan w:val="3"/>
            <w:tcBorders>
              <w:top w:val="single" w:sz="4" w:space="0" w:color="auto"/>
              <w:left w:val="single" w:sz="4" w:space="0" w:color="auto"/>
              <w:bottom w:val="single" w:sz="4" w:space="0" w:color="auto"/>
              <w:right w:val="single" w:sz="4" w:space="0" w:color="auto"/>
            </w:tcBorders>
            <w:vAlign w:val="center"/>
          </w:tcPr>
          <w:p w14:paraId="22EE6B0A" w14:textId="77777777" w:rsidR="0002544C" w:rsidRPr="00D91013" w:rsidRDefault="0002544C" w:rsidP="00637889">
            <w:pPr>
              <w:pStyle w:val="TableColumnHeadingCentred"/>
              <w:spacing w:before="30" w:after="30"/>
              <w:rPr>
                <w:b w:val="0"/>
                <w:sz w:val="18"/>
                <w:szCs w:val="18"/>
              </w:rPr>
            </w:pPr>
            <w:r w:rsidRPr="00D91013">
              <w:rPr>
                <w:sz w:val="18"/>
                <w:szCs w:val="18"/>
              </w:rPr>
              <w:t>Type of Repairer</w:t>
            </w:r>
          </w:p>
        </w:tc>
        <w:tc>
          <w:tcPr>
            <w:tcW w:w="4288" w:type="dxa"/>
            <w:gridSpan w:val="4"/>
            <w:tcBorders>
              <w:top w:val="single" w:sz="4" w:space="0" w:color="auto"/>
              <w:left w:val="single" w:sz="4" w:space="0" w:color="auto"/>
              <w:bottom w:val="single" w:sz="4" w:space="0" w:color="auto"/>
              <w:right w:val="single" w:sz="4" w:space="0" w:color="auto"/>
            </w:tcBorders>
            <w:vAlign w:val="center"/>
          </w:tcPr>
          <w:p w14:paraId="2F8D1748" w14:textId="77777777" w:rsidR="0002544C" w:rsidRPr="00D91013" w:rsidRDefault="0002544C" w:rsidP="00637889">
            <w:pPr>
              <w:pStyle w:val="TableColumnHeadingCentred"/>
              <w:spacing w:before="30" w:after="30"/>
              <w:rPr>
                <w:b w:val="0"/>
                <w:sz w:val="18"/>
                <w:szCs w:val="18"/>
              </w:rPr>
            </w:pPr>
            <w:r w:rsidRPr="00D91013">
              <w:rPr>
                <w:sz w:val="18"/>
                <w:szCs w:val="18"/>
              </w:rPr>
              <w:t>Business size</w:t>
            </w:r>
          </w:p>
        </w:tc>
        <w:tc>
          <w:tcPr>
            <w:tcW w:w="1635" w:type="dxa"/>
            <w:gridSpan w:val="2"/>
            <w:tcBorders>
              <w:top w:val="single" w:sz="4" w:space="0" w:color="auto"/>
              <w:left w:val="single" w:sz="4" w:space="0" w:color="auto"/>
              <w:bottom w:val="single" w:sz="4" w:space="0" w:color="auto"/>
              <w:right w:val="single" w:sz="4" w:space="0" w:color="auto"/>
            </w:tcBorders>
            <w:vAlign w:val="center"/>
          </w:tcPr>
          <w:p w14:paraId="52C2E4EB" w14:textId="77777777" w:rsidR="0002544C" w:rsidRPr="00D91013" w:rsidRDefault="0002544C" w:rsidP="00637889">
            <w:pPr>
              <w:pStyle w:val="TableColumnHeadingCentred"/>
              <w:spacing w:before="30" w:after="30"/>
              <w:rPr>
                <w:b w:val="0"/>
                <w:sz w:val="18"/>
                <w:szCs w:val="18"/>
              </w:rPr>
            </w:pPr>
            <w:r w:rsidRPr="00D91013">
              <w:rPr>
                <w:sz w:val="18"/>
                <w:szCs w:val="18"/>
              </w:rPr>
              <w:t>Location</w:t>
            </w:r>
          </w:p>
        </w:tc>
        <w:tc>
          <w:tcPr>
            <w:tcW w:w="603" w:type="dxa"/>
            <w:vMerge w:val="restart"/>
            <w:tcBorders>
              <w:top w:val="single" w:sz="4" w:space="0" w:color="auto"/>
              <w:left w:val="single" w:sz="4" w:space="0" w:color="auto"/>
            </w:tcBorders>
            <w:vAlign w:val="center"/>
          </w:tcPr>
          <w:p w14:paraId="19D4FB51" w14:textId="77777777" w:rsidR="0002544C" w:rsidRPr="00D91013" w:rsidRDefault="0002544C" w:rsidP="00637889">
            <w:pPr>
              <w:pStyle w:val="TableColumnHeadingRight"/>
              <w:spacing w:before="30" w:after="30"/>
              <w:rPr>
                <w:b w:val="0"/>
                <w:bCs/>
                <w:sz w:val="18"/>
                <w:szCs w:val="18"/>
              </w:rPr>
            </w:pPr>
            <w:r w:rsidRPr="00D91013">
              <w:rPr>
                <w:bCs/>
                <w:sz w:val="18"/>
                <w:szCs w:val="18"/>
              </w:rPr>
              <w:t>Total</w:t>
            </w:r>
          </w:p>
        </w:tc>
      </w:tr>
      <w:tr w:rsidR="00664208" w:rsidRPr="00883271" w14:paraId="29412960" w14:textId="77777777" w:rsidTr="0002544C">
        <w:trPr>
          <w:cnfStyle w:val="000000100000" w:firstRow="0" w:lastRow="0" w:firstColumn="0" w:lastColumn="0" w:oddVBand="0" w:evenVBand="0" w:oddHBand="1" w:evenHBand="0" w:firstRowFirstColumn="0" w:firstRowLastColumn="0" w:lastRowFirstColumn="0" w:lastRowLastColumn="0"/>
          <w:trHeight w:val="501"/>
          <w:jc w:val="center"/>
        </w:trPr>
        <w:tc>
          <w:tcPr>
            <w:tcW w:w="1975" w:type="dxa"/>
            <w:tcBorders>
              <w:top w:val="single" w:sz="4" w:space="0" w:color="auto"/>
              <w:bottom w:val="single" w:sz="4" w:space="0" w:color="auto"/>
            </w:tcBorders>
            <w:shd w:val="clear" w:color="auto" w:fill="EEEEEE" w:themeFill="background2"/>
          </w:tcPr>
          <w:p w14:paraId="6FA36804" w14:textId="77777777" w:rsidR="0002544C" w:rsidRPr="00D91013" w:rsidRDefault="0002544C" w:rsidP="00637889">
            <w:pPr>
              <w:pStyle w:val="TableColumnHeadingRight"/>
              <w:spacing w:before="30" w:after="30"/>
              <w:rPr>
                <w:sz w:val="18"/>
                <w:szCs w:val="18"/>
              </w:rPr>
            </w:pPr>
          </w:p>
        </w:tc>
        <w:tc>
          <w:tcPr>
            <w:tcW w:w="987" w:type="dxa"/>
            <w:tcBorders>
              <w:top w:val="single" w:sz="4" w:space="0" w:color="auto"/>
              <w:bottom w:val="single" w:sz="4" w:space="0" w:color="auto"/>
            </w:tcBorders>
            <w:shd w:val="clear" w:color="auto" w:fill="EEEEEE" w:themeFill="background2"/>
            <w:vAlign w:val="center"/>
          </w:tcPr>
          <w:p w14:paraId="6ADA5178" w14:textId="77777777" w:rsidR="0002544C" w:rsidRPr="00D91013" w:rsidRDefault="0002544C" w:rsidP="00637889">
            <w:pPr>
              <w:pStyle w:val="TableColumnHeadingRight"/>
              <w:spacing w:before="30" w:after="30"/>
              <w:rPr>
                <w:sz w:val="18"/>
                <w:szCs w:val="18"/>
              </w:rPr>
            </w:pPr>
            <w:r w:rsidRPr="00D91013">
              <w:rPr>
                <w:bCs/>
                <w:sz w:val="18"/>
                <w:szCs w:val="18"/>
              </w:rPr>
              <w:t>Less than 100</w:t>
            </w:r>
          </w:p>
        </w:tc>
        <w:tc>
          <w:tcPr>
            <w:tcW w:w="706" w:type="dxa"/>
            <w:tcBorders>
              <w:top w:val="single" w:sz="4" w:space="0" w:color="auto"/>
              <w:bottom w:val="single" w:sz="4" w:space="0" w:color="auto"/>
              <w:right w:val="single" w:sz="4" w:space="0" w:color="auto"/>
            </w:tcBorders>
            <w:shd w:val="clear" w:color="auto" w:fill="EEEEEE" w:themeFill="background2"/>
            <w:vAlign w:val="center"/>
          </w:tcPr>
          <w:p w14:paraId="547457B6" w14:textId="77777777" w:rsidR="0002544C" w:rsidRPr="00D91013" w:rsidRDefault="0002544C" w:rsidP="00637889">
            <w:pPr>
              <w:pStyle w:val="TableColumnHeadingRight"/>
              <w:spacing w:before="30" w:after="30"/>
              <w:rPr>
                <w:sz w:val="18"/>
                <w:szCs w:val="18"/>
              </w:rPr>
            </w:pPr>
            <w:r w:rsidRPr="00D91013">
              <w:rPr>
                <w:bCs/>
                <w:sz w:val="18"/>
                <w:szCs w:val="18"/>
              </w:rPr>
              <w:t>100 or more</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0E55C959" w14:textId="77777777" w:rsidR="0002544C" w:rsidRPr="00D91013" w:rsidRDefault="0002544C" w:rsidP="00637889">
            <w:pPr>
              <w:pStyle w:val="TableColumnHeadingRight"/>
              <w:spacing w:before="30" w:after="30"/>
              <w:rPr>
                <w:sz w:val="18"/>
                <w:szCs w:val="18"/>
              </w:rPr>
            </w:pPr>
            <w:r w:rsidRPr="00D91013">
              <w:rPr>
                <w:bCs/>
                <w:sz w:val="18"/>
                <w:szCs w:val="18"/>
              </w:rPr>
              <w:t>Generalist</w:t>
            </w:r>
          </w:p>
        </w:tc>
        <w:tc>
          <w:tcPr>
            <w:tcW w:w="987" w:type="dxa"/>
            <w:tcBorders>
              <w:top w:val="single" w:sz="4" w:space="0" w:color="auto"/>
              <w:bottom w:val="single" w:sz="4" w:space="0" w:color="auto"/>
            </w:tcBorders>
            <w:shd w:val="clear" w:color="auto" w:fill="EEEEEE" w:themeFill="background2"/>
            <w:vAlign w:val="center"/>
          </w:tcPr>
          <w:p w14:paraId="0C1A01D9" w14:textId="261763CD" w:rsidR="0002544C" w:rsidRPr="00D91013" w:rsidRDefault="0002544C" w:rsidP="00637889">
            <w:pPr>
              <w:pStyle w:val="TableColumnHeadingRight"/>
              <w:spacing w:before="30" w:after="30"/>
              <w:rPr>
                <w:sz w:val="18"/>
                <w:szCs w:val="18"/>
              </w:rPr>
            </w:pPr>
            <w:r w:rsidRPr="00D91013">
              <w:rPr>
                <w:bCs/>
                <w:sz w:val="18"/>
                <w:szCs w:val="18"/>
              </w:rPr>
              <w:t xml:space="preserve">Specialist </w:t>
            </w:r>
            <w:r w:rsidR="007B3C6A">
              <w:rPr>
                <w:bCs/>
                <w:sz w:val="18"/>
                <w:szCs w:val="18"/>
              </w:rPr>
              <w:noBreakHyphen/>
            </w:r>
            <w:r w:rsidRPr="00D91013">
              <w:rPr>
                <w:bCs/>
                <w:sz w:val="18"/>
                <w:szCs w:val="18"/>
              </w:rPr>
              <w:t xml:space="preserve"> regional</w:t>
            </w:r>
          </w:p>
        </w:tc>
        <w:tc>
          <w:tcPr>
            <w:tcW w:w="1410" w:type="dxa"/>
            <w:tcBorders>
              <w:top w:val="single" w:sz="4" w:space="0" w:color="auto"/>
              <w:bottom w:val="single" w:sz="4" w:space="0" w:color="auto"/>
              <w:right w:val="single" w:sz="4" w:space="0" w:color="auto"/>
            </w:tcBorders>
            <w:shd w:val="clear" w:color="auto" w:fill="EEEEEE" w:themeFill="background2"/>
            <w:vAlign w:val="center"/>
          </w:tcPr>
          <w:p w14:paraId="5CC5A33E" w14:textId="791B4A1B" w:rsidR="0002544C" w:rsidRPr="00D91013" w:rsidRDefault="0002544C" w:rsidP="00637889">
            <w:pPr>
              <w:pStyle w:val="TableColumnHeadingRight"/>
              <w:spacing w:before="30" w:after="30"/>
              <w:rPr>
                <w:sz w:val="18"/>
                <w:szCs w:val="18"/>
              </w:rPr>
            </w:pPr>
            <w:r w:rsidRPr="00D91013">
              <w:rPr>
                <w:bCs/>
                <w:sz w:val="18"/>
                <w:szCs w:val="18"/>
              </w:rPr>
              <w:t xml:space="preserve">Specialist </w:t>
            </w:r>
            <w:r w:rsidR="007B3C6A">
              <w:rPr>
                <w:bCs/>
                <w:sz w:val="18"/>
                <w:szCs w:val="18"/>
              </w:rPr>
              <w:noBreakHyphen/>
            </w:r>
            <w:r w:rsidRPr="00D91013">
              <w:rPr>
                <w:bCs/>
                <w:sz w:val="18"/>
                <w:szCs w:val="18"/>
              </w:rPr>
              <w:t xml:space="preserve"> one / limited makes</w:t>
            </w:r>
          </w:p>
        </w:tc>
        <w:tc>
          <w:tcPr>
            <w:tcW w:w="1072" w:type="dxa"/>
            <w:tcBorders>
              <w:top w:val="single" w:sz="4" w:space="0" w:color="auto"/>
              <w:left w:val="single" w:sz="4" w:space="0" w:color="auto"/>
              <w:bottom w:val="single" w:sz="4" w:space="0" w:color="auto"/>
            </w:tcBorders>
            <w:shd w:val="clear" w:color="auto" w:fill="EEEEEE" w:themeFill="background2"/>
            <w:vAlign w:val="center"/>
          </w:tcPr>
          <w:p w14:paraId="25147152" w14:textId="77777777" w:rsidR="0002544C" w:rsidRPr="00D91013" w:rsidRDefault="0002544C" w:rsidP="00637889">
            <w:pPr>
              <w:pStyle w:val="TableColumnHeadingRight"/>
              <w:spacing w:before="30" w:after="30"/>
              <w:rPr>
                <w:sz w:val="18"/>
                <w:szCs w:val="18"/>
              </w:rPr>
            </w:pPr>
            <w:r w:rsidRPr="00D91013">
              <w:rPr>
                <w:bCs/>
                <w:sz w:val="18"/>
                <w:szCs w:val="18"/>
              </w:rPr>
              <w:t>Owner operator</w:t>
            </w:r>
          </w:p>
        </w:tc>
        <w:tc>
          <w:tcPr>
            <w:tcW w:w="1072" w:type="dxa"/>
            <w:tcBorders>
              <w:top w:val="single" w:sz="4" w:space="0" w:color="auto"/>
              <w:bottom w:val="single" w:sz="4" w:space="0" w:color="auto"/>
            </w:tcBorders>
            <w:shd w:val="clear" w:color="auto" w:fill="EEEEEE" w:themeFill="background2"/>
            <w:vAlign w:val="center"/>
          </w:tcPr>
          <w:p w14:paraId="1C4C0A91" w14:textId="77777777" w:rsidR="0002544C" w:rsidRPr="00D91013" w:rsidRDefault="0002544C" w:rsidP="00637889">
            <w:pPr>
              <w:pStyle w:val="TableColumnHeadingRight"/>
              <w:spacing w:before="30" w:after="30"/>
              <w:rPr>
                <w:sz w:val="18"/>
                <w:szCs w:val="18"/>
              </w:rPr>
            </w:pPr>
            <w:r w:rsidRPr="00D91013">
              <w:rPr>
                <w:bCs/>
                <w:sz w:val="18"/>
                <w:szCs w:val="18"/>
              </w:rPr>
              <w:t>1 to 4 employees</w:t>
            </w:r>
          </w:p>
        </w:tc>
        <w:tc>
          <w:tcPr>
            <w:tcW w:w="1072" w:type="dxa"/>
            <w:tcBorders>
              <w:top w:val="single" w:sz="4" w:space="0" w:color="auto"/>
              <w:bottom w:val="single" w:sz="4" w:space="0" w:color="auto"/>
            </w:tcBorders>
            <w:shd w:val="clear" w:color="auto" w:fill="EEEEEE" w:themeFill="background2"/>
            <w:vAlign w:val="center"/>
          </w:tcPr>
          <w:p w14:paraId="2C3E23DC" w14:textId="77777777" w:rsidR="0002544C" w:rsidRPr="00D91013" w:rsidRDefault="0002544C" w:rsidP="00637889">
            <w:pPr>
              <w:pStyle w:val="TableColumnHeadingRight"/>
              <w:spacing w:before="30" w:after="30"/>
              <w:rPr>
                <w:sz w:val="18"/>
                <w:szCs w:val="18"/>
              </w:rPr>
            </w:pPr>
            <w:r w:rsidRPr="00D91013">
              <w:rPr>
                <w:bCs/>
                <w:sz w:val="18"/>
                <w:szCs w:val="18"/>
              </w:rPr>
              <w:t>5 to 19 employees</w:t>
            </w:r>
          </w:p>
        </w:tc>
        <w:tc>
          <w:tcPr>
            <w:tcW w:w="1072" w:type="dxa"/>
            <w:tcBorders>
              <w:top w:val="single" w:sz="4" w:space="0" w:color="auto"/>
              <w:bottom w:val="single" w:sz="4" w:space="0" w:color="auto"/>
              <w:right w:val="single" w:sz="4" w:space="0" w:color="auto"/>
            </w:tcBorders>
            <w:shd w:val="clear" w:color="auto" w:fill="EEEEEE" w:themeFill="background2"/>
            <w:vAlign w:val="center"/>
          </w:tcPr>
          <w:p w14:paraId="66F277D3" w14:textId="77777777" w:rsidR="0002544C" w:rsidRPr="00D91013" w:rsidRDefault="0002544C" w:rsidP="00637889">
            <w:pPr>
              <w:pStyle w:val="TableColumnHeadingRight"/>
              <w:spacing w:before="30" w:after="30"/>
              <w:rPr>
                <w:sz w:val="18"/>
                <w:szCs w:val="18"/>
              </w:rPr>
            </w:pPr>
            <w:r w:rsidRPr="00D91013">
              <w:rPr>
                <w:bCs/>
                <w:sz w:val="18"/>
                <w:szCs w:val="18"/>
              </w:rPr>
              <w:t>20 or more employees</w:t>
            </w:r>
          </w:p>
        </w:tc>
        <w:tc>
          <w:tcPr>
            <w:tcW w:w="709" w:type="dxa"/>
            <w:tcBorders>
              <w:top w:val="single" w:sz="4" w:space="0" w:color="auto"/>
              <w:left w:val="single" w:sz="4" w:space="0" w:color="auto"/>
              <w:bottom w:val="single" w:sz="4" w:space="0" w:color="auto"/>
            </w:tcBorders>
            <w:shd w:val="clear" w:color="auto" w:fill="EEEEEE" w:themeFill="background2"/>
            <w:vAlign w:val="center"/>
          </w:tcPr>
          <w:p w14:paraId="7EEBCFBC" w14:textId="77777777" w:rsidR="0002544C" w:rsidRPr="00D91013" w:rsidRDefault="0002544C" w:rsidP="00637889">
            <w:pPr>
              <w:pStyle w:val="TableColumnHeadingRight"/>
              <w:spacing w:before="30" w:after="30"/>
              <w:rPr>
                <w:sz w:val="18"/>
                <w:szCs w:val="18"/>
              </w:rPr>
            </w:pPr>
            <w:r w:rsidRPr="00D91013">
              <w:rPr>
                <w:bCs/>
                <w:sz w:val="18"/>
                <w:szCs w:val="18"/>
              </w:rPr>
              <w:t>Metro</w:t>
            </w:r>
          </w:p>
        </w:tc>
        <w:tc>
          <w:tcPr>
            <w:tcW w:w="926" w:type="dxa"/>
            <w:tcBorders>
              <w:top w:val="single" w:sz="4" w:space="0" w:color="auto"/>
              <w:bottom w:val="single" w:sz="4" w:space="0" w:color="auto"/>
              <w:right w:val="single" w:sz="4" w:space="0" w:color="auto"/>
            </w:tcBorders>
            <w:shd w:val="clear" w:color="auto" w:fill="EEEEEE" w:themeFill="background2"/>
            <w:vAlign w:val="center"/>
          </w:tcPr>
          <w:p w14:paraId="378D69B1" w14:textId="77777777" w:rsidR="0002544C" w:rsidRPr="00D91013" w:rsidRDefault="0002544C" w:rsidP="00637889">
            <w:pPr>
              <w:pStyle w:val="TableColumnHeadingRight"/>
              <w:spacing w:before="30" w:after="30"/>
              <w:rPr>
                <w:sz w:val="18"/>
                <w:szCs w:val="18"/>
              </w:rPr>
            </w:pPr>
            <w:r w:rsidRPr="00D91013">
              <w:rPr>
                <w:bCs/>
                <w:sz w:val="18"/>
                <w:szCs w:val="18"/>
              </w:rPr>
              <w:t>Regional</w:t>
            </w:r>
          </w:p>
        </w:tc>
        <w:tc>
          <w:tcPr>
            <w:tcW w:w="603" w:type="dxa"/>
            <w:vMerge/>
            <w:tcBorders>
              <w:left w:val="single" w:sz="4" w:space="0" w:color="auto"/>
              <w:bottom w:val="single" w:sz="4" w:space="0" w:color="auto"/>
            </w:tcBorders>
            <w:shd w:val="clear" w:color="auto" w:fill="EEEEEE" w:themeFill="background2"/>
            <w:vAlign w:val="center"/>
          </w:tcPr>
          <w:p w14:paraId="471C71A9" w14:textId="77777777" w:rsidR="0002544C" w:rsidRPr="00D91013" w:rsidRDefault="0002544C" w:rsidP="00637889">
            <w:pPr>
              <w:pStyle w:val="TableColumnHeadingRight"/>
              <w:spacing w:before="30" w:after="30"/>
              <w:rPr>
                <w:bCs/>
                <w:sz w:val="18"/>
                <w:szCs w:val="18"/>
              </w:rPr>
            </w:pPr>
          </w:p>
        </w:tc>
      </w:tr>
      <w:tr w:rsidR="0002544C" w:rsidRPr="00883271" w14:paraId="5105C559" w14:textId="77777777" w:rsidTr="0002544C">
        <w:trPr>
          <w:cnfStyle w:val="000000010000" w:firstRow="0" w:lastRow="0" w:firstColumn="0" w:lastColumn="0" w:oddVBand="0" w:evenVBand="0" w:oddHBand="0" w:evenHBand="1" w:firstRowFirstColumn="0" w:firstRowLastColumn="0" w:lastRowFirstColumn="0" w:lastRowLastColumn="0"/>
          <w:trHeight w:val="20"/>
          <w:jc w:val="center"/>
        </w:trPr>
        <w:tc>
          <w:tcPr>
            <w:tcW w:w="1975" w:type="dxa"/>
            <w:tcBorders>
              <w:top w:val="single" w:sz="4" w:space="0" w:color="auto"/>
            </w:tcBorders>
            <w:vAlign w:val="center"/>
          </w:tcPr>
          <w:p w14:paraId="43DD1E91" w14:textId="195DC02D" w:rsidR="0002544C" w:rsidRPr="0002544C" w:rsidRDefault="0002544C" w:rsidP="00637889">
            <w:pPr>
              <w:pStyle w:val="TableTextLeft"/>
              <w:spacing w:before="30" w:after="30"/>
              <w:rPr>
                <w:rFonts w:cs="Calibri Light"/>
                <w:b/>
                <w:bCs/>
                <w:szCs w:val="18"/>
              </w:rPr>
            </w:pPr>
            <w:r w:rsidRPr="0002544C">
              <w:rPr>
                <w:rFonts w:cs="Calibri Light"/>
                <w:b/>
                <w:bCs/>
                <w:szCs w:val="18"/>
              </w:rPr>
              <w:t>Owner operator</w:t>
            </w:r>
          </w:p>
        </w:tc>
        <w:tc>
          <w:tcPr>
            <w:tcW w:w="987" w:type="dxa"/>
            <w:tcBorders>
              <w:top w:val="single" w:sz="4" w:space="0" w:color="auto"/>
            </w:tcBorders>
            <w:vAlign w:val="center"/>
          </w:tcPr>
          <w:p w14:paraId="14EA8096" w14:textId="3CA2509F" w:rsidR="0002544C" w:rsidRPr="0002544C" w:rsidRDefault="0002544C" w:rsidP="00637889">
            <w:pPr>
              <w:pStyle w:val="TableTextRight"/>
              <w:spacing w:before="30" w:after="30"/>
              <w:rPr>
                <w:rFonts w:cs="Calibri Light"/>
                <w:szCs w:val="18"/>
              </w:rPr>
            </w:pPr>
            <w:r w:rsidRPr="0002544C">
              <w:rPr>
                <w:rFonts w:cs="Calibri Light"/>
                <w:szCs w:val="18"/>
              </w:rPr>
              <w:t>21%</w:t>
            </w:r>
          </w:p>
        </w:tc>
        <w:tc>
          <w:tcPr>
            <w:tcW w:w="706" w:type="dxa"/>
            <w:tcBorders>
              <w:top w:val="single" w:sz="4" w:space="0" w:color="auto"/>
              <w:right w:val="single" w:sz="4" w:space="0" w:color="auto"/>
            </w:tcBorders>
            <w:vAlign w:val="center"/>
          </w:tcPr>
          <w:p w14:paraId="0353C127" w14:textId="39FBA82C" w:rsidR="0002544C" w:rsidRPr="0002544C" w:rsidRDefault="0002544C" w:rsidP="00637889">
            <w:pPr>
              <w:pStyle w:val="TableTextRight"/>
              <w:spacing w:before="30" w:after="30"/>
              <w:rPr>
                <w:rFonts w:cs="Calibri Light"/>
                <w:szCs w:val="18"/>
              </w:rPr>
            </w:pPr>
            <w:r w:rsidRPr="0002544C">
              <w:rPr>
                <w:rFonts w:cs="Calibri Light"/>
                <w:szCs w:val="18"/>
              </w:rPr>
              <w:t>2%</w:t>
            </w:r>
          </w:p>
        </w:tc>
        <w:tc>
          <w:tcPr>
            <w:tcW w:w="987" w:type="dxa"/>
            <w:tcBorders>
              <w:top w:val="single" w:sz="4" w:space="0" w:color="auto"/>
              <w:left w:val="single" w:sz="4" w:space="0" w:color="auto"/>
            </w:tcBorders>
            <w:vAlign w:val="center"/>
          </w:tcPr>
          <w:p w14:paraId="3F25B3A9" w14:textId="066F739C" w:rsidR="0002544C" w:rsidRPr="0002544C" w:rsidRDefault="0002544C" w:rsidP="00637889">
            <w:pPr>
              <w:pStyle w:val="TableTextRight"/>
              <w:spacing w:before="30" w:after="30"/>
              <w:rPr>
                <w:rFonts w:cs="Calibri Light"/>
                <w:szCs w:val="18"/>
              </w:rPr>
            </w:pPr>
            <w:r w:rsidRPr="0002544C">
              <w:rPr>
                <w:rFonts w:cs="Calibri Light"/>
                <w:szCs w:val="18"/>
              </w:rPr>
              <w:t>14%</w:t>
            </w:r>
          </w:p>
        </w:tc>
        <w:tc>
          <w:tcPr>
            <w:tcW w:w="987" w:type="dxa"/>
            <w:tcBorders>
              <w:top w:val="single" w:sz="4" w:space="0" w:color="auto"/>
            </w:tcBorders>
            <w:vAlign w:val="center"/>
          </w:tcPr>
          <w:p w14:paraId="246A209B" w14:textId="7CB2D00E" w:rsidR="0002544C" w:rsidRPr="0002544C" w:rsidRDefault="0002544C" w:rsidP="00637889">
            <w:pPr>
              <w:pStyle w:val="TableTextRight"/>
              <w:spacing w:before="30" w:after="30"/>
              <w:rPr>
                <w:rFonts w:cs="Calibri Light"/>
                <w:szCs w:val="18"/>
              </w:rPr>
            </w:pPr>
            <w:r w:rsidRPr="0002544C">
              <w:rPr>
                <w:rFonts w:cs="Calibri Light"/>
                <w:szCs w:val="18"/>
              </w:rPr>
              <w:t>8%</w:t>
            </w:r>
          </w:p>
        </w:tc>
        <w:tc>
          <w:tcPr>
            <w:tcW w:w="1410" w:type="dxa"/>
            <w:tcBorders>
              <w:top w:val="single" w:sz="4" w:space="0" w:color="auto"/>
              <w:right w:val="single" w:sz="4" w:space="0" w:color="auto"/>
            </w:tcBorders>
            <w:vAlign w:val="center"/>
          </w:tcPr>
          <w:p w14:paraId="1671AC5C" w14:textId="72E4A59D" w:rsidR="0002544C" w:rsidRPr="0002544C" w:rsidRDefault="0002544C" w:rsidP="00637889">
            <w:pPr>
              <w:pStyle w:val="TableTextRight"/>
              <w:spacing w:before="30" w:after="30"/>
              <w:rPr>
                <w:rFonts w:cs="Calibri Light"/>
                <w:szCs w:val="18"/>
              </w:rPr>
            </w:pPr>
            <w:r w:rsidRPr="0002544C">
              <w:rPr>
                <w:rFonts w:cs="Calibri Light"/>
                <w:szCs w:val="18"/>
              </w:rPr>
              <w:t>20%</w:t>
            </w:r>
          </w:p>
        </w:tc>
        <w:tc>
          <w:tcPr>
            <w:tcW w:w="1072" w:type="dxa"/>
            <w:tcBorders>
              <w:top w:val="single" w:sz="4" w:space="0" w:color="auto"/>
              <w:left w:val="single" w:sz="4" w:space="0" w:color="auto"/>
            </w:tcBorders>
            <w:vAlign w:val="center"/>
          </w:tcPr>
          <w:p w14:paraId="21EDF4EE" w14:textId="48B2740B" w:rsidR="0002544C" w:rsidRPr="0002544C" w:rsidRDefault="0002544C" w:rsidP="00637889">
            <w:pPr>
              <w:pStyle w:val="TableTextRight"/>
              <w:spacing w:before="30" w:after="30"/>
              <w:rPr>
                <w:rFonts w:cs="Calibri Light"/>
                <w:szCs w:val="18"/>
              </w:rPr>
            </w:pPr>
            <w:r w:rsidRPr="0002544C">
              <w:rPr>
                <w:rFonts w:cs="Calibri Light"/>
                <w:szCs w:val="18"/>
              </w:rPr>
              <w:t>100%</w:t>
            </w:r>
          </w:p>
        </w:tc>
        <w:tc>
          <w:tcPr>
            <w:tcW w:w="1072" w:type="dxa"/>
            <w:tcBorders>
              <w:top w:val="single" w:sz="4" w:space="0" w:color="auto"/>
            </w:tcBorders>
            <w:vAlign w:val="center"/>
          </w:tcPr>
          <w:p w14:paraId="40DA0815" w14:textId="011A9527"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1072" w:type="dxa"/>
            <w:tcBorders>
              <w:top w:val="single" w:sz="4" w:space="0" w:color="auto"/>
            </w:tcBorders>
            <w:vAlign w:val="center"/>
          </w:tcPr>
          <w:p w14:paraId="0774DB42" w14:textId="73D8B3C2"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1072" w:type="dxa"/>
            <w:tcBorders>
              <w:top w:val="single" w:sz="4" w:space="0" w:color="auto"/>
              <w:right w:val="single" w:sz="4" w:space="0" w:color="auto"/>
            </w:tcBorders>
            <w:vAlign w:val="center"/>
          </w:tcPr>
          <w:p w14:paraId="290C2D59" w14:textId="5B751B54"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709" w:type="dxa"/>
            <w:tcBorders>
              <w:top w:val="single" w:sz="4" w:space="0" w:color="auto"/>
              <w:left w:val="single" w:sz="4" w:space="0" w:color="auto"/>
            </w:tcBorders>
            <w:vAlign w:val="center"/>
          </w:tcPr>
          <w:p w14:paraId="533475EA" w14:textId="36A642A7" w:rsidR="0002544C" w:rsidRPr="0002544C" w:rsidRDefault="0002544C" w:rsidP="00637889">
            <w:pPr>
              <w:pStyle w:val="TableTextRight"/>
              <w:spacing w:before="30" w:after="30"/>
              <w:rPr>
                <w:rFonts w:cs="Calibri Light"/>
                <w:szCs w:val="18"/>
              </w:rPr>
            </w:pPr>
            <w:r w:rsidRPr="0002544C">
              <w:rPr>
                <w:rFonts w:cs="Calibri Light"/>
                <w:szCs w:val="18"/>
              </w:rPr>
              <w:t>16%</w:t>
            </w:r>
          </w:p>
        </w:tc>
        <w:tc>
          <w:tcPr>
            <w:tcW w:w="926" w:type="dxa"/>
            <w:tcBorders>
              <w:top w:val="single" w:sz="4" w:space="0" w:color="auto"/>
              <w:right w:val="single" w:sz="4" w:space="0" w:color="auto"/>
            </w:tcBorders>
            <w:vAlign w:val="center"/>
          </w:tcPr>
          <w:p w14:paraId="1E9C6FE5" w14:textId="2357D20B" w:rsidR="0002544C" w:rsidRPr="0002544C" w:rsidRDefault="0002544C" w:rsidP="00637889">
            <w:pPr>
              <w:pStyle w:val="TableTextRight"/>
              <w:spacing w:before="30" w:after="30"/>
              <w:rPr>
                <w:rFonts w:cs="Calibri Light"/>
                <w:szCs w:val="18"/>
              </w:rPr>
            </w:pPr>
            <w:r w:rsidRPr="0002544C">
              <w:rPr>
                <w:rFonts w:cs="Calibri Light"/>
                <w:szCs w:val="18"/>
              </w:rPr>
              <w:t>12%</w:t>
            </w:r>
          </w:p>
        </w:tc>
        <w:tc>
          <w:tcPr>
            <w:tcW w:w="603" w:type="dxa"/>
            <w:tcBorders>
              <w:top w:val="single" w:sz="4" w:space="0" w:color="auto"/>
              <w:left w:val="single" w:sz="4" w:space="0" w:color="auto"/>
            </w:tcBorders>
            <w:vAlign w:val="center"/>
          </w:tcPr>
          <w:p w14:paraId="727D6E84" w14:textId="7B21AD82" w:rsidR="0002544C" w:rsidRPr="0002544C" w:rsidRDefault="0002544C" w:rsidP="00637889">
            <w:pPr>
              <w:pStyle w:val="TableTextRight"/>
              <w:spacing w:before="30" w:after="30"/>
              <w:rPr>
                <w:rFonts w:cs="Calibri Light"/>
                <w:b/>
                <w:bCs/>
                <w:szCs w:val="18"/>
              </w:rPr>
            </w:pPr>
            <w:r w:rsidRPr="0002544C">
              <w:rPr>
                <w:rFonts w:cs="Calibri Light"/>
                <w:b/>
                <w:bCs/>
                <w:szCs w:val="18"/>
              </w:rPr>
              <w:t>14%</w:t>
            </w:r>
          </w:p>
        </w:tc>
      </w:tr>
      <w:tr w:rsidR="0002544C" w:rsidRPr="00883271" w14:paraId="19A016CE" w14:textId="77777777" w:rsidTr="0002544C">
        <w:trPr>
          <w:cnfStyle w:val="000000100000" w:firstRow="0" w:lastRow="0" w:firstColumn="0" w:lastColumn="0" w:oddVBand="0" w:evenVBand="0" w:oddHBand="1" w:evenHBand="0" w:firstRowFirstColumn="0" w:firstRowLastColumn="0" w:lastRowFirstColumn="0" w:lastRowLastColumn="0"/>
          <w:trHeight w:val="20"/>
          <w:jc w:val="center"/>
        </w:trPr>
        <w:tc>
          <w:tcPr>
            <w:tcW w:w="1975" w:type="dxa"/>
            <w:vAlign w:val="center"/>
          </w:tcPr>
          <w:p w14:paraId="6570C9DC" w14:textId="560A594C" w:rsidR="0002544C" w:rsidRPr="0002544C" w:rsidRDefault="0002544C" w:rsidP="00637889">
            <w:pPr>
              <w:pStyle w:val="TableTextLeft"/>
              <w:spacing w:before="30" w:after="30"/>
              <w:rPr>
                <w:rFonts w:cs="Calibri Light"/>
                <w:b/>
                <w:bCs/>
                <w:szCs w:val="18"/>
              </w:rPr>
            </w:pPr>
            <w:r w:rsidRPr="0002544C">
              <w:rPr>
                <w:rFonts w:cs="Calibri Light"/>
                <w:b/>
                <w:bCs/>
                <w:szCs w:val="18"/>
              </w:rPr>
              <w:t>1 to 4 employees</w:t>
            </w:r>
          </w:p>
        </w:tc>
        <w:tc>
          <w:tcPr>
            <w:tcW w:w="987" w:type="dxa"/>
            <w:vAlign w:val="center"/>
          </w:tcPr>
          <w:p w14:paraId="32FCF7A8" w14:textId="6610A939" w:rsidR="0002544C" w:rsidRPr="0002544C" w:rsidRDefault="0002544C" w:rsidP="00637889">
            <w:pPr>
              <w:pStyle w:val="TableTextRight"/>
              <w:spacing w:before="30" w:after="30"/>
              <w:rPr>
                <w:rFonts w:cs="Calibri Light"/>
                <w:szCs w:val="18"/>
              </w:rPr>
            </w:pPr>
            <w:r w:rsidRPr="0002544C">
              <w:rPr>
                <w:rFonts w:cs="Calibri Light"/>
                <w:szCs w:val="18"/>
              </w:rPr>
              <w:t>41%</w:t>
            </w:r>
          </w:p>
        </w:tc>
        <w:tc>
          <w:tcPr>
            <w:tcW w:w="706" w:type="dxa"/>
            <w:tcBorders>
              <w:right w:val="single" w:sz="4" w:space="0" w:color="auto"/>
            </w:tcBorders>
            <w:vAlign w:val="center"/>
          </w:tcPr>
          <w:p w14:paraId="2DB5AFBD" w14:textId="2838F023" w:rsidR="0002544C" w:rsidRPr="0002544C" w:rsidRDefault="0002544C" w:rsidP="00637889">
            <w:pPr>
              <w:pStyle w:val="TableTextRight"/>
              <w:spacing w:before="30" w:after="30"/>
              <w:rPr>
                <w:rFonts w:cs="Calibri Light"/>
                <w:szCs w:val="18"/>
              </w:rPr>
            </w:pPr>
            <w:r w:rsidRPr="0002544C">
              <w:rPr>
                <w:rFonts w:cs="Calibri Light"/>
                <w:szCs w:val="18"/>
              </w:rPr>
              <w:t>15%</w:t>
            </w:r>
          </w:p>
        </w:tc>
        <w:tc>
          <w:tcPr>
            <w:tcW w:w="987" w:type="dxa"/>
            <w:tcBorders>
              <w:left w:val="single" w:sz="4" w:space="0" w:color="auto"/>
            </w:tcBorders>
            <w:vAlign w:val="center"/>
          </w:tcPr>
          <w:p w14:paraId="2E23B8FB" w14:textId="2B612EEE" w:rsidR="0002544C" w:rsidRPr="0002544C" w:rsidRDefault="0002544C" w:rsidP="00637889">
            <w:pPr>
              <w:pStyle w:val="TableTextRight"/>
              <w:spacing w:before="30" w:after="30"/>
              <w:rPr>
                <w:rFonts w:cs="Calibri Light"/>
                <w:szCs w:val="18"/>
              </w:rPr>
            </w:pPr>
            <w:r w:rsidRPr="0002544C">
              <w:rPr>
                <w:rFonts w:cs="Calibri Light"/>
                <w:szCs w:val="18"/>
              </w:rPr>
              <w:t>29%</w:t>
            </w:r>
          </w:p>
        </w:tc>
        <w:tc>
          <w:tcPr>
            <w:tcW w:w="987" w:type="dxa"/>
            <w:vAlign w:val="center"/>
          </w:tcPr>
          <w:p w14:paraId="2B7C4E6D" w14:textId="4A522D7D" w:rsidR="0002544C" w:rsidRPr="0002544C" w:rsidRDefault="0002544C" w:rsidP="00637889">
            <w:pPr>
              <w:pStyle w:val="TableTextRight"/>
              <w:spacing w:before="30" w:after="30"/>
              <w:rPr>
                <w:rFonts w:cs="Calibri Light"/>
                <w:szCs w:val="18"/>
              </w:rPr>
            </w:pPr>
            <w:r w:rsidRPr="0002544C">
              <w:rPr>
                <w:rFonts w:cs="Calibri Light"/>
                <w:szCs w:val="18"/>
              </w:rPr>
              <w:t>42%</w:t>
            </w:r>
          </w:p>
        </w:tc>
        <w:tc>
          <w:tcPr>
            <w:tcW w:w="1410" w:type="dxa"/>
            <w:tcBorders>
              <w:right w:val="single" w:sz="4" w:space="0" w:color="auto"/>
            </w:tcBorders>
            <w:vAlign w:val="center"/>
          </w:tcPr>
          <w:p w14:paraId="5AD96BE3" w14:textId="4DA7E3C2" w:rsidR="0002544C" w:rsidRPr="0002544C" w:rsidRDefault="0002544C" w:rsidP="00637889">
            <w:pPr>
              <w:pStyle w:val="TableTextRight"/>
              <w:spacing w:before="30" w:after="30"/>
              <w:rPr>
                <w:rFonts w:cs="Calibri Light"/>
                <w:szCs w:val="18"/>
              </w:rPr>
            </w:pPr>
            <w:r w:rsidRPr="0002544C">
              <w:rPr>
                <w:rFonts w:cs="Calibri Light"/>
                <w:szCs w:val="18"/>
              </w:rPr>
              <w:t>28%</w:t>
            </w:r>
          </w:p>
        </w:tc>
        <w:tc>
          <w:tcPr>
            <w:tcW w:w="1072" w:type="dxa"/>
            <w:tcBorders>
              <w:left w:val="single" w:sz="4" w:space="0" w:color="auto"/>
            </w:tcBorders>
            <w:vAlign w:val="center"/>
          </w:tcPr>
          <w:p w14:paraId="620CB775" w14:textId="3CD97107"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1072" w:type="dxa"/>
            <w:vAlign w:val="center"/>
          </w:tcPr>
          <w:p w14:paraId="1CE6F519" w14:textId="7CD1F46D" w:rsidR="0002544C" w:rsidRPr="0002544C" w:rsidRDefault="0002544C" w:rsidP="00637889">
            <w:pPr>
              <w:pStyle w:val="TableTextRight"/>
              <w:spacing w:before="30" w:after="30"/>
              <w:rPr>
                <w:rFonts w:cs="Calibri Light"/>
                <w:szCs w:val="18"/>
              </w:rPr>
            </w:pPr>
            <w:r w:rsidRPr="0002544C">
              <w:rPr>
                <w:rFonts w:cs="Calibri Light"/>
                <w:szCs w:val="18"/>
              </w:rPr>
              <w:t>100%</w:t>
            </w:r>
          </w:p>
        </w:tc>
        <w:tc>
          <w:tcPr>
            <w:tcW w:w="1072" w:type="dxa"/>
            <w:vAlign w:val="center"/>
          </w:tcPr>
          <w:p w14:paraId="635581A4" w14:textId="1D9B0677"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1072" w:type="dxa"/>
            <w:tcBorders>
              <w:right w:val="single" w:sz="4" w:space="0" w:color="auto"/>
            </w:tcBorders>
            <w:vAlign w:val="center"/>
          </w:tcPr>
          <w:p w14:paraId="625B6E4E" w14:textId="5F53C949"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709" w:type="dxa"/>
            <w:tcBorders>
              <w:left w:val="single" w:sz="4" w:space="0" w:color="auto"/>
            </w:tcBorders>
            <w:vAlign w:val="center"/>
          </w:tcPr>
          <w:p w14:paraId="68A39E98" w14:textId="2C5DEF5B" w:rsidR="0002544C" w:rsidRPr="0002544C" w:rsidRDefault="0002544C" w:rsidP="00637889">
            <w:pPr>
              <w:pStyle w:val="TableTextRight"/>
              <w:spacing w:before="30" w:after="30"/>
              <w:rPr>
                <w:rFonts w:cs="Calibri Light"/>
                <w:szCs w:val="18"/>
              </w:rPr>
            </w:pPr>
            <w:r w:rsidRPr="0002544C">
              <w:rPr>
                <w:rFonts w:cs="Calibri Light"/>
                <w:szCs w:val="18"/>
              </w:rPr>
              <w:t>30%</w:t>
            </w:r>
          </w:p>
        </w:tc>
        <w:tc>
          <w:tcPr>
            <w:tcW w:w="926" w:type="dxa"/>
            <w:tcBorders>
              <w:right w:val="single" w:sz="4" w:space="0" w:color="auto"/>
            </w:tcBorders>
            <w:vAlign w:val="center"/>
          </w:tcPr>
          <w:p w14:paraId="68081B83" w14:textId="2AB436E0" w:rsidR="0002544C" w:rsidRPr="0002544C" w:rsidRDefault="0002544C" w:rsidP="00637889">
            <w:pPr>
              <w:pStyle w:val="TableTextRight"/>
              <w:spacing w:before="30" w:after="30"/>
              <w:rPr>
                <w:rFonts w:cs="Calibri Light"/>
                <w:szCs w:val="18"/>
              </w:rPr>
            </w:pPr>
            <w:r w:rsidRPr="0002544C">
              <w:rPr>
                <w:rFonts w:cs="Calibri Light"/>
                <w:szCs w:val="18"/>
              </w:rPr>
              <w:t>29%</w:t>
            </w:r>
          </w:p>
        </w:tc>
        <w:tc>
          <w:tcPr>
            <w:tcW w:w="603" w:type="dxa"/>
            <w:tcBorders>
              <w:left w:val="single" w:sz="4" w:space="0" w:color="auto"/>
            </w:tcBorders>
            <w:vAlign w:val="center"/>
          </w:tcPr>
          <w:p w14:paraId="1A1458D1" w14:textId="5EA9E76B" w:rsidR="0002544C" w:rsidRPr="0002544C" w:rsidRDefault="0002544C" w:rsidP="00637889">
            <w:pPr>
              <w:pStyle w:val="TableTextRight"/>
              <w:spacing w:before="30" w:after="30"/>
              <w:rPr>
                <w:rFonts w:cs="Calibri Light"/>
                <w:b/>
                <w:bCs/>
                <w:szCs w:val="18"/>
              </w:rPr>
            </w:pPr>
            <w:r w:rsidRPr="0002544C">
              <w:rPr>
                <w:rFonts w:cs="Calibri Light"/>
                <w:b/>
                <w:bCs/>
                <w:szCs w:val="18"/>
              </w:rPr>
              <w:t>30%</w:t>
            </w:r>
          </w:p>
        </w:tc>
      </w:tr>
      <w:tr w:rsidR="0002544C" w:rsidRPr="00883271" w14:paraId="5D906E4F" w14:textId="77777777" w:rsidTr="0002544C">
        <w:trPr>
          <w:cnfStyle w:val="000000010000" w:firstRow="0" w:lastRow="0" w:firstColumn="0" w:lastColumn="0" w:oddVBand="0" w:evenVBand="0" w:oddHBand="0" w:evenHBand="1" w:firstRowFirstColumn="0" w:firstRowLastColumn="0" w:lastRowFirstColumn="0" w:lastRowLastColumn="0"/>
          <w:trHeight w:val="20"/>
          <w:jc w:val="center"/>
        </w:trPr>
        <w:tc>
          <w:tcPr>
            <w:tcW w:w="1975" w:type="dxa"/>
            <w:vAlign w:val="center"/>
          </w:tcPr>
          <w:p w14:paraId="2D979E40" w14:textId="371FEEFB" w:rsidR="0002544C" w:rsidRPr="0002544C" w:rsidRDefault="0002544C" w:rsidP="00637889">
            <w:pPr>
              <w:pStyle w:val="TableTextLeft"/>
              <w:spacing w:before="30" w:after="30"/>
              <w:rPr>
                <w:rFonts w:cs="Calibri Light"/>
                <w:b/>
                <w:bCs/>
                <w:szCs w:val="18"/>
              </w:rPr>
            </w:pPr>
            <w:r w:rsidRPr="0002544C">
              <w:rPr>
                <w:rFonts w:cs="Calibri Light"/>
                <w:b/>
                <w:bCs/>
                <w:szCs w:val="18"/>
              </w:rPr>
              <w:t>5 to 19 employees</w:t>
            </w:r>
          </w:p>
        </w:tc>
        <w:tc>
          <w:tcPr>
            <w:tcW w:w="987" w:type="dxa"/>
            <w:vAlign w:val="center"/>
          </w:tcPr>
          <w:p w14:paraId="2C9EC6AE" w14:textId="5F1FD75E" w:rsidR="0002544C" w:rsidRPr="0002544C" w:rsidRDefault="0002544C" w:rsidP="00637889">
            <w:pPr>
              <w:pStyle w:val="TableTextRight"/>
              <w:spacing w:before="30" w:after="30"/>
              <w:rPr>
                <w:rFonts w:cs="Calibri Light"/>
                <w:szCs w:val="18"/>
              </w:rPr>
            </w:pPr>
            <w:r w:rsidRPr="0002544C">
              <w:rPr>
                <w:rFonts w:cs="Calibri Light"/>
                <w:szCs w:val="18"/>
              </w:rPr>
              <w:t>30%</w:t>
            </w:r>
          </w:p>
        </w:tc>
        <w:tc>
          <w:tcPr>
            <w:tcW w:w="706" w:type="dxa"/>
            <w:tcBorders>
              <w:right w:val="single" w:sz="4" w:space="0" w:color="auto"/>
            </w:tcBorders>
            <w:vAlign w:val="center"/>
          </w:tcPr>
          <w:p w14:paraId="6238DB59" w14:textId="6396163A" w:rsidR="0002544C" w:rsidRPr="0002544C" w:rsidRDefault="0002544C" w:rsidP="00637889">
            <w:pPr>
              <w:pStyle w:val="TableTextRight"/>
              <w:spacing w:before="30" w:after="30"/>
              <w:rPr>
                <w:rFonts w:cs="Calibri Light"/>
                <w:szCs w:val="18"/>
              </w:rPr>
            </w:pPr>
            <w:r w:rsidRPr="0002544C">
              <w:rPr>
                <w:rFonts w:cs="Calibri Light"/>
                <w:szCs w:val="18"/>
              </w:rPr>
              <w:t>64%</w:t>
            </w:r>
          </w:p>
        </w:tc>
        <w:tc>
          <w:tcPr>
            <w:tcW w:w="987" w:type="dxa"/>
            <w:tcBorders>
              <w:left w:val="single" w:sz="4" w:space="0" w:color="auto"/>
            </w:tcBorders>
            <w:vAlign w:val="center"/>
          </w:tcPr>
          <w:p w14:paraId="3A43D2E1" w14:textId="0FDF8A30" w:rsidR="0002544C" w:rsidRPr="0002544C" w:rsidRDefault="0002544C" w:rsidP="00637889">
            <w:pPr>
              <w:pStyle w:val="TableTextRight"/>
              <w:spacing w:before="30" w:after="30"/>
              <w:rPr>
                <w:rFonts w:cs="Calibri Light"/>
                <w:szCs w:val="18"/>
              </w:rPr>
            </w:pPr>
            <w:r w:rsidRPr="0002544C">
              <w:rPr>
                <w:rFonts w:cs="Calibri Light"/>
                <w:szCs w:val="18"/>
              </w:rPr>
              <w:t>47%</w:t>
            </w:r>
          </w:p>
        </w:tc>
        <w:tc>
          <w:tcPr>
            <w:tcW w:w="987" w:type="dxa"/>
            <w:vAlign w:val="center"/>
          </w:tcPr>
          <w:p w14:paraId="56FDCAA4" w14:textId="0DC5021F" w:rsidR="0002544C" w:rsidRPr="0002544C" w:rsidRDefault="0002544C" w:rsidP="00637889">
            <w:pPr>
              <w:pStyle w:val="TableTextRight"/>
              <w:spacing w:before="30" w:after="30"/>
              <w:rPr>
                <w:rFonts w:cs="Calibri Light"/>
                <w:szCs w:val="18"/>
              </w:rPr>
            </w:pPr>
            <w:r w:rsidRPr="0002544C">
              <w:rPr>
                <w:rFonts w:cs="Calibri Light"/>
                <w:szCs w:val="18"/>
              </w:rPr>
              <w:t>45%</w:t>
            </w:r>
          </w:p>
        </w:tc>
        <w:tc>
          <w:tcPr>
            <w:tcW w:w="1410" w:type="dxa"/>
            <w:tcBorders>
              <w:right w:val="single" w:sz="4" w:space="0" w:color="auto"/>
            </w:tcBorders>
            <w:vAlign w:val="center"/>
          </w:tcPr>
          <w:p w14:paraId="6153EBAA" w14:textId="59EF18F5" w:rsidR="0002544C" w:rsidRPr="0002544C" w:rsidRDefault="0002544C" w:rsidP="00637889">
            <w:pPr>
              <w:pStyle w:val="TableTextRight"/>
              <w:spacing w:before="30" w:after="30"/>
              <w:rPr>
                <w:rFonts w:cs="Calibri Light"/>
                <w:szCs w:val="18"/>
              </w:rPr>
            </w:pPr>
            <w:r w:rsidRPr="0002544C">
              <w:rPr>
                <w:rFonts w:cs="Calibri Light"/>
                <w:szCs w:val="18"/>
              </w:rPr>
              <w:t>26%</w:t>
            </w:r>
          </w:p>
        </w:tc>
        <w:tc>
          <w:tcPr>
            <w:tcW w:w="1072" w:type="dxa"/>
            <w:tcBorders>
              <w:left w:val="single" w:sz="4" w:space="0" w:color="auto"/>
            </w:tcBorders>
            <w:vAlign w:val="center"/>
          </w:tcPr>
          <w:p w14:paraId="6B84BCC9" w14:textId="449D4399"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1072" w:type="dxa"/>
            <w:vAlign w:val="center"/>
          </w:tcPr>
          <w:p w14:paraId="5E4B57AA" w14:textId="60372131"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1072" w:type="dxa"/>
            <w:vAlign w:val="center"/>
          </w:tcPr>
          <w:p w14:paraId="0B6EFD49" w14:textId="3E01421F" w:rsidR="0002544C" w:rsidRPr="0002544C" w:rsidRDefault="0002544C" w:rsidP="00637889">
            <w:pPr>
              <w:pStyle w:val="TableTextRight"/>
              <w:spacing w:before="30" w:after="30"/>
              <w:rPr>
                <w:rFonts w:cs="Calibri Light"/>
                <w:szCs w:val="18"/>
              </w:rPr>
            </w:pPr>
            <w:r w:rsidRPr="0002544C">
              <w:rPr>
                <w:rFonts w:cs="Calibri Light"/>
                <w:szCs w:val="18"/>
              </w:rPr>
              <w:t>100%</w:t>
            </w:r>
          </w:p>
        </w:tc>
        <w:tc>
          <w:tcPr>
            <w:tcW w:w="1072" w:type="dxa"/>
            <w:tcBorders>
              <w:right w:val="single" w:sz="4" w:space="0" w:color="auto"/>
            </w:tcBorders>
            <w:vAlign w:val="center"/>
          </w:tcPr>
          <w:p w14:paraId="3BF79BE8" w14:textId="515279A0"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709" w:type="dxa"/>
            <w:tcBorders>
              <w:left w:val="single" w:sz="4" w:space="0" w:color="auto"/>
            </w:tcBorders>
            <w:vAlign w:val="center"/>
          </w:tcPr>
          <w:p w14:paraId="2524EA93" w14:textId="6410CB36" w:rsidR="0002544C" w:rsidRPr="0002544C" w:rsidRDefault="0002544C" w:rsidP="00637889">
            <w:pPr>
              <w:pStyle w:val="TableTextRight"/>
              <w:spacing w:before="30" w:after="30"/>
              <w:rPr>
                <w:rFonts w:cs="Calibri Light"/>
                <w:szCs w:val="18"/>
              </w:rPr>
            </w:pPr>
            <w:r w:rsidRPr="0002544C">
              <w:rPr>
                <w:rFonts w:cs="Calibri Light"/>
                <w:szCs w:val="18"/>
              </w:rPr>
              <w:t>40%</w:t>
            </w:r>
          </w:p>
        </w:tc>
        <w:tc>
          <w:tcPr>
            <w:tcW w:w="926" w:type="dxa"/>
            <w:tcBorders>
              <w:right w:val="single" w:sz="4" w:space="0" w:color="auto"/>
            </w:tcBorders>
            <w:vAlign w:val="center"/>
          </w:tcPr>
          <w:p w14:paraId="1447D455" w14:textId="7350B985" w:rsidR="0002544C" w:rsidRPr="0002544C" w:rsidRDefault="0002544C" w:rsidP="00637889">
            <w:pPr>
              <w:pStyle w:val="TableTextRight"/>
              <w:spacing w:before="30" w:after="30"/>
              <w:rPr>
                <w:rFonts w:cs="Calibri Light"/>
                <w:szCs w:val="18"/>
              </w:rPr>
            </w:pPr>
            <w:r w:rsidRPr="0002544C">
              <w:rPr>
                <w:rFonts w:cs="Calibri Light"/>
                <w:szCs w:val="18"/>
              </w:rPr>
              <w:t>48%</w:t>
            </w:r>
          </w:p>
        </w:tc>
        <w:tc>
          <w:tcPr>
            <w:tcW w:w="603" w:type="dxa"/>
            <w:tcBorders>
              <w:left w:val="single" w:sz="4" w:space="0" w:color="auto"/>
            </w:tcBorders>
            <w:vAlign w:val="center"/>
          </w:tcPr>
          <w:p w14:paraId="22A98CEF" w14:textId="7AEA1A86" w:rsidR="0002544C" w:rsidRPr="0002544C" w:rsidRDefault="0002544C" w:rsidP="00637889">
            <w:pPr>
              <w:pStyle w:val="TableTextRight"/>
              <w:spacing w:before="30" w:after="30"/>
              <w:rPr>
                <w:rFonts w:cs="Calibri Light"/>
                <w:b/>
                <w:bCs/>
                <w:szCs w:val="18"/>
              </w:rPr>
            </w:pPr>
            <w:r w:rsidRPr="0002544C">
              <w:rPr>
                <w:rFonts w:cs="Calibri Light"/>
                <w:b/>
                <w:bCs/>
                <w:szCs w:val="18"/>
              </w:rPr>
              <w:t>43%</w:t>
            </w:r>
          </w:p>
        </w:tc>
      </w:tr>
      <w:tr w:rsidR="0002544C" w:rsidRPr="00883271" w14:paraId="27D17E59" w14:textId="77777777" w:rsidTr="0002544C">
        <w:trPr>
          <w:cnfStyle w:val="000000100000" w:firstRow="0" w:lastRow="0" w:firstColumn="0" w:lastColumn="0" w:oddVBand="0" w:evenVBand="0" w:oddHBand="1" w:evenHBand="0" w:firstRowFirstColumn="0" w:firstRowLastColumn="0" w:lastRowFirstColumn="0" w:lastRowLastColumn="0"/>
          <w:trHeight w:val="20"/>
          <w:jc w:val="center"/>
        </w:trPr>
        <w:tc>
          <w:tcPr>
            <w:tcW w:w="1975" w:type="dxa"/>
            <w:vAlign w:val="center"/>
          </w:tcPr>
          <w:p w14:paraId="2C894E1E" w14:textId="02088696" w:rsidR="0002544C" w:rsidRPr="0002544C" w:rsidRDefault="0002544C" w:rsidP="00637889">
            <w:pPr>
              <w:pStyle w:val="TableTextLeft"/>
              <w:spacing w:before="30" w:after="30"/>
              <w:rPr>
                <w:rFonts w:cs="Calibri Light"/>
                <w:b/>
                <w:bCs/>
                <w:szCs w:val="18"/>
              </w:rPr>
            </w:pPr>
            <w:r w:rsidRPr="0002544C">
              <w:rPr>
                <w:rFonts w:cs="Calibri Light"/>
                <w:b/>
                <w:bCs/>
                <w:szCs w:val="18"/>
              </w:rPr>
              <w:t>20 or more employees</w:t>
            </w:r>
          </w:p>
        </w:tc>
        <w:tc>
          <w:tcPr>
            <w:tcW w:w="987" w:type="dxa"/>
            <w:vAlign w:val="center"/>
          </w:tcPr>
          <w:p w14:paraId="2A86ABE4" w14:textId="1C1FDE5E" w:rsidR="0002544C" w:rsidRPr="0002544C" w:rsidRDefault="0002544C" w:rsidP="00637889">
            <w:pPr>
              <w:pStyle w:val="TableTextRight"/>
              <w:spacing w:before="30" w:after="30"/>
              <w:rPr>
                <w:rFonts w:cs="Calibri Light"/>
                <w:szCs w:val="18"/>
              </w:rPr>
            </w:pPr>
            <w:r w:rsidRPr="0002544C">
              <w:rPr>
                <w:rFonts w:cs="Calibri Light"/>
                <w:szCs w:val="18"/>
              </w:rPr>
              <w:t>7%</w:t>
            </w:r>
          </w:p>
        </w:tc>
        <w:tc>
          <w:tcPr>
            <w:tcW w:w="706" w:type="dxa"/>
            <w:tcBorders>
              <w:right w:val="single" w:sz="4" w:space="0" w:color="auto"/>
            </w:tcBorders>
            <w:vAlign w:val="center"/>
          </w:tcPr>
          <w:p w14:paraId="0B7D1F40" w14:textId="0DA286A2" w:rsidR="0002544C" w:rsidRPr="0002544C" w:rsidRDefault="0002544C" w:rsidP="00637889">
            <w:pPr>
              <w:pStyle w:val="TableTextRight"/>
              <w:spacing w:before="30" w:after="30"/>
              <w:rPr>
                <w:rFonts w:cs="Calibri Light"/>
                <w:szCs w:val="18"/>
              </w:rPr>
            </w:pPr>
            <w:r w:rsidRPr="0002544C">
              <w:rPr>
                <w:rFonts w:cs="Calibri Light"/>
                <w:szCs w:val="18"/>
              </w:rPr>
              <w:t>19%</w:t>
            </w:r>
          </w:p>
        </w:tc>
        <w:tc>
          <w:tcPr>
            <w:tcW w:w="987" w:type="dxa"/>
            <w:tcBorders>
              <w:left w:val="single" w:sz="4" w:space="0" w:color="auto"/>
            </w:tcBorders>
            <w:vAlign w:val="center"/>
          </w:tcPr>
          <w:p w14:paraId="5A24906C" w14:textId="2F13AE19" w:rsidR="0002544C" w:rsidRPr="0002544C" w:rsidRDefault="0002544C" w:rsidP="00637889">
            <w:pPr>
              <w:pStyle w:val="TableTextRight"/>
              <w:spacing w:before="30" w:after="30"/>
              <w:rPr>
                <w:rFonts w:cs="Calibri Light"/>
                <w:szCs w:val="18"/>
              </w:rPr>
            </w:pPr>
            <w:r w:rsidRPr="0002544C">
              <w:rPr>
                <w:rFonts w:cs="Calibri Light"/>
                <w:szCs w:val="18"/>
              </w:rPr>
              <w:t>10%</w:t>
            </w:r>
          </w:p>
        </w:tc>
        <w:tc>
          <w:tcPr>
            <w:tcW w:w="987" w:type="dxa"/>
            <w:vAlign w:val="center"/>
          </w:tcPr>
          <w:p w14:paraId="47C56596" w14:textId="210AC63B" w:rsidR="0002544C" w:rsidRPr="0002544C" w:rsidRDefault="0002544C" w:rsidP="00637889">
            <w:pPr>
              <w:pStyle w:val="TableTextRight"/>
              <w:spacing w:before="30" w:after="30"/>
              <w:rPr>
                <w:rFonts w:cs="Calibri Light"/>
                <w:szCs w:val="18"/>
              </w:rPr>
            </w:pPr>
            <w:r w:rsidRPr="0002544C">
              <w:rPr>
                <w:rFonts w:cs="Calibri Light"/>
                <w:szCs w:val="18"/>
              </w:rPr>
              <w:t>5%</w:t>
            </w:r>
          </w:p>
        </w:tc>
        <w:tc>
          <w:tcPr>
            <w:tcW w:w="1410" w:type="dxa"/>
            <w:tcBorders>
              <w:right w:val="single" w:sz="4" w:space="0" w:color="auto"/>
            </w:tcBorders>
            <w:vAlign w:val="center"/>
          </w:tcPr>
          <w:p w14:paraId="7AD709F9" w14:textId="35639469" w:rsidR="0002544C" w:rsidRPr="0002544C" w:rsidRDefault="0002544C" w:rsidP="00637889">
            <w:pPr>
              <w:pStyle w:val="TableTextRight"/>
              <w:spacing w:before="30" w:after="30"/>
              <w:rPr>
                <w:rFonts w:cs="Calibri Light"/>
                <w:szCs w:val="18"/>
              </w:rPr>
            </w:pPr>
            <w:r w:rsidRPr="0002544C">
              <w:rPr>
                <w:rFonts w:cs="Calibri Light"/>
                <w:szCs w:val="18"/>
              </w:rPr>
              <w:t>26%</w:t>
            </w:r>
          </w:p>
        </w:tc>
        <w:tc>
          <w:tcPr>
            <w:tcW w:w="1072" w:type="dxa"/>
            <w:tcBorders>
              <w:left w:val="single" w:sz="4" w:space="0" w:color="auto"/>
            </w:tcBorders>
            <w:vAlign w:val="center"/>
          </w:tcPr>
          <w:p w14:paraId="26A69789" w14:textId="484144DB"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1072" w:type="dxa"/>
            <w:vAlign w:val="center"/>
          </w:tcPr>
          <w:p w14:paraId="601022D5" w14:textId="0AFB4EB1"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1072" w:type="dxa"/>
            <w:vAlign w:val="center"/>
          </w:tcPr>
          <w:p w14:paraId="66152AD4" w14:textId="66069A90"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1072" w:type="dxa"/>
            <w:tcBorders>
              <w:right w:val="single" w:sz="4" w:space="0" w:color="auto"/>
            </w:tcBorders>
            <w:vAlign w:val="center"/>
          </w:tcPr>
          <w:p w14:paraId="551904F8" w14:textId="26648458" w:rsidR="0002544C" w:rsidRPr="0002544C" w:rsidRDefault="0002544C" w:rsidP="00637889">
            <w:pPr>
              <w:pStyle w:val="TableTextRight"/>
              <w:spacing w:before="30" w:after="30"/>
              <w:rPr>
                <w:rFonts w:cs="Calibri Light"/>
                <w:szCs w:val="18"/>
              </w:rPr>
            </w:pPr>
            <w:r w:rsidRPr="0002544C">
              <w:rPr>
                <w:rFonts w:cs="Calibri Light"/>
                <w:szCs w:val="18"/>
              </w:rPr>
              <w:t>100%</w:t>
            </w:r>
          </w:p>
        </w:tc>
        <w:tc>
          <w:tcPr>
            <w:tcW w:w="709" w:type="dxa"/>
            <w:tcBorders>
              <w:left w:val="single" w:sz="4" w:space="0" w:color="auto"/>
            </w:tcBorders>
            <w:vAlign w:val="center"/>
          </w:tcPr>
          <w:p w14:paraId="3BE084E5" w14:textId="7935EB5F" w:rsidR="0002544C" w:rsidRPr="0002544C" w:rsidRDefault="0002544C" w:rsidP="00637889">
            <w:pPr>
              <w:pStyle w:val="TableTextRight"/>
              <w:spacing w:before="30" w:after="30"/>
              <w:rPr>
                <w:rFonts w:cs="Calibri Light"/>
                <w:szCs w:val="18"/>
              </w:rPr>
            </w:pPr>
            <w:r w:rsidRPr="0002544C">
              <w:rPr>
                <w:rFonts w:cs="Calibri Light"/>
                <w:szCs w:val="18"/>
              </w:rPr>
              <w:t>14%</w:t>
            </w:r>
          </w:p>
        </w:tc>
        <w:tc>
          <w:tcPr>
            <w:tcW w:w="926" w:type="dxa"/>
            <w:tcBorders>
              <w:right w:val="single" w:sz="4" w:space="0" w:color="auto"/>
            </w:tcBorders>
            <w:vAlign w:val="center"/>
          </w:tcPr>
          <w:p w14:paraId="2F572720" w14:textId="24939FB0" w:rsidR="0002544C" w:rsidRPr="0002544C" w:rsidRDefault="0002544C" w:rsidP="00637889">
            <w:pPr>
              <w:pStyle w:val="TableTextRight"/>
              <w:spacing w:before="30" w:after="30"/>
              <w:rPr>
                <w:rFonts w:cs="Calibri Light"/>
                <w:szCs w:val="18"/>
              </w:rPr>
            </w:pPr>
            <w:r w:rsidRPr="0002544C">
              <w:rPr>
                <w:rFonts w:cs="Calibri Light"/>
                <w:szCs w:val="18"/>
              </w:rPr>
              <w:t>11%</w:t>
            </w:r>
          </w:p>
        </w:tc>
        <w:tc>
          <w:tcPr>
            <w:tcW w:w="603" w:type="dxa"/>
            <w:tcBorders>
              <w:left w:val="single" w:sz="4" w:space="0" w:color="auto"/>
            </w:tcBorders>
            <w:vAlign w:val="center"/>
          </w:tcPr>
          <w:p w14:paraId="3D84B99D" w14:textId="4E61E64C" w:rsidR="0002544C" w:rsidRPr="0002544C" w:rsidRDefault="0002544C" w:rsidP="00637889">
            <w:pPr>
              <w:pStyle w:val="TableTextRight"/>
              <w:spacing w:before="30" w:after="30"/>
              <w:rPr>
                <w:rFonts w:cs="Calibri Light"/>
                <w:b/>
                <w:bCs/>
                <w:szCs w:val="18"/>
              </w:rPr>
            </w:pPr>
            <w:r w:rsidRPr="0002544C">
              <w:rPr>
                <w:rFonts w:cs="Calibri Light"/>
                <w:b/>
                <w:bCs/>
                <w:szCs w:val="18"/>
              </w:rPr>
              <w:t>12%</w:t>
            </w:r>
          </w:p>
        </w:tc>
      </w:tr>
      <w:tr w:rsidR="0002544C" w:rsidRPr="00883271" w14:paraId="50A28836" w14:textId="77777777" w:rsidTr="0002544C">
        <w:trPr>
          <w:cnfStyle w:val="000000010000" w:firstRow="0" w:lastRow="0" w:firstColumn="0" w:lastColumn="0" w:oddVBand="0" w:evenVBand="0" w:oddHBand="0" w:evenHBand="1" w:firstRowFirstColumn="0" w:firstRowLastColumn="0" w:lastRowFirstColumn="0" w:lastRowLastColumn="0"/>
          <w:trHeight w:val="20"/>
          <w:jc w:val="center"/>
        </w:trPr>
        <w:tc>
          <w:tcPr>
            <w:tcW w:w="1975" w:type="dxa"/>
            <w:vAlign w:val="center"/>
          </w:tcPr>
          <w:p w14:paraId="08E4C377" w14:textId="1CCCD6C4" w:rsidR="0002544C" w:rsidRPr="0002544C" w:rsidRDefault="0002544C" w:rsidP="00637889">
            <w:pPr>
              <w:pStyle w:val="TableTextLeft"/>
              <w:spacing w:before="30" w:after="30"/>
              <w:rPr>
                <w:rFonts w:cs="Calibri Light"/>
                <w:b/>
                <w:bCs/>
                <w:szCs w:val="18"/>
              </w:rPr>
            </w:pPr>
            <w:r w:rsidRPr="0002544C">
              <w:rPr>
                <w:rFonts w:cs="Calibri Light"/>
                <w:b/>
                <w:bCs/>
                <w:szCs w:val="18"/>
              </w:rPr>
              <w:t>Don't know / Prefer not to say</w:t>
            </w:r>
          </w:p>
        </w:tc>
        <w:tc>
          <w:tcPr>
            <w:tcW w:w="987" w:type="dxa"/>
            <w:vAlign w:val="center"/>
          </w:tcPr>
          <w:p w14:paraId="4B2B5BE2" w14:textId="7957D8EB" w:rsidR="0002544C" w:rsidRPr="0002544C" w:rsidRDefault="0002544C" w:rsidP="00637889">
            <w:pPr>
              <w:pStyle w:val="TableTextRight"/>
              <w:spacing w:before="30" w:after="30"/>
              <w:rPr>
                <w:rFonts w:cs="Calibri Light"/>
                <w:szCs w:val="18"/>
              </w:rPr>
            </w:pPr>
            <w:r w:rsidRPr="0002544C">
              <w:rPr>
                <w:rFonts w:cs="Calibri Light"/>
                <w:szCs w:val="18"/>
              </w:rPr>
              <w:t>1%</w:t>
            </w:r>
          </w:p>
        </w:tc>
        <w:tc>
          <w:tcPr>
            <w:tcW w:w="706" w:type="dxa"/>
            <w:tcBorders>
              <w:right w:val="single" w:sz="4" w:space="0" w:color="auto"/>
            </w:tcBorders>
            <w:vAlign w:val="center"/>
          </w:tcPr>
          <w:p w14:paraId="5970DB05" w14:textId="3A29A6A8"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987" w:type="dxa"/>
            <w:tcBorders>
              <w:left w:val="single" w:sz="4" w:space="0" w:color="auto"/>
            </w:tcBorders>
            <w:vAlign w:val="center"/>
          </w:tcPr>
          <w:p w14:paraId="598F3A90" w14:textId="6AEB5B76"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987" w:type="dxa"/>
            <w:vAlign w:val="center"/>
          </w:tcPr>
          <w:p w14:paraId="66C687CB" w14:textId="6220B54D"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1410" w:type="dxa"/>
            <w:tcBorders>
              <w:right w:val="single" w:sz="4" w:space="0" w:color="auto"/>
            </w:tcBorders>
            <w:vAlign w:val="center"/>
          </w:tcPr>
          <w:p w14:paraId="69545CA5" w14:textId="1BD8397F"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1072" w:type="dxa"/>
            <w:tcBorders>
              <w:left w:val="single" w:sz="4" w:space="0" w:color="auto"/>
            </w:tcBorders>
            <w:vAlign w:val="center"/>
          </w:tcPr>
          <w:p w14:paraId="64732757" w14:textId="51226D8A"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1072" w:type="dxa"/>
            <w:vAlign w:val="center"/>
          </w:tcPr>
          <w:p w14:paraId="30B9290C" w14:textId="30D12E03"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1072" w:type="dxa"/>
            <w:vAlign w:val="center"/>
          </w:tcPr>
          <w:p w14:paraId="4A686F2D" w14:textId="63DEEBA0"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1072" w:type="dxa"/>
            <w:tcBorders>
              <w:right w:val="single" w:sz="4" w:space="0" w:color="auto"/>
            </w:tcBorders>
            <w:vAlign w:val="center"/>
          </w:tcPr>
          <w:p w14:paraId="237DE592" w14:textId="7A023E5A"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709" w:type="dxa"/>
            <w:tcBorders>
              <w:left w:val="single" w:sz="4" w:space="0" w:color="auto"/>
            </w:tcBorders>
            <w:vAlign w:val="center"/>
          </w:tcPr>
          <w:p w14:paraId="2FDCCBCF" w14:textId="431EEBBF" w:rsidR="0002544C" w:rsidRPr="0002544C" w:rsidRDefault="0002544C" w:rsidP="00637889">
            <w:pPr>
              <w:pStyle w:val="TableTextRight"/>
              <w:spacing w:before="30" w:after="30"/>
              <w:rPr>
                <w:rFonts w:cs="Calibri Light"/>
                <w:szCs w:val="18"/>
              </w:rPr>
            </w:pPr>
            <w:r w:rsidRPr="0002544C">
              <w:rPr>
                <w:rFonts w:cs="Calibri Light"/>
                <w:szCs w:val="18"/>
              </w:rPr>
              <w:t>1%</w:t>
            </w:r>
          </w:p>
        </w:tc>
        <w:tc>
          <w:tcPr>
            <w:tcW w:w="926" w:type="dxa"/>
            <w:tcBorders>
              <w:right w:val="single" w:sz="4" w:space="0" w:color="auto"/>
            </w:tcBorders>
            <w:vAlign w:val="center"/>
          </w:tcPr>
          <w:p w14:paraId="44839FC3" w14:textId="1446CB57"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603" w:type="dxa"/>
            <w:tcBorders>
              <w:left w:val="single" w:sz="4" w:space="0" w:color="auto"/>
            </w:tcBorders>
            <w:vAlign w:val="center"/>
          </w:tcPr>
          <w:p w14:paraId="0894D455" w14:textId="7AF390FC" w:rsidR="0002544C" w:rsidRPr="0002544C" w:rsidRDefault="0002544C" w:rsidP="00637889">
            <w:pPr>
              <w:pStyle w:val="TableTextRight"/>
              <w:spacing w:before="30" w:after="30"/>
              <w:rPr>
                <w:rFonts w:cs="Calibri Light"/>
                <w:b/>
                <w:bCs/>
                <w:szCs w:val="18"/>
              </w:rPr>
            </w:pPr>
            <w:r w:rsidRPr="0002544C">
              <w:rPr>
                <w:rFonts w:cs="Calibri Light"/>
                <w:b/>
                <w:bCs/>
                <w:szCs w:val="18"/>
              </w:rPr>
              <w:t>1%</w:t>
            </w:r>
          </w:p>
        </w:tc>
      </w:tr>
      <w:tr w:rsidR="00664208" w:rsidRPr="00883271" w14:paraId="5FEE34D3" w14:textId="77777777" w:rsidTr="0002544C">
        <w:trPr>
          <w:cnfStyle w:val="000000100000" w:firstRow="0" w:lastRow="0" w:firstColumn="0" w:lastColumn="0" w:oddVBand="0" w:evenVBand="0" w:oddHBand="1" w:evenHBand="0" w:firstRowFirstColumn="0" w:firstRowLastColumn="0" w:lastRowFirstColumn="0" w:lastRowLastColumn="0"/>
          <w:trHeight w:val="113"/>
          <w:jc w:val="center"/>
        </w:trPr>
        <w:tc>
          <w:tcPr>
            <w:tcW w:w="1975" w:type="dxa"/>
            <w:tcBorders>
              <w:top w:val="single" w:sz="4" w:space="0" w:color="auto"/>
              <w:bottom w:val="single" w:sz="4" w:space="0" w:color="auto"/>
            </w:tcBorders>
            <w:shd w:val="clear" w:color="auto" w:fill="EEEEEE" w:themeFill="background2"/>
            <w:vAlign w:val="center"/>
          </w:tcPr>
          <w:p w14:paraId="06505677" w14:textId="6D0DFF37" w:rsidR="0002544C" w:rsidRPr="0002544C" w:rsidRDefault="0002544C" w:rsidP="00637889">
            <w:pPr>
              <w:pStyle w:val="TableTextLeft"/>
              <w:spacing w:before="30" w:after="30"/>
              <w:rPr>
                <w:rFonts w:cs="Calibri Light"/>
                <w:b/>
                <w:bCs/>
                <w:szCs w:val="18"/>
              </w:rPr>
            </w:pPr>
            <w:r w:rsidRPr="0002544C">
              <w:rPr>
                <w:rFonts w:cs="Calibri Light"/>
                <w:b/>
                <w:bCs/>
                <w:szCs w:val="18"/>
              </w:rPr>
              <w:t>Total responses (n)</w:t>
            </w:r>
          </w:p>
        </w:tc>
        <w:tc>
          <w:tcPr>
            <w:tcW w:w="987" w:type="dxa"/>
            <w:tcBorders>
              <w:top w:val="single" w:sz="4" w:space="0" w:color="auto"/>
              <w:bottom w:val="single" w:sz="4" w:space="0" w:color="auto"/>
            </w:tcBorders>
            <w:shd w:val="clear" w:color="auto" w:fill="EEEEEE" w:themeFill="background2"/>
            <w:vAlign w:val="center"/>
          </w:tcPr>
          <w:p w14:paraId="5311B459" w14:textId="4D04E1EE" w:rsidR="0002544C" w:rsidRPr="0002544C" w:rsidRDefault="0002544C" w:rsidP="00637889">
            <w:pPr>
              <w:pStyle w:val="TableTextRight"/>
              <w:spacing w:before="30" w:after="30"/>
              <w:rPr>
                <w:rFonts w:cs="Calibri Light"/>
                <w:b/>
                <w:bCs/>
                <w:szCs w:val="18"/>
              </w:rPr>
            </w:pPr>
            <w:r w:rsidRPr="0002544C">
              <w:rPr>
                <w:rFonts w:cs="Calibri Light"/>
                <w:b/>
                <w:bCs/>
                <w:szCs w:val="18"/>
              </w:rPr>
              <w:t>165</w:t>
            </w:r>
          </w:p>
        </w:tc>
        <w:tc>
          <w:tcPr>
            <w:tcW w:w="706" w:type="dxa"/>
            <w:tcBorders>
              <w:top w:val="single" w:sz="4" w:space="0" w:color="auto"/>
              <w:bottom w:val="single" w:sz="4" w:space="0" w:color="auto"/>
              <w:right w:val="single" w:sz="4" w:space="0" w:color="auto"/>
            </w:tcBorders>
            <w:shd w:val="clear" w:color="auto" w:fill="EEEEEE" w:themeFill="background2"/>
            <w:vAlign w:val="center"/>
          </w:tcPr>
          <w:p w14:paraId="69409F1C" w14:textId="4F5C5887" w:rsidR="0002544C" w:rsidRPr="0002544C" w:rsidRDefault="0002544C" w:rsidP="00637889">
            <w:pPr>
              <w:pStyle w:val="TableTextRight"/>
              <w:spacing w:before="30" w:after="30"/>
              <w:rPr>
                <w:rFonts w:cs="Calibri Light"/>
                <w:b/>
                <w:bCs/>
                <w:szCs w:val="18"/>
              </w:rPr>
            </w:pPr>
            <w:r w:rsidRPr="0002544C">
              <w:rPr>
                <w:rFonts w:cs="Calibri Light"/>
                <w:b/>
                <w:bCs/>
                <w:szCs w:val="18"/>
              </w:rPr>
              <w:t>114</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6F24DAC6" w14:textId="24BD108E" w:rsidR="0002544C" w:rsidRPr="0002544C" w:rsidRDefault="0002544C" w:rsidP="00637889">
            <w:pPr>
              <w:pStyle w:val="TableTextRight"/>
              <w:spacing w:before="30" w:after="30"/>
              <w:rPr>
                <w:rFonts w:cs="Calibri Light"/>
                <w:b/>
                <w:bCs/>
                <w:szCs w:val="18"/>
              </w:rPr>
            </w:pPr>
            <w:r w:rsidRPr="0002544C">
              <w:rPr>
                <w:rFonts w:cs="Calibri Light"/>
                <w:b/>
                <w:bCs/>
                <w:szCs w:val="18"/>
              </w:rPr>
              <w:t>212</w:t>
            </w:r>
          </w:p>
        </w:tc>
        <w:tc>
          <w:tcPr>
            <w:tcW w:w="987" w:type="dxa"/>
            <w:tcBorders>
              <w:top w:val="single" w:sz="4" w:space="0" w:color="auto"/>
              <w:bottom w:val="single" w:sz="4" w:space="0" w:color="auto"/>
            </w:tcBorders>
            <w:shd w:val="clear" w:color="auto" w:fill="EEEEEE" w:themeFill="background2"/>
            <w:vAlign w:val="center"/>
          </w:tcPr>
          <w:p w14:paraId="73E9C374" w14:textId="0430E571" w:rsidR="0002544C" w:rsidRPr="0002544C" w:rsidRDefault="0002544C" w:rsidP="00637889">
            <w:pPr>
              <w:pStyle w:val="TableTextRight"/>
              <w:spacing w:before="30" w:after="30"/>
              <w:rPr>
                <w:rFonts w:cs="Calibri Light"/>
                <w:b/>
                <w:bCs/>
                <w:szCs w:val="18"/>
              </w:rPr>
            </w:pPr>
            <w:r w:rsidRPr="0002544C">
              <w:rPr>
                <w:rFonts w:cs="Calibri Light"/>
                <w:b/>
                <w:bCs/>
                <w:szCs w:val="18"/>
              </w:rPr>
              <w:t>38</w:t>
            </w:r>
          </w:p>
        </w:tc>
        <w:tc>
          <w:tcPr>
            <w:tcW w:w="1410" w:type="dxa"/>
            <w:tcBorders>
              <w:top w:val="single" w:sz="4" w:space="0" w:color="auto"/>
              <w:bottom w:val="single" w:sz="4" w:space="0" w:color="auto"/>
              <w:right w:val="single" w:sz="4" w:space="0" w:color="auto"/>
            </w:tcBorders>
            <w:shd w:val="clear" w:color="auto" w:fill="EEEEEE" w:themeFill="background2"/>
            <w:vAlign w:val="center"/>
          </w:tcPr>
          <w:p w14:paraId="69FC3E23" w14:textId="62DEC8F6" w:rsidR="0002544C" w:rsidRPr="0002544C" w:rsidRDefault="0002544C" w:rsidP="00637889">
            <w:pPr>
              <w:pStyle w:val="TableTextRight"/>
              <w:spacing w:before="30" w:after="30"/>
              <w:rPr>
                <w:rFonts w:cs="Calibri Light"/>
                <w:b/>
                <w:bCs/>
                <w:szCs w:val="18"/>
              </w:rPr>
            </w:pPr>
            <w:r w:rsidRPr="0002544C">
              <w:rPr>
                <w:rFonts w:cs="Calibri Light"/>
                <w:b/>
                <w:bCs/>
                <w:szCs w:val="18"/>
              </w:rPr>
              <w:t>46</w:t>
            </w:r>
          </w:p>
        </w:tc>
        <w:tc>
          <w:tcPr>
            <w:tcW w:w="1072" w:type="dxa"/>
            <w:tcBorders>
              <w:top w:val="single" w:sz="4" w:space="0" w:color="auto"/>
              <w:left w:val="single" w:sz="4" w:space="0" w:color="auto"/>
              <w:bottom w:val="single" w:sz="4" w:space="0" w:color="auto"/>
            </w:tcBorders>
            <w:shd w:val="clear" w:color="auto" w:fill="EEEEEE" w:themeFill="background2"/>
            <w:vAlign w:val="center"/>
          </w:tcPr>
          <w:p w14:paraId="0CE8AE71" w14:textId="17D065F4" w:rsidR="0002544C" w:rsidRPr="0002544C" w:rsidRDefault="0002544C" w:rsidP="00637889">
            <w:pPr>
              <w:pStyle w:val="TableTextRight"/>
              <w:spacing w:before="30" w:after="30"/>
              <w:rPr>
                <w:rFonts w:cs="Calibri Light"/>
                <w:b/>
                <w:bCs/>
                <w:szCs w:val="18"/>
              </w:rPr>
            </w:pPr>
            <w:r w:rsidRPr="0002544C">
              <w:rPr>
                <w:rFonts w:cs="Calibri Light"/>
                <w:b/>
                <w:bCs/>
                <w:szCs w:val="18"/>
              </w:rPr>
              <w:t>42</w:t>
            </w:r>
          </w:p>
        </w:tc>
        <w:tc>
          <w:tcPr>
            <w:tcW w:w="1072" w:type="dxa"/>
            <w:tcBorders>
              <w:top w:val="single" w:sz="4" w:space="0" w:color="auto"/>
              <w:bottom w:val="single" w:sz="4" w:space="0" w:color="auto"/>
            </w:tcBorders>
            <w:shd w:val="clear" w:color="auto" w:fill="EEEEEE" w:themeFill="background2"/>
            <w:vAlign w:val="center"/>
          </w:tcPr>
          <w:p w14:paraId="5578E3D7" w14:textId="30E3FA4A" w:rsidR="0002544C" w:rsidRPr="0002544C" w:rsidRDefault="0002544C" w:rsidP="00637889">
            <w:pPr>
              <w:pStyle w:val="TableTextRight"/>
              <w:spacing w:before="30" w:after="30"/>
              <w:rPr>
                <w:rFonts w:cs="Calibri Light"/>
                <w:b/>
                <w:bCs/>
                <w:szCs w:val="18"/>
              </w:rPr>
            </w:pPr>
            <w:r w:rsidRPr="0002544C">
              <w:rPr>
                <w:rFonts w:cs="Calibri Light"/>
                <w:b/>
                <w:bCs/>
                <w:szCs w:val="18"/>
              </w:rPr>
              <w:t>92</w:t>
            </w:r>
          </w:p>
        </w:tc>
        <w:tc>
          <w:tcPr>
            <w:tcW w:w="1072" w:type="dxa"/>
            <w:tcBorders>
              <w:top w:val="single" w:sz="4" w:space="0" w:color="auto"/>
              <w:bottom w:val="single" w:sz="4" w:space="0" w:color="auto"/>
            </w:tcBorders>
            <w:shd w:val="clear" w:color="auto" w:fill="EEEEEE" w:themeFill="background2"/>
            <w:vAlign w:val="center"/>
          </w:tcPr>
          <w:p w14:paraId="19C99130" w14:textId="3505A8A6" w:rsidR="0002544C" w:rsidRPr="0002544C" w:rsidRDefault="0002544C" w:rsidP="00637889">
            <w:pPr>
              <w:pStyle w:val="TableTextRight"/>
              <w:spacing w:before="30" w:after="30"/>
              <w:rPr>
                <w:rFonts w:cs="Calibri Light"/>
                <w:b/>
                <w:bCs/>
                <w:szCs w:val="18"/>
              </w:rPr>
            </w:pPr>
            <w:r w:rsidRPr="0002544C">
              <w:rPr>
                <w:rFonts w:cs="Calibri Light"/>
                <w:b/>
                <w:bCs/>
                <w:szCs w:val="18"/>
              </w:rPr>
              <w:t>130</w:t>
            </w:r>
          </w:p>
        </w:tc>
        <w:tc>
          <w:tcPr>
            <w:tcW w:w="1072" w:type="dxa"/>
            <w:tcBorders>
              <w:top w:val="single" w:sz="4" w:space="0" w:color="auto"/>
              <w:bottom w:val="single" w:sz="4" w:space="0" w:color="auto"/>
              <w:right w:val="single" w:sz="4" w:space="0" w:color="auto"/>
            </w:tcBorders>
            <w:shd w:val="clear" w:color="auto" w:fill="EEEEEE" w:themeFill="background2"/>
            <w:vAlign w:val="center"/>
          </w:tcPr>
          <w:p w14:paraId="64D3AF5C" w14:textId="3523B1E3" w:rsidR="0002544C" w:rsidRPr="0002544C" w:rsidRDefault="0002544C" w:rsidP="00637889">
            <w:pPr>
              <w:pStyle w:val="TableTextRight"/>
              <w:spacing w:before="30" w:after="30"/>
              <w:rPr>
                <w:rFonts w:cs="Calibri Light"/>
                <w:b/>
                <w:bCs/>
                <w:szCs w:val="18"/>
              </w:rPr>
            </w:pPr>
            <w:r w:rsidRPr="0002544C">
              <w:rPr>
                <w:rFonts w:cs="Calibri Light"/>
                <w:b/>
                <w:bCs/>
                <w:szCs w:val="18"/>
              </w:rPr>
              <w:t>36</w:t>
            </w:r>
          </w:p>
        </w:tc>
        <w:tc>
          <w:tcPr>
            <w:tcW w:w="709" w:type="dxa"/>
            <w:tcBorders>
              <w:top w:val="single" w:sz="4" w:space="0" w:color="auto"/>
              <w:left w:val="single" w:sz="4" w:space="0" w:color="auto"/>
              <w:bottom w:val="single" w:sz="4" w:space="0" w:color="auto"/>
            </w:tcBorders>
            <w:shd w:val="clear" w:color="auto" w:fill="EEEEEE" w:themeFill="background2"/>
            <w:vAlign w:val="center"/>
          </w:tcPr>
          <w:p w14:paraId="27FB3CDB" w14:textId="356C132E" w:rsidR="0002544C" w:rsidRPr="0002544C" w:rsidRDefault="0002544C" w:rsidP="00637889">
            <w:pPr>
              <w:pStyle w:val="TableTextRight"/>
              <w:spacing w:before="30" w:after="30"/>
              <w:rPr>
                <w:rFonts w:cs="Calibri Light"/>
                <w:b/>
                <w:bCs/>
                <w:szCs w:val="18"/>
              </w:rPr>
            </w:pPr>
            <w:r w:rsidRPr="0002544C">
              <w:rPr>
                <w:rFonts w:cs="Calibri Light"/>
                <w:b/>
                <w:bCs/>
                <w:szCs w:val="18"/>
              </w:rPr>
              <w:t>166</w:t>
            </w:r>
          </w:p>
        </w:tc>
        <w:tc>
          <w:tcPr>
            <w:tcW w:w="926" w:type="dxa"/>
            <w:tcBorders>
              <w:top w:val="single" w:sz="4" w:space="0" w:color="auto"/>
              <w:bottom w:val="single" w:sz="4" w:space="0" w:color="auto"/>
              <w:right w:val="single" w:sz="4" w:space="0" w:color="auto"/>
            </w:tcBorders>
            <w:shd w:val="clear" w:color="auto" w:fill="EEEEEE" w:themeFill="background2"/>
            <w:vAlign w:val="center"/>
          </w:tcPr>
          <w:p w14:paraId="6C5A6EA1" w14:textId="0E288AA7" w:rsidR="0002544C" w:rsidRPr="0002544C" w:rsidRDefault="0002544C" w:rsidP="00637889">
            <w:pPr>
              <w:pStyle w:val="TableTextRight"/>
              <w:spacing w:before="30" w:after="30"/>
              <w:rPr>
                <w:rFonts w:cs="Calibri Light"/>
                <w:b/>
                <w:bCs/>
                <w:szCs w:val="18"/>
              </w:rPr>
            </w:pPr>
            <w:r w:rsidRPr="0002544C">
              <w:rPr>
                <w:rFonts w:cs="Calibri Light"/>
                <w:b/>
                <w:bCs/>
                <w:szCs w:val="18"/>
              </w:rPr>
              <w:t>122</w:t>
            </w:r>
          </w:p>
        </w:tc>
        <w:tc>
          <w:tcPr>
            <w:tcW w:w="603" w:type="dxa"/>
            <w:tcBorders>
              <w:top w:val="single" w:sz="4" w:space="0" w:color="auto"/>
              <w:left w:val="single" w:sz="4" w:space="0" w:color="auto"/>
              <w:bottom w:val="single" w:sz="4" w:space="0" w:color="auto"/>
            </w:tcBorders>
            <w:shd w:val="clear" w:color="auto" w:fill="EEEEEE" w:themeFill="background2"/>
            <w:vAlign w:val="center"/>
          </w:tcPr>
          <w:p w14:paraId="645304DB" w14:textId="445BF253" w:rsidR="0002544C" w:rsidRPr="0002544C" w:rsidRDefault="0002544C" w:rsidP="00637889">
            <w:pPr>
              <w:pStyle w:val="TableTextRight"/>
              <w:spacing w:before="30" w:after="30"/>
              <w:rPr>
                <w:rFonts w:cs="Calibri Light"/>
                <w:b/>
                <w:bCs/>
                <w:szCs w:val="18"/>
              </w:rPr>
            </w:pPr>
            <w:r w:rsidRPr="0002544C">
              <w:rPr>
                <w:rFonts w:cs="Calibri Light"/>
                <w:b/>
                <w:bCs/>
                <w:szCs w:val="18"/>
              </w:rPr>
              <w:t>302</w:t>
            </w:r>
          </w:p>
        </w:tc>
      </w:tr>
    </w:tbl>
    <w:p w14:paraId="5F6E1B5F" w14:textId="77777777" w:rsidR="00637889" w:rsidRPr="00637889" w:rsidRDefault="00637889" w:rsidP="00637889">
      <w:r w:rsidRPr="00637889">
        <w:br w:type="page"/>
      </w:r>
    </w:p>
    <w:p w14:paraId="7B1CF652" w14:textId="495866D7" w:rsidR="0002544C" w:rsidRDefault="0002544C" w:rsidP="00110D67">
      <w:pPr>
        <w:pStyle w:val="TableMainHeading"/>
      </w:pPr>
      <w:r w:rsidRPr="00883271">
        <w:lastRenderedPageBreak/>
        <w:t>Location (What postcode is your business located in?)</w:t>
      </w:r>
    </w:p>
    <w:p w14:paraId="4CB8EBDF" w14:textId="0CF8EB85" w:rsidR="0002544C" w:rsidRPr="0002544C" w:rsidRDefault="0002544C" w:rsidP="0002544C">
      <w:pPr>
        <w:pStyle w:val="TableSecondHeading"/>
      </w:pPr>
      <w:r>
        <w:t>Metro or Regional</w:t>
      </w:r>
    </w:p>
    <w:tbl>
      <w:tblPr>
        <w:tblStyle w:val="TableGrid"/>
        <w:tblW w:w="5000" w:type="pct"/>
        <w:jc w:val="center"/>
        <w:tblLayout w:type="fixed"/>
        <w:tblCellMar>
          <w:left w:w="113" w:type="dxa"/>
          <w:right w:w="113" w:type="dxa"/>
        </w:tblCellMar>
        <w:tblLook w:val="04A0" w:firstRow="1" w:lastRow="0" w:firstColumn="1" w:lastColumn="0" w:noHBand="0" w:noVBand="1"/>
      </w:tblPr>
      <w:tblGrid>
        <w:gridCol w:w="2037"/>
        <w:gridCol w:w="1018"/>
        <w:gridCol w:w="728"/>
        <w:gridCol w:w="1018"/>
        <w:gridCol w:w="1018"/>
        <w:gridCol w:w="1454"/>
        <w:gridCol w:w="1018"/>
        <w:gridCol w:w="1134"/>
        <w:gridCol w:w="1134"/>
        <w:gridCol w:w="1135"/>
        <w:gridCol w:w="731"/>
        <w:gridCol w:w="955"/>
        <w:gridCol w:w="622"/>
      </w:tblGrid>
      <w:tr w:rsidR="0002544C" w:rsidRPr="00883271" w14:paraId="50B8F364" w14:textId="77777777" w:rsidTr="0002544C">
        <w:trPr>
          <w:cnfStyle w:val="100000000000" w:firstRow="1" w:lastRow="0" w:firstColumn="0" w:lastColumn="0" w:oddVBand="0" w:evenVBand="0" w:oddHBand="0" w:evenHBand="0" w:firstRowFirstColumn="0" w:firstRowLastColumn="0" w:lastRowFirstColumn="0" w:lastRowLastColumn="0"/>
          <w:jc w:val="center"/>
        </w:trPr>
        <w:tc>
          <w:tcPr>
            <w:tcW w:w="1975" w:type="dxa"/>
            <w:tcBorders>
              <w:top w:val="single" w:sz="4" w:space="0" w:color="auto"/>
              <w:bottom w:val="single" w:sz="4" w:space="0" w:color="auto"/>
            </w:tcBorders>
          </w:tcPr>
          <w:p w14:paraId="1B1343D7" w14:textId="77777777" w:rsidR="0002544C" w:rsidRPr="00D91013" w:rsidRDefault="0002544C" w:rsidP="00637889">
            <w:pPr>
              <w:pStyle w:val="TableColumnHeadingRight"/>
              <w:spacing w:before="30" w:after="30"/>
              <w:rPr>
                <w:sz w:val="18"/>
                <w:szCs w:val="18"/>
              </w:rPr>
            </w:pPr>
          </w:p>
        </w:tc>
        <w:tc>
          <w:tcPr>
            <w:tcW w:w="1693" w:type="dxa"/>
            <w:gridSpan w:val="2"/>
            <w:tcBorders>
              <w:top w:val="single" w:sz="4" w:space="0" w:color="auto"/>
              <w:bottom w:val="single" w:sz="4" w:space="0" w:color="auto"/>
              <w:right w:val="single" w:sz="4" w:space="0" w:color="auto"/>
            </w:tcBorders>
            <w:vAlign w:val="center"/>
          </w:tcPr>
          <w:p w14:paraId="4D1E456E" w14:textId="77777777" w:rsidR="0002544C" w:rsidRPr="00D91013" w:rsidRDefault="0002544C" w:rsidP="00637889">
            <w:pPr>
              <w:pStyle w:val="TableColumnHeadingCentred"/>
              <w:spacing w:before="30" w:after="30"/>
              <w:rPr>
                <w:b w:val="0"/>
                <w:sz w:val="18"/>
                <w:szCs w:val="18"/>
              </w:rPr>
            </w:pPr>
            <w:r w:rsidRPr="00D91013">
              <w:rPr>
                <w:sz w:val="18"/>
                <w:szCs w:val="18"/>
              </w:rPr>
              <w:t>Vehicles repaired per month</w:t>
            </w:r>
          </w:p>
        </w:tc>
        <w:tc>
          <w:tcPr>
            <w:tcW w:w="3384" w:type="dxa"/>
            <w:gridSpan w:val="3"/>
            <w:tcBorders>
              <w:top w:val="single" w:sz="4" w:space="0" w:color="auto"/>
              <w:left w:val="single" w:sz="4" w:space="0" w:color="auto"/>
              <w:bottom w:val="single" w:sz="4" w:space="0" w:color="auto"/>
              <w:right w:val="single" w:sz="4" w:space="0" w:color="auto"/>
            </w:tcBorders>
            <w:vAlign w:val="center"/>
          </w:tcPr>
          <w:p w14:paraId="1D5A5AE4" w14:textId="77777777" w:rsidR="0002544C" w:rsidRPr="00D91013" w:rsidRDefault="0002544C" w:rsidP="00637889">
            <w:pPr>
              <w:pStyle w:val="TableColumnHeadingCentred"/>
              <w:spacing w:before="30" w:after="30"/>
              <w:rPr>
                <w:b w:val="0"/>
                <w:sz w:val="18"/>
                <w:szCs w:val="18"/>
              </w:rPr>
            </w:pPr>
            <w:r w:rsidRPr="00D91013">
              <w:rPr>
                <w:sz w:val="18"/>
                <w:szCs w:val="18"/>
              </w:rPr>
              <w:t>Type of Repairer</w:t>
            </w:r>
          </w:p>
        </w:tc>
        <w:tc>
          <w:tcPr>
            <w:tcW w:w="4288" w:type="dxa"/>
            <w:gridSpan w:val="4"/>
            <w:tcBorders>
              <w:top w:val="single" w:sz="4" w:space="0" w:color="auto"/>
              <w:left w:val="single" w:sz="4" w:space="0" w:color="auto"/>
              <w:bottom w:val="single" w:sz="4" w:space="0" w:color="auto"/>
              <w:right w:val="single" w:sz="4" w:space="0" w:color="auto"/>
            </w:tcBorders>
            <w:vAlign w:val="center"/>
          </w:tcPr>
          <w:p w14:paraId="2E5D8CB5" w14:textId="77777777" w:rsidR="0002544C" w:rsidRPr="00D91013" w:rsidRDefault="0002544C" w:rsidP="00637889">
            <w:pPr>
              <w:pStyle w:val="TableColumnHeadingCentred"/>
              <w:spacing w:before="30" w:after="30"/>
              <w:rPr>
                <w:b w:val="0"/>
                <w:sz w:val="18"/>
                <w:szCs w:val="18"/>
              </w:rPr>
            </w:pPr>
            <w:r w:rsidRPr="00D91013">
              <w:rPr>
                <w:sz w:val="18"/>
                <w:szCs w:val="18"/>
              </w:rPr>
              <w:t>Business size</w:t>
            </w:r>
          </w:p>
        </w:tc>
        <w:tc>
          <w:tcPr>
            <w:tcW w:w="1635" w:type="dxa"/>
            <w:gridSpan w:val="2"/>
            <w:tcBorders>
              <w:top w:val="single" w:sz="4" w:space="0" w:color="auto"/>
              <w:left w:val="single" w:sz="4" w:space="0" w:color="auto"/>
              <w:bottom w:val="single" w:sz="4" w:space="0" w:color="auto"/>
              <w:right w:val="single" w:sz="4" w:space="0" w:color="auto"/>
            </w:tcBorders>
            <w:vAlign w:val="center"/>
          </w:tcPr>
          <w:p w14:paraId="55EBD837" w14:textId="77777777" w:rsidR="0002544C" w:rsidRPr="00D91013" w:rsidRDefault="0002544C" w:rsidP="00637889">
            <w:pPr>
              <w:pStyle w:val="TableColumnHeadingCentred"/>
              <w:spacing w:before="30" w:after="30"/>
              <w:rPr>
                <w:b w:val="0"/>
                <w:sz w:val="18"/>
                <w:szCs w:val="18"/>
              </w:rPr>
            </w:pPr>
            <w:r w:rsidRPr="00D91013">
              <w:rPr>
                <w:sz w:val="18"/>
                <w:szCs w:val="18"/>
              </w:rPr>
              <w:t>Location</w:t>
            </w:r>
          </w:p>
        </w:tc>
        <w:tc>
          <w:tcPr>
            <w:tcW w:w="603" w:type="dxa"/>
            <w:vMerge w:val="restart"/>
            <w:tcBorders>
              <w:top w:val="single" w:sz="4" w:space="0" w:color="auto"/>
              <w:left w:val="single" w:sz="4" w:space="0" w:color="auto"/>
            </w:tcBorders>
            <w:vAlign w:val="center"/>
          </w:tcPr>
          <w:p w14:paraId="53D2955D" w14:textId="77777777" w:rsidR="0002544C" w:rsidRPr="00D91013" w:rsidRDefault="0002544C" w:rsidP="00637889">
            <w:pPr>
              <w:pStyle w:val="TableColumnHeadingRight"/>
              <w:spacing w:before="30" w:after="30"/>
              <w:rPr>
                <w:b w:val="0"/>
                <w:bCs/>
                <w:sz w:val="18"/>
                <w:szCs w:val="18"/>
              </w:rPr>
            </w:pPr>
            <w:r w:rsidRPr="00D91013">
              <w:rPr>
                <w:bCs/>
                <w:sz w:val="18"/>
                <w:szCs w:val="18"/>
              </w:rPr>
              <w:t>Total</w:t>
            </w:r>
          </w:p>
        </w:tc>
      </w:tr>
      <w:tr w:rsidR="00664208" w:rsidRPr="00883271" w14:paraId="4E346BAA" w14:textId="77777777" w:rsidTr="0002544C">
        <w:trPr>
          <w:cnfStyle w:val="000000100000" w:firstRow="0" w:lastRow="0" w:firstColumn="0" w:lastColumn="0" w:oddVBand="0" w:evenVBand="0" w:oddHBand="1" w:evenHBand="0" w:firstRowFirstColumn="0" w:firstRowLastColumn="0" w:lastRowFirstColumn="0" w:lastRowLastColumn="0"/>
          <w:trHeight w:val="501"/>
          <w:jc w:val="center"/>
        </w:trPr>
        <w:tc>
          <w:tcPr>
            <w:tcW w:w="1975" w:type="dxa"/>
            <w:tcBorders>
              <w:top w:val="single" w:sz="4" w:space="0" w:color="auto"/>
              <w:bottom w:val="single" w:sz="4" w:space="0" w:color="auto"/>
            </w:tcBorders>
            <w:shd w:val="clear" w:color="auto" w:fill="EEEEEE" w:themeFill="background2"/>
          </w:tcPr>
          <w:p w14:paraId="625E1EAA" w14:textId="77777777" w:rsidR="0002544C" w:rsidRPr="00D91013" w:rsidRDefault="0002544C" w:rsidP="00637889">
            <w:pPr>
              <w:pStyle w:val="TableColumnHeadingRight"/>
              <w:spacing w:before="30" w:after="30"/>
              <w:rPr>
                <w:sz w:val="18"/>
                <w:szCs w:val="18"/>
              </w:rPr>
            </w:pPr>
          </w:p>
        </w:tc>
        <w:tc>
          <w:tcPr>
            <w:tcW w:w="987" w:type="dxa"/>
            <w:tcBorders>
              <w:top w:val="single" w:sz="4" w:space="0" w:color="auto"/>
              <w:bottom w:val="single" w:sz="4" w:space="0" w:color="auto"/>
            </w:tcBorders>
            <w:shd w:val="clear" w:color="auto" w:fill="EEEEEE" w:themeFill="background2"/>
            <w:vAlign w:val="center"/>
          </w:tcPr>
          <w:p w14:paraId="4FCB49B5" w14:textId="77777777" w:rsidR="0002544C" w:rsidRPr="00D91013" w:rsidRDefault="0002544C" w:rsidP="00637889">
            <w:pPr>
              <w:pStyle w:val="TableColumnHeadingRight"/>
              <w:spacing w:before="30" w:after="30"/>
              <w:rPr>
                <w:sz w:val="18"/>
                <w:szCs w:val="18"/>
              </w:rPr>
            </w:pPr>
            <w:r w:rsidRPr="00D91013">
              <w:rPr>
                <w:bCs/>
                <w:sz w:val="18"/>
                <w:szCs w:val="18"/>
              </w:rPr>
              <w:t>Less than 100</w:t>
            </w:r>
          </w:p>
        </w:tc>
        <w:tc>
          <w:tcPr>
            <w:tcW w:w="706" w:type="dxa"/>
            <w:tcBorders>
              <w:top w:val="single" w:sz="4" w:space="0" w:color="auto"/>
              <w:bottom w:val="single" w:sz="4" w:space="0" w:color="auto"/>
              <w:right w:val="single" w:sz="4" w:space="0" w:color="auto"/>
            </w:tcBorders>
            <w:shd w:val="clear" w:color="auto" w:fill="EEEEEE" w:themeFill="background2"/>
            <w:vAlign w:val="center"/>
          </w:tcPr>
          <w:p w14:paraId="44D77873" w14:textId="77777777" w:rsidR="0002544C" w:rsidRPr="00D91013" w:rsidRDefault="0002544C" w:rsidP="00637889">
            <w:pPr>
              <w:pStyle w:val="TableColumnHeadingRight"/>
              <w:spacing w:before="30" w:after="30"/>
              <w:rPr>
                <w:sz w:val="18"/>
                <w:szCs w:val="18"/>
              </w:rPr>
            </w:pPr>
            <w:r w:rsidRPr="00D91013">
              <w:rPr>
                <w:bCs/>
                <w:sz w:val="18"/>
                <w:szCs w:val="18"/>
              </w:rPr>
              <w:t>100 or more</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1934A97F" w14:textId="77777777" w:rsidR="0002544C" w:rsidRPr="00D91013" w:rsidRDefault="0002544C" w:rsidP="00637889">
            <w:pPr>
              <w:pStyle w:val="TableColumnHeadingRight"/>
              <w:spacing w:before="30" w:after="30"/>
              <w:rPr>
                <w:sz w:val="18"/>
                <w:szCs w:val="18"/>
              </w:rPr>
            </w:pPr>
            <w:r w:rsidRPr="00D91013">
              <w:rPr>
                <w:bCs/>
                <w:sz w:val="18"/>
                <w:szCs w:val="18"/>
              </w:rPr>
              <w:t>Generalist</w:t>
            </w:r>
          </w:p>
        </w:tc>
        <w:tc>
          <w:tcPr>
            <w:tcW w:w="987" w:type="dxa"/>
            <w:tcBorders>
              <w:top w:val="single" w:sz="4" w:space="0" w:color="auto"/>
              <w:bottom w:val="single" w:sz="4" w:space="0" w:color="auto"/>
            </w:tcBorders>
            <w:shd w:val="clear" w:color="auto" w:fill="EEEEEE" w:themeFill="background2"/>
            <w:vAlign w:val="center"/>
          </w:tcPr>
          <w:p w14:paraId="14573F30" w14:textId="67A03715" w:rsidR="0002544C" w:rsidRPr="00D91013" w:rsidRDefault="0002544C" w:rsidP="00637889">
            <w:pPr>
              <w:pStyle w:val="TableColumnHeadingRight"/>
              <w:spacing w:before="30" w:after="30"/>
              <w:rPr>
                <w:sz w:val="18"/>
                <w:szCs w:val="18"/>
              </w:rPr>
            </w:pPr>
            <w:r w:rsidRPr="00D91013">
              <w:rPr>
                <w:bCs/>
                <w:sz w:val="18"/>
                <w:szCs w:val="18"/>
              </w:rPr>
              <w:t xml:space="preserve">Specialist </w:t>
            </w:r>
            <w:r w:rsidR="007B3C6A">
              <w:rPr>
                <w:bCs/>
                <w:sz w:val="18"/>
                <w:szCs w:val="18"/>
              </w:rPr>
              <w:noBreakHyphen/>
            </w:r>
            <w:r w:rsidRPr="00D91013">
              <w:rPr>
                <w:bCs/>
                <w:sz w:val="18"/>
                <w:szCs w:val="18"/>
              </w:rPr>
              <w:t xml:space="preserve"> regional</w:t>
            </w:r>
          </w:p>
        </w:tc>
        <w:tc>
          <w:tcPr>
            <w:tcW w:w="1410" w:type="dxa"/>
            <w:tcBorders>
              <w:top w:val="single" w:sz="4" w:space="0" w:color="auto"/>
              <w:bottom w:val="single" w:sz="4" w:space="0" w:color="auto"/>
              <w:right w:val="single" w:sz="4" w:space="0" w:color="auto"/>
            </w:tcBorders>
            <w:shd w:val="clear" w:color="auto" w:fill="EEEEEE" w:themeFill="background2"/>
            <w:vAlign w:val="center"/>
          </w:tcPr>
          <w:p w14:paraId="721FC3F0" w14:textId="01229D42" w:rsidR="0002544C" w:rsidRPr="00D91013" w:rsidRDefault="0002544C" w:rsidP="00637889">
            <w:pPr>
              <w:pStyle w:val="TableColumnHeadingRight"/>
              <w:spacing w:before="30" w:after="30"/>
              <w:rPr>
                <w:sz w:val="18"/>
                <w:szCs w:val="18"/>
              </w:rPr>
            </w:pPr>
            <w:r w:rsidRPr="00D91013">
              <w:rPr>
                <w:bCs/>
                <w:sz w:val="18"/>
                <w:szCs w:val="18"/>
              </w:rPr>
              <w:t xml:space="preserve">Specialist </w:t>
            </w:r>
            <w:r w:rsidR="007B3C6A">
              <w:rPr>
                <w:bCs/>
                <w:sz w:val="18"/>
                <w:szCs w:val="18"/>
              </w:rPr>
              <w:noBreakHyphen/>
            </w:r>
            <w:r w:rsidRPr="00D91013">
              <w:rPr>
                <w:bCs/>
                <w:sz w:val="18"/>
                <w:szCs w:val="18"/>
              </w:rPr>
              <w:t xml:space="preserve"> one / limited makes</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47ACD489" w14:textId="77777777" w:rsidR="0002544C" w:rsidRPr="00D91013" w:rsidRDefault="0002544C" w:rsidP="00637889">
            <w:pPr>
              <w:pStyle w:val="TableColumnHeadingRight"/>
              <w:spacing w:before="30" w:after="30"/>
              <w:rPr>
                <w:sz w:val="18"/>
                <w:szCs w:val="18"/>
              </w:rPr>
            </w:pPr>
            <w:r w:rsidRPr="00D91013">
              <w:rPr>
                <w:bCs/>
                <w:sz w:val="18"/>
                <w:szCs w:val="18"/>
              </w:rPr>
              <w:t>Owner operator</w:t>
            </w:r>
          </w:p>
        </w:tc>
        <w:tc>
          <w:tcPr>
            <w:tcW w:w="1100" w:type="dxa"/>
            <w:tcBorders>
              <w:top w:val="single" w:sz="4" w:space="0" w:color="auto"/>
              <w:bottom w:val="single" w:sz="4" w:space="0" w:color="auto"/>
            </w:tcBorders>
            <w:shd w:val="clear" w:color="auto" w:fill="EEEEEE" w:themeFill="background2"/>
            <w:vAlign w:val="center"/>
          </w:tcPr>
          <w:p w14:paraId="4C625978" w14:textId="77777777" w:rsidR="0002544C" w:rsidRPr="00D91013" w:rsidRDefault="0002544C" w:rsidP="00637889">
            <w:pPr>
              <w:pStyle w:val="TableColumnHeadingRight"/>
              <w:spacing w:before="30" w:after="30"/>
              <w:rPr>
                <w:sz w:val="18"/>
                <w:szCs w:val="18"/>
              </w:rPr>
            </w:pPr>
            <w:r w:rsidRPr="00D91013">
              <w:rPr>
                <w:bCs/>
                <w:sz w:val="18"/>
                <w:szCs w:val="18"/>
              </w:rPr>
              <w:t>1 to 4 employees</w:t>
            </w:r>
          </w:p>
        </w:tc>
        <w:tc>
          <w:tcPr>
            <w:tcW w:w="1100" w:type="dxa"/>
            <w:tcBorders>
              <w:top w:val="single" w:sz="4" w:space="0" w:color="auto"/>
              <w:bottom w:val="single" w:sz="4" w:space="0" w:color="auto"/>
            </w:tcBorders>
            <w:shd w:val="clear" w:color="auto" w:fill="EEEEEE" w:themeFill="background2"/>
            <w:vAlign w:val="center"/>
          </w:tcPr>
          <w:p w14:paraId="740F384B" w14:textId="77777777" w:rsidR="0002544C" w:rsidRPr="00D91013" w:rsidRDefault="0002544C" w:rsidP="00637889">
            <w:pPr>
              <w:pStyle w:val="TableColumnHeadingRight"/>
              <w:spacing w:before="30" w:after="30"/>
              <w:rPr>
                <w:sz w:val="18"/>
                <w:szCs w:val="18"/>
              </w:rPr>
            </w:pPr>
            <w:r w:rsidRPr="00D91013">
              <w:rPr>
                <w:bCs/>
                <w:sz w:val="18"/>
                <w:szCs w:val="18"/>
              </w:rPr>
              <w:t>5 to 19 employees</w:t>
            </w:r>
          </w:p>
        </w:tc>
        <w:tc>
          <w:tcPr>
            <w:tcW w:w="1101" w:type="dxa"/>
            <w:tcBorders>
              <w:top w:val="single" w:sz="4" w:space="0" w:color="auto"/>
              <w:bottom w:val="single" w:sz="4" w:space="0" w:color="auto"/>
              <w:right w:val="single" w:sz="4" w:space="0" w:color="auto"/>
            </w:tcBorders>
            <w:shd w:val="clear" w:color="auto" w:fill="EEEEEE" w:themeFill="background2"/>
            <w:vAlign w:val="center"/>
          </w:tcPr>
          <w:p w14:paraId="06EF7E13" w14:textId="77777777" w:rsidR="0002544C" w:rsidRPr="00D91013" w:rsidRDefault="0002544C" w:rsidP="00637889">
            <w:pPr>
              <w:pStyle w:val="TableColumnHeadingRight"/>
              <w:spacing w:before="30" w:after="30"/>
              <w:rPr>
                <w:sz w:val="18"/>
                <w:szCs w:val="18"/>
              </w:rPr>
            </w:pPr>
            <w:r w:rsidRPr="00D91013">
              <w:rPr>
                <w:bCs/>
                <w:sz w:val="18"/>
                <w:szCs w:val="18"/>
              </w:rPr>
              <w:t>20 or more employees</w:t>
            </w:r>
          </w:p>
        </w:tc>
        <w:tc>
          <w:tcPr>
            <w:tcW w:w="709" w:type="dxa"/>
            <w:tcBorders>
              <w:top w:val="single" w:sz="4" w:space="0" w:color="auto"/>
              <w:left w:val="single" w:sz="4" w:space="0" w:color="auto"/>
              <w:bottom w:val="single" w:sz="4" w:space="0" w:color="auto"/>
            </w:tcBorders>
            <w:shd w:val="clear" w:color="auto" w:fill="EEEEEE" w:themeFill="background2"/>
            <w:vAlign w:val="center"/>
          </w:tcPr>
          <w:p w14:paraId="2CC456E0" w14:textId="77777777" w:rsidR="0002544C" w:rsidRPr="00D91013" w:rsidRDefault="0002544C" w:rsidP="00637889">
            <w:pPr>
              <w:pStyle w:val="TableColumnHeadingRight"/>
              <w:spacing w:before="30" w:after="30"/>
              <w:rPr>
                <w:sz w:val="18"/>
                <w:szCs w:val="18"/>
              </w:rPr>
            </w:pPr>
            <w:r w:rsidRPr="00D91013">
              <w:rPr>
                <w:bCs/>
                <w:sz w:val="18"/>
                <w:szCs w:val="18"/>
              </w:rPr>
              <w:t>Metro</w:t>
            </w:r>
          </w:p>
        </w:tc>
        <w:tc>
          <w:tcPr>
            <w:tcW w:w="926" w:type="dxa"/>
            <w:tcBorders>
              <w:top w:val="single" w:sz="4" w:space="0" w:color="auto"/>
              <w:bottom w:val="single" w:sz="4" w:space="0" w:color="auto"/>
              <w:right w:val="single" w:sz="4" w:space="0" w:color="auto"/>
            </w:tcBorders>
            <w:shd w:val="clear" w:color="auto" w:fill="EEEEEE" w:themeFill="background2"/>
            <w:vAlign w:val="center"/>
          </w:tcPr>
          <w:p w14:paraId="03459D28" w14:textId="77777777" w:rsidR="0002544C" w:rsidRPr="00D91013" w:rsidRDefault="0002544C" w:rsidP="00637889">
            <w:pPr>
              <w:pStyle w:val="TableColumnHeadingRight"/>
              <w:spacing w:before="30" w:after="30"/>
              <w:rPr>
                <w:sz w:val="18"/>
                <w:szCs w:val="18"/>
              </w:rPr>
            </w:pPr>
            <w:r w:rsidRPr="00D91013">
              <w:rPr>
                <w:bCs/>
                <w:sz w:val="18"/>
                <w:szCs w:val="18"/>
              </w:rPr>
              <w:t>Regional</w:t>
            </w:r>
          </w:p>
        </w:tc>
        <w:tc>
          <w:tcPr>
            <w:tcW w:w="603" w:type="dxa"/>
            <w:vMerge/>
            <w:tcBorders>
              <w:left w:val="single" w:sz="4" w:space="0" w:color="auto"/>
              <w:bottom w:val="single" w:sz="4" w:space="0" w:color="auto"/>
            </w:tcBorders>
            <w:shd w:val="clear" w:color="auto" w:fill="EEEEEE" w:themeFill="background2"/>
            <w:vAlign w:val="center"/>
          </w:tcPr>
          <w:p w14:paraId="20AAA97A" w14:textId="77777777" w:rsidR="0002544C" w:rsidRPr="00D91013" w:rsidRDefault="0002544C" w:rsidP="00637889">
            <w:pPr>
              <w:pStyle w:val="TableColumnHeadingRight"/>
              <w:spacing w:before="30" w:after="30"/>
              <w:rPr>
                <w:bCs/>
                <w:sz w:val="18"/>
                <w:szCs w:val="18"/>
              </w:rPr>
            </w:pPr>
          </w:p>
        </w:tc>
      </w:tr>
      <w:tr w:rsidR="0002544C" w:rsidRPr="00883271" w14:paraId="13E26A3C" w14:textId="77777777" w:rsidTr="0002544C">
        <w:trPr>
          <w:cnfStyle w:val="000000010000" w:firstRow="0" w:lastRow="0" w:firstColumn="0" w:lastColumn="0" w:oddVBand="0" w:evenVBand="0" w:oddHBand="0" w:evenHBand="1" w:firstRowFirstColumn="0" w:firstRowLastColumn="0" w:lastRowFirstColumn="0" w:lastRowLastColumn="0"/>
          <w:trHeight w:val="20"/>
          <w:jc w:val="center"/>
        </w:trPr>
        <w:tc>
          <w:tcPr>
            <w:tcW w:w="1975" w:type="dxa"/>
            <w:tcBorders>
              <w:top w:val="single" w:sz="4" w:space="0" w:color="auto"/>
            </w:tcBorders>
            <w:vAlign w:val="center"/>
          </w:tcPr>
          <w:p w14:paraId="4C132808" w14:textId="7EA1EA71" w:rsidR="0002544C" w:rsidRPr="0002544C" w:rsidRDefault="0002544C" w:rsidP="00637889">
            <w:pPr>
              <w:pStyle w:val="TableTextLeft"/>
              <w:spacing w:before="30" w:after="30"/>
              <w:rPr>
                <w:rFonts w:cs="Calibri Light"/>
                <w:b/>
                <w:bCs/>
                <w:szCs w:val="18"/>
              </w:rPr>
            </w:pPr>
            <w:r w:rsidRPr="0002544C">
              <w:rPr>
                <w:rFonts w:cs="Calibri Light"/>
                <w:b/>
                <w:bCs/>
                <w:szCs w:val="18"/>
              </w:rPr>
              <w:t>Metro</w:t>
            </w:r>
          </w:p>
        </w:tc>
        <w:tc>
          <w:tcPr>
            <w:tcW w:w="987" w:type="dxa"/>
            <w:tcBorders>
              <w:top w:val="single" w:sz="4" w:space="0" w:color="auto"/>
            </w:tcBorders>
            <w:vAlign w:val="center"/>
          </w:tcPr>
          <w:p w14:paraId="15F39B7E" w14:textId="24ABF620" w:rsidR="0002544C" w:rsidRPr="0002544C" w:rsidRDefault="0002544C" w:rsidP="00637889">
            <w:pPr>
              <w:pStyle w:val="TableTextRight"/>
              <w:spacing w:before="30" w:after="30"/>
              <w:rPr>
                <w:rFonts w:cs="Calibri Light"/>
                <w:szCs w:val="18"/>
              </w:rPr>
            </w:pPr>
            <w:r w:rsidRPr="0002544C">
              <w:rPr>
                <w:rFonts w:cs="Calibri Light"/>
                <w:szCs w:val="18"/>
              </w:rPr>
              <w:t>54%</w:t>
            </w:r>
          </w:p>
        </w:tc>
        <w:tc>
          <w:tcPr>
            <w:tcW w:w="706" w:type="dxa"/>
            <w:tcBorders>
              <w:top w:val="single" w:sz="4" w:space="0" w:color="auto"/>
              <w:right w:val="single" w:sz="4" w:space="0" w:color="auto"/>
            </w:tcBorders>
            <w:vAlign w:val="center"/>
          </w:tcPr>
          <w:p w14:paraId="3DA0E96B" w14:textId="740DF3E0" w:rsidR="0002544C" w:rsidRPr="0002544C" w:rsidRDefault="0002544C" w:rsidP="00637889">
            <w:pPr>
              <w:pStyle w:val="TableTextRight"/>
              <w:spacing w:before="30" w:after="30"/>
              <w:rPr>
                <w:rFonts w:cs="Calibri Light"/>
                <w:szCs w:val="18"/>
              </w:rPr>
            </w:pPr>
            <w:r w:rsidRPr="0002544C">
              <w:rPr>
                <w:rFonts w:cs="Calibri Light"/>
                <w:szCs w:val="18"/>
              </w:rPr>
              <w:t>60%</w:t>
            </w:r>
          </w:p>
        </w:tc>
        <w:tc>
          <w:tcPr>
            <w:tcW w:w="987" w:type="dxa"/>
            <w:tcBorders>
              <w:top w:val="single" w:sz="4" w:space="0" w:color="auto"/>
              <w:left w:val="single" w:sz="4" w:space="0" w:color="auto"/>
            </w:tcBorders>
            <w:vAlign w:val="center"/>
          </w:tcPr>
          <w:p w14:paraId="612793FF" w14:textId="5651D8CD" w:rsidR="0002544C" w:rsidRPr="0002544C" w:rsidRDefault="0002544C" w:rsidP="00637889">
            <w:pPr>
              <w:pStyle w:val="TableTextRight"/>
              <w:spacing w:before="30" w:after="30"/>
              <w:rPr>
                <w:rFonts w:cs="Calibri Light"/>
                <w:szCs w:val="18"/>
              </w:rPr>
            </w:pPr>
            <w:r w:rsidRPr="0002544C">
              <w:rPr>
                <w:rFonts w:cs="Calibri Light"/>
                <w:szCs w:val="18"/>
              </w:rPr>
              <w:t>56%</w:t>
            </w:r>
          </w:p>
        </w:tc>
        <w:tc>
          <w:tcPr>
            <w:tcW w:w="987" w:type="dxa"/>
            <w:tcBorders>
              <w:top w:val="single" w:sz="4" w:space="0" w:color="auto"/>
            </w:tcBorders>
            <w:vAlign w:val="center"/>
          </w:tcPr>
          <w:p w14:paraId="46658D94" w14:textId="1CF71734" w:rsidR="0002544C" w:rsidRPr="0002544C" w:rsidRDefault="0002544C" w:rsidP="00637889">
            <w:pPr>
              <w:pStyle w:val="TableTextRight"/>
              <w:spacing w:before="30" w:after="30"/>
              <w:rPr>
                <w:rFonts w:cs="Calibri Light"/>
                <w:szCs w:val="18"/>
              </w:rPr>
            </w:pPr>
            <w:r w:rsidRPr="0002544C">
              <w:rPr>
                <w:rFonts w:cs="Calibri Light"/>
                <w:szCs w:val="18"/>
              </w:rPr>
              <w:t>68%</w:t>
            </w:r>
          </w:p>
        </w:tc>
        <w:tc>
          <w:tcPr>
            <w:tcW w:w="1410" w:type="dxa"/>
            <w:tcBorders>
              <w:top w:val="single" w:sz="4" w:space="0" w:color="auto"/>
              <w:right w:val="single" w:sz="4" w:space="0" w:color="auto"/>
            </w:tcBorders>
            <w:vAlign w:val="center"/>
          </w:tcPr>
          <w:p w14:paraId="40F54ED7" w14:textId="4E41DA7D" w:rsidR="0002544C" w:rsidRPr="0002544C" w:rsidRDefault="0002544C" w:rsidP="00637889">
            <w:pPr>
              <w:pStyle w:val="TableTextRight"/>
              <w:spacing w:before="30" w:after="30"/>
              <w:rPr>
                <w:rFonts w:cs="Calibri Light"/>
                <w:szCs w:val="18"/>
              </w:rPr>
            </w:pPr>
            <w:r w:rsidRPr="0002544C">
              <w:rPr>
                <w:rFonts w:cs="Calibri Light"/>
                <w:szCs w:val="18"/>
              </w:rPr>
              <w:t>58%</w:t>
            </w:r>
          </w:p>
        </w:tc>
        <w:tc>
          <w:tcPr>
            <w:tcW w:w="987" w:type="dxa"/>
            <w:tcBorders>
              <w:top w:val="single" w:sz="4" w:space="0" w:color="auto"/>
              <w:left w:val="single" w:sz="4" w:space="0" w:color="auto"/>
            </w:tcBorders>
            <w:vAlign w:val="center"/>
          </w:tcPr>
          <w:p w14:paraId="1DDE7369" w14:textId="4F67DAE1" w:rsidR="0002544C" w:rsidRPr="0002544C" w:rsidRDefault="0002544C" w:rsidP="00637889">
            <w:pPr>
              <w:pStyle w:val="TableTextRight"/>
              <w:spacing w:before="30" w:after="30"/>
              <w:rPr>
                <w:rFonts w:cs="Calibri Light"/>
                <w:szCs w:val="18"/>
              </w:rPr>
            </w:pPr>
            <w:r w:rsidRPr="0002544C">
              <w:rPr>
                <w:rFonts w:cs="Calibri Light"/>
                <w:szCs w:val="18"/>
              </w:rPr>
              <w:t>63%</w:t>
            </w:r>
          </w:p>
        </w:tc>
        <w:tc>
          <w:tcPr>
            <w:tcW w:w="1100" w:type="dxa"/>
            <w:tcBorders>
              <w:top w:val="single" w:sz="4" w:space="0" w:color="auto"/>
            </w:tcBorders>
            <w:vAlign w:val="center"/>
          </w:tcPr>
          <w:p w14:paraId="79FE4CCC" w14:textId="5E44D209" w:rsidR="0002544C" w:rsidRPr="0002544C" w:rsidRDefault="0002544C" w:rsidP="00637889">
            <w:pPr>
              <w:pStyle w:val="TableTextRight"/>
              <w:spacing w:before="30" w:after="30"/>
              <w:rPr>
                <w:rFonts w:cs="Calibri Light"/>
                <w:szCs w:val="18"/>
              </w:rPr>
            </w:pPr>
            <w:r w:rsidRPr="0002544C">
              <w:rPr>
                <w:rFonts w:cs="Calibri Light"/>
                <w:szCs w:val="18"/>
              </w:rPr>
              <w:t>58%</w:t>
            </w:r>
          </w:p>
        </w:tc>
        <w:tc>
          <w:tcPr>
            <w:tcW w:w="1100" w:type="dxa"/>
            <w:tcBorders>
              <w:top w:val="single" w:sz="4" w:space="0" w:color="auto"/>
            </w:tcBorders>
            <w:vAlign w:val="center"/>
          </w:tcPr>
          <w:p w14:paraId="2BD51D28" w14:textId="113A9D7B" w:rsidR="0002544C" w:rsidRPr="0002544C" w:rsidRDefault="0002544C" w:rsidP="00637889">
            <w:pPr>
              <w:pStyle w:val="TableTextRight"/>
              <w:spacing w:before="30" w:after="30"/>
              <w:rPr>
                <w:rFonts w:cs="Calibri Light"/>
                <w:szCs w:val="18"/>
              </w:rPr>
            </w:pPr>
            <w:r w:rsidRPr="0002544C">
              <w:rPr>
                <w:rFonts w:cs="Calibri Light"/>
                <w:szCs w:val="18"/>
              </w:rPr>
              <w:t>53%</w:t>
            </w:r>
          </w:p>
        </w:tc>
        <w:tc>
          <w:tcPr>
            <w:tcW w:w="1101" w:type="dxa"/>
            <w:tcBorders>
              <w:top w:val="single" w:sz="4" w:space="0" w:color="auto"/>
              <w:right w:val="single" w:sz="4" w:space="0" w:color="auto"/>
            </w:tcBorders>
            <w:vAlign w:val="center"/>
          </w:tcPr>
          <w:p w14:paraId="29CC4280" w14:textId="10B834FA" w:rsidR="0002544C" w:rsidRPr="0002544C" w:rsidRDefault="0002544C" w:rsidP="00637889">
            <w:pPr>
              <w:pStyle w:val="TableTextRight"/>
              <w:spacing w:before="30" w:after="30"/>
              <w:rPr>
                <w:rFonts w:cs="Calibri Light"/>
                <w:szCs w:val="18"/>
              </w:rPr>
            </w:pPr>
            <w:r w:rsidRPr="0002544C">
              <w:rPr>
                <w:rFonts w:cs="Calibri Light"/>
                <w:szCs w:val="18"/>
              </w:rPr>
              <w:t>64%</w:t>
            </w:r>
          </w:p>
        </w:tc>
        <w:tc>
          <w:tcPr>
            <w:tcW w:w="709" w:type="dxa"/>
            <w:tcBorders>
              <w:top w:val="single" w:sz="4" w:space="0" w:color="auto"/>
              <w:left w:val="single" w:sz="4" w:space="0" w:color="auto"/>
            </w:tcBorders>
            <w:vAlign w:val="center"/>
          </w:tcPr>
          <w:p w14:paraId="1C200078" w14:textId="05D524A1" w:rsidR="0002544C" w:rsidRPr="0002544C" w:rsidRDefault="0002544C" w:rsidP="00637889">
            <w:pPr>
              <w:pStyle w:val="TableTextRight"/>
              <w:spacing w:before="30" w:after="30"/>
              <w:rPr>
                <w:rFonts w:cs="Calibri Light"/>
                <w:szCs w:val="18"/>
              </w:rPr>
            </w:pPr>
            <w:r w:rsidRPr="0002544C">
              <w:rPr>
                <w:rFonts w:cs="Calibri Light"/>
                <w:szCs w:val="18"/>
              </w:rPr>
              <w:t>100%</w:t>
            </w:r>
          </w:p>
        </w:tc>
        <w:tc>
          <w:tcPr>
            <w:tcW w:w="926" w:type="dxa"/>
            <w:tcBorders>
              <w:top w:val="single" w:sz="4" w:space="0" w:color="auto"/>
              <w:right w:val="single" w:sz="4" w:space="0" w:color="auto"/>
            </w:tcBorders>
            <w:vAlign w:val="center"/>
          </w:tcPr>
          <w:p w14:paraId="12BEB883" w14:textId="5CEAE4BE"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603" w:type="dxa"/>
            <w:tcBorders>
              <w:top w:val="single" w:sz="4" w:space="0" w:color="auto"/>
              <w:left w:val="single" w:sz="4" w:space="0" w:color="auto"/>
            </w:tcBorders>
            <w:vAlign w:val="center"/>
          </w:tcPr>
          <w:p w14:paraId="39B946EB" w14:textId="3A5625F7" w:rsidR="0002544C" w:rsidRPr="0002544C" w:rsidRDefault="0002544C" w:rsidP="00637889">
            <w:pPr>
              <w:pStyle w:val="TableTextRight"/>
              <w:spacing w:before="30" w:after="30"/>
              <w:rPr>
                <w:rFonts w:cs="Calibri Light"/>
                <w:b/>
                <w:bCs/>
                <w:szCs w:val="18"/>
              </w:rPr>
            </w:pPr>
            <w:r w:rsidRPr="0002544C">
              <w:rPr>
                <w:rFonts w:cs="Calibri Light"/>
                <w:b/>
                <w:bCs/>
                <w:szCs w:val="18"/>
              </w:rPr>
              <w:t>57%</w:t>
            </w:r>
          </w:p>
        </w:tc>
      </w:tr>
      <w:tr w:rsidR="0002544C" w:rsidRPr="00883271" w14:paraId="5B395848" w14:textId="77777777" w:rsidTr="0002544C">
        <w:trPr>
          <w:cnfStyle w:val="000000100000" w:firstRow="0" w:lastRow="0" w:firstColumn="0" w:lastColumn="0" w:oddVBand="0" w:evenVBand="0" w:oddHBand="1" w:evenHBand="0" w:firstRowFirstColumn="0" w:firstRowLastColumn="0" w:lastRowFirstColumn="0" w:lastRowLastColumn="0"/>
          <w:trHeight w:val="20"/>
          <w:jc w:val="center"/>
        </w:trPr>
        <w:tc>
          <w:tcPr>
            <w:tcW w:w="1975" w:type="dxa"/>
            <w:vAlign w:val="center"/>
          </w:tcPr>
          <w:p w14:paraId="7012307F" w14:textId="15FB3F83" w:rsidR="0002544C" w:rsidRPr="0002544C" w:rsidRDefault="0002544C" w:rsidP="00637889">
            <w:pPr>
              <w:pStyle w:val="TableTextLeft"/>
              <w:spacing w:before="30" w:after="30"/>
              <w:rPr>
                <w:rFonts w:cs="Calibri Light"/>
                <w:b/>
                <w:bCs/>
                <w:szCs w:val="18"/>
              </w:rPr>
            </w:pPr>
            <w:r w:rsidRPr="0002544C">
              <w:rPr>
                <w:rFonts w:cs="Calibri Light"/>
                <w:b/>
                <w:bCs/>
                <w:szCs w:val="18"/>
              </w:rPr>
              <w:t>Regional</w:t>
            </w:r>
          </w:p>
        </w:tc>
        <w:tc>
          <w:tcPr>
            <w:tcW w:w="987" w:type="dxa"/>
            <w:vAlign w:val="center"/>
          </w:tcPr>
          <w:p w14:paraId="04DB7AE4" w14:textId="62C042B4" w:rsidR="0002544C" w:rsidRPr="0002544C" w:rsidRDefault="0002544C" w:rsidP="00637889">
            <w:pPr>
              <w:pStyle w:val="TableTextRight"/>
              <w:spacing w:before="30" w:after="30"/>
              <w:rPr>
                <w:rFonts w:cs="Calibri Light"/>
                <w:szCs w:val="18"/>
              </w:rPr>
            </w:pPr>
            <w:r w:rsidRPr="0002544C">
              <w:rPr>
                <w:rFonts w:cs="Calibri Light"/>
                <w:szCs w:val="18"/>
              </w:rPr>
              <w:t>46%</w:t>
            </w:r>
          </w:p>
        </w:tc>
        <w:tc>
          <w:tcPr>
            <w:tcW w:w="706" w:type="dxa"/>
            <w:tcBorders>
              <w:right w:val="single" w:sz="4" w:space="0" w:color="auto"/>
            </w:tcBorders>
            <w:vAlign w:val="center"/>
          </w:tcPr>
          <w:p w14:paraId="73062EF4" w14:textId="04CBE37D" w:rsidR="0002544C" w:rsidRPr="0002544C" w:rsidRDefault="0002544C" w:rsidP="00637889">
            <w:pPr>
              <w:pStyle w:val="TableTextRight"/>
              <w:spacing w:before="30" w:after="30"/>
              <w:rPr>
                <w:rFonts w:cs="Calibri Light"/>
                <w:szCs w:val="18"/>
              </w:rPr>
            </w:pPr>
            <w:r w:rsidRPr="0002544C">
              <w:rPr>
                <w:rFonts w:cs="Calibri Light"/>
                <w:szCs w:val="18"/>
              </w:rPr>
              <w:t>40%</w:t>
            </w:r>
          </w:p>
        </w:tc>
        <w:tc>
          <w:tcPr>
            <w:tcW w:w="987" w:type="dxa"/>
            <w:tcBorders>
              <w:left w:val="single" w:sz="4" w:space="0" w:color="auto"/>
            </w:tcBorders>
            <w:vAlign w:val="center"/>
          </w:tcPr>
          <w:p w14:paraId="4F443456" w14:textId="1CE2DBB3" w:rsidR="0002544C" w:rsidRPr="0002544C" w:rsidRDefault="0002544C" w:rsidP="00637889">
            <w:pPr>
              <w:pStyle w:val="TableTextRight"/>
              <w:spacing w:before="30" w:after="30"/>
              <w:rPr>
                <w:rFonts w:cs="Calibri Light"/>
                <w:szCs w:val="18"/>
              </w:rPr>
            </w:pPr>
            <w:r w:rsidRPr="0002544C">
              <w:rPr>
                <w:rFonts w:cs="Calibri Light"/>
                <w:szCs w:val="18"/>
              </w:rPr>
              <w:t>44%</w:t>
            </w:r>
          </w:p>
        </w:tc>
        <w:tc>
          <w:tcPr>
            <w:tcW w:w="987" w:type="dxa"/>
            <w:vAlign w:val="center"/>
          </w:tcPr>
          <w:p w14:paraId="06989E17" w14:textId="461318BA" w:rsidR="0002544C" w:rsidRPr="0002544C" w:rsidRDefault="0002544C" w:rsidP="00637889">
            <w:pPr>
              <w:pStyle w:val="TableTextRight"/>
              <w:spacing w:before="30" w:after="30"/>
              <w:rPr>
                <w:rFonts w:cs="Calibri Light"/>
                <w:szCs w:val="18"/>
              </w:rPr>
            </w:pPr>
            <w:r w:rsidRPr="0002544C">
              <w:rPr>
                <w:rFonts w:cs="Calibri Light"/>
                <w:szCs w:val="18"/>
              </w:rPr>
              <w:t>32%</w:t>
            </w:r>
          </w:p>
        </w:tc>
        <w:tc>
          <w:tcPr>
            <w:tcW w:w="1410" w:type="dxa"/>
            <w:tcBorders>
              <w:right w:val="single" w:sz="4" w:space="0" w:color="auto"/>
            </w:tcBorders>
            <w:vAlign w:val="center"/>
          </w:tcPr>
          <w:p w14:paraId="27F5797A" w14:textId="65A861F9" w:rsidR="0002544C" w:rsidRPr="0002544C" w:rsidRDefault="0002544C" w:rsidP="00637889">
            <w:pPr>
              <w:pStyle w:val="TableTextRight"/>
              <w:spacing w:before="30" w:after="30"/>
              <w:rPr>
                <w:rFonts w:cs="Calibri Light"/>
                <w:szCs w:val="18"/>
              </w:rPr>
            </w:pPr>
            <w:r w:rsidRPr="0002544C">
              <w:rPr>
                <w:rFonts w:cs="Calibri Light"/>
                <w:szCs w:val="18"/>
              </w:rPr>
              <w:t>42%</w:t>
            </w:r>
          </w:p>
        </w:tc>
        <w:tc>
          <w:tcPr>
            <w:tcW w:w="987" w:type="dxa"/>
            <w:tcBorders>
              <w:left w:val="single" w:sz="4" w:space="0" w:color="auto"/>
            </w:tcBorders>
            <w:vAlign w:val="center"/>
          </w:tcPr>
          <w:p w14:paraId="0F41FBBD" w14:textId="07C37576" w:rsidR="0002544C" w:rsidRPr="0002544C" w:rsidRDefault="0002544C" w:rsidP="00637889">
            <w:pPr>
              <w:pStyle w:val="TableTextRight"/>
              <w:spacing w:before="30" w:after="30"/>
              <w:rPr>
                <w:rFonts w:cs="Calibri Light"/>
                <w:szCs w:val="18"/>
              </w:rPr>
            </w:pPr>
            <w:r w:rsidRPr="0002544C">
              <w:rPr>
                <w:rFonts w:cs="Calibri Light"/>
                <w:szCs w:val="18"/>
              </w:rPr>
              <w:t>37%</w:t>
            </w:r>
          </w:p>
        </w:tc>
        <w:tc>
          <w:tcPr>
            <w:tcW w:w="1100" w:type="dxa"/>
            <w:vAlign w:val="center"/>
          </w:tcPr>
          <w:p w14:paraId="716340E6" w14:textId="707DE7D6" w:rsidR="0002544C" w:rsidRPr="0002544C" w:rsidRDefault="0002544C" w:rsidP="00637889">
            <w:pPr>
              <w:pStyle w:val="TableTextRight"/>
              <w:spacing w:before="30" w:after="30"/>
              <w:rPr>
                <w:rFonts w:cs="Calibri Light"/>
                <w:szCs w:val="18"/>
              </w:rPr>
            </w:pPr>
            <w:r w:rsidRPr="0002544C">
              <w:rPr>
                <w:rFonts w:cs="Calibri Light"/>
                <w:szCs w:val="18"/>
              </w:rPr>
              <w:t>42%</w:t>
            </w:r>
          </w:p>
        </w:tc>
        <w:tc>
          <w:tcPr>
            <w:tcW w:w="1100" w:type="dxa"/>
            <w:vAlign w:val="center"/>
          </w:tcPr>
          <w:p w14:paraId="07BD9D16" w14:textId="2933F0E2" w:rsidR="0002544C" w:rsidRPr="0002544C" w:rsidRDefault="0002544C" w:rsidP="00637889">
            <w:pPr>
              <w:pStyle w:val="TableTextRight"/>
              <w:spacing w:before="30" w:after="30"/>
              <w:rPr>
                <w:rFonts w:cs="Calibri Light"/>
                <w:szCs w:val="18"/>
              </w:rPr>
            </w:pPr>
            <w:r w:rsidRPr="0002544C">
              <w:rPr>
                <w:rFonts w:cs="Calibri Light"/>
                <w:szCs w:val="18"/>
              </w:rPr>
              <w:t>47%</w:t>
            </w:r>
          </w:p>
        </w:tc>
        <w:tc>
          <w:tcPr>
            <w:tcW w:w="1101" w:type="dxa"/>
            <w:tcBorders>
              <w:right w:val="single" w:sz="4" w:space="0" w:color="auto"/>
            </w:tcBorders>
            <w:vAlign w:val="center"/>
          </w:tcPr>
          <w:p w14:paraId="10400D44" w14:textId="48ACD68F" w:rsidR="0002544C" w:rsidRPr="0002544C" w:rsidRDefault="0002544C" w:rsidP="00637889">
            <w:pPr>
              <w:pStyle w:val="TableTextRight"/>
              <w:spacing w:before="30" w:after="30"/>
              <w:rPr>
                <w:rFonts w:cs="Calibri Light"/>
                <w:szCs w:val="18"/>
              </w:rPr>
            </w:pPr>
            <w:r w:rsidRPr="0002544C">
              <w:rPr>
                <w:rFonts w:cs="Calibri Light"/>
                <w:szCs w:val="18"/>
              </w:rPr>
              <w:t>36%</w:t>
            </w:r>
          </w:p>
        </w:tc>
        <w:tc>
          <w:tcPr>
            <w:tcW w:w="709" w:type="dxa"/>
            <w:tcBorders>
              <w:left w:val="single" w:sz="4" w:space="0" w:color="auto"/>
            </w:tcBorders>
            <w:vAlign w:val="center"/>
          </w:tcPr>
          <w:p w14:paraId="0449ACFE" w14:textId="29AFF83A"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926" w:type="dxa"/>
            <w:tcBorders>
              <w:right w:val="single" w:sz="4" w:space="0" w:color="auto"/>
            </w:tcBorders>
            <w:vAlign w:val="center"/>
          </w:tcPr>
          <w:p w14:paraId="197E4419" w14:textId="5ED29F76" w:rsidR="0002544C" w:rsidRPr="0002544C" w:rsidRDefault="0002544C" w:rsidP="00637889">
            <w:pPr>
              <w:pStyle w:val="TableTextRight"/>
              <w:spacing w:before="30" w:after="30"/>
              <w:rPr>
                <w:rFonts w:cs="Calibri Light"/>
                <w:szCs w:val="18"/>
              </w:rPr>
            </w:pPr>
            <w:r w:rsidRPr="0002544C">
              <w:rPr>
                <w:rFonts w:cs="Calibri Light"/>
                <w:szCs w:val="18"/>
              </w:rPr>
              <w:t>100%</w:t>
            </w:r>
          </w:p>
        </w:tc>
        <w:tc>
          <w:tcPr>
            <w:tcW w:w="603" w:type="dxa"/>
            <w:tcBorders>
              <w:left w:val="single" w:sz="4" w:space="0" w:color="auto"/>
            </w:tcBorders>
            <w:vAlign w:val="center"/>
          </w:tcPr>
          <w:p w14:paraId="1C0732EC" w14:textId="513C5C44" w:rsidR="0002544C" w:rsidRPr="0002544C" w:rsidRDefault="0002544C" w:rsidP="00637889">
            <w:pPr>
              <w:pStyle w:val="TableTextRight"/>
              <w:spacing w:before="30" w:after="30"/>
              <w:rPr>
                <w:rFonts w:cs="Calibri Light"/>
                <w:b/>
                <w:bCs/>
                <w:szCs w:val="18"/>
              </w:rPr>
            </w:pPr>
            <w:r w:rsidRPr="0002544C">
              <w:rPr>
                <w:rFonts w:cs="Calibri Light"/>
                <w:b/>
                <w:bCs/>
                <w:szCs w:val="18"/>
              </w:rPr>
              <w:t>43%</w:t>
            </w:r>
          </w:p>
        </w:tc>
      </w:tr>
      <w:tr w:rsidR="00664208" w:rsidRPr="00883271" w14:paraId="71DEBAC9" w14:textId="77777777" w:rsidTr="0002544C">
        <w:trPr>
          <w:cnfStyle w:val="000000010000" w:firstRow="0" w:lastRow="0" w:firstColumn="0" w:lastColumn="0" w:oddVBand="0" w:evenVBand="0" w:oddHBand="0" w:evenHBand="1" w:firstRowFirstColumn="0" w:firstRowLastColumn="0" w:lastRowFirstColumn="0" w:lastRowLastColumn="0"/>
          <w:trHeight w:val="113"/>
          <w:jc w:val="center"/>
        </w:trPr>
        <w:tc>
          <w:tcPr>
            <w:tcW w:w="1975" w:type="dxa"/>
            <w:tcBorders>
              <w:top w:val="single" w:sz="4" w:space="0" w:color="auto"/>
              <w:bottom w:val="single" w:sz="4" w:space="0" w:color="auto"/>
            </w:tcBorders>
            <w:shd w:val="clear" w:color="auto" w:fill="EEEEEE" w:themeFill="background2"/>
            <w:vAlign w:val="center"/>
          </w:tcPr>
          <w:p w14:paraId="2997F710" w14:textId="42414D3A" w:rsidR="0002544C" w:rsidRPr="0002544C" w:rsidRDefault="0002544C" w:rsidP="00637889">
            <w:pPr>
              <w:pStyle w:val="TableTextLeft"/>
              <w:spacing w:before="30" w:after="30"/>
              <w:rPr>
                <w:rFonts w:cs="Calibri Light"/>
                <w:b/>
                <w:bCs/>
                <w:szCs w:val="18"/>
              </w:rPr>
            </w:pPr>
            <w:r w:rsidRPr="0002544C">
              <w:rPr>
                <w:rFonts w:cs="Calibri Light"/>
                <w:b/>
                <w:bCs/>
                <w:szCs w:val="18"/>
              </w:rPr>
              <w:t>Total responses (n)</w:t>
            </w:r>
          </w:p>
        </w:tc>
        <w:tc>
          <w:tcPr>
            <w:tcW w:w="987" w:type="dxa"/>
            <w:tcBorders>
              <w:top w:val="single" w:sz="4" w:space="0" w:color="auto"/>
              <w:bottom w:val="single" w:sz="4" w:space="0" w:color="auto"/>
            </w:tcBorders>
            <w:shd w:val="clear" w:color="auto" w:fill="EEEEEE" w:themeFill="background2"/>
            <w:vAlign w:val="center"/>
          </w:tcPr>
          <w:p w14:paraId="45EDE4D9" w14:textId="5E3C8E2C" w:rsidR="0002544C" w:rsidRPr="0002544C" w:rsidRDefault="0002544C" w:rsidP="00637889">
            <w:pPr>
              <w:pStyle w:val="TableTextRight"/>
              <w:spacing w:before="30" w:after="30"/>
              <w:rPr>
                <w:rFonts w:cs="Calibri Light"/>
                <w:b/>
                <w:bCs/>
                <w:szCs w:val="18"/>
              </w:rPr>
            </w:pPr>
            <w:r w:rsidRPr="0002544C">
              <w:rPr>
                <w:rFonts w:cs="Calibri Light"/>
                <w:b/>
                <w:bCs/>
                <w:szCs w:val="18"/>
              </w:rPr>
              <w:t>158</w:t>
            </w:r>
          </w:p>
        </w:tc>
        <w:tc>
          <w:tcPr>
            <w:tcW w:w="706" w:type="dxa"/>
            <w:tcBorders>
              <w:top w:val="single" w:sz="4" w:space="0" w:color="auto"/>
              <w:bottom w:val="single" w:sz="4" w:space="0" w:color="auto"/>
              <w:right w:val="single" w:sz="4" w:space="0" w:color="auto"/>
            </w:tcBorders>
            <w:shd w:val="clear" w:color="auto" w:fill="EEEEEE" w:themeFill="background2"/>
            <w:vAlign w:val="center"/>
          </w:tcPr>
          <w:p w14:paraId="52712FF9" w14:textId="54272199" w:rsidR="0002544C" w:rsidRPr="0002544C" w:rsidRDefault="0002544C" w:rsidP="00637889">
            <w:pPr>
              <w:pStyle w:val="TableTextRight"/>
              <w:spacing w:before="30" w:after="30"/>
              <w:rPr>
                <w:rFonts w:cs="Calibri Light"/>
                <w:b/>
                <w:bCs/>
                <w:szCs w:val="18"/>
              </w:rPr>
            </w:pPr>
            <w:r w:rsidRPr="0002544C">
              <w:rPr>
                <w:rFonts w:cs="Calibri Light"/>
                <w:b/>
                <w:bCs/>
                <w:szCs w:val="18"/>
              </w:rPr>
              <w:t>111</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5B4A46D0" w14:textId="7C40CED5" w:rsidR="0002544C" w:rsidRPr="0002544C" w:rsidRDefault="0002544C" w:rsidP="00637889">
            <w:pPr>
              <w:pStyle w:val="TableTextRight"/>
              <w:spacing w:before="30" w:after="30"/>
              <w:rPr>
                <w:rFonts w:cs="Calibri Light"/>
                <w:b/>
                <w:bCs/>
                <w:szCs w:val="18"/>
              </w:rPr>
            </w:pPr>
            <w:r w:rsidRPr="0002544C">
              <w:rPr>
                <w:rFonts w:cs="Calibri Light"/>
                <w:b/>
                <w:bCs/>
                <w:szCs w:val="18"/>
              </w:rPr>
              <w:t>203</w:t>
            </w:r>
          </w:p>
        </w:tc>
        <w:tc>
          <w:tcPr>
            <w:tcW w:w="987" w:type="dxa"/>
            <w:tcBorders>
              <w:top w:val="single" w:sz="4" w:space="0" w:color="auto"/>
              <w:bottom w:val="single" w:sz="4" w:space="0" w:color="auto"/>
            </w:tcBorders>
            <w:shd w:val="clear" w:color="auto" w:fill="EEEEEE" w:themeFill="background2"/>
            <w:vAlign w:val="center"/>
          </w:tcPr>
          <w:p w14:paraId="4B8B6DDB" w14:textId="5D4BC2EE" w:rsidR="0002544C" w:rsidRPr="0002544C" w:rsidRDefault="0002544C" w:rsidP="00637889">
            <w:pPr>
              <w:pStyle w:val="TableTextRight"/>
              <w:spacing w:before="30" w:after="30"/>
              <w:rPr>
                <w:rFonts w:cs="Calibri Light"/>
                <w:b/>
                <w:bCs/>
                <w:szCs w:val="18"/>
              </w:rPr>
            </w:pPr>
            <w:r w:rsidRPr="0002544C">
              <w:rPr>
                <w:rFonts w:cs="Calibri Light"/>
                <w:b/>
                <w:bCs/>
                <w:szCs w:val="18"/>
              </w:rPr>
              <w:t>37</w:t>
            </w:r>
          </w:p>
        </w:tc>
        <w:tc>
          <w:tcPr>
            <w:tcW w:w="1410" w:type="dxa"/>
            <w:tcBorders>
              <w:top w:val="single" w:sz="4" w:space="0" w:color="auto"/>
              <w:bottom w:val="single" w:sz="4" w:space="0" w:color="auto"/>
              <w:right w:val="single" w:sz="4" w:space="0" w:color="auto"/>
            </w:tcBorders>
            <w:shd w:val="clear" w:color="auto" w:fill="EEEEEE" w:themeFill="background2"/>
            <w:vAlign w:val="center"/>
          </w:tcPr>
          <w:p w14:paraId="3F0251A9" w14:textId="3E82008C" w:rsidR="0002544C" w:rsidRPr="0002544C" w:rsidRDefault="0002544C" w:rsidP="00637889">
            <w:pPr>
              <w:pStyle w:val="TableTextRight"/>
              <w:spacing w:before="30" w:after="30"/>
              <w:rPr>
                <w:rFonts w:cs="Calibri Light"/>
                <w:b/>
                <w:bCs/>
                <w:szCs w:val="18"/>
              </w:rPr>
            </w:pPr>
            <w:r w:rsidRPr="0002544C">
              <w:rPr>
                <w:rFonts w:cs="Calibri Light"/>
                <w:b/>
                <w:bCs/>
                <w:szCs w:val="18"/>
              </w:rPr>
              <w:t>43</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570397D6" w14:textId="1C5BDDC4" w:rsidR="0002544C" w:rsidRPr="0002544C" w:rsidRDefault="0002544C" w:rsidP="00637889">
            <w:pPr>
              <w:pStyle w:val="TableTextRight"/>
              <w:spacing w:before="30" w:after="30"/>
              <w:rPr>
                <w:rFonts w:cs="Calibri Light"/>
                <w:b/>
                <w:bCs/>
                <w:szCs w:val="18"/>
              </w:rPr>
            </w:pPr>
            <w:r w:rsidRPr="0002544C">
              <w:rPr>
                <w:rFonts w:cs="Calibri Light"/>
                <w:b/>
                <w:bCs/>
                <w:szCs w:val="18"/>
              </w:rPr>
              <w:t>41</w:t>
            </w:r>
          </w:p>
        </w:tc>
        <w:tc>
          <w:tcPr>
            <w:tcW w:w="1100" w:type="dxa"/>
            <w:tcBorders>
              <w:top w:val="single" w:sz="4" w:space="0" w:color="auto"/>
              <w:bottom w:val="single" w:sz="4" w:space="0" w:color="auto"/>
            </w:tcBorders>
            <w:shd w:val="clear" w:color="auto" w:fill="EEEEEE" w:themeFill="background2"/>
            <w:vAlign w:val="center"/>
          </w:tcPr>
          <w:p w14:paraId="3FE4C59C" w14:textId="0B57790E" w:rsidR="0002544C" w:rsidRPr="0002544C" w:rsidRDefault="0002544C" w:rsidP="00637889">
            <w:pPr>
              <w:pStyle w:val="TableTextRight"/>
              <w:spacing w:before="30" w:after="30"/>
              <w:rPr>
                <w:rFonts w:cs="Calibri Light"/>
                <w:b/>
                <w:bCs/>
                <w:szCs w:val="18"/>
              </w:rPr>
            </w:pPr>
            <w:r w:rsidRPr="0002544C">
              <w:rPr>
                <w:rFonts w:cs="Calibri Light"/>
                <w:b/>
                <w:bCs/>
                <w:szCs w:val="18"/>
              </w:rPr>
              <w:t>84</w:t>
            </w:r>
          </w:p>
        </w:tc>
        <w:tc>
          <w:tcPr>
            <w:tcW w:w="1100" w:type="dxa"/>
            <w:tcBorders>
              <w:top w:val="single" w:sz="4" w:space="0" w:color="auto"/>
              <w:bottom w:val="single" w:sz="4" w:space="0" w:color="auto"/>
            </w:tcBorders>
            <w:shd w:val="clear" w:color="auto" w:fill="EEEEEE" w:themeFill="background2"/>
            <w:vAlign w:val="center"/>
          </w:tcPr>
          <w:p w14:paraId="467DB57B" w14:textId="35CBC130" w:rsidR="0002544C" w:rsidRPr="0002544C" w:rsidRDefault="0002544C" w:rsidP="00637889">
            <w:pPr>
              <w:pStyle w:val="TableTextRight"/>
              <w:spacing w:before="30" w:after="30"/>
              <w:rPr>
                <w:rFonts w:cs="Calibri Light"/>
                <w:b/>
                <w:bCs/>
                <w:szCs w:val="18"/>
              </w:rPr>
            </w:pPr>
            <w:r w:rsidRPr="0002544C">
              <w:rPr>
                <w:rFonts w:cs="Calibri Light"/>
                <w:b/>
                <w:bCs/>
                <w:szCs w:val="18"/>
              </w:rPr>
              <w:t>126</w:t>
            </w:r>
          </w:p>
        </w:tc>
        <w:tc>
          <w:tcPr>
            <w:tcW w:w="1101" w:type="dxa"/>
            <w:tcBorders>
              <w:top w:val="single" w:sz="4" w:space="0" w:color="auto"/>
              <w:bottom w:val="single" w:sz="4" w:space="0" w:color="auto"/>
              <w:right w:val="single" w:sz="4" w:space="0" w:color="auto"/>
            </w:tcBorders>
            <w:shd w:val="clear" w:color="auto" w:fill="EEEEEE" w:themeFill="background2"/>
            <w:vAlign w:val="center"/>
          </w:tcPr>
          <w:p w14:paraId="5FA81848" w14:textId="64BF23A1" w:rsidR="0002544C" w:rsidRPr="0002544C" w:rsidRDefault="0002544C" w:rsidP="00637889">
            <w:pPr>
              <w:pStyle w:val="TableTextRight"/>
              <w:spacing w:before="30" w:after="30"/>
              <w:rPr>
                <w:rFonts w:cs="Calibri Light"/>
                <w:b/>
                <w:bCs/>
                <w:szCs w:val="18"/>
              </w:rPr>
            </w:pPr>
            <w:r w:rsidRPr="0002544C">
              <w:rPr>
                <w:rFonts w:cs="Calibri Light"/>
                <w:b/>
                <w:bCs/>
                <w:szCs w:val="18"/>
              </w:rPr>
              <w:t>36</w:t>
            </w:r>
          </w:p>
        </w:tc>
        <w:tc>
          <w:tcPr>
            <w:tcW w:w="709" w:type="dxa"/>
            <w:tcBorders>
              <w:top w:val="single" w:sz="4" w:space="0" w:color="auto"/>
              <w:left w:val="single" w:sz="4" w:space="0" w:color="auto"/>
              <w:bottom w:val="single" w:sz="4" w:space="0" w:color="auto"/>
            </w:tcBorders>
            <w:shd w:val="clear" w:color="auto" w:fill="EEEEEE" w:themeFill="background2"/>
            <w:vAlign w:val="center"/>
          </w:tcPr>
          <w:p w14:paraId="4EB871E0" w14:textId="13C6C57C" w:rsidR="0002544C" w:rsidRPr="0002544C" w:rsidRDefault="0002544C" w:rsidP="00637889">
            <w:pPr>
              <w:pStyle w:val="TableTextRight"/>
              <w:spacing w:before="30" w:after="30"/>
              <w:rPr>
                <w:rFonts w:cs="Calibri Light"/>
                <w:b/>
                <w:bCs/>
                <w:szCs w:val="18"/>
              </w:rPr>
            </w:pPr>
            <w:r w:rsidRPr="0002544C">
              <w:rPr>
                <w:rFonts w:cs="Calibri Light"/>
                <w:b/>
                <w:bCs/>
                <w:szCs w:val="18"/>
              </w:rPr>
              <w:t>166</w:t>
            </w:r>
          </w:p>
        </w:tc>
        <w:tc>
          <w:tcPr>
            <w:tcW w:w="926" w:type="dxa"/>
            <w:tcBorders>
              <w:top w:val="single" w:sz="4" w:space="0" w:color="auto"/>
              <w:bottom w:val="single" w:sz="4" w:space="0" w:color="auto"/>
              <w:right w:val="single" w:sz="4" w:space="0" w:color="auto"/>
            </w:tcBorders>
            <w:shd w:val="clear" w:color="auto" w:fill="EEEEEE" w:themeFill="background2"/>
            <w:vAlign w:val="center"/>
          </w:tcPr>
          <w:p w14:paraId="14F5718C" w14:textId="4B92F266" w:rsidR="0002544C" w:rsidRPr="0002544C" w:rsidRDefault="0002544C" w:rsidP="00637889">
            <w:pPr>
              <w:pStyle w:val="TableTextRight"/>
              <w:spacing w:before="30" w:after="30"/>
              <w:rPr>
                <w:rFonts w:cs="Calibri Light"/>
                <w:b/>
                <w:bCs/>
                <w:szCs w:val="18"/>
              </w:rPr>
            </w:pPr>
            <w:r w:rsidRPr="0002544C">
              <w:rPr>
                <w:rFonts w:cs="Calibri Light"/>
                <w:b/>
                <w:bCs/>
                <w:szCs w:val="18"/>
              </w:rPr>
              <w:t>125</w:t>
            </w:r>
          </w:p>
        </w:tc>
        <w:tc>
          <w:tcPr>
            <w:tcW w:w="603" w:type="dxa"/>
            <w:tcBorders>
              <w:top w:val="single" w:sz="4" w:space="0" w:color="auto"/>
              <w:left w:val="single" w:sz="4" w:space="0" w:color="auto"/>
              <w:bottom w:val="single" w:sz="4" w:space="0" w:color="auto"/>
            </w:tcBorders>
            <w:shd w:val="clear" w:color="auto" w:fill="EEEEEE" w:themeFill="background2"/>
            <w:vAlign w:val="center"/>
          </w:tcPr>
          <w:p w14:paraId="2711D32A" w14:textId="5F6A106A" w:rsidR="0002544C" w:rsidRPr="0002544C" w:rsidRDefault="0002544C" w:rsidP="00637889">
            <w:pPr>
              <w:pStyle w:val="TableTextRight"/>
              <w:spacing w:before="30" w:after="30"/>
              <w:rPr>
                <w:rFonts w:cs="Calibri Light"/>
                <w:b/>
                <w:bCs/>
                <w:szCs w:val="18"/>
              </w:rPr>
            </w:pPr>
            <w:r w:rsidRPr="0002544C">
              <w:rPr>
                <w:rFonts w:cs="Calibri Light"/>
                <w:b/>
                <w:bCs/>
                <w:szCs w:val="18"/>
              </w:rPr>
              <w:t>291</w:t>
            </w:r>
          </w:p>
        </w:tc>
      </w:tr>
    </w:tbl>
    <w:p w14:paraId="74B0563E" w14:textId="77777777" w:rsidR="0002544C" w:rsidRDefault="0002544C" w:rsidP="00637889">
      <w:pPr>
        <w:pStyle w:val="SingleParagraph"/>
      </w:pPr>
    </w:p>
    <w:p w14:paraId="31B7D1A5" w14:textId="106B0520" w:rsidR="0002544C" w:rsidRPr="0002544C" w:rsidRDefault="0002544C" w:rsidP="0002544C">
      <w:pPr>
        <w:pStyle w:val="TableSecondHeading"/>
      </w:pPr>
      <w:r>
        <w:t>State and Territory</w:t>
      </w:r>
    </w:p>
    <w:tbl>
      <w:tblPr>
        <w:tblStyle w:val="TableGrid"/>
        <w:tblW w:w="5000" w:type="pct"/>
        <w:jc w:val="center"/>
        <w:tblLayout w:type="fixed"/>
        <w:tblCellMar>
          <w:left w:w="113" w:type="dxa"/>
          <w:right w:w="113" w:type="dxa"/>
        </w:tblCellMar>
        <w:tblLook w:val="04A0" w:firstRow="1" w:lastRow="0" w:firstColumn="1" w:lastColumn="0" w:noHBand="0" w:noVBand="1"/>
      </w:tblPr>
      <w:tblGrid>
        <w:gridCol w:w="2037"/>
        <w:gridCol w:w="1018"/>
        <w:gridCol w:w="728"/>
        <w:gridCol w:w="1018"/>
        <w:gridCol w:w="1018"/>
        <w:gridCol w:w="1454"/>
        <w:gridCol w:w="1018"/>
        <w:gridCol w:w="1134"/>
        <w:gridCol w:w="1134"/>
        <w:gridCol w:w="1135"/>
        <w:gridCol w:w="731"/>
        <w:gridCol w:w="955"/>
        <w:gridCol w:w="622"/>
      </w:tblGrid>
      <w:tr w:rsidR="0002544C" w:rsidRPr="00883271" w14:paraId="1F2EE67F" w14:textId="77777777" w:rsidTr="0002544C">
        <w:trPr>
          <w:cnfStyle w:val="100000000000" w:firstRow="1" w:lastRow="0" w:firstColumn="0" w:lastColumn="0" w:oddVBand="0" w:evenVBand="0" w:oddHBand="0" w:evenHBand="0" w:firstRowFirstColumn="0" w:firstRowLastColumn="0" w:lastRowFirstColumn="0" w:lastRowLastColumn="0"/>
          <w:jc w:val="center"/>
        </w:trPr>
        <w:tc>
          <w:tcPr>
            <w:tcW w:w="1975" w:type="dxa"/>
            <w:tcBorders>
              <w:top w:val="single" w:sz="4" w:space="0" w:color="auto"/>
              <w:bottom w:val="single" w:sz="4" w:space="0" w:color="auto"/>
            </w:tcBorders>
          </w:tcPr>
          <w:p w14:paraId="19C7E2BF" w14:textId="77777777" w:rsidR="0002544C" w:rsidRPr="00D91013" w:rsidRDefault="0002544C" w:rsidP="00637889">
            <w:pPr>
              <w:pStyle w:val="TableColumnHeadingRight"/>
              <w:spacing w:before="30" w:after="30"/>
              <w:rPr>
                <w:sz w:val="18"/>
                <w:szCs w:val="18"/>
              </w:rPr>
            </w:pPr>
          </w:p>
        </w:tc>
        <w:tc>
          <w:tcPr>
            <w:tcW w:w="1693" w:type="dxa"/>
            <w:gridSpan w:val="2"/>
            <w:tcBorders>
              <w:top w:val="single" w:sz="4" w:space="0" w:color="auto"/>
              <w:bottom w:val="single" w:sz="4" w:space="0" w:color="auto"/>
              <w:right w:val="single" w:sz="4" w:space="0" w:color="auto"/>
            </w:tcBorders>
            <w:vAlign w:val="center"/>
          </w:tcPr>
          <w:p w14:paraId="2452728F" w14:textId="77777777" w:rsidR="0002544C" w:rsidRPr="00D91013" w:rsidRDefault="0002544C" w:rsidP="00637889">
            <w:pPr>
              <w:pStyle w:val="TableColumnHeadingCentred"/>
              <w:spacing w:before="30" w:after="30"/>
              <w:rPr>
                <w:b w:val="0"/>
                <w:sz w:val="18"/>
                <w:szCs w:val="18"/>
              </w:rPr>
            </w:pPr>
            <w:r w:rsidRPr="00D91013">
              <w:rPr>
                <w:sz w:val="18"/>
                <w:szCs w:val="18"/>
              </w:rPr>
              <w:t>Vehicles repaired per month</w:t>
            </w:r>
          </w:p>
        </w:tc>
        <w:tc>
          <w:tcPr>
            <w:tcW w:w="3384" w:type="dxa"/>
            <w:gridSpan w:val="3"/>
            <w:tcBorders>
              <w:top w:val="single" w:sz="4" w:space="0" w:color="auto"/>
              <w:left w:val="single" w:sz="4" w:space="0" w:color="auto"/>
              <w:bottom w:val="single" w:sz="4" w:space="0" w:color="auto"/>
              <w:right w:val="single" w:sz="4" w:space="0" w:color="auto"/>
            </w:tcBorders>
            <w:vAlign w:val="center"/>
          </w:tcPr>
          <w:p w14:paraId="0A01A222" w14:textId="77777777" w:rsidR="0002544C" w:rsidRPr="00D91013" w:rsidRDefault="0002544C" w:rsidP="00637889">
            <w:pPr>
              <w:pStyle w:val="TableColumnHeadingCentred"/>
              <w:spacing w:before="30" w:after="30"/>
              <w:rPr>
                <w:b w:val="0"/>
                <w:sz w:val="18"/>
                <w:szCs w:val="18"/>
              </w:rPr>
            </w:pPr>
            <w:r w:rsidRPr="00D91013">
              <w:rPr>
                <w:sz w:val="18"/>
                <w:szCs w:val="18"/>
              </w:rPr>
              <w:t>Type of Repairer</w:t>
            </w:r>
          </w:p>
        </w:tc>
        <w:tc>
          <w:tcPr>
            <w:tcW w:w="4288" w:type="dxa"/>
            <w:gridSpan w:val="4"/>
            <w:tcBorders>
              <w:top w:val="single" w:sz="4" w:space="0" w:color="auto"/>
              <w:left w:val="single" w:sz="4" w:space="0" w:color="auto"/>
              <w:bottom w:val="single" w:sz="4" w:space="0" w:color="auto"/>
              <w:right w:val="single" w:sz="4" w:space="0" w:color="auto"/>
            </w:tcBorders>
            <w:vAlign w:val="center"/>
          </w:tcPr>
          <w:p w14:paraId="7BB59F15" w14:textId="77777777" w:rsidR="0002544C" w:rsidRPr="00D91013" w:rsidRDefault="0002544C" w:rsidP="00637889">
            <w:pPr>
              <w:pStyle w:val="TableColumnHeadingCentred"/>
              <w:spacing w:before="30" w:after="30"/>
              <w:rPr>
                <w:b w:val="0"/>
                <w:sz w:val="18"/>
                <w:szCs w:val="18"/>
              </w:rPr>
            </w:pPr>
            <w:r w:rsidRPr="00D91013">
              <w:rPr>
                <w:sz w:val="18"/>
                <w:szCs w:val="18"/>
              </w:rPr>
              <w:t>Business size</w:t>
            </w:r>
          </w:p>
        </w:tc>
        <w:tc>
          <w:tcPr>
            <w:tcW w:w="1635" w:type="dxa"/>
            <w:gridSpan w:val="2"/>
            <w:tcBorders>
              <w:top w:val="single" w:sz="4" w:space="0" w:color="auto"/>
              <w:left w:val="single" w:sz="4" w:space="0" w:color="auto"/>
              <w:bottom w:val="single" w:sz="4" w:space="0" w:color="auto"/>
              <w:right w:val="single" w:sz="4" w:space="0" w:color="auto"/>
            </w:tcBorders>
            <w:vAlign w:val="center"/>
          </w:tcPr>
          <w:p w14:paraId="01A4D355" w14:textId="77777777" w:rsidR="0002544C" w:rsidRPr="00D91013" w:rsidRDefault="0002544C" w:rsidP="00637889">
            <w:pPr>
              <w:pStyle w:val="TableColumnHeadingCentred"/>
              <w:spacing w:before="30" w:after="30"/>
              <w:rPr>
                <w:b w:val="0"/>
                <w:sz w:val="18"/>
                <w:szCs w:val="18"/>
              </w:rPr>
            </w:pPr>
            <w:r w:rsidRPr="00D91013">
              <w:rPr>
                <w:sz w:val="18"/>
                <w:szCs w:val="18"/>
              </w:rPr>
              <w:t>Location</w:t>
            </w:r>
          </w:p>
        </w:tc>
        <w:tc>
          <w:tcPr>
            <w:tcW w:w="603" w:type="dxa"/>
            <w:vMerge w:val="restart"/>
            <w:tcBorders>
              <w:top w:val="single" w:sz="4" w:space="0" w:color="auto"/>
              <w:left w:val="single" w:sz="4" w:space="0" w:color="auto"/>
            </w:tcBorders>
            <w:vAlign w:val="center"/>
          </w:tcPr>
          <w:p w14:paraId="2B4C0A2B" w14:textId="77777777" w:rsidR="0002544C" w:rsidRPr="00D91013" w:rsidRDefault="0002544C" w:rsidP="00637889">
            <w:pPr>
              <w:pStyle w:val="TableColumnHeadingRight"/>
              <w:spacing w:before="30" w:after="30"/>
              <w:rPr>
                <w:b w:val="0"/>
                <w:bCs/>
                <w:sz w:val="18"/>
                <w:szCs w:val="18"/>
              </w:rPr>
            </w:pPr>
            <w:r w:rsidRPr="00D91013">
              <w:rPr>
                <w:bCs/>
                <w:sz w:val="18"/>
                <w:szCs w:val="18"/>
              </w:rPr>
              <w:t>Total</w:t>
            </w:r>
          </w:p>
        </w:tc>
      </w:tr>
      <w:tr w:rsidR="00664208" w:rsidRPr="00883271" w14:paraId="5670A9A6" w14:textId="77777777" w:rsidTr="0002544C">
        <w:trPr>
          <w:cnfStyle w:val="000000100000" w:firstRow="0" w:lastRow="0" w:firstColumn="0" w:lastColumn="0" w:oddVBand="0" w:evenVBand="0" w:oddHBand="1" w:evenHBand="0" w:firstRowFirstColumn="0" w:firstRowLastColumn="0" w:lastRowFirstColumn="0" w:lastRowLastColumn="0"/>
          <w:trHeight w:val="501"/>
          <w:jc w:val="center"/>
        </w:trPr>
        <w:tc>
          <w:tcPr>
            <w:tcW w:w="1975" w:type="dxa"/>
            <w:tcBorders>
              <w:top w:val="single" w:sz="4" w:space="0" w:color="auto"/>
              <w:bottom w:val="single" w:sz="4" w:space="0" w:color="auto"/>
            </w:tcBorders>
            <w:shd w:val="clear" w:color="auto" w:fill="EEEEEE" w:themeFill="background2"/>
          </w:tcPr>
          <w:p w14:paraId="654D5111" w14:textId="77777777" w:rsidR="0002544C" w:rsidRPr="00D91013" w:rsidRDefault="0002544C" w:rsidP="00637889">
            <w:pPr>
              <w:pStyle w:val="TableColumnHeadingRight"/>
              <w:spacing w:before="30" w:after="30"/>
              <w:rPr>
                <w:sz w:val="18"/>
                <w:szCs w:val="18"/>
              </w:rPr>
            </w:pPr>
          </w:p>
        </w:tc>
        <w:tc>
          <w:tcPr>
            <w:tcW w:w="987" w:type="dxa"/>
            <w:tcBorders>
              <w:top w:val="single" w:sz="4" w:space="0" w:color="auto"/>
              <w:bottom w:val="single" w:sz="4" w:space="0" w:color="auto"/>
            </w:tcBorders>
            <w:shd w:val="clear" w:color="auto" w:fill="EEEEEE" w:themeFill="background2"/>
            <w:vAlign w:val="center"/>
          </w:tcPr>
          <w:p w14:paraId="622BE0D6" w14:textId="77777777" w:rsidR="0002544C" w:rsidRPr="00D91013" w:rsidRDefault="0002544C" w:rsidP="00637889">
            <w:pPr>
              <w:pStyle w:val="TableColumnHeadingRight"/>
              <w:spacing w:before="30" w:after="30"/>
              <w:rPr>
                <w:sz w:val="18"/>
                <w:szCs w:val="18"/>
              </w:rPr>
            </w:pPr>
            <w:r w:rsidRPr="00D91013">
              <w:rPr>
                <w:bCs/>
                <w:sz w:val="18"/>
                <w:szCs w:val="18"/>
              </w:rPr>
              <w:t>Less than 100</w:t>
            </w:r>
          </w:p>
        </w:tc>
        <w:tc>
          <w:tcPr>
            <w:tcW w:w="706" w:type="dxa"/>
            <w:tcBorders>
              <w:top w:val="single" w:sz="4" w:space="0" w:color="auto"/>
              <w:bottom w:val="single" w:sz="4" w:space="0" w:color="auto"/>
              <w:right w:val="single" w:sz="4" w:space="0" w:color="auto"/>
            </w:tcBorders>
            <w:shd w:val="clear" w:color="auto" w:fill="EEEEEE" w:themeFill="background2"/>
            <w:vAlign w:val="center"/>
          </w:tcPr>
          <w:p w14:paraId="485D6A3A" w14:textId="77777777" w:rsidR="0002544C" w:rsidRPr="00D91013" w:rsidRDefault="0002544C" w:rsidP="00637889">
            <w:pPr>
              <w:pStyle w:val="TableColumnHeadingRight"/>
              <w:spacing w:before="30" w:after="30"/>
              <w:rPr>
                <w:sz w:val="18"/>
                <w:szCs w:val="18"/>
              </w:rPr>
            </w:pPr>
            <w:r w:rsidRPr="00D91013">
              <w:rPr>
                <w:bCs/>
                <w:sz w:val="18"/>
                <w:szCs w:val="18"/>
              </w:rPr>
              <w:t>100 or more</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42C10FE8" w14:textId="77777777" w:rsidR="0002544C" w:rsidRPr="00D91013" w:rsidRDefault="0002544C" w:rsidP="00637889">
            <w:pPr>
              <w:pStyle w:val="TableColumnHeadingRight"/>
              <w:spacing w:before="30" w:after="30"/>
              <w:rPr>
                <w:sz w:val="18"/>
                <w:szCs w:val="18"/>
              </w:rPr>
            </w:pPr>
            <w:r w:rsidRPr="00D91013">
              <w:rPr>
                <w:bCs/>
                <w:sz w:val="18"/>
                <w:szCs w:val="18"/>
              </w:rPr>
              <w:t>Generalist</w:t>
            </w:r>
          </w:p>
        </w:tc>
        <w:tc>
          <w:tcPr>
            <w:tcW w:w="987" w:type="dxa"/>
            <w:tcBorders>
              <w:top w:val="single" w:sz="4" w:space="0" w:color="auto"/>
              <w:bottom w:val="single" w:sz="4" w:space="0" w:color="auto"/>
            </w:tcBorders>
            <w:shd w:val="clear" w:color="auto" w:fill="EEEEEE" w:themeFill="background2"/>
            <w:vAlign w:val="center"/>
          </w:tcPr>
          <w:p w14:paraId="038C1326" w14:textId="604F4545" w:rsidR="0002544C" w:rsidRPr="00D91013" w:rsidRDefault="0002544C" w:rsidP="00637889">
            <w:pPr>
              <w:pStyle w:val="TableColumnHeadingRight"/>
              <w:spacing w:before="30" w:after="30"/>
              <w:rPr>
                <w:sz w:val="18"/>
                <w:szCs w:val="18"/>
              </w:rPr>
            </w:pPr>
            <w:r w:rsidRPr="00D91013">
              <w:rPr>
                <w:bCs/>
                <w:sz w:val="18"/>
                <w:szCs w:val="18"/>
              </w:rPr>
              <w:t xml:space="preserve">Specialist </w:t>
            </w:r>
            <w:r w:rsidR="007B3C6A">
              <w:rPr>
                <w:bCs/>
                <w:sz w:val="18"/>
                <w:szCs w:val="18"/>
              </w:rPr>
              <w:noBreakHyphen/>
            </w:r>
            <w:r w:rsidRPr="00D91013">
              <w:rPr>
                <w:bCs/>
                <w:sz w:val="18"/>
                <w:szCs w:val="18"/>
              </w:rPr>
              <w:t xml:space="preserve"> regional</w:t>
            </w:r>
          </w:p>
        </w:tc>
        <w:tc>
          <w:tcPr>
            <w:tcW w:w="1410" w:type="dxa"/>
            <w:tcBorders>
              <w:top w:val="single" w:sz="4" w:space="0" w:color="auto"/>
              <w:bottom w:val="single" w:sz="4" w:space="0" w:color="auto"/>
              <w:right w:val="single" w:sz="4" w:space="0" w:color="auto"/>
            </w:tcBorders>
            <w:shd w:val="clear" w:color="auto" w:fill="EEEEEE" w:themeFill="background2"/>
            <w:vAlign w:val="center"/>
          </w:tcPr>
          <w:p w14:paraId="2FC74071" w14:textId="0774EE9B" w:rsidR="0002544C" w:rsidRPr="00D91013" w:rsidRDefault="0002544C" w:rsidP="00637889">
            <w:pPr>
              <w:pStyle w:val="TableColumnHeadingRight"/>
              <w:spacing w:before="30" w:after="30"/>
              <w:rPr>
                <w:sz w:val="18"/>
                <w:szCs w:val="18"/>
              </w:rPr>
            </w:pPr>
            <w:r w:rsidRPr="00D91013">
              <w:rPr>
                <w:bCs/>
                <w:sz w:val="18"/>
                <w:szCs w:val="18"/>
              </w:rPr>
              <w:t xml:space="preserve">Specialist </w:t>
            </w:r>
            <w:r w:rsidR="007B3C6A">
              <w:rPr>
                <w:bCs/>
                <w:sz w:val="18"/>
                <w:szCs w:val="18"/>
              </w:rPr>
              <w:noBreakHyphen/>
            </w:r>
            <w:r w:rsidRPr="00D91013">
              <w:rPr>
                <w:bCs/>
                <w:sz w:val="18"/>
                <w:szCs w:val="18"/>
              </w:rPr>
              <w:t xml:space="preserve"> one / limited makes</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0A000C44" w14:textId="77777777" w:rsidR="0002544C" w:rsidRPr="00D91013" w:rsidRDefault="0002544C" w:rsidP="00637889">
            <w:pPr>
              <w:pStyle w:val="TableColumnHeadingRight"/>
              <w:spacing w:before="30" w:after="30"/>
              <w:rPr>
                <w:sz w:val="18"/>
                <w:szCs w:val="18"/>
              </w:rPr>
            </w:pPr>
            <w:r w:rsidRPr="00D91013">
              <w:rPr>
                <w:bCs/>
                <w:sz w:val="18"/>
                <w:szCs w:val="18"/>
              </w:rPr>
              <w:t>Owner operator</w:t>
            </w:r>
          </w:p>
        </w:tc>
        <w:tc>
          <w:tcPr>
            <w:tcW w:w="1100" w:type="dxa"/>
            <w:tcBorders>
              <w:top w:val="single" w:sz="4" w:space="0" w:color="auto"/>
              <w:bottom w:val="single" w:sz="4" w:space="0" w:color="auto"/>
            </w:tcBorders>
            <w:shd w:val="clear" w:color="auto" w:fill="EEEEEE" w:themeFill="background2"/>
            <w:vAlign w:val="center"/>
          </w:tcPr>
          <w:p w14:paraId="3EE33EAE" w14:textId="77777777" w:rsidR="0002544C" w:rsidRPr="00D91013" w:rsidRDefault="0002544C" w:rsidP="00637889">
            <w:pPr>
              <w:pStyle w:val="TableColumnHeadingRight"/>
              <w:spacing w:before="30" w:after="30"/>
              <w:rPr>
                <w:sz w:val="18"/>
                <w:szCs w:val="18"/>
              </w:rPr>
            </w:pPr>
            <w:r w:rsidRPr="00D91013">
              <w:rPr>
                <w:bCs/>
                <w:sz w:val="18"/>
                <w:szCs w:val="18"/>
              </w:rPr>
              <w:t>1 to 4 employees</w:t>
            </w:r>
          </w:p>
        </w:tc>
        <w:tc>
          <w:tcPr>
            <w:tcW w:w="1100" w:type="dxa"/>
            <w:tcBorders>
              <w:top w:val="single" w:sz="4" w:space="0" w:color="auto"/>
              <w:bottom w:val="single" w:sz="4" w:space="0" w:color="auto"/>
            </w:tcBorders>
            <w:shd w:val="clear" w:color="auto" w:fill="EEEEEE" w:themeFill="background2"/>
            <w:vAlign w:val="center"/>
          </w:tcPr>
          <w:p w14:paraId="2EE878F8" w14:textId="77777777" w:rsidR="0002544C" w:rsidRPr="00D91013" w:rsidRDefault="0002544C" w:rsidP="00637889">
            <w:pPr>
              <w:pStyle w:val="TableColumnHeadingRight"/>
              <w:spacing w:before="30" w:after="30"/>
              <w:rPr>
                <w:sz w:val="18"/>
                <w:szCs w:val="18"/>
              </w:rPr>
            </w:pPr>
            <w:r w:rsidRPr="00D91013">
              <w:rPr>
                <w:bCs/>
                <w:sz w:val="18"/>
                <w:szCs w:val="18"/>
              </w:rPr>
              <w:t>5 to 19 employees</w:t>
            </w:r>
          </w:p>
        </w:tc>
        <w:tc>
          <w:tcPr>
            <w:tcW w:w="1101" w:type="dxa"/>
            <w:tcBorders>
              <w:top w:val="single" w:sz="4" w:space="0" w:color="auto"/>
              <w:bottom w:val="single" w:sz="4" w:space="0" w:color="auto"/>
              <w:right w:val="single" w:sz="4" w:space="0" w:color="auto"/>
            </w:tcBorders>
            <w:shd w:val="clear" w:color="auto" w:fill="EEEEEE" w:themeFill="background2"/>
            <w:vAlign w:val="center"/>
          </w:tcPr>
          <w:p w14:paraId="2775A12E" w14:textId="77777777" w:rsidR="0002544C" w:rsidRPr="00D91013" w:rsidRDefault="0002544C" w:rsidP="00637889">
            <w:pPr>
              <w:pStyle w:val="TableColumnHeadingRight"/>
              <w:spacing w:before="30" w:after="30"/>
              <w:rPr>
                <w:sz w:val="18"/>
                <w:szCs w:val="18"/>
              </w:rPr>
            </w:pPr>
            <w:r w:rsidRPr="00D91013">
              <w:rPr>
                <w:bCs/>
                <w:sz w:val="18"/>
                <w:szCs w:val="18"/>
              </w:rPr>
              <w:t>20 or more employees</w:t>
            </w:r>
          </w:p>
        </w:tc>
        <w:tc>
          <w:tcPr>
            <w:tcW w:w="709" w:type="dxa"/>
            <w:tcBorders>
              <w:top w:val="single" w:sz="4" w:space="0" w:color="auto"/>
              <w:left w:val="single" w:sz="4" w:space="0" w:color="auto"/>
              <w:bottom w:val="single" w:sz="4" w:space="0" w:color="auto"/>
            </w:tcBorders>
            <w:shd w:val="clear" w:color="auto" w:fill="EEEEEE" w:themeFill="background2"/>
            <w:vAlign w:val="center"/>
          </w:tcPr>
          <w:p w14:paraId="66B52871" w14:textId="77777777" w:rsidR="0002544C" w:rsidRPr="00D91013" w:rsidRDefault="0002544C" w:rsidP="00637889">
            <w:pPr>
              <w:pStyle w:val="TableColumnHeadingRight"/>
              <w:spacing w:before="30" w:after="30"/>
              <w:rPr>
                <w:sz w:val="18"/>
                <w:szCs w:val="18"/>
              </w:rPr>
            </w:pPr>
            <w:r w:rsidRPr="00D91013">
              <w:rPr>
                <w:bCs/>
                <w:sz w:val="18"/>
                <w:szCs w:val="18"/>
              </w:rPr>
              <w:t>Metro</w:t>
            </w:r>
          </w:p>
        </w:tc>
        <w:tc>
          <w:tcPr>
            <w:tcW w:w="926" w:type="dxa"/>
            <w:tcBorders>
              <w:top w:val="single" w:sz="4" w:space="0" w:color="auto"/>
              <w:bottom w:val="single" w:sz="4" w:space="0" w:color="auto"/>
              <w:right w:val="single" w:sz="4" w:space="0" w:color="auto"/>
            </w:tcBorders>
            <w:shd w:val="clear" w:color="auto" w:fill="EEEEEE" w:themeFill="background2"/>
            <w:vAlign w:val="center"/>
          </w:tcPr>
          <w:p w14:paraId="4EDD62DF" w14:textId="77777777" w:rsidR="0002544C" w:rsidRPr="00D91013" w:rsidRDefault="0002544C" w:rsidP="00637889">
            <w:pPr>
              <w:pStyle w:val="TableColumnHeadingRight"/>
              <w:spacing w:before="30" w:after="30"/>
              <w:rPr>
                <w:sz w:val="18"/>
                <w:szCs w:val="18"/>
              </w:rPr>
            </w:pPr>
            <w:r w:rsidRPr="00D91013">
              <w:rPr>
                <w:bCs/>
                <w:sz w:val="18"/>
                <w:szCs w:val="18"/>
              </w:rPr>
              <w:t>Regional</w:t>
            </w:r>
          </w:p>
        </w:tc>
        <w:tc>
          <w:tcPr>
            <w:tcW w:w="603" w:type="dxa"/>
            <w:vMerge/>
            <w:tcBorders>
              <w:left w:val="single" w:sz="4" w:space="0" w:color="auto"/>
              <w:bottom w:val="single" w:sz="4" w:space="0" w:color="auto"/>
            </w:tcBorders>
            <w:shd w:val="clear" w:color="auto" w:fill="EEEEEE" w:themeFill="background2"/>
            <w:vAlign w:val="center"/>
          </w:tcPr>
          <w:p w14:paraId="1E26ED77" w14:textId="77777777" w:rsidR="0002544C" w:rsidRPr="00D91013" w:rsidRDefault="0002544C" w:rsidP="00637889">
            <w:pPr>
              <w:pStyle w:val="TableColumnHeadingRight"/>
              <w:spacing w:before="30" w:after="30"/>
              <w:rPr>
                <w:bCs/>
                <w:sz w:val="18"/>
                <w:szCs w:val="18"/>
              </w:rPr>
            </w:pPr>
          </w:p>
        </w:tc>
      </w:tr>
      <w:tr w:rsidR="0002544C" w:rsidRPr="00883271" w14:paraId="258D22E8" w14:textId="77777777" w:rsidTr="0002544C">
        <w:trPr>
          <w:cnfStyle w:val="000000010000" w:firstRow="0" w:lastRow="0" w:firstColumn="0" w:lastColumn="0" w:oddVBand="0" w:evenVBand="0" w:oddHBand="0" w:evenHBand="1" w:firstRowFirstColumn="0" w:firstRowLastColumn="0" w:lastRowFirstColumn="0" w:lastRowLastColumn="0"/>
          <w:trHeight w:val="20"/>
          <w:jc w:val="center"/>
        </w:trPr>
        <w:tc>
          <w:tcPr>
            <w:tcW w:w="1975" w:type="dxa"/>
            <w:tcBorders>
              <w:top w:val="single" w:sz="4" w:space="0" w:color="auto"/>
            </w:tcBorders>
            <w:vAlign w:val="center"/>
          </w:tcPr>
          <w:p w14:paraId="3B2920B8" w14:textId="4845730A" w:rsidR="0002544C" w:rsidRPr="0002544C" w:rsidRDefault="0002544C" w:rsidP="00637889">
            <w:pPr>
              <w:pStyle w:val="TableTextLeft"/>
              <w:spacing w:before="30" w:after="30"/>
              <w:rPr>
                <w:rFonts w:cs="Calibri Light"/>
                <w:b/>
                <w:bCs/>
                <w:szCs w:val="18"/>
              </w:rPr>
            </w:pPr>
            <w:r w:rsidRPr="0002544C">
              <w:rPr>
                <w:rFonts w:cs="Calibri Light"/>
                <w:b/>
                <w:szCs w:val="18"/>
              </w:rPr>
              <w:t>New South Wales</w:t>
            </w:r>
          </w:p>
        </w:tc>
        <w:tc>
          <w:tcPr>
            <w:tcW w:w="987" w:type="dxa"/>
            <w:tcBorders>
              <w:top w:val="single" w:sz="4" w:space="0" w:color="auto"/>
            </w:tcBorders>
            <w:vAlign w:val="center"/>
          </w:tcPr>
          <w:p w14:paraId="33D8FD66" w14:textId="2B5B2A84" w:rsidR="0002544C" w:rsidRPr="0002544C" w:rsidRDefault="0002544C" w:rsidP="00637889">
            <w:pPr>
              <w:pStyle w:val="TableTextRight"/>
              <w:spacing w:before="30" w:after="30"/>
              <w:rPr>
                <w:rFonts w:cs="Calibri Light"/>
                <w:szCs w:val="18"/>
              </w:rPr>
            </w:pPr>
            <w:r w:rsidRPr="0002544C">
              <w:rPr>
                <w:rFonts w:cs="Calibri Light"/>
                <w:szCs w:val="18"/>
              </w:rPr>
              <w:t>30%</w:t>
            </w:r>
          </w:p>
        </w:tc>
        <w:tc>
          <w:tcPr>
            <w:tcW w:w="706" w:type="dxa"/>
            <w:tcBorders>
              <w:top w:val="single" w:sz="4" w:space="0" w:color="auto"/>
              <w:right w:val="single" w:sz="4" w:space="0" w:color="auto"/>
            </w:tcBorders>
            <w:vAlign w:val="center"/>
          </w:tcPr>
          <w:p w14:paraId="267E01A1" w14:textId="637AC24C" w:rsidR="0002544C" w:rsidRPr="0002544C" w:rsidRDefault="0002544C" w:rsidP="00637889">
            <w:pPr>
              <w:pStyle w:val="TableTextRight"/>
              <w:spacing w:before="30" w:after="30"/>
              <w:rPr>
                <w:rFonts w:cs="Calibri Light"/>
                <w:szCs w:val="18"/>
              </w:rPr>
            </w:pPr>
            <w:r w:rsidRPr="0002544C">
              <w:rPr>
                <w:rFonts w:cs="Calibri Light"/>
                <w:szCs w:val="18"/>
              </w:rPr>
              <w:t>29%</w:t>
            </w:r>
          </w:p>
        </w:tc>
        <w:tc>
          <w:tcPr>
            <w:tcW w:w="987" w:type="dxa"/>
            <w:tcBorders>
              <w:top w:val="single" w:sz="4" w:space="0" w:color="auto"/>
              <w:left w:val="single" w:sz="4" w:space="0" w:color="auto"/>
            </w:tcBorders>
            <w:vAlign w:val="center"/>
          </w:tcPr>
          <w:p w14:paraId="4B115395" w14:textId="777CCE39" w:rsidR="0002544C" w:rsidRPr="0002544C" w:rsidRDefault="0002544C" w:rsidP="00637889">
            <w:pPr>
              <w:pStyle w:val="TableTextRight"/>
              <w:spacing w:before="30" w:after="30"/>
              <w:rPr>
                <w:rFonts w:cs="Calibri Light"/>
                <w:szCs w:val="18"/>
              </w:rPr>
            </w:pPr>
            <w:r w:rsidRPr="0002544C">
              <w:rPr>
                <w:rFonts w:cs="Calibri Light"/>
                <w:szCs w:val="18"/>
              </w:rPr>
              <w:t>29%</w:t>
            </w:r>
          </w:p>
        </w:tc>
        <w:tc>
          <w:tcPr>
            <w:tcW w:w="987" w:type="dxa"/>
            <w:tcBorders>
              <w:top w:val="single" w:sz="4" w:space="0" w:color="auto"/>
            </w:tcBorders>
            <w:vAlign w:val="center"/>
          </w:tcPr>
          <w:p w14:paraId="72C049A7" w14:textId="0A006123" w:rsidR="0002544C" w:rsidRPr="0002544C" w:rsidRDefault="0002544C" w:rsidP="00637889">
            <w:pPr>
              <w:pStyle w:val="TableTextRight"/>
              <w:spacing w:before="30" w:after="30"/>
              <w:rPr>
                <w:rFonts w:cs="Calibri Light"/>
                <w:szCs w:val="18"/>
              </w:rPr>
            </w:pPr>
            <w:r w:rsidRPr="0002544C">
              <w:rPr>
                <w:rFonts w:cs="Calibri Light"/>
                <w:szCs w:val="18"/>
              </w:rPr>
              <w:t>16%</w:t>
            </w:r>
          </w:p>
        </w:tc>
        <w:tc>
          <w:tcPr>
            <w:tcW w:w="1410" w:type="dxa"/>
            <w:tcBorders>
              <w:top w:val="single" w:sz="4" w:space="0" w:color="auto"/>
              <w:right w:val="single" w:sz="4" w:space="0" w:color="auto"/>
            </w:tcBorders>
            <w:vAlign w:val="center"/>
          </w:tcPr>
          <w:p w14:paraId="55D6734B" w14:textId="4B9B3C14" w:rsidR="0002544C" w:rsidRPr="0002544C" w:rsidRDefault="0002544C" w:rsidP="00637889">
            <w:pPr>
              <w:pStyle w:val="TableTextRight"/>
              <w:spacing w:before="30" w:after="30"/>
              <w:rPr>
                <w:rFonts w:cs="Calibri Light"/>
                <w:szCs w:val="18"/>
              </w:rPr>
            </w:pPr>
            <w:r w:rsidRPr="0002544C">
              <w:rPr>
                <w:rFonts w:cs="Calibri Light"/>
                <w:szCs w:val="18"/>
              </w:rPr>
              <w:t>42%</w:t>
            </w:r>
          </w:p>
        </w:tc>
        <w:tc>
          <w:tcPr>
            <w:tcW w:w="987" w:type="dxa"/>
            <w:tcBorders>
              <w:top w:val="single" w:sz="4" w:space="0" w:color="auto"/>
              <w:left w:val="single" w:sz="4" w:space="0" w:color="auto"/>
            </w:tcBorders>
            <w:vAlign w:val="center"/>
          </w:tcPr>
          <w:p w14:paraId="1F11E62E" w14:textId="1D5CA63B" w:rsidR="0002544C" w:rsidRPr="0002544C" w:rsidRDefault="0002544C" w:rsidP="00637889">
            <w:pPr>
              <w:pStyle w:val="TableTextRight"/>
              <w:spacing w:before="30" w:after="30"/>
              <w:rPr>
                <w:rFonts w:cs="Calibri Light"/>
                <w:szCs w:val="18"/>
              </w:rPr>
            </w:pPr>
            <w:r w:rsidRPr="0002544C">
              <w:rPr>
                <w:rFonts w:cs="Calibri Light"/>
                <w:szCs w:val="18"/>
              </w:rPr>
              <w:t>32%</w:t>
            </w:r>
          </w:p>
        </w:tc>
        <w:tc>
          <w:tcPr>
            <w:tcW w:w="1100" w:type="dxa"/>
            <w:tcBorders>
              <w:top w:val="single" w:sz="4" w:space="0" w:color="auto"/>
            </w:tcBorders>
            <w:vAlign w:val="center"/>
          </w:tcPr>
          <w:p w14:paraId="0CB835B3" w14:textId="0661EC8B" w:rsidR="0002544C" w:rsidRPr="0002544C" w:rsidRDefault="0002544C" w:rsidP="00637889">
            <w:pPr>
              <w:pStyle w:val="TableTextRight"/>
              <w:spacing w:before="30" w:after="30"/>
              <w:rPr>
                <w:rFonts w:cs="Calibri Light"/>
                <w:szCs w:val="18"/>
              </w:rPr>
            </w:pPr>
            <w:r w:rsidRPr="0002544C">
              <w:rPr>
                <w:rFonts w:cs="Calibri Light"/>
                <w:szCs w:val="18"/>
              </w:rPr>
              <w:t>32%</w:t>
            </w:r>
          </w:p>
        </w:tc>
        <w:tc>
          <w:tcPr>
            <w:tcW w:w="1100" w:type="dxa"/>
            <w:tcBorders>
              <w:top w:val="single" w:sz="4" w:space="0" w:color="auto"/>
            </w:tcBorders>
            <w:vAlign w:val="center"/>
          </w:tcPr>
          <w:p w14:paraId="11F0D658" w14:textId="75BC526E" w:rsidR="0002544C" w:rsidRPr="0002544C" w:rsidRDefault="0002544C" w:rsidP="00637889">
            <w:pPr>
              <w:pStyle w:val="TableTextRight"/>
              <w:spacing w:before="30" w:after="30"/>
              <w:rPr>
                <w:rFonts w:cs="Calibri Light"/>
                <w:szCs w:val="18"/>
              </w:rPr>
            </w:pPr>
            <w:r w:rsidRPr="0002544C">
              <w:rPr>
                <w:rFonts w:cs="Calibri Light"/>
                <w:szCs w:val="18"/>
              </w:rPr>
              <w:t>29%</w:t>
            </w:r>
          </w:p>
        </w:tc>
        <w:tc>
          <w:tcPr>
            <w:tcW w:w="1101" w:type="dxa"/>
            <w:tcBorders>
              <w:top w:val="single" w:sz="4" w:space="0" w:color="auto"/>
              <w:right w:val="single" w:sz="4" w:space="0" w:color="auto"/>
            </w:tcBorders>
            <w:vAlign w:val="center"/>
          </w:tcPr>
          <w:p w14:paraId="5F5B97ED" w14:textId="54B3402B" w:rsidR="0002544C" w:rsidRPr="0002544C" w:rsidRDefault="0002544C" w:rsidP="00637889">
            <w:pPr>
              <w:pStyle w:val="TableTextRight"/>
              <w:spacing w:before="30" w:after="30"/>
              <w:rPr>
                <w:rFonts w:cs="Calibri Light"/>
                <w:szCs w:val="18"/>
              </w:rPr>
            </w:pPr>
            <w:r w:rsidRPr="0002544C">
              <w:rPr>
                <w:rFonts w:cs="Calibri Light"/>
                <w:szCs w:val="18"/>
              </w:rPr>
              <w:t>19%</w:t>
            </w:r>
          </w:p>
        </w:tc>
        <w:tc>
          <w:tcPr>
            <w:tcW w:w="709" w:type="dxa"/>
            <w:tcBorders>
              <w:top w:val="single" w:sz="4" w:space="0" w:color="auto"/>
              <w:left w:val="single" w:sz="4" w:space="0" w:color="auto"/>
            </w:tcBorders>
            <w:vAlign w:val="center"/>
          </w:tcPr>
          <w:p w14:paraId="57E05482" w14:textId="7BB19559" w:rsidR="0002544C" w:rsidRPr="0002544C" w:rsidRDefault="0002544C" w:rsidP="00637889">
            <w:pPr>
              <w:pStyle w:val="TableTextRight"/>
              <w:spacing w:before="30" w:after="30"/>
              <w:rPr>
                <w:rFonts w:cs="Calibri Light"/>
                <w:szCs w:val="18"/>
              </w:rPr>
            </w:pPr>
            <w:r w:rsidRPr="0002544C">
              <w:rPr>
                <w:rFonts w:cs="Calibri Light"/>
                <w:szCs w:val="18"/>
              </w:rPr>
              <w:t>27%</w:t>
            </w:r>
          </w:p>
        </w:tc>
        <w:tc>
          <w:tcPr>
            <w:tcW w:w="926" w:type="dxa"/>
            <w:tcBorders>
              <w:top w:val="single" w:sz="4" w:space="0" w:color="auto"/>
              <w:right w:val="single" w:sz="4" w:space="0" w:color="auto"/>
            </w:tcBorders>
            <w:vAlign w:val="center"/>
          </w:tcPr>
          <w:p w14:paraId="5416F144" w14:textId="66BB6E77" w:rsidR="0002544C" w:rsidRPr="0002544C" w:rsidRDefault="0002544C" w:rsidP="00637889">
            <w:pPr>
              <w:pStyle w:val="TableTextRight"/>
              <w:spacing w:before="30" w:after="30"/>
              <w:rPr>
                <w:rFonts w:cs="Calibri Light"/>
                <w:szCs w:val="18"/>
              </w:rPr>
            </w:pPr>
            <w:r w:rsidRPr="0002544C">
              <w:rPr>
                <w:rFonts w:cs="Calibri Light"/>
                <w:szCs w:val="18"/>
              </w:rPr>
              <w:t>33%</w:t>
            </w:r>
          </w:p>
        </w:tc>
        <w:tc>
          <w:tcPr>
            <w:tcW w:w="603" w:type="dxa"/>
            <w:tcBorders>
              <w:top w:val="single" w:sz="4" w:space="0" w:color="auto"/>
              <w:left w:val="single" w:sz="4" w:space="0" w:color="auto"/>
            </w:tcBorders>
            <w:vAlign w:val="center"/>
          </w:tcPr>
          <w:p w14:paraId="0F32A914" w14:textId="3F89C43D" w:rsidR="0002544C" w:rsidRPr="0002544C" w:rsidRDefault="0002544C" w:rsidP="00637889">
            <w:pPr>
              <w:pStyle w:val="TableTextRight"/>
              <w:spacing w:before="30" w:after="30"/>
              <w:rPr>
                <w:rFonts w:cs="Calibri Light"/>
                <w:b/>
                <w:bCs/>
                <w:szCs w:val="18"/>
              </w:rPr>
            </w:pPr>
            <w:r w:rsidRPr="0002544C">
              <w:rPr>
                <w:rFonts w:cs="Calibri Light"/>
                <w:b/>
                <w:szCs w:val="18"/>
              </w:rPr>
              <w:t>29%</w:t>
            </w:r>
          </w:p>
        </w:tc>
      </w:tr>
      <w:tr w:rsidR="0002544C" w:rsidRPr="00883271" w14:paraId="6444E866" w14:textId="77777777" w:rsidTr="0002544C">
        <w:trPr>
          <w:cnfStyle w:val="000000100000" w:firstRow="0" w:lastRow="0" w:firstColumn="0" w:lastColumn="0" w:oddVBand="0" w:evenVBand="0" w:oddHBand="1" w:evenHBand="0" w:firstRowFirstColumn="0" w:firstRowLastColumn="0" w:lastRowFirstColumn="0" w:lastRowLastColumn="0"/>
          <w:trHeight w:val="20"/>
          <w:jc w:val="center"/>
        </w:trPr>
        <w:tc>
          <w:tcPr>
            <w:tcW w:w="1975" w:type="dxa"/>
            <w:vAlign w:val="center"/>
          </w:tcPr>
          <w:p w14:paraId="35D6134B" w14:textId="233A3F6A" w:rsidR="0002544C" w:rsidRPr="0002544C" w:rsidRDefault="0002544C" w:rsidP="00637889">
            <w:pPr>
              <w:pStyle w:val="TableTextLeft"/>
              <w:spacing w:before="30" w:after="30"/>
              <w:rPr>
                <w:rFonts w:cs="Calibri Light"/>
                <w:b/>
                <w:bCs/>
                <w:szCs w:val="18"/>
              </w:rPr>
            </w:pPr>
            <w:r w:rsidRPr="0002544C">
              <w:rPr>
                <w:rFonts w:cs="Calibri Light"/>
                <w:b/>
                <w:szCs w:val="18"/>
              </w:rPr>
              <w:t>Victoria</w:t>
            </w:r>
          </w:p>
        </w:tc>
        <w:tc>
          <w:tcPr>
            <w:tcW w:w="987" w:type="dxa"/>
            <w:vAlign w:val="center"/>
          </w:tcPr>
          <w:p w14:paraId="70AEF10C" w14:textId="0C9F8487" w:rsidR="0002544C" w:rsidRPr="0002544C" w:rsidRDefault="0002544C" w:rsidP="00637889">
            <w:pPr>
              <w:pStyle w:val="TableTextRight"/>
              <w:spacing w:before="30" w:after="30"/>
              <w:rPr>
                <w:rFonts w:cs="Calibri Light"/>
                <w:szCs w:val="18"/>
              </w:rPr>
            </w:pPr>
            <w:r w:rsidRPr="0002544C">
              <w:rPr>
                <w:rFonts w:cs="Calibri Light"/>
                <w:szCs w:val="18"/>
              </w:rPr>
              <w:t>21%</w:t>
            </w:r>
          </w:p>
        </w:tc>
        <w:tc>
          <w:tcPr>
            <w:tcW w:w="706" w:type="dxa"/>
            <w:tcBorders>
              <w:right w:val="single" w:sz="4" w:space="0" w:color="auto"/>
            </w:tcBorders>
            <w:vAlign w:val="center"/>
          </w:tcPr>
          <w:p w14:paraId="02623A2C" w14:textId="5EABD94D" w:rsidR="0002544C" w:rsidRPr="0002544C" w:rsidRDefault="0002544C" w:rsidP="00637889">
            <w:pPr>
              <w:pStyle w:val="TableTextRight"/>
              <w:spacing w:before="30" w:after="30"/>
              <w:rPr>
                <w:rFonts w:cs="Calibri Light"/>
                <w:szCs w:val="18"/>
              </w:rPr>
            </w:pPr>
            <w:r w:rsidRPr="0002544C">
              <w:rPr>
                <w:rFonts w:cs="Calibri Light"/>
                <w:szCs w:val="18"/>
              </w:rPr>
              <w:t>24%</w:t>
            </w:r>
          </w:p>
        </w:tc>
        <w:tc>
          <w:tcPr>
            <w:tcW w:w="987" w:type="dxa"/>
            <w:tcBorders>
              <w:left w:val="single" w:sz="4" w:space="0" w:color="auto"/>
            </w:tcBorders>
            <w:vAlign w:val="center"/>
          </w:tcPr>
          <w:p w14:paraId="0D5E512D" w14:textId="01BC49E6" w:rsidR="0002544C" w:rsidRPr="0002544C" w:rsidRDefault="0002544C" w:rsidP="00637889">
            <w:pPr>
              <w:pStyle w:val="TableTextRight"/>
              <w:spacing w:before="30" w:after="30"/>
              <w:rPr>
                <w:rFonts w:cs="Calibri Light"/>
                <w:szCs w:val="18"/>
              </w:rPr>
            </w:pPr>
            <w:r w:rsidRPr="0002544C">
              <w:rPr>
                <w:rFonts w:cs="Calibri Light"/>
                <w:szCs w:val="18"/>
              </w:rPr>
              <w:t>22%</w:t>
            </w:r>
          </w:p>
        </w:tc>
        <w:tc>
          <w:tcPr>
            <w:tcW w:w="987" w:type="dxa"/>
            <w:vAlign w:val="center"/>
          </w:tcPr>
          <w:p w14:paraId="765CDEBF" w14:textId="2F6BB7C0" w:rsidR="0002544C" w:rsidRPr="0002544C" w:rsidRDefault="0002544C" w:rsidP="00637889">
            <w:pPr>
              <w:pStyle w:val="TableTextRight"/>
              <w:spacing w:before="30" w:after="30"/>
              <w:rPr>
                <w:rFonts w:cs="Calibri Light"/>
                <w:szCs w:val="18"/>
              </w:rPr>
            </w:pPr>
            <w:r w:rsidRPr="0002544C">
              <w:rPr>
                <w:rFonts w:cs="Calibri Light"/>
                <w:szCs w:val="18"/>
              </w:rPr>
              <w:t>22%</w:t>
            </w:r>
          </w:p>
        </w:tc>
        <w:tc>
          <w:tcPr>
            <w:tcW w:w="1410" w:type="dxa"/>
            <w:tcBorders>
              <w:right w:val="single" w:sz="4" w:space="0" w:color="auto"/>
            </w:tcBorders>
            <w:vAlign w:val="center"/>
          </w:tcPr>
          <w:p w14:paraId="63DA4D74" w14:textId="52750742" w:rsidR="0002544C" w:rsidRPr="0002544C" w:rsidRDefault="0002544C" w:rsidP="00637889">
            <w:pPr>
              <w:pStyle w:val="TableTextRight"/>
              <w:spacing w:before="30" w:after="30"/>
              <w:rPr>
                <w:rFonts w:cs="Calibri Light"/>
                <w:szCs w:val="18"/>
              </w:rPr>
            </w:pPr>
            <w:r w:rsidRPr="0002544C">
              <w:rPr>
                <w:rFonts w:cs="Calibri Light"/>
                <w:szCs w:val="18"/>
              </w:rPr>
              <w:t>21%</w:t>
            </w:r>
          </w:p>
        </w:tc>
        <w:tc>
          <w:tcPr>
            <w:tcW w:w="987" w:type="dxa"/>
            <w:tcBorders>
              <w:left w:val="single" w:sz="4" w:space="0" w:color="auto"/>
            </w:tcBorders>
            <w:vAlign w:val="center"/>
          </w:tcPr>
          <w:p w14:paraId="48DA55F3" w14:textId="6EA45CE5" w:rsidR="0002544C" w:rsidRPr="0002544C" w:rsidRDefault="0002544C" w:rsidP="00637889">
            <w:pPr>
              <w:pStyle w:val="TableTextRight"/>
              <w:spacing w:before="30" w:after="30"/>
              <w:rPr>
                <w:rFonts w:cs="Calibri Light"/>
                <w:szCs w:val="18"/>
              </w:rPr>
            </w:pPr>
            <w:r w:rsidRPr="0002544C">
              <w:rPr>
                <w:rFonts w:cs="Calibri Light"/>
                <w:szCs w:val="18"/>
              </w:rPr>
              <w:t>20%</w:t>
            </w:r>
          </w:p>
        </w:tc>
        <w:tc>
          <w:tcPr>
            <w:tcW w:w="1100" w:type="dxa"/>
            <w:vAlign w:val="center"/>
          </w:tcPr>
          <w:p w14:paraId="7B2019F3" w14:textId="328CA8F0" w:rsidR="0002544C" w:rsidRPr="0002544C" w:rsidRDefault="0002544C" w:rsidP="00637889">
            <w:pPr>
              <w:pStyle w:val="TableTextRight"/>
              <w:spacing w:before="30" w:after="30"/>
              <w:rPr>
                <w:rFonts w:cs="Calibri Light"/>
                <w:szCs w:val="18"/>
              </w:rPr>
            </w:pPr>
            <w:r w:rsidRPr="0002544C">
              <w:rPr>
                <w:rFonts w:cs="Calibri Light"/>
                <w:szCs w:val="18"/>
              </w:rPr>
              <w:t>21%</w:t>
            </w:r>
          </w:p>
        </w:tc>
        <w:tc>
          <w:tcPr>
            <w:tcW w:w="1100" w:type="dxa"/>
            <w:vAlign w:val="center"/>
          </w:tcPr>
          <w:p w14:paraId="199074D8" w14:textId="5939E0D1" w:rsidR="0002544C" w:rsidRPr="0002544C" w:rsidRDefault="0002544C" w:rsidP="00637889">
            <w:pPr>
              <w:pStyle w:val="TableTextRight"/>
              <w:spacing w:before="30" w:after="30"/>
              <w:rPr>
                <w:rFonts w:cs="Calibri Light"/>
                <w:szCs w:val="18"/>
              </w:rPr>
            </w:pPr>
            <w:r w:rsidRPr="0002544C">
              <w:rPr>
                <w:rFonts w:cs="Calibri Light"/>
                <w:szCs w:val="18"/>
              </w:rPr>
              <w:t>21%</w:t>
            </w:r>
          </w:p>
        </w:tc>
        <w:tc>
          <w:tcPr>
            <w:tcW w:w="1101" w:type="dxa"/>
            <w:tcBorders>
              <w:right w:val="single" w:sz="4" w:space="0" w:color="auto"/>
            </w:tcBorders>
            <w:vAlign w:val="center"/>
          </w:tcPr>
          <w:p w14:paraId="55DF35CB" w14:textId="1C72A5C4" w:rsidR="0002544C" w:rsidRPr="0002544C" w:rsidRDefault="0002544C" w:rsidP="00637889">
            <w:pPr>
              <w:pStyle w:val="TableTextRight"/>
              <w:spacing w:before="30" w:after="30"/>
              <w:rPr>
                <w:rFonts w:cs="Calibri Light"/>
                <w:szCs w:val="18"/>
              </w:rPr>
            </w:pPr>
            <w:r w:rsidRPr="0002544C">
              <w:rPr>
                <w:rFonts w:cs="Calibri Light"/>
                <w:szCs w:val="18"/>
              </w:rPr>
              <w:t>33%</w:t>
            </w:r>
          </w:p>
        </w:tc>
        <w:tc>
          <w:tcPr>
            <w:tcW w:w="709" w:type="dxa"/>
            <w:tcBorders>
              <w:left w:val="single" w:sz="4" w:space="0" w:color="auto"/>
            </w:tcBorders>
            <w:vAlign w:val="center"/>
          </w:tcPr>
          <w:p w14:paraId="6F1F96D8" w14:textId="754E22FF" w:rsidR="0002544C" w:rsidRPr="0002544C" w:rsidRDefault="0002544C" w:rsidP="00637889">
            <w:pPr>
              <w:pStyle w:val="TableTextRight"/>
              <w:spacing w:before="30" w:after="30"/>
              <w:rPr>
                <w:rFonts w:cs="Calibri Light"/>
                <w:szCs w:val="18"/>
              </w:rPr>
            </w:pPr>
            <w:r w:rsidRPr="0002544C">
              <w:rPr>
                <w:rFonts w:cs="Calibri Light"/>
                <w:szCs w:val="18"/>
              </w:rPr>
              <w:t>31%</w:t>
            </w:r>
          </w:p>
        </w:tc>
        <w:tc>
          <w:tcPr>
            <w:tcW w:w="926" w:type="dxa"/>
            <w:tcBorders>
              <w:right w:val="single" w:sz="4" w:space="0" w:color="auto"/>
            </w:tcBorders>
            <w:vAlign w:val="center"/>
          </w:tcPr>
          <w:p w14:paraId="29EABE1A" w14:textId="51A185D3" w:rsidR="0002544C" w:rsidRPr="0002544C" w:rsidRDefault="0002544C" w:rsidP="00637889">
            <w:pPr>
              <w:pStyle w:val="TableTextRight"/>
              <w:spacing w:before="30" w:after="30"/>
              <w:rPr>
                <w:rFonts w:cs="Calibri Light"/>
                <w:szCs w:val="18"/>
              </w:rPr>
            </w:pPr>
            <w:r w:rsidRPr="0002544C">
              <w:rPr>
                <w:rFonts w:cs="Calibri Light"/>
                <w:szCs w:val="18"/>
              </w:rPr>
              <w:t>10%</w:t>
            </w:r>
          </w:p>
        </w:tc>
        <w:tc>
          <w:tcPr>
            <w:tcW w:w="603" w:type="dxa"/>
            <w:tcBorders>
              <w:left w:val="single" w:sz="4" w:space="0" w:color="auto"/>
            </w:tcBorders>
            <w:vAlign w:val="center"/>
          </w:tcPr>
          <w:p w14:paraId="2D8BB8FF" w14:textId="3C97CCCA" w:rsidR="0002544C" w:rsidRPr="0002544C" w:rsidRDefault="0002544C" w:rsidP="00637889">
            <w:pPr>
              <w:pStyle w:val="TableTextRight"/>
              <w:spacing w:before="30" w:after="30"/>
              <w:rPr>
                <w:rFonts w:cs="Calibri Light"/>
                <w:b/>
                <w:bCs/>
                <w:szCs w:val="18"/>
              </w:rPr>
            </w:pPr>
            <w:r w:rsidRPr="0002544C">
              <w:rPr>
                <w:rFonts w:cs="Calibri Light"/>
                <w:b/>
                <w:szCs w:val="18"/>
              </w:rPr>
              <w:t>22%</w:t>
            </w:r>
          </w:p>
        </w:tc>
      </w:tr>
      <w:tr w:rsidR="0002544C" w:rsidRPr="00883271" w14:paraId="20C0AC27" w14:textId="77777777" w:rsidTr="0002544C">
        <w:trPr>
          <w:cnfStyle w:val="000000010000" w:firstRow="0" w:lastRow="0" w:firstColumn="0" w:lastColumn="0" w:oddVBand="0" w:evenVBand="0" w:oddHBand="0" w:evenHBand="1" w:firstRowFirstColumn="0" w:firstRowLastColumn="0" w:lastRowFirstColumn="0" w:lastRowLastColumn="0"/>
          <w:trHeight w:val="20"/>
          <w:jc w:val="center"/>
        </w:trPr>
        <w:tc>
          <w:tcPr>
            <w:tcW w:w="1975" w:type="dxa"/>
            <w:vAlign w:val="center"/>
          </w:tcPr>
          <w:p w14:paraId="0DA2A32B" w14:textId="269832C2" w:rsidR="0002544C" w:rsidRPr="0002544C" w:rsidRDefault="0002544C" w:rsidP="00637889">
            <w:pPr>
              <w:pStyle w:val="TableTextLeft"/>
              <w:spacing w:before="30" w:after="30"/>
              <w:rPr>
                <w:rFonts w:cs="Calibri Light"/>
                <w:b/>
                <w:bCs/>
                <w:szCs w:val="18"/>
              </w:rPr>
            </w:pPr>
            <w:r w:rsidRPr="0002544C">
              <w:rPr>
                <w:rFonts w:cs="Calibri Light"/>
                <w:b/>
                <w:szCs w:val="18"/>
              </w:rPr>
              <w:t>Queensland</w:t>
            </w:r>
          </w:p>
        </w:tc>
        <w:tc>
          <w:tcPr>
            <w:tcW w:w="987" w:type="dxa"/>
            <w:vAlign w:val="center"/>
          </w:tcPr>
          <w:p w14:paraId="335A57FA" w14:textId="37DFF9FE" w:rsidR="0002544C" w:rsidRPr="0002544C" w:rsidRDefault="0002544C" w:rsidP="00637889">
            <w:pPr>
              <w:pStyle w:val="TableTextRight"/>
              <w:spacing w:before="30" w:after="30"/>
              <w:rPr>
                <w:rFonts w:cs="Calibri Light"/>
                <w:szCs w:val="18"/>
              </w:rPr>
            </w:pPr>
            <w:r w:rsidRPr="0002544C">
              <w:rPr>
                <w:rFonts w:cs="Calibri Light"/>
                <w:szCs w:val="18"/>
              </w:rPr>
              <w:t>30%</w:t>
            </w:r>
          </w:p>
        </w:tc>
        <w:tc>
          <w:tcPr>
            <w:tcW w:w="706" w:type="dxa"/>
            <w:tcBorders>
              <w:right w:val="single" w:sz="4" w:space="0" w:color="auto"/>
            </w:tcBorders>
            <w:vAlign w:val="center"/>
          </w:tcPr>
          <w:p w14:paraId="2BEDE3DE" w14:textId="268663FC" w:rsidR="0002544C" w:rsidRPr="0002544C" w:rsidRDefault="0002544C" w:rsidP="00637889">
            <w:pPr>
              <w:pStyle w:val="TableTextRight"/>
              <w:spacing w:before="30" w:after="30"/>
              <w:rPr>
                <w:rFonts w:cs="Calibri Light"/>
                <w:szCs w:val="18"/>
              </w:rPr>
            </w:pPr>
            <w:r w:rsidRPr="0002544C">
              <w:rPr>
                <w:rFonts w:cs="Calibri Light"/>
                <w:szCs w:val="18"/>
              </w:rPr>
              <w:t>29%</w:t>
            </w:r>
          </w:p>
        </w:tc>
        <w:tc>
          <w:tcPr>
            <w:tcW w:w="987" w:type="dxa"/>
            <w:tcBorders>
              <w:left w:val="single" w:sz="4" w:space="0" w:color="auto"/>
            </w:tcBorders>
            <w:vAlign w:val="center"/>
          </w:tcPr>
          <w:p w14:paraId="604B9184" w14:textId="0CB684CE" w:rsidR="0002544C" w:rsidRPr="0002544C" w:rsidRDefault="0002544C" w:rsidP="00637889">
            <w:pPr>
              <w:pStyle w:val="TableTextRight"/>
              <w:spacing w:before="30" w:after="30"/>
              <w:rPr>
                <w:rFonts w:cs="Calibri Light"/>
                <w:szCs w:val="18"/>
              </w:rPr>
            </w:pPr>
            <w:r w:rsidRPr="0002544C">
              <w:rPr>
                <w:rFonts w:cs="Calibri Light"/>
                <w:szCs w:val="18"/>
              </w:rPr>
              <w:t>27%</w:t>
            </w:r>
          </w:p>
        </w:tc>
        <w:tc>
          <w:tcPr>
            <w:tcW w:w="987" w:type="dxa"/>
            <w:vAlign w:val="center"/>
          </w:tcPr>
          <w:p w14:paraId="4E1A54F0" w14:textId="51118689" w:rsidR="0002544C" w:rsidRPr="0002544C" w:rsidRDefault="0002544C" w:rsidP="00637889">
            <w:pPr>
              <w:pStyle w:val="TableTextRight"/>
              <w:spacing w:before="30" w:after="30"/>
              <w:rPr>
                <w:rFonts w:cs="Calibri Light"/>
                <w:szCs w:val="18"/>
              </w:rPr>
            </w:pPr>
            <w:r w:rsidRPr="0002544C">
              <w:rPr>
                <w:rFonts w:cs="Calibri Light"/>
                <w:szCs w:val="18"/>
              </w:rPr>
              <w:t>43%</w:t>
            </w:r>
          </w:p>
        </w:tc>
        <w:tc>
          <w:tcPr>
            <w:tcW w:w="1410" w:type="dxa"/>
            <w:tcBorders>
              <w:right w:val="single" w:sz="4" w:space="0" w:color="auto"/>
            </w:tcBorders>
            <w:vAlign w:val="center"/>
          </w:tcPr>
          <w:p w14:paraId="633948D0" w14:textId="28631C59" w:rsidR="0002544C" w:rsidRPr="0002544C" w:rsidRDefault="0002544C" w:rsidP="00637889">
            <w:pPr>
              <w:pStyle w:val="TableTextRight"/>
              <w:spacing w:before="30" w:after="30"/>
              <w:rPr>
                <w:rFonts w:cs="Calibri Light"/>
                <w:szCs w:val="18"/>
              </w:rPr>
            </w:pPr>
            <w:r w:rsidRPr="0002544C">
              <w:rPr>
                <w:rFonts w:cs="Calibri Light"/>
                <w:szCs w:val="18"/>
              </w:rPr>
              <w:t>23%</w:t>
            </w:r>
          </w:p>
        </w:tc>
        <w:tc>
          <w:tcPr>
            <w:tcW w:w="987" w:type="dxa"/>
            <w:tcBorders>
              <w:left w:val="single" w:sz="4" w:space="0" w:color="auto"/>
            </w:tcBorders>
            <w:vAlign w:val="center"/>
          </w:tcPr>
          <w:p w14:paraId="27AB344C" w14:textId="7D434F5B" w:rsidR="0002544C" w:rsidRPr="0002544C" w:rsidRDefault="0002544C" w:rsidP="00637889">
            <w:pPr>
              <w:pStyle w:val="TableTextRight"/>
              <w:spacing w:before="30" w:after="30"/>
              <w:rPr>
                <w:rFonts w:cs="Calibri Light"/>
                <w:szCs w:val="18"/>
              </w:rPr>
            </w:pPr>
            <w:r w:rsidRPr="0002544C">
              <w:rPr>
                <w:rFonts w:cs="Calibri Light"/>
                <w:szCs w:val="18"/>
              </w:rPr>
              <w:t>24%</w:t>
            </w:r>
          </w:p>
        </w:tc>
        <w:tc>
          <w:tcPr>
            <w:tcW w:w="1100" w:type="dxa"/>
            <w:vAlign w:val="center"/>
          </w:tcPr>
          <w:p w14:paraId="6E020E30" w14:textId="1A484BC6" w:rsidR="0002544C" w:rsidRPr="0002544C" w:rsidRDefault="0002544C" w:rsidP="00637889">
            <w:pPr>
              <w:pStyle w:val="TableTextRight"/>
              <w:spacing w:before="30" w:after="30"/>
              <w:rPr>
                <w:rFonts w:cs="Calibri Light"/>
                <w:szCs w:val="18"/>
              </w:rPr>
            </w:pPr>
            <w:r w:rsidRPr="0002544C">
              <w:rPr>
                <w:rFonts w:cs="Calibri Light"/>
                <w:szCs w:val="18"/>
              </w:rPr>
              <w:t>29%</w:t>
            </w:r>
          </w:p>
        </w:tc>
        <w:tc>
          <w:tcPr>
            <w:tcW w:w="1100" w:type="dxa"/>
            <w:vAlign w:val="center"/>
          </w:tcPr>
          <w:p w14:paraId="5FE74BAF" w14:textId="628FAC31" w:rsidR="0002544C" w:rsidRPr="0002544C" w:rsidRDefault="0002544C" w:rsidP="00637889">
            <w:pPr>
              <w:pStyle w:val="TableTextRight"/>
              <w:spacing w:before="30" w:after="30"/>
              <w:rPr>
                <w:rFonts w:cs="Calibri Light"/>
                <w:szCs w:val="18"/>
              </w:rPr>
            </w:pPr>
            <w:r w:rsidRPr="0002544C">
              <w:rPr>
                <w:rFonts w:cs="Calibri Light"/>
                <w:szCs w:val="18"/>
              </w:rPr>
              <w:t>29%</w:t>
            </w:r>
          </w:p>
        </w:tc>
        <w:tc>
          <w:tcPr>
            <w:tcW w:w="1101" w:type="dxa"/>
            <w:tcBorders>
              <w:right w:val="single" w:sz="4" w:space="0" w:color="auto"/>
            </w:tcBorders>
            <w:vAlign w:val="center"/>
          </w:tcPr>
          <w:p w14:paraId="474F6957" w14:textId="3CCDB5A8" w:rsidR="0002544C" w:rsidRPr="0002544C" w:rsidRDefault="0002544C" w:rsidP="00637889">
            <w:pPr>
              <w:pStyle w:val="TableTextRight"/>
              <w:spacing w:before="30" w:after="30"/>
              <w:rPr>
                <w:rFonts w:cs="Calibri Light"/>
                <w:szCs w:val="18"/>
              </w:rPr>
            </w:pPr>
            <w:r w:rsidRPr="0002544C">
              <w:rPr>
                <w:rFonts w:cs="Calibri Light"/>
                <w:szCs w:val="18"/>
              </w:rPr>
              <w:t>31%</w:t>
            </w:r>
          </w:p>
        </w:tc>
        <w:tc>
          <w:tcPr>
            <w:tcW w:w="709" w:type="dxa"/>
            <w:tcBorders>
              <w:left w:val="single" w:sz="4" w:space="0" w:color="auto"/>
            </w:tcBorders>
            <w:vAlign w:val="center"/>
          </w:tcPr>
          <w:p w14:paraId="4C89169B" w14:textId="3ABED06A" w:rsidR="0002544C" w:rsidRPr="0002544C" w:rsidRDefault="0002544C" w:rsidP="00637889">
            <w:pPr>
              <w:pStyle w:val="TableTextRight"/>
              <w:spacing w:before="30" w:after="30"/>
              <w:rPr>
                <w:rFonts w:cs="Calibri Light"/>
                <w:szCs w:val="18"/>
              </w:rPr>
            </w:pPr>
            <w:r w:rsidRPr="0002544C">
              <w:rPr>
                <w:rFonts w:cs="Calibri Light"/>
                <w:szCs w:val="18"/>
              </w:rPr>
              <w:t>25%</w:t>
            </w:r>
          </w:p>
        </w:tc>
        <w:tc>
          <w:tcPr>
            <w:tcW w:w="926" w:type="dxa"/>
            <w:tcBorders>
              <w:right w:val="single" w:sz="4" w:space="0" w:color="auto"/>
            </w:tcBorders>
            <w:vAlign w:val="center"/>
          </w:tcPr>
          <w:p w14:paraId="423516A5" w14:textId="454E38F1" w:rsidR="0002544C" w:rsidRPr="0002544C" w:rsidRDefault="0002544C" w:rsidP="00637889">
            <w:pPr>
              <w:pStyle w:val="TableTextRight"/>
              <w:spacing w:before="30" w:after="30"/>
              <w:rPr>
                <w:rFonts w:cs="Calibri Light"/>
                <w:szCs w:val="18"/>
              </w:rPr>
            </w:pPr>
            <w:r w:rsidRPr="0002544C">
              <w:rPr>
                <w:rFonts w:cs="Calibri Light"/>
                <w:szCs w:val="18"/>
              </w:rPr>
              <w:t>34%</w:t>
            </w:r>
          </w:p>
        </w:tc>
        <w:tc>
          <w:tcPr>
            <w:tcW w:w="603" w:type="dxa"/>
            <w:tcBorders>
              <w:left w:val="single" w:sz="4" w:space="0" w:color="auto"/>
            </w:tcBorders>
            <w:vAlign w:val="center"/>
          </w:tcPr>
          <w:p w14:paraId="09B285B8" w14:textId="64EB457F" w:rsidR="0002544C" w:rsidRPr="0002544C" w:rsidRDefault="0002544C" w:rsidP="00637889">
            <w:pPr>
              <w:pStyle w:val="TableTextRight"/>
              <w:spacing w:before="30" w:after="30"/>
              <w:rPr>
                <w:rFonts w:cs="Calibri Light"/>
                <w:b/>
                <w:bCs/>
                <w:szCs w:val="18"/>
              </w:rPr>
            </w:pPr>
            <w:r w:rsidRPr="0002544C">
              <w:rPr>
                <w:rFonts w:cs="Calibri Light"/>
                <w:b/>
                <w:szCs w:val="18"/>
              </w:rPr>
              <w:t>29%</w:t>
            </w:r>
          </w:p>
        </w:tc>
      </w:tr>
      <w:tr w:rsidR="0002544C" w:rsidRPr="00883271" w14:paraId="75649E25" w14:textId="77777777" w:rsidTr="0002544C">
        <w:trPr>
          <w:cnfStyle w:val="000000100000" w:firstRow="0" w:lastRow="0" w:firstColumn="0" w:lastColumn="0" w:oddVBand="0" w:evenVBand="0" w:oddHBand="1" w:evenHBand="0" w:firstRowFirstColumn="0" w:firstRowLastColumn="0" w:lastRowFirstColumn="0" w:lastRowLastColumn="0"/>
          <w:trHeight w:val="20"/>
          <w:jc w:val="center"/>
        </w:trPr>
        <w:tc>
          <w:tcPr>
            <w:tcW w:w="1975" w:type="dxa"/>
            <w:vAlign w:val="center"/>
          </w:tcPr>
          <w:p w14:paraId="1F21E783" w14:textId="30D61212" w:rsidR="0002544C" w:rsidRPr="0002544C" w:rsidRDefault="0002544C" w:rsidP="00637889">
            <w:pPr>
              <w:pStyle w:val="TableTextLeft"/>
              <w:spacing w:before="30" w:after="30"/>
              <w:rPr>
                <w:rFonts w:cs="Calibri Light"/>
                <w:b/>
                <w:bCs/>
                <w:szCs w:val="18"/>
              </w:rPr>
            </w:pPr>
            <w:r w:rsidRPr="0002544C">
              <w:rPr>
                <w:rFonts w:cs="Calibri Light"/>
                <w:b/>
                <w:szCs w:val="18"/>
              </w:rPr>
              <w:t>South Australia</w:t>
            </w:r>
          </w:p>
        </w:tc>
        <w:tc>
          <w:tcPr>
            <w:tcW w:w="987" w:type="dxa"/>
            <w:vAlign w:val="center"/>
          </w:tcPr>
          <w:p w14:paraId="72BB3EB7" w14:textId="1F801CD3" w:rsidR="0002544C" w:rsidRPr="0002544C" w:rsidRDefault="0002544C" w:rsidP="00637889">
            <w:pPr>
              <w:pStyle w:val="TableTextRight"/>
              <w:spacing w:before="30" w:after="30"/>
              <w:rPr>
                <w:rFonts w:cs="Calibri Light"/>
                <w:szCs w:val="18"/>
              </w:rPr>
            </w:pPr>
            <w:r w:rsidRPr="0002544C">
              <w:rPr>
                <w:rFonts w:cs="Calibri Light"/>
                <w:szCs w:val="18"/>
              </w:rPr>
              <w:t>4%</w:t>
            </w:r>
          </w:p>
        </w:tc>
        <w:tc>
          <w:tcPr>
            <w:tcW w:w="706" w:type="dxa"/>
            <w:tcBorders>
              <w:right w:val="single" w:sz="4" w:space="0" w:color="auto"/>
            </w:tcBorders>
            <w:vAlign w:val="center"/>
          </w:tcPr>
          <w:p w14:paraId="1461E02E" w14:textId="10DE8DCB" w:rsidR="0002544C" w:rsidRPr="0002544C" w:rsidRDefault="0002544C" w:rsidP="00637889">
            <w:pPr>
              <w:pStyle w:val="TableTextRight"/>
              <w:spacing w:before="30" w:after="30"/>
              <w:rPr>
                <w:rFonts w:cs="Calibri Light"/>
                <w:szCs w:val="18"/>
              </w:rPr>
            </w:pPr>
            <w:r w:rsidRPr="0002544C">
              <w:rPr>
                <w:rFonts w:cs="Calibri Light"/>
                <w:szCs w:val="18"/>
              </w:rPr>
              <w:t>5%</w:t>
            </w:r>
          </w:p>
        </w:tc>
        <w:tc>
          <w:tcPr>
            <w:tcW w:w="987" w:type="dxa"/>
            <w:tcBorders>
              <w:left w:val="single" w:sz="4" w:space="0" w:color="auto"/>
            </w:tcBorders>
            <w:vAlign w:val="center"/>
          </w:tcPr>
          <w:p w14:paraId="09E1F531" w14:textId="44F24EA2" w:rsidR="0002544C" w:rsidRPr="0002544C" w:rsidRDefault="0002544C" w:rsidP="00637889">
            <w:pPr>
              <w:pStyle w:val="TableTextRight"/>
              <w:spacing w:before="30" w:after="30"/>
              <w:rPr>
                <w:rFonts w:cs="Calibri Light"/>
                <w:szCs w:val="18"/>
              </w:rPr>
            </w:pPr>
            <w:r w:rsidRPr="0002544C">
              <w:rPr>
                <w:rFonts w:cs="Calibri Light"/>
                <w:szCs w:val="18"/>
              </w:rPr>
              <w:t>4%</w:t>
            </w:r>
          </w:p>
        </w:tc>
        <w:tc>
          <w:tcPr>
            <w:tcW w:w="987" w:type="dxa"/>
            <w:vAlign w:val="center"/>
          </w:tcPr>
          <w:p w14:paraId="3C882048" w14:textId="1EBF64EF" w:rsidR="0002544C" w:rsidRPr="0002544C" w:rsidRDefault="0002544C" w:rsidP="00637889">
            <w:pPr>
              <w:pStyle w:val="TableTextRight"/>
              <w:spacing w:before="30" w:after="30"/>
              <w:rPr>
                <w:rFonts w:cs="Calibri Light"/>
                <w:szCs w:val="18"/>
              </w:rPr>
            </w:pPr>
            <w:r w:rsidRPr="0002544C">
              <w:rPr>
                <w:rFonts w:cs="Calibri Light"/>
                <w:szCs w:val="18"/>
              </w:rPr>
              <w:t>5%</w:t>
            </w:r>
          </w:p>
        </w:tc>
        <w:tc>
          <w:tcPr>
            <w:tcW w:w="1410" w:type="dxa"/>
            <w:tcBorders>
              <w:right w:val="single" w:sz="4" w:space="0" w:color="auto"/>
            </w:tcBorders>
            <w:vAlign w:val="center"/>
          </w:tcPr>
          <w:p w14:paraId="4D4B4EEF" w14:textId="2F8FF4A0" w:rsidR="0002544C" w:rsidRPr="0002544C" w:rsidRDefault="0002544C" w:rsidP="00637889">
            <w:pPr>
              <w:pStyle w:val="TableTextRight"/>
              <w:spacing w:before="30" w:after="30"/>
              <w:rPr>
                <w:rFonts w:cs="Calibri Light"/>
                <w:szCs w:val="18"/>
              </w:rPr>
            </w:pPr>
            <w:r w:rsidRPr="0002544C">
              <w:rPr>
                <w:rFonts w:cs="Calibri Light"/>
                <w:szCs w:val="18"/>
              </w:rPr>
              <w:t>5%</w:t>
            </w:r>
          </w:p>
        </w:tc>
        <w:tc>
          <w:tcPr>
            <w:tcW w:w="987" w:type="dxa"/>
            <w:tcBorders>
              <w:left w:val="single" w:sz="4" w:space="0" w:color="auto"/>
            </w:tcBorders>
            <w:vAlign w:val="center"/>
          </w:tcPr>
          <w:p w14:paraId="5D200C6D" w14:textId="40A862C2" w:rsidR="0002544C" w:rsidRPr="0002544C" w:rsidRDefault="0002544C" w:rsidP="00637889">
            <w:pPr>
              <w:pStyle w:val="TableTextRight"/>
              <w:spacing w:before="30" w:after="30"/>
              <w:rPr>
                <w:rFonts w:cs="Calibri Light"/>
                <w:szCs w:val="18"/>
              </w:rPr>
            </w:pPr>
            <w:r w:rsidRPr="0002544C">
              <w:rPr>
                <w:rFonts w:cs="Calibri Light"/>
                <w:szCs w:val="18"/>
              </w:rPr>
              <w:t>2%</w:t>
            </w:r>
          </w:p>
        </w:tc>
        <w:tc>
          <w:tcPr>
            <w:tcW w:w="1100" w:type="dxa"/>
            <w:vAlign w:val="center"/>
          </w:tcPr>
          <w:p w14:paraId="31899720" w14:textId="16E19501" w:rsidR="0002544C" w:rsidRPr="0002544C" w:rsidRDefault="0002544C" w:rsidP="00637889">
            <w:pPr>
              <w:pStyle w:val="TableTextRight"/>
              <w:spacing w:before="30" w:after="30"/>
              <w:rPr>
                <w:rFonts w:cs="Calibri Light"/>
                <w:szCs w:val="18"/>
              </w:rPr>
            </w:pPr>
            <w:r w:rsidRPr="0002544C">
              <w:rPr>
                <w:rFonts w:cs="Calibri Light"/>
                <w:szCs w:val="18"/>
              </w:rPr>
              <w:t>6%</w:t>
            </w:r>
          </w:p>
        </w:tc>
        <w:tc>
          <w:tcPr>
            <w:tcW w:w="1100" w:type="dxa"/>
            <w:vAlign w:val="center"/>
          </w:tcPr>
          <w:p w14:paraId="06778530" w14:textId="671E09BF" w:rsidR="0002544C" w:rsidRPr="0002544C" w:rsidRDefault="0002544C" w:rsidP="00637889">
            <w:pPr>
              <w:pStyle w:val="TableTextRight"/>
              <w:spacing w:before="30" w:after="30"/>
              <w:rPr>
                <w:rFonts w:cs="Calibri Light"/>
                <w:szCs w:val="18"/>
              </w:rPr>
            </w:pPr>
            <w:r w:rsidRPr="0002544C">
              <w:rPr>
                <w:rFonts w:cs="Calibri Light"/>
                <w:szCs w:val="18"/>
              </w:rPr>
              <w:t>5%</w:t>
            </w:r>
          </w:p>
        </w:tc>
        <w:tc>
          <w:tcPr>
            <w:tcW w:w="1101" w:type="dxa"/>
            <w:tcBorders>
              <w:right w:val="single" w:sz="4" w:space="0" w:color="auto"/>
            </w:tcBorders>
            <w:vAlign w:val="center"/>
          </w:tcPr>
          <w:p w14:paraId="323D3EC2" w14:textId="0668E20C" w:rsidR="0002544C" w:rsidRPr="0002544C" w:rsidRDefault="0002544C" w:rsidP="00637889">
            <w:pPr>
              <w:pStyle w:val="TableTextRight"/>
              <w:spacing w:before="30" w:after="30"/>
              <w:rPr>
                <w:rFonts w:cs="Calibri Light"/>
                <w:szCs w:val="18"/>
              </w:rPr>
            </w:pPr>
            <w:r w:rsidRPr="0002544C">
              <w:rPr>
                <w:rFonts w:cs="Calibri Light"/>
                <w:szCs w:val="18"/>
              </w:rPr>
              <w:t>3%</w:t>
            </w:r>
          </w:p>
        </w:tc>
        <w:tc>
          <w:tcPr>
            <w:tcW w:w="709" w:type="dxa"/>
            <w:tcBorders>
              <w:left w:val="single" w:sz="4" w:space="0" w:color="auto"/>
            </w:tcBorders>
            <w:vAlign w:val="center"/>
          </w:tcPr>
          <w:p w14:paraId="729D546B" w14:textId="00B48AEE" w:rsidR="0002544C" w:rsidRPr="0002544C" w:rsidRDefault="0002544C" w:rsidP="00637889">
            <w:pPr>
              <w:pStyle w:val="TableTextRight"/>
              <w:spacing w:before="30" w:after="30"/>
              <w:rPr>
                <w:rFonts w:cs="Calibri Light"/>
                <w:szCs w:val="18"/>
              </w:rPr>
            </w:pPr>
            <w:r w:rsidRPr="0002544C">
              <w:rPr>
                <w:rFonts w:cs="Calibri Light"/>
                <w:szCs w:val="18"/>
              </w:rPr>
              <w:t>2%</w:t>
            </w:r>
          </w:p>
        </w:tc>
        <w:tc>
          <w:tcPr>
            <w:tcW w:w="926" w:type="dxa"/>
            <w:tcBorders>
              <w:right w:val="single" w:sz="4" w:space="0" w:color="auto"/>
            </w:tcBorders>
            <w:vAlign w:val="center"/>
          </w:tcPr>
          <w:p w14:paraId="18BC72B4" w14:textId="29427227" w:rsidR="0002544C" w:rsidRPr="0002544C" w:rsidRDefault="0002544C" w:rsidP="00637889">
            <w:pPr>
              <w:pStyle w:val="TableTextRight"/>
              <w:spacing w:before="30" w:after="30"/>
              <w:rPr>
                <w:rFonts w:cs="Calibri Light"/>
                <w:szCs w:val="18"/>
              </w:rPr>
            </w:pPr>
            <w:r w:rsidRPr="0002544C">
              <w:rPr>
                <w:rFonts w:cs="Calibri Light"/>
                <w:szCs w:val="18"/>
              </w:rPr>
              <w:t>7%</w:t>
            </w:r>
          </w:p>
        </w:tc>
        <w:tc>
          <w:tcPr>
            <w:tcW w:w="603" w:type="dxa"/>
            <w:tcBorders>
              <w:left w:val="single" w:sz="4" w:space="0" w:color="auto"/>
            </w:tcBorders>
            <w:vAlign w:val="center"/>
          </w:tcPr>
          <w:p w14:paraId="1089112D" w14:textId="752203A7" w:rsidR="0002544C" w:rsidRPr="0002544C" w:rsidRDefault="0002544C" w:rsidP="00637889">
            <w:pPr>
              <w:pStyle w:val="TableTextRight"/>
              <w:spacing w:before="30" w:after="30"/>
              <w:rPr>
                <w:rFonts w:cs="Calibri Light"/>
                <w:b/>
                <w:bCs/>
                <w:szCs w:val="18"/>
              </w:rPr>
            </w:pPr>
            <w:r w:rsidRPr="0002544C">
              <w:rPr>
                <w:rFonts w:cs="Calibri Light"/>
                <w:b/>
                <w:szCs w:val="18"/>
              </w:rPr>
              <w:t>4%</w:t>
            </w:r>
          </w:p>
        </w:tc>
      </w:tr>
      <w:tr w:rsidR="0002544C" w:rsidRPr="00883271" w14:paraId="036626AA" w14:textId="77777777" w:rsidTr="0002544C">
        <w:trPr>
          <w:cnfStyle w:val="000000010000" w:firstRow="0" w:lastRow="0" w:firstColumn="0" w:lastColumn="0" w:oddVBand="0" w:evenVBand="0" w:oddHBand="0" w:evenHBand="1" w:firstRowFirstColumn="0" w:firstRowLastColumn="0" w:lastRowFirstColumn="0" w:lastRowLastColumn="0"/>
          <w:trHeight w:val="20"/>
          <w:jc w:val="center"/>
        </w:trPr>
        <w:tc>
          <w:tcPr>
            <w:tcW w:w="1975" w:type="dxa"/>
            <w:vAlign w:val="center"/>
          </w:tcPr>
          <w:p w14:paraId="65056A5E" w14:textId="34F31FEF" w:rsidR="0002544C" w:rsidRPr="0002544C" w:rsidRDefault="0002544C" w:rsidP="00637889">
            <w:pPr>
              <w:pStyle w:val="TableTextLeft"/>
              <w:spacing w:before="30" w:after="30"/>
              <w:rPr>
                <w:rFonts w:cs="Calibri Light"/>
                <w:b/>
                <w:bCs/>
                <w:szCs w:val="18"/>
              </w:rPr>
            </w:pPr>
            <w:r w:rsidRPr="0002544C">
              <w:rPr>
                <w:rFonts w:cs="Calibri Light"/>
                <w:b/>
                <w:szCs w:val="18"/>
              </w:rPr>
              <w:t>Western Australia</w:t>
            </w:r>
          </w:p>
        </w:tc>
        <w:tc>
          <w:tcPr>
            <w:tcW w:w="987" w:type="dxa"/>
            <w:vAlign w:val="center"/>
          </w:tcPr>
          <w:p w14:paraId="1BCE7297" w14:textId="6E1CD23D" w:rsidR="0002544C" w:rsidRPr="0002544C" w:rsidRDefault="0002544C" w:rsidP="00637889">
            <w:pPr>
              <w:pStyle w:val="TableTextRight"/>
              <w:spacing w:before="30" w:after="30"/>
              <w:rPr>
                <w:rFonts w:cs="Calibri Light"/>
                <w:szCs w:val="18"/>
              </w:rPr>
            </w:pPr>
            <w:r w:rsidRPr="0002544C">
              <w:rPr>
                <w:rFonts w:cs="Calibri Light"/>
                <w:szCs w:val="18"/>
              </w:rPr>
              <w:t>11%</w:t>
            </w:r>
          </w:p>
        </w:tc>
        <w:tc>
          <w:tcPr>
            <w:tcW w:w="706" w:type="dxa"/>
            <w:tcBorders>
              <w:right w:val="single" w:sz="4" w:space="0" w:color="auto"/>
            </w:tcBorders>
            <w:vAlign w:val="center"/>
          </w:tcPr>
          <w:p w14:paraId="5A0EC78C" w14:textId="62BA53C3" w:rsidR="0002544C" w:rsidRPr="0002544C" w:rsidRDefault="0002544C" w:rsidP="00637889">
            <w:pPr>
              <w:pStyle w:val="TableTextRight"/>
              <w:spacing w:before="30" w:after="30"/>
              <w:rPr>
                <w:rFonts w:cs="Calibri Light"/>
                <w:szCs w:val="18"/>
              </w:rPr>
            </w:pPr>
            <w:r w:rsidRPr="0002544C">
              <w:rPr>
                <w:rFonts w:cs="Calibri Light"/>
                <w:szCs w:val="18"/>
              </w:rPr>
              <w:t>9%</w:t>
            </w:r>
          </w:p>
        </w:tc>
        <w:tc>
          <w:tcPr>
            <w:tcW w:w="987" w:type="dxa"/>
            <w:tcBorders>
              <w:left w:val="single" w:sz="4" w:space="0" w:color="auto"/>
            </w:tcBorders>
            <w:vAlign w:val="center"/>
          </w:tcPr>
          <w:p w14:paraId="040A24A6" w14:textId="212C455F" w:rsidR="0002544C" w:rsidRPr="0002544C" w:rsidRDefault="0002544C" w:rsidP="00637889">
            <w:pPr>
              <w:pStyle w:val="TableTextRight"/>
              <w:spacing w:before="30" w:after="30"/>
              <w:rPr>
                <w:rFonts w:cs="Calibri Light"/>
                <w:szCs w:val="18"/>
              </w:rPr>
            </w:pPr>
            <w:r w:rsidRPr="0002544C">
              <w:rPr>
                <w:rFonts w:cs="Calibri Light"/>
                <w:szCs w:val="18"/>
              </w:rPr>
              <w:t>12%</w:t>
            </w:r>
          </w:p>
        </w:tc>
        <w:tc>
          <w:tcPr>
            <w:tcW w:w="987" w:type="dxa"/>
            <w:vAlign w:val="center"/>
          </w:tcPr>
          <w:p w14:paraId="142C9F2B" w14:textId="3A6E05B5" w:rsidR="0002544C" w:rsidRPr="0002544C" w:rsidRDefault="0002544C" w:rsidP="00637889">
            <w:pPr>
              <w:pStyle w:val="TableTextRight"/>
              <w:spacing w:before="30" w:after="30"/>
              <w:rPr>
                <w:rFonts w:cs="Calibri Light"/>
                <w:szCs w:val="18"/>
              </w:rPr>
            </w:pPr>
            <w:r w:rsidRPr="0002544C">
              <w:rPr>
                <w:rFonts w:cs="Calibri Light"/>
                <w:szCs w:val="18"/>
              </w:rPr>
              <w:t>14%</w:t>
            </w:r>
          </w:p>
        </w:tc>
        <w:tc>
          <w:tcPr>
            <w:tcW w:w="1410" w:type="dxa"/>
            <w:tcBorders>
              <w:right w:val="single" w:sz="4" w:space="0" w:color="auto"/>
            </w:tcBorders>
            <w:vAlign w:val="center"/>
          </w:tcPr>
          <w:p w14:paraId="0EE2E434" w14:textId="29DDD370" w:rsidR="0002544C" w:rsidRPr="0002544C" w:rsidRDefault="0002544C" w:rsidP="00637889">
            <w:pPr>
              <w:pStyle w:val="TableTextRight"/>
              <w:spacing w:before="30" w:after="30"/>
              <w:rPr>
                <w:rFonts w:cs="Calibri Light"/>
                <w:szCs w:val="18"/>
              </w:rPr>
            </w:pPr>
            <w:r w:rsidRPr="0002544C">
              <w:rPr>
                <w:rFonts w:cs="Calibri Light"/>
                <w:szCs w:val="18"/>
              </w:rPr>
              <w:t>5%</w:t>
            </w:r>
          </w:p>
        </w:tc>
        <w:tc>
          <w:tcPr>
            <w:tcW w:w="987" w:type="dxa"/>
            <w:tcBorders>
              <w:left w:val="single" w:sz="4" w:space="0" w:color="auto"/>
            </w:tcBorders>
            <w:vAlign w:val="center"/>
          </w:tcPr>
          <w:p w14:paraId="31595F7B" w14:textId="3E052BA1" w:rsidR="0002544C" w:rsidRPr="0002544C" w:rsidRDefault="0002544C" w:rsidP="00637889">
            <w:pPr>
              <w:pStyle w:val="TableTextRight"/>
              <w:spacing w:before="30" w:after="30"/>
              <w:rPr>
                <w:rFonts w:cs="Calibri Light"/>
                <w:szCs w:val="18"/>
              </w:rPr>
            </w:pPr>
            <w:r w:rsidRPr="0002544C">
              <w:rPr>
                <w:rFonts w:cs="Calibri Light"/>
                <w:szCs w:val="18"/>
              </w:rPr>
              <w:t>17%</w:t>
            </w:r>
          </w:p>
        </w:tc>
        <w:tc>
          <w:tcPr>
            <w:tcW w:w="1100" w:type="dxa"/>
            <w:vAlign w:val="center"/>
          </w:tcPr>
          <w:p w14:paraId="4CB0BB30" w14:textId="6767A550" w:rsidR="0002544C" w:rsidRPr="0002544C" w:rsidRDefault="0002544C" w:rsidP="00637889">
            <w:pPr>
              <w:pStyle w:val="TableTextRight"/>
              <w:spacing w:before="30" w:after="30"/>
              <w:rPr>
                <w:rFonts w:cs="Calibri Light"/>
                <w:szCs w:val="18"/>
              </w:rPr>
            </w:pPr>
            <w:r w:rsidRPr="0002544C">
              <w:rPr>
                <w:rFonts w:cs="Calibri Light"/>
                <w:szCs w:val="18"/>
              </w:rPr>
              <w:t>7%</w:t>
            </w:r>
          </w:p>
        </w:tc>
        <w:tc>
          <w:tcPr>
            <w:tcW w:w="1100" w:type="dxa"/>
            <w:vAlign w:val="center"/>
          </w:tcPr>
          <w:p w14:paraId="330A018C" w14:textId="0E3DE880" w:rsidR="0002544C" w:rsidRPr="0002544C" w:rsidRDefault="0002544C" w:rsidP="00637889">
            <w:pPr>
              <w:pStyle w:val="TableTextRight"/>
              <w:spacing w:before="30" w:after="30"/>
              <w:rPr>
                <w:rFonts w:cs="Calibri Light"/>
                <w:szCs w:val="18"/>
              </w:rPr>
            </w:pPr>
            <w:r w:rsidRPr="0002544C">
              <w:rPr>
                <w:rFonts w:cs="Calibri Light"/>
                <w:szCs w:val="18"/>
              </w:rPr>
              <w:t>12%</w:t>
            </w:r>
          </w:p>
        </w:tc>
        <w:tc>
          <w:tcPr>
            <w:tcW w:w="1101" w:type="dxa"/>
            <w:tcBorders>
              <w:right w:val="single" w:sz="4" w:space="0" w:color="auto"/>
            </w:tcBorders>
            <w:vAlign w:val="center"/>
          </w:tcPr>
          <w:p w14:paraId="21EA1AEC" w14:textId="780D2254" w:rsidR="0002544C" w:rsidRPr="0002544C" w:rsidRDefault="0002544C" w:rsidP="00637889">
            <w:pPr>
              <w:pStyle w:val="TableTextRight"/>
              <w:spacing w:before="30" w:after="30"/>
              <w:rPr>
                <w:rFonts w:cs="Calibri Light"/>
                <w:szCs w:val="18"/>
              </w:rPr>
            </w:pPr>
            <w:r w:rsidRPr="0002544C">
              <w:rPr>
                <w:rFonts w:cs="Calibri Light"/>
                <w:szCs w:val="18"/>
              </w:rPr>
              <w:t>11%</w:t>
            </w:r>
          </w:p>
        </w:tc>
        <w:tc>
          <w:tcPr>
            <w:tcW w:w="709" w:type="dxa"/>
            <w:tcBorders>
              <w:left w:val="single" w:sz="4" w:space="0" w:color="auto"/>
            </w:tcBorders>
            <w:vAlign w:val="center"/>
          </w:tcPr>
          <w:p w14:paraId="2D179904" w14:textId="2AEAFAAF" w:rsidR="0002544C" w:rsidRPr="0002544C" w:rsidRDefault="0002544C" w:rsidP="00637889">
            <w:pPr>
              <w:pStyle w:val="TableTextRight"/>
              <w:spacing w:before="30" w:after="30"/>
              <w:rPr>
                <w:rFonts w:cs="Calibri Light"/>
                <w:szCs w:val="18"/>
              </w:rPr>
            </w:pPr>
            <w:r w:rsidRPr="0002544C">
              <w:rPr>
                <w:rFonts w:cs="Calibri Light"/>
                <w:szCs w:val="18"/>
              </w:rPr>
              <w:t>13%</w:t>
            </w:r>
          </w:p>
        </w:tc>
        <w:tc>
          <w:tcPr>
            <w:tcW w:w="926" w:type="dxa"/>
            <w:tcBorders>
              <w:right w:val="single" w:sz="4" w:space="0" w:color="auto"/>
            </w:tcBorders>
            <w:vAlign w:val="center"/>
          </w:tcPr>
          <w:p w14:paraId="7D55FAA7" w14:textId="139FE351" w:rsidR="0002544C" w:rsidRPr="0002544C" w:rsidRDefault="0002544C" w:rsidP="00637889">
            <w:pPr>
              <w:pStyle w:val="TableTextRight"/>
              <w:spacing w:before="30" w:after="30"/>
              <w:rPr>
                <w:rFonts w:cs="Calibri Light"/>
                <w:szCs w:val="18"/>
              </w:rPr>
            </w:pPr>
            <w:r w:rsidRPr="0002544C">
              <w:rPr>
                <w:rFonts w:cs="Calibri Light"/>
                <w:szCs w:val="18"/>
              </w:rPr>
              <w:t>8%</w:t>
            </w:r>
          </w:p>
        </w:tc>
        <w:tc>
          <w:tcPr>
            <w:tcW w:w="603" w:type="dxa"/>
            <w:tcBorders>
              <w:left w:val="single" w:sz="4" w:space="0" w:color="auto"/>
            </w:tcBorders>
            <w:vAlign w:val="center"/>
          </w:tcPr>
          <w:p w14:paraId="667DCE74" w14:textId="77E068CC" w:rsidR="0002544C" w:rsidRPr="0002544C" w:rsidRDefault="0002544C" w:rsidP="00637889">
            <w:pPr>
              <w:pStyle w:val="TableTextRight"/>
              <w:spacing w:before="30" w:after="30"/>
              <w:rPr>
                <w:rFonts w:cs="Calibri Light"/>
                <w:b/>
                <w:bCs/>
                <w:szCs w:val="18"/>
              </w:rPr>
            </w:pPr>
            <w:r w:rsidRPr="0002544C">
              <w:rPr>
                <w:rFonts w:cs="Calibri Light"/>
                <w:b/>
                <w:szCs w:val="18"/>
              </w:rPr>
              <w:t>11%</w:t>
            </w:r>
          </w:p>
        </w:tc>
      </w:tr>
      <w:tr w:rsidR="0002544C" w:rsidRPr="00883271" w14:paraId="781C13B7" w14:textId="77777777" w:rsidTr="0002544C">
        <w:trPr>
          <w:cnfStyle w:val="000000100000" w:firstRow="0" w:lastRow="0" w:firstColumn="0" w:lastColumn="0" w:oddVBand="0" w:evenVBand="0" w:oddHBand="1" w:evenHBand="0" w:firstRowFirstColumn="0" w:firstRowLastColumn="0" w:lastRowFirstColumn="0" w:lastRowLastColumn="0"/>
          <w:trHeight w:val="20"/>
          <w:jc w:val="center"/>
        </w:trPr>
        <w:tc>
          <w:tcPr>
            <w:tcW w:w="1975" w:type="dxa"/>
            <w:vAlign w:val="center"/>
          </w:tcPr>
          <w:p w14:paraId="7F0D01BF" w14:textId="77215A29" w:rsidR="0002544C" w:rsidRPr="0002544C" w:rsidRDefault="0002544C" w:rsidP="00637889">
            <w:pPr>
              <w:pStyle w:val="TableTextLeft"/>
              <w:spacing w:before="30" w:after="30"/>
              <w:rPr>
                <w:rFonts w:cs="Calibri Light"/>
                <w:b/>
                <w:bCs/>
                <w:szCs w:val="18"/>
              </w:rPr>
            </w:pPr>
            <w:r w:rsidRPr="0002544C">
              <w:rPr>
                <w:rFonts w:cs="Calibri Light"/>
                <w:b/>
                <w:szCs w:val="18"/>
              </w:rPr>
              <w:t>Tasmania</w:t>
            </w:r>
          </w:p>
        </w:tc>
        <w:tc>
          <w:tcPr>
            <w:tcW w:w="987" w:type="dxa"/>
            <w:vAlign w:val="center"/>
          </w:tcPr>
          <w:p w14:paraId="31090B6D" w14:textId="558CC111" w:rsidR="0002544C" w:rsidRPr="0002544C" w:rsidRDefault="0002544C" w:rsidP="00637889">
            <w:pPr>
              <w:pStyle w:val="TableTextRight"/>
              <w:spacing w:before="30" w:after="30"/>
              <w:rPr>
                <w:rFonts w:cs="Calibri Light"/>
                <w:szCs w:val="18"/>
              </w:rPr>
            </w:pPr>
            <w:r w:rsidRPr="0002544C">
              <w:rPr>
                <w:rFonts w:cs="Calibri Light"/>
                <w:szCs w:val="18"/>
              </w:rPr>
              <w:t>1%</w:t>
            </w:r>
          </w:p>
        </w:tc>
        <w:tc>
          <w:tcPr>
            <w:tcW w:w="706" w:type="dxa"/>
            <w:tcBorders>
              <w:right w:val="single" w:sz="4" w:space="0" w:color="auto"/>
            </w:tcBorders>
            <w:vAlign w:val="center"/>
          </w:tcPr>
          <w:p w14:paraId="430824FF" w14:textId="13D791DB" w:rsidR="0002544C" w:rsidRPr="0002544C" w:rsidRDefault="0002544C" w:rsidP="00637889">
            <w:pPr>
              <w:pStyle w:val="TableTextRight"/>
              <w:spacing w:before="30" w:after="30"/>
              <w:rPr>
                <w:rFonts w:cs="Calibri Light"/>
                <w:szCs w:val="18"/>
              </w:rPr>
            </w:pPr>
            <w:r w:rsidRPr="0002544C">
              <w:rPr>
                <w:rFonts w:cs="Calibri Light"/>
                <w:szCs w:val="18"/>
              </w:rPr>
              <w:t>1%</w:t>
            </w:r>
          </w:p>
        </w:tc>
        <w:tc>
          <w:tcPr>
            <w:tcW w:w="987" w:type="dxa"/>
            <w:tcBorders>
              <w:left w:val="single" w:sz="4" w:space="0" w:color="auto"/>
            </w:tcBorders>
            <w:vAlign w:val="center"/>
          </w:tcPr>
          <w:p w14:paraId="2A8020A8" w14:textId="50032885" w:rsidR="0002544C" w:rsidRPr="0002544C" w:rsidRDefault="0002544C" w:rsidP="00637889">
            <w:pPr>
              <w:pStyle w:val="TableTextRight"/>
              <w:spacing w:before="30" w:after="30"/>
              <w:rPr>
                <w:rFonts w:cs="Calibri Light"/>
                <w:szCs w:val="18"/>
              </w:rPr>
            </w:pPr>
            <w:r w:rsidRPr="0002544C">
              <w:rPr>
                <w:rFonts w:cs="Calibri Light"/>
                <w:szCs w:val="18"/>
              </w:rPr>
              <w:t>2%</w:t>
            </w:r>
          </w:p>
        </w:tc>
        <w:tc>
          <w:tcPr>
            <w:tcW w:w="987" w:type="dxa"/>
            <w:vAlign w:val="center"/>
          </w:tcPr>
          <w:p w14:paraId="10719497" w14:textId="2436455E"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1410" w:type="dxa"/>
            <w:tcBorders>
              <w:right w:val="single" w:sz="4" w:space="0" w:color="auto"/>
            </w:tcBorders>
            <w:vAlign w:val="center"/>
          </w:tcPr>
          <w:p w14:paraId="705E2A3D" w14:textId="510FF2D3"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987" w:type="dxa"/>
            <w:tcBorders>
              <w:left w:val="single" w:sz="4" w:space="0" w:color="auto"/>
            </w:tcBorders>
            <w:vAlign w:val="center"/>
          </w:tcPr>
          <w:p w14:paraId="678747A4" w14:textId="6BE37406" w:rsidR="0002544C" w:rsidRPr="0002544C" w:rsidRDefault="0002544C" w:rsidP="00637889">
            <w:pPr>
              <w:pStyle w:val="TableTextRight"/>
              <w:spacing w:before="30" w:after="30"/>
              <w:rPr>
                <w:rFonts w:cs="Calibri Light"/>
                <w:szCs w:val="18"/>
              </w:rPr>
            </w:pPr>
            <w:r w:rsidRPr="0002544C">
              <w:rPr>
                <w:rFonts w:cs="Calibri Light"/>
                <w:szCs w:val="18"/>
              </w:rPr>
              <w:t>5%</w:t>
            </w:r>
          </w:p>
        </w:tc>
        <w:tc>
          <w:tcPr>
            <w:tcW w:w="1100" w:type="dxa"/>
            <w:vAlign w:val="center"/>
          </w:tcPr>
          <w:p w14:paraId="4BD4448E" w14:textId="0FE6EF30"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1100" w:type="dxa"/>
            <w:vAlign w:val="center"/>
          </w:tcPr>
          <w:p w14:paraId="2956DD98" w14:textId="2972B238" w:rsidR="0002544C" w:rsidRPr="0002544C" w:rsidRDefault="0002544C" w:rsidP="00637889">
            <w:pPr>
              <w:pStyle w:val="TableTextRight"/>
              <w:spacing w:before="30" w:after="30"/>
              <w:rPr>
                <w:rFonts w:cs="Calibri Light"/>
                <w:szCs w:val="18"/>
              </w:rPr>
            </w:pPr>
            <w:r w:rsidRPr="0002544C">
              <w:rPr>
                <w:rFonts w:cs="Calibri Light"/>
                <w:szCs w:val="18"/>
              </w:rPr>
              <w:t>2%</w:t>
            </w:r>
          </w:p>
        </w:tc>
        <w:tc>
          <w:tcPr>
            <w:tcW w:w="1101" w:type="dxa"/>
            <w:tcBorders>
              <w:right w:val="single" w:sz="4" w:space="0" w:color="auto"/>
            </w:tcBorders>
            <w:vAlign w:val="center"/>
          </w:tcPr>
          <w:p w14:paraId="047FDA2D" w14:textId="302BE782"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709" w:type="dxa"/>
            <w:tcBorders>
              <w:left w:val="single" w:sz="4" w:space="0" w:color="auto"/>
            </w:tcBorders>
            <w:vAlign w:val="center"/>
          </w:tcPr>
          <w:p w14:paraId="37E1AE8A" w14:textId="1F5D45EA" w:rsidR="0002544C" w:rsidRPr="0002544C" w:rsidRDefault="0002544C" w:rsidP="00637889">
            <w:pPr>
              <w:pStyle w:val="TableTextRight"/>
              <w:spacing w:before="30" w:after="30"/>
              <w:rPr>
                <w:rFonts w:cs="Calibri Light"/>
                <w:szCs w:val="18"/>
              </w:rPr>
            </w:pPr>
            <w:r w:rsidRPr="0002544C">
              <w:rPr>
                <w:rFonts w:cs="Calibri Light"/>
                <w:szCs w:val="18"/>
              </w:rPr>
              <w:t>1%</w:t>
            </w:r>
          </w:p>
        </w:tc>
        <w:tc>
          <w:tcPr>
            <w:tcW w:w="926" w:type="dxa"/>
            <w:tcBorders>
              <w:right w:val="single" w:sz="4" w:space="0" w:color="auto"/>
            </w:tcBorders>
            <w:vAlign w:val="center"/>
          </w:tcPr>
          <w:p w14:paraId="67F1B4D4" w14:textId="584FD3C2" w:rsidR="0002544C" w:rsidRPr="0002544C" w:rsidRDefault="0002544C" w:rsidP="00637889">
            <w:pPr>
              <w:pStyle w:val="TableTextRight"/>
              <w:spacing w:before="30" w:after="30"/>
              <w:rPr>
                <w:rFonts w:cs="Calibri Light"/>
                <w:szCs w:val="18"/>
              </w:rPr>
            </w:pPr>
            <w:r w:rsidRPr="0002544C">
              <w:rPr>
                <w:rFonts w:cs="Calibri Light"/>
                <w:szCs w:val="18"/>
              </w:rPr>
              <w:t>2%</w:t>
            </w:r>
          </w:p>
        </w:tc>
        <w:tc>
          <w:tcPr>
            <w:tcW w:w="603" w:type="dxa"/>
            <w:tcBorders>
              <w:left w:val="single" w:sz="4" w:space="0" w:color="auto"/>
            </w:tcBorders>
            <w:vAlign w:val="center"/>
          </w:tcPr>
          <w:p w14:paraId="3EB31AE8" w14:textId="097BAAB2" w:rsidR="0002544C" w:rsidRPr="0002544C" w:rsidRDefault="0002544C" w:rsidP="00637889">
            <w:pPr>
              <w:pStyle w:val="TableTextRight"/>
              <w:spacing w:before="30" w:after="30"/>
              <w:rPr>
                <w:rFonts w:cs="Calibri Light"/>
                <w:b/>
                <w:bCs/>
                <w:szCs w:val="18"/>
              </w:rPr>
            </w:pPr>
            <w:r w:rsidRPr="0002544C">
              <w:rPr>
                <w:rFonts w:cs="Calibri Light"/>
                <w:b/>
                <w:szCs w:val="18"/>
              </w:rPr>
              <w:t>1%</w:t>
            </w:r>
          </w:p>
        </w:tc>
      </w:tr>
      <w:tr w:rsidR="0002544C" w:rsidRPr="00883271" w14:paraId="24EAE92E" w14:textId="77777777" w:rsidTr="0002544C">
        <w:trPr>
          <w:cnfStyle w:val="000000010000" w:firstRow="0" w:lastRow="0" w:firstColumn="0" w:lastColumn="0" w:oddVBand="0" w:evenVBand="0" w:oddHBand="0" w:evenHBand="1" w:firstRowFirstColumn="0" w:firstRowLastColumn="0" w:lastRowFirstColumn="0" w:lastRowLastColumn="0"/>
          <w:trHeight w:val="20"/>
          <w:jc w:val="center"/>
        </w:trPr>
        <w:tc>
          <w:tcPr>
            <w:tcW w:w="1975" w:type="dxa"/>
            <w:vAlign w:val="center"/>
          </w:tcPr>
          <w:p w14:paraId="45F0A44C" w14:textId="685033BF" w:rsidR="0002544C" w:rsidRPr="0002544C" w:rsidRDefault="0002544C" w:rsidP="00637889">
            <w:pPr>
              <w:pStyle w:val="TableTextLeft"/>
              <w:spacing w:before="30" w:after="30"/>
              <w:rPr>
                <w:rFonts w:cs="Calibri Light"/>
                <w:b/>
                <w:bCs/>
                <w:szCs w:val="18"/>
              </w:rPr>
            </w:pPr>
            <w:r w:rsidRPr="0002544C">
              <w:rPr>
                <w:rFonts w:cs="Calibri Light"/>
                <w:b/>
                <w:szCs w:val="18"/>
              </w:rPr>
              <w:t>Northern Territory</w:t>
            </w:r>
          </w:p>
        </w:tc>
        <w:tc>
          <w:tcPr>
            <w:tcW w:w="987" w:type="dxa"/>
            <w:vAlign w:val="center"/>
          </w:tcPr>
          <w:p w14:paraId="3BDBCC0E" w14:textId="67DE125B" w:rsidR="0002544C" w:rsidRPr="0002544C" w:rsidRDefault="0002544C" w:rsidP="00637889">
            <w:pPr>
              <w:pStyle w:val="TableTextRight"/>
              <w:spacing w:before="30" w:after="30"/>
              <w:rPr>
                <w:rFonts w:cs="Calibri Light"/>
                <w:szCs w:val="18"/>
              </w:rPr>
            </w:pPr>
            <w:r w:rsidRPr="0002544C">
              <w:rPr>
                <w:rFonts w:cs="Calibri Light"/>
                <w:szCs w:val="18"/>
              </w:rPr>
              <w:t>2%</w:t>
            </w:r>
          </w:p>
        </w:tc>
        <w:tc>
          <w:tcPr>
            <w:tcW w:w="706" w:type="dxa"/>
            <w:tcBorders>
              <w:right w:val="single" w:sz="4" w:space="0" w:color="auto"/>
            </w:tcBorders>
            <w:vAlign w:val="center"/>
          </w:tcPr>
          <w:p w14:paraId="7A3003C2" w14:textId="4D732372"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987" w:type="dxa"/>
            <w:tcBorders>
              <w:left w:val="single" w:sz="4" w:space="0" w:color="auto"/>
            </w:tcBorders>
            <w:vAlign w:val="center"/>
          </w:tcPr>
          <w:p w14:paraId="1F0D1F0B" w14:textId="5523A5F4" w:rsidR="0002544C" w:rsidRPr="0002544C" w:rsidRDefault="0002544C" w:rsidP="00637889">
            <w:pPr>
              <w:pStyle w:val="TableTextRight"/>
              <w:spacing w:before="30" w:after="30"/>
              <w:rPr>
                <w:rFonts w:cs="Calibri Light"/>
                <w:szCs w:val="18"/>
              </w:rPr>
            </w:pPr>
            <w:r w:rsidRPr="0002544C">
              <w:rPr>
                <w:rFonts w:cs="Calibri Light"/>
                <w:szCs w:val="18"/>
              </w:rPr>
              <w:t>2%</w:t>
            </w:r>
          </w:p>
        </w:tc>
        <w:tc>
          <w:tcPr>
            <w:tcW w:w="987" w:type="dxa"/>
            <w:vAlign w:val="center"/>
          </w:tcPr>
          <w:p w14:paraId="556C9C52" w14:textId="53A25DCD"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1410" w:type="dxa"/>
            <w:tcBorders>
              <w:right w:val="single" w:sz="4" w:space="0" w:color="auto"/>
            </w:tcBorders>
            <w:vAlign w:val="center"/>
          </w:tcPr>
          <w:p w14:paraId="42B5DFE3" w14:textId="16F56B59"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987" w:type="dxa"/>
            <w:tcBorders>
              <w:left w:val="single" w:sz="4" w:space="0" w:color="auto"/>
            </w:tcBorders>
            <w:vAlign w:val="center"/>
          </w:tcPr>
          <w:p w14:paraId="565AE918" w14:textId="6024020F"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1100" w:type="dxa"/>
            <w:vAlign w:val="center"/>
          </w:tcPr>
          <w:p w14:paraId="78AD318E" w14:textId="606FD349" w:rsidR="0002544C" w:rsidRPr="0002544C" w:rsidRDefault="0002544C" w:rsidP="00637889">
            <w:pPr>
              <w:pStyle w:val="TableTextRight"/>
              <w:spacing w:before="30" w:after="30"/>
              <w:rPr>
                <w:rFonts w:cs="Calibri Light"/>
                <w:szCs w:val="18"/>
              </w:rPr>
            </w:pPr>
            <w:r w:rsidRPr="0002544C">
              <w:rPr>
                <w:rFonts w:cs="Calibri Light"/>
                <w:szCs w:val="18"/>
              </w:rPr>
              <w:t>2%</w:t>
            </w:r>
          </w:p>
        </w:tc>
        <w:tc>
          <w:tcPr>
            <w:tcW w:w="1100" w:type="dxa"/>
            <w:vAlign w:val="center"/>
          </w:tcPr>
          <w:p w14:paraId="27530DBF" w14:textId="3D098F8E" w:rsidR="0002544C" w:rsidRPr="0002544C" w:rsidRDefault="0002544C" w:rsidP="00637889">
            <w:pPr>
              <w:pStyle w:val="TableTextRight"/>
              <w:spacing w:before="30" w:after="30"/>
              <w:rPr>
                <w:rFonts w:cs="Calibri Light"/>
                <w:szCs w:val="18"/>
              </w:rPr>
            </w:pPr>
            <w:r w:rsidRPr="0002544C">
              <w:rPr>
                <w:rFonts w:cs="Calibri Light"/>
                <w:szCs w:val="18"/>
              </w:rPr>
              <w:t>2%</w:t>
            </w:r>
          </w:p>
        </w:tc>
        <w:tc>
          <w:tcPr>
            <w:tcW w:w="1101" w:type="dxa"/>
            <w:tcBorders>
              <w:right w:val="single" w:sz="4" w:space="0" w:color="auto"/>
            </w:tcBorders>
            <w:vAlign w:val="center"/>
          </w:tcPr>
          <w:p w14:paraId="38432749" w14:textId="32D513FA"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709" w:type="dxa"/>
            <w:tcBorders>
              <w:left w:val="single" w:sz="4" w:space="0" w:color="auto"/>
            </w:tcBorders>
            <w:vAlign w:val="center"/>
          </w:tcPr>
          <w:p w14:paraId="0346FFA1" w14:textId="336C2C0C" w:rsidR="0002544C" w:rsidRPr="0002544C" w:rsidRDefault="0002544C" w:rsidP="00637889">
            <w:pPr>
              <w:pStyle w:val="TableTextRight"/>
              <w:spacing w:before="30" w:after="30"/>
              <w:rPr>
                <w:rFonts w:cs="Calibri Light"/>
                <w:szCs w:val="18"/>
              </w:rPr>
            </w:pPr>
            <w:r w:rsidRPr="0002544C">
              <w:rPr>
                <w:rFonts w:cs="Calibri Light"/>
                <w:szCs w:val="18"/>
              </w:rPr>
              <w:t>1%</w:t>
            </w:r>
          </w:p>
        </w:tc>
        <w:tc>
          <w:tcPr>
            <w:tcW w:w="926" w:type="dxa"/>
            <w:tcBorders>
              <w:right w:val="single" w:sz="4" w:space="0" w:color="auto"/>
            </w:tcBorders>
            <w:vAlign w:val="center"/>
          </w:tcPr>
          <w:p w14:paraId="55C96A60" w14:textId="57E2941C" w:rsidR="0002544C" w:rsidRPr="0002544C" w:rsidRDefault="0002544C" w:rsidP="00637889">
            <w:pPr>
              <w:pStyle w:val="TableTextRight"/>
              <w:spacing w:before="30" w:after="30"/>
              <w:rPr>
                <w:rFonts w:cs="Calibri Light"/>
                <w:szCs w:val="18"/>
              </w:rPr>
            </w:pPr>
            <w:r w:rsidRPr="0002544C">
              <w:rPr>
                <w:rFonts w:cs="Calibri Light"/>
                <w:szCs w:val="18"/>
              </w:rPr>
              <w:t>2%</w:t>
            </w:r>
          </w:p>
        </w:tc>
        <w:tc>
          <w:tcPr>
            <w:tcW w:w="603" w:type="dxa"/>
            <w:tcBorders>
              <w:left w:val="single" w:sz="4" w:space="0" w:color="auto"/>
            </w:tcBorders>
            <w:vAlign w:val="center"/>
          </w:tcPr>
          <w:p w14:paraId="2B02C922" w14:textId="2A58E884" w:rsidR="0002544C" w:rsidRPr="0002544C" w:rsidRDefault="0002544C" w:rsidP="00637889">
            <w:pPr>
              <w:pStyle w:val="TableTextRight"/>
              <w:spacing w:before="30" w:after="30"/>
              <w:rPr>
                <w:rFonts w:cs="Calibri Light"/>
                <w:b/>
                <w:bCs/>
                <w:szCs w:val="18"/>
              </w:rPr>
            </w:pPr>
            <w:r w:rsidRPr="0002544C">
              <w:rPr>
                <w:rFonts w:cs="Calibri Light"/>
                <w:b/>
                <w:szCs w:val="18"/>
              </w:rPr>
              <w:t>1%</w:t>
            </w:r>
          </w:p>
        </w:tc>
      </w:tr>
      <w:tr w:rsidR="0002544C" w:rsidRPr="00883271" w14:paraId="08C777D0" w14:textId="77777777" w:rsidTr="0002544C">
        <w:trPr>
          <w:cnfStyle w:val="000000100000" w:firstRow="0" w:lastRow="0" w:firstColumn="0" w:lastColumn="0" w:oddVBand="0" w:evenVBand="0" w:oddHBand="1" w:evenHBand="0" w:firstRowFirstColumn="0" w:firstRowLastColumn="0" w:lastRowFirstColumn="0" w:lastRowLastColumn="0"/>
          <w:trHeight w:val="20"/>
          <w:jc w:val="center"/>
        </w:trPr>
        <w:tc>
          <w:tcPr>
            <w:tcW w:w="1975" w:type="dxa"/>
            <w:vAlign w:val="center"/>
          </w:tcPr>
          <w:p w14:paraId="6CAC871A" w14:textId="2FDCCA79" w:rsidR="0002544C" w:rsidRPr="0002544C" w:rsidRDefault="0002544C" w:rsidP="00637889">
            <w:pPr>
              <w:pStyle w:val="TableTextLeft"/>
              <w:spacing w:before="30" w:after="30"/>
              <w:rPr>
                <w:rFonts w:cs="Calibri Light"/>
                <w:b/>
                <w:bCs/>
                <w:szCs w:val="18"/>
              </w:rPr>
            </w:pPr>
            <w:r w:rsidRPr="0002544C">
              <w:rPr>
                <w:rFonts w:cs="Calibri Light"/>
                <w:b/>
                <w:szCs w:val="18"/>
              </w:rPr>
              <w:t>Australian Capital Territory</w:t>
            </w:r>
          </w:p>
        </w:tc>
        <w:tc>
          <w:tcPr>
            <w:tcW w:w="987" w:type="dxa"/>
            <w:vAlign w:val="center"/>
          </w:tcPr>
          <w:p w14:paraId="31C7D2D4" w14:textId="4450587A" w:rsidR="0002544C" w:rsidRPr="0002544C" w:rsidRDefault="0002544C" w:rsidP="00637889">
            <w:pPr>
              <w:pStyle w:val="TableTextRight"/>
              <w:spacing w:before="30" w:after="30"/>
              <w:rPr>
                <w:rFonts w:cs="Calibri Light"/>
                <w:szCs w:val="18"/>
              </w:rPr>
            </w:pPr>
            <w:r w:rsidRPr="0002544C">
              <w:rPr>
                <w:rFonts w:cs="Calibri Light"/>
                <w:szCs w:val="18"/>
              </w:rPr>
              <w:t>1%</w:t>
            </w:r>
          </w:p>
        </w:tc>
        <w:tc>
          <w:tcPr>
            <w:tcW w:w="706" w:type="dxa"/>
            <w:tcBorders>
              <w:right w:val="single" w:sz="4" w:space="0" w:color="auto"/>
            </w:tcBorders>
            <w:vAlign w:val="center"/>
          </w:tcPr>
          <w:p w14:paraId="59EFD586" w14:textId="595F15F6" w:rsidR="0002544C" w:rsidRPr="0002544C" w:rsidRDefault="0002544C" w:rsidP="00637889">
            <w:pPr>
              <w:pStyle w:val="TableTextRight"/>
              <w:spacing w:before="30" w:after="30"/>
              <w:rPr>
                <w:rFonts w:cs="Calibri Light"/>
                <w:szCs w:val="18"/>
              </w:rPr>
            </w:pPr>
            <w:r w:rsidRPr="0002544C">
              <w:rPr>
                <w:rFonts w:cs="Calibri Light"/>
                <w:szCs w:val="18"/>
              </w:rPr>
              <w:t>3%</w:t>
            </w:r>
          </w:p>
        </w:tc>
        <w:tc>
          <w:tcPr>
            <w:tcW w:w="987" w:type="dxa"/>
            <w:tcBorders>
              <w:left w:val="single" w:sz="4" w:space="0" w:color="auto"/>
            </w:tcBorders>
            <w:vAlign w:val="center"/>
          </w:tcPr>
          <w:p w14:paraId="60DF4C98" w14:textId="2FDA6FCF" w:rsidR="0002544C" w:rsidRPr="0002544C" w:rsidRDefault="0002544C" w:rsidP="00637889">
            <w:pPr>
              <w:pStyle w:val="TableTextRight"/>
              <w:spacing w:before="30" w:after="30"/>
              <w:rPr>
                <w:rFonts w:cs="Calibri Light"/>
                <w:szCs w:val="18"/>
              </w:rPr>
            </w:pPr>
            <w:r w:rsidRPr="0002544C">
              <w:rPr>
                <w:rFonts w:cs="Calibri Light"/>
                <w:szCs w:val="18"/>
              </w:rPr>
              <w:t>1%</w:t>
            </w:r>
          </w:p>
        </w:tc>
        <w:tc>
          <w:tcPr>
            <w:tcW w:w="987" w:type="dxa"/>
            <w:vAlign w:val="center"/>
          </w:tcPr>
          <w:p w14:paraId="718A5807" w14:textId="6A003230"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1410" w:type="dxa"/>
            <w:tcBorders>
              <w:right w:val="single" w:sz="4" w:space="0" w:color="auto"/>
            </w:tcBorders>
            <w:vAlign w:val="center"/>
          </w:tcPr>
          <w:p w14:paraId="63600B90" w14:textId="24923B0C" w:rsidR="0002544C" w:rsidRPr="0002544C" w:rsidRDefault="0002544C" w:rsidP="00637889">
            <w:pPr>
              <w:pStyle w:val="TableTextRight"/>
              <w:spacing w:before="30" w:after="30"/>
              <w:rPr>
                <w:rFonts w:cs="Calibri Light"/>
                <w:szCs w:val="18"/>
              </w:rPr>
            </w:pPr>
            <w:r w:rsidRPr="0002544C">
              <w:rPr>
                <w:rFonts w:cs="Calibri Light"/>
                <w:szCs w:val="18"/>
              </w:rPr>
              <w:t>5%</w:t>
            </w:r>
          </w:p>
        </w:tc>
        <w:tc>
          <w:tcPr>
            <w:tcW w:w="987" w:type="dxa"/>
            <w:tcBorders>
              <w:left w:val="single" w:sz="4" w:space="0" w:color="auto"/>
            </w:tcBorders>
            <w:vAlign w:val="center"/>
          </w:tcPr>
          <w:p w14:paraId="76A87970" w14:textId="18F00C82"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1100" w:type="dxa"/>
            <w:vAlign w:val="center"/>
          </w:tcPr>
          <w:p w14:paraId="3847ADA2" w14:textId="4C1CA633" w:rsidR="0002544C" w:rsidRPr="0002544C" w:rsidRDefault="0002544C" w:rsidP="00637889">
            <w:pPr>
              <w:pStyle w:val="TableTextRight"/>
              <w:spacing w:before="30" w:after="30"/>
              <w:rPr>
                <w:rFonts w:cs="Calibri Light"/>
                <w:szCs w:val="18"/>
              </w:rPr>
            </w:pPr>
            <w:r w:rsidRPr="0002544C">
              <w:rPr>
                <w:rFonts w:cs="Calibri Light"/>
                <w:szCs w:val="18"/>
              </w:rPr>
              <w:t>1%</w:t>
            </w:r>
          </w:p>
        </w:tc>
        <w:tc>
          <w:tcPr>
            <w:tcW w:w="1100" w:type="dxa"/>
            <w:vAlign w:val="center"/>
          </w:tcPr>
          <w:p w14:paraId="30DCE1B7" w14:textId="0220DD9B" w:rsidR="0002544C" w:rsidRPr="0002544C" w:rsidRDefault="0002544C" w:rsidP="00637889">
            <w:pPr>
              <w:pStyle w:val="TableTextRight"/>
              <w:spacing w:before="30" w:after="30"/>
              <w:rPr>
                <w:rFonts w:cs="Calibri Light"/>
                <w:szCs w:val="18"/>
              </w:rPr>
            </w:pPr>
            <w:r w:rsidRPr="0002544C">
              <w:rPr>
                <w:rFonts w:cs="Calibri Light"/>
                <w:szCs w:val="18"/>
              </w:rPr>
              <w:t>2%</w:t>
            </w:r>
          </w:p>
        </w:tc>
        <w:tc>
          <w:tcPr>
            <w:tcW w:w="1101" w:type="dxa"/>
            <w:tcBorders>
              <w:right w:val="single" w:sz="4" w:space="0" w:color="auto"/>
            </w:tcBorders>
            <w:vAlign w:val="center"/>
          </w:tcPr>
          <w:p w14:paraId="24CBF65C" w14:textId="41E22613" w:rsidR="0002544C" w:rsidRPr="0002544C" w:rsidRDefault="0002544C" w:rsidP="00637889">
            <w:pPr>
              <w:pStyle w:val="TableTextRight"/>
              <w:spacing w:before="30" w:after="30"/>
              <w:rPr>
                <w:rFonts w:cs="Calibri Light"/>
                <w:szCs w:val="18"/>
              </w:rPr>
            </w:pPr>
            <w:r w:rsidRPr="0002544C">
              <w:rPr>
                <w:rFonts w:cs="Calibri Light"/>
                <w:szCs w:val="18"/>
              </w:rPr>
              <w:t>3%</w:t>
            </w:r>
          </w:p>
        </w:tc>
        <w:tc>
          <w:tcPr>
            <w:tcW w:w="709" w:type="dxa"/>
            <w:tcBorders>
              <w:left w:val="single" w:sz="4" w:space="0" w:color="auto"/>
            </w:tcBorders>
            <w:vAlign w:val="center"/>
          </w:tcPr>
          <w:p w14:paraId="3FB6E8D6" w14:textId="1BDB8B89"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926" w:type="dxa"/>
            <w:tcBorders>
              <w:right w:val="single" w:sz="4" w:space="0" w:color="auto"/>
            </w:tcBorders>
            <w:vAlign w:val="center"/>
          </w:tcPr>
          <w:p w14:paraId="670F232B" w14:textId="5084CF13" w:rsidR="0002544C" w:rsidRPr="0002544C" w:rsidRDefault="0002544C" w:rsidP="00637889">
            <w:pPr>
              <w:pStyle w:val="TableTextRight"/>
              <w:spacing w:before="30" w:after="30"/>
              <w:rPr>
                <w:rFonts w:cs="Calibri Light"/>
                <w:szCs w:val="18"/>
              </w:rPr>
            </w:pPr>
            <w:r w:rsidRPr="0002544C">
              <w:rPr>
                <w:rFonts w:cs="Calibri Light"/>
                <w:szCs w:val="18"/>
              </w:rPr>
              <w:t>3%</w:t>
            </w:r>
          </w:p>
        </w:tc>
        <w:tc>
          <w:tcPr>
            <w:tcW w:w="603" w:type="dxa"/>
            <w:tcBorders>
              <w:left w:val="single" w:sz="4" w:space="0" w:color="auto"/>
            </w:tcBorders>
            <w:vAlign w:val="center"/>
          </w:tcPr>
          <w:p w14:paraId="4AC5291F" w14:textId="1208F09C" w:rsidR="0002544C" w:rsidRPr="0002544C" w:rsidRDefault="0002544C" w:rsidP="00637889">
            <w:pPr>
              <w:pStyle w:val="TableTextRight"/>
              <w:spacing w:before="30" w:after="30"/>
              <w:rPr>
                <w:rFonts w:cs="Calibri Light"/>
                <w:b/>
                <w:bCs/>
                <w:szCs w:val="18"/>
              </w:rPr>
            </w:pPr>
            <w:r w:rsidRPr="0002544C">
              <w:rPr>
                <w:rFonts w:cs="Calibri Light"/>
                <w:b/>
                <w:szCs w:val="18"/>
              </w:rPr>
              <w:t>1%</w:t>
            </w:r>
          </w:p>
        </w:tc>
      </w:tr>
      <w:tr w:rsidR="0002544C" w:rsidRPr="00883271" w14:paraId="2117D924" w14:textId="77777777" w:rsidTr="0002544C">
        <w:trPr>
          <w:cnfStyle w:val="000000010000" w:firstRow="0" w:lastRow="0" w:firstColumn="0" w:lastColumn="0" w:oddVBand="0" w:evenVBand="0" w:oddHBand="0" w:evenHBand="1" w:firstRowFirstColumn="0" w:firstRowLastColumn="0" w:lastRowFirstColumn="0" w:lastRowLastColumn="0"/>
          <w:trHeight w:val="20"/>
          <w:jc w:val="center"/>
        </w:trPr>
        <w:tc>
          <w:tcPr>
            <w:tcW w:w="1975" w:type="dxa"/>
            <w:vAlign w:val="center"/>
          </w:tcPr>
          <w:p w14:paraId="3280F26D" w14:textId="7C0348F1" w:rsidR="0002544C" w:rsidRPr="0002544C" w:rsidRDefault="0002544C" w:rsidP="00637889">
            <w:pPr>
              <w:pStyle w:val="TableTextLeft"/>
              <w:spacing w:before="30" w:after="30"/>
              <w:rPr>
                <w:rFonts w:cs="Calibri Light"/>
                <w:b/>
                <w:bCs/>
                <w:szCs w:val="18"/>
              </w:rPr>
            </w:pPr>
            <w:r w:rsidRPr="0002544C">
              <w:rPr>
                <w:rFonts w:cs="Calibri Light"/>
                <w:b/>
                <w:szCs w:val="18"/>
              </w:rPr>
              <w:t>Other Territories</w:t>
            </w:r>
          </w:p>
        </w:tc>
        <w:tc>
          <w:tcPr>
            <w:tcW w:w="987" w:type="dxa"/>
            <w:vAlign w:val="center"/>
          </w:tcPr>
          <w:p w14:paraId="17E118C4" w14:textId="25122F34" w:rsidR="0002544C" w:rsidRPr="0002544C" w:rsidRDefault="0002544C" w:rsidP="00637889">
            <w:pPr>
              <w:pStyle w:val="TableTextRight"/>
              <w:spacing w:before="30" w:after="30"/>
              <w:rPr>
                <w:rFonts w:cs="Calibri Light"/>
                <w:szCs w:val="18"/>
              </w:rPr>
            </w:pPr>
            <w:r w:rsidRPr="0002544C">
              <w:rPr>
                <w:rFonts w:cs="Calibri Light"/>
                <w:szCs w:val="18"/>
              </w:rPr>
              <w:t>1%</w:t>
            </w:r>
          </w:p>
        </w:tc>
        <w:tc>
          <w:tcPr>
            <w:tcW w:w="706" w:type="dxa"/>
            <w:tcBorders>
              <w:right w:val="single" w:sz="4" w:space="0" w:color="auto"/>
            </w:tcBorders>
            <w:vAlign w:val="center"/>
          </w:tcPr>
          <w:p w14:paraId="317FD086" w14:textId="45A995DD"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987" w:type="dxa"/>
            <w:tcBorders>
              <w:left w:val="single" w:sz="4" w:space="0" w:color="auto"/>
            </w:tcBorders>
            <w:vAlign w:val="center"/>
          </w:tcPr>
          <w:p w14:paraId="0F6F7CCC" w14:textId="15E70D10"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987" w:type="dxa"/>
            <w:vAlign w:val="center"/>
          </w:tcPr>
          <w:p w14:paraId="431368F6" w14:textId="5BECE71E"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1410" w:type="dxa"/>
            <w:tcBorders>
              <w:right w:val="single" w:sz="4" w:space="0" w:color="auto"/>
            </w:tcBorders>
            <w:vAlign w:val="center"/>
          </w:tcPr>
          <w:p w14:paraId="5AAE90D0" w14:textId="2A6B4E9B"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987" w:type="dxa"/>
            <w:tcBorders>
              <w:left w:val="single" w:sz="4" w:space="0" w:color="auto"/>
            </w:tcBorders>
            <w:vAlign w:val="center"/>
          </w:tcPr>
          <w:p w14:paraId="75F66788" w14:textId="71B34894"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1100" w:type="dxa"/>
            <w:vAlign w:val="center"/>
          </w:tcPr>
          <w:p w14:paraId="08EEC2CC" w14:textId="05F43F6B" w:rsidR="0002544C" w:rsidRPr="0002544C" w:rsidRDefault="0002544C" w:rsidP="00637889">
            <w:pPr>
              <w:pStyle w:val="TableTextRight"/>
              <w:spacing w:before="30" w:after="30"/>
              <w:rPr>
                <w:rFonts w:cs="Calibri Light"/>
                <w:szCs w:val="18"/>
              </w:rPr>
            </w:pPr>
            <w:r w:rsidRPr="0002544C">
              <w:rPr>
                <w:rFonts w:cs="Calibri Light"/>
                <w:szCs w:val="18"/>
              </w:rPr>
              <w:t>1%</w:t>
            </w:r>
          </w:p>
        </w:tc>
        <w:tc>
          <w:tcPr>
            <w:tcW w:w="1100" w:type="dxa"/>
            <w:vAlign w:val="center"/>
          </w:tcPr>
          <w:p w14:paraId="4AB3BF49" w14:textId="0631A3D9"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1101" w:type="dxa"/>
            <w:tcBorders>
              <w:right w:val="single" w:sz="4" w:space="0" w:color="auto"/>
            </w:tcBorders>
            <w:vAlign w:val="center"/>
          </w:tcPr>
          <w:p w14:paraId="6CBE2FAE" w14:textId="3967633F"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709" w:type="dxa"/>
            <w:tcBorders>
              <w:left w:val="single" w:sz="4" w:space="0" w:color="auto"/>
            </w:tcBorders>
            <w:vAlign w:val="center"/>
          </w:tcPr>
          <w:p w14:paraId="57381015" w14:textId="4E573031"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926" w:type="dxa"/>
            <w:tcBorders>
              <w:right w:val="single" w:sz="4" w:space="0" w:color="auto"/>
            </w:tcBorders>
            <w:vAlign w:val="center"/>
          </w:tcPr>
          <w:p w14:paraId="1CCDE8CC" w14:textId="01E0AC82" w:rsidR="0002544C" w:rsidRPr="0002544C" w:rsidRDefault="0002544C" w:rsidP="00637889">
            <w:pPr>
              <w:pStyle w:val="TableTextRight"/>
              <w:spacing w:before="30" w:after="30"/>
              <w:rPr>
                <w:rFonts w:cs="Calibri Light"/>
                <w:szCs w:val="18"/>
              </w:rPr>
            </w:pPr>
            <w:r w:rsidRPr="0002544C">
              <w:rPr>
                <w:rFonts w:cs="Calibri Light"/>
                <w:szCs w:val="18"/>
              </w:rPr>
              <w:t>0%</w:t>
            </w:r>
          </w:p>
        </w:tc>
        <w:tc>
          <w:tcPr>
            <w:tcW w:w="603" w:type="dxa"/>
            <w:tcBorders>
              <w:left w:val="single" w:sz="4" w:space="0" w:color="auto"/>
            </w:tcBorders>
            <w:vAlign w:val="center"/>
          </w:tcPr>
          <w:p w14:paraId="2268948E" w14:textId="2346AF80" w:rsidR="0002544C" w:rsidRPr="0002544C" w:rsidRDefault="0002544C" w:rsidP="00637889">
            <w:pPr>
              <w:pStyle w:val="TableTextRight"/>
              <w:spacing w:before="30" w:after="30"/>
              <w:rPr>
                <w:rFonts w:cs="Calibri Light"/>
                <w:b/>
                <w:bCs/>
                <w:szCs w:val="18"/>
              </w:rPr>
            </w:pPr>
            <w:r w:rsidRPr="0002544C">
              <w:rPr>
                <w:rFonts w:cs="Calibri Light"/>
                <w:b/>
                <w:szCs w:val="18"/>
              </w:rPr>
              <w:t>0%</w:t>
            </w:r>
          </w:p>
        </w:tc>
      </w:tr>
      <w:tr w:rsidR="00664208" w:rsidRPr="00883271" w14:paraId="2067A8D3" w14:textId="77777777" w:rsidTr="0002544C">
        <w:trPr>
          <w:cnfStyle w:val="000000100000" w:firstRow="0" w:lastRow="0" w:firstColumn="0" w:lastColumn="0" w:oddVBand="0" w:evenVBand="0" w:oddHBand="1" w:evenHBand="0" w:firstRowFirstColumn="0" w:firstRowLastColumn="0" w:lastRowFirstColumn="0" w:lastRowLastColumn="0"/>
          <w:trHeight w:val="113"/>
          <w:jc w:val="center"/>
        </w:trPr>
        <w:tc>
          <w:tcPr>
            <w:tcW w:w="1975" w:type="dxa"/>
            <w:tcBorders>
              <w:top w:val="single" w:sz="4" w:space="0" w:color="auto"/>
              <w:bottom w:val="single" w:sz="4" w:space="0" w:color="auto"/>
            </w:tcBorders>
            <w:shd w:val="clear" w:color="auto" w:fill="EEEEEE" w:themeFill="background2"/>
            <w:vAlign w:val="center"/>
          </w:tcPr>
          <w:p w14:paraId="2AF1ED7B" w14:textId="0DD119B3" w:rsidR="0002544C" w:rsidRPr="0002544C" w:rsidRDefault="0002544C" w:rsidP="00637889">
            <w:pPr>
              <w:pStyle w:val="TableTextLeft"/>
              <w:spacing w:before="30" w:after="30"/>
              <w:rPr>
                <w:rFonts w:cs="Calibri Light"/>
                <w:b/>
                <w:bCs/>
                <w:szCs w:val="18"/>
              </w:rPr>
            </w:pPr>
            <w:r w:rsidRPr="0002544C">
              <w:rPr>
                <w:rFonts w:cs="Calibri Light"/>
                <w:b/>
                <w:bCs/>
                <w:szCs w:val="18"/>
              </w:rPr>
              <w:t>Total responses (n)</w:t>
            </w:r>
          </w:p>
        </w:tc>
        <w:tc>
          <w:tcPr>
            <w:tcW w:w="987" w:type="dxa"/>
            <w:tcBorders>
              <w:top w:val="single" w:sz="4" w:space="0" w:color="auto"/>
              <w:bottom w:val="single" w:sz="4" w:space="0" w:color="auto"/>
            </w:tcBorders>
            <w:shd w:val="clear" w:color="auto" w:fill="EEEEEE" w:themeFill="background2"/>
            <w:vAlign w:val="center"/>
          </w:tcPr>
          <w:p w14:paraId="1E305264" w14:textId="29D3A71E" w:rsidR="0002544C" w:rsidRPr="0002544C" w:rsidRDefault="0002544C" w:rsidP="00637889">
            <w:pPr>
              <w:pStyle w:val="TableTextRight"/>
              <w:spacing w:before="30" w:after="30"/>
              <w:rPr>
                <w:rFonts w:cs="Calibri Light"/>
                <w:b/>
                <w:bCs/>
                <w:szCs w:val="18"/>
              </w:rPr>
            </w:pPr>
            <w:r w:rsidRPr="0002544C">
              <w:rPr>
                <w:rFonts w:cs="Calibri Light"/>
                <w:b/>
                <w:bCs/>
                <w:szCs w:val="18"/>
              </w:rPr>
              <w:t>159</w:t>
            </w:r>
          </w:p>
        </w:tc>
        <w:tc>
          <w:tcPr>
            <w:tcW w:w="706" w:type="dxa"/>
            <w:tcBorders>
              <w:top w:val="single" w:sz="4" w:space="0" w:color="auto"/>
              <w:bottom w:val="single" w:sz="4" w:space="0" w:color="auto"/>
              <w:right w:val="single" w:sz="4" w:space="0" w:color="auto"/>
            </w:tcBorders>
            <w:shd w:val="clear" w:color="auto" w:fill="EEEEEE" w:themeFill="background2"/>
            <w:vAlign w:val="center"/>
          </w:tcPr>
          <w:p w14:paraId="3ED57D7A" w14:textId="37BF017E" w:rsidR="0002544C" w:rsidRPr="0002544C" w:rsidRDefault="0002544C" w:rsidP="00637889">
            <w:pPr>
              <w:pStyle w:val="TableTextRight"/>
              <w:spacing w:before="30" w:after="30"/>
              <w:rPr>
                <w:rFonts w:cs="Calibri Light"/>
                <w:b/>
                <w:bCs/>
                <w:szCs w:val="18"/>
              </w:rPr>
            </w:pPr>
            <w:r w:rsidRPr="0002544C">
              <w:rPr>
                <w:rFonts w:cs="Calibri Light"/>
                <w:b/>
                <w:bCs/>
                <w:szCs w:val="18"/>
              </w:rPr>
              <w:t>111</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1F3B7F2C" w14:textId="35A8FF36" w:rsidR="0002544C" w:rsidRPr="0002544C" w:rsidRDefault="0002544C" w:rsidP="00637889">
            <w:pPr>
              <w:pStyle w:val="TableTextRight"/>
              <w:spacing w:before="30" w:after="30"/>
              <w:rPr>
                <w:rFonts w:cs="Calibri Light"/>
                <w:b/>
                <w:bCs/>
                <w:szCs w:val="18"/>
              </w:rPr>
            </w:pPr>
            <w:r w:rsidRPr="0002544C">
              <w:rPr>
                <w:rFonts w:cs="Calibri Light"/>
                <w:b/>
                <w:bCs/>
                <w:szCs w:val="18"/>
              </w:rPr>
              <w:t>204</w:t>
            </w:r>
          </w:p>
        </w:tc>
        <w:tc>
          <w:tcPr>
            <w:tcW w:w="987" w:type="dxa"/>
            <w:tcBorders>
              <w:top w:val="single" w:sz="4" w:space="0" w:color="auto"/>
              <w:bottom w:val="single" w:sz="4" w:space="0" w:color="auto"/>
            </w:tcBorders>
            <w:shd w:val="clear" w:color="auto" w:fill="EEEEEE" w:themeFill="background2"/>
            <w:vAlign w:val="center"/>
          </w:tcPr>
          <w:p w14:paraId="488A8A42" w14:textId="2F539C8D" w:rsidR="0002544C" w:rsidRPr="0002544C" w:rsidRDefault="0002544C" w:rsidP="00637889">
            <w:pPr>
              <w:pStyle w:val="TableTextRight"/>
              <w:spacing w:before="30" w:after="30"/>
              <w:rPr>
                <w:rFonts w:cs="Calibri Light"/>
                <w:b/>
                <w:bCs/>
                <w:szCs w:val="18"/>
              </w:rPr>
            </w:pPr>
            <w:r w:rsidRPr="0002544C">
              <w:rPr>
                <w:rFonts w:cs="Calibri Light"/>
                <w:b/>
                <w:bCs/>
                <w:szCs w:val="18"/>
              </w:rPr>
              <w:t>37</w:t>
            </w:r>
          </w:p>
        </w:tc>
        <w:tc>
          <w:tcPr>
            <w:tcW w:w="1410" w:type="dxa"/>
            <w:tcBorders>
              <w:top w:val="single" w:sz="4" w:space="0" w:color="auto"/>
              <w:bottom w:val="single" w:sz="4" w:space="0" w:color="auto"/>
              <w:right w:val="single" w:sz="4" w:space="0" w:color="auto"/>
            </w:tcBorders>
            <w:shd w:val="clear" w:color="auto" w:fill="EEEEEE" w:themeFill="background2"/>
            <w:vAlign w:val="center"/>
          </w:tcPr>
          <w:p w14:paraId="05E6E690" w14:textId="35A99036" w:rsidR="0002544C" w:rsidRPr="0002544C" w:rsidRDefault="0002544C" w:rsidP="00637889">
            <w:pPr>
              <w:pStyle w:val="TableTextRight"/>
              <w:spacing w:before="30" w:after="30"/>
              <w:rPr>
                <w:rFonts w:cs="Calibri Light"/>
                <w:b/>
                <w:bCs/>
                <w:szCs w:val="18"/>
              </w:rPr>
            </w:pPr>
            <w:r w:rsidRPr="0002544C">
              <w:rPr>
                <w:rFonts w:cs="Calibri Light"/>
                <w:b/>
                <w:bCs/>
                <w:szCs w:val="18"/>
              </w:rPr>
              <w:t>43</w:t>
            </w:r>
          </w:p>
        </w:tc>
        <w:tc>
          <w:tcPr>
            <w:tcW w:w="987" w:type="dxa"/>
            <w:tcBorders>
              <w:top w:val="single" w:sz="4" w:space="0" w:color="auto"/>
              <w:left w:val="single" w:sz="4" w:space="0" w:color="auto"/>
              <w:bottom w:val="single" w:sz="4" w:space="0" w:color="auto"/>
            </w:tcBorders>
            <w:shd w:val="clear" w:color="auto" w:fill="EEEEEE" w:themeFill="background2"/>
            <w:vAlign w:val="center"/>
          </w:tcPr>
          <w:p w14:paraId="0627DAF6" w14:textId="450E29EE" w:rsidR="0002544C" w:rsidRPr="0002544C" w:rsidRDefault="0002544C" w:rsidP="00637889">
            <w:pPr>
              <w:pStyle w:val="TableTextRight"/>
              <w:spacing w:before="30" w:after="30"/>
              <w:rPr>
                <w:rFonts w:cs="Calibri Light"/>
                <w:b/>
                <w:bCs/>
                <w:szCs w:val="18"/>
              </w:rPr>
            </w:pPr>
            <w:r w:rsidRPr="0002544C">
              <w:rPr>
                <w:rFonts w:cs="Calibri Light"/>
                <w:b/>
                <w:bCs/>
                <w:szCs w:val="18"/>
              </w:rPr>
              <w:t>41</w:t>
            </w:r>
          </w:p>
        </w:tc>
        <w:tc>
          <w:tcPr>
            <w:tcW w:w="1100" w:type="dxa"/>
            <w:tcBorders>
              <w:top w:val="single" w:sz="4" w:space="0" w:color="auto"/>
              <w:bottom w:val="single" w:sz="4" w:space="0" w:color="auto"/>
            </w:tcBorders>
            <w:shd w:val="clear" w:color="auto" w:fill="EEEEEE" w:themeFill="background2"/>
            <w:vAlign w:val="center"/>
          </w:tcPr>
          <w:p w14:paraId="4207CF22" w14:textId="4B6B5FC9" w:rsidR="0002544C" w:rsidRPr="0002544C" w:rsidRDefault="0002544C" w:rsidP="00637889">
            <w:pPr>
              <w:pStyle w:val="TableTextRight"/>
              <w:spacing w:before="30" w:after="30"/>
              <w:rPr>
                <w:rFonts w:cs="Calibri Light"/>
                <w:b/>
                <w:bCs/>
                <w:szCs w:val="18"/>
              </w:rPr>
            </w:pPr>
            <w:r w:rsidRPr="0002544C">
              <w:rPr>
                <w:rFonts w:cs="Calibri Light"/>
                <w:b/>
                <w:bCs/>
                <w:szCs w:val="18"/>
              </w:rPr>
              <w:t>85</w:t>
            </w:r>
          </w:p>
        </w:tc>
        <w:tc>
          <w:tcPr>
            <w:tcW w:w="1100" w:type="dxa"/>
            <w:tcBorders>
              <w:top w:val="single" w:sz="4" w:space="0" w:color="auto"/>
              <w:bottom w:val="single" w:sz="4" w:space="0" w:color="auto"/>
            </w:tcBorders>
            <w:shd w:val="clear" w:color="auto" w:fill="EEEEEE" w:themeFill="background2"/>
            <w:vAlign w:val="center"/>
          </w:tcPr>
          <w:p w14:paraId="40A214EE" w14:textId="71467111" w:rsidR="0002544C" w:rsidRPr="0002544C" w:rsidRDefault="0002544C" w:rsidP="00637889">
            <w:pPr>
              <w:pStyle w:val="TableTextRight"/>
              <w:spacing w:before="30" w:after="30"/>
              <w:rPr>
                <w:rFonts w:cs="Calibri Light"/>
                <w:b/>
                <w:bCs/>
                <w:szCs w:val="18"/>
              </w:rPr>
            </w:pPr>
            <w:r w:rsidRPr="0002544C">
              <w:rPr>
                <w:rFonts w:cs="Calibri Light"/>
                <w:b/>
                <w:bCs/>
                <w:szCs w:val="18"/>
              </w:rPr>
              <w:t>126</w:t>
            </w:r>
          </w:p>
        </w:tc>
        <w:tc>
          <w:tcPr>
            <w:tcW w:w="1101" w:type="dxa"/>
            <w:tcBorders>
              <w:top w:val="single" w:sz="4" w:space="0" w:color="auto"/>
              <w:bottom w:val="single" w:sz="4" w:space="0" w:color="auto"/>
              <w:right w:val="single" w:sz="4" w:space="0" w:color="auto"/>
            </w:tcBorders>
            <w:shd w:val="clear" w:color="auto" w:fill="EEEEEE" w:themeFill="background2"/>
            <w:vAlign w:val="center"/>
          </w:tcPr>
          <w:p w14:paraId="2509D68A" w14:textId="366C8B38" w:rsidR="0002544C" w:rsidRPr="0002544C" w:rsidRDefault="0002544C" w:rsidP="00637889">
            <w:pPr>
              <w:pStyle w:val="TableTextRight"/>
              <w:spacing w:before="30" w:after="30"/>
              <w:rPr>
                <w:rFonts w:cs="Calibri Light"/>
                <w:b/>
                <w:bCs/>
                <w:szCs w:val="18"/>
              </w:rPr>
            </w:pPr>
            <w:r w:rsidRPr="0002544C">
              <w:rPr>
                <w:rFonts w:cs="Calibri Light"/>
                <w:b/>
                <w:bCs/>
                <w:szCs w:val="18"/>
              </w:rPr>
              <w:t>36</w:t>
            </w:r>
          </w:p>
        </w:tc>
        <w:tc>
          <w:tcPr>
            <w:tcW w:w="709" w:type="dxa"/>
            <w:tcBorders>
              <w:top w:val="single" w:sz="4" w:space="0" w:color="auto"/>
              <w:left w:val="single" w:sz="4" w:space="0" w:color="auto"/>
              <w:bottom w:val="single" w:sz="4" w:space="0" w:color="auto"/>
            </w:tcBorders>
            <w:shd w:val="clear" w:color="auto" w:fill="EEEEEE" w:themeFill="background2"/>
            <w:vAlign w:val="center"/>
          </w:tcPr>
          <w:p w14:paraId="05782B14" w14:textId="7D25A880" w:rsidR="0002544C" w:rsidRPr="0002544C" w:rsidRDefault="0002544C" w:rsidP="00637889">
            <w:pPr>
              <w:pStyle w:val="TableTextRight"/>
              <w:spacing w:before="30" w:after="30"/>
              <w:rPr>
                <w:rFonts w:cs="Calibri Light"/>
                <w:b/>
                <w:bCs/>
                <w:szCs w:val="18"/>
              </w:rPr>
            </w:pPr>
            <w:r w:rsidRPr="0002544C">
              <w:rPr>
                <w:rFonts w:cs="Calibri Light"/>
                <w:b/>
                <w:bCs/>
                <w:szCs w:val="18"/>
              </w:rPr>
              <w:t>166</w:t>
            </w:r>
          </w:p>
        </w:tc>
        <w:tc>
          <w:tcPr>
            <w:tcW w:w="926" w:type="dxa"/>
            <w:tcBorders>
              <w:top w:val="single" w:sz="4" w:space="0" w:color="auto"/>
              <w:bottom w:val="single" w:sz="4" w:space="0" w:color="auto"/>
              <w:right w:val="single" w:sz="4" w:space="0" w:color="auto"/>
            </w:tcBorders>
            <w:shd w:val="clear" w:color="auto" w:fill="EEEEEE" w:themeFill="background2"/>
            <w:vAlign w:val="center"/>
          </w:tcPr>
          <w:p w14:paraId="6E19418E" w14:textId="28BE2971" w:rsidR="0002544C" w:rsidRPr="0002544C" w:rsidRDefault="0002544C" w:rsidP="00637889">
            <w:pPr>
              <w:pStyle w:val="TableTextRight"/>
              <w:spacing w:before="30" w:after="30"/>
              <w:rPr>
                <w:rFonts w:cs="Calibri Light"/>
                <w:b/>
                <w:bCs/>
                <w:szCs w:val="18"/>
              </w:rPr>
            </w:pPr>
            <w:r w:rsidRPr="0002544C">
              <w:rPr>
                <w:rFonts w:cs="Calibri Light"/>
                <w:b/>
                <w:bCs/>
                <w:szCs w:val="18"/>
              </w:rPr>
              <w:t>125</w:t>
            </w:r>
          </w:p>
        </w:tc>
        <w:tc>
          <w:tcPr>
            <w:tcW w:w="603" w:type="dxa"/>
            <w:tcBorders>
              <w:top w:val="single" w:sz="4" w:space="0" w:color="auto"/>
              <w:left w:val="single" w:sz="4" w:space="0" w:color="auto"/>
              <w:bottom w:val="single" w:sz="4" w:space="0" w:color="auto"/>
            </w:tcBorders>
            <w:shd w:val="clear" w:color="auto" w:fill="EEEEEE" w:themeFill="background2"/>
            <w:vAlign w:val="center"/>
          </w:tcPr>
          <w:p w14:paraId="59F4D3A1" w14:textId="2248A01B" w:rsidR="0002544C" w:rsidRPr="0002544C" w:rsidRDefault="0002544C" w:rsidP="00637889">
            <w:pPr>
              <w:pStyle w:val="TableTextRight"/>
              <w:spacing w:before="30" w:after="30"/>
              <w:rPr>
                <w:rFonts w:cs="Calibri Light"/>
                <w:b/>
                <w:bCs/>
                <w:szCs w:val="18"/>
              </w:rPr>
            </w:pPr>
            <w:r w:rsidRPr="0002544C">
              <w:rPr>
                <w:rFonts w:cs="Calibri Light"/>
                <w:b/>
                <w:bCs/>
                <w:szCs w:val="18"/>
              </w:rPr>
              <w:t>292</w:t>
            </w:r>
          </w:p>
        </w:tc>
      </w:tr>
    </w:tbl>
    <w:p w14:paraId="05645F2D" w14:textId="77777777" w:rsidR="0002544C" w:rsidRPr="00883271" w:rsidRDefault="0002544C">
      <w:pPr>
        <w:spacing w:before="0" w:after="160" w:line="259" w:lineRule="auto"/>
        <w:rPr>
          <w:sz w:val="19"/>
          <w:szCs w:val="19"/>
        </w:rPr>
      </w:pPr>
    </w:p>
    <w:p w14:paraId="27CB7621" w14:textId="77777777" w:rsidR="000B1302" w:rsidRPr="00883271" w:rsidRDefault="000B1302" w:rsidP="00D85231">
      <w:pPr>
        <w:tabs>
          <w:tab w:val="left" w:pos="8939"/>
        </w:tabs>
        <w:rPr>
          <w:sz w:val="19"/>
          <w:szCs w:val="19"/>
        </w:rPr>
        <w:sectPr w:rsidR="000B1302" w:rsidRPr="00883271" w:rsidSect="00637889">
          <w:headerReference w:type="even" r:id="rId60"/>
          <w:headerReference w:type="default" r:id="rId61"/>
          <w:footerReference w:type="default" r:id="rId62"/>
          <w:headerReference w:type="first" r:id="rId63"/>
          <w:pgSz w:w="16838" w:h="11906" w:orient="landscape" w:code="9"/>
          <w:pgMar w:top="1843" w:right="1418" w:bottom="1418" w:left="1418" w:header="709" w:footer="709" w:gutter="0"/>
          <w:cols w:space="708"/>
          <w:docGrid w:linePitch="360"/>
        </w:sectPr>
      </w:pPr>
    </w:p>
    <w:p w14:paraId="06D4EAC3" w14:textId="77777777" w:rsidR="000B1302" w:rsidRPr="00883271" w:rsidRDefault="000B1302" w:rsidP="0002544C">
      <w:pPr>
        <w:pStyle w:val="Heading1"/>
        <w:spacing w:before="0"/>
      </w:pPr>
      <w:bookmarkStart w:id="102" w:name="_Toc211963339"/>
      <w:bookmarkStart w:id="103" w:name="_Toc213340417"/>
      <w:r w:rsidRPr="00883271">
        <w:lastRenderedPageBreak/>
        <w:t xml:space="preserve">Appendix B – International </w:t>
      </w:r>
      <w:bookmarkEnd w:id="99"/>
      <w:bookmarkEnd w:id="102"/>
      <w:r w:rsidRPr="00883271">
        <w:t>frameworks</w:t>
      </w:r>
      <w:bookmarkEnd w:id="103"/>
      <w:r w:rsidRPr="00883271">
        <w:t xml:space="preserve"> </w:t>
      </w:r>
    </w:p>
    <w:p w14:paraId="313EF9DB" w14:textId="77777777" w:rsidR="000B1302" w:rsidRPr="00883271" w:rsidRDefault="000B1302" w:rsidP="00284E88">
      <w:pPr>
        <w:spacing w:after="70"/>
      </w:pPr>
      <w:r w:rsidRPr="00883271">
        <w:t xml:space="preserve">In recent years the right to repair movement has gained significant momentum internationally. Many jurisdictions, including the United States (US), the European Union (EU) and Canada have introduced right to repair policies aimed at making repairs easier, more affordable, and more accessible. For example: </w:t>
      </w:r>
    </w:p>
    <w:p w14:paraId="5804172E" w14:textId="77777777" w:rsidR="000B1302" w:rsidRPr="0002544C" w:rsidRDefault="000B1302" w:rsidP="00284E88">
      <w:pPr>
        <w:pStyle w:val="Bullet"/>
        <w:spacing w:after="70"/>
      </w:pPr>
      <w:r w:rsidRPr="00883271">
        <w:t xml:space="preserve">France and Belgium have both </w:t>
      </w:r>
      <w:r w:rsidRPr="0002544C">
        <w:t xml:space="preserve">introduced a repairability index for certain goods, </w:t>
      </w:r>
    </w:p>
    <w:p w14:paraId="2FFA2AA3" w14:textId="77777777" w:rsidR="000B1302" w:rsidRPr="00883271" w:rsidRDefault="000B1302" w:rsidP="00284E88">
      <w:pPr>
        <w:pStyle w:val="Bullet"/>
        <w:spacing w:after="70"/>
      </w:pPr>
      <w:r w:rsidRPr="0002544C">
        <w:t>Canada progressed amendments to</w:t>
      </w:r>
      <w:r w:rsidRPr="00883271">
        <w:t xml:space="preserve"> its: </w:t>
      </w:r>
    </w:p>
    <w:p w14:paraId="2B426A69" w14:textId="77777777" w:rsidR="000B1302" w:rsidRPr="0002544C" w:rsidRDefault="000B1302" w:rsidP="00284E88">
      <w:pPr>
        <w:pStyle w:val="Dash"/>
        <w:spacing w:after="70"/>
      </w:pPr>
      <w:r w:rsidRPr="00883271">
        <w:t xml:space="preserve">Copyright Act in 2024 to enable digital lock circumvention for the purpose of repair and to enable interoperability </w:t>
      </w:r>
      <w:r w:rsidRPr="0002544C">
        <w:t>between</w:t>
      </w:r>
      <w:r w:rsidRPr="0002544C" w:rsidDel="005406E7">
        <w:t xml:space="preserve"> </w:t>
      </w:r>
      <w:r w:rsidRPr="0002544C">
        <w:t xml:space="preserve">devices and software, and </w:t>
      </w:r>
    </w:p>
    <w:p w14:paraId="2DF904A7" w14:textId="77777777" w:rsidR="000B1302" w:rsidRPr="00883271" w:rsidRDefault="000B1302" w:rsidP="00284E88">
      <w:pPr>
        <w:pStyle w:val="Dash"/>
        <w:spacing w:after="70"/>
      </w:pPr>
      <w:r w:rsidRPr="0002544C">
        <w:t>Competition Act in 2025 to prevent manufacturers from refusing to provide diagnosis and repair information or related products</w:t>
      </w:r>
      <w:r w:rsidRPr="00883271">
        <w:t xml:space="preserve"> to a person under certain conditions, and</w:t>
      </w:r>
      <w:r w:rsidRPr="00883271">
        <w:rPr>
          <w:rStyle w:val="FootnoteReference"/>
          <w:szCs w:val="21"/>
        </w:rPr>
        <w:footnoteReference w:id="116"/>
      </w:r>
    </w:p>
    <w:p w14:paraId="45345196" w14:textId="77777777" w:rsidR="000B1302" w:rsidRPr="00883271" w:rsidRDefault="000B1302" w:rsidP="0002544C">
      <w:pPr>
        <w:pStyle w:val="Bullet"/>
      </w:pPr>
      <w:r w:rsidRPr="00883271">
        <w:t xml:space="preserve">Colorado has enacted legislation providing access to parts, tools, documentation and software for electric wheelchairs. </w:t>
      </w:r>
    </w:p>
    <w:p w14:paraId="032AB5F2" w14:textId="77777777" w:rsidR="000B1302" w:rsidRPr="00883271" w:rsidRDefault="000B1302" w:rsidP="0002544C">
      <w:r w:rsidRPr="00883271">
        <w:t>For passenger vehicles, the EU and some states in the US have mandated that OEMs provide access to repair and service information to independent repairers and, in some circumstances, to consumers. The degree of alignment between the Australian, US and EU frameworks was a consistent theme throughout the course of the Review. The following sections set out key aspects of</w:t>
      </w:r>
      <w:r w:rsidRPr="00883271" w:rsidDel="00E53897">
        <w:t xml:space="preserve"> </w:t>
      </w:r>
      <w:r w:rsidRPr="00883271">
        <w:t xml:space="preserve">the EU and US motor vehicle information sharing arrangements. </w:t>
      </w:r>
    </w:p>
    <w:p w14:paraId="1892BF36" w14:textId="77777777" w:rsidR="000B1302" w:rsidRPr="004343EF" w:rsidRDefault="000B1302" w:rsidP="00284E88">
      <w:pPr>
        <w:pStyle w:val="Heading2"/>
        <w:spacing w:before="280"/>
      </w:pPr>
      <w:bookmarkStart w:id="104" w:name="_Toc211963340"/>
      <w:bookmarkStart w:id="105" w:name="_Toc212130878"/>
      <w:bookmarkStart w:id="106" w:name="_Toc213229603"/>
      <w:bookmarkStart w:id="107" w:name="_Toc213335217"/>
      <w:bookmarkStart w:id="108" w:name="_Toc213340418"/>
      <w:r w:rsidRPr="004343EF">
        <w:t xml:space="preserve">European </w:t>
      </w:r>
      <w:r w:rsidRPr="0002544C">
        <w:t>Union</w:t>
      </w:r>
      <w:bookmarkEnd w:id="104"/>
      <w:bookmarkEnd w:id="105"/>
      <w:bookmarkEnd w:id="106"/>
      <w:bookmarkEnd w:id="107"/>
      <w:bookmarkEnd w:id="108"/>
    </w:p>
    <w:p w14:paraId="50BE3A3C" w14:textId="77777777" w:rsidR="000B1302" w:rsidRPr="00883271" w:rsidRDefault="000B1302" w:rsidP="0002544C">
      <w:r w:rsidRPr="00883271">
        <w:t>Since 2009, vehicle manufacturers in the EU have been required to ensure that independent operators (repairers) have unrestricted and standardised access to vehicle repair and maintenance information (RMI) under Regulation 715/2007.</w:t>
      </w:r>
      <w:r w:rsidRPr="00637889">
        <w:rPr>
          <w:rStyle w:val="FootnoteReference"/>
        </w:rPr>
        <w:footnoteReference w:id="117"/>
      </w:r>
      <w:r w:rsidRPr="00883271">
        <w:t xml:space="preserve"> The framework permits manufacturers to charge reasonable and proportionate fees for access to RMI and requires information to be made available on a daily, monthly and yearly basis. </w:t>
      </w:r>
    </w:p>
    <w:p w14:paraId="2CCCE272" w14:textId="176FE9FA" w:rsidR="000B1302" w:rsidRPr="00883271" w:rsidRDefault="000B1302" w:rsidP="00284E88">
      <w:pPr>
        <w:spacing w:after="60"/>
      </w:pPr>
      <w:r w:rsidRPr="00883271">
        <w:t>This regulation, which forms part of the EU</w:t>
      </w:r>
      <w:r w:rsidR="00BF0433">
        <w:t>’</w:t>
      </w:r>
      <w:r w:rsidRPr="00883271">
        <w:t xml:space="preserve">s broader type approval framework for motor vehicles, facilitates access to RMI for </w:t>
      </w:r>
      <w:r w:rsidR="00BF0433">
        <w:t>‘</w:t>
      </w:r>
      <w:r w:rsidRPr="00883271">
        <w:t>independent operators</w:t>
      </w:r>
      <w:r w:rsidR="00BF0433">
        <w:t>’</w:t>
      </w:r>
      <w:r w:rsidRPr="00883271">
        <w:t xml:space="preserve">. RMI is similar in scope to scheme information and includes: </w:t>
      </w:r>
    </w:p>
    <w:p w14:paraId="4B17F04D" w14:textId="77777777" w:rsidR="000B1302" w:rsidRPr="0002544C" w:rsidRDefault="000B1302" w:rsidP="00284E88">
      <w:pPr>
        <w:pStyle w:val="Bullet"/>
        <w:spacing w:after="60"/>
      </w:pPr>
      <w:r w:rsidRPr="0002544C">
        <w:t xml:space="preserve">VIN </w:t>
      </w:r>
    </w:p>
    <w:p w14:paraId="706A9F59" w14:textId="77777777" w:rsidR="000B1302" w:rsidRPr="0002544C" w:rsidRDefault="000B1302" w:rsidP="00284E88">
      <w:pPr>
        <w:pStyle w:val="Bullet"/>
        <w:spacing w:after="60"/>
      </w:pPr>
      <w:r w:rsidRPr="0002544C">
        <w:t xml:space="preserve">Service handbooks </w:t>
      </w:r>
    </w:p>
    <w:p w14:paraId="45701051" w14:textId="77777777" w:rsidR="000B1302" w:rsidRPr="0002544C" w:rsidRDefault="000B1302" w:rsidP="00284E88">
      <w:pPr>
        <w:pStyle w:val="Bullet"/>
        <w:spacing w:after="60"/>
      </w:pPr>
      <w:r w:rsidRPr="0002544C">
        <w:t xml:space="preserve">Technical manuals </w:t>
      </w:r>
    </w:p>
    <w:p w14:paraId="772EDE58" w14:textId="77777777" w:rsidR="000B1302" w:rsidRPr="0002544C" w:rsidRDefault="000B1302" w:rsidP="00284E88">
      <w:pPr>
        <w:pStyle w:val="Bullet"/>
        <w:spacing w:after="60"/>
      </w:pPr>
      <w:r w:rsidRPr="0002544C">
        <w:t xml:space="preserve">Component diagnosis information </w:t>
      </w:r>
    </w:p>
    <w:p w14:paraId="5C14DDE3" w14:textId="77777777" w:rsidR="000B1302" w:rsidRPr="0002544C" w:rsidRDefault="000B1302" w:rsidP="00284E88">
      <w:pPr>
        <w:pStyle w:val="Bullet"/>
        <w:spacing w:after="60"/>
      </w:pPr>
      <w:r w:rsidRPr="0002544C">
        <w:t xml:space="preserve">Diagnostic trouble codes </w:t>
      </w:r>
    </w:p>
    <w:p w14:paraId="27913A7D" w14:textId="77777777" w:rsidR="000B1302" w:rsidRPr="0002544C" w:rsidRDefault="000B1302" w:rsidP="00284E88">
      <w:pPr>
        <w:pStyle w:val="Bullet"/>
        <w:spacing w:after="60"/>
      </w:pPr>
      <w:r w:rsidRPr="0002544C">
        <w:t xml:space="preserve">Information provided concerning, and delivered by means of, proprietary tools, and </w:t>
      </w:r>
    </w:p>
    <w:p w14:paraId="097D8BE7" w14:textId="7D41D9B5" w:rsidR="000B1302" w:rsidRPr="00883271" w:rsidRDefault="000B1302" w:rsidP="0002544C">
      <w:pPr>
        <w:pStyle w:val="Bullet"/>
        <w:rPr>
          <w:sz w:val="21"/>
          <w:szCs w:val="21"/>
        </w:rPr>
      </w:pPr>
      <w:r w:rsidRPr="0002544C">
        <w:t>Data reco</w:t>
      </w:r>
      <w:r w:rsidRPr="00883271">
        <w:rPr>
          <w:sz w:val="21"/>
          <w:szCs w:val="21"/>
        </w:rPr>
        <w:t>rded information and two</w:t>
      </w:r>
      <w:r w:rsidR="007B3C6A">
        <w:rPr>
          <w:sz w:val="21"/>
          <w:szCs w:val="21"/>
        </w:rPr>
        <w:noBreakHyphen/>
      </w:r>
      <w:r w:rsidRPr="00883271">
        <w:rPr>
          <w:sz w:val="21"/>
          <w:szCs w:val="21"/>
        </w:rPr>
        <w:t>directional monitoring and test data.</w:t>
      </w:r>
    </w:p>
    <w:p w14:paraId="306CE321" w14:textId="11F9876E" w:rsidR="000B1302" w:rsidRPr="00883271" w:rsidRDefault="00BF0433" w:rsidP="0002544C">
      <w:r>
        <w:lastRenderedPageBreak/>
        <w:t>‘</w:t>
      </w:r>
      <w:r w:rsidR="000B1302" w:rsidRPr="00883271">
        <w:t>Independent operators</w:t>
      </w:r>
      <w:r>
        <w:t>’</w:t>
      </w:r>
      <w:r w:rsidR="000B1302" w:rsidRPr="00883271">
        <w:t xml:space="preserve"> is broadly defined and, in contrast to the Australian scheme, provides access to scheme information for entities including publishers of technical information and manufacturers or distributors of repair equipment, tools or spare parts. </w:t>
      </w:r>
    </w:p>
    <w:p w14:paraId="5C522408" w14:textId="77777777" w:rsidR="000B1302" w:rsidRPr="00883271" w:rsidRDefault="000B1302" w:rsidP="0002544C">
      <w:r w:rsidRPr="00883271">
        <w:t>Other key differences between the scheme and EU arrangements include that OEMs must provide access to:</w:t>
      </w:r>
    </w:p>
    <w:p w14:paraId="563D25D7" w14:textId="77777777" w:rsidR="000B1302" w:rsidRPr="0002544C" w:rsidRDefault="000B1302" w:rsidP="0002544C">
      <w:pPr>
        <w:pStyle w:val="Bullet"/>
      </w:pPr>
      <w:r w:rsidRPr="0002544C">
        <w:t>reprogramming capabilities using standardised or publicly documented interfaces</w:t>
      </w:r>
    </w:p>
    <w:p w14:paraId="02E18845" w14:textId="77777777" w:rsidR="000B1302" w:rsidRPr="00883271" w:rsidRDefault="000B1302" w:rsidP="0002544C">
      <w:pPr>
        <w:pStyle w:val="Bullet"/>
      </w:pPr>
      <w:r w:rsidRPr="0002544C">
        <w:t>diagnosti</w:t>
      </w:r>
      <w:r w:rsidRPr="00883271">
        <w:t>c and other equipment or tools, including the complete references and available downloads of any applicable software.</w:t>
      </w:r>
    </w:p>
    <w:p w14:paraId="21356668" w14:textId="28933283" w:rsidR="000B1302" w:rsidRPr="00883271" w:rsidRDefault="000B1302" w:rsidP="0002544C">
      <w:r w:rsidRPr="00883271">
        <w:t xml:space="preserve">It is expected that the EU landscape will change through forthcoming amendments to Annex X of the Type Approval Regulation 2018/858 </w:t>
      </w:r>
      <w:r w:rsidR="00BF0433">
        <w:t>‘</w:t>
      </w:r>
      <w:r w:rsidRPr="00883271">
        <w:t>Access to Repair and Maintenance Information</w:t>
      </w:r>
      <w:r w:rsidR="00BF0433">
        <w:t>’</w:t>
      </w:r>
      <w:r w:rsidRPr="00883271">
        <w:t>. This amendment aims to establish technical requirements and procedures for the access to vehicle OBD information and RMI regardless of a vehicle</w:t>
      </w:r>
      <w:r w:rsidR="00BF0433">
        <w:t>’</w:t>
      </w:r>
      <w:r w:rsidRPr="00883271">
        <w:t xml:space="preserve">s powertrain type. </w:t>
      </w:r>
      <w:r w:rsidRPr="00883271" w:rsidDel="00534CF3">
        <w:t>Updates</w:t>
      </w:r>
      <w:r w:rsidRPr="00883271">
        <w:t xml:space="preserve"> include:</w:t>
      </w:r>
    </w:p>
    <w:p w14:paraId="18A66520" w14:textId="77777777" w:rsidR="000B1302" w:rsidRPr="0002544C" w:rsidRDefault="000B1302" w:rsidP="0002544C">
      <w:pPr>
        <w:pStyle w:val="Bullet"/>
      </w:pPr>
      <w:r w:rsidRPr="00883271">
        <w:t xml:space="preserve">extended rights of </w:t>
      </w:r>
      <w:r w:rsidRPr="0002544C">
        <w:t>access to OBD information and the vehicle data stream, subject to authentication of the workshops</w:t>
      </w:r>
    </w:p>
    <w:p w14:paraId="42822FBA" w14:textId="77777777" w:rsidR="000B1302" w:rsidRPr="0002544C" w:rsidRDefault="000B1302" w:rsidP="0002544C">
      <w:pPr>
        <w:pStyle w:val="Bullet"/>
      </w:pPr>
      <w:r w:rsidRPr="0002544C">
        <w:t>offering independent operators, the same level of access as authorised dealers and repairers</w:t>
      </w:r>
    </w:p>
    <w:p w14:paraId="176DC7C4" w14:textId="77777777" w:rsidR="000B1302" w:rsidRPr="0002544C" w:rsidRDefault="000B1302" w:rsidP="0002544C">
      <w:pPr>
        <w:pStyle w:val="Bullet"/>
      </w:pPr>
      <w:r w:rsidRPr="0002544C">
        <w:t>references to the EN ISO 18541 standard which defines the structure and content of OEM websites used to disseminate RMI</w:t>
      </w:r>
    </w:p>
    <w:p w14:paraId="699571D5" w14:textId="77777777" w:rsidR="000B1302" w:rsidRPr="0002544C" w:rsidRDefault="000B1302" w:rsidP="0002544C">
      <w:pPr>
        <w:pStyle w:val="Bullet"/>
      </w:pPr>
      <w:r w:rsidRPr="0002544C">
        <w:t>specific provisions for accessing vehicle security features, requiring independent operators to meet authorisation criteria.</w:t>
      </w:r>
    </w:p>
    <w:p w14:paraId="253CEB19" w14:textId="4B3B81AF" w:rsidR="000B1302" w:rsidRPr="00883271" w:rsidRDefault="000B1302" w:rsidP="0002544C">
      <w:r w:rsidRPr="00883271">
        <w:t>It is expected that the amendments will address long</w:t>
      </w:r>
      <w:r w:rsidR="007B3C6A">
        <w:noBreakHyphen/>
      </w:r>
      <w:r w:rsidRPr="00883271">
        <w:t xml:space="preserve">standing concerns about the fragmented and inconsistent availability of RMI data across OEMs, which has posed challenges for independent operators in that market. </w:t>
      </w:r>
    </w:p>
    <w:p w14:paraId="2D13D515" w14:textId="77777777" w:rsidR="000B1302" w:rsidRPr="004343EF" w:rsidRDefault="000B1302" w:rsidP="00284E88">
      <w:pPr>
        <w:pStyle w:val="Heading2"/>
        <w:spacing w:before="320"/>
      </w:pPr>
      <w:bookmarkStart w:id="109" w:name="_Toc211963341"/>
      <w:bookmarkStart w:id="110" w:name="_Toc212130879"/>
      <w:bookmarkStart w:id="111" w:name="_Toc213229604"/>
      <w:bookmarkStart w:id="112" w:name="_Toc213335218"/>
      <w:bookmarkStart w:id="113" w:name="_Toc213340419"/>
      <w:r w:rsidRPr="004343EF">
        <w:t xml:space="preserve">United </w:t>
      </w:r>
      <w:r w:rsidRPr="0002544C">
        <w:t>States</w:t>
      </w:r>
      <w:bookmarkEnd w:id="109"/>
      <w:bookmarkEnd w:id="110"/>
      <w:bookmarkEnd w:id="111"/>
      <w:bookmarkEnd w:id="112"/>
      <w:bookmarkEnd w:id="113"/>
    </w:p>
    <w:p w14:paraId="6CE2468A" w14:textId="77777777" w:rsidR="000B1302" w:rsidRPr="00883271" w:rsidRDefault="000B1302" w:rsidP="0002544C">
      <w:r w:rsidRPr="00883271">
        <w:t>Currently, Massachusetts (2012)</w:t>
      </w:r>
      <w:r w:rsidRPr="00883271">
        <w:rPr>
          <w:rStyle w:val="FootnoteReference"/>
          <w:szCs w:val="21"/>
        </w:rPr>
        <w:footnoteReference w:id="118"/>
      </w:r>
      <w:r w:rsidRPr="00883271">
        <w:t xml:space="preserve"> and Maine (2023)</w:t>
      </w:r>
      <w:r w:rsidRPr="00883271">
        <w:rPr>
          <w:rStyle w:val="FootnoteReference"/>
          <w:szCs w:val="21"/>
        </w:rPr>
        <w:footnoteReference w:id="119"/>
      </w:r>
      <w:r w:rsidRPr="00883271">
        <w:t xml:space="preserve"> have enacted legislation similar to the scheme requiring motor vehicle manufacturers to supply repair and service information to vehicle owners and repairers.</w:t>
      </w:r>
    </w:p>
    <w:p w14:paraId="3FB91A03" w14:textId="77777777" w:rsidR="000B1302" w:rsidRPr="00883271" w:rsidRDefault="000B1302" w:rsidP="0002544C">
      <w:pPr>
        <w:rPr>
          <w:lang w:val="en-US"/>
        </w:rPr>
      </w:pPr>
      <w:r w:rsidRPr="00883271">
        <w:t>The Massachusetts right to repair law</w:t>
      </w:r>
      <w:r w:rsidRPr="00883271">
        <w:rPr>
          <w:rFonts w:ascii="Aptos" w:hAnsi="Aptos" w:cs="Calibri"/>
          <w:color w:val="000000"/>
          <w:lang w:val="en-US"/>
        </w:rPr>
        <w:t xml:space="preserve"> </w:t>
      </w:r>
      <w:r w:rsidRPr="00883271">
        <w:rPr>
          <w:lang w:val="en-US"/>
        </w:rPr>
        <w:t xml:space="preserve">mandates open, standardised access to vehicle diagnostic and repair information, including telematics, for independent repairers and vehicle owners. Specifically, it requires OEMs to provide: </w:t>
      </w:r>
    </w:p>
    <w:p w14:paraId="3B27C4EC" w14:textId="4B725516" w:rsidR="000B1302" w:rsidRPr="00883271" w:rsidRDefault="000B1302" w:rsidP="0002544C">
      <w:pPr>
        <w:pStyle w:val="Bullet"/>
      </w:pPr>
      <w:r w:rsidRPr="00883271">
        <w:t xml:space="preserve">vehicle owners and independent repairers with </w:t>
      </w:r>
      <w:r w:rsidRPr="0002544C">
        <w:t>access</w:t>
      </w:r>
      <w:r w:rsidRPr="00883271">
        <w:t xml:space="preserve"> to the same diagnostic and repair information made available to the manufacturer</w:t>
      </w:r>
      <w:r w:rsidR="00BF0433">
        <w:t>’</w:t>
      </w:r>
      <w:r w:rsidRPr="00883271">
        <w:t>s dealers</w:t>
      </w:r>
    </w:p>
    <w:p w14:paraId="7FBA77C8" w14:textId="77777777" w:rsidR="000B1302" w:rsidRPr="00883271" w:rsidRDefault="000B1302" w:rsidP="0002544C">
      <w:pPr>
        <w:pStyle w:val="Bullet"/>
      </w:pPr>
      <w:r w:rsidRPr="00883271">
        <w:t xml:space="preserve">diagnostic </w:t>
      </w:r>
      <w:r w:rsidRPr="0002544C">
        <w:t>repair</w:t>
      </w:r>
      <w:r w:rsidRPr="00883271">
        <w:t xml:space="preserve"> information to each aftermarket scan tool company and third party service information provider with whom the manufacturer has relevant licensing, contractual or confidentiality agreements.</w:t>
      </w:r>
    </w:p>
    <w:p w14:paraId="2F9242FF" w14:textId="42979453" w:rsidR="000B1302" w:rsidRPr="00883271" w:rsidRDefault="000B1302" w:rsidP="0002544C">
      <w:r w:rsidRPr="00883271">
        <w:lastRenderedPageBreak/>
        <w:t>The Massachusetts scheme became the basis for a national private Memorandum of Understanding (MoU) between vehicle manufacturers and the automotive aftermarket, signed in January 2014. The MoU extended the scope of the right to repair law and strengthened several aspects of access to service information, tools and software needed to work on computerised vehicles made from 2018 onwards. It</w:t>
      </w:r>
      <w:r w:rsidRPr="00883271" w:rsidDel="004A26A3">
        <w:t xml:space="preserve"> </w:t>
      </w:r>
      <w:r w:rsidRPr="00883271">
        <w:t>applied the Massachusetts law</w:t>
      </w:r>
      <w:r w:rsidR="00BF0433">
        <w:t>’</w:t>
      </w:r>
      <w:r w:rsidRPr="00883271">
        <w:t>s provisions nationwide on a voluntary basis, ensuring that independent repairers would receive the same diagnostic and repair information as franchised dealers.</w:t>
      </w:r>
    </w:p>
    <w:p w14:paraId="1076B108" w14:textId="03440DA0" w:rsidR="00284E88" w:rsidRDefault="000B1302" w:rsidP="0002544C">
      <w:pPr>
        <w:sectPr w:rsidR="00284E88" w:rsidSect="0028191F">
          <w:headerReference w:type="default" r:id="rId64"/>
          <w:footerReference w:type="default" r:id="rId65"/>
          <w:headerReference w:type="first" r:id="rId66"/>
          <w:pgSz w:w="11906" w:h="16838" w:code="9"/>
          <w:pgMar w:top="1843" w:right="1418" w:bottom="1418" w:left="1418" w:header="709" w:footer="709" w:gutter="0"/>
          <w:cols w:space="708"/>
          <w:docGrid w:linePitch="360"/>
        </w:sectPr>
      </w:pPr>
      <w:r w:rsidRPr="00883271">
        <w:t xml:space="preserve">Currently a Federal Bill, the </w:t>
      </w:r>
      <w:r w:rsidRPr="00883271">
        <w:rPr>
          <w:i/>
        </w:rPr>
        <w:t>Right to Equitable and Professional Auto Industry Repair Act</w:t>
      </w:r>
      <w:r w:rsidRPr="00883271">
        <w:t xml:space="preserve"> (REPAIR Act) is in both Houses of Congress.</w:t>
      </w:r>
      <w:r w:rsidRPr="00637889">
        <w:rPr>
          <w:rStyle w:val="FootnoteReference"/>
          <w:szCs w:val="22"/>
        </w:rPr>
        <w:footnoteReference w:id="120"/>
      </w:r>
      <w:r w:rsidRPr="00637889">
        <w:rPr>
          <w:szCs w:val="22"/>
        </w:rPr>
        <w:t xml:space="preserve"> </w:t>
      </w:r>
      <w:r w:rsidR="005055CB" w:rsidRPr="00637889">
        <w:rPr>
          <w:szCs w:val="22"/>
        </w:rPr>
        <w:t>If</w:t>
      </w:r>
      <w:r w:rsidR="005055CB" w:rsidRPr="00883271">
        <w:t xml:space="preserve"> passed, the</w:t>
      </w:r>
      <w:r w:rsidR="000A14D5" w:rsidRPr="00883271">
        <w:t xml:space="preserve"> Bill would require OEMs to provide consumers, independent repairers, parts manufacturers, and aftermarket service providers access to the diagnostic data, tools, and software necessary to perform vehicle repairs and maintenance. The Bill requires this information be made available at a fair, reasonable, and non</w:t>
      </w:r>
      <w:r w:rsidR="007B3C6A">
        <w:noBreakHyphen/>
      </w:r>
      <w:r w:rsidR="000A14D5" w:rsidRPr="00883271">
        <w:t>discriminatory cost.</w:t>
      </w:r>
    </w:p>
    <w:p w14:paraId="209F1E65" w14:textId="4C04696D" w:rsidR="00ED7627" w:rsidRPr="00883271" w:rsidRDefault="00ED7627" w:rsidP="00110D67">
      <w:pPr>
        <w:pStyle w:val="TableMainHeading"/>
      </w:pPr>
      <w:r w:rsidRPr="00883271">
        <w:lastRenderedPageBreak/>
        <w:t>Table B.1: Comparison of key features of automotive right to repair frameworks in Australia, EU and US</w:t>
      </w:r>
    </w:p>
    <w:tbl>
      <w:tblPr>
        <w:tblStyle w:val="TableGridLight"/>
        <w:tblW w:w="5000" w:type="pct"/>
        <w:jc w:val="center"/>
        <w:tblLayout w:type="fixed"/>
        <w:tblLook w:val="04A0" w:firstRow="1" w:lastRow="0" w:firstColumn="1" w:lastColumn="0" w:noHBand="0" w:noVBand="1"/>
        <w:tblCaption w:val="Table B.1: Comparison of key features of automotive right to repair frameworks in Australia, EU and US"/>
      </w:tblPr>
      <w:tblGrid>
        <w:gridCol w:w="1018"/>
        <w:gridCol w:w="2096"/>
        <w:gridCol w:w="2126"/>
        <w:gridCol w:w="2693"/>
        <w:gridCol w:w="2268"/>
        <w:gridCol w:w="3791"/>
      </w:tblGrid>
      <w:tr w:rsidR="00373814" w:rsidRPr="00883271" w14:paraId="368C84EE" w14:textId="77777777" w:rsidTr="00637889">
        <w:trPr>
          <w:trHeight w:val="562"/>
          <w:jc w:val="center"/>
        </w:trPr>
        <w:tc>
          <w:tcPr>
            <w:tcW w:w="1018" w:type="dxa"/>
            <w:tcBorders>
              <w:top w:val="nil"/>
              <w:left w:val="single" w:sz="4" w:space="0" w:color="D6D6D6" w:themeColor="background2" w:themeShade="E6"/>
              <w:bottom w:val="nil"/>
              <w:right w:val="nil"/>
            </w:tcBorders>
            <w:shd w:val="clear" w:color="auto" w:fill="D6D6D6" w:themeFill="background2" w:themeFillShade="E6"/>
          </w:tcPr>
          <w:p w14:paraId="135DD1C0" w14:textId="77777777" w:rsidR="00951E2E" w:rsidRPr="00883271" w:rsidRDefault="00951E2E" w:rsidP="00284E88">
            <w:pPr>
              <w:pStyle w:val="TableColumnHeadingLeft"/>
            </w:pPr>
            <w:bookmarkStart w:id="116" w:name="_Hlk211331970"/>
          </w:p>
        </w:tc>
        <w:tc>
          <w:tcPr>
            <w:tcW w:w="2096" w:type="dxa"/>
            <w:tcBorders>
              <w:top w:val="nil"/>
              <w:left w:val="nil"/>
              <w:bottom w:val="nil"/>
              <w:right w:val="nil"/>
            </w:tcBorders>
            <w:shd w:val="clear" w:color="auto" w:fill="D6D6D6" w:themeFill="background2" w:themeFillShade="E6"/>
            <w:vAlign w:val="center"/>
          </w:tcPr>
          <w:p w14:paraId="11446A0D" w14:textId="77777777" w:rsidR="00951E2E" w:rsidRPr="00883271" w:rsidRDefault="009C5872" w:rsidP="00284E88">
            <w:pPr>
              <w:pStyle w:val="TableColumnHeadingLeft"/>
            </w:pPr>
            <w:r w:rsidRPr="00883271">
              <w:t>Consumer right to access data</w:t>
            </w:r>
          </w:p>
        </w:tc>
        <w:tc>
          <w:tcPr>
            <w:tcW w:w="2126" w:type="dxa"/>
            <w:tcBorders>
              <w:top w:val="nil"/>
              <w:left w:val="nil"/>
              <w:bottom w:val="nil"/>
              <w:right w:val="nil"/>
            </w:tcBorders>
            <w:shd w:val="clear" w:color="auto" w:fill="D6D6D6" w:themeFill="background2" w:themeFillShade="E6"/>
            <w:vAlign w:val="center"/>
          </w:tcPr>
          <w:p w14:paraId="08A52A26" w14:textId="77777777" w:rsidR="00951E2E" w:rsidRPr="00883271" w:rsidRDefault="009C5872" w:rsidP="00284E88">
            <w:pPr>
              <w:pStyle w:val="TableColumnHeadingLeft"/>
            </w:pPr>
            <w:r w:rsidRPr="00883271">
              <w:t xml:space="preserve">Parts and </w:t>
            </w:r>
            <w:r w:rsidR="007A0CBF" w:rsidRPr="00883271">
              <w:t>hardware</w:t>
            </w:r>
          </w:p>
        </w:tc>
        <w:tc>
          <w:tcPr>
            <w:tcW w:w="2693" w:type="dxa"/>
            <w:tcBorders>
              <w:top w:val="nil"/>
              <w:left w:val="nil"/>
              <w:bottom w:val="nil"/>
              <w:right w:val="nil"/>
            </w:tcBorders>
            <w:shd w:val="clear" w:color="auto" w:fill="D6D6D6" w:themeFill="background2" w:themeFillShade="E6"/>
            <w:vAlign w:val="center"/>
          </w:tcPr>
          <w:p w14:paraId="434EBAD6" w14:textId="6931DEDE" w:rsidR="00951E2E" w:rsidRPr="00883271" w:rsidRDefault="009C5872" w:rsidP="00284E88">
            <w:pPr>
              <w:pStyle w:val="TableColumnHeadingLeft"/>
            </w:pPr>
            <w:r w:rsidRPr="00883271">
              <w:t>J2534 pass</w:t>
            </w:r>
            <w:r w:rsidR="007B3C6A">
              <w:noBreakHyphen/>
            </w:r>
            <w:r w:rsidRPr="00883271">
              <w:t>through mandate</w:t>
            </w:r>
          </w:p>
        </w:tc>
        <w:tc>
          <w:tcPr>
            <w:tcW w:w="2268" w:type="dxa"/>
            <w:tcBorders>
              <w:top w:val="nil"/>
              <w:left w:val="nil"/>
              <w:bottom w:val="nil"/>
              <w:right w:val="nil"/>
            </w:tcBorders>
            <w:shd w:val="clear" w:color="auto" w:fill="D6D6D6" w:themeFill="background2" w:themeFillShade="E6"/>
            <w:vAlign w:val="center"/>
          </w:tcPr>
          <w:p w14:paraId="3E628513" w14:textId="77777777" w:rsidR="00A2712E" w:rsidRPr="00883271" w:rsidRDefault="009C5872" w:rsidP="00284E88">
            <w:pPr>
              <w:pStyle w:val="TableColumnHeadingLeft"/>
            </w:pPr>
            <w:r w:rsidRPr="00883271">
              <w:t>Treatment of intermediaries</w:t>
            </w:r>
          </w:p>
        </w:tc>
        <w:tc>
          <w:tcPr>
            <w:tcW w:w="3791" w:type="dxa"/>
            <w:tcBorders>
              <w:top w:val="nil"/>
              <w:left w:val="nil"/>
              <w:bottom w:val="nil"/>
              <w:right w:val="single" w:sz="4" w:space="0" w:color="D6D6D6" w:themeColor="background2" w:themeShade="E6"/>
            </w:tcBorders>
            <w:shd w:val="clear" w:color="auto" w:fill="D6D6D6" w:themeFill="background2" w:themeFillShade="E6"/>
            <w:vAlign w:val="center"/>
          </w:tcPr>
          <w:p w14:paraId="649801DE" w14:textId="77777777" w:rsidR="00951E2E" w:rsidRPr="00883271" w:rsidRDefault="009C5872" w:rsidP="00284E88">
            <w:pPr>
              <w:pStyle w:val="TableColumnHeadingLeft"/>
            </w:pPr>
            <w:r w:rsidRPr="00883271">
              <w:t>Telematics sharing mandate</w:t>
            </w:r>
          </w:p>
        </w:tc>
      </w:tr>
      <w:tr w:rsidR="00663E35" w:rsidRPr="00883271" w14:paraId="44A413AD" w14:textId="77777777" w:rsidTr="00637889">
        <w:trPr>
          <w:trHeight w:val="815"/>
          <w:jc w:val="center"/>
        </w:trPr>
        <w:tc>
          <w:tcPr>
            <w:tcW w:w="1018" w:type="dxa"/>
            <w:tcBorders>
              <w:top w:val="nil"/>
            </w:tcBorders>
            <w:shd w:val="clear" w:color="auto" w:fill="EEEEEE" w:themeFill="background2"/>
          </w:tcPr>
          <w:p w14:paraId="6AFBC696" w14:textId="0508E8B8" w:rsidR="00BE6599" w:rsidRPr="00883271" w:rsidRDefault="00BE6599" w:rsidP="0002544C">
            <w:pPr>
              <w:pStyle w:val="TableTextLeft"/>
            </w:pPr>
            <w:r w:rsidRPr="00883271">
              <w:t>Australia</w:t>
            </w:r>
          </w:p>
        </w:tc>
        <w:tc>
          <w:tcPr>
            <w:tcW w:w="2096" w:type="dxa"/>
            <w:tcBorders>
              <w:top w:val="nil"/>
            </w:tcBorders>
          </w:tcPr>
          <w:p w14:paraId="57FE6B3E" w14:textId="77777777" w:rsidR="00BE6599" w:rsidRPr="00883271" w:rsidRDefault="009C5872" w:rsidP="0002544C">
            <w:pPr>
              <w:pStyle w:val="TableTextLeft"/>
            </w:pPr>
            <w:r w:rsidRPr="00883271">
              <w:t xml:space="preserve">Consumers themselves are not provided </w:t>
            </w:r>
            <w:r w:rsidR="00D40B0C" w:rsidRPr="00883271">
              <w:t>the</w:t>
            </w:r>
            <w:r w:rsidRPr="00883271">
              <w:t xml:space="preserve"> right to access information under the scheme.</w:t>
            </w:r>
          </w:p>
        </w:tc>
        <w:tc>
          <w:tcPr>
            <w:tcW w:w="2126" w:type="dxa"/>
            <w:tcBorders>
              <w:top w:val="nil"/>
            </w:tcBorders>
          </w:tcPr>
          <w:p w14:paraId="56650203" w14:textId="77777777" w:rsidR="009C5872" w:rsidRPr="00883271" w:rsidRDefault="009C5872" w:rsidP="0002544C">
            <w:pPr>
              <w:pStyle w:val="TableTextLeft"/>
            </w:pPr>
            <w:r w:rsidRPr="00883271">
              <w:t xml:space="preserve">If data providers require use of proprietary </w:t>
            </w:r>
            <w:r w:rsidR="007A0CBF" w:rsidRPr="00883271">
              <w:t>hardware</w:t>
            </w:r>
            <w:r w:rsidRPr="00883271">
              <w:t xml:space="preserve"> to access certain information under scheme, </w:t>
            </w:r>
            <w:r w:rsidR="007A0CBF" w:rsidRPr="00883271">
              <w:t>hardware</w:t>
            </w:r>
            <w:r w:rsidRPr="00883271">
              <w:t xml:space="preserve"> must be made available for purchase or hire.</w:t>
            </w:r>
          </w:p>
          <w:p w14:paraId="7C0B1AC8" w14:textId="77777777" w:rsidR="00BE6599" w:rsidRPr="00883271" w:rsidRDefault="009C5872" w:rsidP="0002544C">
            <w:pPr>
              <w:pStyle w:val="TableTextLeft"/>
            </w:pPr>
            <w:r w:rsidRPr="00883271">
              <w:t>Parts not included.</w:t>
            </w:r>
          </w:p>
        </w:tc>
        <w:tc>
          <w:tcPr>
            <w:tcW w:w="2693" w:type="dxa"/>
            <w:tcBorders>
              <w:top w:val="nil"/>
            </w:tcBorders>
          </w:tcPr>
          <w:p w14:paraId="510F67DC" w14:textId="77777777" w:rsidR="00BE6599" w:rsidRPr="00883271" w:rsidRDefault="009C5872" w:rsidP="0002544C">
            <w:pPr>
              <w:pStyle w:val="TableTextLeft"/>
            </w:pPr>
            <w:r w:rsidRPr="00883271">
              <w:t>Scheme information must be offered in an electronic form that is reasonably accessible to all repairers. A reasonably accessible form may utilise the J2534 API, but scheme information may be supplied in other forms provided they are reasonably accessible.</w:t>
            </w:r>
          </w:p>
        </w:tc>
        <w:tc>
          <w:tcPr>
            <w:tcW w:w="2268" w:type="dxa"/>
            <w:tcBorders>
              <w:top w:val="nil"/>
            </w:tcBorders>
          </w:tcPr>
          <w:p w14:paraId="571050D7" w14:textId="77777777" w:rsidR="00BE6599" w:rsidRPr="00883271" w:rsidRDefault="009C5872" w:rsidP="0002544C">
            <w:pPr>
              <w:pStyle w:val="TableTextLeft"/>
            </w:pPr>
            <w:r w:rsidRPr="00883271">
              <w:t xml:space="preserve">Obligation to provide information to Australian repairers. Access to information </w:t>
            </w:r>
            <w:r w:rsidR="00B872BD" w:rsidRPr="00883271">
              <w:t xml:space="preserve">by intermediaries </w:t>
            </w:r>
            <w:r w:rsidRPr="00883271">
              <w:t>not regulated, subject to contractual negotiation.</w:t>
            </w:r>
          </w:p>
        </w:tc>
        <w:tc>
          <w:tcPr>
            <w:tcW w:w="3791" w:type="dxa"/>
            <w:tcBorders>
              <w:top w:val="nil"/>
            </w:tcBorders>
          </w:tcPr>
          <w:p w14:paraId="27FA33DB" w14:textId="77777777" w:rsidR="00BE6599" w:rsidRPr="00883271" w:rsidRDefault="009C5872" w:rsidP="0002544C">
            <w:pPr>
              <w:pStyle w:val="TableTextLeft"/>
            </w:pPr>
            <w:r w:rsidRPr="00883271">
              <w:t>Telematics is excluded from the definition of scheme information in s 57BD(2).</w:t>
            </w:r>
          </w:p>
        </w:tc>
      </w:tr>
      <w:tr w:rsidR="00663E35" w:rsidRPr="00883271" w14:paraId="0F107C7B" w14:textId="77777777" w:rsidTr="00637889">
        <w:trPr>
          <w:trHeight w:val="2091"/>
          <w:jc w:val="center"/>
        </w:trPr>
        <w:tc>
          <w:tcPr>
            <w:tcW w:w="1018" w:type="dxa"/>
            <w:shd w:val="clear" w:color="auto" w:fill="EEEEEE" w:themeFill="background2"/>
          </w:tcPr>
          <w:p w14:paraId="6593B9C0" w14:textId="77777777" w:rsidR="00BE6599" w:rsidRPr="00883271" w:rsidRDefault="00BE6599" w:rsidP="0002544C">
            <w:pPr>
              <w:pStyle w:val="TableTextLeft"/>
            </w:pPr>
            <w:r w:rsidRPr="00883271">
              <w:t>European Union</w:t>
            </w:r>
          </w:p>
        </w:tc>
        <w:tc>
          <w:tcPr>
            <w:tcW w:w="2096" w:type="dxa"/>
          </w:tcPr>
          <w:p w14:paraId="6F49D5C9" w14:textId="77777777" w:rsidR="00BE6599" w:rsidRPr="00883271" w:rsidRDefault="009C5872" w:rsidP="0002544C">
            <w:pPr>
              <w:pStyle w:val="TableTextLeft"/>
            </w:pPr>
            <w:r w:rsidRPr="00883271">
              <w:t>EU 2018/858 does not have an active role for consumers in the provision of information; however, the consumer remains responsible for granting access to third parties under Data Act (telematics).</w:t>
            </w:r>
          </w:p>
        </w:tc>
        <w:tc>
          <w:tcPr>
            <w:tcW w:w="2126" w:type="dxa"/>
          </w:tcPr>
          <w:p w14:paraId="7E9B7474" w14:textId="77777777" w:rsidR="009C5872" w:rsidRPr="00883271" w:rsidRDefault="009C5872" w:rsidP="0002544C">
            <w:pPr>
              <w:pStyle w:val="TableTextLeft"/>
            </w:pPr>
            <w:r w:rsidRPr="00883271">
              <w:t>Art 61 of EU 2018/858 requires access to diagnostic and other equipment, tools including the complete references, and available downloads, of the applicable software.</w:t>
            </w:r>
          </w:p>
          <w:p w14:paraId="2CCF90D6" w14:textId="77777777" w:rsidR="00DB3DCE" w:rsidRPr="00883271" w:rsidRDefault="009C5872" w:rsidP="0002544C">
            <w:pPr>
              <w:pStyle w:val="TableTextLeft"/>
            </w:pPr>
            <w:r w:rsidRPr="00883271">
              <w:t>Parts not included.</w:t>
            </w:r>
          </w:p>
        </w:tc>
        <w:tc>
          <w:tcPr>
            <w:tcW w:w="2693" w:type="dxa"/>
          </w:tcPr>
          <w:p w14:paraId="31F41D9C" w14:textId="77777777" w:rsidR="00BE6599" w:rsidRPr="00883271" w:rsidRDefault="009C5872" w:rsidP="0002544C">
            <w:pPr>
              <w:pStyle w:val="TableTextLeft"/>
            </w:pPr>
            <w:r w:rsidRPr="00883271">
              <w:t>OEMs must provide access to reprogramming capabilities using standardised or publicly documented interfaces (Euro 5/6). In many cases OEMs voluntarily support J2534 due to US mandates.</w:t>
            </w:r>
          </w:p>
        </w:tc>
        <w:tc>
          <w:tcPr>
            <w:tcW w:w="2268" w:type="dxa"/>
          </w:tcPr>
          <w:p w14:paraId="7D20C887" w14:textId="63BFC343" w:rsidR="00BE6599" w:rsidRPr="00883271" w:rsidRDefault="009C5872" w:rsidP="0002544C">
            <w:pPr>
              <w:pStyle w:val="TableTextLeft"/>
            </w:pPr>
            <w:r w:rsidRPr="00883271">
              <w:t>EU 2018/858 Art 61 requires independent operators to be provided with non</w:t>
            </w:r>
            <w:r w:rsidR="007B3C6A">
              <w:noBreakHyphen/>
            </w:r>
            <w:r w:rsidRPr="00883271">
              <w:t>discriminatory access.</w:t>
            </w:r>
          </w:p>
        </w:tc>
        <w:tc>
          <w:tcPr>
            <w:tcW w:w="3791" w:type="dxa"/>
          </w:tcPr>
          <w:p w14:paraId="6DB9E198" w14:textId="77777777" w:rsidR="00BE6599" w:rsidRPr="00883271" w:rsidRDefault="009C5872" w:rsidP="0002544C">
            <w:pPr>
              <w:pStyle w:val="TableTextLeft"/>
            </w:pPr>
            <w:r w:rsidRPr="00883271">
              <w:t>Reforms to Regulation</w:t>
            </w:r>
            <w:r w:rsidRPr="00883271" w:rsidDel="00000A7A">
              <w:t xml:space="preserve"> </w:t>
            </w:r>
            <w:r w:rsidRPr="00883271">
              <w:t xml:space="preserve">2018/858 are expected to impose an obligation on manufacturers that any means of vehicle access that are made available to dealer and authorised repairers for repair purposes, including wireless local area networks, are also made available to independent repairers. Further, the Data Act, which </w:t>
            </w:r>
            <w:r w:rsidR="00AD6E76" w:rsidRPr="00883271">
              <w:t>applied from</w:t>
            </w:r>
            <w:r w:rsidRPr="00883271">
              <w:t xml:space="preserve"> September 2025, enables consumers of connected products, including motor vehicles, to access the data that is created by those products through their use.</w:t>
            </w:r>
          </w:p>
        </w:tc>
      </w:tr>
      <w:tr w:rsidR="00663E35" w:rsidRPr="00883271" w14:paraId="74D510F4" w14:textId="77777777" w:rsidTr="00637889">
        <w:trPr>
          <w:trHeight w:val="93"/>
          <w:jc w:val="center"/>
        </w:trPr>
        <w:tc>
          <w:tcPr>
            <w:tcW w:w="1018" w:type="dxa"/>
            <w:shd w:val="clear" w:color="auto" w:fill="EEEEEE" w:themeFill="background2"/>
          </w:tcPr>
          <w:p w14:paraId="068442B2" w14:textId="77777777" w:rsidR="00BE6599" w:rsidRPr="00883271" w:rsidRDefault="00BE6599" w:rsidP="0002544C">
            <w:pPr>
              <w:pStyle w:val="TableTextLeft"/>
            </w:pPr>
            <w:r w:rsidRPr="00883271">
              <w:t>United States</w:t>
            </w:r>
          </w:p>
          <w:p w14:paraId="1AFF4922" w14:textId="77777777" w:rsidR="00BE6599" w:rsidRPr="00883271" w:rsidRDefault="00BE6599" w:rsidP="0002544C">
            <w:pPr>
              <w:pStyle w:val="TableTextLeft"/>
            </w:pPr>
          </w:p>
        </w:tc>
        <w:tc>
          <w:tcPr>
            <w:tcW w:w="2096" w:type="dxa"/>
          </w:tcPr>
          <w:p w14:paraId="4EA5661B" w14:textId="77777777" w:rsidR="00BE6599" w:rsidRPr="00883271" w:rsidRDefault="009C5872" w:rsidP="0002544C">
            <w:pPr>
              <w:pStyle w:val="TableTextLeft"/>
            </w:pPr>
            <w:r w:rsidRPr="00883271">
              <w:t xml:space="preserve">Section 2 of the 2014 MoU provides that manufacturers must make information available to independent repairers and owners for purchase (subject to restrictions). In relation to telematics in Massachusetts only, consumers have </w:t>
            </w:r>
            <w:r w:rsidR="00E3007E" w:rsidRPr="00883271">
              <w:t xml:space="preserve">a </w:t>
            </w:r>
            <w:r w:rsidRPr="00883271">
              <w:t>role in granting access to that data for independent repairers.</w:t>
            </w:r>
          </w:p>
        </w:tc>
        <w:tc>
          <w:tcPr>
            <w:tcW w:w="2126" w:type="dxa"/>
          </w:tcPr>
          <w:p w14:paraId="3A4B01F6" w14:textId="77777777" w:rsidR="009C5872" w:rsidRPr="00883271" w:rsidRDefault="009C5872" w:rsidP="0002544C">
            <w:pPr>
              <w:pStyle w:val="TableTextLeft"/>
            </w:pPr>
            <w:r w:rsidRPr="00883271">
              <w:t xml:space="preserve">Section 2 of Massachusetts scheme requires OEMs to make all diagnostic repair tools available to owners and independent repairers for purchase. This expansive requirement </w:t>
            </w:r>
            <w:r w:rsidR="007A0CBF" w:rsidRPr="00883271">
              <w:t xml:space="preserve">is </w:t>
            </w:r>
            <w:r w:rsidRPr="00883271">
              <w:t>reflected in section 2(b)(i) of nationwide MoU.</w:t>
            </w:r>
          </w:p>
          <w:p w14:paraId="6A970046" w14:textId="77777777" w:rsidR="00254642" w:rsidRPr="00883271" w:rsidRDefault="009C5872" w:rsidP="0002544C">
            <w:pPr>
              <w:pStyle w:val="TableTextLeft"/>
            </w:pPr>
            <w:r w:rsidRPr="00883271">
              <w:t>Parts not included.</w:t>
            </w:r>
          </w:p>
        </w:tc>
        <w:tc>
          <w:tcPr>
            <w:tcW w:w="2693" w:type="dxa"/>
          </w:tcPr>
          <w:p w14:paraId="3DF26954" w14:textId="2A979602" w:rsidR="00951E2E" w:rsidRPr="00883271" w:rsidRDefault="009C5872" w:rsidP="0002544C">
            <w:pPr>
              <w:pStyle w:val="TableTextLeft"/>
            </w:pPr>
            <w:r w:rsidRPr="00883271">
              <w:t xml:space="preserve">Mandated through s 2 of the Massachusetts scheme which has been adopted in nationwide </w:t>
            </w:r>
            <w:hyperlink r:id="rId67" w:history="1">
              <w:r w:rsidRPr="0002544C">
                <w:rPr>
                  <w:rStyle w:val="Hyperlink"/>
                </w:rPr>
                <w:t>MoU</w:t>
              </w:r>
            </w:hyperlink>
            <w:r w:rsidRPr="00883271">
              <w:t xml:space="preserve"> between Auto Alliance, Automotive Aftermarket Industry Association, Global Automakers and Coalition for Auto Repair Equality. Also mandated by EPA and California Air Resources Board that OEMs provide J2534</w:t>
            </w:r>
            <w:r w:rsidR="007B3C6A">
              <w:noBreakHyphen/>
            </w:r>
            <w:r w:rsidRPr="00883271">
              <w:t>compliant reprogramming tools for emissions</w:t>
            </w:r>
            <w:r w:rsidR="007B3C6A">
              <w:noBreakHyphen/>
            </w:r>
            <w:r w:rsidRPr="00883271">
              <w:t>related systems.</w:t>
            </w:r>
          </w:p>
        </w:tc>
        <w:tc>
          <w:tcPr>
            <w:tcW w:w="2268" w:type="dxa"/>
          </w:tcPr>
          <w:p w14:paraId="17BF8493" w14:textId="797A3271" w:rsidR="00BE6599" w:rsidRPr="00883271" w:rsidRDefault="009C5872" w:rsidP="0002544C">
            <w:pPr>
              <w:pStyle w:val="TableTextLeft"/>
            </w:pPr>
            <w:r w:rsidRPr="00883271">
              <w:t xml:space="preserve">Under s 2 of </w:t>
            </w:r>
            <w:r w:rsidR="00D848C0">
              <w:t xml:space="preserve">the </w:t>
            </w:r>
            <w:r w:rsidRPr="00883271">
              <w:t>legislation OEMs must provide diagnostic and repair information to each aftermarket tool company and intermediaries with whom they have appropriate licensing arrangements for the purpose of building third party service information publications. This is also included in para 2(b)(i) of</w:t>
            </w:r>
            <w:r w:rsidR="00637889">
              <w:t> </w:t>
            </w:r>
            <w:r w:rsidRPr="00883271">
              <w:t>MoU.</w:t>
            </w:r>
          </w:p>
        </w:tc>
        <w:tc>
          <w:tcPr>
            <w:tcW w:w="3791" w:type="dxa"/>
          </w:tcPr>
          <w:p w14:paraId="294DB2B3" w14:textId="2492BFE8" w:rsidR="009C5872" w:rsidRPr="00883271" w:rsidRDefault="009C5872" w:rsidP="0002544C">
            <w:pPr>
              <w:pStyle w:val="TableTextLeft"/>
            </w:pPr>
            <w:r w:rsidRPr="00883271">
              <w:t>The Massachusetts scheme requires that consumers of vehicles manufactured from 2022 onwards and which utilise a telematics system are given the right to access all data generated by the vehicle through a mobile application. Maine has mandated a similar approach, as of January 2025, for vehicles to be equipped with a standardised and owner</w:t>
            </w:r>
            <w:r w:rsidR="007B3C6A">
              <w:noBreakHyphen/>
            </w:r>
            <w:r w:rsidRPr="00883271">
              <w:t>authorised platform to allow access to data emanating from the vehicle.</w:t>
            </w:r>
          </w:p>
          <w:p w14:paraId="24CD58D1" w14:textId="603CCED4" w:rsidR="00BE6599" w:rsidRPr="00883271" w:rsidRDefault="0013488A" w:rsidP="0002544C">
            <w:pPr>
              <w:pStyle w:val="TableTextLeft"/>
            </w:pPr>
            <w:r w:rsidRPr="00883271">
              <w:t xml:space="preserve">If enacted, </w:t>
            </w:r>
            <w:r w:rsidR="00B93531" w:rsidRPr="00883271">
              <w:t>the proposed</w:t>
            </w:r>
            <w:r w:rsidR="009C5872" w:rsidRPr="00883271">
              <w:t xml:space="preserve"> Right to Equitable and Professional Auto Industry Repair Act, would impose a national framework for the handling of telematics data, at the time of writing </w:t>
            </w:r>
            <w:r w:rsidR="00835193" w:rsidRPr="00883271">
              <w:t>it</w:t>
            </w:r>
            <w:r w:rsidR="009C5872" w:rsidRPr="00883271">
              <w:t xml:space="preserve"> has not progressed.</w:t>
            </w:r>
          </w:p>
        </w:tc>
      </w:tr>
    </w:tbl>
    <w:p w14:paraId="5E51CB26" w14:textId="77777777" w:rsidR="00284E88" w:rsidRDefault="00284E88" w:rsidP="00284E88">
      <w:pPr>
        <w:sectPr w:rsidR="00284E88" w:rsidSect="00637889">
          <w:headerReference w:type="default" r:id="rId68"/>
          <w:footerReference w:type="default" r:id="rId69"/>
          <w:pgSz w:w="16838" w:h="11906" w:orient="landscape" w:code="9"/>
          <w:pgMar w:top="1843" w:right="1418" w:bottom="1418" w:left="1418" w:header="709" w:footer="709" w:gutter="0"/>
          <w:cols w:space="708"/>
          <w:docGrid w:linePitch="360"/>
        </w:sectPr>
      </w:pPr>
      <w:bookmarkStart w:id="117" w:name="_Toc211963342"/>
      <w:bookmarkStart w:id="118" w:name="_Toc213340420"/>
      <w:bookmarkEnd w:id="116"/>
    </w:p>
    <w:p w14:paraId="2CF86856" w14:textId="77777777" w:rsidR="00F46210" w:rsidRPr="00883271" w:rsidRDefault="00105FFA" w:rsidP="00255C4E">
      <w:pPr>
        <w:pStyle w:val="Heading1"/>
      </w:pPr>
      <w:r w:rsidRPr="00883271">
        <w:lastRenderedPageBreak/>
        <w:t>Appendix C</w:t>
      </w:r>
      <w:r w:rsidR="00791F8F" w:rsidRPr="00883271">
        <w:t xml:space="preserve"> – Analysis </w:t>
      </w:r>
      <w:bookmarkEnd w:id="117"/>
      <w:r w:rsidR="00CF6B4E" w:rsidRPr="00883271">
        <w:t>m</w:t>
      </w:r>
      <w:r w:rsidR="00791F8F" w:rsidRPr="00883271">
        <w:t>ethodology</w:t>
      </w:r>
      <w:bookmarkEnd w:id="118"/>
    </w:p>
    <w:p w14:paraId="50C78348" w14:textId="77777777" w:rsidR="00791F8F" w:rsidRPr="00883271" w:rsidRDefault="00D21856" w:rsidP="007B0176">
      <w:pPr>
        <w:pStyle w:val="Heading2"/>
      </w:pPr>
      <w:bookmarkStart w:id="119" w:name="_Toc211963343"/>
      <w:bookmarkStart w:id="120" w:name="_Toc212130881"/>
      <w:bookmarkStart w:id="121" w:name="_Toc213229606"/>
      <w:bookmarkStart w:id="122" w:name="_Toc213335220"/>
      <w:bookmarkStart w:id="123" w:name="_Toc213340421"/>
      <w:r w:rsidRPr="00883271">
        <w:t>Automotive r</w:t>
      </w:r>
      <w:r w:rsidR="00224B7A" w:rsidRPr="00883271">
        <w:t xml:space="preserve">epair </w:t>
      </w:r>
      <w:r w:rsidRPr="00883271">
        <w:t>sector analysis</w:t>
      </w:r>
      <w:bookmarkEnd w:id="119"/>
      <w:bookmarkEnd w:id="120"/>
      <w:bookmarkEnd w:id="121"/>
      <w:bookmarkEnd w:id="122"/>
      <w:bookmarkEnd w:id="123"/>
    </w:p>
    <w:p w14:paraId="11044B68" w14:textId="77777777" w:rsidR="00791F8F" w:rsidRPr="00883271" w:rsidRDefault="00791F8F" w:rsidP="00284E88">
      <w:r w:rsidRPr="00883271">
        <w:t xml:space="preserve">The following fixed effects model for firm </w:t>
      </w:r>
      <m:oMath>
        <m:r>
          <w:rPr>
            <w:rFonts w:ascii="Cambria Math" w:hAnsi="Cambria Math"/>
          </w:rPr>
          <m:t>i</m:t>
        </m:r>
      </m:oMath>
      <w:r w:rsidRPr="00883271">
        <w:t xml:space="preserve">, in quarter </w:t>
      </w:r>
      <m:oMath>
        <m:r>
          <w:rPr>
            <w:rFonts w:ascii="Cambria Math" w:hAnsi="Cambria Math"/>
          </w:rPr>
          <m:t>t</m:t>
        </m:r>
      </m:oMath>
      <w:r w:rsidRPr="00883271">
        <w:t xml:space="preserve">, in state </w:t>
      </w:r>
      <m:oMath>
        <m:r>
          <w:rPr>
            <w:rFonts w:ascii="Cambria Math" w:hAnsi="Cambria Math"/>
          </w:rPr>
          <m:t>s</m:t>
        </m:r>
      </m:oMath>
      <w:r w:rsidRPr="00883271">
        <w:t xml:space="preserve">, was estimated using ordinary least squares. </w:t>
      </w:r>
      <w:r w:rsidRPr="00883271">
        <w:br/>
      </w:r>
      <m:oMathPara>
        <m:oMath>
          <m:sSub>
            <m:sSubPr>
              <m:ctrlPr>
                <w:rPr>
                  <w:rFonts w:ascii="Cambria Math" w:hAnsi="Cambria Math"/>
                  <w:i/>
                </w:rPr>
              </m:ctrlPr>
            </m:sSubPr>
            <m:e>
              <m:r>
                <w:rPr>
                  <w:rFonts w:ascii="Cambria Math" w:hAnsi="Cambria Math"/>
                </w:rPr>
                <m:t>y</m:t>
              </m:r>
            </m:e>
            <m:sub>
              <m:r>
                <w:rPr>
                  <w:rFonts w:ascii="Cambria Math" w:hAnsi="Cambria Math"/>
                </w:rPr>
                <m:t>ist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Pos</m:t>
          </m:r>
          <m:sSub>
            <m:sSubPr>
              <m:ctrlPr>
                <w:rPr>
                  <w:rFonts w:ascii="Cambria Math" w:hAnsi="Cambria Math"/>
                  <w:i/>
                </w:rPr>
              </m:ctrlPr>
            </m:sSubPr>
            <m:e>
              <m:r>
                <w:rPr>
                  <w:rFonts w:ascii="Cambria Math" w:hAnsi="Cambria Math"/>
                </w:rPr>
                <m:t>t</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m:t>
              </m:r>
            </m:sup>
          </m:sSup>
          <m:sSub>
            <m:sSubPr>
              <m:ctrlPr>
                <w:rPr>
                  <w:rFonts w:ascii="Cambria Math" w:hAnsi="Cambria Math"/>
                  <w:i/>
                </w:rPr>
              </m:ctrlPr>
            </m:sSubPr>
            <m:e>
              <m:r>
                <w:rPr>
                  <w:rFonts w:ascii="Cambria Math" w:hAnsi="Cambria Math"/>
                </w:rPr>
                <m:t>X</m:t>
              </m:r>
            </m:e>
            <m:sub>
              <m:r>
                <w:rPr>
                  <w:rFonts w:ascii="Cambria Math" w:hAnsi="Cambria Math"/>
                </w:rPr>
                <m:t>ist</m:t>
              </m:r>
            </m:sub>
          </m:sSub>
          <m:r>
            <w:rPr>
              <w:rFonts w:ascii="Cambria Math" w:hAnsi="Cambria Math"/>
            </w:rPr>
            <m:t>+Tim</m:t>
          </m:r>
          <m:sSub>
            <m:sSubPr>
              <m:ctrlPr>
                <w:rPr>
                  <w:rFonts w:ascii="Cambria Math" w:hAnsi="Cambria Math"/>
                  <w:i/>
                </w:rPr>
              </m:ctrlPr>
            </m:sSubPr>
            <m:e>
              <m:r>
                <w:rPr>
                  <w:rFonts w:ascii="Cambria Math" w:hAnsi="Cambria Math"/>
                </w:rPr>
                <m:t>e</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ist</m:t>
              </m:r>
            </m:sub>
          </m:sSub>
        </m:oMath>
      </m:oMathPara>
    </w:p>
    <w:p w14:paraId="6CCD9DFC" w14:textId="78983F34" w:rsidR="00791F8F" w:rsidRPr="00883271" w:rsidRDefault="009B3E44" w:rsidP="00284E88">
      <w:r w:rsidRPr="00883271">
        <w:t>The variables are tabulated below</w:t>
      </w:r>
      <w:r w:rsidR="00791F8F" w:rsidRPr="00883271">
        <w:t xml:space="preserve">.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00791F8F" w:rsidRPr="00883271">
        <w:t xml:space="preserve"> is the coefficient of interest and shows the average impact of the scheme on real firm turnover after implementation, compared to before.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00791F8F" w:rsidRPr="00883271">
        <w:t xml:space="preserve"> is expected to be positive. The model also includes time fixed effects to control for any seasonal and macro</w:t>
      </w:r>
      <w:r w:rsidR="007B3C6A">
        <w:noBreakHyphen/>
      </w:r>
      <w:r w:rsidR="00791F8F" w:rsidRPr="00883271">
        <w:t>economic trends, and firm fixed effects to control for any time</w:t>
      </w:r>
      <w:r w:rsidR="007B3C6A">
        <w:noBreakHyphen/>
      </w:r>
      <w:r w:rsidR="00791F8F" w:rsidRPr="00883271">
        <w:t>invariant characteristics of firms. Individual dummy variables for each state are also included to capture time</w:t>
      </w:r>
      <w:r w:rsidR="007B3C6A">
        <w:noBreakHyphen/>
      </w:r>
      <w:r w:rsidR="00791F8F" w:rsidRPr="00883271">
        <w:t xml:space="preserve">invariant differences between states, such as their geography. </w:t>
      </w:r>
    </w:p>
    <w:tbl>
      <w:tblPr>
        <w:tblStyle w:val="TableGrid"/>
        <w:tblW w:w="5000" w:type="pct"/>
        <w:tblLook w:val="04A0" w:firstRow="1" w:lastRow="0" w:firstColumn="1" w:lastColumn="0" w:noHBand="0" w:noVBand="1"/>
      </w:tblPr>
      <w:tblGrid>
        <w:gridCol w:w="876"/>
        <w:gridCol w:w="8194"/>
      </w:tblGrid>
      <w:tr w:rsidR="008C0ECD" w:rsidRPr="00883271" w14:paraId="2B7D4FB1" w14:textId="77777777" w:rsidTr="00284E88">
        <w:trPr>
          <w:cnfStyle w:val="100000000000" w:firstRow="1" w:lastRow="0" w:firstColumn="0" w:lastColumn="0" w:oddVBand="0" w:evenVBand="0" w:oddHBand="0" w:evenHBand="0" w:firstRowFirstColumn="0" w:firstRowLastColumn="0" w:lastRowFirstColumn="0" w:lastRowLastColumn="0"/>
        </w:trPr>
        <w:tc>
          <w:tcPr>
            <w:tcW w:w="0" w:type="auto"/>
          </w:tcPr>
          <w:p w14:paraId="2732B825" w14:textId="77777777" w:rsidR="00791F8F" w:rsidRPr="00284E88" w:rsidRDefault="00791F8F" w:rsidP="00284E88">
            <w:pPr>
              <w:pStyle w:val="TableColumnHeadingLeft"/>
              <w:rPr>
                <w:b w:val="0"/>
                <w:bCs/>
              </w:rPr>
            </w:pPr>
            <w:r w:rsidRPr="00284E88">
              <w:rPr>
                <w:bCs/>
              </w:rPr>
              <w:t>Variable</w:t>
            </w:r>
          </w:p>
        </w:tc>
        <w:tc>
          <w:tcPr>
            <w:tcW w:w="0" w:type="auto"/>
          </w:tcPr>
          <w:p w14:paraId="5FCF36FC" w14:textId="77777777" w:rsidR="00791F8F" w:rsidRPr="00284E88" w:rsidRDefault="00791F8F" w:rsidP="00284E88">
            <w:pPr>
              <w:pStyle w:val="TableColumnHeadingLeft"/>
              <w:rPr>
                <w:b w:val="0"/>
                <w:bCs/>
              </w:rPr>
            </w:pPr>
            <w:r w:rsidRPr="00284E88">
              <w:rPr>
                <w:bCs/>
              </w:rPr>
              <w:t>Description</w:t>
            </w:r>
          </w:p>
        </w:tc>
      </w:tr>
      <w:tr w:rsidR="00791F8F" w:rsidRPr="00883271" w14:paraId="1A66A37D" w14:textId="77777777" w:rsidTr="00284E88">
        <w:trPr>
          <w:cnfStyle w:val="000000100000" w:firstRow="0" w:lastRow="0" w:firstColumn="0" w:lastColumn="0" w:oddVBand="0" w:evenVBand="0" w:oddHBand="1" w:evenHBand="0" w:firstRowFirstColumn="0" w:firstRowLastColumn="0" w:lastRowFirstColumn="0" w:lastRowLastColumn="0"/>
        </w:trPr>
        <w:tc>
          <w:tcPr>
            <w:tcW w:w="0" w:type="auto"/>
          </w:tcPr>
          <w:p w14:paraId="01671398" w14:textId="77777777" w:rsidR="00791F8F" w:rsidRPr="00883271" w:rsidRDefault="00664208" w:rsidP="00284E88">
            <w:pPr>
              <w:pStyle w:val="TableTextLeft"/>
            </w:pPr>
            <m:oMathPara>
              <m:oMath>
                <m:sSub>
                  <m:sSubPr>
                    <m:ctrlPr>
                      <w:rPr>
                        <w:rFonts w:ascii="Cambria Math" w:hAnsi="Cambria Math"/>
                      </w:rPr>
                    </m:ctrlPr>
                  </m:sSubPr>
                  <m:e>
                    <m:r>
                      <w:rPr>
                        <w:rFonts w:ascii="Cambria Math" w:hAnsi="Cambria Math"/>
                      </w:rPr>
                      <m:t>y</m:t>
                    </m:r>
                  </m:e>
                  <m:sub>
                    <m:r>
                      <w:rPr>
                        <w:rFonts w:ascii="Cambria Math" w:hAnsi="Cambria Math"/>
                      </w:rPr>
                      <m:t>ist</m:t>
                    </m:r>
                  </m:sub>
                </m:sSub>
              </m:oMath>
            </m:oMathPara>
          </w:p>
        </w:tc>
        <w:tc>
          <w:tcPr>
            <w:tcW w:w="0" w:type="auto"/>
            <w:vAlign w:val="center"/>
          </w:tcPr>
          <w:p w14:paraId="6A675CF9" w14:textId="77777777" w:rsidR="00791F8F" w:rsidRPr="00883271" w:rsidRDefault="00791F8F" w:rsidP="00284E88">
            <w:pPr>
              <w:pStyle w:val="TableTextLeft"/>
            </w:pPr>
            <w:r w:rsidRPr="00883271">
              <w:t>Log of quarterly real firm turnover, deflated by state Consumer Price Index for the expenditure class ‘maintenance and repair of motor vehicles’.</w:t>
            </w:r>
          </w:p>
        </w:tc>
      </w:tr>
      <w:tr w:rsidR="00791F8F" w:rsidRPr="00883271" w14:paraId="1CC9F832" w14:textId="77777777" w:rsidTr="00284E88">
        <w:trPr>
          <w:cnfStyle w:val="000000010000" w:firstRow="0" w:lastRow="0" w:firstColumn="0" w:lastColumn="0" w:oddVBand="0" w:evenVBand="0" w:oddHBand="0" w:evenHBand="1" w:firstRowFirstColumn="0" w:firstRowLastColumn="0" w:lastRowFirstColumn="0" w:lastRowLastColumn="0"/>
        </w:trPr>
        <w:tc>
          <w:tcPr>
            <w:tcW w:w="0" w:type="auto"/>
          </w:tcPr>
          <w:p w14:paraId="6E9AA7FB" w14:textId="77777777" w:rsidR="00791F8F" w:rsidRPr="00883271" w:rsidRDefault="00664208" w:rsidP="00284E88">
            <w:pPr>
              <w:pStyle w:val="TableTextLeft"/>
            </w:pPr>
            <m:oMathPara>
              <m:oMath>
                <m:sSub>
                  <m:sSubPr>
                    <m:ctrlPr>
                      <w:rPr>
                        <w:rFonts w:ascii="Cambria Math" w:hAnsi="Cambria Math"/>
                      </w:rPr>
                    </m:ctrlPr>
                  </m:sSubPr>
                  <m:e>
                    <m:r>
                      <w:rPr>
                        <w:rFonts w:ascii="Cambria Math" w:hAnsi="Cambria Math"/>
                      </w:rPr>
                      <m:t>β</m:t>
                    </m:r>
                  </m:e>
                  <m:sub>
                    <m:r>
                      <m:rPr>
                        <m:sty m:val="p"/>
                      </m:rPr>
                      <w:rPr>
                        <w:rFonts w:ascii="Cambria Math" w:hAnsi="Cambria Math"/>
                      </w:rPr>
                      <m:t>1</m:t>
                    </m:r>
                  </m:sub>
                </m:sSub>
              </m:oMath>
            </m:oMathPara>
          </w:p>
        </w:tc>
        <w:tc>
          <w:tcPr>
            <w:tcW w:w="0" w:type="auto"/>
            <w:vAlign w:val="center"/>
          </w:tcPr>
          <w:p w14:paraId="3E2B4384" w14:textId="77777777" w:rsidR="00791F8F" w:rsidRPr="00883271" w:rsidRDefault="00791F8F" w:rsidP="00284E88">
            <w:pPr>
              <w:pStyle w:val="TableTextLeft"/>
            </w:pPr>
            <w:r w:rsidRPr="00883271">
              <w:t>Average effect of the scheme on businesses.</w:t>
            </w:r>
          </w:p>
        </w:tc>
      </w:tr>
      <w:tr w:rsidR="00791F8F" w:rsidRPr="00883271" w14:paraId="296C2DF2" w14:textId="77777777" w:rsidTr="00284E88">
        <w:trPr>
          <w:cnfStyle w:val="000000100000" w:firstRow="0" w:lastRow="0" w:firstColumn="0" w:lastColumn="0" w:oddVBand="0" w:evenVBand="0" w:oddHBand="1" w:evenHBand="0" w:firstRowFirstColumn="0" w:firstRowLastColumn="0" w:lastRowFirstColumn="0" w:lastRowLastColumn="0"/>
        </w:trPr>
        <w:tc>
          <w:tcPr>
            <w:tcW w:w="0" w:type="auto"/>
          </w:tcPr>
          <w:p w14:paraId="0B435675" w14:textId="77777777" w:rsidR="00791F8F" w:rsidRPr="00883271" w:rsidRDefault="00276017" w:rsidP="00284E88">
            <w:pPr>
              <w:pStyle w:val="TableTextLeft"/>
            </w:pPr>
            <m:oMathPara>
              <m:oMath>
                <m:r>
                  <w:rPr>
                    <w:rFonts w:ascii="Cambria Math" w:hAnsi="Cambria Math"/>
                  </w:rPr>
                  <m:t>Pos</m:t>
                </m:r>
                <m:sSub>
                  <m:sSubPr>
                    <m:ctrlPr>
                      <w:rPr>
                        <w:rFonts w:ascii="Cambria Math" w:hAnsi="Cambria Math"/>
                      </w:rPr>
                    </m:ctrlPr>
                  </m:sSubPr>
                  <m:e>
                    <m:r>
                      <w:rPr>
                        <w:rFonts w:ascii="Cambria Math" w:hAnsi="Cambria Math"/>
                      </w:rPr>
                      <m:t>t</m:t>
                    </m:r>
                  </m:e>
                  <m:sub>
                    <m:r>
                      <w:rPr>
                        <w:rFonts w:ascii="Cambria Math" w:hAnsi="Cambria Math"/>
                      </w:rPr>
                      <m:t>t</m:t>
                    </m:r>
                  </m:sub>
                </m:sSub>
              </m:oMath>
            </m:oMathPara>
          </w:p>
        </w:tc>
        <w:tc>
          <w:tcPr>
            <w:tcW w:w="0" w:type="auto"/>
            <w:vAlign w:val="center"/>
          </w:tcPr>
          <w:p w14:paraId="31587423" w14:textId="77777777" w:rsidR="00791F8F" w:rsidRPr="00883271" w:rsidRDefault="00791F8F" w:rsidP="00284E88">
            <w:pPr>
              <w:pStyle w:val="TableTextLeft"/>
            </w:pPr>
            <w:r w:rsidRPr="00883271">
              <w:t xml:space="preserve">Policy dummy variable. </w:t>
            </w:r>
            <m:oMath>
              <m:r>
                <w:rPr>
                  <w:rFonts w:ascii="Cambria Math" w:hAnsi="Cambria Math"/>
                </w:rPr>
                <m:t>Post</m:t>
              </m:r>
              <m:r>
                <m:rPr>
                  <m:sty m:val="p"/>
                </m:rPr>
                <w:rPr>
                  <w:rFonts w:ascii="Cambria Math" w:hAnsi="Cambria Math"/>
                </w:rPr>
                <m:t>=1</m:t>
              </m:r>
            </m:oMath>
            <w:r w:rsidRPr="00883271">
              <w:t xml:space="preserve"> from 1 July 2022 onwards.</w:t>
            </w:r>
          </w:p>
        </w:tc>
      </w:tr>
      <w:tr w:rsidR="00791F8F" w:rsidRPr="00883271" w14:paraId="428242D6" w14:textId="77777777" w:rsidTr="00284E88">
        <w:trPr>
          <w:cnfStyle w:val="000000010000" w:firstRow="0" w:lastRow="0" w:firstColumn="0" w:lastColumn="0" w:oddVBand="0" w:evenVBand="0" w:oddHBand="0" w:evenHBand="1" w:firstRowFirstColumn="0" w:firstRowLastColumn="0" w:lastRowFirstColumn="0" w:lastRowLastColumn="0"/>
        </w:trPr>
        <w:tc>
          <w:tcPr>
            <w:tcW w:w="0" w:type="auto"/>
          </w:tcPr>
          <w:p w14:paraId="362B5E7A" w14:textId="77777777" w:rsidR="00791F8F" w:rsidRPr="00883271" w:rsidRDefault="00664208" w:rsidP="00284E88">
            <w:pPr>
              <w:pStyle w:val="TableTextLeft"/>
            </w:pPr>
            <m:oMathPara>
              <m:oMath>
                <m:sSup>
                  <m:sSupPr>
                    <m:ctrlPr>
                      <w:rPr>
                        <w:rFonts w:ascii="Cambria Math" w:hAnsi="Cambria Math"/>
                      </w:rPr>
                    </m:ctrlPr>
                  </m:sSupPr>
                  <m:e>
                    <m:r>
                      <w:rPr>
                        <w:rFonts w:ascii="Cambria Math" w:hAnsi="Cambria Math"/>
                      </w:rPr>
                      <m:t>β</m:t>
                    </m:r>
                  </m:e>
                  <m:sup>
                    <m:r>
                      <m:rPr>
                        <m:sty m:val="p"/>
                      </m:rPr>
                      <w:rPr>
                        <w:rFonts w:ascii="Cambria Math" w:hAnsi="Cambria Math"/>
                      </w:rPr>
                      <m:t>'</m:t>
                    </m:r>
                  </m:sup>
                </m:sSup>
              </m:oMath>
            </m:oMathPara>
          </w:p>
        </w:tc>
        <w:tc>
          <w:tcPr>
            <w:tcW w:w="0" w:type="auto"/>
            <w:vAlign w:val="center"/>
          </w:tcPr>
          <w:p w14:paraId="38D445B0" w14:textId="77777777" w:rsidR="00791F8F" w:rsidRPr="00883271" w:rsidRDefault="00791F8F" w:rsidP="00284E88">
            <w:pPr>
              <w:pStyle w:val="TableTextLeft"/>
            </w:pPr>
            <w:r w:rsidRPr="00883271">
              <w:t>Vector of coefficients corresponding to each control variable</w:t>
            </w:r>
          </w:p>
        </w:tc>
      </w:tr>
      <w:tr w:rsidR="00791F8F" w:rsidRPr="00883271" w14:paraId="058FF3FF" w14:textId="77777777" w:rsidTr="00284E88">
        <w:trPr>
          <w:cnfStyle w:val="000000100000" w:firstRow="0" w:lastRow="0" w:firstColumn="0" w:lastColumn="0" w:oddVBand="0" w:evenVBand="0" w:oddHBand="1" w:evenHBand="0" w:firstRowFirstColumn="0" w:firstRowLastColumn="0" w:lastRowFirstColumn="0" w:lastRowLastColumn="0"/>
        </w:trPr>
        <w:tc>
          <w:tcPr>
            <w:tcW w:w="0" w:type="auto"/>
          </w:tcPr>
          <w:p w14:paraId="1A4AD3AD" w14:textId="77777777" w:rsidR="00791F8F" w:rsidRPr="00883271" w:rsidRDefault="00664208" w:rsidP="00284E88">
            <w:pPr>
              <w:pStyle w:val="TableTextLeft"/>
            </w:pPr>
            <m:oMathPara>
              <m:oMath>
                <m:sSub>
                  <m:sSubPr>
                    <m:ctrlPr>
                      <w:rPr>
                        <w:rFonts w:ascii="Cambria Math" w:hAnsi="Cambria Math"/>
                      </w:rPr>
                    </m:ctrlPr>
                  </m:sSubPr>
                  <m:e>
                    <m:r>
                      <w:rPr>
                        <w:rFonts w:ascii="Cambria Math" w:hAnsi="Cambria Math"/>
                      </w:rPr>
                      <m:t>X</m:t>
                    </m:r>
                  </m:e>
                  <m:sub>
                    <m:r>
                      <w:rPr>
                        <w:rFonts w:ascii="Cambria Math" w:hAnsi="Cambria Math"/>
                      </w:rPr>
                      <m:t>ist</m:t>
                    </m:r>
                  </m:sub>
                </m:sSub>
              </m:oMath>
            </m:oMathPara>
          </w:p>
        </w:tc>
        <w:tc>
          <w:tcPr>
            <w:tcW w:w="0" w:type="auto"/>
            <w:vAlign w:val="center"/>
          </w:tcPr>
          <w:p w14:paraId="43A755B6" w14:textId="77777777" w:rsidR="00791F8F" w:rsidRPr="00883271" w:rsidRDefault="00791F8F" w:rsidP="00284E88">
            <w:pPr>
              <w:pStyle w:val="TableTextLeft"/>
            </w:pPr>
            <w:r w:rsidRPr="00883271">
              <w:t>Vector of controls to account for supply and demand for vehicle servicing, including number of km travelled by vehicles, population, gross state product, and previous levels of employment and capital expenditure of firms.</w:t>
            </w:r>
          </w:p>
        </w:tc>
      </w:tr>
      <w:tr w:rsidR="00791F8F" w:rsidRPr="00883271" w14:paraId="7E19754E" w14:textId="77777777" w:rsidTr="00284E88">
        <w:trPr>
          <w:cnfStyle w:val="000000010000" w:firstRow="0" w:lastRow="0" w:firstColumn="0" w:lastColumn="0" w:oddVBand="0" w:evenVBand="0" w:oddHBand="0" w:evenHBand="1" w:firstRowFirstColumn="0" w:firstRowLastColumn="0" w:lastRowFirstColumn="0" w:lastRowLastColumn="0"/>
        </w:trPr>
        <w:tc>
          <w:tcPr>
            <w:tcW w:w="0" w:type="auto"/>
          </w:tcPr>
          <w:p w14:paraId="7E903F0C" w14:textId="77777777" w:rsidR="00791F8F" w:rsidRPr="00883271" w:rsidRDefault="00276017" w:rsidP="00284E88">
            <w:pPr>
              <w:pStyle w:val="TableTextLeft"/>
            </w:pPr>
            <m:oMathPara>
              <m:oMath>
                <m:r>
                  <w:rPr>
                    <w:rFonts w:ascii="Cambria Math" w:hAnsi="Cambria Math"/>
                  </w:rPr>
                  <m:t>Tim</m:t>
                </m:r>
                <m:sSub>
                  <m:sSubPr>
                    <m:ctrlPr>
                      <w:rPr>
                        <w:rFonts w:ascii="Cambria Math" w:hAnsi="Cambria Math"/>
                      </w:rPr>
                    </m:ctrlPr>
                  </m:sSubPr>
                  <m:e>
                    <m:r>
                      <w:rPr>
                        <w:rFonts w:ascii="Cambria Math" w:hAnsi="Cambria Math"/>
                      </w:rPr>
                      <m:t>e</m:t>
                    </m:r>
                  </m:e>
                  <m:sub>
                    <m:r>
                      <w:rPr>
                        <w:rFonts w:ascii="Cambria Math" w:hAnsi="Cambria Math"/>
                      </w:rPr>
                      <m:t>t</m:t>
                    </m:r>
                  </m:sub>
                </m:sSub>
              </m:oMath>
            </m:oMathPara>
          </w:p>
        </w:tc>
        <w:tc>
          <w:tcPr>
            <w:tcW w:w="0" w:type="auto"/>
            <w:vAlign w:val="center"/>
          </w:tcPr>
          <w:p w14:paraId="7ECF9F26" w14:textId="77777777" w:rsidR="00791F8F" w:rsidRPr="00883271" w:rsidRDefault="00791F8F" w:rsidP="00284E88">
            <w:pPr>
              <w:pStyle w:val="TableTextLeft"/>
            </w:pPr>
            <w:r w:rsidRPr="00883271">
              <w:t>Time fixed effects</w:t>
            </w:r>
          </w:p>
        </w:tc>
      </w:tr>
      <w:tr w:rsidR="00791F8F" w:rsidRPr="00883271" w14:paraId="34369F36" w14:textId="77777777" w:rsidTr="00284E88">
        <w:trPr>
          <w:cnfStyle w:val="000000100000" w:firstRow="0" w:lastRow="0" w:firstColumn="0" w:lastColumn="0" w:oddVBand="0" w:evenVBand="0" w:oddHBand="1" w:evenHBand="0" w:firstRowFirstColumn="0" w:firstRowLastColumn="0" w:lastRowFirstColumn="0" w:lastRowLastColumn="0"/>
        </w:trPr>
        <w:tc>
          <w:tcPr>
            <w:tcW w:w="0" w:type="auto"/>
          </w:tcPr>
          <w:p w14:paraId="31B61EF5" w14:textId="77777777" w:rsidR="00791F8F" w:rsidRPr="00883271" w:rsidRDefault="00664208" w:rsidP="00284E88">
            <w:pPr>
              <w:pStyle w:val="TableTextLeft"/>
            </w:pPr>
            <m:oMathPara>
              <m:oMath>
                <m:sSub>
                  <m:sSubPr>
                    <m:ctrlPr>
                      <w:rPr>
                        <w:rFonts w:ascii="Cambria Math" w:hAnsi="Cambria Math"/>
                      </w:rPr>
                    </m:ctrlPr>
                  </m:sSubPr>
                  <m:e>
                    <m:r>
                      <w:rPr>
                        <w:rFonts w:ascii="Cambria Math" w:hAnsi="Cambria Math"/>
                      </w:rPr>
                      <m:t>δ</m:t>
                    </m:r>
                  </m:e>
                  <m:sub>
                    <m:r>
                      <w:rPr>
                        <w:rFonts w:ascii="Cambria Math" w:hAnsi="Cambria Math"/>
                      </w:rPr>
                      <m:t>i</m:t>
                    </m:r>
                  </m:sub>
                </m:sSub>
              </m:oMath>
            </m:oMathPara>
          </w:p>
        </w:tc>
        <w:tc>
          <w:tcPr>
            <w:tcW w:w="0" w:type="auto"/>
            <w:vAlign w:val="center"/>
          </w:tcPr>
          <w:p w14:paraId="32CE6CF4" w14:textId="77777777" w:rsidR="00791F8F" w:rsidRPr="00883271" w:rsidRDefault="00791F8F" w:rsidP="00284E88">
            <w:pPr>
              <w:pStyle w:val="TableTextLeft"/>
            </w:pPr>
            <w:r w:rsidRPr="00883271">
              <w:t>Firm fixed effects</w:t>
            </w:r>
          </w:p>
        </w:tc>
      </w:tr>
      <w:tr w:rsidR="00791F8F" w:rsidRPr="00883271" w14:paraId="48C53055" w14:textId="77777777" w:rsidTr="00284E88">
        <w:trPr>
          <w:cnfStyle w:val="000000010000" w:firstRow="0" w:lastRow="0" w:firstColumn="0" w:lastColumn="0" w:oddVBand="0" w:evenVBand="0" w:oddHBand="0" w:evenHBand="1" w:firstRowFirstColumn="0" w:firstRowLastColumn="0" w:lastRowFirstColumn="0" w:lastRowLastColumn="0"/>
        </w:trPr>
        <w:tc>
          <w:tcPr>
            <w:tcW w:w="0" w:type="auto"/>
          </w:tcPr>
          <w:p w14:paraId="2E86BAE7" w14:textId="77777777" w:rsidR="00791F8F" w:rsidRPr="00883271" w:rsidRDefault="00664208" w:rsidP="00284E88">
            <w:pPr>
              <w:pStyle w:val="TableTextLeft"/>
            </w:pPr>
            <m:oMathPara>
              <m:oMath>
                <m:sSub>
                  <m:sSubPr>
                    <m:ctrlPr>
                      <w:rPr>
                        <w:rFonts w:ascii="Cambria Math" w:hAnsi="Cambria Math"/>
                      </w:rPr>
                    </m:ctrlPr>
                  </m:sSubPr>
                  <m:e>
                    <m:r>
                      <w:rPr>
                        <w:rFonts w:ascii="Cambria Math" w:hAnsi="Cambria Math"/>
                      </w:rPr>
                      <m:t>ϵ</m:t>
                    </m:r>
                  </m:e>
                  <m:sub>
                    <m:r>
                      <w:rPr>
                        <w:rFonts w:ascii="Cambria Math" w:hAnsi="Cambria Math"/>
                      </w:rPr>
                      <m:t>ist</m:t>
                    </m:r>
                  </m:sub>
                </m:sSub>
              </m:oMath>
            </m:oMathPara>
          </w:p>
        </w:tc>
        <w:tc>
          <w:tcPr>
            <w:tcW w:w="0" w:type="auto"/>
            <w:vAlign w:val="center"/>
          </w:tcPr>
          <w:p w14:paraId="01BCF30F" w14:textId="77777777" w:rsidR="00791F8F" w:rsidRPr="00883271" w:rsidRDefault="00791F8F" w:rsidP="00284E88">
            <w:pPr>
              <w:pStyle w:val="TableTextLeft"/>
            </w:pPr>
            <w:r w:rsidRPr="00883271">
              <w:t>Idiosyncratic error</w:t>
            </w:r>
          </w:p>
        </w:tc>
      </w:tr>
    </w:tbl>
    <w:p w14:paraId="4FDC1B53" w14:textId="77777777" w:rsidR="00791F8F" w:rsidRPr="00883271" w:rsidRDefault="00E336C5" w:rsidP="00284E88">
      <w:r w:rsidRPr="00883271">
        <w:t>The</w:t>
      </w:r>
      <w:r w:rsidR="00791F8F" w:rsidRPr="00883271">
        <w:t xml:space="preserve"> analysis is subject to a number of limitations which </w:t>
      </w:r>
      <w:r w:rsidR="00485255" w:rsidRPr="00883271">
        <w:t>may</w:t>
      </w:r>
      <w:r w:rsidR="00791F8F" w:rsidRPr="00883271">
        <w:t xml:space="preserve"> reduce the accuracy and confidence of results.</w:t>
      </w:r>
    </w:p>
    <w:p w14:paraId="4A1125F4" w14:textId="048B8FE0" w:rsidR="00791F8F" w:rsidRPr="00883271" w:rsidRDefault="00791F8F" w:rsidP="00284E88">
      <w:pPr>
        <w:pStyle w:val="Bullet"/>
      </w:pPr>
      <w:r w:rsidRPr="00284E88">
        <w:t>Demand</w:t>
      </w:r>
      <w:r w:rsidRPr="00883271">
        <w:t xml:space="preserve"> for repair services rebounded following travel restrictions placed on individuals during </w:t>
      </w:r>
      <w:r w:rsidR="00E1405E" w:rsidRPr="00883271">
        <w:t>the COVID</w:t>
      </w:r>
      <w:r w:rsidR="007B3C6A">
        <w:noBreakHyphen/>
      </w:r>
      <w:r w:rsidR="00E1405E" w:rsidRPr="00883271">
        <w:t>19 pandemic</w:t>
      </w:r>
      <w:r w:rsidRPr="00883271">
        <w:t xml:space="preserve">. The implementation of the scheme </w:t>
      </w:r>
      <w:r w:rsidR="00CF2191" w:rsidRPr="00883271">
        <w:t>coincides</w:t>
      </w:r>
      <w:r w:rsidRPr="00883271">
        <w:t xml:space="preserve"> with the easing of travel restrictions. Due to lack of firm</w:t>
      </w:r>
      <w:r w:rsidR="007B3C6A">
        <w:noBreakHyphen/>
      </w:r>
      <w:r w:rsidRPr="00883271">
        <w:t>identification and having to use average industry outcomes, part of the result attributed to the scheme could be due to this pent</w:t>
      </w:r>
      <w:r w:rsidR="007B3C6A">
        <w:noBreakHyphen/>
      </w:r>
      <w:r w:rsidRPr="00883271">
        <w:t>up demand.</w:t>
      </w:r>
    </w:p>
    <w:p w14:paraId="0EE9E393" w14:textId="25D58560" w:rsidR="00791F8F" w:rsidRPr="00883271" w:rsidRDefault="00791F8F" w:rsidP="00284E88">
      <w:pPr>
        <w:pStyle w:val="Bullet"/>
      </w:pPr>
      <w:r w:rsidRPr="00883271">
        <w:t>Firm level data allows us to control for state</w:t>
      </w:r>
      <w:r w:rsidR="007B3C6A">
        <w:noBreakHyphen/>
      </w:r>
      <w:r w:rsidRPr="00883271">
        <w:t xml:space="preserve">level heterogeneity for impact of lockdowns and travel habits. Though there is an identification issue in that all firms in the cohort are impact together, meaning </w:t>
      </w:r>
      <w:r w:rsidRPr="00284E88">
        <w:t>there</w:t>
      </w:r>
      <w:r w:rsidRPr="00883271">
        <w:t xml:space="preserve"> is no control/treatment cohorts to compare. We can only compare average outcomes before and after scheme implementation.</w:t>
      </w:r>
    </w:p>
    <w:p w14:paraId="3DCC4164" w14:textId="77777777" w:rsidR="00F122ED" w:rsidRPr="00883271" w:rsidRDefault="00F122ED" w:rsidP="00284E88">
      <w:pPr>
        <w:pStyle w:val="Bullet"/>
      </w:pPr>
      <w:r w:rsidRPr="00883271">
        <w:t xml:space="preserve">The nature of </w:t>
      </w:r>
      <w:r w:rsidRPr="00284E88">
        <w:t>the</w:t>
      </w:r>
      <w:r w:rsidRPr="00883271">
        <w:t xml:space="preserve"> dataset also presents two identification issues:</w:t>
      </w:r>
    </w:p>
    <w:p w14:paraId="5FF55BA3" w14:textId="77777777" w:rsidR="00791F8F" w:rsidRPr="00284E88" w:rsidRDefault="00791F8F" w:rsidP="00284E88">
      <w:pPr>
        <w:pStyle w:val="Dash"/>
      </w:pPr>
      <w:r w:rsidRPr="00883271">
        <w:t xml:space="preserve">Unable to identify which firms in the </w:t>
      </w:r>
      <w:r w:rsidRPr="00284E88">
        <w:t xml:space="preserve">sector were accessing scheme information. </w:t>
      </w:r>
    </w:p>
    <w:p w14:paraId="62C972E6" w14:textId="77777777" w:rsidR="00791F8F" w:rsidRPr="00883271" w:rsidRDefault="00791F8F" w:rsidP="00284E88">
      <w:pPr>
        <w:pStyle w:val="Dash"/>
      </w:pPr>
      <w:r w:rsidRPr="00284E88">
        <w:t xml:space="preserve">Unable to </w:t>
      </w:r>
      <w:r w:rsidR="00A5379B" w:rsidRPr="00284E88">
        <w:t>identify</w:t>
      </w:r>
      <w:r w:rsidRPr="00284E88">
        <w:t xml:space="preserve"> which firms are indepe</w:t>
      </w:r>
      <w:r w:rsidRPr="00883271">
        <w:rPr>
          <w:sz w:val="21"/>
          <w:szCs w:val="21"/>
        </w:rPr>
        <w:t xml:space="preserve">ndent or authorised repairers. </w:t>
      </w:r>
    </w:p>
    <w:p w14:paraId="6549D6F7" w14:textId="77777777" w:rsidR="00F46210" w:rsidRPr="00883271" w:rsidRDefault="008A2F9A" w:rsidP="008A2F9A">
      <w:pPr>
        <w:pStyle w:val="Heading2"/>
      </w:pPr>
      <w:bookmarkStart w:id="124" w:name="_Toc211963344"/>
      <w:bookmarkStart w:id="125" w:name="_Toc212130882"/>
      <w:bookmarkStart w:id="126" w:name="_Toc213229607"/>
      <w:bookmarkStart w:id="127" w:name="_Toc213335221"/>
      <w:bookmarkStart w:id="128" w:name="_Toc213340422"/>
      <w:r w:rsidRPr="00883271">
        <w:lastRenderedPageBreak/>
        <w:t>Consumer price analysis</w:t>
      </w:r>
      <w:bookmarkEnd w:id="124"/>
      <w:bookmarkEnd w:id="125"/>
      <w:bookmarkEnd w:id="126"/>
      <w:bookmarkEnd w:id="127"/>
      <w:bookmarkEnd w:id="128"/>
    </w:p>
    <w:p w14:paraId="5CC8B3C5" w14:textId="77777777" w:rsidR="00826772" w:rsidRPr="00883271" w:rsidRDefault="00C768EC" w:rsidP="00826772">
      <w:pPr>
        <w:rPr>
          <w:rFonts w:cs="Calibri Light"/>
          <w:sz w:val="21"/>
          <w:szCs w:val="21"/>
        </w:rPr>
      </w:pPr>
      <w:r w:rsidRPr="00883271">
        <w:rPr>
          <w:rFonts w:cs="Calibri Light"/>
          <w:sz w:val="21"/>
          <w:szCs w:val="21"/>
        </w:rPr>
        <w:t>The following fixed effect</w:t>
      </w:r>
      <w:r w:rsidR="00826772" w:rsidRPr="00883271">
        <w:rPr>
          <w:rFonts w:cs="Calibri Light"/>
          <w:sz w:val="21"/>
          <w:szCs w:val="21"/>
        </w:rPr>
        <w:t>s</w:t>
      </w:r>
      <w:r w:rsidRPr="00883271">
        <w:rPr>
          <w:rFonts w:cs="Calibri Light"/>
          <w:sz w:val="21"/>
          <w:szCs w:val="21"/>
        </w:rPr>
        <w:t xml:space="preserve"> model </w:t>
      </w:r>
      <w:r w:rsidR="00E135B8" w:rsidRPr="00883271">
        <w:rPr>
          <w:rFonts w:cs="Calibri Light"/>
          <w:sz w:val="21"/>
          <w:szCs w:val="21"/>
        </w:rPr>
        <w:t xml:space="preserve">for </w:t>
      </w:r>
      <w:r w:rsidR="009032D7" w:rsidRPr="00883271">
        <w:rPr>
          <w:rFonts w:cs="Calibri Light"/>
          <w:sz w:val="21"/>
          <w:szCs w:val="21"/>
        </w:rPr>
        <w:t xml:space="preserve">price index of repair of motor vehicles, in quarter </w:t>
      </w:r>
      <m:oMath>
        <m:r>
          <w:rPr>
            <w:rFonts w:ascii="Cambria Math" w:hAnsi="Cambria Math" w:cs="Calibri Light"/>
            <w:sz w:val="21"/>
            <w:szCs w:val="21"/>
          </w:rPr>
          <m:t>t</m:t>
        </m:r>
      </m:oMath>
      <w:r w:rsidR="009032D7" w:rsidRPr="00883271">
        <w:rPr>
          <w:rFonts w:cs="Calibri Light"/>
          <w:sz w:val="21"/>
          <w:szCs w:val="21"/>
        </w:rPr>
        <w:t xml:space="preserve">, </w:t>
      </w:r>
      <w:r w:rsidRPr="00883271">
        <w:rPr>
          <w:rFonts w:cs="Calibri Light"/>
          <w:sz w:val="21"/>
          <w:szCs w:val="21"/>
        </w:rPr>
        <w:t>w</w:t>
      </w:r>
      <w:r w:rsidR="00826772" w:rsidRPr="00883271">
        <w:rPr>
          <w:rFonts w:cs="Calibri Light"/>
          <w:sz w:val="21"/>
          <w:szCs w:val="21"/>
        </w:rPr>
        <w:t xml:space="preserve">as </w:t>
      </w:r>
      <w:r w:rsidRPr="00883271">
        <w:rPr>
          <w:rFonts w:cs="Calibri Light"/>
          <w:sz w:val="21"/>
          <w:szCs w:val="21"/>
        </w:rPr>
        <w:t>estimated using ordinary least squares.</w:t>
      </w:r>
    </w:p>
    <w:p w14:paraId="1AA577F1" w14:textId="77777777" w:rsidR="001871A9" w:rsidRPr="00883271" w:rsidRDefault="00171410" w:rsidP="00826772">
      <w:pPr>
        <w:rPr>
          <w:rFonts w:eastAsiaTheme="minorEastAsia"/>
          <w:sz w:val="21"/>
          <w:szCs w:val="21"/>
        </w:rPr>
      </w:pPr>
      <m:oMathPara>
        <m:oMath>
          <m:r>
            <w:rPr>
              <w:rFonts w:ascii="Cambria Math" w:hAnsi="Cambria Math"/>
              <w:sz w:val="21"/>
              <w:szCs w:val="21"/>
            </w:rPr>
            <m:t>Repai</m:t>
          </m:r>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t</m:t>
              </m:r>
            </m:sub>
          </m:sSub>
          <m:r>
            <w:rPr>
              <w:rFonts w:ascii="Cambria Math" w:hAnsi="Cambria Math"/>
              <w:sz w:val="21"/>
              <w:szCs w:val="21"/>
            </w:rPr>
            <m:t>=α+</m:t>
          </m:r>
          <m:sSub>
            <m:sSubPr>
              <m:ctrlPr>
                <w:rPr>
                  <w:rFonts w:ascii="Cambria Math" w:hAnsi="Cambria Math"/>
                  <w:i/>
                  <w:sz w:val="21"/>
                  <w:szCs w:val="21"/>
                </w:rPr>
              </m:ctrlPr>
            </m:sSubPr>
            <m:e>
              <m:r>
                <w:rPr>
                  <w:rFonts w:ascii="Cambria Math" w:hAnsi="Cambria Math"/>
                  <w:sz w:val="21"/>
                  <w:szCs w:val="21"/>
                </w:rPr>
                <m:t>γ</m:t>
              </m:r>
            </m:e>
            <m:sub>
              <m:r>
                <w:rPr>
                  <w:rFonts w:ascii="Cambria Math" w:hAnsi="Cambria Math"/>
                  <w:sz w:val="21"/>
                  <w:szCs w:val="21"/>
                </w:rPr>
                <m:t>1</m:t>
              </m:r>
            </m:sub>
          </m:sSub>
          <m:r>
            <w:rPr>
              <w:rFonts w:ascii="Cambria Math" w:hAnsi="Cambria Math"/>
              <w:sz w:val="21"/>
              <w:szCs w:val="21"/>
            </w:rPr>
            <m:t>MVIS Dumm</m:t>
          </m:r>
          <m:sSub>
            <m:sSubPr>
              <m:ctrlPr>
                <w:rPr>
                  <w:rFonts w:ascii="Cambria Math" w:hAnsi="Cambria Math"/>
                  <w:i/>
                  <w:sz w:val="21"/>
                  <w:szCs w:val="21"/>
                </w:rPr>
              </m:ctrlPr>
            </m:sSubPr>
            <m:e>
              <m:r>
                <w:rPr>
                  <w:rFonts w:ascii="Cambria Math" w:hAnsi="Cambria Math"/>
                  <w:sz w:val="21"/>
                  <w:szCs w:val="21"/>
                </w:rPr>
                <m:t>y</m:t>
              </m:r>
            </m:e>
            <m:sub>
              <m:r>
                <w:rPr>
                  <w:rFonts w:ascii="Cambria Math" w:hAnsi="Cambria Math"/>
                  <w:sz w:val="21"/>
                  <w:szCs w:val="21"/>
                </w:rPr>
                <m:t>t</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β</m:t>
              </m:r>
            </m:e>
            <m:sub>
              <m:r>
                <w:rPr>
                  <w:rFonts w:ascii="Cambria Math" w:hAnsi="Cambria Math"/>
                  <w:sz w:val="21"/>
                  <w:szCs w:val="21"/>
                </w:rPr>
                <m:t>1</m:t>
              </m:r>
            </m:sub>
          </m:sSub>
          <m:r>
            <w:rPr>
              <w:rFonts w:ascii="Cambria Math" w:hAnsi="Cambria Math"/>
              <w:sz w:val="21"/>
              <w:szCs w:val="21"/>
            </w:rPr>
            <m:t>Part</m:t>
          </m:r>
          <m:sSub>
            <m:sSubPr>
              <m:ctrlPr>
                <w:rPr>
                  <w:rFonts w:ascii="Cambria Math" w:hAnsi="Cambria Math"/>
                  <w:i/>
                  <w:sz w:val="21"/>
                  <w:szCs w:val="21"/>
                </w:rPr>
              </m:ctrlPr>
            </m:sSubPr>
            <m:e>
              <m:r>
                <w:rPr>
                  <w:rFonts w:ascii="Cambria Math" w:hAnsi="Cambria Math"/>
                  <w:sz w:val="21"/>
                  <w:szCs w:val="21"/>
                </w:rPr>
                <m:t>s</m:t>
              </m:r>
            </m:e>
            <m:sub>
              <m:r>
                <w:rPr>
                  <w:rFonts w:ascii="Cambria Math" w:hAnsi="Cambria Math"/>
                  <w:sz w:val="21"/>
                  <w:szCs w:val="21"/>
                </w:rPr>
                <m:t>t</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β</m:t>
              </m:r>
            </m:e>
            <m:sub>
              <m:r>
                <w:rPr>
                  <w:rFonts w:ascii="Cambria Math" w:hAnsi="Cambria Math"/>
                  <w:sz w:val="21"/>
                  <w:szCs w:val="21"/>
                </w:rPr>
                <m:t>2</m:t>
              </m:r>
            </m:sub>
          </m:sSub>
          <m:r>
            <w:rPr>
              <w:rFonts w:ascii="Cambria Math" w:hAnsi="Cambria Math"/>
              <w:sz w:val="21"/>
              <w:szCs w:val="21"/>
            </w:rPr>
            <m:t>WP</m:t>
          </m:r>
          <m:sSub>
            <m:sSubPr>
              <m:ctrlPr>
                <w:rPr>
                  <w:rFonts w:ascii="Cambria Math" w:hAnsi="Cambria Math"/>
                  <w:i/>
                  <w:sz w:val="21"/>
                  <w:szCs w:val="21"/>
                </w:rPr>
              </m:ctrlPr>
            </m:sSubPr>
            <m:e>
              <m:r>
                <w:rPr>
                  <w:rFonts w:ascii="Cambria Math" w:hAnsi="Cambria Math"/>
                  <w:sz w:val="21"/>
                  <w:szCs w:val="21"/>
                </w:rPr>
                <m:t>I</m:t>
              </m:r>
            </m:e>
            <m:sub>
              <m:r>
                <w:rPr>
                  <w:rFonts w:ascii="Cambria Math" w:hAnsi="Cambria Math"/>
                  <w:sz w:val="21"/>
                  <w:szCs w:val="21"/>
                </w:rPr>
                <m:t>t</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β</m:t>
              </m:r>
            </m:e>
            <m:sub>
              <m:r>
                <w:rPr>
                  <w:rFonts w:ascii="Cambria Math" w:hAnsi="Cambria Math"/>
                  <w:sz w:val="21"/>
                  <w:szCs w:val="21"/>
                </w:rPr>
                <m:t>3</m:t>
              </m:r>
            </m:sub>
          </m:sSub>
          <m:r>
            <w:rPr>
              <w:rFonts w:ascii="Cambria Math" w:hAnsi="Cambria Math"/>
              <w:sz w:val="21"/>
              <w:szCs w:val="21"/>
            </w:rPr>
            <m:t>Motor Vehicl</m:t>
          </m:r>
          <m:sSub>
            <m:sSubPr>
              <m:ctrlPr>
                <w:rPr>
                  <w:rFonts w:ascii="Cambria Math" w:hAnsi="Cambria Math"/>
                  <w:i/>
                  <w:sz w:val="21"/>
                  <w:szCs w:val="21"/>
                </w:rPr>
              </m:ctrlPr>
            </m:sSubPr>
            <m:e>
              <m:r>
                <w:rPr>
                  <w:rFonts w:ascii="Cambria Math" w:hAnsi="Cambria Math"/>
                  <w:sz w:val="21"/>
                  <w:szCs w:val="21"/>
                </w:rPr>
                <m:t>e</m:t>
              </m:r>
            </m:e>
            <m:sub>
              <m:r>
                <w:rPr>
                  <w:rFonts w:ascii="Cambria Math" w:hAnsi="Cambria Math"/>
                  <w:sz w:val="21"/>
                  <w:szCs w:val="21"/>
                </w:rPr>
                <m:t>t</m:t>
              </m:r>
            </m:sub>
          </m:sSub>
          <m:r>
            <w:rPr>
              <w:rFonts w:ascii="Cambria Math" w:hAnsi="Cambria Math"/>
              <w:sz w:val="21"/>
              <w:szCs w:val="21"/>
            </w:rPr>
            <m:t>+</m:t>
          </m:r>
          <m:nary>
            <m:naryPr>
              <m:chr m:val="∑"/>
              <m:ctrlPr>
                <w:rPr>
                  <w:rFonts w:ascii="Cambria Math" w:hAnsi="Cambria Math"/>
                  <w:i/>
                  <w:sz w:val="21"/>
                  <w:szCs w:val="21"/>
                </w:rPr>
              </m:ctrlPr>
            </m:naryPr>
            <m:sub>
              <m:r>
                <w:rPr>
                  <w:rFonts w:ascii="Cambria Math" w:hAnsi="Cambria Math"/>
                  <w:sz w:val="21"/>
                  <w:szCs w:val="21"/>
                </w:rPr>
                <m:t>k=1</m:t>
              </m:r>
            </m:sub>
            <m:sup>
              <m:r>
                <w:rPr>
                  <w:rFonts w:ascii="Cambria Math" w:hAnsi="Cambria Math"/>
                  <w:sz w:val="21"/>
                  <w:szCs w:val="21"/>
                </w:rPr>
                <m:t>4</m:t>
              </m:r>
            </m:sup>
            <m:e>
              <m:sSub>
                <m:sSubPr>
                  <m:ctrlPr>
                    <w:rPr>
                      <w:rFonts w:ascii="Cambria Math" w:hAnsi="Cambria Math"/>
                      <w:i/>
                      <w:sz w:val="21"/>
                      <w:szCs w:val="21"/>
                    </w:rPr>
                  </m:ctrlPr>
                </m:sSubPr>
                <m:e>
                  <m:r>
                    <w:rPr>
                      <w:rFonts w:ascii="Cambria Math" w:hAnsi="Cambria Math"/>
                      <w:sz w:val="21"/>
                      <w:szCs w:val="21"/>
                    </w:rPr>
                    <m:t>β</m:t>
                  </m:r>
                </m:e>
                <m:sub>
                  <m:r>
                    <w:rPr>
                      <w:rFonts w:ascii="Cambria Math" w:hAnsi="Cambria Math"/>
                      <w:sz w:val="21"/>
                      <w:szCs w:val="21"/>
                    </w:rPr>
                    <m:t>k</m:t>
                  </m:r>
                </m:sub>
              </m:sSub>
              <m:r>
                <w:rPr>
                  <w:rFonts w:ascii="Cambria Math" w:hAnsi="Cambria Math"/>
                  <w:sz w:val="21"/>
                  <w:szCs w:val="21"/>
                </w:rPr>
                <m:t>Vehicle Import</m:t>
              </m:r>
              <m:sSub>
                <m:sSubPr>
                  <m:ctrlPr>
                    <w:rPr>
                      <w:rFonts w:ascii="Cambria Math" w:hAnsi="Cambria Math"/>
                      <w:i/>
                      <w:sz w:val="21"/>
                      <w:szCs w:val="21"/>
                    </w:rPr>
                  </m:ctrlPr>
                </m:sSubPr>
                <m:e>
                  <m:r>
                    <w:rPr>
                      <w:rFonts w:ascii="Cambria Math" w:hAnsi="Cambria Math"/>
                      <w:sz w:val="21"/>
                      <w:szCs w:val="21"/>
                    </w:rPr>
                    <m:t>s</m:t>
                  </m:r>
                </m:e>
                <m:sub>
                  <m:r>
                    <w:rPr>
                      <w:rFonts w:ascii="Cambria Math" w:hAnsi="Cambria Math"/>
                      <w:sz w:val="21"/>
                      <w:szCs w:val="21"/>
                    </w:rPr>
                    <m:t>t-k</m:t>
                  </m:r>
                </m:sub>
              </m:sSub>
            </m:e>
          </m:nary>
          <m:r>
            <w:rPr>
              <w:rFonts w:ascii="Cambria Math" w:hAnsi="Cambria Math"/>
              <w:sz w:val="21"/>
              <w:szCs w:val="21"/>
            </w:rPr>
            <m:t>+</m:t>
          </m:r>
          <m:nary>
            <m:naryPr>
              <m:chr m:val="∑"/>
              <m:ctrlPr>
                <w:rPr>
                  <w:rFonts w:ascii="Cambria Math" w:hAnsi="Cambria Math"/>
                  <w:i/>
                  <w:sz w:val="21"/>
                  <w:szCs w:val="21"/>
                </w:rPr>
              </m:ctrlPr>
            </m:naryPr>
            <m:sub>
              <m:r>
                <w:rPr>
                  <w:rFonts w:ascii="Cambria Math" w:hAnsi="Cambria Math"/>
                  <w:sz w:val="21"/>
                  <w:szCs w:val="21"/>
                </w:rPr>
                <m:t>k=1</m:t>
              </m:r>
            </m:sub>
            <m:sup>
              <m:r>
                <w:rPr>
                  <w:rFonts w:ascii="Cambria Math" w:hAnsi="Cambria Math"/>
                  <w:sz w:val="21"/>
                  <w:szCs w:val="21"/>
                </w:rPr>
                <m:t>4</m:t>
              </m:r>
            </m:sup>
            <m:e>
              <m:r>
                <w:rPr>
                  <w:rFonts w:ascii="Cambria Math" w:hAnsi="Cambria Math"/>
                  <w:sz w:val="21"/>
                  <w:szCs w:val="21"/>
                </w:rPr>
                <m:t>Repai</m:t>
              </m:r>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t-k</m:t>
                  </m:r>
                </m:sub>
              </m:sSub>
            </m:e>
          </m:nary>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ϵ</m:t>
              </m:r>
            </m:e>
            <m:sub>
              <m:r>
                <w:rPr>
                  <w:rFonts w:ascii="Cambria Math" w:hAnsi="Cambria Math"/>
                  <w:sz w:val="21"/>
                  <w:szCs w:val="21"/>
                </w:rPr>
                <m:t>t</m:t>
              </m:r>
            </m:sub>
          </m:sSub>
        </m:oMath>
      </m:oMathPara>
    </w:p>
    <w:p w14:paraId="58F71731" w14:textId="77777777" w:rsidR="0051630D" w:rsidRPr="00883271" w:rsidRDefault="00F1094F" w:rsidP="00284E88">
      <w:r w:rsidRPr="00883271">
        <w:t>The variables are tabulated below.</w:t>
      </w:r>
      <w:r w:rsidR="006709EF" w:rsidRPr="00883271">
        <w:t xml:space="preserve"> </w:t>
      </w:r>
      <m:oMath>
        <m:sSub>
          <m:sSubPr>
            <m:ctrlPr>
              <w:rPr>
                <w:rFonts w:ascii="Cambria Math" w:hAnsi="Cambria Math"/>
                <w:i/>
              </w:rPr>
            </m:ctrlPr>
          </m:sSubPr>
          <m:e>
            <m:r>
              <w:rPr>
                <w:rFonts w:ascii="Cambria Math" w:hAnsi="Cambria Math"/>
              </w:rPr>
              <m:t>γ</m:t>
            </m:r>
          </m:e>
          <m:sub>
            <m:r>
              <w:rPr>
                <w:rFonts w:ascii="Cambria Math" w:hAnsi="Cambria Math"/>
              </w:rPr>
              <m:t>1</m:t>
            </m:r>
          </m:sub>
        </m:sSub>
      </m:oMath>
      <w:r w:rsidR="006709EF" w:rsidRPr="00883271">
        <w:t xml:space="preserve"> is the coefficient of interest and shows the average impact of the scheme on real firm turnover after implementation, compared to before. </w:t>
      </w:r>
      <m:oMath>
        <m:sSub>
          <m:sSubPr>
            <m:ctrlPr>
              <w:rPr>
                <w:rFonts w:ascii="Cambria Math" w:hAnsi="Cambria Math"/>
                <w:i/>
              </w:rPr>
            </m:ctrlPr>
          </m:sSubPr>
          <m:e>
            <m:r>
              <w:rPr>
                <w:rFonts w:ascii="Cambria Math" w:hAnsi="Cambria Math"/>
              </w:rPr>
              <m:t>γ</m:t>
            </m:r>
          </m:e>
          <m:sub>
            <m:r>
              <w:rPr>
                <w:rFonts w:ascii="Cambria Math" w:hAnsi="Cambria Math"/>
              </w:rPr>
              <m:t>1</m:t>
            </m:r>
          </m:sub>
        </m:sSub>
      </m:oMath>
      <w:r w:rsidR="006709EF" w:rsidRPr="00883271">
        <w:t xml:space="preserve"> is expected to be positive.</w:t>
      </w:r>
    </w:p>
    <w:tbl>
      <w:tblPr>
        <w:tblStyle w:val="TableGrid"/>
        <w:tblW w:w="5000" w:type="pct"/>
        <w:tblLook w:val="04A0" w:firstRow="1" w:lastRow="0" w:firstColumn="1" w:lastColumn="0" w:noHBand="0" w:noVBand="1"/>
      </w:tblPr>
      <w:tblGrid>
        <w:gridCol w:w="1654"/>
        <w:gridCol w:w="7416"/>
      </w:tblGrid>
      <w:tr w:rsidR="008C0ECD" w:rsidRPr="00883271" w14:paraId="3D959DF3" w14:textId="77777777" w:rsidTr="00284E88">
        <w:trPr>
          <w:cnfStyle w:val="100000000000" w:firstRow="1" w:lastRow="0" w:firstColumn="0" w:lastColumn="0" w:oddVBand="0" w:evenVBand="0" w:oddHBand="0" w:evenHBand="0" w:firstRowFirstColumn="0" w:firstRowLastColumn="0" w:lastRowFirstColumn="0" w:lastRowLastColumn="0"/>
          <w:trHeight w:val="341"/>
        </w:trPr>
        <w:tc>
          <w:tcPr>
            <w:tcW w:w="0" w:type="auto"/>
          </w:tcPr>
          <w:p w14:paraId="1A4186F3" w14:textId="77777777" w:rsidR="0051630D" w:rsidRPr="00284E88" w:rsidRDefault="0051630D" w:rsidP="00284E88">
            <w:pPr>
              <w:pStyle w:val="TableColumnHeadingLeft"/>
              <w:rPr>
                <w:b w:val="0"/>
                <w:bCs/>
              </w:rPr>
            </w:pPr>
            <w:r w:rsidRPr="00284E88">
              <w:rPr>
                <w:bCs/>
              </w:rPr>
              <w:t>Variable</w:t>
            </w:r>
          </w:p>
        </w:tc>
        <w:tc>
          <w:tcPr>
            <w:tcW w:w="0" w:type="auto"/>
          </w:tcPr>
          <w:p w14:paraId="5EE2CB14" w14:textId="77777777" w:rsidR="0051630D" w:rsidRPr="00284E88" w:rsidRDefault="0051630D" w:rsidP="00284E88">
            <w:pPr>
              <w:pStyle w:val="TableColumnHeadingLeft"/>
              <w:rPr>
                <w:b w:val="0"/>
                <w:bCs/>
              </w:rPr>
            </w:pPr>
            <w:r w:rsidRPr="00284E88">
              <w:rPr>
                <w:bCs/>
              </w:rPr>
              <w:t>Description</w:t>
            </w:r>
          </w:p>
        </w:tc>
      </w:tr>
      <w:tr w:rsidR="0051630D" w:rsidRPr="00883271" w14:paraId="0C6FBBF2" w14:textId="77777777" w:rsidTr="00284E88">
        <w:trPr>
          <w:cnfStyle w:val="000000100000" w:firstRow="0" w:lastRow="0" w:firstColumn="0" w:lastColumn="0" w:oddVBand="0" w:evenVBand="0" w:oddHBand="1" w:evenHBand="0" w:firstRowFirstColumn="0" w:firstRowLastColumn="0" w:lastRowFirstColumn="0" w:lastRowLastColumn="0"/>
        </w:trPr>
        <w:tc>
          <w:tcPr>
            <w:tcW w:w="0" w:type="auto"/>
          </w:tcPr>
          <w:p w14:paraId="2FD94B65" w14:textId="77777777" w:rsidR="0051630D" w:rsidRPr="00883271" w:rsidRDefault="001E02FE" w:rsidP="00284E88">
            <w:pPr>
              <w:pStyle w:val="TableTextLeft"/>
            </w:pPr>
            <m:oMathPara>
              <m:oMath>
                <m:r>
                  <w:rPr>
                    <w:rFonts w:ascii="Cambria Math" w:eastAsiaTheme="minorEastAsia" w:hAnsi="Cambria Math"/>
                  </w:rPr>
                  <m:t>Repai</m:t>
                </m:r>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t</m:t>
                    </m:r>
                  </m:sub>
                </m:sSub>
              </m:oMath>
            </m:oMathPara>
          </w:p>
        </w:tc>
        <w:tc>
          <w:tcPr>
            <w:tcW w:w="0" w:type="auto"/>
            <w:vAlign w:val="center"/>
          </w:tcPr>
          <w:p w14:paraId="3E2E2C8C" w14:textId="77777777" w:rsidR="0051630D" w:rsidRPr="00883271" w:rsidRDefault="006709EF" w:rsidP="00284E88">
            <w:pPr>
              <w:pStyle w:val="TableTextLeft"/>
            </w:pPr>
            <w:r w:rsidRPr="00883271">
              <w:rPr>
                <w:rFonts w:eastAsiaTheme="minorEastAsia"/>
              </w:rPr>
              <w:t>Price index for repair of vehicles</w:t>
            </w:r>
          </w:p>
        </w:tc>
      </w:tr>
      <w:tr w:rsidR="0051630D" w:rsidRPr="00883271" w14:paraId="455E5EEE" w14:textId="77777777" w:rsidTr="00284E88">
        <w:trPr>
          <w:cnfStyle w:val="000000010000" w:firstRow="0" w:lastRow="0" w:firstColumn="0" w:lastColumn="0" w:oddVBand="0" w:evenVBand="0" w:oddHBand="0" w:evenHBand="1" w:firstRowFirstColumn="0" w:firstRowLastColumn="0" w:lastRowFirstColumn="0" w:lastRowLastColumn="0"/>
        </w:trPr>
        <w:tc>
          <w:tcPr>
            <w:tcW w:w="0" w:type="auto"/>
          </w:tcPr>
          <w:p w14:paraId="3589F886" w14:textId="77777777" w:rsidR="0051630D" w:rsidRPr="00883271" w:rsidRDefault="001E02FE" w:rsidP="00284E88">
            <w:pPr>
              <w:pStyle w:val="TableTextLeft"/>
            </w:pPr>
            <m:oMathPara>
              <m:oMath>
                <m:r>
                  <w:rPr>
                    <w:rFonts w:ascii="Cambria Math" w:eastAsiaTheme="minorEastAsia" w:hAnsi="Cambria Math"/>
                  </w:rPr>
                  <m:t>Part</m:t>
                </m:r>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t</m:t>
                    </m:r>
                  </m:sub>
                </m:sSub>
              </m:oMath>
            </m:oMathPara>
          </w:p>
        </w:tc>
        <w:tc>
          <w:tcPr>
            <w:tcW w:w="0" w:type="auto"/>
            <w:vAlign w:val="center"/>
          </w:tcPr>
          <w:p w14:paraId="090FFCB5" w14:textId="77777777" w:rsidR="0051630D" w:rsidRPr="00883271" w:rsidRDefault="006709EF" w:rsidP="00284E88">
            <w:pPr>
              <w:pStyle w:val="TableTextLeft"/>
            </w:pPr>
            <w:r w:rsidRPr="00883271">
              <w:rPr>
                <w:rFonts w:eastAsiaTheme="minorEastAsia"/>
              </w:rPr>
              <w:t>Price index for spare parts and accessories for Motor Vehicles</w:t>
            </w:r>
          </w:p>
        </w:tc>
      </w:tr>
      <w:tr w:rsidR="0051630D" w:rsidRPr="00883271" w14:paraId="1FDAEEF2" w14:textId="77777777" w:rsidTr="00284E88">
        <w:trPr>
          <w:cnfStyle w:val="000000100000" w:firstRow="0" w:lastRow="0" w:firstColumn="0" w:lastColumn="0" w:oddVBand="0" w:evenVBand="0" w:oddHBand="1" w:evenHBand="0" w:firstRowFirstColumn="0" w:firstRowLastColumn="0" w:lastRowFirstColumn="0" w:lastRowLastColumn="0"/>
        </w:trPr>
        <w:tc>
          <w:tcPr>
            <w:tcW w:w="0" w:type="auto"/>
          </w:tcPr>
          <w:p w14:paraId="506CAC9F" w14:textId="77777777" w:rsidR="0051630D" w:rsidRPr="00883271" w:rsidRDefault="001E02FE" w:rsidP="00284E88">
            <w:pPr>
              <w:pStyle w:val="TableTextLeft"/>
            </w:pPr>
            <m:oMathPara>
              <m:oMath>
                <m:r>
                  <w:rPr>
                    <w:rFonts w:ascii="Cambria Math" w:eastAsiaTheme="minorEastAsia" w:hAnsi="Cambria Math"/>
                  </w:rPr>
                  <m:t>MVI</m:t>
                </m:r>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t</m:t>
                    </m:r>
                  </m:sub>
                </m:sSub>
              </m:oMath>
            </m:oMathPara>
          </w:p>
        </w:tc>
        <w:tc>
          <w:tcPr>
            <w:tcW w:w="0" w:type="auto"/>
            <w:vAlign w:val="center"/>
          </w:tcPr>
          <w:p w14:paraId="742739A2" w14:textId="77777777" w:rsidR="0051630D" w:rsidRPr="00883271" w:rsidRDefault="006709EF" w:rsidP="00284E88">
            <w:pPr>
              <w:pStyle w:val="TableTextLeft"/>
            </w:pPr>
            <w:r w:rsidRPr="00883271">
              <w:rPr>
                <w:rFonts w:eastAsiaTheme="minorEastAsia"/>
              </w:rPr>
              <w:t>Dummy = 1</w:t>
            </w:r>
            <w:r w:rsidR="0051630D" w:rsidRPr="00883271">
              <w:rPr>
                <w:rFonts w:eastAsiaTheme="minorEastAsia"/>
              </w:rPr>
              <w:t xml:space="preserve"> from </w:t>
            </w:r>
            <w:r w:rsidRPr="00883271">
              <w:rPr>
                <w:rFonts w:eastAsiaTheme="minorEastAsia"/>
              </w:rPr>
              <w:t>2022Q3</w:t>
            </w:r>
            <w:r w:rsidR="0051630D" w:rsidRPr="00883271">
              <w:rPr>
                <w:rFonts w:eastAsiaTheme="minorEastAsia"/>
              </w:rPr>
              <w:t xml:space="preserve"> onwards</w:t>
            </w:r>
            <w:r w:rsidR="0051630D" w:rsidRPr="00883271">
              <w:t>.</w:t>
            </w:r>
          </w:p>
        </w:tc>
      </w:tr>
      <w:tr w:rsidR="0051630D" w:rsidRPr="00883271" w14:paraId="30BE4464" w14:textId="77777777" w:rsidTr="00284E88">
        <w:trPr>
          <w:cnfStyle w:val="000000010000" w:firstRow="0" w:lastRow="0" w:firstColumn="0" w:lastColumn="0" w:oddVBand="0" w:evenVBand="0" w:oddHBand="0" w:evenHBand="1" w:firstRowFirstColumn="0" w:firstRowLastColumn="0" w:lastRowFirstColumn="0" w:lastRowLastColumn="0"/>
        </w:trPr>
        <w:tc>
          <w:tcPr>
            <w:tcW w:w="0" w:type="auto"/>
          </w:tcPr>
          <w:p w14:paraId="2D0D6D64" w14:textId="77777777" w:rsidR="0051630D" w:rsidRPr="00883271" w:rsidRDefault="001E02FE" w:rsidP="00284E88">
            <w:pPr>
              <w:pStyle w:val="TableTextLeft"/>
            </w:pPr>
            <m:oMathPara>
              <m:oMath>
                <m:r>
                  <w:rPr>
                    <w:rFonts w:ascii="Cambria Math" w:eastAsiaTheme="minorEastAsia" w:hAnsi="Cambria Math"/>
                  </w:rPr>
                  <m:t>WP</m:t>
                </m:r>
                <m:sSub>
                  <m:sSubPr>
                    <m:ctrlPr>
                      <w:rPr>
                        <w:rFonts w:ascii="Cambria Math" w:eastAsiaTheme="minorEastAsia" w:hAnsi="Cambria Math"/>
                      </w:rPr>
                    </m:ctrlPr>
                  </m:sSubPr>
                  <m:e>
                    <m:r>
                      <w:rPr>
                        <w:rFonts w:ascii="Cambria Math" w:eastAsiaTheme="minorEastAsia" w:hAnsi="Cambria Math"/>
                      </w:rPr>
                      <m:t>I</m:t>
                    </m:r>
                  </m:e>
                  <m:sub>
                    <m:r>
                      <w:rPr>
                        <w:rFonts w:ascii="Cambria Math" w:eastAsiaTheme="minorEastAsia" w:hAnsi="Cambria Math"/>
                      </w:rPr>
                      <m:t>t</m:t>
                    </m:r>
                  </m:sub>
                </m:sSub>
              </m:oMath>
            </m:oMathPara>
          </w:p>
        </w:tc>
        <w:tc>
          <w:tcPr>
            <w:tcW w:w="0" w:type="auto"/>
            <w:vAlign w:val="center"/>
          </w:tcPr>
          <w:p w14:paraId="772A66FF" w14:textId="77777777" w:rsidR="0051630D" w:rsidRPr="00883271" w:rsidRDefault="006709EF" w:rsidP="00284E88">
            <w:pPr>
              <w:pStyle w:val="TableTextLeft"/>
            </w:pPr>
            <w:r w:rsidRPr="00883271">
              <w:rPr>
                <w:rFonts w:eastAsiaTheme="minorEastAsia"/>
              </w:rPr>
              <w:t>Wage Price Index for ‘Other Services’</w:t>
            </w:r>
          </w:p>
        </w:tc>
      </w:tr>
      <w:tr w:rsidR="0051630D" w:rsidRPr="00883271" w14:paraId="1B5E147A" w14:textId="77777777" w:rsidTr="00284E88">
        <w:trPr>
          <w:cnfStyle w:val="000000100000" w:firstRow="0" w:lastRow="0" w:firstColumn="0" w:lastColumn="0" w:oddVBand="0" w:evenVBand="0" w:oddHBand="1" w:evenHBand="0" w:firstRowFirstColumn="0" w:firstRowLastColumn="0" w:lastRowFirstColumn="0" w:lastRowLastColumn="0"/>
        </w:trPr>
        <w:tc>
          <w:tcPr>
            <w:tcW w:w="0" w:type="auto"/>
          </w:tcPr>
          <w:p w14:paraId="0E527EA2" w14:textId="77777777" w:rsidR="0051630D" w:rsidRPr="00883271" w:rsidRDefault="001E02FE" w:rsidP="00284E88">
            <w:pPr>
              <w:pStyle w:val="TableTextLeft"/>
            </w:pPr>
            <m:oMathPara>
              <m:oMath>
                <m:r>
                  <w:rPr>
                    <w:rFonts w:ascii="Cambria Math" w:eastAsiaTheme="minorEastAsia" w:hAnsi="Cambria Math"/>
                  </w:rPr>
                  <m:t>Motor</m:t>
                </m:r>
                <m:r>
                  <m:rPr>
                    <m:sty m:val="p"/>
                  </m:rPr>
                  <w:rPr>
                    <w:rFonts w:ascii="Cambria Math" w:eastAsiaTheme="minorEastAsia" w:hAnsi="Cambria Math"/>
                  </w:rPr>
                  <m:t xml:space="preserve"> </m:t>
                </m:r>
                <m:r>
                  <w:rPr>
                    <w:rFonts w:ascii="Cambria Math" w:eastAsiaTheme="minorEastAsia" w:hAnsi="Cambria Math"/>
                  </w:rPr>
                  <m:t>Vehicle</m:t>
                </m:r>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t</m:t>
                    </m:r>
                  </m:sub>
                </m:sSub>
              </m:oMath>
            </m:oMathPara>
          </w:p>
        </w:tc>
        <w:tc>
          <w:tcPr>
            <w:tcW w:w="0" w:type="auto"/>
            <w:vAlign w:val="center"/>
          </w:tcPr>
          <w:p w14:paraId="0DD0B936" w14:textId="77777777" w:rsidR="0051630D" w:rsidRPr="00883271" w:rsidRDefault="006709EF" w:rsidP="00284E88">
            <w:pPr>
              <w:pStyle w:val="TableTextLeft"/>
            </w:pPr>
            <w:r w:rsidRPr="00883271">
              <w:rPr>
                <w:rFonts w:eastAsiaTheme="minorEastAsia"/>
              </w:rPr>
              <w:t>Price index for motor vehicles</w:t>
            </w:r>
          </w:p>
        </w:tc>
      </w:tr>
      <w:tr w:rsidR="0051630D" w:rsidRPr="00883271" w14:paraId="03F3333A" w14:textId="77777777" w:rsidTr="00284E88">
        <w:trPr>
          <w:cnfStyle w:val="000000010000" w:firstRow="0" w:lastRow="0" w:firstColumn="0" w:lastColumn="0" w:oddVBand="0" w:evenVBand="0" w:oddHBand="0" w:evenHBand="1" w:firstRowFirstColumn="0" w:firstRowLastColumn="0" w:lastRowFirstColumn="0" w:lastRowLastColumn="0"/>
        </w:trPr>
        <w:tc>
          <w:tcPr>
            <w:tcW w:w="0" w:type="auto"/>
          </w:tcPr>
          <w:p w14:paraId="03444738" w14:textId="77777777" w:rsidR="0051630D" w:rsidRPr="00883271" w:rsidRDefault="001E02FE" w:rsidP="00284E88">
            <w:pPr>
              <w:pStyle w:val="TableTextLeft"/>
            </w:pPr>
            <m:oMathPara>
              <m:oMath>
                <m:r>
                  <w:rPr>
                    <w:rFonts w:ascii="Cambria Math" w:eastAsiaTheme="minorEastAsia" w:hAnsi="Cambria Math"/>
                  </w:rPr>
                  <m:t>Vehicles</m:t>
                </m:r>
                <m:r>
                  <m:rPr>
                    <m:sty m:val="p"/>
                  </m:rPr>
                  <w:rPr>
                    <w:rFonts w:ascii="Cambria Math" w:eastAsiaTheme="minorEastAsia" w:hAnsi="Cambria Math"/>
                  </w:rPr>
                  <m:t xml:space="preserve"> </m:t>
                </m:r>
                <m:r>
                  <w:rPr>
                    <w:rFonts w:ascii="Cambria Math" w:eastAsiaTheme="minorEastAsia" w:hAnsi="Cambria Math"/>
                  </w:rPr>
                  <m:t>Import</m:t>
                </m:r>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t</m:t>
                    </m:r>
                  </m:sub>
                </m:sSub>
              </m:oMath>
            </m:oMathPara>
          </w:p>
        </w:tc>
        <w:tc>
          <w:tcPr>
            <w:tcW w:w="0" w:type="auto"/>
            <w:vAlign w:val="center"/>
          </w:tcPr>
          <w:p w14:paraId="6D6CD9FA" w14:textId="77777777" w:rsidR="0051630D" w:rsidRPr="00883271" w:rsidRDefault="006709EF" w:rsidP="00284E88">
            <w:pPr>
              <w:pStyle w:val="TableTextLeft"/>
            </w:pPr>
            <w:r w:rsidRPr="00883271">
              <w:rPr>
                <w:rFonts w:eastAsiaTheme="minorEastAsia"/>
              </w:rPr>
              <w:t xml:space="preserve">Repair demand proxy through lagged value of motor vehicle imports (all vehicles are imported). Given as a </w:t>
            </w:r>
            <w:r w:rsidR="00D37879" w:rsidRPr="00883271">
              <w:rPr>
                <w:rFonts w:eastAsiaTheme="minorEastAsia"/>
              </w:rPr>
              <w:t>value but</w:t>
            </w:r>
            <w:r w:rsidRPr="00883271">
              <w:rPr>
                <w:rFonts w:eastAsiaTheme="minorEastAsia"/>
              </w:rPr>
              <w:t xml:space="preserve"> converted to an index to match other variables.</w:t>
            </w:r>
          </w:p>
        </w:tc>
      </w:tr>
      <w:tr w:rsidR="00257146" w:rsidRPr="00883271" w14:paraId="57501AED" w14:textId="77777777" w:rsidTr="00284E88">
        <w:trPr>
          <w:cnfStyle w:val="000000100000" w:firstRow="0" w:lastRow="0" w:firstColumn="0" w:lastColumn="0" w:oddVBand="0" w:evenVBand="0" w:oddHBand="1" w:evenHBand="0" w:firstRowFirstColumn="0" w:firstRowLastColumn="0" w:lastRowFirstColumn="0" w:lastRowLastColumn="0"/>
        </w:trPr>
        <w:tc>
          <w:tcPr>
            <w:tcW w:w="0" w:type="auto"/>
          </w:tcPr>
          <w:p w14:paraId="2400F5BD" w14:textId="77777777" w:rsidR="00257146" w:rsidRPr="00883271" w:rsidRDefault="00664208" w:rsidP="00284E88">
            <w:pPr>
              <w:pStyle w:val="TableTextLeft"/>
            </w:pPr>
            <m:oMathPara>
              <m:oMath>
                <m:sSub>
                  <m:sSubPr>
                    <m:ctrlPr>
                      <w:rPr>
                        <w:rFonts w:ascii="Cambria Math" w:hAnsi="Cambria Math"/>
                      </w:rPr>
                    </m:ctrlPr>
                  </m:sSubPr>
                  <m:e>
                    <m:r>
                      <w:rPr>
                        <w:rFonts w:ascii="Cambria Math" w:hAnsi="Cambria Math"/>
                      </w:rPr>
                      <m:t>γ</m:t>
                    </m:r>
                  </m:e>
                  <m:sub>
                    <m:r>
                      <m:rPr>
                        <m:sty m:val="p"/>
                      </m:rPr>
                      <w:rPr>
                        <w:rFonts w:ascii="Cambria Math" w:hAnsi="Cambria Math"/>
                      </w:rPr>
                      <m:t>1</m:t>
                    </m:r>
                  </m:sub>
                </m:sSub>
              </m:oMath>
            </m:oMathPara>
          </w:p>
        </w:tc>
        <w:tc>
          <w:tcPr>
            <w:tcW w:w="0" w:type="auto"/>
            <w:vAlign w:val="center"/>
          </w:tcPr>
          <w:p w14:paraId="53E019F1" w14:textId="77777777" w:rsidR="00257146" w:rsidRPr="00883271" w:rsidRDefault="00257146" w:rsidP="00284E88">
            <w:pPr>
              <w:pStyle w:val="TableTextLeft"/>
            </w:pPr>
            <w:r w:rsidRPr="00883271">
              <w:t>Average effect of the scheme on</w:t>
            </w:r>
            <w:r w:rsidR="00736DDF" w:rsidRPr="00883271">
              <w:t xml:space="preserve"> repair prices of vehicles</w:t>
            </w:r>
            <w:r w:rsidRPr="00883271">
              <w:t>.</w:t>
            </w:r>
          </w:p>
        </w:tc>
      </w:tr>
      <w:tr w:rsidR="009E5573" w:rsidRPr="00883271" w14:paraId="7AAC60E3" w14:textId="77777777" w:rsidTr="00284E88">
        <w:trPr>
          <w:cnfStyle w:val="000000010000" w:firstRow="0" w:lastRow="0" w:firstColumn="0" w:lastColumn="0" w:oddVBand="0" w:evenVBand="0" w:oddHBand="0" w:evenHBand="1" w:firstRowFirstColumn="0" w:firstRowLastColumn="0" w:lastRowFirstColumn="0" w:lastRowLastColumn="0"/>
        </w:trPr>
        <w:tc>
          <w:tcPr>
            <w:tcW w:w="0" w:type="auto"/>
          </w:tcPr>
          <w:p w14:paraId="3725D0E9" w14:textId="77777777" w:rsidR="009E5573" w:rsidRPr="00883271" w:rsidRDefault="00664208" w:rsidP="00284E88">
            <w:pPr>
              <w:pStyle w:val="TableTextLeft"/>
            </w:pPr>
            <m:oMathPara>
              <m:oMath>
                <m:sSub>
                  <m:sSubPr>
                    <m:ctrlPr>
                      <w:rPr>
                        <w:rFonts w:ascii="Cambria Math" w:hAnsi="Cambria Math"/>
                      </w:rPr>
                    </m:ctrlPr>
                  </m:sSubPr>
                  <m:e>
                    <m:r>
                      <w:rPr>
                        <w:rFonts w:ascii="Cambria Math" w:hAnsi="Cambria Math"/>
                      </w:rPr>
                      <m:t>ϵ</m:t>
                    </m:r>
                  </m:e>
                  <m:sub>
                    <m:r>
                      <w:rPr>
                        <w:rFonts w:ascii="Cambria Math" w:hAnsi="Cambria Math"/>
                      </w:rPr>
                      <m:t>t</m:t>
                    </m:r>
                  </m:sub>
                </m:sSub>
              </m:oMath>
            </m:oMathPara>
          </w:p>
        </w:tc>
        <w:tc>
          <w:tcPr>
            <w:tcW w:w="0" w:type="auto"/>
            <w:vAlign w:val="center"/>
          </w:tcPr>
          <w:p w14:paraId="40CC5A2E" w14:textId="77777777" w:rsidR="009E5573" w:rsidRPr="00883271" w:rsidRDefault="009E5573" w:rsidP="00284E88">
            <w:pPr>
              <w:pStyle w:val="TableTextLeft"/>
              <w:rPr>
                <w:rFonts w:eastAsiaTheme="minorEastAsia"/>
              </w:rPr>
            </w:pPr>
            <w:r w:rsidRPr="00883271">
              <w:t>Idiosyncratic error</w:t>
            </w:r>
          </w:p>
        </w:tc>
      </w:tr>
    </w:tbl>
    <w:p w14:paraId="420DDDEC" w14:textId="77777777" w:rsidR="000261B7" w:rsidRPr="00883271" w:rsidRDefault="00485255" w:rsidP="00284E88">
      <w:r w:rsidRPr="00883271">
        <w:t>T</w:t>
      </w:r>
      <w:r w:rsidR="000261B7" w:rsidRPr="00883271">
        <w:t xml:space="preserve">he analysis is subject to a number of limitations </w:t>
      </w:r>
      <w:r w:rsidRPr="00883271">
        <w:t>may</w:t>
      </w:r>
      <w:r w:rsidR="000261B7" w:rsidRPr="00883271">
        <w:t xml:space="preserve"> reduce the accuracy and confidence of results.</w:t>
      </w:r>
    </w:p>
    <w:p w14:paraId="29079182" w14:textId="3D2A71A6" w:rsidR="00A8208F" w:rsidRPr="00284E88" w:rsidRDefault="0038634E" w:rsidP="00284E88">
      <w:pPr>
        <w:pStyle w:val="Bullet"/>
      </w:pPr>
      <w:r w:rsidRPr="00883271">
        <w:t>T</w:t>
      </w:r>
      <w:r w:rsidR="00A8208F" w:rsidRPr="00883271">
        <w:t xml:space="preserve">he data </w:t>
      </w:r>
      <w:r w:rsidR="00A8208F" w:rsidRPr="00284E88">
        <w:t>uses CPI sub</w:t>
      </w:r>
      <w:r w:rsidR="007B3C6A">
        <w:noBreakHyphen/>
      </w:r>
      <w:r w:rsidR="00A8208F" w:rsidRPr="00284E88">
        <w:t xml:space="preserve">indexes that are highly correlated </w:t>
      </w:r>
      <w:r w:rsidR="00C026D8" w:rsidRPr="00284E88">
        <w:t>and exhibit</w:t>
      </w:r>
      <w:r w:rsidR="00A8208F" w:rsidRPr="00284E88">
        <w:t xml:space="preserve"> relatively little within</w:t>
      </w:r>
      <w:r w:rsidR="007B3C6A">
        <w:noBreakHyphen/>
      </w:r>
      <w:r w:rsidR="00A8208F" w:rsidRPr="00284E88">
        <w:t xml:space="preserve">series variation in values. </w:t>
      </w:r>
      <w:r w:rsidR="00C026D8" w:rsidRPr="00284E88">
        <w:t>T</w:t>
      </w:r>
      <w:r w:rsidR="00A8208F" w:rsidRPr="00284E88">
        <w:t>ogether, th</w:t>
      </w:r>
      <w:r w:rsidR="00C026D8" w:rsidRPr="00284E88">
        <w:t>ese characteristics of the data</w:t>
      </w:r>
      <w:r w:rsidR="00A8208F" w:rsidRPr="00284E88">
        <w:t xml:space="preserve"> lower the power of the statistical model.</w:t>
      </w:r>
    </w:p>
    <w:p w14:paraId="2265FBD9" w14:textId="3C95A2F1" w:rsidR="00A8208F" w:rsidRPr="00284E88" w:rsidRDefault="00A8208F" w:rsidP="00284E88">
      <w:pPr>
        <w:pStyle w:val="Bullet"/>
      </w:pPr>
      <w:r w:rsidRPr="00284E88">
        <w:t xml:space="preserve">There </w:t>
      </w:r>
      <w:r w:rsidR="00D872BA" w:rsidRPr="00284E88">
        <w:t>is limited data available following the introduction of the scheme (</w:t>
      </w:r>
      <w:r w:rsidRPr="00284E88">
        <w:t>12 quarters</w:t>
      </w:r>
      <w:r w:rsidR="00B55690" w:rsidRPr="00284E88">
        <w:t>)</w:t>
      </w:r>
      <w:r w:rsidRPr="00284E88">
        <w:t>, which limits the ability to reliably identify post</w:t>
      </w:r>
      <w:r w:rsidR="007B3C6A">
        <w:noBreakHyphen/>
      </w:r>
      <w:r w:rsidR="00B55690" w:rsidRPr="00284E88">
        <w:t>implementation</w:t>
      </w:r>
      <w:r w:rsidRPr="00284E88">
        <w:t xml:space="preserve"> effects. </w:t>
      </w:r>
    </w:p>
    <w:p w14:paraId="3D7B8295" w14:textId="26DF8F6F" w:rsidR="00A8208F" w:rsidRPr="00284E88" w:rsidRDefault="00B55690" w:rsidP="00284E88">
      <w:pPr>
        <w:pStyle w:val="Bullet"/>
      </w:pPr>
      <w:r w:rsidRPr="00284E88">
        <w:t>Relatively</w:t>
      </w:r>
      <w:r w:rsidR="00A8208F" w:rsidRPr="00284E88">
        <w:t xml:space="preserve"> limited uptake of </w:t>
      </w:r>
      <w:r w:rsidRPr="00284E88">
        <w:t>the scheme by repairers</w:t>
      </w:r>
      <w:r w:rsidR="00773F74" w:rsidRPr="00284E88">
        <w:t xml:space="preserve"> may reduce the visible</w:t>
      </w:r>
      <w:r w:rsidR="00A8208F" w:rsidRPr="00284E88">
        <w:t xml:space="preserve"> impact in aggregate indicators</w:t>
      </w:r>
      <w:r w:rsidR="00773F74" w:rsidRPr="00284E88">
        <w:t>, such as</w:t>
      </w:r>
      <w:r w:rsidR="00A8208F" w:rsidRPr="00284E88">
        <w:t xml:space="preserve"> CPI </w:t>
      </w:r>
      <w:r w:rsidR="00E57C9F" w:rsidRPr="00284E88">
        <w:t>sub</w:t>
      </w:r>
      <w:r w:rsidR="007B3C6A">
        <w:noBreakHyphen/>
      </w:r>
      <w:r w:rsidR="00E57C9F" w:rsidRPr="00284E88">
        <w:t>indexes</w:t>
      </w:r>
      <w:r w:rsidR="00A8208F" w:rsidRPr="00284E88">
        <w:t>.</w:t>
      </w:r>
    </w:p>
    <w:p w14:paraId="59AE6BCB" w14:textId="1E365B88" w:rsidR="00F46210" w:rsidRPr="00284E88" w:rsidRDefault="00471B76" w:rsidP="00284E88">
      <w:pPr>
        <w:pStyle w:val="Bullet"/>
      </w:pPr>
      <w:r w:rsidRPr="00284E88">
        <w:t>Increases in</w:t>
      </w:r>
      <w:r w:rsidRPr="00883271">
        <w:t xml:space="preserve"> business turnover linked to the scheme may not be reflected in changes to consumer prices, as the scheme</w:t>
      </w:r>
      <w:r w:rsidR="00BF0433">
        <w:t>’</w:t>
      </w:r>
      <w:r w:rsidRPr="00883271">
        <w:t xml:space="preserve">s benefits may be unevenly distributed, leading to </w:t>
      </w:r>
      <w:r w:rsidR="004753C1" w:rsidRPr="00883271">
        <w:t xml:space="preserve">shifts in </w:t>
      </w:r>
      <w:r w:rsidRPr="00883271">
        <w:t>market share rather than uniform price changes.</w:t>
      </w:r>
    </w:p>
    <w:sectPr w:rsidR="00F46210" w:rsidRPr="00284E88" w:rsidSect="0028191F">
      <w:headerReference w:type="default" r:id="rId70"/>
      <w:footerReference w:type="default" r:id="rId71"/>
      <w:pgSz w:w="11906" w:h="16838" w:code="9"/>
      <w:pgMar w:top="184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AEB570" w14:textId="77777777" w:rsidR="005A553C" w:rsidRPr="0033691A" w:rsidRDefault="005A553C">
      <w:pPr>
        <w:spacing w:before="0" w:after="0"/>
        <w:rPr>
          <w:sz w:val="20"/>
        </w:rPr>
      </w:pPr>
      <w:r w:rsidRPr="0033691A">
        <w:rPr>
          <w:sz w:val="20"/>
        </w:rPr>
        <w:separator/>
      </w:r>
    </w:p>
  </w:endnote>
  <w:endnote w:type="continuationSeparator" w:id="0">
    <w:p w14:paraId="72F7ACA3" w14:textId="77777777" w:rsidR="005A553C" w:rsidRPr="0033691A" w:rsidRDefault="005A553C">
      <w:pPr>
        <w:spacing w:before="0" w:after="0"/>
        <w:rPr>
          <w:sz w:val="20"/>
        </w:rPr>
      </w:pPr>
      <w:r w:rsidRPr="0033691A">
        <w:rPr>
          <w:sz w:val="20"/>
        </w:rPr>
        <w:continuationSeparator/>
      </w:r>
    </w:p>
  </w:endnote>
  <w:endnote w:type="continuationNotice" w:id="1">
    <w:p w14:paraId="74E3073E" w14:textId="77777777" w:rsidR="005A553C" w:rsidRPr="0033691A" w:rsidRDefault="005A553C">
      <w:pPr>
        <w:spacing w:before="0" w:after="0"/>
        <w:rPr>
          <w:sz w:val="20"/>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F57EC" w14:textId="2D5D5196" w:rsidR="00B55B04" w:rsidRPr="0033691A" w:rsidRDefault="00B55B04" w:rsidP="00EE1447">
    <w:pPr>
      <w:pStyle w:val="FooterEven"/>
      <w:rPr>
        <w:sz w:val="18"/>
        <w:szCs w:val="18"/>
      </w:rPr>
    </w:pPr>
    <w:r w:rsidRPr="0033691A">
      <w:rPr>
        <w:sz w:val="18"/>
        <w:szCs w:val="18"/>
      </w:rPr>
      <w:ptab w:relativeTo="margin" w:alignment="center" w:leader="none"/>
    </w:r>
    <w:r w:rsidRPr="0033691A">
      <w:rPr>
        <w:sz w:val="18"/>
        <w:szCs w:val="18"/>
      </w:rPr>
      <w:ptab w:relativeTo="margin" w:alignment="right" w:leader="none"/>
    </w:r>
    <w:r w:rsidR="00D137A7" w:rsidRPr="0033691A">
      <w:rPr>
        <w:sz w:val="18"/>
        <w:szCs w:val="18"/>
      </w:rPr>
      <w:fldChar w:fldCharType="begin"/>
    </w:r>
    <w:r w:rsidR="00D137A7" w:rsidRPr="0033691A">
      <w:rPr>
        <w:sz w:val="18"/>
        <w:szCs w:val="18"/>
      </w:rPr>
      <w:instrText xml:space="preserve"> STYLEREF  "Heading 1"  \* MERGEFORMAT </w:instrText>
    </w:r>
    <w:r w:rsidR="00D137A7" w:rsidRPr="0033691A">
      <w:rPr>
        <w:sz w:val="18"/>
        <w:szCs w:val="18"/>
      </w:rPr>
      <w:fldChar w:fldCharType="separate"/>
    </w:r>
    <w:r w:rsidR="008F2BFB">
      <w:rPr>
        <w:sz w:val="18"/>
        <w:szCs w:val="18"/>
      </w:rPr>
      <w:t>Contents</w:t>
    </w:r>
    <w:r w:rsidR="00D137A7" w:rsidRPr="0033691A">
      <w:rPr>
        <w:sz w:val="18"/>
        <w:szCs w:val="18"/>
      </w:rPr>
      <w:fldChar w:fldCharType="end"/>
    </w:r>
    <w:r w:rsidRPr="0033691A">
      <w:rPr>
        <w:sz w:val="18"/>
        <w:szCs w:val="18"/>
      </w:rPr>
      <w:t xml:space="preserve"> | </w:t>
    </w:r>
    <w:r w:rsidRPr="0033691A">
      <w:rPr>
        <w:sz w:val="18"/>
        <w:szCs w:val="18"/>
      </w:rPr>
      <w:fldChar w:fldCharType="begin"/>
    </w:r>
    <w:r w:rsidRPr="0033691A">
      <w:rPr>
        <w:sz w:val="18"/>
        <w:szCs w:val="18"/>
      </w:rPr>
      <w:instrText xml:space="preserve"> PAGE   \* MERGEFORMAT </w:instrText>
    </w:r>
    <w:r w:rsidRPr="0033691A">
      <w:rPr>
        <w:sz w:val="18"/>
        <w:szCs w:val="18"/>
      </w:rPr>
      <w:fldChar w:fldCharType="separate"/>
    </w:r>
    <w:r w:rsidRPr="0033691A">
      <w:rPr>
        <w:sz w:val="18"/>
        <w:szCs w:val="18"/>
      </w:rPr>
      <w:t>3</w:t>
    </w:r>
    <w:r w:rsidRPr="0033691A">
      <w:rPr>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702BF" w14:textId="514739CC" w:rsidR="00284E88" w:rsidRPr="00284E88" w:rsidRDefault="00284E88" w:rsidP="00284E88">
    <w:pPr>
      <w:pStyle w:val="FooterEven"/>
      <w:tabs>
        <w:tab w:val="clear" w:pos="9072"/>
        <w:tab w:val="center" w:pos="12333"/>
      </w:tabs>
      <w:jc w:val="right"/>
    </w:pPr>
    <w:r>
      <w:tab/>
    </w:r>
    <w:fldSimple w:instr=" STYLEREF  &quot;Heading 1&quot;  \* MERGEFORMAT ">
      <w:r w:rsidR="00664208">
        <w:t>Appendix B – International frameworks</w:t>
      </w:r>
    </w:fldSimple>
    <w:r>
      <w:t xml:space="preserve"> | </w:t>
    </w:r>
    <w:r>
      <w:rPr>
        <w:noProof w:val="0"/>
      </w:rPr>
      <w:fldChar w:fldCharType="begin"/>
    </w:r>
    <w:r>
      <w:instrText xml:space="preserve"> PAGE   \* MERGEFORMAT </w:instrText>
    </w:r>
    <w:r>
      <w:rPr>
        <w:noProof w:val="0"/>
      </w:rPr>
      <w:fldChar w:fldCharType="separate"/>
    </w:r>
    <w:r>
      <w:t>86</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99863" w14:textId="5C01979B" w:rsidR="00284E88" w:rsidRPr="00110D67" w:rsidRDefault="00284E88" w:rsidP="00110D67">
    <w:pPr>
      <w:pStyle w:val="FooterOdd"/>
    </w:pPr>
    <w:r>
      <w:tab/>
    </w:r>
    <w:fldSimple w:instr=" STYLEREF  &quot;Heading 1 Numbered&quot;  \* MERGEFORMAT ">
      <w:r w:rsidR="00664208">
        <w:rPr>
          <w:noProof/>
        </w:rPr>
        <w:t>Conclusion</w:t>
      </w:r>
    </w:fldSimple>
    <w:r>
      <w:t xml:space="preserve"> | </w:t>
    </w:r>
    <w:r>
      <w:fldChar w:fldCharType="begin"/>
    </w:r>
    <w:r>
      <w:instrText xml:space="preserve"> PAGE   \* MERGEFORMAT </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902CE" w14:textId="78184F46" w:rsidR="007D5DA7" w:rsidRPr="00110D67" w:rsidRDefault="007D5DA7" w:rsidP="00110D67">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D62B9" w14:textId="2595C148" w:rsidR="00B55B04" w:rsidRPr="0033691A" w:rsidRDefault="00B55B04" w:rsidP="00962ACF">
    <w:pPr>
      <w:pStyle w:val="FooterOdd"/>
      <w:rPr>
        <w:sz w:val="18"/>
        <w:szCs w:val="18"/>
      </w:rPr>
    </w:pPr>
    <w:r w:rsidRPr="0033691A">
      <w:rPr>
        <w:noProof/>
        <w:position w:val="-8"/>
        <w:sz w:val="18"/>
        <w:szCs w:val="18"/>
      </w:rPr>
      <w:drawing>
        <wp:inline distT="0" distB="0" distL="0" distR="0" wp14:anchorId="3296CACA" wp14:editId="1424D713">
          <wp:extent cx="1324800" cy="201600"/>
          <wp:effectExtent l="0" t="0" r="0" b="8255"/>
          <wp:docPr id="2106331115" name="Picture 2106331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31115" name="Picture 21063311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rsidR="00103F3C" w:rsidRPr="0033691A">
      <w:rPr>
        <w:sz w:val="18"/>
        <w:szCs w:val="18"/>
      </w:rPr>
      <w:tab/>
    </w:r>
    <w:r w:rsidR="006F285B" w:rsidRPr="0033691A">
      <w:rPr>
        <w:sz w:val="18"/>
        <w:szCs w:val="18"/>
      </w:rPr>
      <w:fldChar w:fldCharType="begin"/>
    </w:r>
    <w:r w:rsidR="006F285B" w:rsidRPr="0033691A">
      <w:rPr>
        <w:sz w:val="18"/>
        <w:szCs w:val="18"/>
      </w:rPr>
      <w:instrText xml:space="preserve"> STYLEREF  "Heading 1"  \* MERGEFORMAT </w:instrText>
    </w:r>
    <w:r w:rsidR="006F285B" w:rsidRPr="0033691A">
      <w:rPr>
        <w:sz w:val="18"/>
        <w:szCs w:val="18"/>
      </w:rPr>
      <w:fldChar w:fldCharType="separate"/>
    </w:r>
    <w:r w:rsidR="008F2BFB">
      <w:rPr>
        <w:noProof/>
        <w:sz w:val="18"/>
        <w:szCs w:val="18"/>
      </w:rPr>
      <w:t>Contents</w:t>
    </w:r>
    <w:r w:rsidR="006F285B" w:rsidRPr="0033691A">
      <w:rPr>
        <w:sz w:val="18"/>
        <w:szCs w:val="18"/>
      </w:rPr>
      <w:fldChar w:fldCharType="end"/>
    </w:r>
    <w:r w:rsidRPr="0033691A">
      <w:rPr>
        <w:sz w:val="18"/>
        <w:szCs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0F3E9" w14:textId="6731651C" w:rsidR="00110D67" w:rsidRPr="00110D67" w:rsidRDefault="00110D67" w:rsidP="00110D67">
    <w:pPr>
      <w:pStyle w:val="FooterOdd"/>
    </w:pPr>
    <w:r>
      <w:tab/>
    </w:r>
    <w:fldSimple w:instr=" STYLEREF  &quot;Heading 1&quot;  \* MERGEFORMAT ">
      <w:r w:rsidR="00664208">
        <w:rPr>
          <w:noProof/>
        </w:rPr>
        <w:t>Executive Summary</w:t>
      </w:r>
    </w:fldSimple>
    <w:r>
      <w:t xml:space="preserve"> | </w:t>
    </w:r>
    <w:r>
      <w:fldChar w:fldCharType="begin"/>
    </w:r>
    <w:r>
      <w:instrText xml:space="preserve"> PAGE   \* MERGEFORMAT </w:instrText>
    </w:r>
    <w:r>
      <w:fldChar w:fldCharType="separate"/>
    </w:r>
    <w: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399668705"/>
      <w:docPartObj>
        <w:docPartGallery w:val="Page Numbers (Bottom of Page)"/>
        <w:docPartUnique/>
      </w:docPartObj>
    </w:sdtPr>
    <w:sdtEndPr/>
    <w:sdtContent>
      <w:p w14:paraId="63576205" w14:textId="2E34D490" w:rsidR="000B1302" w:rsidRPr="0033691A" w:rsidRDefault="000B1302" w:rsidP="00951073">
        <w:pPr>
          <w:pStyle w:val="Footer"/>
          <w:jc w:val="left"/>
          <w:rPr>
            <w:sz w:val="18"/>
            <w:szCs w:val="18"/>
          </w:rPr>
        </w:pPr>
        <w:r w:rsidRPr="0033691A">
          <w:rPr>
            <w:sz w:val="18"/>
            <w:szCs w:val="18"/>
          </w:rPr>
          <w:fldChar w:fldCharType="begin"/>
        </w:r>
        <w:r w:rsidRPr="0033691A">
          <w:rPr>
            <w:sz w:val="18"/>
            <w:szCs w:val="18"/>
          </w:rPr>
          <w:instrText xml:space="preserve"> PAGE   \* MERGEFORMAT </w:instrText>
        </w:r>
        <w:r w:rsidRPr="0033691A">
          <w:rPr>
            <w:sz w:val="18"/>
            <w:szCs w:val="18"/>
          </w:rPr>
          <w:fldChar w:fldCharType="separate"/>
        </w:r>
        <w:r>
          <w:rPr>
            <w:sz w:val="18"/>
            <w:szCs w:val="18"/>
          </w:rPr>
          <w:t>2</w:t>
        </w:r>
        <w:r w:rsidRPr="0033691A">
          <w:rPr>
            <w:sz w:val="18"/>
            <w:szCs w:val="18"/>
          </w:rPr>
          <w:fldChar w:fldCharType="end"/>
        </w:r>
        <w:r w:rsidRPr="00951073">
          <w:rPr>
            <w:sz w:val="18"/>
            <w:szCs w:val="18"/>
          </w:rPr>
          <w:t xml:space="preserve"> </w:t>
        </w:r>
        <w:r w:rsidRPr="0033691A">
          <w:rPr>
            <w:sz w:val="18"/>
            <w:szCs w:val="18"/>
          </w:rPr>
          <w:t>|</w:t>
        </w:r>
        <w:r>
          <w:rPr>
            <w:sz w:val="18"/>
            <w:szCs w:val="18"/>
          </w:rPr>
          <w:fldChar w:fldCharType="begin"/>
        </w:r>
        <w:r>
          <w:rPr>
            <w:sz w:val="18"/>
            <w:szCs w:val="18"/>
          </w:rPr>
          <w:instrText xml:space="preserve"> STYLEREF  "Heading 1"  \* MERGEFORMAT </w:instrText>
        </w:r>
        <w:r>
          <w:rPr>
            <w:sz w:val="18"/>
            <w:szCs w:val="18"/>
          </w:rPr>
          <w:fldChar w:fldCharType="separate"/>
        </w:r>
        <w:r w:rsidR="008F2BFB">
          <w:rPr>
            <w:noProof/>
            <w:sz w:val="18"/>
            <w:szCs w:val="18"/>
          </w:rPr>
          <w:t>Contents</w:t>
        </w:r>
        <w:r>
          <w:rPr>
            <w:sz w:val="18"/>
            <w:szCs w:val="18"/>
          </w:rPr>
          <w:fldChar w:fldCharType="end"/>
        </w:r>
        <w:r w:rsidRPr="0033691A">
          <w:rPr>
            <w:sz w:val="18"/>
            <w:szCs w:val="18"/>
          </w:rPr>
          <w:t xml:space="preserve">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A98CE" w14:textId="77777777" w:rsidR="000B1302" w:rsidRPr="0033691A" w:rsidRDefault="000B1302" w:rsidP="00095D88">
    <w:pPr>
      <w:pStyle w:val="Footer"/>
      <w:rPr>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7AB6E" w14:textId="587BF8E6" w:rsidR="00A6726C" w:rsidRPr="00110D67" w:rsidRDefault="00110D67" w:rsidP="00110D67">
    <w:pPr>
      <w:pStyle w:val="FooterOdd"/>
    </w:pPr>
    <w:r>
      <w:tab/>
    </w:r>
    <w:fldSimple w:instr=" STYLEREF  &quot;Heading 1 Numbered&quot;  \* MERGEFORMAT ">
      <w:r w:rsidR="00664208">
        <w:rPr>
          <w:noProof/>
        </w:rPr>
        <w:t>Promoting competition and consumer choice</w:t>
      </w:r>
    </w:fldSimple>
    <w:r>
      <w:t xml:space="preserve"> | </w:t>
    </w:r>
    <w:r>
      <w:fldChar w:fldCharType="begin"/>
    </w:r>
    <w:r>
      <w:instrText xml:space="preserve"> PAGE   \* MERGEFORMAT </w:instrText>
    </w:r>
    <w:r>
      <w:fldChar w:fldCharType="separate"/>
    </w:r>
    <w:r>
      <w:t>4</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1BBE6" w14:textId="192ACCCD" w:rsidR="00110D67" w:rsidRPr="00110D67" w:rsidRDefault="00110D67" w:rsidP="00110D67">
    <w:pPr>
      <w:pStyle w:val="FooterEven"/>
      <w:tabs>
        <w:tab w:val="clear" w:pos="9072"/>
        <w:tab w:val="center" w:pos="12333"/>
      </w:tabs>
      <w:jc w:val="right"/>
    </w:pPr>
    <w:r>
      <w:tab/>
    </w:r>
    <w:fldSimple w:instr=" STYLEREF  &quot;Heading 1&quot;  \* MERGEFORMAT ">
      <w:r w:rsidR="00664208">
        <w:t>Appendix A – Survey results</w:t>
      </w:r>
    </w:fldSimple>
    <w:r>
      <w:t xml:space="preserve"> | </w:t>
    </w:r>
    <w:r>
      <w:rPr>
        <w:noProof w:val="0"/>
      </w:rPr>
      <w:fldChar w:fldCharType="begin"/>
    </w:r>
    <w:r>
      <w:instrText xml:space="preserve"> PAGE   \* MERGEFORMAT </w:instrText>
    </w:r>
    <w:r>
      <w:rPr>
        <w:noProof w:val="0"/>
      </w:rPr>
      <w:fldChar w:fldCharType="separate"/>
    </w:r>
    <w:r>
      <w:rPr>
        <w:noProof w:val="0"/>
      </w:rPr>
      <w:t>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C34AD" w14:textId="7AF847FB" w:rsidR="00110D67" w:rsidRPr="00110D67" w:rsidRDefault="00110D67" w:rsidP="00110D67">
    <w:pPr>
      <w:pStyle w:val="FooterOdd"/>
    </w:pPr>
    <w:r>
      <w:tab/>
    </w:r>
    <w:fldSimple w:instr=" STYLEREF  &quot;Heading 1 Numbered&quot;  \* MERGEFORMAT ">
      <w:r w:rsidR="00664208">
        <w:rPr>
          <w:noProof/>
        </w:rPr>
        <w:t>Conclusion</w:t>
      </w:r>
    </w:fldSimple>
    <w:r>
      <w:t xml:space="preserve"> | </w:t>
    </w:r>
    <w:r>
      <w:fldChar w:fldCharType="begin"/>
    </w:r>
    <w:r>
      <w:instrText xml:space="preserve"> PAGE   \* MERGEFORMAT </w:instrText>
    </w:r>
    <w:r>
      <w:fldChar w:fldCharType="separate"/>
    </w:r>
    <w: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ACC83" w14:textId="77777777" w:rsidR="005A553C" w:rsidRPr="0033691A" w:rsidRDefault="005A553C" w:rsidP="000F6233">
      <w:pPr>
        <w:rPr>
          <w:color w:val="4D7861" w:themeColor="accent2"/>
          <w:sz w:val="20"/>
        </w:rPr>
      </w:pPr>
      <w:r w:rsidRPr="0033691A">
        <w:rPr>
          <w:color w:val="4D7861" w:themeColor="accent2"/>
          <w:sz w:val="20"/>
        </w:rPr>
        <w:separator/>
      </w:r>
    </w:p>
  </w:footnote>
  <w:footnote w:type="continuationSeparator" w:id="0">
    <w:p w14:paraId="751746A2" w14:textId="77777777" w:rsidR="005A553C" w:rsidRPr="0033691A" w:rsidRDefault="005A553C">
      <w:pPr>
        <w:spacing w:before="0" w:after="0"/>
        <w:rPr>
          <w:color w:val="2C384A" w:themeColor="accent1"/>
          <w:sz w:val="20"/>
        </w:rPr>
      </w:pPr>
      <w:r w:rsidRPr="0033691A">
        <w:rPr>
          <w:color w:val="2C384A" w:themeColor="accent1"/>
          <w:sz w:val="20"/>
        </w:rPr>
        <w:continuationSeparator/>
      </w:r>
    </w:p>
  </w:footnote>
  <w:footnote w:type="continuationNotice" w:id="1">
    <w:p w14:paraId="579371C8" w14:textId="77777777" w:rsidR="005A553C" w:rsidRPr="0033691A" w:rsidRDefault="005A553C">
      <w:pPr>
        <w:spacing w:before="0" w:after="0"/>
        <w:rPr>
          <w:sz w:val="20"/>
        </w:rPr>
      </w:pPr>
    </w:p>
  </w:footnote>
  <w:footnote w:id="2">
    <w:p w14:paraId="59AFBD03" w14:textId="4FFAEF12" w:rsidR="000B1302" w:rsidRDefault="001D4F55" w:rsidP="000B1302">
      <w:pPr>
        <w:pStyle w:val="FootnoteText"/>
      </w:pPr>
      <w:r w:rsidRPr="001D4F55">
        <w:footnoteRef/>
      </w:r>
      <w:r w:rsidR="000B1302">
        <w:t xml:space="preserve"> </w:t>
      </w:r>
      <w:r w:rsidR="00A6726C">
        <w:tab/>
      </w:r>
      <w:r w:rsidR="000B1302" w:rsidRPr="001D03F0">
        <w:t>Competition and Consumer Act 2010 </w:t>
      </w:r>
      <w:r w:rsidR="000B1302">
        <w:t xml:space="preserve">(Cth) </w:t>
      </w:r>
      <w:r w:rsidR="000B1302" w:rsidRPr="001D03F0">
        <w:t>s 57B</w:t>
      </w:r>
      <w:r w:rsidR="000B1302">
        <w:t>D</w:t>
      </w:r>
      <w:r w:rsidR="000B1302" w:rsidRPr="001D03F0">
        <w:t xml:space="preserve"> (</w:t>
      </w:r>
      <w:r w:rsidR="00BF0433">
        <w:t>‘</w:t>
      </w:r>
      <w:r w:rsidR="000B1302" w:rsidRPr="001D03F0">
        <w:t>CCA</w:t>
      </w:r>
      <w:r w:rsidR="00BF0433">
        <w:t>’</w:t>
      </w:r>
      <w:r w:rsidR="000B1302" w:rsidRPr="001D03F0">
        <w:t>)</w:t>
      </w:r>
      <w:r w:rsidR="000B1302">
        <w:t>.</w:t>
      </w:r>
    </w:p>
  </w:footnote>
  <w:footnote w:id="3">
    <w:p w14:paraId="445B9F52" w14:textId="784989CD" w:rsidR="000B1302" w:rsidRDefault="001D4F55" w:rsidP="000B1302">
      <w:pPr>
        <w:pStyle w:val="FootnoteText"/>
      </w:pPr>
      <w:r w:rsidRPr="001D4F55">
        <w:footnoteRef/>
      </w:r>
      <w:r w:rsidR="000B1302" w:rsidRPr="001D4F55">
        <w:t xml:space="preserve"> </w:t>
      </w:r>
      <w:r w:rsidR="00A6726C">
        <w:tab/>
      </w:r>
      <w:r w:rsidR="000B1302" w:rsidRPr="004948B0">
        <w:t>Explanatory Memorandum, Competition and Consumer Amendment (Motor Vehicle Service and Repair Information Sharing Scheme) Bill 2021 9, [1.27] (</w:t>
      </w:r>
      <w:r w:rsidR="00BF0433">
        <w:t>‘</w:t>
      </w:r>
      <w:r w:rsidR="000B1302" w:rsidRPr="004948B0">
        <w:t>MVIS Bill</w:t>
      </w:r>
      <w:r w:rsidR="00BF0433">
        <w:t>’</w:t>
      </w:r>
      <w:r w:rsidR="000B1302" w:rsidRPr="004948B0">
        <w:t>).</w:t>
      </w:r>
      <w:r w:rsidR="000B1302">
        <w:t xml:space="preserve"> </w:t>
      </w:r>
    </w:p>
  </w:footnote>
  <w:footnote w:id="4">
    <w:p w14:paraId="500D320F" w14:textId="5B058C11" w:rsidR="000B1302" w:rsidRDefault="001D4F55" w:rsidP="000B1302">
      <w:pPr>
        <w:pStyle w:val="FootnoteText"/>
      </w:pPr>
      <w:r w:rsidRPr="001D4F55">
        <w:footnoteRef/>
      </w:r>
      <w:r w:rsidR="000B1302" w:rsidRPr="001D4F55">
        <w:t xml:space="preserve"> </w:t>
      </w:r>
      <w:r w:rsidR="00A6726C">
        <w:tab/>
      </w:r>
      <w:r w:rsidR="000B1302" w:rsidRPr="004948B0">
        <w:t>CCA (n 1) s 57CA.</w:t>
      </w:r>
    </w:p>
  </w:footnote>
  <w:footnote w:id="5">
    <w:p w14:paraId="3AE8635A" w14:textId="37DB450D" w:rsidR="000B1302" w:rsidRDefault="001D4F55" w:rsidP="000B1302">
      <w:pPr>
        <w:pStyle w:val="FootnoteText"/>
      </w:pPr>
      <w:r w:rsidRPr="001D4F55">
        <w:footnoteRef/>
      </w:r>
      <w:r w:rsidR="000B1302" w:rsidRPr="001D4F55">
        <w:t xml:space="preserve"> </w:t>
      </w:r>
      <w:r w:rsidR="00A6726C">
        <w:tab/>
      </w:r>
      <w:r w:rsidR="000B1302" w:rsidRPr="00325D5D">
        <w:t>Ibid s 57BA.</w:t>
      </w:r>
    </w:p>
  </w:footnote>
  <w:footnote w:id="6">
    <w:p w14:paraId="7827390A" w14:textId="5FA5B98D" w:rsidR="000B1302" w:rsidRDefault="001D4F55" w:rsidP="000B1302">
      <w:pPr>
        <w:pStyle w:val="FootnoteText"/>
      </w:pPr>
      <w:r w:rsidRPr="001D4F55">
        <w:footnoteRef/>
      </w:r>
      <w:r w:rsidR="000B1302" w:rsidRPr="001D4F55">
        <w:t xml:space="preserve"> </w:t>
      </w:r>
      <w:r w:rsidR="00A6726C">
        <w:tab/>
      </w:r>
      <w:r w:rsidR="000B1302" w:rsidRPr="00325D5D">
        <w:t>Ibid s 57FB.</w:t>
      </w:r>
      <w:r w:rsidR="000B1302">
        <w:t xml:space="preserve"> </w:t>
      </w:r>
    </w:p>
  </w:footnote>
  <w:footnote w:id="7">
    <w:p w14:paraId="758323AA" w14:textId="696FD374" w:rsidR="000B1302" w:rsidRPr="000568DD" w:rsidRDefault="001D4F55" w:rsidP="000B1302">
      <w:pPr>
        <w:pStyle w:val="FootnoteText"/>
      </w:pPr>
      <w:r w:rsidRPr="001D4F55">
        <w:footnoteRef/>
      </w:r>
      <w:r w:rsidR="000B1302" w:rsidRPr="001D4F55">
        <w:t xml:space="preserve"> </w:t>
      </w:r>
      <w:r w:rsidR="00110D67">
        <w:tab/>
      </w:r>
      <w:r w:rsidR="000B1302" w:rsidRPr="00725175">
        <w:t xml:space="preserve">See, e.g., J Hambur &amp; O Freestone, </w:t>
      </w:r>
      <w:hyperlink r:id="rId1" w:history="1">
        <w:r w:rsidR="000B1302" w:rsidRPr="00725175">
          <w:rPr>
            <w:rStyle w:val="Hyperlink"/>
            <w:i/>
          </w:rPr>
          <w:t>How Costly are Mark</w:t>
        </w:r>
        <w:r w:rsidR="007B3C6A">
          <w:rPr>
            <w:rStyle w:val="Hyperlink"/>
            <w:i/>
          </w:rPr>
          <w:noBreakHyphen/>
        </w:r>
        <w:r w:rsidR="000B1302" w:rsidRPr="00725175">
          <w:rPr>
            <w:rStyle w:val="Hyperlink"/>
            <w:i/>
          </w:rPr>
          <w:t>ups in Australia? The Effect of Declining Competition on Misallocation and Productivity</w:t>
        </w:r>
      </w:hyperlink>
      <w:r w:rsidR="000B1302" w:rsidRPr="00725175">
        <w:t>, Commonwealth Treasury, 21 August 2025.</w:t>
      </w:r>
    </w:p>
  </w:footnote>
  <w:footnote w:id="8">
    <w:p w14:paraId="2EC87C4D" w14:textId="2D6C8436" w:rsidR="000B1302" w:rsidRPr="00CE15A3" w:rsidRDefault="001D4F55" w:rsidP="00DC2E0F">
      <w:pPr>
        <w:pStyle w:val="FootnoteText"/>
      </w:pPr>
      <w:r w:rsidRPr="001D4F55">
        <w:footnoteRef/>
      </w:r>
      <w:r w:rsidR="000B1302" w:rsidRPr="001D4F55">
        <w:t xml:space="preserve"> </w:t>
      </w:r>
      <w:r w:rsidR="00DC2E0F">
        <w:tab/>
      </w:r>
      <w:r w:rsidR="00BF0433">
        <w:t>‘</w:t>
      </w:r>
      <w:r w:rsidR="000B1302" w:rsidRPr="00CE15A3">
        <w:t>Authorised</w:t>
      </w:r>
      <w:r w:rsidR="00BF0433">
        <w:t>’</w:t>
      </w:r>
      <w:r w:rsidR="000B1302" w:rsidRPr="00CE15A3">
        <w:t xml:space="preserve"> means a manufacturer has authorised the supply of a good or service to the Australian market under their brand name, while </w:t>
      </w:r>
      <w:r w:rsidR="00BF0433">
        <w:t>‘</w:t>
      </w:r>
      <w:r w:rsidR="000B1302" w:rsidRPr="00CE15A3">
        <w:t>independent</w:t>
      </w:r>
      <w:r w:rsidR="00BF0433">
        <w:t>’</w:t>
      </w:r>
      <w:r w:rsidR="000B1302" w:rsidRPr="00CE15A3">
        <w:t xml:space="preserve"> means the supply to the Australian market which has not been </w:t>
      </w:r>
      <w:r w:rsidR="000B1302" w:rsidRPr="00DC2E0F">
        <w:t>authorised</w:t>
      </w:r>
      <w:r w:rsidR="000B1302" w:rsidRPr="00CE15A3">
        <w:t xml:space="preserve"> by a manufacturer. </w:t>
      </w:r>
    </w:p>
  </w:footnote>
  <w:footnote w:id="9">
    <w:p w14:paraId="27943060" w14:textId="2613827B" w:rsidR="000B1302" w:rsidRPr="00167529" w:rsidRDefault="001D4F55" w:rsidP="00DC2E0F">
      <w:pPr>
        <w:pStyle w:val="FootnoteText"/>
      </w:pPr>
      <w:r w:rsidRPr="001D4F55">
        <w:footnoteRef/>
      </w:r>
      <w:r w:rsidR="000B1302" w:rsidRPr="001D4F55">
        <w:t xml:space="preserve"> </w:t>
      </w:r>
      <w:r w:rsidR="00DC2E0F">
        <w:tab/>
      </w:r>
      <w:r w:rsidR="000B1302" w:rsidRPr="00167529">
        <w:t xml:space="preserve">Australian </w:t>
      </w:r>
      <w:r w:rsidR="000B1302" w:rsidRPr="00DC2E0F">
        <w:t>Automotive</w:t>
      </w:r>
      <w:r w:rsidR="000B1302" w:rsidRPr="00167529">
        <w:t xml:space="preserve"> Aftermarket Association (AAAA), </w:t>
      </w:r>
      <w:r w:rsidR="00BF0433">
        <w:t>‘</w:t>
      </w:r>
      <w:hyperlink r:id="rId2" w:history="1">
        <w:r w:rsidR="000B1302" w:rsidRPr="00167529">
          <w:rPr>
            <w:rStyle w:val="Hyperlink"/>
          </w:rPr>
          <w:t>Automotive Aftermarket Industry Thriving</w:t>
        </w:r>
      </w:hyperlink>
      <w:r w:rsidR="00BF0433">
        <w:t>‘</w:t>
      </w:r>
      <w:r w:rsidR="000B1302" w:rsidRPr="00167529">
        <w:t xml:space="preserve"> [media release], </w:t>
      </w:r>
      <w:r w:rsidR="000B1302" w:rsidRPr="000B1302">
        <w:t>AAAA</w:t>
      </w:r>
      <w:r w:rsidR="000B1302" w:rsidRPr="00167529">
        <w:t>, 29 July 2024, accessed 21 October 2025.</w:t>
      </w:r>
    </w:p>
  </w:footnote>
  <w:footnote w:id="10">
    <w:p w14:paraId="4603CB67" w14:textId="4EE12CD8" w:rsidR="000B1302" w:rsidRPr="001D03F0" w:rsidRDefault="001D4F55" w:rsidP="000B1302">
      <w:pPr>
        <w:pStyle w:val="FootnoteText"/>
      </w:pPr>
      <w:r w:rsidRPr="001D4F55">
        <w:footnoteRef/>
      </w:r>
      <w:r w:rsidR="000B1302" w:rsidRPr="001D4F55">
        <w:t xml:space="preserve"> </w:t>
      </w:r>
      <w:r w:rsidR="00DC2E0F">
        <w:tab/>
      </w:r>
      <w:r w:rsidR="000B1302">
        <w:t>P</w:t>
      </w:r>
      <w:r w:rsidR="000B1302" w:rsidRPr="001D03F0">
        <w:t xml:space="preserve"> Davis, </w:t>
      </w:r>
      <w:r w:rsidR="000B1302">
        <w:t>L</w:t>
      </w:r>
      <w:r w:rsidR="000B1302" w:rsidRPr="001D03F0">
        <w:t xml:space="preserve"> Coppi</w:t>
      </w:r>
      <w:r w:rsidR="000B1302">
        <w:t xml:space="preserve"> &amp; P</w:t>
      </w:r>
      <w:r w:rsidR="000B1302" w:rsidRPr="001D03F0">
        <w:t xml:space="preserve"> Kalmus, </w:t>
      </w:r>
      <w:r w:rsidR="00BF0433">
        <w:t>‘</w:t>
      </w:r>
      <w:r w:rsidR="000B1302" w:rsidRPr="00F76CAF">
        <w:t xml:space="preserve">The Economics of Secondary Product </w:t>
      </w:r>
      <w:r w:rsidR="000B1302" w:rsidRPr="00F76CAF">
        <w:rPr>
          <w:iCs/>
        </w:rPr>
        <w:t>Markets</w:t>
      </w:r>
      <w:r w:rsidR="00BF0433">
        <w:rPr>
          <w:iCs/>
        </w:rPr>
        <w:t>’</w:t>
      </w:r>
      <w:r w:rsidR="000B1302" w:rsidRPr="00F76CAF">
        <w:t xml:space="preserve">, </w:t>
      </w:r>
      <w:r w:rsidR="000B1302">
        <w:rPr>
          <w:iCs/>
        </w:rPr>
        <w:t xml:space="preserve">United Kingdom </w:t>
      </w:r>
      <w:r w:rsidR="000B1302" w:rsidRPr="001D03F0">
        <w:t>Office of Fair Trading</w:t>
      </w:r>
      <w:r w:rsidR="000B1302">
        <w:t xml:space="preserve">, 12 December </w:t>
      </w:r>
      <w:r w:rsidR="000B1302" w:rsidRPr="001D03F0">
        <w:t>2012</w:t>
      </w:r>
      <w:r w:rsidR="000B1302">
        <w:t>.</w:t>
      </w:r>
    </w:p>
  </w:footnote>
  <w:footnote w:id="11">
    <w:p w14:paraId="2C87CF32" w14:textId="7BDF5BFA" w:rsidR="000B1302" w:rsidRDefault="001D4F55" w:rsidP="000B1302">
      <w:pPr>
        <w:pStyle w:val="FootnoteText"/>
      </w:pPr>
      <w:r w:rsidRPr="001D4F55">
        <w:footnoteRef/>
      </w:r>
      <w:r w:rsidR="000B1302" w:rsidRPr="001D4F55">
        <w:t xml:space="preserve"> </w:t>
      </w:r>
      <w:r w:rsidR="00110D67">
        <w:tab/>
      </w:r>
      <w:r w:rsidR="000B1302" w:rsidRPr="00725175">
        <w:t xml:space="preserve">Adapted from </w:t>
      </w:r>
      <w:r w:rsidR="000B1302" w:rsidRPr="00725175">
        <w:rPr>
          <w:color w:val="000000" w:themeColor="text1"/>
        </w:rPr>
        <w:t xml:space="preserve">Productivity Commission (PC), </w:t>
      </w:r>
      <w:r w:rsidR="00BF0433">
        <w:rPr>
          <w:color w:val="000000" w:themeColor="text1"/>
        </w:rPr>
        <w:t>‘</w:t>
      </w:r>
      <w:hyperlink r:id="rId3" w:history="1">
        <w:r w:rsidR="000B1302" w:rsidRPr="00725175">
          <w:rPr>
            <w:rStyle w:val="Hyperlink"/>
          </w:rPr>
          <w:t>Right to Repair Inquiry Report</w:t>
        </w:r>
      </w:hyperlink>
      <w:r w:rsidR="00BF0433">
        <w:rPr>
          <w:color w:val="000000" w:themeColor="text1"/>
        </w:rPr>
        <w:t>‘</w:t>
      </w:r>
      <w:r w:rsidR="000B1302" w:rsidRPr="00725175">
        <w:rPr>
          <w:color w:val="000000" w:themeColor="text1"/>
        </w:rPr>
        <w:t>, PC, 2021, accessed 22</w:t>
      </w:r>
      <w:r w:rsidR="00110D67">
        <w:rPr>
          <w:color w:val="000000" w:themeColor="text1"/>
        </w:rPr>
        <w:t> </w:t>
      </w:r>
      <w:r w:rsidR="000B1302" w:rsidRPr="00725175">
        <w:rPr>
          <w:color w:val="000000" w:themeColor="text1"/>
        </w:rPr>
        <w:t>October 2025.</w:t>
      </w:r>
    </w:p>
  </w:footnote>
  <w:footnote w:id="12">
    <w:p w14:paraId="1A9F0C28" w14:textId="38F90C89" w:rsidR="000B1302" w:rsidRPr="001D03F0" w:rsidRDefault="001D4F55" w:rsidP="00DC2E0F">
      <w:pPr>
        <w:pStyle w:val="FootnoteText"/>
      </w:pPr>
      <w:r w:rsidRPr="00A740DC">
        <w:footnoteRef/>
      </w:r>
      <w:r w:rsidR="000B1302" w:rsidRPr="001D4F55">
        <w:t xml:space="preserve"> </w:t>
      </w:r>
      <w:r w:rsidR="00DC2E0F">
        <w:tab/>
      </w:r>
      <w:r w:rsidR="000B1302">
        <w:t>C</w:t>
      </w:r>
      <w:r w:rsidR="000B1302" w:rsidRPr="001D03F0">
        <w:t xml:space="preserve"> </w:t>
      </w:r>
      <w:r w:rsidR="000B1302" w:rsidRPr="00DC2E0F">
        <w:t>Jin</w:t>
      </w:r>
      <w:r w:rsidR="000B1302" w:rsidRPr="001D03F0">
        <w:t xml:space="preserve">, </w:t>
      </w:r>
      <w:r w:rsidR="000B1302">
        <w:t>L</w:t>
      </w:r>
      <w:r w:rsidR="000B1302" w:rsidRPr="001D03F0">
        <w:t xml:space="preserve"> Yang, &amp; </w:t>
      </w:r>
      <w:r w:rsidR="000B1302">
        <w:t>C</w:t>
      </w:r>
      <w:r w:rsidR="000B1302" w:rsidRPr="001D03F0">
        <w:t xml:space="preserve"> Zhu, </w:t>
      </w:r>
      <w:r w:rsidR="00BF0433">
        <w:t>‘</w:t>
      </w:r>
      <w:r w:rsidR="000B1302" w:rsidRPr="00F76CAF">
        <w:t xml:space="preserve">Right to repair: Pricing, welfare, and environmental </w:t>
      </w:r>
      <w:r w:rsidR="000B1302" w:rsidRPr="00F76CAF">
        <w:rPr>
          <w:iCs/>
        </w:rPr>
        <w:t>implications</w:t>
      </w:r>
      <w:r w:rsidR="00BF0433">
        <w:rPr>
          <w:iCs/>
        </w:rPr>
        <w:t>’</w:t>
      </w:r>
      <w:r w:rsidR="000B1302">
        <w:rPr>
          <w:iCs/>
        </w:rPr>
        <w:t>,</w:t>
      </w:r>
      <w:r w:rsidR="000B1302" w:rsidRPr="00F76CAF">
        <w:t xml:space="preserve"> </w:t>
      </w:r>
      <w:r w:rsidR="000B1302" w:rsidRPr="00F76CAF">
        <w:rPr>
          <w:i/>
        </w:rPr>
        <w:t>Management Science, Management Science</w:t>
      </w:r>
      <w:r w:rsidR="000B1302">
        <w:rPr>
          <w:i/>
        </w:rPr>
        <w:t>,</w:t>
      </w:r>
      <w:r w:rsidR="000B1302">
        <w:t xml:space="preserve"> </w:t>
      </w:r>
      <w:r w:rsidR="000B1302" w:rsidRPr="00B71FC0">
        <w:t>69(2)</w:t>
      </w:r>
      <w:r w:rsidR="000B1302">
        <w:t>,</w:t>
      </w:r>
      <w:r w:rsidR="000B1302" w:rsidRPr="0008266E">
        <w:t xml:space="preserve"> </w:t>
      </w:r>
      <w:r w:rsidR="000B1302">
        <w:t xml:space="preserve">2012, </w:t>
      </w:r>
      <w:r w:rsidR="000B1302" w:rsidRPr="00B71FC0">
        <w:t>1017</w:t>
      </w:r>
      <w:r w:rsidR="007B3C6A">
        <w:noBreakHyphen/>
      </w:r>
      <w:r w:rsidR="000B1302" w:rsidRPr="00B71FC0">
        <w:t>1036</w:t>
      </w:r>
      <w:r w:rsidR="000B1302">
        <w:t xml:space="preserve">. </w:t>
      </w:r>
    </w:p>
  </w:footnote>
  <w:footnote w:id="13">
    <w:p w14:paraId="62A216EC" w14:textId="74FA75E9" w:rsidR="000B1302" w:rsidRPr="001D03F0" w:rsidRDefault="001D4F55" w:rsidP="000B1302">
      <w:pPr>
        <w:pStyle w:val="FootnoteText"/>
      </w:pPr>
      <w:r w:rsidRPr="001D4F55">
        <w:footnoteRef/>
      </w:r>
      <w:r w:rsidR="000B1302" w:rsidRPr="001D4F55">
        <w:t xml:space="preserve"> </w:t>
      </w:r>
      <w:r w:rsidR="00DC2E0F">
        <w:tab/>
      </w:r>
      <w:r w:rsidR="000B1302">
        <w:t>L</w:t>
      </w:r>
      <w:r w:rsidR="000B1302" w:rsidRPr="001D03F0">
        <w:t xml:space="preserve"> Kahane, </w:t>
      </w:r>
      <w:r w:rsidR="00BF0433">
        <w:t>‘</w:t>
      </w:r>
      <w:r w:rsidR="000B1302" w:rsidRPr="00F76CAF">
        <w:t xml:space="preserve">The impact of the Massachusetts 2012 right to repair law on small, independent auto repair </w:t>
      </w:r>
      <w:r w:rsidR="000B1302" w:rsidRPr="00F76CAF">
        <w:rPr>
          <w:iCs/>
        </w:rPr>
        <w:t>shops</w:t>
      </w:r>
      <w:r w:rsidR="00BF0433">
        <w:t>’</w:t>
      </w:r>
      <w:r w:rsidR="000B1302">
        <w:t>,</w:t>
      </w:r>
      <w:r w:rsidR="000B1302" w:rsidRPr="001D03F0">
        <w:t> </w:t>
      </w:r>
      <w:r w:rsidR="000B1302" w:rsidRPr="00F76CAF">
        <w:rPr>
          <w:i/>
        </w:rPr>
        <w:t>Applied Economics Letters</w:t>
      </w:r>
      <w:r w:rsidR="000B1302" w:rsidRPr="001D03F0">
        <w:t xml:space="preserve">, 29(10), </w:t>
      </w:r>
      <w:r w:rsidR="000B1302">
        <w:t xml:space="preserve">2012, </w:t>
      </w:r>
      <w:r w:rsidR="000B1302" w:rsidRPr="001D03F0">
        <w:t>873</w:t>
      </w:r>
      <w:r w:rsidR="007B3C6A">
        <w:noBreakHyphen/>
      </w:r>
      <w:r w:rsidR="000B1302" w:rsidRPr="001D03F0">
        <w:t>879.</w:t>
      </w:r>
    </w:p>
  </w:footnote>
  <w:footnote w:id="14">
    <w:p w14:paraId="6700C76B" w14:textId="4AD6549F" w:rsidR="000B1302" w:rsidRPr="001D03F0" w:rsidRDefault="001D4F55" w:rsidP="000B1302">
      <w:pPr>
        <w:pStyle w:val="FootnoteText"/>
        <w:rPr>
          <w:color w:val="000000" w:themeColor="text1"/>
        </w:rPr>
      </w:pPr>
      <w:r w:rsidRPr="001D4F55">
        <w:footnoteRef/>
      </w:r>
      <w:r w:rsidR="000B1302" w:rsidRPr="007B0176">
        <w:t xml:space="preserve"> </w:t>
      </w:r>
      <w:r w:rsidR="00DC2E0F">
        <w:tab/>
      </w:r>
      <w:r w:rsidR="000B1302" w:rsidRPr="00C136A8">
        <w:rPr>
          <w:color w:val="000000" w:themeColor="text1"/>
        </w:rPr>
        <w:t xml:space="preserve">Productivity Commission </w:t>
      </w:r>
      <w:r w:rsidR="000B1302" w:rsidRPr="004B4AD6">
        <w:rPr>
          <w:color w:val="000000" w:themeColor="text1"/>
        </w:rPr>
        <w:t>(</w:t>
      </w:r>
      <w:r w:rsidR="000B1302" w:rsidRPr="00C136A8">
        <w:rPr>
          <w:color w:val="000000" w:themeColor="text1"/>
        </w:rPr>
        <w:t>PC</w:t>
      </w:r>
      <w:r w:rsidR="000B1302" w:rsidRPr="004B4AD6">
        <w:rPr>
          <w:color w:val="000000" w:themeColor="text1"/>
        </w:rPr>
        <w:t>)</w:t>
      </w:r>
      <w:r w:rsidR="000B1302" w:rsidRPr="00C136A8">
        <w:rPr>
          <w:color w:val="000000" w:themeColor="text1"/>
        </w:rPr>
        <w:t xml:space="preserve">, </w:t>
      </w:r>
      <w:r w:rsidR="00BF0433">
        <w:rPr>
          <w:color w:val="000000" w:themeColor="text1"/>
        </w:rPr>
        <w:t>‘</w:t>
      </w:r>
      <w:hyperlink r:id="rId4" w:history="1">
        <w:r w:rsidR="000B1302" w:rsidRPr="0085277A">
          <w:rPr>
            <w:rStyle w:val="Hyperlink"/>
          </w:rPr>
          <w:t>Right to Repair Inquiry Report</w:t>
        </w:r>
      </w:hyperlink>
      <w:r w:rsidR="00BF0433">
        <w:rPr>
          <w:color w:val="000000" w:themeColor="text1"/>
        </w:rPr>
        <w:t>‘</w:t>
      </w:r>
      <w:r w:rsidR="000B1302" w:rsidRPr="00C136A8">
        <w:rPr>
          <w:color w:val="000000" w:themeColor="text1"/>
        </w:rPr>
        <w:t xml:space="preserve">, PC, </w:t>
      </w:r>
      <w:r w:rsidR="000B1302">
        <w:rPr>
          <w:color w:val="000000" w:themeColor="text1"/>
        </w:rPr>
        <w:t xml:space="preserve">2021, </w:t>
      </w:r>
      <w:r w:rsidR="000B1302" w:rsidRPr="00C136A8">
        <w:rPr>
          <w:color w:val="000000" w:themeColor="text1"/>
        </w:rPr>
        <w:t xml:space="preserve">accessed </w:t>
      </w:r>
      <w:r w:rsidR="000B1302">
        <w:rPr>
          <w:color w:val="000000" w:themeColor="text1"/>
        </w:rPr>
        <w:t>21</w:t>
      </w:r>
      <w:r w:rsidR="000B1302" w:rsidRPr="00C136A8">
        <w:rPr>
          <w:color w:val="000000" w:themeColor="text1"/>
        </w:rPr>
        <w:t xml:space="preserve"> </w:t>
      </w:r>
      <w:r w:rsidR="000B1302">
        <w:rPr>
          <w:color w:val="000000" w:themeColor="text1"/>
        </w:rPr>
        <w:t>October</w:t>
      </w:r>
      <w:r w:rsidR="000B1302" w:rsidRPr="00C136A8">
        <w:rPr>
          <w:color w:val="000000" w:themeColor="text1"/>
        </w:rPr>
        <w:t xml:space="preserve"> 2025</w:t>
      </w:r>
      <w:r w:rsidR="000B1302">
        <w:rPr>
          <w:color w:val="000000" w:themeColor="text1"/>
        </w:rPr>
        <w:t>.</w:t>
      </w:r>
    </w:p>
  </w:footnote>
  <w:footnote w:id="15">
    <w:p w14:paraId="42FA44EC" w14:textId="4BE0BDEE" w:rsidR="000B1302" w:rsidRPr="00400DD9" w:rsidRDefault="001D4F55" w:rsidP="000B1302">
      <w:pPr>
        <w:pStyle w:val="FootnoteText"/>
        <w:rPr>
          <w:color w:val="000000" w:themeColor="text1"/>
        </w:rPr>
      </w:pPr>
      <w:r w:rsidRPr="001D4F55">
        <w:footnoteRef/>
      </w:r>
      <w:r w:rsidR="000B1302" w:rsidRPr="001D4F55">
        <w:t xml:space="preserve"> </w:t>
      </w:r>
      <w:r w:rsidR="00DC2E0F">
        <w:rPr>
          <w:color w:val="000000" w:themeColor="text1"/>
        </w:rPr>
        <w:tab/>
      </w:r>
      <w:r w:rsidR="000B1302" w:rsidRPr="00400DD9">
        <w:rPr>
          <w:color w:val="000000" w:themeColor="text1"/>
        </w:rPr>
        <w:t>ACCC</w:t>
      </w:r>
      <w:r w:rsidR="000B1302">
        <w:rPr>
          <w:color w:val="000000" w:themeColor="text1"/>
        </w:rPr>
        <w:t>,</w:t>
      </w:r>
      <w:r w:rsidR="000B1302" w:rsidRPr="00400DD9">
        <w:rPr>
          <w:color w:val="000000" w:themeColor="text1"/>
        </w:rPr>
        <w:t xml:space="preserve"> </w:t>
      </w:r>
      <w:r w:rsidR="00BF0433">
        <w:rPr>
          <w:color w:val="000000" w:themeColor="text1"/>
        </w:rPr>
        <w:t>‘</w:t>
      </w:r>
      <w:hyperlink r:id="rId5" w:history="1">
        <w:r w:rsidR="000B1302" w:rsidRPr="00A425A0">
          <w:rPr>
            <w:rStyle w:val="Hyperlink"/>
          </w:rPr>
          <w:t>New Car Retailing Industry</w:t>
        </w:r>
        <w:r w:rsidR="00BF0433">
          <w:rPr>
            <w:rStyle w:val="Hyperlink"/>
          </w:rPr>
          <w:t xml:space="preserve"> – </w:t>
        </w:r>
        <w:r w:rsidR="000B1302" w:rsidRPr="00A425A0">
          <w:rPr>
            <w:rStyle w:val="Hyperlink"/>
          </w:rPr>
          <w:t>Market Study</w:t>
        </w:r>
      </w:hyperlink>
      <w:r w:rsidR="00BF0433">
        <w:t>‘</w:t>
      </w:r>
      <w:r w:rsidR="000B1302" w:rsidRPr="00400DD9">
        <w:rPr>
          <w:color w:val="000000" w:themeColor="text1"/>
        </w:rPr>
        <w:t xml:space="preserve">, ACCC, </w:t>
      </w:r>
      <w:r w:rsidR="000B1302">
        <w:rPr>
          <w:color w:val="000000" w:themeColor="text1"/>
        </w:rPr>
        <w:t xml:space="preserve">2017, </w:t>
      </w:r>
      <w:r w:rsidR="000B1302" w:rsidRPr="00C136A8">
        <w:rPr>
          <w:color w:val="000000" w:themeColor="text1"/>
        </w:rPr>
        <w:t xml:space="preserve">accessed </w:t>
      </w:r>
      <w:r w:rsidR="000B1302">
        <w:rPr>
          <w:color w:val="000000" w:themeColor="text1"/>
        </w:rPr>
        <w:t>21</w:t>
      </w:r>
      <w:r w:rsidR="000B1302" w:rsidRPr="00C136A8">
        <w:rPr>
          <w:color w:val="000000" w:themeColor="text1"/>
        </w:rPr>
        <w:t xml:space="preserve"> </w:t>
      </w:r>
      <w:r w:rsidR="000B1302">
        <w:rPr>
          <w:color w:val="000000" w:themeColor="text1"/>
        </w:rPr>
        <w:t>October</w:t>
      </w:r>
      <w:r w:rsidR="000B1302" w:rsidRPr="00C136A8">
        <w:rPr>
          <w:color w:val="000000" w:themeColor="text1"/>
        </w:rPr>
        <w:t xml:space="preserve"> 2025</w:t>
      </w:r>
      <w:r w:rsidR="000B1302">
        <w:rPr>
          <w:color w:val="000000" w:themeColor="text1"/>
        </w:rPr>
        <w:t>.</w:t>
      </w:r>
    </w:p>
  </w:footnote>
  <w:footnote w:id="16">
    <w:p w14:paraId="28F5E739" w14:textId="33426780" w:rsidR="000B1302" w:rsidRPr="001D03F0" w:rsidRDefault="001D4F55" w:rsidP="000B1302">
      <w:pPr>
        <w:pStyle w:val="FootnoteText"/>
      </w:pPr>
      <w:r w:rsidRPr="001D4F55">
        <w:footnoteRef/>
      </w:r>
      <w:r w:rsidR="000B1302" w:rsidRPr="001D03F0">
        <w:t xml:space="preserve"> </w:t>
      </w:r>
      <w:r w:rsidR="00DC2E0F">
        <w:tab/>
      </w:r>
      <w:r w:rsidR="000B1302" w:rsidRPr="001D03F0">
        <w:t xml:space="preserve">Three workshop groups were identified in the data (Foundational, Developing, or Leaders); these </w:t>
      </w:r>
      <w:r w:rsidR="000B1302">
        <w:t>categories reflect</w:t>
      </w:r>
      <w:r w:rsidR="000B1302" w:rsidRPr="001D03F0">
        <w:t xml:space="preserve"> </w:t>
      </w:r>
      <w:r w:rsidR="000B1302">
        <w:t xml:space="preserve">workshop </w:t>
      </w:r>
      <w:r w:rsidR="000B1302" w:rsidRPr="001D03F0">
        <w:t>willingness to invest in future trends and technologies.</w:t>
      </w:r>
    </w:p>
  </w:footnote>
  <w:footnote w:id="17">
    <w:p w14:paraId="7823E4DC" w14:textId="2047A466" w:rsidR="000B1302" w:rsidRDefault="001D4F55" w:rsidP="000B1302">
      <w:pPr>
        <w:pStyle w:val="FootnoteText"/>
      </w:pPr>
      <w:r w:rsidRPr="001D4F55">
        <w:footnoteRef/>
      </w:r>
      <w:r w:rsidR="000B1302" w:rsidRPr="004B4AD6">
        <w:rPr>
          <w:sz w:val="17"/>
          <w:szCs w:val="17"/>
        </w:rPr>
        <w:t xml:space="preserve"> </w:t>
      </w:r>
      <w:r w:rsidR="00DC2E0F">
        <w:rPr>
          <w:sz w:val="17"/>
          <w:szCs w:val="17"/>
        </w:rPr>
        <w:tab/>
      </w:r>
      <w:r w:rsidR="000B1302" w:rsidRPr="004B4AD6">
        <w:t xml:space="preserve">These thresholds were chosen to focus the analysis on active, mature firms and are necessary to ensure insights are not skewed by dormant </w:t>
      </w:r>
      <w:r w:rsidR="000B1302">
        <w:t>and non</w:t>
      </w:r>
      <w:r w:rsidR="007B3C6A">
        <w:noBreakHyphen/>
      </w:r>
      <w:r w:rsidR="000B1302">
        <w:t xml:space="preserve">revenue generating </w:t>
      </w:r>
      <w:r w:rsidR="000B1302" w:rsidRPr="004B4AD6">
        <w:t>firms.</w:t>
      </w:r>
    </w:p>
  </w:footnote>
  <w:footnote w:id="18">
    <w:p w14:paraId="31CF5B54" w14:textId="7D176395" w:rsidR="000B1302" w:rsidRPr="004D0271" w:rsidRDefault="001D4F55" w:rsidP="00DC2E0F">
      <w:pPr>
        <w:pStyle w:val="FootnoteText"/>
      </w:pPr>
      <w:r w:rsidRPr="001D4F55">
        <w:rPr>
          <w:rStyle w:val="FootnoteReference"/>
          <w:vertAlign w:val="baseline"/>
        </w:rPr>
        <w:footnoteRef/>
      </w:r>
      <w:r w:rsidR="000B1302">
        <w:t xml:space="preserve"> </w:t>
      </w:r>
      <w:r w:rsidR="00DC2E0F">
        <w:tab/>
      </w:r>
      <w:r w:rsidR="000B1302" w:rsidRPr="004D0271">
        <w:t>Business Longitudinal Analysis Data Environment (BLADE), 2024, ABS DataLab. Findings are based on use of BLADE data.</w:t>
      </w:r>
    </w:p>
  </w:footnote>
  <w:footnote w:id="19">
    <w:p w14:paraId="393E2A20" w14:textId="4278DB31" w:rsidR="000B1302" w:rsidRDefault="001D4F55" w:rsidP="000B1302">
      <w:pPr>
        <w:pStyle w:val="FootnoteText"/>
      </w:pPr>
      <w:r w:rsidRPr="001D4F55">
        <w:footnoteRef/>
      </w:r>
      <w:r w:rsidR="000B1302" w:rsidRPr="001D4F55">
        <w:t xml:space="preserve"> </w:t>
      </w:r>
      <w:r w:rsidR="00DC2E0F" w:rsidRPr="001D4F55">
        <w:tab/>
      </w:r>
      <w:r w:rsidR="000B1302" w:rsidRPr="00733CC6">
        <w:t xml:space="preserve">Consumer Policy Research Centre (CPRC), </w:t>
      </w:r>
      <w:r w:rsidR="00BF0433">
        <w:t>‘</w:t>
      </w:r>
      <w:hyperlink r:id="rId6" w:history="1">
        <w:r w:rsidR="000B1302" w:rsidRPr="00733CC6">
          <w:t>Detours and roadblocks</w:t>
        </w:r>
      </w:hyperlink>
      <w:r w:rsidR="00BF0433">
        <w:t>‘</w:t>
      </w:r>
      <w:r w:rsidR="000B1302" w:rsidRPr="00733CC6">
        <w:t>, CPRC, 31 October 2023, accessed 11</w:t>
      </w:r>
      <w:r w:rsidR="00DC2E0F">
        <w:t> </w:t>
      </w:r>
      <w:r w:rsidR="000B1302" w:rsidRPr="00733CC6">
        <w:t>September 2025.</w:t>
      </w:r>
    </w:p>
  </w:footnote>
  <w:footnote w:id="20">
    <w:p w14:paraId="126EE222" w14:textId="146BE7BA" w:rsidR="000B1302" w:rsidRPr="001D03F0" w:rsidRDefault="001D4F55" w:rsidP="001D4F55">
      <w:pPr>
        <w:pStyle w:val="FootnoteText"/>
      </w:pPr>
      <w:r w:rsidRPr="001D4F55">
        <w:footnoteRef/>
      </w:r>
      <w:r w:rsidR="000B1302" w:rsidRPr="001D4F55">
        <w:t xml:space="preserve"> </w:t>
      </w:r>
      <w:r w:rsidR="00DC2E0F">
        <w:tab/>
      </w:r>
      <w:r w:rsidR="000B1302" w:rsidRPr="001D03F0">
        <w:t>C</w:t>
      </w:r>
      <w:r w:rsidR="000B1302">
        <w:t xml:space="preserve"> </w:t>
      </w:r>
      <w:r w:rsidR="000B1302" w:rsidRPr="001D03F0">
        <w:rPr>
          <w:color w:val="000000" w:themeColor="text1"/>
        </w:rPr>
        <w:t>Brunton</w:t>
      </w:r>
      <w:r w:rsidR="000B1302">
        <w:rPr>
          <w:color w:val="000000" w:themeColor="text1"/>
        </w:rPr>
        <w:t>,</w:t>
      </w:r>
      <w:r w:rsidR="000B1302" w:rsidRPr="001D03F0">
        <w:rPr>
          <w:color w:val="000000" w:themeColor="text1"/>
        </w:rPr>
        <w:t xml:space="preserve"> </w:t>
      </w:r>
      <w:r w:rsidR="00BF0433">
        <w:rPr>
          <w:color w:val="000000" w:themeColor="text1"/>
        </w:rPr>
        <w:t>‘</w:t>
      </w:r>
      <w:hyperlink r:id="rId7" w:history="1">
        <w:r w:rsidR="000B1302" w:rsidRPr="00A55EB3">
          <w:rPr>
            <w:rStyle w:val="Hyperlink"/>
          </w:rPr>
          <w:t>Consumer experiences of buying, servicing and repairing new cars</w:t>
        </w:r>
      </w:hyperlink>
      <w:r w:rsidR="00BF0433">
        <w:t>‘</w:t>
      </w:r>
      <w:r w:rsidR="000B1302" w:rsidRPr="001D03F0">
        <w:rPr>
          <w:color w:val="000000" w:themeColor="text1"/>
        </w:rPr>
        <w:t>, ACCC,</w:t>
      </w:r>
      <w:r w:rsidR="000B1302">
        <w:rPr>
          <w:color w:val="000000" w:themeColor="text1"/>
        </w:rPr>
        <w:t xml:space="preserve"> May 2017, accessed 11 September 2025,</w:t>
      </w:r>
      <w:r w:rsidR="000B1302" w:rsidRPr="001D03F0">
        <w:rPr>
          <w:color w:val="000000" w:themeColor="text1"/>
        </w:rPr>
        <w:t xml:space="preserve"> 65.</w:t>
      </w:r>
    </w:p>
  </w:footnote>
  <w:footnote w:id="21">
    <w:p w14:paraId="6F39BD0D" w14:textId="49250F09" w:rsidR="000B1302" w:rsidRDefault="001D4F55" w:rsidP="000B1302">
      <w:pPr>
        <w:pStyle w:val="FootnoteText"/>
      </w:pPr>
      <w:r w:rsidRPr="001D4F55">
        <w:rPr>
          <w:rStyle w:val="FootnoteReference"/>
          <w:vertAlign w:val="baseline"/>
        </w:rPr>
        <w:footnoteRef/>
      </w:r>
      <w:r w:rsidR="000B1302">
        <w:t xml:space="preserve"> </w:t>
      </w:r>
      <w:r w:rsidR="00DC2E0F">
        <w:tab/>
      </w:r>
      <w:r w:rsidR="000B1302">
        <w:t xml:space="preserve">CPI measures price changes experienced by households over time across a variety of product groups. For further information about the CPI, see the ABS </w:t>
      </w:r>
      <w:hyperlink r:id="rId8" w:tgtFrame="_blank" w:tooltip="https://www.abs.gov.au/ausstats/abs@.nsf/mf/6461.0" w:history="1">
        <w:r w:rsidR="000B1302" w:rsidRPr="00EB5C83">
          <w:rPr>
            <w:rStyle w:val="Hyperlink"/>
          </w:rPr>
          <w:t>Consumer Price Index: Concepts, Sources and Methods</w:t>
        </w:r>
      </w:hyperlink>
      <w:r w:rsidR="000B1302">
        <w:t>.</w:t>
      </w:r>
    </w:p>
  </w:footnote>
  <w:footnote w:id="22">
    <w:p w14:paraId="4234B0B9" w14:textId="72262A62" w:rsidR="000B1302" w:rsidRPr="00A740DC" w:rsidRDefault="001D4F55" w:rsidP="000B1302">
      <w:pPr>
        <w:pStyle w:val="FootnoteText"/>
      </w:pPr>
      <w:r w:rsidRPr="00A740DC">
        <w:rPr>
          <w:rStyle w:val="FootnoteReference"/>
          <w:szCs w:val="20"/>
          <w:vertAlign w:val="baseline"/>
        </w:rPr>
        <w:footnoteRef/>
      </w:r>
      <w:r w:rsidR="000B1302" w:rsidRPr="00A740DC">
        <w:t xml:space="preserve"> </w:t>
      </w:r>
      <w:r w:rsidR="00DC2E0F" w:rsidRPr="00A740DC">
        <w:tab/>
      </w:r>
      <w:r w:rsidR="000B1302" w:rsidRPr="00A740DC">
        <w:rPr>
          <w:iCs/>
        </w:rPr>
        <w:t>CCA</w:t>
      </w:r>
      <w:r w:rsidR="000B1302" w:rsidRPr="00A740DC">
        <w:rPr>
          <w:i/>
        </w:rPr>
        <w:t xml:space="preserve"> </w:t>
      </w:r>
      <w:r w:rsidR="000B1302" w:rsidRPr="00A740DC">
        <w:t>(n 1) s 57CC.</w:t>
      </w:r>
    </w:p>
  </w:footnote>
  <w:footnote w:id="23">
    <w:p w14:paraId="7A6C8B96" w14:textId="0A259293" w:rsidR="000B1302" w:rsidRPr="00A740DC" w:rsidRDefault="001D4F55" w:rsidP="000B1302">
      <w:pPr>
        <w:pStyle w:val="FootnoteText"/>
      </w:pPr>
      <w:r w:rsidRPr="00A740DC">
        <w:rPr>
          <w:rStyle w:val="FootnoteReference"/>
          <w:szCs w:val="20"/>
          <w:vertAlign w:val="baseline"/>
        </w:rPr>
        <w:footnoteRef/>
      </w:r>
      <w:r w:rsidR="000B1302" w:rsidRPr="00A740DC">
        <w:t xml:space="preserve"> </w:t>
      </w:r>
      <w:r w:rsidR="00DC2E0F" w:rsidRPr="00A740DC">
        <w:tab/>
      </w:r>
      <w:r w:rsidR="000B1302" w:rsidRPr="00A740DC">
        <w:t>Ibid</w:t>
      </w:r>
      <w:r w:rsidR="000B1302" w:rsidRPr="00A740DC">
        <w:rPr>
          <w:i/>
        </w:rPr>
        <w:t xml:space="preserve"> </w:t>
      </w:r>
      <w:r w:rsidR="000B1302" w:rsidRPr="00A740DC">
        <w:t>s 57CC(2).</w:t>
      </w:r>
    </w:p>
  </w:footnote>
  <w:footnote w:id="24">
    <w:p w14:paraId="3133E64A" w14:textId="7334D7EB" w:rsidR="000B1302" w:rsidRPr="00A740DC" w:rsidRDefault="001D4F55" w:rsidP="000B1302">
      <w:pPr>
        <w:pStyle w:val="FootnoteText"/>
      </w:pPr>
      <w:r w:rsidRPr="00A740DC">
        <w:rPr>
          <w:rStyle w:val="FootnoteReference"/>
          <w:szCs w:val="20"/>
          <w:vertAlign w:val="baseline"/>
        </w:rPr>
        <w:footnoteRef/>
      </w:r>
      <w:r w:rsidR="000B1302" w:rsidRPr="00A740DC">
        <w:t xml:space="preserve"> </w:t>
      </w:r>
      <w:r w:rsidR="00DC2E0F" w:rsidRPr="00A740DC">
        <w:tab/>
      </w:r>
      <w:r w:rsidR="000B1302" w:rsidRPr="00A740DC">
        <w:t>Ibid s 57CA(6).</w:t>
      </w:r>
    </w:p>
  </w:footnote>
  <w:footnote w:id="25">
    <w:p w14:paraId="2F1674D5" w14:textId="14B5E37B" w:rsidR="000B1302" w:rsidRPr="001D03F0" w:rsidRDefault="001D4F55" w:rsidP="000B1302">
      <w:pPr>
        <w:pStyle w:val="FootnoteText"/>
      </w:pPr>
      <w:r w:rsidRPr="00A740DC">
        <w:rPr>
          <w:rStyle w:val="FootnoteReference"/>
          <w:szCs w:val="20"/>
          <w:vertAlign w:val="baseline"/>
        </w:rPr>
        <w:footnoteRef/>
      </w:r>
      <w:r w:rsidR="000B1302" w:rsidRPr="00A740DC">
        <w:t xml:space="preserve"> </w:t>
      </w:r>
      <w:r w:rsidR="00DC2E0F" w:rsidRPr="00A740DC">
        <w:tab/>
      </w:r>
      <w:r w:rsidR="000B1302" w:rsidRPr="00A740DC">
        <w:t>Ibid s 57CA(7).</w:t>
      </w:r>
    </w:p>
  </w:footnote>
  <w:footnote w:id="26">
    <w:p w14:paraId="5453D4CD" w14:textId="19F0E6CA" w:rsidR="000B1302" w:rsidRPr="00A740DC" w:rsidRDefault="001D4F55" w:rsidP="000B1302">
      <w:pPr>
        <w:pStyle w:val="FootnoteText"/>
      </w:pPr>
      <w:r w:rsidRPr="00A740DC">
        <w:rPr>
          <w:rStyle w:val="FootnoteReference"/>
          <w:szCs w:val="20"/>
          <w:vertAlign w:val="baseline"/>
        </w:rPr>
        <w:footnoteRef/>
      </w:r>
      <w:r w:rsidR="000B1302" w:rsidRPr="00A740DC">
        <w:t xml:space="preserve"> </w:t>
      </w:r>
      <w:r w:rsidR="00DC2E0F" w:rsidRPr="00A740DC">
        <w:tab/>
      </w:r>
      <w:r w:rsidR="000B1302" w:rsidRPr="00A740DC">
        <w:t xml:space="preserve">Service and repair information is data utilised to service and repair a motor vehicle and is a subset of scheme information, which may include software programs needed to diagnose and service motor vehicles. </w:t>
      </w:r>
    </w:p>
  </w:footnote>
  <w:footnote w:id="27">
    <w:p w14:paraId="0B8CE1F4" w14:textId="375985FD" w:rsidR="000B1302" w:rsidRPr="00A740DC" w:rsidRDefault="001D4F55" w:rsidP="000B1302">
      <w:pPr>
        <w:pStyle w:val="FootnoteText"/>
      </w:pPr>
      <w:r w:rsidRPr="00A740DC">
        <w:rPr>
          <w:rStyle w:val="FootnoteReference"/>
          <w:szCs w:val="20"/>
          <w:vertAlign w:val="baseline"/>
        </w:rPr>
        <w:footnoteRef/>
      </w:r>
      <w:r w:rsidR="000B1302" w:rsidRPr="00A740DC">
        <w:t xml:space="preserve"> </w:t>
      </w:r>
      <w:r w:rsidR="00DC2E0F" w:rsidRPr="00A740DC">
        <w:tab/>
      </w:r>
      <w:r w:rsidR="000B1302" w:rsidRPr="00A740DC">
        <w:t>Ibid s 57CA(5).</w:t>
      </w:r>
    </w:p>
  </w:footnote>
  <w:footnote w:id="28">
    <w:p w14:paraId="36C50790" w14:textId="1A6FD4EB" w:rsidR="000B1302" w:rsidRPr="001D03F0" w:rsidRDefault="001D4F55" w:rsidP="000B1302">
      <w:pPr>
        <w:pStyle w:val="FootnoteText"/>
      </w:pPr>
      <w:r w:rsidRPr="00A740DC">
        <w:rPr>
          <w:rStyle w:val="FootnoteReference"/>
          <w:szCs w:val="20"/>
          <w:vertAlign w:val="baseline"/>
        </w:rPr>
        <w:footnoteRef/>
      </w:r>
      <w:r w:rsidR="000B1302" w:rsidRPr="00A740DC">
        <w:t xml:space="preserve"> </w:t>
      </w:r>
      <w:r w:rsidR="00DC2E0F" w:rsidRPr="00A740DC">
        <w:tab/>
      </w:r>
      <w:r w:rsidR="000B1302" w:rsidRPr="00A740DC">
        <w:t>MMAL Rentals Pty Ltd v Bruning [2004] NSWCA 451.</w:t>
      </w:r>
    </w:p>
  </w:footnote>
  <w:footnote w:id="29">
    <w:p w14:paraId="45850A1E" w14:textId="0D4B3CB8" w:rsidR="000B1302" w:rsidRPr="00A740DC" w:rsidRDefault="001D4F55" w:rsidP="000B1302">
      <w:pPr>
        <w:pStyle w:val="FootnoteText"/>
      </w:pPr>
      <w:r w:rsidRPr="00A740DC">
        <w:rPr>
          <w:rStyle w:val="FootnoteReference"/>
          <w:szCs w:val="20"/>
          <w:vertAlign w:val="baseline"/>
        </w:rPr>
        <w:footnoteRef/>
      </w:r>
      <w:r w:rsidR="000B1302" w:rsidRPr="00A740DC">
        <w:t xml:space="preserve"> </w:t>
      </w:r>
      <w:r w:rsidR="00DC2E0F" w:rsidRPr="00A740DC">
        <w:tab/>
      </w:r>
      <w:r w:rsidR="000B1302" w:rsidRPr="00A740DC">
        <w:t>The Review examined scheme prices at various points in time and over the period of the scheme</w:t>
      </w:r>
      <w:r w:rsidR="00BF0433">
        <w:t>’</w:t>
      </w:r>
      <w:r w:rsidR="000B1302" w:rsidRPr="00A740DC">
        <w:t xml:space="preserve">s operation. While Treasury considers the point in time analysis to be representative, the choice of time periods was constrained by data availability across data sources in some cases. </w:t>
      </w:r>
    </w:p>
  </w:footnote>
  <w:footnote w:id="30">
    <w:p w14:paraId="3F5F2607" w14:textId="7A2649BF" w:rsidR="000B1302" w:rsidRPr="00A740DC" w:rsidRDefault="001D4F55" w:rsidP="000B1302">
      <w:pPr>
        <w:pStyle w:val="FootnoteText"/>
      </w:pPr>
      <w:r w:rsidRPr="00A740DC">
        <w:rPr>
          <w:rStyle w:val="FootnoteReference"/>
          <w:szCs w:val="20"/>
          <w:vertAlign w:val="baseline"/>
        </w:rPr>
        <w:footnoteRef/>
      </w:r>
      <w:r w:rsidR="000B1302" w:rsidRPr="00A740DC">
        <w:t xml:space="preserve"> </w:t>
      </w:r>
      <w:r w:rsidR="00DC2E0F" w:rsidRPr="00A740DC">
        <w:tab/>
      </w:r>
      <w:r w:rsidR="000B1302" w:rsidRPr="00A740DC">
        <w:t>These brands are Toyota, Mazda, Hyundai, GM (Holden), Ford, Mitsubishi, Nissan, Subaru, Honda, and Kia.</w:t>
      </w:r>
    </w:p>
  </w:footnote>
  <w:footnote w:id="31">
    <w:p w14:paraId="4042A2A0" w14:textId="650CC780" w:rsidR="000B1302" w:rsidRPr="001D03F0" w:rsidRDefault="001D4F55" w:rsidP="000B1302">
      <w:pPr>
        <w:pStyle w:val="FootnoteText"/>
      </w:pPr>
      <w:r w:rsidRPr="00A740DC">
        <w:rPr>
          <w:rStyle w:val="FootnoteReference"/>
          <w:szCs w:val="20"/>
          <w:vertAlign w:val="baseline"/>
        </w:rPr>
        <w:footnoteRef/>
      </w:r>
      <w:r w:rsidR="000B1302" w:rsidRPr="00A740DC">
        <w:t xml:space="preserve"> </w:t>
      </w:r>
      <w:r w:rsidR="00DC2E0F" w:rsidRPr="00A740DC">
        <w:tab/>
      </w:r>
      <w:r w:rsidR="000B1302" w:rsidRPr="00A740DC">
        <w:t xml:space="preserve">Bureau of Infrastructure and Transport Research Economics (BITRE), </w:t>
      </w:r>
      <w:hyperlink r:id="rId9" w:history="1">
        <w:r w:rsidR="000B1302" w:rsidRPr="00A740DC">
          <w:rPr>
            <w:rStyle w:val="Hyperlink"/>
            <w:i/>
          </w:rPr>
          <w:t>Road Vehicles Australia January 2025: Bureau of Infrastructure and Transport Research Economics Statistical Report</w:t>
        </w:r>
      </w:hyperlink>
      <w:r w:rsidR="000B1302" w:rsidRPr="00A740DC">
        <w:t>, BITRE, Australian Government, 2024, accessed 29 September 2025.</w:t>
      </w:r>
    </w:p>
  </w:footnote>
  <w:footnote w:id="32">
    <w:p w14:paraId="5765A3EC" w14:textId="729C05B7" w:rsidR="000B1302" w:rsidRPr="00A740DC" w:rsidRDefault="001D4F55" w:rsidP="000B1302">
      <w:pPr>
        <w:pStyle w:val="FootnoteText"/>
      </w:pPr>
      <w:r w:rsidRPr="00A740DC">
        <w:rPr>
          <w:rStyle w:val="FootnoteReference"/>
          <w:szCs w:val="20"/>
          <w:vertAlign w:val="baseline"/>
        </w:rPr>
        <w:footnoteRef/>
      </w:r>
      <w:r w:rsidR="000B1302" w:rsidRPr="00A740DC">
        <w:t xml:space="preserve"> </w:t>
      </w:r>
      <w:r w:rsidR="00423EB7" w:rsidRPr="00A740DC">
        <w:tab/>
      </w:r>
      <w:r w:rsidR="000B1302" w:rsidRPr="00A740DC">
        <w:t>CCA (n 1) s 57CA(5)(a)(ii).</w:t>
      </w:r>
    </w:p>
  </w:footnote>
  <w:footnote w:id="33">
    <w:p w14:paraId="714E7FBB" w14:textId="7E8F6AC8" w:rsidR="000B1302" w:rsidRPr="00A740DC" w:rsidRDefault="001D4F55" w:rsidP="000B1302">
      <w:pPr>
        <w:pStyle w:val="FootnoteText"/>
      </w:pPr>
      <w:r w:rsidRPr="00A740DC">
        <w:rPr>
          <w:rStyle w:val="FootnoteReference"/>
          <w:szCs w:val="20"/>
          <w:vertAlign w:val="baseline"/>
        </w:rPr>
        <w:footnoteRef/>
      </w:r>
      <w:r w:rsidR="000B1302" w:rsidRPr="00A740DC">
        <w:t xml:space="preserve"> </w:t>
      </w:r>
      <w:r w:rsidR="00423EB7" w:rsidRPr="00A740DC">
        <w:tab/>
      </w:r>
      <w:r w:rsidR="000B1302" w:rsidRPr="00A740DC">
        <w:t>Ibid s 57CA(5)(e).</w:t>
      </w:r>
    </w:p>
  </w:footnote>
  <w:footnote w:id="34">
    <w:p w14:paraId="6B871175" w14:textId="607D5D74" w:rsidR="000B1302" w:rsidRPr="00A740DC" w:rsidRDefault="001D4F55" w:rsidP="000B1302">
      <w:pPr>
        <w:pStyle w:val="FootnoteText"/>
      </w:pPr>
      <w:r w:rsidRPr="00A740DC">
        <w:rPr>
          <w:rStyle w:val="FootnoteReference"/>
          <w:szCs w:val="20"/>
          <w:vertAlign w:val="baseline"/>
        </w:rPr>
        <w:footnoteRef/>
      </w:r>
      <w:r w:rsidR="000B1302" w:rsidRPr="00A740DC">
        <w:t xml:space="preserve"> </w:t>
      </w:r>
      <w:r w:rsidR="00110D67" w:rsidRPr="00A740DC">
        <w:tab/>
      </w:r>
      <w:r w:rsidR="000B1302" w:rsidRPr="00A740DC">
        <w:t>CCA (n 1) s 57CA(5)(d).</w:t>
      </w:r>
    </w:p>
  </w:footnote>
  <w:footnote w:id="35">
    <w:p w14:paraId="37B59E54" w14:textId="2B61A612" w:rsidR="000B1302" w:rsidRPr="00A740DC" w:rsidRDefault="001D4F55" w:rsidP="000B1302">
      <w:pPr>
        <w:pStyle w:val="FootnoteText"/>
      </w:pPr>
      <w:r w:rsidRPr="00A740DC">
        <w:rPr>
          <w:rStyle w:val="FootnoteReference"/>
          <w:szCs w:val="20"/>
          <w:vertAlign w:val="baseline"/>
        </w:rPr>
        <w:footnoteRef/>
      </w:r>
      <w:r w:rsidR="000B1302" w:rsidRPr="00A740DC">
        <w:t xml:space="preserve"> </w:t>
      </w:r>
      <w:r w:rsidR="00110D67" w:rsidRPr="00A740DC">
        <w:tab/>
      </w:r>
      <w:r w:rsidR="000B1302" w:rsidRPr="00A740DC">
        <w:t>Explanatory Memorandum, MVIS Bill (n 2) 15, [1.59].</w:t>
      </w:r>
    </w:p>
  </w:footnote>
  <w:footnote w:id="36">
    <w:p w14:paraId="4D87DADA" w14:textId="7E4A843A" w:rsidR="000B1302" w:rsidRPr="00A740DC" w:rsidRDefault="001D4F55" w:rsidP="000B1302">
      <w:pPr>
        <w:pStyle w:val="FootnoteText"/>
      </w:pPr>
      <w:r w:rsidRPr="00A740DC">
        <w:rPr>
          <w:rStyle w:val="FootnoteReference"/>
          <w:szCs w:val="20"/>
          <w:vertAlign w:val="baseline"/>
        </w:rPr>
        <w:footnoteRef/>
      </w:r>
      <w:r w:rsidR="000B1302" w:rsidRPr="00A740DC">
        <w:t xml:space="preserve"> </w:t>
      </w:r>
      <w:r w:rsidR="00110D67" w:rsidRPr="00A740DC">
        <w:tab/>
      </w:r>
      <w:r w:rsidR="000B1302" w:rsidRPr="00A740DC">
        <w:t>CCA (n 1) s 57CA.</w:t>
      </w:r>
    </w:p>
  </w:footnote>
  <w:footnote w:id="37">
    <w:p w14:paraId="6FE3AAF8" w14:textId="1FB0DAAC" w:rsidR="000B1302" w:rsidRPr="001D03F0" w:rsidRDefault="001D4F55" w:rsidP="000B1302">
      <w:pPr>
        <w:pStyle w:val="FootnoteText"/>
      </w:pPr>
      <w:r w:rsidRPr="00A740DC">
        <w:rPr>
          <w:rStyle w:val="FootnoteReference"/>
          <w:szCs w:val="20"/>
          <w:vertAlign w:val="baseline"/>
        </w:rPr>
        <w:footnoteRef/>
      </w:r>
      <w:r w:rsidR="000B1302" w:rsidRPr="00A740DC">
        <w:t xml:space="preserve"> </w:t>
      </w:r>
      <w:r w:rsidR="00AA27CF" w:rsidRPr="00A740DC">
        <w:tab/>
      </w:r>
      <w:r w:rsidR="000B1302" w:rsidRPr="00A740DC">
        <w:t>Explanatory Memorandum, MVIS Bill (n 2) 15, [1.62].</w:t>
      </w:r>
    </w:p>
  </w:footnote>
  <w:footnote w:id="38">
    <w:p w14:paraId="0C22DAC4" w14:textId="5FBE993A" w:rsidR="000B1302" w:rsidRPr="00A740DC" w:rsidRDefault="001D4F55" w:rsidP="000B1302">
      <w:pPr>
        <w:pStyle w:val="FootnoteText"/>
      </w:pPr>
      <w:r w:rsidRPr="00A740DC">
        <w:rPr>
          <w:rStyle w:val="FootnoteReference"/>
          <w:szCs w:val="20"/>
          <w:vertAlign w:val="baseline"/>
        </w:rPr>
        <w:footnoteRef/>
      </w:r>
      <w:r w:rsidR="000B1302" w:rsidRPr="00A740DC">
        <w:t xml:space="preserve"> </w:t>
      </w:r>
      <w:r w:rsidR="00AA27CF" w:rsidRPr="00A740DC">
        <w:tab/>
      </w:r>
      <w:r w:rsidR="000B1302" w:rsidRPr="00A740DC">
        <w:t>CCA (n 1) s 57CC(2)(a).</w:t>
      </w:r>
    </w:p>
  </w:footnote>
  <w:footnote w:id="39">
    <w:p w14:paraId="302F4F9F" w14:textId="46913AF3" w:rsidR="000B1302" w:rsidRPr="00A740DC" w:rsidRDefault="001D4F55" w:rsidP="000B1302">
      <w:pPr>
        <w:pStyle w:val="FootnoteText"/>
      </w:pPr>
      <w:r w:rsidRPr="00A740DC">
        <w:rPr>
          <w:rStyle w:val="FootnoteReference"/>
          <w:szCs w:val="20"/>
          <w:vertAlign w:val="baseline"/>
        </w:rPr>
        <w:footnoteRef/>
      </w:r>
      <w:r w:rsidR="000B1302" w:rsidRPr="00A740DC">
        <w:t xml:space="preserve"> </w:t>
      </w:r>
      <w:r w:rsidR="00AA27CF" w:rsidRPr="00A740DC">
        <w:tab/>
      </w:r>
      <w:r w:rsidR="000B1302" w:rsidRPr="00A740DC">
        <w:t xml:space="preserve">ACCC, </w:t>
      </w:r>
      <w:r w:rsidR="00BF0433">
        <w:t>‘</w:t>
      </w:r>
      <w:hyperlink r:id="rId10" w:history="1">
        <w:r w:rsidR="000B1302" w:rsidRPr="00A740DC">
          <w:rPr>
            <w:rStyle w:val="Hyperlink"/>
          </w:rPr>
          <w:t>Motor Vehicle Service and Repair Information Sharing Scheme – Guidance for data providers</w:t>
        </w:r>
      </w:hyperlink>
      <w:r w:rsidR="00BF0433">
        <w:t>‘</w:t>
      </w:r>
      <w:r w:rsidR="000B1302" w:rsidRPr="00A740DC">
        <w:t>, ACCC, 2025, 12 (</w:t>
      </w:r>
      <w:r w:rsidR="00BF0433">
        <w:t>‘</w:t>
      </w:r>
      <w:r w:rsidR="000B1302" w:rsidRPr="00A740DC">
        <w:t>ACCC Guidance</w:t>
      </w:r>
      <w:r w:rsidR="00BF0433">
        <w:t>’</w:t>
      </w:r>
      <w:r w:rsidR="000B1302" w:rsidRPr="00A740DC">
        <w:t>).</w:t>
      </w:r>
    </w:p>
  </w:footnote>
  <w:footnote w:id="40">
    <w:p w14:paraId="18A05388" w14:textId="529EFBF6" w:rsidR="000B1302" w:rsidRPr="00BD46FA" w:rsidRDefault="001D4F55" w:rsidP="000B1302">
      <w:pPr>
        <w:pStyle w:val="FootnoteText"/>
      </w:pPr>
      <w:r w:rsidRPr="00A740DC">
        <w:rPr>
          <w:rStyle w:val="FootnoteReference"/>
          <w:szCs w:val="20"/>
          <w:vertAlign w:val="baseline"/>
        </w:rPr>
        <w:footnoteRef/>
      </w:r>
      <w:r w:rsidR="000B1302" w:rsidRPr="00A740DC">
        <w:t xml:space="preserve"> </w:t>
      </w:r>
      <w:r w:rsidR="00AA27CF" w:rsidRPr="00A740DC">
        <w:tab/>
      </w:r>
      <w:r w:rsidR="000B1302" w:rsidRPr="00A740DC">
        <w:t xml:space="preserve">United Nations Economic Commission for Europe, </w:t>
      </w:r>
      <w:hyperlink r:id="rId11" w:history="1">
        <w:r w:rsidR="000B1302" w:rsidRPr="00A740DC">
          <w:rPr>
            <w:rStyle w:val="Hyperlink"/>
          </w:rPr>
          <w:t>UN Regulation No 155 – Cyber Security and Cyber Security Management System</w:t>
        </w:r>
      </w:hyperlink>
      <w:r w:rsidR="000B1302" w:rsidRPr="00A740DC">
        <w:t>, 22 January 2021.</w:t>
      </w:r>
    </w:p>
  </w:footnote>
  <w:footnote w:id="41">
    <w:p w14:paraId="59B1409A" w14:textId="64B147FB" w:rsidR="000B1302" w:rsidRPr="00A740DC" w:rsidRDefault="001D4F55" w:rsidP="000B1302">
      <w:pPr>
        <w:pStyle w:val="FootnoteText"/>
      </w:pPr>
      <w:r w:rsidRPr="00A740DC">
        <w:rPr>
          <w:rStyle w:val="FootnoteReference"/>
          <w:szCs w:val="20"/>
          <w:vertAlign w:val="baseline"/>
        </w:rPr>
        <w:footnoteRef/>
      </w:r>
      <w:r w:rsidR="000B1302" w:rsidRPr="00A740DC">
        <w:t xml:space="preserve"> </w:t>
      </w:r>
      <w:r w:rsidR="00110D67" w:rsidRPr="00A740DC">
        <w:tab/>
      </w:r>
      <w:r w:rsidR="000B1302" w:rsidRPr="00A740DC">
        <w:t xml:space="preserve">Explanatory Memorandum, MVIS Bill (n 2) 15, [1.60]. </w:t>
      </w:r>
    </w:p>
  </w:footnote>
  <w:footnote w:id="42">
    <w:p w14:paraId="6CD48CC0" w14:textId="4A53F5DF" w:rsidR="000B1302" w:rsidRPr="00A740DC" w:rsidRDefault="001D4F55" w:rsidP="000B1302">
      <w:pPr>
        <w:pStyle w:val="FootnoteText"/>
      </w:pPr>
      <w:r w:rsidRPr="00A740DC">
        <w:rPr>
          <w:rStyle w:val="FootnoteReference"/>
          <w:szCs w:val="20"/>
          <w:vertAlign w:val="baseline"/>
        </w:rPr>
        <w:footnoteRef/>
      </w:r>
      <w:r w:rsidR="000B1302" w:rsidRPr="00A740DC">
        <w:t xml:space="preserve"> </w:t>
      </w:r>
      <w:r w:rsidR="00AA27CF" w:rsidRPr="00A740DC">
        <w:tab/>
      </w:r>
      <w:r w:rsidR="000B1302" w:rsidRPr="00A740DC">
        <w:t xml:space="preserve">SAE International, </w:t>
      </w:r>
      <w:hyperlink r:id="rId12" w:history="1">
        <w:r w:rsidR="000B1302" w:rsidRPr="00A740DC">
          <w:rPr>
            <w:rStyle w:val="Hyperlink"/>
          </w:rPr>
          <w:t>Recommended Practice for Pass</w:t>
        </w:r>
        <w:r w:rsidR="007B3C6A">
          <w:rPr>
            <w:rStyle w:val="Hyperlink"/>
          </w:rPr>
          <w:noBreakHyphen/>
        </w:r>
        <w:r w:rsidR="000B1302" w:rsidRPr="00A740DC">
          <w:rPr>
            <w:rStyle w:val="Hyperlink"/>
          </w:rPr>
          <w:t>Thru Vehicle Programming J2534</w:t>
        </w:r>
        <w:r w:rsidR="007B3C6A">
          <w:rPr>
            <w:rStyle w:val="Hyperlink"/>
          </w:rPr>
          <w:noBreakHyphen/>
        </w:r>
        <w:r w:rsidR="000B1302" w:rsidRPr="00A740DC">
          <w:rPr>
            <w:rStyle w:val="Hyperlink"/>
          </w:rPr>
          <w:t>1_5_00</w:t>
        </w:r>
      </w:hyperlink>
      <w:r w:rsidR="000B1302" w:rsidRPr="00A740DC">
        <w:t>, On</w:t>
      </w:r>
      <w:r w:rsidR="007B3C6A">
        <w:noBreakHyphen/>
      </w:r>
      <w:r w:rsidR="000B1302" w:rsidRPr="00A740DC">
        <w:t>Board Diagnostics for Light and Medium Duty Vehicles Subscription, SAE website, 2022, accessed 8 October 2025.</w:t>
      </w:r>
    </w:p>
  </w:footnote>
  <w:footnote w:id="43">
    <w:p w14:paraId="76D68985" w14:textId="754E6170" w:rsidR="000B1302" w:rsidRPr="001D03F0" w:rsidRDefault="001D4F55" w:rsidP="000B1302">
      <w:pPr>
        <w:pStyle w:val="FootnoteText"/>
      </w:pPr>
      <w:r w:rsidRPr="00A740DC">
        <w:rPr>
          <w:rStyle w:val="FootnoteReference"/>
          <w:szCs w:val="20"/>
          <w:vertAlign w:val="baseline"/>
        </w:rPr>
        <w:footnoteRef/>
      </w:r>
      <w:r w:rsidR="000B1302" w:rsidRPr="00A740DC">
        <w:t xml:space="preserve"> </w:t>
      </w:r>
      <w:r w:rsidR="00AA27CF">
        <w:tab/>
      </w:r>
      <w:r w:rsidR="000B1302" w:rsidRPr="009875BF">
        <w:t>Explanatory Memorandum, MVIS Bill (n 2) 15, [1.62].</w:t>
      </w:r>
    </w:p>
  </w:footnote>
  <w:footnote w:id="44">
    <w:p w14:paraId="19603585" w14:textId="3A247326" w:rsidR="000B1302" w:rsidRPr="001D03F0" w:rsidRDefault="001D4F55" w:rsidP="000B1302">
      <w:pPr>
        <w:pStyle w:val="FootnoteText"/>
      </w:pPr>
      <w:r w:rsidRPr="00A740DC">
        <w:footnoteRef/>
      </w:r>
      <w:r w:rsidR="000B1302" w:rsidRPr="00A740DC">
        <w:t xml:space="preserve"> </w:t>
      </w:r>
      <w:r w:rsidR="00A740DC">
        <w:tab/>
      </w:r>
      <w:r w:rsidR="000B1302" w:rsidRPr="009B30D5">
        <w:t>Regulation (EU) 2018/858 of the European Parliament and of the Council of 30 May 2018 on the approval and market surveillance of motor vehicles and their trailers, and of systems, components and separate technical units intended for such vehicles, [2018] OJ L151/1, art 6(4).</w:t>
      </w:r>
    </w:p>
  </w:footnote>
  <w:footnote w:id="45">
    <w:p w14:paraId="137AC8B2" w14:textId="510F1390" w:rsidR="000B1302" w:rsidRPr="00A740DC" w:rsidRDefault="001D4F55" w:rsidP="00A740DC">
      <w:pPr>
        <w:pStyle w:val="FootnoteText"/>
      </w:pPr>
      <w:r w:rsidRPr="00A740DC">
        <w:rPr>
          <w:rStyle w:val="FootnoteReference"/>
          <w:szCs w:val="20"/>
          <w:vertAlign w:val="baseline"/>
        </w:rPr>
        <w:footnoteRef/>
      </w:r>
      <w:r w:rsidR="000B1302" w:rsidRPr="00A740DC">
        <w:t xml:space="preserve"> </w:t>
      </w:r>
      <w:r w:rsidR="00AA27CF" w:rsidRPr="00A740DC">
        <w:tab/>
      </w:r>
      <w:r w:rsidR="000B1302" w:rsidRPr="00A740DC">
        <w:t>CCA (n 1) s 57CA(3).</w:t>
      </w:r>
    </w:p>
  </w:footnote>
  <w:footnote w:id="46">
    <w:p w14:paraId="3371E3C8" w14:textId="4E87AA52" w:rsidR="000B1302" w:rsidRPr="00A740DC" w:rsidRDefault="001D4F55" w:rsidP="000B1302">
      <w:pPr>
        <w:pStyle w:val="FootnoteText"/>
      </w:pPr>
      <w:r w:rsidRPr="00A740DC">
        <w:rPr>
          <w:rStyle w:val="FootnoteReference"/>
          <w:szCs w:val="20"/>
          <w:vertAlign w:val="baseline"/>
        </w:rPr>
        <w:footnoteRef/>
      </w:r>
      <w:r w:rsidR="000B1302" w:rsidRPr="00A740DC">
        <w:t xml:space="preserve"> </w:t>
      </w:r>
      <w:r w:rsidR="00AA27CF" w:rsidRPr="00A740DC">
        <w:tab/>
      </w:r>
      <w:r w:rsidR="000B1302" w:rsidRPr="00A740DC">
        <w:t>ACCC (n 38) 18.</w:t>
      </w:r>
    </w:p>
  </w:footnote>
  <w:footnote w:id="47">
    <w:p w14:paraId="6D8D5639" w14:textId="7C59486F" w:rsidR="000B1302" w:rsidRPr="00A740DC" w:rsidRDefault="001D4F55" w:rsidP="000B1302">
      <w:pPr>
        <w:pStyle w:val="FootnoteText"/>
      </w:pPr>
      <w:r w:rsidRPr="00A740DC">
        <w:rPr>
          <w:rStyle w:val="FootnoteReference"/>
          <w:szCs w:val="20"/>
          <w:vertAlign w:val="baseline"/>
        </w:rPr>
        <w:footnoteRef/>
      </w:r>
      <w:r w:rsidR="000B1302" w:rsidRPr="00A740DC">
        <w:t xml:space="preserve"> </w:t>
      </w:r>
      <w:r w:rsidR="00A740DC" w:rsidRPr="00A740DC">
        <w:tab/>
      </w:r>
      <w:r w:rsidR="000B1302" w:rsidRPr="00A740DC">
        <w:t xml:space="preserve">G Gibson et al, </w:t>
      </w:r>
      <w:r w:rsidR="00BF0433">
        <w:t>‘</w:t>
      </w:r>
      <w:r w:rsidR="000B1302" w:rsidRPr="00A740DC">
        <w:t>Study on the Operation of the System of Access to Vehicle Repair and Maintenance Information: Final Report</w:t>
      </w:r>
      <w:r w:rsidR="00BF0433">
        <w:t>’</w:t>
      </w:r>
      <w:r w:rsidR="000B1302" w:rsidRPr="00A740DC">
        <w:t>, European Union, October 2014, 42</w:t>
      </w:r>
      <w:r w:rsidR="007B3C6A">
        <w:noBreakHyphen/>
      </w:r>
      <w:r w:rsidR="000B1302" w:rsidRPr="00A740DC">
        <w:t xml:space="preserve">49. </w:t>
      </w:r>
    </w:p>
  </w:footnote>
  <w:footnote w:id="48">
    <w:p w14:paraId="15DCC5D2" w14:textId="1C301174" w:rsidR="000B1302" w:rsidRPr="001D03F0" w:rsidRDefault="001D4F55" w:rsidP="000B1302">
      <w:pPr>
        <w:pStyle w:val="FootnoteText"/>
      </w:pPr>
      <w:r w:rsidRPr="00A740DC">
        <w:rPr>
          <w:rStyle w:val="FootnoteReference"/>
          <w:szCs w:val="20"/>
          <w:vertAlign w:val="baseline"/>
        </w:rPr>
        <w:footnoteRef/>
      </w:r>
      <w:r w:rsidR="000B1302" w:rsidRPr="00A740DC">
        <w:t xml:space="preserve"> </w:t>
      </w:r>
      <w:r w:rsidR="00A740DC" w:rsidRPr="00A740DC">
        <w:tab/>
      </w:r>
      <w:r w:rsidR="000B1302" w:rsidRPr="00A740DC">
        <w:t xml:space="preserve">International Standardisation Organization (ISO), </w:t>
      </w:r>
      <w:r w:rsidR="00BF0433">
        <w:t>‘</w:t>
      </w:r>
      <w:hyperlink r:id="rId13" w:history="1">
        <w:r w:rsidR="000B1302" w:rsidRPr="00A740DC">
          <w:rPr>
            <w:rStyle w:val="Hyperlink"/>
          </w:rPr>
          <w:t>ISO 18541</w:t>
        </w:r>
        <w:r w:rsidR="007B3C6A">
          <w:rPr>
            <w:rStyle w:val="Hyperlink"/>
          </w:rPr>
          <w:noBreakHyphen/>
        </w:r>
        <w:r w:rsidR="000B1302" w:rsidRPr="00A740DC">
          <w:rPr>
            <w:rStyle w:val="Hyperlink"/>
          </w:rPr>
          <w:t>1:2021</w:t>
        </w:r>
        <w:r w:rsidR="00BF0433">
          <w:rPr>
            <w:rStyle w:val="Hyperlink"/>
          </w:rPr>
          <w:t xml:space="preserve"> – </w:t>
        </w:r>
        <w:r w:rsidR="000B1302" w:rsidRPr="00A740DC">
          <w:rPr>
            <w:rStyle w:val="Hyperlink"/>
          </w:rPr>
          <w:t xml:space="preserve">Road vehicles </w:t>
        </w:r>
        <w:r w:rsidR="00D54261" w:rsidRPr="00A740DC">
          <w:rPr>
            <w:rStyle w:val="Hyperlink"/>
          </w:rPr>
          <w:t>–</w:t>
        </w:r>
        <w:r w:rsidR="000B1302" w:rsidRPr="00A740DC">
          <w:rPr>
            <w:rStyle w:val="Hyperlink"/>
          </w:rPr>
          <w:t xml:space="preserve"> Standardized access to automotive repair and maintenance information (RMI)</w:t>
        </w:r>
        <w:r w:rsidR="00BF0433">
          <w:rPr>
            <w:rStyle w:val="Hyperlink"/>
          </w:rPr>
          <w:t>’</w:t>
        </w:r>
        <w:r w:rsidR="000B1302" w:rsidRPr="00A740DC">
          <w:rPr>
            <w:rStyle w:val="Hyperlink"/>
          </w:rPr>
          <w:t xml:space="preserve">, </w:t>
        </w:r>
      </w:hyperlink>
      <w:r w:rsidR="000B1302" w:rsidRPr="00A740DC">
        <w:t>June 2021.</w:t>
      </w:r>
    </w:p>
  </w:footnote>
  <w:footnote w:id="49">
    <w:p w14:paraId="18444BF6" w14:textId="0943BD36" w:rsidR="000B1302" w:rsidRPr="007B01F2" w:rsidRDefault="001D4F55" w:rsidP="000B1302">
      <w:pPr>
        <w:pStyle w:val="FootnoteText"/>
      </w:pPr>
      <w:r w:rsidRPr="001D4F55">
        <w:rPr>
          <w:rStyle w:val="FootnoteReference"/>
          <w:vertAlign w:val="baseline"/>
        </w:rPr>
        <w:footnoteRef/>
      </w:r>
      <w:r w:rsidR="000B1302">
        <w:t xml:space="preserve"> </w:t>
      </w:r>
      <w:r w:rsidR="00110D67">
        <w:tab/>
      </w:r>
      <w:r w:rsidR="000B1302" w:rsidRPr="007B01F2">
        <w:t>CCA (n 1) s 57DA.</w:t>
      </w:r>
    </w:p>
  </w:footnote>
  <w:footnote w:id="50">
    <w:p w14:paraId="47B3AD8C" w14:textId="45E4D37F" w:rsidR="000B1302" w:rsidRPr="00A740DC" w:rsidRDefault="001D4F55" w:rsidP="000B1302">
      <w:pPr>
        <w:pStyle w:val="FootnoteText"/>
      </w:pPr>
      <w:r w:rsidRPr="00A740DC">
        <w:footnoteRef/>
      </w:r>
      <w:r w:rsidR="000B1302" w:rsidRPr="00A740DC">
        <w:t xml:space="preserve"> </w:t>
      </w:r>
      <w:r w:rsidR="00110D67" w:rsidRPr="00A740DC">
        <w:tab/>
      </w:r>
      <w:r w:rsidR="000B1302" w:rsidRPr="00A740DC">
        <w:t>Competition and Consumer (Motor Vehicle Service and Repair Information Sharing Scheme) Rules 2021 Explanatory statement, 7.</w:t>
      </w:r>
    </w:p>
  </w:footnote>
  <w:footnote w:id="51">
    <w:p w14:paraId="5315A9CD" w14:textId="63973A37" w:rsidR="000B1302" w:rsidRPr="001D03F0" w:rsidRDefault="001D4F55" w:rsidP="000B1302">
      <w:pPr>
        <w:pStyle w:val="FootnoteText"/>
      </w:pPr>
      <w:r w:rsidRPr="00A740DC">
        <w:rPr>
          <w:rStyle w:val="FootnoteReference"/>
          <w:szCs w:val="20"/>
          <w:vertAlign w:val="baseline"/>
        </w:rPr>
        <w:footnoteRef/>
      </w:r>
      <w:r w:rsidR="000B1302" w:rsidRPr="00A740DC">
        <w:t xml:space="preserve"> </w:t>
      </w:r>
      <w:r w:rsidR="00110D67" w:rsidRPr="00A740DC">
        <w:tab/>
      </w:r>
      <w:r w:rsidR="000B1302" w:rsidRPr="00A740DC">
        <w:t>Ibid 7.</w:t>
      </w:r>
    </w:p>
  </w:footnote>
  <w:footnote w:id="52">
    <w:p w14:paraId="5AA761FF" w14:textId="06058886" w:rsidR="000B1302" w:rsidRPr="00A740DC" w:rsidRDefault="001D4F55" w:rsidP="000B1302">
      <w:pPr>
        <w:pStyle w:val="FootnoteText"/>
      </w:pPr>
      <w:r w:rsidRPr="00A740DC">
        <w:rPr>
          <w:rStyle w:val="FootnoteReference"/>
          <w:szCs w:val="20"/>
          <w:vertAlign w:val="baseline"/>
        </w:rPr>
        <w:footnoteRef/>
      </w:r>
      <w:r w:rsidR="000B1302" w:rsidRPr="00A740DC">
        <w:t xml:space="preserve"> </w:t>
      </w:r>
      <w:r w:rsidR="00110D67" w:rsidRPr="00A740DC">
        <w:tab/>
      </w:r>
      <w:r w:rsidR="000B1302" w:rsidRPr="00A740DC">
        <w:t>Competition and Consumer (Motor Vehicle Service and Repair Information Sharing Scheme) Rules 2021 s 7.</w:t>
      </w:r>
    </w:p>
  </w:footnote>
  <w:footnote w:id="53">
    <w:p w14:paraId="37BF25AA" w14:textId="0420ADF4" w:rsidR="000B1302" w:rsidRPr="00A740DC" w:rsidRDefault="001D4F55" w:rsidP="000B1302">
      <w:pPr>
        <w:pStyle w:val="FootnoteText"/>
      </w:pPr>
      <w:r w:rsidRPr="00A740DC">
        <w:rPr>
          <w:rStyle w:val="FootnoteReference"/>
          <w:szCs w:val="20"/>
          <w:vertAlign w:val="baseline"/>
        </w:rPr>
        <w:footnoteRef/>
      </w:r>
      <w:r w:rsidR="000B1302" w:rsidRPr="00A740DC">
        <w:t xml:space="preserve"> </w:t>
      </w:r>
      <w:r w:rsidR="00110D67" w:rsidRPr="00A740DC">
        <w:tab/>
      </w:r>
      <w:r w:rsidR="000B1302" w:rsidRPr="00A740DC">
        <w:t>Model Work Health and Safety Act s 19.</w:t>
      </w:r>
    </w:p>
  </w:footnote>
  <w:footnote w:id="54">
    <w:p w14:paraId="3EEEBF4F" w14:textId="449CA92B" w:rsidR="000B1302" w:rsidRDefault="001D4F55" w:rsidP="000B1302">
      <w:pPr>
        <w:pStyle w:val="FootnoteText"/>
      </w:pPr>
      <w:r w:rsidRPr="001D4F55">
        <w:rPr>
          <w:rStyle w:val="FootnoteReference"/>
          <w:vertAlign w:val="baseline"/>
        </w:rPr>
        <w:footnoteRef/>
      </w:r>
      <w:r w:rsidR="000B1302">
        <w:t xml:space="preserve"> </w:t>
      </w:r>
      <w:r w:rsidR="00110D67">
        <w:tab/>
      </w:r>
      <w:r w:rsidR="000B1302" w:rsidRPr="00FF7684">
        <w:t>AURETH101 superseded AURETH001 in 2020.</w:t>
      </w:r>
    </w:p>
  </w:footnote>
  <w:footnote w:id="55">
    <w:p w14:paraId="3C74D182" w14:textId="52511210" w:rsidR="000B1302" w:rsidRPr="0069652F" w:rsidRDefault="001D4F55" w:rsidP="000B1302">
      <w:pPr>
        <w:pStyle w:val="FootnoteText"/>
      </w:pPr>
      <w:r w:rsidRPr="0069652F">
        <w:rPr>
          <w:rStyle w:val="FootnoteReference"/>
          <w:szCs w:val="20"/>
          <w:vertAlign w:val="baseline"/>
        </w:rPr>
        <w:footnoteRef/>
      </w:r>
      <w:r w:rsidR="000B1302" w:rsidRPr="0069652F">
        <w:t xml:space="preserve"> </w:t>
      </w:r>
      <w:r w:rsidR="00110D67" w:rsidRPr="0069652F">
        <w:tab/>
      </w:r>
      <w:r w:rsidR="000B1302" w:rsidRPr="0069652F">
        <w:t xml:space="preserve">National Centre for Vocational Education Research, </w:t>
      </w:r>
      <w:r w:rsidR="00BF0433">
        <w:t>‘</w:t>
      </w:r>
      <w:hyperlink r:id="rId14" w:history="1">
        <w:r w:rsidR="000B1302" w:rsidRPr="0069652F">
          <w:rPr>
            <w:rStyle w:val="Hyperlink"/>
          </w:rPr>
          <w:t>DataBuilder 2025</w:t>
        </w:r>
      </w:hyperlink>
      <w:r w:rsidR="00BF0433">
        <w:t>‘</w:t>
      </w:r>
      <w:r w:rsidR="000B1302" w:rsidRPr="0069652F">
        <w:t>, website, accessed 7 October 2025.</w:t>
      </w:r>
    </w:p>
  </w:footnote>
  <w:footnote w:id="56">
    <w:p w14:paraId="68C08F2F" w14:textId="2AB40B9B" w:rsidR="000B1302" w:rsidRPr="0069652F" w:rsidRDefault="001D4F55" w:rsidP="000B1302">
      <w:pPr>
        <w:pStyle w:val="FootnoteText"/>
      </w:pPr>
      <w:r w:rsidRPr="0069652F">
        <w:rPr>
          <w:rStyle w:val="FootnoteReference"/>
          <w:szCs w:val="20"/>
          <w:vertAlign w:val="baseline"/>
        </w:rPr>
        <w:footnoteRef/>
      </w:r>
      <w:r w:rsidR="000B1302" w:rsidRPr="0069652F">
        <w:t xml:space="preserve"> </w:t>
      </w:r>
      <w:r w:rsidR="00110D67" w:rsidRPr="0069652F">
        <w:tab/>
      </w:r>
      <w:r w:rsidR="000B1302" w:rsidRPr="0069652F">
        <w:t xml:space="preserve">Australian Automotive Aftermarket Association, </w:t>
      </w:r>
      <w:r w:rsidR="00BF0433">
        <w:t>‘</w:t>
      </w:r>
      <w:hyperlink r:id="rId15" w:history="1">
        <w:r w:rsidR="000B1302" w:rsidRPr="0069652F">
          <w:rPr>
            <w:rStyle w:val="Hyperlink"/>
          </w:rPr>
          <w:t>AAAA State of the Industry 2024 Summary</w:t>
        </w:r>
      </w:hyperlink>
      <w:r w:rsidR="00BF0433">
        <w:t>‘</w:t>
      </w:r>
      <w:r w:rsidR="000B1302" w:rsidRPr="0069652F">
        <w:t xml:space="preserve">, webpage, 2024, accessed 7 October 2025. </w:t>
      </w:r>
    </w:p>
  </w:footnote>
  <w:footnote w:id="57">
    <w:p w14:paraId="31B6807F" w14:textId="3F81A61C" w:rsidR="000B1302" w:rsidRPr="001D03F0" w:rsidRDefault="001D4F55" w:rsidP="000B1302">
      <w:pPr>
        <w:pStyle w:val="FootnoteText"/>
      </w:pPr>
      <w:r w:rsidRPr="0069652F">
        <w:rPr>
          <w:rStyle w:val="FootnoteReference"/>
          <w:szCs w:val="20"/>
          <w:vertAlign w:val="baseline"/>
        </w:rPr>
        <w:footnoteRef/>
      </w:r>
      <w:r w:rsidR="000B1302" w:rsidRPr="0069652F">
        <w:t xml:space="preserve"> </w:t>
      </w:r>
      <w:r w:rsidR="00110D67" w:rsidRPr="0069652F">
        <w:tab/>
      </w:r>
      <w:r w:rsidR="000B1302" w:rsidRPr="0069652F">
        <w:t>Productivity</w:t>
      </w:r>
      <w:r w:rsidR="000B1302" w:rsidRPr="00EF7D35">
        <w:t xml:space="preserve"> Commission,</w:t>
      </w:r>
      <w:r w:rsidR="000B1302" w:rsidRPr="00916430">
        <w:t xml:space="preserve"> </w:t>
      </w:r>
      <w:r w:rsidR="00BF0433">
        <w:t>‘</w:t>
      </w:r>
      <w:hyperlink r:id="rId16" w:history="1">
        <w:r w:rsidR="000B1302" w:rsidRPr="00916430">
          <w:rPr>
            <w:rStyle w:val="Hyperlink"/>
          </w:rPr>
          <w:t>Building a skilled and adaptable workforce Interim Report</w:t>
        </w:r>
      </w:hyperlink>
      <w:r w:rsidR="00BF0433">
        <w:t>‘</w:t>
      </w:r>
      <w:r w:rsidR="000B1302" w:rsidRPr="00916430">
        <w:t>,</w:t>
      </w:r>
      <w:r w:rsidR="000B1302">
        <w:t xml:space="preserve"> Publication, 2025, </w:t>
      </w:r>
      <w:r w:rsidR="000B1302" w:rsidRPr="001D03F0">
        <w:t>61</w:t>
      </w:r>
      <w:r w:rsidR="000B1302">
        <w:t>.</w:t>
      </w:r>
    </w:p>
  </w:footnote>
  <w:footnote w:id="58">
    <w:p w14:paraId="224B849D" w14:textId="370E5195" w:rsidR="000B1302" w:rsidRPr="001D03F0" w:rsidRDefault="001D4F55" w:rsidP="000B1302">
      <w:pPr>
        <w:pStyle w:val="FootnoteText"/>
      </w:pPr>
      <w:r w:rsidRPr="0069652F">
        <w:rPr>
          <w:rStyle w:val="FootnoteReference"/>
          <w:szCs w:val="20"/>
          <w:vertAlign w:val="baseline"/>
        </w:rPr>
        <w:footnoteRef/>
      </w:r>
      <w:r w:rsidR="000B1302" w:rsidRPr="0069652F">
        <w:t xml:space="preserve"> </w:t>
      </w:r>
      <w:r w:rsidR="00110D67" w:rsidRPr="0069652F">
        <w:tab/>
      </w:r>
      <w:r w:rsidR="000B1302" w:rsidRPr="002E7106">
        <w:t>Competition and Consumer (Motor Vehicle Service and Repair Information Sharing Scheme) Rules 2021</w:t>
      </w:r>
      <w:r w:rsidR="000B1302">
        <w:t>,</w:t>
      </w:r>
      <w:r w:rsidR="000B1302" w:rsidRPr="00643DA3">
        <w:t xml:space="preserve"> </w:t>
      </w:r>
      <w:r w:rsidR="000B1302">
        <w:t xml:space="preserve">Explanatory statement, </w:t>
      </w:r>
      <w:r w:rsidR="000B1302" w:rsidRPr="00643DA3">
        <w:t>8</w:t>
      </w:r>
      <w:r w:rsidR="000B1302">
        <w:t>.</w:t>
      </w:r>
    </w:p>
  </w:footnote>
  <w:footnote w:id="59">
    <w:p w14:paraId="090BD310" w14:textId="09FFE6EA" w:rsidR="000B1302" w:rsidRPr="0069652F" w:rsidRDefault="001D4F55" w:rsidP="000B1302">
      <w:pPr>
        <w:pStyle w:val="FootnoteText"/>
      </w:pPr>
      <w:r w:rsidRPr="0069652F">
        <w:rPr>
          <w:rStyle w:val="FootnoteReference"/>
          <w:szCs w:val="20"/>
          <w:vertAlign w:val="baseline"/>
        </w:rPr>
        <w:footnoteRef/>
      </w:r>
      <w:r w:rsidR="000B1302" w:rsidRPr="0069652F">
        <w:t xml:space="preserve"> </w:t>
      </w:r>
      <w:r w:rsidR="0069652F">
        <w:tab/>
      </w:r>
      <w:r w:rsidR="000B1302" w:rsidRPr="0069652F">
        <w:t xml:space="preserve">Federal Chamber of Automotive Industries (FCAI), </w:t>
      </w:r>
      <w:r w:rsidR="00BF0433">
        <w:t>‘</w:t>
      </w:r>
      <w:hyperlink r:id="rId17" w:history="1">
        <w:r w:rsidR="000B1302" w:rsidRPr="0069652F">
          <w:rPr>
            <w:rStyle w:val="Hyperlink"/>
          </w:rPr>
          <w:t>About FCAI</w:t>
        </w:r>
      </w:hyperlink>
      <w:r w:rsidR="00BF0433">
        <w:t>‘</w:t>
      </w:r>
      <w:r w:rsidR="000B1302" w:rsidRPr="0069652F">
        <w:t xml:space="preserve">, webpage, accessed 8 October 2025. </w:t>
      </w:r>
    </w:p>
  </w:footnote>
  <w:footnote w:id="60">
    <w:p w14:paraId="392796E0" w14:textId="2BF1AEFF" w:rsidR="000B1302" w:rsidRPr="0069652F" w:rsidRDefault="001D4F55" w:rsidP="000B1302">
      <w:pPr>
        <w:pStyle w:val="FootnoteText"/>
      </w:pPr>
      <w:r w:rsidRPr="0069652F">
        <w:rPr>
          <w:rStyle w:val="FootnoteReference"/>
          <w:szCs w:val="20"/>
          <w:vertAlign w:val="baseline"/>
        </w:rPr>
        <w:footnoteRef/>
      </w:r>
      <w:r w:rsidR="000B1302" w:rsidRPr="0069652F">
        <w:t xml:space="preserve"> </w:t>
      </w:r>
      <w:r w:rsidR="0069652F">
        <w:tab/>
      </w:r>
      <w:r w:rsidR="000B1302" w:rsidRPr="0069652F">
        <w:t>See appendix A: Survey Results.</w:t>
      </w:r>
    </w:p>
  </w:footnote>
  <w:footnote w:id="61">
    <w:p w14:paraId="58DEAD7A" w14:textId="655F06AE" w:rsidR="000B1302" w:rsidRPr="0069652F" w:rsidRDefault="001D4F55" w:rsidP="000B1302">
      <w:pPr>
        <w:pStyle w:val="FootnoteText"/>
      </w:pPr>
      <w:r w:rsidRPr="0069652F">
        <w:rPr>
          <w:rStyle w:val="FootnoteReference"/>
          <w:szCs w:val="20"/>
          <w:vertAlign w:val="baseline"/>
        </w:rPr>
        <w:footnoteRef/>
      </w:r>
      <w:r w:rsidR="000B1302" w:rsidRPr="0069652F">
        <w:t xml:space="preserve"> </w:t>
      </w:r>
      <w:r w:rsidR="0069652F">
        <w:tab/>
      </w:r>
      <w:r w:rsidR="000B1302" w:rsidRPr="0069652F">
        <w:t>CCA (n 1) s 57BE.</w:t>
      </w:r>
    </w:p>
  </w:footnote>
  <w:footnote w:id="62">
    <w:p w14:paraId="1FB9E280" w14:textId="58C57473" w:rsidR="000B1302" w:rsidRPr="001D03F0" w:rsidRDefault="001D4F55" w:rsidP="000B1302">
      <w:pPr>
        <w:pStyle w:val="FootnoteText"/>
      </w:pPr>
      <w:r w:rsidRPr="0069652F">
        <w:rPr>
          <w:rStyle w:val="FootnoteReference"/>
          <w:szCs w:val="20"/>
          <w:vertAlign w:val="baseline"/>
        </w:rPr>
        <w:footnoteRef/>
      </w:r>
      <w:r w:rsidR="000B1302" w:rsidRPr="0069652F">
        <w:t xml:space="preserve"> </w:t>
      </w:r>
      <w:r w:rsidR="0069652F">
        <w:tab/>
      </w:r>
      <w:r w:rsidR="000B1302" w:rsidRPr="0069652F">
        <w:t>Explanatory Memorandum, MVIS Bill (n 2) 15, [1.54].</w:t>
      </w:r>
    </w:p>
  </w:footnote>
  <w:footnote w:id="63">
    <w:p w14:paraId="0C6941C2" w14:textId="0547603E" w:rsidR="000B1302" w:rsidRPr="0069652F" w:rsidRDefault="001D4F55" w:rsidP="000B1302">
      <w:pPr>
        <w:pStyle w:val="FootnoteText"/>
      </w:pPr>
      <w:r w:rsidRPr="0069652F">
        <w:rPr>
          <w:rStyle w:val="FootnoteReference"/>
          <w:szCs w:val="20"/>
          <w:vertAlign w:val="baseline"/>
        </w:rPr>
        <w:footnoteRef/>
      </w:r>
      <w:r w:rsidR="000B1302" w:rsidRPr="0069652F">
        <w:t xml:space="preserve"> </w:t>
      </w:r>
      <w:r w:rsidR="00147B3A" w:rsidRPr="0069652F">
        <w:tab/>
      </w:r>
      <w:r w:rsidR="000B1302" w:rsidRPr="0069652F">
        <w:t>CCA (n 1) s 57BD(2)(d).</w:t>
      </w:r>
    </w:p>
  </w:footnote>
  <w:footnote w:id="64">
    <w:p w14:paraId="7FBAEDB4" w14:textId="393E1BC9" w:rsidR="000B1302" w:rsidRPr="0069652F" w:rsidRDefault="001D4F55" w:rsidP="000B1302">
      <w:pPr>
        <w:pStyle w:val="FootnoteText"/>
      </w:pPr>
      <w:r w:rsidRPr="0069652F">
        <w:rPr>
          <w:rStyle w:val="FootnoteReference"/>
          <w:szCs w:val="20"/>
          <w:vertAlign w:val="baseline"/>
        </w:rPr>
        <w:footnoteRef/>
      </w:r>
      <w:r w:rsidR="000B1302" w:rsidRPr="0069652F">
        <w:t xml:space="preserve"> </w:t>
      </w:r>
      <w:r w:rsidR="00147B3A" w:rsidRPr="0069652F">
        <w:tab/>
      </w:r>
      <w:r w:rsidR="000B1302" w:rsidRPr="0069652F">
        <w:t>Explanatory Memorandum, MVIS Bill (n 2) 15, [1.28</w:t>
      </w:r>
      <w:r w:rsidR="007B3C6A">
        <w:noBreakHyphen/>
      </w:r>
      <w:r w:rsidR="000B1302" w:rsidRPr="0069652F">
        <w:t>9].</w:t>
      </w:r>
    </w:p>
  </w:footnote>
  <w:footnote w:id="65">
    <w:p w14:paraId="508A4F85" w14:textId="189CFA0D" w:rsidR="000B1302" w:rsidRDefault="001D4F55" w:rsidP="000B1302">
      <w:pPr>
        <w:pStyle w:val="FootnoteText"/>
      </w:pPr>
      <w:r w:rsidRPr="0069652F">
        <w:rPr>
          <w:rStyle w:val="FootnoteReference"/>
          <w:szCs w:val="20"/>
          <w:vertAlign w:val="baseline"/>
        </w:rPr>
        <w:footnoteRef/>
      </w:r>
      <w:r w:rsidR="000B1302" w:rsidRPr="0069652F">
        <w:t xml:space="preserve"> </w:t>
      </w:r>
      <w:r w:rsidR="00147B3A" w:rsidRPr="0069652F">
        <w:tab/>
      </w:r>
      <w:r w:rsidR="000B1302" w:rsidRPr="0069652F">
        <w:t>Explanatory Memorandum, MVIS Bill (n 2) 15, [1.29].</w:t>
      </w:r>
    </w:p>
  </w:footnote>
  <w:footnote w:id="66">
    <w:p w14:paraId="65199142" w14:textId="64E460A6" w:rsidR="000B1302" w:rsidRDefault="001D4F55" w:rsidP="000B1302">
      <w:pPr>
        <w:pStyle w:val="FootnoteText"/>
      </w:pPr>
      <w:r w:rsidRPr="001D4F55">
        <w:rPr>
          <w:rStyle w:val="FootnoteReference"/>
          <w:vertAlign w:val="baseline"/>
        </w:rPr>
        <w:footnoteRef/>
      </w:r>
      <w:r w:rsidR="000B1302">
        <w:t xml:space="preserve"> </w:t>
      </w:r>
      <w:r w:rsidR="00FF4986">
        <w:tab/>
      </w:r>
      <w:r w:rsidR="000B1302" w:rsidRPr="00874A95">
        <w:t>J</w:t>
      </w:r>
      <w:r w:rsidR="000B1302" w:rsidRPr="00380FD3">
        <w:t xml:space="preserve"> Mulach</w:t>
      </w:r>
      <w:r w:rsidR="000B1302">
        <w:t xml:space="preserve"> </w:t>
      </w:r>
      <w:r w:rsidR="000B1302" w:rsidRPr="00874A95">
        <w:t xml:space="preserve">, </w:t>
      </w:r>
      <w:r w:rsidR="00BF0433">
        <w:t>‘</w:t>
      </w:r>
      <w:hyperlink r:id="rId18" w:history="1">
        <w:r w:rsidR="000B1302" w:rsidRPr="00F10B0B">
          <w:rPr>
            <w:rStyle w:val="Hyperlink"/>
          </w:rPr>
          <w:t>VFACTS 2024: New vehicle sales hit record high, but slump expected soon</w:t>
        </w:r>
      </w:hyperlink>
      <w:r w:rsidR="00BF0433">
        <w:t>‘</w:t>
      </w:r>
      <w:r w:rsidR="000B1302">
        <w:t xml:space="preserve"> [media release]</w:t>
      </w:r>
      <w:r w:rsidR="000B1302" w:rsidRPr="00380FD3">
        <w:t xml:space="preserve">, </w:t>
      </w:r>
      <w:r w:rsidR="000B1302" w:rsidRPr="00F824F1">
        <w:rPr>
          <w:i/>
        </w:rPr>
        <w:t>CarExpert</w:t>
      </w:r>
      <w:r w:rsidR="000B1302" w:rsidRPr="00380FD3">
        <w:t xml:space="preserve">, </w:t>
      </w:r>
      <w:r w:rsidR="000B1302" w:rsidRPr="00874A95">
        <w:t>6 January 2025</w:t>
      </w:r>
      <w:r w:rsidR="000B1302">
        <w:t xml:space="preserve">, </w:t>
      </w:r>
      <w:r w:rsidR="000B1302" w:rsidRPr="00380FD3">
        <w:t>accessed 21 October 2025.</w:t>
      </w:r>
    </w:p>
  </w:footnote>
  <w:footnote w:id="67">
    <w:p w14:paraId="20E6790E" w14:textId="5FAC555E" w:rsidR="000B1302" w:rsidRDefault="001D4F55" w:rsidP="000B1302">
      <w:pPr>
        <w:pStyle w:val="FootnoteText"/>
      </w:pPr>
      <w:r w:rsidRPr="001D4F55">
        <w:rPr>
          <w:rStyle w:val="FootnoteReference"/>
          <w:vertAlign w:val="baseline"/>
        </w:rPr>
        <w:footnoteRef/>
      </w:r>
      <w:r w:rsidR="000B1302" w:rsidRPr="00D02660">
        <w:t xml:space="preserve"> </w:t>
      </w:r>
      <w:r w:rsidR="00FF4986">
        <w:tab/>
      </w:r>
      <w:r w:rsidR="000B1302" w:rsidRPr="00470072">
        <w:t>Regulation (EU) 2018/858 of the European Parliament and of the Council of 30 May 2018 on the approval and market surveillance of motor vehicles and their trailers, and of systems, components and separate technical units intended for such vehicles, amending Regulations (EC) No 715/2007 and (EC) No 595/2009 and repealing Directive 2007/46/EC, [2018] OJ L 151/1, Annex X, cl 2.5.2.</w:t>
      </w:r>
    </w:p>
  </w:footnote>
  <w:footnote w:id="68">
    <w:p w14:paraId="7492261D" w14:textId="415D2591" w:rsidR="000B1302" w:rsidRPr="0069652F" w:rsidRDefault="001D4F55" w:rsidP="000B1302">
      <w:pPr>
        <w:pStyle w:val="FootnoteText"/>
      </w:pPr>
      <w:r w:rsidRPr="0069652F">
        <w:rPr>
          <w:rStyle w:val="FootnoteReference"/>
          <w:szCs w:val="20"/>
          <w:vertAlign w:val="baseline"/>
        </w:rPr>
        <w:footnoteRef/>
      </w:r>
      <w:r w:rsidR="000B1302" w:rsidRPr="0069652F">
        <w:t xml:space="preserve"> </w:t>
      </w:r>
      <w:r w:rsidR="00FF4986" w:rsidRPr="0069652F">
        <w:tab/>
      </w:r>
      <w:r w:rsidR="000B1302" w:rsidRPr="0069652F">
        <w:t xml:space="preserve">Transport Certification Australia (TCA), </w:t>
      </w:r>
      <w:r w:rsidR="00BF0433">
        <w:t>‘</w:t>
      </w:r>
      <w:hyperlink r:id="rId19" w:history="1">
        <w:r w:rsidR="000B1302" w:rsidRPr="0069652F">
          <w:rPr>
            <w:rStyle w:val="Hyperlink"/>
          </w:rPr>
          <w:t>National Telematics Framework</w:t>
        </w:r>
      </w:hyperlink>
      <w:r w:rsidR="00BF0433">
        <w:t>‘</w:t>
      </w:r>
      <w:r w:rsidR="000B1302" w:rsidRPr="0069652F">
        <w:t>, website, TCA, 18 September 2024, accessed 12 September 2025.</w:t>
      </w:r>
    </w:p>
  </w:footnote>
  <w:footnote w:id="69">
    <w:p w14:paraId="23F992CD" w14:textId="4F3419E3" w:rsidR="000B1302" w:rsidRPr="001D03F0" w:rsidRDefault="001D4F55" w:rsidP="000B1302">
      <w:pPr>
        <w:pStyle w:val="FootnoteText"/>
      </w:pPr>
      <w:r w:rsidRPr="0069652F">
        <w:rPr>
          <w:rStyle w:val="FootnoteReference"/>
          <w:szCs w:val="20"/>
          <w:vertAlign w:val="baseline"/>
        </w:rPr>
        <w:footnoteRef/>
      </w:r>
      <w:r w:rsidR="000B1302" w:rsidRPr="0069652F">
        <w:t xml:space="preserve"> </w:t>
      </w:r>
      <w:r w:rsidR="00FF4986" w:rsidRPr="0069652F">
        <w:tab/>
      </w:r>
      <w:r w:rsidR="000B1302" w:rsidRPr="0069652F">
        <w:t>CCA (n 1) s 57BD(2)(d).</w:t>
      </w:r>
      <w:r w:rsidR="000B1302" w:rsidRPr="001D03F0">
        <w:t xml:space="preserve"> </w:t>
      </w:r>
    </w:p>
  </w:footnote>
  <w:footnote w:id="70">
    <w:p w14:paraId="6DCFBB49" w14:textId="4CB6444C" w:rsidR="000B1302" w:rsidRPr="00637889" w:rsidRDefault="001D4F55" w:rsidP="000B1302">
      <w:pPr>
        <w:pStyle w:val="FootnoteText"/>
      </w:pPr>
      <w:r w:rsidRPr="00637889">
        <w:rPr>
          <w:rStyle w:val="FootnoteReference"/>
          <w:szCs w:val="20"/>
          <w:vertAlign w:val="baseline"/>
        </w:rPr>
        <w:footnoteRef/>
      </w:r>
      <w:r w:rsidR="000B1302" w:rsidRPr="00637889">
        <w:t xml:space="preserve"> </w:t>
      </w:r>
      <w:r w:rsidR="00FF4986" w:rsidRPr="00637889">
        <w:tab/>
      </w:r>
      <w:r w:rsidR="000B1302" w:rsidRPr="00637889">
        <w:t>This distinction has been considered in the United States as part of the Massachusetts Data Access Law. The</w:t>
      </w:r>
      <w:r w:rsidR="00637889" w:rsidRPr="00637889">
        <w:t> </w:t>
      </w:r>
      <w:r w:rsidR="000B1302" w:rsidRPr="00637889">
        <w:t>National Highway Traffic Safety Administration (NHTSA) has withdrawn earlier opposition to the law on the understanding that manufacturers are able to provide independent repair facilities with vehicle system access through short</w:t>
      </w:r>
      <w:r w:rsidR="007B3C6A">
        <w:noBreakHyphen/>
      </w:r>
      <w:r w:rsidR="000B1302" w:rsidRPr="00637889">
        <w:t>range wireless protocols, such as Bluetooth.</w:t>
      </w:r>
    </w:p>
  </w:footnote>
  <w:footnote w:id="71">
    <w:p w14:paraId="466E042A" w14:textId="112AF0BB" w:rsidR="000B1302" w:rsidRPr="00637889" w:rsidRDefault="001D4F55" w:rsidP="000B1302">
      <w:pPr>
        <w:pStyle w:val="FootnoteText"/>
      </w:pPr>
      <w:r w:rsidRPr="00637889">
        <w:rPr>
          <w:rStyle w:val="FootnoteReference"/>
          <w:szCs w:val="20"/>
          <w:vertAlign w:val="baseline"/>
        </w:rPr>
        <w:footnoteRef/>
      </w:r>
      <w:r w:rsidR="000B1302" w:rsidRPr="00637889" w:rsidDel="00A26D73">
        <w:t xml:space="preserve"> </w:t>
      </w:r>
      <w:r w:rsidR="00FF4986" w:rsidRPr="00637889">
        <w:tab/>
      </w:r>
      <w:r w:rsidR="000B1302" w:rsidRPr="00637889" w:rsidDel="00A26D73">
        <w:t xml:space="preserve">C Kind, </w:t>
      </w:r>
      <w:r w:rsidR="00BF0433">
        <w:t>‘</w:t>
      </w:r>
      <w:hyperlink r:id="rId20" w:history="1">
        <w:r w:rsidR="000B1302" w:rsidRPr="00637889">
          <w:rPr>
            <w:rStyle w:val="Hyperlink"/>
          </w:rPr>
          <w:t>UNSW Privacy &amp; Security Regulation for Connected Cars Workshop</w:t>
        </w:r>
      </w:hyperlink>
      <w:r w:rsidR="00BF0433">
        <w:t>‘</w:t>
      </w:r>
      <w:r w:rsidR="000B1302" w:rsidRPr="00637889">
        <w:rPr>
          <w:i/>
        </w:rPr>
        <w:t xml:space="preserve"> </w:t>
      </w:r>
      <w:r w:rsidR="000B1302" w:rsidRPr="00637889">
        <w:t>[speech], Office of the Australian Information Commissioner, 2 May 2025, accessed 12 September 2025.</w:t>
      </w:r>
    </w:p>
  </w:footnote>
  <w:footnote w:id="72">
    <w:p w14:paraId="13BA3E8D" w14:textId="202D51E3" w:rsidR="000B1302" w:rsidRPr="001D03F0" w:rsidRDefault="001D4F55" w:rsidP="000B1302">
      <w:pPr>
        <w:pStyle w:val="FootnoteText"/>
      </w:pPr>
      <w:r w:rsidRPr="00637889">
        <w:rPr>
          <w:rStyle w:val="FootnoteReference"/>
          <w:szCs w:val="20"/>
          <w:vertAlign w:val="baseline"/>
        </w:rPr>
        <w:footnoteRef/>
      </w:r>
      <w:r w:rsidR="000B1302" w:rsidRPr="00637889">
        <w:t xml:space="preserve"> </w:t>
      </w:r>
      <w:r w:rsidR="00FF4986" w:rsidRPr="00637889">
        <w:tab/>
      </w:r>
      <w:r w:rsidR="000B1302" w:rsidRPr="00637889">
        <w:t xml:space="preserve">AAAA, </w:t>
      </w:r>
      <w:r w:rsidR="00BF0433">
        <w:t>‘</w:t>
      </w:r>
      <w:hyperlink r:id="rId21" w:history="1">
        <w:r w:rsidR="000B1302" w:rsidRPr="00637889">
          <w:rPr>
            <w:rStyle w:val="Hyperlink"/>
          </w:rPr>
          <w:t xml:space="preserve">Government Should Act on </w:t>
        </w:r>
        <w:r w:rsidR="00BF0433">
          <w:rPr>
            <w:rStyle w:val="Hyperlink"/>
          </w:rPr>
          <w:t>‘</w:t>
        </w:r>
        <w:r w:rsidR="000B1302" w:rsidRPr="00637889">
          <w:rPr>
            <w:rStyle w:val="Hyperlink"/>
          </w:rPr>
          <w:t>Hidden</w:t>
        </w:r>
        <w:r w:rsidR="00BF0433">
          <w:rPr>
            <w:rStyle w:val="Hyperlink"/>
          </w:rPr>
          <w:t>’</w:t>
        </w:r>
        <w:r w:rsidR="000B1302" w:rsidRPr="00637889">
          <w:rPr>
            <w:rStyle w:val="Hyperlink"/>
          </w:rPr>
          <w:t xml:space="preserve"> Telematics – Consumers Agree</w:t>
        </w:r>
      </w:hyperlink>
      <w:r w:rsidR="00BF0433">
        <w:t>‘</w:t>
      </w:r>
      <w:r w:rsidR="000B1302" w:rsidRPr="00637889">
        <w:t xml:space="preserve"> [media release], AAAA, 24</w:t>
      </w:r>
      <w:r w:rsidR="00637889" w:rsidRPr="00637889">
        <w:t> </w:t>
      </w:r>
      <w:r w:rsidR="000B1302" w:rsidRPr="00637889">
        <w:t>February 2021, accessed 7 October 2025.</w:t>
      </w:r>
      <w:r w:rsidR="000B1302" w:rsidRPr="001F66A7">
        <w:t xml:space="preserve"> </w:t>
      </w:r>
    </w:p>
  </w:footnote>
  <w:footnote w:id="73">
    <w:p w14:paraId="4DB3D267" w14:textId="398D4888" w:rsidR="000B1302" w:rsidRPr="00637889" w:rsidRDefault="001D4F55" w:rsidP="000B1302">
      <w:pPr>
        <w:pStyle w:val="FootnoteText"/>
      </w:pPr>
      <w:r w:rsidRPr="00637889">
        <w:rPr>
          <w:rStyle w:val="FootnoteReference"/>
          <w:szCs w:val="20"/>
          <w:vertAlign w:val="baseline"/>
        </w:rPr>
        <w:footnoteRef/>
      </w:r>
      <w:r w:rsidR="000B1302" w:rsidRPr="00637889">
        <w:t xml:space="preserve"> </w:t>
      </w:r>
      <w:r w:rsidR="00FF4986" w:rsidRPr="00637889">
        <w:tab/>
      </w:r>
      <w:r w:rsidR="000B1302" w:rsidRPr="00637889">
        <w:t xml:space="preserve">O Burkacky, J Deichmann &amp; J P Stein, </w:t>
      </w:r>
      <w:r w:rsidR="00BF0433">
        <w:t>‘</w:t>
      </w:r>
      <w:hyperlink r:id="rId22" w:history="1">
        <w:r w:rsidR="000B1302" w:rsidRPr="00637889">
          <w:rPr>
            <w:rStyle w:val="Hyperlink"/>
          </w:rPr>
          <w:t>Automotive Software and Electronics 2030</w:t>
        </w:r>
      </w:hyperlink>
      <w:r w:rsidR="00BF0433">
        <w:t>‘</w:t>
      </w:r>
      <w:r w:rsidR="000B1302" w:rsidRPr="00637889">
        <w:t xml:space="preserve"> [report], July 2019, McKinsey &amp; Company, accessed 12 September 2025. </w:t>
      </w:r>
    </w:p>
  </w:footnote>
  <w:footnote w:id="74">
    <w:p w14:paraId="02EF2DA0" w14:textId="15E47C73" w:rsidR="000B1302" w:rsidRPr="00637889" w:rsidRDefault="001D4F55" w:rsidP="000B1302">
      <w:pPr>
        <w:pStyle w:val="FootnoteText"/>
      </w:pPr>
      <w:r w:rsidRPr="00637889">
        <w:rPr>
          <w:rStyle w:val="FootnoteReference"/>
          <w:szCs w:val="20"/>
          <w:vertAlign w:val="baseline"/>
        </w:rPr>
        <w:footnoteRef/>
      </w:r>
      <w:r w:rsidR="000B1302" w:rsidRPr="00637889">
        <w:t xml:space="preserve"> </w:t>
      </w:r>
      <w:r w:rsidR="00FF4986" w:rsidRPr="00637889">
        <w:tab/>
      </w:r>
      <w:r w:rsidR="000B1302" w:rsidRPr="00637889">
        <w:t xml:space="preserve">M McCarthy, M Seidl, S Mohan, J Hopkin, A Stevens &amp; F Ognissanto, </w:t>
      </w:r>
      <w:r w:rsidR="00BF0433">
        <w:t>‘</w:t>
      </w:r>
      <w:hyperlink r:id="rId23" w:history="1">
        <w:r w:rsidR="000B1302" w:rsidRPr="00637889">
          <w:rPr>
            <w:rStyle w:val="Hyperlink"/>
          </w:rPr>
          <w:t>Access to In</w:t>
        </w:r>
        <w:r w:rsidR="007B3C6A">
          <w:rPr>
            <w:rStyle w:val="Hyperlink"/>
          </w:rPr>
          <w:noBreakHyphen/>
        </w:r>
        <w:r w:rsidR="000B1302" w:rsidRPr="00637889">
          <w:rPr>
            <w:rStyle w:val="Hyperlink"/>
          </w:rPr>
          <w:t>vehicle Data and Resources Final Report</w:t>
        </w:r>
      </w:hyperlink>
      <w:r w:rsidR="00BF0433">
        <w:t>‘</w:t>
      </w:r>
      <w:r w:rsidR="000B1302" w:rsidRPr="00637889">
        <w:t>, European Commission, May 2017, 42.</w:t>
      </w:r>
    </w:p>
  </w:footnote>
  <w:footnote w:id="75">
    <w:p w14:paraId="5F2E2204" w14:textId="0DABD752" w:rsidR="000B1302" w:rsidRPr="00637889" w:rsidRDefault="001D4F55" w:rsidP="000B1302">
      <w:pPr>
        <w:pStyle w:val="FootnoteText"/>
      </w:pPr>
      <w:r w:rsidRPr="00637889">
        <w:rPr>
          <w:rStyle w:val="FootnoteReference"/>
          <w:szCs w:val="20"/>
          <w:vertAlign w:val="baseline"/>
        </w:rPr>
        <w:footnoteRef/>
      </w:r>
      <w:r w:rsidR="000B1302" w:rsidRPr="00637889">
        <w:t xml:space="preserve"> </w:t>
      </w:r>
      <w:r w:rsidR="00FF4986" w:rsidRPr="00637889">
        <w:tab/>
      </w:r>
      <w:r w:rsidR="000B1302" w:rsidRPr="00637889">
        <w:t xml:space="preserve">Automotive Service Association, </w:t>
      </w:r>
      <w:r w:rsidR="00BF0433">
        <w:t>‘</w:t>
      </w:r>
      <w:hyperlink r:id="rId24" w:history="1">
        <w:r w:rsidR="000B1302" w:rsidRPr="00637889">
          <w:rPr>
            <w:rStyle w:val="Hyperlink"/>
          </w:rPr>
          <w:t>Society of Collision Repair Specialists &amp; Alliance for Automotive Innovation</w:t>
        </w:r>
      </w:hyperlink>
      <w:r w:rsidR="00BF0433">
        <w:t>‘</w:t>
      </w:r>
      <w:r w:rsidR="000B1302" w:rsidRPr="00637889">
        <w:t xml:space="preserve">, </w:t>
      </w:r>
      <w:r w:rsidR="000B1302" w:rsidRPr="00637889">
        <w:rPr>
          <w:i/>
          <w:iCs/>
        </w:rPr>
        <w:t>Automotive Repair Data Sharing Commitment</w:t>
      </w:r>
      <w:r w:rsidR="000B1302" w:rsidRPr="00637889">
        <w:rPr>
          <w:i/>
        </w:rPr>
        <w:t xml:space="preserve">, </w:t>
      </w:r>
      <w:r w:rsidR="000B1302" w:rsidRPr="00637889">
        <w:rPr>
          <w:iCs/>
        </w:rPr>
        <w:t>July 2023.</w:t>
      </w:r>
    </w:p>
  </w:footnote>
  <w:footnote w:id="76">
    <w:p w14:paraId="23E72AEB" w14:textId="72025B73" w:rsidR="000B1302" w:rsidRPr="00637889" w:rsidRDefault="001D4F55" w:rsidP="000B1302">
      <w:pPr>
        <w:pStyle w:val="FootnoteText"/>
      </w:pPr>
      <w:r w:rsidRPr="00637889">
        <w:rPr>
          <w:rStyle w:val="FootnoteReference"/>
          <w:szCs w:val="20"/>
          <w:vertAlign w:val="baseline"/>
        </w:rPr>
        <w:footnoteRef/>
      </w:r>
      <w:r w:rsidR="000B1302" w:rsidRPr="00637889">
        <w:t xml:space="preserve"> </w:t>
      </w:r>
      <w:r w:rsidR="00FF4986" w:rsidRPr="00637889">
        <w:tab/>
      </w:r>
      <w:r w:rsidR="000B1302" w:rsidRPr="00637889">
        <w:t xml:space="preserve">National Transport Commission (NTC), </w:t>
      </w:r>
      <w:r w:rsidR="00BF0433">
        <w:t>‘</w:t>
      </w:r>
      <w:hyperlink r:id="rId25" w:history="1">
        <w:r w:rsidR="000B1302" w:rsidRPr="00637889">
          <w:rPr>
            <w:rStyle w:val="Hyperlink"/>
          </w:rPr>
          <w:t>Vehicle Generated Data</w:t>
        </w:r>
      </w:hyperlink>
      <w:r w:rsidR="00BF0433">
        <w:t>‘</w:t>
      </w:r>
      <w:r w:rsidR="000B1302" w:rsidRPr="00637889">
        <w:t xml:space="preserve">, </w:t>
      </w:r>
      <w:r w:rsidR="000B1302" w:rsidRPr="00637889">
        <w:rPr>
          <w:i/>
          <w:iCs/>
        </w:rPr>
        <w:t>Vehicle Generated Data Working Group</w:t>
      </w:r>
      <w:r w:rsidR="000B1302" w:rsidRPr="00637889">
        <w:t xml:space="preserve">. </w:t>
      </w:r>
    </w:p>
  </w:footnote>
  <w:footnote w:id="77">
    <w:p w14:paraId="75DAE18A" w14:textId="4887E844" w:rsidR="000B1302" w:rsidRPr="001D03F0" w:rsidRDefault="001D4F55" w:rsidP="000B1302">
      <w:pPr>
        <w:pStyle w:val="FootnoteText"/>
      </w:pPr>
      <w:r w:rsidRPr="00637889">
        <w:rPr>
          <w:rStyle w:val="FootnoteReference"/>
          <w:szCs w:val="20"/>
          <w:vertAlign w:val="baseline"/>
        </w:rPr>
        <w:footnoteRef/>
      </w:r>
      <w:r w:rsidR="000B1302" w:rsidRPr="00637889">
        <w:t xml:space="preserve"> </w:t>
      </w:r>
      <w:r w:rsidR="00637889">
        <w:tab/>
      </w:r>
      <w:r w:rsidR="000B1302" w:rsidRPr="00637889">
        <w:t xml:space="preserve">PC, </w:t>
      </w:r>
      <w:r w:rsidR="00BF0433">
        <w:t>‘</w:t>
      </w:r>
      <w:hyperlink r:id="rId26" w:history="1">
        <w:r w:rsidR="000B1302" w:rsidRPr="00637889">
          <w:rPr>
            <w:rStyle w:val="Hyperlink"/>
          </w:rPr>
          <w:t>Harnessing Data and Digital Technology: Interim Report</w:t>
        </w:r>
      </w:hyperlink>
      <w:r w:rsidR="00BF0433">
        <w:t>‘</w:t>
      </w:r>
      <w:r w:rsidR="000B1302" w:rsidRPr="00637889">
        <w:t>, 2025, 46.</w:t>
      </w:r>
    </w:p>
  </w:footnote>
  <w:footnote w:id="78">
    <w:p w14:paraId="083167C6" w14:textId="440DBC14" w:rsidR="000B1302" w:rsidRPr="00637889" w:rsidRDefault="001D4F55" w:rsidP="000B1302">
      <w:pPr>
        <w:pStyle w:val="FootnoteText"/>
      </w:pPr>
      <w:r w:rsidRPr="00637889">
        <w:rPr>
          <w:rStyle w:val="FootnoteReference"/>
          <w:szCs w:val="20"/>
          <w:vertAlign w:val="baseline"/>
        </w:rPr>
        <w:footnoteRef/>
      </w:r>
      <w:r w:rsidR="000B1302" w:rsidRPr="00637889">
        <w:t xml:space="preserve"> </w:t>
      </w:r>
      <w:r w:rsidR="00637889">
        <w:tab/>
      </w:r>
      <w:r w:rsidR="000B1302" w:rsidRPr="00637889">
        <w:t>CCA (n 1) s 57BD(3).</w:t>
      </w:r>
    </w:p>
  </w:footnote>
  <w:footnote w:id="79">
    <w:p w14:paraId="024E7215" w14:textId="5F1F08FE" w:rsidR="000B1302" w:rsidRPr="001D03F0" w:rsidRDefault="001D4F55" w:rsidP="000B1302">
      <w:pPr>
        <w:pStyle w:val="FootnoteText"/>
      </w:pPr>
      <w:r w:rsidRPr="00637889">
        <w:rPr>
          <w:rStyle w:val="FootnoteReference"/>
          <w:szCs w:val="20"/>
          <w:vertAlign w:val="baseline"/>
        </w:rPr>
        <w:footnoteRef/>
      </w:r>
      <w:r w:rsidR="000B1302" w:rsidRPr="00637889">
        <w:t xml:space="preserve"> </w:t>
      </w:r>
      <w:r w:rsidR="00637889">
        <w:tab/>
      </w:r>
      <w:r w:rsidR="000B1302" w:rsidRPr="00637889">
        <w:t>Explanatory Memorandum, MVIS Bill (n 2) 15, [1.37].</w:t>
      </w:r>
    </w:p>
  </w:footnote>
  <w:footnote w:id="80">
    <w:p w14:paraId="77E5889C" w14:textId="22C5BB9E" w:rsidR="000B1302" w:rsidRPr="00637889" w:rsidRDefault="001D4F55" w:rsidP="000B1302">
      <w:pPr>
        <w:pStyle w:val="FootnoteText"/>
      </w:pPr>
      <w:r w:rsidRPr="00637889">
        <w:rPr>
          <w:rStyle w:val="FootnoteReference"/>
          <w:szCs w:val="20"/>
          <w:vertAlign w:val="baseline"/>
        </w:rPr>
        <w:footnoteRef/>
      </w:r>
      <w:r w:rsidR="000B1302" w:rsidRPr="00637889">
        <w:t xml:space="preserve"> </w:t>
      </w:r>
      <w:r w:rsidR="00FF4986" w:rsidRPr="00637889">
        <w:tab/>
      </w:r>
      <w:r w:rsidR="000B1302" w:rsidRPr="00637889">
        <w:t xml:space="preserve">National Transport Commission (NTC) , </w:t>
      </w:r>
      <w:r w:rsidR="00BF0433">
        <w:t>‘</w:t>
      </w:r>
      <w:hyperlink r:id="rId27" w:history="1">
        <w:r w:rsidR="000B1302" w:rsidRPr="00637889">
          <w:rPr>
            <w:rStyle w:val="Hyperlink"/>
          </w:rPr>
          <w:t>What is an automated vehicle?</w:t>
        </w:r>
      </w:hyperlink>
      <w:r w:rsidR="00BF0433">
        <w:t>‘</w:t>
      </w:r>
      <w:r w:rsidR="000B1302" w:rsidRPr="00637889">
        <w:t>, Department of Infrastructure, Transport, Regional Development, Communication and the Arts, 2024, accessed 25 September 2025.</w:t>
      </w:r>
    </w:p>
  </w:footnote>
  <w:footnote w:id="81">
    <w:p w14:paraId="77052C7A" w14:textId="0994D4F4" w:rsidR="000B1302" w:rsidRPr="00637889" w:rsidRDefault="001D4F55" w:rsidP="000B1302">
      <w:pPr>
        <w:pStyle w:val="FootnoteText"/>
      </w:pPr>
      <w:r w:rsidRPr="00637889">
        <w:rPr>
          <w:rStyle w:val="FootnoteReference"/>
          <w:szCs w:val="20"/>
          <w:vertAlign w:val="baseline"/>
        </w:rPr>
        <w:footnoteRef/>
      </w:r>
      <w:r w:rsidR="000B1302" w:rsidRPr="00637889">
        <w:t xml:space="preserve"> </w:t>
      </w:r>
      <w:r w:rsidR="00FF4986" w:rsidRPr="00637889">
        <w:tab/>
      </w:r>
      <w:r w:rsidR="000B1302" w:rsidRPr="00637889">
        <w:t xml:space="preserve">NTC, </w:t>
      </w:r>
      <w:hyperlink r:id="rId28" w:history="1">
        <w:r w:rsidR="000B1302" w:rsidRPr="00637889">
          <w:rPr>
            <w:rStyle w:val="Hyperlink"/>
          </w:rPr>
          <w:t>Automated vehicle safety reforms</w:t>
        </w:r>
      </w:hyperlink>
      <w:r w:rsidR="000B1302" w:rsidRPr="00637889">
        <w:rPr>
          <w:i/>
        </w:rPr>
        <w:t>,</w:t>
      </w:r>
      <w:r w:rsidR="000B1302" w:rsidRPr="00637889">
        <w:t xml:space="preserve"> Department of Infrastructure, Transport, Regional Development, Communication and the Arts, 2024, accessed 25 September 2025.</w:t>
      </w:r>
    </w:p>
  </w:footnote>
  <w:footnote w:id="82">
    <w:p w14:paraId="2C3253E0" w14:textId="5A1708CB" w:rsidR="000B1302" w:rsidRPr="001D03F0" w:rsidRDefault="001D4F55" w:rsidP="000B1302">
      <w:pPr>
        <w:pStyle w:val="FootnoteText"/>
      </w:pPr>
      <w:r w:rsidRPr="00637889">
        <w:rPr>
          <w:rStyle w:val="FootnoteReference"/>
          <w:szCs w:val="20"/>
          <w:vertAlign w:val="baseline"/>
        </w:rPr>
        <w:footnoteRef/>
      </w:r>
      <w:r w:rsidR="000B1302" w:rsidRPr="00637889">
        <w:t xml:space="preserve"> </w:t>
      </w:r>
      <w:r w:rsidR="00FF4986" w:rsidRPr="00637889">
        <w:tab/>
      </w:r>
      <w:r w:rsidR="000B1302" w:rsidRPr="00637889">
        <w:t xml:space="preserve">BITRE, </w:t>
      </w:r>
      <w:hyperlink r:id="rId29" w:history="1">
        <w:r w:rsidR="000B1302" w:rsidRPr="00637889">
          <w:rPr>
            <w:rStyle w:val="Hyperlink"/>
            <w:i/>
          </w:rPr>
          <w:t>Forecasting uptake of driver assistance technologies in Australia</w:t>
        </w:r>
      </w:hyperlink>
      <w:r w:rsidR="000B1302" w:rsidRPr="00637889">
        <w:t>, BITRE, 2021, accessed 25</w:t>
      </w:r>
      <w:r w:rsidR="00FF4986" w:rsidRPr="00637889">
        <w:t> </w:t>
      </w:r>
      <w:r w:rsidR="000B1302" w:rsidRPr="00637889">
        <w:t>September 2025.</w:t>
      </w:r>
    </w:p>
  </w:footnote>
  <w:footnote w:id="83">
    <w:p w14:paraId="7EBD629B" w14:textId="3AF76CBB" w:rsidR="000B1302" w:rsidRPr="00637889" w:rsidRDefault="001D4F55" w:rsidP="000B1302">
      <w:pPr>
        <w:pStyle w:val="FootnoteText"/>
      </w:pPr>
      <w:r w:rsidRPr="00637889">
        <w:rPr>
          <w:rStyle w:val="FootnoteReference"/>
          <w:szCs w:val="20"/>
          <w:vertAlign w:val="baseline"/>
        </w:rPr>
        <w:footnoteRef/>
      </w:r>
      <w:r w:rsidR="000B1302" w:rsidRPr="00637889">
        <w:t xml:space="preserve"> </w:t>
      </w:r>
      <w:r w:rsidR="00FF4986" w:rsidRPr="00637889">
        <w:tab/>
      </w:r>
      <w:r w:rsidR="000B1302" w:rsidRPr="00637889">
        <w:t>ACCC (n 14) 136.</w:t>
      </w:r>
    </w:p>
  </w:footnote>
  <w:footnote w:id="84">
    <w:p w14:paraId="2F06A20F" w14:textId="580379A3" w:rsidR="000B1302" w:rsidRPr="00637889" w:rsidRDefault="001D4F55" w:rsidP="000B1302">
      <w:pPr>
        <w:pStyle w:val="FootnoteText"/>
      </w:pPr>
      <w:r w:rsidRPr="00637889">
        <w:rPr>
          <w:rStyle w:val="FootnoteReference"/>
          <w:szCs w:val="20"/>
          <w:vertAlign w:val="baseline"/>
        </w:rPr>
        <w:footnoteRef/>
      </w:r>
      <w:r w:rsidR="000B1302" w:rsidRPr="00637889">
        <w:t xml:space="preserve"> </w:t>
      </w:r>
      <w:r w:rsidR="00FF4986" w:rsidRPr="00637889">
        <w:tab/>
      </w:r>
      <w:r w:rsidR="000B1302" w:rsidRPr="00637889">
        <w:t xml:space="preserve">Department of Foreign Affairs and Trade (DFAT), </w:t>
      </w:r>
      <w:hyperlink r:id="rId30" w:history="1">
        <w:r w:rsidR="000B1302" w:rsidRPr="00637889">
          <w:rPr>
            <w:rStyle w:val="Hyperlink"/>
            <w:i/>
          </w:rPr>
          <w:t>Country and commodity pivot table 2006 to 2024</w:t>
        </w:r>
      </w:hyperlink>
      <w:r w:rsidR="000B1302" w:rsidRPr="00637889">
        <w:t>, DFAT, 2025, accessed 20 October 2025.</w:t>
      </w:r>
    </w:p>
  </w:footnote>
  <w:footnote w:id="85">
    <w:p w14:paraId="6CA9D0B1" w14:textId="38B4E9CB" w:rsidR="000B1302" w:rsidRPr="00637889" w:rsidRDefault="001D4F55" w:rsidP="000B1302">
      <w:pPr>
        <w:pStyle w:val="FootnoteText"/>
      </w:pPr>
      <w:r w:rsidRPr="00637889">
        <w:rPr>
          <w:rStyle w:val="FootnoteReference"/>
          <w:szCs w:val="20"/>
          <w:vertAlign w:val="baseline"/>
        </w:rPr>
        <w:footnoteRef/>
      </w:r>
      <w:r w:rsidR="000B1302" w:rsidRPr="00637889">
        <w:t xml:space="preserve"> </w:t>
      </w:r>
      <w:r w:rsidR="00FF4986" w:rsidRPr="00637889">
        <w:tab/>
      </w:r>
      <w:r w:rsidR="000B1302" w:rsidRPr="00637889">
        <w:t>ACCC (n 14) 139.</w:t>
      </w:r>
    </w:p>
  </w:footnote>
  <w:footnote w:id="86">
    <w:p w14:paraId="49B7F7B5" w14:textId="0737B529" w:rsidR="000B1302" w:rsidRPr="00637889" w:rsidRDefault="001D4F55" w:rsidP="000B1302">
      <w:pPr>
        <w:pStyle w:val="FootnoteText"/>
      </w:pPr>
      <w:r w:rsidRPr="00637889">
        <w:rPr>
          <w:rStyle w:val="FootnoteReference"/>
          <w:szCs w:val="20"/>
          <w:vertAlign w:val="baseline"/>
        </w:rPr>
        <w:footnoteRef/>
      </w:r>
      <w:r w:rsidR="000B1302" w:rsidRPr="00637889">
        <w:t xml:space="preserve"> </w:t>
      </w:r>
      <w:r w:rsidR="00FF4986" w:rsidRPr="00637889">
        <w:tab/>
      </w:r>
      <w:r w:rsidR="000B1302" w:rsidRPr="00637889">
        <w:t>Ibid.</w:t>
      </w:r>
    </w:p>
  </w:footnote>
  <w:footnote w:id="87">
    <w:p w14:paraId="60F84C84" w14:textId="7A1364F6" w:rsidR="000B1302" w:rsidRPr="001F66A7" w:rsidRDefault="001D4F55" w:rsidP="000B1302">
      <w:pPr>
        <w:pStyle w:val="FootnoteText"/>
      </w:pPr>
      <w:r w:rsidRPr="00637889">
        <w:rPr>
          <w:rStyle w:val="FootnoteReference"/>
          <w:szCs w:val="20"/>
          <w:vertAlign w:val="baseline"/>
        </w:rPr>
        <w:footnoteRef/>
      </w:r>
      <w:r w:rsidR="000B1302" w:rsidRPr="00637889">
        <w:t xml:space="preserve"> </w:t>
      </w:r>
      <w:r w:rsidR="00FF4986" w:rsidRPr="00637889">
        <w:tab/>
      </w:r>
      <w:r w:rsidR="000B1302" w:rsidRPr="00637889">
        <w:t xml:space="preserve">Insurance Council of Australia (ICA), </w:t>
      </w:r>
      <w:hyperlink r:id="rId31" w:history="1">
        <w:r w:rsidR="000B1302" w:rsidRPr="00637889">
          <w:rPr>
            <w:rStyle w:val="Hyperlink"/>
            <w:i/>
          </w:rPr>
          <w:t>Motor Insurance Policy Paper – a road map for reducing rising premiums</w:t>
        </w:r>
      </w:hyperlink>
      <w:r w:rsidR="000B1302" w:rsidRPr="00637889">
        <w:t>, ICA, 2025, accessed 20 October 2025.</w:t>
      </w:r>
    </w:p>
  </w:footnote>
  <w:footnote w:id="88">
    <w:p w14:paraId="023D1777" w14:textId="47FA87FF" w:rsidR="000B1302" w:rsidRPr="00637889" w:rsidRDefault="001D4F55" w:rsidP="000B1302">
      <w:pPr>
        <w:pStyle w:val="FootnoteText"/>
      </w:pPr>
      <w:r w:rsidRPr="00637889">
        <w:rPr>
          <w:rStyle w:val="FootnoteReference"/>
          <w:szCs w:val="20"/>
          <w:vertAlign w:val="baseline"/>
        </w:rPr>
        <w:footnoteRef/>
      </w:r>
      <w:r w:rsidR="000B1302" w:rsidRPr="00637889">
        <w:t xml:space="preserve"> </w:t>
      </w:r>
      <w:r w:rsidR="00FF4986" w:rsidRPr="00637889">
        <w:tab/>
      </w:r>
      <w:r w:rsidR="000B1302" w:rsidRPr="00637889">
        <w:t>CCA s 57BD(1); Explanatory Memorandum, MVIS Bill (n 2) 15, [1.25].</w:t>
      </w:r>
    </w:p>
  </w:footnote>
  <w:footnote w:id="89">
    <w:p w14:paraId="382C12F6" w14:textId="4D955C84" w:rsidR="000B1302" w:rsidRDefault="001D4F55" w:rsidP="000B1302">
      <w:pPr>
        <w:pStyle w:val="FootnoteText"/>
      </w:pPr>
      <w:r w:rsidRPr="001D4F55">
        <w:rPr>
          <w:rStyle w:val="FootnoteReference"/>
          <w:vertAlign w:val="baseline"/>
        </w:rPr>
        <w:footnoteRef/>
      </w:r>
      <w:r w:rsidR="000B1302">
        <w:t xml:space="preserve"> </w:t>
      </w:r>
      <w:r w:rsidR="00637889">
        <w:tab/>
      </w:r>
      <w:r w:rsidR="000B1302" w:rsidRPr="00380FD3">
        <w:t>CCA (n 1) s 57FB</w:t>
      </w:r>
      <w:r w:rsidR="000B1302" w:rsidRPr="001F66A7">
        <w:t>.</w:t>
      </w:r>
    </w:p>
  </w:footnote>
  <w:footnote w:id="90">
    <w:p w14:paraId="4E9964E0" w14:textId="0E3D2CDD" w:rsidR="000B1302" w:rsidRPr="00637889" w:rsidRDefault="001D4F55" w:rsidP="000B1302">
      <w:pPr>
        <w:pStyle w:val="FootnoteText"/>
      </w:pPr>
      <w:r w:rsidRPr="00637889">
        <w:rPr>
          <w:rStyle w:val="FootnoteReference"/>
          <w:szCs w:val="20"/>
          <w:vertAlign w:val="baseline"/>
        </w:rPr>
        <w:footnoteRef/>
      </w:r>
      <w:r w:rsidR="000B1302" w:rsidRPr="00637889">
        <w:t xml:space="preserve"> </w:t>
      </w:r>
      <w:r w:rsidR="00FF4986" w:rsidRPr="00637889">
        <w:tab/>
      </w:r>
      <w:r w:rsidR="000B1302" w:rsidRPr="00637889">
        <w:t>Ibid s 57DD.</w:t>
      </w:r>
    </w:p>
  </w:footnote>
  <w:footnote w:id="91">
    <w:p w14:paraId="640D1454" w14:textId="5D32CF8F" w:rsidR="000B1302" w:rsidRPr="001D03F0" w:rsidRDefault="001D4F55" w:rsidP="000B1302">
      <w:pPr>
        <w:pStyle w:val="FootnoteText"/>
      </w:pPr>
      <w:r w:rsidRPr="00637889">
        <w:rPr>
          <w:rStyle w:val="FootnoteReference"/>
          <w:szCs w:val="20"/>
          <w:vertAlign w:val="baseline"/>
        </w:rPr>
        <w:footnoteRef/>
      </w:r>
      <w:r w:rsidR="000B1302" w:rsidRPr="00637889">
        <w:t xml:space="preserve"> </w:t>
      </w:r>
      <w:r w:rsidR="00FF4986" w:rsidRPr="00637889">
        <w:tab/>
      </w:r>
      <w:r w:rsidR="000B1302" w:rsidRPr="00637889">
        <w:t xml:space="preserve">BITRE, </w:t>
      </w:r>
      <w:hyperlink r:id="rId32" w:history="1">
        <w:r w:rsidR="000B1302" w:rsidRPr="00637889">
          <w:rPr>
            <w:rStyle w:val="Hyperlink"/>
            <w:i/>
          </w:rPr>
          <w:t>Road Vehicles Australia January 2025: Bureau of Infrastructure and Transport Research Economics Statistical Report</w:t>
        </w:r>
      </w:hyperlink>
      <w:r w:rsidR="000B1302" w:rsidRPr="00637889">
        <w:t>, BITRE, Australian Government, 2024, accessed 7 October 2025.</w:t>
      </w:r>
      <w:r w:rsidR="000B1302" w:rsidRPr="001D03F0">
        <w:t xml:space="preserve"> </w:t>
      </w:r>
    </w:p>
  </w:footnote>
  <w:footnote w:id="92">
    <w:p w14:paraId="0B9660DD" w14:textId="527565A8" w:rsidR="000B1302" w:rsidRPr="00637889" w:rsidRDefault="001D4F55" w:rsidP="000B1302">
      <w:pPr>
        <w:pStyle w:val="FootnoteText"/>
      </w:pPr>
      <w:r w:rsidRPr="00637889">
        <w:rPr>
          <w:rStyle w:val="FootnoteReference"/>
          <w:szCs w:val="20"/>
          <w:vertAlign w:val="baseline"/>
        </w:rPr>
        <w:footnoteRef/>
      </w:r>
      <w:r w:rsidR="000B1302" w:rsidRPr="00637889">
        <w:t xml:space="preserve"> </w:t>
      </w:r>
      <w:r w:rsidR="00FF4986" w:rsidRPr="00637889">
        <w:tab/>
      </w:r>
      <w:r w:rsidR="000B1302" w:rsidRPr="00637889">
        <w:t>CCA (n 1) s 57CA(7)(a).</w:t>
      </w:r>
    </w:p>
  </w:footnote>
  <w:footnote w:id="93">
    <w:p w14:paraId="4836E857" w14:textId="365FF07C" w:rsidR="000B1302" w:rsidRPr="00637889" w:rsidRDefault="001D4F55" w:rsidP="000B1302">
      <w:pPr>
        <w:pStyle w:val="FootnoteText"/>
      </w:pPr>
      <w:r w:rsidRPr="00637889">
        <w:rPr>
          <w:rStyle w:val="FootnoteReference"/>
          <w:szCs w:val="20"/>
          <w:vertAlign w:val="baseline"/>
        </w:rPr>
        <w:footnoteRef/>
      </w:r>
      <w:r w:rsidR="000B1302" w:rsidRPr="00637889">
        <w:t xml:space="preserve"> </w:t>
      </w:r>
      <w:r w:rsidR="00FF4986" w:rsidRPr="00637889">
        <w:tab/>
      </w:r>
      <w:r w:rsidR="000B1302" w:rsidRPr="00637889">
        <w:t>Ibid s 57CA(7)(b).</w:t>
      </w:r>
    </w:p>
  </w:footnote>
  <w:footnote w:id="94">
    <w:p w14:paraId="30F683D9" w14:textId="5100E387" w:rsidR="000B1302" w:rsidRDefault="001D4F55" w:rsidP="000B1302">
      <w:pPr>
        <w:pStyle w:val="FootnoteText"/>
      </w:pPr>
      <w:r w:rsidRPr="00637889">
        <w:rPr>
          <w:rStyle w:val="FootnoteReference"/>
          <w:szCs w:val="20"/>
          <w:vertAlign w:val="baseline"/>
        </w:rPr>
        <w:footnoteRef/>
      </w:r>
      <w:r w:rsidR="000B1302" w:rsidRPr="00637889">
        <w:t xml:space="preserve"> </w:t>
      </w:r>
      <w:r w:rsidR="00FF4986" w:rsidRPr="00637889">
        <w:tab/>
      </w:r>
      <w:r w:rsidR="000B1302" w:rsidRPr="00637889">
        <w:t>Ibid s 57CB(4).</w:t>
      </w:r>
    </w:p>
  </w:footnote>
  <w:footnote w:id="95">
    <w:p w14:paraId="6ACC31F8" w14:textId="43287D5B" w:rsidR="000B1302" w:rsidRPr="00637889" w:rsidRDefault="001D4F55" w:rsidP="000B1302">
      <w:pPr>
        <w:pStyle w:val="FootnoteText"/>
      </w:pPr>
      <w:r w:rsidRPr="00637889">
        <w:rPr>
          <w:rStyle w:val="FootnoteReference"/>
          <w:szCs w:val="20"/>
          <w:vertAlign w:val="baseline"/>
        </w:rPr>
        <w:footnoteRef/>
      </w:r>
      <w:r w:rsidR="000B1302" w:rsidRPr="00637889">
        <w:t xml:space="preserve"> </w:t>
      </w:r>
      <w:r w:rsidR="00FF4986" w:rsidRPr="00637889">
        <w:tab/>
      </w:r>
      <w:r w:rsidR="000B1302" w:rsidRPr="00637889">
        <w:t>In practice, the Scheme Adviser provides a short list of appropriate mediators to the Australian Small Business and Family Enterprise Ombudsman.</w:t>
      </w:r>
    </w:p>
  </w:footnote>
  <w:footnote w:id="96">
    <w:p w14:paraId="5812DC35" w14:textId="2BA1DB9B" w:rsidR="000B1302" w:rsidRPr="001D03F0" w:rsidRDefault="001D4F55" w:rsidP="000B1302">
      <w:pPr>
        <w:pStyle w:val="FootnoteText"/>
      </w:pPr>
      <w:r w:rsidRPr="001D4F55">
        <w:rPr>
          <w:rStyle w:val="FootnoteReference"/>
          <w:sz w:val="17"/>
          <w:szCs w:val="17"/>
          <w:vertAlign w:val="baseline"/>
        </w:rPr>
        <w:footnoteRef/>
      </w:r>
      <w:r w:rsidR="000B1302" w:rsidRPr="001D03F0">
        <w:t xml:space="preserve"> </w:t>
      </w:r>
      <w:r w:rsidR="00FF4986">
        <w:tab/>
      </w:r>
      <w:r w:rsidR="000B1302" w:rsidRPr="00660686">
        <w:t xml:space="preserve">Australian Automotive Service and Repair Authority (AASRA), </w:t>
      </w:r>
      <w:r w:rsidR="00BF0433">
        <w:t>‘</w:t>
      </w:r>
      <w:hyperlink r:id="rId33" w:history="1">
        <w:r w:rsidR="000B1302" w:rsidRPr="00660686">
          <w:rPr>
            <w:rStyle w:val="Hyperlink"/>
          </w:rPr>
          <w:t>Annual Report 2023</w:t>
        </w:r>
        <w:r w:rsidR="007B3C6A">
          <w:rPr>
            <w:rStyle w:val="Hyperlink"/>
          </w:rPr>
          <w:t>–</w:t>
        </w:r>
        <w:r w:rsidR="000B1302" w:rsidRPr="00660686">
          <w:rPr>
            <w:rStyle w:val="Hyperlink"/>
          </w:rPr>
          <w:t>2024</w:t>
        </w:r>
      </w:hyperlink>
      <w:r w:rsidR="00BF0433">
        <w:t>‘</w:t>
      </w:r>
      <w:r w:rsidR="000B1302" w:rsidRPr="00660686">
        <w:rPr>
          <w:i/>
        </w:rPr>
        <w:t xml:space="preserve">, </w:t>
      </w:r>
      <w:r w:rsidR="000B1302" w:rsidRPr="00660686">
        <w:t>AASRA</w:t>
      </w:r>
      <w:r w:rsidR="000B1302" w:rsidRPr="00660686">
        <w:rPr>
          <w:iCs/>
        </w:rPr>
        <w:t>, 2025, accessed 8 October 2025.</w:t>
      </w:r>
      <w:r w:rsidR="000B1302">
        <w:rPr>
          <w:iCs/>
        </w:rPr>
        <w:t xml:space="preserve"> </w:t>
      </w:r>
    </w:p>
  </w:footnote>
  <w:footnote w:id="97">
    <w:p w14:paraId="7CB873B9" w14:textId="771411AD" w:rsidR="000B1302" w:rsidRPr="00637889" w:rsidRDefault="001D4F55" w:rsidP="000B1302">
      <w:pPr>
        <w:pStyle w:val="FootnoteText"/>
      </w:pPr>
      <w:r w:rsidRPr="00637889">
        <w:rPr>
          <w:rStyle w:val="FootnoteReference"/>
          <w:szCs w:val="20"/>
          <w:vertAlign w:val="baseline"/>
        </w:rPr>
        <w:footnoteRef/>
      </w:r>
      <w:r w:rsidR="000B1302" w:rsidRPr="00637889">
        <w:t xml:space="preserve"> </w:t>
      </w:r>
      <w:r w:rsidR="00FF4986" w:rsidRPr="00637889">
        <w:tab/>
      </w:r>
      <w:r w:rsidR="000B1302" w:rsidRPr="00637889">
        <w:t xml:space="preserve">ACCC, </w:t>
      </w:r>
      <w:hyperlink r:id="rId34" w:history="1">
        <w:r w:rsidR="000B1302" w:rsidRPr="00637889">
          <w:rPr>
            <w:rStyle w:val="Hyperlink"/>
          </w:rPr>
          <w:t>Honda pays penalty for alleged breach of car service and repair information sharing scheme</w:t>
        </w:r>
      </w:hyperlink>
      <w:r w:rsidR="000B1302" w:rsidRPr="00637889">
        <w:t xml:space="preserve"> [media release], ACCC, 16 September 2024, accessed 1 October 2025.</w:t>
      </w:r>
    </w:p>
  </w:footnote>
  <w:footnote w:id="98">
    <w:p w14:paraId="27BDD58D" w14:textId="3429254E" w:rsidR="000B1302" w:rsidRPr="001D03F0" w:rsidRDefault="001D4F55" w:rsidP="000B1302">
      <w:pPr>
        <w:pStyle w:val="FootnoteText"/>
      </w:pPr>
      <w:r w:rsidRPr="00637889">
        <w:rPr>
          <w:rStyle w:val="FootnoteReference"/>
          <w:szCs w:val="20"/>
          <w:vertAlign w:val="baseline"/>
        </w:rPr>
        <w:footnoteRef/>
      </w:r>
      <w:r w:rsidR="000B1302" w:rsidRPr="00637889">
        <w:t xml:space="preserve"> </w:t>
      </w:r>
      <w:r w:rsidR="00FF4986" w:rsidRPr="00637889">
        <w:tab/>
      </w:r>
      <w:r w:rsidR="000B1302" w:rsidRPr="00637889">
        <w:t>ACCC (n 38).</w:t>
      </w:r>
      <w:r w:rsidR="000B1302" w:rsidRPr="001D03F0">
        <w:t xml:space="preserve"> </w:t>
      </w:r>
      <w:r w:rsidR="000B1302" w:rsidRPr="001D03F0" w:rsidDel="009C5556">
        <w:fldChar w:fldCharType="begin"/>
      </w:r>
      <w:r w:rsidR="000B1302" w:rsidRPr="001D03F0" w:rsidDel="009C5556">
        <w:fldChar w:fldCharType="separate"/>
      </w:r>
      <w:r w:rsidR="000B1302" w:rsidRPr="001D03F0" w:rsidDel="009C5556">
        <w:rPr>
          <w:rStyle w:val="Hyperlink"/>
        </w:rPr>
        <w:t>Motor vehicle service and repair information sharing scheme: guidance for data providers</w:t>
      </w:r>
      <w:r w:rsidR="000B1302" w:rsidRPr="001D03F0" w:rsidDel="009C5556">
        <w:fldChar w:fldCharType="end"/>
      </w:r>
    </w:p>
  </w:footnote>
  <w:footnote w:id="99">
    <w:p w14:paraId="7CE0610A" w14:textId="144630B3" w:rsidR="000B1302" w:rsidRDefault="001D4F55" w:rsidP="000B1302">
      <w:pPr>
        <w:pStyle w:val="FootnoteText"/>
      </w:pPr>
      <w:r w:rsidRPr="001D4F55">
        <w:rPr>
          <w:rStyle w:val="FootnoteReference"/>
          <w:vertAlign w:val="baseline"/>
        </w:rPr>
        <w:footnoteRef/>
      </w:r>
      <w:r w:rsidR="000B1302">
        <w:t xml:space="preserve"> </w:t>
      </w:r>
      <w:r w:rsidR="00D91013">
        <w:tab/>
      </w:r>
      <w:r w:rsidR="000B1302" w:rsidRPr="00380FD3">
        <w:t>CCA (n 1) s 57GB item 5</w:t>
      </w:r>
      <w:r w:rsidR="000B1302">
        <w:t xml:space="preserve">; </w:t>
      </w:r>
      <w:r w:rsidR="000B1302">
        <w:rPr>
          <w:i/>
          <w:iCs/>
        </w:rPr>
        <w:t xml:space="preserve">Crimes Act 1914 </w:t>
      </w:r>
      <w:r w:rsidR="000B1302">
        <w:t xml:space="preserve">(Cth) s 4AA. </w:t>
      </w:r>
    </w:p>
  </w:footnote>
  <w:footnote w:id="100">
    <w:p w14:paraId="63BFD095" w14:textId="78907486" w:rsidR="000B1302" w:rsidRPr="00380FD3" w:rsidRDefault="001D4F55" w:rsidP="000B1302">
      <w:pPr>
        <w:pStyle w:val="FootnoteText"/>
      </w:pPr>
      <w:r w:rsidRPr="001D4F55">
        <w:rPr>
          <w:rStyle w:val="FootnoteReference"/>
          <w:vertAlign w:val="baseline"/>
        </w:rPr>
        <w:footnoteRef/>
      </w:r>
      <w:r w:rsidR="000B1302">
        <w:t xml:space="preserve"> </w:t>
      </w:r>
      <w:r w:rsidR="00D91013">
        <w:tab/>
      </w:r>
      <w:r w:rsidR="000B1302" w:rsidRPr="00380FD3">
        <w:t>CCA (n 1) s 57CA(4)</w:t>
      </w:r>
      <w:r w:rsidR="000B1302">
        <w:t xml:space="preserve">, </w:t>
      </w:r>
      <w:r w:rsidR="000B1302">
        <w:rPr>
          <w:i/>
          <w:iCs/>
        </w:rPr>
        <w:t xml:space="preserve">Crimes Act 1914 </w:t>
      </w:r>
      <w:r w:rsidR="000B1302">
        <w:t>(Cth) s 4AA.</w:t>
      </w:r>
    </w:p>
  </w:footnote>
  <w:footnote w:id="101">
    <w:p w14:paraId="49EC6FBA" w14:textId="11BAA405" w:rsidR="000B1302" w:rsidRPr="00637889" w:rsidRDefault="001D4F55" w:rsidP="000B1302">
      <w:pPr>
        <w:pStyle w:val="FootnoteText"/>
      </w:pPr>
      <w:r w:rsidRPr="00637889">
        <w:rPr>
          <w:rStyle w:val="FootnoteReference"/>
          <w:szCs w:val="20"/>
          <w:vertAlign w:val="baseline"/>
        </w:rPr>
        <w:footnoteRef/>
      </w:r>
      <w:r w:rsidR="000B1302" w:rsidRPr="00637889">
        <w:t xml:space="preserve"> </w:t>
      </w:r>
      <w:r w:rsidR="00D91013" w:rsidRPr="00637889">
        <w:tab/>
      </w:r>
      <w:r w:rsidR="000B1302" w:rsidRPr="00637889">
        <w:t xml:space="preserve">ACCC, </w:t>
      </w:r>
      <w:r w:rsidR="00BF0433">
        <w:t>‘</w:t>
      </w:r>
      <w:hyperlink r:id="rId35" w:history="1">
        <w:r w:rsidR="000B1302" w:rsidRPr="00637889">
          <w:rPr>
            <w:rStyle w:val="Hyperlink"/>
          </w:rPr>
          <w:t>Infringement notices – Guidelines on the use of infringement notices by the Australian Competition and Consumer Commission</w:t>
        </w:r>
      </w:hyperlink>
      <w:r w:rsidR="00BF0433">
        <w:t>‘</w:t>
      </w:r>
      <w:r w:rsidR="000B1302" w:rsidRPr="00637889">
        <w:t>, ACCC, 2020, 9.</w:t>
      </w:r>
    </w:p>
  </w:footnote>
  <w:footnote w:id="102">
    <w:p w14:paraId="6780787E" w14:textId="40A1D9C9" w:rsidR="000B1302" w:rsidRPr="001D03F0" w:rsidRDefault="001D4F55" w:rsidP="000B1302">
      <w:pPr>
        <w:pStyle w:val="FootnoteText"/>
      </w:pPr>
      <w:r w:rsidRPr="00637889">
        <w:rPr>
          <w:rStyle w:val="FootnoteReference"/>
          <w:szCs w:val="20"/>
          <w:vertAlign w:val="baseline"/>
        </w:rPr>
        <w:footnoteRef/>
      </w:r>
      <w:r w:rsidR="000B1302" w:rsidRPr="00637889">
        <w:t xml:space="preserve"> </w:t>
      </w:r>
      <w:r w:rsidR="00D91013" w:rsidRPr="00637889">
        <w:tab/>
      </w:r>
      <w:r w:rsidR="000B1302" w:rsidRPr="00637889">
        <w:t>CCA (n1) s 57CC(1).</w:t>
      </w:r>
    </w:p>
  </w:footnote>
  <w:footnote w:id="103">
    <w:p w14:paraId="6F608478" w14:textId="77777777" w:rsidR="00637889" w:rsidRPr="00637889" w:rsidRDefault="00637889" w:rsidP="00637889">
      <w:pPr>
        <w:pStyle w:val="FootnoteText"/>
      </w:pPr>
      <w:r w:rsidRPr="00637889">
        <w:rPr>
          <w:rStyle w:val="FootnoteReference"/>
          <w:szCs w:val="20"/>
          <w:vertAlign w:val="baseline"/>
        </w:rPr>
        <w:footnoteRef/>
      </w:r>
      <w:r w:rsidRPr="00637889">
        <w:t xml:space="preserve"> </w:t>
      </w:r>
      <w:r w:rsidRPr="00637889">
        <w:tab/>
        <w:t>CCA (n 1) s 57CC(2).</w:t>
      </w:r>
    </w:p>
  </w:footnote>
  <w:footnote w:id="104">
    <w:p w14:paraId="2662BDDF" w14:textId="3CD092C4" w:rsidR="000B1302" w:rsidRPr="00637889" w:rsidRDefault="001D4F55" w:rsidP="000B1302">
      <w:pPr>
        <w:pStyle w:val="FootnoteText"/>
      </w:pPr>
      <w:r w:rsidRPr="00637889">
        <w:rPr>
          <w:rStyle w:val="FootnoteReference"/>
          <w:szCs w:val="20"/>
          <w:vertAlign w:val="baseline"/>
        </w:rPr>
        <w:footnoteRef/>
      </w:r>
      <w:r w:rsidR="000B1302" w:rsidRPr="00637889">
        <w:t xml:space="preserve"> </w:t>
      </w:r>
      <w:r w:rsidR="00D91013" w:rsidRPr="00637889">
        <w:tab/>
      </w:r>
      <w:r w:rsidR="000B1302" w:rsidRPr="00637889">
        <w:t>Ibid sch 2 Pt 2</w:t>
      </w:r>
      <w:r w:rsidR="007B3C6A">
        <w:noBreakHyphen/>
      </w:r>
      <w:r w:rsidR="000B1302" w:rsidRPr="00637889">
        <w:t>3.</w:t>
      </w:r>
    </w:p>
  </w:footnote>
  <w:footnote w:id="105">
    <w:p w14:paraId="166FE67D" w14:textId="102A4FE8" w:rsidR="000B1302" w:rsidRPr="001D03F0" w:rsidRDefault="001D4F55" w:rsidP="000B1302">
      <w:pPr>
        <w:pStyle w:val="FootnoteText"/>
      </w:pPr>
      <w:r w:rsidRPr="00637889">
        <w:rPr>
          <w:rStyle w:val="FootnoteReference"/>
          <w:szCs w:val="20"/>
          <w:vertAlign w:val="baseline"/>
        </w:rPr>
        <w:footnoteRef/>
      </w:r>
      <w:r w:rsidR="000B1302" w:rsidRPr="00637889">
        <w:t xml:space="preserve"> </w:t>
      </w:r>
      <w:r w:rsidR="00D91013" w:rsidRPr="00637889">
        <w:tab/>
      </w:r>
      <w:r w:rsidR="000B1302" w:rsidRPr="00637889">
        <w:t>Explanatory Memorandum, MVIS Bill (n 2) 15, [1.59].</w:t>
      </w:r>
    </w:p>
  </w:footnote>
  <w:footnote w:id="106">
    <w:p w14:paraId="50E1F129" w14:textId="305935B9" w:rsidR="000B1302" w:rsidRPr="00637889" w:rsidRDefault="001D4F55" w:rsidP="00637889">
      <w:pPr>
        <w:pStyle w:val="FootnoteText"/>
      </w:pPr>
      <w:r w:rsidRPr="00637889">
        <w:rPr>
          <w:rStyle w:val="FootnoteReference"/>
          <w:szCs w:val="20"/>
          <w:vertAlign w:val="baseline"/>
        </w:rPr>
        <w:footnoteRef/>
      </w:r>
      <w:r w:rsidR="000B1302" w:rsidRPr="00637889">
        <w:t xml:space="preserve"> </w:t>
      </w:r>
      <w:r w:rsidR="00D91013" w:rsidRPr="00637889">
        <w:tab/>
      </w:r>
      <w:r w:rsidR="000B1302" w:rsidRPr="00637889">
        <w:t>Ibid 15, [1.60].</w:t>
      </w:r>
    </w:p>
  </w:footnote>
  <w:footnote w:id="107">
    <w:p w14:paraId="5182283D" w14:textId="51B03068" w:rsidR="000B1302" w:rsidRPr="00637889" w:rsidRDefault="001D4F55" w:rsidP="00637889">
      <w:pPr>
        <w:pStyle w:val="FootnoteText"/>
      </w:pPr>
      <w:r w:rsidRPr="00637889">
        <w:rPr>
          <w:rStyle w:val="FootnoteReference"/>
          <w:szCs w:val="20"/>
          <w:vertAlign w:val="baseline"/>
        </w:rPr>
        <w:footnoteRef/>
      </w:r>
      <w:r w:rsidR="000B1302" w:rsidRPr="00637889">
        <w:t xml:space="preserve"> </w:t>
      </w:r>
      <w:r w:rsidR="00D91013" w:rsidRPr="00637889">
        <w:tab/>
      </w:r>
      <w:r w:rsidR="000B1302" w:rsidRPr="00637889">
        <w:t>CCA (n 1) s 57BE(a).</w:t>
      </w:r>
    </w:p>
  </w:footnote>
  <w:footnote w:id="108">
    <w:p w14:paraId="017A8DA7" w14:textId="32FC732E" w:rsidR="000B1302" w:rsidRPr="001D03F0" w:rsidRDefault="001D4F55" w:rsidP="00637889">
      <w:pPr>
        <w:pStyle w:val="FootnoteText"/>
      </w:pPr>
      <w:r w:rsidRPr="00637889">
        <w:rPr>
          <w:rStyle w:val="FootnoteReference"/>
          <w:szCs w:val="20"/>
          <w:vertAlign w:val="baseline"/>
        </w:rPr>
        <w:footnoteRef/>
      </w:r>
      <w:r w:rsidR="000B1302" w:rsidRPr="00637889">
        <w:t xml:space="preserve"> </w:t>
      </w:r>
      <w:r w:rsidR="00D91013" w:rsidRPr="00637889">
        <w:tab/>
      </w:r>
      <w:r w:rsidR="000B1302" w:rsidRPr="00637889">
        <w:t>Explanatory Memorandum, MVIS Bill (n 2) 15, [1.20].</w:t>
      </w:r>
    </w:p>
  </w:footnote>
  <w:footnote w:id="109">
    <w:p w14:paraId="756002CB" w14:textId="4F92E3D0" w:rsidR="000B1302" w:rsidRDefault="001D4F55" w:rsidP="000B1302">
      <w:pPr>
        <w:pStyle w:val="FootnoteText"/>
      </w:pPr>
      <w:r w:rsidRPr="001D4F55">
        <w:rPr>
          <w:rStyle w:val="FootnoteReference"/>
          <w:vertAlign w:val="baseline"/>
        </w:rPr>
        <w:footnoteRef/>
      </w:r>
      <w:r w:rsidR="000B1302">
        <w:t xml:space="preserve"> </w:t>
      </w:r>
      <w:r w:rsidR="00D91013">
        <w:tab/>
      </w:r>
      <w:r w:rsidR="000B1302" w:rsidRPr="00E86A2A">
        <w:t>International Transport Forum</w:t>
      </w:r>
      <w:r w:rsidR="000B1302" w:rsidRPr="00C6593D">
        <w:t>,</w:t>
      </w:r>
      <w:r w:rsidR="000B1302">
        <w:t xml:space="preserve"> </w:t>
      </w:r>
      <w:hyperlink r:id="rId36" w:history="1">
        <w:r w:rsidR="000B1302" w:rsidRPr="00733308">
          <w:rPr>
            <w:rStyle w:val="Hyperlink"/>
            <w:i/>
          </w:rPr>
          <w:t>ITF Used Vehicle Registration Database, version 1.2</w:t>
        </w:r>
      </w:hyperlink>
      <w:r w:rsidR="000B1302">
        <w:t>, OECD, 2024,</w:t>
      </w:r>
      <w:r w:rsidR="000B1302" w:rsidRPr="00C6593D">
        <w:t xml:space="preserve"> </w:t>
      </w:r>
      <w:r w:rsidR="000B1302">
        <w:t>accessed 21 October 2025</w:t>
      </w:r>
      <w:r w:rsidR="000B1302" w:rsidRPr="00C6593D">
        <w:t>.</w:t>
      </w:r>
    </w:p>
  </w:footnote>
  <w:footnote w:id="110">
    <w:p w14:paraId="5A309D3E" w14:textId="06018149" w:rsidR="000B1302" w:rsidRPr="00637889" w:rsidRDefault="001D4F55" w:rsidP="000B1302">
      <w:pPr>
        <w:pStyle w:val="FootnoteText"/>
        <w:rPr>
          <w:spacing w:val="-1"/>
        </w:rPr>
      </w:pPr>
      <w:r w:rsidRPr="00637889">
        <w:rPr>
          <w:rStyle w:val="FootnoteReference"/>
          <w:spacing w:val="-1"/>
          <w:vertAlign w:val="baseline"/>
        </w:rPr>
        <w:footnoteRef/>
      </w:r>
      <w:r w:rsidR="000B1302" w:rsidRPr="00637889">
        <w:rPr>
          <w:spacing w:val="-1"/>
        </w:rPr>
        <w:t xml:space="preserve"> </w:t>
      </w:r>
      <w:r w:rsidR="00D91013" w:rsidRPr="00637889">
        <w:rPr>
          <w:spacing w:val="-1"/>
        </w:rPr>
        <w:tab/>
      </w:r>
      <w:r w:rsidR="000B1302" w:rsidRPr="00637889">
        <w:rPr>
          <w:spacing w:val="-1"/>
        </w:rPr>
        <w:t>Concessional RAV entry approval is a pathway for entering certain vehicles on the Register of Approved Vehicles (RAV) that have concessions against the national road vehicle standards but are otherwise suitable for use on public roads in Australia. A concessional RAV entry approval is also taken to be an import approval for that vehicle. This allows vehicles from overseas to be imported into Australia and entered on the RAV.</w:t>
      </w:r>
    </w:p>
  </w:footnote>
  <w:footnote w:id="111">
    <w:p w14:paraId="2B1774C0" w14:textId="53DA5BB4" w:rsidR="000B1302" w:rsidRPr="00637889" w:rsidRDefault="001D4F55" w:rsidP="000B1302">
      <w:pPr>
        <w:pStyle w:val="FootnoteText"/>
      </w:pPr>
      <w:r w:rsidRPr="00637889">
        <w:rPr>
          <w:rStyle w:val="FootnoteReference"/>
          <w:szCs w:val="20"/>
          <w:vertAlign w:val="baseline"/>
        </w:rPr>
        <w:footnoteRef/>
      </w:r>
      <w:r w:rsidR="000B1302" w:rsidRPr="00637889">
        <w:t xml:space="preserve"> </w:t>
      </w:r>
      <w:r w:rsidR="00D91013" w:rsidRPr="00637889">
        <w:tab/>
      </w:r>
      <w:r w:rsidR="000B1302" w:rsidRPr="00637889">
        <w:t>Explanatory Memorandum, MVIS Bill (n 2) 15, [1.23].</w:t>
      </w:r>
    </w:p>
  </w:footnote>
  <w:footnote w:id="112">
    <w:p w14:paraId="05C75B4E" w14:textId="7E9AAE03" w:rsidR="000B1302" w:rsidRPr="00637889" w:rsidRDefault="001D4F55" w:rsidP="000B1302">
      <w:pPr>
        <w:pStyle w:val="FootnoteText"/>
      </w:pPr>
      <w:r w:rsidRPr="00637889">
        <w:rPr>
          <w:rStyle w:val="FootnoteReference"/>
          <w:szCs w:val="20"/>
          <w:vertAlign w:val="baseline"/>
        </w:rPr>
        <w:footnoteRef/>
      </w:r>
      <w:r w:rsidR="000B1302" w:rsidRPr="00637889">
        <w:t xml:space="preserve"> </w:t>
      </w:r>
      <w:r w:rsidR="00D91013" w:rsidRPr="00637889">
        <w:tab/>
      </w:r>
      <w:r w:rsidR="000B1302" w:rsidRPr="00637889">
        <w:t>Ibid 15, [1.22].</w:t>
      </w:r>
    </w:p>
  </w:footnote>
  <w:footnote w:id="113">
    <w:p w14:paraId="7BC66299" w14:textId="607C9746" w:rsidR="000B1302" w:rsidRPr="00637889" w:rsidRDefault="001D4F55" w:rsidP="000B1302">
      <w:pPr>
        <w:pStyle w:val="FootnoteText"/>
      </w:pPr>
      <w:r w:rsidRPr="00637889">
        <w:rPr>
          <w:rStyle w:val="FootnoteReference"/>
          <w:szCs w:val="20"/>
          <w:vertAlign w:val="baseline"/>
        </w:rPr>
        <w:footnoteRef/>
      </w:r>
      <w:r w:rsidR="000B1302" w:rsidRPr="00637889">
        <w:t xml:space="preserve"> </w:t>
      </w:r>
      <w:r w:rsidR="00D91013" w:rsidRPr="00637889">
        <w:tab/>
      </w:r>
      <w:r w:rsidR="000B1302" w:rsidRPr="00637889">
        <w:t>CCA (n 1) s 57CA(1).</w:t>
      </w:r>
    </w:p>
  </w:footnote>
  <w:footnote w:id="114">
    <w:p w14:paraId="2966D8CC" w14:textId="140C0F8F" w:rsidR="000B1302" w:rsidRPr="00637889" w:rsidRDefault="001D4F55" w:rsidP="000B1302">
      <w:pPr>
        <w:pStyle w:val="FootnoteText"/>
      </w:pPr>
      <w:r w:rsidRPr="00637889">
        <w:rPr>
          <w:rStyle w:val="FootnoteReference"/>
          <w:szCs w:val="20"/>
          <w:vertAlign w:val="baseline"/>
        </w:rPr>
        <w:footnoteRef/>
      </w:r>
      <w:r w:rsidR="00D91013" w:rsidRPr="00637889">
        <w:t xml:space="preserve"> </w:t>
      </w:r>
      <w:r w:rsidR="00D91013" w:rsidRPr="00637889">
        <w:tab/>
      </w:r>
      <w:r w:rsidR="000B1302" w:rsidRPr="00637889">
        <w:t>CCA (n 1) s 57CA(2).</w:t>
      </w:r>
    </w:p>
  </w:footnote>
  <w:footnote w:id="115">
    <w:p w14:paraId="73F0E1A7" w14:textId="243A9ED6" w:rsidR="000B1302" w:rsidRPr="001D03F0" w:rsidRDefault="001D4F55" w:rsidP="000B1302">
      <w:pPr>
        <w:pStyle w:val="FootnoteText"/>
      </w:pPr>
      <w:r w:rsidRPr="00637889">
        <w:rPr>
          <w:rStyle w:val="FootnoteReference"/>
          <w:szCs w:val="20"/>
          <w:vertAlign w:val="baseline"/>
        </w:rPr>
        <w:footnoteRef/>
      </w:r>
      <w:r w:rsidR="000B1302" w:rsidRPr="00637889">
        <w:t xml:space="preserve"> </w:t>
      </w:r>
      <w:r w:rsidR="00D91013" w:rsidRPr="00637889">
        <w:tab/>
      </w:r>
      <w:r w:rsidR="000B1302" w:rsidRPr="00637889">
        <w:t>Explanatory Memorandum, MVIS Bill (n 2) 15, [1.23].</w:t>
      </w:r>
    </w:p>
  </w:footnote>
  <w:footnote w:id="116">
    <w:p w14:paraId="7CEB01F2" w14:textId="7B20D01F" w:rsidR="000B1302" w:rsidRPr="00637889" w:rsidRDefault="001D4F55" w:rsidP="000B1302">
      <w:pPr>
        <w:pStyle w:val="FootnoteText"/>
      </w:pPr>
      <w:r w:rsidRPr="00637889">
        <w:rPr>
          <w:rStyle w:val="FootnoteReference"/>
          <w:szCs w:val="20"/>
          <w:vertAlign w:val="baseline"/>
        </w:rPr>
        <w:footnoteRef/>
      </w:r>
      <w:r w:rsidR="000B1302" w:rsidRPr="00637889">
        <w:t xml:space="preserve"> </w:t>
      </w:r>
      <w:r w:rsidR="0002544C" w:rsidRPr="00637889">
        <w:tab/>
      </w:r>
      <w:hyperlink r:id="rId37" w:history="1">
        <w:r w:rsidR="000B1302" w:rsidRPr="00637889">
          <w:rPr>
            <w:rStyle w:val="Hyperlink"/>
          </w:rPr>
          <w:t>Government Bill (House of Commons) C</w:t>
        </w:r>
        <w:r w:rsidR="007B3C6A">
          <w:rPr>
            <w:rStyle w:val="Hyperlink"/>
          </w:rPr>
          <w:noBreakHyphen/>
        </w:r>
        <w:r w:rsidR="000B1302" w:rsidRPr="00637889">
          <w:rPr>
            <w:rStyle w:val="Hyperlink"/>
          </w:rPr>
          <w:t>59 (44</w:t>
        </w:r>
        <w:r w:rsidR="007B3C6A">
          <w:rPr>
            <w:rStyle w:val="Hyperlink"/>
          </w:rPr>
          <w:noBreakHyphen/>
        </w:r>
        <w:r w:rsidR="000B1302" w:rsidRPr="00637889">
          <w:rPr>
            <w:rStyle w:val="Hyperlink"/>
          </w:rPr>
          <w:t>1)</w:t>
        </w:r>
        <w:r w:rsidR="00BF0433">
          <w:rPr>
            <w:rStyle w:val="Hyperlink"/>
          </w:rPr>
          <w:t xml:space="preserve"> – </w:t>
        </w:r>
        <w:r w:rsidR="000B1302" w:rsidRPr="00637889">
          <w:rPr>
            <w:rStyle w:val="Hyperlink"/>
          </w:rPr>
          <w:t>Royal Assent</w:t>
        </w:r>
        <w:r w:rsidR="00BF0433">
          <w:rPr>
            <w:rStyle w:val="Hyperlink"/>
          </w:rPr>
          <w:t xml:space="preserve"> – </w:t>
        </w:r>
        <w:r w:rsidR="000B1302" w:rsidRPr="00637889">
          <w:rPr>
            <w:rStyle w:val="Hyperlink"/>
          </w:rPr>
          <w:t>Fall Economic Statement Implementation Act, 2023</w:t>
        </w:r>
        <w:r w:rsidR="00BF0433">
          <w:rPr>
            <w:rStyle w:val="Hyperlink"/>
          </w:rPr>
          <w:t xml:space="preserve"> – </w:t>
        </w:r>
        <w:r w:rsidR="000B1302" w:rsidRPr="00637889">
          <w:rPr>
            <w:rStyle w:val="Hyperlink"/>
          </w:rPr>
          <w:t>Parliament of Canada</w:t>
        </w:r>
      </w:hyperlink>
      <w:r w:rsidR="000B1302" w:rsidRPr="00637889">
        <w:t>.</w:t>
      </w:r>
    </w:p>
  </w:footnote>
  <w:footnote w:id="117">
    <w:p w14:paraId="5EB6A982" w14:textId="0F781BF7" w:rsidR="000B1302" w:rsidRPr="001D03F0" w:rsidRDefault="001D4F55" w:rsidP="000B1302">
      <w:pPr>
        <w:pStyle w:val="FootnoteText"/>
      </w:pPr>
      <w:r w:rsidRPr="00637889">
        <w:rPr>
          <w:rStyle w:val="FootnoteReference"/>
          <w:szCs w:val="20"/>
          <w:vertAlign w:val="baseline"/>
        </w:rPr>
        <w:footnoteRef/>
      </w:r>
      <w:r w:rsidR="000B1302" w:rsidRPr="00637889">
        <w:t xml:space="preserve"> </w:t>
      </w:r>
      <w:r w:rsidR="0002544C" w:rsidRPr="00637889">
        <w:tab/>
      </w:r>
      <w:r w:rsidR="000B1302" w:rsidRPr="00637889">
        <w:t xml:space="preserve">2017, </w:t>
      </w:r>
      <w:hyperlink r:id="rId38" w:history="1">
        <w:r w:rsidR="000B1302" w:rsidRPr="00637889">
          <w:rPr>
            <w:rStyle w:val="Hyperlink"/>
            <w:rFonts w:cs="Calibri Light"/>
            <w:i/>
          </w:rPr>
          <w:t>Regulation (EC) No 715/2007 </w:t>
        </w:r>
      </w:hyperlink>
      <w:r w:rsidR="000B1302" w:rsidRPr="00637889">
        <w:t>of the European Parliament and of the Council of 20 June 2007 on type approval of motor vehicles with respect to emissions from light passenger and commercial vehicles (Euro 5 and Euro 6) and on access to vehicle repair and maintenance information, the European Parliament and The Council</w:t>
      </w:r>
      <w:r w:rsidR="000B1302" w:rsidRPr="00657D14">
        <w:t xml:space="preserve"> of the European Union, accessed 8 October 2025.</w:t>
      </w:r>
      <w:r w:rsidR="000B1302">
        <w:rPr>
          <w:b/>
          <w:bCs/>
        </w:rPr>
        <w:t xml:space="preserve"> </w:t>
      </w:r>
    </w:p>
  </w:footnote>
  <w:footnote w:id="118">
    <w:p w14:paraId="2091BF2A" w14:textId="56281605" w:rsidR="000B1302" w:rsidRPr="00655ECA" w:rsidRDefault="001D4F55" w:rsidP="000B1302">
      <w:pPr>
        <w:pStyle w:val="FootnoteText"/>
      </w:pPr>
      <w:r w:rsidRPr="001D4F55">
        <w:rPr>
          <w:rStyle w:val="FootnoteReference"/>
          <w:vertAlign w:val="baseline"/>
        </w:rPr>
        <w:footnoteRef/>
      </w:r>
      <w:r w:rsidR="000B1302">
        <w:t xml:space="preserve"> </w:t>
      </w:r>
      <w:r w:rsidR="0002544C">
        <w:tab/>
      </w:r>
      <w:r w:rsidR="000B1302">
        <w:t>Bill</w:t>
      </w:r>
      <w:r w:rsidR="000B1302" w:rsidRPr="006B5095">
        <w:t> 3 (LD 1677)</w:t>
      </w:r>
      <w:r w:rsidR="000B1302">
        <w:t>.</w:t>
      </w:r>
      <w:r w:rsidR="000B1302" w:rsidRPr="0031489E">
        <w:t xml:space="preserve"> </w:t>
      </w:r>
      <w:r w:rsidR="00BF0433">
        <w:t>‘</w:t>
      </w:r>
      <w:r w:rsidR="000B1302" w:rsidRPr="005A0FCA">
        <w:t>An Act Regarding Automotive Right to Repair</w:t>
      </w:r>
      <w:r w:rsidR="00BF0433">
        <w:t>’</w:t>
      </w:r>
      <w:r w:rsidR="000B1302">
        <w:t>,</w:t>
      </w:r>
      <w:r w:rsidR="000B1302" w:rsidRPr="0031489E">
        <w:t xml:space="preserve"> Maine </w:t>
      </w:r>
      <w:r w:rsidR="000B1302">
        <w:t>L</w:t>
      </w:r>
      <w:r w:rsidR="000B1302" w:rsidRPr="00C76D3B">
        <w:t>egislature</w:t>
      </w:r>
      <w:r w:rsidR="000B1302" w:rsidRPr="0031489E">
        <w:t xml:space="preserve">, </w:t>
      </w:r>
      <w:hyperlink r:id="rId39" w:history="1">
        <w:r w:rsidR="000B1302" w:rsidRPr="00655ECA">
          <w:rPr>
            <w:rStyle w:val="Hyperlink"/>
          </w:rPr>
          <w:t>https://legislature.maine.g</w:t>
        </w:r>
        <w:bookmarkStart w:id="114" w:name="_Hlt213425097"/>
        <w:bookmarkStart w:id="115" w:name="_Hlt213425098"/>
        <w:r w:rsidR="000B1302" w:rsidRPr="00655ECA">
          <w:rPr>
            <w:rStyle w:val="Hyperlink"/>
          </w:rPr>
          <w:t>o</w:t>
        </w:r>
        <w:bookmarkEnd w:id="114"/>
        <w:bookmarkEnd w:id="115"/>
        <w:r w:rsidR="000B1302" w:rsidRPr="00655ECA">
          <w:rPr>
            <w:rStyle w:val="Hyperlink"/>
          </w:rPr>
          <w:t>v/bills/getPDF.asp?paper=IB0003&amp;item=1&amp;snum=131</w:t>
        </w:r>
      </w:hyperlink>
      <w:r w:rsidR="000B1302" w:rsidRPr="00655ECA">
        <w:t xml:space="preserve"> </w:t>
      </w:r>
    </w:p>
  </w:footnote>
  <w:footnote w:id="119">
    <w:p w14:paraId="125F670E" w14:textId="70B91D9A" w:rsidR="000B1302" w:rsidRPr="00FB1EF2" w:rsidRDefault="001D4F55" w:rsidP="000B1302">
      <w:pPr>
        <w:pStyle w:val="FootnoteText"/>
      </w:pPr>
      <w:r w:rsidRPr="001D4F55">
        <w:rPr>
          <w:rStyle w:val="FootnoteReference"/>
          <w:vertAlign w:val="baseline"/>
        </w:rPr>
        <w:footnoteRef/>
      </w:r>
      <w:r w:rsidR="000B1302">
        <w:t xml:space="preserve"> </w:t>
      </w:r>
      <w:r w:rsidR="0002544C">
        <w:tab/>
      </w:r>
      <w:r w:rsidR="000B1302" w:rsidRPr="00FB1EF2">
        <w:t xml:space="preserve">Bill H.4362, </w:t>
      </w:r>
      <w:r w:rsidR="00BF0433">
        <w:t>‘</w:t>
      </w:r>
      <w:r w:rsidR="000B1302" w:rsidRPr="00FB1EF2">
        <w:t>An Act Protecting Motor Vehicle Owners and Small Businesses in Repairing Motor Vehicles</w:t>
      </w:r>
      <w:r w:rsidR="00BF0433">
        <w:t>’</w:t>
      </w:r>
      <w:r w:rsidR="000B1302" w:rsidRPr="00FB1EF2">
        <w:t xml:space="preserve">, </w:t>
      </w:r>
      <w:r w:rsidR="000B1302">
        <w:t>Massachusetts L</w:t>
      </w:r>
      <w:r w:rsidR="000B1302" w:rsidRPr="00C76D3B">
        <w:t>egislature</w:t>
      </w:r>
      <w:r w:rsidR="000B1302">
        <w:t xml:space="preserve">, </w:t>
      </w:r>
      <w:hyperlink r:id="rId40" w:history="1">
        <w:r w:rsidR="000B1302" w:rsidRPr="00667FC7">
          <w:rPr>
            <w:rStyle w:val="Hyperlink"/>
          </w:rPr>
          <w:t>https://malegislature.gov/Bills/187/H4362</w:t>
        </w:r>
      </w:hyperlink>
      <w:r w:rsidR="000B1302">
        <w:t xml:space="preserve"> </w:t>
      </w:r>
    </w:p>
  </w:footnote>
  <w:footnote w:id="120">
    <w:p w14:paraId="710151C9" w14:textId="22F1C3A8" w:rsidR="000B1302" w:rsidRPr="00637889" w:rsidRDefault="001D4F55" w:rsidP="000B1302">
      <w:pPr>
        <w:pStyle w:val="FootnoteText"/>
      </w:pPr>
      <w:r w:rsidRPr="00637889">
        <w:rPr>
          <w:rStyle w:val="FootnoteReference"/>
          <w:szCs w:val="20"/>
          <w:vertAlign w:val="baseline"/>
        </w:rPr>
        <w:footnoteRef/>
      </w:r>
      <w:r w:rsidR="000B1302" w:rsidRPr="00637889">
        <w:t xml:space="preserve"> </w:t>
      </w:r>
      <w:r w:rsidR="00637889" w:rsidRPr="00637889">
        <w:tab/>
      </w:r>
      <w:hyperlink r:id="rId41" w:history="1">
        <w:r w:rsidR="000B1302" w:rsidRPr="00637889">
          <w:rPr>
            <w:rStyle w:val="Hyperlink"/>
          </w:rPr>
          <w:t>H.R.906</w:t>
        </w:r>
        <w:r w:rsidR="00BF0433">
          <w:rPr>
            <w:rStyle w:val="Hyperlink"/>
          </w:rPr>
          <w:t xml:space="preserve"> – </w:t>
        </w:r>
        <w:r w:rsidR="000B1302" w:rsidRPr="00637889">
          <w:rPr>
            <w:rStyle w:val="Hyperlink"/>
          </w:rPr>
          <w:t>118th Congress (2023</w:t>
        </w:r>
        <w:r w:rsidR="007B3C6A">
          <w:rPr>
            <w:rStyle w:val="Hyperlink"/>
          </w:rPr>
          <w:noBreakHyphen/>
        </w:r>
        <w:r w:rsidR="000B1302" w:rsidRPr="00637889">
          <w:rPr>
            <w:rStyle w:val="Hyperlink"/>
          </w:rPr>
          <w:t>2024): REPAIR Act</w:t>
        </w:r>
      </w:hyperlink>
      <w:r w:rsidR="000B1302" w:rsidRPr="0063788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F513D" w14:textId="49115B77" w:rsidR="000B1302" w:rsidRPr="0033691A" w:rsidRDefault="000B1302" w:rsidP="00AC75E2">
    <w:pPr>
      <w:pStyle w:val="HeaderEven"/>
      <w:rPr>
        <w:sz w:val="18"/>
        <w:szCs w:val="18"/>
      </w:rPr>
    </w:pPr>
    <w:r w:rsidRPr="0033691A">
      <w:rPr>
        <w:noProof/>
        <w:sz w:val="18"/>
        <w:szCs w:val="18"/>
      </w:rPr>
      <w:drawing>
        <wp:anchor distT="0" distB="0" distL="114300" distR="114300" simplePos="0" relativeHeight="251658241" behindDoc="1" locked="1" layoutInCell="1" allowOverlap="1" wp14:anchorId="30289E32" wp14:editId="7B61830F">
          <wp:simplePos x="0" y="0"/>
          <wp:positionH relativeFrom="page">
            <wp:posOffset>-635</wp:posOffset>
          </wp:positionH>
          <wp:positionV relativeFrom="page">
            <wp:align>top</wp:align>
          </wp:positionV>
          <wp:extent cx="7570800" cy="1044000"/>
          <wp:effectExtent l="0" t="0" r="0" b="3810"/>
          <wp:wrapNone/>
          <wp:docPr id="1881180160" name="Picture 1881180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17389" name="Picture 23561738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70800" cy="1044000"/>
                  </a:xfrm>
                  <a:prstGeom prst="rect">
                    <a:avLst/>
                  </a:prstGeom>
                </pic:spPr>
              </pic:pic>
            </a:graphicData>
          </a:graphic>
          <wp14:sizeRelH relativeFrom="margin">
            <wp14:pctWidth>0</wp14:pctWidth>
          </wp14:sizeRelH>
          <wp14:sizeRelV relativeFrom="margin">
            <wp14:pctHeight>0</wp14:pctHeight>
          </wp14:sizeRelV>
        </wp:anchor>
      </w:drawing>
    </w:r>
    <w:r w:rsidRPr="0033691A">
      <w:rPr>
        <w:sz w:val="18"/>
        <w:szCs w:val="18"/>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AA315" w14:textId="77777777" w:rsidR="00284E88" w:rsidRPr="0033691A" w:rsidRDefault="00284E88" w:rsidP="00A12F62">
    <w:pPr>
      <w:pStyle w:val="HeaderOdd"/>
      <w:rPr>
        <w:sz w:val="19"/>
        <w:szCs w:val="19"/>
      </w:rPr>
    </w:pPr>
    <w:r w:rsidRPr="0033691A">
      <w:rPr>
        <w:noProof/>
        <w:sz w:val="19"/>
        <w:szCs w:val="19"/>
      </w:rPr>
      <w:drawing>
        <wp:anchor distT="0" distB="0" distL="114300" distR="114300" simplePos="0" relativeHeight="251664388" behindDoc="1" locked="0" layoutInCell="1" allowOverlap="1" wp14:anchorId="366F22B0" wp14:editId="60928D68">
          <wp:simplePos x="0" y="0"/>
          <wp:positionH relativeFrom="margin">
            <wp:posOffset>-905510</wp:posOffset>
          </wp:positionH>
          <wp:positionV relativeFrom="page">
            <wp:posOffset>1270</wp:posOffset>
          </wp:positionV>
          <wp:extent cx="7570800" cy="936000"/>
          <wp:effectExtent l="0" t="0" r="0" b="0"/>
          <wp:wrapNone/>
          <wp:docPr id="388034581" name="Picture 388034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57693" name="Picture 35385769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70800" cy="936000"/>
                  </a:xfrm>
                  <a:prstGeom prst="rect">
                    <a:avLst/>
                  </a:prstGeom>
                </pic:spPr>
              </pic:pic>
            </a:graphicData>
          </a:graphic>
          <wp14:sizeRelH relativeFrom="margin">
            <wp14:pctWidth>0</wp14:pctWidth>
          </wp14:sizeRelH>
          <wp14:sizeRelV relativeFrom="margin">
            <wp14:pctHeight>0</wp14:pctHeight>
          </wp14:sizeRelV>
        </wp:anchor>
      </w:drawing>
    </w:r>
    <w:r w:rsidRPr="0033691A">
      <w:rPr>
        <w:sz w:val="19"/>
        <w:szCs w:val="19"/>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A9149" w14:textId="25673B99" w:rsidR="000B1302" w:rsidRDefault="00284E88">
    <w:pPr>
      <w:pStyle w:val="Header"/>
    </w:pPr>
    <w:r w:rsidRPr="0033691A">
      <w:rPr>
        <w:noProof/>
        <w:sz w:val="19"/>
        <w:szCs w:val="19"/>
      </w:rPr>
      <w:drawing>
        <wp:anchor distT="0" distB="0" distL="114300" distR="114300" simplePos="0" relativeHeight="251662340" behindDoc="1" locked="0" layoutInCell="1" allowOverlap="1" wp14:anchorId="04661F46" wp14:editId="37E62899">
          <wp:simplePos x="0" y="0"/>
          <wp:positionH relativeFrom="margin">
            <wp:posOffset>-913130</wp:posOffset>
          </wp:positionH>
          <wp:positionV relativeFrom="page">
            <wp:posOffset>3810</wp:posOffset>
          </wp:positionV>
          <wp:extent cx="7570800" cy="936000"/>
          <wp:effectExtent l="0" t="0" r="0" b="0"/>
          <wp:wrapNone/>
          <wp:docPr id="1870331184" name="Picture 1870331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57693" name="Picture 35385769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70800" cy="93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D4274" w14:textId="0089FF3C" w:rsidR="000B1302" w:rsidRPr="0033691A" w:rsidRDefault="000B1302" w:rsidP="00095D88">
    <w:pPr>
      <w:pStyle w:val="Header"/>
      <w:rPr>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6AB00" w14:textId="496270A5" w:rsidR="000B1302" w:rsidRPr="0033691A" w:rsidRDefault="000B1302">
    <w:pPr>
      <w:pStyle w:val="FooterOdd"/>
      <w:jc w:val="left"/>
      <w:rPr>
        <w:sz w:val="19"/>
        <w:szCs w:val="19"/>
      </w:rPr>
    </w:pPr>
    <w:r w:rsidRPr="0033691A">
      <w:rPr>
        <w:noProof/>
        <w:sz w:val="19"/>
        <w:szCs w:val="19"/>
      </w:rPr>
      <w:drawing>
        <wp:anchor distT="0" distB="0" distL="114300" distR="114300" simplePos="0" relativeHeight="251658244" behindDoc="1" locked="1" layoutInCell="1" allowOverlap="1" wp14:anchorId="627D3161" wp14:editId="7339AD16">
          <wp:simplePos x="0" y="0"/>
          <wp:positionH relativeFrom="page">
            <wp:posOffset>-2540</wp:posOffset>
          </wp:positionH>
          <wp:positionV relativeFrom="page">
            <wp:posOffset>-1270</wp:posOffset>
          </wp:positionV>
          <wp:extent cx="7570470" cy="935990"/>
          <wp:effectExtent l="0" t="0" r="0" b="0"/>
          <wp:wrapNone/>
          <wp:docPr id="414409848" name="Picture 4144098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14219" name="Picture 8229142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470" cy="93599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C5295" w14:textId="0FB42A73" w:rsidR="000B1302" w:rsidRPr="0033691A" w:rsidRDefault="00284E88" w:rsidP="00A12F62">
    <w:pPr>
      <w:pStyle w:val="HeaderOdd"/>
      <w:rPr>
        <w:sz w:val="19"/>
        <w:szCs w:val="19"/>
      </w:rPr>
    </w:pPr>
    <w:r w:rsidRPr="0033691A">
      <w:rPr>
        <w:noProof/>
        <w:sz w:val="19"/>
        <w:szCs w:val="19"/>
      </w:rPr>
      <w:drawing>
        <wp:anchor distT="0" distB="0" distL="114300" distR="114300" simplePos="0" relativeHeight="251660292" behindDoc="1" locked="0" layoutInCell="1" allowOverlap="1" wp14:anchorId="0DCD3F7E" wp14:editId="7CFEDA98">
          <wp:simplePos x="0" y="0"/>
          <wp:positionH relativeFrom="margin">
            <wp:posOffset>2218690</wp:posOffset>
          </wp:positionH>
          <wp:positionV relativeFrom="page">
            <wp:posOffset>3810</wp:posOffset>
          </wp:positionV>
          <wp:extent cx="7570800" cy="936000"/>
          <wp:effectExtent l="0" t="0" r="0" b="0"/>
          <wp:wrapNone/>
          <wp:docPr id="1141503209" name="Picture 1141503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57693" name="Picture 35385769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70800" cy="936000"/>
                  </a:xfrm>
                  <a:prstGeom prst="rect">
                    <a:avLst/>
                  </a:prstGeom>
                </pic:spPr>
              </pic:pic>
            </a:graphicData>
          </a:graphic>
          <wp14:sizeRelH relativeFrom="margin">
            <wp14:pctWidth>0</wp14:pctWidth>
          </wp14:sizeRelH>
          <wp14:sizeRelV relativeFrom="margin">
            <wp14:pctHeight>0</wp14:pctHeight>
          </wp14:sizeRelV>
        </wp:anchor>
      </w:drawing>
    </w:r>
    <w:r w:rsidR="000B1302" w:rsidRPr="0033691A">
      <w:rPr>
        <w:sz w:val="19"/>
        <w:szCs w:val="19"/>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28149" w14:textId="184926CE" w:rsidR="000B1302" w:rsidRDefault="000B130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F077A" w14:textId="77777777" w:rsidR="000E2C4C" w:rsidRPr="0033691A" w:rsidRDefault="00F94B5F" w:rsidP="00A12F62">
    <w:pPr>
      <w:pStyle w:val="HeaderOdd"/>
      <w:rPr>
        <w:sz w:val="19"/>
        <w:szCs w:val="19"/>
      </w:rPr>
    </w:pPr>
    <w:r w:rsidRPr="0033691A">
      <w:rPr>
        <w:noProof/>
        <w:sz w:val="19"/>
        <w:szCs w:val="19"/>
      </w:rPr>
      <w:drawing>
        <wp:anchor distT="0" distB="0" distL="114300" distR="114300" simplePos="0" relativeHeight="251658240" behindDoc="1" locked="0" layoutInCell="1" allowOverlap="1" wp14:anchorId="173C15F1" wp14:editId="2A5C2E08">
          <wp:simplePos x="0" y="0"/>
          <wp:positionH relativeFrom="margin">
            <wp:posOffset>-905510</wp:posOffset>
          </wp:positionH>
          <wp:positionV relativeFrom="page">
            <wp:posOffset>1270</wp:posOffset>
          </wp:positionV>
          <wp:extent cx="7570800" cy="936000"/>
          <wp:effectExtent l="0" t="0" r="0" b="0"/>
          <wp:wrapNone/>
          <wp:docPr id="353857693" name="Picture 3538576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57693" name="Picture 35385769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70800" cy="936000"/>
                  </a:xfrm>
                  <a:prstGeom prst="rect">
                    <a:avLst/>
                  </a:prstGeom>
                </pic:spPr>
              </pic:pic>
            </a:graphicData>
          </a:graphic>
          <wp14:sizeRelH relativeFrom="margin">
            <wp14:pctWidth>0</wp14:pctWidth>
          </wp14:sizeRelH>
          <wp14:sizeRelV relativeFrom="margin">
            <wp14:pctHeight>0</wp14:pctHeight>
          </wp14:sizeRelV>
        </wp:anchor>
      </w:drawing>
    </w:r>
    <w:r w:rsidRPr="0033691A">
      <w:rPr>
        <w:sz w:val="19"/>
        <w:szCs w:val="19"/>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C7CB9" w14:textId="77777777" w:rsidR="00D07CAA" w:rsidRDefault="00D07CA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708FC" w14:textId="77777777" w:rsidR="00284E88" w:rsidRPr="0033691A" w:rsidRDefault="00284E88" w:rsidP="00A12F62">
    <w:pPr>
      <w:pStyle w:val="HeaderOdd"/>
      <w:rPr>
        <w:sz w:val="19"/>
        <w:szCs w:val="19"/>
      </w:rPr>
    </w:pPr>
    <w:r w:rsidRPr="0033691A">
      <w:rPr>
        <w:noProof/>
        <w:sz w:val="19"/>
        <w:szCs w:val="19"/>
      </w:rPr>
      <w:drawing>
        <wp:anchor distT="0" distB="0" distL="114300" distR="114300" simplePos="0" relativeHeight="251666436" behindDoc="1" locked="0" layoutInCell="1" allowOverlap="1" wp14:anchorId="0FC0B245" wp14:editId="24C8F17F">
          <wp:simplePos x="0" y="0"/>
          <wp:positionH relativeFrom="margin">
            <wp:posOffset>2216150</wp:posOffset>
          </wp:positionH>
          <wp:positionV relativeFrom="page">
            <wp:posOffset>1270</wp:posOffset>
          </wp:positionV>
          <wp:extent cx="7570800" cy="936000"/>
          <wp:effectExtent l="0" t="0" r="0" b="0"/>
          <wp:wrapNone/>
          <wp:docPr id="1902140341" name="Picture 1902140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57693" name="Picture 35385769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70800" cy="936000"/>
                  </a:xfrm>
                  <a:prstGeom prst="rect">
                    <a:avLst/>
                  </a:prstGeom>
                </pic:spPr>
              </pic:pic>
            </a:graphicData>
          </a:graphic>
          <wp14:sizeRelH relativeFrom="margin">
            <wp14:pctWidth>0</wp14:pctWidth>
          </wp14:sizeRelH>
          <wp14:sizeRelV relativeFrom="margin">
            <wp14:pctHeight>0</wp14:pctHeight>
          </wp14:sizeRelV>
        </wp:anchor>
      </w:drawing>
    </w:r>
    <w:r w:rsidRPr="0033691A">
      <w:rPr>
        <w:sz w:val="19"/>
        <w:szCs w:val="19"/>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796A"/>
    <w:multiLevelType w:val="multilevel"/>
    <w:tmpl w:val="ECC601E8"/>
    <w:lvl w:ilvl="0">
      <w:start w:val="1"/>
      <w:numFmt w:val="lowerLetter"/>
      <w:pStyle w:val="BoxAlpha"/>
      <w:lvlText w:val="%1)"/>
      <w:lvlJc w:val="left"/>
      <w:pPr>
        <w:tabs>
          <w:tab w:val="num" w:pos="283"/>
        </w:tabs>
        <w:ind w:left="284" w:hanging="284"/>
      </w:pPr>
      <w:rPr>
        <w:rFonts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1"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F752EE2"/>
    <w:multiLevelType w:val="multilevel"/>
    <w:tmpl w:val="F6A25236"/>
    <w:lvl w:ilvl="0">
      <w:numFmt w:val="decimal"/>
      <w:suff w:val="space"/>
      <w:lvlText w:val="Chapter %1 –"/>
      <w:lvlJc w:val="left"/>
      <w:pPr>
        <w:ind w:left="567" w:firstLine="0"/>
      </w:pPr>
      <w:rPr>
        <w:rFonts w:hint="default"/>
      </w:rPr>
    </w:lvl>
    <w:lvl w:ilvl="1">
      <w:start w:val="1"/>
      <w:numFmt w:val="none"/>
      <w:suff w:val="nothing"/>
      <w:lvlText w:val=""/>
      <w:lvlJc w:val="left"/>
      <w:pPr>
        <w:ind w:left="568" w:firstLine="0"/>
      </w:pPr>
      <w:rPr>
        <w:rFonts w:hint="default"/>
      </w:rPr>
    </w:lvl>
    <w:lvl w:ilvl="2">
      <w:start w:val="1"/>
      <w:numFmt w:val="none"/>
      <w:suff w:val="nothing"/>
      <w:lvlText w:val=""/>
      <w:lvlJc w:val="left"/>
      <w:pPr>
        <w:ind w:left="568" w:firstLine="0"/>
      </w:pPr>
      <w:rPr>
        <w:rFonts w:hint="default"/>
      </w:rPr>
    </w:lvl>
    <w:lvl w:ilvl="3">
      <w:start w:val="1"/>
      <w:numFmt w:val="none"/>
      <w:suff w:val="nothing"/>
      <w:lvlText w:val=""/>
      <w:lvlJc w:val="left"/>
      <w:pPr>
        <w:ind w:left="568" w:firstLine="0"/>
      </w:pPr>
      <w:rPr>
        <w:rFonts w:hint="default"/>
      </w:rPr>
    </w:lvl>
    <w:lvl w:ilvl="4">
      <w:start w:val="1"/>
      <w:numFmt w:val="none"/>
      <w:suff w:val="nothing"/>
      <w:lvlText w:val=""/>
      <w:lvlJc w:val="left"/>
      <w:pPr>
        <w:ind w:left="568" w:firstLine="0"/>
      </w:pPr>
      <w:rPr>
        <w:rFonts w:hint="default"/>
      </w:rPr>
    </w:lvl>
    <w:lvl w:ilvl="5">
      <w:start w:val="1"/>
      <w:numFmt w:val="none"/>
      <w:suff w:val="nothing"/>
      <w:lvlText w:val=""/>
      <w:lvlJc w:val="left"/>
      <w:pPr>
        <w:ind w:left="568" w:firstLine="0"/>
      </w:pPr>
      <w:rPr>
        <w:rFonts w:hint="default"/>
      </w:rPr>
    </w:lvl>
    <w:lvl w:ilvl="6">
      <w:start w:val="1"/>
      <w:numFmt w:val="none"/>
      <w:pStyle w:val="Heading7"/>
      <w:suff w:val="nothing"/>
      <w:lvlText w:val=""/>
      <w:lvlJc w:val="left"/>
      <w:pPr>
        <w:ind w:left="568" w:firstLine="0"/>
      </w:pPr>
      <w:rPr>
        <w:rFonts w:hint="default"/>
      </w:rPr>
    </w:lvl>
    <w:lvl w:ilvl="7">
      <w:start w:val="1"/>
      <w:numFmt w:val="none"/>
      <w:pStyle w:val="Heading8"/>
      <w:suff w:val="nothing"/>
      <w:lvlText w:val=""/>
      <w:lvlJc w:val="left"/>
      <w:pPr>
        <w:ind w:left="568" w:firstLine="0"/>
      </w:pPr>
      <w:rPr>
        <w:rFonts w:hint="default"/>
      </w:rPr>
    </w:lvl>
    <w:lvl w:ilvl="8">
      <w:start w:val="1"/>
      <w:numFmt w:val="none"/>
      <w:pStyle w:val="Heading9"/>
      <w:suff w:val="nothing"/>
      <w:lvlText w:val=""/>
      <w:lvlJc w:val="left"/>
      <w:pPr>
        <w:ind w:left="568" w:firstLine="0"/>
      </w:pPr>
      <w:rPr>
        <w:rFonts w:hint="default"/>
      </w:rPr>
    </w:lvl>
  </w:abstractNum>
  <w:abstractNum w:abstractNumId="3"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4564F9D"/>
    <w:multiLevelType w:val="multilevel"/>
    <w:tmpl w:val="B0402706"/>
    <w:lvl w:ilvl="0">
      <w:start w:val="1"/>
      <w:numFmt w:val="bullet"/>
      <w:lvlRestart w:val="0"/>
      <w:pStyle w:val="Boxbullet"/>
      <w:lvlText w:val="•"/>
      <w:lvlJc w:val="left"/>
      <w:pPr>
        <w:tabs>
          <w:tab w:val="num" w:pos="283"/>
        </w:tabs>
        <w:ind w:left="284" w:hanging="284"/>
      </w:pPr>
      <w:rPr>
        <w:rFonts w:ascii="Times New Roman" w:hAnsi="Times New Roman" w:cs="Times New Roman" w:hint="default"/>
        <w:b w:val="0"/>
        <w:i w:val="0"/>
      </w:rPr>
    </w:lvl>
    <w:lvl w:ilvl="1">
      <w:start w:val="1"/>
      <w:numFmt w:val="bullet"/>
      <w:pStyle w:val="Boxdash"/>
      <w:lvlText w:val="–"/>
      <w:lvlJc w:val="left"/>
      <w:pPr>
        <w:tabs>
          <w:tab w:val="num" w:pos="567"/>
        </w:tabs>
        <w:ind w:left="568" w:hanging="284"/>
      </w:pPr>
      <w:rPr>
        <w:rFonts w:ascii="Times New Roman" w:hAnsi="Times New Roman" w:cs="Times New Roman" w:hint="default"/>
        <w:b w:val="0"/>
        <w:i w:val="0"/>
      </w:rPr>
    </w:lvl>
    <w:lvl w:ilvl="2">
      <w:start w:val="1"/>
      <w:numFmt w:val="bullet"/>
      <w:pStyle w:val="Boxdoubledo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5" w15:restartNumberingAfterBreak="0">
    <w:nsid w:val="17DF7717"/>
    <w:multiLevelType w:val="multilevel"/>
    <w:tmpl w:val="7F8A47C0"/>
    <w:lvl w:ilvl="0">
      <w:start w:val="1"/>
      <w:numFmt w:val="decimal"/>
      <w:pStyle w:val="Heading1Numbered"/>
      <w:lvlText w:val="Chapter %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8"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10D2021"/>
    <w:multiLevelType w:val="multilevel"/>
    <w:tmpl w:val="72F8140E"/>
    <w:numStyleLink w:val="OutlineList"/>
  </w:abstractNum>
  <w:abstractNum w:abstractNumId="11" w15:restartNumberingAfterBreak="0">
    <w:nsid w:val="6C181079"/>
    <w:multiLevelType w:val="multilevel"/>
    <w:tmpl w:val="6F92BA82"/>
    <w:lvl w:ilvl="0">
      <w:start w:val="1"/>
      <w:numFmt w:val="bullet"/>
      <w:pStyle w:val="Bullet"/>
      <w:lvlText w:val="•"/>
      <w:lvlJc w:val="left"/>
      <w:pPr>
        <w:ind w:left="284" w:hanging="284"/>
      </w:pPr>
      <w:rPr>
        <w:rFonts w:ascii="Times New Roman" w:hAnsi="Times New Roman" w:cs="Times New Roman" w:hint="default"/>
      </w:r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2" w15:restartNumberingAfterBreak="0">
    <w:nsid w:val="7D6B5224"/>
    <w:multiLevelType w:val="multilevel"/>
    <w:tmpl w:val="91FE60A6"/>
    <w:name w:val="StandardBulletedList"/>
    <w:lvl w:ilvl="0">
      <w:start w:val="1"/>
      <w:numFmt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509446909">
    <w:abstractNumId w:val="7"/>
  </w:num>
  <w:num w:numId="2" w16cid:durableId="230386874">
    <w:abstractNumId w:val="1"/>
  </w:num>
  <w:num w:numId="3" w16cid:durableId="1716855291">
    <w:abstractNumId w:val="9"/>
  </w:num>
  <w:num w:numId="4" w16cid:durableId="797724066">
    <w:abstractNumId w:val="3"/>
  </w:num>
  <w:num w:numId="5" w16cid:durableId="306596971">
    <w:abstractNumId w:val="10"/>
  </w:num>
  <w:num w:numId="6" w16cid:durableId="1043020558">
    <w:abstractNumId w:val="5"/>
  </w:num>
  <w:num w:numId="7" w16cid:durableId="832991063">
    <w:abstractNumId w:val="6"/>
  </w:num>
  <w:num w:numId="8" w16cid:durableId="143200778">
    <w:abstractNumId w:val="8"/>
  </w:num>
  <w:num w:numId="9" w16cid:durableId="1534227257">
    <w:abstractNumId w:val="11"/>
  </w:num>
  <w:num w:numId="10" w16cid:durableId="17107575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4999199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95506185">
    <w:abstractNumId w:val="0"/>
  </w:num>
  <w:num w:numId="13" w16cid:durableId="2332018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99081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524149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593127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937630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011874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BA1ADA"/>
    <w:rsid w:val="00000028"/>
    <w:rsid w:val="0000008C"/>
    <w:rsid w:val="0000009D"/>
    <w:rsid w:val="000000C5"/>
    <w:rsid w:val="00000107"/>
    <w:rsid w:val="00000108"/>
    <w:rsid w:val="00000182"/>
    <w:rsid w:val="000001DF"/>
    <w:rsid w:val="000001FC"/>
    <w:rsid w:val="0000023E"/>
    <w:rsid w:val="00000281"/>
    <w:rsid w:val="00000314"/>
    <w:rsid w:val="0000033F"/>
    <w:rsid w:val="00000347"/>
    <w:rsid w:val="00000369"/>
    <w:rsid w:val="00000391"/>
    <w:rsid w:val="000003C5"/>
    <w:rsid w:val="0000047C"/>
    <w:rsid w:val="000004B0"/>
    <w:rsid w:val="000004F0"/>
    <w:rsid w:val="0000050E"/>
    <w:rsid w:val="00000531"/>
    <w:rsid w:val="00000587"/>
    <w:rsid w:val="00000589"/>
    <w:rsid w:val="000005AA"/>
    <w:rsid w:val="000005AD"/>
    <w:rsid w:val="000005BE"/>
    <w:rsid w:val="000005DB"/>
    <w:rsid w:val="000005FE"/>
    <w:rsid w:val="00000606"/>
    <w:rsid w:val="0000065F"/>
    <w:rsid w:val="00000678"/>
    <w:rsid w:val="000006CE"/>
    <w:rsid w:val="000006D7"/>
    <w:rsid w:val="0000070B"/>
    <w:rsid w:val="0000072E"/>
    <w:rsid w:val="00000748"/>
    <w:rsid w:val="00000767"/>
    <w:rsid w:val="000007C0"/>
    <w:rsid w:val="000007FD"/>
    <w:rsid w:val="000007FE"/>
    <w:rsid w:val="00000802"/>
    <w:rsid w:val="000008C4"/>
    <w:rsid w:val="000008E1"/>
    <w:rsid w:val="0000090A"/>
    <w:rsid w:val="00000971"/>
    <w:rsid w:val="00000996"/>
    <w:rsid w:val="000009A8"/>
    <w:rsid w:val="00000A21"/>
    <w:rsid w:val="00000A46"/>
    <w:rsid w:val="00000A6A"/>
    <w:rsid w:val="00000A74"/>
    <w:rsid w:val="00000A7A"/>
    <w:rsid w:val="00000A86"/>
    <w:rsid w:val="00000A88"/>
    <w:rsid w:val="00000AEF"/>
    <w:rsid w:val="00000B37"/>
    <w:rsid w:val="00000BCD"/>
    <w:rsid w:val="00000BFA"/>
    <w:rsid w:val="00000C34"/>
    <w:rsid w:val="00000C99"/>
    <w:rsid w:val="00000CFB"/>
    <w:rsid w:val="00000D09"/>
    <w:rsid w:val="00000DC6"/>
    <w:rsid w:val="00000E47"/>
    <w:rsid w:val="00000E71"/>
    <w:rsid w:val="00000F8A"/>
    <w:rsid w:val="00000FDB"/>
    <w:rsid w:val="00001014"/>
    <w:rsid w:val="00001068"/>
    <w:rsid w:val="000010C0"/>
    <w:rsid w:val="000010D1"/>
    <w:rsid w:val="00001106"/>
    <w:rsid w:val="0000123E"/>
    <w:rsid w:val="00001265"/>
    <w:rsid w:val="0000128A"/>
    <w:rsid w:val="0000129E"/>
    <w:rsid w:val="000012A7"/>
    <w:rsid w:val="000012B8"/>
    <w:rsid w:val="000012BA"/>
    <w:rsid w:val="000012C8"/>
    <w:rsid w:val="000012E5"/>
    <w:rsid w:val="00001323"/>
    <w:rsid w:val="000013C9"/>
    <w:rsid w:val="000013F4"/>
    <w:rsid w:val="0000140B"/>
    <w:rsid w:val="00001421"/>
    <w:rsid w:val="00001422"/>
    <w:rsid w:val="00001427"/>
    <w:rsid w:val="00001457"/>
    <w:rsid w:val="00001469"/>
    <w:rsid w:val="0000147F"/>
    <w:rsid w:val="000014AC"/>
    <w:rsid w:val="000014B7"/>
    <w:rsid w:val="00001521"/>
    <w:rsid w:val="000015DB"/>
    <w:rsid w:val="000016DA"/>
    <w:rsid w:val="000016EB"/>
    <w:rsid w:val="000016EF"/>
    <w:rsid w:val="0000174B"/>
    <w:rsid w:val="0000174F"/>
    <w:rsid w:val="00001785"/>
    <w:rsid w:val="0000179F"/>
    <w:rsid w:val="000017A4"/>
    <w:rsid w:val="000017D4"/>
    <w:rsid w:val="00001801"/>
    <w:rsid w:val="00001802"/>
    <w:rsid w:val="0000180B"/>
    <w:rsid w:val="00001839"/>
    <w:rsid w:val="00001863"/>
    <w:rsid w:val="00001886"/>
    <w:rsid w:val="0000188B"/>
    <w:rsid w:val="000018C6"/>
    <w:rsid w:val="000018D7"/>
    <w:rsid w:val="0000192C"/>
    <w:rsid w:val="0000197C"/>
    <w:rsid w:val="00001988"/>
    <w:rsid w:val="000019B8"/>
    <w:rsid w:val="00001A00"/>
    <w:rsid w:val="00001A41"/>
    <w:rsid w:val="00001AB5"/>
    <w:rsid w:val="00001AFE"/>
    <w:rsid w:val="00001B31"/>
    <w:rsid w:val="00001BB6"/>
    <w:rsid w:val="00001BDF"/>
    <w:rsid w:val="00001C3A"/>
    <w:rsid w:val="00001C9C"/>
    <w:rsid w:val="00001CD3"/>
    <w:rsid w:val="00001CE5"/>
    <w:rsid w:val="00001CE7"/>
    <w:rsid w:val="00001D17"/>
    <w:rsid w:val="00001D29"/>
    <w:rsid w:val="00001D45"/>
    <w:rsid w:val="00001D5B"/>
    <w:rsid w:val="00001D9E"/>
    <w:rsid w:val="00001DA6"/>
    <w:rsid w:val="00001DFC"/>
    <w:rsid w:val="00001E3B"/>
    <w:rsid w:val="00001E61"/>
    <w:rsid w:val="00001E65"/>
    <w:rsid w:val="00001E66"/>
    <w:rsid w:val="00001E87"/>
    <w:rsid w:val="00001EC3"/>
    <w:rsid w:val="00001F71"/>
    <w:rsid w:val="00001FA2"/>
    <w:rsid w:val="00001FC9"/>
    <w:rsid w:val="00001FD3"/>
    <w:rsid w:val="00001FD7"/>
    <w:rsid w:val="00001FFA"/>
    <w:rsid w:val="0000205E"/>
    <w:rsid w:val="00002063"/>
    <w:rsid w:val="0000206B"/>
    <w:rsid w:val="00002078"/>
    <w:rsid w:val="000020A7"/>
    <w:rsid w:val="0000210F"/>
    <w:rsid w:val="00002124"/>
    <w:rsid w:val="00002130"/>
    <w:rsid w:val="0000217E"/>
    <w:rsid w:val="00002185"/>
    <w:rsid w:val="000021A0"/>
    <w:rsid w:val="00002210"/>
    <w:rsid w:val="00002212"/>
    <w:rsid w:val="0000221D"/>
    <w:rsid w:val="000022A7"/>
    <w:rsid w:val="00002311"/>
    <w:rsid w:val="00002337"/>
    <w:rsid w:val="000023B6"/>
    <w:rsid w:val="000023C8"/>
    <w:rsid w:val="00002404"/>
    <w:rsid w:val="00002440"/>
    <w:rsid w:val="000024A9"/>
    <w:rsid w:val="000024B6"/>
    <w:rsid w:val="000024D7"/>
    <w:rsid w:val="00002540"/>
    <w:rsid w:val="00002554"/>
    <w:rsid w:val="000025C4"/>
    <w:rsid w:val="0000263D"/>
    <w:rsid w:val="0000266A"/>
    <w:rsid w:val="0000275B"/>
    <w:rsid w:val="00002767"/>
    <w:rsid w:val="000027AB"/>
    <w:rsid w:val="00002835"/>
    <w:rsid w:val="0000284E"/>
    <w:rsid w:val="000028DF"/>
    <w:rsid w:val="0000291C"/>
    <w:rsid w:val="00002A47"/>
    <w:rsid w:val="00002B04"/>
    <w:rsid w:val="00002B69"/>
    <w:rsid w:val="00002B77"/>
    <w:rsid w:val="00002BBA"/>
    <w:rsid w:val="00002C21"/>
    <w:rsid w:val="00002C5E"/>
    <w:rsid w:val="00002C7F"/>
    <w:rsid w:val="00002D18"/>
    <w:rsid w:val="00002D25"/>
    <w:rsid w:val="00002D66"/>
    <w:rsid w:val="00002E20"/>
    <w:rsid w:val="00002E39"/>
    <w:rsid w:val="00002E45"/>
    <w:rsid w:val="00002E48"/>
    <w:rsid w:val="00002E75"/>
    <w:rsid w:val="00002E7A"/>
    <w:rsid w:val="00002EB4"/>
    <w:rsid w:val="00002ED1"/>
    <w:rsid w:val="00002F12"/>
    <w:rsid w:val="00002FBC"/>
    <w:rsid w:val="00002FF8"/>
    <w:rsid w:val="00003007"/>
    <w:rsid w:val="00003008"/>
    <w:rsid w:val="00003040"/>
    <w:rsid w:val="000030B4"/>
    <w:rsid w:val="000030CD"/>
    <w:rsid w:val="00003128"/>
    <w:rsid w:val="000031A5"/>
    <w:rsid w:val="000031C1"/>
    <w:rsid w:val="000032CF"/>
    <w:rsid w:val="000032E1"/>
    <w:rsid w:val="00003371"/>
    <w:rsid w:val="000033D1"/>
    <w:rsid w:val="000033F3"/>
    <w:rsid w:val="00003403"/>
    <w:rsid w:val="00003404"/>
    <w:rsid w:val="00003409"/>
    <w:rsid w:val="00003419"/>
    <w:rsid w:val="0000341E"/>
    <w:rsid w:val="0000344F"/>
    <w:rsid w:val="00003480"/>
    <w:rsid w:val="000034B9"/>
    <w:rsid w:val="00003554"/>
    <w:rsid w:val="0000355F"/>
    <w:rsid w:val="0000357A"/>
    <w:rsid w:val="0000359A"/>
    <w:rsid w:val="000035C2"/>
    <w:rsid w:val="000035E7"/>
    <w:rsid w:val="00003610"/>
    <w:rsid w:val="00003621"/>
    <w:rsid w:val="00003645"/>
    <w:rsid w:val="0000369D"/>
    <w:rsid w:val="000036ED"/>
    <w:rsid w:val="00003780"/>
    <w:rsid w:val="000037A6"/>
    <w:rsid w:val="000037AC"/>
    <w:rsid w:val="0000385B"/>
    <w:rsid w:val="00003893"/>
    <w:rsid w:val="0000389C"/>
    <w:rsid w:val="000038A0"/>
    <w:rsid w:val="000038AB"/>
    <w:rsid w:val="000038D1"/>
    <w:rsid w:val="00003916"/>
    <w:rsid w:val="00003958"/>
    <w:rsid w:val="00003974"/>
    <w:rsid w:val="00003988"/>
    <w:rsid w:val="00003990"/>
    <w:rsid w:val="000039C4"/>
    <w:rsid w:val="00003A8A"/>
    <w:rsid w:val="00003AC1"/>
    <w:rsid w:val="00003AD1"/>
    <w:rsid w:val="00003AE2"/>
    <w:rsid w:val="00003B0C"/>
    <w:rsid w:val="00003B11"/>
    <w:rsid w:val="00003B47"/>
    <w:rsid w:val="00003B7B"/>
    <w:rsid w:val="00003BE6"/>
    <w:rsid w:val="00003CB0"/>
    <w:rsid w:val="00003D09"/>
    <w:rsid w:val="00003D2A"/>
    <w:rsid w:val="00003D38"/>
    <w:rsid w:val="00003DE6"/>
    <w:rsid w:val="00003DE7"/>
    <w:rsid w:val="00003DEA"/>
    <w:rsid w:val="00003E0E"/>
    <w:rsid w:val="00003E20"/>
    <w:rsid w:val="00003E28"/>
    <w:rsid w:val="00003EA6"/>
    <w:rsid w:val="00003EAF"/>
    <w:rsid w:val="00003EB2"/>
    <w:rsid w:val="00003ECA"/>
    <w:rsid w:val="00003ECF"/>
    <w:rsid w:val="00003EE3"/>
    <w:rsid w:val="00003F8A"/>
    <w:rsid w:val="0000400D"/>
    <w:rsid w:val="00004014"/>
    <w:rsid w:val="0000401C"/>
    <w:rsid w:val="0000403A"/>
    <w:rsid w:val="0000403B"/>
    <w:rsid w:val="00004068"/>
    <w:rsid w:val="0000406E"/>
    <w:rsid w:val="000040F4"/>
    <w:rsid w:val="00004108"/>
    <w:rsid w:val="000041C9"/>
    <w:rsid w:val="000041F6"/>
    <w:rsid w:val="00004237"/>
    <w:rsid w:val="00004242"/>
    <w:rsid w:val="00004246"/>
    <w:rsid w:val="00004250"/>
    <w:rsid w:val="0000426B"/>
    <w:rsid w:val="00004275"/>
    <w:rsid w:val="00004284"/>
    <w:rsid w:val="00004287"/>
    <w:rsid w:val="00004292"/>
    <w:rsid w:val="000042A9"/>
    <w:rsid w:val="000042B4"/>
    <w:rsid w:val="00004308"/>
    <w:rsid w:val="00004353"/>
    <w:rsid w:val="00004372"/>
    <w:rsid w:val="0000438A"/>
    <w:rsid w:val="000043E9"/>
    <w:rsid w:val="00004458"/>
    <w:rsid w:val="0000445D"/>
    <w:rsid w:val="00004471"/>
    <w:rsid w:val="0000449D"/>
    <w:rsid w:val="000044BF"/>
    <w:rsid w:val="0000457F"/>
    <w:rsid w:val="000045B3"/>
    <w:rsid w:val="000045ED"/>
    <w:rsid w:val="00004622"/>
    <w:rsid w:val="0000463E"/>
    <w:rsid w:val="00004655"/>
    <w:rsid w:val="00004686"/>
    <w:rsid w:val="0000468E"/>
    <w:rsid w:val="000046A8"/>
    <w:rsid w:val="00004706"/>
    <w:rsid w:val="00004760"/>
    <w:rsid w:val="00004774"/>
    <w:rsid w:val="000047CA"/>
    <w:rsid w:val="00004829"/>
    <w:rsid w:val="000048DC"/>
    <w:rsid w:val="00004990"/>
    <w:rsid w:val="000049BD"/>
    <w:rsid w:val="00004A30"/>
    <w:rsid w:val="00004A4F"/>
    <w:rsid w:val="00004A7B"/>
    <w:rsid w:val="00004A83"/>
    <w:rsid w:val="00004AF1"/>
    <w:rsid w:val="00004AFB"/>
    <w:rsid w:val="00004B33"/>
    <w:rsid w:val="00004B3E"/>
    <w:rsid w:val="00004C25"/>
    <w:rsid w:val="00004C48"/>
    <w:rsid w:val="00004C7B"/>
    <w:rsid w:val="00004CD9"/>
    <w:rsid w:val="00004CE5"/>
    <w:rsid w:val="00004D26"/>
    <w:rsid w:val="00004DE3"/>
    <w:rsid w:val="00004DEA"/>
    <w:rsid w:val="00004DEB"/>
    <w:rsid w:val="00004E82"/>
    <w:rsid w:val="00004ED2"/>
    <w:rsid w:val="00004F15"/>
    <w:rsid w:val="00004F1A"/>
    <w:rsid w:val="00004F4E"/>
    <w:rsid w:val="00004FE9"/>
    <w:rsid w:val="00004FFB"/>
    <w:rsid w:val="00005016"/>
    <w:rsid w:val="0000505B"/>
    <w:rsid w:val="00005077"/>
    <w:rsid w:val="000050A5"/>
    <w:rsid w:val="0000518C"/>
    <w:rsid w:val="00005191"/>
    <w:rsid w:val="00005199"/>
    <w:rsid w:val="000051B4"/>
    <w:rsid w:val="00005252"/>
    <w:rsid w:val="0000528F"/>
    <w:rsid w:val="00005407"/>
    <w:rsid w:val="00005413"/>
    <w:rsid w:val="00005480"/>
    <w:rsid w:val="000054E5"/>
    <w:rsid w:val="000054FA"/>
    <w:rsid w:val="00005502"/>
    <w:rsid w:val="00005512"/>
    <w:rsid w:val="00005578"/>
    <w:rsid w:val="00005612"/>
    <w:rsid w:val="0000561B"/>
    <w:rsid w:val="00005646"/>
    <w:rsid w:val="00005688"/>
    <w:rsid w:val="000056C6"/>
    <w:rsid w:val="00005705"/>
    <w:rsid w:val="0000574D"/>
    <w:rsid w:val="0000575A"/>
    <w:rsid w:val="0000575E"/>
    <w:rsid w:val="0000576E"/>
    <w:rsid w:val="000057A4"/>
    <w:rsid w:val="000057B9"/>
    <w:rsid w:val="000057C9"/>
    <w:rsid w:val="000057E0"/>
    <w:rsid w:val="0000583C"/>
    <w:rsid w:val="00005848"/>
    <w:rsid w:val="000058AB"/>
    <w:rsid w:val="000058C6"/>
    <w:rsid w:val="000058E1"/>
    <w:rsid w:val="000058FA"/>
    <w:rsid w:val="0000591B"/>
    <w:rsid w:val="00005939"/>
    <w:rsid w:val="00005979"/>
    <w:rsid w:val="0000599D"/>
    <w:rsid w:val="000059B9"/>
    <w:rsid w:val="000059C2"/>
    <w:rsid w:val="000059E7"/>
    <w:rsid w:val="00005A13"/>
    <w:rsid w:val="00005A3B"/>
    <w:rsid w:val="00005A6D"/>
    <w:rsid w:val="00005AE6"/>
    <w:rsid w:val="00005AF6"/>
    <w:rsid w:val="00005BB7"/>
    <w:rsid w:val="00005BB8"/>
    <w:rsid w:val="00005BDD"/>
    <w:rsid w:val="00005C24"/>
    <w:rsid w:val="00005C38"/>
    <w:rsid w:val="00005C6F"/>
    <w:rsid w:val="00005C7C"/>
    <w:rsid w:val="00005CDD"/>
    <w:rsid w:val="00005CF3"/>
    <w:rsid w:val="00005D73"/>
    <w:rsid w:val="00005DA4"/>
    <w:rsid w:val="00005DB8"/>
    <w:rsid w:val="00005DE3"/>
    <w:rsid w:val="00005E21"/>
    <w:rsid w:val="00005E88"/>
    <w:rsid w:val="00005EA5"/>
    <w:rsid w:val="00005EE5"/>
    <w:rsid w:val="00005F1F"/>
    <w:rsid w:val="00005F2F"/>
    <w:rsid w:val="00005F72"/>
    <w:rsid w:val="00005F8E"/>
    <w:rsid w:val="00005F9F"/>
    <w:rsid w:val="00005FC2"/>
    <w:rsid w:val="00005FCE"/>
    <w:rsid w:val="00005FF9"/>
    <w:rsid w:val="00006011"/>
    <w:rsid w:val="0000602E"/>
    <w:rsid w:val="00006059"/>
    <w:rsid w:val="0000606A"/>
    <w:rsid w:val="00006096"/>
    <w:rsid w:val="000060B8"/>
    <w:rsid w:val="0000610E"/>
    <w:rsid w:val="0000613C"/>
    <w:rsid w:val="000061A7"/>
    <w:rsid w:val="00006213"/>
    <w:rsid w:val="00006269"/>
    <w:rsid w:val="000062CD"/>
    <w:rsid w:val="00006343"/>
    <w:rsid w:val="00006373"/>
    <w:rsid w:val="0000638C"/>
    <w:rsid w:val="0000638D"/>
    <w:rsid w:val="00006390"/>
    <w:rsid w:val="000063A7"/>
    <w:rsid w:val="000063B5"/>
    <w:rsid w:val="000063F0"/>
    <w:rsid w:val="0000645E"/>
    <w:rsid w:val="0000648B"/>
    <w:rsid w:val="0000648E"/>
    <w:rsid w:val="0000649D"/>
    <w:rsid w:val="0000652A"/>
    <w:rsid w:val="0000652E"/>
    <w:rsid w:val="0000654D"/>
    <w:rsid w:val="00006553"/>
    <w:rsid w:val="0000665C"/>
    <w:rsid w:val="0000674E"/>
    <w:rsid w:val="00006763"/>
    <w:rsid w:val="0000677D"/>
    <w:rsid w:val="00006786"/>
    <w:rsid w:val="000068AA"/>
    <w:rsid w:val="000068B5"/>
    <w:rsid w:val="000068BC"/>
    <w:rsid w:val="000068BF"/>
    <w:rsid w:val="000068E4"/>
    <w:rsid w:val="0000690F"/>
    <w:rsid w:val="0000695D"/>
    <w:rsid w:val="00006972"/>
    <w:rsid w:val="0000699C"/>
    <w:rsid w:val="000069C2"/>
    <w:rsid w:val="000069DB"/>
    <w:rsid w:val="00006A06"/>
    <w:rsid w:val="00006A64"/>
    <w:rsid w:val="00006A81"/>
    <w:rsid w:val="00006A8C"/>
    <w:rsid w:val="00006A98"/>
    <w:rsid w:val="00006ACC"/>
    <w:rsid w:val="00006B18"/>
    <w:rsid w:val="00006B5A"/>
    <w:rsid w:val="00006B7B"/>
    <w:rsid w:val="00006BB1"/>
    <w:rsid w:val="00006C09"/>
    <w:rsid w:val="00006C0B"/>
    <w:rsid w:val="00006C23"/>
    <w:rsid w:val="00006C60"/>
    <w:rsid w:val="00006C85"/>
    <w:rsid w:val="00006CFD"/>
    <w:rsid w:val="00006D9D"/>
    <w:rsid w:val="00006E04"/>
    <w:rsid w:val="00006E3D"/>
    <w:rsid w:val="00006EFD"/>
    <w:rsid w:val="00006F5A"/>
    <w:rsid w:val="00006FD3"/>
    <w:rsid w:val="00006FE6"/>
    <w:rsid w:val="00007000"/>
    <w:rsid w:val="0000701C"/>
    <w:rsid w:val="00007024"/>
    <w:rsid w:val="0000702F"/>
    <w:rsid w:val="0000703B"/>
    <w:rsid w:val="00007084"/>
    <w:rsid w:val="000070A5"/>
    <w:rsid w:val="000070A8"/>
    <w:rsid w:val="000070DA"/>
    <w:rsid w:val="0000714F"/>
    <w:rsid w:val="00007152"/>
    <w:rsid w:val="0000717D"/>
    <w:rsid w:val="00007193"/>
    <w:rsid w:val="000071D3"/>
    <w:rsid w:val="00007234"/>
    <w:rsid w:val="0000724A"/>
    <w:rsid w:val="00007250"/>
    <w:rsid w:val="00007271"/>
    <w:rsid w:val="00007279"/>
    <w:rsid w:val="000072B1"/>
    <w:rsid w:val="00007301"/>
    <w:rsid w:val="00007310"/>
    <w:rsid w:val="000073BF"/>
    <w:rsid w:val="000073EE"/>
    <w:rsid w:val="0000742A"/>
    <w:rsid w:val="0000743F"/>
    <w:rsid w:val="00007440"/>
    <w:rsid w:val="00007466"/>
    <w:rsid w:val="000074D3"/>
    <w:rsid w:val="00007559"/>
    <w:rsid w:val="0000757B"/>
    <w:rsid w:val="000076AD"/>
    <w:rsid w:val="000076C4"/>
    <w:rsid w:val="000076C9"/>
    <w:rsid w:val="000076ED"/>
    <w:rsid w:val="000076FE"/>
    <w:rsid w:val="00007714"/>
    <w:rsid w:val="000077A0"/>
    <w:rsid w:val="000077AC"/>
    <w:rsid w:val="000077DA"/>
    <w:rsid w:val="00007814"/>
    <w:rsid w:val="0000785F"/>
    <w:rsid w:val="0000788D"/>
    <w:rsid w:val="0000788E"/>
    <w:rsid w:val="000078C7"/>
    <w:rsid w:val="000078DB"/>
    <w:rsid w:val="000078EB"/>
    <w:rsid w:val="00007919"/>
    <w:rsid w:val="00007936"/>
    <w:rsid w:val="00007941"/>
    <w:rsid w:val="00007942"/>
    <w:rsid w:val="00007961"/>
    <w:rsid w:val="000079B6"/>
    <w:rsid w:val="00007A2E"/>
    <w:rsid w:val="00007A3F"/>
    <w:rsid w:val="00007A78"/>
    <w:rsid w:val="00007AAC"/>
    <w:rsid w:val="00007AFF"/>
    <w:rsid w:val="00007BD9"/>
    <w:rsid w:val="00007C3C"/>
    <w:rsid w:val="00007C65"/>
    <w:rsid w:val="00007C86"/>
    <w:rsid w:val="00007CB8"/>
    <w:rsid w:val="00007D1E"/>
    <w:rsid w:val="00007D6B"/>
    <w:rsid w:val="00007D6C"/>
    <w:rsid w:val="00007D8D"/>
    <w:rsid w:val="00007D90"/>
    <w:rsid w:val="00007DC7"/>
    <w:rsid w:val="00007E17"/>
    <w:rsid w:val="00007E23"/>
    <w:rsid w:val="00007E33"/>
    <w:rsid w:val="00007E57"/>
    <w:rsid w:val="00007ED5"/>
    <w:rsid w:val="00007EF7"/>
    <w:rsid w:val="00007F16"/>
    <w:rsid w:val="00007F6D"/>
    <w:rsid w:val="00007F7E"/>
    <w:rsid w:val="00007FBE"/>
    <w:rsid w:val="00010027"/>
    <w:rsid w:val="00010032"/>
    <w:rsid w:val="0001006F"/>
    <w:rsid w:val="0001007D"/>
    <w:rsid w:val="000100B6"/>
    <w:rsid w:val="000100D0"/>
    <w:rsid w:val="00010105"/>
    <w:rsid w:val="0001010E"/>
    <w:rsid w:val="00010119"/>
    <w:rsid w:val="00010153"/>
    <w:rsid w:val="0001017D"/>
    <w:rsid w:val="0001019D"/>
    <w:rsid w:val="000101A3"/>
    <w:rsid w:val="000101BF"/>
    <w:rsid w:val="00010211"/>
    <w:rsid w:val="000102D5"/>
    <w:rsid w:val="000102E0"/>
    <w:rsid w:val="000102F7"/>
    <w:rsid w:val="00010338"/>
    <w:rsid w:val="0001034B"/>
    <w:rsid w:val="0001034F"/>
    <w:rsid w:val="000103C8"/>
    <w:rsid w:val="0001042E"/>
    <w:rsid w:val="00010455"/>
    <w:rsid w:val="000104DF"/>
    <w:rsid w:val="000104EE"/>
    <w:rsid w:val="00010575"/>
    <w:rsid w:val="0001057C"/>
    <w:rsid w:val="000105DE"/>
    <w:rsid w:val="00010634"/>
    <w:rsid w:val="0001063E"/>
    <w:rsid w:val="00010663"/>
    <w:rsid w:val="0001069F"/>
    <w:rsid w:val="000106D2"/>
    <w:rsid w:val="000106EB"/>
    <w:rsid w:val="00010704"/>
    <w:rsid w:val="0001073B"/>
    <w:rsid w:val="0001077A"/>
    <w:rsid w:val="000107AB"/>
    <w:rsid w:val="000107D6"/>
    <w:rsid w:val="000107F3"/>
    <w:rsid w:val="00010820"/>
    <w:rsid w:val="00010875"/>
    <w:rsid w:val="00010882"/>
    <w:rsid w:val="00010885"/>
    <w:rsid w:val="000108B8"/>
    <w:rsid w:val="000108C3"/>
    <w:rsid w:val="0001096B"/>
    <w:rsid w:val="0001097C"/>
    <w:rsid w:val="000109F4"/>
    <w:rsid w:val="00010A14"/>
    <w:rsid w:val="00010A66"/>
    <w:rsid w:val="00010A7D"/>
    <w:rsid w:val="00010AC4"/>
    <w:rsid w:val="00010AD0"/>
    <w:rsid w:val="00010B1A"/>
    <w:rsid w:val="00010B2D"/>
    <w:rsid w:val="00010B31"/>
    <w:rsid w:val="00010B39"/>
    <w:rsid w:val="00010B82"/>
    <w:rsid w:val="00010BCA"/>
    <w:rsid w:val="00010C28"/>
    <w:rsid w:val="00010C36"/>
    <w:rsid w:val="00010C61"/>
    <w:rsid w:val="00010CE5"/>
    <w:rsid w:val="00010CFE"/>
    <w:rsid w:val="00010D5B"/>
    <w:rsid w:val="00010D73"/>
    <w:rsid w:val="00010D99"/>
    <w:rsid w:val="00010E15"/>
    <w:rsid w:val="00010E17"/>
    <w:rsid w:val="00010E24"/>
    <w:rsid w:val="00010E25"/>
    <w:rsid w:val="00010E9D"/>
    <w:rsid w:val="00010EAC"/>
    <w:rsid w:val="00010ED9"/>
    <w:rsid w:val="00010EEB"/>
    <w:rsid w:val="00010F4F"/>
    <w:rsid w:val="00010F63"/>
    <w:rsid w:val="00010F85"/>
    <w:rsid w:val="00010FC4"/>
    <w:rsid w:val="00010FE9"/>
    <w:rsid w:val="00010FEC"/>
    <w:rsid w:val="00011012"/>
    <w:rsid w:val="0001101D"/>
    <w:rsid w:val="0001104F"/>
    <w:rsid w:val="00011054"/>
    <w:rsid w:val="0001106E"/>
    <w:rsid w:val="0001108A"/>
    <w:rsid w:val="0001109F"/>
    <w:rsid w:val="000110F1"/>
    <w:rsid w:val="00011107"/>
    <w:rsid w:val="00011108"/>
    <w:rsid w:val="0001117A"/>
    <w:rsid w:val="0001117F"/>
    <w:rsid w:val="000111CA"/>
    <w:rsid w:val="00011258"/>
    <w:rsid w:val="00011283"/>
    <w:rsid w:val="000112D1"/>
    <w:rsid w:val="00011321"/>
    <w:rsid w:val="00011324"/>
    <w:rsid w:val="0001135A"/>
    <w:rsid w:val="0001136E"/>
    <w:rsid w:val="000113D9"/>
    <w:rsid w:val="00011444"/>
    <w:rsid w:val="00011474"/>
    <w:rsid w:val="000114B7"/>
    <w:rsid w:val="00011508"/>
    <w:rsid w:val="0001151A"/>
    <w:rsid w:val="00011606"/>
    <w:rsid w:val="00011640"/>
    <w:rsid w:val="00011666"/>
    <w:rsid w:val="000116AE"/>
    <w:rsid w:val="000116F5"/>
    <w:rsid w:val="00011709"/>
    <w:rsid w:val="00011725"/>
    <w:rsid w:val="00011753"/>
    <w:rsid w:val="00011798"/>
    <w:rsid w:val="000117AB"/>
    <w:rsid w:val="00011819"/>
    <w:rsid w:val="0001182D"/>
    <w:rsid w:val="0001183E"/>
    <w:rsid w:val="0001184F"/>
    <w:rsid w:val="0001186F"/>
    <w:rsid w:val="000118D2"/>
    <w:rsid w:val="0001190B"/>
    <w:rsid w:val="000119CE"/>
    <w:rsid w:val="00011A2D"/>
    <w:rsid w:val="00011A53"/>
    <w:rsid w:val="00011A60"/>
    <w:rsid w:val="00011A69"/>
    <w:rsid w:val="00011AEA"/>
    <w:rsid w:val="00011B5C"/>
    <w:rsid w:val="00011B78"/>
    <w:rsid w:val="00011B85"/>
    <w:rsid w:val="00011B99"/>
    <w:rsid w:val="00011BD7"/>
    <w:rsid w:val="00011C70"/>
    <w:rsid w:val="00011CE2"/>
    <w:rsid w:val="00011CEF"/>
    <w:rsid w:val="00011D25"/>
    <w:rsid w:val="00011D83"/>
    <w:rsid w:val="00011D8C"/>
    <w:rsid w:val="00011DAC"/>
    <w:rsid w:val="00011DE3"/>
    <w:rsid w:val="00011DE5"/>
    <w:rsid w:val="00011DFD"/>
    <w:rsid w:val="00011E03"/>
    <w:rsid w:val="00011E18"/>
    <w:rsid w:val="00011E7B"/>
    <w:rsid w:val="00011E86"/>
    <w:rsid w:val="00011E91"/>
    <w:rsid w:val="00011EBB"/>
    <w:rsid w:val="00011ED2"/>
    <w:rsid w:val="00011EF8"/>
    <w:rsid w:val="00011FC3"/>
    <w:rsid w:val="00012021"/>
    <w:rsid w:val="0001204C"/>
    <w:rsid w:val="00012110"/>
    <w:rsid w:val="0001213B"/>
    <w:rsid w:val="00012150"/>
    <w:rsid w:val="0001216F"/>
    <w:rsid w:val="00012173"/>
    <w:rsid w:val="00012219"/>
    <w:rsid w:val="00012243"/>
    <w:rsid w:val="00012246"/>
    <w:rsid w:val="00012255"/>
    <w:rsid w:val="0001225E"/>
    <w:rsid w:val="000122F2"/>
    <w:rsid w:val="00012332"/>
    <w:rsid w:val="0001236A"/>
    <w:rsid w:val="0001238D"/>
    <w:rsid w:val="0001239C"/>
    <w:rsid w:val="000123AE"/>
    <w:rsid w:val="000123B6"/>
    <w:rsid w:val="000123C7"/>
    <w:rsid w:val="000123DF"/>
    <w:rsid w:val="0001241C"/>
    <w:rsid w:val="00012435"/>
    <w:rsid w:val="00012448"/>
    <w:rsid w:val="0001245C"/>
    <w:rsid w:val="000124B7"/>
    <w:rsid w:val="00012529"/>
    <w:rsid w:val="00012563"/>
    <w:rsid w:val="000125AE"/>
    <w:rsid w:val="000125D1"/>
    <w:rsid w:val="00012640"/>
    <w:rsid w:val="00012650"/>
    <w:rsid w:val="00012653"/>
    <w:rsid w:val="0001266F"/>
    <w:rsid w:val="000126A1"/>
    <w:rsid w:val="000126E4"/>
    <w:rsid w:val="000126E7"/>
    <w:rsid w:val="0001274F"/>
    <w:rsid w:val="00012765"/>
    <w:rsid w:val="00012793"/>
    <w:rsid w:val="000127E2"/>
    <w:rsid w:val="000127F4"/>
    <w:rsid w:val="00012801"/>
    <w:rsid w:val="00012877"/>
    <w:rsid w:val="00012882"/>
    <w:rsid w:val="000128A8"/>
    <w:rsid w:val="000128D3"/>
    <w:rsid w:val="00012931"/>
    <w:rsid w:val="0001295B"/>
    <w:rsid w:val="000129A4"/>
    <w:rsid w:val="000129A6"/>
    <w:rsid w:val="000129AA"/>
    <w:rsid w:val="00012A82"/>
    <w:rsid w:val="00012A89"/>
    <w:rsid w:val="00012B52"/>
    <w:rsid w:val="00012B5E"/>
    <w:rsid w:val="00012B7F"/>
    <w:rsid w:val="00012C14"/>
    <w:rsid w:val="00012C1E"/>
    <w:rsid w:val="00012C33"/>
    <w:rsid w:val="00012C52"/>
    <w:rsid w:val="00012C5A"/>
    <w:rsid w:val="00012C62"/>
    <w:rsid w:val="00012C94"/>
    <w:rsid w:val="00012CA3"/>
    <w:rsid w:val="00012D3B"/>
    <w:rsid w:val="00012D46"/>
    <w:rsid w:val="00012D95"/>
    <w:rsid w:val="00012DB4"/>
    <w:rsid w:val="00012E0F"/>
    <w:rsid w:val="00012E9E"/>
    <w:rsid w:val="00012EC6"/>
    <w:rsid w:val="00012EE2"/>
    <w:rsid w:val="00012EFF"/>
    <w:rsid w:val="00012FD9"/>
    <w:rsid w:val="00012FFF"/>
    <w:rsid w:val="00013010"/>
    <w:rsid w:val="00013025"/>
    <w:rsid w:val="00013042"/>
    <w:rsid w:val="000130B1"/>
    <w:rsid w:val="000130FC"/>
    <w:rsid w:val="0001312C"/>
    <w:rsid w:val="00013132"/>
    <w:rsid w:val="00013172"/>
    <w:rsid w:val="000131D0"/>
    <w:rsid w:val="00013244"/>
    <w:rsid w:val="0001325E"/>
    <w:rsid w:val="00013302"/>
    <w:rsid w:val="00013328"/>
    <w:rsid w:val="00013355"/>
    <w:rsid w:val="00013373"/>
    <w:rsid w:val="00013387"/>
    <w:rsid w:val="0001338F"/>
    <w:rsid w:val="0001339E"/>
    <w:rsid w:val="000133AF"/>
    <w:rsid w:val="000133C5"/>
    <w:rsid w:val="000133FC"/>
    <w:rsid w:val="0001341C"/>
    <w:rsid w:val="00013441"/>
    <w:rsid w:val="00013455"/>
    <w:rsid w:val="0001347B"/>
    <w:rsid w:val="00013485"/>
    <w:rsid w:val="000134BE"/>
    <w:rsid w:val="000134F4"/>
    <w:rsid w:val="0001350A"/>
    <w:rsid w:val="00013538"/>
    <w:rsid w:val="0001355E"/>
    <w:rsid w:val="00013563"/>
    <w:rsid w:val="00013584"/>
    <w:rsid w:val="00013620"/>
    <w:rsid w:val="00013691"/>
    <w:rsid w:val="000136AB"/>
    <w:rsid w:val="000136B7"/>
    <w:rsid w:val="000136E6"/>
    <w:rsid w:val="00013748"/>
    <w:rsid w:val="00013833"/>
    <w:rsid w:val="0001387A"/>
    <w:rsid w:val="000138BB"/>
    <w:rsid w:val="0001391D"/>
    <w:rsid w:val="0001396A"/>
    <w:rsid w:val="00013992"/>
    <w:rsid w:val="0001399F"/>
    <w:rsid w:val="000139E1"/>
    <w:rsid w:val="00013A47"/>
    <w:rsid w:val="00013ADD"/>
    <w:rsid w:val="00013B09"/>
    <w:rsid w:val="00013B17"/>
    <w:rsid w:val="00013B26"/>
    <w:rsid w:val="00013B2B"/>
    <w:rsid w:val="00013B2D"/>
    <w:rsid w:val="00013B9B"/>
    <w:rsid w:val="00013BE5"/>
    <w:rsid w:val="00013BF3"/>
    <w:rsid w:val="00013C3C"/>
    <w:rsid w:val="00013C6C"/>
    <w:rsid w:val="00013CA5"/>
    <w:rsid w:val="00013CAF"/>
    <w:rsid w:val="00013CCD"/>
    <w:rsid w:val="00013D01"/>
    <w:rsid w:val="00013D5B"/>
    <w:rsid w:val="00013D94"/>
    <w:rsid w:val="00013DC3"/>
    <w:rsid w:val="00013DDC"/>
    <w:rsid w:val="00013E00"/>
    <w:rsid w:val="00013E4E"/>
    <w:rsid w:val="00013EDC"/>
    <w:rsid w:val="00013F16"/>
    <w:rsid w:val="00013F21"/>
    <w:rsid w:val="00013F5C"/>
    <w:rsid w:val="00013F7D"/>
    <w:rsid w:val="00013FD2"/>
    <w:rsid w:val="00013FF5"/>
    <w:rsid w:val="0001404B"/>
    <w:rsid w:val="0001408C"/>
    <w:rsid w:val="000140B7"/>
    <w:rsid w:val="000140BA"/>
    <w:rsid w:val="000140C7"/>
    <w:rsid w:val="000140DB"/>
    <w:rsid w:val="000140DC"/>
    <w:rsid w:val="000140E2"/>
    <w:rsid w:val="000140F4"/>
    <w:rsid w:val="00014176"/>
    <w:rsid w:val="00014190"/>
    <w:rsid w:val="000141D2"/>
    <w:rsid w:val="000141ED"/>
    <w:rsid w:val="00014270"/>
    <w:rsid w:val="000142AF"/>
    <w:rsid w:val="000142CA"/>
    <w:rsid w:val="0001431E"/>
    <w:rsid w:val="00014376"/>
    <w:rsid w:val="00014396"/>
    <w:rsid w:val="0001439F"/>
    <w:rsid w:val="000143B6"/>
    <w:rsid w:val="000143F4"/>
    <w:rsid w:val="000143FF"/>
    <w:rsid w:val="00014437"/>
    <w:rsid w:val="00014468"/>
    <w:rsid w:val="000144A5"/>
    <w:rsid w:val="000144B1"/>
    <w:rsid w:val="000144C9"/>
    <w:rsid w:val="000144D4"/>
    <w:rsid w:val="00014536"/>
    <w:rsid w:val="00014561"/>
    <w:rsid w:val="00014605"/>
    <w:rsid w:val="000146B1"/>
    <w:rsid w:val="000146C1"/>
    <w:rsid w:val="000146D1"/>
    <w:rsid w:val="000146E5"/>
    <w:rsid w:val="0001470B"/>
    <w:rsid w:val="00014752"/>
    <w:rsid w:val="00014764"/>
    <w:rsid w:val="00014782"/>
    <w:rsid w:val="0001478E"/>
    <w:rsid w:val="000147FF"/>
    <w:rsid w:val="000148BF"/>
    <w:rsid w:val="000148C8"/>
    <w:rsid w:val="00014903"/>
    <w:rsid w:val="00014913"/>
    <w:rsid w:val="00014980"/>
    <w:rsid w:val="0001498E"/>
    <w:rsid w:val="000149EE"/>
    <w:rsid w:val="00014A00"/>
    <w:rsid w:val="00014A64"/>
    <w:rsid w:val="00014A71"/>
    <w:rsid w:val="00014A85"/>
    <w:rsid w:val="00014A8B"/>
    <w:rsid w:val="00014AC3"/>
    <w:rsid w:val="00014B38"/>
    <w:rsid w:val="00014B7F"/>
    <w:rsid w:val="00014BA1"/>
    <w:rsid w:val="00014C29"/>
    <w:rsid w:val="00014C3B"/>
    <w:rsid w:val="00014C4E"/>
    <w:rsid w:val="00014C52"/>
    <w:rsid w:val="00014C5A"/>
    <w:rsid w:val="00014C8C"/>
    <w:rsid w:val="00014D23"/>
    <w:rsid w:val="00014D26"/>
    <w:rsid w:val="00014D62"/>
    <w:rsid w:val="00014D9B"/>
    <w:rsid w:val="00014E08"/>
    <w:rsid w:val="00014E30"/>
    <w:rsid w:val="00014E65"/>
    <w:rsid w:val="00014EDD"/>
    <w:rsid w:val="00014F55"/>
    <w:rsid w:val="00014F7C"/>
    <w:rsid w:val="00014FB4"/>
    <w:rsid w:val="00014FD2"/>
    <w:rsid w:val="00014FE0"/>
    <w:rsid w:val="00015034"/>
    <w:rsid w:val="0001503E"/>
    <w:rsid w:val="00015088"/>
    <w:rsid w:val="00015107"/>
    <w:rsid w:val="0001512E"/>
    <w:rsid w:val="0001514D"/>
    <w:rsid w:val="00015183"/>
    <w:rsid w:val="000151B9"/>
    <w:rsid w:val="000151CE"/>
    <w:rsid w:val="000151E3"/>
    <w:rsid w:val="0001520A"/>
    <w:rsid w:val="0001525D"/>
    <w:rsid w:val="0001527F"/>
    <w:rsid w:val="000152D7"/>
    <w:rsid w:val="000153C1"/>
    <w:rsid w:val="000153DE"/>
    <w:rsid w:val="00015405"/>
    <w:rsid w:val="000154CC"/>
    <w:rsid w:val="000154D6"/>
    <w:rsid w:val="000154FC"/>
    <w:rsid w:val="00015590"/>
    <w:rsid w:val="000155E2"/>
    <w:rsid w:val="0001560D"/>
    <w:rsid w:val="00015611"/>
    <w:rsid w:val="00015654"/>
    <w:rsid w:val="00015698"/>
    <w:rsid w:val="0001569C"/>
    <w:rsid w:val="00015721"/>
    <w:rsid w:val="0001579A"/>
    <w:rsid w:val="000157A6"/>
    <w:rsid w:val="0001585C"/>
    <w:rsid w:val="000158BB"/>
    <w:rsid w:val="000158C3"/>
    <w:rsid w:val="000158DE"/>
    <w:rsid w:val="000158E0"/>
    <w:rsid w:val="000158F1"/>
    <w:rsid w:val="00015913"/>
    <w:rsid w:val="00015914"/>
    <w:rsid w:val="00015985"/>
    <w:rsid w:val="000159B9"/>
    <w:rsid w:val="000159D3"/>
    <w:rsid w:val="00015A42"/>
    <w:rsid w:val="00015A93"/>
    <w:rsid w:val="00015AAD"/>
    <w:rsid w:val="00015B6D"/>
    <w:rsid w:val="00015B70"/>
    <w:rsid w:val="00015C09"/>
    <w:rsid w:val="00015C4E"/>
    <w:rsid w:val="00015C7E"/>
    <w:rsid w:val="00015CDA"/>
    <w:rsid w:val="00015CF8"/>
    <w:rsid w:val="00015CF9"/>
    <w:rsid w:val="00015D00"/>
    <w:rsid w:val="00015D90"/>
    <w:rsid w:val="00015D93"/>
    <w:rsid w:val="00015DE6"/>
    <w:rsid w:val="00015DFE"/>
    <w:rsid w:val="00015E0A"/>
    <w:rsid w:val="00015E0C"/>
    <w:rsid w:val="00015E1E"/>
    <w:rsid w:val="00015E68"/>
    <w:rsid w:val="00015E82"/>
    <w:rsid w:val="00015E92"/>
    <w:rsid w:val="00015EA9"/>
    <w:rsid w:val="00015ED3"/>
    <w:rsid w:val="00015EE6"/>
    <w:rsid w:val="00015F40"/>
    <w:rsid w:val="00015FA7"/>
    <w:rsid w:val="00015FBF"/>
    <w:rsid w:val="00016018"/>
    <w:rsid w:val="0001607E"/>
    <w:rsid w:val="000160DD"/>
    <w:rsid w:val="00016187"/>
    <w:rsid w:val="0001623A"/>
    <w:rsid w:val="0001623D"/>
    <w:rsid w:val="00016280"/>
    <w:rsid w:val="000162A4"/>
    <w:rsid w:val="0001633D"/>
    <w:rsid w:val="00016377"/>
    <w:rsid w:val="00016397"/>
    <w:rsid w:val="000163E2"/>
    <w:rsid w:val="000163F2"/>
    <w:rsid w:val="0001641E"/>
    <w:rsid w:val="000164D0"/>
    <w:rsid w:val="00016528"/>
    <w:rsid w:val="0001653A"/>
    <w:rsid w:val="00016584"/>
    <w:rsid w:val="00016587"/>
    <w:rsid w:val="000165FB"/>
    <w:rsid w:val="0001660E"/>
    <w:rsid w:val="00016623"/>
    <w:rsid w:val="00016640"/>
    <w:rsid w:val="000166B6"/>
    <w:rsid w:val="000166CC"/>
    <w:rsid w:val="000166FD"/>
    <w:rsid w:val="0001672C"/>
    <w:rsid w:val="0001673A"/>
    <w:rsid w:val="0001674C"/>
    <w:rsid w:val="00016752"/>
    <w:rsid w:val="00016790"/>
    <w:rsid w:val="0001679B"/>
    <w:rsid w:val="000167A0"/>
    <w:rsid w:val="000167FD"/>
    <w:rsid w:val="0001680E"/>
    <w:rsid w:val="0001680F"/>
    <w:rsid w:val="000168E1"/>
    <w:rsid w:val="000168FE"/>
    <w:rsid w:val="00016901"/>
    <w:rsid w:val="00016962"/>
    <w:rsid w:val="00016993"/>
    <w:rsid w:val="000169D1"/>
    <w:rsid w:val="000169E4"/>
    <w:rsid w:val="00016A0F"/>
    <w:rsid w:val="00016A26"/>
    <w:rsid w:val="00016AAA"/>
    <w:rsid w:val="00016B12"/>
    <w:rsid w:val="00016B74"/>
    <w:rsid w:val="00016B7B"/>
    <w:rsid w:val="00016BCD"/>
    <w:rsid w:val="00016BCE"/>
    <w:rsid w:val="00016BD3"/>
    <w:rsid w:val="00016C0D"/>
    <w:rsid w:val="00016C0F"/>
    <w:rsid w:val="00016C84"/>
    <w:rsid w:val="00016CB0"/>
    <w:rsid w:val="00016D0A"/>
    <w:rsid w:val="00016D18"/>
    <w:rsid w:val="00016D2D"/>
    <w:rsid w:val="00016DBD"/>
    <w:rsid w:val="00016E17"/>
    <w:rsid w:val="00016EE5"/>
    <w:rsid w:val="00016F21"/>
    <w:rsid w:val="00016F24"/>
    <w:rsid w:val="00016F25"/>
    <w:rsid w:val="00017008"/>
    <w:rsid w:val="0001702A"/>
    <w:rsid w:val="0001704E"/>
    <w:rsid w:val="000170B7"/>
    <w:rsid w:val="000170CA"/>
    <w:rsid w:val="000170CB"/>
    <w:rsid w:val="000170D3"/>
    <w:rsid w:val="000170D7"/>
    <w:rsid w:val="00017109"/>
    <w:rsid w:val="00017152"/>
    <w:rsid w:val="00017164"/>
    <w:rsid w:val="000171F5"/>
    <w:rsid w:val="00017246"/>
    <w:rsid w:val="00017332"/>
    <w:rsid w:val="00017356"/>
    <w:rsid w:val="000173C4"/>
    <w:rsid w:val="000173F0"/>
    <w:rsid w:val="00017470"/>
    <w:rsid w:val="00017480"/>
    <w:rsid w:val="000174CD"/>
    <w:rsid w:val="00017521"/>
    <w:rsid w:val="00017570"/>
    <w:rsid w:val="000175B9"/>
    <w:rsid w:val="000176A6"/>
    <w:rsid w:val="000176FC"/>
    <w:rsid w:val="00017770"/>
    <w:rsid w:val="00017780"/>
    <w:rsid w:val="00017791"/>
    <w:rsid w:val="000177A3"/>
    <w:rsid w:val="0001782B"/>
    <w:rsid w:val="0001789E"/>
    <w:rsid w:val="000178A3"/>
    <w:rsid w:val="0001792F"/>
    <w:rsid w:val="00017939"/>
    <w:rsid w:val="00017988"/>
    <w:rsid w:val="000179C7"/>
    <w:rsid w:val="000179EE"/>
    <w:rsid w:val="00017A9A"/>
    <w:rsid w:val="00017B22"/>
    <w:rsid w:val="00017B2F"/>
    <w:rsid w:val="00017B3D"/>
    <w:rsid w:val="00017B7E"/>
    <w:rsid w:val="00017B8B"/>
    <w:rsid w:val="00017BA2"/>
    <w:rsid w:val="00017BBF"/>
    <w:rsid w:val="00017C28"/>
    <w:rsid w:val="00017C6B"/>
    <w:rsid w:val="00017CF7"/>
    <w:rsid w:val="00017D5B"/>
    <w:rsid w:val="00017D6B"/>
    <w:rsid w:val="00017D8F"/>
    <w:rsid w:val="00017DD8"/>
    <w:rsid w:val="00017E6A"/>
    <w:rsid w:val="00017E9C"/>
    <w:rsid w:val="00017EF1"/>
    <w:rsid w:val="00017F98"/>
    <w:rsid w:val="00017FC3"/>
    <w:rsid w:val="00017FC5"/>
    <w:rsid w:val="00017FCD"/>
    <w:rsid w:val="0002008C"/>
    <w:rsid w:val="00020098"/>
    <w:rsid w:val="000200AC"/>
    <w:rsid w:val="000200B6"/>
    <w:rsid w:val="000201AB"/>
    <w:rsid w:val="0002021C"/>
    <w:rsid w:val="000202BD"/>
    <w:rsid w:val="000202DA"/>
    <w:rsid w:val="0002032B"/>
    <w:rsid w:val="00020336"/>
    <w:rsid w:val="0002033B"/>
    <w:rsid w:val="00020341"/>
    <w:rsid w:val="000203B1"/>
    <w:rsid w:val="0002046F"/>
    <w:rsid w:val="00020496"/>
    <w:rsid w:val="000204BD"/>
    <w:rsid w:val="000204F2"/>
    <w:rsid w:val="0002052B"/>
    <w:rsid w:val="00020573"/>
    <w:rsid w:val="0002058E"/>
    <w:rsid w:val="000205A3"/>
    <w:rsid w:val="000205B8"/>
    <w:rsid w:val="000205D0"/>
    <w:rsid w:val="000205DD"/>
    <w:rsid w:val="000205E7"/>
    <w:rsid w:val="000205EC"/>
    <w:rsid w:val="00020607"/>
    <w:rsid w:val="000206A1"/>
    <w:rsid w:val="000206CE"/>
    <w:rsid w:val="00020743"/>
    <w:rsid w:val="00020753"/>
    <w:rsid w:val="00020774"/>
    <w:rsid w:val="00020895"/>
    <w:rsid w:val="00020897"/>
    <w:rsid w:val="000208CB"/>
    <w:rsid w:val="00020925"/>
    <w:rsid w:val="0002092E"/>
    <w:rsid w:val="00020933"/>
    <w:rsid w:val="00020934"/>
    <w:rsid w:val="00020971"/>
    <w:rsid w:val="0002097F"/>
    <w:rsid w:val="0002099F"/>
    <w:rsid w:val="000209BB"/>
    <w:rsid w:val="000209E0"/>
    <w:rsid w:val="00020AA5"/>
    <w:rsid w:val="00020AB7"/>
    <w:rsid w:val="00020AE0"/>
    <w:rsid w:val="00020AF8"/>
    <w:rsid w:val="00020B2C"/>
    <w:rsid w:val="00020B40"/>
    <w:rsid w:val="00020B4C"/>
    <w:rsid w:val="00020B8E"/>
    <w:rsid w:val="00020B99"/>
    <w:rsid w:val="00020BA4"/>
    <w:rsid w:val="00020BB9"/>
    <w:rsid w:val="00020C05"/>
    <w:rsid w:val="00020C0A"/>
    <w:rsid w:val="00020CB3"/>
    <w:rsid w:val="00020CBF"/>
    <w:rsid w:val="00020CEF"/>
    <w:rsid w:val="00020CFC"/>
    <w:rsid w:val="00020D10"/>
    <w:rsid w:val="00020D1A"/>
    <w:rsid w:val="00020D47"/>
    <w:rsid w:val="00020D4E"/>
    <w:rsid w:val="00020D6B"/>
    <w:rsid w:val="00020DA0"/>
    <w:rsid w:val="00020E1C"/>
    <w:rsid w:val="00020E48"/>
    <w:rsid w:val="00020E80"/>
    <w:rsid w:val="00020EA9"/>
    <w:rsid w:val="00020EC0"/>
    <w:rsid w:val="00020F9C"/>
    <w:rsid w:val="00021066"/>
    <w:rsid w:val="00021124"/>
    <w:rsid w:val="00021155"/>
    <w:rsid w:val="0002116B"/>
    <w:rsid w:val="00021185"/>
    <w:rsid w:val="00021196"/>
    <w:rsid w:val="000211AE"/>
    <w:rsid w:val="000211D1"/>
    <w:rsid w:val="0002120F"/>
    <w:rsid w:val="00021237"/>
    <w:rsid w:val="00021244"/>
    <w:rsid w:val="000212E4"/>
    <w:rsid w:val="0002134D"/>
    <w:rsid w:val="00021384"/>
    <w:rsid w:val="00021391"/>
    <w:rsid w:val="000213AC"/>
    <w:rsid w:val="000213CA"/>
    <w:rsid w:val="000213FB"/>
    <w:rsid w:val="0002140F"/>
    <w:rsid w:val="0002149F"/>
    <w:rsid w:val="000214FB"/>
    <w:rsid w:val="00021505"/>
    <w:rsid w:val="00021513"/>
    <w:rsid w:val="000215EA"/>
    <w:rsid w:val="000215FA"/>
    <w:rsid w:val="0002166E"/>
    <w:rsid w:val="000216CD"/>
    <w:rsid w:val="000216EF"/>
    <w:rsid w:val="0002176A"/>
    <w:rsid w:val="000217E8"/>
    <w:rsid w:val="00021808"/>
    <w:rsid w:val="0002183B"/>
    <w:rsid w:val="00021860"/>
    <w:rsid w:val="000218AF"/>
    <w:rsid w:val="000218F0"/>
    <w:rsid w:val="0002190F"/>
    <w:rsid w:val="0002191F"/>
    <w:rsid w:val="00021925"/>
    <w:rsid w:val="0002194B"/>
    <w:rsid w:val="0002195F"/>
    <w:rsid w:val="000219A5"/>
    <w:rsid w:val="000219B3"/>
    <w:rsid w:val="000219C5"/>
    <w:rsid w:val="000219FE"/>
    <w:rsid w:val="00021A74"/>
    <w:rsid w:val="00021AA8"/>
    <w:rsid w:val="00021ABE"/>
    <w:rsid w:val="00021AD7"/>
    <w:rsid w:val="00021B9E"/>
    <w:rsid w:val="00021BB9"/>
    <w:rsid w:val="00021BBD"/>
    <w:rsid w:val="00021BC3"/>
    <w:rsid w:val="00021BDE"/>
    <w:rsid w:val="00021C01"/>
    <w:rsid w:val="00021C5D"/>
    <w:rsid w:val="00021C69"/>
    <w:rsid w:val="00021C70"/>
    <w:rsid w:val="00021C78"/>
    <w:rsid w:val="00021C9B"/>
    <w:rsid w:val="00021CC2"/>
    <w:rsid w:val="00021D0D"/>
    <w:rsid w:val="00021D2D"/>
    <w:rsid w:val="00021DB9"/>
    <w:rsid w:val="00021DFD"/>
    <w:rsid w:val="00021E20"/>
    <w:rsid w:val="00021E4D"/>
    <w:rsid w:val="00021E81"/>
    <w:rsid w:val="00021EC8"/>
    <w:rsid w:val="00021EDD"/>
    <w:rsid w:val="00021EE0"/>
    <w:rsid w:val="00021EF0"/>
    <w:rsid w:val="00021EF3"/>
    <w:rsid w:val="00021F0B"/>
    <w:rsid w:val="00021F8B"/>
    <w:rsid w:val="00021FCA"/>
    <w:rsid w:val="00022040"/>
    <w:rsid w:val="000220B0"/>
    <w:rsid w:val="000220ED"/>
    <w:rsid w:val="00022102"/>
    <w:rsid w:val="0002213B"/>
    <w:rsid w:val="0002215E"/>
    <w:rsid w:val="0002216A"/>
    <w:rsid w:val="000221C8"/>
    <w:rsid w:val="000221CF"/>
    <w:rsid w:val="000221EC"/>
    <w:rsid w:val="00022218"/>
    <w:rsid w:val="00022224"/>
    <w:rsid w:val="000222DB"/>
    <w:rsid w:val="000222FE"/>
    <w:rsid w:val="0002231D"/>
    <w:rsid w:val="00022371"/>
    <w:rsid w:val="0002242E"/>
    <w:rsid w:val="0002243F"/>
    <w:rsid w:val="00022453"/>
    <w:rsid w:val="0002245B"/>
    <w:rsid w:val="0002245C"/>
    <w:rsid w:val="00022474"/>
    <w:rsid w:val="0002247B"/>
    <w:rsid w:val="000224BC"/>
    <w:rsid w:val="00022525"/>
    <w:rsid w:val="0002252C"/>
    <w:rsid w:val="0002253B"/>
    <w:rsid w:val="00022583"/>
    <w:rsid w:val="000225CB"/>
    <w:rsid w:val="0002264D"/>
    <w:rsid w:val="00022659"/>
    <w:rsid w:val="000226BF"/>
    <w:rsid w:val="000227E0"/>
    <w:rsid w:val="00022821"/>
    <w:rsid w:val="0002287E"/>
    <w:rsid w:val="00022887"/>
    <w:rsid w:val="00022890"/>
    <w:rsid w:val="000228B1"/>
    <w:rsid w:val="000228BB"/>
    <w:rsid w:val="000228FE"/>
    <w:rsid w:val="00022958"/>
    <w:rsid w:val="00022963"/>
    <w:rsid w:val="000229E6"/>
    <w:rsid w:val="00022A5B"/>
    <w:rsid w:val="00022A77"/>
    <w:rsid w:val="00022AA8"/>
    <w:rsid w:val="00022AC5"/>
    <w:rsid w:val="00022AF7"/>
    <w:rsid w:val="00022B1E"/>
    <w:rsid w:val="00022B2F"/>
    <w:rsid w:val="00022B4C"/>
    <w:rsid w:val="00022B73"/>
    <w:rsid w:val="00022B80"/>
    <w:rsid w:val="00022B98"/>
    <w:rsid w:val="00022BA7"/>
    <w:rsid w:val="00022BC8"/>
    <w:rsid w:val="00022BF4"/>
    <w:rsid w:val="00022BF8"/>
    <w:rsid w:val="00022C5F"/>
    <w:rsid w:val="00022D88"/>
    <w:rsid w:val="00022DCA"/>
    <w:rsid w:val="00022DD4"/>
    <w:rsid w:val="00022E1D"/>
    <w:rsid w:val="00022E2F"/>
    <w:rsid w:val="00022EDC"/>
    <w:rsid w:val="00022EE7"/>
    <w:rsid w:val="00022F02"/>
    <w:rsid w:val="00022FA7"/>
    <w:rsid w:val="00022FB8"/>
    <w:rsid w:val="00022FE8"/>
    <w:rsid w:val="00022FED"/>
    <w:rsid w:val="00023024"/>
    <w:rsid w:val="0002305B"/>
    <w:rsid w:val="00023070"/>
    <w:rsid w:val="0002307D"/>
    <w:rsid w:val="00023128"/>
    <w:rsid w:val="0002315E"/>
    <w:rsid w:val="000231D3"/>
    <w:rsid w:val="000231E7"/>
    <w:rsid w:val="000231F6"/>
    <w:rsid w:val="000231F7"/>
    <w:rsid w:val="00023206"/>
    <w:rsid w:val="00023262"/>
    <w:rsid w:val="000232A1"/>
    <w:rsid w:val="000232D1"/>
    <w:rsid w:val="000232E7"/>
    <w:rsid w:val="00023337"/>
    <w:rsid w:val="000233B2"/>
    <w:rsid w:val="000233B8"/>
    <w:rsid w:val="0002341D"/>
    <w:rsid w:val="0002342A"/>
    <w:rsid w:val="00023450"/>
    <w:rsid w:val="00023476"/>
    <w:rsid w:val="000234C2"/>
    <w:rsid w:val="000234D2"/>
    <w:rsid w:val="0002352A"/>
    <w:rsid w:val="0002354D"/>
    <w:rsid w:val="00023596"/>
    <w:rsid w:val="000235B1"/>
    <w:rsid w:val="000235E3"/>
    <w:rsid w:val="000235FE"/>
    <w:rsid w:val="0002367B"/>
    <w:rsid w:val="00023681"/>
    <w:rsid w:val="000236E2"/>
    <w:rsid w:val="000236E9"/>
    <w:rsid w:val="00023728"/>
    <w:rsid w:val="0002374D"/>
    <w:rsid w:val="00023777"/>
    <w:rsid w:val="000237B1"/>
    <w:rsid w:val="00023848"/>
    <w:rsid w:val="0002384F"/>
    <w:rsid w:val="0002391A"/>
    <w:rsid w:val="00023923"/>
    <w:rsid w:val="00023945"/>
    <w:rsid w:val="0002398F"/>
    <w:rsid w:val="000239BE"/>
    <w:rsid w:val="000239D8"/>
    <w:rsid w:val="000239F1"/>
    <w:rsid w:val="00023A1B"/>
    <w:rsid w:val="00023A70"/>
    <w:rsid w:val="00023AA6"/>
    <w:rsid w:val="00023AAB"/>
    <w:rsid w:val="00023AD0"/>
    <w:rsid w:val="00023B7E"/>
    <w:rsid w:val="00023B90"/>
    <w:rsid w:val="00023BA5"/>
    <w:rsid w:val="00023BC1"/>
    <w:rsid w:val="00023BE4"/>
    <w:rsid w:val="00023BF8"/>
    <w:rsid w:val="00023C23"/>
    <w:rsid w:val="00023CB4"/>
    <w:rsid w:val="00023E35"/>
    <w:rsid w:val="00023E4A"/>
    <w:rsid w:val="00023E65"/>
    <w:rsid w:val="00023EB0"/>
    <w:rsid w:val="00023ED1"/>
    <w:rsid w:val="00023EF6"/>
    <w:rsid w:val="00023F21"/>
    <w:rsid w:val="00023F44"/>
    <w:rsid w:val="00023F61"/>
    <w:rsid w:val="00023F81"/>
    <w:rsid w:val="00023F9F"/>
    <w:rsid w:val="00023FE0"/>
    <w:rsid w:val="0002400F"/>
    <w:rsid w:val="00024026"/>
    <w:rsid w:val="0002408C"/>
    <w:rsid w:val="000240CB"/>
    <w:rsid w:val="00024114"/>
    <w:rsid w:val="00024130"/>
    <w:rsid w:val="0002418C"/>
    <w:rsid w:val="000241F4"/>
    <w:rsid w:val="000242BC"/>
    <w:rsid w:val="0002434A"/>
    <w:rsid w:val="0002434C"/>
    <w:rsid w:val="00024362"/>
    <w:rsid w:val="0002439E"/>
    <w:rsid w:val="000243B3"/>
    <w:rsid w:val="000243B6"/>
    <w:rsid w:val="000243E6"/>
    <w:rsid w:val="00024413"/>
    <w:rsid w:val="00024444"/>
    <w:rsid w:val="0002444A"/>
    <w:rsid w:val="0002445C"/>
    <w:rsid w:val="00024468"/>
    <w:rsid w:val="00024487"/>
    <w:rsid w:val="000244BA"/>
    <w:rsid w:val="000244EE"/>
    <w:rsid w:val="00024593"/>
    <w:rsid w:val="000245AA"/>
    <w:rsid w:val="000245C8"/>
    <w:rsid w:val="000245D0"/>
    <w:rsid w:val="000245D9"/>
    <w:rsid w:val="000245DD"/>
    <w:rsid w:val="00024662"/>
    <w:rsid w:val="000246D3"/>
    <w:rsid w:val="000246F5"/>
    <w:rsid w:val="00024723"/>
    <w:rsid w:val="0002476D"/>
    <w:rsid w:val="00024775"/>
    <w:rsid w:val="000247A8"/>
    <w:rsid w:val="000247BB"/>
    <w:rsid w:val="00024808"/>
    <w:rsid w:val="0002480F"/>
    <w:rsid w:val="00024835"/>
    <w:rsid w:val="00024874"/>
    <w:rsid w:val="0002488F"/>
    <w:rsid w:val="0002496C"/>
    <w:rsid w:val="000249B8"/>
    <w:rsid w:val="00024A40"/>
    <w:rsid w:val="00024AA8"/>
    <w:rsid w:val="00024AA9"/>
    <w:rsid w:val="00024AD1"/>
    <w:rsid w:val="00024B01"/>
    <w:rsid w:val="00024B26"/>
    <w:rsid w:val="00024B32"/>
    <w:rsid w:val="00024B7D"/>
    <w:rsid w:val="00024BCC"/>
    <w:rsid w:val="00024BE7"/>
    <w:rsid w:val="00024BEE"/>
    <w:rsid w:val="00024C2A"/>
    <w:rsid w:val="00024C45"/>
    <w:rsid w:val="00024C7A"/>
    <w:rsid w:val="00024C9F"/>
    <w:rsid w:val="00024CA4"/>
    <w:rsid w:val="00024CAC"/>
    <w:rsid w:val="00024CBB"/>
    <w:rsid w:val="00024CC1"/>
    <w:rsid w:val="00024D76"/>
    <w:rsid w:val="00024D7C"/>
    <w:rsid w:val="00024D88"/>
    <w:rsid w:val="00024DA8"/>
    <w:rsid w:val="00024DBD"/>
    <w:rsid w:val="00024DC9"/>
    <w:rsid w:val="00024DD2"/>
    <w:rsid w:val="00024DEB"/>
    <w:rsid w:val="00024E30"/>
    <w:rsid w:val="00024E55"/>
    <w:rsid w:val="00024F5E"/>
    <w:rsid w:val="00024FB9"/>
    <w:rsid w:val="00024FC0"/>
    <w:rsid w:val="00024FE4"/>
    <w:rsid w:val="00025009"/>
    <w:rsid w:val="0002503F"/>
    <w:rsid w:val="0002507C"/>
    <w:rsid w:val="000250F1"/>
    <w:rsid w:val="00025106"/>
    <w:rsid w:val="00025123"/>
    <w:rsid w:val="0002512E"/>
    <w:rsid w:val="0002513B"/>
    <w:rsid w:val="000251B9"/>
    <w:rsid w:val="0002521F"/>
    <w:rsid w:val="00025224"/>
    <w:rsid w:val="0002522D"/>
    <w:rsid w:val="0002523F"/>
    <w:rsid w:val="0002527B"/>
    <w:rsid w:val="000252C0"/>
    <w:rsid w:val="00025362"/>
    <w:rsid w:val="000253AD"/>
    <w:rsid w:val="000253B6"/>
    <w:rsid w:val="000253CD"/>
    <w:rsid w:val="000253DC"/>
    <w:rsid w:val="000253EF"/>
    <w:rsid w:val="000253FA"/>
    <w:rsid w:val="0002544C"/>
    <w:rsid w:val="0002544D"/>
    <w:rsid w:val="00025454"/>
    <w:rsid w:val="0002545E"/>
    <w:rsid w:val="00025484"/>
    <w:rsid w:val="00025497"/>
    <w:rsid w:val="00025499"/>
    <w:rsid w:val="000254BA"/>
    <w:rsid w:val="0002552E"/>
    <w:rsid w:val="00025548"/>
    <w:rsid w:val="0002554A"/>
    <w:rsid w:val="00025567"/>
    <w:rsid w:val="00025582"/>
    <w:rsid w:val="000255CE"/>
    <w:rsid w:val="000255D0"/>
    <w:rsid w:val="000255EA"/>
    <w:rsid w:val="000255ED"/>
    <w:rsid w:val="0002564C"/>
    <w:rsid w:val="000256B3"/>
    <w:rsid w:val="00025704"/>
    <w:rsid w:val="0002570C"/>
    <w:rsid w:val="0002574F"/>
    <w:rsid w:val="00025804"/>
    <w:rsid w:val="0002580E"/>
    <w:rsid w:val="00025844"/>
    <w:rsid w:val="0002584D"/>
    <w:rsid w:val="00025879"/>
    <w:rsid w:val="000258F4"/>
    <w:rsid w:val="00025915"/>
    <w:rsid w:val="00025931"/>
    <w:rsid w:val="000259F1"/>
    <w:rsid w:val="00025A06"/>
    <w:rsid w:val="00025AD2"/>
    <w:rsid w:val="00025AEA"/>
    <w:rsid w:val="00025BD5"/>
    <w:rsid w:val="00025BDA"/>
    <w:rsid w:val="00025C77"/>
    <w:rsid w:val="00025C88"/>
    <w:rsid w:val="00025C91"/>
    <w:rsid w:val="00025CD0"/>
    <w:rsid w:val="00025CEB"/>
    <w:rsid w:val="00025D00"/>
    <w:rsid w:val="00025D0A"/>
    <w:rsid w:val="00025D1F"/>
    <w:rsid w:val="00025D48"/>
    <w:rsid w:val="00025D63"/>
    <w:rsid w:val="00025D7C"/>
    <w:rsid w:val="00025D80"/>
    <w:rsid w:val="00025E52"/>
    <w:rsid w:val="00025E55"/>
    <w:rsid w:val="00025E71"/>
    <w:rsid w:val="00025E9D"/>
    <w:rsid w:val="00025EAD"/>
    <w:rsid w:val="00025EB8"/>
    <w:rsid w:val="00025ECD"/>
    <w:rsid w:val="00025F21"/>
    <w:rsid w:val="00025F3F"/>
    <w:rsid w:val="00025F44"/>
    <w:rsid w:val="00025F46"/>
    <w:rsid w:val="00025F62"/>
    <w:rsid w:val="00025F66"/>
    <w:rsid w:val="00026004"/>
    <w:rsid w:val="00026016"/>
    <w:rsid w:val="0002601D"/>
    <w:rsid w:val="0002604D"/>
    <w:rsid w:val="000260BC"/>
    <w:rsid w:val="0002615C"/>
    <w:rsid w:val="00026180"/>
    <w:rsid w:val="00026183"/>
    <w:rsid w:val="0002619E"/>
    <w:rsid w:val="000261B6"/>
    <w:rsid w:val="000261B7"/>
    <w:rsid w:val="0002622A"/>
    <w:rsid w:val="0002626C"/>
    <w:rsid w:val="00026276"/>
    <w:rsid w:val="000262D6"/>
    <w:rsid w:val="00026312"/>
    <w:rsid w:val="00026340"/>
    <w:rsid w:val="0002635F"/>
    <w:rsid w:val="00026381"/>
    <w:rsid w:val="000264E4"/>
    <w:rsid w:val="0002652E"/>
    <w:rsid w:val="00026551"/>
    <w:rsid w:val="00026577"/>
    <w:rsid w:val="0002659C"/>
    <w:rsid w:val="000265A0"/>
    <w:rsid w:val="000265A1"/>
    <w:rsid w:val="0002667F"/>
    <w:rsid w:val="000266AC"/>
    <w:rsid w:val="00026794"/>
    <w:rsid w:val="000267B3"/>
    <w:rsid w:val="0002685D"/>
    <w:rsid w:val="0002689E"/>
    <w:rsid w:val="000268AE"/>
    <w:rsid w:val="000268BB"/>
    <w:rsid w:val="000268F3"/>
    <w:rsid w:val="000269C9"/>
    <w:rsid w:val="00026A21"/>
    <w:rsid w:val="00026A3E"/>
    <w:rsid w:val="00026AF3"/>
    <w:rsid w:val="00026B1E"/>
    <w:rsid w:val="00026B2B"/>
    <w:rsid w:val="00026B5F"/>
    <w:rsid w:val="00026B9D"/>
    <w:rsid w:val="00026BB0"/>
    <w:rsid w:val="00026C5A"/>
    <w:rsid w:val="00026CA8"/>
    <w:rsid w:val="00026CB1"/>
    <w:rsid w:val="00026CCF"/>
    <w:rsid w:val="00026CF4"/>
    <w:rsid w:val="00026D18"/>
    <w:rsid w:val="00026D3C"/>
    <w:rsid w:val="00026D4C"/>
    <w:rsid w:val="00026D8D"/>
    <w:rsid w:val="00026DB4"/>
    <w:rsid w:val="00026DEB"/>
    <w:rsid w:val="00026DF6"/>
    <w:rsid w:val="00026E04"/>
    <w:rsid w:val="00026E21"/>
    <w:rsid w:val="00026ECB"/>
    <w:rsid w:val="00026EF9"/>
    <w:rsid w:val="00026F03"/>
    <w:rsid w:val="00026F4B"/>
    <w:rsid w:val="00026F67"/>
    <w:rsid w:val="00026F91"/>
    <w:rsid w:val="00026FB6"/>
    <w:rsid w:val="00027005"/>
    <w:rsid w:val="0002700A"/>
    <w:rsid w:val="0002706E"/>
    <w:rsid w:val="00027086"/>
    <w:rsid w:val="000270D9"/>
    <w:rsid w:val="00027100"/>
    <w:rsid w:val="00027104"/>
    <w:rsid w:val="0002716B"/>
    <w:rsid w:val="0002718B"/>
    <w:rsid w:val="00027219"/>
    <w:rsid w:val="0002721E"/>
    <w:rsid w:val="0002722A"/>
    <w:rsid w:val="0002724A"/>
    <w:rsid w:val="000272C9"/>
    <w:rsid w:val="0002736C"/>
    <w:rsid w:val="0002737D"/>
    <w:rsid w:val="000273E4"/>
    <w:rsid w:val="0002740B"/>
    <w:rsid w:val="00027417"/>
    <w:rsid w:val="00027454"/>
    <w:rsid w:val="00027492"/>
    <w:rsid w:val="00027498"/>
    <w:rsid w:val="000274A5"/>
    <w:rsid w:val="000274B3"/>
    <w:rsid w:val="000274B5"/>
    <w:rsid w:val="000274C7"/>
    <w:rsid w:val="000274DB"/>
    <w:rsid w:val="000274DF"/>
    <w:rsid w:val="000274FE"/>
    <w:rsid w:val="000274FF"/>
    <w:rsid w:val="00027500"/>
    <w:rsid w:val="00027574"/>
    <w:rsid w:val="0002758D"/>
    <w:rsid w:val="000275B8"/>
    <w:rsid w:val="000275C5"/>
    <w:rsid w:val="00027619"/>
    <w:rsid w:val="00027637"/>
    <w:rsid w:val="000276A6"/>
    <w:rsid w:val="0002770A"/>
    <w:rsid w:val="000277FD"/>
    <w:rsid w:val="00027872"/>
    <w:rsid w:val="000278D3"/>
    <w:rsid w:val="00027921"/>
    <w:rsid w:val="00027A1B"/>
    <w:rsid w:val="00027A2A"/>
    <w:rsid w:val="00027A71"/>
    <w:rsid w:val="00027A9C"/>
    <w:rsid w:val="00027AB9"/>
    <w:rsid w:val="00027AFB"/>
    <w:rsid w:val="00027B15"/>
    <w:rsid w:val="00027B6E"/>
    <w:rsid w:val="00027BA8"/>
    <w:rsid w:val="00027BCA"/>
    <w:rsid w:val="00027C76"/>
    <w:rsid w:val="00027C86"/>
    <w:rsid w:val="00027C89"/>
    <w:rsid w:val="00027C9B"/>
    <w:rsid w:val="00027CA1"/>
    <w:rsid w:val="00027CAF"/>
    <w:rsid w:val="00027CDD"/>
    <w:rsid w:val="00027CF6"/>
    <w:rsid w:val="00027D06"/>
    <w:rsid w:val="00027E00"/>
    <w:rsid w:val="00027E3E"/>
    <w:rsid w:val="00027E84"/>
    <w:rsid w:val="00027EBB"/>
    <w:rsid w:val="00027EBC"/>
    <w:rsid w:val="00027EFB"/>
    <w:rsid w:val="00027F30"/>
    <w:rsid w:val="00027F8C"/>
    <w:rsid w:val="00030019"/>
    <w:rsid w:val="00030107"/>
    <w:rsid w:val="00030160"/>
    <w:rsid w:val="000301D4"/>
    <w:rsid w:val="000301D5"/>
    <w:rsid w:val="000301FF"/>
    <w:rsid w:val="00030234"/>
    <w:rsid w:val="000302AA"/>
    <w:rsid w:val="00030361"/>
    <w:rsid w:val="00030363"/>
    <w:rsid w:val="00030407"/>
    <w:rsid w:val="0003043F"/>
    <w:rsid w:val="00030441"/>
    <w:rsid w:val="00030489"/>
    <w:rsid w:val="000304B0"/>
    <w:rsid w:val="000304C5"/>
    <w:rsid w:val="000304F1"/>
    <w:rsid w:val="0003051F"/>
    <w:rsid w:val="00030567"/>
    <w:rsid w:val="0003058F"/>
    <w:rsid w:val="000305C1"/>
    <w:rsid w:val="000305E5"/>
    <w:rsid w:val="000305E6"/>
    <w:rsid w:val="00030615"/>
    <w:rsid w:val="0003061B"/>
    <w:rsid w:val="00030693"/>
    <w:rsid w:val="000306A4"/>
    <w:rsid w:val="000306C8"/>
    <w:rsid w:val="00030754"/>
    <w:rsid w:val="000307FA"/>
    <w:rsid w:val="000307FE"/>
    <w:rsid w:val="0003082B"/>
    <w:rsid w:val="0003083B"/>
    <w:rsid w:val="0003083E"/>
    <w:rsid w:val="00030846"/>
    <w:rsid w:val="0003084B"/>
    <w:rsid w:val="00030859"/>
    <w:rsid w:val="000308CF"/>
    <w:rsid w:val="000308E0"/>
    <w:rsid w:val="0003090D"/>
    <w:rsid w:val="00030925"/>
    <w:rsid w:val="0003094B"/>
    <w:rsid w:val="000309DB"/>
    <w:rsid w:val="000309F7"/>
    <w:rsid w:val="00030A30"/>
    <w:rsid w:val="00030A41"/>
    <w:rsid w:val="00030A59"/>
    <w:rsid w:val="00030A5C"/>
    <w:rsid w:val="00030A7C"/>
    <w:rsid w:val="00030AA3"/>
    <w:rsid w:val="00030B20"/>
    <w:rsid w:val="00030B81"/>
    <w:rsid w:val="00030C28"/>
    <w:rsid w:val="00030C53"/>
    <w:rsid w:val="00030C8A"/>
    <w:rsid w:val="00030CA0"/>
    <w:rsid w:val="00030CBB"/>
    <w:rsid w:val="00030CE5"/>
    <w:rsid w:val="00030CF1"/>
    <w:rsid w:val="00030D25"/>
    <w:rsid w:val="00030D42"/>
    <w:rsid w:val="00030D84"/>
    <w:rsid w:val="00030D87"/>
    <w:rsid w:val="00030D9A"/>
    <w:rsid w:val="00030DA5"/>
    <w:rsid w:val="00030DDB"/>
    <w:rsid w:val="00030E62"/>
    <w:rsid w:val="00030E7C"/>
    <w:rsid w:val="00030EDB"/>
    <w:rsid w:val="00030F00"/>
    <w:rsid w:val="00030F6A"/>
    <w:rsid w:val="00030FA7"/>
    <w:rsid w:val="00031006"/>
    <w:rsid w:val="00031046"/>
    <w:rsid w:val="0003105D"/>
    <w:rsid w:val="0003109A"/>
    <w:rsid w:val="000310EF"/>
    <w:rsid w:val="00031101"/>
    <w:rsid w:val="000311AA"/>
    <w:rsid w:val="00031226"/>
    <w:rsid w:val="0003122D"/>
    <w:rsid w:val="00031236"/>
    <w:rsid w:val="0003123C"/>
    <w:rsid w:val="00031292"/>
    <w:rsid w:val="000312DB"/>
    <w:rsid w:val="000312E9"/>
    <w:rsid w:val="000312F0"/>
    <w:rsid w:val="00031322"/>
    <w:rsid w:val="00031379"/>
    <w:rsid w:val="00031394"/>
    <w:rsid w:val="0003139D"/>
    <w:rsid w:val="000313FC"/>
    <w:rsid w:val="00031472"/>
    <w:rsid w:val="0003149F"/>
    <w:rsid w:val="00031537"/>
    <w:rsid w:val="00031554"/>
    <w:rsid w:val="00031576"/>
    <w:rsid w:val="000315AD"/>
    <w:rsid w:val="000315D2"/>
    <w:rsid w:val="00031615"/>
    <w:rsid w:val="0003165F"/>
    <w:rsid w:val="00031662"/>
    <w:rsid w:val="000316C1"/>
    <w:rsid w:val="000316E6"/>
    <w:rsid w:val="00031715"/>
    <w:rsid w:val="00031723"/>
    <w:rsid w:val="0003178D"/>
    <w:rsid w:val="0003178F"/>
    <w:rsid w:val="000317E3"/>
    <w:rsid w:val="00031801"/>
    <w:rsid w:val="0003181A"/>
    <w:rsid w:val="0003183F"/>
    <w:rsid w:val="00031899"/>
    <w:rsid w:val="0003189C"/>
    <w:rsid w:val="00031A01"/>
    <w:rsid w:val="00031A14"/>
    <w:rsid w:val="00031A2F"/>
    <w:rsid w:val="00031A6C"/>
    <w:rsid w:val="00031A7D"/>
    <w:rsid w:val="00031A7E"/>
    <w:rsid w:val="00031AB7"/>
    <w:rsid w:val="00031AFC"/>
    <w:rsid w:val="00031B35"/>
    <w:rsid w:val="00031B38"/>
    <w:rsid w:val="00031B48"/>
    <w:rsid w:val="00031C12"/>
    <w:rsid w:val="00031C16"/>
    <w:rsid w:val="00031C46"/>
    <w:rsid w:val="00031C4A"/>
    <w:rsid w:val="00031C67"/>
    <w:rsid w:val="00031D16"/>
    <w:rsid w:val="00031D7A"/>
    <w:rsid w:val="00031DA5"/>
    <w:rsid w:val="00031E14"/>
    <w:rsid w:val="00031EA0"/>
    <w:rsid w:val="00031EB8"/>
    <w:rsid w:val="00031F10"/>
    <w:rsid w:val="00031F1C"/>
    <w:rsid w:val="00031FF9"/>
    <w:rsid w:val="00032018"/>
    <w:rsid w:val="0003201F"/>
    <w:rsid w:val="00032021"/>
    <w:rsid w:val="000320F6"/>
    <w:rsid w:val="0003213C"/>
    <w:rsid w:val="0003216A"/>
    <w:rsid w:val="00032190"/>
    <w:rsid w:val="00032199"/>
    <w:rsid w:val="000321C8"/>
    <w:rsid w:val="000321EF"/>
    <w:rsid w:val="000321F0"/>
    <w:rsid w:val="00032214"/>
    <w:rsid w:val="0003221E"/>
    <w:rsid w:val="00032245"/>
    <w:rsid w:val="000322D8"/>
    <w:rsid w:val="0003236F"/>
    <w:rsid w:val="0003238C"/>
    <w:rsid w:val="0003238E"/>
    <w:rsid w:val="0003239A"/>
    <w:rsid w:val="000323C3"/>
    <w:rsid w:val="00032485"/>
    <w:rsid w:val="000324A4"/>
    <w:rsid w:val="000324AB"/>
    <w:rsid w:val="000324E7"/>
    <w:rsid w:val="0003250A"/>
    <w:rsid w:val="0003250C"/>
    <w:rsid w:val="00032522"/>
    <w:rsid w:val="00032529"/>
    <w:rsid w:val="00032557"/>
    <w:rsid w:val="000325A0"/>
    <w:rsid w:val="000325DE"/>
    <w:rsid w:val="00032615"/>
    <w:rsid w:val="00032660"/>
    <w:rsid w:val="00032674"/>
    <w:rsid w:val="0003267A"/>
    <w:rsid w:val="00032682"/>
    <w:rsid w:val="00032698"/>
    <w:rsid w:val="000326E3"/>
    <w:rsid w:val="000326E7"/>
    <w:rsid w:val="000326F3"/>
    <w:rsid w:val="00032701"/>
    <w:rsid w:val="00032733"/>
    <w:rsid w:val="00032766"/>
    <w:rsid w:val="000327B1"/>
    <w:rsid w:val="000327E0"/>
    <w:rsid w:val="000327F0"/>
    <w:rsid w:val="00032811"/>
    <w:rsid w:val="00032852"/>
    <w:rsid w:val="0003290D"/>
    <w:rsid w:val="00032997"/>
    <w:rsid w:val="000329DF"/>
    <w:rsid w:val="00032A03"/>
    <w:rsid w:val="00032A05"/>
    <w:rsid w:val="00032A18"/>
    <w:rsid w:val="00032A9C"/>
    <w:rsid w:val="00032AB6"/>
    <w:rsid w:val="00032AD1"/>
    <w:rsid w:val="00032AF5"/>
    <w:rsid w:val="00032B24"/>
    <w:rsid w:val="00032B48"/>
    <w:rsid w:val="00032B4A"/>
    <w:rsid w:val="00032B5A"/>
    <w:rsid w:val="00032BA2"/>
    <w:rsid w:val="00032BAB"/>
    <w:rsid w:val="00032BC1"/>
    <w:rsid w:val="00032BDE"/>
    <w:rsid w:val="00032BEA"/>
    <w:rsid w:val="00032BFC"/>
    <w:rsid w:val="00032C2F"/>
    <w:rsid w:val="00032C5B"/>
    <w:rsid w:val="00032CC2"/>
    <w:rsid w:val="00032CE4"/>
    <w:rsid w:val="00032CFA"/>
    <w:rsid w:val="00032D06"/>
    <w:rsid w:val="00032D64"/>
    <w:rsid w:val="00032DA8"/>
    <w:rsid w:val="00032DAE"/>
    <w:rsid w:val="00032E07"/>
    <w:rsid w:val="00032E16"/>
    <w:rsid w:val="00032E2D"/>
    <w:rsid w:val="00032F14"/>
    <w:rsid w:val="00032F59"/>
    <w:rsid w:val="00032F7B"/>
    <w:rsid w:val="00032FA1"/>
    <w:rsid w:val="0003306E"/>
    <w:rsid w:val="000330C0"/>
    <w:rsid w:val="000330CB"/>
    <w:rsid w:val="0003317D"/>
    <w:rsid w:val="0003318B"/>
    <w:rsid w:val="0003319F"/>
    <w:rsid w:val="000331B2"/>
    <w:rsid w:val="000331D0"/>
    <w:rsid w:val="00033207"/>
    <w:rsid w:val="0003320B"/>
    <w:rsid w:val="00033228"/>
    <w:rsid w:val="00033258"/>
    <w:rsid w:val="0003326D"/>
    <w:rsid w:val="00033284"/>
    <w:rsid w:val="0003329C"/>
    <w:rsid w:val="000332CE"/>
    <w:rsid w:val="000332EE"/>
    <w:rsid w:val="00033306"/>
    <w:rsid w:val="00033319"/>
    <w:rsid w:val="00033381"/>
    <w:rsid w:val="000333BE"/>
    <w:rsid w:val="000333D8"/>
    <w:rsid w:val="00033407"/>
    <w:rsid w:val="00033424"/>
    <w:rsid w:val="00033473"/>
    <w:rsid w:val="00033485"/>
    <w:rsid w:val="000334B2"/>
    <w:rsid w:val="000334F5"/>
    <w:rsid w:val="0003352C"/>
    <w:rsid w:val="0003355D"/>
    <w:rsid w:val="000335BB"/>
    <w:rsid w:val="00033612"/>
    <w:rsid w:val="00033621"/>
    <w:rsid w:val="000336B9"/>
    <w:rsid w:val="000336EA"/>
    <w:rsid w:val="0003377F"/>
    <w:rsid w:val="00033790"/>
    <w:rsid w:val="000337D3"/>
    <w:rsid w:val="000337DB"/>
    <w:rsid w:val="000337F4"/>
    <w:rsid w:val="0003383C"/>
    <w:rsid w:val="00033876"/>
    <w:rsid w:val="000338F9"/>
    <w:rsid w:val="00033918"/>
    <w:rsid w:val="00033923"/>
    <w:rsid w:val="0003393E"/>
    <w:rsid w:val="000339B1"/>
    <w:rsid w:val="000339CB"/>
    <w:rsid w:val="00033A37"/>
    <w:rsid w:val="00033A96"/>
    <w:rsid w:val="00033AD9"/>
    <w:rsid w:val="00033B22"/>
    <w:rsid w:val="00033B3A"/>
    <w:rsid w:val="00033B44"/>
    <w:rsid w:val="00033B64"/>
    <w:rsid w:val="00033B6A"/>
    <w:rsid w:val="00033B6D"/>
    <w:rsid w:val="00033B96"/>
    <w:rsid w:val="00033BB4"/>
    <w:rsid w:val="00033BB9"/>
    <w:rsid w:val="00033BD1"/>
    <w:rsid w:val="00033BF0"/>
    <w:rsid w:val="00033C28"/>
    <w:rsid w:val="00033C32"/>
    <w:rsid w:val="00033C6F"/>
    <w:rsid w:val="00033C75"/>
    <w:rsid w:val="00033CC9"/>
    <w:rsid w:val="00033D99"/>
    <w:rsid w:val="00033DB0"/>
    <w:rsid w:val="00033DB4"/>
    <w:rsid w:val="00033DF8"/>
    <w:rsid w:val="00033E1A"/>
    <w:rsid w:val="00033E88"/>
    <w:rsid w:val="00033F41"/>
    <w:rsid w:val="00033F52"/>
    <w:rsid w:val="00033FA0"/>
    <w:rsid w:val="00033FC0"/>
    <w:rsid w:val="00033FD6"/>
    <w:rsid w:val="00033FF1"/>
    <w:rsid w:val="0003408B"/>
    <w:rsid w:val="000340C2"/>
    <w:rsid w:val="000340D8"/>
    <w:rsid w:val="00034106"/>
    <w:rsid w:val="00034109"/>
    <w:rsid w:val="00034128"/>
    <w:rsid w:val="00034132"/>
    <w:rsid w:val="00034136"/>
    <w:rsid w:val="00034158"/>
    <w:rsid w:val="0003417F"/>
    <w:rsid w:val="000341E4"/>
    <w:rsid w:val="00034213"/>
    <w:rsid w:val="00034239"/>
    <w:rsid w:val="0003423C"/>
    <w:rsid w:val="000342FD"/>
    <w:rsid w:val="0003432C"/>
    <w:rsid w:val="00034371"/>
    <w:rsid w:val="00034388"/>
    <w:rsid w:val="00034396"/>
    <w:rsid w:val="00034426"/>
    <w:rsid w:val="0003448D"/>
    <w:rsid w:val="0003449B"/>
    <w:rsid w:val="000344CA"/>
    <w:rsid w:val="000344CF"/>
    <w:rsid w:val="0003455D"/>
    <w:rsid w:val="0003457C"/>
    <w:rsid w:val="00034588"/>
    <w:rsid w:val="00034611"/>
    <w:rsid w:val="0003462C"/>
    <w:rsid w:val="0003469B"/>
    <w:rsid w:val="000346C8"/>
    <w:rsid w:val="000346DE"/>
    <w:rsid w:val="00034721"/>
    <w:rsid w:val="0003476F"/>
    <w:rsid w:val="000347CD"/>
    <w:rsid w:val="00034836"/>
    <w:rsid w:val="0003485C"/>
    <w:rsid w:val="00034862"/>
    <w:rsid w:val="000348A9"/>
    <w:rsid w:val="000348D3"/>
    <w:rsid w:val="000348E6"/>
    <w:rsid w:val="000348E8"/>
    <w:rsid w:val="000348ED"/>
    <w:rsid w:val="000348F5"/>
    <w:rsid w:val="000348F8"/>
    <w:rsid w:val="0003490F"/>
    <w:rsid w:val="0003492A"/>
    <w:rsid w:val="00034977"/>
    <w:rsid w:val="00034982"/>
    <w:rsid w:val="000349D1"/>
    <w:rsid w:val="00034A05"/>
    <w:rsid w:val="00034A51"/>
    <w:rsid w:val="00034A56"/>
    <w:rsid w:val="00034A65"/>
    <w:rsid w:val="00034A80"/>
    <w:rsid w:val="00034ACA"/>
    <w:rsid w:val="00034AE1"/>
    <w:rsid w:val="00034B0C"/>
    <w:rsid w:val="00034B17"/>
    <w:rsid w:val="00034B3A"/>
    <w:rsid w:val="00034B4F"/>
    <w:rsid w:val="00034B66"/>
    <w:rsid w:val="00034B76"/>
    <w:rsid w:val="00034B81"/>
    <w:rsid w:val="00034BAB"/>
    <w:rsid w:val="00034BD7"/>
    <w:rsid w:val="00034C00"/>
    <w:rsid w:val="00034C32"/>
    <w:rsid w:val="00034C39"/>
    <w:rsid w:val="00034C5C"/>
    <w:rsid w:val="00034CCC"/>
    <w:rsid w:val="00034CCE"/>
    <w:rsid w:val="00034D0F"/>
    <w:rsid w:val="00034D48"/>
    <w:rsid w:val="00034D94"/>
    <w:rsid w:val="00034DBC"/>
    <w:rsid w:val="00034E27"/>
    <w:rsid w:val="00034E2A"/>
    <w:rsid w:val="00034E43"/>
    <w:rsid w:val="00034EF1"/>
    <w:rsid w:val="00034F5B"/>
    <w:rsid w:val="00034FA3"/>
    <w:rsid w:val="00034FB1"/>
    <w:rsid w:val="00034FE4"/>
    <w:rsid w:val="0003501A"/>
    <w:rsid w:val="0003504B"/>
    <w:rsid w:val="0003508A"/>
    <w:rsid w:val="00035111"/>
    <w:rsid w:val="0003514E"/>
    <w:rsid w:val="00035182"/>
    <w:rsid w:val="000351A5"/>
    <w:rsid w:val="000351AF"/>
    <w:rsid w:val="0003522B"/>
    <w:rsid w:val="0003522F"/>
    <w:rsid w:val="0003523B"/>
    <w:rsid w:val="0003524E"/>
    <w:rsid w:val="0003526C"/>
    <w:rsid w:val="0003529C"/>
    <w:rsid w:val="000352DE"/>
    <w:rsid w:val="000352F3"/>
    <w:rsid w:val="0003530C"/>
    <w:rsid w:val="0003530D"/>
    <w:rsid w:val="00035348"/>
    <w:rsid w:val="000353E6"/>
    <w:rsid w:val="00035407"/>
    <w:rsid w:val="00035411"/>
    <w:rsid w:val="00035473"/>
    <w:rsid w:val="0003547B"/>
    <w:rsid w:val="000354EC"/>
    <w:rsid w:val="0003553D"/>
    <w:rsid w:val="00035549"/>
    <w:rsid w:val="0003559F"/>
    <w:rsid w:val="000355A3"/>
    <w:rsid w:val="00035642"/>
    <w:rsid w:val="000356DB"/>
    <w:rsid w:val="00035708"/>
    <w:rsid w:val="0003573B"/>
    <w:rsid w:val="00035783"/>
    <w:rsid w:val="00035788"/>
    <w:rsid w:val="00035794"/>
    <w:rsid w:val="000357BC"/>
    <w:rsid w:val="0003582A"/>
    <w:rsid w:val="000358CB"/>
    <w:rsid w:val="00035901"/>
    <w:rsid w:val="0003590C"/>
    <w:rsid w:val="0003596F"/>
    <w:rsid w:val="00035973"/>
    <w:rsid w:val="000359AB"/>
    <w:rsid w:val="00035A10"/>
    <w:rsid w:val="00035A49"/>
    <w:rsid w:val="00035A87"/>
    <w:rsid w:val="00035A91"/>
    <w:rsid w:val="00035AB1"/>
    <w:rsid w:val="00035AC2"/>
    <w:rsid w:val="00035AD7"/>
    <w:rsid w:val="00035ADC"/>
    <w:rsid w:val="00035B6B"/>
    <w:rsid w:val="00035B76"/>
    <w:rsid w:val="00035BCB"/>
    <w:rsid w:val="00035BE0"/>
    <w:rsid w:val="00035BFC"/>
    <w:rsid w:val="00035C3F"/>
    <w:rsid w:val="00035C65"/>
    <w:rsid w:val="00035C69"/>
    <w:rsid w:val="00035C98"/>
    <w:rsid w:val="00035D62"/>
    <w:rsid w:val="00035D8A"/>
    <w:rsid w:val="00035DF6"/>
    <w:rsid w:val="00035E64"/>
    <w:rsid w:val="00035E90"/>
    <w:rsid w:val="00035EAD"/>
    <w:rsid w:val="00035F14"/>
    <w:rsid w:val="00035F4A"/>
    <w:rsid w:val="00035F4E"/>
    <w:rsid w:val="00035F77"/>
    <w:rsid w:val="000361A6"/>
    <w:rsid w:val="000361A9"/>
    <w:rsid w:val="000361B6"/>
    <w:rsid w:val="00036247"/>
    <w:rsid w:val="0003627A"/>
    <w:rsid w:val="000362B0"/>
    <w:rsid w:val="000362CD"/>
    <w:rsid w:val="000362FE"/>
    <w:rsid w:val="0003631F"/>
    <w:rsid w:val="000363F3"/>
    <w:rsid w:val="0003647D"/>
    <w:rsid w:val="00036496"/>
    <w:rsid w:val="000364A2"/>
    <w:rsid w:val="000364D4"/>
    <w:rsid w:val="00036512"/>
    <w:rsid w:val="00036550"/>
    <w:rsid w:val="000365A3"/>
    <w:rsid w:val="000365D1"/>
    <w:rsid w:val="000365EE"/>
    <w:rsid w:val="0003662E"/>
    <w:rsid w:val="0003666F"/>
    <w:rsid w:val="0003667A"/>
    <w:rsid w:val="000366C6"/>
    <w:rsid w:val="000366F6"/>
    <w:rsid w:val="00036705"/>
    <w:rsid w:val="00036713"/>
    <w:rsid w:val="00036718"/>
    <w:rsid w:val="00036754"/>
    <w:rsid w:val="000367BA"/>
    <w:rsid w:val="000367F2"/>
    <w:rsid w:val="000367F5"/>
    <w:rsid w:val="0003688E"/>
    <w:rsid w:val="000368C3"/>
    <w:rsid w:val="0003690A"/>
    <w:rsid w:val="00036925"/>
    <w:rsid w:val="0003694F"/>
    <w:rsid w:val="0003698A"/>
    <w:rsid w:val="000369C9"/>
    <w:rsid w:val="000369CA"/>
    <w:rsid w:val="000369CF"/>
    <w:rsid w:val="000369E6"/>
    <w:rsid w:val="00036A04"/>
    <w:rsid w:val="00036A4E"/>
    <w:rsid w:val="00036A5B"/>
    <w:rsid w:val="00036A81"/>
    <w:rsid w:val="00036ABF"/>
    <w:rsid w:val="00036B1A"/>
    <w:rsid w:val="00036BDF"/>
    <w:rsid w:val="00036BE0"/>
    <w:rsid w:val="00036C2D"/>
    <w:rsid w:val="00036C39"/>
    <w:rsid w:val="00036C92"/>
    <w:rsid w:val="00036CDF"/>
    <w:rsid w:val="00036CFF"/>
    <w:rsid w:val="00036D3E"/>
    <w:rsid w:val="00036D40"/>
    <w:rsid w:val="00036D49"/>
    <w:rsid w:val="00036D4D"/>
    <w:rsid w:val="00036D7D"/>
    <w:rsid w:val="00036E0A"/>
    <w:rsid w:val="00036E1A"/>
    <w:rsid w:val="00036E3A"/>
    <w:rsid w:val="00036E50"/>
    <w:rsid w:val="00036E7E"/>
    <w:rsid w:val="00036E80"/>
    <w:rsid w:val="00036EE0"/>
    <w:rsid w:val="00036F14"/>
    <w:rsid w:val="00036F1F"/>
    <w:rsid w:val="00036FAB"/>
    <w:rsid w:val="00036FC9"/>
    <w:rsid w:val="00036FCE"/>
    <w:rsid w:val="0003701E"/>
    <w:rsid w:val="00037027"/>
    <w:rsid w:val="00037070"/>
    <w:rsid w:val="00037087"/>
    <w:rsid w:val="000370DF"/>
    <w:rsid w:val="000370ED"/>
    <w:rsid w:val="000370F4"/>
    <w:rsid w:val="00037137"/>
    <w:rsid w:val="00037176"/>
    <w:rsid w:val="000371CE"/>
    <w:rsid w:val="000371E3"/>
    <w:rsid w:val="000371F1"/>
    <w:rsid w:val="00037235"/>
    <w:rsid w:val="0003723D"/>
    <w:rsid w:val="0003727C"/>
    <w:rsid w:val="00037289"/>
    <w:rsid w:val="000372ED"/>
    <w:rsid w:val="0003736D"/>
    <w:rsid w:val="0003744F"/>
    <w:rsid w:val="00037457"/>
    <w:rsid w:val="00037458"/>
    <w:rsid w:val="0003745C"/>
    <w:rsid w:val="0003746F"/>
    <w:rsid w:val="00037500"/>
    <w:rsid w:val="00037633"/>
    <w:rsid w:val="00037645"/>
    <w:rsid w:val="00037646"/>
    <w:rsid w:val="0003771D"/>
    <w:rsid w:val="00037720"/>
    <w:rsid w:val="000377F0"/>
    <w:rsid w:val="00037827"/>
    <w:rsid w:val="0003785E"/>
    <w:rsid w:val="000378AA"/>
    <w:rsid w:val="000378E3"/>
    <w:rsid w:val="00037947"/>
    <w:rsid w:val="00037997"/>
    <w:rsid w:val="000379C1"/>
    <w:rsid w:val="00037A60"/>
    <w:rsid w:val="00037A7F"/>
    <w:rsid w:val="00037AD4"/>
    <w:rsid w:val="00037AD7"/>
    <w:rsid w:val="00037ADA"/>
    <w:rsid w:val="00037AEA"/>
    <w:rsid w:val="00037B5A"/>
    <w:rsid w:val="00037B97"/>
    <w:rsid w:val="00037BF4"/>
    <w:rsid w:val="00037C11"/>
    <w:rsid w:val="00037C1C"/>
    <w:rsid w:val="00037C57"/>
    <w:rsid w:val="00037C90"/>
    <w:rsid w:val="00037C96"/>
    <w:rsid w:val="00037CAA"/>
    <w:rsid w:val="00037CC5"/>
    <w:rsid w:val="00037D01"/>
    <w:rsid w:val="00037D2A"/>
    <w:rsid w:val="00037D47"/>
    <w:rsid w:val="00037D88"/>
    <w:rsid w:val="00037D9A"/>
    <w:rsid w:val="00037E34"/>
    <w:rsid w:val="00037E3A"/>
    <w:rsid w:val="00037E81"/>
    <w:rsid w:val="00037ED8"/>
    <w:rsid w:val="00037F73"/>
    <w:rsid w:val="00037FFA"/>
    <w:rsid w:val="00040079"/>
    <w:rsid w:val="000400C6"/>
    <w:rsid w:val="000400E7"/>
    <w:rsid w:val="0004013F"/>
    <w:rsid w:val="00040146"/>
    <w:rsid w:val="00040209"/>
    <w:rsid w:val="00040234"/>
    <w:rsid w:val="00040259"/>
    <w:rsid w:val="0004029B"/>
    <w:rsid w:val="000402A2"/>
    <w:rsid w:val="000402CB"/>
    <w:rsid w:val="00040313"/>
    <w:rsid w:val="0004033B"/>
    <w:rsid w:val="00040394"/>
    <w:rsid w:val="000403E6"/>
    <w:rsid w:val="000403F8"/>
    <w:rsid w:val="00040448"/>
    <w:rsid w:val="00040454"/>
    <w:rsid w:val="000404DA"/>
    <w:rsid w:val="000404DC"/>
    <w:rsid w:val="00040551"/>
    <w:rsid w:val="00040554"/>
    <w:rsid w:val="00040594"/>
    <w:rsid w:val="00040618"/>
    <w:rsid w:val="00040688"/>
    <w:rsid w:val="00040732"/>
    <w:rsid w:val="0004075A"/>
    <w:rsid w:val="0004076D"/>
    <w:rsid w:val="0004077D"/>
    <w:rsid w:val="000407D4"/>
    <w:rsid w:val="00040801"/>
    <w:rsid w:val="00040812"/>
    <w:rsid w:val="0004081C"/>
    <w:rsid w:val="0004084E"/>
    <w:rsid w:val="0004086E"/>
    <w:rsid w:val="0004088B"/>
    <w:rsid w:val="0004089C"/>
    <w:rsid w:val="000408C8"/>
    <w:rsid w:val="000408CB"/>
    <w:rsid w:val="000408CF"/>
    <w:rsid w:val="00040994"/>
    <w:rsid w:val="0004099D"/>
    <w:rsid w:val="000409BF"/>
    <w:rsid w:val="00040A0A"/>
    <w:rsid w:val="00040AAB"/>
    <w:rsid w:val="00040ADD"/>
    <w:rsid w:val="00040AF0"/>
    <w:rsid w:val="00040B69"/>
    <w:rsid w:val="00040BA2"/>
    <w:rsid w:val="00040C23"/>
    <w:rsid w:val="00040C2C"/>
    <w:rsid w:val="00040C2E"/>
    <w:rsid w:val="00040C3A"/>
    <w:rsid w:val="00040C62"/>
    <w:rsid w:val="00040C73"/>
    <w:rsid w:val="00040CC8"/>
    <w:rsid w:val="00040CD3"/>
    <w:rsid w:val="00040CDF"/>
    <w:rsid w:val="00040D1B"/>
    <w:rsid w:val="00040D67"/>
    <w:rsid w:val="00040D75"/>
    <w:rsid w:val="00040D77"/>
    <w:rsid w:val="00040D79"/>
    <w:rsid w:val="00040D8D"/>
    <w:rsid w:val="00040DB8"/>
    <w:rsid w:val="00040DD2"/>
    <w:rsid w:val="00040E08"/>
    <w:rsid w:val="00040E1A"/>
    <w:rsid w:val="00040E49"/>
    <w:rsid w:val="00040ECA"/>
    <w:rsid w:val="00040F01"/>
    <w:rsid w:val="00040F42"/>
    <w:rsid w:val="00040F4D"/>
    <w:rsid w:val="00040FA2"/>
    <w:rsid w:val="00041038"/>
    <w:rsid w:val="000410C6"/>
    <w:rsid w:val="000410D8"/>
    <w:rsid w:val="00041222"/>
    <w:rsid w:val="0004123F"/>
    <w:rsid w:val="00041256"/>
    <w:rsid w:val="000413B6"/>
    <w:rsid w:val="000413CF"/>
    <w:rsid w:val="00041455"/>
    <w:rsid w:val="00041466"/>
    <w:rsid w:val="00041469"/>
    <w:rsid w:val="0004149A"/>
    <w:rsid w:val="000414AB"/>
    <w:rsid w:val="000414AE"/>
    <w:rsid w:val="000414B0"/>
    <w:rsid w:val="000414E6"/>
    <w:rsid w:val="00041510"/>
    <w:rsid w:val="00041571"/>
    <w:rsid w:val="00041574"/>
    <w:rsid w:val="00041633"/>
    <w:rsid w:val="00041672"/>
    <w:rsid w:val="000416A9"/>
    <w:rsid w:val="000416B7"/>
    <w:rsid w:val="000416CB"/>
    <w:rsid w:val="000416CC"/>
    <w:rsid w:val="000416D2"/>
    <w:rsid w:val="000416D7"/>
    <w:rsid w:val="00041700"/>
    <w:rsid w:val="00041716"/>
    <w:rsid w:val="00041733"/>
    <w:rsid w:val="00041758"/>
    <w:rsid w:val="00041785"/>
    <w:rsid w:val="000417AA"/>
    <w:rsid w:val="000417B3"/>
    <w:rsid w:val="00041844"/>
    <w:rsid w:val="0004189A"/>
    <w:rsid w:val="000418A4"/>
    <w:rsid w:val="000418F4"/>
    <w:rsid w:val="00041926"/>
    <w:rsid w:val="00041949"/>
    <w:rsid w:val="00041957"/>
    <w:rsid w:val="000419C0"/>
    <w:rsid w:val="000419EF"/>
    <w:rsid w:val="000419F3"/>
    <w:rsid w:val="00041A07"/>
    <w:rsid w:val="00041A1F"/>
    <w:rsid w:val="00041A41"/>
    <w:rsid w:val="00041A58"/>
    <w:rsid w:val="00041A8E"/>
    <w:rsid w:val="00041AAA"/>
    <w:rsid w:val="00041AC2"/>
    <w:rsid w:val="00041AD2"/>
    <w:rsid w:val="00041B09"/>
    <w:rsid w:val="00041B1A"/>
    <w:rsid w:val="00041B48"/>
    <w:rsid w:val="00041BA5"/>
    <w:rsid w:val="00041BC8"/>
    <w:rsid w:val="00041BDD"/>
    <w:rsid w:val="00041BF1"/>
    <w:rsid w:val="00041BF3"/>
    <w:rsid w:val="00041C17"/>
    <w:rsid w:val="00041C59"/>
    <w:rsid w:val="00041C72"/>
    <w:rsid w:val="00041C8F"/>
    <w:rsid w:val="00041CCC"/>
    <w:rsid w:val="00041CDC"/>
    <w:rsid w:val="00041CE4"/>
    <w:rsid w:val="00041D0E"/>
    <w:rsid w:val="00041D6B"/>
    <w:rsid w:val="00041E11"/>
    <w:rsid w:val="00041E41"/>
    <w:rsid w:val="00041E8C"/>
    <w:rsid w:val="00041E93"/>
    <w:rsid w:val="00041E96"/>
    <w:rsid w:val="00041EA8"/>
    <w:rsid w:val="00041EC2"/>
    <w:rsid w:val="00041F1B"/>
    <w:rsid w:val="00041F76"/>
    <w:rsid w:val="00041F8E"/>
    <w:rsid w:val="00041FFD"/>
    <w:rsid w:val="00042097"/>
    <w:rsid w:val="0004209C"/>
    <w:rsid w:val="000420E1"/>
    <w:rsid w:val="00042107"/>
    <w:rsid w:val="00042129"/>
    <w:rsid w:val="0004215C"/>
    <w:rsid w:val="0004217D"/>
    <w:rsid w:val="000421C9"/>
    <w:rsid w:val="00042210"/>
    <w:rsid w:val="0004222B"/>
    <w:rsid w:val="00042231"/>
    <w:rsid w:val="0004228B"/>
    <w:rsid w:val="00042346"/>
    <w:rsid w:val="000423F3"/>
    <w:rsid w:val="00042418"/>
    <w:rsid w:val="000424AF"/>
    <w:rsid w:val="000424B5"/>
    <w:rsid w:val="000424C6"/>
    <w:rsid w:val="000424F7"/>
    <w:rsid w:val="00042510"/>
    <w:rsid w:val="000425AE"/>
    <w:rsid w:val="00042624"/>
    <w:rsid w:val="0004266F"/>
    <w:rsid w:val="000426AA"/>
    <w:rsid w:val="000426B2"/>
    <w:rsid w:val="000426B7"/>
    <w:rsid w:val="000426B8"/>
    <w:rsid w:val="000426DF"/>
    <w:rsid w:val="0004271C"/>
    <w:rsid w:val="00042723"/>
    <w:rsid w:val="0004272F"/>
    <w:rsid w:val="0004274D"/>
    <w:rsid w:val="000427BC"/>
    <w:rsid w:val="000427DC"/>
    <w:rsid w:val="00042865"/>
    <w:rsid w:val="00042897"/>
    <w:rsid w:val="000428E2"/>
    <w:rsid w:val="0004292A"/>
    <w:rsid w:val="00042965"/>
    <w:rsid w:val="0004298D"/>
    <w:rsid w:val="000429C6"/>
    <w:rsid w:val="00042A1B"/>
    <w:rsid w:val="00042A53"/>
    <w:rsid w:val="00042B28"/>
    <w:rsid w:val="00042B62"/>
    <w:rsid w:val="00042BD3"/>
    <w:rsid w:val="00042BF7"/>
    <w:rsid w:val="00042C05"/>
    <w:rsid w:val="00042C10"/>
    <w:rsid w:val="00042C90"/>
    <w:rsid w:val="00042CA4"/>
    <w:rsid w:val="00042CC2"/>
    <w:rsid w:val="00042CF8"/>
    <w:rsid w:val="00042CFA"/>
    <w:rsid w:val="00042D16"/>
    <w:rsid w:val="00042D2E"/>
    <w:rsid w:val="00042D3D"/>
    <w:rsid w:val="00042D75"/>
    <w:rsid w:val="00042D9A"/>
    <w:rsid w:val="00042DAC"/>
    <w:rsid w:val="00042DD8"/>
    <w:rsid w:val="00042E4A"/>
    <w:rsid w:val="00042E52"/>
    <w:rsid w:val="00042E62"/>
    <w:rsid w:val="00042E79"/>
    <w:rsid w:val="00042E8C"/>
    <w:rsid w:val="00042ED1"/>
    <w:rsid w:val="00042EEF"/>
    <w:rsid w:val="00042F47"/>
    <w:rsid w:val="00042F4F"/>
    <w:rsid w:val="00042F7D"/>
    <w:rsid w:val="00042F7E"/>
    <w:rsid w:val="00042FB1"/>
    <w:rsid w:val="00042FBE"/>
    <w:rsid w:val="00043019"/>
    <w:rsid w:val="0004302D"/>
    <w:rsid w:val="0004304F"/>
    <w:rsid w:val="0004305B"/>
    <w:rsid w:val="0004306C"/>
    <w:rsid w:val="00043086"/>
    <w:rsid w:val="0004314B"/>
    <w:rsid w:val="00043177"/>
    <w:rsid w:val="0004318F"/>
    <w:rsid w:val="00043202"/>
    <w:rsid w:val="0004320B"/>
    <w:rsid w:val="0004321B"/>
    <w:rsid w:val="00043233"/>
    <w:rsid w:val="0004325A"/>
    <w:rsid w:val="0004330F"/>
    <w:rsid w:val="00043310"/>
    <w:rsid w:val="00043348"/>
    <w:rsid w:val="0004334C"/>
    <w:rsid w:val="00043389"/>
    <w:rsid w:val="000433A8"/>
    <w:rsid w:val="000433F9"/>
    <w:rsid w:val="00043444"/>
    <w:rsid w:val="0004347C"/>
    <w:rsid w:val="0004349A"/>
    <w:rsid w:val="000434E4"/>
    <w:rsid w:val="000434FF"/>
    <w:rsid w:val="00043509"/>
    <w:rsid w:val="0004351E"/>
    <w:rsid w:val="000435ED"/>
    <w:rsid w:val="00043691"/>
    <w:rsid w:val="000436A5"/>
    <w:rsid w:val="000436C6"/>
    <w:rsid w:val="000436DC"/>
    <w:rsid w:val="000436DD"/>
    <w:rsid w:val="000436F7"/>
    <w:rsid w:val="000436FB"/>
    <w:rsid w:val="0004375B"/>
    <w:rsid w:val="00043764"/>
    <w:rsid w:val="00043884"/>
    <w:rsid w:val="00043899"/>
    <w:rsid w:val="000438CE"/>
    <w:rsid w:val="000438DE"/>
    <w:rsid w:val="0004392F"/>
    <w:rsid w:val="0004393A"/>
    <w:rsid w:val="0004395E"/>
    <w:rsid w:val="00043968"/>
    <w:rsid w:val="00043978"/>
    <w:rsid w:val="00043A1D"/>
    <w:rsid w:val="00043A96"/>
    <w:rsid w:val="00043A9F"/>
    <w:rsid w:val="00043AC3"/>
    <w:rsid w:val="00043AC7"/>
    <w:rsid w:val="00043B11"/>
    <w:rsid w:val="00043BA5"/>
    <w:rsid w:val="00043BA9"/>
    <w:rsid w:val="00043BEF"/>
    <w:rsid w:val="00043C27"/>
    <w:rsid w:val="00043C8C"/>
    <w:rsid w:val="00043C9A"/>
    <w:rsid w:val="00043CB7"/>
    <w:rsid w:val="00043CE3"/>
    <w:rsid w:val="00043CEE"/>
    <w:rsid w:val="00043CF4"/>
    <w:rsid w:val="00043CFB"/>
    <w:rsid w:val="00043D4B"/>
    <w:rsid w:val="00043D7A"/>
    <w:rsid w:val="00043DB0"/>
    <w:rsid w:val="00043DD4"/>
    <w:rsid w:val="00043DE3"/>
    <w:rsid w:val="00043DE9"/>
    <w:rsid w:val="00043DFF"/>
    <w:rsid w:val="00043E05"/>
    <w:rsid w:val="00043E4B"/>
    <w:rsid w:val="00043E9F"/>
    <w:rsid w:val="00043F51"/>
    <w:rsid w:val="00043F58"/>
    <w:rsid w:val="00043F9E"/>
    <w:rsid w:val="00043FA4"/>
    <w:rsid w:val="00043FD2"/>
    <w:rsid w:val="00044065"/>
    <w:rsid w:val="00044072"/>
    <w:rsid w:val="000440D3"/>
    <w:rsid w:val="000440F2"/>
    <w:rsid w:val="0004413B"/>
    <w:rsid w:val="00044167"/>
    <w:rsid w:val="0004418C"/>
    <w:rsid w:val="000441D1"/>
    <w:rsid w:val="000441E9"/>
    <w:rsid w:val="000441F4"/>
    <w:rsid w:val="00044242"/>
    <w:rsid w:val="0004426F"/>
    <w:rsid w:val="0004427B"/>
    <w:rsid w:val="00044285"/>
    <w:rsid w:val="000442B9"/>
    <w:rsid w:val="0004432C"/>
    <w:rsid w:val="00044368"/>
    <w:rsid w:val="00044370"/>
    <w:rsid w:val="000443A1"/>
    <w:rsid w:val="0004442F"/>
    <w:rsid w:val="00044454"/>
    <w:rsid w:val="0004445C"/>
    <w:rsid w:val="00044469"/>
    <w:rsid w:val="0004448B"/>
    <w:rsid w:val="00044504"/>
    <w:rsid w:val="00044523"/>
    <w:rsid w:val="00044529"/>
    <w:rsid w:val="00044559"/>
    <w:rsid w:val="0004457F"/>
    <w:rsid w:val="000445CE"/>
    <w:rsid w:val="000445E0"/>
    <w:rsid w:val="0004461D"/>
    <w:rsid w:val="00044700"/>
    <w:rsid w:val="00044746"/>
    <w:rsid w:val="00044758"/>
    <w:rsid w:val="0004477D"/>
    <w:rsid w:val="000447EA"/>
    <w:rsid w:val="00044833"/>
    <w:rsid w:val="0004483F"/>
    <w:rsid w:val="000448B7"/>
    <w:rsid w:val="000448C2"/>
    <w:rsid w:val="000448D2"/>
    <w:rsid w:val="000448DC"/>
    <w:rsid w:val="000449B5"/>
    <w:rsid w:val="000449C0"/>
    <w:rsid w:val="00044A38"/>
    <w:rsid w:val="00044A86"/>
    <w:rsid w:val="00044ACD"/>
    <w:rsid w:val="00044AD1"/>
    <w:rsid w:val="00044AD6"/>
    <w:rsid w:val="00044B18"/>
    <w:rsid w:val="00044B4B"/>
    <w:rsid w:val="00044B4C"/>
    <w:rsid w:val="00044B54"/>
    <w:rsid w:val="00044B75"/>
    <w:rsid w:val="00044C1D"/>
    <w:rsid w:val="00044C73"/>
    <w:rsid w:val="00044CB5"/>
    <w:rsid w:val="00044CC6"/>
    <w:rsid w:val="00044CCD"/>
    <w:rsid w:val="00044CDC"/>
    <w:rsid w:val="00044CEF"/>
    <w:rsid w:val="00044CFA"/>
    <w:rsid w:val="00044D41"/>
    <w:rsid w:val="00044D6C"/>
    <w:rsid w:val="00044D7B"/>
    <w:rsid w:val="00044D93"/>
    <w:rsid w:val="00044DB7"/>
    <w:rsid w:val="00044DE0"/>
    <w:rsid w:val="00044DF6"/>
    <w:rsid w:val="00044DFD"/>
    <w:rsid w:val="00044E1B"/>
    <w:rsid w:val="00044E5A"/>
    <w:rsid w:val="00044E7D"/>
    <w:rsid w:val="00044EEC"/>
    <w:rsid w:val="00044EFB"/>
    <w:rsid w:val="00044F4B"/>
    <w:rsid w:val="00044F50"/>
    <w:rsid w:val="00044FC7"/>
    <w:rsid w:val="00044FD6"/>
    <w:rsid w:val="00044FE0"/>
    <w:rsid w:val="00045009"/>
    <w:rsid w:val="00045038"/>
    <w:rsid w:val="0004506C"/>
    <w:rsid w:val="0004508C"/>
    <w:rsid w:val="0004509A"/>
    <w:rsid w:val="000451C6"/>
    <w:rsid w:val="0004520F"/>
    <w:rsid w:val="00045245"/>
    <w:rsid w:val="00045273"/>
    <w:rsid w:val="000452AD"/>
    <w:rsid w:val="000452BC"/>
    <w:rsid w:val="00045318"/>
    <w:rsid w:val="000453C1"/>
    <w:rsid w:val="000453C2"/>
    <w:rsid w:val="000453CD"/>
    <w:rsid w:val="000453DD"/>
    <w:rsid w:val="0004540B"/>
    <w:rsid w:val="00045425"/>
    <w:rsid w:val="00045435"/>
    <w:rsid w:val="0004543B"/>
    <w:rsid w:val="00045535"/>
    <w:rsid w:val="000455A1"/>
    <w:rsid w:val="0004569B"/>
    <w:rsid w:val="000456A9"/>
    <w:rsid w:val="000456D6"/>
    <w:rsid w:val="0004578B"/>
    <w:rsid w:val="000457A3"/>
    <w:rsid w:val="000457DB"/>
    <w:rsid w:val="000457DF"/>
    <w:rsid w:val="0004580C"/>
    <w:rsid w:val="00045864"/>
    <w:rsid w:val="0004587E"/>
    <w:rsid w:val="0004588C"/>
    <w:rsid w:val="00045890"/>
    <w:rsid w:val="00045894"/>
    <w:rsid w:val="000458A3"/>
    <w:rsid w:val="000458A7"/>
    <w:rsid w:val="000458C8"/>
    <w:rsid w:val="0004590D"/>
    <w:rsid w:val="00045918"/>
    <w:rsid w:val="00045928"/>
    <w:rsid w:val="00045938"/>
    <w:rsid w:val="0004595D"/>
    <w:rsid w:val="00045977"/>
    <w:rsid w:val="00045994"/>
    <w:rsid w:val="00045A24"/>
    <w:rsid w:val="00045A49"/>
    <w:rsid w:val="00045A52"/>
    <w:rsid w:val="00045A68"/>
    <w:rsid w:val="00045A73"/>
    <w:rsid w:val="00045B1F"/>
    <w:rsid w:val="00045BE0"/>
    <w:rsid w:val="00045C47"/>
    <w:rsid w:val="00045C5A"/>
    <w:rsid w:val="00045C9E"/>
    <w:rsid w:val="00045CA6"/>
    <w:rsid w:val="00045D15"/>
    <w:rsid w:val="00045D1B"/>
    <w:rsid w:val="00045D2F"/>
    <w:rsid w:val="00045DAE"/>
    <w:rsid w:val="00045DB6"/>
    <w:rsid w:val="00045DD9"/>
    <w:rsid w:val="00045E1C"/>
    <w:rsid w:val="00045E2A"/>
    <w:rsid w:val="00045E4F"/>
    <w:rsid w:val="00045E55"/>
    <w:rsid w:val="00045E6E"/>
    <w:rsid w:val="00045E9C"/>
    <w:rsid w:val="00045EB3"/>
    <w:rsid w:val="00045F29"/>
    <w:rsid w:val="00045F3E"/>
    <w:rsid w:val="00045F5F"/>
    <w:rsid w:val="00045F61"/>
    <w:rsid w:val="00045F7D"/>
    <w:rsid w:val="00045FB5"/>
    <w:rsid w:val="00045FC6"/>
    <w:rsid w:val="0004604D"/>
    <w:rsid w:val="000460B8"/>
    <w:rsid w:val="000460C7"/>
    <w:rsid w:val="0004610C"/>
    <w:rsid w:val="0004614C"/>
    <w:rsid w:val="00046155"/>
    <w:rsid w:val="00046169"/>
    <w:rsid w:val="00046290"/>
    <w:rsid w:val="0004629A"/>
    <w:rsid w:val="000462CB"/>
    <w:rsid w:val="000462F8"/>
    <w:rsid w:val="0004636B"/>
    <w:rsid w:val="00046452"/>
    <w:rsid w:val="0004647C"/>
    <w:rsid w:val="000464C0"/>
    <w:rsid w:val="000464DF"/>
    <w:rsid w:val="000464F0"/>
    <w:rsid w:val="000464F5"/>
    <w:rsid w:val="00046524"/>
    <w:rsid w:val="00046536"/>
    <w:rsid w:val="0004664A"/>
    <w:rsid w:val="00046669"/>
    <w:rsid w:val="000466AF"/>
    <w:rsid w:val="000466F2"/>
    <w:rsid w:val="00046701"/>
    <w:rsid w:val="0004674D"/>
    <w:rsid w:val="00046750"/>
    <w:rsid w:val="00046760"/>
    <w:rsid w:val="00046786"/>
    <w:rsid w:val="000467CE"/>
    <w:rsid w:val="000467DA"/>
    <w:rsid w:val="000467F0"/>
    <w:rsid w:val="0004680C"/>
    <w:rsid w:val="0004683E"/>
    <w:rsid w:val="00046847"/>
    <w:rsid w:val="000468B0"/>
    <w:rsid w:val="000468D0"/>
    <w:rsid w:val="000468F6"/>
    <w:rsid w:val="000468FC"/>
    <w:rsid w:val="00046937"/>
    <w:rsid w:val="00046957"/>
    <w:rsid w:val="00046997"/>
    <w:rsid w:val="000469AA"/>
    <w:rsid w:val="00046A1A"/>
    <w:rsid w:val="00046A1D"/>
    <w:rsid w:val="00046A70"/>
    <w:rsid w:val="00046AAA"/>
    <w:rsid w:val="00046B49"/>
    <w:rsid w:val="00046B4E"/>
    <w:rsid w:val="00046B6C"/>
    <w:rsid w:val="00046B8B"/>
    <w:rsid w:val="00046BCB"/>
    <w:rsid w:val="00046BE1"/>
    <w:rsid w:val="00046CB4"/>
    <w:rsid w:val="00046CE7"/>
    <w:rsid w:val="00046D78"/>
    <w:rsid w:val="00046DAA"/>
    <w:rsid w:val="00046DBF"/>
    <w:rsid w:val="00046DF0"/>
    <w:rsid w:val="00046E00"/>
    <w:rsid w:val="00046E0B"/>
    <w:rsid w:val="00046E48"/>
    <w:rsid w:val="00046E6C"/>
    <w:rsid w:val="00046E74"/>
    <w:rsid w:val="00046E92"/>
    <w:rsid w:val="00046EB9"/>
    <w:rsid w:val="00046ECD"/>
    <w:rsid w:val="00046EE5"/>
    <w:rsid w:val="00046EE9"/>
    <w:rsid w:val="00046F11"/>
    <w:rsid w:val="00046F58"/>
    <w:rsid w:val="00046F5A"/>
    <w:rsid w:val="00047011"/>
    <w:rsid w:val="00047014"/>
    <w:rsid w:val="00047046"/>
    <w:rsid w:val="000470C7"/>
    <w:rsid w:val="000470F6"/>
    <w:rsid w:val="00047121"/>
    <w:rsid w:val="0004712F"/>
    <w:rsid w:val="00047167"/>
    <w:rsid w:val="0004719A"/>
    <w:rsid w:val="000471A9"/>
    <w:rsid w:val="000471EF"/>
    <w:rsid w:val="00047213"/>
    <w:rsid w:val="00047239"/>
    <w:rsid w:val="00047264"/>
    <w:rsid w:val="0004729B"/>
    <w:rsid w:val="000472D9"/>
    <w:rsid w:val="000472F3"/>
    <w:rsid w:val="00047332"/>
    <w:rsid w:val="00047372"/>
    <w:rsid w:val="000473A4"/>
    <w:rsid w:val="000473C0"/>
    <w:rsid w:val="000473C8"/>
    <w:rsid w:val="000473DE"/>
    <w:rsid w:val="0004746C"/>
    <w:rsid w:val="000474A9"/>
    <w:rsid w:val="0004750A"/>
    <w:rsid w:val="00047521"/>
    <w:rsid w:val="000475C2"/>
    <w:rsid w:val="00047609"/>
    <w:rsid w:val="00047673"/>
    <w:rsid w:val="000476F2"/>
    <w:rsid w:val="00047760"/>
    <w:rsid w:val="000477B3"/>
    <w:rsid w:val="000477D3"/>
    <w:rsid w:val="00047812"/>
    <w:rsid w:val="0004784C"/>
    <w:rsid w:val="00047884"/>
    <w:rsid w:val="000478B2"/>
    <w:rsid w:val="000478B9"/>
    <w:rsid w:val="000478FF"/>
    <w:rsid w:val="00047901"/>
    <w:rsid w:val="00047908"/>
    <w:rsid w:val="00047919"/>
    <w:rsid w:val="00047929"/>
    <w:rsid w:val="00047973"/>
    <w:rsid w:val="000479E5"/>
    <w:rsid w:val="000479FA"/>
    <w:rsid w:val="00047A0D"/>
    <w:rsid w:val="00047A59"/>
    <w:rsid w:val="00047A6C"/>
    <w:rsid w:val="00047A8F"/>
    <w:rsid w:val="00047ABE"/>
    <w:rsid w:val="00047B0E"/>
    <w:rsid w:val="00047B1B"/>
    <w:rsid w:val="00047B69"/>
    <w:rsid w:val="00047B9B"/>
    <w:rsid w:val="00047BAC"/>
    <w:rsid w:val="00047C68"/>
    <w:rsid w:val="00047CC6"/>
    <w:rsid w:val="00047CD0"/>
    <w:rsid w:val="00047CEA"/>
    <w:rsid w:val="00047D22"/>
    <w:rsid w:val="00047D63"/>
    <w:rsid w:val="00047D89"/>
    <w:rsid w:val="00047D91"/>
    <w:rsid w:val="00047DCE"/>
    <w:rsid w:val="00047E0D"/>
    <w:rsid w:val="00047E6D"/>
    <w:rsid w:val="00047E96"/>
    <w:rsid w:val="00047EDD"/>
    <w:rsid w:val="00047EEE"/>
    <w:rsid w:val="00047EFF"/>
    <w:rsid w:val="00047F4A"/>
    <w:rsid w:val="00047FA9"/>
    <w:rsid w:val="00047FAF"/>
    <w:rsid w:val="00047FC2"/>
    <w:rsid w:val="00050036"/>
    <w:rsid w:val="000500A2"/>
    <w:rsid w:val="000500A8"/>
    <w:rsid w:val="00050134"/>
    <w:rsid w:val="00050194"/>
    <w:rsid w:val="000501E9"/>
    <w:rsid w:val="000501F0"/>
    <w:rsid w:val="00050216"/>
    <w:rsid w:val="00050228"/>
    <w:rsid w:val="00050251"/>
    <w:rsid w:val="00050287"/>
    <w:rsid w:val="0005028A"/>
    <w:rsid w:val="000502F5"/>
    <w:rsid w:val="00050329"/>
    <w:rsid w:val="00050373"/>
    <w:rsid w:val="0005040A"/>
    <w:rsid w:val="0005045B"/>
    <w:rsid w:val="00050470"/>
    <w:rsid w:val="0005047F"/>
    <w:rsid w:val="0005049C"/>
    <w:rsid w:val="000504AA"/>
    <w:rsid w:val="000504B7"/>
    <w:rsid w:val="000504F0"/>
    <w:rsid w:val="000504F5"/>
    <w:rsid w:val="0005050E"/>
    <w:rsid w:val="000505A4"/>
    <w:rsid w:val="000505D5"/>
    <w:rsid w:val="000505DC"/>
    <w:rsid w:val="0005061F"/>
    <w:rsid w:val="00050627"/>
    <w:rsid w:val="00050639"/>
    <w:rsid w:val="0005072A"/>
    <w:rsid w:val="0005073B"/>
    <w:rsid w:val="0005073E"/>
    <w:rsid w:val="00050755"/>
    <w:rsid w:val="0005075B"/>
    <w:rsid w:val="00050762"/>
    <w:rsid w:val="000507B5"/>
    <w:rsid w:val="000507D0"/>
    <w:rsid w:val="00050802"/>
    <w:rsid w:val="00050832"/>
    <w:rsid w:val="0005084F"/>
    <w:rsid w:val="00050890"/>
    <w:rsid w:val="00050897"/>
    <w:rsid w:val="000508B2"/>
    <w:rsid w:val="000508EB"/>
    <w:rsid w:val="00050991"/>
    <w:rsid w:val="00050993"/>
    <w:rsid w:val="000509B1"/>
    <w:rsid w:val="000509E3"/>
    <w:rsid w:val="00050A10"/>
    <w:rsid w:val="00050A2C"/>
    <w:rsid w:val="00050A40"/>
    <w:rsid w:val="00050AB8"/>
    <w:rsid w:val="00050B27"/>
    <w:rsid w:val="00050B82"/>
    <w:rsid w:val="00050BB1"/>
    <w:rsid w:val="00050C0D"/>
    <w:rsid w:val="00050C24"/>
    <w:rsid w:val="00050C62"/>
    <w:rsid w:val="00050C67"/>
    <w:rsid w:val="00050C96"/>
    <w:rsid w:val="00050CAA"/>
    <w:rsid w:val="00050D2D"/>
    <w:rsid w:val="00050D62"/>
    <w:rsid w:val="00050D84"/>
    <w:rsid w:val="00050DAE"/>
    <w:rsid w:val="00050DB8"/>
    <w:rsid w:val="00050DD7"/>
    <w:rsid w:val="00050DF4"/>
    <w:rsid w:val="00050DF5"/>
    <w:rsid w:val="00050DFD"/>
    <w:rsid w:val="00050E1C"/>
    <w:rsid w:val="00050EC3"/>
    <w:rsid w:val="00050F2B"/>
    <w:rsid w:val="00050F57"/>
    <w:rsid w:val="00050FBF"/>
    <w:rsid w:val="00051030"/>
    <w:rsid w:val="00051031"/>
    <w:rsid w:val="0005106C"/>
    <w:rsid w:val="000510B6"/>
    <w:rsid w:val="000510C6"/>
    <w:rsid w:val="000510D6"/>
    <w:rsid w:val="000510FF"/>
    <w:rsid w:val="0005110F"/>
    <w:rsid w:val="0005111A"/>
    <w:rsid w:val="00051122"/>
    <w:rsid w:val="0005115E"/>
    <w:rsid w:val="0005125D"/>
    <w:rsid w:val="00051285"/>
    <w:rsid w:val="000512A6"/>
    <w:rsid w:val="000512FB"/>
    <w:rsid w:val="000512FF"/>
    <w:rsid w:val="00051302"/>
    <w:rsid w:val="00051317"/>
    <w:rsid w:val="0005131A"/>
    <w:rsid w:val="00051376"/>
    <w:rsid w:val="0005138B"/>
    <w:rsid w:val="000513DF"/>
    <w:rsid w:val="000513FE"/>
    <w:rsid w:val="00051424"/>
    <w:rsid w:val="00051425"/>
    <w:rsid w:val="0005143B"/>
    <w:rsid w:val="0005143D"/>
    <w:rsid w:val="000514CF"/>
    <w:rsid w:val="000514FB"/>
    <w:rsid w:val="00051509"/>
    <w:rsid w:val="00051522"/>
    <w:rsid w:val="00051577"/>
    <w:rsid w:val="00051597"/>
    <w:rsid w:val="00051599"/>
    <w:rsid w:val="000515F2"/>
    <w:rsid w:val="00051601"/>
    <w:rsid w:val="00051624"/>
    <w:rsid w:val="0005162B"/>
    <w:rsid w:val="0005164C"/>
    <w:rsid w:val="00051723"/>
    <w:rsid w:val="0005175E"/>
    <w:rsid w:val="00051781"/>
    <w:rsid w:val="000517AA"/>
    <w:rsid w:val="000517F0"/>
    <w:rsid w:val="00051852"/>
    <w:rsid w:val="00051863"/>
    <w:rsid w:val="00051893"/>
    <w:rsid w:val="000518C7"/>
    <w:rsid w:val="000518E0"/>
    <w:rsid w:val="000518F2"/>
    <w:rsid w:val="0005197F"/>
    <w:rsid w:val="00051986"/>
    <w:rsid w:val="0005198F"/>
    <w:rsid w:val="00051990"/>
    <w:rsid w:val="000519E0"/>
    <w:rsid w:val="000519E1"/>
    <w:rsid w:val="000519E8"/>
    <w:rsid w:val="00051A08"/>
    <w:rsid w:val="00051B56"/>
    <w:rsid w:val="00051CEE"/>
    <w:rsid w:val="00051D0B"/>
    <w:rsid w:val="00051D99"/>
    <w:rsid w:val="00051DA4"/>
    <w:rsid w:val="00051DD6"/>
    <w:rsid w:val="00051DE7"/>
    <w:rsid w:val="00051E30"/>
    <w:rsid w:val="00051E31"/>
    <w:rsid w:val="00051E77"/>
    <w:rsid w:val="00051EAD"/>
    <w:rsid w:val="00051EB6"/>
    <w:rsid w:val="00051EF6"/>
    <w:rsid w:val="00051F04"/>
    <w:rsid w:val="00051F22"/>
    <w:rsid w:val="00051F51"/>
    <w:rsid w:val="00051FB0"/>
    <w:rsid w:val="0005201C"/>
    <w:rsid w:val="00052068"/>
    <w:rsid w:val="0005206A"/>
    <w:rsid w:val="00052105"/>
    <w:rsid w:val="0005210F"/>
    <w:rsid w:val="0005215E"/>
    <w:rsid w:val="000521B9"/>
    <w:rsid w:val="000521C4"/>
    <w:rsid w:val="00052231"/>
    <w:rsid w:val="00052239"/>
    <w:rsid w:val="00052260"/>
    <w:rsid w:val="0005229B"/>
    <w:rsid w:val="000522B7"/>
    <w:rsid w:val="00052355"/>
    <w:rsid w:val="00052376"/>
    <w:rsid w:val="00052384"/>
    <w:rsid w:val="000523E3"/>
    <w:rsid w:val="000523EA"/>
    <w:rsid w:val="00052401"/>
    <w:rsid w:val="0005240D"/>
    <w:rsid w:val="0005242F"/>
    <w:rsid w:val="00052483"/>
    <w:rsid w:val="00052490"/>
    <w:rsid w:val="000524C4"/>
    <w:rsid w:val="000524C5"/>
    <w:rsid w:val="00052570"/>
    <w:rsid w:val="000525AF"/>
    <w:rsid w:val="00052620"/>
    <w:rsid w:val="00052677"/>
    <w:rsid w:val="000526E0"/>
    <w:rsid w:val="00052711"/>
    <w:rsid w:val="00052724"/>
    <w:rsid w:val="0005272A"/>
    <w:rsid w:val="00052737"/>
    <w:rsid w:val="0005273D"/>
    <w:rsid w:val="000527F4"/>
    <w:rsid w:val="0005282D"/>
    <w:rsid w:val="0005283E"/>
    <w:rsid w:val="0005285A"/>
    <w:rsid w:val="00052860"/>
    <w:rsid w:val="0005289B"/>
    <w:rsid w:val="000528AC"/>
    <w:rsid w:val="000528B1"/>
    <w:rsid w:val="000528C6"/>
    <w:rsid w:val="000528E9"/>
    <w:rsid w:val="00052900"/>
    <w:rsid w:val="0005295B"/>
    <w:rsid w:val="00052991"/>
    <w:rsid w:val="00052A2A"/>
    <w:rsid w:val="00052AC4"/>
    <w:rsid w:val="00052AFA"/>
    <w:rsid w:val="00052B4F"/>
    <w:rsid w:val="00052B97"/>
    <w:rsid w:val="00052BBB"/>
    <w:rsid w:val="00052C21"/>
    <w:rsid w:val="00052C61"/>
    <w:rsid w:val="00052C97"/>
    <w:rsid w:val="00052D0A"/>
    <w:rsid w:val="00052D46"/>
    <w:rsid w:val="00052D59"/>
    <w:rsid w:val="00052D82"/>
    <w:rsid w:val="00052DBE"/>
    <w:rsid w:val="00052DCB"/>
    <w:rsid w:val="00052DF6"/>
    <w:rsid w:val="00052E3F"/>
    <w:rsid w:val="00052E42"/>
    <w:rsid w:val="00052E8A"/>
    <w:rsid w:val="00052E94"/>
    <w:rsid w:val="00052EB3"/>
    <w:rsid w:val="00052EB8"/>
    <w:rsid w:val="00052EBF"/>
    <w:rsid w:val="00052EC6"/>
    <w:rsid w:val="00052ED6"/>
    <w:rsid w:val="00052F2A"/>
    <w:rsid w:val="00052F3A"/>
    <w:rsid w:val="00052F48"/>
    <w:rsid w:val="00052F58"/>
    <w:rsid w:val="00052F69"/>
    <w:rsid w:val="00052F82"/>
    <w:rsid w:val="00052F97"/>
    <w:rsid w:val="00053068"/>
    <w:rsid w:val="000530E1"/>
    <w:rsid w:val="0005316D"/>
    <w:rsid w:val="00053187"/>
    <w:rsid w:val="000531AF"/>
    <w:rsid w:val="000531B4"/>
    <w:rsid w:val="000531FB"/>
    <w:rsid w:val="00053218"/>
    <w:rsid w:val="00053219"/>
    <w:rsid w:val="00053246"/>
    <w:rsid w:val="00053253"/>
    <w:rsid w:val="00053260"/>
    <w:rsid w:val="00053278"/>
    <w:rsid w:val="000532E7"/>
    <w:rsid w:val="000532FD"/>
    <w:rsid w:val="000532FF"/>
    <w:rsid w:val="00053364"/>
    <w:rsid w:val="00053388"/>
    <w:rsid w:val="0005338B"/>
    <w:rsid w:val="00053396"/>
    <w:rsid w:val="000533A1"/>
    <w:rsid w:val="00053444"/>
    <w:rsid w:val="0005346C"/>
    <w:rsid w:val="000534A6"/>
    <w:rsid w:val="000534BC"/>
    <w:rsid w:val="000534EA"/>
    <w:rsid w:val="000534FA"/>
    <w:rsid w:val="0005351B"/>
    <w:rsid w:val="0005355F"/>
    <w:rsid w:val="0005356F"/>
    <w:rsid w:val="00053576"/>
    <w:rsid w:val="000535BC"/>
    <w:rsid w:val="000535C5"/>
    <w:rsid w:val="000535EA"/>
    <w:rsid w:val="000536AA"/>
    <w:rsid w:val="000536B5"/>
    <w:rsid w:val="00053717"/>
    <w:rsid w:val="0005375E"/>
    <w:rsid w:val="0005377D"/>
    <w:rsid w:val="000537C5"/>
    <w:rsid w:val="000537DF"/>
    <w:rsid w:val="000537E2"/>
    <w:rsid w:val="00053819"/>
    <w:rsid w:val="00053826"/>
    <w:rsid w:val="0005385B"/>
    <w:rsid w:val="00053860"/>
    <w:rsid w:val="0005388E"/>
    <w:rsid w:val="0005389C"/>
    <w:rsid w:val="000538D1"/>
    <w:rsid w:val="00053945"/>
    <w:rsid w:val="00053951"/>
    <w:rsid w:val="000539AA"/>
    <w:rsid w:val="000539DD"/>
    <w:rsid w:val="000539FB"/>
    <w:rsid w:val="00053A23"/>
    <w:rsid w:val="00053A57"/>
    <w:rsid w:val="00053A67"/>
    <w:rsid w:val="00053A7A"/>
    <w:rsid w:val="00053AC0"/>
    <w:rsid w:val="00053AD8"/>
    <w:rsid w:val="00053B15"/>
    <w:rsid w:val="00053B3C"/>
    <w:rsid w:val="00053C54"/>
    <w:rsid w:val="00053C87"/>
    <w:rsid w:val="00053CDF"/>
    <w:rsid w:val="00053CFE"/>
    <w:rsid w:val="00053D1B"/>
    <w:rsid w:val="00053D4A"/>
    <w:rsid w:val="00053D5B"/>
    <w:rsid w:val="00053DA3"/>
    <w:rsid w:val="00053DB0"/>
    <w:rsid w:val="00053E05"/>
    <w:rsid w:val="00053E0B"/>
    <w:rsid w:val="00053E2B"/>
    <w:rsid w:val="00053E8E"/>
    <w:rsid w:val="00053EC3"/>
    <w:rsid w:val="00053ED3"/>
    <w:rsid w:val="00053F01"/>
    <w:rsid w:val="00053F08"/>
    <w:rsid w:val="00053F7E"/>
    <w:rsid w:val="00053F93"/>
    <w:rsid w:val="00053FBE"/>
    <w:rsid w:val="00053FE3"/>
    <w:rsid w:val="00053FEE"/>
    <w:rsid w:val="0005401B"/>
    <w:rsid w:val="000540C6"/>
    <w:rsid w:val="000540CC"/>
    <w:rsid w:val="000540DA"/>
    <w:rsid w:val="000540F5"/>
    <w:rsid w:val="0005410E"/>
    <w:rsid w:val="000541A3"/>
    <w:rsid w:val="000541A7"/>
    <w:rsid w:val="0005428A"/>
    <w:rsid w:val="00054290"/>
    <w:rsid w:val="00054300"/>
    <w:rsid w:val="00054369"/>
    <w:rsid w:val="0005437D"/>
    <w:rsid w:val="0005438B"/>
    <w:rsid w:val="000543E6"/>
    <w:rsid w:val="00054448"/>
    <w:rsid w:val="00054469"/>
    <w:rsid w:val="0005446D"/>
    <w:rsid w:val="000544D3"/>
    <w:rsid w:val="00054527"/>
    <w:rsid w:val="00054558"/>
    <w:rsid w:val="000545EC"/>
    <w:rsid w:val="000545FB"/>
    <w:rsid w:val="0005464A"/>
    <w:rsid w:val="0005467F"/>
    <w:rsid w:val="0005468E"/>
    <w:rsid w:val="0005472A"/>
    <w:rsid w:val="0005473A"/>
    <w:rsid w:val="0005474C"/>
    <w:rsid w:val="0005475C"/>
    <w:rsid w:val="0005482B"/>
    <w:rsid w:val="00054836"/>
    <w:rsid w:val="00054857"/>
    <w:rsid w:val="00054878"/>
    <w:rsid w:val="000548C1"/>
    <w:rsid w:val="000548CF"/>
    <w:rsid w:val="00054902"/>
    <w:rsid w:val="0005491F"/>
    <w:rsid w:val="00054939"/>
    <w:rsid w:val="00054965"/>
    <w:rsid w:val="000549E4"/>
    <w:rsid w:val="00054A3D"/>
    <w:rsid w:val="00054A68"/>
    <w:rsid w:val="00054AA3"/>
    <w:rsid w:val="00054AB4"/>
    <w:rsid w:val="00054B67"/>
    <w:rsid w:val="00054B97"/>
    <w:rsid w:val="00054BBA"/>
    <w:rsid w:val="00054BDA"/>
    <w:rsid w:val="00054C3C"/>
    <w:rsid w:val="00054C87"/>
    <w:rsid w:val="00054C8E"/>
    <w:rsid w:val="00054C92"/>
    <w:rsid w:val="00054D02"/>
    <w:rsid w:val="00054D7B"/>
    <w:rsid w:val="00054DB8"/>
    <w:rsid w:val="00054DC9"/>
    <w:rsid w:val="00054E0A"/>
    <w:rsid w:val="00054EAB"/>
    <w:rsid w:val="00054EE8"/>
    <w:rsid w:val="00054F1F"/>
    <w:rsid w:val="00054F32"/>
    <w:rsid w:val="00054F70"/>
    <w:rsid w:val="00054F9A"/>
    <w:rsid w:val="00054FA5"/>
    <w:rsid w:val="00054FC3"/>
    <w:rsid w:val="00054FE9"/>
    <w:rsid w:val="00055020"/>
    <w:rsid w:val="00055035"/>
    <w:rsid w:val="0005506E"/>
    <w:rsid w:val="0005507D"/>
    <w:rsid w:val="00055098"/>
    <w:rsid w:val="000550BE"/>
    <w:rsid w:val="000550D9"/>
    <w:rsid w:val="00055120"/>
    <w:rsid w:val="000551C1"/>
    <w:rsid w:val="000551D3"/>
    <w:rsid w:val="0005529D"/>
    <w:rsid w:val="00055382"/>
    <w:rsid w:val="0005538D"/>
    <w:rsid w:val="000553A0"/>
    <w:rsid w:val="000553B2"/>
    <w:rsid w:val="00055405"/>
    <w:rsid w:val="00055408"/>
    <w:rsid w:val="0005541E"/>
    <w:rsid w:val="0005542B"/>
    <w:rsid w:val="00055474"/>
    <w:rsid w:val="00055517"/>
    <w:rsid w:val="000555B8"/>
    <w:rsid w:val="00055635"/>
    <w:rsid w:val="000556B8"/>
    <w:rsid w:val="000556C4"/>
    <w:rsid w:val="00055743"/>
    <w:rsid w:val="000557F5"/>
    <w:rsid w:val="00055825"/>
    <w:rsid w:val="00055891"/>
    <w:rsid w:val="000558D5"/>
    <w:rsid w:val="000558FA"/>
    <w:rsid w:val="00055960"/>
    <w:rsid w:val="00055962"/>
    <w:rsid w:val="0005597C"/>
    <w:rsid w:val="000559EB"/>
    <w:rsid w:val="000559FB"/>
    <w:rsid w:val="00055A3C"/>
    <w:rsid w:val="00055A3D"/>
    <w:rsid w:val="00055A4B"/>
    <w:rsid w:val="00055A89"/>
    <w:rsid w:val="00055A8B"/>
    <w:rsid w:val="00055AAB"/>
    <w:rsid w:val="00055B23"/>
    <w:rsid w:val="00055B28"/>
    <w:rsid w:val="00055B5C"/>
    <w:rsid w:val="00055B6D"/>
    <w:rsid w:val="00055BAD"/>
    <w:rsid w:val="00055BB1"/>
    <w:rsid w:val="00055BBB"/>
    <w:rsid w:val="00055BC2"/>
    <w:rsid w:val="00055BC6"/>
    <w:rsid w:val="00055BE2"/>
    <w:rsid w:val="00055BE5"/>
    <w:rsid w:val="00055BE9"/>
    <w:rsid w:val="00055C0B"/>
    <w:rsid w:val="00055C0D"/>
    <w:rsid w:val="00055C36"/>
    <w:rsid w:val="00055C66"/>
    <w:rsid w:val="00055C67"/>
    <w:rsid w:val="00055CCB"/>
    <w:rsid w:val="00055D28"/>
    <w:rsid w:val="00055D5F"/>
    <w:rsid w:val="00055D76"/>
    <w:rsid w:val="00055E1D"/>
    <w:rsid w:val="00055E7E"/>
    <w:rsid w:val="00055E86"/>
    <w:rsid w:val="00055F50"/>
    <w:rsid w:val="00055F62"/>
    <w:rsid w:val="00055FF2"/>
    <w:rsid w:val="0005602E"/>
    <w:rsid w:val="00056067"/>
    <w:rsid w:val="0005608F"/>
    <w:rsid w:val="00056119"/>
    <w:rsid w:val="0005611C"/>
    <w:rsid w:val="0005619D"/>
    <w:rsid w:val="000561AC"/>
    <w:rsid w:val="000561BE"/>
    <w:rsid w:val="00056217"/>
    <w:rsid w:val="00056222"/>
    <w:rsid w:val="0005623F"/>
    <w:rsid w:val="000562B0"/>
    <w:rsid w:val="000563E8"/>
    <w:rsid w:val="00056438"/>
    <w:rsid w:val="00056452"/>
    <w:rsid w:val="00056463"/>
    <w:rsid w:val="000564D0"/>
    <w:rsid w:val="00056549"/>
    <w:rsid w:val="00056588"/>
    <w:rsid w:val="0005660D"/>
    <w:rsid w:val="0005661C"/>
    <w:rsid w:val="0005663E"/>
    <w:rsid w:val="00056646"/>
    <w:rsid w:val="00056656"/>
    <w:rsid w:val="000566A9"/>
    <w:rsid w:val="000566F8"/>
    <w:rsid w:val="00056782"/>
    <w:rsid w:val="000567A2"/>
    <w:rsid w:val="000567A3"/>
    <w:rsid w:val="000567AB"/>
    <w:rsid w:val="00056803"/>
    <w:rsid w:val="00056823"/>
    <w:rsid w:val="00056864"/>
    <w:rsid w:val="00056880"/>
    <w:rsid w:val="00056886"/>
    <w:rsid w:val="000568B6"/>
    <w:rsid w:val="000568D6"/>
    <w:rsid w:val="000568DB"/>
    <w:rsid w:val="000568DD"/>
    <w:rsid w:val="000568E1"/>
    <w:rsid w:val="000569B1"/>
    <w:rsid w:val="000569C7"/>
    <w:rsid w:val="000569E8"/>
    <w:rsid w:val="00056A67"/>
    <w:rsid w:val="00056A70"/>
    <w:rsid w:val="00056A90"/>
    <w:rsid w:val="00056AA5"/>
    <w:rsid w:val="00056AC8"/>
    <w:rsid w:val="00056AE3"/>
    <w:rsid w:val="00056AFC"/>
    <w:rsid w:val="00056B1D"/>
    <w:rsid w:val="00056B5A"/>
    <w:rsid w:val="00056BA4"/>
    <w:rsid w:val="00056BAE"/>
    <w:rsid w:val="00056C11"/>
    <w:rsid w:val="00056C46"/>
    <w:rsid w:val="00056C70"/>
    <w:rsid w:val="00056C84"/>
    <w:rsid w:val="00056C88"/>
    <w:rsid w:val="00056C9A"/>
    <w:rsid w:val="00056D26"/>
    <w:rsid w:val="00056DD0"/>
    <w:rsid w:val="00056EB5"/>
    <w:rsid w:val="00056F03"/>
    <w:rsid w:val="00056F1C"/>
    <w:rsid w:val="00056F4A"/>
    <w:rsid w:val="00056F53"/>
    <w:rsid w:val="00056F8E"/>
    <w:rsid w:val="00056F99"/>
    <w:rsid w:val="00057002"/>
    <w:rsid w:val="00057028"/>
    <w:rsid w:val="00057035"/>
    <w:rsid w:val="0005705B"/>
    <w:rsid w:val="000570A8"/>
    <w:rsid w:val="000570B0"/>
    <w:rsid w:val="0005710C"/>
    <w:rsid w:val="00057197"/>
    <w:rsid w:val="00057211"/>
    <w:rsid w:val="00057276"/>
    <w:rsid w:val="0005728D"/>
    <w:rsid w:val="000573BD"/>
    <w:rsid w:val="000573CC"/>
    <w:rsid w:val="000573F4"/>
    <w:rsid w:val="0005741B"/>
    <w:rsid w:val="00057436"/>
    <w:rsid w:val="00057447"/>
    <w:rsid w:val="000574A2"/>
    <w:rsid w:val="000574AC"/>
    <w:rsid w:val="000574F1"/>
    <w:rsid w:val="00057586"/>
    <w:rsid w:val="000575C5"/>
    <w:rsid w:val="000575E9"/>
    <w:rsid w:val="00057631"/>
    <w:rsid w:val="00057632"/>
    <w:rsid w:val="000576D1"/>
    <w:rsid w:val="000576D4"/>
    <w:rsid w:val="000576E2"/>
    <w:rsid w:val="00057749"/>
    <w:rsid w:val="0005775F"/>
    <w:rsid w:val="0005779F"/>
    <w:rsid w:val="000578E0"/>
    <w:rsid w:val="00057932"/>
    <w:rsid w:val="00057966"/>
    <w:rsid w:val="000579EA"/>
    <w:rsid w:val="000579F4"/>
    <w:rsid w:val="00057A17"/>
    <w:rsid w:val="00057AD9"/>
    <w:rsid w:val="00057ADA"/>
    <w:rsid w:val="00057AF7"/>
    <w:rsid w:val="00057B84"/>
    <w:rsid w:val="00057BD8"/>
    <w:rsid w:val="00057C4F"/>
    <w:rsid w:val="00057C5C"/>
    <w:rsid w:val="00057C69"/>
    <w:rsid w:val="00057C8F"/>
    <w:rsid w:val="00057C90"/>
    <w:rsid w:val="00057C93"/>
    <w:rsid w:val="00057CBD"/>
    <w:rsid w:val="00057CFB"/>
    <w:rsid w:val="00057D51"/>
    <w:rsid w:val="00057D62"/>
    <w:rsid w:val="00057DD4"/>
    <w:rsid w:val="00057DE3"/>
    <w:rsid w:val="00057E29"/>
    <w:rsid w:val="00057E42"/>
    <w:rsid w:val="00057E91"/>
    <w:rsid w:val="00057EC2"/>
    <w:rsid w:val="00057EE4"/>
    <w:rsid w:val="00057F77"/>
    <w:rsid w:val="00057F83"/>
    <w:rsid w:val="00057FDC"/>
    <w:rsid w:val="00057FE5"/>
    <w:rsid w:val="00060038"/>
    <w:rsid w:val="000600BF"/>
    <w:rsid w:val="000600D2"/>
    <w:rsid w:val="000600E9"/>
    <w:rsid w:val="00060141"/>
    <w:rsid w:val="000601A2"/>
    <w:rsid w:val="000601B9"/>
    <w:rsid w:val="00060211"/>
    <w:rsid w:val="0006023A"/>
    <w:rsid w:val="00060266"/>
    <w:rsid w:val="0006027D"/>
    <w:rsid w:val="000602E6"/>
    <w:rsid w:val="000602E9"/>
    <w:rsid w:val="00060301"/>
    <w:rsid w:val="0006031C"/>
    <w:rsid w:val="00060377"/>
    <w:rsid w:val="0006037A"/>
    <w:rsid w:val="00060390"/>
    <w:rsid w:val="000603AB"/>
    <w:rsid w:val="000603FB"/>
    <w:rsid w:val="000603FF"/>
    <w:rsid w:val="00060424"/>
    <w:rsid w:val="00060446"/>
    <w:rsid w:val="000604AA"/>
    <w:rsid w:val="000604BF"/>
    <w:rsid w:val="000604E8"/>
    <w:rsid w:val="00060521"/>
    <w:rsid w:val="00060536"/>
    <w:rsid w:val="0006056D"/>
    <w:rsid w:val="00060592"/>
    <w:rsid w:val="000605B0"/>
    <w:rsid w:val="000605EE"/>
    <w:rsid w:val="0006062C"/>
    <w:rsid w:val="00060647"/>
    <w:rsid w:val="0006064B"/>
    <w:rsid w:val="000606C5"/>
    <w:rsid w:val="000606D8"/>
    <w:rsid w:val="0006072A"/>
    <w:rsid w:val="000607F5"/>
    <w:rsid w:val="000607F7"/>
    <w:rsid w:val="0006080E"/>
    <w:rsid w:val="00060824"/>
    <w:rsid w:val="00060854"/>
    <w:rsid w:val="00060873"/>
    <w:rsid w:val="000608E5"/>
    <w:rsid w:val="00060909"/>
    <w:rsid w:val="0006093B"/>
    <w:rsid w:val="00060982"/>
    <w:rsid w:val="000609B8"/>
    <w:rsid w:val="00060A07"/>
    <w:rsid w:val="00060A29"/>
    <w:rsid w:val="00060AF8"/>
    <w:rsid w:val="00060B08"/>
    <w:rsid w:val="00060B39"/>
    <w:rsid w:val="00060C21"/>
    <w:rsid w:val="00060CA3"/>
    <w:rsid w:val="00060CB8"/>
    <w:rsid w:val="00060D01"/>
    <w:rsid w:val="00060D43"/>
    <w:rsid w:val="00060D5A"/>
    <w:rsid w:val="00060D6B"/>
    <w:rsid w:val="00060DC4"/>
    <w:rsid w:val="00060DD3"/>
    <w:rsid w:val="00060DD5"/>
    <w:rsid w:val="00060DD8"/>
    <w:rsid w:val="00060DE7"/>
    <w:rsid w:val="00060E05"/>
    <w:rsid w:val="00060E3D"/>
    <w:rsid w:val="00060E5E"/>
    <w:rsid w:val="00060EB1"/>
    <w:rsid w:val="00060EBC"/>
    <w:rsid w:val="00060EC3"/>
    <w:rsid w:val="00060F45"/>
    <w:rsid w:val="00060F5F"/>
    <w:rsid w:val="00060F6C"/>
    <w:rsid w:val="00060F7D"/>
    <w:rsid w:val="00060FA5"/>
    <w:rsid w:val="00061005"/>
    <w:rsid w:val="00061044"/>
    <w:rsid w:val="000610AF"/>
    <w:rsid w:val="000610BD"/>
    <w:rsid w:val="00061101"/>
    <w:rsid w:val="0006111A"/>
    <w:rsid w:val="00061126"/>
    <w:rsid w:val="00061156"/>
    <w:rsid w:val="0006117F"/>
    <w:rsid w:val="00061190"/>
    <w:rsid w:val="000611EC"/>
    <w:rsid w:val="00061237"/>
    <w:rsid w:val="00061244"/>
    <w:rsid w:val="0006124E"/>
    <w:rsid w:val="00061266"/>
    <w:rsid w:val="0006129D"/>
    <w:rsid w:val="000612A1"/>
    <w:rsid w:val="000612BC"/>
    <w:rsid w:val="0006131F"/>
    <w:rsid w:val="00061364"/>
    <w:rsid w:val="0006136E"/>
    <w:rsid w:val="00061398"/>
    <w:rsid w:val="00061423"/>
    <w:rsid w:val="00061429"/>
    <w:rsid w:val="00061447"/>
    <w:rsid w:val="00061462"/>
    <w:rsid w:val="000614E6"/>
    <w:rsid w:val="000614ED"/>
    <w:rsid w:val="00061527"/>
    <w:rsid w:val="0006153C"/>
    <w:rsid w:val="00061579"/>
    <w:rsid w:val="0006158C"/>
    <w:rsid w:val="000615B6"/>
    <w:rsid w:val="00061631"/>
    <w:rsid w:val="0006164D"/>
    <w:rsid w:val="00061651"/>
    <w:rsid w:val="00061661"/>
    <w:rsid w:val="000616C0"/>
    <w:rsid w:val="000616C9"/>
    <w:rsid w:val="000616E4"/>
    <w:rsid w:val="000616FD"/>
    <w:rsid w:val="00061735"/>
    <w:rsid w:val="000617BC"/>
    <w:rsid w:val="00061874"/>
    <w:rsid w:val="00061877"/>
    <w:rsid w:val="0006188B"/>
    <w:rsid w:val="00061891"/>
    <w:rsid w:val="000618BA"/>
    <w:rsid w:val="000618DA"/>
    <w:rsid w:val="00061915"/>
    <w:rsid w:val="00061918"/>
    <w:rsid w:val="00061935"/>
    <w:rsid w:val="00061937"/>
    <w:rsid w:val="0006195F"/>
    <w:rsid w:val="00061973"/>
    <w:rsid w:val="000619A2"/>
    <w:rsid w:val="000619A4"/>
    <w:rsid w:val="000619F6"/>
    <w:rsid w:val="00061A57"/>
    <w:rsid w:val="00061ABE"/>
    <w:rsid w:val="00061AFC"/>
    <w:rsid w:val="00061AFD"/>
    <w:rsid w:val="00061B57"/>
    <w:rsid w:val="00061B93"/>
    <w:rsid w:val="00061B9A"/>
    <w:rsid w:val="00061BCC"/>
    <w:rsid w:val="00061C22"/>
    <w:rsid w:val="00061C2B"/>
    <w:rsid w:val="00061C3D"/>
    <w:rsid w:val="00061C4D"/>
    <w:rsid w:val="00061C5C"/>
    <w:rsid w:val="00061C8F"/>
    <w:rsid w:val="00061CA6"/>
    <w:rsid w:val="00061CB8"/>
    <w:rsid w:val="00061CEF"/>
    <w:rsid w:val="00061D04"/>
    <w:rsid w:val="00061D46"/>
    <w:rsid w:val="00061D73"/>
    <w:rsid w:val="00061DC7"/>
    <w:rsid w:val="00061DCB"/>
    <w:rsid w:val="00061DD1"/>
    <w:rsid w:val="00061E2A"/>
    <w:rsid w:val="00061E4B"/>
    <w:rsid w:val="00061E80"/>
    <w:rsid w:val="00061E94"/>
    <w:rsid w:val="00061EFC"/>
    <w:rsid w:val="00061F05"/>
    <w:rsid w:val="00061F50"/>
    <w:rsid w:val="00061F90"/>
    <w:rsid w:val="00061F91"/>
    <w:rsid w:val="00061F99"/>
    <w:rsid w:val="00061F9D"/>
    <w:rsid w:val="00061FFC"/>
    <w:rsid w:val="00062097"/>
    <w:rsid w:val="0006209C"/>
    <w:rsid w:val="000620CB"/>
    <w:rsid w:val="000620D3"/>
    <w:rsid w:val="00062105"/>
    <w:rsid w:val="0006213B"/>
    <w:rsid w:val="0006215B"/>
    <w:rsid w:val="000621A9"/>
    <w:rsid w:val="000621F4"/>
    <w:rsid w:val="00062225"/>
    <w:rsid w:val="0006223D"/>
    <w:rsid w:val="0006229D"/>
    <w:rsid w:val="0006234C"/>
    <w:rsid w:val="000623C4"/>
    <w:rsid w:val="0006240C"/>
    <w:rsid w:val="00062448"/>
    <w:rsid w:val="00062472"/>
    <w:rsid w:val="000624A7"/>
    <w:rsid w:val="000624F3"/>
    <w:rsid w:val="00062586"/>
    <w:rsid w:val="000625A3"/>
    <w:rsid w:val="000625C3"/>
    <w:rsid w:val="000625EB"/>
    <w:rsid w:val="0006262D"/>
    <w:rsid w:val="000626E8"/>
    <w:rsid w:val="000626FB"/>
    <w:rsid w:val="00062755"/>
    <w:rsid w:val="00062781"/>
    <w:rsid w:val="000627F3"/>
    <w:rsid w:val="00062824"/>
    <w:rsid w:val="000628D7"/>
    <w:rsid w:val="000628FE"/>
    <w:rsid w:val="00062945"/>
    <w:rsid w:val="000629CE"/>
    <w:rsid w:val="00062A32"/>
    <w:rsid w:val="00062B0C"/>
    <w:rsid w:val="00062B0F"/>
    <w:rsid w:val="00062B1D"/>
    <w:rsid w:val="00062BD7"/>
    <w:rsid w:val="00062BD8"/>
    <w:rsid w:val="00062BE9"/>
    <w:rsid w:val="00062C09"/>
    <w:rsid w:val="00062C0F"/>
    <w:rsid w:val="00062C16"/>
    <w:rsid w:val="00062C30"/>
    <w:rsid w:val="00062C3D"/>
    <w:rsid w:val="00062C92"/>
    <w:rsid w:val="00062D27"/>
    <w:rsid w:val="00062D5F"/>
    <w:rsid w:val="00062E79"/>
    <w:rsid w:val="00062E89"/>
    <w:rsid w:val="00062EBF"/>
    <w:rsid w:val="00062EC4"/>
    <w:rsid w:val="00062EC6"/>
    <w:rsid w:val="00062EE4"/>
    <w:rsid w:val="00062F87"/>
    <w:rsid w:val="00062F9C"/>
    <w:rsid w:val="00062FB1"/>
    <w:rsid w:val="00063016"/>
    <w:rsid w:val="00063051"/>
    <w:rsid w:val="000630B5"/>
    <w:rsid w:val="000630C0"/>
    <w:rsid w:val="000630E1"/>
    <w:rsid w:val="000630F0"/>
    <w:rsid w:val="0006311D"/>
    <w:rsid w:val="00063133"/>
    <w:rsid w:val="000631AE"/>
    <w:rsid w:val="000631C5"/>
    <w:rsid w:val="000631CA"/>
    <w:rsid w:val="0006323D"/>
    <w:rsid w:val="00063244"/>
    <w:rsid w:val="0006326B"/>
    <w:rsid w:val="0006326E"/>
    <w:rsid w:val="000632BB"/>
    <w:rsid w:val="000632F2"/>
    <w:rsid w:val="00063342"/>
    <w:rsid w:val="00063370"/>
    <w:rsid w:val="0006338C"/>
    <w:rsid w:val="000633A6"/>
    <w:rsid w:val="000633C0"/>
    <w:rsid w:val="00063403"/>
    <w:rsid w:val="0006340B"/>
    <w:rsid w:val="0006344A"/>
    <w:rsid w:val="00063480"/>
    <w:rsid w:val="0006348D"/>
    <w:rsid w:val="000634CD"/>
    <w:rsid w:val="000634D1"/>
    <w:rsid w:val="000634D5"/>
    <w:rsid w:val="0006350C"/>
    <w:rsid w:val="00063529"/>
    <w:rsid w:val="00063531"/>
    <w:rsid w:val="00063536"/>
    <w:rsid w:val="00063537"/>
    <w:rsid w:val="00063543"/>
    <w:rsid w:val="00063552"/>
    <w:rsid w:val="0006355C"/>
    <w:rsid w:val="000635D4"/>
    <w:rsid w:val="00063603"/>
    <w:rsid w:val="00063625"/>
    <w:rsid w:val="0006363C"/>
    <w:rsid w:val="00063647"/>
    <w:rsid w:val="00063654"/>
    <w:rsid w:val="00063655"/>
    <w:rsid w:val="00063679"/>
    <w:rsid w:val="0006372F"/>
    <w:rsid w:val="00063735"/>
    <w:rsid w:val="000637A1"/>
    <w:rsid w:val="000637B6"/>
    <w:rsid w:val="000637B9"/>
    <w:rsid w:val="000637C1"/>
    <w:rsid w:val="00063802"/>
    <w:rsid w:val="0006386E"/>
    <w:rsid w:val="00063883"/>
    <w:rsid w:val="000638A2"/>
    <w:rsid w:val="000638B1"/>
    <w:rsid w:val="000638BA"/>
    <w:rsid w:val="000638F3"/>
    <w:rsid w:val="00063901"/>
    <w:rsid w:val="0006393E"/>
    <w:rsid w:val="0006399A"/>
    <w:rsid w:val="000639DA"/>
    <w:rsid w:val="000639EF"/>
    <w:rsid w:val="00063A38"/>
    <w:rsid w:val="00063A44"/>
    <w:rsid w:val="00063A48"/>
    <w:rsid w:val="00063B8E"/>
    <w:rsid w:val="00063B92"/>
    <w:rsid w:val="00063BB0"/>
    <w:rsid w:val="00063C02"/>
    <w:rsid w:val="00063C39"/>
    <w:rsid w:val="00063C3A"/>
    <w:rsid w:val="00063C52"/>
    <w:rsid w:val="00063C72"/>
    <w:rsid w:val="00063CB6"/>
    <w:rsid w:val="00063D10"/>
    <w:rsid w:val="00063D65"/>
    <w:rsid w:val="00063D78"/>
    <w:rsid w:val="00063D8E"/>
    <w:rsid w:val="00063D99"/>
    <w:rsid w:val="00063DA8"/>
    <w:rsid w:val="00063DFF"/>
    <w:rsid w:val="00063E1B"/>
    <w:rsid w:val="00063E4E"/>
    <w:rsid w:val="00063EA0"/>
    <w:rsid w:val="00063ED6"/>
    <w:rsid w:val="00063EED"/>
    <w:rsid w:val="00063F45"/>
    <w:rsid w:val="00063F47"/>
    <w:rsid w:val="00063FA1"/>
    <w:rsid w:val="00063FB4"/>
    <w:rsid w:val="00063FB9"/>
    <w:rsid w:val="00063FE8"/>
    <w:rsid w:val="0006408E"/>
    <w:rsid w:val="0006409C"/>
    <w:rsid w:val="0006410E"/>
    <w:rsid w:val="00064140"/>
    <w:rsid w:val="00064199"/>
    <w:rsid w:val="000641C8"/>
    <w:rsid w:val="000641E5"/>
    <w:rsid w:val="0006421A"/>
    <w:rsid w:val="0006422C"/>
    <w:rsid w:val="00064251"/>
    <w:rsid w:val="00064304"/>
    <w:rsid w:val="0006435B"/>
    <w:rsid w:val="0006438E"/>
    <w:rsid w:val="000643AF"/>
    <w:rsid w:val="000643B1"/>
    <w:rsid w:val="000643B7"/>
    <w:rsid w:val="000644ED"/>
    <w:rsid w:val="0006459B"/>
    <w:rsid w:val="00064602"/>
    <w:rsid w:val="00064636"/>
    <w:rsid w:val="000646A1"/>
    <w:rsid w:val="000646A2"/>
    <w:rsid w:val="000646B5"/>
    <w:rsid w:val="000646C4"/>
    <w:rsid w:val="000646E0"/>
    <w:rsid w:val="00064719"/>
    <w:rsid w:val="00064754"/>
    <w:rsid w:val="0006485E"/>
    <w:rsid w:val="00064879"/>
    <w:rsid w:val="0006487E"/>
    <w:rsid w:val="0006488F"/>
    <w:rsid w:val="000648CA"/>
    <w:rsid w:val="000648FA"/>
    <w:rsid w:val="0006493A"/>
    <w:rsid w:val="0006494A"/>
    <w:rsid w:val="0006499A"/>
    <w:rsid w:val="000649F3"/>
    <w:rsid w:val="00064A29"/>
    <w:rsid w:val="00064A2A"/>
    <w:rsid w:val="00064A51"/>
    <w:rsid w:val="00064A76"/>
    <w:rsid w:val="00064A9E"/>
    <w:rsid w:val="00064AC2"/>
    <w:rsid w:val="00064B0D"/>
    <w:rsid w:val="00064B50"/>
    <w:rsid w:val="00064BFD"/>
    <w:rsid w:val="00064C38"/>
    <w:rsid w:val="00064C46"/>
    <w:rsid w:val="00064C4F"/>
    <w:rsid w:val="00064C53"/>
    <w:rsid w:val="00064CC8"/>
    <w:rsid w:val="00064CFE"/>
    <w:rsid w:val="00064D19"/>
    <w:rsid w:val="00064D46"/>
    <w:rsid w:val="00064D5F"/>
    <w:rsid w:val="00064D70"/>
    <w:rsid w:val="00064DE8"/>
    <w:rsid w:val="00064DF8"/>
    <w:rsid w:val="00064DFA"/>
    <w:rsid w:val="00064E9F"/>
    <w:rsid w:val="00064EC1"/>
    <w:rsid w:val="00064ECA"/>
    <w:rsid w:val="00064EFA"/>
    <w:rsid w:val="00064F01"/>
    <w:rsid w:val="00064F06"/>
    <w:rsid w:val="00064FA3"/>
    <w:rsid w:val="00064FDD"/>
    <w:rsid w:val="00065010"/>
    <w:rsid w:val="0006502F"/>
    <w:rsid w:val="00065042"/>
    <w:rsid w:val="00065063"/>
    <w:rsid w:val="00065096"/>
    <w:rsid w:val="000650B9"/>
    <w:rsid w:val="000650E4"/>
    <w:rsid w:val="000650EA"/>
    <w:rsid w:val="00065151"/>
    <w:rsid w:val="0006516B"/>
    <w:rsid w:val="0006516F"/>
    <w:rsid w:val="0006518A"/>
    <w:rsid w:val="000651F7"/>
    <w:rsid w:val="00065273"/>
    <w:rsid w:val="000652B1"/>
    <w:rsid w:val="000652BC"/>
    <w:rsid w:val="00065361"/>
    <w:rsid w:val="000653EE"/>
    <w:rsid w:val="00065446"/>
    <w:rsid w:val="00065470"/>
    <w:rsid w:val="00065484"/>
    <w:rsid w:val="000654A6"/>
    <w:rsid w:val="0006552B"/>
    <w:rsid w:val="00065532"/>
    <w:rsid w:val="00065567"/>
    <w:rsid w:val="000655D7"/>
    <w:rsid w:val="000656E1"/>
    <w:rsid w:val="0006576E"/>
    <w:rsid w:val="000657C5"/>
    <w:rsid w:val="000657DE"/>
    <w:rsid w:val="000657F5"/>
    <w:rsid w:val="00065873"/>
    <w:rsid w:val="00065888"/>
    <w:rsid w:val="000658ED"/>
    <w:rsid w:val="0006592B"/>
    <w:rsid w:val="0006593C"/>
    <w:rsid w:val="00065946"/>
    <w:rsid w:val="0006595C"/>
    <w:rsid w:val="0006597C"/>
    <w:rsid w:val="0006599E"/>
    <w:rsid w:val="000659B1"/>
    <w:rsid w:val="000659C1"/>
    <w:rsid w:val="00065A10"/>
    <w:rsid w:val="00065A28"/>
    <w:rsid w:val="00065A3D"/>
    <w:rsid w:val="00065A67"/>
    <w:rsid w:val="00065A7E"/>
    <w:rsid w:val="00065A8C"/>
    <w:rsid w:val="00065A95"/>
    <w:rsid w:val="00065A99"/>
    <w:rsid w:val="00065ABB"/>
    <w:rsid w:val="00065AF1"/>
    <w:rsid w:val="00065B2B"/>
    <w:rsid w:val="00065B65"/>
    <w:rsid w:val="00065B85"/>
    <w:rsid w:val="00065BC1"/>
    <w:rsid w:val="00065C16"/>
    <w:rsid w:val="00065C52"/>
    <w:rsid w:val="00065C8D"/>
    <w:rsid w:val="00065C8E"/>
    <w:rsid w:val="00065CB7"/>
    <w:rsid w:val="00065D9E"/>
    <w:rsid w:val="00065DEE"/>
    <w:rsid w:val="00065E73"/>
    <w:rsid w:val="00065EBE"/>
    <w:rsid w:val="00065EE5"/>
    <w:rsid w:val="00065F0B"/>
    <w:rsid w:val="00065FBC"/>
    <w:rsid w:val="00065FFC"/>
    <w:rsid w:val="00066016"/>
    <w:rsid w:val="0006605E"/>
    <w:rsid w:val="0006606D"/>
    <w:rsid w:val="000660B2"/>
    <w:rsid w:val="0006610E"/>
    <w:rsid w:val="00066167"/>
    <w:rsid w:val="00066185"/>
    <w:rsid w:val="000661D5"/>
    <w:rsid w:val="000661D7"/>
    <w:rsid w:val="000661F8"/>
    <w:rsid w:val="0006621F"/>
    <w:rsid w:val="0006622C"/>
    <w:rsid w:val="00066246"/>
    <w:rsid w:val="00066265"/>
    <w:rsid w:val="00066285"/>
    <w:rsid w:val="000662AE"/>
    <w:rsid w:val="000662BC"/>
    <w:rsid w:val="000662F5"/>
    <w:rsid w:val="0006634A"/>
    <w:rsid w:val="000663C5"/>
    <w:rsid w:val="00066402"/>
    <w:rsid w:val="0006644C"/>
    <w:rsid w:val="00066516"/>
    <w:rsid w:val="0006655E"/>
    <w:rsid w:val="0006656E"/>
    <w:rsid w:val="000665A3"/>
    <w:rsid w:val="000665AF"/>
    <w:rsid w:val="00066607"/>
    <w:rsid w:val="0006663C"/>
    <w:rsid w:val="00066654"/>
    <w:rsid w:val="000666EC"/>
    <w:rsid w:val="000667BC"/>
    <w:rsid w:val="000667F5"/>
    <w:rsid w:val="00066806"/>
    <w:rsid w:val="0006680D"/>
    <w:rsid w:val="0006681B"/>
    <w:rsid w:val="00066843"/>
    <w:rsid w:val="0006695F"/>
    <w:rsid w:val="000669F1"/>
    <w:rsid w:val="00066A32"/>
    <w:rsid w:val="00066A58"/>
    <w:rsid w:val="00066A89"/>
    <w:rsid w:val="00066AAC"/>
    <w:rsid w:val="00066AB4"/>
    <w:rsid w:val="00066AC0"/>
    <w:rsid w:val="00066AC6"/>
    <w:rsid w:val="00066ADD"/>
    <w:rsid w:val="00066B00"/>
    <w:rsid w:val="00066B5C"/>
    <w:rsid w:val="00066BAE"/>
    <w:rsid w:val="00066BB3"/>
    <w:rsid w:val="00066BB9"/>
    <w:rsid w:val="00066BE7"/>
    <w:rsid w:val="00066C67"/>
    <w:rsid w:val="00066C79"/>
    <w:rsid w:val="00066C7B"/>
    <w:rsid w:val="00066C9E"/>
    <w:rsid w:val="00066D1F"/>
    <w:rsid w:val="00066D71"/>
    <w:rsid w:val="00066D93"/>
    <w:rsid w:val="00066D9D"/>
    <w:rsid w:val="00066DDC"/>
    <w:rsid w:val="00066DDF"/>
    <w:rsid w:val="00066E29"/>
    <w:rsid w:val="00066EC2"/>
    <w:rsid w:val="00066F64"/>
    <w:rsid w:val="00066FBE"/>
    <w:rsid w:val="00066FC2"/>
    <w:rsid w:val="00066FD8"/>
    <w:rsid w:val="00067004"/>
    <w:rsid w:val="00067065"/>
    <w:rsid w:val="00067078"/>
    <w:rsid w:val="0006707E"/>
    <w:rsid w:val="00067088"/>
    <w:rsid w:val="00067096"/>
    <w:rsid w:val="000670D3"/>
    <w:rsid w:val="000670DC"/>
    <w:rsid w:val="00067184"/>
    <w:rsid w:val="00067233"/>
    <w:rsid w:val="0006723E"/>
    <w:rsid w:val="0006727E"/>
    <w:rsid w:val="000672ED"/>
    <w:rsid w:val="00067307"/>
    <w:rsid w:val="0006736A"/>
    <w:rsid w:val="00067397"/>
    <w:rsid w:val="000673AB"/>
    <w:rsid w:val="0006740F"/>
    <w:rsid w:val="0006746F"/>
    <w:rsid w:val="0006748C"/>
    <w:rsid w:val="000674A0"/>
    <w:rsid w:val="000674CD"/>
    <w:rsid w:val="00067512"/>
    <w:rsid w:val="0006759F"/>
    <w:rsid w:val="000675A6"/>
    <w:rsid w:val="000675D1"/>
    <w:rsid w:val="000675DE"/>
    <w:rsid w:val="000675FC"/>
    <w:rsid w:val="000675FF"/>
    <w:rsid w:val="0006767E"/>
    <w:rsid w:val="000676D7"/>
    <w:rsid w:val="000676F3"/>
    <w:rsid w:val="00067701"/>
    <w:rsid w:val="0006771E"/>
    <w:rsid w:val="00067798"/>
    <w:rsid w:val="000677A7"/>
    <w:rsid w:val="000677B6"/>
    <w:rsid w:val="00067834"/>
    <w:rsid w:val="0006794D"/>
    <w:rsid w:val="00067981"/>
    <w:rsid w:val="000679F8"/>
    <w:rsid w:val="00067A66"/>
    <w:rsid w:val="00067A9E"/>
    <w:rsid w:val="00067BB7"/>
    <w:rsid w:val="00067BCA"/>
    <w:rsid w:val="00067BD1"/>
    <w:rsid w:val="00067C12"/>
    <w:rsid w:val="00067C52"/>
    <w:rsid w:val="00067CA5"/>
    <w:rsid w:val="00067CC0"/>
    <w:rsid w:val="00067CC1"/>
    <w:rsid w:val="00067CF9"/>
    <w:rsid w:val="00067D19"/>
    <w:rsid w:val="00067D52"/>
    <w:rsid w:val="00067D9B"/>
    <w:rsid w:val="00067DBF"/>
    <w:rsid w:val="00067DC8"/>
    <w:rsid w:val="00067E46"/>
    <w:rsid w:val="00070051"/>
    <w:rsid w:val="00070055"/>
    <w:rsid w:val="00070057"/>
    <w:rsid w:val="00070082"/>
    <w:rsid w:val="000700E9"/>
    <w:rsid w:val="0007015A"/>
    <w:rsid w:val="0007016B"/>
    <w:rsid w:val="0007018B"/>
    <w:rsid w:val="0007022D"/>
    <w:rsid w:val="0007022F"/>
    <w:rsid w:val="0007023D"/>
    <w:rsid w:val="00070268"/>
    <w:rsid w:val="000702A6"/>
    <w:rsid w:val="000702F5"/>
    <w:rsid w:val="00070306"/>
    <w:rsid w:val="00070345"/>
    <w:rsid w:val="000703C9"/>
    <w:rsid w:val="000703FC"/>
    <w:rsid w:val="00070403"/>
    <w:rsid w:val="0007045E"/>
    <w:rsid w:val="00070464"/>
    <w:rsid w:val="00070479"/>
    <w:rsid w:val="000704B6"/>
    <w:rsid w:val="0007051C"/>
    <w:rsid w:val="00070522"/>
    <w:rsid w:val="0007052E"/>
    <w:rsid w:val="00070567"/>
    <w:rsid w:val="00070581"/>
    <w:rsid w:val="000705FD"/>
    <w:rsid w:val="00070602"/>
    <w:rsid w:val="000706B2"/>
    <w:rsid w:val="000706E2"/>
    <w:rsid w:val="000706EF"/>
    <w:rsid w:val="00070720"/>
    <w:rsid w:val="000707AF"/>
    <w:rsid w:val="000707C1"/>
    <w:rsid w:val="000707C3"/>
    <w:rsid w:val="000707E7"/>
    <w:rsid w:val="00070810"/>
    <w:rsid w:val="000708A3"/>
    <w:rsid w:val="000708EA"/>
    <w:rsid w:val="0007091E"/>
    <w:rsid w:val="0007099D"/>
    <w:rsid w:val="000709A5"/>
    <w:rsid w:val="000709C5"/>
    <w:rsid w:val="00070A05"/>
    <w:rsid w:val="00070A7B"/>
    <w:rsid w:val="00070AC6"/>
    <w:rsid w:val="00070ACC"/>
    <w:rsid w:val="00070AD2"/>
    <w:rsid w:val="00070B14"/>
    <w:rsid w:val="00070B8C"/>
    <w:rsid w:val="00070BB1"/>
    <w:rsid w:val="00070BD6"/>
    <w:rsid w:val="00070BD7"/>
    <w:rsid w:val="00070C0D"/>
    <w:rsid w:val="00070C7A"/>
    <w:rsid w:val="00070C7B"/>
    <w:rsid w:val="00070D2C"/>
    <w:rsid w:val="00070D30"/>
    <w:rsid w:val="00070DC1"/>
    <w:rsid w:val="00070DD7"/>
    <w:rsid w:val="00070E22"/>
    <w:rsid w:val="00070E34"/>
    <w:rsid w:val="00070E5E"/>
    <w:rsid w:val="00070EDC"/>
    <w:rsid w:val="00070EEE"/>
    <w:rsid w:val="00070EF1"/>
    <w:rsid w:val="00070EFC"/>
    <w:rsid w:val="00070FAE"/>
    <w:rsid w:val="0007103E"/>
    <w:rsid w:val="0007106D"/>
    <w:rsid w:val="00071101"/>
    <w:rsid w:val="00071109"/>
    <w:rsid w:val="00071116"/>
    <w:rsid w:val="00071118"/>
    <w:rsid w:val="0007117C"/>
    <w:rsid w:val="00071180"/>
    <w:rsid w:val="00071182"/>
    <w:rsid w:val="0007118D"/>
    <w:rsid w:val="0007118F"/>
    <w:rsid w:val="00071205"/>
    <w:rsid w:val="00071233"/>
    <w:rsid w:val="00071236"/>
    <w:rsid w:val="00071252"/>
    <w:rsid w:val="00071270"/>
    <w:rsid w:val="000712F6"/>
    <w:rsid w:val="00071359"/>
    <w:rsid w:val="000713C9"/>
    <w:rsid w:val="000713F5"/>
    <w:rsid w:val="00071402"/>
    <w:rsid w:val="00071427"/>
    <w:rsid w:val="00071472"/>
    <w:rsid w:val="000714C8"/>
    <w:rsid w:val="000714DD"/>
    <w:rsid w:val="000714EF"/>
    <w:rsid w:val="000714F7"/>
    <w:rsid w:val="00071508"/>
    <w:rsid w:val="00071516"/>
    <w:rsid w:val="00071517"/>
    <w:rsid w:val="00071547"/>
    <w:rsid w:val="000715B8"/>
    <w:rsid w:val="000715CE"/>
    <w:rsid w:val="000715FA"/>
    <w:rsid w:val="00071609"/>
    <w:rsid w:val="0007160C"/>
    <w:rsid w:val="0007163A"/>
    <w:rsid w:val="0007163E"/>
    <w:rsid w:val="000716B2"/>
    <w:rsid w:val="0007171C"/>
    <w:rsid w:val="00071752"/>
    <w:rsid w:val="0007175F"/>
    <w:rsid w:val="000717C7"/>
    <w:rsid w:val="00071812"/>
    <w:rsid w:val="000718AA"/>
    <w:rsid w:val="0007190A"/>
    <w:rsid w:val="0007194F"/>
    <w:rsid w:val="0007198E"/>
    <w:rsid w:val="000719B0"/>
    <w:rsid w:val="00071A0F"/>
    <w:rsid w:val="00071ABA"/>
    <w:rsid w:val="00071B4E"/>
    <w:rsid w:val="00071B7E"/>
    <w:rsid w:val="00071BE2"/>
    <w:rsid w:val="00071C0C"/>
    <w:rsid w:val="00071CAB"/>
    <w:rsid w:val="00071CCC"/>
    <w:rsid w:val="00071CE8"/>
    <w:rsid w:val="00071D32"/>
    <w:rsid w:val="00071D45"/>
    <w:rsid w:val="00071D52"/>
    <w:rsid w:val="00071DA6"/>
    <w:rsid w:val="00071E03"/>
    <w:rsid w:val="00071E4E"/>
    <w:rsid w:val="00071E8A"/>
    <w:rsid w:val="00071ED0"/>
    <w:rsid w:val="00071ED1"/>
    <w:rsid w:val="00071ED6"/>
    <w:rsid w:val="00071EE2"/>
    <w:rsid w:val="00071F18"/>
    <w:rsid w:val="00071F3E"/>
    <w:rsid w:val="00071FB2"/>
    <w:rsid w:val="00071FD5"/>
    <w:rsid w:val="00071FDB"/>
    <w:rsid w:val="00071FF7"/>
    <w:rsid w:val="0007202F"/>
    <w:rsid w:val="00072062"/>
    <w:rsid w:val="00072068"/>
    <w:rsid w:val="0007208F"/>
    <w:rsid w:val="000720A4"/>
    <w:rsid w:val="000720A5"/>
    <w:rsid w:val="000720D2"/>
    <w:rsid w:val="000720FC"/>
    <w:rsid w:val="00072103"/>
    <w:rsid w:val="00072154"/>
    <w:rsid w:val="00072189"/>
    <w:rsid w:val="00072193"/>
    <w:rsid w:val="000721A9"/>
    <w:rsid w:val="000721E3"/>
    <w:rsid w:val="0007220C"/>
    <w:rsid w:val="0007222B"/>
    <w:rsid w:val="00072326"/>
    <w:rsid w:val="00072362"/>
    <w:rsid w:val="00072368"/>
    <w:rsid w:val="0007239F"/>
    <w:rsid w:val="0007242A"/>
    <w:rsid w:val="000724E6"/>
    <w:rsid w:val="00072507"/>
    <w:rsid w:val="0007250A"/>
    <w:rsid w:val="00072529"/>
    <w:rsid w:val="0007252D"/>
    <w:rsid w:val="00072531"/>
    <w:rsid w:val="00072544"/>
    <w:rsid w:val="00072572"/>
    <w:rsid w:val="00072596"/>
    <w:rsid w:val="000725EB"/>
    <w:rsid w:val="00072604"/>
    <w:rsid w:val="00072678"/>
    <w:rsid w:val="000726AC"/>
    <w:rsid w:val="000726EB"/>
    <w:rsid w:val="00072738"/>
    <w:rsid w:val="00072756"/>
    <w:rsid w:val="0007275B"/>
    <w:rsid w:val="0007277D"/>
    <w:rsid w:val="0007278B"/>
    <w:rsid w:val="000727DA"/>
    <w:rsid w:val="0007280E"/>
    <w:rsid w:val="00072810"/>
    <w:rsid w:val="00072811"/>
    <w:rsid w:val="00072824"/>
    <w:rsid w:val="0007285E"/>
    <w:rsid w:val="00072894"/>
    <w:rsid w:val="0007291A"/>
    <w:rsid w:val="0007293B"/>
    <w:rsid w:val="000729B2"/>
    <w:rsid w:val="000729FB"/>
    <w:rsid w:val="00072A03"/>
    <w:rsid w:val="00072A12"/>
    <w:rsid w:val="00072A38"/>
    <w:rsid w:val="00072A60"/>
    <w:rsid w:val="00072A82"/>
    <w:rsid w:val="00072B04"/>
    <w:rsid w:val="00072B21"/>
    <w:rsid w:val="00072B31"/>
    <w:rsid w:val="00072B55"/>
    <w:rsid w:val="00072BEA"/>
    <w:rsid w:val="00072C00"/>
    <w:rsid w:val="00072C24"/>
    <w:rsid w:val="00072C2B"/>
    <w:rsid w:val="00072CA6"/>
    <w:rsid w:val="00072CDD"/>
    <w:rsid w:val="00072D00"/>
    <w:rsid w:val="00072D01"/>
    <w:rsid w:val="00072D0C"/>
    <w:rsid w:val="00072D39"/>
    <w:rsid w:val="00072DF0"/>
    <w:rsid w:val="00072DF1"/>
    <w:rsid w:val="00072E1D"/>
    <w:rsid w:val="00072E24"/>
    <w:rsid w:val="00072E48"/>
    <w:rsid w:val="00072E99"/>
    <w:rsid w:val="00072EC1"/>
    <w:rsid w:val="00072ECB"/>
    <w:rsid w:val="00072EEF"/>
    <w:rsid w:val="00072F24"/>
    <w:rsid w:val="00072F9E"/>
    <w:rsid w:val="00072FDE"/>
    <w:rsid w:val="00072FEE"/>
    <w:rsid w:val="0007300C"/>
    <w:rsid w:val="0007304D"/>
    <w:rsid w:val="00073094"/>
    <w:rsid w:val="00073191"/>
    <w:rsid w:val="000731B5"/>
    <w:rsid w:val="000731D1"/>
    <w:rsid w:val="000731DF"/>
    <w:rsid w:val="00073214"/>
    <w:rsid w:val="0007327C"/>
    <w:rsid w:val="000732CC"/>
    <w:rsid w:val="000732F2"/>
    <w:rsid w:val="00073357"/>
    <w:rsid w:val="0007338B"/>
    <w:rsid w:val="0007338C"/>
    <w:rsid w:val="000733A1"/>
    <w:rsid w:val="000733BB"/>
    <w:rsid w:val="000733C7"/>
    <w:rsid w:val="000733F9"/>
    <w:rsid w:val="00073408"/>
    <w:rsid w:val="00073461"/>
    <w:rsid w:val="000734A6"/>
    <w:rsid w:val="000734D7"/>
    <w:rsid w:val="00073521"/>
    <w:rsid w:val="00073523"/>
    <w:rsid w:val="00073539"/>
    <w:rsid w:val="0007353F"/>
    <w:rsid w:val="00073644"/>
    <w:rsid w:val="0007365A"/>
    <w:rsid w:val="0007365B"/>
    <w:rsid w:val="0007366F"/>
    <w:rsid w:val="0007372A"/>
    <w:rsid w:val="00073738"/>
    <w:rsid w:val="00073761"/>
    <w:rsid w:val="00073765"/>
    <w:rsid w:val="00073776"/>
    <w:rsid w:val="000737C3"/>
    <w:rsid w:val="000737D8"/>
    <w:rsid w:val="000737DC"/>
    <w:rsid w:val="000737DE"/>
    <w:rsid w:val="0007382D"/>
    <w:rsid w:val="0007384C"/>
    <w:rsid w:val="0007388A"/>
    <w:rsid w:val="000738BD"/>
    <w:rsid w:val="00073905"/>
    <w:rsid w:val="0007390A"/>
    <w:rsid w:val="0007393E"/>
    <w:rsid w:val="00073963"/>
    <w:rsid w:val="000739CD"/>
    <w:rsid w:val="00073A47"/>
    <w:rsid w:val="00073A4C"/>
    <w:rsid w:val="00073A61"/>
    <w:rsid w:val="00073A85"/>
    <w:rsid w:val="00073ADD"/>
    <w:rsid w:val="00073ADE"/>
    <w:rsid w:val="00073AF0"/>
    <w:rsid w:val="00073B2B"/>
    <w:rsid w:val="00073CA9"/>
    <w:rsid w:val="00073CB4"/>
    <w:rsid w:val="00073CD1"/>
    <w:rsid w:val="00073D15"/>
    <w:rsid w:val="00073D80"/>
    <w:rsid w:val="00073DAC"/>
    <w:rsid w:val="00073E14"/>
    <w:rsid w:val="00073E43"/>
    <w:rsid w:val="00073E6D"/>
    <w:rsid w:val="00073E99"/>
    <w:rsid w:val="00073EA4"/>
    <w:rsid w:val="00073EEB"/>
    <w:rsid w:val="00073F07"/>
    <w:rsid w:val="00073F56"/>
    <w:rsid w:val="00073FAB"/>
    <w:rsid w:val="00073FB2"/>
    <w:rsid w:val="00073FD2"/>
    <w:rsid w:val="00073FE7"/>
    <w:rsid w:val="00074027"/>
    <w:rsid w:val="00074036"/>
    <w:rsid w:val="000740FA"/>
    <w:rsid w:val="000741B4"/>
    <w:rsid w:val="000741C1"/>
    <w:rsid w:val="000741C5"/>
    <w:rsid w:val="000741D5"/>
    <w:rsid w:val="000741EE"/>
    <w:rsid w:val="000741F8"/>
    <w:rsid w:val="0007423D"/>
    <w:rsid w:val="0007424B"/>
    <w:rsid w:val="0007426C"/>
    <w:rsid w:val="00074278"/>
    <w:rsid w:val="00074302"/>
    <w:rsid w:val="0007435B"/>
    <w:rsid w:val="00074374"/>
    <w:rsid w:val="0007437B"/>
    <w:rsid w:val="000743AC"/>
    <w:rsid w:val="00074470"/>
    <w:rsid w:val="0007449A"/>
    <w:rsid w:val="000744C0"/>
    <w:rsid w:val="000744D9"/>
    <w:rsid w:val="0007450E"/>
    <w:rsid w:val="0007452F"/>
    <w:rsid w:val="0007454A"/>
    <w:rsid w:val="00074585"/>
    <w:rsid w:val="000745BE"/>
    <w:rsid w:val="00074604"/>
    <w:rsid w:val="00074614"/>
    <w:rsid w:val="000746AF"/>
    <w:rsid w:val="000746E7"/>
    <w:rsid w:val="0007474F"/>
    <w:rsid w:val="000747E7"/>
    <w:rsid w:val="00074819"/>
    <w:rsid w:val="00074862"/>
    <w:rsid w:val="000748FF"/>
    <w:rsid w:val="0007495A"/>
    <w:rsid w:val="0007496A"/>
    <w:rsid w:val="00074A75"/>
    <w:rsid w:val="00074A96"/>
    <w:rsid w:val="00074B6F"/>
    <w:rsid w:val="00074BA8"/>
    <w:rsid w:val="00074C1A"/>
    <w:rsid w:val="00074C9C"/>
    <w:rsid w:val="00074CB2"/>
    <w:rsid w:val="00074CBC"/>
    <w:rsid w:val="00074CE0"/>
    <w:rsid w:val="00074D0A"/>
    <w:rsid w:val="00074D14"/>
    <w:rsid w:val="00074D39"/>
    <w:rsid w:val="00074D7B"/>
    <w:rsid w:val="00074DFD"/>
    <w:rsid w:val="00074E0C"/>
    <w:rsid w:val="00074E1E"/>
    <w:rsid w:val="00074E3D"/>
    <w:rsid w:val="00074E7A"/>
    <w:rsid w:val="00074EB0"/>
    <w:rsid w:val="00074ED7"/>
    <w:rsid w:val="00074EDA"/>
    <w:rsid w:val="00074EF6"/>
    <w:rsid w:val="00074EFD"/>
    <w:rsid w:val="00074EFF"/>
    <w:rsid w:val="00074F09"/>
    <w:rsid w:val="00074FA9"/>
    <w:rsid w:val="00074FE3"/>
    <w:rsid w:val="0007500D"/>
    <w:rsid w:val="00075020"/>
    <w:rsid w:val="0007503F"/>
    <w:rsid w:val="000750DF"/>
    <w:rsid w:val="000750FF"/>
    <w:rsid w:val="0007512E"/>
    <w:rsid w:val="0007513B"/>
    <w:rsid w:val="00075140"/>
    <w:rsid w:val="0007514C"/>
    <w:rsid w:val="0007518E"/>
    <w:rsid w:val="000751C0"/>
    <w:rsid w:val="000751C8"/>
    <w:rsid w:val="000751EA"/>
    <w:rsid w:val="000751FB"/>
    <w:rsid w:val="0007523C"/>
    <w:rsid w:val="000752D3"/>
    <w:rsid w:val="00075301"/>
    <w:rsid w:val="00075325"/>
    <w:rsid w:val="00075326"/>
    <w:rsid w:val="0007533B"/>
    <w:rsid w:val="00075354"/>
    <w:rsid w:val="0007539C"/>
    <w:rsid w:val="000753D8"/>
    <w:rsid w:val="0007542A"/>
    <w:rsid w:val="0007546C"/>
    <w:rsid w:val="0007548A"/>
    <w:rsid w:val="000754BF"/>
    <w:rsid w:val="000754D5"/>
    <w:rsid w:val="0007552C"/>
    <w:rsid w:val="0007558B"/>
    <w:rsid w:val="000755A9"/>
    <w:rsid w:val="000755EF"/>
    <w:rsid w:val="00075612"/>
    <w:rsid w:val="0007561D"/>
    <w:rsid w:val="0007567F"/>
    <w:rsid w:val="000756C4"/>
    <w:rsid w:val="000756F6"/>
    <w:rsid w:val="0007572B"/>
    <w:rsid w:val="0007572C"/>
    <w:rsid w:val="00075791"/>
    <w:rsid w:val="000757F2"/>
    <w:rsid w:val="0007580F"/>
    <w:rsid w:val="0007581C"/>
    <w:rsid w:val="0007585A"/>
    <w:rsid w:val="00075865"/>
    <w:rsid w:val="000758E7"/>
    <w:rsid w:val="00075969"/>
    <w:rsid w:val="00075993"/>
    <w:rsid w:val="000759A3"/>
    <w:rsid w:val="000759E9"/>
    <w:rsid w:val="00075A38"/>
    <w:rsid w:val="00075A8E"/>
    <w:rsid w:val="00075A91"/>
    <w:rsid w:val="00075AC2"/>
    <w:rsid w:val="00075ADF"/>
    <w:rsid w:val="00075AFF"/>
    <w:rsid w:val="00075B11"/>
    <w:rsid w:val="00075B92"/>
    <w:rsid w:val="00075BE8"/>
    <w:rsid w:val="00075C0C"/>
    <w:rsid w:val="00075C43"/>
    <w:rsid w:val="00075CB3"/>
    <w:rsid w:val="00075D09"/>
    <w:rsid w:val="00075D37"/>
    <w:rsid w:val="00075D52"/>
    <w:rsid w:val="00075DC2"/>
    <w:rsid w:val="00075DCA"/>
    <w:rsid w:val="00075DED"/>
    <w:rsid w:val="00075DFF"/>
    <w:rsid w:val="00075E2C"/>
    <w:rsid w:val="00075E81"/>
    <w:rsid w:val="00075E9F"/>
    <w:rsid w:val="00075EB9"/>
    <w:rsid w:val="00075EEF"/>
    <w:rsid w:val="00075F52"/>
    <w:rsid w:val="00075F5A"/>
    <w:rsid w:val="0007604A"/>
    <w:rsid w:val="0007609F"/>
    <w:rsid w:val="000760B4"/>
    <w:rsid w:val="000760B8"/>
    <w:rsid w:val="000760F1"/>
    <w:rsid w:val="00076101"/>
    <w:rsid w:val="00076105"/>
    <w:rsid w:val="00076108"/>
    <w:rsid w:val="0007615A"/>
    <w:rsid w:val="000761B8"/>
    <w:rsid w:val="000761FC"/>
    <w:rsid w:val="0007621A"/>
    <w:rsid w:val="000762E3"/>
    <w:rsid w:val="0007636B"/>
    <w:rsid w:val="00076374"/>
    <w:rsid w:val="00076409"/>
    <w:rsid w:val="0007643E"/>
    <w:rsid w:val="0007646F"/>
    <w:rsid w:val="00076478"/>
    <w:rsid w:val="000764A6"/>
    <w:rsid w:val="000764BE"/>
    <w:rsid w:val="0007651F"/>
    <w:rsid w:val="000765B5"/>
    <w:rsid w:val="000765DF"/>
    <w:rsid w:val="000765E9"/>
    <w:rsid w:val="000765ED"/>
    <w:rsid w:val="00076608"/>
    <w:rsid w:val="00076651"/>
    <w:rsid w:val="00076695"/>
    <w:rsid w:val="0007669D"/>
    <w:rsid w:val="0007669E"/>
    <w:rsid w:val="00076732"/>
    <w:rsid w:val="0007674B"/>
    <w:rsid w:val="00076759"/>
    <w:rsid w:val="0007676C"/>
    <w:rsid w:val="00076774"/>
    <w:rsid w:val="0007679D"/>
    <w:rsid w:val="000767C4"/>
    <w:rsid w:val="000767E7"/>
    <w:rsid w:val="00076803"/>
    <w:rsid w:val="0007681A"/>
    <w:rsid w:val="00076839"/>
    <w:rsid w:val="0007683E"/>
    <w:rsid w:val="000768AF"/>
    <w:rsid w:val="0007699A"/>
    <w:rsid w:val="000769C0"/>
    <w:rsid w:val="000769CC"/>
    <w:rsid w:val="000769E6"/>
    <w:rsid w:val="000769F9"/>
    <w:rsid w:val="00076A96"/>
    <w:rsid w:val="00076A97"/>
    <w:rsid w:val="00076AB9"/>
    <w:rsid w:val="00076AF6"/>
    <w:rsid w:val="00076B1E"/>
    <w:rsid w:val="00076B68"/>
    <w:rsid w:val="00076B78"/>
    <w:rsid w:val="00076B8E"/>
    <w:rsid w:val="00076BA7"/>
    <w:rsid w:val="00076C14"/>
    <w:rsid w:val="00076D3C"/>
    <w:rsid w:val="00076D50"/>
    <w:rsid w:val="00076DA0"/>
    <w:rsid w:val="00076DD9"/>
    <w:rsid w:val="00076DE3"/>
    <w:rsid w:val="00076DFD"/>
    <w:rsid w:val="00076DFE"/>
    <w:rsid w:val="00076E75"/>
    <w:rsid w:val="00076EA9"/>
    <w:rsid w:val="00076EB1"/>
    <w:rsid w:val="00076EB7"/>
    <w:rsid w:val="00076EBE"/>
    <w:rsid w:val="00076EE5"/>
    <w:rsid w:val="00076F17"/>
    <w:rsid w:val="00076F19"/>
    <w:rsid w:val="00076F29"/>
    <w:rsid w:val="00076F3A"/>
    <w:rsid w:val="00076F68"/>
    <w:rsid w:val="00076FCD"/>
    <w:rsid w:val="00076FCF"/>
    <w:rsid w:val="00076FDF"/>
    <w:rsid w:val="00076FFD"/>
    <w:rsid w:val="0007700C"/>
    <w:rsid w:val="0007700D"/>
    <w:rsid w:val="00077068"/>
    <w:rsid w:val="00077092"/>
    <w:rsid w:val="00077109"/>
    <w:rsid w:val="00077148"/>
    <w:rsid w:val="0007716E"/>
    <w:rsid w:val="000771A9"/>
    <w:rsid w:val="000771B2"/>
    <w:rsid w:val="00077295"/>
    <w:rsid w:val="000772DC"/>
    <w:rsid w:val="0007733B"/>
    <w:rsid w:val="00077340"/>
    <w:rsid w:val="0007740E"/>
    <w:rsid w:val="00077422"/>
    <w:rsid w:val="00077469"/>
    <w:rsid w:val="00077484"/>
    <w:rsid w:val="00077487"/>
    <w:rsid w:val="00077488"/>
    <w:rsid w:val="000774B7"/>
    <w:rsid w:val="000774F0"/>
    <w:rsid w:val="00077502"/>
    <w:rsid w:val="00077509"/>
    <w:rsid w:val="0007751B"/>
    <w:rsid w:val="0007753D"/>
    <w:rsid w:val="000775AA"/>
    <w:rsid w:val="000775DE"/>
    <w:rsid w:val="00077629"/>
    <w:rsid w:val="000776B0"/>
    <w:rsid w:val="000776D9"/>
    <w:rsid w:val="000776E6"/>
    <w:rsid w:val="00077750"/>
    <w:rsid w:val="00077759"/>
    <w:rsid w:val="0007777A"/>
    <w:rsid w:val="000777A9"/>
    <w:rsid w:val="000777BD"/>
    <w:rsid w:val="000777E4"/>
    <w:rsid w:val="00077893"/>
    <w:rsid w:val="0007789F"/>
    <w:rsid w:val="000778AC"/>
    <w:rsid w:val="000778B4"/>
    <w:rsid w:val="00077911"/>
    <w:rsid w:val="0007795D"/>
    <w:rsid w:val="00077995"/>
    <w:rsid w:val="000779D0"/>
    <w:rsid w:val="000779DE"/>
    <w:rsid w:val="00077A07"/>
    <w:rsid w:val="00077B09"/>
    <w:rsid w:val="00077B59"/>
    <w:rsid w:val="00077B6A"/>
    <w:rsid w:val="00077BA5"/>
    <w:rsid w:val="00077BC4"/>
    <w:rsid w:val="00077BD9"/>
    <w:rsid w:val="00077C4A"/>
    <w:rsid w:val="00077C69"/>
    <w:rsid w:val="00077C6D"/>
    <w:rsid w:val="00077C89"/>
    <w:rsid w:val="00077D47"/>
    <w:rsid w:val="00077D48"/>
    <w:rsid w:val="00077D58"/>
    <w:rsid w:val="00077D5E"/>
    <w:rsid w:val="00077D65"/>
    <w:rsid w:val="00077D69"/>
    <w:rsid w:val="00077DAB"/>
    <w:rsid w:val="00077DB8"/>
    <w:rsid w:val="00077DD9"/>
    <w:rsid w:val="00077DDB"/>
    <w:rsid w:val="00077E14"/>
    <w:rsid w:val="00077E1C"/>
    <w:rsid w:val="00077E9D"/>
    <w:rsid w:val="00077EAC"/>
    <w:rsid w:val="00077EC3"/>
    <w:rsid w:val="00077F0A"/>
    <w:rsid w:val="00077F42"/>
    <w:rsid w:val="00077FA7"/>
    <w:rsid w:val="00077FF7"/>
    <w:rsid w:val="0008004B"/>
    <w:rsid w:val="0008004F"/>
    <w:rsid w:val="0008005A"/>
    <w:rsid w:val="00080081"/>
    <w:rsid w:val="000800DB"/>
    <w:rsid w:val="00080147"/>
    <w:rsid w:val="00080168"/>
    <w:rsid w:val="00080204"/>
    <w:rsid w:val="0008022F"/>
    <w:rsid w:val="0008023F"/>
    <w:rsid w:val="00080279"/>
    <w:rsid w:val="00080291"/>
    <w:rsid w:val="00080299"/>
    <w:rsid w:val="00080305"/>
    <w:rsid w:val="0008032B"/>
    <w:rsid w:val="00080348"/>
    <w:rsid w:val="000803E3"/>
    <w:rsid w:val="00080408"/>
    <w:rsid w:val="0008040C"/>
    <w:rsid w:val="0008046F"/>
    <w:rsid w:val="00080496"/>
    <w:rsid w:val="000804BD"/>
    <w:rsid w:val="000804ED"/>
    <w:rsid w:val="000804F1"/>
    <w:rsid w:val="00080533"/>
    <w:rsid w:val="00080537"/>
    <w:rsid w:val="00080573"/>
    <w:rsid w:val="000805B0"/>
    <w:rsid w:val="000805B4"/>
    <w:rsid w:val="000805E3"/>
    <w:rsid w:val="000806D6"/>
    <w:rsid w:val="000806E4"/>
    <w:rsid w:val="000806F2"/>
    <w:rsid w:val="000806FF"/>
    <w:rsid w:val="00080738"/>
    <w:rsid w:val="0008079E"/>
    <w:rsid w:val="000807C9"/>
    <w:rsid w:val="0008081E"/>
    <w:rsid w:val="0008082B"/>
    <w:rsid w:val="000808A0"/>
    <w:rsid w:val="000808B4"/>
    <w:rsid w:val="000808B9"/>
    <w:rsid w:val="00080921"/>
    <w:rsid w:val="000809A0"/>
    <w:rsid w:val="00080A13"/>
    <w:rsid w:val="00080A18"/>
    <w:rsid w:val="00080AAD"/>
    <w:rsid w:val="00080AAF"/>
    <w:rsid w:val="00080B2C"/>
    <w:rsid w:val="00080B30"/>
    <w:rsid w:val="00080BEE"/>
    <w:rsid w:val="00080C23"/>
    <w:rsid w:val="00080C55"/>
    <w:rsid w:val="00080C7E"/>
    <w:rsid w:val="00080C84"/>
    <w:rsid w:val="00080CBC"/>
    <w:rsid w:val="00080CFC"/>
    <w:rsid w:val="00080D5D"/>
    <w:rsid w:val="00080DA1"/>
    <w:rsid w:val="00080E40"/>
    <w:rsid w:val="00080F27"/>
    <w:rsid w:val="00080F9D"/>
    <w:rsid w:val="00080FD5"/>
    <w:rsid w:val="0008100E"/>
    <w:rsid w:val="00081082"/>
    <w:rsid w:val="00081085"/>
    <w:rsid w:val="000810E7"/>
    <w:rsid w:val="000810F7"/>
    <w:rsid w:val="00081108"/>
    <w:rsid w:val="00081128"/>
    <w:rsid w:val="00081174"/>
    <w:rsid w:val="0008118A"/>
    <w:rsid w:val="000811DE"/>
    <w:rsid w:val="000811FD"/>
    <w:rsid w:val="0008121C"/>
    <w:rsid w:val="00081244"/>
    <w:rsid w:val="000812A4"/>
    <w:rsid w:val="000812CC"/>
    <w:rsid w:val="000812E4"/>
    <w:rsid w:val="000812F3"/>
    <w:rsid w:val="00081354"/>
    <w:rsid w:val="00081391"/>
    <w:rsid w:val="000813AB"/>
    <w:rsid w:val="000813D7"/>
    <w:rsid w:val="000813F5"/>
    <w:rsid w:val="0008146F"/>
    <w:rsid w:val="00081474"/>
    <w:rsid w:val="00081484"/>
    <w:rsid w:val="000814BB"/>
    <w:rsid w:val="00081528"/>
    <w:rsid w:val="00081553"/>
    <w:rsid w:val="000815A9"/>
    <w:rsid w:val="000815C5"/>
    <w:rsid w:val="000815C8"/>
    <w:rsid w:val="000815E9"/>
    <w:rsid w:val="00081631"/>
    <w:rsid w:val="0008166F"/>
    <w:rsid w:val="0008167E"/>
    <w:rsid w:val="00081697"/>
    <w:rsid w:val="000816A9"/>
    <w:rsid w:val="00081743"/>
    <w:rsid w:val="0008174A"/>
    <w:rsid w:val="00081775"/>
    <w:rsid w:val="000817F8"/>
    <w:rsid w:val="0008186D"/>
    <w:rsid w:val="00081870"/>
    <w:rsid w:val="00081894"/>
    <w:rsid w:val="00081899"/>
    <w:rsid w:val="00081920"/>
    <w:rsid w:val="0008193E"/>
    <w:rsid w:val="00081956"/>
    <w:rsid w:val="0008197E"/>
    <w:rsid w:val="0008198D"/>
    <w:rsid w:val="00081996"/>
    <w:rsid w:val="000819AA"/>
    <w:rsid w:val="000819D5"/>
    <w:rsid w:val="00081A35"/>
    <w:rsid w:val="00081A93"/>
    <w:rsid w:val="00081A9E"/>
    <w:rsid w:val="00081B98"/>
    <w:rsid w:val="00081BA0"/>
    <w:rsid w:val="00081BBB"/>
    <w:rsid w:val="00081BCE"/>
    <w:rsid w:val="00081C6B"/>
    <w:rsid w:val="00081CDA"/>
    <w:rsid w:val="00081CDF"/>
    <w:rsid w:val="00081CE4"/>
    <w:rsid w:val="00081D47"/>
    <w:rsid w:val="00081D5F"/>
    <w:rsid w:val="00081D71"/>
    <w:rsid w:val="00081DBF"/>
    <w:rsid w:val="00081E3E"/>
    <w:rsid w:val="00081E62"/>
    <w:rsid w:val="00081E8E"/>
    <w:rsid w:val="00081ECA"/>
    <w:rsid w:val="00081EF1"/>
    <w:rsid w:val="00081F37"/>
    <w:rsid w:val="00081F89"/>
    <w:rsid w:val="00081FB0"/>
    <w:rsid w:val="00081FEE"/>
    <w:rsid w:val="00081FF7"/>
    <w:rsid w:val="00082026"/>
    <w:rsid w:val="0008202D"/>
    <w:rsid w:val="00082089"/>
    <w:rsid w:val="0008209F"/>
    <w:rsid w:val="000820CF"/>
    <w:rsid w:val="000820D3"/>
    <w:rsid w:val="0008210F"/>
    <w:rsid w:val="00082124"/>
    <w:rsid w:val="00082154"/>
    <w:rsid w:val="0008215F"/>
    <w:rsid w:val="00082164"/>
    <w:rsid w:val="000821A1"/>
    <w:rsid w:val="000821F8"/>
    <w:rsid w:val="00082264"/>
    <w:rsid w:val="000822A7"/>
    <w:rsid w:val="000822E2"/>
    <w:rsid w:val="000822EC"/>
    <w:rsid w:val="000822F7"/>
    <w:rsid w:val="0008234B"/>
    <w:rsid w:val="00082492"/>
    <w:rsid w:val="000824AD"/>
    <w:rsid w:val="000824C5"/>
    <w:rsid w:val="0008256B"/>
    <w:rsid w:val="000825E1"/>
    <w:rsid w:val="000825F4"/>
    <w:rsid w:val="00082614"/>
    <w:rsid w:val="00082665"/>
    <w:rsid w:val="0008266E"/>
    <w:rsid w:val="000826CF"/>
    <w:rsid w:val="000826D6"/>
    <w:rsid w:val="0008278C"/>
    <w:rsid w:val="000827FC"/>
    <w:rsid w:val="0008280A"/>
    <w:rsid w:val="00082835"/>
    <w:rsid w:val="00082842"/>
    <w:rsid w:val="00082852"/>
    <w:rsid w:val="000828C6"/>
    <w:rsid w:val="00082913"/>
    <w:rsid w:val="0008296F"/>
    <w:rsid w:val="00082978"/>
    <w:rsid w:val="0008298D"/>
    <w:rsid w:val="00082A08"/>
    <w:rsid w:val="00082A5C"/>
    <w:rsid w:val="00082A72"/>
    <w:rsid w:val="00082A8F"/>
    <w:rsid w:val="00082AEE"/>
    <w:rsid w:val="00082AFA"/>
    <w:rsid w:val="00082B6D"/>
    <w:rsid w:val="00082B91"/>
    <w:rsid w:val="00082BC5"/>
    <w:rsid w:val="00082BCC"/>
    <w:rsid w:val="00082BEA"/>
    <w:rsid w:val="00082C1F"/>
    <w:rsid w:val="00082C3A"/>
    <w:rsid w:val="00082C76"/>
    <w:rsid w:val="00082C81"/>
    <w:rsid w:val="00082C8E"/>
    <w:rsid w:val="00082CDB"/>
    <w:rsid w:val="00082D09"/>
    <w:rsid w:val="00082D37"/>
    <w:rsid w:val="00082D51"/>
    <w:rsid w:val="00082D76"/>
    <w:rsid w:val="00082DBE"/>
    <w:rsid w:val="00082DD2"/>
    <w:rsid w:val="00082E50"/>
    <w:rsid w:val="00082EBC"/>
    <w:rsid w:val="00082F27"/>
    <w:rsid w:val="00082F61"/>
    <w:rsid w:val="00082F8D"/>
    <w:rsid w:val="00082FA3"/>
    <w:rsid w:val="00082FAA"/>
    <w:rsid w:val="00082FAD"/>
    <w:rsid w:val="00082FC0"/>
    <w:rsid w:val="00082FEB"/>
    <w:rsid w:val="00083096"/>
    <w:rsid w:val="000830B9"/>
    <w:rsid w:val="000830FD"/>
    <w:rsid w:val="00083133"/>
    <w:rsid w:val="00083158"/>
    <w:rsid w:val="00083195"/>
    <w:rsid w:val="000831CF"/>
    <w:rsid w:val="0008321D"/>
    <w:rsid w:val="0008323D"/>
    <w:rsid w:val="00083241"/>
    <w:rsid w:val="00083254"/>
    <w:rsid w:val="0008329E"/>
    <w:rsid w:val="000832B1"/>
    <w:rsid w:val="000832B6"/>
    <w:rsid w:val="000832D7"/>
    <w:rsid w:val="0008330D"/>
    <w:rsid w:val="00083323"/>
    <w:rsid w:val="0008332B"/>
    <w:rsid w:val="00083393"/>
    <w:rsid w:val="00083399"/>
    <w:rsid w:val="000833D0"/>
    <w:rsid w:val="00083427"/>
    <w:rsid w:val="00083458"/>
    <w:rsid w:val="00083507"/>
    <w:rsid w:val="0008351E"/>
    <w:rsid w:val="00083524"/>
    <w:rsid w:val="000835A0"/>
    <w:rsid w:val="000835D5"/>
    <w:rsid w:val="000835E9"/>
    <w:rsid w:val="00083670"/>
    <w:rsid w:val="00083703"/>
    <w:rsid w:val="00083714"/>
    <w:rsid w:val="000837B0"/>
    <w:rsid w:val="0008386D"/>
    <w:rsid w:val="00083888"/>
    <w:rsid w:val="00083890"/>
    <w:rsid w:val="000838BD"/>
    <w:rsid w:val="000838F8"/>
    <w:rsid w:val="0008390F"/>
    <w:rsid w:val="0008392E"/>
    <w:rsid w:val="00083933"/>
    <w:rsid w:val="0008397D"/>
    <w:rsid w:val="00083A19"/>
    <w:rsid w:val="00083AC3"/>
    <w:rsid w:val="00083AC7"/>
    <w:rsid w:val="00083AD0"/>
    <w:rsid w:val="00083ADE"/>
    <w:rsid w:val="00083AF3"/>
    <w:rsid w:val="00083B1F"/>
    <w:rsid w:val="00083B25"/>
    <w:rsid w:val="00083B50"/>
    <w:rsid w:val="00083BA7"/>
    <w:rsid w:val="00083BB1"/>
    <w:rsid w:val="00083C25"/>
    <w:rsid w:val="00083C2A"/>
    <w:rsid w:val="00083C7C"/>
    <w:rsid w:val="00083D04"/>
    <w:rsid w:val="00083D12"/>
    <w:rsid w:val="00083D54"/>
    <w:rsid w:val="00083DA3"/>
    <w:rsid w:val="00083DC4"/>
    <w:rsid w:val="00083E1A"/>
    <w:rsid w:val="00083E26"/>
    <w:rsid w:val="00083E86"/>
    <w:rsid w:val="00083E8D"/>
    <w:rsid w:val="00083EBB"/>
    <w:rsid w:val="00083F0A"/>
    <w:rsid w:val="00083F53"/>
    <w:rsid w:val="00083F8B"/>
    <w:rsid w:val="00083F98"/>
    <w:rsid w:val="00083FEC"/>
    <w:rsid w:val="00083FFF"/>
    <w:rsid w:val="00084008"/>
    <w:rsid w:val="00084045"/>
    <w:rsid w:val="00084079"/>
    <w:rsid w:val="00084085"/>
    <w:rsid w:val="0008409D"/>
    <w:rsid w:val="000840A1"/>
    <w:rsid w:val="000840C8"/>
    <w:rsid w:val="000840E4"/>
    <w:rsid w:val="000840E5"/>
    <w:rsid w:val="00084102"/>
    <w:rsid w:val="0008414B"/>
    <w:rsid w:val="000841CC"/>
    <w:rsid w:val="000841EB"/>
    <w:rsid w:val="00084230"/>
    <w:rsid w:val="0008428E"/>
    <w:rsid w:val="000842B9"/>
    <w:rsid w:val="000842C4"/>
    <w:rsid w:val="000842F8"/>
    <w:rsid w:val="0008436A"/>
    <w:rsid w:val="00084380"/>
    <w:rsid w:val="000843CB"/>
    <w:rsid w:val="000843E4"/>
    <w:rsid w:val="000843E6"/>
    <w:rsid w:val="00084410"/>
    <w:rsid w:val="00084453"/>
    <w:rsid w:val="00084486"/>
    <w:rsid w:val="00084534"/>
    <w:rsid w:val="0008455F"/>
    <w:rsid w:val="00084563"/>
    <w:rsid w:val="000845C5"/>
    <w:rsid w:val="000845D1"/>
    <w:rsid w:val="0008463E"/>
    <w:rsid w:val="0008467F"/>
    <w:rsid w:val="000846C5"/>
    <w:rsid w:val="000846C9"/>
    <w:rsid w:val="000846F8"/>
    <w:rsid w:val="0008473B"/>
    <w:rsid w:val="0008479A"/>
    <w:rsid w:val="000847B0"/>
    <w:rsid w:val="000847B3"/>
    <w:rsid w:val="000847CD"/>
    <w:rsid w:val="0008482A"/>
    <w:rsid w:val="00084849"/>
    <w:rsid w:val="00084862"/>
    <w:rsid w:val="00084871"/>
    <w:rsid w:val="000848A7"/>
    <w:rsid w:val="000848A8"/>
    <w:rsid w:val="000848ED"/>
    <w:rsid w:val="00084949"/>
    <w:rsid w:val="0008495B"/>
    <w:rsid w:val="000849CD"/>
    <w:rsid w:val="000849F9"/>
    <w:rsid w:val="00084A11"/>
    <w:rsid w:val="00084A60"/>
    <w:rsid w:val="00084A6E"/>
    <w:rsid w:val="00084A7E"/>
    <w:rsid w:val="00084ACD"/>
    <w:rsid w:val="00084AF1"/>
    <w:rsid w:val="00084B1E"/>
    <w:rsid w:val="00084BA3"/>
    <w:rsid w:val="00084BB0"/>
    <w:rsid w:val="00084BBB"/>
    <w:rsid w:val="00084BBC"/>
    <w:rsid w:val="00084BFE"/>
    <w:rsid w:val="00084C62"/>
    <w:rsid w:val="00084C8C"/>
    <w:rsid w:val="00084C90"/>
    <w:rsid w:val="00084C94"/>
    <w:rsid w:val="00084DFD"/>
    <w:rsid w:val="00084E21"/>
    <w:rsid w:val="00084E23"/>
    <w:rsid w:val="00084E30"/>
    <w:rsid w:val="00084E46"/>
    <w:rsid w:val="00084E6B"/>
    <w:rsid w:val="00084E72"/>
    <w:rsid w:val="00084E92"/>
    <w:rsid w:val="00084EC8"/>
    <w:rsid w:val="00084EF0"/>
    <w:rsid w:val="00084F21"/>
    <w:rsid w:val="00084F79"/>
    <w:rsid w:val="00084FA7"/>
    <w:rsid w:val="00084FB5"/>
    <w:rsid w:val="0008501A"/>
    <w:rsid w:val="0008508D"/>
    <w:rsid w:val="000850B0"/>
    <w:rsid w:val="000850DD"/>
    <w:rsid w:val="00085108"/>
    <w:rsid w:val="00085148"/>
    <w:rsid w:val="00085162"/>
    <w:rsid w:val="00085193"/>
    <w:rsid w:val="000851C8"/>
    <w:rsid w:val="000851E1"/>
    <w:rsid w:val="000851E7"/>
    <w:rsid w:val="00085204"/>
    <w:rsid w:val="00085257"/>
    <w:rsid w:val="00085258"/>
    <w:rsid w:val="000852E1"/>
    <w:rsid w:val="00085388"/>
    <w:rsid w:val="000853EA"/>
    <w:rsid w:val="000853F0"/>
    <w:rsid w:val="00085442"/>
    <w:rsid w:val="00085451"/>
    <w:rsid w:val="000854B9"/>
    <w:rsid w:val="000854E9"/>
    <w:rsid w:val="000854EF"/>
    <w:rsid w:val="00085528"/>
    <w:rsid w:val="00085565"/>
    <w:rsid w:val="00085576"/>
    <w:rsid w:val="00085585"/>
    <w:rsid w:val="00085591"/>
    <w:rsid w:val="00085617"/>
    <w:rsid w:val="00085625"/>
    <w:rsid w:val="00085676"/>
    <w:rsid w:val="000856E4"/>
    <w:rsid w:val="000856F2"/>
    <w:rsid w:val="00085748"/>
    <w:rsid w:val="00085772"/>
    <w:rsid w:val="000857AC"/>
    <w:rsid w:val="000857BF"/>
    <w:rsid w:val="000857C4"/>
    <w:rsid w:val="000857D4"/>
    <w:rsid w:val="000857E4"/>
    <w:rsid w:val="000857F1"/>
    <w:rsid w:val="00085806"/>
    <w:rsid w:val="00085847"/>
    <w:rsid w:val="00085886"/>
    <w:rsid w:val="000858C2"/>
    <w:rsid w:val="000858C3"/>
    <w:rsid w:val="000858C5"/>
    <w:rsid w:val="000858C7"/>
    <w:rsid w:val="000858E6"/>
    <w:rsid w:val="00085921"/>
    <w:rsid w:val="0008596F"/>
    <w:rsid w:val="000859A6"/>
    <w:rsid w:val="000859AD"/>
    <w:rsid w:val="000859F4"/>
    <w:rsid w:val="000859F7"/>
    <w:rsid w:val="000859F8"/>
    <w:rsid w:val="00085A08"/>
    <w:rsid w:val="00085A28"/>
    <w:rsid w:val="00085B4A"/>
    <w:rsid w:val="00085B4D"/>
    <w:rsid w:val="00085B66"/>
    <w:rsid w:val="00085BAA"/>
    <w:rsid w:val="00085BB5"/>
    <w:rsid w:val="00085BE3"/>
    <w:rsid w:val="00085BF2"/>
    <w:rsid w:val="00085C02"/>
    <w:rsid w:val="00085C50"/>
    <w:rsid w:val="00085C60"/>
    <w:rsid w:val="00085C63"/>
    <w:rsid w:val="00085CCC"/>
    <w:rsid w:val="00085D11"/>
    <w:rsid w:val="00085E34"/>
    <w:rsid w:val="00085E6C"/>
    <w:rsid w:val="00085EAE"/>
    <w:rsid w:val="00085EB5"/>
    <w:rsid w:val="00085F54"/>
    <w:rsid w:val="00085FC0"/>
    <w:rsid w:val="0008601E"/>
    <w:rsid w:val="0008608A"/>
    <w:rsid w:val="000860A2"/>
    <w:rsid w:val="000860D1"/>
    <w:rsid w:val="0008610F"/>
    <w:rsid w:val="0008613D"/>
    <w:rsid w:val="00086194"/>
    <w:rsid w:val="000861D7"/>
    <w:rsid w:val="000861D9"/>
    <w:rsid w:val="000861E9"/>
    <w:rsid w:val="00086234"/>
    <w:rsid w:val="00086262"/>
    <w:rsid w:val="0008627E"/>
    <w:rsid w:val="00086291"/>
    <w:rsid w:val="0008637F"/>
    <w:rsid w:val="00086386"/>
    <w:rsid w:val="00086388"/>
    <w:rsid w:val="000863A2"/>
    <w:rsid w:val="000863D7"/>
    <w:rsid w:val="00086429"/>
    <w:rsid w:val="0008647E"/>
    <w:rsid w:val="000864DC"/>
    <w:rsid w:val="000864E3"/>
    <w:rsid w:val="0008657C"/>
    <w:rsid w:val="00086663"/>
    <w:rsid w:val="000866EE"/>
    <w:rsid w:val="00086791"/>
    <w:rsid w:val="00086803"/>
    <w:rsid w:val="00086843"/>
    <w:rsid w:val="00086844"/>
    <w:rsid w:val="00086869"/>
    <w:rsid w:val="0008687B"/>
    <w:rsid w:val="00086887"/>
    <w:rsid w:val="000868B4"/>
    <w:rsid w:val="000868D1"/>
    <w:rsid w:val="000868D7"/>
    <w:rsid w:val="00086908"/>
    <w:rsid w:val="00086933"/>
    <w:rsid w:val="00086954"/>
    <w:rsid w:val="00086979"/>
    <w:rsid w:val="0008698E"/>
    <w:rsid w:val="000869AA"/>
    <w:rsid w:val="000869B0"/>
    <w:rsid w:val="000869C4"/>
    <w:rsid w:val="000869DD"/>
    <w:rsid w:val="000869F5"/>
    <w:rsid w:val="00086A29"/>
    <w:rsid w:val="00086A52"/>
    <w:rsid w:val="00086A64"/>
    <w:rsid w:val="00086A70"/>
    <w:rsid w:val="00086A71"/>
    <w:rsid w:val="00086A90"/>
    <w:rsid w:val="00086AE6"/>
    <w:rsid w:val="00086B01"/>
    <w:rsid w:val="00086B29"/>
    <w:rsid w:val="00086B55"/>
    <w:rsid w:val="00086B78"/>
    <w:rsid w:val="00086BCC"/>
    <w:rsid w:val="00086BEA"/>
    <w:rsid w:val="00086BEF"/>
    <w:rsid w:val="00086BF7"/>
    <w:rsid w:val="00086C1A"/>
    <w:rsid w:val="00086CB0"/>
    <w:rsid w:val="00086CCA"/>
    <w:rsid w:val="00086CD1"/>
    <w:rsid w:val="00086CF4"/>
    <w:rsid w:val="00086D3D"/>
    <w:rsid w:val="00086D5B"/>
    <w:rsid w:val="00086DB2"/>
    <w:rsid w:val="00086DB5"/>
    <w:rsid w:val="00086DC9"/>
    <w:rsid w:val="00086DFA"/>
    <w:rsid w:val="00086E29"/>
    <w:rsid w:val="00086E49"/>
    <w:rsid w:val="00086E64"/>
    <w:rsid w:val="00086E80"/>
    <w:rsid w:val="00086E95"/>
    <w:rsid w:val="00086ECE"/>
    <w:rsid w:val="00086F44"/>
    <w:rsid w:val="00086F4E"/>
    <w:rsid w:val="00086F86"/>
    <w:rsid w:val="00086FB1"/>
    <w:rsid w:val="00086FBE"/>
    <w:rsid w:val="00086FCD"/>
    <w:rsid w:val="0008703E"/>
    <w:rsid w:val="00087067"/>
    <w:rsid w:val="00087089"/>
    <w:rsid w:val="00087093"/>
    <w:rsid w:val="000870AE"/>
    <w:rsid w:val="000870C2"/>
    <w:rsid w:val="00087143"/>
    <w:rsid w:val="0008716B"/>
    <w:rsid w:val="00087193"/>
    <w:rsid w:val="0008719D"/>
    <w:rsid w:val="000871C4"/>
    <w:rsid w:val="000871E5"/>
    <w:rsid w:val="000871F4"/>
    <w:rsid w:val="0008724D"/>
    <w:rsid w:val="00087289"/>
    <w:rsid w:val="00087299"/>
    <w:rsid w:val="00087317"/>
    <w:rsid w:val="0008733E"/>
    <w:rsid w:val="00087356"/>
    <w:rsid w:val="0008738E"/>
    <w:rsid w:val="000873DF"/>
    <w:rsid w:val="00087446"/>
    <w:rsid w:val="000874A5"/>
    <w:rsid w:val="000874C0"/>
    <w:rsid w:val="000874C1"/>
    <w:rsid w:val="00087502"/>
    <w:rsid w:val="0008755C"/>
    <w:rsid w:val="00087573"/>
    <w:rsid w:val="000875E3"/>
    <w:rsid w:val="0008761D"/>
    <w:rsid w:val="00087656"/>
    <w:rsid w:val="0008765A"/>
    <w:rsid w:val="00087671"/>
    <w:rsid w:val="00087678"/>
    <w:rsid w:val="00087695"/>
    <w:rsid w:val="000876A6"/>
    <w:rsid w:val="000876DA"/>
    <w:rsid w:val="000876EA"/>
    <w:rsid w:val="00087740"/>
    <w:rsid w:val="000877C6"/>
    <w:rsid w:val="0008781B"/>
    <w:rsid w:val="0008782D"/>
    <w:rsid w:val="0008782F"/>
    <w:rsid w:val="000878C4"/>
    <w:rsid w:val="000878CD"/>
    <w:rsid w:val="000878DD"/>
    <w:rsid w:val="000878F1"/>
    <w:rsid w:val="00087903"/>
    <w:rsid w:val="00087914"/>
    <w:rsid w:val="00087935"/>
    <w:rsid w:val="000879EC"/>
    <w:rsid w:val="000879F7"/>
    <w:rsid w:val="00087A2A"/>
    <w:rsid w:val="00087A93"/>
    <w:rsid w:val="00087ABD"/>
    <w:rsid w:val="00087AD0"/>
    <w:rsid w:val="00087AD1"/>
    <w:rsid w:val="00087B39"/>
    <w:rsid w:val="00087B41"/>
    <w:rsid w:val="00087B60"/>
    <w:rsid w:val="00087BAE"/>
    <w:rsid w:val="00087C81"/>
    <w:rsid w:val="00087C84"/>
    <w:rsid w:val="00087CB1"/>
    <w:rsid w:val="00087D10"/>
    <w:rsid w:val="00087D17"/>
    <w:rsid w:val="00087D1F"/>
    <w:rsid w:val="00087D4E"/>
    <w:rsid w:val="00087D70"/>
    <w:rsid w:val="00087D9B"/>
    <w:rsid w:val="00087DA5"/>
    <w:rsid w:val="00087E34"/>
    <w:rsid w:val="00087E7B"/>
    <w:rsid w:val="00087E87"/>
    <w:rsid w:val="00087EB6"/>
    <w:rsid w:val="00087F53"/>
    <w:rsid w:val="00087FA2"/>
    <w:rsid w:val="00087FAF"/>
    <w:rsid w:val="00090078"/>
    <w:rsid w:val="000900A8"/>
    <w:rsid w:val="000900CB"/>
    <w:rsid w:val="000900F2"/>
    <w:rsid w:val="00090115"/>
    <w:rsid w:val="00090129"/>
    <w:rsid w:val="0009014A"/>
    <w:rsid w:val="00090186"/>
    <w:rsid w:val="00090192"/>
    <w:rsid w:val="000901DD"/>
    <w:rsid w:val="00090203"/>
    <w:rsid w:val="00090205"/>
    <w:rsid w:val="0009022B"/>
    <w:rsid w:val="0009022D"/>
    <w:rsid w:val="00090252"/>
    <w:rsid w:val="0009026D"/>
    <w:rsid w:val="0009029C"/>
    <w:rsid w:val="000902A5"/>
    <w:rsid w:val="000902CC"/>
    <w:rsid w:val="00090303"/>
    <w:rsid w:val="00090324"/>
    <w:rsid w:val="0009033F"/>
    <w:rsid w:val="00090363"/>
    <w:rsid w:val="0009037A"/>
    <w:rsid w:val="0009038D"/>
    <w:rsid w:val="000903F2"/>
    <w:rsid w:val="0009041C"/>
    <w:rsid w:val="00090435"/>
    <w:rsid w:val="0009044F"/>
    <w:rsid w:val="00090479"/>
    <w:rsid w:val="0009047E"/>
    <w:rsid w:val="00090486"/>
    <w:rsid w:val="000904C3"/>
    <w:rsid w:val="000904D3"/>
    <w:rsid w:val="00090525"/>
    <w:rsid w:val="0009053F"/>
    <w:rsid w:val="000905B3"/>
    <w:rsid w:val="0009062D"/>
    <w:rsid w:val="00090675"/>
    <w:rsid w:val="000906DE"/>
    <w:rsid w:val="000906E8"/>
    <w:rsid w:val="000906EC"/>
    <w:rsid w:val="0009072A"/>
    <w:rsid w:val="00090768"/>
    <w:rsid w:val="00090781"/>
    <w:rsid w:val="000907F7"/>
    <w:rsid w:val="0009080E"/>
    <w:rsid w:val="00090828"/>
    <w:rsid w:val="00090836"/>
    <w:rsid w:val="0009083A"/>
    <w:rsid w:val="0009086C"/>
    <w:rsid w:val="000908E5"/>
    <w:rsid w:val="00090922"/>
    <w:rsid w:val="0009097D"/>
    <w:rsid w:val="0009097E"/>
    <w:rsid w:val="000909D8"/>
    <w:rsid w:val="00090A0F"/>
    <w:rsid w:val="00090A2D"/>
    <w:rsid w:val="00090A3F"/>
    <w:rsid w:val="00090A5D"/>
    <w:rsid w:val="00090A82"/>
    <w:rsid w:val="00090AA7"/>
    <w:rsid w:val="00090AD6"/>
    <w:rsid w:val="00090AF0"/>
    <w:rsid w:val="00090B01"/>
    <w:rsid w:val="00090B09"/>
    <w:rsid w:val="00090B12"/>
    <w:rsid w:val="00090B3F"/>
    <w:rsid w:val="00090BAA"/>
    <w:rsid w:val="00090C4D"/>
    <w:rsid w:val="00090C9F"/>
    <w:rsid w:val="00090CCB"/>
    <w:rsid w:val="00090CD6"/>
    <w:rsid w:val="00090D71"/>
    <w:rsid w:val="00090D80"/>
    <w:rsid w:val="00090DC1"/>
    <w:rsid w:val="00090DCF"/>
    <w:rsid w:val="00090E4F"/>
    <w:rsid w:val="00090E6C"/>
    <w:rsid w:val="00090E90"/>
    <w:rsid w:val="00090EDA"/>
    <w:rsid w:val="00090EDB"/>
    <w:rsid w:val="00090F45"/>
    <w:rsid w:val="00090F94"/>
    <w:rsid w:val="00090FC9"/>
    <w:rsid w:val="00091055"/>
    <w:rsid w:val="00091082"/>
    <w:rsid w:val="000910A3"/>
    <w:rsid w:val="000910F2"/>
    <w:rsid w:val="000910FC"/>
    <w:rsid w:val="00091130"/>
    <w:rsid w:val="00091134"/>
    <w:rsid w:val="0009116F"/>
    <w:rsid w:val="0009118D"/>
    <w:rsid w:val="00091190"/>
    <w:rsid w:val="000911BC"/>
    <w:rsid w:val="00091210"/>
    <w:rsid w:val="0009125F"/>
    <w:rsid w:val="0009127D"/>
    <w:rsid w:val="0009128D"/>
    <w:rsid w:val="000912C9"/>
    <w:rsid w:val="000912D5"/>
    <w:rsid w:val="000912DC"/>
    <w:rsid w:val="000912F2"/>
    <w:rsid w:val="00091327"/>
    <w:rsid w:val="00091334"/>
    <w:rsid w:val="0009134B"/>
    <w:rsid w:val="00091356"/>
    <w:rsid w:val="000913B9"/>
    <w:rsid w:val="000913DE"/>
    <w:rsid w:val="000913EF"/>
    <w:rsid w:val="00091428"/>
    <w:rsid w:val="00091441"/>
    <w:rsid w:val="0009147E"/>
    <w:rsid w:val="000914D0"/>
    <w:rsid w:val="0009155A"/>
    <w:rsid w:val="0009158C"/>
    <w:rsid w:val="00091597"/>
    <w:rsid w:val="000915C6"/>
    <w:rsid w:val="0009165F"/>
    <w:rsid w:val="00091676"/>
    <w:rsid w:val="00091679"/>
    <w:rsid w:val="00091680"/>
    <w:rsid w:val="000916B1"/>
    <w:rsid w:val="000916C5"/>
    <w:rsid w:val="0009171E"/>
    <w:rsid w:val="00091726"/>
    <w:rsid w:val="00091731"/>
    <w:rsid w:val="0009174F"/>
    <w:rsid w:val="00091754"/>
    <w:rsid w:val="00091758"/>
    <w:rsid w:val="00091779"/>
    <w:rsid w:val="0009179A"/>
    <w:rsid w:val="000917ED"/>
    <w:rsid w:val="00091895"/>
    <w:rsid w:val="000918B9"/>
    <w:rsid w:val="000918EE"/>
    <w:rsid w:val="0009194F"/>
    <w:rsid w:val="00091964"/>
    <w:rsid w:val="0009197F"/>
    <w:rsid w:val="000919A7"/>
    <w:rsid w:val="000919BF"/>
    <w:rsid w:val="000919F2"/>
    <w:rsid w:val="000919F7"/>
    <w:rsid w:val="00091A19"/>
    <w:rsid w:val="00091A33"/>
    <w:rsid w:val="00091A54"/>
    <w:rsid w:val="00091A55"/>
    <w:rsid w:val="00091A97"/>
    <w:rsid w:val="00091ACC"/>
    <w:rsid w:val="00091AE8"/>
    <w:rsid w:val="00091B04"/>
    <w:rsid w:val="00091B35"/>
    <w:rsid w:val="00091B8D"/>
    <w:rsid w:val="00091BD4"/>
    <w:rsid w:val="00091BF8"/>
    <w:rsid w:val="00091C34"/>
    <w:rsid w:val="00091C3F"/>
    <w:rsid w:val="00091C4A"/>
    <w:rsid w:val="00091C7D"/>
    <w:rsid w:val="00091CA9"/>
    <w:rsid w:val="00091CEF"/>
    <w:rsid w:val="00091D21"/>
    <w:rsid w:val="00091D4A"/>
    <w:rsid w:val="00091D55"/>
    <w:rsid w:val="00091DB7"/>
    <w:rsid w:val="00091DBC"/>
    <w:rsid w:val="00091DDD"/>
    <w:rsid w:val="00091DE3"/>
    <w:rsid w:val="00091E02"/>
    <w:rsid w:val="00091E4B"/>
    <w:rsid w:val="00091ED9"/>
    <w:rsid w:val="00091F3B"/>
    <w:rsid w:val="00091F72"/>
    <w:rsid w:val="00091F80"/>
    <w:rsid w:val="00091FAA"/>
    <w:rsid w:val="00091FAE"/>
    <w:rsid w:val="00091FDB"/>
    <w:rsid w:val="00091FFC"/>
    <w:rsid w:val="000920A7"/>
    <w:rsid w:val="000920AC"/>
    <w:rsid w:val="000921AD"/>
    <w:rsid w:val="00092210"/>
    <w:rsid w:val="0009233B"/>
    <w:rsid w:val="00092358"/>
    <w:rsid w:val="0009235E"/>
    <w:rsid w:val="00092363"/>
    <w:rsid w:val="000923B2"/>
    <w:rsid w:val="000924A7"/>
    <w:rsid w:val="000924DC"/>
    <w:rsid w:val="0009256B"/>
    <w:rsid w:val="00092586"/>
    <w:rsid w:val="000925BA"/>
    <w:rsid w:val="000925BF"/>
    <w:rsid w:val="000925CE"/>
    <w:rsid w:val="000925D4"/>
    <w:rsid w:val="000925EB"/>
    <w:rsid w:val="00092650"/>
    <w:rsid w:val="00092657"/>
    <w:rsid w:val="0009268F"/>
    <w:rsid w:val="0009270C"/>
    <w:rsid w:val="00092714"/>
    <w:rsid w:val="00092719"/>
    <w:rsid w:val="00092736"/>
    <w:rsid w:val="00092755"/>
    <w:rsid w:val="00092763"/>
    <w:rsid w:val="0009278B"/>
    <w:rsid w:val="0009284B"/>
    <w:rsid w:val="0009288C"/>
    <w:rsid w:val="000928CD"/>
    <w:rsid w:val="000928D9"/>
    <w:rsid w:val="0009290B"/>
    <w:rsid w:val="0009290C"/>
    <w:rsid w:val="00092939"/>
    <w:rsid w:val="00092980"/>
    <w:rsid w:val="0009298C"/>
    <w:rsid w:val="000929B9"/>
    <w:rsid w:val="000929EB"/>
    <w:rsid w:val="00092A16"/>
    <w:rsid w:val="00092A3A"/>
    <w:rsid w:val="00092A60"/>
    <w:rsid w:val="00092A95"/>
    <w:rsid w:val="00092B2D"/>
    <w:rsid w:val="00092B8B"/>
    <w:rsid w:val="00092B97"/>
    <w:rsid w:val="00092BCF"/>
    <w:rsid w:val="00092C02"/>
    <w:rsid w:val="00092C13"/>
    <w:rsid w:val="00092C30"/>
    <w:rsid w:val="00092C37"/>
    <w:rsid w:val="00092C3F"/>
    <w:rsid w:val="00092C83"/>
    <w:rsid w:val="00092D42"/>
    <w:rsid w:val="00092D8A"/>
    <w:rsid w:val="00092E15"/>
    <w:rsid w:val="00092E32"/>
    <w:rsid w:val="00092E58"/>
    <w:rsid w:val="00092E73"/>
    <w:rsid w:val="00092E86"/>
    <w:rsid w:val="00092EFE"/>
    <w:rsid w:val="00092F45"/>
    <w:rsid w:val="00092F5A"/>
    <w:rsid w:val="00092F62"/>
    <w:rsid w:val="00092FCE"/>
    <w:rsid w:val="0009301C"/>
    <w:rsid w:val="00093035"/>
    <w:rsid w:val="00093067"/>
    <w:rsid w:val="00093094"/>
    <w:rsid w:val="0009319D"/>
    <w:rsid w:val="00093248"/>
    <w:rsid w:val="000932DB"/>
    <w:rsid w:val="000932F4"/>
    <w:rsid w:val="00093402"/>
    <w:rsid w:val="00093437"/>
    <w:rsid w:val="0009345D"/>
    <w:rsid w:val="00093474"/>
    <w:rsid w:val="0009348D"/>
    <w:rsid w:val="000934EE"/>
    <w:rsid w:val="00093505"/>
    <w:rsid w:val="00093549"/>
    <w:rsid w:val="00093587"/>
    <w:rsid w:val="000935D4"/>
    <w:rsid w:val="000935D7"/>
    <w:rsid w:val="00093618"/>
    <w:rsid w:val="0009361D"/>
    <w:rsid w:val="0009365F"/>
    <w:rsid w:val="000937B2"/>
    <w:rsid w:val="000937DD"/>
    <w:rsid w:val="00093836"/>
    <w:rsid w:val="0009389E"/>
    <w:rsid w:val="0009399E"/>
    <w:rsid w:val="000939B9"/>
    <w:rsid w:val="000939F7"/>
    <w:rsid w:val="00093A15"/>
    <w:rsid w:val="00093AD9"/>
    <w:rsid w:val="00093AEA"/>
    <w:rsid w:val="00093B66"/>
    <w:rsid w:val="00093B6E"/>
    <w:rsid w:val="00093B99"/>
    <w:rsid w:val="00093BA4"/>
    <w:rsid w:val="00093BAE"/>
    <w:rsid w:val="00093BC9"/>
    <w:rsid w:val="00093BD0"/>
    <w:rsid w:val="00093C20"/>
    <w:rsid w:val="00093C99"/>
    <w:rsid w:val="00093CB8"/>
    <w:rsid w:val="00093CBD"/>
    <w:rsid w:val="00093E22"/>
    <w:rsid w:val="00093E3A"/>
    <w:rsid w:val="00093E3D"/>
    <w:rsid w:val="00093E63"/>
    <w:rsid w:val="00093E7E"/>
    <w:rsid w:val="00093ECE"/>
    <w:rsid w:val="00093F17"/>
    <w:rsid w:val="00093F53"/>
    <w:rsid w:val="00093F68"/>
    <w:rsid w:val="00093FAC"/>
    <w:rsid w:val="00093FD8"/>
    <w:rsid w:val="00093FF1"/>
    <w:rsid w:val="00093FF7"/>
    <w:rsid w:val="0009401B"/>
    <w:rsid w:val="00094096"/>
    <w:rsid w:val="000940CB"/>
    <w:rsid w:val="000940CF"/>
    <w:rsid w:val="00094110"/>
    <w:rsid w:val="0009413B"/>
    <w:rsid w:val="000941AB"/>
    <w:rsid w:val="000941B8"/>
    <w:rsid w:val="000941C9"/>
    <w:rsid w:val="00094249"/>
    <w:rsid w:val="00094263"/>
    <w:rsid w:val="000942B1"/>
    <w:rsid w:val="000942C6"/>
    <w:rsid w:val="000942CB"/>
    <w:rsid w:val="000942E1"/>
    <w:rsid w:val="000943EF"/>
    <w:rsid w:val="000943F5"/>
    <w:rsid w:val="00094411"/>
    <w:rsid w:val="0009442F"/>
    <w:rsid w:val="00094476"/>
    <w:rsid w:val="00094488"/>
    <w:rsid w:val="0009448B"/>
    <w:rsid w:val="0009450A"/>
    <w:rsid w:val="00094515"/>
    <w:rsid w:val="00094542"/>
    <w:rsid w:val="000945B7"/>
    <w:rsid w:val="000945CC"/>
    <w:rsid w:val="000945F0"/>
    <w:rsid w:val="000945F6"/>
    <w:rsid w:val="00094670"/>
    <w:rsid w:val="00094681"/>
    <w:rsid w:val="000946A2"/>
    <w:rsid w:val="0009470A"/>
    <w:rsid w:val="00094722"/>
    <w:rsid w:val="00094736"/>
    <w:rsid w:val="00094778"/>
    <w:rsid w:val="000947A5"/>
    <w:rsid w:val="000947FF"/>
    <w:rsid w:val="00094800"/>
    <w:rsid w:val="00094808"/>
    <w:rsid w:val="0009480F"/>
    <w:rsid w:val="000948CC"/>
    <w:rsid w:val="000948D0"/>
    <w:rsid w:val="00094938"/>
    <w:rsid w:val="0009498E"/>
    <w:rsid w:val="00094A06"/>
    <w:rsid w:val="00094A1D"/>
    <w:rsid w:val="00094A92"/>
    <w:rsid w:val="00094ADC"/>
    <w:rsid w:val="00094B0E"/>
    <w:rsid w:val="00094B5C"/>
    <w:rsid w:val="00094B7B"/>
    <w:rsid w:val="00094BDC"/>
    <w:rsid w:val="00094BE3"/>
    <w:rsid w:val="00094BE7"/>
    <w:rsid w:val="00094C42"/>
    <w:rsid w:val="00094C6E"/>
    <w:rsid w:val="00094CB7"/>
    <w:rsid w:val="00094CBD"/>
    <w:rsid w:val="00094CD0"/>
    <w:rsid w:val="00094D09"/>
    <w:rsid w:val="00094DB7"/>
    <w:rsid w:val="00094E03"/>
    <w:rsid w:val="00094E54"/>
    <w:rsid w:val="00094E65"/>
    <w:rsid w:val="00094EAB"/>
    <w:rsid w:val="00094ED0"/>
    <w:rsid w:val="00094EE0"/>
    <w:rsid w:val="00094F8A"/>
    <w:rsid w:val="00094FF1"/>
    <w:rsid w:val="0009504E"/>
    <w:rsid w:val="0009504F"/>
    <w:rsid w:val="00095090"/>
    <w:rsid w:val="000950C5"/>
    <w:rsid w:val="0009513E"/>
    <w:rsid w:val="0009518E"/>
    <w:rsid w:val="000951A1"/>
    <w:rsid w:val="000951AA"/>
    <w:rsid w:val="000951E7"/>
    <w:rsid w:val="0009521D"/>
    <w:rsid w:val="0009527C"/>
    <w:rsid w:val="000952B1"/>
    <w:rsid w:val="00095368"/>
    <w:rsid w:val="000953CA"/>
    <w:rsid w:val="000953D3"/>
    <w:rsid w:val="000953DD"/>
    <w:rsid w:val="000953EB"/>
    <w:rsid w:val="000953F5"/>
    <w:rsid w:val="000953F9"/>
    <w:rsid w:val="0009540C"/>
    <w:rsid w:val="00095416"/>
    <w:rsid w:val="00095493"/>
    <w:rsid w:val="00095494"/>
    <w:rsid w:val="000954AC"/>
    <w:rsid w:val="0009550E"/>
    <w:rsid w:val="00095512"/>
    <w:rsid w:val="0009559A"/>
    <w:rsid w:val="000955C2"/>
    <w:rsid w:val="000955C9"/>
    <w:rsid w:val="00095651"/>
    <w:rsid w:val="00095690"/>
    <w:rsid w:val="000956AB"/>
    <w:rsid w:val="000956C3"/>
    <w:rsid w:val="0009571F"/>
    <w:rsid w:val="000957A6"/>
    <w:rsid w:val="00095810"/>
    <w:rsid w:val="00095829"/>
    <w:rsid w:val="00095860"/>
    <w:rsid w:val="0009587D"/>
    <w:rsid w:val="000958CF"/>
    <w:rsid w:val="000958F3"/>
    <w:rsid w:val="00095966"/>
    <w:rsid w:val="00095998"/>
    <w:rsid w:val="000959CD"/>
    <w:rsid w:val="000959D0"/>
    <w:rsid w:val="000959D2"/>
    <w:rsid w:val="000959D3"/>
    <w:rsid w:val="00095A1C"/>
    <w:rsid w:val="00095A66"/>
    <w:rsid w:val="00095A84"/>
    <w:rsid w:val="00095AA8"/>
    <w:rsid w:val="00095AEA"/>
    <w:rsid w:val="00095AF8"/>
    <w:rsid w:val="00095B32"/>
    <w:rsid w:val="00095B5C"/>
    <w:rsid w:val="00095B78"/>
    <w:rsid w:val="00095BE0"/>
    <w:rsid w:val="00095BE3"/>
    <w:rsid w:val="00095CE9"/>
    <w:rsid w:val="00095D06"/>
    <w:rsid w:val="00095D2B"/>
    <w:rsid w:val="00095D2F"/>
    <w:rsid w:val="00095D6A"/>
    <w:rsid w:val="00095D7C"/>
    <w:rsid w:val="00095D88"/>
    <w:rsid w:val="00095DE1"/>
    <w:rsid w:val="00095DF8"/>
    <w:rsid w:val="00095E02"/>
    <w:rsid w:val="00095E0F"/>
    <w:rsid w:val="00095E12"/>
    <w:rsid w:val="00095E4B"/>
    <w:rsid w:val="00095E5C"/>
    <w:rsid w:val="00095EDB"/>
    <w:rsid w:val="00095EDD"/>
    <w:rsid w:val="00095F2A"/>
    <w:rsid w:val="00095F4B"/>
    <w:rsid w:val="00095F90"/>
    <w:rsid w:val="00095F97"/>
    <w:rsid w:val="00095FA4"/>
    <w:rsid w:val="0009604D"/>
    <w:rsid w:val="0009606D"/>
    <w:rsid w:val="00096071"/>
    <w:rsid w:val="0009610D"/>
    <w:rsid w:val="0009612F"/>
    <w:rsid w:val="0009615C"/>
    <w:rsid w:val="00096173"/>
    <w:rsid w:val="000961AE"/>
    <w:rsid w:val="00096209"/>
    <w:rsid w:val="00096264"/>
    <w:rsid w:val="0009626E"/>
    <w:rsid w:val="00096288"/>
    <w:rsid w:val="00096296"/>
    <w:rsid w:val="000962E9"/>
    <w:rsid w:val="000963BA"/>
    <w:rsid w:val="000963F7"/>
    <w:rsid w:val="00096445"/>
    <w:rsid w:val="0009644B"/>
    <w:rsid w:val="0009646C"/>
    <w:rsid w:val="00096497"/>
    <w:rsid w:val="000964EE"/>
    <w:rsid w:val="00096542"/>
    <w:rsid w:val="000965CC"/>
    <w:rsid w:val="000965DF"/>
    <w:rsid w:val="000965FF"/>
    <w:rsid w:val="00096639"/>
    <w:rsid w:val="0009666D"/>
    <w:rsid w:val="00096675"/>
    <w:rsid w:val="0009668E"/>
    <w:rsid w:val="000966BE"/>
    <w:rsid w:val="00096738"/>
    <w:rsid w:val="00096745"/>
    <w:rsid w:val="00096757"/>
    <w:rsid w:val="00096763"/>
    <w:rsid w:val="00096795"/>
    <w:rsid w:val="000967B0"/>
    <w:rsid w:val="000967DA"/>
    <w:rsid w:val="0009680D"/>
    <w:rsid w:val="00096849"/>
    <w:rsid w:val="0009684F"/>
    <w:rsid w:val="00096865"/>
    <w:rsid w:val="000968B8"/>
    <w:rsid w:val="000968C8"/>
    <w:rsid w:val="0009691E"/>
    <w:rsid w:val="00096920"/>
    <w:rsid w:val="0009694F"/>
    <w:rsid w:val="0009695D"/>
    <w:rsid w:val="0009698E"/>
    <w:rsid w:val="000969F3"/>
    <w:rsid w:val="00096A0B"/>
    <w:rsid w:val="00096A74"/>
    <w:rsid w:val="00096ACF"/>
    <w:rsid w:val="00096AE6"/>
    <w:rsid w:val="00096AF4"/>
    <w:rsid w:val="00096AF5"/>
    <w:rsid w:val="00096B11"/>
    <w:rsid w:val="00096B2B"/>
    <w:rsid w:val="00096B3C"/>
    <w:rsid w:val="00096B58"/>
    <w:rsid w:val="00096B99"/>
    <w:rsid w:val="00096BAE"/>
    <w:rsid w:val="00096BC9"/>
    <w:rsid w:val="00096C59"/>
    <w:rsid w:val="00096C9D"/>
    <w:rsid w:val="00096CE4"/>
    <w:rsid w:val="00096CF9"/>
    <w:rsid w:val="00096D17"/>
    <w:rsid w:val="00096D74"/>
    <w:rsid w:val="00096DA9"/>
    <w:rsid w:val="00096DAF"/>
    <w:rsid w:val="00096DCC"/>
    <w:rsid w:val="00096DCF"/>
    <w:rsid w:val="00096DDE"/>
    <w:rsid w:val="00096E4C"/>
    <w:rsid w:val="00096E54"/>
    <w:rsid w:val="00096EC5"/>
    <w:rsid w:val="00096ED1"/>
    <w:rsid w:val="00096EF2"/>
    <w:rsid w:val="00096F10"/>
    <w:rsid w:val="00096F69"/>
    <w:rsid w:val="00096FA7"/>
    <w:rsid w:val="00097022"/>
    <w:rsid w:val="0009703F"/>
    <w:rsid w:val="0009704C"/>
    <w:rsid w:val="0009705A"/>
    <w:rsid w:val="0009706F"/>
    <w:rsid w:val="0009709D"/>
    <w:rsid w:val="000970A2"/>
    <w:rsid w:val="000970DF"/>
    <w:rsid w:val="000970EC"/>
    <w:rsid w:val="00097137"/>
    <w:rsid w:val="0009719C"/>
    <w:rsid w:val="000971A8"/>
    <w:rsid w:val="000971D0"/>
    <w:rsid w:val="00097204"/>
    <w:rsid w:val="00097221"/>
    <w:rsid w:val="0009723D"/>
    <w:rsid w:val="00097246"/>
    <w:rsid w:val="000972B1"/>
    <w:rsid w:val="000972C9"/>
    <w:rsid w:val="000972DF"/>
    <w:rsid w:val="0009732C"/>
    <w:rsid w:val="00097342"/>
    <w:rsid w:val="0009738A"/>
    <w:rsid w:val="0009738D"/>
    <w:rsid w:val="0009739F"/>
    <w:rsid w:val="000973BA"/>
    <w:rsid w:val="000973CF"/>
    <w:rsid w:val="000973D8"/>
    <w:rsid w:val="00097400"/>
    <w:rsid w:val="00097405"/>
    <w:rsid w:val="0009741A"/>
    <w:rsid w:val="00097445"/>
    <w:rsid w:val="00097454"/>
    <w:rsid w:val="000974FF"/>
    <w:rsid w:val="000975B9"/>
    <w:rsid w:val="000975E8"/>
    <w:rsid w:val="000975FC"/>
    <w:rsid w:val="000975FE"/>
    <w:rsid w:val="00097629"/>
    <w:rsid w:val="0009765C"/>
    <w:rsid w:val="000976BA"/>
    <w:rsid w:val="000976E8"/>
    <w:rsid w:val="0009771D"/>
    <w:rsid w:val="0009772D"/>
    <w:rsid w:val="0009774A"/>
    <w:rsid w:val="000977BA"/>
    <w:rsid w:val="000977E4"/>
    <w:rsid w:val="000977F9"/>
    <w:rsid w:val="0009782C"/>
    <w:rsid w:val="00097833"/>
    <w:rsid w:val="00097854"/>
    <w:rsid w:val="0009789C"/>
    <w:rsid w:val="000978F0"/>
    <w:rsid w:val="000979B2"/>
    <w:rsid w:val="000979EB"/>
    <w:rsid w:val="00097A13"/>
    <w:rsid w:val="00097A77"/>
    <w:rsid w:val="00097A7C"/>
    <w:rsid w:val="00097A80"/>
    <w:rsid w:val="00097AA8"/>
    <w:rsid w:val="00097AAA"/>
    <w:rsid w:val="00097AD5"/>
    <w:rsid w:val="00097B09"/>
    <w:rsid w:val="00097B4A"/>
    <w:rsid w:val="00097B55"/>
    <w:rsid w:val="00097B85"/>
    <w:rsid w:val="00097BCF"/>
    <w:rsid w:val="00097C4A"/>
    <w:rsid w:val="00097C85"/>
    <w:rsid w:val="00097CAF"/>
    <w:rsid w:val="00097D55"/>
    <w:rsid w:val="00097DCE"/>
    <w:rsid w:val="00097E71"/>
    <w:rsid w:val="00097E75"/>
    <w:rsid w:val="00097F3F"/>
    <w:rsid w:val="00097FB9"/>
    <w:rsid w:val="00097FEA"/>
    <w:rsid w:val="000A00C7"/>
    <w:rsid w:val="000A00D2"/>
    <w:rsid w:val="000A00DC"/>
    <w:rsid w:val="000A0112"/>
    <w:rsid w:val="000A0154"/>
    <w:rsid w:val="000A018D"/>
    <w:rsid w:val="000A0192"/>
    <w:rsid w:val="000A01AE"/>
    <w:rsid w:val="000A01B3"/>
    <w:rsid w:val="000A01BA"/>
    <w:rsid w:val="000A01DE"/>
    <w:rsid w:val="000A01F4"/>
    <w:rsid w:val="000A0204"/>
    <w:rsid w:val="000A0232"/>
    <w:rsid w:val="000A0269"/>
    <w:rsid w:val="000A028B"/>
    <w:rsid w:val="000A02D6"/>
    <w:rsid w:val="000A0308"/>
    <w:rsid w:val="000A0316"/>
    <w:rsid w:val="000A0389"/>
    <w:rsid w:val="000A03D3"/>
    <w:rsid w:val="000A0403"/>
    <w:rsid w:val="000A0453"/>
    <w:rsid w:val="000A0460"/>
    <w:rsid w:val="000A04CD"/>
    <w:rsid w:val="000A04F1"/>
    <w:rsid w:val="000A04FC"/>
    <w:rsid w:val="000A0574"/>
    <w:rsid w:val="000A05E9"/>
    <w:rsid w:val="000A0677"/>
    <w:rsid w:val="000A0679"/>
    <w:rsid w:val="000A0692"/>
    <w:rsid w:val="000A06A3"/>
    <w:rsid w:val="000A06FC"/>
    <w:rsid w:val="000A0710"/>
    <w:rsid w:val="000A07CA"/>
    <w:rsid w:val="000A0826"/>
    <w:rsid w:val="000A0871"/>
    <w:rsid w:val="000A0880"/>
    <w:rsid w:val="000A0883"/>
    <w:rsid w:val="000A08D7"/>
    <w:rsid w:val="000A08F4"/>
    <w:rsid w:val="000A0902"/>
    <w:rsid w:val="000A0995"/>
    <w:rsid w:val="000A09B0"/>
    <w:rsid w:val="000A09B8"/>
    <w:rsid w:val="000A0A00"/>
    <w:rsid w:val="000A0A41"/>
    <w:rsid w:val="000A0A42"/>
    <w:rsid w:val="000A0A69"/>
    <w:rsid w:val="000A0AC0"/>
    <w:rsid w:val="000A0AE6"/>
    <w:rsid w:val="000A0B0D"/>
    <w:rsid w:val="000A0B47"/>
    <w:rsid w:val="000A0B7A"/>
    <w:rsid w:val="000A0BE7"/>
    <w:rsid w:val="000A0C16"/>
    <w:rsid w:val="000A0C30"/>
    <w:rsid w:val="000A0C36"/>
    <w:rsid w:val="000A0C57"/>
    <w:rsid w:val="000A0C73"/>
    <w:rsid w:val="000A0CB2"/>
    <w:rsid w:val="000A0CCE"/>
    <w:rsid w:val="000A0D23"/>
    <w:rsid w:val="000A0D49"/>
    <w:rsid w:val="000A0DB6"/>
    <w:rsid w:val="000A0E18"/>
    <w:rsid w:val="000A0E23"/>
    <w:rsid w:val="000A0E26"/>
    <w:rsid w:val="000A0E28"/>
    <w:rsid w:val="000A0E42"/>
    <w:rsid w:val="000A0E63"/>
    <w:rsid w:val="000A0EA1"/>
    <w:rsid w:val="000A0EA2"/>
    <w:rsid w:val="000A0F07"/>
    <w:rsid w:val="000A0F38"/>
    <w:rsid w:val="000A0F7C"/>
    <w:rsid w:val="000A0F9A"/>
    <w:rsid w:val="000A0FBD"/>
    <w:rsid w:val="000A1044"/>
    <w:rsid w:val="000A1076"/>
    <w:rsid w:val="000A109D"/>
    <w:rsid w:val="000A10AC"/>
    <w:rsid w:val="000A112F"/>
    <w:rsid w:val="000A117F"/>
    <w:rsid w:val="000A11A5"/>
    <w:rsid w:val="000A11A9"/>
    <w:rsid w:val="000A11C6"/>
    <w:rsid w:val="000A11C9"/>
    <w:rsid w:val="000A1231"/>
    <w:rsid w:val="000A124E"/>
    <w:rsid w:val="000A12DC"/>
    <w:rsid w:val="000A1336"/>
    <w:rsid w:val="000A1343"/>
    <w:rsid w:val="000A135F"/>
    <w:rsid w:val="000A1377"/>
    <w:rsid w:val="000A1394"/>
    <w:rsid w:val="000A141B"/>
    <w:rsid w:val="000A1450"/>
    <w:rsid w:val="000A14A6"/>
    <w:rsid w:val="000A14CC"/>
    <w:rsid w:val="000A14D5"/>
    <w:rsid w:val="000A1585"/>
    <w:rsid w:val="000A15AA"/>
    <w:rsid w:val="000A15DC"/>
    <w:rsid w:val="000A1685"/>
    <w:rsid w:val="000A1694"/>
    <w:rsid w:val="000A16BE"/>
    <w:rsid w:val="000A179D"/>
    <w:rsid w:val="000A17A7"/>
    <w:rsid w:val="000A17AA"/>
    <w:rsid w:val="000A17DD"/>
    <w:rsid w:val="000A17F0"/>
    <w:rsid w:val="000A1848"/>
    <w:rsid w:val="000A18DF"/>
    <w:rsid w:val="000A18E5"/>
    <w:rsid w:val="000A19A0"/>
    <w:rsid w:val="000A19E5"/>
    <w:rsid w:val="000A19F8"/>
    <w:rsid w:val="000A1A86"/>
    <w:rsid w:val="000A1B1C"/>
    <w:rsid w:val="000A1BF6"/>
    <w:rsid w:val="000A1C04"/>
    <w:rsid w:val="000A1C53"/>
    <w:rsid w:val="000A1CBE"/>
    <w:rsid w:val="000A1CF2"/>
    <w:rsid w:val="000A1D04"/>
    <w:rsid w:val="000A1DA0"/>
    <w:rsid w:val="000A1DC0"/>
    <w:rsid w:val="000A1DD3"/>
    <w:rsid w:val="000A1E09"/>
    <w:rsid w:val="000A1EA9"/>
    <w:rsid w:val="000A1F4C"/>
    <w:rsid w:val="000A1F54"/>
    <w:rsid w:val="000A1F5F"/>
    <w:rsid w:val="000A2019"/>
    <w:rsid w:val="000A2044"/>
    <w:rsid w:val="000A20A5"/>
    <w:rsid w:val="000A2111"/>
    <w:rsid w:val="000A212D"/>
    <w:rsid w:val="000A2163"/>
    <w:rsid w:val="000A2166"/>
    <w:rsid w:val="000A2169"/>
    <w:rsid w:val="000A21B3"/>
    <w:rsid w:val="000A21B5"/>
    <w:rsid w:val="000A22C5"/>
    <w:rsid w:val="000A22C7"/>
    <w:rsid w:val="000A22DE"/>
    <w:rsid w:val="000A230B"/>
    <w:rsid w:val="000A2337"/>
    <w:rsid w:val="000A23A9"/>
    <w:rsid w:val="000A23E9"/>
    <w:rsid w:val="000A23EF"/>
    <w:rsid w:val="000A2400"/>
    <w:rsid w:val="000A2425"/>
    <w:rsid w:val="000A2459"/>
    <w:rsid w:val="000A24B5"/>
    <w:rsid w:val="000A24F2"/>
    <w:rsid w:val="000A2526"/>
    <w:rsid w:val="000A253A"/>
    <w:rsid w:val="000A2559"/>
    <w:rsid w:val="000A25C9"/>
    <w:rsid w:val="000A2633"/>
    <w:rsid w:val="000A2652"/>
    <w:rsid w:val="000A2675"/>
    <w:rsid w:val="000A269B"/>
    <w:rsid w:val="000A2711"/>
    <w:rsid w:val="000A2714"/>
    <w:rsid w:val="000A2755"/>
    <w:rsid w:val="000A2773"/>
    <w:rsid w:val="000A2790"/>
    <w:rsid w:val="000A27BA"/>
    <w:rsid w:val="000A2863"/>
    <w:rsid w:val="000A2868"/>
    <w:rsid w:val="000A28AE"/>
    <w:rsid w:val="000A28D9"/>
    <w:rsid w:val="000A28E2"/>
    <w:rsid w:val="000A2917"/>
    <w:rsid w:val="000A292D"/>
    <w:rsid w:val="000A293C"/>
    <w:rsid w:val="000A298B"/>
    <w:rsid w:val="000A29C6"/>
    <w:rsid w:val="000A29EE"/>
    <w:rsid w:val="000A2A0E"/>
    <w:rsid w:val="000A2A2E"/>
    <w:rsid w:val="000A2A8D"/>
    <w:rsid w:val="000A2ADA"/>
    <w:rsid w:val="000A2B31"/>
    <w:rsid w:val="000A2B4A"/>
    <w:rsid w:val="000A2B4B"/>
    <w:rsid w:val="000A2B6B"/>
    <w:rsid w:val="000A2B8C"/>
    <w:rsid w:val="000A2BA0"/>
    <w:rsid w:val="000A2BBC"/>
    <w:rsid w:val="000A2BC8"/>
    <w:rsid w:val="000A2BDB"/>
    <w:rsid w:val="000A2C08"/>
    <w:rsid w:val="000A2C23"/>
    <w:rsid w:val="000A2C40"/>
    <w:rsid w:val="000A2C82"/>
    <w:rsid w:val="000A2C95"/>
    <w:rsid w:val="000A2CCE"/>
    <w:rsid w:val="000A2CD1"/>
    <w:rsid w:val="000A2CE4"/>
    <w:rsid w:val="000A2D1C"/>
    <w:rsid w:val="000A2D26"/>
    <w:rsid w:val="000A2D65"/>
    <w:rsid w:val="000A2D7A"/>
    <w:rsid w:val="000A2D80"/>
    <w:rsid w:val="000A2DC4"/>
    <w:rsid w:val="000A2E0D"/>
    <w:rsid w:val="000A2E20"/>
    <w:rsid w:val="000A2E65"/>
    <w:rsid w:val="000A2E68"/>
    <w:rsid w:val="000A2E6D"/>
    <w:rsid w:val="000A2EC9"/>
    <w:rsid w:val="000A2F2A"/>
    <w:rsid w:val="000A2F2C"/>
    <w:rsid w:val="000A2FD9"/>
    <w:rsid w:val="000A3025"/>
    <w:rsid w:val="000A3050"/>
    <w:rsid w:val="000A3053"/>
    <w:rsid w:val="000A3071"/>
    <w:rsid w:val="000A3128"/>
    <w:rsid w:val="000A312B"/>
    <w:rsid w:val="000A31DD"/>
    <w:rsid w:val="000A322F"/>
    <w:rsid w:val="000A3255"/>
    <w:rsid w:val="000A3298"/>
    <w:rsid w:val="000A32DB"/>
    <w:rsid w:val="000A332C"/>
    <w:rsid w:val="000A3389"/>
    <w:rsid w:val="000A33C9"/>
    <w:rsid w:val="000A3413"/>
    <w:rsid w:val="000A342C"/>
    <w:rsid w:val="000A344E"/>
    <w:rsid w:val="000A3472"/>
    <w:rsid w:val="000A3479"/>
    <w:rsid w:val="000A35A0"/>
    <w:rsid w:val="000A35F3"/>
    <w:rsid w:val="000A3623"/>
    <w:rsid w:val="000A3647"/>
    <w:rsid w:val="000A3659"/>
    <w:rsid w:val="000A36B7"/>
    <w:rsid w:val="000A36DF"/>
    <w:rsid w:val="000A370E"/>
    <w:rsid w:val="000A3728"/>
    <w:rsid w:val="000A372C"/>
    <w:rsid w:val="000A3759"/>
    <w:rsid w:val="000A375D"/>
    <w:rsid w:val="000A3795"/>
    <w:rsid w:val="000A37E0"/>
    <w:rsid w:val="000A382D"/>
    <w:rsid w:val="000A3845"/>
    <w:rsid w:val="000A384A"/>
    <w:rsid w:val="000A387C"/>
    <w:rsid w:val="000A388F"/>
    <w:rsid w:val="000A38A2"/>
    <w:rsid w:val="000A38AD"/>
    <w:rsid w:val="000A38D2"/>
    <w:rsid w:val="000A3909"/>
    <w:rsid w:val="000A391A"/>
    <w:rsid w:val="000A393B"/>
    <w:rsid w:val="000A3940"/>
    <w:rsid w:val="000A39B2"/>
    <w:rsid w:val="000A3A13"/>
    <w:rsid w:val="000A3A21"/>
    <w:rsid w:val="000A3A4D"/>
    <w:rsid w:val="000A3A62"/>
    <w:rsid w:val="000A3A80"/>
    <w:rsid w:val="000A3A81"/>
    <w:rsid w:val="000A3AE9"/>
    <w:rsid w:val="000A3BEC"/>
    <w:rsid w:val="000A3BEE"/>
    <w:rsid w:val="000A3BFA"/>
    <w:rsid w:val="000A3BFD"/>
    <w:rsid w:val="000A3BFF"/>
    <w:rsid w:val="000A3C35"/>
    <w:rsid w:val="000A3C36"/>
    <w:rsid w:val="000A3C54"/>
    <w:rsid w:val="000A3C84"/>
    <w:rsid w:val="000A3CB2"/>
    <w:rsid w:val="000A3CE4"/>
    <w:rsid w:val="000A3CED"/>
    <w:rsid w:val="000A3D19"/>
    <w:rsid w:val="000A3D30"/>
    <w:rsid w:val="000A3D58"/>
    <w:rsid w:val="000A3DCC"/>
    <w:rsid w:val="000A3DE2"/>
    <w:rsid w:val="000A3E0B"/>
    <w:rsid w:val="000A3E17"/>
    <w:rsid w:val="000A3ED3"/>
    <w:rsid w:val="000A3EF9"/>
    <w:rsid w:val="000A3F1D"/>
    <w:rsid w:val="000A3F4A"/>
    <w:rsid w:val="000A3FA5"/>
    <w:rsid w:val="000A3FC1"/>
    <w:rsid w:val="000A3FC7"/>
    <w:rsid w:val="000A3FF2"/>
    <w:rsid w:val="000A402C"/>
    <w:rsid w:val="000A4055"/>
    <w:rsid w:val="000A4079"/>
    <w:rsid w:val="000A4093"/>
    <w:rsid w:val="000A40A0"/>
    <w:rsid w:val="000A40F4"/>
    <w:rsid w:val="000A4132"/>
    <w:rsid w:val="000A4162"/>
    <w:rsid w:val="000A418E"/>
    <w:rsid w:val="000A41B3"/>
    <w:rsid w:val="000A41B5"/>
    <w:rsid w:val="000A41C5"/>
    <w:rsid w:val="000A424D"/>
    <w:rsid w:val="000A42B1"/>
    <w:rsid w:val="000A42BA"/>
    <w:rsid w:val="000A42F4"/>
    <w:rsid w:val="000A434A"/>
    <w:rsid w:val="000A439E"/>
    <w:rsid w:val="000A43AE"/>
    <w:rsid w:val="000A43C2"/>
    <w:rsid w:val="000A43FA"/>
    <w:rsid w:val="000A441F"/>
    <w:rsid w:val="000A448F"/>
    <w:rsid w:val="000A4494"/>
    <w:rsid w:val="000A44B4"/>
    <w:rsid w:val="000A44C9"/>
    <w:rsid w:val="000A460D"/>
    <w:rsid w:val="000A4629"/>
    <w:rsid w:val="000A4640"/>
    <w:rsid w:val="000A4648"/>
    <w:rsid w:val="000A4693"/>
    <w:rsid w:val="000A46FD"/>
    <w:rsid w:val="000A4773"/>
    <w:rsid w:val="000A477C"/>
    <w:rsid w:val="000A47C2"/>
    <w:rsid w:val="000A4898"/>
    <w:rsid w:val="000A48A4"/>
    <w:rsid w:val="000A48B0"/>
    <w:rsid w:val="000A48BA"/>
    <w:rsid w:val="000A48CA"/>
    <w:rsid w:val="000A48FB"/>
    <w:rsid w:val="000A49A8"/>
    <w:rsid w:val="000A49BE"/>
    <w:rsid w:val="000A49C2"/>
    <w:rsid w:val="000A4A2F"/>
    <w:rsid w:val="000A4A31"/>
    <w:rsid w:val="000A4A7E"/>
    <w:rsid w:val="000A4AA2"/>
    <w:rsid w:val="000A4B62"/>
    <w:rsid w:val="000A4BC8"/>
    <w:rsid w:val="000A4C3C"/>
    <w:rsid w:val="000A4C61"/>
    <w:rsid w:val="000A4C6C"/>
    <w:rsid w:val="000A4C80"/>
    <w:rsid w:val="000A4C97"/>
    <w:rsid w:val="000A4CB4"/>
    <w:rsid w:val="000A4D57"/>
    <w:rsid w:val="000A4D5B"/>
    <w:rsid w:val="000A4D6A"/>
    <w:rsid w:val="000A4D84"/>
    <w:rsid w:val="000A4D8D"/>
    <w:rsid w:val="000A4E19"/>
    <w:rsid w:val="000A4E42"/>
    <w:rsid w:val="000A4E4D"/>
    <w:rsid w:val="000A4E58"/>
    <w:rsid w:val="000A4EAC"/>
    <w:rsid w:val="000A4EC9"/>
    <w:rsid w:val="000A4ECB"/>
    <w:rsid w:val="000A4EF0"/>
    <w:rsid w:val="000A4F67"/>
    <w:rsid w:val="000A4F8E"/>
    <w:rsid w:val="000A4FE4"/>
    <w:rsid w:val="000A5056"/>
    <w:rsid w:val="000A505D"/>
    <w:rsid w:val="000A50B0"/>
    <w:rsid w:val="000A5143"/>
    <w:rsid w:val="000A5155"/>
    <w:rsid w:val="000A5168"/>
    <w:rsid w:val="000A5175"/>
    <w:rsid w:val="000A518D"/>
    <w:rsid w:val="000A518E"/>
    <w:rsid w:val="000A519F"/>
    <w:rsid w:val="000A51A6"/>
    <w:rsid w:val="000A51D2"/>
    <w:rsid w:val="000A51D6"/>
    <w:rsid w:val="000A527D"/>
    <w:rsid w:val="000A52C3"/>
    <w:rsid w:val="000A53DC"/>
    <w:rsid w:val="000A5411"/>
    <w:rsid w:val="000A546A"/>
    <w:rsid w:val="000A5501"/>
    <w:rsid w:val="000A5568"/>
    <w:rsid w:val="000A557F"/>
    <w:rsid w:val="000A5584"/>
    <w:rsid w:val="000A5591"/>
    <w:rsid w:val="000A55A4"/>
    <w:rsid w:val="000A5636"/>
    <w:rsid w:val="000A565C"/>
    <w:rsid w:val="000A56C1"/>
    <w:rsid w:val="000A56D8"/>
    <w:rsid w:val="000A5702"/>
    <w:rsid w:val="000A5703"/>
    <w:rsid w:val="000A5756"/>
    <w:rsid w:val="000A5769"/>
    <w:rsid w:val="000A576C"/>
    <w:rsid w:val="000A5779"/>
    <w:rsid w:val="000A57EB"/>
    <w:rsid w:val="000A584A"/>
    <w:rsid w:val="000A585D"/>
    <w:rsid w:val="000A586E"/>
    <w:rsid w:val="000A589D"/>
    <w:rsid w:val="000A58D6"/>
    <w:rsid w:val="000A58F6"/>
    <w:rsid w:val="000A590E"/>
    <w:rsid w:val="000A598A"/>
    <w:rsid w:val="000A59E9"/>
    <w:rsid w:val="000A59F4"/>
    <w:rsid w:val="000A59F9"/>
    <w:rsid w:val="000A5A03"/>
    <w:rsid w:val="000A5A25"/>
    <w:rsid w:val="000A5A28"/>
    <w:rsid w:val="000A5A45"/>
    <w:rsid w:val="000A5A69"/>
    <w:rsid w:val="000A5A78"/>
    <w:rsid w:val="000A5A8F"/>
    <w:rsid w:val="000A5A9A"/>
    <w:rsid w:val="000A5B71"/>
    <w:rsid w:val="000A5B82"/>
    <w:rsid w:val="000A5B9E"/>
    <w:rsid w:val="000A5BF7"/>
    <w:rsid w:val="000A5C64"/>
    <w:rsid w:val="000A5CA3"/>
    <w:rsid w:val="000A5CA8"/>
    <w:rsid w:val="000A5CEA"/>
    <w:rsid w:val="000A5CEE"/>
    <w:rsid w:val="000A5D1F"/>
    <w:rsid w:val="000A5D31"/>
    <w:rsid w:val="000A5D4F"/>
    <w:rsid w:val="000A5D5F"/>
    <w:rsid w:val="000A5D75"/>
    <w:rsid w:val="000A5D9B"/>
    <w:rsid w:val="000A5E17"/>
    <w:rsid w:val="000A5E2F"/>
    <w:rsid w:val="000A5E65"/>
    <w:rsid w:val="000A5EA3"/>
    <w:rsid w:val="000A5EB1"/>
    <w:rsid w:val="000A5EB8"/>
    <w:rsid w:val="000A5EE1"/>
    <w:rsid w:val="000A5F57"/>
    <w:rsid w:val="000A5F6E"/>
    <w:rsid w:val="000A5F6F"/>
    <w:rsid w:val="000A606D"/>
    <w:rsid w:val="000A613F"/>
    <w:rsid w:val="000A6151"/>
    <w:rsid w:val="000A616B"/>
    <w:rsid w:val="000A61E0"/>
    <w:rsid w:val="000A620A"/>
    <w:rsid w:val="000A6236"/>
    <w:rsid w:val="000A62B9"/>
    <w:rsid w:val="000A6312"/>
    <w:rsid w:val="000A635E"/>
    <w:rsid w:val="000A637F"/>
    <w:rsid w:val="000A63A7"/>
    <w:rsid w:val="000A63AE"/>
    <w:rsid w:val="000A63CC"/>
    <w:rsid w:val="000A63DB"/>
    <w:rsid w:val="000A63E1"/>
    <w:rsid w:val="000A63E5"/>
    <w:rsid w:val="000A63FE"/>
    <w:rsid w:val="000A6412"/>
    <w:rsid w:val="000A6443"/>
    <w:rsid w:val="000A6469"/>
    <w:rsid w:val="000A64A1"/>
    <w:rsid w:val="000A64CE"/>
    <w:rsid w:val="000A64E0"/>
    <w:rsid w:val="000A64E5"/>
    <w:rsid w:val="000A64E6"/>
    <w:rsid w:val="000A65B1"/>
    <w:rsid w:val="000A65F4"/>
    <w:rsid w:val="000A6614"/>
    <w:rsid w:val="000A664D"/>
    <w:rsid w:val="000A6665"/>
    <w:rsid w:val="000A66C3"/>
    <w:rsid w:val="000A670F"/>
    <w:rsid w:val="000A6754"/>
    <w:rsid w:val="000A6794"/>
    <w:rsid w:val="000A6797"/>
    <w:rsid w:val="000A67A4"/>
    <w:rsid w:val="000A67AF"/>
    <w:rsid w:val="000A684A"/>
    <w:rsid w:val="000A6883"/>
    <w:rsid w:val="000A6914"/>
    <w:rsid w:val="000A6952"/>
    <w:rsid w:val="000A69A7"/>
    <w:rsid w:val="000A69B4"/>
    <w:rsid w:val="000A6A66"/>
    <w:rsid w:val="000A6AC6"/>
    <w:rsid w:val="000A6ADB"/>
    <w:rsid w:val="000A6B52"/>
    <w:rsid w:val="000A6B79"/>
    <w:rsid w:val="000A6B87"/>
    <w:rsid w:val="000A6BE8"/>
    <w:rsid w:val="000A6C09"/>
    <w:rsid w:val="000A6C17"/>
    <w:rsid w:val="000A6C90"/>
    <w:rsid w:val="000A6C98"/>
    <w:rsid w:val="000A6CF7"/>
    <w:rsid w:val="000A6D02"/>
    <w:rsid w:val="000A6D2C"/>
    <w:rsid w:val="000A6D57"/>
    <w:rsid w:val="000A6D76"/>
    <w:rsid w:val="000A6D92"/>
    <w:rsid w:val="000A6D9F"/>
    <w:rsid w:val="000A6DB3"/>
    <w:rsid w:val="000A6DD0"/>
    <w:rsid w:val="000A6DE3"/>
    <w:rsid w:val="000A6E1C"/>
    <w:rsid w:val="000A6E27"/>
    <w:rsid w:val="000A6E40"/>
    <w:rsid w:val="000A6E49"/>
    <w:rsid w:val="000A6E68"/>
    <w:rsid w:val="000A6EE3"/>
    <w:rsid w:val="000A6EF1"/>
    <w:rsid w:val="000A6F1A"/>
    <w:rsid w:val="000A6F30"/>
    <w:rsid w:val="000A6F52"/>
    <w:rsid w:val="000A6FC6"/>
    <w:rsid w:val="000A7030"/>
    <w:rsid w:val="000A704C"/>
    <w:rsid w:val="000A70AD"/>
    <w:rsid w:val="000A70F1"/>
    <w:rsid w:val="000A70F7"/>
    <w:rsid w:val="000A7111"/>
    <w:rsid w:val="000A71C5"/>
    <w:rsid w:val="000A71F7"/>
    <w:rsid w:val="000A71F8"/>
    <w:rsid w:val="000A7208"/>
    <w:rsid w:val="000A7233"/>
    <w:rsid w:val="000A7294"/>
    <w:rsid w:val="000A72A0"/>
    <w:rsid w:val="000A72A4"/>
    <w:rsid w:val="000A72E6"/>
    <w:rsid w:val="000A7349"/>
    <w:rsid w:val="000A736B"/>
    <w:rsid w:val="000A7403"/>
    <w:rsid w:val="000A7412"/>
    <w:rsid w:val="000A7439"/>
    <w:rsid w:val="000A74AF"/>
    <w:rsid w:val="000A74C2"/>
    <w:rsid w:val="000A74CC"/>
    <w:rsid w:val="000A74F7"/>
    <w:rsid w:val="000A7532"/>
    <w:rsid w:val="000A7563"/>
    <w:rsid w:val="000A7575"/>
    <w:rsid w:val="000A7581"/>
    <w:rsid w:val="000A7587"/>
    <w:rsid w:val="000A75C7"/>
    <w:rsid w:val="000A75E0"/>
    <w:rsid w:val="000A75FC"/>
    <w:rsid w:val="000A761F"/>
    <w:rsid w:val="000A764C"/>
    <w:rsid w:val="000A76DC"/>
    <w:rsid w:val="000A76E3"/>
    <w:rsid w:val="000A76FA"/>
    <w:rsid w:val="000A778E"/>
    <w:rsid w:val="000A77FE"/>
    <w:rsid w:val="000A7815"/>
    <w:rsid w:val="000A784F"/>
    <w:rsid w:val="000A78E6"/>
    <w:rsid w:val="000A78F5"/>
    <w:rsid w:val="000A7918"/>
    <w:rsid w:val="000A7923"/>
    <w:rsid w:val="000A7942"/>
    <w:rsid w:val="000A7990"/>
    <w:rsid w:val="000A7996"/>
    <w:rsid w:val="000A79CA"/>
    <w:rsid w:val="000A79FF"/>
    <w:rsid w:val="000A7A13"/>
    <w:rsid w:val="000A7A43"/>
    <w:rsid w:val="000A7A59"/>
    <w:rsid w:val="000A7A9B"/>
    <w:rsid w:val="000A7AC3"/>
    <w:rsid w:val="000A7B4C"/>
    <w:rsid w:val="000A7B7C"/>
    <w:rsid w:val="000A7BC5"/>
    <w:rsid w:val="000A7C15"/>
    <w:rsid w:val="000A7C21"/>
    <w:rsid w:val="000A7C4E"/>
    <w:rsid w:val="000A7C65"/>
    <w:rsid w:val="000A7CD7"/>
    <w:rsid w:val="000A7CDA"/>
    <w:rsid w:val="000A7CDC"/>
    <w:rsid w:val="000A7D16"/>
    <w:rsid w:val="000A7D21"/>
    <w:rsid w:val="000A7D22"/>
    <w:rsid w:val="000A7D24"/>
    <w:rsid w:val="000A7D35"/>
    <w:rsid w:val="000A7D52"/>
    <w:rsid w:val="000A7D69"/>
    <w:rsid w:val="000A7D95"/>
    <w:rsid w:val="000A7E16"/>
    <w:rsid w:val="000A7E53"/>
    <w:rsid w:val="000A7E56"/>
    <w:rsid w:val="000A7E6F"/>
    <w:rsid w:val="000A7EAC"/>
    <w:rsid w:val="000A7EB0"/>
    <w:rsid w:val="000A7EB3"/>
    <w:rsid w:val="000A7F37"/>
    <w:rsid w:val="000A7F40"/>
    <w:rsid w:val="000A7FD2"/>
    <w:rsid w:val="000B001D"/>
    <w:rsid w:val="000B003C"/>
    <w:rsid w:val="000B005E"/>
    <w:rsid w:val="000B0086"/>
    <w:rsid w:val="000B008C"/>
    <w:rsid w:val="000B0097"/>
    <w:rsid w:val="000B00B8"/>
    <w:rsid w:val="000B00BF"/>
    <w:rsid w:val="000B00EC"/>
    <w:rsid w:val="000B0116"/>
    <w:rsid w:val="000B0129"/>
    <w:rsid w:val="000B0186"/>
    <w:rsid w:val="000B01A6"/>
    <w:rsid w:val="000B0230"/>
    <w:rsid w:val="000B0235"/>
    <w:rsid w:val="000B024D"/>
    <w:rsid w:val="000B0261"/>
    <w:rsid w:val="000B0269"/>
    <w:rsid w:val="000B0303"/>
    <w:rsid w:val="000B0312"/>
    <w:rsid w:val="000B0355"/>
    <w:rsid w:val="000B0367"/>
    <w:rsid w:val="000B0374"/>
    <w:rsid w:val="000B0398"/>
    <w:rsid w:val="000B03DA"/>
    <w:rsid w:val="000B0400"/>
    <w:rsid w:val="000B0425"/>
    <w:rsid w:val="000B0469"/>
    <w:rsid w:val="000B0557"/>
    <w:rsid w:val="000B05C0"/>
    <w:rsid w:val="000B0627"/>
    <w:rsid w:val="000B067D"/>
    <w:rsid w:val="000B0691"/>
    <w:rsid w:val="000B06AF"/>
    <w:rsid w:val="000B06B5"/>
    <w:rsid w:val="000B0716"/>
    <w:rsid w:val="000B0732"/>
    <w:rsid w:val="000B077E"/>
    <w:rsid w:val="000B079D"/>
    <w:rsid w:val="000B07C4"/>
    <w:rsid w:val="000B0812"/>
    <w:rsid w:val="000B0824"/>
    <w:rsid w:val="000B0829"/>
    <w:rsid w:val="000B0831"/>
    <w:rsid w:val="000B0856"/>
    <w:rsid w:val="000B088D"/>
    <w:rsid w:val="000B08B7"/>
    <w:rsid w:val="000B08C0"/>
    <w:rsid w:val="000B091D"/>
    <w:rsid w:val="000B093F"/>
    <w:rsid w:val="000B0975"/>
    <w:rsid w:val="000B09AA"/>
    <w:rsid w:val="000B09BF"/>
    <w:rsid w:val="000B09D4"/>
    <w:rsid w:val="000B0A24"/>
    <w:rsid w:val="000B0A2E"/>
    <w:rsid w:val="000B0A44"/>
    <w:rsid w:val="000B0A63"/>
    <w:rsid w:val="000B0A87"/>
    <w:rsid w:val="000B0A88"/>
    <w:rsid w:val="000B0A9C"/>
    <w:rsid w:val="000B0AD4"/>
    <w:rsid w:val="000B0ADA"/>
    <w:rsid w:val="000B0AF0"/>
    <w:rsid w:val="000B0AF3"/>
    <w:rsid w:val="000B0B23"/>
    <w:rsid w:val="000B0B2B"/>
    <w:rsid w:val="000B0B40"/>
    <w:rsid w:val="000B0B59"/>
    <w:rsid w:val="000B0BB4"/>
    <w:rsid w:val="000B0BC6"/>
    <w:rsid w:val="000B0C99"/>
    <w:rsid w:val="000B0D7E"/>
    <w:rsid w:val="000B0D8E"/>
    <w:rsid w:val="000B0DE0"/>
    <w:rsid w:val="000B0E18"/>
    <w:rsid w:val="000B0E22"/>
    <w:rsid w:val="000B0E94"/>
    <w:rsid w:val="000B0F0F"/>
    <w:rsid w:val="000B0F18"/>
    <w:rsid w:val="000B0FC3"/>
    <w:rsid w:val="000B0FD1"/>
    <w:rsid w:val="000B0FD2"/>
    <w:rsid w:val="000B0FED"/>
    <w:rsid w:val="000B103E"/>
    <w:rsid w:val="000B108E"/>
    <w:rsid w:val="000B10AD"/>
    <w:rsid w:val="000B10B7"/>
    <w:rsid w:val="000B10D9"/>
    <w:rsid w:val="000B10EB"/>
    <w:rsid w:val="000B10FB"/>
    <w:rsid w:val="000B1124"/>
    <w:rsid w:val="000B113B"/>
    <w:rsid w:val="000B1140"/>
    <w:rsid w:val="000B118D"/>
    <w:rsid w:val="000B1235"/>
    <w:rsid w:val="000B126D"/>
    <w:rsid w:val="000B12B3"/>
    <w:rsid w:val="000B12B4"/>
    <w:rsid w:val="000B12BD"/>
    <w:rsid w:val="000B1302"/>
    <w:rsid w:val="000B136C"/>
    <w:rsid w:val="000B1402"/>
    <w:rsid w:val="000B1476"/>
    <w:rsid w:val="000B1477"/>
    <w:rsid w:val="000B14AA"/>
    <w:rsid w:val="000B14ED"/>
    <w:rsid w:val="000B1510"/>
    <w:rsid w:val="000B151B"/>
    <w:rsid w:val="000B151C"/>
    <w:rsid w:val="000B1532"/>
    <w:rsid w:val="000B1548"/>
    <w:rsid w:val="000B15B7"/>
    <w:rsid w:val="000B160B"/>
    <w:rsid w:val="000B1641"/>
    <w:rsid w:val="000B16C6"/>
    <w:rsid w:val="000B16DF"/>
    <w:rsid w:val="000B1727"/>
    <w:rsid w:val="000B172F"/>
    <w:rsid w:val="000B1743"/>
    <w:rsid w:val="000B1761"/>
    <w:rsid w:val="000B1776"/>
    <w:rsid w:val="000B17C3"/>
    <w:rsid w:val="000B17CD"/>
    <w:rsid w:val="000B1806"/>
    <w:rsid w:val="000B181B"/>
    <w:rsid w:val="000B1848"/>
    <w:rsid w:val="000B1899"/>
    <w:rsid w:val="000B18DC"/>
    <w:rsid w:val="000B18EE"/>
    <w:rsid w:val="000B1924"/>
    <w:rsid w:val="000B192D"/>
    <w:rsid w:val="000B1967"/>
    <w:rsid w:val="000B19B9"/>
    <w:rsid w:val="000B1A21"/>
    <w:rsid w:val="000B1A92"/>
    <w:rsid w:val="000B1AA4"/>
    <w:rsid w:val="000B1B59"/>
    <w:rsid w:val="000B1B6B"/>
    <w:rsid w:val="000B1BF5"/>
    <w:rsid w:val="000B1C2B"/>
    <w:rsid w:val="000B1C54"/>
    <w:rsid w:val="000B1C5D"/>
    <w:rsid w:val="000B1C95"/>
    <w:rsid w:val="000B1CA7"/>
    <w:rsid w:val="000B1CD8"/>
    <w:rsid w:val="000B1CE8"/>
    <w:rsid w:val="000B1D36"/>
    <w:rsid w:val="000B1D3F"/>
    <w:rsid w:val="000B1D4D"/>
    <w:rsid w:val="000B1D5A"/>
    <w:rsid w:val="000B1E57"/>
    <w:rsid w:val="000B1F08"/>
    <w:rsid w:val="000B1F3E"/>
    <w:rsid w:val="000B1F50"/>
    <w:rsid w:val="000B1F70"/>
    <w:rsid w:val="000B1F79"/>
    <w:rsid w:val="000B1F82"/>
    <w:rsid w:val="000B1FA2"/>
    <w:rsid w:val="000B1FC8"/>
    <w:rsid w:val="000B1FE8"/>
    <w:rsid w:val="000B1FED"/>
    <w:rsid w:val="000B200E"/>
    <w:rsid w:val="000B2091"/>
    <w:rsid w:val="000B20A3"/>
    <w:rsid w:val="000B2136"/>
    <w:rsid w:val="000B2150"/>
    <w:rsid w:val="000B2156"/>
    <w:rsid w:val="000B21B0"/>
    <w:rsid w:val="000B21D7"/>
    <w:rsid w:val="000B21DB"/>
    <w:rsid w:val="000B21EC"/>
    <w:rsid w:val="000B21FD"/>
    <w:rsid w:val="000B220D"/>
    <w:rsid w:val="000B22C8"/>
    <w:rsid w:val="000B2352"/>
    <w:rsid w:val="000B2367"/>
    <w:rsid w:val="000B2389"/>
    <w:rsid w:val="000B2396"/>
    <w:rsid w:val="000B23E4"/>
    <w:rsid w:val="000B2406"/>
    <w:rsid w:val="000B240A"/>
    <w:rsid w:val="000B244B"/>
    <w:rsid w:val="000B24EC"/>
    <w:rsid w:val="000B2582"/>
    <w:rsid w:val="000B2595"/>
    <w:rsid w:val="000B25B8"/>
    <w:rsid w:val="000B25C1"/>
    <w:rsid w:val="000B262E"/>
    <w:rsid w:val="000B2658"/>
    <w:rsid w:val="000B267F"/>
    <w:rsid w:val="000B26B9"/>
    <w:rsid w:val="000B26E2"/>
    <w:rsid w:val="000B26F1"/>
    <w:rsid w:val="000B2741"/>
    <w:rsid w:val="000B2816"/>
    <w:rsid w:val="000B283F"/>
    <w:rsid w:val="000B287D"/>
    <w:rsid w:val="000B290F"/>
    <w:rsid w:val="000B2926"/>
    <w:rsid w:val="000B2944"/>
    <w:rsid w:val="000B2945"/>
    <w:rsid w:val="000B2946"/>
    <w:rsid w:val="000B2984"/>
    <w:rsid w:val="000B29AB"/>
    <w:rsid w:val="000B29AF"/>
    <w:rsid w:val="000B2A07"/>
    <w:rsid w:val="000B2A57"/>
    <w:rsid w:val="000B2AD0"/>
    <w:rsid w:val="000B2BAA"/>
    <w:rsid w:val="000B2BBD"/>
    <w:rsid w:val="000B2BE3"/>
    <w:rsid w:val="000B2BEB"/>
    <w:rsid w:val="000B2C19"/>
    <w:rsid w:val="000B2C44"/>
    <w:rsid w:val="000B2C51"/>
    <w:rsid w:val="000B2C6F"/>
    <w:rsid w:val="000B2CCA"/>
    <w:rsid w:val="000B2CCD"/>
    <w:rsid w:val="000B2CDE"/>
    <w:rsid w:val="000B2D2D"/>
    <w:rsid w:val="000B2D34"/>
    <w:rsid w:val="000B2D5C"/>
    <w:rsid w:val="000B2DC1"/>
    <w:rsid w:val="000B2DDD"/>
    <w:rsid w:val="000B2E1F"/>
    <w:rsid w:val="000B2E35"/>
    <w:rsid w:val="000B2E9A"/>
    <w:rsid w:val="000B2F08"/>
    <w:rsid w:val="000B2F97"/>
    <w:rsid w:val="000B2FD4"/>
    <w:rsid w:val="000B301A"/>
    <w:rsid w:val="000B3029"/>
    <w:rsid w:val="000B302A"/>
    <w:rsid w:val="000B3039"/>
    <w:rsid w:val="000B3050"/>
    <w:rsid w:val="000B3095"/>
    <w:rsid w:val="000B30BF"/>
    <w:rsid w:val="000B30F5"/>
    <w:rsid w:val="000B3121"/>
    <w:rsid w:val="000B312E"/>
    <w:rsid w:val="000B3145"/>
    <w:rsid w:val="000B31B6"/>
    <w:rsid w:val="000B31C0"/>
    <w:rsid w:val="000B3217"/>
    <w:rsid w:val="000B321D"/>
    <w:rsid w:val="000B3248"/>
    <w:rsid w:val="000B32E0"/>
    <w:rsid w:val="000B331E"/>
    <w:rsid w:val="000B3341"/>
    <w:rsid w:val="000B335D"/>
    <w:rsid w:val="000B3372"/>
    <w:rsid w:val="000B337D"/>
    <w:rsid w:val="000B33B1"/>
    <w:rsid w:val="000B33B9"/>
    <w:rsid w:val="000B33BD"/>
    <w:rsid w:val="000B33ED"/>
    <w:rsid w:val="000B341D"/>
    <w:rsid w:val="000B3421"/>
    <w:rsid w:val="000B34C1"/>
    <w:rsid w:val="000B34EF"/>
    <w:rsid w:val="000B355A"/>
    <w:rsid w:val="000B35C4"/>
    <w:rsid w:val="000B35DD"/>
    <w:rsid w:val="000B35F8"/>
    <w:rsid w:val="000B3657"/>
    <w:rsid w:val="000B3687"/>
    <w:rsid w:val="000B3692"/>
    <w:rsid w:val="000B36A3"/>
    <w:rsid w:val="000B36CF"/>
    <w:rsid w:val="000B373D"/>
    <w:rsid w:val="000B377E"/>
    <w:rsid w:val="000B3783"/>
    <w:rsid w:val="000B3807"/>
    <w:rsid w:val="000B383D"/>
    <w:rsid w:val="000B385C"/>
    <w:rsid w:val="000B38B0"/>
    <w:rsid w:val="000B3913"/>
    <w:rsid w:val="000B3917"/>
    <w:rsid w:val="000B391D"/>
    <w:rsid w:val="000B3930"/>
    <w:rsid w:val="000B3975"/>
    <w:rsid w:val="000B3977"/>
    <w:rsid w:val="000B39C9"/>
    <w:rsid w:val="000B39E1"/>
    <w:rsid w:val="000B3A37"/>
    <w:rsid w:val="000B3A56"/>
    <w:rsid w:val="000B3A79"/>
    <w:rsid w:val="000B3A95"/>
    <w:rsid w:val="000B3AA6"/>
    <w:rsid w:val="000B3ABA"/>
    <w:rsid w:val="000B3ACB"/>
    <w:rsid w:val="000B3AD9"/>
    <w:rsid w:val="000B3B5E"/>
    <w:rsid w:val="000B3B6E"/>
    <w:rsid w:val="000B3BA1"/>
    <w:rsid w:val="000B3BCB"/>
    <w:rsid w:val="000B3C42"/>
    <w:rsid w:val="000B3C96"/>
    <w:rsid w:val="000B3D07"/>
    <w:rsid w:val="000B3D46"/>
    <w:rsid w:val="000B3D9E"/>
    <w:rsid w:val="000B3DA3"/>
    <w:rsid w:val="000B3DFE"/>
    <w:rsid w:val="000B3E5C"/>
    <w:rsid w:val="000B3E6C"/>
    <w:rsid w:val="000B3E9C"/>
    <w:rsid w:val="000B3EB1"/>
    <w:rsid w:val="000B3EB5"/>
    <w:rsid w:val="000B3F53"/>
    <w:rsid w:val="000B3F69"/>
    <w:rsid w:val="000B4022"/>
    <w:rsid w:val="000B4070"/>
    <w:rsid w:val="000B40E9"/>
    <w:rsid w:val="000B40FA"/>
    <w:rsid w:val="000B415E"/>
    <w:rsid w:val="000B4163"/>
    <w:rsid w:val="000B4199"/>
    <w:rsid w:val="000B41F9"/>
    <w:rsid w:val="000B428C"/>
    <w:rsid w:val="000B42A0"/>
    <w:rsid w:val="000B4337"/>
    <w:rsid w:val="000B4354"/>
    <w:rsid w:val="000B435D"/>
    <w:rsid w:val="000B436F"/>
    <w:rsid w:val="000B4380"/>
    <w:rsid w:val="000B43AB"/>
    <w:rsid w:val="000B4402"/>
    <w:rsid w:val="000B4423"/>
    <w:rsid w:val="000B44FA"/>
    <w:rsid w:val="000B4501"/>
    <w:rsid w:val="000B451E"/>
    <w:rsid w:val="000B45B2"/>
    <w:rsid w:val="000B45CC"/>
    <w:rsid w:val="000B45E4"/>
    <w:rsid w:val="000B45F6"/>
    <w:rsid w:val="000B461D"/>
    <w:rsid w:val="000B4645"/>
    <w:rsid w:val="000B4649"/>
    <w:rsid w:val="000B46B1"/>
    <w:rsid w:val="000B46B9"/>
    <w:rsid w:val="000B46BB"/>
    <w:rsid w:val="000B46CF"/>
    <w:rsid w:val="000B470A"/>
    <w:rsid w:val="000B4712"/>
    <w:rsid w:val="000B4793"/>
    <w:rsid w:val="000B4803"/>
    <w:rsid w:val="000B488D"/>
    <w:rsid w:val="000B48AF"/>
    <w:rsid w:val="000B492A"/>
    <w:rsid w:val="000B49BD"/>
    <w:rsid w:val="000B4A08"/>
    <w:rsid w:val="000B4A1C"/>
    <w:rsid w:val="000B4A9C"/>
    <w:rsid w:val="000B4AB2"/>
    <w:rsid w:val="000B4ADC"/>
    <w:rsid w:val="000B4B9F"/>
    <w:rsid w:val="000B4BBB"/>
    <w:rsid w:val="000B4BBF"/>
    <w:rsid w:val="000B4BC5"/>
    <w:rsid w:val="000B4BE2"/>
    <w:rsid w:val="000B4C16"/>
    <w:rsid w:val="000B4C3C"/>
    <w:rsid w:val="000B4C3F"/>
    <w:rsid w:val="000B4C87"/>
    <w:rsid w:val="000B4C9A"/>
    <w:rsid w:val="000B4D0D"/>
    <w:rsid w:val="000B4D3B"/>
    <w:rsid w:val="000B4D4E"/>
    <w:rsid w:val="000B4D92"/>
    <w:rsid w:val="000B4DAF"/>
    <w:rsid w:val="000B4DED"/>
    <w:rsid w:val="000B4E8A"/>
    <w:rsid w:val="000B4E99"/>
    <w:rsid w:val="000B4EA6"/>
    <w:rsid w:val="000B4F45"/>
    <w:rsid w:val="000B4F68"/>
    <w:rsid w:val="000B4F91"/>
    <w:rsid w:val="000B4FE2"/>
    <w:rsid w:val="000B501C"/>
    <w:rsid w:val="000B50DF"/>
    <w:rsid w:val="000B5130"/>
    <w:rsid w:val="000B51A2"/>
    <w:rsid w:val="000B51AA"/>
    <w:rsid w:val="000B51AB"/>
    <w:rsid w:val="000B51B9"/>
    <w:rsid w:val="000B51D6"/>
    <w:rsid w:val="000B51F3"/>
    <w:rsid w:val="000B520C"/>
    <w:rsid w:val="000B5239"/>
    <w:rsid w:val="000B524B"/>
    <w:rsid w:val="000B5284"/>
    <w:rsid w:val="000B528D"/>
    <w:rsid w:val="000B52F1"/>
    <w:rsid w:val="000B52F8"/>
    <w:rsid w:val="000B5334"/>
    <w:rsid w:val="000B5338"/>
    <w:rsid w:val="000B53C1"/>
    <w:rsid w:val="000B53CD"/>
    <w:rsid w:val="000B53F0"/>
    <w:rsid w:val="000B541B"/>
    <w:rsid w:val="000B543A"/>
    <w:rsid w:val="000B54C4"/>
    <w:rsid w:val="000B54E7"/>
    <w:rsid w:val="000B54F5"/>
    <w:rsid w:val="000B5547"/>
    <w:rsid w:val="000B554C"/>
    <w:rsid w:val="000B5580"/>
    <w:rsid w:val="000B55BA"/>
    <w:rsid w:val="000B55DA"/>
    <w:rsid w:val="000B55E7"/>
    <w:rsid w:val="000B55FA"/>
    <w:rsid w:val="000B5606"/>
    <w:rsid w:val="000B565C"/>
    <w:rsid w:val="000B56E4"/>
    <w:rsid w:val="000B5759"/>
    <w:rsid w:val="000B576E"/>
    <w:rsid w:val="000B5792"/>
    <w:rsid w:val="000B57EA"/>
    <w:rsid w:val="000B585D"/>
    <w:rsid w:val="000B58C6"/>
    <w:rsid w:val="000B58E2"/>
    <w:rsid w:val="000B5969"/>
    <w:rsid w:val="000B59A6"/>
    <w:rsid w:val="000B59B3"/>
    <w:rsid w:val="000B5A49"/>
    <w:rsid w:val="000B5A50"/>
    <w:rsid w:val="000B5A5A"/>
    <w:rsid w:val="000B5A6C"/>
    <w:rsid w:val="000B5B64"/>
    <w:rsid w:val="000B5BC5"/>
    <w:rsid w:val="000B5C08"/>
    <w:rsid w:val="000B5C82"/>
    <w:rsid w:val="000B5CC0"/>
    <w:rsid w:val="000B5CD3"/>
    <w:rsid w:val="000B5CF1"/>
    <w:rsid w:val="000B5CF3"/>
    <w:rsid w:val="000B5D88"/>
    <w:rsid w:val="000B5D9C"/>
    <w:rsid w:val="000B5DA3"/>
    <w:rsid w:val="000B5DBA"/>
    <w:rsid w:val="000B5E2A"/>
    <w:rsid w:val="000B5E4B"/>
    <w:rsid w:val="000B5E4D"/>
    <w:rsid w:val="000B5E63"/>
    <w:rsid w:val="000B5EB4"/>
    <w:rsid w:val="000B5FB5"/>
    <w:rsid w:val="000B5FC1"/>
    <w:rsid w:val="000B600F"/>
    <w:rsid w:val="000B603F"/>
    <w:rsid w:val="000B6071"/>
    <w:rsid w:val="000B607F"/>
    <w:rsid w:val="000B612D"/>
    <w:rsid w:val="000B6137"/>
    <w:rsid w:val="000B6189"/>
    <w:rsid w:val="000B619F"/>
    <w:rsid w:val="000B61EC"/>
    <w:rsid w:val="000B61FB"/>
    <w:rsid w:val="000B6206"/>
    <w:rsid w:val="000B6230"/>
    <w:rsid w:val="000B6277"/>
    <w:rsid w:val="000B627D"/>
    <w:rsid w:val="000B62C6"/>
    <w:rsid w:val="000B639D"/>
    <w:rsid w:val="000B63A0"/>
    <w:rsid w:val="000B6408"/>
    <w:rsid w:val="000B640A"/>
    <w:rsid w:val="000B6420"/>
    <w:rsid w:val="000B64C0"/>
    <w:rsid w:val="000B6519"/>
    <w:rsid w:val="000B65E3"/>
    <w:rsid w:val="000B6627"/>
    <w:rsid w:val="000B668D"/>
    <w:rsid w:val="000B66BB"/>
    <w:rsid w:val="000B66C2"/>
    <w:rsid w:val="000B67F3"/>
    <w:rsid w:val="000B682A"/>
    <w:rsid w:val="000B682F"/>
    <w:rsid w:val="000B6873"/>
    <w:rsid w:val="000B6892"/>
    <w:rsid w:val="000B68C9"/>
    <w:rsid w:val="000B6929"/>
    <w:rsid w:val="000B692C"/>
    <w:rsid w:val="000B6949"/>
    <w:rsid w:val="000B69BD"/>
    <w:rsid w:val="000B69CC"/>
    <w:rsid w:val="000B69EB"/>
    <w:rsid w:val="000B6A07"/>
    <w:rsid w:val="000B6A11"/>
    <w:rsid w:val="000B6A5D"/>
    <w:rsid w:val="000B6A65"/>
    <w:rsid w:val="000B6A73"/>
    <w:rsid w:val="000B6A76"/>
    <w:rsid w:val="000B6ACB"/>
    <w:rsid w:val="000B6B71"/>
    <w:rsid w:val="000B6B7D"/>
    <w:rsid w:val="000B6BB6"/>
    <w:rsid w:val="000B6BEB"/>
    <w:rsid w:val="000B6CB2"/>
    <w:rsid w:val="000B6CDB"/>
    <w:rsid w:val="000B6D6D"/>
    <w:rsid w:val="000B6DBB"/>
    <w:rsid w:val="000B6DBD"/>
    <w:rsid w:val="000B6DE8"/>
    <w:rsid w:val="000B6DF5"/>
    <w:rsid w:val="000B6E28"/>
    <w:rsid w:val="000B6E86"/>
    <w:rsid w:val="000B6EDF"/>
    <w:rsid w:val="000B6F13"/>
    <w:rsid w:val="000B6F48"/>
    <w:rsid w:val="000B6F49"/>
    <w:rsid w:val="000B6F5A"/>
    <w:rsid w:val="000B6FA1"/>
    <w:rsid w:val="000B6FAF"/>
    <w:rsid w:val="000B70C4"/>
    <w:rsid w:val="000B719B"/>
    <w:rsid w:val="000B71AD"/>
    <w:rsid w:val="000B7228"/>
    <w:rsid w:val="000B7240"/>
    <w:rsid w:val="000B7297"/>
    <w:rsid w:val="000B72AA"/>
    <w:rsid w:val="000B72E8"/>
    <w:rsid w:val="000B72FE"/>
    <w:rsid w:val="000B7313"/>
    <w:rsid w:val="000B734D"/>
    <w:rsid w:val="000B73A4"/>
    <w:rsid w:val="000B73F9"/>
    <w:rsid w:val="000B74AD"/>
    <w:rsid w:val="000B74E6"/>
    <w:rsid w:val="000B74E9"/>
    <w:rsid w:val="000B74F7"/>
    <w:rsid w:val="000B752E"/>
    <w:rsid w:val="000B7565"/>
    <w:rsid w:val="000B75D9"/>
    <w:rsid w:val="000B7605"/>
    <w:rsid w:val="000B7690"/>
    <w:rsid w:val="000B769C"/>
    <w:rsid w:val="000B76C2"/>
    <w:rsid w:val="000B76E8"/>
    <w:rsid w:val="000B76EB"/>
    <w:rsid w:val="000B7715"/>
    <w:rsid w:val="000B7721"/>
    <w:rsid w:val="000B779B"/>
    <w:rsid w:val="000B779E"/>
    <w:rsid w:val="000B77A4"/>
    <w:rsid w:val="000B77B3"/>
    <w:rsid w:val="000B77BB"/>
    <w:rsid w:val="000B780F"/>
    <w:rsid w:val="000B7812"/>
    <w:rsid w:val="000B784F"/>
    <w:rsid w:val="000B7851"/>
    <w:rsid w:val="000B785D"/>
    <w:rsid w:val="000B7868"/>
    <w:rsid w:val="000B78C6"/>
    <w:rsid w:val="000B7905"/>
    <w:rsid w:val="000B793D"/>
    <w:rsid w:val="000B7956"/>
    <w:rsid w:val="000B7981"/>
    <w:rsid w:val="000B79D4"/>
    <w:rsid w:val="000B7A29"/>
    <w:rsid w:val="000B7A3C"/>
    <w:rsid w:val="000B7A43"/>
    <w:rsid w:val="000B7A5E"/>
    <w:rsid w:val="000B7B27"/>
    <w:rsid w:val="000B7B29"/>
    <w:rsid w:val="000B7B41"/>
    <w:rsid w:val="000B7B51"/>
    <w:rsid w:val="000B7B83"/>
    <w:rsid w:val="000B7BB8"/>
    <w:rsid w:val="000B7BF5"/>
    <w:rsid w:val="000B7BF7"/>
    <w:rsid w:val="000B7C1E"/>
    <w:rsid w:val="000B7C20"/>
    <w:rsid w:val="000B7C42"/>
    <w:rsid w:val="000B7C4A"/>
    <w:rsid w:val="000B7CEB"/>
    <w:rsid w:val="000B7D17"/>
    <w:rsid w:val="000B7D1D"/>
    <w:rsid w:val="000B7E0C"/>
    <w:rsid w:val="000B7E6B"/>
    <w:rsid w:val="000B7E71"/>
    <w:rsid w:val="000B7E85"/>
    <w:rsid w:val="000B7EE6"/>
    <w:rsid w:val="000B7F24"/>
    <w:rsid w:val="000B7F43"/>
    <w:rsid w:val="000B7F58"/>
    <w:rsid w:val="000B7F6E"/>
    <w:rsid w:val="000C003D"/>
    <w:rsid w:val="000C005A"/>
    <w:rsid w:val="000C006F"/>
    <w:rsid w:val="000C0070"/>
    <w:rsid w:val="000C0088"/>
    <w:rsid w:val="000C0094"/>
    <w:rsid w:val="000C00B2"/>
    <w:rsid w:val="000C00C6"/>
    <w:rsid w:val="000C00CB"/>
    <w:rsid w:val="000C00F6"/>
    <w:rsid w:val="000C01BA"/>
    <w:rsid w:val="000C01CD"/>
    <w:rsid w:val="000C0249"/>
    <w:rsid w:val="000C028F"/>
    <w:rsid w:val="000C02D5"/>
    <w:rsid w:val="000C02E5"/>
    <w:rsid w:val="000C0350"/>
    <w:rsid w:val="000C035F"/>
    <w:rsid w:val="000C03BA"/>
    <w:rsid w:val="000C03C5"/>
    <w:rsid w:val="000C03ED"/>
    <w:rsid w:val="000C03F5"/>
    <w:rsid w:val="000C03FC"/>
    <w:rsid w:val="000C0400"/>
    <w:rsid w:val="000C040C"/>
    <w:rsid w:val="000C043B"/>
    <w:rsid w:val="000C047A"/>
    <w:rsid w:val="000C049C"/>
    <w:rsid w:val="000C04F2"/>
    <w:rsid w:val="000C0504"/>
    <w:rsid w:val="000C050E"/>
    <w:rsid w:val="000C052E"/>
    <w:rsid w:val="000C0538"/>
    <w:rsid w:val="000C053B"/>
    <w:rsid w:val="000C055C"/>
    <w:rsid w:val="000C05AE"/>
    <w:rsid w:val="000C05E0"/>
    <w:rsid w:val="000C0609"/>
    <w:rsid w:val="000C0617"/>
    <w:rsid w:val="000C0639"/>
    <w:rsid w:val="000C0647"/>
    <w:rsid w:val="000C065F"/>
    <w:rsid w:val="000C0676"/>
    <w:rsid w:val="000C067C"/>
    <w:rsid w:val="000C06EB"/>
    <w:rsid w:val="000C0704"/>
    <w:rsid w:val="000C0716"/>
    <w:rsid w:val="000C0722"/>
    <w:rsid w:val="000C0772"/>
    <w:rsid w:val="000C07A4"/>
    <w:rsid w:val="000C07B2"/>
    <w:rsid w:val="000C07E6"/>
    <w:rsid w:val="000C0841"/>
    <w:rsid w:val="000C085D"/>
    <w:rsid w:val="000C0886"/>
    <w:rsid w:val="000C088D"/>
    <w:rsid w:val="000C0899"/>
    <w:rsid w:val="000C089B"/>
    <w:rsid w:val="000C08BC"/>
    <w:rsid w:val="000C08C0"/>
    <w:rsid w:val="000C0944"/>
    <w:rsid w:val="000C0946"/>
    <w:rsid w:val="000C0957"/>
    <w:rsid w:val="000C0965"/>
    <w:rsid w:val="000C09B9"/>
    <w:rsid w:val="000C09D3"/>
    <w:rsid w:val="000C0A1B"/>
    <w:rsid w:val="000C0A3A"/>
    <w:rsid w:val="000C0A46"/>
    <w:rsid w:val="000C0A6E"/>
    <w:rsid w:val="000C0A9D"/>
    <w:rsid w:val="000C0AD1"/>
    <w:rsid w:val="000C0AE0"/>
    <w:rsid w:val="000C0AE7"/>
    <w:rsid w:val="000C0B18"/>
    <w:rsid w:val="000C0B25"/>
    <w:rsid w:val="000C0B5F"/>
    <w:rsid w:val="000C0B8E"/>
    <w:rsid w:val="000C0C71"/>
    <w:rsid w:val="000C0C7A"/>
    <w:rsid w:val="000C0C9C"/>
    <w:rsid w:val="000C0CB0"/>
    <w:rsid w:val="000C0CBC"/>
    <w:rsid w:val="000C0D24"/>
    <w:rsid w:val="000C0D8A"/>
    <w:rsid w:val="000C0D96"/>
    <w:rsid w:val="000C0DB0"/>
    <w:rsid w:val="000C0E68"/>
    <w:rsid w:val="000C0E93"/>
    <w:rsid w:val="000C0EDC"/>
    <w:rsid w:val="000C0F05"/>
    <w:rsid w:val="000C0F26"/>
    <w:rsid w:val="000C0F3D"/>
    <w:rsid w:val="000C0F82"/>
    <w:rsid w:val="000C0FD5"/>
    <w:rsid w:val="000C0FF5"/>
    <w:rsid w:val="000C1053"/>
    <w:rsid w:val="000C108A"/>
    <w:rsid w:val="000C10BD"/>
    <w:rsid w:val="000C10D7"/>
    <w:rsid w:val="000C1111"/>
    <w:rsid w:val="000C1117"/>
    <w:rsid w:val="000C111C"/>
    <w:rsid w:val="000C116C"/>
    <w:rsid w:val="000C11D1"/>
    <w:rsid w:val="000C122F"/>
    <w:rsid w:val="000C12D1"/>
    <w:rsid w:val="000C12E4"/>
    <w:rsid w:val="000C12E6"/>
    <w:rsid w:val="000C130A"/>
    <w:rsid w:val="000C1315"/>
    <w:rsid w:val="000C1339"/>
    <w:rsid w:val="000C134F"/>
    <w:rsid w:val="000C13B2"/>
    <w:rsid w:val="000C1407"/>
    <w:rsid w:val="000C1448"/>
    <w:rsid w:val="000C1459"/>
    <w:rsid w:val="000C146C"/>
    <w:rsid w:val="000C14A0"/>
    <w:rsid w:val="000C14B5"/>
    <w:rsid w:val="000C14EC"/>
    <w:rsid w:val="000C151A"/>
    <w:rsid w:val="000C1590"/>
    <w:rsid w:val="000C15CE"/>
    <w:rsid w:val="000C1651"/>
    <w:rsid w:val="000C1663"/>
    <w:rsid w:val="000C173A"/>
    <w:rsid w:val="000C174A"/>
    <w:rsid w:val="000C176C"/>
    <w:rsid w:val="000C17AA"/>
    <w:rsid w:val="000C17F9"/>
    <w:rsid w:val="000C186E"/>
    <w:rsid w:val="000C189E"/>
    <w:rsid w:val="000C18ED"/>
    <w:rsid w:val="000C18EE"/>
    <w:rsid w:val="000C190E"/>
    <w:rsid w:val="000C191D"/>
    <w:rsid w:val="000C1923"/>
    <w:rsid w:val="000C1924"/>
    <w:rsid w:val="000C192C"/>
    <w:rsid w:val="000C19E2"/>
    <w:rsid w:val="000C19F5"/>
    <w:rsid w:val="000C1A3E"/>
    <w:rsid w:val="000C1A79"/>
    <w:rsid w:val="000C1A7D"/>
    <w:rsid w:val="000C1A89"/>
    <w:rsid w:val="000C1AD6"/>
    <w:rsid w:val="000C1C33"/>
    <w:rsid w:val="000C1D27"/>
    <w:rsid w:val="000C1D46"/>
    <w:rsid w:val="000C1D77"/>
    <w:rsid w:val="000C1D83"/>
    <w:rsid w:val="000C1DBD"/>
    <w:rsid w:val="000C1DC0"/>
    <w:rsid w:val="000C1DE4"/>
    <w:rsid w:val="000C1E2B"/>
    <w:rsid w:val="000C1E77"/>
    <w:rsid w:val="000C1E9A"/>
    <w:rsid w:val="000C1EB2"/>
    <w:rsid w:val="000C1F0E"/>
    <w:rsid w:val="000C1F2E"/>
    <w:rsid w:val="000C1FAE"/>
    <w:rsid w:val="000C1FF5"/>
    <w:rsid w:val="000C201E"/>
    <w:rsid w:val="000C20B5"/>
    <w:rsid w:val="000C2130"/>
    <w:rsid w:val="000C213D"/>
    <w:rsid w:val="000C215F"/>
    <w:rsid w:val="000C2162"/>
    <w:rsid w:val="000C2164"/>
    <w:rsid w:val="000C216D"/>
    <w:rsid w:val="000C21D7"/>
    <w:rsid w:val="000C21E8"/>
    <w:rsid w:val="000C21F7"/>
    <w:rsid w:val="000C2205"/>
    <w:rsid w:val="000C2237"/>
    <w:rsid w:val="000C2261"/>
    <w:rsid w:val="000C2291"/>
    <w:rsid w:val="000C22CD"/>
    <w:rsid w:val="000C22E8"/>
    <w:rsid w:val="000C22EE"/>
    <w:rsid w:val="000C22F6"/>
    <w:rsid w:val="000C236C"/>
    <w:rsid w:val="000C237D"/>
    <w:rsid w:val="000C238A"/>
    <w:rsid w:val="000C239D"/>
    <w:rsid w:val="000C23D9"/>
    <w:rsid w:val="000C23DA"/>
    <w:rsid w:val="000C23EC"/>
    <w:rsid w:val="000C244E"/>
    <w:rsid w:val="000C2480"/>
    <w:rsid w:val="000C2496"/>
    <w:rsid w:val="000C24B3"/>
    <w:rsid w:val="000C24E7"/>
    <w:rsid w:val="000C24F6"/>
    <w:rsid w:val="000C2510"/>
    <w:rsid w:val="000C251A"/>
    <w:rsid w:val="000C2529"/>
    <w:rsid w:val="000C2611"/>
    <w:rsid w:val="000C2636"/>
    <w:rsid w:val="000C263F"/>
    <w:rsid w:val="000C26CA"/>
    <w:rsid w:val="000C26E5"/>
    <w:rsid w:val="000C26EC"/>
    <w:rsid w:val="000C26F0"/>
    <w:rsid w:val="000C26FB"/>
    <w:rsid w:val="000C279A"/>
    <w:rsid w:val="000C27AE"/>
    <w:rsid w:val="000C283E"/>
    <w:rsid w:val="000C285A"/>
    <w:rsid w:val="000C285F"/>
    <w:rsid w:val="000C2876"/>
    <w:rsid w:val="000C28BD"/>
    <w:rsid w:val="000C28C5"/>
    <w:rsid w:val="000C290A"/>
    <w:rsid w:val="000C2971"/>
    <w:rsid w:val="000C2986"/>
    <w:rsid w:val="000C29D9"/>
    <w:rsid w:val="000C2A03"/>
    <w:rsid w:val="000C2A36"/>
    <w:rsid w:val="000C2A59"/>
    <w:rsid w:val="000C2AB2"/>
    <w:rsid w:val="000C2AB3"/>
    <w:rsid w:val="000C2AB9"/>
    <w:rsid w:val="000C2AD5"/>
    <w:rsid w:val="000C2ADE"/>
    <w:rsid w:val="000C2AF7"/>
    <w:rsid w:val="000C2B76"/>
    <w:rsid w:val="000C2B89"/>
    <w:rsid w:val="000C2B96"/>
    <w:rsid w:val="000C2BB3"/>
    <w:rsid w:val="000C2BD2"/>
    <w:rsid w:val="000C2BDD"/>
    <w:rsid w:val="000C2C24"/>
    <w:rsid w:val="000C2C89"/>
    <w:rsid w:val="000C2CB9"/>
    <w:rsid w:val="000C2CE3"/>
    <w:rsid w:val="000C2CEB"/>
    <w:rsid w:val="000C2D47"/>
    <w:rsid w:val="000C2D95"/>
    <w:rsid w:val="000C2DE8"/>
    <w:rsid w:val="000C2DF8"/>
    <w:rsid w:val="000C2E01"/>
    <w:rsid w:val="000C2E62"/>
    <w:rsid w:val="000C2E7D"/>
    <w:rsid w:val="000C2EBA"/>
    <w:rsid w:val="000C2EC5"/>
    <w:rsid w:val="000C2EC6"/>
    <w:rsid w:val="000C2EC7"/>
    <w:rsid w:val="000C2F39"/>
    <w:rsid w:val="000C2F86"/>
    <w:rsid w:val="000C2F94"/>
    <w:rsid w:val="000C2F9A"/>
    <w:rsid w:val="000C2FA7"/>
    <w:rsid w:val="000C2FAA"/>
    <w:rsid w:val="000C2FF5"/>
    <w:rsid w:val="000C3007"/>
    <w:rsid w:val="000C3045"/>
    <w:rsid w:val="000C3053"/>
    <w:rsid w:val="000C3060"/>
    <w:rsid w:val="000C3066"/>
    <w:rsid w:val="000C308D"/>
    <w:rsid w:val="000C3094"/>
    <w:rsid w:val="000C3144"/>
    <w:rsid w:val="000C3170"/>
    <w:rsid w:val="000C3187"/>
    <w:rsid w:val="000C31B7"/>
    <w:rsid w:val="000C31C4"/>
    <w:rsid w:val="000C31F0"/>
    <w:rsid w:val="000C3280"/>
    <w:rsid w:val="000C3306"/>
    <w:rsid w:val="000C3355"/>
    <w:rsid w:val="000C3371"/>
    <w:rsid w:val="000C33E4"/>
    <w:rsid w:val="000C347E"/>
    <w:rsid w:val="000C34C9"/>
    <w:rsid w:val="000C34CB"/>
    <w:rsid w:val="000C34FC"/>
    <w:rsid w:val="000C3510"/>
    <w:rsid w:val="000C3511"/>
    <w:rsid w:val="000C3521"/>
    <w:rsid w:val="000C3548"/>
    <w:rsid w:val="000C3567"/>
    <w:rsid w:val="000C3573"/>
    <w:rsid w:val="000C3580"/>
    <w:rsid w:val="000C3591"/>
    <w:rsid w:val="000C35E6"/>
    <w:rsid w:val="000C3667"/>
    <w:rsid w:val="000C3671"/>
    <w:rsid w:val="000C36F4"/>
    <w:rsid w:val="000C372C"/>
    <w:rsid w:val="000C3744"/>
    <w:rsid w:val="000C3771"/>
    <w:rsid w:val="000C377D"/>
    <w:rsid w:val="000C3790"/>
    <w:rsid w:val="000C37CE"/>
    <w:rsid w:val="000C383A"/>
    <w:rsid w:val="000C385C"/>
    <w:rsid w:val="000C3916"/>
    <w:rsid w:val="000C3919"/>
    <w:rsid w:val="000C397A"/>
    <w:rsid w:val="000C39CE"/>
    <w:rsid w:val="000C3AA3"/>
    <w:rsid w:val="000C3AE6"/>
    <w:rsid w:val="000C3B35"/>
    <w:rsid w:val="000C3B5E"/>
    <w:rsid w:val="000C3B64"/>
    <w:rsid w:val="000C3B66"/>
    <w:rsid w:val="000C3BAF"/>
    <w:rsid w:val="000C3BC9"/>
    <w:rsid w:val="000C3C76"/>
    <w:rsid w:val="000C3D00"/>
    <w:rsid w:val="000C3D0B"/>
    <w:rsid w:val="000C3D3F"/>
    <w:rsid w:val="000C3D43"/>
    <w:rsid w:val="000C3D53"/>
    <w:rsid w:val="000C3D73"/>
    <w:rsid w:val="000C3D8C"/>
    <w:rsid w:val="000C3DA6"/>
    <w:rsid w:val="000C3E42"/>
    <w:rsid w:val="000C3E44"/>
    <w:rsid w:val="000C3E49"/>
    <w:rsid w:val="000C3E79"/>
    <w:rsid w:val="000C3E7B"/>
    <w:rsid w:val="000C3F1B"/>
    <w:rsid w:val="000C3F8A"/>
    <w:rsid w:val="000C405B"/>
    <w:rsid w:val="000C40B1"/>
    <w:rsid w:val="000C40BB"/>
    <w:rsid w:val="000C40D5"/>
    <w:rsid w:val="000C40F3"/>
    <w:rsid w:val="000C417D"/>
    <w:rsid w:val="000C41B5"/>
    <w:rsid w:val="000C41C3"/>
    <w:rsid w:val="000C41DF"/>
    <w:rsid w:val="000C41FD"/>
    <w:rsid w:val="000C423A"/>
    <w:rsid w:val="000C424C"/>
    <w:rsid w:val="000C424D"/>
    <w:rsid w:val="000C424F"/>
    <w:rsid w:val="000C4278"/>
    <w:rsid w:val="000C42CA"/>
    <w:rsid w:val="000C42DA"/>
    <w:rsid w:val="000C4338"/>
    <w:rsid w:val="000C4376"/>
    <w:rsid w:val="000C4390"/>
    <w:rsid w:val="000C43A2"/>
    <w:rsid w:val="000C43F1"/>
    <w:rsid w:val="000C43FB"/>
    <w:rsid w:val="000C446F"/>
    <w:rsid w:val="000C448B"/>
    <w:rsid w:val="000C455A"/>
    <w:rsid w:val="000C4578"/>
    <w:rsid w:val="000C45EB"/>
    <w:rsid w:val="000C4606"/>
    <w:rsid w:val="000C4616"/>
    <w:rsid w:val="000C462F"/>
    <w:rsid w:val="000C46DC"/>
    <w:rsid w:val="000C4746"/>
    <w:rsid w:val="000C47B8"/>
    <w:rsid w:val="000C47BB"/>
    <w:rsid w:val="000C47F0"/>
    <w:rsid w:val="000C4820"/>
    <w:rsid w:val="000C4890"/>
    <w:rsid w:val="000C48B2"/>
    <w:rsid w:val="000C4918"/>
    <w:rsid w:val="000C491D"/>
    <w:rsid w:val="000C498F"/>
    <w:rsid w:val="000C49DE"/>
    <w:rsid w:val="000C4A29"/>
    <w:rsid w:val="000C4A49"/>
    <w:rsid w:val="000C4A77"/>
    <w:rsid w:val="000C4AA6"/>
    <w:rsid w:val="000C4AC8"/>
    <w:rsid w:val="000C4AE1"/>
    <w:rsid w:val="000C4B29"/>
    <w:rsid w:val="000C4B6D"/>
    <w:rsid w:val="000C4B6F"/>
    <w:rsid w:val="000C4B94"/>
    <w:rsid w:val="000C4BB0"/>
    <w:rsid w:val="000C4C05"/>
    <w:rsid w:val="000C4C1D"/>
    <w:rsid w:val="000C4CB3"/>
    <w:rsid w:val="000C4D2B"/>
    <w:rsid w:val="000C4D5A"/>
    <w:rsid w:val="000C4D9B"/>
    <w:rsid w:val="000C4E19"/>
    <w:rsid w:val="000C4E35"/>
    <w:rsid w:val="000C4E45"/>
    <w:rsid w:val="000C4E6C"/>
    <w:rsid w:val="000C4E79"/>
    <w:rsid w:val="000C4E81"/>
    <w:rsid w:val="000C4E83"/>
    <w:rsid w:val="000C4E8B"/>
    <w:rsid w:val="000C4F25"/>
    <w:rsid w:val="000C4FF0"/>
    <w:rsid w:val="000C504D"/>
    <w:rsid w:val="000C5068"/>
    <w:rsid w:val="000C5069"/>
    <w:rsid w:val="000C5096"/>
    <w:rsid w:val="000C509C"/>
    <w:rsid w:val="000C50FD"/>
    <w:rsid w:val="000C510C"/>
    <w:rsid w:val="000C511F"/>
    <w:rsid w:val="000C517E"/>
    <w:rsid w:val="000C518D"/>
    <w:rsid w:val="000C51B4"/>
    <w:rsid w:val="000C51BD"/>
    <w:rsid w:val="000C51CF"/>
    <w:rsid w:val="000C51DD"/>
    <w:rsid w:val="000C5201"/>
    <w:rsid w:val="000C5261"/>
    <w:rsid w:val="000C52B1"/>
    <w:rsid w:val="000C52B8"/>
    <w:rsid w:val="000C5310"/>
    <w:rsid w:val="000C539F"/>
    <w:rsid w:val="000C53C7"/>
    <w:rsid w:val="000C53ED"/>
    <w:rsid w:val="000C53FD"/>
    <w:rsid w:val="000C5407"/>
    <w:rsid w:val="000C541D"/>
    <w:rsid w:val="000C5431"/>
    <w:rsid w:val="000C5488"/>
    <w:rsid w:val="000C54C5"/>
    <w:rsid w:val="000C54DB"/>
    <w:rsid w:val="000C54EB"/>
    <w:rsid w:val="000C5503"/>
    <w:rsid w:val="000C5557"/>
    <w:rsid w:val="000C55A4"/>
    <w:rsid w:val="000C55BE"/>
    <w:rsid w:val="000C55C1"/>
    <w:rsid w:val="000C55D8"/>
    <w:rsid w:val="000C55E3"/>
    <w:rsid w:val="000C55F8"/>
    <w:rsid w:val="000C5601"/>
    <w:rsid w:val="000C5618"/>
    <w:rsid w:val="000C562D"/>
    <w:rsid w:val="000C5636"/>
    <w:rsid w:val="000C5659"/>
    <w:rsid w:val="000C566A"/>
    <w:rsid w:val="000C566E"/>
    <w:rsid w:val="000C5691"/>
    <w:rsid w:val="000C5717"/>
    <w:rsid w:val="000C571D"/>
    <w:rsid w:val="000C5727"/>
    <w:rsid w:val="000C5751"/>
    <w:rsid w:val="000C5756"/>
    <w:rsid w:val="000C579A"/>
    <w:rsid w:val="000C57B0"/>
    <w:rsid w:val="000C57C8"/>
    <w:rsid w:val="000C57CB"/>
    <w:rsid w:val="000C57FA"/>
    <w:rsid w:val="000C5805"/>
    <w:rsid w:val="000C5820"/>
    <w:rsid w:val="000C5826"/>
    <w:rsid w:val="000C5840"/>
    <w:rsid w:val="000C5850"/>
    <w:rsid w:val="000C5876"/>
    <w:rsid w:val="000C5892"/>
    <w:rsid w:val="000C58B2"/>
    <w:rsid w:val="000C58B9"/>
    <w:rsid w:val="000C58E4"/>
    <w:rsid w:val="000C58E6"/>
    <w:rsid w:val="000C5902"/>
    <w:rsid w:val="000C5936"/>
    <w:rsid w:val="000C5997"/>
    <w:rsid w:val="000C59A3"/>
    <w:rsid w:val="000C59BE"/>
    <w:rsid w:val="000C59C9"/>
    <w:rsid w:val="000C5A81"/>
    <w:rsid w:val="000C5A88"/>
    <w:rsid w:val="000C5A9D"/>
    <w:rsid w:val="000C5AFB"/>
    <w:rsid w:val="000C5AFC"/>
    <w:rsid w:val="000C5B9B"/>
    <w:rsid w:val="000C5BE7"/>
    <w:rsid w:val="000C5C0C"/>
    <w:rsid w:val="000C5C4C"/>
    <w:rsid w:val="000C5CD1"/>
    <w:rsid w:val="000C5EF5"/>
    <w:rsid w:val="000C5EF7"/>
    <w:rsid w:val="000C5F1A"/>
    <w:rsid w:val="000C5F28"/>
    <w:rsid w:val="000C5F40"/>
    <w:rsid w:val="000C5F5D"/>
    <w:rsid w:val="000C5F8E"/>
    <w:rsid w:val="000C5FCA"/>
    <w:rsid w:val="000C6036"/>
    <w:rsid w:val="000C6084"/>
    <w:rsid w:val="000C60B9"/>
    <w:rsid w:val="000C613F"/>
    <w:rsid w:val="000C6146"/>
    <w:rsid w:val="000C6174"/>
    <w:rsid w:val="000C61A6"/>
    <w:rsid w:val="000C61D7"/>
    <w:rsid w:val="000C6266"/>
    <w:rsid w:val="000C62D4"/>
    <w:rsid w:val="000C6314"/>
    <w:rsid w:val="000C63A9"/>
    <w:rsid w:val="000C63FA"/>
    <w:rsid w:val="000C6547"/>
    <w:rsid w:val="000C65B0"/>
    <w:rsid w:val="000C65BD"/>
    <w:rsid w:val="000C65E4"/>
    <w:rsid w:val="000C65FC"/>
    <w:rsid w:val="000C6692"/>
    <w:rsid w:val="000C670F"/>
    <w:rsid w:val="000C6717"/>
    <w:rsid w:val="000C675A"/>
    <w:rsid w:val="000C6786"/>
    <w:rsid w:val="000C678A"/>
    <w:rsid w:val="000C678B"/>
    <w:rsid w:val="000C67E7"/>
    <w:rsid w:val="000C680E"/>
    <w:rsid w:val="000C6815"/>
    <w:rsid w:val="000C6846"/>
    <w:rsid w:val="000C6864"/>
    <w:rsid w:val="000C68C2"/>
    <w:rsid w:val="000C68E9"/>
    <w:rsid w:val="000C6917"/>
    <w:rsid w:val="000C69F5"/>
    <w:rsid w:val="000C6A07"/>
    <w:rsid w:val="000C6A10"/>
    <w:rsid w:val="000C6A24"/>
    <w:rsid w:val="000C6A2D"/>
    <w:rsid w:val="000C6A71"/>
    <w:rsid w:val="000C6A7D"/>
    <w:rsid w:val="000C6A9E"/>
    <w:rsid w:val="000C6B1F"/>
    <w:rsid w:val="000C6BAF"/>
    <w:rsid w:val="000C6BB0"/>
    <w:rsid w:val="000C6BEF"/>
    <w:rsid w:val="000C6C85"/>
    <w:rsid w:val="000C6D00"/>
    <w:rsid w:val="000C6D3E"/>
    <w:rsid w:val="000C6D4B"/>
    <w:rsid w:val="000C6D51"/>
    <w:rsid w:val="000C6DCD"/>
    <w:rsid w:val="000C6E21"/>
    <w:rsid w:val="000C6E3D"/>
    <w:rsid w:val="000C6E94"/>
    <w:rsid w:val="000C6EB7"/>
    <w:rsid w:val="000C6ED7"/>
    <w:rsid w:val="000C6EEE"/>
    <w:rsid w:val="000C6F78"/>
    <w:rsid w:val="000C7033"/>
    <w:rsid w:val="000C70B2"/>
    <w:rsid w:val="000C70D0"/>
    <w:rsid w:val="000C70DF"/>
    <w:rsid w:val="000C7120"/>
    <w:rsid w:val="000C7133"/>
    <w:rsid w:val="000C7137"/>
    <w:rsid w:val="000C7181"/>
    <w:rsid w:val="000C71A0"/>
    <w:rsid w:val="000C724B"/>
    <w:rsid w:val="000C7288"/>
    <w:rsid w:val="000C72B9"/>
    <w:rsid w:val="000C7321"/>
    <w:rsid w:val="000C7340"/>
    <w:rsid w:val="000C7392"/>
    <w:rsid w:val="000C7396"/>
    <w:rsid w:val="000C73C4"/>
    <w:rsid w:val="000C73D7"/>
    <w:rsid w:val="000C73DB"/>
    <w:rsid w:val="000C73EE"/>
    <w:rsid w:val="000C73F7"/>
    <w:rsid w:val="000C7422"/>
    <w:rsid w:val="000C74BD"/>
    <w:rsid w:val="000C74BE"/>
    <w:rsid w:val="000C74FC"/>
    <w:rsid w:val="000C7508"/>
    <w:rsid w:val="000C751C"/>
    <w:rsid w:val="000C754A"/>
    <w:rsid w:val="000C757D"/>
    <w:rsid w:val="000C75FB"/>
    <w:rsid w:val="000C7615"/>
    <w:rsid w:val="000C769A"/>
    <w:rsid w:val="000C7725"/>
    <w:rsid w:val="000C7737"/>
    <w:rsid w:val="000C7750"/>
    <w:rsid w:val="000C779B"/>
    <w:rsid w:val="000C77E0"/>
    <w:rsid w:val="000C77E5"/>
    <w:rsid w:val="000C77F3"/>
    <w:rsid w:val="000C7831"/>
    <w:rsid w:val="000C7855"/>
    <w:rsid w:val="000C785C"/>
    <w:rsid w:val="000C786A"/>
    <w:rsid w:val="000C787E"/>
    <w:rsid w:val="000C7890"/>
    <w:rsid w:val="000C78AD"/>
    <w:rsid w:val="000C78AE"/>
    <w:rsid w:val="000C78BE"/>
    <w:rsid w:val="000C78D8"/>
    <w:rsid w:val="000C7937"/>
    <w:rsid w:val="000C7938"/>
    <w:rsid w:val="000C79AA"/>
    <w:rsid w:val="000C79AB"/>
    <w:rsid w:val="000C79B2"/>
    <w:rsid w:val="000C79CC"/>
    <w:rsid w:val="000C79E0"/>
    <w:rsid w:val="000C7A3A"/>
    <w:rsid w:val="000C7A45"/>
    <w:rsid w:val="000C7A6A"/>
    <w:rsid w:val="000C7A8B"/>
    <w:rsid w:val="000C7ACD"/>
    <w:rsid w:val="000C7AD0"/>
    <w:rsid w:val="000C7B3B"/>
    <w:rsid w:val="000C7B4E"/>
    <w:rsid w:val="000C7B84"/>
    <w:rsid w:val="000C7B8C"/>
    <w:rsid w:val="000C7BDC"/>
    <w:rsid w:val="000C7C06"/>
    <w:rsid w:val="000C7C4E"/>
    <w:rsid w:val="000C7C61"/>
    <w:rsid w:val="000C7C70"/>
    <w:rsid w:val="000C7C76"/>
    <w:rsid w:val="000C7C96"/>
    <w:rsid w:val="000C7CA2"/>
    <w:rsid w:val="000C7CF1"/>
    <w:rsid w:val="000C7D72"/>
    <w:rsid w:val="000C7DC7"/>
    <w:rsid w:val="000C7E17"/>
    <w:rsid w:val="000C7E69"/>
    <w:rsid w:val="000C7ECC"/>
    <w:rsid w:val="000C7EDC"/>
    <w:rsid w:val="000C7F26"/>
    <w:rsid w:val="000C7F91"/>
    <w:rsid w:val="000C7FC7"/>
    <w:rsid w:val="000C7FD0"/>
    <w:rsid w:val="000C7FF7"/>
    <w:rsid w:val="000D000E"/>
    <w:rsid w:val="000D0040"/>
    <w:rsid w:val="000D0059"/>
    <w:rsid w:val="000D005E"/>
    <w:rsid w:val="000D009C"/>
    <w:rsid w:val="000D00E4"/>
    <w:rsid w:val="000D00F5"/>
    <w:rsid w:val="000D0131"/>
    <w:rsid w:val="000D0139"/>
    <w:rsid w:val="000D013B"/>
    <w:rsid w:val="000D01AF"/>
    <w:rsid w:val="000D01B4"/>
    <w:rsid w:val="000D01D5"/>
    <w:rsid w:val="000D01F0"/>
    <w:rsid w:val="000D022A"/>
    <w:rsid w:val="000D025A"/>
    <w:rsid w:val="000D0261"/>
    <w:rsid w:val="000D029D"/>
    <w:rsid w:val="000D02B3"/>
    <w:rsid w:val="000D02BD"/>
    <w:rsid w:val="000D02F7"/>
    <w:rsid w:val="000D0312"/>
    <w:rsid w:val="000D0320"/>
    <w:rsid w:val="000D0336"/>
    <w:rsid w:val="000D03C7"/>
    <w:rsid w:val="000D03E8"/>
    <w:rsid w:val="000D040F"/>
    <w:rsid w:val="000D042C"/>
    <w:rsid w:val="000D0453"/>
    <w:rsid w:val="000D046E"/>
    <w:rsid w:val="000D049A"/>
    <w:rsid w:val="000D0504"/>
    <w:rsid w:val="000D053E"/>
    <w:rsid w:val="000D055F"/>
    <w:rsid w:val="000D05AB"/>
    <w:rsid w:val="000D05ED"/>
    <w:rsid w:val="000D0649"/>
    <w:rsid w:val="000D064E"/>
    <w:rsid w:val="000D0664"/>
    <w:rsid w:val="000D066F"/>
    <w:rsid w:val="000D06D5"/>
    <w:rsid w:val="000D06F3"/>
    <w:rsid w:val="000D0700"/>
    <w:rsid w:val="000D070B"/>
    <w:rsid w:val="000D0737"/>
    <w:rsid w:val="000D0753"/>
    <w:rsid w:val="000D07BB"/>
    <w:rsid w:val="000D081C"/>
    <w:rsid w:val="000D0856"/>
    <w:rsid w:val="000D087A"/>
    <w:rsid w:val="000D08B3"/>
    <w:rsid w:val="000D08E0"/>
    <w:rsid w:val="000D090D"/>
    <w:rsid w:val="000D092E"/>
    <w:rsid w:val="000D0936"/>
    <w:rsid w:val="000D095C"/>
    <w:rsid w:val="000D0985"/>
    <w:rsid w:val="000D0A2A"/>
    <w:rsid w:val="000D0A81"/>
    <w:rsid w:val="000D0AA4"/>
    <w:rsid w:val="000D0AD4"/>
    <w:rsid w:val="000D0AD5"/>
    <w:rsid w:val="000D0ADF"/>
    <w:rsid w:val="000D0B0C"/>
    <w:rsid w:val="000D0B28"/>
    <w:rsid w:val="000D0B89"/>
    <w:rsid w:val="000D0BAA"/>
    <w:rsid w:val="000D0BB7"/>
    <w:rsid w:val="000D0BED"/>
    <w:rsid w:val="000D0C39"/>
    <w:rsid w:val="000D0C66"/>
    <w:rsid w:val="000D0C7D"/>
    <w:rsid w:val="000D0CEE"/>
    <w:rsid w:val="000D0CF7"/>
    <w:rsid w:val="000D0D08"/>
    <w:rsid w:val="000D0D33"/>
    <w:rsid w:val="000D0D93"/>
    <w:rsid w:val="000D0D98"/>
    <w:rsid w:val="000D0E20"/>
    <w:rsid w:val="000D0E25"/>
    <w:rsid w:val="000D0E54"/>
    <w:rsid w:val="000D0E57"/>
    <w:rsid w:val="000D0E5A"/>
    <w:rsid w:val="000D0E81"/>
    <w:rsid w:val="000D0EF8"/>
    <w:rsid w:val="000D0F31"/>
    <w:rsid w:val="000D0F3C"/>
    <w:rsid w:val="000D0F69"/>
    <w:rsid w:val="000D0FA7"/>
    <w:rsid w:val="000D0FC9"/>
    <w:rsid w:val="000D101A"/>
    <w:rsid w:val="000D1075"/>
    <w:rsid w:val="000D10BF"/>
    <w:rsid w:val="000D1181"/>
    <w:rsid w:val="000D118B"/>
    <w:rsid w:val="000D1195"/>
    <w:rsid w:val="000D11EB"/>
    <w:rsid w:val="000D1252"/>
    <w:rsid w:val="000D12D0"/>
    <w:rsid w:val="000D12D9"/>
    <w:rsid w:val="000D1343"/>
    <w:rsid w:val="000D1346"/>
    <w:rsid w:val="000D137C"/>
    <w:rsid w:val="000D13C7"/>
    <w:rsid w:val="000D13E6"/>
    <w:rsid w:val="000D13F3"/>
    <w:rsid w:val="000D1429"/>
    <w:rsid w:val="000D1455"/>
    <w:rsid w:val="000D14C1"/>
    <w:rsid w:val="000D14FD"/>
    <w:rsid w:val="000D1512"/>
    <w:rsid w:val="000D152E"/>
    <w:rsid w:val="000D1559"/>
    <w:rsid w:val="000D15F2"/>
    <w:rsid w:val="000D164E"/>
    <w:rsid w:val="000D1698"/>
    <w:rsid w:val="000D16C6"/>
    <w:rsid w:val="000D16CF"/>
    <w:rsid w:val="000D16D3"/>
    <w:rsid w:val="000D16FF"/>
    <w:rsid w:val="000D1757"/>
    <w:rsid w:val="000D1782"/>
    <w:rsid w:val="000D1791"/>
    <w:rsid w:val="000D1793"/>
    <w:rsid w:val="000D17E1"/>
    <w:rsid w:val="000D186A"/>
    <w:rsid w:val="000D187F"/>
    <w:rsid w:val="000D18B7"/>
    <w:rsid w:val="000D18C5"/>
    <w:rsid w:val="000D194C"/>
    <w:rsid w:val="000D1982"/>
    <w:rsid w:val="000D19F6"/>
    <w:rsid w:val="000D1A3D"/>
    <w:rsid w:val="000D1A59"/>
    <w:rsid w:val="000D1A95"/>
    <w:rsid w:val="000D1AD2"/>
    <w:rsid w:val="000D1AFD"/>
    <w:rsid w:val="000D1B30"/>
    <w:rsid w:val="000D1B46"/>
    <w:rsid w:val="000D1B79"/>
    <w:rsid w:val="000D1BC3"/>
    <w:rsid w:val="000D1BC7"/>
    <w:rsid w:val="000D1BEE"/>
    <w:rsid w:val="000D1C26"/>
    <w:rsid w:val="000D1C71"/>
    <w:rsid w:val="000D1C82"/>
    <w:rsid w:val="000D1C84"/>
    <w:rsid w:val="000D1CBE"/>
    <w:rsid w:val="000D1D2D"/>
    <w:rsid w:val="000D1D30"/>
    <w:rsid w:val="000D1D32"/>
    <w:rsid w:val="000D1D36"/>
    <w:rsid w:val="000D1D7A"/>
    <w:rsid w:val="000D1D84"/>
    <w:rsid w:val="000D1DB0"/>
    <w:rsid w:val="000D1DC3"/>
    <w:rsid w:val="000D1DED"/>
    <w:rsid w:val="000D1E14"/>
    <w:rsid w:val="000D1E31"/>
    <w:rsid w:val="000D1E36"/>
    <w:rsid w:val="000D1E5F"/>
    <w:rsid w:val="000D1E98"/>
    <w:rsid w:val="000D1EBA"/>
    <w:rsid w:val="000D1EC1"/>
    <w:rsid w:val="000D1ECF"/>
    <w:rsid w:val="000D1EF3"/>
    <w:rsid w:val="000D1F02"/>
    <w:rsid w:val="000D1F30"/>
    <w:rsid w:val="000D1F6F"/>
    <w:rsid w:val="000D1F87"/>
    <w:rsid w:val="000D1FB7"/>
    <w:rsid w:val="000D207B"/>
    <w:rsid w:val="000D208E"/>
    <w:rsid w:val="000D20BA"/>
    <w:rsid w:val="000D21DF"/>
    <w:rsid w:val="000D2221"/>
    <w:rsid w:val="000D2276"/>
    <w:rsid w:val="000D2286"/>
    <w:rsid w:val="000D22DA"/>
    <w:rsid w:val="000D22DC"/>
    <w:rsid w:val="000D2309"/>
    <w:rsid w:val="000D2312"/>
    <w:rsid w:val="000D238B"/>
    <w:rsid w:val="000D2399"/>
    <w:rsid w:val="000D2471"/>
    <w:rsid w:val="000D24E9"/>
    <w:rsid w:val="000D24FA"/>
    <w:rsid w:val="000D2562"/>
    <w:rsid w:val="000D259B"/>
    <w:rsid w:val="000D2631"/>
    <w:rsid w:val="000D2634"/>
    <w:rsid w:val="000D265C"/>
    <w:rsid w:val="000D26EA"/>
    <w:rsid w:val="000D2729"/>
    <w:rsid w:val="000D274A"/>
    <w:rsid w:val="000D2766"/>
    <w:rsid w:val="000D27A2"/>
    <w:rsid w:val="000D281E"/>
    <w:rsid w:val="000D285C"/>
    <w:rsid w:val="000D28D4"/>
    <w:rsid w:val="000D28D6"/>
    <w:rsid w:val="000D290E"/>
    <w:rsid w:val="000D2939"/>
    <w:rsid w:val="000D2966"/>
    <w:rsid w:val="000D2A3B"/>
    <w:rsid w:val="000D2AC6"/>
    <w:rsid w:val="000D2ACC"/>
    <w:rsid w:val="000D2B1F"/>
    <w:rsid w:val="000D2B55"/>
    <w:rsid w:val="000D2B5D"/>
    <w:rsid w:val="000D2B63"/>
    <w:rsid w:val="000D2BB2"/>
    <w:rsid w:val="000D2BBC"/>
    <w:rsid w:val="000D2BC6"/>
    <w:rsid w:val="000D2BCE"/>
    <w:rsid w:val="000D2BEC"/>
    <w:rsid w:val="000D2C04"/>
    <w:rsid w:val="000D2C24"/>
    <w:rsid w:val="000D2C42"/>
    <w:rsid w:val="000D2CD9"/>
    <w:rsid w:val="000D2CF9"/>
    <w:rsid w:val="000D2D12"/>
    <w:rsid w:val="000D2D16"/>
    <w:rsid w:val="000D2D18"/>
    <w:rsid w:val="000D2D4C"/>
    <w:rsid w:val="000D2D55"/>
    <w:rsid w:val="000D2DAE"/>
    <w:rsid w:val="000D2DB7"/>
    <w:rsid w:val="000D2E27"/>
    <w:rsid w:val="000D2E4A"/>
    <w:rsid w:val="000D2EA5"/>
    <w:rsid w:val="000D2F06"/>
    <w:rsid w:val="000D2F9E"/>
    <w:rsid w:val="000D2FE2"/>
    <w:rsid w:val="000D3017"/>
    <w:rsid w:val="000D304D"/>
    <w:rsid w:val="000D306C"/>
    <w:rsid w:val="000D30C1"/>
    <w:rsid w:val="000D30F7"/>
    <w:rsid w:val="000D3100"/>
    <w:rsid w:val="000D3118"/>
    <w:rsid w:val="000D317C"/>
    <w:rsid w:val="000D31DD"/>
    <w:rsid w:val="000D3202"/>
    <w:rsid w:val="000D3212"/>
    <w:rsid w:val="000D3223"/>
    <w:rsid w:val="000D32DF"/>
    <w:rsid w:val="000D32EF"/>
    <w:rsid w:val="000D3324"/>
    <w:rsid w:val="000D33BE"/>
    <w:rsid w:val="000D33F6"/>
    <w:rsid w:val="000D3402"/>
    <w:rsid w:val="000D34AE"/>
    <w:rsid w:val="000D34DE"/>
    <w:rsid w:val="000D34E6"/>
    <w:rsid w:val="000D35A5"/>
    <w:rsid w:val="000D35C0"/>
    <w:rsid w:val="000D360B"/>
    <w:rsid w:val="000D36B2"/>
    <w:rsid w:val="000D370A"/>
    <w:rsid w:val="000D3722"/>
    <w:rsid w:val="000D3758"/>
    <w:rsid w:val="000D3795"/>
    <w:rsid w:val="000D37BF"/>
    <w:rsid w:val="000D37EC"/>
    <w:rsid w:val="000D383C"/>
    <w:rsid w:val="000D38EC"/>
    <w:rsid w:val="000D38FD"/>
    <w:rsid w:val="000D3923"/>
    <w:rsid w:val="000D398F"/>
    <w:rsid w:val="000D3A16"/>
    <w:rsid w:val="000D3A39"/>
    <w:rsid w:val="000D3A98"/>
    <w:rsid w:val="000D3ABA"/>
    <w:rsid w:val="000D3B54"/>
    <w:rsid w:val="000D3B71"/>
    <w:rsid w:val="000D3B88"/>
    <w:rsid w:val="000D3BD0"/>
    <w:rsid w:val="000D3C15"/>
    <w:rsid w:val="000D3C39"/>
    <w:rsid w:val="000D3C5D"/>
    <w:rsid w:val="000D3C62"/>
    <w:rsid w:val="000D3C9E"/>
    <w:rsid w:val="000D3CA2"/>
    <w:rsid w:val="000D3CC8"/>
    <w:rsid w:val="000D3D26"/>
    <w:rsid w:val="000D3D53"/>
    <w:rsid w:val="000D3DB9"/>
    <w:rsid w:val="000D3DF0"/>
    <w:rsid w:val="000D3E0C"/>
    <w:rsid w:val="000D3E2A"/>
    <w:rsid w:val="000D3E96"/>
    <w:rsid w:val="000D3EB7"/>
    <w:rsid w:val="000D3EB9"/>
    <w:rsid w:val="000D3EC7"/>
    <w:rsid w:val="000D3EDD"/>
    <w:rsid w:val="000D3F1D"/>
    <w:rsid w:val="000D3F2B"/>
    <w:rsid w:val="000D3F32"/>
    <w:rsid w:val="000D3F49"/>
    <w:rsid w:val="000D3F82"/>
    <w:rsid w:val="000D3F85"/>
    <w:rsid w:val="000D3FF4"/>
    <w:rsid w:val="000D407C"/>
    <w:rsid w:val="000D4092"/>
    <w:rsid w:val="000D40DE"/>
    <w:rsid w:val="000D40FF"/>
    <w:rsid w:val="000D4142"/>
    <w:rsid w:val="000D4199"/>
    <w:rsid w:val="000D41B0"/>
    <w:rsid w:val="000D41CA"/>
    <w:rsid w:val="000D41F3"/>
    <w:rsid w:val="000D41F8"/>
    <w:rsid w:val="000D4245"/>
    <w:rsid w:val="000D4257"/>
    <w:rsid w:val="000D4266"/>
    <w:rsid w:val="000D42B4"/>
    <w:rsid w:val="000D433E"/>
    <w:rsid w:val="000D433F"/>
    <w:rsid w:val="000D43D9"/>
    <w:rsid w:val="000D43F9"/>
    <w:rsid w:val="000D441D"/>
    <w:rsid w:val="000D4430"/>
    <w:rsid w:val="000D4449"/>
    <w:rsid w:val="000D445A"/>
    <w:rsid w:val="000D446B"/>
    <w:rsid w:val="000D448D"/>
    <w:rsid w:val="000D44EC"/>
    <w:rsid w:val="000D4540"/>
    <w:rsid w:val="000D4541"/>
    <w:rsid w:val="000D4571"/>
    <w:rsid w:val="000D459D"/>
    <w:rsid w:val="000D4649"/>
    <w:rsid w:val="000D4671"/>
    <w:rsid w:val="000D46BA"/>
    <w:rsid w:val="000D46DD"/>
    <w:rsid w:val="000D474D"/>
    <w:rsid w:val="000D4758"/>
    <w:rsid w:val="000D4775"/>
    <w:rsid w:val="000D477F"/>
    <w:rsid w:val="000D47A8"/>
    <w:rsid w:val="000D47B9"/>
    <w:rsid w:val="000D47BF"/>
    <w:rsid w:val="000D47D9"/>
    <w:rsid w:val="000D47E5"/>
    <w:rsid w:val="000D47F3"/>
    <w:rsid w:val="000D4811"/>
    <w:rsid w:val="000D48C7"/>
    <w:rsid w:val="000D48D1"/>
    <w:rsid w:val="000D4909"/>
    <w:rsid w:val="000D4931"/>
    <w:rsid w:val="000D497E"/>
    <w:rsid w:val="000D498B"/>
    <w:rsid w:val="000D49BF"/>
    <w:rsid w:val="000D4A0E"/>
    <w:rsid w:val="000D4A27"/>
    <w:rsid w:val="000D4A30"/>
    <w:rsid w:val="000D4A5C"/>
    <w:rsid w:val="000D4A89"/>
    <w:rsid w:val="000D4ACE"/>
    <w:rsid w:val="000D4ADF"/>
    <w:rsid w:val="000D4AF3"/>
    <w:rsid w:val="000D4B0B"/>
    <w:rsid w:val="000D4B17"/>
    <w:rsid w:val="000D4B96"/>
    <w:rsid w:val="000D4C14"/>
    <w:rsid w:val="000D4C31"/>
    <w:rsid w:val="000D4C36"/>
    <w:rsid w:val="000D4CBE"/>
    <w:rsid w:val="000D4D06"/>
    <w:rsid w:val="000D4D0D"/>
    <w:rsid w:val="000D4D1E"/>
    <w:rsid w:val="000D4D31"/>
    <w:rsid w:val="000D4D9B"/>
    <w:rsid w:val="000D4DD8"/>
    <w:rsid w:val="000D4DDF"/>
    <w:rsid w:val="000D4E43"/>
    <w:rsid w:val="000D4EB8"/>
    <w:rsid w:val="000D4ECA"/>
    <w:rsid w:val="000D4EE2"/>
    <w:rsid w:val="000D4F0D"/>
    <w:rsid w:val="000D4F29"/>
    <w:rsid w:val="000D4F38"/>
    <w:rsid w:val="000D4F3D"/>
    <w:rsid w:val="000D4FAD"/>
    <w:rsid w:val="000D4FB8"/>
    <w:rsid w:val="000D4FBB"/>
    <w:rsid w:val="000D4FF0"/>
    <w:rsid w:val="000D5086"/>
    <w:rsid w:val="000D509A"/>
    <w:rsid w:val="000D50D9"/>
    <w:rsid w:val="000D5126"/>
    <w:rsid w:val="000D5142"/>
    <w:rsid w:val="000D5147"/>
    <w:rsid w:val="000D5170"/>
    <w:rsid w:val="000D5182"/>
    <w:rsid w:val="000D51FD"/>
    <w:rsid w:val="000D521C"/>
    <w:rsid w:val="000D527B"/>
    <w:rsid w:val="000D533E"/>
    <w:rsid w:val="000D536F"/>
    <w:rsid w:val="000D53BB"/>
    <w:rsid w:val="000D5431"/>
    <w:rsid w:val="000D543D"/>
    <w:rsid w:val="000D549A"/>
    <w:rsid w:val="000D54A2"/>
    <w:rsid w:val="000D54C1"/>
    <w:rsid w:val="000D5585"/>
    <w:rsid w:val="000D5598"/>
    <w:rsid w:val="000D562F"/>
    <w:rsid w:val="000D5667"/>
    <w:rsid w:val="000D56B5"/>
    <w:rsid w:val="000D56D9"/>
    <w:rsid w:val="000D56FF"/>
    <w:rsid w:val="000D5724"/>
    <w:rsid w:val="000D5740"/>
    <w:rsid w:val="000D5803"/>
    <w:rsid w:val="000D5845"/>
    <w:rsid w:val="000D58D6"/>
    <w:rsid w:val="000D58EF"/>
    <w:rsid w:val="000D5905"/>
    <w:rsid w:val="000D5928"/>
    <w:rsid w:val="000D59B4"/>
    <w:rsid w:val="000D59C2"/>
    <w:rsid w:val="000D59D6"/>
    <w:rsid w:val="000D5A24"/>
    <w:rsid w:val="000D5A73"/>
    <w:rsid w:val="000D5A7D"/>
    <w:rsid w:val="000D5A80"/>
    <w:rsid w:val="000D5A96"/>
    <w:rsid w:val="000D5AA2"/>
    <w:rsid w:val="000D5B14"/>
    <w:rsid w:val="000D5B47"/>
    <w:rsid w:val="000D5B74"/>
    <w:rsid w:val="000D5BF8"/>
    <w:rsid w:val="000D5C1A"/>
    <w:rsid w:val="000D5C24"/>
    <w:rsid w:val="000D5C8C"/>
    <w:rsid w:val="000D5C9A"/>
    <w:rsid w:val="000D5CBE"/>
    <w:rsid w:val="000D5CD3"/>
    <w:rsid w:val="000D5D33"/>
    <w:rsid w:val="000D5D37"/>
    <w:rsid w:val="000D5D44"/>
    <w:rsid w:val="000D5D50"/>
    <w:rsid w:val="000D5D98"/>
    <w:rsid w:val="000D5DE7"/>
    <w:rsid w:val="000D5E3D"/>
    <w:rsid w:val="000D5E3E"/>
    <w:rsid w:val="000D5F5B"/>
    <w:rsid w:val="000D5F5F"/>
    <w:rsid w:val="000D5F8F"/>
    <w:rsid w:val="000D5FA3"/>
    <w:rsid w:val="000D5FA4"/>
    <w:rsid w:val="000D5FD6"/>
    <w:rsid w:val="000D602C"/>
    <w:rsid w:val="000D604D"/>
    <w:rsid w:val="000D6071"/>
    <w:rsid w:val="000D6090"/>
    <w:rsid w:val="000D60AA"/>
    <w:rsid w:val="000D60B7"/>
    <w:rsid w:val="000D60C4"/>
    <w:rsid w:val="000D6177"/>
    <w:rsid w:val="000D6196"/>
    <w:rsid w:val="000D622D"/>
    <w:rsid w:val="000D627C"/>
    <w:rsid w:val="000D627F"/>
    <w:rsid w:val="000D62EE"/>
    <w:rsid w:val="000D6315"/>
    <w:rsid w:val="000D6331"/>
    <w:rsid w:val="000D636E"/>
    <w:rsid w:val="000D63BE"/>
    <w:rsid w:val="000D63D2"/>
    <w:rsid w:val="000D63F9"/>
    <w:rsid w:val="000D6451"/>
    <w:rsid w:val="000D6452"/>
    <w:rsid w:val="000D6465"/>
    <w:rsid w:val="000D6466"/>
    <w:rsid w:val="000D646C"/>
    <w:rsid w:val="000D6483"/>
    <w:rsid w:val="000D651A"/>
    <w:rsid w:val="000D6535"/>
    <w:rsid w:val="000D653E"/>
    <w:rsid w:val="000D6562"/>
    <w:rsid w:val="000D65FE"/>
    <w:rsid w:val="000D6633"/>
    <w:rsid w:val="000D665E"/>
    <w:rsid w:val="000D66E5"/>
    <w:rsid w:val="000D66F1"/>
    <w:rsid w:val="000D6763"/>
    <w:rsid w:val="000D677A"/>
    <w:rsid w:val="000D67E5"/>
    <w:rsid w:val="000D6804"/>
    <w:rsid w:val="000D6834"/>
    <w:rsid w:val="000D6838"/>
    <w:rsid w:val="000D685A"/>
    <w:rsid w:val="000D68D5"/>
    <w:rsid w:val="000D68DD"/>
    <w:rsid w:val="000D6911"/>
    <w:rsid w:val="000D695B"/>
    <w:rsid w:val="000D69FD"/>
    <w:rsid w:val="000D6A26"/>
    <w:rsid w:val="000D6A2E"/>
    <w:rsid w:val="000D6A30"/>
    <w:rsid w:val="000D6A39"/>
    <w:rsid w:val="000D6A7C"/>
    <w:rsid w:val="000D6AEF"/>
    <w:rsid w:val="000D6B1C"/>
    <w:rsid w:val="000D6B31"/>
    <w:rsid w:val="000D6B5F"/>
    <w:rsid w:val="000D6B90"/>
    <w:rsid w:val="000D6BA6"/>
    <w:rsid w:val="000D6BA9"/>
    <w:rsid w:val="000D6BB3"/>
    <w:rsid w:val="000D6BC8"/>
    <w:rsid w:val="000D6BCC"/>
    <w:rsid w:val="000D6BCF"/>
    <w:rsid w:val="000D6C28"/>
    <w:rsid w:val="000D6C55"/>
    <w:rsid w:val="000D6CCA"/>
    <w:rsid w:val="000D6D22"/>
    <w:rsid w:val="000D6D4D"/>
    <w:rsid w:val="000D6D6F"/>
    <w:rsid w:val="000D6D9D"/>
    <w:rsid w:val="000D6E27"/>
    <w:rsid w:val="000D6EA2"/>
    <w:rsid w:val="000D6EB5"/>
    <w:rsid w:val="000D6ED4"/>
    <w:rsid w:val="000D6F56"/>
    <w:rsid w:val="000D6F70"/>
    <w:rsid w:val="000D6FCF"/>
    <w:rsid w:val="000D7045"/>
    <w:rsid w:val="000D7046"/>
    <w:rsid w:val="000D704E"/>
    <w:rsid w:val="000D7067"/>
    <w:rsid w:val="000D7112"/>
    <w:rsid w:val="000D7158"/>
    <w:rsid w:val="000D71D9"/>
    <w:rsid w:val="000D7203"/>
    <w:rsid w:val="000D7236"/>
    <w:rsid w:val="000D723F"/>
    <w:rsid w:val="000D7246"/>
    <w:rsid w:val="000D72CA"/>
    <w:rsid w:val="000D733B"/>
    <w:rsid w:val="000D7370"/>
    <w:rsid w:val="000D73D1"/>
    <w:rsid w:val="000D7457"/>
    <w:rsid w:val="000D753A"/>
    <w:rsid w:val="000D756D"/>
    <w:rsid w:val="000D75F3"/>
    <w:rsid w:val="000D7618"/>
    <w:rsid w:val="000D7619"/>
    <w:rsid w:val="000D76CE"/>
    <w:rsid w:val="000D7736"/>
    <w:rsid w:val="000D7790"/>
    <w:rsid w:val="000D77B7"/>
    <w:rsid w:val="000D77CE"/>
    <w:rsid w:val="000D77D7"/>
    <w:rsid w:val="000D77ED"/>
    <w:rsid w:val="000D7809"/>
    <w:rsid w:val="000D7865"/>
    <w:rsid w:val="000D7895"/>
    <w:rsid w:val="000D790C"/>
    <w:rsid w:val="000D792A"/>
    <w:rsid w:val="000D794B"/>
    <w:rsid w:val="000D796E"/>
    <w:rsid w:val="000D7982"/>
    <w:rsid w:val="000D79FB"/>
    <w:rsid w:val="000D7A40"/>
    <w:rsid w:val="000D7A49"/>
    <w:rsid w:val="000D7A52"/>
    <w:rsid w:val="000D7A5C"/>
    <w:rsid w:val="000D7A72"/>
    <w:rsid w:val="000D7B37"/>
    <w:rsid w:val="000D7B42"/>
    <w:rsid w:val="000D7B62"/>
    <w:rsid w:val="000D7B96"/>
    <w:rsid w:val="000D7C5D"/>
    <w:rsid w:val="000D7CA3"/>
    <w:rsid w:val="000D7CAA"/>
    <w:rsid w:val="000D7CAE"/>
    <w:rsid w:val="000D7D90"/>
    <w:rsid w:val="000D7DD2"/>
    <w:rsid w:val="000D7DED"/>
    <w:rsid w:val="000D7E47"/>
    <w:rsid w:val="000D7E68"/>
    <w:rsid w:val="000D7EA2"/>
    <w:rsid w:val="000D7EB0"/>
    <w:rsid w:val="000D7EB5"/>
    <w:rsid w:val="000D7EC6"/>
    <w:rsid w:val="000D7F2A"/>
    <w:rsid w:val="000D7F2C"/>
    <w:rsid w:val="000D7F4B"/>
    <w:rsid w:val="000D7F6C"/>
    <w:rsid w:val="000D7FA9"/>
    <w:rsid w:val="000D7FFA"/>
    <w:rsid w:val="000E000A"/>
    <w:rsid w:val="000E002C"/>
    <w:rsid w:val="000E00A3"/>
    <w:rsid w:val="000E00D2"/>
    <w:rsid w:val="000E00E5"/>
    <w:rsid w:val="000E0149"/>
    <w:rsid w:val="000E0161"/>
    <w:rsid w:val="000E018E"/>
    <w:rsid w:val="000E01E7"/>
    <w:rsid w:val="000E0214"/>
    <w:rsid w:val="000E0231"/>
    <w:rsid w:val="000E0263"/>
    <w:rsid w:val="000E02B5"/>
    <w:rsid w:val="000E0377"/>
    <w:rsid w:val="000E03E2"/>
    <w:rsid w:val="000E0442"/>
    <w:rsid w:val="000E047D"/>
    <w:rsid w:val="000E0496"/>
    <w:rsid w:val="000E04D8"/>
    <w:rsid w:val="000E053C"/>
    <w:rsid w:val="000E054D"/>
    <w:rsid w:val="000E0551"/>
    <w:rsid w:val="000E0552"/>
    <w:rsid w:val="000E0563"/>
    <w:rsid w:val="000E05D2"/>
    <w:rsid w:val="000E0621"/>
    <w:rsid w:val="000E062F"/>
    <w:rsid w:val="000E0630"/>
    <w:rsid w:val="000E0637"/>
    <w:rsid w:val="000E063A"/>
    <w:rsid w:val="000E063D"/>
    <w:rsid w:val="000E0650"/>
    <w:rsid w:val="000E0655"/>
    <w:rsid w:val="000E0666"/>
    <w:rsid w:val="000E067F"/>
    <w:rsid w:val="000E0690"/>
    <w:rsid w:val="000E06DA"/>
    <w:rsid w:val="000E06E2"/>
    <w:rsid w:val="000E071B"/>
    <w:rsid w:val="000E083D"/>
    <w:rsid w:val="000E0856"/>
    <w:rsid w:val="000E0894"/>
    <w:rsid w:val="000E0899"/>
    <w:rsid w:val="000E0912"/>
    <w:rsid w:val="000E092D"/>
    <w:rsid w:val="000E09A7"/>
    <w:rsid w:val="000E09BA"/>
    <w:rsid w:val="000E09C4"/>
    <w:rsid w:val="000E09D7"/>
    <w:rsid w:val="000E0A35"/>
    <w:rsid w:val="000E0A67"/>
    <w:rsid w:val="000E0A9C"/>
    <w:rsid w:val="000E0AA8"/>
    <w:rsid w:val="000E0AAC"/>
    <w:rsid w:val="000E0AC7"/>
    <w:rsid w:val="000E0AE0"/>
    <w:rsid w:val="000E0AF1"/>
    <w:rsid w:val="000E0B69"/>
    <w:rsid w:val="000E0B74"/>
    <w:rsid w:val="000E0B8F"/>
    <w:rsid w:val="000E0BBF"/>
    <w:rsid w:val="000E0BFB"/>
    <w:rsid w:val="000E0C17"/>
    <w:rsid w:val="000E0C3D"/>
    <w:rsid w:val="000E0C52"/>
    <w:rsid w:val="000E0C69"/>
    <w:rsid w:val="000E0CAB"/>
    <w:rsid w:val="000E0CCA"/>
    <w:rsid w:val="000E0CF0"/>
    <w:rsid w:val="000E0D16"/>
    <w:rsid w:val="000E0D29"/>
    <w:rsid w:val="000E0D73"/>
    <w:rsid w:val="000E0D75"/>
    <w:rsid w:val="000E0D85"/>
    <w:rsid w:val="000E0DB9"/>
    <w:rsid w:val="000E0E4D"/>
    <w:rsid w:val="000E0E9E"/>
    <w:rsid w:val="000E0F23"/>
    <w:rsid w:val="000E0F63"/>
    <w:rsid w:val="000E0F92"/>
    <w:rsid w:val="000E0F9B"/>
    <w:rsid w:val="000E0FA2"/>
    <w:rsid w:val="000E0FAA"/>
    <w:rsid w:val="000E0FC4"/>
    <w:rsid w:val="000E0FDD"/>
    <w:rsid w:val="000E0FF6"/>
    <w:rsid w:val="000E104B"/>
    <w:rsid w:val="000E105D"/>
    <w:rsid w:val="000E106D"/>
    <w:rsid w:val="000E1080"/>
    <w:rsid w:val="000E1087"/>
    <w:rsid w:val="000E10B9"/>
    <w:rsid w:val="000E111C"/>
    <w:rsid w:val="000E1120"/>
    <w:rsid w:val="000E114E"/>
    <w:rsid w:val="000E1192"/>
    <w:rsid w:val="000E1250"/>
    <w:rsid w:val="000E129A"/>
    <w:rsid w:val="000E129C"/>
    <w:rsid w:val="000E129D"/>
    <w:rsid w:val="000E12E6"/>
    <w:rsid w:val="000E1302"/>
    <w:rsid w:val="000E130B"/>
    <w:rsid w:val="000E13A0"/>
    <w:rsid w:val="000E13B8"/>
    <w:rsid w:val="000E13DC"/>
    <w:rsid w:val="000E1409"/>
    <w:rsid w:val="000E141F"/>
    <w:rsid w:val="000E1437"/>
    <w:rsid w:val="000E1442"/>
    <w:rsid w:val="000E147E"/>
    <w:rsid w:val="000E14EC"/>
    <w:rsid w:val="000E14FB"/>
    <w:rsid w:val="000E14FF"/>
    <w:rsid w:val="000E15A0"/>
    <w:rsid w:val="000E15BF"/>
    <w:rsid w:val="000E1668"/>
    <w:rsid w:val="000E168E"/>
    <w:rsid w:val="000E1692"/>
    <w:rsid w:val="000E16A7"/>
    <w:rsid w:val="000E16FD"/>
    <w:rsid w:val="000E174A"/>
    <w:rsid w:val="000E178C"/>
    <w:rsid w:val="000E178E"/>
    <w:rsid w:val="000E17C2"/>
    <w:rsid w:val="000E17D9"/>
    <w:rsid w:val="000E186A"/>
    <w:rsid w:val="000E1872"/>
    <w:rsid w:val="000E18D8"/>
    <w:rsid w:val="000E190D"/>
    <w:rsid w:val="000E1926"/>
    <w:rsid w:val="000E195E"/>
    <w:rsid w:val="000E1961"/>
    <w:rsid w:val="000E197D"/>
    <w:rsid w:val="000E19AE"/>
    <w:rsid w:val="000E19D9"/>
    <w:rsid w:val="000E1A21"/>
    <w:rsid w:val="000E1A49"/>
    <w:rsid w:val="000E1A4D"/>
    <w:rsid w:val="000E1AA1"/>
    <w:rsid w:val="000E1AE7"/>
    <w:rsid w:val="000E1AEE"/>
    <w:rsid w:val="000E1B05"/>
    <w:rsid w:val="000E1B3B"/>
    <w:rsid w:val="000E1B7F"/>
    <w:rsid w:val="000E1B8C"/>
    <w:rsid w:val="000E1BED"/>
    <w:rsid w:val="000E1C11"/>
    <w:rsid w:val="000E1C19"/>
    <w:rsid w:val="000E1C6A"/>
    <w:rsid w:val="000E1C77"/>
    <w:rsid w:val="000E1C9B"/>
    <w:rsid w:val="000E1CC1"/>
    <w:rsid w:val="000E1CD1"/>
    <w:rsid w:val="000E1D0E"/>
    <w:rsid w:val="000E1D52"/>
    <w:rsid w:val="000E1D64"/>
    <w:rsid w:val="000E1E2E"/>
    <w:rsid w:val="000E1E6E"/>
    <w:rsid w:val="000E1EEE"/>
    <w:rsid w:val="000E1EFB"/>
    <w:rsid w:val="000E1F18"/>
    <w:rsid w:val="000E1F76"/>
    <w:rsid w:val="000E1F89"/>
    <w:rsid w:val="000E1F8D"/>
    <w:rsid w:val="000E1FC3"/>
    <w:rsid w:val="000E1FEB"/>
    <w:rsid w:val="000E1FEC"/>
    <w:rsid w:val="000E2001"/>
    <w:rsid w:val="000E203C"/>
    <w:rsid w:val="000E204C"/>
    <w:rsid w:val="000E20BA"/>
    <w:rsid w:val="000E20D2"/>
    <w:rsid w:val="000E20ED"/>
    <w:rsid w:val="000E2100"/>
    <w:rsid w:val="000E2106"/>
    <w:rsid w:val="000E214C"/>
    <w:rsid w:val="000E217F"/>
    <w:rsid w:val="000E219A"/>
    <w:rsid w:val="000E21C3"/>
    <w:rsid w:val="000E2262"/>
    <w:rsid w:val="000E2283"/>
    <w:rsid w:val="000E22CD"/>
    <w:rsid w:val="000E22CE"/>
    <w:rsid w:val="000E22F1"/>
    <w:rsid w:val="000E2318"/>
    <w:rsid w:val="000E2361"/>
    <w:rsid w:val="000E238C"/>
    <w:rsid w:val="000E23F4"/>
    <w:rsid w:val="000E2479"/>
    <w:rsid w:val="000E24B2"/>
    <w:rsid w:val="000E25AA"/>
    <w:rsid w:val="000E2699"/>
    <w:rsid w:val="000E26A9"/>
    <w:rsid w:val="000E26D4"/>
    <w:rsid w:val="000E2742"/>
    <w:rsid w:val="000E2763"/>
    <w:rsid w:val="000E2859"/>
    <w:rsid w:val="000E285C"/>
    <w:rsid w:val="000E28C2"/>
    <w:rsid w:val="000E28CA"/>
    <w:rsid w:val="000E28E1"/>
    <w:rsid w:val="000E2906"/>
    <w:rsid w:val="000E2925"/>
    <w:rsid w:val="000E29C2"/>
    <w:rsid w:val="000E2A13"/>
    <w:rsid w:val="000E2A4D"/>
    <w:rsid w:val="000E2A74"/>
    <w:rsid w:val="000E2AAC"/>
    <w:rsid w:val="000E2AD8"/>
    <w:rsid w:val="000E2B1B"/>
    <w:rsid w:val="000E2B28"/>
    <w:rsid w:val="000E2B7A"/>
    <w:rsid w:val="000E2BE5"/>
    <w:rsid w:val="000E2BF3"/>
    <w:rsid w:val="000E2BFB"/>
    <w:rsid w:val="000E2C35"/>
    <w:rsid w:val="000E2C4C"/>
    <w:rsid w:val="000E2D95"/>
    <w:rsid w:val="000E2DBC"/>
    <w:rsid w:val="000E2DC1"/>
    <w:rsid w:val="000E2E03"/>
    <w:rsid w:val="000E2E17"/>
    <w:rsid w:val="000E2E29"/>
    <w:rsid w:val="000E2E3B"/>
    <w:rsid w:val="000E2EB4"/>
    <w:rsid w:val="000E2EC3"/>
    <w:rsid w:val="000E2EF1"/>
    <w:rsid w:val="000E2F05"/>
    <w:rsid w:val="000E2F1D"/>
    <w:rsid w:val="000E2F48"/>
    <w:rsid w:val="000E2F7C"/>
    <w:rsid w:val="000E2FB2"/>
    <w:rsid w:val="000E2FF5"/>
    <w:rsid w:val="000E304C"/>
    <w:rsid w:val="000E30BA"/>
    <w:rsid w:val="000E30C8"/>
    <w:rsid w:val="000E30D6"/>
    <w:rsid w:val="000E31FD"/>
    <w:rsid w:val="000E3218"/>
    <w:rsid w:val="000E325B"/>
    <w:rsid w:val="000E328E"/>
    <w:rsid w:val="000E3326"/>
    <w:rsid w:val="000E333A"/>
    <w:rsid w:val="000E333F"/>
    <w:rsid w:val="000E33C0"/>
    <w:rsid w:val="000E33CA"/>
    <w:rsid w:val="000E33D7"/>
    <w:rsid w:val="000E33DF"/>
    <w:rsid w:val="000E34D8"/>
    <w:rsid w:val="000E34E1"/>
    <w:rsid w:val="000E3502"/>
    <w:rsid w:val="000E353F"/>
    <w:rsid w:val="000E3586"/>
    <w:rsid w:val="000E36DA"/>
    <w:rsid w:val="000E3763"/>
    <w:rsid w:val="000E3770"/>
    <w:rsid w:val="000E3774"/>
    <w:rsid w:val="000E37D3"/>
    <w:rsid w:val="000E383B"/>
    <w:rsid w:val="000E384E"/>
    <w:rsid w:val="000E3940"/>
    <w:rsid w:val="000E397B"/>
    <w:rsid w:val="000E3980"/>
    <w:rsid w:val="000E399B"/>
    <w:rsid w:val="000E3A34"/>
    <w:rsid w:val="000E3AA0"/>
    <w:rsid w:val="000E3AB1"/>
    <w:rsid w:val="000E3AB7"/>
    <w:rsid w:val="000E3AC2"/>
    <w:rsid w:val="000E3AD3"/>
    <w:rsid w:val="000E3B01"/>
    <w:rsid w:val="000E3B3C"/>
    <w:rsid w:val="000E3BFB"/>
    <w:rsid w:val="000E3CA1"/>
    <w:rsid w:val="000E3CD0"/>
    <w:rsid w:val="000E3D57"/>
    <w:rsid w:val="000E3D6F"/>
    <w:rsid w:val="000E3DC4"/>
    <w:rsid w:val="000E3E76"/>
    <w:rsid w:val="000E3E97"/>
    <w:rsid w:val="000E3F1D"/>
    <w:rsid w:val="000E3F49"/>
    <w:rsid w:val="000E3FF8"/>
    <w:rsid w:val="000E4012"/>
    <w:rsid w:val="000E4072"/>
    <w:rsid w:val="000E407D"/>
    <w:rsid w:val="000E407F"/>
    <w:rsid w:val="000E4088"/>
    <w:rsid w:val="000E4091"/>
    <w:rsid w:val="000E4092"/>
    <w:rsid w:val="000E4098"/>
    <w:rsid w:val="000E4114"/>
    <w:rsid w:val="000E4143"/>
    <w:rsid w:val="000E414D"/>
    <w:rsid w:val="000E4164"/>
    <w:rsid w:val="000E4168"/>
    <w:rsid w:val="000E41BC"/>
    <w:rsid w:val="000E421F"/>
    <w:rsid w:val="000E4252"/>
    <w:rsid w:val="000E4324"/>
    <w:rsid w:val="000E4334"/>
    <w:rsid w:val="000E435F"/>
    <w:rsid w:val="000E4362"/>
    <w:rsid w:val="000E43A1"/>
    <w:rsid w:val="000E43D9"/>
    <w:rsid w:val="000E43EA"/>
    <w:rsid w:val="000E43FF"/>
    <w:rsid w:val="000E4407"/>
    <w:rsid w:val="000E4486"/>
    <w:rsid w:val="000E44AC"/>
    <w:rsid w:val="000E44AE"/>
    <w:rsid w:val="000E4563"/>
    <w:rsid w:val="000E4571"/>
    <w:rsid w:val="000E4574"/>
    <w:rsid w:val="000E457A"/>
    <w:rsid w:val="000E458B"/>
    <w:rsid w:val="000E459E"/>
    <w:rsid w:val="000E45B9"/>
    <w:rsid w:val="000E45C4"/>
    <w:rsid w:val="000E45E6"/>
    <w:rsid w:val="000E45F9"/>
    <w:rsid w:val="000E460E"/>
    <w:rsid w:val="000E4622"/>
    <w:rsid w:val="000E462F"/>
    <w:rsid w:val="000E4689"/>
    <w:rsid w:val="000E47AB"/>
    <w:rsid w:val="000E47C5"/>
    <w:rsid w:val="000E47E2"/>
    <w:rsid w:val="000E4872"/>
    <w:rsid w:val="000E488C"/>
    <w:rsid w:val="000E488F"/>
    <w:rsid w:val="000E48A9"/>
    <w:rsid w:val="000E48C8"/>
    <w:rsid w:val="000E490F"/>
    <w:rsid w:val="000E493B"/>
    <w:rsid w:val="000E4955"/>
    <w:rsid w:val="000E49CC"/>
    <w:rsid w:val="000E49D0"/>
    <w:rsid w:val="000E49D8"/>
    <w:rsid w:val="000E49FC"/>
    <w:rsid w:val="000E4A13"/>
    <w:rsid w:val="000E4A40"/>
    <w:rsid w:val="000E4A4D"/>
    <w:rsid w:val="000E4AAC"/>
    <w:rsid w:val="000E4AD9"/>
    <w:rsid w:val="000E4ADE"/>
    <w:rsid w:val="000E4AE4"/>
    <w:rsid w:val="000E4B0F"/>
    <w:rsid w:val="000E4B1F"/>
    <w:rsid w:val="000E4B40"/>
    <w:rsid w:val="000E4B56"/>
    <w:rsid w:val="000E4C0D"/>
    <w:rsid w:val="000E4C22"/>
    <w:rsid w:val="000E4C23"/>
    <w:rsid w:val="000E4C49"/>
    <w:rsid w:val="000E4CD2"/>
    <w:rsid w:val="000E4CDE"/>
    <w:rsid w:val="000E4CEF"/>
    <w:rsid w:val="000E4CF3"/>
    <w:rsid w:val="000E4D41"/>
    <w:rsid w:val="000E4DA8"/>
    <w:rsid w:val="000E4DB6"/>
    <w:rsid w:val="000E4DFF"/>
    <w:rsid w:val="000E4E4B"/>
    <w:rsid w:val="000E4E5A"/>
    <w:rsid w:val="000E4E80"/>
    <w:rsid w:val="000E4EC6"/>
    <w:rsid w:val="000E4EE8"/>
    <w:rsid w:val="000E4F02"/>
    <w:rsid w:val="000E4F0C"/>
    <w:rsid w:val="000E4F65"/>
    <w:rsid w:val="000E4F88"/>
    <w:rsid w:val="000E4FAE"/>
    <w:rsid w:val="000E4FC0"/>
    <w:rsid w:val="000E4FCA"/>
    <w:rsid w:val="000E4FDC"/>
    <w:rsid w:val="000E5042"/>
    <w:rsid w:val="000E504F"/>
    <w:rsid w:val="000E5053"/>
    <w:rsid w:val="000E5074"/>
    <w:rsid w:val="000E50B2"/>
    <w:rsid w:val="000E50B3"/>
    <w:rsid w:val="000E50D3"/>
    <w:rsid w:val="000E50E3"/>
    <w:rsid w:val="000E50F8"/>
    <w:rsid w:val="000E50FA"/>
    <w:rsid w:val="000E5164"/>
    <w:rsid w:val="000E517D"/>
    <w:rsid w:val="000E5184"/>
    <w:rsid w:val="000E51C3"/>
    <w:rsid w:val="000E52DC"/>
    <w:rsid w:val="000E52ED"/>
    <w:rsid w:val="000E5333"/>
    <w:rsid w:val="000E5384"/>
    <w:rsid w:val="000E53E1"/>
    <w:rsid w:val="000E53E8"/>
    <w:rsid w:val="000E53E9"/>
    <w:rsid w:val="000E53F0"/>
    <w:rsid w:val="000E545D"/>
    <w:rsid w:val="000E552F"/>
    <w:rsid w:val="000E554E"/>
    <w:rsid w:val="000E555D"/>
    <w:rsid w:val="000E5568"/>
    <w:rsid w:val="000E5597"/>
    <w:rsid w:val="000E559C"/>
    <w:rsid w:val="000E55F0"/>
    <w:rsid w:val="000E563D"/>
    <w:rsid w:val="000E5672"/>
    <w:rsid w:val="000E56CE"/>
    <w:rsid w:val="000E5711"/>
    <w:rsid w:val="000E5815"/>
    <w:rsid w:val="000E5823"/>
    <w:rsid w:val="000E5829"/>
    <w:rsid w:val="000E5853"/>
    <w:rsid w:val="000E5854"/>
    <w:rsid w:val="000E585A"/>
    <w:rsid w:val="000E589D"/>
    <w:rsid w:val="000E58BA"/>
    <w:rsid w:val="000E58CF"/>
    <w:rsid w:val="000E58D3"/>
    <w:rsid w:val="000E594E"/>
    <w:rsid w:val="000E5958"/>
    <w:rsid w:val="000E599A"/>
    <w:rsid w:val="000E59A6"/>
    <w:rsid w:val="000E59B1"/>
    <w:rsid w:val="000E5A08"/>
    <w:rsid w:val="000E5AAA"/>
    <w:rsid w:val="000E5AC7"/>
    <w:rsid w:val="000E5AD4"/>
    <w:rsid w:val="000E5AE2"/>
    <w:rsid w:val="000E5B02"/>
    <w:rsid w:val="000E5B44"/>
    <w:rsid w:val="000E5B60"/>
    <w:rsid w:val="000E5B77"/>
    <w:rsid w:val="000E5B7C"/>
    <w:rsid w:val="000E5C0E"/>
    <w:rsid w:val="000E5C29"/>
    <w:rsid w:val="000E5CB7"/>
    <w:rsid w:val="000E5CCE"/>
    <w:rsid w:val="000E5CE3"/>
    <w:rsid w:val="000E5D17"/>
    <w:rsid w:val="000E5D76"/>
    <w:rsid w:val="000E5E1A"/>
    <w:rsid w:val="000E5E69"/>
    <w:rsid w:val="000E5ECE"/>
    <w:rsid w:val="000E5ED1"/>
    <w:rsid w:val="000E5F60"/>
    <w:rsid w:val="000E5F6C"/>
    <w:rsid w:val="000E5FC6"/>
    <w:rsid w:val="000E5FD1"/>
    <w:rsid w:val="000E5FDC"/>
    <w:rsid w:val="000E5FE6"/>
    <w:rsid w:val="000E5FE8"/>
    <w:rsid w:val="000E606C"/>
    <w:rsid w:val="000E60E4"/>
    <w:rsid w:val="000E6148"/>
    <w:rsid w:val="000E61FD"/>
    <w:rsid w:val="000E6218"/>
    <w:rsid w:val="000E6220"/>
    <w:rsid w:val="000E6275"/>
    <w:rsid w:val="000E6331"/>
    <w:rsid w:val="000E6349"/>
    <w:rsid w:val="000E6399"/>
    <w:rsid w:val="000E639F"/>
    <w:rsid w:val="000E63A1"/>
    <w:rsid w:val="000E63EC"/>
    <w:rsid w:val="000E6477"/>
    <w:rsid w:val="000E64A0"/>
    <w:rsid w:val="000E64AD"/>
    <w:rsid w:val="000E64D2"/>
    <w:rsid w:val="000E64D7"/>
    <w:rsid w:val="000E64E7"/>
    <w:rsid w:val="000E6534"/>
    <w:rsid w:val="000E654B"/>
    <w:rsid w:val="000E65A8"/>
    <w:rsid w:val="000E6644"/>
    <w:rsid w:val="000E668D"/>
    <w:rsid w:val="000E669E"/>
    <w:rsid w:val="000E66C3"/>
    <w:rsid w:val="000E6724"/>
    <w:rsid w:val="000E6740"/>
    <w:rsid w:val="000E6744"/>
    <w:rsid w:val="000E685C"/>
    <w:rsid w:val="000E6865"/>
    <w:rsid w:val="000E689B"/>
    <w:rsid w:val="000E68FE"/>
    <w:rsid w:val="000E6942"/>
    <w:rsid w:val="000E696B"/>
    <w:rsid w:val="000E6A17"/>
    <w:rsid w:val="000E6A4D"/>
    <w:rsid w:val="000E6A5B"/>
    <w:rsid w:val="000E6A62"/>
    <w:rsid w:val="000E6A68"/>
    <w:rsid w:val="000E6A90"/>
    <w:rsid w:val="000E6A9F"/>
    <w:rsid w:val="000E6ABF"/>
    <w:rsid w:val="000E6B13"/>
    <w:rsid w:val="000E6B2E"/>
    <w:rsid w:val="000E6B34"/>
    <w:rsid w:val="000E6BCA"/>
    <w:rsid w:val="000E6CEA"/>
    <w:rsid w:val="000E6D14"/>
    <w:rsid w:val="000E6DA8"/>
    <w:rsid w:val="000E6E47"/>
    <w:rsid w:val="000E6E50"/>
    <w:rsid w:val="000E6E67"/>
    <w:rsid w:val="000E6E77"/>
    <w:rsid w:val="000E6EC6"/>
    <w:rsid w:val="000E6EDD"/>
    <w:rsid w:val="000E6EFA"/>
    <w:rsid w:val="000E6F18"/>
    <w:rsid w:val="000E6F28"/>
    <w:rsid w:val="000E6F51"/>
    <w:rsid w:val="000E6F9A"/>
    <w:rsid w:val="000E6FCC"/>
    <w:rsid w:val="000E706C"/>
    <w:rsid w:val="000E7070"/>
    <w:rsid w:val="000E70A0"/>
    <w:rsid w:val="000E70B2"/>
    <w:rsid w:val="000E70CC"/>
    <w:rsid w:val="000E70DD"/>
    <w:rsid w:val="000E7123"/>
    <w:rsid w:val="000E715C"/>
    <w:rsid w:val="000E7163"/>
    <w:rsid w:val="000E7175"/>
    <w:rsid w:val="000E717E"/>
    <w:rsid w:val="000E721A"/>
    <w:rsid w:val="000E7229"/>
    <w:rsid w:val="000E722D"/>
    <w:rsid w:val="000E729B"/>
    <w:rsid w:val="000E72B4"/>
    <w:rsid w:val="000E72CB"/>
    <w:rsid w:val="000E72FF"/>
    <w:rsid w:val="000E7373"/>
    <w:rsid w:val="000E7399"/>
    <w:rsid w:val="000E739A"/>
    <w:rsid w:val="000E73A2"/>
    <w:rsid w:val="000E7402"/>
    <w:rsid w:val="000E743B"/>
    <w:rsid w:val="000E745B"/>
    <w:rsid w:val="000E745E"/>
    <w:rsid w:val="000E7478"/>
    <w:rsid w:val="000E74BA"/>
    <w:rsid w:val="000E7510"/>
    <w:rsid w:val="000E7513"/>
    <w:rsid w:val="000E7602"/>
    <w:rsid w:val="000E7614"/>
    <w:rsid w:val="000E7674"/>
    <w:rsid w:val="000E773D"/>
    <w:rsid w:val="000E77C8"/>
    <w:rsid w:val="000E77F7"/>
    <w:rsid w:val="000E7819"/>
    <w:rsid w:val="000E78D5"/>
    <w:rsid w:val="000E7901"/>
    <w:rsid w:val="000E794F"/>
    <w:rsid w:val="000E7964"/>
    <w:rsid w:val="000E7975"/>
    <w:rsid w:val="000E798A"/>
    <w:rsid w:val="000E79B5"/>
    <w:rsid w:val="000E7A12"/>
    <w:rsid w:val="000E7AA2"/>
    <w:rsid w:val="000E7AB6"/>
    <w:rsid w:val="000E7B14"/>
    <w:rsid w:val="000E7B1B"/>
    <w:rsid w:val="000E7B21"/>
    <w:rsid w:val="000E7B87"/>
    <w:rsid w:val="000E7BC4"/>
    <w:rsid w:val="000E7C05"/>
    <w:rsid w:val="000E7C17"/>
    <w:rsid w:val="000E7C5B"/>
    <w:rsid w:val="000E7C88"/>
    <w:rsid w:val="000E7C92"/>
    <w:rsid w:val="000E7CAC"/>
    <w:rsid w:val="000E7D05"/>
    <w:rsid w:val="000E7D16"/>
    <w:rsid w:val="000E7E14"/>
    <w:rsid w:val="000E7E51"/>
    <w:rsid w:val="000E7E52"/>
    <w:rsid w:val="000E7E7B"/>
    <w:rsid w:val="000E7E8F"/>
    <w:rsid w:val="000E7EAC"/>
    <w:rsid w:val="000E7EC0"/>
    <w:rsid w:val="000E7ECF"/>
    <w:rsid w:val="000E7F6E"/>
    <w:rsid w:val="000F005C"/>
    <w:rsid w:val="000F007B"/>
    <w:rsid w:val="000F009C"/>
    <w:rsid w:val="000F00F4"/>
    <w:rsid w:val="000F010B"/>
    <w:rsid w:val="000F0122"/>
    <w:rsid w:val="000F01A9"/>
    <w:rsid w:val="000F01ED"/>
    <w:rsid w:val="000F0209"/>
    <w:rsid w:val="000F020B"/>
    <w:rsid w:val="000F0224"/>
    <w:rsid w:val="000F0225"/>
    <w:rsid w:val="000F024C"/>
    <w:rsid w:val="000F0253"/>
    <w:rsid w:val="000F0255"/>
    <w:rsid w:val="000F02F7"/>
    <w:rsid w:val="000F0332"/>
    <w:rsid w:val="000F034A"/>
    <w:rsid w:val="000F035A"/>
    <w:rsid w:val="000F03A1"/>
    <w:rsid w:val="000F03C0"/>
    <w:rsid w:val="000F042C"/>
    <w:rsid w:val="000F0445"/>
    <w:rsid w:val="000F048A"/>
    <w:rsid w:val="000F04C7"/>
    <w:rsid w:val="000F04E9"/>
    <w:rsid w:val="000F04F7"/>
    <w:rsid w:val="000F050C"/>
    <w:rsid w:val="000F054A"/>
    <w:rsid w:val="000F061A"/>
    <w:rsid w:val="000F06E2"/>
    <w:rsid w:val="000F0745"/>
    <w:rsid w:val="000F0798"/>
    <w:rsid w:val="000F07A3"/>
    <w:rsid w:val="000F07B6"/>
    <w:rsid w:val="000F07FF"/>
    <w:rsid w:val="000F083A"/>
    <w:rsid w:val="000F0864"/>
    <w:rsid w:val="000F087D"/>
    <w:rsid w:val="000F08AE"/>
    <w:rsid w:val="000F08D7"/>
    <w:rsid w:val="000F090F"/>
    <w:rsid w:val="000F0947"/>
    <w:rsid w:val="000F0949"/>
    <w:rsid w:val="000F096A"/>
    <w:rsid w:val="000F097B"/>
    <w:rsid w:val="000F0989"/>
    <w:rsid w:val="000F09B4"/>
    <w:rsid w:val="000F09E6"/>
    <w:rsid w:val="000F0A1F"/>
    <w:rsid w:val="000F0ABA"/>
    <w:rsid w:val="000F0AED"/>
    <w:rsid w:val="000F0B29"/>
    <w:rsid w:val="000F0B2C"/>
    <w:rsid w:val="000F0B32"/>
    <w:rsid w:val="000F0B42"/>
    <w:rsid w:val="000F0B5A"/>
    <w:rsid w:val="000F0B93"/>
    <w:rsid w:val="000F0B9D"/>
    <w:rsid w:val="000F0BB4"/>
    <w:rsid w:val="000F0C12"/>
    <w:rsid w:val="000F0C38"/>
    <w:rsid w:val="000F0C3E"/>
    <w:rsid w:val="000F0CD2"/>
    <w:rsid w:val="000F0D0D"/>
    <w:rsid w:val="000F0D58"/>
    <w:rsid w:val="000F0DAB"/>
    <w:rsid w:val="000F0E16"/>
    <w:rsid w:val="000F0E32"/>
    <w:rsid w:val="000F0EBA"/>
    <w:rsid w:val="000F0EC9"/>
    <w:rsid w:val="000F0ED1"/>
    <w:rsid w:val="000F0EFD"/>
    <w:rsid w:val="000F0F3E"/>
    <w:rsid w:val="000F0F43"/>
    <w:rsid w:val="000F0F8B"/>
    <w:rsid w:val="000F0FD1"/>
    <w:rsid w:val="000F0FE2"/>
    <w:rsid w:val="000F106C"/>
    <w:rsid w:val="000F107E"/>
    <w:rsid w:val="000F1094"/>
    <w:rsid w:val="000F10D7"/>
    <w:rsid w:val="000F1148"/>
    <w:rsid w:val="000F11B7"/>
    <w:rsid w:val="000F1239"/>
    <w:rsid w:val="000F1252"/>
    <w:rsid w:val="000F129D"/>
    <w:rsid w:val="000F12A5"/>
    <w:rsid w:val="000F12C7"/>
    <w:rsid w:val="000F12CC"/>
    <w:rsid w:val="000F12FF"/>
    <w:rsid w:val="000F1431"/>
    <w:rsid w:val="000F1435"/>
    <w:rsid w:val="000F1464"/>
    <w:rsid w:val="000F1471"/>
    <w:rsid w:val="000F155A"/>
    <w:rsid w:val="000F162F"/>
    <w:rsid w:val="000F1642"/>
    <w:rsid w:val="000F16F6"/>
    <w:rsid w:val="000F1751"/>
    <w:rsid w:val="000F1772"/>
    <w:rsid w:val="000F178C"/>
    <w:rsid w:val="000F17D6"/>
    <w:rsid w:val="000F184D"/>
    <w:rsid w:val="000F1854"/>
    <w:rsid w:val="000F185D"/>
    <w:rsid w:val="000F18BD"/>
    <w:rsid w:val="000F18DD"/>
    <w:rsid w:val="000F1911"/>
    <w:rsid w:val="000F1941"/>
    <w:rsid w:val="000F1973"/>
    <w:rsid w:val="000F1992"/>
    <w:rsid w:val="000F1996"/>
    <w:rsid w:val="000F19A9"/>
    <w:rsid w:val="000F1A15"/>
    <w:rsid w:val="000F1A23"/>
    <w:rsid w:val="000F1A3D"/>
    <w:rsid w:val="000F1A42"/>
    <w:rsid w:val="000F1ABC"/>
    <w:rsid w:val="000F1AF3"/>
    <w:rsid w:val="000F1B5B"/>
    <w:rsid w:val="000F1B66"/>
    <w:rsid w:val="000F1BE2"/>
    <w:rsid w:val="000F1C49"/>
    <w:rsid w:val="000F1C6E"/>
    <w:rsid w:val="000F1C8D"/>
    <w:rsid w:val="000F1CC3"/>
    <w:rsid w:val="000F1CDA"/>
    <w:rsid w:val="000F1CF8"/>
    <w:rsid w:val="000F1CFC"/>
    <w:rsid w:val="000F1D17"/>
    <w:rsid w:val="000F1D5B"/>
    <w:rsid w:val="000F1D5E"/>
    <w:rsid w:val="000F1D6C"/>
    <w:rsid w:val="000F1D7A"/>
    <w:rsid w:val="000F1DB1"/>
    <w:rsid w:val="000F1DB8"/>
    <w:rsid w:val="000F1DCA"/>
    <w:rsid w:val="000F1DDF"/>
    <w:rsid w:val="000F1DF3"/>
    <w:rsid w:val="000F1E47"/>
    <w:rsid w:val="000F1E53"/>
    <w:rsid w:val="000F1E6A"/>
    <w:rsid w:val="000F1EA3"/>
    <w:rsid w:val="000F1F01"/>
    <w:rsid w:val="000F1F18"/>
    <w:rsid w:val="000F1F64"/>
    <w:rsid w:val="000F1FA9"/>
    <w:rsid w:val="000F1FB9"/>
    <w:rsid w:val="000F214D"/>
    <w:rsid w:val="000F21CD"/>
    <w:rsid w:val="000F2207"/>
    <w:rsid w:val="000F2281"/>
    <w:rsid w:val="000F2294"/>
    <w:rsid w:val="000F22BD"/>
    <w:rsid w:val="000F22CC"/>
    <w:rsid w:val="000F2302"/>
    <w:rsid w:val="000F2352"/>
    <w:rsid w:val="000F2380"/>
    <w:rsid w:val="000F238C"/>
    <w:rsid w:val="000F23D8"/>
    <w:rsid w:val="000F23E5"/>
    <w:rsid w:val="000F2495"/>
    <w:rsid w:val="000F24B2"/>
    <w:rsid w:val="000F24F8"/>
    <w:rsid w:val="000F2548"/>
    <w:rsid w:val="000F2617"/>
    <w:rsid w:val="000F2653"/>
    <w:rsid w:val="000F265C"/>
    <w:rsid w:val="000F2668"/>
    <w:rsid w:val="000F268D"/>
    <w:rsid w:val="000F26BB"/>
    <w:rsid w:val="000F26BD"/>
    <w:rsid w:val="000F2772"/>
    <w:rsid w:val="000F27D1"/>
    <w:rsid w:val="000F27D8"/>
    <w:rsid w:val="000F280B"/>
    <w:rsid w:val="000F2923"/>
    <w:rsid w:val="000F2930"/>
    <w:rsid w:val="000F294D"/>
    <w:rsid w:val="000F2971"/>
    <w:rsid w:val="000F29D8"/>
    <w:rsid w:val="000F29E7"/>
    <w:rsid w:val="000F2A38"/>
    <w:rsid w:val="000F2ACA"/>
    <w:rsid w:val="000F2AE2"/>
    <w:rsid w:val="000F2B2C"/>
    <w:rsid w:val="000F2B52"/>
    <w:rsid w:val="000F2B90"/>
    <w:rsid w:val="000F2C11"/>
    <w:rsid w:val="000F2C15"/>
    <w:rsid w:val="000F2C26"/>
    <w:rsid w:val="000F2C52"/>
    <w:rsid w:val="000F2C63"/>
    <w:rsid w:val="000F2CB1"/>
    <w:rsid w:val="000F2CCE"/>
    <w:rsid w:val="000F2D82"/>
    <w:rsid w:val="000F2D98"/>
    <w:rsid w:val="000F2DFA"/>
    <w:rsid w:val="000F2E7D"/>
    <w:rsid w:val="000F2E82"/>
    <w:rsid w:val="000F2EE6"/>
    <w:rsid w:val="000F2F38"/>
    <w:rsid w:val="000F2F46"/>
    <w:rsid w:val="000F2F5F"/>
    <w:rsid w:val="000F2FDF"/>
    <w:rsid w:val="000F2FE7"/>
    <w:rsid w:val="000F3008"/>
    <w:rsid w:val="000F301A"/>
    <w:rsid w:val="000F3088"/>
    <w:rsid w:val="000F3093"/>
    <w:rsid w:val="000F30B6"/>
    <w:rsid w:val="000F30BC"/>
    <w:rsid w:val="000F30F6"/>
    <w:rsid w:val="000F3185"/>
    <w:rsid w:val="000F31B3"/>
    <w:rsid w:val="000F31EE"/>
    <w:rsid w:val="000F3225"/>
    <w:rsid w:val="000F323F"/>
    <w:rsid w:val="000F3268"/>
    <w:rsid w:val="000F327E"/>
    <w:rsid w:val="000F3294"/>
    <w:rsid w:val="000F32BE"/>
    <w:rsid w:val="000F32C1"/>
    <w:rsid w:val="000F334D"/>
    <w:rsid w:val="000F334F"/>
    <w:rsid w:val="000F3368"/>
    <w:rsid w:val="000F3369"/>
    <w:rsid w:val="000F337C"/>
    <w:rsid w:val="000F3383"/>
    <w:rsid w:val="000F33BC"/>
    <w:rsid w:val="000F33E5"/>
    <w:rsid w:val="000F342D"/>
    <w:rsid w:val="000F3452"/>
    <w:rsid w:val="000F346D"/>
    <w:rsid w:val="000F34EB"/>
    <w:rsid w:val="000F3518"/>
    <w:rsid w:val="000F35C1"/>
    <w:rsid w:val="000F35EE"/>
    <w:rsid w:val="000F3640"/>
    <w:rsid w:val="000F3642"/>
    <w:rsid w:val="000F364F"/>
    <w:rsid w:val="000F3667"/>
    <w:rsid w:val="000F3678"/>
    <w:rsid w:val="000F368D"/>
    <w:rsid w:val="000F368F"/>
    <w:rsid w:val="000F36BA"/>
    <w:rsid w:val="000F36E6"/>
    <w:rsid w:val="000F372C"/>
    <w:rsid w:val="000F3730"/>
    <w:rsid w:val="000F3790"/>
    <w:rsid w:val="000F37A8"/>
    <w:rsid w:val="000F37BB"/>
    <w:rsid w:val="000F37E1"/>
    <w:rsid w:val="000F37E3"/>
    <w:rsid w:val="000F3825"/>
    <w:rsid w:val="000F382A"/>
    <w:rsid w:val="000F38CA"/>
    <w:rsid w:val="000F38D2"/>
    <w:rsid w:val="000F3965"/>
    <w:rsid w:val="000F3993"/>
    <w:rsid w:val="000F39B3"/>
    <w:rsid w:val="000F39C0"/>
    <w:rsid w:val="000F39CD"/>
    <w:rsid w:val="000F39D3"/>
    <w:rsid w:val="000F3A25"/>
    <w:rsid w:val="000F3A41"/>
    <w:rsid w:val="000F3A5C"/>
    <w:rsid w:val="000F3B47"/>
    <w:rsid w:val="000F3B55"/>
    <w:rsid w:val="000F3B78"/>
    <w:rsid w:val="000F3BEB"/>
    <w:rsid w:val="000F3C01"/>
    <w:rsid w:val="000F3C02"/>
    <w:rsid w:val="000F3C3A"/>
    <w:rsid w:val="000F3C47"/>
    <w:rsid w:val="000F3C87"/>
    <w:rsid w:val="000F3C90"/>
    <w:rsid w:val="000F3CAD"/>
    <w:rsid w:val="000F3CC1"/>
    <w:rsid w:val="000F3CE3"/>
    <w:rsid w:val="000F3CE6"/>
    <w:rsid w:val="000F3D2F"/>
    <w:rsid w:val="000F3D65"/>
    <w:rsid w:val="000F3D8F"/>
    <w:rsid w:val="000F3DA8"/>
    <w:rsid w:val="000F3DBE"/>
    <w:rsid w:val="000F3DBF"/>
    <w:rsid w:val="000F3E0E"/>
    <w:rsid w:val="000F3E1E"/>
    <w:rsid w:val="000F3E45"/>
    <w:rsid w:val="000F3EA1"/>
    <w:rsid w:val="000F3EB9"/>
    <w:rsid w:val="000F3EBE"/>
    <w:rsid w:val="000F3ED2"/>
    <w:rsid w:val="000F3FAC"/>
    <w:rsid w:val="000F3FC4"/>
    <w:rsid w:val="000F400C"/>
    <w:rsid w:val="000F407E"/>
    <w:rsid w:val="000F40CA"/>
    <w:rsid w:val="000F4107"/>
    <w:rsid w:val="000F410B"/>
    <w:rsid w:val="000F4118"/>
    <w:rsid w:val="000F4130"/>
    <w:rsid w:val="000F4137"/>
    <w:rsid w:val="000F417F"/>
    <w:rsid w:val="000F424E"/>
    <w:rsid w:val="000F42C2"/>
    <w:rsid w:val="000F42FF"/>
    <w:rsid w:val="000F431A"/>
    <w:rsid w:val="000F439F"/>
    <w:rsid w:val="000F43AA"/>
    <w:rsid w:val="000F4446"/>
    <w:rsid w:val="000F4465"/>
    <w:rsid w:val="000F4479"/>
    <w:rsid w:val="000F44AE"/>
    <w:rsid w:val="000F44BF"/>
    <w:rsid w:val="000F44ED"/>
    <w:rsid w:val="000F4509"/>
    <w:rsid w:val="000F4543"/>
    <w:rsid w:val="000F4593"/>
    <w:rsid w:val="000F462A"/>
    <w:rsid w:val="000F463B"/>
    <w:rsid w:val="000F46CB"/>
    <w:rsid w:val="000F4700"/>
    <w:rsid w:val="000F470F"/>
    <w:rsid w:val="000F4720"/>
    <w:rsid w:val="000F47B8"/>
    <w:rsid w:val="000F47EA"/>
    <w:rsid w:val="000F47F5"/>
    <w:rsid w:val="000F4827"/>
    <w:rsid w:val="000F483C"/>
    <w:rsid w:val="000F483D"/>
    <w:rsid w:val="000F484D"/>
    <w:rsid w:val="000F4862"/>
    <w:rsid w:val="000F486C"/>
    <w:rsid w:val="000F48A2"/>
    <w:rsid w:val="000F48FF"/>
    <w:rsid w:val="000F4903"/>
    <w:rsid w:val="000F491F"/>
    <w:rsid w:val="000F49D7"/>
    <w:rsid w:val="000F49EC"/>
    <w:rsid w:val="000F4A8A"/>
    <w:rsid w:val="000F4A93"/>
    <w:rsid w:val="000F4B43"/>
    <w:rsid w:val="000F4B69"/>
    <w:rsid w:val="000F4BCD"/>
    <w:rsid w:val="000F4C32"/>
    <w:rsid w:val="000F4C33"/>
    <w:rsid w:val="000F4C9D"/>
    <w:rsid w:val="000F4D11"/>
    <w:rsid w:val="000F4D2C"/>
    <w:rsid w:val="000F4D5E"/>
    <w:rsid w:val="000F4D65"/>
    <w:rsid w:val="000F4D7C"/>
    <w:rsid w:val="000F4DA9"/>
    <w:rsid w:val="000F4DB8"/>
    <w:rsid w:val="000F4E75"/>
    <w:rsid w:val="000F4E89"/>
    <w:rsid w:val="000F4E90"/>
    <w:rsid w:val="000F4F0A"/>
    <w:rsid w:val="000F4F27"/>
    <w:rsid w:val="000F4F3A"/>
    <w:rsid w:val="000F4F93"/>
    <w:rsid w:val="000F4FCC"/>
    <w:rsid w:val="000F4FD0"/>
    <w:rsid w:val="000F4FD3"/>
    <w:rsid w:val="000F501E"/>
    <w:rsid w:val="000F506A"/>
    <w:rsid w:val="000F5073"/>
    <w:rsid w:val="000F50F7"/>
    <w:rsid w:val="000F513A"/>
    <w:rsid w:val="000F5169"/>
    <w:rsid w:val="000F5191"/>
    <w:rsid w:val="000F5193"/>
    <w:rsid w:val="000F51F2"/>
    <w:rsid w:val="000F5212"/>
    <w:rsid w:val="000F527C"/>
    <w:rsid w:val="000F533E"/>
    <w:rsid w:val="000F534C"/>
    <w:rsid w:val="000F5355"/>
    <w:rsid w:val="000F535C"/>
    <w:rsid w:val="000F53C5"/>
    <w:rsid w:val="000F53DD"/>
    <w:rsid w:val="000F53F0"/>
    <w:rsid w:val="000F5409"/>
    <w:rsid w:val="000F5434"/>
    <w:rsid w:val="000F546C"/>
    <w:rsid w:val="000F546E"/>
    <w:rsid w:val="000F54AF"/>
    <w:rsid w:val="000F54BD"/>
    <w:rsid w:val="000F54DF"/>
    <w:rsid w:val="000F54F3"/>
    <w:rsid w:val="000F552A"/>
    <w:rsid w:val="000F5537"/>
    <w:rsid w:val="000F55A1"/>
    <w:rsid w:val="000F55C4"/>
    <w:rsid w:val="000F55E7"/>
    <w:rsid w:val="000F5619"/>
    <w:rsid w:val="000F565D"/>
    <w:rsid w:val="000F568E"/>
    <w:rsid w:val="000F569C"/>
    <w:rsid w:val="000F571F"/>
    <w:rsid w:val="000F5720"/>
    <w:rsid w:val="000F572D"/>
    <w:rsid w:val="000F5792"/>
    <w:rsid w:val="000F57BA"/>
    <w:rsid w:val="000F5813"/>
    <w:rsid w:val="000F5851"/>
    <w:rsid w:val="000F5856"/>
    <w:rsid w:val="000F5857"/>
    <w:rsid w:val="000F586E"/>
    <w:rsid w:val="000F58D5"/>
    <w:rsid w:val="000F5A28"/>
    <w:rsid w:val="000F5A2D"/>
    <w:rsid w:val="000F5A53"/>
    <w:rsid w:val="000F5AB1"/>
    <w:rsid w:val="000F5ADB"/>
    <w:rsid w:val="000F5B26"/>
    <w:rsid w:val="000F5B7E"/>
    <w:rsid w:val="000F5B9C"/>
    <w:rsid w:val="000F5BBB"/>
    <w:rsid w:val="000F5C22"/>
    <w:rsid w:val="000F5C8B"/>
    <w:rsid w:val="000F5CA1"/>
    <w:rsid w:val="000F5CA4"/>
    <w:rsid w:val="000F5CD3"/>
    <w:rsid w:val="000F5CF8"/>
    <w:rsid w:val="000F5D42"/>
    <w:rsid w:val="000F5D86"/>
    <w:rsid w:val="000F5DB8"/>
    <w:rsid w:val="000F5DC1"/>
    <w:rsid w:val="000F5DC2"/>
    <w:rsid w:val="000F5DFD"/>
    <w:rsid w:val="000F5E28"/>
    <w:rsid w:val="000F5E49"/>
    <w:rsid w:val="000F5E76"/>
    <w:rsid w:val="000F5E7D"/>
    <w:rsid w:val="000F5EB4"/>
    <w:rsid w:val="000F5EBB"/>
    <w:rsid w:val="000F5F6E"/>
    <w:rsid w:val="000F5F99"/>
    <w:rsid w:val="000F5F9A"/>
    <w:rsid w:val="000F5FAC"/>
    <w:rsid w:val="000F5FBC"/>
    <w:rsid w:val="000F5FF4"/>
    <w:rsid w:val="000F5FFB"/>
    <w:rsid w:val="000F6000"/>
    <w:rsid w:val="000F604A"/>
    <w:rsid w:val="000F607A"/>
    <w:rsid w:val="000F60AC"/>
    <w:rsid w:val="000F6116"/>
    <w:rsid w:val="000F612A"/>
    <w:rsid w:val="000F612B"/>
    <w:rsid w:val="000F612F"/>
    <w:rsid w:val="000F61A4"/>
    <w:rsid w:val="000F61BD"/>
    <w:rsid w:val="000F61D0"/>
    <w:rsid w:val="000F6201"/>
    <w:rsid w:val="000F6204"/>
    <w:rsid w:val="000F621F"/>
    <w:rsid w:val="000F6233"/>
    <w:rsid w:val="000F6247"/>
    <w:rsid w:val="000F62AF"/>
    <w:rsid w:val="000F62F2"/>
    <w:rsid w:val="000F6302"/>
    <w:rsid w:val="000F6304"/>
    <w:rsid w:val="000F6324"/>
    <w:rsid w:val="000F632C"/>
    <w:rsid w:val="000F6337"/>
    <w:rsid w:val="000F6384"/>
    <w:rsid w:val="000F6385"/>
    <w:rsid w:val="000F63CD"/>
    <w:rsid w:val="000F63D1"/>
    <w:rsid w:val="000F6437"/>
    <w:rsid w:val="000F6481"/>
    <w:rsid w:val="000F64E9"/>
    <w:rsid w:val="000F6534"/>
    <w:rsid w:val="000F65B3"/>
    <w:rsid w:val="000F65D2"/>
    <w:rsid w:val="000F65E5"/>
    <w:rsid w:val="000F663E"/>
    <w:rsid w:val="000F6680"/>
    <w:rsid w:val="000F6690"/>
    <w:rsid w:val="000F66D7"/>
    <w:rsid w:val="000F6769"/>
    <w:rsid w:val="000F678E"/>
    <w:rsid w:val="000F679B"/>
    <w:rsid w:val="000F679E"/>
    <w:rsid w:val="000F67AE"/>
    <w:rsid w:val="000F67E2"/>
    <w:rsid w:val="000F685A"/>
    <w:rsid w:val="000F6939"/>
    <w:rsid w:val="000F6969"/>
    <w:rsid w:val="000F69B3"/>
    <w:rsid w:val="000F69D3"/>
    <w:rsid w:val="000F6A0C"/>
    <w:rsid w:val="000F6A1C"/>
    <w:rsid w:val="000F6A53"/>
    <w:rsid w:val="000F6A80"/>
    <w:rsid w:val="000F6AB4"/>
    <w:rsid w:val="000F6ABA"/>
    <w:rsid w:val="000F6AC1"/>
    <w:rsid w:val="000F6B23"/>
    <w:rsid w:val="000F6B50"/>
    <w:rsid w:val="000F6C76"/>
    <w:rsid w:val="000F6C92"/>
    <w:rsid w:val="000F6C93"/>
    <w:rsid w:val="000F6CC9"/>
    <w:rsid w:val="000F6D89"/>
    <w:rsid w:val="000F6DCB"/>
    <w:rsid w:val="000F6E4C"/>
    <w:rsid w:val="000F6EB8"/>
    <w:rsid w:val="000F6EFB"/>
    <w:rsid w:val="000F6F21"/>
    <w:rsid w:val="000F6F2B"/>
    <w:rsid w:val="000F6F42"/>
    <w:rsid w:val="000F6F66"/>
    <w:rsid w:val="000F6F8B"/>
    <w:rsid w:val="000F7019"/>
    <w:rsid w:val="000F704D"/>
    <w:rsid w:val="000F708F"/>
    <w:rsid w:val="000F70E5"/>
    <w:rsid w:val="000F70F0"/>
    <w:rsid w:val="000F715A"/>
    <w:rsid w:val="000F7168"/>
    <w:rsid w:val="000F71D2"/>
    <w:rsid w:val="000F722C"/>
    <w:rsid w:val="000F724B"/>
    <w:rsid w:val="000F728E"/>
    <w:rsid w:val="000F7296"/>
    <w:rsid w:val="000F72AD"/>
    <w:rsid w:val="000F730B"/>
    <w:rsid w:val="000F7365"/>
    <w:rsid w:val="000F745D"/>
    <w:rsid w:val="000F7468"/>
    <w:rsid w:val="000F7475"/>
    <w:rsid w:val="000F7497"/>
    <w:rsid w:val="000F74A5"/>
    <w:rsid w:val="000F74B9"/>
    <w:rsid w:val="000F74CE"/>
    <w:rsid w:val="000F74D8"/>
    <w:rsid w:val="000F759B"/>
    <w:rsid w:val="000F75A4"/>
    <w:rsid w:val="000F75D2"/>
    <w:rsid w:val="000F75E9"/>
    <w:rsid w:val="000F7623"/>
    <w:rsid w:val="000F767A"/>
    <w:rsid w:val="000F7754"/>
    <w:rsid w:val="000F7792"/>
    <w:rsid w:val="000F77A6"/>
    <w:rsid w:val="000F77E3"/>
    <w:rsid w:val="000F7803"/>
    <w:rsid w:val="000F7819"/>
    <w:rsid w:val="000F7849"/>
    <w:rsid w:val="000F787F"/>
    <w:rsid w:val="000F788E"/>
    <w:rsid w:val="000F7897"/>
    <w:rsid w:val="000F78B0"/>
    <w:rsid w:val="000F7911"/>
    <w:rsid w:val="000F793D"/>
    <w:rsid w:val="000F7940"/>
    <w:rsid w:val="000F7950"/>
    <w:rsid w:val="000F795F"/>
    <w:rsid w:val="000F79F0"/>
    <w:rsid w:val="000F7AFB"/>
    <w:rsid w:val="000F7B81"/>
    <w:rsid w:val="000F7BC1"/>
    <w:rsid w:val="000F7C0E"/>
    <w:rsid w:val="000F7C26"/>
    <w:rsid w:val="000F7C46"/>
    <w:rsid w:val="000F7C73"/>
    <w:rsid w:val="000F7CA2"/>
    <w:rsid w:val="000F7CB7"/>
    <w:rsid w:val="000F7CDB"/>
    <w:rsid w:val="000F7CEA"/>
    <w:rsid w:val="000F7CF6"/>
    <w:rsid w:val="000F7CFF"/>
    <w:rsid w:val="000F7D06"/>
    <w:rsid w:val="000F7D3C"/>
    <w:rsid w:val="000F7D5C"/>
    <w:rsid w:val="000F7D9A"/>
    <w:rsid w:val="000F7DA5"/>
    <w:rsid w:val="000F7DCB"/>
    <w:rsid w:val="000F7E0A"/>
    <w:rsid w:val="000F7E15"/>
    <w:rsid w:val="000F7E5E"/>
    <w:rsid w:val="000F7E7D"/>
    <w:rsid w:val="000F7E97"/>
    <w:rsid w:val="000F7F0F"/>
    <w:rsid w:val="000F7F7E"/>
    <w:rsid w:val="00100034"/>
    <w:rsid w:val="001000C9"/>
    <w:rsid w:val="0010015A"/>
    <w:rsid w:val="00100173"/>
    <w:rsid w:val="001001AA"/>
    <w:rsid w:val="001001B2"/>
    <w:rsid w:val="001001BA"/>
    <w:rsid w:val="001001D1"/>
    <w:rsid w:val="001001DE"/>
    <w:rsid w:val="00100273"/>
    <w:rsid w:val="00100278"/>
    <w:rsid w:val="00100279"/>
    <w:rsid w:val="00100292"/>
    <w:rsid w:val="001002A3"/>
    <w:rsid w:val="00100310"/>
    <w:rsid w:val="0010031E"/>
    <w:rsid w:val="0010032A"/>
    <w:rsid w:val="001003AC"/>
    <w:rsid w:val="001003B4"/>
    <w:rsid w:val="001003CB"/>
    <w:rsid w:val="0010042F"/>
    <w:rsid w:val="00100431"/>
    <w:rsid w:val="0010045D"/>
    <w:rsid w:val="0010046F"/>
    <w:rsid w:val="00100479"/>
    <w:rsid w:val="001004A9"/>
    <w:rsid w:val="001004AF"/>
    <w:rsid w:val="0010051C"/>
    <w:rsid w:val="00100543"/>
    <w:rsid w:val="0010055B"/>
    <w:rsid w:val="0010056B"/>
    <w:rsid w:val="001005A9"/>
    <w:rsid w:val="001005EF"/>
    <w:rsid w:val="001006A0"/>
    <w:rsid w:val="001006DC"/>
    <w:rsid w:val="00100708"/>
    <w:rsid w:val="001007C5"/>
    <w:rsid w:val="00100812"/>
    <w:rsid w:val="001008BA"/>
    <w:rsid w:val="001008DF"/>
    <w:rsid w:val="001008FD"/>
    <w:rsid w:val="0010090A"/>
    <w:rsid w:val="00100938"/>
    <w:rsid w:val="00100943"/>
    <w:rsid w:val="0010095B"/>
    <w:rsid w:val="001009B4"/>
    <w:rsid w:val="001009CB"/>
    <w:rsid w:val="001009DE"/>
    <w:rsid w:val="001009FB"/>
    <w:rsid w:val="00100A31"/>
    <w:rsid w:val="00100A38"/>
    <w:rsid w:val="00100A57"/>
    <w:rsid w:val="00100A71"/>
    <w:rsid w:val="00100B47"/>
    <w:rsid w:val="00100B54"/>
    <w:rsid w:val="00100B5F"/>
    <w:rsid w:val="00100B6B"/>
    <w:rsid w:val="00100B92"/>
    <w:rsid w:val="00100B96"/>
    <w:rsid w:val="00100BAE"/>
    <w:rsid w:val="00100BD3"/>
    <w:rsid w:val="00100BD4"/>
    <w:rsid w:val="00100C1F"/>
    <w:rsid w:val="00100CA4"/>
    <w:rsid w:val="00100CCA"/>
    <w:rsid w:val="00100CD0"/>
    <w:rsid w:val="00100D0E"/>
    <w:rsid w:val="00100D70"/>
    <w:rsid w:val="00100DA8"/>
    <w:rsid w:val="00100DC4"/>
    <w:rsid w:val="00100DC7"/>
    <w:rsid w:val="00100E1C"/>
    <w:rsid w:val="00100E3C"/>
    <w:rsid w:val="00100E3F"/>
    <w:rsid w:val="00100E6E"/>
    <w:rsid w:val="00100EB8"/>
    <w:rsid w:val="00100EF9"/>
    <w:rsid w:val="0010108D"/>
    <w:rsid w:val="001010AD"/>
    <w:rsid w:val="001010CA"/>
    <w:rsid w:val="001010DA"/>
    <w:rsid w:val="001010FD"/>
    <w:rsid w:val="0010116C"/>
    <w:rsid w:val="00101228"/>
    <w:rsid w:val="00101260"/>
    <w:rsid w:val="00101276"/>
    <w:rsid w:val="001012BC"/>
    <w:rsid w:val="0010135B"/>
    <w:rsid w:val="00101383"/>
    <w:rsid w:val="001013AC"/>
    <w:rsid w:val="001013BD"/>
    <w:rsid w:val="001013E6"/>
    <w:rsid w:val="0010141A"/>
    <w:rsid w:val="001014EE"/>
    <w:rsid w:val="001014F2"/>
    <w:rsid w:val="0010151D"/>
    <w:rsid w:val="0010155D"/>
    <w:rsid w:val="001015F0"/>
    <w:rsid w:val="001015FA"/>
    <w:rsid w:val="001015FC"/>
    <w:rsid w:val="0010161D"/>
    <w:rsid w:val="0010162D"/>
    <w:rsid w:val="0010167B"/>
    <w:rsid w:val="001016AF"/>
    <w:rsid w:val="001016B9"/>
    <w:rsid w:val="001016CC"/>
    <w:rsid w:val="00101702"/>
    <w:rsid w:val="0010171B"/>
    <w:rsid w:val="00101741"/>
    <w:rsid w:val="00101770"/>
    <w:rsid w:val="001017B3"/>
    <w:rsid w:val="001017DD"/>
    <w:rsid w:val="00101805"/>
    <w:rsid w:val="0010187D"/>
    <w:rsid w:val="00101911"/>
    <w:rsid w:val="00101978"/>
    <w:rsid w:val="00101980"/>
    <w:rsid w:val="001019C2"/>
    <w:rsid w:val="001019C9"/>
    <w:rsid w:val="001019FE"/>
    <w:rsid w:val="00101A52"/>
    <w:rsid w:val="00101B1C"/>
    <w:rsid w:val="00101B48"/>
    <w:rsid w:val="00101B6A"/>
    <w:rsid w:val="00101B8B"/>
    <w:rsid w:val="00101B8E"/>
    <w:rsid w:val="00101B94"/>
    <w:rsid w:val="00101BA3"/>
    <w:rsid w:val="00101BD6"/>
    <w:rsid w:val="00101BFA"/>
    <w:rsid w:val="00101C00"/>
    <w:rsid w:val="00101C04"/>
    <w:rsid w:val="00101C46"/>
    <w:rsid w:val="00101CE6"/>
    <w:rsid w:val="00101CEE"/>
    <w:rsid w:val="00101D3B"/>
    <w:rsid w:val="00101D6B"/>
    <w:rsid w:val="00101DBD"/>
    <w:rsid w:val="00101DD1"/>
    <w:rsid w:val="00101E00"/>
    <w:rsid w:val="00101E45"/>
    <w:rsid w:val="00101E97"/>
    <w:rsid w:val="00101E98"/>
    <w:rsid w:val="00101EEB"/>
    <w:rsid w:val="00101F64"/>
    <w:rsid w:val="00101F66"/>
    <w:rsid w:val="00101FAA"/>
    <w:rsid w:val="00101FAB"/>
    <w:rsid w:val="0010206D"/>
    <w:rsid w:val="00102076"/>
    <w:rsid w:val="0010207D"/>
    <w:rsid w:val="001020A1"/>
    <w:rsid w:val="001020AC"/>
    <w:rsid w:val="001020BA"/>
    <w:rsid w:val="001020D6"/>
    <w:rsid w:val="001020E5"/>
    <w:rsid w:val="001020E7"/>
    <w:rsid w:val="00102131"/>
    <w:rsid w:val="001021DE"/>
    <w:rsid w:val="00102205"/>
    <w:rsid w:val="0010220A"/>
    <w:rsid w:val="00102235"/>
    <w:rsid w:val="00102276"/>
    <w:rsid w:val="001022C7"/>
    <w:rsid w:val="00102349"/>
    <w:rsid w:val="0010237C"/>
    <w:rsid w:val="001023A4"/>
    <w:rsid w:val="0010241D"/>
    <w:rsid w:val="00102453"/>
    <w:rsid w:val="0010245A"/>
    <w:rsid w:val="001024D9"/>
    <w:rsid w:val="001024E4"/>
    <w:rsid w:val="001024F7"/>
    <w:rsid w:val="001024F8"/>
    <w:rsid w:val="0010252F"/>
    <w:rsid w:val="0010254E"/>
    <w:rsid w:val="001025AC"/>
    <w:rsid w:val="001025E7"/>
    <w:rsid w:val="001025E9"/>
    <w:rsid w:val="00102629"/>
    <w:rsid w:val="0010264B"/>
    <w:rsid w:val="001026BF"/>
    <w:rsid w:val="001026D3"/>
    <w:rsid w:val="00102720"/>
    <w:rsid w:val="00102744"/>
    <w:rsid w:val="0010276D"/>
    <w:rsid w:val="00102773"/>
    <w:rsid w:val="0010279C"/>
    <w:rsid w:val="001027D0"/>
    <w:rsid w:val="0010281E"/>
    <w:rsid w:val="0010283A"/>
    <w:rsid w:val="0010284A"/>
    <w:rsid w:val="0010287D"/>
    <w:rsid w:val="001028A1"/>
    <w:rsid w:val="001028DB"/>
    <w:rsid w:val="00102976"/>
    <w:rsid w:val="0010298E"/>
    <w:rsid w:val="0010299C"/>
    <w:rsid w:val="001029A9"/>
    <w:rsid w:val="00102A0B"/>
    <w:rsid w:val="00102A33"/>
    <w:rsid w:val="00102A6D"/>
    <w:rsid w:val="00102A74"/>
    <w:rsid w:val="00102AF4"/>
    <w:rsid w:val="00102B0E"/>
    <w:rsid w:val="00102B32"/>
    <w:rsid w:val="00102B39"/>
    <w:rsid w:val="00102B5E"/>
    <w:rsid w:val="00102B97"/>
    <w:rsid w:val="00102BB7"/>
    <w:rsid w:val="00102BDB"/>
    <w:rsid w:val="00102BE4"/>
    <w:rsid w:val="00102BF2"/>
    <w:rsid w:val="00102C5C"/>
    <w:rsid w:val="00102C71"/>
    <w:rsid w:val="00102CB1"/>
    <w:rsid w:val="00102CCD"/>
    <w:rsid w:val="00102CF4"/>
    <w:rsid w:val="00102DCF"/>
    <w:rsid w:val="00102E09"/>
    <w:rsid w:val="00102E8C"/>
    <w:rsid w:val="00102EE9"/>
    <w:rsid w:val="00102F09"/>
    <w:rsid w:val="00102F13"/>
    <w:rsid w:val="00102F20"/>
    <w:rsid w:val="00102F31"/>
    <w:rsid w:val="00102F33"/>
    <w:rsid w:val="00102F50"/>
    <w:rsid w:val="00102FB1"/>
    <w:rsid w:val="001030A4"/>
    <w:rsid w:val="0010311A"/>
    <w:rsid w:val="00103127"/>
    <w:rsid w:val="0010313C"/>
    <w:rsid w:val="00103185"/>
    <w:rsid w:val="001031A6"/>
    <w:rsid w:val="001031B1"/>
    <w:rsid w:val="0010320B"/>
    <w:rsid w:val="0010320E"/>
    <w:rsid w:val="00103250"/>
    <w:rsid w:val="0010326E"/>
    <w:rsid w:val="00103297"/>
    <w:rsid w:val="00103310"/>
    <w:rsid w:val="00103317"/>
    <w:rsid w:val="00103333"/>
    <w:rsid w:val="0010343E"/>
    <w:rsid w:val="00103447"/>
    <w:rsid w:val="00103449"/>
    <w:rsid w:val="0010345E"/>
    <w:rsid w:val="001034A5"/>
    <w:rsid w:val="001034B3"/>
    <w:rsid w:val="001034B6"/>
    <w:rsid w:val="001034C4"/>
    <w:rsid w:val="001034CF"/>
    <w:rsid w:val="001034F8"/>
    <w:rsid w:val="0010355C"/>
    <w:rsid w:val="00103583"/>
    <w:rsid w:val="001035EF"/>
    <w:rsid w:val="001035FA"/>
    <w:rsid w:val="0010361D"/>
    <w:rsid w:val="00103621"/>
    <w:rsid w:val="0010362F"/>
    <w:rsid w:val="00103647"/>
    <w:rsid w:val="0010369B"/>
    <w:rsid w:val="001036DB"/>
    <w:rsid w:val="00103704"/>
    <w:rsid w:val="0010375F"/>
    <w:rsid w:val="001037B0"/>
    <w:rsid w:val="001037D1"/>
    <w:rsid w:val="001037D9"/>
    <w:rsid w:val="00103819"/>
    <w:rsid w:val="00103824"/>
    <w:rsid w:val="0010385E"/>
    <w:rsid w:val="0010388E"/>
    <w:rsid w:val="00103892"/>
    <w:rsid w:val="001038E1"/>
    <w:rsid w:val="00103918"/>
    <w:rsid w:val="001039B9"/>
    <w:rsid w:val="00103A0F"/>
    <w:rsid w:val="00103A85"/>
    <w:rsid w:val="00103A96"/>
    <w:rsid w:val="00103AB3"/>
    <w:rsid w:val="00103AD3"/>
    <w:rsid w:val="00103AD4"/>
    <w:rsid w:val="00103AE6"/>
    <w:rsid w:val="00103AEA"/>
    <w:rsid w:val="00103AFE"/>
    <w:rsid w:val="00103B69"/>
    <w:rsid w:val="00103BC7"/>
    <w:rsid w:val="00103BE1"/>
    <w:rsid w:val="00103BED"/>
    <w:rsid w:val="00103C43"/>
    <w:rsid w:val="00103C52"/>
    <w:rsid w:val="00103C60"/>
    <w:rsid w:val="00103C65"/>
    <w:rsid w:val="00103C6E"/>
    <w:rsid w:val="00103C75"/>
    <w:rsid w:val="00103C9F"/>
    <w:rsid w:val="00103CC8"/>
    <w:rsid w:val="00103CD5"/>
    <w:rsid w:val="00103D35"/>
    <w:rsid w:val="00103D3F"/>
    <w:rsid w:val="00103D48"/>
    <w:rsid w:val="00103D4C"/>
    <w:rsid w:val="00103DA9"/>
    <w:rsid w:val="00103DC1"/>
    <w:rsid w:val="00103DD1"/>
    <w:rsid w:val="00103E62"/>
    <w:rsid w:val="00103E92"/>
    <w:rsid w:val="00103EDA"/>
    <w:rsid w:val="00103EE9"/>
    <w:rsid w:val="00103F3C"/>
    <w:rsid w:val="00103F6A"/>
    <w:rsid w:val="00103FE8"/>
    <w:rsid w:val="00103FF1"/>
    <w:rsid w:val="00104038"/>
    <w:rsid w:val="00104044"/>
    <w:rsid w:val="00104090"/>
    <w:rsid w:val="001040BB"/>
    <w:rsid w:val="001040C7"/>
    <w:rsid w:val="001040CF"/>
    <w:rsid w:val="001040DB"/>
    <w:rsid w:val="001040EE"/>
    <w:rsid w:val="0010415B"/>
    <w:rsid w:val="0010415E"/>
    <w:rsid w:val="001041C0"/>
    <w:rsid w:val="001041CB"/>
    <w:rsid w:val="001041FB"/>
    <w:rsid w:val="00104208"/>
    <w:rsid w:val="00104273"/>
    <w:rsid w:val="001042C6"/>
    <w:rsid w:val="001042CF"/>
    <w:rsid w:val="001042EA"/>
    <w:rsid w:val="0010435D"/>
    <w:rsid w:val="00104472"/>
    <w:rsid w:val="001044DF"/>
    <w:rsid w:val="0010453C"/>
    <w:rsid w:val="00104664"/>
    <w:rsid w:val="001047B0"/>
    <w:rsid w:val="001047C7"/>
    <w:rsid w:val="001047DC"/>
    <w:rsid w:val="00104817"/>
    <w:rsid w:val="00104827"/>
    <w:rsid w:val="00104838"/>
    <w:rsid w:val="0010485B"/>
    <w:rsid w:val="00104879"/>
    <w:rsid w:val="00104916"/>
    <w:rsid w:val="0010498C"/>
    <w:rsid w:val="001049C4"/>
    <w:rsid w:val="001049E5"/>
    <w:rsid w:val="001049F0"/>
    <w:rsid w:val="001049F8"/>
    <w:rsid w:val="00104A35"/>
    <w:rsid w:val="00104A56"/>
    <w:rsid w:val="00104A95"/>
    <w:rsid w:val="00104A9C"/>
    <w:rsid w:val="00104BAC"/>
    <w:rsid w:val="00104BB6"/>
    <w:rsid w:val="00104BC1"/>
    <w:rsid w:val="00104BC6"/>
    <w:rsid w:val="00104BF5"/>
    <w:rsid w:val="00104C25"/>
    <w:rsid w:val="00104C41"/>
    <w:rsid w:val="00104C57"/>
    <w:rsid w:val="00104C88"/>
    <w:rsid w:val="00104C9C"/>
    <w:rsid w:val="00104CF4"/>
    <w:rsid w:val="00104CF6"/>
    <w:rsid w:val="00104D01"/>
    <w:rsid w:val="00104D12"/>
    <w:rsid w:val="00104D44"/>
    <w:rsid w:val="00104D49"/>
    <w:rsid w:val="00104D9C"/>
    <w:rsid w:val="00104DF3"/>
    <w:rsid w:val="00104E05"/>
    <w:rsid w:val="00104E11"/>
    <w:rsid w:val="00104E52"/>
    <w:rsid w:val="00104E97"/>
    <w:rsid w:val="00104EA2"/>
    <w:rsid w:val="00104EBC"/>
    <w:rsid w:val="00104EBF"/>
    <w:rsid w:val="00104F3B"/>
    <w:rsid w:val="00104F5D"/>
    <w:rsid w:val="00104F6C"/>
    <w:rsid w:val="00104FBE"/>
    <w:rsid w:val="00104FCF"/>
    <w:rsid w:val="00104FD1"/>
    <w:rsid w:val="00104FDA"/>
    <w:rsid w:val="0010501B"/>
    <w:rsid w:val="0010508E"/>
    <w:rsid w:val="001050BE"/>
    <w:rsid w:val="001050DC"/>
    <w:rsid w:val="001050EF"/>
    <w:rsid w:val="00105159"/>
    <w:rsid w:val="0010521F"/>
    <w:rsid w:val="0010523E"/>
    <w:rsid w:val="00105241"/>
    <w:rsid w:val="001052F2"/>
    <w:rsid w:val="0010538C"/>
    <w:rsid w:val="0010539E"/>
    <w:rsid w:val="001053A3"/>
    <w:rsid w:val="001053D4"/>
    <w:rsid w:val="001053DC"/>
    <w:rsid w:val="001053F9"/>
    <w:rsid w:val="00105453"/>
    <w:rsid w:val="001054D6"/>
    <w:rsid w:val="00105501"/>
    <w:rsid w:val="00105575"/>
    <w:rsid w:val="0010558A"/>
    <w:rsid w:val="0010559C"/>
    <w:rsid w:val="001055B0"/>
    <w:rsid w:val="001055F4"/>
    <w:rsid w:val="001055FA"/>
    <w:rsid w:val="00105634"/>
    <w:rsid w:val="00105637"/>
    <w:rsid w:val="00105648"/>
    <w:rsid w:val="00105667"/>
    <w:rsid w:val="001056AE"/>
    <w:rsid w:val="001057FD"/>
    <w:rsid w:val="00105802"/>
    <w:rsid w:val="00105832"/>
    <w:rsid w:val="00105838"/>
    <w:rsid w:val="00105944"/>
    <w:rsid w:val="0010594C"/>
    <w:rsid w:val="0010594F"/>
    <w:rsid w:val="00105964"/>
    <w:rsid w:val="001059A2"/>
    <w:rsid w:val="001059C9"/>
    <w:rsid w:val="001059CD"/>
    <w:rsid w:val="00105A58"/>
    <w:rsid w:val="00105ABD"/>
    <w:rsid w:val="00105AD5"/>
    <w:rsid w:val="00105B5D"/>
    <w:rsid w:val="00105BF3"/>
    <w:rsid w:val="00105C1C"/>
    <w:rsid w:val="00105C4F"/>
    <w:rsid w:val="00105C99"/>
    <w:rsid w:val="00105CEF"/>
    <w:rsid w:val="00105D05"/>
    <w:rsid w:val="00105D3A"/>
    <w:rsid w:val="00105D5C"/>
    <w:rsid w:val="00105D7B"/>
    <w:rsid w:val="00105D7C"/>
    <w:rsid w:val="00105D90"/>
    <w:rsid w:val="00105DF9"/>
    <w:rsid w:val="00105E69"/>
    <w:rsid w:val="00105E8B"/>
    <w:rsid w:val="00105E9F"/>
    <w:rsid w:val="00105EDA"/>
    <w:rsid w:val="00105F1F"/>
    <w:rsid w:val="00105F23"/>
    <w:rsid w:val="00105F69"/>
    <w:rsid w:val="00105F6B"/>
    <w:rsid w:val="00105F6C"/>
    <w:rsid w:val="00105F81"/>
    <w:rsid w:val="00105FA3"/>
    <w:rsid w:val="00105FB0"/>
    <w:rsid w:val="00105FC8"/>
    <w:rsid w:val="00105FED"/>
    <w:rsid w:val="00105FFA"/>
    <w:rsid w:val="00106050"/>
    <w:rsid w:val="00106080"/>
    <w:rsid w:val="00106084"/>
    <w:rsid w:val="001060AC"/>
    <w:rsid w:val="001060F7"/>
    <w:rsid w:val="00106119"/>
    <w:rsid w:val="0010612B"/>
    <w:rsid w:val="00106189"/>
    <w:rsid w:val="00106228"/>
    <w:rsid w:val="0010624A"/>
    <w:rsid w:val="0010629E"/>
    <w:rsid w:val="00106319"/>
    <w:rsid w:val="00106372"/>
    <w:rsid w:val="0010641C"/>
    <w:rsid w:val="0010647B"/>
    <w:rsid w:val="001064AC"/>
    <w:rsid w:val="0010650C"/>
    <w:rsid w:val="00106517"/>
    <w:rsid w:val="00106518"/>
    <w:rsid w:val="0010653F"/>
    <w:rsid w:val="0010654F"/>
    <w:rsid w:val="00106550"/>
    <w:rsid w:val="00106589"/>
    <w:rsid w:val="00106633"/>
    <w:rsid w:val="001066BF"/>
    <w:rsid w:val="001066EA"/>
    <w:rsid w:val="00106792"/>
    <w:rsid w:val="001067AB"/>
    <w:rsid w:val="0010684A"/>
    <w:rsid w:val="0010685D"/>
    <w:rsid w:val="00106871"/>
    <w:rsid w:val="001068A4"/>
    <w:rsid w:val="001068C5"/>
    <w:rsid w:val="001068F1"/>
    <w:rsid w:val="0010690A"/>
    <w:rsid w:val="00106918"/>
    <w:rsid w:val="00106925"/>
    <w:rsid w:val="0010695E"/>
    <w:rsid w:val="001069EF"/>
    <w:rsid w:val="00106A4A"/>
    <w:rsid w:val="00106AFA"/>
    <w:rsid w:val="00106B01"/>
    <w:rsid w:val="00106B04"/>
    <w:rsid w:val="00106B29"/>
    <w:rsid w:val="00106B36"/>
    <w:rsid w:val="00106B43"/>
    <w:rsid w:val="00106B45"/>
    <w:rsid w:val="00106B71"/>
    <w:rsid w:val="00106BAE"/>
    <w:rsid w:val="00106C3D"/>
    <w:rsid w:val="00106C47"/>
    <w:rsid w:val="00106C4A"/>
    <w:rsid w:val="00106C4B"/>
    <w:rsid w:val="00106C88"/>
    <w:rsid w:val="00106CB1"/>
    <w:rsid w:val="00106D05"/>
    <w:rsid w:val="00106D43"/>
    <w:rsid w:val="00106D84"/>
    <w:rsid w:val="00106DA5"/>
    <w:rsid w:val="00106DEA"/>
    <w:rsid w:val="00106E72"/>
    <w:rsid w:val="00106E86"/>
    <w:rsid w:val="00106E95"/>
    <w:rsid w:val="00106EA3"/>
    <w:rsid w:val="00106F1A"/>
    <w:rsid w:val="00106F64"/>
    <w:rsid w:val="00106F66"/>
    <w:rsid w:val="00106FE8"/>
    <w:rsid w:val="00106FF4"/>
    <w:rsid w:val="00107013"/>
    <w:rsid w:val="00107033"/>
    <w:rsid w:val="0010704B"/>
    <w:rsid w:val="0010705F"/>
    <w:rsid w:val="00107073"/>
    <w:rsid w:val="001070F9"/>
    <w:rsid w:val="00107139"/>
    <w:rsid w:val="001071C9"/>
    <w:rsid w:val="0010721C"/>
    <w:rsid w:val="00107284"/>
    <w:rsid w:val="001072E0"/>
    <w:rsid w:val="0010732D"/>
    <w:rsid w:val="00107375"/>
    <w:rsid w:val="001073CF"/>
    <w:rsid w:val="001073F5"/>
    <w:rsid w:val="001073FC"/>
    <w:rsid w:val="00107425"/>
    <w:rsid w:val="00107497"/>
    <w:rsid w:val="00107504"/>
    <w:rsid w:val="00107528"/>
    <w:rsid w:val="0010754B"/>
    <w:rsid w:val="00107597"/>
    <w:rsid w:val="001075FA"/>
    <w:rsid w:val="00107619"/>
    <w:rsid w:val="00107659"/>
    <w:rsid w:val="0010765B"/>
    <w:rsid w:val="00107667"/>
    <w:rsid w:val="00107688"/>
    <w:rsid w:val="00107726"/>
    <w:rsid w:val="00107796"/>
    <w:rsid w:val="001077B3"/>
    <w:rsid w:val="001077D5"/>
    <w:rsid w:val="001077EC"/>
    <w:rsid w:val="0010781F"/>
    <w:rsid w:val="00107827"/>
    <w:rsid w:val="0010782C"/>
    <w:rsid w:val="00107856"/>
    <w:rsid w:val="0010785A"/>
    <w:rsid w:val="00107871"/>
    <w:rsid w:val="001078E3"/>
    <w:rsid w:val="00107910"/>
    <w:rsid w:val="00107944"/>
    <w:rsid w:val="00107953"/>
    <w:rsid w:val="00107965"/>
    <w:rsid w:val="0010798D"/>
    <w:rsid w:val="001079D7"/>
    <w:rsid w:val="00107A1D"/>
    <w:rsid w:val="00107A1E"/>
    <w:rsid w:val="00107A37"/>
    <w:rsid w:val="00107A48"/>
    <w:rsid w:val="00107A70"/>
    <w:rsid w:val="00107A8A"/>
    <w:rsid w:val="00107AA3"/>
    <w:rsid w:val="00107BC2"/>
    <w:rsid w:val="00107BC5"/>
    <w:rsid w:val="00107BD9"/>
    <w:rsid w:val="00107BE6"/>
    <w:rsid w:val="00107C36"/>
    <w:rsid w:val="00107CB7"/>
    <w:rsid w:val="00107CBC"/>
    <w:rsid w:val="00107CD9"/>
    <w:rsid w:val="00107CFD"/>
    <w:rsid w:val="00107D38"/>
    <w:rsid w:val="00107D5D"/>
    <w:rsid w:val="00107D89"/>
    <w:rsid w:val="00107DB5"/>
    <w:rsid w:val="00107E56"/>
    <w:rsid w:val="00107E71"/>
    <w:rsid w:val="00107EBE"/>
    <w:rsid w:val="00107ED9"/>
    <w:rsid w:val="00107F00"/>
    <w:rsid w:val="00107F03"/>
    <w:rsid w:val="00107F5B"/>
    <w:rsid w:val="00107FA2"/>
    <w:rsid w:val="00107FBD"/>
    <w:rsid w:val="00107FCE"/>
    <w:rsid w:val="00107FD7"/>
    <w:rsid w:val="0011002D"/>
    <w:rsid w:val="0011005F"/>
    <w:rsid w:val="00110063"/>
    <w:rsid w:val="001100C0"/>
    <w:rsid w:val="00110109"/>
    <w:rsid w:val="00110149"/>
    <w:rsid w:val="00110153"/>
    <w:rsid w:val="001101BA"/>
    <w:rsid w:val="001101CF"/>
    <w:rsid w:val="00110210"/>
    <w:rsid w:val="00110222"/>
    <w:rsid w:val="00110223"/>
    <w:rsid w:val="00110266"/>
    <w:rsid w:val="00110368"/>
    <w:rsid w:val="00110406"/>
    <w:rsid w:val="00110440"/>
    <w:rsid w:val="001104F6"/>
    <w:rsid w:val="0011050E"/>
    <w:rsid w:val="0011052A"/>
    <w:rsid w:val="00110561"/>
    <w:rsid w:val="00110590"/>
    <w:rsid w:val="001105B3"/>
    <w:rsid w:val="001105F8"/>
    <w:rsid w:val="0011060A"/>
    <w:rsid w:val="00110661"/>
    <w:rsid w:val="001106E9"/>
    <w:rsid w:val="00110759"/>
    <w:rsid w:val="00110790"/>
    <w:rsid w:val="001107AC"/>
    <w:rsid w:val="001107D2"/>
    <w:rsid w:val="0011088E"/>
    <w:rsid w:val="00110947"/>
    <w:rsid w:val="001109C8"/>
    <w:rsid w:val="00110A08"/>
    <w:rsid w:val="00110A2B"/>
    <w:rsid w:val="00110A36"/>
    <w:rsid w:val="00110A66"/>
    <w:rsid w:val="00110AC4"/>
    <w:rsid w:val="00110B35"/>
    <w:rsid w:val="00110B63"/>
    <w:rsid w:val="00110B94"/>
    <w:rsid w:val="00110BB7"/>
    <w:rsid w:val="00110BD3"/>
    <w:rsid w:val="00110BF4"/>
    <w:rsid w:val="00110C1A"/>
    <w:rsid w:val="00110C4B"/>
    <w:rsid w:val="00110C61"/>
    <w:rsid w:val="00110C8F"/>
    <w:rsid w:val="00110CFB"/>
    <w:rsid w:val="00110D0E"/>
    <w:rsid w:val="00110D4C"/>
    <w:rsid w:val="00110D65"/>
    <w:rsid w:val="00110D67"/>
    <w:rsid w:val="00110D78"/>
    <w:rsid w:val="00110D7F"/>
    <w:rsid w:val="00110DAC"/>
    <w:rsid w:val="00110DC0"/>
    <w:rsid w:val="00110DDD"/>
    <w:rsid w:val="00110DFF"/>
    <w:rsid w:val="00110E34"/>
    <w:rsid w:val="00110E5B"/>
    <w:rsid w:val="00110E95"/>
    <w:rsid w:val="00110EA2"/>
    <w:rsid w:val="00110F94"/>
    <w:rsid w:val="00111094"/>
    <w:rsid w:val="001110A7"/>
    <w:rsid w:val="001110AE"/>
    <w:rsid w:val="001110DA"/>
    <w:rsid w:val="001110EC"/>
    <w:rsid w:val="001110F7"/>
    <w:rsid w:val="001110FF"/>
    <w:rsid w:val="0011113A"/>
    <w:rsid w:val="00111179"/>
    <w:rsid w:val="00111180"/>
    <w:rsid w:val="00111191"/>
    <w:rsid w:val="001111F7"/>
    <w:rsid w:val="0011120B"/>
    <w:rsid w:val="0011125E"/>
    <w:rsid w:val="00111278"/>
    <w:rsid w:val="00111288"/>
    <w:rsid w:val="0011130E"/>
    <w:rsid w:val="0011131F"/>
    <w:rsid w:val="001113CF"/>
    <w:rsid w:val="0011142D"/>
    <w:rsid w:val="00111434"/>
    <w:rsid w:val="00111462"/>
    <w:rsid w:val="001114C5"/>
    <w:rsid w:val="001114E5"/>
    <w:rsid w:val="00111518"/>
    <w:rsid w:val="00111560"/>
    <w:rsid w:val="00111577"/>
    <w:rsid w:val="001115C3"/>
    <w:rsid w:val="001115DD"/>
    <w:rsid w:val="001115E1"/>
    <w:rsid w:val="00111603"/>
    <w:rsid w:val="0011162E"/>
    <w:rsid w:val="00111649"/>
    <w:rsid w:val="001116BA"/>
    <w:rsid w:val="0011175C"/>
    <w:rsid w:val="0011175E"/>
    <w:rsid w:val="001117CA"/>
    <w:rsid w:val="001117E0"/>
    <w:rsid w:val="0011180B"/>
    <w:rsid w:val="0011180C"/>
    <w:rsid w:val="00111823"/>
    <w:rsid w:val="0011182A"/>
    <w:rsid w:val="00111846"/>
    <w:rsid w:val="00111852"/>
    <w:rsid w:val="00111867"/>
    <w:rsid w:val="00111879"/>
    <w:rsid w:val="0011187A"/>
    <w:rsid w:val="00111899"/>
    <w:rsid w:val="001118C9"/>
    <w:rsid w:val="001118CB"/>
    <w:rsid w:val="0011192E"/>
    <w:rsid w:val="00111948"/>
    <w:rsid w:val="00111961"/>
    <w:rsid w:val="001119D8"/>
    <w:rsid w:val="001119E4"/>
    <w:rsid w:val="001119F0"/>
    <w:rsid w:val="00111A0B"/>
    <w:rsid w:val="00111A22"/>
    <w:rsid w:val="00111A50"/>
    <w:rsid w:val="00111A7B"/>
    <w:rsid w:val="00111A9E"/>
    <w:rsid w:val="00111AF3"/>
    <w:rsid w:val="00111B0A"/>
    <w:rsid w:val="00111B0B"/>
    <w:rsid w:val="00111B19"/>
    <w:rsid w:val="00111B20"/>
    <w:rsid w:val="00111B30"/>
    <w:rsid w:val="00111B94"/>
    <w:rsid w:val="00111BA8"/>
    <w:rsid w:val="00111BEC"/>
    <w:rsid w:val="00111C12"/>
    <w:rsid w:val="00111C32"/>
    <w:rsid w:val="00111C7E"/>
    <w:rsid w:val="00111C7F"/>
    <w:rsid w:val="00111C8C"/>
    <w:rsid w:val="00111CCF"/>
    <w:rsid w:val="00111D04"/>
    <w:rsid w:val="00111D0B"/>
    <w:rsid w:val="00111D13"/>
    <w:rsid w:val="00111D3B"/>
    <w:rsid w:val="00111D57"/>
    <w:rsid w:val="00111D8E"/>
    <w:rsid w:val="00111DBC"/>
    <w:rsid w:val="00111E0C"/>
    <w:rsid w:val="00111E1B"/>
    <w:rsid w:val="00111E52"/>
    <w:rsid w:val="00111E83"/>
    <w:rsid w:val="00111EA5"/>
    <w:rsid w:val="00111F3A"/>
    <w:rsid w:val="00111F78"/>
    <w:rsid w:val="00111FF9"/>
    <w:rsid w:val="0011200F"/>
    <w:rsid w:val="0011210F"/>
    <w:rsid w:val="00112156"/>
    <w:rsid w:val="0011215D"/>
    <w:rsid w:val="00112186"/>
    <w:rsid w:val="0011218B"/>
    <w:rsid w:val="00112198"/>
    <w:rsid w:val="00112242"/>
    <w:rsid w:val="001122C5"/>
    <w:rsid w:val="00112309"/>
    <w:rsid w:val="00112313"/>
    <w:rsid w:val="00112380"/>
    <w:rsid w:val="00112387"/>
    <w:rsid w:val="001123E3"/>
    <w:rsid w:val="00112415"/>
    <w:rsid w:val="00112430"/>
    <w:rsid w:val="0011243F"/>
    <w:rsid w:val="0011246C"/>
    <w:rsid w:val="00112470"/>
    <w:rsid w:val="00112485"/>
    <w:rsid w:val="0011248C"/>
    <w:rsid w:val="0011249D"/>
    <w:rsid w:val="001124FE"/>
    <w:rsid w:val="00112514"/>
    <w:rsid w:val="0011251F"/>
    <w:rsid w:val="00112543"/>
    <w:rsid w:val="0011255C"/>
    <w:rsid w:val="00112564"/>
    <w:rsid w:val="00112566"/>
    <w:rsid w:val="0011259C"/>
    <w:rsid w:val="001125F0"/>
    <w:rsid w:val="001126BA"/>
    <w:rsid w:val="00112712"/>
    <w:rsid w:val="00112713"/>
    <w:rsid w:val="0011278D"/>
    <w:rsid w:val="001127FA"/>
    <w:rsid w:val="0011283E"/>
    <w:rsid w:val="00112883"/>
    <w:rsid w:val="0011289B"/>
    <w:rsid w:val="001128A6"/>
    <w:rsid w:val="001128AE"/>
    <w:rsid w:val="001128AF"/>
    <w:rsid w:val="001128B1"/>
    <w:rsid w:val="00112903"/>
    <w:rsid w:val="001129EC"/>
    <w:rsid w:val="00112AE1"/>
    <w:rsid w:val="00112B53"/>
    <w:rsid w:val="00112B5A"/>
    <w:rsid w:val="00112BA4"/>
    <w:rsid w:val="00112BC3"/>
    <w:rsid w:val="00112C0C"/>
    <w:rsid w:val="00112C59"/>
    <w:rsid w:val="00112CA7"/>
    <w:rsid w:val="00112CD1"/>
    <w:rsid w:val="00112D49"/>
    <w:rsid w:val="00112D5B"/>
    <w:rsid w:val="00112D79"/>
    <w:rsid w:val="00112D8A"/>
    <w:rsid w:val="00112DDE"/>
    <w:rsid w:val="00112E00"/>
    <w:rsid w:val="00112E20"/>
    <w:rsid w:val="00112E25"/>
    <w:rsid w:val="00112ED9"/>
    <w:rsid w:val="00112EFF"/>
    <w:rsid w:val="00112F74"/>
    <w:rsid w:val="00112F7A"/>
    <w:rsid w:val="00112FA1"/>
    <w:rsid w:val="00112FDC"/>
    <w:rsid w:val="00112FF3"/>
    <w:rsid w:val="001130D4"/>
    <w:rsid w:val="001130DA"/>
    <w:rsid w:val="001130E3"/>
    <w:rsid w:val="0011312B"/>
    <w:rsid w:val="00113142"/>
    <w:rsid w:val="00113204"/>
    <w:rsid w:val="00113240"/>
    <w:rsid w:val="001132DC"/>
    <w:rsid w:val="001132F7"/>
    <w:rsid w:val="00113325"/>
    <w:rsid w:val="0011338B"/>
    <w:rsid w:val="0011338E"/>
    <w:rsid w:val="00113399"/>
    <w:rsid w:val="001133B9"/>
    <w:rsid w:val="001133BF"/>
    <w:rsid w:val="00113465"/>
    <w:rsid w:val="0011349E"/>
    <w:rsid w:val="001134A3"/>
    <w:rsid w:val="001134B2"/>
    <w:rsid w:val="001134D0"/>
    <w:rsid w:val="00113546"/>
    <w:rsid w:val="0011357D"/>
    <w:rsid w:val="00113593"/>
    <w:rsid w:val="0011359D"/>
    <w:rsid w:val="001135E3"/>
    <w:rsid w:val="001135E8"/>
    <w:rsid w:val="00113613"/>
    <w:rsid w:val="0011363B"/>
    <w:rsid w:val="00113656"/>
    <w:rsid w:val="00113673"/>
    <w:rsid w:val="001136E0"/>
    <w:rsid w:val="00113733"/>
    <w:rsid w:val="00113738"/>
    <w:rsid w:val="0011373C"/>
    <w:rsid w:val="00113756"/>
    <w:rsid w:val="00113758"/>
    <w:rsid w:val="0011375F"/>
    <w:rsid w:val="00113798"/>
    <w:rsid w:val="001137B5"/>
    <w:rsid w:val="0011380B"/>
    <w:rsid w:val="00113814"/>
    <w:rsid w:val="00113839"/>
    <w:rsid w:val="0011383C"/>
    <w:rsid w:val="00113850"/>
    <w:rsid w:val="0011385C"/>
    <w:rsid w:val="0011387E"/>
    <w:rsid w:val="00113895"/>
    <w:rsid w:val="001138BD"/>
    <w:rsid w:val="001138DB"/>
    <w:rsid w:val="0011390F"/>
    <w:rsid w:val="0011392B"/>
    <w:rsid w:val="00113930"/>
    <w:rsid w:val="001139B8"/>
    <w:rsid w:val="00113A35"/>
    <w:rsid w:val="00113A41"/>
    <w:rsid w:val="00113AB0"/>
    <w:rsid w:val="00113AEF"/>
    <w:rsid w:val="00113AFB"/>
    <w:rsid w:val="00113B11"/>
    <w:rsid w:val="00113BA5"/>
    <w:rsid w:val="00113BB2"/>
    <w:rsid w:val="00113BBA"/>
    <w:rsid w:val="00113BC4"/>
    <w:rsid w:val="00113BDD"/>
    <w:rsid w:val="00113BE3"/>
    <w:rsid w:val="00113C55"/>
    <w:rsid w:val="00113C79"/>
    <w:rsid w:val="00113CD6"/>
    <w:rsid w:val="00113CF5"/>
    <w:rsid w:val="00113D5E"/>
    <w:rsid w:val="00113D90"/>
    <w:rsid w:val="00113DC8"/>
    <w:rsid w:val="00113DEE"/>
    <w:rsid w:val="00113DFA"/>
    <w:rsid w:val="00113E1B"/>
    <w:rsid w:val="00113E2E"/>
    <w:rsid w:val="00113E45"/>
    <w:rsid w:val="00113EC9"/>
    <w:rsid w:val="00113ECE"/>
    <w:rsid w:val="00113EF5"/>
    <w:rsid w:val="00113F51"/>
    <w:rsid w:val="00113F6C"/>
    <w:rsid w:val="0011405F"/>
    <w:rsid w:val="0011409C"/>
    <w:rsid w:val="0011409E"/>
    <w:rsid w:val="001140B8"/>
    <w:rsid w:val="001140E2"/>
    <w:rsid w:val="00114111"/>
    <w:rsid w:val="0011412C"/>
    <w:rsid w:val="00114151"/>
    <w:rsid w:val="00114155"/>
    <w:rsid w:val="0011416E"/>
    <w:rsid w:val="00114196"/>
    <w:rsid w:val="001141CA"/>
    <w:rsid w:val="001141E9"/>
    <w:rsid w:val="00114200"/>
    <w:rsid w:val="00114233"/>
    <w:rsid w:val="00114237"/>
    <w:rsid w:val="0011426C"/>
    <w:rsid w:val="00114282"/>
    <w:rsid w:val="0011429F"/>
    <w:rsid w:val="001142D1"/>
    <w:rsid w:val="00114333"/>
    <w:rsid w:val="001143B7"/>
    <w:rsid w:val="00114426"/>
    <w:rsid w:val="001144A8"/>
    <w:rsid w:val="001144E6"/>
    <w:rsid w:val="0011450B"/>
    <w:rsid w:val="00114523"/>
    <w:rsid w:val="00114529"/>
    <w:rsid w:val="0011454D"/>
    <w:rsid w:val="0011459D"/>
    <w:rsid w:val="001145D5"/>
    <w:rsid w:val="001145DB"/>
    <w:rsid w:val="001146FA"/>
    <w:rsid w:val="00114720"/>
    <w:rsid w:val="0011474C"/>
    <w:rsid w:val="00114751"/>
    <w:rsid w:val="001147A9"/>
    <w:rsid w:val="00114826"/>
    <w:rsid w:val="00114891"/>
    <w:rsid w:val="001148A4"/>
    <w:rsid w:val="00114944"/>
    <w:rsid w:val="0011496D"/>
    <w:rsid w:val="00114981"/>
    <w:rsid w:val="00114A01"/>
    <w:rsid w:val="00114A0D"/>
    <w:rsid w:val="00114A25"/>
    <w:rsid w:val="00114A50"/>
    <w:rsid w:val="00114ABE"/>
    <w:rsid w:val="00114AF2"/>
    <w:rsid w:val="00114B07"/>
    <w:rsid w:val="00114B3A"/>
    <w:rsid w:val="00114BB1"/>
    <w:rsid w:val="00114BD1"/>
    <w:rsid w:val="00114C2C"/>
    <w:rsid w:val="00114C31"/>
    <w:rsid w:val="00114C90"/>
    <w:rsid w:val="00114CFA"/>
    <w:rsid w:val="00114D06"/>
    <w:rsid w:val="00114D0D"/>
    <w:rsid w:val="00114DEA"/>
    <w:rsid w:val="00114E25"/>
    <w:rsid w:val="00114E60"/>
    <w:rsid w:val="00114E6F"/>
    <w:rsid w:val="00114E85"/>
    <w:rsid w:val="00114E91"/>
    <w:rsid w:val="00114EB9"/>
    <w:rsid w:val="00114ED6"/>
    <w:rsid w:val="00114EEC"/>
    <w:rsid w:val="00114EF6"/>
    <w:rsid w:val="00114F07"/>
    <w:rsid w:val="00114F1F"/>
    <w:rsid w:val="00114F5C"/>
    <w:rsid w:val="00114F89"/>
    <w:rsid w:val="00114F90"/>
    <w:rsid w:val="00114FA9"/>
    <w:rsid w:val="00114FB0"/>
    <w:rsid w:val="00114FD0"/>
    <w:rsid w:val="00115006"/>
    <w:rsid w:val="00115007"/>
    <w:rsid w:val="00115010"/>
    <w:rsid w:val="00115018"/>
    <w:rsid w:val="00115052"/>
    <w:rsid w:val="00115058"/>
    <w:rsid w:val="001150BB"/>
    <w:rsid w:val="00115108"/>
    <w:rsid w:val="00115180"/>
    <w:rsid w:val="0011519F"/>
    <w:rsid w:val="00115281"/>
    <w:rsid w:val="00115305"/>
    <w:rsid w:val="0011530A"/>
    <w:rsid w:val="00115378"/>
    <w:rsid w:val="001153A9"/>
    <w:rsid w:val="00115466"/>
    <w:rsid w:val="00115470"/>
    <w:rsid w:val="00115499"/>
    <w:rsid w:val="001154F8"/>
    <w:rsid w:val="001155B2"/>
    <w:rsid w:val="001155DE"/>
    <w:rsid w:val="00115613"/>
    <w:rsid w:val="00115658"/>
    <w:rsid w:val="0011565B"/>
    <w:rsid w:val="001156BB"/>
    <w:rsid w:val="001157B7"/>
    <w:rsid w:val="001157D9"/>
    <w:rsid w:val="001157F0"/>
    <w:rsid w:val="0011584E"/>
    <w:rsid w:val="0011585B"/>
    <w:rsid w:val="0011586F"/>
    <w:rsid w:val="001158CE"/>
    <w:rsid w:val="001158CF"/>
    <w:rsid w:val="001158DF"/>
    <w:rsid w:val="001158E6"/>
    <w:rsid w:val="001158E8"/>
    <w:rsid w:val="001158F2"/>
    <w:rsid w:val="0011592B"/>
    <w:rsid w:val="00115966"/>
    <w:rsid w:val="00115972"/>
    <w:rsid w:val="0011598D"/>
    <w:rsid w:val="001159AD"/>
    <w:rsid w:val="00115AD5"/>
    <w:rsid w:val="00115B43"/>
    <w:rsid w:val="00115B51"/>
    <w:rsid w:val="00115B9A"/>
    <w:rsid w:val="00115BC1"/>
    <w:rsid w:val="00115BD7"/>
    <w:rsid w:val="00115C13"/>
    <w:rsid w:val="00115C41"/>
    <w:rsid w:val="00115C70"/>
    <w:rsid w:val="00115C97"/>
    <w:rsid w:val="00115CC4"/>
    <w:rsid w:val="00115CDB"/>
    <w:rsid w:val="00115D17"/>
    <w:rsid w:val="00115D43"/>
    <w:rsid w:val="00115D59"/>
    <w:rsid w:val="00115D81"/>
    <w:rsid w:val="00115D9F"/>
    <w:rsid w:val="00115E36"/>
    <w:rsid w:val="00115E5E"/>
    <w:rsid w:val="00115E73"/>
    <w:rsid w:val="00115EB0"/>
    <w:rsid w:val="00115F06"/>
    <w:rsid w:val="00115F37"/>
    <w:rsid w:val="00115F80"/>
    <w:rsid w:val="00115FA0"/>
    <w:rsid w:val="00115FDA"/>
    <w:rsid w:val="00116035"/>
    <w:rsid w:val="001161AF"/>
    <w:rsid w:val="001161B5"/>
    <w:rsid w:val="0011623A"/>
    <w:rsid w:val="0011624E"/>
    <w:rsid w:val="001162C8"/>
    <w:rsid w:val="001162E7"/>
    <w:rsid w:val="001162F8"/>
    <w:rsid w:val="00116344"/>
    <w:rsid w:val="00116358"/>
    <w:rsid w:val="00116359"/>
    <w:rsid w:val="0011636A"/>
    <w:rsid w:val="001163C0"/>
    <w:rsid w:val="001163C5"/>
    <w:rsid w:val="001163CA"/>
    <w:rsid w:val="00116460"/>
    <w:rsid w:val="00116534"/>
    <w:rsid w:val="00116570"/>
    <w:rsid w:val="00116614"/>
    <w:rsid w:val="0011662D"/>
    <w:rsid w:val="001166DE"/>
    <w:rsid w:val="00116716"/>
    <w:rsid w:val="00116750"/>
    <w:rsid w:val="001167E4"/>
    <w:rsid w:val="0011685E"/>
    <w:rsid w:val="00116867"/>
    <w:rsid w:val="001168EC"/>
    <w:rsid w:val="00116939"/>
    <w:rsid w:val="001169A1"/>
    <w:rsid w:val="00116A2F"/>
    <w:rsid w:val="00116A5B"/>
    <w:rsid w:val="00116ACE"/>
    <w:rsid w:val="00116AE8"/>
    <w:rsid w:val="00116AF0"/>
    <w:rsid w:val="00116B3C"/>
    <w:rsid w:val="00116B58"/>
    <w:rsid w:val="00116B93"/>
    <w:rsid w:val="00116BD8"/>
    <w:rsid w:val="00116C07"/>
    <w:rsid w:val="00116C12"/>
    <w:rsid w:val="00116C98"/>
    <w:rsid w:val="00116CEC"/>
    <w:rsid w:val="00116D6A"/>
    <w:rsid w:val="00116DBE"/>
    <w:rsid w:val="00116DE2"/>
    <w:rsid w:val="00116DE4"/>
    <w:rsid w:val="00116DF6"/>
    <w:rsid w:val="00116DFA"/>
    <w:rsid w:val="00116E2C"/>
    <w:rsid w:val="00116E7D"/>
    <w:rsid w:val="00116EC8"/>
    <w:rsid w:val="00116EF7"/>
    <w:rsid w:val="00116F52"/>
    <w:rsid w:val="00116F5C"/>
    <w:rsid w:val="00116F65"/>
    <w:rsid w:val="00116FEB"/>
    <w:rsid w:val="0011700D"/>
    <w:rsid w:val="0011703E"/>
    <w:rsid w:val="0011704C"/>
    <w:rsid w:val="001170F5"/>
    <w:rsid w:val="0011712F"/>
    <w:rsid w:val="0011720A"/>
    <w:rsid w:val="0011720E"/>
    <w:rsid w:val="0011721D"/>
    <w:rsid w:val="00117222"/>
    <w:rsid w:val="00117226"/>
    <w:rsid w:val="001172A0"/>
    <w:rsid w:val="001172ED"/>
    <w:rsid w:val="001172FF"/>
    <w:rsid w:val="0011736F"/>
    <w:rsid w:val="001173A3"/>
    <w:rsid w:val="001173AC"/>
    <w:rsid w:val="001173D0"/>
    <w:rsid w:val="00117443"/>
    <w:rsid w:val="00117452"/>
    <w:rsid w:val="00117495"/>
    <w:rsid w:val="001174B2"/>
    <w:rsid w:val="001174ED"/>
    <w:rsid w:val="0011750A"/>
    <w:rsid w:val="00117528"/>
    <w:rsid w:val="0011753D"/>
    <w:rsid w:val="00117552"/>
    <w:rsid w:val="0011755B"/>
    <w:rsid w:val="00117581"/>
    <w:rsid w:val="001175B7"/>
    <w:rsid w:val="001175FF"/>
    <w:rsid w:val="00117604"/>
    <w:rsid w:val="0011760A"/>
    <w:rsid w:val="00117636"/>
    <w:rsid w:val="0011764B"/>
    <w:rsid w:val="0011766D"/>
    <w:rsid w:val="0011768A"/>
    <w:rsid w:val="0011769D"/>
    <w:rsid w:val="001176D1"/>
    <w:rsid w:val="001176DB"/>
    <w:rsid w:val="001176DC"/>
    <w:rsid w:val="001176E2"/>
    <w:rsid w:val="00117704"/>
    <w:rsid w:val="00117750"/>
    <w:rsid w:val="00117779"/>
    <w:rsid w:val="001177C6"/>
    <w:rsid w:val="001177C7"/>
    <w:rsid w:val="0011781A"/>
    <w:rsid w:val="0011782A"/>
    <w:rsid w:val="0011783B"/>
    <w:rsid w:val="0011784E"/>
    <w:rsid w:val="00117881"/>
    <w:rsid w:val="00117895"/>
    <w:rsid w:val="0011791B"/>
    <w:rsid w:val="00117941"/>
    <w:rsid w:val="00117973"/>
    <w:rsid w:val="00117982"/>
    <w:rsid w:val="00117987"/>
    <w:rsid w:val="00117996"/>
    <w:rsid w:val="001179BE"/>
    <w:rsid w:val="001179DA"/>
    <w:rsid w:val="00117A15"/>
    <w:rsid w:val="00117A4B"/>
    <w:rsid w:val="00117A70"/>
    <w:rsid w:val="00117A9B"/>
    <w:rsid w:val="00117ADF"/>
    <w:rsid w:val="00117BEF"/>
    <w:rsid w:val="00117BF4"/>
    <w:rsid w:val="00117C0B"/>
    <w:rsid w:val="00117C8A"/>
    <w:rsid w:val="00117D17"/>
    <w:rsid w:val="00117D5D"/>
    <w:rsid w:val="00117D88"/>
    <w:rsid w:val="00117DB0"/>
    <w:rsid w:val="00117DB2"/>
    <w:rsid w:val="00117DCA"/>
    <w:rsid w:val="00117E31"/>
    <w:rsid w:val="00117E64"/>
    <w:rsid w:val="00117E9F"/>
    <w:rsid w:val="00117F90"/>
    <w:rsid w:val="00117FDA"/>
    <w:rsid w:val="00117FE3"/>
    <w:rsid w:val="00117FEF"/>
    <w:rsid w:val="00120036"/>
    <w:rsid w:val="00120045"/>
    <w:rsid w:val="0012006F"/>
    <w:rsid w:val="00120075"/>
    <w:rsid w:val="001200A1"/>
    <w:rsid w:val="001200F4"/>
    <w:rsid w:val="0012010D"/>
    <w:rsid w:val="00120117"/>
    <w:rsid w:val="00120156"/>
    <w:rsid w:val="0012015E"/>
    <w:rsid w:val="00120181"/>
    <w:rsid w:val="001201A0"/>
    <w:rsid w:val="001201AF"/>
    <w:rsid w:val="001201F0"/>
    <w:rsid w:val="001201F1"/>
    <w:rsid w:val="0012020F"/>
    <w:rsid w:val="00120212"/>
    <w:rsid w:val="00120213"/>
    <w:rsid w:val="0012021D"/>
    <w:rsid w:val="001202E0"/>
    <w:rsid w:val="001202F4"/>
    <w:rsid w:val="00120311"/>
    <w:rsid w:val="00120342"/>
    <w:rsid w:val="001203E5"/>
    <w:rsid w:val="001203E8"/>
    <w:rsid w:val="00120459"/>
    <w:rsid w:val="0012046C"/>
    <w:rsid w:val="00120473"/>
    <w:rsid w:val="00120534"/>
    <w:rsid w:val="00120599"/>
    <w:rsid w:val="001205A7"/>
    <w:rsid w:val="001205AC"/>
    <w:rsid w:val="001205D3"/>
    <w:rsid w:val="001205F4"/>
    <w:rsid w:val="00120605"/>
    <w:rsid w:val="0012061A"/>
    <w:rsid w:val="00120639"/>
    <w:rsid w:val="00120648"/>
    <w:rsid w:val="0012064E"/>
    <w:rsid w:val="0012069A"/>
    <w:rsid w:val="001206DE"/>
    <w:rsid w:val="00120700"/>
    <w:rsid w:val="00120718"/>
    <w:rsid w:val="00120723"/>
    <w:rsid w:val="00120789"/>
    <w:rsid w:val="00120798"/>
    <w:rsid w:val="0012079E"/>
    <w:rsid w:val="001207AB"/>
    <w:rsid w:val="00120819"/>
    <w:rsid w:val="0012089A"/>
    <w:rsid w:val="001208F5"/>
    <w:rsid w:val="0012092D"/>
    <w:rsid w:val="0012097F"/>
    <w:rsid w:val="0012099B"/>
    <w:rsid w:val="00120A33"/>
    <w:rsid w:val="00120A37"/>
    <w:rsid w:val="00120A43"/>
    <w:rsid w:val="00120A51"/>
    <w:rsid w:val="00120AEE"/>
    <w:rsid w:val="00120B54"/>
    <w:rsid w:val="00120B6A"/>
    <w:rsid w:val="00120BBA"/>
    <w:rsid w:val="00120BD9"/>
    <w:rsid w:val="00120BE0"/>
    <w:rsid w:val="00120BFE"/>
    <w:rsid w:val="00120C17"/>
    <w:rsid w:val="00120C37"/>
    <w:rsid w:val="00120C67"/>
    <w:rsid w:val="00120CBD"/>
    <w:rsid w:val="00120CD7"/>
    <w:rsid w:val="00120CE2"/>
    <w:rsid w:val="00120DA6"/>
    <w:rsid w:val="00120DCC"/>
    <w:rsid w:val="00120DDB"/>
    <w:rsid w:val="00120E0D"/>
    <w:rsid w:val="00120E2F"/>
    <w:rsid w:val="00120E37"/>
    <w:rsid w:val="00120E67"/>
    <w:rsid w:val="00120E9E"/>
    <w:rsid w:val="00120EE4"/>
    <w:rsid w:val="00120F13"/>
    <w:rsid w:val="00120F22"/>
    <w:rsid w:val="00120F4A"/>
    <w:rsid w:val="00121004"/>
    <w:rsid w:val="00121005"/>
    <w:rsid w:val="0012104B"/>
    <w:rsid w:val="00121050"/>
    <w:rsid w:val="00121059"/>
    <w:rsid w:val="0012107E"/>
    <w:rsid w:val="0012108E"/>
    <w:rsid w:val="00121096"/>
    <w:rsid w:val="001210E3"/>
    <w:rsid w:val="001210E6"/>
    <w:rsid w:val="001210EF"/>
    <w:rsid w:val="00121193"/>
    <w:rsid w:val="0012119B"/>
    <w:rsid w:val="001211CA"/>
    <w:rsid w:val="001211EC"/>
    <w:rsid w:val="00121215"/>
    <w:rsid w:val="00121281"/>
    <w:rsid w:val="001212B3"/>
    <w:rsid w:val="001212CB"/>
    <w:rsid w:val="001212D9"/>
    <w:rsid w:val="0012132D"/>
    <w:rsid w:val="0012139A"/>
    <w:rsid w:val="001213B0"/>
    <w:rsid w:val="001213B8"/>
    <w:rsid w:val="001213E4"/>
    <w:rsid w:val="0012141C"/>
    <w:rsid w:val="00121444"/>
    <w:rsid w:val="00121456"/>
    <w:rsid w:val="001214BF"/>
    <w:rsid w:val="001214CB"/>
    <w:rsid w:val="001214D7"/>
    <w:rsid w:val="001214E4"/>
    <w:rsid w:val="001214E7"/>
    <w:rsid w:val="00121500"/>
    <w:rsid w:val="00121507"/>
    <w:rsid w:val="00121544"/>
    <w:rsid w:val="00121565"/>
    <w:rsid w:val="00121573"/>
    <w:rsid w:val="00121594"/>
    <w:rsid w:val="001215AD"/>
    <w:rsid w:val="00121655"/>
    <w:rsid w:val="00121669"/>
    <w:rsid w:val="0012169A"/>
    <w:rsid w:val="001216A3"/>
    <w:rsid w:val="00121706"/>
    <w:rsid w:val="001217C5"/>
    <w:rsid w:val="001217EA"/>
    <w:rsid w:val="001217F0"/>
    <w:rsid w:val="00121811"/>
    <w:rsid w:val="0012183D"/>
    <w:rsid w:val="00121846"/>
    <w:rsid w:val="00121865"/>
    <w:rsid w:val="00121897"/>
    <w:rsid w:val="001218AD"/>
    <w:rsid w:val="00121951"/>
    <w:rsid w:val="00121957"/>
    <w:rsid w:val="001219D6"/>
    <w:rsid w:val="00121ADE"/>
    <w:rsid w:val="00121AED"/>
    <w:rsid w:val="00121AF3"/>
    <w:rsid w:val="00121B29"/>
    <w:rsid w:val="00121B50"/>
    <w:rsid w:val="00121B59"/>
    <w:rsid w:val="00121BA9"/>
    <w:rsid w:val="00121C39"/>
    <w:rsid w:val="00121C46"/>
    <w:rsid w:val="00121C4C"/>
    <w:rsid w:val="00121CF3"/>
    <w:rsid w:val="00121D0C"/>
    <w:rsid w:val="00121D72"/>
    <w:rsid w:val="00121DA1"/>
    <w:rsid w:val="00121DB4"/>
    <w:rsid w:val="00121DBA"/>
    <w:rsid w:val="00121DEB"/>
    <w:rsid w:val="00121E05"/>
    <w:rsid w:val="00121E19"/>
    <w:rsid w:val="00121E52"/>
    <w:rsid w:val="00121EC2"/>
    <w:rsid w:val="00121F00"/>
    <w:rsid w:val="00121F0B"/>
    <w:rsid w:val="00121F15"/>
    <w:rsid w:val="00121F21"/>
    <w:rsid w:val="00121F3F"/>
    <w:rsid w:val="00121F58"/>
    <w:rsid w:val="00121F93"/>
    <w:rsid w:val="00121FBA"/>
    <w:rsid w:val="00122059"/>
    <w:rsid w:val="00122063"/>
    <w:rsid w:val="0012209D"/>
    <w:rsid w:val="001220CB"/>
    <w:rsid w:val="001220CD"/>
    <w:rsid w:val="001220D9"/>
    <w:rsid w:val="001220DB"/>
    <w:rsid w:val="001220FC"/>
    <w:rsid w:val="0012210F"/>
    <w:rsid w:val="00122171"/>
    <w:rsid w:val="0012219B"/>
    <w:rsid w:val="001221C5"/>
    <w:rsid w:val="00122241"/>
    <w:rsid w:val="0012225B"/>
    <w:rsid w:val="001223B3"/>
    <w:rsid w:val="001223C5"/>
    <w:rsid w:val="00122405"/>
    <w:rsid w:val="00122419"/>
    <w:rsid w:val="00122428"/>
    <w:rsid w:val="00122447"/>
    <w:rsid w:val="00122471"/>
    <w:rsid w:val="0012248C"/>
    <w:rsid w:val="00122490"/>
    <w:rsid w:val="0012249B"/>
    <w:rsid w:val="0012255F"/>
    <w:rsid w:val="001225EE"/>
    <w:rsid w:val="0012269C"/>
    <w:rsid w:val="001226E2"/>
    <w:rsid w:val="0012270D"/>
    <w:rsid w:val="00122716"/>
    <w:rsid w:val="00122720"/>
    <w:rsid w:val="0012275F"/>
    <w:rsid w:val="00122781"/>
    <w:rsid w:val="001227AD"/>
    <w:rsid w:val="00122830"/>
    <w:rsid w:val="001228B9"/>
    <w:rsid w:val="001228BA"/>
    <w:rsid w:val="001228C1"/>
    <w:rsid w:val="001228CB"/>
    <w:rsid w:val="001228D3"/>
    <w:rsid w:val="001228DF"/>
    <w:rsid w:val="001228E5"/>
    <w:rsid w:val="0012298D"/>
    <w:rsid w:val="001229AE"/>
    <w:rsid w:val="001229C2"/>
    <w:rsid w:val="00122A05"/>
    <w:rsid w:val="00122A37"/>
    <w:rsid w:val="00122A4B"/>
    <w:rsid w:val="00122A64"/>
    <w:rsid w:val="00122A74"/>
    <w:rsid w:val="00122A86"/>
    <w:rsid w:val="00122A88"/>
    <w:rsid w:val="00122B55"/>
    <w:rsid w:val="00122BB8"/>
    <w:rsid w:val="00122BD8"/>
    <w:rsid w:val="00122C2A"/>
    <w:rsid w:val="00122C86"/>
    <w:rsid w:val="00122C93"/>
    <w:rsid w:val="00122CA3"/>
    <w:rsid w:val="00122CDF"/>
    <w:rsid w:val="00122D67"/>
    <w:rsid w:val="00122D8B"/>
    <w:rsid w:val="00122DCE"/>
    <w:rsid w:val="00122DFD"/>
    <w:rsid w:val="00122E5C"/>
    <w:rsid w:val="00122F02"/>
    <w:rsid w:val="00122F52"/>
    <w:rsid w:val="0012300B"/>
    <w:rsid w:val="0012302D"/>
    <w:rsid w:val="00123050"/>
    <w:rsid w:val="00123084"/>
    <w:rsid w:val="001230A5"/>
    <w:rsid w:val="00123214"/>
    <w:rsid w:val="00123245"/>
    <w:rsid w:val="00123273"/>
    <w:rsid w:val="001232C7"/>
    <w:rsid w:val="001232E9"/>
    <w:rsid w:val="00123382"/>
    <w:rsid w:val="00123383"/>
    <w:rsid w:val="001233B6"/>
    <w:rsid w:val="001233DE"/>
    <w:rsid w:val="00123438"/>
    <w:rsid w:val="0012344D"/>
    <w:rsid w:val="001234AF"/>
    <w:rsid w:val="001234B2"/>
    <w:rsid w:val="001234BD"/>
    <w:rsid w:val="0012350F"/>
    <w:rsid w:val="00123520"/>
    <w:rsid w:val="0012354D"/>
    <w:rsid w:val="0012357F"/>
    <w:rsid w:val="001235E9"/>
    <w:rsid w:val="00123612"/>
    <w:rsid w:val="00123634"/>
    <w:rsid w:val="00123659"/>
    <w:rsid w:val="00123765"/>
    <w:rsid w:val="00123790"/>
    <w:rsid w:val="001237EE"/>
    <w:rsid w:val="00123837"/>
    <w:rsid w:val="0012388A"/>
    <w:rsid w:val="0012388C"/>
    <w:rsid w:val="001238E6"/>
    <w:rsid w:val="001238FC"/>
    <w:rsid w:val="0012390C"/>
    <w:rsid w:val="00123914"/>
    <w:rsid w:val="001239F1"/>
    <w:rsid w:val="00123A2E"/>
    <w:rsid w:val="00123A38"/>
    <w:rsid w:val="00123A78"/>
    <w:rsid w:val="00123A7F"/>
    <w:rsid w:val="00123AC7"/>
    <w:rsid w:val="00123B02"/>
    <w:rsid w:val="00123B19"/>
    <w:rsid w:val="00123B2C"/>
    <w:rsid w:val="00123B85"/>
    <w:rsid w:val="00123BAA"/>
    <w:rsid w:val="00123BFD"/>
    <w:rsid w:val="00123C33"/>
    <w:rsid w:val="00123C72"/>
    <w:rsid w:val="00123CAC"/>
    <w:rsid w:val="00123D09"/>
    <w:rsid w:val="00123D5B"/>
    <w:rsid w:val="00123D8E"/>
    <w:rsid w:val="00123DC7"/>
    <w:rsid w:val="00123DF4"/>
    <w:rsid w:val="00123E11"/>
    <w:rsid w:val="00123E59"/>
    <w:rsid w:val="00123E6C"/>
    <w:rsid w:val="00123E9E"/>
    <w:rsid w:val="00123EB9"/>
    <w:rsid w:val="00123ED6"/>
    <w:rsid w:val="00123EF9"/>
    <w:rsid w:val="00123F04"/>
    <w:rsid w:val="00123F25"/>
    <w:rsid w:val="00123FC0"/>
    <w:rsid w:val="00123FDE"/>
    <w:rsid w:val="00123FF8"/>
    <w:rsid w:val="00123FFE"/>
    <w:rsid w:val="0012404D"/>
    <w:rsid w:val="001240E7"/>
    <w:rsid w:val="001241B1"/>
    <w:rsid w:val="001241D4"/>
    <w:rsid w:val="001241F7"/>
    <w:rsid w:val="001241FD"/>
    <w:rsid w:val="0012420C"/>
    <w:rsid w:val="00124213"/>
    <w:rsid w:val="00124255"/>
    <w:rsid w:val="0012426D"/>
    <w:rsid w:val="00124273"/>
    <w:rsid w:val="00124297"/>
    <w:rsid w:val="001242A3"/>
    <w:rsid w:val="001242C1"/>
    <w:rsid w:val="001242D1"/>
    <w:rsid w:val="001242F1"/>
    <w:rsid w:val="00124317"/>
    <w:rsid w:val="00124318"/>
    <w:rsid w:val="00124350"/>
    <w:rsid w:val="0012436B"/>
    <w:rsid w:val="00124399"/>
    <w:rsid w:val="001243FA"/>
    <w:rsid w:val="00124413"/>
    <w:rsid w:val="0012444A"/>
    <w:rsid w:val="00124467"/>
    <w:rsid w:val="0012449F"/>
    <w:rsid w:val="001244E2"/>
    <w:rsid w:val="001244FA"/>
    <w:rsid w:val="001244FB"/>
    <w:rsid w:val="00124542"/>
    <w:rsid w:val="00124547"/>
    <w:rsid w:val="00124551"/>
    <w:rsid w:val="00124576"/>
    <w:rsid w:val="001245A7"/>
    <w:rsid w:val="001245DA"/>
    <w:rsid w:val="001245E0"/>
    <w:rsid w:val="001245F9"/>
    <w:rsid w:val="0012463F"/>
    <w:rsid w:val="00124668"/>
    <w:rsid w:val="0012467F"/>
    <w:rsid w:val="001246BC"/>
    <w:rsid w:val="0012473A"/>
    <w:rsid w:val="001247F4"/>
    <w:rsid w:val="00124843"/>
    <w:rsid w:val="00124876"/>
    <w:rsid w:val="0012488F"/>
    <w:rsid w:val="001248B6"/>
    <w:rsid w:val="001248BF"/>
    <w:rsid w:val="00124905"/>
    <w:rsid w:val="00124918"/>
    <w:rsid w:val="0012493C"/>
    <w:rsid w:val="00124948"/>
    <w:rsid w:val="00124951"/>
    <w:rsid w:val="001249A0"/>
    <w:rsid w:val="001249A9"/>
    <w:rsid w:val="001249AB"/>
    <w:rsid w:val="00124A0D"/>
    <w:rsid w:val="00124A0E"/>
    <w:rsid w:val="00124A3B"/>
    <w:rsid w:val="00124A5F"/>
    <w:rsid w:val="00124AC2"/>
    <w:rsid w:val="00124AE5"/>
    <w:rsid w:val="00124B2C"/>
    <w:rsid w:val="00124BE4"/>
    <w:rsid w:val="00124CCF"/>
    <w:rsid w:val="00124D2D"/>
    <w:rsid w:val="00124E2F"/>
    <w:rsid w:val="00124E34"/>
    <w:rsid w:val="00124E45"/>
    <w:rsid w:val="00124E54"/>
    <w:rsid w:val="00124E79"/>
    <w:rsid w:val="00124EBC"/>
    <w:rsid w:val="00124EC1"/>
    <w:rsid w:val="00124F17"/>
    <w:rsid w:val="00124F7C"/>
    <w:rsid w:val="00124F7D"/>
    <w:rsid w:val="00124FB9"/>
    <w:rsid w:val="00124FBE"/>
    <w:rsid w:val="00124FE0"/>
    <w:rsid w:val="00125011"/>
    <w:rsid w:val="00125071"/>
    <w:rsid w:val="00125094"/>
    <w:rsid w:val="00125175"/>
    <w:rsid w:val="00125194"/>
    <w:rsid w:val="001251B4"/>
    <w:rsid w:val="0012521A"/>
    <w:rsid w:val="00125231"/>
    <w:rsid w:val="0012523C"/>
    <w:rsid w:val="001252A8"/>
    <w:rsid w:val="001252CB"/>
    <w:rsid w:val="00125381"/>
    <w:rsid w:val="00125397"/>
    <w:rsid w:val="001253B5"/>
    <w:rsid w:val="00125405"/>
    <w:rsid w:val="0012540B"/>
    <w:rsid w:val="00125451"/>
    <w:rsid w:val="00125489"/>
    <w:rsid w:val="001254A2"/>
    <w:rsid w:val="001254A6"/>
    <w:rsid w:val="001254C6"/>
    <w:rsid w:val="001254D5"/>
    <w:rsid w:val="001254D7"/>
    <w:rsid w:val="00125500"/>
    <w:rsid w:val="00125529"/>
    <w:rsid w:val="001255AE"/>
    <w:rsid w:val="001255B0"/>
    <w:rsid w:val="0012561F"/>
    <w:rsid w:val="00125643"/>
    <w:rsid w:val="00125658"/>
    <w:rsid w:val="0012575D"/>
    <w:rsid w:val="001257EB"/>
    <w:rsid w:val="00125846"/>
    <w:rsid w:val="0012585B"/>
    <w:rsid w:val="00125876"/>
    <w:rsid w:val="001258BA"/>
    <w:rsid w:val="001258CB"/>
    <w:rsid w:val="001258F1"/>
    <w:rsid w:val="00125924"/>
    <w:rsid w:val="00125997"/>
    <w:rsid w:val="001259CB"/>
    <w:rsid w:val="00125A02"/>
    <w:rsid w:val="00125AD2"/>
    <w:rsid w:val="00125AE1"/>
    <w:rsid w:val="00125AEA"/>
    <w:rsid w:val="00125AFE"/>
    <w:rsid w:val="00125BFC"/>
    <w:rsid w:val="00125C12"/>
    <w:rsid w:val="00125CC2"/>
    <w:rsid w:val="00125CC9"/>
    <w:rsid w:val="00125CD6"/>
    <w:rsid w:val="00125D40"/>
    <w:rsid w:val="00125D5D"/>
    <w:rsid w:val="00125DAB"/>
    <w:rsid w:val="00125DCE"/>
    <w:rsid w:val="00125E0D"/>
    <w:rsid w:val="00125E1C"/>
    <w:rsid w:val="00125E8F"/>
    <w:rsid w:val="00125ECF"/>
    <w:rsid w:val="00125EFC"/>
    <w:rsid w:val="00125F03"/>
    <w:rsid w:val="00125F9D"/>
    <w:rsid w:val="00125FA3"/>
    <w:rsid w:val="001260A4"/>
    <w:rsid w:val="001260F2"/>
    <w:rsid w:val="00126104"/>
    <w:rsid w:val="0012611E"/>
    <w:rsid w:val="00126150"/>
    <w:rsid w:val="00126154"/>
    <w:rsid w:val="001262D5"/>
    <w:rsid w:val="00126307"/>
    <w:rsid w:val="0012634E"/>
    <w:rsid w:val="0012639A"/>
    <w:rsid w:val="0012639E"/>
    <w:rsid w:val="001263CB"/>
    <w:rsid w:val="001263E8"/>
    <w:rsid w:val="0012649F"/>
    <w:rsid w:val="001264E2"/>
    <w:rsid w:val="001264EC"/>
    <w:rsid w:val="00126503"/>
    <w:rsid w:val="00126544"/>
    <w:rsid w:val="0012659C"/>
    <w:rsid w:val="001265CE"/>
    <w:rsid w:val="001265E8"/>
    <w:rsid w:val="0012660A"/>
    <w:rsid w:val="0012662C"/>
    <w:rsid w:val="00126635"/>
    <w:rsid w:val="00126697"/>
    <w:rsid w:val="00126698"/>
    <w:rsid w:val="001266E0"/>
    <w:rsid w:val="0012674F"/>
    <w:rsid w:val="00126768"/>
    <w:rsid w:val="00126789"/>
    <w:rsid w:val="00126835"/>
    <w:rsid w:val="00126840"/>
    <w:rsid w:val="00126873"/>
    <w:rsid w:val="0012689C"/>
    <w:rsid w:val="0012689E"/>
    <w:rsid w:val="001268A9"/>
    <w:rsid w:val="00126910"/>
    <w:rsid w:val="00126934"/>
    <w:rsid w:val="00126979"/>
    <w:rsid w:val="001269AA"/>
    <w:rsid w:val="001269BC"/>
    <w:rsid w:val="001269FA"/>
    <w:rsid w:val="00126A10"/>
    <w:rsid w:val="00126A1B"/>
    <w:rsid w:val="00126A30"/>
    <w:rsid w:val="00126A70"/>
    <w:rsid w:val="00126A7D"/>
    <w:rsid w:val="00126AD8"/>
    <w:rsid w:val="00126AE6"/>
    <w:rsid w:val="00126B22"/>
    <w:rsid w:val="00126B42"/>
    <w:rsid w:val="00126B4E"/>
    <w:rsid w:val="00126B7D"/>
    <w:rsid w:val="00126BD6"/>
    <w:rsid w:val="00126BF8"/>
    <w:rsid w:val="00126C38"/>
    <w:rsid w:val="00126C40"/>
    <w:rsid w:val="00126C5B"/>
    <w:rsid w:val="00126C95"/>
    <w:rsid w:val="00126D27"/>
    <w:rsid w:val="00126D99"/>
    <w:rsid w:val="00126DCA"/>
    <w:rsid w:val="00126DF8"/>
    <w:rsid w:val="00126E4B"/>
    <w:rsid w:val="00126E4C"/>
    <w:rsid w:val="00126E60"/>
    <w:rsid w:val="00126F50"/>
    <w:rsid w:val="00126F88"/>
    <w:rsid w:val="00126FA2"/>
    <w:rsid w:val="00127051"/>
    <w:rsid w:val="00127067"/>
    <w:rsid w:val="00127069"/>
    <w:rsid w:val="001270E4"/>
    <w:rsid w:val="001270F2"/>
    <w:rsid w:val="001270F4"/>
    <w:rsid w:val="0012711C"/>
    <w:rsid w:val="00127128"/>
    <w:rsid w:val="001271AE"/>
    <w:rsid w:val="0012723C"/>
    <w:rsid w:val="00127271"/>
    <w:rsid w:val="00127341"/>
    <w:rsid w:val="00127365"/>
    <w:rsid w:val="001273CC"/>
    <w:rsid w:val="00127494"/>
    <w:rsid w:val="001274EF"/>
    <w:rsid w:val="0012751C"/>
    <w:rsid w:val="0012755B"/>
    <w:rsid w:val="0012755F"/>
    <w:rsid w:val="00127591"/>
    <w:rsid w:val="001275C1"/>
    <w:rsid w:val="0012763A"/>
    <w:rsid w:val="00127770"/>
    <w:rsid w:val="001277AB"/>
    <w:rsid w:val="00127837"/>
    <w:rsid w:val="0012789D"/>
    <w:rsid w:val="00127946"/>
    <w:rsid w:val="00127958"/>
    <w:rsid w:val="00127967"/>
    <w:rsid w:val="0012797D"/>
    <w:rsid w:val="00127980"/>
    <w:rsid w:val="0012798D"/>
    <w:rsid w:val="00127A3E"/>
    <w:rsid w:val="00127B33"/>
    <w:rsid w:val="00127B45"/>
    <w:rsid w:val="00127B6E"/>
    <w:rsid w:val="00127BCF"/>
    <w:rsid w:val="00127C0F"/>
    <w:rsid w:val="00127C5B"/>
    <w:rsid w:val="00127D14"/>
    <w:rsid w:val="00127D2C"/>
    <w:rsid w:val="00127D30"/>
    <w:rsid w:val="00127D7A"/>
    <w:rsid w:val="00127DBB"/>
    <w:rsid w:val="00127E06"/>
    <w:rsid w:val="00127E0D"/>
    <w:rsid w:val="00127E17"/>
    <w:rsid w:val="00127E34"/>
    <w:rsid w:val="00127E74"/>
    <w:rsid w:val="00127EA1"/>
    <w:rsid w:val="00127EA5"/>
    <w:rsid w:val="00127EC1"/>
    <w:rsid w:val="00127FD2"/>
    <w:rsid w:val="0013004B"/>
    <w:rsid w:val="00130111"/>
    <w:rsid w:val="0013012A"/>
    <w:rsid w:val="0013015F"/>
    <w:rsid w:val="0013016C"/>
    <w:rsid w:val="00130265"/>
    <w:rsid w:val="001302AF"/>
    <w:rsid w:val="0013037A"/>
    <w:rsid w:val="001303C1"/>
    <w:rsid w:val="001303F7"/>
    <w:rsid w:val="001303FF"/>
    <w:rsid w:val="00130408"/>
    <w:rsid w:val="001304BC"/>
    <w:rsid w:val="001304DD"/>
    <w:rsid w:val="00130510"/>
    <w:rsid w:val="0013057E"/>
    <w:rsid w:val="0013059D"/>
    <w:rsid w:val="001305CA"/>
    <w:rsid w:val="001305D4"/>
    <w:rsid w:val="001305F1"/>
    <w:rsid w:val="001305F6"/>
    <w:rsid w:val="0013063A"/>
    <w:rsid w:val="00130642"/>
    <w:rsid w:val="00130643"/>
    <w:rsid w:val="00130647"/>
    <w:rsid w:val="00130658"/>
    <w:rsid w:val="00130667"/>
    <w:rsid w:val="0013066D"/>
    <w:rsid w:val="00130677"/>
    <w:rsid w:val="001306E5"/>
    <w:rsid w:val="0013073E"/>
    <w:rsid w:val="001307B4"/>
    <w:rsid w:val="001307D6"/>
    <w:rsid w:val="001307D9"/>
    <w:rsid w:val="001307F9"/>
    <w:rsid w:val="001307FF"/>
    <w:rsid w:val="0013083A"/>
    <w:rsid w:val="0013087B"/>
    <w:rsid w:val="0013089A"/>
    <w:rsid w:val="001308E3"/>
    <w:rsid w:val="00130901"/>
    <w:rsid w:val="00130937"/>
    <w:rsid w:val="001309A0"/>
    <w:rsid w:val="00130A1C"/>
    <w:rsid w:val="00130A2B"/>
    <w:rsid w:val="00130A40"/>
    <w:rsid w:val="00130A9D"/>
    <w:rsid w:val="00130AC3"/>
    <w:rsid w:val="00130AD9"/>
    <w:rsid w:val="00130B23"/>
    <w:rsid w:val="00130B25"/>
    <w:rsid w:val="00130B7C"/>
    <w:rsid w:val="00130B9C"/>
    <w:rsid w:val="00130BCA"/>
    <w:rsid w:val="00130C0E"/>
    <w:rsid w:val="00130C60"/>
    <w:rsid w:val="00130CC1"/>
    <w:rsid w:val="00130CEF"/>
    <w:rsid w:val="00130D25"/>
    <w:rsid w:val="00130D28"/>
    <w:rsid w:val="00130D62"/>
    <w:rsid w:val="00130D73"/>
    <w:rsid w:val="00130D76"/>
    <w:rsid w:val="00130D7B"/>
    <w:rsid w:val="00130D7F"/>
    <w:rsid w:val="00130D9D"/>
    <w:rsid w:val="00130D9F"/>
    <w:rsid w:val="00130DE7"/>
    <w:rsid w:val="00130DF5"/>
    <w:rsid w:val="00130E62"/>
    <w:rsid w:val="00130E89"/>
    <w:rsid w:val="00130E97"/>
    <w:rsid w:val="00130EC9"/>
    <w:rsid w:val="00130F6C"/>
    <w:rsid w:val="00130F84"/>
    <w:rsid w:val="00131044"/>
    <w:rsid w:val="0013105C"/>
    <w:rsid w:val="00131072"/>
    <w:rsid w:val="0013108C"/>
    <w:rsid w:val="001310EF"/>
    <w:rsid w:val="00131108"/>
    <w:rsid w:val="001311A3"/>
    <w:rsid w:val="001311E3"/>
    <w:rsid w:val="00131208"/>
    <w:rsid w:val="00131222"/>
    <w:rsid w:val="00131224"/>
    <w:rsid w:val="0013123C"/>
    <w:rsid w:val="00131285"/>
    <w:rsid w:val="001312B9"/>
    <w:rsid w:val="001312EC"/>
    <w:rsid w:val="00131323"/>
    <w:rsid w:val="0013134E"/>
    <w:rsid w:val="0013139A"/>
    <w:rsid w:val="00131405"/>
    <w:rsid w:val="00131451"/>
    <w:rsid w:val="00131490"/>
    <w:rsid w:val="001314C4"/>
    <w:rsid w:val="0013155E"/>
    <w:rsid w:val="0013156D"/>
    <w:rsid w:val="0013158B"/>
    <w:rsid w:val="001315A5"/>
    <w:rsid w:val="001315D6"/>
    <w:rsid w:val="001315FB"/>
    <w:rsid w:val="0013161E"/>
    <w:rsid w:val="00131627"/>
    <w:rsid w:val="00131677"/>
    <w:rsid w:val="0013169E"/>
    <w:rsid w:val="001316F9"/>
    <w:rsid w:val="00131702"/>
    <w:rsid w:val="0013172F"/>
    <w:rsid w:val="00131777"/>
    <w:rsid w:val="001317CC"/>
    <w:rsid w:val="0013180E"/>
    <w:rsid w:val="00131810"/>
    <w:rsid w:val="00131827"/>
    <w:rsid w:val="0013186C"/>
    <w:rsid w:val="001318D2"/>
    <w:rsid w:val="001318F3"/>
    <w:rsid w:val="00131922"/>
    <w:rsid w:val="00131976"/>
    <w:rsid w:val="0013197C"/>
    <w:rsid w:val="00131A01"/>
    <w:rsid w:val="00131A12"/>
    <w:rsid w:val="00131AFB"/>
    <w:rsid w:val="00131B25"/>
    <w:rsid w:val="00131B63"/>
    <w:rsid w:val="00131BF4"/>
    <w:rsid w:val="00131BF9"/>
    <w:rsid w:val="00131C30"/>
    <w:rsid w:val="00131C32"/>
    <w:rsid w:val="00131C48"/>
    <w:rsid w:val="00131C7E"/>
    <w:rsid w:val="00131CC4"/>
    <w:rsid w:val="00131CF5"/>
    <w:rsid w:val="00131D06"/>
    <w:rsid w:val="00131D48"/>
    <w:rsid w:val="00131DC3"/>
    <w:rsid w:val="00131DDC"/>
    <w:rsid w:val="00131E07"/>
    <w:rsid w:val="00131E4C"/>
    <w:rsid w:val="00131EB8"/>
    <w:rsid w:val="00131ECD"/>
    <w:rsid w:val="00131ED2"/>
    <w:rsid w:val="00131F55"/>
    <w:rsid w:val="00131F9D"/>
    <w:rsid w:val="00131FB3"/>
    <w:rsid w:val="00131FB5"/>
    <w:rsid w:val="00131FD4"/>
    <w:rsid w:val="00131FE3"/>
    <w:rsid w:val="0013207E"/>
    <w:rsid w:val="001320B7"/>
    <w:rsid w:val="001320FB"/>
    <w:rsid w:val="00132119"/>
    <w:rsid w:val="0013211D"/>
    <w:rsid w:val="00132140"/>
    <w:rsid w:val="001321A9"/>
    <w:rsid w:val="001321DF"/>
    <w:rsid w:val="00132203"/>
    <w:rsid w:val="0013221E"/>
    <w:rsid w:val="0013227E"/>
    <w:rsid w:val="001322D3"/>
    <w:rsid w:val="001323A0"/>
    <w:rsid w:val="001323D4"/>
    <w:rsid w:val="0013242C"/>
    <w:rsid w:val="00132431"/>
    <w:rsid w:val="001324E1"/>
    <w:rsid w:val="0013256C"/>
    <w:rsid w:val="001325D4"/>
    <w:rsid w:val="00132646"/>
    <w:rsid w:val="00132659"/>
    <w:rsid w:val="00132664"/>
    <w:rsid w:val="001326B7"/>
    <w:rsid w:val="001326BF"/>
    <w:rsid w:val="0013270C"/>
    <w:rsid w:val="00132743"/>
    <w:rsid w:val="00132771"/>
    <w:rsid w:val="00132785"/>
    <w:rsid w:val="00132831"/>
    <w:rsid w:val="0013285E"/>
    <w:rsid w:val="0013287B"/>
    <w:rsid w:val="001328DA"/>
    <w:rsid w:val="001328EF"/>
    <w:rsid w:val="0013297B"/>
    <w:rsid w:val="001329C6"/>
    <w:rsid w:val="00132A0B"/>
    <w:rsid w:val="00132A13"/>
    <w:rsid w:val="00132A77"/>
    <w:rsid w:val="00132A7C"/>
    <w:rsid w:val="00132A94"/>
    <w:rsid w:val="00132B0D"/>
    <w:rsid w:val="00132B5C"/>
    <w:rsid w:val="00132BC1"/>
    <w:rsid w:val="00132BC6"/>
    <w:rsid w:val="00132BD0"/>
    <w:rsid w:val="00132C30"/>
    <w:rsid w:val="00132C66"/>
    <w:rsid w:val="00132C76"/>
    <w:rsid w:val="00132CB1"/>
    <w:rsid w:val="00132CEB"/>
    <w:rsid w:val="00132D5D"/>
    <w:rsid w:val="00132D84"/>
    <w:rsid w:val="00132DC9"/>
    <w:rsid w:val="00132E0C"/>
    <w:rsid w:val="00132E29"/>
    <w:rsid w:val="00132E56"/>
    <w:rsid w:val="00132E5A"/>
    <w:rsid w:val="00132E7A"/>
    <w:rsid w:val="00132E8A"/>
    <w:rsid w:val="00132F01"/>
    <w:rsid w:val="00132FB1"/>
    <w:rsid w:val="00132FB8"/>
    <w:rsid w:val="00133067"/>
    <w:rsid w:val="00133109"/>
    <w:rsid w:val="00133112"/>
    <w:rsid w:val="00133120"/>
    <w:rsid w:val="0013315B"/>
    <w:rsid w:val="00133293"/>
    <w:rsid w:val="0013329A"/>
    <w:rsid w:val="001332AA"/>
    <w:rsid w:val="00133382"/>
    <w:rsid w:val="00133479"/>
    <w:rsid w:val="00133480"/>
    <w:rsid w:val="00133499"/>
    <w:rsid w:val="001334E9"/>
    <w:rsid w:val="00133519"/>
    <w:rsid w:val="0013353F"/>
    <w:rsid w:val="0013354F"/>
    <w:rsid w:val="00133553"/>
    <w:rsid w:val="001335C6"/>
    <w:rsid w:val="001335CB"/>
    <w:rsid w:val="00133617"/>
    <w:rsid w:val="0013361A"/>
    <w:rsid w:val="0013362A"/>
    <w:rsid w:val="00133645"/>
    <w:rsid w:val="00133682"/>
    <w:rsid w:val="001336CB"/>
    <w:rsid w:val="001336E3"/>
    <w:rsid w:val="001336EC"/>
    <w:rsid w:val="0013376D"/>
    <w:rsid w:val="00133813"/>
    <w:rsid w:val="0013382D"/>
    <w:rsid w:val="001338F5"/>
    <w:rsid w:val="0013392B"/>
    <w:rsid w:val="0013399F"/>
    <w:rsid w:val="001339D8"/>
    <w:rsid w:val="00133A0F"/>
    <w:rsid w:val="00133AFC"/>
    <w:rsid w:val="00133B80"/>
    <w:rsid w:val="00133C7A"/>
    <w:rsid w:val="00133C95"/>
    <w:rsid w:val="00133D52"/>
    <w:rsid w:val="00133E3F"/>
    <w:rsid w:val="00133E4F"/>
    <w:rsid w:val="00133E66"/>
    <w:rsid w:val="00133E77"/>
    <w:rsid w:val="00133EAC"/>
    <w:rsid w:val="00133EB1"/>
    <w:rsid w:val="00133EBB"/>
    <w:rsid w:val="00133EDE"/>
    <w:rsid w:val="00133F04"/>
    <w:rsid w:val="00133F2E"/>
    <w:rsid w:val="00133F8D"/>
    <w:rsid w:val="00133FB9"/>
    <w:rsid w:val="00133FF6"/>
    <w:rsid w:val="0013400A"/>
    <w:rsid w:val="0013402B"/>
    <w:rsid w:val="0013402E"/>
    <w:rsid w:val="001340BC"/>
    <w:rsid w:val="001340F4"/>
    <w:rsid w:val="00134101"/>
    <w:rsid w:val="0013413D"/>
    <w:rsid w:val="0013415A"/>
    <w:rsid w:val="001341BB"/>
    <w:rsid w:val="0013420E"/>
    <w:rsid w:val="00134225"/>
    <w:rsid w:val="001342C3"/>
    <w:rsid w:val="001342C5"/>
    <w:rsid w:val="00134379"/>
    <w:rsid w:val="001343B7"/>
    <w:rsid w:val="001343C4"/>
    <w:rsid w:val="00134417"/>
    <w:rsid w:val="00134422"/>
    <w:rsid w:val="0013448B"/>
    <w:rsid w:val="00134492"/>
    <w:rsid w:val="00134498"/>
    <w:rsid w:val="001344A8"/>
    <w:rsid w:val="001344B1"/>
    <w:rsid w:val="0013450C"/>
    <w:rsid w:val="00134517"/>
    <w:rsid w:val="00134543"/>
    <w:rsid w:val="001345D4"/>
    <w:rsid w:val="00134604"/>
    <w:rsid w:val="00134612"/>
    <w:rsid w:val="00134618"/>
    <w:rsid w:val="00134635"/>
    <w:rsid w:val="0013464A"/>
    <w:rsid w:val="0013467E"/>
    <w:rsid w:val="001346C4"/>
    <w:rsid w:val="001346C7"/>
    <w:rsid w:val="00134723"/>
    <w:rsid w:val="0013478A"/>
    <w:rsid w:val="001347A6"/>
    <w:rsid w:val="001347C9"/>
    <w:rsid w:val="001347EF"/>
    <w:rsid w:val="00134830"/>
    <w:rsid w:val="0013483E"/>
    <w:rsid w:val="00134845"/>
    <w:rsid w:val="00134877"/>
    <w:rsid w:val="0013487B"/>
    <w:rsid w:val="0013488A"/>
    <w:rsid w:val="001348B7"/>
    <w:rsid w:val="001348EF"/>
    <w:rsid w:val="00134924"/>
    <w:rsid w:val="0013492C"/>
    <w:rsid w:val="0013493B"/>
    <w:rsid w:val="00134994"/>
    <w:rsid w:val="00134A14"/>
    <w:rsid w:val="00134AAF"/>
    <w:rsid w:val="00134AB6"/>
    <w:rsid w:val="00134AC6"/>
    <w:rsid w:val="00134AE9"/>
    <w:rsid w:val="00134B77"/>
    <w:rsid w:val="00134BAE"/>
    <w:rsid w:val="00134C66"/>
    <w:rsid w:val="00134C8F"/>
    <w:rsid w:val="00134C9C"/>
    <w:rsid w:val="00134CDB"/>
    <w:rsid w:val="00134CE3"/>
    <w:rsid w:val="00134D03"/>
    <w:rsid w:val="00134D08"/>
    <w:rsid w:val="00134D1B"/>
    <w:rsid w:val="00134D22"/>
    <w:rsid w:val="00134D4F"/>
    <w:rsid w:val="00134D94"/>
    <w:rsid w:val="00134DAA"/>
    <w:rsid w:val="00134DCF"/>
    <w:rsid w:val="00134DD3"/>
    <w:rsid w:val="00134DDA"/>
    <w:rsid w:val="00134E80"/>
    <w:rsid w:val="00134EE2"/>
    <w:rsid w:val="00134F64"/>
    <w:rsid w:val="00134F93"/>
    <w:rsid w:val="00134FCC"/>
    <w:rsid w:val="00134FEC"/>
    <w:rsid w:val="00134FEE"/>
    <w:rsid w:val="00135002"/>
    <w:rsid w:val="0013502B"/>
    <w:rsid w:val="00135045"/>
    <w:rsid w:val="00135072"/>
    <w:rsid w:val="0013509B"/>
    <w:rsid w:val="001350A6"/>
    <w:rsid w:val="001350B7"/>
    <w:rsid w:val="00135105"/>
    <w:rsid w:val="00135113"/>
    <w:rsid w:val="00135134"/>
    <w:rsid w:val="0013517D"/>
    <w:rsid w:val="0013525C"/>
    <w:rsid w:val="00135298"/>
    <w:rsid w:val="001352FA"/>
    <w:rsid w:val="00135318"/>
    <w:rsid w:val="00135471"/>
    <w:rsid w:val="001354A2"/>
    <w:rsid w:val="001354B8"/>
    <w:rsid w:val="001354D4"/>
    <w:rsid w:val="001354DF"/>
    <w:rsid w:val="001354F6"/>
    <w:rsid w:val="0013550F"/>
    <w:rsid w:val="00135516"/>
    <w:rsid w:val="00135543"/>
    <w:rsid w:val="00135561"/>
    <w:rsid w:val="001355DE"/>
    <w:rsid w:val="001355E7"/>
    <w:rsid w:val="0013567E"/>
    <w:rsid w:val="00135715"/>
    <w:rsid w:val="00135740"/>
    <w:rsid w:val="00135758"/>
    <w:rsid w:val="00135766"/>
    <w:rsid w:val="00135781"/>
    <w:rsid w:val="0013578E"/>
    <w:rsid w:val="001357C4"/>
    <w:rsid w:val="0013580B"/>
    <w:rsid w:val="00135855"/>
    <w:rsid w:val="00135864"/>
    <w:rsid w:val="0013586D"/>
    <w:rsid w:val="00135879"/>
    <w:rsid w:val="0013589D"/>
    <w:rsid w:val="001358AF"/>
    <w:rsid w:val="001358FB"/>
    <w:rsid w:val="0013593D"/>
    <w:rsid w:val="001359AA"/>
    <w:rsid w:val="001359F2"/>
    <w:rsid w:val="00135A56"/>
    <w:rsid w:val="00135A78"/>
    <w:rsid w:val="00135AA9"/>
    <w:rsid w:val="00135B0C"/>
    <w:rsid w:val="00135B4F"/>
    <w:rsid w:val="00135B99"/>
    <w:rsid w:val="00135BC1"/>
    <w:rsid w:val="00135BF1"/>
    <w:rsid w:val="00135C06"/>
    <w:rsid w:val="00135C0B"/>
    <w:rsid w:val="00135C4F"/>
    <w:rsid w:val="00135C68"/>
    <w:rsid w:val="00135C83"/>
    <w:rsid w:val="00135C84"/>
    <w:rsid w:val="00135CBB"/>
    <w:rsid w:val="00135CC5"/>
    <w:rsid w:val="00135CCD"/>
    <w:rsid w:val="00135CDD"/>
    <w:rsid w:val="00135D10"/>
    <w:rsid w:val="00135D70"/>
    <w:rsid w:val="00135DB9"/>
    <w:rsid w:val="00135DCB"/>
    <w:rsid w:val="00135E19"/>
    <w:rsid w:val="00135E4C"/>
    <w:rsid w:val="00135E5C"/>
    <w:rsid w:val="00135E80"/>
    <w:rsid w:val="00135E9F"/>
    <w:rsid w:val="00135ED1"/>
    <w:rsid w:val="00135EFC"/>
    <w:rsid w:val="00135FE3"/>
    <w:rsid w:val="00135FED"/>
    <w:rsid w:val="00136034"/>
    <w:rsid w:val="00136057"/>
    <w:rsid w:val="0013609F"/>
    <w:rsid w:val="001360C9"/>
    <w:rsid w:val="0013613C"/>
    <w:rsid w:val="001361B8"/>
    <w:rsid w:val="00136212"/>
    <w:rsid w:val="00136229"/>
    <w:rsid w:val="00136278"/>
    <w:rsid w:val="0013627E"/>
    <w:rsid w:val="001362BC"/>
    <w:rsid w:val="0013630F"/>
    <w:rsid w:val="00136323"/>
    <w:rsid w:val="00136328"/>
    <w:rsid w:val="00136361"/>
    <w:rsid w:val="00136368"/>
    <w:rsid w:val="0013638F"/>
    <w:rsid w:val="001363A5"/>
    <w:rsid w:val="00136408"/>
    <w:rsid w:val="001364B0"/>
    <w:rsid w:val="001364B6"/>
    <w:rsid w:val="001364DA"/>
    <w:rsid w:val="00136529"/>
    <w:rsid w:val="0013652D"/>
    <w:rsid w:val="00136563"/>
    <w:rsid w:val="001365FD"/>
    <w:rsid w:val="00136606"/>
    <w:rsid w:val="00136674"/>
    <w:rsid w:val="00136681"/>
    <w:rsid w:val="001366E4"/>
    <w:rsid w:val="001366F8"/>
    <w:rsid w:val="001366FB"/>
    <w:rsid w:val="00136716"/>
    <w:rsid w:val="00136780"/>
    <w:rsid w:val="00136799"/>
    <w:rsid w:val="0013679D"/>
    <w:rsid w:val="00136827"/>
    <w:rsid w:val="00136847"/>
    <w:rsid w:val="00136867"/>
    <w:rsid w:val="00136881"/>
    <w:rsid w:val="001368A6"/>
    <w:rsid w:val="001368B6"/>
    <w:rsid w:val="001368DE"/>
    <w:rsid w:val="00136905"/>
    <w:rsid w:val="00136960"/>
    <w:rsid w:val="00136962"/>
    <w:rsid w:val="001369D0"/>
    <w:rsid w:val="00136A0C"/>
    <w:rsid w:val="00136AA3"/>
    <w:rsid w:val="00136AC3"/>
    <w:rsid w:val="00136AFD"/>
    <w:rsid w:val="00136AFF"/>
    <w:rsid w:val="00136B13"/>
    <w:rsid w:val="00136BC8"/>
    <w:rsid w:val="00136C18"/>
    <w:rsid w:val="00136C1D"/>
    <w:rsid w:val="00136C33"/>
    <w:rsid w:val="00136C3E"/>
    <w:rsid w:val="00136C48"/>
    <w:rsid w:val="00136C6E"/>
    <w:rsid w:val="00136CBA"/>
    <w:rsid w:val="00136D1A"/>
    <w:rsid w:val="00136D34"/>
    <w:rsid w:val="00136D53"/>
    <w:rsid w:val="00136D9C"/>
    <w:rsid w:val="00136DD0"/>
    <w:rsid w:val="00136E2C"/>
    <w:rsid w:val="00136E32"/>
    <w:rsid w:val="00136E41"/>
    <w:rsid w:val="00136E51"/>
    <w:rsid w:val="00136E9F"/>
    <w:rsid w:val="00136ECA"/>
    <w:rsid w:val="00136EE1"/>
    <w:rsid w:val="00136F88"/>
    <w:rsid w:val="00136FBE"/>
    <w:rsid w:val="0013701A"/>
    <w:rsid w:val="0013704B"/>
    <w:rsid w:val="0013704E"/>
    <w:rsid w:val="00137050"/>
    <w:rsid w:val="001370AD"/>
    <w:rsid w:val="001370B8"/>
    <w:rsid w:val="001370CB"/>
    <w:rsid w:val="001370DD"/>
    <w:rsid w:val="00137176"/>
    <w:rsid w:val="0013717F"/>
    <w:rsid w:val="00137189"/>
    <w:rsid w:val="001371A7"/>
    <w:rsid w:val="001371C7"/>
    <w:rsid w:val="00137233"/>
    <w:rsid w:val="0013723F"/>
    <w:rsid w:val="0013724F"/>
    <w:rsid w:val="00137255"/>
    <w:rsid w:val="00137279"/>
    <w:rsid w:val="0013727C"/>
    <w:rsid w:val="00137281"/>
    <w:rsid w:val="001372D7"/>
    <w:rsid w:val="001372F8"/>
    <w:rsid w:val="00137317"/>
    <w:rsid w:val="0013733A"/>
    <w:rsid w:val="00137366"/>
    <w:rsid w:val="00137378"/>
    <w:rsid w:val="001373D5"/>
    <w:rsid w:val="001373F5"/>
    <w:rsid w:val="0013744B"/>
    <w:rsid w:val="001374C7"/>
    <w:rsid w:val="001374DD"/>
    <w:rsid w:val="001374E9"/>
    <w:rsid w:val="001374EB"/>
    <w:rsid w:val="00137532"/>
    <w:rsid w:val="00137541"/>
    <w:rsid w:val="00137552"/>
    <w:rsid w:val="00137563"/>
    <w:rsid w:val="0013756E"/>
    <w:rsid w:val="0013757A"/>
    <w:rsid w:val="00137591"/>
    <w:rsid w:val="001375EA"/>
    <w:rsid w:val="001375EF"/>
    <w:rsid w:val="00137652"/>
    <w:rsid w:val="00137663"/>
    <w:rsid w:val="0013766B"/>
    <w:rsid w:val="00137695"/>
    <w:rsid w:val="0013769F"/>
    <w:rsid w:val="001376A6"/>
    <w:rsid w:val="001376FA"/>
    <w:rsid w:val="00137742"/>
    <w:rsid w:val="001377C9"/>
    <w:rsid w:val="0013785B"/>
    <w:rsid w:val="0013785E"/>
    <w:rsid w:val="0013787D"/>
    <w:rsid w:val="00137888"/>
    <w:rsid w:val="001378D6"/>
    <w:rsid w:val="001378E5"/>
    <w:rsid w:val="001378E6"/>
    <w:rsid w:val="001378EE"/>
    <w:rsid w:val="001378F4"/>
    <w:rsid w:val="00137952"/>
    <w:rsid w:val="00137989"/>
    <w:rsid w:val="00137A79"/>
    <w:rsid w:val="00137A7E"/>
    <w:rsid w:val="00137ABB"/>
    <w:rsid w:val="00137AC6"/>
    <w:rsid w:val="00137AC7"/>
    <w:rsid w:val="00137AC9"/>
    <w:rsid w:val="00137B0C"/>
    <w:rsid w:val="00137B1E"/>
    <w:rsid w:val="00137B9B"/>
    <w:rsid w:val="00137C23"/>
    <w:rsid w:val="00137C37"/>
    <w:rsid w:val="00137D38"/>
    <w:rsid w:val="00137D78"/>
    <w:rsid w:val="00137D88"/>
    <w:rsid w:val="00137DD8"/>
    <w:rsid w:val="00137DF8"/>
    <w:rsid w:val="00137E56"/>
    <w:rsid w:val="00137E88"/>
    <w:rsid w:val="00137F55"/>
    <w:rsid w:val="00137F8F"/>
    <w:rsid w:val="00137FA4"/>
    <w:rsid w:val="00137FEA"/>
    <w:rsid w:val="001400F2"/>
    <w:rsid w:val="0014016D"/>
    <w:rsid w:val="0014017A"/>
    <w:rsid w:val="00140204"/>
    <w:rsid w:val="0014020B"/>
    <w:rsid w:val="0014020D"/>
    <w:rsid w:val="001402A8"/>
    <w:rsid w:val="001402FF"/>
    <w:rsid w:val="0014039A"/>
    <w:rsid w:val="0014039E"/>
    <w:rsid w:val="001403B7"/>
    <w:rsid w:val="00140445"/>
    <w:rsid w:val="0014049C"/>
    <w:rsid w:val="00140503"/>
    <w:rsid w:val="00140519"/>
    <w:rsid w:val="00140546"/>
    <w:rsid w:val="00140550"/>
    <w:rsid w:val="00140556"/>
    <w:rsid w:val="00140577"/>
    <w:rsid w:val="0014060B"/>
    <w:rsid w:val="00140634"/>
    <w:rsid w:val="00140692"/>
    <w:rsid w:val="001406E4"/>
    <w:rsid w:val="0014072C"/>
    <w:rsid w:val="00140746"/>
    <w:rsid w:val="00140796"/>
    <w:rsid w:val="00140805"/>
    <w:rsid w:val="00140846"/>
    <w:rsid w:val="0014085D"/>
    <w:rsid w:val="001408C4"/>
    <w:rsid w:val="001408F4"/>
    <w:rsid w:val="00140955"/>
    <w:rsid w:val="00140964"/>
    <w:rsid w:val="00140A25"/>
    <w:rsid w:val="00140A36"/>
    <w:rsid w:val="00140B71"/>
    <w:rsid w:val="00140B86"/>
    <w:rsid w:val="00140B9F"/>
    <w:rsid w:val="00140BAC"/>
    <w:rsid w:val="00140BB6"/>
    <w:rsid w:val="00140BE6"/>
    <w:rsid w:val="00140C51"/>
    <w:rsid w:val="00140C7E"/>
    <w:rsid w:val="00140C80"/>
    <w:rsid w:val="00140C8D"/>
    <w:rsid w:val="00140D53"/>
    <w:rsid w:val="00140DCB"/>
    <w:rsid w:val="00140DD9"/>
    <w:rsid w:val="00140E42"/>
    <w:rsid w:val="00140EB3"/>
    <w:rsid w:val="00140EC5"/>
    <w:rsid w:val="00140ED5"/>
    <w:rsid w:val="00140EFD"/>
    <w:rsid w:val="00140F7E"/>
    <w:rsid w:val="00140F92"/>
    <w:rsid w:val="00141001"/>
    <w:rsid w:val="0014104B"/>
    <w:rsid w:val="00141058"/>
    <w:rsid w:val="001410A3"/>
    <w:rsid w:val="001410BF"/>
    <w:rsid w:val="001410D1"/>
    <w:rsid w:val="001410EE"/>
    <w:rsid w:val="00141121"/>
    <w:rsid w:val="00141126"/>
    <w:rsid w:val="0014117D"/>
    <w:rsid w:val="0014118F"/>
    <w:rsid w:val="001411F6"/>
    <w:rsid w:val="00141235"/>
    <w:rsid w:val="00141251"/>
    <w:rsid w:val="0014125D"/>
    <w:rsid w:val="001412F8"/>
    <w:rsid w:val="00141306"/>
    <w:rsid w:val="00141322"/>
    <w:rsid w:val="00141333"/>
    <w:rsid w:val="00141337"/>
    <w:rsid w:val="00141347"/>
    <w:rsid w:val="00141356"/>
    <w:rsid w:val="0014138E"/>
    <w:rsid w:val="00141427"/>
    <w:rsid w:val="001414C3"/>
    <w:rsid w:val="0014152E"/>
    <w:rsid w:val="0014155E"/>
    <w:rsid w:val="00141593"/>
    <w:rsid w:val="001415A1"/>
    <w:rsid w:val="00141615"/>
    <w:rsid w:val="00141631"/>
    <w:rsid w:val="00141639"/>
    <w:rsid w:val="00141674"/>
    <w:rsid w:val="00141694"/>
    <w:rsid w:val="00141697"/>
    <w:rsid w:val="0014171C"/>
    <w:rsid w:val="00141727"/>
    <w:rsid w:val="00141733"/>
    <w:rsid w:val="0014178B"/>
    <w:rsid w:val="001417A0"/>
    <w:rsid w:val="001417BF"/>
    <w:rsid w:val="001417DC"/>
    <w:rsid w:val="0014183F"/>
    <w:rsid w:val="00141862"/>
    <w:rsid w:val="00141877"/>
    <w:rsid w:val="001418B1"/>
    <w:rsid w:val="001418BF"/>
    <w:rsid w:val="001418CA"/>
    <w:rsid w:val="001418E4"/>
    <w:rsid w:val="00141935"/>
    <w:rsid w:val="00141989"/>
    <w:rsid w:val="00141998"/>
    <w:rsid w:val="001419DB"/>
    <w:rsid w:val="00141A17"/>
    <w:rsid w:val="00141A73"/>
    <w:rsid w:val="00141A9F"/>
    <w:rsid w:val="00141AD9"/>
    <w:rsid w:val="00141AE8"/>
    <w:rsid w:val="00141AF0"/>
    <w:rsid w:val="00141AFB"/>
    <w:rsid w:val="00141B05"/>
    <w:rsid w:val="00141B19"/>
    <w:rsid w:val="00141B1D"/>
    <w:rsid w:val="00141B3C"/>
    <w:rsid w:val="00141B75"/>
    <w:rsid w:val="00141B87"/>
    <w:rsid w:val="00141B89"/>
    <w:rsid w:val="00141BC6"/>
    <w:rsid w:val="00141BCB"/>
    <w:rsid w:val="00141BD3"/>
    <w:rsid w:val="00141BDE"/>
    <w:rsid w:val="00141C51"/>
    <w:rsid w:val="00141C5C"/>
    <w:rsid w:val="00141CD6"/>
    <w:rsid w:val="00141CE6"/>
    <w:rsid w:val="00141D33"/>
    <w:rsid w:val="00141D99"/>
    <w:rsid w:val="00141DD1"/>
    <w:rsid w:val="00141E15"/>
    <w:rsid w:val="00141E29"/>
    <w:rsid w:val="00141E3E"/>
    <w:rsid w:val="00141EF0"/>
    <w:rsid w:val="00141EF3"/>
    <w:rsid w:val="00141F05"/>
    <w:rsid w:val="00141F36"/>
    <w:rsid w:val="00141F45"/>
    <w:rsid w:val="00141F4A"/>
    <w:rsid w:val="00141F6F"/>
    <w:rsid w:val="00141FD4"/>
    <w:rsid w:val="00141FE4"/>
    <w:rsid w:val="00142008"/>
    <w:rsid w:val="00142023"/>
    <w:rsid w:val="0014203B"/>
    <w:rsid w:val="00142045"/>
    <w:rsid w:val="0014209A"/>
    <w:rsid w:val="001420B7"/>
    <w:rsid w:val="00142113"/>
    <w:rsid w:val="0014211B"/>
    <w:rsid w:val="00142199"/>
    <w:rsid w:val="001421F8"/>
    <w:rsid w:val="00142234"/>
    <w:rsid w:val="00142277"/>
    <w:rsid w:val="0014228D"/>
    <w:rsid w:val="001422A9"/>
    <w:rsid w:val="001422B9"/>
    <w:rsid w:val="0014233F"/>
    <w:rsid w:val="00142383"/>
    <w:rsid w:val="001423A2"/>
    <w:rsid w:val="0014241C"/>
    <w:rsid w:val="0014241F"/>
    <w:rsid w:val="00142421"/>
    <w:rsid w:val="00142426"/>
    <w:rsid w:val="00142455"/>
    <w:rsid w:val="0014247B"/>
    <w:rsid w:val="00142484"/>
    <w:rsid w:val="001424DF"/>
    <w:rsid w:val="00142587"/>
    <w:rsid w:val="0014258F"/>
    <w:rsid w:val="00142592"/>
    <w:rsid w:val="001425ED"/>
    <w:rsid w:val="0014260E"/>
    <w:rsid w:val="00142631"/>
    <w:rsid w:val="00142680"/>
    <w:rsid w:val="001426BF"/>
    <w:rsid w:val="00142792"/>
    <w:rsid w:val="001427BC"/>
    <w:rsid w:val="001427CA"/>
    <w:rsid w:val="001427CF"/>
    <w:rsid w:val="001427E2"/>
    <w:rsid w:val="001427E6"/>
    <w:rsid w:val="00142813"/>
    <w:rsid w:val="0014284D"/>
    <w:rsid w:val="001428C1"/>
    <w:rsid w:val="001428DC"/>
    <w:rsid w:val="00142928"/>
    <w:rsid w:val="0014293B"/>
    <w:rsid w:val="00142945"/>
    <w:rsid w:val="0014295B"/>
    <w:rsid w:val="00142977"/>
    <w:rsid w:val="00142982"/>
    <w:rsid w:val="001429A7"/>
    <w:rsid w:val="001429B6"/>
    <w:rsid w:val="00142B0B"/>
    <w:rsid w:val="00142B36"/>
    <w:rsid w:val="00142B53"/>
    <w:rsid w:val="00142B86"/>
    <w:rsid w:val="00142BB4"/>
    <w:rsid w:val="00142BB6"/>
    <w:rsid w:val="00142BC0"/>
    <w:rsid w:val="00142BCF"/>
    <w:rsid w:val="00142BDC"/>
    <w:rsid w:val="00142C44"/>
    <w:rsid w:val="00142C59"/>
    <w:rsid w:val="00142C65"/>
    <w:rsid w:val="00142C8D"/>
    <w:rsid w:val="00142C97"/>
    <w:rsid w:val="00142CC6"/>
    <w:rsid w:val="00142D82"/>
    <w:rsid w:val="00142D88"/>
    <w:rsid w:val="00142D9F"/>
    <w:rsid w:val="00142E11"/>
    <w:rsid w:val="00142E62"/>
    <w:rsid w:val="00142E64"/>
    <w:rsid w:val="00142E86"/>
    <w:rsid w:val="00142F25"/>
    <w:rsid w:val="00142F32"/>
    <w:rsid w:val="00142F67"/>
    <w:rsid w:val="00142FE5"/>
    <w:rsid w:val="00142FF9"/>
    <w:rsid w:val="00143049"/>
    <w:rsid w:val="00143062"/>
    <w:rsid w:val="001430AB"/>
    <w:rsid w:val="001430E3"/>
    <w:rsid w:val="00143125"/>
    <w:rsid w:val="0014313C"/>
    <w:rsid w:val="0014314E"/>
    <w:rsid w:val="001431B8"/>
    <w:rsid w:val="001431D1"/>
    <w:rsid w:val="001431FE"/>
    <w:rsid w:val="00143224"/>
    <w:rsid w:val="0014327A"/>
    <w:rsid w:val="0014328B"/>
    <w:rsid w:val="001432CB"/>
    <w:rsid w:val="0014331D"/>
    <w:rsid w:val="0014333A"/>
    <w:rsid w:val="0014333D"/>
    <w:rsid w:val="0014334A"/>
    <w:rsid w:val="00143362"/>
    <w:rsid w:val="0014336A"/>
    <w:rsid w:val="00143414"/>
    <w:rsid w:val="00143446"/>
    <w:rsid w:val="0014345A"/>
    <w:rsid w:val="001434B3"/>
    <w:rsid w:val="00143519"/>
    <w:rsid w:val="0014354A"/>
    <w:rsid w:val="0014354D"/>
    <w:rsid w:val="00143599"/>
    <w:rsid w:val="001435BD"/>
    <w:rsid w:val="001435E0"/>
    <w:rsid w:val="001435F1"/>
    <w:rsid w:val="0014360C"/>
    <w:rsid w:val="00143688"/>
    <w:rsid w:val="001436BA"/>
    <w:rsid w:val="0014370C"/>
    <w:rsid w:val="00143717"/>
    <w:rsid w:val="0014372B"/>
    <w:rsid w:val="00143748"/>
    <w:rsid w:val="001437CC"/>
    <w:rsid w:val="00143830"/>
    <w:rsid w:val="0014383A"/>
    <w:rsid w:val="0014389E"/>
    <w:rsid w:val="001438AD"/>
    <w:rsid w:val="00143984"/>
    <w:rsid w:val="00143990"/>
    <w:rsid w:val="00143A28"/>
    <w:rsid w:val="00143A2C"/>
    <w:rsid w:val="00143A5C"/>
    <w:rsid w:val="00143AC9"/>
    <w:rsid w:val="00143B8D"/>
    <w:rsid w:val="00143B93"/>
    <w:rsid w:val="00143B9E"/>
    <w:rsid w:val="00143BBB"/>
    <w:rsid w:val="00143CD4"/>
    <w:rsid w:val="00143D36"/>
    <w:rsid w:val="00143D3B"/>
    <w:rsid w:val="00143D99"/>
    <w:rsid w:val="00143DEA"/>
    <w:rsid w:val="00143E0F"/>
    <w:rsid w:val="00143E4A"/>
    <w:rsid w:val="00143EBB"/>
    <w:rsid w:val="00143F31"/>
    <w:rsid w:val="00143F40"/>
    <w:rsid w:val="00143FAC"/>
    <w:rsid w:val="00143FBD"/>
    <w:rsid w:val="00143FED"/>
    <w:rsid w:val="00144070"/>
    <w:rsid w:val="0014407B"/>
    <w:rsid w:val="001440BC"/>
    <w:rsid w:val="001440E0"/>
    <w:rsid w:val="0014411C"/>
    <w:rsid w:val="0014417C"/>
    <w:rsid w:val="00144195"/>
    <w:rsid w:val="001442BC"/>
    <w:rsid w:val="001442C3"/>
    <w:rsid w:val="00144329"/>
    <w:rsid w:val="0014432E"/>
    <w:rsid w:val="00144396"/>
    <w:rsid w:val="001443BD"/>
    <w:rsid w:val="0014440D"/>
    <w:rsid w:val="00144420"/>
    <w:rsid w:val="00144426"/>
    <w:rsid w:val="001444AA"/>
    <w:rsid w:val="0014452B"/>
    <w:rsid w:val="00144532"/>
    <w:rsid w:val="00144570"/>
    <w:rsid w:val="00144611"/>
    <w:rsid w:val="00144655"/>
    <w:rsid w:val="00144670"/>
    <w:rsid w:val="0014467D"/>
    <w:rsid w:val="00144681"/>
    <w:rsid w:val="0014469C"/>
    <w:rsid w:val="0014469F"/>
    <w:rsid w:val="001446AA"/>
    <w:rsid w:val="0014474C"/>
    <w:rsid w:val="0014474E"/>
    <w:rsid w:val="001447CD"/>
    <w:rsid w:val="00144825"/>
    <w:rsid w:val="00144872"/>
    <w:rsid w:val="001448AB"/>
    <w:rsid w:val="00144918"/>
    <w:rsid w:val="00144946"/>
    <w:rsid w:val="0014494A"/>
    <w:rsid w:val="00144967"/>
    <w:rsid w:val="0014496B"/>
    <w:rsid w:val="00144992"/>
    <w:rsid w:val="001449DE"/>
    <w:rsid w:val="001449EB"/>
    <w:rsid w:val="00144A02"/>
    <w:rsid w:val="00144A1C"/>
    <w:rsid w:val="00144A36"/>
    <w:rsid w:val="00144A3F"/>
    <w:rsid w:val="00144A47"/>
    <w:rsid w:val="00144A78"/>
    <w:rsid w:val="00144AD6"/>
    <w:rsid w:val="00144AE8"/>
    <w:rsid w:val="00144AEC"/>
    <w:rsid w:val="00144AF0"/>
    <w:rsid w:val="00144B16"/>
    <w:rsid w:val="00144B57"/>
    <w:rsid w:val="00144B6C"/>
    <w:rsid w:val="00144B7B"/>
    <w:rsid w:val="00144BC4"/>
    <w:rsid w:val="00144BCD"/>
    <w:rsid w:val="00144BF8"/>
    <w:rsid w:val="00144C08"/>
    <w:rsid w:val="00144C92"/>
    <w:rsid w:val="00144C9E"/>
    <w:rsid w:val="00144D13"/>
    <w:rsid w:val="00144D4F"/>
    <w:rsid w:val="00144D68"/>
    <w:rsid w:val="00144DA6"/>
    <w:rsid w:val="00144DF0"/>
    <w:rsid w:val="00144E42"/>
    <w:rsid w:val="00144EA7"/>
    <w:rsid w:val="00144EE1"/>
    <w:rsid w:val="00144F00"/>
    <w:rsid w:val="00144F4C"/>
    <w:rsid w:val="00144FEA"/>
    <w:rsid w:val="00145009"/>
    <w:rsid w:val="00145013"/>
    <w:rsid w:val="00145063"/>
    <w:rsid w:val="001450F3"/>
    <w:rsid w:val="001450F7"/>
    <w:rsid w:val="0014516D"/>
    <w:rsid w:val="0014518E"/>
    <w:rsid w:val="00145228"/>
    <w:rsid w:val="00145254"/>
    <w:rsid w:val="00145289"/>
    <w:rsid w:val="001452A4"/>
    <w:rsid w:val="0014532B"/>
    <w:rsid w:val="00145344"/>
    <w:rsid w:val="0014539E"/>
    <w:rsid w:val="00145406"/>
    <w:rsid w:val="0014540A"/>
    <w:rsid w:val="00145419"/>
    <w:rsid w:val="001454B5"/>
    <w:rsid w:val="00145516"/>
    <w:rsid w:val="00145549"/>
    <w:rsid w:val="00145554"/>
    <w:rsid w:val="00145557"/>
    <w:rsid w:val="0014557E"/>
    <w:rsid w:val="001455AC"/>
    <w:rsid w:val="001455F1"/>
    <w:rsid w:val="001456A7"/>
    <w:rsid w:val="0014572B"/>
    <w:rsid w:val="00145754"/>
    <w:rsid w:val="00145760"/>
    <w:rsid w:val="0014576A"/>
    <w:rsid w:val="001457ED"/>
    <w:rsid w:val="0014580F"/>
    <w:rsid w:val="0014582E"/>
    <w:rsid w:val="001458A9"/>
    <w:rsid w:val="001458C4"/>
    <w:rsid w:val="001458CE"/>
    <w:rsid w:val="001458EA"/>
    <w:rsid w:val="0014590C"/>
    <w:rsid w:val="0014593D"/>
    <w:rsid w:val="00145964"/>
    <w:rsid w:val="00145969"/>
    <w:rsid w:val="001459CD"/>
    <w:rsid w:val="001459ED"/>
    <w:rsid w:val="00145A3B"/>
    <w:rsid w:val="00145AC1"/>
    <w:rsid w:val="00145AF3"/>
    <w:rsid w:val="00145AFC"/>
    <w:rsid w:val="00145B21"/>
    <w:rsid w:val="00145B3B"/>
    <w:rsid w:val="00145B51"/>
    <w:rsid w:val="00145BA1"/>
    <w:rsid w:val="00145BCB"/>
    <w:rsid w:val="00145C1A"/>
    <w:rsid w:val="00145C48"/>
    <w:rsid w:val="00145C64"/>
    <w:rsid w:val="00145CBF"/>
    <w:rsid w:val="00145CD5"/>
    <w:rsid w:val="00145D0E"/>
    <w:rsid w:val="00145D0F"/>
    <w:rsid w:val="00145D75"/>
    <w:rsid w:val="00145D7B"/>
    <w:rsid w:val="00145D91"/>
    <w:rsid w:val="00145D99"/>
    <w:rsid w:val="00145DE7"/>
    <w:rsid w:val="00145E60"/>
    <w:rsid w:val="00145E9B"/>
    <w:rsid w:val="00145E9E"/>
    <w:rsid w:val="00145EEB"/>
    <w:rsid w:val="00145F77"/>
    <w:rsid w:val="00145F7B"/>
    <w:rsid w:val="00145FB0"/>
    <w:rsid w:val="00146004"/>
    <w:rsid w:val="00146028"/>
    <w:rsid w:val="00146055"/>
    <w:rsid w:val="001460D3"/>
    <w:rsid w:val="00146112"/>
    <w:rsid w:val="00146169"/>
    <w:rsid w:val="001461BD"/>
    <w:rsid w:val="001461DF"/>
    <w:rsid w:val="001461F3"/>
    <w:rsid w:val="00146237"/>
    <w:rsid w:val="0014623F"/>
    <w:rsid w:val="001462C3"/>
    <w:rsid w:val="001462D9"/>
    <w:rsid w:val="00146300"/>
    <w:rsid w:val="0014630C"/>
    <w:rsid w:val="00146361"/>
    <w:rsid w:val="00146377"/>
    <w:rsid w:val="00146383"/>
    <w:rsid w:val="0014638C"/>
    <w:rsid w:val="001463DA"/>
    <w:rsid w:val="001463FF"/>
    <w:rsid w:val="00146428"/>
    <w:rsid w:val="00146434"/>
    <w:rsid w:val="00146463"/>
    <w:rsid w:val="00146467"/>
    <w:rsid w:val="001464C4"/>
    <w:rsid w:val="001464F3"/>
    <w:rsid w:val="0014652C"/>
    <w:rsid w:val="00146564"/>
    <w:rsid w:val="001465A3"/>
    <w:rsid w:val="001465AB"/>
    <w:rsid w:val="001465DF"/>
    <w:rsid w:val="00146646"/>
    <w:rsid w:val="0014664E"/>
    <w:rsid w:val="001466B5"/>
    <w:rsid w:val="001466CA"/>
    <w:rsid w:val="0014671D"/>
    <w:rsid w:val="00146746"/>
    <w:rsid w:val="00146768"/>
    <w:rsid w:val="0014677B"/>
    <w:rsid w:val="00146795"/>
    <w:rsid w:val="001467C3"/>
    <w:rsid w:val="0014684F"/>
    <w:rsid w:val="00146855"/>
    <w:rsid w:val="0014688B"/>
    <w:rsid w:val="001468C6"/>
    <w:rsid w:val="001468EE"/>
    <w:rsid w:val="0014690C"/>
    <w:rsid w:val="0014691F"/>
    <w:rsid w:val="00146926"/>
    <w:rsid w:val="0014693C"/>
    <w:rsid w:val="00146969"/>
    <w:rsid w:val="001469BD"/>
    <w:rsid w:val="00146A1A"/>
    <w:rsid w:val="00146AAE"/>
    <w:rsid w:val="00146B3F"/>
    <w:rsid w:val="00146B79"/>
    <w:rsid w:val="00146BBD"/>
    <w:rsid w:val="00146BD4"/>
    <w:rsid w:val="00146BD5"/>
    <w:rsid w:val="00146C4E"/>
    <w:rsid w:val="00146C5F"/>
    <w:rsid w:val="00146C6A"/>
    <w:rsid w:val="00146CC8"/>
    <w:rsid w:val="00146D31"/>
    <w:rsid w:val="00146D34"/>
    <w:rsid w:val="00146D77"/>
    <w:rsid w:val="00146DB3"/>
    <w:rsid w:val="00146DBF"/>
    <w:rsid w:val="00146DF9"/>
    <w:rsid w:val="00146E3C"/>
    <w:rsid w:val="00146EA6"/>
    <w:rsid w:val="00146EE6"/>
    <w:rsid w:val="00146F15"/>
    <w:rsid w:val="00146F28"/>
    <w:rsid w:val="00146F34"/>
    <w:rsid w:val="00146F7F"/>
    <w:rsid w:val="00146FE4"/>
    <w:rsid w:val="00146FF4"/>
    <w:rsid w:val="00146FF9"/>
    <w:rsid w:val="0014703C"/>
    <w:rsid w:val="00147067"/>
    <w:rsid w:val="00147069"/>
    <w:rsid w:val="00147099"/>
    <w:rsid w:val="001470C7"/>
    <w:rsid w:val="00147165"/>
    <w:rsid w:val="00147186"/>
    <w:rsid w:val="00147196"/>
    <w:rsid w:val="001471DC"/>
    <w:rsid w:val="00147230"/>
    <w:rsid w:val="0014724E"/>
    <w:rsid w:val="001472FC"/>
    <w:rsid w:val="00147303"/>
    <w:rsid w:val="0014734E"/>
    <w:rsid w:val="00147351"/>
    <w:rsid w:val="0014738F"/>
    <w:rsid w:val="00147390"/>
    <w:rsid w:val="00147391"/>
    <w:rsid w:val="0014739E"/>
    <w:rsid w:val="001473CB"/>
    <w:rsid w:val="001473CC"/>
    <w:rsid w:val="0014742E"/>
    <w:rsid w:val="001474E0"/>
    <w:rsid w:val="0014754D"/>
    <w:rsid w:val="00147554"/>
    <w:rsid w:val="0014759F"/>
    <w:rsid w:val="001475BC"/>
    <w:rsid w:val="00147622"/>
    <w:rsid w:val="00147699"/>
    <w:rsid w:val="00147707"/>
    <w:rsid w:val="0014771F"/>
    <w:rsid w:val="00147760"/>
    <w:rsid w:val="0014777A"/>
    <w:rsid w:val="001477B7"/>
    <w:rsid w:val="0014781F"/>
    <w:rsid w:val="001478AC"/>
    <w:rsid w:val="001478C3"/>
    <w:rsid w:val="001478CD"/>
    <w:rsid w:val="001478E6"/>
    <w:rsid w:val="001479AB"/>
    <w:rsid w:val="001479E3"/>
    <w:rsid w:val="001479F1"/>
    <w:rsid w:val="00147A2C"/>
    <w:rsid w:val="00147A3B"/>
    <w:rsid w:val="00147A5E"/>
    <w:rsid w:val="00147A66"/>
    <w:rsid w:val="00147A67"/>
    <w:rsid w:val="00147B30"/>
    <w:rsid w:val="00147B3A"/>
    <w:rsid w:val="00147C5A"/>
    <w:rsid w:val="00147CA0"/>
    <w:rsid w:val="00147CD5"/>
    <w:rsid w:val="00147CD6"/>
    <w:rsid w:val="00147D10"/>
    <w:rsid w:val="00147D77"/>
    <w:rsid w:val="00147DA5"/>
    <w:rsid w:val="00147E29"/>
    <w:rsid w:val="00147E5E"/>
    <w:rsid w:val="00147E80"/>
    <w:rsid w:val="00147ED8"/>
    <w:rsid w:val="00147F8D"/>
    <w:rsid w:val="00147F9A"/>
    <w:rsid w:val="00147F9B"/>
    <w:rsid w:val="00147FED"/>
    <w:rsid w:val="0015002D"/>
    <w:rsid w:val="00150091"/>
    <w:rsid w:val="00150129"/>
    <w:rsid w:val="0015012A"/>
    <w:rsid w:val="00150133"/>
    <w:rsid w:val="00150151"/>
    <w:rsid w:val="00150189"/>
    <w:rsid w:val="0015020D"/>
    <w:rsid w:val="001502B8"/>
    <w:rsid w:val="0015036C"/>
    <w:rsid w:val="0015037B"/>
    <w:rsid w:val="001503B3"/>
    <w:rsid w:val="001503DD"/>
    <w:rsid w:val="001503FE"/>
    <w:rsid w:val="00150407"/>
    <w:rsid w:val="00150425"/>
    <w:rsid w:val="0015050A"/>
    <w:rsid w:val="0015051C"/>
    <w:rsid w:val="001505C0"/>
    <w:rsid w:val="001505C4"/>
    <w:rsid w:val="00150632"/>
    <w:rsid w:val="00150686"/>
    <w:rsid w:val="001506F7"/>
    <w:rsid w:val="0015071A"/>
    <w:rsid w:val="001507C6"/>
    <w:rsid w:val="00150843"/>
    <w:rsid w:val="00150853"/>
    <w:rsid w:val="00150883"/>
    <w:rsid w:val="00150888"/>
    <w:rsid w:val="00150889"/>
    <w:rsid w:val="001508F4"/>
    <w:rsid w:val="001509A1"/>
    <w:rsid w:val="001509A6"/>
    <w:rsid w:val="001509D9"/>
    <w:rsid w:val="00150A1A"/>
    <w:rsid w:val="00150ACD"/>
    <w:rsid w:val="00150ACF"/>
    <w:rsid w:val="00150B02"/>
    <w:rsid w:val="00150B80"/>
    <w:rsid w:val="00150B92"/>
    <w:rsid w:val="00150BB1"/>
    <w:rsid w:val="00150C0C"/>
    <w:rsid w:val="00150C16"/>
    <w:rsid w:val="00150C22"/>
    <w:rsid w:val="00150C62"/>
    <w:rsid w:val="00150C6B"/>
    <w:rsid w:val="00150CB5"/>
    <w:rsid w:val="00150DA4"/>
    <w:rsid w:val="00150E27"/>
    <w:rsid w:val="00150E5A"/>
    <w:rsid w:val="00150E7E"/>
    <w:rsid w:val="00150E82"/>
    <w:rsid w:val="00150E94"/>
    <w:rsid w:val="00150F37"/>
    <w:rsid w:val="00151011"/>
    <w:rsid w:val="0015102B"/>
    <w:rsid w:val="0015103E"/>
    <w:rsid w:val="00151046"/>
    <w:rsid w:val="0015105E"/>
    <w:rsid w:val="001510AC"/>
    <w:rsid w:val="00151103"/>
    <w:rsid w:val="00151197"/>
    <w:rsid w:val="00151198"/>
    <w:rsid w:val="001511FE"/>
    <w:rsid w:val="0015120D"/>
    <w:rsid w:val="0015121B"/>
    <w:rsid w:val="0015123F"/>
    <w:rsid w:val="0015125C"/>
    <w:rsid w:val="00151284"/>
    <w:rsid w:val="001512B4"/>
    <w:rsid w:val="00151326"/>
    <w:rsid w:val="00151362"/>
    <w:rsid w:val="00151364"/>
    <w:rsid w:val="001513C2"/>
    <w:rsid w:val="001513D0"/>
    <w:rsid w:val="00151416"/>
    <w:rsid w:val="001514A6"/>
    <w:rsid w:val="001514A7"/>
    <w:rsid w:val="001514D9"/>
    <w:rsid w:val="001514FD"/>
    <w:rsid w:val="0015159F"/>
    <w:rsid w:val="001515D9"/>
    <w:rsid w:val="001515DF"/>
    <w:rsid w:val="001515E9"/>
    <w:rsid w:val="001515FD"/>
    <w:rsid w:val="00151658"/>
    <w:rsid w:val="00151674"/>
    <w:rsid w:val="00151677"/>
    <w:rsid w:val="00151680"/>
    <w:rsid w:val="00151698"/>
    <w:rsid w:val="001516CF"/>
    <w:rsid w:val="00151747"/>
    <w:rsid w:val="001517D4"/>
    <w:rsid w:val="00151807"/>
    <w:rsid w:val="00151849"/>
    <w:rsid w:val="001518C5"/>
    <w:rsid w:val="001518CE"/>
    <w:rsid w:val="00151905"/>
    <w:rsid w:val="00151906"/>
    <w:rsid w:val="00151967"/>
    <w:rsid w:val="001519E6"/>
    <w:rsid w:val="00151A9B"/>
    <w:rsid w:val="00151AB6"/>
    <w:rsid w:val="00151AF7"/>
    <w:rsid w:val="00151AF8"/>
    <w:rsid w:val="00151B62"/>
    <w:rsid w:val="00151BE2"/>
    <w:rsid w:val="00151C29"/>
    <w:rsid w:val="00151C8D"/>
    <w:rsid w:val="00151DD7"/>
    <w:rsid w:val="00151DF4"/>
    <w:rsid w:val="00151E10"/>
    <w:rsid w:val="00151E17"/>
    <w:rsid w:val="00151E32"/>
    <w:rsid w:val="00151E85"/>
    <w:rsid w:val="00151E95"/>
    <w:rsid w:val="00151EA8"/>
    <w:rsid w:val="00151F0E"/>
    <w:rsid w:val="00151F3B"/>
    <w:rsid w:val="00151F61"/>
    <w:rsid w:val="00151FDA"/>
    <w:rsid w:val="00151FE6"/>
    <w:rsid w:val="00151FF3"/>
    <w:rsid w:val="00152014"/>
    <w:rsid w:val="00152064"/>
    <w:rsid w:val="00152087"/>
    <w:rsid w:val="001520A3"/>
    <w:rsid w:val="001520C0"/>
    <w:rsid w:val="001520F0"/>
    <w:rsid w:val="00152142"/>
    <w:rsid w:val="0015214F"/>
    <w:rsid w:val="00152151"/>
    <w:rsid w:val="00152181"/>
    <w:rsid w:val="001521B2"/>
    <w:rsid w:val="001521D4"/>
    <w:rsid w:val="00152233"/>
    <w:rsid w:val="00152242"/>
    <w:rsid w:val="001522B7"/>
    <w:rsid w:val="001522CC"/>
    <w:rsid w:val="001522E4"/>
    <w:rsid w:val="001522F4"/>
    <w:rsid w:val="00152301"/>
    <w:rsid w:val="0015233A"/>
    <w:rsid w:val="00152348"/>
    <w:rsid w:val="00152367"/>
    <w:rsid w:val="001523EF"/>
    <w:rsid w:val="001523FE"/>
    <w:rsid w:val="00152427"/>
    <w:rsid w:val="00152449"/>
    <w:rsid w:val="001524BB"/>
    <w:rsid w:val="001524CF"/>
    <w:rsid w:val="001524F9"/>
    <w:rsid w:val="00152538"/>
    <w:rsid w:val="00152599"/>
    <w:rsid w:val="001525BE"/>
    <w:rsid w:val="001525BF"/>
    <w:rsid w:val="001525EA"/>
    <w:rsid w:val="00152607"/>
    <w:rsid w:val="00152675"/>
    <w:rsid w:val="001526A7"/>
    <w:rsid w:val="001526C8"/>
    <w:rsid w:val="00152725"/>
    <w:rsid w:val="0015273E"/>
    <w:rsid w:val="00152755"/>
    <w:rsid w:val="0015278F"/>
    <w:rsid w:val="00152794"/>
    <w:rsid w:val="001527DD"/>
    <w:rsid w:val="001527EF"/>
    <w:rsid w:val="00152825"/>
    <w:rsid w:val="00152827"/>
    <w:rsid w:val="00152875"/>
    <w:rsid w:val="00152889"/>
    <w:rsid w:val="001528BD"/>
    <w:rsid w:val="001528F9"/>
    <w:rsid w:val="00152912"/>
    <w:rsid w:val="00152919"/>
    <w:rsid w:val="00152952"/>
    <w:rsid w:val="00152975"/>
    <w:rsid w:val="00152982"/>
    <w:rsid w:val="00152996"/>
    <w:rsid w:val="001529AA"/>
    <w:rsid w:val="001529B4"/>
    <w:rsid w:val="001529CA"/>
    <w:rsid w:val="001529F3"/>
    <w:rsid w:val="001529FF"/>
    <w:rsid w:val="00152A2D"/>
    <w:rsid w:val="00152A62"/>
    <w:rsid w:val="00152A76"/>
    <w:rsid w:val="00152AA6"/>
    <w:rsid w:val="00152B01"/>
    <w:rsid w:val="00152B38"/>
    <w:rsid w:val="00152B61"/>
    <w:rsid w:val="00152BAE"/>
    <w:rsid w:val="00152C08"/>
    <w:rsid w:val="00152C4C"/>
    <w:rsid w:val="00152C69"/>
    <w:rsid w:val="00152CC8"/>
    <w:rsid w:val="00152CCB"/>
    <w:rsid w:val="00152CCD"/>
    <w:rsid w:val="00152CE4"/>
    <w:rsid w:val="00152CF4"/>
    <w:rsid w:val="00152D04"/>
    <w:rsid w:val="00152D18"/>
    <w:rsid w:val="00152D9B"/>
    <w:rsid w:val="00152D9E"/>
    <w:rsid w:val="00152DA3"/>
    <w:rsid w:val="00152DAE"/>
    <w:rsid w:val="00152DB7"/>
    <w:rsid w:val="00152DDD"/>
    <w:rsid w:val="00152E2D"/>
    <w:rsid w:val="00152E40"/>
    <w:rsid w:val="00152E47"/>
    <w:rsid w:val="00152E55"/>
    <w:rsid w:val="00152E5D"/>
    <w:rsid w:val="00152E76"/>
    <w:rsid w:val="00152E83"/>
    <w:rsid w:val="00152EB3"/>
    <w:rsid w:val="00152F2F"/>
    <w:rsid w:val="00152F4A"/>
    <w:rsid w:val="00152F4E"/>
    <w:rsid w:val="00152F61"/>
    <w:rsid w:val="00152FFB"/>
    <w:rsid w:val="00153009"/>
    <w:rsid w:val="00153026"/>
    <w:rsid w:val="00153029"/>
    <w:rsid w:val="00153070"/>
    <w:rsid w:val="001530DB"/>
    <w:rsid w:val="00153116"/>
    <w:rsid w:val="0015313C"/>
    <w:rsid w:val="00153153"/>
    <w:rsid w:val="0015315A"/>
    <w:rsid w:val="00153163"/>
    <w:rsid w:val="001531D6"/>
    <w:rsid w:val="001531E5"/>
    <w:rsid w:val="001531F7"/>
    <w:rsid w:val="00153236"/>
    <w:rsid w:val="00153249"/>
    <w:rsid w:val="00153254"/>
    <w:rsid w:val="00153257"/>
    <w:rsid w:val="0015328F"/>
    <w:rsid w:val="0015329B"/>
    <w:rsid w:val="001532A2"/>
    <w:rsid w:val="001532F5"/>
    <w:rsid w:val="00153308"/>
    <w:rsid w:val="00153416"/>
    <w:rsid w:val="00153433"/>
    <w:rsid w:val="001534A4"/>
    <w:rsid w:val="001534A7"/>
    <w:rsid w:val="001534E4"/>
    <w:rsid w:val="001534F2"/>
    <w:rsid w:val="0015352A"/>
    <w:rsid w:val="0015353E"/>
    <w:rsid w:val="00153547"/>
    <w:rsid w:val="001535AC"/>
    <w:rsid w:val="001535D3"/>
    <w:rsid w:val="001535F1"/>
    <w:rsid w:val="00153636"/>
    <w:rsid w:val="0015371A"/>
    <w:rsid w:val="0015375C"/>
    <w:rsid w:val="0015375E"/>
    <w:rsid w:val="00153785"/>
    <w:rsid w:val="00153795"/>
    <w:rsid w:val="001537B1"/>
    <w:rsid w:val="001537E5"/>
    <w:rsid w:val="00153813"/>
    <w:rsid w:val="00153876"/>
    <w:rsid w:val="00153895"/>
    <w:rsid w:val="001538FE"/>
    <w:rsid w:val="00153938"/>
    <w:rsid w:val="00153961"/>
    <w:rsid w:val="001539DD"/>
    <w:rsid w:val="001539FC"/>
    <w:rsid w:val="00153A16"/>
    <w:rsid w:val="00153A29"/>
    <w:rsid w:val="00153A4E"/>
    <w:rsid w:val="00153A51"/>
    <w:rsid w:val="00153AED"/>
    <w:rsid w:val="00153B30"/>
    <w:rsid w:val="00153BBB"/>
    <w:rsid w:val="00153BC4"/>
    <w:rsid w:val="00153C36"/>
    <w:rsid w:val="00153C39"/>
    <w:rsid w:val="00153C43"/>
    <w:rsid w:val="00153C46"/>
    <w:rsid w:val="00153C5F"/>
    <w:rsid w:val="00153CA7"/>
    <w:rsid w:val="00153CC5"/>
    <w:rsid w:val="00153CE9"/>
    <w:rsid w:val="00153D15"/>
    <w:rsid w:val="00153D17"/>
    <w:rsid w:val="00153D7F"/>
    <w:rsid w:val="00153D8E"/>
    <w:rsid w:val="00153D91"/>
    <w:rsid w:val="00153D9B"/>
    <w:rsid w:val="00153D9C"/>
    <w:rsid w:val="00153DA0"/>
    <w:rsid w:val="00153E17"/>
    <w:rsid w:val="00153EA7"/>
    <w:rsid w:val="00153EBC"/>
    <w:rsid w:val="00153EC2"/>
    <w:rsid w:val="00153F44"/>
    <w:rsid w:val="00153FB0"/>
    <w:rsid w:val="00153FB3"/>
    <w:rsid w:val="00154007"/>
    <w:rsid w:val="00154097"/>
    <w:rsid w:val="0015409E"/>
    <w:rsid w:val="0015414B"/>
    <w:rsid w:val="00154196"/>
    <w:rsid w:val="001541A5"/>
    <w:rsid w:val="001541C5"/>
    <w:rsid w:val="00154272"/>
    <w:rsid w:val="001542B8"/>
    <w:rsid w:val="00154314"/>
    <w:rsid w:val="0015431B"/>
    <w:rsid w:val="00154323"/>
    <w:rsid w:val="0015435B"/>
    <w:rsid w:val="0015435F"/>
    <w:rsid w:val="001544C1"/>
    <w:rsid w:val="001544CD"/>
    <w:rsid w:val="001544D9"/>
    <w:rsid w:val="001544EC"/>
    <w:rsid w:val="00154518"/>
    <w:rsid w:val="0015454D"/>
    <w:rsid w:val="00154572"/>
    <w:rsid w:val="00154594"/>
    <w:rsid w:val="001545BF"/>
    <w:rsid w:val="001545DF"/>
    <w:rsid w:val="001545E5"/>
    <w:rsid w:val="001545EB"/>
    <w:rsid w:val="001546BA"/>
    <w:rsid w:val="001546FB"/>
    <w:rsid w:val="0015470D"/>
    <w:rsid w:val="0015474F"/>
    <w:rsid w:val="00154813"/>
    <w:rsid w:val="0015481E"/>
    <w:rsid w:val="0015486A"/>
    <w:rsid w:val="0015488A"/>
    <w:rsid w:val="00154907"/>
    <w:rsid w:val="00154930"/>
    <w:rsid w:val="00154948"/>
    <w:rsid w:val="0015496A"/>
    <w:rsid w:val="0015496F"/>
    <w:rsid w:val="001549EC"/>
    <w:rsid w:val="00154AF5"/>
    <w:rsid w:val="00154B1D"/>
    <w:rsid w:val="00154B52"/>
    <w:rsid w:val="00154B56"/>
    <w:rsid w:val="00154B6E"/>
    <w:rsid w:val="00154BA9"/>
    <w:rsid w:val="00154BCF"/>
    <w:rsid w:val="00154BF1"/>
    <w:rsid w:val="00154BF2"/>
    <w:rsid w:val="00154C04"/>
    <w:rsid w:val="00154CAB"/>
    <w:rsid w:val="00154DA4"/>
    <w:rsid w:val="00154DF9"/>
    <w:rsid w:val="00154DFC"/>
    <w:rsid w:val="00154E35"/>
    <w:rsid w:val="00154E71"/>
    <w:rsid w:val="00154EEE"/>
    <w:rsid w:val="00154F19"/>
    <w:rsid w:val="00154F79"/>
    <w:rsid w:val="00154FBB"/>
    <w:rsid w:val="00155004"/>
    <w:rsid w:val="0015501B"/>
    <w:rsid w:val="0015509B"/>
    <w:rsid w:val="001550E6"/>
    <w:rsid w:val="00155135"/>
    <w:rsid w:val="001551B6"/>
    <w:rsid w:val="001551B8"/>
    <w:rsid w:val="001551E1"/>
    <w:rsid w:val="001551E4"/>
    <w:rsid w:val="001551E5"/>
    <w:rsid w:val="00155210"/>
    <w:rsid w:val="0015522A"/>
    <w:rsid w:val="0015538B"/>
    <w:rsid w:val="00155404"/>
    <w:rsid w:val="00155444"/>
    <w:rsid w:val="00155462"/>
    <w:rsid w:val="001554A9"/>
    <w:rsid w:val="001554BE"/>
    <w:rsid w:val="001554CB"/>
    <w:rsid w:val="001554D3"/>
    <w:rsid w:val="001554EA"/>
    <w:rsid w:val="00155523"/>
    <w:rsid w:val="00155565"/>
    <w:rsid w:val="0015559F"/>
    <w:rsid w:val="001555C5"/>
    <w:rsid w:val="00155665"/>
    <w:rsid w:val="001556FB"/>
    <w:rsid w:val="00155743"/>
    <w:rsid w:val="001557C2"/>
    <w:rsid w:val="001557D8"/>
    <w:rsid w:val="001557DA"/>
    <w:rsid w:val="00155809"/>
    <w:rsid w:val="0015581C"/>
    <w:rsid w:val="0015581D"/>
    <w:rsid w:val="0015587F"/>
    <w:rsid w:val="001558B0"/>
    <w:rsid w:val="00155906"/>
    <w:rsid w:val="00155908"/>
    <w:rsid w:val="00155950"/>
    <w:rsid w:val="001559AE"/>
    <w:rsid w:val="00155A1C"/>
    <w:rsid w:val="00155A5F"/>
    <w:rsid w:val="00155AC2"/>
    <w:rsid w:val="00155B03"/>
    <w:rsid w:val="00155B05"/>
    <w:rsid w:val="00155B26"/>
    <w:rsid w:val="00155B5E"/>
    <w:rsid w:val="00155BA1"/>
    <w:rsid w:val="00155BB6"/>
    <w:rsid w:val="00155C0D"/>
    <w:rsid w:val="00155C1F"/>
    <w:rsid w:val="00155C61"/>
    <w:rsid w:val="00155C6B"/>
    <w:rsid w:val="00155CCC"/>
    <w:rsid w:val="00155D04"/>
    <w:rsid w:val="00155D2A"/>
    <w:rsid w:val="00155D35"/>
    <w:rsid w:val="00155D5E"/>
    <w:rsid w:val="00155D72"/>
    <w:rsid w:val="00155D93"/>
    <w:rsid w:val="00155DD0"/>
    <w:rsid w:val="00155DD3"/>
    <w:rsid w:val="00155DE2"/>
    <w:rsid w:val="00155DEA"/>
    <w:rsid w:val="00155E04"/>
    <w:rsid w:val="00155E27"/>
    <w:rsid w:val="00155E4A"/>
    <w:rsid w:val="00155E74"/>
    <w:rsid w:val="00155E91"/>
    <w:rsid w:val="00155ED0"/>
    <w:rsid w:val="00155F0B"/>
    <w:rsid w:val="00155F35"/>
    <w:rsid w:val="00155FAA"/>
    <w:rsid w:val="00155FAC"/>
    <w:rsid w:val="00155FBF"/>
    <w:rsid w:val="00155FDE"/>
    <w:rsid w:val="0015603C"/>
    <w:rsid w:val="0015609B"/>
    <w:rsid w:val="001560A0"/>
    <w:rsid w:val="001560B6"/>
    <w:rsid w:val="00156111"/>
    <w:rsid w:val="00156118"/>
    <w:rsid w:val="0015611E"/>
    <w:rsid w:val="001561C7"/>
    <w:rsid w:val="001561E8"/>
    <w:rsid w:val="00156205"/>
    <w:rsid w:val="00156249"/>
    <w:rsid w:val="00156280"/>
    <w:rsid w:val="00156287"/>
    <w:rsid w:val="001562F3"/>
    <w:rsid w:val="00156316"/>
    <w:rsid w:val="00156318"/>
    <w:rsid w:val="00156388"/>
    <w:rsid w:val="001563D2"/>
    <w:rsid w:val="001563ED"/>
    <w:rsid w:val="0015642A"/>
    <w:rsid w:val="00156478"/>
    <w:rsid w:val="001564B0"/>
    <w:rsid w:val="00156511"/>
    <w:rsid w:val="00156529"/>
    <w:rsid w:val="0015653A"/>
    <w:rsid w:val="0015659D"/>
    <w:rsid w:val="001565B9"/>
    <w:rsid w:val="001565D0"/>
    <w:rsid w:val="001565DF"/>
    <w:rsid w:val="001565EC"/>
    <w:rsid w:val="00156607"/>
    <w:rsid w:val="0015662A"/>
    <w:rsid w:val="001566C1"/>
    <w:rsid w:val="001566DD"/>
    <w:rsid w:val="001566E4"/>
    <w:rsid w:val="00156753"/>
    <w:rsid w:val="00156796"/>
    <w:rsid w:val="001567C3"/>
    <w:rsid w:val="001567D7"/>
    <w:rsid w:val="0015680A"/>
    <w:rsid w:val="0015680E"/>
    <w:rsid w:val="00156810"/>
    <w:rsid w:val="00156821"/>
    <w:rsid w:val="00156887"/>
    <w:rsid w:val="001568C0"/>
    <w:rsid w:val="001568D5"/>
    <w:rsid w:val="001568DB"/>
    <w:rsid w:val="001568DC"/>
    <w:rsid w:val="001568F0"/>
    <w:rsid w:val="00156922"/>
    <w:rsid w:val="00156925"/>
    <w:rsid w:val="0015692F"/>
    <w:rsid w:val="0015693C"/>
    <w:rsid w:val="0015696E"/>
    <w:rsid w:val="001569A8"/>
    <w:rsid w:val="001569C1"/>
    <w:rsid w:val="001569E9"/>
    <w:rsid w:val="00156A07"/>
    <w:rsid w:val="00156A1D"/>
    <w:rsid w:val="00156A69"/>
    <w:rsid w:val="00156A6A"/>
    <w:rsid w:val="00156A91"/>
    <w:rsid w:val="00156B88"/>
    <w:rsid w:val="00156BA5"/>
    <w:rsid w:val="00156BBB"/>
    <w:rsid w:val="00156C37"/>
    <w:rsid w:val="00156D3A"/>
    <w:rsid w:val="00156D66"/>
    <w:rsid w:val="00156DA3"/>
    <w:rsid w:val="00156DC7"/>
    <w:rsid w:val="00156DF3"/>
    <w:rsid w:val="00156E45"/>
    <w:rsid w:val="00156E48"/>
    <w:rsid w:val="00156E60"/>
    <w:rsid w:val="00156F57"/>
    <w:rsid w:val="00156F67"/>
    <w:rsid w:val="00156F7A"/>
    <w:rsid w:val="00156FEF"/>
    <w:rsid w:val="00156FF4"/>
    <w:rsid w:val="00157001"/>
    <w:rsid w:val="00157038"/>
    <w:rsid w:val="00157057"/>
    <w:rsid w:val="001570E6"/>
    <w:rsid w:val="001570EE"/>
    <w:rsid w:val="001570FE"/>
    <w:rsid w:val="00157113"/>
    <w:rsid w:val="00157119"/>
    <w:rsid w:val="0015712C"/>
    <w:rsid w:val="00157131"/>
    <w:rsid w:val="00157160"/>
    <w:rsid w:val="0015716A"/>
    <w:rsid w:val="00157177"/>
    <w:rsid w:val="00157184"/>
    <w:rsid w:val="001571AB"/>
    <w:rsid w:val="0015724E"/>
    <w:rsid w:val="001572A1"/>
    <w:rsid w:val="001572B5"/>
    <w:rsid w:val="0015730D"/>
    <w:rsid w:val="0015731A"/>
    <w:rsid w:val="0015731F"/>
    <w:rsid w:val="00157343"/>
    <w:rsid w:val="0015741F"/>
    <w:rsid w:val="0015742C"/>
    <w:rsid w:val="0015743B"/>
    <w:rsid w:val="00157499"/>
    <w:rsid w:val="001574A1"/>
    <w:rsid w:val="001574C0"/>
    <w:rsid w:val="001574E4"/>
    <w:rsid w:val="001574F1"/>
    <w:rsid w:val="0015755D"/>
    <w:rsid w:val="001575A3"/>
    <w:rsid w:val="001575B0"/>
    <w:rsid w:val="001575F6"/>
    <w:rsid w:val="0015760B"/>
    <w:rsid w:val="0015760F"/>
    <w:rsid w:val="0015761F"/>
    <w:rsid w:val="00157661"/>
    <w:rsid w:val="001576A6"/>
    <w:rsid w:val="001576F0"/>
    <w:rsid w:val="001577CC"/>
    <w:rsid w:val="001577D7"/>
    <w:rsid w:val="0015783E"/>
    <w:rsid w:val="00157849"/>
    <w:rsid w:val="0015785A"/>
    <w:rsid w:val="001578DA"/>
    <w:rsid w:val="00157936"/>
    <w:rsid w:val="00157978"/>
    <w:rsid w:val="001579C1"/>
    <w:rsid w:val="00157A07"/>
    <w:rsid w:val="00157A87"/>
    <w:rsid w:val="00157AB5"/>
    <w:rsid w:val="00157ABA"/>
    <w:rsid w:val="00157B15"/>
    <w:rsid w:val="00157B23"/>
    <w:rsid w:val="00157B70"/>
    <w:rsid w:val="00157BA7"/>
    <w:rsid w:val="00157BBA"/>
    <w:rsid w:val="00157BE0"/>
    <w:rsid w:val="00157BF9"/>
    <w:rsid w:val="00157C1C"/>
    <w:rsid w:val="00157D20"/>
    <w:rsid w:val="00157D85"/>
    <w:rsid w:val="00157D8D"/>
    <w:rsid w:val="00157D95"/>
    <w:rsid w:val="00157DD6"/>
    <w:rsid w:val="00157E96"/>
    <w:rsid w:val="00157EF0"/>
    <w:rsid w:val="00157EFF"/>
    <w:rsid w:val="00157F2C"/>
    <w:rsid w:val="00157F3C"/>
    <w:rsid w:val="00157F3F"/>
    <w:rsid w:val="00157F5A"/>
    <w:rsid w:val="00157FE6"/>
    <w:rsid w:val="0016004C"/>
    <w:rsid w:val="00160057"/>
    <w:rsid w:val="00160097"/>
    <w:rsid w:val="001600EE"/>
    <w:rsid w:val="00160123"/>
    <w:rsid w:val="00160167"/>
    <w:rsid w:val="00160173"/>
    <w:rsid w:val="00160196"/>
    <w:rsid w:val="001601DE"/>
    <w:rsid w:val="001601E9"/>
    <w:rsid w:val="0016020C"/>
    <w:rsid w:val="00160256"/>
    <w:rsid w:val="00160292"/>
    <w:rsid w:val="001602B9"/>
    <w:rsid w:val="001602DC"/>
    <w:rsid w:val="00160311"/>
    <w:rsid w:val="00160328"/>
    <w:rsid w:val="00160329"/>
    <w:rsid w:val="00160334"/>
    <w:rsid w:val="00160449"/>
    <w:rsid w:val="00160455"/>
    <w:rsid w:val="001604FE"/>
    <w:rsid w:val="0016056E"/>
    <w:rsid w:val="0016059C"/>
    <w:rsid w:val="001605E0"/>
    <w:rsid w:val="00160642"/>
    <w:rsid w:val="0016065C"/>
    <w:rsid w:val="00160696"/>
    <w:rsid w:val="0016069F"/>
    <w:rsid w:val="001606AF"/>
    <w:rsid w:val="001606CF"/>
    <w:rsid w:val="001606E9"/>
    <w:rsid w:val="0016070B"/>
    <w:rsid w:val="00160710"/>
    <w:rsid w:val="00160744"/>
    <w:rsid w:val="001607D7"/>
    <w:rsid w:val="00160803"/>
    <w:rsid w:val="001608A1"/>
    <w:rsid w:val="00160924"/>
    <w:rsid w:val="0016093D"/>
    <w:rsid w:val="001609A0"/>
    <w:rsid w:val="001609B0"/>
    <w:rsid w:val="00160A4D"/>
    <w:rsid w:val="00160A52"/>
    <w:rsid w:val="00160AE6"/>
    <w:rsid w:val="00160AEE"/>
    <w:rsid w:val="00160AF6"/>
    <w:rsid w:val="00160B05"/>
    <w:rsid w:val="00160B4E"/>
    <w:rsid w:val="00160B67"/>
    <w:rsid w:val="00160BC0"/>
    <w:rsid w:val="00160C04"/>
    <w:rsid w:val="00160CB7"/>
    <w:rsid w:val="00160D08"/>
    <w:rsid w:val="00160D31"/>
    <w:rsid w:val="00160D52"/>
    <w:rsid w:val="00160D5B"/>
    <w:rsid w:val="00160D5C"/>
    <w:rsid w:val="00160D78"/>
    <w:rsid w:val="00160D99"/>
    <w:rsid w:val="00160DC6"/>
    <w:rsid w:val="00160DE8"/>
    <w:rsid w:val="00160E00"/>
    <w:rsid w:val="00160E41"/>
    <w:rsid w:val="00160E6D"/>
    <w:rsid w:val="00160EA2"/>
    <w:rsid w:val="00160EC4"/>
    <w:rsid w:val="00160F19"/>
    <w:rsid w:val="00160F22"/>
    <w:rsid w:val="00160FAB"/>
    <w:rsid w:val="0016100A"/>
    <w:rsid w:val="00161025"/>
    <w:rsid w:val="00161065"/>
    <w:rsid w:val="0016107D"/>
    <w:rsid w:val="0016107E"/>
    <w:rsid w:val="001610E2"/>
    <w:rsid w:val="00161183"/>
    <w:rsid w:val="001611C1"/>
    <w:rsid w:val="001611FA"/>
    <w:rsid w:val="00161223"/>
    <w:rsid w:val="0016123C"/>
    <w:rsid w:val="00161279"/>
    <w:rsid w:val="0016128D"/>
    <w:rsid w:val="001612BC"/>
    <w:rsid w:val="001612D5"/>
    <w:rsid w:val="00161330"/>
    <w:rsid w:val="0016137B"/>
    <w:rsid w:val="00161383"/>
    <w:rsid w:val="00161394"/>
    <w:rsid w:val="0016142C"/>
    <w:rsid w:val="00161445"/>
    <w:rsid w:val="00161473"/>
    <w:rsid w:val="00161490"/>
    <w:rsid w:val="001614FC"/>
    <w:rsid w:val="0016153C"/>
    <w:rsid w:val="001615D0"/>
    <w:rsid w:val="001615E9"/>
    <w:rsid w:val="00161607"/>
    <w:rsid w:val="0016160B"/>
    <w:rsid w:val="00161644"/>
    <w:rsid w:val="0016165C"/>
    <w:rsid w:val="001616C2"/>
    <w:rsid w:val="001616F0"/>
    <w:rsid w:val="001616F4"/>
    <w:rsid w:val="001616F7"/>
    <w:rsid w:val="00161709"/>
    <w:rsid w:val="0016173C"/>
    <w:rsid w:val="0016175E"/>
    <w:rsid w:val="0016175F"/>
    <w:rsid w:val="001617A5"/>
    <w:rsid w:val="001617D5"/>
    <w:rsid w:val="001617DD"/>
    <w:rsid w:val="001617EE"/>
    <w:rsid w:val="00161850"/>
    <w:rsid w:val="00161864"/>
    <w:rsid w:val="00161870"/>
    <w:rsid w:val="0016188A"/>
    <w:rsid w:val="001618E0"/>
    <w:rsid w:val="0016196D"/>
    <w:rsid w:val="0016198C"/>
    <w:rsid w:val="001619CD"/>
    <w:rsid w:val="001619E6"/>
    <w:rsid w:val="00161A36"/>
    <w:rsid w:val="00161ADA"/>
    <w:rsid w:val="00161AF8"/>
    <w:rsid w:val="00161B34"/>
    <w:rsid w:val="00161B70"/>
    <w:rsid w:val="00161C53"/>
    <w:rsid w:val="00161C7B"/>
    <w:rsid w:val="00161CA4"/>
    <w:rsid w:val="00161CE5"/>
    <w:rsid w:val="00161D50"/>
    <w:rsid w:val="00161D70"/>
    <w:rsid w:val="00161D8A"/>
    <w:rsid w:val="00161D8C"/>
    <w:rsid w:val="00161DBA"/>
    <w:rsid w:val="00161DE4"/>
    <w:rsid w:val="00161E40"/>
    <w:rsid w:val="00161E68"/>
    <w:rsid w:val="00161E71"/>
    <w:rsid w:val="00161EA4"/>
    <w:rsid w:val="00161F47"/>
    <w:rsid w:val="00161F60"/>
    <w:rsid w:val="00161F6E"/>
    <w:rsid w:val="00161F78"/>
    <w:rsid w:val="00162063"/>
    <w:rsid w:val="0016208F"/>
    <w:rsid w:val="00162092"/>
    <w:rsid w:val="001620F1"/>
    <w:rsid w:val="001620FA"/>
    <w:rsid w:val="00162161"/>
    <w:rsid w:val="00162174"/>
    <w:rsid w:val="001621D7"/>
    <w:rsid w:val="001621EE"/>
    <w:rsid w:val="001621F0"/>
    <w:rsid w:val="001621F2"/>
    <w:rsid w:val="00162206"/>
    <w:rsid w:val="00162211"/>
    <w:rsid w:val="0016221A"/>
    <w:rsid w:val="0016222A"/>
    <w:rsid w:val="00162250"/>
    <w:rsid w:val="0016228F"/>
    <w:rsid w:val="001622D0"/>
    <w:rsid w:val="001622D7"/>
    <w:rsid w:val="001622E6"/>
    <w:rsid w:val="001622E7"/>
    <w:rsid w:val="0016230F"/>
    <w:rsid w:val="0016233B"/>
    <w:rsid w:val="0016234D"/>
    <w:rsid w:val="00162356"/>
    <w:rsid w:val="00162357"/>
    <w:rsid w:val="0016238A"/>
    <w:rsid w:val="001623BF"/>
    <w:rsid w:val="001623C1"/>
    <w:rsid w:val="001623F3"/>
    <w:rsid w:val="001623FE"/>
    <w:rsid w:val="001624AE"/>
    <w:rsid w:val="001624ED"/>
    <w:rsid w:val="00162521"/>
    <w:rsid w:val="0016255A"/>
    <w:rsid w:val="00162560"/>
    <w:rsid w:val="00162563"/>
    <w:rsid w:val="001625AB"/>
    <w:rsid w:val="001625B1"/>
    <w:rsid w:val="001625F4"/>
    <w:rsid w:val="00162610"/>
    <w:rsid w:val="00162665"/>
    <w:rsid w:val="001626FF"/>
    <w:rsid w:val="00162702"/>
    <w:rsid w:val="00162750"/>
    <w:rsid w:val="00162789"/>
    <w:rsid w:val="00162790"/>
    <w:rsid w:val="001627DD"/>
    <w:rsid w:val="00162875"/>
    <w:rsid w:val="0016289B"/>
    <w:rsid w:val="0016289E"/>
    <w:rsid w:val="0016292C"/>
    <w:rsid w:val="001629D2"/>
    <w:rsid w:val="001629D4"/>
    <w:rsid w:val="001629FF"/>
    <w:rsid w:val="00162A09"/>
    <w:rsid w:val="00162A1D"/>
    <w:rsid w:val="00162AAD"/>
    <w:rsid w:val="00162B2D"/>
    <w:rsid w:val="00162B36"/>
    <w:rsid w:val="00162B49"/>
    <w:rsid w:val="00162BC0"/>
    <w:rsid w:val="00162BCE"/>
    <w:rsid w:val="00162BCF"/>
    <w:rsid w:val="00162BE6"/>
    <w:rsid w:val="00162BFE"/>
    <w:rsid w:val="00162C6D"/>
    <w:rsid w:val="00162CC0"/>
    <w:rsid w:val="00162D15"/>
    <w:rsid w:val="00162D2C"/>
    <w:rsid w:val="00162D5A"/>
    <w:rsid w:val="00162D6F"/>
    <w:rsid w:val="00162DA7"/>
    <w:rsid w:val="00162DDA"/>
    <w:rsid w:val="00162DDB"/>
    <w:rsid w:val="00162DF6"/>
    <w:rsid w:val="00162E60"/>
    <w:rsid w:val="00162ECD"/>
    <w:rsid w:val="00162EE1"/>
    <w:rsid w:val="00162F53"/>
    <w:rsid w:val="00162F7D"/>
    <w:rsid w:val="00162FE9"/>
    <w:rsid w:val="00163006"/>
    <w:rsid w:val="0016306D"/>
    <w:rsid w:val="0016308E"/>
    <w:rsid w:val="00163097"/>
    <w:rsid w:val="0016313A"/>
    <w:rsid w:val="00163151"/>
    <w:rsid w:val="00163163"/>
    <w:rsid w:val="00163191"/>
    <w:rsid w:val="00163213"/>
    <w:rsid w:val="00163222"/>
    <w:rsid w:val="0016325D"/>
    <w:rsid w:val="00163298"/>
    <w:rsid w:val="001632BF"/>
    <w:rsid w:val="001632C7"/>
    <w:rsid w:val="00163328"/>
    <w:rsid w:val="00163362"/>
    <w:rsid w:val="001633F6"/>
    <w:rsid w:val="00163470"/>
    <w:rsid w:val="0016348E"/>
    <w:rsid w:val="00163534"/>
    <w:rsid w:val="00163560"/>
    <w:rsid w:val="00163573"/>
    <w:rsid w:val="001635A6"/>
    <w:rsid w:val="001635DB"/>
    <w:rsid w:val="00163610"/>
    <w:rsid w:val="0016365A"/>
    <w:rsid w:val="00163685"/>
    <w:rsid w:val="00163694"/>
    <w:rsid w:val="001636C9"/>
    <w:rsid w:val="00163744"/>
    <w:rsid w:val="0016378D"/>
    <w:rsid w:val="0016379D"/>
    <w:rsid w:val="001637C5"/>
    <w:rsid w:val="001637DF"/>
    <w:rsid w:val="001637EC"/>
    <w:rsid w:val="00163806"/>
    <w:rsid w:val="00163808"/>
    <w:rsid w:val="0016381C"/>
    <w:rsid w:val="00163835"/>
    <w:rsid w:val="001638BA"/>
    <w:rsid w:val="001638E6"/>
    <w:rsid w:val="00163907"/>
    <w:rsid w:val="00163A09"/>
    <w:rsid w:val="00163A46"/>
    <w:rsid w:val="00163ABA"/>
    <w:rsid w:val="00163AE0"/>
    <w:rsid w:val="00163AEB"/>
    <w:rsid w:val="00163B1D"/>
    <w:rsid w:val="00163B46"/>
    <w:rsid w:val="00163B6C"/>
    <w:rsid w:val="00163B75"/>
    <w:rsid w:val="00163BDA"/>
    <w:rsid w:val="00163BEA"/>
    <w:rsid w:val="00163C00"/>
    <w:rsid w:val="00163C0D"/>
    <w:rsid w:val="00163C0F"/>
    <w:rsid w:val="00163C10"/>
    <w:rsid w:val="00163C2D"/>
    <w:rsid w:val="00163C62"/>
    <w:rsid w:val="00163C72"/>
    <w:rsid w:val="00163CA4"/>
    <w:rsid w:val="00163CDB"/>
    <w:rsid w:val="00163CF5"/>
    <w:rsid w:val="00163DBB"/>
    <w:rsid w:val="00163E75"/>
    <w:rsid w:val="00163ECD"/>
    <w:rsid w:val="00163EDC"/>
    <w:rsid w:val="00163EF4"/>
    <w:rsid w:val="00163F42"/>
    <w:rsid w:val="00163F46"/>
    <w:rsid w:val="00163F80"/>
    <w:rsid w:val="00164016"/>
    <w:rsid w:val="0016401C"/>
    <w:rsid w:val="00164057"/>
    <w:rsid w:val="0016408C"/>
    <w:rsid w:val="00164119"/>
    <w:rsid w:val="00164135"/>
    <w:rsid w:val="00164162"/>
    <w:rsid w:val="00164181"/>
    <w:rsid w:val="00164228"/>
    <w:rsid w:val="0016424A"/>
    <w:rsid w:val="001642A6"/>
    <w:rsid w:val="001642AC"/>
    <w:rsid w:val="001642C0"/>
    <w:rsid w:val="0016436E"/>
    <w:rsid w:val="001643AF"/>
    <w:rsid w:val="001643EF"/>
    <w:rsid w:val="00164408"/>
    <w:rsid w:val="00164447"/>
    <w:rsid w:val="00164482"/>
    <w:rsid w:val="00164488"/>
    <w:rsid w:val="00164490"/>
    <w:rsid w:val="00164499"/>
    <w:rsid w:val="001644C3"/>
    <w:rsid w:val="0016452A"/>
    <w:rsid w:val="00164577"/>
    <w:rsid w:val="00164599"/>
    <w:rsid w:val="001645CA"/>
    <w:rsid w:val="00164602"/>
    <w:rsid w:val="00164617"/>
    <w:rsid w:val="0016463E"/>
    <w:rsid w:val="0016467A"/>
    <w:rsid w:val="00164689"/>
    <w:rsid w:val="0016468E"/>
    <w:rsid w:val="001646A0"/>
    <w:rsid w:val="001646A5"/>
    <w:rsid w:val="001646BB"/>
    <w:rsid w:val="001646D3"/>
    <w:rsid w:val="00164729"/>
    <w:rsid w:val="00164760"/>
    <w:rsid w:val="001647AC"/>
    <w:rsid w:val="001647E8"/>
    <w:rsid w:val="0016481C"/>
    <w:rsid w:val="001648A9"/>
    <w:rsid w:val="001648C7"/>
    <w:rsid w:val="00164907"/>
    <w:rsid w:val="00164909"/>
    <w:rsid w:val="0016496D"/>
    <w:rsid w:val="00164974"/>
    <w:rsid w:val="001649A0"/>
    <w:rsid w:val="001649DC"/>
    <w:rsid w:val="00164A46"/>
    <w:rsid w:val="00164AFE"/>
    <w:rsid w:val="00164B12"/>
    <w:rsid w:val="00164B66"/>
    <w:rsid w:val="00164C0E"/>
    <w:rsid w:val="00164CC1"/>
    <w:rsid w:val="00164D12"/>
    <w:rsid w:val="00164D49"/>
    <w:rsid w:val="00164DB1"/>
    <w:rsid w:val="00164DCF"/>
    <w:rsid w:val="00164DFF"/>
    <w:rsid w:val="00164E2C"/>
    <w:rsid w:val="00164EB0"/>
    <w:rsid w:val="00164EC0"/>
    <w:rsid w:val="00164EC5"/>
    <w:rsid w:val="00164ED1"/>
    <w:rsid w:val="00164F0B"/>
    <w:rsid w:val="00164F2F"/>
    <w:rsid w:val="00164F89"/>
    <w:rsid w:val="00164FBC"/>
    <w:rsid w:val="0016504D"/>
    <w:rsid w:val="00165070"/>
    <w:rsid w:val="00165073"/>
    <w:rsid w:val="00165077"/>
    <w:rsid w:val="0016509D"/>
    <w:rsid w:val="001650A0"/>
    <w:rsid w:val="001650E9"/>
    <w:rsid w:val="001650F2"/>
    <w:rsid w:val="0016511C"/>
    <w:rsid w:val="00165123"/>
    <w:rsid w:val="00165156"/>
    <w:rsid w:val="001651A1"/>
    <w:rsid w:val="001651B0"/>
    <w:rsid w:val="0016525E"/>
    <w:rsid w:val="00165267"/>
    <w:rsid w:val="001652EB"/>
    <w:rsid w:val="00165307"/>
    <w:rsid w:val="00165360"/>
    <w:rsid w:val="00165361"/>
    <w:rsid w:val="0016544F"/>
    <w:rsid w:val="00165450"/>
    <w:rsid w:val="00165470"/>
    <w:rsid w:val="00165497"/>
    <w:rsid w:val="001654A4"/>
    <w:rsid w:val="001654A6"/>
    <w:rsid w:val="001654B6"/>
    <w:rsid w:val="001654E3"/>
    <w:rsid w:val="001654EA"/>
    <w:rsid w:val="001655EC"/>
    <w:rsid w:val="00165605"/>
    <w:rsid w:val="0016561A"/>
    <w:rsid w:val="00165629"/>
    <w:rsid w:val="00165648"/>
    <w:rsid w:val="0016568D"/>
    <w:rsid w:val="001656B5"/>
    <w:rsid w:val="001656C6"/>
    <w:rsid w:val="001656E2"/>
    <w:rsid w:val="0016573E"/>
    <w:rsid w:val="00165750"/>
    <w:rsid w:val="00165764"/>
    <w:rsid w:val="00165778"/>
    <w:rsid w:val="001657CD"/>
    <w:rsid w:val="001657F4"/>
    <w:rsid w:val="00165802"/>
    <w:rsid w:val="00165826"/>
    <w:rsid w:val="0016587C"/>
    <w:rsid w:val="0016588E"/>
    <w:rsid w:val="001658D6"/>
    <w:rsid w:val="00165929"/>
    <w:rsid w:val="00165935"/>
    <w:rsid w:val="0016593A"/>
    <w:rsid w:val="0016593E"/>
    <w:rsid w:val="00165983"/>
    <w:rsid w:val="0016598D"/>
    <w:rsid w:val="001659BC"/>
    <w:rsid w:val="001659D4"/>
    <w:rsid w:val="00165A2F"/>
    <w:rsid w:val="00165AA0"/>
    <w:rsid w:val="00165AA3"/>
    <w:rsid w:val="00165AF7"/>
    <w:rsid w:val="00165B98"/>
    <w:rsid w:val="00165C3E"/>
    <w:rsid w:val="00165CBE"/>
    <w:rsid w:val="00165E1D"/>
    <w:rsid w:val="00165E33"/>
    <w:rsid w:val="00165E56"/>
    <w:rsid w:val="00165E79"/>
    <w:rsid w:val="00165F0A"/>
    <w:rsid w:val="00165F0E"/>
    <w:rsid w:val="00165F93"/>
    <w:rsid w:val="00165F99"/>
    <w:rsid w:val="00165F9E"/>
    <w:rsid w:val="0016602B"/>
    <w:rsid w:val="00166032"/>
    <w:rsid w:val="00166038"/>
    <w:rsid w:val="00166043"/>
    <w:rsid w:val="0016607C"/>
    <w:rsid w:val="001660AE"/>
    <w:rsid w:val="001660B2"/>
    <w:rsid w:val="001660DA"/>
    <w:rsid w:val="00166117"/>
    <w:rsid w:val="0016611D"/>
    <w:rsid w:val="0016613D"/>
    <w:rsid w:val="00166140"/>
    <w:rsid w:val="0016617F"/>
    <w:rsid w:val="001661D8"/>
    <w:rsid w:val="001663B7"/>
    <w:rsid w:val="001663CB"/>
    <w:rsid w:val="001663E3"/>
    <w:rsid w:val="00166498"/>
    <w:rsid w:val="001664C3"/>
    <w:rsid w:val="00166538"/>
    <w:rsid w:val="0016654F"/>
    <w:rsid w:val="00166554"/>
    <w:rsid w:val="001665D0"/>
    <w:rsid w:val="001665FF"/>
    <w:rsid w:val="0016666E"/>
    <w:rsid w:val="00166738"/>
    <w:rsid w:val="0016674C"/>
    <w:rsid w:val="0016678C"/>
    <w:rsid w:val="001667C1"/>
    <w:rsid w:val="0016683B"/>
    <w:rsid w:val="001668EB"/>
    <w:rsid w:val="00166916"/>
    <w:rsid w:val="0016693E"/>
    <w:rsid w:val="001669C7"/>
    <w:rsid w:val="001669D3"/>
    <w:rsid w:val="001669FF"/>
    <w:rsid w:val="00166A16"/>
    <w:rsid w:val="00166A26"/>
    <w:rsid w:val="00166A57"/>
    <w:rsid w:val="00166A9D"/>
    <w:rsid w:val="00166AA1"/>
    <w:rsid w:val="00166ACD"/>
    <w:rsid w:val="00166B28"/>
    <w:rsid w:val="00166B2C"/>
    <w:rsid w:val="00166B44"/>
    <w:rsid w:val="00166C0C"/>
    <w:rsid w:val="00166C3B"/>
    <w:rsid w:val="00166C90"/>
    <w:rsid w:val="00166CE5"/>
    <w:rsid w:val="00166CF5"/>
    <w:rsid w:val="00166D0D"/>
    <w:rsid w:val="00166D29"/>
    <w:rsid w:val="00166D43"/>
    <w:rsid w:val="00166D5A"/>
    <w:rsid w:val="00166D95"/>
    <w:rsid w:val="00166DE2"/>
    <w:rsid w:val="00166E77"/>
    <w:rsid w:val="00166E79"/>
    <w:rsid w:val="00166E99"/>
    <w:rsid w:val="00166EA8"/>
    <w:rsid w:val="00166ED8"/>
    <w:rsid w:val="00166EF6"/>
    <w:rsid w:val="00166F52"/>
    <w:rsid w:val="00166F63"/>
    <w:rsid w:val="00166FA1"/>
    <w:rsid w:val="00166FD6"/>
    <w:rsid w:val="00166FEB"/>
    <w:rsid w:val="0016702B"/>
    <w:rsid w:val="00167075"/>
    <w:rsid w:val="0016708A"/>
    <w:rsid w:val="00167106"/>
    <w:rsid w:val="0016715B"/>
    <w:rsid w:val="0016715F"/>
    <w:rsid w:val="00167172"/>
    <w:rsid w:val="001671D8"/>
    <w:rsid w:val="001671D9"/>
    <w:rsid w:val="0016723F"/>
    <w:rsid w:val="00167255"/>
    <w:rsid w:val="00167276"/>
    <w:rsid w:val="00167298"/>
    <w:rsid w:val="001672B4"/>
    <w:rsid w:val="001672C9"/>
    <w:rsid w:val="001672FA"/>
    <w:rsid w:val="00167331"/>
    <w:rsid w:val="0016734F"/>
    <w:rsid w:val="00167393"/>
    <w:rsid w:val="00167398"/>
    <w:rsid w:val="001673AF"/>
    <w:rsid w:val="001673CF"/>
    <w:rsid w:val="001673D5"/>
    <w:rsid w:val="001673FE"/>
    <w:rsid w:val="0016741C"/>
    <w:rsid w:val="0016744E"/>
    <w:rsid w:val="00167488"/>
    <w:rsid w:val="001674D3"/>
    <w:rsid w:val="001674F0"/>
    <w:rsid w:val="00167506"/>
    <w:rsid w:val="00167510"/>
    <w:rsid w:val="00167529"/>
    <w:rsid w:val="001675B7"/>
    <w:rsid w:val="001675D1"/>
    <w:rsid w:val="00167659"/>
    <w:rsid w:val="00167669"/>
    <w:rsid w:val="001676BF"/>
    <w:rsid w:val="001676E1"/>
    <w:rsid w:val="0016770E"/>
    <w:rsid w:val="00167736"/>
    <w:rsid w:val="001677A5"/>
    <w:rsid w:val="001677AC"/>
    <w:rsid w:val="001677BB"/>
    <w:rsid w:val="001677DE"/>
    <w:rsid w:val="001677F5"/>
    <w:rsid w:val="001677FE"/>
    <w:rsid w:val="0016781A"/>
    <w:rsid w:val="0016781C"/>
    <w:rsid w:val="0016782C"/>
    <w:rsid w:val="00167846"/>
    <w:rsid w:val="00167849"/>
    <w:rsid w:val="0016786C"/>
    <w:rsid w:val="001678AF"/>
    <w:rsid w:val="001678B9"/>
    <w:rsid w:val="00167933"/>
    <w:rsid w:val="00167937"/>
    <w:rsid w:val="00167942"/>
    <w:rsid w:val="00167958"/>
    <w:rsid w:val="0016796D"/>
    <w:rsid w:val="001679B3"/>
    <w:rsid w:val="001679DC"/>
    <w:rsid w:val="00167A71"/>
    <w:rsid w:val="00167A85"/>
    <w:rsid w:val="00167ACD"/>
    <w:rsid w:val="00167B57"/>
    <w:rsid w:val="00167B93"/>
    <w:rsid w:val="00167BB5"/>
    <w:rsid w:val="00167C18"/>
    <w:rsid w:val="00167C33"/>
    <w:rsid w:val="00167C45"/>
    <w:rsid w:val="00167C47"/>
    <w:rsid w:val="00167CA1"/>
    <w:rsid w:val="00167CA7"/>
    <w:rsid w:val="00167CAD"/>
    <w:rsid w:val="00167CBE"/>
    <w:rsid w:val="00167CCF"/>
    <w:rsid w:val="00167CDB"/>
    <w:rsid w:val="00167D4D"/>
    <w:rsid w:val="00167D9C"/>
    <w:rsid w:val="00167E06"/>
    <w:rsid w:val="00167E0B"/>
    <w:rsid w:val="00167E33"/>
    <w:rsid w:val="00167E41"/>
    <w:rsid w:val="00167E51"/>
    <w:rsid w:val="00167E67"/>
    <w:rsid w:val="00167ED9"/>
    <w:rsid w:val="00167F5B"/>
    <w:rsid w:val="00167F76"/>
    <w:rsid w:val="00167F7E"/>
    <w:rsid w:val="00167FA3"/>
    <w:rsid w:val="00167FC1"/>
    <w:rsid w:val="0017001D"/>
    <w:rsid w:val="00170021"/>
    <w:rsid w:val="0017007F"/>
    <w:rsid w:val="0017009E"/>
    <w:rsid w:val="001700E8"/>
    <w:rsid w:val="001700F9"/>
    <w:rsid w:val="00170112"/>
    <w:rsid w:val="00170132"/>
    <w:rsid w:val="0017015C"/>
    <w:rsid w:val="00170174"/>
    <w:rsid w:val="00170207"/>
    <w:rsid w:val="0017021C"/>
    <w:rsid w:val="00170220"/>
    <w:rsid w:val="001702A7"/>
    <w:rsid w:val="001702B0"/>
    <w:rsid w:val="001702CA"/>
    <w:rsid w:val="001702E0"/>
    <w:rsid w:val="00170307"/>
    <w:rsid w:val="00170311"/>
    <w:rsid w:val="00170374"/>
    <w:rsid w:val="001703F9"/>
    <w:rsid w:val="0017044B"/>
    <w:rsid w:val="0017045B"/>
    <w:rsid w:val="00170465"/>
    <w:rsid w:val="00170488"/>
    <w:rsid w:val="0017048D"/>
    <w:rsid w:val="00170492"/>
    <w:rsid w:val="001704F9"/>
    <w:rsid w:val="001704FC"/>
    <w:rsid w:val="00170519"/>
    <w:rsid w:val="001705A0"/>
    <w:rsid w:val="00170644"/>
    <w:rsid w:val="00170660"/>
    <w:rsid w:val="001706DC"/>
    <w:rsid w:val="00170708"/>
    <w:rsid w:val="00170727"/>
    <w:rsid w:val="0017073C"/>
    <w:rsid w:val="0017073D"/>
    <w:rsid w:val="0017077E"/>
    <w:rsid w:val="001707C7"/>
    <w:rsid w:val="001707CC"/>
    <w:rsid w:val="001707EB"/>
    <w:rsid w:val="001707ED"/>
    <w:rsid w:val="0017081E"/>
    <w:rsid w:val="00170833"/>
    <w:rsid w:val="0017089D"/>
    <w:rsid w:val="00170925"/>
    <w:rsid w:val="00170977"/>
    <w:rsid w:val="00170978"/>
    <w:rsid w:val="001709C2"/>
    <w:rsid w:val="001709C7"/>
    <w:rsid w:val="001709C9"/>
    <w:rsid w:val="001709CE"/>
    <w:rsid w:val="001709DF"/>
    <w:rsid w:val="001709E1"/>
    <w:rsid w:val="001709E3"/>
    <w:rsid w:val="001709F9"/>
    <w:rsid w:val="001709FD"/>
    <w:rsid w:val="001709FE"/>
    <w:rsid w:val="00170A0B"/>
    <w:rsid w:val="00170A68"/>
    <w:rsid w:val="00170A95"/>
    <w:rsid w:val="00170AA9"/>
    <w:rsid w:val="00170B02"/>
    <w:rsid w:val="00170B8C"/>
    <w:rsid w:val="00170B99"/>
    <w:rsid w:val="00170C10"/>
    <w:rsid w:val="00170C14"/>
    <w:rsid w:val="00170C65"/>
    <w:rsid w:val="00170C69"/>
    <w:rsid w:val="00170CEB"/>
    <w:rsid w:val="00170D01"/>
    <w:rsid w:val="00170D12"/>
    <w:rsid w:val="00170D60"/>
    <w:rsid w:val="00170D6E"/>
    <w:rsid w:val="00170D80"/>
    <w:rsid w:val="00170DA3"/>
    <w:rsid w:val="00170DAB"/>
    <w:rsid w:val="00170DB5"/>
    <w:rsid w:val="00170DF3"/>
    <w:rsid w:val="00170E2C"/>
    <w:rsid w:val="00170E4A"/>
    <w:rsid w:val="00170E4D"/>
    <w:rsid w:val="00170E70"/>
    <w:rsid w:val="00170E78"/>
    <w:rsid w:val="00170EBA"/>
    <w:rsid w:val="00170ED3"/>
    <w:rsid w:val="00170EF2"/>
    <w:rsid w:val="00170F00"/>
    <w:rsid w:val="00170F14"/>
    <w:rsid w:val="00170F1E"/>
    <w:rsid w:val="00170F21"/>
    <w:rsid w:val="00170F26"/>
    <w:rsid w:val="00170F36"/>
    <w:rsid w:val="00170F5D"/>
    <w:rsid w:val="00170FA8"/>
    <w:rsid w:val="00170FC9"/>
    <w:rsid w:val="00170FE8"/>
    <w:rsid w:val="00171045"/>
    <w:rsid w:val="0017104A"/>
    <w:rsid w:val="0017104D"/>
    <w:rsid w:val="00171056"/>
    <w:rsid w:val="00171062"/>
    <w:rsid w:val="00171066"/>
    <w:rsid w:val="00171070"/>
    <w:rsid w:val="0017108E"/>
    <w:rsid w:val="00171092"/>
    <w:rsid w:val="001710BB"/>
    <w:rsid w:val="00171126"/>
    <w:rsid w:val="00171180"/>
    <w:rsid w:val="0017119A"/>
    <w:rsid w:val="001711BF"/>
    <w:rsid w:val="001711CF"/>
    <w:rsid w:val="001711E3"/>
    <w:rsid w:val="0017121E"/>
    <w:rsid w:val="00171244"/>
    <w:rsid w:val="00171248"/>
    <w:rsid w:val="0017124A"/>
    <w:rsid w:val="00171260"/>
    <w:rsid w:val="001712A3"/>
    <w:rsid w:val="001712B9"/>
    <w:rsid w:val="0017131B"/>
    <w:rsid w:val="0017131C"/>
    <w:rsid w:val="0017134D"/>
    <w:rsid w:val="00171368"/>
    <w:rsid w:val="001713C9"/>
    <w:rsid w:val="00171408"/>
    <w:rsid w:val="00171410"/>
    <w:rsid w:val="0017141B"/>
    <w:rsid w:val="0017142C"/>
    <w:rsid w:val="00171440"/>
    <w:rsid w:val="00171447"/>
    <w:rsid w:val="0017145B"/>
    <w:rsid w:val="001714DB"/>
    <w:rsid w:val="00171546"/>
    <w:rsid w:val="00171574"/>
    <w:rsid w:val="001715C8"/>
    <w:rsid w:val="001715DB"/>
    <w:rsid w:val="001715F4"/>
    <w:rsid w:val="00171616"/>
    <w:rsid w:val="00171617"/>
    <w:rsid w:val="00171648"/>
    <w:rsid w:val="0017167D"/>
    <w:rsid w:val="001716A1"/>
    <w:rsid w:val="00171701"/>
    <w:rsid w:val="00171716"/>
    <w:rsid w:val="00171744"/>
    <w:rsid w:val="0017178D"/>
    <w:rsid w:val="00171790"/>
    <w:rsid w:val="001717A5"/>
    <w:rsid w:val="001717D7"/>
    <w:rsid w:val="00171847"/>
    <w:rsid w:val="001718B0"/>
    <w:rsid w:val="001718D0"/>
    <w:rsid w:val="001718DC"/>
    <w:rsid w:val="001718E1"/>
    <w:rsid w:val="001718FB"/>
    <w:rsid w:val="0017196E"/>
    <w:rsid w:val="001719E5"/>
    <w:rsid w:val="001719E8"/>
    <w:rsid w:val="00171A22"/>
    <w:rsid w:val="00171A55"/>
    <w:rsid w:val="00171A65"/>
    <w:rsid w:val="00171A84"/>
    <w:rsid w:val="00171AAB"/>
    <w:rsid w:val="00171AE5"/>
    <w:rsid w:val="00171B4A"/>
    <w:rsid w:val="00171B5C"/>
    <w:rsid w:val="00171B75"/>
    <w:rsid w:val="00171B82"/>
    <w:rsid w:val="00171B8D"/>
    <w:rsid w:val="00171B9F"/>
    <w:rsid w:val="00171BA7"/>
    <w:rsid w:val="00171BBC"/>
    <w:rsid w:val="00171BCE"/>
    <w:rsid w:val="00171BF6"/>
    <w:rsid w:val="00171C09"/>
    <w:rsid w:val="00171C57"/>
    <w:rsid w:val="00171C86"/>
    <w:rsid w:val="00171C8F"/>
    <w:rsid w:val="00171C9C"/>
    <w:rsid w:val="00171D25"/>
    <w:rsid w:val="00171D48"/>
    <w:rsid w:val="00171D6A"/>
    <w:rsid w:val="00171DA3"/>
    <w:rsid w:val="00171DD4"/>
    <w:rsid w:val="00171E2E"/>
    <w:rsid w:val="00171E40"/>
    <w:rsid w:val="00171E6F"/>
    <w:rsid w:val="00171E82"/>
    <w:rsid w:val="00171E9B"/>
    <w:rsid w:val="00171EA3"/>
    <w:rsid w:val="00171F70"/>
    <w:rsid w:val="00171FBF"/>
    <w:rsid w:val="00172054"/>
    <w:rsid w:val="0017206A"/>
    <w:rsid w:val="00172075"/>
    <w:rsid w:val="00172174"/>
    <w:rsid w:val="00172180"/>
    <w:rsid w:val="001721F9"/>
    <w:rsid w:val="00172284"/>
    <w:rsid w:val="001722D5"/>
    <w:rsid w:val="0017231E"/>
    <w:rsid w:val="00172339"/>
    <w:rsid w:val="0017233C"/>
    <w:rsid w:val="00172340"/>
    <w:rsid w:val="00172348"/>
    <w:rsid w:val="00172368"/>
    <w:rsid w:val="0017241C"/>
    <w:rsid w:val="00172445"/>
    <w:rsid w:val="00172455"/>
    <w:rsid w:val="0017245A"/>
    <w:rsid w:val="00172461"/>
    <w:rsid w:val="001724DF"/>
    <w:rsid w:val="001724EA"/>
    <w:rsid w:val="00172539"/>
    <w:rsid w:val="0017254D"/>
    <w:rsid w:val="0017254E"/>
    <w:rsid w:val="001725B1"/>
    <w:rsid w:val="001725B6"/>
    <w:rsid w:val="00172657"/>
    <w:rsid w:val="001726E5"/>
    <w:rsid w:val="001726E8"/>
    <w:rsid w:val="00172707"/>
    <w:rsid w:val="00172756"/>
    <w:rsid w:val="0017278F"/>
    <w:rsid w:val="00172790"/>
    <w:rsid w:val="001727FA"/>
    <w:rsid w:val="0017281F"/>
    <w:rsid w:val="00172832"/>
    <w:rsid w:val="0017284B"/>
    <w:rsid w:val="001728B4"/>
    <w:rsid w:val="001728BC"/>
    <w:rsid w:val="001728C6"/>
    <w:rsid w:val="0017290A"/>
    <w:rsid w:val="00172935"/>
    <w:rsid w:val="00172948"/>
    <w:rsid w:val="00172959"/>
    <w:rsid w:val="00172978"/>
    <w:rsid w:val="001729BD"/>
    <w:rsid w:val="00172A7F"/>
    <w:rsid w:val="00172ABD"/>
    <w:rsid w:val="00172AC0"/>
    <w:rsid w:val="00172AE3"/>
    <w:rsid w:val="00172AEB"/>
    <w:rsid w:val="00172AF1"/>
    <w:rsid w:val="00172B39"/>
    <w:rsid w:val="00172B8C"/>
    <w:rsid w:val="00172B93"/>
    <w:rsid w:val="00172B98"/>
    <w:rsid w:val="00172BC1"/>
    <w:rsid w:val="00172BE4"/>
    <w:rsid w:val="00172C06"/>
    <w:rsid w:val="00172C34"/>
    <w:rsid w:val="00172C37"/>
    <w:rsid w:val="00172CB5"/>
    <w:rsid w:val="00172CC8"/>
    <w:rsid w:val="00172D01"/>
    <w:rsid w:val="00172D1E"/>
    <w:rsid w:val="00172D5C"/>
    <w:rsid w:val="00172D9C"/>
    <w:rsid w:val="00172DBB"/>
    <w:rsid w:val="00172E3F"/>
    <w:rsid w:val="00172E69"/>
    <w:rsid w:val="00172E78"/>
    <w:rsid w:val="00172F07"/>
    <w:rsid w:val="00172F11"/>
    <w:rsid w:val="00172F5A"/>
    <w:rsid w:val="00172F8C"/>
    <w:rsid w:val="00172F91"/>
    <w:rsid w:val="00172F9F"/>
    <w:rsid w:val="00172FA2"/>
    <w:rsid w:val="00173005"/>
    <w:rsid w:val="00173031"/>
    <w:rsid w:val="00173032"/>
    <w:rsid w:val="00173077"/>
    <w:rsid w:val="0017307E"/>
    <w:rsid w:val="0017308B"/>
    <w:rsid w:val="001730F6"/>
    <w:rsid w:val="00173129"/>
    <w:rsid w:val="00173160"/>
    <w:rsid w:val="00173187"/>
    <w:rsid w:val="00173237"/>
    <w:rsid w:val="001732A4"/>
    <w:rsid w:val="001732B5"/>
    <w:rsid w:val="001732C1"/>
    <w:rsid w:val="00173309"/>
    <w:rsid w:val="00173324"/>
    <w:rsid w:val="0017334F"/>
    <w:rsid w:val="00173382"/>
    <w:rsid w:val="001733AE"/>
    <w:rsid w:val="001733D1"/>
    <w:rsid w:val="00173406"/>
    <w:rsid w:val="00173418"/>
    <w:rsid w:val="00173440"/>
    <w:rsid w:val="00173460"/>
    <w:rsid w:val="00173477"/>
    <w:rsid w:val="001734B4"/>
    <w:rsid w:val="001734C0"/>
    <w:rsid w:val="001734EA"/>
    <w:rsid w:val="00173503"/>
    <w:rsid w:val="0017355F"/>
    <w:rsid w:val="001735BC"/>
    <w:rsid w:val="001735F5"/>
    <w:rsid w:val="0017361B"/>
    <w:rsid w:val="00173639"/>
    <w:rsid w:val="001736B6"/>
    <w:rsid w:val="0017374D"/>
    <w:rsid w:val="001737D0"/>
    <w:rsid w:val="001737D9"/>
    <w:rsid w:val="00173817"/>
    <w:rsid w:val="00173819"/>
    <w:rsid w:val="00173867"/>
    <w:rsid w:val="001738C1"/>
    <w:rsid w:val="001738FB"/>
    <w:rsid w:val="00173999"/>
    <w:rsid w:val="001739AD"/>
    <w:rsid w:val="00173A03"/>
    <w:rsid w:val="00173A1E"/>
    <w:rsid w:val="00173A8E"/>
    <w:rsid w:val="00173AA0"/>
    <w:rsid w:val="00173AA2"/>
    <w:rsid w:val="00173AC7"/>
    <w:rsid w:val="00173AD7"/>
    <w:rsid w:val="00173B02"/>
    <w:rsid w:val="00173B06"/>
    <w:rsid w:val="00173B08"/>
    <w:rsid w:val="00173B17"/>
    <w:rsid w:val="00173B38"/>
    <w:rsid w:val="00173B45"/>
    <w:rsid w:val="00173B58"/>
    <w:rsid w:val="00173B8A"/>
    <w:rsid w:val="00173C02"/>
    <w:rsid w:val="00173C3C"/>
    <w:rsid w:val="00173C6D"/>
    <w:rsid w:val="00173C9D"/>
    <w:rsid w:val="00173CF5"/>
    <w:rsid w:val="00173DCC"/>
    <w:rsid w:val="00173E02"/>
    <w:rsid w:val="00173E34"/>
    <w:rsid w:val="00173E36"/>
    <w:rsid w:val="00173E76"/>
    <w:rsid w:val="00173EC9"/>
    <w:rsid w:val="00173ED2"/>
    <w:rsid w:val="00173EE4"/>
    <w:rsid w:val="00173EFE"/>
    <w:rsid w:val="00173F07"/>
    <w:rsid w:val="00173F87"/>
    <w:rsid w:val="00173FD7"/>
    <w:rsid w:val="00173FF6"/>
    <w:rsid w:val="00174035"/>
    <w:rsid w:val="0017407D"/>
    <w:rsid w:val="0017407F"/>
    <w:rsid w:val="00174098"/>
    <w:rsid w:val="001740C3"/>
    <w:rsid w:val="00174121"/>
    <w:rsid w:val="0017417D"/>
    <w:rsid w:val="001741AF"/>
    <w:rsid w:val="00174227"/>
    <w:rsid w:val="0017428D"/>
    <w:rsid w:val="00174393"/>
    <w:rsid w:val="001743E7"/>
    <w:rsid w:val="00174415"/>
    <w:rsid w:val="0017446D"/>
    <w:rsid w:val="00174505"/>
    <w:rsid w:val="0017454B"/>
    <w:rsid w:val="00174551"/>
    <w:rsid w:val="00174597"/>
    <w:rsid w:val="0017459D"/>
    <w:rsid w:val="001745C7"/>
    <w:rsid w:val="001745D3"/>
    <w:rsid w:val="001746B9"/>
    <w:rsid w:val="001746D3"/>
    <w:rsid w:val="001746D8"/>
    <w:rsid w:val="00174733"/>
    <w:rsid w:val="0017474B"/>
    <w:rsid w:val="0017475E"/>
    <w:rsid w:val="00174771"/>
    <w:rsid w:val="00174780"/>
    <w:rsid w:val="001747CF"/>
    <w:rsid w:val="00174900"/>
    <w:rsid w:val="00174913"/>
    <w:rsid w:val="00174915"/>
    <w:rsid w:val="00174996"/>
    <w:rsid w:val="001749C0"/>
    <w:rsid w:val="00174A29"/>
    <w:rsid w:val="00174A8C"/>
    <w:rsid w:val="00174ABF"/>
    <w:rsid w:val="00174AC3"/>
    <w:rsid w:val="00174ADC"/>
    <w:rsid w:val="00174B16"/>
    <w:rsid w:val="00174B2F"/>
    <w:rsid w:val="00174BCB"/>
    <w:rsid w:val="00174BCF"/>
    <w:rsid w:val="00174C00"/>
    <w:rsid w:val="00174C3A"/>
    <w:rsid w:val="00174C4D"/>
    <w:rsid w:val="00174C63"/>
    <w:rsid w:val="00174CAA"/>
    <w:rsid w:val="00174D13"/>
    <w:rsid w:val="00174D22"/>
    <w:rsid w:val="00174D4F"/>
    <w:rsid w:val="00174D58"/>
    <w:rsid w:val="00174D73"/>
    <w:rsid w:val="00174D83"/>
    <w:rsid w:val="00174D8A"/>
    <w:rsid w:val="00174DFE"/>
    <w:rsid w:val="00174E1E"/>
    <w:rsid w:val="00174E4A"/>
    <w:rsid w:val="00174EF8"/>
    <w:rsid w:val="00174F10"/>
    <w:rsid w:val="00174F35"/>
    <w:rsid w:val="00174F41"/>
    <w:rsid w:val="00174F55"/>
    <w:rsid w:val="00174F88"/>
    <w:rsid w:val="00175044"/>
    <w:rsid w:val="001750BE"/>
    <w:rsid w:val="001750D9"/>
    <w:rsid w:val="0017511C"/>
    <w:rsid w:val="0017511E"/>
    <w:rsid w:val="0017513F"/>
    <w:rsid w:val="0017514A"/>
    <w:rsid w:val="001751F5"/>
    <w:rsid w:val="00175247"/>
    <w:rsid w:val="0017534F"/>
    <w:rsid w:val="00175393"/>
    <w:rsid w:val="001753A3"/>
    <w:rsid w:val="001753D8"/>
    <w:rsid w:val="001753E1"/>
    <w:rsid w:val="0017540C"/>
    <w:rsid w:val="00175437"/>
    <w:rsid w:val="00175495"/>
    <w:rsid w:val="001754AE"/>
    <w:rsid w:val="001754E9"/>
    <w:rsid w:val="0017553A"/>
    <w:rsid w:val="0017553E"/>
    <w:rsid w:val="00175541"/>
    <w:rsid w:val="00175557"/>
    <w:rsid w:val="0017556A"/>
    <w:rsid w:val="00175595"/>
    <w:rsid w:val="001755A4"/>
    <w:rsid w:val="001755E1"/>
    <w:rsid w:val="0017569C"/>
    <w:rsid w:val="001756B0"/>
    <w:rsid w:val="00175709"/>
    <w:rsid w:val="0017571C"/>
    <w:rsid w:val="00175754"/>
    <w:rsid w:val="0017578C"/>
    <w:rsid w:val="001757C4"/>
    <w:rsid w:val="001757EB"/>
    <w:rsid w:val="0017581D"/>
    <w:rsid w:val="00175826"/>
    <w:rsid w:val="001758FC"/>
    <w:rsid w:val="00175A85"/>
    <w:rsid w:val="00175AA8"/>
    <w:rsid w:val="00175ABC"/>
    <w:rsid w:val="00175B1F"/>
    <w:rsid w:val="00175B5C"/>
    <w:rsid w:val="00175B6A"/>
    <w:rsid w:val="00175B74"/>
    <w:rsid w:val="00175BBA"/>
    <w:rsid w:val="00175BD9"/>
    <w:rsid w:val="00175C0F"/>
    <w:rsid w:val="00175C5D"/>
    <w:rsid w:val="00175C68"/>
    <w:rsid w:val="00175C9F"/>
    <w:rsid w:val="00175CB9"/>
    <w:rsid w:val="00175CE1"/>
    <w:rsid w:val="00175CE5"/>
    <w:rsid w:val="00175CE8"/>
    <w:rsid w:val="00175DC2"/>
    <w:rsid w:val="00175E21"/>
    <w:rsid w:val="00175E53"/>
    <w:rsid w:val="00175E66"/>
    <w:rsid w:val="00175E7D"/>
    <w:rsid w:val="00175ED7"/>
    <w:rsid w:val="00175F2C"/>
    <w:rsid w:val="00175F66"/>
    <w:rsid w:val="00175F69"/>
    <w:rsid w:val="00175F9C"/>
    <w:rsid w:val="00176009"/>
    <w:rsid w:val="00176058"/>
    <w:rsid w:val="001760C2"/>
    <w:rsid w:val="001760C4"/>
    <w:rsid w:val="001760DF"/>
    <w:rsid w:val="001760EB"/>
    <w:rsid w:val="00176128"/>
    <w:rsid w:val="0017612F"/>
    <w:rsid w:val="0017614A"/>
    <w:rsid w:val="0017617D"/>
    <w:rsid w:val="001761A1"/>
    <w:rsid w:val="001761C0"/>
    <w:rsid w:val="001761EF"/>
    <w:rsid w:val="00176234"/>
    <w:rsid w:val="00176238"/>
    <w:rsid w:val="0017623E"/>
    <w:rsid w:val="001762A1"/>
    <w:rsid w:val="00176310"/>
    <w:rsid w:val="00176315"/>
    <w:rsid w:val="0017631F"/>
    <w:rsid w:val="00176330"/>
    <w:rsid w:val="001763B0"/>
    <w:rsid w:val="001763DA"/>
    <w:rsid w:val="0017644D"/>
    <w:rsid w:val="0017648C"/>
    <w:rsid w:val="001764C0"/>
    <w:rsid w:val="001764C8"/>
    <w:rsid w:val="001764D6"/>
    <w:rsid w:val="0017656F"/>
    <w:rsid w:val="00176589"/>
    <w:rsid w:val="00176596"/>
    <w:rsid w:val="00176599"/>
    <w:rsid w:val="001765C7"/>
    <w:rsid w:val="001765C9"/>
    <w:rsid w:val="001765CF"/>
    <w:rsid w:val="001765EF"/>
    <w:rsid w:val="0017663F"/>
    <w:rsid w:val="00176663"/>
    <w:rsid w:val="00176699"/>
    <w:rsid w:val="001766BC"/>
    <w:rsid w:val="00176730"/>
    <w:rsid w:val="00176750"/>
    <w:rsid w:val="001767BB"/>
    <w:rsid w:val="001767C2"/>
    <w:rsid w:val="001767D3"/>
    <w:rsid w:val="001767F6"/>
    <w:rsid w:val="001768E1"/>
    <w:rsid w:val="00176921"/>
    <w:rsid w:val="00176960"/>
    <w:rsid w:val="0017696F"/>
    <w:rsid w:val="001769BC"/>
    <w:rsid w:val="001769E6"/>
    <w:rsid w:val="001769F6"/>
    <w:rsid w:val="00176A2E"/>
    <w:rsid w:val="00176A40"/>
    <w:rsid w:val="00176A9B"/>
    <w:rsid w:val="00176A9D"/>
    <w:rsid w:val="00176AAF"/>
    <w:rsid w:val="00176B3B"/>
    <w:rsid w:val="00176BA4"/>
    <w:rsid w:val="00176BC5"/>
    <w:rsid w:val="00176BE7"/>
    <w:rsid w:val="00176C0C"/>
    <w:rsid w:val="00176C66"/>
    <w:rsid w:val="00176D54"/>
    <w:rsid w:val="00176D8F"/>
    <w:rsid w:val="00176DFA"/>
    <w:rsid w:val="00176E5B"/>
    <w:rsid w:val="00176E8D"/>
    <w:rsid w:val="00176ED5"/>
    <w:rsid w:val="00176EDD"/>
    <w:rsid w:val="00176F0B"/>
    <w:rsid w:val="00176F26"/>
    <w:rsid w:val="00176F28"/>
    <w:rsid w:val="00176F36"/>
    <w:rsid w:val="00177042"/>
    <w:rsid w:val="00177044"/>
    <w:rsid w:val="00177065"/>
    <w:rsid w:val="0017709C"/>
    <w:rsid w:val="001770DA"/>
    <w:rsid w:val="001770EF"/>
    <w:rsid w:val="00177103"/>
    <w:rsid w:val="001772D0"/>
    <w:rsid w:val="001772FC"/>
    <w:rsid w:val="00177300"/>
    <w:rsid w:val="00177311"/>
    <w:rsid w:val="001773D9"/>
    <w:rsid w:val="001773EB"/>
    <w:rsid w:val="00177467"/>
    <w:rsid w:val="00177496"/>
    <w:rsid w:val="001774BE"/>
    <w:rsid w:val="001774C8"/>
    <w:rsid w:val="001774CA"/>
    <w:rsid w:val="001774E1"/>
    <w:rsid w:val="00177536"/>
    <w:rsid w:val="00177537"/>
    <w:rsid w:val="00177545"/>
    <w:rsid w:val="00177558"/>
    <w:rsid w:val="0017760F"/>
    <w:rsid w:val="00177664"/>
    <w:rsid w:val="0017768A"/>
    <w:rsid w:val="001776EB"/>
    <w:rsid w:val="00177764"/>
    <w:rsid w:val="00177788"/>
    <w:rsid w:val="0017778D"/>
    <w:rsid w:val="001777BA"/>
    <w:rsid w:val="001777C2"/>
    <w:rsid w:val="001777CD"/>
    <w:rsid w:val="001777E2"/>
    <w:rsid w:val="001777ED"/>
    <w:rsid w:val="001777F5"/>
    <w:rsid w:val="001777FB"/>
    <w:rsid w:val="0017781C"/>
    <w:rsid w:val="0017782D"/>
    <w:rsid w:val="0017787B"/>
    <w:rsid w:val="001778E9"/>
    <w:rsid w:val="00177904"/>
    <w:rsid w:val="00177959"/>
    <w:rsid w:val="00177964"/>
    <w:rsid w:val="00177995"/>
    <w:rsid w:val="001779AF"/>
    <w:rsid w:val="001779EB"/>
    <w:rsid w:val="00177AA7"/>
    <w:rsid w:val="00177B01"/>
    <w:rsid w:val="00177B31"/>
    <w:rsid w:val="00177B5C"/>
    <w:rsid w:val="00177B94"/>
    <w:rsid w:val="00177BCC"/>
    <w:rsid w:val="00177BF4"/>
    <w:rsid w:val="00177C84"/>
    <w:rsid w:val="00177C9A"/>
    <w:rsid w:val="00177CAA"/>
    <w:rsid w:val="00177CEB"/>
    <w:rsid w:val="00177D4F"/>
    <w:rsid w:val="00177DD8"/>
    <w:rsid w:val="00177DE1"/>
    <w:rsid w:val="00177DF5"/>
    <w:rsid w:val="00177EA1"/>
    <w:rsid w:val="00177F0C"/>
    <w:rsid w:val="00177F84"/>
    <w:rsid w:val="00177FA0"/>
    <w:rsid w:val="0018001A"/>
    <w:rsid w:val="00180037"/>
    <w:rsid w:val="0018008D"/>
    <w:rsid w:val="001800A6"/>
    <w:rsid w:val="001800AB"/>
    <w:rsid w:val="001800AC"/>
    <w:rsid w:val="001800CA"/>
    <w:rsid w:val="001800E2"/>
    <w:rsid w:val="00180119"/>
    <w:rsid w:val="00180146"/>
    <w:rsid w:val="00180152"/>
    <w:rsid w:val="0018016F"/>
    <w:rsid w:val="00180170"/>
    <w:rsid w:val="001801B4"/>
    <w:rsid w:val="001801CE"/>
    <w:rsid w:val="00180362"/>
    <w:rsid w:val="00180366"/>
    <w:rsid w:val="0018038C"/>
    <w:rsid w:val="00180400"/>
    <w:rsid w:val="00180439"/>
    <w:rsid w:val="0018043B"/>
    <w:rsid w:val="0018043D"/>
    <w:rsid w:val="0018045A"/>
    <w:rsid w:val="00180460"/>
    <w:rsid w:val="001804FB"/>
    <w:rsid w:val="00180560"/>
    <w:rsid w:val="001805A8"/>
    <w:rsid w:val="001805B4"/>
    <w:rsid w:val="001805E4"/>
    <w:rsid w:val="00180673"/>
    <w:rsid w:val="001806C1"/>
    <w:rsid w:val="001806C6"/>
    <w:rsid w:val="001807BE"/>
    <w:rsid w:val="001808AD"/>
    <w:rsid w:val="001808B0"/>
    <w:rsid w:val="001808BF"/>
    <w:rsid w:val="00180917"/>
    <w:rsid w:val="00180936"/>
    <w:rsid w:val="00180942"/>
    <w:rsid w:val="00180952"/>
    <w:rsid w:val="0018095A"/>
    <w:rsid w:val="0018096D"/>
    <w:rsid w:val="001809D6"/>
    <w:rsid w:val="001809DC"/>
    <w:rsid w:val="00180A00"/>
    <w:rsid w:val="00180A93"/>
    <w:rsid w:val="00180A9E"/>
    <w:rsid w:val="00180AAD"/>
    <w:rsid w:val="00180AAF"/>
    <w:rsid w:val="00180AE6"/>
    <w:rsid w:val="00180AF3"/>
    <w:rsid w:val="00180B0C"/>
    <w:rsid w:val="00180B0F"/>
    <w:rsid w:val="00180B1D"/>
    <w:rsid w:val="00180B29"/>
    <w:rsid w:val="00180B3E"/>
    <w:rsid w:val="00180B56"/>
    <w:rsid w:val="00180B61"/>
    <w:rsid w:val="00180B7D"/>
    <w:rsid w:val="00180BA3"/>
    <w:rsid w:val="00180C61"/>
    <w:rsid w:val="00180C92"/>
    <w:rsid w:val="00180CD3"/>
    <w:rsid w:val="00180CF4"/>
    <w:rsid w:val="00180CFE"/>
    <w:rsid w:val="00180D4E"/>
    <w:rsid w:val="00180D6A"/>
    <w:rsid w:val="00180DC3"/>
    <w:rsid w:val="00180DEC"/>
    <w:rsid w:val="00180DF4"/>
    <w:rsid w:val="00180E1F"/>
    <w:rsid w:val="00180E5D"/>
    <w:rsid w:val="00180E95"/>
    <w:rsid w:val="00180ECC"/>
    <w:rsid w:val="00180F6D"/>
    <w:rsid w:val="00180FA5"/>
    <w:rsid w:val="00180FAD"/>
    <w:rsid w:val="00180FD9"/>
    <w:rsid w:val="0018101F"/>
    <w:rsid w:val="0018102D"/>
    <w:rsid w:val="00181035"/>
    <w:rsid w:val="00181058"/>
    <w:rsid w:val="001810DF"/>
    <w:rsid w:val="001810E4"/>
    <w:rsid w:val="0018110F"/>
    <w:rsid w:val="00181133"/>
    <w:rsid w:val="001811C7"/>
    <w:rsid w:val="001811D6"/>
    <w:rsid w:val="00181203"/>
    <w:rsid w:val="0018120F"/>
    <w:rsid w:val="00181268"/>
    <w:rsid w:val="00181277"/>
    <w:rsid w:val="001812EE"/>
    <w:rsid w:val="001812F4"/>
    <w:rsid w:val="0018132D"/>
    <w:rsid w:val="00181349"/>
    <w:rsid w:val="0018134A"/>
    <w:rsid w:val="001813C9"/>
    <w:rsid w:val="00181405"/>
    <w:rsid w:val="0018140A"/>
    <w:rsid w:val="0018142F"/>
    <w:rsid w:val="00181437"/>
    <w:rsid w:val="0018144E"/>
    <w:rsid w:val="001814CE"/>
    <w:rsid w:val="001814EF"/>
    <w:rsid w:val="00181502"/>
    <w:rsid w:val="00181503"/>
    <w:rsid w:val="00181536"/>
    <w:rsid w:val="00181585"/>
    <w:rsid w:val="001815C6"/>
    <w:rsid w:val="001815DC"/>
    <w:rsid w:val="001815EF"/>
    <w:rsid w:val="00181686"/>
    <w:rsid w:val="00181699"/>
    <w:rsid w:val="001816C9"/>
    <w:rsid w:val="001816CD"/>
    <w:rsid w:val="001816D8"/>
    <w:rsid w:val="001816E1"/>
    <w:rsid w:val="001816FC"/>
    <w:rsid w:val="0018176E"/>
    <w:rsid w:val="001817D3"/>
    <w:rsid w:val="001817DA"/>
    <w:rsid w:val="0018183C"/>
    <w:rsid w:val="0018183D"/>
    <w:rsid w:val="00181857"/>
    <w:rsid w:val="0018185C"/>
    <w:rsid w:val="00181864"/>
    <w:rsid w:val="00181870"/>
    <w:rsid w:val="00181877"/>
    <w:rsid w:val="0018189F"/>
    <w:rsid w:val="001818BA"/>
    <w:rsid w:val="001818DB"/>
    <w:rsid w:val="001818F7"/>
    <w:rsid w:val="001818FF"/>
    <w:rsid w:val="00181943"/>
    <w:rsid w:val="00181963"/>
    <w:rsid w:val="00181990"/>
    <w:rsid w:val="001819D6"/>
    <w:rsid w:val="00181A69"/>
    <w:rsid w:val="00181B30"/>
    <w:rsid w:val="00181B89"/>
    <w:rsid w:val="00181BB0"/>
    <w:rsid w:val="00181C25"/>
    <w:rsid w:val="00181C84"/>
    <w:rsid w:val="00181C93"/>
    <w:rsid w:val="00181C95"/>
    <w:rsid w:val="00181C98"/>
    <w:rsid w:val="00181CB3"/>
    <w:rsid w:val="00181CC2"/>
    <w:rsid w:val="00181CF5"/>
    <w:rsid w:val="00181D11"/>
    <w:rsid w:val="00181D12"/>
    <w:rsid w:val="00181D57"/>
    <w:rsid w:val="00181D68"/>
    <w:rsid w:val="00181D71"/>
    <w:rsid w:val="00181D85"/>
    <w:rsid w:val="00181E0E"/>
    <w:rsid w:val="00181E1E"/>
    <w:rsid w:val="00181E2E"/>
    <w:rsid w:val="00181E6F"/>
    <w:rsid w:val="00181EB9"/>
    <w:rsid w:val="00181F0F"/>
    <w:rsid w:val="00181F17"/>
    <w:rsid w:val="00181F5D"/>
    <w:rsid w:val="00181F78"/>
    <w:rsid w:val="00181F93"/>
    <w:rsid w:val="00181FCF"/>
    <w:rsid w:val="00181FD6"/>
    <w:rsid w:val="00181FD9"/>
    <w:rsid w:val="00181FFB"/>
    <w:rsid w:val="00182079"/>
    <w:rsid w:val="00182087"/>
    <w:rsid w:val="001820C8"/>
    <w:rsid w:val="00182102"/>
    <w:rsid w:val="0018210F"/>
    <w:rsid w:val="00182125"/>
    <w:rsid w:val="0018213E"/>
    <w:rsid w:val="00182142"/>
    <w:rsid w:val="00182176"/>
    <w:rsid w:val="001821DF"/>
    <w:rsid w:val="001821F0"/>
    <w:rsid w:val="0018226F"/>
    <w:rsid w:val="001822E5"/>
    <w:rsid w:val="00182347"/>
    <w:rsid w:val="00182389"/>
    <w:rsid w:val="00182460"/>
    <w:rsid w:val="001824EA"/>
    <w:rsid w:val="00182564"/>
    <w:rsid w:val="00182575"/>
    <w:rsid w:val="001825CF"/>
    <w:rsid w:val="001825F4"/>
    <w:rsid w:val="0018261E"/>
    <w:rsid w:val="0018264A"/>
    <w:rsid w:val="00182652"/>
    <w:rsid w:val="0018268C"/>
    <w:rsid w:val="00182698"/>
    <w:rsid w:val="001826AA"/>
    <w:rsid w:val="001826E7"/>
    <w:rsid w:val="001826E9"/>
    <w:rsid w:val="001826F2"/>
    <w:rsid w:val="001826F8"/>
    <w:rsid w:val="0018272C"/>
    <w:rsid w:val="0018275F"/>
    <w:rsid w:val="001827BE"/>
    <w:rsid w:val="00182810"/>
    <w:rsid w:val="00182821"/>
    <w:rsid w:val="00182824"/>
    <w:rsid w:val="00182849"/>
    <w:rsid w:val="00182878"/>
    <w:rsid w:val="00182965"/>
    <w:rsid w:val="001829BD"/>
    <w:rsid w:val="00182A17"/>
    <w:rsid w:val="00182A71"/>
    <w:rsid w:val="00182A74"/>
    <w:rsid w:val="00182AA1"/>
    <w:rsid w:val="00182B0F"/>
    <w:rsid w:val="00182B41"/>
    <w:rsid w:val="00182BF4"/>
    <w:rsid w:val="00182C34"/>
    <w:rsid w:val="00182C8E"/>
    <w:rsid w:val="00182CA1"/>
    <w:rsid w:val="00182CC3"/>
    <w:rsid w:val="00182CC6"/>
    <w:rsid w:val="00182CF6"/>
    <w:rsid w:val="00182D26"/>
    <w:rsid w:val="00182D53"/>
    <w:rsid w:val="00182E38"/>
    <w:rsid w:val="00182E7A"/>
    <w:rsid w:val="00182E8C"/>
    <w:rsid w:val="00182E99"/>
    <w:rsid w:val="00182EA0"/>
    <w:rsid w:val="00182EC2"/>
    <w:rsid w:val="00182F2A"/>
    <w:rsid w:val="00182F40"/>
    <w:rsid w:val="00182F5E"/>
    <w:rsid w:val="00182FE4"/>
    <w:rsid w:val="0018301D"/>
    <w:rsid w:val="001830BE"/>
    <w:rsid w:val="001830DE"/>
    <w:rsid w:val="0018314E"/>
    <w:rsid w:val="00183169"/>
    <w:rsid w:val="0018316B"/>
    <w:rsid w:val="00183190"/>
    <w:rsid w:val="001831DF"/>
    <w:rsid w:val="00183218"/>
    <w:rsid w:val="0018322D"/>
    <w:rsid w:val="00183241"/>
    <w:rsid w:val="0018326C"/>
    <w:rsid w:val="001832B5"/>
    <w:rsid w:val="001832DA"/>
    <w:rsid w:val="00183302"/>
    <w:rsid w:val="00183310"/>
    <w:rsid w:val="0018333E"/>
    <w:rsid w:val="001833F2"/>
    <w:rsid w:val="00183425"/>
    <w:rsid w:val="00183494"/>
    <w:rsid w:val="0018349C"/>
    <w:rsid w:val="001834E0"/>
    <w:rsid w:val="001834EE"/>
    <w:rsid w:val="00183590"/>
    <w:rsid w:val="001835E3"/>
    <w:rsid w:val="00183616"/>
    <w:rsid w:val="00183633"/>
    <w:rsid w:val="00183638"/>
    <w:rsid w:val="00183640"/>
    <w:rsid w:val="0018367E"/>
    <w:rsid w:val="001836AD"/>
    <w:rsid w:val="001836AF"/>
    <w:rsid w:val="001836D2"/>
    <w:rsid w:val="001836D3"/>
    <w:rsid w:val="0018376C"/>
    <w:rsid w:val="0018379E"/>
    <w:rsid w:val="00183802"/>
    <w:rsid w:val="00183804"/>
    <w:rsid w:val="0018383A"/>
    <w:rsid w:val="00183840"/>
    <w:rsid w:val="00183897"/>
    <w:rsid w:val="001838BC"/>
    <w:rsid w:val="001838D2"/>
    <w:rsid w:val="00183933"/>
    <w:rsid w:val="00183977"/>
    <w:rsid w:val="00183A18"/>
    <w:rsid w:val="00183A3F"/>
    <w:rsid w:val="00183B24"/>
    <w:rsid w:val="00183B31"/>
    <w:rsid w:val="00183BD5"/>
    <w:rsid w:val="00183BE6"/>
    <w:rsid w:val="00183BF4"/>
    <w:rsid w:val="00183BFA"/>
    <w:rsid w:val="00183C01"/>
    <w:rsid w:val="00183C40"/>
    <w:rsid w:val="00183C85"/>
    <w:rsid w:val="00183D8F"/>
    <w:rsid w:val="00183DD1"/>
    <w:rsid w:val="00183E17"/>
    <w:rsid w:val="00183EC7"/>
    <w:rsid w:val="00183EE9"/>
    <w:rsid w:val="00183EF1"/>
    <w:rsid w:val="00184000"/>
    <w:rsid w:val="00184009"/>
    <w:rsid w:val="00184010"/>
    <w:rsid w:val="0018409A"/>
    <w:rsid w:val="001840C2"/>
    <w:rsid w:val="001840E1"/>
    <w:rsid w:val="001840E7"/>
    <w:rsid w:val="00184103"/>
    <w:rsid w:val="0018410D"/>
    <w:rsid w:val="00184122"/>
    <w:rsid w:val="001841AB"/>
    <w:rsid w:val="001841E4"/>
    <w:rsid w:val="00184234"/>
    <w:rsid w:val="00184272"/>
    <w:rsid w:val="001842B5"/>
    <w:rsid w:val="001842EC"/>
    <w:rsid w:val="001842F8"/>
    <w:rsid w:val="0018435D"/>
    <w:rsid w:val="001843C9"/>
    <w:rsid w:val="001843F2"/>
    <w:rsid w:val="00184425"/>
    <w:rsid w:val="00184498"/>
    <w:rsid w:val="001844B3"/>
    <w:rsid w:val="001844B7"/>
    <w:rsid w:val="001844C6"/>
    <w:rsid w:val="001844E3"/>
    <w:rsid w:val="0018450C"/>
    <w:rsid w:val="00184570"/>
    <w:rsid w:val="001845D4"/>
    <w:rsid w:val="00184600"/>
    <w:rsid w:val="00184644"/>
    <w:rsid w:val="00184685"/>
    <w:rsid w:val="001846CD"/>
    <w:rsid w:val="001846FC"/>
    <w:rsid w:val="001847BB"/>
    <w:rsid w:val="0018481A"/>
    <w:rsid w:val="00184822"/>
    <w:rsid w:val="00184871"/>
    <w:rsid w:val="001848B0"/>
    <w:rsid w:val="001848C2"/>
    <w:rsid w:val="001848FD"/>
    <w:rsid w:val="00184958"/>
    <w:rsid w:val="0018498B"/>
    <w:rsid w:val="00184A0C"/>
    <w:rsid w:val="00184B2A"/>
    <w:rsid w:val="00184B54"/>
    <w:rsid w:val="00184B6B"/>
    <w:rsid w:val="00184B94"/>
    <w:rsid w:val="00184B97"/>
    <w:rsid w:val="00184C9E"/>
    <w:rsid w:val="00184CA3"/>
    <w:rsid w:val="00184CCE"/>
    <w:rsid w:val="00184D47"/>
    <w:rsid w:val="00184E12"/>
    <w:rsid w:val="00184E3C"/>
    <w:rsid w:val="00184E9A"/>
    <w:rsid w:val="00184EC9"/>
    <w:rsid w:val="00184ED8"/>
    <w:rsid w:val="00184EE5"/>
    <w:rsid w:val="00184F7F"/>
    <w:rsid w:val="00184F99"/>
    <w:rsid w:val="00184FBA"/>
    <w:rsid w:val="00184FCD"/>
    <w:rsid w:val="00184FD3"/>
    <w:rsid w:val="0018502C"/>
    <w:rsid w:val="00185051"/>
    <w:rsid w:val="001850D5"/>
    <w:rsid w:val="001850EB"/>
    <w:rsid w:val="001850ED"/>
    <w:rsid w:val="00185124"/>
    <w:rsid w:val="00185132"/>
    <w:rsid w:val="00185183"/>
    <w:rsid w:val="00185244"/>
    <w:rsid w:val="00185363"/>
    <w:rsid w:val="001853D2"/>
    <w:rsid w:val="00185408"/>
    <w:rsid w:val="0018546A"/>
    <w:rsid w:val="0018546F"/>
    <w:rsid w:val="001854A1"/>
    <w:rsid w:val="001854AF"/>
    <w:rsid w:val="001854C4"/>
    <w:rsid w:val="0018550B"/>
    <w:rsid w:val="0018552B"/>
    <w:rsid w:val="0018561E"/>
    <w:rsid w:val="00185634"/>
    <w:rsid w:val="00185645"/>
    <w:rsid w:val="0018568B"/>
    <w:rsid w:val="00185692"/>
    <w:rsid w:val="00185741"/>
    <w:rsid w:val="0018579C"/>
    <w:rsid w:val="0018583C"/>
    <w:rsid w:val="00185851"/>
    <w:rsid w:val="0018590C"/>
    <w:rsid w:val="00185914"/>
    <w:rsid w:val="00185926"/>
    <w:rsid w:val="0018593A"/>
    <w:rsid w:val="001859B2"/>
    <w:rsid w:val="00185A31"/>
    <w:rsid w:val="00185A50"/>
    <w:rsid w:val="00185A59"/>
    <w:rsid w:val="00185A5C"/>
    <w:rsid w:val="00185A84"/>
    <w:rsid w:val="00185AC2"/>
    <w:rsid w:val="00185ACA"/>
    <w:rsid w:val="00185AF9"/>
    <w:rsid w:val="00185AFC"/>
    <w:rsid w:val="00185BE2"/>
    <w:rsid w:val="00185C2A"/>
    <w:rsid w:val="00185C36"/>
    <w:rsid w:val="00185C56"/>
    <w:rsid w:val="00185C89"/>
    <w:rsid w:val="00185C95"/>
    <w:rsid w:val="00185CDE"/>
    <w:rsid w:val="00185D00"/>
    <w:rsid w:val="00185D15"/>
    <w:rsid w:val="00185D1B"/>
    <w:rsid w:val="00185D41"/>
    <w:rsid w:val="00185DCE"/>
    <w:rsid w:val="00185DFD"/>
    <w:rsid w:val="00185E43"/>
    <w:rsid w:val="00185E91"/>
    <w:rsid w:val="00185EB3"/>
    <w:rsid w:val="00185ECD"/>
    <w:rsid w:val="00185EFB"/>
    <w:rsid w:val="00185F16"/>
    <w:rsid w:val="00185F51"/>
    <w:rsid w:val="00185F65"/>
    <w:rsid w:val="00185F83"/>
    <w:rsid w:val="00185FA4"/>
    <w:rsid w:val="00185FF7"/>
    <w:rsid w:val="00186020"/>
    <w:rsid w:val="00186027"/>
    <w:rsid w:val="0018603B"/>
    <w:rsid w:val="0018604C"/>
    <w:rsid w:val="00186089"/>
    <w:rsid w:val="00186093"/>
    <w:rsid w:val="00186094"/>
    <w:rsid w:val="001860CF"/>
    <w:rsid w:val="001860E0"/>
    <w:rsid w:val="00186130"/>
    <w:rsid w:val="001861BB"/>
    <w:rsid w:val="001861D2"/>
    <w:rsid w:val="0018621B"/>
    <w:rsid w:val="00186278"/>
    <w:rsid w:val="0018628D"/>
    <w:rsid w:val="001862B5"/>
    <w:rsid w:val="00186322"/>
    <w:rsid w:val="00186347"/>
    <w:rsid w:val="00186421"/>
    <w:rsid w:val="00186443"/>
    <w:rsid w:val="0018645A"/>
    <w:rsid w:val="001864B6"/>
    <w:rsid w:val="001864CE"/>
    <w:rsid w:val="001864F7"/>
    <w:rsid w:val="001864FB"/>
    <w:rsid w:val="00186564"/>
    <w:rsid w:val="001865BA"/>
    <w:rsid w:val="001865D5"/>
    <w:rsid w:val="0018667E"/>
    <w:rsid w:val="00186690"/>
    <w:rsid w:val="001866A9"/>
    <w:rsid w:val="001866AC"/>
    <w:rsid w:val="001866CA"/>
    <w:rsid w:val="00186753"/>
    <w:rsid w:val="001867B7"/>
    <w:rsid w:val="001867D4"/>
    <w:rsid w:val="00186878"/>
    <w:rsid w:val="00186885"/>
    <w:rsid w:val="001868B2"/>
    <w:rsid w:val="001868B5"/>
    <w:rsid w:val="001868D7"/>
    <w:rsid w:val="001868F1"/>
    <w:rsid w:val="001868F6"/>
    <w:rsid w:val="00186916"/>
    <w:rsid w:val="00186925"/>
    <w:rsid w:val="0018693A"/>
    <w:rsid w:val="0018695E"/>
    <w:rsid w:val="001869DC"/>
    <w:rsid w:val="00186A26"/>
    <w:rsid w:val="00186A8F"/>
    <w:rsid w:val="00186AA5"/>
    <w:rsid w:val="00186B10"/>
    <w:rsid w:val="00186B3F"/>
    <w:rsid w:val="00186B61"/>
    <w:rsid w:val="00186B75"/>
    <w:rsid w:val="00186B96"/>
    <w:rsid w:val="00186BF2"/>
    <w:rsid w:val="00186C10"/>
    <w:rsid w:val="00186C15"/>
    <w:rsid w:val="00186C1F"/>
    <w:rsid w:val="00186C3D"/>
    <w:rsid w:val="00186C4F"/>
    <w:rsid w:val="00186C55"/>
    <w:rsid w:val="00186CDB"/>
    <w:rsid w:val="00186D0E"/>
    <w:rsid w:val="00186D18"/>
    <w:rsid w:val="00186D21"/>
    <w:rsid w:val="00186D5D"/>
    <w:rsid w:val="00186D61"/>
    <w:rsid w:val="00186D6C"/>
    <w:rsid w:val="00186D82"/>
    <w:rsid w:val="00186DAE"/>
    <w:rsid w:val="00186E70"/>
    <w:rsid w:val="00186E9C"/>
    <w:rsid w:val="00186EB4"/>
    <w:rsid w:val="00186F4F"/>
    <w:rsid w:val="00186F79"/>
    <w:rsid w:val="00186F9E"/>
    <w:rsid w:val="00186FC4"/>
    <w:rsid w:val="00187014"/>
    <w:rsid w:val="00187023"/>
    <w:rsid w:val="0018703C"/>
    <w:rsid w:val="0018703F"/>
    <w:rsid w:val="00187083"/>
    <w:rsid w:val="00187089"/>
    <w:rsid w:val="0018716A"/>
    <w:rsid w:val="001871A9"/>
    <w:rsid w:val="001871D0"/>
    <w:rsid w:val="001871D4"/>
    <w:rsid w:val="00187208"/>
    <w:rsid w:val="0018723D"/>
    <w:rsid w:val="00187246"/>
    <w:rsid w:val="001873CB"/>
    <w:rsid w:val="00187415"/>
    <w:rsid w:val="00187455"/>
    <w:rsid w:val="00187480"/>
    <w:rsid w:val="001874AE"/>
    <w:rsid w:val="001874CA"/>
    <w:rsid w:val="0018750E"/>
    <w:rsid w:val="001875B8"/>
    <w:rsid w:val="00187618"/>
    <w:rsid w:val="001876B7"/>
    <w:rsid w:val="00187770"/>
    <w:rsid w:val="00187798"/>
    <w:rsid w:val="001877A4"/>
    <w:rsid w:val="001877AE"/>
    <w:rsid w:val="001877B0"/>
    <w:rsid w:val="001877F8"/>
    <w:rsid w:val="00187855"/>
    <w:rsid w:val="00187867"/>
    <w:rsid w:val="00187868"/>
    <w:rsid w:val="00187869"/>
    <w:rsid w:val="00187873"/>
    <w:rsid w:val="00187895"/>
    <w:rsid w:val="0018791F"/>
    <w:rsid w:val="001879F7"/>
    <w:rsid w:val="00187A66"/>
    <w:rsid w:val="00187A6F"/>
    <w:rsid w:val="00187A74"/>
    <w:rsid w:val="00187AB7"/>
    <w:rsid w:val="00187AE2"/>
    <w:rsid w:val="00187AEC"/>
    <w:rsid w:val="00187B0F"/>
    <w:rsid w:val="00187B1B"/>
    <w:rsid w:val="00187B2C"/>
    <w:rsid w:val="00187B32"/>
    <w:rsid w:val="00187B92"/>
    <w:rsid w:val="00187BE2"/>
    <w:rsid w:val="00187BF0"/>
    <w:rsid w:val="00187C7F"/>
    <w:rsid w:val="00187CA3"/>
    <w:rsid w:val="00187D0F"/>
    <w:rsid w:val="00187D10"/>
    <w:rsid w:val="00187D18"/>
    <w:rsid w:val="00187D34"/>
    <w:rsid w:val="00187D58"/>
    <w:rsid w:val="00187D5A"/>
    <w:rsid w:val="00187D66"/>
    <w:rsid w:val="00187D72"/>
    <w:rsid w:val="00187DE8"/>
    <w:rsid w:val="00187DF2"/>
    <w:rsid w:val="00187E27"/>
    <w:rsid w:val="00187E6C"/>
    <w:rsid w:val="00187EAE"/>
    <w:rsid w:val="00187EBD"/>
    <w:rsid w:val="00187F4D"/>
    <w:rsid w:val="00187F73"/>
    <w:rsid w:val="00187F93"/>
    <w:rsid w:val="00187FAC"/>
    <w:rsid w:val="00187FE7"/>
    <w:rsid w:val="00187FEC"/>
    <w:rsid w:val="00190002"/>
    <w:rsid w:val="0019007D"/>
    <w:rsid w:val="00190091"/>
    <w:rsid w:val="001900CA"/>
    <w:rsid w:val="001900D8"/>
    <w:rsid w:val="001900FC"/>
    <w:rsid w:val="00190130"/>
    <w:rsid w:val="00190170"/>
    <w:rsid w:val="0019018A"/>
    <w:rsid w:val="001901A4"/>
    <w:rsid w:val="001901D1"/>
    <w:rsid w:val="00190206"/>
    <w:rsid w:val="001902A6"/>
    <w:rsid w:val="0019030A"/>
    <w:rsid w:val="00190368"/>
    <w:rsid w:val="001903A0"/>
    <w:rsid w:val="001903D7"/>
    <w:rsid w:val="00190416"/>
    <w:rsid w:val="0019043D"/>
    <w:rsid w:val="00190465"/>
    <w:rsid w:val="00190497"/>
    <w:rsid w:val="001904D8"/>
    <w:rsid w:val="0019050D"/>
    <w:rsid w:val="00190528"/>
    <w:rsid w:val="00190586"/>
    <w:rsid w:val="00190590"/>
    <w:rsid w:val="00190596"/>
    <w:rsid w:val="001905A7"/>
    <w:rsid w:val="001905DA"/>
    <w:rsid w:val="001905DD"/>
    <w:rsid w:val="0019062A"/>
    <w:rsid w:val="00190654"/>
    <w:rsid w:val="0019066D"/>
    <w:rsid w:val="00190698"/>
    <w:rsid w:val="001906AE"/>
    <w:rsid w:val="001906C2"/>
    <w:rsid w:val="00190796"/>
    <w:rsid w:val="001907D3"/>
    <w:rsid w:val="0019080F"/>
    <w:rsid w:val="0019082B"/>
    <w:rsid w:val="0019082F"/>
    <w:rsid w:val="001908AF"/>
    <w:rsid w:val="001908C1"/>
    <w:rsid w:val="001908F7"/>
    <w:rsid w:val="001909A9"/>
    <w:rsid w:val="001909E6"/>
    <w:rsid w:val="001909EB"/>
    <w:rsid w:val="00190A75"/>
    <w:rsid w:val="00190A7C"/>
    <w:rsid w:val="00190A9C"/>
    <w:rsid w:val="00190AB4"/>
    <w:rsid w:val="00190AC5"/>
    <w:rsid w:val="00190B04"/>
    <w:rsid w:val="00190B16"/>
    <w:rsid w:val="00190B5B"/>
    <w:rsid w:val="00190B63"/>
    <w:rsid w:val="00190BBF"/>
    <w:rsid w:val="00190BDF"/>
    <w:rsid w:val="00190C03"/>
    <w:rsid w:val="00190DA9"/>
    <w:rsid w:val="00190DB1"/>
    <w:rsid w:val="00190E2F"/>
    <w:rsid w:val="00190E44"/>
    <w:rsid w:val="00190EBE"/>
    <w:rsid w:val="00190EF0"/>
    <w:rsid w:val="00190F39"/>
    <w:rsid w:val="00190F62"/>
    <w:rsid w:val="00190F64"/>
    <w:rsid w:val="00190F7F"/>
    <w:rsid w:val="00190F82"/>
    <w:rsid w:val="00190F96"/>
    <w:rsid w:val="00190FA7"/>
    <w:rsid w:val="00191016"/>
    <w:rsid w:val="00191018"/>
    <w:rsid w:val="0019101A"/>
    <w:rsid w:val="00191090"/>
    <w:rsid w:val="00191094"/>
    <w:rsid w:val="0019109E"/>
    <w:rsid w:val="001910D5"/>
    <w:rsid w:val="00191149"/>
    <w:rsid w:val="001911C4"/>
    <w:rsid w:val="001911D1"/>
    <w:rsid w:val="001911D6"/>
    <w:rsid w:val="001911FB"/>
    <w:rsid w:val="001911FE"/>
    <w:rsid w:val="00191230"/>
    <w:rsid w:val="00191261"/>
    <w:rsid w:val="001912E0"/>
    <w:rsid w:val="001912EC"/>
    <w:rsid w:val="0019131A"/>
    <w:rsid w:val="0019131B"/>
    <w:rsid w:val="001913C3"/>
    <w:rsid w:val="001913C4"/>
    <w:rsid w:val="001913D1"/>
    <w:rsid w:val="00191456"/>
    <w:rsid w:val="00191461"/>
    <w:rsid w:val="00191468"/>
    <w:rsid w:val="0019147D"/>
    <w:rsid w:val="001914E0"/>
    <w:rsid w:val="00191546"/>
    <w:rsid w:val="00191562"/>
    <w:rsid w:val="0019159F"/>
    <w:rsid w:val="001915B4"/>
    <w:rsid w:val="001915D8"/>
    <w:rsid w:val="001915EF"/>
    <w:rsid w:val="00191629"/>
    <w:rsid w:val="0019169F"/>
    <w:rsid w:val="001916AA"/>
    <w:rsid w:val="001916BC"/>
    <w:rsid w:val="00191724"/>
    <w:rsid w:val="00191780"/>
    <w:rsid w:val="00191787"/>
    <w:rsid w:val="001917CC"/>
    <w:rsid w:val="0019181A"/>
    <w:rsid w:val="00191866"/>
    <w:rsid w:val="001918A8"/>
    <w:rsid w:val="001918B6"/>
    <w:rsid w:val="001918D6"/>
    <w:rsid w:val="00191934"/>
    <w:rsid w:val="001919DC"/>
    <w:rsid w:val="00191A83"/>
    <w:rsid w:val="00191A87"/>
    <w:rsid w:val="00191ABC"/>
    <w:rsid w:val="00191ADB"/>
    <w:rsid w:val="00191B75"/>
    <w:rsid w:val="00191B99"/>
    <w:rsid w:val="00191BEF"/>
    <w:rsid w:val="00191BF4"/>
    <w:rsid w:val="00191C42"/>
    <w:rsid w:val="00191C57"/>
    <w:rsid w:val="00191C66"/>
    <w:rsid w:val="00191C6E"/>
    <w:rsid w:val="00191C89"/>
    <w:rsid w:val="00191CA5"/>
    <w:rsid w:val="00191D0F"/>
    <w:rsid w:val="00191D8A"/>
    <w:rsid w:val="00191DA9"/>
    <w:rsid w:val="00191DAA"/>
    <w:rsid w:val="00191E2E"/>
    <w:rsid w:val="00191E4F"/>
    <w:rsid w:val="00191ECC"/>
    <w:rsid w:val="00191F31"/>
    <w:rsid w:val="00191F7B"/>
    <w:rsid w:val="00191F7D"/>
    <w:rsid w:val="00191FEB"/>
    <w:rsid w:val="00191FF7"/>
    <w:rsid w:val="0019202A"/>
    <w:rsid w:val="00192043"/>
    <w:rsid w:val="00192097"/>
    <w:rsid w:val="00192102"/>
    <w:rsid w:val="0019210A"/>
    <w:rsid w:val="0019212F"/>
    <w:rsid w:val="0019213B"/>
    <w:rsid w:val="0019216B"/>
    <w:rsid w:val="0019218A"/>
    <w:rsid w:val="00192193"/>
    <w:rsid w:val="001921E0"/>
    <w:rsid w:val="00192244"/>
    <w:rsid w:val="00192258"/>
    <w:rsid w:val="00192285"/>
    <w:rsid w:val="0019228F"/>
    <w:rsid w:val="001922F8"/>
    <w:rsid w:val="00192327"/>
    <w:rsid w:val="0019235C"/>
    <w:rsid w:val="001923A6"/>
    <w:rsid w:val="001923DB"/>
    <w:rsid w:val="001923DD"/>
    <w:rsid w:val="001923E1"/>
    <w:rsid w:val="001923E5"/>
    <w:rsid w:val="00192412"/>
    <w:rsid w:val="00192437"/>
    <w:rsid w:val="00192438"/>
    <w:rsid w:val="00192535"/>
    <w:rsid w:val="00192542"/>
    <w:rsid w:val="001925B3"/>
    <w:rsid w:val="00192608"/>
    <w:rsid w:val="0019260C"/>
    <w:rsid w:val="00192625"/>
    <w:rsid w:val="00192626"/>
    <w:rsid w:val="00192649"/>
    <w:rsid w:val="0019265E"/>
    <w:rsid w:val="001926E3"/>
    <w:rsid w:val="001926F2"/>
    <w:rsid w:val="0019273B"/>
    <w:rsid w:val="0019274B"/>
    <w:rsid w:val="001927B8"/>
    <w:rsid w:val="001927C8"/>
    <w:rsid w:val="001927D1"/>
    <w:rsid w:val="001927E1"/>
    <w:rsid w:val="00192811"/>
    <w:rsid w:val="0019282F"/>
    <w:rsid w:val="0019283E"/>
    <w:rsid w:val="001928A2"/>
    <w:rsid w:val="001928CD"/>
    <w:rsid w:val="00192912"/>
    <w:rsid w:val="00192964"/>
    <w:rsid w:val="0019296F"/>
    <w:rsid w:val="00192984"/>
    <w:rsid w:val="001929DC"/>
    <w:rsid w:val="00192A03"/>
    <w:rsid w:val="00192A2F"/>
    <w:rsid w:val="00192A3C"/>
    <w:rsid w:val="00192A41"/>
    <w:rsid w:val="00192ADE"/>
    <w:rsid w:val="00192AE2"/>
    <w:rsid w:val="00192AFB"/>
    <w:rsid w:val="00192B39"/>
    <w:rsid w:val="00192B63"/>
    <w:rsid w:val="00192BB0"/>
    <w:rsid w:val="00192BD3"/>
    <w:rsid w:val="00192BEE"/>
    <w:rsid w:val="00192C2C"/>
    <w:rsid w:val="00192C32"/>
    <w:rsid w:val="00192CAE"/>
    <w:rsid w:val="00192CC2"/>
    <w:rsid w:val="00192CC8"/>
    <w:rsid w:val="00192CF1"/>
    <w:rsid w:val="00192D1A"/>
    <w:rsid w:val="00192D97"/>
    <w:rsid w:val="00192DB4"/>
    <w:rsid w:val="00192DDE"/>
    <w:rsid w:val="00192E14"/>
    <w:rsid w:val="00192EE3"/>
    <w:rsid w:val="00192EEF"/>
    <w:rsid w:val="00192F25"/>
    <w:rsid w:val="00192F5C"/>
    <w:rsid w:val="00192F6D"/>
    <w:rsid w:val="00192FFB"/>
    <w:rsid w:val="00193020"/>
    <w:rsid w:val="0019302D"/>
    <w:rsid w:val="0019303B"/>
    <w:rsid w:val="00193056"/>
    <w:rsid w:val="00193076"/>
    <w:rsid w:val="0019317B"/>
    <w:rsid w:val="001931C5"/>
    <w:rsid w:val="00193242"/>
    <w:rsid w:val="00193255"/>
    <w:rsid w:val="00193269"/>
    <w:rsid w:val="00193308"/>
    <w:rsid w:val="0019334A"/>
    <w:rsid w:val="00193378"/>
    <w:rsid w:val="001933AA"/>
    <w:rsid w:val="001933DD"/>
    <w:rsid w:val="00193410"/>
    <w:rsid w:val="0019341C"/>
    <w:rsid w:val="0019345F"/>
    <w:rsid w:val="001934B9"/>
    <w:rsid w:val="001934C7"/>
    <w:rsid w:val="0019354C"/>
    <w:rsid w:val="0019355F"/>
    <w:rsid w:val="0019361C"/>
    <w:rsid w:val="00193688"/>
    <w:rsid w:val="00193698"/>
    <w:rsid w:val="001936F5"/>
    <w:rsid w:val="00193713"/>
    <w:rsid w:val="0019371C"/>
    <w:rsid w:val="00193761"/>
    <w:rsid w:val="001937B3"/>
    <w:rsid w:val="001937B6"/>
    <w:rsid w:val="001937C1"/>
    <w:rsid w:val="001937DD"/>
    <w:rsid w:val="00193820"/>
    <w:rsid w:val="0019382C"/>
    <w:rsid w:val="00193833"/>
    <w:rsid w:val="001938DD"/>
    <w:rsid w:val="001938E3"/>
    <w:rsid w:val="0019390F"/>
    <w:rsid w:val="00193969"/>
    <w:rsid w:val="0019396C"/>
    <w:rsid w:val="001939D9"/>
    <w:rsid w:val="00193A28"/>
    <w:rsid w:val="00193AC1"/>
    <w:rsid w:val="00193ACE"/>
    <w:rsid w:val="00193BC2"/>
    <w:rsid w:val="00193BC4"/>
    <w:rsid w:val="00193C06"/>
    <w:rsid w:val="00193C0F"/>
    <w:rsid w:val="00193CBC"/>
    <w:rsid w:val="00193CE6"/>
    <w:rsid w:val="00193D12"/>
    <w:rsid w:val="00193DB4"/>
    <w:rsid w:val="00193DD5"/>
    <w:rsid w:val="00193E69"/>
    <w:rsid w:val="00193F6B"/>
    <w:rsid w:val="00193F74"/>
    <w:rsid w:val="00193F8B"/>
    <w:rsid w:val="00193F9E"/>
    <w:rsid w:val="00194011"/>
    <w:rsid w:val="0019402E"/>
    <w:rsid w:val="00194048"/>
    <w:rsid w:val="0019406F"/>
    <w:rsid w:val="0019408E"/>
    <w:rsid w:val="00194093"/>
    <w:rsid w:val="001940B7"/>
    <w:rsid w:val="001940D4"/>
    <w:rsid w:val="00194100"/>
    <w:rsid w:val="00194104"/>
    <w:rsid w:val="0019410B"/>
    <w:rsid w:val="0019411B"/>
    <w:rsid w:val="00194124"/>
    <w:rsid w:val="00194127"/>
    <w:rsid w:val="0019414F"/>
    <w:rsid w:val="001941CA"/>
    <w:rsid w:val="001941FB"/>
    <w:rsid w:val="00194226"/>
    <w:rsid w:val="0019426A"/>
    <w:rsid w:val="001942B1"/>
    <w:rsid w:val="001942D2"/>
    <w:rsid w:val="001942F7"/>
    <w:rsid w:val="0019430A"/>
    <w:rsid w:val="00194316"/>
    <w:rsid w:val="00194321"/>
    <w:rsid w:val="00194348"/>
    <w:rsid w:val="001943D2"/>
    <w:rsid w:val="0019444D"/>
    <w:rsid w:val="0019448D"/>
    <w:rsid w:val="001944E9"/>
    <w:rsid w:val="001944FA"/>
    <w:rsid w:val="0019450B"/>
    <w:rsid w:val="00194542"/>
    <w:rsid w:val="00194582"/>
    <w:rsid w:val="001945C7"/>
    <w:rsid w:val="001945EF"/>
    <w:rsid w:val="00194622"/>
    <w:rsid w:val="001946A1"/>
    <w:rsid w:val="001946BA"/>
    <w:rsid w:val="001946C7"/>
    <w:rsid w:val="001946CD"/>
    <w:rsid w:val="00194762"/>
    <w:rsid w:val="001947AB"/>
    <w:rsid w:val="001947EB"/>
    <w:rsid w:val="00194814"/>
    <w:rsid w:val="0019482A"/>
    <w:rsid w:val="0019485D"/>
    <w:rsid w:val="0019488E"/>
    <w:rsid w:val="00194905"/>
    <w:rsid w:val="00194933"/>
    <w:rsid w:val="00194947"/>
    <w:rsid w:val="00194961"/>
    <w:rsid w:val="001949A0"/>
    <w:rsid w:val="001949CB"/>
    <w:rsid w:val="001949CC"/>
    <w:rsid w:val="00194A0B"/>
    <w:rsid w:val="00194A23"/>
    <w:rsid w:val="00194A57"/>
    <w:rsid w:val="00194A91"/>
    <w:rsid w:val="00194A99"/>
    <w:rsid w:val="00194AEA"/>
    <w:rsid w:val="00194B50"/>
    <w:rsid w:val="00194B69"/>
    <w:rsid w:val="00194BA2"/>
    <w:rsid w:val="00194C06"/>
    <w:rsid w:val="00194C2B"/>
    <w:rsid w:val="00194C50"/>
    <w:rsid w:val="00194C66"/>
    <w:rsid w:val="00194C83"/>
    <w:rsid w:val="00194C8E"/>
    <w:rsid w:val="00194CB5"/>
    <w:rsid w:val="00194CCD"/>
    <w:rsid w:val="00194D7D"/>
    <w:rsid w:val="00194D88"/>
    <w:rsid w:val="00194DF7"/>
    <w:rsid w:val="00194E33"/>
    <w:rsid w:val="00194E3F"/>
    <w:rsid w:val="00194E8B"/>
    <w:rsid w:val="00194F47"/>
    <w:rsid w:val="00194F6B"/>
    <w:rsid w:val="00194F8B"/>
    <w:rsid w:val="00194FC2"/>
    <w:rsid w:val="00194FFA"/>
    <w:rsid w:val="00195001"/>
    <w:rsid w:val="0019500E"/>
    <w:rsid w:val="00195031"/>
    <w:rsid w:val="00195080"/>
    <w:rsid w:val="001950BA"/>
    <w:rsid w:val="001950E9"/>
    <w:rsid w:val="001950FA"/>
    <w:rsid w:val="00195100"/>
    <w:rsid w:val="00195123"/>
    <w:rsid w:val="00195130"/>
    <w:rsid w:val="0019518B"/>
    <w:rsid w:val="001951A9"/>
    <w:rsid w:val="0019520A"/>
    <w:rsid w:val="00195230"/>
    <w:rsid w:val="00195255"/>
    <w:rsid w:val="00195294"/>
    <w:rsid w:val="001952A6"/>
    <w:rsid w:val="001952AE"/>
    <w:rsid w:val="001952EF"/>
    <w:rsid w:val="00195333"/>
    <w:rsid w:val="0019539A"/>
    <w:rsid w:val="001953A0"/>
    <w:rsid w:val="001953B8"/>
    <w:rsid w:val="001953DA"/>
    <w:rsid w:val="00195426"/>
    <w:rsid w:val="00195442"/>
    <w:rsid w:val="0019549D"/>
    <w:rsid w:val="001954A3"/>
    <w:rsid w:val="0019550F"/>
    <w:rsid w:val="00195551"/>
    <w:rsid w:val="0019556E"/>
    <w:rsid w:val="00195592"/>
    <w:rsid w:val="001955FC"/>
    <w:rsid w:val="00195640"/>
    <w:rsid w:val="0019565C"/>
    <w:rsid w:val="001956C5"/>
    <w:rsid w:val="001956C7"/>
    <w:rsid w:val="001956CD"/>
    <w:rsid w:val="001956F1"/>
    <w:rsid w:val="0019576D"/>
    <w:rsid w:val="00195789"/>
    <w:rsid w:val="001957A1"/>
    <w:rsid w:val="00195809"/>
    <w:rsid w:val="00195838"/>
    <w:rsid w:val="00195889"/>
    <w:rsid w:val="001958DA"/>
    <w:rsid w:val="0019592E"/>
    <w:rsid w:val="0019593F"/>
    <w:rsid w:val="00195961"/>
    <w:rsid w:val="0019598F"/>
    <w:rsid w:val="00195A07"/>
    <w:rsid w:val="00195A10"/>
    <w:rsid w:val="00195A87"/>
    <w:rsid w:val="00195B1F"/>
    <w:rsid w:val="00195B5A"/>
    <w:rsid w:val="00195B5E"/>
    <w:rsid w:val="00195BB6"/>
    <w:rsid w:val="00195C1A"/>
    <w:rsid w:val="00195C1D"/>
    <w:rsid w:val="00195C20"/>
    <w:rsid w:val="00195C25"/>
    <w:rsid w:val="00195C7E"/>
    <w:rsid w:val="00195C8E"/>
    <w:rsid w:val="00195CAC"/>
    <w:rsid w:val="00195CAE"/>
    <w:rsid w:val="00195CD7"/>
    <w:rsid w:val="00195D20"/>
    <w:rsid w:val="00195D4E"/>
    <w:rsid w:val="00195D78"/>
    <w:rsid w:val="00195D9B"/>
    <w:rsid w:val="00195E05"/>
    <w:rsid w:val="00195E4E"/>
    <w:rsid w:val="00195E4F"/>
    <w:rsid w:val="00195F27"/>
    <w:rsid w:val="00195FA7"/>
    <w:rsid w:val="00195FC3"/>
    <w:rsid w:val="00196013"/>
    <w:rsid w:val="0019601A"/>
    <w:rsid w:val="00196050"/>
    <w:rsid w:val="001961A8"/>
    <w:rsid w:val="001961B0"/>
    <w:rsid w:val="001961C1"/>
    <w:rsid w:val="001961C6"/>
    <w:rsid w:val="001961D6"/>
    <w:rsid w:val="001961DD"/>
    <w:rsid w:val="001961E6"/>
    <w:rsid w:val="0019622F"/>
    <w:rsid w:val="00196251"/>
    <w:rsid w:val="00196265"/>
    <w:rsid w:val="00196272"/>
    <w:rsid w:val="00196276"/>
    <w:rsid w:val="00196283"/>
    <w:rsid w:val="001962B8"/>
    <w:rsid w:val="001962CD"/>
    <w:rsid w:val="0019634B"/>
    <w:rsid w:val="00196360"/>
    <w:rsid w:val="00196375"/>
    <w:rsid w:val="00196386"/>
    <w:rsid w:val="0019642C"/>
    <w:rsid w:val="001964CC"/>
    <w:rsid w:val="001964D3"/>
    <w:rsid w:val="00196505"/>
    <w:rsid w:val="00196518"/>
    <w:rsid w:val="00196542"/>
    <w:rsid w:val="0019654E"/>
    <w:rsid w:val="00196598"/>
    <w:rsid w:val="001965A9"/>
    <w:rsid w:val="001965AA"/>
    <w:rsid w:val="001965B7"/>
    <w:rsid w:val="001965D7"/>
    <w:rsid w:val="001965DA"/>
    <w:rsid w:val="00196611"/>
    <w:rsid w:val="00196616"/>
    <w:rsid w:val="0019662F"/>
    <w:rsid w:val="001966A1"/>
    <w:rsid w:val="001966DD"/>
    <w:rsid w:val="00196761"/>
    <w:rsid w:val="001967E7"/>
    <w:rsid w:val="001967F5"/>
    <w:rsid w:val="001967F7"/>
    <w:rsid w:val="001967FF"/>
    <w:rsid w:val="00196811"/>
    <w:rsid w:val="00196846"/>
    <w:rsid w:val="001968D8"/>
    <w:rsid w:val="001968FC"/>
    <w:rsid w:val="00196982"/>
    <w:rsid w:val="001969A3"/>
    <w:rsid w:val="001969B5"/>
    <w:rsid w:val="00196A5E"/>
    <w:rsid w:val="00196A85"/>
    <w:rsid w:val="00196A92"/>
    <w:rsid w:val="00196A93"/>
    <w:rsid w:val="00196A9B"/>
    <w:rsid w:val="00196BF2"/>
    <w:rsid w:val="00196C5C"/>
    <w:rsid w:val="00196CFD"/>
    <w:rsid w:val="00196D6C"/>
    <w:rsid w:val="00196D88"/>
    <w:rsid w:val="00196E1D"/>
    <w:rsid w:val="00196E87"/>
    <w:rsid w:val="00196EA0"/>
    <w:rsid w:val="00196ED1"/>
    <w:rsid w:val="00196EF3"/>
    <w:rsid w:val="00196F28"/>
    <w:rsid w:val="0019700B"/>
    <w:rsid w:val="0019700C"/>
    <w:rsid w:val="00197024"/>
    <w:rsid w:val="00197081"/>
    <w:rsid w:val="001970F5"/>
    <w:rsid w:val="00197186"/>
    <w:rsid w:val="001971AB"/>
    <w:rsid w:val="0019720C"/>
    <w:rsid w:val="0019729E"/>
    <w:rsid w:val="001972D2"/>
    <w:rsid w:val="0019730B"/>
    <w:rsid w:val="0019733C"/>
    <w:rsid w:val="001973B1"/>
    <w:rsid w:val="001973CD"/>
    <w:rsid w:val="0019747D"/>
    <w:rsid w:val="001974A3"/>
    <w:rsid w:val="001974BD"/>
    <w:rsid w:val="00197507"/>
    <w:rsid w:val="00197514"/>
    <w:rsid w:val="00197527"/>
    <w:rsid w:val="0019752A"/>
    <w:rsid w:val="00197539"/>
    <w:rsid w:val="0019753A"/>
    <w:rsid w:val="00197558"/>
    <w:rsid w:val="0019755F"/>
    <w:rsid w:val="0019757B"/>
    <w:rsid w:val="00197613"/>
    <w:rsid w:val="0019761D"/>
    <w:rsid w:val="0019763B"/>
    <w:rsid w:val="00197665"/>
    <w:rsid w:val="0019766A"/>
    <w:rsid w:val="0019768E"/>
    <w:rsid w:val="001976C9"/>
    <w:rsid w:val="001976E0"/>
    <w:rsid w:val="0019774E"/>
    <w:rsid w:val="001977B9"/>
    <w:rsid w:val="00197809"/>
    <w:rsid w:val="00197826"/>
    <w:rsid w:val="0019783B"/>
    <w:rsid w:val="00197854"/>
    <w:rsid w:val="0019788D"/>
    <w:rsid w:val="0019794E"/>
    <w:rsid w:val="001979AE"/>
    <w:rsid w:val="001979D5"/>
    <w:rsid w:val="00197A1A"/>
    <w:rsid w:val="00197A21"/>
    <w:rsid w:val="00197A2E"/>
    <w:rsid w:val="00197A35"/>
    <w:rsid w:val="00197A36"/>
    <w:rsid w:val="00197A6F"/>
    <w:rsid w:val="00197A92"/>
    <w:rsid w:val="00197ABE"/>
    <w:rsid w:val="00197B25"/>
    <w:rsid w:val="00197B2A"/>
    <w:rsid w:val="00197B75"/>
    <w:rsid w:val="00197B77"/>
    <w:rsid w:val="00197B93"/>
    <w:rsid w:val="00197BA3"/>
    <w:rsid w:val="00197BA9"/>
    <w:rsid w:val="00197C5A"/>
    <w:rsid w:val="00197CB3"/>
    <w:rsid w:val="00197CC9"/>
    <w:rsid w:val="00197CE6"/>
    <w:rsid w:val="00197CF7"/>
    <w:rsid w:val="00197D70"/>
    <w:rsid w:val="00197DAF"/>
    <w:rsid w:val="00197DB9"/>
    <w:rsid w:val="00197DDB"/>
    <w:rsid w:val="00197E0E"/>
    <w:rsid w:val="00197E32"/>
    <w:rsid w:val="00197EDF"/>
    <w:rsid w:val="00197F41"/>
    <w:rsid w:val="00197F45"/>
    <w:rsid w:val="00197F7E"/>
    <w:rsid w:val="00197FBB"/>
    <w:rsid w:val="001A0003"/>
    <w:rsid w:val="001A0021"/>
    <w:rsid w:val="001A0022"/>
    <w:rsid w:val="001A0079"/>
    <w:rsid w:val="001A00AB"/>
    <w:rsid w:val="001A0112"/>
    <w:rsid w:val="001A0123"/>
    <w:rsid w:val="001A0199"/>
    <w:rsid w:val="001A01AB"/>
    <w:rsid w:val="001A01AC"/>
    <w:rsid w:val="001A01E7"/>
    <w:rsid w:val="001A0260"/>
    <w:rsid w:val="001A026F"/>
    <w:rsid w:val="001A0288"/>
    <w:rsid w:val="001A02BD"/>
    <w:rsid w:val="001A0311"/>
    <w:rsid w:val="001A037A"/>
    <w:rsid w:val="001A039D"/>
    <w:rsid w:val="001A03AC"/>
    <w:rsid w:val="001A03CA"/>
    <w:rsid w:val="001A03D0"/>
    <w:rsid w:val="001A03D2"/>
    <w:rsid w:val="001A03F7"/>
    <w:rsid w:val="001A03FE"/>
    <w:rsid w:val="001A047D"/>
    <w:rsid w:val="001A04FA"/>
    <w:rsid w:val="001A0526"/>
    <w:rsid w:val="001A05BB"/>
    <w:rsid w:val="001A05CB"/>
    <w:rsid w:val="001A0672"/>
    <w:rsid w:val="001A0679"/>
    <w:rsid w:val="001A0693"/>
    <w:rsid w:val="001A0698"/>
    <w:rsid w:val="001A069D"/>
    <w:rsid w:val="001A06EE"/>
    <w:rsid w:val="001A0734"/>
    <w:rsid w:val="001A077F"/>
    <w:rsid w:val="001A0793"/>
    <w:rsid w:val="001A07CF"/>
    <w:rsid w:val="001A092C"/>
    <w:rsid w:val="001A0933"/>
    <w:rsid w:val="001A09A1"/>
    <w:rsid w:val="001A09BA"/>
    <w:rsid w:val="001A09BC"/>
    <w:rsid w:val="001A09D8"/>
    <w:rsid w:val="001A09E1"/>
    <w:rsid w:val="001A0A2B"/>
    <w:rsid w:val="001A0A8A"/>
    <w:rsid w:val="001A0B52"/>
    <w:rsid w:val="001A0B5E"/>
    <w:rsid w:val="001A0B66"/>
    <w:rsid w:val="001A0B81"/>
    <w:rsid w:val="001A0BB6"/>
    <w:rsid w:val="001A0BCC"/>
    <w:rsid w:val="001A0BCF"/>
    <w:rsid w:val="001A0C03"/>
    <w:rsid w:val="001A0C06"/>
    <w:rsid w:val="001A0C80"/>
    <w:rsid w:val="001A0CB7"/>
    <w:rsid w:val="001A0CDA"/>
    <w:rsid w:val="001A0D0C"/>
    <w:rsid w:val="001A0D89"/>
    <w:rsid w:val="001A0D94"/>
    <w:rsid w:val="001A0DB5"/>
    <w:rsid w:val="001A0DDC"/>
    <w:rsid w:val="001A0E72"/>
    <w:rsid w:val="001A0EE8"/>
    <w:rsid w:val="001A0F56"/>
    <w:rsid w:val="001A0F7B"/>
    <w:rsid w:val="001A0FC1"/>
    <w:rsid w:val="001A102A"/>
    <w:rsid w:val="001A102C"/>
    <w:rsid w:val="001A104B"/>
    <w:rsid w:val="001A106D"/>
    <w:rsid w:val="001A109D"/>
    <w:rsid w:val="001A10BD"/>
    <w:rsid w:val="001A10F1"/>
    <w:rsid w:val="001A1132"/>
    <w:rsid w:val="001A1177"/>
    <w:rsid w:val="001A11E6"/>
    <w:rsid w:val="001A1201"/>
    <w:rsid w:val="001A121C"/>
    <w:rsid w:val="001A121E"/>
    <w:rsid w:val="001A127E"/>
    <w:rsid w:val="001A12B1"/>
    <w:rsid w:val="001A1319"/>
    <w:rsid w:val="001A1321"/>
    <w:rsid w:val="001A139B"/>
    <w:rsid w:val="001A13A3"/>
    <w:rsid w:val="001A13DE"/>
    <w:rsid w:val="001A1431"/>
    <w:rsid w:val="001A1435"/>
    <w:rsid w:val="001A1495"/>
    <w:rsid w:val="001A1516"/>
    <w:rsid w:val="001A1537"/>
    <w:rsid w:val="001A158B"/>
    <w:rsid w:val="001A15CE"/>
    <w:rsid w:val="001A15F9"/>
    <w:rsid w:val="001A163D"/>
    <w:rsid w:val="001A1696"/>
    <w:rsid w:val="001A16A8"/>
    <w:rsid w:val="001A16C9"/>
    <w:rsid w:val="001A16E5"/>
    <w:rsid w:val="001A16F7"/>
    <w:rsid w:val="001A173F"/>
    <w:rsid w:val="001A1743"/>
    <w:rsid w:val="001A1787"/>
    <w:rsid w:val="001A17BE"/>
    <w:rsid w:val="001A17E9"/>
    <w:rsid w:val="001A1820"/>
    <w:rsid w:val="001A187E"/>
    <w:rsid w:val="001A188E"/>
    <w:rsid w:val="001A18AD"/>
    <w:rsid w:val="001A18C3"/>
    <w:rsid w:val="001A192E"/>
    <w:rsid w:val="001A1962"/>
    <w:rsid w:val="001A1963"/>
    <w:rsid w:val="001A1996"/>
    <w:rsid w:val="001A19CC"/>
    <w:rsid w:val="001A19D6"/>
    <w:rsid w:val="001A1A53"/>
    <w:rsid w:val="001A1A54"/>
    <w:rsid w:val="001A1AE3"/>
    <w:rsid w:val="001A1C07"/>
    <w:rsid w:val="001A1CEC"/>
    <w:rsid w:val="001A1D2B"/>
    <w:rsid w:val="001A1D3C"/>
    <w:rsid w:val="001A1D47"/>
    <w:rsid w:val="001A1D98"/>
    <w:rsid w:val="001A1DAA"/>
    <w:rsid w:val="001A1DD8"/>
    <w:rsid w:val="001A1E05"/>
    <w:rsid w:val="001A1E13"/>
    <w:rsid w:val="001A1E2F"/>
    <w:rsid w:val="001A1E3B"/>
    <w:rsid w:val="001A1E44"/>
    <w:rsid w:val="001A1E99"/>
    <w:rsid w:val="001A1E9E"/>
    <w:rsid w:val="001A1EB8"/>
    <w:rsid w:val="001A1EC5"/>
    <w:rsid w:val="001A1EE2"/>
    <w:rsid w:val="001A1F00"/>
    <w:rsid w:val="001A1F08"/>
    <w:rsid w:val="001A1F09"/>
    <w:rsid w:val="001A1F5E"/>
    <w:rsid w:val="001A1F67"/>
    <w:rsid w:val="001A1FAD"/>
    <w:rsid w:val="001A1FEE"/>
    <w:rsid w:val="001A2014"/>
    <w:rsid w:val="001A2090"/>
    <w:rsid w:val="001A209C"/>
    <w:rsid w:val="001A20D4"/>
    <w:rsid w:val="001A210E"/>
    <w:rsid w:val="001A213C"/>
    <w:rsid w:val="001A214E"/>
    <w:rsid w:val="001A2176"/>
    <w:rsid w:val="001A21D5"/>
    <w:rsid w:val="001A21DA"/>
    <w:rsid w:val="001A221D"/>
    <w:rsid w:val="001A221E"/>
    <w:rsid w:val="001A221F"/>
    <w:rsid w:val="001A22D2"/>
    <w:rsid w:val="001A22D4"/>
    <w:rsid w:val="001A22D6"/>
    <w:rsid w:val="001A22DE"/>
    <w:rsid w:val="001A2339"/>
    <w:rsid w:val="001A2342"/>
    <w:rsid w:val="001A2360"/>
    <w:rsid w:val="001A23B9"/>
    <w:rsid w:val="001A23D2"/>
    <w:rsid w:val="001A23EF"/>
    <w:rsid w:val="001A2490"/>
    <w:rsid w:val="001A252C"/>
    <w:rsid w:val="001A2584"/>
    <w:rsid w:val="001A25F6"/>
    <w:rsid w:val="001A25FA"/>
    <w:rsid w:val="001A2668"/>
    <w:rsid w:val="001A26BF"/>
    <w:rsid w:val="001A26CB"/>
    <w:rsid w:val="001A2727"/>
    <w:rsid w:val="001A2748"/>
    <w:rsid w:val="001A2784"/>
    <w:rsid w:val="001A278E"/>
    <w:rsid w:val="001A27A7"/>
    <w:rsid w:val="001A27EB"/>
    <w:rsid w:val="001A282E"/>
    <w:rsid w:val="001A285E"/>
    <w:rsid w:val="001A2871"/>
    <w:rsid w:val="001A2876"/>
    <w:rsid w:val="001A288F"/>
    <w:rsid w:val="001A28A9"/>
    <w:rsid w:val="001A28C6"/>
    <w:rsid w:val="001A28D3"/>
    <w:rsid w:val="001A28F9"/>
    <w:rsid w:val="001A2904"/>
    <w:rsid w:val="001A2931"/>
    <w:rsid w:val="001A2999"/>
    <w:rsid w:val="001A29BC"/>
    <w:rsid w:val="001A2A0C"/>
    <w:rsid w:val="001A2A5E"/>
    <w:rsid w:val="001A2AAD"/>
    <w:rsid w:val="001A2AE6"/>
    <w:rsid w:val="001A2AF6"/>
    <w:rsid w:val="001A2B06"/>
    <w:rsid w:val="001A2B27"/>
    <w:rsid w:val="001A2B4C"/>
    <w:rsid w:val="001A2B97"/>
    <w:rsid w:val="001A2BDA"/>
    <w:rsid w:val="001A2C12"/>
    <w:rsid w:val="001A2C72"/>
    <w:rsid w:val="001A2CB4"/>
    <w:rsid w:val="001A2CBF"/>
    <w:rsid w:val="001A2CF9"/>
    <w:rsid w:val="001A2D64"/>
    <w:rsid w:val="001A2D69"/>
    <w:rsid w:val="001A2D6F"/>
    <w:rsid w:val="001A2D86"/>
    <w:rsid w:val="001A2DBA"/>
    <w:rsid w:val="001A2DFA"/>
    <w:rsid w:val="001A2E44"/>
    <w:rsid w:val="001A2EF7"/>
    <w:rsid w:val="001A2F00"/>
    <w:rsid w:val="001A2F22"/>
    <w:rsid w:val="001A2F30"/>
    <w:rsid w:val="001A2F42"/>
    <w:rsid w:val="001A2FCB"/>
    <w:rsid w:val="001A2FEA"/>
    <w:rsid w:val="001A2FF1"/>
    <w:rsid w:val="001A2FF8"/>
    <w:rsid w:val="001A3056"/>
    <w:rsid w:val="001A3088"/>
    <w:rsid w:val="001A30ED"/>
    <w:rsid w:val="001A3143"/>
    <w:rsid w:val="001A31A3"/>
    <w:rsid w:val="001A31C7"/>
    <w:rsid w:val="001A321B"/>
    <w:rsid w:val="001A322C"/>
    <w:rsid w:val="001A32A9"/>
    <w:rsid w:val="001A32BE"/>
    <w:rsid w:val="001A32C1"/>
    <w:rsid w:val="001A32EB"/>
    <w:rsid w:val="001A3307"/>
    <w:rsid w:val="001A3359"/>
    <w:rsid w:val="001A3394"/>
    <w:rsid w:val="001A33BC"/>
    <w:rsid w:val="001A33BE"/>
    <w:rsid w:val="001A33EF"/>
    <w:rsid w:val="001A346B"/>
    <w:rsid w:val="001A3474"/>
    <w:rsid w:val="001A3505"/>
    <w:rsid w:val="001A3522"/>
    <w:rsid w:val="001A35E5"/>
    <w:rsid w:val="001A35F3"/>
    <w:rsid w:val="001A368A"/>
    <w:rsid w:val="001A36A1"/>
    <w:rsid w:val="001A36FB"/>
    <w:rsid w:val="001A3731"/>
    <w:rsid w:val="001A37D0"/>
    <w:rsid w:val="001A37DD"/>
    <w:rsid w:val="001A37F3"/>
    <w:rsid w:val="001A3803"/>
    <w:rsid w:val="001A3814"/>
    <w:rsid w:val="001A388F"/>
    <w:rsid w:val="001A3971"/>
    <w:rsid w:val="001A3997"/>
    <w:rsid w:val="001A39AA"/>
    <w:rsid w:val="001A39DB"/>
    <w:rsid w:val="001A39FD"/>
    <w:rsid w:val="001A3A04"/>
    <w:rsid w:val="001A3A1C"/>
    <w:rsid w:val="001A3A70"/>
    <w:rsid w:val="001A3A80"/>
    <w:rsid w:val="001A3A9D"/>
    <w:rsid w:val="001A3AA2"/>
    <w:rsid w:val="001A3AF9"/>
    <w:rsid w:val="001A3B46"/>
    <w:rsid w:val="001A3B85"/>
    <w:rsid w:val="001A3B87"/>
    <w:rsid w:val="001A3BC3"/>
    <w:rsid w:val="001A3C47"/>
    <w:rsid w:val="001A3C6A"/>
    <w:rsid w:val="001A3C9A"/>
    <w:rsid w:val="001A3CBA"/>
    <w:rsid w:val="001A3CCD"/>
    <w:rsid w:val="001A3CE6"/>
    <w:rsid w:val="001A3D2F"/>
    <w:rsid w:val="001A3D83"/>
    <w:rsid w:val="001A3D94"/>
    <w:rsid w:val="001A3DDB"/>
    <w:rsid w:val="001A3DE2"/>
    <w:rsid w:val="001A3E38"/>
    <w:rsid w:val="001A3E6E"/>
    <w:rsid w:val="001A3ECF"/>
    <w:rsid w:val="001A3EF2"/>
    <w:rsid w:val="001A3FB1"/>
    <w:rsid w:val="001A3FB5"/>
    <w:rsid w:val="001A405C"/>
    <w:rsid w:val="001A4063"/>
    <w:rsid w:val="001A4083"/>
    <w:rsid w:val="001A40C0"/>
    <w:rsid w:val="001A40FB"/>
    <w:rsid w:val="001A416E"/>
    <w:rsid w:val="001A419B"/>
    <w:rsid w:val="001A41EE"/>
    <w:rsid w:val="001A41FF"/>
    <w:rsid w:val="001A4276"/>
    <w:rsid w:val="001A427F"/>
    <w:rsid w:val="001A428E"/>
    <w:rsid w:val="001A42B6"/>
    <w:rsid w:val="001A4315"/>
    <w:rsid w:val="001A4329"/>
    <w:rsid w:val="001A433C"/>
    <w:rsid w:val="001A4359"/>
    <w:rsid w:val="001A435D"/>
    <w:rsid w:val="001A4368"/>
    <w:rsid w:val="001A43DB"/>
    <w:rsid w:val="001A4421"/>
    <w:rsid w:val="001A4456"/>
    <w:rsid w:val="001A44CA"/>
    <w:rsid w:val="001A44DD"/>
    <w:rsid w:val="001A44E5"/>
    <w:rsid w:val="001A44E8"/>
    <w:rsid w:val="001A4615"/>
    <w:rsid w:val="001A4653"/>
    <w:rsid w:val="001A4659"/>
    <w:rsid w:val="001A46A9"/>
    <w:rsid w:val="001A46CA"/>
    <w:rsid w:val="001A4751"/>
    <w:rsid w:val="001A4854"/>
    <w:rsid w:val="001A4855"/>
    <w:rsid w:val="001A4875"/>
    <w:rsid w:val="001A488A"/>
    <w:rsid w:val="001A4897"/>
    <w:rsid w:val="001A48AE"/>
    <w:rsid w:val="001A48B7"/>
    <w:rsid w:val="001A48FA"/>
    <w:rsid w:val="001A49DF"/>
    <w:rsid w:val="001A4A61"/>
    <w:rsid w:val="001A4AB9"/>
    <w:rsid w:val="001A4AE4"/>
    <w:rsid w:val="001A4B4F"/>
    <w:rsid w:val="001A4BA3"/>
    <w:rsid w:val="001A4BAF"/>
    <w:rsid w:val="001A4BB7"/>
    <w:rsid w:val="001A4C36"/>
    <w:rsid w:val="001A4CEC"/>
    <w:rsid w:val="001A4D1D"/>
    <w:rsid w:val="001A4DA0"/>
    <w:rsid w:val="001A4DAF"/>
    <w:rsid w:val="001A4DF1"/>
    <w:rsid w:val="001A4E12"/>
    <w:rsid w:val="001A4F1D"/>
    <w:rsid w:val="001A4F30"/>
    <w:rsid w:val="001A4FB7"/>
    <w:rsid w:val="001A4FEA"/>
    <w:rsid w:val="001A4FF6"/>
    <w:rsid w:val="001A4FFB"/>
    <w:rsid w:val="001A5019"/>
    <w:rsid w:val="001A5090"/>
    <w:rsid w:val="001A50C1"/>
    <w:rsid w:val="001A50E2"/>
    <w:rsid w:val="001A50EC"/>
    <w:rsid w:val="001A50F3"/>
    <w:rsid w:val="001A50FC"/>
    <w:rsid w:val="001A5101"/>
    <w:rsid w:val="001A5128"/>
    <w:rsid w:val="001A5164"/>
    <w:rsid w:val="001A516A"/>
    <w:rsid w:val="001A5183"/>
    <w:rsid w:val="001A51F0"/>
    <w:rsid w:val="001A5284"/>
    <w:rsid w:val="001A52AA"/>
    <w:rsid w:val="001A52BC"/>
    <w:rsid w:val="001A530B"/>
    <w:rsid w:val="001A533D"/>
    <w:rsid w:val="001A5381"/>
    <w:rsid w:val="001A53B4"/>
    <w:rsid w:val="001A53BC"/>
    <w:rsid w:val="001A53DE"/>
    <w:rsid w:val="001A53E3"/>
    <w:rsid w:val="001A5409"/>
    <w:rsid w:val="001A5413"/>
    <w:rsid w:val="001A5447"/>
    <w:rsid w:val="001A5478"/>
    <w:rsid w:val="001A54C0"/>
    <w:rsid w:val="001A54CC"/>
    <w:rsid w:val="001A54D3"/>
    <w:rsid w:val="001A54DE"/>
    <w:rsid w:val="001A54EE"/>
    <w:rsid w:val="001A54EF"/>
    <w:rsid w:val="001A54FF"/>
    <w:rsid w:val="001A5526"/>
    <w:rsid w:val="001A5540"/>
    <w:rsid w:val="001A558B"/>
    <w:rsid w:val="001A5595"/>
    <w:rsid w:val="001A55A2"/>
    <w:rsid w:val="001A55AE"/>
    <w:rsid w:val="001A55C6"/>
    <w:rsid w:val="001A565F"/>
    <w:rsid w:val="001A566B"/>
    <w:rsid w:val="001A5676"/>
    <w:rsid w:val="001A56BF"/>
    <w:rsid w:val="001A5717"/>
    <w:rsid w:val="001A571D"/>
    <w:rsid w:val="001A578F"/>
    <w:rsid w:val="001A57BB"/>
    <w:rsid w:val="001A57DF"/>
    <w:rsid w:val="001A57F8"/>
    <w:rsid w:val="001A580E"/>
    <w:rsid w:val="001A58BB"/>
    <w:rsid w:val="001A58D3"/>
    <w:rsid w:val="001A58EC"/>
    <w:rsid w:val="001A58EE"/>
    <w:rsid w:val="001A5923"/>
    <w:rsid w:val="001A5957"/>
    <w:rsid w:val="001A597D"/>
    <w:rsid w:val="001A59B1"/>
    <w:rsid w:val="001A59BD"/>
    <w:rsid w:val="001A59E2"/>
    <w:rsid w:val="001A5A20"/>
    <w:rsid w:val="001A5A44"/>
    <w:rsid w:val="001A5A95"/>
    <w:rsid w:val="001A5AC6"/>
    <w:rsid w:val="001A5ACF"/>
    <w:rsid w:val="001A5AD8"/>
    <w:rsid w:val="001A5AD9"/>
    <w:rsid w:val="001A5AFC"/>
    <w:rsid w:val="001A5B00"/>
    <w:rsid w:val="001A5B55"/>
    <w:rsid w:val="001A5B7F"/>
    <w:rsid w:val="001A5C46"/>
    <w:rsid w:val="001A5D2D"/>
    <w:rsid w:val="001A5D8C"/>
    <w:rsid w:val="001A5E1A"/>
    <w:rsid w:val="001A5E1B"/>
    <w:rsid w:val="001A5E6E"/>
    <w:rsid w:val="001A5EEE"/>
    <w:rsid w:val="001A5F07"/>
    <w:rsid w:val="001A5F24"/>
    <w:rsid w:val="001A5F5E"/>
    <w:rsid w:val="001A5F5F"/>
    <w:rsid w:val="001A5F8D"/>
    <w:rsid w:val="001A5F9F"/>
    <w:rsid w:val="001A5FE6"/>
    <w:rsid w:val="001A6014"/>
    <w:rsid w:val="001A605B"/>
    <w:rsid w:val="001A6087"/>
    <w:rsid w:val="001A6091"/>
    <w:rsid w:val="001A609C"/>
    <w:rsid w:val="001A60FC"/>
    <w:rsid w:val="001A612F"/>
    <w:rsid w:val="001A6133"/>
    <w:rsid w:val="001A6145"/>
    <w:rsid w:val="001A6148"/>
    <w:rsid w:val="001A617F"/>
    <w:rsid w:val="001A61AB"/>
    <w:rsid w:val="001A61B2"/>
    <w:rsid w:val="001A625A"/>
    <w:rsid w:val="001A628A"/>
    <w:rsid w:val="001A628B"/>
    <w:rsid w:val="001A628D"/>
    <w:rsid w:val="001A62A6"/>
    <w:rsid w:val="001A62C1"/>
    <w:rsid w:val="001A6314"/>
    <w:rsid w:val="001A6331"/>
    <w:rsid w:val="001A635B"/>
    <w:rsid w:val="001A640D"/>
    <w:rsid w:val="001A646C"/>
    <w:rsid w:val="001A64A6"/>
    <w:rsid w:val="001A6519"/>
    <w:rsid w:val="001A6597"/>
    <w:rsid w:val="001A65C7"/>
    <w:rsid w:val="001A6600"/>
    <w:rsid w:val="001A665C"/>
    <w:rsid w:val="001A6667"/>
    <w:rsid w:val="001A667C"/>
    <w:rsid w:val="001A6685"/>
    <w:rsid w:val="001A66C8"/>
    <w:rsid w:val="001A6740"/>
    <w:rsid w:val="001A6741"/>
    <w:rsid w:val="001A6789"/>
    <w:rsid w:val="001A678F"/>
    <w:rsid w:val="001A6819"/>
    <w:rsid w:val="001A6836"/>
    <w:rsid w:val="001A683E"/>
    <w:rsid w:val="001A6856"/>
    <w:rsid w:val="001A68E6"/>
    <w:rsid w:val="001A68F6"/>
    <w:rsid w:val="001A6900"/>
    <w:rsid w:val="001A693E"/>
    <w:rsid w:val="001A6943"/>
    <w:rsid w:val="001A6970"/>
    <w:rsid w:val="001A69C7"/>
    <w:rsid w:val="001A6A1D"/>
    <w:rsid w:val="001A6A4D"/>
    <w:rsid w:val="001A6A7D"/>
    <w:rsid w:val="001A6ACF"/>
    <w:rsid w:val="001A6AD8"/>
    <w:rsid w:val="001A6AF9"/>
    <w:rsid w:val="001A6B0A"/>
    <w:rsid w:val="001A6B4D"/>
    <w:rsid w:val="001A6B6F"/>
    <w:rsid w:val="001A6BA7"/>
    <w:rsid w:val="001A6CDD"/>
    <w:rsid w:val="001A6D05"/>
    <w:rsid w:val="001A6D84"/>
    <w:rsid w:val="001A6DA1"/>
    <w:rsid w:val="001A6DB1"/>
    <w:rsid w:val="001A6E10"/>
    <w:rsid w:val="001A6E32"/>
    <w:rsid w:val="001A6E3F"/>
    <w:rsid w:val="001A6E5D"/>
    <w:rsid w:val="001A6E82"/>
    <w:rsid w:val="001A6F4A"/>
    <w:rsid w:val="001A6F70"/>
    <w:rsid w:val="001A6FB5"/>
    <w:rsid w:val="001A6FFE"/>
    <w:rsid w:val="001A7011"/>
    <w:rsid w:val="001A701B"/>
    <w:rsid w:val="001A7025"/>
    <w:rsid w:val="001A7039"/>
    <w:rsid w:val="001A7069"/>
    <w:rsid w:val="001A70CB"/>
    <w:rsid w:val="001A70F1"/>
    <w:rsid w:val="001A7167"/>
    <w:rsid w:val="001A7168"/>
    <w:rsid w:val="001A7198"/>
    <w:rsid w:val="001A71A7"/>
    <w:rsid w:val="001A71C5"/>
    <w:rsid w:val="001A71C6"/>
    <w:rsid w:val="001A71CE"/>
    <w:rsid w:val="001A71D9"/>
    <w:rsid w:val="001A71E5"/>
    <w:rsid w:val="001A7210"/>
    <w:rsid w:val="001A725E"/>
    <w:rsid w:val="001A7290"/>
    <w:rsid w:val="001A7318"/>
    <w:rsid w:val="001A7326"/>
    <w:rsid w:val="001A7331"/>
    <w:rsid w:val="001A7368"/>
    <w:rsid w:val="001A7372"/>
    <w:rsid w:val="001A73CA"/>
    <w:rsid w:val="001A73E5"/>
    <w:rsid w:val="001A74D0"/>
    <w:rsid w:val="001A74E5"/>
    <w:rsid w:val="001A74F8"/>
    <w:rsid w:val="001A7507"/>
    <w:rsid w:val="001A756C"/>
    <w:rsid w:val="001A7584"/>
    <w:rsid w:val="001A75C4"/>
    <w:rsid w:val="001A7616"/>
    <w:rsid w:val="001A76C7"/>
    <w:rsid w:val="001A76E2"/>
    <w:rsid w:val="001A76E7"/>
    <w:rsid w:val="001A76F8"/>
    <w:rsid w:val="001A7761"/>
    <w:rsid w:val="001A776E"/>
    <w:rsid w:val="001A7772"/>
    <w:rsid w:val="001A77F0"/>
    <w:rsid w:val="001A7847"/>
    <w:rsid w:val="001A7857"/>
    <w:rsid w:val="001A78BD"/>
    <w:rsid w:val="001A78D6"/>
    <w:rsid w:val="001A7943"/>
    <w:rsid w:val="001A7952"/>
    <w:rsid w:val="001A79A1"/>
    <w:rsid w:val="001A79B5"/>
    <w:rsid w:val="001A79BD"/>
    <w:rsid w:val="001A79C2"/>
    <w:rsid w:val="001A7A02"/>
    <w:rsid w:val="001A7A69"/>
    <w:rsid w:val="001A7A9F"/>
    <w:rsid w:val="001A7B5E"/>
    <w:rsid w:val="001A7B8D"/>
    <w:rsid w:val="001A7B9C"/>
    <w:rsid w:val="001A7BE6"/>
    <w:rsid w:val="001A7C11"/>
    <w:rsid w:val="001A7C1A"/>
    <w:rsid w:val="001A7C40"/>
    <w:rsid w:val="001A7C5E"/>
    <w:rsid w:val="001A7C8D"/>
    <w:rsid w:val="001A7CBA"/>
    <w:rsid w:val="001A7CC0"/>
    <w:rsid w:val="001A7CC5"/>
    <w:rsid w:val="001A7CD1"/>
    <w:rsid w:val="001A7CE0"/>
    <w:rsid w:val="001A7D06"/>
    <w:rsid w:val="001A7D3F"/>
    <w:rsid w:val="001A7D65"/>
    <w:rsid w:val="001A7DC7"/>
    <w:rsid w:val="001A7DDF"/>
    <w:rsid w:val="001A7E06"/>
    <w:rsid w:val="001A7E13"/>
    <w:rsid w:val="001A7E21"/>
    <w:rsid w:val="001A7E42"/>
    <w:rsid w:val="001A7E62"/>
    <w:rsid w:val="001A7EE1"/>
    <w:rsid w:val="001A7EE6"/>
    <w:rsid w:val="001A7F2B"/>
    <w:rsid w:val="001A7F5E"/>
    <w:rsid w:val="001A7F5F"/>
    <w:rsid w:val="001A7F73"/>
    <w:rsid w:val="001A7F7E"/>
    <w:rsid w:val="001A7F9E"/>
    <w:rsid w:val="001A7FA1"/>
    <w:rsid w:val="001A7FB6"/>
    <w:rsid w:val="001A7FE0"/>
    <w:rsid w:val="001A7FE7"/>
    <w:rsid w:val="001A7FF4"/>
    <w:rsid w:val="001B000A"/>
    <w:rsid w:val="001B000C"/>
    <w:rsid w:val="001B0014"/>
    <w:rsid w:val="001B0024"/>
    <w:rsid w:val="001B0036"/>
    <w:rsid w:val="001B003C"/>
    <w:rsid w:val="001B008E"/>
    <w:rsid w:val="001B0094"/>
    <w:rsid w:val="001B00A0"/>
    <w:rsid w:val="001B00F6"/>
    <w:rsid w:val="001B0142"/>
    <w:rsid w:val="001B016C"/>
    <w:rsid w:val="001B01AE"/>
    <w:rsid w:val="001B02B3"/>
    <w:rsid w:val="001B02B6"/>
    <w:rsid w:val="001B02EA"/>
    <w:rsid w:val="001B0326"/>
    <w:rsid w:val="001B0333"/>
    <w:rsid w:val="001B0346"/>
    <w:rsid w:val="001B0351"/>
    <w:rsid w:val="001B0355"/>
    <w:rsid w:val="001B0392"/>
    <w:rsid w:val="001B03E2"/>
    <w:rsid w:val="001B0489"/>
    <w:rsid w:val="001B04B6"/>
    <w:rsid w:val="001B04C9"/>
    <w:rsid w:val="001B0554"/>
    <w:rsid w:val="001B0581"/>
    <w:rsid w:val="001B05AD"/>
    <w:rsid w:val="001B05C4"/>
    <w:rsid w:val="001B05E3"/>
    <w:rsid w:val="001B05ED"/>
    <w:rsid w:val="001B0634"/>
    <w:rsid w:val="001B0641"/>
    <w:rsid w:val="001B0683"/>
    <w:rsid w:val="001B06FC"/>
    <w:rsid w:val="001B0707"/>
    <w:rsid w:val="001B0726"/>
    <w:rsid w:val="001B074C"/>
    <w:rsid w:val="001B079A"/>
    <w:rsid w:val="001B079F"/>
    <w:rsid w:val="001B07B8"/>
    <w:rsid w:val="001B07C6"/>
    <w:rsid w:val="001B07F1"/>
    <w:rsid w:val="001B0820"/>
    <w:rsid w:val="001B0852"/>
    <w:rsid w:val="001B085C"/>
    <w:rsid w:val="001B0907"/>
    <w:rsid w:val="001B0944"/>
    <w:rsid w:val="001B0977"/>
    <w:rsid w:val="001B09A7"/>
    <w:rsid w:val="001B09C2"/>
    <w:rsid w:val="001B09D7"/>
    <w:rsid w:val="001B09EB"/>
    <w:rsid w:val="001B09F8"/>
    <w:rsid w:val="001B0ABC"/>
    <w:rsid w:val="001B0AEC"/>
    <w:rsid w:val="001B0B2A"/>
    <w:rsid w:val="001B0B4E"/>
    <w:rsid w:val="001B0B8C"/>
    <w:rsid w:val="001B0BD4"/>
    <w:rsid w:val="001B0BE8"/>
    <w:rsid w:val="001B0C5C"/>
    <w:rsid w:val="001B0C73"/>
    <w:rsid w:val="001B0C89"/>
    <w:rsid w:val="001B0D7E"/>
    <w:rsid w:val="001B0DE7"/>
    <w:rsid w:val="001B0DFC"/>
    <w:rsid w:val="001B0E12"/>
    <w:rsid w:val="001B0E61"/>
    <w:rsid w:val="001B0EF2"/>
    <w:rsid w:val="001B0F35"/>
    <w:rsid w:val="001B0F3F"/>
    <w:rsid w:val="001B0F51"/>
    <w:rsid w:val="001B0F96"/>
    <w:rsid w:val="001B0FAE"/>
    <w:rsid w:val="001B0FB3"/>
    <w:rsid w:val="001B0FD7"/>
    <w:rsid w:val="001B0FDF"/>
    <w:rsid w:val="001B0FF9"/>
    <w:rsid w:val="001B1037"/>
    <w:rsid w:val="001B1049"/>
    <w:rsid w:val="001B104E"/>
    <w:rsid w:val="001B1084"/>
    <w:rsid w:val="001B1097"/>
    <w:rsid w:val="001B10DA"/>
    <w:rsid w:val="001B117B"/>
    <w:rsid w:val="001B11AB"/>
    <w:rsid w:val="001B123D"/>
    <w:rsid w:val="001B1293"/>
    <w:rsid w:val="001B129E"/>
    <w:rsid w:val="001B12A7"/>
    <w:rsid w:val="001B1333"/>
    <w:rsid w:val="001B13C6"/>
    <w:rsid w:val="001B13E4"/>
    <w:rsid w:val="001B1414"/>
    <w:rsid w:val="001B1498"/>
    <w:rsid w:val="001B14D9"/>
    <w:rsid w:val="001B14E2"/>
    <w:rsid w:val="001B14EF"/>
    <w:rsid w:val="001B1579"/>
    <w:rsid w:val="001B1598"/>
    <w:rsid w:val="001B15AF"/>
    <w:rsid w:val="001B1627"/>
    <w:rsid w:val="001B1683"/>
    <w:rsid w:val="001B1722"/>
    <w:rsid w:val="001B177E"/>
    <w:rsid w:val="001B17E7"/>
    <w:rsid w:val="001B1804"/>
    <w:rsid w:val="001B1806"/>
    <w:rsid w:val="001B181D"/>
    <w:rsid w:val="001B193F"/>
    <w:rsid w:val="001B1984"/>
    <w:rsid w:val="001B19E5"/>
    <w:rsid w:val="001B1A3D"/>
    <w:rsid w:val="001B1A42"/>
    <w:rsid w:val="001B1AB6"/>
    <w:rsid w:val="001B1B1C"/>
    <w:rsid w:val="001B1B21"/>
    <w:rsid w:val="001B1B72"/>
    <w:rsid w:val="001B1B8C"/>
    <w:rsid w:val="001B1B90"/>
    <w:rsid w:val="001B1BA1"/>
    <w:rsid w:val="001B1BB9"/>
    <w:rsid w:val="001B1BD4"/>
    <w:rsid w:val="001B1C20"/>
    <w:rsid w:val="001B1C8B"/>
    <w:rsid w:val="001B1C92"/>
    <w:rsid w:val="001B1D04"/>
    <w:rsid w:val="001B1D90"/>
    <w:rsid w:val="001B1E02"/>
    <w:rsid w:val="001B1E5C"/>
    <w:rsid w:val="001B1E61"/>
    <w:rsid w:val="001B1E74"/>
    <w:rsid w:val="001B1E85"/>
    <w:rsid w:val="001B1EB6"/>
    <w:rsid w:val="001B1EE2"/>
    <w:rsid w:val="001B1EEB"/>
    <w:rsid w:val="001B1EF3"/>
    <w:rsid w:val="001B1F08"/>
    <w:rsid w:val="001B1F24"/>
    <w:rsid w:val="001B1F2D"/>
    <w:rsid w:val="001B1F82"/>
    <w:rsid w:val="001B1FBB"/>
    <w:rsid w:val="001B1FFA"/>
    <w:rsid w:val="001B2049"/>
    <w:rsid w:val="001B209E"/>
    <w:rsid w:val="001B20C9"/>
    <w:rsid w:val="001B20CD"/>
    <w:rsid w:val="001B20FD"/>
    <w:rsid w:val="001B2126"/>
    <w:rsid w:val="001B2177"/>
    <w:rsid w:val="001B21E4"/>
    <w:rsid w:val="001B21F1"/>
    <w:rsid w:val="001B2227"/>
    <w:rsid w:val="001B2260"/>
    <w:rsid w:val="001B2268"/>
    <w:rsid w:val="001B22A0"/>
    <w:rsid w:val="001B22C9"/>
    <w:rsid w:val="001B230A"/>
    <w:rsid w:val="001B234C"/>
    <w:rsid w:val="001B234F"/>
    <w:rsid w:val="001B236A"/>
    <w:rsid w:val="001B239A"/>
    <w:rsid w:val="001B23D7"/>
    <w:rsid w:val="001B2414"/>
    <w:rsid w:val="001B242A"/>
    <w:rsid w:val="001B2502"/>
    <w:rsid w:val="001B2540"/>
    <w:rsid w:val="001B256E"/>
    <w:rsid w:val="001B2577"/>
    <w:rsid w:val="001B258F"/>
    <w:rsid w:val="001B2594"/>
    <w:rsid w:val="001B25B4"/>
    <w:rsid w:val="001B25E4"/>
    <w:rsid w:val="001B262F"/>
    <w:rsid w:val="001B263A"/>
    <w:rsid w:val="001B2662"/>
    <w:rsid w:val="001B26FB"/>
    <w:rsid w:val="001B2732"/>
    <w:rsid w:val="001B27CC"/>
    <w:rsid w:val="001B282C"/>
    <w:rsid w:val="001B2890"/>
    <w:rsid w:val="001B28A5"/>
    <w:rsid w:val="001B28AA"/>
    <w:rsid w:val="001B28AF"/>
    <w:rsid w:val="001B28FC"/>
    <w:rsid w:val="001B290A"/>
    <w:rsid w:val="001B291B"/>
    <w:rsid w:val="001B2956"/>
    <w:rsid w:val="001B296E"/>
    <w:rsid w:val="001B2971"/>
    <w:rsid w:val="001B2989"/>
    <w:rsid w:val="001B29A5"/>
    <w:rsid w:val="001B29B1"/>
    <w:rsid w:val="001B2A3E"/>
    <w:rsid w:val="001B2A4A"/>
    <w:rsid w:val="001B2A89"/>
    <w:rsid w:val="001B2AD2"/>
    <w:rsid w:val="001B2AD9"/>
    <w:rsid w:val="001B2AF1"/>
    <w:rsid w:val="001B2B18"/>
    <w:rsid w:val="001B2B94"/>
    <w:rsid w:val="001B2B9A"/>
    <w:rsid w:val="001B2BD7"/>
    <w:rsid w:val="001B2C33"/>
    <w:rsid w:val="001B2C4F"/>
    <w:rsid w:val="001B2C6C"/>
    <w:rsid w:val="001B2C93"/>
    <w:rsid w:val="001B2CC5"/>
    <w:rsid w:val="001B2D43"/>
    <w:rsid w:val="001B2D73"/>
    <w:rsid w:val="001B2DC0"/>
    <w:rsid w:val="001B2E55"/>
    <w:rsid w:val="001B2E71"/>
    <w:rsid w:val="001B2EAA"/>
    <w:rsid w:val="001B2EAB"/>
    <w:rsid w:val="001B2EB2"/>
    <w:rsid w:val="001B2EC5"/>
    <w:rsid w:val="001B2EE5"/>
    <w:rsid w:val="001B2F37"/>
    <w:rsid w:val="001B2F6F"/>
    <w:rsid w:val="001B313F"/>
    <w:rsid w:val="001B3158"/>
    <w:rsid w:val="001B3159"/>
    <w:rsid w:val="001B318D"/>
    <w:rsid w:val="001B31A0"/>
    <w:rsid w:val="001B31B8"/>
    <w:rsid w:val="001B31C4"/>
    <w:rsid w:val="001B31C6"/>
    <w:rsid w:val="001B32A8"/>
    <w:rsid w:val="001B32F3"/>
    <w:rsid w:val="001B3334"/>
    <w:rsid w:val="001B334B"/>
    <w:rsid w:val="001B334C"/>
    <w:rsid w:val="001B33EE"/>
    <w:rsid w:val="001B341C"/>
    <w:rsid w:val="001B34AA"/>
    <w:rsid w:val="001B34B7"/>
    <w:rsid w:val="001B34DA"/>
    <w:rsid w:val="001B3530"/>
    <w:rsid w:val="001B354B"/>
    <w:rsid w:val="001B35AA"/>
    <w:rsid w:val="001B35CD"/>
    <w:rsid w:val="001B35E6"/>
    <w:rsid w:val="001B362E"/>
    <w:rsid w:val="001B3659"/>
    <w:rsid w:val="001B3660"/>
    <w:rsid w:val="001B3686"/>
    <w:rsid w:val="001B36C0"/>
    <w:rsid w:val="001B36DC"/>
    <w:rsid w:val="001B3732"/>
    <w:rsid w:val="001B3742"/>
    <w:rsid w:val="001B385D"/>
    <w:rsid w:val="001B3891"/>
    <w:rsid w:val="001B390B"/>
    <w:rsid w:val="001B3930"/>
    <w:rsid w:val="001B394F"/>
    <w:rsid w:val="001B3988"/>
    <w:rsid w:val="001B3992"/>
    <w:rsid w:val="001B39BF"/>
    <w:rsid w:val="001B39CB"/>
    <w:rsid w:val="001B39DA"/>
    <w:rsid w:val="001B3A79"/>
    <w:rsid w:val="001B3A92"/>
    <w:rsid w:val="001B3AF2"/>
    <w:rsid w:val="001B3B4D"/>
    <w:rsid w:val="001B3B72"/>
    <w:rsid w:val="001B3B8B"/>
    <w:rsid w:val="001B3C9E"/>
    <w:rsid w:val="001B3CF3"/>
    <w:rsid w:val="001B3D38"/>
    <w:rsid w:val="001B3D9E"/>
    <w:rsid w:val="001B3DB8"/>
    <w:rsid w:val="001B3E46"/>
    <w:rsid w:val="001B3F1D"/>
    <w:rsid w:val="001B3FE5"/>
    <w:rsid w:val="001B4004"/>
    <w:rsid w:val="001B403C"/>
    <w:rsid w:val="001B404C"/>
    <w:rsid w:val="001B4086"/>
    <w:rsid w:val="001B4094"/>
    <w:rsid w:val="001B40E8"/>
    <w:rsid w:val="001B4114"/>
    <w:rsid w:val="001B411B"/>
    <w:rsid w:val="001B413A"/>
    <w:rsid w:val="001B4157"/>
    <w:rsid w:val="001B41AB"/>
    <w:rsid w:val="001B41AE"/>
    <w:rsid w:val="001B41C9"/>
    <w:rsid w:val="001B41D1"/>
    <w:rsid w:val="001B41D2"/>
    <w:rsid w:val="001B41F4"/>
    <w:rsid w:val="001B425F"/>
    <w:rsid w:val="001B42BD"/>
    <w:rsid w:val="001B42DA"/>
    <w:rsid w:val="001B434F"/>
    <w:rsid w:val="001B4356"/>
    <w:rsid w:val="001B4362"/>
    <w:rsid w:val="001B437F"/>
    <w:rsid w:val="001B4383"/>
    <w:rsid w:val="001B43CB"/>
    <w:rsid w:val="001B43E4"/>
    <w:rsid w:val="001B4438"/>
    <w:rsid w:val="001B44AB"/>
    <w:rsid w:val="001B4595"/>
    <w:rsid w:val="001B45CF"/>
    <w:rsid w:val="001B462E"/>
    <w:rsid w:val="001B4636"/>
    <w:rsid w:val="001B4663"/>
    <w:rsid w:val="001B4664"/>
    <w:rsid w:val="001B46A4"/>
    <w:rsid w:val="001B46AD"/>
    <w:rsid w:val="001B46E4"/>
    <w:rsid w:val="001B4759"/>
    <w:rsid w:val="001B4780"/>
    <w:rsid w:val="001B4817"/>
    <w:rsid w:val="001B483E"/>
    <w:rsid w:val="001B4846"/>
    <w:rsid w:val="001B48A6"/>
    <w:rsid w:val="001B48A8"/>
    <w:rsid w:val="001B48C5"/>
    <w:rsid w:val="001B494E"/>
    <w:rsid w:val="001B4A0C"/>
    <w:rsid w:val="001B4A1F"/>
    <w:rsid w:val="001B4A26"/>
    <w:rsid w:val="001B4A6E"/>
    <w:rsid w:val="001B4A83"/>
    <w:rsid w:val="001B4A8A"/>
    <w:rsid w:val="001B4ABA"/>
    <w:rsid w:val="001B4AE8"/>
    <w:rsid w:val="001B4B02"/>
    <w:rsid w:val="001B4B1D"/>
    <w:rsid w:val="001B4B49"/>
    <w:rsid w:val="001B4B6B"/>
    <w:rsid w:val="001B4BF2"/>
    <w:rsid w:val="001B4C0C"/>
    <w:rsid w:val="001B4C49"/>
    <w:rsid w:val="001B4C5B"/>
    <w:rsid w:val="001B4C87"/>
    <w:rsid w:val="001B4C9C"/>
    <w:rsid w:val="001B4CB6"/>
    <w:rsid w:val="001B4D2A"/>
    <w:rsid w:val="001B4D7D"/>
    <w:rsid w:val="001B4D84"/>
    <w:rsid w:val="001B4D9E"/>
    <w:rsid w:val="001B4DB2"/>
    <w:rsid w:val="001B4DFA"/>
    <w:rsid w:val="001B4E1B"/>
    <w:rsid w:val="001B4E1E"/>
    <w:rsid w:val="001B4E31"/>
    <w:rsid w:val="001B4EF1"/>
    <w:rsid w:val="001B4F20"/>
    <w:rsid w:val="001B4FAF"/>
    <w:rsid w:val="001B4FBC"/>
    <w:rsid w:val="001B5015"/>
    <w:rsid w:val="001B5048"/>
    <w:rsid w:val="001B5050"/>
    <w:rsid w:val="001B5056"/>
    <w:rsid w:val="001B50AD"/>
    <w:rsid w:val="001B5119"/>
    <w:rsid w:val="001B5147"/>
    <w:rsid w:val="001B517C"/>
    <w:rsid w:val="001B5193"/>
    <w:rsid w:val="001B51B3"/>
    <w:rsid w:val="001B51B4"/>
    <w:rsid w:val="001B51B6"/>
    <w:rsid w:val="001B51BF"/>
    <w:rsid w:val="001B51F5"/>
    <w:rsid w:val="001B5229"/>
    <w:rsid w:val="001B5269"/>
    <w:rsid w:val="001B531A"/>
    <w:rsid w:val="001B539F"/>
    <w:rsid w:val="001B541D"/>
    <w:rsid w:val="001B5420"/>
    <w:rsid w:val="001B5441"/>
    <w:rsid w:val="001B5471"/>
    <w:rsid w:val="001B5496"/>
    <w:rsid w:val="001B553D"/>
    <w:rsid w:val="001B5547"/>
    <w:rsid w:val="001B5550"/>
    <w:rsid w:val="001B5652"/>
    <w:rsid w:val="001B566C"/>
    <w:rsid w:val="001B56EA"/>
    <w:rsid w:val="001B571D"/>
    <w:rsid w:val="001B5724"/>
    <w:rsid w:val="001B578E"/>
    <w:rsid w:val="001B5797"/>
    <w:rsid w:val="001B57C8"/>
    <w:rsid w:val="001B580D"/>
    <w:rsid w:val="001B5856"/>
    <w:rsid w:val="001B585F"/>
    <w:rsid w:val="001B58CF"/>
    <w:rsid w:val="001B58FB"/>
    <w:rsid w:val="001B5A04"/>
    <w:rsid w:val="001B5A19"/>
    <w:rsid w:val="001B5A40"/>
    <w:rsid w:val="001B5B57"/>
    <w:rsid w:val="001B5B9E"/>
    <w:rsid w:val="001B5BAF"/>
    <w:rsid w:val="001B5BB3"/>
    <w:rsid w:val="001B5BBE"/>
    <w:rsid w:val="001B5BF3"/>
    <w:rsid w:val="001B5C00"/>
    <w:rsid w:val="001B5C22"/>
    <w:rsid w:val="001B5C34"/>
    <w:rsid w:val="001B5C5F"/>
    <w:rsid w:val="001B5C9A"/>
    <w:rsid w:val="001B5C9F"/>
    <w:rsid w:val="001B5CA5"/>
    <w:rsid w:val="001B5CBD"/>
    <w:rsid w:val="001B5CF3"/>
    <w:rsid w:val="001B5D2F"/>
    <w:rsid w:val="001B5D45"/>
    <w:rsid w:val="001B5F26"/>
    <w:rsid w:val="001B5FF0"/>
    <w:rsid w:val="001B6088"/>
    <w:rsid w:val="001B60A0"/>
    <w:rsid w:val="001B60C4"/>
    <w:rsid w:val="001B60E2"/>
    <w:rsid w:val="001B611F"/>
    <w:rsid w:val="001B6163"/>
    <w:rsid w:val="001B6179"/>
    <w:rsid w:val="001B619C"/>
    <w:rsid w:val="001B61A3"/>
    <w:rsid w:val="001B6206"/>
    <w:rsid w:val="001B628F"/>
    <w:rsid w:val="001B62C7"/>
    <w:rsid w:val="001B62D8"/>
    <w:rsid w:val="001B62FC"/>
    <w:rsid w:val="001B63AB"/>
    <w:rsid w:val="001B63E3"/>
    <w:rsid w:val="001B6458"/>
    <w:rsid w:val="001B646A"/>
    <w:rsid w:val="001B64B7"/>
    <w:rsid w:val="001B64EA"/>
    <w:rsid w:val="001B6565"/>
    <w:rsid w:val="001B6569"/>
    <w:rsid w:val="001B65BD"/>
    <w:rsid w:val="001B65CF"/>
    <w:rsid w:val="001B668E"/>
    <w:rsid w:val="001B6692"/>
    <w:rsid w:val="001B669B"/>
    <w:rsid w:val="001B66DC"/>
    <w:rsid w:val="001B6717"/>
    <w:rsid w:val="001B6719"/>
    <w:rsid w:val="001B671B"/>
    <w:rsid w:val="001B673E"/>
    <w:rsid w:val="001B6774"/>
    <w:rsid w:val="001B6795"/>
    <w:rsid w:val="001B67AF"/>
    <w:rsid w:val="001B67BD"/>
    <w:rsid w:val="001B681B"/>
    <w:rsid w:val="001B6849"/>
    <w:rsid w:val="001B6907"/>
    <w:rsid w:val="001B69A2"/>
    <w:rsid w:val="001B6A00"/>
    <w:rsid w:val="001B6A0B"/>
    <w:rsid w:val="001B6A83"/>
    <w:rsid w:val="001B6A97"/>
    <w:rsid w:val="001B6AB5"/>
    <w:rsid w:val="001B6AB6"/>
    <w:rsid w:val="001B6AD1"/>
    <w:rsid w:val="001B6AEF"/>
    <w:rsid w:val="001B6AF1"/>
    <w:rsid w:val="001B6B1B"/>
    <w:rsid w:val="001B6B50"/>
    <w:rsid w:val="001B6B65"/>
    <w:rsid w:val="001B6B77"/>
    <w:rsid w:val="001B6B9D"/>
    <w:rsid w:val="001B6C1C"/>
    <w:rsid w:val="001B6C7B"/>
    <w:rsid w:val="001B6CFC"/>
    <w:rsid w:val="001B6D33"/>
    <w:rsid w:val="001B6D4C"/>
    <w:rsid w:val="001B6D8A"/>
    <w:rsid w:val="001B6E8D"/>
    <w:rsid w:val="001B6EAD"/>
    <w:rsid w:val="001B6EB5"/>
    <w:rsid w:val="001B6EC2"/>
    <w:rsid w:val="001B6F12"/>
    <w:rsid w:val="001B6F15"/>
    <w:rsid w:val="001B6F35"/>
    <w:rsid w:val="001B701A"/>
    <w:rsid w:val="001B701B"/>
    <w:rsid w:val="001B7021"/>
    <w:rsid w:val="001B702B"/>
    <w:rsid w:val="001B7073"/>
    <w:rsid w:val="001B70CE"/>
    <w:rsid w:val="001B7185"/>
    <w:rsid w:val="001B71AB"/>
    <w:rsid w:val="001B71DB"/>
    <w:rsid w:val="001B728A"/>
    <w:rsid w:val="001B72EB"/>
    <w:rsid w:val="001B7301"/>
    <w:rsid w:val="001B7457"/>
    <w:rsid w:val="001B74A0"/>
    <w:rsid w:val="001B74AA"/>
    <w:rsid w:val="001B74DC"/>
    <w:rsid w:val="001B74EE"/>
    <w:rsid w:val="001B753C"/>
    <w:rsid w:val="001B753E"/>
    <w:rsid w:val="001B7548"/>
    <w:rsid w:val="001B7559"/>
    <w:rsid w:val="001B7564"/>
    <w:rsid w:val="001B75A8"/>
    <w:rsid w:val="001B75BF"/>
    <w:rsid w:val="001B75F6"/>
    <w:rsid w:val="001B7628"/>
    <w:rsid w:val="001B7666"/>
    <w:rsid w:val="001B766E"/>
    <w:rsid w:val="001B7683"/>
    <w:rsid w:val="001B768E"/>
    <w:rsid w:val="001B776B"/>
    <w:rsid w:val="001B7782"/>
    <w:rsid w:val="001B77EC"/>
    <w:rsid w:val="001B7840"/>
    <w:rsid w:val="001B785A"/>
    <w:rsid w:val="001B78A3"/>
    <w:rsid w:val="001B78E0"/>
    <w:rsid w:val="001B7904"/>
    <w:rsid w:val="001B7907"/>
    <w:rsid w:val="001B7968"/>
    <w:rsid w:val="001B7A2D"/>
    <w:rsid w:val="001B7A43"/>
    <w:rsid w:val="001B7A45"/>
    <w:rsid w:val="001B7A50"/>
    <w:rsid w:val="001B7A6C"/>
    <w:rsid w:val="001B7A79"/>
    <w:rsid w:val="001B7A93"/>
    <w:rsid w:val="001B7A95"/>
    <w:rsid w:val="001B7B6B"/>
    <w:rsid w:val="001B7C11"/>
    <w:rsid w:val="001B7C40"/>
    <w:rsid w:val="001B7C87"/>
    <w:rsid w:val="001B7CBA"/>
    <w:rsid w:val="001B7CBF"/>
    <w:rsid w:val="001B7D02"/>
    <w:rsid w:val="001B7D0A"/>
    <w:rsid w:val="001B7D1B"/>
    <w:rsid w:val="001B7D2D"/>
    <w:rsid w:val="001B7D2E"/>
    <w:rsid w:val="001B7D69"/>
    <w:rsid w:val="001B7DAC"/>
    <w:rsid w:val="001B7DE1"/>
    <w:rsid w:val="001B7E1B"/>
    <w:rsid w:val="001B7E35"/>
    <w:rsid w:val="001B7E87"/>
    <w:rsid w:val="001B7EA0"/>
    <w:rsid w:val="001B7EA7"/>
    <w:rsid w:val="001B7EDF"/>
    <w:rsid w:val="001B7EE5"/>
    <w:rsid w:val="001B7F25"/>
    <w:rsid w:val="001B7F4C"/>
    <w:rsid w:val="001B7F5A"/>
    <w:rsid w:val="001B7F62"/>
    <w:rsid w:val="001B7F8D"/>
    <w:rsid w:val="001C002A"/>
    <w:rsid w:val="001C0043"/>
    <w:rsid w:val="001C007D"/>
    <w:rsid w:val="001C007F"/>
    <w:rsid w:val="001C0080"/>
    <w:rsid w:val="001C00F8"/>
    <w:rsid w:val="001C0120"/>
    <w:rsid w:val="001C0150"/>
    <w:rsid w:val="001C0169"/>
    <w:rsid w:val="001C01EB"/>
    <w:rsid w:val="001C01F4"/>
    <w:rsid w:val="001C01F6"/>
    <w:rsid w:val="001C020F"/>
    <w:rsid w:val="001C0228"/>
    <w:rsid w:val="001C026D"/>
    <w:rsid w:val="001C02BC"/>
    <w:rsid w:val="001C02DE"/>
    <w:rsid w:val="001C0315"/>
    <w:rsid w:val="001C0331"/>
    <w:rsid w:val="001C0357"/>
    <w:rsid w:val="001C035C"/>
    <w:rsid w:val="001C03AE"/>
    <w:rsid w:val="001C03D5"/>
    <w:rsid w:val="001C0409"/>
    <w:rsid w:val="001C046D"/>
    <w:rsid w:val="001C0483"/>
    <w:rsid w:val="001C0486"/>
    <w:rsid w:val="001C053B"/>
    <w:rsid w:val="001C054B"/>
    <w:rsid w:val="001C0592"/>
    <w:rsid w:val="001C05EB"/>
    <w:rsid w:val="001C0601"/>
    <w:rsid w:val="001C0698"/>
    <w:rsid w:val="001C06AD"/>
    <w:rsid w:val="001C06C9"/>
    <w:rsid w:val="001C06CF"/>
    <w:rsid w:val="001C075A"/>
    <w:rsid w:val="001C077C"/>
    <w:rsid w:val="001C0787"/>
    <w:rsid w:val="001C0795"/>
    <w:rsid w:val="001C079B"/>
    <w:rsid w:val="001C07D6"/>
    <w:rsid w:val="001C07E8"/>
    <w:rsid w:val="001C082F"/>
    <w:rsid w:val="001C0835"/>
    <w:rsid w:val="001C084B"/>
    <w:rsid w:val="001C084E"/>
    <w:rsid w:val="001C0899"/>
    <w:rsid w:val="001C089E"/>
    <w:rsid w:val="001C08D8"/>
    <w:rsid w:val="001C0923"/>
    <w:rsid w:val="001C0930"/>
    <w:rsid w:val="001C0948"/>
    <w:rsid w:val="001C0964"/>
    <w:rsid w:val="001C0968"/>
    <w:rsid w:val="001C0978"/>
    <w:rsid w:val="001C097B"/>
    <w:rsid w:val="001C09D0"/>
    <w:rsid w:val="001C09E1"/>
    <w:rsid w:val="001C0A14"/>
    <w:rsid w:val="001C0A2F"/>
    <w:rsid w:val="001C0A35"/>
    <w:rsid w:val="001C0A7B"/>
    <w:rsid w:val="001C0A80"/>
    <w:rsid w:val="001C0A8D"/>
    <w:rsid w:val="001C0ACA"/>
    <w:rsid w:val="001C0AFB"/>
    <w:rsid w:val="001C0B1C"/>
    <w:rsid w:val="001C0B7B"/>
    <w:rsid w:val="001C0B9B"/>
    <w:rsid w:val="001C0C49"/>
    <w:rsid w:val="001C0C79"/>
    <w:rsid w:val="001C0CF3"/>
    <w:rsid w:val="001C0D0F"/>
    <w:rsid w:val="001C0D12"/>
    <w:rsid w:val="001C0D5D"/>
    <w:rsid w:val="001C0DA0"/>
    <w:rsid w:val="001C0DDD"/>
    <w:rsid w:val="001C0E01"/>
    <w:rsid w:val="001C0E31"/>
    <w:rsid w:val="001C0E38"/>
    <w:rsid w:val="001C0E57"/>
    <w:rsid w:val="001C0EBD"/>
    <w:rsid w:val="001C0EF1"/>
    <w:rsid w:val="001C0F0F"/>
    <w:rsid w:val="001C0F86"/>
    <w:rsid w:val="001C0F98"/>
    <w:rsid w:val="001C0FE4"/>
    <w:rsid w:val="001C100A"/>
    <w:rsid w:val="001C10BE"/>
    <w:rsid w:val="001C10C1"/>
    <w:rsid w:val="001C10C5"/>
    <w:rsid w:val="001C1104"/>
    <w:rsid w:val="001C1189"/>
    <w:rsid w:val="001C11ED"/>
    <w:rsid w:val="001C1210"/>
    <w:rsid w:val="001C1239"/>
    <w:rsid w:val="001C12BB"/>
    <w:rsid w:val="001C12F2"/>
    <w:rsid w:val="001C1308"/>
    <w:rsid w:val="001C1335"/>
    <w:rsid w:val="001C1353"/>
    <w:rsid w:val="001C13C7"/>
    <w:rsid w:val="001C13F8"/>
    <w:rsid w:val="001C1428"/>
    <w:rsid w:val="001C1432"/>
    <w:rsid w:val="001C14D2"/>
    <w:rsid w:val="001C14F5"/>
    <w:rsid w:val="001C155C"/>
    <w:rsid w:val="001C1571"/>
    <w:rsid w:val="001C1593"/>
    <w:rsid w:val="001C15C9"/>
    <w:rsid w:val="001C1602"/>
    <w:rsid w:val="001C1662"/>
    <w:rsid w:val="001C16C5"/>
    <w:rsid w:val="001C16D6"/>
    <w:rsid w:val="001C176E"/>
    <w:rsid w:val="001C177F"/>
    <w:rsid w:val="001C17BB"/>
    <w:rsid w:val="001C17CA"/>
    <w:rsid w:val="001C17ED"/>
    <w:rsid w:val="001C1844"/>
    <w:rsid w:val="001C1873"/>
    <w:rsid w:val="001C1887"/>
    <w:rsid w:val="001C1967"/>
    <w:rsid w:val="001C1986"/>
    <w:rsid w:val="001C199A"/>
    <w:rsid w:val="001C19A6"/>
    <w:rsid w:val="001C1A26"/>
    <w:rsid w:val="001C1A55"/>
    <w:rsid w:val="001C1A5F"/>
    <w:rsid w:val="001C1AA6"/>
    <w:rsid w:val="001C1ACC"/>
    <w:rsid w:val="001C1ACF"/>
    <w:rsid w:val="001C1AD2"/>
    <w:rsid w:val="001C1ADF"/>
    <w:rsid w:val="001C1AE7"/>
    <w:rsid w:val="001C1B5C"/>
    <w:rsid w:val="001C1B66"/>
    <w:rsid w:val="001C1B7A"/>
    <w:rsid w:val="001C1BBE"/>
    <w:rsid w:val="001C1BC4"/>
    <w:rsid w:val="001C1C0B"/>
    <w:rsid w:val="001C1C0D"/>
    <w:rsid w:val="001C1C1D"/>
    <w:rsid w:val="001C1C7F"/>
    <w:rsid w:val="001C1C84"/>
    <w:rsid w:val="001C1C94"/>
    <w:rsid w:val="001C1CAD"/>
    <w:rsid w:val="001C1D2A"/>
    <w:rsid w:val="001C1D2B"/>
    <w:rsid w:val="001C1D33"/>
    <w:rsid w:val="001C1D4E"/>
    <w:rsid w:val="001C1DC4"/>
    <w:rsid w:val="001C1DFA"/>
    <w:rsid w:val="001C1EA0"/>
    <w:rsid w:val="001C1EA2"/>
    <w:rsid w:val="001C1F91"/>
    <w:rsid w:val="001C201A"/>
    <w:rsid w:val="001C205E"/>
    <w:rsid w:val="001C20D9"/>
    <w:rsid w:val="001C2107"/>
    <w:rsid w:val="001C2133"/>
    <w:rsid w:val="001C2135"/>
    <w:rsid w:val="001C216F"/>
    <w:rsid w:val="001C2189"/>
    <w:rsid w:val="001C21D2"/>
    <w:rsid w:val="001C2225"/>
    <w:rsid w:val="001C2280"/>
    <w:rsid w:val="001C22B2"/>
    <w:rsid w:val="001C22C7"/>
    <w:rsid w:val="001C2355"/>
    <w:rsid w:val="001C2379"/>
    <w:rsid w:val="001C237E"/>
    <w:rsid w:val="001C23CB"/>
    <w:rsid w:val="001C23F3"/>
    <w:rsid w:val="001C2421"/>
    <w:rsid w:val="001C247B"/>
    <w:rsid w:val="001C248B"/>
    <w:rsid w:val="001C2495"/>
    <w:rsid w:val="001C249D"/>
    <w:rsid w:val="001C24AB"/>
    <w:rsid w:val="001C24AC"/>
    <w:rsid w:val="001C24F2"/>
    <w:rsid w:val="001C24F3"/>
    <w:rsid w:val="001C2530"/>
    <w:rsid w:val="001C258F"/>
    <w:rsid w:val="001C25EB"/>
    <w:rsid w:val="001C25FB"/>
    <w:rsid w:val="001C2623"/>
    <w:rsid w:val="001C2649"/>
    <w:rsid w:val="001C264E"/>
    <w:rsid w:val="001C26BD"/>
    <w:rsid w:val="001C26D1"/>
    <w:rsid w:val="001C26E2"/>
    <w:rsid w:val="001C26F0"/>
    <w:rsid w:val="001C2707"/>
    <w:rsid w:val="001C274B"/>
    <w:rsid w:val="001C2757"/>
    <w:rsid w:val="001C2794"/>
    <w:rsid w:val="001C27AE"/>
    <w:rsid w:val="001C2840"/>
    <w:rsid w:val="001C2854"/>
    <w:rsid w:val="001C2A2C"/>
    <w:rsid w:val="001C2A6F"/>
    <w:rsid w:val="001C2A85"/>
    <w:rsid w:val="001C2AF0"/>
    <w:rsid w:val="001C2B06"/>
    <w:rsid w:val="001C2B79"/>
    <w:rsid w:val="001C2B7C"/>
    <w:rsid w:val="001C2B7F"/>
    <w:rsid w:val="001C2C0E"/>
    <w:rsid w:val="001C2C1F"/>
    <w:rsid w:val="001C2C58"/>
    <w:rsid w:val="001C2C6D"/>
    <w:rsid w:val="001C2C74"/>
    <w:rsid w:val="001C2CA9"/>
    <w:rsid w:val="001C2D1F"/>
    <w:rsid w:val="001C2D8A"/>
    <w:rsid w:val="001C2DA3"/>
    <w:rsid w:val="001C2DBD"/>
    <w:rsid w:val="001C2E0D"/>
    <w:rsid w:val="001C2F04"/>
    <w:rsid w:val="001C2F33"/>
    <w:rsid w:val="001C2F78"/>
    <w:rsid w:val="001C2F81"/>
    <w:rsid w:val="001C2FAF"/>
    <w:rsid w:val="001C3019"/>
    <w:rsid w:val="001C3025"/>
    <w:rsid w:val="001C3045"/>
    <w:rsid w:val="001C3050"/>
    <w:rsid w:val="001C3136"/>
    <w:rsid w:val="001C3183"/>
    <w:rsid w:val="001C31C9"/>
    <w:rsid w:val="001C31E0"/>
    <w:rsid w:val="001C3242"/>
    <w:rsid w:val="001C3262"/>
    <w:rsid w:val="001C32CB"/>
    <w:rsid w:val="001C33D2"/>
    <w:rsid w:val="001C340E"/>
    <w:rsid w:val="001C3413"/>
    <w:rsid w:val="001C342F"/>
    <w:rsid w:val="001C344F"/>
    <w:rsid w:val="001C345E"/>
    <w:rsid w:val="001C34E1"/>
    <w:rsid w:val="001C3500"/>
    <w:rsid w:val="001C3536"/>
    <w:rsid w:val="001C358D"/>
    <w:rsid w:val="001C3604"/>
    <w:rsid w:val="001C361A"/>
    <w:rsid w:val="001C3624"/>
    <w:rsid w:val="001C36A5"/>
    <w:rsid w:val="001C36B8"/>
    <w:rsid w:val="001C36EF"/>
    <w:rsid w:val="001C370E"/>
    <w:rsid w:val="001C3759"/>
    <w:rsid w:val="001C37C1"/>
    <w:rsid w:val="001C37F0"/>
    <w:rsid w:val="001C381E"/>
    <w:rsid w:val="001C3840"/>
    <w:rsid w:val="001C3859"/>
    <w:rsid w:val="001C386A"/>
    <w:rsid w:val="001C3884"/>
    <w:rsid w:val="001C38B4"/>
    <w:rsid w:val="001C3905"/>
    <w:rsid w:val="001C3912"/>
    <w:rsid w:val="001C39C2"/>
    <w:rsid w:val="001C3A57"/>
    <w:rsid w:val="001C3A5B"/>
    <w:rsid w:val="001C3A7B"/>
    <w:rsid w:val="001C3A86"/>
    <w:rsid w:val="001C3A94"/>
    <w:rsid w:val="001C3AB7"/>
    <w:rsid w:val="001C3B26"/>
    <w:rsid w:val="001C3B44"/>
    <w:rsid w:val="001C3B50"/>
    <w:rsid w:val="001C3B90"/>
    <w:rsid w:val="001C3C31"/>
    <w:rsid w:val="001C3C54"/>
    <w:rsid w:val="001C3C6F"/>
    <w:rsid w:val="001C3C9C"/>
    <w:rsid w:val="001C3CB1"/>
    <w:rsid w:val="001C3D06"/>
    <w:rsid w:val="001C3D60"/>
    <w:rsid w:val="001C3D7F"/>
    <w:rsid w:val="001C3D9A"/>
    <w:rsid w:val="001C3DA0"/>
    <w:rsid w:val="001C3DB9"/>
    <w:rsid w:val="001C3E06"/>
    <w:rsid w:val="001C3E20"/>
    <w:rsid w:val="001C3E80"/>
    <w:rsid w:val="001C3EC5"/>
    <w:rsid w:val="001C3ED0"/>
    <w:rsid w:val="001C3F60"/>
    <w:rsid w:val="001C3F70"/>
    <w:rsid w:val="001C3F72"/>
    <w:rsid w:val="001C3F98"/>
    <w:rsid w:val="001C3FB7"/>
    <w:rsid w:val="001C3FC2"/>
    <w:rsid w:val="001C3FE1"/>
    <w:rsid w:val="001C4004"/>
    <w:rsid w:val="001C403C"/>
    <w:rsid w:val="001C40A0"/>
    <w:rsid w:val="001C40AD"/>
    <w:rsid w:val="001C40AE"/>
    <w:rsid w:val="001C40D9"/>
    <w:rsid w:val="001C40E8"/>
    <w:rsid w:val="001C40FE"/>
    <w:rsid w:val="001C415C"/>
    <w:rsid w:val="001C4165"/>
    <w:rsid w:val="001C41AB"/>
    <w:rsid w:val="001C41D1"/>
    <w:rsid w:val="001C41E0"/>
    <w:rsid w:val="001C421A"/>
    <w:rsid w:val="001C4250"/>
    <w:rsid w:val="001C4261"/>
    <w:rsid w:val="001C42E5"/>
    <w:rsid w:val="001C4351"/>
    <w:rsid w:val="001C4411"/>
    <w:rsid w:val="001C4433"/>
    <w:rsid w:val="001C44D8"/>
    <w:rsid w:val="001C44DF"/>
    <w:rsid w:val="001C44E0"/>
    <w:rsid w:val="001C452B"/>
    <w:rsid w:val="001C452E"/>
    <w:rsid w:val="001C4573"/>
    <w:rsid w:val="001C4574"/>
    <w:rsid w:val="001C45F4"/>
    <w:rsid w:val="001C4600"/>
    <w:rsid w:val="001C4625"/>
    <w:rsid w:val="001C465D"/>
    <w:rsid w:val="001C46B8"/>
    <w:rsid w:val="001C46D5"/>
    <w:rsid w:val="001C4724"/>
    <w:rsid w:val="001C472E"/>
    <w:rsid w:val="001C4778"/>
    <w:rsid w:val="001C47CF"/>
    <w:rsid w:val="001C4832"/>
    <w:rsid w:val="001C4843"/>
    <w:rsid w:val="001C48F1"/>
    <w:rsid w:val="001C4945"/>
    <w:rsid w:val="001C4962"/>
    <w:rsid w:val="001C4975"/>
    <w:rsid w:val="001C4983"/>
    <w:rsid w:val="001C499F"/>
    <w:rsid w:val="001C49A2"/>
    <w:rsid w:val="001C49EC"/>
    <w:rsid w:val="001C49F9"/>
    <w:rsid w:val="001C4A4E"/>
    <w:rsid w:val="001C4A75"/>
    <w:rsid w:val="001C4A80"/>
    <w:rsid w:val="001C4A90"/>
    <w:rsid w:val="001C4A9D"/>
    <w:rsid w:val="001C4B94"/>
    <w:rsid w:val="001C4BA6"/>
    <w:rsid w:val="001C4BD8"/>
    <w:rsid w:val="001C4C3B"/>
    <w:rsid w:val="001C4C45"/>
    <w:rsid w:val="001C4CA6"/>
    <w:rsid w:val="001C4CF9"/>
    <w:rsid w:val="001C4D14"/>
    <w:rsid w:val="001C4D42"/>
    <w:rsid w:val="001C4D50"/>
    <w:rsid w:val="001C4D75"/>
    <w:rsid w:val="001C4D86"/>
    <w:rsid w:val="001C4D99"/>
    <w:rsid w:val="001C4DC6"/>
    <w:rsid w:val="001C4DF9"/>
    <w:rsid w:val="001C4E0F"/>
    <w:rsid w:val="001C4E32"/>
    <w:rsid w:val="001C4E8B"/>
    <w:rsid w:val="001C4EC6"/>
    <w:rsid w:val="001C4EEE"/>
    <w:rsid w:val="001C4F8E"/>
    <w:rsid w:val="001C4FAD"/>
    <w:rsid w:val="001C4FBA"/>
    <w:rsid w:val="001C4FDD"/>
    <w:rsid w:val="001C5054"/>
    <w:rsid w:val="001C508D"/>
    <w:rsid w:val="001C50CC"/>
    <w:rsid w:val="001C50FB"/>
    <w:rsid w:val="001C513C"/>
    <w:rsid w:val="001C5158"/>
    <w:rsid w:val="001C51E6"/>
    <w:rsid w:val="001C51ED"/>
    <w:rsid w:val="001C523E"/>
    <w:rsid w:val="001C524F"/>
    <w:rsid w:val="001C5259"/>
    <w:rsid w:val="001C5277"/>
    <w:rsid w:val="001C5287"/>
    <w:rsid w:val="001C52DF"/>
    <w:rsid w:val="001C52F0"/>
    <w:rsid w:val="001C52F5"/>
    <w:rsid w:val="001C52F7"/>
    <w:rsid w:val="001C535B"/>
    <w:rsid w:val="001C5374"/>
    <w:rsid w:val="001C53AA"/>
    <w:rsid w:val="001C53BA"/>
    <w:rsid w:val="001C53F1"/>
    <w:rsid w:val="001C5452"/>
    <w:rsid w:val="001C5488"/>
    <w:rsid w:val="001C54DA"/>
    <w:rsid w:val="001C54FB"/>
    <w:rsid w:val="001C55BB"/>
    <w:rsid w:val="001C55ED"/>
    <w:rsid w:val="001C5645"/>
    <w:rsid w:val="001C56BA"/>
    <w:rsid w:val="001C56CA"/>
    <w:rsid w:val="001C56FD"/>
    <w:rsid w:val="001C5760"/>
    <w:rsid w:val="001C576D"/>
    <w:rsid w:val="001C5795"/>
    <w:rsid w:val="001C57C9"/>
    <w:rsid w:val="001C5858"/>
    <w:rsid w:val="001C586B"/>
    <w:rsid w:val="001C5885"/>
    <w:rsid w:val="001C58A9"/>
    <w:rsid w:val="001C58B5"/>
    <w:rsid w:val="001C58BD"/>
    <w:rsid w:val="001C58F2"/>
    <w:rsid w:val="001C590B"/>
    <w:rsid w:val="001C5925"/>
    <w:rsid w:val="001C5932"/>
    <w:rsid w:val="001C597D"/>
    <w:rsid w:val="001C59A9"/>
    <w:rsid w:val="001C59E8"/>
    <w:rsid w:val="001C5AE8"/>
    <w:rsid w:val="001C5AF3"/>
    <w:rsid w:val="001C5AF8"/>
    <w:rsid w:val="001C5B0F"/>
    <w:rsid w:val="001C5BA2"/>
    <w:rsid w:val="001C5C2C"/>
    <w:rsid w:val="001C5C82"/>
    <w:rsid w:val="001C5CB2"/>
    <w:rsid w:val="001C5D2B"/>
    <w:rsid w:val="001C5D47"/>
    <w:rsid w:val="001C5D6F"/>
    <w:rsid w:val="001C5D93"/>
    <w:rsid w:val="001C5DC1"/>
    <w:rsid w:val="001C5DEC"/>
    <w:rsid w:val="001C5E0C"/>
    <w:rsid w:val="001C5E1D"/>
    <w:rsid w:val="001C5E40"/>
    <w:rsid w:val="001C5E9B"/>
    <w:rsid w:val="001C5EF6"/>
    <w:rsid w:val="001C5F3F"/>
    <w:rsid w:val="001C5F99"/>
    <w:rsid w:val="001C5FAD"/>
    <w:rsid w:val="001C5FDF"/>
    <w:rsid w:val="001C5FFF"/>
    <w:rsid w:val="001C6001"/>
    <w:rsid w:val="001C60CC"/>
    <w:rsid w:val="001C60EF"/>
    <w:rsid w:val="001C60F6"/>
    <w:rsid w:val="001C6138"/>
    <w:rsid w:val="001C61C9"/>
    <w:rsid w:val="001C61FF"/>
    <w:rsid w:val="001C6212"/>
    <w:rsid w:val="001C621E"/>
    <w:rsid w:val="001C626A"/>
    <w:rsid w:val="001C6280"/>
    <w:rsid w:val="001C62C5"/>
    <w:rsid w:val="001C62D2"/>
    <w:rsid w:val="001C62DE"/>
    <w:rsid w:val="001C62E6"/>
    <w:rsid w:val="001C6322"/>
    <w:rsid w:val="001C6329"/>
    <w:rsid w:val="001C6346"/>
    <w:rsid w:val="001C6348"/>
    <w:rsid w:val="001C6349"/>
    <w:rsid w:val="001C63E6"/>
    <w:rsid w:val="001C6423"/>
    <w:rsid w:val="001C6428"/>
    <w:rsid w:val="001C6492"/>
    <w:rsid w:val="001C6493"/>
    <w:rsid w:val="001C64A6"/>
    <w:rsid w:val="001C64BF"/>
    <w:rsid w:val="001C6566"/>
    <w:rsid w:val="001C6573"/>
    <w:rsid w:val="001C6587"/>
    <w:rsid w:val="001C6598"/>
    <w:rsid w:val="001C65A6"/>
    <w:rsid w:val="001C65DF"/>
    <w:rsid w:val="001C6607"/>
    <w:rsid w:val="001C6657"/>
    <w:rsid w:val="001C6680"/>
    <w:rsid w:val="001C6696"/>
    <w:rsid w:val="001C66A4"/>
    <w:rsid w:val="001C66B1"/>
    <w:rsid w:val="001C66CD"/>
    <w:rsid w:val="001C672F"/>
    <w:rsid w:val="001C6739"/>
    <w:rsid w:val="001C6741"/>
    <w:rsid w:val="001C676A"/>
    <w:rsid w:val="001C67E1"/>
    <w:rsid w:val="001C6826"/>
    <w:rsid w:val="001C6831"/>
    <w:rsid w:val="001C683D"/>
    <w:rsid w:val="001C6851"/>
    <w:rsid w:val="001C685A"/>
    <w:rsid w:val="001C6898"/>
    <w:rsid w:val="001C68B4"/>
    <w:rsid w:val="001C68B6"/>
    <w:rsid w:val="001C68F0"/>
    <w:rsid w:val="001C6911"/>
    <w:rsid w:val="001C6934"/>
    <w:rsid w:val="001C693A"/>
    <w:rsid w:val="001C6980"/>
    <w:rsid w:val="001C69A8"/>
    <w:rsid w:val="001C69ED"/>
    <w:rsid w:val="001C69F9"/>
    <w:rsid w:val="001C69FC"/>
    <w:rsid w:val="001C6A0E"/>
    <w:rsid w:val="001C6AB0"/>
    <w:rsid w:val="001C6AC1"/>
    <w:rsid w:val="001C6AD6"/>
    <w:rsid w:val="001C6ADB"/>
    <w:rsid w:val="001C6B2B"/>
    <w:rsid w:val="001C6B30"/>
    <w:rsid w:val="001C6B90"/>
    <w:rsid w:val="001C6BAE"/>
    <w:rsid w:val="001C6BB3"/>
    <w:rsid w:val="001C6BC1"/>
    <w:rsid w:val="001C6C1A"/>
    <w:rsid w:val="001C6C25"/>
    <w:rsid w:val="001C6C55"/>
    <w:rsid w:val="001C6C8A"/>
    <w:rsid w:val="001C6CC2"/>
    <w:rsid w:val="001C6CC9"/>
    <w:rsid w:val="001C6D4D"/>
    <w:rsid w:val="001C6DC7"/>
    <w:rsid w:val="001C6DCE"/>
    <w:rsid w:val="001C6E00"/>
    <w:rsid w:val="001C6E10"/>
    <w:rsid w:val="001C6E32"/>
    <w:rsid w:val="001C6E3D"/>
    <w:rsid w:val="001C6E69"/>
    <w:rsid w:val="001C6E6F"/>
    <w:rsid w:val="001C6EE0"/>
    <w:rsid w:val="001C6F02"/>
    <w:rsid w:val="001C6F3C"/>
    <w:rsid w:val="001C6F6B"/>
    <w:rsid w:val="001C6F7F"/>
    <w:rsid w:val="001C6F8A"/>
    <w:rsid w:val="001C6FB1"/>
    <w:rsid w:val="001C6FCF"/>
    <w:rsid w:val="001C6FEB"/>
    <w:rsid w:val="001C6FF8"/>
    <w:rsid w:val="001C7024"/>
    <w:rsid w:val="001C707B"/>
    <w:rsid w:val="001C7089"/>
    <w:rsid w:val="001C70DB"/>
    <w:rsid w:val="001C70F3"/>
    <w:rsid w:val="001C7119"/>
    <w:rsid w:val="001C7199"/>
    <w:rsid w:val="001C71D9"/>
    <w:rsid w:val="001C71E5"/>
    <w:rsid w:val="001C7210"/>
    <w:rsid w:val="001C7221"/>
    <w:rsid w:val="001C7259"/>
    <w:rsid w:val="001C7294"/>
    <w:rsid w:val="001C72FA"/>
    <w:rsid w:val="001C7329"/>
    <w:rsid w:val="001C736E"/>
    <w:rsid w:val="001C739B"/>
    <w:rsid w:val="001C73A6"/>
    <w:rsid w:val="001C7425"/>
    <w:rsid w:val="001C74A4"/>
    <w:rsid w:val="001C74B5"/>
    <w:rsid w:val="001C74E9"/>
    <w:rsid w:val="001C7507"/>
    <w:rsid w:val="001C751C"/>
    <w:rsid w:val="001C751E"/>
    <w:rsid w:val="001C7582"/>
    <w:rsid w:val="001C75BD"/>
    <w:rsid w:val="001C75C7"/>
    <w:rsid w:val="001C762F"/>
    <w:rsid w:val="001C76B7"/>
    <w:rsid w:val="001C76C4"/>
    <w:rsid w:val="001C7741"/>
    <w:rsid w:val="001C776C"/>
    <w:rsid w:val="001C778C"/>
    <w:rsid w:val="001C77A9"/>
    <w:rsid w:val="001C77AF"/>
    <w:rsid w:val="001C77B2"/>
    <w:rsid w:val="001C7809"/>
    <w:rsid w:val="001C7857"/>
    <w:rsid w:val="001C7929"/>
    <w:rsid w:val="001C792F"/>
    <w:rsid w:val="001C7A1E"/>
    <w:rsid w:val="001C7A8E"/>
    <w:rsid w:val="001C7ADE"/>
    <w:rsid w:val="001C7AFD"/>
    <w:rsid w:val="001C7B1C"/>
    <w:rsid w:val="001C7B37"/>
    <w:rsid w:val="001C7BB9"/>
    <w:rsid w:val="001C7BD3"/>
    <w:rsid w:val="001C7C1F"/>
    <w:rsid w:val="001C7C34"/>
    <w:rsid w:val="001C7C60"/>
    <w:rsid w:val="001C7CB6"/>
    <w:rsid w:val="001C7CCB"/>
    <w:rsid w:val="001C7CF2"/>
    <w:rsid w:val="001C7D33"/>
    <w:rsid w:val="001C7D4F"/>
    <w:rsid w:val="001C7D53"/>
    <w:rsid w:val="001C7D61"/>
    <w:rsid w:val="001C7D86"/>
    <w:rsid w:val="001C7D9B"/>
    <w:rsid w:val="001C7DED"/>
    <w:rsid w:val="001C7E21"/>
    <w:rsid w:val="001C7E32"/>
    <w:rsid w:val="001C7E5B"/>
    <w:rsid w:val="001C7E85"/>
    <w:rsid w:val="001C7E97"/>
    <w:rsid w:val="001C7EC2"/>
    <w:rsid w:val="001C7EEE"/>
    <w:rsid w:val="001C7EF6"/>
    <w:rsid w:val="001C7F76"/>
    <w:rsid w:val="001C7F77"/>
    <w:rsid w:val="001C7F8F"/>
    <w:rsid w:val="001C7F91"/>
    <w:rsid w:val="001D0031"/>
    <w:rsid w:val="001D016D"/>
    <w:rsid w:val="001D0184"/>
    <w:rsid w:val="001D01F4"/>
    <w:rsid w:val="001D0296"/>
    <w:rsid w:val="001D02D2"/>
    <w:rsid w:val="001D02D9"/>
    <w:rsid w:val="001D02EF"/>
    <w:rsid w:val="001D0315"/>
    <w:rsid w:val="001D0336"/>
    <w:rsid w:val="001D0391"/>
    <w:rsid w:val="001D03AF"/>
    <w:rsid w:val="001D03C0"/>
    <w:rsid w:val="001D03E8"/>
    <w:rsid w:val="001D03F0"/>
    <w:rsid w:val="001D03FF"/>
    <w:rsid w:val="001D0440"/>
    <w:rsid w:val="001D044B"/>
    <w:rsid w:val="001D04EC"/>
    <w:rsid w:val="001D051B"/>
    <w:rsid w:val="001D0531"/>
    <w:rsid w:val="001D05B8"/>
    <w:rsid w:val="001D05CE"/>
    <w:rsid w:val="001D0664"/>
    <w:rsid w:val="001D066E"/>
    <w:rsid w:val="001D06B3"/>
    <w:rsid w:val="001D06BE"/>
    <w:rsid w:val="001D06C2"/>
    <w:rsid w:val="001D06F8"/>
    <w:rsid w:val="001D0714"/>
    <w:rsid w:val="001D0719"/>
    <w:rsid w:val="001D071E"/>
    <w:rsid w:val="001D0754"/>
    <w:rsid w:val="001D0772"/>
    <w:rsid w:val="001D0791"/>
    <w:rsid w:val="001D07BB"/>
    <w:rsid w:val="001D081C"/>
    <w:rsid w:val="001D0838"/>
    <w:rsid w:val="001D08FD"/>
    <w:rsid w:val="001D0942"/>
    <w:rsid w:val="001D09C3"/>
    <w:rsid w:val="001D09F8"/>
    <w:rsid w:val="001D0A35"/>
    <w:rsid w:val="001D0A69"/>
    <w:rsid w:val="001D0AAE"/>
    <w:rsid w:val="001D0AC6"/>
    <w:rsid w:val="001D0AC8"/>
    <w:rsid w:val="001D0AD5"/>
    <w:rsid w:val="001D0AE8"/>
    <w:rsid w:val="001D0B18"/>
    <w:rsid w:val="001D0B4D"/>
    <w:rsid w:val="001D0B7B"/>
    <w:rsid w:val="001D0C18"/>
    <w:rsid w:val="001D0C44"/>
    <w:rsid w:val="001D0C5D"/>
    <w:rsid w:val="001D0C62"/>
    <w:rsid w:val="001D0C87"/>
    <w:rsid w:val="001D0CF5"/>
    <w:rsid w:val="001D0D05"/>
    <w:rsid w:val="001D0D49"/>
    <w:rsid w:val="001D0D6D"/>
    <w:rsid w:val="001D0D6F"/>
    <w:rsid w:val="001D0D90"/>
    <w:rsid w:val="001D0DB7"/>
    <w:rsid w:val="001D0E03"/>
    <w:rsid w:val="001D0E43"/>
    <w:rsid w:val="001D0E69"/>
    <w:rsid w:val="001D0E74"/>
    <w:rsid w:val="001D0EAC"/>
    <w:rsid w:val="001D0F0B"/>
    <w:rsid w:val="001D0F1B"/>
    <w:rsid w:val="001D0F4F"/>
    <w:rsid w:val="001D0F5C"/>
    <w:rsid w:val="001D0F8D"/>
    <w:rsid w:val="001D0FBE"/>
    <w:rsid w:val="001D0FFC"/>
    <w:rsid w:val="001D1000"/>
    <w:rsid w:val="001D1004"/>
    <w:rsid w:val="001D1013"/>
    <w:rsid w:val="001D104F"/>
    <w:rsid w:val="001D10FB"/>
    <w:rsid w:val="001D1165"/>
    <w:rsid w:val="001D11A1"/>
    <w:rsid w:val="001D11B7"/>
    <w:rsid w:val="001D11EE"/>
    <w:rsid w:val="001D11F1"/>
    <w:rsid w:val="001D1226"/>
    <w:rsid w:val="001D1263"/>
    <w:rsid w:val="001D127F"/>
    <w:rsid w:val="001D12E8"/>
    <w:rsid w:val="001D12F6"/>
    <w:rsid w:val="001D1300"/>
    <w:rsid w:val="001D1308"/>
    <w:rsid w:val="001D136E"/>
    <w:rsid w:val="001D137B"/>
    <w:rsid w:val="001D1384"/>
    <w:rsid w:val="001D13BF"/>
    <w:rsid w:val="001D13FF"/>
    <w:rsid w:val="001D1455"/>
    <w:rsid w:val="001D1478"/>
    <w:rsid w:val="001D14CA"/>
    <w:rsid w:val="001D14CD"/>
    <w:rsid w:val="001D14ED"/>
    <w:rsid w:val="001D152B"/>
    <w:rsid w:val="001D1589"/>
    <w:rsid w:val="001D15A1"/>
    <w:rsid w:val="001D15F8"/>
    <w:rsid w:val="001D16BD"/>
    <w:rsid w:val="001D16CB"/>
    <w:rsid w:val="001D16DF"/>
    <w:rsid w:val="001D1723"/>
    <w:rsid w:val="001D1788"/>
    <w:rsid w:val="001D178C"/>
    <w:rsid w:val="001D1794"/>
    <w:rsid w:val="001D17D7"/>
    <w:rsid w:val="001D180C"/>
    <w:rsid w:val="001D1845"/>
    <w:rsid w:val="001D184A"/>
    <w:rsid w:val="001D184C"/>
    <w:rsid w:val="001D187E"/>
    <w:rsid w:val="001D1897"/>
    <w:rsid w:val="001D18D3"/>
    <w:rsid w:val="001D18EC"/>
    <w:rsid w:val="001D191C"/>
    <w:rsid w:val="001D1924"/>
    <w:rsid w:val="001D19B4"/>
    <w:rsid w:val="001D19F2"/>
    <w:rsid w:val="001D1A1D"/>
    <w:rsid w:val="001D1A3B"/>
    <w:rsid w:val="001D1A5A"/>
    <w:rsid w:val="001D1A5C"/>
    <w:rsid w:val="001D1AF5"/>
    <w:rsid w:val="001D1B04"/>
    <w:rsid w:val="001D1B1A"/>
    <w:rsid w:val="001D1B4A"/>
    <w:rsid w:val="001D1B68"/>
    <w:rsid w:val="001D1B6F"/>
    <w:rsid w:val="001D1B77"/>
    <w:rsid w:val="001D1B8F"/>
    <w:rsid w:val="001D1B94"/>
    <w:rsid w:val="001D1BAA"/>
    <w:rsid w:val="001D1BC9"/>
    <w:rsid w:val="001D1BE1"/>
    <w:rsid w:val="001D1BED"/>
    <w:rsid w:val="001D1C1B"/>
    <w:rsid w:val="001D1C28"/>
    <w:rsid w:val="001D1C2D"/>
    <w:rsid w:val="001D1C98"/>
    <w:rsid w:val="001D1CF5"/>
    <w:rsid w:val="001D1CFC"/>
    <w:rsid w:val="001D1D40"/>
    <w:rsid w:val="001D1D44"/>
    <w:rsid w:val="001D1DE0"/>
    <w:rsid w:val="001D1E3E"/>
    <w:rsid w:val="001D1E63"/>
    <w:rsid w:val="001D1E7C"/>
    <w:rsid w:val="001D1EDF"/>
    <w:rsid w:val="001D1F20"/>
    <w:rsid w:val="001D2007"/>
    <w:rsid w:val="001D206C"/>
    <w:rsid w:val="001D2077"/>
    <w:rsid w:val="001D20AD"/>
    <w:rsid w:val="001D20F7"/>
    <w:rsid w:val="001D212E"/>
    <w:rsid w:val="001D2132"/>
    <w:rsid w:val="001D213E"/>
    <w:rsid w:val="001D217B"/>
    <w:rsid w:val="001D217F"/>
    <w:rsid w:val="001D2187"/>
    <w:rsid w:val="001D21F5"/>
    <w:rsid w:val="001D2204"/>
    <w:rsid w:val="001D22C7"/>
    <w:rsid w:val="001D22F2"/>
    <w:rsid w:val="001D22FE"/>
    <w:rsid w:val="001D234C"/>
    <w:rsid w:val="001D2352"/>
    <w:rsid w:val="001D2376"/>
    <w:rsid w:val="001D238B"/>
    <w:rsid w:val="001D23B0"/>
    <w:rsid w:val="001D2419"/>
    <w:rsid w:val="001D2456"/>
    <w:rsid w:val="001D2485"/>
    <w:rsid w:val="001D248D"/>
    <w:rsid w:val="001D249C"/>
    <w:rsid w:val="001D24B5"/>
    <w:rsid w:val="001D2520"/>
    <w:rsid w:val="001D2571"/>
    <w:rsid w:val="001D2575"/>
    <w:rsid w:val="001D25EC"/>
    <w:rsid w:val="001D267C"/>
    <w:rsid w:val="001D26A9"/>
    <w:rsid w:val="001D26E6"/>
    <w:rsid w:val="001D26FD"/>
    <w:rsid w:val="001D2778"/>
    <w:rsid w:val="001D27BE"/>
    <w:rsid w:val="001D27C1"/>
    <w:rsid w:val="001D27DF"/>
    <w:rsid w:val="001D27E8"/>
    <w:rsid w:val="001D2861"/>
    <w:rsid w:val="001D28D4"/>
    <w:rsid w:val="001D28E1"/>
    <w:rsid w:val="001D28F5"/>
    <w:rsid w:val="001D299E"/>
    <w:rsid w:val="001D29CD"/>
    <w:rsid w:val="001D29E9"/>
    <w:rsid w:val="001D2AC2"/>
    <w:rsid w:val="001D2AF8"/>
    <w:rsid w:val="001D2B30"/>
    <w:rsid w:val="001D2B5F"/>
    <w:rsid w:val="001D2B68"/>
    <w:rsid w:val="001D2BE0"/>
    <w:rsid w:val="001D2C09"/>
    <w:rsid w:val="001D2CA5"/>
    <w:rsid w:val="001D2CAD"/>
    <w:rsid w:val="001D2CD7"/>
    <w:rsid w:val="001D2D55"/>
    <w:rsid w:val="001D2D71"/>
    <w:rsid w:val="001D2D99"/>
    <w:rsid w:val="001D2DA1"/>
    <w:rsid w:val="001D2DBE"/>
    <w:rsid w:val="001D2E2F"/>
    <w:rsid w:val="001D2E4C"/>
    <w:rsid w:val="001D2E58"/>
    <w:rsid w:val="001D2E68"/>
    <w:rsid w:val="001D2E91"/>
    <w:rsid w:val="001D2FA8"/>
    <w:rsid w:val="001D2FAD"/>
    <w:rsid w:val="001D2FBF"/>
    <w:rsid w:val="001D3016"/>
    <w:rsid w:val="001D3043"/>
    <w:rsid w:val="001D30DA"/>
    <w:rsid w:val="001D30F0"/>
    <w:rsid w:val="001D30FD"/>
    <w:rsid w:val="001D310C"/>
    <w:rsid w:val="001D3129"/>
    <w:rsid w:val="001D3177"/>
    <w:rsid w:val="001D31C6"/>
    <w:rsid w:val="001D31DA"/>
    <w:rsid w:val="001D3231"/>
    <w:rsid w:val="001D3261"/>
    <w:rsid w:val="001D32A6"/>
    <w:rsid w:val="001D32A8"/>
    <w:rsid w:val="001D32C3"/>
    <w:rsid w:val="001D32CD"/>
    <w:rsid w:val="001D3301"/>
    <w:rsid w:val="001D333D"/>
    <w:rsid w:val="001D333F"/>
    <w:rsid w:val="001D3374"/>
    <w:rsid w:val="001D33ED"/>
    <w:rsid w:val="001D33FA"/>
    <w:rsid w:val="001D340B"/>
    <w:rsid w:val="001D343D"/>
    <w:rsid w:val="001D3519"/>
    <w:rsid w:val="001D356A"/>
    <w:rsid w:val="001D3582"/>
    <w:rsid w:val="001D35C1"/>
    <w:rsid w:val="001D35CB"/>
    <w:rsid w:val="001D35D1"/>
    <w:rsid w:val="001D35FF"/>
    <w:rsid w:val="001D367C"/>
    <w:rsid w:val="001D3695"/>
    <w:rsid w:val="001D36CA"/>
    <w:rsid w:val="001D36D0"/>
    <w:rsid w:val="001D372F"/>
    <w:rsid w:val="001D375F"/>
    <w:rsid w:val="001D37C5"/>
    <w:rsid w:val="001D37FF"/>
    <w:rsid w:val="001D380D"/>
    <w:rsid w:val="001D3816"/>
    <w:rsid w:val="001D3853"/>
    <w:rsid w:val="001D387B"/>
    <w:rsid w:val="001D3883"/>
    <w:rsid w:val="001D3893"/>
    <w:rsid w:val="001D38D0"/>
    <w:rsid w:val="001D38D5"/>
    <w:rsid w:val="001D38EF"/>
    <w:rsid w:val="001D3912"/>
    <w:rsid w:val="001D3970"/>
    <w:rsid w:val="001D39B1"/>
    <w:rsid w:val="001D39D5"/>
    <w:rsid w:val="001D3A58"/>
    <w:rsid w:val="001D3A5D"/>
    <w:rsid w:val="001D3A7F"/>
    <w:rsid w:val="001D3A9A"/>
    <w:rsid w:val="001D3AD6"/>
    <w:rsid w:val="001D3B11"/>
    <w:rsid w:val="001D3B16"/>
    <w:rsid w:val="001D3B42"/>
    <w:rsid w:val="001D3B7E"/>
    <w:rsid w:val="001D3BD5"/>
    <w:rsid w:val="001D3C16"/>
    <w:rsid w:val="001D3C4D"/>
    <w:rsid w:val="001D3C5F"/>
    <w:rsid w:val="001D3D0C"/>
    <w:rsid w:val="001D3D26"/>
    <w:rsid w:val="001D3D68"/>
    <w:rsid w:val="001D3DCC"/>
    <w:rsid w:val="001D3E0B"/>
    <w:rsid w:val="001D3E60"/>
    <w:rsid w:val="001D3E6F"/>
    <w:rsid w:val="001D3E7A"/>
    <w:rsid w:val="001D3EA4"/>
    <w:rsid w:val="001D3EA6"/>
    <w:rsid w:val="001D3EC0"/>
    <w:rsid w:val="001D3EC5"/>
    <w:rsid w:val="001D3ED8"/>
    <w:rsid w:val="001D3EF8"/>
    <w:rsid w:val="001D3EFB"/>
    <w:rsid w:val="001D3F47"/>
    <w:rsid w:val="001D3F94"/>
    <w:rsid w:val="001D3FB6"/>
    <w:rsid w:val="001D3FFD"/>
    <w:rsid w:val="001D403A"/>
    <w:rsid w:val="001D405A"/>
    <w:rsid w:val="001D40B6"/>
    <w:rsid w:val="001D40BF"/>
    <w:rsid w:val="001D40D1"/>
    <w:rsid w:val="001D40E3"/>
    <w:rsid w:val="001D4107"/>
    <w:rsid w:val="001D4108"/>
    <w:rsid w:val="001D4135"/>
    <w:rsid w:val="001D416D"/>
    <w:rsid w:val="001D41DE"/>
    <w:rsid w:val="001D42B7"/>
    <w:rsid w:val="001D42EF"/>
    <w:rsid w:val="001D4369"/>
    <w:rsid w:val="001D4392"/>
    <w:rsid w:val="001D439D"/>
    <w:rsid w:val="001D4464"/>
    <w:rsid w:val="001D44CE"/>
    <w:rsid w:val="001D44D5"/>
    <w:rsid w:val="001D44E5"/>
    <w:rsid w:val="001D44F8"/>
    <w:rsid w:val="001D4515"/>
    <w:rsid w:val="001D455B"/>
    <w:rsid w:val="001D45C1"/>
    <w:rsid w:val="001D4605"/>
    <w:rsid w:val="001D4643"/>
    <w:rsid w:val="001D4678"/>
    <w:rsid w:val="001D469B"/>
    <w:rsid w:val="001D46AF"/>
    <w:rsid w:val="001D46CC"/>
    <w:rsid w:val="001D470D"/>
    <w:rsid w:val="001D474A"/>
    <w:rsid w:val="001D4767"/>
    <w:rsid w:val="001D476E"/>
    <w:rsid w:val="001D4796"/>
    <w:rsid w:val="001D4921"/>
    <w:rsid w:val="001D4926"/>
    <w:rsid w:val="001D4967"/>
    <w:rsid w:val="001D498B"/>
    <w:rsid w:val="001D49C2"/>
    <w:rsid w:val="001D4A0F"/>
    <w:rsid w:val="001D4A29"/>
    <w:rsid w:val="001D4A57"/>
    <w:rsid w:val="001D4B8A"/>
    <w:rsid w:val="001D4C04"/>
    <w:rsid w:val="001D4C0A"/>
    <w:rsid w:val="001D4C25"/>
    <w:rsid w:val="001D4C26"/>
    <w:rsid w:val="001D4C5C"/>
    <w:rsid w:val="001D4C67"/>
    <w:rsid w:val="001D4CE8"/>
    <w:rsid w:val="001D4CEB"/>
    <w:rsid w:val="001D4D0F"/>
    <w:rsid w:val="001D4D45"/>
    <w:rsid w:val="001D4E19"/>
    <w:rsid w:val="001D4E1E"/>
    <w:rsid w:val="001D4E31"/>
    <w:rsid w:val="001D4E60"/>
    <w:rsid w:val="001D4E8B"/>
    <w:rsid w:val="001D4E9A"/>
    <w:rsid w:val="001D4EA7"/>
    <w:rsid w:val="001D4EAE"/>
    <w:rsid w:val="001D4F55"/>
    <w:rsid w:val="001D4F59"/>
    <w:rsid w:val="001D4F7E"/>
    <w:rsid w:val="001D4F92"/>
    <w:rsid w:val="001D4FC4"/>
    <w:rsid w:val="001D4FD7"/>
    <w:rsid w:val="001D5093"/>
    <w:rsid w:val="001D50A7"/>
    <w:rsid w:val="001D50DA"/>
    <w:rsid w:val="001D50EB"/>
    <w:rsid w:val="001D512E"/>
    <w:rsid w:val="001D5138"/>
    <w:rsid w:val="001D5168"/>
    <w:rsid w:val="001D51C9"/>
    <w:rsid w:val="001D5204"/>
    <w:rsid w:val="001D5216"/>
    <w:rsid w:val="001D524A"/>
    <w:rsid w:val="001D5258"/>
    <w:rsid w:val="001D527B"/>
    <w:rsid w:val="001D5285"/>
    <w:rsid w:val="001D52E2"/>
    <w:rsid w:val="001D5311"/>
    <w:rsid w:val="001D5318"/>
    <w:rsid w:val="001D53AA"/>
    <w:rsid w:val="001D5409"/>
    <w:rsid w:val="001D5460"/>
    <w:rsid w:val="001D5475"/>
    <w:rsid w:val="001D54A5"/>
    <w:rsid w:val="001D551D"/>
    <w:rsid w:val="001D552B"/>
    <w:rsid w:val="001D5565"/>
    <w:rsid w:val="001D5567"/>
    <w:rsid w:val="001D5579"/>
    <w:rsid w:val="001D5597"/>
    <w:rsid w:val="001D5598"/>
    <w:rsid w:val="001D55EB"/>
    <w:rsid w:val="001D561B"/>
    <w:rsid w:val="001D561F"/>
    <w:rsid w:val="001D56BE"/>
    <w:rsid w:val="001D56D3"/>
    <w:rsid w:val="001D56FF"/>
    <w:rsid w:val="001D574E"/>
    <w:rsid w:val="001D576B"/>
    <w:rsid w:val="001D577D"/>
    <w:rsid w:val="001D57B2"/>
    <w:rsid w:val="001D57CD"/>
    <w:rsid w:val="001D5817"/>
    <w:rsid w:val="001D58E4"/>
    <w:rsid w:val="001D58E9"/>
    <w:rsid w:val="001D58F5"/>
    <w:rsid w:val="001D598C"/>
    <w:rsid w:val="001D59E2"/>
    <w:rsid w:val="001D59E5"/>
    <w:rsid w:val="001D5A16"/>
    <w:rsid w:val="001D5A72"/>
    <w:rsid w:val="001D5A79"/>
    <w:rsid w:val="001D5ADB"/>
    <w:rsid w:val="001D5AE2"/>
    <w:rsid w:val="001D5AED"/>
    <w:rsid w:val="001D5B83"/>
    <w:rsid w:val="001D5C22"/>
    <w:rsid w:val="001D5C39"/>
    <w:rsid w:val="001D5CB4"/>
    <w:rsid w:val="001D5D6B"/>
    <w:rsid w:val="001D5D84"/>
    <w:rsid w:val="001D5DB8"/>
    <w:rsid w:val="001D5DCF"/>
    <w:rsid w:val="001D5DEA"/>
    <w:rsid w:val="001D5DEB"/>
    <w:rsid w:val="001D5DF1"/>
    <w:rsid w:val="001D5E52"/>
    <w:rsid w:val="001D5E70"/>
    <w:rsid w:val="001D5E83"/>
    <w:rsid w:val="001D5EB4"/>
    <w:rsid w:val="001D5F23"/>
    <w:rsid w:val="001D5F27"/>
    <w:rsid w:val="001D5F4D"/>
    <w:rsid w:val="001D5FC1"/>
    <w:rsid w:val="001D6008"/>
    <w:rsid w:val="001D6028"/>
    <w:rsid w:val="001D6063"/>
    <w:rsid w:val="001D615A"/>
    <w:rsid w:val="001D6161"/>
    <w:rsid w:val="001D618D"/>
    <w:rsid w:val="001D6192"/>
    <w:rsid w:val="001D61C4"/>
    <w:rsid w:val="001D61EE"/>
    <w:rsid w:val="001D623F"/>
    <w:rsid w:val="001D624B"/>
    <w:rsid w:val="001D625C"/>
    <w:rsid w:val="001D6275"/>
    <w:rsid w:val="001D6293"/>
    <w:rsid w:val="001D62D8"/>
    <w:rsid w:val="001D632D"/>
    <w:rsid w:val="001D63DE"/>
    <w:rsid w:val="001D6474"/>
    <w:rsid w:val="001D6481"/>
    <w:rsid w:val="001D648B"/>
    <w:rsid w:val="001D6542"/>
    <w:rsid w:val="001D6551"/>
    <w:rsid w:val="001D65F3"/>
    <w:rsid w:val="001D667D"/>
    <w:rsid w:val="001D667E"/>
    <w:rsid w:val="001D66A3"/>
    <w:rsid w:val="001D673B"/>
    <w:rsid w:val="001D6777"/>
    <w:rsid w:val="001D6797"/>
    <w:rsid w:val="001D67A5"/>
    <w:rsid w:val="001D6804"/>
    <w:rsid w:val="001D680F"/>
    <w:rsid w:val="001D689F"/>
    <w:rsid w:val="001D68CE"/>
    <w:rsid w:val="001D68E4"/>
    <w:rsid w:val="001D68FE"/>
    <w:rsid w:val="001D693C"/>
    <w:rsid w:val="001D698E"/>
    <w:rsid w:val="001D69BE"/>
    <w:rsid w:val="001D69CC"/>
    <w:rsid w:val="001D69F2"/>
    <w:rsid w:val="001D6A03"/>
    <w:rsid w:val="001D6A8C"/>
    <w:rsid w:val="001D6AC5"/>
    <w:rsid w:val="001D6B19"/>
    <w:rsid w:val="001D6B41"/>
    <w:rsid w:val="001D6B99"/>
    <w:rsid w:val="001D6BDD"/>
    <w:rsid w:val="001D6BEB"/>
    <w:rsid w:val="001D6C3C"/>
    <w:rsid w:val="001D6C55"/>
    <w:rsid w:val="001D6CB8"/>
    <w:rsid w:val="001D6D7B"/>
    <w:rsid w:val="001D6DEB"/>
    <w:rsid w:val="001D6DF4"/>
    <w:rsid w:val="001D6E6F"/>
    <w:rsid w:val="001D6EAB"/>
    <w:rsid w:val="001D6ED5"/>
    <w:rsid w:val="001D6EEE"/>
    <w:rsid w:val="001D6EF6"/>
    <w:rsid w:val="001D6EF9"/>
    <w:rsid w:val="001D6F0B"/>
    <w:rsid w:val="001D6F21"/>
    <w:rsid w:val="001D6F41"/>
    <w:rsid w:val="001D6F76"/>
    <w:rsid w:val="001D6F84"/>
    <w:rsid w:val="001D6FB4"/>
    <w:rsid w:val="001D6FDC"/>
    <w:rsid w:val="001D703B"/>
    <w:rsid w:val="001D704D"/>
    <w:rsid w:val="001D7088"/>
    <w:rsid w:val="001D70A5"/>
    <w:rsid w:val="001D70BF"/>
    <w:rsid w:val="001D70DB"/>
    <w:rsid w:val="001D70FA"/>
    <w:rsid w:val="001D713E"/>
    <w:rsid w:val="001D71BA"/>
    <w:rsid w:val="001D71C5"/>
    <w:rsid w:val="001D71CC"/>
    <w:rsid w:val="001D71E2"/>
    <w:rsid w:val="001D724D"/>
    <w:rsid w:val="001D728E"/>
    <w:rsid w:val="001D731C"/>
    <w:rsid w:val="001D7367"/>
    <w:rsid w:val="001D73C3"/>
    <w:rsid w:val="001D73DA"/>
    <w:rsid w:val="001D7403"/>
    <w:rsid w:val="001D742E"/>
    <w:rsid w:val="001D743A"/>
    <w:rsid w:val="001D747E"/>
    <w:rsid w:val="001D7498"/>
    <w:rsid w:val="001D74B6"/>
    <w:rsid w:val="001D74E5"/>
    <w:rsid w:val="001D750B"/>
    <w:rsid w:val="001D7569"/>
    <w:rsid w:val="001D7583"/>
    <w:rsid w:val="001D75B7"/>
    <w:rsid w:val="001D7612"/>
    <w:rsid w:val="001D761E"/>
    <w:rsid w:val="001D7650"/>
    <w:rsid w:val="001D766E"/>
    <w:rsid w:val="001D767B"/>
    <w:rsid w:val="001D768D"/>
    <w:rsid w:val="001D76E6"/>
    <w:rsid w:val="001D770E"/>
    <w:rsid w:val="001D7766"/>
    <w:rsid w:val="001D777A"/>
    <w:rsid w:val="001D77C7"/>
    <w:rsid w:val="001D77EC"/>
    <w:rsid w:val="001D784B"/>
    <w:rsid w:val="001D7872"/>
    <w:rsid w:val="001D78D9"/>
    <w:rsid w:val="001D78E5"/>
    <w:rsid w:val="001D7914"/>
    <w:rsid w:val="001D7962"/>
    <w:rsid w:val="001D79CD"/>
    <w:rsid w:val="001D79EE"/>
    <w:rsid w:val="001D7A37"/>
    <w:rsid w:val="001D7A3B"/>
    <w:rsid w:val="001D7A8E"/>
    <w:rsid w:val="001D7AB0"/>
    <w:rsid w:val="001D7B08"/>
    <w:rsid w:val="001D7B11"/>
    <w:rsid w:val="001D7B15"/>
    <w:rsid w:val="001D7B38"/>
    <w:rsid w:val="001D7B39"/>
    <w:rsid w:val="001D7B7D"/>
    <w:rsid w:val="001D7BA6"/>
    <w:rsid w:val="001D7BFD"/>
    <w:rsid w:val="001D7C02"/>
    <w:rsid w:val="001D7C08"/>
    <w:rsid w:val="001D7C2B"/>
    <w:rsid w:val="001D7C58"/>
    <w:rsid w:val="001D7CA7"/>
    <w:rsid w:val="001D7CC0"/>
    <w:rsid w:val="001D7CE8"/>
    <w:rsid w:val="001D7D1C"/>
    <w:rsid w:val="001D7D39"/>
    <w:rsid w:val="001D7DD5"/>
    <w:rsid w:val="001D7E22"/>
    <w:rsid w:val="001D7E53"/>
    <w:rsid w:val="001D7E6B"/>
    <w:rsid w:val="001D7F07"/>
    <w:rsid w:val="001D7F45"/>
    <w:rsid w:val="001D7F46"/>
    <w:rsid w:val="001D7F59"/>
    <w:rsid w:val="001D7F72"/>
    <w:rsid w:val="001D7FC1"/>
    <w:rsid w:val="001D7FD4"/>
    <w:rsid w:val="001D7FF2"/>
    <w:rsid w:val="001E0058"/>
    <w:rsid w:val="001E0069"/>
    <w:rsid w:val="001E0136"/>
    <w:rsid w:val="001E0151"/>
    <w:rsid w:val="001E01FB"/>
    <w:rsid w:val="001E022A"/>
    <w:rsid w:val="001E0252"/>
    <w:rsid w:val="001E02B6"/>
    <w:rsid w:val="001E02DD"/>
    <w:rsid w:val="001E02E3"/>
    <w:rsid w:val="001E02FE"/>
    <w:rsid w:val="001E0321"/>
    <w:rsid w:val="001E0325"/>
    <w:rsid w:val="001E0376"/>
    <w:rsid w:val="001E037A"/>
    <w:rsid w:val="001E0397"/>
    <w:rsid w:val="001E03A6"/>
    <w:rsid w:val="001E03D5"/>
    <w:rsid w:val="001E03FA"/>
    <w:rsid w:val="001E045B"/>
    <w:rsid w:val="001E04D9"/>
    <w:rsid w:val="001E05A5"/>
    <w:rsid w:val="001E05CD"/>
    <w:rsid w:val="001E05D5"/>
    <w:rsid w:val="001E05D6"/>
    <w:rsid w:val="001E05EE"/>
    <w:rsid w:val="001E0630"/>
    <w:rsid w:val="001E0682"/>
    <w:rsid w:val="001E0715"/>
    <w:rsid w:val="001E0728"/>
    <w:rsid w:val="001E076F"/>
    <w:rsid w:val="001E0790"/>
    <w:rsid w:val="001E07A6"/>
    <w:rsid w:val="001E07B9"/>
    <w:rsid w:val="001E07F4"/>
    <w:rsid w:val="001E0832"/>
    <w:rsid w:val="001E085D"/>
    <w:rsid w:val="001E08EC"/>
    <w:rsid w:val="001E0926"/>
    <w:rsid w:val="001E0960"/>
    <w:rsid w:val="001E0973"/>
    <w:rsid w:val="001E09FA"/>
    <w:rsid w:val="001E0A13"/>
    <w:rsid w:val="001E0AD0"/>
    <w:rsid w:val="001E0AFA"/>
    <w:rsid w:val="001E0B53"/>
    <w:rsid w:val="001E0BA1"/>
    <w:rsid w:val="001E0BB1"/>
    <w:rsid w:val="001E0BB8"/>
    <w:rsid w:val="001E0BD1"/>
    <w:rsid w:val="001E0BFA"/>
    <w:rsid w:val="001E0C15"/>
    <w:rsid w:val="001E0C20"/>
    <w:rsid w:val="001E0C24"/>
    <w:rsid w:val="001E0C27"/>
    <w:rsid w:val="001E0C28"/>
    <w:rsid w:val="001E0C40"/>
    <w:rsid w:val="001E0C6B"/>
    <w:rsid w:val="001E0D2B"/>
    <w:rsid w:val="001E0D35"/>
    <w:rsid w:val="001E0D50"/>
    <w:rsid w:val="001E0D81"/>
    <w:rsid w:val="001E0D87"/>
    <w:rsid w:val="001E0DAF"/>
    <w:rsid w:val="001E0DBA"/>
    <w:rsid w:val="001E0E6A"/>
    <w:rsid w:val="001E0E6E"/>
    <w:rsid w:val="001E0F0E"/>
    <w:rsid w:val="001E0F13"/>
    <w:rsid w:val="001E0F67"/>
    <w:rsid w:val="001E0FAA"/>
    <w:rsid w:val="001E0FE6"/>
    <w:rsid w:val="001E0FFE"/>
    <w:rsid w:val="001E106A"/>
    <w:rsid w:val="001E107C"/>
    <w:rsid w:val="001E10CC"/>
    <w:rsid w:val="001E111D"/>
    <w:rsid w:val="001E1130"/>
    <w:rsid w:val="001E1173"/>
    <w:rsid w:val="001E11AA"/>
    <w:rsid w:val="001E11B1"/>
    <w:rsid w:val="001E1215"/>
    <w:rsid w:val="001E1258"/>
    <w:rsid w:val="001E125E"/>
    <w:rsid w:val="001E1271"/>
    <w:rsid w:val="001E129C"/>
    <w:rsid w:val="001E1324"/>
    <w:rsid w:val="001E1394"/>
    <w:rsid w:val="001E13DF"/>
    <w:rsid w:val="001E13F7"/>
    <w:rsid w:val="001E1403"/>
    <w:rsid w:val="001E1415"/>
    <w:rsid w:val="001E141A"/>
    <w:rsid w:val="001E1436"/>
    <w:rsid w:val="001E143D"/>
    <w:rsid w:val="001E14A0"/>
    <w:rsid w:val="001E14D2"/>
    <w:rsid w:val="001E14D7"/>
    <w:rsid w:val="001E14E3"/>
    <w:rsid w:val="001E14F7"/>
    <w:rsid w:val="001E1582"/>
    <w:rsid w:val="001E1592"/>
    <w:rsid w:val="001E1598"/>
    <w:rsid w:val="001E15A1"/>
    <w:rsid w:val="001E15BB"/>
    <w:rsid w:val="001E162B"/>
    <w:rsid w:val="001E164C"/>
    <w:rsid w:val="001E165B"/>
    <w:rsid w:val="001E166A"/>
    <w:rsid w:val="001E166D"/>
    <w:rsid w:val="001E16A2"/>
    <w:rsid w:val="001E1710"/>
    <w:rsid w:val="001E1714"/>
    <w:rsid w:val="001E174F"/>
    <w:rsid w:val="001E175D"/>
    <w:rsid w:val="001E178F"/>
    <w:rsid w:val="001E17D0"/>
    <w:rsid w:val="001E182E"/>
    <w:rsid w:val="001E185D"/>
    <w:rsid w:val="001E18E3"/>
    <w:rsid w:val="001E18E5"/>
    <w:rsid w:val="001E1904"/>
    <w:rsid w:val="001E1933"/>
    <w:rsid w:val="001E1942"/>
    <w:rsid w:val="001E198B"/>
    <w:rsid w:val="001E1997"/>
    <w:rsid w:val="001E19E4"/>
    <w:rsid w:val="001E1A2A"/>
    <w:rsid w:val="001E1A71"/>
    <w:rsid w:val="001E1A88"/>
    <w:rsid w:val="001E1ADC"/>
    <w:rsid w:val="001E1AEC"/>
    <w:rsid w:val="001E1B0C"/>
    <w:rsid w:val="001E1B18"/>
    <w:rsid w:val="001E1B30"/>
    <w:rsid w:val="001E1B53"/>
    <w:rsid w:val="001E1B98"/>
    <w:rsid w:val="001E1C23"/>
    <w:rsid w:val="001E1CBA"/>
    <w:rsid w:val="001E1D3D"/>
    <w:rsid w:val="001E1D61"/>
    <w:rsid w:val="001E1DF5"/>
    <w:rsid w:val="001E1E0F"/>
    <w:rsid w:val="001E1E9D"/>
    <w:rsid w:val="001E1EED"/>
    <w:rsid w:val="001E1F19"/>
    <w:rsid w:val="001E1F5E"/>
    <w:rsid w:val="001E1F7B"/>
    <w:rsid w:val="001E1FA9"/>
    <w:rsid w:val="001E1FBB"/>
    <w:rsid w:val="001E1FC5"/>
    <w:rsid w:val="001E2003"/>
    <w:rsid w:val="001E208C"/>
    <w:rsid w:val="001E20D6"/>
    <w:rsid w:val="001E20E1"/>
    <w:rsid w:val="001E2103"/>
    <w:rsid w:val="001E2137"/>
    <w:rsid w:val="001E2177"/>
    <w:rsid w:val="001E21FE"/>
    <w:rsid w:val="001E2220"/>
    <w:rsid w:val="001E223F"/>
    <w:rsid w:val="001E2276"/>
    <w:rsid w:val="001E2298"/>
    <w:rsid w:val="001E22C6"/>
    <w:rsid w:val="001E2321"/>
    <w:rsid w:val="001E2336"/>
    <w:rsid w:val="001E233E"/>
    <w:rsid w:val="001E23D3"/>
    <w:rsid w:val="001E23DC"/>
    <w:rsid w:val="001E2416"/>
    <w:rsid w:val="001E2429"/>
    <w:rsid w:val="001E245F"/>
    <w:rsid w:val="001E2473"/>
    <w:rsid w:val="001E248A"/>
    <w:rsid w:val="001E2533"/>
    <w:rsid w:val="001E255D"/>
    <w:rsid w:val="001E2607"/>
    <w:rsid w:val="001E263E"/>
    <w:rsid w:val="001E26AA"/>
    <w:rsid w:val="001E26C2"/>
    <w:rsid w:val="001E26D7"/>
    <w:rsid w:val="001E2714"/>
    <w:rsid w:val="001E272E"/>
    <w:rsid w:val="001E274C"/>
    <w:rsid w:val="001E27AC"/>
    <w:rsid w:val="001E2806"/>
    <w:rsid w:val="001E284E"/>
    <w:rsid w:val="001E285F"/>
    <w:rsid w:val="001E28C4"/>
    <w:rsid w:val="001E28CB"/>
    <w:rsid w:val="001E2903"/>
    <w:rsid w:val="001E2916"/>
    <w:rsid w:val="001E2923"/>
    <w:rsid w:val="001E2935"/>
    <w:rsid w:val="001E293A"/>
    <w:rsid w:val="001E294A"/>
    <w:rsid w:val="001E2985"/>
    <w:rsid w:val="001E299A"/>
    <w:rsid w:val="001E29B0"/>
    <w:rsid w:val="001E29D1"/>
    <w:rsid w:val="001E2A38"/>
    <w:rsid w:val="001E2A67"/>
    <w:rsid w:val="001E2A6D"/>
    <w:rsid w:val="001E2AD7"/>
    <w:rsid w:val="001E2AF2"/>
    <w:rsid w:val="001E2AFD"/>
    <w:rsid w:val="001E2B47"/>
    <w:rsid w:val="001E2B80"/>
    <w:rsid w:val="001E2B89"/>
    <w:rsid w:val="001E2B9B"/>
    <w:rsid w:val="001E2BEF"/>
    <w:rsid w:val="001E2C15"/>
    <w:rsid w:val="001E2C23"/>
    <w:rsid w:val="001E2C30"/>
    <w:rsid w:val="001E2C3E"/>
    <w:rsid w:val="001E2C92"/>
    <w:rsid w:val="001E2CF1"/>
    <w:rsid w:val="001E2D20"/>
    <w:rsid w:val="001E2D3C"/>
    <w:rsid w:val="001E2DB8"/>
    <w:rsid w:val="001E2DBD"/>
    <w:rsid w:val="001E2DE7"/>
    <w:rsid w:val="001E2DFF"/>
    <w:rsid w:val="001E2E1B"/>
    <w:rsid w:val="001E2E3C"/>
    <w:rsid w:val="001E2E6A"/>
    <w:rsid w:val="001E2EA4"/>
    <w:rsid w:val="001E2EEC"/>
    <w:rsid w:val="001E2F93"/>
    <w:rsid w:val="001E2FBE"/>
    <w:rsid w:val="001E2FCD"/>
    <w:rsid w:val="001E3012"/>
    <w:rsid w:val="001E3051"/>
    <w:rsid w:val="001E3196"/>
    <w:rsid w:val="001E31A7"/>
    <w:rsid w:val="001E31D3"/>
    <w:rsid w:val="001E31EA"/>
    <w:rsid w:val="001E322D"/>
    <w:rsid w:val="001E3255"/>
    <w:rsid w:val="001E3262"/>
    <w:rsid w:val="001E3276"/>
    <w:rsid w:val="001E3297"/>
    <w:rsid w:val="001E329E"/>
    <w:rsid w:val="001E32AD"/>
    <w:rsid w:val="001E32AF"/>
    <w:rsid w:val="001E32B4"/>
    <w:rsid w:val="001E338C"/>
    <w:rsid w:val="001E33A9"/>
    <w:rsid w:val="001E33E5"/>
    <w:rsid w:val="001E340B"/>
    <w:rsid w:val="001E348E"/>
    <w:rsid w:val="001E349C"/>
    <w:rsid w:val="001E34E4"/>
    <w:rsid w:val="001E3503"/>
    <w:rsid w:val="001E355E"/>
    <w:rsid w:val="001E3582"/>
    <w:rsid w:val="001E3598"/>
    <w:rsid w:val="001E359A"/>
    <w:rsid w:val="001E35E3"/>
    <w:rsid w:val="001E35F5"/>
    <w:rsid w:val="001E3661"/>
    <w:rsid w:val="001E369D"/>
    <w:rsid w:val="001E36FE"/>
    <w:rsid w:val="001E376B"/>
    <w:rsid w:val="001E37BF"/>
    <w:rsid w:val="001E37E8"/>
    <w:rsid w:val="001E38B5"/>
    <w:rsid w:val="001E38F1"/>
    <w:rsid w:val="001E3942"/>
    <w:rsid w:val="001E39B5"/>
    <w:rsid w:val="001E39C4"/>
    <w:rsid w:val="001E39E2"/>
    <w:rsid w:val="001E39E3"/>
    <w:rsid w:val="001E3A2B"/>
    <w:rsid w:val="001E3A88"/>
    <w:rsid w:val="001E3AFF"/>
    <w:rsid w:val="001E3B05"/>
    <w:rsid w:val="001E3B31"/>
    <w:rsid w:val="001E3B50"/>
    <w:rsid w:val="001E3B51"/>
    <w:rsid w:val="001E3B77"/>
    <w:rsid w:val="001E3BC5"/>
    <w:rsid w:val="001E3BDB"/>
    <w:rsid w:val="001E3C3C"/>
    <w:rsid w:val="001E3C4C"/>
    <w:rsid w:val="001E3CAE"/>
    <w:rsid w:val="001E3CC0"/>
    <w:rsid w:val="001E3CCF"/>
    <w:rsid w:val="001E3CDD"/>
    <w:rsid w:val="001E3D6A"/>
    <w:rsid w:val="001E3DBD"/>
    <w:rsid w:val="001E3DD9"/>
    <w:rsid w:val="001E3DDF"/>
    <w:rsid w:val="001E3DE2"/>
    <w:rsid w:val="001E3E3C"/>
    <w:rsid w:val="001E3EB1"/>
    <w:rsid w:val="001E3F01"/>
    <w:rsid w:val="001E3F03"/>
    <w:rsid w:val="001E3F12"/>
    <w:rsid w:val="001E3F1B"/>
    <w:rsid w:val="001E3F2B"/>
    <w:rsid w:val="001E3F70"/>
    <w:rsid w:val="001E3FA0"/>
    <w:rsid w:val="001E3FB0"/>
    <w:rsid w:val="001E3FF0"/>
    <w:rsid w:val="001E3FFF"/>
    <w:rsid w:val="001E4009"/>
    <w:rsid w:val="001E403E"/>
    <w:rsid w:val="001E404A"/>
    <w:rsid w:val="001E4062"/>
    <w:rsid w:val="001E40AE"/>
    <w:rsid w:val="001E40B2"/>
    <w:rsid w:val="001E40B5"/>
    <w:rsid w:val="001E40C7"/>
    <w:rsid w:val="001E418A"/>
    <w:rsid w:val="001E418C"/>
    <w:rsid w:val="001E4191"/>
    <w:rsid w:val="001E41BB"/>
    <w:rsid w:val="001E41D6"/>
    <w:rsid w:val="001E423B"/>
    <w:rsid w:val="001E424B"/>
    <w:rsid w:val="001E42A5"/>
    <w:rsid w:val="001E432A"/>
    <w:rsid w:val="001E435B"/>
    <w:rsid w:val="001E4363"/>
    <w:rsid w:val="001E4377"/>
    <w:rsid w:val="001E437E"/>
    <w:rsid w:val="001E444B"/>
    <w:rsid w:val="001E447F"/>
    <w:rsid w:val="001E44AA"/>
    <w:rsid w:val="001E44B2"/>
    <w:rsid w:val="001E44CF"/>
    <w:rsid w:val="001E44DF"/>
    <w:rsid w:val="001E4516"/>
    <w:rsid w:val="001E451B"/>
    <w:rsid w:val="001E45BB"/>
    <w:rsid w:val="001E45C0"/>
    <w:rsid w:val="001E4695"/>
    <w:rsid w:val="001E46A5"/>
    <w:rsid w:val="001E46BA"/>
    <w:rsid w:val="001E4711"/>
    <w:rsid w:val="001E474F"/>
    <w:rsid w:val="001E476B"/>
    <w:rsid w:val="001E4788"/>
    <w:rsid w:val="001E478D"/>
    <w:rsid w:val="001E47CF"/>
    <w:rsid w:val="001E47DA"/>
    <w:rsid w:val="001E480E"/>
    <w:rsid w:val="001E4812"/>
    <w:rsid w:val="001E4871"/>
    <w:rsid w:val="001E4874"/>
    <w:rsid w:val="001E48C5"/>
    <w:rsid w:val="001E48CD"/>
    <w:rsid w:val="001E48D4"/>
    <w:rsid w:val="001E491B"/>
    <w:rsid w:val="001E49FD"/>
    <w:rsid w:val="001E4A36"/>
    <w:rsid w:val="001E4ABC"/>
    <w:rsid w:val="001E4AFB"/>
    <w:rsid w:val="001E4B9C"/>
    <w:rsid w:val="001E4BC9"/>
    <w:rsid w:val="001E4BCB"/>
    <w:rsid w:val="001E4C24"/>
    <w:rsid w:val="001E4C91"/>
    <w:rsid w:val="001E4CBD"/>
    <w:rsid w:val="001E4CF6"/>
    <w:rsid w:val="001E4D25"/>
    <w:rsid w:val="001E4D2F"/>
    <w:rsid w:val="001E4D67"/>
    <w:rsid w:val="001E4DC5"/>
    <w:rsid w:val="001E4E34"/>
    <w:rsid w:val="001E4E36"/>
    <w:rsid w:val="001E4EC4"/>
    <w:rsid w:val="001E4F28"/>
    <w:rsid w:val="001E5024"/>
    <w:rsid w:val="001E504A"/>
    <w:rsid w:val="001E505B"/>
    <w:rsid w:val="001E5097"/>
    <w:rsid w:val="001E509C"/>
    <w:rsid w:val="001E50C9"/>
    <w:rsid w:val="001E5164"/>
    <w:rsid w:val="001E5165"/>
    <w:rsid w:val="001E51FF"/>
    <w:rsid w:val="001E520E"/>
    <w:rsid w:val="001E523D"/>
    <w:rsid w:val="001E5276"/>
    <w:rsid w:val="001E52FA"/>
    <w:rsid w:val="001E533A"/>
    <w:rsid w:val="001E5432"/>
    <w:rsid w:val="001E544A"/>
    <w:rsid w:val="001E5458"/>
    <w:rsid w:val="001E550B"/>
    <w:rsid w:val="001E5568"/>
    <w:rsid w:val="001E5572"/>
    <w:rsid w:val="001E55B5"/>
    <w:rsid w:val="001E55D6"/>
    <w:rsid w:val="001E5701"/>
    <w:rsid w:val="001E5722"/>
    <w:rsid w:val="001E576F"/>
    <w:rsid w:val="001E5788"/>
    <w:rsid w:val="001E57FA"/>
    <w:rsid w:val="001E5806"/>
    <w:rsid w:val="001E580C"/>
    <w:rsid w:val="001E5812"/>
    <w:rsid w:val="001E5831"/>
    <w:rsid w:val="001E585E"/>
    <w:rsid w:val="001E5864"/>
    <w:rsid w:val="001E58C6"/>
    <w:rsid w:val="001E58DD"/>
    <w:rsid w:val="001E592D"/>
    <w:rsid w:val="001E5973"/>
    <w:rsid w:val="001E59D5"/>
    <w:rsid w:val="001E59E2"/>
    <w:rsid w:val="001E59F9"/>
    <w:rsid w:val="001E59FF"/>
    <w:rsid w:val="001E5A09"/>
    <w:rsid w:val="001E5ADF"/>
    <w:rsid w:val="001E5B13"/>
    <w:rsid w:val="001E5B2E"/>
    <w:rsid w:val="001E5B3C"/>
    <w:rsid w:val="001E5B6A"/>
    <w:rsid w:val="001E5B94"/>
    <w:rsid w:val="001E5B98"/>
    <w:rsid w:val="001E5BBB"/>
    <w:rsid w:val="001E5C12"/>
    <w:rsid w:val="001E5C14"/>
    <w:rsid w:val="001E5C17"/>
    <w:rsid w:val="001E5C69"/>
    <w:rsid w:val="001E5C72"/>
    <w:rsid w:val="001E5C89"/>
    <w:rsid w:val="001E5C8E"/>
    <w:rsid w:val="001E5D07"/>
    <w:rsid w:val="001E5D20"/>
    <w:rsid w:val="001E5D2A"/>
    <w:rsid w:val="001E5DA7"/>
    <w:rsid w:val="001E5E15"/>
    <w:rsid w:val="001E5ED0"/>
    <w:rsid w:val="001E5EE9"/>
    <w:rsid w:val="001E5EEA"/>
    <w:rsid w:val="001E5EF7"/>
    <w:rsid w:val="001E5F4D"/>
    <w:rsid w:val="001E5FA0"/>
    <w:rsid w:val="001E6024"/>
    <w:rsid w:val="001E605C"/>
    <w:rsid w:val="001E607F"/>
    <w:rsid w:val="001E610E"/>
    <w:rsid w:val="001E611A"/>
    <w:rsid w:val="001E61BA"/>
    <w:rsid w:val="001E61CC"/>
    <w:rsid w:val="001E623F"/>
    <w:rsid w:val="001E6299"/>
    <w:rsid w:val="001E62AD"/>
    <w:rsid w:val="001E62E4"/>
    <w:rsid w:val="001E62F8"/>
    <w:rsid w:val="001E6338"/>
    <w:rsid w:val="001E640F"/>
    <w:rsid w:val="001E641F"/>
    <w:rsid w:val="001E64AE"/>
    <w:rsid w:val="001E64B2"/>
    <w:rsid w:val="001E64BA"/>
    <w:rsid w:val="001E64C2"/>
    <w:rsid w:val="001E64D4"/>
    <w:rsid w:val="001E64E8"/>
    <w:rsid w:val="001E64F5"/>
    <w:rsid w:val="001E6536"/>
    <w:rsid w:val="001E65AC"/>
    <w:rsid w:val="001E65BC"/>
    <w:rsid w:val="001E65C9"/>
    <w:rsid w:val="001E65DB"/>
    <w:rsid w:val="001E66D5"/>
    <w:rsid w:val="001E6720"/>
    <w:rsid w:val="001E6791"/>
    <w:rsid w:val="001E67DF"/>
    <w:rsid w:val="001E67FC"/>
    <w:rsid w:val="001E6803"/>
    <w:rsid w:val="001E68A8"/>
    <w:rsid w:val="001E6963"/>
    <w:rsid w:val="001E697D"/>
    <w:rsid w:val="001E698C"/>
    <w:rsid w:val="001E6994"/>
    <w:rsid w:val="001E6999"/>
    <w:rsid w:val="001E69A9"/>
    <w:rsid w:val="001E69C0"/>
    <w:rsid w:val="001E6A25"/>
    <w:rsid w:val="001E6AB4"/>
    <w:rsid w:val="001E6AEA"/>
    <w:rsid w:val="001E6B64"/>
    <w:rsid w:val="001E6BE1"/>
    <w:rsid w:val="001E6C1E"/>
    <w:rsid w:val="001E6C6A"/>
    <w:rsid w:val="001E6C94"/>
    <w:rsid w:val="001E6C99"/>
    <w:rsid w:val="001E6D04"/>
    <w:rsid w:val="001E6D4C"/>
    <w:rsid w:val="001E6D92"/>
    <w:rsid w:val="001E6D94"/>
    <w:rsid w:val="001E6D95"/>
    <w:rsid w:val="001E6E2B"/>
    <w:rsid w:val="001E6E62"/>
    <w:rsid w:val="001E6E67"/>
    <w:rsid w:val="001E6E74"/>
    <w:rsid w:val="001E6E7D"/>
    <w:rsid w:val="001E6EA6"/>
    <w:rsid w:val="001E6FBB"/>
    <w:rsid w:val="001E6FBD"/>
    <w:rsid w:val="001E6FDC"/>
    <w:rsid w:val="001E6FDE"/>
    <w:rsid w:val="001E7045"/>
    <w:rsid w:val="001E7139"/>
    <w:rsid w:val="001E7169"/>
    <w:rsid w:val="001E71AC"/>
    <w:rsid w:val="001E7285"/>
    <w:rsid w:val="001E7287"/>
    <w:rsid w:val="001E72AF"/>
    <w:rsid w:val="001E72E1"/>
    <w:rsid w:val="001E7369"/>
    <w:rsid w:val="001E737E"/>
    <w:rsid w:val="001E73A1"/>
    <w:rsid w:val="001E73B5"/>
    <w:rsid w:val="001E73C6"/>
    <w:rsid w:val="001E742D"/>
    <w:rsid w:val="001E7447"/>
    <w:rsid w:val="001E74BE"/>
    <w:rsid w:val="001E74D3"/>
    <w:rsid w:val="001E74FD"/>
    <w:rsid w:val="001E750D"/>
    <w:rsid w:val="001E759C"/>
    <w:rsid w:val="001E7679"/>
    <w:rsid w:val="001E767B"/>
    <w:rsid w:val="001E768E"/>
    <w:rsid w:val="001E7690"/>
    <w:rsid w:val="001E7708"/>
    <w:rsid w:val="001E778B"/>
    <w:rsid w:val="001E778F"/>
    <w:rsid w:val="001E7820"/>
    <w:rsid w:val="001E785B"/>
    <w:rsid w:val="001E7866"/>
    <w:rsid w:val="001E7871"/>
    <w:rsid w:val="001E789C"/>
    <w:rsid w:val="001E789E"/>
    <w:rsid w:val="001E78A1"/>
    <w:rsid w:val="001E7902"/>
    <w:rsid w:val="001E7916"/>
    <w:rsid w:val="001E795C"/>
    <w:rsid w:val="001E7988"/>
    <w:rsid w:val="001E799D"/>
    <w:rsid w:val="001E79B3"/>
    <w:rsid w:val="001E79C7"/>
    <w:rsid w:val="001E7A0B"/>
    <w:rsid w:val="001E7A55"/>
    <w:rsid w:val="001E7ABC"/>
    <w:rsid w:val="001E7ADE"/>
    <w:rsid w:val="001E7B14"/>
    <w:rsid w:val="001E7B80"/>
    <w:rsid w:val="001E7B9B"/>
    <w:rsid w:val="001E7BBF"/>
    <w:rsid w:val="001E7BCD"/>
    <w:rsid w:val="001E7BEC"/>
    <w:rsid w:val="001E7C40"/>
    <w:rsid w:val="001E7C51"/>
    <w:rsid w:val="001E7C6A"/>
    <w:rsid w:val="001E7C76"/>
    <w:rsid w:val="001E7C78"/>
    <w:rsid w:val="001E7CA4"/>
    <w:rsid w:val="001E7CFA"/>
    <w:rsid w:val="001E7D1B"/>
    <w:rsid w:val="001E7D8C"/>
    <w:rsid w:val="001E7D91"/>
    <w:rsid w:val="001E7DD1"/>
    <w:rsid w:val="001E7E23"/>
    <w:rsid w:val="001E7E45"/>
    <w:rsid w:val="001E7E6D"/>
    <w:rsid w:val="001E7EC7"/>
    <w:rsid w:val="001E7EEE"/>
    <w:rsid w:val="001E7F2D"/>
    <w:rsid w:val="001E7F7F"/>
    <w:rsid w:val="001F000D"/>
    <w:rsid w:val="001F0011"/>
    <w:rsid w:val="001F001F"/>
    <w:rsid w:val="001F0061"/>
    <w:rsid w:val="001F0070"/>
    <w:rsid w:val="001F0079"/>
    <w:rsid w:val="001F00FF"/>
    <w:rsid w:val="001F012B"/>
    <w:rsid w:val="001F0149"/>
    <w:rsid w:val="001F0196"/>
    <w:rsid w:val="001F01C6"/>
    <w:rsid w:val="001F0214"/>
    <w:rsid w:val="001F032E"/>
    <w:rsid w:val="001F0387"/>
    <w:rsid w:val="001F0423"/>
    <w:rsid w:val="001F044C"/>
    <w:rsid w:val="001F04E7"/>
    <w:rsid w:val="001F0575"/>
    <w:rsid w:val="001F0596"/>
    <w:rsid w:val="001F05D6"/>
    <w:rsid w:val="001F05E4"/>
    <w:rsid w:val="001F061B"/>
    <w:rsid w:val="001F0655"/>
    <w:rsid w:val="001F0667"/>
    <w:rsid w:val="001F06E3"/>
    <w:rsid w:val="001F0731"/>
    <w:rsid w:val="001F079D"/>
    <w:rsid w:val="001F07FA"/>
    <w:rsid w:val="001F080B"/>
    <w:rsid w:val="001F083F"/>
    <w:rsid w:val="001F085E"/>
    <w:rsid w:val="001F089B"/>
    <w:rsid w:val="001F08A5"/>
    <w:rsid w:val="001F08B7"/>
    <w:rsid w:val="001F08C7"/>
    <w:rsid w:val="001F08F8"/>
    <w:rsid w:val="001F09B0"/>
    <w:rsid w:val="001F09FB"/>
    <w:rsid w:val="001F0A03"/>
    <w:rsid w:val="001F0A57"/>
    <w:rsid w:val="001F0A5F"/>
    <w:rsid w:val="001F0A8E"/>
    <w:rsid w:val="001F0A9A"/>
    <w:rsid w:val="001F0AB4"/>
    <w:rsid w:val="001F0ABE"/>
    <w:rsid w:val="001F0B05"/>
    <w:rsid w:val="001F0BA6"/>
    <w:rsid w:val="001F0BB4"/>
    <w:rsid w:val="001F0BD2"/>
    <w:rsid w:val="001F0C0B"/>
    <w:rsid w:val="001F0C2D"/>
    <w:rsid w:val="001F0C89"/>
    <w:rsid w:val="001F0CE9"/>
    <w:rsid w:val="001F0D35"/>
    <w:rsid w:val="001F0D42"/>
    <w:rsid w:val="001F0DAC"/>
    <w:rsid w:val="001F0DC9"/>
    <w:rsid w:val="001F0DCD"/>
    <w:rsid w:val="001F0DE6"/>
    <w:rsid w:val="001F0DFB"/>
    <w:rsid w:val="001F0E18"/>
    <w:rsid w:val="001F0E40"/>
    <w:rsid w:val="001F0E73"/>
    <w:rsid w:val="001F0EAB"/>
    <w:rsid w:val="001F0EDD"/>
    <w:rsid w:val="001F0EE3"/>
    <w:rsid w:val="001F0EF7"/>
    <w:rsid w:val="001F0F11"/>
    <w:rsid w:val="001F0F91"/>
    <w:rsid w:val="001F0FBD"/>
    <w:rsid w:val="001F0FFA"/>
    <w:rsid w:val="001F1028"/>
    <w:rsid w:val="001F103B"/>
    <w:rsid w:val="001F10A8"/>
    <w:rsid w:val="001F10DE"/>
    <w:rsid w:val="001F10E3"/>
    <w:rsid w:val="001F10E7"/>
    <w:rsid w:val="001F122B"/>
    <w:rsid w:val="001F1242"/>
    <w:rsid w:val="001F124C"/>
    <w:rsid w:val="001F12E0"/>
    <w:rsid w:val="001F130C"/>
    <w:rsid w:val="001F133F"/>
    <w:rsid w:val="001F138A"/>
    <w:rsid w:val="001F1390"/>
    <w:rsid w:val="001F13EF"/>
    <w:rsid w:val="001F146C"/>
    <w:rsid w:val="001F148B"/>
    <w:rsid w:val="001F149B"/>
    <w:rsid w:val="001F14B3"/>
    <w:rsid w:val="001F14BF"/>
    <w:rsid w:val="001F14E4"/>
    <w:rsid w:val="001F14FC"/>
    <w:rsid w:val="001F1511"/>
    <w:rsid w:val="001F156F"/>
    <w:rsid w:val="001F1598"/>
    <w:rsid w:val="001F1626"/>
    <w:rsid w:val="001F1655"/>
    <w:rsid w:val="001F165D"/>
    <w:rsid w:val="001F1665"/>
    <w:rsid w:val="001F167A"/>
    <w:rsid w:val="001F1681"/>
    <w:rsid w:val="001F16A3"/>
    <w:rsid w:val="001F16BA"/>
    <w:rsid w:val="001F16CD"/>
    <w:rsid w:val="001F16D3"/>
    <w:rsid w:val="001F1771"/>
    <w:rsid w:val="001F17A0"/>
    <w:rsid w:val="001F17A5"/>
    <w:rsid w:val="001F1823"/>
    <w:rsid w:val="001F1873"/>
    <w:rsid w:val="001F1889"/>
    <w:rsid w:val="001F18D7"/>
    <w:rsid w:val="001F18FC"/>
    <w:rsid w:val="001F1969"/>
    <w:rsid w:val="001F19D5"/>
    <w:rsid w:val="001F19DB"/>
    <w:rsid w:val="001F1A2B"/>
    <w:rsid w:val="001F1B1F"/>
    <w:rsid w:val="001F1B27"/>
    <w:rsid w:val="001F1B2C"/>
    <w:rsid w:val="001F1B47"/>
    <w:rsid w:val="001F1B4C"/>
    <w:rsid w:val="001F1C06"/>
    <w:rsid w:val="001F1C0E"/>
    <w:rsid w:val="001F1C12"/>
    <w:rsid w:val="001F1C47"/>
    <w:rsid w:val="001F1C52"/>
    <w:rsid w:val="001F1C55"/>
    <w:rsid w:val="001F1CD6"/>
    <w:rsid w:val="001F1D68"/>
    <w:rsid w:val="001F1D6A"/>
    <w:rsid w:val="001F1E37"/>
    <w:rsid w:val="001F1E94"/>
    <w:rsid w:val="001F1EE2"/>
    <w:rsid w:val="001F1EF2"/>
    <w:rsid w:val="001F1F39"/>
    <w:rsid w:val="001F1F5C"/>
    <w:rsid w:val="001F1F7B"/>
    <w:rsid w:val="001F1FB0"/>
    <w:rsid w:val="001F2047"/>
    <w:rsid w:val="001F20B5"/>
    <w:rsid w:val="001F20CC"/>
    <w:rsid w:val="001F2160"/>
    <w:rsid w:val="001F21BB"/>
    <w:rsid w:val="001F221D"/>
    <w:rsid w:val="001F224B"/>
    <w:rsid w:val="001F225B"/>
    <w:rsid w:val="001F227F"/>
    <w:rsid w:val="001F2281"/>
    <w:rsid w:val="001F22AF"/>
    <w:rsid w:val="001F230D"/>
    <w:rsid w:val="001F235F"/>
    <w:rsid w:val="001F236E"/>
    <w:rsid w:val="001F2418"/>
    <w:rsid w:val="001F2454"/>
    <w:rsid w:val="001F2466"/>
    <w:rsid w:val="001F2476"/>
    <w:rsid w:val="001F2482"/>
    <w:rsid w:val="001F2497"/>
    <w:rsid w:val="001F24E2"/>
    <w:rsid w:val="001F24F9"/>
    <w:rsid w:val="001F2541"/>
    <w:rsid w:val="001F2561"/>
    <w:rsid w:val="001F2563"/>
    <w:rsid w:val="001F25AC"/>
    <w:rsid w:val="001F25B1"/>
    <w:rsid w:val="001F25BC"/>
    <w:rsid w:val="001F25FD"/>
    <w:rsid w:val="001F2642"/>
    <w:rsid w:val="001F2652"/>
    <w:rsid w:val="001F268B"/>
    <w:rsid w:val="001F26B6"/>
    <w:rsid w:val="001F26E9"/>
    <w:rsid w:val="001F275C"/>
    <w:rsid w:val="001F277D"/>
    <w:rsid w:val="001F279C"/>
    <w:rsid w:val="001F2867"/>
    <w:rsid w:val="001F28FF"/>
    <w:rsid w:val="001F2924"/>
    <w:rsid w:val="001F294D"/>
    <w:rsid w:val="001F2965"/>
    <w:rsid w:val="001F2966"/>
    <w:rsid w:val="001F2991"/>
    <w:rsid w:val="001F299C"/>
    <w:rsid w:val="001F2A18"/>
    <w:rsid w:val="001F2BA9"/>
    <w:rsid w:val="001F2C06"/>
    <w:rsid w:val="001F2C37"/>
    <w:rsid w:val="001F2C78"/>
    <w:rsid w:val="001F2C7E"/>
    <w:rsid w:val="001F2C9E"/>
    <w:rsid w:val="001F2CA2"/>
    <w:rsid w:val="001F2CAA"/>
    <w:rsid w:val="001F2CB8"/>
    <w:rsid w:val="001F2D7E"/>
    <w:rsid w:val="001F2ECB"/>
    <w:rsid w:val="001F2ED6"/>
    <w:rsid w:val="001F2F00"/>
    <w:rsid w:val="001F2F29"/>
    <w:rsid w:val="001F2F49"/>
    <w:rsid w:val="001F2FF0"/>
    <w:rsid w:val="001F2FFB"/>
    <w:rsid w:val="001F3005"/>
    <w:rsid w:val="001F3007"/>
    <w:rsid w:val="001F3059"/>
    <w:rsid w:val="001F30C3"/>
    <w:rsid w:val="001F310D"/>
    <w:rsid w:val="001F310E"/>
    <w:rsid w:val="001F3200"/>
    <w:rsid w:val="001F321F"/>
    <w:rsid w:val="001F322E"/>
    <w:rsid w:val="001F327A"/>
    <w:rsid w:val="001F32A8"/>
    <w:rsid w:val="001F32B9"/>
    <w:rsid w:val="001F32C9"/>
    <w:rsid w:val="001F32DE"/>
    <w:rsid w:val="001F32F4"/>
    <w:rsid w:val="001F32F7"/>
    <w:rsid w:val="001F3362"/>
    <w:rsid w:val="001F3386"/>
    <w:rsid w:val="001F3403"/>
    <w:rsid w:val="001F3446"/>
    <w:rsid w:val="001F3451"/>
    <w:rsid w:val="001F346C"/>
    <w:rsid w:val="001F349D"/>
    <w:rsid w:val="001F34A3"/>
    <w:rsid w:val="001F3528"/>
    <w:rsid w:val="001F3557"/>
    <w:rsid w:val="001F3646"/>
    <w:rsid w:val="001F367C"/>
    <w:rsid w:val="001F3696"/>
    <w:rsid w:val="001F36A7"/>
    <w:rsid w:val="001F36B1"/>
    <w:rsid w:val="001F36C9"/>
    <w:rsid w:val="001F374F"/>
    <w:rsid w:val="001F3765"/>
    <w:rsid w:val="001F37CE"/>
    <w:rsid w:val="001F3807"/>
    <w:rsid w:val="001F3823"/>
    <w:rsid w:val="001F3849"/>
    <w:rsid w:val="001F384D"/>
    <w:rsid w:val="001F3893"/>
    <w:rsid w:val="001F3924"/>
    <w:rsid w:val="001F392C"/>
    <w:rsid w:val="001F395A"/>
    <w:rsid w:val="001F3992"/>
    <w:rsid w:val="001F3A12"/>
    <w:rsid w:val="001F3A14"/>
    <w:rsid w:val="001F3A6E"/>
    <w:rsid w:val="001F3A92"/>
    <w:rsid w:val="001F3B57"/>
    <w:rsid w:val="001F3B5F"/>
    <w:rsid w:val="001F3B89"/>
    <w:rsid w:val="001F3BBA"/>
    <w:rsid w:val="001F3C0A"/>
    <w:rsid w:val="001F3C21"/>
    <w:rsid w:val="001F3C33"/>
    <w:rsid w:val="001F3C75"/>
    <w:rsid w:val="001F3CA5"/>
    <w:rsid w:val="001F3CAD"/>
    <w:rsid w:val="001F3CBA"/>
    <w:rsid w:val="001F3CC2"/>
    <w:rsid w:val="001F3DAB"/>
    <w:rsid w:val="001F3DBB"/>
    <w:rsid w:val="001F3DDD"/>
    <w:rsid w:val="001F3DF7"/>
    <w:rsid w:val="001F3E08"/>
    <w:rsid w:val="001F3E1F"/>
    <w:rsid w:val="001F3E2A"/>
    <w:rsid w:val="001F3E41"/>
    <w:rsid w:val="001F3E42"/>
    <w:rsid w:val="001F3E46"/>
    <w:rsid w:val="001F3E92"/>
    <w:rsid w:val="001F3EC3"/>
    <w:rsid w:val="001F3F55"/>
    <w:rsid w:val="001F3F99"/>
    <w:rsid w:val="001F3FDA"/>
    <w:rsid w:val="001F3FDF"/>
    <w:rsid w:val="001F3FEF"/>
    <w:rsid w:val="001F3FFE"/>
    <w:rsid w:val="001F4062"/>
    <w:rsid w:val="001F4065"/>
    <w:rsid w:val="001F4124"/>
    <w:rsid w:val="001F4155"/>
    <w:rsid w:val="001F415E"/>
    <w:rsid w:val="001F4173"/>
    <w:rsid w:val="001F41E8"/>
    <w:rsid w:val="001F4211"/>
    <w:rsid w:val="001F4228"/>
    <w:rsid w:val="001F426E"/>
    <w:rsid w:val="001F42C5"/>
    <w:rsid w:val="001F4375"/>
    <w:rsid w:val="001F4399"/>
    <w:rsid w:val="001F43BF"/>
    <w:rsid w:val="001F43E9"/>
    <w:rsid w:val="001F43F2"/>
    <w:rsid w:val="001F4408"/>
    <w:rsid w:val="001F4458"/>
    <w:rsid w:val="001F4492"/>
    <w:rsid w:val="001F44A7"/>
    <w:rsid w:val="001F4513"/>
    <w:rsid w:val="001F4535"/>
    <w:rsid w:val="001F45A2"/>
    <w:rsid w:val="001F45A9"/>
    <w:rsid w:val="001F45D2"/>
    <w:rsid w:val="001F45EC"/>
    <w:rsid w:val="001F462E"/>
    <w:rsid w:val="001F4681"/>
    <w:rsid w:val="001F4730"/>
    <w:rsid w:val="001F474B"/>
    <w:rsid w:val="001F475B"/>
    <w:rsid w:val="001F4809"/>
    <w:rsid w:val="001F4827"/>
    <w:rsid w:val="001F4868"/>
    <w:rsid w:val="001F48AD"/>
    <w:rsid w:val="001F490A"/>
    <w:rsid w:val="001F494A"/>
    <w:rsid w:val="001F4977"/>
    <w:rsid w:val="001F4987"/>
    <w:rsid w:val="001F49EF"/>
    <w:rsid w:val="001F4A11"/>
    <w:rsid w:val="001F4A15"/>
    <w:rsid w:val="001F4A38"/>
    <w:rsid w:val="001F4A4C"/>
    <w:rsid w:val="001F4A9F"/>
    <w:rsid w:val="001F4ACB"/>
    <w:rsid w:val="001F4AD0"/>
    <w:rsid w:val="001F4AE0"/>
    <w:rsid w:val="001F4B99"/>
    <w:rsid w:val="001F4B9F"/>
    <w:rsid w:val="001F4BE2"/>
    <w:rsid w:val="001F4BE6"/>
    <w:rsid w:val="001F4BF8"/>
    <w:rsid w:val="001F4C72"/>
    <w:rsid w:val="001F4CAA"/>
    <w:rsid w:val="001F4CC9"/>
    <w:rsid w:val="001F4CD0"/>
    <w:rsid w:val="001F4D0E"/>
    <w:rsid w:val="001F4D2C"/>
    <w:rsid w:val="001F4D59"/>
    <w:rsid w:val="001F4D5C"/>
    <w:rsid w:val="001F4D5F"/>
    <w:rsid w:val="001F4D76"/>
    <w:rsid w:val="001F4DAF"/>
    <w:rsid w:val="001F4DCC"/>
    <w:rsid w:val="001F4DEC"/>
    <w:rsid w:val="001F4E25"/>
    <w:rsid w:val="001F4E27"/>
    <w:rsid w:val="001F4E30"/>
    <w:rsid w:val="001F4F0F"/>
    <w:rsid w:val="001F4F30"/>
    <w:rsid w:val="001F4F67"/>
    <w:rsid w:val="001F4F6D"/>
    <w:rsid w:val="001F4F97"/>
    <w:rsid w:val="001F4FA4"/>
    <w:rsid w:val="001F5011"/>
    <w:rsid w:val="001F5014"/>
    <w:rsid w:val="001F5035"/>
    <w:rsid w:val="001F5041"/>
    <w:rsid w:val="001F5084"/>
    <w:rsid w:val="001F5096"/>
    <w:rsid w:val="001F50AD"/>
    <w:rsid w:val="001F50AE"/>
    <w:rsid w:val="001F50DB"/>
    <w:rsid w:val="001F50EA"/>
    <w:rsid w:val="001F5162"/>
    <w:rsid w:val="001F5172"/>
    <w:rsid w:val="001F5177"/>
    <w:rsid w:val="001F517E"/>
    <w:rsid w:val="001F51E0"/>
    <w:rsid w:val="001F5263"/>
    <w:rsid w:val="001F52D5"/>
    <w:rsid w:val="001F52F4"/>
    <w:rsid w:val="001F53B4"/>
    <w:rsid w:val="001F53DB"/>
    <w:rsid w:val="001F53EA"/>
    <w:rsid w:val="001F53EF"/>
    <w:rsid w:val="001F5420"/>
    <w:rsid w:val="001F5473"/>
    <w:rsid w:val="001F54B4"/>
    <w:rsid w:val="001F54B7"/>
    <w:rsid w:val="001F54D7"/>
    <w:rsid w:val="001F54E0"/>
    <w:rsid w:val="001F5516"/>
    <w:rsid w:val="001F5525"/>
    <w:rsid w:val="001F552D"/>
    <w:rsid w:val="001F553C"/>
    <w:rsid w:val="001F5571"/>
    <w:rsid w:val="001F5596"/>
    <w:rsid w:val="001F5598"/>
    <w:rsid w:val="001F5599"/>
    <w:rsid w:val="001F55A6"/>
    <w:rsid w:val="001F565E"/>
    <w:rsid w:val="001F5683"/>
    <w:rsid w:val="001F56A7"/>
    <w:rsid w:val="001F56B9"/>
    <w:rsid w:val="001F573E"/>
    <w:rsid w:val="001F577B"/>
    <w:rsid w:val="001F57B1"/>
    <w:rsid w:val="001F57CC"/>
    <w:rsid w:val="001F57D8"/>
    <w:rsid w:val="001F580E"/>
    <w:rsid w:val="001F5813"/>
    <w:rsid w:val="001F5844"/>
    <w:rsid w:val="001F5879"/>
    <w:rsid w:val="001F587B"/>
    <w:rsid w:val="001F589A"/>
    <w:rsid w:val="001F58AA"/>
    <w:rsid w:val="001F5944"/>
    <w:rsid w:val="001F5946"/>
    <w:rsid w:val="001F59D6"/>
    <w:rsid w:val="001F59E7"/>
    <w:rsid w:val="001F59EE"/>
    <w:rsid w:val="001F5A3E"/>
    <w:rsid w:val="001F5A5B"/>
    <w:rsid w:val="001F5A73"/>
    <w:rsid w:val="001F5A8D"/>
    <w:rsid w:val="001F5A8E"/>
    <w:rsid w:val="001F5AE5"/>
    <w:rsid w:val="001F5AFB"/>
    <w:rsid w:val="001F5B11"/>
    <w:rsid w:val="001F5B6A"/>
    <w:rsid w:val="001F5B7B"/>
    <w:rsid w:val="001F5BAA"/>
    <w:rsid w:val="001F5C12"/>
    <w:rsid w:val="001F5C22"/>
    <w:rsid w:val="001F5C25"/>
    <w:rsid w:val="001F5C2C"/>
    <w:rsid w:val="001F5C48"/>
    <w:rsid w:val="001F5CE0"/>
    <w:rsid w:val="001F5D87"/>
    <w:rsid w:val="001F5DE9"/>
    <w:rsid w:val="001F5DF9"/>
    <w:rsid w:val="001F5E12"/>
    <w:rsid w:val="001F5E13"/>
    <w:rsid w:val="001F5E17"/>
    <w:rsid w:val="001F5E2C"/>
    <w:rsid w:val="001F5E34"/>
    <w:rsid w:val="001F5E4D"/>
    <w:rsid w:val="001F5ED0"/>
    <w:rsid w:val="001F5ED2"/>
    <w:rsid w:val="001F5F09"/>
    <w:rsid w:val="001F5F48"/>
    <w:rsid w:val="001F5F5F"/>
    <w:rsid w:val="001F5F94"/>
    <w:rsid w:val="001F5F98"/>
    <w:rsid w:val="001F5FBC"/>
    <w:rsid w:val="001F5FD8"/>
    <w:rsid w:val="001F5FE1"/>
    <w:rsid w:val="001F5FF0"/>
    <w:rsid w:val="001F6075"/>
    <w:rsid w:val="001F607E"/>
    <w:rsid w:val="001F6127"/>
    <w:rsid w:val="001F6137"/>
    <w:rsid w:val="001F6185"/>
    <w:rsid w:val="001F61B1"/>
    <w:rsid w:val="001F6221"/>
    <w:rsid w:val="001F6227"/>
    <w:rsid w:val="001F634A"/>
    <w:rsid w:val="001F634D"/>
    <w:rsid w:val="001F6383"/>
    <w:rsid w:val="001F63B9"/>
    <w:rsid w:val="001F63C7"/>
    <w:rsid w:val="001F63C9"/>
    <w:rsid w:val="001F63F9"/>
    <w:rsid w:val="001F6498"/>
    <w:rsid w:val="001F64CD"/>
    <w:rsid w:val="001F6501"/>
    <w:rsid w:val="001F6588"/>
    <w:rsid w:val="001F65AF"/>
    <w:rsid w:val="001F6609"/>
    <w:rsid w:val="001F6652"/>
    <w:rsid w:val="001F6658"/>
    <w:rsid w:val="001F668A"/>
    <w:rsid w:val="001F6693"/>
    <w:rsid w:val="001F66A7"/>
    <w:rsid w:val="001F670E"/>
    <w:rsid w:val="001F6714"/>
    <w:rsid w:val="001F6779"/>
    <w:rsid w:val="001F67D0"/>
    <w:rsid w:val="001F67DE"/>
    <w:rsid w:val="001F67E3"/>
    <w:rsid w:val="001F67FD"/>
    <w:rsid w:val="001F6811"/>
    <w:rsid w:val="001F6821"/>
    <w:rsid w:val="001F6868"/>
    <w:rsid w:val="001F6899"/>
    <w:rsid w:val="001F68D2"/>
    <w:rsid w:val="001F68D4"/>
    <w:rsid w:val="001F6922"/>
    <w:rsid w:val="001F695A"/>
    <w:rsid w:val="001F697D"/>
    <w:rsid w:val="001F6992"/>
    <w:rsid w:val="001F6A14"/>
    <w:rsid w:val="001F6A3D"/>
    <w:rsid w:val="001F6A45"/>
    <w:rsid w:val="001F6A8B"/>
    <w:rsid w:val="001F6ACB"/>
    <w:rsid w:val="001F6B14"/>
    <w:rsid w:val="001F6B33"/>
    <w:rsid w:val="001F6B57"/>
    <w:rsid w:val="001F6B81"/>
    <w:rsid w:val="001F6B83"/>
    <w:rsid w:val="001F6B87"/>
    <w:rsid w:val="001F6B8C"/>
    <w:rsid w:val="001F6BB1"/>
    <w:rsid w:val="001F6BC6"/>
    <w:rsid w:val="001F6BCD"/>
    <w:rsid w:val="001F6C23"/>
    <w:rsid w:val="001F6C2B"/>
    <w:rsid w:val="001F6C65"/>
    <w:rsid w:val="001F6C68"/>
    <w:rsid w:val="001F6D25"/>
    <w:rsid w:val="001F6D35"/>
    <w:rsid w:val="001F6DDB"/>
    <w:rsid w:val="001F6DF2"/>
    <w:rsid w:val="001F6E32"/>
    <w:rsid w:val="001F6E61"/>
    <w:rsid w:val="001F6E64"/>
    <w:rsid w:val="001F6EA1"/>
    <w:rsid w:val="001F6EA2"/>
    <w:rsid w:val="001F6FBA"/>
    <w:rsid w:val="001F6FF0"/>
    <w:rsid w:val="001F6FF2"/>
    <w:rsid w:val="001F7014"/>
    <w:rsid w:val="001F7039"/>
    <w:rsid w:val="001F715A"/>
    <w:rsid w:val="001F717D"/>
    <w:rsid w:val="001F71B2"/>
    <w:rsid w:val="001F71EA"/>
    <w:rsid w:val="001F722B"/>
    <w:rsid w:val="001F727F"/>
    <w:rsid w:val="001F7286"/>
    <w:rsid w:val="001F72DE"/>
    <w:rsid w:val="001F7319"/>
    <w:rsid w:val="001F731F"/>
    <w:rsid w:val="001F7337"/>
    <w:rsid w:val="001F7390"/>
    <w:rsid w:val="001F739F"/>
    <w:rsid w:val="001F73CA"/>
    <w:rsid w:val="001F7433"/>
    <w:rsid w:val="001F7444"/>
    <w:rsid w:val="001F747D"/>
    <w:rsid w:val="001F7498"/>
    <w:rsid w:val="001F74FF"/>
    <w:rsid w:val="001F7520"/>
    <w:rsid w:val="001F7538"/>
    <w:rsid w:val="001F7555"/>
    <w:rsid w:val="001F75CE"/>
    <w:rsid w:val="001F75EE"/>
    <w:rsid w:val="001F75F2"/>
    <w:rsid w:val="001F761E"/>
    <w:rsid w:val="001F7628"/>
    <w:rsid w:val="001F763E"/>
    <w:rsid w:val="001F766D"/>
    <w:rsid w:val="001F7686"/>
    <w:rsid w:val="001F76A3"/>
    <w:rsid w:val="001F76BC"/>
    <w:rsid w:val="001F7703"/>
    <w:rsid w:val="001F7746"/>
    <w:rsid w:val="001F779E"/>
    <w:rsid w:val="001F77EA"/>
    <w:rsid w:val="001F7803"/>
    <w:rsid w:val="001F7817"/>
    <w:rsid w:val="001F7839"/>
    <w:rsid w:val="001F785A"/>
    <w:rsid w:val="001F7874"/>
    <w:rsid w:val="001F787C"/>
    <w:rsid w:val="001F78E3"/>
    <w:rsid w:val="001F78E6"/>
    <w:rsid w:val="001F7902"/>
    <w:rsid w:val="001F790E"/>
    <w:rsid w:val="001F799D"/>
    <w:rsid w:val="001F79F4"/>
    <w:rsid w:val="001F79FD"/>
    <w:rsid w:val="001F7A00"/>
    <w:rsid w:val="001F7A15"/>
    <w:rsid w:val="001F7A63"/>
    <w:rsid w:val="001F7ADA"/>
    <w:rsid w:val="001F7AF1"/>
    <w:rsid w:val="001F7B20"/>
    <w:rsid w:val="001F7B95"/>
    <w:rsid w:val="001F7BEB"/>
    <w:rsid w:val="001F7BF7"/>
    <w:rsid w:val="001F7C00"/>
    <w:rsid w:val="001F7C31"/>
    <w:rsid w:val="001F7C5E"/>
    <w:rsid w:val="001F7C87"/>
    <w:rsid w:val="001F7D0D"/>
    <w:rsid w:val="001F7D1E"/>
    <w:rsid w:val="001F7D48"/>
    <w:rsid w:val="001F7D6B"/>
    <w:rsid w:val="001F7D71"/>
    <w:rsid w:val="001F7D8A"/>
    <w:rsid w:val="001F7DD3"/>
    <w:rsid w:val="001F7E13"/>
    <w:rsid w:val="001F7F08"/>
    <w:rsid w:val="001F7F0F"/>
    <w:rsid w:val="001F7F53"/>
    <w:rsid w:val="001F7F77"/>
    <w:rsid w:val="001F7FA5"/>
    <w:rsid w:val="001F7FE9"/>
    <w:rsid w:val="00200036"/>
    <w:rsid w:val="00200097"/>
    <w:rsid w:val="002000D5"/>
    <w:rsid w:val="00200101"/>
    <w:rsid w:val="00200103"/>
    <w:rsid w:val="00200131"/>
    <w:rsid w:val="002001EE"/>
    <w:rsid w:val="0020020A"/>
    <w:rsid w:val="00200217"/>
    <w:rsid w:val="00200224"/>
    <w:rsid w:val="002002C3"/>
    <w:rsid w:val="002002D7"/>
    <w:rsid w:val="002002F0"/>
    <w:rsid w:val="002002FF"/>
    <w:rsid w:val="00200317"/>
    <w:rsid w:val="00200348"/>
    <w:rsid w:val="002003AC"/>
    <w:rsid w:val="002003B3"/>
    <w:rsid w:val="002003BE"/>
    <w:rsid w:val="00200411"/>
    <w:rsid w:val="00200415"/>
    <w:rsid w:val="00200467"/>
    <w:rsid w:val="0020048A"/>
    <w:rsid w:val="002004BC"/>
    <w:rsid w:val="00200505"/>
    <w:rsid w:val="0020050F"/>
    <w:rsid w:val="00200537"/>
    <w:rsid w:val="00200545"/>
    <w:rsid w:val="00200596"/>
    <w:rsid w:val="0020059E"/>
    <w:rsid w:val="002005CB"/>
    <w:rsid w:val="0020060B"/>
    <w:rsid w:val="00200633"/>
    <w:rsid w:val="00200653"/>
    <w:rsid w:val="00200655"/>
    <w:rsid w:val="002006D0"/>
    <w:rsid w:val="0020075D"/>
    <w:rsid w:val="002007A9"/>
    <w:rsid w:val="002007BC"/>
    <w:rsid w:val="002007C7"/>
    <w:rsid w:val="00200811"/>
    <w:rsid w:val="00200818"/>
    <w:rsid w:val="00200827"/>
    <w:rsid w:val="0020084F"/>
    <w:rsid w:val="00200868"/>
    <w:rsid w:val="002008AD"/>
    <w:rsid w:val="002008B8"/>
    <w:rsid w:val="002008CE"/>
    <w:rsid w:val="002008F9"/>
    <w:rsid w:val="00200907"/>
    <w:rsid w:val="00200922"/>
    <w:rsid w:val="00200935"/>
    <w:rsid w:val="0020098A"/>
    <w:rsid w:val="00200991"/>
    <w:rsid w:val="00200993"/>
    <w:rsid w:val="00200A2C"/>
    <w:rsid w:val="00200A31"/>
    <w:rsid w:val="00200A41"/>
    <w:rsid w:val="00200A73"/>
    <w:rsid w:val="00200A7F"/>
    <w:rsid w:val="00200B0F"/>
    <w:rsid w:val="00200B59"/>
    <w:rsid w:val="00200B9B"/>
    <w:rsid w:val="00200BB9"/>
    <w:rsid w:val="00200BD6"/>
    <w:rsid w:val="00200BDB"/>
    <w:rsid w:val="00200BDC"/>
    <w:rsid w:val="00200BF1"/>
    <w:rsid w:val="00200C5D"/>
    <w:rsid w:val="00200C8C"/>
    <w:rsid w:val="00200C9F"/>
    <w:rsid w:val="00200CC2"/>
    <w:rsid w:val="00200D00"/>
    <w:rsid w:val="00200D7D"/>
    <w:rsid w:val="00200D99"/>
    <w:rsid w:val="00200DB1"/>
    <w:rsid w:val="00200DC3"/>
    <w:rsid w:val="00200DFE"/>
    <w:rsid w:val="00200E12"/>
    <w:rsid w:val="00200E28"/>
    <w:rsid w:val="00200E52"/>
    <w:rsid w:val="00200E92"/>
    <w:rsid w:val="00200EBF"/>
    <w:rsid w:val="00200F38"/>
    <w:rsid w:val="00200F4B"/>
    <w:rsid w:val="00200F73"/>
    <w:rsid w:val="0020102A"/>
    <w:rsid w:val="0020104C"/>
    <w:rsid w:val="0020105C"/>
    <w:rsid w:val="00201092"/>
    <w:rsid w:val="00201112"/>
    <w:rsid w:val="002011E7"/>
    <w:rsid w:val="00201204"/>
    <w:rsid w:val="00201276"/>
    <w:rsid w:val="0020129B"/>
    <w:rsid w:val="0020129D"/>
    <w:rsid w:val="0020132A"/>
    <w:rsid w:val="00201371"/>
    <w:rsid w:val="0020137C"/>
    <w:rsid w:val="00201397"/>
    <w:rsid w:val="002013C8"/>
    <w:rsid w:val="002013D2"/>
    <w:rsid w:val="002013F5"/>
    <w:rsid w:val="002014B3"/>
    <w:rsid w:val="0020151B"/>
    <w:rsid w:val="00201521"/>
    <w:rsid w:val="0020157D"/>
    <w:rsid w:val="00201580"/>
    <w:rsid w:val="002015F2"/>
    <w:rsid w:val="00201611"/>
    <w:rsid w:val="00201616"/>
    <w:rsid w:val="002016EB"/>
    <w:rsid w:val="0020170A"/>
    <w:rsid w:val="00201743"/>
    <w:rsid w:val="00201792"/>
    <w:rsid w:val="00201794"/>
    <w:rsid w:val="002017BC"/>
    <w:rsid w:val="00201874"/>
    <w:rsid w:val="002018FC"/>
    <w:rsid w:val="0020193D"/>
    <w:rsid w:val="00201948"/>
    <w:rsid w:val="002019CB"/>
    <w:rsid w:val="002019CD"/>
    <w:rsid w:val="002019CE"/>
    <w:rsid w:val="002019EB"/>
    <w:rsid w:val="00201A5C"/>
    <w:rsid w:val="00201A7E"/>
    <w:rsid w:val="00201A8A"/>
    <w:rsid w:val="00201AAA"/>
    <w:rsid w:val="00201AD5"/>
    <w:rsid w:val="00201AF3"/>
    <w:rsid w:val="00201B84"/>
    <w:rsid w:val="00201B90"/>
    <w:rsid w:val="00201BB2"/>
    <w:rsid w:val="00201BC2"/>
    <w:rsid w:val="00201BEA"/>
    <w:rsid w:val="00201BF7"/>
    <w:rsid w:val="00201BFD"/>
    <w:rsid w:val="00201C20"/>
    <w:rsid w:val="00201C39"/>
    <w:rsid w:val="00201C9C"/>
    <w:rsid w:val="00201D1E"/>
    <w:rsid w:val="00201D33"/>
    <w:rsid w:val="00201E27"/>
    <w:rsid w:val="00201E6F"/>
    <w:rsid w:val="00201E8A"/>
    <w:rsid w:val="00201EFF"/>
    <w:rsid w:val="00201F5F"/>
    <w:rsid w:val="0020206E"/>
    <w:rsid w:val="002020B0"/>
    <w:rsid w:val="002020BA"/>
    <w:rsid w:val="002020CD"/>
    <w:rsid w:val="00202110"/>
    <w:rsid w:val="00202123"/>
    <w:rsid w:val="0020215A"/>
    <w:rsid w:val="00202180"/>
    <w:rsid w:val="00202203"/>
    <w:rsid w:val="0020225E"/>
    <w:rsid w:val="0020231D"/>
    <w:rsid w:val="0020234D"/>
    <w:rsid w:val="00202374"/>
    <w:rsid w:val="00202465"/>
    <w:rsid w:val="0020246F"/>
    <w:rsid w:val="002024AF"/>
    <w:rsid w:val="00202520"/>
    <w:rsid w:val="002025DC"/>
    <w:rsid w:val="00202605"/>
    <w:rsid w:val="0020263B"/>
    <w:rsid w:val="00202652"/>
    <w:rsid w:val="00202699"/>
    <w:rsid w:val="002026A9"/>
    <w:rsid w:val="002026AB"/>
    <w:rsid w:val="0020273D"/>
    <w:rsid w:val="00202755"/>
    <w:rsid w:val="00202782"/>
    <w:rsid w:val="00202784"/>
    <w:rsid w:val="002027EB"/>
    <w:rsid w:val="0020285E"/>
    <w:rsid w:val="00202891"/>
    <w:rsid w:val="00202898"/>
    <w:rsid w:val="002028EE"/>
    <w:rsid w:val="0020290D"/>
    <w:rsid w:val="0020290E"/>
    <w:rsid w:val="00202933"/>
    <w:rsid w:val="00202950"/>
    <w:rsid w:val="00202976"/>
    <w:rsid w:val="002029D2"/>
    <w:rsid w:val="00202A10"/>
    <w:rsid w:val="00202A14"/>
    <w:rsid w:val="00202A58"/>
    <w:rsid w:val="00202AAB"/>
    <w:rsid w:val="00202AF8"/>
    <w:rsid w:val="00202B1D"/>
    <w:rsid w:val="00202B21"/>
    <w:rsid w:val="00202B26"/>
    <w:rsid w:val="00202BAC"/>
    <w:rsid w:val="00202C64"/>
    <w:rsid w:val="00202D08"/>
    <w:rsid w:val="00202D0E"/>
    <w:rsid w:val="00202D2C"/>
    <w:rsid w:val="00202D8E"/>
    <w:rsid w:val="00202D98"/>
    <w:rsid w:val="00202DC3"/>
    <w:rsid w:val="00202DC6"/>
    <w:rsid w:val="00202E3B"/>
    <w:rsid w:val="00202EA3"/>
    <w:rsid w:val="00202EDE"/>
    <w:rsid w:val="00202F13"/>
    <w:rsid w:val="00202F23"/>
    <w:rsid w:val="00202F51"/>
    <w:rsid w:val="00202F91"/>
    <w:rsid w:val="00202FE6"/>
    <w:rsid w:val="00203096"/>
    <w:rsid w:val="002030BC"/>
    <w:rsid w:val="00203113"/>
    <w:rsid w:val="0020312E"/>
    <w:rsid w:val="00203136"/>
    <w:rsid w:val="0020314D"/>
    <w:rsid w:val="00203158"/>
    <w:rsid w:val="00203248"/>
    <w:rsid w:val="0020328F"/>
    <w:rsid w:val="00203299"/>
    <w:rsid w:val="002032A9"/>
    <w:rsid w:val="002032C1"/>
    <w:rsid w:val="002032CF"/>
    <w:rsid w:val="002032E2"/>
    <w:rsid w:val="0020332C"/>
    <w:rsid w:val="00203363"/>
    <w:rsid w:val="002033A2"/>
    <w:rsid w:val="002033CE"/>
    <w:rsid w:val="00203413"/>
    <w:rsid w:val="00203443"/>
    <w:rsid w:val="00203450"/>
    <w:rsid w:val="0020345B"/>
    <w:rsid w:val="00203478"/>
    <w:rsid w:val="0020347D"/>
    <w:rsid w:val="00203492"/>
    <w:rsid w:val="002034E3"/>
    <w:rsid w:val="00203513"/>
    <w:rsid w:val="0020351D"/>
    <w:rsid w:val="002035A4"/>
    <w:rsid w:val="002035A5"/>
    <w:rsid w:val="002035AA"/>
    <w:rsid w:val="002035C0"/>
    <w:rsid w:val="002035C2"/>
    <w:rsid w:val="002035EC"/>
    <w:rsid w:val="00203601"/>
    <w:rsid w:val="00203644"/>
    <w:rsid w:val="0020364C"/>
    <w:rsid w:val="002036F9"/>
    <w:rsid w:val="00203702"/>
    <w:rsid w:val="0020374D"/>
    <w:rsid w:val="00203769"/>
    <w:rsid w:val="0020378F"/>
    <w:rsid w:val="002037A3"/>
    <w:rsid w:val="002037CE"/>
    <w:rsid w:val="00203805"/>
    <w:rsid w:val="0020381C"/>
    <w:rsid w:val="00203831"/>
    <w:rsid w:val="002038C6"/>
    <w:rsid w:val="002038E9"/>
    <w:rsid w:val="0020394D"/>
    <w:rsid w:val="00203989"/>
    <w:rsid w:val="0020399E"/>
    <w:rsid w:val="002039F6"/>
    <w:rsid w:val="00203A82"/>
    <w:rsid w:val="00203AB2"/>
    <w:rsid w:val="00203B19"/>
    <w:rsid w:val="00203B25"/>
    <w:rsid w:val="00203B35"/>
    <w:rsid w:val="00203B69"/>
    <w:rsid w:val="00203B93"/>
    <w:rsid w:val="00203C37"/>
    <w:rsid w:val="00203C40"/>
    <w:rsid w:val="00203C5B"/>
    <w:rsid w:val="00203C5D"/>
    <w:rsid w:val="00203C6E"/>
    <w:rsid w:val="00203C78"/>
    <w:rsid w:val="00203CA5"/>
    <w:rsid w:val="00203CAE"/>
    <w:rsid w:val="00203CBA"/>
    <w:rsid w:val="00203CCD"/>
    <w:rsid w:val="00203D36"/>
    <w:rsid w:val="00203D48"/>
    <w:rsid w:val="00203E01"/>
    <w:rsid w:val="00203E37"/>
    <w:rsid w:val="00203ED0"/>
    <w:rsid w:val="00203EE4"/>
    <w:rsid w:val="00203EF3"/>
    <w:rsid w:val="00203F5B"/>
    <w:rsid w:val="00203F83"/>
    <w:rsid w:val="00203FA5"/>
    <w:rsid w:val="00203FA9"/>
    <w:rsid w:val="00203FB7"/>
    <w:rsid w:val="00203FC7"/>
    <w:rsid w:val="00203FDB"/>
    <w:rsid w:val="00204016"/>
    <w:rsid w:val="00204050"/>
    <w:rsid w:val="002040A9"/>
    <w:rsid w:val="002040F3"/>
    <w:rsid w:val="002040FF"/>
    <w:rsid w:val="00204101"/>
    <w:rsid w:val="00204109"/>
    <w:rsid w:val="00204182"/>
    <w:rsid w:val="002041CB"/>
    <w:rsid w:val="002041F6"/>
    <w:rsid w:val="00204201"/>
    <w:rsid w:val="00204271"/>
    <w:rsid w:val="00204328"/>
    <w:rsid w:val="00204379"/>
    <w:rsid w:val="002043AC"/>
    <w:rsid w:val="002043C0"/>
    <w:rsid w:val="0020440D"/>
    <w:rsid w:val="00204415"/>
    <w:rsid w:val="00204418"/>
    <w:rsid w:val="00204425"/>
    <w:rsid w:val="00204453"/>
    <w:rsid w:val="00204457"/>
    <w:rsid w:val="00204498"/>
    <w:rsid w:val="002044C6"/>
    <w:rsid w:val="0020452F"/>
    <w:rsid w:val="00204552"/>
    <w:rsid w:val="00204598"/>
    <w:rsid w:val="002045D2"/>
    <w:rsid w:val="002045D9"/>
    <w:rsid w:val="002045E3"/>
    <w:rsid w:val="002045F0"/>
    <w:rsid w:val="002045FB"/>
    <w:rsid w:val="00204691"/>
    <w:rsid w:val="002046AE"/>
    <w:rsid w:val="002046E2"/>
    <w:rsid w:val="00204708"/>
    <w:rsid w:val="00204723"/>
    <w:rsid w:val="00204737"/>
    <w:rsid w:val="00204766"/>
    <w:rsid w:val="00204781"/>
    <w:rsid w:val="002047A1"/>
    <w:rsid w:val="002047A7"/>
    <w:rsid w:val="002047BA"/>
    <w:rsid w:val="00204805"/>
    <w:rsid w:val="00204824"/>
    <w:rsid w:val="00204856"/>
    <w:rsid w:val="00204866"/>
    <w:rsid w:val="00204875"/>
    <w:rsid w:val="0020487A"/>
    <w:rsid w:val="002048EE"/>
    <w:rsid w:val="00204914"/>
    <w:rsid w:val="0020491F"/>
    <w:rsid w:val="0020492F"/>
    <w:rsid w:val="00204949"/>
    <w:rsid w:val="0020495C"/>
    <w:rsid w:val="00204990"/>
    <w:rsid w:val="002049B1"/>
    <w:rsid w:val="002049BD"/>
    <w:rsid w:val="00204A1A"/>
    <w:rsid w:val="00204A7B"/>
    <w:rsid w:val="00204A7C"/>
    <w:rsid w:val="00204AD8"/>
    <w:rsid w:val="00204B1D"/>
    <w:rsid w:val="00204B5B"/>
    <w:rsid w:val="00204B67"/>
    <w:rsid w:val="00204B9F"/>
    <w:rsid w:val="00204BA8"/>
    <w:rsid w:val="00204BC2"/>
    <w:rsid w:val="00204C1E"/>
    <w:rsid w:val="00204C3F"/>
    <w:rsid w:val="00204C80"/>
    <w:rsid w:val="00204C85"/>
    <w:rsid w:val="00204D14"/>
    <w:rsid w:val="00204D5F"/>
    <w:rsid w:val="00204D67"/>
    <w:rsid w:val="00204D6D"/>
    <w:rsid w:val="00204DAE"/>
    <w:rsid w:val="00204DB1"/>
    <w:rsid w:val="00204DB2"/>
    <w:rsid w:val="00204E36"/>
    <w:rsid w:val="00204E52"/>
    <w:rsid w:val="00204E54"/>
    <w:rsid w:val="00204E7E"/>
    <w:rsid w:val="00204E8F"/>
    <w:rsid w:val="00204EB9"/>
    <w:rsid w:val="00204EC7"/>
    <w:rsid w:val="00204EEA"/>
    <w:rsid w:val="00204EF0"/>
    <w:rsid w:val="00204F46"/>
    <w:rsid w:val="00204F4C"/>
    <w:rsid w:val="00204F55"/>
    <w:rsid w:val="00204F6A"/>
    <w:rsid w:val="00204F95"/>
    <w:rsid w:val="00204FEA"/>
    <w:rsid w:val="00204FF0"/>
    <w:rsid w:val="00205097"/>
    <w:rsid w:val="0020509B"/>
    <w:rsid w:val="0020509C"/>
    <w:rsid w:val="002050A3"/>
    <w:rsid w:val="002050BF"/>
    <w:rsid w:val="002050E1"/>
    <w:rsid w:val="002050F0"/>
    <w:rsid w:val="00205113"/>
    <w:rsid w:val="00205126"/>
    <w:rsid w:val="0020512B"/>
    <w:rsid w:val="0020514E"/>
    <w:rsid w:val="0020516E"/>
    <w:rsid w:val="002051AC"/>
    <w:rsid w:val="002051BD"/>
    <w:rsid w:val="0020523D"/>
    <w:rsid w:val="00205248"/>
    <w:rsid w:val="0020524C"/>
    <w:rsid w:val="002052EE"/>
    <w:rsid w:val="002052F1"/>
    <w:rsid w:val="00205316"/>
    <w:rsid w:val="00205324"/>
    <w:rsid w:val="002053B6"/>
    <w:rsid w:val="0020545F"/>
    <w:rsid w:val="00205499"/>
    <w:rsid w:val="002054D5"/>
    <w:rsid w:val="0020553D"/>
    <w:rsid w:val="00205582"/>
    <w:rsid w:val="002055B4"/>
    <w:rsid w:val="002055E6"/>
    <w:rsid w:val="0020562D"/>
    <w:rsid w:val="0020566B"/>
    <w:rsid w:val="00205685"/>
    <w:rsid w:val="00205698"/>
    <w:rsid w:val="0020569F"/>
    <w:rsid w:val="002056DA"/>
    <w:rsid w:val="002056FA"/>
    <w:rsid w:val="00205705"/>
    <w:rsid w:val="00205706"/>
    <w:rsid w:val="00205806"/>
    <w:rsid w:val="00205851"/>
    <w:rsid w:val="0020585C"/>
    <w:rsid w:val="0020585E"/>
    <w:rsid w:val="00205876"/>
    <w:rsid w:val="002058A9"/>
    <w:rsid w:val="002058C0"/>
    <w:rsid w:val="002058FB"/>
    <w:rsid w:val="0020592A"/>
    <w:rsid w:val="0020593F"/>
    <w:rsid w:val="0020597D"/>
    <w:rsid w:val="0020599C"/>
    <w:rsid w:val="002059EC"/>
    <w:rsid w:val="002059F3"/>
    <w:rsid w:val="00205A75"/>
    <w:rsid w:val="00205A7C"/>
    <w:rsid w:val="00205AA5"/>
    <w:rsid w:val="00205B1F"/>
    <w:rsid w:val="00205B3D"/>
    <w:rsid w:val="00205B44"/>
    <w:rsid w:val="00205C32"/>
    <w:rsid w:val="00205C65"/>
    <w:rsid w:val="00205C67"/>
    <w:rsid w:val="00205C86"/>
    <w:rsid w:val="00205D02"/>
    <w:rsid w:val="00205D5B"/>
    <w:rsid w:val="00205D95"/>
    <w:rsid w:val="00205D98"/>
    <w:rsid w:val="00205E5D"/>
    <w:rsid w:val="00205EB5"/>
    <w:rsid w:val="00205EEA"/>
    <w:rsid w:val="00205F11"/>
    <w:rsid w:val="00205F26"/>
    <w:rsid w:val="00205F38"/>
    <w:rsid w:val="00205F5C"/>
    <w:rsid w:val="00205F6B"/>
    <w:rsid w:val="00205FBB"/>
    <w:rsid w:val="00205FEF"/>
    <w:rsid w:val="0020603E"/>
    <w:rsid w:val="0020604B"/>
    <w:rsid w:val="0020604D"/>
    <w:rsid w:val="00206063"/>
    <w:rsid w:val="0020606C"/>
    <w:rsid w:val="00206078"/>
    <w:rsid w:val="00206079"/>
    <w:rsid w:val="002060B0"/>
    <w:rsid w:val="002060D7"/>
    <w:rsid w:val="002060E3"/>
    <w:rsid w:val="00206108"/>
    <w:rsid w:val="00206165"/>
    <w:rsid w:val="002061F2"/>
    <w:rsid w:val="00206215"/>
    <w:rsid w:val="0020623F"/>
    <w:rsid w:val="00206259"/>
    <w:rsid w:val="0020625D"/>
    <w:rsid w:val="00206291"/>
    <w:rsid w:val="002062A8"/>
    <w:rsid w:val="0020631F"/>
    <w:rsid w:val="00206337"/>
    <w:rsid w:val="002063A6"/>
    <w:rsid w:val="002063D6"/>
    <w:rsid w:val="0020640B"/>
    <w:rsid w:val="00206432"/>
    <w:rsid w:val="0020649C"/>
    <w:rsid w:val="002064A8"/>
    <w:rsid w:val="002064B4"/>
    <w:rsid w:val="002064C0"/>
    <w:rsid w:val="00206555"/>
    <w:rsid w:val="00206573"/>
    <w:rsid w:val="002065BF"/>
    <w:rsid w:val="002065D1"/>
    <w:rsid w:val="002065E8"/>
    <w:rsid w:val="00206629"/>
    <w:rsid w:val="00206645"/>
    <w:rsid w:val="00206667"/>
    <w:rsid w:val="00206679"/>
    <w:rsid w:val="00206697"/>
    <w:rsid w:val="00206700"/>
    <w:rsid w:val="00206746"/>
    <w:rsid w:val="0020674B"/>
    <w:rsid w:val="0020677E"/>
    <w:rsid w:val="0020679B"/>
    <w:rsid w:val="0020690A"/>
    <w:rsid w:val="00206918"/>
    <w:rsid w:val="0020691A"/>
    <w:rsid w:val="00206963"/>
    <w:rsid w:val="00206990"/>
    <w:rsid w:val="002069B2"/>
    <w:rsid w:val="002069F2"/>
    <w:rsid w:val="00206A5B"/>
    <w:rsid w:val="00206A62"/>
    <w:rsid w:val="00206B18"/>
    <w:rsid w:val="00206B27"/>
    <w:rsid w:val="00206B34"/>
    <w:rsid w:val="00206B5E"/>
    <w:rsid w:val="00206BE0"/>
    <w:rsid w:val="00206C02"/>
    <w:rsid w:val="00206C21"/>
    <w:rsid w:val="00206C44"/>
    <w:rsid w:val="00206C57"/>
    <w:rsid w:val="00206CEA"/>
    <w:rsid w:val="00206D01"/>
    <w:rsid w:val="00206D44"/>
    <w:rsid w:val="00206D62"/>
    <w:rsid w:val="00206D66"/>
    <w:rsid w:val="00206E24"/>
    <w:rsid w:val="00206E64"/>
    <w:rsid w:val="00206E88"/>
    <w:rsid w:val="00206ED5"/>
    <w:rsid w:val="00206EDB"/>
    <w:rsid w:val="00206F24"/>
    <w:rsid w:val="00206F37"/>
    <w:rsid w:val="00206FBD"/>
    <w:rsid w:val="00206FED"/>
    <w:rsid w:val="00207015"/>
    <w:rsid w:val="0020703F"/>
    <w:rsid w:val="00207047"/>
    <w:rsid w:val="00207116"/>
    <w:rsid w:val="00207136"/>
    <w:rsid w:val="00207170"/>
    <w:rsid w:val="002071B1"/>
    <w:rsid w:val="002071C2"/>
    <w:rsid w:val="002071F8"/>
    <w:rsid w:val="002071FC"/>
    <w:rsid w:val="00207233"/>
    <w:rsid w:val="0020723C"/>
    <w:rsid w:val="0020726C"/>
    <w:rsid w:val="00207277"/>
    <w:rsid w:val="002072C8"/>
    <w:rsid w:val="002072C9"/>
    <w:rsid w:val="002072DC"/>
    <w:rsid w:val="00207337"/>
    <w:rsid w:val="0020736B"/>
    <w:rsid w:val="002073A6"/>
    <w:rsid w:val="002073D2"/>
    <w:rsid w:val="002073DF"/>
    <w:rsid w:val="0020740E"/>
    <w:rsid w:val="0020742E"/>
    <w:rsid w:val="0020747C"/>
    <w:rsid w:val="002074C5"/>
    <w:rsid w:val="002074CB"/>
    <w:rsid w:val="002074E7"/>
    <w:rsid w:val="002074F0"/>
    <w:rsid w:val="002075C5"/>
    <w:rsid w:val="002075F0"/>
    <w:rsid w:val="002076BD"/>
    <w:rsid w:val="002076F4"/>
    <w:rsid w:val="0020771F"/>
    <w:rsid w:val="00207729"/>
    <w:rsid w:val="00207755"/>
    <w:rsid w:val="0020780B"/>
    <w:rsid w:val="00207813"/>
    <w:rsid w:val="00207895"/>
    <w:rsid w:val="002078CD"/>
    <w:rsid w:val="002078DC"/>
    <w:rsid w:val="002078E6"/>
    <w:rsid w:val="002078E9"/>
    <w:rsid w:val="002078F9"/>
    <w:rsid w:val="0020790B"/>
    <w:rsid w:val="0020793F"/>
    <w:rsid w:val="00207975"/>
    <w:rsid w:val="00207A13"/>
    <w:rsid w:val="00207A29"/>
    <w:rsid w:val="00207ACA"/>
    <w:rsid w:val="00207AE2"/>
    <w:rsid w:val="00207AEC"/>
    <w:rsid w:val="00207B00"/>
    <w:rsid w:val="00207B21"/>
    <w:rsid w:val="00207B26"/>
    <w:rsid w:val="00207B54"/>
    <w:rsid w:val="00207B5C"/>
    <w:rsid w:val="00207BBE"/>
    <w:rsid w:val="00207BC6"/>
    <w:rsid w:val="00207BD7"/>
    <w:rsid w:val="00207BE2"/>
    <w:rsid w:val="00207C27"/>
    <w:rsid w:val="00207C86"/>
    <w:rsid w:val="00207C9D"/>
    <w:rsid w:val="00207CF1"/>
    <w:rsid w:val="00207D2F"/>
    <w:rsid w:val="00207D7B"/>
    <w:rsid w:val="00207DD0"/>
    <w:rsid w:val="00207DDE"/>
    <w:rsid w:val="00207DF4"/>
    <w:rsid w:val="00207EA2"/>
    <w:rsid w:val="00207EB0"/>
    <w:rsid w:val="00207EEA"/>
    <w:rsid w:val="00207F27"/>
    <w:rsid w:val="00207F72"/>
    <w:rsid w:val="00207F97"/>
    <w:rsid w:val="00207FDC"/>
    <w:rsid w:val="00207FE3"/>
    <w:rsid w:val="0021001E"/>
    <w:rsid w:val="00210068"/>
    <w:rsid w:val="00210091"/>
    <w:rsid w:val="002100AA"/>
    <w:rsid w:val="002100F7"/>
    <w:rsid w:val="002100FD"/>
    <w:rsid w:val="00210105"/>
    <w:rsid w:val="00210123"/>
    <w:rsid w:val="0021016A"/>
    <w:rsid w:val="002101B4"/>
    <w:rsid w:val="002101CC"/>
    <w:rsid w:val="002101F4"/>
    <w:rsid w:val="00210215"/>
    <w:rsid w:val="0021026D"/>
    <w:rsid w:val="002102CD"/>
    <w:rsid w:val="002102E2"/>
    <w:rsid w:val="002102FD"/>
    <w:rsid w:val="00210332"/>
    <w:rsid w:val="00210334"/>
    <w:rsid w:val="0021040E"/>
    <w:rsid w:val="0021041B"/>
    <w:rsid w:val="0021044B"/>
    <w:rsid w:val="0021049C"/>
    <w:rsid w:val="002104D9"/>
    <w:rsid w:val="00210588"/>
    <w:rsid w:val="0021059E"/>
    <w:rsid w:val="002105AC"/>
    <w:rsid w:val="002105B1"/>
    <w:rsid w:val="002105D6"/>
    <w:rsid w:val="00210616"/>
    <w:rsid w:val="0021063F"/>
    <w:rsid w:val="00210649"/>
    <w:rsid w:val="002106C8"/>
    <w:rsid w:val="002106CB"/>
    <w:rsid w:val="00210724"/>
    <w:rsid w:val="00210736"/>
    <w:rsid w:val="00210751"/>
    <w:rsid w:val="00210777"/>
    <w:rsid w:val="002107C0"/>
    <w:rsid w:val="0021085E"/>
    <w:rsid w:val="0021087C"/>
    <w:rsid w:val="002109E9"/>
    <w:rsid w:val="002109FE"/>
    <w:rsid w:val="00210A5A"/>
    <w:rsid w:val="00210AA6"/>
    <w:rsid w:val="00210AD2"/>
    <w:rsid w:val="00210B25"/>
    <w:rsid w:val="00210B38"/>
    <w:rsid w:val="00210B43"/>
    <w:rsid w:val="00210B4B"/>
    <w:rsid w:val="00210B76"/>
    <w:rsid w:val="00210B78"/>
    <w:rsid w:val="00210B83"/>
    <w:rsid w:val="00210B8D"/>
    <w:rsid w:val="00210BCE"/>
    <w:rsid w:val="00210C15"/>
    <w:rsid w:val="00210C32"/>
    <w:rsid w:val="00210C40"/>
    <w:rsid w:val="00210C5A"/>
    <w:rsid w:val="00210C67"/>
    <w:rsid w:val="00210C71"/>
    <w:rsid w:val="00210D26"/>
    <w:rsid w:val="00210D67"/>
    <w:rsid w:val="00210D70"/>
    <w:rsid w:val="00210DDF"/>
    <w:rsid w:val="00210DE2"/>
    <w:rsid w:val="00210DF3"/>
    <w:rsid w:val="00210DF6"/>
    <w:rsid w:val="00210E0C"/>
    <w:rsid w:val="00210E3C"/>
    <w:rsid w:val="00210E5E"/>
    <w:rsid w:val="00210E64"/>
    <w:rsid w:val="00210E94"/>
    <w:rsid w:val="00210EAC"/>
    <w:rsid w:val="00210EBD"/>
    <w:rsid w:val="00210EC6"/>
    <w:rsid w:val="00210F8F"/>
    <w:rsid w:val="00210FC6"/>
    <w:rsid w:val="00210FFF"/>
    <w:rsid w:val="0021109C"/>
    <w:rsid w:val="002110DF"/>
    <w:rsid w:val="00211139"/>
    <w:rsid w:val="0021113C"/>
    <w:rsid w:val="00211167"/>
    <w:rsid w:val="0021117E"/>
    <w:rsid w:val="0021123D"/>
    <w:rsid w:val="0021124A"/>
    <w:rsid w:val="0021127C"/>
    <w:rsid w:val="002112D2"/>
    <w:rsid w:val="002112F4"/>
    <w:rsid w:val="00211315"/>
    <w:rsid w:val="0021138D"/>
    <w:rsid w:val="002113AB"/>
    <w:rsid w:val="00211431"/>
    <w:rsid w:val="002114A7"/>
    <w:rsid w:val="002114CA"/>
    <w:rsid w:val="0021150A"/>
    <w:rsid w:val="0021150F"/>
    <w:rsid w:val="00211519"/>
    <w:rsid w:val="002115BB"/>
    <w:rsid w:val="002115D9"/>
    <w:rsid w:val="002115ED"/>
    <w:rsid w:val="002115F9"/>
    <w:rsid w:val="00211625"/>
    <w:rsid w:val="00211659"/>
    <w:rsid w:val="002116C5"/>
    <w:rsid w:val="00211705"/>
    <w:rsid w:val="00211736"/>
    <w:rsid w:val="00211740"/>
    <w:rsid w:val="0021177A"/>
    <w:rsid w:val="002117CF"/>
    <w:rsid w:val="002117E4"/>
    <w:rsid w:val="002117F6"/>
    <w:rsid w:val="002117F7"/>
    <w:rsid w:val="0021181D"/>
    <w:rsid w:val="002118A3"/>
    <w:rsid w:val="002118EC"/>
    <w:rsid w:val="00211980"/>
    <w:rsid w:val="00211986"/>
    <w:rsid w:val="00211995"/>
    <w:rsid w:val="002119DA"/>
    <w:rsid w:val="00211A90"/>
    <w:rsid w:val="00211A91"/>
    <w:rsid w:val="00211ACC"/>
    <w:rsid w:val="00211B18"/>
    <w:rsid w:val="00211B1C"/>
    <w:rsid w:val="00211B8A"/>
    <w:rsid w:val="00211BE1"/>
    <w:rsid w:val="00211BF6"/>
    <w:rsid w:val="00211C06"/>
    <w:rsid w:val="00211C44"/>
    <w:rsid w:val="00211CD7"/>
    <w:rsid w:val="00211DA6"/>
    <w:rsid w:val="00211E2C"/>
    <w:rsid w:val="00211E92"/>
    <w:rsid w:val="00211EB6"/>
    <w:rsid w:val="00211EDC"/>
    <w:rsid w:val="00211EF7"/>
    <w:rsid w:val="00211F2B"/>
    <w:rsid w:val="00211F3C"/>
    <w:rsid w:val="00211FE8"/>
    <w:rsid w:val="00212010"/>
    <w:rsid w:val="00212043"/>
    <w:rsid w:val="00212045"/>
    <w:rsid w:val="00212053"/>
    <w:rsid w:val="00212080"/>
    <w:rsid w:val="002120B7"/>
    <w:rsid w:val="002120D0"/>
    <w:rsid w:val="002120F8"/>
    <w:rsid w:val="00212137"/>
    <w:rsid w:val="002121C4"/>
    <w:rsid w:val="002121EF"/>
    <w:rsid w:val="0021220E"/>
    <w:rsid w:val="00212250"/>
    <w:rsid w:val="00212252"/>
    <w:rsid w:val="00212256"/>
    <w:rsid w:val="00212269"/>
    <w:rsid w:val="002122DF"/>
    <w:rsid w:val="0021231E"/>
    <w:rsid w:val="00212326"/>
    <w:rsid w:val="0021234A"/>
    <w:rsid w:val="00212357"/>
    <w:rsid w:val="00212376"/>
    <w:rsid w:val="002123A3"/>
    <w:rsid w:val="002123B6"/>
    <w:rsid w:val="002123BD"/>
    <w:rsid w:val="00212420"/>
    <w:rsid w:val="002124E7"/>
    <w:rsid w:val="00212571"/>
    <w:rsid w:val="002125DE"/>
    <w:rsid w:val="00212689"/>
    <w:rsid w:val="002126B6"/>
    <w:rsid w:val="002126E7"/>
    <w:rsid w:val="00212709"/>
    <w:rsid w:val="0021275A"/>
    <w:rsid w:val="00212767"/>
    <w:rsid w:val="002127CF"/>
    <w:rsid w:val="002127DB"/>
    <w:rsid w:val="002127F7"/>
    <w:rsid w:val="0021283C"/>
    <w:rsid w:val="002128A4"/>
    <w:rsid w:val="002128AD"/>
    <w:rsid w:val="002128D3"/>
    <w:rsid w:val="002128D5"/>
    <w:rsid w:val="002128EF"/>
    <w:rsid w:val="00212940"/>
    <w:rsid w:val="00212959"/>
    <w:rsid w:val="00212972"/>
    <w:rsid w:val="0021297D"/>
    <w:rsid w:val="002129D2"/>
    <w:rsid w:val="002129DA"/>
    <w:rsid w:val="00212A14"/>
    <w:rsid w:val="00212A1E"/>
    <w:rsid w:val="00212A20"/>
    <w:rsid w:val="00212AA8"/>
    <w:rsid w:val="00212AB3"/>
    <w:rsid w:val="00212B36"/>
    <w:rsid w:val="00212B42"/>
    <w:rsid w:val="00212B50"/>
    <w:rsid w:val="00212B96"/>
    <w:rsid w:val="00212BB0"/>
    <w:rsid w:val="00212C09"/>
    <w:rsid w:val="00212C37"/>
    <w:rsid w:val="00212C8D"/>
    <w:rsid w:val="00212D34"/>
    <w:rsid w:val="00212DB6"/>
    <w:rsid w:val="00212DF7"/>
    <w:rsid w:val="00212E07"/>
    <w:rsid w:val="00212E25"/>
    <w:rsid w:val="00212E6C"/>
    <w:rsid w:val="00212E8B"/>
    <w:rsid w:val="00212FB2"/>
    <w:rsid w:val="00213011"/>
    <w:rsid w:val="0021301B"/>
    <w:rsid w:val="00213092"/>
    <w:rsid w:val="00213109"/>
    <w:rsid w:val="0021310E"/>
    <w:rsid w:val="0021313D"/>
    <w:rsid w:val="00213163"/>
    <w:rsid w:val="0021319A"/>
    <w:rsid w:val="002131D6"/>
    <w:rsid w:val="002131DD"/>
    <w:rsid w:val="00213216"/>
    <w:rsid w:val="0021322C"/>
    <w:rsid w:val="0021329A"/>
    <w:rsid w:val="002132B9"/>
    <w:rsid w:val="002132CC"/>
    <w:rsid w:val="002132D0"/>
    <w:rsid w:val="002132F5"/>
    <w:rsid w:val="002132FF"/>
    <w:rsid w:val="00213302"/>
    <w:rsid w:val="00213330"/>
    <w:rsid w:val="00213352"/>
    <w:rsid w:val="002133DE"/>
    <w:rsid w:val="002133F3"/>
    <w:rsid w:val="00213452"/>
    <w:rsid w:val="00213458"/>
    <w:rsid w:val="00213464"/>
    <w:rsid w:val="002134B6"/>
    <w:rsid w:val="002134BD"/>
    <w:rsid w:val="00213506"/>
    <w:rsid w:val="00213533"/>
    <w:rsid w:val="00213623"/>
    <w:rsid w:val="0021362D"/>
    <w:rsid w:val="00213633"/>
    <w:rsid w:val="00213641"/>
    <w:rsid w:val="0021365D"/>
    <w:rsid w:val="0021369A"/>
    <w:rsid w:val="002136C5"/>
    <w:rsid w:val="0021371F"/>
    <w:rsid w:val="00213739"/>
    <w:rsid w:val="00213769"/>
    <w:rsid w:val="00213777"/>
    <w:rsid w:val="002137D4"/>
    <w:rsid w:val="00213860"/>
    <w:rsid w:val="002138B6"/>
    <w:rsid w:val="002138E6"/>
    <w:rsid w:val="00213909"/>
    <w:rsid w:val="0021390F"/>
    <w:rsid w:val="00213931"/>
    <w:rsid w:val="0021393B"/>
    <w:rsid w:val="0021393E"/>
    <w:rsid w:val="00213940"/>
    <w:rsid w:val="00213947"/>
    <w:rsid w:val="002139AA"/>
    <w:rsid w:val="002139B3"/>
    <w:rsid w:val="002139F2"/>
    <w:rsid w:val="00213A0F"/>
    <w:rsid w:val="00213A8E"/>
    <w:rsid w:val="00213B10"/>
    <w:rsid w:val="00213B37"/>
    <w:rsid w:val="00213BF0"/>
    <w:rsid w:val="00213CD3"/>
    <w:rsid w:val="00213CDD"/>
    <w:rsid w:val="00213D01"/>
    <w:rsid w:val="00213D59"/>
    <w:rsid w:val="00213DB6"/>
    <w:rsid w:val="00213DDF"/>
    <w:rsid w:val="00213E3F"/>
    <w:rsid w:val="00213ED9"/>
    <w:rsid w:val="00213F00"/>
    <w:rsid w:val="00213F1E"/>
    <w:rsid w:val="00213F27"/>
    <w:rsid w:val="00213F2E"/>
    <w:rsid w:val="00213F47"/>
    <w:rsid w:val="00213F4C"/>
    <w:rsid w:val="00213F59"/>
    <w:rsid w:val="00213F99"/>
    <w:rsid w:val="00213FAC"/>
    <w:rsid w:val="00213FBC"/>
    <w:rsid w:val="00213FFB"/>
    <w:rsid w:val="002141EB"/>
    <w:rsid w:val="002141F4"/>
    <w:rsid w:val="00214228"/>
    <w:rsid w:val="0021426A"/>
    <w:rsid w:val="00214285"/>
    <w:rsid w:val="00214290"/>
    <w:rsid w:val="002142E1"/>
    <w:rsid w:val="002142F2"/>
    <w:rsid w:val="0021430B"/>
    <w:rsid w:val="0021430E"/>
    <w:rsid w:val="0021436C"/>
    <w:rsid w:val="00214376"/>
    <w:rsid w:val="00214377"/>
    <w:rsid w:val="0021437C"/>
    <w:rsid w:val="00214380"/>
    <w:rsid w:val="0021439F"/>
    <w:rsid w:val="0021440A"/>
    <w:rsid w:val="00214445"/>
    <w:rsid w:val="00214499"/>
    <w:rsid w:val="0021449A"/>
    <w:rsid w:val="002144A7"/>
    <w:rsid w:val="0021451D"/>
    <w:rsid w:val="00214565"/>
    <w:rsid w:val="00214581"/>
    <w:rsid w:val="0021459F"/>
    <w:rsid w:val="002145A4"/>
    <w:rsid w:val="002145B2"/>
    <w:rsid w:val="002145CF"/>
    <w:rsid w:val="002145FB"/>
    <w:rsid w:val="00214612"/>
    <w:rsid w:val="00214618"/>
    <w:rsid w:val="00214628"/>
    <w:rsid w:val="0021462A"/>
    <w:rsid w:val="00214699"/>
    <w:rsid w:val="002146EA"/>
    <w:rsid w:val="0021471B"/>
    <w:rsid w:val="00214731"/>
    <w:rsid w:val="0021474B"/>
    <w:rsid w:val="00214752"/>
    <w:rsid w:val="002147A5"/>
    <w:rsid w:val="002147BB"/>
    <w:rsid w:val="002147F1"/>
    <w:rsid w:val="00214871"/>
    <w:rsid w:val="00214894"/>
    <w:rsid w:val="002148B3"/>
    <w:rsid w:val="002148E9"/>
    <w:rsid w:val="002148EE"/>
    <w:rsid w:val="002149A4"/>
    <w:rsid w:val="002149FC"/>
    <w:rsid w:val="00214A6B"/>
    <w:rsid w:val="00214A8D"/>
    <w:rsid w:val="00214A9A"/>
    <w:rsid w:val="00214B31"/>
    <w:rsid w:val="00214BCF"/>
    <w:rsid w:val="00214C15"/>
    <w:rsid w:val="00214C33"/>
    <w:rsid w:val="00214C53"/>
    <w:rsid w:val="00214C66"/>
    <w:rsid w:val="00214CE9"/>
    <w:rsid w:val="00214CFC"/>
    <w:rsid w:val="00214D19"/>
    <w:rsid w:val="00214D1D"/>
    <w:rsid w:val="00214D8F"/>
    <w:rsid w:val="00214D91"/>
    <w:rsid w:val="00214E1C"/>
    <w:rsid w:val="00214E2F"/>
    <w:rsid w:val="00214E72"/>
    <w:rsid w:val="00214EF3"/>
    <w:rsid w:val="00214F19"/>
    <w:rsid w:val="00214F41"/>
    <w:rsid w:val="00214F55"/>
    <w:rsid w:val="00214F68"/>
    <w:rsid w:val="00214FB7"/>
    <w:rsid w:val="00214FF3"/>
    <w:rsid w:val="00215005"/>
    <w:rsid w:val="0021502C"/>
    <w:rsid w:val="00215084"/>
    <w:rsid w:val="002150B6"/>
    <w:rsid w:val="002150EF"/>
    <w:rsid w:val="0021511C"/>
    <w:rsid w:val="0021516F"/>
    <w:rsid w:val="00215193"/>
    <w:rsid w:val="00215199"/>
    <w:rsid w:val="00215230"/>
    <w:rsid w:val="00215245"/>
    <w:rsid w:val="00215267"/>
    <w:rsid w:val="00215268"/>
    <w:rsid w:val="00215282"/>
    <w:rsid w:val="002152FC"/>
    <w:rsid w:val="0021538C"/>
    <w:rsid w:val="002153A6"/>
    <w:rsid w:val="002153E2"/>
    <w:rsid w:val="0021544D"/>
    <w:rsid w:val="002154A8"/>
    <w:rsid w:val="002154D6"/>
    <w:rsid w:val="00215535"/>
    <w:rsid w:val="0021556C"/>
    <w:rsid w:val="00215588"/>
    <w:rsid w:val="0021559D"/>
    <w:rsid w:val="002155C1"/>
    <w:rsid w:val="002155D3"/>
    <w:rsid w:val="002155DB"/>
    <w:rsid w:val="002155EF"/>
    <w:rsid w:val="002155FF"/>
    <w:rsid w:val="00215614"/>
    <w:rsid w:val="00215647"/>
    <w:rsid w:val="0021566F"/>
    <w:rsid w:val="002156C9"/>
    <w:rsid w:val="0021572E"/>
    <w:rsid w:val="00215760"/>
    <w:rsid w:val="00215762"/>
    <w:rsid w:val="00215787"/>
    <w:rsid w:val="00215788"/>
    <w:rsid w:val="002157CE"/>
    <w:rsid w:val="002157CF"/>
    <w:rsid w:val="002157FD"/>
    <w:rsid w:val="0021581F"/>
    <w:rsid w:val="00215836"/>
    <w:rsid w:val="0021584D"/>
    <w:rsid w:val="0021585A"/>
    <w:rsid w:val="002158CC"/>
    <w:rsid w:val="002158D3"/>
    <w:rsid w:val="00215935"/>
    <w:rsid w:val="00215959"/>
    <w:rsid w:val="00215995"/>
    <w:rsid w:val="002159BF"/>
    <w:rsid w:val="00215A1A"/>
    <w:rsid w:val="00215A37"/>
    <w:rsid w:val="00215A59"/>
    <w:rsid w:val="00215AAF"/>
    <w:rsid w:val="00215AB8"/>
    <w:rsid w:val="00215ACD"/>
    <w:rsid w:val="00215AE1"/>
    <w:rsid w:val="00215AE2"/>
    <w:rsid w:val="00215B0B"/>
    <w:rsid w:val="00215B18"/>
    <w:rsid w:val="00215B20"/>
    <w:rsid w:val="00215B56"/>
    <w:rsid w:val="00215B5C"/>
    <w:rsid w:val="00215B76"/>
    <w:rsid w:val="00215BC6"/>
    <w:rsid w:val="00215BF4"/>
    <w:rsid w:val="00215CCE"/>
    <w:rsid w:val="00215D3B"/>
    <w:rsid w:val="00215DD2"/>
    <w:rsid w:val="00215DE6"/>
    <w:rsid w:val="00215E04"/>
    <w:rsid w:val="00215E36"/>
    <w:rsid w:val="00215E39"/>
    <w:rsid w:val="00215EB0"/>
    <w:rsid w:val="00215EB1"/>
    <w:rsid w:val="00215EDB"/>
    <w:rsid w:val="00215F20"/>
    <w:rsid w:val="00215F2E"/>
    <w:rsid w:val="00215F6F"/>
    <w:rsid w:val="00216026"/>
    <w:rsid w:val="0021606A"/>
    <w:rsid w:val="0021607B"/>
    <w:rsid w:val="002160AC"/>
    <w:rsid w:val="002160DB"/>
    <w:rsid w:val="0021610E"/>
    <w:rsid w:val="0021611E"/>
    <w:rsid w:val="00216144"/>
    <w:rsid w:val="00216169"/>
    <w:rsid w:val="0021619A"/>
    <w:rsid w:val="002161CB"/>
    <w:rsid w:val="002161D9"/>
    <w:rsid w:val="002161E7"/>
    <w:rsid w:val="00216213"/>
    <w:rsid w:val="0021621B"/>
    <w:rsid w:val="00216258"/>
    <w:rsid w:val="0021626A"/>
    <w:rsid w:val="002162A4"/>
    <w:rsid w:val="002162B8"/>
    <w:rsid w:val="002162D0"/>
    <w:rsid w:val="002162E1"/>
    <w:rsid w:val="00216310"/>
    <w:rsid w:val="00216318"/>
    <w:rsid w:val="0021633B"/>
    <w:rsid w:val="00216345"/>
    <w:rsid w:val="00216352"/>
    <w:rsid w:val="002163BA"/>
    <w:rsid w:val="002163D8"/>
    <w:rsid w:val="002163EC"/>
    <w:rsid w:val="002163F9"/>
    <w:rsid w:val="0021640E"/>
    <w:rsid w:val="0021644D"/>
    <w:rsid w:val="00216464"/>
    <w:rsid w:val="00216474"/>
    <w:rsid w:val="002164A1"/>
    <w:rsid w:val="002164FA"/>
    <w:rsid w:val="00216528"/>
    <w:rsid w:val="0021656F"/>
    <w:rsid w:val="00216589"/>
    <w:rsid w:val="002165A1"/>
    <w:rsid w:val="002165D9"/>
    <w:rsid w:val="0021670D"/>
    <w:rsid w:val="00216753"/>
    <w:rsid w:val="0021677A"/>
    <w:rsid w:val="002167FB"/>
    <w:rsid w:val="0021684B"/>
    <w:rsid w:val="00216901"/>
    <w:rsid w:val="00216907"/>
    <w:rsid w:val="00216929"/>
    <w:rsid w:val="00216931"/>
    <w:rsid w:val="0021694A"/>
    <w:rsid w:val="002169C0"/>
    <w:rsid w:val="002169D2"/>
    <w:rsid w:val="002169D7"/>
    <w:rsid w:val="002169EB"/>
    <w:rsid w:val="00216A59"/>
    <w:rsid w:val="00216A76"/>
    <w:rsid w:val="00216A79"/>
    <w:rsid w:val="00216B35"/>
    <w:rsid w:val="00216B40"/>
    <w:rsid w:val="00216B57"/>
    <w:rsid w:val="00216BA9"/>
    <w:rsid w:val="00216BE1"/>
    <w:rsid w:val="00216BFE"/>
    <w:rsid w:val="00216BFF"/>
    <w:rsid w:val="00216C1C"/>
    <w:rsid w:val="00216C30"/>
    <w:rsid w:val="00216C7C"/>
    <w:rsid w:val="00216C96"/>
    <w:rsid w:val="00216CB0"/>
    <w:rsid w:val="00216D08"/>
    <w:rsid w:val="00216D42"/>
    <w:rsid w:val="00216D77"/>
    <w:rsid w:val="00216DE7"/>
    <w:rsid w:val="00216DFF"/>
    <w:rsid w:val="00216E37"/>
    <w:rsid w:val="00216E55"/>
    <w:rsid w:val="00216E87"/>
    <w:rsid w:val="00216EA8"/>
    <w:rsid w:val="00216EC3"/>
    <w:rsid w:val="00216F17"/>
    <w:rsid w:val="00216F31"/>
    <w:rsid w:val="00216F5B"/>
    <w:rsid w:val="0021706D"/>
    <w:rsid w:val="00217086"/>
    <w:rsid w:val="002170AA"/>
    <w:rsid w:val="002170B5"/>
    <w:rsid w:val="00217161"/>
    <w:rsid w:val="00217165"/>
    <w:rsid w:val="0021718D"/>
    <w:rsid w:val="00217245"/>
    <w:rsid w:val="0021724F"/>
    <w:rsid w:val="0021725B"/>
    <w:rsid w:val="00217275"/>
    <w:rsid w:val="00217296"/>
    <w:rsid w:val="0021729F"/>
    <w:rsid w:val="002172E8"/>
    <w:rsid w:val="00217327"/>
    <w:rsid w:val="0021737C"/>
    <w:rsid w:val="002173A0"/>
    <w:rsid w:val="002173BC"/>
    <w:rsid w:val="00217412"/>
    <w:rsid w:val="0021742E"/>
    <w:rsid w:val="00217448"/>
    <w:rsid w:val="00217488"/>
    <w:rsid w:val="00217489"/>
    <w:rsid w:val="0021748C"/>
    <w:rsid w:val="0021750C"/>
    <w:rsid w:val="00217554"/>
    <w:rsid w:val="002175C0"/>
    <w:rsid w:val="00217623"/>
    <w:rsid w:val="00217641"/>
    <w:rsid w:val="0021767F"/>
    <w:rsid w:val="002176AF"/>
    <w:rsid w:val="002176B9"/>
    <w:rsid w:val="00217720"/>
    <w:rsid w:val="002177B6"/>
    <w:rsid w:val="002177BA"/>
    <w:rsid w:val="002177D3"/>
    <w:rsid w:val="002177E2"/>
    <w:rsid w:val="0021787D"/>
    <w:rsid w:val="002178AC"/>
    <w:rsid w:val="002178C1"/>
    <w:rsid w:val="002178FF"/>
    <w:rsid w:val="00217924"/>
    <w:rsid w:val="00217992"/>
    <w:rsid w:val="002179A4"/>
    <w:rsid w:val="00217A39"/>
    <w:rsid w:val="00217AB4"/>
    <w:rsid w:val="00217AB9"/>
    <w:rsid w:val="00217B06"/>
    <w:rsid w:val="00217B27"/>
    <w:rsid w:val="00217B78"/>
    <w:rsid w:val="00217CB7"/>
    <w:rsid w:val="00217CCF"/>
    <w:rsid w:val="00217CD5"/>
    <w:rsid w:val="00217D0D"/>
    <w:rsid w:val="00217DE2"/>
    <w:rsid w:val="00217DEB"/>
    <w:rsid w:val="00217DF7"/>
    <w:rsid w:val="00217E15"/>
    <w:rsid w:val="00217E19"/>
    <w:rsid w:val="00217E8C"/>
    <w:rsid w:val="00217EB1"/>
    <w:rsid w:val="00217EEF"/>
    <w:rsid w:val="00217F79"/>
    <w:rsid w:val="00217F80"/>
    <w:rsid w:val="00217F82"/>
    <w:rsid w:val="00220024"/>
    <w:rsid w:val="002200A3"/>
    <w:rsid w:val="002200B6"/>
    <w:rsid w:val="002200BB"/>
    <w:rsid w:val="002200DC"/>
    <w:rsid w:val="002200E9"/>
    <w:rsid w:val="0022011F"/>
    <w:rsid w:val="00220135"/>
    <w:rsid w:val="00220232"/>
    <w:rsid w:val="0022024C"/>
    <w:rsid w:val="0022028D"/>
    <w:rsid w:val="002202FB"/>
    <w:rsid w:val="00220304"/>
    <w:rsid w:val="00220318"/>
    <w:rsid w:val="00220337"/>
    <w:rsid w:val="0022034D"/>
    <w:rsid w:val="00220385"/>
    <w:rsid w:val="00220388"/>
    <w:rsid w:val="002203AB"/>
    <w:rsid w:val="002203AF"/>
    <w:rsid w:val="002203E7"/>
    <w:rsid w:val="00220435"/>
    <w:rsid w:val="0022044C"/>
    <w:rsid w:val="002204A4"/>
    <w:rsid w:val="00220506"/>
    <w:rsid w:val="00220513"/>
    <w:rsid w:val="002205A0"/>
    <w:rsid w:val="002205DE"/>
    <w:rsid w:val="00220615"/>
    <w:rsid w:val="0022063C"/>
    <w:rsid w:val="0022064F"/>
    <w:rsid w:val="00220665"/>
    <w:rsid w:val="00220688"/>
    <w:rsid w:val="00220690"/>
    <w:rsid w:val="002206DD"/>
    <w:rsid w:val="002206F7"/>
    <w:rsid w:val="00220723"/>
    <w:rsid w:val="00220814"/>
    <w:rsid w:val="00220854"/>
    <w:rsid w:val="0022089B"/>
    <w:rsid w:val="002209E0"/>
    <w:rsid w:val="00220A6F"/>
    <w:rsid w:val="00220A9B"/>
    <w:rsid w:val="00220AC3"/>
    <w:rsid w:val="00220B6B"/>
    <w:rsid w:val="00220B7B"/>
    <w:rsid w:val="00220B9E"/>
    <w:rsid w:val="00220BB2"/>
    <w:rsid w:val="00220BF6"/>
    <w:rsid w:val="00220C0B"/>
    <w:rsid w:val="00220C2F"/>
    <w:rsid w:val="00220C35"/>
    <w:rsid w:val="00220C90"/>
    <w:rsid w:val="00220CAE"/>
    <w:rsid w:val="00220D4F"/>
    <w:rsid w:val="00220D7F"/>
    <w:rsid w:val="00220DA9"/>
    <w:rsid w:val="00220DCD"/>
    <w:rsid w:val="00220DF7"/>
    <w:rsid w:val="00220E10"/>
    <w:rsid w:val="00220E54"/>
    <w:rsid w:val="00220E6B"/>
    <w:rsid w:val="00220E84"/>
    <w:rsid w:val="00220ECF"/>
    <w:rsid w:val="00220F1A"/>
    <w:rsid w:val="00220F3C"/>
    <w:rsid w:val="00220F66"/>
    <w:rsid w:val="00220FB7"/>
    <w:rsid w:val="00220FE4"/>
    <w:rsid w:val="00220FE7"/>
    <w:rsid w:val="00220FF8"/>
    <w:rsid w:val="00220FFA"/>
    <w:rsid w:val="00221055"/>
    <w:rsid w:val="002210B9"/>
    <w:rsid w:val="002210C5"/>
    <w:rsid w:val="002210E4"/>
    <w:rsid w:val="002210F4"/>
    <w:rsid w:val="0022111A"/>
    <w:rsid w:val="002211BA"/>
    <w:rsid w:val="00221216"/>
    <w:rsid w:val="00221232"/>
    <w:rsid w:val="00221245"/>
    <w:rsid w:val="00221260"/>
    <w:rsid w:val="002212BC"/>
    <w:rsid w:val="002212D6"/>
    <w:rsid w:val="002212E3"/>
    <w:rsid w:val="00221314"/>
    <w:rsid w:val="0022134A"/>
    <w:rsid w:val="0022136D"/>
    <w:rsid w:val="002213A7"/>
    <w:rsid w:val="0022141F"/>
    <w:rsid w:val="002214B6"/>
    <w:rsid w:val="002214D2"/>
    <w:rsid w:val="002214DE"/>
    <w:rsid w:val="002214F2"/>
    <w:rsid w:val="0022156B"/>
    <w:rsid w:val="00221646"/>
    <w:rsid w:val="00221660"/>
    <w:rsid w:val="002216B3"/>
    <w:rsid w:val="002216BA"/>
    <w:rsid w:val="002216D4"/>
    <w:rsid w:val="0022173C"/>
    <w:rsid w:val="00221746"/>
    <w:rsid w:val="00221755"/>
    <w:rsid w:val="002217AB"/>
    <w:rsid w:val="002217AC"/>
    <w:rsid w:val="002217B2"/>
    <w:rsid w:val="002217EC"/>
    <w:rsid w:val="00221807"/>
    <w:rsid w:val="00221831"/>
    <w:rsid w:val="00221852"/>
    <w:rsid w:val="00221874"/>
    <w:rsid w:val="0022189B"/>
    <w:rsid w:val="002218E4"/>
    <w:rsid w:val="002218F9"/>
    <w:rsid w:val="00221948"/>
    <w:rsid w:val="00221969"/>
    <w:rsid w:val="00221997"/>
    <w:rsid w:val="002219C2"/>
    <w:rsid w:val="00221A1B"/>
    <w:rsid w:val="00221AB7"/>
    <w:rsid w:val="00221AFF"/>
    <w:rsid w:val="00221B01"/>
    <w:rsid w:val="00221B10"/>
    <w:rsid w:val="00221B2D"/>
    <w:rsid w:val="00221B7A"/>
    <w:rsid w:val="00221C2B"/>
    <w:rsid w:val="00221C92"/>
    <w:rsid w:val="00221CBA"/>
    <w:rsid w:val="00221CC4"/>
    <w:rsid w:val="00221CDB"/>
    <w:rsid w:val="00221D1B"/>
    <w:rsid w:val="00221D36"/>
    <w:rsid w:val="00221D48"/>
    <w:rsid w:val="00221D93"/>
    <w:rsid w:val="00221E6C"/>
    <w:rsid w:val="00221E7F"/>
    <w:rsid w:val="00221E88"/>
    <w:rsid w:val="00221EAC"/>
    <w:rsid w:val="00221EC0"/>
    <w:rsid w:val="00221EDA"/>
    <w:rsid w:val="00221EE5"/>
    <w:rsid w:val="00221F5A"/>
    <w:rsid w:val="0022204C"/>
    <w:rsid w:val="00222067"/>
    <w:rsid w:val="0022206E"/>
    <w:rsid w:val="002220C3"/>
    <w:rsid w:val="0022210E"/>
    <w:rsid w:val="0022215E"/>
    <w:rsid w:val="00222200"/>
    <w:rsid w:val="0022220B"/>
    <w:rsid w:val="00222218"/>
    <w:rsid w:val="00222223"/>
    <w:rsid w:val="0022222C"/>
    <w:rsid w:val="0022225E"/>
    <w:rsid w:val="00222294"/>
    <w:rsid w:val="002222BC"/>
    <w:rsid w:val="00222324"/>
    <w:rsid w:val="00222338"/>
    <w:rsid w:val="0022238C"/>
    <w:rsid w:val="002223D8"/>
    <w:rsid w:val="00222428"/>
    <w:rsid w:val="0022244F"/>
    <w:rsid w:val="0022247D"/>
    <w:rsid w:val="0022248E"/>
    <w:rsid w:val="002224B8"/>
    <w:rsid w:val="00222523"/>
    <w:rsid w:val="002225F1"/>
    <w:rsid w:val="002225F7"/>
    <w:rsid w:val="00222602"/>
    <w:rsid w:val="00222663"/>
    <w:rsid w:val="00222668"/>
    <w:rsid w:val="0022267B"/>
    <w:rsid w:val="00222680"/>
    <w:rsid w:val="0022268B"/>
    <w:rsid w:val="002226DB"/>
    <w:rsid w:val="00222704"/>
    <w:rsid w:val="00222727"/>
    <w:rsid w:val="00222802"/>
    <w:rsid w:val="00222813"/>
    <w:rsid w:val="00222829"/>
    <w:rsid w:val="0022284D"/>
    <w:rsid w:val="00222877"/>
    <w:rsid w:val="002228CF"/>
    <w:rsid w:val="002228DF"/>
    <w:rsid w:val="00222967"/>
    <w:rsid w:val="0022296D"/>
    <w:rsid w:val="002229C4"/>
    <w:rsid w:val="002229F2"/>
    <w:rsid w:val="002229FD"/>
    <w:rsid w:val="00222A14"/>
    <w:rsid w:val="00222A2F"/>
    <w:rsid w:val="00222A31"/>
    <w:rsid w:val="00222A47"/>
    <w:rsid w:val="00222A8D"/>
    <w:rsid w:val="00222A99"/>
    <w:rsid w:val="00222AF8"/>
    <w:rsid w:val="00222B00"/>
    <w:rsid w:val="00222C17"/>
    <w:rsid w:val="00222C99"/>
    <w:rsid w:val="00222CC7"/>
    <w:rsid w:val="00222E11"/>
    <w:rsid w:val="00222E28"/>
    <w:rsid w:val="00222E3B"/>
    <w:rsid w:val="00222ECE"/>
    <w:rsid w:val="00222ED8"/>
    <w:rsid w:val="00222F5B"/>
    <w:rsid w:val="00222F81"/>
    <w:rsid w:val="00222F87"/>
    <w:rsid w:val="00222F92"/>
    <w:rsid w:val="00222F99"/>
    <w:rsid w:val="00222FA5"/>
    <w:rsid w:val="00222FD5"/>
    <w:rsid w:val="00222FF5"/>
    <w:rsid w:val="0022303B"/>
    <w:rsid w:val="0022307B"/>
    <w:rsid w:val="00223091"/>
    <w:rsid w:val="002230C5"/>
    <w:rsid w:val="0022310E"/>
    <w:rsid w:val="0022319A"/>
    <w:rsid w:val="002231BB"/>
    <w:rsid w:val="0022324F"/>
    <w:rsid w:val="00223251"/>
    <w:rsid w:val="00223255"/>
    <w:rsid w:val="00223298"/>
    <w:rsid w:val="002232AD"/>
    <w:rsid w:val="002232C6"/>
    <w:rsid w:val="002232F8"/>
    <w:rsid w:val="002233E1"/>
    <w:rsid w:val="00223423"/>
    <w:rsid w:val="0022347C"/>
    <w:rsid w:val="00223482"/>
    <w:rsid w:val="002234A1"/>
    <w:rsid w:val="002234BC"/>
    <w:rsid w:val="002234C9"/>
    <w:rsid w:val="002234FA"/>
    <w:rsid w:val="00223542"/>
    <w:rsid w:val="0022354C"/>
    <w:rsid w:val="00223559"/>
    <w:rsid w:val="00223570"/>
    <w:rsid w:val="0022359F"/>
    <w:rsid w:val="002235B8"/>
    <w:rsid w:val="002235E9"/>
    <w:rsid w:val="00223630"/>
    <w:rsid w:val="00223642"/>
    <w:rsid w:val="0022365C"/>
    <w:rsid w:val="00223674"/>
    <w:rsid w:val="00223677"/>
    <w:rsid w:val="0022367F"/>
    <w:rsid w:val="00223680"/>
    <w:rsid w:val="00223696"/>
    <w:rsid w:val="002236C6"/>
    <w:rsid w:val="00223706"/>
    <w:rsid w:val="00223745"/>
    <w:rsid w:val="0022374B"/>
    <w:rsid w:val="0022378E"/>
    <w:rsid w:val="002237A5"/>
    <w:rsid w:val="0022389F"/>
    <w:rsid w:val="002238A3"/>
    <w:rsid w:val="00223925"/>
    <w:rsid w:val="0022393A"/>
    <w:rsid w:val="0022393E"/>
    <w:rsid w:val="0022399A"/>
    <w:rsid w:val="0022399D"/>
    <w:rsid w:val="002239D0"/>
    <w:rsid w:val="002239DD"/>
    <w:rsid w:val="002239E1"/>
    <w:rsid w:val="00223A73"/>
    <w:rsid w:val="00223A92"/>
    <w:rsid w:val="00223AB5"/>
    <w:rsid w:val="00223AE8"/>
    <w:rsid w:val="00223B25"/>
    <w:rsid w:val="00223B88"/>
    <w:rsid w:val="00223BC9"/>
    <w:rsid w:val="00223BDC"/>
    <w:rsid w:val="00223BF9"/>
    <w:rsid w:val="00223C02"/>
    <w:rsid w:val="00223C0E"/>
    <w:rsid w:val="00223C18"/>
    <w:rsid w:val="00223C7C"/>
    <w:rsid w:val="00223C83"/>
    <w:rsid w:val="00223C8B"/>
    <w:rsid w:val="00223CBA"/>
    <w:rsid w:val="00223CC0"/>
    <w:rsid w:val="00223CD6"/>
    <w:rsid w:val="00223CDD"/>
    <w:rsid w:val="00223CEE"/>
    <w:rsid w:val="00223D23"/>
    <w:rsid w:val="00223DFA"/>
    <w:rsid w:val="00223E1C"/>
    <w:rsid w:val="00223E28"/>
    <w:rsid w:val="00223E6E"/>
    <w:rsid w:val="00223E70"/>
    <w:rsid w:val="00223E71"/>
    <w:rsid w:val="00223E9E"/>
    <w:rsid w:val="00223EAB"/>
    <w:rsid w:val="00223F7C"/>
    <w:rsid w:val="00223F7F"/>
    <w:rsid w:val="00223F8B"/>
    <w:rsid w:val="00223FE2"/>
    <w:rsid w:val="00223FFA"/>
    <w:rsid w:val="00224044"/>
    <w:rsid w:val="00224066"/>
    <w:rsid w:val="0022406F"/>
    <w:rsid w:val="002240A7"/>
    <w:rsid w:val="002240BB"/>
    <w:rsid w:val="002240D5"/>
    <w:rsid w:val="00224116"/>
    <w:rsid w:val="00224144"/>
    <w:rsid w:val="0022416E"/>
    <w:rsid w:val="00224184"/>
    <w:rsid w:val="002241B3"/>
    <w:rsid w:val="0022420A"/>
    <w:rsid w:val="0022420E"/>
    <w:rsid w:val="0022421E"/>
    <w:rsid w:val="00224260"/>
    <w:rsid w:val="00224276"/>
    <w:rsid w:val="002242E0"/>
    <w:rsid w:val="002242E6"/>
    <w:rsid w:val="00224321"/>
    <w:rsid w:val="00224366"/>
    <w:rsid w:val="00224380"/>
    <w:rsid w:val="002243A3"/>
    <w:rsid w:val="002243B8"/>
    <w:rsid w:val="002243C1"/>
    <w:rsid w:val="002243CB"/>
    <w:rsid w:val="002243D3"/>
    <w:rsid w:val="002244A9"/>
    <w:rsid w:val="002244D2"/>
    <w:rsid w:val="002244D3"/>
    <w:rsid w:val="002244F1"/>
    <w:rsid w:val="00224579"/>
    <w:rsid w:val="002245C7"/>
    <w:rsid w:val="00224613"/>
    <w:rsid w:val="0022463F"/>
    <w:rsid w:val="0022468F"/>
    <w:rsid w:val="00224698"/>
    <w:rsid w:val="002246A6"/>
    <w:rsid w:val="002246F0"/>
    <w:rsid w:val="00224707"/>
    <w:rsid w:val="002247B7"/>
    <w:rsid w:val="00224844"/>
    <w:rsid w:val="0022484E"/>
    <w:rsid w:val="00224850"/>
    <w:rsid w:val="0022485B"/>
    <w:rsid w:val="002248D2"/>
    <w:rsid w:val="002248D5"/>
    <w:rsid w:val="002248FA"/>
    <w:rsid w:val="00224928"/>
    <w:rsid w:val="00224988"/>
    <w:rsid w:val="002249A8"/>
    <w:rsid w:val="00224A37"/>
    <w:rsid w:val="00224A69"/>
    <w:rsid w:val="00224A73"/>
    <w:rsid w:val="00224A8B"/>
    <w:rsid w:val="00224AAF"/>
    <w:rsid w:val="00224AE4"/>
    <w:rsid w:val="00224B57"/>
    <w:rsid w:val="00224B7A"/>
    <w:rsid w:val="00224B81"/>
    <w:rsid w:val="00224B99"/>
    <w:rsid w:val="00224C1E"/>
    <w:rsid w:val="00224C45"/>
    <w:rsid w:val="00224C4B"/>
    <w:rsid w:val="00224C76"/>
    <w:rsid w:val="00224CE2"/>
    <w:rsid w:val="00224CEA"/>
    <w:rsid w:val="00224D10"/>
    <w:rsid w:val="00224D13"/>
    <w:rsid w:val="00224D32"/>
    <w:rsid w:val="00224DFC"/>
    <w:rsid w:val="00224E27"/>
    <w:rsid w:val="00224E53"/>
    <w:rsid w:val="00224E7B"/>
    <w:rsid w:val="00224E8C"/>
    <w:rsid w:val="00224E93"/>
    <w:rsid w:val="00224E99"/>
    <w:rsid w:val="00224ED4"/>
    <w:rsid w:val="00224ED9"/>
    <w:rsid w:val="00224EF7"/>
    <w:rsid w:val="00224F05"/>
    <w:rsid w:val="00224F1A"/>
    <w:rsid w:val="00224F26"/>
    <w:rsid w:val="00224F87"/>
    <w:rsid w:val="00224FD4"/>
    <w:rsid w:val="00225033"/>
    <w:rsid w:val="0022506A"/>
    <w:rsid w:val="0022508D"/>
    <w:rsid w:val="0022511A"/>
    <w:rsid w:val="00225171"/>
    <w:rsid w:val="0022517F"/>
    <w:rsid w:val="002251A9"/>
    <w:rsid w:val="002251B0"/>
    <w:rsid w:val="0022525E"/>
    <w:rsid w:val="002252C3"/>
    <w:rsid w:val="002252E6"/>
    <w:rsid w:val="002252EE"/>
    <w:rsid w:val="00225331"/>
    <w:rsid w:val="0022536F"/>
    <w:rsid w:val="0022542D"/>
    <w:rsid w:val="0022544B"/>
    <w:rsid w:val="002254D6"/>
    <w:rsid w:val="002254DA"/>
    <w:rsid w:val="00225544"/>
    <w:rsid w:val="00225546"/>
    <w:rsid w:val="0022555E"/>
    <w:rsid w:val="00225587"/>
    <w:rsid w:val="002255BD"/>
    <w:rsid w:val="002255DA"/>
    <w:rsid w:val="00225634"/>
    <w:rsid w:val="0022564A"/>
    <w:rsid w:val="00225674"/>
    <w:rsid w:val="00225697"/>
    <w:rsid w:val="002256D9"/>
    <w:rsid w:val="002256DF"/>
    <w:rsid w:val="00225728"/>
    <w:rsid w:val="00225747"/>
    <w:rsid w:val="00225772"/>
    <w:rsid w:val="00225781"/>
    <w:rsid w:val="002257F7"/>
    <w:rsid w:val="0022580C"/>
    <w:rsid w:val="00225864"/>
    <w:rsid w:val="00225876"/>
    <w:rsid w:val="002258D2"/>
    <w:rsid w:val="002258EB"/>
    <w:rsid w:val="0022590F"/>
    <w:rsid w:val="00225919"/>
    <w:rsid w:val="00225948"/>
    <w:rsid w:val="00225961"/>
    <w:rsid w:val="002259AA"/>
    <w:rsid w:val="002259C2"/>
    <w:rsid w:val="002259E9"/>
    <w:rsid w:val="00225A3B"/>
    <w:rsid w:val="00225A5E"/>
    <w:rsid w:val="00225A6B"/>
    <w:rsid w:val="00225A90"/>
    <w:rsid w:val="00225AD9"/>
    <w:rsid w:val="00225AFC"/>
    <w:rsid w:val="00225B11"/>
    <w:rsid w:val="00225B57"/>
    <w:rsid w:val="00225BBD"/>
    <w:rsid w:val="00225C4B"/>
    <w:rsid w:val="00225D0E"/>
    <w:rsid w:val="00225D5C"/>
    <w:rsid w:val="00225D83"/>
    <w:rsid w:val="00225DA8"/>
    <w:rsid w:val="00225E27"/>
    <w:rsid w:val="00225E32"/>
    <w:rsid w:val="00225E59"/>
    <w:rsid w:val="00225EC1"/>
    <w:rsid w:val="00225EE6"/>
    <w:rsid w:val="00225F1C"/>
    <w:rsid w:val="00225F60"/>
    <w:rsid w:val="0022600D"/>
    <w:rsid w:val="00226032"/>
    <w:rsid w:val="0022603A"/>
    <w:rsid w:val="0022610F"/>
    <w:rsid w:val="00226182"/>
    <w:rsid w:val="002261AE"/>
    <w:rsid w:val="002261D9"/>
    <w:rsid w:val="002261F2"/>
    <w:rsid w:val="0022620D"/>
    <w:rsid w:val="00226267"/>
    <w:rsid w:val="0022626B"/>
    <w:rsid w:val="00226297"/>
    <w:rsid w:val="002262BD"/>
    <w:rsid w:val="00226315"/>
    <w:rsid w:val="0022631B"/>
    <w:rsid w:val="0022634A"/>
    <w:rsid w:val="002263A9"/>
    <w:rsid w:val="0022642F"/>
    <w:rsid w:val="00226443"/>
    <w:rsid w:val="00226454"/>
    <w:rsid w:val="00226469"/>
    <w:rsid w:val="002264AC"/>
    <w:rsid w:val="002264B3"/>
    <w:rsid w:val="002264DD"/>
    <w:rsid w:val="00226509"/>
    <w:rsid w:val="00226573"/>
    <w:rsid w:val="0022658F"/>
    <w:rsid w:val="0022659B"/>
    <w:rsid w:val="00226661"/>
    <w:rsid w:val="0022668C"/>
    <w:rsid w:val="002266C4"/>
    <w:rsid w:val="002266FA"/>
    <w:rsid w:val="002266FC"/>
    <w:rsid w:val="00226713"/>
    <w:rsid w:val="00226731"/>
    <w:rsid w:val="0022676D"/>
    <w:rsid w:val="002267AB"/>
    <w:rsid w:val="002267D9"/>
    <w:rsid w:val="002267FE"/>
    <w:rsid w:val="0022685A"/>
    <w:rsid w:val="00226879"/>
    <w:rsid w:val="002268C8"/>
    <w:rsid w:val="002268F6"/>
    <w:rsid w:val="00226919"/>
    <w:rsid w:val="00226921"/>
    <w:rsid w:val="00226926"/>
    <w:rsid w:val="00226982"/>
    <w:rsid w:val="002269DA"/>
    <w:rsid w:val="002269F1"/>
    <w:rsid w:val="00226A92"/>
    <w:rsid w:val="00226A9C"/>
    <w:rsid w:val="00226AC8"/>
    <w:rsid w:val="00226AEB"/>
    <w:rsid w:val="00226B0F"/>
    <w:rsid w:val="00226B32"/>
    <w:rsid w:val="00226B33"/>
    <w:rsid w:val="00226B42"/>
    <w:rsid w:val="00226BF5"/>
    <w:rsid w:val="00226C1B"/>
    <w:rsid w:val="00226C7D"/>
    <w:rsid w:val="00226CC5"/>
    <w:rsid w:val="00226D06"/>
    <w:rsid w:val="00226D08"/>
    <w:rsid w:val="00226D11"/>
    <w:rsid w:val="00226D56"/>
    <w:rsid w:val="00226DAE"/>
    <w:rsid w:val="00226E11"/>
    <w:rsid w:val="00226E13"/>
    <w:rsid w:val="00226E71"/>
    <w:rsid w:val="00226EC7"/>
    <w:rsid w:val="00226EE9"/>
    <w:rsid w:val="00226F25"/>
    <w:rsid w:val="00226F27"/>
    <w:rsid w:val="00226F6C"/>
    <w:rsid w:val="00226F7D"/>
    <w:rsid w:val="00226FCB"/>
    <w:rsid w:val="00226FF7"/>
    <w:rsid w:val="00227083"/>
    <w:rsid w:val="002270A5"/>
    <w:rsid w:val="002270C5"/>
    <w:rsid w:val="00227148"/>
    <w:rsid w:val="0022714F"/>
    <w:rsid w:val="00227249"/>
    <w:rsid w:val="00227272"/>
    <w:rsid w:val="002272A7"/>
    <w:rsid w:val="002272AE"/>
    <w:rsid w:val="002272B2"/>
    <w:rsid w:val="002272BC"/>
    <w:rsid w:val="002272C1"/>
    <w:rsid w:val="002272D8"/>
    <w:rsid w:val="002272F0"/>
    <w:rsid w:val="00227307"/>
    <w:rsid w:val="00227328"/>
    <w:rsid w:val="00227362"/>
    <w:rsid w:val="002273D0"/>
    <w:rsid w:val="002273D8"/>
    <w:rsid w:val="002273DF"/>
    <w:rsid w:val="002273E6"/>
    <w:rsid w:val="002273F0"/>
    <w:rsid w:val="002273F5"/>
    <w:rsid w:val="002273FE"/>
    <w:rsid w:val="00227407"/>
    <w:rsid w:val="0022740A"/>
    <w:rsid w:val="0022743D"/>
    <w:rsid w:val="00227440"/>
    <w:rsid w:val="0022745A"/>
    <w:rsid w:val="00227462"/>
    <w:rsid w:val="002274BF"/>
    <w:rsid w:val="0022750D"/>
    <w:rsid w:val="00227580"/>
    <w:rsid w:val="00227583"/>
    <w:rsid w:val="002275B0"/>
    <w:rsid w:val="002275DB"/>
    <w:rsid w:val="00227607"/>
    <w:rsid w:val="0022760C"/>
    <w:rsid w:val="00227612"/>
    <w:rsid w:val="0022768A"/>
    <w:rsid w:val="002276D8"/>
    <w:rsid w:val="002276F1"/>
    <w:rsid w:val="00227713"/>
    <w:rsid w:val="0022774C"/>
    <w:rsid w:val="002277AD"/>
    <w:rsid w:val="00227801"/>
    <w:rsid w:val="00227829"/>
    <w:rsid w:val="0022782E"/>
    <w:rsid w:val="00227877"/>
    <w:rsid w:val="0022788E"/>
    <w:rsid w:val="002278C0"/>
    <w:rsid w:val="002278C5"/>
    <w:rsid w:val="002278D3"/>
    <w:rsid w:val="002278E7"/>
    <w:rsid w:val="002278F0"/>
    <w:rsid w:val="00227945"/>
    <w:rsid w:val="00227956"/>
    <w:rsid w:val="0022797C"/>
    <w:rsid w:val="002279FA"/>
    <w:rsid w:val="00227A27"/>
    <w:rsid w:val="00227AA5"/>
    <w:rsid w:val="00227ABE"/>
    <w:rsid w:val="00227B58"/>
    <w:rsid w:val="00227B61"/>
    <w:rsid w:val="00227B9A"/>
    <w:rsid w:val="00227BC1"/>
    <w:rsid w:val="00227BE1"/>
    <w:rsid w:val="00227BF1"/>
    <w:rsid w:val="00227C2E"/>
    <w:rsid w:val="00227C3B"/>
    <w:rsid w:val="00227C50"/>
    <w:rsid w:val="00227C66"/>
    <w:rsid w:val="00227C79"/>
    <w:rsid w:val="00227C8F"/>
    <w:rsid w:val="00227CFE"/>
    <w:rsid w:val="00227D2B"/>
    <w:rsid w:val="00227D42"/>
    <w:rsid w:val="00227D53"/>
    <w:rsid w:val="00227D66"/>
    <w:rsid w:val="00227D9D"/>
    <w:rsid w:val="00227DC2"/>
    <w:rsid w:val="00227DDB"/>
    <w:rsid w:val="00227E78"/>
    <w:rsid w:val="00227E9D"/>
    <w:rsid w:val="00227F09"/>
    <w:rsid w:val="00227F65"/>
    <w:rsid w:val="00227FFD"/>
    <w:rsid w:val="00230004"/>
    <w:rsid w:val="00230089"/>
    <w:rsid w:val="002300A9"/>
    <w:rsid w:val="0023017E"/>
    <w:rsid w:val="0023017F"/>
    <w:rsid w:val="002301B1"/>
    <w:rsid w:val="002301FE"/>
    <w:rsid w:val="00230259"/>
    <w:rsid w:val="00230273"/>
    <w:rsid w:val="002302A3"/>
    <w:rsid w:val="00230302"/>
    <w:rsid w:val="00230393"/>
    <w:rsid w:val="002303F2"/>
    <w:rsid w:val="0023042E"/>
    <w:rsid w:val="00230458"/>
    <w:rsid w:val="00230473"/>
    <w:rsid w:val="002304A6"/>
    <w:rsid w:val="002304C5"/>
    <w:rsid w:val="0023050A"/>
    <w:rsid w:val="0023051A"/>
    <w:rsid w:val="00230557"/>
    <w:rsid w:val="0023055E"/>
    <w:rsid w:val="0023057E"/>
    <w:rsid w:val="00230581"/>
    <w:rsid w:val="00230604"/>
    <w:rsid w:val="00230618"/>
    <w:rsid w:val="00230620"/>
    <w:rsid w:val="0023063B"/>
    <w:rsid w:val="002306A4"/>
    <w:rsid w:val="00230795"/>
    <w:rsid w:val="002307C6"/>
    <w:rsid w:val="002307CC"/>
    <w:rsid w:val="002307CD"/>
    <w:rsid w:val="002307DC"/>
    <w:rsid w:val="0023084B"/>
    <w:rsid w:val="00230863"/>
    <w:rsid w:val="0023087D"/>
    <w:rsid w:val="002308A4"/>
    <w:rsid w:val="002308BB"/>
    <w:rsid w:val="002308CC"/>
    <w:rsid w:val="002308D2"/>
    <w:rsid w:val="002309CC"/>
    <w:rsid w:val="002309D6"/>
    <w:rsid w:val="002309F6"/>
    <w:rsid w:val="00230A8F"/>
    <w:rsid w:val="00230AD6"/>
    <w:rsid w:val="00230AF5"/>
    <w:rsid w:val="00230B1B"/>
    <w:rsid w:val="00230B47"/>
    <w:rsid w:val="00230BC3"/>
    <w:rsid w:val="00230BEE"/>
    <w:rsid w:val="00230C05"/>
    <w:rsid w:val="00230C1B"/>
    <w:rsid w:val="00230C42"/>
    <w:rsid w:val="00230C75"/>
    <w:rsid w:val="00230C91"/>
    <w:rsid w:val="00230C9F"/>
    <w:rsid w:val="00230CB2"/>
    <w:rsid w:val="00230CE7"/>
    <w:rsid w:val="00230D84"/>
    <w:rsid w:val="00230DDD"/>
    <w:rsid w:val="00230EAF"/>
    <w:rsid w:val="00230EDA"/>
    <w:rsid w:val="00230EE8"/>
    <w:rsid w:val="00230F71"/>
    <w:rsid w:val="00230FB0"/>
    <w:rsid w:val="00230FC7"/>
    <w:rsid w:val="00230FD8"/>
    <w:rsid w:val="00230FE6"/>
    <w:rsid w:val="0023101D"/>
    <w:rsid w:val="00231049"/>
    <w:rsid w:val="0023109C"/>
    <w:rsid w:val="0023110E"/>
    <w:rsid w:val="0023112B"/>
    <w:rsid w:val="00231136"/>
    <w:rsid w:val="00231186"/>
    <w:rsid w:val="00231198"/>
    <w:rsid w:val="00231219"/>
    <w:rsid w:val="00231228"/>
    <w:rsid w:val="0023122E"/>
    <w:rsid w:val="00231249"/>
    <w:rsid w:val="002312DF"/>
    <w:rsid w:val="00231311"/>
    <w:rsid w:val="00231325"/>
    <w:rsid w:val="0023135D"/>
    <w:rsid w:val="00231394"/>
    <w:rsid w:val="002313B5"/>
    <w:rsid w:val="002313D6"/>
    <w:rsid w:val="00231400"/>
    <w:rsid w:val="0023143D"/>
    <w:rsid w:val="00231484"/>
    <w:rsid w:val="002314B1"/>
    <w:rsid w:val="002314D2"/>
    <w:rsid w:val="002314F7"/>
    <w:rsid w:val="00231506"/>
    <w:rsid w:val="0023151E"/>
    <w:rsid w:val="0023156B"/>
    <w:rsid w:val="002315D2"/>
    <w:rsid w:val="002315FA"/>
    <w:rsid w:val="00231610"/>
    <w:rsid w:val="00231618"/>
    <w:rsid w:val="00231619"/>
    <w:rsid w:val="00231656"/>
    <w:rsid w:val="00231660"/>
    <w:rsid w:val="0023167B"/>
    <w:rsid w:val="00231698"/>
    <w:rsid w:val="002316BB"/>
    <w:rsid w:val="002316D9"/>
    <w:rsid w:val="0023173F"/>
    <w:rsid w:val="0023174E"/>
    <w:rsid w:val="00231787"/>
    <w:rsid w:val="0023178A"/>
    <w:rsid w:val="002317E0"/>
    <w:rsid w:val="002317E4"/>
    <w:rsid w:val="0023181F"/>
    <w:rsid w:val="0023185A"/>
    <w:rsid w:val="0023185F"/>
    <w:rsid w:val="002318A4"/>
    <w:rsid w:val="002318D5"/>
    <w:rsid w:val="00231906"/>
    <w:rsid w:val="00231978"/>
    <w:rsid w:val="00231982"/>
    <w:rsid w:val="002319AE"/>
    <w:rsid w:val="00231A0F"/>
    <w:rsid w:val="00231A26"/>
    <w:rsid w:val="00231A5C"/>
    <w:rsid w:val="00231AC6"/>
    <w:rsid w:val="00231ADA"/>
    <w:rsid w:val="00231AE1"/>
    <w:rsid w:val="00231B38"/>
    <w:rsid w:val="00231C23"/>
    <w:rsid w:val="00231C50"/>
    <w:rsid w:val="00231C60"/>
    <w:rsid w:val="00231CA0"/>
    <w:rsid w:val="00231CC3"/>
    <w:rsid w:val="00231CDC"/>
    <w:rsid w:val="00231D0D"/>
    <w:rsid w:val="00231DB9"/>
    <w:rsid w:val="00231EAB"/>
    <w:rsid w:val="00231EC2"/>
    <w:rsid w:val="00231EFD"/>
    <w:rsid w:val="00231F14"/>
    <w:rsid w:val="00231F23"/>
    <w:rsid w:val="00231F3A"/>
    <w:rsid w:val="00231F51"/>
    <w:rsid w:val="00231F54"/>
    <w:rsid w:val="00231F55"/>
    <w:rsid w:val="00231F7E"/>
    <w:rsid w:val="00231F95"/>
    <w:rsid w:val="00231FAE"/>
    <w:rsid w:val="00231FC6"/>
    <w:rsid w:val="00231FCC"/>
    <w:rsid w:val="00231FD4"/>
    <w:rsid w:val="0023210E"/>
    <w:rsid w:val="00232139"/>
    <w:rsid w:val="00232167"/>
    <w:rsid w:val="0023220C"/>
    <w:rsid w:val="00232240"/>
    <w:rsid w:val="00232288"/>
    <w:rsid w:val="00232295"/>
    <w:rsid w:val="002322A0"/>
    <w:rsid w:val="002322F8"/>
    <w:rsid w:val="0023234D"/>
    <w:rsid w:val="002323AB"/>
    <w:rsid w:val="002323D9"/>
    <w:rsid w:val="002323FC"/>
    <w:rsid w:val="0023244B"/>
    <w:rsid w:val="002324DF"/>
    <w:rsid w:val="002324F7"/>
    <w:rsid w:val="002324FD"/>
    <w:rsid w:val="00232541"/>
    <w:rsid w:val="002325B2"/>
    <w:rsid w:val="002325E7"/>
    <w:rsid w:val="00232601"/>
    <w:rsid w:val="0023260A"/>
    <w:rsid w:val="00232649"/>
    <w:rsid w:val="002326BC"/>
    <w:rsid w:val="00232723"/>
    <w:rsid w:val="0023278D"/>
    <w:rsid w:val="0023279B"/>
    <w:rsid w:val="002327A7"/>
    <w:rsid w:val="002327C0"/>
    <w:rsid w:val="002327C6"/>
    <w:rsid w:val="00232801"/>
    <w:rsid w:val="0023284A"/>
    <w:rsid w:val="0023284B"/>
    <w:rsid w:val="0023288A"/>
    <w:rsid w:val="00232968"/>
    <w:rsid w:val="002329D9"/>
    <w:rsid w:val="002329DD"/>
    <w:rsid w:val="002329DF"/>
    <w:rsid w:val="002329FE"/>
    <w:rsid w:val="00232A5C"/>
    <w:rsid w:val="00232A78"/>
    <w:rsid w:val="00232A87"/>
    <w:rsid w:val="00232AE5"/>
    <w:rsid w:val="00232AEB"/>
    <w:rsid w:val="00232AFE"/>
    <w:rsid w:val="00232B18"/>
    <w:rsid w:val="00232B46"/>
    <w:rsid w:val="00232B9A"/>
    <w:rsid w:val="00232BAB"/>
    <w:rsid w:val="00232BCA"/>
    <w:rsid w:val="00232BF8"/>
    <w:rsid w:val="00232C03"/>
    <w:rsid w:val="00232C05"/>
    <w:rsid w:val="00232C11"/>
    <w:rsid w:val="00232C1B"/>
    <w:rsid w:val="00232C7F"/>
    <w:rsid w:val="00232C87"/>
    <w:rsid w:val="00232D1D"/>
    <w:rsid w:val="00232D22"/>
    <w:rsid w:val="00232DAA"/>
    <w:rsid w:val="00232DE0"/>
    <w:rsid w:val="00232E0C"/>
    <w:rsid w:val="00232E16"/>
    <w:rsid w:val="00232E31"/>
    <w:rsid w:val="00232E36"/>
    <w:rsid w:val="00232E52"/>
    <w:rsid w:val="00232E62"/>
    <w:rsid w:val="00232E65"/>
    <w:rsid w:val="00232EC2"/>
    <w:rsid w:val="00232EC6"/>
    <w:rsid w:val="00232F56"/>
    <w:rsid w:val="00232FE6"/>
    <w:rsid w:val="0023305C"/>
    <w:rsid w:val="002330CC"/>
    <w:rsid w:val="002330D1"/>
    <w:rsid w:val="0023310C"/>
    <w:rsid w:val="00233152"/>
    <w:rsid w:val="00233234"/>
    <w:rsid w:val="0023324D"/>
    <w:rsid w:val="0023325B"/>
    <w:rsid w:val="0023325F"/>
    <w:rsid w:val="00233265"/>
    <w:rsid w:val="00233268"/>
    <w:rsid w:val="0023326F"/>
    <w:rsid w:val="00233280"/>
    <w:rsid w:val="0023328D"/>
    <w:rsid w:val="002332EF"/>
    <w:rsid w:val="00233312"/>
    <w:rsid w:val="00233344"/>
    <w:rsid w:val="002333C3"/>
    <w:rsid w:val="002333D1"/>
    <w:rsid w:val="002333EB"/>
    <w:rsid w:val="002333F3"/>
    <w:rsid w:val="00233406"/>
    <w:rsid w:val="0023341B"/>
    <w:rsid w:val="00233436"/>
    <w:rsid w:val="0023347D"/>
    <w:rsid w:val="00233494"/>
    <w:rsid w:val="002334D2"/>
    <w:rsid w:val="002334D4"/>
    <w:rsid w:val="00233562"/>
    <w:rsid w:val="002335F3"/>
    <w:rsid w:val="00233602"/>
    <w:rsid w:val="00233606"/>
    <w:rsid w:val="00233657"/>
    <w:rsid w:val="00233682"/>
    <w:rsid w:val="002336AF"/>
    <w:rsid w:val="002336CA"/>
    <w:rsid w:val="00233728"/>
    <w:rsid w:val="00233744"/>
    <w:rsid w:val="002337AC"/>
    <w:rsid w:val="002337BA"/>
    <w:rsid w:val="00233808"/>
    <w:rsid w:val="0023380A"/>
    <w:rsid w:val="00233812"/>
    <w:rsid w:val="00233872"/>
    <w:rsid w:val="0023387E"/>
    <w:rsid w:val="00233892"/>
    <w:rsid w:val="002338D9"/>
    <w:rsid w:val="002338E1"/>
    <w:rsid w:val="002338F1"/>
    <w:rsid w:val="0023393A"/>
    <w:rsid w:val="00233961"/>
    <w:rsid w:val="00233977"/>
    <w:rsid w:val="002339C6"/>
    <w:rsid w:val="002339E8"/>
    <w:rsid w:val="00233A53"/>
    <w:rsid w:val="00233AA8"/>
    <w:rsid w:val="00233AF6"/>
    <w:rsid w:val="00233B78"/>
    <w:rsid w:val="00233B94"/>
    <w:rsid w:val="00233BD0"/>
    <w:rsid w:val="00233C08"/>
    <w:rsid w:val="00233C17"/>
    <w:rsid w:val="00233C31"/>
    <w:rsid w:val="00233C5B"/>
    <w:rsid w:val="00233C9F"/>
    <w:rsid w:val="00233CA3"/>
    <w:rsid w:val="00233CB7"/>
    <w:rsid w:val="00233CEF"/>
    <w:rsid w:val="00233CF7"/>
    <w:rsid w:val="00233D27"/>
    <w:rsid w:val="00233D2B"/>
    <w:rsid w:val="00233D4C"/>
    <w:rsid w:val="00233DBD"/>
    <w:rsid w:val="00233DC0"/>
    <w:rsid w:val="00233E48"/>
    <w:rsid w:val="00233E68"/>
    <w:rsid w:val="00233E84"/>
    <w:rsid w:val="00233F0B"/>
    <w:rsid w:val="00233F26"/>
    <w:rsid w:val="00233F27"/>
    <w:rsid w:val="00233F3D"/>
    <w:rsid w:val="00233F56"/>
    <w:rsid w:val="00233F71"/>
    <w:rsid w:val="00233F7D"/>
    <w:rsid w:val="00233FDB"/>
    <w:rsid w:val="00233FE6"/>
    <w:rsid w:val="00233FF9"/>
    <w:rsid w:val="0023402C"/>
    <w:rsid w:val="00234053"/>
    <w:rsid w:val="00234068"/>
    <w:rsid w:val="00234071"/>
    <w:rsid w:val="00234075"/>
    <w:rsid w:val="00234079"/>
    <w:rsid w:val="002340DE"/>
    <w:rsid w:val="002340F8"/>
    <w:rsid w:val="002340FA"/>
    <w:rsid w:val="002340FB"/>
    <w:rsid w:val="0023412B"/>
    <w:rsid w:val="00234131"/>
    <w:rsid w:val="002341C6"/>
    <w:rsid w:val="002341D0"/>
    <w:rsid w:val="002341F6"/>
    <w:rsid w:val="00234257"/>
    <w:rsid w:val="00234263"/>
    <w:rsid w:val="002342AA"/>
    <w:rsid w:val="002342CE"/>
    <w:rsid w:val="002342E8"/>
    <w:rsid w:val="00234318"/>
    <w:rsid w:val="0023436D"/>
    <w:rsid w:val="00234388"/>
    <w:rsid w:val="0023439F"/>
    <w:rsid w:val="0023440A"/>
    <w:rsid w:val="002344C6"/>
    <w:rsid w:val="002344C8"/>
    <w:rsid w:val="0023450D"/>
    <w:rsid w:val="0023453A"/>
    <w:rsid w:val="0023454D"/>
    <w:rsid w:val="0023454F"/>
    <w:rsid w:val="0023457D"/>
    <w:rsid w:val="0023458D"/>
    <w:rsid w:val="002345BE"/>
    <w:rsid w:val="0023465B"/>
    <w:rsid w:val="002346A3"/>
    <w:rsid w:val="002346E5"/>
    <w:rsid w:val="002346FF"/>
    <w:rsid w:val="00234705"/>
    <w:rsid w:val="00234751"/>
    <w:rsid w:val="00234778"/>
    <w:rsid w:val="00234793"/>
    <w:rsid w:val="0023479D"/>
    <w:rsid w:val="002347CE"/>
    <w:rsid w:val="00234865"/>
    <w:rsid w:val="00234873"/>
    <w:rsid w:val="00234893"/>
    <w:rsid w:val="0023493D"/>
    <w:rsid w:val="002349A6"/>
    <w:rsid w:val="002349B2"/>
    <w:rsid w:val="00234A7C"/>
    <w:rsid w:val="00234A98"/>
    <w:rsid w:val="00234AEA"/>
    <w:rsid w:val="00234B6C"/>
    <w:rsid w:val="00234BDA"/>
    <w:rsid w:val="00234BFF"/>
    <w:rsid w:val="00234C0B"/>
    <w:rsid w:val="00234C29"/>
    <w:rsid w:val="00234C4D"/>
    <w:rsid w:val="00234C70"/>
    <w:rsid w:val="00234D6C"/>
    <w:rsid w:val="00234D87"/>
    <w:rsid w:val="00234DC5"/>
    <w:rsid w:val="00234DF0"/>
    <w:rsid w:val="00234E1D"/>
    <w:rsid w:val="00234E34"/>
    <w:rsid w:val="00234EC6"/>
    <w:rsid w:val="00234ED2"/>
    <w:rsid w:val="00234F1E"/>
    <w:rsid w:val="00234F31"/>
    <w:rsid w:val="00234F4D"/>
    <w:rsid w:val="00234F53"/>
    <w:rsid w:val="00234F6E"/>
    <w:rsid w:val="00234F76"/>
    <w:rsid w:val="00234FC9"/>
    <w:rsid w:val="00234FF4"/>
    <w:rsid w:val="00235056"/>
    <w:rsid w:val="00235098"/>
    <w:rsid w:val="002350DB"/>
    <w:rsid w:val="0023511E"/>
    <w:rsid w:val="00235138"/>
    <w:rsid w:val="00235196"/>
    <w:rsid w:val="002351C2"/>
    <w:rsid w:val="002351D0"/>
    <w:rsid w:val="002351E1"/>
    <w:rsid w:val="00235227"/>
    <w:rsid w:val="00235254"/>
    <w:rsid w:val="0023525C"/>
    <w:rsid w:val="00235284"/>
    <w:rsid w:val="0023528E"/>
    <w:rsid w:val="002352A2"/>
    <w:rsid w:val="002352A6"/>
    <w:rsid w:val="002352E0"/>
    <w:rsid w:val="00235349"/>
    <w:rsid w:val="00235364"/>
    <w:rsid w:val="00235368"/>
    <w:rsid w:val="00235370"/>
    <w:rsid w:val="00235371"/>
    <w:rsid w:val="0023538F"/>
    <w:rsid w:val="002353AC"/>
    <w:rsid w:val="00235467"/>
    <w:rsid w:val="0023546F"/>
    <w:rsid w:val="0023550D"/>
    <w:rsid w:val="0023552D"/>
    <w:rsid w:val="002355C9"/>
    <w:rsid w:val="00235608"/>
    <w:rsid w:val="00235658"/>
    <w:rsid w:val="0023568B"/>
    <w:rsid w:val="00235717"/>
    <w:rsid w:val="0023572E"/>
    <w:rsid w:val="00235866"/>
    <w:rsid w:val="00235868"/>
    <w:rsid w:val="0023588A"/>
    <w:rsid w:val="00235894"/>
    <w:rsid w:val="002358CE"/>
    <w:rsid w:val="00235903"/>
    <w:rsid w:val="0023591D"/>
    <w:rsid w:val="0023592D"/>
    <w:rsid w:val="0023599F"/>
    <w:rsid w:val="00235A2B"/>
    <w:rsid w:val="00235A91"/>
    <w:rsid w:val="00235A96"/>
    <w:rsid w:val="00235AB9"/>
    <w:rsid w:val="00235B52"/>
    <w:rsid w:val="00235B9D"/>
    <w:rsid w:val="00235BB0"/>
    <w:rsid w:val="00235BCA"/>
    <w:rsid w:val="00235C67"/>
    <w:rsid w:val="00235C91"/>
    <w:rsid w:val="00235CA6"/>
    <w:rsid w:val="00235CEC"/>
    <w:rsid w:val="00235CF3"/>
    <w:rsid w:val="00235D07"/>
    <w:rsid w:val="00235D55"/>
    <w:rsid w:val="00235D68"/>
    <w:rsid w:val="00235D82"/>
    <w:rsid w:val="00235D91"/>
    <w:rsid w:val="00235E60"/>
    <w:rsid w:val="00235E64"/>
    <w:rsid w:val="00235EA4"/>
    <w:rsid w:val="00235EC4"/>
    <w:rsid w:val="00235EFE"/>
    <w:rsid w:val="00235F37"/>
    <w:rsid w:val="00235F5A"/>
    <w:rsid w:val="00235FB1"/>
    <w:rsid w:val="0023602D"/>
    <w:rsid w:val="00236050"/>
    <w:rsid w:val="00236070"/>
    <w:rsid w:val="002360AB"/>
    <w:rsid w:val="002360AE"/>
    <w:rsid w:val="00236111"/>
    <w:rsid w:val="0023611D"/>
    <w:rsid w:val="00236121"/>
    <w:rsid w:val="0023613A"/>
    <w:rsid w:val="002361D1"/>
    <w:rsid w:val="00236247"/>
    <w:rsid w:val="002362BE"/>
    <w:rsid w:val="002362E3"/>
    <w:rsid w:val="00236321"/>
    <w:rsid w:val="00236361"/>
    <w:rsid w:val="00236372"/>
    <w:rsid w:val="00236386"/>
    <w:rsid w:val="002363A7"/>
    <w:rsid w:val="002363DA"/>
    <w:rsid w:val="00236407"/>
    <w:rsid w:val="0023640E"/>
    <w:rsid w:val="0023641D"/>
    <w:rsid w:val="0023649B"/>
    <w:rsid w:val="002364F0"/>
    <w:rsid w:val="00236506"/>
    <w:rsid w:val="0023650C"/>
    <w:rsid w:val="00236589"/>
    <w:rsid w:val="002365A2"/>
    <w:rsid w:val="002365BB"/>
    <w:rsid w:val="00236670"/>
    <w:rsid w:val="00236687"/>
    <w:rsid w:val="002366C5"/>
    <w:rsid w:val="002366CF"/>
    <w:rsid w:val="002366D2"/>
    <w:rsid w:val="00236723"/>
    <w:rsid w:val="00236728"/>
    <w:rsid w:val="00236735"/>
    <w:rsid w:val="0023675C"/>
    <w:rsid w:val="002367A8"/>
    <w:rsid w:val="002367AE"/>
    <w:rsid w:val="0023682D"/>
    <w:rsid w:val="0023684D"/>
    <w:rsid w:val="0023686F"/>
    <w:rsid w:val="002368C2"/>
    <w:rsid w:val="002368FB"/>
    <w:rsid w:val="00236919"/>
    <w:rsid w:val="00236941"/>
    <w:rsid w:val="00236984"/>
    <w:rsid w:val="002369AA"/>
    <w:rsid w:val="00236A0E"/>
    <w:rsid w:val="00236A4A"/>
    <w:rsid w:val="00236A4F"/>
    <w:rsid w:val="00236A58"/>
    <w:rsid w:val="00236A6A"/>
    <w:rsid w:val="00236A97"/>
    <w:rsid w:val="00236AF6"/>
    <w:rsid w:val="00236B3B"/>
    <w:rsid w:val="00236B45"/>
    <w:rsid w:val="00236B92"/>
    <w:rsid w:val="00236BAF"/>
    <w:rsid w:val="00236BD3"/>
    <w:rsid w:val="00236BD4"/>
    <w:rsid w:val="00236C13"/>
    <w:rsid w:val="00236C2B"/>
    <w:rsid w:val="00236C4B"/>
    <w:rsid w:val="00236D25"/>
    <w:rsid w:val="00236D72"/>
    <w:rsid w:val="00236D8D"/>
    <w:rsid w:val="00236DD8"/>
    <w:rsid w:val="00236E3B"/>
    <w:rsid w:val="00236E84"/>
    <w:rsid w:val="00236EB6"/>
    <w:rsid w:val="00236ED9"/>
    <w:rsid w:val="00236EE3"/>
    <w:rsid w:val="00236F00"/>
    <w:rsid w:val="00236F0A"/>
    <w:rsid w:val="00236F56"/>
    <w:rsid w:val="00236FA0"/>
    <w:rsid w:val="00236FCB"/>
    <w:rsid w:val="00237014"/>
    <w:rsid w:val="00237030"/>
    <w:rsid w:val="0023703F"/>
    <w:rsid w:val="00237047"/>
    <w:rsid w:val="0023710E"/>
    <w:rsid w:val="00237125"/>
    <w:rsid w:val="00237127"/>
    <w:rsid w:val="0023717F"/>
    <w:rsid w:val="002371C6"/>
    <w:rsid w:val="002371E6"/>
    <w:rsid w:val="002371FE"/>
    <w:rsid w:val="0023720A"/>
    <w:rsid w:val="0023726A"/>
    <w:rsid w:val="0023727A"/>
    <w:rsid w:val="00237298"/>
    <w:rsid w:val="0023729F"/>
    <w:rsid w:val="00237306"/>
    <w:rsid w:val="002373A9"/>
    <w:rsid w:val="002373AD"/>
    <w:rsid w:val="002373DF"/>
    <w:rsid w:val="0023743C"/>
    <w:rsid w:val="00237473"/>
    <w:rsid w:val="002374DF"/>
    <w:rsid w:val="00237512"/>
    <w:rsid w:val="00237530"/>
    <w:rsid w:val="00237535"/>
    <w:rsid w:val="00237548"/>
    <w:rsid w:val="00237592"/>
    <w:rsid w:val="002375AB"/>
    <w:rsid w:val="002375CE"/>
    <w:rsid w:val="002375D4"/>
    <w:rsid w:val="002375EC"/>
    <w:rsid w:val="002375FF"/>
    <w:rsid w:val="0023762A"/>
    <w:rsid w:val="0023762B"/>
    <w:rsid w:val="0023766D"/>
    <w:rsid w:val="00237671"/>
    <w:rsid w:val="002376B2"/>
    <w:rsid w:val="00237713"/>
    <w:rsid w:val="00237722"/>
    <w:rsid w:val="0023773F"/>
    <w:rsid w:val="0023775A"/>
    <w:rsid w:val="00237779"/>
    <w:rsid w:val="00237795"/>
    <w:rsid w:val="002377CC"/>
    <w:rsid w:val="00237816"/>
    <w:rsid w:val="0023781A"/>
    <w:rsid w:val="00237877"/>
    <w:rsid w:val="00237895"/>
    <w:rsid w:val="002378C2"/>
    <w:rsid w:val="0023791F"/>
    <w:rsid w:val="00237934"/>
    <w:rsid w:val="00237964"/>
    <w:rsid w:val="0023798C"/>
    <w:rsid w:val="002379AB"/>
    <w:rsid w:val="002379AD"/>
    <w:rsid w:val="00237A64"/>
    <w:rsid w:val="00237A87"/>
    <w:rsid w:val="00237AD1"/>
    <w:rsid w:val="00237AD6"/>
    <w:rsid w:val="00237B32"/>
    <w:rsid w:val="00237B42"/>
    <w:rsid w:val="00237B4B"/>
    <w:rsid w:val="00237B58"/>
    <w:rsid w:val="00237BBA"/>
    <w:rsid w:val="00237BDB"/>
    <w:rsid w:val="00237BE9"/>
    <w:rsid w:val="00237C08"/>
    <w:rsid w:val="00237C1C"/>
    <w:rsid w:val="00237C4A"/>
    <w:rsid w:val="00237C76"/>
    <w:rsid w:val="00237CDF"/>
    <w:rsid w:val="00237D35"/>
    <w:rsid w:val="00237D65"/>
    <w:rsid w:val="00237DF6"/>
    <w:rsid w:val="00237DFC"/>
    <w:rsid w:val="00237E1B"/>
    <w:rsid w:val="00237E25"/>
    <w:rsid w:val="00237E27"/>
    <w:rsid w:val="00237EDB"/>
    <w:rsid w:val="00237F44"/>
    <w:rsid w:val="00237F5D"/>
    <w:rsid w:val="00237F78"/>
    <w:rsid w:val="00237F85"/>
    <w:rsid w:val="00237F86"/>
    <w:rsid w:val="00237FCF"/>
    <w:rsid w:val="00237FD8"/>
    <w:rsid w:val="00240035"/>
    <w:rsid w:val="0024004B"/>
    <w:rsid w:val="0024004C"/>
    <w:rsid w:val="00240072"/>
    <w:rsid w:val="00240083"/>
    <w:rsid w:val="00240117"/>
    <w:rsid w:val="00240119"/>
    <w:rsid w:val="0024012E"/>
    <w:rsid w:val="0024014A"/>
    <w:rsid w:val="0024016E"/>
    <w:rsid w:val="002401A9"/>
    <w:rsid w:val="002401D4"/>
    <w:rsid w:val="002401F9"/>
    <w:rsid w:val="0024022B"/>
    <w:rsid w:val="00240231"/>
    <w:rsid w:val="0024023E"/>
    <w:rsid w:val="00240296"/>
    <w:rsid w:val="0024029F"/>
    <w:rsid w:val="002402A4"/>
    <w:rsid w:val="00240324"/>
    <w:rsid w:val="00240349"/>
    <w:rsid w:val="0024036D"/>
    <w:rsid w:val="00240370"/>
    <w:rsid w:val="00240385"/>
    <w:rsid w:val="002403B1"/>
    <w:rsid w:val="002403D8"/>
    <w:rsid w:val="002403E6"/>
    <w:rsid w:val="00240407"/>
    <w:rsid w:val="002404B2"/>
    <w:rsid w:val="002404BF"/>
    <w:rsid w:val="002404CC"/>
    <w:rsid w:val="002404DF"/>
    <w:rsid w:val="002404FB"/>
    <w:rsid w:val="0024052B"/>
    <w:rsid w:val="0024055E"/>
    <w:rsid w:val="002405C7"/>
    <w:rsid w:val="002405F6"/>
    <w:rsid w:val="0024064E"/>
    <w:rsid w:val="0024065E"/>
    <w:rsid w:val="00240660"/>
    <w:rsid w:val="00240661"/>
    <w:rsid w:val="002406A6"/>
    <w:rsid w:val="0024070F"/>
    <w:rsid w:val="00240726"/>
    <w:rsid w:val="00240731"/>
    <w:rsid w:val="00240759"/>
    <w:rsid w:val="002407A2"/>
    <w:rsid w:val="002407E9"/>
    <w:rsid w:val="002407FB"/>
    <w:rsid w:val="00240822"/>
    <w:rsid w:val="0024082E"/>
    <w:rsid w:val="002408B6"/>
    <w:rsid w:val="002408F3"/>
    <w:rsid w:val="0024096F"/>
    <w:rsid w:val="002409B5"/>
    <w:rsid w:val="00240A10"/>
    <w:rsid w:val="00240A4B"/>
    <w:rsid w:val="00240A4F"/>
    <w:rsid w:val="00240A5B"/>
    <w:rsid w:val="00240A67"/>
    <w:rsid w:val="00240AD8"/>
    <w:rsid w:val="00240B1D"/>
    <w:rsid w:val="00240B7F"/>
    <w:rsid w:val="00240BC5"/>
    <w:rsid w:val="00240BDA"/>
    <w:rsid w:val="00240BDB"/>
    <w:rsid w:val="00240BFA"/>
    <w:rsid w:val="00240C28"/>
    <w:rsid w:val="00240C58"/>
    <w:rsid w:val="00240C66"/>
    <w:rsid w:val="00240C77"/>
    <w:rsid w:val="00240D3C"/>
    <w:rsid w:val="00240D45"/>
    <w:rsid w:val="00240DA4"/>
    <w:rsid w:val="00240E24"/>
    <w:rsid w:val="00240E29"/>
    <w:rsid w:val="00240E4F"/>
    <w:rsid w:val="00240E5E"/>
    <w:rsid w:val="00240E6F"/>
    <w:rsid w:val="00240ECA"/>
    <w:rsid w:val="00240F13"/>
    <w:rsid w:val="00240F49"/>
    <w:rsid w:val="00240F73"/>
    <w:rsid w:val="00240F86"/>
    <w:rsid w:val="002410A7"/>
    <w:rsid w:val="002410C7"/>
    <w:rsid w:val="002410D1"/>
    <w:rsid w:val="002410D8"/>
    <w:rsid w:val="00241163"/>
    <w:rsid w:val="00241178"/>
    <w:rsid w:val="00241190"/>
    <w:rsid w:val="002411AE"/>
    <w:rsid w:val="002411F6"/>
    <w:rsid w:val="00241206"/>
    <w:rsid w:val="00241250"/>
    <w:rsid w:val="00241261"/>
    <w:rsid w:val="0024129A"/>
    <w:rsid w:val="002412B2"/>
    <w:rsid w:val="002412DC"/>
    <w:rsid w:val="002412EA"/>
    <w:rsid w:val="00241303"/>
    <w:rsid w:val="00241382"/>
    <w:rsid w:val="002413EC"/>
    <w:rsid w:val="002414C6"/>
    <w:rsid w:val="002414DE"/>
    <w:rsid w:val="002414F0"/>
    <w:rsid w:val="00241548"/>
    <w:rsid w:val="00241549"/>
    <w:rsid w:val="0024154B"/>
    <w:rsid w:val="00241561"/>
    <w:rsid w:val="002415AC"/>
    <w:rsid w:val="002415CD"/>
    <w:rsid w:val="002415E5"/>
    <w:rsid w:val="002415FB"/>
    <w:rsid w:val="002415FF"/>
    <w:rsid w:val="00241624"/>
    <w:rsid w:val="00241661"/>
    <w:rsid w:val="00241662"/>
    <w:rsid w:val="0024169B"/>
    <w:rsid w:val="002416BE"/>
    <w:rsid w:val="002416C7"/>
    <w:rsid w:val="002416C8"/>
    <w:rsid w:val="00241712"/>
    <w:rsid w:val="00241721"/>
    <w:rsid w:val="00241730"/>
    <w:rsid w:val="00241803"/>
    <w:rsid w:val="00241830"/>
    <w:rsid w:val="00241835"/>
    <w:rsid w:val="00241847"/>
    <w:rsid w:val="00241858"/>
    <w:rsid w:val="00241867"/>
    <w:rsid w:val="00241881"/>
    <w:rsid w:val="002418B6"/>
    <w:rsid w:val="002418C0"/>
    <w:rsid w:val="002418F7"/>
    <w:rsid w:val="002418F8"/>
    <w:rsid w:val="00241906"/>
    <w:rsid w:val="00241939"/>
    <w:rsid w:val="0024195E"/>
    <w:rsid w:val="00241999"/>
    <w:rsid w:val="002419BD"/>
    <w:rsid w:val="002419F5"/>
    <w:rsid w:val="00241A02"/>
    <w:rsid w:val="00241A1C"/>
    <w:rsid w:val="00241A58"/>
    <w:rsid w:val="00241A6D"/>
    <w:rsid w:val="00241AC1"/>
    <w:rsid w:val="00241B2D"/>
    <w:rsid w:val="00241B34"/>
    <w:rsid w:val="00241B39"/>
    <w:rsid w:val="00241B8A"/>
    <w:rsid w:val="00241C30"/>
    <w:rsid w:val="00241C42"/>
    <w:rsid w:val="00241C59"/>
    <w:rsid w:val="00241C5F"/>
    <w:rsid w:val="00241C64"/>
    <w:rsid w:val="00241C87"/>
    <w:rsid w:val="00241C8E"/>
    <w:rsid w:val="00241CB6"/>
    <w:rsid w:val="00241CE2"/>
    <w:rsid w:val="00241D1D"/>
    <w:rsid w:val="00241D76"/>
    <w:rsid w:val="00241DDA"/>
    <w:rsid w:val="00241DDC"/>
    <w:rsid w:val="00241E08"/>
    <w:rsid w:val="00241E5B"/>
    <w:rsid w:val="00241E8B"/>
    <w:rsid w:val="00241E9F"/>
    <w:rsid w:val="00241EE4"/>
    <w:rsid w:val="00241EED"/>
    <w:rsid w:val="00241F5E"/>
    <w:rsid w:val="00242013"/>
    <w:rsid w:val="00242036"/>
    <w:rsid w:val="00242038"/>
    <w:rsid w:val="0024207A"/>
    <w:rsid w:val="00242093"/>
    <w:rsid w:val="002420AB"/>
    <w:rsid w:val="002420BF"/>
    <w:rsid w:val="002420E7"/>
    <w:rsid w:val="00242131"/>
    <w:rsid w:val="00242135"/>
    <w:rsid w:val="0024213A"/>
    <w:rsid w:val="0024214C"/>
    <w:rsid w:val="00242175"/>
    <w:rsid w:val="0024217D"/>
    <w:rsid w:val="00242182"/>
    <w:rsid w:val="00242184"/>
    <w:rsid w:val="00242187"/>
    <w:rsid w:val="002421A2"/>
    <w:rsid w:val="002421B4"/>
    <w:rsid w:val="002421D1"/>
    <w:rsid w:val="0024221B"/>
    <w:rsid w:val="00242272"/>
    <w:rsid w:val="00242275"/>
    <w:rsid w:val="002422D4"/>
    <w:rsid w:val="0024234B"/>
    <w:rsid w:val="00242364"/>
    <w:rsid w:val="002423C9"/>
    <w:rsid w:val="002423EF"/>
    <w:rsid w:val="00242437"/>
    <w:rsid w:val="00242498"/>
    <w:rsid w:val="002424A0"/>
    <w:rsid w:val="002424EE"/>
    <w:rsid w:val="002424F7"/>
    <w:rsid w:val="00242512"/>
    <w:rsid w:val="00242516"/>
    <w:rsid w:val="00242524"/>
    <w:rsid w:val="00242553"/>
    <w:rsid w:val="00242567"/>
    <w:rsid w:val="00242592"/>
    <w:rsid w:val="0024259F"/>
    <w:rsid w:val="002425C8"/>
    <w:rsid w:val="002425CE"/>
    <w:rsid w:val="002425D1"/>
    <w:rsid w:val="00242687"/>
    <w:rsid w:val="002426B7"/>
    <w:rsid w:val="00242703"/>
    <w:rsid w:val="00242785"/>
    <w:rsid w:val="00242791"/>
    <w:rsid w:val="002427B1"/>
    <w:rsid w:val="002427EE"/>
    <w:rsid w:val="00242827"/>
    <w:rsid w:val="0024283F"/>
    <w:rsid w:val="00242845"/>
    <w:rsid w:val="002428DB"/>
    <w:rsid w:val="002428F1"/>
    <w:rsid w:val="00242933"/>
    <w:rsid w:val="00242944"/>
    <w:rsid w:val="0024294C"/>
    <w:rsid w:val="0024297C"/>
    <w:rsid w:val="0024299C"/>
    <w:rsid w:val="002429D0"/>
    <w:rsid w:val="00242A0F"/>
    <w:rsid w:val="00242A49"/>
    <w:rsid w:val="00242A70"/>
    <w:rsid w:val="00242ADA"/>
    <w:rsid w:val="00242ADF"/>
    <w:rsid w:val="00242B06"/>
    <w:rsid w:val="00242B18"/>
    <w:rsid w:val="00242B31"/>
    <w:rsid w:val="00242B3F"/>
    <w:rsid w:val="00242B7D"/>
    <w:rsid w:val="00242B9B"/>
    <w:rsid w:val="00242BCE"/>
    <w:rsid w:val="00242BD8"/>
    <w:rsid w:val="00242BD9"/>
    <w:rsid w:val="00242C3F"/>
    <w:rsid w:val="00242C4C"/>
    <w:rsid w:val="00242C63"/>
    <w:rsid w:val="00242C7F"/>
    <w:rsid w:val="00242CBF"/>
    <w:rsid w:val="00242D1A"/>
    <w:rsid w:val="00242D8C"/>
    <w:rsid w:val="00242DD8"/>
    <w:rsid w:val="00242E03"/>
    <w:rsid w:val="00242E2D"/>
    <w:rsid w:val="00242ECD"/>
    <w:rsid w:val="00242ED4"/>
    <w:rsid w:val="00242F43"/>
    <w:rsid w:val="00242F6F"/>
    <w:rsid w:val="00242F95"/>
    <w:rsid w:val="00242FA2"/>
    <w:rsid w:val="00242FE4"/>
    <w:rsid w:val="00243007"/>
    <w:rsid w:val="00243077"/>
    <w:rsid w:val="002430C4"/>
    <w:rsid w:val="002430C7"/>
    <w:rsid w:val="0024313E"/>
    <w:rsid w:val="0024316E"/>
    <w:rsid w:val="002431A0"/>
    <w:rsid w:val="002431A1"/>
    <w:rsid w:val="00243246"/>
    <w:rsid w:val="002432B9"/>
    <w:rsid w:val="002432CB"/>
    <w:rsid w:val="002432F7"/>
    <w:rsid w:val="00243334"/>
    <w:rsid w:val="0024334C"/>
    <w:rsid w:val="0024337D"/>
    <w:rsid w:val="0024338C"/>
    <w:rsid w:val="0024338D"/>
    <w:rsid w:val="002433B5"/>
    <w:rsid w:val="002433E1"/>
    <w:rsid w:val="00243422"/>
    <w:rsid w:val="0024349D"/>
    <w:rsid w:val="002434A2"/>
    <w:rsid w:val="002434A4"/>
    <w:rsid w:val="002434A6"/>
    <w:rsid w:val="002434C0"/>
    <w:rsid w:val="00243576"/>
    <w:rsid w:val="0024357C"/>
    <w:rsid w:val="002435AD"/>
    <w:rsid w:val="002435C8"/>
    <w:rsid w:val="00243614"/>
    <w:rsid w:val="00243628"/>
    <w:rsid w:val="00243661"/>
    <w:rsid w:val="0024366F"/>
    <w:rsid w:val="0024371B"/>
    <w:rsid w:val="00243741"/>
    <w:rsid w:val="00243777"/>
    <w:rsid w:val="00243819"/>
    <w:rsid w:val="00243820"/>
    <w:rsid w:val="0024384D"/>
    <w:rsid w:val="002438C9"/>
    <w:rsid w:val="00243901"/>
    <w:rsid w:val="002439D8"/>
    <w:rsid w:val="002439E0"/>
    <w:rsid w:val="00243AA3"/>
    <w:rsid w:val="00243AEB"/>
    <w:rsid w:val="00243B04"/>
    <w:rsid w:val="00243B4F"/>
    <w:rsid w:val="00243B8B"/>
    <w:rsid w:val="00243B9E"/>
    <w:rsid w:val="00243BB9"/>
    <w:rsid w:val="00243BC1"/>
    <w:rsid w:val="00243BCA"/>
    <w:rsid w:val="00243BE0"/>
    <w:rsid w:val="00243BF5"/>
    <w:rsid w:val="00243C20"/>
    <w:rsid w:val="00243C70"/>
    <w:rsid w:val="00243CF0"/>
    <w:rsid w:val="00243D43"/>
    <w:rsid w:val="00243D8C"/>
    <w:rsid w:val="00243DAC"/>
    <w:rsid w:val="00243DCB"/>
    <w:rsid w:val="00243DD9"/>
    <w:rsid w:val="00243E10"/>
    <w:rsid w:val="00243E32"/>
    <w:rsid w:val="00243E34"/>
    <w:rsid w:val="00243E99"/>
    <w:rsid w:val="00243ECF"/>
    <w:rsid w:val="00243F27"/>
    <w:rsid w:val="00243FC0"/>
    <w:rsid w:val="002440B0"/>
    <w:rsid w:val="002440D5"/>
    <w:rsid w:val="00244107"/>
    <w:rsid w:val="00244159"/>
    <w:rsid w:val="00244190"/>
    <w:rsid w:val="002441B0"/>
    <w:rsid w:val="002441B3"/>
    <w:rsid w:val="002441B5"/>
    <w:rsid w:val="002441D1"/>
    <w:rsid w:val="002441E6"/>
    <w:rsid w:val="00244205"/>
    <w:rsid w:val="0024424E"/>
    <w:rsid w:val="002442D6"/>
    <w:rsid w:val="00244322"/>
    <w:rsid w:val="0024432D"/>
    <w:rsid w:val="00244366"/>
    <w:rsid w:val="00244371"/>
    <w:rsid w:val="002443F4"/>
    <w:rsid w:val="002443F8"/>
    <w:rsid w:val="00244400"/>
    <w:rsid w:val="0024440A"/>
    <w:rsid w:val="00244427"/>
    <w:rsid w:val="00244446"/>
    <w:rsid w:val="002444A2"/>
    <w:rsid w:val="002444CA"/>
    <w:rsid w:val="002444D3"/>
    <w:rsid w:val="002444F3"/>
    <w:rsid w:val="00244519"/>
    <w:rsid w:val="0024453E"/>
    <w:rsid w:val="00244559"/>
    <w:rsid w:val="00244589"/>
    <w:rsid w:val="00244598"/>
    <w:rsid w:val="00244608"/>
    <w:rsid w:val="0024461F"/>
    <w:rsid w:val="00244639"/>
    <w:rsid w:val="00244648"/>
    <w:rsid w:val="0024464A"/>
    <w:rsid w:val="0024466D"/>
    <w:rsid w:val="00244686"/>
    <w:rsid w:val="002446A0"/>
    <w:rsid w:val="002446C1"/>
    <w:rsid w:val="002446E7"/>
    <w:rsid w:val="002446F1"/>
    <w:rsid w:val="00244714"/>
    <w:rsid w:val="00244728"/>
    <w:rsid w:val="0024472D"/>
    <w:rsid w:val="00244734"/>
    <w:rsid w:val="0024478F"/>
    <w:rsid w:val="002447D0"/>
    <w:rsid w:val="002447D3"/>
    <w:rsid w:val="00244834"/>
    <w:rsid w:val="00244887"/>
    <w:rsid w:val="002448F5"/>
    <w:rsid w:val="00244914"/>
    <w:rsid w:val="00244918"/>
    <w:rsid w:val="0024499B"/>
    <w:rsid w:val="002449C0"/>
    <w:rsid w:val="002449F6"/>
    <w:rsid w:val="002449FC"/>
    <w:rsid w:val="00244A5A"/>
    <w:rsid w:val="00244A75"/>
    <w:rsid w:val="00244ADD"/>
    <w:rsid w:val="00244AF8"/>
    <w:rsid w:val="00244B10"/>
    <w:rsid w:val="00244B25"/>
    <w:rsid w:val="00244B5E"/>
    <w:rsid w:val="00244B61"/>
    <w:rsid w:val="00244B89"/>
    <w:rsid w:val="00244BB5"/>
    <w:rsid w:val="00244BBF"/>
    <w:rsid w:val="00244C5A"/>
    <w:rsid w:val="00244CB5"/>
    <w:rsid w:val="00244CDA"/>
    <w:rsid w:val="00244D57"/>
    <w:rsid w:val="00244D82"/>
    <w:rsid w:val="00244DAD"/>
    <w:rsid w:val="00244DE3"/>
    <w:rsid w:val="00244E24"/>
    <w:rsid w:val="00244E3D"/>
    <w:rsid w:val="00244EBC"/>
    <w:rsid w:val="00244F08"/>
    <w:rsid w:val="00244F39"/>
    <w:rsid w:val="00244F40"/>
    <w:rsid w:val="00244FA9"/>
    <w:rsid w:val="0024502C"/>
    <w:rsid w:val="0024504C"/>
    <w:rsid w:val="002450C8"/>
    <w:rsid w:val="002450DA"/>
    <w:rsid w:val="0024512E"/>
    <w:rsid w:val="0024515B"/>
    <w:rsid w:val="002451D4"/>
    <w:rsid w:val="002451EA"/>
    <w:rsid w:val="0024520E"/>
    <w:rsid w:val="00245262"/>
    <w:rsid w:val="002452D6"/>
    <w:rsid w:val="002452DA"/>
    <w:rsid w:val="002452DD"/>
    <w:rsid w:val="002452FA"/>
    <w:rsid w:val="00245370"/>
    <w:rsid w:val="002453B9"/>
    <w:rsid w:val="002453D7"/>
    <w:rsid w:val="00245410"/>
    <w:rsid w:val="00245417"/>
    <w:rsid w:val="00245435"/>
    <w:rsid w:val="0024547E"/>
    <w:rsid w:val="00245496"/>
    <w:rsid w:val="002454E8"/>
    <w:rsid w:val="00245506"/>
    <w:rsid w:val="0024550C"/>
    <w:rsid w:val="00245574"/>
    <w:rsid w:val="002455A6"/>
    <w:rsid w:val="00245611"/>
    <w:rsid w:val="0024563C"/>
    <w:rsid w:val="00245655"/>
    <w:rsid w:val="002456B2"/>
    <w:rsid w:val="002456E6"/>
    <w:rsid w:val="002456F1"/>
    <w:rsid w:val="0024574D"/>
    <w:rsid w:val="0024576D"/>
    <w:rsid w:val="00245793"/>
    <w:rsid w:val="002457CC"/>
    <w:rsid w:val="002457E3"/>
    <w:rsid w:val="00245809"/>
    <w:rsid w:val="00245827"/>
    <w:rsid w:val="00245857"/>
    <w:rsid w:val="00245870"/>
    <w:rsid w:val="00245884"/>
    <w:rsid w:val="002458A1"/>
    <w:rsid w:val="0024591D"/>
    <w:rsid w:val="00245963"/>
    <w:rsid w:val="00245988"/>
    <w:rsid w:val="0024598C"/>
    <w:rsid w:val="002459A9"/>
    <w:rsid w:val="002459C4"/>
    <w:rsid w:val="00245A3B"/>
    <w:rsid w:val="00245A44"/>
    <w:rsid w:val="00245A74"/>
    <w:rsid w:val="00245ABA"/>
    <w:rsid w:val="00245ACF"/>
    <w:rsid w:val="00245B09"/>
    <w:rsid w:val="00245B9D"/>
    <w:rsid w:val="00245BB8"/>
    <w:rsid w:val="00245BC5"/>
    <w:rsid w:val="00245BC6"/>
    <w:rsid w:val="00245BDD"/>
    <w:rsid w:val="00245C49"/>
    <w:rsid w:val="00245C6B"/>
    <w:rsid w:val="00245C78"/>
    <w:rsid w:val="00245CB3"/>
    <w:rsid w:val="00245CFB"/>
    <w:rsid w:val="00245D93"/>
    <w:rsid w:val="00245E01"/>
    <w:rsid w:val="00245E37"/>
    <w:rsid w:val="00245E3C"/>
    <w:rsid w:val="00245E65"/>
    <w:rsid w:val="00245E6C"/>
    <w:rsid w:val="00245E99"/>
    <w:rsid w:val="00245EB1"/>
    <w:rsid w:val="00245EB3"/>
    <w:rsid w:val="00245EBE"/>
    <w:rsid w:val="00245F1B"/>
    <w:rsid w:val="00245F1C"/>
    <w:rsid w:val="00245F1D"/>
    <w:rsid w:val="00245F78"/>
    <w:rsid w:val="00245F8B"/>
    <w:rsid w:val="00246001"/>
    <w:rsid w:val="002460BC"/>
    <w:rsid w:val="00246194"/>
    <w:rsid w:val="002461BA"/>
    <w:rsid w:val="0024620D"/>
    <w:rsid w:val="00246227"/>
    <w:rsid w:val="00246295"/>
    <w:rsid w:val="002462E5"/>
    <w:rsid w:val="002462FE"/>
    <w:rsid w:val="0024632F"/>
    <w:rsid w:val="0024636A"/>
    <w:rsid w:val="00246520"/>
    <w:rsid w:val="0024654E"/>
    <w:rsid w:val="002465A4"/>
    <w:rsid w:val="002465AA"/>
    <w:rsid w:val="002465AD"/>
    <w:rsid w:val="002465CA"/>
    <w:rsid w:val="00246636"/>
    <w:rsid w:val="00246675"/>
    <w:rsid w:val="00246678"/>
    <w:rsid w:val="0024670F"/>
    <w:rsid w:val="002467C2"/>
    <w:rsid w:val="002467E7"/>
    <w:rsid w:val="00246816"/>
    <w:rsid w:val="00246848"/>
    <w:rsid w:val="0024684C"/>
    <w:rsid w:val="00246852"/>
    <w:rsid w:val="00246853"/>
    <w:rsid w:val="00246879"/>
    <w:rsid w:val="00246882"/>
    <w:rsid w:val="0024689A"/>
    <w:rsid w:val="002468BF"/>
    <w:rsid w:val="002468C1"/>
    <w:rsid w:val="002468C6"/>
    <w:rsid w:val="002468FC"/>
    <w:rsid w:val="0024693B"/>
    <w:rsid w:val="0024695F"/>
    <w:rsid w:val="00246998"/>
    <w:rsid w:val="002469A4"/>
    <w:rsid w:val="002469E7"/>
    <w:rsid w:val="002469F5"/>
    <w:rsid w:val="00246A16"/>
    <w:rsid w:val="00246AA7"/>
    <w:rsid w:val="00246AA9"/>
    <w:rsid w:val="00246AF2"/>
    <w:rsid w:val="00246B77"/>
    <w:rsid w:val="00246BB9"/>
    <w:rsid w:val="00246BC5"/>
    <w:rsid w:val="00246C2A"/>
    <w:rsid w:val="00246C5B"/>
    <w:rsid w:val="00246CC7"/>
    <w:rsid w:val="00246CE2"/>
    <w:rsid w:val="00246D14"/>
    <w:rsid w:val="00246D89"/>
    <w:rsid w:val="00246E21"/>
    <w:rsid w:val="00246E52"/>
    <w:rsid w:val="00246E7D"/>
    <w:rsid w:val="00246F25"/>
    <w:rsid w:val="00246F28"/>
    <w:rsid w:val="00246F2F"/>
    <w:rsid w:val="00246FA9"/>
    <w:rsid w:val="00246FC8"/>
    <w:rsid w:val="0024704D"/>
    <w:rsid w:val="002470C1"/>
    <w:rsid w:val="002470F1"/>
    <w:rsid w:val="00247124"/>
    <w:rsid w:val="00247149"/>
    <w:rsid w:val="00247159"/>
    <w:rsid w:val="0024716C"/>
    <w:rsid w:val="0024718D"/>
    <w:rsid w:val="002471C3"/>
    <w:rsid w:val="002472F4"/>
    <w:rsid w:val="00247328"/>
    <w:rsid w:val="002473A6"/>
    <w:rsid w:val="002473B9"/>
    <w:rsid w:val="002473D1"/>
    <w:rsid w:val="00247401"/>
    <w:rsid w:val="00247425"/>
    <w:rsid w:val="0024742F"/>
    <w:rsid w:val="0024757F"/>
    <w:rsid w:val="002475AE"/>
    <w:rsid w:val="002475F9"/>
    <w:rsid w:val="00247680"/>
    <w:rsid w:val="00247694"/>
    <w:rsid w:val="002476A7"/>
    <w:rsid w:val="002476B0"/>
    <w:rsid w:val="002476D3"/>
    <w:rsid w:val="002476D9"/>
    <w:rsid w:val="002476DF"/>
    <w:rsid w:val="00247714"/>
    <w:rsid w:val="00247757"/>
    <w:rsid w:val="00247768"/>
    <w:rsid w:val="0024778B"/>
    <w:rsid w:val="002477AB"/>
    <w:rsid w:val="002477DF"/>
    <w:rsid w:val="0024780C"/>
    <w:rsid w:val="00247814"/>
    <w:rsid w:val="0024782A"/>
    <w:rsid w:val="0024782E"/>
    <w:rsid w:val="00247843"/>
    <w:rsid w:val="00247858"/>
    <w:rsid w:val="00247863"/>
    <w:rsid w:val="00247864"/>
    <w:rsid w:val="00247865"/>
    <w:rsid w:val="00247867"/>
    <w:rsid w:val="00247899"/>
    <w:rsid w:val="00247900"/>
    <w:rsid w:val="0024793D"/>
    <w:rsid w:val="0024794B"/>
    <w:rsid w:val="002479CF"/>
    <w:rsid w:val="002479EE"/>
    <w:rsid w:val="00247A28"/>
    <w:rsid w:val="00247A49"/>
    <w:rsid w:val="00247A5B"/>
    <w:rsid w:val="00247A64"/>
    <w:rsid w:val="00247A6D"/>
    <w:rsid w:val="00247A75"/>
    <w:rsid w:val="00247A90"/>
    <w:rsid w:val="00247B3D"/>
    <w:rsid w:val="00247B4C"/>
    <w:rsid w:val="00247BCD"/>
    <w:rsid w:val="00247BF1"/>
    <w:rsid w:val="00247C3F"/>
    <w:rsid w:val="00247CE6"/>
    <w:rsid w:val="00247D22"/>
    <w:rsid w:val="00247D62"/>
    <w:rsid w:val="00247D95"/>
    <w:rsid w:val="00247D9A"/>
    <w:rsid w:val="00247DEA"/>
    <w:rsid w:val="00247E06"/>
    <w:rsid w:val="00247E0B"/>
    <w:rsid w:val="00247E0D"/>
    <w:rsid w:val="00247E44"/>
    <w:rsid w:val="00247ECA"/>
    <w:rsid w:val="00247EF6"/>
    <w:rsid w:val="00247F16"/>
    <w:rsid w:val="00247F27"/>
    <w:rsid w:val="00247F3A"/>
    <w:rsid w:val="00247F65"/>
    <w:rsid w:val="0025000D"/>
    <w:rsid w:val="00250017"/>
    <w:rsid w:val="00250035"/>
    <w:rsid w:val="00250037"/>
    <w:rsid w:val="002500DB"/>
    <w:rsid w:val="002500E2"/>
    <w:rsid w:val="00250120"/>
    <w:rsid w:val="0025016C"/>
    <w:rsid w:val="00250172"/>
    <w:rsid w:val="00250178"/>
    <w:rsid w:val="0025018C"/>
    <w:rsid w:val="002501A1"/>
    <w:rsid w:val="002501CF"/>
    <w:rsid w:val="002501DD"/>
    <w:rsid w:val="0025020B"/>
    <w:rsid w:val="00250222"/>
    <w:rsid w:val="0025028D"/>
    <w:rsid w:val="002502CF"/>
    <w:rsid w:val="002502F3"/>
    <w:rsid w:val="002503B7"/>
    <w:rsid w:val="0025051A"/>
    <w:rsid w:val="00250532"/>
    <w:rsid w:val="0025053C"/>
    <w:rsid w:val="002505A5"/>
    <w:rsid w:val="002505B1"/>
    <w:rsid w:val="002505B4"/>
    <w:rsid w:val="002505ED"/>
    <w:rsid w:val="0025064D"/>
    <w:rsid w:val="0025067B"/>
    <w:rsid w:val="002506CC"/>
    <w:rsid w:val="002506F3"/>
    <w:rsid w:val="00250778"/>
    <w:rsid w:val="00250809"/>
    <w:rsid w:val="00250816"/>
    <w:rsid w:val="0025081D"/>
    <w:rsid w:val="00250845"/>
    <w:rsid w:val="00250871"/>
    <w:rsid w:val="002508B8"/>
    <w:rsid w:val="002508C1"/>
    <w:rsid w:val="00250927"/>
    <w:rsid w:val="00250A3A"/>
    <w:rsid w:val="00250A3E"/>
    <w:rsid w:val="00250AD3"/>
    <w:rsid w:val="00250B14"/>
    <w:rsid w:val="00250BB5"/>
    <w:rsid w:val="00250BD5"/>
    <w:rsid w:val="00250BE6"/>
    <w:rsid w:val="00250BFF"/>
    <w:rsid w:val="00250C05"/>
    <w:rsid w:val="00250C3D"/>
    <w:rsid w:val="00250C49"/>
    <w:rsid w:val="00250C94"/>
    <w:rsid w:val="00250CED"/>
    <w:rsid w:val="00250CF3"/>
    <w:rsid w:val="00250CFB"/>
    <w:rsid w:val="00250D4C"/>
    <w:rsid w:val="00250D71"/>
    <w:rsid w:val="00250D83"/>
    <w:rsid w:val="00250D9A"/>
    <w:rsid w:val="00250DA6"/>
    <w:rsid w:val="00250DC4"/>
    <w:rsid w:val="00250E19"/>
    <w:rsid w:val="00250E42"/>
    <w:rsid w:val="00250E65"/>
    <w:rsid w:val="00250E74"/>
    <w:rsid w:val="00250E87"/>
    <w:rsid w:val="00250EB6"/>
    <w:rsid w:val="00250EC9"/>
    <w:rsid w:val="00250F39"/>
    <w:rsid w:val="00250F4E"/>
    <w:rsid w:val="00250F83"/>
    <w:rsid w:val="00250F94"/>
    <w:rsid w:val="00250FC6"/>
    <w:rsid w:val="00251029"/>
    <w:rsid w:val="00251032"/>
    <w:rsid w:val="002510B2"/>
    <w:rsid w:val="002510C7"/>
    <w:rsid w:val="002510D8"/>
    <w:rsid w:val="00251120"/>
    <w:rsid w:val="00251129"/>
    <w:rsid w:val="00251171"/>
    <w:rsid w:val="0025118E"/>
    <w:rsid w:val="002511BA"/>
    <w:rsid w:val="002511EB"/>
    <w:rsid w:val="002511ED"/>
    <w:rsid w:val="00251286"/>
    <w:rsid w:val="002512AE"/>
    <w:rsid w:val="002512C4"/>
    <w:rsid w:val="002512F4"/>
    <w:rsid w:val="002513D2"/>
    <w:rsid w:val="002513E6"/>
    <w:rsid w:val="00251461"/>
    <w:rsid w:val="0025151B"/>
    <w:rsid w:val="0025157B"/>
    <w:rsid w:val="00251593"/>
    <w:rsid w:val="002515C3"/>
    <w:rsid w:val="002515C9"/>
    <w:rsid w:val="002515D9"/>
    <w:rsid w:val="002515E2"/>
    <w:rsid w:val="00251605"/>
    <w:rsid w:val="00251667"/>
    <w:rsid w:val="0025170C"/>
    <w:rsid w:val="00251803"/>
    <w:rsid w:val="00251887"/>
    <w:rsid w:val="002518B3"/>
    <w:rsid w:val="002518C8"/>
    <w:rsid w:val="002518E9"/>
    <w:rsid w:val="0025196D"/>
    <w:rsid w:val="0025199E"/>
    <w:rsid w:val="002519AA"/>
    <w:rsid w:val="002519F7"/>
    <w:rsid w:val="00251A01"/>
    <w:rsid w:val="00251A5D"/>
    <w:rsid w:val="00251A9B"/>
    <w:rsid w:val="00251AA6"/>
    <w:rsid w:val="00251AAA"/>
    <w:rsid w:val="00251AC9"/>
    <w:rsid w:val="00251AFD"/>
    <w:rsid w:val="00251B3B"/>
    <w:rsid w:val="00251B5F"/>
    <w:rsid w:val="00251BC8"/>
    <w:rsid w:val="00251C1A"/>
    <w:rsid w:val="00251C23"/>
    <w:rsid w:val="00251C68"/>
    <w:rsid w:val="00251C78"/>
    <w:rsid w:val="00251C7F"/>
    <w:rsid w:val="00251CA0"/>
    <w:rsid w:val="00251CB7"/>
    <w:rsid w:val="00251CF5"/>
    <w:rsid w:val="00251CF8"/>
    <w:rsid w:val="00251D22"/>
    <w:rsid w:val="00251D2B"/>
    <w:rsid w:val="00251D36"/>
    <w:rsid w:val="00251D3E"/>
    <w:rsid w:val="00251D43"/>
    <w:rsid w:val="00251D8B"/>
    <w:rsid w:val="00251D9C"/>
    <w:rsid w:val="00251DB0"/>
    <w:rsid w:val="00251DB3"/>
    <w:rsid w:val="00251DE3"/>
    <w:rsid w:val="00251DF7"/>
    <w:rsid w:val="00251DFF"/>
    <w:rsid w:val="00251E36"/>
    <w:rsid w:val="00251E40"/>
    <w:rsid w:val="00251E94"/>
    <w:rsid w:val="00251F26"/>
    <w:rsid w:val="00251F28"/>
    <w:rsid w:val="00251F4A"/>
    <w:rsid w:val="00251FBC"/>
    <w:rsid w:val="0025200B"/>
    <w:rsid w:val="00252024"/>
    <w:rsid w:val="0025205E"/>
    <w:rsid w:val="00252081"/>
    <w:rsid w:val="00252091"/>
    <w:rsid w:val="002520A0"/>
    <w:rsid w:val="002520BC"/>
    <w:rsid w:val="002520D6"/>
    <w:rsid w:val="002520F8"/>
    <w:rsid w:val="0025210F"/>
    <w:rsid w:val="0025223E"/>
    <w:rsid w:val="0025224E"/>
    <w:rsid w:val="002522A9"/>
    <w:rsid w:val="002522B7"/>
    <w:rsid w:val="002522F4"/>
    <w:rsid w:val="00252303"/>
    <w:rsid w:val="002523E5"/>
    <w:rsid w:val="002523F0"/>
    <w:rsid w:val="002524B1"/>
    <w:rsid w:val="002524B3"/>
    <w:rsid w:val="002524DC"/>
    <w:rsid w:val="002524F0"/>
    <w:rsid w:val="00252559"/>
    <w:rsid w:val="00252592"/>
    <w:rsid w:val="002525CF"/>
    <w:rsid w:val="00252603"/>
    <w:rsid w:val="00252646"/>
    <w:rsid w:val="0025268F"/>
    <w:rsid w:val="00252725"/>
    <w:rsid w:val="00252748"/>
    <w:rsid w:val="00252760"/>
    <w:rsid w:val="00252787"/>
    <w:rsid w:val="002527D7"/>
    <w:rsid w:val="00252885"/>
    <w:rsid w:val="0025288B"/>
    <w:rsid w:val="0025293D"/>
    <w:rsid w:val="00252966"/>
    <w:rsid w:val="002529B1"/>
    <w:rsid w:val="00252A2F"/>
    <w:rsid w:val="00252AA2"/>
    <w:rsid w:val="00252AE2"/>
    <w:rsid w:val="00252AEF"/>
    <w:rsid w:val="00252B94"/>
    <w:rsid w:val="00252BCD"/>
    <w:rsid w:val="00252C02"/>
    <w:rsid w:val="00252C7D"/>
    <w:rsid w:val="00252C93"/>
    <w:rsid w:val="00252CD4"/>
    <w:rsid w:val="00252CED"/>
    <w:rsid w:val="00252D45"/>
    <w:rsid w:val="00252D46"/>
    <w:rsid w:val="00252D4E"/>
    <w:rsid w:val="00252D61"/>
    <w:rsid w:val="00252DA6"/>
    <w:rsid w:val="00252E0C"/>
    <w:rsid w:val="00252E66"/>
    <w:rsid w:val="00252E6D"/>
    <w:rsid w:val="00252FA8"/>
    <w:rsid w:val="00252FC2"/>
    <w:rsid w:val="00252FCD"/>
    <w:rsid w:val="00253064"/>
    <w:rsid w:val="0025307A"/>
    <w:rsid w:val="002530B2"/>
    <w:rsid w:val="002530C9"/>
    <w:rsid w:val="002530DF"/>
    <w:rsid w:val="0025310B"/>
    <w:rsid w:val="00253168"/>
    <w:rsid w:val="0025317A"/>
    <w:rsid w:val="00253242"/>
    <w:rsid w:val="00253252"/>
    <w:rsid w:val="002532C1"/>
    <w:rsid w:val="002532D3"/>
    <w:rsid w:val="002532FA"/>
    <w:rsid w:val="0025331E"/>
    <w:rsid w:val="00253356"/>
    <w:rsid w:val="00253379"/>
    <w:rsid w:val="0025337A"/>
    <w:rsid w:val="002533AF"/>
    <w:rsid w:val="002533B4"/>
    <w:rsid w:val="00253426"/>
    <w:rsid w:val="00253433"/>
    <w:rsid w:val="0025347A"/>
    <w:rsid w:val="00253495"/>
    <w:rsid w:val="002534A3"/>
    <w:rsid w:val="002534DD"/>
    <w:rsid w:val="002534FD"/>
    <w:rsid w:val="00253541"/>
    <w:rsid w:val="00253628"/>
    <w:rsid w:val="00253638"/>
    <w:rsid w:val="002536C6"/>
    <w:rsid w:val="002536E7"/>
    <w:rsid w:val="00253701"/>
    <w:rsid w:val="00253751"/>
    <w:rsid w:val="0025375A"/>
    <w:rsid w:val="00253782"/>
    <w:rsid w:val="002537B0"/>
    <w:rsid w:val="002537D1"/>
    <w:rsid w:val="00253836"/>
    <w:rsid w:val="002538B2"/>
    <w:rsid w:val="002538BF"/>
    <w:rsid w:val="00253964"/>
    <w:rsid w:val="00253987"/>
    <w:rsid w:val="00253989"/>
    <w:rsid w:val="002539F9"/>
    <w:rsid w:val="00253A18"/>
    <w:rsid w:val="00253A22"/>
    <w:rsid w:val="00253AD9"/>
    <w:rsid w:val="00253B18"/>
    <w:rsid w:val="00253B53"/>
    <w:rsid w:val="00253B5E"/>
    <w:rsid w:val="00253B64"/>
    <w:rsid w:val="00253B8B"/>
    <w:rsid w:val="00253BA1"/>
    <w:rsid w:val="00253BAD"/>
    <w:rsid w:val="00253C15"/>
    <w:rsid w:val="00253C88"/>
    <w:rsid w:val="00253CA4"/>
    <w:rsid w:val="00253CA9"/>
    <w:rsid w:val="00253CB0"/>
    <w:rsid w:val="00253D06"/>
    <w:rsid w:val="00253D26"/>
    <w:rsid w:val="00253DD3"/>
    <w:rsid w:val="00253DF4"/>
    <w:rsid w:val="00253E27"/>
    <w:rsid w:val="00253EBB"/>
    <w:rsid w:val="00253ECF"/>
    <w:rsid w:val="00253F48"/>
    <w:rsid w:val="00253F83"/>
    <w:rsid w:val="00253F88"/>
    <w:rsid w:val="00253FAF"/>
    <w:rsid w:val="00253FFB"/>
    <w:rsid w:val="0025400B"/>
    <w:rsid w:val="00254025"/>
    <w:rsid w:val="0025406F"/>
    <w:rsid w:val="00254150"/>
    <w:rsid w:val="002541C4"/>
    <w:rsid w:val="002541ED"/>
    <w:rsid w:val="0025422E"/>
    <w:rsid w:val="00254236"/>
    <w:rsid w:val="00254248"/>
    <w:rsid w:val="0025425E"/>
    <w:rsid w:val="00254285"/>
    <w:rsid w:val="002542AE"/>
    <w:rsid w:val="002542F2"/>
    <w:rsid w:val="002542FA"/>
    <w:rsid w:val="00254300"/>
    <w:rsid w:val="00254336"/>
    <w:rsid w:val="0025433C"/>
    <w:rsid w:val="00254365"/>
    <w:rsid w:val="00254378"/>
    <w:rsid w:val="002543D8"/>
    <w:rsid w:val="002543EF"/>
    <w:rsid w:val="0025442A"/>
    <w:rsid w:val="0025444B"/>
    <w:rsid w:val="002544E8"/>
    <w:rsid w:val="00254593"/>
    <w:rsid w:val="002545D5"/>
    <w:rsid w:val="002545DC"/>
    <w:rsid w:val="002545E1"/>
    <w:rsid w:val="002545EC"/>
    <w:rsid w:val="002545F7"/>
    <w:rsid w:val="00254610"/>
    <w:rsid w:val="0025463B"/>
    <w:rsid w:val="00254642"/>
    <w:rsid w:val="00254696"/>
    <w:rsid w:val="002546B1"/>
    <w:rsid w:val="00254701"/>
    <w:rsid w:val="00254726"/>
    <w:rsid w:val="0025472C"/>
    <w:rsid w:val="0025475D"/>
    <w:rsid w:val="00254763"/>
    <w:rsid w:val="0025482D"/>
    <w:rsid w:val="0025483C"/>
    <w:rsid w:val="0025484C"/>
    <w:rsid w:val="00254852"/>
    <w:rsid w:val="00254854"/>
    <w:rsid w:val="00254889"/>
    <w:rsid w:val="002548C6"/>
    <w:rsid w:val="002548FB"/>
    <w:rsid w:val="00254967"/>
    <w:rsid w:val="00254974"/>
    <w:rsid w:val="00254985"/>
    <w:rsid w:val="00254999"/>
    <w:rsid w:val="002549A2"/>
    <w:rsid w:val="002549B5"/>
    <w:rsid w:val="002549C4"/>
    <w:rsid w:val="002549E6"/>
    <w:rsid w:val="002549F4"/>
    <w:rsid w:val="002549FD"/>
    <w:rsid w:val="00254A12"/>
    <w:rsid w:val="00254A6D"/>
    <w:rsid w:val="00254A82"/>
    <w:rsid w:val="00254AB8"/>
    <w:rsid w:val="00254B25"/>
    <w:rsid w:val="00254BE6"/>
    <w:rsid w:val="00254BFA"/>
    <w:rsid w:val="00254C70"/>
    <w:rsid w:val="00254CE5"/>
    <w:rsid w:val="00254CEC"/>
    <w:rsid w:val="00254DE8"/>
    <w:rsid w:val="00254E98"/>
    <w:rsid w:val="00254EB2"/>
    <w:rsid w:val="00254F62"/>
    <w:rsid w:val="00254F94"/>
    <w:rsid w:val="00254F9C"/>
    <w:rsid w:val="00254FBF"/>
    <w:rsid w:val="00254FC2"/>
    <w:rsid w:val="00255052"/>
    <w:rsid w:val="0025508A"/>
    <w:rsid w:val="002550A1"/>
    <w:rsid w:val="00255134"/>
    <w:rsid w:val="0025515F"/>
    <w:rsid w:val="0025516F"/>
    <w:rsid w:val="00255191"/>
    <w:rsid w:val="0025519F"/>
    <w:rsid w:val="002551B1"/>
    <w:rsid w:val="0025521D"/>
    <w:rsid w:val="00255246"/>
    <w:rsid w:val="00255247"/>
    <w:rsid w:val="00255248"/>
    <w:rsid w:val="002552A5"/>
    <w:rsid w:val="002552C1"/>
    <w:rsid w:val="002552E9"/>
    <w:rsid w:val="002552FE"/>
    <w:rsid w:val="002553E0"/>
    <w:rsid w:val="00255424"/>
    <w:rsid w:val="00255458"/>
    <w:rsid w:val="00255477"/>
    <w:rsid w:val="002554FD"/>
    <w:rsid w:val="00255514"/>
    <w:rsid w:val="00255539"/>
    <w:rsid w:val="00255588"/>
    <w:rsid w:val="0025562F"/>
    <w:rsid w:val="0025563E"/>
    <w:rsid w:val="002556B3"/>
    <w:rsid w:val="0025576A"/>
    <w:rsid w:val="00255778"/>
    <w:rsid w:val="002557A1"/>
    <w:rsid w:val="00255805"/>
    <w:rsid w:val="00255821"/>
    <w:rsid w:val="00255836"/>
    <w:rsid w:val="002558AF"/>
    <w:rsid w:val="002558F4"/>
    <w:rsid w:val="00255ABD"/>
    <w:rsid w:val="00255AF9"/>
    <w:rsid w:val="00255AFC"/>
    <w:rsid w:val="00255B38"/>
    <w:rsid w:val="00255B87"/>
    <w:rsid w:val="00255BFD"/>
    <w:rsid w:val="00255C44"/>
    <w:rsid w:val="00255C4E"/>
    <w:rsid w:val="00255C65"/>
    <w:rsid w:val="00255C89"/>
    <w:rsid w:val="00255C98"/>
    <w:rsid w:val="00255D26"/>
    <w:rsid w:val="00255D4F"/>
    <w:rsid w:val="00255D6D"/>
    <w:rsid w:val="00255D80"/>
    <w:rsid w:val="00255D81"/>
    <w:rsid w:val="00255D95"/>
    <w:rsid w:val="00255DA3"/>
    <w:rsid w:val="00255DD4"/>
    <w:rsid w:val="00255DE0"/>
    <w:rsid w:val="00255DEF"/>
    <w:rsid w:val="00255E78"/>
    <w:rsid w:val="00255EB4"/>
    <w:rsid w:val="00255EFB"/>
    <w:rsid w:val="00255F4F"/>
    <w:rsid w:val="00255F7F"/>
    <w:rsid w:val="00255F89"/>
    <w:rsid w:val="00255FAB"/>
    <w:rsid w:val="00255FBB"/>
    <w:rsid w:val="00256001"/>
    <w:rsid w:val="00256002"/>
    <w:rsid w:val="00256099"/>
    <w:rsid w:val="002560E8"/>
    <w:rsid w:val="002560EA"/>
    <w:rsid w:val="0025610D"/>
    <w:rsid w:val="0025610E"/>
    <w:rsid w:val="0025613B"/>
    <w:rsid w:val="002561B4"/>
    <w:rsid w:val="002561D4"/>
    <w:rsid w:val="00256220"/>
    <w:rsid w:val="002562EE"/>
    <w:rsid w:val="00256327"/>
    <w:rsid w:val="0025633A"/>
    <w:rsid w:val="00256382"/>
    <w:rsid w:val="002563AB"/>
    <w:rsid w:val="002563AC"/>
    <w:rsid w:val="002563AD"/>
    <w:rsid w:val="002563B5"/>
    <w:rsid w:val="002563C1"/>
    <w:rsid w:val="002563DD"/>
    <w:rsid w:val="002563E5"/>
    <w:rsid w:val="00256421"/>
    <w:rsid w:val="00256423"/>
    <w:rsid w:val="0025642B"/>
    <w:rsid w:val="0025644A"/>
    <w:rsid w:val="00256459"/>
    <w:rsid w:val="00256479"/>
    <w:rsid w:val="0025648B"/>
    <w:rsid w:val="002564CB"/>
    <w:rsid w:val="002564FD"/>
    <w:rsid w:val="0025651C"/>
    <w:rsid w:val="0025652F"/>
    <w:rsid w:val="0025658F"/>
    <w:rsid w:val="002565F4"/>
    <w:rsid w:val="00256652"/>
    <w:rsid w:val="00256688"/>
    <w:rsid w:val="0025669A"/>
    <w:rsid w:val="002566AE"/>
    <w:rsid w:val="002566CD"/>
    <w:rsid w:val="002566E2"/>
    <w:rsid w:val="002566FD"/>
    <w:rsid w:val="00256712"/>
    <w:rsid w:val="00256722"/>
    <w:rsid w:val="0025674E"/>
    <w:rsid w:val="00256752"/>
    <w:rsid w:val="00256781"/>
    <w:rsid w:val="00256783"/>
    <w:rsid w:val="002567A4"/>
    <w:rsid w:val="00256836"/>
    <w:rsid w:val="00256843"/>
    <w:rsid w:val="00256899"/>
    <w:rsid w:val="0025689F"/>
    <w:rsid w:val="002568E7"/>
    <w:rsid w:val="0025690B"/>
    <w:rsid w:val="00256981"/>
    <w:rsid w:val="002569B2"/>
    <w:rsid w:val="002569CA"/>
    <w:rsid w:val="002569E2"/>
    <w:rsid w:val="002569F7"/>
    <w:rsid w:val="00256A16"/>
    <w:rsid w:val="00256A17"/>
    <w:rsid w:val="00256A93"/>
    <w:rsid w:val="00256AD4"/>
    <w:rsid w:val="00256B10"/>
    <w:rsid w:val="00256B27"/>
    <w:rsid w:val="00256B42"/>
    <w:rsid w:val="00256BBD"/>
    <w:rsid w:val="00256C86"/>
    <w:rsid w:val="00256CB5"/>
    <w:rsid w:val="00256CC4"/>
    <w:rsid w:val="00256CE5"/>
    <w:rsid w:val="00256DA1"/>
    <w:rsid w:val="00256DBE"/>
    <w:rsid w:val="00256DCC"/>
    <w:rsid w:val="00256DE5"/>
    <w:rsid w:val="00256E03"/>
    <w:rsid w:val="00256E90"/>
    <w:rsid w:val="00256E92"/>
    <w:rsid w:val="00256EAC"/>
    <w:rsid w:val="00256EE5"/>
    <w:rsid w:val="00256F1C"/>
    <w:rsid w:val="00256F3A"/>
    <w:rsid w:val="00256FC8"/>
    <w:rsid w:val="0025700E"/>
    <w:rsid w:val="00257021"/>
    <w:rsid w:val="00257039"/>
    <w:rsid w:val="00257094"/>
    <w:rsid w:val="00257096"/>
    <w:rsid w:val="0025713D"/>
    <w:rsid w:val="00257146"/>
    <w:rsid w:val="0025715C"/>
    <w:rsid w:val="00257192"/>
    <w:rsid w:val="002571B5"/>
    <w:rsid w:val="002571CA"/>
    <w:rsid w:val="00257201"/>
    <w:rsid w:val="0025720E"/>
    <w:rsid w:val="00257291"/>
    <w:rsid w:val="00257315"/>
    <w:rsid w:val="00257388"/>
    <w:rsid w:val="0025738F"/>
    <w:rsid w:val="002573F1"/>
    <w:rsid w:val="0025743E"/>
    <w:rsid w:val="002574E5"/>
    <w:rsid w:val="002574ED"/>
    <w:rsid w:val="0025752B"/>
    <w:rsid w:val="002575BD"/>
    <w:rsid w:val="002575D6"/>
    <w:rsid w:val="00257632"/>
    <w:rsid w:val="0025769E"/>
    <w:rsid w:val="002576BE"/>
    <w:rsid w:val="00257770"/>
    <w:rsid w:val="0025782C"/>
    <w:rsid w:val="00257849"/>
    <w:rsid w:val="002578A7"/>
    <w:rsid w:val="002578C3"/>
    <w:rsid w:val="002578D7"/>
    <w:rsid w:val="002578DF"/>
    <w:rsid w:val="002578EE"/>
    <w:rsid w:val="0025794E"/>
    <w:rsid w:val="002579A5"/>
    <w:rsid w:val="00257A27"/>
    <w:rsid w:val="00257A2E"/>
    <w:rsid w:val="00257A68"/>
    <w:rsid w:val="00257A93"/>
    <w:rsid w:val="00257ACF"/>
    <w:rsid w:val="00257B1D"/>
    <w:rsid w:val="00257B23"/>
    <w:rsid w:val="00257B2A"/>
    <w:rsid w:val="00257B47"/>
    <w:rsid w:val="00257B83"/>
    <w:rsid w:val="00257BA1"/>
    <w:rsid w:val="00257BEE"/>
    <w:rsid w:val="00257C1D"/>
    <w:rsid w:val="00257C34"/>
    <w:rsid w:val="00257C38"/>
    <w:rsid w:val="00257C48"/>
    <w:rsid w:val="00257C4B"/>
    <w:rsid w:val="00257C4F"/>
    <w:rsid w:val="00257C80"/>
    <w:rsid w:val="00257CC2"/>
    <w:rsid w:val="00257D4B"/>
    <w:rsid w:val="00257D83"/>
    <w:rsid w:val="00257DA1"/>
    <w:rsid w:val="00257DB1"/>
    <w:rsid w:val="00257DBC"/>
    <w:rsid w:val="00257E5D"/>
    <w:rsid w:val="00257E75"/>
    <w:rsid w:val="00257F0D"/>
    <w:rsid w:val="00257F29"/>
    <w:rsid w:val="00257F30"/>
    <w:rsid w:val="00257F56"/>
    <w:rsid w:val="00257F83"/>
    <w:rsid w:val="00257FAA"/>
    <w:rsid w:val="00257FD0"/>
    <w:rsid w:val="00257FD3"/>
    <w:rsid w:val="00257FE5"/>
    <w:rsid w:val="00260004"/>
    <w:rsid w:val="0026000E"/>
    <w:rsid w:val="0026003B"/>
    <w:rsid w:val="0026006F"/>
    <w:rsid w:val="00260083"/>
    <w:rsid w:val="00260088"/>
    <w:rsid w:val="00260098"/>
    <w:rsid w:val="00260102"/>
    <w:rsid w:val="00260125"/>
    <w:rsid w:val="00260148"/>
    <w:rsid w:val="0026017E"/>
    <w:rsid w:val="00260222"/>
    <w:rsid w:val="00260282"/>
    <w:rsid w:val="002602AD"/>
    <w:rsid w:val="002602C6"/>
    <w:rsid w:val="00260387"/>
    <w:rsid w:val="0026038B"/>
    <w:rsid w:val="0026039F"/>
    <w:rsid w:val="002603D9"/>
    <w:rsid w:val="002603DC"/>
    <w:rsid w:val="00260436"/>
    <w:rsid w:val="002604BE"/>
    <w:rsid w:val="002604D0"/>
    <w:rsid w:val="00260553"/>
    <w:rsid w:val="002605A3"/>
    <w:rsid w:val="002605B7"/>
    <w:rsid w:val="002605F1"/>
    <w:rsid w:val="00260605"/>
    <w:rsid w:val="0026062D"/>
    <w:rsid w:val="00260643"/>
    <w:rsid w:val="00260649"/>
    <w:rsid w:val="002606DB"/>
    <w:rsid w:val="002606FB"/>
    <w:rsid w:val="00260796"/>
    <w:rsid w:val="002607A5"/>
    <w:rsid w:val="002607D7"/>
    <w:rsid w:val="002607F4"/>
    <w:rsid w:val="00260863"/>
    <w:rsid w:val="002608C2"/>
    <w:rsid w:val="002608C3"/>
    <w:rsid w:val="0026090C"/>
    <w:rsid w:val="00260959"/>
    <w:rsid w:val="0026098A"/>
    <w:rsid w:val="002609A3"/>
    <w:rsid w:val="002609CE"/>
    <w:rsid w:val="00260A23"/>
    <w:rsid w:val="00260A32"/>
    <w:rsid w:val="00260A40"/>
    <w:rsid w:val="00260A89"/>
    <w:rsid w:val="00260AD5"/>
    <w:rsid w:val="00260AF7"/>
    <w:rsid w:val="00260B94"/>
    <w:rsid w:val="00260BA7"/>
    <w:rsid w:val="00260C0B"/>
    <w:rsid w:val="00260C1F"/>
    <w:rsid w:val="00260C2A"/>
    <w:rsid w:val="00260C39"/>
    <w:rsid w:val="00260C5C"/>
    <w:rsid w:val="00260C75"/>
    <w:rsid w:val="00260CC2"/>
    <w:rsid w:val="00260D58"/>
    <w:rsid w:val="00260D66"/>
    <w:rsid w:val="00260D6C"/>
    <w:rsid w:val="00260D70"/>
    <w:rsid w:val="00260D97"/>
    <w:rsid w:val="00260E07"/>
    <w:rsid w:val="00260E08"/>
    <w:rsid w:val="00260E13"/>
    <w:rsid w:val="00260E1D"/>
    <w:rsid w:val="00260E97"/>
    <w:rsid w:val="00260E98"/>
    <w:rsid w:val="00260ECE"/>
    <w:rsid w:val="00260EE9"/>
    <w:rsid w:val="00260EEB"/>
    <w:rsid w:val="00260F0F"/>
    <w:rsid w:val="00260F17"/>
    <w:rsid w:val="00260F69"/>
    <w:rsid w:val="00260FA1"/>
    <w:rsid w:val="00260FBB"/>
    <w:rsid w:val="00260FDE"/>
    <w:rsid w:val="0026100C"/>
    <w:rsid w:val="00261036"/>
    <w:rsid w:val="002610A1"/>
    <w:rsid w:val="0026110C"/>
    <w:rsid w:val="00261117"/>
    <w:rsid w:val="0026112B"/>
    <w:rsid w:val="002611E3"/>
    <w:rsid w:val="002611E8"/>
    <w:rsid w:val="0026121B"/>
    <w:rsid w:val="002612A1"/>
    <w:rsid w:val="002612AD"/>
    <w:rsid w:val="002612EB"/>
    <w:rsid w:val="0026130E"/>
    <w:rsid w:val="00261332"/>
    <w:rsid w:val="0026134E"/>
    <w:rsid w:val="0026135D"/>
    <w:rsid w:val="00261367"/>
    <w:rsid w:val="0026136F"/>
    <w:rsid w:val="002613B6"/>
    <w:rsid w:val="002613B8"/>
    <w:rsid w:val="00261420"/>
    <w:rsid w:val="00261421"/>
    <w:rsid w:val="0026142E"/>
    <w:rsid w:val="002614B2"/>
    <w:rsid w:val="002614D9"/>
    <w:rsid w:val="002614DB"/>
    <w:rsid w:val="002614EA"/>
    <w:rsid w:val="002614EF"/>
    <w:rsid w:val="00261508"/>
    <w:rsid w:val="00261531"/>
    <w:rsid w:val="0026157B"/>
    <w:rsid w:val="0026157E"/>
    <w:rsid w:val="002615BE"/>
    <w:rsid w:val="002615F8"/>
    <w:rsid w:val="0026164C"/>
    <w:rsid w:val="0026167F"/>
    <w:rsid w:val="002616BF"/>
    <w:rsid w:val="0026170B"/>
    <w:rsid w:val="0026171D"/>
    <w:rsid w:val="00261726"/>
    <w:rsid w:val="0026175F"/>
    <w:rsid w:val="002617BF"/>
    <w:rsid w:val="002617CC"/>
    <w:rsid w:val="002617FC"/>
    <w:rsid w:val="002617FE"/>
    <w:rsid w:val="0026182D"/>
    <w:rsid w:val="00261836"/>
    <w:rsid w:val="0026183A"/>
    <w:rsid w:val="00261848"/>
    <w:rsid w:val="00261868"/>
    <w:rsid w:val="002618A2"/>
    <w:rsid w:val="002618E0"/>
    <w:rsid w:val="002618F7"/>
    <w:rsid w:val="00261928"/>
    <w:rsid w:val="002619D7"/>
    <w:rsid w:val="00261A30"/>
    <w:rsid w:val="00261A38"/>
    <w:rsid w:val="00261A5B"/>
    <w:rsid w:val="00261A6A"/>
    <w:rsid w:val="00261A8D"/>
    <w:rsid w:val="00261AD0"/>
    <w:rsid w:val="00261B2E"/>
    <w:rsid w:val="00261B91"/>
    <w:rsid w:val="00261BA4"/>
    <w:rsid w:val="00261BD2"/>
    <w:rsid w:val="00261BE1"/>
    <w:rsid w:val="00261C29"/>
    <w:rsid w:val="00261C3B"/>
    <w:rsid w:val="00261C70"/>
    <w:rsid w:val="00261CB2"/>
    <w:rsid w:val="00261CC0"/>
    <w:rsid w:val="00261CC5"/>
    <w:rsid w:val="00261CEF"/>
    <w:rsid w:val="00261CF3"/>
    <w:rsid w:val="00261D21"/>
    <w:rsid w:val="00261D3A"/>
    <w:rsid w:val="00261D76"/>
    <w:rsid w:val="00261E0D"/>
    <w:rsid w:val="00261E10"/>
    <w:rsid w:val="00261E39"/>
    <w:rsid w:val="00261E5A"/>
    <w:rsid w:val="00261E5E"/>
    <w:rsid w:val="00261E76"/>
    <w:rsid w:val="00261E99"/>
    <w:rsid w:val="00261EEC"/>
    <w:rsid w:val="00261F39"/>
    <w:rsid w:val="00261FD5"/>
    <w:rsid w:val="00261FD6"/>
    <w:rsid w:val="00261FED"/>
    <w:rsid w:val="0026205E"/>
    <w:rsid w:val="00262069"/>
    <w:rsid w:val="0026206F"/>
    <w:rsid w:val="00262194"/>
    <w:rsid w:val="002621CE"/>
    <w:rsid w:val="002621FF"/>
    <w:rsid w:val="00262201"/>
    <w:rsid w:val="00262275"/>
    <w:rsid w:val="002622D6"/>
    <w:rsid w:val="002622FD"/>
    <w:rsid w:val="00262381"/>
    <w:rsid w:val="0026238E"/>
    <w:rsid w:val="00262390"/>
    <w:rsid w:val="002623A0"/>
    <w:rsid w:val="002623EB"/>
    <w:rsid w:val="0026241E"/>
    <w:rsid w:val="00262420"/>
    <w:rsid w:val="00262433"/>
    <w:rsid w:val="0026245F"/>
    <w:rsid w:val="0026248E"/>
    <w:rsid w:val="00262498"/>
    <w:rsid w:val="0026253A"/>
    <w:rsid w:val="0026253F"/>
    <w:rsid w:val="00262577"/>
    <w:rsid w:val="00262579"/>
    <w:rsid w:val="00262598"/>
    <w:rsid w:val="002625C5"/>
    <w:rsid w:val="002625D4"/>
    <w:rsid w:val="00262657"/>
    <w:rsid w:val="00262692"/>
    <w:rsid w:val="00262693"/>
    <w:rsid w:val="00262741"/>
    <w:rsid w:val="0026274A"/>
    <w:rsid w:val="00262758"/>
    <w:rsid w:val="002627B9"/>
    <w:rsid w:val="002627EC"/>
    <w:rsid w:val="00262809"/>
    <w:rsid w:val="00262816"/>
    <w:rsid w:val="00262822"/>
    <w:rsid w:val="00262844"/>
    <w:rsid w:val="002628FA"/>
    <w:rsid w:val="00262906"/>
    <w:rsid w:val="00262922"/>
    <w:rsid w:val="00262959"/>
    <w:rsid w:val="0026297A"/>
    <w:rsid w:val="00262981"/>
    <w:rsid w:val="00262996"/>
    <w:rsid w:val="002629B8"/>
    <w:rsid w:val="002629B9"/>
    <w:rsid w:val="002629CF"/>
    <w:rsid w:val="00262A16"/>
    <w:rsid w:val="00262A63"/>
    <w:rsid w:val="00262A8C"/>
    <w:rsid w:val="00262AAF"/>
    <w:rsid w:val="00262B08"/>
    <w:rsid w:val="00262B13"/>
    <w:rsid w:val="00262B39"/>
    <w:rsid w:val="00262C01"/>
    <w:rsid w:val="00262C0C"/>
    <w:rsid w:val="00262CD4"/>
    <w:rsid w:val="00262CDA"/>
    <w:rsid w:val="00262CFC"/>
    <w:rsid w:val="00262D25"/>
    <w:rsid w:val="00262D39"/>
    <w:rsid w:val="00262D97"/>
    <w:rsid w:val="00262DC6"/>
    <w:rsid w:val="00262DD5"/>
    <w:rsid w:val="00262DEA"/>
    <w:rsid w:val="00262E1C"/>
    <w:rsid w:val="00262E2D"/>
    <w:rsid w:val="00262E81"/>
    <w:rsid w:val="00262E84"/>
    <w:rsid w:val="00262E88"/>
    <w:rsid w:val="00262EA1"/>
    <w:rsid w:val="00262EA3"/>
    <w:rsid w:val="00262EE7"/>
    <w:rsid w:val="00262F47"/>
    <w:rsid w:val="00262FD3"/>
    <w:rsid w:val="00262FE5"/>
    <w:rsid w:val="0026306A"/>
    <w:rsid w:val="00263079"/>
    <w:rsid w:val="002630AD"/>
    <w:rsid w:val="002630D6"/>
    <w:rsid w:val="002631A7"/>
    <w:rsid w:val="002631F0"/>
    <w:rsid w:val="0026320C"/>
    <w:rsid w:val="00263259"/>
    <w:rsid w:val="00263263"/>
    <w:rsid w:val="0026327E"/>
    <w:rsid w:val="002632A1"/>
    <w:rsid w:val="002632FA"/>
    <w:rsid w:val="00263324"/>
    <w:rsid w:val="00263328"/>
    <w:rsid w:val="00263345"/>
    <w:rsid w:val="0026335F"/>
    <w:rsid w:val="0026336B"/>
    <w:rsid w:val="002633D6"/>
    <w:rsid w:val="0026340E"/>
    <w:rsid w:val="00263423"/>
    <w:rsid w:val="00263446"/>
    <w:rsid w:val="00263462"/>
    <w:rsid w:val="0026348A"/>
    <w:rsid w:val="002634FB"/>
    <w:rsid w:val="00263563"/>
    <w:rsid w:val="00263575"/>
    <w:rsid w:val="00263587"/>
    <w:rsid w:val="002635D4"/>
    <w:rsid w:val="002635DD"/>
    <w:rsid w:val="002635E5"/>
    <w:rsid w:val="00263634"/>
    <w:rsid w:val="00263642"/>
    <w:rsid w:val="002636A4"/>
    <w:rsid w:val="002636BB"/>
    <w:rsid w:val="0026370E"/>
    <w:rsid w:val="00263726"/>
    <w:rsid w:val="00263729"/>
    <w:rsid w:val="0026375B"/>
    <w:rsid w:val="0026376E"/>
    <w:rsid w:val="0026376F"/>
    <w:rsid w:val="00263796"/>
    <w:rsid w:val="002637D3"/>
    <w:rsid w:val="00263831"/>
    <w:rsid w:val="002638B2"/>
    <w:rsid w:val="00263902"/>
    <w:rsid w:val="00263930"/>
    <w:rsid w:val="00263938"/>
    <w:rsid w:val="0026394C"/>
    <w:rsid w:val="002639A0"/>
    <w:rsid w:val="00263A1A"/>
    <w:rsid w:val="00263A26"/>
    <w:rsid w:val="00263A29"/>
    <w:rsid w:val="00263AF7"/>
    <w:rsid w:val="00263B6C"/>
    <w:rsid w:val="00263BB0"/>
    <w:rsid w:val="00263BB2"/>
    <w:rsid w:val="00263BB6"/>
    <w:rsid w:val="00263BD9"/>
    <w:rsid w:val="00263C42"/>
    <w:rsid w:val="00263CDB"/>
    <w:rsid w:val="00263D32"/>
    <w:rsid w:val="00263D68"/>
    <w:rsid w:val="00263DB4"/>
    <w:rsid w:val="00263DF2"/>
    <w:rsid w:val="00263E60"/>
    <w:rsid w:val="00263E8A"/>
    <w:rsid w:val="00263EA4"/>
    <w:rsid w:val="00263EB2"/>
    <w:rsid w:val="00263ED6"/>
    <w:rsid w:val="00263FFB"/>
    <w:rsid w:val="0026401A"/>
    <w:rsid w:val="00264069"/>
    <w:rsid w:val="002640C4"/>
    <w:rsid w:val="0026410C"/>
    <w:rsid w:val="00264114"/>
    <w:rsid w:val="00264175"/>
    <w:rsid w:val="0026419E"/>
    <w:rsid w:val="002641A1"/>
    <w:rsid w:val="002641A3"/>
    <w:rsid w:val="002641C7"/>
    <w:rsid w:val="002641CD"/>
    <w:rsid w:val="00264218"/>
    <w:rsid w:val="00264220"/>
    <w:rsid w:val="00264235"/>
    <w:rsid w:val="00264280"/>
    <w:rsid w:val="0026436C"/>
    <w:rsid w:val="002643E1"/>
    <w:rsid w:val="002644AB"/>
    <w:rsid w:val="002644D8"/>
    <w:rsid w:val="00264529"/>
    <w:rsid w:val="0026457E"/>
    <w:rsid w:val="0026469B"/>
    <w:rsid w:val="002646A8"/>
    <w:rsid w:val="002646BD"/>
    <w:rsid w:val="002646D5"/>
    <w:rsid w:val="002646E7"/>
    <w:rsid w:val="00264764"/>
    <w:rsid w:val="00264795"/>
    <w:rsid w:val="002647BE"/>
    <w:rsid w:val="00264813"/>
    <w:rsid w:val="0026481E"/>
    <w:rsid w:val="0026483A"/>
    <w:rsid w:val="00264857"/>
    <w:rsid w:val="0026486A"/>
    <w:rsid w:val="002648A9"/>
    <w:rsid w:val="002648DE"/>
    <w:rsid w:val="00264924"/>
    <w:rsid w:val="0026492C"/>
    <w:rsid w:val="00264972"/>
    <w:rsid w:val="00264984"/>
    <w:rsid w:val="002649D5"/>
    <w:rsid w:val="002649E6"/>
    <w:rsid w:val="002649F7"/>
    <w:rsid w:val="00264A8B"/>
    <w:rsid w:val="00264A8E"/>
    <w:rsid w:val="00264AC9"/>
    <w:rsid w:val="00264AEB"/>
    <w:rsid w:val="00264B42"/>
    <w:rsid w:val="00264B51"/>
    <w:rsid w:val="00264B88"/>
    <w:rsid w:val="00264B8C"/>
    <w:rsid w:val="00264BB9"/>
    <w:rsid w:val="00264C86"/>
    <w:rsid w:val="00264CF5"/>
    <w:rsid w:val="00264D06"/>
    <w:rsid w:val="00264D4A"/>
    <w:rsid w:val="00264D7C"/>
    <w:rsid w:val="00264DA5"/>
    <w:rsid w:val="00264DDF"/>
    <w:rsid w:val="00264DE2"/>
    <w:rsid w:val="00264E22"/>
    <w:rsid w:val="00264E64"/>
    <w:rsid w:val="00264E81"/>
    <w:rsid w:val="00264E93"/>
    <w:rsid w:val="00264F0D"/>
    <w:rsid w:val="00264F29"/>
    <w:rsid w:val="00264F92"/>
    <w:rsid w:val="00264F9E"/>
    <w:rsid w:val="00264FF1"/>
    <w:rsid w:val="00265033"/>
    <w:rsid w:val="00265035"/>
    <w:rsid w:val="002650A6"/>
    <w:rsid w:val="002650CB"/>
    <w:rsid w:val="002650D4"/>
    <w:rsid w:val="0026511C"/>
    <w:rsid w:val="00265171"/>
    <w:rsid w:val="002651A4"/>
    <w:rsid w:val="002651C3"/>
    <w:rsid w:val="00265285"/>
    <w:rsid w:val="002652D6"/>
    <w:rsid w:val="002652F1"/>
    <w:rsid w:val="0026537E"/>
    <w:rsid w:val="002653F7"/>
    <w:rsid w:val="002653F8"/>
    <w:rsid w:val="00265429"/>
    <w:rsid w:val="0026542D"/>
    <w:rsid w:val="00265443"/>
    <w:rsid w:val="00265457"/>
    <w:rsid w:val="00265489"/>
    <w:rsid w:val="002654A6"/>
    <w:rsid w:val="002654BD"/>
    <w:rsid w:val="00265599"/>
    <w:rsid w:val="002655A8"/>
    <w:rsid w:val="00265623"/>
    <w:rsid w:val="002656FB"/>
    <w:rsid w:val="00265707"/>
    <w:rsid w:val="0026573B"/>
    <w:rsid w:val="00265754"/>
    <w:rsid w:val="00265760"/>
    <w:rsid w:val="0026576F"/>
    <w:rsid w:val="002657BB"/>
    <w:rsid w:val="002657C3"/>
    <w:rsid w:val="002657E3"/>
    <w:rsid w:val="0026580C"/>
    <w:rsid w:val="0026580E"/>
    <w:rsid w:val="00265820"/>
    <w:rsid w:val="0026587E"/>
    <w:rsid w:val="0026588E"/>
    <w:rsid w:val="0026589B"/>
    <w:rsid w:val="002658F1"/>
    <w:rsid w:val="00265908"/>
    <w:rsid w:val="00265926"/>
    <w:rsid w:val="00265978"/>
    <w:rsid w:val="002659CE"/>
    <w:rsid w:val="002659D0"/>
    <w:rsid w:val="002659F3"/>
    <w:rsid w:val="00265A80"/>
    <w:rsid w:val="00265AA3"/>
    <w:rsid w:val="00265B1B"/>
    <w:rsid w:val="00265B33"/>
    <w:rsid w:val="00265B4E"/>
    <w:rsid w:val="00265B6A"/>
    <w:rsid w:val="00265B7E"/>
    <w:rsid w:val="00265B81"/>
    <w:rsid w:val="00265BA1"/>
    <w:rsid w:val="00265CD9"/>
    <w:rsid w:val="00265CE3"/>
    <w:rsid w:val="00265CFA"/>
    <w:rsid w:val="00265D0B"/>
    <w:rsid w:val="00265D36"/>
    <w:rsid w:val="00265D56"/>
    <w:rsid w:val="00265D63"/>
    <w:rsid w:val="00265DA5"/>
    <w:rsid w:val="00265DB5"/>
    <w:rsid w:val="00265DD4"/>
    <w:rsid w:val="00265E3C"/>
    <w:rsid w:val="00265E94"/>
    <w:rsid w:val="00265EA5"/>
    <w:rsid w:val="00265F1E"/>
    <w:rsid w:val="00265F23"/>
    <w:rsid w:val="00265F25"/>
    <w:rsid w:val="00265F29"/>
    <w:rsid w:val="00265F6A"/>
    <w:rsid w:val="00265F87"/>
    <w:rsid w:val="0026604B"/>
    <w:rsid w:val="002660D6"/>
    <w:rsid w:val="0026613D"/>
    <w:rsid w:val="0026616D"/>
    <w:rsid w:val="0026616F"/>
    <w:rsid w:val="0026618E"/>
    <w:rsid w:val="002661F7"/>
    <w:rsid w:val="002661FC"/>
    <w:rsid w:val="00266260"/>
    <w:rsid w:val="00266265"/>
    <w:rsid w:val="00266289"/>
    <w:rsid w:val="002662B8"/>
    <w:rsid w:val="002662C4"/>
    <w:rsid w:val="002662DA"/>
    <w:rsid w:val="0026630E"/>
    <w:rsid w:val="002663BE"/>
    <w:rsid w:val="002663D8"/>
    <w:rsid w:val="002663E8"/>
    <w:rsid w:val="0026641F"/>
    <w:rsid w:val="00266447"/>
    <w:rsid w:val="00266489"/>
    <w:rsid w:val="002664A5"/>
    <w:rsid w:val="002664E9"/>
    <w:rsid w:val="002664FC"/>
    <w:rsid w:val="00266536"/>
    <w:rsid w:val="00266544"/>
    <w:rsid w:val="00266567"/>
    <w:rsid w:val="00266568"/>
    <w:rsid w:val="0026656E"/>
    <w:rsid w:val="00266588"/>
    <w:rsid w:val="00266593"/>
    <w:rsid w:val="002665B5"/>
    <w:rsid w:val="002665DB"/>
    <w:rsid w:val="002665DD"/>
    <w:rsid w:val="002665EC"/>
    <w:rsid w:val="0026661B"/>
    <w:rsid w:val="00266640"/>
    <w:rsid w:val="0026668A"/>
    <w:rsid w:val="00266695"/>
    <w:rsid w:val="002666F3"/>
    <w:rsid w:val="00266728"/>
    <w:rsid w:val="0026673E"/>
    <w:rsid w:val="002667CC"/>
    <w:rsid w:val="002667FD"/>
    <w:rsid w:val="00266844"/>
    <w:rsid w:val="00266867"/>
    <w:rsid w:val="0026687E"/>
    <w:rsid w:val="00266904"/>
    <w:rsid w:val="00266982"/>
    <w:rsid w:val="002669AF"/>
    <w:rsid w:val="00266A38"/>
    <w:rsid w:val="00266A3C"/>
    <w:rsid w:val="00266A9B"/>
    <w:rsid w:val="00266AB0"/>
    <w:rsid w:val="00266AFA"/>
    <w:rsid w:val="00266B07"/>
    <w:rsid w:val="00266B27"/>
    <w:rsid w:val="00266B55"/>
    <w:rsid w:val="00266B69"/>
    <w:rsid w:val="00266B73"/>
    <w:rsid w:val="00266BE6"/>
    <w:rsid w:val="00266BE8"/>
    <w:rsid w:val="00266C1E"/>
    <w:rsid w:val="00266C6C"/>
    <w:rsid w:val="00266CC8"/>
    <w:rsid w:val="00266CE1"/>
    <w:rsid w:val="00266D75"/>
    <w:rsid w:val="00266E60"/>
    <w:rsid w:val="00266EF1"/>
    <w:rsid w:val="00266EF2"/>
    <w:rsid w:val="00266F1E"/>
    <w:rsid w:val="00266F69"/>
    <w:rsid w:val="00266FC0"/>
    <w:rsid w:val="00266FC1"/>
    <w:rsid w:val="00266FEF"/>
    <w:rsid w:val="00267066"/>
    <w:rsid w:val="00267084"/>
    <w:rsid w:val="002670DF"/>
    <w:rsid w:val="002670EA"/>
    <w:rsid w:val="002670FD"/>
    <w:rsid w:val="002671A7"/>
    <w:rsid w:val="002671B7"/>
    <w:rsid w:val="002671BA"/>
    <w:rsid w:val="002671D0"/>
    <w:rsid w:val="00267218"/>
    <w:rsid w:val="00267273"/>
    <w:rsid w:val="00267296"/>
    <w:rsid w:val="002672A4"/>
    <w:rsid w:val="002672C1"/>
    <w:rsid w:val="00267314"/>
    <w:rsid w:val="00267382"/>
    <w:rsid w:val="00267383"/>
    <w:rsid w:val="0026738D"/>
    <w:rsid w:val="002673DA"/>
    <w:rsid w:val="002673EA"/>
    <w:rsid w:val="0026748E"/>
    <w:rsid w:val="002674DE"/>
    <w:rsid w:val="002674F6"/>
    <w:rsid w:val="00267506"/>
    <w:rsid w:val="0026750A"/>
    <w:rsid w:val="00267524"/>
    <w:rsid w:val="00267557"/>
    <w:rsid w:val="002675BD"/>
    <w:rsid w:val="00267663"/>
    <w:rsid w:val="00267692"/>
    <w:rsid w:val="002676A9"/>
    <w:rsid w:val="002676E0"/>
    <w:rsid w:val="00267848"/>
    <w:rsid w:val="0026784D"/>
    <w:rsid w:val="0026785B"/>
    <w:rsid w:val="002678E1"/>
    <w:rsid w:val="0026796D"/>
    <w:rsid w:val="002679A9"/>
    <w:rsid w:val="002679E7"/>
    <w:rsid w:val="002679EC"/>
    <w:rsid w:val="00267A1A"/>
    <w:rsid w:val="00267A1F"/>
    <w:rsid w:val="00267A2B"/>
    <w:rsid w:val="00267A2C"/>
    <w:rsid w:val="00267A90"/>
    <w:rsid w:val="00267B3A"/>
    <w:rsid w:val="00267B73"/>
    <w:rsid w:val="00267B81"/>
    <w:rsid w:val="00267BAA"/>
    <w:rsid w:val="00267BE1"/>
    <w:rsid w:val="00267BF8"/>
    <w:rsid w:val="00267C9D"/>
    <w:rsid w:val="00267C9F"/>
    <w:rsid w:val="00267CD5"/>
    <w:rsid w:val="00267CE3"/>
    <w:rsid w:val="00267D0C"/>
    <w:rsid w:val="00267D12"/>
    <w:rsid w:val="00267D6B"/>
    <w:rsid w:val="00267DBD"/>
    <w:rsid w:val="00267DC7"/>
    <w:rsid w:val="00267E17"/>
    <w:rsid w:val="00267EC1"/>
    <w:rsid w:val="00267EE9"/>
    <w:rsid w:val="00267F27"/>
    <w:rsid w:val="00267F98"/>
    <w:rsid w:val="00267FD2"/>
    <w:rsid w:val="0027000D"/>
    <w:rsid w:val="0027004D"/>
    <w:rsid w:val="0027004F"/>
    <w:rsid w:val="0027008E"/>
    <w:rsid w:val="0027009A"/>
    <w:rsid w:val="0027017B"/>
    <w:rsid w:val="00270182"/>
    <w:rsid w:val="002701C4"/>
    <w:rsid w:val="00270215"/>
    <w:rsid w:val="0027023E"/>
    <w:rsid w:val="00270265"/>
    <w:rsid w:val="0027028B"/>
    <w:rsid w:val="00270314"/>
    <w:rsid w:val="0027033D"/>
    <w:rsid w:val="0027035F"/>
    <w:rsid w:val="00270390"/>
    <w:rsid w:val="00270392"/>
    <w:rsid w:val="002703BD"/>
    <w:rsid w:val="00270409"/>
    <w:rsid w:val="00270432"/>
    <w:rsid w:val="00270454"/>
    <w:rsid w:val="0027048C"/>
    <w:rsid w:val="002704E6"/>
    <w:rsid w:val="00270522"/>
    <w:rsid w:val="00270548"/>
    <w:rsid w:val="002705A4"/>
    <w:rsid w:val="002705AC"/>
    <w:rsid w:val="002705B1"/>
    <w:rsid w:val="002705BD"/>
    <w:rsid w:val="002705BF"/>
    <w:rsid w:val="002705CB"/>
    <w:rsid w:val="00270624"/>
    <w:rsid w:val="0027062C"/>
    <w:rsid w:val="00270663"/>
    <w:rsid w:val="0027066E"/>
    <w:rsid w:val="002706DE"/>
    <w:rsid w:val="00270705"/>
    <w:rsid w:val="0027072D"/>
    <w:rsid w:val="0027073D"/>
    <w:rsid w:val="0027076C"/>
    <w:rsid w:val="0027080A"/>
    <w:rsid w:val="00270862"/>
    <w:rsid w:val="00270893"/>
    <w:rsid w:val="00270899"/>
    <w:rsid w:val="002708D5"/>
    <w:rsid w:val="002708F4"/>
    <w:rsid w:val="002708FD"/>
    <w:rsid w:val="002708FE"/>
    <w:rsid w:val="00270906"/>
    <w:rsid w:val="00270960"/>
    <w:rsid w:val="0027097B"/>
    <w:rsid w:val="00270991"/>
    <w:rsid w:val="002709A4"/>
    <w:rsid w:val="002709B3"/>
    <w:rsid w:val="002709EF"/>
    <w:rsid w:val="00270A37"/>
    <w:rsid w:val="00270A3F"/>
    <w:rsid w:val="00270A6A"/>
    <w:rsid w:val="00270AEB"/>
    <w:rsid w:val="00270B0A"/>
    <w:rsid w:val="00270B1C"/>
    <w:rsid w:val="00270B29"/>
    <w:rsid w:val="00270B53"/>
    <w:rsid w:val="00270B61"/>
    <w:rsid w:val="00270BD8"/>
    <w:rsid w:val="00270BF2"/>
    <w:rsid w:val="00270C0E"/>
    <w:rsid w:val="00270C22"/>
    <w:rsid w:val="00270C7B"/>
    <w:rsid w:val="00270C83"/>
    <w:rsid w:val="00270C8B"/>
    <w:rsid w:val="00270D23"/>
    <w:rsid w:val="00270D53"/>
    <w:rsid w:val="00270D67"/>
    <w:rsid w:val="00270D97"/>
    <w:rsid w:val="00270DB1"/>
    <w:rsid w:val="00270DDB"/>
    <w:rsid w:val="00270DE9"/>
    <w:rsid w:val="00270E89"/>
    <w:rsid w:val="00270ECA"/>
    <w:rsid w:val="00270EF5"/>
    <w:rsid w:val="00270F5B"/>
    <w:rsid w:val="00270FB1"/>
    <w:rsid w:val="0027105A"/>
    <w:rsid w:val="002710E1"/>
    <w:rsid w:val="002710E4"/>
    <w:rsid w:val="002710EC"/>
    <w:rsid w:val="002710F3"/>
    <w:rsid w:val="0027111B"/>
    <w:rsid w:val="00271122"/>
    <w:rsid w:val="00271234"/>
    <w:rsid w:val="00271245"/>
    <w:rsid w:val="00271269"/>
    <w:rsid w:val="0027127A"/>
    <w:rsid w:val="002712AD"/>
    <w:rsid w:val="00271347"/>
    <w:rsid w:val="00271361"/>
    <w:rsid w:val="00271383"/>
    <w:rsid w:val="002713D1"/>
    <w:rsid w:val="002713DD"/>
    <w:rsid w:val="0027144C"/>
    <w:rsid w:val="00271474"/>
    <w:rsid w:val="0027147A"/>
    <w:rsid w:val="002714F6"/>
    <w:rsid w:val="0027150B"/>
    <w:rsid w:val="00271542"/>
    <w:rsid w:val="00271567"/>
    <w:rsid w:val="002715C9"/>
    <w:rsid w:val="00271611"/>
    <w:rsid w:val="00271651"/>
    <w:rsid w:val="00271652"/>
    <w:rsid w:val="00271678"/>
    <w:rsid w:val="002716CB"/>
    <w:rsid w:val="002716CE"/>
    <w:rsid w:val="002716DA"/>
    <w:rsid w:val="002716DE"/>
    <w:rsid w:val="002716F9"/>
    <w:rsid w:val="00271708"/>
    <w:rsid w:val="00271715"/>
    <w:rsid w:val="00271722"/>
    <w:rsid w:val="00271729"/>
    <w:rsid w:val="00271747"/>
    <w:rsid w:val="00271762"/>
    <w:rsid w:val="002717A0"/>
    <w:rsid w:val="002717D4"/>
    <w:rsid w:val="00271806"/>
    <w:rsid w:val="0027185D"/>
    <w:rsid w:val="0027186D"/>
    <w:rsid w:val="0027187D"/>
    <w:rsid w:val="0027188B"/>
    <w:rsid w:val="002718B4"/>
    <w:rsid w:val="00271918"/>
    <w:rsid w:val="0027191F"/>
    <w:rsid w:val="00271966"/>
    <w:rsid w:val="00271983"/>
    <w:rsid w:val="00271986"/>
    <w:rsid w:val="00271A16"/>
    <w:rsid w:val="00271A58"/>
    <w:rsid w:val="00271A62"/>
    <w:rsid w:val="00271A86"/>
    <w:rsid w:val="00271A9B"/>
    <w:rsid w:val="00271AA6"/>
    <w:rsid w:val="00271B23"/>
    <w:rsid w:val="00271B47"/>
    <w:rsid w:val="00271B9E"/>
    <w:rsid w:val="00271C20"/>
    <w:rsid w:val="00271C32"/>
    <w:rsid w:val="00271C3A"/>
    <w:rsid w:val="00271C4C"/>
    <w:rsid w:val="00271C51"/>
    <w:rsid w:val="00271C6C"/>
    <w:rsid w:val="00271C7B"/>
    <w:rsid w:val="00271C86"/>
    <w:rsid w:val="00271CAF"/>
    <w:rsid w:val="00271CB7"/>
    <w:rsid w:val="00271CBA"/>
    <w:rsid w:val="00271CBE"/>
    <w:rsid w:val="00271D17"/>
    <w:rsid w:val="00271D46"/>
    <w:rsid w:val="00271D4B"/>
    <w:rsid w:val="00271D84"/>
    <w:rsid w:val="00271D90"/>
    <w:rsid w:val="00271DA0"/>
    <w:rsid w:val="00271E12"/>
    <w:rsid w:val="00271E3C"/>
    <w:rsid w:val="00271E66"/>
    <w:rsid w:val="00271E72"/>
    <w:rsid w:val="00271ECD"/>
    <w:rsid w:val="00271FC9"/>
    <w:rsid w:val="00272042"/>
    <w:rsid w:val="00272047"/>
    <w:rsid w:val="0027206D"/>
    <w:rsid w:val="00272095"/>
    <w:rsid w:val="002720A8"/>
    <w:rsid w:val="002720DD"/>
    <w:rsid w:val="002720F6"/>
    <w:rsid w:val="00272169"/>
    <w:rsid w:val="00272180"/>
    <w:rsid w:val="002721B1"/>
    <w:rsid w:val="002721D7"/>
    <w:rsid w:val="00272225"/>
    <w:rsid w:val="00272278"/>
    <w:rsid w:val="002722FE"/>
    <w:rsid w:val="00272324"/>
    <w:rsid w:val="0027239E"/>
    <w:rsid w:val="00272479"/>
    <w:rsid w:val="0027247D"/>
    <w:rsid w:val="002724DB"/>
    <w:rsid w:val="002724E2"/>
    <w:rsid w:val="002724E6"/>
    <w:rsid w:val="0027250D"/>
    <w:rsid w:val="00272579"/>
    <w:rsid w:val="002725C6"/>
    <w:rsid w:val="002725D6"/>
    <w:rsid w:val="0027260D"/>
    <w:rsid w:val="00272625"/>
    <w:rsid w:val="0027268E"/>
    <w:rsid w:val="002726B0"/>
    <w:rsid w:val="002726DB"/>
    <w:rsid w:val="00272797"/>
    <w:rsid w:val="0027279C"/>
    <w:rsid w:val="002727E9"/>
    <w:rsid w:val="00272839"/>
    <w:rsid w:val="00272862"/>
    <w:rsid w:val="002728BC"/>
    <w:rsid w:val="002728C2"/>
    <w:rsid w:val="002728DF"/>
    <w:rsid w:val="002728E5"/>
    <w:rsid w:val="00272939"/>
    <w:rsid w:val="00272952"/>
    <w:rsid w:val="00272A84"/>
    <w:rsid w:val="00272A89"/>
    <w:rsid w:val="00272A8E"/>
    <w:rsid w:val="00272AF4"/>
    <w:rsid w:val="00272B87"/>
    <w:rsid w:val="00272BB8"/>
    <w:rsid w:val="00272BCD"/>
    <w:rsid w:val="00272BEF"/>
    <w:rsid w:val="00272D22"/>
    <w:rsid w:val="00272D7B"/>
    <w:rsid w:val="00272DC7"/>
    <w:rsid w:val="00272DFC"/>
    <w:rsid w:val="00272E77"/>
    <w:rsid w:val="00272E88"/>
    <w:rsid w:val="00272F2C"/>
    <w:rsid w:val="00272F4E"/>
    <w:rsid w:val="00272F7C"/>
    <w:rsid w:val="00272F8C"/>
    <w:rsid w:val="00272F91"/>
    <w:rsid w:val="00272FE4"/>
    <w:rsid w:val="00273038"/>
    <w:rsid w:val="0027307B"/>
    <w:rsid w:val="0027309B"/>
    <w:rsid w:val="002730AC"/>
    <w:rsid w:val="002730BB"/>
    <w:rsid w:val="002730C0"/>
    <w:rsid w:val="00273103"/>
    <w:rsid w:val="002731B8"/>
    <w:rsid w:val="002731F7"/>
    <w:rsid w:val="002731FA"/>
    <w:rsid w:val="002731FF"/>
    <w:rsid w:val="00273218"/>
    <w:rsid w:val="0027327C"/>
    <w:rsid w:val="0027327E"/>
    <w:rsid w:val="002732C4"/>
    <w:rsid w:val="002732CE"/>
    <w:rsid w:val="00273346"/>
    <w:rsid w:val="0027335D"/>
    <w:rsid w:val="00273398"/>
    <w:rsid w:val="002733BA"/>
    <w:rsid w:val="0027340E"/>
    <w:rsid w:val="0027343F"/>
    <w:rsid w:val="0027347C"/>
    <w:rsid w:val="002734B3"/>
    <w:rsid w:val="002734F0"/>
    <w:rsid w:val="00273505"/>
    <w:rsid w:val="00273512"/>
    <w:rsid w:val="00273517"/>
    <w:rsid w:val="00273553"/>
    <w:rsid w:val="00273584"/>
    <w:rsid w:val="002735A5"/>
    <w:rsid w:val="00273614"/>
    <w:rsid w:val="00273626"/>
    <w:rsid w:val="00273677"/>
    <w:rsid w:val="0027368D"/>
    <w:rsid w:val="002736A0"/>
    <w:rsid w:val="002736C5"/>
    <w:rsid w:val="002736CA"/>
    <w:rsid w:val="002736E6"/>
    <w:rsid w:val="002736EB"/>
    <w:rsid w:val="0027375E"/>
    <w:rsid w:val="00273774"/>
    <w:rsid w:val="0027378E"/>
    <w:rsid w:val="002737CA"/>
    <w:rsid w:val="002737DE"/>
    <w:rsid w:val="0027380C"/>
    <w:rsid w:val="00273824"/>
    <w:rsid w:val="00273825"/>
    <w:rsid w:val="00273853"/>
    <w:rsid w:val="0027385F"/>
    <w:rsid w:val="002738AB"/>
    <w:rsid w:val="002738C6"/>
    <w:rsid w:val="002738D0"/>
    <w:rsid w:val="00273952"/>
    <w:rsid w:val="00273989"/>
    <w:rsid w:val="002739D0"/>
    <w:rsid w:val="00273A49"/>
    <w:rsid w:val="00273A66"/>
    <w:rsid w:val="00273AF2"/>
    <w:rsid w:val="00273AF4"/>
    <w:rsid w:val="00273AF7"/>
    <w:rsid w:val="00273B18"/>
    <w:rsid w:val="00273B1E"/>
    <w:rsid w:val="00273B56"/>
    <w:rsid w:val="00273B92"/>
    <w:rsid w:val="00273BB9"/>
    <w:rsid w:val="00273BE5"/>
    <w:rsid w:val="00273BED"/>
    <w:rsid w:val="00273C03"/>
    <w:rsid w:val="00273C0F"/>
    <w:rsid w:val="00273C16"/>
    <w:rsid w:val="00273C26"/>
    <w:rsid w:val="00273C4C"/>
    <w:rsid w:val="00273C51"/>
    <w:rsid w:val="00273C7A"/>
    <w:rsid w:val="00273CCB"/>
    <w:rsid w:val="00273CE0"/>
    <w:rsid w:val="00273CED"/>
    <w:rsid w:val="00273D3D"/>
    <w:rsid w:val="00273D3F"/>
    <w:rsid w:val="00273D8C"/>
    <w:rsid w:val="00273DA4"/>
    <w:rsid w:val="00273E3D"/>
    <w:rsid w:val="00273E62"/>
    <w:rsid w:val="00273EA8"/>
    <w:rsid w:val="00273EFD"/>
    <w:rsid w:val="00273F12"/>
    <w:rsid w:val="00273F46"/>
    <w:rsid w:val="00273F49"/>
    <w:rsid w:val="00273F62"/>
    <w:rsid w:val="00273F7A"/>
    <w:rsid w:val="00273FAE"/>
    <w:rsid w:val="00273FF3"/>
    <w:rsid w:val="00274025"/>
    <w:rsid w:val="00274028"/>
    <w:rsid w:val="00274074"/>
    <w:rsid w:val="002740A8"/>
    <w:rsid w:val="002740BA"/>
    <w:rsid w:val="0027414B"/>
    <w:rsid w:val="0027415D"/>
    <w:rsid w:val="002741A3"/>
    <w:rsid w:val="002741AD"/>
    <w:rsid w:val="00274213"/>
    <w:rsid w:val="00274243"/>
    <w:rsid w:val="00274266"/>
    <w:rsid w:val="00274307"/>
    <w:rsid w:val="0027431A"/>
    <w:rsid w:val="00274322"/>
    <w:rsid w:val="00274325"/>
    <w:rsid w:val="0027439A"/>
    <w:rsid w:val="002743B8"/>
    <w:rsid w:val="002743C2"/>
    <w:rsid w:val="002743F9"/>
    <w:rsid w:val="0027443D"/>
    <w:rsid w:val="002744B4"/>
    <w:rsid w:val="0027459C"/>
    <w:rsid w:val="002745F2"/>
    <w:rsid w:val="0027465D"/>
    <w:rsid w:val="00274670"/>
    <w:rsid w:val="002746C0"/>
    <w:rsid w:val="002746C3"/>
    <w:rsid w:val="0027470A"/>
    <w:rsid w:val="00274712"/>
    <w:rsid w:val="00274713"/>
    <w:rsid w:val="00274730"/>
    <w:rsid w:val="00274732"/>
    <w:rsid w:val="00274798"/>
    <w:rsid w:val="0027479A"/>
    <w:rsid w:val="002747BA"/>
    <w:rsid w:val="002747F6"/>
    <w:rsid w:val="00274800"/>
    <w:rsid w:val="0027483A"/>
    <w:rsid w:val="0027490D"/>
    <w:rsid w:val="002749FD"/>
    <w:rsid w:val="00274A57"/>
    <w:rsid w:val="00274A68"/>
    <w:rsid w:val="00274A71"/>
    <w:rsid w:val="00274A8E"/>
    <w:rsid w:val="00274AC4"/>
    <w:rsid w:val="00274B11"/>
    <w:rsid w:val="00274B29"/>
    <w:rsid w:val="00274C19"/>
    <w:rsid w:val="00274C83"/>
    <w:rsid w:val="00274C87"/>
    <w:rsid w:val="00274C8A"/>
    <w:rsid w:val="00274C95"/>
    <w:rsid w:val="00274CA9"/>
    <w:rsid w:val="00274CE2"/>
    <w:rsid w:val="00274CF1"/>
    <w:rsid w:val="00274D63"/>
    <w:rsid w:val="00274D8C"/>
    <w:rsid w:val="00274D8D"/>
    <w:rsid w:val="00274DA2"/>
    <w:rsid w:val="00274E1C"/>
    <w:rsid w:val="00274F1E"/>
    <w:rsid w:val="00274F36"/>
    <w:rsid w:val="00274F61"/>
    <w:rsid w:val="00274F68"/>
    <w:rsid w:val="00274FC3"/>
    <w:rsid w:val="00274FE3"/>
    <w:rsid w:val="00274FFD"/>
    <w:rsid w:val="00274FFF"/>
    <w:rsid w:val="00275043"/>
    <w:rsid w:val="00275084"/>
    <w:rsid w:val="0027509F"/>
    <w:rsid w:val="00275115"/>
    <w:rsid w:val="002751A7"/>
    <w:rsid w:val="00275259"/>
    <w:rsid w:val="0027529C"/>
    <w:rsid w:val="002752DD"/>
    <w:rsid w:val="002752EE"/>
    <w:rsid w:val="00275341"/>
    <w:rsid w:val="00275366"/>
    <w:rsid w:val="00275377"/>
    <w:rsid w:val="0027538C"/>
    <w:rsid w:val="00275407"/>
    <w:rsid w:val="00275454"/>
    <w:rsid w:val="002754B1"/>
    <w:rsid w:val="002754C9"/>
    <w:rsid w:val="002754E7"/>
    <w:rsid w:val="0027554D"/>
    <w:rsid w:val="0027556C"/>
    <w:rsid w:val="00275583"/>
    <w:rsid w:val="0027559E"/>
    <w:rsid w:val="002755AD"/>
    <w:rsid w:val="002755D7"/>
    <w:rsid w:val="00275610"/>
    <w:rsid w:val="0027566F"/>
    <w:rsid w:val="002756B2"/>
    <w:rsid w:val="00275742"/>
    <w:rsid w:val="00275743"/>
    <w:rsid w:val="00275758"/>
    <w:rsid w:val="0027575B"/>
    <w:rsid w:val="002757AE"/>
    <w:rsid w:val="002757F8"/>
    <w:rsid w:val="0027580F"/>
    <w:rsid w:val="00275827"/>
    <w:rsid w:val="00275856"/>
    <w:rsid w:val="002758BE"/>
    <w:rsid w:val="0027590B"/>
    <w:rsid w:val="0027591D"/>
    <w:rsid w:val="00275A3B"/>
    <w:rsid w:val="00275A70"/>
    <w:rsid w:val="00275A82"/>
    <w:rsid w:val="00275B2A"/>
    <w:rsid w:val="00275B7D"/>
    <w:rsid w:val="00275BC3"/>
    <w:rsid w:val="00275BED"/>
    <w:rsid w:val="00275BFD"/>
    <w:rsid w:val="00275C16"/>
    <w:rsid w:val="00275C3A"/>
    <w:rsid w:val="00275C85"/>
    <w:rsid w:val="00275CB5"/>
    <w:rsid w:val="00275CBB"/>
    <w:rsid w:val="00275D37"/>
    <w:rsid w:val="00275D63"/>
    <w:rsid w:val="00275D68"/>
    <w:rsid w:val="00275D80"/>
    <w:rsid w:val="00275D84"/>
    <w:rsid w:val="00275D8B"/>
    <w:rsid w:val="00275DB6"/>
    <w:rsid w:val="00275DC9"/>
    <w:rsid w:val="00275DDB"/>
    <w:rsid w:val="00275DEB"/>
    <w:rsid w:val="00275DEE"/>
    <w:rsid w:val="00275E06"/>
    <w:rsid w:val="00275E75"/>
    <w:rsid w:val="00275EA8"/>
    <w:rsid w:val="00275EBC"/>
    <w:rsid w:val="00275F11"/>
    <w:rsid w:val="00275F87"/>
    <w:rsid w:val="00275FAC"/>
    <w:rsid w:val="00275FC9"/>
    <w:rsid w:val="00275FD9"/>
    <w:rsid w:val="00275FF0"/>
    <w:rsid w:val="00276001"/>
    <w:rsid w:val="00276017"/>
    <w:rsid w:val="0027603A"/>
    <w:rsid w:val="002760AA"/>
    <w:rsid w:val="0027610B"/>
    <w:rsid w:val="00276111"/>
    <w:rsid w:val="00276160"/>
    <w:rsid w:val="002761BB"/>
    <w:rsid w:val="00276205"/>
    <w:rsid w:val="00276228"/>
    <w:rsid w:val="002762E3"/>
    <w:rsid w:val="002762F5"/>
    <w:rsid w:val="00276346"/>
    <w:rsid w:val="00276385"/>
    <w:rsid w:val="002763B8"/>
    <w:rsid w:val="00276411"/>
    <w:rsid w:val="0027642B"/>
    <w:rsid w:val="00276490"/>
    <w:rsid w:val="00276491"/>
    <w:rsid w:val="00276526"/>
    <w:rsid w:val="002765A8"/>
    <w:rsid w:val="00276617"/>
    <w:rsid w:val="00276659"/>
    <w:rsid w:val="00276675"/>
    <w:rsid w:val="00276757"/>
    <w:rsid w:val="00276772"/>
    <w:rsid w:val="00276774"/>
    <w:rsid w:val="00276795"/>
    <w:rsid w:val="002767A1"/>
    <w:rsid w:val="002767F9"/>
    <w:rsid w:val="002767FA"/>
    <w:rsid w:val="0027681F"/>
    <w:rsid w:val="0027688B"/>
    <w:rsid w:val="002768AA"/>
    <w:rsid w:val="00276928"/>
    <w:rsid w:val="00276935"/>
    <w:rsid w:val="0027694C"/>
    <w:rsid w:val="00276956"/>
    <w:rsid w:val="002769DA"/>
    <w:rsid w:val="002769DE"/>
    <w:rsid w:val="002769EE"/>
    <w:rsid w:val="00276A86"/>
    <w:rsid w:val="00276ABB"/>
    <w:rsid w:val="00276AD9"/>
    <w:rsid w:val="00276AE0"/>
    <w:rsid w:val="00276B03"/>
    <w:rsid w:val="00276B36"/>
    <w:rsid w:val="00276B59"/>
    <w:rsid w:val="00276B6B"/>
    <w:rsid w:val="00276C5F"/>
    <w:rsid w:val="00276C6D"/>
    <w:rsid w:val="00276CCA"/>
    <w:rsid w:val="00276D0D"/>
    <w:rsid w:val="00276D4E"/>
    <w:rsid w:val="00276D72"/>
    <w:rsid w:val="00276D81"/>
    <w:rsid w:val="00276DBF"/>
    <w:rsid w:val="00276DF4"/>
    <w:rsid w:val="00276E02"/>
    <w:rsid w:val="00276E4A"/>
    <w:rsid w:val="00276EB2"/>
    <w:rsid w:val="00276F91"/>
    <w:rsid w:val="00276FC6"/>
    <w:rsid w:val="00276FEB"/>
    <w:rsid w:val="00277005"/>
    <w:rsid w:val="00277058"/>
    <w:rsid w:val="0027705F"/>
    <w:rsid w:val="00277080"/>
    <w:rsid w:val="002770AE"/>
    <w:rsid w:val="002770CC"/>
    <w:rsid w:val="002770EA"/>
    <w:rsid w:val="0027711E"/>
    <w:rsid w:val="0027714E"/>
    <w:rsid w:val="002771CA"/>
    <w:rsid w:val="0027720A"/>
    <w:rsid w:val="0027727E"/>
    <w:rsid w:val="00277291"/>
    <w:rsid w:val="002772BB"/>
    <w:rsid w:val="00277303"/>
    <w:rsid w:val="00277349"/>
    <w:rsid w:val="002773A2"/>
    <w:rsid w:val="002773FE"/>
    <w:rsid w:val="00277459"/>
    <w:rsid w:val="0027748E"/>
    <w:rsid w:val="0027749A"/>
    <w:rsid w:val="00277604"/>
    <w:rsid w:val="0027766A"/>
    <w:rsid w:val="0027767F"/>
    <w:rsid w:val="0027768F"/>
    <w:rsid w:val="002776FD"/>
    <w:rsid w:val="0027770B"/>
    <w:rsid w:val="0027770F"/>
    <w:rsid w:val="00277715"/>
    <w:rsid w:val="0027774E"/>
    <w:rsid w:val="0027782B"/>
    <w:rsid w:val="0027787E"/>
    <w:rsid w:val="002778D4"/>
    <w:rsid w:val="00277968"/>
    <w:rsid w:val="0027796B"/>
    <w:rsid w:val="002779E2"/>
    <w:rsid w:val="00277A18"/>
    <w:rsid w:val="00277A25"/>
    <w:rsid w:val="00277A56"/>
    <w:rsid w:val="00277A60"/>
    <w:rsid w:val="00277A6C"/>
    <w:rsid w:val="00277AA9"/>
    <w:rsid w:val="00277AFB"/>
    <w:rsid w:val="00277AFD"/>
    <w:rsid w:val="00277B4B"/>
    <w:rsid w:val="00277B80"/>
    <w:rsid w:val="00277B81"/>
    <w:rsid w:val="00277BB6"/>
    <w:rsid w:val="00277BC4"/>
    <w:rsid w:val="00277C22"/>
    <w:rsid w:val="00277C8B"/>
    <w:rsid w:val="00277CBA"/>
    <w:rsid w:val="00277CC5"/>
    <w:rsid w:val="00277CE9"/>
    <w:rsid w:val="00277D78"/>
    <w:rsid w:val="00277DFD"/>
    <w:rsid w:val="00277E07"/>
    <w:rsid w:val="00277E66"/>
    <w:rsid w:val="00277E97"/>
    <w:rsid w:val="00277EE4"/>
    <w:rsid w:val="00277EFC"/>
    <w:rsid w:val="00277F05"/>
    <w:rsid w:val="00280055"/>
    <w:rsid w:val="0028007E"/>
    <w:rsid w:val="00280095"/>
    <w:rsid w:val="002800D2"/>
    <w:rsid w:val="00280191"/>
    <w:rsid w:val="002801DD"/>
    <w:rsid w:val="00280202"/>
    <w:rsid w:val="00280213"/>
    <w:rsid w:val="0028022E"/>
    <w:rsid w:val="00280242"/>
    <w:rsid w:val="00280243"/>
    <w:rsid w:val="00280246"/>
    <w:rsid w:val="00280264"/>
    <w:rsid w:val="002802CC"/>
    <w:rsid w:val="0028037B"/>
    <w:rsid w:val="002803B8"/>
    <w:rsid w:val="002803F0"/>
    <w:rsid w:val="002803F7"/>
    <w:rsid w:val="0028041F"/>
    <w:rsid w:val="00280603"/>
    <w:rsid w:val="00280640"/>
    <w:rsid w:val="00280673"/>
    <w:rsid w:val="0028067B"/>
    <w:rsid w:val="00280683"/>
    <w:rsid w:val="002806D3"/>
    <w:rsid w:val="002807BD"/>
    <w:rsid w:val="002807DD"/>
    <w:rsid w:val="002807E0"/>
    <w:rsid w:val="002807FA"/>
    <w:rsid w:val="00280806"/>
    <w:rsid w:val="0028088E"/>
    <w:rsid w:val="002808B2"/>
    <w:rsid w:val="002808ED"/>
    <w:rsid w:val="002809F4"/>
    <w:rsid w:val="002809F5"/>
    <w:rsid w:val="00280A26"/>
    <w:rsid w:val="00280A48"/>
    <w:rsid w:val="00280A49"/>
    <w:rsid w:val="00280A8B"/>
    <w:rsid w:val="00280A8C"/>
    <w:rsid w:val="00280ACC"/>
    <w:rsid w:val="00280ADF"/>
    <w:rsid w:val="00280AF0"/>
    <w:rsid w:val="00280B23"/>
    <w:rsid w:val="00280B3D"/>
    <w:rsid w:val="00280B91"/>
    <w:rsid w:val="00280BA3"/>
    <w:rsid w:val="00280BA7"/>
    <w:rsid w:val="00280BCB"/>
    <w:rsid w:val="00280C0C"/>
    <w:rsid w:val="00280C0D"/>
    <w:rsid w:val="00280C37"/>
    <w:rsid w:val="00280C39"/>
    <w:rsid w:val="00280C9F"/>
    <w:rsid w:val="00280CB9"/>
    <w:rsid w:val="00280CE2"/>
    <w:rsid w:val="00280CF1"/>
    <w:rsid w:val="00280D62"/>
    <w:rsid w:val="00280DBC"/>
    <w:rsid w:val="00280DD5"/>
    <w:rsid w:val="00280DDB"/>
    <w:rsid w:val="00280DF1"/>
    <w:rsid w:val="00280E13"/>
    <w:rsid w:val="00280E55"/>
    <w:rsid w:val="00280EF5"/>
    <w:rsid w:val="00280F1A"/>
    <w:rsid w:val="00280F1B"/>
    <w:rsid w:val="00280F7D"/>
    <w:rsid w:val="00280FBC"/>
    <w:rsid w:val="00281009"/>
    <w:rsid w:val="00281055"/>
    <w:rsid w:val="00281090"/>
    <w:rsid w:val="002810CF"/>
    <w:rsid w:val="002810D8"/>
    <w:rsid w:val="002810E5"/>
    <w:rsid w:val="00281129"/>
    <w:rsid w:val="00281157"/>
    <w:rsid w:val="0028115A"/>
    <w:rsid w:val="0028116C"/>
    <w:rsid w:val="00281193"/>
    <w:rsid w:val="002811B0"/>
    <w:rsid w:val="002811D9"/>
    <w:rsid w:val="002811DA"/>
    <w:rsid w:val="0028125E"/>
    <w:rsid w:val="00281264"/>
    <w:rsid w:val="00281323"/>
    <w:rsid w:val="002813C0"/>
    <w:rsid w:val="00281425"/>
    <w:rsid w:val="00281441"/>
    <w:rsid w:val="00281463"/>
    <w:rsid w:val="002814A4"/>
    <w:rsid w:val="002814A6"/>
    <w:rsid w:val="0028157D"/>
    <w:rsid w:val="00281582"/>
    <w:rsid w:val="002815C8"/>
    <w:rsid w:val="002815C9"/>
    <w:rsid w:val="002815D3"/>
    <w:rsid w:val="002815EE"/>
    <w:rsid w:val="002815F7"/>
    <w:rsid w:val="0028160E"/>
    <w:rsid w:val="0028166D"/>
    <w:rsid w:val="002816A5"/>
    <w:rsid w:val="002816C4"/>
    <w:rsid w:val="002816E0"/>
    <w:rsid w:val="002816E6"/>
    <w:rsid w:val="00281793"/>
    <w:rsid w:val="002817C9"/>
    <w:rsid w:val="00281811"/>
    <w:rsid w:val="00281830"/>
    <w:rsid w:val="0028183F"/>
    <w:rsid w:val="00281884"/>
    <w:rsid w:val="002818A1"/>
    <w:rsid w:val="002818F4"/>
    <w:rsid w:val="0028191F"/>
    <w:rsid w:val="00281928"/>
    <w:rsid w:val="00281938"/>
    <w:rsid w:val="0028193C"/>
    <w:rsid w:val="0028193F"/>
    <w:rsid w:val="00281975"/>
    <w:rsid w:val="002819A7"/>
    <w:rsid w:val="002819B5"/>
    <w:rsid w:val="002819E0"/>
    <w:rsid w:val="00281AA4"/>
    <w:rsid w:val="00281B06"/>
    <w:rsid w:val="00281B17"/>
    <w:rsid w:val="00281B59"/>
    <w:rsid w:val="00281B95"/>
    <w:rsid w:val="00281B9E"/>
    <w:rsid w:val="00281BA0"/>
    <w:rsid w:val="00281BA8"/>
    <w:rsid w:val="00281BC3"/>
    <w:rsid w:val="00281C00"/>
    <w:rsid w:val="00281C12"/>
    <w:rsid w:val="00281C74"/>
    <w:rsid w:val="00281C87"/>
    <w:rsid w:val="00281D06"/>
    <w:rsid w:val="00281D0B"/>
    <w:rsid w:val="00281D25"/>
    <w:rsid w:val="00281D2C"/>
    <w:rsid w:val="00281D32"/>
    <w:rsid w:val="00281D96"/>
    <w:rsid w:val="00281DC6"/>
    <w:rsid w:val="00281DD5"/>
    <w:rsid w:val="00281DFA"/>
    <w:rsid w:val="00281E20"/>
    <w:rsid w:val="00281E43"/>
    <w:rsid w:val="00281E57"/>
    <w:rsid w:val="00281E74"/>
    <w:rsid w:val="00281EAC"/>
    <w:rsid w:val="00281F52"/>
    <w:rsid w:val="00281F7D"/>
    <w:rsid w:val="00281FC0"/>
    <w:rsid w:val="00282044"/>
    <w:rsid w:val="00282054"/>
    <w:rsid w:val="00282077"/>
    <w:rsid w:val="002820B0"/>
    <w:rsid w:val="002820CD"/>
    <w:rsid w:val="00282110"/>
    <w:rsid w:val="0028211D"/>
    <w:rsid w:val="002821A2"/>
    <w:rsid w:val="002821E3"/>
    <w:rsid w:val="0028222D"/>
    <w:rsid w:val="00282259"/>
    <w:rsid w:val="00282270"/>
    <w:rsid w:val="00282290"/>
    <w:rsid w:val="002822AA"/>
    <w:rsid w:val="002822FE"/>
    <w:rsid w:val="00282302"/>
    <w:rsid w:val="00282346"/>
    <w:rsid w:val="0028235F"/>
    <w:rsid w:val="00282380"/>
    <w:rsid w:val="002823B0"/>
    <w:rsid w:val="002823ED"/>
    <w:rsid w:val="00282426"/>
    <w:rsid w:val="0028244E"/>
    <w:rsid w:val="00282472"/>
    <w:rsid w:val="00282527"/>
    <w:rsid w:val="00282531"/>
    <w:rsid w:val="00282574"/>
    <w:rsid w:val="00282595"/>
    <w:rsid w:val="0028259F"/>
    <w:rsid w:val="002825E1"/>
    <w:rsid w:val="002825E5"/>
    <w:rsid w:val="002825FC"/>
    <w:rsid w:val="00282654"/>
    <w:rsid w:val="00282698"/>
    <w:rsid w:val="00282699"/>
    <w:rsid w:val="0028270D"/>
    <w:rsid w:val="00282718"/>
    <w:rsid w:val="0028271A"/>
    <w:rsid w:val="0028278D"/>
    <w:rsid w:val="002827A2"/>
    <w:rsid w:val="00282831"/>
    <w:rsid w:val="00282842"/>
    <w:rsid w:val="0028285E"/>
    <w:rsid w:val="0028285F"/>
    <w:rsid w:val="002828ED"/>
    <w:rsid w:val="0028293A"/>
    <w:rsid w:val="002829B3"/>
    <w:rsid w:val="002829D2"/>
    <w:rsid w:val="00282A06"/>
    <w:rsid w:val="00282A14"/>
    <w:rsid w:val="00282A22"/>
    <w:rsid w:val="00282A38"/>
    <w:rsid w:val="00282AC2"/>
    <w:rsid w:val="00282AD3"/>
    <w:rsid w:val="00282B51"/>
    <w:rsid w:val="00282B96"/>
    <w:rsid w:val="00282BE1"/>
    <w:rsid w:val="00282C00"/>
    <w:rsid w:val="00282C64"/>
    <w:rsid w:val="00282C91"/>
    <w:rsid w:val="00282CAC"/>
    <w:rsid w:val="00282CDB"/>
    <w:rsid w:val="00282CF7"/>
    <w:rsid w:val="00282CF9"/>
    <w:rsid w:val="00282CFB"/>
    <w:rsid w:val="00282D20"/>
    <w:rsid w:val="00282D46"/>
    <w:rsid w:val="00282D5A"/>
    <w:rsid w:val="00282DBC"/>
    <w:rsid w:val="00282E13"/>
    <w:rsid w:val="00282E3A"/>
    <w:rsid w:val="00282E70"/>
    <w:rsid w:val="00282E86"/>
    <w:rsid w:val="00282F35"/>
    <w:rsid w:val="00282F64"/>
    <w:rsid w:val="00282F73"/>
    <w:rsid w:val="00282F9D"/>
    <w:rsid w:val="00282FC5"/>
    <w:rsid w:val="00282FF3"/>
    <w:rsid w:val="0028304D"/>
    <w:rsid w:val="0028304F"/>
    <w:rsid w:val="0028309F"/>
    <w:rsid w:val="002830B8"/>
    <w:rsid w:val="002830D0"/>
    <w:rsid w:val="002830FA"/>
    <w:rsid w:val="0028310E"/>
    <w:rsid w:val="0028313E"/>
    <w:rsid w:val="002831AE"/>
    <w:rsid w:val="002831E5"/>
    <w:rsid w:val="002831F9"/>
    <w:rsid w:val="00283209"/>
    <w:rsid w:val="0028320B"/>
    <w:rsid w:val="0028322C"/>
    <w:rsid w:val="00283233"/>
    <w:rsid w:val="0028325C"/>
    <w:rsid w:val="00283292"/>
    <w:rsid w:val="002832AF"/>
    <w:rsid w:val="002832D1"/>
    <w:rsid w:val="002832E8"/>
    <w:rsid w:val="002832FC"/>
    <w:rsid w:val="00283300"/>
    <w:rsid w:val="00283378"/>
    <w:rsid w:val="002833E3"/>
    <w:rsid w:val="002833E5"/>
    <w:rsid w:val="00283421"/>
    <w:rsid w:val="00283448"/>
    <w:rsid w:val="0028346B"/>
    <w:rsid w:val="0028349D"/>
    <w:rsid w:val="002834B4"/>
    <w:rsid w:val="002834E4"/>
    <w:rsid w:val="002834EC"/>
    <w:rsid w:val="0028351F"/>
    <w:rsid w:val="00283578"/>
    <w:rsid w:val="002835D5"/>
    <w:rsid w:val="00283694"/>
    <w:rsid w:val="002836A3"/>
    <w:rsid w:val="002836C9"/>
    <w:rsid w:val="002836CC"/>
    <w:rsid w:val="00283739"/>
    <w:rsid w:val="00283749"/>
    <w:rsid w:val="0028379A"/>
    <w:rsid w:val="002837F8"/>
    <w:rsid w:val="002837FD"/>
    <w:rsid w:val="0028382D"/>
    <w:rsid w:val="0028384A"/>
    <w:rsid w:val="0028384D"/>
    <w:rsid w:val="00283850"/>
    <w:rsid w:val="00283882"/>
    <w:rsid w:val="002838DD"/>
    <w:rsid w:val="00283920"/>
    <w:rsid w:val="0028399A"/>
    <w:rsid w:val="002839A4"/>
    <w:rsid w:val="002839D7"/>
    <w:rsid w:val="00283A4E"/>
    <w:rsid w:val="00283A57"/>
    <w:rsid w:val="00283A7E"/>
    <w:rsid w:val="00283AC5"/>
    <w:rsid w:val="00283B01"/>
    <w:rsid w:val="00283B18"/>
    <w:rsid w:val="00283B71"/>
    <w:rsid w:val="00283B79"/>
    <w:rsid w:val="00283BA3"/>
    <w:rsid w:val="00283BE5"/>
    <w:rsid w:val="00283BE6"/>
    <w:rsid w:val="00283C8B"/>
    <w:rsid w:val="00283CC2"/>
    <w:rsid w:val="00283CC8"/>
    <w:rsid w:val="00283CD9"/>
    <w:rsid w:val="00283D19"/>
    <w:rsid w:val="00283D33"/>
    <w:rsid w:val="00283D4E"/>
    <w:rsid w:val="00283D5C"/>
    <w:rsid w:val="00283E1F"/>
    <w:rsid w:val="00283E25"/>
    <w:rsid w:val="00283E3A"/>
    <w:rsid w:val="00283E4C"/>
    <w:rsid w:val="00283E8C"/>
    <w:rsid w:val="00283F00"/>
    <w:rsid w:val="00283F35"/>
    <w:rsid w:val="00283F70"/>
    <w:rsid w:val="00283F74"/>
    <w:rsid w:val="00283FC7"/>
    <w:rsid w:val="0028408D"/>
    <w:rsid w:val="00284114"/>
    <w:rsid w:val="0028413E"/>
    <w:rsid w:val="00284152"/>
    <w:rsid w:val="00284166"/>
    <w:rsid w:val="00284187"/>
    <w:rsid w:val="00284194"/>
    <w:rsid w:val="002841D5"/>
    <w:rsid w:val="002841DF"/>
    <w:rsid w:val="0028422A"/>
    <w:rsid w:val="00284273"/>
    <w:rsid w:val="002842AB"/>
    <w:rsid w:val="002842B4"/>
    <w:rsid w:val="002842C5"/>
    <w:rsid w:val="002842DD"/>
    <w:rsid w:val="00284315"/>
    <w:rsid w:val="00284334"/>
    <w:rsid w:val="0028439C"/>
    <w:rsid w:val="00284433"/>
    <w:rsid w:val="00284456"/>
    <w:rsid w:val="0028446F"/>
    <w:rsid w:val="002844C6"/>
    <w:rsid w:val="002844E7"/>
    <w:rsid w:val="002844EE"/>
    <w:rsid w:val="00284526"/>
    <w:rsid w:val="0028453A"/>
    <w:rsid w:val="00284558"/>
    <w:rsid w:val="002845B4"/>
    <w:rsid w:val="002845DA"/>
    <w:rsid w:val="002845DC"/>
    <w:rsid w:val="002845F4"/>
    <w:rsid w:val="002846F1"/>
    <w:rsid w:val="00284721"/>
    <w:rsid w:val="0028474F"/>
    <w:rsid w:val="00284753"/>
    <w:rsid w:val="00284765"/>
    <w:rsid w:val="0028482A"/>
    <w:rsid w:val="002848E1"/>
    <w:rsid w:val="002848E5"/>
    <w:rsid w:val="0028490E"/>
    <w:rsid w:val="0028494C"/>
    <w:rsid w:val="00284965"/>
    <w:rsid w:val="0028496E"/>
    <w:rsid w:val="002849A1"/>
    <w:rsid w:val="002849B8"/>
    <w:rsid w:val="002849BE"/>
    <w:rsid w:val="00284A03"/>
    <w:rsid w:val="00284A50"/>
    <w:rsid w:val="00284A6A"/>
    <w:rsid w:val="00284A6C"/>
    <w:rsid w:val="00284A8B"/>
    <w:rsid w:val="00284A96"/>
    <w:rsid w:val="00284B74"/>
    <w:rsid w:val="00284B9E"/>
    <w:rsid w:val="00284C07"/>
    <w:rsid w:val="00284C12"/>
    <w:rsid w:val="00284C46"/>
    <w:rsid w:val="00284C4B"/>
    <w:rsid w:val="00284C94"/>
    <w:rsid w:val="00284CBF"/>
    <w:rsid w:val="00284CC6"/>
    <w:rsid w:val="00284CD8"/>
    <w:rsid w:val="00284D22"/>
    <w:rsid w:val="00284D25"/>
    <w:rsid w:val="00284D28"/>
    <w:rsid w:val="00284D2C"/>
    <w:rsid w:val="00284D44"/>
    <w:rsid w:val="00284D58"/>
    <w:rsid w:val="00284D74"/>
    <w:rsid w:val="00284D9C"/>
    <w:rsid w:val="00284DA5"/>
    <w:rsid w:val="00284DBB"/>
    <w:rsid w:val="00284DDD"/>
    <w:rsid w:val="00284E14"/>
    <w:rsid w:val="00284E88"/>
    <w:rsid w:val="00284EBC"/>
    <w:rsid w:val="00284EDE"/>
    <w:rsid w:val="00284FBF"/>
    <w:rsid w:val="00284FD7"/>
    <w:rsid w:val="00285066"/>
    <w:rsid w:val="00285071"/>
    <w:rsid w:val="00285083"/>
    <w:rsid w:val="002850B0"/>
    <w:rsid w:val="002850D6"/>
    <w:rsid w:val="00285123"/>
    <w:rsid w:val="0028512A"/>
    <w:rsid w:val="002851B2"/>
    <w:rsid w:val="00285203"/>
    <w:rsid w:val="00285246"/>
    <w:rsid w:val="00285249"/>
    <w:rsid w:val="00285275"/>
    <w:rsid w:val="002852A5"/>
    <w:rsid w:val="0028530F"/>
    <w:rsid w:val="00285319"/>
    <w:rsid w:val="0028536C"/>
    <w:rsid w:val="0028537C"/>
    <w:rsid w:val="002853D6"/>
    <w:rsid w:val="002853D9"/>
    <w:rsid w:val="002853E9"/>
    <w:rsid w:val="00285414"/>
    <w:rsid w:val="0028541D"/>
    <w:rsid w:val="002854EA"/>
    <w:rsid w:val="002854FB"/>
    <w:rsid w:val="00285511"/>
    <w:rsid w:val="00285528"/>
    <w:rsid w:val="00285542"/>
    <w:rsid w:val="0028554B"/>
    <w:rsid w:val="00285568"/>
    <w:rsid w:val="00285582"/>
    <w:rsid w:val="002855D5"/>
    <w:rsid w:val="00285613"/>
    <w:rsid w:val="00285659"/>
    <w:rsid w:val="002856BE"/>
    <w:rsid w:val="002856E4"/>
    <w:rsid w:val="0028573B"/>
    <w:rsid w:val="0028575E"/>
    <w:rsid w:val="002857DA"/>
    <w:rsid w:val="002857DC"/>
    <w:rsid w:val="002857EB"/>
    <w:rsid w:val="0028582C"/>
    <w:rsid w:val="0028584C"/>
    <w:rsid w:val="00285875"/>
    <w:rsid w:val="002858FD"/>
    <w:rsid w:val="00285928"/>
    <w:rsid w:val="0028595F"/>
    <w:rsid w:val="00285969"/>
    <w:rsid w:val="002859C9"/>
    <w:rsid w:val="002859E7"/>
    <w:rsid w:val="00285A31"/>
    <w:rsid w:val="00285B07"/>
    <w:rsid w:val="00285B12"/>
    <w:rsid w:val="00285B7B"/>
    <w:rsid w:val="00285B81"/>
    <w:rsid w:val="00285BB2"/>
    <w:rsid w:val="00285BF3"/>
    <w:rsid w:val="00285BFD"/>
    <w:rsid w:val="00285C51"/>
    <w:rsid w:val="00285C5F"/>
    <w:rsid w:val="00285CF3"/>
    <w:rsid w:val="00285D6F"/>
    <w:rsid w:val="00285D8A"/>
    <w:rsid w:val="00285DAC"/>
    <w:rsid w:val="00285DBA"/>
    <w:rsid w:val="00285DE5"/>
    <w:rsid w:val="00285E27"/>
    <w:rsid w:val="00285E53"/>
    <w:rsid w:val="00285EAF"/>
    <w:rsid w:val="00285EF7"/>
    <w:rsid w:val="00285F2B"/>
    <w:rsid w:val="00286025"/>
    <w:rsid w:val="00286071"/>
    <w:rsid w:val="00286089"/>
    <w:rsid w:val="002860C3"/>
    <w:rsid w:val="002860E5"/>
    <w:rsid w:val="00286123"/>
    <w:rsid w:val="002861F4"/>
    <w:rsid w:val="0028627B"/>
    <w:rsid w:val="0028629E"/>
    <w:rsid w:val="002862BA"/>
    <w:rsid w:val="002862D8"/>
    <w:rsid w:val="00286316"/>
    <w:rsid w:val="00286339"/>
    <w:rsid w:val="0028633C"/>
    <w:rsid w:val="0028634B"/>
    <w:rsid w:val="00286356"/>
    <w:rsid w:val="0028636D"/>
    <w:rsid w:val="002863C9"/>
    <w:rsid w:val="002863D3"/>
    <w:rsid w:val="002863DE"/>
    <w:rsid w:val="00286416"/>
    <w:rsid w:val="00286476"/>
    <w:rsid w:val="0028649A"/>
    <w:rsid w:val="00286541"/>
    <w:rsid w:val="00286569"/>
    <w:rsid w:val="002865B0"/>
    <w:rsid w:val="002865B8"/>
    <w:rsid w:val="002865BB"/>
    <w:rsid w:val="002865CC"/>
    <w:rsid w:val="002865E4"/>
    <w:rsid w:val="0028669B"/>
    <w:rsid w:val="002866BC"/>
    <w:rsid w:val="002866DA"/>
    <w:rsid w:val="0028671E"/>
    <w:rsid w:val="00286795"/>
    <w:rsid w:val="0028684D"/>
    <w:rsid w:val="0028687F"/>
    <w:rsid w:val="00286881"/>
    <w:rsid w:val="0028688F"/>
    <w:rsid w:val="002868C9"/>
    <w:rsid w:val="002868D1"/>
    <w:rsid w:val="002868E2"/>
    <w:rsid w:val="002868EB"/>
    <w:rsid w:val="002868FE"/>
    <w:rsid w:val="002869F8"/>
    <w:rsid w:val="00286A70"/>
    <w:rsid w:val="00286A87"/>
    <w:rsid w:val="00286ACA"/>
    <w:rsid w:val="00286AD3"/>
    <w:rsid w:val="00286B51"/>
    <w:rsid w:val="00286B75"/>
    <w:rsid w:val="00286BA6"/>
    <w:rsid w:val="00286C00"/>
    <w:rsid w:val="00286C13"/>
    <w:rsid w:val="00286C2A"/>
    <w:rsid w:val="00286C60"/>
    <w:rsid w:val="00286D03"/>
    <w:rsid w:val="00286D59"/>
    <w:rsid w:val="00286D7B"/>
    <w:rsid w:val="00286DCE"/>
    <w:rsid w:val="00286DE0"/>
    <w:rsid w:val="00286EA0"/>
    <w:rsid w:val="00286F2B"/>
    <w:rsid w:val="00286F70"/>
    <w:rsid w:val="00286FEE"/>
    <w:rsid w:val="0028704E"/>
    <w:rsid w:val="00287094"/>
    <w:rsid w:val="002870D1"/>
    <w:rsid w:val="002870E4"/>
    <w:rsid w:val="0028714E"/>
    <w:rsid w:val="00287177"/>
    <w:rsid w:val="0028717E"/>
    <w:rsid w:val="002871AF"/>
    <w:rsid w:val="002871E0"/>
    <w:rsid w:val="002871F1"/>
    <w:rsid w:val="002871FB"/>
    <w:rsid w:val="00287249"/>
    <w:rsid w:val="00287292"/>
    <w:rsid w:val="002872B7"/>
    <w:rsid w:val="00287323"/>
    <w:rsid w:val="00287329"/>
    <w:rsid w:val="00287340"/>
    <w:rsid w:val="00287350"/>
    <w:rsid w:val="00287355"/>
    <w:rsid w:val="0028737C"/>
    <w:rsid w:val="00287383"/>
    <w:rsid w:val="0028738B"/>
    <w:rsid w:val="002873C7"/>
    <w:rsid w:val="002873CF"/>
    <w:rsid w:val="002873D8"/>
    <w:rsid w:val="0028744A"/>
    <w:rsid w:val="00287473"/>
    <w:rsid w:val="00287476"/>
    <w:rsid w:val="00287492"/>
    <w:rsid w:val="002874BD"/>
    <w:rsid w:val="002874EB"/>
    <w:rsid w:val="00287530"/>
    <w:rsid w:val="00287560"/>
    <w:rsid w:val="00287592"/>
    <w:rsid w:val="002875B1"/>
    <w:rsid w:val="002875B9"/>
    <w:rsid w:val="00287605"/>
    <w:rsid w:val="00287635"/>
    <w:rsid w:val="00287652"/>
    <w:rsid w:val="00287666"/>
    <w:rsid w:val="002876CE"/>
    <w:rsid w:val="002876F5"/>
    <w:rsid w:val="00287744"/>
    <w:rsid w:val="00287759"/>
    <w:rsid w:val="00287784"/>
    <w:rsid w:val="0028778A"/>
    <w:rsid w:val="002877A1"/>
    <w:rsid w:val="002877F2"/>
    <w:rsid w:val="00287813"/>
    <w:rsid w:val="00287836"/>
    <w:rsid w:val="00287882"/>
    <w:rsid w:val="002878B8"/>
    <w:rsid w:val="002878BE"/>
    <w:rsid w:val="002878F0"/>
    <w:rsid w:val="002878FC"/>
    <w:rsid w:val="0028792A"/>
    <w:rsid w:val="00287937"/>
    <w:rsid w:val="0028795D"/>
    <w:rsid w:val="002879B8"/>
    <w:rsid w:val="002879CF"/>
    <w:rsid w:val="002879E5"/>
    <w:rsid w:val="002879EA"/>
    <w:rsid w:val="00287A3E"/>
    <w:rsid w:val="00287A4D"/>
    <w:rsid w:val="00287A54"/>
    <w:rsid w:val="00287A66"/>
    <w:rsid w:val="00287ACC"/>
    <w:rsid w:val="00287AE6"/>
    <w:rsid w:val="00287B2C"/>
    <w:rsid w:val="00287B44"/>
    <w:rsid w:val="00287B6C"/>
    <w:rsid w:val="00287B72"/>
    <w:rsid w:val="00287BB7"/>
    <w:rsid w:val="00287BD1"/>
    <w:rsid w:val="00287BDB"/>
    <w:rsid w:val="00287C45"/>
    <w:rsid w:val="00287C5D"/>
    <w:rsid w:val="00287C6F"/>
    <w:rsid w:val="00287C90"/>
    <w:rsid w:val="00287CA0"/>
    <w:rsid w:val="00287CA3"/>
    <w:rsid w:val="00287CEF"/>
    <w:rsid w:val="00287CF5"/>
    <w:rsid w:val="00287D43"/>
    <w:rsid w:val="00287D7B"/>
    <w:rsid w:val="00287D89"/>
    <w:rsid w:val="00287E07"/>
    <w:rsid w:val="00287E3A"/>
    <w:rsid w:val="00287E78"/>
    <w:rsid w:val="00287E85"/>
    <w:rsid w:val="00287EA4"/>
    <w:rsid w:val="00287EAB"/>
    <w:rsid w:val="00287EF0"/>
    <w:rsid w:val="00287F11"/>
    <w:rsid w:val="00287F73"/>
    <w:rsid w:val="00287F7F"/>
    <w:rsid w:val="00290055"/>
    <w:rsid w:val="00290084"/>
    <w:rsid w:val="0029009B"/>
    <w:rsid w:val="002900A4"/>
    <w:rsid w:val="002900E0"/>
    <w:rsid w:val="00290235"/>
    <w:rsid w:val="0029025E"/>
    <w:rsid w:val="00290352"/>
    <w:rsid w:val="00290381"/>
    <w:rsid w:val="002903C1"/>
    <w:rsid w:val="002903D8"/>
    <w:rsid w:val="002903F2"/>
    <w:rsid w:val="002903FF"/>
    <w:rsid w:val="00290435"/>
    <w:rsid w:val="0029043C"/>
    <w:rsid w:val="00290445"/>
    <w:rsid w:val="00290481"/>
    <w:rsid w:val="002904AA"/>
    <w:rsid w:val="002904B8"/>
    <w:rsid w:val="00290505"/>
    <w:rsid w:val="00290510"/>
    <w:rsid w:val="00290574"/>
    <w:rsid w:val="002905D7"/>
    <w:rsid w:val="002905E6"/>
    <w:rsid w:val="00290625"/>
    <w:rsid w:val="002906D6"/>
    <w:rsid w:val="002906DA"/>
    <w:rsid w:val="00290749"/>
    <w:rsid w:val="0029079F"/>
    <w:rsid w:val="002907AF"/>
    <w:rsid w:val="002907B6"/>
    <w:rsid w:val="002907B9"/>
    <w:rsid w:val="00290840"/>
    <w:rsid w:val="0029084F"/>
    <w:rsid w:val="002908FB"/>
    <w:rsid w:val="002909CF"/>
    <w:rsid w:val="002909DC"/>
    <w:rsid w:val="002909E9"/>
    <w:rsid w:val="002909F8"/>
    <w:rsid w:val="00290A5F"/>
    <w:rsid w:val="00290A9E"/>
    <w:rsid w:val="00290AE6"/>
    <w:rsid w:val="00290AF1"/>
    <w:rsid w:val="00290B37"/>
    <w:rsid w:val="00290B7F"/>
    <w:rsid w:val="00290BD7"/>
    <w:rsid w:val="00290BDA"/>
    <w:rsid w:val="00290C78"/>
    <w:rsid w:val="00290CB8"/>
    <w:rsid w:val="00290CD2"/>
    <w:rsid w:val="00290CF2"/>
    <w:rsid w:val="00290DE3"/>
    <w:rsid w:val="00290DE7"/>
    <w:rsid w:val="00290E10"/>
    <w:rsid w:val="00290E4F"/>
    <w:rsid w:val="00290E7E"/>
    <w:rsid w:val="00290EA9"/>
    <w:rsid w:val="00290F07"/>
    <w:rsid w:val="00290F46"/>
    <w:rsid w:val="00290F88"/>
    <w:rsid w:val="00291021"/>
    <w:rsid w:val="00291049"/>
    <w:rsid w:val="0029104D"/>
    <w:rsid w:val="0029107F"/>
    <w:rsid w:val="002910E5"/>
    <w:rsid w:val="002910EB"/>
    <w:rsid w:val="002910F3"/>
    <w:rsid w:val="0029119A"/>
    <w:rsid w:val="002911DF"/>
    <w:rsid w:val="002911E2"/>
    <w:rsid w:val="00291259"/>
    <w:rsid w:val="00291286"/>
    <w:rsid w:val="002912CA"/>
    <w:rsid w:val="00291300"/>
    <w:rsid w:val="0029131E"/>
    <w:rsid w:val="00291322"/>
    <w:rsid w:val="0029133E"/>
    <w:rsid w:val="00291355"/>
    <w:rsid w:val="00291360"/>
    <w:rsid w:val="00291389"/>
    <w:rsid w:val="0029139A"/>
    <w:rsid w:val="002913C9"/>
    <w:rsid w:val="002913CA"/>
    <w:rsid w:val="002913E7"/>
    <w:rsid w:val="002913EC"/>
    <w:rsid w:val="002913F4"/>
    <w:rsid w:val="00291400"/>
    <w:rsid w:val="0029142E"/>
    <w:rsid w:val="002914E7"/>
    <w:rsid w:val="002915D5"/>
    <w:rsid w:val="002915D7"/>
    <w:rsid w:val="00291619"/>
    <w:rsid w:val="0029162F"/>
    <w:rsid w:val="002916C9"/>
    <w:rsid w:val="00291706"/>
    <w:rsid w:val="00291738"/>
    <w:rsid w:val="00291759"/>
    <w:rsid w:val="002917F0"/>
    <w:rsid w:val="00291843"/>
    <w:rsid w:val="0029193D"/>
    <w:rsid w:val="00291982"/>
    <w:rsid w:val="00291999"/>
    <w:rsid w:val="002919C1"/>
    <w:rsid w:val="00291A05"/>
    <w:rsid w:val="00291A25"/>
    <w:rsid w:val="00291A2C"/>
    <w:rsid w:val="00291A49"/>
    <w:rsid w:val="00291A80"/>
    <w:rsid w:val="00291A8A"/>
    <w:rsid w:val="00291AE7"/>
    <w:rsid w:val="00291B25"/>
    <w:rsid w:val="00291B31"/>
    <w:rsid w:val="00291B5E"/>
    <w:rsid w:val="00291B73"/>
    <w:rsid w:val="00291B7A"/>
    <w:rsid w:val="00291BCA"/>
    <w:rsid w:val="00291C18"/>
    <w:rsid w:val="00291CFE"/>
    <w:rsid w:val="00291D07"/>
    <w:rsid w:val="00291D36"/>
    <w:rsid w:val="00291D3C"/>
    <w:rsid w:val="00291D56"/>
    <w:rsid w:val="00291D96"/>
    <w:rsid w:val="00291DBA"/>
    <w:rsid w:val="00291DC5"/>
    <w:rsid w:val="00291E24"/>
    <w:rsid w:val="00291E32"/>
    <w:rsid w:val="00291E33"/>
    <w:rsid w:val="00291E53"/>
    <w:rsid w:val="00291EB0"/>
    <w:rsid w:val="00291F03"/>
    <w:rsid w:val="00291F2F"/>
    <w:rsid w:val="00291F92"/>
    <w:rsid w:val="00291FA1"/>
    <w:rsid w:val="00291FDB"/>
    <w:rsid w:val="0029202E"/>
    <w:rsid w:val="00292046"/>
    <w:rsid w:val="0029205E"/>
    <w:rsid w:val="00292061"/>
    <w:rsid w:val="0029207D"/>
    <w:rsid w:val="002920B6"/>
    <w:rsid w:val="002920FF"/>
    <w:rsid w:val="00292112"/>
    <w:rsid w:val="0029211E"/>
    <w:rsid w:val="00292174"/>
    <w:rsid w:val="00292177"/>
    <w:rsid w:val="0029219C"/>
    <w:rsid w:val="002921AC"/>
    <w:rsid w:val="002921E3"/>
    <w:rsid w:val="002921EA"/>
    <w:rsid w:val="00292211"/>
    <w:rsid w:val="00292248"/>
    <w:rsid w:val="0029229F"/>
    <w:rsid w:val="002922C1"/>
    <w:rsid w:val="002922C8"/>
    <w:rsid w:val="002922FA"/>
    <w:rsid w:val="0029230D"/>
    <w:rsid w:val="0029235C"/>
    <w:rsid w:val="00292371"/>
    <w:rsid w:val="00292374"/>
    <w:rsid w:val="00292375"/>
    <w:rsid w:val="002923B0"/>
    <w:rsid w:val="002923B8"/>
    <w:rsid w:val="0029243A"/>
    <w:rsid w:val="00292481"/>
    <w:rsid w:val="002924B2"/>
    <w:rsid w:val="002924C8"/>
    <w:rsid w:val="002924D0"/>
    <w:rsid w:val="002924FB"/>
    <w:rsid w:val="00292520"/>
    <w:rsid w:val="00292526"/>
    <w:rsid w:val="00292565"/>
    <w:rsid w:val="00292579"/>
    <w:rsid w:val="00292593"/>
    <w:rsid w:val="00292606"/>
    <w:rsid w:val="0029261E"/>
    <w:rsid w:val="00292627"/>
    <w:rsid w:val="00292665"/>
    <w:rsid w:val="002926B7"/>
    <w:rsid w:val="002926D0"/>
    <w:rsid w:val="0029270E"/>
    <w:rsid w:val="00292755"/>
    <w:rsid w:val="0029276A"/>
    <w:rsid w:val="002927D1"/>
    <w:rsid w:val="002927EA"/>
    <w:rsid w:val="00292837"/>
    <w:rsid w:val="002928C7"/>
    <w:rsid w:val="00292917"/>
    <w:rsid w:val="00292925"/>
    <w:rsid w:val="002929E7"/>
    <w:rsid w:val="00292A09"/>
    <w:rsid w:val="00292A5F"/>
    <w:rsid w:val="00292A9D"/>
    <w:rsid w:val="00292AA3"/>
    <w:rsid w:val="00292ABC"/>
    <w:rsid w:val="00292AED"/>
    <w:rsid w:val="00292BA2"/>
    <w:rsid w:val="00292BAE"/>
    <w:rsid w:val="00292BD4"/>
    <w:rsid w:val="00292C63"/>
    <w:rsid w:val="00292CA5"/>
    <w:rsid w:val="00292CB9"/>
    <w:rsid w:val="00292CC2"/>
    <w:rsid w:val="00292D4B"/>
    <w:rsid w:val="00292D6B"/>
    <w:rsid w:val="00292DCD"/>
    <w:rsid w:val="00292DE0"/>
    <w:rsid w:val="00292E48"/>
    <w:rsid w:val="00292E7A"/>
    <w:rsid w:val="00292E88"/>
    <w:rsid w:val="00292ECD"/>
    <w:rsid w:val="00292F08"/>
    <w:rsid w:val="00292F1B"/>
    <w:rsid w:val="00292F52"/>
    <w:rsid w:val="00292F6D"/>
    <w:rsid w:val="00292FA1"/>
    <w:rsid w:val="0029301F"/>
    <w:rsid w:val="0029302B"/>
    <w:rsid w:val="00293042"/>
    <w:rsid w:val="00293060"/>
    <w:rsid w:val="00293074"/>
    <w:rsid w:val="0029314D"/>
    <w:rsid w:val="0029315F"/>
    <w:rsid w:val="0029316F"/>
    <w:rsid w:val="00293173"/>
    <w:rsid w:val="00293177"/>
    <w:rsid w:val="0029319B"/>
    <w:rsid w:val="002931AB"/>
    <w:rsid w:val="00293284"/>
    <w:rsid w:val="002932D5"/>
    <w:rsid w:val="0029337B"/>
    <w:rsid w:val="002933B6"/>
    <w:rsid w:val="002933CB"/>
    <w:rsid w:val="0029340C"/>
    <w:rsid w:val="0029342E"/>
    <w:rsid w:val="0029343D"/>
    <w:rsid w:val="00293474"/>
    <w:rsid w:val="002934BA"/>
    <w:rsid w:val="002934F7"/>
    <w:rsid w:val="00293562"/>
    <w:rsid w:val="0029357C"/>
    <w:rsid w:val="00293696"/>
    <w:rsid w:val="00293697"/>
    <w:rsid w:val="0029377A"/>
    <w:rsid w:val="00293790"/>
    <w:rsid w:val="002937AC"/>
    <w:rsid w:val="002937C5"/>
    <w:rsid w:val="002937FC"/>
    <w:rsid w:val="00293856"/>
    <w:rsid w:val="00293893"/>
    <w:rsid w:val="00293894"/>
    <w:rsid w:val="0029389E"/>
    <w:rsid w:val="00293963"/>
    <w:rsid w:val="00293996"/>
    <w:rsid w:val="002939BE"/>
    <w:rsid w:val="00293A69"/>
    <w:rsid w:val="00293AC4"/>
    <w:rsid w:val="00293B01"/>
    <w:rsid w:val="00293B0F"/>
    <w:rsid w:val="00293B41"/>
    <w:rsid w:val="00293B5D"/>
    <w:rsid w:val="00293B82"/>
    <w:rsid w:val="00293B84"/>
    <w:rsid w:val="00293BC2"/>
    <w:rsid w:val="00293BEB"/>
    <w:rsid w:val="00293BFF"/>
    <w:rsid w:val="00293C4C"/>
    <w:rsid w:val="00293C6B"/>
    <w:rsid w:val="00293CD5"/>
    <w:rsid w:val="00293CE7"/>
    <w:rsid w:val="00293D5D"/>
    <w:rsid w:val="00293D6B"/>
    <w:rsid w:val="00293DA0"/>
    <w:rsid w:val="00293DFD"/>
    <w:rsid w:val="00293E1B"/>
    <w:rsid w:val="00293E44"/>
    <w:rsid w:val="00293F14"/>
    <w:rsid w:val="00293F30"/>
    <w:rsid w:val="00293F50"/>
    <w:rsid w:val="00293F52"/>
    <w:rsid w:val="00293F9F"/>
    <w:rsid w:val="00293FFD"/>
    <w:rsid w:val="00294066"/>
    <w:rsid w:val="0029409D"/>
    <w:rsid w:val="002940AC"/>
    <w:rsid w:val="002940EB"/>
    <w:rsid w:val="0029410E"/>
    <w:rsid w:val="00294131"/>
    <w:rsid w:val="00294152"/>
    <w:rsid w:val="00294161"/>
    <w:rsid w:val="00294195"/>
    <w:rsid w:val="002941C9"/>
    <w:rsid w:val="00294202"/>
    <w:rsid w:val="00294206"/>
    <w:rsid w:val="0029427B"/>
    <w:rsid w:val="0029428E"/>
    <w:rsid w:val="002942C2"/>
    <w:rsid w:val="002942FF"/>
    <w:rsid w:val="00294376"/>
    <w:rsid w:val="00294415"/>
    <w:rsid w:val="0029442A"/>
    <w:rsid w:val="002944A6"/>
    <w:rsid w:val="002944F1"/>
    <w:rsid w:val="00294518"/>
    <w:rsid w:val="002945DF"/>
    <w:rsid w:val="002945E3"/>
    <w:rsid w:val="002945E6"/>
    <w:rsid w:val="0029468E"/>
    <w:rsid w:val="0029468F"/>
    <w:rsid w:val="0029469C"/>
    <w:rsid w:val="002946A8"/>
    <w:rsid w:val="002946AC"/>
    <w:rsid w:val="002946C1"/>
    <w:rsid w:val="002946CC"/>
    <w:rsid w:val="002946E3"/>
    <w:rsid w:val="00294700"/>
    <w:rsid w:val="00294755"/>
    <w:rsid w:val="00294766"/>
    <w:rsid w:val="00294790"/>
    <w:rsid w:val="002947D4"/>
    <w:rsid w:val="002947F0"/>
    <w:rsid w:val="00294831"/>
    <w:rsid w:val="00294833"/>
    <w:rsid w:val="00294880"/>
    <w:rsid w:val="002948D6"/>
    <w:rsid w:val="002948EB"/>
    <w:rsid w:val="00294988"/>
    <w:rsid w:val="002949AD"/>
    <w:rsid w:val="00294A3C"/>
    <w:rsid w:val="00294A4C"/>
    <w:rsid w:val="00294A98"/>
    <w:rsid w:val="00294B07"/>
    <w:rsid w:val="00294B33"/>
    <w:rsid w:val="00294BDE"/>
    <w:rsid w:val="00294DDC"/>
    <w:rsid w:val="00294E00"/>
    <w:rsid w:val="00294E8E"/>
    <w:rsid w:val="00294E97"/>
    <w:rsid w:val="00294E9F"/>
    <w:rsid w:val="00294EB9"/>
    <w:rsid w:val="00294EBD"/>
    <w:rsid w:val="00294EC9"/>
    <w:rsid w:val="00294ED3"/>
    <w:rsid w:val="00294FD1"/>
    <w:rsid w:val="00294FDB"/>
    <w:rsid w:val="00295012"/>
    <w:rsid w:val="0029507F"/>
    <w:rsid w:val="00295099"/>
    <w:rsid w:val="002950A0"/>
    <w:rsid w:val="002950AD"/>
    <w:rsid w:val="002950CA"/>
    <w:rsid w:val="0029513C"/>
    <w:rsid w:val="002951CF"/>
    <w:rsid w:val="002951E8"/>
    <w:rsid w:val="0029522B"/>
    <w:rsid w:val="00295237"/>
    <w:rsid w:val="00295260"/>
    <w:rsid w:val="002952E2"/>
    <w:rsid w:val="00295347"/>
    <w:rsid w:val="00295370"/>
    <w:rsid w:val="00295399"/>
    <w:rsid w:val="002953A4"/>
    <w:rsid w:val="002953B5"/>
    <w:rsid w:val="002953EB"/>
    <w:rsid w:val="00295408"/>
    <w:rsid w:val="00295416"/>
    <w:rsid w:val="00295421"/>
    <w:rsid w:val="00295487"/>
    <w:rsid w:val="002954BE"/>
    <w:rsid w:val="002954DB"/>
    <w:rsid w:val="0029550C"/>
    <w:rsid w:val="00295511"/>
    <w:rsid w:val="0029552B"/>
    <w:rsid w:val="0029553A"/>
    <w:rsid w:val="00295553"/>
    <w:rsid w:val="0029555D"/>
    <w:rsid w:val="00295588"/>
    <w:rsid w:val="0029558E"/>
    <w:rsid w:val="002955C3"/>
    <w:rsid w:val="002955C7"/>
    <w:rsid w:val="002955C8"/>
    <w:rsid w:val="00295659"/>
    <w:rsid w:val="00295685"/>
    <w:rsid w:val="00295694"/>
    <w:rsid w:val="00295731"/>
    <w:rsid w:val="002957A2"/>
    <w:rsid w:val="002957C8"/>
    <w:rsid w:val="00295805"/>
    <w:rsid w:val="0029581A"/>
    <w:rsid w:val="002958A2"/>
    <w:rsid w:val="002958D6"/>
    <w:rsid w:val="002958FA"/>
    <w:rsid w:val="00295902"/>
    <w:rsid w:val="0029592D"/>
    <w:rsid w:val="0029592E"/>
    <w:rsid w:val="00295A0D"/>
    <w:rsid w:val="00295A4C"/>
    <w:rsid w:val="00295A53"/>
    <w:rsid w:val="00295AAA"/>
    <w:rsid w:val="00295ADE"/>
    <w:rsid w:val="00295AF9"/>
    <w:rsid w:val="00295B30"/>
    <w:rsid w:val="00295B83"/>
    <w:rsid w:val="00295BB4"/>
    <w:rsid w:val="00295BBC"/>
    <w:rsid w:val="00295BD5"/>
    <w:rsid w:val="00295C4C"/>
    <w:rsid w:val="00295C56"/>
    <w:rsid w:val="00295D14"/>
    <w:rsid w:val="00295D1A"/>
    <w:rsid w:val="00295D37"/>
    <w:rsid w:val="00295D6A"/>
    <w:rsid w:val="00295DB9"/>
    <w:rsid w:val="00295DCB"/>
    <w:rsid w:val="00295DD1"/>
    <w:rsid w:val="00295DFD"/>
    <w:rsid w:val="00295DFF"/>
    <w:rsid w:val="00295EA2"/>
    <w:rsid w:val="00295EDC"/>
    <w:rsid w:val="00295F22"/>
    <w:rsid w:val="00295F79"/>
    <w:rsid w:val="00295F92"/>
    <w:rsid w:val="00295FD1"/>
    <w:rsid w:val="00296015"/>
    <w:rsid w:val="0029601B"/>
    <w:rsid w:val="0029603E"/>
    <w:rsid w:val="0029606E"/>
    <w:rsid w:val="0029607B"/>
    <w:rsid w:val="00296081"/>
    <w:rsid w:val="00296164"/>
    <w:rsid w:val="00296195"/>
    <w:rsid w:val="0029619F"/>
    <w:rsid w:val="002961A0"/>
    <w:rsid w:val="002961CE"/>
    <w:rsid w:val="002961D0"/>
    <w:rsid w:val="00296278"/>
    <w:rsid w:val="00296299"/>
    <w:rsid w:val="002962B7"/>
    <w:rsid w:val="00296319"/>
    <w:rsid w:val="00296361"/>
    <w:rsid w:val="00296365"/>
    <w:rsid w:val="00296391"/>
    <w:rsid w:val="002963BD"/>
    <w:rsid w:val="002963F9"/>
    <w:rsid w:val="00296441"/>
    <w:rsid w:val="00296473"/>
    <w:rsid w:val="00296476"/>
    <w:rsid w:val="00296486"/>
    <w:rsid w:val="0029648A"/>
    <w:rsid w:val="00296492"/>
    <w:rsid w:val="002964A1"/>
    <w:rsid w:val="002964DA"/>
    <w:rsid w:val="0029651E"/>
    <w:rsid w:val="00296573"/>
    <w:rsid w:val="0029659D"/>
    <w:rsid w:val="002965FD"/>
    <w:rsid w:val="00296616"/>
    <w:rsid w:val="00296665"/>
    <w:rsid w:val="0029667F"/>
    <w:rsid w:val="002966B7"/>
    <w:rsid w:val="002966D8"/>
    <w:rsid w:val="002966E5"/>
    <w:rsid w:val="0029670A"/>
    <w:rsid w:val="00296742"/>
    <w:rsid w:val="0029675A"/>
    <w:rsid w:val="00296788"/>
    <w:rsid w:val="002967BC"/>
    <w:rsid w:val="00296816"/>
    <w:rsid w:val="00296866"/>
    <w:rsid w:val="00296888"/>
    <w:rsid w:val="002968CE"/>
    <w:rsid w:val="002968EA"/>
    <w:rsid w:val="002968EE"/>
    <w:rsid w:val="0029694D"/>
    <w:rsid w:val="00296953"/>
    <w:rsid w:val="002969DB"/>
    <w:rsid w:val="00296A00"/>
    <w:rsid w:val="00296A32"/>
    <w:rsid w:val="00296B43"/>
    <w:rsid w:val="00296B44"/>
    <w:rsid w:val="00296B67"/>
    <w:rsid w:val="00296B7C"/>
    <w:rsid w:val="00296BFA"/>
    <w:rsid w:val="00296C0F"/>
    <w:rsid w:val="00296C1B"/>
    <w:rsid w:val="00296C53"/>
    <w:rsid w:val="00296C92"/>
    <w:rsid w:val="00296CD6"/>
    <w:rsid w:val="00296CDE"/>
    <w:rsid w:val="00296CE9"/>
    <w:rsid w:val="00296CF4"/>
    <w:rsid w:val="00296D14"/>
    <w:rsid w:val="00296D28"/>
    <w:rsid w:val="00296D3C"/>
    <w:rsid w:val="00296D6F"/>
    <w:rsid w:val="00296DA6"/>
    <w:rsid w:val="00296DAE"/>
    <w:rsid w:val="00296E3D"/>
    <w:rsid w:val="00296E8E"/>
    <w:rsid w:val="00296ECD"/>
    <w:rsid w:val="00296EEA"/>
    <w:rsid w:val="00296F15"/>
    <w:rsid w:val="00296F45"/>
    <w:rsid w:val="00296F51"/>
    <w:rsid w:val="00296F56"/>
    <w:rsid w:val="00296FB8"/>
    <w:rsid w:val="00296FE7"/>
    <w:rsid w:val="00296FEB"/>
    <w:rsid w:val="00297052"/>
    <w:rsid w:val="00297062"/>
    <w:rsid w:val="00297074"/>
    <w:rsid w:val="0029712E"/>
    <w:rsid w:val="0029713E"/>
    <w:rsid w:val="0029717A"/>
    <w:rsid w:val="0029718E"/>
    <w:rsid w:val="0029719E"/>
    <w:rsid w:val="002971CB"/>
    <w:rsid w:val="002971D5"/>
    <w:rsid w:val="002971F7"/>
    <w:rsid w:val="002971FE"/>
    <w:rsid w:val="0029720E"/>
    <w:rsid w:val="00297255"/>
    <w:rsid w:val="00297268"/>
    <w:rsid w:val="002972A6"/>
    <w:rsid w:val="002972D5"/>
    <w:rsid w:val="002972F5"/>
    <w:rsid w:val="0029730C"/>
    <w:rsid w:val="00297319"/>
    <w:rsid w:val="00297326"/>
    <w:rsid w:val="00297335"/>
    <w:rsid w:val="002973B4"/>
    <w:rsid w:val="002973E2"/>
    <w:rsid w:val="00297447"/>
    <w:rsid w:val="0029747E"/>
    <w:rsid w:val="002974E9"/>
    <w:rsid w:val="00297589"/>
    <w:rsid w:val="002975B3"/>
    <w:rsid w:val="002975B9"/>
    <w:rsid w:val="0029760A"/>
    <w:rsid w:val="0029765B"/>
    <w:rsid w:val="00297671"/>
    <w:rsid w:val="0029767E"/>
    <w:rsid w:val="002976BE"/>
    <w:rsid w:val="002976D2"/>
    <w:rsid w:val="002976E2"/>
    <w:rsid w:val="00297724"/>
    <w:rsid w:val="0029772E"/>
    <w:rsid w:val="00297796"/>
    <w:rsid w:val="002977C2"/>
    <w:rsid w:val="002977E6"/>
    <w:rsid w:val="00297845"/>
    <w:rsid w:val="00297863"/>
    <w:rsid w:val="0029786B"/>
    <w:rsid w:val="0029787E"/>
    <w:rsid w:val="0029789A"/>
    <w:rsid w:val="002978CB"/>
    <w:rsid w:val="002978CE"/>
    <w:rsid w:val="002978EE"/>
    <w:rsid w:val="002979D2"/>
    <w:rsid w:val="00297A1C"/>
    <w:rsid w:val="00297A32"/>
    <w:rsid w:val="00297A3D"/>
    <w:rsid w:val="00297A5A"/>
    <w:rsid w:val="00297AD2"/>
    <w:rsid w:val="00297B18"/>
    <w:rsid w:val="00297B5D"/>
    <w:rsid w:val="00297B98"/>
    <w:rsid w:val="00297BA1"/>
    <w:rsid w:val="00297BCB"/>
    <w:rsid w:val="00297BDC"/>
    <w:rsid w:val="00297C03"/>
    <w:rsid w:val="00297C0E"/>
    <w:rsid w:val="00297C16"/>
    <w:rsid w:val="00297C25"/>
    <w:rsid w:val="00297C31"/>
    <w:rsid w:val="00297C85"/>
    <w:rsid w:val="00297CA2"/>
    <w:rsid w:val="00297CC0"/>
    <w:rsid w:val="00297CC4"/>
    <w:rsid w:val="00297D01"/>
    <w:rsid w:val="00297DAB"/>
    <w:rsid w:val="00297DE4"/>
    <w:rsid w:val="00297E72"/>
    <w:rsid w:val="00297E76"/>
    <w:rsid w:val="00297E7A"/>
    <w:rsid w:val="00297E83"/>
    <w:rsid w:val="00297E99"/>
    <w:rsid w:val="00297EA8"/>
    <w:rsid w:val="00297EC2"/>
    <w:rsid w:val="00297EC5"/>
    <w:rsid w:val="00297F18"/>
    <w:rsid w:val="00297F1A"/>
    <w:rsid w:val="00297F3B"/>
    <w:rsid w:val="002A0011"/>
    <w:rsid w:val="002A0021"/>
    <w:rsid w:val="002A005B"/>
    <w:rsid w:val="002A0071"/>
    <w:rsid w:val="002A009E"/>
    <w:rsid w:val="002A00A1"/>
    <w:rsid w:val="002A00C0"/>
    <w:rsid w:val="002A00E6"/>
    <w:rsid w:val="002A01AC"/>
    <w:rsid w:val="002A01BA"/>
    <w:rsid w:val="002A01C1"/>
    <w:rsid w:val="002A01C8"/>
    <w:rsid w:val="002A01E9"/>
    <w:rsid w:val="002A0210"/>
    <w:rsid w:val="002A021E"/>
    <w:rsid w:val="002A029B"/>
    <w:rsid w:val="002A0318"/>
    <w:rsid w:val="002A0323"/>
    <w:rsid w:val="002A032F"/>
    <w:rsid w:val="002A0370"/>
    <w:rsid w:val="002A0380"/>
    <w:rsid w:val="002A0382"/>
    <w:rsid w:val="002A0428"/>
    <w:rsid w:val="002A042D"/>
    <w:rsid w:val="002A0446"/>
    <w:rsid w:val="002A04DC"/>
    <w:rsid w:val="002A04E8"/>
    <w:rsid w:val="002A04EB"/>
    <w:rsid w:val="002A055E"/>
    <w:rsid w:val="002A0572"/>
    <w:rsid w:val="002A0590"/>
    <w:rsid w:val="002A05BC"/>
    <w:rsid w:val="002A05CA"/>
    <w:rsid w:val="002A05E7"/>
    <w:rsid w:val="002A06A8"/>
    <w:rsid w:val="002A06B8"/>
    <w:rsid w:val="002A06E0"/>
    <w:rsid w:val="002A0700"/>
    <w:rsid w:val="002A0748"/>
    <w:rsid w:val="002A0800"/>
    <w:rsid w:val="002A0804"/>
    <w:rsid w:val="002A0818"/>
    <w:rsid w:val="002A0825"/>
    <w:rsid w:val="002A084E"/>
    <w:rsid w:val="002A0858"/>
    <w:rsid w:val="002A08CD"/>
    <w:rsid w:val="002A098E"/>
    <w:rsid w:val="002A098F"/>
    <w:rsid w:val="002A099E"/>
    <w:rsid w:val="002A09E2"/>
    <w:rsid w:val="002A09EF"/>
    <w:rsid w:val="002A0A2C"/>
    <w:rsid w:val="002A0A38"/>
    <w:rsid w:val="002A0A4E"/>
    <w:rsid w:val="002A0A5B"/>
    <w:rsid w:val="002A0AD4"/>
    <w:rsid w:val="002A0B05"/>
    <w:rsid w:val="002A0B65"/>
    <w:rsid w:val="002A0B95"/>
    <w:rsid w:val="002A0BA8"/>
    <w:rsid w:val="002A0C4A"/>
    <w:rsid w:val="002A0C57"/>
    <w:rsid w:val="002A0C59"/>
    <w:rsid w:val="002A0C5E"/>
    <w:rsid w:val="002A0C69"/>
    <w:rsid w:val="002A0C7A"/>
    <w:rsid w:val="002A0CC4"/>
    <w:rsid w:val="002A0CD5"/>
    <w:rsid w:val="002A0CDC"/>
    <w:rsid w:val="002A0D56"/>
    <w:rsid w:val="002A0DB2"/>
    <w:rsid w:val="002A0DCA"/>
    <w:rsid w:val="002A0DD2"/>
    <w:rsid w:val="002A0E08"/>
    <w:rsid w:val="002A0E11"/>
    <w:rsid w:val="002A0E4C"/>
    <w:rsid w:val="002A0E66"/>
    <w:rsid w:val="002A0E93"/>
    <w:rsid w:val="002A0EE7"/>
    <w:rsid w:val="002A0EEF"/>
    <w:rsid w:val="002A0F59"/>
    <w:rsid w:val="002A0FF2"/>
    <w:rsid w:val="002A101A"/>
    <w:rsid w:val="002A1022"/>
    <w:rsid w:val="002A1045"/>
    <w:rsid w:val="002A1110"/>
    <w:rsid w:val="002A111A"/>
    <w:rsid w:val="002A11B3"/>
    <w:rsid w:val="002A11FE"/>
    <w:rsid w:val="002A1213"/>
    <w:rsid w:val="002A128B"/>
    <w:rsid w:val="002A129B"/>
    <w:rsid w:val="002A12D8"/>
    <w:rsid w:val="002A1311"/>
    <w:rsid w:val="002A134C"/>
    <w:rsid w:val="002A1370"/>
    <w:rsid w:val="002A1373"/>
    <w:rsid w:val="002A137E"/>
    <w:rsid w:val="002A141A"/>
    <w:rsid w:val="002A1424"/>
    <w:rsid w:val="002A143B"/>
    <w:rsid w:val="002A143D"/>
    <w:rsid w:val="002A149F"/>
    <w:rsid w:val="002A14B1"/>
    <w:rsid w:val="002A14F5"/>
    <w:rsid w:val="002A14FD"/>
    <w:rsid w:val="002A151A"/>
    <w:rsid w:val="002A1520"/>
    <w:rsid w:val="002A1535"/>
    <w:rsid w:val="002A153D"/>
    <w:rsid w:val="002A155A"/>
    <w:rsid w:val="002A15B1"/>
    <w:rsid w:val="002A16B2"/>
    <w:rsid w:val="002A1735"/>
    <w:rsid w:val="002A174F"/>
    <w:rsid w:val="002A1763"/>
    <w:rsid w:val="002A17BC"/>
    <w:rsid w:val="002A17C3"/>
    <w:rsid w:val="002A17FE"/>
    <w:rsid w:val="002A18C6"/>
    <w:rsid w:val="002A1915"/>
    <w:rsid w:val="002A1984"/>
    <w:rsid w:val="002A198E"/>
    <w:rsid w:val="002A1A39"/>
    <w:rsid w:val="002A1A8D"/>
    <w:rsid w:val="002A1AB2"/>
    <w:rsid w:val="002A1B3A"/>
    <w:rsid w:val="002A1B43"/>
    <w:rsid w:val="002A1B55"/>
    <w:rsid w:val="002A1B97"/>
    <w:rsid w:val="002A1C36"/>
    <w:rsid w:val="002A1C88"/>
    <w:rsid w:val="002A1CCF"/>
    <w:rsid w:val="002A1D19"/>
    <w:rsid w:val="002A1D32"/>
    <w:rsid w:val="002A1D35"/>
    <w:rsid w:val="002A1D84"/>
    <w:rsid w:val="002A1DC6"/>
    <w:rsid w:val="002A1DC8"/>
    <w:rsid w:val="002A1DCF"/>
    <w:rsid w:val="002A1DFA"/>
    <w:rsid w:val="002A1E06"/>
    <w:rsid w:val="002A1E40"/>
    <w:rsid w:val="002A1E5A"/>
    <w:rsid w:val="002A1E64"/>
    <w:rsid w:val="002A1EA2"/>
    <w:rsid w:val="002A1EC3"/>
    <w:rsid w:val="002A1F0A"/>
    <w:rsid w:val="002A1F0B"/>
    <w:rsid w:val="002A1F3C"/>
    <w:rsid w:val="002A1F69"/>
    <w:rsid w:val="002A1FA9"/>
    <w:rsid w:val="002A1FAA"/>
    <w:rsid w:val="002A2034"/>
    <w:rsid w:val="002A2098"/>
    <w:rsid w:val="002A20B7"/>
    <w:rsid w:val="002A20BC"/>
    <w:rsid w:val="002A20CD"/>
    <w:rsid w:val="002A20F3"/>
    <w:rsid w:val="002A2114"/>
    <w:rsid w:val="002A2120"/>
    <w:rsid w:val="002A213D"/>
    <w:rsid w:val="002A2167"/>
    <w:rsid w:val="002A218A"/>
    <w:rsid w:val="002A21AF"/>
    <w:rsid w:val="002A21CC"/>
    <w:rsid w:val="002A2266"/>
    <w:rsid w:val="002A226D"/>
    <w:rsid w:val="002A2296"/>
    <w:rsid w:val="002A22A8"/>
    <w:rsid w:val="002A22E3"/>
    <w:rsid w:val="002A235E"/>
    <w:rsid w:val="002A2375"/>
    <w:rsid w:val="002A23AB"/>
    <w:rsid w:val="002A23B6"/>
    <w:rsid w:val="002A23D9"/>
    <w:rsid w:val="002A2443"/>
    <w:rsid w:val="002A24C1"/>
    <w:rsid w:val="002A24DD"/>
    <w:rsid w:val="002A254F"/>
    <w:rsid w:val="002A2595"/>
    <w:rsid w:val="002A25A4"/>
    <w:rsid w:val="002A25B7"/>
    <w:rsid w:val="002A25E3"/>
    <w:rsid w:val="002A25EB"/>
    <w:rsid w:val="002A25EF"/>
    <w:rsid w:val="002A264E"/>
    <w:rsid w:val="002A267B"/>
    <w:rsid w:val="002A26DE"/>
    <w:rsid w:val="002A26E8"/>
    <w:rsid w:val="002A27A3"/>
    <w:rsid w:val="002A27E9"/>
    <w:rsid w:val="002A2801"/>
    <w:rsid w:val="002A280B"/>
    <w:rsid w:val="002A2815"/>
    <w:rsid w:val="002A285B"/>
    <w:rsid w:val="002A288A"/>
    <w:rsid w:val="002A28B2"/>
    <w:rsid w:val="002A28C5"/>
    <w:rsid w:val="002A28EC"/>
    <w:rsid w:val="002A293E"/>
    <w:rsid w:val="002A2968"/>
    <w:rsid w:val="002A29AB"/>
    <w:rsid w:val="002A29AF"/>
    <w:rsid w:val="002A2A23"/>
    <w:rsid w:val="002A2A95"/>
    <w:rsid w:val="002A2B16"/>
    <w:rsid w:val="002A2CA6"/>
    <w:rsid w:val="002A2CC2"/>
    <w:rsid w:val="002A2D4B"/>
    <w:rsid w:val="002A2DFE"/>
    <w:rsid w:val="002A2E02"/>
    <w:rsid w:val="002A2E13"/>
    <w:rsid w:val="002A2E30"/>
    <w:rsid w:val="002A2E83"/>
    <w:rsid w:val="002A2EA5"/>
    <w:rsid w:val="002A2EAC"/>
    <w:rsid w:val="002A2EB0"/>
    <w:rsid w:val="002A2EB7"/>
    <w:rsid w:val="002A2EC8"/>
    <w:rsid w:val="002A2EDD"/>
    <w:rsid w:val="002A2F37"/>
    <w:rsid w:val="002A2F6F"/>
    <w:rsid w:val="002A2FAC"/>
    <w:rsid w:val="002A2FDB"/>
    <w:rsid w:val="002A3004"/>
    <w:rsid w:val="002A3022"/>
    <w:rsid w:val="002A3058"/>
    <w:rsid w:val="002A30B5"/>
    <w:rsid w:val="002A30C9"/>
    <w:rsid w:val="002A30F3"/>
    <w:rsid w:val="002A30FC"/>
    <w:rsid w:val="002A313D"/>
    <w:rsid w:val="002A3184"/>
    <w:rsid w:val="002A3185"/>
    <w:rsid w:val="002A31A3"/>
    <w:rsid w:val="002A31E1"/>
    <w:rsid w:val="002A332F"/>
    <w:rsid w:val="002A333E"/>
    <w:rsid w:val="002A337A"/>
    <w:rsid w:val="002A339A"/>
    <w:rsid w:val="002A33CC"/>
    <w:rsid w:val="002A33DB"/>
    <w:rsid w:val="002A3408"/>
    <w:rsid w:val="002A3415"/>
    <w:rsid w:val="002A3438"/>
    <w:rsid w:val="002A3463"/>
    <w:rsid w:val="002A34CB"/>
    <w:rsid w:val="002A3540"/>
    <w:rsid w:val="002A3547"/>
    <w:rsid w:val="002A3555"/>
    <w:rsid w:val="002A35E2"/>
    <w:rsid w:val="002A35FA"/>
    <w:rsid w:val="002A3647"/>
    <w:rsid w:val="002A3683"/>
    <w:rsid w:val="002A36AF"/>
    <w:rsid w:val="002A36C9"/>
    <w:rsid w:val="002A36DF"/>
    <w:rsid w:val="002A3718"/>
    <w:rsid w:val="002A3765"/>
    <w:rsid w:val="002A37A8"/>
    <w:rsid w:val="002A3883"/>
    <w:rsid w:val="002A38AE"/>
    <w:rsid w:val="002A38D5"/>
    <w:rsid w:val="002A38FB"/>
    <w:rsid w:val="002A390E"/>
    <w:rsid w:val="002A3940"/>
    <w:rsid w:val="002A397B"/>
    <w:rsid w:val="002A3992"/>
    <w:rsid w:val="002A39C8"/>
    <w:rsid w:val="002A39E8"/>
    <w:rsid w:val="002A39F1"/>
    <w:rsid w:val="002A3A26"/>
    <w:rsid w:val="002A3AA5"/>
    <w:rsid w:val="002A3AB9"/>
    <w:rsid w:val="002A3AC7"/>
    <w:rsid w:val="002A3B02"/>
    <w:rsid w:val="002A3B24"/>
    <w:rsid w:val="002A3BD6"/>
    <w:rsid w:val="002A3C17"/>
    <w:rsid w:val="002A3C29"/>
    <w:rsid w:val="002A3C46"/>
    <w:rsid w:val="002A3C47"/>
    <w:rsid w:val="002A3C7B"/>
    <w:rsid w:val="002A3C80"/>
    <w:rsid w:val="002A3C82"/>
    <w:rsid w:val="002A3C8C"/>
    <w:rsid w:val="002A3C96"/>
    <w:rsid w:val="002A3CBF"/>
    <w:rsid w:val="002A3D48"/>
    <w:rsid w:val="002A3D49"/>
    <w:rsid w:val="002A3D76"/>
    <w:rsid w:val="002A3DAD"/>
    <w:rsid w:val="002A3DDA"/>
    <w:rsid w:val="002A3DDC"/>
    <w:rsid w:val="002A3DED"/>
    <w:rsid w:val="002A3DFB"/>
    <w:rsid w:val="002A3E0E"/>
    <w:rsid w:val="002A3E2D"/>
    <w:rsid w:val="002A3E62"/>
    <w:rsid w:val="002A3E83"/>
    <w:rsid w:val="002A3EBA"/>
    <w:rsid w:val="002A3ED3"/>
    <w:rsid w:val="002A3EEC"/>
    <w:rsid w:val="002A3EFF"/>
    <w:rsid w:val="002A3F2B"/>
    <w:rsid w:val="002A3F71"/>
    <w:rsid w:val="002A3F88"/>
    <w:rsid w:val="002A3FA0"/>
    <w:rsid w:val="002A3FB0"/>
    <w:rsid w:val="002A400F"/>
    <w:rsid w:val="002A4023"/>
    <w:rsid w:val="002A403D"/>
    <w:rsid w:val="002A4046"/>
    <w:rsid w:val="002A4081"/>
    <w:rsid w:val="002A40AA"/>
    <w:rsid w:val="002A410C"/>
    <w:rsid w:val="002A41B8"/>
    <w:rsid w:val="002A41CA"/>
    <w:rsid w:val="002A41FC"/>
    <w:rsid w:val="002A4209"/>
    <w:rsid w:val="002A4226"/>
    <w:rsid w:val="002A4248"/>
    <w:rsid w:val="002A4269"/>
    <w:rsid w:val="002A4274"/>
    <w:rsid w:val="002A4282"/>
    <w:rsid w:val="002A4291"/>
    <w:rsid w:val="002A42F0"/>
    <w:rsid w:val="002A4301"/>
    <w:rsid w:val="002A4310"/>
    <w:rsid w:val="002A4356"/>
    <w:rsid w:val="002A4367"/>
    <w:rsid w:val="002A436A"/>
    <w:rsid w:val="002A443B"/>
    <w:rsid w:val="002A44A0"/>
    <w:rsid w:val="002A44E5"/>
    <w:rsid w:val="002A456B"/>
    <w:rsid w:val="002A45A9"/>
    <w:rsid w:val="002A45AD"/>
    <w:rsid w:val="002A45C3"/>
    <w:rsid w:val="002A45D6"/>
    <w:rsid w:val="002A45F7"/>
    <w:rsid w:val="002A4687"/>
    <w:rsid w:val="002A4689"/>
    <w:rsid w:val="002A46CE"/>
    <w:rsid w:val="002A4749"/>
    <w:rsid w:val="002A476D"/>
    <w:rsid w:val="002A4797"/>
    <w:rsid w:val="002A479E"/>
    <w:rsid w:val="002A47C4"/>
    <w:rsid w:val="002A47CA"/>
    <w:rsid w:val="002A47CE"/>
    <w:rsid w:val="002A47FF"/>
    <w:rsid w:val="002A483A"/>
    <w:rsid w:val="002A4858"/>
    <w:rsid w:val="002A4950"/>
    <w:rsid w:val="002A4999"/>
    <w:rsid w:val="002A4B58"/>
    <w:rsid w:val="002A4B67"/>
    <w:rsid w:val="002A4B74"/>
    <w:rsid w:val="002A4C1E"/>
    <w:rsid w:val="002A4C26"/>
    <w:rsid w:val="002A4C46"/>
    <w:rsid w:val="002A4C61"/>
    <w:rsid w:val="002A4C99"/>
    <w:rsid w:val="002A4CAF"/>
    <w:rsid w:val="002A4CC6"/>
    <w:rsid w:val="002A4CFC"/>
    <w:rsid w:val="002A4CFD"/>
    <w:rsid w:val="002A4DF5"/>
    <w:rsid w:val="002A4DFE"/>
    <w:rsid w:val="002A4E69"/>
    <w:rsid w:val="002A4E7B"/>
    <w:rsid w:val="002A4E89"/>
    <w:rsid w:val="002A4E9E"/>
    <w:rsid w:val="002A4EA7"/>
    <w:rsid w:val="002A4EB4"/>
    <w:rsid w:val="002A4EC5"/>
    <w:rsid w:val="002A4EC6"/>
    <w:rsid w:val="002A4EC7"/>
    <w:rsid w:val="002A4ED7"/>
    <w:rsid w:val="002A4F0A"/>
    <w:rsid w:val="002A4F2A"/>
    <w:rsid w:val="002A4F77"/>
    <w:rsid w:val="002A4FAF"/>
    <w:rsid w:val="002A4FBF"/>
    <w:rsid w:val="002A5016"/>
    <w:rsid w:val="002A502A"/>
    <w:rsid w:val="002A5064"/>
    <w:rsid w:val="002A50AA"/>
    <w:rsid w:val="002A5160"/>
    <w:rsid w:val="002A5176"/>
    <w:rsid w:val="002A51D3"/>
    <w:rsid w:val="002A5210"/>
    <w:rsid w:val="002A52D2"/>
    <w:rsid w:val="002A52D9"/>
    <w:rsid w:val="002A532C"/>
    <w:rsid w:val="002A53CF"/>
    <w:rsid w:val="002A53E4"/>
    <w:rsid w:val="002A554D"/>
    <w:rsid w:val="002A556D"/>
    <w:rsid w:val="002A55BF"/>
    <w:rsid w:val="002A55C0"/>
    <w:rsid w:val="002A55EF"/>
    <w:rsid w:val="002A566B"/>
    <w:rsid w:val="002A5678"/>
    <w:rsid w:val="002A568B"/>
    <w:rsid w:val="002A568F"/>
    <w:rsid w:val="002A5695"/>
    <w:rsid w:val="002A56A6"/>
    <w:rsid w:val="002A56AB"/>
    <w:rsid w:val="002A56B5"/>
    <w:rsid w:val="002A570F"/>
    <w:rsid w:val="002A5730"/>
    <w:rsid w:val="002A5749"/>
    <w:rsid w:val="002A5785"/>
    <w:rsid w:val="002A57AC"/>
    <w:rsid w:val="002A57CF"/>
    <w:rsid w:val="002A5848"/>
    <w:rsid w:val="002A584A"/>
    <w:rsid w:val="002A58B0"/>
    <w:rsid w:val="002A5950"/>
    <w:rsid w:val="002A59A5"/>
    <w:rsid w:val="002A59C3"/>
    <w:rsid w:val="002A59D9"/>
    <w:rsid w:val="002A59E0"/>
    <w:rsid w:val="002A5A41"/>
    <w:rsid w:val="002A5AAA"/>
    <w:rsid w:val="002A5AB4"/>
    <w:rsid w:val="002A5AEB"/>
    <w:rsid w:val="002A5AFD"/>
    <w:rsid w:val="002A5B28"/>
    <w:rsid w:val="002A5BA2"/>
    <w:rsid w:val="002A5BA7"/>
    <w:rsid w:val="002A5C45"/>
    <w:rsid w:val="002A5CB5"/>
    <w:rsid w:val="002A5CE7"/>
    <w:rsid w:val="002A5D1B"/>
    <w:rsid w:val="002A5D20"/>
    <w:rsid w:val="002A5D58"/>
    <w:rsid w:val="002A5D74"/>
    <w:rsid w:val="002A5D77"/>
    <w:rsid w:val="002A5DD6"/>
    <w:rsid w:val="002A5DEC"/>
    <w:rsid w:val="002A5DFB"/>
    <w:rsid w:val="002A5DFC"/>
    <w:rsid w:val="002A5E05"/>
    <w:rsid w:val="002A5E32"/>
    <w:rsid w:val="002A5E3A"/>
    <w:rsid w:val="002A5E6F"/>
    <w:rsid w:val="002A5E73"/>
    <w:rsid w:val="002A5EA2"/>
    <w:rsid w:val="002A5ED1"/>
    <w:rsid w:val="002A5F33"/>
    <w:rsid w:val="002A5F39"/>
    <w:rsid w:val="002A5F87"/>
    <w:rsid w:val="002A5FDC"/>
    <w:rsid w:val="002A6044"/>
    <w:rsid w:val="002A6072"/>
    <w:rsid w:val="002A60B4"/>
    <w:rsid w:val="002A60D7"/>
    <w:rsid w:val="002A60FE"/>
    <w:rsid w:val="002A6125"/>
    <w:rsid w:val="002A6145"/>
    <w:rsid w:val="002A618C"/>
    <w:rsid w:val="002A61FA"/>
    <w:rsid w:val="002A6205"/>
    <w:rsid w:val="002A628E"/>
    <w:rsid w:val="002A6334"/>
    <w:rsid w:val="002A6397"/>
    <w:rsid w:val="002A64DE"/>
    <w:rsid w:val="002A64EF"/>
    <w:rsid w:val="002A6510"/>
    <w:rsid w:val="002A6513"/>
    <w:rsid w:val="002A65EF"/>
    <w:rsid w:val="002A661D"/>
    <w:rsid w:val="002A662C"/>
    <w:rsid w:val="002A6678"/>
    <w:rsid w:val="002A66AD"/>
    <w:rsid w:val="002A66DE"/>
    <w:rsid w:val="002A673C"/>
    <w:rsid w:val="002A6753"/>
    <w:rsid w:val="002A6769"/>
    <w:rsid w:val="002A6770"/>
    <w:rsid w:val="002A679D"/>
    <w:rsid w:val="002A67AE"/>
    <w:rsid w:val="002A67B2"/>
    <w:rsid w:val="002A67D6"/>
    <w:rsid w:val="002A682D"/>
    <w:rsid w:val="002A683C"/>
    <w:rsid w:val="002A6852"/>
    <w:rsid w:val="002A6861"/>
    <w:rsid w:val="002A6891"/>
    <w:rsid w:val="002A68F5"/>
    <w:rsid w:val="002A68F7"/>
    <w:rsid w:val="002A6918"/>
    <w:rsid w:val="002A6951"/>
    <w:rsid w:val="002A6982"/>
    <w:rsid w:val="002A69A6"/>
    <w:rsid w:val="002A6A8F"/>
    <w:rsid w:val="002A6AA6"/>
    <w:rsid w:val="002A6B01"/>
    <w:rsid w:val="002A6B74"/>
    <w:rsid w:val="002A6B86"/>
    <w:rsid w:val="002A6BB3"/>
    <w:rsid w:val="002A6C1C"/>
    <w:rsid w:val="002A6C4F"/>
    <w:rsid w:val="002A6C8B"/>
    <w:rsid w:val="002A6CAD"/>
    <w:rsid w:val="002A6D3A"/>
    <w:rsid w:val="002A6D65"/>
    <w:rsid w:val="002A6D79"/>
    <w:rsid w:val="002A6D90"/>
    <w:rsid w:val="002A6D94"/>
    <w:rsid w:val="002A6E3C"/>
    <w:rsid w:val="002A6E3F"/>
    <w:rsid w:val="002A6EE3"/>
    <w:rsid w:val="002A6EEC"/>
    <w:rsid w:val="002A6F1C"/>
    <w:rsid w:val="002A6F69"/>
    <w:rsid w:val="002A6F72"/>
    <w:rsid w:val="002A6FBA"/>
    <w:rsid w:val="002A6FF2"/>
    <w:rsid w:val="002A7026"/>
    <w:rsid w:val="002A7033"/>
    <w:rsid w:val="002A703A"/>
    <w:rsid w:val="002A7089"/>
    <w:rsid w:val="002A70BD"/>
    <w:rsid w:val="002A7162"/>
    <w:rsid w:val="002A7189"/>
    <w:rsid w:val="002A71CD"/>
    <w:rsid w:val="002A71F2"/>
    <w:rsid w:val="002A724E"/>
    <w:rsid w:val="002A72CD"/>
    <w:rsid w:val="002A72D4"/>
    <w:rsid w:val="002A7304"/>
    <w:rsid w:val="002A731B"/>
    <w:rsid w:val="002A7333"/>
    <w:rsid w:val="002A736A"/>
    <w:rsid w:val="002A738B"/>
    <w:rsid w:val="002A73B1"/>
    <w:rsid w:val="002A740E"/>
    <w:rsid w:val="002A741D"/>
    <w:rsid w:val="002A7439"/>
    <w:rsid w:val="002A74CE"/>
    <w:rsid w:val="002A74EF"/>
    <w:rsid w:val="002A74F5"/>
    <w:rsid w:val="002A7512"/>
    <w:rsid w:val="002A7532"/>
    <w:rsid w:val="002A7569"/>
    <w:rsid w:val="002A757C"/>
    <w:rsid w:val="002A75E3"/>
    <w:rsid w:val="002A75F3"/>
    <w:rsid w:val="002A7652"/>
    <w:rsid w:val="002A7655"/>
    <w:rsid w:val="002A7659"/>
    <w:rsid w:val="002A76A7"/>
    <w:rsid w:val="002A76B2"/>
    <w:rsid w:val="002A76D8"/>
    <w:rsid w:val="002A76DD"/>
    <w:rsid w:val="002A7731"/>
    <w:rsid w:val="002A774E"/>
    <w:rsid w:val="002A7755"/>
    <w:rsid w:val="002A7760"/>
    <w:rsid w:val="002A776B"/>
    <w:rsid w:val="002A7789"/>
    <w:rsid w:val="002A77B6"/>
    <w:rsid w:val="002A77DD"/>
    <w:rsid w:val="002A7815"/>
    <w:rsid w:val="002A7838"/>
    <w:rsid w:val="002A784E"/>
    <w:rsid w:val="002A78EF"/>
    <w:rsid w:val="002A792F"/>
    <w:rsid w:val="002A7948"/>
    <w:rsid w:val="002A79B0"/>
    <w:rsid w:val="002A7A11"/>
    <w:rsid w:val="002A7A16"/>
    <w:rsid w:val="002A7A31"/>
    <w:rsid w:val="002A7A8E"/>
    <w:rsid w:val="002A7AC7"/>
    <w:rsid w:val="002A7B3A"/>
    <w:rsid w:val="002A7BB2"/>
    <w:rsid w:val="002A7C16"/>
    <w:rsid w:val="002A7C1B"/>
    <w:rsid w:val="002A7CB1"/>
    <w:rsid w:val="002A7D14"/>
    <w:rsid w:val="002A7D1E"/>
    <w:rsid w:val="002A7D75"/>
    <w:rsid w:val="002A7DC1"/>
    <w:rsid w:val="002A7DD0"/>
    <w:rsid w:val="002A7DEF"/>
    <w:rsid w:val="002A7E5A"/>
    <w:rsid w:val="002A7E71"/>
    <w:rsid w:val="002A7E8C"/>
    <w:rsid w:val="002A7E98"/>
    <w:rsid w:val="002A7EFE"/>
    <w:rsid w:val="002A7F36"/>
    <w:rsid w:val="002A7F3C"/>
    <w:rsid w:val="002A7F3F"/>
    <w:rsid w:val="002A7F86"/>
    <w:rsid w:val="002A7FB4"/>
    <w:rsid w:val="002A7FE7"/>
    <w:rsid w:val="002A7FF8"/>
    <w:rsid w:val="002B0001"/>
    <w:rsid w:val="002B0036"/>
    <w:rsid w:val="002B00D5"/>
    <w:rsid w:val="002B00ED"/>
    <w:rsid w:val="002B0110"/>
    <w:rsid w:val="002B012A"/>
    <w:rsid w:val="002B016B"/>
    <w:rsid w:val="002B020B"/>
    <w:rsid w:val="002B0281"/>
    <w:rsid w:val="002B02F9"/>
    <w:rsid w:val="002B030E"/>
    <w:rsid w:val="002B0310"/>
    <w:rsid w:val="002B0344"/>
    <w:rsid w:val="002B039F"/>
    <w:rsid w:val="002B03CC"/>
    <w:rsid w:val="002B03E3"/>
    <w:rsid w:val="002B03FB"/>
    <w:rsid w:val="002B0409"/>
    <w:rsid w:val="002B043C"/>
    <w:rsid w:val="002B0457"/>
    <w:rsid w:val="002B04C3"/>
    <w:rsid w:val="002B04EC"/>
    <w:rsid w:val="002B04F8"/>
    <w:rsid w:val="002B051F"/>
    <w:rsid w:val="002B053C"/>
    <w:rsid w:val="002B05B4"/>
    <w:rsid w:val="002B0608"/>
    <w:rsid w:val="002B0631"/>
    <w:rsid w:val="002B0661"/>
    <w:rsid w:val="002B06BD"/>
    <w:rsid w:val="002B06D3"/>
    <w:rsid w:val="002B06E2"/>
    <w:rsid w:val="002B0705"/>
    <w:rsid w:val="002B070C"/>
    <w:rsid w:val="002B075F"/>
    <w:rsid w:val="002B0765"/>
    <w:rsid w:val="002B0783"/>
    <w:rsid w:val="002B079A"/>
    <w:rsid w:val="002B07CF"/>
    <w:rsid w:val="002B0834"/>
    <w:rsid w:val="002B0856"/>
    <w:rsid w:val="002B089E"/>
    <w:rsid w:val="002B08E5"/>
    <w:rsid w:val="002B0919"/>
    <w:rsid w:val="002B098E"/>
    <w:rsid w:val="002B09F1"/>
    <w:rsid w:val="002B09F7"/>
    <w:rsid w:val="002B0A48"/>
    <w:rsid w:val="002B0B1A"/>
    <w:rsid w:val="002B0B2E"/>
    <w:rsid w:val="002B0B3D"/>
    <w:rsid w:val="002B0B57"/>
    <w:rsid w:val="002B0B80"/>
    <w:rsid w:val="002B0BAB"/>
    <w:rsid w:val="002B0C55"/>
    <w:rsid w:val="002B0C7A"/>
    <w:rsid w:val="002B0C82"/>
    <w:rsid w:val="002B0CB0"/>
    <w:rsid w:val="002B0CC0"/>
    <w:rsid w:val="002B0CCE"/>
    <w:rsid w:val="002B0D56"/>
    <w:rsid w:val="002B0D7C"/>
    <w:rsid w:val="002B0D84"/>
    <w:rsid w:val="002B0D86"/>
    <w:rsid w:val="002B0DA1"/>
    <w:rsid w:val="002B0DEC"/>
    <w:rsid w:val="002B0E08"/>
    <w:rsid w:val="002B0E5D"/>
    <w:rsid w:val="002B0F1B"/>
    <w:rsid w:val="002B0F23"/>
    <w:rsid w:val="002B0F9D"/>
    <w:rsid w:val="002B0FA1"/>
    <w:rsid w:val="002B0FB2"/>
    <w:rsid w:val="002B0FD8"/>
    <w:rsid w:val="002B0FF2"/>
    <w:rsid w:val="002B1013"/>
    <w:rsid w:val="002B1014"/>
    <w:rsid w:val="002B1039"/>
    <w:rsid w:val="002B1055"/>
    <w:rsid w:val="002B1114"/>
    <w:rsid w:val="002B1157"/>
    <w:rsid w:val="002B1171"/>
    <w:rsid w:val="002B11D3"/>
    <w:rsid w:val="002B122B"/>
    <w:rsid w:val="002B1272"/>
    <w:rsid w:val="002B12B3"/>
    <w:rsid w:val="002B12E4"/>
    <w:rsid w:val="002B12FF"/>
    <w:rsid w:val="002B130F"/>
    <w:rsid w:val="002B1377"/>
    <w:rsid w:val="002B1410"/>
    <w:rsid w:val="002B144A"/>
    <w:rsid w:val="002B148C"/>
    <w:rsid w:val="002B1497"/>
    <w:rsid w:val="002B14A0"/>
    <w:rsid w:val="002B14AE"/>
    <w:rsid w:val="002B14E8"/>
    <w:rsid w:val="002B14EB"/>
    <w:rsid w:val="002B1515"/>
    <w:rsid w:val="002B1552"/>
    <w:rsid w:val="002B15B4"/>
    <w:rsid w:val="002B160D"/>
    <w:rsid w:val="002B1719"/>
    <w:rsid w:val="002B1783"/>
    <w:rsid w:val="002B178B"/>
    <w:rsid w:val="002B17C8"/>
    <w:rsid w:val="002B17C9"/>
    <w:rsid w:val="002B17EC"/>
    <w:rsid w:val="002B1832"/>
    <w:rsid w:val="002B18AE"/>
    <w:rsid w:val="002B18BA"/>
    <w:rsid w:val="002B18D2"/>
    <w:rsid w:val="002B18F0"/>
    <w:rsid w:val="002B1927"/>
    <w:rsid w:val="002B1988"/>
    <w:rsid w:val="002B19E2"/>
    <w:rsid w:val="002B1A42"/>
    <w:rsid w:val="002B1A9A"/>
    <w:rsid w:val="002B1ADD"/>
    <w:rsid w:val="002B1B4B"/>
    <w:rsid w:val="002B1B59"/>
    <w:rsid w:val="002B1B6D"/>
    <w:rsid w:val="002B1B8C"/>
    <w:rsid w:val="002B1BD3"/>
    <w:rsid w:val="002B1C25"/>
    <w:rsid w:val="002B1C2D"/>
    <w:rsid w:val="002B1C8A"/>
    <w:rsid w:val="002B1CDA"/>
    <w:rsid w:val="002B1CED"/>
    <w:rsid w:val="002B1CFC"/>
    <w:rsid w:val="002B1D75"/>
    <w:rsid w:val="002B1D93"/>
    <w:rsid w:val="002B1DB4"/>
    <w:rsid w:val="002B1DB7"/>
    <w:rsid w:val="002B1E05"/>
    <w:rsid w:val="002B1E5B"/>
    <w:rsid w:val="002B1E7C"/>
    <w:rsid w:val="002B1EC8"/>
    <w:rsid w:val="002B1F0A"/>
    <w:rsid w:val="002B1F19"/>
    <w:rsid w:val="002B1FAE"/>
    <w:rsid w:val="002B2091"/>
    <w:rsid w:val="002B20D9"/>
    <w:rsid w:val="002B2125"/>
    <w:rsid w:val="002B21E6"/>
    <w:rsid w:val="002B221E"/>
    <w:rsid w:val="002B2229"/>
    <w:rsid w:val="002B2240"/>
    <w:rsid w:val="002B2270"/>
    <w:rsid w:val="002B227C"/>
    <w:rsid w:val="002B22C3"/>
    <w:rsid w:val="002B2339"/>
    <w:rsid w:val="002B23BB"/>
    <w:rsid w:val="002B23ED"/>
    <w:rsid w:val="002B240E"/>
    <w:rsid w:val="002B24AF"/>
    <w:rsid w:val="002B24DB"/>
    <w:rsid w:val="002B24EF"/>
    <w:rsid w:val="002B24F9"/>
    <w:rsid w:val="002B254F"/>
    <w:rsid w:val="002B2554"/>
    <w:rsid w:val="002B2589"/>
    <w:rsid w:val="002B2623"/>
    <w:rsid w:val="002B2668"/>
    <w:rsid w:val="002B2674"/>
    <w:rsid w:val="002B2686"/>
    <w:rsid w:val="002B2690"/>
    <w:rsid w:val="002B2709"/>
    <w:rsid w:val="002B2793"/>
    <w:rsid w:val="002B27EA"/>
    <w:rsid w:val="002B27EF"/>
    <w:rsid w:val="002B285C"/>
    <w:rsid w:val="002B2875"/>
    <w:rsid w:val="002B28CD"/>
    <w:rsid w:val="002B28D0"/>
    <w:rsid w:val="002B28EA"/>
    <w:rsid w:val="002B290F"/>
    <w:rsid w:val="002B29E3"/>
    <w:rsid w:val="002B2A13"/>
    <w:rsid w:val="002B2A2F"/>
    <w:rsid w:val="002B2A3C"/>
    <w:rsid w:val="002B2AAB"/>
    <w:rsid w:val="002B2AB5"/>
    <w:rsid w:val="002B2B0F"/>
    <w:rsid w:val="002B2B21"/>
    <w:rsid w:val="002B2B7D"/>
    <w:rsid w:val="002B2C0A"/>
    <w:rsid w:val="002B2C5A"/>
    <w:rsid w:val="002B2C79"/>
    <w:rsid w:val="002B2C95"/>
    <w:rsid w:val="002B2D47"/>
    <w:rsid w:val="002B2D49"/>
    <w:rsid w:val="002B2D8E"/>
    <w:rsid w:val="002B2DD9"/>
    <w:rsid w:val="002B2DF5"/>
    <w:rsid w:val="002B2E2A"/>
    <w:rsid w:val="002B2E7F"/>
    <w:rsid w:val="002B2EB9"/>
    <w:rsid w:val="002B2EBB"/>
    <w:rsid w:val="002B2EDD"/>
    <w:rsid w:val="002B2EE3"/>
    <w:rsid w:val="002B2F2D"/>
    <w:rsid w:val="002B2F94"/>
    <w:rsid w:val="002B30AD"/>
    <w:rsid w:val="002B310B"/>
    <w:rsid w:val="002B3134"/>
    <w:rsid w:val="002B31C3"/>
    <w:rsid w:val="002B323A"/>
    <w:rsid w:val="002B323E"/>
    <w:rsid w:val="002B32A1"/>
    <w:rsid w:val="002B32B3"/>
    <w:rsid w:val="002B32CF"/>
    <w:rsid w:val="002B32D6"/>
    <w:rsid w:val="002B32FD"/>
    <w:rsid w:val="002B3362"/>
    <w:rsid w:val="002B3363"/>
    <w:rsid w:val="002B337E"/>
    <w:rsid w:val="002B3462"/>
    <w:rsid w:val="002B3472"/>
    <w:rsid w:val="002B34B5"/>
    <w:rsid w:val="002B34BC"/>
    <w:rsid w:val="002B34BE"/>
    <w:rsid w:val="002B356B"/>
    <w:rsid w:val="002B35B7"/>
    <w:rsid w:val="002B35F5"/>
    <w:rsid w:val="002B3604"/>
    <w:rsid w:val="002B3688"/>
    <w:rsid w:val="002B36A6"/>
    <w:rsid w:val="002B36D3"/>
    <w:rsid w:val="002B3829"/>
    <w:rsid w:val="002B3857"/>
    <w:rsid w:val="002B388B"/>
    <w:rsid w:val="002B38AD"/>
    <w:rsid w:val="002B38C2"/>
    <w:rsid w:val="002B38E1"/>
    <w:rsid w:val="002B3949"/>
    <w:rsid w:val="002B396F"/>
    <w:rsid w:val="002B3981"/>
    <w:rsid w:val="002B39B0"/>
    <w:rsid w:val="002B39B8"/>
    <w:rsid w:val="002B39DE"/>
    <w:rsid w:val="002B39E5"/>
    <w:rsid w:val="002B39EA"/>
    <w:rsid w:val="002B39EF"/>
    <w:rsid w:val="002B39F6"/>
    <w:rsid w:val="002B3A98"/>
    <w:rsid w:val="002B3AFF"/>
    <w:rsid w:val="002B3B16"/>
    <w:rsid w:val="002B3B45"/>
    <w:rsid w:val="002B3B4A"/>
    <w:rsid w:val="002B3B5F"/>
    <w:rsid w:val="002B3B90"/>
    <w:rsid w:val="002B3BE6"/>
    <w:rsid w:val="002B3C15"/>
    <w:rsid w:val="002B3C22"/>
    <w:rsid w:val="002B3C7D"/>
    <w:rsid w:val="002B3CB8"/>
    <w:rsid w:val="002B3CCB"/>
    <w:rsid w:val="002B3CE9"/>
    <w:rsid w:val="002B3D44"/>
    <w:rsid w:val="002B3D50"/>
    <w:rsid w:val="002B3D6C"/>
    <w:rsid w:val="002B3DB4"/>
    <w:rsid w:val="002B3DB8"/>
    <w:rsid w:val="002B3DDC"/>
    <w:rsid w:val="002B3DDE"/>
    <w:rsid w:val="002B3DF9"/>
    <w:rsid w:val="002B3E58"/>
    <w:rsid w:val="002B3E60"/>
    <w:rsid w:val="002B3E72"/>
    <w:rsid w:val="002B3E7E"/>
    <w:rsid w:val="002B3E93"/>
    <w:rsid w:val="002B3EF1"/>
    <w:rsid w:val="002B3F02"/>
    <w:rsid w:val="002B3F27"/>
    <w:rsid w:val="002B3F57"/>
    <w:rsid w:val="002B3F81"/>
    <w:rsid w:val="002B3F84"/>
    <w:rsid w:val="002B3FBF"/>
    <w:rsid w:val="002B408E"/>
    <w:rsid w:val="002B412B"/>
    <w:rsid w:val="002B413B"/>
    <w:rsid w:val="002B4156"/>
    <w:rsid w:val="002B41A1"/>
    <w:rsid w:val="002B4213"/>
    <w:rsid w:val="002B426D"/>
    <w:rsid w:val="002B42EB"/>
    <w:rsid w:val="002B4307"/>
    <w:rsid w:val="002B430A"/>
    <w:rsid w:val="002B434D"/>
    <w:rsid w:val="002B4399"/>
    <w:rsid w:val="002B43C0"/>
    <w:rsid w:val="002B447A"/>
    <w:rsid w:val="002B447B"/>
    <w:rsid w:val="002B44BB"/>
    <w:rsid w:val="002B45EC"/>
    <w:rsid w:val="002B4603"/>
    <w:rsid w:val="002B468A"/>
    <w:rsid w:val="002B46A4"/>
    <w:rsid w:val="002B46AC"/>
    <w:rsid w:val="002B4717"/>
    <w:rsid w:val="002B475D"/>
    <w:rsid w:val="002B479A"/>
    <w:rsid w:val="002B47BC"/>
    <w:rsid w:val="002B47E1"/>
    <w:rsid w:val="002B480D"/>
    <w:rsid w:val="002B486B"/>
    <w:rsid w:val="002B48CF"/>
    <w:rsid w:val="002B48DD"/>
    <w:rsid w:val="002B48F2"/>
    <w:rsid w:val="002B4930"/>
    <w:rsid w:val="002B4982"/>
    <w:rsid w:val="002B4990"/>
    <w:rsid w:val="002B4A15"/>
    <w:rsid w:val="002B4A37"/>
    <w:rsid w:val="002B4A7E"/>
    <w:rsid w:val="002B4A8A"/>
    <w:rsid w:val="002B4A96"/>
    <w:rsid w:val="002B4B13"/>
    <w:rsid w:val="002B4B2D"/>
    <w:rsid w:val="002B4BC0"/>
    <w:rsid w:val="002B4BD3"/>
    <w:rsid w:val="002B4BF5"/>
    <w:rsid w:val="002B4C4E"/>
    <w:rsid w:val="002B4D26"/>
    <w:rsid w:val="002B4DA8"/>
    <w:rsid w:val="002B4DCA"/>
    <w:rsid w:val="002B4E8D"/>
    <w:rsid w:val="002B4EC7"/>
    <w:rsid w:val="002B4EF4"/>
    <w:rsid w:val="002B4F12"/>
    <w:rsid w:val="002B4F29"/>
    <w:rsid w:val="002B4F4A"/>
    <w:rsid w:val="002B4F60"/>
    <w:rsid w:val="002B4FD2"/>
    <w:rsid w:val="002B503B"/>
    <w:rsid w:val="002B504B"/>
    <w:rsid w:val="002B5055"/>
    <w:rsid w:val="002B5077"/>
    <w:rsid w:val="002B5079"/>
    <w:rsid w:val="002B50B4"/>
    <w:rsid w:val="002B5183"/>
    <w:rsid w:val="002B51A8"/>
    <w:rsid w:val="002B51BA"/>
    <w:rsid w:val="002B521F"/>
    <w:rsid w:val="002B5228"/>
    <w:rsid w:val="002B5237"/>
    <w:rsid w:val="002B52A3"/>
    <w:rsid w:val="002B52B6"/>
    <w:rsid w:val="002B52ED"/>
    <w:rsid w:val="002B5301"/>
    <w:rsid w:val="002B5329"/>
    <w:rsid w:val="002B5354"/>
    <w:rsid w:val="002B5364"/>
    <w:rsid w:val="002B5374"/>
    <w:rsid w:val="002B53DE"/>
    <w:rsid w:val="002B541B"/>
    <w:rsid w:val="002B542C"/>
    <w:rsid w:val="002B5494"/>
    <w:rsid w:val="002B54E4"/>
    <w:rsid w:val="002B54EE"/>
    <w:rsid w:val="002B555C"/>
    <w:rsid w:val="002B5609"/>
    <w:rsid w:val="002B562A"/>
    <w:rsid w:val="002B56A7"/>
    <w:rsid w:val="002B56C6"/>
    <w:rsid w:val="002B56D3"/>
    <w:rsid w:val="002B5704"/>
    <w:rsid w:val="002B575E"/>
    <w:rsid w:val="002B57C8"/>
    <w:rsid w:val="002B57E6"/>
    <w:rsid w:val="002B587C"/>
    <w:rsid w:val="002B589B"/>
    <w:rsid w:val="002B58AB"/>
    <w:rsid w:val="002B58B9"/>
    <w:rsid w:val="002B593C"/>
    <w:rsid w:val="002B597E"/>
    <w:rsid w:val="002B5986"/>
    <w:rsid w:val="002B5996"/>
    <w:rsid w:val="002B5A15"/>
    <w:rsid w:val="002B5ABD"/>
    <w:rsid w:val="002B5AC6"/>
    <w:rsid w:val="002B5AD9"/>
    <w:rsid w:val="002B5AF4"/>
    <w:rsid w:val="002B5B32"/>
    <w:rsid w:val="002B5B37"/>
    <w:rsid w:val="002B5B56"/>
    <w:rsid w:val="002B5B69"/>
    <w:rsid w:val="002B5BAE"/>
    <w:rsid w:val="002B5C44"/>
    <w:rsid w:val="002B5CA2"/>
    <w:rsid w:val="002B5CAA"/>
    <w:rsid w:val="002B5CC5"/>
    <w:rsid w:val="002B5CD2"/>
    <w:rsid w:val="002B5CDB"/>
    <w:rsid w:val="002B5D18"/>
    <w:rsid w:val="002B5D62"/>
    <w:rsid w:val="002B5D68"/>
    <w:rsid w:val="002B5DA9"/>
    <w:rsid w:val="002B5DBF"/>
    <w:rsid w:val="002B5DEA"/>
    <w:rsid w:val="002B5DF3"/>
    <w:rsid w:val="002B5DF4"/>
    <w:rsid w:val="002B5E4C"/>
    <w:rsid w:val="002B5E54"/>
    <w:rsid w:val="002B5FC4"/>
    <w:rsid w:val="002B5FF0"/>
    <w:rsid w:val="002B604E"/>
    <w:rsid w:val="002B6066"/>
    <w:rsid w:val="002B608C"/>
    <w:rsid w:val="002B6107"/>
    <w:rsid w:val="002B611C"/>
    <w:rsid w:val="002B61B1"/>
    <w:rsid w:val="002B61C4"/>
    <w:rsid w:val="002B61D0"/>
    <w:rsid w:val="002B6209"/>
    <w:rsid w:val="002B62CE"/>
    <w:rsid w:val="002B62F1"/>
    <w:rsid w:val="002B62F9"/>
    <w:rsid w:val="002B6341"/>
    <w:rsid w:val="002B6357"/>
    <w:rsid w:val="002B6364"/>
    <w:rsid w:val="002B636F"/>
    <w:rsid w:val="002B64A9"/>
    <w:rsid w:val="002B6532"/>
    <w:rsid w:val="002B65C5"/>
    <w:rsid w:val="002B65DB"/>
    <w:rsid w:val="002B65EE"/>
    <w:rsid w:val="002B662B"/>
    <w:rsid w:val="002B675E"/>
    <w:rsid w:val="002B6774"/>
    <w:rsid w:val="002B6776"/>
    <w:rsid w:val="002B67F7"/>
    <w:rsid w:val="002B683B"/>
    <w:rsid w:val="002B683F"/>
    <w:rsid w:val="002B684B"/>
    <w:rsid w:val="002B6884"/>
    <w:rsid w:val="002B6892"/>
    <w:rsid w:val="002B68DC"/>
    <w:rsid w:val="002B68EE"/>
    <w:rsid w:val="002B68F6"/>
    <w:rsid w:val="002B692E"/>
    <w:rsid w:val="002B697F"/>
    <w:rsid w:val="002B6A35"/>
    <w:rsid w:val="002B6A43"/>
    <w:rsid w:val="002B6A47"/>
    <w:rsid w:val="002B6A53"/>
    <w:rsid w:val="002B6A64"/>
    <w:rsid w:val="002B6A78"/>
    <w:rsid w:val="002B6A82"/>
    <w:rsid w:val="002B6AA5"/>
    <w:rsid w:val="002B6AB7"/>
    <w:rsid w:val="002B6ABF"/>
    <w:rsid w:val="002B6B49"/>
    <w:rsid w:val="002B6B55"/>
    <w:rsid w:val="002B6B89"/>
    <w:rsid w:val="002B6BE0"/>
    <w:rsid w:val="002B6C43"/>
    <w:rsid w:val="002B6C9E"/>
    <w:rsid w:val="002B6CB4"/>
    <w:rsid w:val="002B6D10"/>
    <w:rsid w:val="002B6D22"/>
    <w:rsid w:val="002B6D42"/>
    <w:rsid w:val="002B6D71"/>
    <w:rsid w:val="002B6D73"/>
    <w:rsid w:val="002B6DBB"/>
    <w:rsid w:val="002B6E13"/>
    <w:rsid w:val="002B6E44"/>
    <w:rsid w:val="002B6E62"/>
    <w:rsid w:val="002B6E64"/>
    <w:rsid w:val="002B6E6E"/>
    <w:rsid w:val="002B6EF0"/>
    <w:rsid w:val="002B6F15"/>
    <w:rsid w:val="002B6F21"/>
    <w:rsid w:val="002B6F31"/>
    <w:rsid w:val="002B6FC9"/>
    <w:rsid w:val="002B6FF7"/>
    <w:rsid w:val="002B7027"/>
    <w:rsid w:val="002B7055"/>
    <w:rsid w:val="002B70F5"/>
    <w:rsid w:val="002B7112"/>
    <w:rsid w:val="002B7117"/>
    <w:rsid w:val="002B7120"/>
    <w:rsid w:val="002B716B"/>
    <w:rsid w:val="002B7182"/>
    <w:rsid w:val="002B71E2"/>
    <w:rsid w:val="002B71F3"/>
    <w:rsid w:val="002B721A"/>
    <w:rsid w:val="002B7229"/>
    <w:rsid w:val="002B7231"/>
    <w:rsid w:val="002B728C"/>
    <w:rsid w:val="002B7299"/>
    <w:rsid w:val="002B72C9"/>
    <w:rsid w:val="002B72D7"/>
    <w:rsid w:val="002B7317"/>
    <w:rsid w:val="002B7350"/>
    <w:rsid w:val="002B7351"/>
    <w:rsid w:val="002B73BA"/>
    <w:rsid w:val="002B73DA"/>
    <w:rsid w:val="002B73F0"/>
    <w:rsid w:val="002B7413"/>
    <w:rsid w:val="002B74EF"/>
    <w:rsid w:val="002B7548"/>
    <w:rsid w:val="002B7576"/>
    <w:rsid w:val="002B757B"/>
    <w:rsid w:val="002B7584"/>
    <w:rsid w:val="002B75BF"/>
    <w:rsid w:val="002B75C3"/>
    <w:rsid w:val="002B75D1"/>
    <w:rsid w:val="002B75E7"/>
    <w:rsid w:val="002B7622"/>
    <w:rsid w:val="002B765A"/>
    <w:rsid w:val="002B7660"/>
    <w:rsid w:val="002B7707"/>
    <w:rsid w:val="002B7727"/>
    <w:rsid w:val="002B778F"/>
    <w:rsid w:val="002B779B"/>
    <w:rsid w:val="002B779D"/>
    <w:rsid w:val="002B77A4"/>
    <w:rsid w:val="002B77CA"/>
    <w:rsid w:val="002B77DA"/>
    <w:rsid w:val="002B77EA"/>
    <w:rsid w:val="002B77F5"/>
    <w:rsid w:val="002B789A"/>
    <w:rsid w:val="002B789F"/>
    <w:rsid w:val="002B78F7"/>
    <w:rsid w:val="002B7949"/>
    <w:rsid w:val="002B794A"/>
    <w:rsid w:val="002B7950"/>
    <w:rsid w:val="002B7963"/>
    <w:rsid w:val="002B7992"/>
    <w:rsid w:val="002B79C9"/>
    <w:rsid w:val="002B79E5"/>
    <w:rsid w:val="002B79FA"/>
    <w:rsid w:val="002B7A7F"/>
    <w:rsid w:val="002B7A96"/>
    <w:rsid w:val="002B7AEB"/>
    <w:rsid w:val="002B7AF1"/>
    <w:rsid w:val="002B7B00"/>
    <w:rsid w:val="002B7B0C"/>
    <w:rsid w:val="002B7B59"/>
    <w:rsid w:val="002B7B5C"/>
    <w:rsid w:val="002B7B99"/>
    <w:rsid w:val="002B7BB3"/>
    <w:rsid w:val="002B7BE7"/>
    <w:rsid w:val="002B7C0C"/>
    <w:rsid w:val="002B7C25"/>
    <w:rsid w:val="002B7C80"/>
    <w:rsid w:val="002B7CD1"/>
    <w:rsid w:val="002B7CDC"/>
    <w:rsid w:val="002B7D16"/>
    <w:rsid w:val="002B7D7C"/>
    <w:rsid w:val="002B7DA9"/>
    <w:rsid w:val="002B7DB3"/>
    <w:rsid w:val="002B7DDE"/>
    <w:rsid w:val="002B7DEB"/>
    <w:rsid w:val="002B7DFA"/>
    <w:rsid w:val="002B7E42"/>
    <w:rsid w:val="002B7E9C"/>
    <w:rsid w:val="002B7EAA"/>
    <w:rsid w:val="002B7EDC"/>
    <w:rsid w:val="002B7F16"/>
    <w:rsid w:val="002B7F2A"/>
    <w:rsid w:val="002B7F43"/>
    <w:rsid w:val="002B7F55"/>
    <w:rsid w:val="002B7FA3"/>
    <w:rsid w:val="002B7FBB"/>
    <w:rsid w:val="002C002C"/>
    <w:rsid w:val="002C007D"/>
    <w:rsid w:val="002C00BC"/>
    <w:rsid w:val="002C00E7"/>
    <w:rsid w:val="002C0113"/>
    <w:rsid w:val="002C0148"/>
    <w:rsid w:val="002C0162"/>
    <w:rsid w:val="002C019C"/>
    <w:rsid w:val="002C01BE"/>
    <w:rsid w:val="002C01C5"/>
    <w:rsid w:val="002C0227"/>
    <w:rsid w:val="002C0245"/>
    <w:rsid w:val="002C0270"/>
    <w:rsid w:val="002C02AE"/>
    <w:rsid w:val="002C0322"/>
    <w:rsid w:val="002C0394"/>
    <w:rsid w:val="002C03D9"/>
    <w:rsid w:val="002C03E5"/>
    <w:rsid w:val="002C0430"/>
    <w:rsid w:val="002C043E"/>
    <w:rsid w:val="002C043F"/>
    <w:rsid w:val="002C0447"/>
    <w:rsid w:val="002C0499"/>
    <w:rsid w:val="002C04AB"/>
    <w:rsid w:val="002C04BA"/>
    <w:rsid w:val="002C0526"/>
    <w:rsid w:val="002C0533"/>
    <w:rsid w:val="002C0559"/>
    <w:rsid w:val="002C055C"/>
    <w:rsid w:val="002C0569"/>
    <w:rsid w:val="002C05FC"/>
    <w:rsid w:val="002C0604"/>
    <w:rsid w:val="002C0609"/>
    <w:rsid w:val="002C062D"/>
    <w:rsid w:val="002C0669"/>
    <w:rsid w:val="002C068A"/>
    <w:rsid w:val="002C0692"/>
    <w:rsid w:val="002C06A0"/>
    <w:rsid w:val="002C06A3"/>
    <w:rsid w:val="002C070F"/>
    <w:rsid w:val="002C0715"/>
    <w:rsid w:val="002C073F"/>
    <w:rsid w:val="002C0753"/>
    <w:rsid w:val="002C0793"/>
    <w:rsid w:val="002C07FF"/>
    <w:rsid w:val="002C082F"/>
    <w:rsid w:val="002C0877"/>
    <w:rsid w:val="002C087A"/>
    <w:rsid w:val="002C08AF"/>
    <w:rsid w:val="002C08DD"/>
    <w:rsid w:val="002C0993"/>
    <w:rsid w:val="002C09E8"/>
    <w:rsid w:val="002C0A4B"/>
    <w:rsid w:val="002C0A8D"/>
    <w:rsid w:val="002C0AD3"/>
    <w:rsid w:val="002C0B56"/>
    <w:rsid w:val="002C0B68"/>
    <w:rsid w:val="002C0B9C"/>
    <w:rsid w:val="002C0BB4"/>
    <w:rsid w:val="002C0C10"/>
    <w:rsid w:val="002C0C7B"/>
    <w:rsid w:val="002C0C89"/>
    <w:rsid w:val="002C0D17"/>
    <w:rsid w:val="002C0D6B"/>
    <w:rsid w:val="002C0D71"/>
    <w:rsid w:val="002C0DCE"/>
    <w:rsid w:val="002C0DE6"/>
    <w:rsid w:val="002C0E21"/>
    <w:rsid w:val="002C0E22"/>
    <w:rsid w:val="002C0EE6"/>
    <w:rsid w:val="002C0F0D"/>
    <w:rsid w:val="002C0F21"/>
    <w:rsid w:val="002C0F22"/>
    <w:rsid w:val="002C0F26"/>
    <w:rsid w:val="002C0F88"/>
    <w:rsid w:val="002C0FFC"/>
    <w:rsid w:val="002C100F"/>
    <w:rsid w:val="002C1015"/>
    <w:rsid w:val="002C1112"/>
    <w:rsid w:val="002C1124"/>
    <w:rsid w:val="002C113E"/>
    <w:rsid w:val="002C1159"/>
    <w:rsid w:val="002C115F"/>
    <w:rsid w:val="002C1166"/>
    <w:rsid w:val="002C118F"/>
    <w:rsid w:val="002C1190"/>
    <w:rsid w:val="002C11A1"/>
    <w:rsid w:val="002C11A8"/>
    <w:rsid w:val="002C11CA"/>
    <w:rsid w:val="002C1208"/>
    <w:rsid w:val="002C121C"/>
    <w:rsid w:val="002C1220"/>
    <w:rsid w:val="002C1233"/>
    <w:rsid w:val="002C1239"/>
    <w:rsid w:val="002C1378"/>
    <w:rsid w:val="002C13A9"/>
    <w:rsid w:val="002C13AA"/>
    <w:rsid w:val="002C13E6"/>
    <w:rsid w:val="002C1463"/>
    <w:rsid w:val="002C1471"/>
    <w:rsid w:val="002C1495"/>
    <w:rsid w:val="002C14C7"/>
    <w:rsid w:val="002C14CE"/>
    <w:rsid w:val="002C14FB"/>
    <w:rsid w:val="002C1592"/>
    <w:rsid w:val="002C15AB"/>
    <w:rsid w:val="002C15AE"/>
    <w:rsid w:val="002C15C7"/>
    <w:rsid w:val="002C15D5"/>
    <w:rsid w:val="002C15FA"/>
    <w:rsid w:val="002C164E"/>
    <w:rsid w:val="002C16A8"/>
    <w:rsid w:val="002C1705"/>
    <w:rsid w:val="002C1734"/>
    <w:rsid w:val="002C1762"/>
    <w:rsid w:val="002C177F"/>
    <w:rsid w:val="002C1811"/>
    <w:rsid w:val="002C1823"/>
    <w:rsid w:val="002C1835"/>
    <w:rsid w:val="002C18A9"/>
    <w:rsid w:val="002C18CE"/>
    <w:rsid w:val="002C18E0"/>
    <w:rsid w:val="002C18EA"/>
    <w:rsid w:val="002C18FC"/>
    <w:rsid w:val="002C1935"/>
    <w:rsid w:val="002C193C"/>
    <w:rsid w:val="002C197E"/>
    <w:rsid w:val="002C19A2"/>
    <w:rsid w:val="002C19D8"/>
    <w:rsid w:val="002C1A2F"/>
    <w:rsid w:val="002C1AD2"/>
    <w:rsid w:val="002C1AD4"/>
    <w:rsid w:val="002C1ADB"/>
    <w:rsid w:val="002C1B1E"/>
    <w:rsid w:val="002C1B25"/>
    <w:rsid w:val="002C1B26"/>
    <w:rsid w:val="002C1B2E"/>
    <w:rsid w:val="002C1B43"/>
    <w:rsid w:val="002C1BFF"/>
    <w:rsid w:val="002C1C1E"/>
    <w:rsid w:val="002C1C28"/>
    <w:rsid w:val="002C1C70"/>
    <w:rsid w:val="002C1C83"/>
    <w:rsid w:val="002C1C8A"/>
    <w:rsid w:val="002C1D2E"/>
    <w:rsid w:val="002C1D48"/>
    <w:rsid w:val="002C1D6A"/>
    <w:rsid w:val="002C1DFE"/>
    <w:rsid w:val="002C1E0E"/>
    <w:rsid w:val="002C1E4D"/>
    <w:rsid w:val="002C1E7F"/>
    <w:rsid w:val="002C1EBF"/>
    <w:rsid w:val="002C1F21"/>
    <w:rsid w:val="002C1F26"/>
    <w:rsid w:val="002C1F48"/>
    <w:rsid w:val="002C1F62"/>
    <w:rsid w:val="002C1FC8"/>
    <w:rsid w:val="002C1FF6"/>
    <w:rsid w:val="002C2001"/>
    <w:rsid w:val="002C2010"/>
    <w:rsid w:val="002C2061"/>
    <w:rsid w:val="002C2097"/>
    <w:rsid w:val="002C20D1"/>
    <w:rsid w:val="002C20F3"/>
    <w:rsid w:val="002C2155"/>
    <w:rsid w:val="002C2157"/>
    <w:rsid w:val="002C21AE"/>
    <w:rsid w:val="002C2222"/>
    <w:rsid w:val="002C2242"/>
    <w:rsid w:val="002C229A"/>
    <w:rsid w:val="002C22DD"/>
    <w:rsid w:val="002C22EF"/>
    <w:rsid w:val="002C22F9"/>
    <w:rsid w:val="002C2365"/>
    <w:rsid w:val="002C2425"/>
    <w:rsid w:val="002C2443"/>
    <w:rsid w:val="002C245F"/>
    <w:rsid w:val="002C2462"/>
    <w:rsid w:val="002C247D"/>
    <w:rsid w:val="002C24AF"/>
    <w:rsid w:val="002C24DD"/>
    <w:rsid w:val="002C2547"/>
    <w:rsid w:val="002C2567"/>
    <w:rsid w:val="002C25FA"/>
    <w:rsid w:val="002C260F"/>
    <w:rsid w:val="002C261A"/>
    <w:rsid w:val="002C263F"/>
    <w:rsid w:val="002C2647"/>
    <w:rsid w:val="002C2670"/>
    <w:rsid w:val="002C26BD"/>
    <w:rsid w:val="002C2819"/>
    <w:rsid w:val="002C285D"/>
    <w:rsid w:val="002C28E4"/>
    <w:rsid w:val="002C291F"/>
    <w:rsid w:val="002C2949"/>
    <w:rsid w:val="002C2969"/>
    <w:rsid w:val="002C2985"/>
    <w:rsid w:val="002C2995"/>
    <w:rsid w:val="002C29FC"/>
    <w:rsid w:val="002C2A84"/>
    <w:rsid w:val="002C2AB0"/>
    <w:rsid w:val="002C2AF5"/>
    <w:rsid w:val="002C2B0A"/>
    <w:rsid w:val="002C2B3B"/>
    <w:rsid w:val="002C2B55"/>
    <w:rsid w:val="002C2BD7"/>
    <w:rsid w:val="002C2BFE"/>
    <w:rsid w:val="002C2C1F"/>
    <w:rsid w:val="002C2C61"/>
    <w:rsid w:val="002C2C8D"/>
    <w:rsid w:val="002C2CC5"/>
    <w:rsid w:val="002C2D26"/>
    <w:rsid w:val="002C2D28"/>
    <w:rsid w:val="002C2D5D"/>
    <w:rsid w:val="002C2D83"/>
    <w:rsid w:val="002C2DBA"/>
    <w:rsid w:val="002C2DC9"/>
    <w:rsid w:val="002C2DDE"/>
    <w:rsid w:val="002C2DE0"/>
    <w:rsid w:val="002C2DF3"/>
    <w:rsid w:val="002C2E22"/>
    <w:rsid w:val="002C2E23"/>
    <w:rsid w:val="002C2E4A"/>
    <w:rsid w:val="002C2E90"/>
    <w:rsid w:val="002C2EC4"/>
    <w:rsid w:val="002C2EF9"/>
    <w:rsid w:val="002C2F83"/>
    <w:rsid w:val="002C2FAE"/>
    <w:rsid w:val="002C2FCA"/>
    <w:rsid w:val="002C300B"/>
    <w:rsid w:val="002C30A3"/>
    <w:rsid w:val="002C30BB"/>
    <w:rsid w:val="002C30DF"/>
    <w:rsid w:val="002C30EB"/>
    <w:rsid w:val="002C314D"/>
    <w:rsid w:val="002C3188"/>
    <w:rsid w:val="002C31B2"/>
    <w:rsid w:val="002C31C9"/>
    <w:rsid w:val="002C31CE"/>
    <w:rsid w:val="002C3260"/>
    <w:rsid w:val="002C327B"/>
    <w:rsid w:val="002C3297"/>
    <w:rsid w:val="002C32BF"/>
    <w:rsid w:val="002C3304"/>
    <w:rsid w:val="002C3318"/>
    <w:rsid w:val="002C337B"/>
    <w:rsid w:val="002C33FD"/>
    <w:rsid w:val="002C3419"/>
    <w:rsid w:val="002C3479"/>
    <w:rsid w:val="002C34C4"/>
    <w:rsid w:val="002C34E0"/>
    <w:rsid w:val="002C34ED"/>
    <w:rsid w:val="002C3550"/>
    <w:rsid w:val="002C356C"/>
    <w:rsid w:val="002C361D"/>
    <w:rsid w:val="002C3647"/>
    <w:rsid w:val="002C3656"/>
    <w:rsid w:val="002C3659"/>
    <w:rsid w:val="002C3674"/>
    <w:rsid w:val="002C368F"/>
    <w:rsid w:val="002C36A2"/>
    <w:rsid w:val="002C36F3"/>
    <w:rsid w:val="002C373E"/>
    <w:rsid w:val="002C3768"/>
    <w:rsid w:val="002C376B"/>
    <w:rsid w:val="002C37BF"/>
    <w:rsid w:val="002C37C2"/>
    <w:rsid w:val="002C37E1"/>
    <w:rsid w:val="002C38A4"/>
    <w:rsid w:val="002C38EA"/>
    <w:rsid w:val="002C3948"/>
    <w:rsid w:val="002C394C"/>
    <w:rsid w:val="002C3956"/>
    <w:rsid w:val="002C3960"/>
    <w:rsid w:val="002C39CD"/>
    <w:rsid w:val="002C39FE"/>
    <w:rsid w:val="002C3AEE"/>
    <w:rsid w:val="002C3B13"/>
    <w:rsid w:val="002C3B17"/>
    <w:rsid w:val="002C3B69"/>
    <w:rsid w:val="002C3BA6"/>
    <w:rsid w:val="002C3BB2"/>
    <w:rsid w:val="002C3BF7"/>
    <w:rsid w:val="002C3C36"/>
    <w:rsid w:val="002C3C58"/>
    <w:rsid w:val="002C3CA6"/>
    <w:rsid w:val="002C3CAB"/>
    <w:rsid w:val="002C3D20"/>
    <w:rsid w:val="002C3D2B"/>
    <w:rsid w:val="002C3D32"/>
    <w:rsid w:val="002C3D47"/>
    <w:rsid w:val="002C3D51"/>
    <w:rsid w:val="002C3D99"/>
    <w:rsid w:val="002C3DB3"/>
    <w:rsid w:val="002C3E38"/>
    <w:rsid w:val="002C3E59"/>
    <w:rsid w:val="002C3EB0"/>
    <w:rsid w:val="002C3EB1"/>
    <w:rsid w:val="002C3EBC"/>
    <w:rsid w:val="002C3EEE"/>
    <w:rsid w:val="002C3F12"/>
    <w:rsid w:val="002C3F3E"/>
    <w:rsid w:val="002C3FED"/>
    <w:rsid w:val="002C400C"/>
    <w:rsid w:val="002C403B"/>
    <w:rsid w:val="002C4044"/>
    <w:rsid w:val="002C404F"/>
    <w:rsid w:val="002C4060"/>
    <w:rsid w:val="002C4085"/>
    <w:rsid w:val="002C40CF"/>
    <w:rsid w:val="002C40FE"/>
    <w:rsid w:val="002C4178"/>
    <w:rsid w:val="002C41D9"/>
    <w:rsid w:val="002C4202"/>
    <w:rsid w:val="002C4203"/>
    <w:rsid w:val="002C421A"/>
    <w:rsid w:val="002C422C"/>
    <w:rsid w:val="002C4243"/>
    <w:rsid w:val="002C4256"/>
    <w:rsid w:val="002C4280"/>
    <w:rsid w:val="002C42D1"/>
    <w:rsid w:val="002C43A2"/>
    <w:rsid w:val="002C43A9"/>
    <w:rsid w:val="002C4497"/>
    <w:rsid w:val="002C455C"/>
    <w:rsid w:val="002C4569"/>
    <w:rsid w:val="002C4580"/>
    <w:rsid w:val="002C45A3"/>
    <w:rsid w:val="002C45AB"/>
    <w:rsid w:val="002C45DB"/>
    <w:rsid w:val="002C45F0"/>
    <w:rsid w:val="002C4693"/>
    <w:rsid w:val="002C46A7"/>
    <w:rsid w:val="002C4718"/>
    <w:rsid w:val="002C472A"/>
    <w:rsid w:val="002C476A"/>
    <w:rsid w:val="002C479D"/>
    <w:rsid w:val="002C47C1"/>
    <w:rsid w:val="002C4805"/>
    <w:rsid w:val="002C484E"/>
    <w:rsid w:val="002C4876"/>
    <w:rsid w:val="002C4890"/>
    <w:rsid w:val="002C48A7"/>
    <w:rsid w:val="002C48B6"/>
    <w:rsid w:val="002C48D5"/>
    <w:rsid w:val="002C48E6"/>
    <w:rsid w:val="002C48F5"/>
    <w:rsid w:val="002C4916"/>
    <w:rsid w:val="002C497E"/>
    <w:rsid w:val="002C4984"/>
    <w:rsid w:val="002C49AA"/>
    <w:rsid w:val="002C49C4"/>
    <w:rsid w:val="002C4A28"/>
    <w:rsid w:val="002C4A38"/>
    <w:rsid w:val="002C4A86"/>
    <w:rsid w:val="002C4AB5"/>
    <w:rsid w:val="002C4B3D"/>
    <w:rsid w:val="002C4B46"/>
    <w:rsid w:val="002C4B53"/>
    <w:rsid w:val="002C4BAB"/>
    <w:rsid w:val="002C4BB5"/>
    <w:rsid w:val="002C4BF8"/>
    <w:rsid w:val="002C4C82"/>
    <w:rsid w:val="002C4C9C"/>
    <w:rsid w:val="002C4CA7"/>
    <w:rsid w:val="002C4CD5"/>
    <w:rsid w:val="002C4CD8"/>
    <w:rsid w:val="002C4CFA"/>
    <w:rsid w:val="002C4D32"/>
    <w:rsid w:val="002C4D61"/>
    <w:rsid w:val="002C4DB4"/>
    <w:rsid w:val="002C4DBF"/>
    <w:rsid w:val="002C4DEC"/>
    <w:rsid w:val="002C4E32"/>
    <w:rsid w:val="002C4EFE"/>
    <w:rsid w:val="002C4F15"/>
    <w:rsid w:val="002C4F30"/>
    <w:rsid w:val="002C4F3E"/>
    <w:rsid w:val="002C4F45"/>
    <w:rsid w:val="002C4F5B"/>
    <w:rsid w:val="002C4FEF"/>
    <w:rsid w:val="002C4FF7"/>
    <w:rsid w:val="002C501E"/>
    <w:rsid w:val="002C503C"/>
    <w:rsid w:val="002C5059"/>
    <w:rsid w:val="002C50B8"/>
    <w:rsid w:val="002C511E"/>
    <w:rsid w:val="002C5181"/>
    <w:rsid w:val="002C51D8"/>
    <w:rsid w:val="002C51E0"/>
    <w:rsid w:val="002C523A"/>
    <w:rsid w:val="002C5259"/>
    <w:rsid w:val="002C525F"/>
    <w:rsid w:val="002C529E"/>
    <w:rsid w:val="002C52AE"/>
    <w:rsid w:val="002C52BD"/>
    <w:rsid w:val="002C52E4"/>
    <w:rsid w:val="002C52F7"/>
    <w:rsid w:val="002C5371"/>
    <w:rsid w:val="002C53B1"/>
    <w:rsid w:val="002C53E0"/>
    <w:rsid w:val="002C53F7"/>
    <w:rsid w:val="002C5407"/>
    <w:rsid w:val="002C543D"/>
    <w:rsid w:val="002C5457"/>
    <w:rsid w:val="002C54D6"/>
    <w:rsid w:val="002C5571"/>
    <w:rsid w:val="002C5572"/>
    <w:rsid w:val="002C55EB"/>
    <w:rsid w:val="002C560E"/>
    <w:rsid w:val="002C5646"/>
    <w:rsid w:val="002C570A"/>
    <w:rsid w:val="002C5730"/>
    <w:rsid w:val="002C5765"/>
    <w:rsid w:val="002C5775"/>
    <w:rsid w:val="002C577C"/>
    <w:rsid w:val="002C579C"/>
    <w:rsid w:val="002C57A1"/>
    <w:rsid w:val="002C57C2"/>
    <w:rsid w:val="002C57D8"/>
    <w:rsid w:val="002C57F3"/>
    <w:rsid w:val="002C5820"/>
    <w:rsid w:val="002C589A"/>
    <w:rsid w:val="002C58AA"/>
    <w:rsid w:val="002C5905"/>
    <w:rsid w:val="002C5957"/>
    <w:rsid w:val="002C595F"/>
    <w:rsid w:val="002C5A02"/>
    <w:rsid w:val="002C5A10"/>
    <w:rsid w:val="002C5A29"/>
    <w:rsid w:val="002C5A39"/>
    <w:rsid w:val="002C5AAF"/>
    <w:rsid w:val="002C5ABE"/>
    <w:rsid w:val="002C5ACD"/>
    <w:rsid w:val="002C5AD0"/>
    <w:rsid w:val="002C5B68"/>
    <w:rsid w:val="002C5B95"/>
    <w:rsid w:val="002C5B9E"/>
    <w:rsid w:val="002C5BF4"/>
    <w:rsid w:val="002C5CA4"/>
    <w:rsid w:val="002C5D32"/>
    <w:rsid w:val="002C5D3D"/>
    <w:rsid w:val="002C5D6A"/>
    <w:rsid w:val="002C5DF1"/>
    <w:rsid w:val="002C5E11"/>
    <w:rsid w:val="002C5EA3"/>
    <w:rsid w:val="002C5EE8"/>
    <w:rsid w:val="002C5F05"/>
    <w:rsid w:val="002C5F3D"/>
    <w:rsid w:val="002C5FF9"/>
    <w:rsid w:val="002C6066"/>
    <w:rsid w:val="002C607B"/>
    <w:rsid w:val="002C6108"/>
    <w:rsid w:val="002C610E"/>
    <w:rsid w:val="002C6131"/>
    <w:rsid w:val="002C61C0"/>
    <w:rsid w:val="002C61EB"/>
    <w:rsid w:val="002C61FA"/>
    <w:rsid w:val="002C6201"/>
    <w:rsid w:val="002C6218"/>
    <w:rsid w:val="002C62BA"/>
    <w:rsid w:val="002C62FE"/>
    <w:rsid w:val="002C6336"/>
    <w:rsid w:val="002C6357"/>
    <w:rsid w:val="002C63AB"/>
    <w:rsid w:val="002C63B4"/>
    <w:rsid w:val="002C63C2"/>
    <w:rsid w:val="002C6461"/>
    <w:rsid w:val="002C6483"/>
    <w:rsid w:val="002C648C"/>
    <w:rsid w:val="002C6494"/>
    <w:rsid w:val="002C64CA"/>
    <w:rsid w:val="002C64DF"/>
    <w:rsid w:val="002C6515"/>
    <w:rsid w:val="002C6534"/>
    <w:rsid w:val="002C654B"/>
    <w:rsid w:val="002C657C"/>
    <w:rsid w:val="002C65AC"/>
    <w:rsid w:val="002C662F"/>
    <w:rsid w:val="002C663B"/>
    <w:rsid w:val="002C6654"/>
    <w:rsid w:val="002C666B"/>
    <w:rsid w:val="002C66A4"/>
    <w:rsid w:val="002C66B2"/>
    <w:rsid w:val="002C6715"/>
    <w:rsid w:val="002C6719"/>
    <w:rsid w:val="002C67A1"/>
    <w:rsid w:val="002C67DA"/>
    <w:rsid w:val="002C67E5"/>
    <w:rsid w:val="002C67FA"/>
    <w:rsid w:val="002C6813"/>
    <w:rsid w:val="002C6838"/>
    <w:rsid w:val="002C6843"/>
    <w:rsid w:val="002C687B"/>
    <w:rsid w:val="002C68C5"/>
    <w:rsid w:val="002C68EB"/>
    <w:rsid w:val="002C6921"/>
    <w:rsid w:val="002C6928"/>
    <w:rsid w:val="002C6978"/>
    <w:rsid w:val="002C69A3"/>
    <w:rsid w:val="002C69F0"/>
    <w:rsid w:val="002C6A05"/>
    <w:rsid w:val="002C6A6A"/>
    <w:rsid w:val="002C6A9A"/>
    <w:rsid w:val="002C6ABE"/>
    <w:rsid w:val="002C6B4B"/>
    <w:rsid w:val="002C6B7D"/>
    <w:rsid w:val="002C6BD5"/>
    <w:rsid w:val="002C6BED"/>
    <w:rsid w:val="002C6C12"/>
    <w:rsid w:val="002C6C39"/>
    <w:rsid w:val="002C6C69"/>
    <w:rsid w:val="002C6C78"/>
    <w:rsid w:val="002C6CE1"/>
    <w:rsid w:val="002C6D1C"/>
    <w:rsid w:val="002C6D23"/>
    <w:rsid w:val="002C6D5B"/>
    <w:rsid w:val="002C6D7D"/>
    <w:rsid w:val="002C6DA9"/>
    <w:rsid w:val="002C6DAE"/>
    <w:rsid w:val="002C6DB2"/>
    <w:rsid w:val="002C6DB8"/>
    <w:rsid w:val="002C6DC1"/>
    <w:rsid w:val="002C6DC9"/>
    <w:rsid w:val="002C6EAC"/>
    <w:rsid w:val="002C6EFD"/>
    <w:rsid w:val="002C6F7F"/>
    <w:rsid w:val="002C6FC6"/>
    <w:rsid w:val="002C6FDF"/>
    <w:rsid w:val="002C7033"/>
    <w:rsid w:val="002C7036"/>
    <w:rsid w:val="002C704A"/>
    <w:rsid w:val="002C7066"/>
    <w:rsid w:val="002C708F"/>
    <w:rsid w:val="002C70BA"/>
    <w:rsid w:val="002C70C3"/>
    <w:rsid w:val="002C7171"/>
    <w:rsid w:val="002C7176"/>
    <w:rsid w:val="002C7177"/>
    <w:rsid w:val="002C71A3"/>
    <w:rsid w:val="002C721E"/>
    <w:rsid w:val="002C7225"/>
    <w:rsid w:val="002C72AE"/>
    <w:rsid w:val="002C7315"/>
    <w:rsid w:val="002C734A"/>
    <w:rsid w:val="002C7424"/>
    <w:rsid w:val="002C7458"/>
    <w:rsid w:val="002C74E6"/>
    <w:rsid w:val="002C7533"/>
    <w:rsid w:val="002C75A6"/>
    <w:rsid w:val="002C75D9"/>
    <w:rsid w:val="002C75E3"/>
    <w:rsid w:val="002C75E4"/>
    <w:rsid w:val="002C7607"/>
    <w:rsid w:val="002C7611"/>
    <w:rsid w:val="002C7622"/>
    <w:rsid w:val="002C7633"/>
    <w:rsid w:val="002C7638"/>
    <w:rsid w:val="002C76A8"/>
    <w:rsid w:val="002C76CB"/>
    <w:rsid w:val="002C771C"/>
    <w:rsid w:val="002C7731"/>
    <w:rsid w:val="002C773A"/>
    <w:rsid w:val="002C7784"/>
    <w:rsid w:val="002C778B"/>
    <w:rsid w:val="002C77CD"/>
    <w:rsid w:val="002C7821"/>
    <w:rsid w:val="002C7826"/>
    <w:rsid w:val="002C7827"/>
    <w:rsid w:val="002C78BB"/>
    <w:rsid w:val="002C78C1"/>
    <w:rsid w:val="002C790A"/>
    <w:rsid w:val="002C792D"/>
    <w:rsid w:val="002C7944"/>
    <w:rsid w:val="002C795E"/>
    <w:rsid w:val="002C7978"/>
    <w:rsid w:val="002C7982"/>
    <w:rsid w:val="002C799D"/>
    <w:rsid w:val="002C79A1"/>
    <w:rsid w:val="002C79B9"/>
    <w:rsid w:val="002C79C8"/>
    <w:rsid w:val="002C79C9"/>
    <w:rsid w:val="002C79D0"/>
    <w:rsid w:val="002C79DE"/>
    <w:rsid w:val="002C7A18"/>
    <w:rsid w:val="002C7A45"/>
    <w:rsid w:val="002C7A5B"/>
    <w:rsid w:val="002C7A69"/>
    <w:rsid w:val="002C7AAA"/>
    <w:rsid w:val="002C7AE2"/>
    <w:rsid w:val="002C7B4B"/>
    <w:rsid w:val="002C7B6F"/>
    <w:rsid w:val="002C7BB0"/>
    <w:rsid w:val="002C7BBF"/>
    <w:rsid w:val="002C7BC0"/>
    <w:rsid w:val="002C7C0E"/>
    <w:rsid w:val="002C7C33"/>
    <w:rsid w:val="002C7C76"/>
    <w:rsid w:val="002C7CA9"/>
    <w:rsid w:val="002C7CB6"/>
    <w:rsid w:val="002C7CD0"/>
    <w:rsid w:val="002C7CDC"/>
    <w:rsid w:val="002C7D23"/>
    <w:rsid w:val="002C7D7D"/>
    <w:rsid w:val="002C7D86"/>
    <w:rsid w:val="002C7D88"/>
    <w:rsid w:val="002C7DD0"/>
    <w:rsid w:val="002C7DFA"/>
    <w:rsid w:val="002C7DFC"/>
    <w:rsid w:val="002C7E10"/>
    <w:rsid w:val="002C7E2F"/>
    <w:rsid w:val="002C7E4A"/>
    <w:rsid w:val="002C7E55"/>
    <w:rsid w:val="002C7E9C"/>
    <w:rsid w:val="002C7ED2"/>
    <w:rsid w:val="002C7EEC"/>
    <w:rsid w:val="002C7F2A"/>
    <w:rsid w:val="002C7F46"/>
    <w:rsid w:val="002C7F55"/>
    <w:rsid w:val="002D00E1"/>
    <w:rsid w:val="002D00FF"/>
    <w:rsid w:val="002D0131"/>
    <w:rsid w:val="002D014C"/>
    <w:rsid w:val="002D01B4"/>
    <w:rsid w:val="002D0271"/>
    <w:rsid w:val="002D02EC"/>
    <w:rsid w:val="002D0328"/>
    <w:rsid w:val="002D03C2"/>
    <w:rsid w:val="002D0403"/>
    <w:rsid w:val="002D041D"/>
    <w:rsid w:val="002D044F"/>
    <w:rsid w:val="002D045A"/>
    <w:rsid w:val="002D0475"/>
    <w:rsid w:val="002D0488"/>
    <w:rsid w:val="002D0533"/>
    <w:rsid w:val="002D05AB"/>
    <w:rsid w:val="002D0617"/>
    <w:rsid w:val="002D0688"/>
    <w:rsid w:val="002D06B0"/>
    <w:rsid w:val="002D0720"/>
    <w:rsid w:val="002D0749"/>
    <w:rsid w:val="002D07A9"/>
    <w:rsid w:val="002D07F2"/>
    <w:rsid w:val="002D081B"/>
    <w:rsid w:val="002D084D"/>
    <w:rsid w:val="002D0882"/>
    <w:rsid w:val="002D0984"/>
    <w:rsid w:val="002D09AD"/>
    <w:rsid w:val="002D09B4"/>
    <w:rsid w:val="002D09DA"/>
    <w:rsid w:val="002D0A28"/>
    <w:rsid w:val="002D0A32"/>
    <w:rsid w:val="002D0A51"/>
    <w:rsid w:val="002D0A52"/>
    <w:rsid w:val="002D0A5D"/>
    <w:rsid w:val="002D0AB6"/>
    <w:rsid w:val="002D0AFD"/>
    <w:rsid w:val="002D0B07"/>
    <w:rsid w:val="002D0B5F"/>
    <w:rsid w:val="002D0B75"/>
    <w:rsid w:val="002D0BA5"/>
    <w:rsid w:val="002D0BB4"/>
    <w:rsid w:val="002D0BCC"/>
    <w:rsid w:val="002D0BD1"/>
    <w:rsid w:val="002D0BD6"/>
    <w:rsid w:val="002D0BD8"/>
    <w:rsid w:val="002D0BDA"/>
    <w:rsid w:val="002D0C50"/>
    <w:rsid w:val="002D0C6C"/>
    <w:rsid w:val="002D0C6F"/>
    <w:rsid w:val="002D0CA0"/>
    <w:rsid w:val="002D0CB1"/>
    <w:rsid w:val="002D0CBF"/>
    <w:rsid w:val="002D0CD4"/>
    <w:rsid w:val="002D0CF7"/>
    <w:rsid w:val="002D0D3B"/>
    <w:rsid w:val="002D0DD6"/>
    <w:rsid w:val="002D0E5A"/>
    <w:rsid w:val="002D0EA7"/>
    <w:rsid w:val="002D0EEE"/>
    <w:rsid w:val="002D0EF4"/>
    <w:rsid w:val="002D0F4F"/>
    <w:rsid w:val="002D0F67"/>
    <w:rsid w:val="002D0F71"/>
    <w:rsid w:val="002D0FCF"/>
    <w:rsid w:val="002D1005"/>
    <w:rsid w:val="002D101F"/>
    <w:rsid w:val="002D1027"/>
    <w:rsid w:val="002D1062"/>
    <w:rsid w:val="002D1082"/>
    <w:rsid w:val="002D1083"/>
    <w:rsid w:val="002D10CF"/>
    <w:rsid w:val="002D10D3"/>
    <w:rsid w:val="002D10D7"/>
    <w:rsid w:val="002D10DD"/>
    <w:rsid w:val="002D113A"/>
    <w:rsid w:val="002D1146"/>
    <w:rsid w:val="002D11BE"/>
    <w:rsid w:val="002D11FF"/>
    <w:rsid w:val="002D1212"/>
    <w:rsid w:val="002D1242"/>
    <w:rsid w:val="002D1258"/>
    <w:rsid w:val="002D1287"/>
    <w:rsid w:val="002D12BE"/>
    <w:rsid w:val="002D12F8"/>
    <w:rsid w:val="002D1313"/>
    <w:rsid w:val="002D1323"/>
    <w:rsid w:val="002D1325"/>
    <w:rsid w:val="002D1344"/>
    <w:rsid w:val="002D1346"/>
    <w:rsid w:val="002D134B"/>
    <w:rsid w:val="002D1383"/>
    <w:rsid w:val="002D13D9"/>
    <w:rsid w:val="002D1419"/>
    <w:rsid w:val="002D1435"/>
    <w:rsid w:val="002D1471"/>
    <w:rsid w:val="002D14CA"/>
    <w:rsid w:val="002D1515"/>
    <w:rsid w:val="002D152C"/>
    <w:rsid w:val="002D156E"/>
    <w:rsid w:val="002D1575"/>
    <w:rsid w:val="002D1599"/>
    <w:rsid w:val="002D15BC"/>
    <w:rsid w:val="002D15BF"/>
    <w:rsid w:val="002D15C6"/>
    <w:rsid w:val="002D1646"/>
    <w:rsid w:val="002D164D"/>
    <w:rsid w:val="002D164E"/>
    <w:rsid w:val="002D1664"/>
    <w:rsid w:val="002D1687"/>
    <w:rsid w:val="002D16A5"/>
    <w:rsid w:val="002D16AB"/>
    <w:rsid w:val="002D16E8"/>
    <w:rsid w:val="002D1710"/>
    <w:rsid w:val="002D1729"/>
    <w:rsid w:val="002D172B"/>
    <w:rsid w:val="002D183C"/>
    <w:rsid w:val="002D1845"/>
    <w:rsid w:val="002D184F"/>
    <w:rsid w:val="002D1850"/>
    <w:rsid w:val="002D1860"/>
    <w:rsid w:val="002D1875"/>
    <w:rsid w:val="002D187A"/>
    <w:rsid w:val="002D1899"/>
    <w:rsid w:val="002D189E"/>
    <w:rsid w:val="002D18E9"/>
    <w:rsid w:val="002D1908"/>
    <w:rsid w:val="002D1942"/>
    <w:rsid w:val="002D1953"/>
    <w:rsid w:val="002D1988"/>
    <w:rsid w:val="002D19AF"/>
    <w:rsid w:val="002D19B0"/>
    <w:rsid w:val="002D19F0"/>
    <w:rsid w:val="002D1A1A"/>
    <w:rsid w:val="002D1A37"/>
    <w:rsid w:val="002D1AF2"/>
    <w:rsid w:val="002D1B0B"/>
    <w:rsid w:val="002D1B14"/>
    <w:rsid w:val="002D1B1D"/>
    <w:rsid w:val="002D1B92"/>
    <w:rsid w:val="002D1BA2"/>
    <w:rsid w:val="002D1BCA"/>
    <w:rsid w:val="002D1C97"/>
    <w:rsid w:val="002D1CCA"/>
    <w:rsid w:val="002D1CDB"/>
    <w:rsid w:val="002D1CF7"/>
    <w:rsid w:val="002D1DC5"/>
    <w:rsid w:val="002D1DDE"/>
    <w:rsid w:val="002D1E34"/>
    <w:rsid w:val="002D1EB2"/>
    <w:rsid w:val="002D1EBB"/>
    <w:rsid w:val="002D1EBF"/>
    <w:rsid w:val="002D1EF4"/>
    <w:rsid w:val="002D1EF9"/>
    <w:rsid w:val="002D1F97"/>
    <w:rsid w:val="002D1FCD"/>
    <w:rsid w:val="002D2001"/>
    <w:rsid w:val="002D2028"/>
    <w:rsid w:val="002D202D"/>
    <w:rsid w:val="002D2049"/>
    <w:rsid w:val="002D2088"/>
    <w:rsid w:val="002D20AE"/>
    <w:rsid w:val="002D20C3"/>
    <w:rsid w:val="002D20F0"/>
    <w:rsid w:val="002D211D"/>
    <w:rsid w:val="002D2122"/>
    <w:rsid w:val="002D212E"/>
    <w:rsid w:val="002D2130"/>
    <w:rsid w:val="002D21E0"/>
    <w:rsid w:val="002D21F1"/>
    <w:rsid w:val="002D21F9"/>
    <w:rsid w:val="002D227D"/>
    <w:rsid w:val="002D22F7"/>
    <w:rsid w:val="002D2332"/>
    <w:rsid w:val="002D233B"/>
    <w:rsid w:val="002D234F"/>
    <w:rsid w:val="002D239F"/>
    <w:rsid w:val="002D23C1"/>
    <w:rsid w:val="002D23C4"/>
    <w:rsid w:val="002D2416"/>
    <w:rsid w:val="002D2476"/>
    <w:rsid w:val="002D2497"/>
    <w:rsid w:val="002D24C7"/>
    <w:rsid w:val="002D24E6"/>
    <w:rsid w:val="002D2515"/>
    <w:rsid w:val="002D2540"/>
    <w:rsid w:val="002D2544"/>
    <w:rsid w:val="002D2545"/>
    <w:rsid w:val="002D2560"/>
    <w:rsid w:val="002D2579"/>
    <w:rsid w:val="002D25F5"/>
    <w:rsid w:val="002D2610"/>
    <w:rsid w:val="002D26F5"/>
    <w:rsid w:val="002D272C"/>
    <w:rsid w:val="002D2743"/>
    <w:rsid w:val="002D277A"/>
    <w:rsid w:val="002D2857"/>
    <w:rsid w:val="002D286D"/>
    <w:rsid w:val="002D28A4"/>
    <w:rsid w:val="002D28AE"/>
    <w:rsid w:val="002D28BF"/>
    <w:rsid w:val="002D28F3"/>
    <w:rsid w:val="002D2936"/>
    <w:rsid w:val="002D29D3"/>
    <w:rsid w:val="002D2A10"/>
    <w:rsid w:val="002D2A2D"/>
    <w:rsid w:val="002D2A2E"/>
    <w:rsid w:val="002D2A77"/>
    <w:rsid w:val="002D2B1A"/>
    <w:rsid w:val="002D2B55"/>
    <w:rsid w:val="002D2B57"/>
    <w:rsid w:val="002D2B9B"/>
    <w:rsid w:val="002D2BC2"/>
    <w:rsid w:val="002D2BDB"/>
    <w:rsid w:val="002D2C06"/>
    <w:rsid w:val="002D2C56"/>
    <w:rsid w:val="002D2C7B"/>
    <w:rsid w:val="002D2C7C"/>
    <w:rsid w:val="002D2CAC"/>
    <w:rsid w:val="002D2CCF"/>
    <w:rsid w:val="002D2CF0"/>
    <w:rsid w:val="002D2D47"/>
    <w:rsid w:val="002D2DCE"/>
    <w:rsid w:val="002D2DCF"/>
    <w:rsid w:val="002D2DF8"/>
    <w:rsid w:val="002D2E4E"/>
    <w:rsid w:val="002D2E79"/>
    <w:rsid w:val="002D2E96"/>
    <w:rsid w:val="002D2EFC"/>
    <w:rsid w:val="002D2F15"/>
    <w:rsid w:val="002D2F38"/>
    <w:rsid w:val="002D2FAF"/>
    <w:rsid w:val="002D3019"/>
    <w:rsid w:val="002D3032"/>
    <w:rsid w:val="002D303F"/>
    <w:rsid w:val="002D307C"/>
    <w:rsid w:val="002D30A5"/>
    <w:rsid w:val="002D30BD"/>
    <w:rsid w:val="002D30C7"/>
    <w:rsid w:val="002D30E9"/>
    <w:rsid w:val="002D312D"/>
    <w:rsid w:val="002D3149"/>
    <w:rsid w:val="002D3156"/>
    <w:rsid w:val="002D318A"/>
    <w:rsid w:val="002D3199"/>
    <w:rsid w:val="002D31B4"/>
    <w:rsid w:val="002D3213"/>
    <w:rsid w:val="002D328C"/>
    <w:rsid w:val="002D329A"/>
    <w:rsid w:val="002D32E9"/>
    <w:rsid w:val="002D32FA"/>
    <w:rsid w:val="002D3351"/>
    <w:rsid w:val="002D3368"/>
    <w:rsid w:val="002D3382"/>
    <w:rsid w:val="002D3398"/>
    <w:rsid w:val="002D339E"/>
    <w:rsid w:val="002D33EA"/>
    <w:rsid w:val="002D33F9"/>
    <w:rsid w:val="002D33FD"/>
    <w:rsid w:val="002D3426"/>
    <w:rsid w:val="002D343D"/>
    <w:rsid w:val="002D3441"/>
    <w:rsid w:val="002D345A"/>
    <w:rsid w:val="002D349C"/>
    <w:rsid w:val="002D34F6"/>
    <w:rsid w:val="002D3517"/>
    <w:rsid w:val="002D351E"/>
    <w:rsid w:val="002D3542"/>
    <w:rsid w:val="002D3545"/>
    <w:rsid w:val="002D355B"/>
    <w:rsid w:val="002D35AC"/>
    <w:rsid w:val="002D35F1"/>
    <w:rsid w:val="002D3616"/>
    <w:rsid w:val="002D3635"/>
    <w:rsid w:val="002D3663"/>
    <w:rsid w:val="002D368D"/>
    <w:rsid w:val="002D36D8"/>
    <w:rsid w:val="002D36E7"/>
    <w:rsid w:val="002D377C"/>
    <w:rsid w:val="002D37CF"/>
    <w:rsid w:val="002D37E2"/>
    <w:rsid w:val="002D37E9"/>
    <w:rsid w:val="002D3839"/>
    <w:rsid w:val="002D3843"/>
    <w:rsid w:val="002D384A"/>
    <w:rsid w:val="002D3873"/>
    <w:rsid w:val="002D3899"/>
    <w:rsid w:val="002D38A2"/>
    <w:rsid w:val="002D38E6"/>
    <w:rsid w:val="002D38FC"/>
    <w:rsid w:val="002D3918"/>
    <w:rsid w:val="002D3924"/>
    <w:rsid w:val="002D3957"/>
    <w:rsid w:val="002D3A05"/>
    <w:rsid w:val="002D3A06"/>
    <w:rsid w:val="002D3A8F"/>
    <w:rsid w:val="002D3ACD"/>
    <w:rsid w:val="002D3B48"/>
    <w:rsid w:val="002D3B55"/>
    <w:rsid w:val="002D3B59"/>
    <w:rsid w:val="002D3B9E"/>
    <w:rsid w:val="002D3C12"/>
    <w:rsid w:val="002D3C77"/>
    <w:rsid w:val="002D3C83"/>
    <w:rsid w:val="002D3CB6"/>
    <w:rsid w:val="002D3CC1"/>
    <w:rsid w:val="002D3CD5"/>
    <w:rsid w:val="002D3CF2"/>
    <w:rsid w:val="002D3D12"/>
    <w:rsid w:val="002D3D52"/>
    <w:rsid w:val="002D3DAB"/>
    <w:rsid w:val="002D3DDF"/>
    <w:rsid w:val="002D3DF1"/>
    <w:rsid w:val="002D3DFB"/>
    <w:rsid w:val="002D3E0D"/>
    <w:rsid w:val="002D3E76"/>
    <w:rsid w:val="002D3EDA"/>
    <w:rsid w:val="002D3F28"/>
    <w:rsid w:val="002D3F34"/>
    <w:rsid w:val="002D4096"/>
    <w:rsid w:val="002D40D4"/>
    <w:rsid w:val="002D40EA"/>
    <w:rsid w:val="002D40EB"/>
    <w:rsid w:val="002D411B"/>
    <w:rsid w:val="002D415C"/>
    <w:rsid w:val="002D41B9"/>
    <w:rsid w:val="002D41DE"/>
    <w:rsid w:val="002D41EB"/>
    <w:rsid w:val="002D4200"/>
    <w:rsid w:val="002D420B"/>
    <w:rsid w:val="002D420E"/>
    <w:rsid w:val="002D421E"/>
    <w:rsid w:val="002D423E"/>
    <w:rsid w:val="002D4267"/>
    <w:rsid w:val="002D4278"/>
    <w:rsid w:val="002D430F"/>
    <w:rsid w:val="002D4317"/>
    <w:rsid w:val="002D4329"/>
    <w:rsid w:val="002D4334"/>
    <w:rsid w:val="002D4365"/>
    <w:rsid w:val="002D438E"/>
    <w:rsid w:val="002D43AB"/>
    <w:rsid w:val="002D43F4"/>
    <w:rsid w:val="002D441B"/>
    <w:rsid w:val="002D441F"/>
    <w:rsid w:val="002D44B6"/>
    <w:rsid w:val="002D44E3"/>
    <w:rsid w:val="002D452E"/>
    <w:rsid w:val="002D4536"/>
    <w:rsid w:val="002D4538"/>
    <w:rsid w:val="002D453C"/>
    <w:rsid w:val="002D4549"/>
    <w:rsid w:val="002D4582"/>
    <w:rsid w:val="002D460F"/>
    <w:rsid w:val="002D4619"/>
    <w:rsid w:val="002D464B"/>
    <w:rsid w:val="002D4669"/>
    <w:rsid w:val="002D468E"/>
    <w:rsid w:val="002D46E9"/>
    <w:rsid w:val="002D46FB"/>
    <w:rsid w:val="002D46FC"/>
    <w:rsid w:val="002D4714"/>
    <w:rsid w:val="002D474C"/>
    <w:rsid w:val="002D47EB"/>
    <w:rsid w:val="002D482D"/>
    <w:rsid w:val="002D4877"/>
    <w:rsid w:val="002D488D"/>
    <w:rsid w:val="002D493A"/>
    <w:rsid w:val="002D495F"/>
    <w:rsid w:val="002D498F"/>
    <w:rsid w:val="002D4A08"/>
    <w:rsid w:val="002D4A1F"/>
    <w:rsid w:val="002D4A32"/>
    <w:rsid w:val="002D4A8A"/>
    <w:rsid w:val="002D4AC2"/>
    <w:rsid w:val="002D4B25"/>
    <w:rsid w:val="002D4B7A"/>
    <w:rsid w:val="002D4BC9"/>
    <w:rsid w:val="002D4BD8"/>
    <w:rsid w:val="002D4BEE"/>
    <w:rsid w:val="002D4BF5"/>
    <w:rsid w:val="002D4C17"/>
    <w:rsid w:val="002D4CA5"/>
    <w:rsid w:val="002D4D65"/>
    <w:rsid w:val="002D4D67"/>
    <w:rsid w:val="002D4DEB"/>
    <w:rsid w:val="002D4DF5"/>
    <w:rsid w:val="002D4E38"/>
    <w:rsid w:val="002D4E67"/>
    <w:rsid w:val="002D4ED2"/>
    <w:rsid w:val="002D4F1D"/>
    <w:rsid w:val="002D4F22"/>
    <w:rsid w:val="002D4FB0"/>
    <w:rsid w:val="002D504E"/>
    <w:rsid w:val="002D506D"/>
    <w:rsid w:val="002D5078"/>
    <w:rsid w:val="002D5084"/>
    <w:rsid w:val="002D50A3"/>
    <w:rsid w:val="002D50AC"/>
    <w:rsid w:val="002D50EA"/>
    <w:rsid w:val="002D510A"/>
    <w:rsid w:val="002D512F"/>
    <w:rsid w:val="002D519D"/>
    <w:rsid w:val="002D51CF"/>
    <w:rsid w:val="002D51D5"/>
    <w:rsid w:val="002D5204"/>
    <w:rsid w:val="002D522A"/>
    <w:rsid w:val="002D5309"/>
    <w:rsid w:val="002D534A"/>
    <w:rsid w:val="002D535A"/>
    <w:rsid w:val="002D5385"/>
    <w:rsid w:val="002D53C0"/>
    <w:rsid w:val="002D53EC"/>
    <w:rsid w:val="002D53FE"/>
    <w:rsid w:val="002D541E"/>
    <w:rsid w:val="002D5420"/>
    <w:rsid w:val="002D5454"/>
    <w:rsid w:val="002D54D8"/>
    <w:rsid w:val="002D54F3"/>
    <w:rsid w:val="002D54FF"/>
    <w:rsid w:val="002D5589"/>
    <w:rsid w:val="002D559C"/>
    <w:rsid w:val="002D55D1"/>
    <w:rsid w:val="002D560E"/>
    <w:rsid w:val="002D561C"/>
    <w:rsid w:val="002D5669"/>
    <w:rsid w:val="002D5682"/>
    <w:rsid w:val="002D56A1"/>
    <w:rsid w:val="002D56C8"/>
    <w:rsid w:val="002D5754"/>
    <w:rsid w:val="002D57AE"/>
    <w:rsid w:val="002D5845"/>
    <w:rsid w:val="002D585D"/>
    <w:rsid w:val="002D586C"/>
    <w:rsid w:val="002D58E3"/>
    <w:rsid w:val="002D5925"/>
    <w:rsid w:val="002D5927"/>
    <w:rsid w:val="002D5948"/>
    <w:rsid w:val="002D598C"/>
    <w:rsid w:val="002D59B5"/>
    <w:rsid w:val="002D59E5"/>
    <w:rsid w:val="002D59ED"/>
    <w:rsid w:val="002D5A21"/>
    <w:rsid w:val="002D5A43"/>
    <w:rsid w:val="002D5A44"/>
    <w:rsid w:val="002D5A6B"/>
    <w:rsid w:val="002D5A95"/>
    <w:rsid w:val="002D5A9F"/>
    <w:rsid w:val="002D5AA2"/>
    <w:rsid w:val="002D5B16"/>
    <w:rsid w:val="002D5B1B"/>
    <w:rsid w:val="002D5B38"/>
    <w:rsid w:val="002D5B84"/>
    <w:rsid w:val="002D5BEA"/>
    <w:rsid w:val="002D5C2B"/>
    <w:rsid w:val="002D5CCB"/>
    <w:rsid w:val="002D5D89"/>
    <w:rsid w:val="002D5DCA"/>
    <w:rsid w:val="002D5E1A"/>
    <w:rsid w:val="002D5E5F"/>
    <w:rsid w:val="002D5EA4"/>
    <w:rsid w:val="002D5EE2"/>
    <w:rsid w:val="002D5F17"/>
    <w:rsid w:val="002D5F1C"/>
    <w:rsid w:val="002D5F2A"/>
    <w:rsid w:val="002D5F65"/>
    <w:rsid w:val="002D5F83"/>
    <w:rsid w:val="002D5FEA"/>
    <w:rsid w:val="002D6024"/>
    <w:rsid w:val="002D606C"/>
    <w:rsid w:val="002D606F"/>
    <w:rsid w:val="002D6085"/>
    <w:rsid w:val="002D60A5"/>
    <w:rsid w:val="002D60AA"/>
    <w:rsid w:val="002D60E5"/>
    <w:rsid w:val="002D612E"/>
    <w:rsid w:val="002D6139"/>
    <w:rsid w:val="002D61E0"/>
    <w:rsid w:val="002D620A"/>
    <w:rsid w:val="002D6225"/>
    <w:rsid w:val="002D6229"/>
    <w:rsid w:val="002D62A5"/>
    <w:rsid w:val="002D62CF"/>
    <w:rsid w:val="002D62F2"/>
    <w:rsid w:val="002D630C"/>
    <w:rsid w:val="002D636D"/>
    <w:rsid w:val="002D63A5"/>
    <w:rsid w:val="002D642A"/>
    <w:rsid w:val="002D6452"/>
    <w:rsid w:val="002D64C3"/>
    <w:rsid w:val="002D655F"/>
    <w:rsid w:val="002D6578"/>
    <w:rsid w:val="002D65EB"/>
    <w:rsid w:val="002D65FE"/>
    <w:rsid w:val="002D660F"/>
    <w:rsid w:val="002D6611"/>
    <w:rsid w:val="002D6628"/>
    <w:rsid w:val="002D6649"/>
    <w:rsid w:val="002D6688"/>
    <w:rsid w:val="002D669A"/>
    <w:rsid w:val="002D66C5"/>
    <w:rsid w:val="002D6707"/>
    <w:rsid w:val="002D670B"/>
    <w:rsid w:val="002D670F"/>
    <w:rsid w:val="002D6738"/>
    <w:rsid w:val="002D6756"/>
    <w:rsid w:val="002D6797"/>
    <w:rsid w:val="002D6812"/>
    <w:rsid w:val="002D682C"/>
    <w:rsid w:val="002D685A"/>
    <w:rsid w:val="002D6879"/>
    <w:rsid w:val="002D687E"/>
    <w:rsid w:val="002D68A6"/>
    <w:rsid w:val="002D68C3"/>
    <w:rsid w:val="002D691C"/>
    <w:rsid w:val="002D6937"/>
    <w:rsid w:val="002D696F"/>
    <w:rsid w:val="002D698A"/>
    <w:rsid w:val="002D698D"/>
    <w:rsid w:val="002D6995"/>
    <w:rsid w:val="002D6ABC"/>
    <w:rsid w:val="002D6B33"/>
    <w:rsid w:val="002D6BA8"/>
    <w:rsid w:val="002D6BBE"/>
    <w:rsid w:val="002D6C57"/>
    <w:rsid w:val="002D6C6A"/>
    <w:rsid w:val="002D6D89"/>
    <w:rsid w:val="002D6DDB"/>
    <w:rsid w:val="002D6DFA"/>
    <w:rsid w:val="002D6DFB"/>
    <w:rsid w:val="002D6E4C"/>
    <w:rsid w:val="002D6EA3"/>
    <w:rsid w:val="002D6EE8"/>
    <w:rsid w:val="002D6F41"/>
    <w:rsid w:val="002D6F46"/>
    <w:rsid w:val="002D6F5B"/>
    <w:rsid w:val="002D6F8D"/>
    <w:rsid w:val="002D6FA2"/>
    <w:rsid w:val="002D6FDB"/>
    <w:rsid w:val="002D6FF7"/>
    <w:rsid w:val="002D705A"/>
    <w:rsid w:val="002D70C1"/>
    <w:rsid w:val="002D710B"/>
    <w:rsid w:val="002D7163"/>
    <w:rsid w:val="002D716B"/>
    <w:rsid w:val="002D717C"/>
    <w:rsid w:val="002D71A9"/>
    <w:rsid w:val="002D71BF"/>
    <w:rsid w:val="002D71D0"/>
    <w:rsid w:val="002D71E1"/>
    <w:rsid w:val="002D71F7"/>
    <w:rsid w:val="002D720A"/>
    <w:rsid w:val="002D7228"/>
    <w:rsid w:val="002D7249"/>
    <w:rsid w:val="002D7267"/>
    <w:rsid w:val="002D726A"/>
    <w:rsid w:val="002D72B9"/>
    <w:rsid w:val="002D72F3"/>
    <w:rsid w:val="002D7315"/>
    <w:rsid w:val="002D738E"/>
    <w:rsid w:val="002D7391"/>
    <w:rsid w:val="002D7396"/>
    <w:rsid w:val="002D73BF"/>
    <w:rsid w:val="002D73C1"/>
    <w:rsid w:val="002D73D5"/>
    <w:rsid w:val="002D73FA"/>
    <w:rsid w:val="002D7417"/>
    <w:rsid w:val="002D743C"/>
    <w:rsid w:val="002D7444"/>
    <w:rsid w:val="002D74C3"/>
    <w:rsid w:val="002D755A"/>
    <w:rsid w:val="002D758A"/>
    <w:rsid w:val="002D75FD"/>
    <w:rsid w:val="002D7630"/>
    <w:rsid w:val="002D7661"/>
    <w:rsid w:val="002D7671"/>
    <w:rsid w:val="002D76AF"/>
    <w:rsid w:val="002D76D7"/>
    <w:rsid w:val="002D770F"/>
    <w:rsid w:val="002D772F"/>
    <w:rsid w:val="002D773E"/>
    <w:rsid w:val="002D7757"/>
    <w:rsid w:val="002D77C4"/>
    <w:rsid w:val="002D78C2"/>
    <w:rsid w:val="002D78CF"/>
    <w:rsid w:val="002D7930"/>
    <w:rsid w:val="002D7976"/>
    <w:rsid w:val="002D79DD"/>
    <w:rsid w:val="002D7A34"/>
    <w:rsid w:val="002D7A97"/>
    <w:rsid w:val="002D7A9F"/>
    <w:rsid w:val="002D7ABD"/>
    <w:rsid w:val="002D7B01"/>
    <w:rsid w:val="002D7B5D"/>
    <w:rsid w:val="002D7BA4"/>
    <w:rsid w:val="002D7BAC"/>
    <w:rsid w:val="002D7C69"/>
    <w:rsid w:val="002D7CB1"/>
    <w:rsid w:val="002D7CD4"/>
    <w:rsid w:val="002D7D47"/>
    <w:rsid w:val="002D7D57"/>
    <w:rsid w:val="002D7D71"/>
    <w:rsid w:val="002D7E35"/>
    <w:rsid w:val="002D7E4D"/>
    <w:rsid w:val="002D7E96"/>
    <w:rsid w:val="002D7F73"/>
    <w:rsid w:val="002D7FB4"/>
    <w:rsid w:val="002D7FB8"/>
    <w:rsid w:val="002D7FC4"/>
    <w:rsid w:val="002D7FE6"/>
    <w:rsid w:val="002D7FE7"/>
    <w:rsid w:val="002D7FFE"/>
    <w:rsid w:val="002E0049"/>
    <w:rsid w:val="002E009A"/>
    <w:rsid w:val="002E009D"/>
    <w:rsid w:val="002E00B2"/>
    <w:rsid w:val="002E00E8"/>
    <w:rsid w:val="002E00F5"/>
    <w:rsid w:val="002E00FC"/>
    <w:rsid w:val="002E0134"/>
    <w:rsid w:val="002E0166"/>
    <w:rsid w:val="002E01A9"/>
    <w:rsid w:val="002E01C6"/>
    <w:rsid w:val="002E01F0"/>
    <w:rsid w:val="002E0214"/>
    <w:rsid w:val="002E023A"/>
    <w:rsid w:val="002E0264"/>
    <w:rsid w:val="002E027A"/>
    <w:rsid w:val="002E0297"/>
    <w:rsid w:val="002E029C"/>
    <w:rsid w:val="002E02CA"/>
    <w:rsid w:val="002E03F0"/>
    <w:rsid w:val="002E03FA"/>
    <w:rsid w:val="002E042E"/>
    <w:rsid w:val="002E044D"/>
    <w:rsid w:val="002E046E"/>
    <w:rsid w:val="002E048F"/>
    <w:rsid w:val="002E04A3"/>
    <w:rsid w:val="002E04C6"/>
    <w:rsid w:val="002E0517"/>
    <w:rsid w:val="002E057D"/>
    <w:rsid w:val="002E05A9"/>
    <w:rsid w:val="002E05F8"/>
    <w:rsid w:val="002E067D"/>
    <w:rsid w:val="002E069C"/>
    <w:rsid w:val="002E069E"/>
    <w:rsid w:val="002E06D7"/>
    <w:rsid w:val="002E0704"/>
    <w:rsid w:val="002E071A"/>
    <w:rsid w:val="002E0753"/>
    <w:rsid w:val="002E0798"/>
    <w:rsid w:val="002E07A1"/>
    <w:rsid w:val="002E07B1"/>
    <w:rsid w:val="002E07B5"/>
    <w:rsid w:val="002E0839"/>
    <w:rsid w:val="002E0861"/>
    <w:rsid w:val="002E08AF"/>
    <w:rsid w:val="002E08C9"/>
    <w:rsid w:val="002E093E"/>
    <w:rsid w:val="002E0954"/>
    <w:rsid w:val="002E0956"/>
    <w:rsid w:val="002E097D"/>
    <w:rsid w:val="002E0992"/>
    <w:rsid w:val="002E0A1D"/>
    <w:rsid w:val="002E0A5A"/>
    <w:rsid w:val="002E0B52"/>
    <w:rsid w:val="002E0C4D"/>
    <w:rsid w:val="002E0DA3"/>
    <w:rsid w:val="002E0DC4"/>
    <w:rsid w:val="002E0DFA"/>
    <w:rsid w:val="002E0E1A"/>
    <w:rsid w:val="002E0E2E"/>
    <w:rsid w:val="002E0F63"/>
    <w:rsid w:val="002E0F8D"/>
    <w:rsid w:val="002E0FDF"/>
    <w:rsid w:val="002E1003"/>
    <w:rsid w:val="002E1026"/>
    <w:rsid w:val="002E108C"/>
    <w:rsid w:val="002E1095"/>
    <w:rsid w:val="002E10BE"/>
    <w:rsid w:val="002E10E1"/>
    <w:rsid w:val="002E1184"/>
    <w:rsid w:val="002E11A6"/>
    <w:rsid w:val="002E11AF"/>
    <w:rsid w:val="002E11BB"/>
    <w:rsid w:val="002E11E4"/>
    <w:rsid w:val="002E1234"/>
    <w:rsid w:val="002E1244"/>
    <w:rsid w:val="002E1270"/>
    <w:rsid w:val="002E1285"/>
    <w:rsid w:val="002E1288"/>
    <w:rsid w:val="002E1390"/>
    <w:rsid w:val="002E13D9"/>
    <w:rsid w:val="002E1421"/>
    <w:rsid w:val="002E1426"/>
    <w:rsid w:val="002E14EB"/>
    <w:rsid w:val="002E14FF"/>
    <w:rsid w:val="002E1511"/>
    <w:rsid w:val="002E1534"/>
    <w:rsid w:val="002E157B"/>
    <w:rsid w:val="002E159A"/>
    <w:rsid w:val="002E15CC"/>
    <w:rsid w:val="002E168E"/>
    <w:rsid w:val="002E16C7"/>
    <w:rsid w:val="002E16EA"/>
    <w:rsid w:val="002E1711"/>
    <w:rsid w:val="002E1732"/>
    <w:rsid w:val="002E1798"/>
    <w:rsid w:val="002E179C"/>
    <w:rsid w:val="002E17F1"/>
    <w:rsid w:val="002E180B"/>
    <w:rsid w:val="002E1811"/>
    <w:rsid w:val="002E184D"/>
    <w:rsid w:val="002E1863"/>
    <w:rsid w:val="002E1880"/>
    <w:rsid w:val="002E1897"/>
    <w:rsid w:val="002E18ED"/>
    <w:rsid w:val="002E1937"/>
    <w:rsid w:val="002E19E0"/>
    <w:rsid w:val="002E19FB"/>
    <w:rsid w:val="002E1A86"/>
    <w:rsid w:val="002E1AAA"/>
    <w:rsid w:val="002E1AED"/>
    <w:rsid w:val="002E1B58"/>
    <w:rsid w:val="002E1BD8"/>
    <w:rsid w:val="002E1C01"/>
    <w:rsid w:val="002E1C35"/>
    <w:rsid w:val="002E1C47"/>
    <w:rsid w:val="002E1CA5"/>
    <w:rsid w:val="002E1CB6"/>
    <w:rsid w:val="002E1CCC"/>
    <w:rsid w:val="002E1D5D"/>
    <w:rsid w:val="002E1D9E"/>
    <w:rsid w:val="002E1DA0"/>
    <w:rsid w:val="002E1DB0"/>
    <w:rsid w:val="002E1E26"/>
    <w:rsid w:val="002E1EC8"/>
    <w:rsid w:val="002E1EFA"/>
    <w:rsid w:val="002E1F6F"/>
    <w:rsid w:val="002E1FB6"/>
    <w:rsid w:val="002E1FBE"/>
    <w:rsid w:val="002E204A"/>
    <w:rsid w:val="002E2076"/>
    <w:rsid w:val="002E20B0"/>
    <w:rsid w:val="002E20E4"/>
    <w:rsid w:val="002E2120"/>
    <w:rsid w:val="002E2161"/>
    <w:rsid w:val="002E216F"/>
    <w:rsid w:val="002E21D8"/>
    <w:rsid w:val="002E21E4"/>
    <w:rsid w:val="002E21EC"/>
    <w:rsid w:val="002E21F8"/>
    <w:rsid w:val="002E2234"/>
    <w:rsid w:val="002E233A"/>
    <w:rsid w:val="002E2375"/>
    <w:rsid w:val="002E23D5"/>
    <w:rsid w:val="002E23E0"/>
    <w:rsid w:val="002E242E"/>
    <w:rsid w:val="002E2456"/>
    <w:rsid w:val="002E2464"/>
    <w:rsid w:val="002E24A0"/>
    <w:rsid w:val="002E24FD"/>
    <w:rsid w:val="002E2540"/>
    <w:rsid w:val="002E2558"/>
    <w:rsid w:val="002E25F8"/>
    <w:rsid w:val="002E26A7"/>
    <w:rsid w:val="002E26B8"/>
    <w:rsid w:val="002E26E9"/>
    <w:rsid w:val="002E275D"/>
    <w:rsid w:val="002E276F"/>
    <w:rsid w:val="002E2791"/>
    <w:rsid w:val="002E27A9"/>
    <w:rsid w:val="002E2862"/>
    <w:rsid w:val="002E28B8"/>
    <w:rsid w:val="002E28C4"/>
    <w:rsid w:val="002E28F7"/>
    <w:rsid w:val="002E2903"/>
    <w:rsid w:val="002E292C"/>
    <w:rsid w:val="002E295B"/>
    <w:rsid w:val="002E296F"/>
    <w:rsid w:val="002E2A0B"/>
    <w:rsid w:val="002E2A64"/>
    <w:rsid w:val="002E2A80"/>
    <w:rsid w:val="002E2A81"/>
    <w:rsid w:val="002E2A96"/>
    <w:rsid w:val="002E2AC9"/>
    <w:rsid w:val="002E2AED"/>
    <w:rsid w:val="002E2AFB"/>
    <w:rsid w:val="002E2B13"/>
    <w:rsid w:val="002E2B1E"/>
    <w:rsid w:val="002E2BC8"/>
    <w:rsid w:val="002E2C02"/>
    <w:rsid w:val="002E2C40"/>
    <w:rsid w:val="002E2C47"/>
    <w:rsid w:val="002E2CA8"/>
    <w:rsid w:val="002E2D02"/>
    <w:rsid w:val="002E2D17"/>
    <w:rsid w:val="002E2D45"/>
    <w:rsid w:val="002E2D81"/>
    <w:rsid w:val="002E2DBD"/>
    <w:rsid w:val="002E2DDA"/>
    <w:rsid w:val="002E2E15"/>
    <w:rsid w:val="002E2E76"/>
    <w:rsid w:val="002E2E7E"/>
    <w:rsid w:val="002E2F7B"/>
    <w:rsid w:val="002E2F94"/>
    <w:rsid w:val="002E2F95"/>
    <w:rsid w:val="002E2FF0"/>
    <w:rsid w:val="002E2FFF"/>
    <w:rsid w:val="002E302E"/>
    <w:rsid w:val="002E30B1"/>
    <w:rsid w:val="002E3128"/>
    <w:rsid w:val="002E315E"/>
    <w:rsid w:val="002E3160"/>
    <w:rsid w:val="002E3162"/>
    <w:rsid w:val="002E3163"/>
    <w:rsid w:val="002E316A"/>
    <w:rsid w:val="002E3173"/>
    <w:rsid w:val="002E31CA"/>
    <w:rsid w:val="002E3208"/>
    <w:rsid w:val="002E3287"/>
    <w:rsid w:val="002E32C8"/>
    <w:rsid w:val="002E33A5"/>
    <w:rsid w:val="002E33CD"/>
    <w:rsid w:val="002E341B"/>
    <w:rsid w:val="002E3444"/>
    <w:rsid w:val="002E3446"/>
    <w:rsid w:val="002E3493"/>
    <w:rsid w:val="002E3499"/>
    <w:rsid w:val="002E34B3"/>
    <w:rsid w:val="002E34E3"/>
    <w:rsid w:val="002E34ED"/>
    <w:rsid w:val="002E3546"/>
    <w:rsid w:val="002E356E"/>
    <w:rsid w:val="002E35AA"/>
    <w:rsid w:val="002E35B3"/>
    <w:rsid w:val="002E35EE"/>
    <w:rsid w:val="002E3641"/>
    <w:rsid w:val="002E3650"/>
    <w:rsid w:val="002E3665"/>
    <w:rsid w:val="002E3684"/>
    <w:rsid w:val="002E36FA"/>
    <w:rsid w:val="002E370B"/>
    <w:rsid w:val="002E375D"/>
    <w:rsid w:val="002E37A7"/>
    <w:rsid w:val="002E37C1"/>
    <w:rsid w:val="002E37CD"/>
    <w:rsid w:val="002E3818"/>
    <w:rsid w:val="002E3819"/>
    <w:rsid w:val="002E385F"/>
    <w:rsid w:val="002E3863"/>
    <w:rsid w:val="002E38CE"/>
    <w:rsid w:val="002E38EE"/>
    <w:rsid w:val="002E3915"/>
    <w:rsid w:val="002E3924"/>
    <w:rsid w:val="002E3946"/>
    <w:rsid w:val="002E39A8"/>
    <w:rsid w:val="002E39AB"/>
    <w:rsid w:val="002E3A02"/>
    <w:rsid w:val="002E3A37"/>
    <w:rsid w:val="002E3A78"/>
    <w:rsid w:val="002E3AA3"/>
    <w:rsid w:val="002E3AB9"/>
    <w:rsid w:val="002E3AC8"/>
    <w:rsid w:val="002E3ACB"/>
    <w:rsid w:val="002E3B37"/>
    <w:rsid w:val="002E3BBA"/>
    <w:rsid w:val="002E3BBC"/>
    <w:rsid w:val="002E3BD0"/>
    <w:rsid w:val="002E3C62"/>
    <w:rsid w:val="002E3C7E"/>
    <w:rsid w:val="002E3C81"/>
    <w:rsid w:val="002E3CB6"/>
    <w:rsid w:val="002E3CD1"/>
    <w:rsid w:val="002E3CD8"/>
    <w:rsid w:val="002E3CED"/>
    <w:rsid w:val="002E3D17"/>
    <w:rsid w:val="002E3D49"/>
    <w:rsid w:val="002E3D4A"/>
    <w:rsid w:val="002E3D58"/>
    <w:rsid w:val="002E3DC1"/>
    <w:rsid w:val="002E3DC9"/>
    <w:rsid w:val="002E3E52"/>
    <w:rsid w:val="002E3E63"/>
    <w:rsid w:val="002E3ED8"/>
    <w:rsid w:val="002E3F14"/>
    <w:rsid w:val="002E3F7A"/>
    <w:rsid w:val="002E3F81"/>
    <w:rsid w:val="002E3F8A"/>
    <w:rsid w:val="002E3F97"/>
    <w:rsid w:val="002E3F98"/>
    <w:rsid w:val="002E3FAE"/>
    <w:rsid w:val="002E400B"/>
    <w:rsid w:val="002E4036"/>
    <w:rsid w:val="002E409D"/>
    <w:rsid w:val="002E40BA"/>
    <w:rsid w:val="002E40CA"/>
    <w:rsid w:val="002E4169"/>
    <w:rsid w:val="002E41D7"/>
    <w:rsid w:val="002E4213"/>
    <w:rsid w:val="002E423D"/>
    <w:rsid w:val="002E4270"/>
    <w:rsid w:val="002E42AD"/>
    <w:rsid w:val="002E42BD"/>
    <w:rsid w:val="002E42D1"/>
    <w:rsid w:val="002E42DB"/>
    <w:rsid w:val="002E43A8"/>
    <w:rsid w:val="002E442F"/>
    <w:rsid w:val="002E446D"/>
    <w:rsid w:val="002E4470"/>
    <w:rsid w:val="002E449B"/>
    <w:rsid w:val="002E44E8"/>
    <w:rsid w:val="002E44FF"/>
    <w:rsid w:val="002E4537"/>
    <w:rsid w:val="002E4548"/>
    <w:rsid w:val="002E454C"/>
    <w:rsid w:val="002E45A5"/>
    <w:rsid w:val="002E45AD"/>
    <w:rsid w:val="002E45BF"/>
    <w:rsid w:val="002E45CE"/>
    <w:rsid w:val="002E45D5"/>
    <w:rsid w:val="002E4606"/>
    <w:rsid w:val="002E4622"/>
    <w:rsid w:val="002E462C"/>
    <w:rsid w:val="002E462D"/>
    <w:rsid w:val="002E4635"/>
    <w:rsid w:val="002E467C"/>
    <w:rsid w:val="002E4687"/>
    <w:rsid w:val="002E46D8"/>
    <w:rsid w:val="002E46F7"/>
    <w:rsid w:val="002E4717"/>
    <w:rsid w:val="002E472F"/>
    <w:rsid w:val="002E4759"/>
    <w:rsid w:val="002E477F"/>
    <w:rsid w:val="002E478A"/>
    <w:rsid w:val="002E47C4"/>
    <w:rsid w:val="002E47CC"/>
    <w:rsid w:val="002E47CF"/>
    <w:rsid w:val="002E47DB"/>
    <w:rsid w:val="002E47FD"/>
    <w:rsid w:val="002E481B"/>
    <w:rsid w:val="002E4878"/>
    <w:rsid w:val="002E49BB"/>
    <w:rsid w:val="002E49DE"/>
    <w:rsid w:val="002E4A20"/>
    <w:rsid w:val="002E4A45"/>
    <w:rsid w:val="002E4A7C"/>
    <w:rsid w:val="002E4AA3"/>
    <w:rsid w:val="002E4AAB"/>
    <w:rsid w:val="002E4ADD"/>
    <w:rsid w:val="002E4ADE"/>
    <w:rsid w:val="002E4AF0"/>
    <w:rsid w:val="002E4B00"/>
    <w:rsid w:val="002E4B25"/>
    <w:rsid w:val="002E4C36"/>
    <w:rsid w:val="002E4C81"/>
    <w:rsid w:val="002E4CA1"/>
    <w:rsid w:val="002E4D10"/>
    <w:rsid w:val="002E4D19"/>
    <w:rsid w:val="002E4D33"/>
    <w:rsid w:val="002E4D6E"/>
    <w:rsid w:val="002E4DE1"/>
    <w:rsid w:val="002E4E67"/>
    <w:rsid w:val="002E4F01"/>
    <w:rsid w:val="002E4F16"/>
    <w:rsid w:val="002E4F59"/>
    <w:rsid w:val="002E4F73"/>
    <w:rsid w:val="002E4F7C"/>
    <w:rsid w:val="002E4FB8"/>
    <w:rsid w:val="002E4FBD"/>
    <w:rsid w:val="002E4FC6"/>
    <w:rsid w:val="002E4FC7"/>
    <w:rsid w:val="002E4FD1"/>
    <w:rsid w:val="002E4FF1"/>
    <w:rsid w:val="002E5047"/>
    <w:rsid w:val="002E504A"/>
    <w:rsid w:val="002E5052"/>
    <w:rsid w:val="002E50C5"/>
    <w:rsid w:val="002E50DD"/>
    <w:rsid w:val="002E50E2"/>
    <w:rsid w:val="002E5111"/>
    <w:rsid w:val="002E5122"/>
    <w:rsid w:val="002E51A0"/>
    <w:rsid w:val="002E5227"/>
    <w:rsid w:val="002E5233"/>
    <w:rsid w:val="002E52A0"/>
    <w:rsid w:val="002E52E5"/>
    <w:rsid w:val="002E52E6"/>
    <w:rsid w:val="002E5319"/>
    <w:rsid w:val="002E5322"/>
    <w:rsid w:val="002E5340"/>
    <w:rsid w:val="002E5390"/>
    <w:rsid w:val="002E53C7"/>
    <w:rsid w:val="002E53E0"/>
    <w:rsid w:val="002E53E2"/>
    <w:rsid w:val="002E53F3"/>
    <w:rsid w:val="002E53FF"/>
    <w:rsid w:val="002E5451"/>
    <w:rsid w:val="002E5457"/>
    <w:rsid w:val="002E549D"/>
    <w:rsid w:val="002E54C4"/>
    <w:rsid w:val="002E54C9"/>
    <w:rsid w:val="002E54E1"/>
    <w:rsid w:val="002E54E4"/>
    <w:rsid w:val="002E5510"/>
    <w:rsid w:val="002E5527"/>
    <w:rsid w:val="002E55A1"/>
    <w:rsid w:val="002E55F9"/>
    <w:rsid w:val="002E560E"/>
    <w:rsid w:val="002E5654"/>
    <w:rsid w:val="002E5699"/>
    <w:rsid w:val="002E569D"/>
    <w:rsid w:val="002E56C0"/>
    <w:rsid w:val="002E56C1"/>
    <w:rsid w:val="002E5702"/>
    <w:rsid w:val="002E5715"/>
    <w:rsid w:val="002E573D"/>
    <w:rsid w:val="002E5791"/>
    <w:rsid w:val="002E57AA"/>
    <w:rsid w:val="002E57FB"/>
    <w:rsid w:val="002E5841"/>
    <w:rsid w:val="002E58C6"/>
    <w:rsid w:val="002E58CB"/>
    <w:rsid w:val="002E58F6"/>
    <w:rsid w:val="002E591A"/>
    <w:rsid w:val="002E5944"/>
    <w:rsid w:val="002E5996"/>
    <w:rsid w:val="002E59BE"/>
    <w:rsid w:val="002E59F6"/>
    <w:rsid w:val="002E59FC"/>
    <w:rsid w:val="002E5A09"/>
    <w:rsid w:val="002E5A1E"/>
    <w:rsid w:val="002E5A79"/>
    <w:rsid w:val="002E5AA5"/>
    <w:rsid w:val="002E5ACA"/>
    <w:rsid w:val="002E5AF4"/>
    <w:rsid w:val="002E5B5E"/>
    <w:rsid w:val="002E5BC2"/>
    <w:rsid w:val="002E5BE0"/>
    <w:rsid w:val="002E5BE8"/>
    <w:rsid w:val="002E5C32"/>
    <w:rsid w:val="002E5C42"/>
    <w:rsid w:val="002E5C43"/>
    <w:rsid w:val="002E5CA4"/>
    <w:rsid w:val="002E5CD9"/>
    <w:rsid w:val="002E5CE3"/>
    <w:rsid w:val="002E5D14"/>
    <w:rsid w:val="002E5D44"/>
    <w:rsid w:val="002E5E55"/>
    <w:rsid w:val="002E5E57"/>
    <w:rsid w:val="002E5E73"/>
    <w:rsid w:val="002E5EB0"/>
    <w:rsid w:val="002E5EED"/>
    <w:rsid w:val="002E5EF1"/>
    <w:rsid w:val="002E5F3E"/>
    <w:rsid w:val="002E5F4B"/>
    <w:rsid w:val="002E5F6F"/>
    <w:rsid w:val="002E5FB1"/>
    <w:rsid w:val="002E5FE3"/>
    <w:rsid w:val="002E6026"/>
    <w:rsid w:val="002E6064"/>
    <w:rsid w:val="002E60F3"/>
    <w:rsid w:val="002E6127"/>
    <w:rsid w:val="002E6131"/>
    <w:rsid w:val="002E6139"/>
    <w:rsid w:val="002E6148"/>
    <w:rsid w:val="002E6159"/>
    <w:rsid w:val="002E6173"/>
    <w:rsid w:val="002E618F"/>
    <w:rsid w:val="002E61A2"/>
    <w:rsid w:val="002E61AA"/>
    <w:rsid w:val="002E61E1"/>
    <w:rsid w:val="002E6206"/>
    <w:rsid w:val="002E6252"/>
    <w:rsid w:val="002E6290"/>
    <w:rsid w:val="002E630F"/>
    <w:rsid w:val="002E6323"/>
    <w:rsid w:val="002E6327"/>
    <w:rsid w:val="002E636F"/>
    <w:rsid w:val="002E6391"/>
    <w:rsid w:val="002E639C"/>
    <w:rsid w:val="002E6458"/>
    <w:rsid w:val="002E646B"/>
    <w:rsid w:val="002E64AD"/>
    <w:rsid w:val="002E64C2"/>
    <w:rsid w:val="002E64C8"/>
    <w:rsid w:val="002E64DF"/>
    <w:rsid w:val="002E6544"/>
    <w:rsid w:val="002E6585"/>
    <w:rsid w:val="002E658B"/>
    <w:rsid w:val="002E6634"/>
    <w:rsid w:val="002E6650"/>
    <w:rsid w:val="002E666F"/>
    <w:rsid w:val="002E667D"/>
    <w:rsid w:val="002E6689"/>
    <w:rsid w:val="002E66F0"/>
    <w:rsid w:val="002E6776"/>
    <w:rsid w:val="002E6786"/>
    <w:rsid w:val="002E67D2"/>
    <w:rsid w:val="002E6828"/>
    <w:rsid w:val="002E6863"/>
    <w:rsid w:val="002E6871"/>
    <w:rsid w:val="002E6872"/>
    <w:rsid w:val="002E688C"/>
    <w:rsid w:val="002E6890"/>
    <w:rsid w:val="002E68A3"/>
    <w:rsid w:val="002E68B5"/>
    <w:rsid w:val="002E68ED"/>
    <w:rsid w:val="002E6900"/>
    <w:rsid w:val="002E6907"/>
    <w:rsid w:val="002E696F"/>
    <w:rsid w:val="002E6981"/>
    <w:rsid w:val="002E69BE"/>
    <w:rsid w:val="002E6A22"/>
    <w:rsid w:val="002E6A27"/>
    <w:rsid w:val="002E6A7C"/>
    <w:rsid w:val="002E6A89"/>
    <w:rsid w:val="002E6ABF"/>
    <w:rsid w:val="002E6AC4"/>
    <w:rsid w:val="002E6AF0"/>
    <w:rsid w:val="002E6B0A"/>
    <w:rsid w:val="002E6B79"/>
    <w:rsid w:val="002E6B8F"/>
    <w:rsid w:val="002E6BAB"/>
    <w:rsid w:val="002E6C1C"/>
    <w:rsid w:val="002E6C42"/>
    <w:rsid w:val="002E6C4F"/>
    <w:rsid w:val="002E6C73"/>
    <w:rsid w:val="002E6CBF"/>
    <w:rsid w:val="002E6CFD"/>
    <w:rsid w:val="002E6D27"/>
    <w:rsid w:val="002E6D76"/>
    <w:rsid w:val="002E6D8E"/>
    <w:rsid w:val="002E6DA3"/>
    <w:rsid w:val="002E6DBB"/>
    <w:rsid w:val="002E6DD2"/>
    <w:rsid w:val="002E6E0C"/>
    <w:rsid w:val="002E6E0E"/>
    <w:rsid w:val="002E6E37"/>
    <w:rsid w:val="002E6E8A"/>
    <w:rsid w:val="002E6EAA"/>
    <w:rsid w:val="002E6F05"/>
    <w:rsid w:val="002E6F91"/>
    <w:rsid w:val="002E6F9B"/>
    <w:rsid w:val="002E6FC2"/>
    <w:rsid w:val="002E700E"/>
    <w:rsid w:val="002E7025"/>
    <w:rsid w:val="002E704D"/>
    <w:rsid w:val="002E7106"/>
    <w:rsid w:val="002E710B"/>
    <w:rsid w:val="002E7120"/>
    <w:rsid w:val="002E716B"/>
    <w:rsid w:val="002E71E1"/>
    <w:rsid w:val="002E7260"/>
    <w:rsid w:val="002E72DB"/>
    <w:rsid w:val="002E72E2"/>
    <w:rsid w:val="002E7329"/>
    <w:rsid w:val="002E732E"/>
    <w:rsid w:val="002E7387"/>
    <w:rsid w:val="002E739B"/>
    <w:rsid w:val="002E73A3"/>
    <w:rsid w:val="002E73B4"/>
    <w:rsid w:val="002E73B7"/>
    <w:rsid w:val="002E74C3"/>
    <w:rsid w:val="002E75B8"/>
    <w:rsid w:val="002E75BB"/>
    <w:rsid w:val="002E75C5"/>
    <w:rsid w:val="002E75F4"/>
    <w:rsid w:val="002E7667"/>
    <w:rsid w:val="002E7687"/>
    <w:rsid w:val="002E76B7"/>
    <w:rsid w:val="002E76D4"/>
    <w:rsid w:val="002E76F3"/>
    <w:rsid w:val="002E770E"/>
    <w:rsid w:val="002E7723"/>
    <w:rsid w:val="002E7763"/>
    <w:rsid w:val="002E7794"/>
    <w:rsid w:val="002E77B2"/>
    <w:rsid w:val="002E77D5"/>
    <w:rsid w:val="002E77E9"/>
    <w:rsid w:val="002E785D"/>
    <w:rsid w:val="002E7864"/>
    <w:rsid w:val="002E786B"/>
    <w:rsid w:val="002E786E"/>
    <w:rsid w:val="002E78A2"/>
    <w:rsid w:val="002E78C9"/>
    <w:rsid w:val="002E78CD"/>
    <w:rsid w:val="002E78DB"/>
    <w:rsid w:val="002E78EB"/>
    <w:rsid w:val="002E790E"/>
    <w:rsid w:val="002E7924"/>
    <w:rsid w:val="002E792B"/>
    <w:rsid w:val="002E7945"/>
    <w:rsid w:val="002E7991"/>
    <w:rsid w:val="002E799A"/>
    <w:rsid w:val="002E7A27"/>
    <w:rsid w:val="002E7AC5"/>
    <w:rsid w:val="002E7B10"/>
    <w:rsid w:val="002E7B6B"/>
    <w:rsid w:val="002E7B6F"/>
    <w:rsid w:val="002E7B93"/>
    <w:rsid w:val="002E7BA5"/>
    <w:rsid w:val="002E7BA6"/>
    <w:rsid w:val="002E7BD5"/>
    <w:rsid w:val="002E7BFA"/>
    <w:rsid w:val="002E7C11"/>
    <w:rsid w:val="002E7C1D"/>
    <w:rsid w:val="002E7C4A"/>
    <w:rsid w:val="002E7C5A"/>
    <w:rsid w:val="002E7C8E"/>
    <w:rsid w:val="002E7CAA"/>
    <w:rsid w:val="002E7CBF"/>
    <w:rsid w:val="002E7D09"/>
    <w:rsid w:val="002E7D26"/>
    <w:rsid w:val="002E7DE8"/>
    <w:rsid w:val="002E7DEC"/>
    <w:rsid w:val="002E7E40"/>
    <w:rsid w:val="002E7E8D"/>
    <w:rsid w:val="002E7EA9"/>
    <w:rsid w:val="002E7EBB"/>
    <w:rsid w:val="002E7ECB"/>
    <w:rsid w:val="002E7F3B"/>
    <w:rsid w:val="002E7F4A"/>
    <w:rsid w:val="002E7F5B"/>
    <w:rsid w:val="002E7FB9"/>
    <w:rsid w:val="002E7FE9"/>
    <w:rsid w:val="002F0005"/>
    <w:rsid w:val="002F004B"/>
    <w:rsid w:val="002F005F"/>
    <w:rsid w:val="002F008E"/>
    <w:rsid w:val="002F0098"/>
    <w:rsid w:val="002F00A5"/>
    <w:rsid w:val="002F00A7"/>
    <w:rsid w:val="002F00A9"/>
    <w:rsid w:val="002F0152"/>
    <w:rsid w:val="002F016D"/>
    <w:rsid w:val="002F018C"/>
    <w:rsid w:val="002F01CE"/>
    <w:rsid w:val="002F020F"/>
    <w:rsid w:val="002F0225"/>
    <w:rsid w:val="002F025E"/>
    <w:rsid w:val="002F028C"/>
    <w:rsid w:val="002F0296"/>
    <w:rsid w:val="002F02A6"/>
    <w:rsid w:val="002F02B2"/>
    <w:rsid w:val="002F02BD"/>
    <w:rsid w:val="002F02C2"/>
    <w:rsid w:val="002F0317"/>
    <w:rsid w:val="002F034A"/>
    <w:rsid w:val="002F0350"/>
    <w:rsid w:val="002F0358"/>
    <w:rsid w:val="002F0365"/>
    <w:rsid w:val="002F036D"/>
    <w:rsid w:val="002F03C5"/>
    <w:rsid w:val="002F03D7"/>
    <w:rsid w:val="002F03EE"/>
    <w:rsid w:val="002F03F7"/>
    <w:rsid w:val="002F042B"/>
    <w:rsid w:val="002F0462"/>
    <w:rsid w:val="002F046D"/>
    <w:rsid w:val="002F0474"/>
    <w:rsid w:val="002F0480"/>
    <w:rsid w:val="002F048E"/>
    <w:rsid w:val="002F04B5"/>
    <w:rsid w:val="002F053D"/>
    <w:rsid w:val="002F0547"/>
    <w:rsid w:val="002F0573"/>
    <w:rsid w:val="002F05B7"/>
    <w:rsid w:val="002F05C0"/>
    <w:rsid w:val="002F05D3"/>
    <w:rsid w:val="002F05FB"/>
    <w:rsid w:val="002F065C"/>
    <w:rsid w:val="002F06E1"/>
    <w:rsid w:val="002F0707"/>
    <w:rsid w:val="002F0732"/>
    <w:rsid w:val="002F074F"/>
    <w:rsid w:val="002F077B"/>
    <w:rsid w:val="002F0784"/>
    <w:rsid w:val="002F07F1"/>
    <w:rsid w:val="002F081E"/>
    <w:rsid w:val="002F08BB"/>
    <w:rsid w:val="002F08CB"/>
    <w:rsid w:val="002F0971"/>
    <w:rsid w:val="002F09C6"/>
    <w:rsid w:val="002F0A41"/>
    <w:rsid w:val="002F0A58"/>
    <w:rsid w:val="002F0A7F"/>
    <w:rsid w:val="002F0AB7"/>
    <w:rsid w:val="002F0ADA"/>
    <w:rsid w:val="002F0B18"/>
    <w:rsid w:val="002F0B31"/>
    <w:rsid w:val="002F0B64"/>
    <w:rsid w:val="002F0B77"/>
    <w:rsid w:val="002F0B7A"/>
    <w:rsid w:val="002F0BAD"/>
    <w:rsid w:val="002F0BCA"/>
    <w:rsid w:val="002F0C2D"/>
    <w:rsid w:val="002F0C34"/>
    <w:rsid w:val="002F0D01"/>
    <w:rsid w:val="002F0D52"/>
    <w:rsid w:val="002F0D6D"/>
    <w:rsid w:val="002F0DBF"/>
    <w:rsid w:val="002F0DD4"/>
    <w:rsid w:val="002F0E1E"/>
    <w:rsid w:val="002F0F08"/>
    <w:rsid w:val="002F0F0C"/>
    <w:rsid w:val="002F0F2F"/>
    <w:rsid w:val="002F0F57"/>
    <w:rsid w:val="002F0FC3"/>
    <w:rsid w:val="002F0FE7"/>
    <w:rsid w:val="002F104C"/>
    <w:rsid w:val="002F105B"/>
    <w:rsid w:val="002F10C5"/>
    <w:rsid w:val="002F110E"/>
    <w:rsid w:val="002F1136"/>
    <w:rsid w:val="002F1145"/>
    <w:rsid w:val="002F114D"/>
    <w:rsid w:val="002F117B"/>
    <w:rsid w:val="002F1191"/>
    <w:rsid w:val="002F11A7"/>
    <w:rsid w:val="002F11E9"/>
    <w:rsid w:val="002F128D"/>
    <w:rsid w:val="002F12B9"/>
    <w:rsid w:val="002F12F4"/>
    <w:rsid w:val="002F1341"/>
    <w:rsid w:val="002F1360"/>
    <w:rsid w:val="002F138D"/>
    <w:rsid w:val="002F1395"/>
    <w:rsid w:val="002F13C6"/>
    <w:rsid w:val="002F13F2"/>
    <w:rsid w:val="002F1456"/>
    <w:rsid w:val="002F1465"/>
    <w:rsid w:val="002F147A"/>
    <w:rsid w:val="002F14E4"/>
    <w:rsid w:val="002F150F"/>
    <w:rsid w:val="002F1520"/>
    <w:rsid w:val="002F1557"/>
    <w:rsid w:val="002F164D"/>
    <w:rsid w:val="002F1660"/>
    <w:rsid w:val="002F167C"/>
    <w:rsid w:val="002F169B"/>
    <w:rsid w:val="002F16DC"/>
    <w:rsid w:val="002F170F"/>
    <w:rsid w:val="002F1736"/>
    <w:rsid w:val="002F1744"/>
    <w:rsid w:val="002F1761"/>
    <w:rsid w:val="002F1789"/>
    <w:rsid w:val="002F17CA"/>
    <w:rsid w:val="002F189B"/>
    <w:rsid w:val="002F18AB"/>
    <w:rsid w:val="002F18F8"/>
    <w:rsid w:val="002F1944"/>
    <w:rsid w:val="002F19D5"/>
    <w:rsid w:val="002F19F7"/>
    <w:rsid w:val="002F1A6E"/>
    <w:rsid w:val="002F1B1C"/>
    <w:rsid w:val="002F1B74"/>
    <w:rsid w:val="002F1BA2"/>
    <w:rsid w:val="002F1BD2"/>
    <w:rsid w:val="002F1C14"/>
    <w:rsid w:val="002F1C6D"/>
    <w:rsid w:val="002F1C77"/>
    <w:rsid w:val="002F1CB6"/>
    <w:rsid w:val="002F1CB9"/>
    <w:rsid w:val="002F1D42"/>
    <w:rsid w:val="002F1D5E"/>
    <w:rsid w:val="002F1D60"/>
    <w:rsid w:val="002F1D99"/>
    <w:rsid w:val="002F1DBE"/>
    <w:rsid w:val="002F1DE4"/>
    <w:rsid w:val="002F1E0A"/>
    <w:rsid w:val="002F1E31"/>
    <w:rsid w:val="002F1F6A"/>
    <w:rsid w:val="002F1FB5"/>
    <w:rsid w:val="002F2000"/>
    <w:rsid w:val="002F201E"/>
    <w:rsid w:val="002F202A"/>
    <w:rsid w:val="002F2065"/>
    <w:rsid w:val="002F20C1"/>
    <w:rsid w:val="002F20EE"/>
    <w:rsid w:val="002F2118"/>
    <w:rsid w:val="002F2145"/>
    <w:rsid w:val="002F216E"/>
    <w:rsid w:val="002F2191"/>
    <w:rsid w:val="002F219A"/>
    <w:rsid w:val="002F230C"/>
    <w:rsid w:val="002F2319"/>
    <w:rsid w:val="002F2332"/>
    <w:rsid w:val="002F2339"/>
    <w:rsid w:val="002F23C1"/>
    <w:rsid w:val="002F246C"/>
    <w:rsid w:val="002F2488"/>
    <w:rsid w:val="002F24B9"/>
    <w:rsid w:val="002F24ED"/>
    <w:rsid w:val="002F254F"/>
    <w:rsid w:val="002F2555"/>
    <w:rsid w:val="002F25A0"/>
    <w:rsid w:val="002F25B1"/>
    <w:rsid w:val="002F25B3"/>
    <w:rsid w:val="002F26E6"/>
    <w:rsid w:val="002F26F7"/>
    <w:rsid w:val="002F271E"/>
    <w:rsid w:val="002F2757"/>
    <w:rsid w:val="002F275F"/>
    <w:rsid w:val="002F27D5"/>
    <w:rsid w:val="002F2814"/>
    <w:rsid w:val="002F281B"/>
    <w:rsid w:val="002F2828"/>
    <w:rsid w:val="002F284E"/>
    <w:rsid w:val="002F2862"/>
    <w:rsid w:val="002F2875"/>
    <w:rsid w:val="002F287C"/>
    <w:rsid w:val="002F28B5"/>
    <w:rsid w:val="002F28D5"/>
    <w:rsid w:val="002F28F0"/>
    <w:rsid w:val="002F290D"/>
    <w:rsid w:val="002F2936"/>
    <w:rsid w:val="002F293C"/>
    <w:rsid w:val="002F2946"/>
    <w:rsid w:val="002F2990"/>
    <w:rsid w:val="002F29AE"/>
    <w:rsid w:val="002F2A18"/>
    <w:rsid w:val="002F2A25"/>
    <w:rsid w:val="002F2A28"/>
    <w:rsid w:val="002F2A4F"/>
    <w:rsid w:val="002F2A5B"/>
    <w:rsid w:val="002F2A5D"/>
    <w:rsid w:val="002F2B16"/>
    <w:rsid w:val="002F2B26"/>
    <w:rsid w:val="002F2B2F"/>
    <w:rsid w:val="002F2B4B"/>
    <w:rsid w:val="002F2B7E"/>
    <w:rsid w:val="002F2BD1"/>
    <w:rsid w:val="002F2BE0"/>
    <w:rsid w:val="002F2BF9"/>
    <w:rsid w:val="002F2C33"/>
    <w:rsid w:val="002F2C59"/>
    <w:rsid w:val="002F2C87"/>
    <w:rsid w:val="002F2CEE"/>
    <w:rsid w:val="002F2D34"/>
    <w:rsid w:val="002F2D5D"/>
    <w:rsid w:val="002F2D88"/>
    <w:rsid w:val="002F2D96"/>
    <w:rsid w:val="002F2DC1"/>
    <w:rsid w:val="002F2DDC"/>
    <w:rsid w:val="002F2E1F"/>
    <w:rsid w:val="002F2E31"/>
    <w:rsid w:val="002F2E37"/>
    <w:rsid w:val="002F2E7F"/>
    <w:rsid w:val="002F2E93"/>
    <w:rsid w:val="002F2EF4"/>
    <w:rsid w:val="002F2EFE"/>
    <w:rsid w:val="002F2F18"/>
    <w:rsid w:val="002F2F74"/>
    <w:rsid w:val="002F2FDC"/>
    <w:rsid w:val="002F3040"/>
    <w:rsid w:val="002F3053"/>
    <w:rsid w:val="002F308F"/>
    <w:rsid w:val="002F30C7"/>
    <w:rsid w:val="002F3100"/>
    <w:rsid w:val="002F3106"/>
    <w:rsid w:val="002F3121"/>
    <w:rsid w:val="002F3123"/>
    <w:rsid w:val="002F313E"/>
    <w:rsid w:val="002F319E"/>
    <w:rsid w:val="002F31D7"/>
    <w:rsid w:val="002F31ED"/>
    <w:rsid w:val="002F31FA"/>
    <w:rsid w:val="002F321F"/>
    <w:rsid w:val="002F322A"/>
    <w:rsid w:val="002F3266"/>
    <w:rsid w:val="002F32E4"/>
    <w:rsid w:val="002F32F9"/>
    <w:rsid w:val="002F32FB"/>
    <w:rsid w:val="002F333C"/>
    <w:rsid w:val="002F336A"/>
    <w:rsid w:val="002F33F7"/>
    <w:rsid w:val="002F3404"/>
    <w:rsid w:val="002F3475"/>
    <w:rsid w:val="002F349F"/>
    <w:rsid w:val="002F34AB"/>
    <w:rsid w:val="002F34C0"/>
    <w:rsid w:val="002F34F1"/>
    <w:rsid w:val="002F353B"/>
    <w:rsid w:val="002F3585"/>
    <w:rsid w:val="002F35B5"/>
    <w:rsid w:val="002F35F5"/>
    <w:rsid w:val="002F3629"/>
    <w:rsid w:val="002F3673"/>
    <w:rsid w:val="002F3697"/>
    <w:rsid w:val="002F36CA"/>
    <w:rsid w:val="002F36D6"/>
    <w:rsid w:val="002F36F7"/>
    <w:rsid w:val="002F379E"/>
    <w:rsid w:val="002F3818"/>
    <w:rsid w:val="002F3829"/>
    <w:rsid w:val="002F3927"/>
    <w:rsid w:val="002F3940"/>
    <w:rsid w:val="002F3958"/>
    <w:rsid w:val="002F39CA"/>
    <w:rsid w:val="002F39CE"/>
    <w:rsid w:val="002F39DA"/>
    <w:rsid w:val="002F3A1C"/>
    <w:rsid w:val="002F3A61"/>
    <w:rsid w:val="002F3A7B"/>
    <w:rsid w:val="002F3AB0"/>
    <w:rsid w:val="002F3ABD"/>
    <w:rsid w:val="002F3B9D"/>
    <w:rsid w:val="002F3BDA"/>
    <w:rsid w:val="002F3C26"/>
    <w:rsid w:val="002F3C5E"/>
    <w:rsid w:val="002F3C68"/>
    <w:rsid w:val="002F3C69"/>
    <w:rsid w:val="002F3CC0"/>
    <w:rsid w:val="002F3D23"/>
    <w:rsid w:val="002F3D3A"/>
    <w:rsid w:val="002F3D4E"/>
    <w:rsid w:val="002F3DF6"/>
    <w:rsid w:val="002F3E0B"/>
    <w:rsid w:val="002F3E3A"/>
    <w:rsid w:val="002F3E3D"/>
    <w:rsid w:val="002F3EA1"/>
    <w:rsid w:val="002F3ECB"/>
    <w:rsid w:val="002F3ED1"/>
    <w:rsid w:val="002F3ED5"/>
    <w:rsid w:val="002F3EE4"/>
    <w:rsid w:val="002F3EF9"/>
    <w:rsid w:val="002F3F08"/>
    <w:rsid w:val="002F3F1B"/>
    <w:rsid w:val="002F3F76"/>
    <w:rsid w:val="002F3FDA"/>
    <w:rsid w:val="002F3FEB"/>
    <w:rsid w:val="002F3FF7"/>
    <w:rsid w:val="002F408D"/>
    <w:rsid w:val="002F40AE"/>
    <w:rsid w:val="002F40BF"/>
    <w:rsid w:val="002F40DB"/>
    <w:rsid w:val="002F40E1"/>
    <w:rsid w:val="002F40E7"/>
    <w:rsid w:val="002F40E8"/>
    <w:rsid w:val="002F4104"/>
    <w:rsid w:val="002F4121"/>
    <w:rsid w:val="002F4155"/>
    <w:rsid w:val="002F4164"/>
    <w:rsid w:val="002F418A"/>
    <w:rsid w:val="002F4221"/>
    <w:rsid w:val="002F4235"/>
    <w:rsid w:val="002F4244"/>
    <w:rsid w:val="002F4248"/>
    <w:rsid w:val="002F4274"/>
    <w:rsid w:val="002F4291"/>
    <w:rsid w:val="002F42BB"/>
    <w:rsid w:val="002F4320"/>
    <w:rsid w:val="002F43DB"/>
    <w:rsid w:val="002F4412"/>
    <w:rsid w:val="002F446F"/>
    <w:rsid w:val="002F4478"/>
    <w:rsid w:val="002F449C"/>
    <w:rsid w:val="002F44B3"/>
    <w:rsid w:val="002F44F2"/>
    <w:rsid w:val="002F4509"/>
    <w:rsid w:val="002F4540"/>
    <w:rsid w:val="002F454B"/>
    <w:rsid w:val="002F4577"/>
    <w:rsid w:val="002F45CF"/>
    <w:rsid w:val="002F4621"/>
    <w:rsid w:val="002F4628"/>
    <w:rsid w:val="002F469D"/>
    <w:rsid w:val="002F46A8"/>
    <w:rsid w:val="002F46D9"/>
    <w:rsid w:val="002F4758"/>
    <w:rsid w:val="002F47A5"/>
    <w:rsid w:val="002F47A8"/>
    <w:rsid w:val="002F47C1"/>
    <w:rsid w:val="002F4827"/>
    <w:rsid w:val="002F4835"/>
    <w:rsid w:val="002F485D"/>
    <w:rsid w:val="002F491B"/>
    <w:rsid w:val="002F495D"/>
    <w:rsid w:val="002F4998"/>
    <w:rsid w:val="002F49DD"/>
    <w:rsid w:val="002F4A46"/>
    <w:rsid w:val="002F4A4E"/>
    <w:rsid w:val="002F4A52"/>
    <w:rsid w:val="002F4AAB"/>
    <w:rsid w:val="002F4AC6"/>
    <w:rsid w:val="002F4AD1"/>
    <w:rsid w:val="002F4ADD"/>
    <w:rsid w:val="002F4B09"/>
    <w:rsid w:val="002F4B1E"/>
    <w:rsid w:val="002F4B30"/>
    <w:rsid w:val="002F4B4F"/>
    <w:rsid w:val="002F4B54"/>
    <w:rsid w:val="002F4B5C"/>
    <w:rsid w:val="002F4B6F"/>
    <w:rsid w:val="002F4B89"/>
    <w:rsid w:val="002F4BA2"/>
    <w:rsid w:val="002F4C64"/>
    <w:rsid w:val="002F4C7C"/>
    <w:rsid w:val="002F4D2B"/>
    <w:rsid w:val="002F4D7A"/>
    <w:rsid w:val="002F4DD0"/>
    <w:rsid w:val="002F4E24"/>
    <w:rsid w:val="002F4E33"/>
    <w:rsid w:val="002F4E80"/>
    <w:rsid w:val="002F4EAB"/>
    <w:rsid w:val="002F4EB1"/>
    <w:rsid w:val="002F4EED"/>
    <w:rsid w:val="002F4F7B"/>
    <w:rsid w:val="002F4F9F"/>
    <w:rsid w:val="002F4FA4"/>
    <w:rsid w:val="002F4FA9"/>
    <w:rsid w:val="002F4FAD"/>
    <w:rsid w:val="002F4FD6"/>
    <w:rsid w:val="002F4FEC"/>
    <w:rsid w:val="002F513B"/>
    <w:rsid w:val="002F51F0"/>
    <w:rsid w:val="002F51FB"/>
    <w:rsid w:val="002F5268"/>
    <w:rsid w:val="002F5292"/>
    <w:rsid w:val="002F529E"/>
    <w:rsid w:val="002F5317"/>
    <w:rsid w:val="002F5329"/>
    <w:rsid w:val="002F5350"/>
    <w:rsid w:val="002F5370"/>
    <w:rsid w:val="002F5397"/>
    <w:rsid w:val="002F53C2"/>
    <w:rsid w:val="002F53E4"/>
    <w:rsid w:val="002F53E8"/>
    <w:rsid w:val="002F5425"/>
    <w:rsid w:val="002F5459"/>
    <w:rsid w:val="002F54C8"/>
    <w:rsid w:val="002F5532"/>
    <w:rsid w:val="002F5551"/>
    <w:rsid w:val="002F5564"/>
    <w:rsid w:val="002F55BC"/>
    <w:rsid w:val="002F55CD"/>
    <w:rsid w:val="002F55DD"/>
    <w:rsid w:val="002F55E8"/>
    <w:rsid w:val="002F56A9"/>
    <w:rsid w:val="002F56F5"/>
    <w:rsid w:val="002F571D"/>
    <w:rsid w:val="002F572E"/>
    <w:rsid w:val="002F574E"/>
    <w:rsid w:val="002F57C4"/>
    <w:rsid w:val="002F57D8"/>
    <w:rsid w:val="002F57EB"/>
    <w:rsid w:val="002F5869"/>
    <w:rsid w:val="002F5873"/>
    <w:rsid w:val="002F587F"/>
    <w:rsid w:val="002F5884"/>
    <w:rsid w:val="002F58B2"/>
    <w:rsid w:val="002F58F3"/>
    <w:rsid w:val="002F593D"/>
    <w:rsid w:val="002F5962"/>
    <w:rsid w:val="002F596B"/>
    <w:rsid w:val="002F59B9"/>
    <w:rsid w:val="002F59F0"/>
    <w:rsid w:val="002F5A8A"/>
    <w:rsid w:val="002F5B02"/>
    <w:rsid w:val="002F5B0E"/>
    <w:rsid w:val="002F5B22"/>
    <w:rsid w:val="002F5B2A"/>
    <w:rsid w:val="002F5BFF"/>
    <w:rsid w:val="002F5C11"/>
    <w:rsid w:val="002F5C1B"/>
    <w:rsid w:val="002F5CC1"/>
    <w:rsid w:val="002F5CE8"/>
    <w:rsid w:val="002F5D85"/>
    <w:rsid w:val="002F5D9E"/>
    <w:rsid w:val="002F5DA8"/>
    <w:rsid w:val="002F5DB5"/>
    <w:rsid w:val="002F5DD8"/>
    <w:rsid w:val="002F5DF0"/>
    <w:rsid w:val="002F5E16"/>
    <w:rsid w:val="002F5E36"/>
    <w:rsid w:val="002F5E4E"/>
    <w:rsid w:val="002F5E61"/>
    <w:rsid w:val="002F5E6D"/>
    <w:rsid w:val="002F5E79"/>
    <w:rsid w:val="002F5E96"/>
    <w:rsid w:val="002F5EB2"/>
    <w:rsid w:val="002F5EC3"/>
    <w:rsid w:val="002F5EC9"/>
    <w:rsid w:val="002F5EEE"/>
    <w:rsid w:val="002F5F10"/>
    <w:rsid w:val="002F5F2E"/>
    <w:rsid w:val="002F5F51"/>
    <w:rsid w:val="002F5F72"/>
    <w:rsid w:val="002F5F7A"/>
    <w:rsid w:val="002F5FA5"/>
    <w:rsid w:val="002F5FC2"/>
    <w:rsid w:val="002F6017"/>
    <w:rsid w:val="002F607F"/>
    <w:rsid w:val="002F60A1"/>
    <w:rsid w:val="002F6103"/>
    <w:rsid w:val="002F6123"/>
    <w:rsid w:val="002F617F"/>
    <w:rsid w:val="002F61D6"/>
    <w:rsid w:val="002F6230"/>
    <w:rsid w:val="002F624F"/>
    <w:rsid w:val="002F6271"/>
    <w:rsid w:val="002F6298"/>
    <w:rsid w:val="002F62A3"/>
    <w:rsid w:val="002F62A7"/>
    <w:rsid w:val="002F62C8"/>
    <w:rsid w:val="002F637F"/>
    <w:rsid w:val="002F63BD"/>
    <w:rsid w:val="002F63E3"/>
    <w:rsid w:val="002F640A"/>
    <w:rsid w:val="002F6420"/>
    <w:rsid w:val="002F6425"/>
    <w:rsid w:val="002F6495"/>
    <w:rsid w:val="002F6537"/>
    <w:rsid w:val="002F6538"/>
    <w:rsid w:val="002F6582"/>
    <w:rsid w:val="002F6628"/>
    <w:rsid w:val="002F6634"/>
    <w:rsid w:val="002F66BD"/>
    <w:rsid w:val="002F67B5"/>
    <w:rsid w:val="002F67D9"/>
    <w:rsid w:val="002F6805"/>
    <w:rsid w:val="002F681D"/>
    <w:rsid w:val="002F6833"/>
    <w:rsid w:val="002F6850"/>
    <w:rsid w:val="002F6892"/>
    <w:rsid w:val="002F68F9"/>
    <w:rsid w:val="002F68FD"/>
    <w:rsid w:val="002F691F"/>
    <w:rsid w:val="002F69AF"/>
    <w:rsid w:val="002F69D2"/>
    <w:rsid w:val="002F69D6"/>
    <w:rsid w:val="002F69F2"/>
    <w:rsid w:val="002F6A06"/>
    <w:rsid w:val="002F6AD5"/>
    <w:rsid w:val="002F6AD9"/>
    <w:rsid w:val="002F6AFD"/>
    <w:rsid w:val="002F6B32"/>
    <w:rsid w:val="002F6B36"/>
    <w:rsid w:val="002F6C20"/>
    <w:rsid w:val="002F6C27"/>
    <w:rsid w:val="002F6C40"/>
    <w:rsid w:val="002F6C62"/>
    <w:rsid w:val="002F6D1D"/>
    <w:rsid w:val="002F6DE9"/>
    <w:rsid w:val="002F6E02"/>
    <w:rsid w:val="002F6E68"/>
    <w:rsid w:val="002F6E74"/>
    <w:rsid w:val="002F6E98"/>
    <w:rsid w:val="002F6EAB"/>
    <w:rsid w:val="002F6EF2"/>
    <w:rsid w:val="002F6F1F"/>
    <w:rsid w:val="002F6F94"/>
    <w:rsid w:val="002F6FA8"/>
    <w:rsid w:val="002F6FC7"/>
    <w:rsid w:val="002F6FD9"/>
    <w:rsid w:val="002F6FE9"/>
    <w:rsid w:val="002F701D"/>
    <w:rsid w:val="002F702D"/>
    <w:rsid w:val="002F702F"/>
    <w:rsid w:val="002F70A0"/>
    <w:rsid w:val="002F70B5"/>
    <w:rsid w:val="002F7118"/>
    <w:rsid w:val="002F7139"/>
    <w:rsid w:val="002F7147"/>
    <w:rsid w:val="002F71A9"/>
    <w:rsid w:val="002F7211"/>
    <w:rsid w:val="002F721E"/>
    <w:rsid w:val="002F7226"/>
    <w:rsid w:val="002F7228"/>
    <w:rsid w:val="002F724C"/>
    <w:rsid w:val="002F725B"/>
    <w:rsid w:val="002F727A"/>
    <w:rsid w:val="002F7329"/>
    <w:rsid w:val="002F733A"/>
    <w:rsid w:val="002F7358"/>
    <w:rsid w:val="002F7363"/>
    <w:rsid w:val="002F7370"/>
    <w:rsid w:val="002F73C0"/>
    <w:rsid w:val="002F73CE"/>
    <w:rsid w:val="002F73DD"/>
    <w:rsid w:val="002F7490"/>
    <w:rsid w:val="002F74A5"/>
    <w:rsid w:val="002F74BF"/>
    <w:rsid w:val="002F7567"/>
    <w:rsid w:val="002F7590"/>
    <w:rsid w:val="002F75C3"/>
    <w:rsid w:val="002F75C5"/>
    <w:rsid w:val="002F75DA"/>
    <w:rsid w:val="002F767C"/>
    <w:rsid w:val="002F7686"/>
    <w:rsid w:val="002F76F4"/>
    <w:rsid w:val="002F7723"/>
    <w:rsid w:val="002F776B"/>
    <w:rsid w:val="002F776F"/>
    <w:rsid w:val="002F77A5"/>
    <w:rsid w:val="002F77D6"/>
    <w:rsid w:val="002F7878"/>
    <w:rsid w:val="002F787F"/>
    <w:rsid w:val="002F78A1"/>
    <w:rsid w:val="002F78A3"/>
    <w:rsid w:val="002F78AD"/>
    <w:rsid w:val="002F78AE"/>
    <w:rsid w:val="002F78D8"/>
    <w:rsid w:val="002F7913"/>
    <w:rsid w:val="002F794C"/>
    <w:rsid w:val="002F7963"/>
    <w:rsid w:val="002F79CD"/>
    <w:rsid w:val="002F7A47"/>
    <w:rsid w:val="002F7A5D"/>
    <w:rsid w:val="002F7A8B"/>
    <w:rsid w:val="002F7A9C"/>
    <w:rsid w:val="002F7AEE"/>
    <w:rsid w:val="002F7AF4"/>
    <w:rsid w:val="002F7B24"/>
    <w:rsid w:val="002F7B68"/>
    <w:rsid w:val="002F7B88"/>
    <w:rsid w:val="002F7B8D"/>
    <w:rsid w:val="002F7BA1"/>
    <w:rsid w:val="002F7BAA"/>
    <w:rsid w:val="002F7BE5"/>
    <w:rsid w:val="002F7BED"/>
    <w:rsid w:val="002F7C03"/>
    <w:rsid w:val="002F7C49"/>
    <w:rsid w:val="002F7C68"/>
    <w:rsid w:val="002F7C7E"/>
    <w:rsid w:val="002F7C97"/>
    <w:rsid w:val="002F7CA5"/>
    <w:rsid w:val="002F7CAB"/>
    <w:rsid w:val="002F7CE3"/>
    <w:rsid w:val="002F7D49"/>
    <w:rsid w:val="002F7D91"/>
    <w:rsid w:val="002F7DA1"/>
    <w:rsid w:val="002F7E34"/>
    <w:rsid w:val="002F7F99"/>
    <w:rsid w:val="00300035"/>
    <w:rsid w:val="00300059"/>
    <w:rsid w:val="0030005C"/>
    <w:rsid w:val="003000F7"/>
    <w:rsid w:val="003000FB"/>
    <w:rsid w:val="00300109"/>
    <w:rsid w:val="003001A4"/>
    <w:rsid w:val="00300229"/>
    <w:rsid w:val="0030023F"/>
    <w:rsid w:val="00300258"/>
    <w:rsid w:val="00300264"/>
    <w:rsid w:val="00300270"/>
    <w:rsid w:val="0030027C"/>
    <w:rsid w:val="003002AF"/>
    <w:rsid w:val="003002BE"/>
    <w:rsid w:val="003002CA"/>
    <w:rsid w:val="0030030C"/>
    <w:rsid w:val="0030031E"/>
    <w:rsid w:val="0030032C"/>
    <w:rsid w:val="00300394"/>
    <w:rsid w:val="0030039A"/>
    <w:rsid w:val="00300442"/>
    <w:rsid w:val="00300445"/>
    <w:rsid w:val="0030045F"/>
    <w:rsid w:val="00300460"/>
    <w:rsid w:val="00300474"/>
    <w:rsid w:val="0030049A"/>
    <w:rsid w:val="00300534"/>
    <w:rsid w:val="00300572"/>
    <w:rsid w:val="003005A3"/>
    <w:rsid w:val="003005D5"/>
    <w:rsid w:val="00300674"/>
    <w:rsid w:val="003006CE"/>
    <w:rsid w:val="00300713"/>
    <w:rsid w:val="0030072B"/>
    <w:rsid w:val="0030077D"/>
    <w:rsid w:val="003007FF"/>
    <w:rsid w:val="00300809"/>
    <w:rsid w:val="00300858"/>
    <w:rsid w:val="0030085B"/>
    <w:rsid w:val="00300887"/>
    <w:rsid w:val="00300890"/>
    <w:rsid w:val="003008D7"/>
    <w:rsid w:val="00300999"/>
    <w:rsid w:val="003009F4"/>
    <w:rsid w:val="00300A16"/>
    <w:rsid w:val="00300A19"/>
    <w:rsid w:val="00300A39"/>
    <w:rsid w:val="00300A45"/>
    <w:rsid w:val="00300A8F"/>
    <w:rsid w:val="00300AB7"/>
    <w:rsid w:val="00300ABF"/>
    <w:rsid w:val="00300AC0"/>
    <w:rsid w:val="00300AD3"/>
    <w:rsid w:val="00300B5C"/>
    <w:rsid w:val="00300BC0"/>
    <w:rsid w:val="00300BC8"/>
    <w:rsid w:val="00300BFE"/>
    <w:rsid w:val="00300C06"/>
    <w:rsid w:val="00300C13"/>
    <w:rsid w:val="00300C5B"/>
    <w:rsid w:val="00300C5F"/>
    <w:rsid w:val="00300C77"/>
    <w:rsid w:val="00300C7E"/>
    <w:rsid w:val="00300CC1"/>
    <w:rsid w:val="00300CDD"/>
    <w:rsid w:val="00300CFB"/>
    <w:rsid w:val="00300D05"/>
    <w:rsid w:val="00300D1F"/>
    <w:rsid w:val="00300D25"/>
    <w:rsid w:val="00300D68"/>
    <w:rsid w:val="00300DE9"/>
    <w:rsid w:val="00300DEC"/>
    <w:rsid w:val="00300F16"/>
    <w:rsid w:val="00300F32"/>
    <w:rsid w:val="00300F71"/>
    <w:rsid w:val="00300F72"/>
    <w:rsid w:val="00300F74"/>
    <w:rsid w:val="00300FD7"/>
    <w:rsid w:val="0030105A"/>
    <w:rsid w:val="0030106F"/>
    <w:rsid w:val="00301087"/>
    <w:rsid w:val="0030111C"/>
    <w:rsid w:val="0030114D"/>
    <w:rsid w:val="00301164"/>
    <w:rsid w:val="00301188"/>
    <w:rsid w:val="003011E5"/>
    <w:rsid w:val="0030122D"/>
    <w:rsid w:val="00301235"/>
    <w:rsid w:val="00301260"/>
    <w:rsid w:val="0030126E"/>
    <w:rsid w:val="00301276"/>
    <w:rsid w:val="00301280"/>
    <w:rsid w:val="0030130B"/>
    <w:rsid w:val="00301311"/>
    <w:rsid w:val="00301319"/>
    <w:rsid w:val="0030131B"/>
    <w:rsid w:val="00301322"/>
    <w:rsid w:val="00301338"/>
    <w:rsid w:val="00301342"/>
    <w:rsid w:val="00301346"/>
    <w:rsid w:val="00301370"/>
    <w:rsid w:val="0030138A"/>
    <w:rsid w:val="003013AB"/>
    <w:rsid w:val="003013C7"/>
    <w:rsid w:val="00301482"/>
    <w:rsid w:val="003014A6"/>
    <w:rsid w:val="003014B1"/>
    <w:rsid w:val="003014CC"/>
    <w:rsid w:val="003014E7"/>
    <w:rsid w:val="0030150F"/>
    <w:rsid w:val="0030151D"/>
    <w:rsid w:val="00301529"/>
    <w:rsid w:val="00301535"/>
    <w:rsid w:val="003015AC"/>
    <w:rsid w:val="003015E8"/>
    <w:rsid w:val="003015F1"/>
    <w:rsid w:val="00301662"/>
    <w:rsid w:val="003016CB"/>
    <w:rsid w:val="003016D1"/>
    <w:rsid w:val="003016DB"/>
    <w:rsid w:val="0030171D"/>
    <w:rsid w:val="00301739"/>
    <w:rsid w:val="00301755"/>
    <w:rsid w:val="0030179E"/>
    <w:rsid w:val="003017A9"/>
    <w:rsid w:val="00301801"/>
    <w:rsid w:val="0030180C"/>
    <w:rsid w:val="0030180E"/>
    <w:rsid w:val="00301816"/>
    <w:rsid w:val="00301821"/>
    <w:rsid w:val="0030184A"/>
    <w:rsid w:val="003018AE"/>
    <w:rsid w:val="003018FF"/>
    <w:rsid w:val="0030190A"/>
    <w:rsid w:val="0030190E"/>
    <w:rsid w:val="00301966"/>
    <w:rsid w:val="0030196F"/>
    <w:rsid w:val="00301981"/>
    <w:rsid w:val="003019A9"/>
    <w:rsid w:val="003019FA"/>
    <w:rsid w:val="00301A26"/>
    <w:rsid w:val="00301A31"/>
    <w:rsid w:val="00301A9C"/>
    <w:rsid w:val="00301AF1"/>
    <w:rsid w:val="00301B11"/>
    <w:rsid w:val="00301B2C"/>
    <w:rsid w:val="00301B4E"/>
    <w:rsid w:val="00301B5B"/>
    <w:rsid w:val="00301B67"/>
    <w:rsid w:val="00301B81"/>
    <w:rsid w:val="00301BEC"/>
    <w:rsid w:val="00301C39"/>
    <w:rsid w:val="00301C3E"/>
    <w:rsid w:val="00301C4B"/>
    <w:rsid w:val="00301C6B"/>
    <w:rsid w:val="00301C84"/>
    <w:rsid w:val="00301CA7"/>
    <w:rsid w:val="00301D01"/>
    <w:rsid w:val="00301D25"/>
    <w:rsid w:val="00301E1D"/>
    <w:rsid w:val="00301E41"/>
    <w:rsid w:val="00301F0E"/>
    <w:rsid w:val="00301FA3"/>
    <w:rsid w:val="00301FDC"/>
    <w:rsid w:val="00301FFC"/>
    <w:rsid w:val="00302016"/>
    <w:rsid w:val="00302032"/>
    <w:rsid w:val="0030204A"/>
    <w:rsid w:val="003020B9"/>
    <w:rsid w:val="003020CD"/>
    <w:rsid w:val="003020CE"/>
    <w:rsid w:val="003020E9"/>
    <w:rsid w:val="003020F1"/>
    <w:rsid w:val="0030212E"/>
    <w:rsid w:val="00302154"/>
    <w:rsid w:val="00302188"/>
    <w:rsid w:val="0030218C"/>
    <w:rsid w:val="003021F9"/>
    <w:rsid w:val="0030220F"/>
    <w:rsid w:val="0030225D"/>
    <w:rsid w:val="003022A5"/>
    <w:rsid w:val="003022FC"/>
    <w:rsid w:val="00302300"/>
    <w:rsid w:val="003023D3"/>
    <w:rsid w:val="0030240B"/>
    <w:rsid w:val="003024C5"/>
    <w:rsid w:val="003024E3"/>
    <w:rsid w:val="003024ED"/>
    <w:rsid w:val="00302507"/>
    <w:rsid w:val="0030251F"/>
    <w:rsid w:val="00302530"/>
    <w:rsid w:val="003025B5"/>
    <w:rsid w:val="0030260D"/>
    <w:rsid w:val="00302641"/>
    <w:rsid w:val="00302663"/>
    <w:rsid w:val="0030269B"/>
    <w:rsid w:val="003026B0"/>
    <w:rsid w:val="0030273C"/>
    <w:rsid w:val="00302756"/>
    <w:rsid w:val="00302896"/>
    <w:rsid w:val="003028CE"/>
    <w:rsid w:val="0030297E"/>
    <w:rsid w:val="00302995"/>
    <w:rsid w:val="003029BE"/>
    <w:rsid w:val="003029CB"/>
    <w:rsid w:val="003029DC"/>
    <w:rsid w:val="003029EA"/>
    <w:rsid w:val="00302A05"/>
    <w:rsid w:val="00302A6B"/>
    <w:rsid w:val="00302A72"/>
    <w:rsid w:val="00302A75"/>
    <w:rsid w:val="00302A9C"/>
    <w:rsid w:val="00302AE1"/>
    <w:rsid w:val="00302AE7"/>
    <w:rsid w:val="00302AFB"/>
    <w:rsid w:val="00302B08"/>
    <w:rsid w:val="00302B33"/>
    <w:rsid w:val="00302B43"/>
    <w:rsid w:val="00302B45"/>
    <w:rsid w:val="00302BA5"/>
    <w:rsid w:val="00302BD0"/>
    <w:rsid w:val="00302BEF"/>
    <w:rsid w:val="00302C00"/>
    <w:rsid w:val="00302C0A"/>
    <w:rsid w:val="00302C40"/>
    <w:rsid w:val="00302C6A"/>
    <w:rsid w:val="00302C73"/>
    <w:rsid w:val="00302C89"/>
    <w:rsid w:val="00302D12"/>
    <w:rsid w:val="00302D3A"/>
    <w:rsid w:val="00302D8A"/>
    <w:rsid w:val="00302D8C"/>
    <w:rsid w:val="00302DA6"/>
    <w:rsid w:val="00302DA7"/>
    <w:rsid w:val="00302DAF"/>
    <w:rsid w:val="00302DB0"/>
    <w:rsid w:val="00302DDD"/>
    <w:rsid w:val="00302E18"/>
    <w:rsid w:val="00302E71"/>
    <w:rsid w:val="00302E77"/>
    <w:rsid w:val="00302E8A"/>
    <w:rsid w:val="00302ECA"/>
    <w:rsid w:val="00302F03"/>
    <w:rsid w:val="00302F25"/>
    <w:rsid w:val="00302FCD"/>
    <w:rsid w:val="00302FEF"/>
    <w:rsid w:val="0030308F"/>
    <w:rsid w:val="003030B3"/>
    <w:rsid w:val="00303160"/>
    <w:rsid w:val="00303165"/>
    <w:rsid w:val="003031A2"/>
    <w:rsid w:val="0030323C"/>
    <w:rsid w:val="00303249"/>
    <w:rsid w:val="003032FB"/>
    <w:rsid w:val="00303341"/>
    <w:rsid w:val="00303361"/>
    <w:rsid w:val="0030336F"/>
    <w:rsid w:val="0030340A"/>
    <w:rsid w:val="00303476"/>
    <w:rsid w:val="00303488"/>
    <w:rsid w:val="0030352E"/>
    <w:rsid w:val="00303553"/>
    <w:rsid w:val="00303555"/>
    <w:rsid w:val="00303584"/>
    <w:rsid w:val="003035C2"/>
    <w:rsid w:val="003035C5"/>
    <w:rsid w:val="003035CB"/>
    <w:rsid w:val="003035D8"/>
    <w:rsid w:val="00303668"/>
    <w:rsid w:val="00303669"/>
    <w:rsid w:val="0030367E"/>
    <w:rsid w:val="00303696"/>
    <w:rsid w:val="003036A9"/>
    <w:rsid w:val="003036CF"/>
    <w:rsid w:val="00303717"/>
    <w:rsid w:val="00303736"/>
    <w:rsid w:val="00303773"/>
    <w:rsid w:val="0030377D"/>
    <w:rsid w:val="003037A8"/>
    <w:rsid w:val="003037D6"/>
    <w:rsid w:val="0030380C"/>
    <w:rsid w:val="00303823"/>
    <w:rsid w:val="00303827"/>
    <w:rsid w:val="00303833"/>
    <w:rsid w:val="0030386F"/>
    <w:rsid w:val="003038CC"/>
    <w:rsid w:val="003038DE"/>
    <w:rsid w:val="00303993"/>
    <w:rsid w:val="003039AE"/>
    <w:rsid w:val="00303A0B"/>
    <w:rsid w:val="00303A7D"/>
    <w:rsid w:val="00303A7E"/>
    <w:rsid w:val="00303A85"/>
    <w:rsid w:val="00303A86"/>
    <w:rsid w:val="00303ABC"/>
    <w:rsid w:val="00303AF5"/>
    <w:rsid w:val="00303B87"/>
    <w:rsid w:val="00303B9B"/>
    <w:rsid w:val="00303BDB"/>
    <w:rsid w:val="00303BE5"/>
    <w:rsid w:val="00303C4E"/>
    <w:rsid w:val="00303CF5"/>
    <w:rsid w:val="00303D42"/>
    <w:rsid w:val="00303D47"/>
    <w:rsid w:val="00303D56"/>
    <w:rsid w:val="00303D67"/>
    <w:rsid w:val="00303D97"/>
    <w:rsid w:val="00303DFE"/>
    <w:rsid w:val="00303F08"/>
    <w:rsid w:val="00303F19"/>
    <w:rsid w:val="00303F4B"/>
    <w:rsid w:val="00303FA6"/>
    <w:rsid w:val="00303FA8"/>
    <w:rsid w:val="00303FDE"/>
    <w:rsid w:val="00303FE5"/>
    <w:rsid w:val="0030400D"/>
    <w:rsid w:val="00304061"/>
    <w:rsid w:val="00304069"/>
    <w:rsid w:val="0030407F"/>
    <w:rsid w:val="00304086"/>
    <w:rsid w:val="003040E3"/>
    <w:rsid w:val="003040EB"/>
    <w:rsid w:val="0030410E"/>
    <w:rsid w:val="00304121"/>
    <w:rsid w:val="00304142"/>
    <w:rsid w:val="00304168"/>
    <w:rsid w:val="00304176"/>
    <w:rsid w:val="00304253"/>
    <w:rsid w:val="00304277"/>
    <w:rsid w:val="00304296"/>
    <w:rsid w:val="003042AA"/>
    <w:rsid w:val="003042DB"/>
    <w:rsid w:val="003042FE"/>
    <w:rsid w:val="0030437B"/>
    <w:rsid w:val="003043A3"/>
    <w:rsid w:val="00304427"/>
    <w:rsid w:val="0030446E"/>
    <w:rsid w:val="0030446F"/>
    <w:rsid w:val="003044A1"/>
    <w:rsid w:val="003044B6"/>
    <w:rsid w:val="003044E0"/>
    <w:rsid w:val="00304516"/>
    <w:rsid w:val="0030453E"/>
    <w:rsid w:val="00304546"/>
    <w:rsid w:val="0030454B"/>
    <w:rsid w:val="003045F1"/>
    <w:rsid w:val="00304646"/>
    <w:rsid w:val="0030465F"/>
    <w:rsid w:val="00304694"/>
    <w:rsid w:val="003046A4"/>
    <w:rsid w:val="003046F9"/>
    <w:rsid w:val="00304715"/>
    <w:rsid w:val="00304720"/>
    <w:rsid w:val="0030478B"/>
    <w:rsid w:val="003047C0"/>
    <w:rsid w:val="0030488B"/>
    <w:rsid w:val="003048BD"/>
    <w:rsid w:val="003048D4"/>
    <w:rsid w:val="003048E5"/>
    <w:rsid w:val="003048FD"/>
    <w:rsid w:val="00304933"/>
    <w:rsid w:val="00304958"/>
    <w:rsid w:val="00304972"/>
    <w:rsid w:val="00304979"/>
    <w:rsid w:val="00304A22"/>
    <w:rsid w:val="00304A9F"/>
    <w:rsid w:val="00304AD4"/>
    <w:rsid w:val="00304AED"/>
    <w:rsid w:val="00304AFA"/>
    <w:rsid w:val="00304B15"/>
    <w:rsid w:val="00304BAA"/>
    <w:rsid w:val="00304BD8"/>
    <w:rsid w:val="00304C0C"/>
    <w:rsid w:val="00304CB7"/>
    <w:rsid w:val="00304CC7"/>
    <w:rsid w:val="00304CDE"/>
    <w:rsid w:val="00304D0C"/>
    <w:rsid w:val="00304D38"/>
    <w:rsid w:val="00304D4C"/>
    <w:rsid w:val="00304DE7"/>
    <w:rsid w:val="00304DF0"/>
    <w:rsid w:val="00304E06"/>
    <w:rsid w:val="00304E0B"/>
    <w:rsid w:val="00304E21"/>
    <w:rsid w:val="00304E26"/>
    <w:rsid w:val="00304E78"/>
    <w:rsid w:val="00304E92"/>
    <w:rsid w:val="00304F04"/>
    <w:rsid w:val="00304F1C"/>
    <w:rsid w:val="00304FAD"/>
    <w:rsid w:val="00304FCF"/>
    <w:rsid w:val="003050BF"/>
    <w:rsid w:val="003051A0"/>
    <w:rsid w:val="00305206"/>
    <w:rsid w:val="0030520F"/>
    <w:rsid w:val="003052B2"/>
    <w:rsid w:val="00305301"/>
    <w:rsid w:val="00305360"/>
    <w:rsid w:val="00305361"/>
    <w:rsid w:val="003053BA"/>
    <w:rsid w:val="003053C9"/>
    <w:rsid w:val="003053D1"/>
    <w:rsid w:val="0030541D"/>
    <w:rsid w:val="00305445"/>
    <w:rsid w:val="00305458"/>
    <w:rsid w:val="003054BD"/>
    <w:rsid w:val="00305527"/>
    <w:rsid w:val="0030552C"/>
    <w:rsid w:val="00305599"/>
    <w:rsid w:val="003055A1"/>
    <w:rsid w:val="003055E8"/>
    <w:rsid w:val="00305608"/>
    <w:rsid w:val="0030560A"/>
    <w:rsid w:val="00305665"/>
    <w:rsid w:val="00305686"/>
    <w:rsid w:val="003056A2"/>
    <w:rsid w:val="003056F6"/>
    <w:rsid w:val="00305711"/>
    <w:rsid w:val="00305730"/>
    <w:rsid w:val="0030573D"/>
    <w:rsid w:val="0030576D"/>
    <w:rsid w:val="0030579B"/>
    <w:rsid w:val="003057C5"/>
    <w:rsid w:val="003057DC"/>
    <w:rsid w:val="003057E8"/>
    <w:rsid w:val="003058D8"/>
    <w:rsid w:val="003058F5"/>
    <w:rsid w:val="003058FA"/>
    <w:rsid w:val="00305948"/>
    <w:rsid w:val="0030594B"/>
    <w:rsid w:val="00305950"/>
    <w:rsid w:val="00305954"/>
    <w:rsid w:val="00305963"/>
    <w:rsid w:val="00305980"/>
    <w:rsid w:val="00305990"/>
    <w:rsid w:val="003059A6"/>
    <w:rsid w:val="003059C1"/>
    <w:rsid w:val="003059E4"/>
    <w:rsid w:val="00305A74"/>
    <w:rsid w:val="00305A7F"/>
    <w:rsid w:val="00305A84"/>
    <w:rsid w:val="00305AC2"/>
    <w:rsid w:val="00305AC6"/>
    <w:rsid w:val="00305AF9"/>
    <w:rsid w:val="00305AFD"/>
    <w:rsid w:val="00305B02"/>
    <w:rsid w:val="00305BAD"/>
    <w:rsid w:val="00305BEA"/>
    <w:rsid w:val="00305BEB"/>
    <w:rsid w:val="00305BF5"/>
    <w:rsid w:val="00305C05"/>
    <w:rsid w:val="00305C53"/>
    <w:rsid w:val="00305CAF"/>
    <w:rsid w:val="00305CB2"/>
    <w:rsid w:val="00305D85"/>
    <w:rsid w:val="00305D8A"/>
    <w:rsid w:val="00305DBB"/>
    <w:rsid w:val="00305DBE"/>
    <w:rsid w:val="00305DBF"/>
    <w:rsid w:val="00305DE5"/>
    <w:rsid w:val="00305E6B"/>
    <w:rsid w:val="00305F1B"/>
    <w:rsid w:val="00305F62"/>
    <w:rsid w:val="00305F68"/>
    <w:rsid w:val="00305F85"/>
    <w:rsid w:val="00305FAA"/>
    <w:rsid w:val="00305FAD"/>
    <w:rsid w:val="00305FE4"/>
    <w:rsid w:val="00306041"/>
    <w:rsid w:val="00306042"/>
    <w:rsid w:val="00306048"/>
    <w:rsid w:val="00306092"/>
    <w:rsid w:val="003060BF"/>
    <w:rsid w:val="003060C3"/>
    <w:rsid w:val="003060DB"/>
    <w:rsid w:val="003060DE"/>
    <w:rsid w:val="003060E3"/>
    <w:rsid w:val="00306111"/>
    <w:rsid w:val="00306128"/>
    <w:rsid w:val="0030614A"/>
    <w:rsid w:val="00306160"/>
    <w:rsid w:val="0030616A"/>
    <w:rsid w:val="003061AA"/>
    <w:rsid w:val="00306247"/>
    <w:rsid w:val="0030627B"/>
    <w:rsid w:val="0030627C"/>
    <w:rsid w:val="003062D3"/>
    <w:rsid w:val="003062DE"/>
    <w:rsid w:val="003062FE"/>
    <w:rsid w:val="00306312"/>
    <w:rsid w:val="00306341"/>
    <w:rsid w:val="0030634E"/>
    <w:rsid w:val="00306355"/>
    <w:rsid w:val="00306361"/>
    <w:rsid w:val="0030636E"/>
    <w:rsid w:val="00306377"/>
    <w:rsid w:val="003063C4"/>
    <w:rsid w:val="003063CC"/>
    <w:rsid w:val="003063D1"/>
    <w:rsid w:val="00306488"/>
    <w:rsid w:val="00306499"/>
    <w:rsid w:val="00306545"/>
    <w:rsid w:val="00306551"/>
    <w:rsid w:val="00306566"/>
    <w:rsid w:val="00306588"/>
    <w:rsid w:val="00306590"/>
    <w:rsid w:val="003065BB"/>
    <w:rsid w:val="003065EA"/>
    <w:rsid w:val="0030665E"/>
    <w:rsid w:val="003066B4"/>
    <w:rsid w:val="003066BF"/>
    <w:rsid w:val="003066E3"/>
    <w:rsid w:val="0030672C"/>
    <w:rsid w:val="0030678C"/>
    <w:rsid w:val="0030678E"/>
    <w:rsid w:val="00306796"/>
    <w:rsid w:val="003067AA"/>
    <w:rsid w:val="003067DC"/>
    <w:rsid w:val="0030684B"/>
    <w:rsid w:val="0030686A"/>
    <w:rsid w:val="00306894"/>
    <w:rsid w:val="003068A5"/>
    <w:rsid w:val="003068C9"/>
    <w:rsid w:val="003068FD"/>
    <w:rsid w:val="00306900"/>
    <w:rsid w:val="0030696B"/>
    <w:rsid w:val="0030696F"/>
    <w:rsid w:val="003069A6"/>
    <w:rsid w:val="003069AE"/>
    <w:rsid w:val="003069D7"/>
    <w:rsid w:val="003069F2"/>
    <w:rsid w:val="00306A28"/>
    <w:rsid w:val="00306A78"/>
    <w:rsid w:val="00306AF6"/>
    <w:rsid w:val="00306B15"/>
    <w:rsid w:val="00306B8A"/>
    <w:rsid w:val="00306BB1"/>
    <w:rsid w:val="00306BB4"/>
    <w:rsid w:val="00306BB5"/>
    <w:rsid w:val="00306C09"/>
    <w:rsid w:val="00306C4E"/>
    <w:rsid w:val="00306C5E"/>
    <w:rsid w:val="00306CAD"/>
    <w:rsid w:val="00306CC6"/>
    <w:rsid w:val="00306CDA"/>
    <w:rsid w:val="00306CDC"/>
    <w:rsid w:val="00306D3A"/>
    <w:rsid w:val="00306D3D"/>
    <w:rsid w:val="00306D8D"/>
    <w:rsid w:val="00306DE4"/>
    <w:rsid w:val="00306E2B"/>
    <w:rsid w:val="00306E32"/>
    <w:rsid w:val="00306E5C"/>
    <w:rsid w:val="00306E7A"/>
    <w:rsid w:val="00306EDE"/>
    <w:rsid w:val="00306F1F"/>
    <w:rsid w:val="00306F3E"/>
    <w:rsid w:val="00306F74"/>
    <w:rsid w:val="00306F9A"/>
    <w:rsid w:val="00306FA0"/>
    <w:rsid w:val="00306FB2"/>
    <w:rsid w:val="00306FDD"/>
    <w:rsid w:val="00306FF3"/>
    <w:rsid w:val="0030705F"/>
    <w:rsid w:val="00307072"/>
    <w:rsid w:val="003070DD"/>
    <w:rsid w:val="00307110"/>
    <w:rsid w:val="0030713B"/>
    <w:rsid w:val="00307140"/>
    <w:rsid w:val="0030714A"/>
    <w:rsid w:val="003071B2"/>
    <w:rsid w:val="003071E0"/>
    <w:rsid w:val="003071F6"/>
    <w:rsid w:val="003071F9"/>
    <w:rsid w:val="00307230"/>
    <w:rsid w:val="00307281"/>
    <w:rsid w:val="00307293"/>
    <w:rsid w:val="0030729C"/>
    <w:rsid w:val="0030731A"/>
    <w:rsid w:val="00307396"/>
    <w:rsid w:val="0030739B"/>
    <w:rsid w:val="003073DD"/>
    <w:rsid w:val="003073DE"/>
    <w:rsid w:val="00307409"/>
    <w:rsid w:val="0030740C"/>
    <w:rsid w:val="00307444"/>
    <w:rsid w:val="00307479"/>
    <w:rsid w:val="003074F8"/>
    <w:rsid w:val="00307534"/>
    <w:rsid w:val="003075A9"/>
    <w:rsid w:val="003075ED"/>
    <w:rsid w:val="00307609"/>
    <w:rsid w:val="0030763E"/>
    <w:rsid w:val="00307655"/>
    <w:rsid w:val="003076AC"/>
    <w:rsid w:val="003076B6"/>
    <w:rsid w:val="003076DA"/>
    <w:rsid w:val="003076E1"/>
    <w:rsid w:val="003076E7"/>
    <w:rsid w:val="00307745"/>
    <w:rsid w:val="00307799"/>
    <w:rsid w:val="003077C8"/>
    <w:rsid w:val="003077F0"/>
    <w:rsid w:val="00307830"/>
    <w:rsid w:val="00307897"/>
    <w:rsid w:val="003078AD"/>
    <w:rsid w:val="003079AA"/>
    <w:rsid w:val="003079B0"/>
    <w:rsid w:val="003079CC"/>
    <w:rsid w:val="00307A82"/>
    <w:rsid w:val="00307AB1"/>
    <w:rsid w:val="00307B26"/>
    <w:rsid w:val="00307B6D"/>
    <w:rsid w:val="00307B7A"/>
    <w:rsid w:val="00307BA2"/>
    <w:rsid w:val="00307C4F"/>
    <w:rsid w:val="00307CA4"/>
    <w:rsid w:val="00307CE7"/>
    <w:rsid w:val="00307D09"/>
    <w:rsid w:val="00307D27"/>
    <w:rsid w:val="00307D2A"/>
    <w:rsid w:val="00307D5D"/>
    <w:rsid w:val="00307D71"/>
    <w:rsid w:val="00307E1E"/>
    <w:rsid w:val="00307E59"/>
    <w:rsid w:val="00307E79"/>
    <w:rsid w:val="00307EC0"/>
    <w:rsid w:val="00307EE8"/>
    <w:rsid w:val="00307F01"/>
    <w:rsid w:val="00307F51"/>
    <w:rsid w:val="00307F94"/>
    <w:rsid w:val="00307FDF"/>
    <w:rsid w:val="00307FF2"/>
    <w:rsid w:val="0031003F"/>
    <w:rsid w:val="00310073"/>
    <w:rsid w:val="00310079"/>
    <w:rsid w:val="0031007E"/>
    <w:rsid w:val="003100A0"/>
    <w:rsid w:val="003100EA"/>
    <w:rsid w:val="00310155"/>
    <w:rsid w:val="0031015A"/>
    <w:rsid w:val="0031015C"/>
    <w:rsid w:val="00310193"/>
    <w:rsid w:val="0031024C"/>
    <w:rsid w:val="0031029D"/>
    <w:rsid w:val="0031030A"/>
    <w:rsid w:val="00310334"/>
    <w:rsid w:val="00310358"/>
    <w:rsid w:val="003103E3"/>
    <w:rsid w:val="003103EA"/>
    <w:rsid w:val="003103FD"/>
    <w:rsid w:val="00310435"/>
    <w:rsid w:val="00310461"/>
    <w:rsid w:val="003104AC"/>
    <w:rsid w:val="003104B4"/>
    <w:rsid w:val="003104DE"/>
    <w:rsid w:val="0031051F"/>
    <w:rsid w:val="00310536"/>
    <w:rsid w:val="0031056F"/>
    <w:rsid w:val="0031060C"/>
    <w:rsid w:val="00310610"/>
    <w:rsid w:val="0031065C"/>
    <w:rsid w:val="00310679"/>
    <w:rsid w:val="00310714"/>
    <w:rsid w:val="0031078C"/>
    <w:rsid w:val="003107AC"/>
    <w:rsid w:val="00310878"/>
    <w:rsid w:val="0031087C"/>
    <w:rsid w:val="003108B9"/>
    <w:rsid w:val="00310904"/>
    <w:rsid w:val="00310908"/>
    <w:rsid w:val="0031092C"/>
    <w:rsid w:val="0031097D"/>
    <w:rsid w:val="00310987"/>
    <w:rsid w:val="003109AF"/>
    <w:rsid w:val="003109B8"/>
    <w:rsid w:val="003109FC"/>
    <w:rsid w:val="00310A8A"/>
    <w:rsid w:val="00310A8F"/>
    <w:rsid w:val="00310AC4"/>
    <w:rsid w:val="00310AEC"/>
    <w:rsid w:val="00310B35"/>
    <w:rsid w:val="00310B73"/>
    <w:rsid w:val="00310BC6"/>
    <w:rsid w:val="00310BFC"/>
    <w:rsid w:val="00310C2B"/>
    <w:rsid w:val="00310C38"/>
    <w:rsid w:val="00310C7B"/>
    <w:rsid w:val="00310C83"/>
    <w:rsid w:val="00310CF4"/>
    <w:rsid w:val="00310D10"/>
    <w:rsid w:val="00310D5A"/>
    <w:rsid w:val="00310D77"/>
    <w:rsid w:val="00310DC1"/>
    <w:rsid w:val="00310DCE"/>
    <w:rsid w:val="00310E46"/>
    <w:rsid w:val="00310E48"/>
    <w:rsid w:val="00310E7B"/>
    <w:rsid w:val="00310E80"/>
    <w:rsid w:val="00310E89"/>
    <w:rsid w:val="00310EEB"/>
    <w:rsid w:val="00310F23"/>
    <w:rsid w:val="00310F3A"/>
    <w:rsid w:val="00310F4C"/>
    <w:rsid w:val="00310FF0"/>
    <w:rsid w:val="00311055"/>
    <w:rsid w:val="00311057"/>
    <w:rsid w:val="00311079"/>
    <w:rsid w:val="003110A5"/>
    <w:rsid w:val="003110AB"/>
    <w:rsid w:val="003110FD"/>
    <w:rsid w:val="0031125B"/>
    <w:rsid w:val="00311297"/>
    <w:rsid w:val="0031129E"/>
    <w:rsid w:val="003112F8"/>
    <w:rsid w:val="0031137E"/>
    <w:rsid w:val="00311391"/>
    <w:rsid w:val="003113A3"/>
    <w:rsid w:val="003113D4"/>
    <w:rsid w:val="003113DA"/>
    <w:rsid w:val="00311410"/>
    <w:rsid w:val="00311457"/>
    <w:rsid w:val="00311491"/>
    <w:rsid w:val="0031149A"/>
    <w:rsid w:val="003114A5"/>
    <w:rsid w:val="003114AE"/>
    <w:rsid w:val="003114E5"/>
    <w:rsid w:val="003114F6"/>
    <w:rsid w:val="0031151D"/>
    <w:rsid w:val="0031154A"/>
    <w:rsid w:val="0031154E"/>
    <w:rsid w:val="0031155C"/>
    <w:rsid w:val="0031156F"/>
    <w:rsid w:val="003115CF"/>
    <w:rsid w:val="0031162D"/>
    <w:rsid w:val="00311681"/>
    <w:rsid w:val="003116D3"/>
    <w:rsid w:val="00311702"/>
    <w:rsid w:val="00311720"/>
    <w:rsid w:val="00311723"/>
    <w:rsid w:val="00311734"/>
    <w:rsid w:val="003117B5"/>
    <w:rsid w:val="003117D9"/>
    <w:rsid w:val="00311851"/>
    <w:rsid w:val="00311887"/>
    <w:rsid w:val="003118AD"/>
    <w:rsid w:val="003118C0"/>
    <w:rsid w:val="003119A4"/>
    <w:rsid w:val="00311A2A"/>
    <w:rsid w:val="00311AC9"/>
    <w:rsid w:val="00311B33"/>
    <w:rsid w:val="00311BD5"/>
    <w:rsid w:val="00311C34"/>
    <w:rsid w:val="00311C7F"/>
    <w:rsid w:val="00311D4F"/>
    <w:rsid w:val="00311D7D"/>
    <w:rsid w:val="00311D81"/>
    <w:rsid w:val="00311D85"/>
    <w:rsid w:val="00311D9F"/>
    <w:rsid w:val="00311E38"/>
    <w:rsid w:val="00311E64"/>
    <w:rsid w:val="00311E9E"/>
    <w:rsid w:val="00311EF4"/>
    <w:rsid w:val="00311F28"/>
    <w:rsid w:val="00311F43"/>
    <w:rsid w:val="00311F9C"/>
    <w:rsid w:val="00311FBF"/>
    <w:rsid w:val="00311FCF"/>
    <w:rsid w:val="00311FDD"/>
    <w:rsid w:val="0031200F"/>
    <w:rsid w:val="00312024"/>
    <w:rsid w:val="0031203F"/>
    <w:rsid w:val="0031204A"/>
    <w:rsid w:val="0031206C"/>
    <w:rsid w:val="00312090"/>
    <w:rsid w:val="003120B5"/>
    <w:rsid w:val="003120F3"/>
    <w:rsid w:val="0031211C"/>
    <w:rsid w:val="00312132"/>
    <w:rsid w:val="0031216E"/>
    <w:rsid w:val="003121FF"/>
    <w:rsid w:val="00312246"/>
    <w:rsid w:val="0031224A"/>
    <w:rsid w:val="00312279"/>
    <w:rsid w:val="003122C7"/>
    <w:rsid w:val="003122E7"/>
    <w:rsid w:val="003122F4"/>
    <w:rsid w:val="0031230F"/>
    <w:rsid w:val="00312314"/>
    <w:rsid w:val="00312323"/>
    <w:rsid w:val="0031233B"/>
    <w:rsid w:val="00312340"/>
    <w:rsid w:val="00312394"/>
    <w:rsid w:val="0031239A"/>
    <w:rsid w:val="003123AA"/>
    <w:rsid w:val="003123D1"/>
    <w:rsid w:val="003123E0"/>
    <w:rsid w:val="0031245B"/>
    <w:rsid w:val="0031249F"/>
    <w:rsid w:val="003124AB"/>
    <w:rsid w:val="00312509"/>
    <w:rsid w:val="0031251B"/>
    <w:rsid w:val="0031254B"/>
    <w:rsid w:val="00312556"/>
    <w:rsid w:val="00312578"/>
    <w:rsid w:val="00312631"/>
    <w:rsid w:val="00312668"/>
    <w:rsid w:val="003126BB"/>
    <w:rsid w:val="003126E8"/>
    <w:rsid w:val="003126EE"/>
    <w:rsid w:val="00312746"/>
    <w:rsid w:val="003127A0"/>
    <w:rsid w:val="0031281F"/>
    <w:rsid w:val="0031283C"/>
    <w:rsid w:val="00312875"/>
    <w:rsid w:val="003128CF"/>
    <w:rsid w:val="003128D3"/>
    <w:rsid w:val="003128D5"/>
    <w:rsid w:val="003128DA"/>
    <w:rsid w:val="003128E1"/>
    <w:rsid w:val="003128F7"/>
    <w:rsid w:val="00312901"/>
    <w:rsid w:val="00312987"/>
    <w:rsid w:val="00312988"/>
    <w:rsid w:val="003129EF"/>
    <w:rsid w:val="00312A11"/>
    <w:rsid w:val="00312A46"/>
    <w:rsid w:val="00312A78"/>
    <w:rsid w:val="00312A80"/>
    <w:rsid w:val="00312B07"/>
    <w:rsid w:val="00312B54"/>
    <w:rsid w:val="00312C14"/>
    <w:rsid w:val="00312C4B"/>
    <w:rsid w:val="00312C65"/>
    <w:rsid w:val="00312C7D"/>
    <w:rsid w:val="00312CAF"/>
    <w:rsid w:val="00312CBB"/>
    <w:rsid w:val="00312CCC"/>
    <w:rsid w:val="00312CD5"/>
    <w:rsid w:val="00312CE7"/>
    <w:rsid w:val="00312CFE"/>
    <w:rsid w:val="00312D1C"/>
    <w:rsid w:val="00312D2A"/>
    <w:rsid w:val="00312D41"/>
    <w:rsid w:val="00312D7F"/>
    <w:rsid w:val="00312D95"/>
    <w:rsid w:val="00312DBF"/>
    <w:rsid w:val="00312DEE"/>
    <w:rsid w:val="00312E1D"/>
    <w:rsid w:val="00312E24"/>
    <w:rsid w:val="00312E32"/>
    <w:rsid w:val="00312E36"/>
    <w:rsid w:val="00312E50"/>
    <w:rsid w:val="00312E5C"/>
    <w:rsid w:val="00312E65"/>
    <w:rsid w:val="00312EDF"/>
    <w:rsid w:val="00312F7B"/>
    <w:rsid w:val="00312FB5"/>
    <w:rsid w:val="00312FD8"/>
    <w:rsid w:val="00312FDA"/>
    <w:rsid w:val="00312FFA"/>
    <w:rsid w:val="00313022"/>
    <w:rsid w:val="00313025"/>
    <w:rsid w:val="00313097"/>
    <w:rsid w:val="003130A1"/>
    <w:rsid w:val="00313144"/>
    <w:rsid w:val="00313145"/>
    <w:rsid w:val="0031314F"/>
    <w:rsid w:val="0031319C"/>
    <w:rsid w:val="0031319D"/>
    <w:rsid w:val="003131CB"/>
    <w:rsid w:val="003131CD"/>
    <w:rsid w:val="0031321E"/>
    <w:rsid w:val="0031321F"/>
    <w:rsid w:val="00313226"/>
    <w:rsid w:val="00313254"/>
    <w:rsid w:val="00313257"/>
    <w:rsid w:val="003132A7"/>
    <w:rsid w:val="003132BB"/>
    <w:rsid w:val="00313315"/>
    <w:rsid w:val="0031332A"/>
    <w:rsid w:val="00313375"/>
    <w:rsid w:val="003133C5"/>
    <w:rsid w:val="003133CD"/>
    <w:rsid w:val="00313487"/>
    <w:rsid w:val="00313488"/>
    <w:rsid w:val="003134B6"/>
    <w:rsid w:val="003134D5"/>
    <w:rsid w:val="003134F0"/>
    <w:rsid w:val="0031350E"/>
    <w:rsid w:val="00313527"/>
    <w:rsid w:val="003135DF"/>
    <w:rsid w:val="0031360F"/>
    <w:rsid w:val="00313610"/>
    <w:rsid w:val="00313643"/>
    <w:rsid w:val="0031369A"/>
    <w:rsid w:val="003136AD"/>
    <w:rsid w:val="00313730"/>
    <w:rsid w:val="0031374A"/>
    <w:rsid w:val="0031375C"/>
    <w:rsid w:val="00313787"/>
    <w:rsid w:val="0031379E"/>
    <w:rsid w:val="003137BE"/>
    <w:rsid w:val="00313831"/>
    <w:rsid w:val="00313844"/>
    <w:rsid w:val="00313854"/>
    <w:rsid w:val="00313874"/>
    <w:rsid w:val="0031389A"/>
    <w:rsid w:val="003138A9"/>
    <w:rsid w:val="003138CE"/>
    <w:rsid w:val="003138F1"/>
    <w:rsid w:val="0031393E"/>
    <w:rsid w:val="0031395B"/>
    <w:rsid w:val="003139D2"/>
    <w:rsid w:val="00313A38"/>
    <w:rsid w:val="00313A6D"/>
    <w:rsid w:val="00313A8E"/>
    <w:rsid w:val="00313B3F"/>
    <w:rsid w:val="00313B68"/>
    <w:rsid w:val="00313B9F"/>
    <w:rsid w:val="00313BBA"/>
    <w:rsid w:val="00313BD1"/>
    <w:rsid w:val="00313BD6"/>
    <w:rsid w:val="00313BDD"/>
    <w:rsid w:val="00313BF6"/>
    <w:rsid w:val="00313C19"/>
    <w:rsid w:val="00313C1D"/>
    <w:rsid w:val="00313C1F"/>
    <w:rsid w:val="00313C3F"/>
    <w:rsid w:val="00313C55"/>
    <w:rsid w:val="00313C8E"/>
    <w:rsid w:val="00313D07"/>
    <w:rsid w:val="00313D69"/>
    <w:rsid w:val="00313DC5"/>
    <w:rsid w:val="00313DCF"/>
    <w:rsid w:val="00313DE6"/>
    <w:rsid w:val="00313E25"/>
    <w:rsid w:val="00313F28"/>
    <w:rsid w:val="00313F8E"/>
    <w:rsid w:val="00313FBF"/>
    <w:rsid w:val="00313FE3"/>
    <w:rsid w:val="00313FE4"/>
    <w:rsid w:val="00313FF7"/>
    <w:rsid w:val="00314027"/>
    <w:rsid w:val="003140AE"/>
    <w:rsid w:val="003140B6"/>
    <w:rsid w:val="003140C7"/>
    <w:rsid w:val="003140C9"/>
    <w:rsid w:val="003140D7"/>
    <w:rsid w:val="003140FA"/>
    <w:rsid w:val="003140FF"/>
    <w:rsid w:val="00314117"/>
    <w:rsid w:val="00314188"/>
    <w:rsid w:val="0031420C"/>
    <w:rsid w:val="00314225"/>
    <w:rsid w:val="00314228"/>
    <w:rsid w:val="0031423E"/>
    <w:rsid w:val="0031428C"/>
    <w:rsid w:val="003142B4"/>
    <w:rsid w:val="003142DF"/>
    <w:rsid w:val="003142EE"/>
    <w:rsid w:val="003142FE"/>
    <w:rsid w:val="00314302"/>
    <w:rsid w:val="00314329"/>
    <w:rsid w:val="0031432B"/>
    <w:rsid w:val="00314355"/>
    <w:rsid w:val="0031437D"/>
    <w:rsid w:val="00314389"/>
    <w:rsid w:val="003143B0"/>
    <w:rsid w:val="003143BE"/>
    <w:rsid w:val="00314407"/>
    <w:rsid w:val="00314415"/>
    <w:rsid w:val="00314422"/>
    <w:rsid w:val="003144BD"/>
    <w:rsid w:val="00314549"/>
    <w:rsid w:val="00314551"/>
    <w:rsid w:val="00314564"/>
    <w:rsid w:val="0031456F"/>
    <w:rsid w:val="003145A7"/>
    <w:rsid w:val="003145B7"/>
    <w:rsid w:val="003145E8"/>
    <w:rsid w:val="003146A0"/>
    <w:rsid w:val="003146A9"/>
    <w:rsid w:val="003146EB"/>
    <w:rsid w:val="0031473A"/>
    <w:rsid w:val="00314755"/>
    <w:rsid w:val="00314796"/>
    <w:rsid w:val="00314832"/>
    <w:rsid w:val="00314846"/>
    <w:rsid w:val="00314898"/>
    <w:rsid w:val="0031489E"/>
    <w:rsid w:val="003148BE"/>
    <w:rsid w:val="003148C4"/>
    <w:rsid w:val="00314964"/>
    <w:rsid w:val="00314985"/>
    <w:rsid w:val="003149DD"/>
    <w:rsid w:val="003149E7"/>
    <w:rsid w:val="00314A24"/>
    <w:rsid w:val="00314A7D"/>
    <w:rsid w:val="00314AC2"/>
    <w:rsid w:val="00314B0E"/>
    <w:rsid w:val="00314B14"/>
    <w:rsid w:val="00314B75"/>
    <w:rsid w:val="00314B8B"/>
    <w:rsid w:val="00314B9C"/>
    <w:rsid w:val="00314BA8"/>
    <w:rsid w:val="00314BD5"/>
    <w:rsid w:val="00314BEA"/>
    <w:rsid w:val="00314BEF"/>
    <w:rsid w:val="00314BFC"/>
    <w:rsid w:val="00314C3B"/>
    <w:rsid w:val="00314C52"/>
    <w:rsid w:val="00314C5D"/>
    <w:rsid w:val="00314CA9"/>
    <w:rsid w:val="00314D1A"/>
    <w:rsid w:val="00314D3E"/>
    <w:rsid w:val="00314DAA"/>
    <w:rsid w:val="00314E00"/>
    <w:rsid w:val="00314E32"/>
    <w:rsid w:val="00314E52"/>
    <w:rsid w:val="00314EDA"/>
    <w:rsid w:val="00314EE1"/>
    <w:rsid w:val="00314F27"/>
    <w:rsid w:val="00314FF7"/>
    <w:rsid w:val="00315030"/>
    <w:rsid w:val="003150A4"/>
    <w:rsid w:val="003150D1"/>
    <w:rsid w:val="003151A9"/>
    <w:rsid w:val="003151BC"/>
    <w:rsid w:val="003151DB"/>
    <w:rsid w:val="003151E1"/>
    <w:rsid w:val="00315218"/>
    <w:rsid w:val="00315249"/>
    <w:rsid w:val="003152EB"/>
    <w:rsid w:val="00315321"/>
    <w:rsid w:val="00315327"/>
    <w:rsid w:val="00315342"/>
    <w:rsid w:val="0031538A"/>
    <w:rsid w:val="0031539A"/>
    <w:rsid w:val="003153AE"/>
    <w:rsid w:val="003153EE"/>
    <w:rsid w:val="0031541C"/>
    <w:rsid w:val="003154CD"/>
    <w:rsid w:val="00315506"/>
    <w:rsid w:val="00315523"/>
    <w:rsid w:val="00315572"/>
    <w:rsid w:val="003155FF"/>
    <w:rsid w:val="0031562C"/>
    <w:rsid w:val="0031569F"/>
    <w:rsid w:val="003156C3"/>
    <w:rsid w:val="003156C6"/>
    <w:rsid w:val="003156F4"/>
    <w:rsid w:val="00315709"/>
    <w:rsid w:val="00315733"/>
    <w:rsid w:val="0031578E"/>
    <w:rsid w:val="0031579D"/>
    <w:rsid w:val="003157B9"/>
    <w:rsid w:val="003157BD"/>
    <w:rsid w:val="003157DC"/>
    <w:rsid w:val="0031586B"/>
    <w:rsid w:val="00315875"/>
    <w:rsid w:val="003158AE"/>
    <w:rsid w:val="003158B8"/>
    <w:rsid w:val="003158DF"/>
    <w:rsid w:val="00315922"/>
    <w:rsid w:val="003159C3"/>
    <w:rsid w:val="003159FF"/>
    <w:rsid w:val="00315A00"/>
    <w:rsid w:val="00315A4D"/>
    <w:rsid w:val="00315A9F"/>
    <w:rsid w:val="00315AC3"/>
    <w:rsid w:val="00315AD3"/>
    <w:rsid w:val="00315AE7"/>
    <w:rsid w:val="00315B4F"/>
    <w:rsid w:val="00315B5D"/>
    <w:rsid w:val="00315B73"/>
    <w:rsid w:val="00315C30"/>
    <w:rsid w:val="00315C32"/>
    <w:rsid w:val="00315C35"/>
    <w:rsid w:val="00315C5C"/>
    <w:rsid w:val="00315C81"/>
    <w:rsid w:val="00315CE4"/>
    <w:rsid w:val="00315D0B"/>
    <w:rsid w:val="00315DB6"/>
    <w:rsid w:val="00315DD8"/>
    <w:rsid w:val="00315DE6"/>
    <w:rsid w:val="00315E69"/>
    <w:rsid w:val="00315E73"/>
    <w:rsid w:val="00315EBD"/>
    <w:rsid w:val="00315EC2"/>
    <w:rsid w:val="00315F07"/>
    <w:rsid w:val="00315F08"/>
    <w:rsid w:val="00315F91"/>
    <w:rsid w:val="00315FAB"/>
    <w:rsid w:val="00315FB6"/>
    <w:rsid w:val="00315FD5"/>
    <w:rsid w:val="003160C7"/>
    <w:rsid w:val="00316160"/>
    <w:rsid w:val="0031616A"/>
    <w:rsid w:val="003161A6"/>
    <w:rsid w:val="003161C9"/>
    <w:rsid w:val="00316250"/>
    <w:rsid w:val="003162C4"/>
    <w:rsid w:val="003162CB"/>
    <w:rsid w:val="003162E3"/>
    <w:rsid w:val="003162FD"/>
    <w:rsid w:val="00316309"/>
    <w:rsid w:val="0031630E"/>
    <w:rsid w:val="0031632B"/>
    <w:rsid w:val="003163C9"/>
    <w:rsid w:val="00316406"/>
    <w:rsid w:val="003164E0"/>
    <w:rsid w:val="00316521"/>
    <w:rsid w:val="00316565"/>
    <w:rsid w:val="003165D1"/>
    <w:rsid w:val="00316602"/>
    <w:rsid w:val="0031674C"/>
    <w:rsid w:val="00316774"/>
    <w:rsid w:val="00316884"/>
    <w:rsid w:val="003168A7"/>
    <w:rsid w:val="003168BC"/>
    <w:rsid w:val="00316933"/>
    <w:rsid w:val="00316936"/>
    <w:rsid w:val="00316937"/>
    <w:rsid w:val="00316971"/>
    <w:rsid w:val="003169F2"/>
    <w:rsid w:val="003169F5"/>
    <w:rsid w:val="00316A79"/>
    <w:rsid w:val="00316B58"/>
    <w:rsid w:val="00316B82"/>
    <w:rsid w:val="00316BC3"/>
    <w:rsid w:val="00316BDD"/>
    <w:rsid w:val="00316BDE"/>
    <w:rsid w:val="00316BF2"/>
    <w:rsid w:val="00316C41"/>
    <w:rsid w:val="00316C45"/>
    <w:rsid w:val="00316C52"/>
    <w:rsid w:val="00316CCB"/>
    <w:rsid w:val="00316CCE"/>
    <w:rsid w:val="00316CE8"/>
    <w:rsid w:val="00316E07"/>
    <w:rsid w:val="00316E7F"/>
    <w:rsid w:val="00316E8A"/>
    <w:rsid w:val="00316EA8"/>
    <w:rsid w:val="00316EA9"/>
    <w:rsid w:val="00316EB8"/>
    <w:rsid w:val="00316EBD"/>
    <w:rsid w:val="00316EC6"/>
    <w:rsid w:val="00316EF0"/>
    <w:rsid w:val="00316F3A"/>
    <w:rsid w:val="00316F51"/>
    <w:rsid w:val="00316F64"/>
    <w:rsid w:val="00316F9B"/>
    <w:rsid w:val="00316FB6"/>
    <w:rsid w:val="00316FC4"/>
    <w:rsid w:val="00316FE1"/>
    <w:rsid w:val="00316FE9"/>
    <w:rsid w:val="0031704A"/>
    <w:rsid w:val="00317053"/>
    <w:rsid w:val="00317058"/>
    <w:rsid w:val="00317089"/>
    <w:rsid w:val="0031709D"/>
    <w:rsid w:val="003170BD"/>
    <w:rsid w:val="003170C0"/>
    <w:rsid w:val="00317119"/>
    <w:rsid w:val="0031713A"/>
    <w:rsid w:val="0031717A"/>
    <w:rsid w:val="00317195"/>
    <w:rsid w:val="0031719C"/>
    <w:rsid w:val="003171E3"/>
    <w:rsid w:val="003171E8"/>
    <w:rsid w:val="00317252"/>
    <w:rsid w:val="00317290"/>
    <w:rsid w:val="003172A1"/>
    <w:rsid w:val="003172D5"/>
    <w:rsid w:val="003172E4"/>
    <w:rsid w:val="003172FB"/>
    <w:rsid w:val="00317349"/>
    <w:rsid w:val="00317427"/>
    <w:rsid w:val="0031743D"/>
    <w:rsid w:val="0031746F"/>
    <w:rsid w:val="00317487"/>
    <w:rsid w:val="003174A6"/>
    <w:rsid w:val="003174E4"/>
    <w:rsid w:val="003174E5"/>
    <w:rsid w:val="00317520"/>
    <w:rsid w:val="0031754C"/>
    <w:rsid w:val="00317597"/>
    <w:rsid w:val="003175C7"/>
    <w:rsid w:val="003175D0"/>
    <w:rsid w:val="003175E6"/>
    <w:rsid w:val="00317606"/>
    <w:rsid w:val="00317618"/>
    <w:rsid w:val="00317641"/>
    <w:rsid w:val="0031766B"/>
    <w:rsid w:val="003176D4"/>
    <w:rsid w:val="0031773E"/>
    <w:rsid w:val="00317740"/>
    <w:rsid w:val="0031774E"/>
    <w:rsid w:val="003177E4"/>
    <w:rsid w:val="0031784A"/>
    <w:rsid w:val="00317852"/>
    <w:rsid w:val="00317883"/>
    <w:rsid w:val="003178AE"/>
    <w:rsid w:val="003178F4"/>
    <w:rsid w:val="0031793D"/>
    <w:rsid w:val="00317967"/>
    <w:rsid w:val="0031796D"/>
    <w:rsid w:val="00317971"/>
    <w:rsid w:val="0031798D"/>
    <w:rsid w:val="003179FF"/>
    <w:rsid w:val="00317A03"/>
    <w:rsid w:val="00317A22"/>
    <w:rsid w:val="00317ADD"/>
    <w:rsid w:val="00317AEE"/>
    <w:rsid w:val="00317B03"/>
    <w:rsid w:val="00317B9F"/>
    <w:rsid w:val="00317BC8"/>
    <w:rsid w:val="00317C33"/>
    <w:rsid w:val="00317C54"/>
    <w:rsid w:val="00317D58"/>
    <w:rsid w:val="00317D87"/>
    <w:rsid w:val="00317DA0"/>
    <w:rsid w:val="00317DB2"/>
    <w:rsid w:val="00317E04"/>
    <w:rsid w:val="00317EC7"/>
    <w:rsid w:val="00317EDA"/>
    <w:rsid w:val="00317F0C"/>
    <w:rsid w:val="00317F6E"/>
    <w:rsid w:val="00317FAD"/>
    <w:rsid w:val="00317FB7"/>
    <w:rsid w:val="00317FC3"/>
    <w:rsid w:val="00320007"/>
    <w:rsid w:val="00320024"/>
    <w:rsid w:val="00320037"/>
    <w:rsid w:val="0032003B"/>
    <w:rsid w:val="00320054"/>
    <w:rsid w:val="00320066"/>
    <w:rsid w:val="003200D2"/>
    <w:rsid w:val="00320221"/>
    <w:rsid w:val="00320234"/>
    <w:rsid w:val="0032024B"/>
    <w:rsid w:val="003202AC"/>
    <w:rsid w:val="003202F4"/>
    <w:rsid w:val="003202FE"/>
    <w:rsid w:val="00320369"/>
    <w:rsid w:val="003203E2"/>
    <w:rsid w:val="003204B4"/>
    <w:rsid w:val="003204EB"/>
    <w:rsid w:val="00320506"/>
    <w:rsid w:val="0032056A"/>
    <w:rsid w:val="00320582"/>
    <w:rsid w:val="003205B6"/>
    <w:rsid w:val="003205E9"/>
    <w:rsid w:val="0032061E"/>
    <w:rsid w:val="00320621"/>
    <w:rsid w:val="00320632"/>
    <w:rsid w:val="00320677"/>
    <w:rsid w:val="003206B1"/>
    <w:rsid w:val="003206F1"/>
    <w:rsid w:val="00320764"/>
    <w:rsid w:val="003207AE"/>
    <w:rsid w:val="003207C3"/>
    <w:rsid w:val="003207EF"/>
    <w:rsid w:val="003207F7"/>
    <w:rsid w:val="00320870"/>
    <w:rsid w:val="0032093B"/>
    <w:rsid w:val="0032093F"/>
    <w:rsid w:val="0032095B"/>
    <w:rsid w:val="00320984"/>
    <w:rsid w:val="003209D3"/>
    <w:rsid w:val="00320A01"/>
    <w:rsid w:val="00320A47"/>
    <w:rsid w:val="00320A65"/>
    <w:rsid w:val="00320A6D"/>
    <w:rsid w:val="00320A74"/>
    <w:rsid w:val="00320AAD"/>
    <w:rsid w:val="00320AB9"/>
    <w:rsid w:val="00320ABE"/>
    <w:rsid w:val="00320AC0"/>
    <w:rsid w:val="00320B4C"/>
    <w:rsid w:val="00320B87"/>
    <w:rsid w:val="00320BAE"/>
    <w:rsid w:val="00320BB4"/>
    <w:rsid w:val="00320C2D"/>
    <w:rsid w:val="00320C44"/>
    <w:rsid w:val="00320C49"/>
    <w:rsid w:val="00320C74"/>
    <w:rsid w:val="00320C89"/>
    <w:rsid w:val="00320CA2"/>
    <w:rsid w:val="00320CB3"/>
    <w:rsid w:val="00320D01"/>
    <w:rsid w:val="00320D2C"/>
    <w:rsid w:val="00320D6F"/>
    <w:rsid w:val="00320D71"/>
    <w:rsid w:val="00320D74"/>
    <w:rsid w:val="00320DFB"/>
    <w:rsid w:val="00320E01"/>
    <w:rsid w:val="00320EEF"/>
    <w:rsid w:val="00320F7A"/>
    <w:rsid w:val="00320F97"/>
    <w:rsid w:val="00320FFD"/>
    <w:rsid w:val="0032108D"/>
    <w:rsid w:val="003210E9"/>
    <w:rsid w:val="00321105"/>
    <w:rsid w:val="00321137"/>
    <w:rsid w:val="00321139"/>
    <w:rsid w:val="003211BA"/>
    <w:rsid w:val="0032122A"/>
    <w:rsid w:val="00321249"/>
    <w:rsid w:val="0032125C"/>
    <w:rsid w:val="00321272"/>
    <w:rsid w:val="0032127D"/>
    <w:rsid w:val="003212B7"/>
    <w:rsid w:val="0032138E"/>
    <w:rsid w:val="00321392"/>
    <w:rsid w:val="003213B1"/>
    <w:rsid w:val="003213EE"/>
    <w:rsid w:val="00321418"/>
    <w:rsid w:val="0032148E"/>
    <w:rsid w:val="00321499"/>
    <w:rsid w:val="003214A6"/>
    <w:rsid w:val="003214AF"/>
    <w:rsid w:val="003214C1"/>
    <w:rsid w:val="003214F1"/>
    <w:rsid w:val="0032150A"/>
    <w:rsid w:val="00321522"/>
    <w:rsid w:val="00321537"/>
    <w:rsid w:val="00321563"/>
    <w:rsid w:val="00321571"/>
    <w:rsid w:val="00321581"/>
    <w:rsid w:val="00321598"/>
    <w:rsid w:val="003215A6"/>
    <w:rsid w:val="003215B3"/>
    <w:rsid w:val="00321638"/>
    <w:rsid w:val="00321683"/>
    <w:rsid w:val="00321690"/>
    <w:rsid w:val="003216DA"/>
    <w:rsid w:val="003216EE"/>
    <w:rsid w:val="00321784"/>
    <w:rsid w:val="003217B0"/>
    <w:rsid w:val="003217B7"/>
    <w:rsid w:val="003217C9"/>
    <w:rsid w:val="003217F2"/>
    <w:rsid w:val="00321822"/>
    <w:rsid w:val="00321839"/>
    <w:rsid w:val="00321872"/>
    <w:rsid w:val="0032189C"/>
    <w:rsid w:val="0032189F"/>
    <w:rsid w:val="003218E7"/>
    <w:rsid w:val="003218ED"/>
    <w:rsid w:val="003218F4"/>
    <w:rsid w:val="003218F9"/>
    <w:rsid w:val="0032190F"/>
    <w:rsid w:val="00321944"/>
    <w:rsid w:val="00321971"/>
    <w:rsid w:val="00321A89"/>
    <w:rsid w:val="00321AA0"/>
    <w:rsid w:val="00321AB1"/>
    <w:rsid w:val="00321AD6"/>
    <w:rsid w:val="00321B57"/>
    <w:rsid w:val="00321B6C"/>
    <w:rsid w:val="00321B73"/>
    <w:rsid w:val="00321C2A"/>
    <w:rsid w:val="00321CA2"/>
    <w:rsid w:val="00321CB3"/>
    <w:rsid w:val="00321CDD"/>
    <w:rsid w:val="00321CF0"/>
    <w:rsid w:val="00321CF1"/>
    <w:rsid w:val="00321D12"/>
    <w:rsid w:val="00321D66"/>
    <w:rsid w:val="00321DDE"/>
    <w:rsid w:val="00321DE5"/>
    <w:rsid w:val="00321DFD"/>
    <w:rsid w:val="00321E34"/>
    <w:rsid w:val="00321E44"/>
    <w:rsid w:val="00321E50"/>
    <w:rsid w:val="00321E64"/>
    <w:rsid w:val="00321E7E"/>
    <w:rsid w:val="00321E86"/>
    <w:rsid w:val="00321EB6"/>
    <w:rsid w:val="00321F1C"/>
    <w:rsid w:val="00321F41"/>
    <w:rsid w:val="00321F98"/>
    <w:rsid w:val="00321FEA"/>
    <w:rsid w:val="00321FF4"/>
    <w:rsid w:val="00321FFC"/>
    <w:rsid w:val="0032206D"/>
    <w:rsid w:val="0032207B"/>
    <w:rsid w:val="00322119"/>
    <w:rsid w:val="00322182"/>
    <w:rsid w:val="0032218C"/>
    <w:rsid w:val="003221CE"/>
    <w:rsid w:val="003221F0"/>
    <w:rsid w:val="003221F7"/>
    <w:rsid w:val="00322225"/>
    <w:rsid w:val="00322252"/>
    <w:rsid w:val="003222A9"/>
    <w:rsid w:val="003222BF"/>
    <w:rsid w:val="00322361"/>
    <w:rsid w:val="00322390"/>
    <w:rsid w:val="00322394"/>
    <w:rsid w:val="003223CA"/>
    <w:rsid w:val="003223DD"/>
    <w:rsid w:val="00322467"/>
    <w:rsid w:val="00322471"/>
    <w:rsid w:val="0032247F"/>
    <w:rsid w:val="00322515"/>
    <w:rsid w:val="0032253F"/>
    <w:rsid w:val="00322540"/>
    <w:rsid w:val="0032258E"/>
    <w:rsid w:val="0032259F"/>
    <w:rsid w:val="00322607"/>
    <w:rsid w:val="00322670"/>
    <w:rsid w:val="0032269F"/>
    <w:rsid w:val="00322753"/>
    <w:rsid w:val="00322761"/>
    <w:rsid w:val="0032276D"/>
    <w:rsid w:val="00322865"/>
    <w:rsid w:val="003228B2"/>
    <w:rsid w:val="003228E6"/>
    <w:rsid w:val="00322904"/>
    <w:rsid w:val="00322A83"/>
    <w:rsid w:val="00322B19"/>
    <w:rsid w:val="00322B8B"/>
    <w:rsid w:val="00322BA8"/>
    <w:rsid w:val="00322BF2"/>
    <w:rsid w:val="00322C1B"/>
    <w:rsid w:val="00322C8F"/>
    <w:rsid w:val="00322CAF"/>
    <w:rsid w:val="00322D0B"/>
    <w:rsid w:val="00322D3B"/>
    <w:rsid w:val="00322DAC"/>
    <w:rsid w:val="00322DDE"/>
    <w:rsid w:val="00322DEA"/>
    <w:rsid w:val="00322E5C"/>
    <w:rsid w:val="00322EA5"/>
    <w:rsid w:val="00322F04"/>
    <w:rsid w:val="00322F3A"/>
    <w:rsid w:val="00322F4F"/>
    <w:rsid w:val="00322F6A"/>
    <w:rsid w:val="00322F8F"/>
    <w:rsid w:val="00323048"/>
    <w:rsid w:val="00323059"/>
    <w:rsid w:val="0032305D"/>
    <w:rsid w:val="00323080"/>
    <w:rsid w:val="003230AC"/>
    <w:rsid w:val="0032311C"/>
    <w:rsid w:val="00323171"/>
    <w:rsid w:val="0032323A"/>
    <w:rsid w:val="0032328F"/>
    <w:rsid w:val="003232D0"/>
    <w:rsid w:val="00323342"/>
    <w:rsid w:val="00323370"/>
    <w:rsid w:val="0032338B"/>
    <w:rsid w:val="003233CA"/>
    <w:rsid w:val="003233F4"/>
    <w:rsid w:val="00323448"/>
    <w:rsid w:val="00323449"/>
    <w:rsid w:val="0032345D"/>
    <w:rsid w:val="0032345E"/>
    <w:rsid w:val="0032347B"/>
    <w:rsid w:val="003234B2"/>
    <w:rsid w:val="003234BB"/>
    <w:rsid w:val="003234C1"/>
    <w:rsid w:val="00323502"/>
    <w:rsid w:val="0032350F"/>
    <w:rsid w:val="0032353E"/>
    <w:rsid w:val="0032356C"/>
    <w:rsid w:val="00323599"/>
    <w:rsid w:val="003235D7"/>
    <w:rsid w:val="00323624"/>
    <w:rsid w:val="00323630"/>
    <w:rsid w:val="00323631"/>
    <w:rsid w:val="00323645"/>
    <w:rsid w:val="0032367C"/>
    <w:rsid w:val="0032368C"/>
    <w:rsid w:val="00323691"/>
    <w:rsid w:val="003236BA"/>
    <w:rsid w:val="003236C9"/>
    <w:rsid w:val="003236CF"/>
    <w:rsid w:val="003236F8"/>
    <w:rsid w:val="00323775"/>
    <w:rsid w:val="0032384B"/>
    <w:rsid w:val="00323868"/>
    <w:rsid w:val="00323894"/>
    <w:rsid w:val="003238FD"/>
    <w:rsid w:val="00323914"/>
    <w:rsid w:val="00323961"/>
    <w:rsid w:val="0032397D"/>
    <w:rsid w:val="00323983"/>
    <w:rsid w:val="00323A9B"/>
    <w:rsid w:val="00323AFC"/>
    <w:rsid w:val="00323B16"/>
    <w:rsid w:val="00323B1F"/>
    <w:rsid w:val="00323B60"/>
    <w:rsid w:val="00323BDF"/>
    <w:rsid w:val="00323BF7"/>
    <w:rsid w:val="00323C78"/>
    <w:rsid w:val="00323C98"/>
    <w:rsid w:val="00323CA7"/>
    <w:rsid w:val="00323CAC"/>
    <w:rsid w:val="00323CB2"/>
    <w:rsid w:val="00323CBA"/>
    <w:rsid w:val="00323D02"/>
    <w:rsid w:val="00323D07"/>
    <w:rsid w:val="00323D7E"/>
    <w:rsid w:val="00323D8B"/>
    <w:rsid w:val="00323DA4"/>
    <w:rsid w:val="00323DA5"/>
    <w:rsid w:val="00323DBF"/>
    <w:rsid w:val="00323DD0"/>
    <w:rsid w:val="00323E20"/>
    <w:rsid w:val="00323E29"/>
    <w:rsid w:val="00323F1B"/>
    <w:rsid w:val="00323F79"/>
    <w:rsid w:val="00324067"/>
    <w:rsid w:val="00324079"/>
    <w:rsid w:val="00324091"/>
    <w:rsid w:val="0032409D"/>
    <w:rsid w:val="003240CD"/>
    <w:rsid w:val="003240D4"/>
    <w:rsid w:val="00324161"/>
    <w:rsid w:val="003241A4"/>
    <w:rsid w:val="003241C2"/>
    <w:rsid w:val="003241DB"/>
    <w:rsid w:val="003241FE"/>
    <w:rsid w:val="0032423F"/>
    <w:rsid w:val="00324240"/>
    <w:rsid w:val="00324251"/>
    <w:rsid w:val="0032429C"/>
    <w:rsid w:val="003242D1"/>
    <w:rsid w:val="0032437A"/>
    <w:rsid w:val="00324386"/>
    <w:rsid w:val="003243E9"/>
    <w:rsid w:val="00324425"/>
    <w:rsid w:val="0032447F"/>
    <w:rsid w:val="00324570"/>
    <w:rsid w:val="0032458B"/>
    <w:rsid w:val="0032458E"/>
    <w:rsid w:val="003245B1"/>
    <w:rsid w:val="0032461F"/>
    <w:rsid w:val="00324646"/>
    <w:rsid w:val="00324647"/>
    <w:rsid w:val="00324760"/>
    <w:rsid w:val="00324781"/>
    <w:rsid w:val="003247C8"/>
    <w:rsid w:val="0032482C"/>
    <w:rsid w:val="0032482D"/>
    <w:rsid w:val="00324885"/>
    <w:rsid w:val="003248B7"/>
    <w:rsid w:val="003248D5"/>
    <w:rsid w:val="003248DF"/>
    <w:rsid w:val="003248E7"/>
    <w:rsid w:val="00324956"/>
    <w:rsid w:val="003249E2"/>
    <w:rsid w:val="00324A03"/>
    <w:rsid w:val="00324A13"/>
    <w:rsid w:val="00324A32"/>
    <w:rsid w:val="00324A3E"/>
    <w:rsid w:val="00324A90"/>
    <w:rsid w:val="00324ACE"/>
    <w:rsid w:val="00324B4B"/>
    <w:rsid w:val="00324B57"/>
    <w:rsid w:val="00324B5E"/>
    <w:rsid w:val="00324B6D"/>
    <w:rsid w:val="00324B8D"/>
    <w:rsid w:val="00324BB5"/>
    <w:rsid w:val="00324BCA"/>
    <w:rsid w:val="00324C11"/>
    <w:rsid w:val="00324C71"/>
    <w:rsid w:val="00324C8B"/>
    <w:rsid w:val="00324CF9"/>
    <w:rsid w:val="00324D4E"/>
    <w:rsid w:val="00324E1A"/>
    <w:rsid w:val="00324E1C"/>
    <w:rsid w:val="00324E6E"/>
    <w:rsid w:val="00324E80"/>
    <w:rsid w:val="00324EFA"/>
    <w:rsid w:val="00324F61"/>
    <w:rsid w:val="00324F76"/>
    <w:rsid w:val="00324FD6"/>
    <w:rsid w:val="003250E0"/>
    <w:rsid w:val="003250E4"/>
    <w:rsid w:val="0032513F"/>
    <w:rsid w:val="0032514E"/>
    <w:rsid w:val="00325181"/>
    <w:rsid w:val="00325226"/>
    <w:rsid w:val="00325251"/>
    <w:rsid w:val="0032525C"/>
    <w:rsid w:val="00325282"/>
    <w:rsid w:val="003252D9"/>
    <w:rsid w:val="00325300"/>
    <w:rsid w:val="00325418"/>
    <w:rsid w:val="003254F1"/>
    <w:rsid w:val="00325508"/>
    <w:rsid w:val="00325577"/>
    <w:rsid w:val="0032557F"/>
    <w:rsid w:val="003255F6"/>
    <w:rsid w:val="00325681"/>
    <w:rsid w:val="0032568B"/>
    <w:rsid w:val="003256E4"/>
    <w:rsid w:val="003256E9"/>
    <w:rsid w:val="00325705"/>
    <w:rsid w:val="0032573D"/>
    <w:rsid w:val="00325774"/>
    <w:rsid w:val="00325779"/>
    <w:rsid w:val="003257A1"/>
    <w:rsid w:val="003257D9"/>
    <w:rsid w:val="00325804"/>
    <w:rsid w:val="0032583E"/>
    <w:rsid w:val="00325877"/>
    <w:rsid w:val="00325881"/>
    <w:rsid w:val="003258D0"/>
    <w:rsid w:val="003258F0"/>
    <w:rsid w:val="0032599A"/>
    <w:rsid w:val="003259D1"/>
    <w:rsid w:val="003259FD"/>
    <w:rsid w:val="00325A96"/>
    <w:rsid w:val="00325AA6"/>
    <w:rsid w:val="00325ADA"/>
    <w:rsid w:val="00325AE2"/>
    <w:rsid w:val="00325B07"/>
    <w:rsid w:val="00325B0F"/>
    <w:rsid w:val="00325B61"/>
    <w:rsid w:val="00325B70"/>
    <w:rsid w:val="00325B87"/>
    <w:rsid w:val="00325C04"/>
    <w:rsid w:val="00325C1A"/>
    <w:rsid w:val="00325C39"/>
    <w:rsid w:val="00325C72"/>
    <w:rsid w:val="00325C74"/>
    <w:rsid w:val="00325CC6"/>
    <w:rsid w:val="00325D1C"/>
    <w:rsid w:val="00325D44"/>
    <w:rsid w:val="00325D5D"/>
    <w:rsid w:val="00325D99"/>
    <w:rsid w:val="00325DC8"/>
    <w:rsid w:val="00325E29"/>
    <w:rsid w:val="00325E42"/>
    <w:rsid w:val="00325E54"/>
    <w:rsid w:val="00325E5A"/>
    <w:rsid w:val="00325E6C"/>
    <w:rsid w:val="00325E83"/>
    <w:rsid w:val="00325E95"/>
    <w:rsid w:val="00325ED4"/>
    <w:rsid w:val="00325EE9"/>
    <w:rsid w:val="00325F74"/>
    <w:rsid w:val="00325F8E"/>
    <w:rsid w:val="00325FB6"/>
    <w:rsid w:val="00325FEE"/>
    <w:rsid w:val="00325FFE"/>
    <w:rsid w:val="00326000"/>
    <w:rsid w:val="00326025"/>
    <w:rsid w:val="00326051"/>
    <w:rsid w:val="00326071"/>
    <w:rsid w:val="0032607D"/>
    <w:rsid w:val="0032607E"/>
    <w:rsid w:val="003260A2"/>
    <w:rsid w:val="0032621F"/>
    <w:rsid w:val="0032628B"/>
    <w:rsid w:val="003262E2"/>
    <w:rsid w:val="003262F2"/>
    <w:rsid w:val="00326320"/>
    <w:rsid w:val="00326326"/>
    <w:rsid w:val="00326362"/>
    <w:rsid w:val="0032643C"/>
    <w:rsid w:val="0032645F"/>
    <w:rsid w:val="003264B5"/>
    <w:rsid w:val="00326522"/>
    <w:rsid w:val="00326530"/>
    <w:rsid w:val="003265A5"/>
    <w:rsid w:val="003265A9"/>
    <w:rsid w:val="003265AE"/>
    <w:rsid w:val="0032660F"/>
    <w:rsid w:val="00326654"/>
    <w:rsid w:val="00326672"/>
    <w:rsid w:val="003266DC"/>
    <w:rsid w:val="0032671B"/>
    <w:rsid w:val="00326733"/>
    <w:rsid w:val="0032674F"/>
    <w:rsid w:val="003267B3"/>
    <w:rsid w:val="003267F4"/>
    <w:rsid w:val="00326800"/>
    <w:rsid w:val="00326804"/>
    <w:rsid w:val="00326859"/>
    <w:rsid w:val="00326873"/>
    <w:rsid w:val="00326897"/>
    <w:rsid w:val="003268D5"/>
    <w:rsid w:val="003268EE"/>
    <w:rsid w:val="00326975"/>
    <w:rsid w:val="00326996"/>
    <w:rsid w:val="00326A25"/>
    <w:rsid w:val="00326A43"/>
    <w:rsid w:val="00326A5B"/>
    <w:rsid w:val="00326A68"/>
    <w:rsid w:val="00326AA4"/>
    <w:rsid w:val="00326AAC"/>
    <w:rsid w:val="00326B25"/>
    <w:rsid w:val="00326BBC"/>
    <w:rsid w:val="00326BFD"/>
    <w:rsid w:val="00326C52"/>
    <w:rsid w:val="00326C65"/>
    <w:rsid w:val="00326C8F"/>
    <w:rsid w:val="00326CB6"/>
    <w:rsid w:val="00326D34"/>
    <w:rsid w:val="00326D5B"/>
    <w:rsid w:val="00326D8F"/>
    <w:rsid w:val="00326E3C"/>
    <w:rsid w:val="00326E82"/>
    <w:rsid w:val="00326E8C"/>
    <w:rsid w:val="00326E96"/>
    <w:rsid w:val="00326EA7"/>
    <w:rsid w:val="00326EC0"/>
    <w:rsid w:val="00326EF6"/>
    <w:rsid w:val="00326F7E"/>
    <w:rsid w:val="00327031"/>
    <w:rsid w:val="00327058"/>
    <w:rsid w:val="00327068"/>
    <w:rsid w:val="003270D1"/>
    <w:rsid w:val="00327102"/>
    <w:rsid w:val="00327137"/>
    <w:rsid w:val="00327148"/>
    <w:rsid w:val="003271A9"/>
    <w:rsid w:val="003271DF"/>
    <w:rsid w:val="003271FC"/>
    <w:rsid w:val="003272CE"/>
    <w:rsid w:val="003272F6"/>
    <w:rsid w:val="003272F7"/>
    <w:rsid w:val="00327324"/>
    <w:rsid w:val="00327328"/>
    <w:rsid w:val="00327356"/>
    <w:rsid w:val="003273C6"/>
    <w:rsid w:val="003273E2"/>
    <w:rsid w:val="00327465"/>
    <w:rsid w:val="00327481"/>
    <w:rsid w:val="00327525"/>
    <w:rsid w:val="00327537"/>
    <w:rsid w:val="0032755F"/>
    <w:rsid w:val="003275F0"/>
    <w:rsid w:val="00327614"/>
    <w:rsid w:val="00327636"/>
    <w:rsid w:val="00327639"/>
    <w:rsid w:val="0032764B"/>
    <w:rsid w:val="0032765C"/>
    <w:rsid w:val="003276D9"/>
    <w:rsid w:val="00327719"/>
    <w:rsid w:val="00327769"/>
    <w:rsid w:val="00327770"/>
    <w:rsid w:val="0032778B"/>
    <w:rsid w:val="00327798"/>
    <w:rsid w:val="00327799"/>
    <w:rsid w:val="003277F0"/>
    <w:rsid w:val="003277FE"/>
    <w:rsid w:val="00327800"/>
    <w:rsid w:val="00327810"/>
    <w:rsid w:val="0032783A"/>
    <w:rsid w:val="00327868"/>
    <w:rsid w:val="00327871"/>
    <w:rsid w:val="00327876"/>
    <w:rsid w:val="0032788B"/>
    <w:rsid w:val="003278C4"/>
    <w:rsid w:val="003278D0"/>
    <w:rsid w:val="0032790C"/>
    <w:rsid w:val="00327A11"/>
    <w:rsid w:val="00327A1C"/>
    <w:rsid w:val="00327A31"/>
    <w:rsid w:val="00327B01"/>
    <w:rsid w:val="00327B30"/>
    <w:rsid w:val="00327B9B"/>
    <w:rsid w:val="00327BB1"/>
    <w:rsid w:val="00327BDD"/>
    <w:rsid w:val="00327BFB"/>
    <w:rsid w:val="00327C09"/>
    <w:rsid w:val="00327C0D"/>
    <w:rsid w:val="00327C3F"/>
    <w:rsid w:val="00327C4C"/>
    <w:rsid w:val="00327C5E"/>
    <w:rsid w:val="00327C9E"/>
    <w:rsid w:val="00327CC7"/>
    <w:rsid w:val="00327D74"/>
    <w:rsid w:val="00327D76"/>
    <w:rsid w:val="00327DE6"/>
    <w:rsid w:val="00327DF2"/>
    <w:rsid w:val="00327E04"/>
    <w:rsid w:val="00327E08"/>
    <w:rsid w:val="00327E0B"/>
    <w:rsid w:val="00327E44"/>
    <w:rsid w:val="00327E94"/>
    <w:rsid w:val="00327EAD"/>
    <w:rsid w:val="00327EC4"/>
    <w:rsid w:val="00327ED8"/>
    <w:rsid w:val="00327F22"/>
    <w:rsid w:val="00327F9C"/>
    <w:rsid w:val="00327FE2"/>
    <w:rsid w:val="00330006"/>
    <w:rsid w:val="00330093"/>
    <w:rsid w:val="00330239"/>
    <w:rsid w:val="0033026E"/>
    <w:rsid w:val="0033043E"/>
    <w:rsid w:val="003304B4"/>
    <w:rsid w:val="003304DC"/>
    <w:rsid w:val="003304ED"/>
    <w:rsid w:val="003304F7"/>
    <w:rsid w:val="00330521"/>
    <w:rsid w:val="00330529"/>
    <w:rsid w:val="00330538"/>
    <w:rsid w:val="00330589"/>
    <w:rsid w:val="003305F6"/>
    <w:rsid w:val="0033064F"/>
    <w:rsid w:val="0033078B"/>
    <w:rsid w:val="003307AC"/>
    <w:rsid w:val="003307B7"/>
    <w:rsid w:val="00330814"/>
    <w:rsid w:val="00330870"/>
    <w:rsid w:val="00330A1C"/>
    <w:rsid w:val="00330B63"/>
    <w:rsid w:val="00330B6B"/>
    <w:rsid w:val="00330B6C"/>
    <w:rsid w:val="00330BE1"/>
    <w:rsid w:val="00330C09"/>
    <w:rsid w:val="00330C1C"/>
    <w:rsid w:val="00330C21"/>
    <w:rsid w:val="00330C26"/>
    <w:rsid w:val="00330C35"/>
    <w:rsid w:val="00330C56"/>
    <w:rsid w:val="00330C87"/>
    <w:rsid w:val="00330CC4"/>
    <w:rsid w:val="00330CD0"/>
    <w:rsid w:val="00330CE5"/>
    <w:rsid w:val="00330CEF"/>
    <w:rsid w:val="00330D0E"/>
    <w:rsid w:val="00330D30"/>
    <w:rsid w:val="00330D3A"/>
    <w:rsid w:val="00330DAB"/>
    <w:rsid w:val="00330DB0"/>
    <w:rsid w:val="00330E74"/>
    <w:rsid w:val="00330E94"/>
    <w:rsid w:val="00330EB6"/>
    <w:rsid w:val="00330EE5"/>
    <w:rsid w:val="00330F2C"/>
    <w:rsid w:val="00330F49"/>
    <w:rsid w:val="00330F5F"/>
    <w:rsid w:val="00330FED"/>
    <w:rsid w:val="00331010"/>
    <w:rsid w:val="0033101A"/>
    <w:rsid w:val="00331026"/>
    <w:rsid w:val="00331076"/>
    <w:rsid w:val="00331094"/>
    <w:rsid w:val="00331159"/>
    <w:rsid w:val="00331166"/>
    <w:rsid w:val="0033119B"/>
    <w:rsid w:val="003311C9"/>
    <w:rsid w:val="003311D5"/>
    <w:rsid w:val="003311F4"/>
    <w:rsid w:val="00331202"/>
    <w:rsid w:val="0033126B"/>
    <w:rsid w:val="00331362"/>
    <w:rsid w:val="00331371"/>
    <w:rsid w:val="00331390"/>
    <w:rsid w:val="003313E4"/>
    <w:rsid w:val="003313F4"/>
    <w:rsid w:val="00331443"/>
    <w:rsid w:val="00331479"/>
    <w:rsid w:val="003314A9"/>
    <w:rsid w:val="003314DE"/>
    <w:rsid w:val="003314F8"/>
    <w:rsid w:val="003315CB"/>
    <w:rsid w:val="003315E7"/>
    <w:rsid w:val="003315F9"/>
    <w:rsid w:val="0033162B"/>
    <w:rsid w:val="0033163A"/>
    <w:rsid w:val="0033163B"/>
    <w:rsid w:val="0033164B"/>
    <w:rsid w:val="0033165F"/>
    <w:rsid w:val="0033166E"/>
    <w:rsid w:val="003316F7"/>
    <w:rsid w:val="00331735"/>
    <w:rsid w:val="00331782"/>
    <w:rsid w:val="003317BC"/>
    <w:rsid w:val="003317E9"/>
    <w:rsid w:val="0033180B"/>
    <w:rsid w:val="0033180F"/>
    <w:rsid w:val="00331816"/>
    <w:rsid w:val="0033186D"/>
    <w:rsid w:val="00331904"/>
    <w:rsid w:val="0033190D"/>
    <w:rsid w:val="00331938"/>
    <w:rsid w:val="0033195D"/>
    <w:rsid w:val="0033199C"/>
    <w:rsid w:val="0033199E"/>
    <w:rsid w:val="003319B4"/>
    <w:rsid w:val="003319E6"/>
    <w:rsid w:val="00331A1E"/>
    <w:rsid w:val="00331A2A"/>
    <w:rsid w:val="00331A46"/>
    <w:rsid w:val="00331AD7"/>
    <w:rsid w:val="00331AE2"/>
    <w:rsid w:val="00331B65"/>
    <w:rsid w:val="00331B6A"/>
    <w:rsid w:val="00331B71"/>
    <w:rsid w:val="00331B7E"/>
    <w:rsid w:val="00331BCC"/>
    <w:rsid w:val="00331BFA"/>
    <w:rsid w:val="00331BFC"/>
    <w:rsid w:val="00331C01"/>
    <w:rsid w:val="00331C42"/>
    <w:rsid w:val="00331C7F"/>
    <w:rsid w:val="00331D28"/>
    <w:rsid w:val="00331D2D"/>
    <w:rsid w:val="00331D43"/>
    <w:rsid w:val="00331DA3"/>
    <w:rsid w:val="00331DBB"/>
    <w:rsid w:val="00331DF3"/>
    <w:rsid w:val="00331E1E"/>
    <w:rsid w:val="00331E1F"/>
    <w:rsid w:val="00331EC1"/>
    <w:rsid w:val="00331EFE"/>
    <w:rsid w:val="00331EFF"/>
    <w:rsid w:val="00331F0D"/>
    <w:rsid w:val="00331F13"/>
    <w:rsid w:val="00331F4B"/>
    <w:rsid w:val="00331FC2"/>
    <w:rsid w:val="00331FE0"/>
    <w:rsid w:val="00332005"/>
    <w:rsid w:val="0033200D"/>
    <w:rsid w:val="00332039"/>
    <w:rsid w:val="00332098"/>
    <w:rsid w:val="003320B2"/>
    <w:rsid w:val="003320C3"/>
    <w:rsid w:val="003320E3"/>
    <w:rsid w:val="003320F4"/>
    <w:rsid w:val="00332150"/>
    <w:rsid w:val="003321CB"/>
    <w:rsid w:val="003321D9"/>
    <w:rsid w:val="003321E2"/>
    <w:rsid w:val="003321EB"/>
    <w:rsid w:val="0033222F"/>
    <w:rsid w:val="00332240"/>
    <w:rsid w:val="0033226A"/>
    <w:rsid w:val="003322CD"/>
    <w:rsid w:val="00332330"/>
    <w:rsid w:val="0033236B"/>
    <w:rsid w:val="00332432"/>
    <w:rsid w:val="00332444"/>
    <w:rsid w:val="0033245A"/>
    <w:rsid w:val="003324CE"/>
    <w:rsid w:val="003324FA"/>
    <w:rsid w:val="00332505"/>
    <w:rsid w:val="00332548"/>
    <w:rsid w:val="0033256C"/>
    <w:rsid w:val="003325AF"/>
    <w:rsid w:val="003325C9"/>
    <w:rsid w:val="00332627"/>
    <w:rsid w:val="0033268C"/>
    <w:rsid w:val="003326FA"/>
    <w:rsid w:val="00332758"/>
    <w:rsid w:val="0033277C"/>
    <w:rsid w:val="0033278E"/>
    <w:rsid w:val="00332795"/>
    <w:rsid w:val="003327BF"/>
    <w:rsid w:val="003328A9"/>
    <w:rsid w:val="003328AE"/>
    <w:rsid w:val="003328E5"/>
    <w:rsid w:val="00332948"/>
    <w:rsid w:val="00332A41"/>
    <w:rsid w:val="00332A60"/>
    <w:rsid w:val="00332A6E"/>
    <w:rsid w:val="00332A78"/>
    <w:rsid w:val="00332ACD"/>
    <w:rsid w:val="00332ACE"/>
    <w:rsid w:val="00332AD5"/>
    <w:rsid w:val="00332ADF"/>
    <w:rsid w:val="00332B13"/>
    <w:rsid w:val="00332B26"/>
    <w:rsid w:val="00332B35"/>
    <w:rsid w:val="00332B6F"/>
    <w:rsid w:val="00332BE0"/>
    <w:rsid w:val="00332BF0"/>
    <w:rsid w:val="00332C1F"/>
    <w:rsid w:val="00332C28"/>
    <w:rsid w:val="00332C2A"/>
    <w:rsid w:val="00332C77"/>
    <w:rsid w:val="00332CB4"/>
    <w:rsid w:val="00332CC4"/>
    <w:rsid w:val="00332CD4"/>
    <w:rsid w:val="00332CEF"/>
    <w:rsid w:val="00332D1E"/>
    <w:rsid w:val="00332D30"/>
    <w:rsid w:val="00332D8E"/>
    <w:rsid w:val="00332DCB"/>
    <w:rsid w:val="00332DF6"/>
    <w:rsid w:val="00332E2C"/>
    <w:rsid w:val="00332E4F"/>
    <w:rsid w:val="00332EBA"/>
    <w:rsid w:val="00332ED2"/>
    <w:rsid w:val="00332ED7"/>
    <w:rsid w:val="00332EDF"/>
    <w:rsid w:val="00332EE5"/>
    <w:rsid w:val="00332EFD"/>
    <w:rsid w:val="00332F2A"/>
    <w:rsid w:val="00332F4E"/>
    <w:rsid w:val="00332F88"/>
    <w:rsid w:val="00332F9A"/>
    <w:rsid w:val="00332FB8"/>
    <w:rsid w:val="00332FFC"/>
    <w:rsid w:val="00332FFF"/>
    <w:rsid w:val="00333012"/>
    <w:rsid w:val="00333019"/>
    <w:rsid w:val="0033310B"/>
    <w:rsid w:val="00333111"/>
    <w:rsid w:val="00333121"/>
    <w:rsid w:val="00333151"/>
    <w:rsid w:val="00333176"/>
    <w:rsid w:val="003331D9"/>
    <w:rsid w:val="00333238"/>
    <w:rsid w:val="00333281"/>
    <w:rsid w:val="003332AF"/>
    <w:rsid w:val="003332DA"/>
    <w:rsid w:val="00333342"/>
    <w:rsid w:val="00333399"/>
    <w:rsid w:val="00333416"/>
    <w:rsid w:val="0033346D"/>
    <w:rsid w:val="003334BD"/>
    <w:rsid w:val="003334DC"/>
    <w:rsid w:val="0033350C"/>
    <w:rsid w:val="00333560"/>
    <w:rsid w:val="00333573"/>
    <w:rsid w:val="003335E8"/>
    <w:rsid w:val="003335FF"/>
    <w:rsid w:val="0033362A"/>
    <w:rsid w:val="0033367C"/>
    <w:rsid w:val="00333680"/>
    <w:rsid w:val="003336A0"/>
    <w:rsid w:val="003336C0"/>
    <w:rsid w:val="00333708"/>
    <w:rsid w:val="00333713"/>
    <w:rsid w:val="00333726"/>
    <w:rsid w:val="00333751"/>
    <w:rsid w:val="0033376A"/>
    <w:rsid w:val="00333776"/>
    <w:rsid w:val="00333778"/>
    <w:rsid w:val="003337CE"/>
    <w:rsid w:val="003337D6"/>
    <w:rsid w:val="00333822"/>
    <w:rsid w:val="0033384E"/>
    <w:rsid w:val="00333874"/>
    <w:rsid w:val="003338A8"/>
    <w:rsid w:val="003338D6"/>
    <w:rsid w:val="003338EF"/>
    <w:rsid w:val="00333973"/>
    <w:rsid w:val="003339B9"/>
    <w:rsid w:val="003339E5"/>
    <w:rsid w:val="00333A4E"/>
    <w:rsid w:val="00333A50"/>
    <w:rsid w:val="00333A64"/>
    <w:rsid w:val="00333AB7"/>
    <w:rsid w:val="00333AE6"/>
    <w:rsid w:val="00333B67"/>
    <w:rsid w:val="00333B7E"/>
    <w:rsid w:val="00333BA8"/>
    <w:rsid w:val="00333BA9"/>
    <w:rsid w:val="00333BED"/>
    <w:rsid w:val="00333CAB"/>
    <w:rsid w:val="00333CE6"/>
    <w:rsid w:val="00333CE7"/>
    <w:rsid w:val="00333CEF"/>
    <w:rsid w:val="00333D42"/>
    <w:rsid w:val="00333D90"/>
    <w:rsid w:val="00333D93"/>
    <w:rsid w:val="00333DB9"/>
    <w:rsid w:val="00333DD5"/>
    <w:rsid w:val="00333DDF"/>
    <w:rsid w:val="00333E80"/>
    <w:rsid w:val="00333EB4"/>
    <w:rsid w:val="00333EDC"/>
    <w:rsid w:val="00333F07"/>
    <w:rsid w:val="00333F83"/>
    <w:rsid w:val="00333FEB"/>
    <w:rsid w:val="0033401D"/>
    <w:rsid w:val="003340A0"/>
    <w:rsid w:val="003340B3"/>
    <w:rsid w:val="003340B8"/>
    <w:rsid w:val="003340BE"/>
    <w:rsid w:val="003340D9"/>
    <w:rsid w:val="003340E4"/>
    <w:rsid w:val="00334152"/>
    <w:rsid w:val="00334158"/>
    <w:rsid w:val="00334160"/>
    <w:rsid w:val="00334198"/>
    <w:rsid w:val="003341A6"/>
    <w:rsid w:val="003341F0"/>
    <w:rsid w:val="00334209"/>
    <w:rsid w:val="00334211"/>
    <w:rsid w:val="00334226"/>
    <w:rsid w:val="00334288"/>
    <w:rsid w:val="0033432A"/>
    <w:rsid w:val="0033432E"/>
    <w:rsid w:val="00334333"/>
    <w:rsid w:val="00334349"/>
    <w:rsid w:val="0033435F"/>
    <w:rsid w:val="0033436F"/>
    <w:rsid w:val="0033439C"/>
    <w:rsid w:val="003343BC"/>
    <w:rsid w:val="003343CD"/>
    <w:rsid w:val="003343F6"/>
    <w:rsid w:val="0033440A"/>
    <w:rsid w:val="00334418"/>
    <w:rsid w:val="0033446C"/>
    <w:rsid w:val="00334486"/>
    <w:rsid w:val="00334498"/>
    <w:rsid w:val="003344AB"/>
    <w:rsid w:val="00334523"/>
    <w:rsid w:val="0033452E"/>
    <w:rsid w:val="00334547"/>
    <w:rsid w:val="00334598"/>
    <w:rsid w:val="003345DB"/>
    <w:rsid w:val="00334606"/>
    <w:rsid w:val="00334614"/>
    <w:rsid w:val="0033461E"/>
    <w:rsid w:val="00334631"/>
    <w:rsid w:val="00334658"/>
    <w:rsid w:val="0033466C"/>
    <w:rsid w:val="0033467C"/>
    <w:rsid w:val="00334685"/>
    <w:rsid w:val="00334699"/>
    <w:rsid w:val="00334725"/>
    <w:rsid w:val="00334760"/>
    <w:rsid w:val="0033476B"/>
    <w:rsid w:val="00334776"/>
    <w:rsid w:val="00334792"/>
    <w:rsid w:val="003347A5"/>
    <w:rsid w:val="00334811"/>
    <w:rsid w:val="0033481A"/>
    <w:rsid w:val="00334871"/>
    <w:rsid w:val="00334891"/>
    <w:rsid w:val="00334907"/>
    <w:rsid w:val="0033491D"/>
    <w:rsid w:val="00334968"/>
    <w:rsid w:val="003349EF"/>
    <w:rsid w:val="00334A11"/>
    <w:rsid w:val="00334A45"/>
    <w:rsid w:val="00334A4C"/>
    <w:rsid w:val="00334A88"/>
    <w:rsid w:val="00334A94"/>
    <w:rsid w:val="00334ADE"/>
    <w:rsid w:val="00334AED"/>
    <w:rsid w:val="00334AF3"/>
    <w:rsid w:val="00334AFB"/>
    <w:rsid w:val="00334B13"/>
    <w:rsid w:val="00334B52"/>
    <w:rsid w:val="00334B78"/>
    <w:rsid w:val="00334BC5"/>
    <w:rsid w:val="00334C17"/>
    <w:rsid w:val="00334C43"/>
    <w:rsid w:val="00334C4D"/>
    <w:rsid w:val="00334C9A"/>
    <w:rsid w:val="00334D65"/>
    <w:rsid w:val="00334D8A"/>
    <w:rsid w:val="00334DCC"/>
    <w:rsid w:val="00334DE5"/>
    <w:rsid w:val="00334E5D"/>
    <w:rsid w:val="00334EDA"/>
    <w:rsid w:val="00334F04"/>
    <w:rsid w:val="00334F2F"/>
    <w:rsid w:val="00334F4B"/>
    <w:rsid w:val="00334F54"/>
    <w:rsid w:val="00334F7B"/>
    <w:rsid w:val="00334F81"/>
    <w:rsid w:val="00334FBE"/>
    <w:rsid w:val="00334FCE"/>
    <w:rsid w:val="00334FEB"/>
    <w:rsid w:val="00335072"/>
    <w:rsid w:val="0033509A"/>
    <w:rsid w:val="00335130"/>
    <w:rsid w:val="0033514B"/>
    <w:rsid w:val="0033517A"/>
    <w:rsid w:val="0033517C"/>
    <w:rsid w:val="0033523F"/>
    <w:rsid w:val="003352B4"/>
    <w:rsid w:val="003352DD"/>
    <w:rsid w:val="003352E6"/>
    <w:rsid w:val="003352EF"/>
    <w:rsid w:val="00335305"/>
    <w:rsid w:val="00335314"/>
    <w:rsid w:val="00335318"/>
    <w:rsid w:val="0033531A"/>
    <w:rsid w:val="00335323"/>
    <w:rsid w:val="00335397"/>
    <w:rsid w:val="003353E6"/>
    <w:rsid w:val="0033540E"/>
    <w:rsid w:val="00335427"/>
    <w:rsid w:val="0033542E"/>
    <w:rsid w:val="0033548A"/>
    <w:rsid w:val="003354E3"/>
    <w:rsid w:val="00335525"/>
    <w:rsid w:val="0033554F"/>
    <w:rsid w:val="0033555E"/>
    <w:rsid w:val="0033558B"/>
    <w:rsid w:val="003355DC"/>
    <w:rsid w:val="003355EB"/>
    <w:rsid w:val="0033571E"/>
    <w:rsid w:val="00335726"/>
    <w:rsid w:val="00335745"/>
    <w:rsid w:val="0033576A"/>
    <w:rsid w:val="00335858"/>
    <w:rsid w:val="0033585C"/>
    <w:rsid w:val="00335872"/>
    <w:rsid w:val="003358A4"/>
    <w:rsid w:val="00335900"/>
    <w:rsid w:val="0033591C"/>
    <w:rsid w:val="00335928"/>
    <w:rsid w:val="00335936"/>
    <w:rsid w:val="003359AD"/>
    <w:rsid w:val="003359F1"/>
    <w:rsid w:val="00335A5C"/>
    <w:rsid w:val="00335A68"/>
    <w:rsid w:val="00335AC5"/>
    <w:rsid w:val="00335AFD"/>
    <w:rsid w:val="00335B3F"/>
    <w:rsid w:val="00335B50"/>
    <w:rsid w:val="00335B9E"/>
    <w:rsid w:val="00335C10"/>
    <w:rsid w:val="00335C4A"/>
    <w:rsid w:val="00335C4C"/>
    <w:rsid w:val="00335C6F"/>
    <w:rsid w:val="00335CA1"/>
    <w:rsid w:val="00335CB4"/>
    <w:rsid w:val="00335CBE"/>
    <w:rsid w:val="00335CE9"/>
    <w:rsid w:val="00335D36"/>
    <w:rsid w:val="00335D8C"/>
    <w:rsid w:val="00335D93"/>
    <w:rsid w:val="00335D98"/>
    <w:rsid w:val="00335D99"/>
    <w:rsid w:val="00335E17"/>
    <w:rsid w:val="00335E5E"/>
    <w:rsid w:val="00335E75"/>
    <w:rsid w:val="00335E7E"/>
    <w:rsid w:val="00335EF4"/>
    <w:rsid w:val="00335F21"/>
    <w:rsid w:val="00335F87"/>
    <w:rsid w:val="00335F9D"/>
    <w:rsid w:val="00335FFB"/>
    <w:rsid w:val="0033603B"/>
    <w:rsid w:val="00336048"/>
    <w:rsid w:val="0033604C"/>
    <w:rsid w:val="00336094"/>
    <w:rsid w:val="00336097"/>
    <w:rsid w:val="00336112"/>
    <w:rsid w:val="00336139"/>
    <w:rsid w:val="00336164"/>
    <w:rsid w:val="0033619E"/>
    <w:rsid w:val="003361A7"/>
    <w:rsid w:val="003361B1"/>
    <w:rsid w:val="003361B6"/>
    <w:rsid w:val="003361BA"/>
    <w:rsid w:val="003361BD"/>
    <w:rsid w:val="003361F5"/>
    <w:rsid w:val="0033625E"/>
    <w:rsid w:val="00336266"/>
    <w:rsid w:val="0033626E"/>
    <w:rsid w:val="00336286"/>
    <w:rsid w:val="0033629B"/>
    <w:rsid w:val="003362B9"/>
    <w:rsid w:val="003362E1"/>
    <w:rsid w:val="003362F2"/>
    <w:rsid w:val="0033631A"/>
    <w:rsid w:val="00336321"/>
    <w:rsid w:val="00336339"/>
    <w:rsid w:val="00336347"/>
    <w:rsid w:val="00336363"/>
    <w:rsid w:val="0033641C"/>
    <w:rsid w:val="0033641E"/>
    <w:rsid w:val="0033643B"/>
    <w:rsid w:val="00336473"/>
    <w:rsid w:val="0033647A"/>
    <w:rsid w:val="00336494"/>
    <w:rsid w:val="003364D7"/>
    <w:rsid w:val="003364DF"/>
    <w:rsid w:val="0033651E"/>
    <w:rsid w:val="003365A7"/>
    <w:rsid w:val="003365AF"/>
    <w:rsid w:val="00336615"/>
    <w:rsid w:val="00336618"/>
    <w:rsid w:val="00336703"/>
    <w:rsid w:val="00336722"/>
    <w:rsid w:val="003367A9"/>
    <w:rsid w:val="00336813"/>
    <w:rsid w:val="00336815"/>
    <w:rsid w:val="0033681B"/>
    <w:rsid w:val="0033688C"/>
    <w:rsid w:val="0033690B"/>
    <w:rsid w:val="0033691A"/>
    <w:rsid w:val="00336920"/>
    <w:rsid w:val="0033698E"/>
    <w:rsid w:val="003369C7"/>
    <w:rsid w:val="003369E7"/>
    <w:rsid w:val="00336A37"/>
    <w:rsid w:val="00336A4D"/>
    <w:rsid w:val="00336A76"/>
    <w:rsid w:val="00336ACE"/>
    <w:rsid w:val="00336AD2"/>
    <w:rsid w:val="00336AD6"/>
    <w:rsid w:val="00336ADB"/>
    <w:rsid w:val="00336B8B"/>
    <w:rsid w:val="00336BA0"/>
    <w:rsid w:val="00336BC0"/>
    <w:rsid w:val="00336BDA"/>
    <w:rsid w:val="00336C1C"/>
    <w:rsid w:val="00336CA8"/>
    <w:rsid w:val="00336CC4"/>
    <w:rsid w:val="00336CE2"/>
    <w:rsid w:val="00336D0C"/>
    <w:rsid w:val="00336D27"/>
    <w:rsid w:val="00336D69"/>
    <w:rsid w:val="00336D6B"/>
    <w:rsid w:val="00336DC7"/>
    <w:rsid w:val="00336DDB"/>
    <w:rsid w:val="00336DE2"/>
    <w:rsid w:val="00336E35"/>
    <w:rsid w:val="00336E42"/>
    <w:rsid w:val="00336EDD"/>
    <w:rsid w:val="00336EEE"/>
    <w:rsid w:val="00336EFE"/>
    <w:rsid w:val="00336F27"/>
    <w:rsid w:val="00336F32"/>
    <w:rsid w:val="00336F80"/>
    <w:rsid w:val="00336F99"/>
    <w:rsid w:val="00336F9C"/>
    <w:rsid w:val="00336FB0"/>
    <w:rsid w:val="00336FC8"/>
    <w:rsid w:val="0033702C"/>
    <w:rsid w:val="00337030"/>
    <w:rsid w:val="00337031"/>
    <w:rsid w:val="0033706C"/>
    <w:rsid w:val="0033707B"/>
    <w:rsid w:val="003370E5"/>
    <w:rsid w:val="003370F9"/>
    <w:rsid w:val="0033710F"/>
    <w:rsid w:val="00337110"/>
    <w:rsid w:val="00337183"/>
    <w:rsid w:val="003371CA"/>
    <w:rsid w:val="003371F5"/>
    <w:rsid w:val="00337218"/>
    <w:rsid w:val="0033723A"/>
    <w:rsid w:val="0033724E"/>
    <w:rsid w:val="00337275"/>
    <w:rsid w:val="003372DF"/>
    <w:rsid w:val="003372E3"/>
    <w:rsid w:val="00337368"/>
    <w:rsid w:val="0033739E"/>
    <w:rsid w:val="003373E7"/>
    <w:rsid w:val="0033740F"/>
    <w:rsid w:val="0033748A"/>
    <w:rsid w:val="003374B8"/>
    <w:rsid w:val="003374D8"/>
    <w:rsid w:val="00337511"/>
    <w:rsid w:val="0033755F"/>
    <w:rsid w:val="0033758C"/>
    <w:rsid w:val="00337592"/>
    <w:rsid w:val="003375E4"/>
    <w:rsid w:val="00337605"/>
    <w:rsid w:val="00337619"/>
    <w:rsid w:val="0033761F"/>
    <w:rsid w:val="00337637"/>
    <w:rsid w:val="00337671"/>
    <w:rsid w:val="003376B4"/>
    <w:rsid w:val="003376D3"/>
    <w:rsid w:val="00337717"/>
    <w:rsid w:val="00337727"/>
    <w:rsid w:val="00337732"/>
    <w:rsid w:val="0033775B"/>
    <w:rsid w:val="0033778F"/>
    <w:rsid w:val="00337824"/>
    <w:rsid w:val="0033787A"/>
    <w:rsid w:val="0033787B"/>
    <w:rsid w:val="0033793B"/>
    <w:rsid w:val="0033795B"/>
    <w:rsid w:val="00337971"/>
    <w:rsid w:val="003379AF"/>
    <w:rsid w:val="003379C4"/>
    <w:rsid w:val="003379EE"/>
    <w:rsid w:val="003379F0"/>
    <w:rsid w:val="00337A6F"/>
    <w:rsid w:val="00337A86"/>
    <w:rsid w:val="00337A93"/>
    <w:rsid w:val="00337AD8"/>
    <w:rsid w:val="00337AE6"/>
    <w:rsid w:val="00337B1F"/>
    <w:rsid w:val="00337B31"/>
    <w:rsid w:val="00337B3D"/>
    <w:rsid w:val="00337B43"/>
    <w:rsid w:val="00337B48"/>
    <w:rsid w:val="00337B5A"/>
    <w:rsid w:val="00337B79"/>
    <w:rsid w:val="00337B7D"/>
    <w:rsid w:val="00337B81"/>
    <w:rsid w:val="00337B8D"/>
    <w:rsid w:val="00337C1F"/>
    <w:rsid w:val="00337C2B"/>
    <w:rsid w:val="00337C7D"/>
    <w:rsid w:val="00337C80"/>
    <w:rsid w:val="00337C9A"/>
    <w:rsid w:val="00337CBD"/>
    <w:rsid w:val="00337CC5"/>
    <w:rsid w:val="00337CCA"/>
    <w:rsid w:val="00337CD7"/>
    <w:rsid w:val="00337D18"/>
    <w:rsid w:val="00337D1E"/>
    <w:rsid w:val="00337D32"/>
    <w:rsid w:val="00337D40"/>
    <w:rsid w:val="00337D87"/>
    <w:rsid w:val="00337DD2"/>
    <w:rsid w:val="00337DEF"/>
    <w:rsid w:val="00337E07"/>
    <w:rsid w:val="00337E16"/>
    <w:rsid w:val="00337E5D"/>
    <w:rsid w:val="00337E64"/>
    <w:rsid w:val="00337E6E"/>
    <w:rsid w:val="00337EAC"/>
    <w:rsid w:val="00337EB7"/>
    <w:rsid w:val="00337F02"/>
    <w:rsid w:val="00337F4C"/>
    <w:rsid w:val="00337F64"/>
    <w:rsid w:val="00337F88"/>
    <w:rsid w:val="00340067"/>
    <w:rsid w:val="00340090"/>
    <w:rsid w:val="003400C2"/>
    <w:rsid w:val="003400ED"/>
    <w:rsid w:val="00340111"/>
    <w:rsid w:val="0034012A"/>
    <w:rsid w:val="0034012F"/>
    <w:rsid w:val="00340151"/>
    <w:rsid w:val="003401A9"/>
    <w:rsid w:val="003401EC"/>
    <w:rsid w:val="00340203"/>
    <w:rsid w:val="00340230"/>
    <w:rsid w:val="0034023F"/>
    <w:rsid w:val="00340249"/>
    <w:rsid w:val="0034025F"/>
    <w:rsid w:val="00340273"/>
    <w:rsid w:val="0034028D"/>
    <w:rsid w:val="003402A9"/>
    <w:rsid w:val="00340305"/>
    <w:rsid w:val="00340309"/>
    <w:rsid w:val="00340336"/>
    <w:rsid w:val="0034034D"/>
    <w:rsid w:val="00340388"/>
    <w:rsid w:val="0034039F"/>
    <w:rsid w:val="003403A8"/>
    <w:rsid w:val="003403C3"/>
    <w:rsid w:val="003403F2"/>
    <w:rsid w:val="003403FE"/>
    <w:rsid w:val="00340430"/>
    <w:rsid w:val="0034044A"/>
    <w:rsid w:val="00340452"/>
    <w:rsid w:val="00340469"/>
    <w:rsid w:val="0034047B"/>
    <w:rsid w:val="00340482"/>
    <w:rsid w:val="003404BF"/>
    <w:rsid w:val="003404F6"/>
    <w:rsid w:val="0034052A"/>
    <w:rsid w:val="00340558"/>
    <w:rsid w:val="003405D0"/>
    <w:rsid w:val="0034063B"/>
    <w:rsid w:val="0034066E"/>
    <w:rsid w:val="00340746"/>
    <w:rsid w:val="00340749"/>
    <w:rsid w:val="00340751"/>
    <w:rsid w:val="00340768"/>
    <w:rsid w:val="00340802"/>
    <w:rsid w:val="0034080C"/>
    <w:rsid w:val="0034086A"/>
    <w:rsid w:val="003408D0"/>
    <w:rsid w:val="00340983"/>
    <w:rsid w:val="00340993"/>
    <w:rsid w:val="00340995"/>
    <w:rsid w:val="003409AF"/>
    <w:rsid w:val="003409B6"/>
    <w:rsid w:val="003409C3"/>
    <w:rsid w:val="003409F9"/>
    <w:rsid w:val="00340A78"/>
    <w:rsid w:val="00340AF4"/>
    <w:rsid w:val="00340B69"/>
    <w:rsid w:val="00340B9F"/>
    <w:rsid w:val="00340BAB"/>
    <w:rsid w:val="00340C21"/>
    <w:rsid w:val="00340C26"/>
    <w:rsid w:val="00340C3B"/>
    <w:rsid w:val="00340C4C"/>
    <w:rsid w:val="00340CA7"/>
    <w:rsid w:val="00340CBE"/>
    <w:rsid w:val="00340D12"/>
    <w:rsid w:val="00340D1E"/>
    <w:rsid w:val="00340D49"/>
    <w:rsid w:val="00340D58"/>
    <w:rsid w:val="00340D73"/>
    <w:rsid w:val="00340D85"/>
    <w:rsid w:val="00340E02"/>
    <w:rsid w:val="00340E0E"/>
    <w:rsid w:val="00340E20"/>
    <w:rsid w:val="00340EAD"/>
    <w:rsid w:val="00340ED6"/>
    <w:rsid w:val="00340EF5"/>
    <w:rsid w:val="00340F11"/>
    <w:rsid w:val="00340F13"/>
    <w:rsid w:val="00340FA1"/>
    <w:rsid w:val="00341006"/>
    <w:rsid w:val="0034100E"/>
    <w:rsid w:val="0034102D"/>
    <w:rsid w:val="00341060"/>
    <w:rsid w:val="00341072"/>
    <w:rsid w:val="003410A5"/>
    <w:rsid w:val="003410DF"/>
    <w:rsid w:val="0034113B"/>
    <w:rsid w:val="0034117A"/>
    <w:rsid w:val="00341190"/>
    <w:rsid w:val="00341204"/>
    <w:rsid w:val="00341207"/>
    <w:rsid w:val="0034121E"/>
    <w:rsid w:val="0034123D"/>
    <w:rsid w:val="0034126B"/>
    <w:rsid w:val="003412B0"/>
    <w:rsid w:val="003412CA"/>
    <w:rsid w:val="003412D4"/>
    <w:rsid w:val="00341303"/>
    <w:rsid w:val="00341356"/>
    <w:rsid w:val="0034138A"/>
    <w:rsid w:val="00341450"/>
    <w:rsid w:val="00341460"/>
    <w:rsid w:val="003414C0"/>
    <w:rsid w:val="00341500"/>
    <w:rsid w:val="00341511"/>
    <w:rsid w:val="00341530"/>
    <w:rsid w:val="0034153E"/>
    <w:rsid w:val="00341590"/>
    <w:rsid w:val="0034159F"/>
    <w:rsid w:val="003415A8"/>
    <w:rsid w:val="003415C8"/>
    <w:rsid w:val="003415C9"/>
    <w:rsid w:val="003415F5"/>
    <w:rsid w:val="0034160C"/>
    <w:rsid w:val="00341695"/>
    <w:rsid w:val="003416D1"/>
    <w:rsid w:val="003416E2"/>
    <w:rsid w:val="003416FA"/>
    <w:rsid w:val="003417F6"/>
    <w:rsid w:val="0034180D"/>
    <w:rsid w:val="00341813"/>
    <w:rsid w:val="00341816"/>
    <w:rsid w:val="0034183B"/>
    <w:rsid w:val="00341861"/>
    <w:rsid w:val="00341895"/>
    <w:rsid w:val="003418B8"/>
    <w:rsid w:val="003418D5"/>
    <w:rsid w:val="00341908"/>
    <w:rsid w:val="00341910"/>
    <w:rsid w:val="00341929"/>
    <w:rsid w:val="00341930"/>
    <w:rsid w:val="00341932"/>
    <w:rsid w:val="00341934"/>
    <w:rsid w:val="0034193C"/>
    <w:rsid w:val="00341946"/>
    <w:rsid w:val="003419AF"/>
    <w:rsid w:val="00341A4B"/>
    <w:rsid w:val="00341A85"/>
    <w:rsid w:val="00341AF0"/>
    <w:rsid w:val="00341B0F"/>
    <w:rsid w:val="00341B3D"/>
    <w:rsid w:val="00341B46"/>
    <w:rsid w:val="00341B61"/>
    <w:rsid w:val="00341B6E"/>
    <w:rsid w:val="00341B74"/>
    <w:rsid w:val="00341B7B"/>
    <w:rsid w:val="00341B80"/>
    <w:rsid w:val="00341BA6"/>
    <w:rsid w:val="00341C05"/>
    <w:rsid w:val="00341C20"/>
    <w:rsid w:val="00341C88"/>
    <w:rsid w:val="00341CFE"/>
    <w:rsid w:val="00341D14"/>
    <w:rsid w:val="00341D75"/>
    <w:rsid w:val="00341D8B"/>
    <w:rsid w:val="00341D90"/>
    <w:rsid w:val="00341DA6"/>
    <w:rsid w:val="00341DE9"/>
    <w:rsid w:val="00341EF0"/>
    <w:rsid w:val="00341EF2"/>
    <w:rsid w:val="00341F5D"/>
    <w:rsid w:val="00342000"/>
    <w:rsid w:val="0034200B"/>
    <w:rsid w:val="00342052"/>
    <w:rsid w:val="00342053"/>
    <w:rsid w:val="003420A0"/>
    <w:rsid w:val="003420E0"/>
    <w:rsid w:val="00342115"/>
    <w:rsid w:val="00342131"/>
    <w:rsid w:val="0034213C"/>
    <w:rsid w:val="00342183"/>
    <w:rsid w:val="003421DB"/>
    <w:rsid w:val="00342222"/>
    <w:rsid w:val="00342226"/>
    <w:rsid w:val="00342297"/>
    <w:rsid w:val="003422C0"/>
    <w:rsid w:val="003422F9"/>
    <w:rsid w:val="00342368"/>
    <w:rsid w:val="00342391"/>
    <w:rsid w:val="00342393"/>
    <w:rsid w:val="0034243E"/>
    <w:rsid w:val="00342453"/>
    <w:rsid w:val="00342489"/>
    <w:rsid w:val="0034249E"/>
    <w:rsid w:val="003424C1"/>
    <w:rsid w:val="0034255B"/>
    <w:rsid w:val="00342596"/>
    <w:rsid w:val="003425BA"/>
    <w:rsid w:val="003425CB"/>
    <w:rsid w:val="00342615"/>
    <w:rsid w:val="00342627"/>
    <w:rsid w:val="00342629"/>
    <w:rsid w:val="00342679"/>
    <w:rsid w:val="00342694"/>
    <w:rsid w:val="00342698"/>
    <w:rsid w:val="00342743"/>
    <w:rsid w:val="0034278E"/>
    <w:rsid w:val="00342796"/>
    <w:rsid w:val="003427AF"/>
    <w:rsid w:val="003427D8"/>
    <w:rsid w:val="0034283C"/>
    <w:rsid w:val="0034289F"/>
    <w:rsid w:val="003428A4"/>
    <w:rsid w:val="003428E5"/>
    <w:rsid w:val="003428F1"/>
    <w:rsid w:val="003428FF"/>
    <w:rsid w:val="00342948"/>
    <w:rsid w:val="00342957"/>
    <w:rsid w:val="0034295C"/>
    <w:rsid w:val="0034296F"/>
    <w:rsid w:val="003429A3"/>
    <w:rsid w:val="003429B1"/>
    <w:rsid w:val="003429BC"/>
    <w:rsid w:val="003429E8"/>
    <w:rsid w:val="00342A3E"/>
    <w:rsid w:val="00342A46"/>
    <w:rsid w:val="00342B31"/>
    <w:rsid w:val="00342B62"/>
    <w:rsid w:val="00342B9E"/>
    <w:rsid w:val="00342C0C"/>
    <w:rsid w:val="00342C12"/>
    <w:rsid w:val="00342CE1"/>
    <w:rsid w:val="00342CF5"/>
    <w:rsid w:val="00342CF6"/>
    <w:rsid w:val="00342CF9"/>
    <w:rsid w:val="00342D00"/>
    <w:rsid w:val="00342D30"/>
    <w:rsid w:val="00342D31"/>
    <w:rsid w:val="00342D36"/>
    <w:rsid w:val="00342D5A"/>
    <w:rsid w:val="00342D78"/>
    <w:rsid w:val="00342DAB"/>
    <w:rsid w:val="00342DAC"/>
    <w:rsid w:val="00342E1B"/>
    <w:rsid w:val="00342E1F"/>
    <w:rsid w:val="00342E33"/>
    <w:rsid w:val="00342E71"/>
    <w:rsid w:val="00342F07"/>
    <w:rsid w:val="00342F15"/>
    <w:rsid w:val="00342F2D"/>
    <w:rsid w:val="00342F4B"/>
    <w:rsid w:val="00342F61"/>
    <w:rsid w:val="0034308C"/>
    <w:rsid w:val="003430EE"/>
    <w:rsid w:val="00343106"/>
    <w:rsid w:val="00343116"/>
    <w:rsid w:val="00343189"/>
    <w:rsid w:val="003431A3"/>
    <w:rsid w:val="003431B8"/>
    <w:rsid w:val="00343235"/>
    <w:rsid w:val="00343251"/>
    <w:rsid w:val="00343263"/>
    <w:rsid w:val="00343264"/>
    <w:rsid w:val="00343268"/>
    <w:rsid w:val="003432A2"/>
    <w:rsid w:val="003432BB"/>
    <w:rsid w:val="00343300"/>
    <w:rsid w:val="00343340"/>
    <w:rsid w:val="00343341"/>
    <w:rsid w:val="00343421"/>
    <w:rsid w:val="003434C3"/>
    <w:rsid w:val="003434D0"/>
    <w:rsid w:val="00343515"/>
    <w:rsid w:val="003435A3"/>
    <w:rsid w:val="0034369D"/>
    <w:rsid w:val="0034374A"/>
    <w:rsid w:val="0034377E"/>
    <w:rsid w:val="00343797"/>
    <w:rsid w:val="003437A7"/>
    <w:rsid w:val="003437DB"/>
    <w:rsid w:val="00343809"/>
    <w:rsid w:val="00343811"/>
    <w:rsid w:val="0034383D"/>
    <w:rsid w:val="0034386A"/>
    <w:rsid w:val="003438C0"/>
    <w:rsid w:val="003438EC"/>
    <w:rsid w:val="003438FC"/>
    <w:rsid w:val="0034391F"/>
    <w:rsid w:val="00343931"/>
    <w:rsid w:val="003439A2"/>
    <w:rsid w:val="003439A9"/>
    <w:rsid w:val="003439B3"/>
    <w:rsid w:val="003439EB"/>
    <w:rsid w:val="00343B17"/>
    <w:rsid w:val="00343C04"/>
    <w:rsid w:val="00343C3D"/>
    <w:rsid w:val="00343C83"/>
    <w:rsid w:val="00343C90"/>
    <w:rsid w:val="00343CBD"/>
    <w:rsid w:val="00343D12"/>
    <w:rsid w:val="00343D2A"/>
    <w:rsid w:val="00343DF6"/>
    <w:rsid w:val="00343E3F"/>
    <w:rsid w:val="00343E49"/>
    <w:rsid w:val="00343EC7"/>
    <w:rsid w:val="00343F1B"/>
    <w:rsid w:val="00343F1F"/>
    <w:rsid w:val="00343F9F"/>
    <w:rsid w:val="00343FC3"/>
    <w:rsid w:val="00344016"/>
    <w:rsid w:val="00344018"/>
    <w:rsid w:val="0034401B"/>
    <w:rsid w:val="0034407B"/>
    <w:rsid w:val="003440DF"/>
    <w:rsid w:val="0034410C"/>
    <w:rsid w:val="0034410D"/>
    <w:rsid w:val="0034411D"/>
    <w:rsid w:val="00344248"/>
    <w:rsid w:val="0034424C"/>
    <w:rsid w:val="00344256"/>
    <w:rsid w:val="003442AA"/>
    <w:rsid w:val="003442BC"/>
    <w:rsid w:val="003442CA"/>
    <w:rsid w:val="003442D9"/>
    <w:rsid w:val="00344348"/>
    <w:rsid w:val="00344375"/>
    <w:rsid w:val="0034438A"/>
    <w:rsid w:val="003443B0"/>
    <w:rsid w:val="00344414"/>
    <w:rsid w:val="0034441F"/>
    <w:rsid w:val="00344436"/>
    <w:rsid w:val="00344475"/>
    <w:rsid w:val="00344512"/>
    <w:rsid w:val="003445BC"/>
    <w:rsid w:val="003445D6"/>
    <w:rsid w:val="003445FB"/>
    <w:rsid w:val="00344621"/>
    <w:rsid w:val="0034467F"/>
    <w:rsid w:val="003446C9"/>
    <w:rsid w:val="0034470E"/>
    <w:rsid w:val="0034471C"/>
    <w:rsid w:val="00344722"/>
    <w:rsid w:val="0034475C"/>
    <w:rsid w:val="0034477C"/>
    <w:rsid w:val="003447A5"/>
    <w:rsid w:val="003447B1"/>
    <w:rsid w:val="003447EF"/>
    <w:rsid w:val="00344811"/>
    <w:rsid w:val="00344859"/>
    <w:rsid w:val="003448B3"/>
    <w:rsid w:val="003448CE"/>
    <w:rsid w:val="003448D6"/>
    <w:rsid w:val="003448F2"/>
    <w:rsid w:val="003448F6"/>
    <w:rsid w:val="00344939"/>
    <w:rsid w:val="0034494A"/>
    <w:rsid w:val="00344954"/>
    <w:rsid w:val="0034496C"/>
    <w:rsid w:val="00344984"/>
    <w:rsid w:val="00344A25"/>
    <w:rsid w:val="00344A5C"/>
    <w:rsid w:val="00344A95"/>
    <w:rsid w:val="00344AB1"/>
    <w:rsid w:val="00344B2B"/>
    <w:rsid w:val="00344B83"/>
    <w:rsid w:val="00344B87"/>
    <w:rsid w:val="00344B8D"/>
    <w:rsid w:val="00344BB8"/>
    <w:rsid w:val="00344BC9"/>
    <w:rsid w:val="00344BE0"/>
    <w:rsid w:val="00344CB0"/>
    <w:rsid w:val="00344CCF"/>
    <w:rsid w:val="00344D16"/>
    <w:rsid w:val="00344DDD"/>
    <w:rsid w:val="00344DF6"/>
    <w:rsid w:val="00344E1E"/>
    <w:rsid w:val="00344E3B"/>
    <w:rsid w:val="00344E75"/>
    <w:rsid w:val="00344E91"/>
    <w:rsid w:val="00344EE2"/>
    <w:rsid w:val="00344F01"/>
    <w:rsid w:val="00344F08"/>
    <w:rsid w:val="00344F17"/>
    <w:rsid w:val="00344F4D"/>
    <w:rsid w:val="00344FD9"/>
    <w:rsid w:val="0034502E"/>
    <w:rsid w:val="0034503C"/>
    <w:rsid w:val="00345066"/>
    <w:rsid w:val="0034507B"/>
    <w:rsid w:val="003450CE"/>
    <w:rsid w:val="00345147"/>
    <w:rsid w:val="0034521A"/>
    <w:rsid w:val="00345261"/>
    <w:rsid w:val="003452AC"/>
    <w:rsid w:val="003452E3"/>
    <w:rsid w:val="00345322"/>
    <w:rsid w:val="00345399"/>
    <w:rsid w:val="0034539F"/>
    <w:rsid w:val="00345419"/>
    <w:rsid w:val="00345424"/>
    <w:rsid w:val="0034546F"/>
    <w:rsid w:val="0034547C"/>
    <w:rsid w:val="0034547D"/>
    <w:rsid w:val="003454E7"/>
    <w:rsid w:val="003455E7"/>
    <w:rsid w:val="003455F2"/>
    <w:rsid w:val="0034560F"/>
    <w:rsid w:val="00345644"/>
    <w:rsid w:val="003456AC"/>
    <w:rsid w:val="003456B7"/>
    <w:rsid w:val="003456F3"/>
    <w:rsid w:val="00345724"/>
    <w:rsid w:val="00345762"/>
    <w:rsid w:val="003457A8"/>
    <w:rsid w:val="003457AB"/>
    <w:rsid w:val="00345808"/>
    <w:rsid w:val="00345909"/>
    <w:rsid w:val="00345985"/>
    <w:rsid w:val="003459B1"/>
    <w:rsid w:val="00345A17"/>
    <w:rsid w:val="00345A3E"/>
    <w:rsid w:val="00345A74"/>
    <w:rsid w:val="00345AAA"/>
    <w:rsid w:val="00345AD2"/>
    <w:rsid w:val="00345AD3"/>
    <w:rsid w:val="00345AF5"/>
    <w:rsid w:val="00345B32"/>
    <w:rsid w:val="00345B3B"/>
    <w:rsid w:val="00345B3E"/>
    <w:rsid w:val="00345B52"/>
    <w:rsid w:val="00345C22"/>
    <w:rsid w:val="00345C38"/>
    <w:rsid w:val="00345C93"/>
    <w:rsid w:val="00345CC2"/>
    <w:rsid w:val="00345CED"/>
    <w:rsid w:val="00345CF7"/>
    <w:rsid w:val="00345D4E"/>
    <w:rsid w:val="00345D64"/>
    <w:rsid w:val="00345D96"/>
    <w:rsid w:val="00345E10"/>
    <w:rsid w:val="00345E55"/>
    <w:rsid w:val="00345EA3"/>
    <w:rsid w:val="00345EEC"/>
    <w:rsid w:val="00345F0C"/>
    <w:rsid w:val="00345F15"/>
    <w:rsid w:val="00345F8D"/>
    <w:rsid w:val="00345FA1"/>
    <w:rsid w:val="003460BA"/>
    <w:rsid w:val="0034612E"/>
    <w:rsid w:val="0034616A"/>
    <w:rsid w:val="003461C0"/>
    <w:rsid w:val="003461C7"/>
    <w:rsid w:val="003461CB"/>
    <w:rsid w:val="003461D1"/>
    <w:rsid w:val="00346265"/>
    <w:rsid w:val="003462FC"/>
    <w:rsid w:val="003463B4"/>
    <w:rsid w:val="00346425"/>
    <w:rsid w:val="0034648C"/>
    <w:rsid w:val="003464C5"/>
    <w:rsid w:val="003464E9"/>
    <w:rsid w:val="003464EE"/>
    <w:rsid w:val="00346544"/>
    <w:rsid w:val="003465AA"/>
    <w:rsid w:val="003465C4"/>
    <w:rsid w:val="00346600"/>
    <w:rsid w:val="00346631"/>
    <w:rsid w:val="00346634"/>
    <w:rsid w:val="00346661"/>
    <w:rsid w:val="0034666B"/>
    <w:rsid w:val="00346672"/>
    <w:rsid w:val="00346676"/>
    <w:rsid w:val="00346682"/>
    <w:rsid w:val="003466BF"/>
    <w:rsid w:val="003466C8"/>
    <w:rsid w:val="00346708"/>
    <w:rsid w:val="003467C3"/>
    <w:rsid w:val="003467C6"/>
    <w:rsid w:val="003467D6"/>
    <w:rsid w:val="003467FF"/>
    <w:rsid w:val="0034685C"/>
    <w:rsid w:val="0034687E"/>
    <w:rsid w:val="003468F2"/>
    <w:rsid w:val="00346915"/>
    <w:rsid w:val="0034692F"/>
    <w:rsid w:val="00346941"/>
    <w:rsid w:val="003469A9"/>
    <w:rsid w:val="003469C3"/>
    <w:rsid w:val="003469E0"/>
    <w:rsid w:val="003469F7"/>
    <w:rsid w:val="00346A2F"/>
    <w:rsid w:val="00346A3D"/>
    <w:rsid w:val="00346A3F"/>
    <w:rsid w:val="00346AC3"/>
    <w:rsid w:val="00346AD0"/>
    <w:rsid w:val="00346AD8"/>
    <w:rsid w:val="00346B47"/>
    <w:rsid w:val="00346BB1"/>
    <w:rsid w:val="00346C26"/>
    <w:rsid w:val="00346C33"/>
    <w:rsid w:val="00346CA1"/>
    <w:rsid w:val="00346CA9"/>
    <w:rsid w:val="00346CBD"/>
    <w:rsid w:val="00346CE5"/>
    <w:rsid w:val="00346D0C"/>
    <w:rsid w:val="00346D18"/>
    <w:rsid w:val="00346D5D"/>
    <w:rsid w:val="00346D6C"/>
    <w:rsid w:val="00346D73"/>
    <w:rsid w:val="00346DCF"/>
    <w:rsid w:val="00346E08"/>
    <w:rsid w:val="00346E55"/>
    <w:rsid w:val="00346E62"/>
    <w:rsid w:val="00346E9C"/>
    <w:rsid w:val="00346EB9"/>
    <w:rsid w:val="00346EC1"/>
    <w:rsid w:val="00346EC4"/>
    <w:rsid w:val="00346F27"/>
    <w:rsid w:val="00346F32"/>
    <w:rsid w:val="00346FA8"/>
    <w:rsid w:val="00347017"/>
    <w:rsid w:val="00347040"/>
    <w:rsid w:val="0034705F"/>
    <w:rsid w:val="00347090"/>
    <w:rsid w:val="00347144"/>
    <w:rsid w:val="0034714A"/>
    <w:rsid w:val="00347197"/>
    <w:rsid w:val="003471AD"/>
    <w:rsid w:val="003471B0"/>
    <w:rsid w:val="00347262"/>
    <w:rsid w:val="00347280"/>
    <w:rsid w:val="0034729E"/>
    <w:rsid w:val="003472D9"/>
    <w:rsid w:val="00347303"/>
    <w:rsid w:val="00347382"/>
    <w:rsid w:val="00347430"/>
    <w:rsid w:val="0034747E"/>
    <w:rsid w:val="00347524"/>
    <w:rsid w:val="0034754C"/>
    <w:rsid w:val="00347575"/>
    <w:rsid w:val="0034757D"/>
    <w:rsid w:val="003475AA"/>
    <w:rsid w:val="00347606"/>
    <w:rsid w:val="00347665"/>
    <w:rsid w:val="0034770E"/>
    <w:rsid w:val="0034772C"/>
    <w:rsid w:val="00347736"/>
    <w:rsid w:val="00347737"/>
    <w:rsid w:val="0034775D"/>
    <w:rsid w:val="00347760"/>
    <w:rsid w:val="00347795"/>
    <w:rsid w:val="003477D9"/>
    <w:rsid w:val="003477E8"/>
    <w:rsid w:val="00347803"/>
    <w:rsid w:val="00347A08"/>
    <w:rsid w:val="00347A11"/>
    <w:rsid w:val="00347A38"/>
    <w:rsid w:val="00347A45"/>
    <w:rsid w:val="00347A77"/>
    <w:rsid w:val="00347A79"/>
    <w:rsid w:val="00347A9E"/>
    <w:rsid w:val="00347B99"/>
    <w:rsid w:val="00347BDB"/>
    <w:rsid w:val="00347BDF"/>
    <w:rsid w:val="00347BED"/>
    <w:rsid w:val="00347C36"/>
    <w:rsid w:val="00347D46"/>
    <w:rsid w:val="00347E44"/>
    <w:rsid w:val="00347EEA"/>
    <w:rsid w:val="00347F49"/>
    <w:rsid w:val="00347F5E"/>
    <w:rsid w:val="00347FBC"/>
    <w:rsid w:val="00347FF9"/>
    <w:rsid w:val="00350003"/>
    <w:rsid w:val="0035003A"/>
    <w:rsid w:val="00350042"/>
    <w:rsid w:val="00350045"/>
    <w:rsid w:val="00350092"/>
    <w:rsid w:val="003500E2"/>
    <w:rsid w:val="00350122"/>
    <w:rsid w:val="00350177"/>
    <w:rsid w:val="0035019B"/>
    <w:rsid w:val="0035023B"/>
    <w:rsid w:val="0035025A"/>
    <w:rsid w:val="0035027C"/>
    <w:rsid w:val="003502AE"/>
    <w:rsid w:val="003502D1"/>
    <w:rsid w:val="00350341"/>
    <w:rsid w:val="0035037A"/>
    <w:rsid w:val="00350380"/>
    <w:rsid w:val="00350388"/>
    <w:rsid w:val="003503AA"/>
    <w:rsid w:val="003503FC"/>
    <w:rsid w:val="00350404"/>
    <w:rsid w:val="00350423"/>
    <w:rsid w:val="00350429"/>
    <w:rsid w:val="00350463"/>
    <w:rsid w:val="003504C2"/>
    <w:rsid w:val="003504D8"/>
    <w:rsid w:val="003504E0"/>
    <w:rsid w:val="0035050F"/>
    <w:rsid w:val="00350522"/>
    <w:rsid w:val="00350572"/>
    <w:rsid w:val="00350583"/>
    <w:rsid w:val="0035059D"/>
    <w:rsid w:val="0035067A"/>
    <w:rsid w:val="00350733"/>
    <w:rsid w:val="00350741"/>
    <w:rsid w:val="00350759"/>
    <w:rsid w:val="00350777"/>
    <w:rsid w:val="003507AA"/>
    <w:rsid w:val="00350801"/>
    <w:rsid w:val="00350836"/>
    <w:rsid w:val="00350906"/>
    <w:rsid w:val="0035091C"/>
    <w:rsid w:val="0035092A"/>
    <w:rsid w:val="00350957"/>
    <w:rsid w:val="00350972"/>
    <w:rsid w:val="00350973"/>
    <w:rsid w:val="00350975"/>
    <w:rsid w:val="003509C8"/>
    <w:rsid w:val="003509CF"/>
    <w:rsid w:val="003509F8"/>
    <w:rsid w:val="00350A24"/>
    <w:rsid w:val="00350A37"/>
    <w:rsid w:val="00350A5C"/>
    <w:rsid w:val="00350AB5"/>
    <w:rsid w:val="00350B11"/>
    <w:rsid w:val="00350B5F"/>
    <w:rsid w:val="00350BC1"/>
    <w:rsid w:val="00350BD8"/>
    <w:rsid w:val="00350C34"/>
    <w:rsid w:val="00350C43"/>
    <w:rsid w:val="00350C8E"/>
    <w:rsid w:val="00350CD0"/>
    <w:rsid w:val="00350CE8"/>
    <w:rsid w:val="00350D53"/>
    <w:rsid w:val="00350D85"/>
    <w:rsid w:val="00350DA5"/>
    <w:rsid w:val="00350DB5"/>
    <w:rsid w:val="00350DEE"/>
    <w:rsid w:val="00350E03"/>
    <w:rsid w:val="00350E0A"/>
    <w:rsid w:val="00350E3D"/>
    <w:rsid w:val="00350E99"/>
    <w:rsid w:val="00350ECE"/>
    <w:rsid w:val="00350EDC"/>
    <w:rsid w:val="00350EFD"/>
    <w:rsid w:val="00350F07"/>
    <w:rsid w:val="00350F6B"/>
    <w:rsid w:val="00350F78"/>
    <w:rsid w:val="00350F97"/>
    <w:rsid w:val="00350FDA"/>
    <w:rsid w:val="00351001"/>
    <w:rsid w:val="00351010"/>
    <w:rsid w:val="00351015"/>
    <w:rsid w:val="00351028"/>
    <w:rsid w:val="00351048"/>
    <w:rsid w:val="0035109D"/>
    <w:rsid w:val="003510D2"/>
    <w:rsid w:val="00351102"/>
    <w:rsid w:val="0035112D"/>
    <w:rsid w:val="00351136"/>
    <w:rsid w:val="00351139"/>
    <w:rsid w:val="00351171"/>
    <w:rsid w:val="00351180"/>
    <w:rsid w:val="00351192"/>
    <w:rsid w:val="003511AA"/>
    <w:rsid w:val="003511DA"/>
    <w:rsid w:val="003511DD"/>
    <w:rsid w:val="003511DE"/>
    <w:rsid w:val="0035120C"/>
    <w:rsid w:val="00351254"/>
    <w:rsid w:val="003512A7"/>
    <w:rsid w:val="003512BA"/>
    <w:rsid w:val="00351357"/>
    <w:rsid w:val="00351379"/>
    <w:rsid w:val="003513C4"/>
    <w:rsid w:val="003513F4"/>
    <w:rsid w:val="0035142A"/>
    <w:rsid w:val="003514B8"/>
    <w:rsid w:val="0035152A"/>
    <w:rsid w:val="003515E5"/>
    <w:rsid w:val="00351628"/>
    <w:rsid w:val="00351641"/>
    <w:rsid w:val="00351663"/>
    <w:rsid w:val="0035167A"/>
    <w:rsid w:val="0035172A"/>
    <w:rsid w:val="00351769"/>
    <w:rsid w:val="003517CD"/>
    <w:rsid w:val="00351860"/>
    <w:rsid w:val="00351866"/>
    <w:rsid w:val="00351875"/>
    <w:rsid w:val="0035189A"/>
    <w:rsid w:val="003518B3"/>
    <w:rsid w:val="003518C1"/>
    <w:rsid w:val="003518DF"/>
    <w:rsid w:val="00351924"/>
    <w:rsid w:val="0035193F"/>
    <w:rsid w:val="0035194F"/>
    <w:rsid w:val="0035195B"/>
    <w:rsid w:val="0035195D"/>
    <w:rsid w:val="00351960"/>
    <w:rsid w:val="0035197B"/>
    <w:rsid w:val="00351990"/>
    <w:rsid w:val="003519A0"/>
    <w:rsid w:val="003519AA"/>
    <w:rsid w:val="003519C6"/>
    <w:rsid w:val="003519D8"/>
    <w:rsid w:val="00351A73"/>
    <w:rsid w:val="00351AB0"/>
    <w:rsid w:val="00351B93"/>
    <w:rsid w:val="00351B9F"/>
    <w:rsid w:val="00351BBD"/>
    <w:rsid w:val="00351C0D"/>
    <w:rsid w:val="00351C47"/>
    <w:rsid w:val="00351C4F"/>
    <w:rsid w:val="00351C93"/>
    <w:rsid w:val="00351CDA"/>
    <w:rsid w:val="00351D38"/>
    <w:rsid w:val="00351D4E"/>
    <w:rsid w:val="00351D63"/>
    <w:rsid w:val="00351DCB"/>
    <w:rsid w:val="00351DEB"/>
    <w:rsid w:val="00351E15"/>
    <w:rsid w:val="00351E38"/>
    <w:rsid w:val="00351EF8"/>
    <w:rsid w:val="00351F8A"/>
    <w:rsid w:val="00351FBC"/>
    <w:rsid w:val="00352013"/>
    <w:rsid w:val="003520E2"/>
    <w:rsid w:val="00352103"/>
    <w:rsid w:val="00352146"/>
    <w:rsid w:val="0035214C"/>
    <w:rsid w:val="0035220F"/>
    <w:rsid w:val="0035222C"/>
    <w:rsid w:val="00352239"/>
    <w:rsid w:val="00352241"/>
    <w:rsid w:val="0035227C"/>
    <w:rsid w:val="0035229C"/>
    <w:rsid w:val="00352353"/>
    <w:rsid w:val="00352358"/>
    <w:rsid w:val="00352461"/>
    <w:rsid w:val="00352465"/>
    <w:rsid w:val="00352474"/>
    <w:rsid w:val="00352566"/>
    <w:rsid w:val="003525FA"/>
    <w:rsid w:val="00352636"/>
    <w:rsid w:val="00352642"/>
    <w:rsid w:val="00352647"/>
    <w:rsid w:val="00352659"/>
    <w:rsid w:val="00352678"/>
    <w:rsid w:val="003526C2"/>
    <w:rsid w:val="003526CB"/>
    <w:rsid w:val="00352700"/>
    <w:rsid w:val="00352746"/>
    <w:rsid w:val="00352783"/>
    <w:rsid w:val="003527F9"/>
    <w:rsid w:val="00352808"/>
    <w:rsid w:val="00352838"/>
    <w:rsid w:val="00352902"/>
    <w:rsid w:val="00352911"/>
    <w:rsid w:val="0035291D"/>
    <w:rsid w:val="00352923"/>
    <w:rsid w:val="00352934"/>
    <w:rsid w:val="003529D6"/>
    <w:rsid w:val="003529F6"/>
    <w:rsid w:val="00352A2D"/>
    <w:rsid w:val="00352A74"/>
    <w:rsid w:val="00352A8E"/>
    <w:rsid w:val="00352A9C"/>
    <w:rsid w:val="00352AEB"/>
    <w:rsid w:val="00352B21"/>
    <w:rsid w:val="00352C1D"/>
    <w:rsid w:val="00352C27"/>
    <w:rsid w:val="00352C50"/>
    <w:rsid w:val="00352C6D"/>
    <w:rsid w:val="00352C91"/>
    <w:rsid w:val="00352CC5"/>
    <w:rsid w:val="00352D01"/>
    <w:rsid w:val="00352D07"/>
    <w:rsid w:val="00352D08"/>
    <w:rsid w:val="00352D39"/>
    <w:rsid w:val="00352D8B"/>
    <w:rsid w:val="00352DB8"/>
    <w:rsid w:val="00352DDA"/>
    <w:rsid w:val="00352DDE"/>
    <w:rsid w:val="00352DE6"/>
    <w:rsid w:val="00352E0D"/>
    <w:rsid w:val="00352E5E"/>
    <w:rsid w:val="00352E7D"/>
    <w:rsid w:val="00352E9E"/>
    <w:rsid w:val="00352EF1"/>
    <w:rsid w:val="00352F1B"/>
    <w:rsid w:val="00352F44"/>
    <w:rsid w:val="00352F5E"/>
    <w:rsid w:val="00352F88"/>
    <w:rsid w:val="00352F9A"/>
    <w:rsid w:val="00352FD5"/>
    <w:rsid w:val="00352FF1"/>
    <w:rsid w:val="00352FFA"/>
    <w:rsid w:val="00353003"/>
    <w:rsid w:val="00353006"/>
    <w:rsid w:val="00353010"/>
    <w:rsid w:val="00353043"/>
    <w:rsid w:val="00353053"/>
    <w:rsid w:val="003530A1"/>
    <w:rsid w:val="003530AE"/>
    <w:rsid w:val="003530FF"/>
    <w:rsid w:val="0035310C"/>
    <w:rsid w:val="00353147"/>
    <w:rsid w:val="0035316D"/>
    <w:rsid w:val="0035319C"/>
    <w:rsid w:val="003531BE"/>
    <w:rsid w:val="003531F6"/>
    <w:rsid w:val="00353232"/>
    <w:rsid w:val="0035326C"/>
    <w:rsid w:val="00353294"/>
    <w:rsid w:val="003532D2"/>
    <w:rsid w:val="00353319"/>
    <w:rsid w:val="00353327"/>
    <w:rsid w:val="00353335"/>
    <w:rsid w:val="0035333F"/>
    <w:rsid w:val="003533A3"/>
    <w:rsid w:val="0035340B"/>
    <w:rsid w:val="00353429"/>
    <w:rsid w:val="00353441"/>
    <w:rsid w:val="00353446"/>
    <w:rsid w:val="0035349F"/>
    <w:rsid w:val="003534DC"/>
    <w:rsid w:val="003534F9"/>
    <w:rsid w:val="00353520"/>
    <w:rsid w:val="0035357E"/>
    <w:rsid w:val="0035362F"/>
    <w:rsid w:val="00353657"/>
    <w:rsid w:val="003536B5"/>
    <w:rsid w:val="003536CD"/>
    <w:rsid w:val="003536DA"/>
    <w:rsid w:val="00353700"/>
    <w:rsid w:val="0035379B"/>
    <w:rsid w:val="0035379D"/>
    <w:rsid w:val="003538C4"/>
    <w:rsid w:val="0035391D"/>
    <w:rsid w:val="00353957"/>
    <w:rsid w:val="0035398C"/>
    <w:rsid w:val="00353997"/>
    <w:rsid w:val="003539CB"/>
    <w:rsid w:val="003539E7"/>
    <w:rsid w:val="003539EE"/>
    <w:rsid w:val="00353A32"/>
    <w:rsid w:val="00353A5B"/>
    <w:rsid w:val="00353A8B"/>
    <w:rsid w:val="00353AD0"/>
    <w:rsid w:val="00353AD2"/>
    <w:rsid w:val="00353AF2"/>
    <w:rsid w:val="00353AF7"/>
    <w:rsid w:val="00353B28"/>
    <w:rsid w:val="00353BA5"/>
    <w:rsid w:val="00353BB5"/>
    <w:rsid w:val="00353C1E"/>
    <w:rsid w:val="00353C26"/>
    <w:rsid w:val="00353C27"/>
    <w:rsid w:val="00353D1A"/>
    <w:rsid w:val="00353D23"/>
    <w:rsid w:val="00353D93"/>
    <w:rsid w:val="00353DED"/>
    <w:rsid w:val="00353E01"/>
    <w:rsid w:val="00353E9C"/>
    <w:rsid w:val="00353EC2"/>
    <w:rsid w:val="00353EE4"/>
    <w:rsid w:val="00353EE7"/>
    <w:rsid w:val="00353EE8"/>
    <w:rsid w:val="00353FB3"/>
    <w:rsid w:val="00353FD4"/>
    <w:rsid w:val="00353FF3"/>
    <w:rsid w:val="00354018"/>
    <w:rsid w:val="0035403C"/>
    <w:rsid w:val="00354097"/>
    <w:rsid w:val="003540B5"/>
    <w:rsid w:val="0035411C"/>
    <w:rsid w:val="00354131"/>
    <w:rsid w:val="003541C9"/>
    <w:rsid w:val="003541D9"/>
    <w:rsid w:val="00354226"/>
    <w:rsid w:val="00354235"/>
    <w:rsid w:val="0035424C"/>
    <w:rsid w:val="003542C0"/>
    <w:rsid w:val="00354326"/>
    <w:rsid w:val="00354358"/>
    <w:rsid w:val="003543C0"/>
    <w:rsid w:val="00354433"/>
    <w:rsid w:val="003544FF"/>
    <w:rsid w:val="0035450C"/>
    <w:rsid w:val="0035454F"/>
    <w:rsid w:val="00354594"/>
    <w:rsid w:val="0035459A"/>
    <w:rsid w:val="003545B2"/>
    <w:rsid w:val="0035460A"/>
    <w:rsid w:val="0035461A"/>
    <w:rsid w:val="003546F9"/>
    <w:rsid w:val="00354710"/>
    <w:rsid w:val="0035471D"/>
    <w:rsid w:val="00354755"/>
    <w:rsid w:val="0035475B"/>
    <w:rsid w:val="0035488E"/>
    <w:rsid w:val="003548B6"/>
    <w:rsid w:val="003548EB"/>
    <w:rsid w:val="00354956"/>
    <w:rsid w:val="0035496C"/>
    <w:rsid w:val="0035497D"/>
    <w:rsid w:val="0035499D"/>
    <w:rsid w:val="003549BF"/>
    <w:rsid w:val="003549EE"/>
    <w:rsid w:val="00354A09"/>
    <w:rsid w:val="00354A0A"/>
    <w:rsid w:val="00354A8D"/>
    <w:rsid w:val="00354AAF"/>
    <w:rsid w:val="00354AC1"/>
    <w:rsid w:val="00354AF4"/>
    <w:rsid w:val="00354AF9"/>
    <w:rsid w:val="00354B31"/>
    <w:rsid w:val="00354B7F"/>
    <w:rsid w:val="00354BA9"/>
    <w:rsid w:val="00354BFD"/>
    <w:rsid w:val="00354CA9"/>
    <w:rsid w:val="00354CE1"/>
    <w:rsid w:val="00354CF3"/>
    <w:rsid w:val="00354D13"/>
    <w:rsid w:val="00354D27"/>
    <w:rsid w:val="00354D86"/>
    <w:rsid w:val="00354DA8"/>
    <w:rsid w:val="00354DB2"/>
    <w:rsid w:val="00354DE0"/>
    <w:rsid w:val="00354E36"/>
    <w:rsid w:val="00354EA3"/>
    <w:rsid w:val="00354F14"/>
    <w:rsid w:val="00354F18"/>
    <w:rsid w:val="00354F2F"/>
    <w:rsid w:val="00354F37"/>
    <w:rsid w:val="00354F5B"/>
    <w:rsid w:val="00354F64"/>
    <w:rsid w:val="00354FE5"/>
    <w:rsid w:val="0035504A"/>
    <w:rsid w:val="003550BA"/>
    <w:rsid w:val="003550C6"/>
    <w:rsid w:val="003550DF"/>
    <w:rsid w:val="00355121"/>
    <w:rsid w:val="00355213"/>
    <w:rsid w:val="00355241"/>
    <w:rsid w:val="0035529C"/>
    <w:rsid w:val="003552C7"/>
    <w:rsid w:val="003552CB"/>
    <w:rsid w:val="00355314"/>
    <w:rsid w:val="00355331"/>
    <w:rsid w:val="00355363"/>
    <w:rsid w:val="0035538D"/>
    <w:rsid w:val="003553AF"/>
    <w:rsid w:val="003553B7"/>
    <w:rsid w:val="003553E2"/>
    <w:rsid w:val="0035546F"/>
    <w:rsid w:val="003554AD"/>
    <w:rsid w:val="003554ED"/>
    <w:rsid w:val="003554FD"/>
    <w:rsid w:val="0035550D"/>
    <w:rsid w:val="003555A1"/>
    <w:rsid w:val="003555B7"/>
    <w:rsid w:val="003555C9"/>
    <w:rsid w:val="003555E9"/>
    <w:rsid w:val="00355625"/>
    <w:rsid w:val="00355639"/>
    <w:rsid w:val="0035565A"/>
    <w:rsid w:val="0035565F"/>
    <w:rsid w:val="0035568A"/>
    <w:rsid w:val="003556A9"/>
    <w:rsid w:val="00355757"/>
    <w:rsid w:val="0035577C"/>
    <w:rsid w:val="003557C6"/>
    <w:rsid w:val="003557CD"/>
    <w:rsid w:val="00355806"/>
    <w:rsid w:val="0035583F"/>
    <w:rsid w:val="00355842"/>
    <w:rsid w:val="00355904"/>
    <w:rsid w:val="00355943"/>
    <w:rsid w:val="00355975"/>
    <w:rsid w:val="003559C9"/>
    <w:rsid w:val="003559DE"/>
    <w:rsid w:val="003559F5"/>
    <w:rsid w:val="00355A1F"/>
    <w:rsid w:val="00355A37"/>
    <w:rsid w:val="00355A58"/>
    <w:rsid w:val="00355A77"/>
    <w:rsid w:val="00355AD2"/>
    <w:rsid w:val="00355AF5"/>
    <w:rsid w:val="00355B01"/>
    <w:rsid w:val="00355B5E"/>
    <w:rsid w:val="00355B7C"/>
    <w:rsid w:val="00355C4E"/>
    <w:rsid w:val="00355C5A"/>
    <w:rsid w:val="00355C9D"/>
    <w:rsid w:val="00355CAF"/>
    <w:rsid w:val="00355CEC"/>
    <w:rsid w:val="00355D30"/>
    <w:rsid w:val="00355D36"/>
    <w:rsid w:val="00355D39"/>
    <w:rsid w:val="00355D6F"/>
    <w:rsid w:val="00355DB0"/>
    <w:rsid w:val="00355DBF"/>
    <w:rsid w:val="00355E9A"/>
    <w:rsid w:val="00355ED1"/>
    <w:rsid w:val="00355EE4"/>
    <w:rsid w:val="00355F15"/>
    <w:rsid w:val="00355F60"/>
    <w:rsid w:val="00355FAD"/>
    <w:rsid w:val="00355FD6"/>
    <w:rsid w:val="00355FF1"/>
    <w:rsid w:val="00356014"/>
    <w:rsid w:val="0035601F"/>
    <w:rsid w:val="00356033"/>
    <w:rsid w:val="00356051"/>
    <w:rsid w:val="00356057"/>
    <w:rsid w:val="003560CE"/>
    <w:rsid w:val="003560E9"/>
    <w:rsid w:val="00356168"/>
    <w:rsid w:val="003561E4"/>
    <w:rsid w:val="00356299"/>
    <w:rsid w:val="003562A4"/>
    <w:rsid w:val="003562AE"/>
    <w:rsid w:val="003562D1"/>
    <w:rsid w:val="003562D7"/>
    <w:rsid w:val="003562DC"/>
    <w:rsid w:val="0035631E"/>
    <w:rsid w:val="0035633A"/>
    <w:rsid w:val="00356344"/>
    <w:rsid w:val="00356348"/>
    <w:rsid w:val="00356398"/>
    <w:rsid w:val="003563A2"/>
    <w:rsid w:val="003563C9"/>
    <w:rsid w:val="003563D8"/>
    <w:rsid w:val="003563F7"/>
    <w:rsid w:val="003564DD"/>
    <w:rsid w:val="0035654B"/>
    <w:rsid w:val="0035654D"/>
    <w:rsid w:val="0035657E"/>
    <w:rsid w:val="003565B3"/>
    <w:rsid w:val="003566D3"/>
    <w:rsid w:val="003566DD"/>
    <w:rsid w:val="003566E3"/>
    <w:rsid w:val="00356725"/>
    <w:rsid w:val="0035675A"/>
    <w:rsid w:val="00356785"/>
    <w:rsid w:val="003567A6"/>
    <w:rsid w:val="003567C7"/>
    <w:rsid w:val="003567E4"/>
    <w:rsid w:val="00356811"/>
    <w:rsid w:val="0035685E"/>
    <w:rsid w:val="003568E8"/>
    <w:rsid w:val="003568EF"/>
    <w:rsid w:val="00356901"/>
    <w:rsid w:val="00356905"/>
    <w:rsid w:val="00356909"/>
    <w:rsid w:val="00356943"/>
    <w:rsid w:val="0035695A"/>
    <w:rsid w:val="003569C7"/>
    <w:rsid w:val="003569DC"/>
    <w:rsid w:val="00356A24"/>
    <w:rsid w:val="00356A68"/>
    <w:rsid w:val="00356AB2"/>
    <w:rsid w:val="00356AE7"/>
    <w:rsid w:val="00356B05"/>
    <w:rsid w:val="00356B71"/>
    <w:rsid w:val="00356B72"/>
    <w:rsid w:val="00356B78"/>
    <w:rsid w:val="00356BA8"/>
    <w:rsid w:val="00356BE1"/>
    <w:rsid w:val="00356C05"/>
    <w:rsid w:val="00356CC4"/>
    <w:rsid w:val="00356D7C"/>
    <w:rsid w:val="00356D8E"/>
    <w:rsid w:val="00356DC6"/>
    <w:rsid w:val="00356E34"/>
    <w:rsid w:val="00356E3F"/>
    <w:rsid w:val="00356E95"/>
    <w:rsid w:val="00356E9A"/>
    <w:rsid w:val="00356EE4"/>
    <w:rsid w:val="00356F05"/>
    <w:rsid w:val="00356F15"/>
    <w:rsid w:val="00356F3C"/>
    <w:rsid w:val="00356F68"/>
    <w:rsid w:val="00356FFA"/>
    <w:rsid w:val="00357011"/>
    <w:rsid w:val="00357066"/>
    <w:rsid w:val="00357071"/>
    <w:rsid w:val="003570E3"/>
    <w:rsid w:val="003570F4"/>
    <w:rsid w:val="00357100"/>
    <w:rsid w:val="0035717F"/>
    <w:rsid w:val="00357300"/>
    <w:rsid w:val="0035730C"/>
    <w:rsid w:val="00357315"/>
    <w:rsid w:val="0035736E"/>
    <w:rsid w:val="0035738A"/>
    <w:rsid w:val="003573C8"/>
    <w:rsid w:val="003573F0"/>
    <w:rsid w:val="00357429"/>
    <w:rsid w:val="00357442"/>
    <w:rsid w:val="00357459"/>
    <w:rsid w:val="00357468"/>
    <w:rsid w:val="0035748D"/>
    <w:rsid w:val="003574B9"/>
    <w:rsid w:val="00357511"/>
    <w:rsid w:val="00357513"/>
    <w:rsid w:val="00357516"/>
    <w:rsid w:val="0035752D"/>
    <w:rsid w:val="0035753A"/>
    <w:rsid w:val="0035756F"/>
    <w:rsid w:val="003575C2"/>
    <w:rsid w:val="003575D2"/>
    <w:rsid w:val="00357665"/>
    <w:rsid w:val="003576D6"/>
    <w:rsid w:val="0035770A"/>
    <w:rsid w:val="0035772A"/>
    <w:rsid w:val="0035776B"/>
    <w:rsid w:val="003577BF"/>
    <w:rsid w:val="00357800"/>
    <w:rsid w:val="0035784A"/>
    <w:rsid w:val="003578A5"/>
    <w:rsid w:val="003578E6"/>
    <w:rsid w:val="0035791A"/>
    <w:rsid w:val="00357961"/>
    <w:rsid w:val="00357962"/>
    <w:rsid w:val="00357968"/>
    <w:rsid w:val="0035797A"/>
    <w:rsid w:val="003579A3"/>
    <w:rsid w:val="003579C7"/>
    <w:rsid w:val="003579CF"/>
    <w:rsid w:val="003579DE"/>
    <w:rsid w:val="003579E1"/>
    <w:rsid w:val="00357A00"/>
    <w:rsid w:val="00357A3D"/>
    <w:rsid w:val="00357A87"/>
    <w:rsid w:val="00357AAE"/>
    <w:rsid w:val="00357B89"/>
    <w:rsid w:val="00357B9A"/>
    <w:rsid w:val="00357BD7"/>
    <w:rsid w:val="00357BF2"/>
    <w:rsid w:val="00357BF6"/>
    <w:rsid w:val="00357C43"/>
    <w:rsid w:val="00357CB7"/>
    <w:rsid w:val="00357CD9"/>
    <w:rsid w:val="00357CE2"/>
    <w:rsid w:val="00357CEC"/>
    <w:rsid w:val="00357CF8"/>
    <w:rsid w:val="00357D13"/>
    <w:rsid w:val="00357D9C"/>
    <w:rsid w:val="00357DD8"/>
    <w:rsid w:val="00357DF0"/>
    <w:rsid w:val="00357E72"/>
    <w:rsid w:val="00357E84"/>
    <w:rsid w:val="00357E91"/>
    <w:rsid w:val="00357EA9"/>
    <w:rsid w:val="00357EB9"/>
    <w:rsid w:val="00357F6D"/>
    <w:rsid w:val="00357F99"/>
    <w:rsid w:val="00357FF7"/>
    <w:rsid w:val="00360010"/>
    <w:rsid w:val="00360080"/>
    <w:rsid w:val="003600BD"/>
    <w:rsid w:val="00360102"/>
    <w:rsid w:val="0036010A"/>
    <w:rsid w:val="00360128"/>
    <w:rsid w:val="0036012F"/>
    <w:rsid w:val="00360156"/>
    <w:rsid w:val="00360158"/>
    <w:rsid w:val="0036015E"/>
    <w:rsid w:val="00360162"/>
    <w:rsid w:val="003601C2"/>
    <w:rsid w:val="003601F8"/>
    <w:rsid w:val="0036026E"/>
    <w:rsid w:val="00360271"/>
    <w:rsid w:val="0036027D"/>
    <w:rsid w:val="003602B5"/>
    <w:rsid w:val="003602B8"/>
    <w:rsid w:val="003602EB"/>
    <w:rsid w:val="003602F9"/>
    <w:rsid w:val="00360317"/>
    <w:rsid w:val="00360367"/>
    <w:rsid w:val="003603D5"/>
    <w:rsid w:val="003603FA"/>
    <w:rsid w:val="00360403"/>
    <w:rsid w:val="00360440"/>
    <w:rsid w:val="00360461"/>
    <w:rsid w:val="0036047C"/>
    <w:rsid w:val="0036048C"/>
    <w:rsid w:val="00360496"/>
    <w:rsid w:val="003604A7"/>
    <w:rsid w:val="003604D0"/>
    <w:rsid w:val="003604ED"/>
    <w:rsid w:val="003604F9"/>
    <w:rsid w:val="00360500"/>
    <w:rsid w:val="0036052C"/>
    <w:rsid w:val="00360599"/>
    <w:rsid w:val="003605AE"/>
    <w:rsid w:val="003605BE"/>
    <w:rsid w:val="003605BF"/>
    <w:rsid w:val="00360618"/>
    <w:rsid w:val="00360679"/>
    <w:rsid w:val="00360699"/>
    <w:rsid w:val="003606A1"/>
    <w:rsid w:val="00360713"/>
    <w:rsid w:val="003607C6"/>
    <w:rsid w:val="0036080E"/>
    <w:rsid w:val="00360874"/>
    <w:rsid w:val="003608EA"/>
    <w:rsid w:val="00360911"/>
    <w:rsid w:val="00360947"/>
    <w:rsid w:val="0036096D"/>
    <w:rsid w:val="0036096E"/>
    <w:rsid w:val="00360987"/>
    <w:rsid w:val="003609AB"/>
    <w:rsid w:val="003609D1"/>
    <w:rsid w:val="003609EC"/>
    <w:rsid w:val="00360A35"/>
    <w:rsid w:val="00360A3E"/>
    <w:rsid w:val="00360A67"/>
    <w:rsid w:val="00360A8C"/>
    <w:rsid w:val="00360AA2"/>
    <w:rsid w:val="00360AC5"/>
    <w:rsid w:val="00360B17"/>
    <w:rsid w:val="00360B1B"/>
    <w:rsid w:val="00360B3F"/>
    <w:rsid w:val="00360BE9"/>
    <w:rsid w:val="00360BEE"/>
    <w:rsid w:val="00360C55"/>
    <w:rsid w:val="00360C5A"/>
    <w:rsid w:val="00360CB4"/>
    <w:rsid w:val="00360CEE"/>
    <w:rsid w:val="00360CFB"/>
    <w:rsid w:val="00360DE1"/>
    <w:rsid w:val="00360E00"/>
    <w:rsid w:val="00360E14"/>
    <w:rsid w:val="00360F23"/>
    <w:rsid w:val="00360F4E"/>
    <w:rsid w:val="00360F73"/>
    <w:rsid w:val="00360F76"/>
    <w:rsid w:val="00360FB3"/>
    <w:rsid w:val="00360FB9"/>
    <w:rsid w:val="00360FFA"/>
    <w:rsid w:val="00360FFB"/>
    <w:rsid w:val="00361033"/>
    <w:rsid w:val="00361053"/>
    <w:rsid w:val="003610CE"/>
    <w:rsid w:val="003610D6"/>
    <w:rsid w:val="003610F9"/>
    <w:rsid w:val="0036113D"/>
    <w:rsid w:val="00361187"/>
    <w:rsid w:val="00361193"/>
    <w:rsid w:val="003611E3"/>
    <w:rsid w:val="00361207"/>
    <w:rsid w:val="00361275"/>
    <w:rsid w:val="00361295"/>
    <w:rsid w:val="003612A6"/>
    <w:rsid w:val="003612B6"/>
    <w:rsid w:val="003612E2"/>
    <w:rsid w:val="003612EC"/>
    <w:rsid w:val="003612EF"/>
    <w:rsid w:val="003612FE"/>
    <w:rsid w:val="00361304"/>
    <w:rsid w:val="00361313"/>
    <w:rsid w:val="00361329"/>
    <w:rsid w:val="00361359"/>
    <w:rsid w:val="003613F7"/>
    <w:rsid w:val="0036140B"/>
    <w:rsid w:val="0036140E"/>
    <w:rsid w:val="00361427"/>
    <w:rsid w:val="00361438"/>
    <w:rsid w:val="0036144D"/>
    <w:rsid w:val="003614CB"/>
    <w:rsid w:val="00361508"/>
    <w:rsid w:val="0036155E"/>
    <w:rsid w:val="003615E5"/>
    <w:rsid w:val="003615ED"/>
    <w:rsid w:val="003615EE"/>
    <w:rsid w:val="0036160F"/>
    <w:rsid w:val="00361632"/>
    <w:rsid w:val="00361633"/>
    <w:rsid w:val="00361689"/>
    <w:rsid w:val="0036168A"/>
    <w:rsid w:val="003616A0"/>
    <w:rsid w:val="00361754"/>
    <w:rsid w:val="00361757"/>
    <w:rsid w:val="00361760"/>
    <w:rsid w:val="00361785"/>
    <w:rsid w:val="00361797"/>
    <w:rsid w:val="003617B4"/>
    <w:rsid w:val="003617BB"/>
    <w:rsid w:val="00361812"/>
    <w:rsid w:val="00361841"/>
    <w:rsid w:val="0036185C"/>
    <w:rsid w:val="00361898"/>
    <w:rsid w:val="00361927"/>
    <w:rsid w:val="00361997"/>
    <w:rsid w:val="003619D4"/>
    <w:rsid w:val="003619F1"/>
    <w:rsid w:val="00361A0D"/>
    <w:rsid w:val="00361A74"/>
    <w:rsid w:val="00361A7C"/>
    <w:rsid w:val="00361AA2"/>
    <w:rsid w:val="00361AB1"/>
    <w:rsid w:val="00361AB4"/>
    <w:rsid w:val="00361B2F"/>
    <w:rsid w:val="00361B31"/>
    <w:rsid w:val="00361B3A"/>
    <w:rsid w:val="00361B69"/>
    <w:rsid w:val="00361BCF"/>
    <w:rsid w:val="00361C35"/>
    <w:rsid w:val="00361C3B"/>
    <w:rsid w:val="00361C66"/>
    <w:rsid w:val="00361CBF"/>
    <w:rsid w:val="00361CD4"/>
    <w:rsid w:val="00361D12"/>
    <w:rsid w:val="00361D60"/>
    <w:rsid w:val="00361D6C"/>
    <w:rsid w:val="00361D90"/>
    <w:rsid w:val="00361DB0"/>
    <w:rsid w:val="00361DBE"/>
    <w:rsid w:val="00361DC3"/>
    <w:rsid w:val="00361DC4"/>
    <w:rsid w:val="00361DCA"/>
    <w:rsid w:val="00361DFA"/>
    <w:rsid w:val="00361E37"/>
    <w:rsid w:val="00361E40"/>
    <w:rsid w:val="00361E72"/>
    <w:rsid w:val="00361E77"/>
    <w:rsid w:val="00361E83"/>
    <w:rsid w:val="00361E98"/>
    <w:rsid w:val="00361EBD"/>
    <w:rsid w:val="00361F30"/>
    <w:rsid w:val="00361F68"/>
    <w:rsid w:val="00361F74"/>
    <w:rsid w:val="00361F7E"/>
    <w:rsid w:val="00361F98"/>
    <w:rsid w:val="00361FE1"/>
    <w:rsid w:val="00361FFC"/>
    <w:rsid w:val="0036200F"/>
    <w:rsid w:val="0036202E"/>
    <w:rsid w:val="0036203A"/>
    <w:rsid w:val="00362054"/>
    <w:rsid w:val="00362061"/>
    <w:rsid w:val="0036206A"/>
    <w:rsid w:val="00362073"/>
    <w:rsid w:val="003620B4"/>
    <w:rsid w:val="003620C1"/>
    <w:rsid w:val="003620E4"/>
    <w:rsid w:val="0036211D"/>
    <w:rsid w:val="0036218B"/>
    <w:rsid w:val="003621A0"/>
    <w:rsid w:val="003621AF"/>
    <w:rsid w:val="003621C4"/>
    <w:rsid w:val="003621CE"/>
    <w:rsid w:val="00362248"/>
    <w:rsid w:val="0036228D"/>
    <w:rsid w:val="0036229C"/>
    <w:rsid w:val="003622A4"/>
    <w:rsid w:val="00362309"/>
    <w:rsid w:val="00362318"/>
    <w:rsid w:val="00362326"/>
    <w:rsid w:val="00362332"/>
    <w:rsid w:val="003623E2"/>
    <w:rsid w:val="00362496"/>
    <w:rsid w:val="003624E3"/>
    <w:rsid w:val="003624ED"/>
    <w:rsid w:val="00362553"/>
    <w:rsid w:val="003625CA"/>
    <w:rsid w:val="003625D7"/>
    <w:rsid w:val="0036260D"/>
    <w:rsid w:val="00362635"/>
    <w:rsid w:val="00362661"/>
    <w:rsid w:val="00362669"/>
    <w:rsid w:val="00362673"/>
    <w:rsid w:val="003626F5"/>
    <w:rsid w:val="003626FC"/>
    <w:rsid w:val="0036272A"/>
    <w:rsid w:val="00362743"/>
    <w:rsid w:val="00362744"/>
    <w:rsid w:val="00362794"/>
    <w:rsid w:val="003627B6"/>
    <w:rsid w:val="003627C1"/>
    <w:rsid w:val="003627DA"/>
    <w:rsid w:val="003627FA"/>
    <w:rsid w:val="00362823"/>
    <w:rsid w:val="0036293B"/>
    <w:rsid w:val="003629EF"/>
    <w:rsid w:val="00362A7B"/>
    <w:rsid w:val="00362A9B"/>
    <w:rsid w:val="00362ABE"/>
    <w:rsid w:val="00362B0A"/>
    <w:rsid w:val="00362B11"/>
    <w:rsid w:val="00362B32"/>
    <w:rsid w:val="00362B7D"/>
    <w:rsid w:val="00362BB2"/>
    <w:rsid w:val="00362BD3"/>
    <w:rsid w:val="00362BE8"/>
    <w:rsid w:val="00362BF6"/>
    <w:rsid w:val="00362BFC"/>
    <w:rsid w:val="00362C00"/>
    <w:rsid w:val="00362C69"/>
    <w:rsid w:val="00362C74"/>
    <w:rsid w:val="00362CA4"/>
    <w:rsid w:val="00362CB2"/>
    <w:rsid w:val="00362D6D"/>
    <w:rsid w:val="00362E08"/>
    <w:rsid w:val="00362E5E"/>
    <w:rsid w:val="00362EB1"/>
    <w:rsid w:val="00362EFE"/>
    <w:rsid w:val="00362F05"/>
    <w:rsid w:val="00362F33"/>
    <w:rsid w:val="00362F92"/>
    <w:rsid w:val="00362FD5"/>
    <w:rsid w:val="00363023"/>
    <w:rsid w:val="00363059"/>
    <w:rsid w:val="003630EE"/>
    <w:rsid w:val="0036311D"/>
    <w:rsid w:val="0036317F"/>
    <w:rsid w:val="003631B6"/>
    <w:rsid w:val="003631C9"/>
    <w:rsid w:val="003631D5"/>
    <w:rsid w:val="003631DD"/>
    <w:rsid w:val="003631E6"/>
    <w:rsid w:val="00363203"/>
    <w:rsid w:val="0036320F"/>
    <w:rsid w:val="00363243"/>
    <w:rsid w:val="0036324D"/>
    <w:rsid w:val="00363274"/>
    <w:rsid w:val="0036331B"/>
    <w:rsid w:val="0036339F"/>
    <w:rsid w:val="003633B9"/>
    <w:rsid w:val="003633C4"/>
    <w:rsid w:val="003633F1"/>
    <w:rsid w:val="0036341A"/>
    <w:rsid w:val="003634A4"/>
    <w:rsid w:val="003634B7"/>
    <w:rsid w:val="003634D8"/>
    <w:rsid w:val="003634ED"/>
    <w:rsid w:val="00363526"/>
    <w:rsid w:val="003636A2"/>
    <w:rsid w:val="003636A6"/>
    <w:rsid w:val="003636BB"/>
    <w:rsid w:val="003636DC"/>
    <w:rsid w:val="003636FA"/>
    <w:rsid w:val="00363701"/>
    <w:rsid w:val="00363762"/>
    <w:rsid w:val="003637DA"/>
    <w:rsid w:val="003637E5"/>
    <w:rsid w:val="00363854"/>
    <w:rsid w:val="00363859"/>
    <w:rsid w:val="00363896"/>
    <w:rsid w:val="003638F2"/>
    <w:rsid w:val="003638F8"/>
    <w:rsid w:val="00363964"/>
    <w:rsid w:val="003639A9"/>
    <w:rsid w:val="003639FE"/>
    <w:rsid w:val="00363A51"/>
    <w:rsid w:val="00363A55"/>
    <w:rsid w:val="00363A56"/>
    <w:rsid w:val="00363AD8"/>
    <w:rsid w:val="00363AF4"/>
    <w:rsid w:val="00363AF5"/>
    <w:rsid w:val="00363B34"/>
    <w:rsid w:val="00363B3A"/>
    <w:rsid w:val="00363BF4"/>
    <w:rsid w:val="00363BF5"/>
    <w:rsid w:val="00363C23"/>
    <w:rsid w:val="00363C6D"/>
    <w:rsid w:val="00363C70"/>
    <w:rsid w:val="00363CC2"/>
    <w:rsid w:val="00363D2B"/>
    <w:rsid w:val="00363DD8"/>
    <w:rsid w:val="00363DDA"/>
    <w:rsid w:val="00363DF6"/>
    <w:rsid w:val="00363E23"/>
    <w:rsid w:val="00363EC3"/>
    <w:rsid w:val="00363EC8"/>
    <w:rsid w:val="00363EEA"/>
    <w:rsid w:val="00363F25"/>
    <w:rsid w:val="00363F51"/>
    <w:rsid w:val="00363F5D"/>
    <w:rsid w:val="00363F65"/>
    <w:rsid w:val="00363FC6"/>
    <w:rsid w:val="00363FF7"/>
    <w:rsid w:val="00363FFA"/>
    <w:rsid w:val="0036401A"/>
    <w:rsid w:val="00364044"/>
    <w:rsid w:val="00364096"/>
    <w:rsid w:val="0036409F"/>
    <w:rsid w:val="0036410C"/>
    <w:rsid w:val="0036413D"/>
    <w:rsid w:val="0036419A"/>
    <w:rsid w:val="003641C2"/>
    <w:rsid w:val="003641DC"/>
    <w:rsid w:val="003641DD"/>
    <w:rsid w:val="003641FA"/>
    <w:rsid w:val="0036422E"/>
    <w:rsid w:val="00364249"/>
    <w:rsid w:val="00364321"/>
    <w:rsid w:val="00364339"/>
    <w:rsid w:val="00364387"/>
    <w:rsid w:val="003643CA"/>
    <w:rsid w:val="003643F5"/>
    <w:rsid w:val="00364416"/>
    <w:rsid w:val="00364428"/>
    <w:rsid w:val="00364458"/>
    <w:rsid w:val="00364491"/>
    <w:rsid w:val="003644B5"/>
    <w:rsid w:val="003644B8"/>
    <w:rsid w:val="003644DE"/>
    <w:rsid w:val="003644E2"/>
    <w:rsid w:val="003644FF"/>
    <w:rsid w:val="00364535"/>
    <w:rsid w:val="00364570"/>
    <w:rsid w:val="003645A4"/>
    <w:rsid w:val="003645E1"/>
    <w:rsid w:val="00364653"/>
    <w:rsid w:val="00364654"/>
    <w:rsid w:val="00364686"/>
    <w:rsid w:val="00364747"/>
    <w:rsid w:val="00364755"/>
    <w:rsid w:val="0036475A"/>
    <w:rsid w:val="003647A6"/>
    <w:rsid w:val="003647C3"/>
    <w:rsid w:val="003647EB"/>
    <w:rsid w:val="003647F3"/>
    <w:rsid w:val="00364820"/>
    <w:rsid w:val="00364856"/>
    <w:rsid w:val="0036485C"/>
    <w:rsid w:val="0036486B"/>
    <w:rsid w:val="003648E0"/>
    <w:rsid w:val="00364914"/>
    <w:rsid w:val="00364918"/>
    <w:rsid w:val="00364954"/>
    <w:rsid w:val="00364956"/>
    <w:rsid w:val="0036495B"/>
    <w:rsid w:val="00364973"/>
    <w:rsid w:val="0036498D"/>
    <w:rsid w:val="003649F7"/>
    <w:rsid w:val="00364A1C"/>
    <w:rsid w:val="00364A5E"/>
    <w:rsid w:val="00364AA9"/>
    <w:rsid w:val="00364ABB"/>
    <w:rsid w:val="00364AC4"/>
    <w:rsid w:val="00364ADF"/>
    <w:rsid w:val="00364AE9"/>
    <w:rsid w:val="00364AEC"/>
    <w:rsid w:val="00364B23"/>
    <w:rsid w:val="00364B68"/>
    <w:rsid w:val="00364B78"/>
    <w:rsid w:val="00364BC9"/>
    <w:rsid w:val="00364BE0"/>
    <w:rsid w:val="00364CB8"/>
    <w:rsid w:val="00364D2D"/>
    <w:rsid w:val="00364D35"/>
    <w:rsid w:val="00364D44"/>
    <w:rsid w:val="00364D55"/>
    <w:rsid w:val="00364D5F"/>
    <w:rsid w:val="00364D7B"/>
    <w:rsid w:val="00364D9C"/>
    <w:rsid w:val="00364DC7"/>
    <w:rsid w:val="00364DD1"/>
    <w:rsid w:val="00364DF9"/>
    <w:rsid w:val="00364E09"/>
    <w:rsid w:val="00364E23"/>
    <w:rsid w:val="00364E25"/>
    <w:rsid w:val="00364E3E"/>
    <w:rsid w:val="00364E47"/>
    <w:rsid w:val="00364E7E"/>
    <w:rsid w:val="00364E8D"/>
    <w:rsid w:val="00364E9C"/>
    <w:rsid w:val="00364EE2"/>
    <w:rsid w:val="00364EF9"/>
    <w:rsid w:val="00364FAF"/>
    <w:rsid w:val="00364FF0"/>
    <w:rsid w:val="00365008"/>
    <w:rsid w:val="00365092"/>
    <w:rsid w:val="003650B4"/>
    <w:rsid w:val="003650DF"/>
    <w:rsid w:val="00365101"/>
    <w:rsid w:val="00365120"/>
    <w:rsid w:val="00365127"/>
    <w:rsid w:val="00365163"/>
    <w:rsid w:val="00365189"/>
    <w:rsid w:val="003651C0"/>
    <w:rsid w:val="003651E3"/>
    <w:rsid w:val="0036524D"/>
    <w:rsid w:val="00365388"/>
    <w:rsid w:val="0036538E"/>
    <w:rsid w:val="003653A6"/>
    <w:rsid w:val="003653B4"/>
    <w:rsid w:val="00365413"/>
    <w:rsid w:val="00365422"/>
    <w:rsid w:val="0036545D"/>
    <w:rsid w:val="003654EE"/>
    <w:rsid w:val="0036552C"/>
    <w:rsid w:val="0036556B"/>
    <w:rsid w:val="00365596"/>
    <w:rsid w:val="003655E7"/>
    <w:rsid w:val="00365606"/>
    <w:rsid w:val="0036563B"/>
    <w:rsid w:val="00365666"/>
    <w:rsid w:val="0036567C"/>
    <w:rsid w:val="00365686"/>
    <w:rsid w:val="003656DA"/>
    <w:rsid w:val="00365766"/>
    <w:rsid w:val="003657A1"/>
    <w:rsid w:val="003657A3"/>
    <w:rsid w:val="0036589D"/>
    <w:rsid w:val="00365956"/>
    <w:rsid w:val="003659B0"/>
    <w:rsid w:val="003659F3"/>
    <w:rsid w:val="00365A2E"/>
    <w:rsid w:val="00365A40"/>
    <w:rsid w:val="00365A68"/>
    <w:rsid w:val="00365A89"/>
    <w:rsid w:val="00365A95"/>
    <w:rsid w:val="00365B6B"/>
    <w:rsid w:val="00365B72"/>
    <w:rsid w:val="00365BA9"/>
    <w:rsid w:val="00365BB5"/>
    <w:rsid w:val="00365BBF"/>
    <w:rsid w:val="00365C41"/>
    <w:rsid w:val="00365C6E"/>
    <w:rsid w:val="00365CD9"/>
    <w:rsid w:val="00365D1F"/>
    <w:rsid w:val="00365D53"/>
    <w:rsid w:val="00365E52"/>
    <w:rsid w:val="00365E67"/>
    <w:rsid w:val="00365E8A"/>
    <w:rsid w:val="00365EB7"/>
    <w:rsid w:val="00365EE6"/>
    <w:rsid w:val="00365FC1"/>
    <w:rsid w:val="003660EE"/>
    <w:rsid w:val="003660FC"/>
    <w:rsid w:val="0036611E"/>
    <w:rsid w:val="0036615E"/>
    <w:rsid w:val="003661B3"/>
    <w:rsid w:val="003661C4"/>
    <w:rsid w:val="003661C7"/>
    <w:rsid w:val="003661CC"/>
    <w:rsid w:val="003661E9"/>
    <w:rsid w:val="00366204"/>
    <w:rsid w:val="00366223"/>
    <w:rsid w:val="00366244"/>
    <w:rsid w:val="00366276"/>
    <w:rsid w:val="00366300"/>
    <w:rsid w:val="00366350"/>
    <w:rsid w:val="00366390"/>
    <w:rsid w:val="003663A4"/>
    <w:rsid w:val="003663DF"/>
    <w:rsid w:val="003663E2"/>
    <w:rsid w:val="003663E3"/>
    <w:rsid w:val="0036643B"/>
    <w:rsid w:val="00366472"/>
    <w:rsid w:val="00366474"/>
    <w:rsid w:val="00366480"/>
    <w:rsid w:val="003664DD"/>
    <w:rsid w:val="00366547"/>
    <w:rsid w:val="00366581"/>
    <w:rsid w:val="0036667B"/>
    <w:rsid w:val="00366687"/>
    <w:rsid w:val="0036670C"/>
    <w:rsid w:val="0036671F"/>
    <w:rsid w:val="00366728"/>
    <w:rsid w:val="00366732"/>
    <w:rsid w:val="0036673F"/>
    <w:rsid w:val="00366758"/>
    <w:rsid w:val="003667A4"/>
    <w:rsid w:val="003667B7"/>
    <w:rsid w:val="003667C9"/>
    <w:rsid w:val="00366814"/>
    <w:rsid w:val="00366826"/>
    <w:rsid w:val="003668E9"/>
    <w:rsid w:val="00366947"/>
    <w:rsid w:val="0036697A"/>
    <w:rsid w:val="0036699F"/>
    <w:rsid w:val="003669A9"/>
    <w:rsid w:val="003669D4"/>
    <w:rsid w:val="00366A22"/>
    <w:rsid w:val="00366AB4"/>
    <w:rsid w:val="00366AB5"/>
    <w:rsid w:val="00366AD9"/>
    <w:rsid w:val="00366B18"/>
    <w:rsid w:val="00366B21"/>
    <w:rsid w:val="00366B37"/>
    <w:rsid w:val="00366B79"/>
    <w:rsid w:val="00366B8E"/>
    <w:rsid w:val="00366BD7"/>
    <w:rsid w:val="00366BFD"/>
    <w:rsid w:val="00366C79"/>
    <w:rsid w:val="00366CF0"/>
    <w:rsid w:val="00366D14"/>
    <w:rsid w:val="00366D33"/>
    <w:rsid w:val="00366D64"/>
    <w:rsid w:val="00366D94"/>
    <w:rsid w:val="00366D95"/>
    <w:rsid w:val="00366DBB"/>
    <w:rsid w:val="00366E0C"/>
    <w:rsid w:val="00366E0D"/>
    <w:rsid w:val="00366E2E"/>
    <w:rsid w:val="00366F51"/>
    <w:rsid w:val="00366F55"/>
    <w:rsid w:val="00366F56"/>
    <w:rsid w:val="00366FC1"/>
    <w:rsid w:val="00366FE7"/>
    <w:rsid w:val="00366FFA"/>
    <w:rsid w:val="0036702D"/>
    <w:rsid w:val="00367067"/>
    <w:rsid w:val="003670AD"/>
    <w:rsid w:val="003670BC"/>
    <w:rsid w:val="003670CB"/>
    <w:rsid w:val="003670FB"/>
    <w:rsid w:val="0036711D"/>
    <w:rsid w:val="00367172"/>
    <w:rsid w:val="0036717F"/>
    <w:rsid w:val="00367184"/>
    <w:rsid w:val="003671CE"/>
    <w:rsid w:val="0036725A"/>
    <w:rsid w:val="0036725D"/>
    <w:rsid w:val="003672C0"/>
    <w:rsid w:val="0036733B"/>
    <w:rsid w:val="00367343"/>
    <w:rsid w:val="00367393"/>
    <w:rsid w:val="003673D4"/>
    <w:rsid w:val="003673E3"/>
    <w:rsid w:val="00367425"/>
    <w:rsid w:val="00367438"/>
    <w:rsid w:val="00367475"/>
    <w:rsid w:val="00367483"/>
    <w:rsid w:val="00367504"/>
    <w:rsid w:val="00367541"/>
    <w:rsid w:val="003675D2"/>
    <w:rsid w:val="0036765D"/>
    <w:rsid w:val="003676A8"/>
    <w:rsid w:val="003676DD"/>
    <w:rsid w:val="0036772F"/>
    <w:rsid w:val="00367761"/>
    <w:rsid w:val="00367764"/>
    <w:rsid w:val="00367768"/>
    <w:rsid w:val="00367784"/>
    <w:rsid w:val="003677C5"/>
    <w:rsid w:val="003677E8"/>
    <w:rsid w:val="00367818"/>
    <w:rsid w:val="00367838"/>
    <w:rsid w:val="00367862"/>
    <w:rsid w:val="0036786C"/>
    <w:rsid w:val="00367885"/>
    <w:rsid w:val="0036790E"/>
    <w:rsid w:val="00367941"/>
    <w:rsid w:val="00367995"/>
    <w:rsid w:val="003679C6"/>
    <w:rsid w:val="003679FF"/>
    <w:rsid w:val="00367A29"/>
    <w:rsid w:val="00367A6E"/>
    <w:rsid w:val="00367A8E"/>
    <w:rsid w:val="00367AB8"/>
    <w:rsid w:val="00367AC2"/>
    <w:rsid w:val="00367AFF"/>
    <w:rsid w:val="00367B23"/>
    <w:rsid w:val="00367B45"/>
    <w:rsid w:val="00367BD9"/>
    <w:rsid w:val="00367BDD"/>
    <w:rsid w:val="00367BF6"/>
    <w:rsid w:val="00367C78"/>
    <w:rsid w:val="00367D07"/>
    <w:rsid w:val="00367D47"/>
    <w:rsid w:val="00367D6C"/>
    <w:rsid w:val="00367D7F"/>
    <w:rsid w:val="00367D97"/>
    <w:rsid w:val="00367DC3"/>
    <w:rsid w:val="00367DD3"/>
    <w:rsid w:val="00367DD6"/>
    <w:rsid w:val="00367DDE"/>
    <w:rsid w:val="00367E7F"/>
    <w:rsid w:val="00367EA1"/>
    <w:rsid w:val="00367F33"/>
    <w:rsid w:val="00367F45"/>
    <w:rsid w:val="0037002F"/>
    <w:rsid w:val="00370056"/>
    <w:rsid w:val="0037007E"/>
    <w:rsid w:val="003700E7"/>
    <w:rsid w:val="0037014F"/>
    <w:rsid w:val="00370167"/>
    <w:rsid w:val="00370173"/>
    <w:rsid w:val="00370182"/>
    <w:rsid w:val="0037023F"/>
    <w:rsid w:val="00370269"/>
    <w:rsid w:val="00370282"/>
    <w:rsid w:val="003702B0"/>
    <w:rsid w:val="003702F5"/>
    <w:rsid w:val="0037032E"/>
    <w:rsid w:val="00370343"/>
    <w:rsid w:val="00370370"/>
    <w:rsid w:val="00370394"/>
    <w:rsid w:val="003703D3"/>
    <w:rsid w:val="003703E9"/>
    <w:rsid w:val="00370417"/>
    <w:rsid w:val="0037046A"/>
    <w:rsid w:val="003704BC"/>
    <w:rsid w:val="003704D8"/>
    <w:rsid w:val="00370510"/>
    <w:rsid w:val="0037054D"/>
    <w:rsid w:val="0037054E"/>
    <w:rsid w:val="00370578"/>
    <w:rsid w:val="003705E8"/>
    <w:rsid w:val="00370655"/>
    <w:rsid w:val="00370672"/>
    <w:rsid w:val="0037068F"/>
    <w:rsid w:val="003706A1"/>
    <w:rsid w:val="00370707"/>
    <w:rsid w:val="00370735"/>
    <w:rsid w:val="00370761"/>
    <w:rsid w:val="0037076C"/>
    <w:rsid w:val="00370784"/>
    <w:rsid w:val="00370789"/>
    <w:rsid w:val="00370791"/>
    <w:rsid w:val="003707B5"/>
    <w:rsid w:val="0037081D"/>
    <w:rsid w:val="00370822"/>
    <w:rsid w:val="0037082B"/>
    <w:rsid w:val="00370855"/>
    <w:rsid w:val="00370891"/>
    <w:rsid w:val="00370894"/>
    <w:rsid w:val="003708CD"/>
    <w:rsid w:val="0037092A"/>
    <w:rsid w:val="00370992"/>
    <w:rsid w:val="00370AED"/>
    <w:rsid w:val="00370B4E"/>
    <w:rsid w:val="00370B4F"/>
    <w:rsid w:val="00370B5A"/>
    <w:rsid w:val="00370B5D"/>
    <w:rsid w:val="00370C15"/>
    <w:rsid w:val="00370C24"/>
    <w:rsid w:val="00370C9E"/>
    <w:rsid w:val="00370CAD"/>
    <w:rsid w:val="00370D2F"/>
    <w:rsid w:val="00370D6F"/>
    <w:rsid w:val="00370EC3"/>
    <w:rsid w:val="00370F47"/>
    <w:rsid w:val="0037102B"/>
    <w:rsid w:val="00371159"/>
    <w:rsid w:val="00371195"/>
    <w:rsid w:val="003711D4"/>
    <w:rsid w:val="003712E0"/>
    <w:rsid w:val="003712F5"/>
    <w:rsid w:val="003712F7"/>
    <w:rsid w:val="0037131F"/>
    <w:rsid w:val="0037132E"/>
    <w:rsid w:val="00371336"/>
    <w:rsid w:val="0037139E"/>
    <w:rsid w:val="003713AF"/>
    <w:rsid w:val="003713DB"/>
    <w:rsid w:val="003713F1"/>
    <w:rsid w:val="00371461"/>
    <w:rsid w:val="003714D8"/>
    <w:rsid w:val="003714F8"/>
    <w:rsid w:val="003714FE"/>
    <w:rsid w:val="00371506"/>
    <w:rsid w:val="0037150B"/>
    <w:rsid w:val="003715B7"/>
    <w:rsid w:val="003715C4"/>
    <w:rsid w:val="0037162F"/>
    <w:rsid w:val="0037167F"/>
    <w:rsid w:val="003716BF"/>
    <w:rsid w:val="003716E2"/>
    <w:rsid w:val="003716E4"/>
    <w:rsid w:val="00371761"/>
    <w:rsid w:val="00371782"/>
    <w:rsid w:val="003717CC"/>
    <w:rsid w:val="003717E6"/>
    <w:rsid w:val="00371821"/>
    <w:rsid w:val="003718F4"/>
    <w:rsid w:val="00371929"/>
    <w:rsid w:val="003719FD"/>
    <w:rsid w:val="00371A3C"/>
    <w:rsid w:val="00371A54"/>
    <w:rsid w:val="00371B61"/>
    <w:rsid w:val="00371B6C"/>
    <w:rsid w:val="00371B9E"/>
    <w:rsid w:val="00371BD9"/>
    <w:rsid w:val="00371BF5"/>
    <w:rsid w:val="00371C11"/>
    <w:rsid w:val="00371C40"/>
    <w:rsid w:val="00371C68"/>
    <w:rsid w:val="00371CB4"/>
    <w:rsid w:val="00371D43"/>
    <w:rsid w:val="00371DA5"/>
    <w:rsid w:val="00371DB1"/>
    <w:rsid w:val="00371DD5"/>
    <w:rsid w:val="00371DE1"/>
    <w:rsid w:val="00371DE7"/>
    <w:rsid w:val="00371E34"/>
    <w:rsid w:val="00371E52"/>
    <w:rsid w:val="00371E68"/>
    <w:rsid w:val="00371EB9"/>
    <w:rsid w:val="00371EEF"/>
    <w:rsid w:val="00371EF2"/>
    <w:rsid w:val="00371EFB"/>
    <w:rsid w:val="00371F04"/>
    <w:rsid w:val="00371F27"/>
    <w:rsid w:val="00371FA8"/>
    <w:rsid w:val="00371FAC"/>
    <w:rsid w:val="00371FAE"/>
    <w:rsid w:val="00371FC4"/>
    <w:rsid w:val="00371FCA"/>
    <w:rsid w:val="00371FFC"/>
    <w:rsid w:val="00372011"/>
    <w:rsid w:val="00372020"/>
    <w:rsid w:val="00372044"/>
    <w:rsid w:val="00372082"/>
    <w:rsid w:val="003720C5"/>
    <w:rsid w:val="0037211C"/>
    <w:rsid w:val="00372131"/>
    <w:rsid w:val="00372139"/>
    <w:rsid w:val="0037217D"/>
    <w:rsid w:val="003721C3"/>
    <w:rsid w:val="003721FA"/>
    <w:rsid w:val="00372219"/>
    <w:rsid w:val="00372241"/>
    <w:rsid w:val="00372271"/>
    <w:rsid w:val="00372291"/>
    <w:rsid w:val="003722B3"/>
    <w:rsid w:val="003722DA"/>
    <w:rsid w:val="0037232C"/>
    <w:rsid w:val="0037243E"/>
    <w:rsid w:val="00372458"/>
    <w:rsid w:val="0037246E"/>
    <w:rsid w:val="0037247F"/>
    <w:rsid w:val="003724CB"/>
    <w:rsid w:val="0037251C"/>
    <w:rsid w:val="00372543"/>
    <w:rsid w:val="0037258E"/>
    <w:rsid w:val="003725B9"/>
    <w:rsid w:val="003725FE"/>
    <w:rsid w:val="00372653"/>
    <w:rsid w:val="003726BD"/>
    <w:rsid w:val="003726F4"/>
    <w:rsid w:val="003726F8"/>
    <w:rsid w:val="0037273A"/>
    <w:rsid w:val="0037274C"/>
    <w:rsid w:val="0037275D"/>
    <w:rsid w:val="003727B5"/>
    <w:rsid w:val="00372821"/>
    <w:rsid w:val="003728B2"/>
    <w:rsid w:val="003728BB"/>
    <w:rsid w:val="00372942"/>
    <w:rsid w:val="00372946"/>
    <w:rsid w:val="00372A9E"/>
    <w:rsid w:val="00372AAB"/>
    <w:rsid w:val="00372B48"/>
    <w:rsid w:val="00372B4A"/>
    <w:rsid w:val="00372B80"/>
    <w:rsid w:val="00372B9B"/>
    <w:rsid w:val="00372BC1"/>
    <w:rsid w:val="00372C07"/>
    <w:rsid w:val="00372C09"/>
    <w:rsid w:val="00372C10"/>
    <w:rsid w:val="00372C8B"/>
    <w:rsid w:val="00372CBD"/>
    <w:rsid w:val="00372CE8"/>
    <w:rsid w:val="00372CFF"/>
    <w:rsid w:val="00372D0F"/>
    <w:rsid w:val="00372D90"/>
    <w:rsid w:val="00372DAA"/>
    <w:rsid w:val="00372DF5"/>
    <w:rsid w:val="00372EB3"/>
    <w:rsid w:val="00372EFB"/>
    <w:rsid w:val="00372F05"/>
    <w:rsid w:val="00372F2F"/>
    <w:rsid w:val="00372FCA"/>
    <w:rsid w:val="00372FED"/>
    <w:rsid w:val="00373010"/>
    <w:rsid w:val="0037301F"/>
    <w:rsid w:val="00373035"/>
    <w:rsid w:val="00373083"/>
    <w:rsid w:val="003730AA"/>
    <w:rsid w:val="00373118"/>
    <w:rsid w:val="0037313F"/>
    <w:rsid w:val="00373148"/>
    <w:rsid w:val="003731D1"/>
    <w:rsid w:val="0037322D"/>
    <w:rsid w:val="0037324D"/>
    <w:rsid w:val="0037325C"/>
    <w:rsid w:val="003732AA"/>
    <w:rsid w:val="003732B8"/>
    <w:rsid w:val="003732F0"/>
    <w:rsid w:val="003732F1"/>
    <w:rsid w:val="0037332D"/>
    <w:rsid w:val="003733D9"/>
    <w:rsid w:val="003733E9"/>
    <w:rsid w:val="0037341E"/>
    <w:rsid w:val="00373429"/>
    <w:rsid w:val="00373432"/>
    <w:rsid w:val="00373533"/>
    <w:rsid w:val="0037355F"/>
    <w:rsid w:val="00373583"/>
    <w:rsid w:val="00373584"/>
    <w:rsid w:val="00373586"/>
    <w:rsid w:val="0037358B"/>
    <w:rsid w:val="003735A8"/>
    <w:rsid w:val="003735D5"/>
    <w:rsid w:val="00373622"/>
    <w:rsid w:val="0037364B"/>
    <w:rsid w:val="003736A7"/>
    <w:rsid w:val="003736AB"/>
    <w:rsid w:val="003736B6"/>
    <w:rsid w:val="003736ED"/>
    <w:rsid w:val="0037371B"/>
    <w:rsid w:val="00373761"/>
    <w:rsid w:val="003737B6"/>
    <w:rsid w:val="003737DD"/>
    <w:rsid w:val="00373814"/>
    <w:rsid w:val="0037381A"/>
    <w:rsid w:val="003738AC"/>
    <w:rsid w:val="003738DC"/>
    <w:rsid w:val="00373904"/>
    <w:rsid w:val="00373906"/>
    <w:rsid w:val="00373907"/>
    <w:rsid w:val="00373927"/>
    <w:rsid w:val="0037392E"/>
    <w:rsid w:val="0037395C"/>
    <w:rsid w:val="00373969"/>
    <w:rsid w:val="0037397F"/>
    <w:rsid w:val="0037399E"/>
    <w:rsid w:val="003739B5"/>
    <w:rsid w:val="003739C0"/>
    <w:rsid w:val="003739F4"/>
    <w:rsid w:val="00373A0D"/>
    <w:rsid w:val="00373A31"/>
    <w:rsid w:val="00373A3A"/>
    <w:rsid w:val="00373A46"/>
    <w:rsid w:val="00373A6E"/>
    <w:rsid w:val="00373B0E"/>
    <w:rsid w:val="00373B18"/>
    <w:rsid w:val="00373B29"/>
    <w:rsid w:val="00373B2D"/>
    <w:rsid w:val="00373BC3"/>
    <w:rsid w:val="00373C81"/>
    <w:rsid w:val="00373CA8"/>
    <w:rsid w:val="00373CC3"/>
    <w:rsid w:val="00373CC6"/>
    <w:rsid w:val="00373CFF"/>
    <w:rsid w:val="00373D16"/>
    <w:rsid w:val="00373D1D"/>
    <w:rsid w:val="00373D56"/>
    <w:rsid w:val="00373D63"/>
    <w:rsid w:val="00373DAA"/>
    <w:rsid w:val="00373DBB"/>
    <w:rsid w:val="00373DEC"/>
    <w:rsid w:val="00373DFA"/>
    <w:rsid w:val="00373E0D"/>
    <w:rsid w:val="00373E9C"/>
    <w:rsid w:val="00373EB2"/>
    <w:rsid w:val="00373EEA"/>
    <w:rsid w:val="00373F90"/>
    <w:rsid w:val="00373FF0"/>
    <w:rsid w:val="00374008"/>
    <w:rsid w:val="0037400D"/>
    <w:rsid w:val="00374078"/>
    <w:rsid w:val="003740A1"/>
    <w:rsid w:val="003740B8"/>
    <w:rsid w:val="003740CA"/>
    <w:rsid w:val="003740DB"/>
    <w:rsid w:val="003740DD"/>
    <w:rsid w:val="0037415E"/>
    <w:rsid w:val="00374186"/>
    <w:rsid w:val="003741A6"/>
    <w:rsid w:val="003741D5"/>
    <w:rsid w:val="0037423D"/>
    <w:rsid w:val="00374244"/>
    <w:rsid w:val="0037428F"/>
    <w:rsid w:val="003743C1"/>
    <w:rsid w:val="003743C5"/>
    <w:rsid w:val="0037447D"/>
    <w:rsid w:val="0037448E"/>
    <w:rsid w:val="00374497"/>
    <w:rsid w:val="003744C0"/>
    <w:rsid w:val="003744F0"/>
    <w:rsid w:val="0037451C"/>
    <w:rsid w:val="0037452A"/>
    <w:rsid w:val="0037454C"/>
    <w:rsid w:val="00374557"/>
    <w:rsid w:val="00374622"/>
    <w:rsid w:val="00374664"/>
    <w:rsid w:val="0037467B"/>
    <w:rsid w:val="00374689"/>
    <w:rsid w:val="003746F6"/>
    <w:rsid w:val="003746F8"/>
    <w:rsid w:val="00374736"/>
    <w:rsid w:val="00374758"/>
    <w:rsid w:val="003747A0"/>
    <w:rsid w:val="003747B4"/>
    <w:rsid w:val="003747CD"/>
    <w:rsid w:val="003747FF"/>
    <w:rsid w:val="00374819"/>
    <w:rsid w:val="00374826"/>
    <w:rsid w:val="00374834"/>
    <w:rsid w:val="003748BD"/>
    <w:rsid w:val="003748CF"/>
    <w:rsid w:val="00374928"/>
    <w:rsid w:val="0037493F"/>
    <w:rsid w:val="00374951"/>
    <w:rsid w:val="00374983"/>
    <w:rsid w:val="003749B3"/>
    <w:rsid w:val="003749DF"/>
    <w:rsid w:val="003749E7"/>
    <w:rsid w:val="00374A13"/>
    <w:rsid w:val="00374A20"/>
    <w:rsid w:val="00374A6C"/>
    <w:rsid w:val="00374AE0"/>
    <w:rsid w:val="00374B10"/>
    <w:rsid w:val="00374B1E"/>
    <w:rsid w:val="00374B40"/>
    <w:rsid w:val="00374B5C"/>
    <w:rsid w:val="00374B5E"/>
    <w:rsid w:val="00374B9B"/>
    <w:rsid w:val="00374BD2"/>
    <w:rsid w:val="00374BD3"/>
    <w:rsid w:val="00374C18"/>
    <w:rsid w:val="00374C1E"/>
    <w:rsid w:val="00374C35"/>
    <w:rsid w:val="00374CB1"/>
    <w:rsid w:val="00374CB2"/>
    <w:rsid w:val="00374CD0"/>
    <w:rsid w:val="00374CE9"/>
    <w:rsid w:val="00374D20"/>
    <w:rsid w:val="00374D43"/>
    <w:rsid w:val="00374D54"/>
    <w:rsid w:val="00374D56"/>
    <w:rsid w:val="00374D85"/>
    <w:rsid w:val="00374DA9"/>
    <w:rsid w:val="00374DC2"/>
    <w:rsid w:val="00374DEB"/>
    <w:rsid w:val="00374E1A"/>
    <w:rsid w:val="00374E41"/>
    <w:rsid w:val="00374E50"/>
    <w:rsid w:val="00374E70"/>
    <w:rsid w:val="00374F24"/>
    <w:rsid w:val="00374F79"/>
    <w:rsid w:val="00374FC3"/>
    <w:rsid w:val="00374FD8"/>
    <w:rsid w:val="00375040"/>
    <w:rsid w:val="00375049"/>
    <w:rsid w:val="00375089"/>
    <w:rsid w:val="003750B4"/>
    <w:rsid w:val="003750B6"/>
    <w:rsid w:val="00375108"/>
    <w:rsid w:val="0037521A"/>
    <w:rsid w:val="0037521C"/>
    <w:rsid w:val="0037523D"/>
    <w:rsid w:val="00375245"/>
    <w:rsid w:val="00375256"/>
    <w:rsid w:val="003752A3"/>
    <w:rsid w:val="003752D6"/>
    <w:rsid w:val="00375323"/>
    <w:rsid w:val="00375338"/>
    <w:rsid w:val="0037533C"/>
    <w:rsid w:val="003753C7"/>
    <w:rsid w:val="003753CA"/>
    <w:rsid w:val="00375466"/>
    <w:rsid w:val="0037546D"/>
    <w:rsid w:val="003754AB"/>
    <w:rsid w:val="003754C7"/>
    <w:rsid w:val="00375512"/>
    <w:rsid w:val="0037551F"/>
    <w:rsid w:val="0037554B"/>
    <w:rsid w:val="003755D2"/>
    <w:rsid w:val="003755D5"/>
    <w:rsid w:val="003755FA"/>
    <w:rsid w:val="0037561E"/>
    <w:rsid w:val="00375633"/>
    <w:rsid w:val="00375655"/>
    <w:rsid w:val="00375662"/>
    <w:rsid w:val="0037566A"/>
    <w:rsid w:val="003756BC"/>
    <w:rsid w:val="003756ED"/>
    <w:rsid w:val="00375723"/>
    <w:rsid w:val="0037574A"/>
    <w:rsid w:val="00375777"/>
    <w:rsid w:val="003757BB"/>
    <w:rsid w:val="00375828"/>
    <w:rsid w:val="00375831"/>
    <w:rsid w:val="00375852"/>
    <w:rsid w:val="00375891"/>
    <w:rsid w:val="003758BF"/>
    <w:rsid w:val="00375902"/>
    <w:rsid w:val="00375972"/>
    <w:rsid w:val="003759CB"/>
    <w:rsid w:val="003759EC"/>
    <w:rsid w:val="003759FA"/>
    <w:rsid w:val="00375A10"/>
    <w:rsid w:val="00375A39"/>
    <w:rsid w:val="00375A5D"/>
    <w:rsid w:val="00375A9A"/>
    <w:rsid w:val="00375AF7"/>
    <w:rsid w:val="00375B6E"/>
    <w:rsid w:val="00375B87"/>
    <w:rsid w:val="00375BE6"/>
    <w:rsid w:val="00375C14"/>
    <w:rsid w:val="00375C89"/>
    <w:rsid w:val="00375C9D"/>
    <w:rsid w:val="00375CBD"/>
    <w:rsid w:val="00375D1B"/>
    <w:rsid w:val="00375D1D"/>
    <w:rsid w:val="00375D75"/>
    <w:rsid w:val="00375DED"/>
    <w:rsid w:val="00375DF9"/>
    <w:rsid w:val="00375E34"/>
    <w:rsid w:val="00375E3B"/>
    <w:rsid w:val="00375E51"/>
    <w:rsid w:val="00375ED7"/>
    <w:rsid w:val="00375F3F"/>
    <w:rsid w:val="00375F4C"/>
    <w:rsid w:val="00375FAD"/>
    <w:rsid w:val="00375FC7"/>
    <w:rsid w:val="00376069"/>
    <w:rsid w:val="00376160"/>
    <w:rsid w:val="0037617F"/>
    <w:rsid w:val="003761AC"/>
    <w:rsid w:val="00376221"/>
    <w:rsid w:val="0037625B"/>
    <w:rsid w:val="0037629E"/>
    <w:rsid w:val="003762C0"/>
    <w:rsid w:val="003762FB"/>
    <w:rsid w:val="00376311"/>
    <w:rsid w:val="0037641D"/>
    <w:rsid w:val="00376425"/>
    <w:rsid w:val="00376426"/>
    <w:rsid w:val="0037642A"/>
    <w:rsid w:val="0037643F"/>
    <w:rsid w:val="0037646E"/>
    <w:rsid w:val="00376486"/>
    <w:rsid w:val="003764ED"/>
    <w:rsid w:val="00376530"/>
    <w:rsid w:val="00376551"/>
    <w:rsid w:val="003765C6"/>
    <w:rsid w:val="00376612"/>
    <w:rsid w:val="0037661A"/>
    <w:rsid w:val="0037666C"/>
    <w:rsid w:val="003766A6"/>
    <w:rsid w:val="003766AD"/>
    <w:rsid w:val="003766DD"/>
    <w:rsid w:val="0037672F"/>
    <w:rsid w:val="0037673D"/>
    <w:rsid w:val="00376746"/>
    <w:rsid w:val="003767F4"/>
    <w:rsid w:val="003767F6"/>
    <w:rsid w:val="00376808"/>
    <w:rsid w:val="0037680E"/>
    <w:rsid w:val="00376864"/>
    <w:rsid w:val="00376893"/>
    <w:rsid w:val="003768B4"/>
    <w:rsid w:val="003768B5"/>
    <w:rsid w:val="003768CE"/>
    <w:rsid w:val="00376910"/>
    <w:rsid w:val="00376925"/>
    <w:rsid w:val="00376957"/>
    <w:rsid w:val="00376972"/>
    <w:rsid w:val="00376992"/>
    <w:rsid w:val="003769E0"/>
    <w:rsid w:val="003769F5"/>
    <w:rsid w:val="00376A13"/>
    <w:rsid w:val="00376A56"/>
    <w:rsid w:val="00376A89"/>
    <w:rsid w:val="00376AF0"/>
    <w:rsid w:val="00376AFE"/>
    <w:rsid w:val="00376BCF"/>
    <w:rsid w:val="00376BD4"/>
    <w:rsid w:val="00376BEA"/>
    <w:rsid w:val="00376C0D"/>
    <w:rsid w:val="00376C1A"/>
    <w:rsid w:val="00376CC1"/>
    <w:rsid w:val="00376CD8"/>
    <w:rsid w:val="00376CEC"/>
    <w:rsid w:val="00376CF7"/>
    <w:rsid w:val="00376DA8"/>
    <w:rsid w:val="00376DA9"/>
    <w:rsid w:val="00376E55"/>
    <w:rsid w:val="00376E69"/>
    <w:rsid w:val="00376E9A"/>
    <w:rsid w:val="00376EAD"/>
    <w:rsid w:val="00376EDC"/>
    <w:rsid w:val="00376EED"/>
    <w:rsid w:val="00376EF0"/>
    <w:rsid w:val="00376F0F"/>
    <w:rsid w:val="00376F16"/>
    <w:rsid w:val="00376F1E"/>
    <w:rsid w:val="00376F62"/>
    <w:rsid w:val="00377037"/>
    <w:rsid w:val="00377082"/>
    <w:rsid w:val="0037711E"/>
    <w:rsid w:val="0037712E"/>
    <w:rsid w:val="00377167"/>
    <w:rsid w:val="0037717E"/>
    <w:rsid w:val="003771A8"/>
    <w:rsid w:val="00377209"/>
    <w:rsid w:val="0037726F"/>
    <w:rsid w:val="0037732B"/>
    <w:rsid w:val="0037732E"/>
    <w:rsid w:val="0037735D"/>
    <w:rsid w:val="003773A4"/>
    <w:rsid w:val="003773BA"/>
    <w:rsid w:val="003773F0"/>
    <w:rsid w:val="0037744C"/>
    <w:rsid w:val="00377515"/>
    <w:rsid w:val="00377533"/>
    <w:rsid w:val="00377609"/>
    <w:rsid w:val="00377623"/>
    <w:rsid w:val="0037764B"/>
    <w:rsid w:val="0037768F"/>
    <w:rsid w:val="003776B0"/>
    <w:rsid w:val="003776C8"/>
    <w:rsid w:val="00377706"/>
    <w:rsid w:val="00377764"/>
    <w:rsid w:val="0037777A"/>
    <w:rsid w:val="003777C5"/>
    <w:rsid w:val="003777D3"/>
    <w:rsid w:val="003777DE"/>
    <w:rsid w:val="0037781F"/>
    <w:rsid w:val="0037785E"/>
    <w:rsid w:val="00377891"/>
    <w:rsid w:val="003778A9"/>
    <w:rsid w:val="003778B7"/>
    <w:rsid w:val="003778D2"/>
    <w:rsid w:val="003778ED"/>
    <w:rsid w:val="003778FE"/>
    <w:rsid w:val="00377900"/>
    <w:rsid w:val="0037796A"/>
    <w:rsid w:val="00377972"/>
    <w:rsid w:val="003779EA"/>
    <w:rsid w:val="00377A25"/>
    <w:rsid w:val="00377AE5"/>
    <w:rsid w:val="00377B3C"/>
    <w:rsid w:val="00377B5C"/>
    <w:rsid w:val="00377BE6"/>
    <w:rsid w:val="00377CB7"/>
    <w:rsid w:val="00377CCB"/>
    <w:rsid w:val="00377CE2"/>
    <w:rsid w:val="00377CFC"/>
    <w:rsid w:val="00377D04"/>
    <w:rsid w:val="00377D82"/>
    <w:rsid w:val="00377D92"/>
    <w:rsid w:val="00377D9B"/>
    <w:rsid w:val="00377DAF"/>
    <w:rsid w:val="00377E15"/>
    <w:rsid w:val="00377E63"/>
    <w:rsid w:val="00377E71"/>
    <w:rsid w:val="00377E8D"/>
    <w:rsid w:val="00377E97"/>
    <w:rsid w:val="00377E9A"/>
    <w:rsid w:val="00377EF8"/>
    <w:rsid w:val="00377F09"/>
    <w:rsid w:val="00377F3A"/>
    <w:rsid w:val="00377FA6"/>
    <w:rsid w:val="00377FE9"/>
    <w:rsid w:val="0038004A"/>
    <w:rsid w:val="00380063"/>
    <w:rsid w:val="003800A5"/>
    <w:rsid w:val="003800E7"/>
    <w:rsid w:val="00380150"/>
    <w:rsid w:val="00380177"/>
    <w:rsid w:val="003801B1"/>
    <w:rsid w:val="003801F2"/>
    <w:rsid w:val="00380272"/>
    <w:rsid w:val="00380287"/>
    <w:rsid w:val="003802AF"/>
    <w:rsid w:val="0038034F"/>
    <w:rsid w:val="00380355"/>
    <w:rsid w:val="0038037C"/>
    <w:rsid w:val="003803E0"/>
    <w:rsid w:val="0038044C"/>
    <w:rsid w:val="00380467"/>
    <w:rsid w:val="0038047B"/>
    <w:rsid w:val="00380483"/>
    <w:rsid w:val="0038048E"/>
    <w:rsid w:val="003804DE"/>
    <w:rsid w:val="003804DF"/>
    <w:rsid w:val="00380505"/>
    <w:rsid w:val="00380508"/>
    <w:rsid w:val="003805B7"/>
    <w:rsid w:val="003805BB"/>
    <w:rsid w:val="003805E5"/>
    <w:rsid w:val="00380649"/>
    <w:rsid w:val="0038067E"/>
    <w:rsid w:val="003806C4"/>
    <w:rsid w:val="00380725"/>
    <w:rsid w:val="0038075D"/>
    <w:rsid w:val="00380783"/>
    <w:rsid w:val="0038079D"/>
    <w:rsid w:val="003807D1"/>
    <w:rsid w:val="0038085B"/>
    <w:rsid w:val="0038085F"/>
    <w:rsid w:val="003808D3"/>
    <w:rsid w:val="003808DA"/>
    <w:rsid w:val="00380976"/>
    <w:rsid w:val="00380A00"/>
    <w:rsid w:val="00380A7D"/>
    <w:rsid w:val="00380A90"/>
    <w:rsid w:val="00380ACE"/>
    <w:rsid w:val="00380B2E"/>
    <w:rsid w:val="00380B41"/>
    <w:rsid w:val="00380B75"/>
    <w:rsid w:val="00380B8C"/>
    <w:rsid w:val="00380BB5"/>
    <w:rsid w:val="00380BCC"/>
    <w:rsid w:val="00380C34"/>
    <w:rsid w:val="00380C3A"/>
    <w:rsid w:val="00380C6F"/>
    <w:rsid w:val="00380C80"/>
    <w:rsid w:val="00380CB7"/>
    <w:rsid w:val="00380CD5"/>
    <w:rsid w:val="00380D6C"/>
    <w:rsid w:val="00380D71"/>
    <w:rsid w:val="00380DB5"/>
    <w:rsid w:val="00380DFF"/>
    <w:rsid w:val="00380E39"/>
    <w:rsid w:val="00380EFC"/>
    <w:rsid w:val="00380F0A"/>
    <w:rsid w:val="00380F2B"/>
    <w:rsid w:val="00380F3E"/>
    <w:rsid w:val="00380F7B"/>
    <w:rsid w:val="00380FD3"/>
    <w:rsid w:val="0038101D"/>
    <w:rsid w:val="00381035"/>
    <w:rsid w:val="00381059"/>
    <w:rsid w:val="00381086"/>
    <w:rsid w:val="003810B2"/>
    <w:rsid w:val="0038112A"/>
    <w:rsid w:val="003811BB"/>
    <w:rsid w:val="003811F5"/>
    <w:rsid w:val="0038123A"/>
    <w:rsid w:val="003812C6"/>
    <w:rsid w:val="0038131D"/>
    <w:rsid w:val="0038136A"/>
    <w:rsid w:val="0038136C"/>
    <w:rsid w:val="00381385"/>
    <w:rsid w:val="003813E5"/>
    <w:rsid w:val="00381409"/>
    <w:rsid w:val="00381427"/>
    <w:rsid w:val="00381434"/>
    <w:rsid w:val="00381445"/>
    <w:rsid w:val="00381450"/>
    <w:rsid w:val="003814B9"/>
    <w:rsid w:val="00381513"/>
    <w:rsid w:val="00381522"/>
    <w:rsid w:val="00381562"/>
    <w:rsid w:val="00381566"/>
    <w:rsid w:val="00381568"/>
    <w:rsid w:val="00381595"/>
    <w:rsid w:val="003815B6"/>
    <w:rsid w:val="003815C0"/>
    <w:rsid w:val="003815C6"/>
    <w:rsid w:val="003815DE"/>
    <w:rsid w:val="003815FD"/>
    <w:rsid w:val="0038172E"/>
    <w:rsid w:val="00381744"/>
    <w:rsid w:val="00381746"/>
    <w:rsid w:val="00381752"/>
    <w:rsid w:val="00381765"/>
    <w:rsid w:val="00381802"/>
    <w:rsid w:val="0038183D"/>
    <w:rsid w:val="00381869"/>
    <w:rsid w:val="003818D8"/>
    <w:rsid w:val="003818DF"/>
    <w:rsid w:val="003818ED"/>
    <w:rsid w:val="0038190A"/>
    <w:rsid w:val="0038196E"/>
    <w:rsid w:val="00381994"/>
    <w:rsid w:val="003819CF"/>
    <w:rsid w:val="003819E9"/>
    <w:rsid w:val="003819F2"/>
    <w:rsid w:val="00381A10"/>
    <w:rsid w:val="00381A2D"/>
    <w:rsid w:val="00381A55"/>
    <w:rsid w:val="00381ABD"/>
    <w:rsid w:val="00381AF8"/>
    <w:rsid w:val="00381B0C"/>
    <w:rsid w:val="00381B66"/>
    <w:rsid w:val="00381B72"/>
    <w:rsid w:val="00381BC0"/>
    <w:rsid w:val="00381C14"/>
    <w:rsid w:val="00381C1D"/>
    <w:rsid w:val="00381C22"/>
    <w:rsid w:val="00381C4F"/>
    <w:rsid w:val="00381C98"/>
    <w:rsid w:val="00381C9D"/>
    <w:rsid w:val="00381CC4"/>
    <w:rsid w:val="00381D2D"/>
    <w:rsid w:val="00381D52"/>
    <w:rsid w:val="00381DA2"/>
    <w:rsid w:val="00381DFD"/>
    <w:rsid w:val="00381E37"/>
    <w:rsid w:val="00381E84"/>
    <w:rsid w:val="00381EC8"/>
    <w:rsid w:val="00381F91"/>
    <w:rsid w:val="00381FCB"/>
    <w:rsid w:val="00381FEB"/>
    <w:rsid w:val="0038205C"/>
    <w:rsid w:val="00382084"/>
    <w:rsid w:val="003820B0"/>
    <w:rsid w:val="0038212F"/>
    <w:rsid w:val="00382166"/>
    <w:rsid w:val="00382188"/>
    <w:rsid w:val="00382189"/>
    <w:rsid w:val="003821B3"/>
    <w:rsid w:val="0038221B"/>
    <w:rsid w:val="00382222"/>
    <w:rsid w:val="0038222A"/>
    <w:rsid w:val="00382248"/>
    <w:rsid w:val="0038225A"/>
    <w:rsid w:val="003822AC"/>
    <w:rsid w:val="003822C3"/>
    <w:rsid w:val="0038230D"/>
    <w:rsid w:val="0038230E"/>
    <w:rsid w:val="00382325"/>
    <w:rsid w:val="003823A1"/>
    <w:rsid w:val="003823F7"/>
    <w:rsid w:val="003823FB"/>
    <w:rsid w:val="00382412"/>
    <w:rsid w:val="00382489"/>
    <w:rsid w:val="003824C6"/>
    <w:rsid w:val="00382509"/>
    <w:rsid w:val="0038255A"/>
    <w:rsid w:val="00382573"/>
    <w:rsid w:val="003825CB"/>
    <w:rsid w:val="003825FC"/>
    <w:rsid w:val="00382658"/>
    <w:rsid w:val="003826E3"/>
    <w:rsid w:val="00382728"/>
    <w:rsid w:val="00382779"/>
    <w:rsid w:val="003827AA"/>
    <w:rsid w:val="0038281E"/>
    <w:rsid w:val="003828C4"/>
    <w:rsid w:val="00382940"/>
    <w:rsid w:val="003829C1"/>
    <w:rsid w:val="00382A4B"/>
    <w:rsid w:val="00382A66"/>
    <w:rsid w:val="00382A8C"/>
    <w:rsid w:val="00382A9A"/>
    <w:rsid w:val="00382B1C"/>
    <w:rsid w:val="00382B28"/>
    <w:rsid w:val="00382B4F"/>
    <w:rsid w:val="00382B8C"/>
    <w:rsid w:val="00382B8E"/>
    <w:rsid w:val="00382BFD"/>
    <w:rsid w:val="00382C97"/>
    <w:rsid w:val="00382D6A"/>
    <w:rsid w:val="00382DC7"/>
    <w:rsid w:val="00382DE6"/>
    <w:rsid w:val="00382DFB"/>
    <w:rsid w:val="00382E6C"/>
    <w:rsid w:val="00382E8E"/>
    <w:rsid w:val="00382EC9"/>
    <w:rsid w:val="00382EE6"/>
    <w:rsid w:val="00382F69"/>
    <w:rsid w:val="00383017"/>
    <w:rsid w:val="00383023"/>
    <w:rsid w:val="00383054"/>
    <w:rsid w:val="00383080"/>
    <w:rsid w:val="003830B2"/>
    <w:rsid w:val="003830C1"/>
    <w:rsid w:val="003830C4"/>
    <w:rsid w:val="003830CC"/>
    <w:rsid w:val="003830FE"/>
    <w:rsid w:val="00383109"/>
    <w:rsid w:val="0038313D"/>
    <w:rsid w:val="0038313F"/>
    <w:rsid w:val="00383165"/>
    <w:rsid w:val="0038316F"/>
    <w:rsid w:val="003831DA"/>
    <w:rsid w:val="0038322D"/>
    <w:rsid w:val="00383262"/>
    <w:rsid w:val="00383307"/>
    <w:rsid w:val="00383317"/>
    <w:rsid w:val="003833BB"/>
    <w:rsid w:val="003833BC"/>
    <w:rsid w:val="0038345A"/>
    <w:rsid w:val="00383477"/>
    <w:rsid w:val="0038348A"/>
    <w:rsid w:val="003834AE"/>
    <w:rsid w:val="003834F7"/>
    <w:rsid w:val="0038352B"/>
    <w:rsid w:val="003835CE"/>
    <w:rsid w:val="003835FA"/>
    <w:rsid w:val="00383701"/>
    <w:rsid w:val="0038370D"/>
    <w:rsid w:val="00383756"/>
    <w:rsid w:val="0038376F"/>
    <w:rsid w:val="00383780"/>
    <w:rsid w:val="003837D5"/>
    <w:rsid w:val="00383802"/>
    <w:rsid w:val="00383803"/>
    <w:rsid w:val="00383818"/>
    <w:rsid w:val="00383821"/>
    <w:rsid w:val="0038383E"/>
    <w:rsid w:val="0038384B"/>
    <w:rsid w:val="003838B3"/>
    <w:rsid w:val="003838EA"/>
    <w:rsid w:val="0038390C"/>
    <w:rsid w:val="0038392E"/>
    <w:rsid w:val="00383998"/>
    <w:rsid w:val="003839B6"/>
    <w:rsid w:val="00383A0F"/>
    <w:rsid w:val="00383A61"/>
    <w:rsid w:val="00383A64"/>
    <w:rsid w:val="00383A91"/>
    <w:rsid w:val="00383B0C"/>
    <w:rsid w:val="00383B8D"/>
    <w:rsid w:val="00383B96"/>
    <w:rsid w:val="00383BBE"/>
    <w:rsid w:val="00383BDB"/>
    <w:rsid w:val="00383C2A"/>
    <w:rsid w:val="00383C85"/>
    <w:rsid w:val="00383CA5"/>
    <w:rsid w:val="00383CD8"/>
    <w:rsid w:val="00383CF0"/>
    <w:rsid w:val="00383D08"/>
    <w:rsid w:val="00383DD2"/>
    <w:rsid w:val="00383E24"/>
    <w:rsid w:val="00383E83"/>
    <w:rsid w:val="00383E8A"/>
    <w:rsid w:val="00383EC2"/>
    <w:rsid w:val="00383F28"/>
    <w:rsid w:val="00383F31"/>
    <w:rsid w:val="00383F38"/>
    <w:rsid w:val="00384031"/>
    <w:rsid w:val="00384050"/>
    <w:rsid w:val="003840D5"/>
    <w:rsid w:val="003840F2"/>
    <w:rsid w:val="0038413B"/>
    <w:rsid w:val="00384161"/>
    <w:rsid w:val="00384220"/>
    <w:rsid w:val="00384274"/>
    <w:rsid w:val="00384280"/>
    <w:rsid w:val="0038428C"/>
    <w:rsid w:val="00384298"/>
    <w:rsid w:val="003842A0"/>
    <w:rsid w:val="0038431C"/>
    <w:rsid w:val="00384370"/>
    <w:rsid w:val="00384391"/>
    <w:rsid w:val="00384392"/>
    <w:rsid w:val="003843A4"/>
    <w:rsid w:val="003843F8"/>
    <w:rsid w:val="0038441A"/>
    <w:rsid w:val="0038441E"/>
    <w:rsid w:val="00384456"/>
    <w:rsid w:val="003844A5"/>
    <w:rsid w:val="003844C5"/>
    <w:rsid w:val="0038451D"/>
    <w:rsid w:val="00384530"/>
    <w:rsid w:val="00384607"/>
    <w:rsid w:val="0038464F"/>
    <w:rsid w:val="00384699"/>
    <w:rsid w:val="003846BC"/>
    <w:rsid w:val="003846D9"/>
    <w:rsid w:val="003846FB"/>
    <w:rsid w:val="0038472D"/>
    <w:rsid w:val="00384734"/>
    <w:rsid w:val="003847FA"/>
    <w:rsid w:val="00384806"/>
    <w:rsid w:val="0038480D"/>
    <w:rsid w:val="0038481A"/>
    <w:rsid w:val="0038482E"/>
    <w:rsid w:val="00384845"/>
    <w:rsid w:val="00384855"/>
    <w:rsid w:val="0038489E"/>
    <w:rsid w:val="003848AF"/>
    <w:rsid w:val="003848C0"/>
    <w:rsid w:val="00384917"/>
    <w:rsid w:val="0038494D"/>
    <w:rsid w:val="00384A78"/>
    <w:rsid w:val="00384AB0"/>
    <w:rsid w:val="00384AF8"/>
    <w:rsid w:val="00384B46"/>
    <w:rsid w:val="00384B83"/>
    <w:rsid w:val="00384BD2"/>
    <w:rsid w:val="00384BDE"/>
    <w:rsid w:val="00384C99"/>
    <w:rsid w:val="00384CB2"/>
    <w:rsid w:val="00384CB3"/>
    <w:rsid w:val="00384CBC"/>
    <w:rsid w:val="00384CC9"/>
    <w:rsid w:val="00384CF6"/>
    <w:rsid w:val="00384CFC"/>
    <w:rsid w:val="00384D36"/>
    <w:rsid w:val="00384D93"/>
    <w:rsid w:val="00384DCD"/>
    <w:rsid w:val="00384DE7"/>
    <w:rsid w:val="00384E3F"/>
    <w:rsid w:val="00384ED0"/>
    <w:rsid w:val="00384EE3"/>
    <w:rsid w:val="00384EF1"/>
    <w:rsid w:val="00384F0E"/>
    <w:rsid w:val="00384F11"/>
    <w:rsid w:val="00384F29"/>
    <w:rsid w:val="00384F7E"/>
    <w:rsid w:val="00384FAD"/>
    <w:rsid w:val="00384FC5"/>
    <w:rsid w:val="00384FF0"/>
    <w:rsid w:val="00384FF2"/>
    <w:rsid w:val="00385029"/>
    <w:rsid w:val="0038503C"/>
    <w:rsid w:val="00385085"/>
    <w:rsid w:val="0038514D"/>
    <w:rsid w:val="003851AC"/>
    <w:rsid w:val="0038522A"/>
    <w:rsid w:val="00385266"/>
    <w:rsid w:val="00385291"/>
    <w:rsid w:val="003852B8"/>
    <w:rsid w:val="003853B7"/>
    <w:rsid w:val="003853BC"/>
    <w:rsid w:val="003853F0"/>
    <w:rsid w:val="00385409"/>
    <w:rsid w:val="00385505"/>
    <w:rsid w:val="00385530"/>
    <w:rsid w:val="00385547"/>
    <w:rsid w:val="003855B4"/>
    <w:rsid w:val="003855B7"/>
    <w:rsid w:val="003855DF"/>
    <w:rsid w:val="003855E3"/>
    <w:rsid w:val="003855F3"/>
    <w:rsid w:val="003855FD"/>
    <w:rsid w:val="0038560E"/>
    <w:rsid w:val="00385614"/>
    <w:rsid w:val="00385642"/>
    <w:rsid w:val="0038564A"/>
    <w:rsid w:val="00385661"/>
    <w:rsid w:val="00385690"/>
    <w:rsid w:val="003856E4"/>
    <w:rsid w:val="00385732"/>
    <w:rsid w:val="00385763"/>
    <w:rsid w:val="00385796"/>
    <w:rsid w:val="0038579D"/>
    <w:rsid w:val="00385815"/>
    <w:rsid w:val="00385881"/>
    <w:rsid w:val="0038589A"/>
    <w:rsid w:val="003858A6"/>
    <w:rsid w:val="003858A8"/>
    <w:rsid w:val="003858CD"/>
    <w:rsid w:val="00385902"/>
    <w:rsid w:val="00385986"/>
    <w:rsid w:val="003859A5"/>
    <w:rsid w:val="003859C6"/>
    <w:rsid w:val="00385A01"/>
    <w:rsid w:val="00385A38"/>
    <w:rsid w:val="00385A4B"/>
    <w:rsid w:val="00385A90"/>
    <w:rsid w:val="00385A93"/>
    <w:rsid w:val="00385AF9"/>
    <w:rsid w:val="00385B41"/>
    <w:rsid w:val="00385B77"/>
    <w:rsid w:val="00385B90"/>
    <w:rsid w:val="00385BB2"/>
    <w:rsid w:val="00385C41"/>
    <w:rsid w:val="00385CBC"/>
    <w:rsid w:val="00385D1F"/>
    <w:rsid w:val="00385D50"/>
    <w:rsid w:val="00385D5C"/>
    <w:rsid w:val="00385D70"/>
    <w:rsid w:val="00385DBA"/>
    <w:rsid w:val="00385DC6"/>
    <w:rsid w:val="00385E75"/>
    <w:rsid w:val="00385E89"/>
    <w:rsid w:val="00385ED0"/>
    <w:rsid w:val="00385EFC"/>
    <w:rsid w:val="00385F03"/>
    <w:rsid w:val="00385F34"/>
    <w:rsid w:val="00385F5A"/>
    <w:rsid w:val="00385F63"/>
    <w:rsid w:val="00385FAE"/>
    <w:rsid w:val="00386014"/>
    <w:rsid w:val="0038604A"/>
    <w:rsid w:val="00386067"/>
    <w:rsid w:val="003860A2"/>
    <w:rsid w:val="003860AF"/>
    <w:rsid w:val="003860E9"/>
    <w:rsid w:val="00386150"/>
    <w:rsid w:val="00386158"/>
    <w:rsid w:val="0038616F"/>
    <w:rsid w:val="0038617D"/>
    <w:rsid w:val="003861B6"/>
    <w:rsid w:val="0038628B"/>
    <w:rsid w:val="00386297"/>
    <w:rsid w:val="0038629C"/>
    <w:rsid w:val="003862A5"/>
    <w:rsid w:val="003862AD"/>
    <w:rsid w:val="003862B7"/>
    <w:rsid w:val="003862EE"/>
    <w:rsid w:val="00386321"/>
    <w:rsid w:val="0038634E"/>
    <w:rsid w:val="00386371"/>
    <w:rsid w:val="0038637C"/>
    <w:rsid w:val="0038637D"/>
    <w:rsid w:val="003863D7"/>
    <w:rsid w:val="003863E0"/>
    <w:rsid w:val="00386409"/>
    <w:rsid w:val="00386459"/>
    <w:rsid w:val="003864E3"/>
    <w:rsid w:val="00386508"/>
    <w:rsid w:val="00386569"/>
    <w:rsid w:val="003865C3"/>
    <w:rsid w:val="003865EC"/>
    <w:rsid w:val="0038662A"/>
    <w:rsid w:val="0038663C"/>
    <w:rsid w:val="0038672B"/>
    <w:rsid w:val="0038672F"/>
    <w:rsid w:val="00386737"/>
    <w:rsid w:val="00386744"/>
    <w:rsid w:val="00386746"/>
    <w:rsid w:val="00386754"/>
    <w:rsid w:val="003867EA"/>
    <w:rsid w:val="0038680B"/>
    <w:rsid w:val="0038682C"/>
    <w:rsid w:val="00386854"/>
    <w:rsid w:val="00386871"/>
    <w:rsid w:val="0038689B"/>
    <w:rsid w:val="003868CE"/>
    <w:rsid w:val="0038697C"/>
    <w:rsid w:val="0038697E"/>
    <w:rsid w:val="0038699E"/>
    <w:rsid w:val="003869BB"/>
    <w:rsid w:val="003869D5"/>
    <w:rsid w:val="003869E5"/>
    <w:rsid w:val="003869EF"/>
    <w:rsid w:val="003869FA"/>
    <w:rsid w:val="00386A03"/>
    <w:rsid w:val="00386A20"/>
    <w:rsid w:val="00386A4F"/>
    <w:rsid w:val="00386A72"/>
    <w:rsid w:val="00386A88"/>
    <w:rsid w:val="00386AFA"/>
    <w:rsid w:val="00386B29"/>
    <w:rsid w:val="00386B86"/>
    <w:rsid w:val="00386B94"/>
    <w:rsid w:val="00386B99"/>
    <w:rsid w:val="00386BA3"/>
    <w:rsid w:val="00386BD3"/>
    <w:rsid w:val="00386C1F"/>
    <w:rsid w:val="00386C2E"/>
    <w:rsid w:val="00386CA6"/>
    <w:rsid w:val="00386CD9"/>
    <w:rsid w:val="00386DC5"/>
    <w:rsid w:val="00386E14"/>
    <w:rsid w:val="00386EA0"/>
    <w:rsid w:val="00386EE3"/>
    <w:rsid w:val="00386EEF"/>
    <w:rsid w:val="00386F29"/>
    <w:rsid w:val="00386F35"/>
    <w:rsid w:val="00386FA1"/>
    <w:rsid w:val="00386FFB"/>
    <w:rsid w:val="0038707C"/>
    <w:rsid w:val="003870E8"/>
    <w:rsid w:val="00387103"/>
    <w:rsid w:val="00387148"/>
    <w:rsid w:val="00387184"/>
    <w:rsid w:val="003871EC"/>
    <w:rsid w:val="00387234"/>
    <w:rsid w:val="00387235"/>
    <w:rsid w:val="003872B3"/>
    <w:rsid w:val="003872C4"/>
    <w:rsid w:val="003872D7"/>
    <w:rsid w:val="003872ED"/>
    <w:rsid w:val="00387300"/>
    <w:rsid w:val="00387353"/>
    <w:rsid w:val="00387378"/>
    <w:rsid w:val="0038739E"/>
    <w:rsid w:val="0038744A"/>
    <w:rsid w:val="003874AE"/>
    <w:rsid w:val="003874C7"/>
    <w:rsid w:val="003874D2"/>
    <w:rsid w:val="003874DE"/>
    <w:rsid w:val="003874E5"/>
    <w:rsid w:val="003874EB"/>
    <w:rsid w:val="0038752C"/>
    <w:rsid w:val="00387555"/>
    <w:rsid w:val="0038756E"/>
    <w:rsid w:val="00387570"/>
    <w:rsid w:val="00387598"/>
    <w:rsid w:val="003875BD"/>
    <w:rsid w:val="003875CE"/>
    <w:rsid w:val="003875DD"/>
    <w:rsid w:val="0038760F"/>
    <w:rsid w:val="00387619"/>
    <w:rsid w:val="0038763B"/>
    <w:rsid w:val="00387654"/>
    <w:rsid w:val="003876CE"/>
    <w:rsid w:val="0038773A"/>
    <w:rsid w:val="00387752"/>
    <w:rsid w:val="0038777D"/>
    <w:rsid w:val="0038777F"/>
    <w:rsid w:val="003877FA"/>
    <w:rsid w:val="003877FB"/>
    <w:rsid w:val="00387878"/>
    <w:rsid w:val="00387885"/>
    <w:rsid w:val="003878DC"/>
    <w:rsid w:val="003878DE"/>
    <w:rsid w:val="00387923"/>
    <w:rsid w:val="00387926"/>
    <w:rsid w:val="0038792A"/>
    <w:rsid w:val="00387959"/>
    <w:rsid w:val="0038796D"/>
    <w:rsid w:val="00387999"/>
    <w:rsid w:val="003879A9"/>
    <w:rsid w:val="003879BD"/>
    <w:rsid w:val="003879CB"/>
    <w:rsid w:val="003879D9"/>
    <w:rsid w:val="00387A5D"/>
    <w:rsid w:val="00387A89"/>
    <w:rsid w:val="00387AC7"/>
    <w:rsid w:val="00387AE8"/>
    <w:rsid w:val="00387B26"/>
    <w:rsid w:val="00387B3F"/>
    <w:rsid w:val="00387B81"/>
    <w:rsid w:val="00387B9D"/>
    <w:rsid w:val="00387C97"/>
    <w:rsid w:val="00387CAB"/>
    <w:rsid w:val="00387D16"/>
    <w:rsid w:val="00387D23"/>
    <w:rsid w:val="00387D5C"/>
    <w:rsid w:val="00387D9A"/>
    <w:rsid w:val="00387DB2"/>
    <w:rsid w:val="00387DED"/>
    <w:rsid w:val="00387DFB"/>
    <w:rsid w:val="00387E19"/>
    <w:rsid w:val="00387E3E"/>
    <w:rsid w:val="00387E7B"/>
    <w:rsid w:val="00387ECE"/>
    <w:rsid w:val="00387EE7"/>
    <w:rsid w:val="00387EEC"/>
    <w:rsid w:val="00387F3E"/>
    <w:rsid w:val="00387F67"/>
    <w:rsid w:val="00387F69"/>
    <w:rsid w:val="00387F7D"/>
    <w:rsid w:val="00387F9B"/>
    <w:rsid w:val="00387FB9"/>
    <w:rsid w:val="00387FEF"/>
    <w:rsid w:val="00390010"/>
    <w:rsid w:val="00390017"/>
    <w:rsid w:val="00390046"/>
    <w:rsid w:val="003900B9"/>
    <w:rsid w:val="00390191"/>
    <w:rsid w:val="003901DD"/>
    <w:rsid w:val="00390202"/>
    <w:rsid w:val="00390204"/>
    <w:rsid w:val="00390260"/>
    <w:rsid w:val="0039028C"/>
    <w:rsid w:val="0039028F"/>
    <w:rsid w:val="003902B8"/>
    <w:rsid w:val="003902B9"/>
    <w:rsid w:val="003902BB"/>
    <w:rsid w:val="0039032E"/>
    <w:rsid w:val="00390350"/>
    <w:rsid w:val="003903F2"/>
    <w:rsid w:val="00390437"/>
    <w:rsid w:val="00390449"/>
    <w:rsid w:val="0039045E"/>
    <w:rsid w:val="00390508"/>
    <w:rsid w:val="003905E3"/>
    <w:rsid w:val="003906D3"/>
    <w:rsid w:val="0039072B"/>
    <w:rsid w:val="0039074D"/>
    <w:rsid w:val="0039077F"/>
    <w:rsid w:val="003907DE"/>
    <w:rsid w:val="003907E8"/>
    <w:rsid w:val="003907F6"/>
    <w:rsid w:val="0039080B"/>
    <w:rsid w:val="0039081B"/>
    <w:rsid w:val="00390846"/>
    <w:rsid w:val="00390876"/>
    <w:rsid w:val="00390955"/>
    <w:rsid w:val="00390985"/>
    <w:rsid w:val="003909BE"/>
    <w:rsid w:val="003909E1"/>
    <w:rsid w:val="00390A15"/>
    <w:rsid w:val="00390A30"/>
    <w:rsid w:val="00390AE0"/>
    <w:rsid w:val="00390AF3"/>
    <w:rsid w:val="00390B32"/>
    <w:rsid w:val="00390B7C"/>
    <w:rsid w:val="00390B95"/>
    <w:rsid w:val="00390B97"/>
    <w:rsid w:val="00390BA2"/>
    <w:rsid w:val="00390BC7"/>
    <w:rsid w:val="00390BEF"/>
    <w:rsid w:val="00390CA1"/>
    <w:rsid w:val="00390CD0"/>
    <w:rsid w:val="00390D29"/>
    <w:rsid w:val="00390D41"/>
    <w:rsid w:val="00390D9B"/>
    <w:rsid w:val="00390DC4"/>
    <w:rsid w:val="00390DCA"/>
    <w:rsid w:val="00390DFB"/>
    <w:rsid w:val="00390E31"/>
    <w:rsid w:val="00390E84"/>
    <w:rsid w:val="00390EDA"/>
    <w:rsid w:val="00390EE2"/>
    <w:rsid w:val="00390EE7"/>
    <w:rsid w:val="00390F2F"/>
    <w:rsid w:val="00390F80"/>
    <w:rsid w:val="00390F9F"/>
    <w:rsid w:val="00390FE3"/>
    <w:rsid w:val="003910A5"/>
    <w:rsid w:val="003910BF"/>
    <w:rsid w:val="003910C0"/>
    <w:rsid w:val="003910CE"/>
    <w:rsid w:val="0039110C"/>
    <w:rsid w:val="0039114A"/>
    <w:rsid w:val="00391150"/>
    <w:rsid w:val="0039118B"/>
    <w:rsid w:val="003911B5"/>
    <w:rsid w:val="00391205"/>
    <w:rsid w:val="0039122F"/>
    <w:rsid w:val="00391232"/>
    <w:rsid w:val="00391263"/>
    <w:rsid w:val="00391270"/>
    <w:rsid w:val="0039127E"/>
    <w:rsid w:val="0039127F"/>
    <w:rsid w:val="003912B8"/>
    <w:rsid w:val="00391317"/>
    <w:rsid w:val="00391351"/>
    <w:rsid w:val="0039138E"/>
    <w:rsid w:val="003913A0"/>
    <w:rsid w:val="00391425"/>
    <w:rsid w:val="00391466"/>
    <w:rsid w:val="003914DA"/>
    <w:rsid w:val="00391517"/>
    <w:rsid w:val="00391518"/>
    <w:rsid w:val="00391587"/>
    <w:rsid w:val="003915E3"/>
    <w:rsid w:val="003915F3"/>
    <w:rsid w:val="003915FB"/>
    <w:rsid w:val="00391615"/>
    <w:rsid w:val="003916BC"/>
    <w:rsid w:val="003916D9"/>
    <w:rsid w:val="0039174F"/>
    <w:rsid w:val="00391765"/>
    <w:rsid w:val="003917C3"/>
    <w:rsid w:val="003917C4"/>
    <w:rsid w:val="003917CC"/>
    <w:rsid w:val="0039182E"/>
    <w:rsid w:val="003918CC"/>
    <w:rsid w:val="003918E9"/>
    <w:rsid w:val="003918EC"/>
    <w:rsid w:val="00391983"/>
    <w:rsid w:val="003919A0"/>
    <w:rsid w:val="003919BC"/>
    <w:rsid w:val="00391A06"/>
    <w:rsid w:val="00391A5B"/>
    <w:rsid w:val="00391B33"/>
    <w:rsid w:val="00391B48"/>
    <w:rsid w:val="00391B64"/>
    <w:rsid w:val="00391BCC"/>
    <w:rsid w:val="00391BEA"/>
    <w:rsid w:val="00391BEC"/>
    <w:rsid w:val="00391C35"/>
    <w:rsid w:val="00391D17"/>
    <w:rsid w:val="00391D2D"/>
    <w:rsid w:val="00391D50"/>
    <w:rsid w:val="00391D9A"/>
    <w:rsid w:val="00391DB1"/>
    <w:rsid w:val="00391E0C"/>
    <w:rsid w:val="00391E3F"/>
    <w:rsid w:val="00391E56"/>
    <w:rsid w:val="00391EF4"/>
    <w:rsid w:val="00391EF8"/>
    <w:rsid w:val="00391F18"/>
    <w:rsid w:val="00391F67"/>
    <w:rsid w:val="00391F87"/>
    <w:rsid w:val="0039200A"/>
    <w:rsid w:val="0039206D"/>
    <w:rsid w:val="00392083"/>
    <w:rsid w:val="003920C4"/>
    <w:rsid w:val="003920CC"/>
    <w:rsid w:val="003920F1"/>
    <w:rsid w:val="003920FE"/>
    <w:rsid w:val="00392125"/>
    <w:rsid w:val="0039214B"/>
    <w:rsid w:val="003921E2"/>
    <w:rsid w:val="003921E5"/>
    <w:rsid w:val="003921E8"/>
    <w:rsid w:val="003921ED"/>
    <w:rsid w:val="00392225"/>
    <w:rsid w:val="00392272"/>
    <w:rsid w:val="003922A0"/>
    <w:rsid w:val="003922A1"/>
    <w:rsid w:val="003922DA"/>
    <w:rsid w:val="00392313"/>
    <w:rsid w:val="00392333"/>
    <w:rsid w:val="00392345"/>
    <w:rsid w:val="00392351"/>
    <w:rsid w:val="00392384"/>
    <w:rsid w:val="00392397"/>
    <w:rsid w:val="003923BF"/>
    <w:rsid w:val="003923D9"/>
    <w:rsid w:val="0039241E"/>
    <w:rsid w:val="00392469"/>
    <w:rsid w:val="00392490"/>
    <w:rsid w:val="003924B7"/>
    <w:rsid w:val="0039255B"/>
    <w:rsid w:val="003925DC"/>
    <w:rsid w:val="0039260F"/>
    <w:rsid w:val="0039263F"/>
    <w:rsid w:val="003926D8"/>
    <w:rsid w:val="00392722"/>
    <w:rsid w:val="00392776"/>
    <w:rsid w:val="00392784"/>
    <w:rsid w:val="00392787"/>
    <w:rsid w:val="00392799"/>
    <w:rsid w:val="003927A6"/>
    <w:rsid w:val="003927A9"/>
    <w:rsid w:val="00392881"/>
    <w:rsid w:val="003928CA"/>
    <w:rsid w:val="0039293C"/>
    <w:rsid w:val="00392946"/>
    <w:rsid w:val="00392977"/>
    <w:rsid w:val="003929B9"/>
    <w:rsid w:val="003929DC"/>
    <w:rsid w:val="003929DD"/>
    <w:rsid w:val="003929E9"/>
    <w:rsid w:val="003929EC"/>
    <w:rsid w:val="00392A15"/>
    <w:rsid w:val="00392A2C"/>
    <w:rsid w:val="00392A50"/>
    <w:rsid w:val="00392A87"/>
    <w:rsid w:val="00392B60"/>
    <w:rsid w:val="00392B62"/>
    <w:rsid w:val="00392B69"/>
    <w:rsid w:val="00392BBC"/>
    <w:rsid w:val="00392C02"/>
    <w:rsid w:val="00392C06"/>
    <w:rsid w:val="00392CDE"/>
    <w:rsid w:val="00392D32"/>
    <w:rsid w:val="00392D55"/>
    <w:rsid w:val="00392D84"/>
    <w:rsid w:val="00392D86"/>
    <w:rsid w:val="00392D8F"/>
    <w:rsid w:val="00392D96"/>
    <w:rsid w:val="00392DCB"/>
    <w:rsid w:val="00392DCC"/>
    <w:rsid w:val="00392DEB"/>
    <w:rsid w:val="00392E77"/>
    <w:rsid w:val="00392E8B"/>
    <w:rsid w:val="00392EB9"/>
    <w:rsid w:val="00392EBD"/>
    <w:rsid w:val="00392ECD"/>
    <w:rsid w:val="00392EFA"/>
    <w:rsid w:val="00392F0C"/>
    <w:rsid w:val="00392F15"/>
    <w:rsid w:val="00392F1B"/>
    <w:rsid w:val="00392F7B"/>
    <w:rsid w:val="00392F9F"/>
    <w:rsid w:val="00392FEA"/>
    <w:rsid w:val="00392FF3"/>
    <w:rsid w:val="00393013"/>
    <w:rsid w:val="0039307C"/>
    <w:rsid w:val="003930DD"/>
    <w:rsid w:val="0039316A"/>
    <w:rsid w:val="0039316D"/>
    <w:rsid w:val="0039318A"/>
    <w:rsid w:val="003931B2"/>
    <w:rsid w:val="00393201"/>
    <w:rsid w:val="00393279"/>
    <w:rsid w:val="003932A9"/>
    <w:rsid w:val="00393340"/>
    <w:rsid w:val="003933DF"/>
    <w:rsid w:val="003933FA"/>
    <w:rsid w:val="003933FF"/>
    <w:rsid w:val="00393436"/>
    <w:rsid w:val="0039343B"/>
    <w:rsid w:val="00393471"/>
    <w:rsid w:val="0039349D"/>
    <w:rsid w:val="003934C6"/>
    <w:rsid w:val="003934D6"/>
    <w:rsid w:val="00393521"/>
    <w:rsid w:val="0039354E"/>
    <w:rsid w:val="0039355E"/>
    <w:rsid w:val="0039358A"/>
    <w:rsid w:val="00393597"/>
    <w:rsid w:val="003935B9"/>
    <w:rsid w:val="003935E4"/>
    <w:rsid w:val="0039363F"/>
    <w:rsid w:val="0039365F"/>
    <w:rsid w:val="00393664"/>
    <w:rsid w:val="00393692"/>
    <w:rsid w:val="003936CA"/>
    <w:rsid w:val="003936EF"/>
    <w:rsid w:val="003936F3"/>
    <w:rsid w:val="00393707"/>
    <w:rsid w:val="00393750"/>
    <w:rsid w:val="00393799"/>
    <w:rsid w:val="0039382D"/>
    <w:rsid w:val="00393948"/>
    <w:rsid w:val="00393963"/>
    <w:rsid w:val="003939D0"/>
    <w:rsid w:val="003939DE"/>
    <w:rsid w:val="003939FD"/>
    <w:rsid w:val="00393A75"/>
    <w:rsid w:val="00393A95"/>
    <w:rsid w:val="00393AB5"/>
    <w:rsid w:val="00393B02"/>
    <w:rsid w:val="00393B03"/>
    <w:rsid w:val="00393B7E"/>
    <w:rsid w:val="00393BAC"/>
    <w:rsid w:val="00393BD7"/>
    <w:rsid w:val="00393BF1"/>
    <w:rsid w:val="00393BFB"/>
    <w:rsid w:val="00393C06"/>
    <w:rsid w:val="00393C07"/>
    <w:rsid w:val="00393C44"/>
    <w:rsid w:val="00393C4D"/>
    <w:rsid w:val="00393C8A"/>
    <w:rsid w:val="00393CC1"/>
    <w:rsid w:val="00393CEB"/>
    <w:rsid w:val="00393D37"/>
    <w:rsid w:val="00393D48"/>
    <w:rsid w:val="00393D49"/>
    <w:rsid w:val="00393D56"/>
    <w:rsid w:val="00393D77"/>
    <w:rsid w:val="00393D7A"/>
    <w:rsid w:val="00393D84"/>
    <w:rsid w:val="00393DD3"/>
    <w:rsid w:val="00393E4F"/>
    <w:rsid w:val="00393E5B"/>
    <w:rsid w:val="00393E7F"/>
    <w:rsid w:val="00393ECA"/>
    <w:rsid w:val="00393EDE"/>
    <w:rsid w:val="00393EE8"/>
    <w:rsid w:val="00393EFC"/>
    <w:rsid w:val="00393F5D"/>
    <w:rsid w:val="00393FAF"/>
    <w:rsid w:val="00393FE0"/>
    <w:rsid w:val="00394011"/>
    <w:rsid w:val="00394028"/>
    <w:rsid w:val="003940F1"/>
    <w:rsid w:val="00394110"/>
    <w:rsid w:val="00394168"/>
    <w:rsid w:val="003941BF"/>
    <w:rsid w:val="003941EC"/>
    <w:rsid w:val="0039422A"/>
    <w:rsid w:val="00394283"/>
    <w:rsid w:val="003942C3"/>
    <w:rsid w:val="003942EE"/>
    <w:rsid w:val="00394306"/>
    <w:rsid w:val="0039437F"/>
    <w:rsid w:val="00394383"/>
    <w:rsid w:val="003943A7"/>
    <w:rsid w:val="00394449"/>
    <w:rsid w:val="00394459"/>
    <w:rsid w:val="003944DB"/>
    <w:rsid w:val="00394559"/>
    <w:rsid w:val="00394594"/>
    <w:rsid w:val="0039459A"/>
    <w:rsid w:val="0039466F"/>
    <w:rsid w:val="0039468E"/>
    <w:rsid w:val="003946A1"/>
    <w:rsid w:val="003946CB"/>
    <w:rsid w:val="0039471B"/>
    <w:rsid w:val="00394733"/>
    <w:rsid w:val="00394830"/>
    <w:rsid w:val="0039484D"/>
    <w:rsid w:val="0039486E"/>
    <w:rsid w:val="00394920"/>
    <w:rsid w:val="00394AA8"/>
    <w:rsid w:val="00394ADD"/>
    <w:rsid w:val="00394AE7"/>
    <w:rsid w:val="00394B09"/>
    <w:rsid w:val="00394B0B"/>
    <w:rsid w:val="00394B2C"/>
    <w:rsid w:val="00394B2F"/>
    <w:rsid w:val="00394B38"/>
    <w:rsid w:val="00394B4D"/>
    <w:rsid w:val="00394B6B"/>
    <w:rsid w:val="00394C19"/>
    <w:rsid w:val="00394C1B"/>
    <w:rsid w:val="00394C65"/>
    <w:rsid w:val="00394CFA"/>
    <w:rsid w:val="00394D00"/>
    <w:rsid w:val="00394D1E"/>
    <w:rsid w:val="00394D48"/>
    <w:rsid w:val="00394D6C"/>
    <w:rsid w:val="00394D72"/>
    <w:rsid w:val="00394DB0"/>
    <w:rsid w:val="00394E01"/>
    <w:rsid w:val="00394E3E"/>
    <w:rsid w:val="00394EDE"/>
    <w:rsid w:val="00394EE2"/>
    <w:rsid w:val="00394F05"/>
    <w:rsid w:val="00394F2F"/>
    <w:rsid w:val="00394F44"/>
    <w:rsid w:val="00394FDC"/>
    <w:rsid w:val="00395036"/>
    <w:rsid w:val="00395040"/>
    <w:rsid w:val="00395086"/>
    <w:rsid w:val="0039508E"/>
    <w:rsid w:val="00395091"/>
    <w:rsid w:val="003950C9"/>
    <w:rsid w:val="003950EF"/>
    <w:rsid w:val="00395101"/>
    <w:rsid w:val="0039515C"/>
    <w:rsid w:val="003951A4"/>
    <w:rsid w:val="003951CD"/>
    <w:rsid w:val="003951D3"/>
    <w:rsid w:val="003951F4"/>
    <w:rsid w:val="0039521A"/>
    <w:rsid w:val="00395229"/>
    <w:rsid w:val="0039523B"/>
    <w:rsid w:val="0039525A"/>
    <w:rsid w:val="0039526C"/>
    <w:rsid w:val="0039527E"/>
    <w:rsid w:val="003952B9"/>
    <w:rsid w:val="00395326"/>
    <w:rsid w:val="00395330"/>
    <w:rsid w:val="00395368"/>
    <w:rsid w:val="0039537B"/>
    <w:rsid w:val="003953DE"/>
    <w:rsid w:val="003953E9"/>
    <w:rsid w:val="003953FF"/>
    <w:rsid w:val="0039544B"/>
    <w:rsid w:val="00395512"/>
    <w:rsid w:val="00395555"/>
    <w:rsid w:val="00395588"/>
    <w:rsid w:val="003955A3"/>
    <w:rsid w:val="003955C4"/>
    <w:rsid w:val="003955FB"/>
    <w:rsid w:val="00395696"/>
    <w:rsid w:val="003956F8"/>
    <w:rsid w:val="0039570A"/>
    <w:rsid w:val="0039572E"/>
    <w:rsid w:val="00395758"/>
    <w:rsid w:val="0039575B"/>
    <w:rsid w:val="00395767"/>
    <w:rsid w:val="00395773"/>
    <w:rsid w:val="003957C5"/>
    <w:rsid w:val="003957E8"/>
    <w:rsid w:val="0039587B"/>
    <w:rsid w:val="00395890"/>
    <w:rsid w:val="003959C8"/>
    <w:rsid w:val="00395A48"/>
    <w:rsid w:val="00395AB6"/>
    <w:rsid w:val="00395AE9"/>
    <w:rsid w:val="00395AF1"/>
    <w:rsid w:val="00395B7F"/>
    <w:rsid w:val="00395BB1"/>
    <w:rsid w:val="00395BCF"/>
    <w:rsid w:val="00395BEF"/>
    <w:rsid w:val="00395C65"/>
    <w:rsid w:val="00395C96"/>
    <w:rsid w:val="00395CA5"/>
    <w:rsid w:val="00395CAD"/>
    <w:rsid w:val="00395CD5"/>
    <w:rsid w:val="00395EBC"/>
    <w:rsid w:val="00395F36"/>
    <w:rsid w:val="00395F48"/>
    <w:rsid w:val="00395F62"/>
    <w:rsid w:val="00395F65"/>
    <w:rsid w:val="00395F99"/>
    <w:rsid w:val="00395FE4"/>
    <w:rsid w:val="00396038"/>
    <w:rsid w:val="00396051"/>
    <w:rsid w:val="0039605E"/>
    <w:rsid w:val="003960EB"/>
    <w:rsid w:val="00396116"/>
    <w:rsid w:val="0039617C"/>
    <w:rsid w:val="00396191"/>
    <w:rsid w:val="00396213"/>
    <w:rsid w:val="00396239"/>
    <w:rsid w:val="0039626D"/>
    <w:rsid w:val="0039628D"/>
    <w:rsid w:val="003962F6"/>
    <w:rsid w:val="0039637E"/>
    <w:rsid w:val="00396382"/>
    <w:rsid w:val="00396426"/>
    <w:rsid w:val="003964D5"/>
    <w:rsid w:val="003964F7"/>
    <w:rsid w:val="00396507"/>
    <w:rsid w:val="00396555"/>
    <w:rsid w:val="00396567"/>
    <w:rsid w:val="00396572"/>
    <w:rsid w:val="003965A2"/>
    <w:rsid w:val="00396619"/>
    <w:rsid w:val="00396626"/>
    <w:rsid w:val="00396656"/>
    <w:rsid w:val="00396658"/>
    <w:rsid w:val="003966B7"/>
    <w:rsid w:val="003966B8"/>
    <w:rsid w:val="003966CC"/>
    <w:rsid w:val="003966DF"/>
    <w:rsid w:val="003966F9"/>
    <w:rsid w:val="003966FA"/>
    <w:rsid w:val="003966FB"/>
    <w:rsid w:val="0039672D"/>
    <w:rsid w:val="00396771"/>
    <w:rsid w:val="003967E5"/>
    <w:rsid w:val="003967FA"/>
    <w:rsid w:val="00396817"/>
    <w:rsid w:val="0039684B"/>
    <w:rsid w:val="00396868"/>
    <w:rsid w:val="003968F5"/>
    <w:rsid w:val="00396904"/>
    <w:rsid w:val="00396915"/>
    <w:rsid w:val="00396975"/>
    <w:rsid w:val="003969AA"/>
    <w:rsid w:val="003969BF"/>
    <w:rsid w:val="00396A25"/>
    <w:rsid w:val="00396A36"/>
    <w:rsid w:val="00396A94"/>
    <w:rsid w:val="00396AE0"/>
    <w:rsid w:val="00396B19"/>
    <w:rsid w:val="00396B47"/>
    <w:rsid w:val="00396B69"/>
    <w:rsid w:val="00396B73"/>
    <w:rsid w:val="00396BE3"/>
    <w:rsid w:val="00396C34"/>
    <w:rsid w:val="00396C56"/>
    <w:rsid w:val="00396C58"/>
    <w:rsid w:val="00396CC7"/>
    <w:rsid w:val="00396CE9"/>
    <w:rsid w:val="00396CF1"/>
    <w:rsid w:val="00396D08"/>
    <w:rsid w:val="00396D69"/>
    <w:rsid w:val="00396D84"/>
    <w:rsid w:val="00396DA1"/>
    <w:rsid w:val="00396DC6"/>
    <w:rsid w:val="00396DF8"/>
    <w:rsid w:val="00396E0E"/>
    <w:rsid w:val="00396F22"/>
    <w:rsid w:val="00396F5C"/>
    <w:rsid w:val="00396F7C"/>
    <w:rsid w:val="00396F80"/>
    <w:rsid w:val="00396FE6"/>
    <w:rsid w:val="00396FE9"/>
    <w:rsid w:val="00396FEA"/>
    <w:rsid w:val="00397002"/>
    <w:rsid w:val="00397047"/>
    <w:rsid w:val="00397057"/>
    <w:rsid w:val="0039706A"/>
    <w:rsid w:val="003970BF"/>
    <w:rsid w:val="003970D9"/>
    <w:rsid w:val="00397103"/>
    <w:rsid w:val="00397142"/>
    <w:rsid w:val="00397154"/>
    <w:rsid w:val="0039719C"/>
    <w:rsid w:val="003971D8"/>
    <w:rsid w:val="00397205"/>
    <w:rsid w:val="00397206"/>
    <w:rsid w:val="00397239"/>
    <w:rsid w:val="00397251"/>
    <w:rsid w:val="00397273"/>
    <w:rsid w:val="003972E0"/>
    <w:rsid w:val="003972E9"/>
    <w:rsid w:val="00397359"/>
    <w:rsid w:val="0039735D"/>
    <w:rsid w:val="00397384"/>
    <w:rsid w:val="00397397"/>
    <w:rsid w:val="003973A8"/>
    <w:rsid w:val="003973AB"/>
    <w:rsid w:val="003973ED"/>
    <w:rsid w:val="003973EF"/>
    <w:rsid w:val="003973F6"/>
    <w:rsid w:val="003973FD"/>
    <w:rsid w:val="00397456"/>
    <w:rsid w:val="003974E5"/>
    <w:rsid w:val="003974F4"/>
    <w:rsid w:val="0039750B"/>
    <w:rsid w:val="00397558"/>
    <w:rsid w:val="003975B2"/>
    <w:rsid w:val="003975B3"/>
    <w:rsid w:val="003975CE"/>
    <w:rsid w:val="00397725"/>
    <w:rsid w:val="003977A0"/>
    <w:rsid w:val="003977A8"/>
    <w:rsid w:val="003977D4"/>
    <w:rsid w:val="00397962"/>
    <w:rsid w:val="00397997"/>
    <w:rsid w:val="003979EE"/>
    <w:rsid w:val="003979F5"/>
    <w:rsid w:val="00397A04"/>
    <w:rsid w:val="00397A4E"/>
    <w:rsid w:val="00397A7F"/>
    <w:rsid w:val="00397A8D"/>
    <w:rsid w:val="00397AAA"/>
    <w:rsid w:val="00397AFC"/>
    <w:rsid w:val="00397B14"/>
    <w:rsid w:val="00397B20"/>
    <w:rsid w:val="00397B4C"/>
    <w:rsid w:val="00397B7C"/>
    <w:rsid w:val="00397BB5"/>
    <w:rsid w:val="00397BCF"/>
    <w:rsid w:val="00397BEC"/>
    <w:rsid w:val="00397C00"/>
    <w:rsid w:val="00397C01"/>
    <w:rsid w:val="00397C31"/>
    <w:rsid w:val="00397D8A"/>
    <w:rsid w:val="00397DC0"/>
    <w:rsid w:val="00397DEC"/>
    <w:rsid w:val="00397E60"/>
    <w:rsid w:val="00397EA1"/>
    <w:rsid w:val="00397EA8"/>
    <w:rsid w:val="00397EAA"/>
    <w:rsid w:val="00397ECB"/>
    <w:rsid w:val="00397EE0"/>
    <w:rsid w:val="00397F14"/>
    <w:rsid w:val="00397F9D"/>
    <w:rsid w:val="00397FA2"/>
    <w:rsid w:val="00397FAC"/>
    <w:rsid w:val="003A0016"/>
    <w:rsid w:val="003A0072"/>
    <w:rsid w:val="003A007E"/>
    <w:rsid w:val="003A00AD"/>
    <w:rsid w:val="003A0106"/>
    <w:rsid w:val="003A0109"/>
    <w:rsid w:val="003A010D"/>
    <w:rsid w:val="003A0130"/>
    <w:rsid w:val="003A0133"/>
    <w:rsid w:val="003A016C"/>
    <w:rsid w:val="003A0202"/>
    <w:rsid w:val="003A022B"/>
    <w:rsid w:val="003A0241"/>
    <w:rsid w:val="003A0252"/>
    <w:rsid w:val="003A0264"/>
    <w:rsid w:val="003A02B1"/>
    <w:rsid w:val="003A032E"/>
    <w:rsid w:val="003A0357"/>
    <w:rsid w:val="003A038F"/>
    <w:rsid w:val="003A0392"/>
    <w:rsid w:val="003A03E1"/>
    <w:rsid w:val="003A03EF"/>
    <w:rsid w:val="003A03F7"/>
    <w:rsid w:val="003A0423"/>
    <w:rsid w:val="003A04E2"/>
    <w:rsid w:val="003A04E3"/>
    <w:rsid w:val="003A04F3"/>
    <w:rsid w:val="003A0527"/>
    <w:rsid w:val="003A0545"/>
    <w:rsid w:val="003A055C"/>
    <w:rsid w:val="003A0562"/>
    <w:rsid w:val="003A05AE"/>
    <w:rsid w:val="003A05AF"/>
    <w:rsid w:val="003A05EC"/>
    <w:rsid w:val="003A05FA"/>
    <w:rsid w:val="003A061A"/>
    <w:rsid w:val="003A0626"/>
    <w:rsid w:val="003A0661"/>
    <w:rsid w:val="003A0694"/>
    <w:rsid w:val="003A0724"/>
    <w:rsid w:val="003A0737"/>
    <w:rsid w:val="003A0779"/>
    <w:rsid w:val="003A0784"/>
    <w:rsid w:val="003A07B0"/>
    <w:rsid w:val="003A07B8"/>
    <w:rsid w:val="003A07E3"/>
    <w:rsid w:val="003A080C"/>
    <w:rsid w:val="003A0831"/>
    <w:rsid w:val="003A0835"/>
    <w:rsid w:val="003A0867"/>
    <w:rsid w:val="003A08AC"/>
    <w:rsid w:val="003A08AF"/>
    <w:rsid w:val="003A08CE"/>
    <w:rsid w:val="003A08D2"/>
    <w:rsid w:val="003A092E"/>
    <w:rsid w:val="003A0943"/>
    <w:rsid w:val="003A09F9"/>
    <w:rsid w:val="003A0A01"/>
    <w:rsid w:val="003A0A92"/>
    <w:rsid w:val="003A0B3C"/>
    <w:rsid w:val="003A0B51"/>
    <w:rsid w:val="003A0B53"/>
    <w:rsid w:val="003A0B57"/>
    <w:rsid w:val="003A0B64"/>
    <w:rsid w:val="003A0B70"/>
    <w:rsid w:val="003A0BAA"/>
    <w:rsid w:val="003A0BED"/>
    <w:rsid w:val="003A0C35"/>
    <w:rsid w:val="003A0C40"/>
    <w:rsid w:val="003A0C6C"/>
    <w:rsid w:val="003A0C87"/>
    <w:rsid w:val="003A0CA5"/>
    <w:rsid w:val="003A0D0A"/>
    <w:rsid w:val="003A0D12"/>
    <w:rsid w:val="003A0D52"/>
    <w:rsid w:val="003A0D8F"/>
    <w:rsid w:val="003A0DB3"/>
    <w:rsid w:val="003A0DFC"/>
    <w:rsid w:val="003A0E2D"/>
    <w:rsid w:val="003A0E5B"/>
    <w:rsid w:val="003A0E98"/>
    <w:rsid w:val="003A0EAC"/>
    <w:rsid w:val="003A0ED2"/>
    <w:rsid w:val="003A0EE2"/>
    <w:rsid w:val="003A0F6A"/>
    <w:rsid w:val="003A0F7B"/>
    <w:rsid w:val="003A0F9F"/>
    <w:rsid w:val="003A0FC0"/>
    <w:rsid w:val="003A0FD9"/>
    <w:rsid w:val="003A1008"/>
    <w:rsid w:val="003A1031"/>
    <w:rsid w:val="003A1053"/>
    <w:rsid w:val="003A105C"/>
    <w:rsid w:val="003A107E"/>
    <w:rsid w:val="003A109D"/>
    <w:rsid w:val="003A10BE"/>
    <w:rsid w:val="003A10DA"/>
    <w:rsid w:val="003A10E8"/>
    <w:rsid w:val="003A1168"/>
    <w:rsid w:val="003A118F"/>
    <w:rsid w:val="003A119A"/>
    <w:rsid w:val="003A11A3"/>
    <w:rsid w:val="003A1205"/>
    <w:rsid w:val="003A1236"/>
    <w:rsid w:val="003A1264"/>
    <w:rsid w:val="003A1284"/>
    <w:rsid w:val="003A12F8"/>
    <w:rsid w:val="003A133B"/>
    <w:rsid w:val="003A1348"/>
    <w:rsid w:val="003A134F"/>
    <w:rsid w:val="003A1351"/>
    <w:rsid w:val="003A1363"/>
    <w:rsid w:val="003A1382"/>
    <w:rsid w:val="003A1385"/>
    <w:rsid w:val="003A140C"/>
    <w:rsid w:val="003A1415"/>
    <w:rsid w:val="003A1454"/>
    <w:rsid w:val="003A14B2"/>
    <w:rsid w:val="003A14B3"/>
    <w:rsid w:val="003A14B7"/>
    <w:rsid w:val="003A14E1"/>
    <w:rsid w:val="003A14E6"/>
    <w:rsid w:val="003A1517"/>
    <w:rsid w:val="003A152E"/>
    <w:rsid w:val="003A153B"/>
    <w:rsid w:val="003A1547"/>
    <w:rsid w:val="003A1566"/>
    <w:rsid w:val="003A15AA"/>
    <w:rsid w:val="003A15B4"/>
    <w:rsid w:val="003A15EC"/>
    <w:rsid w:val="003A15F5"/>
    <w:rsid w:val="003A1650"/>
    <w:rsid w:val="003A1667"/>
    <w:rsid w:val="003A16C7"/>
    <w:rsid w:val="003A1749"/>
    <w:rsid w:val="003A1756"/>
    <w:rsid w:val="003A1771"/>
    <w:rsid w:val="003A1800"/>
    <w:rsid w:val="003A1806"/>
    <w:rsid w:val="003A1858"/>
    <w:rsid w:val="003A1888"/>
    <w:rsid w:val="003A1890"/>
    <w:rsid w:val="003A18D0"/>
    <w:rsid w:val="003A1906"/>
    <w:rsid w:val="003A1991"/>
    <w:rsid w:val="003A1992"/>
    <w:rsid w:val="003A19C5"/>
    <w:rsid w:val="003A19D2"/>
    <w:rsid w:val="003A19E3"/>
    <w:rsid w:val="003A19E4"/>
    <w:rsid w:val="003A1A2E"/>
    <w:rsid w:val="003A1AB7"/>
    <w:rsid w:val="003A1ABC"/>
    <w:rsid w:val="003A1AEE"/>
    <w:rsid w:val="003A1B2A"/>
    <w:rsid w:val="003A1B3A"/>
    <w:rsid w:val="003A1B77"/>
    <w:rsid w:val="003A1B7A"/>
    <w:rsid w:val="003A1B7E"/>
    <w:rsid w:val="003A1BCC"/>
    <w:rsid w:val="003A1BD7"/>
    <w:rsid w:val="003A1C63"/>
    <w:rsid w:val="003A1C85"/>
    <w:rsid w:val="003A1C8E"/>
    <w:rsid w:val="003A1CC8"/>
    <w:rsid w:val="003A1D17"/>
    <w:rsid w:val="003A1D9B"/>
    <w:rsid w:val="003A1DE0"/>
    <w:rsid w:val="003A1DFF"/>
    <w:rsid w:val="003A1E35"/>
    <w:rsid w:val="003A1ED3"/>
    <w:rsid w:val="003A1FAC"/>
    <w:rsid w:val="003A1FEA"/>
    <w:rsid w:val="003A2069"/>
    <w:rsid w:val="003A2094"/>
    <w:rsid w:val="003A2098"/>
    <w:rsid w:val="003A20ED"/>
    <w:rsid w:val="003A20F2"/>
    <w:rsid w:val="003A212F"/>
    <w:rsid w:val="003A2134"/>
    <w:rsid w:val="003A2178"/>
    <w:rsid w:val="003A2237"/>
    <w:rsid w:val="003A2250"/>
    <w:rsid w:val="003A22E5"/>
    <w:rsid w:val="003A2322"/>
    <w:rsid w:val="003A235B"/>
    <w:rsid w:val="003A2367"/>
    <w:rsid w:val="003A23DA"/>
    <w:rsid w:val="003A23F7"/>
    <w:rsid w:val="003A2448"/>
    <w:rsid w:val="003A244D"/>
    <w:rsid w:val="003A24AE"/>
    <w:rsid w:val="003A24F9"/>
    <w:rsid w:val="003A251D"/>
    <w:rsid w:val="003A2520"/>
    <w:rsid w:val="003A25EC"/>
    <w:rsid w:val="003A25F5"/>
    <w:rsid w:val="003A2603"/>
    <w:rsid w:val="003A2616"/>
    <w:rsid w:val="003A2617"/>
    <w:rsid w:val="003A2637"/>
    <w:rsid w:val="003A2653"/>
    <w:rsid w:val="003A2665"/>
    <w:rsid w:val="003A2676"/>
    <w:rsid w:val="003A2696"/>
    <w:rsid w:val="003A26A6"/>
    <w:rsid w:val="003A26C8"/>
    <w:rsid w:val="003A26DA"/>
    <w:rsid w:val="003A271C"/>
    <w:rsid w:val="003A2732"/>
    <w:rsid w:val="003A274E"/>
    <w:rsid w:val="003A276C"/>
    <w:rsid w:val="003A2774"/>
    <w:rsid w:val="003A27BE"/>
    <w:rsid w:val="003A27E2"/>
    <w:rsid w:val="003A2807"/>
    <w:rsid w:val="003A2898"/>
    <w:rsid w:val="003A28AE"/>
    <w:rsid w:val="003A28C7"/>
    <w:rsid w:val="003A28CC"/>
    <w:rsid w:val="003A2921"/>
    <w:rsid w:val="003A29F9"/>
    <w:rsid w:val="003A2A21"/>
    <w:rsid w:val="003A2A4E"/>
    <w:rsid w:val="003A2A60"/>
    <w:rsid w:val="003A2AB5"/>
    <w:rsid w:val="003A2AF7"/>
    <w:rsid w:val="003A2B26"/>
    <w:rsid w:val="003A2B58"/>
    <w:rsid w:val="003A2B7F"/>
    <w:rsid w:val="003A2C09"/>
    <w:rsid w:val="003A2C2A"/>
    <w:rsid w:val="003A2C79"/>
    <w:rsid w:val="003A2C93"/>
    <w:rsid w:val="003A2C9B"/>
    <w:rsid w:val="003A2CCE"/>
    <w:rsid w:val="003A2CDD"/>
    <w:rsid w:val="003A2D18"/>
    <w:rsid w:val="003A2D82"/>
    <w:rsid w:val="003A2D87"/>
    <w:rsid w:val="003A2DD7"/>
    <w:rsid w:val="003A2E33"/>
    <w:rsid w:val="003A2E4B"/>
    <w:rsid w:val="003A2E5A"/>
    <w:rsid w:val="003A2E8E"/>
    <w:rsid w:val="003A2F18"/>
    <w:rsid w:val="003A2F94"/>
    <w:rsid w:val="003A3063"/>
    <w:rsid w:val="003A3093"/>
    <w:rsid w:val="003A30A3"/>
    <w:rsid w:val="003A30CA"/>
    <w:rsid w:val="003A30D6"/>
    <w:rsid w:val="003A310B"/>
    <w:rsid w:val="003A3133"/>
    <w:rsid w:val="003A3159"/>
    <w:rsid w:val="003A31A1"/>
    <w:rsid w:val="003A31A3"/>
    <w:rsid w:val="003A31B5"/>
    <w:rsid w:val="003A3272"/>
    <w:rsid w:val="003A327E"/>
    <w:rsid w:val="003A32AB"/>
    <w:rsid w:val="003A32F8"/>
    <w:rsid w:val="003A3306"/>
    <w:rsid w:val="003A3319"/>
    <w:rsid w:val="003A3330"/>
    <w:rsid w:val="003A3349"/>
    <w:rsid w:val="003A3399"/>
    <w:rsid w:val="003A340F"/>
    <w:rsid w:val="003A3491"/>
    <w:rsid w:val="003A349D"/>
    <w:rsid w:val="003A34CF"/>
    <w:rsid w:val="003A34EA"/>
    <w:rsid w:val="003A34F8"/>
    <w:rsid w:val="003A34FE"/>
    <w:rsid w:val="003A353F"/>
    <w:rsid w:val="003A35E5"/>
    <w:rsid w:val="003A3631"/>
    <w:rsid w:val="003A366A"/>
    <w:rsid w:val="003A36AE"/>
    <w:rsid w:val="003A36D1"/>
    <w:rsid w:val="003A36E0"/>
    <w:rsid w:val="003A3704"/>
    <w:rsid w:val="003A3720"/>
    <w:rsid w:val="003A375F"/>
    <w:rsid w:val="003A37AC"/>
    <w:rsid w:val="003A37AF"/>
    <w:rsid w:val="003A383B"/>
    <w:rsid w:val="003A3858"/>
    <w:rsid w:val="003A3875"/>
    <w:rsid w:val="003A38D8"/>
    <w:rsid w:val="003A38DB"/>
    <w:rsid w:val="003A38DD"/>
    <w:rsid w:val="003A3937"/>
    <w:rsid w:val="003A3959"/>
    <w:rsid w:val="003A39AF"/>
    <w:rsid w:val="003A3A60"/>
    <w:rsid w:val="003A3A93"/>
    <w:rsid w:val="003A3ADC"/>
    <w:rsid w:val="003A3AFA"/>
    <w:rsid w:val="003A3B18"/>
    <w:rsid w:val="003A3B69"/>
    <w:rsid w:val="003A3B95"/>
    <w:rsid w:val="003A3BFF"/>
    <w:rsid w:val="003A3C41"/>
    <w:rsid w:val="003A3C8D"/>
    <w:rsid w:val="003A3CAC"/>
    <w:rsid w:val="003A3CC4"/>
    <w:rsid w:val="003A3CCB"/>
    <w:rsid w:val="003A3D4C"/>
    <w:rsid w:val="003A3DAF"/>
    <w:rsid w:val="003A3DCC"/>
    <w:rsid w:val="003A3E1F"/>
    <w:rsid w:val="003A3E44"/>
    <w:rsid w:val="003A3E8A"/>
    <w:rsid w:val="003A3EC7"/>
    <w:rsid w:val="003A3F37"/>
    <w:rsid w:val="003A3F38"/>
    <w:rsid w:val="003A3F59"/>
    <w:rsid w:val="003A3F77"/>
    <w:rsid w:val="003A3F94"/>
    <w:rsid w:val="003A3FA6"/>
    <w:rsid w:val="003A3FD8"/>
    <w:rsid w:val="003A406F"/>
    <w:rsid w:val="003A409E"/>
    <w:rsid w:val="003A40AE"/>
    <w:rsid w:val="003A410E"/>
    <w:rsid w:val="003A4119"/>
    <w:rsid w:val="003A415B"/>
    <w:rsid w:val="003A4196"/>
    <w:rsid w:val="003A419B"/>
    <w:rsid w:val="003A41DF"/>
    <w:rsid w:val="003A4228"/>
    <w:rsid w:val="003A4237"/>
    <w:rsid w:val="003A429F"/>
    <w:rsid w:val="003A4319"/>
    <w:rsid w:val="003A431C"/>
    <w:rsid w:val="003A4327"/>
    <w:rsid w:val="003A4329"/>
    <w:rsid w:val="003A4343"/>
    <w:rsid w:val="003A435C"/>
    <w:rsid w:val="003A43CA"/>
    <w:rsid w:val="003A43E2"/>
    <w:rsid w:val="003A440A"/>
    <w:rsid w:val="003A445B"/>
    <w:rsid w:val="003A4522"/>
    <w:rsid w:val="003A455E"/>
    <w:rsid w:val="003A45B9"/>
    <w:rsid w:val="003A45C4"/>
    <w:rsid w:val="003A45DD"/>
    <w:rsid w:val="003A4615"/>
    <w:rsid w:val="003A468B"/>
    <w:rsid w:val="003A46CC"/>
    <w:rsid w:val="003A46EA"/>
    <w:rsid w:val="003A4799"/>
    <w:rsid w:val="003A47C0"/>
    <w:rsid w:val="003A4800"/>
    <w:rsid w:val="003A4829"/>
    <w:rsid w:val="003A483D"/>
    <w:rsid w:val="003A483F"/>
    <w:rsid w:val="003A48BB"/>
    <w:rsid w:val="003A4907"/>
    <w:rsid w:val="003A495A"/>
    <w:rsid w:val="003A4989"/>
    <w:rsid w:val="003A4994"/>
    <w:rsid w:val="003A49BE"/>
    <w:rsid w:val="003A4A3A"/>
    <w:rsid w:val="003A4ABC"/>
    <w:rsid w:val="003A4B62"/>
    <w:rsid w:val="003A4BB4"/>
    <w:rsid w:val="003A4BE1"/>
    <w:rsid w:val="003A4BE7"/>
    <w:rsid w:val="003A4C01"/>
    <w:rsid w:val="003A4C06"/>
    <w:rsid w:val="003A4C27"/>
    <w:rsid w:val="003A4C34"/>
    <w:rsid w:val="003A4C45"/>
    <w:rsid w:val="003A4C46"/>
    <w:rsid w:val="003A4C4E"/>
    <w:rsid w:val="003A4CA0"/>
    <w:rsid w:val="003A4D2B"/>
    <w:rsid w:val="003A4D95"/>
    <w:rsid w:val="003A4DA4"/>
    <w:rsid w:val="003A4DDA"/>
    <w:rsid w:val="003A4DE5"/>
    <w:rsid w:val="003A4DF9"/>
    <w:rsid w:val="003A4E0F"/>
    <w:rsid w:val="003A4E6B"/>
    <w:rsid w:val="003A4EAB"/>
    <w:rsid w:val="003A4F19"/>
    <w:rsid w:val="003A4F4E"/>
    <w:rsid w:val="003A4F82"/>
    <w:rsid w:val="003A4FC6"/>
    <w:rsid w:val="003A4FDB"/>
    <w:rsid w:val="003A4FF2"/>
    <w:rsid w:val="003A5018"/>
    <w:rsid w:val="003A5037"/>
    <w:rsid w:val="003A5050"/>
    <w:rsid w:val="003A5064"/>
    <w:rsid w:val="003A5065"/>
    <w:rsid w:val="003A50C1"/>
    <w:rsid w:val="003A50EC"/>
    <w:rsid w:val="003A50F5"/>
    <w:rsid w:val="003A5139"/>
    <w:rsid w:val="003A5185"/>
    <w:rsid w:val="003A518C"/>
    <w:rsid w:val="003A5206"/>
    <w:rsid w:val="003A526A"/>
    <w:rsid w:val="003A52C0"/>
    <w:rsid w:val="003A52D4"/>
    <w:rsid w:val="003A5341"/>
    <w:rsid w:val="003A5408"/>
    <w:rsid w:val="003A547E"/>
    <w:rsid w:val="003A54BA"/>
    <w:rsid w:val="003A5506"/>
    <w:rsid w:val="003A5535"/>
    <w:rsid w:val="003A556A"/>
    <w:rsid w:val="003A557A"/>
    <w:rsid w:val="003A5602"/>
    <w:rsid w:val="003A562B"/>
    <w:rsid w:val="003A5632"/>
    <w:rsid w:val="003A563F"/>
    <w:rsid w:val="003A56A7"/>
    <w:rsid w:val="003A56C1"/>
    <w:rsid w:val="003A56D7"/>
    <w:rsid w:val="003A56E1"/>
    <w:rsid w:val="003A5731"/>
    <w:rsid w:val="003A5748"/>
    <w:rsid w:val="003A57AA"/>
    <w:rsid w:val="003A57DF"/>
    <w:rsid w:val="003A5866"/>
    <w:rsid w:val="003A58CD"/>
    <w:rsid w:val="003A5903"/>
    <w:rsid w:val="003A5919"/>
    <w:rsid w:val="003A594C"/>
    <w:rsid w:val="003A595B"/>
    <w:rsid w:val="003A595E"/>
    <w:rsid w:val="003A599C"/>
    <w:rsid w:val="003A59A1"/>
    <w:rsid w:val="003A59A6"/>
    <w:rsid w:val="003A5A27"/>
    <w:rsid w:val="003A5ACA"/>
    <w:rsid w:val="003A5AEF"/>
    <w:rsid w:val="003A5B21"/>
    <w:rsid w:val="003A5B2B"/>
    <w:rsid w:val="003A5B36"/>
    <w:rsid w:val="003A5BC7"/>
    <w:rsid w:val="003A5C08"/>
    <w:rsid w:val="003A5C26"/>
    <w:rsid w:val="003A5C3F"/>
    <w:rsid w:val="003A5CC0"/>
    <w:rsid w:val="003A5CE5"/>
    <w:rsid w:val="003A5CFE"/>
    <w:rsid w:val="003A5D11"/>
    <w:rsid w:val="003A5D12"/>
    <w:rsid w:val="003A5DBD"/>
    <w:rsid w:val="003A5E1B"/>
    <w:rsid w:val="003A5E23"/>
    <w:rsid w:val="003A5E26"/>
    <w:rsid w:val="003A5E49"/>
    <w:rsid w:val="003A5E5A"/>
    <w:rsid w:val="003A5E6F"/>
    <w:rsid w:val="003A5EA8"/>
    <w:rsid w:val="003A5EB4"/>
    <w:rsid w:val="003A5EE5"/>
    <w:rsid w:val="003A5F14"/>
    <w:rsid w:val="003A5F20"/>
    <w:rsid w:val="003A5F6A"/>
    <w:rsid w:val="003A5F9D"/>
    <w:rsid w:val="003A5FCA"/>
    <w:rsid w:val="003A5FD1"/>
    <w:rsid w:val="003A6000"/>
    <w:rsid w:val="003A6055"/>
    <w:rsid w:val="003A60E8"/>
    <w:rsid w:val="003A610A"/>
    <w:rsid w:val="003A6159"/>
    <w:rsid w:val="003A615E"/>
    <w:rsid w:val="003A6166"/>
    <w:rsid w:val="003A618A"/>
    <w:rsid w:val="003A61C1"/>
    <w:rsid w:val="003A61D9"/>
    <w:rsid w:val="003A621E"/>
    <w:rsid w:val="003A6240"/>
    <w:rsid w:val="003A628D"/>
    <w:rsid w:val="003A631C"/>
    <w:rsid w:val="003A6323"/>
    <w:rsid w:val="003A6346"/>
    <w:rsid w:val="003A6348"/>
    <w:rsid w:val="003A63B0"/>
    <w:rsid w:val="003A63B2"/>
    <w:rsid w:val="003A63F2"/>
    <w:rsid w:val="003A640D"/>
    <w:rsid w:val="003A6429"/>
    <w:rsid w:val="003A6438"/>
    <w:rsid w:val="003A64F5"/>
    <w:rsid w:val="003A651A"/>
    <w:rsid w:val="003A6523"/>
    <w:rsid w:val="003A65D7"/>
    <w:rsid w:val="003A65FA"/>
    <w:rsid w:val="003A6701"/>
    <w:rsid w:val="003A678E"/>
    <w:rsid w:val="003A679E"/>
    <w:rsid w:val="003A67B1"/>
    <w:rsid w:val="003A67D7"/>
    <w:rsid w:val="003A67F5"/>
    <w:rsid w:val="003A67FB"/>
    <w:rsid w:val="003A681C"/>
    <w:rsid w:val="003A6849"/>
    <w:rsid w:val="003A684C"/>
    <w:rsid w:val="003A68A8"/>
    <w:rsid w:val="003A6940"/>
    <w:rsid w:val="003A69C3"/>
    <w:rsid w:val="003A6A28"/>
    <w:rsid w:val="003A6A75"/>
    <w:rsid w:val="003A6A9B"/>
    <w:rsid w:val="003A6A9D"/>
    <w:rsid w:val="003A6B2F"/>
    <w:rsid w:val="003A6B7B"/>
    <w:rsid w:val="003A6C4B"/>
    <w:rsid w:val="003A6C52"/>
    <w:rsid w:val="003A6C77"/>
    <w:rsid w:val="003A6C8E"/>
    <w:rsid w:val="003A6CA2"/>
    <w:rsid w:val="003A6CA4"/>
    <w:rsid w:val="003A6CA7"/>
    <w:rsid w:val="003A6D0B"/>
    <w:rsid w:val="003A6D7F"/>
    <w:rsid w:val="003A6E5C"/>
    <w:rsid w:val="003A6E8D"/>
    <w:rsid w:val="003A6EB9"/>
    <w:rsid w:val="003A6EC4"/>
    <w:rsid w:val="003A6ECC"/>
    <w:rsid w:val="003A6F31"/>
    <w:rsid w:val="003A6F81"/>
    <w:rsid w:val="003A6FB3"/>
    <w:rsid w:val="003A6FC1"/>
    <w:rsid w:val="003A701E"/>
    <w:rsid w:val="003A702B"/>
    <w:rsid w:val="003A7077"/>
    <w:rsid w:val="003A70BF"/>
    <w:rsid w:val="003A70ED"/>
    <w:rsid w:val="003A7106"/>
    <w:rsid w:val="003A7110"/>
    <w:rsid w:val="003A7162"/>
    <w:rsid w:val="003A71E2"/>
    <w:rsid w:val="003A7202"/>
    <w:rsid w:val="003A7224"/>
    <w:rsid w:val="003A7262"/>
    <w:rsid w:val="003A7265"/>
    <w:rsid w:val="003A7289"/>
    <w:rsid w:val="003A7290"/>
    <w:rsid w:val="003A7296"/>
    <w:rsid w:val="003A7348"/>
    <w:rsid w:val="003A736D"/>
    <w:rsid w:val="003A737B"/>
    <w:rsid w:val="003A73B3"/>
    <w:rsid w:val="003A73B9"/>
    <w:rsid w:val="003A73E7"/>
    <w:rsid w:val="003A7428"/>
    <w:rsid w:val="003A743D"/>
    <w:rsid w:val="003A7455"/>
    <w:rsid w:val="003A747A"/>
    <w:rsid w:val="003A749F"/>
    <w:rsid w:val="003A74B5"/>
    <w:rsid w:val="003A7535"/>
    <w:rsid w:val="003A75AD"/>
    <w:rsid w:val="003A75B1"/>
    <w:rsid w:val="003A7614"/>
    <w:rsid w:val="003A7684"/>
    <w:rsid w:val="003A768C"/>
    <w:rsid w:val="003A7692"/>
    <w:rsid w:val="003A76D4"/>
    <w:rsid w:val="003A7718"/>
    <w:rsid w:val="003A774D"/>
    <w:rsid w:val="003A7760"/>
    <w:rsid w:val="003A77C7"/>
    <w:rsid w:val="003A783A"/>
    <w:rsid w:val="003A7846"/>
    <w:rsid w:val="003A789D"/>
    <w:rsid w:val="003A78B1"/>
    <w:rsid w:val="003A78BB"/>
    <w:rsid w:val="003A78FE"/>
    <w:rsid w:val="003A7901"/>
    <w:rsid w:val="003A7914"/>
    <w:rsid w:val="003A792D"/>
    <w:rsid w:val="003A798D"/>
    <w:rsid w:val="003A7998"/>
    <w:rsid w:val="003A7A6D"/>
    <w:rsid w:val="003A7A7C"/>
    <w:rsid w:val="003A7A90"/>
    <w:rsid w:val="003A7ADD"/>
    <w:rsid w:val="003A7B17"/>
    <w:rsid w:val="003A7B27"/>
    <w:rsid w:val="003A7B53"/>
    <w:rsid w:val="003A7B63"/>
    <w:rsid w:val="003A7BAD"/>
    <w:rsid w:val="003A7BBD"/>
    <w:rsid w:val="003A7C3B"/>
    <w:rsid w:val="003A7CAE"/>
    <w:rsid w:val="003A7CC0"/>
    <w:rsid w:val="003A7CD5"/>
    <w:rsid w:val="003A7CDF"/>
    <w:rsid w:val="003A7D0D"/>
    <w:rsid w:val="003A7D20"/>
    <w:rsid w:val="003A7D58"/>
    <w:rsid w:val="003A7D98"/>
    <w:rsid w:val="003A7DA5"/>
    <w:rsid w:val="003A7E5D"/>
    <w:rsid w:val="003A7E6C"/>
    <w:rsid w:val="003A7E76"/>
    <w:rsid w:val="003A7EA7"/>
    <w:rsid w:val="003A7EAD"/>
    <w:rsid w:val="003A7F07"/>
    <w:rsid w:val="003A7F17"/>
    <w:rsid w:val="003A7F37"/>
    <w:rsid w:val="003A7F50"/>
    <w:rsid w:val="003A7F7E"/>
    <w:rsid w:val="003A7F9E"/>
    <w:rsid w:val="003A7FA3"/>
    <w:rsid w:val="003A7FEA"/>
    <w:rsid w:val="003A7FF1"/>
    <w:rsid w:val="003B003B"/>
    <w:rsid w:val="003B0066"/>
    <w:rsid w:val="003B006D"/>
    <w:rsid w:val="003B00C4"/>
    <w:rsid w:val="003B0127"/>
    <w:rsid w:val="003B0138"/>
    <w:rsid w:val="003B0181"/>
    <w:rsid w:val="003B0205"/>
    <w:rsid w:val="003B021D"/>
    <w:rsid w:val="003B0240"/>
    <w:rsid w:val="003B0337"/>
    <w:rsid w:val="003B0345"/>
    <w:rsid w:val="003B0395"/>
    <w:rsid w:val="003B0396"/>
    <w:rsid w:val="003B03B9"/>
    <w:rsid w:val="003B0418"/>
    <w:rsid w:val="003B0433"/>
    <w:rsid w:val="003B0440"/>
    <w:rsid w:val="003B0443"/>
    <w:rsid w:val="003B0455"/>
    <w:rsid w:val="003B0544"/>
    <w:rsid w:val="003B0547"/>
    <w:rsid w:val="003B057D"/>
    <w:rsid w:val="003B0586"/>
    <w:rsid w:val="003B0625"/>
    <w:rsid w:val="003B0661"/>
    <w:rsid w:val="003B066F"/>
    <w:rsid w:val="003B067A"/>
    <w:rsid w:val="003B06A9"/>
    <w:rsid w:val="003B06AB"/>
    <w:rsid w:val="003B06BE"/>
    <w:rsid w:val="003B0708"/>
    <w:rsid w:val="003B079C"/>
    <w:rsid w:val="003B07C1"/>
    <w:rsid w:val="003B07C6"/>
    <w:rsid w:val="003B07CC"/>
    <w:rsid w:val="003B07D6"/>
    <w:rsid w:val="003B07E9"/>
    <w:rsid w:val="003B0807"/>
    <w:rsid w:val="003B083D"/>
    <w:rsid w:val="003B08E3"/>
    <w:rsid w:val="003B096A"/>
    <w:rsid w:val="003B096B"/>
    <w:rsid w:val="003B097D"/>
    <w:rsid w:val="003B09AF"/>
    <w:rsid w:val="003B0A34"/>
    <w:rsid w:val="003B0A88"/>
    <w:rsid w:val="003B0A8B"/>
    <w:rsid w:val="003B0AB8"/>
    <w:rsid w:val="003B0AF7"/>
    <w:rsid w:val="003B0B5E"/>
    <w:rsid w:val="003B0BC7"/>
    <w:rsid w:val="003B0C32"/>
    <w:rsid w:val="003B0C42"/>
    <w:rsid w:val="003B0C7F"/>
    <w:rsid w:val="003B0C8A"/>
    <w:rsid w:val="003B0C92"/>
    <w:rsid w:val="003B0DC9"/>
    <w:rsid w:val="003B0DCC"/>
    <w:rsid w:val="003B0DE2"/>
    <w:rsid w:val="003B0E0B"/>
    <w:rsid w:val="003B0EA2"/>
    <w:rsid w:val="003B0EBD"/>
    <w:rsid w:val="003B0EC6"/>
    <w:rsid w:val="003B0F6A"/>
    <w:rsid w:val="003B0F92"/>
    <w:rsid w:val="003B0F95"/>
    <w:rsid w:val="003B0FAA"/>
    <w:rsid w:val="003B0FC6"/>
    <w:rsid w:val="003B0FD8"/>
    <w:rsid w:val="003B1005"/>
    <w:rsid w:val="003B1044"/>
    <w:rsid w:val="003B105E"/>
    <w:rsid w:val="003B1063"/>
    <w:rsid w:val="003B1091"/>
    <w:rsid w:val="003B1141"/>
    <w:rsid w:val="003B11B8"/>
    <w:rsid w:val="003B11F3"/>
    <w:rsid w:val="003B1329"/>
    <w:rsid w:val="003B13EC"/>
    <w:rsid w:val="003B13F7"/>
    <w:rsid w:val="003B1493"/>
    <w:rsid w:val="003B149C"/>
    <w:rsid w:val="003B1510"/>
    <w:rsid w:val="003B1515"/>
    <w:rsid w:val="003B157A"/>
    <w:rsid w:val="003B158C"/>
    <w:rsid w:val="003B1659"/>
    <w:rsid w:val="003B165F"/>
    <w:rsid w:val="003B1662"/>
    <w:rsid w:val="003B167D"/>
    <w:rsid w:val="003B169A"/>
    <w:rsid w:val="003B16A4"/>
    <w:rsid w:val="003B16B6"/>
    <w:rsid w:val="003B16D8"/>
    <w:rsid w:val="003B1778"/>
    <w:rsid w:val="003B17AD"/>
    <w:rsid w:val="003B17AF"/>
    <w:rsid w:val="003B17C9"/>
    <w:rsid w:val="003B17E2"/>
    <w:rsid w:val="003B180D"/>
    <w:rsid w:val="003B1826"/>
    <w:rsid w:val="003B1861"/>
    <w:rsid w:val="003B187B"/>
    <w:rsid w:val="003B18A0"/>
    <w:rsid w:val="003B1939"/>
    <w:rsid w:val="003B193B"/>
    <w:rsid w:val="003B1946"/>
    <w:rsid w:val="003B1962"/>
    <w:rsid w:val="003B197F"/>
    <w:rsid w:val="003B1A0E"/>
    <w:rsid w:val="003B1A69"/>
    <w:rsid w:val="003B1A92"/>
    <w:rsid w:val="003B1AEA"/>
    <w:rsid w:val="003B1AFF"/>
    <w:rsid w:val="003B1B30"/>
    <w:rsid w:val="003B1B47"/>
    <w:rsid w:val="003B1B73"/>
    <w:rsid w:val="003B1B95"/>
    <w:rsid w:val="003B1BC3"/>
    <w:rsid w:val="003B1BDA"/>
    <w:rsid w:val="003B1C78"/>
    <w:rsid w:val="003B1CA7"/>
    <w:rsid w:val="003B1CBA"/>
    <w:rsid w:val="003B1CC8"/>
    <w:rsid w:val="003B1D10"/>
    <w:rsid w:val="003B1D13"/>
    <w:rsid w:val="003B1D17"/>
    <w:rsid w:val="003B1D1A"/>
    <w:rsid w:val="003B1D2B"/>
    <w:rsid w:val="003B1D48"/>
    <w:rsid w:val="003B1DB9"/>
    <w:rsid w:val="003B1E03"/>
    <w:rsid w:val="003B1E41"/>
    <w:rsid w:val="003B1E43"/>
    <w:rsid w:val="003B1E62"/>
    <w:rsid w:val="003B1F3D"/>
    <w:rsid w:val="003B1FE5"/>
    <w:rsid w:val="003B1FE7"/>
    <w:rsid w:val="003B1FFD"/>
    <w:rsid w:val="003B200D"/>
    <w:rsid w:val="003B200E"/>
    <w:rsid w:val="003B2017"/>
    <w:rsid w:val="003B20E9"/>
    <w:rsid w:val="003B2120"/>
    <w:rsid w:val="003B213B"/>
    <w:rsid w:val="003B215B"/>
    <w:rsid w:val="003B2164"/>
    <w:rsid w:val="003B21E0"/>
    <w:rsid w:val="003B2241"/>
    <w:rsid w:val="003B2284"/>
    <w:rsid w:val="003B22A2"/>
    <w:rsid w:val="003B2320"/>
    <w:rsid w:val="003B2390"/>
    <w:rsid w:val="003B23F0"/>
    <w:rsid w:val="003B2421"/>
    <w:rsid w:val="003B2454"/>
    <w:rsid w:val="003B2468"/>
    <w:rsid w:val="003B2486"/>
    <w:rsid w:val="003B24A0"/>
    <w:rsid w:val="003B24B1"/>
    <w:rsid w:val="003B250B"/>
    <w:rsid w:val="003B251A"/>
    <w:rsid w:val="003B2599"/>
    <w:rsid w:val="003B25DA"/>
    <w:rsid w:val="003B263A"/>
    <w:rsid w:val="003B2640"/>
    <w:rsid w:val="003B2676"/>
    <w:rsid w:val="003B2690"/>
    <w:rsid w:val="003B2699"/>
    <w:rsid w:val="003B2787"/>
    <w:rsid w:val="003B27B8"/>
    <w:rsid w:val="003B27E6"/>
    <w:rsid w:val="003B281C"/>
    <w:rsid w:val="003B2826"/>
    <w:rsid w:val="003B2868"/>
    <w:rsid w:val="003B2911"/>
    <w:rsid w:val="003B2935"/>
    <w:rsid w:val="003B2942"/>
    <w:rsid w:val="003B2974"/>
    <w:rsid w:val="003B29A3"/>
    <w:rsid w:val="003B29DC"/>
    <w:rsid w:val="003B2A58"/>
    <w:rsid w:val="003B2A6B"/>
    <w:rsid w:val="003B2A8D"/>
    <w:rsid w:val="003B2AB5"/>
    <w:rsid w:val="003B2AD5"/>
    <w:rsid w:val="003B2AF5"/>
    <w:rsid w:val="003B2B12"/>
    <w:rsid w:val="003B2B37"/>
    <w:rsid w:val="003B2B3C"/>
    <w:rsid w:val="003B2BBA"/>
    <w:rsid w:val="003B2BCD"/>
    <w:rsid w:val="003B2BF2"/>
    <w:rsid w:val="003B2C09"/>
    <w:rsid w:val="003B2C5B"/>
    <w:rsid w:val="003B2C86"/>
    <w:rsid w:val="003B2CA9"/>
    <w:rsid w:val="003B2CAF"/>
    <w:rsid w:val="003B2CC7"/>
    <w:rsid w:val="003B2D9C"/>
    <w:rsid w:val="003B2DD6"/>
    <w:rsid w:val="003B2DFC"/>
    <w:rsid w:val="003B2E65"/>
    <w:rsid w:val="003B2E8F"/>
    <w:rsid w:val="003B2EBA"/>
    <w:rsid w:val="003B2F08"/>
    <w:rsid w:val="003B2F29"/>
    <w:rsid w:val="003B2F6B"/>
    <w:rsid w:val="003B2FBD"/>
    <w:rsid w:val="003B2FEE"/>
    <w:rsid w:val="003B3045"/>
    <w:rsid w:val="003B3057"/>
    <w:rsid w:val="003B309F"/>
    <w:rsid w:val="003B30A3"/>
    <w:rsid w:val="003B30ED"/>
    <w:rsid w:val="003B3144"/>
    <w:rsid w:val="003B3250"/>
    <w:rsid w:val="003B325D"/>
    <w:rsid w:val="003B32B7"/>
    <w:rsid w:val="003B32D4"/>
    <w:rsid w:val="003B331A"/>
    <w:rsid w:val="003B3364"/>
    <w:rsid w:val="003B336A"/>
    <w:rsid w:val="003B33A0"/>
    <w:rsid w:val="003B33D5"/>
    <w:rsid w:val="003B3422"/>
    <w:rsid w:val="003B3432"/>
    <w:rsid w:val="003B3446"/>
    <w:rsid w:val="003B348E"/>
    <w:rsid w:val="003B349C"/>
    <w:rsid w:val="003B34B6"/>
    <w:rsid w:val="003B34D9"/>
    <w:rsid w:val="003B34E0"/>
    <w:rsid w:val="003B35F3"/>
    <w:rsid w:val="003B3629"/>
    <w:rsid w:val="003B3641"/>
    <w:rsid w:val="003B3680"/>
    <w:rsid w:val="003B3690"/>
    <w:rsid w:val="003B3691"/>
    <w:rsid w:val="003B36D7"/>
    <w:rsid w:val="003B36F0"/>
    <w:rsid w:val="003B36F9"/>
    <w:rsid w:val="003B37BA"/>
    <w:rsid w:val="003B37C2"/>
    <w:rsid w:val="003B37EE"/>
    <w:rsid w:val="003B3856"/>
    <w:rsid w:val="003B3860"/>
    <w:rsid w:val="003B3891"/>
    <w:rsid w:val="003B38C8"/>
    <w:rsid w:val="003B3913"/>
    <w:rsid w:val="003B3944"/>
    <w:rsid w:val="003B399B"/>
    <w:rsid w:val="003B39BA"/>
    <w:rsid w:val="003B39D8"/>
    <w:rsid w:val="003B39E7"/>
    <w:rsid w:val="003B3A0D"/>
    <w:rsid w:val="003B3A76"/>
    <w:rsid w:val="003B3A94"/>
    <w:rsid w:val="003B3AA6"/>
    <w:rsid w:val="003B3ACF"/>
    <w:rsid w:val="003B3AD9"/>
    <w:rsid w:val="003B3BA4"/>
    <w:rsid w:val="003B3BC5"/>
    <w:rsid w:val="003B3BCA"/>
    <w:rsid w:val="003B3BF4"/>
    <w:rsid w:val="003B3C02"/>
    <w:rsid w:val="003B3C3E"/>
    <w:rsid w:val="003B3C75"/>
    <w:rsid w:val="003B3CF1"/>
    <w:rsid w:val="003B3D06"/>
    <w:rsid w:val="003B3D41"/>
    <w:rsid w:val="003B3D62"/>
    <w:rsid w:val="003B3E47"/>
    <w:rsid w:val="003B3E54"/>
    <w:rsid w:val="003B3E5F"/>
    <w:rsid w:val="003B3E8E"/>
    <w:rsid w:val="003B3EB4"/>
    <w:rsid w:val="003B3EBB"/>
    <w:rsid w:val="003B3ED0"/>
    <w:rsid w:val="003B3ED4"/>
    <w:rsid w:val="003B3F14"/>
    <w:rsid w:val="003B3F39"/>
    <w:rsid w:val="003B3FAC"/>
    <w:rsid w:val="003B3FE5"/>
    <w:rsid w:val="003B4081"/>
    <w:rsid w:val="003B4097"/>
    <w:rsid w:val="003B4102"/>
    <w:rsid w:val="003B4107"/>
    <w:rsid w:val="003B413F"/>
    <w:rsid w:val="003B4183"/>
    <w:rsid w:val="003B4187"/>
    <w:rsid w:val="003B4193"/>
    <w:rsid w:val="003B41B5"/>
    <w:rsid w:val="003B422B"/>
    <w:rsid w:val="003B4245"/>
    <w:rsid w:val="003B4268"/>
    <w:rsid w:val="003B4274"/>
    <w:rsid w:val="003B4287"/>
    <w:rsid w:val="003B42A6"/>
    <w:rsid w:val="003B4312"/>
    <w:rsid w:val="003B431E"/>
    <w:rsid w:val="003B4348"/>
    <w:rsid w:val="003B436F"/>
    <w:rsid w:val="003B43BA"/>
    <w:rsid w:val="003B43ED"/>
    <w:rsid w:val="003B4490"/>
    <w:rsid w:val="003B44F6"/>
    <w:rsid w:val="003B4547"/>
    <w:rsid w:val="003B455A"/>
    <w:rsid w:val="003B456D"/>
    <w:rsid w:val="003B45FC"/>
    <w:rsid w:val="003B466B"/>
    <w:rsid w:val="003B467C"/>
    <w:rsid w:val="003B468F"/>
    <w:rsid w:val="003B46BB"/>
    <w:rsid w:val="003B4786"/>
    <w:rsid w:val="003B47A0"/>
    <w:rsid w:val="003B4800"/>
    <w:rsid w:val="003B485B"/>
    <w:rsid w:val="003B48FD"/>
    <w:rsid w:val="003B494D"/>
    <w:rsid w:val="003B49B1"/>
    <w:rsid w:val="003B49B9"/>
    <w:rsid w:val="003B49CB"/>
    <w:rsid w:val="003B49DD"/>
    <w:rsid w:val="003B4A19"/>
    <w:rsid w:val="003B4A48"/>
    <w:rsid w:val="003B4A71"/>
    <w:rsid w:val="003B4A75"/>
    <w:rsid w:val="003B4B37"/>
    <w:rsid w:val="003B4B48"/>
    <w:rsid w:val="003B4B49"/>
    <w:rsid w:val="003B4B66"/>
    <w:rsid w:val="003B4BD7"/>
    <w:rsid w:val="003B4BFB"/>
    <w:rsid w:val="003B4C32"/>
    <w:rsid w:val="003B4C58"/>
    <w:rsid w:val="003B4C8C"/>
    <w:rsid w:val="003B4C8E"/>
    <w:rsid w:val="003B4CBC"/>
    <w:rsid w:val="003B4CE3"/>
    <w:rsid w:val="003B4CED"/>
    <w:rsid w:val="003B4D57"/>
    <w:rsid w:val="003B4DEE"/>
    <w:rsid w:val="003B4DFE"/>
    <w:rsid w:val="003B4E36"/>
    <w:rsid w:val="003B4E60"/>
    <w:rsid w:val="003B4E90"/>
    <w:rsid w:val="003B4EA2"/>
    <w:rsid w:val="003B4ED7"/>
    <w:rsid w:val="003B4F09"/>
    <w:rsid w:val="003B4F12"/>
    <w:rsid w:val="003B4F1B"/>
    <w:rsid w:val="003B4FAD"/>
    <w:rsid w:val="003B4FB2"/>
    <w:rsid w:val="003B4FF7"/>
    <w:rsid w:val="003B503A"/>
    <w:rsid w:val="003B503F"/>
    <w:rsid w:val="003B5047"/>
    <w:rsid w:val="003B506E"/>
    <w:rsid w:val="003B5087"/>
    <w:rsid w:val="003B5095"/>
    <w:rsid w:val="003B50B9"/>
    <w:rsid w:val="003B50ED"/>
    <w:rsid w:val="003B5148"/>
    <w:rsid w:val="003B517C"/>
    <w:rsid w:val="003B5208"/>
    <w:rsid w:val="003B5219"/>
    <w:rsid w:val="003B523F"/>
    <w:rsid w:val="003B52C5"/>
    <w:rsid w:val="003B52C7"/>
    <w:rsid w:val="003B52CB"/>
    <w:rsid w:val="003B52D1"/>
    <w:rsid w:val="003B531B"/>
    <w:rsid w:val="003B5349"/>
    <w:rsid w:val="003B536C"/>
    <w:rsid w:val="003B5389"/>
    <w:rsid w:val="003B53EF"/>
    <w:rsid w:val="003B53F2"/>
    <w:rsid w:val="003B53FB"/>
    <w:rsid w:val="003B543F"/>
    <w:rsid w:val="003B5475"/>
    <w:rsid w:val="003B549B"/>
    <w:rsid w:val="003B54A6"/>
    <w:rsid w:val="003B54AC"/>
    <w:rsid w:val="003B54E5"/>
    <w:rsid w:val="003B54FE"/>
    <w:rsid w:val="003B555E"/>
    <w:rsid w:val="003B5618"/>
    <w:rsid w:val="003B56BA"/>
    <w:rsid w:val="003B5703"/>
    <w:rsid w:val="003B57F0"/>
    <w:rsid w:val="003B5802"/>
    <w:rsid w:val="003B5825"/>
    <w:rsid w:val="003B582E"/>
    <w:rsid w:val="003B583C"/>
    <w:rsid w:val="003B5868"/>
    <w:rsid w:val="003B5877"/>
    <w:rsid w:val="003B58FE"/>
    <w:rsid w:val="003B5975"/>
    <w:rsid w:val="003B59B5"/>
    <w:rsid w:val="003B59BF"/>
    <w:rsid w:val="003B5AFC"/>
    <w:rsid w:val="003B5B19"/>
    <w:rsid w:val="003B5B30"/>
    <w:rsid w:val="003B5B4F"/>
    <w:rsid w:val="003B5B6A"/>
    <w:rsid w:val="003B5BB1"/>
    <w:rsid w:val="003B5BC4"/>
    <w:rsid w:val="003B5D06"/>
    <w:rsid w:val="003B5D6C"/>
    <w:rsid w:val="003B5D8F"/>
    <w:rsid w:val="003B5DC5"/>
    <w:rsid w:val="003B5E35"/>
    <w:rsid w:val="003B5ED3"/>
    <w:rsid w:val="003B5F0C"/>
    <w:rsid w:val="003B5F21"/>
    <w:rsid w:val="003B5F6F"/>
    <w:rsid w:val="003B5FDB"/>
    <w:rsid w:val="003B600C"/>
    <w:rsid w:val="003B6012"/>
    <w:rsid w:val="003B6096"/>
    <w:rsid w:val="003B60B9"/>
    <w:rsid w:val="003B60E4"/>
    <w:rsid w:val="003B6108"/>
    <w:rsid w:val="003B6121"/>
    <w:rsid w:val="003B612E"/>
    <w:rsid w:val="003B615F"/>
    <w:rsid w:val="003B619F"/>
    <w:rsid w:val="003B61A7"/>
    <w:rsid w:val="003B6202"/>
    <w:rsid w:val="003B622A"/>
    <w:rsid w:val="003B6234"/>
    <w:rsid w:val="003B6251"/>
    <w:rsid w:val="003B62B2"/>
    <w:rsid w:val="003B62D6"/>
    <w:rsid w:val="003B62DB"/>
    <w:rsid w:val="003B62FA"/>
    <w:rsid w:val="003B630E"/>
    <w:rsid w:val="003B632D"/>
    <w:rsid w:val="003B6380"/>
    <w:rsid w:val="003B6385"/>
    <w:rsid w:val="003B63B0"/>
    <w:rsid w:val="003B6401"/>
    <w:rsid w:val="003B6453"/>
    <w:rsid w:val="003B6475"/>
    <w:rsid w:val="003B6491"/>
    <w:rsid w:val="003B6498"/>
    <w:rsid w:val="003B64B4"/>
    <w:rsid w:val="003B64C6"/>
    <w:rsid w:val="003B653D"/>
    <w:rsid w:val="003B6557"/>
    <w:rsid w:val="003B6579"/>
    <w:rsid w:val="003B6590"/>
    <w:rsid w:val="003B65A0"/>
    <w:rsid w:val="003B6644"/>
    <w:rsid w:val="003B67F1"/>
    <w:rsid w:val="003B684F"/>
    <w:rsid w:val="003B6861"/>
    <w:rsid w:val="003B68D1"/>
    <w:rsid w:val="003B68DF"/>
    <w:rsid w:val="003B68EA"/>
    <w:rsid w:val="003B6913"/>
    <w:rsid w:val="003B6932"/>
    <w:rsid w:val="003B6934"/>
    <w:rsid w:val="003B6939"/>
    <w:rsid w:val="003B6947"/>
    <w:rsid w:val="003B696F"/>
    <w:rsid w:val="003B69B1"/>
    <w:rsid w:val="003B69D6"/>
    <w:rsid w:val="003B6A2A"/>
    <w:rsid w:val="003B6A41"/>
    <w:rsid w:val="003B6A56"/>
    <w:rsid w:val="003B6A61"/>
    <w:rsid w:val="003B6A99"/>
    <w:rsid w:val="003B6B77"/>
    <w:rsid w:val="003B6C26"/>
    <w:rsid w:val="003B6C38"/>
    <w:rsid w:val="003B6C78"/>
    <w:rsid w:val="003B6C7D"/>
    <w:rsid w:val="003B6C81"/>
    <w:rsid w:val="003B6CF9"/>
    <w:rsid w:val="003B6CFD"/>
    <w:rsid w:val="003B6CFF"/>
    <w:rsid w:val="003B6D1C"/>
    <w:rsid w:val="003B6D3C"/>
    <w:rsid w:val="003B6DCB"/>
    <w:rsid w:val="003B6E6A"/>
    <w:rsid w:val="003B6E7C"/>
    <w:rsid w:val="003B6EAE"/>
    <w:rsid w:val="003B6EDE"/>
    <w:rsid w:val="003B6EE1"/>
    <w:rsid w:val="003B6EEB"/>
    <w:rsid w:val="003B6F11"/>
    <w:rsid w:val="003B6F3B"/>
    <w:rsid w:val="003B6F89"/>
    <w:rsid w:val="003B6FF6"/>
    <w:rsid w:val="003B7011"/>
    <w:rsid w:val="003B702A"/>
    <w:rsid w:val="003B702C"/>
    <w:rsid w:val="003B704A"/>
    <w:rsid w:val="003B7093"/>
    <w:rsid w:val="003B70D9"/>
    <w:rsid w:val="003B70F4"/>
    <w:rsid w:val="003B7137"/>
    <w:rsid w:val="003B713B"/>
    <w:rsid w:val="003B7179"/>
    <w:rsid w:val="003B71E5"/>
    <w:rsid w:val="003B71FC"/>
    <w:rsid w:val="003B7216"/>
    <w:rsid w:val="003B7261"/>
    <w:rsid w:val="003B72D6"/>
    <w:rsid w:val="003B72D8"/>
    <w:rsid w:val="003B72E3"/>
    <w:rsid w:val="003B72E5"/>
    <w:rsid w:val="003B72FE"/>
    <w:rsid w:val="003B7380"/>
    <w:rsid w:val="003B7432"/>
    <w:rsid w:val="003B745F"/>
    <w:rsid w:val="003B7494"/>
    <w:rsid w:val="003B74A7"/>
    <w:rsid w:val="003B74DF"/>
    <w:rsid w:val="003B751E"/>
    <w:rsid w:val="003B7546"/>
    <w:rsid w:val="003B75D1"/>
    <w:rsid w:val="003B75EC"/>
    <w:rsid w:val="003B764F"/>
    <w:rsid w:val="003B7650"/>
    <w:rsid w:val="003B7654"/>
    <w:rsid w:val="003B7673"/>
    <w:rsid w:val="003B76B1"/>
    <w:rsid w:val="003B76BA"/>
    <w:rsid w:val="003B76BC"/>
    <w:rsid w:val="003B76C2"/>
    <w:rsid w:val="003B76D3"/>
    <w:rsid w:val="003B76EE"/>
    <w:rsid w:val="003B76F3"/>
    <w:rsid w:val="003B776E"/>
    <w:rsid w:val="003B777F"/>
    <w:rsid w:val="003B7798"/>
    <w:rsid w:val="003B77F0"/>
    <w:rsid w:val="003B7825"/>
    <w:rsid w:val="003B784D"/>
    <w:rsid w:val="003B785C"/>
    <w:rsid w:val="003B787C"/>
    <w:rsid w:val="003B7882"/>
    <w:rsid w:val="003B7888"/>
    <w:rsid w:val="003B7896"/>
    <w:rsid w:val="003B78E2"/>
    <w:rsid w:val="003B7973"/>
    <w:rsid w:val="003B7A31"/>
    <w:rsid w:val="003B7AC7"/>
    <w:rsid w:val="003B7ADB"/>
    <w:rsid w:val="003B7B74"/>
    <w:rsid w:val="003B7B8C"/>
    <w:rsid w:val="003B7BD9"/>
    <w:rsid w:val="003B7CB5"/>
    <w:rsid w:val="003B7CB6"/>
    <w:rsid w:val="003B7CC8"/>
    <w:rsid w:val="003B7CD6"/>
    <w:rsid w:val="003B7CDB"/>
    <w:rsid w:val="003B7CE8"/>
    <w:rsid w:val="003B7CFA"/>
    <w:rsid w:val="003B7D28"/>
    <w:rsid w:val="003B7D95"/>
    <w:rsid w:val="003B7DAF"/>
    <w:rsid w:val="003B7DC1"/>
    <w:rsid w:val="003B7E0A"/>
    <w:rsid w:val="003B7E42"/>
    <w:rsid w:val="003B7E5E"/>
    <w:rsid w:val="003B7E76"/>
    <w:rsid w:val="003B7EA6"/>
    <w:rsid w:val="003B7EB3"/>
    <w:rsid w:val="003B7F06"/>
    <w:rsid w:val="003B7F16"/>
    <w:rsid w:val="003B7FEA"/>
    <w:rsid w:val="003C0044"/>
    <w:rsid w:val="003C00BC"/>
    <w:rsid w:val="003C0113"/>
    <w:rsid w:val="003C0224"/>
    <w:rsid w:val="003C022D"/>
    <w:rsid w:val="003C0274"/>
    <w:rsid w:val="003C02AF"/>
    <w:rsid w:val="003C02BA"/>
    <w:rsid w:val="003C036C"/>
    <w:rsid w:val="003C03D0"/>
    <w:rsid w:val="003C03E4"/>
    <w:rsid w:val="003C03E6"/>
    <w:rsid w:val="003C0409"/>
    <w:rsid w:val="003C040F"/>
    <w:rsid w:val="003C043E"/>
    <w:rsid w:val="003C0452"/>
    <w:rsid w:val="003C0458"/>
    <w:rsid w:val="003C04A3"/>
    <w:rsid w:val="003C04E9"/>
    <w:rsid w:val="003C04EA"/>
    <w:rsid w:val="003C0501"/>
    <w:rsid w:val="003C053A"/>
    <w:rsid w:val="003C05C2"/>
    <w:rsid w:val="003C05E6"/>
    <w:rsid w:val="003C05F3"/>
    <w:rsid w:val="003C062C"/>
    <w:rsid w:val="003C06D7"/>
    <w:rsid w:val="003C06E7"/>
    <w:rsid w:val="003C0708"/>
    <w:rsid w:val="003C0733"/>
    <w:rsid w:val="003C0771"/>
    <w:rsid w:val="003C0783"/>
    <w:rsid w:val="003C078F"/>
    <w:rsid w:val="003C07C4"/>
    <w:rsid w:val="003C07E6"/>
    <w:rsid w:val="003C07ED"/>
    <w:rsid w:val="003C07FA"/>
    <w:rsid w:val="003C0876"/>
    <w:rsid w:val="003C088F"/>
    <w:rsid w:val="003C08C1"/>
    <w:rsid w:val="003C09AB"/>
    <w:rsid w:val="003C0A3D"/>
    <w:rsid w:val="003C0A3E"/>
    <w:rsid w:val="003C0A68"/>
    <w:rsid w:val="003C0A6E"/>
    <w:rsid w:val="003C0AA3"/>
    <w:rsid w:val="003C0AD2"/>
    <w:rsid w:val="003C0AFA"/>
    <w:rsid w:val="003C0B69"/>
    <w:rsid w:val="003C0B83"/>
    <w:rsid w:val="003C0B9F"/>
    <w:rsid w:val="003C0BA3"/>
    <w:rsid w:val="003C0C04"/>
    <w:rsid w:val="003C0C0D"/>
    <w:rsid w:val="003C0C22"/>
    <w:rsid w:val="003C0C23"/>
    <w:rsid w:val="003C0C3A"/>
    <w:rsid w:val="003C0C69"/>
    <w:rsid w:val="003C0C9F"/>
    <w:rsid w:val="003C0CCE"/>
    <w:rsid w:val="003C0D3C"/>
    <w:rsid w:val="003C0DB1"/>
    <w:rsid w:val="003C0DC1"/>
    <w:rsid w:val="003C0DC8"/>
    <w:rsid w:val="003C0DD9"/>
    <w:rsid w:val="003C0DFF"/>
    <w:rsid w:val="003C0E00"/>
    <w:rsid w:val="003C0E0D"/>
    <w:rsid w:val="003C0E3A"/>
    <w:rsid w:val="003C0E6B"/>
    <w:rsid w:val="003C0E71"/>
    <w:rsid w:val="003C0E72"/>
    <w:rsid w:val="003C0EA7"/>
    <w:rsid w:val="003C0EC6"/>
    <w:rsid w:val="003C0EEF"/>
    <w:rsid w:val="003C0F19"/>
    <w:rsid w:val="003C0FCB"/>
    <w:rsid w:val="003C0FF9"/>
    <w:rsid w:val="003C101F"/>
    <w:rsid w:val="003C102D"/>
    <w:rsid w:val="003C105E"/>
    <w:rsid w:val="003C10F3"/>
    <w:rsid w:val="003C1114"/>
    <w:rsid w:val="003C1163"/>
    <w:rsid w:val="003C116F"/>
    <w:rsid w:val="003C1175"/>
    <w:rsid w:val="003C11B6"/>
    <w:rsid w:val="003C11C5"/>
    <w:rsid w:val="003C11FF"/>
    <w:rsid w:val="003C120C"/>
    <w:rsid w:val="003C122F"/>
    <w:rsid w:val="003C1238"/>
    <w:rsid w:val="003C127D"/>
    <w:rsid w:val="003C12B7"/>
    <w:rsid w:val="003C12C8"/>
    <w:rsid w:val="003C12EC"/>
    <w:rsid w:val="003C1347"/>
    <w:rsid w:val="003C137A"/>
    <w:rsid w:val="003C1384"/>
    <w:rsid w:val="003C13D6"/>
    <w:rsid w:val="003C1439"/>
    <w:rsid w:val="003C1454"/>
    <w:rsid w:val="003C145A"/>
    <w:rsid w:val="003C14A9"/>
    <w:rsid w:val="003C1557"/>
    <w:rsid w:val="003C15D6"/>
    <w:rsid w:val="003C163B"/>
    <w:rsid w:val="003C1694"/>
    <w:rsid w:val="003C16A2"/>
    <w:rsid w:val="003C170A"/>
    <w:rsid w:val="003C1753"/>
    <w:rsid w:val="003C1763"/>
    <w:rsid w:val="003C181E"/>
    <w:rsid w:val="003C1838"/>
    <w:rsid w:val="003C185C"/>
    <w:rsid w:val="003C1885"/>
    <w:rsid w:val="003C18CF"/>
    <w:rsid w:val="003C1922"/>
    <w:rsid w:val="003C192F"/>
    <w:rsid w:val="003C1931"/>
    <w:rsid w:val="003C196A"/>
    <w:rsid w:val="003C1977"/>
    <w:rsid w:val="003C19A1"/>
    <w:rsid w:val="003C19BA"/>
    <w:rsid w:val="003C19BE"/>
    <w:rsid w:val="003C19C2"/>
    <w:rsid w:val="003C1A4B"/>
    <w:rsid w:val="003C1A51"/>
    <w:rsid w:val="003C1A6F"/>
    <w:rsid w:val="003C1A76"/>
    <w:rsid w:val="003C1AF5"/>
    <w:rsid w:val="003C1B02"/>
    <w:rsid w:val="003C1B07"/>
    <w:rsid w:val="003C1B12"/>
    <w:rsid w:val="003C1B20"/>
    <w:rsid w:val="003C1B66"/>
    <w:rsid w:val="003C1B96"/>
    <w:rsid w:val="003C1BCF"/>
    <w:rsid w:val="003C1BF1"/>
    <w:rsid w:val="003C1C96"/>
    <w:rsid w:val="003C1CA8"/>
    <w:rsid w:val="003C1CB3"/>
    <w:rsid w:val="003C1CE3"/>
    <w:rsid w:val="003C1D2A"/>
    <w:rsid w:val="003C1E1B"/>
    <w:rsid w:val="003C1EB6"/>
    <w:rsid w:val="003C1EDC"/>
    <w:rsid w:val="003C1EE0"/>
    <w:rsid w:val="003C1F16"/>
    <w:rsid w:val="003C1F1A"/>
    <w:rsid w:val="003C1F23"/>
    <w:rsid w:val="003C1F31"/>
    <w:rsid w:val="003C1FA9"/>
    <w:rsid w:val="003C1FBB"/>
    <w:rsid w:val="003C1FCF"/>
    <w:rsid w:val="003C1FE0"/>
    <w:rsid w:val="003C1FF9"/>
    <w:rsid w:val="003C2016"/>
    <w:rsid w:val="003C2052"/>
    <w:rsid w:val="003C205A"/>
    <w:rsid w:val="003C20A5"/>
    <w:rsid w:val="003C20AC"/>
    <w:rsid w:val="003C20CC"/>
    <w:rsid w:val="003C20E4"/>
    <w:rsid w:val="003C20FD"/>
    <w:rsid w:val="003C2100"/>
    <w:rsid w:val="003C2102"/>
    <w:rsid w:val="003C2110"/>
    <w:rsid w:val="003C2148"/>
    <w:rsid w:val="003C219B"/>
    <w:rsid w:val="003C21B7"/>
    <w:rsid w:val="003C21C0"/>
    <w:rsid w:val="003C21F0"/>
    <w:rsid w:val="003C21FE"/>
    <w:rsid w:val="003C2280"/>
    <w:rsid w:val="003C22C5"/>
    <w:rsid w:val="003C22D5"/>
    <w:rsid w:val="003C22E0"/>
    <w:rsid w:val="003C2342"/>
    <w:rsid w:val="003C23A1"/>
    <w:rsid w:val="003C23C5"/>
    <w:rsid w:val="003C244B"/>
    <w:rsid w:val="003C2457"/>
    <w:rsid w:val="003C247C"/>
    <w:rsid w:val="003C2499"/>
    <w:rsid w:val="003C24B4"/>
    <w:rsid w:val="003C24F5"/>
    <w:rsid w:val="003C24FD"/>
    <w:rsid w:val="003C253A"/>
    <w:rsid w:val="003C253B"/>
    <w:rsid w:val="003C2644"/>
    <w:rsid w:val="003C2648"/>
    <w:rsid w:val="003C2653"/>
    <w:rsid w:val="003C268F"/>
    <w:rsid w:val="003C26BD"/>
    <w:rsid w:val="003C26C1"/>
    <w:rsid w:val="003C274A"/>
    <w:rsid w:val="003C274C"/>
    <w:rsid w:val="003C2769"/>
    <w:rsid w:val="003C279B"/>
    <w:rsid w:val="003C27E0"/>
    <w:rsid w:val="003C281E"/>
    <w:rsid w:val="003C2850"/>
    <w:rsid w:val="003C2873"/>
    <w:rsid w:val="003C2887"/>
    <w:rsid w:val="003C28E6"/>
    <w:rsid w:val="003C291A"/>
    <w:rsid w:val="003C2987"/>
    <w:rsid w:val="003C298B"/>
    <w:rsid w:val="003C29B4"/>
    <w:rsid w:val="003C29C4"/>
    <w:rsid w:val="003C29D9"/>
    <w:rsid w:val="003C2A2F"/>
    <w:rsid w:val="003C2A79"/>
    <w:rsid w:val="003C2ACB"/>
    <w:rsid w:val="003C2B20"/>
    <w:rsid w:val="003C2B63"/>
    <w:rsid w:val="003C2BA1"/>
    <w:rsid w:val="003C2BE6"/>
    <w:rsid w:val="003C2C00"/>
    <w:rsid w:val="003C2C50"/>
    <w:rsid w:val="003C2C59"/>
    <w:rsid w:val="003C2CBD"/>
    <w:rsid w:val="003C2CF4"/>
    <w:rsid w:val="003C2D06"/>
    <w:rsid w:val="003C2D2C"/>
    <w:rsid w:val="003C2D7C"/>
    <w:rsid w:val="003C2DC4"/>
    <w:rsid w:val="003C2DC7"/>
    <w:rsid w:val="003C2DDB"/>
    <w:rsid w:val="003C2E46"/>
    <w:rsid w:val="003C2E87"/>
    <w:rsid w:val="003C2EED"/>
    <w:rsid w:val="003C2EF0"/>
    <w:rsid w:val="003C2F07"/>
    <w:rsid w:val="003C2F22"/>
    <w:rsid w:val="003C2F26"/>
    <w:rsid w:val="003C2F75"/>
    <w:rsid w:val="003C2F7C"/>
    <w:rsid w:val="003C3064"/>
    <w:rsid w:val="003C314C"/>
    <w:rsid w:val="003C3168"/>
    <w:rsid w:val="003C317C"/>
    <w:rsid w:val="003C319B"/>
    <w:rsid w:val="003C31C2"/>
    <w:rsid w:val="003C3205"/>
    <w:rsid w:val="003C3214"/>
    <w:rsid w:val="003C3240"/>
    <w:rsid w:val="003C3252"/>
    <w:rsid w:val="003C3265"/>
    <w:rsid w:val="003C32DE"/>
    <w:rsid w:val="003C3355"/>
    <w:rsid w:val="003C33A9"/>
    <w:rsid w:val="003C3423"/>
    <w:rsid w:val="003C344E"/>
    <w:rsid w:val="003C3472"/>
    <w:rsid w:val="003C347D"/>
    <w:rsid w:val="003C34A3"/>
    <w:rsid w:val="003C34EC"/>
    <w:rsid w:val="003C350D"/>
    <w:rsid w:val="003C3517"/>
    <w:rsid w:val="003C3522"/>
    <w:rsid w:val="003C3570"/>
    <w:rsid w:val="003C3587"/>
    <w:rsid w:val="003C35DB"/>
    <w:rsid w:val="003C366A"/>
    <w:rsid w:val="003C3688"/>
    <w:rsid w:val="003C369F"/>
    <w:rsid w:val="003C36A7"/>
    <w:rsid w:val="003C36B0"/>
    <w:rsid w:val="003C36F2"/>
    <w:rsid w:val="003C3701"/>
    <w:rsid w:val="003C372B"/>
    <w:rsid w:val="003C372C"/>
    <w:rsid w:val="003C373F"/>
    <w:rsid w:val="003C374C"/>
    <w:rsid w:val="003C375A"/>
    <w:rsid w:val="003C379B"/>
    <w:rsid w:val="003C379F"/>
    <w:rsid w:val="003C37B2"/>
    <w:rsid w:val="003C381E"/>
    <w:rsid w:val="003C3894"/>
    <w:rsid w:val="003C38AB"/>
    <w:rsid w:val="003C38BE"/>
    <w:rsid w:val="003C38C1"/>
    <w:rsid w:val="003C38C2"/>
    <w:rsid w:val="003C38EA"/>
    <w:rsid w:val="003C390F"/>
    <w:rsid w:val="003C3927"/>
    <w:rsid w:val="003C3948"/>
    <w:rsid w:val="003C3970"/>
    <w:rsid w:val="003C397A"/>
    <w:rsid w:val="003C39CE"/>
    <w:rsid w:val="003C39ED"/>
    <w:rsid w:val="003C3A3C"/>
    <w:rsid w:val="003C3A52"/>
    <w:rsid w:val="003C3AA1"/>
    <w:rsid w:val="003C3AAD"/>
    <w:rsid w:val="003C3AC0"/>
    <w:rsid w:val="003C3B20"/>
    <w:rsid w:val="003C3B63"/>
    <w:rsid w:val="003C3B7A"/>
    <w:rsid w:val="003C3BEF"/>
    <w:rsid w:val="003C3C09"/>
    <w:rsid w:val="003C3C17"/>
    <w:rsid w:val="003C3C8F"/>
    <w:rsid w:val="003C3CBC"/>
    <w:rsid w:val="003C3CC7"/>
    <w:rsid w:val="003C3D22"/>
    <w:rsid w:val="003C3D59"/>
    <w:rsid w:val="003C3D70"/>
    <w:rsid w:val="003C3D84"/>
    <w:rsid w:val="003C3D97"/>
    <w:rsid w:val="003C3D9D"/>
    <w:rsid w:val="003C3DF0"/>
    <w:rsid w:val="003C3E00"/>
    <w:rsid w:val="003C3E34"/>
    <w:rsid w:val="003C3E66"/>
    <w:rsid w:val="003C3EBC"/>
    <w:rsid w:val="003C3EDF"/>
    <w:rsid w:val="003C3EE9"/>
    <w:rsid w:val="003C3F2C"/>
    <w:rsid w:val="003C3F33"/>
    <w:rsid w:val="003C3F69"/>
    <w:rsid w:val="003C3FE8"/>
    <w:rsid w:val="003C3FF0"/>
    <w:rsid w:val="003C4036"/>
    <w:rsid w:val="003C40A2"/>
    <w:rsid w:val="003C40AC"/>
    <w:rsid w:val="003C40E9"/>
    <w:rsid w:val="003C4130"/>
    <w:rsid w:val="003C4181"/>
    <w:rsid w:val="003C41D1"/>
    <w:rsid w:val="003C425A"/>
    <w:rsid w:val="003C4263"/>
    <w:rsid w:val="003C42F2"/>
    <w:rsid w:val="003C42FD"/>
    <w:rsid w:val="003C433A"/>
    <w:rsid w:val="003C4340"/>
    <w:rsid w:val="003C434D"/>
    <w:rsid w:val="003C4365"/>
    <w:rsid w:val="003C437C"/>
    <w:rsid w:val="003C43CC"/>
    <w:rsid w:val="003C43D0"/>
    <w:rsid w:val="003C441D"/>
    <w:rsid w:val="003C447C"/>
    <w:rsid w:val="003C448E"/>
    <w:rsid w:val="003C44AD"/>
    <w:rsid w:val="003C4583"/>
    <w:rsid w:val="003C458C"/>
    <w:rsid w:val="003C45A5"/>
    <w:rsid w:val="003C466E"/>
    <w:rsid w:val="003C472F"/>
    <w:rsid w:val="003C4768"/>
    <w:rsid w:val="003C476D"/>
    <w:rsid w:val="003C4770"/>
    <w:rsid w:val="003C4782"/>
    <w:rsid w:val="003C48C4"/>
    <w:rsid w:val="003C48ED"/>
    <w:rsid w:val="003C492C"/>
    <w:rsid w:val="003C49B1"/>
    <w:rsid w:val="003C4A6C"/>
    <w:rsid w:val="003C4A9F"/>
    <w:rsid w:val="003C4AD3"/>
    <w:rsid w:val="003C4ADC"/>
    <w:rsid w:val="003C4B03"/>
    <w:rsid w:val="003C4B1A"/>
    <w:rsid w:val="003C4B3C"/>
    <w:rsid w:val="003C4B4E"/>
    <w:rsid w:val="003C4B5F"/>
    <w:rsid w:val="003C4B76"/>
    <w:rsid w:val="003C4BCC"/>
    <w:rsid w:val="003C4BD0"/>
    <w:rsid w:val="003C4BE0"/>
    <w:rsid w:val="003C4C07"/>
    <w:rsid w:val="003C4C80"/>
    <w:rsid w:val="003C4CFE"/>
    <w:rsid w:val="003C4D8D"/>
    <w:rsid w:val="003C4DA9"/>
    <w:rsid w:val="003C4DB1"/>
    <w:rsid w:val="003C4DB7"/>
    <w:rsid w:val="003C4DD8"/>
    <w:rsid w:val="003C4DE0"/>
    <w:rsid w:val="003C4E61"/>
    <w:rsid w:val="003C4E8E"/>
    <w:rsid w:val="003C4EE9"/>
    <w:rsid w:val="003C4EFD"/>
    <w:rsid w:val="003C4F3C"/>
    <w:rsid w:val="003C4F74"/>
    <w:rsid w:val="003C4F83"/>
    <w:rsid w:val="003C4FDF"/>
    <w:rsid w:val="003C5036"/>
    <w:rsid w:val="003C5043"/>
    <w:rsid w:val="003C5076"/>
    <w:rsid w:val="003C50F4"/>
    <w:rsid w:val="003C5109"/>
    <w:rsid w:val="003C511B"/>
    <w:rsid w:val="003C511C"/>
    <w:rsid w:val="003C511D"/>
    <w:rsid w:val="003C5136"/>
    <w:rsid w:val="003C5141"/>
    <w:rsid w:val="003C5196"/>
    <w:rsid w:val="003C519A"/>
    <w:rsid w:val="003C51BE"/>
    <w:rsid w:val="003C51EC"/>
    <w:rsid w:val="003C5313"/>
    <w:rsid w:val="003C531A"/>
    <w:rsid w:val="003C531F"/>
    <w:rsid w:val="003C533D"/>
    <w:rsid w:val="003C5358"/>
    <w:rsid w:val="003C5374"/>
    <w:rsid w:val="003C539F"/>
    <w:rsid w:val="003C5408"/>
    <w:rsid w:val="003C5414"/>
    <w:rsid w:val="003C548F"/>
    <w:rsid w:val="003C54A9"/>
    <w:rsid w:val="003C54BF"/>
    <w:rsid w:val="003C54D3"/>
    <w:rsid w:val="003C54E6"/>
    <w:rsid w:val="003C5517"/>
    <w:rsid w:val="003C562A"/>
    <w:rsid w:val="003C562D"/>
    <w:rsid w:val="003C5672"/>
    <w:rsid w:val="003C568E"/>
    <w:rsid w:val="003C5695"/>
    <w:rsid w:val="003C56F2"/>
    <w:rsid w:val="003C5753"/>
    <w:rsid w:val="003C57D8"/>
    <w:rsid w:val="003C57F5"/>
    <w:rsid w:val="003C5839"/>
    <w:rsid w:val="003C5897"/>
    <w:rsid w:val="003C58E3"/>
    <w:rsid w:val="003C591E"/>
    <w:rsid w:val="003C5975"/>
    <w:rsid w:val="003C59C9"/>
    <w:rsid w:val="003C59EC"/>
    <w:rsid w:val="003C5A2A"/>
    <w:rsid w:val="003C5A66"/>
    <w:rsid w:val="003C5AD6"/>
    <w:rsid w:val="003C5AE0"/>
    <w:rsid w:val="003C5AF5"/>
    <w:rsid w:val="003C5B32"/>
    <w:rsid w:val="003C5B5D"/>
    <w:rsid w:val="003C5B66"/>
    <w:rsid w:val="003C5B6F"/>
    <w:rsid w:val="003C5B7B"/>
    <w:rsid w:val="003C5B82"/>
    <w:rsid w:val="003C5B96"/>
    <w:rsid w:val="003C5BC8"/>
    <w:rsid w:val="003C5C59"/>
    <w:rsid w:val="003C5C7A"/>
    <w:rsid w:val="003C5C85"/>
    <w:rsid w:val="003C5C89"/>
    <w:rsid w:val="003C5D22"/>
    <w:rsid w:val="003C5DF4"/>
    <w:rsid w:val="003C5E07"/>
    <w:rsid w:val="003C5E0C"/>
    <w:rsid w:val="003C5EA4"/>
    <w:rsid w:val="003C5EAA"/>
    <w:rsid w:val="003C5F26"/>
    <w:rsid w:val="003C5F88"/>
    <w:rsid w:val="003C6027"/>
    <w:rsid w:val="003C602F"/>
    <w:rsid w:val="003C60A0"/>
    <w:rsid w:val="003C60AB"/>
    <w:rsid w:val="003C614C"/>
    <w:rsid w:val="003C615E"/>
    <w:rsid w:val="003C61A2"/>
    <w:rsid w:val="003C61C0"/>
    <w:rsid w:val="003C61E0"/>
    <w:rsid w:val="003C61EC"/>
    <w:rsid w:val="003C6235"/>
    <w:rsid w:val="003C6272"/>
    <w:rsid w:val="003C6285"/>
    <w:rsid w:val="003C62B6"/>
    <w:rsid w:val="003C62D6"/>
    <w:rsid w:val="003C62FB"/>
    <w:rsid w:val="003C6335"/>
    <w:rsid w:val="003C63C0"/>
    <w:rsid w:val="003C63D9"/>
    <w:rsid w:val="003C6418"/>
    <w:rsid w:val="003C643B"/>
    <w:rsid w:val="003C643E"/>
    <w:rsid w:val="003C6443"/>
    <w:rsid w:val="003C6472"/>
    <w:rsid w:val="003C64B4"/>
    <w:rsid w:val="003C64ED"/>
    <w:rsid w:val="003C6536"/>
    <w:rsid w:val="003C659A"/>
    <w:rsid w:val="003C661D"/>
    <w:rsid w:val="003C6629"/>
    <w:rsid w:val="003C667F"/>
    <w:rsid w:val="003C668B"/>
    <w:rsid w:val="003C671B"/>
    <w:rsid w:val="003C6725"/>
    <w:rsid w:val="003C6750"/>
    <w:rsid w:val="003C6796"/>
    <w:rsid w:val="003C68DD"/>
    <w:rsid w:val="003C6914"/>
    <w:rsid w:val="003C6918"/>
    <w:rsid w:val="003C6938"/>
    <w:rsid w:val="003C693A"/>
    <w:rsid w:val="003C6980"/>
    <w:rsid w:val="003C69E6"/>
    <w:rsid w:val="003C6B58"/>
    <w:rsid w:val="003C6B6B"/>
    <w:rsid w:val="003C6B9E"/>
    <w:rsid w:val="003C6BDF"/>
    <w:rsid w:val="003C6BF9"/>
    <w:rsid w:val="003C6C62"/>
    <w:rsid w:val="003C6C75"/>
    <w:rsid w:val="003C6CBB"/>
    <w:rsid w:val="003C6CE9"/>
    <w:rsid w:val="003C6D03"/>
    <w:rsid w:val="003C6D28"/>
    <w:rsid w:val="003C6D3A"/>
    <w:rsid w:val="003C6D3C"/>
    <w:rsid w:val="003C6D42"/>
    <w:rsid w:val="003C6D4B"/>
    <w:rsid w:val="003C6D51"/>
    <w:rsid w:val="003C6D66"/>
    <w:rsid w:val="003C6D89"/>
    <w:rsid w:val="003C6DD7"/>
    <w:rsid w:val="003C6DEA"/>
    <w:rsid w:val="003C6DEF"/>
    <w:rsid w:val="003C6E12"/>
    <w:rsid w:val="003C6E66"/>
    <w:rsid w:val="003C6E67"/>
    <w:rsid w:val="003C6EBA"/>
    <w:rsid w:val="003C6F0A"/>
    <w:rsid w:val="003C6F31"/>
    <w:rsid w:val="003C6FAA"/>
    <w:rsid w:val="003C6FE2"/>
    <w:rsid w:val="003C701C"/>
    <w:rsid w:val="003C7026"/>
    <w:rsid w:val="003C706C"/>
    <w:rsid w:val="003C70A3"/>
    <w:rsid w:val="003C711A"/>
    <w:rsid w:val="003C713C"/>
    <w:rsid w:val="003C715A"/>
    <w:rsid w:val="003C716A"/>
    <w:rsid w:val="003C727E"/>
    <w:rsid w:val="003C72A8"/>
    <w:rsid w:val="003C72FB"/>
    <w:rsid w:val="003C7324"/>
    <w:rsid w:val="003C734A"/>
    <w:rsid w:val="003C734F"/>
    <w:rsid w:val="003C738B"/>
    <w:rsid w:val="003C7399"/>
    <w:rsid w:val="003C73BF"/>
    <w:rsid w:val="003C7428"/>
    <w:rsid w:val="003C743D"/>
    <w:rsid w:val="003C7441"/>
    <w:rsid w:val="003C7442"/>
    <w:rsid w:val="003C746F"/>
    <w:rsid w:val="003C747D"/>
    <w:rsid w:val="003C74A3"/>
    <w:rsid w:val="003C74AD"/>
    <w:rsid w:val="003C74BE"/>
    <w:rsid w:val="003C74E2"/>
    <w:rsid w:val="003C7513"/>
    <w:rsid w:val="003C752A"/>
    <w:rsid w:val="003C7580"/>
    <w:rsid w:val="003C7598"/>
    <w:rsid w:val="003C759D"/>
    <w:rsid w:val="003C75BB"/>
    <w:rsid w:val="003C75E6"/>
    <w:rsid w:val="003C7600"/>
    <w:rsid w:val="003C7612"/>
    <w:rsid w:val="003C76E4"/>
    <w:rsid w:val="003C76F1"/>
    <w:rsid w:val="003C76FA"/>
    <w:rsid w:val="003C7745"/>
    <w:rsid w:val="003C7789"/>
    <w:rsid w:val="003C7793"/>
    <w:rsid w:val="003C779A"/>
    <w:rsid w:val="003C7825"/>
    <w:rsid w:val="003C782E"/>
    <w:rsid w:val="003C7833"/>
    <w:rsid w:val="003C7891"/>
    <w:rsid w:val="003C78F9"/>
    <w:rsid w:val="003C7917"/>
    <w:rsid w:val="003C7924"/>
    <w:rsid w:val="003C798C"/>
    <w:rsid w:val="003C79B3"/>
    <w:rsid w:val="003C79C6"/>
    <w:rsid w:val="003C7A23"/>
    <w:rsid w:val="003C7A45"/>
    <w:rsid w:val="003C7A75"/>
    <w:rsid w:val="003C7A91"/>
    <w:rsid w:val="003C7ABC"/>
    <w:rsid w:val="003C7AC9"/>
    <w:rsid w:val="003C7ACE"/>
    <w:rsid w:val="003C7B0D"/>
    <w:rsid w:val="003C7B95"/>
    <w:rsid w:val="003C7BCE"/>
    <w:rsid w:val="003C7BCF"/>
    <w:rsid w:val="003C7BEB"/>
    <w:rsid w:val="003C7C45"/>
    <w:rsid w:val="003C7C6E"/>
    <w:rsid w:val="003C7CC5"/>
    <w:rsid w:val="003C7D05"/>
    <w:rsid w:val="003C7D52"/>
    <w:rsid w:val="003C7D9D"/>
    <w:rsid w:val="003C7DA3"/>
    <w:rsid w:val="003C7DF9"/>
    <w:rsid w:val="003C7E00"/>
    <w:rsid w:val="003C7E3E"/>
    <w:rsid w:val="003C7E4E"/>
    <w:rsid w:val="003C7E81"/>
    <w:rsid w:val="003C7EB1"/>
    <w:rsid w:val="003C7ED6"/>
    <w:rsid w:val="003C7EE4"/>
    <w:rsid w:val="003C7F4F"/>
    <w:rsid w:val="003C7FB6"/>
    <w:rsid w:val="003C7FEF"/>
    <w:rsid w:val="003D000B"/>
    <w:rsid w:val="003D0015"/>
    <w:rsid w:val="003D0044"/>
    <w:rsid w:val="003D0070"/>
    <w:rsid w:val="003D0072"/>
    <w:rsid w:val="003D00A3"/>
    <w:rsid w:val="003D00AF"/>
    <w:rsid w:val="003D00BC"/>
    <w:rsid w:val="003D00F6"/>
    <w:rsid w:val="003D0145"/>
    <w:rsid w:val="003D0166"/>
    <w:rsid w:val="003D0178"/>
    <w:rsid w:val="003D017C"/>
    <w:rsid w:val="003D01DA"/>
    <w:rsid w:val="003D0215"/>
    <w:rsid w:val="003D02CD"/>
    <w:rsid w:val="003D02DA"/>
    <w:rsid w:val="003D0384"/>
    <w:rsid w:val="003D03C0"/>
    <w:rsid w:val="003D03CD"/>
    <w:rsid w:val="003D0430"/>
    <w:rsid w:val="003D049B"/>
    <w:rsid w:val="003D04C4"/>
    <w:rsid w:val="003D04F1"/>
    <w:rsid w:val="003D0513"/>
    <w:rsid w:val="003D0544"/>
    <w:rsid w:val="003D0584"/>
    <w:rsid w:val="003D0589"/>
    <w:rsid w:val="003D061A"/>
    <w:rsid w:val="003D0669"/>
    <w:rsid w:val="003D0679"/>
    <w:rsid w:val="003D06C9"/>
    <w:rsid w:val="003D06E7"/>
    <w:rsid w:val="003D070E"/>
    <w:rsid w:val="003D0753"/>
    <w:rsid w:val="003D0778"/>
    <w:rsid w:val="003D0813"/>
    <w:rsid w:val="003D0876"/>
    <w:rsid w:val="003D0888"/>
    <w:rsid w:val="003D090D"/>
    <w:rsid w:val="003D093A"/>
    <w:rsid w:val="003D0953"/>
    <w:rsid w:val="003D0997"/>
    <w:rsid w:val="003D09C5"/>
    <w:rsid w:val="003D09CE"/>
    <w:rsid w:val="003D09FE"/>
    <w:rsid w:val="003D0A00"/>
    <w:rsid w:val="003D0A08"/>
    <w:rsid w:val="003D0A29"/>
    <w:rsid w:val="003D0A3E"/>
    <w:rsid w:val="003D0A5C"/>
    <w:rsid w:val="003D0A8B"/>
    <w:rsid w:val="003D0A93"/>
    <w:rsid w:val="003D0BAC"/>
    <w:rsid w:val="003D0BC0"/>
    <w:rsid w:val="003D0BCE"/>
    <w:rsid w:val="003D0CF6"/>
    <w:rsid w:val="003D0D70"/>
    <w:rsid w:val="003D0D9F"/>
    <w:rsid w:val="003D0E29"/>
    <w:rsid w:val="003D0E57"/>
    <w:rsid w:val="003D0EAF"/>
    <w:rsid w:val="003D0EC0"/>
    <w:rsid w:val="003D0EEC"/>
    <w:rsid w:val="003D0F76"/>
    <w:rsid w:val="003D0F93"/>
    <w:rsid w:val="003D105A"/>
    <w:rsid w:val="003D107E"/>
    <w:rsid w:val="003D10BC"/>
    <w:rsid w:val="003D10D5"/>
    <w:rsid w:val="003D10D8"/>
    <w:rsid w:val="003D10DC"/>
    <w:rsid w:val="003D10FD"/>
    <w:rsid w:val="003D1114"/>
    <w:rsid w:val="003D1180"/>
    <w:rsid w:val="003D11BA"/>
    <w:rsid w:val="003D11BD"/>
    <w:rsid w:val="003D11E2"/>
    <w:rsid w:val="003D11F0"/>
    <w:rsid w:val="003D1204"/>
    <w:rsid w:val="003D120B"/>
    <w:rsid w:val="003D1263"/>
    <w:rsid w:val="003D12B5"/>
    <w:rsid w:val="003D131A"/>
    <w:rsid w:val="003D133F"/>
    <w:rsid w:val="003D1395"/>
    <w:rsid w:val="003D13B6"/>
    <w:rsid w:val="003D13E6"/>
    <w:rsid w:val="003D13F0"/>
    <w:rsid w:val="003D13F9"/>
    <w:rsid w:val="003D1419"/>
    <w:rsid w:val="003D141F"/>
    <w:rsid w:val="003D1439"/>
    <w:rsid w:val="003D144A"/>
    <w:rsid w:val="003D1463"/>
    <w:rsid w:val="003D14A0"/>
    <w:rsid w:val="003D14AB"/>
    <w:rsid w:val="003D155D"/>
    <w:rsid w:val="003D15A8"/>
    <w:rsid w:val="003D15A9"/>
    <w:rsid w:val="003D15DE"/>
    <w:rsid w:val="003D15DF"/>
    <w:rsid w:val="003D15F2"/>
    <w:rsid w:val="003D1613"/>
    <w:rsid w:val="003D169B"/>
    <w:rsid w:val="003D16CF"/>
    <w:rsid w:val="003D1703"/>
    <w:rsid w:val="003D1742"/>
    <w:rsid w:val="003D174D"/>
    <w:rsid w:val="003D17A3"/>
    <w:rsid w:val="003D17A4"/>
    <w:rsid w:val="003D17BC"/>
    <w:rsid w:val="003D1848"/>
    <w:rsid w:val="003D1856"/>
    <w:rsid w:val="003D1877"/>
    <w:rsid w:val="003D1881"/>
    <w:rsid w:val="003D1889"/>
    <w:rsid w:val="003D190C"/>
    <w:rsid w:val="003D1999"/>
    <w:rsid w:val="003D19AC"/>
    <w:rsid w:val="003D19AF"/>
    <w:rsid w:val="003D19BE"/>
    <w:rsid w:val="003D19C5"/>
    <w:rsid w:val="003D19D1"/>
    <w:rsid w:val="003D1A3A"/>
    <w:rsid w:val="003D1A70"/>
    <w:rsid w:val="003D1A8F"/>
    <w:rsid w:val="003D1AC7"/>
    <w:rsid w:val="003D1AD9"/>
    <w:rsid w:val="003D1ADC"/>
    <w:rsid w:val="003D1ADF"/>
    <w:rsid w:val="003D1AE5"/>
    <w:rsid w:val="003D1AF5"/>
    <w:rsid w:val="003D1B02"/>
    <w:rsid w:val="003D1B32"/>
    <w:rsid w:val="003D1C15"/>
    <w:rsid w:val="003D1C2C"/>
    <w:rsid w:val="003D1C51"/>
    <w:rsid w:val="003D1C57"/>
    <w:rsid w:val="003D1C5B"/>
    <w:rsid w:val="003D1C6A"/>
    <w:rsid w:val="003D1C93"/>
    <w:rsid w:val="003D1D01"/>
    <w:rsid w:val="003D1D18"/>
    <w:rsid w:val="003D1D6C"/>
    <w:rsid w:val="003D1D8E"/>
    <w:rsid w:val="003D1D9C"/>
    <w:rsid w:val="003D1DC4"/>
    <w:rsid w:val="003D1E2F"/>
    <w:rsid w:val="003D1E82"/>
    <w:rsid w:val="003D1EE6"/>
    <w:rsid w:val="003D1F09"/>
    <w:rsid w:val="003D1F35"/>
    <w:rsid w:val="003D1F3E"/>
    <w:rsid w:val="003D1F51"/>
    <w:rsid w:val="003D1F6D"/>
    <w:rsid w:val="003D1F6E"/>
    <w:rsid w:val="003D1F6F"/>
    <w:rsid w:val="003D1FB4"/>
    <w:rsid w:val="003D1FB5"/>
    <w:rsid w:val="003D2023"/>
    <w:rsid w:val="003D20BF"/>
    <w:rsid w:val="003D20FB"/>
    <w:rsid w:val="003D212E"/>
    <w:rsid w:val="003D21A7"/>
    <w:rsid w:val="003D2233"/>
    <w:rsid w:val="003D2238"/>
    <w:rsid w:val="003D2240"/>
    <w:rsid w:val="003D224E"/>
    <w:rsid w:val="003D228E"/>
    <w:rsid w:val="003D2299"/>
    <w:rsid w:val="003D229D"/>
    <w:rsid w:val="003D229E"/>
    <w:rsid w:val="003D22E2"/>
    <w:rsid w:val="003D2362"/>
    <w:rsid w:val="003D23A9"/>
    <w:rsid w:val="003D23C3"/>
    <w:rsid w:val="003D23EA"/>
    <w:rsid w:val="003D23EE"/>
    <w:rsid w:val="003D23F7"/>
    <w:rsid w:val="003D2414"/>
    <w:rsid w:val="003D243C"/>
    <w:rsid w:val="003D2457"/>
    <w:rsid w:val="003D2476"/>
    <w:rsid w:val="003D24BE"/>
    <w:rsid w:val="003D24F4"/>
    <w:rsid w:val="003D24F6"/>
    <w:rsid w:val="003D2547"/>
    <w:rsid w:val="003D264C"/>
    <w:rsid w:val="003D2674"/>
    <w:rsid w:val="003D269E"/>
    <w:rsid w:val="003D26B5"/>
    <w:rsid w:val="003D26C9"/>
    <w:rsid w:val="003D26EA"/>
    <w:rsid w:val="003D26F7"/>
    <w:rsid w:val="003D26FB"/>
    <w:rsid w:val="003D2709"/>
    <w:rsid w:val="003D271F"/>
    <w:rsid w:val="003D2731"/>
    <w:rsid w:val="003D273E"/>
    <w:rsid w:val="003D2767"/>
    <w:rsid w:val="003D28C4"/>
    <w:rsid w:val="003D28E7"/>
    <w:rsid w:val="003D2921"/>
    <w:rsid w:val="003D29C0"/>
    <w:rsid w:val="003D29D1"/>
    <w:rsid w:val="003D29E3"/>
    <w:rsid w:val="003D29F5"/>
    <w:rsid w:val="003D2A1F"/>
    <w:rsid w:val="003D2A51"/>
    <w:rsid w:val="003D2AB7"/>
    <w:rsid w:val="003D2AC3"/>
    <w:rsid w:val="003D2C42"/>
    <w:rsid w:val="003D2C6C"/>
    <w:rsid w:val="003D2D18"/>
    <w:rsid w:val="003D2D2C"/>
    <w:rsid w:val="003D2D92"/>
    <w:rsid w:val="003D2DB4"/>
    <w:rsid w:val="003D2DC5"/>
    <w:rsid w:val="003D2DE5"/>
    <w:rsid w:val="003D2E2B"/>
    <w:rsid w:val="003D2E50"/>
    <w:rsid w:val="003D2E6F"/>
    <w:rsid w:val="003D2E75"/>
    <w:rsid w:val="003D2E9B"/>
    <w:rsid w:val="003D2F07"/>
    <w:rsid w:val="003D2F09"/>
    <w:rsid w:val="003D2F27"/>
    <w:rsid w:val="003D2F49"/>
    <w:rsid w:val="003D2F7C"/>
    <w:rsid w:val="003D2FBB"/>
    <w:rsid w:val="003D2FC7"/>
    <w:rsid w:val="003D2FF6"/>
    <w:rsid w:val="003D3012"/>
    <w:rsid w:val="003D302E"/>
    <w:rsid w:val="003D308D"/>
    <w:rsid w:val="003D3097"/>
    <w:rsid w:val="003D30A6"/>
    <w:rsid w:val="003D30F2"/>
    <w:rsid w:val="003D3113"/>
    <w:rsid w:val="003D3152"/>
    <w:rsid w:val="003D3158"/>
    <w:rsid w:val="003D319F"/>
    <w:rsid w:val="003D31BB"/>
    <w:rsid w:val="003D3218"/>
    <w:rsid w:val="003D3264"/>
    <w:rsid w:val="003D32A5"/>
    <w:rsid w:val="003D3368"/>
    <w:rsid w:val="003D3385"/>
    <w:rsid w:val="003D3387"/>
    <w:rsid w:val="003D3389"/>
    <w:rsid w:val="003D33C5"/>
    <w:rsid w:val="003D33E6"/>
    <w:rsid w:val="003D3429"/>
    <w:rsid w:val="003D3435"/>
    <w:rsid w:val="003D346A"/>
    <w:rsid w:val="003D3493"/>
    <w:rsid w:val="003D349B"/>
    <w:rsid w:val="003D34D0"/>
    <w:rsid w:val="003D3513"/>
    <w:rsid w:val="003D352E"/>
    <w:rsid w:val="003D3531"/>
    <w:rsid w:val="003D3569"/>
    <w:rsid w:val="003D3635"/>
    <w:rsid w:val="003D365E"/>
    <w:rsid w:val="003D3660"/>
    <w:rsid w:val="003D369E"/>
    <w:rsid w:val="003D36AC"/>
    <w:rsid w:val="003D3719"/>
    <w:rsid w:val="003D373E"/>
    <w:rsid w:val="003D37F0"/>
    <w:rsid w:val="003D37FA"/>
    <w:rsid w:val="003D3809"/>
    <w:rsid w:val="003D381B"/>
    <w:rsid w:val="003D3831"/>
    <w:rsid w:val="003D3867"/>
    <w:rsid w:val="003D38BD"/>
    <w:rsid w:val="003D393A"/>
    <w:rsid w:val="003D394B"/>
    <w:rsid w:val="003D39A1"/>
    <w:rsid w:val="003D39AC"/>
    <w:rsid w:val="003D39CA"/>
    <w:rsid w:val="003D3A00"/>
    <w:rsid w:val="003D3A11"/>
    <w:rsid w:val="003D3A1F"/>
    <w:rsid w:val="003D3AC8"/>
    <w:rsid w:val="003D3B02"/>
    <w:rsid w:val="003D3B0A"/>
    <w:rsid w:val="003D3B12"/>
    <w:rsid w:val="003D3B63"/>
    <w:rsid w:val="003D3C49"/>
    <w:rsid w:val="003D3CD2"/>
    <w:rsid w:val="003D3D12"/>
    <w:rsid w:val="003D3D26"/>
    <w:rsid w:val="003D3D28"/>
    <w:rsid w:val="003D3D4C"/>
    <w:rsid w:val="003D3D53"/>
    <w:rsid w:val="003D3DC7"/>
    <w:rsid w:val="003D3DD1"/>
    <w:rsid w:val="003D3DD3"/>
    <w:rsid w:val="003D3E6E"/>
    <w:rsid w:val="003D3EB5"/>
    <w:rsid w:val="003D3ECD"/>
    <w:rsid w:val="003D3EF8"/>
    <w:rsid w:val="003D3F6F"/>
    <w:rsid w:val="003D3F74"/>
    <w:rsid w:val="003D3FED"/>
    <w:rsid w:val="003D404D"/>
    <w:rsid w:val="003D4083"/>
    <w:rsid w:val="003D40A5"/>
    <w:rsid w:val="003D40B4"/>
    <w:rsid w:val="003D40C0"/>
    <w:rsid w:val="003D4128"/>
    <w:rsid w:val="003D4180"/>
    <w:rsid w:val="003D4195"/>
    <w:rsid w:val="003D41A5"/>
    <w:rsid w:val="003D4208"/>
    <w:rsid w:val="003D4293"/>
    <w:rsid w:val="003D429A"/>
    <w:rsid w:val="003D42AB"/>
    <w:rsid w:val="003D4319"/>
    <w:rsid w:val="003D431B"/>
    <w:rsid w:val="003D437E"/>
    <w:rsid w:val="003D43A9"/>
    <w:rsid w:val="003D4413"/>
    <w:rsid w:val="003D4430"/>
    <w:rsid w:val="003D4455"/>
    <w:rsid w:val="003D4470"/>
    <w:rsid w:val="003D4487"/>
    <w:rsid w:val="003D44BE"/>
    <w:rsid w:val="003D44E6"/>
    <w:rsid w:val="003D44FE"/>
    <w:rsid w:val="003D452D"/>
    <w:rsid w:val="003D4577"/>
    <w:rsid w:val="003D4583"/>
    <w:rsid w:val="003D45A4"/>
    <w:rsid w:val="003D45A6"/>
    <w:rsid w:val="003D45C7"/>
    <w:rsid w:val="003D45EC"/>
    <w:rsid w:val="003D462D"/>
    <w:rsid w:val="003D4693"/>
    <w:rsid w:val="003D469A"/>
    <w:rsid w:val="003D472E"/>
    <w:rsid w:val="003D4798"/>
    <w:rsid w:val="003D47AC"/>
    <w:rsid w:val="003D4859"/>
    <w:rsid w:val="003D48C9"/>
    <w:rsid w:val="003D490D"/>
    <w:rsid w:val="003D493A"/>
    <w:rsid w:val="003D493E"/>
    <w:rsid w:val="003D4942"/>
    <w:rsid w:val="003D4971"/>
    <w:rsid w:val="003D4988"/>
    <w:rsid w:val="003D49E1"/>
    <w:rsid w:val="003D4A21"/>
    <w:rsid w:val="003D4A3A"/>
    <w:rsid w:val="003D4A3E"/>
    <w:rsid w:val="003D4A78"/>
    <w:rsid w:val="003D4AB2"/>
    <w:rsid w:val="003D4AE9"/>
    <w:rsid w:val="003D4B38"/>
    <w:rsid w:val="003D4B4B"/>
    <w:rsid w:val="003D4B87"/>
    <w:rsid w:val="003D4B8D"/>
    <w:rsid w:val="003D4B8F"/>
    <w:rsid w:val="003D4C04"/>
    <w:rsid w:val="003D4CA7"/>
    <w:rsid w:val="003D4CFA"/>
    <w:rsid w:val="003D4D0D"/>
    <w:rsid w:val="003D4D1F"/>
    <w:rsid w:val="003D4D3B"/>
    <w:rsid w:val="003D4D79"/>
    <w:rsid w:val="003D4DA2"/>
    <w:rsid w:val="003D4DAE"/>
    <w:rsid w:val="003D4DD7"/>
    <w:rsid w:val="003D4E3A"/>
    <w:rsid w:val="003D4E58"/>
    <w:rsid w:val="003D4F14"/>
    <w:rsid w:val="003D4F4C"/>
    <w:rsid w:val="003D4F72"/>
    <w:rsid w:val="003D4F9E"/>
    <w:rsid w:val="003D504C"/>
    <w:rsid w:val="003D505E"/>
    <w:rsid w:val="003D5060"/>
    <w:rsid w:val="003D50D4"/>
    <w:rsid w:val="003D511C"/>
    <w:rsid w:val="003D5163"/>
    <w:rsid w:val="003D51B0"/>
    <w:rsid w:val="003D520E"/>
    <w:rsid w:val="003D5248"/>
    <w:rsid w:val="003D5254"/>
    <w:rsid w:val="003D526E"/>
    <w:rsid w:val="003D527E"/>
    <w:rsid w:val="003D5310"/>
    <w:rsid w:val="003D531D"/>
    <w:rsid w:val="003D5375"/>
    <w:rsid w:val="003D5399"/>
    <w:rsid w:val="003D53B1"/>
    <w:rsid w:val="003D53B6"/>
    <w:rsid w:val="003D53CE"/>
    <w:rsid w:val="003D53D3"/>
    <w:rsid w:val="003D53FB"/>
    <w:rsid w:val="003D540E"/>
    <w:rsid w:val="003D5469"/>
    <w:rsid w:val="003D5482"/>
    <w:rsid w:val="003D548C"/>
    <w:rsid w:val="003D5532"/>
    <w:rsid w:val="003D554F"/>
    <w:rsid w:val="003D5558"/>
    <w:rsid w:val="003D55F3"/>
    <w:rsid w:val="003D5600"/>
    <w:rsid w:val="003D5642"/>
    <w:rsid w:val="003D5647"/>
    <w:rsid w:val="003D5668"/>
    <w:rsid w:val="003D567C"/>
    <w:rsid w:val="003D568F"/>
    <w:rsid w:val="003D5699"/>
    <w:rsid w:val="003D56B3"/>
    <w:rsid w:val="003D56F7"/>
    <w:rsid w:val="003D5758"/>
    <w:rsid w:val="003D5773"/>
    <w:rsid w:val="003D5789"/>
    <w:rsid w:val="003D5846"/>
    <w:rsid w:val="003D5871"/>
    <w:rsid w:val="003D58E8"/>
    <w:rsid w:val="003D58F2"/>
    <w:rsid w:val="003D591C"/>
    <w:rsid w:val="003D5936"/>
    <w:rsid w:val="003D5994"/>
    <w:rsid w:val="003D59B0"/>
    <w:rsid w:val="003D59DA"/>
    <w:rsid w:val="003D59F3"/>
    <w:rsid w:val="003D59FC"/>
    <w:rsid w:val="003D5A61"/>
    <w:rsid w:val="003D5ADB"/>
    <w:rsid w:val="003D5AF8"/>
    <w:rsid w:val="003D5B13"/>
    <w:rsid w:val="003D5BC9"/>
    <w:rsid w:val="003D5BD3"/>
    <w:rsid w:val="003D5C17"/>
    <w:rsid w:val="003D5C63"/>
    <w:rsid w:val="003D5C9E"/>
    <w:rsid w:val="003D5CD6"/>
    <w:rsid w:val="003D5CEB"/>
    <w:rsid w:val="003D5D23"/>
    <w:rsid w:val="003D5D83"/>
    <w:rsid w:val="003D5DBD"/>
    <w:rsid w:val="003D5DF3"/>
    <w:rsid w:val="003D5E2D"/>
    <w:rsid w:val="003D5E2E"/>
    <w:rsid w:val="003D5E53"/>
    <w:rsid w:val="003D5E67"/>
    <w:rsid w:val="003D5EE9"/>
    <w:rsid w:val="003D5EFE"/>
    <w:rsid w:val="003D5F56"/>
    <w:rsid w:val="003D5F84"/>
    <w:rsid w:val="003D5FB9"/>
    <w:rsid w:val="003D5FC0"/>
    <w:rsid w:val="003D5FC5"/>
    <w:rsid w:val="003D603E"/>
    <w:rsid w:val="003D60BA"/>
    <w:rsid w:val="003D60D4"/>
    <w:rsid w:val="003D6126"/>
    <w:rsid w:val="003D6205"/>
    <w:rsid w:val="003D6279"/>
    <w:rsid w:val="003D62A3"/>
    <w:rsid w:val="003D62F2"/>
    <w:rsid w:val="003D62F5"/>
    <w:rsid w:val="003D6380"/>
    <w:rsid w:val="003D63BB"/>
    <w:rsid w:val="003D63D7"/>
    <w:rsid w:val="003D63DF"/>
    <w:rsid w:val="003D63EF"/>
    <w:rsid w:val="003D649B"/>
    <w:rsid w:val="003D649C"/>
    <w:rsid w:val="003D64D8"/>
    <w:rsid w:val="003D650B"/>
    <w:rsid w:val="003D6546"/>
    <w:rsid w:val="003D6592"/>
    <w:rsid w:val="003D65CF"/>
    <w:rsid w:val="003D660C"/>
    <w:rsid w:val="003D664F"/>
    <w:rsid w:val="003D6657"/>
    <w:rsid w:val="003D66B1"/>
    <w:rsid w:val="003D66E1"/>
    <w:rsid w:val="003D6746"/>
    <w:rsid w:val="003D6766"/>
    <w:rsid w:val="003D67F6"/>
    <w:rsid w:val="003D6804"/>
    <w:rsid w:val="003D6805"/>
    <w:rsid w:val="003D6841"/>
    <w:rsid w:val="003D6860"/>
    <w:rsid w:val="003D68BC"/>
    <w:rsid w:val="003D692D"/>
    <w:rsid w:val="003D6977"/>
    <w:rsid w:val="003D69D7"/>
    <w:rsid w:val="003D69E1"/>
    <w:rsid w:val="003D69EE"/>
    <w:rsid w:val="003D6B4E"/>
    <w:rsid w:val="003D6BC2"/>
    <w:rsid w:val="003D6BF7"/>
    <w:rsid w:val="003D6C46"/>
    <w:rsid w:val="003D6C75"/>
    <w:rsid w:val="003D6C77"/>
    <w:rsid w:val="003D6C8A"/>
    <w:rsid w:val="003D6D0B"/>
    <w:rsid w:val="003D6D0D"/>
    <w:rsid w:val="003D6D29"/>
    <w:rsid w:val="003D6D9E"/>
    <w:rsid w:val="003D6DC4"/>
    <w:rsid w:val="003D6DD0"/>
    <w:rsid w:val="003D6DD3"/>
    <w:rsid w:val="003D6E46"/>
    <w:rsid w:val="003D6E68"/>
    <w:rsid w:val="003D6E75"/>
    <w:rsid w:val="003D6EB0"/>
    <w:rsid w:val="003D6EC1"/>
    <w:rsid w:val="003D6F75"/>
    <w:rsid w:val="003D6FDA"/>
    <w:rsid w:val="003D6FF4"/>
    <w:rsid w:val="003D6FFC"/>
    <w:rsid w:val="003D6FFE"/>
    <w:rsid w:val="003D70A8"/>
    <w:rsid w:val="003D70AC"/>
    <w:rsid w:val="003D70C3"/>
    <w:rsid w:val="003D712C"/>
    <w:rsid w:val="003D712E"/>
    <w:rsid w:val="003D71A8"/>
    <w:rsid w:val="003D71D4"/>
    <w:rsid w:val="003D71E5"/>
    <w:rsid w:val="003D7261"/>
    <w:rsid w:val="003D727E"/>
    <w:rsid w:val="003D7288"/>
    <w:rsid w:val="003D73BD"/>
    <w:rsid w:val="003D742E"/>
    <w:rsid w:val="003D749C"/>
    <w:rsid w:val="003D74F9"/>
    <w:rsid w:val="003D7507"/>
    <w:rsid w:val="003D759B"/>
    <w:rsid w:val="003D75AC"/>
    <w:rsid w:val="003D75CA"/>
    <w:rsid w:val="003D75E1"/>
    <w:rsid w:val="003D760D"/>
    <w:rsid w:val="003D7624"/>
    <w:rsid w:val="003D7672"/>
    <w:rsid w:val="003D76DC"/>
    <w:rsid w:val="003D774C"/>
    <w:rsid w:val="003D777A"/>
    <w:rsid w:val="003D77BA"/>
    <w:rsid w:val="003D77DF"/>
    <w:rsid w:val="003D7876"/>
    <w:rsid w:val="003D788B"/>
    <w:rsid w:val="003D78AA"/>
    <w:rsid w:val="003D78C8"/>
    <w:rsid w:val="003D78D0"/>
    <w:rsid w:val="003D795D"/>
    <w:rsid w:val="003D796E"/>
    <w:rsid w:val="003D7975"/>
    <w:rsid w:val="003D7998"/>
    <w:rsid w:val="003D79AB"/>
    <w:rsid w:val="003D79BC"/>
    <w:rsid w:val="003D7A08"/>
    <w:rsid w:val="003D7A61"/>
    <w:rsid w:val="003D7A81"/>
    <w:rsid w:val="003D7AD1"/>
    <w:rsid w:val="003D7B1B"/>
    <w:rsid w:val="003D7B71"/>
    <w:rsid w:val="003D7BBC"/>
    <w:rsid w:val="003D7BC9"/>
    <w:rsid w:val="003D7BDC"/>
    <w:rsid w:val="003D7CAA"/>
    <w:rsid w:val="003D7CD4"/>
    <w:rsid w:val="003D7CD7"/>
    <w:rsid w:val="003D7CEF"/>
    <w:rsid w:val="003D7CFC"/>
    <w:rsid w:val="003D7D2A"/>
    <w:rsid w:val="003D7D7B"/>
    <w:rsid w:val="003D7DAD"/>
    <w:rsid w:val="003D7DC1"/>
    <w:rsid w:val="003D7DE6"/>
    <w:rsid w:val="003D7E09"/>
    <w:rsid w:val="003D7E23"/>
    <w:rsid w:val="003D7E8B"/>
    <w:rsid w:val="003D7F47"/>
    <w:rsid w:val="003D7FB5"/>
    <w:rsid w:val="003E0001"/>
    <w:rsid w:val="003E001A"/>
    <w:rsid w:val="003E006F"/>
    <w:rsid w:val="003E00DB"/>
    <w:rsid w:val="003E00E3"/>
    <w:rsid w:val="003E0110"/>
    <w:rsid w:val="003E0128"/>
    <w:rsid w:val="003E0132"/>
    <w:rsid w:val="003E0178"/>
    <w:rsid w:val="003E01AB"/>
    <w:rsid w:val="003E01BC"/>
    <w:rsid w:val="003E01C8"/>
    <w:rsid w:val="003E01CB"/>
    <w:rsid w:val="003E0290"/>
    <w:rsid w:val="003E02B8"/>
    <w:rsid w:val="003E02BA"/>
    <w:rsid w:val="003E0361"/>
    <w:rsid w:val="003E0378"/>
    <w:rsid w:val="003E0410"/>
    <w:rsid w:val="003E041C"/>
    <w:rsid w:val="003E0497"/>
    <w:rsid w:val="003E04CE"/>
    <w:rsid w:val="003E04ED"/>
    <w:rsid w:val="003E0578"/>
    <w:rsid w:val="003E059C"/>
    <w:rsid w:val="003E0604"/>
    <w:rsid w:val="003E0608"/>
    <w:rsid w:val="003E061F"/>
    <w:rsid w:val="003E0637"/>
    <w:rsid w:val="003E064D"/>
    <w:rsid w:val="003E0656"/>
    <w:rsid w:val="003E0665"/>
    <w:rsid w:val="003E0668"/>
    <w:rsid w:val="003E0693"/>
    <w:rsid w:val="003E0727"/>
    <w:rsid w:val="003E074C"/>
    <w:rsid w:val="003E0764"/>
    <w:rsid w:val="003E077B"/>
    <w:rsid w:val="003E07BC"/>
    <w:rsid w:val="003E07F4"/>
    <w:rsid w:val="003E0876"/>
    <w:rsid w:val="003E08A9"/>
    <w:rsid w:val="003E0925"/>
    <w:rsid w:val="003E0936"/>
    <w:rsid w:val="003E093E"/>
    <w:rsid w:val="003E0999"/>
    <w:rsid w:val="003E099A"/>
    <w:rsid w:val="003E09D4"/>
    <w:rsid w:val="003E09F6"/>
    <w:rsid w:val="003E0A91"/>
    <w:rsid w:val="003E0B18"/>
    <w:rsid w:val="003E0BA6"/>
    <w:rsid w:val="003E0C73"/>
    <w:rsid w:val="003E0C99"/>
    <w:rsid w:val="003E0CCA"/>
    <w:rsid w:val="003E0CE7"/>
    <w:rsid w:val="003E0D20"/>
    <w:rsid w:val="003E0D89"/>
    <w:rsid w:val="003E0DB3"/>
    <w:rsid w:val="003E0DE6"/>
    <w:rsid w:val="003E0E00"/>
    <w:rsid w:val="003E0EC5"/>
    <w:rsid w:val="003E0F37"/>
    <w:rsid w:val="003E0F41"/>
    <w:rsid w:val="003E0FED"/>
    <w:rsid w:val="003E104F"/>
    <w:rsid w:val="003E1072"/>
    <w:rsid w:val="003E1088"/>
    <w:rsid w:val="003E10A8"/>
    <w:rsid w:val="003E10BC"/>
    <w:rsid w:val="003E10D3"/>
    <w:rsid w:val="003E1122"/>
    <w:rsid w:val="003E112A"/>
    <w:rsid w:val="003E115F"/>
    <w:rsid w:val="003E11E5"/>
    <w:rsid w:val="003E11F5"/>
    <w:rsid w:val="003E1219"/>
    <w:rsid w:val="003E1275"/>
    <w:rsid w:val="003E1286"/>
    <w:rsid w:val="003E12AE"/>
    <w:rsid w:val="003E1367"/>
    <w:rsid w:val="003E137D"/>
    <w:rsid w:val="003E1407"/>
    <w:rsid w:val="003E141D"/>
    <w:rsid w:val="003E142F"/>
    <w:rsid w:val="003E1445"/>
    <w:rsid w:val="003E1499"/>
    <w:rsid w:val="003E14E3"/>
    <w:rsid w:val="003E14E9"/>
    <w:rsid w:val="003E151F"/>
    <w:rsid w:val="003E1568"/>
    <w:rsid w:val="003E15D3"/>
    <w:rsid w:val="003E1611"/>
    <w:rsid w:val="003E163A"/>
    <w:rsid w:val="003E1658"/>
    <w:rsid w:val="003E1667"/>
    <w:rsid w:val="003E16BC"/>
    <w:rsid w:val="003E16C1"/>
    <w:rsid w:val="003E16F7"/>
    <w:rsid w:val="003E1702"/>
    <w:rsid w:val="003E1713"/>
    <w:rsid w:val="003E1787"/>
    <w:rsid w:val="003E1798"/>
    <w:rsid w:val="003E17C0"/>
    <w:rsid w:val="003E17C6"/>
    <w:rsid w:val="003E17F4"/>
    <w:rsid w:val="003E17FF"/>
    <w:rsid w:val="003E1842"/>
    <w:rsid w:val="003E18FF"/>
    <w:rsid w:val="003E1902"/>
    <w:rsid w:val="003E1952"/>
    <w:rsid w:val="003E197A"/>
    <w:rsid w:val="003E1A84"/>
    <w:rsid w:val="003E1B4E"/>
    <w:rsid w:val="003E1B6F"/>
    <w:rsid w:val="003E1BB9"/>
    <w:rsid w:val="003E1C1E"/>
    <w:rsid w:val="003E1C2F"/>
    <w:rsid w:val="003E1C98"/>
    <w:rsid w:val="003E1CFE"/>
    <w:rsid w:val="003E1D5F"/>
    <w:rsid w:val="003E1D69"/>
    <w:rsid w:val="003E1D6C"/>
    <w:rsid w:val="003E1DC6"/>
    <w:rsid w:val="003E1DDA"/>
    <w:rsid w:val="003E1E70"/>
    <w:rsid w:val="003E1ECD"/>
    <w:rsid w:val="003E1ED7"/>
    <w:rsid w:val="003E1ED8"/>
    <w:rsid w:val="003E1EE1"/>
    <w:rsid w:val="003E1F0A"/>
    <w:rsid w:val="003E1F4F"/>
    <w:rsid w:val="003E1F98"/>
    <w:rsid w:val="003E1FA8"/>
    <w:rsid w:val="003E1FF2"/>
    <w:rsid w:val="003E20AC"/>
    <w:rsid w:val="003E20D6"/>
    <w:rsid w:val="003E212D"/>
    <w:rsid w:val="003E216A"/>
    <w:rsid w:val="003E217D"/>
    <w:rsid w:val="003E2188"/>
    <w:rsid w:val="003E218D"/>
    <w:rsid w:val="003E21BB"/>
    <w:rsid w:val="003E2249"/>
    <w:rsid w:val="003E224C"/>
    <w:rsid w:val="003E228C"/>
    <w:rsid w:val="003E22B7"/>
    <w:rsid w:val="003E22C3"/>
    <w:rsid w:val="003E22DD"/>
    <w:rsid w:val="003E2315"/>
    <w:rsid w:val="003E2335"/>
    <w:rsid w:val="003E233B"/>
    <w:rsid w:val="003E2344"/>
    <w:rsid w:val="003E2357"/>
    <w:rsid w:val="003E238D"/>
    <w:rsid w:val="003E2391"/>
    <w:rsid w:val="003E23E0"/>
    <w:rsid w:val="003E2435"/>
    <w:rsid w:val="003E24AA"/>
    <w:rsid w:val="003E24CA"/>
    <w:rsid w:val="003E24F0"/>
    <w:rsid w:val="003E253A"/>
    <w:rsid w:val="003E25B6"/>
    <w:rsid w:val="003E25BE"/>
    <w:rsid w:val="003E25F6"/>
    <w:rsid w:val="003E262A"/>
    <w:rsid w:val="003E2646"/>
    <w:rsid w:val="003E2666"/>
    <w:rsid w:val="003E26DF"/>
    <w:rsid w:val="003E26F4"/>
    <w:rsid w:val="003E2716"/>
    <w:rsid w:val="003E276A"/>
    <w:rsid w:val="003E27B1"/>
    <w:rsid w:val="003E27C3"/>
    <w:rsid w:val="003E27DE"/>
    <w:rsid w:val="003E27F9"/>
    <w:rsid w:val="003E2806"/>
    <w:rsid w:val="003E2811"/>
    <w:rsid w:val="003E2845"/>
    <w:rsid w:val="003E28D2"/>
    <w:rsid w:val="003E2917"/>
    <w:rsid w:val="003E2957"/>
    <w:rsid w:val="003E29D4"/>
    <w:rsid w:val="003E2A5D"/>
    <w:rsid w:val="003E2A68"/>
    <w:rsid w:val="003E2AC4"/>
    <w:rsid w:val="003E2AC9"/>
    <w:rsid w:val="003E2AE9"/>
    <w:rsid w:val="003E2AFD"/>
    <w:rsid w:val="003E2B48"/>
    <w:rsid w:val="003E2C38"/>
    <w:rsid w:val="003E2C50"/>
    <w:rsid w:val="003E2C99"/>
    <w:rsid w:val="003E2CCF"/>
    <w:rsid w:val="003E2D0B"/>
    <w:rsid w:val="003E2D14"/>
    <w:rsid w:val="003E2DE5"/>
    <w:rsid w:val="003E2DE9"/>
    <w:rsid w:val="003E2E58"/>
    <w:rsid w:val="003E2E6C"/>
    <w:rsid w:val="003E2EAE"/>
    <w:rsid w:val="003E2ED2"/>
    <w:rsid w:val="003E2ED8"/>
    <w:rsid w:val="003E2F03"/>
    <w:rsid w:val="003E2F2A"/>
    <w:rsid w:val="003E2FE0"/>
    <w:rsid w:val="003E30E5"/>
    <w:rsid w:val="003E30FD"/>
    <w:rsid w:val="003E3145"/>
    <w:rsid w:val="003E3173"/>
    <w:rsid w:val="003E317F"/>
    <w:rsid w:val="003E319E"/>
    <w:rsid w:val="003E31A9"/>
    <w:rsid w:val="003E31D3"/>
    <w:rsid w:val="003E31EC"/>
    <w:rsid w:val="003E320F"/>
    <w:rsid w:val="003E331B"/>
    <w:rsid w:val="003E3344"/>
    <w:rsid w:val="003E3347"/>
    <w:rsid w:val="003E3353"/>
    <w:rsid w:val="003E33D2"/>
    <w:rsid w:val="003E33F5"/>
    <w:rsid w:val="003E3403"/>
    <w:rsid w:val="003E3430"/>
    <w:rsid w:val="003E346F"/>
    <w:rsid w:val="003E34F8"/>
    <w:rsid w:val="003E3515"/>
    <w:rsid w:val="003E3520"/>
    <w:rsid w:val="003E3578"/>
    <w:rsid w:val="003E3581"/>
    <w:rsid w:val="003E35E2"/>
    <w:rsid w:val="003E3651"/>
    <w:rsid w:val="003E36E2"/>
    <w:rsid w:val="003E3743"/>
    <w:rsid w:val="003E375E"/>
    <w:rsid w:val="003E3768"/>
    <w:rsid w:val="003E376C"/>
    <w:rsid w:val="003E38A2"/>
    <w:rsid w:val="003E38CF"/>
    <w:rsid w:val="003E3903"/>
    <w:rsid w:val="003E3911"/>
    <w:rsid w:val="003E391C"/>
    <w:rsid w:val="003E3926"/>
    <w:rsid w:val="003E392B"/>
    <w:rsid w:val="003E397D"/>
    <w:rsid w:val="003E399C"/>
    <w:rsid w:val="003E39E4"/>
    <w:rsid w:val="003E3A05"/>
    <w:rsid w:val="003E3A66"/>
    <w:rsid w:val="003E3B03"/>
    <w:rsid w:val="003E3B0B"/>
    <w:rsid w:val="003E3B70"/>
    <w:rsid w:val="003E3B82"/>
    <w:rsid w:val="003E3BAB"/>
    <w:rsid w:val="003E3BAD"/>
    <w:rsid w:val="003E3BB7"/>
    <w:rsid w:val="003E3C40"/>
    <w:rsid w:val="003E3CA5"/>
    <w:rsid w:val="003E3CA7"/>
    <w:rsid w:val="003E3CB0"/>
    <w:rsid w:val="003E3CD1"/>
    <w:rsid w:val="003E3CDA"/>
    <w:rsid w:val="003E3CF0"/>
    <w:rsid w:val="003E3D61"/>
    <w:rsid w:val="003E3D91"/>
    <w:rsid w:val="003E3DB5"/>
    <w:rsid w:val="003E3DD7"/>
    <w:rsid w:val="003E3EC3"/>
    <w:rsid w:val="003E3F20"/>
    <w:rsid w:val="003E3F3B"/>
    <w:rsid w:val="003E3F84"/>
    <w:rsid w:val="003E3FF3"/>
    <w:rsid w:val="003E4008"/>
    <w:rsid w:val="003E4025"/>
    <w:rsid w:val="003E4079"/>
    <w:rsid w:val="003E4091"/>
    <w:rsid w:val="003E4187"/>
    <w:rsid w:val="003E41CB"/>
    <w:rsid w:val="003E41E1"/>
    <w:rsid w:val="003E41F2"/>
    <w:rsid w:val="003E4247"/>
    <w:rsid w:val="003E427B"/>
    <w:rsid w:val="003E4287"/>
    <w:rsid w:val="003E42AC"/>
    <w:rsid w:val="003E42DF"/>
    <w:rsid w:val="003E4300"/>
    <w:rsid w:val="003E4336"/>
    <w:rsid w:val="003E4370"/>
    <w:rsid w:val="003E43EA"/>
    <w:rsid w:val="003E4422"/>
    <w:rsid w:val="003E444D"/>
    <w:rsid w:val="003E4484"/>
    <w:rsid w:val="003E448F"/>
    <w:rsid w:val="003E44B3"/>
    <w:rsid w:val="003E44C1"/>
    <w:rsid w:val="003E44D7"/>
    <w:rsid w:val="003E450F"/>
    <w:rsid w:val="003E45A2"/>
    <w:rsid w:val="003E45BC"/>
    <w:rsid w:val="003E462F"/>
    <w:rsid w:val="003E463F"/>
    <w:rsid w:val="003E467E"/>
    <w:rsid w:val="003E46E2"/>
    <w:rsid w:val="003E477F"/>
    <w:rsid w:val="003E4785"/>
    <w:rsid w:val="003E479F"/>
    <w:rsid w:val="003E47B2"/>
    <w:rsid w:val="003E47CB"/>
    <w:rsid w:val="003E4878"/>
    <w:rsid w:val="003E48B7"/>
    <w:rsid w:val="003E48E4"/>
    <w:rsid w:val="003E4921"/>
    <w:rsid w:val="003E497C"/>
    <w:rsid w:val="003E498E"/>
    <w:rsid w:val="003E49FD"/>
    <w:rsid w:val="003E4A35"/>
    <w:rsid w:val="003E4AC3"/>
    <w:rsid w:val="003E4B39"/>
    <w:rsid w:val="003E4B73"/>
    <w:rsid w:val="003E4BF6"/>
    <w:rsid w:val="003E4D11"/>
    <w:rsid w:val="003E4D87"/>
    <w:rsid w:val="003E4E3F"/>
    <w:rsid w:val="003E4E7A"/>
    <w:rsid w:val="003E4E97"/>
    <w:rsid w:val="003E4EC0"/>
    <w:rsid w:val="003E4ED2"/>
    <w:rsid w:val="003E4EEE"/>
    <w:rsid w:val="003E4EFC"/>
    <w:rsid w:val="003E4F0F"/>
    <w:rsid w:val="003E4F1A"/>
    <w:rsid w:val="003E4F31"/>
    <w:rsid w:val="003E4F7A"/>
    <w:rsid w:val="003E4FAA"/>
    <w:rsid w:val="003E4FCD"/>
    <w:rsid w:val="003E4FE2"/>
    <w:rsid w:val="003E501C"/>
    <w:rsid w:val="003E5056"/>
    <w:rsid w:val="003E506F"/>
    <w:rsid w:val="003E5070"/>
    <w:rsid w:val="003E50BB"/>
    <w:rsid w:val="003E50C3"/>
    <w:rsid w:val="003E50E7"/>
    <w:rsid w:val="003E5178"/>
    <w:rsid w:val="003E5275"/>
    <w:rsid w:val="003E52B4"/>
    <w:rsid w:val="003E52B9"/>
    <w:rsid w:val="003E52EE"/>
    <w:rsid w:val="003E5341"/>
    <w:rsid w:val="003E5348"/>
    <w:rsid w:val="003E5378"/>
    <w:rsid w:val="003E538F"/>
    <w:rsid w:val="003E53B2"/>
    <w:rsid w:val="003E53C9"/>
    <w:rsid w:val="003E53F0"/>
    <w:rsid w:val="003E53FE"/>
    <w:rsid w:val="003E5404"/>
    <w:rsid w:val="003E5444"/>
    <w:rsid w:val="003E5498"/>
    <w:rsid w:val="003E54AA"/>
    <w:rsid w:val="003E54BB"/>
    <w:rsid w:val="003E54C7"/>
    <w:rsid w:val="003E54CC"/>
    <w:rsid w:val="003E550B"/>
    <w:rsid w:val="003E562C"/>
    <w:rsid w:val="003E5636"/>
    <w:rsid w:val="003E5724"/>
    <w:rsid w:val="003E5733"/>
    <w:rsid w:val="003E5783"/>
    <w:rsid w:val="003E57AC"/>
    <w:rsid w:val="003E57C4"/>
    <w:rsid w:val="003E580B"/>
    <w:rsid w:val="003E5810"/>
    <w:rsid w:val="003E5833"/>
    <w:rsid w:val="003E5835"/>
    <w:rsid w:val="003E58A4"/>
    <w:rsid w:val="003E58D6"/>
    <w:rsid w:val="003E5947"/>
    <w:rsid w:val="003E5966"/>
    <w:rsid w:val="003E59C1"/>
    <w:rsid w:val="003E59C8"/>
    <w:rsid w:val="003E5A86"/>
    <w:rsid w:val="003E5A9D"/>
    <w:rsid w:val="003E5A9E"/>
    <w:rsid w:val="003E5AAC"/>
    <w:rsid w:val="003E5BEA"/>
    <w:rsid w:val="003E5C2B"/>
    <w:rsid w:val="003E5C4B"/>
    <w:rsid w:val="003E5C60"/>
    <w:rsid w:val="003E5CE2"/>
    <w:rsid w:val="003E5D18"/>
    <w:rsid w:val="003E5D22"/>
    <w:rsid w:val="003E5D32"/>
    <w:rsid w:val="003E5D8E"/>
    <w:rsid w:val="003E5D97"/>
    <w:rsid w:val="003E5DAB"/>
    <w:rsid w:val="003E5E3B"/>
    <w:rsid w:val="003E5E5A"/>
    <w:rsid w:val="003E5E88"/>
    <w:rsid w:val="003E5EAC"/>
    <w:rsid w:val="003E5F14"/>
    <w:rsid w:val="003E5F25"/>
    <w:rsid w:val="003E5F52"/>
    <w:rsid w:val="003E5F6D"/>
    <w:rsid w:val="003E5FF7"/>
    <w:rsid w:val="003E6026"/>
    <w:rsid w:val="003E6058"/>
    <w:rsid w:val="003E607C"/>
    <w:rsid w:val="003E609E"/>
    <w:rsid w:val="003E60A1"/>
    <w:rsid w:val="003E60A8"/>
    <w:rsid w:val="003E60B7"/>
    <w:rsid w:val="003E60D1"/>
    <w:rsid w:val="003E60F8"/>
    <w:rsid w:val="003E6159"/>
    <w:rsid w:val="003E6172"/>
    <w:rsid w:val="003E6184"/>
    <w:rsid w:val="003E6194"/>
    <w:rsid w:val="003E61B5"/>
    <w:rsid w:val="003E61C2"/>
    <w:rsid w:val="003E620A"/>
    <w:rsid w:val="003E6261"/>
    <w:rsid w:val="003E62AB"/>
    <w:rsid w:val="003E62F5"/>
    <w:rsid w:val="003E6344"/>
    <w:rsid w:val="003E63F6"/>
    <w:rsid w:val="003E63F9"/>
    <w:rsid w:val="003E6410"/>
    <w:rsid w:val="003E6447"/>
    <w:rsid w:val="003E647A"/>
    <w:rsid w:val="003E647B"/>
    <w:rsid w:val="003E6486"/>
    <w:rsid w:val="003E648D"/>
    <w:rsid w:val="003E64BB"/>
    <w:rsid w:val="003E64DC"/>
    <w:rsid w:val="003E64F7"/>
    <w:rsid w:val="003E6525"/>
    <w:rsid w:val="003E657C"/>
    <w:rsid w:val="003E65BD"/>
    <w:rsid w:val="003E661D"/>
    <w:rsid w:val="003E6640"/>
    <w:rsid w:val="003E6642"/>
    <w:rsid w:val="003E6663"/>
    <w:rsid w:val="003E666D"/>
    <w:rsid w:val="003E667F"/>
    <w:rsid w:val="003E6686"/>
    <w:rsid w:val="003E6691"/>
    <w:rsid w:val="003E66A7"/>
    <w:rsid w:val="003E66C7"/>
    <w:rsid w:val="003E6734"/>
    <w:rsid w:val="003E675A"/>
    <w:rsid w:val="003E676A"/>
    <w:rsid w:val="003E6819"/>
    <w:rsid w:val="003E681C"/>
    <w:rsid w:val="003E6882"/>
    <w:rsid w:val="003E6921"/>
    <w:rsid w:val="003E6937"/>
    <w:rsid w:val="003E6962"/>
    <w:rsid w:val="003E69C0"/>
    <w:rsid w:val="003E69EC"/>
    <w:rsid w:val="003E6A2E"/>
    <w:rsid w:val="003E6A8B"/>
    <w:rsid w:val="003E6A9F"/>
    <w:rsid w:val="003E6AD9"/>
    <w:rsid w:val="003E6AFC"/>
    <w:rsid w:val="003E6B1F"/>
    <w:rsid w:val="003E6B36"/>
    <w:rsid w:val="003E6B81"/>
    <w:rsid w:val="003E6BB5"/>
    <w:rsid w:val="003E6C71"/>
    <w:rsid w:val="003E6C89"/>
    <w:rsid w:val="003E6CCD"/>
    <w:rsid w:val="003E6D0A"/>
    <w:rsid w:val="003E6D1C"/>
    <w:rsid w:val="003E6D5F"/>
    <w:rsid w:val="003E6DC3"/>
    <w:rsid w:val="003E6DC5"/>
    <w:rsid w:val="003E6E0A"/>
    <w:rsid w:val="003E6E0D"/>
    <w:rsid w:val="003E6E38"/>
    <w:rsid w:val="003E6ED8"/>
    <w:rsid w:val="003E6EDB"/>
    <w:rsid w:val="003E6EEB"/>
    <w:rsid w:val="003E6F08"/>
    <w:rsid w:val="003E6F13"/>
    <w:rsid w:val="003E6F16"/>
    <w:rsid w:val="003E6F8F"/>
    <w:rsid w:val="003E6F93"/>
    <w:rsid w:val="003E6FE6"/>
    <w:rsid w:val="003E7015"/>
    <w:rsid w:val="003E705A"/>
    <w:rsid w:val="003E7068"/>
    <w:rsid w:val="003E70BB"/>
    <w:rsid w:val="003E70BD"/>
    <w:rsid w:val="003E7116"/>
    <w:rsid w:val="003E711D"/>
    <w:rsid w:val="003E713F"/>
    <w:rsid w:val="003E7148"/>
    <w:rsid w:val="003E7152"/>
    <w:rsid w:val="003E718D"/>
    <w:rsid w:val="003E71A3"/>
    <w:rsid w:val="003E71C5"/>
    <w:rsid w:val="003E71F0"/>
    <w:rsid w:val="003E71F5"/>
    <w:rsid w:val="003E72C8"/>
    <w:rsid w:val="003E732B"/>
    <w:rsid w:val="003E7354"/>
    <w:rsid w:val="003E737A"/>
    <w:rsid w:val="003E73B0"/>
    <w:rsid w:val="003E73DA"/>
    <w:rsid w:val="003E7442"/>
    <w:rsid w:val="003E7458"/>
    <w:rsid w:val="003E74C6"/>
    <w:rsid w:val="003E74D6"/>
    <w:rsid w:val="003E758A"/>
    <w:rsid w:val="003E75B4"/>
    <w:rsid w:val="003E75C3"/>
    <w:rsid w:val="003E7650"/>
    <w:rsid w:val="003E76AB"/>
    <w:rsid w:val="003E76C9"/>
    <w:rsid w:val="003E7721"/>
    <w:rsid w:val="003E7741"/>
    <w:rsid w:val="003E778E"/>
    <w:rsid w:val="003E7934"/>
    <w:rsid w:val="003E7948"/>
    <w:rsid w:val="003E7975"/>
    <w:rsid w:val="003E79D5"/>
    <w:rsid w:val="003E79E1"/>
    <w:rsid w:val="003E79F8"/>
    <w:rsid w:val="003E7A0D"/>
    <w:rsid w:val="003E7A5C"/>
    <w:rsid w:val="003E7A7F"/>
    <w:rsid w:val="003E7A89"/>
    <w:rsid w:val="003E7ABD"/>
    <w:rsid w:val="003E7AD4"/>
    <w:rsid w:val="003E7B11"/>
    <w:rsid w:val="003E7B2D"/>
    <w:rsid w:val="003E7B68"/>
    <w:rsid w:val="003E7BF2"/>
    <w:rsid w:val="003E7C63"/>
    <w:rsid w:val="003E7C85"/>
    <w:rsid w:val="003E7C8A"/>
    <w:rsid w:val="003E7C9C"/>
    <w:rsid w:val="003E7CE0"/>
    <w:rsid w:val="003E7D4C"/>
    <w:rsid w:val="003E7D93"/>
    <w:rsid w:val="003E7DAE"/>
    <w:rsid w:val="003E7DC0"/>
    <w:rsid w:val="003E7DEB"/>
    <w:rsid w:val="003E7DF3"/>
    <w:rsid w:val="003E7DF8"/>
    <w:rsid w:val="003E7E6F"/>
    <w:rsid w:val="003E7EBC"/>
    <w:rsid w:val="003E7EDA"/>
    <w:rsid w:val="003E7F2A"/>
    <w:rsid w:val="003E7F9E"/>
    <w:rsid w:val="003E7FD3"/>
    <w:rsid w:val="003E7FDC"/>
    <w:rsid w:val="003E7FF4"/>
    <w:rsid w:val="003F000E"/>
    <w:rsid w:val="003F003D"/>
    <w:rsid w:val="003F0059"/>
    <w:rsid w:val="003F00B6"/>
    <w:rsid w:val="003F00C2"/>
    <w:rsid w:val="003F0101"/>
    <w:rsid w:val="003F01A7"/>
    <w:rsid w:val="003F01CB"/>
    <w:rsid w:val="003F01DE"/>
    <w:rsid w:val="003F01E6"/>
    <w:rsid w:val="003F0209"/>
    <w:rsid w:val="003F0245"/>
    <w:rsid w:val="003F029A"/>
    <w:rsid w:val="003F02AF"/>
    <w:rsid w:val="003F02E6"/>
    <w:rsid w:val="003F03A8"/>
    <w:rsid w:val="003F03C9"/>
    <w:rsid w:val="003F040B"/>
    <w:rsid w:val="003F042C"/>
    <w:rsid w:val="003F04B1"/>
    <w:rsid w:val="003F04BD"/>
    <w:rsid w:val="003F04D7"/>
    <w:rsid w:val="003F04F4"/>
    <w:rsid w:val="003F0503"/>
    <w:rsid w:val="003F0506"/>
    <w:rsid w:val="003F051F"/>
    <w:rsid w:val="003F0529"/>
    <w:rsid w:val="003F05A1"/>
    <w:rsid w:val="003F0666"/>
    <w:rsid w:val="003F0671"/>
    <w:rsid w:val="003F0689"/>
    <w:rsid w:val="003F06F5"/>
    <w:rsid w:val="003F0755"/>
    <w:rsid w:val="003F0770"/>
    <w:rsid w:val="003F0778"/>
    <w:rsid w:val="003F078B"/>
    <w:rsid w:val="003F07A6"/>
    <w:rsid w:val="003F07AB"/>
    <w:rsid w:val="003F0816"/>
    <w:rsid w:val="003F081F"/>
    <w:rsid w:val="003F0822"/>
    <w:rsid w:val="003F0829"/>
    <w:rsid w:val="003F082C"/>
    <w:rsid w:val="003F083B"/>
    <w:rsid w:val="003F085E"/>
    <w:rsid w:val="003F08C0"/>
    <w:rsid w:val="003F0943"/>
    <w:rsid w:val="003F0998"/>
    <w:rsid w:val="003F09C7"/>
    <w:rsid w:val="003F09DF"/>
    <w:rsid w:val="003F09F7"/>
    <w:rsid w:val="003F09FE"/>
    <w:rsid w:val="003F0A72"/>
    <w:rsid w:val="003F0AA3"/>
    <w:rsid w:val="003F0ADA"/>
    <w:rsid w:val="003F0B1F"/>
    <w:rsid w:val="003F0B72"/>
    <w:rsid w:val="003F0B7B"/>
    <w:rsid w:val="003F0B9E"/>
    <w:rsid w:val="003F0BB4"/>
    <w:rsid w:val="003F0BCD"/>
    <w:rsid w:val="003F0CBC"/>
    <w:rsid w:val="003F0D18"/>
    <w:rsid w:val="003F0D56"/>
    <w:rsid w:val="003F0DF9"/>
    <w:rsid w:val="003F0E13"/>
    <w:rsid w:val="003F0E40"/>
    <w:rsid w:val="003F0E73"/>
    <w:rsid w:val="003F0E78"/>
    <w:rsid w:val="003F0EDB"/>
    <w:rsid w:val="003F0EFF"/>
    <w:rsid w:val="003F0F17"/>
    <w:rsid w:val="003F0F27"/>
    <w:rsid w:val="003F0F51"/>
    <w:rsid w:val="003F0F8E"/>
    <w:rsid w:val="003F0FD4"/>
    <w:rsid w:val="003F105B"/>
    <w:rsid w:val="003F108F"/>
    <w:rsid w:val="003F10C1"/>
    <w:rsid w:val="003F113A"/>
    <w:rsid w:val="003F1146"/>
    <w:rsid w:val="003F1148"/>
    <w:rsid w:val="003F115E"/>
    <w:rsid w:val="003F118E"/>
    <w:rsid w:val="003F11C4"/>
    <w:rsid w:val="003F11D4"/>
    <w:rsid w:val="003F1224"/>
    <w:rsid w:val="003F1244"/>
    <w:rsid w:val="003F124E"/>
    <w:rsid w:val="003F1279"/>
    <w:rsid w:val="003F12F1"/>
    <w:rsid w:val="003F1409"/>
    <w:rsid w:val="003F140D"/>
    <w:rsid w:val="003F14AE"/>
    <w:rsid w:val="003F14BF"/>
    <w:rsid w:val="003F150B"/>
    <w:rsid w:val="003F1597"/>
    <w:rsid w:val="003F15C8"/>
    <w:rsid w:val="003F1624"/>
    <w:rsid w:val="003F1635"/>
    <w:rsid w:val="003F164B"/>
    <w:rsid w:val="003F1692"/>
    <w:rsid w:val="003F16DF"/>
    <w:rsid w:val="003F172B"/>
    <w:rsid w:val="003F1733"/>
    <w:rsid w:val="003F175F"/>
    <w:rsid w:val="003F1780"/>
    <w:rsid w:val="003F1831"/>
    <w:rsid w:val="003F183E"/>
    <w:rsid w:val="003F1873"/>
    <w:rsid w:val="003F1896"/>
    <w:rsid w:val="003F1899"/>
    <w:rsid w:val="003F189E"/>
    <w:rsid w:val="003F18A5"/>
    <w:rsid w:val="003F190F"/>
    <w:rsid w:val="003F1952"/>
    <w:rsid w:val="003F197F"/>
    <w:rsid w:val="003F19B2"/>
    <w:rsid w:val="003F19D4"/>
    <w:rsid w:val="003F1AB3"/>
    <w:rsid w:val="003F1B00"/>
    <w:rsid w:val="003F1B17"/>
    <w:rsid w:val="003F1B33"/>
    <w:rsid w:val="003F1B3B"/>
    <w:rsid w:val="003F1B51"/>
    <w:rsid w:val="003F1B7F"/>
    <w:rsid w:val="003F1B9E"/>
    <w:rsid w:val="003F1BC8"/>
    <w:rsid w:val="003F1C4C"/>
    <w:rsid w:val="003F1C4F"/>
    <w:rsid w:val="003F1C9E"/>
    <w:rsid w:val="003F1D20"/>
    <w:rsid w:val="003F1D96"/>
    <w:rsid w:val="003F1DF6"/>
    <w:rsid w:val="003F1E2A"/>
    <w:rsid w:val="003F1E5F"/>
    <w:rsid w:val="003F1E68"/>
    <w:rsid w:val="003F1E9A"/>
    <w:rsid w:val="003F1EC1"/>
    <w:rsid w:val="003F1F14"/>
    <w:rsid w:val="003F1F23"/>
    <w:rsid w:val="003F1FE0"/>
    <w:rsid w:val="003F1FE2"/>
    <w:rsid w:val="003F200A"/>
    <w:rsid w:val="003F2010"/>
    <w:rsid w:val="003F206D"/>
    <w:rsid w:val="003F20D5"/>
    <w:rsid w:val="003F20EC"/>
    <w:rsid w:val="003F20F2"/>
    <w:rsid w:val="003F2121"/>
    <w:rsid w:val="003F2186"/>
    <w:rsid w:val="003F2188"/>
    <w:rsid w:val="003F21A4"/>
    <w:rsid w:val="003F21AB"/>
    <w:rsid w:val="003F2212"/>
    <w:rsid w:val="003F2235"/>
    <w:rsid w:val="003F223A"/>
    <w:rsid w:val="003F226B"/>
    <w:rsid w:val="003F2274"/>
    <w:rsid w:val="003F230F"/>
    <w:rsid w:val="003F2326"/>
    <w:rsid w:val="003F2334"/>
    <w:rsid w:val="003F2366"/>
    <w:rsid w:val="003F2370"/>
    <w:rsid w:val="003F2390"/>
    <w:rsid w:val="003F23E9"/>
    <w:rsid w:val="003F2400"/>
    <w:rsid w:val="003F247E"/>
    <w:rsid w:val="003F248A"/>
    <w:rsid w:val="003F24A4"/>
    <w:rsid w:val="003F24BE"/>
    <w:rsid w:val="003F24EC"/>
    <w:rsid w:val="003F24FC"/>
    <w:rsid w:val="003F2517"/>
    <w:rsid w:val="003F252B"/>
    <w:rsid w:val="003F2582"/>
    <w:rsid w:val="003F25B5"/>
    <w:rsid w:val="003F25C7"/>
    <w:rsid w:val="003F268A"/>
    <w:rsid w:val="003F26B2"/>
    <w:rsid w:val="003F26D7"/>
    <w:rsid w:val="003F26FC"/>
    <w:rsid w:val="003F2706"/>
    <w:rsid w:val="003F2735"/>
    <w:rsid w:val="003F2777"/>
    <w:rsid w:val="003F27B3"/>
    <w:rsid w:val="003F27D0"/>
    <w:rsid w:val="003F27E5"/>
    <w:rsid w:val="003F2859"/>
    <w:rsid w:val="003F2868"/>
    <w:rsid w:val="003F28C6"/>
    <w:rsid w:val="003F28E1"/>
    <w:rsid w:val="003F2953"/>
    <w:rsid w:val="003F2960"/>
    <w:rsid w:val="003F29A3"/>
    <w:rsid w:val="003F2A59"/>
    <w:rsid w:val="003F2A92"/>
    <w:rsid w:val="003F2AA3"/>
    <w:rsid w:val="003F2AC9"/>
    <w:rsid w:val="003F2ACB"/>
    <w:rsid w:val="003F2B79"/>
    <w:rsid w:val="003F2BBE"/>
    <w:rsid w:val="003F2BD1"/>
    <w:rsid w:val="003F2C36"/>
    <w:rsid w:val="003F2C73"/>
    <w:rsid w:val="003F2CCD"/>
    <w:rsid w:val="003F2CD1"/>
    <w:rsid w:val="003F2D7F"/>
    <w:rsid w:val="003F2DA1"/>
    <w:rsid w:val="003F2DD9"/>
    <w:rsid w:val="003F2E03"/>
    <w:rsid w:val="003F2E20"/>
    <w:rsid w:val="003F2E49"/>
    <w:rsid w:val="003F2E6F"/>
    <w:rsid w:val="003F2E9F"/>
    <w:rsid w:val="003F2EA4"/>
    <w:rsid w:val="003F2EC0"/>
    <w:rsid w:val="003F2F47"/>
    <w:rsid w:val="003F2F53"/>
    <w:rsid w:val="003F2FB3"/>
    <w:rsid w:val="003F2FCA"/>
    <w:rsid w:val="003F2FF2"/>
    <w:rsid w:val="003F3016"/>
    <w:rsid w:val="003F305A"/>
    <w:rsid w:val="003F3073"/>
    <w:rsid w:val="003F30A2"/>
    <w:rsid w:val="003F312A"/>
    <w:rsid w:val="003F316D"/>
    <w:rsid w:val="003F3176"/>
    <w:rsid w:val="003F31D0"/>
    <w:rsid w:val="003F3203"/>
    <w:rsid w:val="003F3250"/>
    <w:rsid w:val="003F3253"/>
    <w:rsid w:val="003F3322"/>
    <w:rsid w:val="003F3343"/>
    <w:rsid w:val="003F3374"/>
    <w:rsid w:val="003F338C"/>
    <w:rsid w:val="003F33DA"/>
    <w:rsid w:val="003F33DF"/>
    <w:rsid w:val="003F33F6"/>
    <w:rsid w:val="003F33FB"/>
    <w:rsid w:val="003F341D"/>
    <w:rsid w:val="003F3436"/>
    <w:rsid w:val="003F343A"/>
    <w:rsid w:val="003F344D"/>
    <w:rsid w:val="003F3481"/>
    <w:rsid w:val="003F34DE"/>
    <w:rsid w:val="003F3521"/>
    <w:rsid w:val="003F353C"/>
    <w:rsid w:val="003F358F"/>
    <w:rsid w:val="003F35AD"/>
    <w:rsid w:val="003F35CE"/>
    <w:rsid w:val="003F35F6"/>
    <w:rsid w:val="003F3600"/>
    <w:rsid w:val="003F3632"/>
    <w:rsid w:val="003F363D"/>
    <w:rsid w:val="003F3688"/>
    <w:rsid w:val="003F37B9"/>
    <w:rsid w:val="003F37D2"/>
    <w:rsid w:val="003F3819"/>
    <w:rsid w:val="003F3846"/>
    <w:rsid w:val="003F386E"/>
    <w:rsid w:val="003F387A"/>
    <w:rsid w:val="003F387B"/>
    <w:rsid w:val="003F3884"/>
    <w:rsid w:val="003F3893"/>
    <w:rsid w:val="003F3897"/>
    <w:rsid w:val="003F38F2"/>
    <w:rsid w:val="003F3916"/>
    <w:rsid w:val="003F393D"/>
    <w:rsid w:val="003F3942"/>
    <w:rsid w:val="003F3963"/>
    <w:rsid w:val="003F397C"/>
    <w:rsid w:val="003F39B4"/>
    <w:rsid w:val="003F3A8D"/>
    <w:rsid w:val="003F3AD2"/>
    <w:rsid w:val="003F3B08"/>
    <w:rsid w:val="003F3B5C"/>
    <w:rsid w:val="003F3BA9"/>
    <w:rsid w:val="003F3BFB"/>
    <w:rsid w:val="003F3C01"/>
    <w:rsid w:val="003F3C53"/>
    <w:rsid w:val="003F3C7C"/>
    <w:rsid w:val="003F3C93"/>
    <w:rsid w:val="003F3C9E"/>
    <w:rsid w:val="003F3D51"/>
    <w:rsid w:val="003F3D7C"/>
    <w:rsid w:val="003F3D98"/>
    <w:rsid w:val="003F3EA1"/>
    <w:rsid w:val="003F3EC3"/>
    <w:rsid w:val="003F3F05"/>
    <w:rsid w:val="003F3F17"/>
    <w:rsid w:val="003F3F4E"/>
    <w:rsid w:val="003F3F81"/>
    <w:rsid w:val="003F4058"/>
    <w:rsid w:val="003F4065"/>
    <w:rsid w:val="003F4096"/>
    <w:rsid w:val="003F40D4"/>
    <w:rsid w:val="003F40E1"/>
    <w:rsid w:val="003F4121"/>
    <w:rsid w:val="003F412C"/>
    <w:rsid w:val="003F413F"/>
    <w:rsid w:val="003F414A"/>
    <w:rsid w:val="003F4151"/>
    <w:rsid w:val="003F420B"/>
    <w:rsid w:val="003F4243"/>
    <w:rsid w:val="003F42E7"/>
    <w:rsid w:val="003F4314"/>
    <w:rsid w:val="003F432E"/>
    <w:rsid w:val="003F4335"/>
    <w:rsid w:val="003F435E"/>
    <w:rsid w:val="003F438E"/>
    <w:rsid w:val="003F4394"/>
    <w:rsid w:val="003F43A9"/>
    <w:rsid w:val="003F43BB"/>
    <w:rsid w:val="003F43D0"/>
    <w:rsid w:val="003F442F"/>
    <w:rsid w:val="003F44E3"/>
    <w:rsid w:val="003F4530"/>
    <w:rsid w:val="003F4567"/>
    <w:rsid w:val="003F456E"/>
    <w:rsid w:val="003F4593"/>
    <w:rsid w:val="003F45C2"/>
    <w:rsid w:val="003F461D"/>
    <w:rsid w:val="003F463C"/>
    <w:rsid w:val="003F467D"/>
    <w:rsid w:val="003F4685"/>
    <w:rsid w:val="003F46B9"/>
    <w:rsid w:val="003F46DC"/>
    <w:rsid w:val="003F4700"/>
    <w:rsid w:val="003F4717"/>
    <w:rsid w:val="003F476B"/>
    <w:rsid w:val="003F47E7"/>
    <w:rsid w:val="003F4803"/>
    <w:rsid w:val="003F4811"/>
    <w:rsid w:val="003F48BE"/>
    <w:rsid w:val="003F4915"/>
    <w:rsid w:val="003F497C"/>
    <w:rsid w:val="003F497D"/>
    <w:rsid w:val="003F49B9"/>
    <w:rsid w:val="003F49CD"/>
    <w:rsid w:val="003F4A17"/>
    <w:rsid w:val="003F4A21"/>
    <w:rsid w:val="003F4A49"/>
    <w:rsid w:val="003F4A5D"/>
    <w:rsid w:val="003F4A6F"/>
    <w:rsid w:val="003F4A7E"/>
    <w:rsid w:val="003F4A8F"/>
    <w:rsid w:val="003F4AE1"/>
    <w:rsid w:val="003F4B75"/>
    <w:rsid w:val="003F4B8F"/>
    <w:rsid w:val="003F4B95"/>
    <w:rsid w:val="003F4BE4"/>
    <w:rsid w:val="003F4C03"/>
    <w:rsid w:val="003F4C10"/>
    <w:rsid w:val="003F4C4F"/>
    <w:rsid w:val="003F4C55"/>
    <w:rsid w:val="003F4D0F"/>
    <w:rsid w:val="003F4D1A"/>
    <w:rsid w:val="003F4D42"/>
    <w:rsid w:val="003F4D50"/>
    <w:rsid w:val="003F4D7A"/>
    <w:rsid w:val="003F4DB9"/>
    <w:rsid w:val="003F4DD7"/>
    <w:rsid w:val="003F4E02"/>
    <w:rsid w:val="003F4E0F"/>
    <w:rsid w:val="003F4E12"/>
    <w:rsid w:val="003F4E44"/>
    <w:rsid w:val="003F4E57"/>
    <w:rsid w:val="003F4EC3"/>
    <w:rsid w:val="003F4F09"/>
    <w:rsid w:val="003F4FB0"/>
    <w:rsid w:val="003F4FC3"/>
    <w:rsid w:val="003F4FEA"/>
    <w:rsid w:val="003F4FF6"/>
    <w:rsid w:val="003F5011"/>
    <w:rsid w:val="003F5025"/>
    <w:rsid w:val="003F5102"/>
    <w:rsid w:val="003F5112"/>
    <w:rsid w:val="003F511B"/>
    <w:rsid w:val="003F513F"/>
    <w:rsid w:val="003F51B3"/>
    <w:rsid w:val="003F529C"/>
    <w:rsid w:val="003F52A7"/>
    <w:rsid w:val="003F52CC"/>
    <w:rsid w:val="003F531D"/>
    <w:rsid w:val="003F5351"/>
    <w:rsid w:val="003F53B7"/>
    <w:rsid w:val="003F53CB"/>
    <w:rsid w:val="003F5421"/>
    <w:rsid w:val="003F547B"/>
    <w:rsid w:val="003F548E"/>
    <w:rsid w:val="003F5493"/>
    <w:rsid w:val="003F54AE"/>
    <w:rsid w:val="003F54F7"/>
    <w:rsid w:val="003F54F8"/>
    <w:rsid w:val="003F552E"/>
    <w:rsid w:val="003F556F"/>
    <w:rsid w:val="003F55AB"/>
    <w:rsid w:val="003F55B0"/>
    <w:rsid w:val="003F55D5"/>
    <w:rsid w:val="003F55E5"/>
    <w:rsid w:val="003F55FF"/>
    <w:rsid w:val="003F560D"/>
    <w:rsid w:val="003F5613"/>
    <w:rsid w:val="003F562F"/>
    <w:rsid w:val="003F565B"/>
    <w:rsid w:val="003F5672"/>
    <w:rsid w:val="003F568E"/>
    <w:rsid w:val="003F5696"/>
    <w:rsid w:val="003F56F5"/>
    <w:rsid w:val="003F571D"/>
    <w:rsid w:val="003F579A"/>
    <w:rsid w:val="003F57FB"/>
    <w:rsid w:val="003F5815"/>
    <w:rsid w:val="003F581C"/>
    <w:rsid w:val="003F5830"/>
    <w:rsid w:val="003F584C"/>
    <w:rsid w:val="003F5864"/>
    <w:rsid w:val="003F588F"/>
    <w:rsid w:val="003F5940"/>
    <w:rsid w:val="003F598B"/>
    <w:rsid w:val="003F59A7"/>
    <w:rsid w:val="003F59ED"/>
    <w:rsid w:val="003F5A00"/>
    <w:rsid w:val="003F5A32"/>
    <w:rsid w:val="003F5AA6"/>
    <w:rsid w:val="003F5B7C"/>
    <w:rsid w:val="003F5B80"/>
    <w:rsid w:val="003F5B8B"/>
    <w:rsid w:val="003F5BC2"/>
    <w:rsid w:val="003F5C36"/>
    <w:rsid w:val="003F5C57"/>
    <w:rsid w:val="003F5C64"/>
    <w:rsid w:val="003F5D05"/>
    <w:rsid w:val="003F5D13"/>
    <w:rsid w:val="003F5D39"/>
    <w:rsid w:val="003F5D45"/>
    <w:rsid w:val="003F5D49"/>
    <w:rsid w:val="003F5D7C"/>
    <w:rsid w:val="003F5D8A"/>
    <w:rsid w:val="003F5D8D"/>
    <w:rsid w:val="003F5D9D"/>
    <w:rsid w:val="003F5E4F"/>
    <w:rsid w:val="003F5F0A"/>
    <w:rsid w:val="003F5F29"/>
    <w:rsid w:val="003F5F4E"/>
    <w:rsid w:val="003F5F7C"/>
    <w:rsid w:val="003F5FAF"/>
    <w:rsid w:val="003F5FF5"/>
    <w:rsid w:val="003F6033"/>
    <w:rsid w:val="003F6098"/>
    <w:rsid w:val="003F609F"/>
    <w:rsid w:val="003F60E7"/>
    <w:rsid w:val="003F615A"/>
    <w:rsid w:val="003F6161"/>
    <w:rsid w:val="003F61A9"/>
    <w:rsid w:val="003F61AB"/>
    <w:rsid w:val="003F6210"/>
    <w:rsid w:val="003F621E"/>
    <w:rsid w:val="003F6224"/>
    <w:rsid w:val="003F6264"/>
    <w:rsid w:val="003F626F"/>
    <w:rsid w:val="003F6277"/>
    <w:rsid w:val="003F631C"/>
    <w:rsid w:val="003F636D"/>
    <w:rsid w:val="003F63B9"/>
    <w:rsid w:val="003F63D5"/>
    <w:rsid w:val="003F63DC"/>
    <w:rsid w:val="003F6403"/>
    <w:rsid w:val="003F6444"/>
    <w:rsid w:val="003F645F"/>
    <w:rsid w:val="003F648D"/>
    <w:rsid w:val="003F6492"/>
    <w:rsid w:val="003F64A9"/>
    <w:rsid w:val="003F64BD"/>
    <w:rsid w:val="003F64C7"/>
    <w:rsid w:val="003F651B"/>
    <w:rsid w:val="003F6521"/>
    <w:rsid w:val="003F6525"/>
    <w:rsid w:val="003F6526"/>
    <w:rsid w:val="003F655B"/>
    <w:rsid w:val="003F6579"/>
    <w:rsid w:val="003F65C7"/>
    <w:rsid w:val="003F65EE"/>
    <w:rsid w:val="003F6606"/>
    <w:rsid w:val="003F6610"/>
    <w:rsid w:val="003F6648"/>
    <w:rsid w:val="003F66C0"/>
    <w:rsid w:val="003F66E7"/>
    <w:rsid w:val="003F6729"/>
    <w:rsid w:val="003F675C"/>
    <w:rsid w:val="003F67CA"/>
    <w:rsid w:val="003F6815"/>
    <w:rsid w:val="003F6847"/>
    <w:rsid w:val="003F6878"/>
    <w:rsid w:val="003F68C7"/>
    <w:rsid w:val="003F6914"/>
    <w:rsid w:val="003F6921"/>
    <w:rsid w:val="003F692C"/>
    <w:rsid w:val="003F695B"/>
    <w:rsid w:val="003F6980"/>
    <w:rsid w:val="003F6985"/>
    <w:rsid w:val="003F69E6"/>
    <w:rsid w:val="003F6A24"/>
    <w:rsid w:val="003F6A58"/>
    <w:rsid w:val="003F6A93"/>
    <w:rsid w:val="003F6AF4"/>
    <w:rsid w:val="003F6BA6"/>
    <w:rsid w:val="003F6BBE"/>
    <w:rsid w:val="003F6C31"/>
    <w:rsid w:val="003F6C3B"/>
    <w:rsid w:val="003F6CB9"/>
    <w:rsid w:val="003F6D5E"/>
    <w:rsid w:val="003F6D8F"/>
    <w:rsid w:val="003F6DAB"/>
    <w:rsid w:val="003F6DB9"/>
    <w:rsid w:val="003F6E00"/>
    <w:rsid w:val="003F6F61"/>
    <w:rsid w:val="003F6F7C"/>
    <w:rsid w:val="003F6F83"/>
    <w:rsid w:val="003F7006"/>
    <w:rsid w:val="003F7024"/>
    <w:rsid w:val="003F7026"/>
    <w:rsid w:val="003F708F"/>
    <w:rsid w:val="003F7119"/>
    <w:rsid w:val="003F713C"/>
    <w:rsid w:val="003F7177"/>
    <w:rsid w:val="003F7183"/>
    <w:rsid w:val="003F71B6"/>
    <w:rsid w:val="003F71CF"/>
    <w:rsid w:val="003F71EE"/>
    <w:rsid w:val="003F720A"/>
    <w:rsid w:val="003F7263"/>
    <w:rsid w:val="003F7297"/>
    <w:rsid w:val="003F72D1"/>
    <w:rsid w:val="003F72E9"/>
    <w:rsid w:val="003F734A"/>
    <w:rsid w:val="003F73C6"/>
    <w:rsid w:val="003F741F"/>
    <w:rsid w:val="003F7460"/>
    <w:rsid w:val="003F7490"/>
    <w:rsid w:val="003F74A0"/>
    <w:rsid w:val="003F74CA"/>
    <w:rsid w:val="003F750F"/>
    <w:rsid w:val="003F7541"/>
    <w:rsid w:val="003F7549"/>
    <w:rsid w:val="003F75C1"/>
    <w:rsid w:val="003F75C3"/>
    <w:rsid w:val="003F75ED"/>
    <w:rsid w:val="003F7661"/>
    <w:rsid w:val="003F7670"/>
    <w:rsid w:val="003F76B0"/>
    <w:rsid w:val="003F76C6"/>
    <w:rsid w:val="003F76F6"/>
    <w:rsid w:val="003F772D"/>
    <w:rsid w:val="003F7753"/>
    <w:rsid w:val="003F7770"/>
    <w:rsid w:val="003F779B"/>
    <w:rsid w:val="003F77BE"/>
    <w:rsid w:val="003F77F6"/>
    <w:rsid w:val="003F783E"/>
    <w:rsid w:val="003F7852"/>
    <w:rsid w:val="003F78C9"/>
    <w:rsid w:val="003F7907"/>
    <w:rsid w:val="003F7912"/>
    <w:rsid w:val="003F7928"/>
    <w:rsid w:val="003F792D"/>
    <w:rsid w:val="003F7963"/>
    <w:rsid w:val="003F7A40"/>
    <w:rsid w:val="003F7A43"/>
    <w:rsid w:val="003F7A7A"/>
    <w:rsid w:val="003F7AB9"/>
    <w:rsid w:val="003F7AD0"/>
    <w:rsid w:val="003F7AEC"/>
    <w:rsid w:val="003F7AF6"/>
    <w:rsid w:val="003F7B54"/>
    <w:rsid w:val="003F7BB0"/>
    <w:rsid w:val="003F7C0B"/>
    <w:rsid w:val="003F7C24"/>
    <w:rsid w:val="003F7C30"/>
    <w:rsid w:val="003F7C55"/>
    <w:rsid w:val="003F7CE7"/>
    <w:rsid w:val="003F7D16"/>
    <w:rsid w:val="003F7D61"/>
    <w:rsid w:val="003F7D70"/>
    <w:rsid w:val="003F7D75"/>
    <w:rsid w:val="003F7D7D"/>
    <w:rsid w:val="003F7DA7"/>
    <w:rsid w:val="003F7DB1"/>
    <w:rsid w:val="003F7DD8"/>
    <w:rsid w:val="003F7EC1"/>
    <w:rsid w:val="003F7EFE"/>
    <w:rsid w:val="003F7F36"/>
    <w:rsid w:val="003F7FA3"/>
    <w:rsid w:val="003F7FC2"/>
    <w:rsid w:val="003F7FED"/>
    <w:rsid w:val="00400007"/>
    <w:rsid w:val="0040000A"/>
    <w:rsid w:val="00400054"/>
    <w:rsid w:val="0040008A"/>
    <w:rsid w:val="0040008F"/>
    <w:rsid w:val="004000B1"/>
    <w:rsid w:val="00400136"/>
    <w:rsid w:val="00400158"/>
    <w:rsid w:val="004001E3"/>
    <w:rsid w:val="004001F3"/>
    <w:rsid w:val="0040026D"/>
    <w:rsid w:val="004002A2"/>
    <w:rsid w:val="004002AC"/>
    <w:rsid w:val="004002D1"/>
    <w:rsid w:val="0040032D"/>
    <w:rsid w:val="00400361"/>
    <w:rsid w:val="00400375"/>
    <w:rsid w:val="00400388"/>
    <w:rsid w:val="004003A9"/>
    <w:rsid w:val="004003B4"/>
    <w:rsid w:val="004003BB"/>
    <w:rsid w:val="004003CC"/>
    <w:rsid w:val="004003D8"/>
    <w:rsid w:val="004003F6"/>
    <w:rsid w:val="00400403"/>
    <w:rsid w:val="0040040E"/>
    <w:rsid w:val="0040042F"/>
    <w:rsid w:val="00400442"/>
    <w:rsid w:val="00400455"/>
    <w:rsid w:val="0040048A"/>
    <w:rsid w:val="004004BE"/>
    <w:rsid w:val="004004D9"/>
    <w:rsid w:val="00400585"/>
    <w:rsid w:val="00400598"/>
    <w:rsid w:val="004005E8"/>
    <w:rsid w:val="004005F3"/>
    <w:rsid w:val="004005FC"/>
    <w:rsid w:val="0040065F"/>
    <w:rsid w:val="00400669"/>
    <w:rsid w:val="0040066A"/>
    <w:rsid w:val="00400670"/>
    <w:rsid w:val="004006B2"/>
    <w:rsid w:val="004006BA"/>
    <w:rsid w:val="004006BD"/>
    <w:rsid w:val="0040071A"/>
    <w:rsid w:val="0040071C"/>
    <w:rsid w:val="00400766"/>
    <w:rsid w:val="00400794"/>
    <w:rsid w:val="004007DD"/>
    <w:rsid w:val="004007F0"/>
    <w:rsid w:val="004007F7"/>
    <w:rsid w:val="0040081E"/>
    <w:rsid w:val="00400832"/>
    <w:rsid w:val="00400844"/>
    <w:rsid w:val="00400886"/>
    <w:rsid w:val="00400894"/>
    <w:rsid w:val="0040090E"/>
    <w:rsid w:val="0040099F"/>
    <w:rsid w:val="004009DE"/>
    <w:rsid w:val="004009E7"/>
    <w:rsid w:val="00400A6F"/>
    <w:rsid w:val="00400ADB"/>
    <w:rsid w:val="00400AE2"/>
    <w:rsid w:val="00400B60"/>
    <w:rsid w:val="00400B66"/>
    <w:rsid w:val="00400B69"/>
    <w:rsid w:val="00400B8C"/>
    <w:rsid w:val="00400BAF"/>
    <w:rsid w:val="00400C0D"/>
    <w:rsid w:val="00400C6B"/>
    <w:rsid w:val="00400C76"/>
    <w:rsid w:val="00400C99"/>
    <w:rsid w:val="00400C9E"/>
    <w:rsid w:val="00400CB9"/>
    <w:rsid w:val="00400CC6"/>
    <w:rsid w:val="00400CC7"/>
    <w:rsid w:val="00400CF8"/>
    <w:rsid w:val="00400D07"/>
    <w:rsid w:val="00400D77"/>
    <w:rsid w:val="00400DD6"/>
    <w:rsid w:val="00400DD9"/>
    <w:rsid w:val="00400DE0"/>
    <w:rsid w:val="00400DE3"/>
    <w:rsid w:val="00400E47"/>
    <w:rsid w:val="00400E58"/>
    <w:rsid w:val="00400E74"/>
    <w:rsid w:val="00400EE6"/>
    <w:rsid w:val="00400F3C"/>
    <w:rsid w:val="00400F4C"/>
    <w:rsid w:val="00400F5E"/>
    <w:rsid w:val="00400FA8"/>
    <w:rsid w:val="00400FB1"/>
    <w:rsid w:val="00401009"/>
    <w:rsid w:val="00401053"/>
    <w:rsid w:val="00401082"/>
    <w:rsid w:val="0040108D"/>
    <w:rsid w:val="0040108F"/>
    <w:rsid w:val="004010D7"/>
    <w:rsid w:val="0040111C"/>
    <w:rsid w:val="0040115D"/>
    <w:rsid w:val="004011DB"/>
    <w:rsid w:val="00401255"/>
    <w:rsid w:val="004012F7"/>
    <w:rsid w:val="004012FA"/>
    <w:rsid w:val="00401326"/>
    <w:rsid w:val="00401360"/>
    <w:rsid w:val="00401363"/>
    <w:rsid w:val="00401402"/>
    <w:rsid w:val="00401431"/>
    <w:rsid w:val="00401432"/>
    <w:rsid w:val="00401489"/>
    <w:rsid w:val="0040148B"/>
    <w:rsid w:val="00401495"/>
    <w:rsid w:val="00401499"/>
    <w:rsid w:val="0040149B"/>
    <w:rsid w:val="004014A6"/>
    <w:rsid w:val="004014B6"/>
    <w:rsid w:val="004014BB"/>
    <w:rsid w:val="004014F4"/>
    <w:rsid w:val="0040150D"/>
    <w:rsid w:val="00401513"/>
    <w:rsid w:val="00401538"/>
    <w:rsid w:val="0040158A"/>
    <w:rsid w:val="004015AA"/>
    <w:rsid w:val="004015AD"/>
    <w:rsid w:val="004015B7"/>
    <w:rsid w:val="004015C0"/>
    <w:rsid w:val="004015D2"/>
    <w:rsid w:val="004015F0"/>
    <w:rsid w:val="004015F6"/>
    <w:rsid w:val="00401674"/>
    <w:rsid w:val="004016C8"/>
    <w:rsid w:val="004016F9"/>
    <w:rsid w:val="00401732"/>
    <w:rsid w:val="00401769"/>
    <w:rsid w:val="004017CE"/>
    <w:rsid w:val="00401804"/>
    <w:rsid w:val="0040186B"/>
    <w:rsid w:val="00401889"/>
    <w:rsid w:val="004018BE"/>
    <w:rsid w:val="004018E6"/>
    <w:rsid w:val="00401910"/>
    <w:rsid w:val="00401911"/>
    <w:rsid w:val="00401915"/>
    <w:rsid w:val="00401962"/>
    <w:rsid w:val="004019A8"/>
    <w:rsid w:val="00401ADD"/>
    <w:rsid w:val="00401B6A"/>
    <w:rsid w:val="00401BDF"/>
    <w:rsid w:val="00401C80"/>
    <w:rsid w:val="00401C89"/>
    <w:rsid w:val="00401C9C"/>
    <w:rsid w:val="00401CCA"/>
    <w:rsid w:val="00401CFC"/>
    <w:rsid w:val="00401DB2"/>
    <w:rsid w:val="00401DD5"/>
    <w:rsid w:val="00401E3E"/>
    <w:rsid w:val="00401E4C"/>
    <w:rsid w:val="00401E88"/>
    <w:rsid w:val="00401ED7"/>
    <w:rsid w:val="00401F00"/>
    <w:rsid w:val="00401F0A"/>
    <w:rsid w:val="00401F0C"/>
    <w:rsid w:val="00401F7A"/>
    <w:rsid w:val="00401F81"/>
    <w:rsid w:val="00401F9D"/>
    <w:rsid w:val="00401FB6"/>
    <w:rsid w:val="0040201C"/>
    <w:rsid w:val="00402034"/>
    <w:rsid w:val="0040203F"/>
    <w:rsid w:val="00402081"/>
    <w:rsid w:val="00402099"/>
    <w:rsid w:val="004020A9"/>
    <w:rsid w:val="0040210B"/>
    <w:rsid w:val="00402160"/>
    <w:rsid w:val="00402195"/>
    <w:rsid w:val="00402205"/>
    <w:rsid w:val="0040221B"/>
    <w:rsid w:val="004022A0"/>
    <w:rsid w:val="004022B4"/>
    <w:rsid w:val="004022F7"/>
    <w:rsid w:val="004022F8"/>
    <w:rsid w:val="00402307"/>
    <w:rsid w:val="0040233C"/>
    <w:rsid w:val="00402374"/>
    <w:rsid w:val="00402381"/>
    <w:rsid w:val="004023AA"/>
    <w:rsid w:val="00402419"/>
    <w:rsid w:val="0040245F"/>
    <w:rsid w:val="00402463"/>
    <w:rsid w:val="0040247F"/>
    <w:rsid w:val="004024D7"/>
    <w:rsid w:val="00402573"/>
    <w:rsid w:val="0040259F"/>
    <w:rsid w:val="004025B9"/>
    <w:rsid w:val="004025BA"/>
    <w:rsid w:val="004025BB"/>
    <w:rsid w:val="0040266C"/>
    <w:rsid w:val="00402684"/>
    <w:rsid w:val="00402699"/>
    <w:rsid w:val="004026EC"/>
    <w:rsid w:val="0040271A"/>
    <w:rsid w:val="00402726"/>
    <w:rsid w:val="00402727"/>
    <w:rsid w:val="00402795"/>
    <w:rsid w:val="00402799"/>
    <w:rsid w:val="0040280A"/>
    <w:rsid w:val="00402853"/>
    <w:rsid w:val="004028AF"/>
    <w:rsid w:val="004028C8"/>
    <w:rsid w:val="004028FE"/>
    <w:rsid w:val="00402928"/>
    <w:rsid w:val="00402967"/>
    <w:rsid w:val="0040299D"/>
    <w:rsid w:val="004029D6"/>
    <w:rsid w:val="00402A14"/>
    <w:rsid w:val="00402A63"/>
    <w:rsid w:val="00402A8F"/>
    <w:rsid w:val="00402AE0"/>
    <w:rsid w:val="00402BFB"/>
    <w:rsid w:val="00402C1D"/>
    <w:rsid w:val="00402D04"/>
    <w:rsid w:val="00402D19"/>
    <w:rsid w:val="00402DA2"/>
    <w:rsid w:val="00402DDF"/>
    <w:rsid w:val="00402DEF"/>
    <w:rsid w:val="00402E21"/>
    <w:rsid w:val="00402E6D"/>
    <w:rsid w:val="00402E8E"/>
    <w:rsid w:val="00402EB7"/>
    <w:rsid w:val="00402EE7"/>
    <w:rsid w:val="00402EEE"/>
    <w:rsid w:val="00402F1A"/>
    <w:rsid w:val="00402F27"/>
    <w:rsid w:val="00402F96"/>
    <w:rsid w:val="00402FA2"/>
    <w:rsid w:val="00402FEB"/>
    <w:rsid w:val="0040302F"/>
    <w:rsid w:val="004030A8"/>
    <w:rsid w:val="00403114"/>
    <w:rsid w:val="004031D2"/>
    <w:rsid w:val="00403207"/>
    <w:rsid w:val="00403229"/>
    <w:rsid w:val="0040323B"/>
    <w:rsid w:val="00403246"/>
    <w:rsid w:val="0040324B"/>
    <w:rsid w:val="0040325F"/>
    <w:rsid w:val="004032A6"/>
    <w:rsid w:val="00403333"/>
    <w:rsid w:val="00403396"/>
    <w:rsid w:val="0040339E"/>
    <w:rsid w:val="004033B0"/>
    <w:rsid w:val="004033D2"/>
    <w:rsid w:val="004033D9"/>
    <w:rsid w:val="0040341A"/>
    <w:rsid w:val="00403451"/>
    <w:rsid w:val="00403496"/>
    <w:rsid w:val="00403576"/>
    <w:rsid w:val="0040358E"/>
    <w:rsid w:val="004035E2"/>
    <w:rsid w:val="004035FA"/>
    <w:rsid w:val="00403620"/>
    <w:rsid w:val="0040363E"/>
    <w:rsid w:val="00403686"/>
    <w:rsid w:val="004036DB"/>
    <w:rsid w:val="0040380A"/>
    <w:rsid w:val="00403816"/>
    <w:rsid w:val="00403826"/>
    <w:rsid w:val="00403828"/>
    <w:rsid w:val="00403836"/>
    <w:rsid w:val="0040385B"/>
    <w:rsid w:val="0040386F"/>
    <w:rsid w:val="004038C3"/>
    <w:rsid w:val="004038C6"/>
    <w:rsid w:val="004038D1"/>
    <w:rsid w:val="004038D8"/>
    <w:rsid w:val="004038E9"/>
    <w:rsid w:val="004038F5"/>
    <w:rsid w:val="0040392A"/>
    <w:rsid w:val="00403930"/>
    <w:rsid w:val="0040398A"/>
    <w:rsid w:val="00403992"/>
    <w:rsid w:val="0040399E"/>
    <w:rsid w:val="004039BA"/>
    <w:rsid w:val="00403A32"/>
    <w:rsid w:val="00403B13"/>
    <w:rsid w:val="00403B58"/>
    <w:rsid w:val="00403BB0"/>
    <w:rsid w:val="00403BBE"/>
    <w:rsid w:val="00403CAE"/>
    <w:rsid w:val="00403CC3"/>
    <w:rsid w:val="00403D34"/>
    <w:rsid w:val="00403D47"/>
    <w:rsid w:val="00403D62"/>
    <w:rsid w:val="00403D69"/>
    <w:rsid w:val="00403DB2"/>
    <w:rsid w:val="00403DC5"/>
    <w:rsid w:val="00403DF3"/>
    <w:rsid w:val="00403DF8"/>
    <w:rsid w:val="00403E57"/>
    <w:rsid w:val="00403E81"/>
    <w:rsid w:val="00403EA1"/>
    <w:rsid w:val="00403EC5"/>
    <w:rsid w:val="00403EEE"/>
    <w:rsid w:val="00403F72"/>
    <w:rsid w:val="00403FE8"/>
    <w:rsid w:val="00403FEF"/>
    <w:rsid w:val="00404014"/>
    <w:rsid w:val="0040403C"/>
    <w:rsid w:val="00404046"/>
    <w:rsid w:val="00404063"/>
    <w:rsid w:val="00404068"/>
    <w:rsid w:val="0040407A"/>
    <w:rsid w:val="0040409C"/>
    <w:rsid w:val="004040BD"/>
    <w:rsid w:val="00404118"/>
    <w:rsid w:val="004041B1"/>
    <w:rsid w:val="004041DD"/>
    <w:rsid w:val="0040425D"/>
    <w:rsid w:val="00404287"/>
    <w:rsid w:val="0040430E"/>
    <w:rsid w:val="00404326"/>
    <w:rsid w:val="0040436D"/>
    <w:rsid w:val="004043DC"/>
    <w:rsid w:val="00404446"/>
    <w:rsid w:val="00404448"/>
    <w:rsid w:val="0040445E"/>
    <w:rsid w:val="00404463"/>
    <w:rsid w:val="0040448D"/>
    <w:rsid w:val="0040449C"/>
    <w:rsid w:val="004044B2"/>
    <w:rsid w:val="004044B6"/>
    <w:rsid w:val="004044DC"/>
    <w:rsid w:val="0040450E"/>
    <w:rsid w:val="0040451D"/>
    <w:rsid w:val="00404592"/>
    <w:rsid w:val="004045B9"/>
    <w:rsid w:val="004045C2"/>
    <w:rsid w:val="004045DA"/>
    <w:rsid w:val="0040469A"/>
    <w:rsid w:val="004046C7"/>
    <w:rsid w:val="004046D4"/>
    <w:rsid w:val="00404772"/>
    <w:rsid w:val="00404823"/>
    <w:rsid w:val="00404832"/>
    <w:rsid w:val="004048EC"/>
    <w:rsid w:val="004048F9"/>
    <w:rsid w:val="0040490A"/>
    <w:rsid w:val="0040491F"/>
    <w:rsid w:val="004049AA"/>
    <w:rsid w:val="004049B6"/>
    <w:rsid w:val="004049DD"/>
    <w:rsid w:val="004049E9"/>
    <w:rsid w:val="004049F5"/>
    <w:rsid w:val="00404A08"/>
    <w:rsid w:val="00404A2F"/>
    <w:rsid w:val="00404A44"/>
    <w:rsid w:val="00404A73"/>
    <w:rsid w:val="00404AAD"/>
    <w:rsid w:val="00404AE8"/>
    <w:rsid w:val="00404B0A"/>
    <w:rsid w:val="00404B27"/>
    <w:rsid w:val="00404B36"/>
    <w:rsid w:val="00404B4A"/>
    <w:rsid w:val="00404BB1"/>
    <w:rsid w:val="00404BB8"/>
    <w:rsid w:val="00404BFC"/>
    <w:rsid w:val="00404C03"/>
    <w:rsid w:val="00404C25"/>
    <w:rsid w:val="00404C38"/>
    <w:rsid w:val="00404C9B"/>
    <w:rsid w:val="00404CAC"/>
    <w:rsid w:val="00404CB1"/>
    <w:rsid w:val="00404CEF"/>
    <w:rsid w:val="00404D08"/>
    <w:rsid w:val="00404D85"/>
    <w:rsid w:val="00404DD8"/>
    <w:rsid w:val="00404E71"/>
    <w:rsid w:val="00404EB8"/>
    <w:rsid w:val="00404EDB"/>
    <w:rsid w:val="00404F12"/>
    <w:rsid w:val="00404F1A"/>
    <w:rsid w:val="00404F2F"/>
    <w:rsid w:val="00404FBC"/>
    <w:rsid w:val="00404FC6"/>
    <w:rsid w:val="00405001"/>
    <w:rsid w:val="0040503C"/>
    <w:rsid w:val="0040507B"/>
    <w:rsid w:val="00405084"/>
    <w:rsid w:val="0040508C"/>
    <w:rsid w:val="004050B7"/>
    <w:rsid w:val="004050F7"/>
    <w:rsid w:val="00405119"/>
    <w:rsid w:val="0040513F"/>
    <w:rsid w:val="00405171"/>
    <w:rsid w:val="004051C9"/>
    <w:rsid w:val="004051F8"/>
    <w:rsid w:val="004052A5"/>
    <w:rsid w:val="004052D7"/>
    <w:rsid w:val="004052E1"/>
    <w:rsid w:val="004052FD"/>
    <w:rsid w:val="0040535F"/>
    <w:rsid w:val="00405435"/>
    <w:rsid w:val="0040546A"/>
    <w:rsid w:val="00405541"/>
    <w:rsid w:val="004055D8"/>
    <w:rsid w:val="0040568D"/>
    <w:rsid w:val="004056BA"/>
    <w:rsid w:val="00405707"/>
    <w:rsid w:val="0040579E"/>
    <w:rsid w:val="004057B9"/>
    <w:rsid w:val="00405845"/>
    <w:rsid w:val="00405871"/>
    <w:rsid w:val="00405890"/>
    <w:rsid w:val="004058A3"/>
    <w:rsid w:val="004058B4"/>
    <w:rsid w:val="004058CE"/>
    <w:rsid w:val="0040590D"/>
    <w:rsid w:val="00405932"/>
    <w:rsid w:val="0040596C"/>
    <w:rsid w:val="0040596F"/>
    <w:rsid w:val="0040599D"/>
    <w:rsid w:val="00405A08"/>
    <w:rsid w:val="00405A17"/>
    <w:rsid w:val="00405A4B"/>
    <w:rsid w:val="00405A64"/>
    <w:rsid w:val="00405A77"/>
    <w:rsid w:val="00405AD5"/>
    <w:rsid w:val="00405AF0"/>
    <w:rsid w:val="00405B1C"/>
    <w:rsid w:val="00405B40"/>
    <w:rsid w:val="00405B67"/>
    <w:rsid w:val="00405B75"/>
    <w:rsid w:val="00405B78"/>
    <w:rsid w:val="00405B93"/>
    <w:rsid w:val="00405B98"/>
    <w:rsid w:val="00405C5C"/>
    <w:rsid w:val="00405CF2"/>
    <w:rsid w:val="00405D5D"/>
    <w:rsid w:val="00405D8B"/>
    <w:rsid w:val="00405E2A"/>
    <w:rsid w:val="00405E3C"/>
    <w:rsid w:val="00405E9C"/>
    <w:rsid w:val="00405EC4"/>
    <w:rsid w:val="00405EEE"/>
    <w:rsid w:val="00405F1A"/>
    <w:rsid w:val="00405F27"/>
    <w:rsid w:val="00405F33"/>
    <w:rsid w:val="00405F7C"/>
    <w:rsid w:val="00405F8F"/>
    <w:rsid w:val="00405FA7"/>
    <w:rsid w:val="00405FAC"/>
    <w:rsid w:val="00405FD3"/>
    <w:rsid w:val="00405FDA"/>
    <w:rsid w:val="00405FE5"/>
    <w:rsid w:val="00406083"/>
    <w:rsid w:val="004060AF"/>
    <w:rsid w:val="00406100"/>
    <w:rsid w:val="0040611D"/>
    <w:rsid w:val="00406140"/>
    <w:rsid w:val="00406184"/>
    <w:rsid w:val="00406247"/>
    <w:rsid w:val="0040626E"/>
    <w:rsid w:val="00406290"/>
    <w:rsid w:val="0040629B"/>
    <w:rsid w:val="004062BD"/>
    <w:rsid w:val="0040636F"/>
    <w:rsid w:val="00406382"/>
    <w:rsid w:val="00406390"/>
    <w:rsid w:val="004063A4"/>
    <w:rsid w:val="004063F2"/>
    <w:rsid w:val="0040647B"/>
    <w:rsid w:val="00406486"/>
    <w:rsid w:val="004064F0"/>
    <w:rsid w:val="00406536"/>
    <w:rsid w:val="004065C0"/>
    <w:rsid w:val="0040662E"/>
    <w:rsid w:val="00406638"/>
    <w:rsid w:val="00406652"/>
    <w:rsid w:val="0040665F"/>
    <w:rsid w:val="004066C1"/>
    <w:rsid w:val="00406710"/>
    <w:rsid w:val="00406734"/>
    <w:rsid w:val="0040674E"/>
    <w:rsid w:val="00406758"/>
    <w:rsid w:val="004067C6"/>
    <w:rsid w:val="004067FE"/>
    <w:rsid w:val="0040682A"/>
    <w:rsid w:val="00406836"/>
    <w:rsid w:val="0040684E"/>
    <w:rsid w:val="00406854"/>
    <w:rsid w:val="00406895"/>
    <w:rsid w:val="004068B0"/>
    <w:rsid w:val="004068C3"/>
    <w:rsid w:val="004068C6"/>
    <w:rsid w:val="00406976"/>
    <w:rsid w:val="00406979"/>
    <w:rsid w:val="00406982"/>
    <w:rsid w:val="004069B2"/>
    <w:rsid w:val="00406A60"/>
    <w:rsid w:val="00406A8F"/>
    <w:rsid w:val="00406AAD"/>
    <w:rsid w:val="00406AC6"/>
    <w:rsid w:val="00406ACC"/>
    <w:rsid w:val="00406B2F"/>
    <w:rsid w:val="00406BAE"/>
    <w:rsid w:val="00406BB1"/>
    <w:rsid w:val="00406BBE"/>
    <w:rsid w:val="00406BD4"/>
    <w:rsid w:val="00406C0C"/>
    <w:rsid w:val="00406C19"/>
    <w:rsid w:val="00406C4A"/>
    <w:rsid w:val="00406CB3"/>
    <w:rsid w:val="00406CFD"/>
    <w:rsid w:val="00406D2F"/>
    <w:rsid w:val="00406D43"/>
    <w:rsid w:val="00406D8C"/>
    <w:rsid w:val="00406D9A"/>
    <w:rsid w:val="00406DB7"/>
    <w:rsid w:val="00406E04"/>
    <w:rsid w:val="00406E07"/>
    <w:rsid w:val="00406E1B"/>
    <w:rsid w:val="00406E30"/>
    <w:rsid w:val="00406E64"/>
    <w:rsid w:val="00406EB4"/>
    <w:rsid w:val="00406EE1"/>
    <w:rsid w:val="00406F89"/>
    <w:rsid w:val="00406FE7"/>
    <w:rsid w:val="00406FF7"/>
    <w:rsid w:val="0040713D"/>
    <w:rsid w:val="00407191"/>
    <w:rsid w:val="004071A9"/>
    <w:rsid w:val="004071EB"/>
    <w:rsid w:val="00407236"/>
    <w:rsid w:val="0040728E"/>
    <w:rsid w:val="0040729C"/>
    <w:rsid w:val="004072EC"/>
    <w:rsid w:val="0040730B"/>
    <w:rsid w:val="00407310"/>
    <w:rsid w:val="00407316"/>
    <w:rsid w:val="00407323"/>
    <w:rsid w:val="00407329"/>
    <w:rsid w:val="0040733A"/>
    <w:rsid w:val="0040734E"/>
    <w:rsid w:val="004073ED"/>
    <w:rsid w:val="004073F0"/>
    <w:rsid w:val="00407466"/>
    <w:rsid w:val="004074C8"/>
    <w:rsid w:val="00407523"/>
    <w:rsid w:val="00407566"/>
    <w:rsid w:val="00407567"/>
    <w:rsid w:val="00407572"/>
    <w:rsid w:val="00407626"/>
    <w:rsid w:val="00407673"/>
    <w:rsid w:val="004076FD"/>
    <w:rsid w:val="0040774C"/>
    <w:rsid w:val="00407790"/>
    <w:rsid w:val="004077D0"/>
    <w:rsid w:val="004077E2"/>
    <w:rsid w:val="00407829"/>
    <w:rsid w:val="0040784D"/>
    <w:rsid w:val="00407898"/>
    <w:rsid w:val="00407997"/>
    <w:rsid w:val="00407A5D"/>
    <w:rsid w:val="00407A7E"/>
    <w:rsid w:val="00407A84"/>
    <w:rsid w:val="00407AAC"/>
    <w:rsid w:val="00407AAD"/>
    <w:rsid w:val="00407ADF"/>
    <w:rsid w:val="00407AEF"/>
    <w:rsid w:val="00407B15"/>
    <w:rsid w:val="00407B18"/>
    <w:rsid w:val="00407B1E"/>
    <w:rsid w:val="00407B24"/>
    <w:rsid w:val="00407B27"/>
    <w:rsid w:val="00407B32"/>
    <w:rsid w:val="00407B65"/>
    <w:rsid w:val="00407BB5"/>
    <w:rsid w:val="00407BFD"/>
    <w:rsid w:val="00407C17"/>
    <w:rsid w:val="00407C24"/>
    <w:rsid w:val="00407C37"/>
    <w:rsid w:val="00407C3B"/>
    <w:rsid w:val="00407C3D"/>
    <w:rsid w:val="00407C61"/>
    <w:rsid w:val="00407CC1"/>
    <w:rsid w:val="00407D09"/>
    <w:rsid w:val="00407D9D"/>
    <w:rsid w:val="00407DA7"/>
    <w:rsid w:val="00407DE7"/>
    <w:rsid w:val="00407E02"/>
    <w:rsid w:val="00407E0B"/>
    <w:rsid w:val="00407E1F"/>
    <w:rsid w:val="00407E52"/>
    <w:rsid w:val="00407E7C"/>
    <w:rsid w:val="00407EB6"/>
    <w:rsid w:val="00407ED6"/>
    <w:rsid w:val="00407EF4"/>
    <w:rsid w:val="00407F11"/>
    <w:rsid w:val="00407F31"/>
    <w:rsid w:val="00407F40"/>
    <w:rsid w:val="00407F97"/>
    <w:rsid w:val="00407FAD"/>
    <w:rsid w:val="00407FBC"/>
    <w:rsid w:val="00407FEB"/>
    <w:rsid w:val="00407FFC"/>
    <w:rsid w:val="00410024"/>
    <w:rsid w:val="00410044"/>
    <w:rsid w:val="0041010D"/>
    <w:rsid w:val="00410136"/>
    <w:rsid w:val="00410160"/>
    <w:rsid w:val="004101F4"/>
    <w:rsid w:val="00410225"/>
    <w:rsid w:val="00410257"/>
    <w:rsid w:val="004102AB"/>
    <w:rsid w:val="004102DE"/>
    <w:rsid w:val="004102ED"/>
    <w:rsid w:val="00410301"/>
    <w:rsid w:val="00410320"/>
    <w:rsid w:val="0041036B"/>
    <w:rsid w:val="0041038F"/>
    <w:rsid w:val="00410397"/>
    <w:rsid w:val="00410414"/>
    <w:rsid w:val="00410479"/>
    <w:rsid w:val="0041049C"/>
    <w:rsid w:val="004104C9"/>
    <w:rsid w:val="004104E7"/>
    <w:rsid w:val="004104E9"/>
    <w:rsid w:val="00410515"/>
    <w:rsid w:val="004105A1"/>
    <w:rsid w:val="004105BE"/>
    <w:rsid w:val="004105F6"/>
    <w:rsid w:val="004106C9"/>
    <w:rsid w:val="004106D6"/>
    <w:rsid w:val="00410748"/>
    <w:rsid w:val="004107C1"/>
    <w:rsid w:val="004107C3"/>
    <w:rsid w:val="004107DC"/>
    <w:rsid w:val="004107E9"/>
    <w:rsid w:val="00410819"/>
    <w:rsid w:val="0041083D"/>
    <w:rsid w:val="00410883"/>
    <w:rsid w:val="004108B3"/>
    <w:rsid w:val="004108CB"/>
    <w:rsid w:val="004108E6"/>
    <w:rsid w:val="0041091D"/>
    <w:rsid w:val="00410923"/>
    <w:rsid w:val="00410939"/>
    <w:rsid w:val="00410983"/>
    <w:rsid w:val="0041098C"/>
    <w:rsid w:val="004109AA"/>
    <w:rsid w:val="004109B2"/>
    <w:rsid w:val="004109DD"/>
    <w:rsid w:val="00410A27"/>
    <w:rsid w:val="00410AFF"/>
    <w:rsid w:val="00410B5E"/>
    <w:rsid w:val="00410B68"/>
    <w:rsid w:val="00410BD7"/>
    <w:rsid w:val="00410C18"/>
    <w:rsid w:val="00410C35"/>
    <w:rsid w:val="00410C86"/>
    <w:rsid w:val="00410CD3"/>
    <w:rsid w:val="00410CDF"/>
    <w:rsid w:val="00410D03"/>
    <w:rsid w:val="00410D14"/>
    <w:rsid w:val="00410D62"/>
    <w:rsid w:val="00410D6A"/>
    <w:rsid w:val="00410DA2"/>
    <w:rsid w:val="00410E19"/>
    <w:rsid w:val="00410E1F"/>
    <w:rsid w:val="00410E5E"/>
    <w:rsid w:val="00410E7E"/>
    <w:rsid w:val="00410E9C"/>
    <w:rsid w:val="00410F4C"/>
    <w:rsid w:val="00410F7D"/>
    <w:rsid w:val="00410FB8"/>
    <w:rsid w:val="0041100B"/>
    <w:rsid w:val="0041101A"/>
    <w:rsid w:val="004110B5"/>
    <w:rsid w:val="004110B7"/>
    <w:rsid w:val="004110C1"/>
    <w:rsid w:val="004110CB"/>
    <w:rsid w:val="004110D3"/>
    <w:rsid w:val="004111C4"/>
    <w:rsid w:val="004111F9"/>
    <w:rsid w:val="00411218"/>
    <w:rsid w:val="00411289"/>
    <w:rsid w:val="00411300"/>
    <w:rsid w:val="004113CB"/>
    <w:rsid w:val="004113DA"/>
    <w:rsid w:val="004113EE"/>
    <w:rsid w:val="00411460"/>
    <w:rsid w:val="004114B3"/>
    <w:rsid w:val="00411510"/>
    <w:rsid w:val="00411513"/>
    <w:rsid w:val="00411524"/>
    <w:rsid w:val="00411600"/>
    <w:rsid w:val="00411657"/>
    <w:rsid w:val="00411725"/>
    <w:rsid w:val="00411801"/>
    <w:rsid w:val="00411911"/>
    <w:rsid w:val="0041197E"/>
    <w:rsid w:val="00411989"/>
    <w:rsid w:val="004119A6"/>
    <w:rsid w:val="00411A1C"/>
    <w:rsid w:val="00411A35"/>
    <w:rsid w:val="00411A56"/>
    <w:rsid w:val="00411A7B"/>
    <w:rsid w:val="00411A9B"/>
    <w:rsid w:val="00411AAB"/>
    <w:rsid w:val="00411AD1"/>
    <w:rsid w:val="00411AF2"/>
    <w:rsid w:val="00411AF6"/>
    <w:rsid w:val="00411B05"/>
    <w:rsid w:val="00411B48"/>
    <w:rsid w:val="00411C27"/>
    <w:rsid w:val="00411D36"/>
    <w:rsid w:val="00411D4B"/>
    <w:rsid w:val="00411D61"/>
    <w:rsid w:val="00411EBC"/>
    <w:rsid w:val="00411EF2"/>
    <w:rsid w:val="00411EF5"/>
    <w:rsid w:val="00411F0B"/>
    <w:rsid w:val="00411F4B"/>
    <w:rsid w:val="00411FA6"/>
    <w:rsid w:val="00412009"/>
    <w:rsid w:val="00412025"/>
    <w:rsid w:val="00412072"/>
    <w:rsid w:val="004120B7"/>
    <w:rsid w:val="0041211D"/>
    <w:rsid w:val="00412125"/>
    <w:rsid w:val="0041217D"/>
    <w:rsid w:val="004121B4"/>
    <w:rsid w:val="004121D5"/>
    <w:rsid w:val="00412250"/>
    <w:rsid w:val="0041225D"/>
    <w:rsid w:val="0041225F"/>
    <w:rsid w:val="004122ED"/>
    <w:rsid w:val="004122FC"/>
    <w:rsid w:val="00412389"/>
    <w:rsid w:val="0041238F"/>
    <w:rsid w:val="004123BF"/>
    <w:rsid w:val="00412407"/>
    <w:rsid w:val="00412410"/>
    <w:rsid w:val="00412417"/>
    <w:rsid w:val="00412434"/>
    <w:rsid w:val="00412442"/>
    <w:rsid w:val="00412487"/>
    <w:rsid w:val="004124A8"/>
    <w:rsid w:val="004124AB"/>
    <w:rsid w:val="004124C0"/>
    <w:rsid w:val="0041252E"/>
    <w:rsid w:val="0041252F"/>
    <w:rsid w:val="00412558"/>
    <w:rsid w:val="0041255E"/>
    <w:rsid w:val="00412563"/>
    <w:rsid w:val="00412567"/>
    <w:rsid w:val="004125E4"/>
    <w:rsid w:val="0041261D"/>
    <w:rsid w:val="00412656"/>
    <w:rsid w:val="00412684"/>
    <w:rsid w:val="004126B3"/>
    <w:rsid w:val="004126EC"/>
    <w:rsid w:val="004126ED"/>
    <w:rsid w:val="004126F9"/>
    <w:rsid w:val="004126FD"/>
    <w:rsid w:val="0041272E"/>
    <w:rsid w:val="00412756"/>
    <w:rsid w:val="0041278F"/>
    <w:rsid w:val="004127A4"/>
    <w:rsid w:val="0041281B"/>
    <w:rsid w:val="00412846"/>
    <w:rsid w:val="0041284D"/>
    <w:rsid w:val="004128DC"/>
    <w:rsid w:val="004128E0"/>
    <w:rsid w:val="0041291E"/>
    <w:rsid w:val="0041291F"/>
    <w:rsid w:val="0041292E"/>
    <w:rsid w:val="00412948"/>
    <w:rsid w:val="00412987"/>
    <w:rsid w:val="00412A40"/>
    <w:rsid w:val="00412A51"/>
    <w:rsid w:val="00412A73"/>
    <w:rsid w:val="00412A88"/>
    <w:rsid w:val="00412AA1"/>
    <w:rsid w:val="00412ACD"/>
    <w:rsid w:val="00412B16"/>
    <w:rsid w:val="00412B17"/>
    <w:rsid w:val="00412B47"/>
    <w:rsid w:val="00412BCA"/>
    <w:rsid w:val="00412BDC"/>
    <w:rsid w:val="00412BEA"/>
    <w:rsid w:val="00412BF5"/>
    <w:rsid w:val="00412C29"/>
    <w:rsid w:val="00412C36"/>
    <w:rsid w:val="00412C9B"/>
    <w:rsid w:val="00412CD7"/>
    <w:rsid w:val="00412D30"/>
    <w:rsid w:val="00412D40"/>
    <w:rsid w:val="00412D5E"/>
    <w:rsid w:val="00412DA6"/>
    <w:rsid w:val="00412DD0"/>
    <w:rsid w:val="00412DDC"/>
    <w:rsid w:val="00412DE5"/>
    <w:rsid w:val="00412E05"/>
    <w:rsid w:val="00412E31"/>
    <w:rsid w:val="00412F28"/>
    <w:rsid w:val="00412F44"/>
    <w:rsid w:val="00412F56"/>
    <w:rsid w:val="00412FB9"/>
    <w:rsid w:val="0041301D"/>
    <w:rsid w:val="00413076"/>
    <w:rsid w:val="004130A7"/>
    <w:rsid w:val="00413142"/>
    <w:rsid w:val="00413152"/>
    <w:rsid w:val="0041316E"/>
    <w:rsid w:val="004131FA"/>
    <w:rsid w:val="00413296"/>
    <w:rsid w:val="00413323"/>
    <w:rsid w:val="0041334E"/>
    <w:rsid w:val="00413361"/>
    <w:rsid w:val="00413467"/>
    <w:rsid w:val="0041346C"/>
    <w:rsid w:val="0041348C"/>
    <w:rsid w:val="004134B7"/>
    <w:rsid w:val="004134FD"/>
    <w:rsid w:val="00413551"/>
    <w:rsid w:val="004135A9"/>
    <w:rsid w:val="004135B0"/>
    <w:rsid w:val="004135DB"/>
    <w:rsid w:val="004135E2"/>
    <w:rsid w:val="004135E7"/>
    <w:rsid w:val="004135F9"/>
    <w:rsid w:val="0041365E"/>
    <w:rsid w:val="00413665"/>
    <w:rsid w:val="0041368C"/>
    <w:rsid w:val="004136E5"/>
    <w:rsid w:val="0041370F"/>
    <w:rsid w:val="0041371E"/>
    <w:rsid w:val="0041371F"/>
    <w:rsid w:val="00413728"/>
    <w:rsid w:val="00413731"/>
    <w:rsid w:val="0041374B"/>
    <w:rsid w:val="00413764"/>
    <w:rsid w:val="00413792"/>
    <w:rsid w:val="004137DA"/>
    <w:rsid w:val="00413880"/>
    <w:rsid w:val="00413892"/>
    <w:rsid w:val="0041389A"/>
    <w:rsid w:val="004138BB"/>
    <w:rsid w:val="00413942"/>
    <w:rsid w:val="00413967"/>
    <w:rsid w:val="004139AF"/>
    <w:rsid w:val="004139C5"/>
    <w:rsid w:val="00413A5C"/>
    <w:rsid w:val="00413A70"/>
    <w:rsid w:val="00413AAD"/>
    <w:rsid w:val="00413AE1"/>
    <w:rsid w:val="00413B3E"/>
    <w:rsid w:val="00413B46"/>
    <w:rsid w:val="00413BCA"/>
    <w:rsid w:val="00413BD3"/>
    <w:rsid w:val="00413BDA"/>
    <w:rsid w:val="00413C00"/>
    <w:rsid w:val="00413C69"/>
    <w:rsid w:val="00413DC6"/>
    <w:rsid w:val="00413DD9"/>
    <w:rsid w:val="00413DE8"/>
    <w:rsid w:val="00413E1E"/>
    <w:rsid w:val="00413EA0"/>
    <w:rsid w:val="00413F04"/>
    <w:rsid w:val="00413F77"/>
    <w:rsid w:val="00413F95"/>
    <w:rsid w:val="00413FAA"/>
    <w:rsid w:val="004140AB"/>
    <w:rsid w:val="004140EA"/>
    <w:rsid w:val="004140FA"/>
    <w:rsid w:val="0041410C"/>
    <w:rsid w:val="00414144"/>
    <w:rsid w:val="0041415C"/>
    <w:rsid w:val="0041416B"/>
    <w:rsid w:val="00414180"/>
    <w:rsid w:val="0041421A"/>
    <w:rsid w:val="0041422D"/>
    <w:rsid w:val="00414243"/>
    <w:rsid w:val="00414273"/>
    <w:rsid w:val="00414325"/>
    <w:rsid w:val="00414374"/>
    <w:rsid w:val="0041438B"/>
    <w:rsid w:val="0041439F"/>
    <w:rsid w:val="004143DE"/>
    <w:rsid w:val="0041443B"/>
    <w:rsid w:val="00414452"/>
    <w:rsid w:val="004144A7"/>
    <w:rsid w:val="004144BB"/>
    <w:rsid w:val="004144D4"/>
    <w:rsid w:val="00414515"/>
    <w:rsid w:val="00414561"/>
    <w:rsid w:val="0041456D"/>
    <w:rsid w:val="0041459C"/>
    <w:rsid w:val="004145AD"/>
    <w:rsid w:val="00414647"/>
    <w:rsid w:val="0041464C"/>
    <w:rsid w:val="0041467C"/>
    <w:rsid w:val="0041467F"/>
    <w:rsid w:val="004146E6"/>
    <w:rsid w:val="00414752"/>
    <w:rsid w:val="0041480A"/>
    <w:rsid w:val="00414877"/>
    <w:rsid w:val="0041487B"/>
    <w:rsid w:val="00414887"/>
    <w:rsid w:val="004148B4"/>
    <w:rsid w:val="004148BC"/>
    <w:rsid w:val="004148F0"/>
    <w:rsid w:val="0041494B"/>
    <w:rsid w:val="00414950"/>
    <w:rsid w:val="0041496B"/>
    <w:rsid w:val="00414987"/>
    <w:rsid w:val="004149B9"/>
    <w:rsid w:val="00414A38"/>
    <w:rsid w:val="00414A7B"/>
    <w:rsid w:val="00414ACA"/>
    <w:rsid w:val="00414B0F"/>
    <w:rsid w:val="00414B27"/>
    <w:rsid w:val="00414BAB"/>
    <w:rsid w:val="00414BBC"/>
    <w:rsid w:val="00414BC5"/>
    <w:rsid w:val="00414BD3"/>
    <w:rsid w:val="00414C03"/>
    <w:rsid w:val="00414C9D"/>
    <w:rsid w:val="00414CAF"/>
    <w:rsid w:val="00414CE6"/>
    <w:rsid w:val="00414D1E"/>
    <w:rsid w:val="00414D4A"/>
    <w:rsid w:val="00414DE7"/>
    <w:rsid w:val="00414E40"/>
    <w:rsid w:val="00414E66"/>
    <w:rsid w:val="00414EB9"/>
    <w:rsid w:val="00414EDA"/>
    <w:rsid w:val="00414F6F"/>
    <w:rsid w:val="00414F8A"/>
    <w:rsid w:val="00414F8C"/>
    <w:rsid w:val="00414F9F"/>
    <w:rsid w:val="00414FE0"/>
    <w:rsid w:val="00414FE7"/>
    <w:rsid w:val="00415005"/>
    <w:rsid w:val="0041502A"/>
    <w:rsid w:val="0041513B"/>
    <w:rsid w:val="00415165"/>
    <w:rsid w:val="00415177"/>
    <w:rsid w:val="0041519B"/>
    <w:rsid w:val="004151CD"/>
    <w:rsid w:val="004151DD"/>
    <w:rsid w:val="004151F0"/>
    <w:rsid w:val="0041527B"/>
    <w:rsid w:val="004152DB"/>
    <w:rsid w:val="00415319"/>
    <w:rsid w:val="004153EF"/>
    <w:rsid w:val="00415451"/>
    <w:rsid w:val="00415464"/>
    <w:rsid w:val="004154C2"/>
    <w:rsid w:val="004154D6"/>
    <w:rsid w:val="004154F8"/>
    <w:rsid w:val="0041552C"/>
    <w:rsid w:val="00415532"/>
    <w:rsid w:val="0041553A"/>
    <w:rsid w:val="0041558F"/>
    <w:rsid w:val="004155CE"/>
    <w:rsid w:val="004155D3"/>
    <w:rsid w:val="004155D6"/>
    <w:rsid w:val="004155D7"/>
    <w:rsid w:val="004155FA"/>
    <w:rsid w:val="004155FE"/>
    <w:rsid w:val="00415629"/>
    <w:rsid w:val="0041563D"/>
    <w:rsid w:val="0041568E"/>
    <w:rsid w:val="00415798"/>
    <w:rsid w:val="0041579B"/>
    <w:rsid w:val="004157C3"/>
    <w:rsid w:val="00415880"/>
    <w:rsid w:val="004158DB"/>
    <w:rsid w:val="004158F5"/>
    <w:rsid w:val="00415909"/>
    <w:rsid w:val="0041591C"/>
    <w:rsid w:val="0041595C"/>
    <w:rsid w:val="004159D7"/>
    <w:rsid w:val="004159DB"/>
    <w:rsid w:val="004159EB"/>
    <w:rsid w:val="00415A29"/>
    <w:rsid w:val="00415A80"/>
    <w:rsid w:val="00415A9E"/>
    <w:rsid w:val="00415B29"/>
    <w:rsid w:val="00415B6E"/>
    <w:rsid w:val="00415B82"/>
    <w:rsid w:val="00415B93"/>
    <w:rsid w:val="00415BF7"/>
    <w:rsid w:val="00415C16"/>
    <w:rsid w:val="00415C51"/>
    <w:rsid w:val="00415C6E"/>
    <w:rsid w:val="00415C7F"/>
    <w:rsid w:val="00415C94"/>
    <w:rsid w:val="00415CF5"/>
    <w:rsid w:val="00415D24"/>
    <w:rsid w:val="00415D73"/>
    <w:rsid w:val="00415E11"/>
    <w:rsid w:val="00415E57"/>
    <w:rsid w:val="00415E5A"/>
    <w:rsid w:val="00415EB3"/>
    <w:rsid w:val="00415ED4"/>
    <w:rsid w:val="00415F0E"/>
    <w:rsid w:val="00415F14"/>
    <w:rsid w:val="00415F76"/>
    <w:rsid w:val="00415F84"/>
    <w:rsid w:val="00415FAE"/>
    <w:rsid w:val="00415FB3"/>
    <w:rsid w:val="00415FDD"/>
    <w:rsid w:val="00415FF1"/>
    <w:rsid w:val="00416077"/>
    <w:rsid w:val="00416079"/>
    <w:rsid w:val="004160B3"/>
    <w:rsid w:val="004160F4"/>
    <w:rsid w:val="004160F7"/>
    <w:rsid w:val="0041611B"/>
    <w:rsid w:val="00416149"/>
    <w:rsid w:val="00416152"/>
    <w:rsid w:val="00416163"/>
    <w:rsid w:val="004161B3"/>
    <w:rsid w:val="004161D5"/>
    <w:rsid w:val="00416213"/>
    <w:rsid w:val="0041621C"/>
    <w:rsid w:val="0041622E"/>
    <w:rsid w:val="0041624A"/>
    <w:rsid w:val="00416255"/>
    <w:rsid w:val="0041628C"/>
    <w:rsid w:val="004162D6"/>
    <w:rsid w:val="0041632A"/>
    <w:rsid w:val="00416335"/>
    <w:rsid w:val="00416382"/>
    <w:rsid w:val="004163A2"/>
    <w:rsid w:val="00416401"/>
    <w:rsid w:val="0041646B"/>
    <w:rsid w:val="0041646C"/>
    <w:rsid w:val="00416497"/>
    <w:rsid w:val="004164B0"/>
    <w:rsid w:val="004164CE"/>
    <w:rsid w:val="004164D6"/>
    <w:rsid w:val="004164D8"/>
    <w:rsid w:val="004164F3"/>
    <w:rsid w:val="00416517"/>
    <w:rsid w:val="0041652E"/>
    <w:rsid w:val="0041653D"/>
    <w:rsid w:val="004165D6"/>
    <w:rsid w:val="004165E9"/>
    <w:rsid w:val="00416623"/>
    <w:rsid w:val="00416639"/>
    <w:rsid w:val="00416697"/>
    <w:rsid w:val="0041673F"/>
    <w:rsid w:val="0041674D"/>
    <w:rsid w:val="00416762"/>
    <w:rsid w:val="0041677D"/>
    <w:rsid w:val="004167A5"/>
    <w:rsid w:val="004167CD"/>
    <w:rsid w:val="004167DD"/>
    <w:rsid w:val="00416802"/>
    <w:rsid w:val="0041680C"/>
    <w:rsid w:val="0041681F"/>
    <w:rsid w:val="00416820"/>
    <w:rsid w:val="00416838"/>
    <w:rsid w:val="00416851"/>
    <w:rsid w:val="0041686A"/>
    <w:rsid w:val="00416875"/>
    <w:rsid w:val="0041689F"/>
    <w:rsid w:val="004168E6"/>
    <w:rsid w:val="0041690A"/>
    <w:rsid w:val="00416987"/>
    <w:rsid w:val="00416994"/>
    <w:rsid w:val="004169C2"/>
    <w:rsid w:val="004169FE"/>
    <w:rsid w:val="00416A44"/>
    <w:rsid w:val="00416A4F"/>
    <w:rsid w:val="00416A88"/>
    <w:rsid w:val="00416AFA"/>
    <w:rsid w:val="00416B48"/>
    <w:rsid w:val="00416BED"/>
    <w:rsid w:val="00416C42"/>
    <w:rsid w:val="00416C59"/>
    <w:rsid w:val="00416CAE"/>
    <w:rsid w:val="00416CF2"/>
    <w:rsid w:val="00416D33"/>
    <w:rsid w:val="00416D3A"/>
    <w:rsid w:val="00416D7A"/>
    <w:rsid w:val="00416D84"/>
    <w:rsid w:val="00416DAD"/>
    <w:rsid w:val="00416DC9"/>
    <w:rsid w:val="00416DEE"/>
    <w:rsid w:val="00416DF7"/>
    <w:rsid w:val="00416E0B"/>
    <w:rsid w:val="00416E55"/>
    <w:rsid w:val="00416E63"/>
    <w:rsid w:val="00416E8A"/>
    <w:rsid w:val="00416EDB"/>
    <w:rsid w:val="00416EE4"/>
    <w:rsid w:val="00416F01"/>
    <w:rsid w:val="00416F07"/>
    <w:rsid w:val="00416F46"/>
    <w:rsid w:val="00416F94"/>
    <w:rsid w:val="004170AA"/>
    <w:rsid w:val="004170D0"/>
    <w:rsid w:val="0041713F"/>
    <w:rsid w:val="0041715B"/>
    <w:rsid w:val="004171C7"/>
    <w:rsid w:val="00417214"/>
    <w:rsid w:val="0041723F"/>
    <w:rsid w:val="0041724E"/>
    <w:rsid w:val="0041725E"/>
    <w:rsid w:val="00417260"/>
    <w:rsid w:val="0041728F"/>
    <w:rsid w:val="00417296"/>
    <w:rsid w:val="00417333"/>
    <w:rsid w:val="0041736A"/>
    <w:rsid w:val="00417376"/>
    <w:rsid w:val="0041737A"/>
    <w:rsid w:val="0041737F"/>
    <w:rsid w:val="004173BC"/>
    <w:rsid w:val="004173BD"/>
    <w:rsid w:val="004173C9"/>
    <w:rsid w:val="0041741A"/>
    <w:rsid w:val="0041741E"/>
    <w:rsid w:val="0041743D"/>
    <w:rsid w:val="00417464"/>
    <w:rsid w:val="0041748B"/>
    <w:rsid w:val="004174AC"/>
    <w:rsid w:val="004174C8"/>
    <w:rsid w:val="004174E2"/>
    <w:rsid w:val="0041750E"/>
    <w:rsid w:val="00417537"/>
    <w:rsid w:val="0041757A"/>
    <w:rsid w:val="00417582"/>
    <w:rsid w:val="00417585"/>
    <w:rsid w:val="004175C6"/>
    <w:rsid w:val="004175CD"/>
    <w:rsid w:val="00417617"/>
    <w:rsid w:val="00417627"/>
    <w:rsid w:val="00417632"/>
    <w:rsid w:val="00417641"/>
    <w:rsid w:val="00417670"/>
    <w:rsid w:val="0041771C"/>
    <w:rsid w:val="00417741"/>
    <w:rsid w:val="0041774E"/>
    <w:rsid w:val="00417753"/>
    <w:rsid w:val="00417778"/>
    <w:rsid w:val="00417783"/>
    <w:rsid w:val="0041779D"/>
    <w:rsid w:val="004177DB"/>
    <w:rsid w:val="00417803"/>
    <w:rsid w:val="00417814"/>
    <w:rsid w:val="00417818"/>
    <w:rsid w:val="004178C5"/>
    <w:rsid w:val="004178E0"/>
    <w:rsid w:val="00417972"/>
    <w:rsid w:val="004179DE"/>
    <w:rsid w:val="00417A1C"/>
    <w:rsid w:val="00417A56"/>
    <w:rsid w:val="00417A99"/>
    <w:rsid w:val="00417ACA"/>
    <w:rsid w:val="00417B0B"/>
    <w:rsid w:val="00417B42"/>
    <w:rsid w:val="00417B7B"/>
    <w:rsid w:val="00417B94"/>
    <w:rsid w:val="00417BB8"/>
    <w:rsid w:val="00417BE6"/>
    <w:rsid w:val="00417C35"/>
    <w:rsid w:val="00417C5D"/>
    <w:rsid w:val="00417C9D"/>
    <w:rsid w:val="00417D04"/>
    <w:rsid w:val="00417D13"/>
    <w:rsid w:val="00417D19"/>
    <w:rsid w:val="00417D2B"/>
    <w:rsid w:val="00417D8A"/>
    <w:rsid w:val="00417DD3"/>
    <w:rsid w:val="00417E33"/>
    <w:rsid w:val="00417E72"/>
    <w:rsid w:val="00417E9B"/>
    <w:rsid w:val="00417EC4"/>
    <w:rsid w:val="00417F1F"/>
    <w:rsid w:val="00417F50"/>
    <w:rsid w:val="00417F53"/>
    <w:rsid w:val="00417FA9"/>
    <w:rsid w:val="00417FF0"/>
    <w:rsid w:val="00417FF2"/>
    <w:rsid w:val="0042005D"/>
    <w:rsid w:val="00420067"/>
    <w:rsid w:val="00420104"/>
    <w:rsid w:val="00420134"/>
    <w:rsid w:val="004201A1"/>
    <w:rsid w:val="004201B3"/>
    <w:rsid w:val="004201CB"/>
    <w:rsid w:val="004201F0"/>
    <w:rsid w:val="0042020C"/>
    <w:rsid w:val="0042026E"/>
    <w:rsid w:val="0042027E"/>
    <w:rsid w:val="004202BD"/>
    <w:rsid w:val="004202F4"/>
    <w:rsid w:val="00420397"/>
    <w:rsid w:val="004203C7"/>
    <w:rsid w:val="004203EC"/>
    <w:rsid w:val="00420423"/>
    <w:rsid w:val="00420429"/>
    <w:rsid w:val="0042042C"/>
    <w:rsid w:val="00420458"/>
    <w:rsid w:val="00420468"/>
    <w:rsid w:val="00420485"/>
    <w:rsid w:val="004204ED"/>
    <w:rsid w:val="004204F6"/>
    <w:rsid w:val="0042053B"/>
    <w:rsid w:val="004205AA"/>
    <w:rsid w:val="004205BC"/>
    <w:rsid w:val="004205C5"/>
    <w:rsid w:val="004205EC"/>
    <w:rsid w:val="004205FE"/>
    <w:rsid w:val="0042064D"/>
    <w:rsid w:val="00420671"/>
    <w:rsid w:val="00420677"/>
    <w:rsid w:val="00420705"/>
    <w:rsid w:val="00420709"/>
    <w:rsid w:val="0042072E"/>
    <w:rsid w:val="00420742"/>
    <w:rsid w:val="00420756"/>
    <w:rsid w:val="00420791"/>
    <w:rsid w:val="004207A1"/>
    <w:rsid w:val="004207B6"/>
    <w:rsid w:val="004207DE"/>
    <w:rsid w:val="004207E5"/>
    <w:rsid w:val="004207FF"/>
    <w:rsid w:val="0042081A"/>
    <w:rsid w:val="00420865"/>
    <w:rsid w:val="00420896"/>
    <w:rsid w:val="004208D3"/>
    <w:rsid w:val="004208E1"/>
    <w:rsid w:val="004208F0"/>
    <w:rsid w:val="00420922"/>
    <w:rsid w:val="0042093B"/>
    <w:rsid w:val="00420958"/>
    <w:rsid w:val="0042096E"/>
    <w:rsid w:val="0042096F"/>
    <w:rsid w:val="00420977"/>
    <w:rsid w:val="00420978"/>
    <w:rsid w:val="004209FA"/>
    <w:rsid w:val="00420A12"/>
    <w:rsid w:val="00420A15"/>
    <w:rsid w:val="00420B12"/>
    <w:rsid w:val="00420B98"/>
    <w:rsid w:val="00420BC3"/>
    <w:rsid w:val="00420BCB"/>
    <w:rsid w:val="00420BD1"/>
    <w:rsid w:val="00420BDD"/>
    <w:rsid w:val="00420C20"/>
    <w:rsid w:val="00420C8A"/>
    <w:rsid w:val="00420CB0"/>
    <w:rsid w:val="00420CB8"/>
    <w:rsid w:val="00420CF9"/>
    <w:rsid w:val="00420D03"/>
    <w:rsid w:val="00420D6B"/>
    <w:rsid w:val="00420D84"/>
    <w:rsid w:val="00420E1C"/>
    <w:rsid w:val="00420E46"/>
    <w:rsid w:val="00420E68"/>
    <w:rsid w:val="00420E7B"/>
    <w:rsid w:val="00420E97"/>
    <w:rsid w:val="00420EC8"/>
    <w:rsid w:val="00420ED9"/>
    <w:rsid w:val="00420F06"/>
    <w:rsid w:val="00420F10"/>
    <w:rsid w:val="00420F3C"/>
    <w:rsid w:val="00420FE0"/>
    <w:rsid w:val="00420FF5"/>
    <w:rsid w:val="0042101C"/>
    <w:rsid w:val="0042104B"/>
    <w:rsid w:val="00421088"/>
    <w:rsid w:val="004210C2"/>
    <w:rsid w:val="00421142"/>
    <w:rsid w:val="00421182"/>
    <w:rsid w:val="004211F1"/>
    <w:rsid w:val="00421253"/>
    <w:rsid w:val="00421301"/>
    <w:rsid w:val="0042135F"/>
    <w:rsid w:val="00421371"/>
    <w:rsid w:val="0042138A"/>
    <w:rsid w:val="004213BF"/>
    <w:rsid w:val="0042144F"/>
    <w:rsid w:val="0042149F"/>
    <w:rsid w:val="004214BD"/>
    <w:rsid w:val="00421568"/>
    <w:rsid w:val="00421573"/>
    <w:rsid w:val="00421575"/>
    <w:rsid w:val="004215BE"/>
    <w:rsid w:val="00421640"/>
    <w:rsid w:val="00421657"/>
    <w:rsid w:val="0042165D"/>
    <w:rsid w:val="004216AB"/>
    <w:rsid w:val="004216C0"/>
    <w:rsid w:val="004216C5"/>
    <w:rsid w:val="004216C7"/>
    <w:rsid w:val="00421714"/>
    <w:rsid w:val="0042171A"/>
    <w:rsid w:val="00421722"/>
    <w:rsid w:val="0042172D"/>
    <w:rsid w:val="00421748"/>
    <w:rsid w:val="00421757"/>
    <w:rsid w:val="0042175B"/>
    <w:rsid w:val="00421798"/>
    <w:rsid w:val="00421805"/>
    <w:rsid w:val="00421823"/>
    <w:rsid w:val="0042182A"/>
    <w:rsid w:val="004218D0"/>
    <w:rsid w:val="004218EF"/>
    <w:rsid w:val="004218F6"/>
    <w:rsid w:val="004218F9"/>
    <w:rsid w:val="00421955"/>
    <w:rsid w:val="00421962"/>
    <w:rsid w:val="004219C4"/>
    <w:rsid w:val="004219C7"/>
    <w:rsid w:val="00421A10"/>
    <w:rsid w:val="00421A1F"/>
    <w:rsid w:val="00421A49"/>
    <w:rsid w:val="00421A4C"/>
    <w:rsid w:val="00421A97"/>
    <w:rsid w:val="00421AE6"/>
    <w:rsid w:val="00421B45"/>
    <w:rsid w:val="00421B99"/>
    <w:rsid w:val="00421BB1"/>
    <w:rsid w:val="00421BB4"/>
    <w:rsid w:val="00421C2E"/>
    <w:rsid w:val="00421C67"/>
    <w:rsid w:val="00421C8E"/>
    <w:rsid w:val="00421CA0"/>
    <w:rsid w:val="00421CF6"/>
    <w:rsid w:val="00421D03"/>
    <w:rsid w:val="00421D22"/>
    <w:rsid w:val="00421D56"/>
    <w:rsid w:val="00421D93"/>
    <w:rsid w:val="00421DAB"/>
    <w:rsid w:val="00421DBB"/>
    <w:rsid w:val="00421DD6"/>
    <w:rsid w:val="00421DE0"/>
    <w:rsid w:val="00421E19"/>
    <w:rsid w:val="00421E1C"/>
    <w:rsid w:val="00421E2A"/>
    <w:rsid w:val="00421E96"/>
    <w:rsid w:val="00421EC3"/>
    <w:rsid w:val="00421F24"/>
    <w:rsid w:val="00421F48"/>
    <w:rsid w:val="00421F8A"/>
    <w:rsid w:val="00421F9E"/>
    <w:rsid w:val="00421FE4"/>
    <w:rsid w:val="00421FFB"/>
    <w:rsid w:val="00422066"/>
    <w:rsid w:val="00422070"/>
    <w:rsid w:val="00422074"/>
    <w:rsid w:val="0042207C"/>
    <w:rsid w:val="00422133"/>
    <w:rsid w:val="00422162"/>
    <w:rsid w:val="00422172"/>
    <w:rsid w:val="00422178"/>
    <w:rsid w:val="004221D3"/>
    <w:rsid w:val="004221E2"/>
    <w:rsid w:val="0042221C"/>
    <w:rsid w:val="00422268"/>
    <w:rsid w:val="004222D3"/>
    <w:rsid w:val="004222F2"/>
    <w:rsid w:val="00422307"/>
    <w:rsid w:val="0042233B"/>
    <w:rsid w:val="0042234C"/>
    <w:rsid w:val="0042238C"/>
    <w:rsid w:val="004223B3"/>
    <w:rsid w:val="004223D1"/>
    <w:rsid w:val="00422460"/>
    <w:rsid w:val="00422462"/>
    <w:rsid w:val="00422500"/>
    <w:rsid w:val="0042261D"/>
    <w:rsid w:val="00422677"/>
    <w:rsid w:val="0042267F"/>
    <w:rsid w:val="004226E3"/>
    <w:rsid w:val="00422705"/>
    <w:rsid w:val="00422746"/>
    <w:rsid w:val="0042276D"/>
    <w:rsid w:val="004227E4"/>
    <w:rsid w:val="0042281B"/>
    <w:rsid w:val="00422868"/>
    <w:rsid w:val="004228DA"/>
    <w:rsid w:val="004228E4"/>
    <w:rsid w:val="00422913"/>
    <w:rsid w:val="0042292A"/>
    <w:rsid w:val="00422979"/>
    <w:rsid w:val="0042297F"/>
    <w:rsid w:val="00422981"/>
    <w:rsid w:val="0042298B"/>
    <w:rsid w:val="0042299F"/>
    <w:rsid w:val="004229BD"/>
    <w:rsid w:val="00422A6B"/>
    <w:rsid w:val="00422AAF"/>
    <w:rsid w:val="00422B0F"/>
    <w:rsid w:val="00422B1F"/>
    <w:rsid w:val="00422BD1"/>
    <w:rsid w:val="00422BE4"/>
    <w:rsid w:val="00422C0A"/>
    <w:rsid w:val="00422C5A"/>
    <w:rsid w:val="00422C96"/>
    <w:rsid w:val="00422CB0"/>
    <w:rsid w:val="00422CEF"/>
    <w:rsid w:val="00422D5D"/>
    <w:rsid w:val="00422D72"/>
    <w:rsid w:val="00422DF6"/>
    <w:rsid w:val="00422E01"/>
    <w:rsid w:val="00422E26"/>
    <w:rsid w:val="00422E2D"/>
    <w:rsid w:val="00422E88"/>
    <w:rsid w:val="00422EAF"/>
    <w:rsid w:val="00422EB4"/>
    <w:rsid w:val="00422F3F"/>
    <w:rsid w:val="00422F6A"/>
    <w:rsid w:val="0042310A"/>
    <w:rsid w:val="00423167"/>
    <w:rsid w:val="004231E9"/>
    <w:rsid w:val="0042322B"/>
    <w:rsid w:val="00423236"/>
    <w:rsid w:val="00423262"/>
    <w:rsid w:val="00423298"/>
    <w:rsid w:val="004232C4"/>
    <w:rsid w:val="004232E1"/>
    <w:rsid w:val="004232FB"/>
    <w:rsid w:val="00423347"/>
    <w:rsid w:val="0042334B"/>
    <w:rsid w:val="004233B9"/>
    <w:rsid w:val="00423453"/>
    <w:rsid w:val="0042347B"/>
    <w:rsid w:val="004234BE"/>
    <w:rsid w:val="0042351E"/>
    <w:rsid w:val="00423526"/>
    <w:rsid w:val="00423571"/>
    <w:rsid w:val="0042357A"/>
    <w:rsid w:val="004235A3"/>
    <w:rsid w:val="004235B1"/>
    <w:rsid w:val="0042365B"/>
    <w:rsid w:val="00423668"/>
    <w:rsid w:val="00423669"/>
    <w:rsid w:val="004236AD"/>
    <w:rsid w:val="00423719"/>
    <w:rsid w:val="00423725"/>
    <w:rsid w:val="0042379A"/>
    <w:rsid w:val="004237B4"/>
    <w:rsid w:val="0042382C"/>
    <w:rsid w:val="00423878"/>
    <w:rsid w:val="00423894"/>
    <w:rsid w:val="004238A4"/>
    <w:rsid w:val="004238CF"/>
    <w:rsid w:val="004238E9"/>
    <w:rsid w:val="004238F5"/>
    <w:rsid w:val="0042393D"/>
    <w:rsid w:val="00423944"/>
    <w:rsid w:val="00423946"/>
    <w:rsid w:val="00423949"/>
    <w:rsid w:val="00423966"/>
    <w:rsid w:val="004239B9"/>
    <w:rsid w:val="00423A1C"/>
    <w:rsid w:val="00423A46"/>
    <w:rsid w:val="00423AF9"/>
    <w:rsid w:val="00423B5E"/>
    <w:rsid w:val="00423B6D"/>
    <w:rsid w:val="00423B87"/>
    <w:rsid w:val="00423B92"/>
    <w:rsid w:val="00423BDE"/>
    <w:rsid w:val="00423BF3"/>
    <w:rsid w:val="00423C0B"/>
    <w:rsid w:val="00423C1A"/>
    <w:rsid w:val="00423C6B"/>
    <w:rsid w:val="00423C95"/>
    <w:rsid w:val="00423CB2"/>
    <w:rsid w:val="00423CC5"/>
    <w:rsid w:val="00423CE5"/>
    <w:rsid w:val="00423DC3"/>
    <w:rsid w:val="00423DF8"/>
    <w:rsid w:val="00423E1D"/>
    <w:rsid w:val="00423E59"/>
    <w:rsid w:val="00423EB7"/>
    <w:rsid w:val="00423F09"/>
    <w:rsid w:val="00423F58"/>
    <w:rsid w:val="00423FF5"/>
    <w:rsid w:val="0042400B"/>
    <w:rsid w:val="0042404C"/>
    <w:rsid w:val="00424118"/>
    <w:rsid w:val="00424152"/>
    <w:rsid w:val="004241DD"/>
    <w:rsid w:val="004241DF"/>
    <w:rsid w:val="004241E4"/>
    <w:rsid w:val="004241ED"/>
    <w:rsid w:val="004241F1"/>
    <w:rsid w:val="004241FD"/>
    <w:rsid w:val="00424227"/>
    <w:rsid w:val="0042422C"/>
    <w:rsid w:val="0042424D"/>
    <w:rsid w:val="004242A5"/>
    <w:rsid w:val="004242B7"/>
    <w:rsid w:val="004242F0"/>
    <w:rsid w:val="004242F3"/>
    <w:rsid w:val="0042434C"/>
    <w:rsid w:val="00424360"/>
    <w:rsid w:val="004243A9"/>
    <w:rsid w:val="004243E1"/>
    <w:rsid w:val="004243EF"/>
    <w:rsid w:val="0042440E"/>
    <w:rsid w:val="004244BB"/>
    <w:rsid w:val="00424560"/>
    <w:rsid w:val="00424576"/>
    <w:rsid w:val="00424593"/>
    <w:rsid w:val="0042459C"/>
    <w:rsid w:val="004245D1"/>
    <w:rsid w:val="004245F4"/>
    <w:rsid w:val="00424601"/>
    <w:rsid w:val="0042460D"/>
    <w:rsid w:val="00424653"/>
    <w:rsid w:val="00424664"/>
    <w:rsid w:val="00424674"/>
    <w:rsid w:val="004246AA"/>
    <w:rsid w:val="004246B1"/>
    <w:rsid w:val="004246CF"/>
    <w:rsid w:val="004246D6"/>
    <w:rsid w:val="004246DB"/>
    <w:rsid w:val="00424728"/>
    <w:rsid w:val="0042478F"/>
    <w:rsid w:val="004247C4"/>
    <w:rsid w:val="004247C7"/>
    <w:rsid w:val="00424865"/>
    <w:rsid w:val="004248A4"/>
    <w:rsid w:val="004248EF"/>
    <w:rsid w:val="00424922"/>
    <w:rsid w:val="004249AB"/>
    <w:rsid w:val="004249AC"/>
    <w:rsid w:val="004249B3"/>
    <w:rsid w:val="004249CC"/>
    <w:rsid w:val="00424A37"/>
    <w:rsid w:val="00424A40"/>
    <w:rsid w:val="00424ABA"/>
    <w:rsid w:val="00424ADA"/>
    <w:rsid w:val="00424AF6"/>
    <w:rsid w:val="00424B28"/>
    <w:rsid w:val="00424B3A"/>
    <w:rsid w:val="00424B60"/>
    <w:rsid w:val="00424B6A"/>
    <w:rsid w:val="00424B8E"/>
    <w:rsid w:val="00424BEF"/>
    <w:rsid w:val="00424BF9"/>
    <w:rsid w:val="00424C05"/>
    <w:rsid w:val="00424C21"/>
    <w:rsid w:val="00424C46"/>
    <w:rsid w:val="00424C67"/>
    <w:rsid w:val="00424CC1"/>
    <w:rsid w:val="00424CD8"/>
    <w:rsid w:val="00424CE5"/>
    <w:rsid w:val="00424CF0"/>
    <w:rsid w:val="00424D1A"/>
    <w:rsid w:val="00424D24"/>
    <w:rsid w:val="00424D49"/>
    <w:rsid w:val="00424D4B"/>
    <w:rsid w:val="00424D8F"/>
    <w:rsid w:val="00424D98"/>
    <w:rsid w:val="00424DB4"/>
    <w:rsid w:val="00424DD1"/>
    <w:rsid w:val="00424E01"/>
    <w:rsid w:val="00424E11"/>
    <w:rsid w:val="00424E7D"/>
    <w:rsid w:val="00424E7E"/>
    <w:rsid w:val="00424EBD"/>
    <w:rsid w:val="00424ECB"/>
    <w:rsid w:val="00424EE3"/>
    <w:rsid w:val="00424EFD"/>
    <w:rsid w:val="00424F26"/>
    <w:rsid w:val="00424F36"/>
    <w:rsid w:val="00424FD0"/>
    <w:rsid w:val="00424FD2"/>
    <w:rsid w:val="00425024"/>
    <w:rsid w:val="0042502E"/>
    <w:rsid w:val="00425048"/>
    <w:rsid w:val="0042504A"/>
    <w:rsid w:val="004250C5"/>
    <w:rsid w:val="004250EA"/>
    <w:rsid w:val="0042518A"/>
    <w:rsid w:val="004251C3"/>
    <w:rsid w:val="00425352"/>
    <w:rsid w:val="004253A9"/>
    <w:rsid w:val="00425424"/>
    <w:rsid w:val="004254CE"/>
    <w:rsid w:val="004254D7"/>
    <w:rsid w:val="00425513"/>
    <w:rsid w:val="00425597"/>
    <w:rsid w:val="004255B0"/>
    <w:rsid w:val="00425607"/>
    <w:rsid w:val="0042563A"/>
    <w:rsid w:val="0042566F"/>
    <w:rsid w:val="00425684"/>
    <w:rsid w:val="00425686"/>
    <w:rsid w:val="00425687"/>
    <w:rsid w:val="0042569E"/>
    <w:rsid w:val="004256B3"/>
    <w:rsid w:val="004256D3"/>
    <w:rsid w:val="00425788"/>
    <w:rsid w:val="004257C6"/>
    <w:rsid w:val="004257CE"/>
    <w:rsid w:val="004257F4"/>
    <w:rsid w:val="0042581A"/>
    <w:rsid w:val="00425821"/>
    <w:rsid w:val="00425882"/>
    <w:rsid w:val="00425883"/>
    <w:rsid w:val="004258B9"/>
    <w:rsid w:val="00425932"/>
    <w:rsid w:val="0042593B"/>
    <w:rsid w:val="0042598A"/>
    <w:rsid w:val="004259A7"/>
    <w:rsid w:val="004259BE"/>
    <w:rsid w:val="004259DC"/>
    <w:rsid w:val="00425A43"/>
    <w:rsid w:val="00425AB7"/>
    <w:rsid w:val="00425B43"/>
    <w:rsid w:val="00425B4F"/>
    <w:rsid w:val="00425B85"/>
    <w:rsid w:val="00425B8B"/>
    <w:rsid w:val="00425BB3"/>
    <w:rsid w:val="00425C0F"/>
    <w:rsid w:val="00425C58"/>
    <w:rsid w:val="00425C6F"/>
    <w:rsid w:val="00425C78"/>
    <w:rsid w:val="00425CBC"/>
    <w:rsid w:val="00425D34"/>
    <w:rsid w:val="00425D3E"/>
    <w:rsid w:val="00425D62"/>
    <w:rsid w:val="00425D65"/>
    <w:rsid w:val="00425D76"/>
    <w:rsid w:val="00425DB6"/>
    <w:rsid w:val="00425DB9"/>
    <w:rsid w:val="00425DBA"/>
    <w:rsid w:val="00425DCF"/>
    <w:rsid w:val="00425E28"/>
    <w:rsid w:val="00425E34"/>
    <w:rsid w:val="00425E94"/>
    <w:rsid w:val="00425F00"/>
    <w:rsid w:val="00425F91"/>
    <w:rsid w:val="00426027"/>
    <w:rsid w:val="0042604D"/>
    <w:rsid w:val="00426109"/>
    <w:rsid w:val="0042615F"/>
    <w:rsid w:val="00426177"/>
    <w:rsid w:val="00426191"/>
    <w:rsid w:val="004261A9"/>
    <w:rsid w:val="004261CD"/>
    <w:rsid w:val="0042622B"/>
    <w:rsid w:val="0042626B"/>
    <w:rsid w:val="004262A3"/>
    <w:rsid w:val="004262AB"/>
    <w:rsid w:val="00426316"/>
    <w:rsid w:val="00426321"/>
    <w:rsid w:val="00426411"/>
    <w:rsid w:val="00426443"/>
    <w:rsid w:val="004264A2"/>
    <w:rsid w:val="00426502"/>
    <w:rsid w:val="00426518"/>
    <w:rsid w:val="0042654C"/>
    <w:rsid w:val="0042655C"/>
    <w:rsid w:val="00426576"/>
    <w:rsid w:val="00426577"/>
    <w:rsid w:val="004265A9"/>
    <w:rsid w:val="004265BB"/>
    <w:rsid w:val="004265E7"/>
    <w:rsid w:val="004265E9"/>
    <w:rsid w:val="004265F2"/>
    <w:rsid w:val="00426665"/>
    <w:rsid w:val="00426666"/>
    <w:rsid w:val="0042666E"/>
    <w:rsid w:val="00426679"/>
    <w:rsid w:val="00426690"/>
    <w:rsid w:val="004266A6"/>
    <w:rsid w:val="004266CC"/>
    <w:rsid w:val="004266D7"/>
    <w:rsid w:val="004266DF"/>
    <w:rsid w:val="004266F8"/>
    <w:rsid w:val="0042670B"/>
    <w:rsid w:val="00426763"/>
    <w:rsid w:val="00426772"/>
    <w:rsid w:val="0042677C"/>
    <w:rsid w:val="004267AD"/>
    <w:rsid w:val="004267D9"/>
    <w:rsid w:val="004267E9"/>
    <w:rsid w:val="004267FB"/>
    <w:rsid w:val="00426811"/>
    <w:rsid w:val="0042681E"/>
    <w:rsid w:val="00426872"/>
    <w:rsid w:val="00426908"/>
    <w:rsid w:val="00426938"/>
    <w:rsid w:val="00426939"/>
    <w:rsid w:val="004269A3"/>
    <w:rsid w:val="004269C0"/>
    <w:rsid w:val="004269D8"/>
    <w:rsid w:val="00426A1A"/>
    <w:rsid w:val="00426A43"/>
    <w:rsid w:val="00426A44"/>
    <w:rsid w:val="00426ACF"/>
    <w:rsid w:val="00426B1B"/>
    <w:rsid w:val="00426B47"/>
    <w:rsid w:val="00426B78"/>
    <w:rsid w:val="00426B8F"/>
    <w:rsid w:val="00426C20"/>
    <w:rsid w:val="00426C3E"/>
    <w:rsid w:val="00426C8C"/>
    <w:rsid w:val="00426CAB"/>
    <w:rsid w:val="00426CBF"/>
    <w:rsid w:val="00426CD9"/>
    <w:rsid w:val="00426CEB"/>
    <w:rsid w:val="00426D1E"/>
    <w:rsid w:val="00426D2A"/>
    <w:rsid w:val="00426DDF"/>
    <w:rsid w:val="00426E7D"/>
    <w:rsid w:val="00426E96"/>
    <w:rsid w:val="00426EA6"/>
    <w:rsid w:val="00426ED4"/>
    <w:rsid w:val="00426EE8"/>
    <w:rsid w:val="00426F23"/>
    <w:rsid w:val="00426F4B"/>
    <w:rsid w:val="00426F52"/>
    <w:rsid w:val="00426F64"/>
    <w:rsid w:val="00426FBD"/>
    <w:rsid w:val="00426FD6"/>
    <w:rsid w:val="00426FE9"/>
    <w:rsid w:val="0042706E"/>
    <w:rsid w:val="0042707D"/>
    <w:rsid w:val="00427082"/>
    <w:rsid w:val="004270A3"/>
    <w:rsid w:val="004270A8"/>
    <w:rsid w:val="00427137"/>
    <w:rsid w:val="00427176"/>
    <w:rsid w:val="0042717E"/>
    <w:rsid w:val="00427227"/>
    <w:rsid w:val="00427234"/>
    <w:rsid w:val="00427237"/>
    <w:rsid w:val="004272ED"/>
    <w:rsid w:val="00427326"/>
    <w:rsid w:val="00427330"/>
    <w:rsid w:val="0042738D"/>
    <w:rsid w:val="004273D9"/>
    <w:rsid w:val="0042746B"/>
    <w:rsid w:val="004274CE"/>
    <w:rsid w:val="00427534"/>
    <w:rsid w:val="004275C0"/>
    <w:rsid w:val="004275E4"/>
    <w:rsid w:val="004275E5"/>
    <w:rsid w:val="00427609"/>
    <w:rsid w:val="0042760D"/>
    <w:rsid w:val="00427662"/>
    <w:rsid w:val="004276A0"/>
    <w:rsid w:val="004276FE"/>
    <w:rsid w:val="00427708"/>
    <w:rsid w:val="00427723"/>
    <w:rsid w:val="00427749"/>
    <w:rsid w:val="00427770"/>
    <w:rsid w:val="00427783"/>
    <w:rsid w:val="004277AF"/>
    <w:rsid w:val="004277CB"/>
    <w:rsid w:val="004277EF"/>
    <w:rsid w:val="00427826"/>
    <w:rsid w:val="0042788A"/>
    <w:rsid w:val="004278D7"/>
    <w:rsid w:val="004278E4"/>
    <w:rsid w:val="0042795A"/>
    <w:rsid w:val="0042795D"/>
    <w:rsid w:val="00427962"/>
    <w:rsid w:val="0042799D"/>
    <w:rsid w:val="004279A0"/>
    <w:rsid w:val="004279B2"/>
    <w:rsid w:val="004279FD"/>
    <w:rsid w:val="00427A37"/>
    <w:rsid w:val="00427A6C"/>
    <w:rsid w:val="00427AE1"/>
    <w:rsid w:val="00427AE3"/>
    <w:rsid w:val="00427B09"/>
    <w:rsid w:val="00427B27"/>
    <w:rsid w:val="00427B6C"/>
    <w:rsid w:val="00427B6F"/>
    <w:rsid w:val="00427BE2"/>
    <w:rsid w:val="00427BF9"/>
    <w:rsid w:val="00427C14"/>
    <w:rsid w:val="00427C5F"/>
    <w:rsid w:val="00427C74"/>
    <w:rsid w:val="00427CCC"/>
    <w:rsid w:val="00427D1E"/>
    <w:rsid w:val="00427DA1"/>
    <w:rsid w:val="00427DE6"/>
    <w:rsid w:val="00427E06"/>
    <w:rsid w:val="00427E2D"/>
    <w:rsid w:val="00427E48"/>
    <w:rsid w:val="00427E8E"/>
    <w:rsid w:val="00427ED8"/>
    <w:rsid w:val="00427EEF"/>
    <w:rsid w:val="00427F20"/>
    <w:rsid w:val="00427F7A"/>
    <w:rsid w:val="00427F96"/>
    <w:rsid w:val="00427FCB"/>
    <w:rsid w:val="00427FF4"/>
    <w:rsid w:val="00430000"/>
    <w:rsid w:val="0043001D"/>
    <w:rsid w:val="00430035"/>
    <w:rsid w:val="00430081"/>
    <w:rsid w:val="00430095"/>
    <w:rsid w:val="004300A1"/>
    <w:rsid w:val="00430159"/>
    <w:rsid w:val="0043015B"/>
    <w:rsid w:val="0043018B"/>
    <w:rsid w:val="00430195"/>
    <w:rsid w:val="004301C7"/>
    <w:rsid w:val="004301F0"/>
    <w:rsid w:val="00430223"/>
    <w:rsid w:val="00430295"/>
    <w:rsid w:val="0043029F"/>
    <w:rsid w:val="004302BA"/>
    <w:rsid w:val="004302E1"/>
    <w:rsid w:val="004302F3"/>
    <w:rsid w:val="00430347"/>
    <w:rsid w:val="00430359"/>
    <w:rsid w:val="0043035F"/>
    <w:rsid w:val="00430369"/>
    <w:rsid w:val="0043037A"/>
    <w:rsid w:val="00430389"/>
    <w:rsid w:val="004303AA"/>
    <w:rsid w:val="0043045B"/>
    <w:rsid w:val="00430472"/>
    <w:rsid w:val="004304C5"/>
    <w:rsid w:val="0043051A"/>
    <w:rsid w:val="0043051B"/>
    <w:rsid w:val="00430549"/>
    <w:rsid w:val="0043059F"/>
    <w:rsid w:val="0043064B"/>
    <w:rsid w:val="0043068F"/>
    <w:rsid w:val="00430699"/>
    <w:rsid w:val="004306E5"/>
    <w:rsid w:val="004306EA"/>
    <w:rsid w:val="004306F4"/>
    <w:rsid w:val="004306F6"/>
    <w:rsid w:val="00430706"/>
    <w:rsid w:val="0043074C"/>
    <w:rsid w:val="00430754"/>
    <w:rsid w:val="004307A8"/>
    <w:rsid w:val="004307AC"/>
    <w:rsid w:val="004307F1"/>
    <w:rsid w:val="00430815"/>
    <w:rsid w:val="00430838"/>
    <w:rsid w:val="00430865"/>
    <w:rsid w:val="00430898"/>
    <w:rsid w:val="0043089B"/>
    <w:rsid w:val="004308A9"/>
    <w:rsid w:val="00430940"/>
    <w:rsid w:val="00430998"/>
    <w:rsid w:val="0043099E"/>
    <w:rsid w:val="004309BC"/>
    <w:rsid w:val="004309CC"/>
    <w:rsid w:val="004309FB"/>
    <w:rsid w:val="00430A07"/>
    <w:rsid w:val="00430A09"/>
    <w:rsid w:val="00430AA6"/>
    <w:rsid w:val="00430AC5"/>
    <w:rsid w:val="00430AF9"/>
    <w:rsid w:val="00430B0A"/>
    <w:rsid w:val="00430B21"/>
    <w:rsid w:val="00430B9E"/>
    <w:rsid w:val="00430BA3"/>
    <w:rsid w:val="00430BE2"/>
    <w:rsid w:val="00430C91"/>
    <w:rsid w:val="00430CBE"/>
    <w:rsid w:val="00430D02"/>
    <w:rsid w:val="00430D55"/>
    <w:rsid w:val="00430D8D"/>
    <w:rsid w:val="00430D9E"/>
    <w:rsid w:val="00430DA4"/>
    <w:rsid w:val="00430DB7"/>
    <w:rsid w:val="00430DCB"/>
    <w:rsid w:val="00430E09"/>
    <w:rsid w:val="00430E2C"/>
    <w:rsid w:val="00430E2F"/>
    <w:rsid w:val="00430E45"/>
    <w:rsid w:val="00430E4B"/>
    <w:rsid w:val="00430E6F"/>
    <w:rsid w:val="00430EA6"/>
    <w:rsid w:val="00430EF9"/>
    <w:rsid w:val="00430EFE"/>
    <w:rsid w:val="00430F3B"/>
    <w:rsid w:val="00430F95"/>
    <w:rsid w:val="00430FD8"/>
    <w:rsid w:val="00430FF2"/>
    <w:rsid w:val="00431032"/>
    <w:rsid w:val="00431044"/>
    <w:rsid w:val="0043105C"/>
    <w:rsid w:val="004310A0"/>
    <w:rsid w:val="004310AA"/>
    <w:rsid w:val="004310B6"/>
    <w:rsid w:val="00431163"/>
    <w:rsid w:val="00431165"/>
    <w:rsid w:val="00431182"/>
    <w:rsid w:val="004311A3"/>
    <w:rsid w:val="004311B1"/>
    <w:rsid w:val="004311D8"/>
    <w:rsid w:val="00431213"/>
    <w:rsid w:val="00431225"/>
    <w:rsid w:val="0043123F"/>
    <w:rsid w:val="0043127D"/>
    <w:rsid w:val="0043127F"/>
    <w:rsid w:val="0043128E"/>
    <w:rsid w:val="004312D3"/>
    <w:rsid w:val="004312DB"/>
    <w:rsid w:val="0043131D"/>
    <w:rsid w:val="00431339"/>
    <w:rsid w:val="00431345"/>
    <w:rsid w:val="00431377"/>
    <w:rsid w:val="0043137A"/>
    <w:rsid w:val="0043137E"/>
    <w:rsid w:val="004313C0"/>
    <w:rsid w:val="004313F3"/>
    <w:rsid w:val="0043145E"/>
    <w:rsid w:val="00431591"/>
    <w:rsid w:val="004315CC"/>
    <w:rsid w:val="004315E1"/>
    <w:rsid w:val="00431628"/>
    <w:rsid w:val="00431650"/>
    <w:rsid w:val="00431657"/>
    <w:rsid w:val="00431664"/>
    <w:rsid w:val="004316DD"/>
    <w:rsid w:val="00431700"/>
    <w:rsid w:val="00431752"/>
    <w:rsid w:val="00431759"/>
    <w:rsid w:val="00431804"/>
    <w:rsid w:val="00431834"/>
    <w:rsid w:val="0043183A"/>
    <w:rsid w:val="00431858"/>
    <w:rsid w:val="0043186C"/>
    <w:rsid w:val="0043187F"/>
    <w:rsid w:val="004318D3"/>
    <w:rsid w:val="004318E3"/>
    <w:rsid w:val="004318FA"/>
    <w:rsid w:val="00431912"/>
    <w:rsid w:val="00431925"/>
    <w:rsid w:val="00431A19"/>
    <w:rsid w:val="00431A27"/>
    <w:rsid w:val="00431A4A"/>
    <w:rsid w:val="00431A70"/>
    <w:rsid w:val="00431ABD"/>
    <w:rsid w:val="00431B87"/>
    <w:rsid w:val="00431BAA"/>
    <w:rsid w:val="00431BDB"/>
    <w:rsid w:val="00431BE2"/>
    <w:rsid w:val="00431C40"/>
    <w:rsid w:val="00431CB0"/>
    <w:rsid w:val="00431D19"/>
    <w:rsid w:val="00431D76"/>
    <w:rsid w:val="00431DC8"/>
    <w:rsid w:val="00431E65"/>
    <w:rsid w:val="00431E7B"/>
    <w:rsid w:val="00431F56"/>
    <w:rsid w:val="0043200A"/>
    <w:rsid w:val="00432011"/>
    <w:rsid w:val="0043201E"/>
    <w:rsid w:val="00432041"/>
    <w:rsid w:val="0043208E"/>
    <w:rsid w:val="0043209B"/>
    <w:rsid w:val="004320A4"/>
    <w:rsid w:val="004320FA"/>
    <w:rsid w:val="00432109"/>
    <w:rsid w:val="00432129"/>
    <w:rsid w:val="00432145"/>
    <w:rsid w:val="00432155"/>
    <w:rsid w:val="00432159"/>
    <w:rsid w:val="004321FA"/>
    <w:rsid w:val="00432203"/>
    <w:rsid w:val="0043223A"/>
    <w:rsid w:val="00432300"/>
    <w:rsid w:val="00432318"/>
    <w:rsid w:val="00432380"/>
    <w:rsid w:val="0043239E"/>
    <w:rsid w:val="00432429"/>
    <w:rsid w:val="0043244D"/>
    <w:rsid w:val="0043249A"/>
    <w:rsid w:val="004324B6"/>
    <w:rsid w:val="004324D7"/>
    <w:rsid w:val="00432525"/>
    <w:rsid w:val="00432547"/>
    <w:rsid w:val="00432551"/>
    <w:rsid w:val="004325A4"/>
    <w:rsid w:val="004325B7"/>
    <w:rsid w:val="004325C6"/>
    <w:rsid w:val="00432625"/>
    <w:rsid w:val="004326BE"/>
    <w:rsid w:val="004326E8"/>
    <w:rsid w:val="004326EF"/>
    <w:rsid w:val="004327A6"/>
    <w:rsid w:val="0043280E"/>
    <w:rsid w:val="004328AE"/>
    <w:rsid w:val="00432932"/>
    <w:rsid w:val="0043296D"/>
    <w:rsid w:val="0043298F"/>
    <w:rsid w:val="00432999"/>
    <w:rsid w:val="004329BC"/>
    <w:rsid w:val="00432B41"/>
    <w:rsid w:val="00432B8A"/>
    <w:rsid w:val="00432B9E"/>
    <w:rsid w:val="00432C1A"/>
    <w:rsid w:val="00432C6E"/>
    <w:rsid w:val="00432CA2"/>
    <w:rsid w:val="00432CCB"/>
    <w:rsid w:val="00432CE4"/>
    <w:rsid w:val="00432D00"/>
    <w:rsid w:val="00432D18"/>
    <w:rsid w:val="00432D65"/>
    <w:rsid w:val="00432DDE"/>
    <w:rsid w:val="00432DF8"/>
    <w:rsid w:val="00432E10"/>
    <w:rsid w:val="00432E18"/>
    <w:rsid w:val="00432E47"/>
    <w:rsid w:val="00432EBE"/>
    <w:rsid w:val="00432EC0"/>
    <w:rsid w:val="00432EC3"/>
    <w:rsid w:val="00432F0E"/>
    <w:rsid w:val="00432F22"/>
    <w:rsid w:val="00432F2C"/>
    <w:rsid w:val="00432F43"/>
    <w:rsid w:val="00432F53"/>
    <w:rsid w:val="00432FAD"/>
    <w:rsid w:val="00432FDF"/>
    <w:rsid w:val="00433002"/>
    <w:rsid w:val="00433016"/>
    <w:rsid w:val="00433026"/>
    <w:rsid w:val="0043308E"/>
    <w:rsid w:val="004330E1"/>
    <w:rsid w:val="004330E6"/>
    <w:rsid w:val="00433106"/>
    <w:rsid w:val="0043311C"/>
    <w:rsid w:val="00433133"/>
    <w:rsid w:val="004331D0"/>
    <w:rsid w:val="00433209"/>
    <w:rsid w:val="00433233"/>
    <w:rsid w:val="00433240"/>
    <w:rsid w:val="00433241"/>
    <w:rsid w:val="00433251"/>
    <w:rsid w:val="0043326B"/>
    <w:rsid w:val="00433293"/>
    <w:rsid w:val="004332AE"/>
    <w:rsid w:val="004332D4"/>
    <w:rsid w:val="004332FE"/>
    <w:rsid w:val="00433319"/>
    <w:rsid w:val="00433351"/>
    <w:rsid w:val="00433361"/>
    <w:rsid w:val="00433362"/>
    <w:rsid w:val="00433383"/>
    <w:rsid w:val="00433384"/>
    <w:rsid w:val="004333BB"/>
    <w:rsid w:val="004333F8"/>
    <w:rsid w:val="004335C2"/>
    <w:rsid w:val="004335C3"/>
    <w:rsid w:val="0043362B"/>
    <w:rsid w:val="00433645"/>
    <w:rsid w:val="00433688"/>
    <w:rsid w:val="00433694"/>
    <w:rsid w:val="004336E0"/>
    <w:rsid w:val="004336F0"/>
    <w:rsid w:val="00433728"/>
    <w:rsid w:val="0043372B"/>
    <w:rsid w:val="00433744"/>
    <w:rsid w:val="0043376F"/>
    <w:rsid w:val="00433773"/>
    <w:rsid w:val="00433777"/>
    <w:rsid w:val="0043380C"/>
    <w:rsid w:val="00433845"/>
    <w:rsid w:val="0043387F"/>
    <w:rsid w:val="0043388E"/>
    <w:rsid w:val="00433897"/>
    <w:rsid w:val="00433904"/>
    <w:rsid w:val="00433953"/>
    <w:rsid w:val="0043395B"/>
    <w:rsid w:val="0043396D"/>
    <w:rsid w:val="004339C9"/>
    <w:rsid w:val="00433A4B"/>
    <w:rsid w:val="00433A89"/>
    <w:rsid w:val="00433AAA"/>
    <w:rsid w:val="00433AC3"/>
    <w:rsid w:val="00433B26"/>
    <w:rsid w:val="00433B58"/>
    <w:rsid w:val="00433B66"/>
    <w:rsid w:val="00433BB7"/>
    <w:rsid w:val="00433BCB"/>
    <w:rsid w:val="00433C56"/>
    <w:rsid w:val="00433C63"/>
    <w:rsid w:val="00433C7C"/>
    <w:rsid w:val="00433C8B"/>
    <w:rsid w:val="00433C8F"/>
    <w:rsid w:val="00433CE9"/>
    <w:rsid w:val="00433D15"/>
    <w:rsid w:val="00433D74"/>
    <w:rsid w:val="00433D84"/>
    <w:rsid w:val="00433DA6"/>
    <w:rsid w:val="00433E36"/>
    <w:rsid w:val="00433E5A"/>
    <w:rsid w:val="00433EB9"/>
    <w:rsid w:val="00433EBE"/>
    <w:rsid w:val="00433F6C"/>
    <w:rsid w:val="00433FA0"/>
    <w:rsid w:val="0043402D"/>
    <w:rsid w:val="004340FE"/>
    <w:rsid w:val="004340FF"/>
    <w:rsid w:val="00434104"/>
    <w:rsid w:val="00434149"/>
    <w:rsid w:val="0043414A"/>
    <w:rsid w:val="004341DB"/>
    <w:rsid w:val="004341E9"/>
    <w:rsid w:val="00434270"/>
    <w:rsid w:val="004342C1"/>
    <w:rsid w:val="0043435B"/>
    <w:rsid w:val="00434385"/>
    <w:rsid w:val="0043439A"/>
    <w:rsid w:val="004343EF"/>
    <w:rsid w:val="00434426"/>
    <w:rsid w:val="0043448F"/>
    <w:rsid w:val="004344A6"/>
    <w:rsid w:val="004344BB"/>
    <w:rsid w:val="004344C3"/>
    <w:rsid w:val="004344DF"/>
    <w:rsid w:val="004344E8"/>
    <w:rsid w:val="00434500"/>
    <w:rsid w:val="00434503"/>
    <w:rsid w:val="00434543"/>
    <w:rsid w:val="00434563"/>
    <w:rsid w:val="00434565"/>
    <w:rsid w:val="00434593"/>
    <w:rsid w:val="004345DE"/>
    <w:rsid w:val="00434669"/>
    <w:rsid w:val="0043469F"/>
    <w:rsid w:val="004346A3"/>
    <w:rsid w:val="00434719"/>
    <w:rsid w:val="00434784"/>
    <w:rsid w:val="00434788"/>
    <w:rsid w:val="004347B0"/>
    <w:rsid w:val="004347B4"/>
    <w:rsid w:val="004347BF"/>
    <w:rsid w:val="004347DB"/>
    <w:rsid w:val="00434810"/>
    <w:rsid w:val="0043482A"/>
    <w:rsid w:val="00434839"/>
    <w:rsid w:val="004348A2"/>
    <w:rsid w:val="004348C2"/>
    <w:rsid w:val="004348C7"/>
    <w:rsid w:val="004348CB"/>
    <w:rsid w:val="00434924"/>
    <w:rsid w:val="0043494A"/>
    <w:rsid w:val="004349A0"/>
    <w:rsid w:val="004349F0"/>
    <w:rsid w:val="004349FA"/>
    <w:rsid w:val="00434A02"/>
    <w:rsid w:val="00434A50"/>
    <w:rsid w:val="00434A77"/>
    <w:rsid w:val="00434A85"/>
    <w:rsid w:val="00434A87"/>
    <w:rsid w:val="00434A94"/>
    <w:rsid w:val="00434AD9"/>
    <w:rsid w:val="00434ADB"/>
    <w:rsid w:val="00434AF1"/>
    <w:rsid w:val="00434B71"/>
    <w:rsid w:val="00434BB9"/>
    <w:rsid w:val="00434BE8"/>
    <w:rsid w:val="00434BF1"/>
    <w:rsid w:val="00434C1F"/>
    <w:rsid w:val="00434C31"/>
    <w:rsid w:val="00434C3E"/>
    <w:rsid w:val="00434C48"/>
    <w:rsid w:val="00434C66"/>
    <w:rsid w:val="00434C96"/>
    <w:rsid w:val="00434CC9"/>
    <w:rsid w:val="00434D5D"/>
    <w:rsid w:val="00434DA6"/>
    <w:rsid w:val="00434DCB"/>
    <w:rsid w:val="00434DDB"/>
    <w:rsid w:val="00434DEB"/>
    <w:rsid w:val="00434E1D"/>
    <w:rsid w:val="00434E5D"/>
    <w:rsid w:val="00434E82"/>
    <w:rsid w:val="00434EC2"/>
    <w:rsid w:val="00434F1E"/>
    <w:rsid w:val="00434F5D"/>
    <w:rsid w:val="00434FAD"/>
    <w:rsid w:val="00434FC5"/>
    <w:rsid w:val="0043503F"/>
    <w:rsid w:val="00435079"/>
    <w:rsid w:val="004350B4"/>
    <w:rsid w:val="004350EF"/>
    <w:rsid w:val="00435107"/>
    <w:rsid w:val="0043510E"/>
    <w:rsid w:val="00435112"/>
    <w:rsid w:val="00435116"/>
    <w:rsid w:val="0043511A"/>
    <w:rsid w:val="00435129"/>
    <w:rsid w:val="00435151"/>
    <w:rsid w:val="004351D3"/>
    <w:rsid w:val="004351FF"/>
    <w:rsid w:val="00435209"/>
    <w:rsid w:val="00435226"/>
    <w:rsid w:val="0043522C"/>
    <w:rsid w:val="00435271"/>
    <w:rsid w:val="00435273"/>
    <w:rsid w:val="0043527A"/>
    <w:rsid w:val="0043531C"/>
    <w:rsid w:val="00435323"/>
    <w:rsid w:val="004353B4"/>
    <w:rsid w:val="004353F5"/>
    <w:rsid w:val="00435406"/>
    <w:rsid w:val="00435468"/>
    <w:rsid w:val="0043550E"/>
    <w:rsid w:val="0043550F"/>
    <w:rsid w:val="00435533"/>
    <w:rsid w:val="00435544"/>
    <w:rsid w:val="00435550"/>
    <w:rsid w:val="004355EF"/>
    <w:rsid w:val="0043564B"/>
    <w:rsid w:val="00435652"/>
    <w:rsid w:val="00435698"/>
    <w:rsid w:val="004356A7"/>
    <w:rsid w:val="004356B9"/>
    <w:rsid w:val="004356BA"/>
    <w:rsid w:val="004356F9"/>
    <w:rsid w:val="00435709"/>
    <w:rsid w:val="004357F2"/>
    <w:rsid w:val="00435894"/>
    <w:rsid w:val="00435896"/>
    <w:rsid w:val="004358BD"/>
    <w:rsid w:val="0043591F"/>
    <w:rsid w:val="00435987"/>
    <w:rsid w:val="00435A0E"/>
    <w:rsid w:val="00435A5E"/>
    <w:rsid w:val="00435A60"/>
    <w:rsid w:val="00435B0B"/>
    <w:rsid w:val="00435B81"/>
    <w:rsid w:val="00435B86"/>
    <w:rsid w:val="00435C25"/>
    <w:rsid w:val="00435C3A"/>
    <w:rsid w:val="00435C56"/>
    <w:rsid w:val="00435C89"/>
    <w:rsid w:val="00435C95"/>
    <w:rsid w:val="00435CB0"/>
    <w:rsid w:val="00435CEF"/>
    <w:rsid w:val="00435DAD"/>
    <w:rsid w:val="00435E06"/>
    <w:rsid w:val="00435E3C"/>
    <w:rsid w:val="00435EA7"/>
    <w:rsid w:val="00435EDC"/>
    <w:rsid w:val="00435EE9"/>
    <w:rsid w:val="00435F36"/>
    <w:rsid w:val="00435F6B"/>
    <w:rsid w:val="00435F6D"/>
    <w:rsid w:val="00435FE4"/>
    <w:rsid w:val="00436013"/>
    <w:rsid w:val="00436057"/>
    <w:rsid w:val="0043605D"/>
    <w:rsid w:val="0043606A"/>
    <w:rsid w:val="00436077"/>
    <w:rsid w:val="00436113"/>
    <w:rsid w:val="00436179"/>
    <w:rsid w:val="0043618B"/>
    <w:rsid w:val="004361C8"/>
    <w:rsid w:val="004361DB"/>
    <w:rsid w:val="004361F7"/>
    <w:rsid w:val="00436253"/>
    <w:rsid w:val="004362B7"/>
    <w:rsid w:val="004362D0"/>
    <w:rsid w:val="00436316"/>
    <w:rsid w:val="00436334"/>
    <w:rsid w:val="00436348"/>
    <w:rsid w:val="0043637E"/>
    <w:rsid w:val="00436382"/>
    <w:rsid w:val="00436406"/>
    <w:rsid w:val="0043645C"/>
    <w:rsid w:val="00436476"/>
    <w:rsid w:val="004364B6"/>
    <w:rsid w:val="00436502"/>
    <w:rsid w:val="004365A2"/>
    <w:rsid w:val="004365BC"/>
    <w:rsid w:val="004365E8"/>
    <w:rsid w:val="0043661E"/>
    <w:rsid w:val="00436637"/>
    <w:rsid w:val="00436693"/>
    <w:rsid w:val="00436706"/>
    <w:rsid w:val="00436714"/>
    <w:rsid w:val="0043671C"/>
    <w:rsid w:val="00436736"/>
    <w:rsid w:val="0043673C"/>
    <w:rsid w:val="00436791"/>
    <w:rsid w:val="004367B1"/>
    <w:rsid w:val="004367BB"/>
    <w:rsid w:val="00436834"/>
    <w:rsid w:val="00436885"/>
    <w:rsid w:val="0043689A"/>
    <w:rsid w:val="004368B3"/>
    <w:rsid w:val="0043692F"/>
    <w:rsid w:val="00436950"/>
    <w:rsid w:val="0043695A"/>
    <w:rsid w:val="00436989"/>
    <w:rsid w:val="00436A49"/>
    <w:rsid w:val="00436A81"/>
    <w:rsid w:val="00436A8E"/>
    <w:rsid w:val="00436B0E"/>
    <w:rsid w:val="00436B2B"/>
    <w:rsid w:val="00436B2D"/>
    <w:rsid w:val="00436C39"/>
    <w:rsid w:val="00436C4E"/>
    <w:rsid w:val="00436C61"/>
    <w:rsid w:val="00436CB1"/>
    <w:rsid w:val="00436D4F"/>
    <w:rsid w:val="00436D96"/>
    <w:rsid w:val="00436DA1"/>
    <w:rsid w:val="00436DB9"/>
    <w:rsid w:val="00436E0D"/>
    <w:rsid w:val="00436E0F"/>
    <w:rsid w:val="00436E12"/>
    <w:rsid w:val="00436E74"/>
    <w:rsid w:val="00436EBC"/>
    <w:rsid w:val="00436F04"/>
    <w:rsid w:val="00436F4E"/>
    <w:rsid w:val="00436F9C"/>
    <w:rsid w:val="00436FC3"/>
    <w:rsid w:val="00437013"/>
    <w:rsid w:val="00437043"/>
    <w:rsid w:val="004370D4"/>
    <w:rsid w:val="0043710E"/>
    <w:rsid w:val="0043711B"/>
    <w:rsid w:val="0043718B"/>
    <w:rsid w:val="00437200"/>
    <w:rsid w:val="00437208"/>
    <w:rsid w:val="00437219"/>
    <w:rsid w:val="0043723D"/>
    <w:rsid w:val="00437249"/>
    <w:rsid w:val="004372BA"/>
    <w:rsid w:val="004372BB"/>
    <w:rsid w:val="00437311"/>
    <w:rsid w:val="00437336"/>
    <w:rsid w:val="00437380"/>
    <w:rsid w:val="00437388"/>
    <w:rsid w:val="004373BD"/>
    <w:rsid w:val="0043745F"/>
    <w:rsid w:val="00437461"/>
    <w:rsid w:val="0043746C"/>
    <w:rsid w:val="00437491"/>
    <w:rsid w:val="00437509"/>
    <w:rsid w:val="00437514"/>
    <w:rsid w:val="00437540"/>
    <w:rsid w:val="0043755D"/>
    <w:rsid w:val="00437616"/>
    <w:rsid w:val="00437644"/>
    <w:rsid w:val="0043767F"/>
    <w:rsid w:val="00437691"/>
    <w:rsid w:val="00437718"/>
    <w:rsid w:val="0043772B"/>
    <w:rsid w:val="00437754"/>
    <w:rsid w:val="0043779F"/>
    <w:rsid w:val="004377C3"/>
    <w:rsid w:val="004377F4"/>
    <w:rsid w:val="004377F9"/>
    <w:rsid w:val="0043784C"/>
    <w:rsid w:val="004378E3"/>
    <w:rsid w:val="004378F6"/>
    <w:rsid w:val="00437901"/>
    <w:rsid w:val="0043792D"/>
    <w:rsid w:val="00437977"/>
    <w:rsid w:val="00437996"/>
    <w:rsid w:val="004379A7"/>
    <w:rsid w:val="00437A16"/>
    <w:rsid w:val="00437AD5"/>
    <w:rsid w:val="00437AE3"/>
    <w:rsid w:val="00437B90"/>
    <w:rsid w:val="00437B97"/>
    <w:rsid w:val="00437BC6"/>
    <w:rsid w:val="00437C0F"/>
    <w:rsid w:val="00437C5C"/>
    <w:rsid w:val="00437C7A"/>
    <w:rsid w:val="00437C7E"/>
    <w:rsid w:val="00437C87"/>
    <w:rsid w:val="00437CC8"/>
    <w:rsid w:val="00437D1F"/>
    <w:rsid w:val="00437D63"/>
    <w:rsid w:val="00437DA7"/>
    <w:rsid w:val="00437E38"/>
    <w:rsid w:val="00437E83"/>
    <w:rsid w:val="00437EAA"/>
    <w:rsid w:val="00437F8A"/>
    <w:rsid w:val="00437F91"/>
    <w:rsid w:val="00437FAC"/>
    <w:rsid w:val="00437FE5"/>
    <w:rsid w:val="00440003"/>
    <w:rsid w:val="00440058"/>
    <w:rsid w:val="004400AD"/>
    <w:rsid w:val="004400FB"/>
    <w:rsid w:val="00440142"/>
    <w:rsid w:val="00440173"/>
    <w:rsid w:val="0044019E"/>
    <w:rsid w:val="0044020E"/>
    <w:rsid w:val="00440221"/>
    <w:rsid w:val="0044022A"/>
    <w:rsid w:val="00440244"/>
    <w:rsid w:val="00440248"/>
    <w:rsid w:val="004402CC"/>
    <w:rsid w:val="00440302"/>
    <w:rsid w:val="0044031A"/>
    <w:rsid w:val="00440320"/>
    <w:rsid w:val="00440333"/>
    <w:rsid w:val="00440382"/>
    <w:rsid w:val="004403E3"/>
    <w:rsid w:val="0044041A"/>
    <w:rsid w:val="00440438"/>
    <w:rsid w:val="0044047A"/>
    <w:rsid w:val="004404AB"/>
    <w:rsid w:val="004404E3"/>
    <w:rsid w:val="00440513"/>
    <w:rsid w:val="0044056D"/>
    <w:rsid w:val="00440582"/>
    <w:rsid w:val="004405BB"/>
    <w:rsid w:val="004405D1"/>
    <w:rsid w:val="004405D6"/>
    <w:rsid w:val="004405F7"/>
    <w:rsid w:val="0044060A"/>
    <w:rsid w:val="00440670"/>
    <w:rsid w:val="00440693"/>
    <w:rsid w:val="004406D1"/>
    <w:rsid w:val="00440708"/>
    <w:rsid w:val="00440711"/>
    <w:rsid w:val="0044076C"/>
    <w:rsid w:val="00440775"/>
    <w:rsid w:val="004407ED"/>
    <w:rsid w:val="004407F0"/>
    <w:rsid w:val="004407F7"/>
    <w:rsid w:val="00440801"/>
    <w:rsid w:val="00440818"/>
    <w:rsid w:val="0044082A"/>
    <w:rsid w:val="0044087A"/>
    <w:rsid w:val="00440881"/>
    <w:rsid w:val="004408A9"/>
    <w:rsid w:val="004408AE"/>
    <w:rsid w:val="004408BF"/>
    <w:rsid w:val="0044096F"/>
    <w:rsid w:val="004409B7"/>
    <w:rsid w:val="004409EA"/>
    <w:rsid w:val="00440A22"/>
    <w:rsid w:val="00440A71"/>
    <w:rsid w:val="00440A73"/>
    <w:rsid w:val="00440AD9"/>
    <w:rsid w:val="00440BB2"/>
    <w:rsid w:val="00440BD6"/>
    <w:rsid w:val="00440BE7"/>
    <w:rsid w:val="00440BE8"/>
    <w:rsid w:val="00440C1E"/>
    <w:rsid w:val="00440C25"/>
    <w:rsid w:val="00440C29"/>
    <w:rsid w:val="00440C2F"/>
    <w:rsid w:val="00440C37"/>
    <w:rsid w:val="00440C4E"/>
    <w:rsid w:val="00440C58"/>
    <w:rsid w:val="00440CCC"/>
    <w:rsid w:val="00440D0F"/>
    <w:rsid w:val="00440D25"/>
    <w:rsid w:val="00440D29"/>
    <w:rsid w:val="00440D6B"/>
    <w:rsid w:val="00440DEB"/>
    <w:rsid w:val="00440DED"/>
    <w:rsid w:val="00440E86"/>
    <w:rsid w:val="00440EDA"/>
    <w:rsid w:val="00440F6F"/>
    <w:rsid w:val="00440FF6"/>
    <w:rsid w:val="0044100A"/>
    <w:rsid w:val="00441081"/>
    <w:rsid w:val="004410BC"/>
    <w:rsid w:val="004410F7"/>
    <w:rsid w:val="0044113D"/>
    <w:rsid w:val="0044115C"/>
    <w:rsid w:val="0044119A"/>
    <w:rsid w:val="004411CE"/>
    <w:rsid w:val="00441224"/>
    <w:rsid w:val="00441244"/>
    <w:rsid w:val="00441255"/>
    <w:rsid w:val="00441257"/>
    <w:rsid w:val="00441299"/>
    <w:rsid w:val="0044129D"/>
    <w:rsid w:val="0044132B"/>
    <w:rsid w:val="00441332"/>
    <w:rsid w:val="00441368"/>
    <w:rsid w:val="004413AF"/>
    <w:rsid w:val="00441462"/>
    <w:rsid w:val="0044146D"/>
    <w:rsid w:val="0044147C"/>
    <w:rsid w:val="00441487"/>
    <w:rsid w:val="00441496"/>
    <w:rsid w:val="004414B7"/>
    <w:rsid w:val="004414B9"/>
    <w:rsid w:val="004414C7"/>
    <w:rsid w:val="0044153A"/>
    <w:rsid w:val="0044153E"/>
    <w:rsid w:val="00441656"/>
    <w:rsid w:val="004416A9"/>
    <w:rsid w:val="004416BA"/>
    <w:rsid w:val="00441765"/>
    <w:rsid w:val="0044176A"/>
    <w:rsid w:val="004417BD"/>
    <w:rsid w:val="004417BE"/>
    <w:rsid w:val="00441822"/>
    <w:rsid w:val="00441894"/>
    <w:rsid w:val="004418AD"/>
    <w:rsid w:val="004418BD"/>
    <w:rsid w:val="004418BE"/>
    <w:rsid w:val="004418C4"/>
    <w:rsid w:val="00441919"/>
    <w:rsid w:val="00441960"/>
    <w:rsid w:val="004419F6"/>
    <w:rsid w:val="00441A70"/>
    <w:rsid w:val="00441AC1"/>
    <w:rsid w:val="00441AE8"/>
    <w:rsid w:val="00441B5F"/>
    <w:rsid w:val="00441BBE"/>
    <w:rsid w:val="00441BDF"/>
    <w:rsid w:val="00441C38"/>
    <w:rsid w:val="00441C3D"/>
    <w:rsid w:val="00441C59"/>
    <w:rsid w:val="00441C87"/>
    <w:rsid w:val="00441CF0"/>
    <w:rsid w:val="00441D34"/>
    <w:rsid w:val="00441D98"/>
    <w:rsid w:val="00441DA4"/>
    <w:rsid w:val="00441DC5"/>
    <w:rsid w:val="00441E1A"/>
    <w:rsid w:val="00441E43"/>
    <w:rsid w:val="00441E63"/>
    <w:rsid w:val="00441E7E"/>
    <w:rsid w:val="00441E83"/>
    <w:rsid w:val="00441E86"/>
    <w:rsid w:val="00441E91"/>
    <w:rsid w:val="00441ED1"/>
    <w:rsid w:val="00441ED5"/>
    <w:rsid w:val="00441F76"/>
    <w:rsid w:val="00441FC6"/>
    <w:rsid w:val="00441FC8"/>
    <w:rsid w:val="00442006"/>
    <w:rsid w:val="0044202F"/>
    <w:rsid w:val="00442103"/>
    <w:rsid w:val="0044213F"/>
    <w:rsid w:val="00442178"/>
    <w:rsid w:val="00442184"/>
    <w:rsid w:val="00442243"/>
    <w:rsid w:val="00442254"/>
    <w:rsid w:val="0044225E"/>
    <w:rsid w:val="00442284"/>
    <w:rsid w:val="0044228F"/>
    <w:rsid w:val="004422BA"/>
    <w:rsid w:val="004422FC"/>
    <w:rsid w:val="00442307"/>
    <w:rsid w:val="00442312"/>
    <w:rsid w:val="0044235F"/>
    <w:rsid w:val="0044238F"/>
    <w:rsid w:val="00442395"/>
    <w:rsid w:val="004423E1"/>
    <w:rsid w:val="004423E6"/>
    <w:rsid w:val="00442490"/>
    <w:rsid w:val="004424E7"/>
    <w:rsid w:val="0044253D"/>
    <w:rsid w:val="0044257B"/>
    <w:rsid w:val="004425A7"/>
    <w:rsid w:val="004425AC"/>
    <w:rsid w:val="004425B3"/>
    <w:rsid w:val="004425D6"/>
    <w:rsid w:val="0044270C"/>
    <w:rsid w:val="0044271F"/>
    <w:rsid w:val="0044276A"/>
    <w:rsid w:val="00442791"/>
    <w:rsid w:val="004427D2"/>
    <w:rsid w:val="00442820"/>
    <w:rsid w:val="00442839"/>
    <w:rsid w:val="0044288E"/>
    <w:rsid w:val="004428A1"/>
    <w:rsid w:val="004428CF"/>
    <w:rsid w:val="0044298C"/>
    <w:rsid w:val="004429A0"/>
    <w:rsid w:val="004429C4"/>
    <w:rsid w:val="00442A55"/>
    <w:rsid w:val="00442AAF"/>
    <w:rsid w:val="00442AD7"/>
    <w:rsid w:val="00442B0A"/>
    <w:rsid w:val="00442B16"/>
    <w:rsid w:val="00442B46"/>
    <w:rsid w:val="00442B6B"/>
    <w:rsid w:val="00442B9B"/>
    <w:rsid w:val="00442BA8"/>
    <w:rsid w:val="00442C17"/>
    <w:rsid w:val="00442C66"/>
    <w:rsid w:val="00442D91"/>
    <w:rsid w:val="00442D9D"/>
    <w:rsid w:val="00442DAE"/>
    <w:rsid w:val="00442DE2"/>
    <w:rsid w:val="00442E99"/>
    <w:rsid w:val="00442ED3"/>
    <w:rsid w:val="00442EE3"/>
    <w:rsid w:val="00442F3F"/>
    <w:rsid w:val="00442F6F"/>
    <w:rsid w:val="00442F9D"/>
    <w:rsid w:val="00442FA1"/>
    <w:rsid w:val="00442FBB"/>
    <w:rsid w:val="0044300D"/>
    <w:rsid w:val="00443057"/>
    <w:rsid w:val="00443066"/>
    <w:rsid w:val="004430AB"/>
    <w:rsid w:val="00443172"/>
    <w:rsid w:val="00443191"/>
    <w:rsid w:val="004431AA"/>
    <w:rsid w:val="004431B0"/>
    <w:rsid w:val="004431C6"/>
    <w:rsid w:val="004431D3"/>
    <w:rsid w:val="00443259"/>
    <w:rsid w:val="00443352"/>
    <w:rsid w:val="00443353"/>
    <w:rsid w:val="00443363"/>
    <w:rsid w:val="00443371"/>
    <w:rsid w:val="00443375"/>
    <w:rsid w:val="004433AE"/>
    <w:rsid w:val="004433C1"/>
    <w:rsid w:val="004433C5"/>
    <w:rsid w:val="004433FB"/>
    <w:rsid w:val="00443403"/>
    <w:rsid w:val="00443412"/>
    <w:rsid w:val="0044341A"/>
    <w:rsid w:val="00443474"/>
    <w:rsid w:val="0044348E"/>
    <w:rsid w:val="00443562"/>
    <w:rsid w:val="0044368F"/>
    <w:rsid w:val="00443693"/>
    <w:rsid w:val="004436AA"/>
    <w:rsid w:val="004436B4"/>
    <w:rsid w:val="004436ED"/>
    <w:rsid w:val="004436FA"/>
    <w:rsid w:val="00443775"/>
    <w:rsid w:val="00443784"/>
    <w:rsid w:val="00443786"/>
    <w:rsid w:val="00443788"/>
    <w:rsid w:val="004437A9"/>
    <w:rsid w:val="0044383E"/>
    <w:rsid w:val="004438A6"/>
    <w:rsid w:val="004438DC"/>
    <w:rsid w:val="004438E2"/>
    <w:rsid w:val="00443928"/>
    <w:rsid w:val="0044393F"/>
    <w:rsid w:val="00443956"/>
    <w:rsid w:val="00443967"/>
    <w:rsid w:val="0044396B"/>
    <w:rsid w:val="0044396C"/>
    <w:rsid w:val="004439C5"/>
    <w:rsid w:val="00443A3F"/>
    <w:rsid w:val="00443ACA"/>
    <w:rsid w:val="00443ACC"/>
    <w:rsid w:val="00443AD7"/>
    <w:rsid w:val="00443AEB"/>
    <w:rsid w:val="00443B14"/>
    <w:rsid w:val="00443B26"/>
    <w:rsid w:val="00443B40"/>
    <w:rsid w:val="00443B43"/>
    <w:rsid w:val="00443B68"/>
    <w:rsid w:val="00443C37"/>
    <w:rsid w:val="00443C4D"/>
    <w:rsid w:val="00443C71"/>
    <w:rsid w:val="00443C9A"/>
    <w:rsid w:val="00443CCC"/>
    <w:rsid w:val="00443CE4"/>
    <w:rsid w:val="00443D0B"/>
    <w:rsid w:val="00443D13"/>
    <w:rsid w:val="00443D7B"/>
    <w:rsid w:val="00443DDC"/>
    <w:rsid w:val="00443DEC"/>
    <w:rsid w:val="00443E0F"/>
    <w:rsid w:val="00443EB5"/>
    <w:rsid w:val="00443F0D"/>
    <w:rsid w:val="00443FB5"/>
    <w:rsid w:val="0044405D"/>
    <w:rsid w:val="0044406D"/>
    <w:rsid w:val="0044407A"/>
    <w:rsid w:val="004440B6"/>
    <w:rsid w:val="00444171"/>
    <w:rsid w:val="004441EB"/>
    <w:rsid w:val="004441FF"/>
    <w:rsid w:val="00444205"/>
    <w:rsid w:val="00444227"/>
    <w:rsid w:val="00444254"/>
    <w:rsid w:val="004442A9"/>
    <w:rsid w:val="004442D8"/>
    <w:rsid w:val="004442FC"/>
    <w:rsid w:val="00444337"/>
    <w:rsid w:val="0044435D"/>
    <w:rsid w:val="00444374"/>
    <w:rsid w:val="004443A7"/>
    <w:rsid w:val="004443C7"/>
    <w:rsid w:val="004443EB"/>
    <w:rsid w:val="0044442B"/>
    <w:rsid w:val="00444499"/>
    <w:rsid w:val="004444C2"/>
    <w:rsid w:val="004444C6"/>
    <w:rsid w:val="00444512"/>
    <w:rsid w:val="00444534"/>
    <w:rsid w:val="0044453A"/>
    <w:rsid w:val="00444578"/>
    <w:rsid w:val="00444580"/>
    <w:rsid w:val="00444591"/>
    <w:rsid w:val="004445EC"/>
    <w:rsid w:val="0044461F"/>
    <w:rsid w:val="00444659"/>
    <w:rsid w:val="004446DE"/>
    <w:rsid w:val="00444705"/>
    <w:rsid w:val="00444744"/>
    <w:rsid w:val="0044474F"/>
    <w:rsid w:val="00444787"/>
    <w:rsid w:val="0044479B"/>
    <w:rsid w:val="004447DB"/>
    <w:rsid w:val="00444824"/>
    <w:rsid w:val="00444835"/>
    <w:rsid w:val="004448A0"/>
    <w:rsid w:val="004448CB"/>
    <w:rsid w:val="004448DF"/>
    <w:rsid w:val="0044490A"/>
    <w:rsid w:val="00444932"/>
    <w:rsid w:val="00444971"/>
    <w:rsid w:val="00444974"/>
    <w:rsid w:val="004449FB"/>
    <w:rsid w:val="00444A2B"/>
    <w:rsid w:val="00444A63"/>
    <w:rsid w:val="00444AEA"/>
    <w:rsid w:val="00444B06"/>
    <w:rsid w:val="00444B29"/>
    <w:rsid w:val="00444B61"/>
    <w:rsid w:val="00444B79"/>
    <w:rsid w:val="00444BB0"/>
    <w:rsid w:val="00444BB3"/>
    <w:rsid w:val="00444BDE"/>
    <w:rsid w:val="00444BE2"/>
    <w:rsid w:val="00444C15"/>
    <w:rsid w:val="00444C46"/>
    <w:rsid w:val="00444C9B"/>
    <w:rsid w:val="00444CB0"/>
    <w:rsid w:val="00444CBE"/>
    <w:rsid w:val="00444CDB"/>
    <w:rsid w:val="00444D07"/>
    <w:rsid w:val="00444D2E"/>
    <w:rsid w:val="00444D3C"/>
    <w:rsid w:val="00444D6F"/>
    <w:rsid w:val="00444DA3"/>
    <w:rsid w:val="00444E07"/>
    <w:rsid w:val="00444E4B"/>
    <w:rsid w:val="00444E8D"/>
    <w:rsid w:val="00444E92"/>
    <w:rsid w:val="00444EA3"/>
    <w:rsid w:val="00444ED7"/>
    <w:rsid w:val="00444EE2"/>
    <w:rsid w:val="00444F00"/>
    <w:rsid w:val="00444F1B"/>
    <w:rsid w:val="00444F3D"/>
    <w:rsid w:val="00444F93"/>
    <w:rsid w:val="00444FC2"/>
    <w:rsid w:val="00444FDD"/>
    <w:rsid w:val="00445054"/>
    <w:rsid w:val="00445066"/>
    <w:rsid w:val="0044509F"/>
    <w:rsid w:val="004450E0"/>
    <w:rsid w:val="004450E2"/>
    <w:rsid w:val="00445129"/>
    <w:rsid w:val="00445183"/>
    <w:rsid w:val="004451C2"/>
    <w:rsid w:val="004451D5"/>
    <w:rsid w:val="00445223"/>
    <w:rsid w:val="00445228"/>
    <w:rsid w:val="00445265"/>
    <w:rsid w:val="00445284"/>
    <w:rsid w:val="004452A4"/>
    <w:rsid w:val="004452B1"/>
    <w:rsid w:val="004452C2"/>
    <w:rsid w:val="004452C5"/>
    <w:rsid w:val="004452CF"/>
    <w:rsid w:val="00445301"/>
    <w:rsid w:val="00445345"/>
    <w:rsid w:val="00445365"/>
    <w:rsid w:val="00445368"/>
    <w:rsid w:val="0044539C"/>
    <w:rsid w:val="00445491"/>
    <w:rsid w:val="004454B2"/>
    <w:rsid w:val="004454C5"/>
    <w:rsid w:val="004454F4"/>
    <w:rsid w:val="0044551E"/>
    <w:rsid w:val="00445544"/>
    <w:rsid w:val="00445619"/>
    <w:rsid w:val="004456B7"/>
    <w:rsid w:val="00445707"/>
    <w:rsid w:val="00445719"/>
    <w:rsid w:val="00445729"/>
    <w:rsid w:val="00445737"/>
    <w:rsid w:val="0044573C"/>
    <w:rsid w:val="00445757"/>
    <w:rsid w:val="00445766"/>
    <w:rsid w:val="00445769"/>
    <w:rsid w:val="00445814"/>
    <w:rsid w:val="00445853"/>
    <w:rsid w:val="0044586B"/>
    <w:rsid w:val="0044589C"/>
    <w:rsid w:val="004458BD"/>
    <w:rsid w:val="004458E5"/>
    <w:rsid w:val="0044596C"/>
    <w:rsid w:val="00445998"/>
    <w:rsid w:val="00445A27"/>
    <w:rsid w:val="00445A33"/>
    <w:rsid w:val="00445A40"/>
    <w:rsid w:val="00445A55"/>
    <w:rsid w:val="00445B90"/>
    <w:rsid w:val="00445B96"/>
    <w:rsid w:val="00445BB4"/>
    <w:rsid w:val="00445BC2"/>
    <w:rsid w:val="00445BC6"/>
    <w:rsid w:val="00445BF5"/>
    <w:rsid w:val="00445BFE"/>
    <w:rsid w:val="00445C5E"/>
    <w:rsid w:val="00445D00"/>
    <w:rsid w:val="00445D0B"/>
    <w:rsid w:val="00445D0E"/>
    <w:rsid w:val="00445D2B"/>
    <w:rsid w:val="00445D2C"/>
    <w:rsid w:val="00445D40"/>
    <w:rsid w:val="00445D8F"/>
    <w:rsid w:val="00445D9A"/>
    <w:rsid w:val="00445E8F"/>
    <w:rsid w:val="00445EB7"/>
    <w:rsid w:val="00445EEA"/>
    <w:rsid w:val="00445F3D"/>
    <w:rsid w:val="00445F69"/>
    <w:rsid w:val="00445F88"/>
    <w:rsid w:val="00445F8C"/>
    <w:rsid w:val="00445FC7"/>
    <w:rsid w:val="00445FD9"/>
    <w:rsid w:val="00445FF8"/>
    <w:rsid w:val="00446038"/>
    <w:rsid w:val="00446057"/>
    <w:rsid w:val="00446078"/>
    <w:rsid w:val="004460D6"/>
    <w:rsid w:val="004460DB"/>
    <w:rsid w:val="004460F9"/>
    <w:rsid w:val="0044612F"/>
    <w:rsid w:val="00446183"/>
    <w:rsid w:val="004461AD"/>
    <w:rsid w:val="004461F6"/>
    <w:rsid w:val="00446212"/>
    <w:rsid w:val="00446226"/>
    <w:rsid w:val="00446302"/>
    <w:rsid w:val="00446349"/>
    <w:rsid w:val="00446371"/>
    <w:rsid w:val="004463B4"/>
    <w:rsid w:val="004463B8"/>
    <w:rsid w:val="004463BD"/>
    <w:rsid w:val="004463F2"/>
    <w:rsid w:val="00446413"/>
    <w:rsid w:val="0044642D"/>
    <w:rsid w:val="0044643E"/>
    <w:rsid w:val="0044644B"/>
    <w:rsid w:val="0044647B"/>
    <w:rsid w:val="004464A8"/>
    <w:rsid w:val="004464B2"/>
    <w:rsid w:val="004464E2"/>
    <w:rsid w:val="00446509"/>
    <w:rsid w:val="0044655C"/>
    <w:rsid w:val="004465B0"/>
    <w:rsid w:val="004465DD"/>
    <w:rsid w:val="004465EF"/>
    <w:rsid w:val="00446639"/>
    <w:rsid w:val="004466BC"/>
    <w:rsid w:val="004466F1"/>
    <w:rsid w:val="00446762"/>
    <w:rsid w:val="004467C6"/>
    <w:rsid w:val="004467DD"/>
    <w:rsid w:val="0044682F"/>
    <w:rsid w:val="0044683F"/>
    <w:rsid w:val="00446847"/>
    <w:rsid w:val="0044687C"/>
    <w:rsid w:val="004468E7"/>
    <w:rsid w:val="0044690E"/>
    <w:rsid w:val="00446974"/>
    <w:rsid w:val="0044697A"/>
    <w:rsid w:val="00446981"/>
    <w:rsid w:val="0044698B"/>
    <w:rsid w:val="004469D4"/>
    <w:rsid w:val="004469DF"/>
    <w:rsid w:val="00446A42"/>
    <w:rsid w:val="00446A43"/>
    <w:rsid w:val="00446A45"/>
    <w:rsid w:val="00446A59"/>
    <w:rsid w:val="00446A7A"/>
    <w:rsid w:val="00446AA4"/>
    <w:rsid w:val="00446AD7"/>
    <w:rsid w:val="00446ADE"/>
    <w:rsid w:val="00446AFF"/>
    <w:rsid w:val="00446B62"/>
    <w:rsid w:val="00446B6D"/>
    <w:rsid w:val="00446B72"/>
    <w:rsid w:val="00446B81"/>
    <w:rsid w:val="00446B97"/>
    <w:rsid w:val="00446BD2"/>
    <w:rsid w:val="00446BE5"/>
    <w:rsid w:val="00446C71"/>
    <w:rsid w:val="00446C85"/>
    <w:rsid w:val="00446C96"/>
    <w:rsid w:val="00446CB2"/>
    <w:rsid w:val="00446CBD"/>
    <w:rsid w:val="00446CBE"/>
    <w:rsid w:val="00446CD8"/>
    <w:rsid w:val="00446CF4"/>
    <w:rsid w:val="00446CFC"/>
    <w:rsid w:val="00446D13"/>
    <w:rsid w:val="00446D71"/>
    <w:rsid w:val="00446D84"/>
    <w:rsid w:val="00446D96"/>
    <w:rsid w:val="00446E10"/>
    <w:rsid w:val="00446E5A"/>
    <w:rsid w:val="00446E5E"/>
    <w:rsid w:val="00446ED0"/>
    <w:rsid w:val="00446F37"/>
    <w:rsid w:val="00446FBA"/>
    <w:rsid w:val="00446FC5"/>
    <w:rsid w:val="00447027"/>
    <w:rsid w:val="0044704E"/>
    <w:rsid w:val="004470CC"/>
    <w:rsid w:val="004470F3"/>
    <w:rsid w:val="0044711C"/>
    <w:rsid w:val="0044713B"/>
    <w:rsid w:val="00447144"/>
    <w:rsid w:val="00447161"/>
    <w:rsid w:val="00447168"/>
    <w:rsid w:val="004471A0"/>
    <w:rsid w:val="00447228"/>
    <w:rsid w:val="00447233"/>
    <w:rsid w:val="00447272"/>
    <w:rsid w:val="004473F6"/>
    <w:rsid w:val="00447429"/>
    <w:rsid w:val="0044742C"/>
    <w:rsid w:val="0044745A"/>
    <w:rsid w:val="00447479"/>
    <w:rsid w:val="004474D9"/>
    <w:rsid w:val="0044754B"/>
    <w:rsid w:val="0044756A"/>
    <w:rsid w:val="00447612"/>
    <w:rsid w:val="0044761E"/>
    <w:rsid w:val="0044763D"/>
    <w:rsid w:val="00447651"/>
    <w:rsid w:val="00447662"/>
    <w:rsid w:val="00447730"/>
    <w:rsid w:val="00447774"/>
    <w:rsid w:val="00447778"/>
    <w:rsid w:val="004477A8"/>
    <w:rsid w:val="0044781A"/>
    <w:rsid w:val="00447870"/>
    <w:rsid w:val="00447885"/>
    <w:rsid w:val="00447939"/>
    <w:rsid w:val="00447A0F"/>
    <w:rsid w:val="00447A6D"/>
    <w:rsid w:val="00447A7B"/>
    <w:rsid w:val="00447A81"/>
    <w:rsid w:val="00447AA8"/>
    <w:rsid w:val="00447AAE"/>
    <w:rsid w:val="00447AB9"/>
    <w:rsid w:val="00447AC9"/>
    <w:rsid w:val="00447B9E"/>
    <w:rsid w:val="00447BCA"/>
    <w:rsid w:val="00447BE6"/>
    <w:rsid w:val="00447BEB"/>
    <w:rsid w:val="00447C5E"/>
    <w:rsid w:val="00447CC8"/>
    <w:rsid w:val="00447CD1"/>
    <w:rsid w:val="00447D03"/>
    <w:rsid w:val="00447D28"/>
    <w:rsid w:val="00447D3B"/>
    <w:rsid w:val="00447D47"/>
    <w:rsid w:val="00447D57"/>
    <w:rsid w:val="00447D6C"/>
    <w:rsid w:val="00447DA9"/>
    <w:rsid w:val="00447DC6"/>
    <w:rsid w:val="00447DF1"/>
    <w:rsid w:val="00447DF3"/>
    <w:rsid w:val="00447E2F"/>
    <w:rsid w:val="00447E3D"/>
    <w:rsid w:val="00447E65"/>
    <w:rsid w:val="00447EB4"/>
    <w:rsid w:val="00447EBC"/>
    <w:rsid w:val="00447F08"/>
    <w:rsid w:val="00447F61"/>
    <w:rsid w:val="00447F83"/>
    <w:rsid w:val="00447F88"/>
    <w:rsid w:val="00447FD6"/>
    <w:rsid w:val="00447FF5"/>
    <w:rsid w:val="0045000D"/>
    <w:rsid w:val="00450012"/>
    <w:rsid w:val="00450075"/>
    <w:rsid w:val="00450078"/>
    <w:rsid w:val="004500B5"/>
    <w:rsid w:val="004500F2"/>
    <w:rsid w:val="00450102"/>
    <w:rsid w:val="0045013E"/>
    <w:rsid w:val="00450177"/>
    <w:rsid w:val="0045017A"/>
    <w:rsid w:val="0045018F"/>
    <w:rsid w:val="00450191"/>
    <w:rsid w:val="004501B2"/>
    <w:rsid w:val="00450210"/>
    <w:rsid w:val="00450243"/>
    <w:rsid w:val="00450246"/>
    <w:rsid w:val="00450294"/>
    <w:rsid w:val="004502D8"/>
    <w:rsid w:val="004502DE"/>
    <w:rsid w:val="0045031B"/>
    <w:rsid w:val="0045033A"/>
    <w:rsid w:val="00450375"/>
    <w:rsid w:val="00450393"/>
    <w:rsid w:val="00450398"/>
    <w:rsid w:val="0045040D"/>
    <w:rsid w:val="00450428"/>
    <w:rsid w:val="0045042E"/>
    <w:rsid w:val="0045047A"/>
    <w:rsid w:val="004504FB"/>
    <w:rsid w:val="0045051F"/>
    <w:rsid w:val="00450547"/>
    <w:rsid w:val="0045061F"/>
    <w:rsid w:val="0045066D"/>
    <w:rsid w:val="00450676"/>
    <w:rsid w:val="00450691"/>
    <w:rsid w:val="004506BA"/>
    <w:rsid w:val="004506CC"/>
    <w:rsid w:val="00450742"/>
    <w:rsid w:val="00450755"/>
    <w:rsid w:val="00450778"/>
    <w:rsid w:val="00450781"/>
    <w:rsid w:val="0045079C"/>
    <w:rsid w:val="004507B0"/>
    <w:rsid w:val="004507C9"/>
    <w:rsid w:val="00450804"/>
    <w:rsid w:val="00450832"/>
    <w:rsid w:val="00450848"/>
    <w:rsid w:val="0045086A"/>
    <w:rsid w:val="004508B7"/>
    <w:rsid w:val="004508EB"/>
    <w:rsid w:val="0045092E"/>
    <w:rsid w:val="0045096E"/>
    <w:rsid w:val="0045099F"/>
    <w:rsid w:val="004509A0"/>
    <w:rsid w:val="004509B9"/>
    <w:rsid w:val="004509D9"/>
    <w:rsid w:val="00450A0E"/>
    <w:rsid w:val="00450A20"/>
    <w:rsid w:val="00450A59"/>
    <w:rsid w:val="00450A72"/>
    <w:rsid w:val="00450AAA"/>
    <w:rsid w:val="00450AAB"/>
    <w:rsid w:val="00450ABF"/>
    <w:rsid w:val="00450B34"/>
    <w:rsid w:val="00450BB7"/>
    <w:rsid w:val="00450BD8"/>
    <w:rsid w:val="00450C22"/>
    <w:rsid w:val="00450D7D"/>
    <w:rsid w:val="00450D83"/>
    <w:rsid w:val="00450DDD"/>
    <w:rsid w:val="00450DE2"/>
    <w:rsid w:val="00450E13"/>
    <w:rsid w:val="00450E19"/>
    <w:rsid w:val="00450E4F"/>
    <w:rsid w:val="00450E93"/>
    <w:rsid w:val="00450EAC"/>
    <w:rsid w:val="00450EC3"/>
    <w:rsid w:val="00450F67"/>
    <w:rsid w:val="00450FA6"/>
    <w:rsid w:val="00450FB3"/>
    <w:rsid w:val="00450FCC"/>
    <w:rsid w:val="00450FEA"/>
    <w:rsid w:val="00450FEF"/>
    <w:rsid w:val="0045100A"/>
    <w:rsid w:val="00451042"/>
    <w:rsid w:val="0045104A"/>
    <w:rsid w:val="00451088"/>
    <w:rsid w:val="00451095"/>
    <w:rsid w:val="004510CB"/>
    <w:rsid w:val="004510DB"/>
    <w:rsid w:val="00451114"/>
    <w:rsid w:val="0045112B"/>
    <w:rsid w:val="00451142"/>
    <w:rsid w:val="00451152"/>
    <w:rsid w:val="004511F0"/>
    <w:rsid w:val="004511F3"/>
    <w:rsid w:val="00451271"/>
    <w:rsid w:val="00451272"/>
    <w:rsid w:val="00451329"/>
    <w:rsid w:val="004513D2"/>
    <w:rsid w:val="004513F1"/>
    <w:rsid w:val="00451419"/>
    <w:rsid w:val="0045143F"/>
    <w:rsid w:val="0045144C"/>
    <w:rsid w:val="0045145A"/>
    <w:rsid w:val="00451476"/>
    <w:rsid w:val="004514B8"/>
    <w:rsid w:val="004514E1"/>
    <w:rsid w:val="0045151E"/>
    <w:rsid w:val="00451566"/>
    <w:rsid w:val="00451580"/>
    <w:rsid w:val="004515DB"/>
    <w:rsid w:val="00451604"/>
    <w:rsid w:val="00451612"/>
    <w:rsid w:val="00451624"/>
    <w:rsid w:val="00451630"/>
    <w:rsid w:val="004516DE"/>
    <w:rsid w:val="00451703"/>
    <w:rsid w:val="00451756"/>
    <w:rsid w:val="0045179E"/>
    <w:rsid w:val="004517CC"/>
    <w:rsid w:val="004517D3"/>
    <w:rsid w:val="00451802"/>
    <w:rsid w:val="00451881"/>
    <w:rsid w:val="00451883"/>
    <w:rsid w:val="0045189A"/>
    <w:rsid w:val="004519E6"/>
    <w:rsid w:val="004519FA"/>
    <w:rsid w:val="00451AD6"/>
    <w:rsid w:val="00451B25"/>
    <w:rsid w:val="00451B87"/>
    <w:rsid w:val="00451BA9"/>
    <w:rsid w:val="00451BDA"/>
    <w:rsid w:val="00451C0F"/>
    <w:rsid w:val="00451C43"/>
    <w:rsid w:val="00451CB9"/>
    <w:rsid w:val="00451CEE"/>
    <w:rsid w:val="00451DE4"/>
    <w:rsid w:val="00451E2F"/>
    <w:rsid w:val="00451E33"/>
    <w:rsid w:val="00451E41"/>
    <w:rsid w:val="00451E55"/>
    <w:rsid w:val="00451E66"/>
    <w:rsid w:val="00451E6E"/>
    <w:rsid w:val="00451E78"/>
    <w:rsid w:val="00451EE2"/>
    <w:rsid w:val="00451EE4"/>
    <w:rsid w:val="00451F65"/>
    <w:rsid w:val="00451F81"/>
    <w:rsid w:val="00451F90"/>
    <w:rsid w:val="00451F9B"/>
    <w:rsid w:val="00451FBC"/>
    <w:rsid w:val="00451FDE"/>
    <w:rsid w:val="00452004"/>
    <w:rsid w:val="0045200A"/>
    <w:rsid w:val="00452016"/>
    <w:rsid w:val="00452087"/>
    <w:rsid w:val="004520AC"/>
    <w:rsid w:val="004520DB"/>
    <w:rsid w:val="00452126"/>
    <w:rsid w:val="00452127"/>
    <w:rsid w:val="00452163"/>
    <w:rsid w:val="004521F5"/>
    <w:rsid w:val="004521F8"/>
    <w:rsid w:val="004521FC"/>
    <w:rsid w:val="0045222A"/>
    <w:rsid w:val="00452257"/>
    <w:rsid w:val="00452263"/>
    <w:rsid w:val="004522B4"/>
    <w:rsid w:val="0045235D"/>
    <w:rsid w:val="0045236C"/>
    <w:rsid w:val="00452374"/>
    <w:rsid w:val="0045238C"/>
    <w:rsid w:val="004523BB"/>
    <w:rsid w:val="004523D6"/>
    <w:rsid w:val="0045242E"/>
    <w:rsid w:val="004524A2"/>
    <w:rsid w:val="004524D4"/>
    <w:rsid w:val="004524DC"/>
    <w:rsid w:val="004524E9"/>
    <w:rsid w:val="00452548"/>
    <w:rsid w:val="004525EF"/>
    <w:rsid w:val="00452606"/>
    <w:rsid w:val="0045267D"/>
    <w:rsid w:val="004526E7"/>
    <w:rsid w:val="004526FB"/>
    <w:rsid w:val="0045271F"/>
    <w:rsid w:val="0045274B"/>
    <w:rsid w:val="0045275B"/>
    <w:rsid w:val="0045278A"/>
    <w:rsid w:val="004527DD"/>
    <w:rsid w:val="00452836"/>
    <w:rsid w:val="00452865"/>
    <w:rsid w:val="00452876"/>
    <w:rsid w:val="004528FB"/>
    <w:rsid w:val="00452903"/>
    <w:rsid w:val="0045296F"/>
    <w:rsid w:val="00452977"/>
    <w:rsid w:val="0045299A"/>
    <w:rsid w:val="004529B3"/>
    <w:rsid w:val="004529DC"/>
    <w:rsid w:val="004529E9"/>
    <w:rsid w:val="004529F7"/>
    <w:rsid w:val="00452A5B"/>
    <w:rsid w:val="00452AED"/>
    <w:rsid w:val="00452B42"/>
    <w:rsid w:val="00452B79"/>
    <w:rsid w:val="00452B98"/>
    <w:rsid w:val="00452C3C"/>
    <w:rsid w:val="00452C4A"/>
    <w:rsid w:val="00452D1E"/>
    <w:rsid w:val="00452D29"/>
    <w:rsid w:val="00452DC8"/>
    <w:rsid w:val="00452E55"/>
    <w:rsid w:val="00452E70"/>
    <w:rsid w:val="00452EAD"/>
    <w:rsid w:val="00452F23"/>
    <w:rsid w:val="00452F35"/>
    <w:rsid w:val="00452F3C"/>
    <w:rsid w:val="00452F3E"/>
    <w:rsid w:val="00452F42"/>
    <w:rsid w:val="00452FBD"/>
    <w:rsid w:val="00452FE4"/>
    <w:rsid w:val="00452FEF"/>
    <w:rsid w:val="00453006"/>
    <w:rsid w:val="0045300E"/>
    <w:rsid w:val="0045305A"/>
    <w:rsid w:val="00453088"/>
    <w:rsid w:val="004530D8"/>
    <w:rsid w:val="004530E8"/>
    <w:rsid w:val="00453101"/>
    <w:rsid w:val="0045310C"/>
    <w:rsid w:val="004531DB"/>
    <w:rsid w:val="0045327D"/>
    <w:rsid w:val="00453362"/>
    <w:rsid w:val="0045337A"/>
    <w:rsid w:val="00453396"/>
    <w:rsid w:val="004533FD"/>
    <w:rsid w:val="00453416"/>
    <w:rsid w:val="00453418"/>
    <w:rsid w:val="00453450"/>
    <w:rsid w:val="00453539"/>
    <w:rsid w:val="00453585"/>
    <w:rsid w:val="004535D0"/>
    <w:rsid w:val="004535D8"/>
    <w:rsid w:val="004535ED"/>
    <w:rsid w:val="004535F4"/>
    <w:rsid w:val="004536B3"/>
    <w:rsid w:val="0045378D"/>
    <w:rsid w:val="004537E6"/>
    <w:rsid w:val="004537EE"/>
    <w:rsid w:val="0045382B"/>
    <w:rsid w:val="004538AA"/>
    <w:rsid w:val="00453908"/>
    <w:rsid w:val="0045390A"/>
    <w:rsid w:val="0045390E"/>
    <w:rsid w:val="00453919"/>
    <w:rsid w:val="00453970"/>
    <w:rsid w:val="004539B9"/>
    <w:rsid w:val="004539C3"/>
    <w:rsid w:val="004539D0"/>
    <w:rsid w:val="00453A6E"/>
    <w:rsid w:val="00453B07"/>
    <w:rsid w:val="00453B0F"/>
    <w:rsid w:val="00453B14"/>
    <w:rsid w:val="00453B17"/>
    <w:rsid w:val="00453B27"/>
    <w:rsid w:val="00453B61"/>
    <w:rsid w:val="00453BA9"/>
    <w:rsid w:val="00453BAC"/>
    <w:rsid w:val="00453BBA"/>
    <w:rsid w:val="00453BCC"/>
    <w:rsid w:val="00453BE4"/>
    <w:rsid w:val="00453BF8"/>
    <w:rsid w:val="00453C36"/>
    <w:rsid w:val="00453C4B"/>
    <w:rsid w:val="00453C97"/>
    <w:rsid w:val="00453CC3"/>
    <w:rsid w:val="00453D41"/>
    <w:rsid w:val="00453E20"/>
    <w:rsid w:val="00453E25"/>
    <w:rsid w:val="00453E62"/>
    <w:rsid w:val="00453E67"/>
    <w:rsid w:val="00453E99"/>
    <w:rsid w:val="00453EA1"/>
    <w:rsid w:val="00453EF8"/>
    <w:rsid w:val="00453F10"/>
    <w:rsid w:val="00453F68"/>
    <w:rsid w:val="00453F9E"/>
    <w:rsid w:val="00453FCB"/>
    <w:rsid w:val="0045400D"/>
    <w:rsid w:val="00454020"/>
    <w:rsid w:val="0045406E"/>
    <w:rsid w:val="004540C7"/>
    <w:rsid w:val="004540F9"/>
    <w:rsid w:val="00454125"/>
    <w:rsid w:val="00454149"/>
    <w:rsid w:val="00454193"/>
    <w:rsid w:val="004541E0"/>
    <w:rsid w:val="00454214"/>
    <w:rsid w:val="0045421D"/>
    <w:rsid w:val="0045424E"/>
    <w:rsid w:val="00454281"/>
    <w:rsid w:val="00454290"/>
    <w:rsid w:val="004542C4"/>
    <w:rsid w:val="0045430F"/>
    <w:rsid w:val="0045431D"/>
    <w:rsid w:val="00454346"/>
    <w:rsid w:val="00454377"/>
    <w:rsid w:val="00454394"/>
    <w:rsid w:val="00454436"/>
    <w:rsid w:val="00454439"/>
    <w:rsid w:val="004544A0"/>
    <w:rsid w:val="0045450F"/>
    <w:rsid w:val="00454514"/>
    <w:rsid w:val="00454547"/>
    <w:rsid w:val="0045454A"/>
    <w:rsid w:val="00454558"/>
    <w:rsid w:val="0045457D"/>
    <w:rsid w:val="0045458C"/>
    <w:rsid w:val="004545AA"/>
    <w:rsid w:val="004545F3"/>
    <w:rsid w:val="00454662"/>
    <w:rsid w:val="00454666"/>
    <w:rsid w:val="0045466B"/>
    <w:rsid w:val="004546AC"/>
    <w:rsid w:val="004546E2"/>
    <w:rsid w:val="00454755"/>
    <w:rsid w:val="00454776"/>
    <w:rsid w:val="00454796"/>
    <w:rsid w:val="0045479F"/>
    <w:rsid w:val="004547A1"/>
    <w:rsid w:val="004547AE"/>
    <w:rsid w:val="004547CE"/>
    <w:rsid w:val="004547DE"/>
    <w:rsid w:val="004547E4"/>
    <w:rsid w:val="0045481B"/>
    <w:rsid w:val="004548CF"/>
    <w:rsid w:val="004548DE"/>
    <w:rsid w:val="00454909"/>
    <w:rsid w:val="0045492C"/>
    <w:rsid w:val="0045492E"/>
    <w:rsid w:val="004549C6"/>
    <w:rsid w:val="004549DB"/>
    <w:rsid w:val="00454A5B"/>
    <w:rsid w:val="00454A6C"/>
    <w:rsid w:val="00454A99"/>
    <w:rsid w:val="00454AA0"/>
    <w:rsid w:val="00454B1A"/>
    <w:rsid w:val="00454B1B"/>
    <w:rsid w:val="00454B2D"/>
    <w:rsid w:val="00454B54"/>
    <w:rsid w:val="00454B57"/>
    <w:rsid w:val="00454B6E"/>
    <w:rsid w:val="00454B78"/>
    <w:rsid w:val="00454B90"/>
    <w:rsid w:val="00454BA3"/>
    <w:rsid w:val="00454BA4"/>
    <w:rsid w:val="00454BBE"/>
    <w:rsid w:val="00454BCF"/>
    <w:rsid w:val="00454BEF"/>
    <w:rsid w:val="00454C00"/>
    <w:rsid w:val="00454C23"/>
    <w:rsid w:val="00454C6F"/>
    <w:rsid w:val="00454CFE"/>
    <w:rsid w:val="00454D27"/>
    <w:rsid w:val="00454DC0"/>
    <w:rsid w:val="00454E52"/>
    <w:rsid w:val="00454E6C"/>
    <w:rsid w:val="00454E72"/>
    <w:rsid w:val="00454E85"/>
    <w:rsid w:val="00454ECE"/>
    <w:rsid w:val="00454ED4"/>
    <w:rsid w:val="00454EF0"/>
    <w:rsid w:val="00454F26"/>
    <w:rsid w:val="00454F3D"/>
    <w:rsid w:val="00454F4D"/>
    <w:rsid w:val="00454F5E"/>
    <w:rsid w:val="00454F72"/>
    <w:rsid w:val="00454FA8"/>
    <w:rsid w:val="00454FEE"/>
    <w:rsid w:val="00455030"/>
    <w:rsid w:val="004550A0"/>
    <w:rsid w:val="0045510D"/>
    <w:rsid w:val="0045513E"/>
    <w:rsid w:val="00455169"/>
    <w:rsid w:val="004551AA"/>
    <w:rsid w:val="004551EB"/>
    <w:rsid w:val="00455227"/>
    <w:rsid w:val="0045524B"/>
    <w:rsid w:val="00455293"/>
    <w:rsid w:val="004552D7"/>
    <w:rsid w:val="00455335"/>
    <w:rsid w:val="00455341"/>
    <w:rsid w:val="0045534B"/>
    <w:rsid w:val="004553E7"/>
    <w:rsid w:val="0045543D"/>
    <w:rsid w:val="00455596"/>
    <w:rsid w:val="0045559D"/>
    <w:rsid w:val="0045559E"/>
    <w:rsid w:val="004555D8"/>
    <w:rsid w:val="004555FD"/>
    <w:rsid w:val="00455654"/>
    <w:rsid w:val="0045566F"/>
    <w:rsid w:val="004556BC"/>
    <w:rsid w:val="004556F5"/>
    <w:rsid w:val="00455750"/>
    <w:rsid w:val="00455757"/>
    <w:rsid w:val="0045578C"/>
    <w:rsid w:val="004557EC"/>
    <w:rsid w:val="00455815"/>
    <w:rsid w:val="004558AD"/>
    <w:rsid w:val="004558DD"/>
    <w:rsid w:val="00455961"/>
    <w:rsid w:val="004559B7"/>
    <w:rsid w:val="004559CE"/>
    <w:rsid w:val="004559F5"/>
    <w:rsid w:val="00455A09"/>
    <w:rsid w:val="00455A19"/>
    <w:rsid w:val="00455A5E"/>
    <w:rsid w:val="00455AB4"/>
    <w:rsid w:val="00455B1C"/>
    <w:rsid w:val="00455B26"/>
    <w:rsid w:val="00455B2F"/>
    <w:rsid w:val="00455B9C"/>
    <w:rsid w:val="00455BA5"/>
    <w:rsid w:val="00455BDB"/>
    <w:rsid w:val="00455BE1"/>
    <w:rsid w:val="00455C35"/>
    <w:rsid w:val="00455CC9"/>
    <w:rsid w:val="00455CE4"/>
    <w:rsid w:val="00455D20"/>
    <w:rsid w:val="00455D43"/>
    <w:rsid w:val="00455D59"/>
    <w:rsid w:val="00455D72"/>
    <w:rsid w:val="00455D87"/>
    <w:rsid w:val="00455E53"/>
    <w:rsid w:val="00455EA6"/>
    <w:rsid w:val="00455F33"/>
    <w:rsid w:val="00455F64"/>
    <w:rsid w:val="00455F95"/>
    <w:rsid w:val="00456030"/>
    <w:rsid w:val="0045609C"/>
    <w:rsid w:val="004560A6"/>
    <w:rsid w:val="004560B2"/>
    <w:rsid w:val="004560CB"/>
    <w:rsid w:val="004560D3"/>
    <w:rsid w:val="00456137"/>
    <w:rsid w:val="00456158"/>
    <w:rsid w:val="004561A6"/>
    <w:rsid w:val="00456231"/>
    <w:rsid w:val="0045623E"/>
    <w:rsid w:val="00456244"/>
    <w:rsid w:val="00456249"/>
    <w:rsid w:val="0045626C"/>
    <w:rsid w:val="004562D1"/>
    <w:rsid w:val="0045635E"/>
    <w:rsid w:val="00456381"/>
    <w:rsid w:val="004563A2"/>
    <w:rsid w:val="004563C4"/>
    <w:rsid w:val="00456471"/>
    <w:rsid w:val="0045648F"/>
    <w:rsid w:val="004564B5"/>
    <w:rsid w:val="00456523"/>
    <w:rsid w:val="0045654C"/>
    <w:rsid w:val="00456560"/>
    <w:rsid w:val="00456575"/>
    <w:rsid w:val="00456589"/>
    <w:rsid w:val="0045658E"/>
    <w:rsid w:val="00456594"/>
    <w:rsid w:val="004565C6"/>
    <w:rsid w:val="00456600"/>
    <w:rsid w:val="00456612"/>
    <w:rsid w:val="00456622"/>
    <w:rsid w:val="00456665"/>
    <w:rsid w:val="00456684"/>
    <w:rsid w:val="004566B0"/>
    <w:rsid w:val="004566F6"/>
    <w:rsid w:val="00456728"/>
    <w:rsid w:val="0045678F"/>
    <w:rsid w:val="004567E3"/>
    <w:rsid w:val="00456845"/>
    <w:rsid w:val="004568AA"/>
    <w:rsid w:val="00456929"/>
    <w:rsid w:val="00456945"/>
    <w:rsid w:val="004569CE"/>
    <w:rsid w:val="004569FB"/>
    <w:rsid w:val="00456A1D"/>
    <w:rsid w:val="00456A6C"/>
    <w:rsid w:val="00456ACD"/>
    <w:rsid w:val="00456AD3"/>
    <w:rsid w:val="00456AE0"/>
    <w:rsid w:val="00456AE7"/>
    <w:rsid w:val="00456B02"/>
    <w:rsid w:val="00456B1B"/>
    <w:rsid w:val="00456B43"/>
    <w:rsid w:val="00456BF1"/>
    <w:rsid w:val="00456C3E"/>
    <w:rsid w:val="00456C59"/>
    <w:rsid w:val="00456C96"/>
    <w:rsid w:val="00456D01"/>
    <w:rsid w:val="00456D20"/>
    <w:rsid w:val="00456D4E"/>
    <w:rsid w:val="00456D7F"/>
    <w:rsid w:val="00456D95"/>
    <w:rsid w:val="00456D9E"/>
    <w:rsid w:val="00456DCC"/>
    <w:rsid w:val="00456DDA"/>
    <w:rsid w:val="00456E7F"/>
    <w:rsid w:val="00456F1C"/>
    <w:rsid w:val="00456FB4"/>
    <w:rsid w:val="00456FF8"/>
    <w:rsid w:val="00456FF9"/>
    <w:rsid w:val="00457006"/>
    <w:rsid w:val="00457056"/>
    <w:rsid w:val="004570ED"/>
    <w:rsid w:val="00457134"/>
    <w:rsid w:val="00457140"/>
    <w:rsid w:val="00457143"/>
    <w:rsid w:val="0045719A"/>
    <w:rsid w:val="00457205"/>
    <w:rsid w:val="0045729E"/>
    <w:rsid w:val="004572B6"/>
    <w:rsid w:val="00457331"/>
    <w:rsid w:val="0045736B"/>
    <w:rsid w:val="00457394"/>
    <w:rsid w:val="004573C9"/>
    <w:rsid w:val="004574A4"/>
    <w:rsid w:val="004574D2"/>
    <w:rsid w:val="004574E6"/>
    <w:rsid w:val="004574FF"/>
    <w:rsid w:val="0045751D"/>
    <w:rsid w:val="00457552"/>
    <w:rsid w:val="00457553"/>
    <w:rsid w:val="0045757C"/>
    <w:rsid w:val="004575C8"/>
    <w:rsid w:val="0045762A"/>
    <w:rsid w:val="0045763D"/>
    <w:rsid w:val="0045765B"/>
    <w:rsid w:val="004576D4"/>
    <w:rsid w:val="00457741"/>
    <w:rsid w:val="00457747"/>
    <w:rsid w:val="0045776C"/>
    <w:rsid w:val="00457772"/>
    <w:rsid w:val="0045778C"/>
    <w:rsid w:val="0045778D"/>
    <w:rsid w:val="004577A9"/>
    <w:rsid w:val="004577B3"/>
    <w:rsid w:val="004577B4"/>
    <w:rsid w:val="00457810"/>
    <w:rsid w:val="004578C0"/>
    <w:rsid w:val="004578C1"/>
    <w:rsid w:val="004578C6"/>
    <w:rsid w:val="004578FB"/>
    <w:rsid w:val="004578FE"/>
    <w:rsid w:val="004579C4"/>
    <w:rsid w:val="004579F8"/>
    <w:rsid w:val="00457A1B"/>
    <w:rsid w:val="00457BA3"/>
    <w:rsid w:val="00457BC5"/>
    <w:rsid w:val="00457BF3"/>
    <w:rsid w:val="00457C22"/>
    <w:rsid w:val="00457C4A"/>
    <w:rsid w:val="00457C79"/>
    <w:rsid w:val="00457C7C"/>
    <w:rsid w:val="00457CDB"/>
    <w:rsid w:val="00457D2C"/>
    <w:rsid w:val="00457D40"/>
    <w:rsid w:val="00457D5A"/>
    <w:rsid w:val="00457D73"/>
    <w:rsid w:val="00457D84"/>
    <w:rsid w:val="00457E2F"/>
    <w:rsid w:val="00457E4C"/>
    <w:rsid w:val="00457E95"/>
    <w:rsid w:val="00457EBD"/>
    <w:rsid w:val="00457EBF"/>
    <w:rsid w:val="00457ED2"/>
    <w:rsid w:val="00457EE0"/>
    <w:rsid w:val="00457EEF"/>
    <w:rsid w:val="00457EFB"/>
    <w:rsid w:val="00457EFE"/>
    <w:rsid w:val="00457F16"/>
    <w:rsid w:val="00457F23"/>
    <w:rsid w:val="00457F3C"/>
    <w:rsid w:val="00457F80"/>
    <w:rsid w:val="00457F91"/>
    <w:rsid w:val="00457FD8"/>
    <w:rsid w:val="004600E3"/>
    <w:rsid w:val="0046015C"/>
    <w:rsid w:val="0046016F"/>
    <w:rsid w:val="00460175"/>
    <w:rsid w:val="004601E8"/>
    <w:rsid w:val="004601FC"/>
    <w:rsid w:val="00460201"/>
    <w:rsid w:val="00460225"/>
    <w:rsid w:val="0046025C"/>
    <w:rsid w:val="00460285"/>
    <w:rsid w:val="0046028C"/>
    <w:rsid w:val="0046028D"/>
    <w:rsid w:val="00460291"/>
    <w:rsid w:val="004602B7"/>
    <w:rsid w:val="004602CD"/>
    <w:rsid w:val="004602EC"/>
    <w:rsid w:val="00460322"/>
    <w:rsid w:val="0046035F"/>
    <w:rsid w:val="00460373"/>
    <w:rsid w:val="004603B1"/>
    <w:rsid w:val="004604D3"/>
    <w:rsid w:val="00460539"/>
    <w:rsid w:val="00460591"/>
    <w:rsid w:val="0046059F"/>
    <w:rsid w:val="004605A8"/>
    <w:rsid w:val="004605B9"/>
    <w:rsid w:val="00460644"/>
    <w:rsid w:val="004606A5"/>
    <w:rsid w:val="00460741"/>
    <w:rsid w:val="00460756"/>
    <w:rsid w:val="0046077B"/>
    <w:rsid w:val="004607E7"/>
    <w:rsid w:val="004607E9"/>
    <w:rsid w:val="004607F4"/>
    <w:rsid w:val="004607F7"/>
    <w:rsid w:val="004608A0"/>
    <w:rsid w:val="004608FE"/>
    <w:rsid w:val="00460908"/>
    <w:rsid w:val="00460992"/>
    <w:rsid w:val="004609CA"/>
    <w:rsid w:val="00460A04"/>
    <w:rsid w:val="00460A09"/>
    <w:rsid w:val="00460A2E"/>
    <w:rsid w:val="00460A7F"/>
    <w:rsid w:val="00460AFF"/>
    <w:rsid w:val="00460B86"/>
    <w:rsid w:val="00460C05"/>
    <w:rsid w:val="00460C49"/>
    <w:rsid w:val="00460C89"/>
    <w:rsid w:val="00460CB0"/>
    <w:rsid w:val="00460CC8"/>
    <w:rsid w:val="00460CCF"/>
    <w:rsid w:val="00460CD1"/>
    <w:rsid w:val="00460D03"/>
    <w:rsid w:val="00460D19"/>
    <w:rsid w:val="00460D25"/>
    <w:rsid w:val="00460D2D"/>
    <w:rsid w:val="00460DDB"/>
    <w:rsid w:val="00460DE8"/>
    <w:rsid w:val="00460DFB"/>
    <w:rsid w:val="00460E1A"/>
    <w:rsid w:val="00460E41"/>
    <w:rsid w:val="00460E53"/>
    <w:rsid w:val="00460E76"/>
    <w:rsid w:val="00460E92"/>
    <w:rsid w:val="00460EB3"/>
    <w:rsid w:val="00460EB9"/>
    <w:rsid w:val="00460EC3"/>
    <w:rsid w:val="00460EDD"/>
    <w:rsid w:val="00460FCA"/>
    <w:rsid w:val="00461003"/>
    <w:rsid w:val="0046103F"/>
    <w:rsid w:val="00461052"/>
    <w:rsid w:val="004610AE"/>
    <w:rsid w:val="004610C8"/>
    <w:rsid w:val="004610EF"/>
    <w:rsid w:val="0046110A"/>
    <w:rsid w:val="00461113"/>
    <w:rsid w:val="00461133"/>
    <w:rsid w:val="0046114D"/>
    <w:rsid w:val="004611CA"/>
    <w:rsid w:val="004611D9"/>
    <w:rsid w:val="00461257"/>
    <w:rsid w:val="00461263"/>
    <w:rsid w:val="004612AF"/>
    <w:rsid w:val="004612DF"/>
    <w:rsid w:val="004612E9"/>
    <w:rsid w:val="0046135F"/>
    <w:rsid w:val="00461371"/>
    <w:rsid w:val="00461394"/>
    <w:rsid w:val="004613AE"/>
    <w:rsid w:val="00461422"/>
    <w:rsid w:val="00461495"/>
    <w:rsid w:val="004614A0"/>
    <w:rsid w:val="00461549"/>
    <w:rsid w:val="00461555"/>
    <w:rsid w:val="0046159D"/>
    <w:rsid w:val="00461602"/>
    <w:rsid w:val="0046161B"/>
    <w:rsid w:val="00461644"/>
    <w:rsid w:val="004616A9"/>
    <w:rsid w:val="00461713"/>
    <w:rsid w:val="00461735"/>
    <w:rsid w:val="00461749"/>
    <w:rsid w:val="00461788"/>
    <w:rsid w:val="004617A4"/>
    <w:rsid w:val="004617AE"/>
    <w:rsid w:val="004617B9"/>
    <w:rsid w:val="004617C1"/>
    <w:rsid w:val="00461834"/>
    <w:rsid w:val="00461866"/>
    <w:rsid w:val="00461924"/>
    <w:rsid w:val="0046193A"/>
    <w:rsid w:val="0046197D"/>
    <w:rsid w:val="004619B2"/>
    <w:rsid w:val="00461A30"/>
    <w:rsid w:val="00461A3F"/>
    <w:rsid w:val="00461A84"/>
    <w:rsid w:val="00461A9B"/>
    <w:rsid w:val="00461AB4"/>
    <w:rsid w:val="00461AC1"/>
    <w:rsid w:val="00461B31"/>
    <w:rsid w:val="00461B88"/>
    <w:rsid w:val="00461B89"/>
    <w:rsid w:val="00461C7F"/>
    <w:rsid w:val="00461C85"/>
    <w:rsid w:val="00461C8D"/>
    <w:rsid w:val="00461CF2"/>
    <w:rsid w:val="00461D09"/>
    <w:rsid w:val="00461D2F"/>
    <w:rsid w:val="00461D5D"/>
    <w:rsid w:val="00461D64"/>
    <w:rsid w:val="00461D6E"/>
    <w:rsid w:val="00461D89"/>
    <w:rsid w:val="00461DD1"/>
    <w:rsid w:val="00461FF4"/>
    <w:rsid w:val="00462056"/>
    <w:rsid w:val="00462066"/>
    <w:rsid w:val="004620AA"/>
    <w:rsid w:val="004620EB"/>
    <w:rsid w:val="0046210A"/>
    <w:rsid w:val="0046213B"/>
    <w:rsid w:val="00462148"/>
    <w:rsid w:val="004621E7"/>
    <w:rsid w:val="00462200"/>
    <w:rsid w:val="00462276"/>
    <w:rsid w:val="00462336"/>
    <w:rsid w:val="0046235E"/>
    <w:rsid w:val="00462365"/>
    <w:rsid w:val="0046236F"/>
    <w:rsid w:val="004623B9"/>
    <w:rsid w:val="004623D1"/>
    <w:rsid w:val="004623D4"/>
    <w:rsid w:val="004623DC"/>
    <w:rsid w:val="004623FB"/>
    <w:rsid w:val="004623FD"/>
    <w:rsid w:val="0046248A"/>
    <w:rsid w:val="004624CC"/>
    <w:rsid w:val="004624D7"/>
    <w:rsid w:val="004624F8"/>
    <w:rsid w:val="00462550"/>
    <w:rsid w:val="00462551"/>
    <w:rsid w:val="004625FF"/>
    <w:rsid w:val="00462694"/>
    <w:rsid w:val="004626D7"/>
    <w:rsid w:val="00462706"/>
    <w:rsid w:val="0046270E"/>
    <w:rsid w:val="00462732"/>
    <w:rsid w:val="0046273A"/>
    <w:rsid w:val="00462759"/>
    <w:rsid w:val="004627AA"/>
    <w:rsid w:val="00462887"/>
    <w:rsid w:val="00462895"/>
    <w:rsid w:val="004628AC"/>
    <w:rsid w:val="004628BC"/>
    <w:rsid w:val="004628C5"/>
    <w:rsid w:val="004628CF"/>
    <w:rsid w:val="004629A1"/>
    <w:rsid w:val="004629C7"/>
    <w:rsid w:val="00462A11"/>
    <w:rsid w:val="00462A6D"/>
    <w:rsid w:val="00462A95"/>
    <w:rsid w:val="00462A97"/>
    <w:rsid w:val="00462AAB"/>
    <w:rsid w:val="00462B13"/>
    <w:rsid w:val="00462B6C"/>
    <w:rsid w:val="00462BEB"/>
    <w:rsid w:val="00462C17"/>
    <w:rsid w:val="00462C50"/>
    <w:rsid w:val="00462CEA"/>
    <w:rsid w:val="00462D72"/>
    <w:rsid w:val="00462D7F"/>
    <w:rsid w:val="00462DA9"/>
    <w:rsid w:val="00462DCA"/>
    <w:rsid w:val="00462E48"/>
    <w:rsid w:val="00462E8B"/>
    <w:rsid w:val="00462E9B"/>
    <w:rsid w:val="00462EB3"/>
    <w:rsid w:val="00462F50"/>
    <w:rsid w:val="00462F5E"/>
    <w:rsid w:val="00462F83"/>
    <w:rsid w:val="00462F97"/>
    <w:rsid w:val="00462FB1"/>
    <w:rsid w:val="00462FD0"/>
    <w:rsid w:val="00463022"/>
    <w:rsid w:val="00463055"/>
    <w:rsid w:val="0046308C"/>
    <w:rsid w:val="004630A5"/>
    <w:rsid w:val="004630E6"/>
    <w:rsid w:val="004630EC"/>
    <w:rsid w:val="00463102"/>
    <w:rsid w:val="0046311C"/>
    <w:rsid w:val="0046312D"/>
    <w:rsid w:val="00463172"/>
    <w:rsid w:val="0046317C"/>
    <w:rsid w:val="004631E2"/>
    <w:rsid w:val="0046320C"/>
    <w:rsid w:val="0046320D"/>
    <w:rsid w:val="0046323D"/>
    <w:rsid w:val="00463257"/>
    <w:rsid w:val="0046326D"/>
    <w:rsid w:val="0046327F"/>
    <w:rsid w:val="004632C3"/>
    <w:rsid w:val="004632D0"/>
    <w:rsid w:val="0046331C"/>
    <w:rsid w:val="00463396"/>
    <w:rsid w:val="004633F4"/>
    <w:rsid w:val="004634C7"/>
    <w:rsid w:val="0046350A"/>
    <w:rsid w:val="00463539"/>
    <w:rsid w:val="0046353C"/>
    <w:rsid w:val="0046359C"/>
    <w:rsid w:val="004635A9"/>
    <w:rsid w:val="004635D1"/>
    <w:rsid w:val="004635D6"/>
    <w:rsid w:val="004635D9"/>
    <w:rsid w:val="004635FA"/>
    <w:rsid w:val="00463614"/>
    <w:rsid w:val="0046363E"/>
    <w:rsid w:val="00463653"/>
    <w:rsid w:val="0046365C"/>
    <w:rsid w:val="004636C5"/>
    <w:rsid w:val="00463718"/>
    <w:rsid w:val="0046371C"/>
    <w:rsid w:val="0046372B"/>
    <w:rsid w:val="00463738"/>
    <w:rsid w:val="00463747"/>
    <w:rsid w:val="00463752"/>
    <w:rsid w:val="0046379A"/>
    <w:rsid w:val="004637C6"/>
    <w:rsid w:val="00463821"/>
    <w:rsid w:val="0046382B"/>
    <w:rsid w:val="0046383F"/>
    <w:rsid w:val="00463840"/>
    <w:rsid w:val="00463864"/>
    <w:rsid w:val="004638D1"/>
    <w:rsid w:val="004638ED"/>
    <w:rsid w:val="0046392A"/>
    <w:rsid w:val="00463947"/>
    <w:rsid w:val="004639EE"/>
    <w:rsid w:val="00463A32"/>
    <w:rsid w:val="00463A64"/>
    <w:rsid w:val="00463A70"/>
    <w:rsid w:val="00463AF2"/>
    <w:rsid w:val="00463B04"/>
    <w:rsid w:val="00463B17"/>
    <w:rsid w:val="00463BE0"/>
    <w:rsid w:val="00463C96"/>
    <w:rsid w:val="00463CA7"/>
    <w:rsid w:val="00463CDB"/>
    <w:rsid w:val="00463D49"/>
    <w:rsid w:val="00463D4F"/>
    <w:rsid w:val="00463D93"/>
    <w:rsid w:val="00463DF8"/>
    <w:rsid w:val="00463E69"/>
    <w:rsid w:val="00463E75"/>
    <w:rsid w:val="00463E97"/>
    <w:rsid w:val="00463EC8"/>
    <w:rsid w:val="00463ED4"/>
    <w:rsid w:val="00463EE0"/>
    <w:rsid w:val="00463F34"/>
    <w:rsid w:val="00463F6B"/>
    <w:rsid w:val="0046400D"/>
    <w:rsid w:val="0046402A"/>
    <w:rsid w:val="00464061"/>
    <w:rsid w:val="00464074"/>
    <w:rsid w:val="0046408B"/>
    <w:rsid w:val="004640AE"/>
    <w:rsid w:val="00464114"/>
    <w:rsid w:val="00464129"/>
    <w:rsid w:val="00464143"/>
    <w:rsid w:val="0046416C"/>
    <w:rsid w:val="00464286"/>
    <w:rsid w:val="00464325"/>
    <w:rsid w:val="00464366"/>
    <w:rsid w:val="00464398"/>
    <w:rsid w:val="004643A7"/>
    <w:rsid w:val="004643C6"/>
    <w:rsid w:val="004643E4"/>
    <w:rsid w:val="004643F6"/>
    <w:rsid w:val="0046440B"/>
    <w:rsid w:val="00464431"/>
    <w:rsid w:val="00464441"/>
    <w:rsid w:val="00464446"/>
    <w:rsid w:val="00464480"/>
    <w:rsid w:val="004644AE"/>
    <w:rsid w:val="004644C0"/>
    <w:rsid w:val="0046454B"/>
    <w:rsid w:val="0046455A"/>
    <w:rsid w:val="00464574"/>
    <w:rsid w:val="00464583"/>
    <w:rsid w:val="004645AE"/>
    <w:rsid w:val="0046462E"/>
    <w:rsid w:val="004646CF"/>
    <w:rsid w:val="00464767"/>
    <w:rsid w:val="004647AF"/>
    <w:rsid w:val="00464892"/>
    <w:rsid w:val="00464897"/>
    <w:rsid w:val="004648AA"/>
    <w:rsid w:val="004648CA"/>
    <w:rsid w:val="004648E2"/>
    <w:rsid w:val="00464927"/>
    <w:rsid w:val="0046492A"/>
    <w:rsid w:val="0046496F"/>
    <w:rsid w:val="004649E7"/>
    <w:rsid w:val="00464A00"/>
    <w:rsid w:val="00464A30"/>
    <w:rsid w:val="00464A4B"/>
    <w:rsid w:val="00464A51"/>
    <w:rsid w:val="00464A60"/>
    <w:rsid w:val="00464A74"/>
    <w:rsid w:val="00464ABE"/>
    <w:rsid w:val="00464AD3"/>
    <w:rsid w:val="00464B53"/>
    <w:rsid w:val="00464B72"/>
    <w:rsid w:val="00464B7F"/>
    <w:rsid w:val="00464BC8"/>
    <w:rsid w:val="00464BF6"/>
    <w:rsid w:val="00464C09"/>
    <w:rsid w:val="00464C56"/>
    <w:rsid w:val="00464C57"/>
    <w:rsid w:val="00464C6A"/>
    <w:rsid w:val="00464C6B"/>
    <w:rsid w:val="00464C87"/>
    <w:rsid w:val="00464C8F"/>
    <w:rsid w:val="00464CEC"/>
    <w:rsid w:val="00464D27"/>
    <w:rsid w:val="00464DA2"/>
    <w:rsid w:val="00464DC0"/>
    <w:rsid w:val="00464DD3"/>
    <w:rsid w:val="00464DF3"/>
    <w:rsid w:val="00464E0B"/>
    <w:rsid w:val="00464E85"/>
    <w:rsid w:val="00464EAE"/>
    <w:rsid w:val="00464EB4"/>
    <w:rsid w:val="00464EE4"/>
    <w:rsid w:val="00464F10"/>
    <w:rsid w:val="00464FB5"/>
    <w:rsid w:val="00464FCA"/>
    <w:rsid w:val="00464FF4"/>
    <w:rsid w:val="00465014"/>
    <w:rsid w:val="00465087"/>
    <w:rsid w:val="00465088"/>
    <w:rsid w:val="0046511E"/>
    <w:rsid w:val="00465123"/>
    <w:rsid w:val="004651CB"/>
    <w:rsid w:val="004651F5"/>
    <w:rsid w:val="004651FD"/>
    <w:rsid w:val="0046524E"/>
    <w:rsid w:val="0046524F"/>
    <w:rsid w:val="00465251"/>
    <w:rsid w:val="00465252"/>
    <w:rsid w:val="00465254"/>
    <w:rsid w:val="00465308"/>
    <w:rsid w:val="00465319"/>
    <w:rsid w:val="00465321"/>
    <w:rsid w:val="004653E7"/>
    <w:rsid w:val="0046542F"/>
    <w:rsid w:val="00465456"/>
    <w:rsid w:val="00465492"/>
    <w:rsid w:val="00465495"/>
    <w:rsid w:val="0046549F"/>
    <w:rsid w:val="00465514"/>
    <w:rsid w:val="0046551F"/>
    <w:rsid w:val="0046559B"/>
    <w:rsid w:val="004655BF"/>
    <w:rsid w:val="004655C7"/>
    <w:rsid w:val="004655E1"/>
    <w:rsid w:val="004655E5"/>
    <w:rsid w:val="00465647"/>
    <w:rsid w:val="00465657"/>
    <w:rsid w:val="00465681"/>
    <w:rsid w:val="004656D4"/>
    <w:rsid w:val="0046570C"/>
    <w:rsid w:val="0046571C"/>
    <w:rsid w:val="00465763"/>
    <w:rsid w:val="0046576F"/>
    <w:rsid w:val="004657B3"/>
    <w:rsid w:val="004657FB"/>
    <w:rsid w:val="00465838"/>
    <w:rsid w:val="0046584E"/>
    <w:rsid w:val="004658AD"/>
    <w:rsid w:val="004658D3"/>
    <w:rsid w:val="00465954"/>
    <w:rsid w:val="004659AA"/>
    <w:rsid w:val="004659B0"/>
    <w:rsid w:val="00465A23"/>
    <w:rsid w:val="00465A3B"/>
    <w:rsid w:val="00465A6F"/>
    <w:rsid w:val="00465B45"/>
    <w:rsid w:val="00465BB6"/>
    <w:rsid w:val="00465BE3"/>
    <w:rsid w:val="00465C09"/>
    <w:rsid w:val="00465C19"/>
    <w:rsid w:val="00465C2C"/>
    <w:rsid w:val="00465C5A"/>
    <w:rsid w:val="00465CA4"/>
    <w:rsid w:val="00465CC5"/>
    <w:rsid w:val="00465CE9"/>
    <w:rsid w:val="00465D38"/>
    <w:rsid w:val="00465D39"/>
    <w:rsid w:val="00465D62"/>
    <w:rsid w:val="00465D85"/>
    <w:rsid w:val="00465D98"/>
    <w:rsid w:val="00465E26"/>
    <w:rsid w:val="00465E37"/>
    <w:rsid w:val="00465E45"/>
    <w:rsid w:val="00465E4A"/>
    <w:rsid w:val="00465E70"/>
    <w:rsid w:val="00465E78"/>
    <w:rsid w:val="00465E94"/>
    <w:rsid w:val="00465EA6"/>
    <w:rsid w:val="00465ECC"/>
    <w:rsid w:val="00465F30"/>
    <w:rsid w:val="00465FBC"/>
    <w:rsid w:val="00465FFB"/>
    <w:rsid w:val="00466006"/>
    <w:rsid w:val="00466051"/>
    <w:rsid w:val="0046606A"/>
    <w:rsid w:val="004660AB"/>
    <w:rsid w:val="004660C6"/>
    <w:rsid w:val="004660D0"/>
    <w:rsid w:val="00466114"/>
    <w:rsid w:val="00466115"/>
    <w:rsid w:val="00466136"/>
    <w:rsid w:val="00466148"/>
    <w:rsid w:val="00466181"/>
    <w:rsid w:val="00466185"/>
    <w:rsid w:val="004661E4"/>
    <w:rsid w:val="004661E8"/>
    <w:rsid w:val="00466221"/>
    <w:rsid w:val="00466229"/>
    <w:rsid w:val="00466271"/>
    <w:rsid w:val="0046629C"/>
    <w:rsid w:val="0046643B"/>
    <w:rsid w:val="00466457"/>
    <w:rsid w:val="004664AB"/>
    <w:rsid w:val="00466528"/>
    <w:rsid w:val="0046657F"/>
    <w:rsid w:val="004665B0"/>
    <w:rsid w:val="004665C1"/>
    <w:rsid w:val="004665FB"/>
    <w:rsid w:val="00466643"/>
    <w:rsid w:val="00466662"/>
    <w:rsid w:val="004666E3"/>
    <w:rsid w:val="0046670A"/>
    <w:rsid w:val="00466775"/>
    <w:rsid w:val="004667FC"/>
    <w:rsid w:val="00466822"/>
    <w:rsid w:val="004668A5"/>
    <w:rsid w:val="004668B0"/>
    <w:rsid w:val="0046691F"/>
    <w:rsid w:val="00466924"/>
    <w:rsid w:val="004669DE"/>
    <w:rsid w:val="00466A2C"/>
    <w:rsid w:val="00466A60"/>
    <w:rsid w:val="00466AC7"/>
    <w:rsid w:val="00466AEE"/>
    <w:rsid w:val="00466AF9"/>
    <w:rsid w:val="00466B1D"/>
    <w:rsid w:val="00466B44"/>
    <w:rsid w:val="00466B6B"/>
    <w:rsid w:val="00466B76"/>
    <w:rsid w:val="00466BAE"/>
    <w:rsid w:val="00466BF2"/>
    <w:rsid w:val="00466C23"/>
    <w:rsid w:val="00466C84"/>
    <w:rsid w:val="00466C9E"/>
    <w:rsid w:val="00466D13"/>
    <w:rsid w:val="00466D2F"/>
    <w:rsid w:val="00466D45"/>
    <w:rsid w:val="00466D63"/>
    <w:rsid w:val="00466D77"/>
    <w:rsid w:val="00466E1B"/>
    <w:rsid w:val="00466E34"/>
    <w:rsid w:val="00466E44"/>
    <w:rsid w:val="00466EB1"/>
    <w:rsid w:val="00466EEE"/>
    <w:rsid w:val="00466F3F"/>
    <w:rsid w:val="00466F7A"/>
    <w:rsid w:val="00466FA0"/>
    <w:rsid w:val="00466FB3"/>
    <w:rsid w:val="00466FC5"/>
    <w:rsid w:val="00467010"/>
    <w:rsid w:val="00467033"/>
    <w:rsid w:val="0046703B"/>
    <w:rsid w:val="00467098"/>
    <w:rsid w:val="004670AD"/>
    <w:rsid w:val="004670EB"/>
    <w:rsid w:val="00467180"/>
    <w:rsid w:val="004671E0"/>
    <w:rsid w:val="004671F9"/>
    <w:rsid w:val="0046720D"/>
    <w:rsid w:val="00467278"/>
    <w:rsid w:val="004672DB"/>
    <w:rsid w:val="004672E5"/>
    <w:rsid w:val="004672EE"/>
    <w:rsid w:val="0046731B"/>
    <w:rsid w:val="00467343"/>
    <w:rsid w:val="00467350"/>
    <w:rsid w:val="00467373"/>
    <w:rsid w:val="004673D1"/>
    <w:rsid w:val="00467432"/>
    <w:rsid w:val="004674DC"/>
    <w:rsid w:val="00467575"/>
    <w:rsid w:val="004675B8"/>
    <w:rsid w:val="0046761B"/>
    <w:rsid w:val="00467692"/>
    <w:rsid w:val="004676C9"/>
    <w:rsid w:val="004676D0"/>
    <w:rsid w:val="004676E9"/>
    <w:rsid w:val="004676EF"/>
    <w:rsid w:val="004676FC"/>
    <w:rsid w:val="0046777C"/>
    <w:rsid w:val="00467789"/>
    <w:rsid w:val="004677DC"/>
    <w:rsid w:val="00467824"/>
    <w:rsid w:val="00467839"/>
    <w:rsid w:val="0046784A"/>
    <w:rsid w:val="00467853"/>
    <w:rsid w:val="00467854"/>
    <w:rsid w:val="0046788B"/>
    <w:rsid w:val="00467892"/>
    <w:rsid w:val="004678BA"/>
    <w:rsid w:val="004678DB"/>
    <w:rsid w:val="00467913"/>
    <w:rsid w:val="00467956"/>
    <w:rsid w:val="00467978"/>
    <w:rsid w:val="004679A9"/>
    <w:rsid w:val="004679F4"/>
    <w:rsid w:val="00467A40"/>
    <w:rsid w:val="00467A98"/>
    <w:rsid w:val="00467ACC"/>
    <w:rsid w:val="00467AE7"/>
    <w:rsid w:val="00467B3C"/>
    <w:rsid w:val="00467B8D"/>
    <w:rsid w:val="00467BEA"/>
    <w:rsid w:val="00467C13"/>
    <w:rsid w:val="00467C5F"/>
    <w:rsid w:val="00467C6E"/>
    <w:rsid w:val="00467CF5"/>
    <w:rsid w:val="00467D1C"/>
    <w:rsid w:val="00467D25"/>
    <w:rsid w:val="00467D60"/>
    <w:rsid w:val="00467D88"/>
    <w:rsid w:val="00467E59"/>
    <w:rsid w:val="00467E64"/>
    <w:rsid w:val="00467E7C"/>
    <w:rsid w:val="00467E7E"/>
    <w:rsid w:val="00467E83"/>
    <w:rsid w:val="00467E92"/>
    <w:rsid w:val="00467ECB"/>
    <w:rsid w:val="00467EEC"/>
    <w:rsid w:val="00467F24"/>
    <w:rsid w:val="00467F51"/>
    <w:rsid w:val="00467F9A"/>
    <w:rsid w:val="00467FB9"/>
    <w:rsid w:val="0047000D"/>
    <w:rsid w:val="0047003C"/>
    <w:rsid w:val="00470043"/>
    <w:rsid w:val="00470067"/>
    <w:rsid w:val="00470072"/>
    <w:rsid w:val="00470073"/>
    <w:rsid w:val="004700DB"/>
    <w:rsid w:val="004700F7"/>
    <w:rsid w:val="00470113"/>
    <w:rsid w:val="00470130"/>
    <w:rsid w:val="00470154"/>
    <w:rsid w:val="00470170"/>
    <w:rsid w:val="0047018F"/>
    <w:rsid w:val="00470195"/>
    <w:rsid w:val="00470198"/>
    <w:rsid w:val="004701A2"/>
    <w:rsid w:val="004701E0"/>
    <w:rsid w:val="00470249"/>
    <w:rsid w:val="004702A0"/>
    <w:rsid w:val="004702DA"/>
    <w:rsid w:val="004702E6"/>
    <w:rsid w:val="004703BF"/>
    <w:rsid w:val="004703DD"/>
    <w:rsid w:val="00470416"/>
    <w:rsid w:val="00470469"/>
    <w:rsid w:val="00470478"/>
    <w:rsid w:val="004704B9"/>
    <w:rsid w:val="00470557"/>
    <w:rsid w:val="0047055F"/>
    <w:rsid w:val="0047065C"/>
    <w:rsid w:val="0047067C"/>
    <w:rsid w:val="0047071C"/>
    <w:rsid w:val="0047072C"/>
    <w:rsid w:val="0047075D"/>
    <w:rsid w:val="00470781"/>
    <w:rsid w:val="004707BC"/>
    <w:rsid w:val="004707DA"/>
    <w:rsid w:val="00470814"/>
    <w:rsid w:val="00470848"/>
    <w:rsid w:val="00470881"/>
    <w:rsid w:val="004708A1"/>
    <w:rsid w:val="00470974"/>
    <w:rsid w:val="00470990"/>
    <w:rsid w:val="0047099F"/>
    <w:rsid w:val="004709BA"/>
    <w:rsid w:val="00470A74"/>
    <w:rsid w:val="00470A8B"/>
    <w:rsid w:val="00470B0C"/>
    <w:rsid w:val="00470B9E"/>
    <w:rsid w:val="00470BF9"/>
    <w:rsid w:val="00470C0F"/>
    <w:rsid w:val="00470C55"/>
    <w:rsid w:val="00470C6C"/>
    <w:rsid w:val="00470C9A"/>
    <w:rsid w:val="00470D2C"/>
    <w:rsid w:val="00470D89"/>
    <w:rsid w:val="00470DAB"/>
    <w:rsid w:val="00470DAD"/>
    <w:rsid w:val="00470DD2"/>
    <w:rsid w:val="00470DEE"/>
    <w:rsid w:val="00470ECB"/>
    <w:rsid w:val="00470ED2"/>
    <w:rsid w:val="00470F04"/>
    <w:rsid w:val="00470F16"/>
    <w:rsid w:val="00470F18"/>
    <w:rsid w:val="00470F75"/>
    <w:rsid w:val="00470FD1"/>
    <w:rsid w:val="00470FD8"/>
    <w:rsid w:val="00470FE2"/>
    <w:rsid w:val="00471000"/>
    <w:rsid w:val="00471013"/>
    <w:rsid w:val="0047101D"/>
    <w:rsid w:val="0047103E"/>
    <w:rsid w:val="004710B5"/>
    <w:rsid w:val="004710E5"/>
    <w:rsid w:val="0047111B"/>
    <w:rsid w:val="00471121"/>
    <w:rsid w:val="00471225"/>
    <w:rsid w:val="00471244"/>
    <w:rsid w:val="0047124F"/>
    <w:rsid w:val="00471271"/>
    <w:rsid w:val="004712EF"/>
    <w:rsid w:val="0047131D"/>
    <w:rsid w:val="00471331"/>
    <w:rsid w:val="00471395"/>
    <w:rsid w:val="004713E1"/>
    <w:rsid w:val="004713EA"/>
    <w:rsid w:val="0047145E"/>
    <w:rsid w:val="00471496"/>
    <w:rsid w:val="004715E8"/>
    <w:rsid w:val="00471607"/>
    <w:rsid w:val="00471694"/>
    <w:rsid w:val="004716AD"/>
    <w:rsid w:val="00471734"/>
    <w:rsid w:val="004717A8"/>
    <w:rsid w:val="00471870"/>
    <w:rsid w:val="004718AD"/>
    <w:rsid w:val="004718E4"/>
    <w:rsid w:val="0047191F"/>
    <w:rsid w:val="0047197D"/>
    <w:rsid w:val="0047199A"/>
    <w:rsid w:val="004719B7"/>
    <w:rsid w:val="004719DF"/>
    <w:rsid w:val="004719E6"/>
    <w:rsid w:val="00471A00"/>
    <w:rsid w:val="00471A05"/>
    <w:rsid w:val="00471A17"/>
    <w:rsid w:val="00471A1B"/>
    <w:rsid w:val="00471A5D"/>
    <w:rsid w:val="00471AF2"/>
    <w:rsid w:val="00471B35"/>
    <w:rsid w:val="00471B5A"/>
    <w:rsid w:val="00471B76"/>
    <w:rsid w:val="00471B79"/>
    <w:rsid w:val="00471BAA"/>
    <w:rsid w:val="00471C1B"/>
    <w:rsid w:val="00471C23"/>
    <w:rsid w:val="00471C36"/>
    <w:rsid w:val="00471C3A"/>
    <w:rsid w:val="00471CE1"/>
    <w:rsid w:val="00471D69"/>
    <w:rsid w:val="00471D74"/>
    <w:rsid w:val="00471D9B"/>
    <w:rsid w:val="00471DA3"/>
    <w:rsid w:val="00471DAA"/>
    <w:rsid w:val="00471DBD"/>
    <w:rsid w:val="00471DE5"/>
    <w:rsid w:val="00471E26"/>
    <w:rsid w:val="00471E6E"/>
    <w:rsid w:val="00471EB2"/>
    <w:rsid w:val="00471EC7"/>
    <w:rsid w:val="00471ECE"/>
    <w:rsid w:val="00471F83"/>
    <w:rsid w:val="00471FDA"/>
    <w:rsid w:val="00471FFB"/>
    <w:rsid w:val="00472007"/>
    <w:rsid w:val="00472020"/>
    <w:rsid w:val="004720DD"/>
    <w:rsid w:val="00472134"/>
    <w:rsid w:val="00472168"/>
    <w:rsid w:val="00472188"/>
    <w:rsid w:val="004721DD"/>
    <w:rsid w:val="004722CF"/>
    <w:rsid w:val="004722D6"/>
    <w:rsid w:val="004722DB"/>
    <w:rsid w:val="004722F6"/>
    <w:rsid w:val="004723D2"/>
    <w:rsid w:val="004723DD"/>
    <w:rsid w:val="00472407"/>
    <w:rsid w:val="00472485"/>
    <w:rsid w:val="004724A0"/>
    <w:rsid w:val="004724AB"/>
    <w:rsid w:val="0047256A"/>
    <w:rsid w:val="0047256C"/>
    <w:rsid w:val="0047259F"/>
    <w:rsid w:val="004725C0"/>
    <w:rsid w:val="004725E1"/>
    <w:rsid w:val="004725FF"/>
    <w:rsid w:val="0047264B"/>
    <w:rsid w:val="00472673"/>
    <w:rsid w:val="004726BE"/>
    <w:rsid w:val="004726FC"/>
    <w:rsid w:val="00472777"/>
    <w:rsid w:val="004727E4"/>
    <w:rsid w:val="00472804"/>
    <w:rsid w:val="0047283B"/>
    <w:rsid w:val="0047283C"/>
    <w:rsid w:val="0047288B"/>
    <w:rsid w:val="004728A2"/>
    <w:rsid w:val="004728D8"/>
    <w:rsid w:val="00472901"/>
    <w:rsid w:val="00472980"/>
    <w:rsid w:val="00472985"/>
    <w:rsid w:val="00472991"/>
    <w:rsid w:val="004729DB"/>
    <w:rsid w:val="00472ABB"/>
    <w:rsid w:val="00472ADF"/>
    <w:rsid w:val="00472B0C"/>
    <w:rsid w:val="00472B12"/>
    <w:rsid w:val="00472B6C"/>
    <w:rsid w:val="00472BA8"/>
    <w:rsid w:val="00472BB4"/>
    <w:rsid w:val="00472BCA"/>
    <w:rsid w:val="00472C59"/>
    <w:rsid w:val="00472CE2"/>
    <w:rsid w:val="00472D48"/>
    <w:rsid w:val="00472D58"/>
    <w:rsid w:val="00472D7F"/>
    <w:rsid w:val="00472D97"/>
    <w:rsid w:val="00472D9B"/>
    <w:rsid w:val="00472DB0"/>
    <w:rsid w:val="00472E04"/>
    <w:rsid w:val="00472E3D"/>
    <w:rsid w:val="00472E9A"/>
    <w:rsid w:val="00472EA6"/>
    <w:rsid w:val="00472EEF"/>
    <w:rsid w:val="00472F04"/>
    <w:rsid w:val="00472F2D"/>
    <w:rsid w:val="00472F55"/>
    <w:rsid w:val="00472F64"/>
    <w:rsid w:val="00472FB1"/>
    <w:rsid w:val="00472FB3"/>
    <w:rsid w:val="00472FF3"/>
    <w:rsid w:val="00473012"/>
    <w:rsid w:val="00473058"/>
    <w:rsid w:val="004730D2"/>
    <w:rsid w:val="00473128"/>
    <w:rsid w:val="004731EF"/>
    <w:rsid w:val="00473225"/>
    <w:rsid w:val="0047324A"/>
    <w:rsid w:val="004732CB"/>
    <w:rsid w:val="004732EF"/>
    <w:rsid w:val="00473391"/>
    <w:rsid w:val="00473453"/>
    <w:rsid w:val="0047345E"/>
    <w:rsid w:val="00473476"/>
    <w:rsid w:val="0047349D"/>
    <w:rsid w:val="004734AC"/>
    <w:rsid w:val="004734DE"/>
    <w:rsid w:val="00473503"/>
    <w:rsid w:val="00473534"/>
    <w:rsid w:val="0047355B"/>
    <w:rsid w:val="0047359E"/>
    <w:rsid w:val="004735BF"/>
    <w:rsid w:val="00473618"/>
    <w:rsid w:val="00473619"/>
    <w:rsid w:val="0047363D"/>
    <w:rsid w:val="00473680"/>
    <w:rsid w:val="0047368A"/>
    <w:rsid w:val="00473698"/>
    <w:rsid w:val="004736CA"/>
    <w:rsid w:val="00473707"/>
    <w:rsid w:val="00473732"/>
    <w:rsid w:val="00473786"/>
    <w:rsid w:val="004737A9"/>
    <w:rsid w:val="004737D1"/>
    <w:rsid w:val="00473800"/>
    <w:rsid w:val="00473804"/>
    <w:rsid w:val="00473828"/>
    <w:rsid w:val="00473870"/>
    <w:rsid w:val="004738FF"/>
    <w:rsid w:val="0047394E"/>
    <w:rsid w:val="0047397D"/>
    <w:rsid w:val="004739A3"/>
    <w:rsid w:val="004739C0"/>
    <w:rsid w:val="00473ABF"/>
    <w:rsid w:val="00473AD8"/>
    <w:rsid w:val="00473B0D"/>
    <w:rsid w:val="00473B4C"/>
    <w:rsid w:val="00473B4F"/>
    <w:rsid w:val="00473B81"/>
    <w:rsid w:val="00473C11"/>
    <w:rsid w:val="00473C32"/>
    <w:rsid w:val="00473C7D"/>
    <w:rsid w:val="00473C91"/>
    <w:rsid w:val="00473CA4"/>
    <w:rsid w:val="00473CC0"/>
    <w:rsid w:val="00473CD9"/>
    <w:rsid w:val="00473CDF"/>
    <w:rsid w:val="00473CF2"/>
    <w:rsid w:val="00473D1A"/>
    <w:rsid w:val="00473D61"/>
    <w:rsid w:val="00473DA5"/>
    <w:rsid w:val="00473DC3"/>
    <w:rsid w:val="00473E07"/>
    <w:rsid w:val="00473E6C"/>
    <w:rsid w:val="00473EEC"/>
    <w:rsid w:val="00473F28"/>
    <w:rsid w:val="00474046"/>
    <w:rsid w:val="00474063"/>
    <w:rsid w:val="0047407D"/>
    <w:rsid w:val="004740BF"/>
    <w:rsid w:val="004740D3"/>
    <w:rsid w:val="0047414D"/>
    <w:rsid w:val="0047414F"/>
    <w:rsid w:val="00474193"/>
    <w:rsid w:val="004741D3"/>
    <w:rsid w:val="004741DF"/>
    <w:rsid w:val="004741E3"/>
    <w:rsid w:val="004742AB"/>
    <w:rsid w:val="0047431A"/>
    <w:rsid w:val="0047433E"/>
    <w:rsid w:val="00474399"/>
    <w:rsid w:val="0047439D"/>
    <w:rsid w:val="004743E5"/>
    <w:rsid w:val="0047440E"/>
    <w:rsid w:val="00474428"/>
    <w:rsid w:val="00474436"/>
    <w:rsid w:val="0047445B"/>
    <w:rsid w:val="00474492"/>
    <w:rsid w:val="0047449A"/>
    <w:rsid w:val="0047450D"/>
    <w:rsid w:val="004745A8"/>
    <w:rsid w:val="004745DB"/>
    <w:rsid w:val="00474656"/>
    <w:rsid w:val="00474666"/>
    <w:rsid w:val="004746B6"/>
    <w:rsid w:val="00474716"/>
    <w:rsid w:val="00474768"/>
    <w:rsid w:val="00474800"/>
    <w:rsid w:val="00474959"/>
    <w:rsid w:val="00474983"/>
    <w:rsid w:val="0047498A"/>
    <w:rsid w:val="0047498C"/>
    <w:rsid w:val="004749AD"/>
    <w:rsid w:val="004749FC"/>
    <w:rsid w:val="00474A10"/>
    <w:rsid w:val="00474A26"/>
    <w:rsid w:val="00474A48"/>
    <w:rsid w:val="00474A5B"/>
    <w:rsid w:val="00474AF2"/>
    <w:rsid w:val="00474B21"/>
    <w:rsid w:val="00474B41"/>
    <w:rsid w:val="00474B73"/>
    <w:rsid w:val="00474BB2"/>
    <w:rsid w:val="00474C0D"/>
    <w:rsid w:val="00474C60"/>
    <w:rsid w:val="00474C69"/>
    <w:rsid w:val="00474CCD"/>
    <w:rsid w:val="00474CEE"/>
    <w:rsid w:val="00474D40"/>
    <w:rsid w:val="00474DA2"/>
    <w:rsid w:val="00474DFF"/>
    <w:rsid w:val="00474E11"/>
    <w:rsid w:val="00474E1F"/>
    <w:rsid w:val="00474E5C"/>
    <w:rsid w:val="00474E81"/>
    <w:rsid w:val="00474EE1"/>
    <w:rsid w:val="00474EFD"/>
    <w:rsid w:val="00474F33"/>
    <w:rsid w:val="00474F7C"/>
    <w:rsid w:val="00474F84"/>
    <w:rsid w:val="00474F85"/>
    <w:rsid w:val="0047501F"/>
    <w:rsid w:val="00475064"/>
    <w:rsid w:val="00475073"/>
    <w:rsid w:val="00475085"/>
    <w:rsid w:val="004750AB"/>
    <w:rsid w:val="004750EB"/>
    <w:rsid w:val="0047510F"/>
    <w:rsid w:val="00475121"/>
    <w:rsid w:val="00475157"/>
    <w:rsid w:val="00475193"/>
    <w:rsid w:val="004751AC"/>
    <w:rsid w:val="004751B2"/>
    <w:rsid w:val="004751BC"/>
    <w:rsid w:val="004751CC"/>
    <w:rsid w:val="00475200"/>
    <w:rsid w:val="00475208"/>
    <w:rsid w:val="00475220"/>
    <w:rsid w:val="0047524A"/>
    <w:rsid w:val="0047524D"/>
    <w:rsid w:val="00475282"/>
    <w:rsid w:val="004752DA"/>
    <w:rsid w:val="00475329"/>
    <w:rsid w:val="00475393"/>
    <w:rsid w:val="004753C1"/>
    <w:rsid w:val="004753DC"/>
    <w:rsid w:val="004753F2"/>
    <w:rsid w:val="0047540D"/>
    <w:rsid w:val="0047544A"/>
    <w:rsid w:val="00475487"/>
    <w:rsid w:val="004754D9"/>
    <w:rsid w:val="00475505"/>
    <w:rsid w:val="0047559F"/>
    <w:rsid w:val="00475605"/>
    <w:rsid w:val="00475650"/>
    <w:rsid w:val="0047566C"/>
    <w:rsid w:val="00475737"/>
    <w:rsid w:val="00475755"/>
    <w:rsid w:val="004757EE"/>
    <w:rsid w:val="00475848"/>
    <w:rsid w:val="00475855"/>
    <w:rsid w:val="0047586B"/>
    <w:rsid w:val="00475877"/>
    <w:rsid w:val="004758B3"/>
    <w:rsid w:val="004758B4"/>
    <w:rsid w:val="004758E8"/>
    <w:rsid w:val="0047591D"/>
    <w:rsid w:val="00475934"/>
    <w:rsid w:val="00475968"/>
    <w:rsid w:val="00475988"/>
    <w:rsid w:val="00475992"/>
    <w:rsid w:val="004759B1"/>
    <w:rsid w:val="00475A19"/>
    <w:rsid w:val="00475A59"/>
    <w:rsid w:val="00475AA5"/>
    <w:rsid w:val="00475AAF"/>
    <w:rsid w:val="00475B36"/>
    <w:rsid w:val="00475B3F"/>
    <w:rsid w:val="00475BE2"/>
    <w:rsid w:val="00475C14"/>
    <w:rsid w:val="00475C29"/>
    <w:rsid w:val="00475C6C"/>
    <w:rsid w:val="00475CB3"/>
    <w:rsid w:val="00475D4A"/>
    <w:rsid w:val="00475E22"/>
    <w:rsid w:val="00475E28"/>
    <w:rsid w:val="00475E32"/>
    <w:rsid w:val="00475E4C"/>
    <w:rsid w:val="00475F49"/>
    <w:rsid w:val="00475F62"/>
    <w:rsid w:val="00475F8E"/>
    <w:rsid w:val="00475FA3"/>
    <w:rsid w:val="00475FB0"/>
    <w:rsid w:val="0047608E"/>
    <w:rsid w:val="00476095"/>
    <w:rsid w:val="004760C2"/>
    <w:rsid w:val="0047610C"/>
    <w:rsid w:val="00476127"/>
    <w:rsid w:val="0047612A"/>
    <w:rsid w:val="00476149"/>
    <w:rsid w:val="0047614B"/>
    <w:rsid w:val="00476176"/>
    <w:rsid w:val="0047617C"/>
    <w:rsid w:val="004761C1"/>
    <w:rsid w:val="00476207"/>
    <w:rsid w:val="00476217"/>
    <w:rsid w:val="0047625A"/>
    <w:rsid w:val="00476272"/>
    <w:rsid w:val="0047629C"/>
    <w:rsid w:val="004762BB"/>
    <w:rsid w:val="004762D7"/>
    <w:rsid w:val="004762EB"/>
    <w:rsid w:val="00476320"/>
    <w:rsid w:val="00476366"/>
    <w:rsid w:val="00476376"/>
    <w:rsid w:val="00476389"/>
    <w:rsid w:val="004763B7"/>
    <w:rsid w:val="004763EB"/>
    <w:rsid w:val="004763F6"/>
    <w:rsid w:val="0047646C"/>
    <w:rsid w:val="00476472"/>
    <w:rsid w:val="00476483"/>
    <w:rsid w:val="0047650D"/>
    <w:rsid w:val="00476541"/>
    <w:rsid w:val="00476564"/>
    <w:rsid w:val="004765BE"/>
    <w:rsid w:val="004765C2"/>
    <w:rsid w:val="00476603"/>
    <w:rsid w:val="00476645"/>
    <w:rsid w:val="004766A7"/>
    <w:rsid w:val="004766AF"/>
    <w:rsid w:val="004766E7"/>
    <w:rsid w:val="004766F1"/>
    <w:rsid w:val="0047671D"/>
    <w:rsid w:val="0047676A"/>
    <w:rsid w:val="004767A5"/>
    <w:rsid w:val="004767EF"/>
    <w:rsid w:val="00476801"/>
    <w:rsid w:val="00476834"/>
    <w:rsid w:val="0047683A"/>
    <w:rsid w:val="00476938"/>
    <w:rsid w:val="0047694F"/>
    <w:rsid w:val="00476966"/>
    <w:rsid w:val="004769A1"/>
    <w:rsid w:val="004769DA"/>
    <w:rsid w:val="004769EB"/>
    <w:rsid w:val="00476A1F"/>
    <w:rsid w:val="00476A56"/>
    <w:rsid w:val="00476A63"/>
    <w:rsid w:val="00476A6A"/>
    <w:rsid w:val="00476A84"/>
    <w:rsid w:val="00476AB1"/>
    <w:rsid w:val="00476AB3"/>
    <w:rsid w:val="00476ADA"/>
    <w:rsid w:val="00476B45"/>
    <w:rsid w:val="00476BBF"/>
    <w:rsid w:val="00476BC0"/>
    <w:rsid w:val="00476C18"/>
    <w:rsid w:val="00476C3B"/>
    <w:rsid w:val="00476C3D"/>
    <w:rsid w:val="00476C8F"/>
    <w:rsid w:val="00476C96"/>
    <w:rsid w:val="00476CF6"/>
    <w:rsid w:val="00476D1E"/>
    <w:rsid w:val="00476D49"/>
    <w:rsid w:val="00476D9C"/>
    <w:rsid w:val="00476DAE"/>
    <w:rsid w:val="00476DF4"/>
    <w:rsid w:val="00476EBA"/>
    <w:rsid w:val="00476F01"/>
    <w:rsid w:val="00476F2F"/>
    <w:rsid w:val="00476F73"/>
    <w:rsid w:val="00476F96"/>
    <w:rsid w:val="00476FF1"/>
    <w:rsid w:val="00477096"/>
    <w:rsid w:val="004770AF"/>
    <w:rsid w:val="004770BD"/>
    <w:rsid w:val="00477110"/>
    <w:rsid w:val="00477129"/>
    <w:rsid w:val="00477130"/>
    <w:rsid w:val="00477144"/>
    <w:rsid w:val="0047714F"/>
    <w:rsid w:val="00477171"/>
    <w:rsid w:val="00477198"/>
    <w:rsid w:val="004771D8"/>
    <w:rsid w:val="004771DF"/>
    <w:rsid w:val="004771F1"/>
    <w:rsid w:val="00477232"/>
    <w:rsid w:val="004772D5"/>
    <w:rsid w:val="0047731C"/>
    <w:rsid w:val="00477344"/>
    <w:rsid w:val="004773AB"/>
    <w:rsid w:val="00477460"/>
    <w:rsid w:val="00477462"/>
    <w:rsid w:val="00477489"/>
    <w:rsid w:val="004774A9"/>
    <w:rsid w:val="00477505"/>
    <w:rsid w:val="0047753D"/>
    <w:rsid w:val="004775D6"/>
    <w:rsid w:val="004775E5"/>
    <w:rsid w:val="0047760C"/>
    <w:rsid w:val="00477687"/>
    <w:rsid w:val="004776C8"/>
    <w:rsid w:val="004776DD"/>
    <w:rsid w:val="0047770E"/>
    <w:rsid w:val="0047770F"/>
    <w:rsid w:val="00477732"/>
    <w:rsid w:val="00477808"/>
    <w:rsid w:val="00477895"/>
    <w:rsid w:val="004778A6"/>
    <w:rsid w:val="004778D8"/>
    <w:rsid w:val="00477980"/>
    <w:rsid w:val="004779A7"/>
    <w:rsid w:val="004779AC"/>
    <w:rsid w:val="00477A48"/>
    <w:rsid w:val="00477A97"/>
    <w:rsid w:val="00477A9A"/>
    <w:rsid w:val="00477AA8"/>
    <w:rsid w:val="00477B67"/>
    <w:rsid w:val="00477B85"/>
    <w:rsid w:val="00477B90"/>
    <w:rsid w:val="00477BCD"/>
    <w:rsid w:val="00477C0C"/>
    <w:rsid w:val="00477C47"/>
    <w:rsid w:val="00477CFD"/>
    <w:rsid w:val="00477D41"/>
    <w:rsid w:val="00477D46"/>
    <w:rsid w:val="00477D4A"/>
    <w:rsid w:val="00477D51"/>
    <w:rsid w:val="00477D59"/>
    <w:rsid w:val="00477D5C"/>
    <w:rsid w:val="00477D9A"/>
    <w:rsid w:val="00477E04"/>
    <w:rsid w:val="00477E1E"/>
    <w:rsid w:val="00477E72"/>
    <w:rsid w:val="00477EA8"/>
    <w:rsid w:val="00477F4C"/>
    <w:rsid w:val="00477F5C"/>
    <w:rsid w:val="00477FC3"/>
    <w:rsid w:val="00480056"/>
    <w:rsid w:val="004800AE"/>
    <w:rsid w:val="004800F3"/>
    <w:rsid w:val="0048011D"/>
    <w:rsid w:val="0048012E"/>
    <w:rsid w:val="00480139"/>
    <w:rsid w:val="0048021D"/>
    <w:rsid w:val="00480247"/>
    <w:rsid w:val="00480256"/>
    <w:rsid w:val="004802B4"/>
    <w:rsid w:val="004802DE"/>
    <w:rsid w:val="004802E8"/>
    <w:rsid w:val="00480324"/>
    <w:rsid w:val="00480341"/>
    <w:rsid w:val="00480365"/>
    <w:rsid w:val="00480373"/>
    <w:rsid w:val="00480447"/>
    <w:rsid w:val="004804CD"/>
    <w:rsid w:val="004804D0"/>
    <w:rsid w:val="004804D5"/>
    <w:rsid w:val="0048052A"/>
    <w:rsid w:val="00480530"/>
    <w:rsid w:val="004805B8"/>
    <w:rsid w:val="004805EB"/>
    <w:rsid w:val="00480612"/>
    <w:rsid w:val="00480623"/>
    <w:rsid w:val="00480639"/>
    <w:rsid w:val="00480656"/>
    <w:rsid w:val="0048071F"/>
    <w:rsid w:val="00480740"/>
    <w:rsid w:val="00480747"/>
    <w:rsid w:val="004807A1"/>
    <w:rsid w:val="004807B4"/>
    <w:rsid w:val="004807BF"/>
    <w:rsid w:val="004807F1"/>
    <w:rsid w:val="00480841"/>
    <w:rsid w:val="00480882"/>
    <w:rsid w:val="00480884"/>
    <w:rsid w:val="004808EF"/>
    <w:rsid w:val="00480939"/>
    <w:rsid w:val="00480949"/>
    <w:rsid w:val="00480953"/>
    <w:rsid w:val="0048095F"/>
    <w:rsid w:val="00480A1F"/>
    <w:rsid w:val="00480A59"/>
    <w:rsid w:val="00480A74"/>
    <w:rsid w:val="00480AB2"/>
    <w:rsid w:val="00480BAE"/>
    <w:rsid w:val="00480C37"/>
    <w:rsid w:val="00480C64"/>
    <w:rsid w:val="00480C6E"/>
    <w:rsid w:val="00480C6F"/>
    <w:rsid w:val="00480C92"/>
    <w:rsid w:val="00480CBF"/>
    <w:rsid w:val="00480D36"/>
    <w:rsid w:val="00480D9E"/>
    <w:rsid w:val="00480DA1"/>
    <w:rsid w:val="00480E49"/>
    <w:rsid w:val="00480E66"/>
    <w:rsid w:val="00480E8C"/>
    <w:rsid w:val="00480E92"/>
    <w:rsid w:val="00480EB1"/>
    <w:rsid w:val="00480EBA"/>
    <w:rsid w:val="00480EE2"/>
    <w:rsid w:val="00480EE4"/>
    <w:rsid w:val="00480F08"/>
    <w:rsid w:val="00480F0E"/>
    <w:rsid w:val="00480F24"/>
    <w:rsid w:val="00480F49"/>
    <w:rsid w:val="00480F56"/>
    <w:rsid w:val="00480FDF"/>
    <w:rsid w:val="00480FEE"/>
    <w:rsid w:val="004810DF"/>
    <w:rsid w:val="004810E1"/>
    <w:rsid w:val="004810EA"/>
    <w:rsid w:val="004810F9"/>
    <w:rsid w:val="0048114A"/>
    <w:rsid w:val="00481186"/>
    <w:rsid w:val="004811A4"/>
    <w:rsid w:val="004811B1"/>
    <w:rsid w:val="0048128B"/>
    <w:rsid w:val="004812C5"/>
    <w:rsid w:val="004812CC"/>
    <w:rsid w:val="00481321"/>
    <w:rsid w:val="00481336"/>
    <w:rsid w:val="00481337"/>
    <w:rsid w:val="0048136C"/>
    <w:rsid w:val="00481373"/>
    <w:rsid w:val="004813E1"/>
    <w:rsid w:val="004813E2"/>
    <w:rsid w:val="0048143D"/>
    <w:rsid w:val="00481448"/>
    <w:rsid w:val="0048144C"/>
    <w:rsid w:val="004814AB"/>
    <w:rsid w:val="00481574"/>
    <w:rsid w:val="0048157A"/>
    <w:rsid w:val="004815F7"/>
    <w:rsid w:val="00481633"/>
    <w:rsid w:val="0048166C"/>
    <w:rsid w:val="00481677"/>
    <w:rsid w:val="0048167A"/>
    <w:rsid w:val="004816B0"/>
    <w:rsid w:val="004816E3"/>
    <w:rsid w:val="004816FA"/>
    <w:rsid w:val="0048177A"/>
    <w:rsid w:val="0048178F"/>
    <w:rsid w:val="004817A3"/>
    <w:rsid w:val="0048180B"/>
    <w:rsid w:val="00481855"/>
    <w:rsid w:val="00481907"/>
    <w:rsid w:val="0048199C"/>
    <w:rsid w:val="00481A00"/>
    <w:rsid w:val="00481A85"/>
    <w:rsid w:val="00481A8F"/>
    <w:rsid w:val="00481B41"/>
    <w:rsid w:val="00481B44"/>
    <w:rsid w:val="00481B99"/>
    <w:rsid w:val="00481BB2"/>
    <w:rsid w:val="00481BD7"/>
    <w:rsid w:val="00481C23"/>
    <w:rsid w:val="00481C39"/>
    <w:rsid w:val="00481C85"/>
    <w:rsid w:val="00481CB5"/>
    <w:rsid w:val="00481CCB"/>
    <w:rsid w:val="00481D02"/>
    <w:rsid w:val="00481D4E"/>
    <w:rsid w:val="00481DE6"/>
    <w:rsid w:val="00481E01"/>
    <w:rsid w:val="00481E12"/>
    <w:rsid w:val="00481E24"/>
    <w:rsid w:val="00481E27"/>
    <w:rsid w:val="00481EB2"/>
    <w:rsid w:val="00481EF1"/>
    <w:rsid w:val="00481F7C"/>
    <w:rsid w:val="00481F83"/>
    <w:rsid w:val="00481F98"/>
    <w:rsid w:val="00481FB3"/>
    <w:rsid w:val="00481FC2"/>
    <w:rsid w:val="00481FC7"/>
    <w:rsid w:val="00482048"/>
    <w:rsid w:val="0048209D"/>
    <w:rsid w:val="004820F5"/>
    <w:rsid w:val="004820F6"/>
    <w:rsid w:val="0048213A"/>
    <w:rsid w:val="0048213C"/>
    <w:rsid w:val="00482144"/>
    <w:rsid w:val="0048219D"/>
    <w:rsid w:val="004821BF"/>
    <w:rsid w:val="004821D4"/>
    <w:rsid w:val="004821EA"/>
    <w:rsid w:val="00482221"/>
    <w:rsid w:val="00482270"/>
    <w:rsid w:val="00482278"/>
    <w:rsid w:val="004822F6"/>
    <w:rsid w:val="004822F7"/>
    <w:rsid w:val="00482342"/>
    <w:rsid w:val="00482344"/>
    <w:rsid w:val="0048234A"/>
    <w:rsid w:val="00482466"/>
    <w:rsid w:val="00482469"/>
    <w:rsid w:val="00482482"/>
    <w:rsid w:val="004824AC"/>
    <w:rsid w:val="004824BB"/>
    <w:rsid w:val="004824CC"/>
    <w:rsid w:val="004824F1"/>
    <w:rsid w:val="0048254E"/>
    <w:rsid w:val="0048255C"/>
    <w:rsid w:val="00482567"/>
    <w:rsid w:val="0048258F"/>
    <w:rsid w:val="004825C1"/>
    <w:rsid w:val="004825C5"/>
    <w:rsid w:val="004825EE"/>
    <w:rsid w:val="00482612"/>
    <w:rsid w:val="00482614"/>
    <w:rsid w:val="0048262F"/>
    <w:rsid w:val="00482668"/>
    <w:rsid w:val="004826AB"/>
    <w:rsid w:val="004826AC"/>
    <w:rsid w:val="004826B4"/>
    <w:rsid w:val="004826BF"/>
    <w:rsid w:val="004826DC"/>
    <w:rsid w:val="00482705"/>
    <w:rsid w:val="00482717"/>
    <w:rsid w:val="0048271A"/>
    <w:rsid w:val="00482720"/>
    <w:rsid w:val="0048274B"/>
    <w:rsid w:val="0048276E"/>
    <w:rsid w:val="0048279F"/>
    <w:rsid w:val="004827A8"/>
    <w:rsid w:val="0048284F"/>
    <w:rsid w:val="0048286B"/>
    <w:rsid w:val="004828A2"/>
    <w:rsid w:val="00482937"/>
    <w:rsid w:val="00482992"/>
    <w:rsid w:val="00482993"/>
    <w:rsid w:val="00482A06"/>
    <w:rsid w:val="00482A9F"/>
    <w:rsid w:val="00482ABB"/>
    <w:rsid w:val="00482ADE"/>
    <w:rsid w:val="00482C1E"/>
    <w:rsid w:val="00482C80"/>
    <w:rsid w:val="00482CB0"/>
    <w:rsid w:val="00482CC0"/>
    <w:rsid w:val="00482CF9"/>
    <w:rsid w:val="00482D82"/>
    <w:rsid w:val="00482D9B"/>
    <w:rsid w:val="00482DA3"/>
    <w:rsid w:val="00482DC3"/>
    <w:rsid w:val="00482DE0"/>
    <w:rsid w:val="00482DF6"/>
    <w:rsid w:val="00482E1C"/>
    <w:rsid w:val="00482E2E"/>
    <w:rsid w:val="00482E30"/>
    <w:rsid w:val="00482E6D"/>
    <w:rsid w:val="00482E92"/>
    <w:rsid w:val="00482E93"/>
    <w:rsid w:val="00482ECC"/>
    <w:rsid w:val="00482F30"/>
    <w:rsid w:val="00482F83"/>
    <w:rsid w:val="00482FA3"/>
    <w:rsid w:val="00482FA6"/>
    <w:rsid w:val="00482FDD"/>
    <w:rsid w:val="00482FF0"/>
    <w:rsid w:val="0048304C"/>
    <w:rsid w:val="00483078"/>
    <w:rsid w:val="00483084"/>
    <w:rsid w:val="00483115"/>
    <w:rsid w:val="00483171"/>
    <w:rsid w:val="004831B9"/>
    <w:rsid w:val="004831D7"/>
    <w:rsid w:val="004831F5"/>
    <w:rsid w:val="00483223"/>
    <w:rsid w:val="00483231"/>
    <w:rsid w:val="00483292"/>
    <w:rsid w:val="004832CB"/>
    <w:rsid w:val="004832CC"/>
    <w:rsid w:val="004832E0"/>
    <w:rsid w:val="00483324"/>
    <w:rsid w:val="0048335A"/>
    <w:rsid w:val="00483361"/>
    <w:rsid w:val="00483363"/>
    <w:rsid w:val="00483385"/>
    <w:rsid w:val="00483390"/>
    <w:rsid w:val="004833C1"/>
    <w:rsid w:val="004833FC"/>
    <w:rsid w:val="00483416"/>
    <w:rsid w:val="004834DF"/>
    <w:rsid w:val="004834E1"/>
    <w:rsid w:val="004834FF"/>
    <w:rsid w:val="0048351A"/>
    <w:rsid w:val="00483538"/>
    <w:rsid w:val="00483556"/>
    <w:rsid w:val="004835B3"/>
    <w:rsid w:val="004835C3"/>
    <w:rsid w:val="004835D7"/>
    <w:rsid w:val="004835DD"/>
    <w:rsid w:val="00483624"/>
    <w:rsid w:val="004836AF"/>
    <w:rsid w:val="004836FB"/>
    <w:rsid w:val="00483739"/>
    <w:rsid w:val="0048373D"/>
    <w:rsid w:val="00483766"/>
    <w:rsid w:val="00483797"/>
    <w:rsid w:val="004837A8"/>
    <w:rsid w:val="004837C1"/>
    <w:rsid w:val="004837DB"/>
    <w:rsid w:val="004837F1"/>
    <w:rsid w:val="00483829"/>
    <w:rsid w:val="0048382D"/>
    <w:rsid w:val="00483837"/>
    <w:rsid w:val="00483897"/>
    <w:rsid w:val="004838BD"/>
    <w:rsid w:val="0048392E"/>
    <w:rsid w:val="0048394D"/>
    <w:rsid w:val="00483997"/>
    <w:rsid w:val="004839D6"/>
    <w:rsid w:val="00483A2A"/>
    <w:rsid w:val="00483A5A"/>
    <w:rsid w:val="00483A64"/>
    <w:rsid w:val="00483ACB"/>
    <w:rsid w:val="00483ACD"/>
    <w:rsid w:val="00483ADE"/>
    <w:rsid w:val="00483B09"/>
    <w:rsid w:val="00483B83"/>
    <w:rsid w:val="00483BCF"/>
    <w:rsid w:val="00483BE7"/>
    <w:rsid w:val="00483C1C"/>
    <w:rsid w:val="00483C73"/>
    <w:rsid w:val="00483C87"/>
    <w:rsid w:val="00483D2A"/>
    <w:rsid w:val="00483D5E"/>
    <w:rsid w:val="00483D6C"/>
    <w:rsid w:val="00483DA4"/>
    <w:rsid w:val="00483DB7"/>
    <w:rsid w:val="00483DFB"/>
    <w:rsid w:val="00483E65"/>
    <w:rsid w:val="00483E87"/>
    <w:rsid w:val="00483EA5"/>
    <w:rsid w:val="00483F0A"/>
    <w:rsid w:val="00483F0D"/>
    <w:rsid w:val="00483F40"/>
    <w:rsid w:val="00483F91"/>
    <w:rsid w:val="00483FF3"/>
    <w:rsid w:val="00484012"/>
    <w:rsid w:val="00484088"/>
    <w:rsid w:val="0048408B"/>
    <w:rsid w:val="004840AA"/>
    <w:rsid w:val="004840C1"/>
    <w:rsid w:val="00484122"/>
    <w:rsid w:val="00484124"/>
    <w:rsid w:val="0048412D"/>
    <w:rsid w:val="00484141"/>
    <w:rsid w:val="00484192"/>
    <w:rsid w:val="004841AF"/>
    <w:rsid w:val="004841B7"/>
    <w:rsid w:val="00484215"/>
    <w:rsid w:val="00484227"/>
    <w:rsid w:val="0048426F"/>
    <w:rsid w:val="004842B6"/>
    <w:rsid w:val="00484329"/>
    <w:rsid w:val="0048436E"/>
    <w:rsid w:val="00484379"/>
    <w:rsid w:val="004843BF"/>
    <w:rsid w:val="004843D7"/>
    <w:rsid w:val="00484403"/>
    <w:rsid w:val="0048440F"/>
    <w:rsid w:val="004844E7"/>
    <w:rsid w:val="0048457D"/>
    <w:rsid w:val="004845AD"/>
    <w:rsid w:val="004845DA"/>
    <w:rsid w:val="0048460E"/>
    <w:rsid w:val="00484648"/>
    <w:rsid w:val="004846FC"/>
    <w:rsid w:val="00484731"/>
    <w:rsid w:val="00484762"/>
    <w:rsid w:val="00484799"/>
    <w:rsid w:val="004847F0"/>
    <w:rsid w:val="00484808"/>
    <w:rsid w:val="00484851"/>
    <w:rsid w:val="00484892"/>
    <w:rsid w:val="00484894"/>
    <w:rsid w:val="004848C4"/>
    <w:rsid w:val="0048492D"/>
    <w:rsid w:val="00484952"/>
    <w:rsid w:val="00484986"/>
    <w:rsid w:val="00484A6F"/>
    <w:rsid w:val="00484AE4"/>
    <w:rsid w:val="00484AF0"/>
    <w:rsid w:val="00484BD9"/>
    <w:rsid w:val="00484C26"/>
    <w:rsid w:val="00484C44"/>
    <w:rsid w:val="00484CAB"/>
    <w:rsid w:val="00484D3F"/>
    <w:rsid w:val="00484D52"/>
    <w:rsid w:val="00484DD7"/>
    <w:rsid w:val="00484DFD"/>
    <w:rsid w:val="00484E3A"/>
    <w:rsid w:val="00484E4E"/>
    <w:rsid w:val="00484E64"/>
    <w:rsid w:val="00484F05"/>
    <w:rsid w:val="00484F08"/>
    <w:rsid w:val="00484F2C"/>
    <w:rsid w:val="00484F5C"/>
    <w:rsid w:val="00484F74"/>
    <w:rsid w:val="00484F86"/>
    <w:rsid w:val="00484F97"/>
    <w:rsid w:val="00484FE3"/>
    <w:rsid w:val="00484FF1"/>
    <w:rsid w:val="00485003"/>
    <w:rsid w:val="00485041"/>
    <w:rsid w:val="0048505E"/>
    <w:rsid w:val="0048507C"/>
    <w:rsid w:val="004850E7"/>
    <w:rsid w:val="00485113"/>
    <w:rsid w:val="00485140"/>
    <w:rsid w:val="00485166"/>
    <w:rsid w:val="00485188"/>
    <w:rsid w:val="0048518E"/>
    <w:rsid w:val="00485255"/>
    <w:rsid w:val="00485290"/>
    <w:rsid w:val="00485313"/>
    <w:rsid w:val="0048535B"/>
    <w:rsid w:val="004853AA"/>
    <w:rsid w:val="004853FA"/>
    <w:rsid w:val="0048542C"/>
    <w:rsid w:val="00485451"/>
    <w:rsid w:val="004854A3"/>
    <w:rsid w:val="00485546"/>
    <w:rsid w:val="004855E3"/>
    <w:rsid w:val="00485616"/>
    <w:rsid w:val="0048562B"/>
    <w:rsid w:val="00485654"/>
    <w:rsid w:val="00485679"/>
    <w:rsid w:val="0048568D"/>
    <w:rsid w:val="0048576E"/>
    <w:rsid w:val="0048578A"/>
    <w:rsid w:val="004857B7"/>
    <w:rsid w:val="004857DE"/>
    <w:rsid w:val="00485854"/>
    <w:rsid w:val="004858B2"/>
    <w:rsid w:val="004858C7"/>
    <w:rsid w:val="004858F4"/>
    <w:rsid w:val="00485915"/>
    <w:rsid w:val="00485965"/>
    <w:rsid w:val="0048599C"/>
    <w:rsid w:val="004859A1"/>
    <w:rsid w:val="004859F9"/>
    <w:rsid w:val="00485A01"/>
    <w:rsid w:val="00485AB9"/>
    <w:rsid w:val="00485AF7"/>
    <w:rsid w:val="00485B07"/>
    <w:rsid w:val="00485B8A"/>
    <w:rsid w:val="00485B9C"/>
    <w:rsid w:val="00485BA1"/>
    <w:rsid w:val="00485BA2"/>
    <w:rsid w:val="00485BF9"/>
    <w:rsid w:val="00485C0E"/>
    <w:rsid w:val="00485C6A"/>
    <w:rsid w:val="00485C76"/>
    <w:rsid w:val="00485CA0"/>
    <w:rsid w:val="00485CA2"/>
    <w:rsid w:val="00485CF0"/>
    <w:rsid w:val="00485CF1"/>
    <w:rsid w:val="00485D1B"/>
    <w:rsid w:val="00485D44"/>
    <w:rsid w:val="00485D94"/>
    <w:rsid w:val="00485DB8"/>
    <w:rsid w:val="00485DD7"/>
    <w:rsid w:val="00485E55"/>
    <w:rsid w:val="00485E5E"/>
    <w:rsid w:val="00485E79"/>
    <w:rsid w:val="00485E88"/>
    <w:rsid w:val="00485EE5"/>
    <w:rsid w:val="00485EF6"/>
    <w:rsid w:val="00485F88"/>
    <w:rsid w:val="00486113"/>
    <w:rsid w:val="00486191"/>
    <w:rsid w:val="0048619C"/>
    <w:rsid w:val="0048619F"/>
    <w:rsid w:val="004861A5"/>
    <w:rsid w:val="00486243"/>
    <w:rsid w:val="004862B4"/>
    <w:rsid w:val="004862B6"/>
    <w:rsid w:val="004862BE"/>
    <w:rsid w:val="004862E0"/>
    <w:rsid w:val="00486325"/>
    <w:rsid w:val="00486334"/>
    <w:rsid w:val="0048635F"/>
    <w:rsid w:val="00486398"/>
    <w:rsid w:val="004863D4"/>
    <w:rsid w:val="00486419"/>
    <w:rsid w:val="00486434"/>
    <w:rsid w:val="00486488"/>
    <w:rsid w:val="00486497"/>
    <w:rsid w:val="004864AF"/>
    <w:rsid w:val="004864C2"/>
    <w:rsid w:val="004864F6"/>
    <w:rsid w:val="0048650B"/>
    <w:rsid w:val="00486522"/>
    <w:rsid w:val="00486538"/>
    <w:rsid w:val="00486550"/>
    <w:rsid w:val="0048655C"/>
    <w:rsid w:val="0048656D"/>
    <w:rsid w:val="004865B5"/>
    <w:rsid w:val="004865D9"/>
    <w:rsid w:val="004865F9"/>
    <w:rsid w:val="0048661F"/>
    <w:rsid w:val="00486652"/>
    <w:rsid w:val="004866B5"/>
    <w:rsid w:val="004866CE"/>
    <w:rsid w:val="004866EC"/>
    <w:rsid w:val="0048670F"/>
    <w:rsid w:val="00486722"/>
    <w:rsid w:val="0048672A"/>
    <w:rsid w:val="0048676A"/>
    <w:rsid w:val="00486797"/>
    <w:rsid w:val="0048679D"/>
    <w:rsid w:val="004867AE"/>
    <w:rsid w:val="004867BB"/>
    <w:rsid w:val="004867C9"/>
    <w:rsid w:val="00486807"/>
    <w:rsid w:val="00486808"/>
    <w:rsid w:val="00486860"/>
    <w:rsid w:val="00486890"/>
    <w:rsid w:val="004868F1"/>
    <w:rsid w:val="00486925"/>
    <w:rsid w:val="004869AB"/>
    <w:rsid w:val="004869C4"/>
    <w:rsid w:val="00486A1C"/>
    <w:rsid w:val="00486B00"/>
    <w:rsid w:val="00486B31"/>
    <w:rsid w:val="00486B91"/>
    <w:rsid w:val="00486C1B"/>
    <w:rsid w:val="00486C5C"/>
    <w:rsid w:val="00486D0B"/>
    <w:rsid w:val="00486D36"/>
    <w:rsid w:val="00486D55"/>
    <w:rsid w:val="00486D5C"/>
    <w:rsid w:val="00486D98"/>
    <w:rsid w:val="00486DA2"/>
    <w:rsid w:val="00486DD4"/>
    <w:rsid w:val="00486DE2"/>
    <w:rsid w:val="00486DFA"/>
    <w:rsid w:val="00486E02"/>
    <w:rsid w:val="00486E7D"/>
    <w:rsid w:val="00486EB5"/>
    <w:rsid w:val="00486EE9"/>
    <w:rsid w:val="00486EF4"/>
    <w:rsid w:val="00486F32"/>
    <w:rsid w:val="00486F3C"/>
    <w:rsid w:val="00486F98"/>
    <w:rsid w:val="00486F9A"/>
    <w:rsid w:val="00486FCA"/>
    <w:rsid w:val="00486FFA"/>
    <w:rsid w:val="00487008"/>
    <w:rsid w:val="0048700D"/>
    <w:rsid w:val="00487033"/>
    <w:rsid w:val="0048704C"/>
    <w:rsid w:val="00487073"/>
    <w:rsid w:val="00487080"/>
    <w:rsid w:val="00487081"/>
    <w:rsid w:val="00487105"/>
    <w:rsid w:val="00487177"/>
    <w:rsid w:val="004871A4"/>
    <w:rsid w:val="004871CD"/>
    <w:rsid w:val="004871DB"/>
    <w:rsid w:val="00487277"/>
    <w:rsid w:val="00487297"/>
    <w:rsid w:val="00487351"/>
    <w:rsid w:val="00487390"/>
    <w:rsid w:val="004873B7"/>
    <w:rsid w:val="0048740E"/>
    <w:rsid w:val="00487468"/>
    <w:rsid w:val="004874B5"/>
    <w:rsid w:val="004874BC"/>
    <w:rsid w:val="004874C0"/>
    <w:rsid w:val="004874FB"/>
    <w:rsid w:val="00487514"/>
    <w:rsid w:val="00487545"/>
    <w:rsid w:val="00487550"/>
    <w:rsid w:val="0048758F"/>
    <w:rsid w:val="0048760A"/>
    <w:rsid w:val="00487614"/>
    <w:rsid w:val="00487624"/>
    <w:rsid w:val="00487659"/>
    <w:rsid w:val="0048766B"/>
    <w:rsid w:val="00487682"/>
    <w:rsid w:val="004876AC"/>
    <w:rsid w:val="004876C2"/>
    <w:rsid w:val="004876F3"/>
    <w:rsid w:val="00487742"/>
    <w:rsid w:val="0048777F"/>
    <w:rsid w:val="004877C5"/>
    <w:rsid w:val="004877E2"/>
    <w:rsid w:val="004877E4"/>
    <w:rsid w:val="00487835"/>
    <w:rsid w:val="00487837"/>
    <w:rsid w:val="0048784D"/>
    <w:rsid w:val="00487854"/>
    <w:rsid w:val="00487875"/>
    <w:rsid w:val="0048789A"/>
    <w:rsid w:val="0048789F"/>
    <w:rsid w:val="004878C2"/>
    <w:rsid w:val="004878D5"/>
    <w:rsid w:val="004878D6"/>
    <w:rsid w:val="004878F3"/>
    <w:rsid w:val="004878F9"/>
    <w:rsid w:val="00487936"/>
    <w:rsid w:val="00487960"/>
    <w:rsid w:val="00487985"/>
    <w:rsid w:val="00487A62"/>
    <w:rsid w:val="00487A80"/>
    <w:rsid w:val="00487B70"/>
    <w:rsid w:val="00487B94"/>
    <w:rsid w:val="00487BD7"/>
    <w:rsid w:val="00487BDA"/>
    <w:rsid w:val="00487BFC"/>
    <w:rsid w:val="00487C68"/>
    <w:rsid w:val="00487C8B"/>
    <w:rsid w:val="00487C95"/>
    <w:rsid w:val="00487CCD"/>
    <w:rsid w:val="00487CF0"/>
    <w:rsid w:val="00487D07"/>
    <w:rsid w:val="00487D72"/>
    <w:rsid w:val="00487DA1"/>
    <w:rsid w:val="00487DAD"/>
    <w:rsid w:val="00487DD3"/>
    <w:rsid w:val="00487E38"/>
    <w:rsid w:val="00487E48"/>
    <w:rsid w:val="00487E84"/>
    <w:rsid w:val="00487EC2"/>
    <w:rsid w:val="00487ECB"/>
    <w:rsid w:val="00487ED3"/>
    <w:rsid w:val="00487ED7"/>
    <w:rsid w:val="00487EF5"/>
    <w:rsid w:val="00487F03"/>
    <w:rsid w:val="00487F9C"/>
    <w:rsid w:val="00490000"/>
    <w:rsid w:val="0049003C"/>
    <w:rsid w:val="0049004B"/>
    <w:rsid w:val="004900A3"/>
    <w:rsid w:val="004900B2"/>
    <w:rsid w:val="004900C7"/>
    <w:rsid w:val="004900DE"/>
    <w:rsid w:val="004900E0"/>
    <w:rsid w:val="004900E1"/>
    <w:rsid w:val="0049011C"/>
    <w:rsid w:val="004901AB"/>
    <w:rsid w:val="004901AC"/>
    <w:rsid w:val="004901BC"/>
    <w:rsid w:val="004901F4"/>
    <w:rsid w:val="00490265"/>
    <w:rsid w:val="004902AA"/>
    <w:rsid w:val="004902AF"/>
    <w:rsid w:val="0049032C"/>
    <w:rsid w:val="004903AA"/>
    <w:rsid w:val="004903AF"/>
    <w:rsid w:val="004903F1"/>
    <w:rsid w:val="00490416"/>
    <w:rsid w:val="0049047E"/>
    <w:rsid w:val="004904B2"/>
    <w:rsid w:val="004904D1"/>
    <w:rsid w:val="004904D3"/>
    <w:rsid w:val="004904D7"/>
    <w:rsid w:val="00490598"/>
    <w:rsid w:val="00490599"/>
    <w:rsid w:val="0049062B"/>
    <w:rsid w:val="0049065C"/>
    <w:rsid w:val="004906AA"/>
    <w:rsid w:val="004906B1"/>
    <w:rsid w:val="004906D8"/>
    <w:rsid w:val="0049070C"/>
    <w:rsid w:val="00490746"/>
    <w:rsid w:val="00490772"/>
    <w:rsid w:val="004907F0"/>
    <w:rsid w:val="0049081B"/>
    <w:rsid w:val="00490854"/>
    <w:rsid w:val="00490868"/>
    <w:rsid w:val="004908A3"/>
    <w:rsid w:val="00490927"/>
    <w:rsid w:val="0049093A"/>
    <w:rsid w:val="00490953"/>
    <w:rsid w:val="00490956"/>
    <w:rsid w:val="00490974"/>
    <w:rsid w:val="004909B0"/>
    <w:rsid w:val="00490A46"/>
    <w:rsid w:val="00490A71"/>
    <w:rsid w:val="00490A82"/>
    <w:rsid w:val="00490AA6"/>
    <w:rsid w:val="00490ACF"/>
    <w:rsid w:val="00490B07"/>
    <w:rsid w:val="00490B93"/>
    <w:rsid w:val="00490BD9"/>
    <w:rsid w:val="00490C5C"/>
    <w:rsid w:val="00490C9D"/>
    <w:rsid w:val="00490CAA"/>
    <w:rsid w:val="00490CB8"/>
    <w:rsid w:val="00490CF5"/>
    <w:rsid w:val="00490D60"/>
    <w:rsid w:val="00490DB6"/>
    <w:rsid w:val="00490E02"/>
    <w:rsid w:val="00490E0D"/>
    <w:rsid w:val="00490E1A"/>
    <w:rsid w:val="00490EBE"/>
    <w:rsid w:val="00490ECA"/>
    <w:rsid w:val="00490ECC"/>
    <w:rsid w:val="00490FDA"/>
    <w:rsid w:val="00491029"/>
    <w:rsid w:val="0049108B"/>
    <w:rsid w:val="0049109F"/>
    <w:rsid w:val="004910D4"/>
    <w:rsid w:val="004910DD"/>
    <w:rsid w:val="004910E7"/>
    <w:rsid w:val="00491102"/>
    <w:rsid w:val="00491160"/>
    <w:rsid w:val="00491181"/>
    <w:rsid w:val="004911B1"/>
    <w:rsid w:val="004911B5"/>
    <w:rsid w:val="004911E2"/>
    <w:rsid w:val="004911E6"/>
    <w:rsid w:val="0049126D"/>
    <w:rsid w:val="0049134C"/>
    <w:rsid w:val="0049138B"/>
    <w:rsid w:val="004913DC"/>
    <w:rsid w:val="00491416"/>
    <w:rsid w:val="004914A0"/>
    <w:rsid w:val="004914FD"/>
    <w:rsid w:val="004915AA"/>
    <w:rsid w:val="00491604"/>
    <w:rsid w:val="0049167F"/>
    <w:rsid w:val="004916A7"/>
    <w:rsid w:val="004916B0"/>
    <w:rsid w:val="004916E7"/>
    <w:rsid w:val="00491725"/>
    <w:rsid w:val="00491730"/>
    <w:rsid w:val="00491762"/>
    <w:rsid w:val="004917AD"/>
    <w:rsid w:val="004917BD"/>
    <w:rsid w:val="004917C0"/>
    <w:rsid w:val="00491807"/>
    <w:rsid w:val="00491821"/>
    <w:rsid w:val="0049185A"/>
    <w:rsid w:val="0049187F"/>
    <w:rsid w:val="00491880"/>
    <w:rsid w:val="00491887"/>
    <w:rsid w:val="004918B6"/>
    <w:rsid w:val="004918C2"/>
    <w:rsid w:val="00491907"/>
    <w:rsid w:val="00491949"/>
    <w:rsid w:val="0049194B"/>
    <w:rsid w:val="0049194E"/>
    <w:rsid w:val="0049195A"/>
    <w:rsid w:val="0049196F"/>
    <w:rsid w:val="004919D0"/>
    <w:rsid w:val="004919ED"/>
    <w:rsid w:val="00491A25"/>
    <w:rsid w:val="00491A31"/>
    <w:rsid w:val="00491A49"/>
    <w:rsid w:val="00491A6E"/>
    <w:rsid w:val="00491A7D"/>
    <w:rsid w:val="00491AEE"/>
    <w:rsid w:val="00491AF4"/>
    <w:rsid w:val="00491B05"/>
    <w:rsid w:val="00491B15"/>
    <w:rsid w:val="00491BE9"/>
    <w:rsid w:val="00491C5C"/>
    <w:rsid w:val="00491D28"/>
    <w:rsid w:val="00491D63"/>
    <w:rsid w:val="00491D93"/>
    <w:rsid w:val="00491DBE"/>
    <w:rsid w:val="00491DCD"/>
    <w:rsid w:val="00491E2C"/>
    <w:rsid w:val="00491E6F"/>
    <w:rsid w:val="00491E76"/>
    <w:rsid w:val="00491E80"/>
    <w:rsid w:val="00491F0C"/>
    <w:rsid w:val="00491F80"/>
    <w:rsid w:val="00491F94"/>
    <w:rsid w:val="00491FB8"/>
    <w:rsid w:val="004920D6"/>
    <w:rsid w:val="004920EA"/>
    <w:rsid w:val="0049214C"/>
    <w:rsid w:val="00492161"/>
    <w:rsid w:val="0049216B"/>
    <w:rsid w:val="004921EB"/>
    <w:rsid w:val="0049221E"/>
    <w:rsid w:val="00492294"/>
    <w:rsid w:val="004922C7"/>
    <w:rsid w:val="004922CD"/>
    <w:rsid w:val="0049231A"/>
    <w:rsid w:val="00492352"/>
    <w:rsid w:val="004923A3"/>
    <w:rsid w:val="004923D4"/>
    <w:rsid w:val="0049242C"/>
    <w:rsid w:val="00492431"/>
    <w:rsid w:val="00492514"/>
    <w:rsid w:val="00492536"/>
    <w:rsid w:val="004925E9"/>
    <w:rsid w:val="004925F5"/>
    <w:rsid w:val="00492671"/>
    <w:rsid w:val="00492730"/>
    <w:rsid w:val="00492733"/>
    <w:rsid w:val="00492745"/>
    <w:rsid w:val="00492782"/>
    <w:rsid w:val="0049284D"/>
    <w:rsid w:val="00492869"/>
    <w:rsid w:val="00492933"/>
    <w:rsid w:val="00492980"/>
    <w:rsid w:val="0049299B"/>
    <w:rsid w:val="004929CF"/>
    <w:rsid w:val="004929F7"/>
    <w:rsid w:val="00492A04"/>
    <w:rsid w:val="00492A29"/>
    <w:rsid w:val="00492A5C"/>
    <w:rsid w:val="00492A6F"/>
    <w:rsid w:val="00492A86"/>
    <w:rsid w:val="00492AF1"/>
    <w:rsid w:val="00492B20"/>
    <w:rsid w:val="00492B4C"/>
    <w:rsid w:val="00492BA1"/>
    <w:rsid w:val="00492CCA"/>
    <w:rsid w:val="00492CFA"/>
    <w:rsid w:val="00492D73"/>
    <w:rsid w:val="00492D85"/>
    <w:rsid w:val="00492E05"/>
    <w:rsid w:val="00492E09"/>
    <w:rsid w:val="00492E21"/>
    <w:rsid w:val="00492E74"/>
    <w:rsid w:val="00492EB9"/>
    <w:rsid w:val="00492EF6"/>
    <w:rsid w:val="00492F64"/>
    <w:rsid w:val="00492F71"/>
    <w:rsid w:val="00492F72"/>
    <w:rsid w:val="00492F84"/>
    <w:rsid w:val="00492FB7"/>
    <w:rsid w:val="00492FCB"/>
    <w:rsid w:val="00493005"/>
    <w:rsid w:val="00493021"/>
    <w:rsid w:val="00493033"/>
    <w:rsid w:val="0049305C"/>
    <w:rsid w:val="0049307B"/>
    <w:rsid w:val="004930D9"/>
    <w:rsid w:val="004930F5"/>
    <w:rsid w:val="004930F6"/>
    <w:rsid w:val="0049312C"/>
    <w:rsid w:val="00493169"/>
    <w:rsid w:val="0049320E"/>
    <w:rsid w:val="004932A1"/>
    <w:rsid w:val="004932B7"/>
    <w:rsid w:val="00493304"/>
    <w:rsid w:val="00493338"/>
    <w:rsid w:val="004933CF"/>
    <w:rsid w:val="00493432"/>
    <w:rsid w:val="004934AF"/>
    <w:rsid w:val="004934B1"/>
    <w:rsid w:val="004934E7"/>
    <w:rsid w:val="00493514"/>
    <w:rsid w:val="00493531"/>
    <w:rsid w:val="0049353F"/>
    <w:rsid w:val="004935D7"/>
    <w:rsid w:val="00493601"/>
    <w:rsid w:val="00493602"/>
    <w:rsid w:val="00493618"/>
    <w:rsid w:val="00493665"/>
    <w:rsid w:val="00493692"/>
    <w:rsid w:val="004936A2"/>
    <w:rsid w:val="004936C2"/>
    <w:rsid w:val="0049375D"/>
    <w:rsid w:val="004937B1"/>
    <w:rsid w:val="004937C0"/>
    <w:rsid w:val="004937D8"/>
    <w:rsid w:val="00493843"/>
    <w:rsid w:val="00493863"/>
    <w:rsid w:val="004938AC"/>
    <w:rsid w:val="004938BD"/>
    <w:rsid w:val="004938F7"/>
    <w:rsid w:val="0049391F"/>
    <w:rsid w:val="00493964"/>
    <w:rsid w:val="00493986"/>
    <w:rsid w:val="0049398C"/>
    <w:rsid w:val="004939A0"/>
    <w:rsid w:val="004939D5"/>
    <w:rsid w:val="00493A29"/>
    <w:rsid w:val="00493A37"/>
    <w:rsid w:val="00493A4C"/>
    <w:rsid w:val="00493B0F"/>
    <w:rsid w:val="00493B31"/>
    <w:rsid w:val="00493B75"/>
    <w:rsid w:val="00493B8A"/>
    <w:rsid w:val="00493B8D"/>
    <w:rsid w:val="00493BEA"/>
    <w:rsid w:val="00493BF6"/>
    <w:rsid w:val="00493C27"/>
    <w:rsid w:val="00493C64"/>
    <w:rsid w:val="00493C66"/>
    <w:rsid w:val="00493D0F"/>
    <w:rsid w:val="00493D62"/>
    <w:rsid w:val="00493D9D"/>
    <w:rsid w:val="00493DA2"/>
    <w:rsid w:val="00493E0F"/>
    <w:rsid w:val="00493E41"/>
    <w:rsid w:val="00493E69"/>
    <w:rsid w:val="00493E7C"/>
    <w:rsid w:val="00493E7F"/>
    <w:rsid w:val="00493E82"/>
    <w:rsid w:val="00493EB9"/>
    <w:rsid w:val="00493EBD"/>
    <w:rsid w:val="00493ECD"/>
    <w:rsid w:val="00493F54"/>
    <w:rsid w:val="00493F64"/>
    <w:rsid w:val="00493F67"/>
    <w:rsid w:val="00493F81"/>
    <w:rsid w:val="00493F86"/>
    <w:rsid w:val="0049400B"/>
    <w:rsid w:val="00494119"/>
    <w:rsid w:val="00494145"/>
    <w:rsid w:val="00494170"/>
    <w:rsid w:val="00494175"/>
    <w:rsid w:val="0049425D"/>
    <w:rsid w:val="00494289"/>
    <w:rsid w:val="004942AF"/>
    <w:rsid w:val="004942F9"/>
    <w:rsid w:val="00494388"/>
    <w:rsid w:val="00494395"/>
    <w:rsid w:val="0049439D"/>
    <w:rsid w:val="00494485"/>
    <w:rsid w:val="0049449E"/>
    <w:rsid w:val="004944E0"/>
    <w:rsid w:val="0049450C"/>
    <w:rsid w:val="0049451E"/>
    <w:rsid w:val="00494582"/>
    <w:rsid w:val="0049458D"/>
    <w:rsid w:val="0049459E"/>
    <w:rsid w:val="004945B7"/>
    <w:rsid w:val="004945BA"/>
    <w:rsid w:val="0049460B"/>
    <w:rsid w:val="004946AA"/>
    <w:rsid w:val="004946B2"/>
    <w:rsid w:val="004946C2"/>
    <w:rsid w:val="004946CD"/>
    <w:rsid w:val="004946FE"/>
    <w:rsid w:val="0049473B"/>
    <w:rsid w:val="00494848"/>
    <w:rsid w:val="00494849"/>
    <w:rsid w:val="00494876"/>
    <w:rsid w:val="00494894"/>
    <w:rsid w:val="004948B0"/>
    <w:rsid w:val="004948D3"/>
    <w:rsid w:val="004948EC"/>
    <w:rsid w:val="0049491C"/>
    <w:rsid w:val="00494922"/>
    <w:rsid w:val="0049494E"/>
    <w:rsid w:val="004949BA"/>
    <w:rsid w:val="004949D8"/>
    <w:rsid w:val="00494A50"/>
    <w:rsid w:val="00494A67"/>
    <w:rsid w:val="00494A86"/>
    <w:rsid w:val="00494AD9"/>
    <w:rsid w:val="00494B36"/>
    <w:rsid w:val="00494B4E"/>
    <w:rsid w:val="00494B7A"/>
    <w:rsid w:val="00494B92"/>
    <w:rsid w:val="00494C1E"/>
    <w:rsid w:val="00494C30"/>
    <w:rsid w:val="00494C4B"/>
    <w:rsid w:val="00494C54"/>
    <w:rsid w:val="00494CAA"/>
    <w:rsid w:val="00494D1A"/>
    <w:rsid w:val="00494D4F"/>
    <w:rsid w:val="00494DBF"/>
    <w:rsid w:val="00494DC0"/>
    <w:rsid w:val="00494DF0"/>
    <w:rsid w:val="00494E4C"/>
    <w:rsid w:val="00494EEB"/>
    <w:rsid w:val="00494F33"/>
    <w:rsid w:val="00494F62"/>
    <w:rsid w:val="00495001"/>
    <w:rsid w:val="0049511C"/>
    <w:rsid w:val="00495178"/>
    <w:rsid w:val="004951B4"/>
    <w:rsid w:val="0049522A"/>
    <w:rsid w:val="0049524B"/>
    <w:rsid w:val="0049526C"/>
    <w:rsid w:val="0049527E"/>
    <w:rsid w:val="0049536C"/>
    <w:rsid w:val="004953FB"/>
    <w:rsid w:val="00495483"/>
    <w:rsid w:val="004954DA"/>
    <w:rsid w:val="004954FD"/>
    <w:rsid w:val="00495530"/>
    <w:rsid w:val="00495532"/>
    <w:rsid w:val="00495548"/>
    <w:rsid w:val="00495602"/>
    <w:rsid w:val="00495654"/>
    <w:rsid w:val="00495699"/>
    <w:rsid w:val="00495702"/>
    <w:rsid w:val="00495709"/>
    <w:rsid w:val="00495735"/>
    <w:rsid w:val="0049574D"/>
    <w:rsid w:val="00495798"/>
    <w:rsid w:val="004957B3"/>
    <w:rsid w:val="00495826"/>
    <w:rsid w:val="00495847"/>
    <w:rsid w:val="00495859"/>
    <w:rsid w:val="00495879"/>
    <w:rsid w:val="004958A5"/>
    <w:rsid w:val="004958B8"/>
    <w:rsid w:val="004958E8"/>
    <w:rsid w:val="004958ED"/>
    <w:rsid w:val="00495917"/>
    <w:rsid w:val="0049592C"/>
    <w:rsid w:val="0049597E"/>
    <w:rsid w:val="004959B5"/>
    <w:rsid w:val="004959DA"/>
    <w:rsid w:val="004959E4"/>
    <w:rsid w:val="00495A33"/>
    <w:rsid w:val="00495AA3"/>
    <w:rsid w:val="00495AA8"/>
    <w:rsid w:val="00495ACF"/>
    <w:rsid w:val="00495AE5"/>
    <w:rsid w:val="00495AEF"/>
    <w:rsid w:val="00495AFA"/>
    <w:rsid w:val="00495B23"/>
    <w:rsid w:val="00495B4E"/>
    <w:rsid w:val="00495B62"/>
    <w:rsid w:val="00495BAE"/>
    <w:rsid w:val="00495BB6"/>
    <w:rsid w:val="00495BC2"/>
    <w:rsid w:val="00495BC7"/>
    <w:rsid w:val="00495C0A"/>
    <w:rsid w:val="00495C56"/>
    <w:rsid w:val="00495C60"/>
    <w:rsid w:val="00495C9B"/>
    <w:rsid w:val="00495CA8"/>
    <w:rsid w:val="00495CC5"/>
    <w:rsid w:val="00495CDD"/>
    <w:rsid w:val="00495D0A"/>
    <w:rsid w:val="00495D7E"/>
    <w:rsid w:val="00495D93"/>
    <w:rsid w:val="00495DBE"/>
    <w:rsid w:val="00495E0E"/>
    <w:rsid w:val="00495E49"/>
    <w:rsid w:val="00495EAF"/>
    <w:rsid w:val="00495F8D"/>
    <w:rsid w:val="00495FAC"/>
    <w:rsid w:val="00496066"/>
    <w:rsid w:val="0049606D"/>
    <w:rsid w:val="00496092"/>
    <w:rsid w:val="004960A9"/>
    <w:rsid w:val="0049611E"/>
    <w:rsid w:val="00496128"/>
    <w:rsid w:val="0049613F"/>
    <w:rsid w:val="00496178"/>
    <w:rsid w:val="00496199"/>
    <w:rsid w:val="004961B7"/>
    <w:rsid w:val="004961E1"/>
    <w:rsid w:val="004961F0"/>
    <w:rsid w:val="004961F1"/>
    <w:rsid w:val="00496238"/>
    <w:rsid w:val="00496268"/>
    <w:rsid w:val="0049627C"/>
    <w:rsid w:val="0049628E"/>
    <w:rsid w:val="00496293"/>
    <w:rsid w:val="00496302"/>
    <w:rsid w:val="0049635F"/>
    <w:rsid w:val="004963D0"/>
    <w:rsid w:val="0049644E"/>
    <w:rsid w:val="00496454"/>
    <w:rsid w:val="00496474"/>
    <w:rsid w:val="0049647A"/>
    <w:rsid w:val="00496483"/>
    <w:rsid w:val="00496504"/>
    <w:rsid w:val="00496509"/>
    <w:rsid w:val="0049658D"/>
    <w:rsid w:val="004965A5"/>
    <w:rsid w:val="004965BF"/>
    <w:rsid w:val="004965F6"/>
    <w:rsid w:val="00496629"/>
    <w:rsid w:val="00496645"/>
    <w:rsid w:val="00496656"/>
    <w:rsid w:val="0049665B"/>
    <w:rsid w:val="0049666B"/>
    <w:rsid w:val="00496676"/>
    <w:rsid w:val="004966B9"/>
    <w:rsid w:val="004966CA"/>
    <w:rsid w:val="0049672A"/>
    <w:rsid w:val="00496763"/>
    <w:rsid w:val="004967B9"/>
    <w:rsid w:val="004967CF"/>
    <w:rsid w:val="004967EB"/>
    <w:rsid w:val="00496802"/>
    <w:rsid w:val="00496841"/>
    <w:rsid w:val="004968C0"/>
    <w:rsid w:val="004968F0"/>
    <w:rsid w:val="004968FD"/>
    <w:rsid w:val="00496937"/>
    <w:rsid w:val="0049693A"/>
    <w:rsid w:val="00496958"/>
    <w:rsid w:val="00496964"/>
    <w:rsid w:val="00496984"/>
    <w:rsid w:val="004969FD"/>
    <w:rsid w:val="00496A29"/>
    <w:rsid w:val="00496A38"/>
    <w:rsid w:val="00496A44"/>
    <w:rsid w:val="00496A4F"/>
    <w:rsid w:val="00496AE9"/>
    <w:rsid w:val="00496B01"/>
    <w:rsid w:val="00496B2B"/>
    <w:rsid w:val="00496B2E"/>
    <w:rsid w:val="00496BB8"/>
    <w:rsid w:val="00496BBF"/>
    <w:rsid w:val="00496BC0"/>
    <w:rsid w:val="00496BE4"/>
    <w:rsid w:val="00496C17"/>
    <w:rsid w:val="00496C9D"/>
    <w:rsid w:val="00496CAA"/>
    <w:rsid w:val="00496CC4"/>
    <w:rsid w:val="00496CCB"/>
    <w:rsid w:val="00496CDB"/>
    <w:rsid w:val="00496CE6"/>
    <w:rsid w:val="00496CF7"/>
    <w:rsid w:val="00496D48"/>
    <w:rsid w:val="00496D59"/>
    <w:rsid w:val="00496D73"/>
    <w:rsid w:val="00496D85"/>
    <w:rsid w:val="00496DAF"/>
    <w:rsid w:val="00496E13"/>
    <w:rsid w:val="00496E1E"/>
    <w:rsid w:val="00496E81"/>
    <w:rsid w:val="00496E8E"/>
    <w:rsid w:val="00496E97"/>
    <w:rsid w:val="00496EA2"/>
    <w:rsid w:val="00496F13"/>
    <w:rsid w:val="00496FA4"/>
    <w:rsid w:val="00496FC4"/>
    <w:rsid w:val="00496FD5"/>
    <w:rsid w:val="00496FF0"/>
    <w:rsid w:val="00497022"/>
    <w:rsid w:val="00497043"/>
    <w:rsid w:val="0049715B"/>
    <w:rsid w:val="0049715C"/>
    <w:rsid w:val="004971D6"/>
    <w:rsid w:val="0049721E"/>
    <w:rsid w:val="00497259"/>
    <w:rsid w:val="00497262"/>
    <w:rsid w:val="0049729B"/>
    <w:rsid w:val="004972B4"/>
    <w:rsid w:val="004972D3"/>
    <w:rsid w:val="00497344"/>
    <w:rsid w:val="00497384"/>
    <w:rsid w:val="004973A0"/>
    <w:rsid w:val="0049741A"/>
    <w:rsid w:val="0049741D"/>
    <w:rsid w:val="00497425"/>
    <w:rsid w:val="00497444"/>
    <w:rsid w:val="004974E7"/>
    <w:rsid w:val="004974FF"/>
    <w:rsid w:val="00497508"/>
    <w:rsid w:val="0049752E"/>
    <w:rsid w:val="0049756B"/>
    <w:rsid w:val="004975AF"/>
    <w:rsid w:val="004975EC"/>
    <w:rsid w:val="00497602"/>
    <w:rsid w:val="0049763F"/>
    <w:rsid w:val="00497658"/>
    <w:rsid w:val="00497664"/>
    <w:rsid w:val="0049766B"/>
    <w:rsid w:val="004976CF"/>
    <w:rsid w:val="004976FA"/>
    <w:rsid w:val="00497702"/>
    <w:rsid w:val="00497731"/>
    <w:rsid w:val="00497733"/>
    <w:rsid w:val="0049774A"/>
    <w:rsid w:val="00497797"/>
    <w:rsid w:val="004977D1"/>
    <w:rsid w:val="00497817"/>
    <w:rsid w:val="004978AA"/>
    <w:rsid w:val="004978CB"/>
    <w:rsid w:val="004978E5"/>
    <w:rsid w:val="00497952"/>
    <w:rsid w:val="0049797A"/>
    <w:rsid w:val="0049799B"/>
    <w:rsid w:val="00497A0C"/>
    <w:rsid w:val="00497A3B"/>
    <w:rsid w:val="00497A77"/>
    <w:rsid w:val="00497AA7"/>
    <w:rsid w:val="00497ABC"/>
    <w:rsid w:val="00497AF6"/>
    <w:rsid w:val="00497B26"/>
    <w:rsid w:val="00497B43"/>
    <w:rsid w:val="00497B97"/>
    <w:rsid w:val="00497C4E"/>
    <w:rsid w:val="00497C6F"/>
    <w:rsid w:val="00497C8F"/>
    <w:rsid w:val="00497CA8"/>
    <w:rsid w:val="00497CCA"/>
    <w:rsid w:val="00497DA7"/>
    <w:rsid w:val="00497DD2"/>
    <w:rsid w:val="00497DD6"/>
    <w:rsid w:val="00497DEF"/>
    <w:rsid w:val="00497E10"/>
    <w:rsid w:val="00497E51"/>
    <w:rsid w:val="00497E9D"/>
    <w:rsid w:val="00497EAD"/>
    <w:rsid w:val="00497EAF"/>
    <w:rsid w:val="00497F7D"/>
    <w:rsid w:val="00497FC0"/>
    <w:rsid w:val="00497FD1"/>
    <w:rsid w:val="00497FD2"/>
    <w:rsid w:val="004A002C"/>
    <w:rsid w:val="004A0046"/>
    <w:rsid w:val="004A0082"/>
    <w:rsid w:val="004A009A"/>
    <w:rsid w:val="004A00AE"/>
    <w:rsid w:val="004A00D8"/>
    <w:rsid w:val="004A00DE"/>
    <w:rsid w:val="004A0176"/>
    <w:rsid w:val="004A0185"/>
    <w:rsid w:val="004A01B9"/>
    <w:rsid w:val="004A01BD"/>
    <w:rsid w:val="004A0202"/>
    <w:rsid w:val="004A024B"/>
    <w:rsid w:val="004A0281"/>
    <w:rsid w:val="004A037B"/>
    <w:rsid w:val="004A037E"/>
    <w:rsid w:val="004A038C"/>
    <w:rsid w:val="004A03A6"/>
    <w:rsid w:val="004A03B4"/>
    <w:rsid w:val="004A03C4"/>
    <w:rsid w:val="004A0450"/>
    <w:rsid w:val="004A0468"/>
    <w:rsid w:val="004A04EA"/>
    <w:rsid w:val="004A04FF"/>
    <w:rsid w:val="004A0528"/>
    <w:rsid w:val="004A0540"/>
    <w:rsid w:val="004A0544"/>
    <w:rsid w:val="004A057E"/>
    <w:rsid w:val="004A063F"/>
    <w:rsid w:val="004A06DF"/>
    <w:rsid w:val="004A06FA"/>
    <w:rsid w:val="004A0711"/>
    <w:rsid w:val="004A0719"/>
    <w:rsid w:val="004A072E"/>
    <w:rsid w:val="004A0732"/>
    <w:rsid w:val="004A0933"/>
    <w:rsid w:val="004A0954"/>
    <w:rsid w:val="004A0984"/>
    <w:rsid w:val="004A09A5"/>
    <w:rsid w:val="004A09C6"/>
    <w:rsid w:val="004A0A04"/>
    <w:rsid w:val="004A0A26"/>
    <w:rsid w:val="004A0A4A"/>
    <w:rsid w:val="004A0A6A"/>
    <w:rsid w:val="004A0AB7"/>
    <w:rsid w:val="004A0B4B"/>
    <w:rsid w:val="004A0B58"/>
    <w:rsid w:val="004A0BC3"/>
    <w:rsid w:val="004A0BC8"/>
    <w:rsid w:val="004A0BD5"/>
    <w:rsid w:val="004A0C59"/>
    <w:rsid w:val="004A0C7D"/>
    <w:rsid w:val="004A0C8D"/>
    <w:rsid w:val="004A0C90"/>
    <w:rsid w:val="004A0CC9"/>
    <w:rsid w:val="004A0CDD"/>
    <w:rsid w:val="004A0CF0"/>
    <w:rsid w:val="004A0D10"/>
    <w:rsid w:val="004A0D46"/>
    <w:rsid w:val="004A0DFA"/>
    <w:rsid w:val="004A0E47"/>
    <w:rsid w:val="004A0E5F"/>
    <w:rsid w:val="004A0E8D"/>
    <w:rsid w:val="004A0F08"/>
    <w:rsid w:val="004A0F11"/>
    <w:rsid w:val="004A0F6C"/>
    <w:rsid w:val="004A0F99"/>
    <w:rsid w:val="004A0FBA"/>
    <w:rsid w:val="004A0FC8"/>
    <w:rsid w:val="004A0FE9"/>
    <w:rsid w:val="004A0FED"/>
    <w:rsid w:val="004A0FF3"/>
    <w:rsid w:val="004A108C"/>
    <w:rsid w:val="004A1099"/>
    <w:rsid w:val="004A10BD"/>
    <w:rsid w:val="004A10DD"/>
    <w:rsid w:val="004A113F"/>
    <w:rsid w:val="004A117E"/>
    <w:rsid w:val="004A11B1"/>
    <w:rsid w:val="004A1229"/>
    <w:rsid w:val="004A124E"/>
    <w:rsid w:val="004A1282"/>
    <w:rsid w:val="004A1317"/>
    <w:rsid w:val="004A1348"/>
    <w:rsid w:val="004A1352"/>
    <w:rsid w:val="004A1378"/>
    <w:rsid w:val="004A1384"/>
    <w:rsid w:val="004A13BB"/>
    <w:rsid w:val="004A13CF"/>
    <w:rsid w:val="004A1439"/>
    <w:rsid w:val="004A147A"/>
    <w:rsid w:val="004A148D"/>
    <w:rsid w:val="004A14A8"/>
    <w:rsid w:val="004A14C5"/>
    <w:rsid w:val="004A1500"/>
    <w:rsid w:val="004A1545"/>
    <w:rsid w:val="004A1591"/>
    <w:rsid w:val="004A1630"/>
    <w:rsid w:val="004A163E"/>
    <w:rsid w:val="004A1683"/>
    <w:rsid w:val="004A1687"/>
    <w:rsid w:val="004A1702"/>
    <w:rsid w:val="004A174B"/>
    <w:rsid w:val="004A1768"/>
    <w:rsid w:val="004A17D4"/>
    <w:rsid w:val="004A17ED"/>
    <w:rsid w:val="004A1806"/>
    <w:rsid w:val="004A1834"/>
    <w:rsid w:val="004A1841"/>
    <w:rsid w:val="004A18C0"/>
    <w:rsid w:val="004A18DB"/>
    <w:rsid w:val="004A18E8"/>
    <w:rsid w:val="004A1950"/>
    <w:rsid w:val="004A197F"/>
    <w:rsid w:val="004A198A"/>
    <w:rsid w:val="004A19C2"/>
    <w:rsid w:val="004A1A0D"/>
    <w:rsid w:val="004A1A32"/>
    <w:rsid w:val="004A1AFC"/>
    <w:rsid w:val="004A1B1A"/>
    <w:rsid w:val="004A1B42"/>
    <w:rsid w:val="004A1B71"/>
    <w:rsid w:val="004A1B75"/>
    <w:rsid w:val="004A1BA1"/>
    <w:rsid w:val="004A1BF2"/>
    <w:rsid w:val="004A1C04"/>
    <w:rsid w:val="004A1C0E"/>
    <w:rsid w:val="004A1C5A"/>
    <w:rsid w:val="004A1C92"/>
    <w:rsid w:val="004A1C9B"/>
    <w:rsid w:val="004A1D9A"/>
    <w:rsid w:val="004A1DBC"/>
    <w:rsid w:val="004A1DFF"/>
    <w:rsid w:val="004A1E09"/>
    <w:rsid w:val="004A1E0C"/>
    <w:rsid w:val="004A1E10"/>
    <w:rsid w:val="004A1E3C"/>
    <w:rsid w:val="004A1E8B"/>
    <w:rsid w:val="004A1EAC"/>
    <w:rsid w:val="004A1ECC"/>
    <w:rsid w:val="004A1EFC"/>
    <w:rsid w:val="004A1F1B"/>
    <w:rsid w:val="004A1F22"/>
    <w:rsid w:val="004A1F31"/>
    <w:rsid w:val="004A1FCA"/>
    <w:rsid w:val="004A2004"/>
    <w:rsid w:val="004A2035"/>
    <w:rsid w:val="004A2057"/>
    <w:rsid w:val="004A2058"/>
    <w:rsid w:val="004A205C"/>
    <w:rsid w:val="004A206B"/>
    <w:rsid w:val="004A2192"/>
    <w:rsid w:val="004A2194"/>
    <w:rsid w:val="004A21AA"/>
    <w:rsid w:val="004A21C0"/>
    <w:rsid w:val="004A21DC"/>
    <w:rsid w:val="004A21FB"/>
    <w:rsid w:val="004A2210"/>
    <w:rsid w:val="004A2244"/>
    <w:rsid w:val="004A224E"/>
    <w:rsid w:val="004A2277"/>
    <w:rsid w:val="004A2297"/>
    <w:rsid w:val="004A22AB"/>
    <w:rsid w:val="004A22BE"/>
    <w:rsid w:val="004A23F2"/>
    <w:rsid w:val="004A2406"/>
    <w:rsid w:val="004A2437"/>
    <w:rsid w:val="004A2459"/>
    <w:rsid w:val="004A2464"/>
    <w:rsid w:val="004A2479"/>
    <w:rsid w:val="004A24A3"/>
    <w:rsid w:val="004A24B4"/>
    <w:rsid w:val="004A2502"/>
    <w:rsid w:val="004A2520"/>
    <w:rsid w:val="004A253B"/>
    <w:rsid w:val="004A257D"/>
    <w:rsid w:val="004A2593"/>
    <w:rsid w:val="004A25D2"/>
    <w:rsid w:val="004A25D5"/>
    <w:rsid w:val="004A2613"/>
    <w:rsid w:val="004A264F"/>
    <w:rsid w:val="004A2651"/>
    <w:rsid w:val="004A2652"/>
    <w:rsid w:val="004A2694"/>
    <w:rsid w:val="004A26A3"/>
    <w:rsid w:val="004A2733"/>
    <w:rsid w:val="004A273C"/>
    <w:rsid w:val="004A2778"/>
    <w:rsid w:val="004A27C1"/>
    <w:rsid w:val="004A27F0"/>
    <w:rsid w:val="004A28E4"/>
    <w:rsid w:val="004A28EB"/>
    <w:rsid w:val="004A2926"/>
    <w:rsid w:val="004A29DE"/>
    <w:rsid w:val="004A29E3"/>
    <w:rsid w:val="004A2A00"/>
    <w:rsid w:val="004A2A56"/>
    <w:rsid w:val="004A2A93"/>
    <w:rsid w:val="004A2ACA"/>
    <w:rsid w:val="004A2B19"/>
    <w:rsid w:val="004A2B6B"/>
    <w:rsid w:val="004A2B8E"/>
    <w:rsid w:val="004A2BF8"/>
    <w:rsid w:val="004A2C6E"/>
    <w:rsid w:val="004A2CE8"/>
    <w:rsid w:val="004A2D1F"/>
    <w:rsid w:val="004A2DC8"/>
    <w:rsid w:val="004A2DC9"/>
    <w:rsid w:val="004A2E09"/>
    <w:rsid w:val="004A2E2E"/>
    <w:rsid w:val="004A2E3D"/>
    <w:rsid w:val="004A2E5F"/>
    <w:rsid w:val="004A2ECD"/>
    <w:rsid w:val="004A2EDE"/>
    <w:rsid w:val="004A2EE6"/>
    <w:rsid w:val="004A2EFC"/>
    <w:rsid w:val="004A2F60"/>
    <w:rsid w:val="004A2F66"/>
    <w:rsid w:val="004A2F67"/>
    <w:rsid w:val="004A2F85"/>
    <w:rsid w:val="004A2F94"/>
    <w:rsid w:val="004A301B"/>
    <w:rsid w:val="004A30AD"/>
    <w:rsid w:val="004A30C9"/>
    <w:rsid w:val="004A30FF"/>
    <w:rsid w:val="004A319A"/>
    <w:rsid w:val="004A31C8"/>
    <w:rsid w:val="004A31C9"/>
    <w:rsid w:val="004A31D5"/>
    <w:rsid w:val="004A3234"/>
    <w:rsid w:val="004A328C"/>
    <w:rsid w:val="004A32CB"/>
    <w:rsid w:val="004A3314"/>
    <w:rsid w:val="004A3378"/>
    <w:rsid w:val="004A33AA"/>
    <w:rsid w:val="004A33CD"/>
    <w:rsid w:val="004A33D2"/>
    <w:rsid w:val="004A340D"/>
    <w:rsid w:val="004A341F"/>
    <w:rsid w:val="004A3476"/>
    <w:rsid w:val="004A3478"/>
    <w:rsid w:val="004A347B"/>
    <w:rsid w:val="004A347F"/>
    <w:rsid w:val="004A348C"/>
    <w:rsid w:val="004A34AC"/>
    <w:rsid w:val="004A3531"/>
    <w:rsid w:val="004A35AF"/>
    <w:rsid w:val="004A35B3"/>
    <w:rsid w:val="004A3615"/>
    <w:rsid w:val="004A3657"/>
    <w:rsid w:val="004A368D"/>
    <w:rsid w:val="004A36DB"/>
    <w:rsid w:val="004A3793"/>
    <w:rsid w:val="004A38A7"/>
    <w:rsid w:val="004A38A8"/>
    <w:rsid w:val="004A38B6"/>
    <w:rsid w:val="004A38E7"/>
    <w:rsid w:val="004A38FB"/>
    <w:rsid w:val="004A3909"/>
    <w:rsid w:val="004A3992"/>
    <w:rsid w:val="004A3996"/>
    <w:rsid w:val="004A39C6"/>
    <w:rsid w:val="004A39CC"/>
    <w:rsid w:val="004A39D4"/>
    <w:rsid w:val="004A39DB"/>
    <w:rsid w:val="004A39DD"/>
    <w:rsid w:val="004A3A6D"/>
    <w:rsid w:val="004A3A81"/>
    <w:rsid w:val="004A3AC5"/>
    <w:rsid w:val="004A3B19"/>
    <w:rsid w:val="004A3B37"/>
    <w:rsid w:val="004A3B7C"/>
    <w:rsid w:val="004A3B85"/>
    <w:rsid w:val="004A3BCC"/>
    <w:rsid w:val="004A3C1C"/>
    <w:rsid w:val="004A3D1E"/>
    <w:rsid w:val="004A3D4A"/>
    <w:rsid w:val="004A3D70"/>
    <w:rsid w:val="004A3DF2"/>
    <w:rsid w:val="004A3E4B"/>
    <w:rsid w:val="004A3E94"/>
    <w:rsid w:val="004A3EAA"/>
    <w:rsid w:val="004A3EAE"/>
    <w:rsid w:val="004A3EB8"/>
    <w:rsid w:val="004A3EE0"/>
    <w:rsid w:val="004A3F0D"/>
    <w:rsid w:val="004A3F1F"/>
    <w:rsid w:val="004A3FCA"/>
    <w:rsid w:val="004A3FE7"/>
    <w:rsid w:val="004A400A"/>
    <w:rsid w:val="004A4055"/>
    <w:rsid w:val="004A406B"/>
    <w:rsid w:val="004A408F"/>
    <w:rsid w:val="004A40C8"/>
    <w:rsid w:val="004A40DF"/>
    <w:rsid w:val="004A40E0"/>
    <w:rsid w:val="004A4122"/>
    <w:rsid w:val="004A4129"/>
    <w:rsid w:val="004A4171"/>
    <w:rsid w:val="004A419F"/>
    <w:rsid w:val="004A41BE"/>
    <w:rsid w:val="004A41C8"/>
    <w:rsid w:val="004A41E9"/>
    <w:rsid w:val="004A420A"/>
    <w:rsid w:val="004A4215"/>
    <w:rsid w:val="004A42B5"/>
    <w:rsid w:val="004A42C4"/>
    <w:rsid w:val="004A42F0"/>
    <w:rsid w:val="004A4304"/>
    <w:rsid w:val="004A4305"/>
    <w:rsid w:val="004A433B"/>
    <w:rsid w:val="004A4395"/>
    <w:rsid w:val="004A43F9"/>
    <w:rsid w:val="004A441E"/>
    <w:rsid w:val="004A443B"/>
    <w:rsid w:val="004A448A"/>
    <w:rsid w:val="004A44A8"/>
    <w:rsid w:val="004A44B8"/>
    <w:rsid w:val="004A4543"/>
    <w:rsid w:val="004A45DB"/>
    <w:rsid w:val="004A46AE"/>
    <w:rsid w:val="004A46D2"/>
    <w:rsid w:val="004A46E0"/>
    <w:rsid w:val="004A46EE"/>
    <w:rsid w:val="004A46F0"/>
    <w:rsid w:val="004A4731"/>
    <w:rsid w:val="004A4789"/>
    <w:rsid w:val="004A478B"/>
    <w:rsid w:val="004A4799"/>
    <w:rsid w:val="004A47AE"/>
    <w:rsid w:val="004A47B0"/>
    <w:rsid w:val="004A47B1"/>
    <w:rsid w:val="004A4805"/>
    <w:rsid w:val="004A4828"/>
    <w:rsid w:val="004A48AD"/>
    <w:rsid w:val="004A48B0"/>
    <w:rsid w:val="004A48C5"/>
    <w:rsid w:val="004A48D4"/>
    <w:rsid w:val="004A4917"/>
    <w:rsid w:val="004A4949"/>
    <w:rsid w:val="004A4999"/>
    <w:rsid w:val="004A499E"/>
    <w:rsid w:val="004A4A02"/>
    <w:rsid w:val="004A4A0C"/>
    <w:rsid w:val="004A4A62"/>
    <w:rsid w:val="004A4A64"/>
    <w:rsid w:val="004A4A97"/>
    <w:rsid w:val="004A4AB7"/>
    <w:rsid w:val="004A4AF0"/>
    <w:rsid w:val="004A4B23"/>
    <w:rsid w:val="004A4B43"/>
    <w:rsid w:val="004A4B4F"/>
    <w:rsid w:val="004A4B8C"/>
    <w:rsid w:val="004A4BA9"/>
    <w:rsid w:val="004A4BD6"/>
    <w:rsid w:val="004A4C01"/>
    <w:rsid w:val="004A4C0D"/>
    <w:rsid w:val="004A4C37"/>
    <w:rsid w:val="004A4C53"/>
    <w:rsid w:val="004A4C64"/>
    <w:rsid w:val="004A4C6D"/>
    <w:rsid w:val="004A4CB8"/>
    <w:rsid w:val="004A4CFD"/>
    <w:rsid w:val="004A4D1F"/>
    <w:rsid w:val="004A4D67"/>
    <w:rsid w:val="004A4DAD"/>
    <w:rsid w:val="004A4DCD"/>
    <w:rsid w:val="004A4DE3"/>
    <w:rsid w:val="004A4DF9"/>
    <w:rsid w:val="004A4E1F"/>
    <w:rsid w:val="004A4E4E"/>
    <w:rsid w:val="004A4E9D"/>
    <w:rsid w:val="004A4EA5"/>
    <w:rsid w:val="004A4EE9"/>
    <w:rsid w:val="004A4EFD"/>
    <w:rsid w:val="004A4F45"/>
    <w:rsid w:val="004A4F4F"/>
    <w:rsid w:val="004A4F58"/>
    <w:rsid w:val="004A4F6E"/>
    <w:rsid w:val="004A4F75"/>
    <w:rsid w:val="004A4FA6"/>
    <w:rsid w:val="004A5074"/>
    <w:rsid w:val="004A5089"/>
    <w:rsid w:val="004A509C"/>
    <w:rsid w:val="004A5134"/>
    <w:rsid w:val="004A5143"/>
    <w:rsid w:val="004A517A"/>
    <w:rsid w:val="004A51AD"/>
    <w:rsid w:val="004A51C0"/>
    <w:rsid w:val="004A5281"/>
    <w:rsid w:val="004A52D3"/>
    <w:rsid w:val="004A52DA"/>
    <w:rsid w:val="004A52DE"/>
    <w:rsid w:val="004A530A"/>
    <w:rsid w:val="004A534E"/>
    <w:rsid w:val="004A53A4"/>
    <w:rsid w:val="004A53B0"/>
    <w:rsid w:val="004A53D0"/>
    <w:rsid w:val="004A53F5"/>
    <w:rsid w:val="004A5403"/>
    <w:rsid w:val="004A543B"/>
    <w:rsid w:val="004A546A"/>
    <w:rsid w:val="004A54B1"/>
    <w:rsid w:val="004A54C8"/>
    <w:rsid w:val="004A5532"/>
    <w:rsid w:val="004A554A"/>
    <w:rsid w:val="004A5596"/>
    <w:rsid w:val="004A5599"/>
    <w:rsid w:val="004A562C"/>
    <w:rsid w:val="004A568F"/>
    <w:rsid w:val="004A56B4"/>
    <w:rsid w:val="004A56E0"/>
    <w:rsid w:val="004A5763"/>
    <w:rsid w:val="004A57E6"/>
    <w:rsid w:val="004A57FE"/>
    <w:rsid w:val="004A5805"/>
    <w:rsid w:val="004A5818"/>
    <w:rsid w:val="004A586C"/>
    <w:rsid w:val="004A58F8"/>
    <w:rsid w:val="004A5906"/>
    <w:rsid w:val="004A5956"/>
    <w:rsid w:val="004A5971"/>
    <w:rsid w:val="004A5994"/>
    <w:rsid w:val="004A59E5"/>
    <w:rsid w:val="004A59F9"/>
    <w:rsid w:val="004A5A7A"/>
    <w:rsid w:val="004A5AAB"/>
    <w:rsid w:val="004A5AC8"/>
    <w:rsid w:val="004A5B20"/>
    <w:rsid w:val="004A5B8C"/>
    <w:rsid w:val="004A5BF4"/>
    <w:rsid w:val="004A5C54"/>
    <w:rsid w:val="004A5C65"/>
    <w:rsid w:val="004A5C80"/>
    <w:rsid w:val="004A5D2C"/>
    <w:rsid w:val="004A5D69"/>
    <w:rsid w:val="004A5D85"/>
    <w:rsid w:val="004A5DB7"/>
    <w:rsid w:val="004A5E56"/>
    <w:rsid w:val="004A5ECE"/>
    <w:rsid w:val="004A5F08"/>
    <w:rsid w:val="004A5F11"/>
    <w:rsid w:val="004A5FA8"/>
    <w:rsid w:val="004A600D"/>
    <w:rsid w:val="004A6033"/>
    <w:rsid w:val="004A604F"/>
    <w:rsid w:val="004A60CB"/>
    <w:rsid w:val="004A60F6"/>
    <w:rsid w:val="004A610F"/>
    <w:rsid w:val="004A6177"/>
    <w:rsid w:val="004A61A4"/>
    <w:rsid w:val="004A61A8"/>
    <w:rsid w:val="004A61D1"/>
    <w:rsid w:val="004A61EC"/>
    <w:rsid w:val="004A6215"/>
    <w:rsid w:val="004A621A"/>
    <w:rsid w:val="004A6292"/>
    <w:rsid w:val="004A62AC"/>
    <w:rsid w:val="004A62AF"/>
    <w:rsid w:val="004A62CA"/>
    <w:rsid w:val="004A62D2"/>
    <w:rsid w:val="004A62E1"/>
    <w:rsid w:val="004A62F6"/>
    <w:rsid w:val="004A6307"/>
    <w:rsid w:val="004A6323"/>
    <w:rsid w:val="004A638B"/>
    <w:rsid w:val="004A63D5"/>
    <w:rsid w:val="004A63DB"/>
    <w:rsid w:val="004A63FE"/>
    <w:rsid w:val="004A6419"/>
    <w:rsid w:val="004A64B8"/>
    <w:rsid w:val="004A64BE"/>
    <w:rsid w:val="004A64F1"/>
    <w:rsid w:val="004A64FF"/>
    <w:rsid w:val="004A651B"/>
    <w:rsid w:val="004A653F"/>
    <w:rsid w:val="004A65E1"/>
    <w:rsid w:val="004A661F"/>
    <w:rsid w:val="004A662D"/>
    <w:rsid w:val="004A6676"/>
    <w:rsid w:val="004A66DE"/>
    <w:rsid w:val="004A66EA"/>
    <w:rsid w:val="004A66FE"/>
    <w:rsid w:val="004A6712"/>
    <w:rsid w:val="004A6718"/>
    <w:rsid w:val="004A678A"/>
    <w:rsid w:val="004A67C0"/>
    <w:rsid w:val="004A67C9"/>
    <w:rsid w:val="004A6854"/>
    <w:rsid w:val="004A6878"/>
    <w:rsid w:val="004A6884"/>
    <w:rsid w:val="004A6889"/>
    <w:rsid w:val="004A68A3"/>
    <w:rsid w:val="004A68DB"/>
    <w:rsid w:val="004A6939"/>
    <w:rsid w:val="004A6967"/>
    <w:rsid w:val="004A6976"/>
    <w:rsid w:val="004A6990"/>
    <w:rsid w:val="004A69AB"/>
    <w:rsid w:val="004A6A29"/>
    <w:rsid w:val="004A6A3F"/>
    <w:rsid w:val="004A6A65"/>
    <w:rsid w:val="004A6ACE"/>
    <w:rsid w:val="004A6ADF"/>
    <w:rsid w:val="004A6AF7"/>
    <w:rsid w:val="004A6B36"/>
    <w:rsid w:val="004A6B6D"/>
    <w:rsid w:val="004A6B70"/>
    <w:rsid w:val="004A6B84"/>
    <w:rsid w:val="004A6B85"/>
    <w:rsid w:val="004A6BA1"/>
    <w:rsid w:val="004A6BBD"/>
    <w:rsid w:val="004A6C0E"/>
    <w:rsid w:val="004A6C10"/>
    <w:rsid w:val="004A6C11"/>
    <w:rsid w:val="004A6C92"/>
    <w:rsid w:val="004A6CB9"/>
    <w:rsid w:val="004A6CF4"/>
    <w:rsid w:val="004A6D00"/>
    <w:rsid w:val="004A6D1A"/>
    <w:rsid w:val="004A6D3E"/>
    <w:rsid w:val="004A6D46"/>
    <w:rsid w:val="004A6D84"/>
    <w:rsid w:val="004A6D8B"/>
    <w:rsid w:val="004A6DA5"/>
    <w:rsid w:val="004A6DF0"/>
    <w:rsid w:val="004A6E86"/>
    <w:rsid w:val="004A6EA6"/>
    <w:rsid w:val="004A6F1A"/>
    <w:rsid w:val="004A6FDA"/>
    <w:rsid w:val="004A6FE5"/>
    <w:rsid w:val="004A7009"/>
    <w:rsid w:val="004A700C"/>
    <w:rsid w:val="004A7045"/>
    <w:rsid w:val="004A708C"/>
    <w:rsid w:val="004A7101"/>
    <w:rsid w:val="004A713F"/>
    <w:rsid w:val="004A7167"/>
    <w:rsid w:val="004A71A3"/>
    <w:rsid w:val="004A71B8"/>
    <w:rsid w:val="004A71F0"/>
    <w:rsid w:val="004A721C"/>
    <w:rsid w:val="004A723C"/>
    <w:rsid w:val="004A7266"/>
    <w:rsid w:val="004A72C7"/>
    <w:rsid w:val="004A72F8"/>
    <w:rsid w:val="004A737C"/>
    <w:rsid w:val="004A739F"/>
    <w:rsid w:val="004A73A7"/>
    <w:rsid w:val="004A73C1"/>
    <w:rsid w:val="004A7439"/>
    <w:rsid w:val="004A7443"/>
    <w:rsid w:val="004A7456"/>
    <w:rsid w:val="004A7460"/>
    <w:rsid w:val="004A74C0"/>
    <w:rsid w:val="004A74CB"/>
    <w:rsid w:val="004A752C"/>
    <w:rsid w:val="004A7530"/>
    <w:rsid w:val="004A753D"/>
    <w:rsid w:val="004A754B"/>
    <w:rsid w:val="004A755B"/>
    <w:rsid w:val="004A7560"/>
    <w:rsid w:val="004A756E"/>
    <w:rsid w:val="004A7594"/>
    <w:rsid w:val="004A75A5"/>
    <w:rsid w:val="004A75FC"/>
    <w:rsid w:val="004A760A"/>
    <w:rsid w:val="004A7656"/>
    <w:rsid w:val="004A767C"/>
    <w:rsid w:val="004A7709"/>
    <w:rsid w:val="004A7758"/>
    <w:rsid w:val="004A775D"/>
    <w:rsid w:val="004A77AE"/>
    <w:rsid w:val="004A77D4"/>
    <w:rsid w:val="004A77E7"/>
    <w:rsid w:val="004A783B"/>
    <w:rsid w:val="004A7876"/>
    <w:rsid w:val="004A7883"/>
    <w:rsid w:val="004A78D7"/>
    <w:rsid w:val="004A78DC"/>
    <w:rsid w:val="004A7905"/>
    <w:rsid w:val="004A798B"/>
    <w:rsid w:val="004A798D"/>
    <w:rsid w:val="004A7A42"/>
    <w:rsid w:val="004A7AC0"/>
    <w:rsid w:val="004A7ACC"/>
    <w:rsid w:val="004A7ADC"/>
    <w:rsid w:val="004A7AFF"/>
    <w:rsid w:val="004A7B06"/>
    <w:rsid w:val="004A7B11"/>
    <w:rsid w:val="004A7B49"/>
    <w:rsid w:val="004A7B5F"/>
    <w:rsid w:val="004A7BB5"/>
    <w:rsid w:val="004A7BD4"/>
    <w:rsid w:val="004A7BE0"/>
    <w:rsid w:val="004A7BE7"/>
    <w:rsid w:val="004A7BE9"/>
    <w:rsid w:val="004A7C00"/>
    <w:rsid w:val="004A7C9D"/>
    <w:rsid w:val="004A7CA2"/>
    <w:rsid w:val="004A7CEA"/>
    <w:rsid w:val="004A7D75"/>
    <w:rsid w:val="004A7D81"/>
    <w:rsid w:val="004A7D97"/>
    <w:rsid w:val="004A7D9E"/>
    <w:rsid w:val="004A7DB0"/>
    <w:rsid w:val="004A7DEB"/>
    <w:rsid w:val="004A7E00"/>
    <w:rsid w:val="004A7E09"/>
    <w:rsid w:val="004A7E2D"/>
    <w:rsid w:val="004A7E35"/>
    <w:rsid w:val="004A7E43"/>
    <w:rsid w:val="004A7E5F"/>
    <w:rsid w:val="004A7EDB"/>
    <w:rsid w:val="004A7F30"/>
    <w:rsid w:val="004A7FE5"/>
    <w:rsid w:val="004B000F"/>
    <w:rsid w:val="004B0036"/>
    <w:rsid w:val="004B0046"/>
    <w:rsid w:val="004B005A"/>
    <w:rsid w:val="004B008F"/>
    <w:rsid w:val="004B00B3"/>
    <w:rsid w:val="004B0186"/>
    <w:rsid w:val="004B0234"/>
    <w:rsid w:val="004B02EF"/>
    <w:rsid w:val="004B0340"/>
    <w:rsid w:val="004B0382"/>
    <w:rsid w:val="004B03E4"/>
    <w:rsid w:val="004B03FA"/>
    <w:rsid w:val="004B0448"/>
    <w:rsid w:val="004B048D"/>
    <w:rsid w:val="004B04C3"/>
    <w:rsid w:val="004B04EA"/>
    <w:rsid w:val="004B0509"/>
    <w:rsid w:val="004B0543"/>
    <w:rsid w:val="004B057A"/>
    <w:rsid w:val="004B05D0"/>
    <w:rsid w:val="004B05DB"/>
    <w:rsid w:val="004B0600"/>
    <w:rsid w:val="004B0614"/>
    <w:rsid w:val="004B061C"/>
    <w:rsid w:val="004B072D"/>
    <w:rsid w:val="004B0732"/>
    <w:rsid w:val="004B0741"/>
    <w:rsid w:val="004B075A"/>
    <w:rsid w:val="004B0763"/>
    <w:rsid w:val="004B0765"/>
    <w:rsid w:val="004B0795"/>
    <w:rsid w:val="004B07D3"/>
    <w:rsid w:val="004B07D9"/>
    <w:rsid w:val="004B07F3"/>
    <w:rsid w:val="004B08A0"/>
    <w:rsid w:val="004B0906"/>
    <w:rsid w:val="004B093F"/>
    <w:rsid w:val="004B0951"/>
    <w:rsid w:val="004B0979"/>
    <w:rsid w:val="004B09EB"/>
    <w:rsid w:val="004B0A2F"/>
    <w:rsid w:val="004B0A40"/>
    <w:rsid w:val="004B0AB9"/>
    <w:rsid w:val="004B0BDF"/>
    <w:rsid w:val="004B0BF4"/>
    <w:rsid w:val="004B0BFA"/>
    <w:rsid w:val="004B0C02"/>
    <w:rsid w:val="004B0C04"/>
    <w:rsid w:val="004B0C16"/>
    <w:rsid w:val="004B0C26"/>
    <w:rsid w:val="004B0CA7"/>
    <w:rsid w:val="004B0CE9"/>
    <w:rsid w:val="004B0CEB"/>
    <w:rsid w:val="004B0DA3"/>
    <w:rsid w:val="004B0DD3"/>
    <w:rsid w:val="004B0DF7"/>
    <w:rsid w:val="004B0DFC"/>
    <w:rsid w:val="004B0ECE"/>
    <w:rsid w:val="004B0ED2"/>
    <w:rsid w:val="004B0F6C"/>
    <w:rsid w:val="004B0F91"/>
    <w:rsid w:val="004B0FE8"/>
    <w:rsid w:val="004B1034"/>
    <w:rsid w:val="004B1036"/>
    <w:rsid w:val="004B10A6"/>
    <w:rsid w:val="004B10B5"/>
    <w:rsid w:val="004B111C"/>
    <w:rsid w:val="004B113C"/>
    <w:rsid w:val="004B1182"/>
    <w:rsid w:val="004B1210"/>
    <w:rsid w:val="004B1256"/>
    <w:rsid w:val="004B1268"/>
    <w:rsid w:val="004B12A1"/>
    <w:rsid w:val="004B12BA"/>
    <w:rsid w:val="004B1317"/>
    <w:rsid w:val="004B133A"/>
    <w:rsid w:val="004B1340"/>
    <w:rsid w:val="004B1399"/>
    <w:rsid w:val="004B13BB"/>
    <w:rsid w:val="004B13BD"/>
    <w:rsid w:val="004B13DD"/>
    <w:rsid w:val="004B13EC"/>
    <w:rsid w:val="004B13F9"/>
    <w:rsid w:val="004B1405"/>
    <w:rsid w:val="004B1422"/>
    <w:rsid w:val="004B1432"/>
    <w:rsid w:val="004B1439"/>
    <w:rsid w:val="004B14E0"/>
    <w:rsid w:val="004B1503"/>
    <w:rsid w:val="004B1536"/>
    <w:rsid w:val="004B156C"/>
    <w:rsid w:val="004B157A"/>
    <w:rsid w:val="004B1593"/>
    <w:rsid w:val="004B163A"/>
    <w:rsid w:val="004B163D"/>
    <w:rsid w:val="004B164A"/>
    <w:rsid w:val="004B1651"/>
    <w:rsid w:val="004B1665"/>
    <w:rsid w:val="004B1721"/>
    <w:rsid w:val="004B173F"/>
    <w:rsid w:val="004B1765"/>
    <w:rsid w:val="004B1798"/>
    <w:rsid w:val="004B17C2"/>
    <w:rsid w:val="004B17D6"/>
    <w:rsid w:val="004B17E7"/>
    <w:rsid w:val="004B182C"/>
    <w:rsid w:val="004B189E"/>
    <w:rsid w:val="004B18E1"/>
    <w:rsid w:val="004B19AC"/>
    <w:rsid w:val="004B19C2"/>
    <w:rsid w:val="004B19D1"/>
    <w:rsid w:val="004B19F5"/>
    <w:rsid w:val="004B1AB2"/>
    <w:rsid w:val="004B1ADF"/>
    <w:rsid w:val="004B1AF4"/>
    <w:rsid w:val="004B1B15"/>
    <w:rsid w:val="004B1B18"/>
    <w:rsid w:val="004B1B19"/>
    <w:rsid w:val="004B1B21"/>
    <w:rsid w:val="004B1BDD"/>
    <w:rsid w:val="004B1C2F"/>
    <w:rsid w:val="004B1C3E"/>
    <w:rsid w:val="004B1C97"/>
    <w:rsid w:val="004B1CE0"/>
    <w:rsid w:val="004B1D90"/>
    <w:rsid w:val="004B1DF8"/>
    <w:rsid w:val="004B1DFF"/>
    <w:rsid w:val="004B1E2C"/>
    <w:rsid w:val="004B1E9A"/>
    <w:rsid w:val="004B1F18"/>
    <w:rsid w:val="004B1F31"/>
    <w:rsid w:val="004B1F58"/>
    <w:rsid w:val="004B1F78"/>
    <w:rsid w:val="004B202F"/>
    <w:rsid w:val="004B205D"/>
    <w:rsid w:val="004B2075"/>
    <w:rsid w:val="004B20BB"/>
    <w:rsid w:val="004B20C1"/>
    <w:rsid w:val="004B20D9"/>
    <w:rsid w:val="004B20FB"/>
    <w:rsid w:val="004B2115"/>
    <w:rsid w:val="004B2119"/>
    <w:rsid w:val="004B2166"/>
    <w:rsid w:val="004B216F"/>
    <w:rsid w:val="004B217D"/>
    <w:rsid w:val="004B21C5"/>
    <w:rsid w:val="004B21D3"/>
    <w:rsid w:val="004B2254"/>
    <w:rsid w:val="004B22B6"/>
    <w:rsid w:val="004B22CD"/>
    <w:rsid w:val="004B232F"/>
    <w:rsid w:val="004B239F"/>
    <w:rsid w:val="004B240F"/>
    <w:rsid w:val="004B2426"/>
    <w:rsid w:val="004B244E"/>
    <w:rsid w:val="004B246C"/>
    <w:rsid w:val="004B24DE"/>
    <w:rsid w:val="004B250F"/>
    <w:rsid w:val="004B2539"/>
    <w:rsid w:val="004B2548"/>
    <w:rsid w:val="004B256E"/>
    <w:rsid w:val="004B25E5"/>
    <w:rsid w:val="004B25E8"/>
    <w:rsid w:val="004B25ED"/>
    <w:rsid w:val="004B25F6"/>
    <w:rsid w:val="004B263C"/>
    <w:rsid w:val="004B2658"/>
    <w:rsid w:val="004B2665"/>
    <w:rsid w:val="004B26B8"/>
    <w:rsid w:val="004B26CB"/>
    <w:rsid w:val="004B2727"/>
    <w:rsid w:val="004B2734"/>
    <w:rsid w:val="004B2735"/>
    <w:rsid w:val="004B2782"/>
    <w:rsid w:val="004B2796"/>
    <w:rsid w:val="004B2799"/>
    <w:rsid w:val="004B27A4"/>
    <w:rsid w:val="004B27B3"/>
    <w:rsid w:val="004B27B7"/>
    <w:rsid w:val="004B2803"/>
    <w:rsid w:val="004B283A"/>
    <w:rsid w:val="004B284F"/>
    <w:rsid w:val="004B2862"/>
    <w:rsid w:val="004B2873"/>
    <w:rsid w:val="004B287C"/>
    <w:rsid w:val="004B28D5"/>
    <w:rsid w:val="004B2924"/>
    <w:rsid w:val="004B2960"/>
    <w:rsid w:val="004B2A4D"/>
    <w:rsid w:val="004B2A99"/>
    <w:rsid w:val="004B2AAC"/>
    <w:rsid w:val="004B2B04"/>
    <w:rsid w:val="004B2B55"/>
    <w:rsid w:val="004B2B59"/>
    <w:rsid w:val="004B2B5C"/>
    <w:rsid w:val="004B2B6E"/>
    <w:rsid w:val="004B2BE8"/>
    <w:rsid w:val="004B2C20"/>
    <w:rsid w:val="004B2C48"/>
    <w:rsid w:val="004B2CBD"/>
    <w:rsid w:val="004B2D1E"/>
    <w:rsid w:val="004B2D2D"/>
    <w:rsid w:val="004B2D3E"/>
    <w:rsid w:val="004B2DCD"/>
    <w:rsid w:val="004B2DF3"/>
    <w:rsid w:val="004B2E0D"/>
    <w:rsid w:val="004B2E20"/>
    <w:rsid w:val="004B2E37"/>
    <w:rsid w:val="004B2E97"/>
    <w:rsid w:val="004B2E98"/>
    <w:rsid w:val="004B2EA2"/>
    <w:rsid w:val="004B2F32"/>
    <w:rsid w:val="004B2F47"/>
    <w:rsid w:val="004B2F6E"/>
    <w:rsid w:val="004B2F77"/>
    <w:rsid w:val="004B2F7C"/>
    <w:rsid w:val="004B3015"/>
    <w:rsid w:val="004B302E"/>
    <w:rsid w:val="004B3061"/>
    <w:rsid w:val="004B306E"/>
    <w:rsid w:val="004B3084"/>
    <w:rsid w:val="004B30BF"/>
    <w:rsid w:val="004B30C1"/>
    <w:rsid w:val="004B30E3"/>
    <w:rsid w:val="004B30FA"/>
    <w:rsid w:val="004B311B"/>
    <w:rsid w:val="004B311F"/>
    <w:rsid w:val="004B314E"/>
    <w:rsid w:val="004B319C"/>
    <w:rsid w:val="004B31AB"/>
    <w:rsid w:val="004B31AC"/>
    <w:rsid w:val="004B31BF"/>
    <w:rsid w:val="004B31E1"/>
    <w:rsid w:val="004B3219"/>
    <w:rsid w:val="004B3286"/>
    <w:rsid w:val="004B32AD"/>
    <w:rsid w:val="004B32B6"/>
    <w:rsid w:val="004B32D3"/>
    <w:rsid w:val="004B3300"/>
    <w:rsid w:val="004B3301"/>
    <w:rsid w:val="004B3339"/>
    <w:rsid w:val="004B3378"/>
    <w:rsid w:val="004B33AD"/>
    <w:rsid w:val="004B33D9"/>
    <w:rsid w:val="004B33F2"/>
    <w:rsid w:val="004B344F"/>
    <w:rsid w:val="004B3474"/>
    <w:rsid w:val="004B34C0"/>
    <w:rsid w:val="004B34D5"/>
    <w:rsid w:val="004B34F8"/>
    <w:rsid w:val="004B350B"/>
    <w:rsid w:val="004B3523"/>
    <w:rsid w:val="004B3533"/>
    <w:rsid w:val="004B3591"/>
    <w:rsid w:val="004B35BD"/>
    <w:rsid w:val="004B35C5"/>
    <w:rsid w:val="004B35E9"/>
    <w:rsid w:val="004B35EB"/>
    <w:rsid w:val="004B3669"/>
    <w:rsid w:val="004B3676"/>
    <w:rsid w:val="004B36F6"/>
    <w:rsid w:val="004B3710"/>
    <w:rsid w:val="004B371F"/>
    <w:rsid w:val="004B378E"/>
    <w:rsid w:val="004B37C2"/>
    <w:rsid w:val="004B37D4"/>
    <w:rsid w:val="004B3846"/>
    <w:rsid w:val="004B38B3"/>
    <w:rsid w:val="004B38FB"/>
    <w:rsid w:val="004B3914"/>
    <w:rsid w:val="004B3918"/>
    <w:rsid w:val="004B3945"/>
    <w:rsid w:val="004B3949"/>
    <w:rsid w:val="004B3954"/>
    <w:rsid w:val="004B39AE"/>
    <w:rsid w:val="004B39C2"/>
    <w:rsid w:val="004B39DE"/>
    <w:rsid w:val="004B39E8"/>
    <w:rsid w:val="004B3A66"/>
    <w:rsid w:val="004B3A7C"/>
    <w:rsid w:val="004B3A7F"/>
    <w:rsid w:val="004B3B0D"/>
    <w:rsid w:val="004B3BD5"/>
    <w:rsid w:val="004B3BDD"/>
    <w:rsid w:val="004B3C12"/>
    <w:rsid w:val="004B3C7D"/>
    <w:rsid w:val="004B3C99"/>
    <w:rsid w:val="004B3CD0"/>
    <w:rsid w:val="004B3D8B"/>
    <w:rsid w:val="004B3DE7"/>
    <w:rsid w:val="004B3E03"/>
    <w:rsid w:val="004B3E31"/>
    <w:rsid w:val="004B3E95"/>
    <w:rsid w:val="004B3ED9"/>
    <w:rsid w:val="004B3EDE"/>
    <w:rsid w:val="004B3F11"/>
    <w:rsid w:val="004B3F45"/>
    <w:rsid w:val="004B3F8C"/>
    <w:rsid w:val="004B3FA6"/>
    <w:rsid w:val="004B3FCA"/>
    <w:rsid w:val="004B402B"/>
    <w:rsid w:val="004B409A"/>
    <w:rsid w:val="004B40B6"/>
    <w:rsid w:val="004B410D"/>
    <w:rsid w:val="004B4110"/>
    <w:rsid w:val="004B4132"/>
    <w:rsid w:val="004B4144"/>
    <w:rsid w:val="004B4147"/>
    <w:rsid w:val="004B4148"/>
    <w:rsid w:val="004B4178"/>
    <w:rsid w:val="004B4180"/>
    <w:rsid w:val="004B418C"/>
    <w:rsid w:val="004B41E0"/>
    <w:rsid w:val="004B41E7"/>
    <w:rsid w:val="004B4268"/>
    <w:rsid w:val="004B42A6"/>
    <w:rsid w:val="004B42E6"/>
    <w:rsid w:val="004B42F0"/>
    <w:rsid w:val="004B435D"/>
    <w:rsid w:val="004B437A"/>
    <w:rsid w:val="004B4383"/>
    <w:rsid w:val="004B43D0"/>
    <w:rsid w:val="004B443B"/>
    <w:rsid w:val="004B4466"/>
    <w:rsid w:val="004B4529"/>
    <w:rsid w:val="004B4560"/>
    <w:rsid w:val="004B4562"/>
    <w:rsid w:val="004B456A"/>
    <w:rsid w:val="004B4571"/>
    <w:rsid w:val="004B45B0"/>
    <w:rsid w:val="004B45C7"/>
    <w:rsid w:val="004B45DD"/>
    <w:rsid w:val="004B45F0"/>
    <w:rsid w:val="004B45F6"/>
    <w:rsid w:val="004B4600"/>
    <w:rsid w:val="004B4602"/>
    <w:rsid w:val="004B4605"/>
    <w:rsid w:val="004B4699"/>
    <w:rsid w:val="004B471D"/>
    <w:rsid w:val="004B472F"/>
    <w:rsid w:val="004B4732"/>
    <w:rsid w:val="004B4794"/>
    <w:rsid w:val="004B47BE"/>
    <w:rsid w:val="004B47F2"/>
    <w:rsid w:val="004B481E"/>
    <w:rsid w:val="004B481F"/>
    <w:rsid w:val="004B4860"/>
    <w:rsid w:val="004B4872"/>
    <w:rsid w:val="004B4884"/>
    <w:rsid w:val="004B48A4"/>
    <w:rsid w:val="004B48F6"/>
    <w:rsid w:val="004B490F"/>
    <w:rsid w:val="004B4915"/>
    <w:rsid w:val="004B4920"/>
    <w:rsid w:val="004B4930"/>
    <w:rsid w:val="004B4934"/>
    <w:rsid w:val="004B4970"/>
    <w:rsid w:val="004B49C5"/>
    <w:rsid w:val="004B4A9E"/>
    <w:rsid w:val="004B4ACD"/>
    <w:rsid w:val="004B4AD0"/>
    <w:rsid w:val="004B4AD6"/>
    <w:rsid w:val="004B4ADA"/>
    <w:rsid w:val="004B4AEC"/>
    <w:rsid w:val="004B4B17"/>
    <w:rsid w:val="004B4B22"/>
    <w:rsid w:val="004B4BB7"/>
    <w:rsid w:val="004B4C00"/>
    <w:rsid w:val="004B4D0A"/>
    <w:rsid w:val="004B4D2C"/>
    <w:rsid w:val="004B4D30"/>
    <w:rsid w:val="004B4D41"/>
    <w:rsid w:val="004B4D52"/>
    <w:rsid w:val="004B4D70"/>
    <w:rsid w:val="004B4D93"/>
    <w:rsid w:val="004B4E30"/>
    <w:rsid w:val="004B4E56"/>
    <w:rsid w:val="004B4E97"/>
    <w:rsid w:val="004B4ECD"/>
    <w:rsid w:val="004B4F0A"/>
    <w:rsid w:val="004B4F34"/>
    <w:rsid w:val="004B4F76"/>
    <w:rsid w:val="004B4F94"/>
    <w:rsid w:val="004B4FDB"/>
    <w:rsid w:val="004B5008"/>
    <w:rsid w:val="004B5016"/>
    <w:rsid w:val="004B50E7"/>
    <w:rsid w:val="004B5133"/>
    <w:rsid w:val="004B514E"/>
    <w:rsid w:val="004B51B5"/>
    <w:rsid w:val="004B51E7"/>
    <w:rsid w:val="004B51FE"/>
    <w:rsid w:val="004B520E"/>
    <w:rsid w:val="004B5244"/>
    <w:rsid w:val="004B5281"/>
    <w:rsid w:val="004B5284"/>
    <w:rsid w:val="004B52C0"/>
    <w:rsid w:val="004B538E"/>
    <w:rsid w:val="004B53AE"/>
    <w:rsid w:val="004B53F7"/>
    <w:rsid w:val="004B540A"/>
    <w:rsid w:val="004B545A"/>
    <w:rsid w:val="004B5460"/>
    <w:rsid w:val="004B5479"/>
    <w:rsid w:val="004B549F"/>
    <w:rsid w:val="004B54A6"/>
    <w:rsid w:val="004B553B"/>
    <w:rsid w:val="004B5555"/>
    <w:rsid w:val="004B5573"/>
    <w:rsid w:val="004B558F"/>
    <w:rsid w:val="004B55AB"/>
    <w:rsid w:val="004B5628"/>
    <w:rsid w:val="004B570B"/>
    <w:rsid w:val="004B5745"/>
    <w:rsid w:val="004B5758"/>
    <w:rsid w:val="004B576C"/>
    <w:rsid w:val="004B5782"/>
    <w:rsid w:val="004B579E"/>
    <w:rsid w:val="004B57C1"/>
    <w:rsid w:val="004B5802"/>
    <w:rsid w:val="004B5830"/>
    <w:rsid w:val="004B584F"/>
    <w:rsid w:val="004B5852"/>
    <w:rsid w:val="004B5854"/>
    <w:rsid w:val="004B5873"/>
    <w:rsid w:val="004B58B5"/>
    <w:rsid w:val="004B5909"/>
    <w:rsid w:val="004B593D"/>
    <w:rsid w:val="004B5971"/>
    <w:rsid w:val="004B59A5"/>
    <w:rsid w:val="004B59B6"/>
    <w:rsid w:val="004B5AC5"/>
    <w:rsid w:val="004B5ADD"/>
    <w:rsid w:val="004B5AEC"/>
    <w:rsid w:val="004B5AEF"/>
    <w:rsid w:val="004B5B47"/>
    <w:rsid w:val="004B5B60"/>
    <w:rsid w:val="004B5B9B"/>
    <w:rsid w:val="004B5C39"/>
    <w:rsid w:val="004B5C6D"/>
    <w:rsid w:val="004B5C98"/>
    <w:rsid w:val="004B5CB1"/>
    <w:rsid w:val="004B5CD0"/>
    <w:rsid w:val="004B5D31"/>
    <w:rsid w:val="004B5D59"/>
    <w:rsid w:val="004B5DC1"/>
    <w:rsid w:val="004B5E3E"/>
    <w:rsid w:val="004B5E4A"/>
    <w:rsid w:val="004B5E61"/>
    <w:rsid w:val="004B5E76"/>
    <w:rsid w:val="004B5E9A"/>
    <w:rsid w:val="004B5EA0"/>
    <w:rsid w:val="004B5EDE"/>
    <w:rsid w:val="004B5EE3"/>
    <w:rsid w:val="004B5EEB"/>
    <w:rsid w:val="004B5EEC"/>
    <w:rsid w:val="004B5F01"/>
    <w:rsid w:val="004B5F4D"/>
    <w:rsid w:val="004B5F64"/>
    <w:rsid w:val="004B5F83"/>
    <w:rsid w:val="004B5FD4"/>
    <w:rsid w:val="004B6089"/>
    <w:rsid w:val="004B611A"/>
    <w:rsid w:val="004B61CA"/>
    <w:rsid w:val="004B6365"/>
    <w:rsid w:val="004B6369"/>
    <w:rsid w:val="004B6395"/>
    <w:rsid w:val="004B6411"/>
    <w:rsid w:val="004B647E"/>
    <w:rsid w:val="004B6482"/>
    <w:rsid w:val="004B64BF"/>
    <w:rsid w:val="004B651A"/>
    <w:rsid w:val="004B652E"/>
    <w:rsid w:val="004B6570"/>
    <w:rsid w:val="004B65AC"/>
    <w:rsid w:val="004B65B2"/>
    <w:rsid w:val="004B65E5"/>
    <w:rsid w:val="004B6600"/>
    <w:rsid w:val="004B6639"/>
    <w:rsid w:val="004B66D2"/>
    <w:rsid w:val="004B675E"/>
    <w:rsid w:val="004B67B4"/>
    <w:rsid w:val="004B6819"/>
    <w:rsid w:val="004B6888"/>
    <w:rsid w:val="004B68FF"/>
    <w:rsid w:val="004B6916"/>
    <w:rsid w:val="004B6969"/>
    <w:rsid w:val="004B69A0"/>
    <w:rsid w:val="004B69C5"/>
    <w:rsid w:val="004B69CF"/>
    <w:rsid w:val="004B69F9"/>
    <w:rsid w:val="004B69FD"/>
    <w:rsid w:val="004B6A11"/>
    <w:rsid w:val="004B6A2F"/>
    <w:rsid w:val="004B6A41"/>
    <w:rsid w:val="004B6ABB"/>
    <w:rsid w:val="004B6AC6"/>
    <w:rsid w:val="004B6ADF"/>
    <w:rsid w:val="004B6AF1"/>
    <w:rsid w:val="004B6B1E"/>
    <w:rsid w:val="004B6B1F"/>
    <w:rsid w:val="004B6B2A"/>
    <w:rsid w:val="004B6BBE"/>
    <w:rsid w:val="004B6C22"/>
    <w:rsid w:val="004B6C2A"/>
    <w:rsid w:val="004B6C45"/>
    <w:rsid w:val="004B6C73"/>
    <w:rsid w:val="004B6CA9"/>
    <w:rsid w:val="004B6CB6"/>
    <w:rsid w:val="004B6CC5"/>
    <w:rsid w:val="004B6CCB"/>
    <w:rsid w:val="004B6CEE"/>
    <w:rsid w:val="004B6D35"/>
    <w:rsid w:val="004B6D50"/>
    <w:rsid w:val="004B6D7D"/>
    <w:rsid w:val="004B6DA8"/>
    <w:rsid w:val="004B6E01"/>
    <w:rsid w:val="004B6E16"/>
    <w:rsid w:val="004B6E59"/>
    <w:rsid w:val="004B6E86"/>
    <w:rsid w:val="004B6EDA"/>
    <w:rsid w:val="004B6F32"/>
    <w:rsid w:val="004B6F49"/>
    <w:rsid w:val="004B700A"/>
    <w:rsid w:val="004B7026"/>
    <w:rsid w:val="004B7028"/>
    <w:rsid w:val="004B7077"/>
    <w:rsid w:val="004B70BD"/>
    <w:rsid w:val="004B70BE"/>
    <w:rsid w:val="004B7115"/>
    <w:rsid w:val="004B713F"/>
    <w:rsid w:val="004B7177"/>
    <w:rsid w:val="004B7186"/>
    <w:rsid w:val="004B71A2"/>
    <w:rsid w:val="004B71FA"/>
    <w:rsid w:val="004B720B"/>
    <w:rsid w:val="004B7233"/>
    <w:rsid w:val="004B7297"/>
    <w:rsid w:val="004B72C4"/>
    <w:rsid w:val="004B72E4"/>
    <w:rsid w:val="004B7306"/>
    <w:rsid w:val="004B732B"/>
    <w:rsid w:val="004B73FF"/>
    <w:rsid w:val="004B745D"/>
    <w:rsid w:val="004B746D"/>
    <w:rsid w:val="004B7473"/>
    <w:rsid w:val="004B74C1"/>
    <w:rsid w:val="004B7543"/>
    <w:rsid w:val="004B754B"/>
    <w:rsid w:val="004B758F"/>
    <w:rsid w:val="004B75B0"/>
    <w:rsid w:val="004B75D8"/>
    <w:rsid w:val="004B7649"/>
    <w:rsid w:val="004B7652"/>
    <w:rsid w:val="004B7699"/>
    <w:rsid w:val="004B76AC"/>
    <w:rsid w:val="004B76B8"/>
    <w:rsid w:val="004B771E"/>
    <w:rsid w:val="004B773D"/>
    <w:rsid w:val="004B7748"/>
    <w:rsid w:val="004B77C1"/>
    <w:rsid w:val="004B77FD"/>
    <w:rsid w:val="004B7827"/>
    <w:rsid w:val="004B784B"/>
    <w:rsid w:val="004B78F7"/>
    <w:rsid w:val="004B78FC"/>
    <w:rsid w:val="004B79AA"/>
    <w:rsid w:val="004B79DD"/>
    <w:rsid w:val="004B7A2B"/>
    <w:rsid w:val="004B7A7E"/>
    <w:rsid w:val="004B7AA5"/>
    <w:rsid w:val="004B7AE9"/>
    <w:rsid w:val="004B7B21"/>
    <w:rsid w:val="004B7B43"/>
    <w:rsid w:val="004B7C47"/>
    <w:rsid w:val="004B7CB2"/>
    <w:rsid w:val="004B7CE6"/>
    <w:rsid w:val="004B7CE8"/>
    <w:rsid w:val="004B7CED"/>
    <w:rsid w:val="004B7D49"/>
    <w:rsid w:val="004B7D4F"/>
    <w:rsid w:val="004B7D75"/>
    <w:rsid w:val="004B7D8C"/>
    <w:rsid w:val="004B7D92"/>
    <w:rsid w:val="004B7D93"/>
    <w:rsid w:val="004B7DA8"/>
    <w:rsid w:val="004B7E57"/>
    <w:rsid w:val="004B7E6A"/>
    <w:rsid w:val="004B7E8E"/>
    <w:rsid w:val="004B7EE1"/>
    <w:rsid w:val="004B7F77"/>
    <w:rsid w:val="004B7F91"/>
    <w:rsid w:val="004B7FC9"/>
    <w:rsid w:val="004C000E"/>
    <w:rsid w:val="004C0033"/>
    <w:rsid w:val="004C0160"/>
    <w:rsid w:val="004C0180"/>
    <w:rsid w:val="004C0192"/>
    <w:rsid w:val="004C01B4"/>
    <w:rsid w:val="004C01C4"/>
    <w:rsid w:val="004C0235"/>
    <w:rsid w:val="004C0258"/>
    <w:rsid w:val="004C0269"/>
    <w:rsid w:val="004C0277"/>
    <w:rsid w:val="004C02A7"/>
    <w:rsid w:val="004C02B7"/>
    <w:rsid w:val="004C0322"/>
    <w:rsid w:val="004C0333"/>
    <w:rsid w:val="004C0365"/>
    <w:rsid w:val="004C0375"/>
    <w:rsid w:val="004C03B9"/>
    <w:rsid w:val="004C03DF"/>
    <w:rsid w:val="004C03E4"/>
    <w:rsid w:val="004C03FE"/>
    <w:rsid w:val="004C047D"/>
    <w:rsid w:val="004C0512"/>
    <w:rsid w:val="004C051F"/>
    <w:rsid w:val="004C059B"/>
    <w:rsid w:val="004C05A2"/>
    <w:rsid w:val="004C0685"/>
    <w:rsid w:val="004C06AE"/>
    <w:rsid w:val="004C06E9"/>
    <w:rsid w:val="004C073C"/>
    <w:rsid w:val="004C07E9"/>
    <w:rsid w:val="004C081E"/>
    <w:rsid w:val="004C084F"/>
    <w:rsid w:val="004C089D"/>
    <w:rsid w:val="004C08E0"/>
    <w:rsid w:val="004C08E9"/>
    <w:rsid w:val="004C09C8"/>
    <w:rsid w:val="004C0A29"/>
    <w:rsid w:val="004C0A38"/>
    <w:rsid w:val="004C0B26"/>
    <w:rsid w:val="004C0BB2"/>
    <w:rsid w:val="004C0BD7"/>
    <w:rsid w:val="004C0C07"/>
    <w:rsid w:val="004C0C0B"/>
    <w:rsid w:val="004C0C4F"/>
    <w:rsid w:val="004C0C7E"/>
    <w:rsid w:val="004C0C87"/>
    <w:rsid w:val="004C0CEA"/>
    <w:rsid w:val="004C0CEB"/>
    <w:rsid w:val="004C0D43"/>
    <w:rsid w:val="004C0D54"/>
    <w:rsid w:val="004C0D64"/>
    <w:rsid w:val="004C0D6D"/>
    <w:rsid w:val="004C0DF1"/>
    <w:rsid w:val="004C0E06"/>
    <w:rsid w:val="004C0E36"/>
    <w:rsid w:val="004C0F20"/>
    <w:rsid w:val="004C0F30"/>
    <w:rsid w:val="004C0F44"/>
    <w:rsid w:val="004C0F47"/>
    <w:rsid w:val="004C0F7A"/>
    <w:rsid w:val="004C0F7F"/>
    <w:rsid w:val="004C0F9C"/>
    <w:rsid w:val="004C1081"/>
    <w:rsid w:val="004C1083"/>
    <w:rsid w:val="004C10C2"/>
    <w:rsid w:val="004C1114"/>
    <w:rsid w:val="004C112C"/>
    <w:rsid w:val="004C1196"/>
    <w:rsid w:val="004C1198"/>
    <w:rsid w:val="004C11B6"/>
    <w:rsid w:val="004C1230"/>
    <w:rsid w:val="004C124A"/>
    <w:rsid w:val="004C12C9"/>
    <w:rsid w:val="004C1310"/>
    <w:rsid w:val="004C1321"/>
    <w:rsid w:val="004C136D"/>
    <w:rsid w:val="004C1370"/>
    <w:rsid w:val="004C1371"/>
    <w:rsid w:val="004C1394"/>
    <w:rsid w:val="004C1395"/>
    <w:rsid w:val="004C13D6"/>
    <w:rsid w:val="004C13F6"/>
    <w:rsid w:val="004C1487"/>
    <w:rsid w:val="004C14A4"/>
    <w:rsid w:val="004C14F8"/>
    <w:rsid w:val="004C1526"/>
    <w:rsid w:val="004C157C"/>
    <w:rsid w:val="004C1588"/>
    <w:rsid w:val="004C15E1"/>
    <w:rsid w:val="004C15EA"/>
    <w:rsid w:val="004C1601"/>
    <w:rsid w:val="004C1616"/>
    <w:rsid w:val="004C1640"/>
    <w:rsid w:val="004C16AF"/>
    <w:rsid w:val="004C16CA"/>
    <w:rsid w:val="004C1707"/>
    <w:rsid w:val="004C1728"/>
    <w:rsid w:val="004C1746"/>
    <w:rsid w:val="004C1765"/>
    <w:rsid w:val="004C1782"/>
    <w:rsid w:val="004C179C"/>
    <w:rsid w:val="004C17A5"/>
    <w:rsid w:val="004C17D0"/>
    <w:rsid w:val="004C17DB"/>
    <w:rsid w:val="004C1882"/>
    <w:rsid w:val="004C18C9"/>
    <w:rsid w:val="004C195E"/>
    <w:rsid w:val="004C196A"/>
    <w:rsid w:val="004C19A7"/>
    <w:rsid w:val="004C19C1"/>
    <w:rsid w:val="004C19D7"/>
    <w:rsid w:val="004C19E8"/>
    <w:rsid w:val="004C1AC3"/>
    <w:rsid w:val="004C1AE5"/>
    <w:rsid w:val="004C1B45"/>
    <w:rsid w:val="004C1B53"/>
    <w:rsid w:val="004C1B98"/>
    <w:rsid w:val="004C1BB6"/>
    <w:rsid w:val="004C1C65"/>
    <w:rsid w:val="004C1C6D"/>
    <w:rsid w:val="004C1C9D"/>
    <w:rsid w:val="004C1CCA"/>
    <w:rsid w:val="004C1D0E"/>
    <w:rsid w:val="004C1D2E"/>
    <w:rsid w:val="004C1D4B"/>
    <w:rsid w:val="004C1D9E"/>
    <w:rsid w:val="004C1DBD"/>
    <w:rsid w:val="004C1E0D"/>
    <w:rsid w:val="004C1E39"/>
    <w:rsid w:val="004C1E3D"/>
    <w:rsid w:val="004C1E4A"/>
    <w:rsid w:val="004C1E83"/>
    <w:rsid w:val="004C1E92"/>
    <w:rsid w:val="004C1EDC"/>
    <w:rsid w:val="004C1F26"/>
    <w:rsid w:val="004C1F2D"/>
    <w:rsid w:val="004C1F51"/>
    <w:rsid w:val="004C2028"/>
    <w:rsid w:val="004C2030"/>
    <w:rsid w:val="004C20E6"/>
    <w:rsid w:val="004C20F5"/>
    <w:rsid w:val="004C2165"/>
    <w:rsid w:val="004C2171"/>
    <w:rsid w:val="004C218D"/>
    <w:rsid w:val="004C219A"/>
    <w:rsid w:val="004C21ED"/>
    <w:rsid w:val="004C21F4"/>
    <w:rsid w:val="004C221F"/>
    <w:rsid w:val="004C2242"/>
    <w:rsid w:val="004C2255"/>
    <w:rsid w:val="004C22D1"/>
    <w:rsid w:val="004C22E5"/>
    <w:rsid w:val="004C22F1"/>
    <w:rsid w:val="004C22FA"/>
    <w:rsid w:val="004C2300"/>
    <w:rsid w:val="004C2335"/>
    <w:rsid w:val="004C2357"/>
    <w:rsid w:val="004C2362"/>
    <w:rsid w:val="004C2367"/>
    <w:rsid w:val="004C236A"/>
    <w:rsid w:val="004C23A0"/>
    <w:rsid w:val="004C23FE"/>
    <w:rsid w:val="004C241F"/>
    <w:rsid w:val="004C242B"/>
    <w:rsid w:val="004C242E"/>
    <w:rsid w:val="004C247A"/>
    <w:rsid w:val="004C2523"/>
    <w:rsid w:val="004C2539"/>
    <w:rsid w:val="004C2556"/>
    <w:rsid w:val="004C25B7"/>
    <w:rsid w:val="004C261D"/>
    <w:rsid w:val="004C2628"/>
    <w:rsid w:val="004C2693"/>
    <w:rsid w:val="004C2699"/>
    <w:rsid w:val="004C269C"/>
    <w:rsid w:val="004C272A"/>
    <w:rsid w:val="004C273E"/>
    <w:rsid w:val="004C2779"/>
    <w:rsid w:val="004C2820"/>
    <w:rsid w:val="004C283C"/>
    <w:rsid w:val="004C285C"/>
    <w:rsid w:val="004C289F"/>
    <w:rsid w:val="004C28BF"/>
    <w:rsid w:val="004C28DA"/>
    <w:rsid w:val="004C2902"/>
    <w:rsid w:val="004C2928"/>
    <w:rsid w:val="004C292E"/>
    <w:rsid w:val="004C29D8"/>
    <w:rsid w:val="004C29E7"/>
    <w:rsid w:val="004C2A03"/>
    <w:rsid w:val="004C2A93"/>
    <w:rsid w:val="004C2A99"/>
    <w:rsid w:val="004C2AB8"/>
    <w:rsid w:val="004C2ABC"/>
    <w:rsid w:val="004C2AF3"/>
    <w:rsid w:val="004C2B07"/>
    <w:rsid w:val="004C2B47"/>
    <w:rsid w:val="004C2C24"/>
    <w:rsid w:val="004C2C42"/>
    <w:rsid w:val="004C2C6C"/>
    <w:rsid w:val="004C2CA8"/>
    <w:rsid w:val="004C2CAF"/>
    <w:rsid w:val="004C2CBE"/>
    <w:rsid w:val="004C2CC8"/>
    <w:rsid w:val="004C2CDC"/>
    <w:rsid w:val="004C2D09"/>
    <w:rsid w:val="004C2D6F"/>
    <w:rsid w:val="004C2DB7"/>
    <w:rsid w:val="004C2DC3"/>
    <w:rsid w:val="004C2E06"/>
    <w:rsid w:val="004C2E35"/>
    <w:rsid w:val="004C2E78"/>
    <w:rsid w:val="004C2F1C"/>
    <w:rsid w:val="004C2F4B"/>
    <w:rsid w:val="004C2F5F"/>
    <w:rsid w:val="004C2F61"/>
    <w:rsid w:val="004C2F80"/>
    <w:rsid w:val="004C2F87"/>
    <w:rsid w:val="004C2FA3"/>
    <w:rsid w:val="004C2FC2"/>
    <w:rsid w:val="004C2FD2"/>
    <w:rsid w:val="004C2FD4"/>
    <w:rsid w:val="004C2FF2"/>
    <w:rsid w:val="004C3035"/>
    <w:rsid w:val="004C304A"/>
    <w:rsid w:val="004C3071"/>
    <w:rsid w:val="004C3073"/>
    <w:rsid w:val="004C30F6"/>
    <w:rsid w:val="004C30F9"/>
    <w:rsid w:val="004C3117"/>
    <w:rsid w:val="004C3144"/>
    <w:rsid w:val="004C317A"/>
    <w:rsid w:val="004C31BA"/>
    <w:rsid w:val="004C31C7"/>
    <w:rsid w:val="004C3209"/>
    <w:rsid w:val="004C321C"/>
    <w:rsid w:val="004C3224"/>
    <w:rsid w:val="004C3257"/>
    <w:rsid w:val="004C3297"/>
    <w:rsid w:val="004C32F5"/>
    <w:rsid w:val="004C3330"/>
    <w:rsid w:val="004C334D"/>
    <w:rsid w:val="004C3387"/>
    <w:rsid w:val="004C33B7"/>
    <w:rsid w:val="004C33DC"/>
    <w:rsid w:val="004C3466"/>
    <w:rsid w:val="004C347B"/>
    <w:rsid w:val="004C349B"/>
    <w:rsid w:val="004C34EF"/>
    <w:rsid w:val="004C34F8"/>
    <w:rsid w:val="004C3558"/>
    <w:rsid w:val="004C3567"/>
    <w:rsid w:val="004C35A9"/>
    <w:rsid w:val="004C3619"/>
    <w:rsid w:val="004C3642"/>
    <w:rsid w:val="004C3653"/>
    <w:rsid w:val="004C36FC"/>
    <w:rsid w:val="004C379C"/>
    <w:rsid w:val="004C37C4"/>
    <w:rsid w:val="004C3817"/>
    <w:rsid w:val="004C3822"/>
    <w:rsid w:val="004C3841"/>
    <w:rsid w:val="004C3844"/>
    <w:rsid w:val="004C389E"/>
    <w:rsid w:val="004C38C7"/>
    <w:rsid w:val="004C3901"/>
    <w:rsid w:val="004C390E"/>
    <w:rsid w:val="004C3930"/>
    <w:rsid w:val="004C39CD"/>
    <w:rsid w:val="004C3A40"/>
    <w:rsid w:val="004C3A46"/>
    <w:rsid w:val="004C3A63"/>
    <w:rsid w:val="004C3AA0"/>
    <w:rsid w:val="004C3AB3"/>
    <w:rsid w:val="004C3ADC"/>
    <w:rsid w:val="004C3AE4"/>
    <w:rsid w:val="004C3B38"/>
    <w:rsid w:val="004C3B4A"/>
    <w:rsid w:val="004C3B52"/>
    <w:rsid w:val="004C3B7D"/>
    <w:rsid w:val="004C3B81"/>
    <w:rsid w:val="004C3BDF"/>
    <w:rsid w:val="004C3C01"/>
    <w:rsid w:val="004C3C0A"/>
    <w:rsid w:val="004C3C6E"/>
    <w:rsid w:val="004C3CB4"/>
    <w:rsid w:val="004C3CB5"/>
    <w:rsid w:val="004C3D39"/>
    <w:rsid w:val="004C3D5C"/>
    <w:rsid w:val="004C3DB4"/>
    <w:rsid w:val="004C3DD7"/>
    <w:rsid w:val="004C3E07"/>
    <w:rsid w:val="004C3E21"/>
    <w:rsid w:val="004C3E30"/>
    <w:rsid w:val="004C3EA4"/>
    <w:rsid w:val="004C3EA6"/>
    <w:rsid w:val="004C3ED4"/>
    <w:rsid w:val="004C3ED7"/>
    <w:rsid w:val="004C3EEE"/>
    <w:rsid w:val="004C3F50"/>
    <w:rsid w:val="004C3F68"/>
    <w:rsid w:val="004C3F78"/>
    <w:rsid w:val="004C3F81"/>
    <w:rsid w:val="004C3FE3"/>
    <w:rsid w:val="004C3FE8"/>
    <w:rsid w:val="004C3FF6"/>
    <w:rsid w:val="004C4088"/>
    <w:rsid w:val="004C4167"/>
    <w:rsid w:val="004C4198"/>
    <w:rsid w:val="004C41B6"/>
    <w:rsid w:val="004C41D8"/>
    <w:rsid w:val="004C4226"/>
    <w:rsid w:val="004C4274"/>
    <w:rsid w:val="004C4276"/>
    <w:rsid w:val="004C42D0"/>
    <w:rsid w:val="004C4302"/>
    <w:rsid w:val="004C432B"/>
    <w:rsid w:val="004C4331"/>
    <w:rsid w:val="004C434C"/>
    <w:rsid w:val="004C43ED"/>
    <w:rsid w:val="004C43EF"/>
    <w:rsid w:val="004C4402"/>
    <w:rsid w:val="004C4432"/>
    <w:rsid w:val="004C4480"/>
    <w:rsid w:val="004C44A7"/>
    <w:rsid w:val="004C44C0"/>
    <w:rsid w:val="004C44DF"/>
    <w:rsid w:val="004C44EA"/>
    <w:rsid w:val="004C4518"/>
    <w:rsid w:val="004C4552"/>
    <w:rsid w:val="004C4559"/>
    <w:rsid w:val="004C4578"/>
    <w:rsid w:val="004C4583"/>
    <w:rsid w:val="004C4595"/>
    <w:rsid w:val="004C45AD"/>
    <w:rsid w:val="004C45C4"/>
    <w:rsid w:val="004C45C7"/>
    <w:rsid w:val="004C45E7"/>
    <w:rsid w:val="004C4640"/>
    <w:rsid w:val="004C4643"/>
    <w:rsid w:val="004C4657"/>
    <w:rsid w:val="004C467E"/>
    <w:rsid w:val="004C46A1"/>
    <w:rsid w:val="004C46F8"/>
    <w:rsid w:val="004C472C"/>
    <w:rsid w:val="004C4742"/>
    <w:rsid w:val="004C474E"/>
    <w:rsid w:val="004C4777"/>
    <w:rsid w:val="004C4780"/>
    <w:rsid w:val="004C4808"/>
    <w:rsid w:val="004C4842"/>
    <w:rsid w:val="004C484B"/>
    <w:rsid w:val="004C4865"/>
    <w:rsid w:val="004C488F"/>
    <w:rsid w:val="004C48C5"/>
    <w:rsid w:val="004C48D1"/>
    <w:rsid w:val="004C4919"/>
    <w:rsid w:val="004C491D"/>
    <w:rsid w:val="004C4927"/>
    <w:rsid w:val="004C49E9"/>
    <w:rsid w:val="004C49F3"/>
    <w:rsid w:val="004C49F7"/>
    <w:rsid w:val="004C4A16"/>
    <w:rsid w:val="004C4A51"/>
    <w:rsid w:val="004C4A5C"/>
    <w:rsid w:val="004C4A7C"/>
    <w:rsid w:val="004C4B19"/>
    <w:rsid w:val="004C4B97"/>
    <w:rsid w:val="004C4BFD"/>
    <w:rsid w:val="004C4C12"/>
    <w:rsid w:val="004C4C24"/>
    <w:rsid w:val="004C4C43"/>
    <w:rsid w:val="004C4C45"/>
    <w:rsid w:val="004C4C90"/>
    <w:rsid w:val="004C4CF3"/>
    <w:rsid w:val="004C4D03"/>
    <w:rsid w:val="004C4D41"/>
    <w:rsid w:val="004C4D94"/>
    <w:rsid w:val="004C4DBE"/>
    <w:rsid w:val="004C4DEE"/>
    <w:rsid w:val="004C4E13"/>
    <w:rsid w:val="004C4E1B"/>
    <w:rsid w:val="004C4E91"/>
    <w:rsid w:val="004C4EAA"/>
    <w:rsid w:val="004C4ECA"/>
    <w:rsid w:val="004C4ED1"/>
    <w:rsid w:val="004C4F0C"/>
    <w:rsid w:val="004C4F1E"/>
    <w:rsid w:val="004C4F45"/>
    <w:rsid w:val="004C4FBE"/>
    <w:rsid w:val="004C5037"/>
    <w:rsid w:val="004C5069"/>
    <w:rsid w:val="004C507D"/>
    <w:rsid w:val="004C5161"/>
    <w:rsid w:val="004C5193"/>
    <w:rsid w:val="004C51B4"/>
    <w:rsid w:val="004C51E6"/>
    <w:rsid w:val="004C524C"/>
    <w:rsid w:val="004C52E0"/>
    <w:rsid w:val="004C5322"/>
    <w:rsid w:val="004C533E"/>
    <w:rsid w:val="004C534D"/>
    <w:rsid w:val="004C53B2"/>
    <w:rsid w:val="004C53CD"/>
    <w:rsid w:val="004C53D5"/>
    <w:rsid w:val="004C53E8"/>
    <w:rsid w:val="004C549F"/>
    <w:rsid w:val="004C54CF"/>
    <w:rsid w:val="004C54DA"/>
    <w:rsid w:val="004C550A"/>
    <w:rsid w:val="004C5525"/>
    <w:rsid w:val="004C5548"/>
    <w:rsid w:val="004C5575"/>
    <w:rsid w:val="004C55A6"/>
    <w:rsid w:val="004C55DE"/>
    <w:rsid w:val="004C55F2"/>
    <w:rsid w:val="004C56F2"/>
    <w:rsid w:val="004C5716"/>
    <w:rsid w:val="004C5752"/>
    <w:rsid w:val="004C583A"/>
    <w:rsid w:val="004C5852"/>
    <w:rsid w:val="004C5957"/>
    <w:rsid w:val="004C5970"/>
    <w:rsid w:val="004C5979"/>
    <w:rsid w:val="004C59FB"/>
    <w:rsid w:val="004C5A1E"/>
    <w:rsid w:val="004C5A2C"/>
    <w:rsid w:val="004C5A4C"/>
    <w:rsid w:val="004C5A6B"/>
    <w:rsid w:val="004C5B8E"/>
    <w:rsid w:val="004C5B9C"/>
    <w:rsid w:val="004C5C12"/>
    <w:rsid w:val="004C5C5D"/>
    <w:rsid w:val="004C5CA4"/>
    <w:rsid w:val="004C5CEE"/>
    <w:rsid w:val="004C5D99"/>
    <w:rsid w:val="004C5DA7"/>
    <w:rsid w:val="004C5DDB"/>
    <w:rsid w:val="004C5E0D"/>
    <w:rsid w:val="004C5E13"/>
    <w:rsid w:val="004C5E55"/>
    <w:rsid w:val="004C5EB7"/>
    <w:rsid w:val="004C5EC5"/>
    <w:rsid w:val="004C5ED5"/>
    <w:rsid w:val="004C5EFD"/>
    <w:rsid w:val="004C5F01"/>
    <w:rsid w:val="004C5F27"/>
    <w:rsid w:val="004C5F60"/>
    <w:rsid w:val="004C5F79"/>
    <w:rsid w:val="004C5F88"/>
    <w:rsid w:val="004C5FF6"/>
    <w:rsid w:val="004C6023"/>
    <w:rsid w:val="004C6084"/>
    <w:rsid w:val="004C6088"/>
    <w:rsid w:val="004C609B"/>
    <w:rsid w:val="004C60B8"/>
    <w:rsid w:val="004C60CB"/>
    <w:rsid w:val="004C60E7"/>
    <w:rsid w:val="004C6106"/>
    <w:rsid w:val="004C61A5"/>
    <w:rsid w:val="004C61AC"/>
    <w:rsid w:val="004C61C1"/>
    <w:rsid w:val="004C6250"/>
    <w:rsid w:val="004C6268"/>
    <w:rsid w:val="004C62A7"/>
    <w:rsid w:val="004C62B6"/>
    <w:rsid w:val="004C6327"/>
    <w:rsid w:val="004C6361"/>
    <w:rsid w:val="004C645B"/>
    <w:rsid w:val="004C649D"/>
    <w:rsid w:val="004C64B6"/>
    <w:rsid w:val="004C64E3"/>
    <w:rsid w:val="004C64F3"/>
    <w:rsid w:val="004C64F7"/>
    <w:rsid w:val="004C6524"/>
    <w:rsid w:val="004C6530"/>
    <w:rsid w:val="004C658C"/>
    <w:rsid w:val="004C6629"/>
    <w:rsid w:val="004C6635"/>
    <w:rsid w:val="004C6642"/>
    <w:rsid w:val="004C665C"/>
    <w:rsid w:val="004C6666"/>
    <w:rsid w:val="004C6671"/>
    <w:rsid w:val="004C667F"/>
    <w:rsid w:val="004C668B"/>
    <w:rsid w:val="004C66A4"/>
    <w:rsid w:val="004C66B6"/>
    <w:rsid w:val="004C66C3"/>
    <w:rsid w:val="004C676A"/>
    <w:rsid w:val="004C67B2"/>
    <w:rsid w:val="004C67E1"/>
    <w:rsid w:val="004C67E2"/>
    <w:rsid w:val="004C67E9"/>
    <w:rsid w:val="004C67ED"/>
    <w:rsid w:val="004C67F2"/>
    <w:rsid w:val="004C683F"/>
    <w:rsid w:val="004C6869"/>
    <w:rsid w:val="004C68BB"/>
    <w:rsid w:val="004C68DA"/>
    <w:rsid w:val="004C691B"/>
    <w:rsid w:val="004C6993"/>
    <w:rsid w:val="004C69AC"/>
    <w:rsid w:val="004C69C5"/>
    <w:rsid w:val="004C69E0"/>
    <w:rsid w:val="004C69EE"/>
    <w:rsid w:val="004C6A00"/>
    <w:rsid w:val="004C6A41"/>
    <w:rsid w:val="004C6A6C"/>
    <w:rsid w:val="004C6A89"/>
    <w:rsid w:val="004C6A8D"/>
    <w:rsid w:val="004C6AC2"/>
    <w:rsid w:val="004C6AEF"/>
    <w:rsid w:val="004C6AFD"/>
    <w:rsid w:val="004C6B17"/>
    <w:rsid w:val="004C6B2B"/>
    <w:rsid w:val="004C6B77"/>
    <w:rsid w:val="004C6B93"/>
    <w:rsid w:val="004C6B97"/>
    <w:rsid w:val="004C6BB2"/>
    <w:rsid w:val="004C6BC1"/>
    <w:rsid w:val="004C6BD3"/>
    <w:rsid w:val="004C6C13"/>
    <w:rsid w:val="004C6CA5"/>
    <w:rsid w:val="004C6CAA"/>
    <w:rsid w:val="004C6CE1"/>
    <w:rsid w:val="004C6D03"/>
    <w:rsid w:val="004C6D2C"/>
    <w:rsid w:val="004C6D40"/>
    <w:rsid w:val="004C6D49"/>
    <w:rsid w:val="004C6D50"/>
    <w:rsid w:val="004C6D62"/>
    <w:rsid w:val="004C6D85"/>
    <w:rsid w:val="004C6D96"/>
    <w:rsid w:val="004C6E00"/>
    <w:rsid w:val="004C6E1E"/>
    <w:rsid w:val="004C6EA1"/>
    <w:rsid w:val="004C6F02"/>
    <w:rsid w:val="004C6F05"/>
    <w:rsid w:val="004C6F7B"/>
    <w:rsid w:val="004C6FDE"/>
    <w:rsid w:val="004C6FE6"/>
    <w:rsid w:val="004C6FF7"/>
    <w:rsid w:val="004C7032"/>
    <w:rsid w:val="004C7034"/>
    <w:rsid w:val="004C7053"/>
    <w:rsid w:val="004C709B"/>
    <w:rsid w:val="004C70BB"/>
    <w:rsid w:val="004C70D6"/>
    <w:rsid w:val="004C710F"/>
    <w:rsid w:val="004C712E"/>
    <w:rsid w:val="004C715E"/>
    <w:rsid w:val="004C7164"/>
    <w:rsid w:val="004C718D"/>
    <w:rsid w:val="004C72CD"/>
    <w:rsid w:val="004C72E8"/>
    <w:rsid w:val="004C72EC"/>
    <w:rsid w:val="004C733D"/>
    <w:rsid w:val="004C734C"/>
    <w:rsid w:val="004C735F"/>
    <w:rsid w:val="004C740E"/>
    <w:rsid w:val="004C7438"/>
    <w:rsid w:val="004C74D4"/>
    <w:rsid w:val="004C74DC"/>
    <w:rsid w:val="004C74E0"/>
    <w:rsid w:val="004C74ED"/>
    <w:rsid w:val="004C7536"/>
    <w:rsid w:val="004C757B"/>
    <w:rsid w:val="004C7592"/>
    <w:rsid w:val="004C75DE"/>
    <w:rsid w:val="004C767C"/>
    <w:rsid w:val="004C76B2"/>
    <w:rsid w:val="004C76CA"/>
    <w:rsid w:val="004C76ED"/>
    <w:rsid w:val="004C771B"/>
    <w:rsid w:val="004C7720"/>
    <w:rsid w:val="004C7759"/>
    <w:rsid w:val="004C7774"/>
    <w:rsid w:val="004C77A2"/>
    <w:rsid w:val="004C77DA"/>
    <w:rsid w:val="004C781D"/>
    <w:rsid w:val="004C783C"/>
    <w:rsid w:val="004C7855"/>
    <w:rsid w:val="004C789E"/>
    <w:rsid w:val="004C78DE"/>
    <w:rsid w:val="004C78E8"/>
    <w:rsid w:val="004C7918"/>
    <w:rsid w:val="004C7927"/>
    <w:rsid w:val="004C792C"/>
    <w:rsid w:val="004C7989"/>
    <w:rsid w:val="004C798B"/>
    <w:rsid w:val="004C7999"/>
    <w:rsid w:val="004C79C3"/>
    <w:rsid w:val="004C7A5E"/>
    <w:rsid w:val="004C7A68"/>
    <w:rsid w:val="004C7A6C"/>
    <w:rsid w:val="004C7A8D"/>
    <w:rsid w:val="004C7ACC"/>
    <w:rsid w:val="004C7AD1"/>
    <w:rsid w:val="004C7B0B"/>
    <w:rsid w:val="004C7B96"/>
    <w:rsid w:val="004C7BE3"/>
    <w:rsid w:val="004C7C0E"/>
    <w:rsid w:val="004C7C17"/>
    <w:rsid w:val="004C7C2D"/>
    <w:rsid w:val="004C7C47"/>
    <w:rsid w:val="004C7C70"/>
    <w:rsid w:val="004C7C74"/>
    <w:rsid w:val="004C7D90"/>
    <w:rsid w:val="004C7DCD"/>
    <w:rsid w:val="004C7E2C"/>
    <w:rsid w:val="004C7F03"/>
    <w:rsid w:val="004C7F8D"/>
    <w:rsid w:val="004C7FFC"/>
    <w:rsid w:val="004D0001"/>
    <w:rsid w:val="004D002A"/>
    <w:rsid w:val="004D003C"/>
    <w:rsid w:val="004D0044"/>
    <w:rsid w:val="004D006D"/>
    <w:rsid w:val="004D0088"/>
    <w:rsid w:val="004D0094"/>
    <w:rsid w:val="004D00A0"/>
    <w:rsid w:val="004D00DB"/>
    <w:rsid w:val="004D012A"/>
    <w:rsid w:val="004D0147"/>
    <w:rsid w:val="004D014A"/>
    <w:rsid w:val="004D0153"/>
    <w:rsid w:val="004D017D"/>
    <w:rsid w:val="004D01A5"/>
    <w:rsid w:val="004D01A6"/>
    <w:rsid w:val="004D01BB"/>
    <w:rsid w:val="004D020A"/>
    <w:rsid w:val="004D023C"/>
    <w:rsid w:val="004D0271"/>
    <w:rsid w:val="004D027A"/>
    <w:rsid w:val="004D029F"/>
    <w:rsid w:val="004D0300"/>
    <w:rsid w:val="004D0318"/>
    <w:rsid w:val="004D033C"/>
    <w:rsid w:val="004D034D"/>
    <w:rsid w:val="004D039C"/>
    <w:rsid w:val="004D0411"/>
    <w:rsid w:val="004D0419"/>
    <w:rsid w:val="004D043F"/>
    <w:rsid w:val="004D0445"/>
    <w:rsid w:val="004D045A"/>
    <w:rsid w:val="004D0468"/>
    <w:rsid w:val="004D049E"/>
    <w:rsid w:val="004D04CA"/>
    <w:rsid w:val="004D050E"/>
    <w:rsid w:val="004D0522"/>
    <w:rsid w:val="004D0609"/>
    <w:rsid w:val="004D061D"/>
    <w:rsid w:val="004D0620"/>
    <w:rsid w:val="004D0657"/>
    <w:rsid w:val="004D0660"/>
    <w:rsid w:val="004D0664"/>
    <w:rsid w:val="004D06BD"/>
    <w:rsid w:val="004D06D4"/>
    <w:rsid w:val="004D0753"/>
    <w:rsid w:val="004D07A6"/>
    <w:rsid w:val="004D07ED"/>
    <w:rsid w:val="004D0834"/>
    <w:rsid w:val="004D0843"/>
    <w:rsid w:val="004D084F"/>
    <w:rsid w:val="004D085E"/>
    <w:rsid w:val="004D08A0"/>
    <w:rsid w:val="004D0943"/>
    <w:rsid w:val="004D0976"/>
    <w:rsid w:val="004D099F"/>
    <w:rsid w:val="004D09C4"/>
    <w:rsid w:val="004D09FD"/>
    <w:rsid w:val="004D09FE"/>
    <w:rsid w:val="004D0A09"/>
    <w:rsid w:val="004D0A21"/>
    <w:rsid w:val="004D0B6C"/>
    <w:rsid w:val="004D0C6D"/>
    <w:rsid w:val="004D0C8D"/>
    <w:rsid w:val="004D0CB0"/>
    <w:rsid w:val="004D0D4B"/>
    <w:rsid w:val="004D0D58"/>
    <w:rsid w:val="004D0D78"/>
    <w:rsid w:val="004D0DCB"/>
    <w:rsid w:val="004D0DFE"/>
    <w:rsid w:val="004D0E13"/>
    <w:rsid w:val="004D0E6A"/>
    <w:rsid w:val="004D0E81"/>
    <w:rsid w:val="004D0ED2"/>
    <w:rsid w:val="004D0EDB"/>
    <w:rsid w:val="004D0F46"/>
    <w:rsid w:val="004D0F4C"/>
    <w:rsid w:val="004D0F8D"/>
    <w:rsid w:val="004D0FBD"/>
    <w:rsid w:val="004D0FDB"/>
    <w:rsid w:val="004D0FDC"/>
    <w:rsid w:val="004D0FDF"/>
    <w:rsid w:val="004D0FF4"/>
    <w:rsid w:val="004D0FF9"/>
    <w:rsid w:val="004D103B"/>
    <w:rsid w:val="004D108D"/>
    <w:rsid w:val="004D109B"/>
    <w:rsid w:val="004D114F"/>
    <w:rsid w:val="004D11EE"/>
    <w:rsid w:val="004D11F1"/>
    <w:rsid w:val="004D1221"/>
    <w:rsid w:val="004D1274"/>
    <w:rsid w:val="004D128C"/>
    <w:rsid w:val="004D12B6"/>
    <w:rsid w:val="004D12B7"/>
    <w:rsid w:val="004D12E5"/>
    <w:rsid w:val="004D136D"/>
    <w:rsid w:val="004D1379"/>
    <w:rsid w:val="004D1381"/>
    <w:rsid w:val="004D1390"/>
    <w:rsid w:val="004D13A5"/>
    <w:rsid w:val="004D13EC"/>
    <w:rsid w:val="004D13F6"/>
    <w:rsid w:val="004D1425"/>
    <w:rsid w:val="004D1437"/>
    <w:rsid w:val="004D147F"/>
    <w:rsid w:val="004D149C"/>
    <w:rsid w:val="004D14A9"/>
    <w:rsid w:val="004D14DB"/>
    <w:rsid w:val="004D14F6"/>
    <w:rsid w:val="004D1517"/>
    <w:rsid w:val="004D152E"/>
    <w:rsid w:val="004D15C3"/>
    <w:rsid w:val="004D15D9"/>
    <w:rsid w:val="004D15DA"/>
    <w:rsid w:val="004D1619"/>
    <w:rsid w:val="004D169A"/>
    <w:rsid w:val="004D169D"/>
    <w:rsid w:val="004D16AF"/>
    <w:rsid w:val="004D16FB"/>
    <w:rsid w:val="004D1729"/>
    <w:rsid w:val="004D172A"/>
    <w:rsid w:val="004D17A2"/>
    <w:rsid w:val="004D182E"/>
    <w:rsid w:val="004D1833"/>
    <w:rsid w:val="004D1867"/>
    <w:rsid w:val="004D18E1"/>
    <w:rsid w:val="004D18FF"/>
    <w:rsid w:val="004D194D"/>
    <w:rsid w:val="004D195A"/>
    <w:rsid w:val="004D198F"/>
    <w:rsid w:val="004D19A7"/>
    <w:rsid w:val="004D19BA"/>
    <w:rsid w:val="004D19C2"/>
    <w:rsid w:val="004D19F5"/>
    <w:rsid w:val="004D1A00"/>
    <w:rsid w:val="004D1A5B"/>
    <w:rsid w:val="004D1A86"/>
    <w:rsid w:val="004D1AD4"/>
    <w:rsid w:val="004D1B28"/>
    <w:rsid w:val="004D1B35"/>
    <w:rsid w:val="004D1BA3"/>
    <w:rsid w:val="004D1BB6"/>
    <w:rsid w:val="004D1BBF"/>
    <w:rsid w:val="004D1C19"/>
    <w:rsid w:val="004D1C94"/>
    <w:rsid w:val="004D1CA8"/>
    <w:rsid w:val="004D1D42"/>
    <w:rsid w:val="004D1D59"/>
    <w:rsid w:val="004D1D80"/>
    <w:rsid w:val="004D1DF5"/>
    <w:rsid w:val="004D1DF6"/>
    <w:rsid w:val="004D1E36"/>
    <w:rsid w:val="004D1E88"/>
    <w:rsid w:val="004D1F62"/>
    <w:rsid w:val="004D1F69"/>
    <w:rsid w:val="004D1F7C"/>
    <w:rsid w:val="004D1F8C"/>
    <w:rsid w:val="004D1FA4"/>
    <w:rsid w:val="004D1FEF"/>
    <w:rsid w:val="004D2039"/>
    <w:rsid w:val="004D2046"/>
    <w:rsid w:val="004D2072"/>
    <w:rsid w:val="004D20BE"/>
    <w:rsid w:val="004D2133"/>
    <w:rsid w:val="004D2301"/>
    <w:rsid w:val="004D2377"/>
    <w:rsid w:val="004D2385"/>
    <w:rsid w:val="004D23F6"/>
    <w:rsid w:val="004D2421"/>
    <w:rsid w:val="004D2472"/>
    <w:rsid w:val="004D24B9"/>
    <w:rsid w:val="004D24EF"/>
    <w:rsid w:val="004D24FF"/>
    <w:rsid w:val="004D253B"/>
    <w:rsid w:val="004D2551"/>
    <w:rsid w:val="004D255D"/>
    <w:rsid w:val="004D25A1"/>
    <w:rsid w:val="004D25A5"/>
    <w:rsid w:val="004D264F"/>
    <w:rsid w:val="004D2654"/>
    <w:rsid w:val="004D268D"/>
    <w:rsid w:val="004D269B"/>
    <w:rsid w:val="004D26A2"/>
    <w:rsid w:val="004D26BE"/>
    <w:rsid w:val="004D26C2"/>
    <w:rsid w:val="004D26EB"/>
    <w:rsid w:val="004D2760"/>
    <w:rsid w:val="004D279A"/>
    <w:rsid w:val="004D27A0"/>
    <w:rsid w:val="004D27B7"/>
    <w:rsid w:val="004D27C1"/>
    <w:rsid w:val="004D281D"/>
    <w:rsid w:val="004D2845"/>
    <w:rsid w:val="004D2847"/>
    <w:rsid w:val="004D291B"/>
    <w:rsid w:val="004D293F"/>
    <w:rsid w:val="004D299A"/>
    <w:rsid w:val="004D29CE"/>
    <w:rsid w:val="004D29FD"/>
    <w:rsid w:val="004D2A0A"/>
    <w:rsid w:val="004D2A40"/>
    <w:rsid w:val="004D2A97"/>
    <w:rsid w:val="004D2A9E"/>
    <w:rsid w:val="004D2AAA"/>
    <w:rsid w:val="004D2AC0"/>
    <w:rsid w:val="004D2B03"/>
    <w:rsid w:val="004D2B37"/>
    <w:rsid w:val="004D2B3D"/>
    <w:rsid w:val="004D2B60"/>
    <w:rsid w:val="004D2B7E"/>
    <w:rsid w:val="004D2BE1"/>
    <w:rsid w:val="004D2C59"/>
    <w:rsid w:val="004D2C5A"/>
    <w:rsid w:val="004D2C61"/>
    <w:rsid w:val="004D2C73"/>
    <w:rsid w:val="004D2CCA"/>
    <w:rsid w:val="004D2D0B"/>
    <w:rsid w:val="004D2D43"/>
    <w:rsid w:val="004D2D88"/>
    <w:rsid w:val="004D2D9D"/>
    <w:rsid w:val="004D2E31"/>
    <w:rsid w:val="004D2E4F"/>
    <w:rsid w:val="004D2E87"/>
    <w:rsid w:val="004D2ED2"/>
    <w:rsid w:val="004D2ED8"/>
    <w:rsid w:val="004D2F1D"/>
    <w:rsid w:val="004D2F50"/>
    <w:rsid w:val="004D2F54"/>
    <w:rsid w:val="004D2F71"/>
    <w:rsid w:val="004D2F79"/>
    <w:rsid w:val="004D2FDF"/>
    <w:rsid w:val="004D3001"/>
    <w:rsid w:val="004D30C5"/>
    <w:rsid w:val="004D30DB"/>
    <w:rsid w:val="004D30EE"/>
    <w:rsid w:val="004D30F3"/>
    <w:rsid w:val="004D30F4"/>
    <w:rsid w:val="004D30FE"/>
    <w:rsid w:val="004D310B"/>
    <w:rsid w:val="004D313D"/>
    <w:rsid w:val="004D3161"/>
    <w:rsid w:val="004D31A5"/>
    <w:rsid w:val="004D31EB"/>
    <w:rsid w:val="004D3201"/>
    <w:rsid w:val="004D321C"/>
    <w:rsid w:val="004D322A"/>
    <w:rsid w:val="004D3245"/>
    <w:rsid w:val="004D326A"/>
    <w:rsid w:val="004D32BC"/>
    <w:rsid w:val="004D330A"/>
    <w:rsid w:val="004D3347"/>
    <w:rsid w:val="004D3385"/>
    <w:rsid w:val="004D33D2"/>
    <w:rsid w:val="004D3455"/>
    <w:rsid w:val="004D348D"/>
    <w:rsid w:val="004D34CD"/>
    <w:rsid w:val="004D34D1"/>
    <w:rsid w:val="004D34E1"/>
    <w:rsid w:val="004D34E4"/>
    <w:rsid w:val="004D34F4"/>
    <w:rsid w:val="004D3537"/>
    <w:rsid w:val="004D357E"/>
    <w:rsid w:val="004D35D0"/>
    <w:rsid w:val="004D35F5"/>
    <w:rsid w:val="004D3620"/>
    <w:rsid w:val="004D3628"/>
    <w:rsid w:val="004D36A7"/>
    <w:rsid w:val="004D36D6"/>
    <w:rsid w:val="004D36E1"/>
    <w:rsid w:val="004D3717"/>
    <w:rsid w:val="004D3719"/>
    <w:rsid w:val="004D375E"/>
    <w:rsid w:val="004D3799"/>
    <w:rsid w:val="004D37B5"/>
    <w:rsid w:val="004D3834"/>
    <w:rsid w:val="004D3884"/>
    <w:rsid w:val="004D38AE"/>
    <w:rsid w:val="004D38D5"/>
    <w:rsid w:val="004D38DD"/>
    <w:rsid w:val="004D396B"/>
    <w:rsid w:val="004D3984"/>
    <w:rsid w:val="004D39E3"/>
    <w:rsid w:val="004D39F4"/>
    <w:rsid w:val="004D3A09"/>
    <w:rsid w:val="004D3A34"/>
    <w:rsid w:val="004D3A62"/>
    <w:rsid w:val="004D3A64"/>
    <w:rsid w:val="004D3A7E"/>
    <w:rsid w:val="004D3AB2"/>
    <w:rsid w:val="004D3B41"/>
    <w:rsid w:val="004D3B58"/>
    <w:rsid w:val="004D3B9B"/>
    <w:rsid w:val="004D3BBD"/>
    <w:rsid w:val="004D3BF0"/>
    <w:rsid w:val="004D3C6C"/>
    <w:rsid w:val="004D3C96"/>
    <w:rsid w:val="004D3CBF"/>
    <w:rsid w:val="004D3D24"/>
    <w:rsid w:val="004D3D95"/>
    <w:rsid w:val="004D3DAB"/>
    <w:rsid w:val="004D3DB2"/>
    <w:rsid w:val="004D3EAA"/>
    <w:rsid w:val="004D3EF3"/>
    <w:rsid w:val="004D3F29"/>
    <w:rsid w:val="004D3F65"/>
    <w:rsid w:val="004D3F6A"/>
    <w:rsid w:val="004D3F6C"/>
    <w:rsid w:val="004D3FDE"/>
    <w:rsid w:val="004D3FE7"/>
    <w:rsid w:val="004D3FE8"/>
    <w:rsid w:val="004D404D"/>
    <w:rsid w:val="004D40A1"/>
    <w:rsid w:val="004D40AB"/>
    <w:rsid w:val="004D40AF"/>
    <w:rsid w:val="004D40D4"/>
    <w:rsid w:val="004D40EF"/>
    <w:rsid w:val="004D410E"/>
    <w:rsid w:val="004D411D"/>
    <w:rsid w:val="004D414E"/>
    <w:rsid w:val="004D41E6"/>
    <w:rsid w:val="004D41F5"/>
    <w:rsid w:val="004D420B"/>
    <w:rsid w:val="004D424D"/>
    <w:rsid w:val="004D42EB"/>
    <w:rsid w:val="004D42EE"/>
    <w:rsid w:val="004D4328"/>
    <w:rsid w:val="004D433A"/>
    <w:rsid w:val="004D4347"/>
    <w:rsid w:val="004D4361"/>
    <w:rsid w:val="004D43A3"/>
    <w:rsid w:val="004D43B5"/>
    <w:rsid w:val="004D44F0"/>
    <w:rsid w:val="004D4521"/>
    <w:rsid w:val="004D452B"/>
    <w:rsid w:val="004D452E"/>
    <w:rsid w:val="004D4558"/>
    <w:rsid w:val="004D45B9"/>
    <w:rsid w:val="004D45D3"/>
    <w:rsid w:val="004D45E8"/>
    <w:rsid w:val="004D45FD"/>
    <w:rsid w:val="004D460A"/>
    <w:rsid w:val="004D4648"/>
    <w:rsid w:val="004D464E"/>
    <w:rsid w:val="004D4689"/>
    <w:rsid w:val="004D46AC"/>
    <w:rsid w:val="004D46E2"/>
    <w:rsid w:val="004D46E9"/>
    <w:rsid w:val="004D47D7"/>
    <w:rsid w:val="004D47FC"/>
    <w:rsid w:val="004D4808"/>
    <w:rsid w:val="004D483A"/>
    <w:rsid w:val="004D48C1"/>
    <w:rsid w:val="004D48EE"/>
    <w:rsid w:val="004D493C"/>
    <w:rsid w:val="004D4976"/>
    <w:rsid w:val="004D49BC"/>
    <w:rsid w:val="004D49E1"/>
    <w:rsid w:val="004D4A03"/>
    <w:rsid w:val="004D4A1A"/>
    <w:rsid w:val="004D4A29"/>
    <w:rsid w:val="004D4AB8"/>
    <w:rsid w:val="004D4B14"/>
    <w:rsid w:val="004D4B4D"/>
    <w:rsid w:val="004D4B69"/>
    <w:rsid w:val="004D4B85"/>
    <w:rsid w:val="004D4B99"/>
    <w:rsid w:val="004D4BCC"/>
    <w:rsid w:val="004D4BE1"/>
    <w:rsid w:val="004D4BE3"/>
    <w:rsid w:val="004D4C10"/>
    <w:rsid w:val="004D4C50"/>
    <w:rsid w:val="004D4C93"/>
    <w:rsid w:val="004D4CC3"/>
    <w:rsid w:val="004D4CC6"/>
    <w:rsid w:val="004D4CCA"/>
    <w:rsid w:val="004D4CD1"/>
    <w:rsid w:val="004D4CD2"/>
    <w:rsid w:val="004D4D3B"/>
    <w:rsid w:val="004D4DA1"/>
    <w:rsid w:val="004D4E6F"/>
    <w:rsid w:val="004D4E72"/>
    <w:rsid w:val="004D4EBA"/>
    <w:rsid w:val="004D4ED0"/>
    <w:rsid w:val="004D4EEA"/>
    <w:rsid w:val="004D4EEC"/>
    <w:rsid w:val="004D4F28"/>
    <w:rsid w:val="004D4F44"/>
    <w:rsid w:val="004D4F55"/>
    <w:rsid w:val="004D4F94"/>
    <w:rsid w:val="004D4F99"/>
    <w:rsid w:val="004D4FAB"/>
    <w:rsid w:val="004D4FB6"/>
    <w:rsid w:val="004D4FCB"/>
    <w:rsid w:val="004D4FEC"/>
    <w:rsid w:val="004D500C"/>
    <w:rsid w:val="004D505E"/>
    <w:rsid w:val="004D5060"/>
    <w:rsid w:val="004D5095"/>
    <w:rsid w:val="004D5112"/>
    <w:rsid w:val="004D5199"/>
    <w:rsid w:val="004D51B9"/>
    <w:rsid w:val="004D51E3"/>
    <w:rsid w:val="004D51F2"/>
    <w:rsid w:val="004D521F"/>
    <w:rsid w:val="004D5285"/>
    <w:rsid w:val="004D52D9"/>
    <w:rsid w:val="004D52DF"/>
    <w:rsid w:val="004D52E5"/>
    <w:rsid w:val="004D52E6"/>
    <w:rsid w:val="004D531C"/>
    <w:rsid w:val="004D5327"/>
    <w:rsid w:val="004D5351"/>
    <w:rsid w:val="004D5363"/>
    <w:rsid w:val="004D5365"/>
    <w:rsid w:val="004D53AE"/>
    <w:rsid w:val="004D53CF"/>
    <w:rsid w:val="004D53D2"/>
    <w:rsid w:val="004D5413"/>
    <w:rsid w:val="004D543C"/>
    <w:rsid w:val="004D5462"/>
    <w:rsid w:val="004D54A6"/>
    <w:rsid w:val="004D550F"/>
    <w:rsid w:val="004D5530"/>
    <w:rsid w:val="004D563E"/>
    <w:rsid w:val="004D5673"/>
    <w:rsid w:val="004D5698"/>
    <w:rsid w:val="004D56AD"/>
    <w:rsid w:val="004D56B2"/>
    <w:rsid w:val="004D56FA"/>
    <w:rsid w:val="004D572C"/>
    <w:rsid w:val="004D5757"/>
    <w:rsid w:val="004D57A0"/>
    <w:rsid w:val="004D57EF"/>
    <w:rsid w:val="004D57F1"/>
    <w:rsid w:val="004D5840"/>
    <w:rsid w:val="004D5877"/>
    <w:rsid w:val="004D5896"/>
    <w:rsid w:val="004D58A3"/>
    <w:rsid w:val="004D58C5"/>
    <w:rsid w:val="004D58D4"/>
    <w:rsid w:val="004D590C"/>
    <w:rsid w:val="004D597E"/>
    <w:rsid w:val="004D5990"/>
    <w:rsid w:val="004D5992"/>
    <w:rsid w:val="004D59DB"/>
    <w:rsid w:val="004D5A1C"/>
    <w:rsid w:val="004D5A3A"/>
    <w:rsid w:val="004D5A49"/>
    <w:rsid w:val="004D5A4E"/>
    <w:rsid w:val="004D5A76"/>
    <w:rsid w:val="004D5A96"/>
    <w:rsid w:val="004D5AA0"/>
    <w:rsid w:val="004D5B39"/>
    <w:rsid w:val="004D5B46"/>
    <w:rsid w:val="004D5B51"/>
    <w:rsid w:val="004D5B94"/>
    <w:rsid w:val="004D5BB0"/>
    <w:rsid w:val="004D5BD2"/>
    <w:rsid w:val="004D5C14"/>
    <w:rsid w:val="004D5C1E"/>
    <w:rsid w:val="004D5C42"/>
    <w:rsid w:val="004D5C68"/>
    <w:rsid w:val="004D5C6B"/>
    <w:rsid w:val="004D5C70"/>
    <w:rsid w:val="004D5C77"/>
    <w:rsid w:val="004D5CB9"/>
    <w:rsid w:val="004D5CCC"/>
    <w:rsid w:val="004D5D00"/>
    <w:rsid w:val="004D5D1E"/>
    <w:rsid w:val="004D5D5D"/>
    <w:rsid w:val="004D5D99"/>
    <w:rsid w:val="004D5E22"/>
    <w:rsid w:val="004D5E3E"/>
    <w:rsid w:val="004D5E4B"/>
    <w:rsid w:val="004D5F1A"/>
    <w:rsid w:val="004D5F26"/>
    <w:rsid w:val="004D5F33"/>
    <w:rsid w:val="004D5F4F"/>
    <w:rsid w:val="004D5F6C"/>
    <w:rsid w:val="004D5FC8"/>
    <w:rsid w:val="004D5FEE"/>
    <w:rsid w:val="004D6055"/>
    <w:rsid w:val="004D60BA"/>
    <w:rsid w:val="004D6120"/>
    <w:rsid w:val="004D615D"/>
    <w:rsid w:val="004D61E1"/>
    <w:rsid w:val="004D6230"/>
    <w:rsid w:val="004D6238"/>
    <w:rsid w:val="004D624A"/>
    <w:rsid w:val="004D6353"/>
    <w:rsid w:val="004D63C2"/>
    <w:rsid w:val="004D63D0"/>
    <w:rsid w:val="004D63DB"/>
    <w:rsid w:val="004D63FA"/>
    <w:rsid w:val="004D64C4"/>
    <w:rsid w:val="004D64C9"/>
    <w:rsid w:val="004D651E"/>
    <w:rsid w:val="004D65DC"/>
    <w:rsid w:val="004D65EC"/>
    <w:rsid w:val="004D65F4"/>
    <w:rsid w:val="004D660D"/>
    <w:rsid w:val="004D662B"/>
    <w:rsid w:val="004D6648"/>
    <w:rsid w:val="004D667B"/>
    <w:rsid w:val="004D66BA"/>
    <w:rsid w:val="004D6720"/>
    <w:rsid w:val="004D6789"/>
    <w:rsid w:val="004D67EA"/>
    <w:rsid w:val="004D6826"/>
    <w:rsid w:val="004D685B"/>
    <w:rsid w:val="004D6889"/>
    <w:rsid w:val="004D688D"/>
    <w:rsid w:val="004D688F"/>
    <w:rsid w:val="004D6932"/>
    <w:rsid w:val="004D6938"/>
    <w:rsid w:val="004D6963"/>
    <w:rsid w:val="004D6976"/>
    <w:rsid w:val="004D69B1"/>
    <w:rsid w:val="004D69BA"/>
    <w:rsid w:val="004D69E9"/>
    <w:rsid w:val="004D6A7F"/>
    <w:rsid w:val="004D6B1A"/>
    <w:rsid w:val="004D6B9C"/>
    <w:rsid w:val="004D6BB4"/>
    <w:rsid w:val="004D6BE8"/>
    <w:rsid w:val="004D6BE9"/>
    <w:rsid w:val="004D6C00"/>
    <w:rsid w:val="004D6C16"/>
    <w:rsid w:val="004D6C28"/>
    <w:rsid w:val="004D6C35"/>
    <w:rsid w:val="004D6C43"/>
    <w:rsid w:val="004D6C9D"/>
    <w:rsid w:val="004D6CED"/>
    <w:rsid w:val="004D6D10"/>
    <w:rsid w:val="004D6D4F"/>
    <w:rsid w:val="004D6D6B"/>
    <w:rsid w:val="004D6DDB"/>
    <w:rsid w:val="004D6E11"/>
    <w:rsid w:val="004D6E22"/>
    <w:rsid w:val="004D6E2C"/>
    <w:rsid w:val="004D6E37"/>
    <w:rsid w:val="004D6E3A"/>
    <w:rsid w:val="004D6E73"/>
    <w:rsid w:val="004D6EB7"/>
    <w:rsid w:val="004D6ED6"/>
    <w:rsid w:val="004D6F1E"/>
    <w:rsid w:val="004D6F1F"/>
    <w:rsid w:val="004D6F81"/>
    <w:rsid w:val="004D6FCE"/>
    <w:rsid w:val="004D7008"/>
    <w:rsid w:val="004D701A"/>
    <w:rsid w:val="004D70A1"/>
    <w:rsid w:val="004D70E3"/>
    <w:rsid w:val="004D713C"/>
    <w:rsid w:val="004D7178"/>
    <w:rsid w:val="004D71CD"/>
    <w:rsid w:val="004D71EE"/>
    <w:rsid w:val="004D71F1"/>
    <w:rsid w:val="004D72C9"/>
    <w:rsid w:val="004D7312"/>
    <w:rsid w:val="004D7347"/>
    <w:rsid w:val="004D734A"/>
    <w:rsid w:val="004D7394"/>
    <w:rsid w:val="004D73E8"/>
    <w:rsid w:val="004D73EE"/>
    <w:rsid w:val="004D74C9"/>
    <w:rsid w:val="004D74D6"/>
    <w:rsid w:val="004D74E4"/>
    <w:rsid w:val="004D7529"/>
    <w:rsid w:val="004D7581"/>
    <w:rsid w:val="004D75E3"/>
    <w:rsid w:val="004D75EC"/>
    <w:rsid w:val="004D75F1"/>
    <w:rsid w:val="004D75FA"/>
    <w:rsid w:val="004D7626"/>
    <w:rsid w:val="004D7679"/>
    <w:rsid w:val="004D76AA"/>
    <w:rsid w:val="004D7761"/>
    <w:rsid w:val="004D77CA"/>
    <w:rsid w:val="004D7829"/>
    <w:rsid w:val="004D7834"/>
    <w:rsid w:val="004D785F"/>
    <w:rsid w:val="004D788C"/>
    <w:rsid w:val="004D78B1"/>
    <w:rsid w:val="004D792F"/>
    <w:rsid w:val="004D794D"/>
    <w:rsid w:val="004D7960"/>
    <w:rsid w:val="004D79C3"/>
    <w:rsid w:val="004D79DE"/>
    <w:rsid w:val="004D7B42"/>
    <w:rsid w:val="004D7B5D"/>
    <w:rsid w:val="004D7B77"/>
    <w:rsid w:val="004D7B96"/>
    <w:rsid w:val="004D7B9D"/>
    <w:rsid w:val="004D7BAA"/>
    <w:rsid w:val="004D7C47"/>
    <w:rsid w:val="004D7CCF"/>
    <w:rsid w:val="004D7CD2"/>
    <w:rsid w:val="004D7DAF"/>
    <w:rsid w:val="004D7E31"/>
    <w:rsid w:val="004D7E94"/>
    <w:rsid w:val="004D7EE7"/>
    <w:rsid w:val="004D7F27"/>
    <w:rsid w:val="004D7FB7"/>
    <w:rsid w:val="004D7FD3"/>
    <w:rsid w:val="004E0034"/>
    <w:rsid w:val="004E008A"/>
    <w:rsid w:val="004E0092"/>
    <w:rsid w:val="004E00A2"/>
    <w:rsid w:val="004E00EA"/>
    <w:rsid w:val="004E012E"/>
    <w:rsid w:val="004E0135"/>
    <w:rsid w:val="004E015F"/>
    <w:rsid w:val="004E01C5"/>
    <w:rsid w:val="004E020F"/>
    <w:rsid w:val="004E023A"/>
    <w:rsid w:val="004E0243"/>
    <w:rsid w:val="004E02D3"/>
    <w:rsid w:val="004E02D7"/>
    <w:rsid w:val="004E02ED"/>
    <w:rsid w:val="004E0392"/>
    <w:rsid w:val="004E03AF"/>
    <w:rsid w:val="004E03B2"/>
    <w:rsid w:val="004E03E3"/>
    <w:rsid w:val="004E03F2"/>
    <w:rsid w:val="004E0476"/>
    <w:rsid w:val="004E04DA"/>
    <w:rsid w:val="004E04E4"/>
    <w:rsid w:val="004E04F6"/>
    <w:rsid w:val="004E0520"/>
    <w:rsid w:val="004E053B"/>
    <w:rsid w:val="004E055C"/>
    <w:rsid w:val="004E0588"/>
    <w:rsid w:val="004E05C6"/>
    <w:rsid w:val="004E05EC"/>
    <w:rsid w:val="004E0605"/>
    <w:rsid w:val="004E0658"/>
    <w:rsid w:val="004E067E"/>
    <w:rsid w:val="004E0692"/>
    <w:rsid w:val="004E06CA"/>
    <w:rsid w:val="004E0728"/>
    <w:rsid w:val="004E073C"/>
    <w:rsid w:val="004E0757"/>
    <w:rsid w:val="004E076C"/>
    <w:rsid w:val="004E0780"/>
    <w:rsid w:val="004E0789"/>
    <w:rsid w:val="004E0796"/>
    <w:rsid w:val="004E07D5"/>
    <w:rsid w:val="004E0824"/>
    <w:rsid w:val="004E082D"/>
    <w:rsid w:val="004E0840"/>
    <w:rsid w:val="004E0877"/>
    <w:rsid w:val="004E087A"/>
    <w:rsid w:val="004E0899"/>
    <w:rsid w:val="004E089B"/>
    <w:rsid w:val="004E08D3"/>
    <w:rsid w:val="004E0902"/>
    <w:rsid w:val="004E09FA"/>
    <w:rsid w:val="004E0A27"/>
    <w:rsid w:val="004E0A83"/>
    <w:rsid w:val="004E0ABF"/>
    <w:rsid w:val="004E0B29"/>
    <w:rsid w:val="004E0B80"/>
    <w:rsid w:val="004E0B84"/>
    <w:rsid w:val="004E0B86"/>
    <w:rsid w:val="004E0BB0"/>
    <w:rsid w:val="004E0BB4"/>
    <w:rsid w:val="004E0BFD"/>
    <w:rsid w:val="004E0C16"/>
    <w:rsid w:val="004E0C79"/>
    <w:rsid w:val="004E0CA4"/>
    <w:rsid w:val="004E0CAA"/>
    <w:rsid w:val="004E0D0C"/>
    <w:rsid w:val="004E0D15"/>
    <w:rsid w:val="004E0D38"/>
    <w:rsid w:val="004E0D7F"/>
    <w:rsid w:val="004E0DB1"/>
    <w:rsid w:val="004E0DE6"/>
    <w:rsid w:val="004E0EB2"/>
    <w:rsid w:val="004E0F1A"/>
    <w:rsid w:val="004E0F65"/>
    <w:rsid w:val="004E0F6A"/>
    <w:rsid w:val="004E0F81"/>
    <w:rsid w:val="004E1004"/>
    <w:rsid w:val="004E102E"/>
    <w:rsid w:val="004E1036"/>
    <w:rsid w:val="004E1062"/>
    <w:rsid w:val="004E118A"/>
    <w:rsid w:val="004E118D"/>
    <w:rsid w:val="004E118E"/>
    <w:rsid w:val="004E121C"/>
    <w:rsid w:val="004E1223"/>
    <w:rsid w:val="004E1224"/>
    <w:rsid w:val="004E1237"/>
    <w:rsid w:val="004E132A"/>
    <w:rsid w:val="004E137D"/>
    <w:rsid w:val="004E1391"/>
    <w:rsid w:val="004E13F1"/>
    <w:rsid w:val="004E1426"/>
    <w:rsid w:val="004E1438"/>
    <w:rsid w:val="004E148B"/>
    <w:rsid w:val="004E148D"/>
    <w:rsid w:val="004E1498"/>
    <w:rsid w:val="004E14BD"/>
    <w:rsid w:val="004E152D"/>
    <w:rsid w:val="004E1532"/>
    <w:rsid w:val="004E1559"/>
    <w:rsid w:val="004E15A3"/>
    <w:rsid w:val="004E15CC"/>
    <w:rsid w:val="004E15F4"/>
    <w:rsid w:val="004E1615"/>
    <w:rsid w:val="004E1656"/>
    <w:rsid w:val="004E1694"/>
    <w:rsid w:val="004E174B"/>
    <w:rsid w:val="004E175F"/>
    <w:rsid w:val="004E17A5"/>
    <w:rsid w:val="004E1839"/>
    <w:rsid w:val="004E1853"/>
    <w:rsid w:val="004E1888"/>
    <w:rsid w:val="004E18A1"/>
    <w:rsid w:val="004E18F5"/>
    <w:rsid w:val="004E1979"/>
    <w:rsid w:val="004E19A4"/>
    <w:rsid w:val="004E19D7"/>
    <w:rsid w:val="004E1A38"/>
    <w:rsid w:val="004E1A70"/>
    <w:rsid w:val="004E1B22"/>
    <w:rsid w:val="004E1B78"/>
    <w:rsid w:val="004E1B7D"/>
    <w:rsid w:val="004E1B8A"/>
    <w:rsid w:val="004E1BCC"/>
    <w:rsid w:val="004E1BD0"/>
    <w:rsid w:val="004E1BE9"/>
    <w:rsid w:val="004E1C08"/>
    <w:rsid w:val="004E1C0A"/>
    <w:rsid w:val="004E1C0B"/>
    <w:rsid w:val="004E1C38"/>
    <w:rsid w:val="004E1C7A"/>
    <w:rsid w:val="004E1D0C"/>
    <w:rsid w:val="004E1D39"/>
    <w:rsid w:val="004E1D74"/>
    <w:rsid w:val="004E1DAB"/>
    <w:rsid w:val="004E1DB1"/>
    <w:rsid w:val="004E1DC4"/>
    <w:rsid w:val="004E1E54"/>
    <w:rsid w:val="004E1EB3"/>
    <w:rsid w:val="004E1EBA"/>
    <w:rsid w:val="004E1ECD"/>
    <w:rsid w:val="004E1EEF"/>
    <w:rsid w:val="004E1EF0"/>
    <w:rsid w:val="004E1F31"/>
    <w:rsid w:val="004E1F9D"/>
    <w:rsid w:val="004E1FCC"/>
    <w:rsid w:val="004E201B"/>
    <w:rsid w:val="004E202B"/>
    <w:rsid w:val="004E203D"/>
    <w:rsid w:val="004E2055"/>
    <w:rsid w:val="004E206C"/>
    <w:rsid w:val="004E20CB"/>
    <w:rsid w:val="004E20EA"/>
    <w:rsid w:val="004E2179"/>
    <w:rsid w:val="004E220B"/>
    <w:rsid w:val="004E227F"/>
    <w:rsid w:val="004E2298"/>
    <w:rsid w:val="004E229D"/>
    <w:rsid w:val="004E22FA"/>
    <w:rsid w:val="004E2312"/>
    <w:rsid w:val="004E2334"/>
    <w:rsid w:val="004E2338"/>
    <w:rsid w:val="004E238B"/>
    <w:rsid w:val="004E2395"/>
    <w:rsid w:val="004E23F4"/>
    <w:rsid w:val="004E2408"/>
    <w:rsid w:val="004E240F"/>
    <w:rsid w:val="004E2461"/>
    <w:rsid w:val="004E24E1"/>
    <w:rsid w:val="004E24E3"/>
    <w:rsid w:val="004E24FE"/>
    <w:rsid w:val="004E2597"/>
    <w:rsid w:val="004E25B7"/>
    <w:rsid w:val="004E25CC"/>
    <w:rsid w:val="004E260F"/>
    <w:rsid w:val="004E2694"/>
    <w:rsid w:val="004E26B4"/>
    <w:rsid w:val="004E26DF"/>
    <w:rsid w:val="004E2704"/>
    <w:rsid w:val="004E2709"/>
    <w:rsid w:val="004E2713"/>
    <w:rsid w:val="004E2736"/>
    <w:rsid w:val="004E27A5"/>
    <w:rsid w:val="004E2847"/>
    <w:rsid w:val="004E2867"/>
    <w:rsid w:val="004E286B"/>
    <w:rsid w:val="004E28AC"/>
    <w:rsid w:val="004E28B4"/>
    <w:rsid w:val="004E28BB"/>
    <w:rsid w:val="004E29BD"/>
    <w:rsid w:val="004E2A0E"/>
    <w:rsid w:val="004E2A45"/>
    <w:rsid w:val="004E2A7F"/>
    <w:rsid w:val="004E2AD2"/>
    <w:rsid w:val="004E2B35"/>
    <w:rsid w:val="004E2B59"/>
    <w:rsid w:val="004E2B86"/>
    <w:rsid w:val="004E2B9B"/>
    <w:rsid w:val="004E2BA8"/>
    <w:rsid w:val="004E2C48"/>
    <w:rsid w:val="004E2CA3"/>
    <w:rsid w:val="004E2D1E"/>
    <w:rsid w:val="004E2DF0"/>
    <w:rsid w:val="004E2E1A"/>
    <w:rsid w:val="004E2E75"/>
    <w:rsid w:val="004E2ECB"/>
    <w:rsid w:val="004E2F08"/>
    <w:rsid w:val="004E2F22"/>
    <w:rsid w:val="004E2F58"/>
    <w:rsid w:val="004E2F5F"/>
    <w:rsid w:val="004E2F80"/>
    <w:rsid w:val="004E2F93"/>
    <w:rsid w:val="004E30A6"/>
    <w:rsid w:val="004E30BE"/>
    <w:rsid w:val="004E30D3"/>
    <w:rsid w:val="004E3132"/>
    <w:rsid w:val="004E31C6"/>
    <w:rsid w:val="004E31EB"/>
    <w:rsid w:val="004E31F4"/>
    <w:rsid w:val="004E320D"/>
    <w:rsid w:val="004E321C"/>
    <w:rsid w:val="004E32CA"/>
    <w:rsid w:val="004E32D0"/>
    <w:rsid w:val="004E3308"/>
    <w:rsid w:val="004E3384"/>
    <w:rsid w:val="004E33B8"/>
    <w:rsid w:val="004E33CF"/>
    <w:rsid w:val="004E33E3"/>
    <w:rsid w:val="004E33E8"/>
    <w:rsid w:val="004E340C"/>
    <w:rsid w:val="004E340F"/>
    <w:rsid w:val="004E3423"/>
    <w:rsid w:val="004E342E"/>
    <w:rsid w:val="004E3447"/>
    <w:rsid w:val="004E346D"/>
    <w:rsid w:val="004E348A"/>
    <w:rsid w:val="004E34A2"/>
    <w:rsid w:val="004E34C8"/>
    <w:rsid w:val="004E3522"/>
    <w:rsid w:val="004E35F3"/>
    <w:rsid w:val="004E3682"/>
    <w:rsid w:val="004E3684"/>
    <w:rsid w:val="004E368A"/>
    <w:rsid w:val="004E36DB"/>
    <w:rsid w:val="004E3713"/>
    <w:rsid w:val="004E3771"/>
    <w:rsid w:val="004E3795"/>
    <w:rsid w:val="004E3845"/>
    <w:rsid w:val="004E389B"/>
    <w:rsid w:val="004E38DF"/>
    <w:rsid w:val="004E38EB"/>
    <w:rsid w:val="004E38F3"/>
    <w:rsid w:val="004E39DC"/>
    <w:rsid w:val="004E3A1E"/>
    <w:rsid w:val="004E3A66"/>
    <w:rsid w:val="004E3AE2"/>
    <w:rsid w:val="004E3AE8"/>
    <w:rsid w:val="004E3B32"/>
    <w:rsid w:val="004E3B9C"/>
    <w:rsid w:val="004E3C17"/>
    <w:rsid w:val="004E3C70"/>
    <w:rsid w:val="004E3CB6"/>
    <w:rsid w:val="004E3CE4"/>
    <w:rsid w:val="004E3CE6"/>
    <w:rsid w:val="004E3D60"/>
    <w:rsid w:val="004E3D8A"/>
    <w:rsid w:val="004E3DAB"/>
    <w:rsid w:val="004E3DB2"/>
    <w:rsid w:val="004E3E01"/>
    <w:rsid w:val="004E3E12"/>
    <w:rsid w:val="004E3E23"/>
    <w:rsid w:val="004E3E2C"/>
    <w:rsid w:val="004E3E59"/>
    <w:rsid w:val="004E3E5D"/>
    <w:rsid w:val="004E3E67"/>
    <w:rsid w:val="004E3F0C"/>
    <w:rsid w:val="004E3F0E"/>
    <w:rsid w:val="004E3F1F"/>
    <w:rsid w:val="004E3F43"/>
    <w:rsid w:val="004E3F75"/>
    <w:rsid w:val="004E3FAB"/>
    <w:rsid w:val="004E3FF2"/>
    <w:rsid w:val="004E3FF3"/>
    <w:rsid w:val="004E400C"/>
    <w:rsid w:val="004E401F"/>
    <w:rsid w:val="004E405F"/>
    <w:rsid w:val="004E4068"/>
    <w:rsid w:val="004E409E"/>
    <w:rsid w:val="004E412A"/>
    <w:rsid w:val="004E4168"/>
    <w:rsid w:val="004E4179"/>
    <w:rsid w:val="004E424D"/>
    <w:rsid w:val="004E425D"/>
    <w:rsid w:val="004E4264"/>
    <w:rsid w:val="004E42B7"/>
    <w:rsid w:val="004E42EA"/>
    <w:rsid w:val="004E4351"/>
    <w:rsid w:val="004E4361"/>
    <w:rsid w:val="004E4366"/>
    <w:rsid w:val="004E439A"/>
    <w:rsid w:val="004E43FE"/>
    <w:rsid w:val="004E4429"/>
    <w:rsid w:val="004E44CE"/>
    <w:rsid w:val="004E44D1"/>
    <w:rsid w:val="004E44D3"/>
    <w:rsid w:val="004E44F5"/>
    <w:rsid w:val="004E4512"/>
    <w:rsid w:val="004E45C7"/>
    <w:rsid w:val="004E45E3"/>
    <w:rsid w:val="004E463A"/>
    <w:rsid w:val="004E46C2"/>
    <w:rsid w:val="004E46D3"/>
    <w:rsid w:val="004E4735"/>
    <w:rsid w:val="004E479B"/>
    <w:rsid w:val="004E47A4"/>
    <w:rsid w:val="004E47CA"/>
    <w:rsid w:val="004E485B"/>
    <w:rsid w:val="004E487B"/>
    <w:rsid w:val="004E48E6"/>
    <w:rsid w:val="004E4920"/>
    <w:rsid w:val="004E4932"/>
    <w:rsid w:val="004E4966"/>
    <w:rsid w:val="004E499F"/>
    <w:rsid w:val="004E49B2"/>
    <w:rsid w:val="004E49F8"/>
    <w:rsid w:val="004E4A20"/>
    <w:rsid w:val="004E4A79"/>
    <w:rsid w:val="004E4AA8"/>
    <w:rsid w:val="004E4ABD"/>
    <w:rsid w:val="004E4BF4"/>
    <w:rsid w:val="004E4C21"/>
    <w:rsid w:val="004E4C7B"/>
    <w:rsid w:val="004E4C7F"/>
    <w:rsid w:val="004E4CC8"/>
    <w:rsid w:val="004E4CE8"/>
    <w:rsid w:val="004E4D0E"/>
    <w:rsid w:val="004E4D2E"/>
    <w:rsid w:val="004E4D47"/>
    <w:rsid w:val="004E4D63"/>
    <w:rsid w:val="004E4D6B"/>
    <w:rsid w:val="004E4D89"/>
    <w:rsid w:val="004E4DCB"/>
    <w:rsid w:val="004E4DD2"/>
    <w:rsid w:val="004E4DD4"/>
    <w:rsid w:val="004E4DF3"/>
    <w:rsid w:val="004E4E66"/>
    <w:rsid w:val="004E4E6A"/>
    <w:rsid w:val="004E4E9A"/>
    <w:rsid w:val="004E4EE7"/>
    <w:rsid w:val="004E4F11"/>
    <w:rsid w:val="004E4F5E"/>
    <w:rsid w:val="004E4F7A"/>
    <w:rsid w:val="004E4F93"/>
    <w:rsid w:val="004E4F9F"/>
    <w:rsid w:val="004E4FDD"/>
    <w:rsid w:val="004E5027"/>
    <w:rsid w:val="004E5051"/>
    <w:rsid w:val="004E50F1"/>
    <w:rsid w:val="004E5125"/>
    <w:rsid w:val="004E517E"/>
    <w:rsid w:val="004E519B"/>
    <w:rsid w:val="004E51DC"/>
    <w:rsid w:val="004E5216"/>
    <w:rsid w:val="004E521E"/>
    <w:rsid w:val="004E527C"/>
    <w:rsid w:val="004E52DE"/>
    <w:rsid w:val="004E5311"/>
    <w:rsid w:val="004E531D"/>
    <w:rsid w:val="004E5396"/>
    <w:rsid w:val="004E53D5"/>
    <w:rsid w:val="004E54D2"/>
    <w:rsid w:val="004E55D2"/>
    <w:rsid w:val="004E55DE"/>
    <w:rsid w:val="004E568A"/>
    <w:rsid w:val="004E568C"/>
    <w:rsid w:val="004E56AE"/>
    <w:rsid w:val="004E56BD"/>
    <w:rsid w:val="004E56E2"/>
    <w:rsid w:val="004E56EC"/>
    <w:rsid w:val="004E5704"/>
    <w:rsid w:val="004E5705"/>
    <w:rsid w:val="004E577F"/>
    <w:rsid w:val="004E57A4"/>
    <w:rsid w:val="004E57C3"/>
    <w:rsid w:val="004E57E0"/>
    <w:rsid w:val="004E5812"/>
    <w:rsid w:val="004E5857"/>
    <w:rsid w:val="004E588C"/>
    <w:rsid w:val="004E58AB"/>
    <w:rsid w:val="004E58B4"/>
    <w:rsid w:val="004E59C3"/>
    <w:rsid w:val="004E5A43"/>
    <w:rsid w:val="004E5A65"/>
    <w:rsid w:val="004E5AAB"/>
    <w:rsid w:val="004E5AE9"/>
    <w:rsid w:val="004E5B2E"/>
    <w:rsid w:val="004E5B40"/>
    <w:rsid w:val="004E5B46"/>
    <w:rsid w:val="004E5B6B"/>
    <w:rsid w:val="004E5B88"/>
    <w:rsid w:val="004E5BE4"/>
    <w:rsid w:val="004E5C43"/>
    <w:rsid w:val="004E5C77"/>
    <w:rsid w:val="004E5CA2"/>
    <w:rsid w:val="004E5CA4"/>
    <w:rsid w:val="004E5CF5"/>
    <w:rsid w:val="004E5CF7"/>
    <w:rsid w:val="004E5D35"/>
    <w:rsid w:val="004E5D4E"/>
    <w:rsid w:val="004E5D7D"/>
    <w:rsid w:val="004E5E0A"/>
    <w:rsid w:val="004E5E17"/>
    <w:rsid w:val="004E5E25"/>
    <w:rsid w:val="004E5E50"/>
    <w:rsid w:val="004E5F5C"/>
    <w:rsid w:val="004E5F64"/>
    <w:rsid w:val="004E5F74"/>
    <w:rsid w:val="004E5FAE"/>
    <w:rsid w:val="004E5FC2"/>
    <w:rsid w:val="004E605E"/>
    <w:rsid w:val="004E60E3"/>
    <w:rsid w:val="004E6111"/>
    <w:rsid w:val="004E6120"/>
    <w:rsid w:val="004E619D"/>
    <w:rsid w:val="004E61A1"/>
    <w:rsid w:val="004E61BD"/>
    <w:rsid w:val="004E61C9"/>
    <w:rsid w:val="004E62E7"/>
    <w:rsid w:val="004E62F1"/>
    <w:rsid w:val="004E6323"/>
    <w:rsid w:val="004E632C"/>
    <w:rsid w:val="004E63C6"/>
    <w:rsid w:val="004E640B"/>
    <w:rsid w:val="004E6417"/>
    <w:rsid w:val="004E6482"/>
    <w:rsid w:val="004E64AF"/>
    <w:rsid w:val="004E64EB"/>
    <w:rsid w:val="004E6513"/>
    <w:rsid w:val="004E652C"/>
    <w:rsid w:val="004E6558"/>
    <w:rsid w:val="004E6589"/>
    <w:rsid w:val="004E659D"/>
    <w:rsid w:val="004E65A8"/>
    <w:rsid w:val="004E65CE"/>
    <w:rsid w:val="004E6636"/>
    <w:rsid w:val="004E666C"/>
    <w:rsid w:val="004E6672"/>
    <w:rsid w:val="004E66C4"/>
    <w:rsid w:val="004E66D0"/>
    <w:rsid w:val="004E66D4"/>
    <w:rsid w:val="004E66E3"/>
    <w:rsid w:val="004E671A"/>
    <w:rsid w:val="004E6724"/>
    <w:rsid w:val="004E673C"/>
    <w:rsid w:val="004E67AD"/>
    <w:rsid w:val="004E67CE"/>
    <w:rsid w:val="004E67DA"/>
    <w:rsid w:val="004E67E8"/>
    <w:rsid w:val="004E67F0"/>
    <w:rsid w:val="004E682E"/>
    <w:rsid w:val="004E686F"/>
    <w:rsid w:val="004E6873"/>
    <w:rsid w:val="004E68C0"/>
    <w:rsid w:val="004E68C9"/>
    <w:rsid w:val="004E68F2"/>
    <w:rsid w:val="004E691E"/>
    <w:rsid w:val="004E69A1"/>
    <w:rsid w:val="004E69C0"/>
    <w:rsid w:val="004E69E0"/>
    <w:rsid w:val="004E69F4"/>
    <w:rsid w:val="004E6A0E"/>
    <w:rsid w:val="004E6A2D"/>
    <w:rsid w:val="004E6A84"/>
    <w:rsid w:val="004E6A8C"/>
    <w:rsid w:val="004E6AAD"/>
    <w:rsid w:val="004E6AAF"/>
    <w:rsid w:val="004E6AEA"/>
    <w:rsid w:val="004E6AEE"/>
    <w:rsid w:val="004E6AFA"/>
    <w:rsid w:val="004E6AFD"/>
    <w:rsid w:val="004E6B14"/>
    <w:rsid w:val="004E6B32"/>
    <w:rsid w:val="004E6B4A"/>
    <w:rsid w:val="004E6B4B"/>
    <w:rsid w:val="004E6BB8"/>
    <w:rsid w:val="004E6BDC"/>
    <w:rsid w:val="004E6BE0"/>
    <w:rsid w:val="004E6C69"/>
    <w:rsid w:val="004E6C73"/>
    <w:rsid w:val="004E6C7F"/>
    <w:rsid w:val="004E6CBD"/>
    <w:rsid w:val="004E6D8F"/>
    <w:rsid w:val="004E6DC9"/>
    <w:rsid w:val="004E6DCA"/>
    <w:rsid w:val="004E6DE1"/>
    <w:rsid w:val="004E6E46"/>
    <w:rsid w:val="004E6E68"/>
    <w:rsid w:val="004E6ECA"/>
    <w:rsid w:val="004E6F41"/>
    <w:rsid w:val="004E6F88"/>
    <w:rsid w:val="004E6FB7"/>
    <w:rsid w:val="004E6FBE"/>
    <w:rsid w:val="004E6FCA"/>
    <w:rsid w:val="004E6FE7"/>
    <w:rsid w:val="004E700B"/>
    <w:rsid w:val="004E7023"/>
    <w:rsid w:val="004E7085"/>
    <w:rsid w:val="004E70DE"/>
    <w:rsid w:val="004E7102"/>
    <w:rsid w:val="004E716F"/>
    <w:rsid w:val="004E7173"/>
    <w:rsid w:val="004E7179"/>
    <w:rsid w:val="004E7194"/>
    <w:rsid w:val="004E71D0"/>
    <w:rsid w:val="004E71F7"/>
    <w:rsid w:val="004E7255"/>
    <w:rsid w:val="004E7290"/>
    <w:rsid w:val="004E7317"/>
    <w:rsid w:val="004E739D"/>
    <w:rsid w:val="004E73CE"/>
    <w:rsid w:val="004E73F4"/>
    <w:rsid w:val="004E7411"/>
    <w:rsid w:val="004E7431"/>
    <w:rsid w:val="004E7434"/>
    <w:rsid w:val="004E7487"/>
    <w:rsid w:val="004E74C1"/>
    <w:rsid w:val="004E74FB"/>
    <w:rsid w:val="004E7563"/>
    <w:rsid w:val="004E7581"/>
    <w:rsid w:val="004E75D7"/>
    <w:rsid w:val="004E7649"/>
    <w:rsid w:val="004E7698"/>
    <w:rsid w:val="004E76AF"/>
    <w:rsid w:val="004E7728"/>
    <w:rsid w:val="004E7737"/>
    <w:rsid w:val="004E7740"/>
    <w:rsid w:val="004E7770"/>
    <w:rsid w:val="004E7777"/>
    <w:rsid w:val="004E77BA"/>
    <w:rsid w:val="004E7812"/>
    <w:rsid w:val="004E7846"/>
    <w:rsid w:val="004E785A"/>
    <w:rsid w:val="004E786A"/>
    <w:rsid w:val="004E7899"/>
    <w:rsid w:val="004E78D6"/>
    <w:rsid w:val="004E792B"/>
    <w:rsid w:val="004E7930"/>
    <w:rsid w:val="004E7968"/>
    <w:rsid w:val="004E798E"/>
    <w:rsid w:val="004E7991"/>
    <w:rsid w:val="004E79A5"/>
    <w:rsid w:val="004E79BE"/>
    <w:rsid w:val="004E79ED"/>
    <w:rsid w:val="004E7A2C"/>
    <w:rsid w:val="004E7A33"/>
    <w:rsid w:val="004E7A5E"/>
    <w:rsid w:val="004E7AA4"/>
    <w:rsid w:val="004E7AB6"/>
    <w:rsid w:val="004E7ABE"/>
    <w:rsid w:val="004E7AF1"/>
    <w:rsid w:val="004E7B6D"/>
    <w:rsid w:val="004E7B8A"/>
    <w:rsid w:val="004E7C57"/>
    <w:rsid w:val="004E7C62"/>
    <w:rsid w:val="004E7C63"/>
    <w:rsid w:val="004E7CB1"/>
    <w:rsid w:val="004E7CD3"/>
    <w:rsid w:val="004E7D27"/>
    <w:rsid w:val="004E7D2C"/>
    <w:rsid w:val="004E7D41"/>
    <w:rsid w:val="004E7D84"/>
    <w:rsid w:val="004E7DE5"/>
    <w:rsid w:val="004E7DF1"/>
    <w:rsid w:val="004E7DFB"/>
    <w:rsid w:val="004E7E35"/>
    <w:rsid w:val="004E7E5E"/>
    <w:rsid w:val="004E7E94"/>
    <w:rsid w:val="004E7EC6"/>
    <w:rsid w:val="004E7F28"/>
    <w:rsid w:val="004E7F46"/>
    <w:rsid w:val="004E7FBB"/>
    <w:rsid w:val="004E7FE1"/>
    <w:rsid w:val="004F00B0"/>
    <w:rsid w:val="004F00DA"/>
    <w:rsid w:val="004F0146"/>
    <w:rsid w:val="004F0177"/>
    <w:rsid w:val="004F017D"/>
    <w:rsid w:val="004F0191"/>
    <w:rsid w:val="004F01A4"/>
    <w:rsid w:val="004F01AA"/>
    <w:rsid w:val="004F023A"/>
    <w:rsid w:val="004F02B2"/>
    <w:rsid w:val="004F02FC"/>
    <w:rsid w:val="004F02FD"/>
    <w:rsid w:val="004F0350"/>
    <w:rsid w:val="004F0367"/>
    <w:rsid w:val="004F0383"/>
    <w:rsid w:val="004F03A5"/>
    <w:rsid w:val="004F03B3"/>
    <w:rsid w:val="004F042C"/>
    <w:rsid w:val="004F043D"/>
    <w:rsid w:val="004F0476"/>
    <w:rsid w:val="004F0477"/>
    <w:rsid w:val="004F0489"/>
    <w:rsid w:val="004F048B"/>
    <w:rsid w:val="004F0490"/>
    <w:rsid w:val="004F04A1"/>
    <w:rsid w:val="004F04C6"/>
    <w:rsid w:val="004F050A"/>
    <w:rsid w:val="004F055E"/>
    <w:rsid w:val="004F057C"/>
    <w:rsid w:val="004F05C0"/>
    <w:rsid w:val="004F05D9"/>
    <w:rsid w:val="004F05EF"/>
    <w:rsid w:val="004F0632"/>
    <w:rsid w:val="004F0638"/>
    <w:rsid w:val="004F0683"/>
    <w:rsid w:val="004F071F"/>
    <w:rsid w:val="004F0745"/>
    <w:rsid w:val="004F076C"/>
    <w:rsid w:val="004F07E0"/>
    <w:rsid w:val="004F07E2"/>
    <w:rsid w:val="004F07EA"/>
    <w:rsid w:val="004F0886"/>
    <w:rsid w:val="004F089B"/>
    <w:rsid w:val="004F08A2"/>
    <w:rsid w:val="004F08B3"/>
    <w:rsid w:val="004F0954"/>
    <w:rsid w:val="004F09B0"/>
    <w:rsid w:val="004F09B7"/>
    <w:rsid w:val="004F09C8"/>
    <w:rsid w:val="004F09E9"/>
    <w:rsid w:val="004F09F7"/>
    <w:rsid w:val="004F0A26"/>
    <w:rsid w:val="004F0ABE"/>
    <w:rsid w:val="004F0AD1"/>
    <w:rsid w:val="004F0B00"/>
    <w:rsid w:val="004F0B4F"/>
    <w:rsid w:val="004F0B82"/>
    <w:rsid w:val="004F0BC1"/>
    <w:rsid w:val="004F0BEE"/>
    <w:rsid w:val="004F0C5C"/>
    <w:rsid w:val="004F0CC5"/>
    <w:rsid w:val="004F0CFB"/>
    <w:rsid w:val="004F0D07"/>
    <w:rsid w:val="004F0D33"/>
    <w:rsid w:val="004F0D49"/>
    <w:rsid w:val="004F0D6C"/>
    <w:rsid w:val="004F0D87"/>
    <w:rsid w:val="004F0DF2"/>
    <w:rsid w:val="004F0E64"/>
    <w:rsid w:val="004F0E74"/>
    <w:rsid w:val="004F0E89"/>
    <w:rsid w:val="004F0EAB"/>
    <w:rsid w:val="004F0EE6"/>
    <w:rsid w:val="004F0FAE"/>
    <w:rsid w:val="004F0FD1"/>
    <w:rsid w:val="004F0FF5"/>
    <w:rsid w:val="004F100D"/>
    <w:rsid w:val="004F10C6"/>
    <w:rsid w:val="004F11C0"/>
    <w:rsid w:val="004F11C1"/>
    <w:rsid w:val="004F11CD"/>
    <w:rsid w:val="004F1243"/>
    <w:rsid w:val="004F12C0"/>
    <w:rsid w:val="004F12C8"/>
    <w:rsid w:val="004F12D2"/>
    <w:rsid w:val="004F130E"/>
    <w:rsid w:val="004F133A"/>
    <w:rsid w:val="004F138F"/>
    <w:rsid w:val="004F13B0"/>
    <w:rsid w:val="004F13D3"/>
    <w:rsid w:val="004F13D5"/>
    <w:rsid w:val="004F13DA"/>
    <w:rsid w:val="004F143D"/>
    <w:rsid w:val="004F1448"/>
    <w:rsid w:val="004F144B"/>
    <w:rsid w:val="004F147D"/>
    <w:rsid w:val="004F150B"/>
    <w:rsid w:val="004F1556"/>
    <w:rsid w:val="004F15E1"/>
    <w:rsid w:val="004F15F1"/>
    <w:rsid w:val="004F160D"/>
    <w:rsid w:val="004F16E1"/>
    <w:rsid w:val="004F16FA"/>
    <w:rsid w:val="004F1725"/>
    <w:rsid w:val="004F175E"/>
    <w:rsid w:val="004F17A6"/>
    <w:rsid w:val="004F17C2"/>
    <w:rsid w:val="004F17D3"/>
    <w:rsid w:val="004F17FB"/>
    <w:rsid w:val="004F1840"/>
    <w:rsid w:val="004F1915"/>
    <w:rsid w:val="004F19BC"/>
    <w:rsid w:val="004F19F9"/>
    <w:rsid w:val="004F1A0A"/>
    <w:rsid w:val="004F1A7D"/>
    <w:rsid w:val="004F1A93"/>
    <w:rsid w:val="004F1AD4"/>
    <w:rsid w:val="004F1ADC"/>
    <w:rsid w:val="004F1B1D"/>
    <w:rsid w:val="004F1B6D"/>
    <w:rsid w:val="004F1B8C"/>
    <w:rsid w:val="004F1BDF"/>
    <w:rsid w:val="004F1BE5"/>
    <w:rsid w:val="004F1C7E"/>
    <w:rsid w:val="004F1CC0"/>
    <w:rsid w:val="004F1D13"/>
    <w:rsid w:val="004F1DA3"/>
    <w:rsid w:val="004F1DF3"/>
    <w:rsid w:val="004F1DF8"/>
    <w:rsid w:val="004F1E16"/>
    <w:rsid w:val="004F1E30"/>
    <w:rsid w:val="004F1E56"/>
    <w:rsid w:val="004F1E8F"/>
    <w:rsid w:val="004F1EF7"/>
    <w:rsid w:val="004F1F18"/>
    <w:rsid w:val="004F1F52"/>
    <w:rsid w:val="004F1F71"/>
    <w:rsid w:val="004F1F8A"/>
    <w:rsid w:val="004F1FB9"/>
    <w:rsid w:val="004F1FC3"/>
    <w:rsid w:val="004F1FE4"/>
    <w:rsid w:val="004F1FEF"/>
    <w:rsid w:val="004F2007"/>
    <w:rsid w:val="004F203C"/>
    <w:rsid w:val="004F2069"/>
    <w:rsid w:val="004F206D"/>
    <w:rsid w:val="004F20A1"/>
    <w:rsid w:val="004F20EC"/>
    <w:rsid w:val="004F20F1"/>
    <w:rsid w:val="004F20F7"/>
    <w:rsid w:val="004F20FF"/>
    <w:rsid w:val="004F2104"/>
    <w:rsid w:val="004F2122"/>
    <w:rsid w:val="004F2151"/>
    <w:rsid w:val="004F215C"/>
    <w:rsid w:val="004F2181"/>
    <w:rsid w:val="004F21D0"/>
    <w:rsid w:val="004F21E8"/>
    <w:rsid w:val="004F2205"/>
    <w:rsid w:val="004F2252"/>
    <w:rsid w:val="004F2267"/>
    <w:rsid w:val="004F22BC"/>
    <w:rsid w:val="004F22C0"/>
    <w:rsid w:val="004F22E1"/>
    <w:rsid w:val="004F231C"/>
    <w:rsid w:val="004F2358"/>
    <w:rsid w:val="004F235D"/>
    <w:rsid w:val="004F2364"/>
    <w:rsid w:val="004F2379"/>
    <w:rsid w:val="004F23AB"/>
    <w:rsid w:val="004F23B2"/>
    <w:rsid w:val="004F23BC"/>
    <w:rsid w:val="004F241B"/>
    <w:rsid w:val="004F2493"/>
    <w:rsid w:val="004F24A3"/>
    <w:rsid w:val="004F24A9"/>
    <w:rsid w:val="004F24C2"/>
    <w:rsid w:val="004F24D9"/>
    <w:rsid w:val="004F24E0"/>
    <w:rsid w:val="004F24E8"/>
    <w:rsid w:val="004F24FD"/>
    <w:rsid w:val="004F256F"/>
    <w:rsid w:val="004F25C1"/>
    <w:rsid w:val="004F25D3"/>
    <w:rsid w:val="004F2608"/>
    <w:rsid w:val="004F261F"/>
    <w:rsid w:val="004F2694"/>
    <w:rsid w:val="004F26C9"/>
    <w:rsid w:val="004F26D4"/>
    <w:rsid w:val="004F26E2"/>
    <w:rsid w:val="004F26E4"/>
    <w:rsid w:val="004F26F0"/>
    <w:rsid w:val="004F271A"/>
    <w:rsid w:val="004F2732"/>
    <w:rsid w:val="004F2759"/>
    <w:rsid w:val="004F2775"/>
    <w:rsid w:val="004F2782"/>
    <w:rsid w:val="004F2791"/>
    <w:rsid w:val="004F27B7"/>
    <w:rsid w:val="004F2813"/>
    <w:rsid w:val="004F2845"/>
    <w:rsid w:val="004F28D8"/>
    <w:rsid w:val="004F28F8"/>
    <w:rsid w:val="004F2916"/>
    <w:rsid w:val="004F2931"/>
    <w:rsid w:val="004F2939"/>
    <w:rsid w:val="004F2977"/>
    <w:rsid w:val="004F299D"/>
    <w:rsid w:val="004F29F4"/>
    <w:rsid w:val="004F2A00"/>
    <w:rsid w:val="004F2A01"/>
    <w:rsid w:val="004F2A27"/>
    <w:rsid w:val="004F2A67"/>
    <w:rsid w:val="004F2AA4"/>
    <w:rsid w:val="004F2AFD"/>
    <w:rsid w:val="004F2B10"/>
    <w:rsid w:val="004F2B43"/>
    <w:rsid w:val="004F2B7C"/>
    <w:rsid w:val="004F2B8C"/>
    <w:rsid w:val="004F2B98"/>
    <w:rsid w:val="004F2BAE"/>
    <w:rsid w:val="004F2BB2"/>
    <w:rsid w:val="004F2C2C"/>
    <w:rsid w:val="004F2C34"/>
    <w:rsid w:val="004F2C3F"/>
    <w:rsid w:val="004F2CB0"/>
    <w:rsid w:val="004F2CC8"/>
    <w:rsid w:val="004F2CE7"/>
    <w:rsid w:val="004F2CF6"/>
    <w:rsid w:val="004F2D54"/>
    <w:rsid w:val="004F2D5A"/>
    <w:rsid w:val="004F2D5C"/>
    <w:rsid w:val="004F2D6F"/>
    <w:rsid w:val="004F2DD3"/>
    <w:rsid w:val="004F2DE3"/>
    <w:rsid w:val="004F2DEC"/>
    <w:rsid w:val="004F2E13"/>
    <w:rsid w:val="004F2E4A"/>
    <w:rsid w:val="004F2ECA"/>
    <w:rsid w:val="004F2F20"/>
    <w:rsid w:val="004F2F27"/>
    <w:rsid w:val="004F2F70"/>
    <w:rsid w:val="004F2F7F"/>
    <w:rsid w:val="004F2FCD"/>
    <w:rsid w:val="004F3003"/>
    <w:rsid w:val="004F301C"/>
    <w:rsid w:val="004F3031"/>
    <w:rsid w:val="004F3038"/>
    <w:rsid w:val="004F3043"/>
    <w:rsid w:val="004F3056"/>
    <w:rsid w:val="004F306B"/>
    <w:rsid w:val="004F30C9"/>
    <w:rsid w:val="004F3126"/>
    <w:rsid w:val="004F315C"/>
    <w:rsid w:val="004F317D"/>
    <w:rsid w:val="004F31A3"/>
    <w:rsid w:val="004F31BA"/>
    <w:rsid w:val="004F3217"/>
    <w:rsid w:val="004F323E"/>
    <w:rsid w:val="004F32DC"/>
    <w:rsid w:val="004F32F1"/>
    <w:rsid w:val="004F3302"/>
    <w:rsid w:val="004F3303"/>
    <w:rsid w:val="004F336D"/>
    <w:rsid w:val="004F339A"/>
    <w:rsid w:val="004F33AA"/>
    <w:rsid w:val="004F33C4"/>
    <w:rsid w:val="004F33E4"/>
    <w:rsid w:val="004F33F7"/>
    <w:rsid w:val="004F33FB"/>
    <w:rsid w:val="004F3411"/>
    <w:rsid w:val="004F346E"/>
    <w:rsid w:val="004F347C"/>
    <w:rsid w:val="004F349E"/>
    <w:rsid w:val="004F34D6"/>
    <w:rsid w:val="004F351B"/>
    <w:rsid w:val="004F356B"/>
    <w:rsid w:val="004F3582"/>
    <w:rsid w:val="004F35F2"/>
    <w:rsid w:val="004F360A"/>
    <w:rsid w:val="004F361D"/>
    <w:rsid w:val="004F366B"/>
    <w:rsid w:val="004F36A0"/>
    <w:rsid w:val="004F36C1"/>
    <w:rsid w:val="004F36D2"/>
    <w:rsid w:val="004F36DB"/>
    <w:rsid w:val="004F372B"/>
    <w:rsid w:val="004F3733"/>
    <w:rsid w:val="004F3758"/>
    <w:rsid w:val="004F3779"/>
    <w:rsid w:val="004F377C"/>
    <w:rsid w:val="004F3781"/>
    <w:rsid w:val="004F379C"/>
    <w:rsid w:val="004F37EC"/>
    <w:rsid w:val="004F3824"/>
    <w:rsid w:val="004F3825"/>
    <w:rsid w:val="004F385F"/>
    <w:rsid w:val="004F3896"/>
    <w:rsid w:val="004F38B0"/>
    <w:rsid w:val="004F38EE"/>
    <w:rsid w:val="004F390C"/>
    <w:rsid w:val="004F3921"/>
    <w:rsid w:val="004F3952"/>
    <w:rsid w:val="004F3960"/>
    <w:rsid w:val="004F3963"/>
    <w:rsid w:val="004F3A02"/>
    <w:rsid w:val="004F3A33"/>
    <w:rsid w:val="004F3A48"/>
    <w:rsid w:val="004F3A6E"/>
    <w:rsid w:val="004F3A87"/>
    <w:rsid w:val="004F3A9F"/>
    <w:rsid w:val="004F3B44"/>
    <w:rsid w:val="004F3B63"/>
    <w:rsid w:val="004F3B90"/>
    <w:rsid w:val="004F3BE6"/>
    <w:rsid w:val="004F3C2A"/>
    <w:rsid w:val="004F3CA1"/>
    <w:rsid w:val="004F3CA3"/>
    <w:rsid w:val="004F3CB4"/>
    <w:rsid w:val="004F3CDD"/>
    <w:rsid w:val="004F3CF1"/>
    <w:rsid w:val="004F3D2C"/>
    <w:rsid w:val="004F3DD9"/>
    <w:rsid w:val="004F3DDA"/>
    <w:rsid w:val="004F3DE1"/>
    <w:rsid w:val="004F3E37"/>
    <w:rsid w:val="004F3E38"/>
    <w:rsid w:val="004F3E3F"/>
    <w:rsid w:val="004F3F0B"/>
    <w:rsid w:val="004F3F13"/>
    <w:rsid w:val="004F3F82"/>
    <w:rsid w:val="004F3F9D"/>
    <w:rsid w:val="004F3FBF"/>
    <w:rsid w:val="004F3FDE"/>
    <w:rsid w:val="004F4085"/>
    <w:rsid w:val="004F40C0"/>
    <w:rsid w:val="004F40DA"/>
    <w:rsid w:val="004F4119"/>
    <w:rsid w:val="004F415B"/>
    <w:rsid w:val="004F415D"/>
    <w:rsid w:val="004F417A"/>
    <w:rsid w:val="004F417B"/>
    <w:rsid w:val="004F417E"/>
    <w:rsid w:val="004F419E"/>
    <w:rsid w:val="004F41CD"/>
    <w:rsid w:val="004F4237"/>
    <w:rsid w:val="004F424D"/>
    <w:rsid w:val="004F4269"/>
    <w:rsid w:val="004F4284"/>
    <w:rsid w:val="004F42E7"/>
    <w:rsid w:val="004F42F2"/>
    <w:rsid w:val="004F4314"/>
    <w:rsid w:val="004F4329"/>
    <w:rsid w:val="004F432F"/>
    <w:rsid w:val="004F4345"/>
    <w:rsid w:val="004F4356"/>
    <w:rsid w:val="004F437D"/>
    <w:rsid w:val="004F443B"/>
    <w:rsid w:val="004F4468"/>
    <w:rsid w:val="004F4485"/>
    <w:rsid w:val="004F44CC"/>
    <w:rsid w:val="004F44E8"/>
    <w:rsid w:val="004F44F0"/>
    <w:rsid w:val="004F4523"/>
    <w:rsid w:val="004F4525"/>
    <w:rsid w:val="004F4539"/>
    <w:rsid w:val="004F453D"/>
    <w:rsid w:val="004F456A"/>
    <w:rsid w:val="004F45C4"/>
    <w:rsid w:val="004F45CB"/>
    <w:rsid w:val="004F45CF"/>
    <w:rsid w:val="004F45D7"/>
    <w:rsid w:val="004F45FF"/>
    <w:rsid w:val="004F464B"/>
    <w:rsid w:val="004F4660"/>
    <w:rsid w:val="004F4687"/>
    <w:rsid w:val="004F468A"/>
    <w:rsid w:val="004F46BD"/>
    <w:rsid w:val="004F46C6"/>
    <w:rsid w:val="004F46D1"/>
    <w:rsid w:val="004F46DA"/>
    <w:rsid w:val="004F4759"/>
    <w:rsid w:val="004F4765"/>
    <w:rsid w:val="004F4779"/>
    <w:rsid w:val="004F4793"/>
    <w:rsid w:val="004F47B7"/>
    <w:rsid w:val="004F47DC"/>
    <w:rsid w:val="004F486D"/>
    <w:rsid w:val="004F487A"/>
    <w:rsid w:val="004F48A2"/>
    <w:rsid w:val="004F48B6"/>
    <w:rsid w:val="004F48CC"/>
    <w:rsid w:val="004F48E0"/>
    <w:rsid w:val="004F491A"/>
    <w:rsid w:val="004F4924"/>
    <w:rsid w:val="004F493B"/>
    <w:rsid w:val="004F4947"/>
    <w:rsid w:val="004F4963"/>
    <w:rsid w:val="004F4972"/>
    <w:rsid w:val="004F4974"/>
    <w:rsid w:val="004F4978"/>
    <w:rsid w:val="004F4993"/>
    <w:rsid w:val="004F4A18"/>
    <w:rsid w:val="004F4A70"/>
    <w:rsid w:val="004F4AB8"/>
    <w:rsid w:val="004F4AD9"/>
    <w:rsid w:val="004F4B00"/>
    <w:rsid w:val="004F4B16"/>
    <w:rsid w:val="004F4B4E"/>
    <w:rsid w:val="004F4B65"/>
    <w:rsid w:val="004F4B8C"/>
    <w:rsid w:val="004F4B92"/>
    <w:rsid w:val="004F4BB0"/>
    <w:rsid w:val="004F4BB1"/>
    <w:rsid w:val="004F4BDC"/>
    <w:rsid w:val="004F4C4E"/>
    <w:rsid w:val="004F4C68"/>
    <w:rsid w:val="004F4C71"/>
    <w:rsid w:val="004F4CA2"/>
    <w:rsid w:val="004F4CA5"/>
    <w:rsid w:val="004F4CD7"/>
    <w:rsid w:val="004F4CD9"/>
    <w:rsid w:val="004F4D10"/>
    <w:rsid w:val="004F4D27"/>
    <w:rsid w:val="004F4D50"/>
    <w:rsid w:val="004F4D64"/>
    <w:rsid w:val="004F4E0C"/>
    <w:rsid w:val="004F4E1A"/>
    <w:rsid w:val="004F4E1C"/>
    <w:rsid w:val="004F4E50"/>
    <w:rsid w:val="004F4EE3"/>
    <w:rsid w:val="004F4F1A"/>
    <w:rsid w:val="004F4F36"/>
    <w:rsid w:val="004F4F6C"/>
    <w:rsid w:val="004F5029"/>
    <w:rsid w:val="004F509F"/>
    <w:rsid w:val="004F50CF"/>
    <w:rsid w:val="004F50DA"/>
    <w:rsid w:val="004F5132"/>
    <w:rsid w:val="004F5162"/>
    <w:rsid w:val="004F516D"/>
    <w:rsid w:val="004F51CD"/>
    <w:rsid w:val="004F5272"/>
    <w:rsid w:val="004F52B9"/>
    <w:rsid w:val="004F52C1"/>
    <w:rsid w:val="004F5332"/>
    <w:rsid w:val="004F5356"/>
    <w:rsid w:val="004F5357"/>
    <w:rsid w:val="004F5387"/>
    <w:rsid w:val="004F53A4"/>
    <w:rsid w:val="004F53D9"/>
    <w:rsid w:val="004F5441"/>
    <w:rsid w:val="004F54CE"/>
    <w:rsid w:val="004F550F"/>
    <w:rsid w:val="004F5538"/>
    <w:rsid w:val="004F559F"/>
    <w:rsid w:val="004F55A3"/>
    <w:rsid w:val="004F55CE"/>
    <w:rsid w:val="004F55E3"/>
    <w:rsid w:val="004F560C"/>
    <w:rsid w:val="004F5612"/>
    <w:rsid w:val="004F56AB"/>
    <w:rsid w:val="004F56CA"/>
    <w:rsid w:val="004F56D8"/>
    <w:rsid w:val="004F572E"/>
    <w:rsid w:val="004F57B1"/>
    <w:rsid w:val="004F57CC"/>
    <w:rsid w:val="004F57FA"/>
    <w:rsid w:val="004F582F"/>
    <w:rsid w:val="004F5869"/>
    <w:rsid w:val="004F5879"/>
    <w:rsid w:val="004F58DD"/>
    <w:rsid w:val="004F58EC"/>
    <w:rsid w:val="004F5911"/>
    <w:rsid w:val="004F5924"/>
    <w:rsid w:val="004F593D"/>
    <w:rsid w:val="004F594B"/>
    <w:rsid w:val="004F5960"/>
    <w:rsid w:val="004F5967"/>
    <w:rsid w:val="004F5970"/>
    <w:rsid w:val="004F5986"/>
    <w:rsid w:val="004F59B9"/>
    <w:rsid w:val="004F59EB"/>
    <w:rsid w:val="004F5A72"/>
    <w:rsid w:val="004F5A84"/>
    <w:rsid w:val="004F5A8A"/>
    <w:rsid w:val="004F5A8E"/>
    <w:rsid w:val="004F5A9F"/>
    <w:rsid w:val="004F5B43"/>
    <w:rsid w:val="004F5BB7"/>
    <w:rsid w:val="004F5BD4"/>
    <w:rsid w:val="004F5C0E"/>
    <w:rsid w:val="004F5C48"/>
    <w:rsid w:val="004F5C55"/>
    <w:rsid w:val="004F5C9A"/>
    <w:rsid w:val="004F5D0C"/>
    <w:rsid w:val="004F5D16"/>
    <w:rsid w:val="004F5D2C"/>
    <w:rsid w:val="004F5D4C"/>
    <w:rsid w:val="004F5D5D"/>
    <w:rsid w:val="004F5D83"/>
    <w:rsid w:val="004F5DA0"/>
    <w:rsid w:val="004F5DA3"/>
    <w:rsid w:val="004F5DC8"/>
    <w:rsid w:val="004F5DD2"/>
    <w:rsid w:val="004F5E09"/>
    <w:rsid w:val="004F5E62"/>
    <w:rsid w:val="004F5EB0"/>
    <w:rsid w:val="004F5EB9"/>
    <w:rsid w:val="004F5EC0"/>
    <w:rsid w:val="004F5EDD"/>
    <w:rsid w:val="004F5F19"/>
    <w:rsid w:val="004F5F4B"/>
    <w:rsid w:val="004F5F7B"/>
    <w:rsid w:val="004F5F8A"/>
    <w:rsid w:val="004F5F9C"/>
    <w:rsid w:val="004F5FF3"/>
    <w:rsid w:val="004F6051"/>
    <w:rsid w:val="004F6095"/>
    <w:rsid w:val="004F6097"/>
    <w:rsid w:val="004F60A5"/>
    <w:rsid w:val="004F6113"/>
    <w:rsid w:val="004F6123"/>
    <w:rsid w:val="004F6133"/>
    <w:rsid w:val="004F6143"/>
    <w:rsid w:val="004F6167"/>
    <w:rsid w:val="004F618C"/>
    <w:rsid w:val="004F619B"/>
    <w:rsid w:val="004F61FF"/>
    <w:rsid w:val="004F6314"/>
    <w:rsid w:val="004F6349"/>
    <w:rsid w:val="004F6401"/>
    <w:rsid w:val="004F6499"/>
    <w:rsid w:val="004F64F2"/>
    <w:rsid w:val="004F64FB"/>
    <w:rsid w:val="004F65FF"/>
    <w:rsid w:val="004F668B"/>
    <w:rsid w:val="004F66D8"/>
    <w:rsid w:val="004F66F4"/>
    <w:rsid w:val="004F66FC"/>
    <w:rsid w:val="004F670D"/>
    <w:rsid w:val="004F67A9"/>
    <w:rsid w:val="004F67DF"/>
    <w:rsid w:val="004F67EA"/>
    <w:rsid w:val="004F680D"/>
    <w:rsid w:val="004F6822"/>
    <w:rsid w:val="004F683C"/>
    <w:rsid w:val="004F685F"/>
    <w:rsid w:val="004F68BD"/>
    <w:rsid w:val="004F6902"/>
    <w:rsid w:val="004F6929"/>
    <w:rsid w:val="004F6957"/>
    <w:rsid w:val="004F6970"/>
    <w:rsid w:val="004F697D"/>
    <w:rsid w:val="004F69BC"/>
    <w:rsid w:val="004F69F0"/>
    <w:rsid w:val="004F69F6"/>
    <w:rsid w:val="004F6A18"/>
    <w:rsid w:val="004F6A20"/>
    <w:rsid w:val="004F6A42"/>
    <w:rsid w:val="004F6A7F"/>
    <w:rsid w:val="004F6AA2"/>
    <w:rsid w:val="004F6AFB"/>
    <w:rsid w:val="004F6B14"/>
    <w:rsid w:val="004F6B5F"/>
    <w:rsid w:val="004F6BB0"/>
    <w:rsid w:val="004F6BD0"/>
    <w:rsid w:val="004F6C08"/>
    <w:rsid w:val="004F6C34"/>
    <w:rsid w:val="004F6C56"/>
    <w:rsid w:val="004F6CEC"/>
    <w:rsid w:val="004F6CEE"/>
    <w:rsid w:val="004F6D18"/>
    <w:rsid w:val="004F6E08"/>
    <w:rsid w:val="004F6E1D"/>
    <w:rsid w:val="004F6E1E"/>
    <w:rsid w:val="004F6E8E"/>
    <w:rsid w:val="004F6ECC"/>
    <w:rsid w:val="004F6EDF"/>
    <w:rsid w:val="004F6F0F"/>
    <w:rsid w:val="004F6F2E"/>
    <w:rsid w:val="004F6F51"/>
    <w:rsid w:val="004F6FF0"/>
    <w:rsid w:val="004F7002"/>
    <w:rsid w:val="004F701D"/>
    <w:rsid w:val="004F703B"/>
    <w:rsid w:val="004F706D"/>
    <w:rsid w:val="004F70B2"/>
    <w:rsid w:val="004F70E4"/>
    <w:rsid w:val="004F710A"/>
    <w:rsid w:val="004F7116"/>
    <w:rsid w:val="004F7157"/>
    <w:rsid w:val="004F716B"/>
    <w:rsid w:val="004F7176"/>
    <w:rsid w:val="004F71B5"/>
    <w:rsid w:val="004F71EB"/>
    <w:rsid w:val="004F71F7"/>
    <w:rsid w:val="004F7203"/>
    <w:rsid w:val="004F722B"/>
    <w:rsid w:val="004F72D1"/>
    <w:rsid w:val="004F733E"/>
    <w:rsid w:val="004F734F"/>
    <w:rsid w:val="004F7373"/>
    <w:rsid w:val="004F739C"/>
    <w:rsid w:val="004F73B0"/>
    <w:rsid w:val="004F73C2"/>
    <w:rsid w:val="004F73CB"/>
    <w:rsid w:val="004F73D5"/>
    <w:rsid w:val="004F7414"/>
    <w:rsid w:val="004F7454"/>
    <w:rsid w:val="004F7457"/>
    <w:rsid w:val="004F749C"/>
    <w:rsid w:val="004F74D7"/>
    <w:rsid w:val="004F74DF"/>
    <w:rsid w:val="004F7521"/>
    <w:rsid w:val="004F7524"/>
    <w:rsid w:val="004F7525"/>
    <w:rsid w:val="004F75AC"/>
    <w:rsid w:val="004F75B7"/>
    <w:rsid w:val="004F75BB"/>
    <w:rsid w:val="004F7656"/>
    <w:rsid w:val="004F766B"/>
    <w:rsid w:val="004F768A"/>
    <w:rsid w:val="004F76C3"/>
    <w:rsid w:val="004F76C6"/>
    <w:rsid w:val="004F76DF"/>
    <w:rsid w:val="004F7718"/>
    <w:rsid w:val="004F772B"/>
    <w:rsid w:val="004F778E"/>
    <w:rsid w:val="004F77A9"/>
    <w:rsid w:val="004F7813"/>
    <w:rsid w:val="004F783E"/>
    <w:rsid w:val="004F78B2"/>
    <w:rsid w:val="004F79DB"/>
    <w:rsid w:val="004F7A03"/>
    <w:rsid w:val="004F7A07"/>
    <w:rsid w:val="004F7A2C"/>
    <w:rsid w:val="004F7A30"/>
    <w:rsid w:val="004F7A68"/>
    <w:rsid w:val="004F7B58"/>
    <w:rsid w:val="004F7B72"/>
    <w:rsid w:val="004F7B8A"/>
    <w:rsid w:val="004F7BC8"/>
    <w:rsid w:val="004F7BD5"/>
    <w:rsid w:val="004F7C5F"/>
    <w:rsid w:val="004F7C86"/>
    <w:rsid w:val="004F7CCB"/>
    <w:rsid w:val="004F7D19"/>
    <w:rsid w:val="004F7D47"/>
    <w:rsid w:val="004F7DC4"/>
    <w:rsid w:val="004F7E59"/>
    <w:rsid w:val="004F7E9C"/>
    <w:rsid w:val="004F7F21"/>
    <w:rsid w:val="004F7F46"/>
    <w:rsid w:val="004F7F4E"/>
    <w:rsid w:val="004F7F69"/>
    <w:rsid w:val="004F7F81"/>
    <w:rsid w:val="004F7FD1"/>
    <w:rsid w:val="004F7FE9"/>
    <w:rsid w:val="00500080"/>
    <w:rsid w:val="00500102"/>
    <w:rsid w:val="00500118"/>
    <w:rsid w:val="0050012E"/>
    <w:rsid w:val="00500136"/>
    <w:rsid w:val="00500194"/>
    <w:rsid w:val="0050019B"/>
    <w:rsid w:val="005001A8"/>
    <w:rsid w:val="005001FA"/>
    <w:rsid w:val="00500257"/>
    <w:rsid w:val="00500268"/>
    <w:rsid w:val="0050028B"/>
    <w:rsid w:val="005002D0"/>
    <w:rsid w:val="0050031F"/>
    <w:rsid w:val="0050034B"/>
    <w:rsid w:val="0050039D"/>
    <w:rsid w:val="005003C8"/>
    <w:rsid w:val="005003DC"/>
    <w:rsid w:val="0050041A"/>
    <w:rsid w:val="00500422"/>
    <w:rsid w:val="005004B0"/>
    <w:rsid w:val="005004D5"/>
    <w:rsid w:val="005004DD"/>
    <w:rsid w:val="00500515"/>
    <w:rsid w:val="00500528"/>
    <w:rsid w:val="00500557"/>
    <w:rsid w:val="0050055A"/>
    <w:rsid w:val="0050059A"/>
    <w:rsid w:val="00500609"/>
    <w:rsid w:val="00500671"/>
    <w:rsid w:val="00500672"/>
    <w:rsid w:val="00500699"/>
    <w:rsid w:val="005006B7"/>
    <w:rsid w:val="005006CB"/>
    <w:rsid w:val="005006DE"/>
    <w:rsid w:val="0050071D"/>
    <w:rsid w:val="0050072E"/>
    <w:rsid w:val="00500737"/>
    <w:rsid w:val="00500783"/>
    <w:rsid w:val="005007E5"/>
    <w:rsid w:val="0050088D"/>
    <w:rsid w:val="005008B7"/>
    <w:rsid w:val="005009AA"/>
    <w:rsid w:val="005009E7"/>
    <w:rsid w:val="00500A54"/>
    <w:rsid w:val="00500A62"/>
    <w:rsid w:val="00500A83"/>
    <w:rsid w:val="00500AAA"/>
    <w:rsid w:val="00500AAD"/>
    <w:rsid w:val="00500AD6"/>
    <w:rsid w:val="00500B38"/>
    <w:rsid w:val="00500B86"/>
    <w:rsid w:val="00500BB9"/>
    <w:rsid w:val="00500BBA"/>
    <w:rsid w:val="00500BEB"/>
    <w:rsid w:val="00500C18"/>
    <w:rsid w:val="00500C1A"/>
    <w:rsid w:val="00500C23"/>
    <w:rsid w:val="00500C68"/>
    <w:rsid w:val="00500C79"/>
    <w:rsid w:val="00500CC6"/>
    <w:rsid w:val="00500D34"/>
    <w:rsid w:val="00500D58"/>
    <w:rsid w:val="00500D76"/>
    <w:rsid w:val="00500D8C"/>
    <w:rsid w:val="00500DC0"/>
    <w:rsid w:val="00500E4E"/>
    <w:rsid w:val="00500E69"/>
    <w:rsid w:val="00500EC2"/>
    <w:rsid w:val="00500EC5"/>
    <w:rsid w:val="00500ECD"/>
    <w:rsid w:val="00500EEA"/>
    <w:rsid w:val="00500F2C"/>
    <w:rsid w:val="00500F6F"/>
    <w:rsid w:val="00500F7E"/>
    <w:rsid w:val="00500F8B"/>
    <w:rsid w:val="00500F9C"/>
    <w:rsid w:val="00500FCE"/>
    <w:rsid w:val="00500FFA"/>
    <w:rsid w:val="00501004"/>
    <w:rsid w:val="00501029"/>
    <w:rsid w:val="00501096"/>
    <w:rsid w:val="0050109A"/>
    <w:rsid w:val="005010A9"/>
    <w:rsid w:val="005010B4"/>
    <w:rsid w:val="005010CA"/>
    <w:rsid w:val="005010DF"/>
    <w:rsid w:val="00501169"/>
    <w:rsid w:val="0050118A"/>
    <w:rsid w:val="005011E1"/>
    <w:rsid w:val="00501295"/>
    <w:rsid w:val="005012B1"/>
    <w:rsid w:val="005012C5"/>
    <w:rsid w:val="005012F2"/>
    <w:rsid w:val="0050131D"/>
    <w:rsid w:val="0050137A"/>
    <w:rsid w:val="00501382"/>
    <w:rsid w:val="005013AA"/>
    <w:rsid w:val="005013ED"/>
    <w:rsid w:val="005013FF"/>
    <w:rsid w:val="00501445"/>
    <w:rsid w:val="0050144C"/>
    <w:rsid w:val="00501469"/>
    <w:rsid w:val="00501492"/>
    <w:rsid w:val="005014D1"/>
    <w:rsid w:val="005015CA"/>
    <w:rsid w:val="005015ED"/>
    <w:rsid w:val="00501615"/>
    <w:rsid w:val="0050166A"/>
    <w:rsid w:val="005016A0"/>
    <w:rsid w:val="005016B1"/>
    <w:rsid w:val="005016DC"/>
    <w:rsid w:val="00501705"/>
    <w:rsid w:val="0050180C"/>
    <w:rsid w:val="0050181E"/>
    <w:rsid w:val="00501887"/>
    <w:rsid w:val="0050192A"/>
    <w:rsid w:val="00501983"/>
    <w:rsid w:val="00501A17"/>
    <w:rsid w:val="00501A2A"/>
    <w:rsid w:val="00501A39"/>
    <w:rsid w:val="00501A5E"/>
    <w:rsid w:val="00501A7A"/>
    <w:rsid w:val="00501AE5"/>
    <w:rsid w:val="00501B6C"/>
    <w:rsid w:val="00501B76"/>
    <w:rsid w:val="00501BD1"/>
    <w:rsid w:val="00501BD4"/>
    <w:rsid w:val="00501BDA"/>
    <w:rsid w:val="00501C3F"/>
    <w:rsid w:val="00501C65"/>
    <w:rsid w:val="00501C66"/>
    <w:rsid w:val="00501CB3"/>
    <w:rsid w:val="00501CB5"/>
    <w:rsid w:val="00501CC4"/>
    <w:rsid w:val="00501D38"/>
    <w:rsid w:val="00501DA3"/>
    <w:rsid w:val="00501DC7"/>
    <w:rsid w:val="00501E7D"/>
    <w:rsid w:val="00501E8D"/>
    <w:rsid w:val="00501EB4"/>
    <w:rsid w:val="00501EB8"/>
    <w:rsid w:val="00501ECA"/>
    <w:rsid w:val="00501EE8"/>
    <w:rsid w:val="00501F05"/>
    <w:rsid w:val="00501F84"/>
    <w:rsid w:val="00501FB2"/>
    <w:rsid w:val="00501FFC"/>
    <w:rsid w:val="00502073"/>
    <w:rsid w:val="0050208B"/>
    <w:rsid w:val="005020DD"/>
    <w:rsid w:val="00502158"/>
    <w:rsid w:val="0050217A"/>
    <w:rsid w:val="0050217E"/>
    <w:rsid w:val="0050218D"/>
    <w:rsid w:val="005021D2"/>
    <w:rsid w:val="005021F0"/>
    <w:rsid w:val="00502236"/>
    <w:rsid w:val="00502239"/>
    <w:rsid w:val="0050227B"/>
    <w:rsid w:val="00502281"/>
    <w:rsid w:val="00502291"/>
    <w:rsid w:val="005022AB"/>
    <w:rsid w:val="005022FE"/>
    <w:rsid w:val="0050230F"/>
    <w:rsid w:val="0050236B"/>
    <w:rsid w:val="005023B7"/>
    <w:rsid w:val="00502453"/>
    <w:rsid w:val="00502484"/>
    <w:rsid w:val="00502487"/>
    <w:rsid w:val="005024D8"/>
    <w:rsid w:val="0050251D"/>
    <w:rsid w:val="00502533"/>
    <w:rsid w:val="0050254D"/>
    <w:rsid w:val="005025AD"/>
    <w:rsid w:val="005025F7"/>
    <w:rsid w:val="0050261A"/>
    <w:rsid w:val="0050262C"/>
    <w:rsid w:val="00502633"/>
    <w:rsid w:val="005026B1"/>
    <w:rsid w:val="005026EF"/>
    <w:rsid w:val="005027AD"/>
    <w:rsid w:val="005027C7"/>
    <w:rsid w:val="005027CB"/>
    <w:rsid w:val="005027D0"/>
    <w:rsid w:val="0050281A"/>
    <w:rsid w:val="0050283E"/>
    <w:rsid w:val="0050287E"/>
    <w:rsid w:val="0050288D"/>
    <w:rsid w:val="005028DD"/>
    <w:rsid w:val="005028E0"/>
    <w:rsid w:val="0050290A"/>
    <w:rsid w:val="005029C6"/>
    <w:rsid w:val="005029CF"/>
    <w:rsid w:val="00502A2E"/>
    <w:rsid w:val="00502A31"/>
    <w:rsid w:val="00502A35"/>
    <w:rsid w:val="00502A48"/>
    <w:rsid w:val="00502A4A"/>
    <w:rsid w:val="00502A65"/>
    <w:rsid w:val="00502A79"/>
    <w:rsid w:val="00502A83"/>
    <w:rsid w:val="00502A93"/>
    <w:rsid w:val="00502A9D"/>
    <w:rsid w:val="00502AAA"/>
    <w:rsid w:val="00502AFC"/>
    <w:rsid w:val="00502B02"/>
    <w:rsid w:val="00502B53"/>
    <w:rsid w:val="00502B61"/>
    <w:rsid w:val="00502BA1"/>
    <w:rsid w:val="00502CB8"/>
    <w:rsid w:val="00502CE8"/>
    <w:rsid w:val="00502D01"/>
    <w:rsid w:val="00502D06"/>
    <w:rsid w:val="00502D13"/>
    <w:rsid w:val="00502D58"/>
    <w:rsid w:val="00502D5B"/>
    <w:rsid w:val="00502E06"/>
    <w:rsid w:val="00502E5D"/>
    <w:rsid w:val="00502E60"/>
    <w:rsid w:val="00502E9A"/>
    <w:rsid w:val="00502EC4"/>
    <w:rsid w:val="00502EE9"/>
    <w:rsid w:val="00502F06"/>
    <w:rsid w:val="00502F2C"/>
    <w:rsid w:val="00502F55"/>
    <w:rsid w:val="00502FD1"/>
    <w:rsid w:val="00503003"/>
    <w:rsid w:val="00503033"/>
    <w:rsid w:val="0050303B"/>
    <w:rsid w:val="00503081"/>
    <w:rsid w:val="00503089"/>
    <w:rsid w:val="0050308B"/>
    <w:rsid w:val="005030B5"/>
    <w:rsid w:val="005030D9"/>
    <w:rsid w:val="0050310E"/>
    <w:rsid w:val="00503138"/>
    <w:rsid w:val="00503178"/>
    <w:rsid w:val="00503186"/>
    <w:rsid w:val="00503191"/>
    <w:rsid w:val="00503228"/>
    <w:rsid w:val="00503302"/>
    <w:rsid w:val="0050338C"/>
    <w:rsid w:val="005033B4"/>
    <w:rsid w:val="0050343C"/>
    <w:rsid w:val="0050347E"/>
    <w:rsid w:val="0050348A"/>
    <w:rsid w:val="0050348F"/>
    <w:rsid w:val="00503498"/>
    <w:rsid w:val="005034D0"/>
    <w:rsid w:val="005034FD"/>
    <w:rsid w:val="00503558"/>
    <w:rsid w:val="00503559"/>
    <w:rsid w:val="0050358C"/>
    <w:rsid w:val="005035E3"/>
    <w:rsid w:val="0050363E"/>
    <w:rsid w:val="00503648"/>
    <w:rsid w:val="0050369C"/>
    <w:rsid w:val="005036A8"/>
    <w:rsid w:val="005036AA"/>
    <w:rsid w:val="005036D6"/>
    <w:rsid w:val="00503737"/>
    <w:rsid w:val="0050374D"/>
    <w:rsid w:val="0050378F"/>
    <w:rsid w:val="005037CB"/>
    <w:rsid w:val="005037D1"/>
    <w:rsid w:val="005037D3"/>
    <w:rsid w:val="00503801"/>
    <w:rsid w:val="0050388F"/>
    <w:rsid w:val="00503967"/>
    <w:rsid w:val="005039E2"/>
    <w:rsid w:val="005039E4"/>
    <w:rsid w:val="00503A05"/>
    <w:rsid w:val="00503AC2"/>
    <w:rsid w:val="00503ACA"/>
    <w:rsid w:val="00503ADA"/>
    <w:rsid w:val="00503AEA"/>
    <w:rsid w:val="00503AFD"/>
    <w:rsid w:val="00503C6D"/>
    <w:rsid w:val="00503C84"/>
    <w:rsid w:val="00503C87"/>
    <w:rsid w:val="00503CDE"/>
    <w:rsid w:val="00503D17"/>
    <w:rsid w:val="00503D44"/>
    <w:rsid w:val="00503D53"/>
    <w:rsid w:val="00503D73"/>
    <w:rsid w:val="00503D98"/>
    <w:rsid w:val="00503DC5"/>
    <w:rsid w:val="00503DD4"/>
    <w:rsid w:val="00503E49"/>
    <w:rsid w:val="00503E71"/>
    <w:rsid w:val="00503EBC"/>
    <w:rsid w:val="00503F2C"/>
    <w:rsid w:val="00503FB7"/>
    <w:rsid w:val="00503FDD"/>
    <w:rsid w:val="00503FED"/>
    <w:rsid w:val="00504032"/>
    <w:rsid w:val="0050409C"/>
    <w:rsid w:val="005040C2"/>
    <w:rsid w:val="005040E8"/>
    <w:rsid w:val="00504180"/>
    <w:rsid w:val="005041FC"/>
    <w:rsid w:val="00504222"/>
    <w:rsid w:val="0050422D"/>
    <w:rsid w:val="00504254"/>
    <w:rsid w:val="00504283"/>
    <w:rsid w:val="0050428E"/>
    <w:rsid w:val="00504292"/>
    <w:rsid w:val="005042D3"/>
    <w:rsid w:val="00504351"/>
    <w:rsid w:val="00504381"/>
    <w:rsid w:val="005043F0"/>
    <w:rsid w:val="00504403"/>
    <w:rsid w:val="00504420"/>
    <w:rsid w:val="00504462"/>
    <w:rsid w:val="00504470"/>
    <w:rsid w:val="00504479"/>
    <w:rsid w:val="00504491"/>
    <w:rsid w:val="00504497"/>
    <w:rsid w:val="005045CE"/>
    <w:rsid w:val="005045D3"/>
    <w:rsid w:val="0050461A"/>
    <w:rsid w:val="00504644"/>
    <w:rsid w:val="00504680"/>
    <w:rsid w:val="005046D8"/>
    <w:rsid w:val="005046E2"/>
    <w:rsid w:val="0050471E"/>
    <w:rsid w:val="00504767"/>
    <w:rsid w:val="005047C2"/>
    <w:rsid w:val="00504805"/>
    <w:rsid w:val="0050482E"/>
    <w:rsid w:val="00504831"/>
    <w:rsid w:val="00504840"/>
    <w:rsid w:val="00504880"/>
    <w:rsid w:val="0050488B"/>
    <w:rsid w:val="005048BA"/>
    <w:rsid w:val="005048D9"/>
    <w:rsid w:val="005048EE"/>
    <w:rsid w:val="005049A9"/>
    <w:rsid w:val="00504A2D"/>
    <w:rsid w:val="00504A8C"/>
    <w:rsid w:val="00504B2B"/>
    <w:rsid w:val="00504B4F"/>
    <w:rsid w:val="00504B5B"/>
    <w:rsid w:val="00504BBD"/>
    <w:rsid w:val="00504BD6"/>
    <w:rsid w:val="00504C3D"/>
    <w:rsid w:val="00504C42"/>
    <w:rsid w:val="00504C6F"/>
    <w:rsid w:val="00504CF9"/>
    <w:rsid w:val="00504D01"/>
    <w:rsid w:val="00504D46"/>
    <w:rsid w:val="00504D68"/>
    <w:rsid w:val="00504D9E"/>
    <w:rsid w:val="00504DCB"/>
    <w:rsid w:val="00504E19"/>
    <w:rsid w:val="00504E31"/>
    <w:rsid w:val="00504E8A"/>
    <w:rsid w:val="00504EC7"/>
    <w:rsid w:val="00504EEE"/>
    <w:rsid w:val="00504F67"/>
    <w:rsid w:val="00504FC4"/>
    <w:rsid w:val="0050504A"/>
    <w:rsid w:val="0050508C"/>
    <w:rsid w:val="005050CB"/>
    <w:rsid w:val="005050D3"/>
    <w:rsid w:val="00505134"/>
    <w:rsid w:val="0050513F"/>
    <w:rsid w:val="00505187"/>
    <w:rsid w:val="00505190"/>
    <w:rsid w:val="005052DC"/>
    <w:rsid w:val="00505301"/>
    <w:rsid w:val="0050530C"/>
    <w:rsid w:val="00505327"/>
    <w:rsid w:val="005053A6"/>
    <w:rsid w:val="005053D7"/>
    <w:rsid w:val="00505415"/>
    <w:rsid w:val="00505417"/>
    <w:rsid w:val="00505421"/>
    <w:rsid w:val="005054D8"/>
    <w:rsid w:val="00505548"/>
    <w:rsid w:val="00505597"/>
    <w:rsid w:val="0050559C"/>
    <w:rsid w:val="005055AB"/>
    <w:rsid w:val="005055CB"/>
    <w:rsid w:val="0050560C"/>
    <w:rsid w:val="00505680"/>
    <w:rsid w:val="005056B3"/>
    <w:rsid w:val="005056C8"/>
    <w:rsid w:val="005056CB"/>
    <w:rsid w:val="00505804"/>
    <w:rsid w:val="00505822"/>
    <w:rsid w:val="0050582E"/>
    <w:rsid w:val="00505877"/>
    <w:rsid w:val="005058B6"/>
    <w:rsid w:val="00505901"/>
    <w:rsid w:val="00505930"/>
    <w:rsid w:val="0050594A"/>
    <w:rsid w:val="005059D6"/>
    <w:rsid w:val="005059E8"/>
    <w:rsid w:val="005059EF"/>
    <w:rsid w:val="00505A15"/>
    <w:rsid w:val="00505A40"/>
    <w:rsid w:val="00505A49"/>
    <w:rsid w:val="00505AA9"/>
    <w:rsid w:val="00505ABC"/>
    <w:rsid w:val="00505ABF"/>
    <w:rsid w:val="00505ACA"/>
    <w:rsid w:val="00505B07"/>
    <w:rsid w:val="00505B0A"/>
    <w:rsid w:val="00505B77"/>
    <w:rsid w:val="00505BBD"/>
    <w:rsid w:val="00505BD4"/>
    <w:rsid w:val="00505BF6"/>
    <w:rsid w:val="00505C28"/>
    <w:rsid w:val="00505C86"/>
    <w:rsid w:val="00505CAD"/>
    <w:rsid w:val="00505CC4"/>
    <w:rsid w:val="00505D01"/>
    <w:rsid w:val="00505D67"/>
    <w:rsid w:val="00505D7E"/>
    <w:rsid w:val="00505D9E"/>
    <w:rsid w:val="00505DA1"/>
    <w:rsid w:val="00505DA3"/>
    <w:rsid w:val="00505DB1"/>
    <w:rsid w:val="00505DDE"/>
    <w:rsid w:val="00505DF0"/>
    <w:rsid w:val="00505F90"/>
    <w:rsid w:val="00505FA6"/>
    <w:rsid w:val="00506015"/>
    <w:rsid w:val="0050603B"/>
    <w:rsid w:val="0050603D"/>
    <w:rsid w:val="005060B0"/>
    <w:rsid w:val="005060CC"/>
    <w:rsid w:val="00506121"/>
    <w:rsid w:val="00506130"/>
    <w:rsid w:val="0050613D"/>
    <w:rsid w:val="00506141"/>
    <w:rsid w:val="00506147"/>
    <w:rsid w:val="005061FB"/>
    <w:rsid w:val="00506225"/>
    <w:rsid w:val="00506230"/>
    <w:rsid w:val="00506236"/>
    <w:rsid w:val="00506246"/>
    <w:rsid w:val="00506267"/>
    <w:rsid w:val="005062A6"/>
    <w:rsid w:val="005062BE"/>
    <w:rsid w:val="005062D5"/>
    <w:rsid w:val="0050639B"/>
    <w:rsid w:val="005063AC"/>
    <w:rsid w:val="005063D4"/>
    <w:rsid w:val="0050641E"/>
    <w:rsid w:val="0050648B"/>
    <w:rsid w:val="005064D8"/>
    <w:rsid w:val="00506529"/>
    <w:rsid w:val="0050653B"/>
    <w:rsid w:val="0050653C"/>
    <w:rsid w:val="0050659B"/>
    <w:rsid w:val="005065A6"/>
    <w:rsid w:val="005065CE"/>
    <w:rsid w:val="005065F3"/>
    <w:rsid w:val="00506611"/>
    <w:rsid w:val="00506674"/>
    <w:rsid w:val="0050669D"/>
    <w:rsid w:val="005066C0"/>
    <w:rsid w:val="005066EB"/>
    <w:rsid w:val="00506723"/>
    <w:rsid w:val="00506727"/>
    <w:rsid w:val="0050672D"/>
    <w:rsid w:val="0050674A"/>
    <w:rsid w:val="00506761"/>
    <w:rsid w:val="00506865"/>
    <w:rsid w:val="0050689A"/>
    <w:rsid w:val="00506934"/>
    <w:rsid w:val="005069E3"/>
    <w:rsid w:val="00506A0C"/>
    <w:rsid w:val="00506A1E"/>
    <w:rsid w:val="00506A2D"/>
    <w:rsid w:val="00506A3B"/>
    <w:rsid w:val="00506A96"/>
    <w:rsid w:val="00506AA8"/>
    <w:rsid w:val="00506AAB"/>
    <w:rsid w:val="00506B78"/>
    <w:rsid w:val="00506B7D"/>
    <w:rsid w:val="00506BA8"/>
    <w:rsid w:val="00506C0E"/>
    <w:rsid w:val="00506C0F"/>
    <w:rsid w:val="00506C15"/>
    <w:rsid w:val="00506C52"/>
    <w:rsid w:val="00506C70"/>
    <w:rsid w:val="00506C7D"/>
    <w:rsid w:val="00506CD9"/>
    <w:rsid w:val="00506CEC"/>
    <w:rsid w:val="00506E57"/>
    <w:rsid w:val="00506ED5"/>
    <w:rsid w:val="00506F24"/>
    <w:rsid w:val="00506F6E"/>
    <w:rsid w:val="00506FA1"/>
    <w:rsid w:val="00506FCB"/>
    <w:rsid w:val="00506FF1"/>
    <w:rsid w:val="0050701E"/>
    <w:rsid w:val="00507034"/>
    <w:rsid w:val="00507044"/>
    <w:rsid w:val="0050704E"/>
    <w:rsid w:val="0050707E"/>
    <w:rsid w:val="00507083"/>
    <w:rsid w:val="005070A6"/>
    <w:rsid w:val="00507122"/>
    <w:rsid w:val="00507137"/>
    <w:rsid w:val="0050713F"/>
    <w:rsid w:val="00507167"/>
    <w:rsid w:val="005071F5"/>
    <w:rsid w:val="00507210"/>
    <w:rsid w:val="0050724C"/>
    <w:rsid w:val="0050727F"/>
    <w:rsid w:val="005072A3"/>
    <w:rsid w:val="005072AF"/>
    <w:rsid w:val="005072C2"/>
    <w:rsid w:val="00507320"/>
    <w:rsid w:val="0050733D"/>
    <w:rsid w:val="00507375"/>
    <w:rsid w:val="005073A5"/>
    <w:rsid w:val="005073A6"/>
    <w:rsid w:val="005073C7"/>
    <w:rsid w:val="00507405"/>
    <w:rsid w:val="00507418"/>
    <w:rsid w:val="00507497"/>
    <w:rsid w:val="00507498"/>
    <w:rsid w:val="0050753F"/>
    <w:rsid w:val="0050754E"/>
    <w:rsid w:val="0050759B"/>
    <w:rsid w:val="005075D0"/>
    <w:rsid w:val="00507640"/>
    <w:rsid w:val="00507684"/>
    <w:rsid w:val="005076D3"/>
    <w:rsid w:val="005076D5"/>
    <w:rsid w:val="005076F7"/>
    <w:rsid w:val="00507701"/>
    <w:rsid w:val="0050771E"/>
    <w:rsid w:val="00507750"/>
    <w:rsid w:val="00507769"/>
    <w:rsid w:val="00507772"/>
    <w:rsid w:val="005077E3"/>
    <w:rsid w:val="00507807"/>
    <w:rsid w:val="0050784A"/>
    <w:rsid w:val="00507854"/>
    <w:rsid w:val="0050788D"/>
    <w:rsid w:val="005078AB"/>
    <w:rsid w:val="005078D7"/>
    <w:rsid w:val="005078D9"/>
    <w:rsid w:val="005078E4"/>
    <w:rsid w:val="0050793E"/>
    <w:rsid w:val="00507940"/>
    <w:rsid w:val="0050796B"/>
    <w:rsid w:val="005079CE"/>
    <w:rsid w:val="005079ED"/>
    <w:rsid w:val="00507A15"/>
    <w:rsid w:val="00507A65"/>
    <w:rsid w:val="00507A9D"/>
    <w:rsid w:val="00507AB7"/>
    <w:rsid w:val="00507AF6"/>
    <w:rsid w:val="00507B29"/>
    <w:rsid w:val="00507B73"/>
    <w:rsid w:val="00507B97"/>
    <w:rsid w:val="00507BA8"/>
    <w:rsid w:val="00507BB1"/>
    <w:rsid w:val="00507BF4"/>
    <w:rsid w:val="00507BF5"/>
    <w:rsid w:val="00507BFD"/>
    <w:rsid w:val="00507C10"/>
    <w:rsid w:val="00507C2F"/>
    <w:rsid w:val="00507C66"/>
    <w:rsid w:val="00507C74"/>
    <w:rsid w:val="00507CA2"/>
    <w:rsid w:val="00507CCE"/>
    <w:rsid w:val="00507CDA"/>
    <w:rsid w:val="00507CE7"/>
    <w:rsid w:val="00507D12"/>
    <w:rsid w:val="00507D1F"/>
    <w:rsid w:val="00507D74"/>
    <w:rsid w:val="00507D95"/>
    <w:rsid w:val="00507DF2"/>
    <w:rsid w:val="00507E03"/>
    <w:rsid w:val="00507E3F"/>
    <w:rsid w:val="00507E5A"/>
    <w:rsid w:val="00507EB4"/>
    <w:rsid w:val="00507EB8"/>
    <w:rsid w:val="00507EC3"/>
    <w:rsid w:val="00507F17"/>
    <w:rsid w:val="00507F1F"/>
    <w:rsid w:val="00507F6D"/>
    <w:rsid w:val="00507FBE"/>
    <w:rsid w:val="00507FD6"/>
    <w:rsid w:val="00507FE7"/>
    <w:rsid w:val="00510007"/>
    <w:rsid w:val="0051006F"/>
    <w:rsid w:val="00510085"/>
    <w:rsid w:val="0051008C"/>
    <w:rsid w:val="00510143"/>
    <w:rsid w:val="00510160"/>
    <w:rsid w:val="005101A7"/>
    <w:rsid w:val="00510223"/>
    <w:rsid w:val="00510258"/>
    <w:rsid w:val="0051028E"/>
    <w:rsid w:val="005102C9"/>
    <w:rsid w:val="0051033A"/>
    <w:rsid w:val="00510367"/>
    <w:rsid w:val="00510400"/>
    <w:rsid w:val="0051047D"/>
    <w:rsid w:val="0051049E"/>
    <w:rsid w:val="005104AC"/>
    <w:rsid w:val="005104C1"/>
    <w:rsid w:val="00510502"/>
    <w:rsid w:val="0051056D"/>
    <w:rsid w:val="005105EA"/>
    <w:rsid w:val="00510604"/>
    <w:rsid w:val="00510605"/>
    <w:rsid w:val="0051064C"/>
    <w:rsid w:val="00510692"/>
    <w:rsid w:val="0051076B"/>
    <w:rsid w:val="00510798"/>
    <w:rsid w:val="005107C3"/>
    <w:rsid w:val="005107D8"/>
    <w:rsid w:val="00510804"/>
    <w:rsid w:val="00510854"/>
    <w:rsid w:val="005108AB"/>
    <w:rsid w:val="0051094F"/>
    <w:rsid w:val="00510976"/>
    <w:rsid w:val="005109D2"/>
    <w:rsid w:val="005109F6"/>
    <w:rsid w:val="00510A4D"/>
    <w:rsid w:val="00510A73"/>
    <w:rsid w:val="00510A7A"/>
    <w:rsid w:val="00510ABB"/>
    <w:rsid w:val="00510AD0"/>
    <w:rsid w:val="00510ADC"/>
    <w:rsid w:val="00510B03"/>
    <w:rsid w:val="00510B28"/>
    <w:rsid w:val="00510B44"/>
    <w:rsid w:val="00510BD2"/>
    <w:rsid w:val="00510BD3"/>
    <w:rsid w:val="00510C07"/>
    <w:rsid w:val="00510C2D"/>
    <w:rsid w:val="00510C31"/>
    <w:rsid w:val="00510C75"/>
    <w:rsid w:val="00510C86"/>
    <w:rsid w:val="00510C88"/>
    <w:rsid w:val="00510CB3"/>
    <w:rsid w:val="00510CD7"/>
    <w:rsid w:val="00510CDC"/>
    <w:rsid w:val="00510D96"/>
    <w:rsid w:val="00510DE0"/>
    <w:rsid w:val="00510DE1"/>
    <w:rsid w:val="00510DF4"/>
    <w:rsid w:val="00510E48"/>
    <w:rsid w:val="00510E63"/>
    <w:rsid w:val="00510E94"/>
    <w:rsid w:val="00510F92"/>
    <w:rsid w:val="00510FC2"/>
    <w:rsid w:val="00510FCE"/>
    <w:rsid w:val="00510FD4"/>
    <w:rsid w:val="00511086"/>
    <w:rsid w:val="00511088"/>
    <w:rsid w:val="0051113F"/>
    <w:rsid w:val="00511176"/>
    <w:rsid w:val="00511186"/>
    <w:rsid w:val="005111EA"/>
    <w:rsid w:val="00511274"/>
    <w:rsid w:val="005112A0"/>
    <w:rsid w:val="005112BE"/>
    <w:rsid w:val="005112E2"/>
    <w:rsid w:val="00511326"/>
    <w:rsid w:val="00511339"/>
    <w:rsid w:val="005113EA"/>
    <w:rsid w:val="0051143B"/>
    <w:rsid w:val="0051143F"/>
    <w:rsid w:val="005114EA"/>
    <w:rsid w:val="00511509"/>
    <w:rsid w:val="00511539"/>
    <w:rsid w:val="005115DB"/>
    <w:rsid w:val="00511611"/>
    <w:rsid w:val="0051161C"/>
    <w:rsid w:val="00511624"/>
    <w:rsid w:val="00511634"/>
    <w:rsid w:val="005116A9"/>
    <w:rsid w:val="00511718"/>
    <w:rsid w:val="0051178F"/>
    <w:rsid w:val="00511862"/>
    <w:rsid w:val="005118BE"/>
    <w:rsid w:val="005118CD"/>
    <w:rsid w:val="0051190A"/>
    <w:rsid w:val="0051191B"/>
    <w:rsid w:val="005119C6"/>
    <w:rsid w:val="00511A9E"/>
    <w:rsid w:val="00511A9F"/>
    <w:rsid w:val="00511AAF"/>
    <w:rsid w:val="00511AC2"/>
    <w:rsid w:val="00511ADE"/>
    <w:rsid w:val="00511AE0"/>
    <w:rsid w:val="00511B25"/>
    <w:rsid w:val="00511B48"/>
    <w:rsid w:val="00511B51"/>
    <w:rsid w:val="00511BAE"/>
    <w:rsid w:val="00511BEE"/>
    <w:rsid w:val="00511C0B"/>
    <w:rsid w:val="00511C8C"/>
    <w:rsid w:val="00511D42"/>
    <w:rsid w:val="00511D57"/>
    <w:rsid w:val="00511D5C"/>
    <w:rsid w:val="00511D5F"/>
    <w:rsid w:val="00511D7C"/>
    <w:rsid w:val="00511D89"/>
    <w:rsid w:val="00511D90"/>
    <w:rsid w:val="00511DA4"/>
    <w:rsid w:val="00511DCA"/>
    <w:rsid w:val="00511DD5"/>
    <w:rsid w:val="00511E00"/>
    <w:rsid w:val="00511E05"/>
    <w:rsid w:val="00511F89"/>
    <w:rsid w:val="0051202F"/>
    <w:rsid w:val="00512030"/>
    <w:rsid w:val="00512079"/>
    <w:rsid w:val="00512088"/>
    <w:rsid w:val="00512092"/>
    <w:rsid w:val="005120AE"/>
    <w:rsid w:val="005120E2"/>
    <w:rsid w:val="005120FB"/>
    <w:rsid w:val="00512105"/>
    <w:rsid w:val="0051218F"/>
    <w:rsid w:val="005122B8"/>
    <w:rsid w:val="005122D1"/>
    <w:rsid w:val="005122D4"/>
    <w:rsid w:val="00512394"/>
    <w:rsid w:val="005123AF"/>
    <w:rsid w:val="005123B1"/>
    <w:rsid w:val="005123D3"/>
    <w:rsid w:val="0051247F"/>
    <w:rsid w:val="005124D4"/>
    <w:rsid w:val="005125EF"/>
    <w:rsid w:val="005125FF"/>
    <w:rsid w:val="0051268E"/>
    <w:rsid w:val="005126B2"/>
    <w:rsid w:val="00512707"/>
    <w:rsid w:val="0051271C"/>
    <w:rsid w:val="00512730"/>
    <w:rsid w:val="005127A6"/>
    <w:rsid w:val="005127AE"/>
    <w:rsid w:val="005127BC"/>
    <w:rsid w:val="005127E3"/>
    <w:rsid w:val="005127EB"/>
    <w:rsid w:val="00512806"/>
    <w:rsid w:val="005128AB"/>
    <w:rsid w:val="00512900"/>
    <w:rsid w:val="0051295D"/>
    <w:rsid w:val="00512A12"/>
    <w:rsid w:val="00512A83"/>
    <w:rsid w:val="00512AA4"/>
    <w:rsid w:val="00512AC1"/>
    <w:rsid w:val="00512AE5"/>
    <w:rsid w:val="00512AF9"/>
    <w:rsid w:val="00512B7E"/>
    <w:rsid w:val="00512BE9"/>
    <w:rsid w:val="00512C1C"/>
    <w:rsid w:val="00512D4A"/>
    <w:rsid w:val="00512E0A"/>
    <w:rsid w:val="00512E78"/>
    <w:rsid w:val="00512E7A"/>
    <w:rsid w:val="00512F28"/>
    <w:rsid w:val="00512F62"/>
    <w:rsid w:val="00512F78"/>
    <w:rsid w:val="00513014"/>
    <w:rsid w:val="005130C2"/>
    <w:rsid w:val="00513100"/>
    <w:rsid w:val="00513150"/>
    <w:rsid w:val="00513179"/>
    <w:rsid w:val="005131B9"/>
    <w:rsid w:val="00513211"/>
    <w:rsid w:val="0051328C"/>
    <w:rsid w:val="0051328E"/>
    <w:rsid w:val="005132BE"/>
    <w:rsid w:val="005132C1"/>
    <w:rsid w:val="005132EB"/>
    <w:rsid w:val="0051331D"/>
    <w:rsid w:val="00513335"/>
    <w:rsid w:val="00513411"/>
    <w:rsid w:val="00513430"/>
    <w:rsid w:val="00513440"/>
    <w:rsid w:val="00513509"/>
    <w:rsid w:val="005135AA"/>
    <w:rsid w:val="005135DB"/>
    <w:rsid w:val="005135F2"/>
    <w:rsid w:val="005135FF"/>
    <w:rsid w:val="00513609"/>
    <w:rsid w:val="0051360A"/>
    <w:rsid w:val="00513636"/>
    <w:rsid w:val="0051366B"/>
    <w:rsid w:val="005136CD"/>
    <w:rsid w:val="005136D6"/>
    <w:rsid w:val="00513718"/>
    <w:rsid w:val="0051372C"/>
    <w:rsid w:val="005137AD"/>
    <w:rsid w:val="005137AF"/>
    <w:rsid w:val="005137E3"/>
    <w:rsid w:val="00513888"/>
    <w:rsid w:val="00513946"/>
    <w:rsid w:val="005139F3"/>
    <w:rsid w:val="005139FE"/>
    <w:rsid w:val="00513A3E"/>
    <w:rsid w:val="00513A63"/>
    <w:rsid w:val="00513A66"/>
    <w:rsid w:val="00513A77"/>
    <w:rsid w:val="00513A95"/>
    <w:rsid w:val="00513AD1"/>
    <w:rsid w:val="00513ADF"/>
    <w:rsid w:val="00513AE3"/>
    <w:rsid w:val="00513B64"/>
    <w:rsid w:val="00513B86"/>
    <w:rsid w:val="00513B88"/>
    <w:rsid w:val="00513B99"/>
    <w:rsid w:val="00513BB5"/>
    <w:rsid w:val="00513BDC"/>
    <w:rsid w:val="00513CC8"/>
    <w:rsid w:val="00513D38"/>
    <w:rsid w:val="00513E65"/>
    <w:rsid w:val="00513E90"/>
    <w:rsid w:val="00513E97"/>
    <w:rsid w:val="00513EC8"/>
    <w:rsid w:val="00513EE5"/>
    <w:rsid w:val="00513EF3"/>
    <w:rsid w:val="00513FE4"/>
    <w:rsid w:val="00514008"/>
    <w:rsid w:val="00514029"/>
    <w:rsid w:val="0051402D"/>
    <w:rsid w:val="00514070"/>
    <w:rsid w:val="005140A4"/>
    <w:rsid w:val="005140AD"/>
    <w:rsid w:val="00514127"/>
    <w:rsid w:val="00514142"/>
    <w:rsid w:val="0051419C"/>
    <w:rsid w:val="005141C4"/>
    <w:rsid w:val="005141DF"/>
    <w:rsid w:val="005141E5"/>
    <w:rsid w:val="005141F8"/>
    <w:rsid w:val="005141FD"/>
    <w:rsid w:val="005142A9"/>
    <w:rsid w:val="005142C1"/>
    <w:rsid w:val="005142E3"/>
    <w:rsid w:val="00514310"/>
    <w:rsid w:val="00514344"/>
    <w:rsid w:val="005143C0"/>
    <w:rsid w:val="005143C6"/>
    <w:rsid w:val="00514400"/>
    <w:rsid w:val="00514445"/>
    <w:rsid w:val="005144D5"/>
    <w:rsid w:val="005144DD"/>
    <w:rsid w:val="005144F8"/>
    <w:rsid w:val="00514567"/>
    <w:rsid w:val="005145AD"/>
    <w:rsid w:val="005145F8"/>
    <w:rsid w:val="00514649"/>
    <w:rsid w:val="0051464A"/>
    <w:rsid w:val="005146A0"/>
    <w:rsid w:val="005146CF"/>
    <w:rsid w:val="00514772"/>
    <w:rsid w:val="0051479A"/>
    <w:rsid w:val="005147C7"/>
    <w:rsid w:val="005147FB"/>
    <w:rsid w:val="00514822"/>
    <w:rsid w:val="00514874"/>
    <w:rsid w:val="00514877"/>
    <w:rsid w:val="005148A5"/>
    <w:rsid w:val="005148C2"/>
    <w:rsid w:val="005148DD"/>
    <w:rsid w:val="00514917"/>
    <w:rsid w:val="0051492F"/>
    <w:rsid w:val="0051495D"/>
    <w:rsid w:val="00514A04"/>
    <w:rsid w:val="00514A15"/>
    <w:rsid w:val="00514A4F"/>
    <w:rsid w:val="00514AA9"/>
    <w:rsid w:val="00514AE7"/>
    <w:rsid w:val="00514B03"/>
    <w:rsid w:val="00514B0A"/>
    <w:rsid w:val="00514B39"/>
    <w:rsid w:val="00514B85"/>
    <w:rsid w:val="00514BF1"/>
    <w:rsid w:val="00514C04"/>
    <w:rsid w:val="00514C1C"/>
    <w:rsid w:val="00514C34"/>
    <w:rsid w:val="00514C3C"/>
    <w:rsid w:val="00514C5F"/>
    <w:rsid w:val="00514C85"/>
    <w:rsid w:val="00514D01"/>
    <w:rsid w:val="00514D1D"/>
    <w:rsid w:val="00514DA5"/>
    <w:rsid w:val="00514DDB"/>
    <w:rsid w:val="00514E55"/>
    <w:rsid w:val="00514E73"/>
    <w:rsid w:val="00514E93"/>
    <w:rsid w:val="00514F3A"/>
    <w:rsid w:val="00514F78"/>
    <w:rsid w:val="00514FC6"/>
    <w:rsid w:val="00514FD9"/>
    <w:rsid w:val="00514FE6"/>
    <w:rsid w:val="0051508A"/>
    <w:rsid w:val="00515109"/>
    <w:rsid w:val="00515110"/>
    <w:rsid w:val="0051513C"/>
    <w:rsid w:val="0051515A"/>
    <w:rsid w:val="00515189"/>
    <w:rsid w:val="005151C4"/>
    <w:rsid w:val="00515234"/>
    <w:rsid w:val="00515246"/>
    <w:rsid w:val="0051528F"/>
    <w:rsid w:val="005152C0"/>
    <w:rsid w:val="005152C5"/>
    <w:rsid w:val="005152D3"/>
    <w:rsid w:val="005152EC"/>
    <w:rsid w:val="00515325"/>
    <w:rsid w:val="0051535F"/>
    <w:rsid w:val="00515395"/>
    <w:rsid w:val="005153B0"/>
    <w:rsid w:val="005153D0"/>
    <w:rsid w:val="005153E3"/>
    <w:rsid w:val="0051542A"/>
    <w:rsid w:val="00515468"/>
    <w:rsid w:val="005154AE"/>
    <w:rsid w:val="005154EE"/>
    <w:rsid w:val="005154F4"/>
    <w:rsid w:val="0051553E"/>
    <w:rsid w:val="00515563"/>
    <w:rsid w:val="00515577"/>
    <w:rsid w:val="005155BB"/>
    <w:rsid w:val="005155CB"/>
    <w:rsid w:val="005155E7"/>
    <w:rsid w:val="0051561F"/>
    <w:rsid w:val="00515678"/>
    <w:rsid w:val="0051569D"/>
    <w:rsid w:val="0051571D"/>
    <w:rsid w:val="00515753"/>
    <w:rsid w:val="00515760"/>
    <w:rsid w:val="00515777"/>
    <w:rsid w:val="00515784"/>
    <w:rsid w:val="0051584A"/>
    <w:rsid w:val="00515889"/>
    <w:rsid w:val="00515897"/>
    <w:rsid w:val="005158AB"/>
    <w:rsid w:val="005158AD"/>
    <w:rsid w:val="005158D6"/>
    <w:rsid w:val="00515903"/>
    <w:rsid w:val="0051590D"/>
    <w:rsid w:val="005159A9"/>
    <w:rsid w:val="005159E3"/>
    <w:rsid w:val="00515A40"/>
    <w:rsid w:val="00515AA0"/>
    <w:rsid w:val="00515AA4"/>
    <w:rsid w:val="00515AAD"/>
    <w:rsid w:val="00515AE4"/>
    <w:rsid w:val="00515B26"/>
    <w:rsid w:val="00515B2A"/>
    <w:rsid w:val="00515B32"/>
    <w:rsid w:val="00515B61"/>
    <w:rsid w:val="00515B68"/>
    <w:rsid w:val="00515BBE"/>
    <w:rsid w:val="00515BF8"/>
    <w:rsid w:val="00515C0E"/>
    <w:rsid w:val="00515C60"/>
    <w:rsid w:val="00515CA3"/>
    <w:rsid w:val="00515D61"/>
    <w:rsid w:val="00515D6B"/>
    <w:rsid w:val="00515E13"/>
    <w:rsid w:val="00515E2E"/>
    <w:rsid w:val="00515E35"/>
    <w:rsid w:val="00515E3C"/>
    <w:rsid w:val="00515E7C"/>
    <w:rsid w:val="00515EAF"/>
    <w:rsid w:val="00515EC1"/>
    <w:rsid w:val="00515EEE"/>
    <w:rsid w:val="00515EEF"/>
    <w:rsid w:val="00515F56"/>
    <w:rsid w:val="00515F5D"/>
    <w:rsid w:val="00515FD8"/>
    <w:rsid w:val="00515FD9"/>
    <w:rsid w:val="00516003"/>
    <w:rsid w:val="00516047"/>
    <w:rsid w:val="00516071"/>
    <w:rsid w:val="00516092"/>
    <w:rsid w:val="0051611D"/>
    <w:rsid w:val="00516176"/>
    <w:rsid w:val="005161E9"/>
    <w:rsid w:val="00516207"/>
    <w:rsid w:val="00516276"/>
    <w:rsid w:val="005162D0"/>
    <w:rsid w:val="00516302"/>
    <w:rsid w:val="0051630D"/>
    <w:rsid w:val="00516335"/>
    <w:rsid w:val="0051633D"/>
    <w:rsid w:val="00516363"/>
    <w:rsid w:val="0051637B"/>
    <w:rsid w:val="005163BE"/>
    <w:rsid w:val="005163C8"/>
    <w:rsid w:val="00516439"/>
    <w:rsid w:val="00516440"/>
    <w:rsid w:val="0051645D"/>
    <w:rsid w:val="00516493"/>
    <w:rsid w:val="005164A4"/>
    <w:rsid w:val="005164CB"/>
    <w:rsid w:val="005164FB"/>
    <w:rsid w:val="00516580"/>
    <w:rsid w:val="005165B4"/>
    <w:rsid w:val="00516618"/>
    <w:rsid w:val="0051662B"/>
    <w:rsid w:val="00516695"/>
    <w:rsid w:val="0051669A"/>
    <w:rsid w:val="0051669B"/>
    <w:rsid w:val="005166AC"/>
    <w:rsid w:val="0051670E"/>
    <w:rsid w:val="00516776"/>
    <w:rsid w:val="00516785"/>
    <w:rsid w:val="005167A5"/>
    <w:rsid w:val="00516923"/>
    <w:rsid w:val="0051693B"/>
    <w:rsid w:val="0051695A"/>
    <w:rsid w:val="0051699E"/>
    <w:rsid w:val="005169B0"/>
    <w:rsid w:val="005169DF"/>
    <w:rsid w:val="005169EE"/>
    <w:rsid w:val="00516A20"/>
    <w:rsid w:val="00516A2F"/>
    <w:rsid w:val="00516A67"/>
    <w:rsid w:val="00516A7F"/>
    <w:rsid w:val="00516AA2"/>
    <w:rsid w:val="00516B2E"/>
    <w:rsid w:val="00516B76"/>
    <w:rsid w:val="00516B84"/>
    <w:rsid w:val="00516BCE"/>
    <w:rsid w:val="00516CD5"/>
    <w:rsid w:val="00516D56"/>
    <w:rsid w:val="00516D61"/>
    <w:rsid w:val="00516D62"/>
    <w:rsid w:val="00516D77"/>
    <w:rsid w:val="00516D78"/>
    <w:rsid w:val="00516DA2"/>
    <w:rsid w:val="00516DC0"/>
    <w:rsid w:val="00516E36"/>
    <w:rsid w:val="00516E3C"/>
    <w:rsid w:val="00516EB0"/>
    <w:rsid w:val="00516ECB"/>
    <w:rsid w:val="00516F4B"/>
    <w:rsid w:val="00516FD9"/>
    <w:rsid w:val="00516FDA"/>
    <w:rsid w:val="00516FEA"/>
    <w:rsid w:val="00516FEC"/>
    <w:rsid w:val="00516FF1"/>
    <w:rsid w:val="0051701F"/>
    <w:rsid w:val="00517029"/>
    <w:rsid w:val="005170E7"/>
    <w:rsid w:val="005170F6"/>
    <w:rsid w:val="00517105"/>
    <w:rsid w:val="00517108"/>
    <w:rsid w:val="0051710A"/>
    <w:rsid w:val="0051712F"/>
    <w:rsid w:val="005171CD"/>
    <w:rsid w:val="00517202"/>
    <w:rsid w:val="00517241"/>
    <w:rsid w:val="0051726C"/>
    <w:rsid w:val="00517289"/>
    <w:rsid w:val="005172B2"/>
    <w:rsid w:val="005172DF"/>
    <w:rsid w:val="005172FD"/>
    <w:rsid w:val="005172FE"/>
    <w:rsid w:val="005172FF"/>
    <w:rsid w:val="00517328"/>
    <w:rsid w:val="00517354"/>
    <w:rsid w:val="00517360"/>
    <w:rsid w:val="00517416"/>
    <w:rsid w:val="00517470"/>
    <w:rsid w:val="00517500"/>
    <w:rsid w:val="00517518"/>
    <w:rsid w:val="00517550"/>
    <w:rsid w:val="00517572"/>
    <w:rsid w:val="005175CC"/>
    <w:rsid w:val="005175F1"/>
    <w:rsid w:val="00517614"/>
    <w:rsid w:val="00517633"/>
    <w:rsid w:val="00517655"/>
    <w:rsid w:val="00517689"/>
    <w:rsid w:val="00517694"/>
    <w:rsid w:val="005176D4"/>
    <w:rsid w:val="00517718"/>
    <w:rsid w:val="00517739"/>
    <w:rsid w:val="00517784"/>
    <w:rsid w:val="00517810"/>
    <w:rsid w:val="00517822"/>
    <w:rsid w:val="005178C0"/>
    <w:rsid w:val="005178CB"/>
    <w:rsid w:val="005178D7"/>
    <w:rsid w:val="0051798A"/>
    <w:rsid w:val="005179EC"/>
    <w:rsid w:val="005179FC"/>
    <w:rsid w:val="00517A09"/>
    <w:rsid w:val="00517A5F"/>
    <w:rsid w:val="00517B53"/>
    <w:rsid w:val="00517B57"/>
    <w:rsid w:val="00517B9B"/>
    <w:rsid w:val="00517BED"/>
    <w:rsid w:val="00517C5B"/>
    <w:rsid w:val="00517D0D"/>
    <w:rsid w:val="00517D8F"/>
    <w:rsid w:val="00517DDD"/>
    <w:rsid w:val="00517DE3"/>
    <w:rsid w:val="00517DE6"/>
    <w:rsid w:val="00517E71"/>
    <w:rsid w:val="00517EE0"/>
    <w:rsid w:val="00517F15"/>
    <w:rsid w:val="00517F42"/>
    <w:rsid w:val="00517F57"/>
    <w:rsid w:val="00517F5C"/>
    <w:rsid w:val="00517F82"/>
    <w:rsid w:val="005200D6"/>
    <w:rsid w:val="0052011F"/>
    <w:rsid w:val="00520161"/>
    <w:rsid w:val="0052018E"/>
    <w:rsid w:val="005201A3"/>
    <w:rsid w:val="005201B5"/>
    <w:rsid w:val="005201EE"/>
    <w:rsid w:val="0052024D"/>
    <w:rsid w:val="0052028F"/>
    <w:rsid w:val="005202BA"/>
    <w:rsid w:val="005202D2"/>
    <w:rsid w:val="005202E8"/>
    <w:rsid w:val="00520303"/>
    <w:rsid w:val="00520324"/>
    <w:rsid w:val="0052034D"/>
    <w:rsid w:val="00520382"/>
    <w:rsid w:val="0052038A"/>
    <w:rsid w:val="00520392"/>
    <w:rsid w:val="005203BE"/>
    <w:rsid w:val="005203D4"/>
    <w:rsid w:val="005203D8"/>
    <w:rsid w:val="005203F0"/>
    <w:rsid w:val="00520426"/>
    <w:rsid w:val="0052043F"/>
    <w:rsid w:val="0052044E"/>
    <w:rsid w:val="00520480"/>
    <w:rsid w:val="00520499"/>
    <w:rsid w:val="005204FA"/>
    <w:rsid w:val="0052052E"/>
    <w:rsid w:val="0052053D"/>
    <w:rsid w:val="0052054A"/>
    <w:rsid w:val="0052055C"/>
    <w:rsid w:val="0052055E"/>
    <w:rsid w:val="00520583"/>
    <w:rsid w:val="0052058F"/>
    <w:rsid w:val="005205F3"/>
    <w:rsid w:val="005205F4"/>
    <w:rsid w:val="00520618"/>
    <w:rsid w:val="0052061D"/>
    <w:rsid w:val="00520629"/>
    <w:rsid w:val="0052063B"/>
    <w:rsid w:val="00520686"/>
    <w:rsid w:val="00520696"/>
    <w:rsid w:val="00520749"/>
    <w:rsid w:val="0052075B"/>
    <w:rsid w:val="0052075E"/>
    <w:rsid w:val="00520781"/>
    <w:rsid w:val="0052078C"/>
    <w:rsid w:val="00520802"/>
    <w:rsid w:val="00520818"/>
    <w:rsid w:val="0052082E"/>
    <w:rsid w:val="00520838"/>
    <w:rsid w:val="0052087B"/>
    <w:rsid w:val="0052089E"/>
    <w:rsid w:val="005208C6"/>
    <w:rsid w:val="005208FA"/>
    <w:rsid w:val="00520953"/>
    <w:rsid w:val="005209DF"/>
    <w:rsid w:val="00520AC0"/>
    <w:rsid w:val="00520ACB"/>
    <w:rsid w:val="00520B09"/>
    <w:rsid w:val="00520B4F"/>
    <w:rsid w:val="00520BCD"/>
    <w:rsid w:val="00520BE5"/>
    <w:rsid w:val="00520C4F"/>
    <w:rsid w:val="00520C57"/>
    <w:rsid w:val="00520C5C"/>
    <w:rsid w:val="00520C76"/>
    <w:rsid w:val="00520CA4"/>
    <w:rsid w:val="00520CBA"/>
    <w:rsid w:val="00520D12"/>
    <w:rsid w:val="00520D41"/>
    <w:rsid w:val="00520D62"/>
    <w:rsid w:val="00520D81"/>
    <w:rsid w:val="00520DCE"/>
    <w:rsid w:val="00520E76"/>
    <w:rsid w:val="00520F04"/>
    <w:rsid w:val="00520F15"/>
    <w:rsid w:val="00520F69"/>
    <w:rsid w:val="00520F89"/>
    <w:rsid w:val="00521066"/>
    <w:rsid w:val="005210A1"/>
    <w:rsid w:val="005210BC"/>
    <w:rsid w:val="005210BD"/>
    <w:rsid w:val="005210E9"/>
    <w:rsid w:val="0052111A"/>
    <w:rsid w:val="00521188"/>
    <w:rsid w:val="0052118A"/>
    <w:rsid w:val="0052119F"/>
    <w:rsid w:val="005211B6"/>
    <w:rsid w:val="005211C9"/>
    <w:rsid w:val="005211F8"/>
    <w:rsid w:val="0052121C"/>
    <w:rsid w:val="005212C6"/>
    <w:rsid w:val="00521309"/>
    <w:rsid w:val="00521329"/>
    <w:rsid w:val="0052144B"/>
    <w:rsid w:val="00521453"/>
    <w:rsid w:val="005214C2"/>
    <w:rsid w:val="005214F1"/>
    <w:rsid w:val="0052154F"/>
    <w:rsid w:val="0052161C"/>
    <w:rsid w:val="00521691"/>
    <w:rsid w:val="00521740"/>
    <w:rsid w:val="0052176F"/>
    <w:rsid w:val="00521830"/>
    <w:rsid w:val="0052183E"/>
    <w:rsid w:val="00521912"/>
    <w:rsid w:val="00521921"/>
    <w:rsid w:val="0052194B"/>
    <w:rsid w:val="00521971"/>
    <w:rsid w:val="005219A0"/>
    <w:rsid w:val="00521A24"/>
    <w:rsid w:val="00521A79"/>
    <w:rsid w:val="00521ACB"/>
    <w:rsid w:val="00521AE6"/>
    <w:rsid w:val="00521B37"/>
    <w:rsid w:val="00521B72"/>
    <w:rsid w:val="00521B8D"/>
    <w:rsid w:val="00521B97"/>
    <w:rsid w:val="00521BCB"/>
    <w:rsid w:val="00521BD0"/>
    <w:rsid w:val="00521C49"/>
    <w:rsid w:val="00521CF4"/>
    <w:rsid w:val="00521CFF"/>
    <w:rsid w:val="00521D1A"/>
    <w:rsid w:val="00521D26"/>
    <w:rsid w:val="00521D29"/>
    <w:rsid w:val="00521D49"/>
    <w:rsid w:val="00521DA7"/>
    <w:rsid w:val="00521DCF"/>
    <w:rsid w:val="00521E1F"/>
    <w:rsid w:val="00521E6D"/>
    <w:rsid w:val="00521EE9"/>
    <w:rsid w:val="00521F29"/>
    <w:rsid w:val="00521F57"/>
    <w:rsid w:val="00521F78"/>
    <w:rsid w:val="00521F8E"/>
    <w:rsid w:val="00521FA6"/>
    <w:rsid w:val="00521FBC"/>
    <w:rsid w:val="00521FC6"/>
    <w:rsid w:val="00521FFD"/>
    <w:rsid w:val="00522056"/>
    <w:rsid w:val="0052206B"/>
    <w:rsid w:val="0052209F"/>
    <w:rsid w:val="005220ED"/>
    <w:rsid w:val="00522160"/>
    <w:rsid w:val="0052216A"/>
    <w:rsid w:val="0052218B"/>
    <w:rsid w:val="005221A5"/>
    <w:rsid w:val="005221BD"/>
    <w:rsid w:val="005221D8"/>
    <w:rsid w:val="0052228C"/>
    <w:rsid w:val="0052230D"/>
    <w:rsid w:val="0052230E"/>
    <w:rsid w:val="00522325"/>
    <w:rsid w:val="00522359"/>
    <w:rsid w:val="005223C2"/>
    <w:rsid w:val="005223DD"/>
    <w:rsid w:val="00522466"/>
    <w:rsid w:val="0052246D"/>
    <w:rsid w:val="00522495"/>
    <w:rsid w:val="0052259C"/>
    <w:rsid w:val="005225C3"/>
    <w:rsid w:val="005225FC"/>
    <w:rsid w:val="00522610"/>
    <w:rsid w:val="0052262C"/>
    <w:rsid w:val="0052265D"/>
    <w:rsid w:val="005226FB"/>
    <w:rsid w:val="0052271A"/>
    <w:rsid w:val="005227C2"/>
    <w:rsid w:val="005227FC"/>
    <w:rsid w:val="00522802"/>
    <w:rsid w:val="0052281A"/>
    <w:rsid w:val="005228F7"/>
    <w:rsid w:val="0052295B"/>
    <w:rsid w:val="005229A8"/>
    <w:rsid w:val="005229C2"/>
    <w:rsid w:val="005229FF"/>
    <w:rsid w:val="00522A63"/>
    <w:rsid w:val="00522AB5"/>
    <w:rsid w:val="00522AC1"/>
    <w:rsid w:val="00522AC7"/>
    <w:rsid w:val="00522AF7"/>
    <w:rsid w:val="00522B03"/>
    <w:rsid w:val="00522B5D"/>
    <w:rsid w:val="00522C2E"/>
    <w:rsid w:val="00522C34"/>
    <w:rsid w:val="00522D91"/>
    <w:rsid w:val="00522DD6"/>
    <w:rsid w:val="00522E6F"/>
    <w:rsid w:val="00522E75"/>
    <w:rsid w:val="00522EEA"/>
    <w:rsid w:val="00522F1C"/>
    <w:rsid w:val="00522F36"/>
    <w:rsid w:val="00522F71"/>
    <w:rsid w:val="00522F76"/>
    <w:rsid w:val="00522FB6"/>
    <w:rsid w:val="00522FC6"/>
    <w:rsid w:val="00523013"/>
    <w:rsid w:val="0052302C"/>
    <w:rsid w:val="0052304A"/>
    <w:rsid w:val="00523067"/>
    <w:rsid w:val="0052306E"/>
    <w:rsid w:val="00523147"/>
    <w:rsid w:val="0052314D"/>
    <w:rsid w:val="005231AD"/>
    <w:rsid w:val="0052324D"/>
    <w:rsid w:val="00523296"/>
    <w:rsid w:val="005232C8"/>
    <w:rsid w:val="00523344"/>
    <w:rsid w:val="005233E4"/>
    <w:rsid w:val="00523443"/>
    <w:rsid w:val="0052347C"/>
    <w:rsid w:val="005234A0"/>
    <w:rsid w:val="005234DE"/>
    <w:rsid w:val="0052350E"/>
    <w:rsid w:val="00523532"/>
    <w:rsid w:val="00523552"/>
    <w:rsid w:val="005235AA"/>
    <w:rsid w:val="00523619"/>
    <w:rsid w:val="0052361B"/>
    <w:rsid w:val="0052364B"/>
    <w:rsid w:val="0052369C"/>
    <w:rsid w:val="005236D3"/>
    <w:rsid w:val="005236F1"/>
    <w:rsid w:val="005236FF"/>
    <w:rsid w:val="00523737"/>
    <w:rsid w:val="00523825"/>
    <w:rsid w:val="00523872"/>
    <w:rsid w:val="00523892"/>
    <w:rsid w:val="005238AE"/>
    <w:rsid w:val="0052390F"/>
    <w:rsid w:val="00523938"/>
    <w:rsid w:val="0052395F"/>
    <w:rsid w:val="0052396E"/>
    <w:rsid w:val="00523971"/>
    <w:rsid w:val="00523983"/>
    <w:rsid w:val="00523984"/>
    <w:rsid w:val="005239FA"/>
    <w:rsid w:val="005239FB"/>
    <w:rsid w:val="00523A25"/>
    <w:rsid w:val="00523A26"/>
    <w:rsid w:val="00523A6F"/>
    <w:rsid w:val="00523A9D"/>
    <w:rsid w:val="00523AA6"/>
    <w:rsid w:val="00523ADF"/>
    <w:rsid w:val="00523B36"/>
    <w:rsid w:val="00523B66"/>
    <w:rsid w:val="00523B90"/>
    <w:rsid w:val="00523BD9"/>
    <w:rsid w:val="00523C29"/>
    <w:rsid w:val="00523C37"/>
    <w:rsid w:val="00523C58"/>
    <w:rsid w:val="00523C59"/>
    <w:rsid w:val="00523D0F"/>
    <w:rsid w:val="00523D19"/>
    <w:rsid w:val="00523D36"/>
    <w:rsid w:val="00523D97"/>
    <w:rsid w:val="00523DD9"/>
    <w:rsid w:val="00523E13"/>
    <w:rsid w:val="00523E22"/>
    <w:rsid w:val="00523E35"/>
    <w:rsid w:val="00523E6B"/>
    <w:rsid w:val="00523E70"/>
    <w:rsid w:val="00523E81"/>
    <w:rsid w:val="00523EAD"/>
    <w:rsid w:val="00523EB0"/>
    <w:rsid w:val="00523EBD"/>
    <w:rsid w:val="00523FA0"/>
    <w:rsid w:val="00523FF0"/>
    <w:rsid w:val="0052400A"/>
    <w:rsid w:val="00524032"/>
    <w:rsid w:val="0052408B"/>
    <w:rsid w:val="005240E4"/>
    <w:rsid w:val="00524131"/>
    <w:rsid w:val="00524154"/>
    <w:rsid w:val="0052419D"/>
    <w:rsid w:val="0052419F"/>
    <w:rsid w:val="005241A8"/>
    <w:rsid w:val="005241DB"/>
    <w:rsid w:val="005241E3"/>
    <w:rsid w:val="005241EC"/>
    <w:rsid w:val="005241FD"/>
    <w:rsid w:val="00524202"/>
    <w:rsid w:val="0052421D"/>
    <w:rsid w:val="00524248"/>
    <w:rsid w:val="0052425C"/>
    <w:rsid w:val="005242E3"/>
    <w:rsid w:val="005242F7"/>
    <w:rsid w:val="00524311"/>
    <w:rsid w:val="00524356"/>
    <w:rsid w:val="0052435C"/>
    <w:rsid w:val="005243C0"/>
    <w:rsid w:val="005243FC"/>
    <w:rsid w:val="00524421"/>
    <w:rsid w:val="00524457"/>
    <w:rsid w:val="00524461"/>
    <w:rsid w:val="0052447B"/>
    <w:rsid w:val="00524499"/>
    <w:rsid w:val="005244E6"/>
    <w:rsid w:val="00524513"/>
    <w:rsid w:val="00524540"/>
    <w:rsid w:val="00524565"/>
    <w:rsid w:val="00524588"/>
    <w:rsid w:val="005245A9"/>
    <w:rsid w:val="0052462A"/>
    <w:rsid w:val="0052463D"/>
    <w:rsid w:val="005246AD"/>
    <w:rsid w:val="005246C6"/>
    <w:rsid w:val="005246F9"/>
    <w:rsid w:val="005247E6"/>
    <w:rsid w:val="0052482D"/>
    <w:rsid w:val="0052485D"/>
    <w:rsid w:val="005248C7"/>
    <w:rsid w:val="005248DF"/>
    <w:rsid w:val="005248F4"/>
    <w:rsid w:val="00524923"/>
    <w:rsid w:val="00524955"/>
    <w:rsid w:val="00524A83"/>
    <w:rsid w:val="00524AB0"/>
    <w:rsid w:val="00524B6B"/>
    <w:rsid w:val="00524B75"/>
    <w:rsid w:val="00524B87"/>
    <w:rsid w:val="00524B92"/>
    <w:rsid w:val="00524B9A"/>
    <w:rsid w:val="00524BB1"/>
    <w:rsid w:val="00524BC1"/>
    <w:rsid w:val="00524C2C"/>
    <w:rsid w:val="00524C89"/>
    <w:rsid w:val="00524C8F"/>
    <w:rsid w:val="00524CC8"/>
    <w:rsid w:val="00524D1F"/>
    <w:rsid w:val="00524D35"/>
    <w:rsid w:val="00524D82"/>
    <w:rsid w:val="00524E48"/>
    <w:rsid w:val="00524E97"/>
    <w:rsid w:val="00524E9F"/>
    <w:rsid w:val="00524EAF"/>
    <w:rsid w:val="00524EF4"/>
    <w:rsid w:val="00524EF7"/>
    <w:rsid w:val="00524F0C"/>
    <w:rsid w:val="00524F1D"/>
    <w:rsid w:val="00524F22"/>
    <w:rsid w:val="00524F5F"/>
    <w:rsid w:val="00524F7D"/>
    <w:rsid w:val="00524FC0"/>
    <w:rsid w:val="00524FD6"/>
    <w:rsid w:val="00524FE0"/>
    <w:rsid w:val="0052501F"/>
    <w:rsid w:val="00525034"/>
    <w:rsid w:val="0052503B"/>
    <w:rsid w:val="005250B8"/>
    <w:rsid w:val="005250E1"/>
    <w:rsid w:val="005250EA"/>
    <w:rsid w:val="0052511E"/>
    <w:rsid w:val="0052511F"/>
    <w:rsid w:val="0052521A"/>
    <w:rsid w:val="00525269"/>
    <w:rsid w:val="00525272"/>
    <w:rsid w:val="00525326"/>
    <w:rsid w:val="00525340"/>
    <w:rsid w:val="005253C7"/>
    <w:rsid w:val="00525418"/>
    <w:rsid w:val="0052541A"/>
    <w:rsid w:val="00525424"/>
    <w:rsid w:val="00525465"/>
    <w:rsid w:val="0052547D"/>
    <w:rsid w:val="005254BA"/>
    <w:rsid w:val="005254F9"/>
    <w:rsid w:val="0052551B"/>
    <w:rsid w:val="00525560"/>
    <w:rsid w:val="005255E6"/>
    <w:rsid w:val="00525619"/>
    <w:rsid w:val="00525643"/>
    <w:rsid w:val="0052565B"/>
    <w:rsid w:val="0052569B"/>
    <w:rsid w:val="005256BD"/>
    <w:rsid w:val="005256D2"/>
    <w:rsid w:val="005257BE"/>
    <w:rsid w:val="005257FB"/>
    <w:rsid w:val="00525849"/>
    <w:rsid w:val="00525893"/>
    <w:rsid w:val="005258C0"/>
    <w:rsid w:val="00525907"/>
    <w:rsid w:val="00525912"/>
    <w:rsid w:val="0052591F"/>
    <w:rsid w:val="0052593A"/>
    <w:rsid w:val="00525948"/>
    <w:rsid w:val="00525951"/>
    <w:rsid w:val="0052597F"/>
    <w:rsid w:val="00525A2C"/>
    <w:rsid w:val="00525AA6"/>
    <w:rsid w:val="00525B27"/>
    <w:rsid w:val="00525B9E"/>
    <w:rsid w:val="00525BD4"/>
    <w:rsid w:val="00525C28"/>
    <w:rsid w:val="00525C96"/>
    <w:rsid w:val="00525CDB"/>
    <w:rsid w:val="00525CF5"/>
    <w:rsid w:val="00525D3F"/>
    <w:rsid w:val="00525D58"/>
    <w:rsid w:val="00525D74"/>
    <w:rsid w:val="00525DD8"/>
    <w:rsid w:val="00525E09"/>
    <w:rsid w:val="00525E5A"/>
    <w:rsid w:val="00525E7F"/>
    <w:rsid w:val="00525E80"/>
    <w:rsid w:val="00525ED0"/>
    <w:rsid w:val="00525EEA"/>
    <w:rsid w:val="00525F85"/>
    <w:rsid w:val="00525FAA"/>
    <w:rsid w:val="00526013"/>
    <w:rsid w:val="00526015"/>
    <w:rsid w:val="00526042"/>
    <w:rsid w:val="00526062"/>
    <w:rsid w:val="005260EA"/>
    <w:rsid w:val="0052611C"/>
    <w:rsid w:val="00526147"/>
    <w:rsid w:val="00526166"/>
    <w:rsid w:val="00526190"/>
    <w:rsid w:val="0052619C"/>
    <w:rsid w:val="005261B5"/>
    <w:rsid w:val="00526216"/>
    <w:rsid w:val="0052621B"/>
    <w:rsid w:val="00526258"/>
    <w:rsid w:val="0052626D"/>
    <w:rsid w:val="005262BC"/>
    <w:rsid w:val="00526310"/>
    <w:rsid w:val="00526337"/>
    <w:rsid w:val="0052638E"/>
    <w:rsid w:val="005263B6"/>
    <w:rsid w:val="005263C2"/>
    <w:rsid w:val="00526418"/>
    <w:rsid w:val="00526425"/>
    <w:rsid w:val="00526431"/>
    <w:rsid w:val="0052644A"/>
    <w:rsid w:val="0052644D"/>
    <w:rsid w:val="00526467"/>
    <w:rsid w:val="0052651B"/>
    <w:rsid w:val="00526575"/>
    <w:rsid w:val="005265C1"/>
    <w:rsid w:val="00526627"/>
    <w:rsid w:val="00526628"/>
    <w:rsid w:val="00526644"/>
    <w:rsid w:val="00526674"/>
    <w:rsid w:val="0052667D"/>
    <w:rsid w:val="005266C1"/>
    <w:rsid w:val="005266CD"/>
    <w:rsid w:val="005266D5"/>
    <w:rsid w:val="005266F2"/>
    <w:rsid w:val="00526723"/>
    <w:rsid w:val="00526753"/>
    <w:rsid w:val="00526767"/>
    <w:rsid w:val="00526786"/>
    <w:rsid w:val="005267C7"/>
    <w:rsid w:val="00526814"/>
    <w:rsid w:val="0052688C"/>
    <w:rsid w:val="005268AB"/>
    <w:rsid w:val="005268AC"/>
    <w:rsid w:val="005268CB"/>
    <w:rsid w:val="005268EF"/>
    <w:rsid w:val="005268F4"/>
    <w:rsid w:val="0052690E"/>
    <w:rsid w:val="0052696E"/>
    <w:rsid w:val="0052697E"/>
    <w:rsid w:val="00526997"/>
    <w:rsid w:val="005269A3"/>
    <w:rsid w:val="005269BF"/>
    <w:rsid w:val="005269E5"/>
    <w:rsid w:val="005269FB"/>
    <w:rsid w:val="00526A37"/>
    <w:rsid w:val="00526A7E"/>
    <w:rsid w:val="00526A96"/>
    <w:rsid w:val="00526ADE"/>
    <w:rsid w:val="00526AF2"/>
    <w:rsid w:val="00526B38"/>
    <w:rsid w:val="00526B4C"/>
    <w:rsid w:val="00526B60"/>
    <w:rsid w:val="00526B7B"/>
    <w:rsid w:val="00526BA3"/>
    <w:rsid w:val="00526BC9"/>
    <w:rsid w:val="00526C0B"/>
    <w:rsid w:val="00526C3C"/>
    <w:rsid w:val="00526C4F"/>
    <w:rsid w:val="00526CCD"/>
    <w:rsid w:val="00526D24"/>
    <w:rsid w:val="00526D47"/>
    <w:rsid w:val="00526D87"/>
    <w:rsid w:val="00526DB7"/>
    <w:rsid w:val="00526E1D"/>
    <w:rsid w:val="00526E24"/>
    <w:rsid w:val="00526E27"/>
    <w:rsid w:val="00526E44"/>
    <w:rsid w:val="00526E8A"/>
    <w:rsid w:val="00526E8E"/>
    <w:rsid w:val="00526E9D"/>
    <w:rsid w:val="00526EA0"/>
    <w:rsid w:val="00526F08"/>
    <w:rsid w:val="00526F50"/>
    <w:rsid w:val="00526F72"/>
    <w:rsid w:val="00526F8B"/>
    <w:rsid w:val="00526F9A"/>
    <w:rsid w:val="00527033"/>
    <w:rsid w:val="00527058"/>
    <w:rsid w:val="0052708A"/>
    <w:rsid w:val="005270AA"/>
    <w:rsid w:val="0052719E"/>
    <w:rsid w:val="005271E4"/>
    <w:rsid w:val="00527220"/>
    <w:rsid w:val="00527230"/>
    <w:rsid w:val="00527249"/>
    <w:rsid w:val="00527264"/>
    <w:rsid w:val="005272E1"/>
    <w:rsid w:val="00527395"/>
    <w:rsid w:val="005273A5"/>
    <w:rsid w:val="005273C1"/>
    <w:rsid w:val="005273E1"/>
    <w:rsid w:val="0052742D"/>
    <w:rsid w:val="0052752D"/>
    <w:rsid w:val="0052758B"/>
    <w:rsid w:val="0052768D"/>
    <w:rsid w:val="005276A9"/>
    <w:rsid w:val="005276AA"/>
    <w:rsid w:val="005276C5"/>
    <w:rsid w:val="005276F3"/>
    <w:rsid w:val="00527737"/>
    <w:rsid w:val="00527786"/>
    <w:rsid w:val="00527821"/>
    <w:rsid w:val="00527824"/>
    <w:rsid w:val="00527844"/>
    <w:rsid w:val="00527880"/>
    <w:rsid w:val="005278C4"/>
    <w:rsid w:val="0052791B"/>
    <w:rsid w:val="00527954"/>
    <w:rsid w:val="005279B9"/>
    <w:rsid w:val="005279E0"/>
    <w:rsid w:val="00527A0B"/>
    <w:rsid w:val="00527A24"/>
    <w:rsid w:val="00527A79"/>
    <w:rsid w:val="00527AA3"/>
    <w:rsid w:val="00527AD2"/>
    <w:rsid w:val="00527AD8"/>
    <w:rsid w:val="00527AE8"/>
    <w:rsid w:val="00527B21"/>
    <w:rsid w:val="00527B6D"/>
    <w:rsid w:val="00527B9E"/>
    <w:rsid w:val="00527BB5"/>
    <w:rsid w:val="00527BE9"/>
    <w:rsid w:val="00527C27"/>
    <w:rsid w:val="00527C56"/>
    <w:rsid w:val="00527C70"/>
    <w:rsid w:val="00527C92"/>
    <w:rsid w:val="00527CA7"/>
    <w:rsid w:val="00527CB0"/>
    <w:rsid w:val="00527CEC"/>
    <w:rsid w:val="00527D11"/>
    <w:rsid w:val="00527D14"/>
    <w:rsid w:val="00527D64"/>
    <w:rsid w:val="00527D7F"/>
    <w:rsid w:val="00527DDA"/>
    <w:rsid w:val="00527DEE"/>
    <w:rsid w:val="00527DF3"/>
    <w:rsid w:val="00527E22"/>
    <w:rsid w:val="00527E6F"/>
    <w:rsid w:val="00527E84"/>
    <w:rsid w:val="00527EB4"/>
    <w:rsid w:val="00527EFA"/>
    <w:rsid w:val="00527F6D"/>
    <w:rsid w:val="00527F6F"/>
    <w:rsid w:val="00527F95"/>
    <w:rsid w:val="00527FB8"/>
    <w:rsid w:val="0053002F"/>
    <w:rsid w:val="00530073"/>
    <w:rsid w:val="005300B6"/>
    <w:rsid w:val="00530104"/>
    <w:rsid w:val="00530119"/>
    <w:rsid w:val="0053012B"/>
    <w:rsid w:val="00530145"/>
    <w:rsid w:val="00530187"/>
    <w:rsid w:val="005301F3"/>
    <w:rsid w:val="005301F8"/>
    <w:rsid w:val="0053021F"/>
    <w:rsid w:val="0053028B"/>
    <w:rsid w:val="00530327"/>
    <w:rsid w:val="00530349"/>
    <w:rsid w:val="00530360"/>
    <w:rsid w:val="0053036B"/>
    <w:rsid w:val="00530377"/>
    <w:rsid w:val="0053041B"/>
    <w:rsid w:val="00530456"/>
    <w:rsid w:val="005304AD"/>
    <w:rsid w:val="005304C7"/>
    <w:rsid w:val="005304EB"/>
    <w:rsid w:val="0053053A"/>
    <w:rsid w:val="0053053E"/>
    <w:rsid w:val="00530540"/>
    <w:rsid w:val="0053055A"/>
    <w:rsid w:val="00530562"/>
    <w:rsid w:val="005305A4"/>
    <w:rsid w:val="005305A8"/>
    <w:rsid w:val="005305D2"/>
    <w:rsid w:val="005305D9"/>
    <w:rsid w:val="00530607"/>
    <w:rsid w:val="00530625"/>
    <w:rsid w:val="0053062A"/>
    <w:rsid w:val="0053065B"/>
    <w:rsid w:val="00530675"/>
    <w:rsid w:val="005306A3"/>
    <w:rsid w:val="005306B3"/>
    <w:rsid w:val="005306ED"/>
    <w:rsid w:val="005306F8"/>
    <w:rsid w:val="00530785"/>
    <w:rsid w:val="005307E8"/>
    <w:rsid w:val="005307F7"/>
    <w:rsid w:val="0053084C"/>
    <w:rsid w:val="00530853"/>
    <w:rsid w:val="00530897"/>
    <w:rsid w:val="005308DC"/>
    <w:rsid w:val="005308F4"/>
    <w:rsid w:val="00530901"/>
    <w:rsid w:val="00530903"/>
    <w:rsid w:val="00530953"/>
    <w:rsid w:val="005309CD"/>
    <w:rsid w:val="005309DE"/>
    <w:rsid w:val="00530A46"/>
    <w:rsid w:val="00530A4B"/>
    <w:rsid w:val="00530B74"/>
    <w:rsid w:val="00530B9D"/>
    <w:rsid w:val="00530BDE"/>
    <w:rsid w:val="00530C19"/>
    <w:rsid w:val="00530C36"/>
    <w:rsid w:val="00530C3D"/>
    <w:rsid w:val="00530C5C"/>
    <w:rsid w:val="00530C87"/>
    <w:rsid w:val="00530C91"/>
    <w:rsid w:val="00530CE1"/>
    <w:rsid w:val="00530CEB"/>
    <w:rsid w:val="00530D3F"/>
    <w:rsid w:val="00530D5F"/>
    <w:rsid w:val="00530D8E"/>
    <w:rsid w:val="00530DA2"/>
    <w:rsid w:val="00530E2A"/>
    <w:rsid w:val="00530E79"/>
    <w:rsid w:val="00530E89"/>
    <w:rsid w:val="00530EA8"/>
    <w:rsid w:val="00530EF7"/>
    <w:rsid w:val="00530F43"/>
    <w:rsid w:val="00530FAD"/>
    <w:rsid w:val="00530FFC"/>
    <w:rsid w:val="00531016"/>
    <w:rsid w:val="00531073"/>
    <w:rsid w:val="005310E9"/>
    <w:rsid w:val="00531120"/>
    <w:rsid w:val="0053115F"/>
    <w:rsid w:val="005311E3"/>
    <w:rsid w:val="00531216"/>
    <w:rsid w:val="00531236"/>
    <w:rsid w:val="00531296"/>
    <w:rsid w:val="005312B9"/>
    <w:rsid w:val="005312C0"/>
    <w:rsid w:val="005312C4"/>
    <w:rsid w:val="005312C9"/>
    <w:rsid w:val="005312D9"/>
    <w:rsid w:val="005312EF"/>
    <w:rsid w:val="005312FC"/>
    <w:rsid w:val="00531307"/>
    <w:rsid w:val="00531324"/>
    <w:rsid w:val="00531396"/>
    <w:rsid w:val="005313A1"/>
    <w:rsid w:val="005313ED"/>
    <w:rsid w:val="005313F2"/>
    <w:rsid w:val="00531485"/>
    <w:rsid w:val="0053148B"/>
    <w:rsid w:val="005314CF"/>
    <w:rsid w:val="005314E8"/>
    <w:rsid w:val="005314FC"/>
    <w:rsid w:val="005314FD"/>
    <w:rsid w:val="0053150E"/>
    <w:rsid w:val="0053152C"/>
    <w:rsid w:val="00531697"/>
    <w:rsid w:val="005316B3"/>
    <w:rsid w:val="005316C0"/>
    <w:rsid w:val="005316DB"/>
    <w:rsid w:val="00531757"/>
    <w:rsid w:val="005317C3"/>
    <w:rsid w:val="00531804"/>
    <w:rsid w:val="00531815"/>
    <w:rsid w:val="0053181A"/>
    <w:rsid w:val="00531848"/>
    <w:rsid w:val="00531864"/>
    <w:rsid w:val="0053189E"/>
    <w:rsid w:val="005318A3"/>
    <w:rsid w:val="0053191B"/>
    <w:rsid w:val="00531A07"/>
    <w:rsid w:val="00531A0A"/>
    <w:rsid w:val="00531A28"/>
    <w:rsid w:val="00531A3F"/>
    <w:rsid w:val="00531A70"/>
    <w:rsid w:val="00531A82"/>
    <w:rsid w:val="00531AB4"/>
    <w:rsid w:val="00531B0C"/>
    <w:rsid w:val="00531B45"/>
    <w:rsid w:val="00531B49"/>
    <w:rsid w:val="00531B63"/>
    <w:rsid w:val="00531B74"/>
    <w:rsid w:val="00531B85"/>
    <w:rsid w:val="00531C0C"/>
    <w:rsid w:val="00531CF0"/>
    <w:rsid w:val="00531D16"/>
    <w:rsid w:val="00531DE6"/>
    <w:rsid w:val="00531E1C"/>
    <w:rsid w:val="00531E34"/>
    <w:rsid w:val="00531E37"/>
    <w:rsid w:val="00531E4A"/>
    <w:rsid w:val="00531F20"/>
    <w:rsid w:val="00531F25"/>
    <w:rsid w:val="00531F30"/>
    <w:rsid w:val="00531F48"/>
    <w:rsid w:val="00531F60"/>
    <w:rsid w:val="00531F71"/>
    <w:rsid w:val="00531F7F"/>
    <w:rsid w:val="00531FA4"/>
    <w:rsid w:val="00531FCD"/>
    <w:rsid w:val="00531FCF"/>
    <w:rsid w:val="00531FDD"/>
    <w:rsid w:val="005320A9"/>
    <w:rsid w:val="005320B9"/>
    <w:rsid w:val="005320C5"/>
    <w:rsid w:val="0053218C"/>
    <w:rsid w:val="005321CD"/>
    <w:rsid w:val="005321FB"/>
    <w:rsid w:val="0053223F"/>
    <w:rsid w:val="00532258"/>
    <w:rsid w:val="00532276"/>
    <w:rsid w:val="005322F4"/>
    <w:rsid w:val="005323BD"/>
    <w:rsid w:val="00532436"/>
    <w:rsid w:val="00532499"/>
    <w:rsid w:val="0053249D"/>
    <w:rsid w:val="005324A9"/>
    <w:rsid w:val="005324AB"/>
    <w:rsid w:val="005324C5"/>
    <w:rsid w:val="005324D4"/>
    <w:rsid w:val="005324DB"/>
    <w:rsid w:val="00532508"/>
    <w:rsid w:val="00532532"/>
    <w:rsid w:val="005325F8"/>
    <w:rsid w:val="0053261D"/>
    <w:rsid w:val="00532663"/>
    <w:rsid w:val="0053266F"/>
    <w:rsid w:val="00532683"/>
    <w:rsid w:val="005326B3"/>
    <w:rsid w:val="005326D0"/>
    <w:rsid w:val="00532709"/>
    <w:rsid w:val="0053271A"/>
    <w:rsid w:val="00532724"/>
    <w:rsid w:val="00532734"/>
    <w:rsid w:val="00532755"/>
    <w:rsid w:val="005327AF"/>
    <w:rsid w:val="005327E5"/>
    <w:rsid w:val="0053284F"/>
    <w:rsid w:val="00532866"/>
    <w:rsid w:val="0053286C"/>
    <w:rsid w:val="005328D8"/>
    <w:rsid w:val="005328E1"/>
    <w:rsid w:val="0053290C"/>
    <w:rsid w:val="0053291D"/>
    <w:rsid w:val="00532952"/>
    <w:rsid w:val="0053295C"/>
    <w:rsid w:val="00532979"/>
    <w:rsid w:val="0053298E"/>
    <w:rsid w:val="005329A2"/>
    <w:rsid w:val="005329DC"/>
    <w:rsid w:val="00532A1B"/>
    <w:rsid w:val="00532A4C"/>
    <w:rsid w:val="00532AD6"/>
    <w:rsid w:val="00532B67"/>
    <w:rsid w:val="00532C6D"/>
    <w:rsid w:val="00532C90"/>
    <w:rsid w:val="00532CB8"/>
    <w:rsid w:val="00532CC1"/>
    <w:rsid w:val="00532CE8"/>
    <w:rsid w:val="00532CED"/>
    <w:rsid w:val="00532D37"/>
    <w:rsid w:val="00532D3D"/>
    <w:rsid w:val="00532D3E"/>
    <w:rsid w:val="00532D9D"/>
    <w:rsid w:val="00532DB1"/>
    <w:rsid w:val="00532DCE"/>
    <w:rsid w:val="00532E15"/>
    <w:rsid w:val="00532E56"/>
    <w:rsid w:val="00532E6D"/>
    <w:rsid w:val="00532EAE"/>
    <w:rsid w:val="00532EBE"/>
    <w:rsid w:val="00532F55"/>
    <w:rsid w:val="00532F6F"/>
    <w:rsid w:val="00532FF3"/>
    <w:rsid w:val="00533036"/>
    <w:rsid w:val="00533050"/>
    <w:rsid w:val="00533099"/>
    <w:rsid w:val="005330B0"/>
    <w:rsid w:val="005330D8"/>
    <w:rsid w:val="005330E9"/>
    <w:rsid w:val="005330EC"/>
    <w:rsid w:val="00533187"/>
    <w:rsid w:val="00533193"/>
    <w:rsid w:val="005331F7"/>
    <w:rsid w:val="00533214"/>
    <w:rsid w:val="0053327D"/>
    <w:rsid w:val="005332A4"/>
    <w:rsid w:val="005332AB"/>
    <w:rsid w:val="005332D5"/>
    <w:rsid w:val="005332E2"/>
    <w:rsid w:val="00533384"/>
    <w:rsid w:val="00533393"/>
    <w:rsid w:val="005333A2"/>
    <w:rsid w:val="005333B4"/>
    <w:rsid w:val="005333C1"/>
    <w:rsid w:val="005333C2"/>
    <w:rsid w:val="005333D7"/>
    <w:rsid w:val="00533419"/>
    <w:rsid w:val="0053341C"/>
    <w:rsid w:val="0053343A"/>
    <w:rsid w:val="0053343D"/>
    <w:rsid w:val="00533491"/>
    <w:rsid w:val="005334B0"/>
    <w:rsid w:val="0053352A"/>
    <w:rsid w:val="0053353B"/>
    <w:rsid w:val="00533574"/>
    <w:rsid w:val="005335B1"/>
    <w:rsid w:val="005335BF"/>
    <w:rsid w:val="005335D0"/>
    <w:rsid w:val="005335F5"/>
    <w:rsid w:val="00533607"/>
    <w:rsid w:val="0053362F"/>
    <w:rsid w:val="0053367D"/>
    <w:rsid w:val="005336B2"/>
    <w:rsid w:val="005336ED"/>
    <w:rsid w:val="00533810"/>
    <w:rsid w:val="0053384D"/>
    <w:rsid w:val="0053385B"/>
    <w:rsid w:val="0053387D"/>
    <w:rsid w:val="0053389E"/>
    <w:rsid w:val="005338C2"/>
    <w:rsid w:val="005338C5"/>
    <w:rsid w:val="005338D1"/>
    <w:rsid w:val="005338EB"/>
    <w:rsid w:val="00533900"/>
    <w:rsid w:val="0053390C"/>
    <w:rsid w:val="00533999"/>
    <w:rsid w:val="0053399B"/>
    <w:rsid w:val="00533A52"/>
    <w:rsid w:val="00533A83"/>
    <w:rsid w:val="00533AAA"/>
    <w:rsid w:val="00533B0A"/>
    <w:rsid w:val="00533B37"/>
    <w:rsid w:val="00533B64"/>
    <w:rsid w:val="00533B70"/>
    <w:rsid w:val="00533BCB"/>
    <w:rsid w:val="00533BE8"/>
    <w:rsid w:val="00533BFE"/>
    <w:rsid w:val="00533C21"/>
    <w:rsid w:val="00533C50"/>
    <w:rsid w:val="00533CAC"/>
    <w:rsid w:val="00533CC3"/>
    <w:rsid w:val="00533CCA"/>
    <w:rsid w:val="00533CFF"/>
    <w:rsid w:val="00533D9E"/>
    <w:rsid w:val="00533E52"/>
    <w:rsid w:val="00533E67"/>
    <w:rsid w:val="00533ED4"/>
    <w:rsid w:val="00533EE3"/>
    <w:rsid w:val="00533F0C"/>
    <w:rsid w:val="00533F90"/>
    <w:rsid w:val="00533F9C"/>
    <w:rsid w:val="00533FD1"/>
    <w:rsid w:val="00533FD5"/>
    <w:rsid w:val="00533FEF"/>
    <w:rsid w:val="00533FF1"/>
    <w:rsid w:val="00534023"/>
    <w:rsid w:val="00534031"/>
    <w:rsid w:val="00534039"/>
    <w:rsid w:val="0053403B"/>
    <w:rsid w:val="00534062"/>
    <w:rsid w:val="005340B7"/>
    <w:rsid w:val="0053414B"/>
    <w:rsid w:val="0053415E"/>
    <w:rsid w:val="005341B4"/>
    <w:rsid w:val="005341D0"/>
    <w:rsid w:val="005341FA"/>
    <w:rsid w:val="0053420F"/>
    <w:rsid w:val="0053423E"/>
    <w:rsid w:val="0053425B"/>
    <w:rsid w:val="00534263"/>
    <w:rsid w:val="00534276"/>
    <w:rsid w:val="005342F0"/>
    <w:rsid w:val="0053431F"/>
    <w:rsid w:val="00534328"/>
    <w:rsid w:val="0053435D"/>
    <w:rsid w:val="0053439A"/>
    <w:rsid w:val="005343DB"/>
    <w:rsid w:val="005343F2"/>
    <w:rsid w:val="00534425"/>
    <w:rsid w:val="0053444D"/>
    <w:rsid w:val="00534510"/>
    <w:rsid w:val="0053453E"/>
    <w:rsid w:val="0053456A"/>
    <w:rsid w:val="0053457F"/>
    <w:rsid w:val="00534702"/>
    <w:rsid w:val="00534747"/>
    <w:rsid w:val="00534789"/>
    <w:rsid w:val="0053483C"/>
    <w:rsid w:val="0053484B"/>
    <w:rsid w:val="005348D3"/>
    <w:rsid w:val="0053491B"/>
    <w:rsid w:val="00534951"/>
    <w:rsid w:val="0053496C"/>
    <w:rsid w:val="005349B3"/>
    <w:rsid w:val="005349B7"/>
    <w:rsid w:val="005349E3"/>
    <w:rsid w:val="00534A3B"/>
    <w:rsid w:val="00534A70"/>
    <w:rsid w:val="00534A72"/>
    <w:rsid w:val="00534A99"/>
    <w:rsid w:val="00534B04"/>
    <w:rsid w:val="00534B29"/>
    <w:rsid w:val="00534B58"/>
    <w:rsid w:val="00534B9A"/>
    <w:rsid w:val="00534C12"/>
    <w:rsid w:val="00534C17"/>
    <w:rsid w:val="00534C36"/>
    <w:rsid w:val="00534C4E"/>
    <w:rsid w:val="00534CC3"/>
    <w:rsid w:val="00534CCE"/>
    <w:rsid w:val="00534CF3"/>
    <w:rsid w:val="00534D21"/>
    <w:rsid w:val="00534D42"/>
    <w:rsid w:val="00534DD5"/>
    <w:rsid w:val="00534E09"/>
    <w:rsid w:val="00534EED"/>
    <w:rsid w:val="00534F14"/>
    <w:rsid w:val="00534F20"/>
    <w:rsid w:val="00534F25"/>
    <w:rsid w:val="00534F34"/>
    <w:rsid w:val="00534F88"/>
    <w:rsid w:val="00534F9D"/>
    <w:rsid w:val="00534FAC"/>
    <w:rsid w:val="00534FCB"/>
    <w:rsid w:val="00535043"/>
    <w:rsid w:val="0053504D"/>
    <w:rsid w:val="005350CD"/>
    <w:rsid w:val="00535118"/>
    <w:rsid w:val="00535140"/>
    <w:rsid w:val="0053520C"/>
    <w:rsid w:val="00535215"/>
    <w:rsid w:val="0053523B"/>
    <w:rsid w:val="00535244"/>
    <w:rsid w:val="0053526B"/>
    <w:rsid w:val="005352A8"/>
    <w:rsid w:val="005352AC"/>
    <w:rsid w:val="0053530C"/>
    <w:rsid w:val="0053533A"/>
    <w:rsid w:val="0053536A"/>
    <w:rsid w:val="00535375"/>
    <w:rsid w:val="0053542F"/>
    <w:rsid w:val="00535447"/>
    <w:rsid w:val="005354E5"/>
    <w:rsid w:val="005355CB"/>
    <w:rsid w:val="0053569E"/>
    <w:rsid w:val="005356B5"/>
    <w:rsid w:val="005356BF"/>
    <w:rsid w:val="005356C5"/>
    <w:rsid w:val="00535722"/>
    <w:rsid w:val="0053574A"/>
    <w:rsid w:val="00535770"/>
    <w:rsid w:val="00535780"/>
    <w:rsid w:val="00535783"/>
    <w:rsid w:val="00535786"/>
    <w:rsid w:val="005357D3"/>
    <w:rsid w:val="00535822"/>
    <w:rsid w:val="0053583E"/>
    <w:rsid w:val="0053589B"/>
    <w:rsid w:val="005358BA"/>
    <w:rsid w:val="005358FB"/>
    <w:rsid w:val="00535903"/>
    <w:rsid w:val="00535917"/>
    <w:rsid w:val="00535966"/>
    <w:rsid w:val="005359C7"/>
    <w:rsid w:val="005359D2"/>
    <w:rsid w:val="005359FD"/>
    <w:rsid w:val="00535A7A"/>
    <w:rsid w:val="00535A85"/>
    <w:rsid w:val="00535AE1"/>
    <w:rsid w:val="00535AF0"/>
    <w:rsid w:val="00535B64"/>
    <w:rsid w:val="00535BB2"/>
    <w:rsid w:val="00535BE0"/>
    <w:rsid w:val="00535CAC"/>
    <w:rsid w:val="00535CB5"/>
    <w:rsid w:val="00535D15"/>
    <w:rsid w:val="00535D35"/>
    <w:rsid w:val="00535D61"/>
    <w:rsid w:val="00535D65"/>
    <w:rsid w:val="00535D82"/>
    <w:rsid w:val="00535DAA"/>
    <w:rsid w:val="00535DFE"/>
    <w:rsid w:val="00535E0A"/>
    <w:rsid w:val="00535E0B"/>
    <w:rsid w:val="00535E3D"/>
    <w:rsid w:val="00535E46"/>
    <w:rsid w:val="00535E59"/>
    <w:rsid w:val="00535E64"/>
    <w:rsid w:val="00535E94"/>
    <w:rsid w:val="00535EB6"/>
    <w:rsid w:val="00535F1A"/>
    <w:rsid w:val="00535F3D"/>
    <w:rsid w:val="00535F71"/>
    <w:rsid w:val="00535F74"/>
    <w:rsid w:val="00535FBA"/>
    <w:rsid w:val="00535FBF"/>
    <w:rsid w:val="0053603D"/>
    <w:rsid w:val="00536113"/>
    <w:rsid w:val="00536131"/>
    <w:rsid w:val="00536171"/>
    <w:rsid w:val="005361B1"/>
    <w:rsid w:val="005361DF"/>
    <w:rsid w:val="005362C6"/>
    <w:rsid w:val="00536307"/>
    <w:rsid w:val="00536347"/>
    <w:rsid w:val="00536371"/>
    <w:rsid w:val="00536387"/>
    <w:rsid w:val="00536440"/>
    <w:rsid w:val="00536485"/>
    <w:rsid w:val="0053648D"/>
    <w:rsid w:val="005364FA"/>
    <w:rsid w:val="00536530"/>
    <w:rsid w:val="00536556"/>
    <w:rsid w:val="00536566"/>
    <w:rsid w:val="005365F8"/>
    <w:rsid w:val="005366AC"/>
    <w:rsid w:val="00536726"/>
    <w:rsid w:val="00536758"/>
    <w:rsid w:val="00536768"/>
    <w:rsid w:val="0053679B"/>
    <w:rsid w:val="005367DB"/>
    <w:rsid w:val="005367FE"/>
    <w:rsid w:val="0053682D"/>
    <w:rsid w:val="005368C7"/>
    <w:rsid w:val="00536904"/>
    <w:rsid w:val="00536939"/>
    <w:rsid w:val="00536990"/>
    <w:rsid w:val="005369B5"/>
    <w:rsid w:val="005369C0"/>
    <w:rsid w:val="005369D0"/>
    <w:rsid w:val="005369D6"/>
    <w:rsid w:val="005369DD"/>
    <w:rsid w:val="00536A21"/>
    <w:rsid w:val="00536A29"/>
    <w:rsid w:val="00536A2F"/>
    <w:rsid w:val="00536A41"/>
    <w:rsid w:val="00536A68"/>
    <w:rsid w:val="00536A8C"/>
    <w:rsid w:val="00536AA4"/>
    <w:rsid w:val="00536AA8"/>
    <w:rsid w:val="00536AAA"/>
    <w:rsid w:val="00536AD7"/>
    <w:rsid w:val="00536AD8"/>
    <w:rsid w:val="00536B3F"/>
    <w:rsid w:val="00536B71"/>
    <w:rsid w:val="00536B89"/>
    <w:rsid w:val="00536BA8"/>
    <w:rsid w:val="00536BAA"/>
    <w:rsid w:val="00536C05"/>
    <w:rsid w:val="00536C29"/>
    <w:rsid w:val="00536C4C"/>
    <w:rsid w:val="00536C50"/>
    <w:rsid w:val="00536C5C"/>
    <w:rsid w:val="00536CC0"/>
    <w:rsid w:val="00536CFE"/>
    <w:rsid w:val="00536D91"/>
    <w:rsid w:val="00536DB1"/>
    <w:rsid w:val="00536DB9"/>
    <w:rsid w:val="00536DDA"/>
    <w:rsid w:val="00536DE8"/>
    <w:rsid w:val="00536DEE"/>
    <w:rsid w:val="00536E14"/>
    <w:rsid w:val="00536EC6"/>
    <w:rsid w:val="00536F01"/>
    <w:rsid w:val="00536F5A"/>
    <w:rsid w:val="00536FBD"/>
    <w:rsid w:val="00536FC2"/>
    <w:rsid w:val="0053701A"/>
    <w:rsid w:val="00537056"/>
    <w:rsid w:val="00537077"/>
    <w:rsid w:val="0053708B"/>
    <w:rsid w:val="0053708C"/>
    <w:rsid w:val="005370FC"/>
    <w:rsid w:val="00537106"/>
    <w:rsid w:val="0053713C"/>
    <w:rsid w:val="00537151"/>
    <w:rsid w:val="0053720E"/>
    <w:rsid w:val="00537243"/>
    <w:rsid w:val="00537248"/>
    <w:rsid w:val="005372CB"/>
    <w:rsid w:val="005372D3"/>
    <w:rsid w:val="005372FF"/>
    <w:rsid w:val="00537321"/>
    <w:rsid w:val="00537388"/>
    <w:rsid w:val="005373E2"/>
    <w:rsid w:val="005373EF"/>
    <w:rsid w:val="005373F5"/>
    <w:rsid w:val="0053740E"/>
    <w:rsid w:val="0053742A"/>
    <w:rsid w:val="0053742C"/>
    <w:rsid w:val="00537472"/>
    <w:rsid w:val="0053747C"/>
    <w:rsid w:val="005374AC"/>
    <w:rsid w:val="005374C0"/>
    <w:rsid w:val="00537509"/>
    <w:rsid w:val="0053751F"/>
    <w:rsid w:val="00537599"/>
    <w:rsid w:val="0053764C"/>
    <w:rsid w:val="00537661"/>
    <w:rsid w:val="0053766E"/>
    <w:rsid w:val="00537700"/>
    <w:rsid w:val="00537779"/>
    <w:rsid w:val="005377A1"/>
    <w:rsid w:val="005377AF"/>
    <w:rsid w:val="005377B1"/>
    <w:rsid w:val="00537819"/>
    <w:rsid w:val="005378A1"/>
    <w:rsid w:val="005378B8"/>
    <w:rsid w:val="005378E9"/>
    <w:rsid w:val="0053790C"/>
    <w:rsid w:val="0053795B"/>
    <w:rsid w:val="00537960"/>
    <w:rsid w:val="005379A4"/>
    <w:rsid w:val="005379A5"/>
    <w:rsid w:val="005379BF"/>
    <w:rsid w:val="00537A3F"/>
    <w:rsid w:val="00537A85"/>
    <w:rsid w:val="00537ACD"/>
    <w:rsid w:val="00537ADE"/>
    <w:rsid w:val="00537B8A"/>
    <w:rsid w:val="00537B8E"/>
    <w:rsid w:val="00537B9D"/>
    <w:rsid w:val="00537BAB"/>
    <w:rsid w:val="00537BD4"/>
    <w:rsid w:val="00537C3E"/>
    <w:rsid w:val="00537C85"/>
    <w:rsid w:val="00537CA0"/>
    <w:rsid w:val="00537CE2"/>
    <w:rsid w:val="00537CF5"/>
    <w:rsid w:val="00537D1C"/>
    <w:rsid w:val="00537D43"/>
    <w:rsid w:val="00537D5A"/>
    <w:rsid w:val="00537D65"/>
    <w:rsid w:val="00537D91"/>
    <w:rsid w:val="00537DA2"/>
    <w:rsid w:val="00537DAD"/>
    <w:rsid w:val="00537DBC"/>
    <w:rsid w:val="00537E89"/>
    <w:rsid w:val="00537E93"/>
    <w:rsid w:val="00537EBF"/>
    <w:rsid w:val="00537ED2"/>
    <w:rsid w:val="00537F20"/>
    <w:rsid w:val="00537F2A"/>
    <w:rsid w:val="00537F36"/>
    <w:rsid w:val="00537F91"/>
    <w:rsid w:val="00537FC0"/>
    <w:rsid w:val="00540001"/>
    <w:rsid w:val="00540008"/>
    <w:rsid w:val="0054000D"/>
    <w:rsid w:val="0054001E"/>
    <w:rsid w:val="00540025"/>
    <w:rsid w:val="005400B6"/>
    <w:rsid w:val="005400F4"/>
    <w:rsid w:val="00540132"/>
    <w:rsid w:val="00540194"/>
    <w:rsid w:val="005401D5"/>
    <w:rsid w:val="00540242"/>
    <w:rsid w:val="00540359"/>
    <w:rsid w:val="005403EC"/>
    <w:rsid w:val="00540480"/>
    <w:rsid w:val="0054049F"/>
    <w:rsid w:val="005404AD"/>
    <w:rsid w:val="005404E0"/>
    <w:rsid w:val="005404E7"/>
    <w:rsid w:val="0054052B"/>
    <w:rsid w:val="0054052D"/>
    <w:rsid w:val="0054057A"/>
    <w:rsid w:val="0054058B"/>
    <w:rsid w:val="0054059E"/>
    <w:rsid w:val="00540652"/>
    <w:rsid w:val="00540680"/>
    <w:rsid w:val="005406D0"/>
    <w:rsid w:val="005406D3"/>
    <w:rsid w:val="005406E7"/>
    <w:rsid w:val="005406F9"/>
    <w:rsid w:val="00540705"/>
    <w:rsid w:val="00540728"/>
    <w:rsid w:val="00540738"/>
    <w:rsid w:val="005407CC"/>
    <w:rsid w:val="005407E1"/>
    <w:rsid w:val="005407EF"/>
    <w:rsid w:val="005407FE"/>
    <w:rsid w:val="00540869"/>
    <w:rsid w:val="00540886"/>
    <w:rsid w:val="0054088D"/>
    <w:rsid w:val="005408A5"/>
    <w:rsid w:val="005408E4"/>
    <w:rsid w:val="005408E8"/>
    <w:rsid w:val="00540903"/>
    <w:rsid w:val="0054093A"/>
    <w:rsid w:val="00540989"/>
    <w:rsid w:val="005409BC"/>
    <w:rsid w:val="005409F2"/>
    <w:rsid w:val="00540A05"/>
    <w:rsid w:val="00540A50"/>
    <w:rsid w:val="00540A5A"/>
    <w:rsid w:val="00540A6C"/>
    <w:rsid w:val="00540A93"/>
    <w:rsid w:val="00540B28"/>
    <w:rsid w:val="00540B6F"/>
    <w:rsid w:val="00540B7A"/>
    <w:rsid w:val="00540BD7"/>
    <w:rsid w:val="00540C6A"/>
    <w:rsid w:val="00540D26"/>
    <w:rsid w:val="00540D27"/>
    <w:rsid w:val="00540D41"/>
    <w:rsid w:val="00540DC4"/>
    <w:rsid w:val="00540E1A"/>
    <w:rsid w:val="00540E25"/>
    <w:rsid w:val="00540EF4"/>
    <w:rsid w:val="00540EF6"/>
    <w:rsid w:val="00540F5C"/>
    <w:rsid w:val="00540F9E"/>
    <w:rsid w:val="00541016"/>
    <w:rsid w:val="0054101C"/>
    <w:rsid w:val="00541048"/>
    <w:rsid w:val="00541060"/>
    <w:rsid w:val="00541068"/>
    <w:rsid w:val="005410CF"/>
    <w:rsid w:val="005410E5"/>
    <w:rsid w:val="005410F6"/>
    <w:rsid w:val="0054114F"/>
    <w:rsid w:val="00541187"/>
    <w:rsid w:val="005411B1"/>
    <w:rsid w:val="005411BF"/>
    <w:rsid w:val="0054126C"/>
    <w:rsid w:val="005412C4"/>
    <w:rsid w:val="005412C9"/>
    <w:rsid w:val="005412E2"/>
    <w:rsid w:val="00541361"/>
    <w:rsid w:val="00541393"/>
    <w:rsid w:val="005413DC"/>
    <w:rsid w:val="0054140E"/>
    <w:rsid w:val="00541460"/>
    <w:rsid w:val="0054148D"/>
    <w:rsid w:val="005414BD"/>
    <w:rsid w:val="00541553"/>
    <w:rsid w:val="00541585"/>
    <w:rsid w:val="00541593"/>
    <w:rsid w:val="00541595"/>
    <w:rsid w:val="00541612"/>
    <w:rsid w:val="0054163F"/>
    <w:rsid w:val="0054164A"/>
    <w:rsid w:val="005416A3"/>
    <w:rsid w:val="005416A8"/>
    <w:rsid w:val="005416AD"/>
    <w:rsid w:val="005416D3"/>
    <w:rsid w:val="00541752"/>
    <w:rsid w:val="00541784"/>
    <w:rsid w:val="005417A7"/>
    <w:rsid w:val="005417D9"/>
    <w:rsid w:val="005417DF"/>
    <w:rsid w:val="005417E9"/>
    <w:rsid w:val="00541825"/>
    <w:rsid w:val="00541840"/>
    <w:rsid w:val="00541877"/>
    <w:rsid w:val="005418CD"/>
    <w:rsid w:val="00541922"/>
    <w:rsid w:val="00541938"/>
    <w:rsid w:val="00541950"/>
    <w:rsid w:val="005419AF"/>
    <w:rsid w:val="005419CC"/>
    <w:rsid w:val="005419E1"/>
    <w:rsid w:val="00541A66"/>
    <w:rsid w:val="00541AA3"/>
    <w:rsid w:val="00541AAD"/>
    <w:rsid w:val="00541AFB"/>
    <w:rsid w:val="00541B09"/>
    <w:rsid w:val="00541B0B"/>
    <w:rsid w:val="00541B4D"/>
    <w:rsid w:val="00541B9E"/>
    <w:rsid w:val="00541BA4"/>
    <w:rsid w:val="00541BC3"/>
    <w:rsid w:val="00541BCD"/>
    <w:rsid w:val="00541C0C"/>
    <w:rsid w:val="00541C32"/>
    <w:rsid w:val="00541C84"/>
    <w:rsid w:val="00541CB4"/>
    <w:rsid w:val="00541CC7"/>
    <w:rsid w:val="00541CFA"/>
    <w:rsid w:val="00541D08"/>
    <w:rsid w:val="00541D0C"/>
    <w:rsid w:val="00541D29"/>
    <w:rsid w:val="00541D61"/>
    <w:rsid w:val="00541D64"/>
    <w:rsid w:val="00541DD7"/>
    <w:rsid w:val="00541E0E"/>
    <w:rsid w:val="00541E50"/>
    <w:rsid w:val="00541E7C"/>
    <w:rsid w:val="00541E85"/>
    <w:rsid w:val="00541E87"/>
    <w:rsid w:val="00541EB3"/>
    <w:rsid w:val="00541F34"/>
    <w:rsid w:val="00541F5A"/>
    <w:rsid w:val="00541F82"/>
    <w:rsid w:val="00541FBE"/>
    <w:rsid w:val="0054206A"/>
    <w:rsid w:val="00542096"/>
    <w:rsid w:val="005420D5"/>
    <w:rsid w:val="00542105"/>
    <w:rsid w:val="00542178"/>
    <w:rsid w:val="005421EC"/>
    <w:rsid w:val="005421F7"/>
    <w:rsid w:val="0054224D"/>
    <w:rsid w:val="00542294"/>
    <w:rsid w:val="005422E3"/>
    <w:rsid w:val="005422F5"/>
    <w:rsid w:val="0054233D"/>
    <w:rsid w:val="005423CA"/>
    <w:rsid w:val="005423D6"/>
    <w:rsid w:val="005423F3"/>
    <w:rsid w:val="00542416"/>
    <w:rsid w:val="0054241F"/>
    <w:rsid w:val="00542432"/>
    <w:rsid w:val="00542449"/>
    <w:rsid w:val="00542479"/>
    <w:rsid w:val="00542508"/>
    <w:rsid w:val="0054251F"/>
    <w:rsid w:val="0054252F"/>
    <w:rsid w:val="00542569"/>
    <w:rsid w:val="0054257B"/>
    <w:rsid w:val="00542625"/>
    <w:rsid w:val="0054262B"/>
    <w:rsid w:val="00542648"/>
    <w:rsid w:val="0054268E"/>
    <w:rsid w:val="005426C0"/>
    <w:rsid w:val="00542711"/>
    <w:rsid w:val="00542743"/>
    <w:rsid w:val="0054274A"/>
    <w:rsid w:val="00542762"/>
    <w:rsid w:val="00542764"/>
    <w:rsid w:val="005427B9"/>
    <w:rsid w:val="00542820"/>
    <w:rsid w:val="00542874"/>
    <w:rsid w:val="0054288D"/>
    <w:rsid w:val="00542891"/>
    <w:rsid w:val="005428CE"/>
    <w:rsid w:val="0054292E"/>
    <w:rsid w:val="0054294A"/>
    <w:rsid w:val="00542957"/>
    <w:rsid w:val="00542963"/>
    <w:rsid w:val="00542971"/>
    <w:rsid w:val="0054298A"/>
    <w:rsid w:val="005429D1"/>
    <w:rsid w:val="00542A16"/>
    <w:rsid w:val="00542A37"/>
    <w:rsid w:val="00542A7A"/>
    <w:rsid w:val="00542AF0"/>
    <w:rsid w:val="00542AFC"/>
    <w:rsid w:val="00542B13"/>
    <w:rsid w:val="00542B3E"/>
    <w:rsid w:val="00542BA3"/>
    <w:rsid w:val="00542BB1"/>
    <w:rsid w:val="00542BDD"/>
    <w:rsid w:val="00542BEF"/>
    <w:rsid w:val="00542CD8"/>
    <w:rsid w:val="00542CF2"/>
    <w:rsid w:val="00542D1B"/>
    <w:rsid w:val="00542D1F"/>
    <w:rsid w:val="00542D43"/>
    <w:rsid w:val="00542DE7"/>
    <w:rsid w:val="00542E57"/>
    <w:rsid w:val="00542E62"/>
    <w:rsid w:val="00542E98"/>
    <w:rsid w:val="00542ECA"/>
    <w:rsid w:val="00542EDC"/>
    <w:rsid w:val="00542EEB"/>
    <w:rsid w:val="00542F83"/>
    <w:rsid w:val="00542F9C"/>
    <w:rsid w:val="00542FE1"/>
    <w:rsid w:val="00543000"/>
    <w:rsid w:val="00543005"/>
    <w:rsid w:val="0054301A"/>
    <w:rsid w:val="0054301B"/>
    <w:rsid w:val="00543044"/>
    <w:rsid w:val="00543095"/>
    <w:rsid w:val="00543123"/>
    <w:rsid w:val="00543155"/>
    <w:rsid w:val="00543193"/>
    <w:rsid w:val="005431BE"/>
    <w:rsid w:val="005431CD"/>
    <w:rsid w:val="005431F4"/>
    <w:rsid w:val="005431F8"/>
    <w:rsid w:val="00543226"/>
    <w:rsid w:val="0054326D"/>
    <w:rsid w:val="00543270"/>
    <w:rsid w:val="005432B4"/>
    <w:rsid w:val="005432E6"/>
    <w:rsid w:val="005432E9"/>
    <w:rsid w:val="00543316"/>
    <w:rsid w:val="00543344"/>
    <w:rsid w:val="00543354"/>
    <w:rsid w:val="00543365"/>
    <w:rsid w:val="005433AD"/>
    <w:rsid w:val="005433E5"/>
    <w:rsid w:val="00543408"/>
    <w:rsid w:val="0054349F"/>
    <w:rsid w:val="005434BC"/>
    <w:rsid w:val="005434C8"/>
    <w:rsid w:val="0054350E"/>
    <w:rsid w:val="0054351B"/>
    <w:rsid w:val="005435D9"/>
    <w:rsid w:val="005435EF"/>
    <w:rsid w:val="00543629"/>
    <w:rsid w:val="0054365B"/>
    <w:rsid w:val="005436CC"/>
    <w:rsid w:val="005436E7"/>
    <w:rsid w:val="00543709"/>
    <w:rsid w:val="0054370B"/>
    <w:rsid w:val="0054373D"/>
    <w:rsid w:val="005437CF"/>
    <w:rsid w:val="005437DE"/>
    <w:rsid w:val="005438D4"/>
    <w:rsid w:val="00543903"/>
    <w:rsid w:val="0054393F"/>
    <w:rsid w:val="005439A5"/>
    <w:rsid w:val="005439C0"/>
    <w:rsid w:val="005439F7"/>
    <w:rsid w:val="00543A30"/>
    <w:rsid w:val="00543A7F"/>
    <w:rsid w:val="00543AED"/>
    <w:rsid w:val="00543AF5"/>
    <w:rsid w:val="00543B3B"/>
    <w:rsid w:val="00543B4D"/>
    <w:rsid w:val="00543B63"/>
    <w:rsid w:val="00543B77"/>
    <w:rsid w:val="00543B85"/>
    <w:rsid w:val="00543B87"/>
    <w:rsid w:val="00543BAF"/>
    <w:rsid w:val="00543BB5"/>
    <w:rsid w:val="00543C27"/>
    <w:rsid w:val="00543C2A"/>
    <w:rsid w:val="00543C5A"/>
    <w:rsid w:val="00543C80"/>
    <w:rsid w:val="00543C94"/>
    <w:rsid w:val="00543CDD"/>
    <w:rsid w:val="00543D5B"/>
    <w:rsid w:val="00543D7B"/>
    <w:rsid w:val="00543DD5"/>
    <w:rsid w:val="00543DFB"/>
    <w:rsid w:val="00543E05"/>
    <w:rsid w:val="00543E40"/>
    <w:rsid w:val="00543ECE"/>
    <w:rsid w:val="00543F01"/>
    <w:rsid w:val="00543F1B"/>
    <w:rsid w:val="00543F23"/>
    <w:rsid w:val="00543F2C"/>
    <w:rsid w:val="00543F32"/>
    <w:rsid w:val="00543F78"/>
    <w:rsid w:val="00543F98"/>
    <w:rsid w:val="00543FE2"/>
    <w:rsid w:val="00543FFD"/>
    <w:rsid w:val="00544024"/>
    <w:rsid w:val="00544046"/>
    <w:rsid w:val="00544051"/>
    <w:rsid w:val="005440F4"/>
    <w:rsid w:val="00544123"/>
    <w:rsid w:val="00544218"/>
    <w:rsid w:val="00544250"/>
    <w:rsid w:val="00544264"/>
    <w:rsid w:val="0054426B"/>
    <w:rsid w:val="005442A4"/>
    <w:rsid w:val="005442CB"/>
    <w:rsid w:val="005442E7"/>
    <w:rsid w:val="005442FC"/>
    <w:rsid w:val="0054437D"/>
    <w:rsid w:val="005443A7"/>
    <w:rsid w:val="0054444E"/>
    <w:rsid w:val="00544451"/>
    <w:rsid w:val="0054445E"/>
    <w:rsid w:val="00544467"/>
    <w:rsid w:val="005444B0"/>
    <w:rsid w:val="005444E2"/>
    <w:rsid w:val="00544502"/>
    <w:rsid w:val="0054453C"/>
    <w:rsid w:val="00544541"/>
    <w:rsid w:val="005445AC"/>
    <w:rsid w:val="005445C7"/>
    <w:rsid w:val="005445E2"/>
    <w:rsid w:val="005445E6"/>
    <w:rsid w:val="0054460A"/>
    <w:rsid w:val="00544622"/>
    <w:rsid w:val="00544628"/>
    <w:rsid w:val="00544648"/>
    <w:rsid w:val="00544693"/>
    <w:rsid w:val="005446D2"/>
    <w:rsid w:val="005446D7"/>
    <w:rsid w:val="005446D9"/>
    <w:rsid w:val="0054473D"/>
    <w:rsid w:val="00544760"/>
    <w:rsid w:val="00544802"/>
    <w:rsid w:val="0054480F"/>
    <w:rsid w:val="00544851"/>
    <w:rsid w:val="00544855"/>
    <w:rsid w:val="00544873"/>
    <w:rsid w:val="00544899"/>
    <w:rsid w:val="005448D9"/>
    <w:rsid w:val="0054490C"/>
    <w:rsid w:val="00544910"/>
    <w:rsid w:val="00544937"/>
    <w:rsid w:val="00544974"/>
    <w:rsid w:val="00544981"/>
    <w:rsid w:val="005449B8"/>
    <w:rsid w:val="005449C2"/>
    <w:rsid w:val="005449FD"/>
    <w:rsid w:val="00544A22"/>
    <w:rsid w:val="00544A27"/>
    <w:rsid w:val="00544A2A"/>
    <w:rsid w:val="00544A59"/>
    <w:rsid w:val="00544A67"/>
    <w:rsid w:val="00544AB5"/>
    <w:rsid w:val="00544B0F"/>
    <w:rsid w:val="00544C2F"/>
    <w:rsid w:val="00544C3B"/>
    <w:rsid w:val="00544C46"/>
    <w:rsid w:val="00544C5A"/>
    <w:rsid w:val="00544C95"/>
    <w:rsid w:val="00544CBE"/>
    <w:rsid w:val="00544CEF"/>
    <w:rsid w:val="00544D0A"/>
    <w:rsid w:val="00544D30"/>
    <w:rsid w:val="00544D42"/>
    <w:rsid w:val="00544D57"/>
    <w:rsid w:val="00544D83"/>
    <w:rsid w:val="00544DB5"/>
    <w:rsid w:val="00544DBF"/>
    <w:rsid w:val="00544DE6"/>
    <w:rsid w:val="00544E34"/>
    <w:rsid w:val="00544E46"/>
    <w:rsid w:val="00544E92"/>
    <w:rsid w:val="00544ED6"/>
    <w:rsid w:val="00544EDB"/>
    <w:rsid w:val="00544F59"/>
    <w:rsid w:val="00544FA9"/>
    <w:rsid w:val="00544FC4"/>
    <w:rsid w:val="00544FCB"/>
    <w:rsid w:val="00544FD4"/>
    <w:rsid w:val="00544FF2"/>
    <w:rsid w:val="00545044"/>
    <w:rsid w:val="00545066"/>
    <w:rsid w:val="0054506F"/>
    <w:rsid w:val="00545082"/>
    <w:rsid w:val="00545110"/>
    <w:rsid w:val="00545141"/>
    <w:rsid w:val="00545146"/>
    <w:rsid w:val="0054516F"/>
    <w:rsid w:val="0054517E"/>
    <w:rsid w:val="005451E9"/>
    <w:rsid w:val="00545203"/>
    <w:rsid w:val="00545209"/>
    <w:rsid w:val="00545233"/>
    <w:rsid w:val="00545241"/>
    <w:rsid w:val="00545246"/>
    <w:rsid w:val="00545262"/>
    <w:rsid w:val="005452D9"/>
    <w:rsid w:val="0054532F"/>
    <w:rsid w:val="00545342"/>
    <w:rsid w:val="00545394"/>
    <w:rsid w:val="005453A0"/>
    <w:rsid w:val="005453B6"/>
    <w:rsid w:val="005453C8"/>
    <w:rsid w:val="005453E9"/>
    <w:rsid w:val="00545472"/>
    <w:rsid w:val="005454CC"/>
    <w:rsid w:val="005454D7"/>
    <w:rsid w:val="005454DE"/>
    <w:rsid w:val="005454FA"/>
    <w:rsid w:val="0054555B"/>
    <w:rsid w:val="0054558B"/>
    <w:rsid w:val="00545594"/>
    <w:rsid w:val="005455BE"/>
    <w:rsid w:val="00545639"/>
    <w:rsid w:val="00545646"/>
    <w:rsid w:val="00545668"/>
    <w:rsid w:val="005456A7"/>
    <w:rsid w:val="005456EE"/>
    <w:rsid w:val="00545721"/>
    <w:rsid w:val="0054572D"/>
    <w:rsid w:val="0054575B"/>
    <w:rsid w:val="00545796"/>
    <w:rsid w:val="005457D3"/>
    <w:rsid w:val="00545807"/>
    <w:rsid w:val="00545866"/>
    <w:rsid w:val="005458F6"/>
    <w:rsid w:val="00545916"/>
    <w:rsid w:val="0054597A"/>
    <w:rsid w:val="00545996"/>
    <w:rsid w:val="005459A8"/>
    <w:rsid w:val="005459B9"/>
    <w:rsid w:val="005459CE"/>
    <w:rsid w:val="005459CF"/>
    <w:rsid w:val="00545A12"/>
    <w:rsid w:val="00545A39"/>
    <w:rsid w:val="00545A47"/>
    <w:rsid w:val="00545A73"/>
    <w:rsid w:val="00545A87"/>
    <w:rsid w:val="00545B85"/>
    <w:rsid w:val="00545B95"/>
    <w:rsid w:val="00545BB7"/>
    <w:rsid w:val="00545BE4"/>
    <w:rsid w:val="00545BFF"/>
    <w:rsid w:val="00545C0A"/>
    <w:rsid w:val="00545C8F"/>
    <w:rsid w:val="00545CD5"/>
    <w:rsid w:val="00545D21"/>
    <w:rsid w:val="00545D64"/>
    <w:rsid w:val="00545D92"/>
    <w:rsid w:val="00545DE3"/>
    <w:rsid w:val="00545E2E"/>
    <w:rsid w:val="00545E70"/>
    <w:rsid w:val="00545F22"/>
    <w:rsid w:val="00545F30"/>
    <w:rsid w:val="00545F5A"/>
    <w:rsid w:val="0054613D"/>
    <w:rsid w:val="0054616F"/>
    <w:rsid w:val="00546180"/>
    <w:rsid w:val="005461D7"/>
    <w:rsid w:val="0054622A"/>
    <w:rsid w:val="0054626C"/>
    <w:rsid w:val="005462A2"/>
    <w:rsid w:val="0054631E"/>
    <w:rsid w:val="0054636D"/>
    <w:rsid w:val="0054637B"/>
    <w:rsid w:val="005463B0"/>
    <w:rsid w:val="00546414"/>
    <w:rsid w:val="0054642F"/>
    <w:rsid w:val="00546430"/>
    <w:rsid w:val="005464A7"/>
    <w:rsid w:val="005464C6"/>
    <w:rsid w:val="0054650F"/>
    <w:rsid w:val="00546559"/>
    <w:rsid w:val="005466BC"/>
    <w:rsid w:val="005467C9"/>
    <w:rsid w:val="005467D5"/>
    <w:rsid w:val="00546821"/>
    <w:rsid w:val="0054682D"/>
    <w:rsid w:val="005468A7"/>
    <w:rsid w:val="005468AB"/>
    <w:rsid w:val="005468E9"/>
    <w:rsid w:val="0054696A"/>
    <w:rsid w:val="005469C4"/>
    <w:rsid w:val="005469CF"/>
    <w:rsid w:val="005469E5"/>
    <w:rsid w:val="005469FC"/>
    <w:rsid w:val="00546A0C"/>
    <w:rsid w:val="00546A3A"/>
    <w:rsid w:val="00546AD8"/>
    <w:rsid w:val="00546AE5"/>
    <w:rsid w:val="00546B2A"/>
    <w:rsid w:val="00546BEC"/>
    <w:rsid w:val="00546C3F"/>
    <w:rsid w:val="00546C53"/>
    <w:rsid w:val="00546CA4"/>
    <w:rsid w:val="00546CC8"/>
    <w:rsid w:val="00546D27"/>
    <w:rsid w:val="00546D3E"/>
    <w:rsid w:val="00546DBB"/>
    <w:rsid w:val="00546DBF"/>
    <w:rsid w:val="00546DC8"/>
    <w:rsid w:val="00546DE8"/>
    <w:rsid w:val="00546E14"/>
    <w:rsid w:val="00546E7C"/>
    <w:rsid w:val="00546E91"/>
    <w:rsid w:val="00546EF4"/>
    <w:rsid w:val="00546F09"/>
    <w:rsid w:val="00546F2D"/>
    <w:rsid w:val="00546F31"/>
    <w:rsid w:val="00546F6D"/>
    <w:rsid w:val="00546F70"/>
    <w:rsid w:val="00546F91"/>
    <w:rsid w:val="00546F93"/>
    <w:rsid w:val="00546FB9"/>
    <w:rsid w:val="0054702D"/>
    <w:rsid w:val="00547080"/>
    <w:rsid w:val="005470A9"/>
    <w:rsid w:val="00547118"/>
    <w:rsid w:val="00547133"/>
    <w:rsid w:val="005471ED"/>
    <w:rsid w:val="005471F6"/>
    <w:rsid w:val="005471FA"/>
    <w:rsid w:val="00547212"/>
    <w:rsid w:val="00547232"/>
    <w:rsid w:val="00547294"/>
    <w:rsid w:val="005472AB"/>
    <w:rsid w:val="005472CC"/>
    <w:rsid w:val="005472EB"/>
    <w:rsid w:val="005472ED"/>
    <w:rsid w:val="005472FF"/>
    <w:rsid w:val="00547301"/>
    <w:rsid w:val="0054736C"/>
    <w:rsid w:val="0054738D"/>
    <w:rsid w:val="00547407"/>
    <w:rsid w:val="00547448"/>
    <w:rsid w:val="00547470"/>
    <w:rsid w:val="005474CA"/>
    <w:rsid w:val="00547509"/>
    <w:rsid w:val="005475E7"/>
    <w:rsid w:val="005475EA"/>
    <w:rsid w:val="00547619"/>
    <w:rsid w:val="00547674"/>
    <w:rsid w:val="005476A6"/>
    <w:rsid w:val="005476B0"/>
    <w:rsid w:val="00547711"/>
    <w:rsid w:val="0054777A"/>
    <w:rsid w:val="0054778D"/>
    <w:rsid w:val="005477B6"/>
    <w:rsid w:val="0054784A"/>
    <w:rsid w:val="00547867"/>
    <w:rsid w:val="00547871"/>
    <w:rsid w:val="00547890"/>
    <w:rsid w:val="005478E4"/>
    <w:rsid w:val="00547970"/>
    <w:rsid w:val="00547981"/>
    <w:rsid w:val="00547992"/>
    <w:rsid w:val="005479C9"/>
    <w:rsid w:val="005479D6"/>
    <w:rsid w:val="005479DE"/>
    <w:rsid w:val="00547A4E"/>
    <w:rsid w:val="00547A50"/>
    <w:rsid w:val="00547A70"/>
    <w:rsid w:val="00547A96"/>
    <w:rsid w:val="00547AAA"/>
    <w:rsid w:val="00547AC5"/>
    <w:rsid w:val="00547B9E"/>
    <w:rsid w:val="00547BC2"/>
    <w:rsid w:val="00547BC9"/>
    <w:rsid w:val="00547BDF"/>
    <w:rsid w:val="00547BFC"/>
    <w:rsid w:val="00547C50"/>
    <w:rsid w:val="00547CDD"/>
    <w:rsid w:val="00547D35"/>
    <w:rsid w:val="00547D5B"/>
    <w:rsid w:val="00547D64"/>
    <w:rsid w:val="00547DC4"/>
    <w:rsid w:val="00547E45"/>
    <w:rsid w:val="00547E4C"/>
    <w:rsid w:val="00547E8F"/>
    <w:rsid w:val="00547ECE"/>
    <w:rsid w:val="00547F37"/>
    <w:rsid w:val="00547F54"/>
    <w:rsid w:val="00547FA1"/>
    <w:rsid w:val="00550019"/>
    <w:rsid w:val="0055018C"/>
    <w:rsid w:val="00550191"/>
    <w:rsid w:val="005501AC"/>
    <w:rsid w:val="0055020A"/>
    <w:rsid w:val="00550249"/>
    <w:rsid w:val="0055025F"/>
    <w:rsid w:val="00550299"/>
    <w:rsid w:val="0055029D"/>
    <w:rsid w:val="00550314"/>
    <w:rsid w:val="0055036D"/>
    <w:rsid w:val="00550382"/>
    <w:rsid w:val="005503AE"/>
    <w:rsid w:val="00550415"/>
    <w:rsid w:val="00550424"/>
    <w:rsid w:val="00550433"/>
    <w:rsid w:val="00550476"/>
    <w:rsid w:val="0055052B"/>
    <w:rsid w:val="00550548"/>
    <w:rsid w:val="00550559"/>
    <w:rsid w:val="005505D2"/>
    <w:rsid w:val="005505D3"/>
    <w:rsid w:val="005505D5"/>
    <w:rsid w:val="005505D7"/>
    <w:rsid w:val="00550610"/>
    <w:rsid w:val="00550636"/>
    <w:rsid w:val="00550663"/>
    <w:rsid w:val="005506C1"/>
    <w:rsid w:val="005506E2"/>
    <w:rsid w:val="00550705"/>
    <w:rsid w:val="0055073B"/>
    <w:rsid w:val="00550757"/>
    <w:rsid w:val="00550766"/>
    <w:rsid w:val="00550799"/>
    <w:rsid w:val="005507BA"/>
    <w:rsid w:val="005507F3"/>
    <w:rsid w:val="005507F9"/>
    <w:rsid w:val="00550811"/>
    <w:rsid w:val="00550843"/>
    <w:rsid w:val="00550855"/>
    <w:rsid w:val="005508A1"/>
    <w:rsid w:val="005508EC"/>
    <w:rsid w:val="00550928"/>
    <w:rsid w:val="00550938"/>
    <w:rsid w:val="005509B1"/>
    <w:rsid w:val="00550A47"/>
    <w:rsid w:val="00550A5E"/>
    <w:rsid w:val="00550A88"/>
    <w:rsid w:val="00550A92"/>
    <w:rsid w:val="00550AC9"/>
    <w:rsid w:val="00550AF6"/>
    <w:rsid w:val="00550B1B"/>
    <w:rsid w:val="00550B62"/>
    <w:rsid w:val="00550B65"/>
    <w:rsid w:val="00550B85"/>
    <w:rsid w:val="00550BB5"/>
    <w:rsid w:val="00550BFC"/>
    <w:rsid w:val="00550C18"/>
    <w:rsid w:val="00550C82"/>
    <w:rsid w:val="00550C9F"/>
    <w:rsid w:val="00550CDC"/>
    <w:rsid w:val="00550D0E"/>
    <w:rsid w:val="00550D44"/>
    <w:rsid w:val="00550D55"/>
    <w:rsid w:val="00550D65"/>
    <w:rsid w:val="00550D6D"/>
    <w:rsid w:val="00550D95"/>
    <w:rsid w:val="00550D9D"/>
    <w:rsid w:val="00550DA3"/>
    <w:rsid w:val="00550DB7"/>
    <w:rsid w:val="00550E08"/>
    <w:rsid w:val="00550E4C"/>
    <w:rsid w:val="00550EA1"/>
    <w:rsid w:val="00550EA3"/>
    <w:rsid w:val="00550EB8"/>
    <w:rsid w:val="00550EE1"/>
    <w:rsid w:val="00550EE6"/>
    <w:rsid w:val="00550EF3"/>
    <w:rsid w:val="00550F03"/>
    <w:rsid w:val="00550F72"/>
    <w:rsid w:val="00550FF3"/>
    <w:rsid w:val="0055100E"/>
    <w:rsid w:val="00551028"/>
    <w:rsid w:val="00551030"/>
    <w:rsid w:val="00551065"/>
    <w:rsid w:val="005510AC"/>
    <w:rsid w:val="005510FF"/>
    <w:rsid w:val="00551149"/>
    <w:rsid w:val="0055114E"/>
    <w:rsid w:val="0055115F"/>
    <w:rsid w:val="00551165"/>
    <w:rsid w:val="00551180"/>
    <w:rsid w:val="005511AE"/>
    <w:rsid w:val="005511DB"/>
    <w:rsid w:val="00551214"/>
    <w:rsid w:val="0055121E"/>
    <w:rsid w:val="0055125E"/>
    <w:rsid w:val="005512AD"/>
    <w:rsid w:val="005512BC"/>
    <w:rsid w:val="00551309"/>
    <w:rsid w:val="00551339"/>
    <w:rsid w:val="00551351"/>
    <w:rsid w:val="00551363"/>
    <w:rsid w:val="0055136F"/>
    <w:rsid w:val="0055140E"/>
    <w:rsid w:val="0055142C"/>
    <w:rsid w:val="00551485"/>
    <w:rsid w:val="0055148C"/>
    <w:rsid w:val="005514C1"/>
    <w:rsid w:val="0055150A"/>
    <w:rsid w:val="00551515"/>
    <w:rsid w:val="00551554"/>
    <w:rsid w:val="0055157B"/>
    <w:rsid w:val="0055157F"/>
    <w:rsid w:val="0055158C"/>
    <w:rsid w:val="005515AE"/>
    <w:rsid w:val="005515D5"/>
    <w:rsid w:val="00551646"/>
    <w:rsid w:val="00551648"/>
    <w:rsid w:val="00551658"/>
    <w:rsid w:val="0055166E"/>
    <w:rsid w:val="0055168C"/>
    <w:rsid w:val="005516EF"/>
    <w:rsid w:val="005517A3"/>
    <w:rsid w:val="005517D3"/>
    <w:rsid w:val="005517FA"/>
    <w:rsid w:val="0055182C"/>
    <w:rsid w:val="00551860"/>
    <w:rsid w:val="00551867"/>
    <w:rsid w:val="0055190F"/>
    <w:rsid w:val="0055191D"/>
    <w:rsid w:val="00551931"/>
    <w:rsid w:val="00551970"/>
    <w:rsid w:val="0055198C"/>
    <w:rsid w:val="00551A43"/>
    <w:rsid w:val="00551A4D"/>
    <w:rsid w:val="00551A51"/>
    <w:rsid w:val="00551A75"/>
    <w:rsid w:val="00551A7D"/>
    <w:rsid w:val="00551B23"/>
    <w:rsid w:val="00551B41"/>
    <w:rsid w:val="00551B4B"/>
    <w:rsid w:val="00551B79"/>
    <w:rsid w:val="00551BA9"/>
    <w:rsid w:val="00551C49"/>
    <w:rsid w:val="00551C9F"/>
    <w:rsid w:val="00551CAE"/>
    <w:rsid w:val="00551CF1"/>
    <w:rsid w:val="00551DC7"/>
    <w:rsid w:val="00551E01"/>
    <w:rsid w:val="00551E24"/>
    <w:rsid w:val="00551E36"/>
    <w:rsid w:val="00551E44"/>
    <w:rsid w:val="00551EB0"/>
    <w:rsid w:val="00551EBB"/>
    <w:rsid w:val="00551EC6"/>
    <w:rsid w:val="00551EDC"/>
    <w:rsid w:val="00551EF9"/>
    <w:rsid w:val="00551F1B"/>
    <w:rsid w:val="00551F25"/>
    <w:rsid w:val="00551F82"/>
    <w:rsid w:val="00551F98"/>
    <w:rsid w:val="0055202A"/>
    <w:rsid w:val="00552036"/>
    <w:rsid w:val="0055207D"/>
    <w:rsid w:val="00552092"/>
    <w:rsid w:val="005520AD"/>
    <w:rsid w:val="00552115"/>
    <w:rsid w:val="00552160"/>
    <w:rsid w:val="005521B5"/>
    <w:rsid w:val="005521CD"/>
    <w:rsid w:val="00552257"/>
    <w:rsid w:val="0055226F"/>
    <w:rsid w:val="0055227C"/>
    <w:rsid w:val="0055228D"/>
    <w:rsid w:val="005522C6"/>
    <w:rsid w:val="005522D6"/>
    <w:rsid w:val="005522E9"/>
    <w:rsid w:val="00552355"/>
    <w:rsid w:val="005523B5"/>
    <w:rsid w:val="005523E7"/>
    <w:rsid w:val="0055242B"/>
    <w:rsid w:val="0055242E"/>
    <w:rsid w:val="0055244A"/>
    <w:rsid w:val="00552508"/>
    <w:rsid w:val="005525B1"/>
    <w:rsid w:val="005525D8"/>
    <w:rsid w:val="00552659"/>
    <w:rsid w:val="0055275B"/>
    <w:rsid w:val="005527C5"/>
    <w:rsid w:val="005527C8"/>
    <w:rsid w:val="005527DE"/>
    <w:rsid w:val="00552856"/>
    <w:rsid w:val="0055285F"/>
    <w:rsid w:val="0055287A"/>
    <w:rsid w:val="0055288A"/>
    <w:rsid w:val="0055288D"/>
    <w:rsid w:val="005528F8"/>
    <w:rsid w:val="005528FD"/>
    <w:rsid w:val="0055290F"/>
    <w:rsid w:val="00552923"/>
    <w:rsid w:val="0055299C"/>
    <w:rsid w:val="005529BE"/>
    <w:rsid w:val="00552A25"/>
    <w:rsid w:val="00552AFB"/>
    <w:rsid w:val="00552B12"/>
    <w:rsid w:val="00552B1C"/>
    <w:rsid w:val="00552B2F"/>
    <w:rsid w:val="00552B36"/>
    <w:rsid w:val="00552B6B"/>
    <w:rsid w:val="00552B93"/>
    <w:rsid w:val="00552BBB"/>
    <w:rsid w:val="00552BC2"/>
    <w:rsid w:val="00552BF8"/>
    <w:rsid w:val="00552CB9"/>
    <w:rsid w:val="00552CCE"/>
    <w:rsid w:val="00552CED"/>
    <w:rsid w:val="00552D64"/>
    <w:rsid w:val="00552DB6"/>
    <w:rsid w:val="00552DF7"/>
    <w:rsid w:val="00552E12"/>
    <w:rsid w:val="00552E9B"/>
    <w:rsid w:val="00552EBC"/>
    <w:rsid w:val="00552EC2"/>
    <w:rsid w:val="00552F27"/>
    <w:rsid w:val="00552F7D"/>
    <w:rsid w:val="00552FA4"/>
    <w:rsid w:val="00552FC6"/>
    <w:rsid w:val="00552FF1"/>
    <w:rsid w:val="00552FFB"/>
    <w:rsid w:val="00553014"/>
    <w:rsid w:val="00553025"/>
    <w:rsid w:val="00553047"/>
    <w:rsid w:val="00553048"/>
    <w:rsid w:val="00553061"/>
    <w:rsid w:val="005530A4"/>
    <w:rsid w:val="005530D8"/>
    <w:rsid w:val="005530F3"/>
    <w:rsid w:val="00553103"/>
    <w:rsid w:val="00553121"/>
    <w:rsid w:val="0055315A"/>
    <w:rsid w:val="00553171"/>
    <w:rsid w:val="0055325C"/>
    <w:rsid w:val="00553271"/>
    <w:rsid w:val="00553297"/>
    <w:rsid w:val="005532A6"/>
    <w:rsid w:val="005532AE"/>
    <w:rsid w:val="005532BF"/>
    <w:rsid w:val="005532F6"/>
    <w:rsid w:val="0055333C"/>
    <w:rsid w:val="0055336D"/>
    <w:rsid w:val="005533A6"/>
    <w:rsid w:val="00553417"/>
    <w:rsid w:val="00553592"/>
    <w:rsid w:val="00553655"/>
    <w:rsid w:val="0055367F"/>
    <w:rsid w:val="00553685"/>
    <w:rsid w:val="005536FF"/>
    <w:rsid w:val="00553700"/>
    <w:rsid w:val="00553727"/>
    <w:rsid w:val="00553753"/>
    <w:rsid w:val="00553756"/>
    <w:rsid w:val="00553792"/>
    <w:rsid w:val="005537DE"/>
    <w:rsid w:val="00553821"/>
    <w:rsid w:val="0055383C"/>
    <w:rsid w:val="00553888"/>
    <w:rsid w:val="005538D3"/>
    <w:rsid w:val="005538EA"/>
    <w:rsid w:val="00553924"/>
    <w:rsid w:val="00553931"/>
    <w:rsid w:val="00553933"/>
    <w:rsid w:val="0055393F"/>
    <w:rsid w:val="00553961"/>
    <w:rsid w:val="00553969"/>
    <w:rsid w:val="00553971"/>
    <w:rsid w:val="00553A51"/>
    <w:rsid w:val="00553A6D"/>
    <w:rsid w:val="00553A77"/>
    <w:rsid w:val="00553A9C"/>
    <w:rsid w:val="00553AF2"/>
    <w:rsid w:val="00553AF5"/>
    <w:rsid w:val="00553B31"/>
    <w:rsid w:val="00553B3A"/>
    <w:rsid w:val="00553BF3"/>
    <w:rsid w:val="00553C1C"/>
    <w:rsid w:val="00553C6D"/>
    <w:rsid w:val="00553C6F"/>
    <w:rsid w:val="00553C71"/>
    <w:rsid w:val="00553C95"/>
    <w:rsid w:val="00553C97"/>
    <w:rsid w:val="00553C98"/>
    <w:rsid w:val="00553CEA"/>
    <w:rsid w:val="00553CF4"/>
    <w:rsid w:val="00553D11"/>
    <w:rsid w:val="00553D4F"/>
    <w:rsid w:val="00553DCB"/>
    <w:rsid w:val="00553DE7"/>
    <w:rsid w:val="00553E16"/>
    <w:rsid w:val="00553E4B"/>
    <w:rsid w:val="00553E59"/>
    <w:rsid w:val="00553E76"/>
    <w:rsid w:val="00553E7D"/>
    <w:rsid w:val="00553E80"/>
    <w:rsid w:val="00553E99"/>
    <w:rsid w:val="00553EAB"/>
    <w:rsid w:val="00553EBB"/>
    <w:rsid w:val="00553ED7"/>
    <w:rsid w:val="00553EE2"/>
    <w:rsid w:val="00553FAF"/>
    <w:rsid w:val="00553FDA"/>
    <w:rsid w:val="00553FDB"/>
    <w:rsid w:val="00554049"/>
    <w:rsid w:val="0055410C"/>
    <w:rsid w:val="00554170"/>
    <w:rsid w:val="00554179"/>
    <w:rsid w:val="00554180"/>
    <w:rsid w:val="00554191"/>
    <w:rsid w:val="005542D2"/>
    <w:rsid w:val="005542DA"/>
    <w:rsid w:val="005542F5"/>
    <w:rsid w:val="0055433C"/>
    <w:rsid w:val="00554345"/>
    <w:rsid w:val="0055438A"/>
    <w:rsid w:val="005543B3"/>
    <w:rsid w:val="005543C2"/>
    <w:rsid w:val="00554445"/>
    <w:rsid w:val="005544A9"/>
    <w:rsid w:val="00554537"/>
    <w:rsid w:val="00554556"/>
    <w:rsid w:val="00554567"/>
    <w:rsid w:val="0055457C"/>
    <w:rsid w:val="005545F4"/>
    <w:rsid w:val="0055465B"/>
    <w:rsid w:val="00554676"/>
    <w:rsid w:val="005546E2"/>
    <w:rsid w:val="005547AC"/>
    <w:rsid w:val="005547AF"/>
    <w:rsid w:val="005547E0"/>
    <w:rsid w:val="005547E9"/>
    <w:rsid w:val="00554830"/>
    <w:rsid w:val="0055485E"/>
    <w:rsid w:val="00554878"/>
    <w:rsid w:val="00554896"/>
    <w:rsid w:val="005548AD"/>
    <w:rsid w:val="005548F3"/>
    <w:rsid w:val="005548FA"/>
    <w:rsid w:val="00554905"/>
    <w:rsid w:val="0055492A"/>
    <w:rsid w:val="00554953"/>
    <w:rsid w:val="0055498A"/>
    <w:rsid w:val="005549C6"/>
    <w:rsid w:val="005549CF"/>
    <w:rsid w:val="005549D4"/>
    <w:rsid w:val="00554A0F"/>
    <w:rsid w:val="00554A84"/>
    <w:rsid w:val="00554B20"/>
    <w:rsid w:val="00554B2D"/>
    <w:rsid w:val="00554B45"/>
    <w:rsid w:val="00554B52"/>
    <w:rsid w:val="00554B90"/>
    <w:rsid w:val="00554B98"/>
    <w:rsid w:val="00554BFF"/>
    <w:rsid w:val="00554C03"/>
    <w:rsid w:val="00554C1E"/>
    <w:rsid w:val="00554C79"/>
    <w:rsid w:val="00554C7A"/>
    <w:rsid w:val="00554CC4"/>
    <w:rsid w:val="00554CFC"/>
    <w:rsid w:val="00554D20"/>
    <w:rsid w:val="00554D5A"/>
    <w:rsid w:val="00554D5B"/>
    <w:rsid w:val="00554D85"/>
    <w:rsid w:val="00554D86"/>
    <w:rsid w:val="00554D8A"/>
    <w:rsid w:val="00554DBB"/>
    <w:rsid w:val="00554DF5"/>
    <w:rsid w:val="00554E6B"/>
    <w:rsid w:val="00554E93"/>
    <w:rsid w:val="00554EB1"/>
    <w:rsid w:val="00554EE6"/>
    <w:rsid w:val="00554F24"/>
    <w:rsid w:val="00554F2C"/>
    <w:rsid w:val="00554F57"/>
    <w:rsid w:val="00554F64"/>
    <w:rsid w:val="00554FEB"/>
    <w:rsid w:val="00554FEF"/>
    <w:rsid w:val="00554FF1"/>
    <w:rsid w:val="00555006"/>
    <w:rsid w:val="005550C2"/>
    <w:rsid w:val="005550CD"/>
    <w:rsid w:val="005550DA"/>
    <w:rsid w:val="005551AB"/>
    <w:rsid w:val="005551F4"/>
    <w:rsid w:val="0055526E"/>
    <w:rsid w:val="00555284"/>
    <w:rsid w:val="00555290"/>
    <w:rsid w:val="005552A0"/>
    <w:rsid w:val="005552AB"/>
    <w:rsid w:val="00555308"/>
    <w:rsid w:val="0055531B"/>
    <w:rsid w:val="00555327"/>
    <w:rsid w:val="0055535C"/>
    <w:rsid w:val="00555398"/>
    <w:rsid w:val="005553B2"/>
    <w:rsid w:val="005553BF"/>
    <w:rsid w:val="005553E1"/>
    <w:rsid w:val="005553E9"/>
    <w:rsid w:val="00555402"/>
    <w:rsid w:val="00555407"/>
    <w:rsid w:val="0055542D"/>
    <w:rsid w:val="00555466"/>
    <w:rsid w:val="005554C6"/>
    <w:rsid w:val="005554D0"/>
    <w:rsid w:val="00555517"/>
    <w:rsid w:val="0055552C"/>
    <w:rsid w:val="005555BC"/>
    <w:rsid w:val="005555ED"/>
    <w:rsid w:val="0055561B"/>
    <w:rsid w:val="0055562D"/>
    <w:rsid w:val="00555659"/>
    <w:rsid w:val="00555699"/>
    <w:rsid w:val="005556D1"/>
    <w:rsid w:val="005556DD"/>
    <w:rsid w:val="005556E0"/>
    <w:rsid w:val="005556E6"/>
    <w:rsid w:val="005556E7"/>
    <w:rsid w:val="00555727"/>
    <w:rsid w:val="00555732"/>
    <w:rsid w:val="00555734"/>
    <w:rsid w:val="00555743"/>
    <w:rsid w:val="00555744"/>
    <w:rsid w:val="005557D0"/>
    <w:rsid w:val="005557F7"/>
    <w:rsid w:val="0055584F"/>
    <w:rsid w:val="00555856"/>
    <w:rsid w:val="0055585E"/>
    <w:rsid w:val="00555874"/>
    <w:rsid w:val="00555934"/>
    <w:rsid w:val="00555935"/>
    <w:rsid w:val="005559DC"/>
    <w:rsid w:val="005559E6"/>
    <w:rsid w:val="00555A3B"/>
    <w:rsid w:val="00555A5C"/>
    <w:rsid w:val="00555ACC"/>
    <w:rsid w:val="00555B05"/>
    <w:rsid w:val="00555BA3"/>
    <w:rsid w:val="00555BFB"/>
    <w:rsid w:val="00555C1B"/>
    <w:rsid w:val="00555C4D"/>
    <w:rsid w:val="00555CA7"/>
    <w:rsid w:val="00555CDD"/>
    <w:rsid w:val="00555D39"/>
    <w:rsid w:val="00555DDA"/>
    <w:rsid w:val="00555E45"/>
    <w:rsid w:val="00555EF4"/>
    <w:rsid w:val="0055606D"/>
    <w:rsid w:val="0055608D"/>
    <w:rsid w:val="0055608E"/>
    <w:rsid w:val="005560A6"/>
    <w:rsid w:val="005560D7"/>
    <w:rsid w:val="005560FE"/>
    <w:rsid w:val="00556115"/>
    <w:rsid w:val="0055612A"/>
    <w:rsid w:val="0055612B"/>
    <w:rsid w:val="0055618C"/>
    <w:rsid w:val="0055624A"/>
    <w:rsid w:val="0055625D"/>
    <w:rsid w:val="005562AA"/>
    <w:rsid w:val="005562AE"/>
    <w:rsid w:val="005562E2"/>
    <w:rsid w:val="005563A8"/>
    <w:rsid w:val="005563B9"/>
    <w:rsid w:val="005563F3"/>
    <w:rsid w:val="0055644C"/>
    <w:rsid w:val="00556457"/>
    <w:rsid w:val="005564AD"/>
    <w:rsid w:val="005564BF"/>
    <w:rsid w:val="00556523"/>
    <w:rsid w:val="00556532"/>
    <w:rsid w:val="0055654D"/>
    <w:rsid w:val="00556558"/>
    <w:rsid w:val="0055655C"/>
    <w:rsid w:val="005565D8"/>
    <w:rsid w:val="005565DB"/>
    <w:rsid w:val="005565E9"/>
    <w:rsid w:val="005565F6"/>
    <w:rsid w:val="005565FE"/>
    <w:rsid w:val="00556601"/>
    <w:rsid w:val="005566F2"/>
    <w:rsid w:val="005567B0"/>
    <w:rsid w:val="005567B4"/>
    <w:rsid w:val="005567F1"/>
    <w:rsid w:val="005568CE"/>
    <w:rsid w:val="005568F0"/>
    <w:rsid w:val="0055698D"/>
    <w:rsid w:val="005569A7"/>
    <w:rsid w:val="005569CF"/>
    <w:rsid w:val="005569FF"/>
    <w:rsid w:val="00556A7B"/>
    <w:rsid w:val="00556AE8"/>
    <w:rsid w:val="00556AED"/>
    <w:rsid w:val="00556AF2"/>
    <w:rsid w:val="00556BB3"/>
    <w:rsid w:val="00556BE7"/>
    <w:rsid w:val="00556C34"/>
    <w:rsid w:val="00556C84"/>
    <w:rsid w:val="00556C8B"/>
    <w:rsid w:val="00556D63"/>
    <w:rsid w:val="00556D92"/>
    <w:rsid w:val="00556DB7"/>
    <w:rsid w:val="00556DF0"/>
    <w:rsid w:val="00556E0E"/>
    <w:rsid w:val="00556E1E"/>
    <w:rsid w:val="00556E7A"/>
    <w:rsid w:val="00556E80"/>
    <w:rsid w:val="00556EB7"/>
    <w:rsid w:val="00556F30"/>
    <w:rsid w:val="00556F7E"/>
    <w:rsid w:val="0055701B"/>
    <w:rsid w:val="00557030"/>
    <w:rsid w:val="00557077"/>
    <w:rsid w:val="005570C7"/>
    <w:rsid w:val="005570EA"/>
    <w:rsid w:val="005570F8"/>
    <w:rsid w:val="00557102"/>
    <w:rsid w:val="00557118"/>
    <w:rsid w:val="00557120"/>
    <w:rsid w:val="0055714B"/>
    <w:rsid w:val="0055715C"/>
    <w:rsid w:val="00557190"/>
    <w:rsid w:val="00557259"/>
    <w:rsid w:val="005572EF"/>
    <w:rsid w:val="0055734E"/>
    <w:rsid w:val="0055738D"/>
    <w:rsid w:val="0055738E"/>
    <w:rsid w:val="005573C7"/>
    <w:rsid w:val="005573E7"/>
    <w:rsid w:val="00557400"/>
    <w:rsid w:val="0055743B"/>
    <w:rsid w:val="0055743E"/>
    <w:rsid w:val="00557498"/>
    <w:rsid w:val="005574C3"/>
    <w:rsid w:val="005574C6"/>
    <w:rsid w:val="005574D4"/>
    <w:rsid w:val="005574F4"/>
    <w:rsid w:val="00557515"/>
    <w:rsid w:val="0055753F"/>
    <w:rsid w:val="00557593"/>
    <w:rsid w:val="005575B8"/>
    <w:rsid w:val="005575E0"/>
    <w:rsid w:val="005575E7"/>
    <w:rsid w:val="005575F0"/>
    <w:rsid w:val="00557604"/>
    <w:rsid w:val="00557614"/>
    <w:rsid w:val="0055762F"/>
    <w:rsid w:val="0055763B"/>
    <w:rsid w:val="00557712"/>
    <w:rsid w:val="0055771D"/>
    <w:rsid w:val="00557755"/>
    <w:rsid w:val="0055776F"/>
    <w:rsid w:val="00557787"/>
    <w:rsid w:val="005577A0"/>
    <w:rsid w:val="005577AA"/>
    <w:rsid w:val="005577B7"/>
    <w:rsid w:val="005578FC"/>
    <w:rsid w:val="005579D9"/>
    <w:rsid w:val="005579E3"/>
    <w:rsid w:val="00557A63"/>
    <w:rsid w:val="00557A76"/>
    <w:rsid w:val="00557AB4"/>
    <w:rsid w:val="00557ADB"/>
    <w:rsid w:val="00557AE4"/>
    <w:rsid w:val="00557B3D"/>
    <w:rsid w:val="00557B66"/>
    <w:rsid w:val="00557B80"/>
    <w:rsid w:val="00557CA4"/>
    <w:rsid w:val="00557D37"/>
    <w:rsid w:val="00557DC8"/>
    <w:rsid w:val="00557E8A"/>
    <w:rsid w:val="00557EE7"/>
    <w:rsid w:val="00557EF7"/>
    <w:rsid w:val="00557F19"/>
    <w:rsid w:val="00557F3F"/>
    <w:rsid w:val="00557FAF"/>
    <w:rsid w:val="00557FC0"/>
    <w:rsid w:val="00560017"/>
    <w:rsid w:val="00560026"/>
    <w:rsid w:val="00560032"/>
    <w:rsid w:val="00560062"/>
    <w:rsid w:val="0056009C"/>
    <w:rsid w:val="005600A1"/>
    <w:rsid w:val="005600A3"/>
    <w:rsid w:val="005600AE"/>
    <w:rsid w:val="005600B5"/>
    <w:rsid w:val="00560105"/>
    <w:rsid w:val="00560145"/>
    <w:rsid w:val="00560154"/>
    <w:rsid w:val="005601B7"/>
    <w:rsid w:val="00560211"/>
    <w:rsid w:val="00560214"/>
    <w:rsid w:val="005602D5"/>
    <w:rsid w:val="005602EC"/>
    <w:rsid w:val="005602EE"/>
    <w:rsid w:val="00560332"/>
    <w:rsid w:val="005603C2"/>
    <w:rsid w:val="005604CA"/>
    <w:rsid w:val="005604D4"/>
    <w:rsid w:val="0056056E"/>
    <w:rsid w:val="00560597"/>
    <w:rsid w:val="005605B5"/>
    <w:rsid w:val="005605E0"/>
    <w:rsid w:val="00560618"/>
    <w:rsid w:val="00560649"/>
    <w:rsid w:val="00560664"/>
    <w:rsid w:val="00560675"/>
    <w:rsid w:val="005606DF"/>
    <w:rsid w:val="00560713"/>
    <w:rsid w:val="00560737"/>
    <w:rsid w:val="005607CC"/>
    <w:rsid w:val="005607D9"/>
    <w:rsid w:val="00560827"/>
    <w:rsid w:val="00560835"/>
    <w:rsid w:val="005608AD"/>
    <w:rsid w:val="00560920"/>
    <w:rsid w:val="00560929"/>
    <w:rsid w:val="005609AE"/>
    <w:rsid w:val="005609D3"/>
    <w:rsid w:val="00560AC9"/>
    <w:rsid w:val="00560B43"/>
    <w:rsid w:val="00560B5B"/>
    <w:rsid w:val="00560B6B"/>
    <w:rsid w:val="00560BBB"/>
    <w:rsid w:val="00560C2A"/>
    <w:rsid w:val="00560C59"/>
    <w:rsid w:val="00560CA0"/>
    <w:rsid w:val="00560CAD"/>
    <w:rsid w:val="00560CDA"/>
    <w:rsid w:val="00560CE6"/>
    <w:rsid w:val="00560D06"/>
    <w:rsid w:val="00560D4C"/>
    <w:rsid w:val="00560D94"/>
    <w:rsid w:val="00560DB7"/>
    <w:rsid w:val="00560E12"/>
    <w:rsid w:val="00560E28"/>
    <w:rsid w:val="00560E58"/>
    <w:rsid w:val="00560E8C"/>
    <w:rsid w:val="00560E90"/>
    <w:rsid w:val="00560EAC"/>
    <w:rsid w:val="00560EC5"/>
    <w:rsid w:val="00560EE5"/>
    <w:rsid w:val="00560F6D"/>
    <w:rsid w:val="00560FA2"/>
    <w:rsid w:val="00560FA4"/>
    <w:rsid w:val="00560FB8"/>
    <w:rsid w:val="00560FBC"/>
    <w:rsid w:val="00560FD8"/>
    <w:rsid w:val="00560FD9"/>
    <w:rsid w:val="0056100E"/>
    <w:rsid w:val="0056108E"/>
    <w:rsid w:val="00561092"/>
    <w:rsid w:val="005610B3"/>
    <w:rsid w:val="005610C7"/>
    <w:rsid w:val="005610D8"/>
    <w:rsid w:val="005610F1"/>
    <w:rsid w:val="005610FA"/>
    <w:rsid w:val="00561120"/>
    <w:rsid w:val="00561129"/>
    <w:rsid w:val="0056113C"/>
    <w:rsid w:val="0056117F"/>
    <w:rsid w:val="00561184"/>
    <w:rsid w:val="0056118D"/>
    <w:rsid w:val="0056123F"/>
    <w:rsid w:val="00561255"/>
    <w:rsid w:val="0056125C"/>
    <w:rsid w:val="00561265"/>
    <w:rsid w:val="005612D4"/>
    <w:rsid w:val="005612D8"/>
    <w:rsid w:val="005612F1"/>
    <w:rsid w:val="005612F3"/>
    <w:rsid w:val="0056133A"/>
    <w:rsid w:val="00561359"/>
    <w:rsid w:val="0056135A"/>
    <w:rsid w:val="0056137B"/>
    <w:rsid w:val="00561380"/>
    <w:rsid w:val="005613AC"/>
    <w:rsid w:val="005613EB"/>
    <w:rsid w:val="0056144B"/>
    <w:rsid w:val="005614B6"/>
    <w:rsid w:val="0056151A"/>
    <w:rsid w:val="00561586"/>
    <w:rsid w:val="00561607"/>
    <w:rsid w:val="00561731"/>
    <w:rsid w:val="0056174F"/>
    <w:rsid w:val="00561759"/>
    <w:rsid w:val="005617A6"/>
    <w:rsid w:val="005617B5"/>
    <w:rsid w:val="005617C1"/>
    <w:rsid w:val="00561825"/>
    <w:rsid w:val="00561827"/>
    <w:rsid w:val="00561837"/>
    <w:rsid w:val="0056183B"/>
    <w:rsid w:val="00561880"/>
    <w:rsid w:val="00561897"/>
    <w:rsid w:val="0056189C"/>
    <w:rsid w:val="00561907"/>
    <w:rsid w:val="0056190C"/>
    <w:rsid w:val="0056191B"/>
    <w:rsid w:val="0056193B"/>
    <w:rsid w:val="00561A1E"/>
    <w:rsid w:val="00561A26"/>
    <w:rsid w:val="00561AB7"/>
    <w:rsid w:val="00561B3D"/>
    <w:rsid w:val="00561B5C"/>
    <w:rsid w:val="00561C08"/>
    <w:rsid w:val="00561C15"/>
    <w:rsid w:val="00561C5E"/>
    <w:rsid w:val="00561C92"/>
    <w:rsid w:val="00561D3D"/>
    <w:rsid w:val="00561D69"/>
    <w:rsid w:val="00561DA4"/>
    <w:rsid w:val="00561DCF"/>
    <w:rsid w:val="00561E75"/>
    <w:rsid w:val="00561E7C"/>
    <w:rsid w:val="00561E87"/>
    <w:rsid w:val="00561EAC"/>
    <w:rsid w:val="00561EB2"/>
    <w:rsid w:val="00561EB3"/>
    <w:rsid w:val="00561EF4"/>
    <w:rsid w:val="00561EFB"/>
    <w:rsid w:val="00561F32"/>
    <w:rsid w:val="00561FEA"/>
    <w:rsid w:val="00562016"/>
    <w:rsid w:val="0056202B"/>
    <w:rsid w:val="00562051"/>
    <w:rsid w:val="0056208B"/>
    <w:rsid w:val="00562148"/>
    <w:rsid w:val="00562181"/>
    <w:rsid w:val="0056218B"/>
    <w:rsid w:val="005621CC"/>
    <w:rsid w:val="00562215"/>
    <w:rsid w:val="00562232"/>
    <w:rsid w:val="0056224E"/>
    <w:rsid w:val="00562254"/>
    <w:rsid w:val="0056225E"/>
    <w:rsid w:val="0056226D"/>
    <w:rsid w:val="00562283"/>
    <w:rsid w:val="005622BD"/>
    <w:rsid w:val="005622F6"/>
    <w:rsid w:val="00562308"/>
    <w:rsid w:val="00562338"/>
    <w:rsid w:val="0056234B"/>
    <w:rsid w:val="0056234E"/>
    <w:rsid w:val="005623A5"/>
    <w:rsid w:val="005624D3"/>
    <w:rsid w:val="005624E2"/>
    <w:rsid w:val="00562506"/>
    <w:rsid w:val="00562513"/>
    <w:rsid w:val="00562514"/>
    <w:rsid w:val="0056254C"/>
    <w:rsid w:val="00562570"/>
    <w:rsid w:val="005625C2"/>
    <w:rsid w:val="0056267F"/>
    <w:rsid w:val="0056268C"/>
    <w:rsid w:val="005626A2"/>
    <w:rsid w:val="0056273F"/>
    <w:rsid w:val="00562746"/>
    <w:rsid w:val="00562759"/>
    <w:rsid w:val="005627E8"/>
    <w:rsid w:val="0056281F"/>
    <w:rsid w:val="0056284E"/>
    <w:rsid w:val="00562873"/>
    <w:rsid w:val="0056288B"/>
    <w:rsid w:val="00562899"/>
    <w:rsid w:val="005628F1"/>
    <w:rsid w:val="005628F5"/>
    <w:rsid w:val="0056294A"/>
    <w:rsid w:val="00562965"/>
    <w:rsid w:val="0056298F"/>
    <w:rsid w:val="005629D4"/>
    <w:rsid w:val="005629E3"/>
    <w:rsid w:val="00562A28"/>
    <w:rsid w:val="00562A2F"/>
    <w:rsid w:val="00562A4A"/>
    <w:rsid w:val="00562AC4"/>
    <w:rsid w:val="00562AC7"/>
    <w:rsid w:val="00562B06"/>
    <w:rsid w:val="00562B3C"/>
    <w:rsid w:val="00562C68"/>
    <w:rsid w:val="00562C8D"/>
    <w:rsid w:val="00562CA7"/>
    <w:rsid w:val="00562CF3"/>
    <w:rsid w:val="00562D01"/>
    <w:rsid w:val="00562D18"/>
    <w:rsid w:val="00562D3B"/>
    <w:rsid w:val="00562D5A"/>
    <w:rsid w:val="00562DAE"/>
    <w:rsid w:val="00562DCC"/>
    <w:rsid w:val="00562E12"/>
    <w:rsid w:val="00562E59"/>
    <w:rsid w:val="00562E65"/>
    <w:rsid w:val="00562EDE"/>
    <w:rsid w:val="00562EEB"/>
    <w:rsid w:val="00562F17"/>
    <w:rsid w:val="00562F6D"/>
    <w:rsid w:val="00562F78"/>
    <w:rsid w:val="0056304B"/>
    <w:rsid w:val="00563057"/>
    <w:rsid w:val="0056308E"/>
    <w:rsid w:val="005630A6"/>
    <w:rsid w:val="005630D2"/>
    <w:rsid w:val="00563100"/>
    <w:rsid w:val="0056319E"/>
    <w:rsid w:val="005631DB"/>
    <w:rsid w:val="00563223"/>
    <w:rsid w:val="00563255"/>
    <w:rsid w:val="0056333F"/>
    <w:rsid w:val="00563387"/>
    <w:rsid w:val="005633F8"/>
    <w:rsid w:val="0056341C"/>
    <w:rsid w:val="0056348C"/>
    <w:rsid w:val="005634A6"/>
    <w:rsid w:val="005634CD"/>
    <w:rsid w:val="005634EF"/>
    <w:rsid w:val="0056354D"/>
    <w:rsid w:val="0056357D"/>
    <w:rsid w:val="005635A4"/>
    <w:rsid w:val="005635B3"/>
    <w:rsid w:val="005635EB"/>
    <w:rsid w:val="005635FC"/>
    <w:rsid w:val="00563649"/>
    <w:rsid w:val="00563675"/>
    <w:rsid w:val="00563686"/>
    <w:rsid w:val="00563745"/>
    <w:rsid w:val="00563757"/>
    <w:rsid w:val="005637AB"/>
    <w:rsid w:val="005637BD"/>
    <w:rsid w:val="00563834"/>
    <w:rsid w:val="00563836"/>
    <w:rsid w:val="00563845"/>
    <w:rsid w:val="00563857"/>
    <w:rsid w:val="0056387B"/>
    <w:rsid w:val="0056388A"/>
    <w:rsid w:val="005638C5"/>
    <w:rsid w:val="005638C6"/>
    <w:rsid w:val="005638D4"/>
    <w:rsid w:val="005638DC"/>
    <w:rsid w:val="00563913"/>
    <w:rsid w:val="00563915"/>
    <w:rsid w:val="00563921"/>
    <w:rsid w:val="00563932"/>
    <w:rsid w:val="00563967"/>
    <w:rsid w:val="00563978"/>
    <w:rsid w:val="0056397B"/>
    <w:rsid w:val="005639BC"/>
    <w:rsid w:val="005639C0"/>
    <w:rsid w:val="005639D6"/>
    <w:rsid w:val="00563A2E"/>
    <w:rsid w:val="00563A47"/>
    <w:rsid w:val="00563A5F"/>
    <w:rsid w:val="00563A80"/>
    <w:rsid w:val="00563AC0"/>
    <w:rsid w:val="00563B38"/>
    <w:rsid w:val="00563BD5"/>
    <w:rsid w:val="00563BF4"/>
    <w:rsid w:val="00563C06"/>
    <w:rsid w:val="00563C27"/>
    <w:rsid w:val="00563C6D"/>
    <w:rsid w:val="00563CAF"/>
    <w:rsid w:val="00563CE4"/>
    <w:rsid w:val="00563D3A"/>
    <w:rsid w:val="00563DE4"/>
    <w:rsid w:val="00563DEC"/>
    <w:rsid w:val="00563E8A"/>
    <w:rsid w:val="00563F22"/>
    <w:rsid w:val="00563F27"/>
    <w:rsid w:val="00563F2E"/>
    <w:rsid w:val="00563FA9"/>
    <w:rsid w:val="00563FC9"/>
    <w:rsid w:val="0056404C"/>
    <w:rsid w:val="0056408F"/>
    <w:rsid w:val="005640C3"/>
    <w:rsid w:val="005640F0"/>
    <w:rsid w:val="0056416D"/>
    <w:rsid w:val="0056416E"/>
    <w:rsid w:val="0056417C"/>
    <w:rsid w:val="00564253"/>
    <w:rsid w:val="00564256"/>
    <w:rsid w:val="00564269"/>
    <w:rsid w:val="005642B8"/>
    <w:rsid w:val="005642D9"/>
    <w:rsid w:val="00564329"/>
    <w:rsid w:val="00564360"/>
    <w:rsid w:val="00564363"/>
    <w:rsid w:val="0056438E"/>
    <w:rsid w:val="0056439F"/>
    <w:rsid w:val="005643BB"/>
    <w:rsid w:val="005643CF"/>
    <w:rsid w:val="00564493"/>
    <w:rsid w:val="005644A6"/>
    <w:rsid w:val="005644BF"/>
    <w:rsid w:val="0056451B"/>
    <w:rsid w:val="00564526"/>
    <w:rsid w:val="00564553"/>
    <w:rsid w:val="00564556"/>
    <w:rsid w:val="00564567"/>
    <w:rsid w:val="00564571"/>
    <w:rsid w:val="0056459F"/>
    <w:rsid w:val="0056464A"/>
    <w:rsid w:val="0056465C"/>
    <w:rsid w:val="005646DA"/>
    <w:rsid w:val="0056470E"/>
    <w:rsid w:val="0056482E"/>
    <w:rsid w:val="0056489D"/>
    <w:rsid w:val="005649A7"/>
    <w:rsid w:val="005649A8"/>
    <w:rsid w:val="005649D1"/>
    <w:rsid w:val="00564A2D"/>
    <w:rsid w:val="00564A4E"/>
    <w:rsid w:val="00564A59"/>
    <w:rsid w:val="00564AF4"/>
    <w:rsid w:val="00564B44"/>
    <w:rsid w:val="00564B5C"/>
    <w:rsid w:val="00564B62"/>
    <w:rsid w:val="00564B7D"/>
    <w:rsid w:val="00564BFF"/>
    <w:rsid w:val="00564C17"/>
    <w:rsid w:val="00564C1C"/>
    <w:rsid w:val="00564C30"/>
    <w:rsid w:val="00564C64"/>
    <w:rsid w:val="00564C7A"/>
    <w:rsid w:val="00564C8F"/>
    <w:rsid w:val="00564CE2"/>
    <w:rsid w:val="00564D17"/>
    <w:rsid w:val="00564D6B"/>
    <w:rsid w:val="00564DC1"/>
    <w:rsid w:val="00564DC6"/>
    <w:rsid w:val="00564E59"/>
    <w:rsid w:val="00564EA9"/>
    <w:rsid w:val="00564EAD"/>
    <w:rsid w:val="00564ED6"/>
    <w:rsid w:val="00564F0D"/>
    <w:rsid w:val="00564F69"/>
    <w:rsid w:val="00564F87"/>
    <w:rsid w:val="00564FA5"/>
    <w:rsid w:val="00564FC0"/>
    <w:rsid w:val="00564FC7"/>
    <w:rsid w:val="0056503D"/>
    <w:rsid w:val="00565071"/>
    <w:rsid w:val="0056507B"/>
    <w:rsid w:val="00565082"/>
    <w:rsid w:val="0056509D"/>
    <w:rsid w:val="005650C9"/>
    <w:rsid w:val="005650D5"/>
    <w:rsid w:val="0056512E"/>
    <w:rsid w:val="0056513A"/>
    <w:rsid w:val="0056513B"/>
    <w:rsid w:val="00565141"/>
    <w:rsid w:val="0056514A"/>
    <w:rsid w:val="00565150"/>
    <w:rsid w:val="00565177"/>
    <w:rsid w:val="005651A2"/>
    <w:rsid w:val="005651D4"/>
    <w:rsid w:val="00565249"/>
    <w:rsid w:val="00565263"/>
    <w:rsid w:val="00565264"/>
    <w:rsid w:val="0056526C"/>
    <w:rsid w:val="00565281"/>
    <w:rsid w:val="0056528A"/>
    <w:rsid w:val="005652BD"/>
    <w:rsid w:val="005652D2"/>
    <w:rsid w:val="005652ED"/>
    <w:rsid w:val="00565313"/>
    <w:rsid w:val="00565321"/>
    <w:rsid w:val="00565340"/>
    <w:rsid w:val="00565344"/>
    <w:rsid w:val="0056535D"/>
    <w:rsid w:val="00565398"/>
    <w:rsid w:val="0056539C"/>
    <w:rsid w:val="005653B5"/>
    <w:rsid w:val="00565424"/>
    <w:rsid w:val="00565494"/>
    <w:rsid w:val="00565496"/>
    <w:rsid w:val="005654E0"/>
    <w:rsid w:val="00565551"/>
    <w:rsid w:val="00565595"/>
    <w:rsid w:val="005655B5"/>
    <w:rsid w:val="00565622"/>
    <w:rsid w:val="00565679"/>
    <w:rsid w:val="00565699"/>
    <w:rsid w:val="005656DD"/>
    <w:rsid w:val="0056571B"/>
    <w:rsid w:val="00565799"/>
    <w:rsid w:val="005657EF"/>
    <w:rsid w:val="0056580C"/>
    <w:rsid w:val="0056582C"/>
    <w:rsid w:val="00565845"/>
    <w:rsid w:val="0056587A"/>
    <w:rsid w:val="005658AB"/>
    <w:rsid w:val="005658B6"/>
    <w:rsid w:val="00565919"/>
    <w:rsid w:val="00565938"/>
    <w:rsid w:val="00565958"/>
    <w:rsid w:val="00565963"/>
    <w:rsid w:val="005659E1"/>
    <w:rsid w:val="005659F9"/>
    <w:rsid w:val="00565A5A"/>
    <w:rsid w:val="00565A71"/>
    <w:rsid w:val="00565AE5"/>
    <w:rsid w:val="00565B25"/>
    <w:rsid w:val="00565B41"/>
    <w:rsid w:val="00565BAE"/>
    <w:rsid w:val="00565C2C"/>
    <w:rsid w:val="00565C3F"/>
    <w:rsid w:val="00565C73"/>
    <w:rsid w:val="00565C97"/>
    <w:rsid w:val="00565CB0"/>
    <w:rsid w:val="00565CC6"/>
    <w:rsid w:val="00565CCB"/>
    <w:rsid w:val="00565CD5"/>
    <w:rsid w:val="00565D31"/>
    <w:rsid w:val="00565E11"/>
    <w:rsid w:val="00565E19"/>
    <w:rsid w:val="00565E1A"/>
    <w:rsid w:val="00565E52"/>
    <w:rsid w:val="00565E98"/>
    <w:rsid w:val="00565EA4"/>
    <w:rsid w:val="00565F01"/>
    <w:rsid w:val="00565F69"/>
    <w:rsid w:val="00565F90"/>
    <w:rsid w:val="00565FCD"/>
    <w:rsid w:val="00566018"/>
    <w:rsid w:val="0056601C"/>
    <w:rsid w:val="0056601D"/>
    <w:rsid w:val="00566039"/>
    <w:rsid w:val="0056605E"/>
    <w:rsid w:val="00566079"/>
    <w:rsid w:val="00566091"/>
    <w:rsid w:val="005660A3"/>
    <w:rsid w:val="005660AD"/>
    <w:rsid w:val="005660BA"/>
    <w:rsid w:val="00566133"/>
    <w:rsid w:val="00566166"/>
    <w:rsid w:val="005661DA"/>
    <w:rsid w:val="00566211"/>
    <w:rsid w:val="0056624A"/>
    <w:rsid w:val="0056628F"/>
    <w:rsid w:val="005662A2"/>
    <w:rsid w:val="005662D8"/>
    <w:rsid w:val="005662F6"/>
    <w:rsid w:val="00566302"/>
    <w:rsid w:val="0056633F"/>
    <w:rsid w:val="00566345"/>
    <w:rsid w:val="00566354"/>
    <w:rsid w:val="00566362"/>
    <w:rsid w:val="00566367"/>
    <w:rsid w:val="00566372"/>
    <w:rsid w:val="005663C6"/>
    <w:rsid w:val="005663D6"/>
    <w:rsid w:val="005663DC"/>
    <w:rsid w:val="005663F3"/>
    <w:rsid w:val="005663FA"/>
    <w:rsid w:val="00566441"/>
    <w:rsid w:val="00566484"/>
    <w:rsid w:val="00566512"/>
    <w:rsid w:val="00566527"/>
    <w:rsid w:val="0056652C"/>
    <w:rsid w:val="0056656F"/>
    <w:rsid w:val="00566575"/>
    <w:rsid w:val="00566583"/>
    <w:rsid w:val="00566587"/>
    <w:rsid w:val="00566613"/>
    <w:rsid w:val="0056664F"/>
    <w:rsid w:val="005666E3"/>
    <w:rsid w:val="005666E6"/>
    <w:rsid w:val="005666ED"/>
    <w:rsid w:val="005666F8"/>
    <w:rsid w:val="005666F9"/>
    <w:rsid w:val="005666FF"/>
    <w:rsid w:val="00566720"/>
    <w:rsid w:val="00566748"/>
    <w:rsid w:val="00566769"/>
    <w:rsid w:val="005667A6"/>
    <w:rsid w:val="005667BF"/>
    <w:rsid w:val="00566837"/>
    <w:rsid w:val="0056689E"/>
    <w:rsid w:val="005668B2"/>
    <w:rsid w:val="0056691A"/>
    <w:rsid w:val="00566943"/>
    <w:rsid w:val="0056696E"/>
    <w:rsid w:val="00566985"/>
    <w:rsid w:val="005669B1"/>
    <w:rsid w:val="00566A2A"/>
    <w:rsid w:val="00566A31"/>
    <w:rsid w:val="00566A51"/>
    <w:rsid w:val="00566A94"/>
    <w:rsid w:val="00566AE5"/>
    <w:rsid w:val="00566AF0"/>
    <w:rsid w:val="00566B10"/>
    <w:rsid w:val="00566B83"/>
    <w:rsid w:val="00566B90"/>
    <w:rsid w:val="00566BCF"/>
    <w:rsid w:val="00566C33"/>
    <w:rsid w:val="00566C4B"/>
    <w:rsid w:val="00566CCB"/>
    <w:rsid w:val="00566CF9"/>
    <w:rsid w:val="00566CFA"/>
    <w:rsid w:val="00566D6A"/>
    <w:rsid w:val="00566E47"/>
    <w:rsid w:val="00566E64"/>
    <w:rsid w:val="00566EDC"/>
    <w:rsid w:val="00566F51"/>
    <w:rsid w:val="00566F81"/>
    <w:rsid w:val="00566F8A"/>
    <w:rsid w:val="00566FEF"/>
    <w:rsid w:val="00567014"/>
    <w:rsid w:val="0056703A"/>
    <w:rsid w:val="00567065"/>
    <w:rsid w:val="00567133"/>
    <w:rsid w:val="0056715A"/>
    <w:rsid w:val="00567195"/>
    <w:rsid w:val="005671D2"/>
    <w:rsid w:val="0056720B"/>
    <w:rsid w:val="00567243"/>
    <w:rsid w:val="00567247"/>
    <w:rsid w:val="0056727A"/>
    <w:rsid w:val="005672C1"/>
    <w:rsid w:val="005672C4"/>
    <w:rsid w:val="005672D3"/>
    <w:rsid w:val="00567336"/>
    <w:rsid w:val="00567380"/>
    <w:rsid w:val="005673B7"/>
    <w:rsid w:val="005673D9"/>
    <w:rsid w:val="00567400"/>
    <w:rsid w:val="0056740C"/>
    <w:rsid w:val="00567425"/>
    <w:rsid w:val="00567452"/>
    <w:rsid w:val="00567499"/>
    <w:rsid w:val="00567509"/>
    <w:rsid w:val="0056756F"/>
    <w:rsid w:val="005675A6"/>
    <w:rsid w:val="005675B8"/>
    <w:rsid w:val="005675F6"/>
    <w:rsid w:val="0056765A"/>
    <w:rsid w:val="00567684"/>
    <w:rsid w:val="005676B7"/>
    <w:rsid w:val="005676BA"/>
    <w:rsid w:val="005676CD"/>
    <w:rsid w:val="005676CE"/>
    <w:rsid w:val="005676E0"/>
    <w:rsid w:val="005676F4"/>
    <w:rsid w:val="0056776D"/>
    <w:rsid w:val="005677AD"/>
    <w:rsid w:val="005677E4"/>
    <w:rsid w:val="00567809"/>
    <w:rsid w:val="0056780A"/>
    <w:rsid w:val="00567824"/>
    <w:rsid w:val="00567828"/>
    <w:rsid w:val="00567831"/>
    <w:rsid w:val="00567883"/>
    <w:rsid w:val="00567893"/>
    <w:rsid w:val="0056789E"/>
    <w:rsid w:val="005678B4"/>
    <w:rsid w:val="00567944"/>
    <w:rsid w:val="00567949"/>
    <w:rsid w:val="00567953"/>
    <w:rsid w:val="005679C5"/>
    <w:rsid w:val="00567A14"/>
    <w:rsid w:val="00567A17"/>
    <w:rsid w:val="00567A3D"/>
    <w:rsid w:val="00567AAF"/>
    <w:rsid w:val="00567AC1"/>
    <w:rsid w:val="00567AC5"/>
    <w:rsid w:val="00567B48"/>
    <w:rsid w:val="00567B6C"/>
    <w:rsid w:val="00567C5F"/>
    <w:rsid w:val="00567C78"/>
    <w:rsid w:val="00567CAD"/>
    <w:rsid w:val="00567CFE"/>
    <w:rsid w:val="00567D0E"/>
    <w:rsid w:val="00567D32"/>
    <w:rsid w:val="00567D62"/>
    <w:rsid w:val="00567D91"/>
    <w:rsid w:val="00567DE8"/>
    <w:rsid w:val="00567E09"/>
    <w:rsid w:val="00567E82"/>
    <w:rsid w:val="00567ED1"/>
    <w:rsid w:val="00567EEB"/>
    <w:rsid w:val="00567F03"/>
    <w:rsid w:val="00567F3D"/>
    <w:rsid w:val="00570032"/>
    <w:rsid w:val="00570035"/>
    <w:rsid w:val="00570038"/>
    <w:rsid w:val="00570091"/>
    <w:rsid w:val="005700BC"/>
    <w:rsid w:val="005700DD"/>
    <w:rsid w:val="00570100"/>
    <w:rsid w:val="00570199"/>
    <w:rsid w:val="005701C2"/>
    <w:rsid w:val="005701F3"/>
    <w:rsid w:val="00570219"/>
    <w:rsid w:val="00570225"/>
    <w:rsid w:val="0057026E"/>
    <w:rsid w:val="005702BF"/>
    <w:rsid w:val="005702C9"/>
    <w:rsid w:val="00570330"/>
    <w:rsid w:val="00570343"/>
    <w:rsid w:val="005703DC"/>
    <w:rsid w:val="00570459"/>
    <w:rsid w:val="0057048A"/>
    <w:rsid w:val="005704CC"/>
    <w:rsid w:val="005704D8"/>
    <w:rsid w:val="005704F2"/>
    <w:rsid w:val="0057050A"/>
    <w:rsid w:val="0057054B"/>
    <w:rsid w:val="00570576"/>
    <w:rsid w:val="00570589"/>
    <w:rsid w:val="00570635"/>
    <w:rsid w:val="00570639"/>
    <w:rsid w:val="005706CD"/>
    <w:rsid w:val="005706DE"/>
    <w:rsid w:val="005707B3"/>
    <w:rsid w:val="005707C6"/>
    <w:rsid w:val="00570811"/>
    <w:rsid w:val="0057082E"/>
    <w:rsid w:val="005708DA"/>
    <w:rsid w:val="005708FE"/>
    <w:rsid w:val="00570946"/>
    <w:rsid w:val="00570964"/>
    <w:rsid w:val="00570982"/>
    <w:rsid w:val="005709A3"/>
    <w:rsid w:val="005709AA"/>
    <w:rsid w:val="005709AB"/>
    <w:rsid w:val="005709B0"/>
    <w:rsid w:val="005709DD"/>
    <w:rsid w:val="005709E9"/>
    <w:rsid w:val="00570A02"/>
    <w:rsid w:val="00570A06"/>
    <w:rsid w:val="00570A22"/>
    <w:rsid w:val="00570A3C"/>
    <w:rsid w:val="00570A3F"/>
    <w:rsid w:val="00570A6A"/>
    <w:rsid w:val="00570AA0"/>
    <w:rsid w:val="00570AAD"/>
    <w:rsid w:val="00570ADE"/>
    <w:rsid w:val="00570AF1"/>
    <w:rsid w:val="00570B38"/>
    <w:rsid w:val="00570B39"/>
    <w:rsid w:val="00570B53"/>
    <w:rsid w:val="00570B64"/>
    <w:rsid w:val="00570BAD"/>
    <w:rsid w:val="00570BBE"/>
    <w:rsid w:val="00570BCA"/>
    <w:rsid w:val="00570BE4"/>
    <w:rsid w:val="00570CA9"/>
    <w:rsid w:val="00570D0E"/>
    <w:rsid w:val="00570D21"/>
    <w:rsid w:val="00570D47"/>
    <w:rsid w:val="00570D90"/>
    <w:rsid w:val="00570DCF"/>
    <w:rsid w:val="00570DE4"/>
    <w:rsid w:val="00570DFA"/>
    <w:rsid w:val="00570E2E"/>
    <w:rsid w:val="00570E53"/>
    <w:rsid w:val="00570E68"/>
    <w:rsid w:val="00570E85"/>
    <w:rsid w:val="00570E8D"/>
    <w:rsid w:val="00570EAB"/>
    <w:rsid w:val="00570EBF"/>
    <w:rsid w:val="00570F03"/>
    <w:rsid w:val="00570FBF"/>
    <w:rsid w:val="00570FF7"/>
    <w:rsid w:val="00571030"/>
    <w:rsid w:val="00571075"/>
    <w:rsid w:val="0057108B"/>
    <w:rsid w:val="005710D6"/>
    <w:rsid w:val="005710D9"/>
    <w:rsid w:val="00571104"/>
    <w:rsid w:val="005711C3"/>
    <w:rsid w:val="005711DA"/>
    <w:rsid w:val="00571228"/>
    <w:rsid w:val="00571239"/>
    <w:rsid w:val="0057127C"/>
    <w:rsid w:val="005712D0"/>
    <w:rsid w:val="005712E3"/>
    <w:rsid w:val="005712E5"/>
    <w:rsid w:val="00571300"/>
    <w:rsid w:val="0057135E"/>
    <w:rsid w:val="005713EC"/>
    <w:rsid w:val="00571474"/>
    <w:rsid w:val="0057147E"/>
    <w:rsid w:val="0057156A"/>
    <w:rsid w:val="005715F8"/>
    <w:rsid w:val="00571651"/>
    <w:rsid w:val="0057168E"/>
    <w:rsid w:val="005716B6"/>
    <w:rsid w:val="005716C2"/>
    <w:rsid w:val="005716E9"/>
    <w:rsid w:val="00571723"/>
    <w:rsid w:val="00571783"/>
    <w:rsid w:val="00571793"/>
    <w:rsid w:val="0057179C"/>
    <w:rsid w:val="005717A2"/>
    <w:rsid w:val="005717C8"/>
    <w:rsid w:val="005717F2"/>
    <w:rsid w:val="0057183A"/>
    <w:rsid w:val="00571855"/>
    <w:rsid w:val="00571869"/>
    <w:rsid w:val="00571887"/>
    <w:rsid w:val="00571894"/>
    <w:rsid w:val="005718A7"/>
    <w:rsid w:val="005718AC"/>
    <w:rsid w:val="005718B4"/>
    <w:rsid w:val="005718F9"/>
    <w:rsid w:val="00571920"/>
    <w:rsid w:val="0057193F"/>
    <w:rsid w:val="00571965"/>
    <w:rsid w:val="00571980"/>
    <w:rsid w:val="00571985"/>
    <w:rsid w:val="005719AE"/>
    <w:rsid w:val="005719EC"/>
    <w:rsid w:val="00571A61"/>
    <w:rsid w:val="00571A67"/>
    <w:rsid w:val="00571A69"/>
    <w:rsid w:val="00571A8B"/>
    <w:rsid w:val="00571ACD"/>
    <w:rsid w:val="00571B13"/>
    <w:rsid w:val="00571B3B"/>
    <w:rsid w:val="00571B48"/>
    <w:rsid w:val="00571B78"/>
    <w:rsid w:val="00571BA3"/>
    <w:rsid w:val="00571BB1"/>
    <w:rsid w:val="00571C5A"/>
    <w:rsid w:val="00571C6C"/>
    <w:rsid w:val="00571C99"/>
    <w:rsid w:val="00571D04"/>
    <w:rsid w:val="00571D25"/>
    <w:rsid w:val="00571D3C"/>
    <w:rsid w:val="00571D5A"/>
    <w:rsid w:val="00571D79"/>
    <w:rsid w:val="00571DAA"/>
    <w:rsid w:val="00571DE6"/>
    <w:rsid w:val="00571DE9"/>
    <w:rsid w:val="00571DF2"/>
    <w:rsid w:val="00571E18"/>
    <w:rsid w:val="00571E46"/>
    <w:rsid w:val="00571E9D"/>
    <w:rsid w:val="00571EA1"/>
    <w:rsid w:val="00571EA3"/>
    <w:rsid w:val="00571EB6"/>
    <w:rsid w:val="00571F3D"/>
    <w:rsid w:val="00571F4E"/>
    <w:rsid w:val="00571F55"/>
    <w:rsid w:val="00571FFF"/>
    <w:rsid w:val="00572029"/>
    <w:rsid w:val="0057202D"/>
    <w:rsid w:val="0057203D"/>
    <w:rsid w:val="0057209D"/>
    <w:rsid w:val="005720B9"/>
    <w:rsid w:val="005720C5"/>
    <w:rsid w:val="00572113"/>
    <w:rsid w:val="0057212A"/>
    <w:rsid w:val="00572133"/>
    <w:rsid w:val="0057213D"/>
    <w:rsid w:val="00572172"/>
    <w:rsid w:val="0057219C"/>
    <w:rsid w:val="005721A9"/>
    <w:rsid w:val="005721E9"/>
    <w:rsid w:val="00572226"/>
    <w:rsid w:val="00572252"/>
    <w:rsid w:val="00572277"/>
    <w:rsid w:val="005722DA"/>
    <w:rsid w:val="0057231B"/>
    <w:rsid w:val="0057234E"/>
    <w:rsid w:val="00572386"/>
    <w:rsid w:val="0057239A"/>
    <w:rsid w:val="0057239D"/>
    <w:rsid w:val="00572455"/>
    <w:rsid w:val="0057248D"/>
    <w:rsid w:val="005724CB"/>
    <w:rsid w:val="005724D8"/>
    <w:rsid w:val="005724D9"/>
    <w:rsid w:val="005724E1"/>
    <w:rsid w:val="005724E3"/>
    <w:rsid w:val="005724FE"/>
    <w:rsid w:val="0057251B"/>
    <w:rsid w:val="005725DE"/>
    <w:rsid w:val="00572606"/>
    <w:rsid w:val="00572658"/>
    <w:rsid w:val="00572670"/>
    <w:rsid w:val="00572683"/>
    <w:rsid w:val="0057269E"/>
    <w:rsid w:val="005726B6"/>
    <w:rsid w:val="005726EE"/>
    <w:rsid w:val="0057272C"/>
    <w:rsid w:val="00572736"/>
    <w:rsid w:val="00572770"/>
    <w:rsid w:val="005728A9"/>
    <w:rsid w:val="005728E9"/>
    <w:rsid w:val="005728F8"/>
    <w:rsid w:val="00572928"/>
    <w:rsid w:val="00572940"/>
    <w:rsid w:val="00572965"/>
    <w:rsid w:val="00572966"/>
    <w:rsid w:val="005729C5"/>
    <w:rsid w:val="005729E4"/>
    <w:rsid w:val="00572A86"/>
    <w:rsid w:val="00572A9B"/>
    <w:rsid w:val="00572AA3"/>
    <w:rsid w:val="00572B19"/>
    <w:rsid w:val="00572B80"/>
    <w:rsid w:val="00572C21"/>
    <w:rsid w:val="00572C4E"/>
    <w:rsid w:val="00572C7E"/>
    <w:rsid w:val="00572CD4"/>
    <w:rsid w:val="00572CF5"/>
    <w:rsid w:val="00572D00"/>
    <w:rsid w:val="00572D66"/>
    <w:rsid w:val="00572DAF"/>
    <w:rsid w:val="00572DCD"/>
    <w:rsid w:val="00572E23"/>
    <w:rsid w:val="00572E26"/>
    <w:rsid w:val="00572E5E"/>
    <w:rsid w:val="00572E76"/>
    <w:rsid w:val="00572E96"/>
    <w:rsid w:val="00572EA1"/>
    <w:rsid w:val="00572EA8"/>
    <w:rsid w:val="00572F41"/>
    <w:rsid w:val="00572F5E"/>
    <w:rsid w:val="00572F61"/>
    <w:rsid w:val="00572FC7"/>
    <w:rsid w:val="00572FDC"/>
    <w:rsid w:val="00572FF3"/>
    <w:rsid w:val="00573021"/>
    <w:rsid w:val="00573059"/>
    <w:rsid w:val="005730A9"/>
    <w:rsid w:val="005730E1"/>
    <w:rsid w:val="00573141"/>
    <w:rsid w:val="00573180"/>
    <w:rsid w:val="005731B7"/>
    <w:rsid w:val="005731BF"/>
    <w:rsid w:val="00573288"/>
    <w:rsid w:val="005732A2"/>
    <w:rsid w:val="00573395"/>
    <w:rsid w:val="005733E9"/>
    <w:rsid w:val="005733F6"/>
    <w:rsid w:val="005733F9"/>
    <w:rsid w:val="00573428"/>
    <w:rsid w:val="00573466"/>
    <w:rsid w:val="005734A5"/>
    <w:rsid w:val="005734AE"/>
    <w:rsid w:val="005734BA"/>
    <w:rsid w:val="005734C0"/>
    <w:rsid w:val="005734DF"/>
    <w:rsid w:val="0057351C"/>
    <w:rsid w:val="0057352D"/>
    <w:rsid w:val="0057354D"/>
    <w:rsid w:val="00573554"/>
    <w:rsid w:val="00573559"/>
    <w:rsid w:val="0057366F"/>
    <w:rsid w:val="005736AD"/>
    <w:rsid w:val="005736F6"/>
    <w:rsid w:val="0057370D"/>
    <w:rsid w:val="00573729"/>
    <w:rsid w:val="00573736"/>
    <w:rsid w:val="0057374E"/>
    <w:rsid w:val="005737B9"/>
    <w:rsid w:val="005737C5"/>
    <w:rsid w:val="00573814"/>
    <w:rsid w:val="00573872"/>
    <w:rsid w:val="005738B7"/>
    <w:rsid w:val="00573938"/>
    <w:rsid w:val="00573A21"/>
    <w:rsid w:val="00573AB4"/>
    <w:rsid w:val="00573AB9"/>
    <w:rsid w:val="00573B01"/>
    <w:rsid w:val="00573B6B"/>
    <w:rsid w:val="00573B95"/>
    <w:rsid w:val="00573B9D"/>
    <w:rsid w:val="00573BA9"/>
    <w:rsid w:val="00573C17"/>
    <w:rsid w:val="00573C1F"/>
    <w:rsid w:val="00573C84"/>
    <w:rsid w:val="00573CA3"/>
    <w:rsid w:val="00573CE5"/>
    <w:rsid w:val="00573CEE"/>
    <w:rsid w:val="00573D62"/>
    <w:rsid w:val="00573D8A"/>
    <w:rsid w:val="00573D99"/>
    <w:rsid w:val="00573DC5"/>
    <w:rsid w:val="00573E31"/>
    <w:rsid w:val="00573E6E"/>
    <w:rsid w:val="00573E79"/>
    <w:rsid w:val="00573E83"/>
    <w:rsid w:val="00573E8B"/>
    <w:rsid w:val="00573EA6"/>
    <w:rsid w:val="00573EA9"/>
    <w:rsid w:val="00573EBB"/>
    <w:rsid w:val="00573EE7"/>
    <w:rsid w:val="00573EFB"/>
    <w:rsid w:val="00573EFC"/>
    <w:rsid w:val="00573F85"/>
    <w:rsid w:val="00573FA9"/>
    <w:rsid w:val="0057404E"/>
    <w:rsid w:val="005740A4"/>
    <w:rsid w:val="005740A7"/>
    <w:rsid w:val="005741BB"/>
    <w:rsid w:val="005741D6"/>
    <w:rsid w:val="0057420F"/>
    <w:rsid w:val="0057426F"/>
    <w:rsid w:val="005742B5"/>
    <w:rsid w:val="00574318"/>
    <w:rsid w:val="0057431C"/>
    <w:rsid w:val="005743D4"/>
    <w:rsid w:val="005743DA"/>
    <w:rsid w:val="00574426"/>
    <w:rsid w:val="0057446C"/>
    <w:rsid w:val="005744C0"/>
    <w:rsid w:val="0057450E"/>
    <w:rsid w:val="0057452F"/>
    <w:rsid w:val="00574530"/>
    <w:rsid w:val="0057457B"/>
    <w:rsid w:val="005745A3"/>
    <w:rsid w:val="005745CF"/>
    <w:rsid w:val="005745D6"/>
    <w:rsid w:val="005745D9"/>
    <w:rsid w:val="00574605"/>
    <w:rsid w:val="00574634"/>
    <w:rsid w:val="00574665"/>
    <w:rsid w:val="00574699"/>
    <w:rsid w:val="005746D5"/>
    <w:rsid w:val="005746E2"/>
    <w:rsid w:val="00574708"/>
    <w:rsid w:val="0057470F"/>
    <w:rsid w:val="005747A1"/>
    <w:rsid w:val="005747B9"/>
    <w:rsid w:val="005747DA"/>
    <w:rsid w:val="00574811"/>
    <w:rsid w:val="0057481E"/>
    <w:rsid w:val="00574830"/>
    <w:rsid w:val="00574833"/>
    <w:rsid w:val="005748BC"/>
    <w:rsid w:val="005748C4"/>
    <w:rsid w:val="00574973"/>
    <w:rsid w:val="005749CC"/>
    <w:rsid w:val="00574A27"/>
    <w:rsid w:val="00574A46"/>
    <w:rsid w:val="00574A98"/>
    <w:rsid w:val="00574B2B"/>
    <w:rsid w:val="00574B87"/>
    <w:rsid w:val="00574B8E"/>
    <w:rsid w:val="00574BA9"/>
    <w:rsid w:val="00574BAC"/>
    <w:rsid w:val="00574BD8"/>
    <w:rsid w:val="00574C21"/>
    <w:rsid w:val="00574C36"/>
    <w:rsid w:val="00574C9E"/>
    <w:rsid w:val="00574CED"/>
    <w:rsid w:val="00574D4C"/>
    <w:rsid w:val="00574DB2"/>
    <w:rsid w:val="00574DCA"/>
    <w:rsid w:val="00574E3C"/>
    <w:rsid w:val="00574E44"/>
    <w:rsid w:val="00574E46"/>
    <w:rsid w:val="00574E69"/>
    <w:rsid w:val="00574EBE"/>
    <w:rsid w:val="00574F44"/>
    <w:rsid w:val="00574FC2"/>
    <w:rsid w:val="00574FCE"/>
    <w:rsid w:val="00575022"/>
    <w:rsid w:val="0057505B"/>
    <w:rsid w:val="005750C9"/>
    <w:rsid w:val="00575123"/>
    <w:rsid w:val="0057519D"/>
    <w:rsid w:val="0057521F"/>
    <w:rsid w:val="00575295"/>
    <w:rsid w:val="005752F8"/>
    <w:rsid w:val="005752FA"/>
    <w:rsid w:val="00575316"/>
    <w:rsid w:val="00575348"/>
    <w:rsid w:val="00575349"/>
    <w:rsid w:val="0057534A"/>
    <w:rsid w:val="0057537E"/>
    <w:rsid w:val="005753DE"/>
    <w:rsid w:val="005753DF"/>
    <w:rsid w:val="005753EA"/>
    <w:rsid w:val="005753EE"/>
    <w:rsid w:val="00575424"/>
    <w:rsid w:val="0057542A"/>
    <w:rsid w:val="00575438"/>
    <w:rsid w:val="00575479"/>
    <w:rsid w:val="005754DF"/>
    <w:rsid w:val="005754F5"/>
    <w:rsid w:val="0057554B"/>
    <w:rsid w:val="005755F9"/>
    <w:rsid w:val="00575632"/>
    <w:rsid w:val="005756E3"/>
    <w:rsid w:val="00575701"/>
    <w:rsid w:val="0057574A"/>
    <w:rsid w:val="00575757"/>
    <w:rsid w:val="00575790"/>
    <w:rsid w:val="005757B5"/>
    <w:rsid w:val="0057581A"/>
    <w:rsid w:val="005758B2"/>
    <w:rsid w:val="005758C0"/>
    <w:rsid w:val="00575981"/>
    <w:rsid w:val="005759C1"/>
    <w:rsid w:val="005759CF"/>
    <w:rsid w:val="005759ED"/>
    <w:rsid w:val="00575A09"/>
    <w:rsid w:val="00575A26"/>
    <w:rsid w:val="00575A54"/>
    <w:rsid w:val="00575A60"/>
    <w:rsid w:val="00575B22"/>
    <w:rsid w:val="00575B2E"/>
    <w:rsid w:val="00575B84"/>
    <w:rsid w:val="00575BA3"/>
    <w:rsid w:val="00575BAE"/>
    <w:rsid w:val="00575C03"/>
    <w:rsid w:val="00575C0A"/>
    <w:rsid w:val="00575C25"/>
    <w:rsid w:val="00575C82"/>
    <w:rsid w:val="00575C98"/>
    <w:rsid w:val="00575CA5"/>
    <w:rsid w:val="00575CD0"/>
    <w:rsid w:val="00575D3D"/>
    <w:rsid w:val="00575E09"/>
    <w:rsid w:val="00575E2D"/>
    <w:rsid w:val="00575E3A"/>
    <w:rsid w:val="00575E4B"/>
    <w:rsid w:val="00575E9F"/>
    <w:rsid w:val="00575ECB"/>
    <w:rsid w:val="00575F78"/>
    <w:rsid w:val="00575FA8"/>
    <w:rsid w:val="00575FAC"/>
    <w:rsid w:val="00575FCB"/>
    <w:rsid w:val="00576002"/>
    <w:rsid w:val="00576009"/>
    <w:rsid w:val="0057601A"/>
    <w:rsid w:val="0057604D"/>
    <w:rsid w:val="00576065"/>
    <w:rsid w:val="00576097"/>
    <w:rsid w:val="005760E3"/>
    <w:rsid w:val="00576123"/>
    <w:rsid w:val="00576131"/>
    <w:rsid w:val="00576168"/>
    <w:rsid w:val="0057620A"/>
    <w:rsid w:val="0057625D"/>
    <w:rsid w:val="005762E8"/>
    <w:rsid w:val="005762F3"/>
    <w:rsid w:val="0057634C"/>
    <w:rsid w:val="00576378"/>
    <w:rsid w:val="00576381"/>
    <w:rsid w:val="0057640D"/>
    <w:rsid w:val="00576414"/>
    <w:rsid w:val="005764B8"/>
    <w:rsid w:val="005764D2"/>
    <w:rsid w:val="00576511"/>
    <w:rsid w:val="00576554"/>
    <w:rsid w:val="005765AA"/>
    <w:rsid w:val="005765CD"/>
    <w:rsid w:val="00576604"/>
    <w:rsid w:val="005766B4"/>
    <w:rsid w:val="005766F6"/>
    <w:rsid w:val="00576727"/>
    <w:rsid w:val="00576729"/>
    <w:rsid w:val="00576765"/>
    <w:rsid w:val="00576767"/>
    <w:rsid w:val="005767D3"/>
    <w:rsid w:val="00576856"/>
    <w:rsid w:val="0057687C"/>
    <w:rsid w:val="00576892"/>
    <w:rsid w:val="0057689C"/>
    <w:rsid w:val="005768A5"/>
    <w:rsid w:val="005768CA"/>
    <w:rsid w:val="0057690B"/>
    <w:rsid w:val="0057691A"/>
    <w:rsid w:val="00576944"/>
    <w:rsid w:val="00576947"/>
    <w:rsid w:val="00576989"/>
    <w:rsid w:val="005769BE"/>
    <w:rsid w:val="00576A03"/>
    <w:rsid w:val="00576A0E"/>
    <w:rsid w:val="00576A1B"/>
    <w:rsid w:val="00576B0E"/>
    <w:rsid w:val="00576B41"/>
    <w:rsid w:val="00576B5A"/>
    <w:rsid w:val="00576B8A"/>
    <w:rsid w:val="00576B9D"/>
    <w:rsid w:val="00576BF0"/>
    <w:rsid w:val="00576C18"/>
    <w:rsid w:val="00576C2D"/>
    <w:rsid w:val="00576C59"/>
    <w:rsid w:val="00576C98"/>
    <w:rsid w:val="00576CBA"/>
    <w:rsid w:val="00576CCF"/>
    <w:rsid w:val="00576CD9"/>
    <w:rsid w:val="00576D73"/>
    <w:rsid w:val="00576D74"/>
    <w:rsid w:val="00576D9A"/>
    <w:rsid w:val="00576DE7"/>
    <w:rsid w:val="00576E72"/>
    <w:rsid w:val="00576E91"/>
    <w:rsid w:val="00576EA8"/>
    <w:rsid w:val="00576F53"/>
    <w:rsid w:val="00576F7C"/>
    <w:rsid w:val="00576F95"/>
    <w:rsid w:val="00576FA1"/>
    <w:rsid w:val="00576FD9"/>
    <w:rsid w:val="00576FDB"/>
    <w:rsid w:val="00577015"/>
    <w:rsid w:val="00577027"/>
    <w:rsid w:val="00577099"/>
    <w:rsid w:val="005770A3"/>
    <w:rsid w:val="005770A7"/>
    <w:rsid w:val="005770AB"/>
    <w:rsid w:val="005770AE"/>
    <w:rsid w:val="005770CD"/>
    <w:rsid w:val="005770E5"/>
    <w:rsid w:val="0057710B"/>
    <w:rsid w:val="00577113"/>
    <w:rsid w:val="0057711D"/>
    <w:rsid w:val="0057712A"/>
    <w:rsid w:val="0057714A"/>
    <w:rsid w:val="005771DC"/>
    <w:rsid w:val="00577233"/>
    <w:rsid w:val="00577287"/>
    <w:rsid w:val="005772BD"/>
    <w:rsid w:val="005772D2"/>
    <w:rsid w:val="005772D6"/>
    <w:rsid w:val="005772EA"/>
    <w:rsid w:val="00577319"/>
    <w:rsid w:val="00577355"/>
    <w:rsid w:val="00577356"/>
    <w:rsid w:val="00577386"/>
    <w:rsid w:val="005773AC"/>
    <w:rsid w:val="005773B3"/>
    <w:rsid w:val="005773C7"/>
    <w:rsid w:val="005773EA"/>
    <w:rsid w:val="005773ED"/>
    <w:rsid w:val="00577408"/>
    <w:rsid w:val="0057742B"/>
    <w:rsid w:val="00577447"/>
    <w:rsid w:val="00577458"/>
    <w:rsid w:val="00577477"/>
    <w:rsid w:val="00577489"/>
    <w:rsid w:val="005774D3"/>
    <w:rsid w:val="00577582"/>
    <w:rsid w:val="0057761B"/>
    <w:rsid w:val="0057762B"/>
    <w:rsid w:val="00577633"/>
    <w:rsid w:val="005776A5"/>
    <w:rsid w:val="005776B2"/>
    <w:rsid w:val="005776BB"/>
    <w:rsid w:val="00577741"/>
    <w:rsid w:val="0057775A"/>
    <w:rsid w:val="0057775E"/>
    <w:rsid w:val="005777B1"/>
    <w:rsid w:val="00577857"/>
    <w:rsid w:val="0057789A"/>
    <w:rsid w:val="00577945"/>
    <w:rsid w:val="00577951"/>
    <w:rsid w:val="00577952"/>
    <w:rsid w:val="005779AB"/>
    <w:rsid w:val="005779D3"/>
    <w:rsid w:val="005779E5"/>
    <w:rsid w:val="00577A19"/>
    <w:rsid w:val="00577A1E"/>
    <w:rsid w:val="00577A62"/>
    <w:rsid w:val="00577A68"/>
    <w:rsid w:val="00577AB0"/>
    <w:rsid w:val="00577AE1"/>
    <w:rsid w:val="00577B3D"/>
    <w:rsid w:val="00577BD1"/>
    <w:rsid w:val="00577BDB"/>
    <w:rsid w:val="00577BF6"/>
    <w:rsid w:val="00577C25"/>
    <w:rsid w:val="00577C2C"/>
    <w:rsid w:val="00577C2D"/>
    <w:rsid w:val="00577C76"/>
    <w:rsid w:val="00577CDD"/>
    <w:rsid w:val="00577CF6"/>
    <w:rsid w:val="00577CF8"/>
    <w:rsid w:val="00577CFA"/>
    <w:rsid w:val="00577DFC"/>
    <w:rsid w:val="00577E45"/>
    <w:rsid w:val="00577EAB"/>
    <w:rsid w:val="00577ECB"/>
    <w:rsid w:val="00577EEB"/>
    <w:rsid w:val="00577F01"/>
    <w:rsid w:val="00577F05"/>
    <w:rsid w:val="00577F94"/>
    <w:rsid w:val="00580083"/>
    <w:rsid w:val="00580113"/>
    <w:rsid w:val="00580125"/>
    <w:rsid w:val="00580147"/>
    <w:rsid w:val="00580202"/>
    <w:rsid w:val="00580223"/>
    <w:rsid w:val="00580234"/>
    <w:rsid w:val="0058025B"/>
    <w:rsid w:val="0058032E"/>
    <w:rsid w:val="00580426"/>
    <w:rsid w:val="0058048B"/>
    <w:rsid w:val="00580504"/>
    <w:rsid w:val="0058052E"/>
    <w:rsid w:val="00580592"/>
    <w:rsid w:val="00580671"/>
    <w:rsid w:val="00580672"/>
    <w:rsid w:val="00580677"/>
    <w:rsid w:val="005806EE"/>
    <w:rsid w:val="0058071F"/>
    <w:rsid w:val="00580728"/>
    <w:rsid w:val="0058073D"/>
    <w:rsid w:val="0058073E"/>
    <w:rsid w:val="00580790"/>
    <w:rsid w:val="005807FB"/>
    <w:rsid w:val="00580804"/>
    <w:rsid w:val="0058080D"/>
    <w:rsid w:val="00580873"/>
    <w:rsid w:val="00580886"/>
    <w:rsid w:val="00580898"/>
    <w:rsid w:val="00580910"/>
    <w:rsid w:val="0058092E"/>
    <w:rsid w:val="0058095F"/>
    <w:rsid w:val="00580985"/>
    <w:rsid w:val="00580A16"/>
    <w:rsid w:val="00580A37"/>
    <w:rsid w:val="00580AA9"/>
    <w:rsid w:val="00580ABB"/>
    <w:rsid w:val="00580AE2"/>
    <w:rsid w:val="00580AED"/>
    <w:rsid w:val="00580B0D"/>
    <w:rsid w:val="00580B30"/>
    <w:rsid w:val="00580B44"/>
    <w:rsid w:val="00580B92"/>
    <w:rsid w:val="00580BF3"/>
    <w:rsid w:val="00580C23"/>
    <w:rsid w:val="00580C2D"/>
    <w:rsid w:val="00580C4D"/>
    <w:rsid w:val="00580C89"/>
    <w:rsid w:val="00580CEF"/>
    <w:rsid w:val="00580DD1"/>
    <w:rsid w:val="00580E02"/>
    <w:rsid w:val="00580E4A"/>
    <w:rsid w:val="00580E6A"/>
    <w:rsid w:val="00580EAF"/>
    <w:rsid w:val="00580EC4"/>
    <w:rsid w:val="00580ECE"/>
    <w:rsid w:val="00580F15"/>
    <w:rsid w:val="00580F8D"/>
    <w:rsid w:val="00580FE7"/>
    <w:rsid w:val="0058103D"/>
    <w:rsid w:val="00581059"/>
    <w:rsid w:val="0058105F"/>
    <w:rsid w:val="005810DB"/>
    <w:rsid w:val="0058112D"/>
    <w:rsid w:val="005811BD"/>
    <w:rsid w:val="005811F8"/>
    <w:rsid w:val="00581289"/>
    <w:rsid w:val="005812C0"/>
    <w:rsid w:val="005812CD"/>
    <w:rsid w:val="00581380"/>
    <w:rsid w:val="0058138F"/>
    <w:rsid w:val="0058140B"/>
    <w:rsid w:val="0058141B"/>
    <w:rsid w:val="0058146B"/>
    <w:rsid w:val="00581476"/>
    <w:rsid w:val="00581478"/>
    <w:rsid w:val="005814E3"/>
    <w:rsid w:val="00581556"/>
    <w:rsid w:val="005815C6"/>
    <w:rsid w:val="005815E5"/>
    <w:rsid w:val="005815FD"/>
    <w:rsid w:val="00581605"/>
    <w:rsid w:val="00581611"/>
    <w:rsid w:val="0058163C"/>
    <w:rsid w:val="0058164C"/>
    <w:rsid w:val="00581675"/>
    <w:rsid w:val="005816B5"/>
    <w:rsid w:val="005816DE"/>
    <w:rsid w:val="0058174C"/>
    <w:rsid w:val="00581782"/>
    <w:rsid w:val="0058179D"/>
    <w:rsid w:val="00581857"/>
    <w:rsid w:val="00581878"/>
    <w:rsid w:val="00581946"/>
    <w:rsid w:val="0058194A"/>
    <w:rsid w:val="00581966"/>
    <w:rsid w:val="00581970"/>
    <w:rsid w:val="00581997"/>
    <w:rsid w:val="005819B2"/>
    <w:rsid w:val="005819BD"/>
    <w:rsid w:val="005819CB"/>
    <w:rsid w:val="00581A03"/>
    <w:rsid w:val="00581A14"/>
    <w:rsid w:val="00581A3D"/>
    <w:rsid w:val="00581A6B"/>
    <w:rsid w:val="00581A8A"/>
    <w:rsid w:val="00581A92"/>
    <w:rsid w:val="00581ACA"/>
    <w:rsid w:val="00581B35"/>
    <w:rsid w:val="00581B44"/>
    <w:rsid w:val="00581B48"/>
    <w:rsid w:val="00581B50"/>
    <w:rsid w:val="00581B7A"/>
    <w:rsid w:val="00581BAE"/>
    <w:rsid w:val="00581BD3"/>
    <w:rsid w:val="00581C0A"/>
    <w:rsid w:val="00581C0B"/>
    <w:rsid w:val="00581C16"/>
    <w:rsid w:val="00581C3F"/>
    <w:rsid w:val="00581C45"/>
    <w:rsid w:val="00581C97"/>
    <w:rsid w:val="00581CCB"/>
    <w:rsid w:val="00581CDB"/>
    <w:rsid w:val="00581CF9"/>
    <w:rsid w:val="00581D95"/>
    <w:rsid w:val="00581DD0"/>
    <w:rsid w:val="00581E5A"/>
    <w:rsid w:val="00581E62"/>
    <w:rsid w:val="00581E98"/>
    <w:rsid w:val="00581F43"/>
    <w:rsid w:val="00581F56"/>
    <w:rsid w:val="00581F6B"/>
    <w:rsid w:val="00581FBC"/>
    <w:rsid w:val="00581FD5"/>
    <w:rsid w:val="0058200A"/>
    <w:rsid w:val="00582020"/>
    <w:rsid w:val="00582024"/>
    <w:rsid w:val="00582037"/>
    <w:rsid w:val="00582041"/>
    <w:rsid w:val="00582044"/>
    <w:rsid w:val="00582081"/>
    <w:rsid w:val="005820A5"/>
    <w:rsid w:val="005820F2"/>
    <w:rsid w:val="0058217B"/>
    <w:rsid w:val="005821AE"/>
    <w:rsid w:val="005821BE"/>
    <w:rsid w:val="00582260"/>
    <w:rsid w:val="00582271"/>
    <w:rsid w:val="005822C9"/>
    <w:rsid w:val="0058230F"/>
    <w:rsid w:val="00582354"/>
    <w:rsid w:val="00582372"/>
    <w:rsid w:val="0058239A"/>
    <w:rsid w:val="00582403"/>
    <w:rsid w:val="00582429"/>
    <w:rsid w:val="0058242E"/>
    <w:rsid w:val="00582439"/>
    <w:rsid w:val="00582481"/>
    <w:rsid w:val="00582495"/>
    <w:rsid w:val="005824E4"/>
    <w:rsid w:val="00582548"/>
    <w:rsid w:val="0058258F"/>
    <w:rsid w:val="005825DE"/>
    <w:rsid w:val="0058262E"/>
    <w:rsid w:val="00582657"/>
    <w:rsid w:val="0058266B"/>
    <w:rsid w:val="00582673"/>
    <w:rsid w:val="00582680"/>
    <w:rsid w:val="00582686"/>
    <w:rsid w:val="005826D7"/>
    <w:rsid w:val="005826DF"/>
    <w:rsid w:val="00582779"/>
    <w:rsid w:val="00582794"/>
    <w:rsid w:val="005827C2"/>
    <w:rsid w:val="00582819"/>
    <w:rsid w:val="00582855"/>
    <w:rsid w:val="005828A7"/>
    <w:rsid w:val="005828F2"/>
    <w:rsid w:val="00582979"/>
    <w:rsid w:val="005829C0"/>
    <w:rsid w:val="005829E9"/>
    <w:rsid w:val="005829ED"/>
    <w:rsid w:val="00582A2D"/>
    <w:rsid w:val="00582A51"/>
    <w:rsid w:val="00582A72"/>
    <w:rsid w:val="00582A85"/>
    <w:rsid w:val="00582A9C"/>
    <w:rsid w:val="00582AAF"/>
    <w:rsid w:val="00582ACC"/>
    <w:rsid w:val="00582AEE"/>
    <w:rsid w:val="00582B1B"/>
    <w:rsid w:val="00582BA4"/>
    <w:rsid w:val="00582BCE"/>
    <w:rsid w:val="00582C20"/>
    <w:rsid w:val="00582C32"/>
    <w:rsid w:val="00582C50"/>
    <w:rsid w:val="00582C70"/>
    <w:rsid w:val="00582C7A"/>
    <w:rsid w:val="00582D00"/>
    <w:rsid w:val="00582D4E"/>
    <w:rsid w:val="00582D5D"/>
    <w:rsid w:val="00582DA1"/>
    <w:rsid w:val="00582DB1"/>
    <w:rsid w:val="00582E07"/>
    <w:rsid w:val="00582E09"/>
    <w:rsid w:val="00582E2E"/>
    <w:rsid w:val="00582E44"/>
    <w:rsid w:val="00582E46"/>
    <w:rsid w:val="00582E6D"/>
    <w:rsid w:val="00582E93"/>
    <w:rsid w:val="00582EAA"/>
    <w:rsid w:val="00582EC5"/>
    <w:rsid w:val="00582F13"/>
    <w:rsid w:val="00582F3A"/>
    <w:rsid w:val="00582F55"/>
    <w:rsid w:val="00582FB1"/>
    <w:rsid w:val="00582FE3"/>
    <w:rsid w:val="0058306A"/>
    <w:rsid w:val="0058307B"/>
    <w:rsid w:val="00583099"/>
    <w:rsid w:val="005830E7"/>
    <w:rsid w:val="005830F0"/>
    <w:rsid w:val="00583114"/>
    <w:rsid w:val="00583116"/>
    <w:rsid w:val="0058312F"/>
    <w:rsid w:val="0058316B"/>
    <w:rsid w:val="005831B6"/>
    <w:rsid w:val="005831BF"/>
    <w:rsid w:val="005831CA"/>
    <w:rsid w:val="005831D0"/>
    <w:rsid w:val="005831E1"/>
    <w:rsid w:val="005832B2"/>
    <w:rsid w:val="005832BA"/>
    <w:rsid w:val="005832F5"/>
    <w:rsid w:val="0058330E"/>
    <w:rsid w:val="0058331E"/>
    <w:rsid w:val="0058334B"/>
    <w:rsid w:val="00583360"/>
    <w:rsid w:val="0058337E"/>
    <w:rsid w:val="00583383"/>
    <w:rsid w:val="005833A0"/>
    <w:rsid w:val="005833B5"/>
    <w:rsid w:val="00583404"/>
    <w:rsid w:val="0058348D"/>
    <w:rsid w:val="005834D1"/>
    <w:rsid w:val="005834EF"/>
    <w:rsid w:val="00583529"/>
    <w:rsid w:val="00583533"/>
    <w:rsid w:val="005835B5"/>
    <w:rsid w:val="00583612"/>
    <w:rsid w:val="00583621"/>
    <w:rsid w:val="00583652"/>
    <w:rsid w:val="00583687"/>
    <w:rsid w:val="005836B4"/>
    <w:rsid w:val="005836F9"/>
    <w:rsid w:val="0058380D"/>
    <w:rsid w:val="00583864"/>
    <w:rsid w:val="00583884"/>
    <w:rsid w:val="005838E3"/>
    <w:rsid w:val="00583926"/>
    <w:rsid w:val="0058396A"/>
    <w:rsid w:val="005839AA"/>
    <w:rsid w:val="005839CA"/>
    <w:rsid w:val="00583A18"/>
    <w:rsid w:val="00583A21"/>
    <w:rsid w:val="00583A2B"/>
    <w:rsid w:val="00583A7A"/>
    <w:rsid w:val="00583A83"/>
    <w:rsid w:val="00583B94"/>
    <w:rsid w:val="00583C26"/>
    <w:rsid w:val="00583C41"/>
    <w:rsid w:val="00583C81"/>
    <w:rsid w:val="00583C91"/>
    <w:rsid w:val="00583CA5"/>
    <w:rsid w:val="00583CC9"/>
    <w:rsid w:val="00583DA5"/>
    <w:rsid w:val="00583DC8"/>
    <w:rsid w:val="00583DD5"/>
    <w:rsid w:val="00583DEE"/>
    <w:rsid w:val="00583E11"/>
    <w:rsid w:val="00583E66"/>
    <w:rsid w:val="00583E82"/>
    <w:rsid w:val="00583E8E"/>
    <w:rsid w:val="00583EA8"/>
    <w:rsid w:val="00583EBD"/>
    <w:rsid w:val="00583ED2"/>
    <w:rsid w:val="00583F69"/>
    <w:rsid w:val="00583F7C"/>
    <w:rsid w:val="00583F7F"/>
    <w:rsid w:val="00583F85"/>
    <w:rsid w:val="00583FAE"/>
    <w:rsid w:val="00583FB6"/>
    <w:rsid w:val="00583FCF"/>
    <w:rsid w:val="00583FDA"/>
    <w:rsid w:val="00583FDE"/>
    <w:rsid w:val="0058400C"/>
    <w:rsid w:val="00584013"/>
    <w:rsid w:val="00584093"/>
    <w:rsid w:val="005840AF"/>
    <w:rsid w:val="0058411E"/>
    <w:rsid w:val="0058413C"/>
    <w:rsid w:val="00584148"/>
    <w:rsid w:val="00584151"/>
    <w:rsid w:val="005841A1"/>
    <w:rsid w:val="0058421C"/>
    <w:rsid w:val="0058422C"/>
    <w:rsid w:val="00584267"/>
    <w:rsid w:val="0058427F"/>
    <w:rsid w:val="00584287"/>
    <w:rsid w:val="005842AA"/>
    <w:rsid w:val="005842B0"/>
    <w:rsid w:val="005842B6"/>
    <w:rsid w:val="005842E3"/>
    <w:rsid w:val="00584362"/>
    <w:rsid w:val="00584367"/>
    <w:rsid w:val="0058437B"/>
    <w:rsid w:val="00584395"/>
    <w:rsid w:val="005843AB"/>
    <w:rsid w:val="005843AC"/>
    <w:rsid w:val="00584416"/>
    <w:rsid w:val="0058445B"/>
    <w:rsid w:val="0058447B"/>
    <w:rsid w:val="005844A3"/>
    <w:rsid w:val="005844C1"/>
    <w:rsid w:val="005844EB"/>
    <w:rsid w:val="005844F5"/>
    <w:rsid w:val="0058450E"/>
    <w:rsid w:val="00584543"/>
    <w:rsid w:val="00584599"/>
    <w:rsid w:val="005845D7"/>
    <w:rsid w:val="005845E9"/>
    <w:rsid w:val="0058463A"/>
    <w:rsid w:val="0058464D"/>
    <w:rsid w:val="0058472F"/>
    <w:rsid w:val="00584791"/>
    <w:rsid w:val="005847BC"/>
    <w:rsid w:val="005847FE"/>
    <w:rsid w:val="0058481F"/>
    <w:rsid w:val="00584869"/>
    <w:rsid w:val="0058486F"/>
    <w:rsid w:val="00584931"/>
    <w:rsid w:val="00584957"/>
    <w:rsid w:val="00584975"/>
    <w:rsid w:val="00584989"/>
    <w:rsid w:val="005849A7"/>
    <w:rsid w:val="005849B7"/>
    <w:rsid w:val="005849FA"/>
    <w:rsid w:val="00584A12"/>
    <w:rsid w:val="00584A46"/>
    <w:rsid w:val="00584A55"/>
    <w:rsid w:val="00584AE2"/>
    <w:rsid w:val="00584C12"/>
    <w:rsid w:val="00584C2B"/>
    <w:rsid w:val="00584C59"/>
    <w:rsid w:val="00584C9C"/>
    <w:rsid w:val="00584C9E"/>
    <w:rsid w:val="00584CBD"/>
    <w:rsid w:val="00584D3F"/>
    <w:rsid w:val="00584D9A"/>
    <w:rsid w:val="00584DC3"/>
    <w:rsid w:val="00584DD0"/>
    <w:rsid w:val="00584DDB"/>
    <w:rsid w:val="00584E5C"/>
    <w:rsid w:val="00584E5E"/>
    <w:rsid w:val="00584E76"/>
    <w:rsid w:val="00584EB9"/>
    <w:rsid w:val="00584ECE"/>
    <w:rsid w:val="00584F07"/>
    <w:rsid w:val="00584F1E"/>
    <w:rsid w:val="00584F34"/>
    <w:rsid w:val="00584F6C"/>
    <w:rsid w:val="00584FC5"/>
    <w:rsid w:val="00584FEE"/>
    <w:rsid w:val="00585030"/>
    <w:rsid w:val="0058507C"/>
    <w:rsid w:val="00585098"/>
    <w:rsid w:val="005850BF"/>
    <w:rsid w:val="0058515F"/>
    <w:rsid w:val="00585169"/>
    <w:rsid w:val="005851A7"/>
    <w:rsid w:val="005851BF"/>
    <w:rsid w:val="005851D4"/>
    <w:rsid w:val="00585212"/>
    <w:rsid w:val="00585314"/>
    <w:rsid w:val="0058535C"/>
    <w:rsid w:val="0058537F"/>
    <w:rsid w:val="00585385"/>
    <w:rsid w:val="005853CB"/>
    <w:rsid w:val="005853CE"/>
    <w:rsid w:val="005853CF"/>
    <w:rsid w:val="005853EC"/>
    <w:rsid w:val="00585453"/>
    <w:rsid w:val="0058545B"/>
    <w:rsid w:val="0058545F"/>
    <w:rsid w:val="0058547F"/>
    <w:rsid w:val="0058548E"/>
    <w:rsid w:val="005854A9"/>
    <w:rsid w:val="00585550"/>
    <w:rsid w:val="00585594"/>
    <w:rsid w:val="00585612"/>
    <w:rsid w:val="0058567F"/>
    <w:rsid w:val="005856AC"/>
    <w:rsid w:val="005856B3"/>
    <w:rsid w:val="0058577C"/>
    <w:rsid w:val="0058580A"/>
    <w:rsid w:val="0058580E"/>
    <w:rsid w:val="00585866"/>
    <w:rsid w:val="00585867"/>
    <w:rsid w:val="00585882"/>
    <w:rsid w:val="0058588C"/>
    <w:rsid w:val="0058590F"/>
    <w:rsid w:val="00585942"/>
    <w:rsid w:val="00585956"/>
    <w:rsid w:val="0058595A"/>
    <w:rsid w:val="00585978"/>
    <w:rsid w:val="00585A09"/>
    <w:rsid w:val="00585A17"/>
    <w:rsid w:val="00585A99"/>
    <w:rsid w:val="00585AC3"/>
    <w:rsid w:val="00585B3F"/>
    <w:rsid w:val="00585B4B"/>
    <w:rsid w:val="00585BA5"/>
    <w:rsid w:val="00585CC0"/>
    <w:rsid w:val="00585CC6"/>
    <w:rsid w:val="00585CC7"/>
    <w:rsid w:val="00585CE1"/>
    <w:rsid w:val="00585CEA"/>
    <w:rsid w:val="00585D13"/>
    <w:rsid w:val="00585D2F"/>
    <w:rsid w:val="00585D87"/>
    <w:rsid w:val="00585D89"/>
    <w:rsid w:val="00585DA2"/>
    <w:rsid w:val="00585E3A"/>
    <w:rsid w:val="00585E59"/>
    <w:rsid w:val="00585F05"/>
    <w:rsid w:val="00585F33"/>
    <w:rsid w:val="00585F74"/>
    <w:rsid w:val="00585F90"/>
    <w:rsid w:val="00585FBB"/>
    <w:rsid w:val="00585FF7"/>
    <w:rsid w:val="00586061"/>
    <w:rsid w:val="00586076"/>
    <w:rsid w:val="005860CE"/>
    <w:rsid w:val="00586102"/>
    <w:rsid w:val="00586114"/>
    <w:rsid w:val="00586128"/>
    <w:rsid w:val="00586131"/>
    <w:rsid w:val="0058614E"/>
    <w:rsid w:val="00586150"/>
    <w:rsid w:val="00586164"/>
    <w:rsid w:val="005861AA"/>
    <w:rsid w:val="005861AC"/>
    <w:rsid w:val="005861B9"/>
    <w:rsid w:val="005861F5"/>
    <w:rsid w:val="005862B1"/>
    <w:rsid w:val="005862FA"/>
    <w:rsid w:val="00586371"/>
    <w:rsid w:val="005863C4"/>
    <w:rsid w:val="0058646F"/>
    <w:rsid w:val="00586484"/>
    <w:rsid w:val="005864D2"/>
    <w:rsid w:val="005864EE"/>
    <w:rsid w:val="00586506"/>
    <w:rsid w:val="00586537"/>
    <w:rsid w:val="00586564"/>
    <w:rsid w:val="005865FD"/>
    <w:rsid w:val="00586605"/>
    <w:rsid w:val="00586635"/>
    <w:rsid w:val="0058666D"/>
    <w:rsid w:val="005866A9"/>
    <w:rsid w:val="005866C2"/>
    <w:rsid w:val="00586717"/>
    <w:rsid w:val="0058671F"/>
    <w:rsid w:val="0058673B"/>
    <w:rsid w:val="00586741"/>
    <w:rsid w:val="005867B0"/>
    <w:rsid w:val="005867DE"/>
    <w:rsid w:val="00586853"/>
    <w:rsid w:val="00586878"/>
    <w:rsid w:val="00586881"/>
    <w:rsid w:val="00586894"/>
    <w:rsid w:val="005868DE"/>
    <w:rsid w:val="00586960"/>
    <w:rsid w:val="005869BA"/>
    <w:rsid w:val="005869D6"/>
    <w:rsid w:val="005869E4"/>
    <w:rsid w:val="005869EB"/>
    <w:rsid w:val="00586A02"/>
    <w:rsid w:val="00586A45"/>
    <w:rsid w:val="00586A5F"/>
    <w:rsid w:val="00586A6E"/>
    <w:rsid w:val="00586AAC"/>
    <w:rsid w:val="00586AED"/>
    <w:rsid w:val="00586B0B"/>
    <w:rsid w:val="00586B1E"/>
    <w:rsid w:val="00586B2A"/>
    <w:rsid w:val="00586B35"/>
    <w:rsid w:val="00586B6A"/>
    <w:rsid w:val="00586BC4"/>
    <w:rsid w:val="00586BD1"/>
    <w:rsid w:val="00586BE8"/>
    <w:rsid w:val="00586C06"/>
    <w:rsid w:val="00586C66"/>
    <w:rsid w:val="00586CB8"/>
    <w:rsid w:val="00586CC6"/>
    <w:rsid w:val="00586CDA"/>
    <w:rsid w:val="00586CDE"/>
    <w:rsid w:val="00586D4A"/>
    <w:rsid w:val="00586D5D"/>
    <w:rsid w:val="00586D93"/>
    <w:rsid w:val="00586DCB"/>
    <w:rsid w:val="00586E47"/>
    <w:rsid w:val="00586EE9"/>
    <w:rsid w:val="00586F15"/>
    <w:rsid w:val="00586F2F"/>
    <w:rsid w:val="00586F41"/>
    <w:rsid w:val="00586F8E"/>
    <w:rsid w:val="00586FDB"/>
    <w:rsid w:val="00587014"/>
    <w:rsid w:val="00587022"/>
    <w:rsid w:val="00587060"/>
    <w:rsid w:val="005870A2"/>
    <w:rsid w:val="005870B4"/>
    <w:rsid w:val="005870F4"/>
    <w:rsid w:val="00587138"/>
    <w:rsid w:val="005871B8"/>
    <w:rsid w:val="005871C9"/>
    <w:rsid w:val="005871CA"/>
    <w:rsid w:val="005871F1"/>
    <w:rsid w:val="00587250"/>
    <w:rsid w:val="00587258"/>
    <w:rsid w:val="005872CA"/>
    <w:rsid w:val="00587332"/>
    <w:rsid w:val="0058739A"/>
    <w:rsid w:val="00587406"/>
    <w:rsid w:val="00587458"/>
    <w:rsid w:val="00587460"/>
    <w:rsid w:val="0058746A"/>
    <w:rsid w:val="005874A3"/>
    <w:rsid w:val="005874BB"/>
    <w:rsid w:val="005874BF"/>
    <w:rsid w:val="0058750E"/>
    <w:rsid w:val="00587523"/>
    <w:rsid w:val="0058755E"/>
    <w:rsid w:val="0058760B"/>
    <w:rsid w:val="0058760E"/>
    <w:rsid w:val="005876D0"/>
    <w:rsid w:val="00587749"/>
    <w:rsid w:val="0058775C"/>
    <w:rsid w:val="00587790"/>
    <w:rsid w:val="005877AC"/>
    <w:rsid w:val="00587822"/>
    <w:rsid w:val="0058782C"/>
    <w:rsid w:val="00587869"/>
    <w:rsid w:val="00587897"/>
    <w:rsid w:val="0058789E"/>
    <w:rsid w:val="005878A8"/>
    <w:rsid w:val="005878AD"/>
    <w:rsid w:val="005878EF"/>
    <w:rsid w:val="005878F0"/>
    <w:rsid w:val="00587909"/>
    <w:rsid w:val="0058790F"/>
    <w:rsid w:val="0058794B"/>
    <w:rsid w:val="0058794E"/>
    <w:rsid w:val="00587975"/>
    <w:rsid w:val="005879CE"/>
    <w:rsid w:val="005879D1"/>
    <w:rsid w:val="005879FF"/>
    <w:rsid w:val="00587A38"/>
    <w:rsid w:val="00587ADA"/>
    <w:rsid w:val="00587B3F"/>
    <w:rsid w:val="00587B40"/>
    <w:rsid w:val="00587B72"/>
    <w:rsid w:val="00587B81"/>
    <w:rsid w:val="00587B87"/>
    <w:rsid w:val="00587CAF"/>
    <w:rsid w:val="00587CBE"/>
    <w:rsid w:val="00587CF6"/>
    <w:rsid w:val="00587D25"/>
    <w:rsid w:val="00587D4D"/>
    <w:rsid w:val="00587D74"/>
    <w:rsid w:val="00587D7E"/>
    <w:rsid w:val="00587DBD"/>
    <w:rsid w:val="00587E61"/>
    <w:rsid w:val="00587E9D"/>
    <w:rsid w:val="00587EBB"/>
    <w:rsid w:val="00587EF6"/>
    <w:rsid w:val="00587FDA"/>
    <w:rsid w:val="0059005A"/>
    <w:rsid w:val="005900D8"/>
    <w:rsid w:val="00590160"/>
    <w:rsid w:val="005901AD"/>
    <w:rsid w:val="005901E2"/>
    <w:rsid w:val="00590222"/>
    <w:rsid w:val="0059026E"/>
    <w:rsid w:val="00590274"/>
    <w:rsid w:val="005902B5"/>
    <w:rsid w:val="005902B7"/>
    <w:rsid w:val="005902D1"/>
    <w:rsid w:val="0059034A"/>
    <w:rsid w:val="005903B9"/>
    <w:rsid w:val="005903FE"/>
    <w:rsid w:val="0059044D"/>
    <w:rsid w:val="00590482"/>
    <w:rsid w:val="005904BF"/>
    <w:rsid w:val="005904FF"/>
    <w:rsid w:val="00590543"/>
    <w:rsid w:val="00590594"/>
    <w:rsid w:val="005905A5"/>
    <w:rsid w:val="0059060C"/>
    <w:rsid w:val="0059061E"/>
    <w:rsid w:val="0059062C"/>
    <w:rsid w:val="0059066B"/>
    <w:rsid w:val="005906A6"/>
    <w:rsid w:val="005906B5"/>
    <w:rsid w:val="005906F0"/>
    <w:rsid w:val="0059073F"/>
    <w:rsid w:val="00590777"/>
    <w:rsid w:val="005907ED"/>
    <w:rsid w:val="00590896"/>
    <w:rsid w:val="005908BB"/>
    <w:rsid w:val="00590925"/>
    <w:rsid w:val="00590995"/>
    <w:rsid w:val="005909BC"/>
    <w:rsid w:val="00590A87"/>
    <w:rsid w:val="00590B26"/>
    <w:rsid w:val="00590B4F"/>
    <w:rsid w:val="00590C17"/>
    <w:rsid w:val="00590CBF"/>
    <w:rsid w:val="00590CF1"/>
    <w:rsid w:val="00590D22"/>
    <w:rsid w:val="00590D49"/>
    <w:rsid w:val="00590D80"/>
    <w:rsid w:val="00590DCE"/>
    <w:rsid w:val="00590DDD"/>
    <w:rsid w:val="00590E00"/>
    <w:rsid w:val="00590E04"/>
    <w:rsid w:val="00590E15"/>
    <w:rsid w:val="00590E4D"/>
    <w:rsid w:val="00590E69"/>
    <w:rsid w:val="00590F1A"/>
    <w:rsid w:val="00590F35"/>
    <w:rsid w:val="00590F69"/>
    <w:rsid w:val="00590F99"/>
    <w:rsid w:val="00590FA1"/>
    <w:rsid w:val="00590FBD"/>
    <w:rsid w:val="00591001"/>
    <w:rsid w:val="00591006"/>
    <w:rsid w:val="0059107C"/>
    <w:rsid w:val="00591112"/>
    <w:rsid w:val="00591141"/>
    <w:rsid w:val="00591149"/>
    <w:rsid w:val="0059117E"/>
    <w:rsid w:val="00591197"/>
    <w:rsid w:val="00591199"/>
    <w:rsid w:val="0059119B"/>
    <w:rsid w:val="005911EB"/>
    <w:rsid w:val="005912C4"/>
    <w:rsid w:val="0059136F"/>
    <w:rsid w:val="005913FA"/>
    <w:rsid w:val="00591444"/>
    <w:rsid w:val="00591489"/>
    <w:rsid w:val="005914CD"/>
    <w:rsid w:val="005914D6"/>
    <w:rsid w:val="005914EA"/>
    <w:rsid w:val="00591582"/>
    <w:rsid w:val="005915FC"/>
    <w:rsid w:val="005915FD"/>
    <w:rsid w:val="00591617"/>
    <w:rsid w:val="005917CF"/>
    <w:rsid w:val="005917DA"/>
    <w:rsid w:val="00591808"/>
    <w:rsid w:val="0059184F"/>
    <w:rsid w:val="00591859"/>
    <w:rsid w:val="0059187F"/>
    <w:rsid w:val="005918F9"/>
    <w:rsid w:val="00591948"/>
    <w:rsid w:val="00591961"/>
    <w:rsid w:val="00591A57"/>
    <w:rsid w:val="00591A75"/>
    <w:rsid w:val="00591A80"/>
    <w:rsid w:val="00591A9C"/>
    <w:rsid w:val="00591ACE"/>
    <w:rsid w:val="00591AEC"/>
    <w:rsid w:val="00591AF7"/>
    <w:rsid w:val="00591B1A"/>
    <w:rsid w:val="00591B4E"/>
    <w:rsid w:val="00591BD1"/>
    <w:rsid w:val="00591BE5"/>
    <w:rsid w:val="00591BEA"/>
    <w:rsid w:val="00591C15"/>
    <w:rsid w:val="00591CEB"/>
    <w:rsid w:val="00591D64"/>
    <w:rsid w:val="00591D7D"/>
    <w:rsid w:val="00591DBA"/>
    <w:rsid w:val="00591DC4"/>
    <w:rsid w:val="00591E4A"/>
    <w:rsid w:val="00591E8B"/>
    <w:rsid w:val="00591E9A"/>
    <w:rsid w:val="00591EE6"/>
    <w:rsid w:val="00591F12"/>
    <w:rsid w:val="00591F16"/>
    <w:rsid w:val="00591F22"/>
    <w:rsid w:val="00591F63"/>
    <w:rsid w:val="00591FF7"/>
    <w:rsid w:val="00591FFE"/>
    <w:rsid w:val="00592009"/>
    <w:rsid w:val="0059202F"/>
    <w:rsid w:val="0059205E"/>
    <w:rsid w:val="00592063"/>
    <w:rsid w:val="00592077"/>
    <w:rsid w:val="0059207F"/>
    <w:rsid w:val="005920B8"/>
    <w:rsid w:val="005920C2"/>
    <w:rsid w:val="005920F5"/>
    <w:rsid w:val="0059211D"/>
    <w:rsid w:val="00592187"/>
    <w:rsid w:val="005921A9"/>
    <w:rsid w:val="0059220B"/>
    <w:rsid w:val="0059225C"/>
    <w:rsid w:val="0059228C"/>
    <w:rsid w:val="005922A0"/>
    <w:rsid w:val="005922A4"/>
    <w:rsid w:val="005922E2"/>
    <w:rsid w:val="005922F3"/>
    <w:rsid w:val="005922FF"/>
    <w:rsid w:val="00592305"/>
    <w:rsid w:val="0059232D"/>
    <w:rsid w:val="0059239A"/>
    <w:rsid w:val="005923B1"/>
    <w:rsid w:val="005923BC"/>
    <w:rsid w:val="0059242E"/>
    <w:rsid w:val="0059243A"/>
    <w:rsid w:val="0059243B"/>
    <w:rsid w:val="00592458"/>
    <w:rsid w:val="0059251D"/>
    <w:rsid w:val="00592525"/>
    <w:rsid w:val="00592547"/>
    <w:rsid w:val="00592560"/>
    <w:rsid w:val="00592578"/>
    <w:rsid w:val="0059259A"/>
    <w:rsid w:val="00592618"/>
    <w:rsid w:val="005926C5"/>
    <w:rsid w:val="005926D7"/>
    <w:rsid w:val="005926FF"/>
    <w:rsid w:val="00592787"/>
    <w:rsid w:val="005927B5"/>
    <w:rsid w:val="005927C4"/>
    <w:rsid w:val="005927CA"/>
    <w:rsid w:val="0059280A"/>
    <w:rsid w:val="00592882"/>
    <w:rsid w:val="005928A6"/>
    <w:rsid w:val="005928BB"/>
    <w:rsid w:val="005928E0"/>
    <w:rsid w:val="005928F3"/>
    <w:rsid w:val="0059296A"/>
    <w:rsid w:val="0059296B"/>
    <w:rsid w:val="005929C2"/>
    <w:rsid w:val="005929FF"/>
    <w:rsid w:val="00592A34"/>
    <w:rsid w:val="00592A7D"/>
    <w:rsid w:val="00592ABC"/>
    <w:rsid w:val="00592AFB"/>
    <w:rsid w:val="00592B28"/>
    <w:rsid w:val="00592B31"/>
    <w:rsid w:val="00592BF5"/>
    <w:rsid w:val="00592C08"/>
    <w:rsid w:val="00592C4E"/>
    <w:rsid w:val="00592C55"/>
    <w:rsid w:val="00592C65"/>
    <w:rsid w:val="00592CA4"/>
    <w:rsid w:val="00592CDD"/>
    <w:rsid w:val="00592CE2"/>
    <w:rsid w:val="00592E26"/>
    <w:rsid w:val="00592E6E"/>
    <w:rsid w:val="00592E8B"/>
    <w:rsid w:val="00592EED"/>
    <w:rsid w:val="00592F0E"/>
    <w:rsid w:val="00592F2A"/>
    <w:rsid w:val="00592F69"/>
    <w:rsid w:val="00592F91"/>
    <w:rsid w:val="00592FBA"/>
    <w:rsid w:val="00592FE6"/>
    <w:rsid w:val="00593063"/>
    <w:rsid w:val="00593067"/>
    <w:rsid w:val="005930A5"/>
    <w:rsid w:val="005930E8"/>
    <w:rsid w:val="00593144"/>
    <w:rsid w:val="0059318A"/>
    <w:rsid w:val="00593196"/>
    <w:rsid w:val="00593199"/>
    <w:rsid w:val="005931DC"/>
    <w:rsid w:val="005931E9"/>
    <w:rsid w:val="00593201"/>
    <w:rsid w:val="00593261"/>
    <w:rsid w:val="0059326C"/>
    <w:rsid w:val="0059326F"/>
    <w:rsid w:val="005932AA"/>
    <w:rsid w:val="005932BA"/>
    <w:rsid w:val="005932C4"/>
    <w:rsid w:val="005932D4"/>
    <w:rsid w:val="005933BD"/>
    <w:rsid w:val="0059341C"/>
    <w:rsid w:val="00593485"/>
    <w:rsid w:val="005934E7"/>
    <w:rsid w:val="005934EB"/>
    <w:rsid w:val="00593558"/>
    <w:rsid w:val="00593564"/>
    <w:rsid w:val="00593588"/>
    <w:rsid w:val="005935E1"/>
    <w:rsid w:val="005935E2"/>
    <w:rsid w:val="005935E4"/>
    <w:rsid w:val="005935FD"/>
    <w:rsid w:val="00593646"/>
    <w:rsid w:val="005936E3"/>
    <w:rsid w:val="0059372C"/>
    <w:rsid w:val="005937BF"/>
    <w:rsid w:val="0059380E"/>
    <w:rsid w:val="005938D3"/>
    <w:rsid w:val="005939BC"/>
    <w:rsid w:val="00593A14"/>
    <w:rsid w:val="00593A58"/>
    <w:rsid w:val="00593A5C"/>
    <w:rsid w:val="00593AE6"/>
    <w:rsid w:val="00593AFB"/>
    <w:rsid w:val="00593B12"/>
    <w:rsid w:val="00593B3E"/>
    <w:rsid w:val="00593B81"/>
    <w:rsid w:val="00593B9F"/>
    <w:rsid w:val="00593BE5"/>
    <w:rsid w:val="00593BF2"/>
    <w:rsid w:val="00593C3E"/>
    <w:rsid w:val="00593C5A"/>
    <w:rsid w:val="00593C73"/>
    <w:rsid w:val="00593C87"/>
    <w:rsid w:val="00593CA6"/>
    <w:rsid w:val="00593CB4"/>
    <w:rsid w:val="00593CE0"/>
    <w:rsid w:val="00593D1C"/>
    <w:rsid w:val="00593D25"/>
    <w:rsid w:val="00593D83"/>
    <w:rsid w:val="00593D85"/>
    <w:rsid w:val="00593D99"/>
    <w:rsid w:val="00593D9A"/>
    <w:rsid w:val="00593DAD"/>
    <w:rsid w:val="00593DBD"/>
    <w:rsid w:val="00593DC9"/>
    <w:rsid w:val="00593DEA"/>
    <w:rsid w:val="00593E23"/>
    <w:rsid w:val="00593E6F"/>
    <w:rsid w:val="00593EEE"/>
    <w:rsid w:val="00593EF3"/>
    <w:rsid w:val="00593F19"/>
    <w:rsid w:val="00593F74"/>
    <w:rsid w:val="00593F92"/>
    <w:rsid w:val="00593FAA"/>
    <w:rsid w:val="00594045"/>
    <w:rsid w:val="00594049"/>
    <w:rsid w:val="005940AD"/>
    <w:rsid w:val="00594125"/>
    <w:rsid w:val="0059414D"/>
    <w:rsid w:val="00594174"/>
    <w:rsid w:val="005941B9"/>
    <w:rsid w:val="005941C8"/>
    <w:rsid w:val="0059422B"/>
    <w:rsid w:val="00594249"/>
    <w:rsid w:val="0059426D"/>
    <w:rsid w:val="0059427D"/>
    <w:rsid w:val="005942A0"/>
    <w:rsid w:val="005942AB"/>
    <w:rsid w:val="00594321"/>
    <w:rsid w:val="00594344"/>
    <w:rsid w:val="005943F0"/>
    <w:rsid w:val="005943FF"/>
    <w:rsid w:val="00594456"/>
    <w:rsid w:val="0059447D"/>
    <w:rsid w:val="0059447E"/>
    <w:rsid w:val="005944A7"/>
    <w:rsid w:val="005944B5"/>
    <w:rsid w:val="005944B8"/>
    <w:rsid w:val="005944E4"/>
    <w:rsid w:val="0059457F"/>
    <w:rsid w:val="005945B1"/>
    <w:rsid w:val="005945B7"/>
    <w:rsid w:val="005945C2"/>
    <w:rsid w:val="005945CD"/>
    <w:rsid w:val="00594640"/>
    <w:rsid w:val="005946B7"/>
    <w:rsid w:val="005946F8"/>
    <w:rsid w:val="00594766"/>
    <w:rsid w:val="005947A6"/>
    <w:rsid w:val="005947A9"/>
    <w:rsid w:val="0059483C"/>
    <w:rsid w:val="0059483F"/>
    <w:rsid w:val="00594841"/>
    <w:rsid w:val="00594861"/>
    <w:rsid w:val="00594898"/>
    <w:rsid w:val="005948C7"/>
    <w:rsid w:val="005948F9"/>
    <w:rsid w:val="0059490B"/>
    <w:rsid w:val="00594968"/>
    <w:rsid w:val="00594996"/>
    <w:rsid w:val="005949A4"/>
    <w:rsid w:val="005949D1"/>
    <w:rsid w:val="00594A07"/>
    <w:rsid w:val="00594A82"/>
    <w:rsid w:val="00594A95"/>
    <w:rsid w:val="00594AB5"/>
    <w:rsid w:val="00594AF3"/>
    <w:rsid w:val="00594B3A"/>
    <w:rsid w:val="00594B7D"/>
    <w:rsid w:val="00594BA6"/>
    <w:rsid w:val="00594BCF"/>
    <w:rsid w:val="00594C17"/>
    <w:rsid w:val="00594D0C"/>
    <w:rsid w:val="00594D7D"/>
    <w:rsid w:val="00594E0B"/>
    <w:rsid w:val="00594E2B"/>
    <w:rsid w:val="00594E40"/>
    <w:rsid w:val="00594E4A"/>
    <w:rsid w:val="00594EFF"/>
    <w:rsid w:val="00594F7C"/>
    <w:rsid w:val="00594FAD"/>
    <w:rsid w:val="00595008"/>
    <w:rsid w:val="00595012"/>
    <w:rsid w:val="00595026"/>
    <w:rsid w:val="005950A2"/>
    <w:rsid w:val="005950E2"/>
    <w:rsid w:val="005950EB"/>
    <w:rsid w:val="00595121"/>
    <w:rsid w:val="00595190"/>
    <w:rsid w:val="00595194"/>
    <w:rsid w:val="00595219"/>
    <w:rsid w:val="00595258"/>
    <w:rsid w:val="0059525F"/>
    <w:rsid w:val="00595285"/>
    <w:rsid w:val="005952D6"/>
    <w:rsid w:val="005952FF"/>
    <w:rsid w:val="00595338"/>
    <w:rsid w:val="0059534A"/>
    <w:rsid w:val="00595376"/>
    <w:rsid w:val="005953DB"/>
    <w:rsid w:val="005953E4"/>
    <w:rsid w:val="0059540A"/>
    <w:rsid w:val="00595440"/>
    <w:rsid w:val="0059544C"/>
    <w:rsid w:val="00595453"/>
    <w:rsid w:val="00595475"/>
    <w:rsid w:val="005954BA"/>
    <w:rsid w:val="0059551A"/>
    <w:rsid w:val="0059554C"/>
    <w:rsid w:val="00595551"/>
    <w:rsid w:val="0059563E"/>
    <w:rsid w:val="00595707"/>
    <w:rsid w:val="00595720"/>
    <w:rsid w:val="00595734"/>
    <w:rsid w:val="0059573C"/>
    <w:rsid w:val="0059578C"/>
    <w:rsid w:val="005957A6"/>
    <w:rsid w:val="0059591A"/>
    <w:rsid w:val="00595971"/>
    <w:rsid w:val="0059598A"/>
    <w:rsid w:val="0059598F"/>
    <w:rsid w:val="005959D2"/>
    <w:rsid w:val="005959EB"/>
    <w:rsid w:val="00595A21"/>
    <w:rsid w:val="00595A78"/>
    <w:rsid w:val="00595A99"/>
    <w:rsid w:val="00595AB7"/>
    <w:rsid w:val="00595AD0"/>
    <w:rsid w:val="00595AD1"/>
    <w:rsid w:val="00595AD3"/>
    <w:rsid w:val="00595AE2"/>
    <w:rsid w:val="00595B1A"/>
    <w:rsid w:val="00595B51"/>
    <w:rsid w:val="00595B91"/>
    <w:rsid w:val="00595BE0"/>
    <w:rsid w:val="00595C21"/>
    <w:rsid w:val="00595C67"/>
    <w:rsid w:val="00595C91"/>
    <w:rsid w:val="00595CC8"/>
    <w:rsid w:val="00595CDB"/>
    <w:rsid w:val="00595D4A"/>
    <w:rsid w:val="00595D74"/>
    <w:rsid w:val="00595DF0"/>
    <w:rsid w:val="00595DF2"/>
    <w:rsid w:val="00595E12"/>
    <w:rsid w:val="00595E41"/>
    <w:rsid w:val="00595E4F"/>
    <w:rsid w:val="00595E53"/>
    <w:rsid w:val="00595E7B"/>
    <w:rsid w:val="00595E83"/>
    <w:rsid w:val="00595EA4"/>
    <w:rsid w:val="00595EB7"/>
    <w:rsid w:val="00595EF8"/>
    <w:rsid w:val="00595FC0"/>
    <w:rsid w:val="0059602D"/>
    <w:rsid w:val="00596055"/>
    <w:rsid w:val="00596076"/>
    <w:rsid w:val="005960B2"/>
    <w:rsid w:val="005960BD"/>
    <w:rsid w:val="005960D4"/>
    <w:rsid w:val="005961BF"/>
    <w:rsid w:val="005961E0"/>
    <w:rsid w:val="0059621B"/>
    <w:rsid w:val="00596267"/>
    <w:rsid w:val="00596292"/>
    <w:rsid w:val="005962ED"/>
    <w:rsid w:val="0059631F"/>
    <w:rsid w:val="00596333"/>
    <w:rsid w:val="00596340"/>
    <w:rsid w:val="00596368"/>
    <w:rsid w:val="005963A3"/>
    <w:rsid w:val="005963A5"/>
    <w:rsid w:val="005963C0"/>
    <w:rsid w:val="00596403"/>
    <w:rsid w:val="00596417"/>
    <w:rsid w:val="0059649E"/>
    <w:rsid w:val="0059658B"/>
    <w:rsid w:val="005965B5"/>
    <w:rsid w:val="005965D0"/>
    <w:rsid w:val="005965FE"/>
    <w:rsid w:val="0059661B"/>
    <w:rsid w:val="00596677"/>
    <w:rsid w:val="00596697"/>
    <w:rsid w:val="005966B7"/>
    <w:rsid w:val="005966CF"/>
    <w:rsid w:val="005966FA"/>
    <w:rsid w:val="00596711"/>
    <w:rsid w:val="00596731"/>
    <w:rsid w:val="00596754"/>
    <w:rsid w:val="00596768"/>
    <w:rsid w:val="00596790"/>
    <w:rsid w:val="005967B4"/>
    <w:rsid w:val="005967EF"/>
    <w:rsid w:val="00596841"/>
    <w:rsid w:val="00596853"/>
    <w:rsid w:val="00596933"/>
    <w:rsid w:val="00596959"/>
    <w:rsid w:val="00596960"/>
    <w:rsid w:val="0059698E"/>
    <w:rsid w:val="005969B7"/>
    <w:rsid w:val="00596A1C"/>
    <w:rsid w:val="00596A52"/>
    <w:rsid w:val="00596A81"/>
    <w:rsid w:val="00596AA0"/>
    <w:rsid w:val="00596AB6"/>
    <w:rsid w:val="00596AC1"/>
    <w:rsid w:val="00596AC2"/>
    <w:rsid w:val="00596B82"/>
    <w:rsid w:val="00596C3A"/>
    <w:rsid w:val="00596C77"/>
    <w:rsid w:val="00596C7A"/>
    <w:rsid w:val="00596C97"/>
    <w:rsid w:val="00596D00"/>
    <w:rsid w:val="00596D32"/>
    <w:rsid w:val="00596D41"/>
    <w:rsid w:val="00596D62"/>
    <w:rsid w:val="00596DB1"/>
    <w:rsid w:val="00596E1D"/>
    <w:rsid w:val="00596E29"/>
    <w:rsid w:val="00596F4E"/>
    <w:rsid w:val="00596F56"/>
    <w:rsid w:val="00596F64"/>
    <w:rsid w:val="00596F70"/>
    <w:rsid w:val="00596FD8"/>
    <w:rsid w:val="00597016"/>
    <w:rsid w:val="00597075"/>
    <w:rsid w:val="005970AA"/>
    <w:rsid w:val="00597143"/>
    <w:rsid w:val="005971A6"/>
    <w:rsid w:val="005971D4"/>
    <w:rsid w:val="0059725A"/>
    <w:rsid w:val="0059726F"/>
    <w:rsid w:val="005972DC"/>
    <w:rsid w:val="00597315"/>
    <w:rsid w:val="00597327"/>
    <w:rsid w:val="0059735D"/>
    <w:rsid w:val="00597407"/>
    <w:rsid w:val="00597442"/>
    <w:rsid w:val="00597447"/>
    <w:rsid w:val="00597459"/>
    <w:rsid w:val="0059749F"/>
    <w:rsid w:val="005974CE"/>
    <w:rsid w:val="005974D5"/>
    <w:rsid w:val="00597535"/>
    <w:rsid w:val="0059757E"/>
    <w:rsid w:val="0059760A"/>
    <w:rsid w:val="00597628"/>
    <w:rsid w:val="00597647"/>
    <w:rsid w:val="005976A0"/>
    <w:rsid w:val="0059770D"/>
    <w:rsid w:val="00597856"/>
    <w:rsid w:val="0059785C"/>
    <w:rsid w:val="0059788F"/>
    <w:rsid w:val="00597890"/>
    <w:rsid w:val="005978EC"/>
    <w:rsid w:val="0059792F"/>
    <w:rsid w:val="0059794D"/>
    <w:rsid w:val="00597961"/>
    <w:rsid w:val="005979CB"/>
    <w:rsid w:val="005979D9"/>
    <w:rsid w:val="00597A27"/>
    <w:rsid w:val="00597A92"/>
    <w:rsid w:val="00597A94"/>
    <w:rsid w:val="00597AD7"/>
    <w:rsid w:val="00597C97"/>
    <w:rsid w:val="00597D07"/>
    <w:rsid w:val="00597D6C"/>
    <w:rsid w:val="00597D78"/>
    <w:rsid w:val="00597D83"/>
    <w:rsid w:val="00597DD8"/>
    <w:rsid w:val="00597E9C"/>
    <w:rsid w:val="00597ED5"/>
    <w:rsid w:val="00597EE4"/>
    <w:rsid w:val="00597EEA"/>
    <w:rsid w:val="00597F39"/>
    <w:rsid w:val="00597F56"/>
    <w:rsid w:val="00597FE4"/>
    <w:rsid w:val="005A000E"/>
    <w:rsid w:val="005A002C"/>
    <w:rsid w:val="005A0062"/>
    <w:rsid w:val="005A006B"/>
    <w:rsid w:val="005A00D3"/>
    <w:rsid w:val="005A0118"/>
    <w:rsid w:val="005A0180"/>
    <w:rsid w:val="005A019C"/>
    <w:rsid w:val="005A01AB"/>
    <w:rsid w:val="005A01B2"/>
    <w:rsid w:val="005A01D7"/>
    <w:rsid w:val="005A01E0"/>
    <w:rsid w:val="005A01E6"/>
    <w:rsid w:val="005A0238"/>
    <w:rsid w:val="005A023F"/>
    <w:rsid w:val="005A02BA"/>
    <w:rsid w:val="005A02BE"/>
    <w:rsid w:val="005A0355"/>
    <w:rsid w:val="005A0357"/>
    <w:rsid w:val="005A039A"/>
    <w:rsid w:val="005A03A8"/>
    <w:rsid w:val="005A03FA"/>
    <w:rsid w:val="005A044D"/>
    <w:rsid w:val="005A046D"/>
    <w:rsid w:val="005A04EF"/>
    <w:rsid w:val="005A0514"/>
    <w:rsid w:val="005A0527"/>
    <w:rsid w:val="005A055A"/>
    <w:rsid w:val="005A0564"/>
    <w:rsid w:val="005A059D"/>
    <w:rsid w:val="005A05F3"/>
    <w:rsid w:val="005A05FC"/>
    <w:rsid w:val="005A060C"/>
    <w:rsid w:val="005A0612"/>
    <w:rsid w:val="005A0680"/>
    <w:rsid w:val="005A06AD"/>
    <w:rsid w:val="005A06E1"/>
    <w:rsid w:val="005A0712"/>
    <w:rsid w:val="005A071C"/>
    <w:rsid w:val="005A0764"/>
    <w:rsid w:val="005A0784"/>
    <w:rsid w:val="005A0787"/>
    <w:rsid w:val="005A07AD"/>
    <w:rsid w:val="005A07D9"/>
    <w:rsid w:val="005A07E0"/>
    <w:rsid w:val="005A0801"/>
    <w:rsid w:val="005A089B"/>
    <w:rsid w:val="005A08F5"/>
    <w:rsid w:val="005A08FB"/>
    <w:rsid w:val="005A0922"/>
    <w:rsid w:val="005A094F"/>
    <w:rsid w:val="005A0952"/>
    <w:rsid w:val="005A0A08"/>
    <w:rsid w:val="005A0A25"/>
    <w:rsid w:val="005A0A2F"/>
    <w:rsid w:val="005A0AB8"/>
    <w:rsid w:val="005A0AC7"/>
    <w:rsid w:val="005A0AE0"/>
    <w:rsid w:val="005A0AEC"/>
    <w:rsid w:val="005A0AFD"/>
    <w:rsid w:val="005A0B1D"/>
    <w:rsid w:val="005A0B35"/>
    <w:rsid w:val="005A0B78"/>
    <w:rsid w:val="005A0C2B"/>
    <w:rsid w:val="005A0C4B"/>
    <w:rsid w:val="005A0C61"/>
    <w:rsid w:val="005A0CA8"/>
    <w:rsid w:val="005A0CE5"/>
    <w:rsid w:val="005A0CE8"/>
    <w:rsid w:val="005A0D15"/>
    <w:rsid w:val="005A0D40"/>
    <w:rsid w:val="005A0D68"/>
    <w:rsid w:val="005A0D79"/>
    <w:rsid w:val="005A0DDF"/>
    <w:rsid w:val="005A0DFA"/>
    <w:rsid w:val="005A0E03"/>
    <w:rsid w:val="005A0E4C"/>
    <w:rsid w:val="005A0E74"/>
    <w:rsid w:val="005A0EC4"/>
    <w:rsid w:val="005A0EF1"/>
    <w:rsid w:val="005A0F39"/>
    <w:rsid w:val="005A0FBC"/>
    <w:rsid w:val="005A0FCA"/>
    <w:rsid w:val="005A1030"/>
    <w:rsid w:val="005A1031"/>
    <w:rsid w:val="005A103E"/>
    <w:rsid w:val="005A1057"/>
    <w:rsid w:val="005A1087"/>
    <w:rsid w:val="005A1091"/>
    <w:rsid w:val="005A1092"/>
    <w:rsid w:val="005A10A3"/>
    <w:rsid w:val="005A10AB"/>
    <w:rsid w:val="005A10C7"/>
    <w:rsid w:val="005A10CA"/>
    <w:rsid w:val="005A1155"/>
    <w:rsid w:val="005A11A1"/>
    <w:rsid w:val="005A11B3"/>
    <w:rsid w:val="005A122A"/>
    <w:rsid w:val="005A12D3"/>
    <w:rsid w:val="005A12F4"/>
    <w:rsid w:val="005A1319"/>
    <w:rsid w:val="005A139C"/>
    <w:rsid w:val="005A13B1"/>
    <w:rsid w:val="005A13B3"/>
    <w:rsid w:val="005A13B9"/>
    <w:rsid w:val="005A13CE"/>
    <w:rsid w:val="005A140C"/>
    <w:rsid w:val="005A143F"/>
    <w:rsid w:val="005A1445"/>
    <w:rsid w:val="005A14CB"/>
    <w:rsid w:val="005A14E0"/>
    <w:rsid w:val="005A14FD"/>
    <w:rsid w:val="005A155A"/>
    <w:rsid w:val="005A1589"/>
    <w:rsid w:val="005A15B7"/>
    <w:rsid w:val="005A1613"/>
    <w:rsid w:val="005A1661"/>
    <w:rsid w:val="005A16AD"/>
    <w:rsid w:val="005A16DD"/>
    <w:rsid w:val="005A177C"/>
    <w:rsid w:val="005A1784"/>
    <w:rsid w:val="005A17D1"/>
    <w:rsid w:val="005A17E1"/>
    <w:rsid w:val="005A1812"/>
    <w:rsid w:val="005A1813"/>
    <w:rsid w:val="005A1815"/>
    <w:rsid w:val="005A181B"/>
    <w:rsid w:val="005A184B"/>
    <w:rsid w:val="005A1855"/>
    <w:rsid w:val="005A18C0"/>
    <w:rsid w:val="005A18CB"/>
    <w:rsid w:val="005A18CE"/>
    <w:rsid w:val="005A18DC"/>
    <w:rsid w:val="005A18E2"/>
    <w:rsid w:val="005A18E3"/>
    <w:rsid w:val="005A1947"/>
    <w:rsid w:val="005A19F6"/>
    <w:rsid w:val="005A1A06"/>
    <w:rsid w:val="005A1A60"/>
    <w:rsid w:val="005A1B0F"/>
    <w:rsid w:val="005A1B6E"/>
    <w:rsid w:val="005A1B87"/>
    <w:rsid w:val="005A1BAD"/>
    <w:rsid w:val="005A1BB0"/>
    <w:rsid w:val="005A1BBC"/>
    <w:rsid w:val="005A1C8B"/>
    <w:rsid w:val="005A1C91"/>
    <w:rsid w:val="005A1D07"/>
    <w:rsid w:val="005A1D36"/>
    <w:rsid w:val="005A1D5B"/>
    <w:rsid w:val="005A1D7C"/>
    <w:rsid w:val="005A1D80"/>
    <w:rsid w:val="005A1DE4"/>
    <w:rsid w:val="005A1E4B"/>
    <w:rsid w:val="005A1E9E"/>
    <w:rsid w:val="005A1EAE"/>
    <w:rsid w:val="005A1F6F"/>
    <w:rsid w:val="005A1F7F"/>
    <w:rsid w:val="005A1FAC"/>
    <w:rsid w:val="005A1FB6"/>
    <w:rsid w:val="005A1FDB"/>
    <w:rsid w:val="005A205F"/>
    <w:rsid w:val="005A2071"/>
    <w:rsid w:val="005A2094"/>
    <w:rsid w:val="005A2097"/>
    <w:rsid w:val="005A2104"/>
    <w:rsid w:val="005A2112"/>
    <w:rsid w:val="005A217C"/>
    <w:rsid w:val="005A21B0"/>
    <w:rsid w:val="005A21EE"/>
    <w:rsid w:val="005A221E"/>
    <w:rsid w:val="005A222E"/>
    <w:rsid w:val="005A2255"/>
    <w:rsid w:val="005A22FA"/>
    <w:rsid w:val="005A2328"/>
    <w:rsid w:val="005A233B"/>
    <w:rsid w:val="005A2373"/>
    <w:rsid w:val="005A2382"/>
    <w:rsid w:val="005A23B6"/>
    <w:rsid w:val="005A23B7"/>
    <w:rsid w:val="005A23D7"/>
    <w:rsid w:val="005A2436"/>
    <w:rsid w:val="005A243E"/>
    <w:rsid w:val="005A244D"/>
    <w:rsid w:val="005A24DA"/>
    <w:rsid w:val="005A24DC"/>
    <w:rsid w:val="005A250E"/>
    <w:rsid w:val="005A2531"/>
    <w:rsid w:val="005A2584"/>
    <w:rsid w:val="005A25B3"/>
    <w:rsid w:val="005A25FA"/>
    <w:rsid w:val="005A25FC"/>
    <w:rsid w:val="005A2636"/>
    <w:rsid w:val="005A263C"/>
    <w:rsid w:val="005A268B"/>
    <w:rsid w:val="005A26EA"/>
    <w:rsid w:val="005A26F8"/>
    <w:rsid w:val="005A2792"/>
    <w:rsid w:val="005A27B5"/>
    <w:rsid w:val="005A27C7"/>
    <w:rsid w:val="005A27F4"/>
    <w:rsid w:val="005A2812"/>
    <w:rsid w:val="005A2823"/>
    <w:rsid w:val="005A2825"/>
    <w:rsid w:val="005A284E"/>
    <w:rsid w:val="005A285F"/>
    <w:rsid w:val="005A2922"/>
    <w:rsid w:val="005A298D"/>
    <w:rsid w:val="005A2A5A"/>
    <w:rsid w:val="005A2A82"/>
    <w:rsid w:val="005A2A8D"/>
    <w:rsid w:val="005A2A98"/>
    <w:rsid w:val="005A2AA3"/>
    <w:rsid w:val="005A2AB6"/>
    <w:rsid w:val="005A2AC2"/>
    <w:rsid w:val="005A2ACB"/>
    <w:rsid w:val="005A2B14"/>
    <w:rsid w:val="005A2B46"/>
    <w:rsid w:val="005A2B4C"/>
    <w:rsid w:val="005A2B6A"/>
    <w:rsid w:val="005A2BA6"/>
    <w:rsid w:val="005A2C10"/>
    <w:rsid w:val="005A2C98"/>
    <w:rsid w:val="005A2D17"/>
    <w:rsid w:val="005A2DA4"/>
    <w:rsid w:val="005A2DAD"/>
    <w:rsid w:val="005A2DBE"/>
    <w:rsid w:val="005A2DD4"/>
    <w:rsid w:val="005A2E27"/>
    <w:rsid w:val="005A2E48"/>
    <w:rsid w:val="005A2EA3"/>
    <w:rsid w:val="005A2ED8"/>
    <w:rsid w:val="005A2EDC"/>
    <w:rsid w:val="005A2F2E"/>
    <w:rsid w:val="005A2F69"/>
    <w:rsid w:val="005A30DA"/>
    <w:rsid w:val="005A30E2"/>
    <w:rsid w:val="005A30EE"/>
    <w:rsid w:val="005A3108"/>
    <w:rsid w:val="005A3128"/>
    <w:rsid w:val="005A3171"/>
    <w:rsid w:val="005A31EB"/>
    <w:rsid w:val="005A3217"/>
    <w:rsid w:val="005A329B"/>
    <w:rsid w:val="005A32A1"/>
    <w:rsid w:val="005A32C5"/>
    <w:rsid w:val="005A32CB"/>
    <w:rsid w:val="005A3331"/>
    <w:rsid w:val="005A3340"/>
    <w:rsid w:val="005A33A5"/>
    <w:rsid w:val="005A33A9"/>
    <w:rsid w:val="005A3455"/>
    <w:rsid w:val="005A3493"/>
    <w:rsid w:val="005A3498"/>
    <w:rsid w:val="005A3522"/>
    <w:rsid w:val="005A352B"/>
    <w:rsid w:val="005A3553"/>
    <w:rsid w:val="005A3556"/>
    <w:rsid w:val="005A355E"/>
    <w:rsid w:val="005A356C"/>
    <w:rsid w:val="005A35AB"/>
    <w:rsid w:val="005A35D0"/>
    <w:rsid w:val="005A35D7"/>
    <w:rsid w:val="005A360D"/>
    <w:rsid w:val="005A361A"/>
    <w:rsid w:val="005A3627"/>
    <w:rsid w:val="005A3756"/>
    <w:rsid w:val="005A376A"/>
    <w:rsid w:val="005A3791"/>
    <w:rsid w:val="005A3800"/>
    <w:rsid w:val="005A382D"/>
    <w:rsid w:val="005A385C"/>
    <w:rsid w:val="005A3880"/>
    <w:rsid w:val="005A388C"/>
    <w:rsid w:val="005A390C"/>
    <w:rsid w:val="005A3985"/>
    <w:rsid w:val="005A3992"/>
    <w:rsid w:val="005A39C2"/>
    <w:rsid w:val="005A39CE"/>
    <w:rsid w:val="005A3A1D"/>
    <w:rsid w:val="005A3A2A"/>
    <w:rsid w:val="005A3AA4"/>
    <w:rsid w:val="005A3AC3"/>
    <w:rsid w:val="005A3AC4"/>
    <w:rsid w:val="005A3ADB"/>
    <w:rsid w:val="005A3B09"/>
    <w:rsid w:val="005A3B37"/>
    <w:rsid w:val="005A3B4D"/>
    <w:rsid w:val="005A3B53"/>
    <w:rsid w:val="005A3BBC"/>
    <w:rsid w:val="005A3C10"/>
    <w:rsid w:val="005A3CD0"/>
    <w:rsid w:val="005A3CDA"/>
    <w:rsid w:val="005A3CEA"/>
    <w:rsid w:val="005A3D22"/>
    <w:rsid w:val="005A3D2C"/>
    <w:rsid w:val="005A3D39"/>
    <w:rsid w:val="005A3D77"/>
    <w:rsid w:val="005A3D8B"/>
    <w:rsid w:val="005A3DA4"/>
    <w:rsid w:val="005A3DCC"/>
    <w:rsid w:val="005A3DD7"/>
    <w:rsid w:val="005A3E11"/>
    <w:rsid w:val="005A3E55"/>
    <w:rsid w:val="005A3E5A"/>
    <w:rsid w:val="005A3E79"/>
    <w:rsid w:val="005A3E7C"/>
    <w:rsid w:val="005A3E99"/>
    <w:rsid w:val="005A3EA8"/>
    <w:rsid w:val="005A3F24"/>
    <w:rsid w:val="005A3F4B"/>
    <w:rsid w:val="005A3FC5"/>
    <w:rsid w:val="005A3FD7"/>
    <w:rsid w:val="005A4008"/>
    <w:rsid w:val="005A400D"/>
    <w:rsid w:val="005A4050"/>
    <w:rsid w:val="005A4075"/>
    <w:rsid w:val="005A407E"/>
    <w:rsid w:val="005A4085"/>
    <w:rsid w:val="005A40B9"/>
    <w:rsid w:val="005A4102"/>
    <w:rsid w:val="005A415F"/>
    <w:rsid w:val="005A416E"/>
    <w:rsid w:val="005A41BD"/>
    <w:rsid w:val="005A41F8"/>
    <w:rsid w:val="005A4211"/>
    <w:rsid w:val="005A421E"/>
    <w:rsid w:val="005A427C"/>
    <w:rsid w:val="005A4299"/>
    <w:rsid w:val="005A42A3"/>
    <w:rsid w:val="005A42B9"/>
    <w:rsid w:val="005A42ED"/>
    <w:rsid w:val="005A430E"/>
    <w:rsid w:val="005A4316"/>
    <w:rsid w:val="005A4387"/>
    <w:rsid w:val="005A43C7"/>
    <w:rsid w:val="005A43DD"/>
    <w:rsid w:val="005A442E"/>
    <w:rsid w:val="005A444B"/>
    <w:rsid w:val="005A44F6"/>
    <w:rsid w:val="005A4540"/>
    <w:rsid w:val="005A4598"/>
    <w:rsid w:val="005A45C1"/>
    <w:rsid w:val="005A45C7"/>
    <w:rsid w:val="005A45E9"/>
    <w:rsid w:val="005A4649"/>
    <w:rsid w:val="005A4719"/>
    <w:rsid w:val="005A4768"/>
    <w:rsid w:val="005A4774"/>
    <w:rsid w:val="005A47E1"/>
    <w:rsid w:val="005A48EC"/>
    <w:rsid w:val="005A48FE"/>
    <w:rsid w:val="005A49A2"/>
    <w:rsid w:val="005A49C0"/>
    <w:rsid w:val="005A4A1C"/>
    <w:rsid w:val="005A4A2D"/>
    <w:rsid w:val="005A4A54"/>
    <w:rsid w:val="005A4A66"/>
    <w:rsid w:val="005A4A7C"/>
    <w:rsid w:val="005A4ABA"/>
    <w:rsid w:val="005A4AF5"/>
    <w:rsid w:val="005A4AF9"/>
    <w:rsid w:val="005A4AFC"/>
    <w:rsid w:val="005A4B20"/>
    <w:rsid w:val="005A4B2D"/>
    <w:rsid w:val="005A4B5C"/>
    <w:rsid w:val="005A4B78"/>
    <w:rsid w:val="005A4B7C"/>
    <w:rsid w:val="005A4BCA"/>
    <w:rsid w:val="005A4BEE"/>
    <w:rsid w:val="005A4BF1"/>
    <w:rsid w:val="005A4C32"/>
    <w:rsid w:val="005A4CEF"/>
    <w:rsid w:val="005A4D5C"/>
    <w:rsid w:val="005A4D82"/>
    <w:rsid w:val="005A4D8A"/>
    <w:rsid w:val="005A4D99"/>
    <w:rsid w:val="005A4DA3"/>
    <w:rsid w:val="005A4DAF"/>
    <w:rsid w:val="005A4DDC"/>
    <w:rsid w:val="005A4DEA"/>
    <w:rsid w:val="005A4E22"/>
    <w:rsid w:val="005A4E26"/>
    <w:rsid w:val="005A4E6C"/>
    <w:rsid w:val="005A4E74"/>
    <w:rsid w:val="005A4E98"/>
    <w:rsid w:val="005A4E99"/>
    <w:rsid w:val="005A4EE3"/>
    <w:rsid w:val="005A4EEB"/>
    <w:rsid w:val="005A4F18"/>
    <w:rsid w:val="005A4F22"/>
    <w:rsid w:val="005A4F3F"/>
    <w:rsid w:val="005A4F5B"/>
    <w:rsid w:val="005A4F80"/>
    <w:rsid w:val="005A4F8F"/>
    <w:rsid w:val="005A4FD8"/>
    <w:rsid w:val="005A5003"/>
    <w:rsid w:val="005A501D"/>
    <w:rsid w:val="005A507C"/>
    <w:rsid w:val="005A5137"/>
    <w:rsid w:val="005A5170"/>
    <w:rsid w:val="005A518A"/>
    <w:rsid w:val="005A51A1"/>
    <w:rsid w:val="005A522C"/>
    <w:rsid w:val="005A522D"/>
    <w:rsid w:val="005A5244"/>
    <w:rsid w:val="005A53E1"/>
    <w:rsid w:val="005A5445"/>
    <w:rsid w:val="005A5456"/>
    <w:rsid w:val="005A545A"/>
    <w:rsid w:val="005A5477"/>
    <w:rsid w:val="005A54B1"/>
    <w:rsid w:val="005A5521"/>
    <w:rsid w:val="005A553C"/>
    <w:rsid w:val="005A55BB"/>
    <w:rsid w:val="005A55D6"/>
    <w:rsid w:val="005A565D"/>
    <w:rsid w:val="005A5661"/>
    <w:rsid w:val="005A56E3"/>
    <w:rsid w:val="005A572D"/>
    <w:rsid w:val="005A572E"/>
    <w:rsid w:val="005A5737"/>
    <w:rsid w:val="005A5738"/>
    <w:rsid w:val="005A5759"/>
    <w:rsid w:val="005A5763"/>
    <w:rsid w:val="005A578D"/>
    <w:rsid w:val="005A57AB"/>
    <w:rsid w:val="005A581C"/>
    <w:rsid w:val="005A583A"/>
    <w:rsid w:val="005A583C"/>
    <w:rsid w:val="005A58B9"/>
    <w:rsid w:val="005A58C6"/>
    <w:rsid w:val="005A58C9"/>
    <w:rsid w:val="005A58E2"/>
    <w:rsid w:val="005A5919"/>
    <w:rsid w:val="005A5922"/>
    <w:rsid w:val="005A5932"/>
    <w:rsid w:val="005A5961"/>
    <w:rsid w:val="005A59C7"/>
    <w:rsid w:val="005A59F2"/>
    <w:rsid w:val="005A5A23"/>
    <w:rsid w:val="005A5A30"/>
    <w:rsid w:val="005A5A98"/>
    <w:rsid w:val="005A5AA1"/>
    <w:rsid w:val="005A5AB3"/>
    <w:rsid w:val="005A5B29"/>
    <w:rsid w:val="005A5B37"/>
    <w:rsid w:val="005A5B3C"/>
    <w:rsid w:val="005A5B41"/>
    <w:rsid w:val="005A5B51"/>
    <w:rsid w:val="005A5B6D"/>
    <w:rsid w:val="005A5B7F"/>
    <w:rsid w:val="005A5B83"/>
    <w:rsid w:val="005A5B88"/>
    <w:rsid w:val="005A5BFC"/>
    <w:rsid w:val="005A5C18"/>
    <w:rsid w:val="005A5C4A"/>
    <w:rsid w:val="005A5C7E"/>
    <w:rsid w:val="005A5C87"/>
    <w:rsid w:val="005A5C8B"/>
    <w:rsid w:val="005A5D06"/>
    <w:rsid w:val="005A5D48"/>
    <w:rsid w:val="005A5D58"/>
    <w:rsid w:val="005A5DC7"/>
    <w:rsid w:val="005A5E28"/>
    <w:rsid w:val="005A5E89"/>
    <w:rsid w:val="005A5EE0"/>
    <w:rsid w:val="005A5F27"/>
    <w:rsid w:val="005A5F46"/>
    <w:rsid w:val="005A6024"/>
    <w:rsid w:val="005A6025"/>
    <w:rsid w:val="005A6059"/>
    <w:rsid w:val="005A60BE"/>
    <w:rsid w:val="005A6199"/>
    <w:rsid w:val="005A624F"/>
    <w:rsid w:val="005A626E"/>
    <w:rsid w:val="005A62A7"/>
    <w:rsid w:val="005A62D0"/>
    <w:rsid w:val="005A62F9"/>
    <w:rsid w:val="005A6342"/>
    <w:rsid w:val="005A636A"/>
    <w:rsid w:val="005A638D"/>
    <w:rsid w:val="005A63A1"/>
    <w:rsid w:val="005A6446"/>
    <w:rsid w:val="005A6500"/>
    <w:rsid w:val="005A652A"/>
    <w:rsid w:val="005A653B"/>
    <w:rsid w:val="005A6576"/>
    <w:rsid w:val="005A65A6"/>
    <w:rsid w:val="005A65C4"/>
    <w:rsid w:val="005A6620"/>
    <w:rsid w:val="005A663D"/>
    <w:rsid w:val="005A663E"/>
    <w:rsid w:val="005A6654"/>
    <w:rsid w:val="005A6687"/>
    <w:rsid w:val="005A668B"/>
    <w:rsid w:val="005A668C"/>
    <w:rsid w:val="005A66EC"/>
    <w:rsid w:val="005A6736"/>
    <w:rsid w:val="005A675C"/>
    <w:rsid w:val="005A6764"/>
    <w:rsid w:val="005A67BA"/>
    <w:rsid w:val="005A67C7"/>
    <w:rsid w:val="005A67F3"/>
    <w:rsid w:val="005A683E"/>
    <w:rsid w:val="005A684A"/>
    <w:rsid w:val="005A687C"/>
    <w:rsid w:val="005A6897"/>
    <w:rsid w:val="005A68AD"/>
    <w:rsid w:val="005A68F9"/>
    <w:rsid w:val="005A696E"/>
    <w:rsid w:val="005A6982"/>
    <w:rsid w:val="005A6999"/>
    <w:rsid w:val="005A69BE"/>
    <w:rsid w:val="005A69D3"/>
    <w:rsid w:val="005A69DA"/>
    <w:rsid w:val="005A6A2D"/>
    <w:rsid w:val="005A6A30"/>
    <w:rsid w:val="005A6AEF"/>
    <w:rsid w:val="005A6B29"/>
    <w:rsid w:val="005A6B2D"/>
    <w:rsid w:val="005A6B57"/>
    <w:rsid w:val="005A6B67"/>
    <w:rsid w:val="005A6B86"/>
    <w:rsid w:val="005A6BB9"/>
    <w:rsid w:val="005A6BDD"/>
    <w:rsid w:val="005A6C15"/>
    <w:rsid w:val="005A6C62"/>
    <w:rsid w:val="005A6C6E"/>
    <w:rsid w:val="005A6CA3"/>
    <w:rsid w:val="005A6CE2"/>
    <w:rsid w:val="005A6D85"/>
    <w:rsid w:val="005A6D96"/>
    <w:rsid w:val="005A6DA5"/>
    <w:rsid w:val="005A6DCA"/>
    <w:rsid w:val="005A6E72"/>
    <w:rsid w:val="005A6F0C"/>
    <w:rsid w:val="005A6F5A"/>
    <w:rsid w:val="005A6FA7"/>
    <w:rsid w:val="005A6FC9"/>
    <w:rsid w:val="005A6FEB"/>
    <w:rsid w:val="005A7058"/>
    <w:rsid w:val="005A70BE"/>
    <w:rsid w:val="005A7165"/>
    <w:rsid w:val="005A71BB"/>
    <w:rsid w:val="005A721E"/>
    <w:rsid w:val="005A7226"/>
    <w:rsid w:val="005A724F"/>
    <w:rsid w:val="005A7271"/>
    <w:rsid w:val="005A72C7"/>
    <w:rsid w:val="005A72E3"/>
    <w:rsid w:val="005A730F"/>
    <w:rsid w:val="005A7312"/>
    <w:rsid w:val="005A7334"/>
    <w:rsid w:val="005A7342"/>
    <w:rsid w:val="005A73A7"/>
    <w:rsid w:val="005A73C8"/>
    <w:rsid w:val="005A73DA"/>
    <w:rsid w:val="005A7416"/>
    <w:rsid w:val="005A7489"/>
    <w:rsid w:val="005A74E0"/>
    <w:rsid w:val="005A74EE"/>
    <w:rsid w:val="005A74F0"/>
    <w:rsid w:val="005A74FE"/>
    <w:rsid w:val="005A750C"/>
    <w:rsid w:val="005A752D"/>
    <w:rsid w:val="005A753C"/>
    <w:rsid w:val="005A75EF"/>
    <w:rsid w:val="005A7610"/>
    <w:rsid w:val="005A7665"/>
    <w:rsid w:val="005A7678"/>
    <w:rsid w:val="005A767C"/>
    <w:rsid w:val="005A76A7"/>
    <w:rsid w:val="005A76B6"/>
    <w:rsid w:val="005A76B8"/>
    <w:rsid w:val="005A7702"/>
    <w:rsid w:val="005A7709"/>
    <w:rsid w:val="005A7713"/>
    <w:rsid w:val="005A777E"/>
    <w:rsid w:val="005A778F"/>
    <w:rsid w:val="005A77A7"/>
    <w:rsid w:val="005A7825"/>
    <w:rsid w:val="005A7834"/>
    <w:rsid w:val="005A78C1"/>
    <w:rsid w:val="005A7919"/>
    <w:rsid w:val="005A79E5"/>
    <w:rsid w:val="005A79F1"/>
    <w:rsid w:val="005A79F9"/>
    <w:rsid w:val="005A7A19"/>
    <w:rsid w:val="005A7A63"/>
    <w:rsid w:val="005A7A85"/>
    <w:rsid w:val="005A7AC6"/>
    <w:rsid w:val="005A7ADD"/>
    <w:rsid w:val="005A7AE4"/>
    <w:rsid w:val="005A7B2E"/>
    <w:rsid w:val="005A7B78"/>
    <w:rsid w:val="005A7BAD"/>
    <w:rsid w:val="005A7BDD"/>
    <w:rsid w:val="005A7BED"/>
    <w:rsid w:val="005A7C31"/>
    <w:rsid w:val="005A7C36"/>
    <w:rsid w:val="005A7C4B"/>
    <w:rsid w:val="005A7C8B"/>
    <w:rsid w:val="005A7D33"/>
    <w:rsid w:val="005A7D37"/>
    <w:rsid w:val="005A7D3D"/>
    <w:rsid w:val="005A7D48"/>
    <w:rsid w:val="005A7D65"/>
    <w:rsid w:val="005A7DC5"/>
    <w:rsid w:val="005A7E0D"/>
    <w:rsid w:val="005A7E1A"/>
    <w:rsid w:val="005A7E64"/>
    <w:rsid w:val="005A7E87"/>
    <w:rsid w:val="005A7EB7"/>
    <w:rsid w:val="005A7EDD"/>
    <w:rsid w:val="005A7F50"/>
    <w:rsid w:val="005A7F85"/>
    <w:rsid w:val="005A7F8C"/>
    <w:rsid w:val="005A7FD7"/>
    <w:rsid w:val="005A7FDF"/>
    <w:rsid w:val="005B0035"/>
    <w:rsid w:val="005B0051"/>
    <w:rsid w:val="005B0076"/>
    <w:rsid w:val="005B007F"/>
    <w:rsid w:val="005B009C"/>
    <w:rsid w:val="005B00E1"/>
    <w:rsid w:val="005B00F4"/>
    <w:rsid w:val="005B01CE"/>
    <w:rsid w:val="005B01F7"/>
    <w:rsid w:val="005B0232"/>
    <w:rsid w:val="005B02A6"/>
    <w:rsid w:val="005B02A8"/>
    <w:rsid w:val="005B02B2"/>
    <w:rsid w:val="005B02F5"/>
    <w:rsid w:val="005B02F7"/>
    <w:rsid w:val="005B0308"/>
    <w:rsid w:val="005B0311"/>
    <w:rsid w:val="005B0359"/>
    <w:rsid w:val="005B0367"/>
    <w:rsid w:val="005B0375"/>
    <w:rsid w:val="005B039C"/>
    <w:rsid w:val="005B03DA"/>
    <w:rsid w:val="005B03F4"/>
    <w:rsid w:val="005B042F"/>
    <w:rsid w:val="005B0439"/>
    <w:rsid w:val="005B0468"/>
    <w:rsid w:val="005B0475"/>
    <w:rsid w:val="005B04B4"/>
    <w:rsid w:val="005B051D"/>
    <w:rsid w:val="005B0525"/>
    <w:rsid w:val="005B0562"/>
    <w:rsid w:val="005B057A"/>
    <w:rsid w:val="005B0590"/>
    <w:rsid w:val="005B0596"/>
    <w:rsid w:val="005B05A5"/>
    <w:rsid w:val="005B05E2"/>
    <w:rsid w:val="005B062F"/>
    <w:rsid w:val="005B0681"/>
    <w:rsid w:val="005B06B7"/>
    <w:rsid w:val="005B06F5"/>
    <w:rsid w:val="005B073C"/>
    <w:rsid w:val="005B0773"/>
    <w:rsid w:val="005B0797"/>
    <w:rsid w:val="005B0882"/>
    <w:rsid w:val="005B08EA"/>
    <w:rsid w:val="005B090E"/>
    <w:rsid w:val="005B0953"/>
    <w:rsid w:val="005B0958"/>
    <w:rsid w:val="005B099B"/>
    <w:rsid w:val="005B09CB"/>
    <w:rsid w:val="005B09E5"/>
    <w:rsid w:val="005B09F1"/>
    <w:rsid w:val="005B0A1D"/>
    <w:rsid w:val="005B0A25"/>
    <w:rsid w:val="005B0A2A"/>
    <w:rsid w:val="005B0A3B"/>
    <w:rsid w:val="005B0A50"/>
    <w:rsid w:val="005B0AFD"/>
    <w:rsid w:val="005B0B19"/>
    <w:rsid w:val="005B0B9C"/>
    <w:rsid w:val="005B0BCF"/>
    <w:rsid w:val="005B0BD8"/>
    <w:rsid w:val="005B0BDC"/>
    <w:rsid w:val="005B0C34"/>
    <w:rsid w:val="005B0CC1"/>
    <w:rsid w:val="005B0CD4"/>
    <w:rsid w:val="005B0CE3"/>
    <w:rsid w:val="005B0CF9"/>
    <w:rsid w:val="005B0D25"/>
    <w:rsid w:val="005B0D46"/>
    <w:rsid w:val="005B0D4B"/>
    <w:rsid w:val="005B0D7B"/>
    <w:rsid w:val="005B0D82"/>
    <w:rsid w:val="005B0D94"/>
    <w:rsid w:val="005B0E78"/>
    <w:rsid w:val="005B0E9D"/>
    <w:rsid w:val="005B0EA7"/>
    <w:rsid w:val="005B0F14"/>
    <w:rsid w:val="005B0F33"/>
    <w:rsid w:val="005B0F54"/>
    <w:rsid w:val="005B0F6B"/>
    <w:rsid w:val="005B0F6C"/>
    <w:rsid w:val="005B0FED"/>
    <w:rsid w:val="005B1048"/>
    <w:rsid w:val="005B10C0"/>
    <w:rsid w:val="005B10C9"/>
    <w:rsid w:val="005B10FB"/>
    <w:rsid w:val="005B111B"/>
    <w:rsid w:val="005B1124"/>
    <w:rsid w:val="005B11D8"/>
    <w:rsid w:val="005B11EC"/>
    <w:rsid w:val="005B1225"/>
    <w:rsid w:val="005B1235"/>
    <w:rsid w:val="005B123A"/>
    <w:rsid w:val="005B127C"/>
    <w:rsid w:val="005B12E1"/>
    <w:rsid w:val="005B1310"/>
    <w:rsid w:val="005B132B"/>
    <w:rsid w:val="005B1358"/>
    <w:rsid w:val="005B1386"/>
    <w:rsid w:val="005B13C3"/>
    <w:rsid w:val="005B13D2"/>
    <w:rsid w:val="005B148B"/>
    <w:rsid w:val="005B14AB"/>
    <w:rsid w:val="005B14F3"/>
    <w:rsid w:val="005B1568"/>
    <w:rsid w:val="005B1579"/>
    <w:rsid w:val="005B157B"/>
    <w:rsid w:val="005B15A9"/>
    <w:rsid w:val="005B15AC"/>
    <w:rsid w:val="005B168C"/>
    <w:rsid w:val="005B1690"/>
    <w:rsid w:val="005B16AF"/>
    <w:rsid w:val="005B173F"/>
    <w:rsid w:val="005B174C"/>
    <w:rsid w:val="005B1795"/>
    <w:rsid w:val="005B17E1"/>
    <w:rsid w:val="005B1853"/>
    <w:rsid w:val="005B18C1"/>
    <w:rsid w:val="005B18F1"/>
    <w:rsid w:val="005B1921"/>
    <w:rsid w:val="005B1924"/>
    <w:rsid w:val="005B19C2"/>
    <w:rsid w:val="005B19DC"/>
    <w:rsid w:val="005B1A1E"/>
    <w:rsid w:val="005B1A38"/>
    <w:rsid w:val="005B1ABB"/>
    <w:rsid w:val="005B1ADA"/>
    <w:rsid w:val="005B1AEE"/>
    <w:rsid w:val="005B1B3B"/>
    <w:rsid w:val="005B1B45"/>
    <w:rsid w:val="005B1B68"/>
    <w:rsid w:val="005B1B96"/>
    <w:rsid w:val="005B1BCD"/>
    <w:rsid w:val="005B1C26"/>
    <w:rsid w:val="005B1C3C"/>
    <w:rsid w:val="005B1CB9"/>
    <w:rsid w:val="005B1D0B"/>
    <w:rsid w:val="005B1D14"/>
    <w:rsid w:val="005B1D3F"/>
    <w:rsid w:val="005B1DEE"/>
    <w:rsid w:val="005B1E26"/>
    <w:rsid w:val="005B1E8B"/>
    <w:rsid w:val="005B1EB6"/>
    <w:rsid w:val="005B1F40"/>
    <w:rsid w:val="005B1FA3"/>
    <w:rsid w:val="005B1FAC"/>
    <w:rsid w:val="005B2004"/>
    <w:rsid w:val="005B2054"/>
    <w:rsid w:val="005B21A1"/>
    <w:rsid w:val="005B21E5"/>
    <w:rsid w:val="005B2218"/>
    <w:rsid w:val="005B2220"/>
    <w:rsid w:val="005B238E"/>
    <w:rsid w:val="005B23F2"/>
    <w:rsid w:val="005B2403"/>
    <w:rsid w:val="005B244F"/>
    <w:rsid w:val="005B245B"/>
    <w:rsid w:val="005B2486"/>
    <w:rsid w:val="005B24A0"/>
    <w:rsid w:val="005B24B5"/>
    <w:rsid w:val="005B24E2"/>
    <w:rsid w:val="005B24FC"/>
    <w:rsid w:val="005B250E"/>
    <w:rsid w:val="005B2546"/>
    <w:rsid w:val="005B255D"/>
    <w:rsid w:val="005B256E"/>
    <w:rsid w:val="005B25A5"/>
    <w:rsid w:val="005B25E6"/>
    <w:rsid w:val="005B25FE"/>
    <w:rsid w:val="005B261B"/>
    <w:rsid w:val="005B263D"/>
    <w:rsid w:val="005B2652"/>
    <w:rsid w:val="005B2694"/>
    <w:rsid w:val="005B269E"/>
    <w:rsid w:val="005B26A5"/>
    <w:rsid w:val="005B26AD"/>
    <w:rsid w:val="005B26B7"/>
    <w:rsid w:val="005B26CD"/>
    <w:rsid w:val="005B2744"/>
    <w:rsid w:val="005B274E"/>
    <w:rsid w:val="005B275E"/>
    <w:rsid w:val="005B27A7"/>
    <w:rsid w:val="005B27CC"/>
    <w:rsid w:val="005B2825"/>
    <w:rsid w:val="005B283D"/>
    <w:rsid w:val="005B2842"/>
    <w:rsid w:val="005B2845"/>
    <w:rsid w:val="005B28B8"/>
    <w:rsid w:val="005B28BD"/>
    <w:rsid w:val="005B28C8"/>
    <w:rsid w:val="005B2927"/>
    <w:rsid w:val="005B299D"/>
    <w:rsid w:val="005B2A13"/>
    <w:rsid w:val="005B2A49"/>
    <w:rsid w:val="005B2B5C"/>
    <w:rsid w:val="005B2B8C"/>
    <w:rsid w:val="005B2BC3"/>
    <w:rsid w:val="005B2C31"/>
    <w:rsid w:val="005B2CA0"/>
    <w:rsid w:val="005B2CA1"/>
    <w:rsid w:val="005B2D21"/>
    <w:rsid w:val="005B2D28"/>
    <w:rsid w:val="005B2D37"/>
    <w:rsid w:val="005B2D3F"/>
    <w:rsid w:val="005B2DBE"/>
    <w:rsid w:val="005B2DF3"/>
    <w:rsid w:val="005B2E0F"/>
    <w:rsid w:val="005B2E44"/>
    <w:rsid w:val="005B2E4F"/>
    <w:rsid w:val="005B2E57"/>
    <w:rsid w:val="005B2EED"/>
    <w:rsid w:val="005B2F2A"/>
    <w:rsid w:val="005B2F61"/>
    <w:rsid w:val="005B307D"/>
    <w:rsid w:val="005B30EB"/>
    <w:rsid w:val="005B30FA"/>
    <w:rsid w:val="005B311A"/>
    <w:rsid w:val="005B311D"/>
    <w:rsid w:val="005B312B"/>
    <w:rsid w:val="005B3141"/>
    <w:rsid w:val="005B3164"/>
    <w:rsid w:val="005B31BE"/>
    <w:rsid w:val="005B31E4"/>
    <w:rsid w:val="005B321F"/>
    <w:rsid w:val="005B3241"/>
    <w:rsid w:val="005B328F"/>
    <w:rsid w:val="005B32A7"/>
    <w:rsid w:val="005B32CA"/>
    <w:rsid w:val="005B32DF"/>
    <w:rsid w:val="005B3318"/>
    <w:rsid w:val="005B33BB"/>
    <w:rsid w:val="005B33D7"/>
    <w:rsid w:val="005B33E2"/>
    <w:rsid w:val="005B3467"/>
    <w:rsid w:val="005B348B"/>
    <w:rsid w:val="005B3496"/>
    <w:rsid w:val="005B34AE"/>
    <w:rsid w:val="005B3506"/>
    <w:rsid w:val="005B350B"/>
    <w:rsid w:val="005B352F"/>
    <w:rsid w:val="005B3553"/>
    <w:rsid w:val="005B3568"/>
    <w:rsid w:val="005B35F0"/>
    <w:rsid w:val="005B3604"/>
    <w:rsid w:val="005B3666"/>
    <w:rsid w:val="005B36A7"/>
    <w:rsid w:val="005B377B"/>
    <w:rsid w:val="005B379B"/>
    <w:rsid w:val="005B37A0"/>
    <w:rsid w:val="005B37CD"/>
    <w:rsid w:val="005B3853"/>
    <w:rsid w:val="005B38D0"/>
    <w:rsid w:val="005B3989"/>
    <w:rsid w:val="005B39C7"/>
    <w:rsid w:val="005B39F9"/>
    <w:rsid w:val="005B3A10"/>
    <w:rsid w:val="005B3A13"/>
    <w:rsid w:val="005B3A7F"/>
    <w:rsid w:val="005B3A96"/>
    <w:rsid w:val="005B3ADA"/>
    <w:rsid w:val="005B3ADE"/>
    <w:rsid w:val="005B3B72"/>
    <w:rsid w:val="005B3BB7"/>
    <w:rsid w:val="005B3BCC"/>
    <w:rsid w:val="005B3BDC"/>
    <w:rsid w:val="005B3C37"/>
    <w:rsid w:val="005B3C49"/>
    <w:rsid w:val="005B3C64"/>
    <w:rsid w:val="005B3C86"/>
    <w:rsid w:val="005B3CCF"/>
    <w:rsid w:val="005B3CF3"/>
    <w:rsid w:val="005B3D92"/>
    <w:rsid w:val="005B3DDF"/>
    <w:rsid w:val="005B3E15"/>
    <w:rsid w:val="005B3E5F"/>
    <w:rsid w:val="005B3E6B"/>
    <w:rsid w:val="005B3E8E"/>
    <w:rsid w:val="005B3E95"/>
    <w:rsid w:val="005B3F78"/>
    <w:rsid w:val="005B3F81"/>
    <w:rsid w:val="005B3FD8"/>
    <w:rsid w:val="005B3FE6"/>
    <w:rsid w:val="005B3FEA"/>
    <w:rsid w:val="005B4026"/>
    <w:rsid w:val="005B4081"/>
    <w:rsid w:val="005B4091"/>
    <w:rsid w:val="005B4106"/>
    <w:rsid w:val="005B4135"/>
    <w:rsid w:val="005B4164"/>
    <w:rsid w:val="005B416D"/>
    <w:rsid w:val="005B419D"/>
    <w:rsid w:val="005B41A3"/>
    <w:rsid w:val="005B4201"/>
    <w:rsid w:val="005B423D"/>
    <w:rsid w:val="005B426D"/>
    <w:rsid w:val="005B4286"/>
    <w:rsid w:val="005B4298"/>
    <w:rsid w:val="005B42B5"/>
    <w:rsid w:val="005B4365"/>
    <w:rsid w:val="005B4394"/>
    <w:rsid w:val="005B4414"/>
    <w:rsid w:val="005B4425"/>
    <w:rsid w:val="005B44B5"/>
    <w:rsid w:val="005B44BC"/>
    <w:rsid w:val="005B44E5"/>
    <w:rsid w:val="005B452A"/>
    <w:rsid w:val="005B45E2"/>
    <w:rsid w:val="005B4609"/>
    <w:rsid w:val="005B4634"/>
    <w:rsid w:val="005B465E"/>
    <w:rsid w:val="005B46B6"/>
    <w:rsid w:val="005B46D1"/>
    <w:rsid w:val="005B46D2"/>
    <w:rsid w:val="005B4750"/>
    <w:rsid w:val="005B478F"/>
    <w:rsid w:val="005B4852"/>
    <w:rsid w:val="005B4887"/>
    <w:rsid w:val="005B48D1"/>
    <w:rsid w:val="005B490D"/>
    <w:rsid w:val="005B4A3F"/>
    <w:rsid w:val="005B4A43"/>
    <w:rsid w:val="005B4A6A"/>
    <w:rsid w:val="005B4A6B"/>
    <w:rsid w:val="005B4A86"/>
    <w:rsid w:val="005B4A8C"/>
    <w:rsid w:val="005B4AA6"/>
    <w:rsid w:val="005B4AFC"/>
    <w:rsid w:val="005B4B27"/>
    <w:rsid w:val="005B4BE7"/>
    <w:rsid w:val="005B4C8C"/>
    <w:rsid w:val="005B4CD4"/>
    <w:rsid w:val="005B4CE7"/>
    <w:rsid w:val="005B4CFE"/>
    <w:rsid w:val="005B4D06"/>
    <w:rsid w:val="005B4D51"/>
    <w:rsid w:val="005B4D63"/>
    <w:rsid w:val="005B4DA1"/>
    <w:rsid w:val="005B4DB3"/>
    <w:rsid w:val="005B4E15"/>
    <w:rsid w:val="005B4E85"/>
    <w:rsid w:val="005B4E99"/>
    <w:rsid w:val="005B4EA9"/>
    <w:rsid w:val="005B4EFF"/>
    <w:rsid w:val="005B4F1D"/>
    <w:rsid w:val="005B4F3B"/>
    <w:rsid w:val="005B4F54"/>
    <w:rsid w:val="005B4F5A"/>
    <w:rsid w:val="005B4F64"/>
    <w:rsid w:val="005B4F7B"/>
    <w:rsid w:val="005B4F8F"/>
    <w:rsid w:val="005B4F90"/>
    <w:rsid w:val="005B4F9C"/>
    <w:rsid w:val="005B4FAF"/>
    <w:rsid w:val="005B4FCB"/>
    <w:rsid w:val="005B4FDE"/>
    <w:rsid w:val="005B4FE3"/>
    <w:rsid w:val="005B506B"/>
    <w:rsid w:val="005B507F"/>
    <w:rsid w:val="005B50CD"/>
    <w:rsid w:val="005B50FF"/>
    <w:rsid w:val="005B510A"/>
    <w:rsid w:val="005B5146"/>
    <w:rsid w:val="005B5156"/>
    <w:rsid w:val="005B51C4"/>
    <w:rsid w:val="005B5220"/>
    <w:rsid w:val="005B52E3"/>
    <w:rsid w:val="005B52F0"/>
    <w:rsid w:val="005B5338"/>
    <w:rsid w:val="005B5376"/>
    <w:rsid w:val="005B53BC"/>
    <w:rsid w:val="005B53FE"/>
    <w:rsid w:val="005B5407"/>
    <w:rsid w:val="005B540D"/>
    <w:rsid w:val="005B54C2"/>
    <w:rsid w:val="005B54F8"/>
    <w:rsid w:val="005B54FE"/>
    <w:rsid w:val="005B5531"/>
    <w:rsid w:val="005B55B0"/>
    <w:rsid w:val="005B55EA"/>
    <w:rsid w:val="005B55F4"/>
    <w:rsid w:val="005B55FB"/>
    <w:rsid w:val="005B5669"/>
    <w:rsid w:val="005B568D"/>
    <w:rsid w:val="005B56BE"/>
    <w:rsid w:val="005B56E4"/>
    <w:rsid w:val="005B56F6"/>
    <w:rsid w:val="005B56F9"/>
    <w:rsid w:val="005B5740"/>
    <w:rsid w:val="005B5768"/>
    <w:rsid w:val="005B577A"/>
    <w:rsid w:val="005B57A9"/>
    <w:rsid w:val="005B57AB"/>
    <w:rsid w:val="005B57EA"/>
    <w:rsid w:val="005B5838"/>
    <w:rsid w:val="005B5853"/>
    <w:rsid w:val="005B5870"/>
    <w:rsid w:val="005B587A"/>
    <w:rsid w:val="005B58EC"/>
    <w:rsid w:val="005B58FB"/>
    <w:rsid w:val="005B58FC"/>
    <w:rsid w:val="005B5922"/>
    <w:rsid w:val="005B593B"/>
    <w:rsid w:val="005B5950"/>
    <w:rsid w:val="005B59CD"/>
    <w:rsid w:val="005B59F7"/>
    <w:rsid w:val="005B59F9"/>
    <w:rsid w:val="005B5A09"/>
    <w:rsid w:val="005B5A76"/>
    <w:rsid w:val="005B5AF5"/>
    <w:rsid w:val="005B5AFF"/>
    <w:rsid w:val="005B5B08"/>
    <w:rsid w:val="005B5B4F"/>
    <w:rsid w:val="005B5BAC"/>
    <w:rsid w:val="005B5BB4"/>
    <w:rsid w:val="005B5BBE"/>
    <w:rsid w:val="005B5BC2"/>
    <w:rsid w:val="005B5BE9"/>
    <w:rsid w:val="005B5CE7"/>
    <w:rsid w:val="005B5D11"/>
    <w:rsid w:val="005B5D2B"/>
    <w:rsid w:val="005B5D9C"/>
    <w:rsid w:val="005B5E2A"/>
    <w:rsid w:val="005B5E8A"/>
    <w:rsid w:val="005B5E91"/>
    <w:rsid w:val="005B5EF3"/>
    <w:rsid w:val="005B5EF6"/>
    <w:rsid w:val="005B5EF9"/>
    <w:rsid w:val="005B5FD6"/>
    <w:rsid w:val="005B6016"/>
    <w:rsid w:val="005B6094"/>
    <w:rsid w:val="005B60B5"/>
    <w:rsid w:val="005B60E8"/>
    <w:rsid w:val="005B6127"/>
    <w:rsid w:val="005B619C"/>
    <w:rsid w:val="005B61E1"/>
    <w:rsid w:val="005B61F1"/>
    <w:rsid w:val="005B622F"/>
    <w:rsid w:val="005B6240"/>
    <w:rsid w:val="005B62B7"/>
    <w:rsid w:val="005B62D0"/>
    <w:rsid w:val="005B62D9"/>
    <w:rsid w:val="005B6302"/>
    <w:rsid w:val="005B6397"/>
    <w:rsid w:val="005B639A"/>
    <w:rsid w:val="005B63C6"/>
    <w:rsid w:val="005B63D0"/>
    <w:rsid w:val="005B63FB"/>
    <w:rsid w:val="005B641A"/>
    <w:rsid w:val="005B642A"/>
    <w:rsid w:val="005B6435"/>
    <w:rsid w:val="005B6448"/>
    <w:rsid w:val="005B6467"/>
    <w:rsid w:val="005B64EE"/>
    <w:rsid w:val="005B6513"/>
    <w:rsid w:val="005B654A"/>
    <w:rsid w:val="005B654D"/>
    <w:rsid w:val="005B65BA"/>
    <w:rsid w:val="005B660B"/>
    <w:rsid w:val="005B6615"/>
    <w:rsid w:val="005B6693"/>
    <w:rsid w:val="005B66AD"/>
    <w:rsid w:val="005B66F9"/>
    <w:rsid w:val="005B671D"/>
    <w:rsid w:val="005B672D"/>
    <w:rsid w:val="005B6734"/>
    <w:rsid w:val="005B67C9"/>
    <w:rsid w:val="005B67FE"/>
    <w:rsid w:val="005B6830"/>
    <w:rsid w:val="005B6868"/>
    <w:rsid w:val="005B6891"/>
    <w:rsid w:val="005B6897"/>
    <w:rsid w:val="005B68AD"/>
    <w:rsid w:val="005B6937"/>
    <w:rsid w:val="005B6995"/>
    <w:rsid w:val="005B69AD"/>
    <w:rsid w:val="005B69F0"/>
    <w:rsid w:val="005B69FA"/>
    <w:rsid w:val="005B6A09"/>
    <w:rsid w:val="005B6A46"/>
    <w:rsid w:val="005B6AF6"/>
    <w:rsid w:val="005B6B50"/>
    <w:rsid w:val="005B6B8C"/>
    <w:rsid w:val="005B6BA3"/>
    <w:rsid w:val="005B6BD5"/>
    <w:rsid w:val="005B6C08"/>
    <w:rsid w:val="005B6C57"/>
    <w:rsid w:val="005B6C72"/>
    <w:rsid w:val="005B6C7E"/>
    <w:rsid w:val="005B6C7F"/>
    <w:rsid w:val="005B6C8C"/>
    <w:rsid w:val="005B6CC5"/>
    <w:rsid w:val="005B6CEA"/>
    <w:rsid w:val="005B6D0A"/>
    <w:rsid w:val="005B6D21"/>
    <w:rsid w:val="005B6D98"/>
    <w:rsid w:val="005B6E37"/>
    <w:rsid w:val="005B6E53"/>
    <w:rsid w:val="005B6F26"/>
    <w:rsid w:val="005B6F66"/>
    <w:rsid w:val="005B6F82"/>
    <w:rsid w:val="005B6F8B"/>
    <w:rsid w:val="005B6F97"/>
    <w:rsid w:val="005B6FDA"/>
    <w:rsid w:val="005B6FE6"/>
    <w:rsid w:val="005B701E"/>
    <w:rsid w:val="005B7041"/>
    <w:rsid w:val="005B7081"/>
    <w:rsid w:val="005B708A"/>
    <w:rsid w:val="005B70AD"/>
    <w:rsid w:val="005B70FD"/>
    <w:rsid w:val="005B7104"/>
    <w:rsid w:val="005B7117"/>
    <w:rsid w:val="005B7136"/>
    <w:rsid w:val="005B71DF"/>
    <w:rsid w:val="005B7240"/>
    <w:rsid w:val="005B7258"/>
    <w:rsid w:val="005B725F"/>
    <w:rsid w:val="005B7338"/>
    <w:rsid w:val="005B735E"/>
    <w:rsid w:val="005B73E1"/>
    <w:rsid w:val="005B7402"/>
    <w:rsid w:val="005B7403"/>
    <w:rsid w:val="005B7468"/>
    <w:rsid w:val="005B747B"/>
    <w:rsid w:val="005B7499"/>
    <w:rsid w:val="005B74DF"/>
    <w:rsid w:val="005B74E6"/>
    <w:rsid w:val="005B74EA"/>
    <w:rsid w:val="005B74F5"/>
    <w:rsid w:val="005B7593"/>
    <w:rsid w:val="005B75A0"/>
    <w:rsid w:val="005B75D3"/>
    <w:rsid w:val="005B7600"/>
    <w:rsid w:val="005B769D"/>
    <w:rsid w:val="005B76A2"/>
    <w:rsid w:val="005B76B2"/>
    <w:rsid w:val="005B76FC"/>
    <w:rsid w:val="005B7795"/>
    <w:rsid w:val="005B77B0"/>
    <w:rsid w:val="005B7856"/>
    <w:rsid w:val="005B7873"/>
    <w:rsid w:val="005B7919"/>
    <w:rsid w:val="005B791B"/>
    <w:rsid w:val="005B7935"/>
    <w:rsid w:val="005B7945"/>
    <w:rsid w:val="005B7955"/>
    <w:rsid w:val="005B795E"/>
    <w:rsid w:val="005B798C"/>
    <w:rsid w:val="005B79A2"/>
    <w:rsid w:val="005B79C2"/>
    <w:rsid w:val="005B79D4"/>
    <w:rsid w:val="005B7A35"/>
    <w:rsid w:val="005B7A4A"/>
    <w:rsid w:val="005B7A4F"/>
    <w:rsid w:val="005B7A70"/>
    <w:rsid w:val="005B7AD2"/>
    <w:rsid w:val="005B7B0F"/>
    <w:rsid w:val="005B7B4B"/>
    <w:rsid w:val="005B7B9F"/>
    <w:rsid w:val="005B7BA0"/>
    <w:rsid w:val="005B7BA2"/>
    <w:rsid w:val="005B7BE5"/>
    <w:rsid w:val="005B7C06"/>
    <w:rsid w:val="005B7C2F"/>
    <w:rsid w:val="005B7C91"/>
    <w:rsid w:val="005B7CA6"/>
    <w:rsid w:val="005B7CB5"/>
    <w:rsid w:val="005B7CBF"/>
    <w:rsid w:val="005B7CE4"/>
    <w:rsid w:val="005B7D16"/>
    <w:rsid w:val="005B7D52"/>
    <w:rsid w:val="005B7D56"/>
    <w:rsid w:val="005B7D8C"/>
    <w:rsid w:val="005B7D99"/>
    <w:rsid w:val="005B7E3E"/>
    <w:rsid w:val="005B7E63"/>
    <w:rsid w:val="005B7E88"/>
    <w:rsid w:val="005B7EB0"/>
    <w:rsid w:val="005B7EBB"/>
    <w:rsid w:val="005B7EF7"/>
    <w:rsid w:val="005B7F08"/>
    <w:rsid w:val="005B7F0F"/>
    <w:rsid w:val="005B7F36"/>
    <w:rsid w:val="005B7F6A"/>
    <w:rsid w:val="005C000C"/>
    <w:rsid w:val="005C0083"/>
    <w:rsid w:val="005C00A9"/>
    <w:rsid w:val="005C00E6"/>
    <w:rsid w:val="005C0107"/>
    <w:rsid w:val="005C0140"/>
    <w:rsid w:val="005C0161"/>
    <w:rsid w:val="005C018B"/>
    <w:rsid w:val="005C01D5"/>
    <w:rsid w:val="005C01F5"/>
    <w:rsid w:val="005C0292"/>
    <w:rsid w:val="005C02A4"/>
    <w:rsid w:val="005C02C0"/>
    <w:rsid w:val="005C02DA"/>
    <w:rsid w:val="005C034D"/>
    <w:rsid w:val="005C039C"/>
    <w:rsid w:val="005C03C1"/>
    <w:rsid w:val="005C03CE"/>
    <w:rsid w:val="005C03E3"/>
    <w:rsid w:val="005C0408"/>
    <w:rsid w:val="005C040E"/>
    <w:rsid w:val="005C043A"/>
    <w:rsid w:val="005C0552"/>
    <w:rsid w:val="005C05B4"/>
    <w:rsid w:val="005C05D3"/>
    <w:rsid w:val="005C05E8"/>
    <w:rsid w:val="005C05E9"/>
    <w:rsid w:val="005C061E"/>
    <w:rsid w:val="005C06C0"/>
    <w:rsid w:val="005C06D3"/>
    <w:rsid w:val="005C06FD"/>
    <w:rsid w:val="005C0708"/>
    <w:rsid w:val="005C073B"/>
    <w:rsid w:val="005C0756"/>
    <w:rsid w:val="005C076C"/>
    <w:rsid w:val="005C078D"/>
    <w:rsid w:val="005C0799"/>
    <w:rsid w:val="005C0805"/>
    <w:rsid w:val="005C0829"/>
    <w:rsid w:val="005C0830"/>
    <w:rsid w:val="005C0872"/>
    <w:rsid w:val="005C08B8"/>
    <w:rsid w:val="005C08D2"/>
    <w:rsid w:val="005C0937"/>
    <w:rsid w:val="005C0942"/>
    <w:rsid w:val="005C0962"/>
    <w:rsid w:val="005C09DF"/>
    <w:rsid w:val="005C09F0"/>
    <w:rsid w:val="005C0A06"/>
    <w:rsid w:val="005C0A28"/>
    <w:rsid w:val="005C0A60"/>
    <w:rsid w:val="005C0A6E"/>
    <w:rsid w:val="005C0A73"/>
    <w:rsid w:val="005C0A77"/>
    <w:rsid w:val="005C0AA1"/>
    <w:rsid w:val="005C0AB3"/>
    <w:rsid w:val="005C0AB8"/>
    <w:rsid w:val="005C0AE3"/>
    <w:rsid w:val="005C0B65"/>
    <w:rsid w:val="005C0BA8"/>
    <w:rsid w:val="005C0BBD"/>
    <w:rsid w:val="005C0BD8"/>
    <w:rsid w:val="005C0BDB"/>
    <w:rsid w:val="005C0C07"/>
    <w:rsid w:val="005C0C15"/>
    <w:rsid w:val="005C0C50"/>
    <w:rsid w:val="005C0C8B"/>
    <w:rsid w:val="005C0CED"/>
    <w:rsid w:val="005C0D1D"/>
    <w:rsid w:val="005C0D28"/>
    <w:rsid w:val="005C0DA0"/>
    <w:rsid w:val="005C0EB2"/>
    <w:rsid w:val="005C0EBB"/>
    <w:rsid w:val="005C0EC8"/>
    <w:rsid w:val="005C0ED2"/>
    <w:rsid w:val="005C0EF5"/>
    <w:rsid w:val="005C0F42"/>
    <w:rsid w:val="005C0F47"/>
    <w:rsid w:val="005C0F48"/>
    <w:rsid w:val="005C0F7A"/>
    <w:rsid w:val="005C0FF9"/>
    <w:rsid w:val="005C1053"/>
    <w:rsid w:val="005C10A0"/>
    <w:rsid w:val="005C10F2"/>
    <w:rsid w:val="005C1190"/>
    <w:rsid w:val="005C11A0"/>
    <w:rsid w:val="005C12DA"/>
    <w:rsid w:val="005C12FE"/>
    <w:rsid w:val="005C1317"/>
    <w:rsid w:val="005C1326"/>
    <w:rsid w:val="005C1343"/>
    <w:rsid w:val="005C1367"/>
    <w:rsid w:val="005C13B0"/>
    <w:rsid w:val="005C13B3"/>
    <w:rsid w:val="005C14E7"/>
    <w:rsid w:val="005C1536"/>
    <w:rsid w:val="005C15A0"/>
    <w:rsid w:val="005C15FB"/>
    <w:rsid w:val="005C160E"/>
    <w:rsid w:val="005C1676"/>
    <w:rsid w:val="005C16EA"/>
    <w:rsid w:val="005C1743"/>
    <w:rsid w:val="005C177B"/>
    <w:rsid w:val="005C17FF"/>
    <w:rsid w:val="005C18C9"/>
    <w:rsid w:val="005C191E"/>
    <w:rsid w:val="005C19EB"/>
    <w:rsid w:val="005C1A4E"/>
    <w:rsid w:val="005C1A8F"/>
    <w:rsid w:val="005C1AF1"/>
    <w:rsid w:val="005C1B95"/>
    <w:rsid w:val="005C1CB7"/>
    <w:rsid w:val="005C1CF2"/>
    <w:rsid w:val="005C1D39"/>
    <w:rsid w:val="005C1D65"/>
    <w:rsid w:val="005C1D9B"/>
    <w:rsid w:val="005C1E41"/>
    <w:rsid w:val="005C1E84"/>
    <w:rsid w:val="005C1ED4"/>
    <w:rsid w:val="005C1F69"/>
    <w:rsid w:val="005C1FAF"/>
    <w:rsid w:val="005C1FD4"/>
    <w:rsid w:val="005C1FFA"/>
    <w:rsid w:val="005C200D"/>
    <w:rsid w:val="005C20D2"/>
    <w:rsid w:val="005C20F7"/>
    <w:rsid w:val="005C2105"/>
    <w:rsid w:val="005C213F"/>
    <w:rsid w:val="005C2140"/>
    <w:rsid w:val="005C216A"/>
    <w:rsid w:val="005C21A1"/>
    <w:rsid w:val="005C21A5"/>
    <w:rsid w:val="005C21AC"/>
    <w:rsid w:val="005C2218"/>
    <w:rsid w:val="005C2265"/>
    <w:rsid w:val="005C22BC"/>
    <w:rsid w:val="005C2327"/>
    <w:rsid w:val="005C23D2"/>
    <w:rsid w:val="005C23E4"/>
    <w:rsid w:val="005C2416"/>
    <w:rsid w:val="005C2440"/>
    <w:rsid w:val="005C2458"/>
    <w:rsid w:val="005C246F"/>
    <w:rsid w:val="005C247E"/>
    <w:rsid w:val="005C2490"/>
    <w:rsid w:val="005C24CC"/>
    <w:rsid w:val="005C2539"/>
    <w:rsid w:val="005C2542"/>
    <w:rsid w:val="005C25AC"/>
    <w:rsid w:val="005C260E"/>
    <w:rsid w:val="005C26A5"/>
    <w:rsid w:val="005C26C3"/>
    <w:rsid w:val="005C26CF"/>
    <w:rsid w:val="005C26D8"/>
    <w:rsid w:val="005C2705"/>
    <w:rsid w:val="005C2787"/>
    <w:rsid w:val="005C27A8"/>
    <w:rsid w:val="005C2830"/>
    <w:rsid w:val="005C2875"/>
    <w:rsid w:val="005C2882"/>
    <w:rsid w:val="005C289F"/>
    <w:rsid w:val="005C28BE"/>
    <w:rsid w:val="005C2960"/>
    <w:rsid w:val="005C29A6"/>
    <w:rsid w:val="005C29AB"/>
    <w:rsid w:val="005C29C5"/>
    <w:rsid w:val="005C2A4D"/>
    <w:rsid w:val="005C2A81"/>
    <w:rsid w:val="005C2A95"/>
    <w:rsid w:val="005C2AA1"/>
    <w:rsid w:val="005C2B27"/>
    <w:rsid w:val="005C2B69"/>
    <w:rsid w:val="005C2BB2"/>
    <w:rsid w:val="005C2BB4"/>
    <w:rsid w:val="005C2BC6"/>
    <w:rsid w:val="005C2C4C"/>
    <w:rsid w:val="005C2D9C"/>
    <w:rsid w:val="005C2E1C"/>
    <w:rsid w:val="005C2E5C"/>
    <w:rsid w:val="005C2E9C"/>
    <w:rsid w:val="005C2EBD"/>
    <w:rsid w:val="005C2ECD"/>
    <w:rsid w:val="005C2EF4"/>
    <w:rsid w:val="005C2F72"/>
    <w:rsid w:val="005C2F9B"/>
    <w:rsid w:val="005C30A2"/>
    <w:rsid w:val="005C30AB"/>
    <w:rsid w:val="005C30DF"/>
    <w:rsid w:val="005C30F2"/>
    <w:rsid w:val="005C3113"/>
    <w:rsid w:val="005C31F6"/>
    <w:rsid w:val="005C31FC"/>
    <w:rsid w:val="005C3209"/>
    <w:rsid w:val="005C3242"/>
    <w:rsid w:val="005C325B"/>
    <w:rsid w:val="005C32DF"/>
    <w:rsid w:val="005C32E8"/>
    <w:rsid w:val="005C32F2"/>
    <w:rsid w:val="005C32F7"/>
    <w:rsid w:val="005C32FE"/>
    <w:rsid w:val="005C3320"/>
    <w:rsid w:val="005C3331"/>
    <w:rsid w:val="005C339B"/>
    <w:rsid w:val="005C347A"/>
    <w:rsid w:val="005C34E7"/>
    <w:rsid w:val="005C353B"/>
    <w:rsid w:val="005C357F"/>
    <w:rsid w:val="005C35B8"/>
    <w:rsid w:val="005C3610"/>
    <w:rsid w:val="005C3732"/>
    <w:rsid w:val="005C3741"/>
    <w:rsid w:val="005C3746"/>
    <w:rsid w:val="005C377F"/>
    <w:rsid w:val="005C3781"/>
    <w:rsid w:val="005C378C"/>
    <w:rsid w:val="005C37B8"/>
    <w:rsid w:val="005C37DC"/>
    <w:rsid w:val="005C37DF"/>
    <w:rsid w:val="005C37E8"/>
    <w:rsid w:val="005C37FD"/>
    <w:rsid w:val="005C3837"/>
    <w:rsid w:val="005C385C"/>
    <w:rsid w:val="005C388A"/>
    <w:rsid w:val="005C3898"/>
    <w:rsid w:val="005C38B2"/>
    <w:rsid w:val="005C38B4"/>
    <w:rsid w:val="005C38BC"/>
    <w:rsid w:val="005C38BF"/>
    <w:rsid w:val="005C3996"/>
    <w:rsid w:val="005C39EA"/>
    <w:rsid w:val="005C3A01"/>
    <w:rsid w:val="005C3A65"/>
    <w:rsid w:val="005C3A6C"/>
    <w:rsid w:val="005C3A8B"/>
    <w:rsid w:val="005C3AC7"/>
    <w:rsid w:val="005C3AEB"/>
    <w:rsid w:val="005C3B39"/>
    <w:rsid w:val="005C3B3A"/>
    <w:rsid w:val="005C3B8A"/>
    <w:rsid w:val="005C3B91"/>
    <w:rsid w:val="005C3B93"/>
    <w:rsid w:val="005C3BF8"/>
    <w:rsid w:val="005C3C4E"/>
    <w:rsid w:val="005C3C97"/>
    <w:rsid w:val="005C3D04"/>
    <w:rsid w:val="005C3D1C"/>
    <w:rsid w:val="005C3D8D"/>
    <w:rsid w:val="005C3DC2"/>
    <w:rsid w:val="005C3DE3"/>
    <w:rsid w:val="005C3DFB"/>
    <w:rsid w:val="005C3E06"/>
    <w:rsid w:val="005C3E11"/>
    <w:rsid w:val="005C3E5B"/>
    <w:rsid w:val="005C3E6E"/>
    <w:rsid w:val="005C3E98"/>
    <w:rsid w:val="005C3EA8"/>
    <w:rsid w:val="005C3EAB"/>
    <w:rsid w:val="005C3EBB"/>
    <w:rsid w:val="005C3EFA"/>
    <w:rsid w:val="005C3F4D"/>
    <w:rsid w:val="005C3FB9"/>
    <w:rsid w:val="005C3FF2"/>
    <w:rsid w:val="005C4005"/>
    <w:rsid w:val="005C4022"/>
    <w:rsid w:val="005C406A"/>
    <w:rsid w:val="005C4078"/>
    <w:rsid w:val="005C408C"/>
    <w:rsid w:val="005C40BE"/>
    <w:rsid w:val="005C40EE"/>
    <w:rsid w:val="005C4106"/>
    <w:rsid w:val="005C413F"/>
    <w:rsid w:val="005C41B3"/>
    <w:rsid w:val="005C41C3"/>
    <w:rsid w:val="005C41EE"/>
    <w:rsid w:val="005C41F4"/>
    <w:rsid w:val="005C4220"/>
    <w:rsid w:val="005C4235"/>
    <w:rsid w:val="005C4250"/>
    <w:rsid w:val="005C4283"/>
    <w:rsid w:val="005C42BD"/>
    <w:rsid w:val="005C42EE"/>
    <w:rsid w:val="005C435A"/>
    <w:rsid w:val="005C438A"/>
    <w:rsid w:val="005C43AE"/>
    <w:rsid w:val="005C43D3"/>
    <w:rsid w:val="005C4474"/>
    <w:rsid w:val="005C44E1"/>
    <w:rsid w:val="005C44EA"/>
    <w:rsid w:val="005C455D"/>
    <w:rsid w:val="005C4566"/>
    <w:rsid w:val="005C45B1"/>
    <w:rsid w:val="005C463E"/>
    <w:rsid w:val="005C46B5"/>
    <w:rsid w:val="005C46BC"/>
    <w:rsid w:val="005C46F9"/>
    <w:rsid w:val="005C473F"/>
    <w:rsid w:val="005C4754"/>
    <w:rsid w:val="005C476C"/>
    <w:rsid w:val="005C4770"/>
    <w:rsid w:val="005C4786"/>
    <w:rsid w:val="005C4789"/>
    <w:rsid w:val="005C47A1"/>
    <w:rsid w:val="005C4810"/>
    <w:rsid w:val="005C481E"/>
    <w:rsid w:val="005C4883"/>
    <w:rsid w:val="005C48AC"/>
    <w:rsid w:val="005C48FA"/>
    <w:rsid w:val="005C4904"/>
    <w:rsid w:val="005C495B"/>
    <w:rsid w:val="005C4986"/>
    <w:rsid w:val="005C4989"/>
    <w:rsid w:val="005C49A3"/>
    <w:rsid w:val="005C4A08"/>
    <w:rsid w:val="005C4A33"/>
    <w:rsid w:val="005C4A4F"/>
    <w:rsid w:val="005C4A50"/>
    <w:rsid w:val="005C4A9B"/>
    <w:rsid w:val="005C4AA0"/>
    <w:rsid w:val="005C4B08"/>
    <w:rsid w:val="005C4B2F"/>
    <w:rsid w:val="005C4B4B"/>
    <w:rsid w:val="005C4B74"/>
    <w:rsid w:val="005C4BB5"/>
    <w:rsid w:val="005C4BD1"/>
    <w:rsid w:val="005C4BD9"/>
    <w:rsid w:val="005C4BEF"/>
    <w:rsid w:val="005C4C07"/>
    <w:rsid w:val="005C4CBB"/>
    <w:rsid w:val="005C4CD9"/>
    <w:rsid w:val="005C4CDA"/>
    <w:rsid w:val="005C4DB2"/>
    <w:rsid w:val="005C4E37"/>
    <w:rsid w:val="005C4E71"/>
    <w:rsid w:val="005C4ED3"/>
    <w:rsid w:val="005C4F73"/>
    <w:rsid w:val="005C4FD0"/>
    <w:rsid w:val="005C502C"/>
    <w:rsid w:val="005C503A"/>
    <w:rsid w:val="005C5066"/>
    <w:rsid w:val="005C506D"/>
    <w:rsid w:val="005C5072"/>
    <w:rsid w:val="005C50BB"/>
    <w:rsid w:val="005C50D7"/>
    <w:rsid w:val="005C5104"/>
    <w:rsid w:val="005C5105"/>
    <w:rsid w:val="005C515A"/>
    <w:rsid w:val="005C5169"/>
    <w:rsid w:val="005C51AB"/>
    <w:rsid w:val="005C51B4"/>
    <w:rsid w:val="005C51C4"/>
    <w:rsid w:val="005C5279"/>
    <w:rsid w:val="005C52D7"/>
    <w:rsid w:val="005C5345"/>
    <w:rsid w:val="005C539A"/>
    <w:rsid w:val="005C53C8"/>
    <w:rsid w:val="005C53D0"/>
    <w:rsid w:val="005C53D9"/>
    <w:rsid w:val="005C53E4"/>
    <w:rsid w:val="005C53EC"/>
    <w:rsid w:val="005C5443"/>
    <w:rsid w:val="005C546D"/>
    <w:rsid w:val="005C54BB"/>
    <w:rsid w:val="005C54CD"/>
    <w:rsid w:val="005C5546"/>
    <w:rsid w:val="005C554B"/>
    <w:rsid w:val="005C5572"/>
    <w:rsid w:val="005C5590"/>
    <w:rsid w:val="005C5594"/>
    <w:rsid w:val="005C55C1"/>
    <w:rsid w:val="005C560E"/>
    <w:rsid w:val="005C5638"/>
    <w:rsid w:val="005C56B0"/>
    <w:rsid w:val="005C56CE"/>
    <w:rsid w:val="005C56E3"/>
    <w:rsid w:val="005C5741"/>
    <w:rsid w:val="005C57D3"/>
    <w:rsid w:val="005C57F0"/>
    <w:rsid w:val="005C5819"/>
    <w:rsid w:val="005C583C"/>
    <w:rsid w:val="005C586B"/>
    <w:rsid w:val="005C5886"/>
    <w:rsid w:val="005C5889"/>
    <w:rsid w:val="005C589A"/>
    <w:rsid w:val="005C58AF"/>
    <w:rsid w:val="005C58E9"/>
    <w:rsid w:val="005C58F7"/>
    <w:rsid w:val="005C592E"/>
    <w:rsid w:val="005C59D6"/>
    <w:rsid w:val="005C59E1"/>
    <w:rsid w:val="005C5A2B"/>
    <w:rsid w:val="005C5A72"/>
    <w:rsid w:val="005C5A79"/>
    <w:rsid w:val="005C5AD5"/>
    <w:rsid w:val="005C5B10"/>
    <w:rsid w:val="005C5B24"/>
    <w:rsid w:val="005C5B3E"/>
    <w:rsid w:val="005C5B63"/>
    <w:rsid w:val="005C5B65"/>
    <w:rsid w:val="005C5BC5"/>
    <w:rsid w:val="005C5BF6"/>
    <w:rsid w:val="005C5C1E"/>
    <w:rsid w:val="005C5C78"/>
    <w:rsid w:val="005C5C89"/>
    <w:rsid w:val="005C5CBC"/>
    <w:rsid w:val="005C5CE2"/>
    <w:rsid w:val="005C5D58"/>
    <w:rsid w:val="005C5DA8"/>
    <w:rsid w:val="005C5DB3"/>
    <w:rsid w:val="005C5DB6"/>
    <w:rsid w:val="005C5DD0"/>
    <w:rsid w:val="005C5E08"/>
    <w:rsid w:val="005C5E49"/>
    <w:rsid w:val="005C5ECC"/>
    <w:rsid w:val="005C5ECE"/>
    <w:rsid w:val="005C5EF2"/>
    <w:rsid w:val="005C5F11"/>
    <w:rsid w:val="005C5F3C"/>
    <w:rsid w:val="005C5F71"/>
    <w:rsid w:val="005C5F79"/>
    <w:rsid w:val="005C5FB0"/>
    <w:rsid w:val="005C5FF7"/>
    <w:rsid w:val="005C607F"/>
    <w:rsid w:val="005C608D"/>
    <w:rsid w:val="005C60A4"/>
    <w:rsid w:val="005C60BD"/>
    <w:rsid w:val="005C618C"/>
    <w:rsid w:val="005C619D"/>
    <w:rsid w:val="005C61CF"/>
    <w:rsid w:val="005C61D3"/>
    <w:rsid w:val="005C61FF"/>
    <w:rsid w:val="005C6200"/>
    <w:rsid w:val="005C6213"/>
    <w:rsid w:val="005C6232"/>
    <w:rsid w:val="005C6234"/>
    <w:rsid w:val="005C6244"/>
    <w:rsid w:val="005C6290"/>
    <w:rsid w:val="005C62BF"/>
    <w:rsid w:val="005C62D8"/>
    <w:rsid w:val="005C6305"/>
    <w:rsid w:val="005C6333"/>
    <w:rsid w:val="005C634D"/>
    <w:rsid w:val="005C63C6"/>
    <w:rsid w:val="005C642D"/>
    <w:rsid w:val="005C6445"/>
    <w:rsid w:val="005C6450"/>
    <w:rsid w:val="005C6457"/>
    <w:rsid w:val="005C6496"/>
    <w:rsid w:val="005C64B4"/>
    <w:rsid w:val="005C64C9"/>
    <w:rsid w:val="005C6505"/>
    <w:rsid w:val="005C653F"/>
    <w:rsid w:val="005C6551"/>
    <w:rsid w:val="005C6582"/>
    <w:rsid w:val="005C6588"/>
    <w:rsid w:val="005C65F1"/>
    <w:rsid w:val="005C6625"/>
    <w:rsid w:val="005C6635"/>
    <w:rsid w:val="005C6669"/>
    <w:rsid w:val="005C667C"/>
    <w:rsid w:val="005C6690"/>
    <w:rsid w:val="005C66A6"/>
    <w:rsid w:val="005C6701"/>
    <w:rsid w:val="005C6750"/>
    <w:rsid w:val="005C675F"/>
    <w:rsid w:val="005C678A"/>
    <w:rsid w:val="005C67AB"/>
    <w:rsid w:val="005C6811"/>
    <w:rsid w:val="005C6812"/>
    <w:rsid w:val="005C688A"/>
    <w:rsid w:val="005C68DB"/>
    <w:rsid w:val="005C690E"/>
    <w:rsid w:val="005C6926"/>
    <w:rsid w:val="005C697E"/>
    <w:rsid w:val="005C69FA"/>
    <w:rsid w:val="005C6A00"/>
    <w:rsid w:val="005C6A42"/>
    <w:rsid w:val="005C6B3A"/>
    <w:rsid w:val="005C6B47"/>
    <w:rsid w:val="005C6B5D"/>
    <w:rsid w:val="005C6BD7"/>
    <w:rsid w:val="005C6BED"/>
    <w:rsid w:val="005C6C3E"/>
    <w:rsid w:val="005C6C50"/>
    <w:rsid w:val="005C6CE5"/>
    <w:rsid w:val="005C6CFA"/>
    <w:rsid w:val="005C6D20"/>
    <w:rsid w:val="005C6D62"/>
    <w:rsid w:val="005C6D78"/>
    <w:rsid w:val="005C6D93"/>
    <w:rsid w:val="005C6DA6"/>
    <w:rsid w:val="005C6DC1"/>
    <w:rsid w:val="005C6DC9"/>
    <w:rsid w:val="005C6E17"/>
    <w:rsid w:val="005C6E8E"/>
    <w:rsid w:val="005C6F07"/>
    <w:rsid w:val="005C6F0A"/>
    <w:rsid w:val="005C6F10"/>
    <w:rsid w:val="005C6FB7"/>
    <w:rsid w:val="005C7033"/>
    <w:rsid w:val="005C703E"/>
    <w:rsid w:val="005C7079"/>
    <w:rsid w:val="005C709C"/>
    <w:rsid w:val="005C70AE"/>
    <w:rsid w:val="005C70B6"/>
    <w:rsid w:val="005C70D1"/>
    <w:rsid w:val="005C713D"/>
    <w:rsid w:val="005C714C"/>
    <w:rsid w:val="005C717D"/>
    <w:rsid w:val="005C7185"/>
    <w:rsid w:val="005C71A2"/>
    <w:rsid w:val="005C71C9"/>
    <w:rsid w:val="005C71FB"/>
    <w:rsid w:val="005C7251"/>
    <w:rsid w:val="005C7276"/>
    <w:rsid w:val="005C72A9"/>
    <w:rsid w:val="005C7329"/>
    <w:rsid w:val="005C7341"/>
    <w:rsid w:val="005C7353"/>
    <w:rsid w:val="005C7360"/>
    <w:rsid w:val="005C7378"/>
    <w:rsid w:val="005C7472"/>
    <w:rsid w:val="005C7483"/>
    <w:rsid w:val="005C750D"/>
    <w:rsid w:val="005C7577"/>
    <w:rsid w:val="005C757D"/>
    <w:rsid w:val="005C75E1"/>
    <w:rsid w:val="005C75EF"/>
    <w:rsid w:val="005C76E8"/>
    <w:rsid w:val="005C773F"/>
    <w:rsid w:val="005C7796"/>
    <w:rsid w:val="005C77C0"/>
    <w:rsid w:val="005C77C7"/>
    <w:rsid w:val="005C77DC"/>
    <w:rsid w:val="005C77ED"/>
    <w:rsid w:val="005C784A"/>
    <w:rsid w:val="005C7857"/>
    <w:rsid w:val="005C785D"/>
    <w:rsid w:val="005C7868"/>
    <w:rsid w:val="005C788A"/>
    <w:rsid w:val="005C78E1"/>
    <w:rsid w:val="005C78F0"/>
    <w:rsid w:val="005C7923"/>
    <w:rsid w:val="005C79AA"/>
    <w:rsid w:val="005C79E5"/>
    <w:rsid w:val="005C7A26"/>
    <w:rsid w:val="005C7A36"/>
    <w:rsid w:val="005C7A37"/>
    <w:rsid w:val="005C7B0A"/>
    <w:rsid w:val="005C7B52"/>
    <w:rsid w:val="005C7B6D"/>
    <w:rsid w:val="005C7BC0"/>
    <w:rsid w:val="005C7BC2"/>
    <w:rsid w:val="005C7C02"/>
    <w:rsid w:val="005C7C11"/>
    <w:rsid w:val="005C7C5B"/>
    <w:rsid w:val="005C7CB0"/>
    <w:rsid w:val="005C7CC9"/>
    <w:rsid w:val="005C7CED"/>
    <w:rsid w:val="005C7D48"/>
    <w:rsid w:val="005C7D94"/>
    <w:rsid w:val="005C7DCC"/>
    <w:rsid w:val="005C7DF6"/>
    <w:rsid w:val="005C7E13"/>
    <w:rsid w:val="005C7E47"/>
    <w:rsid w:val="005C7EB1"/>
    <w:rsid w:val="005C7EBB"/>
    <w:rsid w:val="005C7F23"/>
    <w:rsid w:val="005C7F2C"/>
    <w:rsid w:val="005C7F32"/>
    <w:rsid w:val="005C7F67"/>
    <w:rsid w:val="005D004B"/>
    <w:rsid w:val="005D0050"/>
    <w:rsid w:val="005D007C"/>
    <w:rsid w:val="005D0098"/>
    <w:rsid w:val="005D00B3"/>
    <w:rsid w:val="005D00F2"/>
    <w:rsid w:val="005D00F9"/>
    <w:rsid w:val="005D0129"/>
    <w:rsid w:val="005D012D"/>
    <w:rsid w:val="005D015E"/>
    <w:rsid w:val="005D0199"/>
    <w:rsid w:val="005D01F8"/>
    <w:rsid w:val="005D021C"/>
    <w:rsid w:val="005D0247"/>
    <w:rsid w:val="005D024A"/>
    <w:rsid w:val="005D0297"/>
    <w:rsid w:val="005D02E1"/>
    <w:rsid w:val="005D0308"/>
    <w:rsid w:val="005D0354"/>
    <w:rsid w:val="005D0361"/>
    <w:rsid w:val="005D03A7"/>
    <w:rsid w:val="005D03AB"/>
    <w:rsid w:val="005D03C6"/>
    <w:rsid w:val="005D0415"/>
    <w:rsid w:val="005D042F"/>
    <w:rsid w:val="005D0497"/>
    <w:rsid w:val="005D055F"/>
    <w:rsid w:val="005D0571"/>
    <w:rsid w:val="005D057E"/>
    <w:rsid w:val="005D05D2"/>
    <w:rsid w:val="005D05DA"/>
    <w:rsid w:val="005D0602"/>
    <w:rsid w:val="005D0615"/>
    <w:rsid w:val="005D061E"/>
    <w:rsid w:val="005D0657"/>
    <w:rsid w:val="005D0663"/>
    <w:rsid w:val="005D0686"/>
    <w:rsid w:val="005D06E8"/>
    <w:rsid w:val="005D0753"/>
    <w:rsid w:val="005D07A0"/>
    <w:rsid w:val="005D07B9"/>
    <w:rsid w:val="005D07BC"/>
    <w:rsid w:val="005D07C2"/>
    <w:rsid w:val="005D07C8"/>
    <w:rsid w:val="005D07DA"/>
    <w:rsid w:val="005D07E0"/>
    <w:rsid w:val="005D07F3"/>
    <w:rsid w:val="005D07F4"/>
    <w:rsid w:val="005D08DE"/>
    <w:rsid w:val="005D08E1"/>
    <w:rsid w:val="005D0930"/>
    <w:rsid w:val="005D094E"/>
    <w:rsid w:val="005D099C"/>
    <w:rsid w:val="005D09A7"/>
    <w:rsid w:val="005D0A1F"/>
    <w:rsid w:val="005D0A21"/>
    <w:rsid w:val="005D0A37"/>
    <w:rsid w:val="005D0A92"/>
    <w:rsid w:val="005D0AAD"/>
    <w:rsid w:val="005D0ACE"/>
    <w:rsid w:val="005D0B21"/>
    <w:rsid w:val="005D0B33"/>
    <w:rsid w:val="005D0BB7"/>
    <w:rsid w:val="005D0BBA"/>
    <w:rsid w:val="005D0BD5"/>
    <w:rsid w:val="005D0C28"/>
    <w:rsid w:val="005D0C62"/>
    <w:rsid w:val="005D0C6A"/>
    <w:rsid w:val="005D0C88"/>
    <w:rsid w:val="005D0CC5"/>
    <w:rsid w:val="005D0CEA"/>
    <w:rsid w:val="005D0CFB"/>
    <w:rsid w:val="005D0D1A"/>
    <w:rsid w:val="005D0D30"/>
    <w:rsid w:val="005D0D54"/>
    <w:rsid w:val="005D0D92"/>
    <w:rsid w:val="005D0D9D"/>
    <w:rsid w:val="005D0DFB"/>
    <w:rsid w:val="005D0E38"/>
    <w:rsid w:val="005D0ECC"/>
    <w:rsid w:val="005D0F34"/>
    <w:rsid w:val="005D0F9E"/>
    <w:rsid w:val="005D1005"/>
    <w:rsid w:val="005D10BF"/>
    <w:rsid w:val="005D10D3"/>
    <w:rsid w:val="005D1134"/>
    <w:rsid w:val="005D113D"/>
    <w:rsid w:val="005D115B"/>
    <w:rsid w:val="005D116F"/>
    <w:rsid w:val="005D11FF"/>
    <w:rsid w:val="005D1206"/>
    <w:rsid w:val="005D120B"/>
    <w:rsid w:val="005D120D"/>
    <w:rsid w:val="005D123A"/>
    <w:rsid w:val="005D1241"/>
    <w:rsid w:val="005D1298"/>
    <w:rsid w:val="005D12C6"/>
    <w:rsid w:val="005D1351"/>
    <w:rsid w:val="005D1392"/>
    <w:rsid w:val="005D13A0"/>
    <w:rsid w:val="005D1456"/>
    <w:rsid w:val="005D1461"/>
    <w:rsid w:val="005D153D"/>
    <w:rsid w:val="005D1554"/>
    <w:rsid w:val="005D1582"/>
    <w:rsid w:val="005D15AC"/>
    <w:rsid w:val="005D15C7"/>
    <w:rsid w:val="005D15DC"/>
    <w:rsid w:val="005D1650"/>
    <w:rsid w:val="005D1667"/>
    <w:rsid w:val="005D1670"/>
    <w:rsid w:val="005D1679"/>
    <w:rsid w:val="005D168A"/>
    <w:rsid w:val="005D171D"/>
    <w:rsid w:val="005D171F"/>
    <w:rsid w:val="005D1754"/>
    <w:rsid w:val="005D1760"/>
    <w:rsid w:val="005D1762"/>
    <w:rsid w:val="005D1797"/>
    <w:rsid w:val="005D17B8"/>
    <w:rsid w:val="005D17C9"/>
    <w:rsid w:val="005D17CE"/>
    <w:rsid w:val="005D1808"/>
    <w:rsid w:val="005D182A"/>
    <w:rsid w:val="005D184D"/>
    <w:rsid w:val="005D1855"/>
    <w:rsid w:val="005D185C"/>
    <w:rsid w:val="005D1915"/>
    <w:rsid w:val="005D19DC"/>
    <w:rsid w:val="005D1A2C"/>
    <w:rsid w:val="005D1B03"/>
    <w:rsid w:val="005D1B2A"/>
    <w:rsid w:val="005D1B2E"/>
    <w:rsid w:val="005D1B71"/>
    <w:rsid w:val="005D1B88"/>
    <w:rsid w:val="005D1BF7"/>
    <w:rsid w:val="005D1C44"/>
    <w:rsid w:val="005D1C5E"/>
    <w:rsid w:val="005D1C80"/>
    <w:rsid w:val="005D1D1D"/>
    <w:rsid w:val="005D1D61"/>
    <w:rsid w:val="005D1D62"/>
    <w:rsid w:val="005D1DCC"/>
    <w:rsid w:val="005D1DE1"/>
    <w:rsid w:val="005D1DFB"/>
    <w:rsid w:val="005D1E12"/>
    <w:rsid w:val="005D1E2D"/>
    <w:rsid w:val="005D1E40"/>
    <w:rsid w:val="005D1E63"/>
    <w:rsid w:val="005D1EC0"/>
    <w:rsid w:val="005D1EFC"/>
    <w:rsid w:val="005D1F7A"/>
    <w:rsid w:val="005D1F7C"/>
    <w:rsid w:val="005D1F88"/>
    <w:rsid w:val="005D1FF6"/>
    <w:rsid w:val="005D202E"/>
    <w:rsid w:val="005D2045"/>
    <w:rsid w:val="005D20FB"/>
    <w:rsid w:val="005D2110"/>
    <w:rsid w:val="005D2119"/>
    <w:rsid w:val="005D211F"/>
    <w:rsid w:val="005D22E6"/>
    <w:rsid w:val="005D2321"/>
    <w:rsid w:val="005D2355"/>
    <w:rsid w:val="005D239E"/>
    <w:rsid w:val="005D23E3"/>
    <w:rsid w:val="005D23F9"/>
    <w:rsid w:val="005D242B"/>
    <w:rsid w:val="005D2449"/>
    <w:rsid w:val="005D2459"/>
    <w:rsid w:val="005D245E"/>
    <w:rsid w:val="005D2472"/>
    <w:rsid w:val="005D24A8"/>
    <w:rsid w:val="005D24F6"/>
    <w:rsid w:val="005D2505"/>
    <w:rsid w:val="005D2518"/>
    <w:rsid w:val="005D2521"/>
    <w:rsid w:val="005D257E"/>
    <w:rsid w:val="005D25C5"/>
    <w:rsid w:val="005D2607"/>
    <w:rsid w:val="005D262F"/>
    <w:rsid w:val="005D263D"/>
    <w:rsid w:val="005D2673"/>
    <w:rsid w:val="005D26C5"/>
    <w:rsid w:val="005D26FC"/>
    <w:rsid w:val="005D279B"/>
    <w:rsid w:val="005D27A3"/>
    <w:rsid w:val="005D27DB"/>
    <w:rsid w:val="005D287C"/>
    <w:rsid w:val="005D2894"/>
    <w:rsid w:val="005D28A6"/>
    <w:rsid w:val="005D28C5"/>
    <w:rsid w:val="005D28EA"/>
    <w:rsid w:val="005D28F0"/>
    <w:rsid w:val="005D290B"/>
    <w:rsid w:val="005D2942"/>
    <w:rsid w:val="005D296B"/>
    <w:rsid w:val="005D29F1"/>
    <w:rsid w:val="005D29F8"/>
    <w:rsid w:val="005D2A2C"/>
    <w:rsid w:val="005D2A76"/>
    <w:rsid w:val="005D2ACF"/>
    <w:rsid w:val="005D2AD8"/>
    <w:rsid w:val="005D2B11"/>
    <w:rsid w:val="005D2B42"/>
    <w:rsid w:val="005D2B51"/>
    <w:rsid w:val="005D2B56"/>
    <w:rsid w:val="005D2B67"/>
    <w:rsid w:val="005D2B72"/>
    <w:rsid w:val="005D2BBF"/>
    <w:rsid w:val="005D2BD5"/>
    <w:rsid w:val="005D2BEA"/>
    <w:rsid w:val="005D2C06"/>
    <w:rsid w:val="005D2C0F"/>
    <w:rsid w:val="005D2C86"/>
    <w:rsid w:val="005D2CE4"/>
    <w:rsid w:val="005D2D4E"/>
    <w:rsid w:val="005D2D55"/>
    <w:rsid w:val="005D2D6D"/>
    <w:rsid w:val="005D2D94"/>
    <w:rsid w:val="005D2E0D"/>
    <w:rsid w:val="005D2E60"/>
    <w:rsid w:val="005D2E7A"/>
    <w:rsid w:val="005D2E81"/>
    <w:rsid w:val="005D2E8A"/>
    <w:rsid w:val="005D2F03"/>
    <w:rsid w:val="005D2F13"/>
    <w:rsid w:val="005D2F25"/>
    <w:rsid w:val="005D2F64"/>
    <w:rsid w:val="005D2FA2"/>
    <w:rsid w:val="005D2FC6"/>
    <w:rsid w:val="005D2FF6"/>
    <w:rsid w:val="005D3010"/>
    <w:rsid w:val="005D30A0"/>
    <w:rsid w:val="005D30E1"/>
    <w:rsid w:val="005D30FD"/>
    <w:rsid w:val="005D3119"/>
    <w:rsid w:val="005D3132"/>
    <w:rsid w:val="005D3179"/>
    <w:rsid w:val="005D31A6"/>
    <w:rsid w:val="005D31BA"/>
    <w:rsid w:val="005D31C0"/>
    <w:rsid w:val="005D31C4"/>
    <w:rsid w:val="005D322A"/>
    <w:rsid w:val="005D3245"/>
    <w:rsid w:val="005D3268"/>
    <w:rsid w:val="005D327C"/>
    <w:rsid w:val="005D32B9"/>
    <w:rsid w:val="005D32BE"/>
    <w:rsid w:val="005D32C6"/>
    <w:rsid w:val="005D32DD"/>
    <w:rsid w:val="005D32EF"/>
    <w:rsid w:val="005D335F"/>
    <w:rsid w:val="005D339C"/>
    <w:rsid w:val="005D33C4"/>
    <w:rsid w:val="005D3460"/>
    <w:rsid w:val="005D346D"/>
    <w:rsid w:val="005D347D"/>
    <w:rsid w:val="005D34D3"/>
    <w:rsid w:val="005D3533"/>
    <w:rsid w:val="005D35AA"/>
    <w:rsid w:val="005D35D2"/>
    <w:rsid w:val="005D3622"/>
    <w:rsid w:val="005D363C"/>
    <w:rsid w:val="005D372C"/>
    <w:rsid w:val="005D3741"/>
    <w:rsid w:val="005D3764"/>
    <w:rsid w:val="005D379E"/>
    <w:rsid w:val="005D37AF"/>
    <w:rsid w:val="005D37D9"/>
    <w:rsid w:val="005D3801"/>
    <w:rsid w:val="005D384E"/>
    <w:rsid w:val="005D3995"/>
    <w:rsid w:val="005D3999"/>
    <w:rsid w:val="005D3A18"/>
    <w:rsid w:val="005D3AE6"/>
    <w:rsid w:val="005D3B0C"/>
    <w:rsid w:val="005D3B0F"/>
    <w:rsid w:val="005D3B1F"/>
    <w:rsid w:val="005D3B50"/>
    <w:rsid w:val="005D3B51"/>
    <w:rsid w:val="005D3B5A"/>
    <w:rsid w:val="005D3B66"/>
    <w:rsid w:val="005D3B6C"/>
    <w:rsid w:val="005D3B78"/>
    <w:rsid w:val="005D3B79"/>
    <w:rsid w:val="005D3B7F"/>
    <w:rsid w:val="005D3B84"/>
    <w:rsid w:val="005D3BCD"/>
    <w:rsid w:val="005D3BEF"/>
    <w:rsid w:val="005D3C62"/>
    <w:rsid w:val="005D3C7A"/>
    <w:rsid w:val="005D3C92"/>
    <w:rsid w:val="005D3CBF"/>
    <w:rsid w:val="005D3D7E"/>
    <w:rsid w:val="005D3DA0"/>
    <w:rsid w:val="005D3E31"/>
    <w:rsid w:val="005D3E33"/>
    <w:rsid w:val="005D3E5D"/>
    <w:rsid w:val="005D3E5E"/>
    <w:rsid w:val="005D3ECD"/>
    <w:rsid w:val="005D3ED8"/>
    <w:rsid w:val="005D3F0D"/>
    <w:rsid w:val="005D3FE5"/>
    <w:rsid w:val="005D3FEA"/>
    <w:rsid w:val="005D401A"/>
    <w:rsid w:val="005D404C"/>
    <w:rsid w:val="005D4055"/>
    <w:rsid w:val="005D408B"/>
    <w:rsid w:val="005D40EC"/>
    <w:rsid w:val="005D40FF"/>
    <w:rsid w:val="005D411A"/>
    <w:rsid w:val="005D4161"/>
    <w:rsid w:val="005D418A"/>
    <w:rsid w:val="005D41BE"/>
    <w:rsid w:val="005D4208"/>
    <w:rsid w:val="005D4226"/>
    <w:rsid w:val="005D4246"/>
    <w:rsid w:val="005D42AA"/>
    <w:rsid w:val="005D42D5"/>
    <w:rsid w:val="005D4348"/>
    <w:rsid w:val="005D4385"/>
    <w:rsid w:val="005D4386"/>
    <w:rsid w:val="005D438F"/>
    <w:rsid w:val="005D4392"/>
    <w:rsid w:val="005D43CB"/>
    <w:rsid w:val="005D43CD"/>
    <w:rsid w:val="005D43FA"/>
    <w:rsid w:val="005D4449"/>
    <w:rsid w:val="005D44E8"/>
    <w:rsid w:val="005D4525"/>
    <w:rsid w:val="005D4592"/>
    <w:rsid w:val="005D459F"/>
    <w:rsid w:val="005D45FC"/>
    <w:rsid w:val="005D466C"/>
    <w:rsid w:val="005D46C2"/>
    <w:rsid w:val="005D46C6"/>
    <w:rsid w:val="005D46E5"/>
    <w:rsid w:val="005D4700"/>
    <w:rsid w:val="005D4749"/>
    <w:rsid w:val="005D474A"/>
    <w:rsid w:val="005D479F"/>
    <w:rsid w:val="005D47A3"/>
    <w:rsid w:val="005D47EC"/>
    <w:rsid w:val="005D47FA"/>
    <w:rsid w:val="005D4809"/>
    <w:rsid w:val="005D482F"/>
    <w:rsid w:val="005D487F"/>
    <w:rsid w:val="005D48F8"/>
    <w:rsid w:val="005D4903"/>
    <w:rsid w:val="005D4924"/>
    <w:rsid w:val="005D4934"/>
    <w:rsid w:val="005D495C"/>
    <w:rsid w:val="005D4966"/>
    <w:rsid w:val="005D4A31"/>
    <w:rsid w:val="005D4A34"/>
    <w:rsid w:val="005D4A79"/>
    <w:rsid w:val="005D4B25"/>
    <w:rsid w:val="005D4B3E"/>
    <w:rsid w:val="005D4B87"/>
    <w:rsid w:val="005D4B96"/>
    <w:rsid w:val="005D4BA6"/>
    <w:rsid w:val="005D4BAA"/>
    <w:rsid w:val="005D4BAD"/>
    <w:rsid w:val="005D4BBE"/>
    <w:rsid w:val="005D4BD5"/>
    <w:rsid w:val="005D4BDA"/>
    <w:rsid w:val="005D4C20"/>
    <w:rsid w:val="005D4D01"/>
    <w:rsid w:val="005D4D07"/>
    <w:rsid w:val="005D4D4B"/>
    <w:rsid w:val="005D4DB0"/>
    <w:rsid w:val="005D4DC9"/>
    <w:rsid w:val="005D4DDE"/>
    <w:rsid w:val="005D4DFA"/>
    <w:rsid w:val="005D4E0C"/>
    <w:rsid w:val="005D4E11"/>
    <w:rsid w:val="005D4E3F"/>
    <w:rsid w:val="005D4E40"/>
    <w:rsid w:val="005D4EAE"/>
    <w:rsid w:val="005D4ECF"/>
    <w:rsid w:val="005D4EF3"/>
    <w:rsid w:val="005D4F2F"/>
    <w:rsid w:val="005D4F53"/>
    <w:rsid w:val="005D4F6A"/>
    <w:rsid w:val="005D4FD4"/>
    <w:rsid w:val="005D4FDE"/>
    <w:rsid w:val="005D5062"/>
    <w:rsid w:val="005D50C5"/>
    <w:rsid w:val="005D50E4"/>
    <w:rsid w:val="005D512B"/>
    <w:rsid w:val="005D513C"/>
    <w:rsid w:val="005D5189"/>
    <w:rsid w:val="005D518E"/>
    <w:rsid w:val="005D51F6"/>
    <w:rsid w:val="005D5212"/>
    <w:rsid w:val="005D5265"/>
    <w:rsid w:val="005D529C"/>
    <w:rsid w:val="005D52AA"/>
    <w:rsid w:val="005D5354"/>
    <w:rsid w:val="005D536F"/>
    <w:rsid w:val="005D5383"/>
    <w:rsid w:val="005D53B1"/>
    <w:rsid w:val="005D53F0"/>
    <w:rsid w:val="005D54A4"/>
    <w:rsid w:val="005D54A5"/>
    <w:rsid w:val="005D550D"/>
    <w:rsid w:val="005D5534"/>
    <w:rsid w:val="005D555E"/>
    <w:rsid w:val="005D5585"/>
    <w:rsid w:val="005D55D9"/>
    <w:rsid w:val="005D55F5"/>
    <w:rsid w:val="005D5604"/>
    <w:rsid w:val="005D562E"/>
    <w:rsid w:val="005D566E"/>
    <w:rsid w:val="005D568C"/>
    <w:rsid w:val="005D56B0"/>
    <w:rsid w:val="005D56C7"/>
    <w:rsid w:val="005D56E0"/>
    <w:rsid w:val="005D571E"/>
    <w:rsid w:val="005D574A"/>
    <w:rsid w:val="005D575C"/>
    <w:rsid w:val="005D5779"/>
    <w:rsid w:val="005D5799"/>
    <w:rsid w:val="005D57C6"/>
    <w:rsid w:val="005D5806"/>
    <w:rsid w:val="005D581A"/>
    <w:rsid w:val="005D5838"/>
    <w:rsid w:val="005D5839"/>
    <w:rsid w:val="005D5998"/>
    <w:rsid w:val="005D5A22"/>
    <w:rsid w:val="005D5A61"/>
    <w:rsid w:val="005D5A9C"/>
    <w:rsid w:val="005D5AAB"/>
    <w:rsid w:val="005D5AD7"/>
    <w:rsid w:val="005D5AED"/>
    <w:rsid w:val="005D5AF5"/>
    <w:rsid w:val="005D5B15"/>
    <w:rsid w:val="005D5B1E"/>
    <w:rsid w:val="005D5B42"/>
    <w:rsid w:val="005D5B7D"/>
    <w:rsid w:val="005D5BA8"/>
    <w:rsid w:val="005D5C98"/>
    <w:rsid w:val="005D5CD5"/>
    <w:rsid w:val="005D5D19"/>
    <w:rsid w:val="005D5D37"/>
    <w:rsid w:val="005D5D61"/>
    <w:rsid w:val="005D5D8B"/>
    <w:rsid w:val="005D5D90"/>
    <w:rsid w:val="005D5E8D"/>
    <w:rsid w:val="005D5E8F"/>
    <w:rsid w:val="005D5EDD"/>
    <w:rsid w:val="005D5F17"/>
    <w:rsid w:val="005D5FEC"/>
    <w:rsid w:val="005D6011"/>
    <w:rsid w:val="005D6033"/>
    <w:rsid w:val="005D603A"/>
    <w:rsid w:val="005D605D"/>
    <w:rsid w:val="005D6068"/>
    <w:rsid w:val="005D6096"/>
    <w:rsid w:val="005D60C1"/>
    <w:rsid w:val="005D60E1"/>
    <w:rsid w:val="005D60F1"/>
    <w:rsid w:val="005D6109"/>
    <w:rsid w:val="005D6121"/>
    <w:rsid w:val="005D612A"/>
    <w:rsid w:val="005D615A"/>
    <w:rsid w:val="005D6197"/>
    <w:rsid w:val="005D61E4"/>
    <w:rsid w:val="005D6220"/>
    <w:rsid w:val="005D6242"/>
    <w:rsid w:val="005D6259"/>
    <w:rsid w:val="005D6268"/>
    <w:rsid w:val="005D62BB"/>
    <w:rsid w:val="005D62CC"/>
    <w:rsid w:val="005D6301"/>
    <w:rsid w:val="005D6318"/>
    <w:rsid w:val="005D63AA"/>
    <w:rsid w:val="005D63B1"/>
    <w:rsid w:val="005D63B5"/>
    <w:rsid w:val="005D63C7"/>
    <w:rsid w:val="005D63E8"/>
    <w:rsid w:val="005D64AC"/>
    <w:rsid w:val="005D650B"/>
    <w:rsid w:val="005D655A"/>
    <w:rsid w:val="005D6579"/>
    <w:rsid w:val="005D657D"/>
    <w:rsid w:val="005D658E"/>
    <w:rsid w:val="005D65B7"/>
    <w:rsid w:val="005D65CE"/>
    <w:rsid w:val="005D65D5"/>
    <w:rsid w:val="005D65D9"/>
    <w:rsid w:val="005D65E4"/>
    <w:rsid w:val="005D665A"/>
    <w:rsid w:val="005D6672"/>
    <w:rsid w:val="005D6680"/>
    <w:rsid w:val="005D6685"/>
    <w:rsid w:val="005D66BB"/>
    <w:rsid w:val="005D66C4"/>
    <w:rsid w:val="005D66EB"/>
    <w:rsid w:val="005D66EF"/>
    <w:rsid w:val="005D6749"/>
    <w:rsid w:val="005D677B"/>
    <w:rsid w:val="005D67CD"/>
    <w:rsid w:val="005D67EA"/>
    <w:rsid w:val="005D67F4"/>
    <w:rsid w:val="005D6801"/>
    <w:rsid w:val="005D6850"/>
    <w:rsid w:val="005D6867"/>
    <w:rsid w:val="005D686D"/>
    <w:rsid w:val="005D6881"/>
    <w:rsid w:val="005D6898"/>
    <w:rsid w:val="005D6901"/>
    <w:rsid w:val="005D694C"/>
    <w:rsid w:val="005D69A5"/>
    <w:rsid w:val="005D69D5"/>
    <w:rsid w:val="005D69EC"/>
    <w:rsid w:val="005D6A1C"/>
    <w:rsid w:val="005D6AE7"/>
    <w:rsid w:val="005D6B60"/>
    <w:rsid w:val="005D6B7E"/>
    <w:rsid w:val="005D6BBF"/>
    <w:rsid w:val="005D6BD2"/>
    <w:rsid w:val="005D6CA9"/>
    <w:rsid w:val="005D6CDB"/>
    <w:rsid w:val="005D6D64"/>
    <w:rsid w:val="005D6DC6"/>
    <w:rsid w:val="005D6E0A"/>
    <w:rsid w:val="005D6E38"/>
    <w:rsid w:val="005D6E86"/>
    <w:rsid w:val="005D6EE2"/>
    <w:rsid w:val="005D6EF2"/>
    <w:rsid w:val="005D6F0B"/>
    <w:rsid w:val="005D6F11"/>
    <w:rsid w:val="005D6F40"/>
    <w:rsid w:val="005D6F79"/>
    <w:rsid w:val="005D6F9A"/>
    <w:rsid w:val="005D6FBE"/>
    <w:rsid w:val="005D6FD6"/>
    <w:rsid w:val="005D6FEE"/>
    <w:rsid w:val="005D6FF5"/>
    <w:rsid w:val="005D7051"/>
    <w:rsid w:val="005D7066"/>
    <w:rsid w:val="005D7086"/>
    <w:rsid w:val="005D70AB"/>
    <w:rsid w:val="005D70EF"/>
    <w:rsid w:val="005D711D"/>
    <w:rsid w:val="005D715C"/>
    <w:rsid w:val="005D7174"/>
    <w:rsid w:val="005D717F"/>
    <w:rsid w:val="005D7189"/>
    <w:rsid w:val="005D7192"/>
    <w:rsid w:val="005D71B1"/>
    <w:rsid w:val="005D71C5"/>
    <w:rsid w:val="005D72FF"/>
    <w:rsid w:val="005D7304"/>
    <w:rsid w:val="005D732A"/>
    <w:rsid w:val="005D735C"/>
    <w:rsid w:val="005D73CE"/>
    <w:rsid w:val="005D73D4"/>
    <w:rsid w:val="005D73F4"/>
    <w:rsid w:val="005D745B"/>
    <w:rsid w:val="005D745C"/>
    <w:rsid w:val="005D74C3"/>
    <w:rsid w:val="005D74E7"/>
    <w:rsid w:val="005D7509"/>
    <w:rsid w:val="005D7521"/>
    <w:rsid w:val="005D759D"/>
    <w:rsid w:val="005D75E1"/>
    <w:rsid w:val="005D763B"/>
    <w:rsid w:val="005D7653"/>
    <w:rsid w:val="005D7671"/>
    <w:rsid w:val="005D7690"/>
    <w:rsid w:val="005D76E8"/>
    <w:rsid w:val="005D7751"/>
    <w:rsid w:val="005D7758"/>
    <w:rsid w:val="005D7766"/>
    <w:rsid w:val="005D77BD"/>
    <w:rsid w:val="005D77FC"/>
    <w:rsid w:val="005D7859"/>
    <w:rsid w:val="005D78AA"/>
    <w:rsid w:val="005D78F2"/>
    <w:rsid w:val="005D7912"/>
    <w:rsid w:val="005D7969"/>
    <w:rsid w:val="005D79A5"/>
    <w:rsid w:val="005D7A30"/>
    <w:rsid w:val="005D7A4A"/>
    <w:rsid w:val="005D7A4E"/>
    <w:rsid w:val="005D7A60"/>
    <w:rsid w:val="005D7A70"/>
    <w:rsid w:val="005D7A8F"/>
    <w:rsid w:val="005D7A92"/>
    <w:rsid w:val="005D7AA6"/>
    <w:rsid w:val="005D7ACB"/>
    <w:rsid w:val="005D7AD3"/>
    <w:rsid w:val="005D7AD7"/>
    <w:rsid w:val="005D7B12"/>
    <w:rsid w:val="005D7B25"/>
    <w:rsid w:val="005D7B64"/>
    <w:rsid w:val="005D7C1E"/>
    <w:rsid w:val="005D7C2D"/>
    <w:rsid w:val="005D7C33"/>
    <w:rsid w:val="005D7C3B"/>
    <w:rsid w:val="005D7C43"/>
    <w:rsid w:val="005D7C4B"/>
    <w:rsid w:val="005D7C64"/>
    <w:rsid w:val="005D7C6E"/>
    <w:rsid w:val="005D7C6F"/>
    <w:rsid w:val="005D7C71"/>
    <w:rsid w:val="005D7C85"/>
    <w:rsid w:val="005D7CA9"/>
    <w:rsid w:val="005D7CF9"/>
    <w:rsid w:val="005D7D47"/>
    <w:rsid w:val="005D7D4D"/>
    <w:rsid w:val="005D7D8A"/>
    <w:rsid w:val="005D7DD8"/>
    <w:rsid w:val="005D7DF4"/>
    <w:rsid w:val="005D7E56"/>
    <w:rsid w:val="005D7E65"/>
    <w:rsid w:val="005D7E6B"/>
    <w:rsid w:val="005D7EC1"/>
    <w:rsid w:val="005D7F74"/>
    <w:rsid w:val="005D7FCB"/>
    <w:rsid w:val="005D7FE5"/>
    <w:rsid w:val="005E0052"/>
    <w:rsid w:val="005E0143"/>
    <w:rsid w:val="005E0149"/>
    <w:rsid w:val="005E0170"/>
    <w:rsid w:val="005E01B5"/>
    <w:rsid w:val="005E01E0"/>
    <w:rsid w:val="005E01E1"/>
    <w:rsid w:val="005E0247"/>
    <w:rsid w:val="005E0274"/>
    <w:rsid w:val="005E0280"/>
    <w:rsid w:val="005E0288"/>
    <w:rsid w:val="005E02A5"/>
    <w:rsid w:val="005E02B4"/>
    <w:rsid w:val="005E02B8"/>
    <w:rsid w:val="005E02F6"/>
    <w:rsid w:val="005E0311"/>
    <w:rsid w:val="005E0320"/>
    <w:rsid w:val="005E034B"/>
    <w:rsid w:val="005E034E"/>
    <w:rsid w:val="005E035A"/>
    <w:rsid w:val="005E035D"/>
    <w:rsid w:val="005E0365"/>
    <w:rsid w:val="005E039A"/>
    <w:rsid w:val="005E03CC"/>
    <w:rsid w:val="005E03D3"/>
    <w:rsid w:val="005E03EF"/>
    <w:rsid w:val="005E03F1"/>
    <w:rsid w:val="005E0406"/>
    <w:rsid w:val="005E0435"/>
    <w:rsid w:val="005E045C"/>
    <w:rsid w:val="005E046C"/>
    <w:rsid w:val="005E0475"/>
    <w:rsid w:val="005E0481"/>
    <w:rsid w:val="005E04D7"/>
    <w:rsid w:val="005E04EE"/>
    <w:rsid w:val="005E052A"/>
    <w:rsid w:val="005E0545"/>
    <w:rsid w:val="005E054A"/>
    <w:rsid w:val="005E0583"/>
    <w:rsid w:val="005E059B"/>
    <w:rsid w:val="005E05A4"/>
    <w:rsid w:val="005E05F3"/>
    <w:rsid w:val="005E0626"/>
    <w:rsid w:val="005E066B"/>
    <w:rsid w:val="005E0672"/>
    <w:rsid w:val="005E067E"/>
    <w:rsid w:val="005E0693"/>
    <w:rsid w:val="005E06E1"/>
    <w:rsid w:val="005E06E7"/>
    <w:rsid w:val="005E0713"/>
    <w:rsid w:val="005E072A"/>
    <w:rsid w:val="005E0773"/>
    <w:rsid w:val="005E07CA"/>
    <w:rsid w:val="005E07F2"/>
    <w:rsid w:val="005E0869"/>
    <w:rsid w:val="005E0891"/>
    <w:rsid w:val="005E089A"/>
    <w:rsid w:val="005E08D4"/>
    <w:rsid w:val="005E08D6"/>
    <w:rsid w:val="005E08EC"/>
    <w:rsid w:val="005E0924"/>
    <w:rsid w:val="005E0953"/>
    <w:rsid w:val="005E0A34"/>
    <w:rsid w:val="005E0A4F"/>
    <w:rsid w:val="005E0A76"/>
    <w:rsid w:val="005E0AB1"/>
    <w:rsid w:val="005E0AE1"/>
    <w:rsid w:val="005E0B21"/>
    <w:rsid w:val="005E0B52"/>
    <w:rsid w:val="005E0B5B"/>
    <w:rsid w:val="005E0B5F"/>
    <w:rsid w:val="005E0C05"/>
    <w:rsid w:val="005E0C92"/>
    <w:rsid w:val="005E0CAB"/>
    <w:rsid w:val="005E0CF4"/>
    <w:rsid w:val="005E0CF9"/>
    <w:rsid w:val="005E0CFB"/>
    <w:rsid w:val="005E0DB4"/>
    <w:rsid w:val="005E0DBF"/>
    <w:rsid w:val="005E0DFB"/>
    <w:rsid w:val="005E0E47"/>
    <w:rsid w:val="005E0E54"/>
    <w:rsid w:val="005E0E78"/>
    <w:rsid w:val="005E0EB5"/>
    <w:rsid w:val="005E0EE7"/>
    <w:rsid w:val="005E0EFF"/>
    <w:rsid w:val="005E0F06"/>
    <w:rsid w:val="005E0F67"/>
    <w:rsid w:val="005E0F7F"/>
    <w:rsid w:val="005E0F89"/>
    <w:rsid w:val="005E0FC4"/>
    <w:rsid w:val="005E0FEF"/>
    <w:rsid w:val="005E0FF0"/>
    <w:rsid w:val="005E0FFA"/>
    <w:rsid w:val="005E1044"/>
    <w:rsid w:val="005E104B"/>
    <w:rsid w:val="005E1072"/>
    <w:rsid w:val="005E1117"/>
    <w:rsid w:val="005E1140"/>
    <w:rsid w:val="005E1147"/>
    <w:rsid w:val="005E1170"/>
    <w:rsid w:val="005E11E9"/>
    <w:rsid w:val="005E1239"/>
    <w:rsid w:val="005E1283"/>
    <w:rsid w:val="005E12DB"/>
    <w:rsid w:val="005E1303"/>
    <w:rsid w:val="005E1310"/>
    <w:rsid w:val="005E1327"/>
    <w:rsid w:val="005E133E"/>
    <w:rsid w:val="005E13ED"/>
    <w:rsid w:val="005E13F0"/>
    <w:rsid w:val="005E13F6"/>
    <w:rsid w:val="005E1411"/>
    <w:rsid w:val="005E1417"/>
    <w:rsid w:val="005E147E"/>
    <w:rsid w:val="005E14E8"/>
    <w:rsid w:val="005E1533"/>
    <w:rsid w:val="005E157B"/>
    <w:rsid w:val="005E15A2"/>
    <w:rsid w:val="005E15A5"/>
    <w:rsid w:val="005E15D7"/>
    <w:rsid w:val="005E160E"/>
    <w:rsid w:val="005E1673"/>
    <w:rsid w:val="005E168F"/>
    <w:rsid w:val="005E16E3"/>
    <w:rsid w:val="005E16FE"/>
    <w:rsid w:val="005E1709"/>
    <w:rsid w:val="005E172D"/>
    <w:rsid w:val="005E1768"/>
    <w:rsid w:val="005E17EF"/>
    <w:rsid w:val="005E181B"/>
    <w:rsid w:val="005E1844"/>
    <w:rsid w:val="005E184F"/>
    <w:rsid w:val="005E185B"/>
    <w:rsid w:val="005E1879"/>
    <w:rsid w:val="005E191B"/>
    <w:rsid w:val="005E1935"/>
    <w:rsid w:val="005E1969"/>
    <w:rsid w:val="005E1993"/>
    <w:rsid w:val="005E1995"/>
    <w:rsid w:val="005E19F6"/>
    <w:rsid w:val="005E1A04"/>
    <w:rsid w:val="005E1A67"/>
    <w:rsid w:val="005E1B16"/>
    <w:rsid w:val="005E1B8C"/>
    <w:rsid w:val="005E1B9F"/>
    <w:rsid w:val="005E1BB8"/>
    <w:rsid w:val="005E1BCE"/>
    <w:rsid w:val="005E1C5E"/>
    <w:rsid w:val="005E1C7B"/>
    <w:rsid w:val="005E1CD1"/>
    <w:rsid w:val="005E1D31"/>
    <w:rsid w:val="005E1D81"/>
    <w:rsid w:val="005E1D82"/>
    <w:rsid w:val="005E1DA2"/>
    <w:rsid w:val="005E1E01"/>
    <w:rsid w:val="005E1E19"/>
    <w:rsid w:val="005E1E1D"/>
    <w:rsid w:val="005E1EB9"/>
    <w:rsid w:val="005E1EBD"/>
    <w:rsid w:val="005E1F03"/>
    <w:rsid w:val="005E1F23"/>
    <w:rsid w:val="005E1F41"/>
    <w:rsid w:val="005E2048"/>
    <w:rsid w:val="005E2066"/>
    <w:rsid w:val="005E2074"/>
    <w:rsid w:val="005E2080"/>
    <w:rsid w:val="005E2085"/>
    <w:rsid w:val="005E209F"/>
    <w:rsid w:val="005E20B3"/>
    <w:rsid w:val="005E20E1"/>
    <w:rsid w:val="005E211D"/>
    <w:rsid w:val="005E2152"/>
    <w:rsid w:val="005E21CE"/>
    <w:rsid w:val="005E21E5"/>
    <w:rsid w:val="005E225A"/>
    <w:rsid w:val="005E22E8"/>
    <w:rsid w:val="005E22FD"/>
    <w:rsid w:val="005E230D"/>
    <w:rsid w:val="005E231E"/>
    <w:rsid w:val="005E232B"/>
    <w:rsid w:val="005E23ED"/>
    <w:rsid w:val="005E247E"/>
    <w:rsid w:val="005E2497"/>
    <w:rsid w:val="005E249D"/>
    <w:rsid w:val="005E2542"/>
    <w:rsid w:val="005E256F"/>
    <w:rsid w:val="005E2574"/>
    <w:rsid w:val="005E25CA"/>
    <w:rsid w:val="005E25E9"/>
    <w:rsid w:val="005E260D"/>
    <w:rsid w:val="005E262F"/>
    <w:rsid w:val="005E2642"/>
    <w:rsid w:val="005E2651"/>
    <w:rsid w:val="005E26D3"/>
    <w:rsid w:val="005E2770"/>
    <w:rsid w:val="005E27B8"/>
    <w:rsid w:val="005E2805"/>
    <w:rsid w:val="005E2864"/>
    <w:rsid w:val="005E2898"/>
    <w:rsid w:val="005E28C6"/>
    <w:rsid w:val="005E2928"/>
    <w:rsid w:val="005E2945"/>
    <w:rsid w:val="005E29BD"/>
    <w:rsid w:val="005E2A45"/>
    <w:rsid w:val="005E2ACF"/>
    <w:rsid w:val="005E2B0A"/>
    <w:rsid w:val="005E2B12"/>
    <w:rsid w:val="005E2B34"/>
    <w:rsid w:val="005E2B35"/>
    <w:rsid w:val="005E2B45"/>
    <w:rsid w:val="005E2BE9"/>
    <w:rsid w:val="005E2BFE"/>
    <w:rsid w:val="005E2C26"/>
    <w:rsid w:val="005E2C30"/>
    <w:rsid w:val="005E2C58"/>
    <w:rsid w:val="005E2C5F"/>
    <w:rsid w:val="005E2CAF"/>
    <w:rsid w:val="005E2D1C"/>
    <w:rsid w:val="005E2D29"/>
    <w:rsid w:val="005E2D4A"/>
    <w:rsid w:val="005E2DA7"/>
    <w:rsid w:val="005E2DC9"/>
    <w:rsid w:val="005E2DD8"/>
    <w:rsid w:val="005E2DF7"/>
    <w:rsid w:val="005E2E00"/>
    <w:rsid w:val="005E2E23"/>
    <w:rsid w:val="005E2E2D"/>
    <w:rsid w:val="005E2E44"/>
    <w:rsid w:val="005E2E76"/>
    <w:rsid w:val="005E2F2A"/>
    <w:rsid w:val="005E2F3D"/>
    <w:rsid w:val="005E2F58"/>
    <w:rsid w:val="005E2F61"/>
    <w:rsid w:val="005E2F73"/>
    <w:rsid w:val="005E3016"/>
    <w:rsid w:val="005E305D"/>
    <w:rsid w:val="005E3077"/>
    <w:rsid w:val="005E3085"/>
    <w:rsid w:val="005E309E"/>
    <w:rsid w:val="005E30AA"/>
    <w:rsid w:val="005E30BE"/>
    <w:rsid w:val="005E30EB"/>
    <w:rsid w:val="005E30FA"/>
    <w:rsid w:val="005E311C"/>
    <w:rsid w:val="005E3131"/>
    <w:rsid w:val="005E3135"/>
    <w:rsid w:val="005E317A"/>
    <w:rsid w:val="005E318B"/>
    <w:rsid w:val="005E31A3"/>
    <w:rsid w:val="005E3231"/>
    <w:rsid w:val="005E325E"/>
    <w:rsid w:val="005E3299"/>
    <w:rsid w:val="005E32AF"/>
    <w:rsid w:val="005E32D9"/>
    <w:rsid w:val="005E32E1"/>
    <w:rsid w:val="005E32F6"/>
    <w:rsid w:val="005E3330"/>
    <w:rsid w:val="005E3336"/>
    <w:rsid w:val="005E3367"/>
    <w:rsid w:val="005E336F"/>
    <w:rsid w:val="005E33B4"/>
    <w:rsid w:val="005E33FF"/>
    <w:rsid w:val="005E3432"/>
    <w:rsid w:val="005E3433"/>
    <w:rsid w:val="005E3445"/>
    <w:rsid w:val="005E34F7"/>
    <w:rsid w:val="005E3586"/>
    <w:rsid w:val="005E3590"/>
    <w:rsid w:val="005E35A9"/>
    <w:rsid w:val="005E35C0"/>
    <w:rsid w:val="005E3621"/>
    <w:rsid w:val="005E364E"/>
    <w:rsid w:val="005E365C"/>
    <w:rsid w:val="005E367F"/>
    <w:rsid w:val="005E36EF"/>
    <w:rsid w:val="005E3788"/>
    <w:rsid w:val="005E378C"/>
    <w:rsid w:val="005E3885"/>
    <w:rsid w:val="005E38BC"/>
    <w:rsid w:val="005E38C6"/>
    <w:rsid w:val="005E38FC"/>
    <w:rsid w:val="005E3917"/>
    <w:rsid w:val="005E3924"/>
    <w:rsid w:val="005E393F"/>
    <w:rsid w:val="005E3985"/>
    <w:rsid w:val="005E3989"/>
    <w:rsid w:val="005E3A0E"/>
    <w:rsid w:val="005E3A0F"/>
    <w:rsid w:val="005E3A7C"/>
    <w:rsid w:val="005E3AC6"/>
    <w:rsid w:val="005E3B03"/>
    <w:rsid w:val="005E3B04"/>
    <w:rsid w:val="005E3B90"/>
    <w:rsid w:val="005E3BB5"/>
    <w:rsid w:val="005E3BEE"/>
    <w:rsid w:val="005E3C29"/>
    <w:rsid w:val="005E3C52"/>
    <w:rsid w:val="005E3C6A"/>
    <w:rsid w:val="005E3C87"/>
    <w:rsid w:val="005E3CEC"/>
    <w:rsid w:val="005E3D02"/>
    <w:rsid w:val="005E3D20"/>
    <w:rsid w:val="005E3D7A"/>
    <w:rsid w:val="005E3DB6"/>
    <w:rsid w:val="005E3DF4"/>
    <w:rsid w:val="005E3E32"/>
    <w:rsid w:val="005E3E35"/>
    <w:rsid w:val="005E3EDC"/>
    <w:rsid w:val="005E3EF5"/>
    <w:rsid w:val="005E3EFB"/>
    <w:rsid w:val="005E3F37"/>
    <w:rsid w:val="005E3F87"/>
    <w:rsid w:val="005E3FC6"/>
    <w:rsid w:val="005E4005"/>
    <w:rsid w:val="005E4066"/>
    <w:rsid w:val="005E40E9"/>
    <w:rsid w:val="005E4107"/>
    <w:rsid w:val="005E4159"/>
    <w:rsid w:val="005E4177"/>
    <w:rsid w:val="005E41C7"/>
    <w:rsid w:val="005E4251"/>
    <w:rsid w:val="005E4274"/>
    <w:rsid w:val="005E428A"/>
    <w:rsid w:val="005E42B0"/>
    <w:rsid w:val="005E42C0"/>
    <w:rsid w:val="005E4310"/>
    <w:rsid w:val="005E4324"/>
    <w:rsid w:val="005E435C"/>
    <w:rsid w:val="005E4386"/>
    <w:rsid w:val="005E43C0"/>
    <w:rsid w:val="005E441F"/>
    <w:rsid w:val="005E4559"/>
    <w:rsid w:val="005E45C0"/>
    <w:rsid w:val="005E466B"/>
    <w:rsid w:val="005E467D"/>
    <w:rsid w:val="005E4694"/>
    <w:rsid w:val="005E46C8"/>
    <w:rsid w:val="005E4772"/>
    <w:rsid w:val="005E4787"/>
    <w:rsid w:val="005E4795"/>
    <w:rsid w:val="005E47A3"/>
    <w:rsid w:val="005E47B1"/>
    <w:rsid w:val="005E47BE"/>
    <w:rsid w:val="005E4820"/>
    <w:rsid w:val="005E48B5"/>
    <w:rsid w:val="005E48FD"/>
    <w:rsid w:val="005E490A"/>
    <w:rsid w:val="005E497E"/>
    <w:rsid w:val="005E49C9"/>
    <w:rsid w:val="005E4A3B"/>
    <w:rsid w:val="005E4A41"/>
    <w:rsid w:val="005E4A6C"/>
    <w:rsid w:val="005E4A96"/>
    <w:rsid w:val="005E4AD3"/>
    <w:rsid w:val="005E4AE1"/>
    <w:rsid w:val="005E4B46"/>
    <w:rsid w:val="005E4B64"/>
    <w:rsid w:val="005E4BAD"/>
    <w:rsid w:val="005E4BB8"/>
    <w:rsid w:val="005E4C1E"/>
    <w:rsid w:val="005E4CBA"/>
    <w:rsid w:val="005E4D44"/>
    <w:rsid w:val="005E4D8B"/>
    <w:rsid w:val="005E4D8E"/>
    <w:rsid w:val="005E4DB4"/>
    <w:rsid w:val="005E4DFB"/>
    <w:rsid w:val="005E4DFC"/>
    <w:rsid w:val="005E4E36"/>
    <w:rsid w:val="005E4E7D"/>
    <w:rsid w:val="005E4EA5"/>
    <w:rsid w:val="005E4EC5"/>
    <w:rsid w:val="005E4EF0"/>
    <w:rsid w:val="005E4F29"/>
    <w:rsid w:val="005E4F72"/>
    <w:rsid w:val="005E4FED"/>
    <w:rsid w:val="005E4FEE"/>
    <w:rsid w:val="005E5009"/>
    <w:rsid w:val="005E509A"/>
    <w:rsid w:val="005E50C5"/>
    <w:rsid w:val="005E50E5"/>
    <w:rsid w:val="005E51BC"/>
    <w:rsid w:val="005E526A"/>
    <w:rsid w:val="005E5292"/>
    <w:rsid w:val="005E5302"/>
    <w:rsid w:val="005E5343"/>
    <w:rsid w:val="005E5347"/>
    <w:rsid w:val="005E537B"/>
    <w:rsid w:val="005E538D"/>
    <w:rsid w:val="005E53B9"/>
    <w:rsid w:val="005E53DC"/>
    <w:rsid w:val="005E54AD"/>
    <w:rsid w:val="005E54BF"/>
    <w:rsid w:val="005E54E1"/>
    <w:rsid w:val="005E54EC"/>
    <w:rsid w:val="005E5551"/>
    <w:rsid w:val="005E5590"/>
    <w:rsid w:val="005E55E4"/>
    <w:rsid w:val="005E55E5"/>
    <w:rsid w:val="005E560D"/>
    <w:rsid w:val="005E560E"/>
    <w:rsid w:val="005E5651"/>
    <w:rsid w:val="005E565E"/>
    <w:rsid w:val="005E56CA"/>
    <w:rsid w:val="005E5753"/>
    <w:rsid w:val="005E578D"/>
    <w:rsid w:val="005E581C"/>
    <w:rsid w:val="005E5845"/>
    <w:rsid w:val="005E58B2"/>
    <w:rsid w:val="005E58C0"/>
    <w:rsid w:val="005E58DA"/>
    <w:rsid w:val="005E58DD"/>
    <w:rsid w:val="005E5933"/>
    <w:rsid w:val="005E5938"/>
    <w:rsid w:val="005E59E4"/>
    <w:rsid w:val="005E5A00"/>
    <w:rsid w:val="005E5A03"/>
    <w:rsid w:val="005E5A3B"/>
    <w:rsid w:val="005E5A45"/>
    <w:rsid w:val="005E5A46"/>
    <w:rsid w:val="005E5A74"/>
    <w:rsid w:val="005E5AF6"/>
    <w:rsid w:val="005E5B32"/>
    <w:rsid w:val="005E5B49"/>
    <w:rsid w:val="005E5B85"/>
    <w:rsid w:val="005E5B8E"/>
    <w:rsid w:val="005E5BB3"/>
    <w:rsid w:val="005E5BB4"/>
    <w:rsid w:val="005E5BE8"/>
    <w:rsid w:val="005E5C6C"/>
    <w:rsid w:val="005E5C99"/>
    <w:rsid w:val="005E5CD1"/>
    <w:rsid w:val="005E5CEA"/>
    <w:rsid w:val="005E5D28"/>
    <w:rsid w:val="005E5D55"/>
    <w:rsid w:val="005E5DB5"/>
    <w:rsid w:val="005E5E2B"/>
    <w:rsid w:val="005E5E73"/>
    <w:rsid w:val="005E5E74"/>
    <w:rsid w:val="005E5E98"/>
    <w:rsid w:val="005E5F0C"/>
    <w:rsid w:val="005E5F24"/>
    <w:rsid w:val="005E5F3F"/>
    <w:rsid w:val="005E5F50"/>
    <w:rsid w:val="005E5F70"/>
    <w:rsid w:val="005E5FB3"/>
    <w:rsid w:val="005E5FC5"/>
    <w:rsid w:val="005E6065"/>
    <w:rsid w:val="005E6079"/>
    <w:rsid w:val="005E6082"/>
    <w:rsid w:val="005E60FA"/>
    <w:rsid w:val="005E611D"/>
    <w:rsid w:val="005E6149"/>
    <w:rsid w:val="005E614B"/>
    <w:rsid w:val="005E6156"/>
    <w:rsid w:val="005E61BF"/>
    <w:rsid w:val="005E621D"/>
    <w:rsid w:val="005E6246"/>
    <w:rsid w:val="005E624F"/>
    <w:rsid w:val="005E6261"/>
    <w:rsid w:val="005E62E7"/>
    <w:rsid w:val="005E6354"/>
    <w:rsid w:val="005E6356"/>
    <w:rsid w:val="005E63AE"/>
    <w:rsid w:val="005E63BF"/>
    <w:rsid w:val="005E641D"/>
    <w:rsid w:val="005E6469"/>
    <w:rsid w:val="005E648D"/>
    <w:rsid w:val="005E64A4"/>
    <w:rsid w:val="005E64D3"/>
    <w:rsid w:val="005E64E3"/>
    <w:rsid w:val="005E64ED"/>
    <w:rsid w:val="005E6532"/>
    <w:rsid w:val="005E654F"/>
    <w:rsid w:val="005E659A"/>
    <w:rsid w:val="005E65AB"/>
    <w:rsid w:val="005E65AF"/>
    <w:rsid w:val="005E661A"/>
    <w:rsid w:val="005E6644"/>
    <w:rsid w:val="005E6668"/>
    <w:rsid w:val="005E6671"/>
    <w:rsid w:val="005E6693"/>
    <w:rsid w:val="005E66AB"/>
    <w:rsid w:val="005E66C2"/>
    <w:rsid w:val="005E66D8"/>
    <w:rsid w:val="005E66F1"/>
    <w:rsid w:val="005E670C"/>
    <w:rsid w:val="005E676D"/>
    <w:rsid w:val="005E67EA"/>
    <w:rsid w:val="005E6810"/>
    <w:rsid w:val="005E6848"/>
    <w:rsid w:val="005E6879"/>
    <w:rsid w:val="005E68F6"/>
    <w:rsid w:val="005E6980"/>
    <w:rsid w:val="005E69A5"/>
    <w:rsid w:val="005E69DB"/>
    <w:rsid w:val="005E69E8"/>
    <w:rsid w:val="005E6A44"/>
    <w:rsid w:val="005E6A5B"/>
    <w:rsid w:val="005E6A81"/>
    <w:rsid w:val="005E6A8E"/>
    <w:rsid w:val="005E6B6D"/>
    <w:rsid w:val="005E6B78"/>
    <w:rsid w:val="005E6BAC"/>
    <w:rsid w:val="005E6C51"/>
    <w:rsid w:val="005E6C70"/>
    <w:rsid w:val="005E6C83"/>
    <w:rsid w:val="005E6CB2"/>
    <w:rsid w:val="005E6D37"/>
    <w:rsid w:val="005E6E18"/>
    <w:rsid w:val="005E6E92"/>
    <w:rsid w:val="005E6EAA"/>
    <w:rsid w:val="005E6F0D"/>
    <w:rsid w:val="005E6F82"/>
    <w:rsid w:val="005E6F91"/>
    <w:rsid w:val="005E6FC8"/>
    <w:rsid w:val="005E6FF1"/>
    <w:rsid w:val="005E7037"/>
    <w:rsid w:val="005E704A"/>
    <w:rsid w:val="005E706F"/>
    <w:rsid w:val="005E7073"/>
    <w:rsid w:val="005E7077"/>
    <w:rsid w:val="005E70A7"/>
    <w:rsid w:val="005E70AB"/>
    <w:rsid w:val="005E70BB"/>
    <w:rsid w:val="005E7104"/>
    <w:rsid w:val="005E71AE"/>
    <w:rsid w:val="005E71B6"/>
    <w:rsid w:val="005E71E9"/>
    <w:rsid w:val="005E7291"/>
    <w:rsid w:val="005E72B1"/>
    <w:rsid w:val="005E72F7"/>
    <w:rsid w:val="005E7318"/>
    <w:rsid w:val="005E735D"/>
    <w:rsid w:val="005E7385"/>
    <w:rsid w:val="005E7414"/>
    <w:rsid w:val="005E742D"/>
    <w:rsid w:val="005E746A"/>
    <w:rsid w:val="005E74A6"/>
    <w:rsid w:val="005E74F8"/>
    <w:rsid w:val="005E7500"/>
    <w:rsid w:val="005E7572"/>
    <w:rsid w:val="005E7576"/>
    <w:rsid w:val="005E7593"/>
    <w:rsid w:val="005E75B2"/>
    <w:rsid w:val="005E75DB"/>
    <w:rsid w:val="005E7635"/>
    <w:rsid w:val="005E76A7"/>
    <w:rsid w:val="005E76B5"/>
    <w:rsid w:val="005E76C3"/>
    <w:rsid w:val="005E76D6"/>
    <w:rsid w:val="005E7762"/>
    <w:rsid w:val="005E7782"/>
    <w:rsid w:val="005E77A7"/>
    <w:rsid w:val="005E77DB"/>
    <w:rsid w:val="005E78EB"/>
    <w:rsid w:val="005E7912"/>
    <w:rsid w:val="005E7915"/>
    <w:rsid w:val="005E7959"/>
    <w:rsid w:val="005E79A2"/>
    <w:rsid w:val="005E79AF"/>
    <w:rsid w:val="005E79D1"/>
    <w:rsid w:val="005E7A0C"/>
    <w:rsid w:val="005E7A2A"/>
    <w:rsid w:val="005E7A69"/>
    <w:rsid w:val="005E7B04"/>
    <w:rsid w:val="005E7B0B"/>
    <w:rsid w:val="005E7B12"/>
    <w:rsid w:val="005E7B1D"/>
    <w:rsid w:val="005E7BBD"/>
    <w:rsid w:val="005E7BC4"/>
    <w:rsid w:val="005E7BD7"/>
    <w:rsid w:val="005E7C2D"/>
    <w:rsid w:val="005E7C60"/>
    <w:rsid w:val="005E7C93"/>
    <w:rsid w:val="005E7CAF"/>
    <w:rsid w:val="005E7CD0"/>
    <w:rsid w:val="005E7D09"/>
    <w:rsid w:val="005E7D0F"/>
    <w:rsid w:val="005E7D38"/>
    <w:rsid w:val="005E7D76"/>
    <w:rsid w:val="005E7D94"/>
    <w:rsid w:val="005E7DAF"/>
    <w:rsid w:val="005E7DB2"/>
    <w:rsid w:val="005E7DC0"/>
    <w:rsid w:val="005E7DC4"/>
    <w:rsid w:val="005E7DE7"/>
    <w:rsid w:val="005E7E25"/>
    <w:rsid w:val="005E7E4B"/>
    <w:rsid w:val="005E7E4C"/>
    <w:rsid w:val="005E7ED6"/>
    <w:rsid w:val="005E7EEC"/>
    <w:rsid w:val="005E7F12"/>
    <w:rsid w:val="005E7F23"/>
    <w:rsid w:val="005E7FA8"/>
    <w:rsid w:val="005E7FEB"/>
    <w:rsid w:val="005F0025"/>
    <w:rsid w:val="005F0096"/>
    <w:rsid w:val="005F00C1"/>
    <w:rsid w:val="005F00E3"/>
    <w:rsid w:val="005F01E0"/>
    <w:rsid w:val="005F0212"/>
    <w:rsid w:val="005F021E"/>
    <w:rsid w:val="005F026B"/>
    <w:rsid w:val="005F031C"/>
    <w:rsid w:val="005F035A"/>
    <w:rsid w:val="005F0372"/>
    <w:rsid w:val="005F03C3"/>
    <w:rsid w:val="005F03C7"/>
    <w:rsid w:val="005F0411"/>
    <w:rsid w:val="005F04A4"/>
    <w:rsid w:val="005F0534"/>
    <w:rsid w:val="005F0538"/>
    <w:rsid w:val="005F05EA"/>
    <w:rsid w:val="005F0644"/>
    <w:rsid w:val="005F06A8"/>
    <w:rsid w:val="005F0718"/>
    <w:rsid w:val="005F0724"/>
    <w:rsid w:val="005F07B1"/>
    <w:rsid w:val="005F07D6"/>
    <w:rsid w:val="005F07F9"/>
    <w:rsid w:val="005F0895"/>
    <w:rsid w:val="005F08CB"/>
    <w:rsid w:val="005F08DA"/>
    <w:rsid w:val="005F0912"/>
    <w:rsid w:val="005F0974"/>
    <w:rsid w:val="005F097D"/>
    <w:rsid w:val="005F09BD"/>
    <w:rsid w:val="005F09C3"/>
    <w:rsid w:val="005F0A03"/>
    <w:rsid w:val="005F0A3A"/>
    <w:rsid w:val="005F0A4C"/>
    <w:rsid w:val="005F0A7F"/>
    <w:rsid w:val="005F0AB3"/>
    <w:rsid w:val="005F0B3B"/>
    <w:rsid w:val="005F0B46"/>
    <w:rsid w:val="005F0B6C"/>
    <w:rsid w:val="005F0D02"/>
    <w:rsid w:val="005F0D05"/>
    <w:rsid w:val="005F0E06"/>
    <w:rsid w:val="005F0E0D"/>
    <w:rsid w:val="005F0E6C"/>
    <w:rsid w:val="005F0EC1"/>
    <w:rsid w:val="005F0F03"/>
    <w:rsid w:val="005F0F8C"/>
    <w:rsid w:val="005F0F99"/>
    <w:rsid w:val="005F0FBA"/>
    <w:rsid w:val="005F0FC1"/>
    <w:rsid w:val="005F0FD6"/>
    <w:rsid w:val="005F0FF0"/>
    <w:rsid w:val="005F0FF2"/>
    <w:rsid w:val="005F0FF5"/>
    <w:rsid w:val="005F1028"/>
    <w:rsid w:val="005F1034"/>
    <w:rsid w:val="005F103A"/>
    <w:rsid w:val="005F103B"/>
    <w:rsid w:val="005F1063"/>
    <w:rsid w:val="005F111B"/>
    <w:rsid w:val="005F111C"/>
    <w:rsid w:val="005F1147"/>
    <w:rsid w:val="005F119C"/>
    <w:rsid w:val="005F1200"/>
    <w:rsid w:val="005F1213"/>
    <w:rsid w:val="005F1243"/>
    <w:rsid w:val="005F124D"/>
    <w:rsid w:val="005F1292"/>
    <w:rsid w:val="005F1293"/>
    <w:rsid w:val="005F1331"/>
    <w:rsid w:val="005F1338"/>
    <w:rsid w:val="005F1353"/>
    <w:rsid w:val="005F1397"/>
    <w:rsid w:val="005F139E"/>
    <w:rsid w:val="005F13B0"/>
    <w:rsid w:val="005F13DE"/>
    <w:rsid w:val="005F149A"/>
    <w:rsid w:val="005F14AB"/>
    <w:rsid w:val="005F14B4"/>
    <w:rsid w:val="005F14BC"/>
    <w:rsid w:val="005F14CA"/>
    <w:rsid w:val="005F1515"/>
    <w:rsid w:val="005F1574"/>
    <w:rsid w:val="005F15C6"/>
    <w:rsid w:val="005F161C"/>
    <w:rsid w:val="005F166A"/>
    <w:rsid w:val="005F1719"/>
    <w:rsid w:val="005F1748"/>
    <w:rsid w:val="005F1760"/>
    <w:rsid w:val="005F1785"/>
    <w:rsid w:val="005F1792"/>
    <w:rsid w:val="005F17D3"/>
    <w:rsid w:val="005F1837"/>
    <w:rsid w:val="005F188C"/>
    <w:rsid w:val="005F19CA"/>
    <w:rsid w:val="005F1A0C"/>
    <w:rsid w:val="005F1A4E"/>
    <w:rsid w:val="005F1A6A"/>
    <w:rsid w:val="005F1AB3"/>
    <w:rsid w:val="005F1AC5"/>
    <w:rsid w:val="005F1AC8"/>
    <w:rsid w:val="005F1B06"/>
    <w:rsid w:val="005F1B27"/>
    <w:rsid w:val="005F1B79"/>
    <w:rsid w:val="005F1B7A"/>
    <w:rsid w:val="005F1BC8"/>
    <w:rsid w:val="005F1CC0"/>
    <w:rsid w:val="005F1CE8"/>
    <w:rsid w:val="005F1CEF"/>
    <w:rsid w:val="005F1D11"/>
    <w:rsid w:val="005F1D5A"/>
    <w:rsid w:val="005F1D5F"/>
    <w:rsid w:val="005F1E03"/>
    <w:rsid w:val="005F1E10"/>
    <w:rsid w:val="005F1E32"/>
    <w:rsid w:val="005F1E6E"/>
    <w:rsid w:val="005F1E91"/>
    <w:rsid w:val="005F1F46"/>
    <w:rsid w:val="005F1F52"/>
    <w:rsid w:val="005F1F8A"/>
    <w:rsid w:val="005F1FB1"/>
    <w:rsid w:val="005F1FED"/>
    <w:rsid w:val="005F20A8"/>
    <w:rsid w:val="005F20BE"/>
    <w:rsid w:val="005F20CE"/>
    <w:rsid w:val="005F20E1"/>
    <w:rsid w:val="005F20E2"/>
    <w:rsid w:val="005F2114"/>
    <w:rsid w:val="005F212B"/>
    <w:rsid w:val="005F2138"/>
    <w:rsid w:val="005F2175"/>
    <w:rsid w:val="005F217D"/>
    <w:rsid w:val="005F21AD"/>
    <w:rsid w:val="005F21C1"/>
    <w:rsid w:val="005F21EE"/>
    <w:rsid w:val="005F2203"/>
    <w:rsid w:val="005F2207"/>
    <w:rsid w:val="005F221A"/>
    <w:rsid w:val="005F2231"/>
    <w:rsid w:val="005F2260"/>
    <w:rsid w:val="005F2313"/>
    <w:rsid w:val="005F2340"/>
    <w:rsid w:val="005F2367"/>
    <w:rsid w:val="005F236A"/>
    <w:rsid w:val="005F237A"/>
    <w:rsid w:val="005F23AB"/>
    <w:rsid w:val="005F23B6"/>
    <w:rsid w:val="005F23E9"/>
    <w:rsid w:val="005F23FD"/>
    <w:rsid w:val="005F2414"/>
    <w:rsid w:val="005F245D"/>
    <w:rsid w:val="005F25B1"/>
    <w:rsid w:val="005F25B6"/>
    <w:rsid w:val="005F25CD"/>
    <w:rsid w:val="005F25DA"/>
    <w:rsid w:val="005F25FD"/>
    <w:rsid w:val="005F266A"/>
    <w:rsid w:val="005F2686"/>
    <w:rsid w:val="005F26A0"/>
    <w:rsid w:val="005F26C2"/>
    <w:rsid w:val="005F26C9"/>
    <w:rsid w:val="005F26F2"/>
    <w:rsid w:val="005F2719"/>
    <w:rsid w:val="005F2730"/>
    <w:rsid w:val="005F2782"/>
    <w:rsid w:val="005F278C"/>
    <w:rsid w:val="005F2799"/>
    <w:rsid w:val="005F27A4"/>
    <w:rsid w:val="005F27D6"/>
    <w:rsid w:val="005F27E5"/>
    <w:rsid w:val="005F2820"/>
    <w:rsid w:val="005F2838"/>
    <w:rsid w:val="005F286B"/>
    <w:rsid w:val="005F28D4"/>
    <w:rsid w:val="005F28E7"/>
    <w:rsid w:val="005F292B"/>
    <w:rsid w:val="005F2936"/>
    <w:rsid w:val="005F29FE"/>
    <w:rsid w:val="005F2A09"/>
    <w:rsid w:val="005F2A38"/>
    <w:rsid w:val="005F2A65"/>
    <w:rsid w:val="005F2A6E"/>
    <w:rsid w:val="005F2AB7"/>
    <w:rsid w:val="005F2AB8"/>
    <w:rsid w:val="005F2AF5"/>
    <w:rsid w:val="005F2B1C"/>
    <w:rsid w:val="005F2B49"/>
    <w:rsid w:val="005F2B4A"/>
    <w:rsid w:val="005F2B62"/>
    <w:rsid w:val="005F2B87"/>
    <w:rsid w:val="005F2B8A"/>
    <w:rsid w:val="005F2BBF"/>
    <w:rsid w:val="005F2BD7"/>
    <w:rsid w:val="005F2C61"/>
    <w:rsid w:val="005F2DFC"/>
    <w:rsid w:val="005F2E9D"/>
    <w:rsid w:val="005F2EC0"/>
    <w:rsid w:val="005F2F20"/>
    <w:rsid w:val="005F2F27"/>
    <w:rsid w:val="005F2F5A"/>
    <w:rsid w:val="005F2FAB"/>
    <w:rsid w:val="005F2FD5"/>
    <w:rsid w:val="005F2FF3"/>
    <w:rsid w:val="005F301E"/>
    <w:rsid w:val="005F3038"/>
    <w:rsid w:val="005F307C"/>
    <w:rsid w:val="005F3086"/>
    <w:rsid w:val="005F3097"/>
    <w:rsid w:val="005F30C2"/>
    <w:rsid w:val="005F3101"/>
    <w:rsid w:val="005F3156"/>
    <w:rsid w:val="005F3161"/>
    <w:rsid w:val="005F317A"/>
    <w:rsid w:val="005F31B5"/>
    <w:rsid w:val="005F31BB"/>
    <w:rsid w:val="005F31CE"/>
    <w:rsid w:val="005F3200"/>
    <w:rsid w:val="005F323C"/>
    <w:rsid w:val="005F323E"/>
    <w:rsid w:val="005F329A"/>
    <w:rsid w:val="005F32FA"/>
    <w:rsid w:val="005F3398"/>
    <w:rsid w:val="005F34D0"/>
    <w:rsid w:val="005F34E8"/>
    <w:rsid w:val="005F3527"/>
    <w:rsid w:val="005F356C"/>
    <w:rsid w:val="005F3598"/>
    <w:rsid w:val="005F35BA"/>
    <w:rsid w:val="005F3600"/>
    <w:rsid w:val="005F3618"/>
    <w:rsid w:val="005F364B"/>
    <w:rsid w:val="005F3689"/>
    <w:rsid w:val="005F36D1"/>
    <w:rsid w:val="005F3707"/>
    <w:rsid w:val="005F3722"/>
    <w:rsid w:val="005F37CC"/>
    <w:rsid w:val="005F3826"/>
    <w:rsid w:val="005F383E"/>
    <w:rsid w:val="005F3861"/>
    <w:rsid w:val="005F3892"/>
    <w:rsid w:val="005F38CB"/>
    <w:rsid w:val="005F38E4"/>
    <w:rsid w:val="005F3918"/>
    <w:rsid w:val="005F3931"/>
    <w:rsid w:val="005F3939"/>
    <w:rsid w:val="005F3953"/>
    <w:rsid w:val="005F39A8"/>
    <w:rsid w:val="005F39E4"/>
    <w:rsid w:val="005F3A0A"/>
    <w:rsid w:val="005F3A90"/>
    <w:rsid w:val="005F3A94"/>
    <w:rsid w:val="005F3AA0"/>
    <w:rsid w:val="005F3AFC"/>
    <w:rsid w:val="005F3B16"/>
    <w:rsid w:val="005F3B79"/>
    <w:rsid w:val="005F3BA7"/>
    <w:rsid w:val="005F3BEC"/>
    <w:rsid w:val="005F3C02"/>
    <w:rsid w:val="005F3C15"/>
    <w:rsid w:val="005F3C88"/>
    <w:rsid w:val="005F3CFE"/>
    <w:rsid w:val="005F3D0A"/>
    <w:rsid w:val="005F3D64"/>
    <w:rsid w:val="005F3DA4"/>
    <w:rsid w:val="005F3DB4"/>
    <w:rsid w:val="005F3E15"/>
    <w:rsid w:val="005F3E24"/>
    <w:rsid w:val="005F3E31"/>
    <w:rsid w:val="005F3E37"/>
    <w:rsid w:val="005F3E38"/>
    <w:rsid w:val="005F3EC2"/>
    <w:rsid w:val="005F3ED2"/>
    <w:rsid w:val="005F3ED8"/>
    <w:rsid w:val="005F3EDB"/>
    <w:rsid w:val="005F3F6D"/>
    <w:rsid w:val="005F3FAF"/>
    <w:rsid w:val="005F3FB0"/>
    <w:rsid w:val="005F3FCA"/>
    <w:rsid w:val="005F401A"/>
    <w:rsid w:val="005F401D"/>
    <w:rsid w:val="005F402B"/>
    <w:rsid w:val="005F4069"/>
    <w:rsid w:val="005F407A"/>
    <w:rsid w:val="005F409E"/>
    <w:rsid w:val="005F410E"/>
    <w:rsid w:val="005F416F"/>
    <w:rsid w:val="005F41B8"/>
    <w:rsid w:val="005F41C4"/>
    <w:rsid w:val="005F41ED"/>
    <w:rsid w:val="005F4215"/>
    <w:rsid w:val="005F422B"/>
    <w:rsid w:val="005F42B4"/>
    <w:rsid w:val="005F42C1"/>
    <w:rsid w:val="005F4322"/>
    <w:rsid w:val="005F4334"/>
    <w:rsid w:val="005F433B"/>
    <w:rsid w:val="005F4363"/>
    <w:rsid w:val="005F436D"/>
    <w:rsid w:val="005F43C6"/>
    <w:rsid w:val="005F43DA"/>
    <w:rsid w:val="005F43F5"/>
    <w:rsid w:val="005F440B"/>
    <w:rsid w:val="005F4416"/>
    <w:rsid w:val="005F441A"/>
    <w:rsid w:val="005F442D"/>
    <w:rsid w:val="005F4446"/>
    <w:rsid w:val="005F4453"/>
    <w:rsid w:val="005F4499"/>
    <w:rsid w:val="005F44AA"/>
    <w:rsid w:val="005F44B2"/>
    <w:rsid w:val="005F44E2"/>
    <w:rsid w:val="005F44E6"/>
    <w:rsid w:val="005F450C"/>
    <w:rsid w:val="005F4617"/>
    <w:rsid w:val="005F4689"/>
    <w:rsid w:val="005F469E"/>
    <w:rsid w:val="005F46C6"/>
    <w:rsid w:val="005F46C9"/>
    <w:rsid w:val="005F473B"/>
    <w:rsid w:val="005F474C"/>
    <w:rsid w:val="005F476F"/>
    <w:rsid w:val="005F478D"/>
    <w:rsid w:val="005F4796"/>
    <w:rsid w:val="005F47B4"/>
    <w:rsid w:val="005F4850"/>
    <w:rsid w:val="005F488C"/>
    <w:rsid w:val="005F48A2"/>
    <w:rsid w:val="005F48C1"/>
    <w:rsid w:val="005F494D"/>
    <w:rsid w:val="005F494E"/>
    <w:rsid w:val="005F4950"/>
    <w:rsid w:val="005F49FA"/>
    <w:rsid w:val="005F4A06"/>
    <w:rsid w:val="005F4A6A"/>
    <w:rsid w:val="005F4A99"/>
    <w:rsid w:val="005F4A9F"/>
    <w:rsid w:val="005F4AF6"/>
    <w:rsid w:val="005F4BB9"/>
    <w:rsid w:val="005F4BCE"/>
    <w:rsid w:val="005F4BDA"/>
    <w:rsid w:val="005F4BFD"/>
    <w:rsid w:val="005F4C11"/>
    <w:rsid w:val="005F4C50"/>
    <w:rsid w:val="005F4C67"/>
    <w:rsid w:val="005F4D1A"/>
    <w:rsid w:val="005F4D84"/>
    <w:rsid w:val="005F4DA4"/>
    <w:rsid w:val="005F4DB2"/>
    <w:rsid w:val="005F4DBD"/>
    <w:rsid w:val="005F4DD2"/>
    <w:rsid w:val="005F4DE5"/>
    <w:rsid w:val="005F4E19"/>
    <w:rsid w:val="005F4E2D"/>
    <w:rsid w:val="005F4E4B"/>
    <w:rsid w:val="005F4E7B"/>
    <w:rsid w:val="005F4E9F"/>
    <w:rsid w:val="005F4EDB"/>
    <w:rsid w:val="005F4F01"/>
    <w:rsid w:val="005F4F08"/>
    <w:rsid w:val="005F4F57"/>
    <w:rsid w:val="005F4F94"/>
    <w:rsid w:val="005F4FA5"/>
    <w:rsid w:val="005F4FB2"/>
    <w:rsid w:val="005F4FEF"/>
    <w:rsid w:val="005F5014"/>
    <w:rsid w:val="005F505D"/>
    <w:rsid w:val="005F509A"/>
    <w:rsid w:val="005F50E1"/>
    <w:rsid w:val="005F50EA"/>
    <w:rsid w:val="005F50F7"/>
    <w:rsid w:val="005F5105"/>
    <w:rsid w:val="005F5109"/>
    <w:rsid w:val="005F5113"/>
    <w:rsid w:val="005F516A"/>
    <w:rsid w:val="005F51C4"/>
    <w:rsid w:val="005F51E7"/>
    <w:rsid w:val="005F52CB"/>
    <w:rsid w:val="005F537B"/>
    <w:rsid w:val="005F53C0"/>
    <w:rsid w:val="005F53E2"/>
    <w:rsid w:val="005F53FD"/>
    <w:rsid w:val="005F5409"/>
    <w:rsid w:val="005F540F"/>
    <w:rsid w:val="005F5456"/>
    <w:rsid w:val="005F5471"/>
    <w:rsid w:val="005F5479"/>
    <w:rsid w:val="005F5563"/>
    <w:rsid w:val="005F557F"/>
    <w:rsid w:val="005F55D6"/>
    <w:rsid w:val="005F5612"/>
    <w:rsid w:val="005F561D"/>
    <w:rsid w:val="005F5689"/>
    <w:rsid w:val="005F56B3"/>
    <w:rsid w:val="005F5754"/>
    <w:rsid w:val="005F57E0"/>
    <w:rsid w:val="005F5829"/>
    <w:rsid w:val="005F583A"/>
    <w:rsid w:val="005F589B"/>
    <w:rsid w:val="005F58A4"/>
    <w:rsid w:val="005F594E"/>
    <w:rsid w:val="005F5953"/>
    <w:rsid w:val="005F59AE"/>
    <w:rsid w:val="005F5A66"/>
    <w:rsid w:val="005F5A73"/>
    <w:rsid w:val="005F5A98"/>
    <w:rsid w:val="005F5AA2"/>
    <w:rsid w:val="005F5AB2"/>
    <w:rsid w:val="005F5B8E"/>
    <w:rsid w:val="005F5BDC"/>
    <w:rsid w:val="005F5C0E"/>
    <w:rsid w:val="005F5C25"/>
    <w:rsid w:val="005F5C35"/>
    <w:rsid w:val="005F5CB9"/>
    <w:rsid w:val="005F5CCF"/>
    <w:rsid w:val="005F5CD7"/>
    <w:rsid w:val="005F5CE3"/>
    <w:rsid w:val="005F5D23"/>
    <w:rsid w:val="005F5D30"/>
    <w:rsid w:val="005F5D53"/>
    <w:rsid w:val="005F5D96"/>
    <w:rsid w:val="005F5E6C"/>
    <w:rsid w:val="005F5E99"/>
    <w:rsid w:val="005F5EE8"/>
    <w:rsid w:val="005F5F4D"/>
    <w:rsid w:val="005F5F88"/>
    <w:rsid w:val="005F5F97"/>
    <w:rsid w:val="005F5FBB"/>
    <w:rsid w:val="005F5FFE"/>
    <w:rsid w:val="005F6094"/>
    <w:rsid w:val="005F60C6"/>
    <w:rsid w:val="005F60EB"/>
    <w:rsid w:val="005F6147"/>
    <w:rsid w:val="005F61DB"/>
    <w:rsid w:val="005F61E7"/>
    <w:rsid w:val="005F61EC"/>
    <w:rsid w:val="005F6211"/>
    <w:rsid w:val="005F6249"/>
    <w:rsid w:val="005F624C"/>
    <w:rsid w:val="005F6262"/>
    <w:rsid w:val="005F62FD"/>
    <w:rsid w:val="005F6344"/>
    <w:rsid w:val="005F637A"/>
    <w:rsid w:val="005F638F"/>
    <w:rsid w:val="005F63D4"/>
    <w:rsid w:val="005F6476"/>
    <w:rsid w:val="005F648B"/>
    <w:rsid w:val="005F6510"/>
    <w:rsid w:val="005F651A"/>
    <w:rsid w:val="005F6521"/>
    <w:rsid w:val="005F6568"/>
    <w:rsid w:val="005F6616"/>
    <w:rsid w:val="005F662B"/>
    <w:rsid w:val="005F669F"/>
    <w:rsid w:val="005F66CB"/>
    <w:rsid w:val="005F66D8"/>
    <w:rsid w:val="005F672B"/>
    <w:rsid w:val="005F6730"/>
    <w:rsid w:val="005F6762"/>
    <w:rsid w:val="005F677D"/>
    <w:rsid w:val="005F6787"/>
    <w:rsid w:val="005F67A2"/>
    <w:rsid w:val="005F67AC"/>
    <w:rsid w:val="005F67C7"/>
    <w:rsid w:val="005F680B"/>
    <w:rsid w:val="005F6825"/>
    <w:rsid w:val="005F6841"/>
    <w:rsid w:val="005F6859"/>
    <w:rsid w:val="005F6883"/>
    <w:rsid w:val="005F68C1"/>
    <w:rsid w:val="005F68CC"/>
    <w:rsid w:val="005F68FE"/>
    <w:rsid w:val="005F690D"/>
    <w:rsid w:val="005F69DF"/>
    <w:rsid w:val="005F6A9D"/>
    <w:rsid w:val="005F6AB3"/>
    <w:rsid w:val="005F6ACF"/>
    <w:rsid w:val="005F6AEF"/>
    <w:rsid w:val="005F6B13"/>
    <w:rsid w:val="005F6B24"/>
    <w:rsid w:val="005F6B7E"/>
    <w:rsid w:val="005F6BCB"/>
    <w:rsid w:val="005F6BF0"/>
    <w:rsid w:val="005F6C65"/>
    <w:rsid w:val="005F6C96"/>
    <w:rsid w:val="005F6CD8"/>
    <w:rsid w:val="005F6D28"/>
    <w:rsid w:val="005F6D51"/>
    <w:rsid w:val="005F6D70"/>
    <w:rsid w:val="005F6D97"/>
    <w:rsid w:val="005F6DAA"/>
    <w:rsid w:val="005F6E4C"/>
    <w:rsid w:val="005F6E6E"/>
    <w:rsid w:val="005F6E74"/>
    <w:rsid w:val="005F6E86"/>
    <w:rsid w:val="005F6EA0"/>
    <w:rsid w:val="005F6EA8"/>
    <w:rsid w:val="005F6ECD"/>
    <w:rsid w:val="005F6EEF"/>
    <w:rsid w:val="005F6F2B"/>
    <w:rsid w:val="005F6F8B"/>
    <w:rsid w:val="005F6F9B"/>
    <w:rsid w:val="005F7013"/>
    <w:rsid w:val="005F701F"/>
    <w:rsid w:val="005F702E"/>
    <w:rsid w:val="005F7046"/>
    <w:rsid w:val="005F709D"/>
    <w:rsid w:val="005F70C6"/>
    <w:rsid w:val="005F70D2"/>
    <w:rsid w:val="005F7158"/>
    <w:rsid w:val="005F718D"/>
    <w:rsid w:val="005F71BC"/>
    <w:rsid w:val="005F71FF"/>
    <w:rsid w:val="005F723C"/>
    <w:rsid w:val="005F7268"/>
    <w:rsid w:val="005F7283"/>
    <w:rsid w:val="005F72F6"/>
    <w:rsid w:val="005F732F"/>
    <w:rsid w:val="005F7344"/>
    <w:rsid w:val="005F7395"/>
    <w:rsid w:val="005F7419"/>
    <w:rsid w:val="005F746F"/>
    <w:rsid w:val="005F7495"/>
    <w:rsid w:val="005F74C1"/>
    <w:rsid w:val="005F7513"/>
    <w:rsid w:val="005F7533"/>
    <w:rsid w:val="005F7550"/>
    <w:rsid w:val="005F757F"/>
    <w:rsid w:val="005F7594"/>
    <w:rsid w:val="005F75AD"/>
    <w:rsid w:val="005F75CF"/>
    <w:rsid w:val="005F7601"/>
    <w:rsid w:val="005F7620"/>
    <w:rsid w:val="005F7623"/>
    <w:rsid w:val="005F7642"/>
    <w:rsid w:val="005F7667"/>
    <w:rsid w:val="005F7675"/>
    <w:rsid w:val="005F769F"/>
    <w:rsid w:val="005F76E5"/>
    <w:rsid w:val="005F76F6"/>
    <w:rsid w:val="005F7732"/>
    <w:rsid w:val="005F7753"/>
    <w:rsid w:val="005F778A"/>
    <w:rsid w:val="005F7835"/>
    <w:rsid w:val="005F7839"/>
    <w:rsid w:val="005F7885"/>
    <w:rsid w:val="005F78F4"/>
    <w:rsid w:val="005F7905"/>
    <w:rsid w:val="005F791B"/>
    <w:rsid w:val="005F7925"/>
    <w:rsid w:val="005F793E"/>
    <w:rsid w:val="005F7987"/>
    <w:rsid w:val="005F79D2"/>
    <w:rsid w:val="005F79D4"/>
    <w:rsid w:val="005F7A3E"/>
    <w:rsid w:val="005F7A68"/>
    <w:rsid w:val="005F7A8C"/>
    <w:rsid w:val="005F7A9F"/>
    <w:rsid w:val="005F7AA3"/>
    <w:rsid w:val="005F7B3C"/>
    <w:rsid w:val="005F7B44"/>
    <w:rsid w:val="005F7B8C"/>
    <w:rsid w:val="005F7BED"/>
    <w:rsid w:val="005F7C7D"/>
    <w:rsid w:val="005F7C85"/>
    <w:rsid w:val="005F7C87"/>
    <w:rsid w:val="005F7C94"/>
    <w:rsid w:val="005F7CA4"/>
    <w:rsid w:val="005F7D1B"/>
    <w:rsid w:val="005F7D32"/>
    <w:rsid w:val="005F7DD8"/>
    <w:rsid w:val="005F7E15"/>
    <w:rsid w:val="005F7E4B"/>
    <w:rsid w:val="005F7E66"/>
    <w:rsid w:val="005F7EA0"/>
    <w:rsid w:val="005F7EBF"/>
    <w:rsid w:val="005F7EEF"/>
    <w:rsid w:val="005F7EF8"/>
    <w:rsid w:val="005F7F14"/>
    <w:rsid w:val="005F7F2D"/>
    <w:rsid w:val="005F7F4B"/>
    <w:rsid w:val="005F7F99"/>
    <w:rsid w:val="00600074"/>
    <w:rsid w:val="00600086"/>
    <w:rsid w:val="0060009F"/>
    <w:rsid w:val="0060010C"/>
    <w:rsid w:val="00600159"/>
    <w:rsid w:val="0060016C"/>
    <w:rsid w:val="00600176"/>
    <w:rsid w:val="0060018A"/>
    <w:rsid w:val="006001A4"/>
    <w:rsid w:val="006001AD"/>
    <w:rsid w:val="006001AE"/>
    <w:rsid w:val="006001EF"/>
    <w:rsid w:val="00600246"/>
    <w:rsid w:val="00600282"/>
    <w:rsid w:val="00600284"/>
    <w:rsid w:val="006002B0"/>
    <w:rsid w:val="006002B8"/>
    <w:rsid w:val="006002C1"/>
    <w:rsid w:val="006002D2"/>
    <w:rsid w:val="006002FC"/>
    <w:rsid w:val="00600304"/>
    <w:rsid w:val="00600333"/>
    <w:rsid w:val="00600344"/>
    <w:rsid w:val="00600358"/>
    <w:rsid w:val="00600371"/>
    <w:rsid w:val="0060037F"/>
    <w:rsid w:val="006003B1"/>
    <w:rsid w:val="006003FD"/>
    <w:rsid w:val="00600482"/>
    <w:rsid w:val="006004B3"/>
    <w:rsid w:val="006004C8"/>
    <w:rsid w:val="006004E6"/>
    <w:rsid w:val="006004E9"/>
    <w:rsid w:val="0060050A"/>
    <w:rsid w:val="00600510"/>
    <w:rsid w:val="0060051E"/>
    <w:rsid w:val="00600526"/>
    <w:rsid w:val="0060057E"/>
    <w:rsid w:val="006005C9"/>
    <w:rsid w:val="006005D5"/>
    <w:rsid w:val="0060060C"/>
    <w:rsid w:val="00600612"/>
    <w:rsid w:val="00600625"/>
    <w:rsid w:val="00600689"/>
    <w:rsid w:val="00600695"/>
    <w:rsid w:val="006006F6"/>
    <w:rsid w:val="0060070B"/>
    <w:rsid w:val="0060072B"/>
    <w:rsid w:val="00600797"/>
    <w:rsid w:val="006007B9"/>
    <w:rsid w:val="006007D7"/>
    <w:rsid w:val="00600867"/>
    <w:rsid w:val="0060086E"/>
    <w:rsid w:val="006008B6"/>
    <w:rsid w:val="00600991"/>
    <w:rsid w:val="006009BE"/>
    <w:rsid w:val="006009C3"/>
    <w:rsid w:val="006009EB"/>
    <w:rsid w:val="00600A07"/>
    <w:rsid w:val="00600A9F"/>
    <w:rsid w:val="00600B0F"/>
    <w:rsid w:val="00600B12"/>
    <w:rsid w:val="00600B15"/>
    <w:rsid w:val="00600B22"/>
    <w:rsid w:val="00600B41"/>
    <w:rsid w:val="00600BC2"/>
    <w:rsid w:val="00600BC6"/>
    <w:rsid w:val="00600BE5"/>
    <w:rsid w:val="00600C2F"/>
    <w:rsid w:val="00600C49"/>
    <w:rsid w:val="00600CE2"/>
    <w:rsid w:val="00600CE3"/>
    <w:rsid w:val="00600D26"/>
    <w:rsid w:val="00600D34"/>
    <w:rsid w:val="00600D5D"/>
    <w:rsid w:val="00600D6F"/>
    <w:rsid w:val="00600D97"/>
    <w:rsid w:val="00600DDB"/>
    <w:rsid w:val="00600E54"/>
    <w:rsid w:val="00600E7C"/>
    <w:rsid w:val="00600E80"/>
    <w:rsid w:val="00600E98"/>
    <w:rsid w:val="00600EF9"/>
    <w:rsid w:val="00600F40"/>
    <w:rsid w:val="00600FCF"/>
    <w:rsid w:val="00600FF7"/>
    <w:rsid w:val="00600FFD"/>
    <w:rsid w:val="00601024"/>
    <w:rsid w:val="00601029"/>
    <w:rsid w:val="00601097"/>
    <w:rsid w:val="006010D2"/>
    <w:rsid w:val="00601112"/>
    <w:rsid w:val="00601117"/>
    <w:rsid w:val="00601136"/>
    <w:rsid w:val="00601182"/>
    <w:rsid w:val="006011A0"/>
    <w:rsid w:val="006011AA"/>
    <w:rsid w:val="006011CD"/>
    <w:rsid w:val="006011CF"/>
    <w:rsid w:val="006011E2"/>
    <w:rsid w:val="00601200"/>
    <w:rsid w:val="00601208"/>
    <w:rsid w:val="0060123C"/>
    <w:rsid w:val="006012C9"/>
    <w:rsid w:val="006012EE"/>
    <w:rsid w:val="006012F0"/>
    <w:rsid w:val="00601310"/>
    <w:rsid w:val="00601319"/>
    <w:rsid w:val="00601334"/>
    <w:rsid w:val="0060134B"/>
    <w:rsid w:val="006013A9"/>
    <w:rsid w:val="00601410"/>
    <w:rsid w:val="0060142E"/>
    <w:rsid w:val="0060148C"/>
    <w:rsid w:val="00601498"/>
    <w:rsid w:val="006014A0"/>
    <w:rsid w:val="006014EE"/>
    <w:rsid w:val="00601505"/>
    <w:rsid w:val="0060154D"/>
    <w:rsid w:val="006015CF"/>
    <w:rsid w:val="00601650"/>
    <w:rsid w:val="00601657"/>
    <w:rsid w:val="0060166A"/>
    <w:rsid w:val="00601679"/>
    <w:rsid w:val="006016E1"/>
    <w:rsid w:val="006016F6"/>
    <w:rsid w:val="00601707"/>
    <w:rsid w:val="0060173B"/>
    <w:rsid w:val="00601745"/>
    <w:rsid w:val="0060175C"/>
    <w:rsid w:val="0060176C"/>
    <w:rsid w:val="0060176E"/>
    <w:rsid w:val="00601799"/>
    <w:rsid w:val="0060182D"/>
    <w:rsid w:val="00601835"/>
    <w:rsid w:val="0060183B"/>
    <w:rsid w:val="0060184C"/>
    <w:rsid w:val="0060185D"/>
    <w:rsid w:val="00601864"/>
    <w:rsid w:val="006018AA"/>
    <w:rsid w:val="00601903"/>
    <w:rsid w:val="0060194B"/>
    <w:rsid w:val="00601992"/>
    <w:rsid w:val="006019B5"/>
    <w:rsid w:val="00601A29"/>
    <w:rsid w:val="00601A2B"/>
    <w:rsid w:val="00601A52"/>
    <w:rsid w:val="00601AAF"/>
    <w:rsid w:val="00601AD4"/>
    <w:rsid w:val="00601B79"/>
    <w:rsid w:val="00601B80"/>
    <w:rsid w:val="00601B99"/>
    <w:rsid w:val="00601BA0"/>
    <w:rsid w:val="00601C26"/>
    <w:rsid w:val="00601C50"/>
    <w:rsid w:val="00601C57"/>
    <w:rsid w:val="00601CAB"/>
    <w:rsid w:val="00601D15"/>
    <w:rsid w:val="00601D3B"/>
    <w:rsid w:val="00601D7B"/>
    <w:rsid w:val="00601E15"/>
    <w:rsid w:val="00601E48"/>
    <w:rsid w:val="00601F1C"/>
    <w:rsid w:val="00601FAB"/>
    <w:rsid w:val="00601FC3"/>
    <w:rsid w:val="00601FCE"/>
    <w:rsid w:val="00601FFF"/>
    <w:rsid w:val="00602003"/>
    <w:rsid w:val="00602035"/>
    <w:rsid w:val="0060209F"/>
    <w:rsid w:val="006020B3"/>
    <w:rsid w:val="006020BF"/>
    <w:rsid w:val="00602130"/>
    <w:rsid w:val="00602269"/>
    <w:rsid w:val="0060226C"/>
    <w:rsid w:val="006022A0"/>
    <w:rsid w:val="006022AA"/>
    <w:rsid w:val="00602305"/>
    <w:rsid w:val="00602373"/>
    <w:rsid w:val="006023D7"/>
    <w:rsid w:val="006024B2"/>
    <w:rsid w:val="00602510"/>
    <w:rsid w:val="0060251C"/>
    <w:rsid w:val="006025BD"/>
    <w:rsid w:val="006025E8"/>
    <w:rsid w:val="0060260F"/>
    <w:rsid w:val="0060262D"/>
    <w:rsid w:val="0060262E"/>
    <w:rsid w:val="0060264B"/>
    <w:rsid w:val="006026C8"/>
    <w:rsid w:val="00602714"/>
    <w:rsid w:val="006027D4"/>
    <w:rsid w:val="006027DE"/>
    <w:rsid w:val="00602805"/>
    <w:rsid w:val="00602809"/>
    <w:rsid w:val="00602811"/>
    <w:rsid w:val="00602882"/>
    <w:rsid w:val="00602897"/>
    <w:rsid w:val="00602945"/>
    <w:rsid w:val="00602983"/>
    <w:rsid w:val="00602A33"/>
    <w:rsid w:val="00602BEB"/>
    <w:rsid w:val="00602C12"/>
    <w:rsid w:val="00602C13"/>
    <w:rsid w:val="00602C5A"/>
    <w:rsid w:val="00602C8B"/>
    <w:rsid w:val="00602CE7"/>
    <w:rsid w:val="00602DE3"/>
    <w:rsid w:val="00602DE5"/>
    <w:rsid w:val="00602DE8"/>
    <w:rsid w:val="00602DEF"/>
    <w:rsid w:val="00602E07"/>
    <w:rsid w:val="00602E08"/>
    <w:rsid w:val="00602E33"/>
    <w:rsid w:val="00602EFF"/>
    <w:rsid w:val="00602F57"/>
    <w:rsid w:val="00603051"/>
    <w:rsid w:val="00603062"/>
    <w:rsid w:val="0060310C"/>
    <w:rsid w:val="00603124"/>
    <w:rsid w:val="0060312D"/>
    <w:rsid w:val="0060318C"/>
    <w:rsid w:val="00603190"/>
    <w:rsid w:val="006031F7"/>
    <w:rsid w:val="0060321D"/>
    <w:rsid w:val="00603222"/>
    <w:rsid w:val="00603272"/>
    <w:rsid w:val="0060336F"/>
    <w:rsid w:val="006033BB"/>
    <w:rsid w:val="006033E3"/>
    <w:rsid w:val="006033F0"/>
    <w:rsid w:val="006033F9"/>
    <w:rsid w:val="00603426"/>
    <w:rsid w:val="0060343E"/>
    <w:rsid w:val="00603468"/>
    <w:rsid w:val="00603489"/>
    <w:rsid w:val="006034A4"/>
    <w:rsid w:val="006034A8"/>
    <w:rsid w:val="006034B8"/>
    <w:rsid w:val="006034CB"/>
    <w:rsid w:val="006034F4"/>
    <w:rsid w:val="00603504"/>
    <w:rsid w:val="00603545"/>
    <w:rsid w:val="0060357E"/>
    <w:rsid w:val="00603588"/>
    <w:rsid w:val="006035B5"/>
    <w:rsid w:val="006035BA"/>
    <w:rsid w:val="00603648"/>
    <w:rsid w:val="00603682"/>
    <w:rsid w:val="0060368B"/>
    <w:rsid w:val="006036B4"/>
    <w:rsid w:val="00603706"/>
    <w:rsid w:val="00603716"/>
    <w:rsid w:val="00603738"/>
    <w:rsid w:val="006037DF"/>
    <w:rsid w:val="00603810"/>
    <w:rsid w:val="0060381D"/>
    <w:rsid w:val="00603923"/>
    <w:rsid w:val="00603927"/>
    <w:rsid w:val="0060394C"/>
    <w:rsid w:val="00603A06"/>
    <w:rsid w:val="00603A07"/>
    <w:rsid w:val="00603A27"/>
    <w:rsid w:val="00603A2C"/>
    <w:rsid w:val="00603A41"/>
    <w:rsid w:val="00603ABA"/>
    <w:rsid w:val="00603ACC"/>
    <w:rsid w:val="00603AFC"/>
    <w:rsid w:val="00603B4B"/>
    <w:rsid w:val="00603B5A"/>
    <w:rsid w:val="00603B73"/>
    <w:rsid w:val="00603BEF"/>
    <w:rsid w:val="00603C13"/>
    <w:rsid w:val="00603C19"/>
    <w:rsid w:val="00603C67"/>
    <w:rsid w:val="00603C8B"/>
    <w:rsid w:val="00603C8E"/>
    <w:rsid w:val="00603CB1"/>
    <w:rsid w:val="00603D4A"/>
    <w:rsid w:val="00603D76"/>
    <w:rsid w:val="00603D8F"/>
    <w:rsid w:val="00603DA5"/>
    <w:rsid w:val="00603DA6"/>
    <w:rsid w:val="00603DA8"/>
    <w:rsid w:val="00603DC3"/>
    <w:rsid w:val="00603E01"/>
    <w:rsid w:val="00603E47"/>
    <w:rsid w:val="00603EB2"/>
    <w:rsid w:val="00603ECA"/>
    <w:rsid w:val="00603FDE"/>
    <w:rsid w:val="00603FF2"/>
    <w:rsid w:val="0060400A"/>
    <w:rsid w:val="0060401B"/>
    <w:rsid w:val="0060401D"/>
    <w:rsid w:val="0060402A"/>
    <w:rsid w:val="0060404E"/>
    <w:rsid w:val="00604118"/>
    <w:rsid w:val="0060413A"/>
    <w:rsid w:val="006041B4"/>
    <w:rsid w:val="006041C0"/>
    <w:rsid w:val="006041DA"/>
    <w:rsid w:val="006041FF"/>
    <w:rsid w:val="00604248"/>
    <w:rsid w:val="00604269"/>
    <w:rsid w:val="006042AA"/>
    <w:rsid w:val="006042E4"/>
    <w:rsid w:val="006042FE"/>
    <w:rsid w:val="00604344"/>
    <w:rsid w:val="006043AB"/>
    <w:rsid w:val="006043C6"/>
    <w:rsid w:val="006043E7"/>
    <w:rsid w:val="00604401"/>
    <w:rsid w:val="00604414"/>
    <w:rsid w:val="00604577"/>
    <w:rsid w:val="006045E0"/>
    <w:rsid w:val="006045FD"/>
    <w:rsid w:val="0060466E"/>
    <w:rsid w:val="00604678"/>
    <w:rsid w:val="006046B2"/>
    <w:rsid w:val="0060472F"/>
    <w:rsid w:val="00604751"/>
    <w:rsid w:val="00604796"/>
    <w:rsid w:val="006047E3"/>
    <w:rsid w:val="00604869"/>
    <w:rsid w:val="006048B9"/>
    <w:rsid w:val="00604929"/>
    <w:rsid w:val="00604945"/>
    <w:rsid w:val="0060499E"/>
    <w:rsid w:val="006049C8"/>
    <w:rsid w:val="006049FC"/>
    <w:rsid w:val="00604A6A"/>
    <w:rsid w:val="00604A9F"/>
    <w:rsid w:val="00604AA7"/>
    <w:rsid w:val="00604ABD"/>
    <w:rsid w:val="00604AC3"/>
    <w:rsid w:val="00604ACA"/>
    <w:rsid w:val="00604ADC"/>
    <w:rsid w:val="00604BAD"/>
    <w:rsid w:val="00604BF6"/>
    <w:rsid w:val="00604C38"/>
    <w:rsid w:val="00604C51"/>
    <w:rsid w:val="00604C69"/>
    <w:rsid w:val="00604C6F"/>
    <w:rsid w:val="00604C70"/>
    <w:rsid w:val="00604C87"/>
    <w:rsid w:val="00604CCC"/>
    <w:rsid w:val="00604D19"/>
    <w:rsid w:val="00604D2D"/>
    <w:rsid w:val="00604D4B"/>
    <w:rsid w:val="00604D59"/>
    <w:rsid w:val="00604D84"/>
    <w:rsid w:val="00604D8F"/>
    <w:rsid w:val="00604E9B"/>
    <w:rsid w:val="00604EEF"/>
    <w:rsid w:val="00604F03"/>
    <w:rsid w:val="00604F6A"/>
    <w:rsid w:val="00604FAD"/>
    <w:rsid w:val="00604FB7"/>
    <w:rsid w:val="00604FF4"/>
    <w:rsid w:val="00604FFB"/>
    <w:rsid w:val="0060502A"/>
    <w:rsid w:val="0060506E"/>
    <w:rsid w:val="00605104"/>
    <w:rsid w:val="00605143"/>
    <w:rsid w:val="006051CB"/>
    <w:rsid w:val="006051F5"/>
    <w:rsid w:val="006051F6"/>
    <w:rsid w:val="006051FC"/>
    <w:rsid w:val="00605264"/>
    <w:rsid w:val="006052DE"/>
    <w:rsid w:val="006052EE"/>
    <w:rsid w:val="00605318"/>
    <w:rsid w:val="006053A8"/>
    <w:rsid w:val="00605427"/>
    <w:rsid w:val="00605465"/>
    <w:rsid w:val="00605492"/>
    <w:rsid w:val="0060549B"/>
    <w:rsid w:val="006054AF"/>
    <w:rsid w:val="006054F4"/>
    <w:rsid w:val="00605521"/>
    <w:rsid w:val="0060558F"/>
    <w:rsid w:val="006055CF"/>
    <w:rsid w:val="00605603"/>
    <w:rsid w:val="00605618"/>
    <w:rsid w:val="0060563D"/>
    <w:rsid w:val="00605675"/>
    <w:rsid w:val="006056F6"/>
    <w:rsid w:val="00605757"/>
    <w:rsid w:val="006057B0"/>
    <w:rsid w:val="006057D8"/>
    <w:rsid w:val="006057E9"/>
    <w:rsid w:val="006057F7"/>
    <w:rsid w:val="00605801"/>
    <w:rsid w:val="00605862"/>
    <w:rsid w:val="00605872"/>
    <w:rsid w:val="0060588F"/>
    <w:rsid w:val="00605894"/>
    <w:rsid w:val="006058BF"/>
    <w:rsid w:val="006058C2"/>
    <w:rsid w:val="006058DD"/>
    <w:rsid w:val="006058EE"/>
    <w:rsid w:val="00605904"/>
    <w:rsid w:val="0060592D"/>
    <w:rsid w:val="00605957"/>
    <w:rsid w:val="0060596A"/>
    <w:rsid w:val="006059CA"/>
    <w:rsid w:val="006059E7"/>
    <w:rsid w:val="00605A40"/>
    <w:rsid w:val="00605A55"/>
    <w:rsid w:val="00605AE9"/>
    <w:rsid w:val="00605AF5"/>
    <w:rsid w:val="00605AFD"/>
    <w:rsid w:val="00605B77"/>
    <w:rsid w:val="00605B8E"/>
    <w:rsid w:val="00605C1D"/>
    <w:rsid w:val="00605CC7"/>
    <w:rsid w:val="00605D48"/>
    <w:rsid w:val="00605D5C"/>
    <w:rsid w:val="00605D7C"/>
    <w:rsid w:val="00605D88"/>
    <w:rsid w:val="00605E6D"/>
    <w:rsid w:val="00605EC4"/>
    <w:rsid w:val="00605EDF"/>
    <w:rsid w:val="00605EE3"/>
    <w:rsid w:val="00605EE7"/>
    <w:rsid w:val="00605EFF"/>
    <w:rsid w:val="00605F10"/>
    <w:rsid w:val="00605F27"/>
    <w:rsid w:val="00605FA8"/>
    <w:rsid w:val="00605FF3"/>
    <w:rsid w:val="0060602F"/>
    <w:rsid w:val="00606091"/>
    <w:rsid w:val="0060609F"/>
    <w:rsid w:val="006060A4"/>
    <w:rsid w:val="006060BA"/>
    <w:rsid w:val="006060DF"/>
    <w:rsid w:val="0060612D"/>
    <w:rsid w:val="0060612E"/>
    <w:rsid w:val="006061B3"/>
    <w:rsid w:val="006061C1"/>
    <w:rsid w:val="006061C5"/>
    <w:rsid w:val="0060623C"/>
    <w:rsid w:val="0060625C"/>
    <w:rsid w:val="00606277"/>
    <w:rsid w:val="006062B9"/>
    <w:rsid w:val="006062C2"/>
    <w:rsid w:val="006062F9"/>
    <w:rsid w:val="00606314"/>
    <w:rsid w:val="0060635C"/>
    <w:rsid w:val="006063DF"/>
    <w:rsid w:val="006063F8"/>
    <w:rsid w:val="00606400"/>
    <w:rsid w:val="00606410"/>
    <w:rsid w:val="00606433"/>
    <w:rsid w:val="0060646A"/>
    <w:rsid w:val="0060648F"/>
    <w:rsid w:val="006064D3"/>
    <w:rsid w:val="00606503"/>
    <w:rsid w:val="00606593"/>
    <w:rsid w:val="0060659E"/>
    <w:rsid w:val="006065E5"/>
    <w:rsid w:val="00606624"/>
    <w:rsid w:val="00606684"/>
    <w:rsid w:val="00606689"/>
    <w:rsid w:val="0060680B"/>
    <w:rsid w:val="00606843"/>
    <w:rsid w:val="00606854"/>
    <w:rsid w:val="006068DC"/>
    <w:rsid w:val="006068FB"/>
    <w:rsid w:val="0060694F"/>
    <w:rsid w:val="00606955"/>
    <w:rsid w:val="0060696D"/>
    <w:rsid w:val="00606A09"/>
    <w:rsid w:val="00606A30"/>
    <w:rsid w:val="00606A80"/>
    <w:rsid w:val="00606A8C"/>
    <w:rsid w:val="00606ADA"/>
    <w:rsid w:val="00606B06"/>
    <w:rsid w:val="00606B33"/>
    <w:rsid w:val="00606B7A"/>
    <w:rsid w:val="00606B80"/>
    <w:rsid w:val="00606B94"/>
    <w:rsid w:val="00606BA5"/>
    <w:rsid w:val="00606BEA"/>
    <w:rsid w:val="00606C0A"/>
    <w:rsid w:val="00606C2F"/>
    <w:rsid w:val="00606C3C"/>
    <w:rsid w:val="00606C5C"/>
    <w:rsid w:val="00606C85"/>
    <w:rsid w:val="00606D05"/>
    <w:rsid w:val="00606D21"/>
    <w:rsid w:val="00606D32"/>
    <w:rsid w:val="00606DCD"/>
    <w:rsid w:val="00606E4D"/>
    <w:rsid w:val="00606EA9"/>
    <w:rsid w:val="00606F21"/>
    <w:rsid w:val="00606F7A"/>
    <w:rsid w:val="00606FA6"/>
    <w:rsid w:val="00606FC3"/>
    <w:rsid w:val="00606FCB"/>
    <w:rsid w:val="00606FD6"/>
    <w:rsid w:val="00606FE8"/>
    <w:rsid w:val="00606FEC"/>
    <w:rsid w:val="00607013"/>
    <w:rsid w:val="00607078"/>
    <w:rsid w:val="0060707A"/>
    <w:rsid w:val="0060709C"/>
    <w:rsid w:val="0060713D"/>
    <w:rsid w:val="006071D3"/>
    <w:rsid w:val="00607239"/>
    <w:rsid w:val="0060728C"/>
    <w:rsid w:val="006072B9"/>
    <w:rsid w:val="006072BA"/>
    <w:rsid w:val="006072CC"/>
    <w:rsid w:val="006072E3"/>
    <w:rsid w:val="0060730A"/>
    <w:rsid w:val="00607341"/>
    <w:rsid w:val="006073E2"/>
    <w:rsid w:val="006073F4"/>
    <w:rsid w:val="006073FC"/>
    <w:rsid w:val="00607407"/>
    <w:rsid w:val="00607413"/>
    <w:rsid w:val="0060741A"/>
    <w:rsid w:val="0060746D"/>
    <w:rsid w:val="0060749B"/>
    <w:rsid w:val="00607548"/>
    <w:rsid w:val="00607597"/>
    <w:rsid w:val="006075E2"/>
    <w:rsid w:val="006075F3"/>
    <w:rsid w:val="00607653"/>
    <w:rsid w:val="00607689"/>
    <w:rsid w:val="006076F3"/>
    <w:rsid w:val="0060770D"/>
    <w:rsid w:val="006077C0"/>
    <w:rsid w:val="00607837"/>
    <w:rsid w:val="00607846"/>
    <w:rsid w:val="006078E5"/>
    <w:rsid w:val="00607949"/>
    <w:rsid w:val="00607959"/>
    <w:rsid w:val="0060795F"/>
    <w:rsid w:val="00607986"/>
    <w:rsid w:val="006079B3"/>
    <w:rsid w:val="006079BB"/>
    <w:rsid w:val="006079D2"/>
    <w:rsid w:val="006079E2"/>
    <w:rsid w:val="00607A3C"/>
    <w:rsid w:val="00607A8B"/>
    <w:rsid w:val="00607AC3"/>
    <w:rsid w:val="00607AF4"/>
    <w:rsid w:val="00607B9C"/>
    <w:rsid w:val="00607BD6"/>
    <w:rsid w:val="00607C6F"/>
    <w:rsid w:val="00607C8A"/>
    <w:rsid w:val="00607CAB"/>
    <w:rsid w:val="00607CAC"/>
    <w:rsid w:val="00607D00"/>
    <w:rsid w:val="00607D60"/>
    <w:rsid w:val="00607D7A"/>
    <w:rsid w:val="00607D7F"/>
    <w:rsid w:val="00607D85"/>
    <w:rsid w:val="00607D8F"/>
    <w:rsid w:val="00607E11"/>
    <w:rsid w:val="00607F07"/>
    <w:rsid w:val="00607F43"/>
    <w:rsid w:val="00607FDE"/>
    <w:rsid w:val="00610047"/>
    <w:rsid w:val="00610071"/>
    <w:rsid w:val="00610096"/>
    <w:rsid w:val="006100A2"/>
    <w:rsid w:val="00610138"/>
    <w:rsid w:val="006101D9"/>
    <w:rsid w:val="00610238"/>
    <w:rsid w:val="00610265"/>
    <w:rsid w:val="00610291"/>
    <w:rsid w:val="006102B8"/>
    <w:rsid w:val="006102DD"/>
    <w:rsid w:val="0061031C"/>
    <w:rsid w:val="00610391"/>
    <w:rsid w:val="00610393"/>
    <w:rsid w:val="006103F8"/>
    <w:rsid w:val="0061041B"/>
    <w:rsid w:val="00610444"/>
    <w:rsid w:val="0061044F"/>
    <w:rsid w:val="0061047E"/>
    <w:rsid w:val="00610505"/>
    <w:rsid w:val="0061053A"/>
    <w:rsid w:val="0061053E"/>
    <w:rsid w:val="00610607"/>
    <w:rsid w:val="00610611"/>
    <w:rsid w:val="00610620"/>
    <w:rsid w:val="0061062B"/>
    <w:rsid w:val="00610636"/>
    <w:rsid w:val="0061068E"/>
    <w:rsid w:val="006106AB"/>
    <w:rsid w:val="006106F7"/>
    <w:rsid w:val="00610739"/>
    <w:rsid w:val="00610744"/>
    <w:rsid w:val="006107B8"/>
    <w:rsid w:val="006107CD"/>
    <w:rsid w:val="006107E9"/>
    <w:rsid w:val="00610817"/>
    <w:rsid w:val="006108BE"/>
    <w:rsid w:val="00610975"/>
    <w:rsid w:val="00610982"/>
    <w:rsid w:val="00610999"/>
    <w:rsid w:val="00610AC7"/>
    <w:rsid w:val="00610AF0"/>
    <w:rsid w:val="00610B33"/>
    <w:rsid w:val="00610B55"/>
    <w:rsid w:val="00610B78"/>
    <w:rsid w:val="00610B88"/>
    <w:rsid w:val="00610BB3"/>
    <w:rsid w:val="00610C3A"/>
    <w:rsid w:val="00610C43"/>
    <w:rsid w:val="00610CB6"/>
    <w:rsid w:val="00610CDB"/>
    <w:rsid w:val="00610CF5"/>
    <w:rsid w:val="00610D2F"/>
    <w:rsid w:val="00610DB0"/>
    <w:rsid w:val="00610E15"/>
    <w:rsid w:val="00610EAD"/>
    <w:rsid w:val="00610ECA"/>
    <w:rsid w:val="00610EE2"/>
    <w:rsid w:val="00610F26"/>
    <w:rsid w:val="00610FC2"/>
    <w:rsid w:val="00611055"/>
    <w:rsid w:val="0061105E"/>
    <w:rsid w:val="00611086"/>
    <w:rsid w:val="006110A1"/>
    <w:rsid w:val="006110EE"/>
    <w:rsid w:val="0061115F"/>
    <w:rsid w:val="00611162"/>
    <w:rsid w:val="00611188"/>
    <w:rsid w:val="006111AD"/>
    <w:rsid w:val="006111CA"/>
    <w:rsid w:val="006111D3"/>
    <w:rsid w:val="0061121F"/>
    <w:rsid w:val="00611236"/>
    <w:rsid w:val="00611245"/>
    <w:rsid w:val="006112CD"/>
    <w:rsid w:val="0061133B"/>
    <w:rsid w:val="0061133C"/>
    <w:rsid w:val="0061140C"/>
    <w:rsid w:val="0061141D"/>
    <w:rsid w:val="006114A9"/>
    <w:rsid w:val="006114E5"/>
    <w:rsid w:val="006114FB"/>
    <w:rsid w:val="00611560"/>
    <w:rsid w:val="00611570"/>
    <w:rsid w:val="00611578"/>
    <w:rsid w:val="00611588"/>
    <w:rsid w:val="0061159E"/>
    <w:rsid w:val="006115C4"/>
    <w:rsid w:val="00611728"/>
    <w:rsid w:val="00611732"/>
    <w:rsid w:val="00611752"/>
    <w:rsid w:val="0061178C"/>
    <w:rsid w:val="00611792"/>
    <w:rsid w:val="00611795"/>
    <w:rsid w:val="00611798"/>
    <w:rsid w:val="0061179D"/>
    <w:rsid w:val="006117BD"/>
    <w:rsid w:val="006117C1"/>
    <w:rsid w:val="006117C9"/>
    <w:rsid w:val="006117CF"/>
    <w:rsid w:val="006117FF"/>
    <w:rsid w:val="0061189B"/>
    <w:rsid w:val="00611924"/>
    <w:rsid w:val="00611984"/>
    <w:rsid w:val="00611A73"/>
    <w:rsid w:val="00611AA4"/>
    <w:rsid w:val="00611AC9"/>
    <w:rsid w:val="00611AEB"/>
    <w:rsid w:val="00611C88"/>
    <w:rsid w:val="00611CB2"/>
    <w:rsid w:val="00611CCD"/>
    <w:rsid w:val="00611CE7"/>
    <w:rsid w:val="00611CF0"/>
    <w:rsid w:val="00611CFA"/>
    <w:rsid w:val="00611D10"/>
    <w:rsid w:val="00611D6B"/>
    <w:rsid w:val="00611DA8"/>
    <w:rsid w:val="00611E03"/>
    <w:rsid w:val="00611E30"/>
    <w:rsid w:val="00611E47"/>
    <w:rsid w:val="00611E65"/>
    <w:rsid w:val="00611EAB"/>
    <w:rsid w:val="00611EBC"/>
    <w:rsid w:val="00611EEF"/>
    <w:rsid w:val="00611F26"/>
    <w:rsid w:val="00611F4D"/>
    <w:rsid w:val="00611F69"/>
    <w:rsid w:val="00611FAD"/>
    <w:rsid w:val="00611FCA"/>
    <w:rsid w:val="0061203E"/>
    <w:rsid w:val="0061211D"/>
    <w:rsid w:val="0061216F"/>
    <w:rsid w:val="00612179"/>
    <w:rsid w:val="006121AA"/>
    <w:rsid w:val="006121D4"/>
    <w:rsid w:val="00612203"/>
    <w:rsid w:val="00612244"/>
    <w:rsid w:val="006122A9"/>
    <w:rsid w:val="006122E0"/>
    <w:rsid w:val="006122E7"/>
    <w:rsid w:val="006122E9"/>
    <w:rsid w:val="00612328"/>
    <w:rsid w:val="0061236C"/>
    <w:rsid w:val="0061236D"/>
    <w:rsid w:val="006123BE"/>
    <w:rsid w:val="006123C3"/>
    <w:rsid w:val="006123D4"/>
    <w:rsid w:val="006123FC"/>
    <w:rsid w:val="006124B7"/>
    <w:rsid w:val="006124DD"/>
    <w:rsid w:val="006124F4"/>
    <w:rsid w:val="00612503"/>
    <w:rsid w:val="0061253D"/>
    <w:rsid w:val="0061254D"/>
    <w:rsid w:val="0061256E"/>
    <w:rsid w:val="00612749"/>
    <w:rsid w:val="0061276C"/>
    <w:rsid w:val="0061277D"/>
    <w:rsid w:val="00612795"/>
    <w:rsid w:val="006127A6"/>
    <w:rsid w:val="006127E5"/>
    <w:rsid w:val="0061280E"/>
    <w:rsid w:val="0061288C"/>
    <w:rsid w:val="006128D4"/>
    <w:rsid w:val="00612934"/>
    <w:rsid w:val="006129B4"/>
    <w:rsid w:val="006129D0"/>
    <w:rsid w:val="006129D9"/>
    <w:rsid w:val="00612A12"/>
    <w:rsid w:val="00612A51"/>
    <w:rsid w:val="00612A57"/>
    <w:rsid w:val="00612A60"/>
    <w:rsid w:val="00612A74"/>
    <w:rsid w:val="00612A7E"/>
    <w:rsid w:val="00612A9C"/>
    <w:rsid w:val="00612AE2"/>
    <w:rsid w:val="00612AF3"/>
    <w:rsid w:val="00612B14"/>
    <w:rsid w:val="00612B1F"/>
    <w:rsid w:val="00612B45"/>
    <w:rsid w:val="00612B59"/>
    <w:rsid w:val="00612B80"/>
    <w:rsid w:val="00612BB7"/>
    <w:rsid w:val="00612BD9"/>
    <w:rsid w:val="00612BDC"/>
    <w:rsid w:val="00612BDD"/>
    <w:rsid w:val="00612BEC"/>
    <w:rsid w:val="00612C13"/>
    <w:rsid w:val="00612C23"/>
    <w:rsid w:val="00612CA1"/>
    <w:rsid w:val="00612CAC"/>
    <w:rsid w:val="00612CC0"/>
    <w:rsid w:val="00612D0B"/>
    <w:rsid w:val="00612D18"/>
    <w:rsid w:val="00612D1E"/>
    <w:rsid w:val="00612D39"/>
    <w:rsid w:val="00612D96"/>
    <w:rsid w:val="00612DA8"/>
    <w:rsid w:val="00612DB7"/>
    <w:rsid w:val="00612DE7"/>
    <w:rsid w:val="00612E3D"/>
    <w:rsid w:val="00612E4A"/>
    <w:rsid w:val="00612E8F"/>
    <w:rsid w:val="00612ECA"/>
    <w:rsid w:val="00612EDD"/>
    <w:rsid w:val="00612EE1"/>
    <w:rsid w:val="00612F44"/>
    <w:rsid w:val="00612F90"/>
    <w:rsid w:val="00612FB3"/>
    <w:rsid w:val="00612FB4"/>
    <w:rsid w:val="00612FBF"/>
    <w:rsid w:val="0061300F"/>
    <w:rsid w:val="0061301E"/>
    <w:rsid w:val="00613049"/>
    <w:rsid w:val="0061304B"/>
    <w:rsid w:val="0061304D"/>
    <w:rsid w:val="00613057"/>
    <w:rsid w:val="00613066"/>
    <w:rsid w:val="00613077"/>
    <w:rsid w:val="0061308D"/>
    <w:rsid w:val="006130BB"/>
    <w:rsid w:val="006130EF"/>
    <w:rsid w:val="00613115"/>
    <w:rsid w:val="0061318C"/>
    <w:rsid w:val="006131C2"/>
    <w:rsid w:val="00613232"/>
    <w:rsid w:val="00613278"/>
    <w:rsid w:val="006132E2"/>
    <w:rsid w:val="006132E7"/>
    <w:rsid w:val="0061337E"/>
    <w:rsid w:val="006133D5"/>
    <w:rsid w:val="006133EC"/>
    <w:rsid w:val="00613407"/>
    <w:rsid w:val="00613426"/>
    <w:rsid w:val="0061342D"/>
    <w:rsid w:val="00613435"/>
    <w:rsid w:val="00613497"/>
    <w:rsid w:val="00613499"/>
    <w:rsid w:val="0061349C"/>
    <w:rsid w:val="006134DE"/>
    <w:rsid w:val="006134F0"/>
    <w:rsid w:val="00613515"/>
    <w:rsid w:val="0061354C"/>
    <w:rsid w:val="0061358D"/>
    <w:rsid w:val="0061359E"/>
    <w:rsid w:val="006135E1"/>
    <w:rsid w:val="0061367B"/>
    <w:rsid w:val="0061368D"/>
    <w:rsid w:val="0061369F"/>
    <w:rsid w:val="00613722"/>
    <w:rsid w:val="006137AA"/>
    <w:rsid w:val="006137C1"/>
    <w:rsid w:val="0061382F"/>
    <w:rsid w:val="00613869"/>
    <w:rsid w:val="0061386E"/>
    <w:rsid w:val="006138AE"/>
    <w:rsid w:val="006138BB"/>
    <w:rsid w:val="0061390A"/>
    <w:rsid w:val="00613912"/>
    <w:rsid w:val="0061392B"/>
    <w:rsid w:val="00613949"/>
    <w:rsid w:val="0061394C"/>
    <w:rsid w:val="00613A07"/>
    <w:rsid w:val="00613A58"/>
    <w:rsid w:val="00613AA0"/>
    <w:rsid w:val="00613ABE"/>
    <w:rsid w:val="00613AC7"/>
    <w:rsid w:val="00613AEE"/>
    <w:rsid w:val="00613B1F"/>
    <w:rsid w:val="00613B20"/>
    <w:rsid w:val="00613B4F"/>
    <w:rsid w:val="00613B87"/>
    <w:rsid w:val="00613BB3"/>
    <w:rsid w:val="00613BB8"/>
    <w:rsid w:val="00613BC8"/>
    <w:rsid w:val="00613BD5"/>
    <w:rsid w:val="00613BFE"/>
    <w:rsid w:val="00613C30"/>
    <w:rsid w:val="00613C3C"/>
    <w:rsid w:val="00613C7C"/>
    <w:rsid w:val="00613C8A"/>
    <w:rsid w:val="00613D03"/>
    <w:rsid w:val="00613D05"/>
    <w:rsid w:val="00613D52"/>
    <w:rsid w:val="00613D9D"/>
    <w:rsid w:val="00613DA2"/>
    <w:rsid w:val="00613DDB"/>
    <w:rsid w:val="00613E10"/>
    <w:rsid w:val="00613E7D"/>
    <w:rsid w:val="00613ECE"/>
    <w:rsid w:val="00613EDA"/>
    <w:rsid w:val="00613EEB"/>
    <w:rsid w:val="00613F0E"/>
    <w:rsid w:val="00613F39"/>
    <w:rsid w:val="00613F5E"/>
    <w:rsid w:val="00613F9C"/>
    <w:rsid w:val="00613FA7"/>
    <w:rsid w:val="00613FB4"/>
    <w:rsid w:val="00613FE5"/>
    <w:rsid w:val="006140A8"/>
    <w:rsid w:val="006140C5"/>
    <w:rsid w:val="006140DB"/>
    <w:rsid w:val="006140F1"/>
    <w:rsid w:val="0061411F"/>
    <w:rsid w:val="0061413F"/>
    <w:rsid w:val="00614190"/>
    <w:rsid w:val="006141A9"/>
    <w:rsid w:val="006141C8"/>
    <w:rsid w:val="0061423E"/>
    <w:rsid w:val="00614246"/>
    <w:rsid w:val="0061426B"/>
    <w:rsid w:val="00614275"/>
    <w:rsid w:val="006142AC"/>
    <w:rsid w:val="00614338"/>
    <w:rsid w:val="006143B2"/>
    <w:rsid w:val="006143CF"/>
    <w:rsid w:val="006143F7"/>
    <w:rsid w:val="00614413"/>
    <w:rsid w:val="0061441D"/>
    <w:rsid w:val="0061443D"/>
    <w:rsid w:val="00614449"/>
    <w:rsid w:val="0061445B"/>
    <w:rsid w:val="006144A0"/>
    <w:rsid w:val="006144B7"/>
    <w:rsid w:val="006144B9"/>
    <w:rsid w:val="006144FB"/>
    <w:rsid w:val="00614507"/>
    <w:rsid w:val="0061450C"/>
    <w:rsid w:val="0061450E"/>
    <w:rsid w:val="0061452B"/>
    <w:rsid w:val="00614530"/>
    <w:rsid w:val="00614542"/>
    <w:rsid w:val="00614544"/>
    <w:rsid w:val="0061456B"/>
    <w:rsid w:val="006145AE"/>
    <w:rsid w:val="006145B6"/>
    <w:rsid w:val="006145B7"/>
    <w:rsid w:val="006145F5"/>
    <w:rsid w:val="0061463D"/>
    <w:rsid w:val="00614662"/>
    <w:rsid w:val="006146D0"/>
    <w:rsid w:val="006146E2"/>
    <w:rsid w:val="00614710"/>
    <w:rsid w:val="0061474F"/>
    <w:rsid w:val="0061475E"/>
    <w:rsid w:val="00614779"/>
    <w:rsid w:val="00614785"/>
    <w:rsid w:val="006147C1"/>
    <w:rsid w:val="006147CA"/>
    <w:rsid w:val="006147FB"/>
    <w:rsid w:val="00614817"/>
    <w:rsid w:val="00614858"/>
    <w:rsid w:val="00614875"/>
    <w:rsid w:val="006148A5"/>
    <w:rsid w:val="006148D1"/>
    <w:rsid w:val="006148EA"/>
    <w:rsid w:val="00614944"/>
    <w:rsid w:val="00614960"/>
    <w:rsid w:val="00614981"/>
    <w:rsid w:val="0061499B"/>
    <w:rsid w:val="006149C0"/>
    <w:rsid w:val="00614A5E"/>
    <w:rsid w:val="00614A65"/>
    <w:rsid w:val="00614AAB"/>
    <w:rsid w:val="00614AB8"/>
    <w:rsid w:val="00614AC7"/>
    <w:rsid w:val="00614B2A"/>
    <w:rsid w:val="00614B3B"/>
    <w:rsid w:val="00614B6C"/>
    <w:rsid w:val="00614B88"/>
    <w:rsid w:val="00614BB3"/>
    <w:rsid w:val="00614BC7"/>
    <w:rsid w:val="00614C47"/>
    <w:rsid w:val="00614C84"/>
    <w:rsid w:val="00614C94"/>
    <w:rsid w:val="00614C95"/>
    <w:rsid w:val="00614CA2"/>
    <w:rsid w:val="00614CA6"/>
    <w:rsid w:val="00614CF1"/>
    <w:rsid w:val="00614CF5"/>
    <w:rsid w:val="00614CFD"/>
    <w:rsid w:val="00614D60"/>
    <w:rsid w:val="00614DD8"/>
    <w:rsid w:val="00614EC1"/>
    <w:rsid w:val="00614F35"/>
    <w:rsid w:val="00614F55"/>
    <w:rsid w:val="00614F5A"/>
    <w:rsid w:val="00614F68"/>
    <w:rsid w:val="00614FBC"/>
    <w:rsid w:val="00615002"/>
    <w:rsid w:val="00615006"/>
    <w:rsid w:val="00615075"/>
    <w:rsid w:val="00615082"/>
    <w:rsid w:val="00615089"/>
    <w:rsid w:val="0061516F"/>
    <w:rsid w:val="0061518B"/>
    <w:rsid w:val="006151CF"/>
    <w:rsid w:val="006151E4"/>
    <w:rsid w:val="00615214"/>
    <w:rsid w:val="00615254"/>
    <w:rsid w:val="00615281"/>
    <w:rsid w:val="006152A4"/>
    <w:rsid w:val="00615388"/>
    <w:rsid w:val="0061538F"/>
    <w:rsid w:val="00615397"/>
    <w:rsid w:val="006153A0"/>
    <w:rsid w:val="006153BA"/>
    <w:rsid w:val="006153C8"/>
    <w:rsid w:val="006153CA"/>
    <w:rsid w:val="006153D9"/>
    <w:rsid w:val="00615429"/>
    <w:rsid w:val="00615440"/>
    <w:rsid w:val="00615442"/>
    <w:rsid w:val="00615494"/>
    <w:rsid w:val="006154AB"/>
    <w:rsid w:val="006154BA"/>
    <w:rsid w:val="006154FE"/>
    <w:rsid w:val="00615551"/>
    <w:rsid w:val="00615581"/>
    <w:rsid w:val="006155C0"/>
    <w:rsid w:val="00615636"/>
    <w:rsid w:val="00615658"/>
    <w:rsid w:val="00615665"/>
    <w:rsid w:val="00615689"/>
    <w:rsid w:val="006156EC"/>
    <w:rsid w:val="006156F0"/>
    <w:rsid w:val="006156FA"/>
    <w:rsid w:val="00615804"/>
    <w:rsid w:val="00615813"/>
    <w:rsid w:val="006158BF"/>
    <w:rsid w:val="00615927"/>
    <w:rsid w:val="00615929"/>
    <w:rsid w:val="00615976"/>
    <w:rsid w:val="006159F6"/>
    <w:rsid w:val="00615A0B"/>
    <w:rsid w:val="00615A2D"/>
    <w:rsid w:val="00615A56"/>
    <w:rsid w:val="00615A76"/>
    <w:rsid w:val="00615A79"/>
    <w:rsid w:val="00615A89"/>
    <w:rsid w:val="00615ABD"/>
    <w:rsid w:val="00615ABE"/>
    <w:rsid w:val="00615AE9"/>
    <w:rsid w:val="00615B0E"/>
    <w:rsid w:val="00615B1E"/>
    <w:rsid w:val="00615B54"/>
    <w:rsid w:val="00615BA6"/>
    <w:rsid w:val="00615BAE"/>
    <w:rsid w:val="00615C08"/>
    <w:rsid w:val="00615C10"/>
    <w:rsid w:val="00615CDA"/>
    <w:rsid w:val="00615D23"/>
    <w:rsid w:val="00615D66"/>
    <w:rsid w:val="00615DA6"/>
    <w:rsid w:val="00615DBC"/>
    <w:rsid w:val="00615DCD"/>
    <w:rsid w:val="00615DCE"/>
    <w:rsid w:val="00615F36"/>
    <w:rsid w:val="00616040"/>
    <w:rsid w:val="00616044"/>
    <w:rsid w:val="00616055"/>
    <w:rsid w:val="006160E6"/>
    <w:rsid w:val="00616123"/>
    <w:rsid w:val="00616129"/>
    <w:rsid w:val="0061612C"/>
    <w:rsid w:val="00616148"/>
    <w:rsid w:val="00616160"/>
    <w:rsid w:val="0061616E"/>
    <w:rsid w:val="0061618E"/>
    <w:rsid w:val="00616190"/>
    <w:rsid w:val="006161D1"/>
    <w:rsid w:val="00616212"/>
    <w:rsid w:val="00616233"/>
    <w:rsid w:val="00616248"/>
    <w:rsid w:val="00616270"/>
    <w:rsid w:val="006162CE"/>
    <w:rsid w:val="006162D1"/>
    <w:rsid w:val="00616327"/>
    <w:rsid w:val="00616330"/>
    <w:rsid w:val="00616359"/>
    <w:rsid w:val="0061635D"/>
    <w:rsid w:val="006163DB"/>
    <w:rsid w:val="006163F5"/>
    <w:rsid w:val="00616444"/>
    <w:rsid w:val="00616476"/>
    <w:rsid w:val="006164D6"/>
    <w:rsid w:val="00616528"/>
    <w:rsid w:val="006165AE"/>
    <w:rsid w:val="006165E3"/>
    <w:rsid w:val="0061665C"/>
    <w:rsid w:val="0061668D"/>
    <w:rsid w:val="006166D8"/>
    <w:rsid w:val="006166DA"/>
    <w:rsid w:val="00616856"/>
    <w:rsid w:val="00616895"/>
    <w:rsid w:val="00616913"/>
    <w:rsid w:val="006169CB"/>
    <w:rsid w:val="00616A13"/>
    <w:rsid w:val="00616A30"/>
    <w:rsid w:val="00616A98"/>
    <w:rsid w:val="00616A99"/>
    <w:rsid w:val="00616AA9"/>
    <w:rsid w:val="00616ACE"/>
    <w:rsid w:val="00616AF3"/>
    <w:rsid w:val="00616B03"/>
    <w:rsid w:val="00616B54"/>
    <w:rsid w:val="00616B56"/>
    <w:rsid w:val="00616BB9"/>
    <w:rsid w:val="00616C25"/>
    <w:rsid w:val="00616C68"/>
    <w:rsid w:val="00616CC9"/>
    <w:rsid w:val="00616CCB"/>
    <w:rsid w:val="00616CF7"/>
    <w:rsid w:val="00616CF9"/>
    <w:rsid w:val="00616D0F"/>
    <w:rsid w:val="00616D1B"/>
    <w:rsid w:val="00616D60"/>
    <w:rsid w:val="00616D61"/>
    <w:rsid w:val="00616D64"/>
    <w:rsid w:val="00616DCD"/>
    <w:rsid w:val="00616E71"/>
    <w:rsid w:val="00616E83"/>
    <w:rsid w:val="00616EA9"/>
    <w:rsid w:val="00616ECC"/>
    <w:rsid w:val="00616EE2"/>
    <w:rsid w:val="00616F1C"/>
    <w:rsid w:val="00616F50"/>
    <w:rsid w:val="00616F53"/>
    <w:rsid w:val="00616F5D"/>
    <w:rsid w:val="00616F64"/>
    <w:rsid w:val="00616FA9"/>
    <w:rsid w:val="00616FB1"/>
    <w:rsid w:val="00616FF1"/>
    <w:rsid w:val="00617043"/>
    <w:rsid w:val="00617073"/>
    <w:rsid w:val="00617082"/>
    <w:rsid w:val="00617085"/>
    <w:rsid w:val="006170A8"/>
    <w:rsid w:val="006170AB"/>
    <w:rsid w:val="006170CB"/>
    <w:rsid w:val="006170D2"/>
    <w:rsid w:val="006170D6"/>
    <w:rsid w:val="00617150"/>
    <w:rsid w:val="006171A6"/>
    <w:rsid w:val="006171AF"/>
    <w:rsid w:val="006171E8"/>
    <w:rsid w:val="00617209"/>
    <w:rsid w:val="0061720F"/>
    <w:rsid w:val="00617223"/>
    <w:rsid w:val="00617240"/>
    <w:rsid w:val="0061724B"/>
    <w:rsid w:val="0061725F"/>
    <w:rsid w:val="0061727B"/>
    <w:rsid w:val="006172DC"/>
    <w:rsid w:val="006172E1"/>
    <w:rsid w:val="006172EA"/>
    <w:rsid w:val="006172F9"/>
    <w:rsid w:val="006172FF"/>
    <w:rsid w:val="00617314"/>
    <w:rsid w:val="00617330"/>
    <w:rsid w:val="00617347"/>
    <w:rsid w:val="006173D5"/>
    <w:rsid w:val="00617412"/>
    <w:rsid w:val="00617454"/>
    <w:rsid w:val="00617458"/>
    <w:rsid w:val="00617460"/>
    <w:rsid w:val="0061746F"/>
    <w:rsid w:val="0061749B"/>
    <w:rsid w:val="006174CE"/>
    <w:rsid w:val="006174DD"/>
    <w:rsid w:val="006174F8"/>
    <w:rsid w:val="00617512"/>
    <w:rsid w:val="00617516"/>
    <w:rsid w:val="00617586"/>
    <w:rsid w:val="00617591"/>
    <w:rsid w:val="00617594"/>
    <w:rsid w:val="006175C7"/>
    <w:rsid w:val="006175F0"/>
    <w:rsid w:val="006175F2"/>
    <w:rsid w:val="00617614"/>
    <w:rsid w:val="00617660"/>
    <w:rsid w:val="006176D9"/>
    <w:rsid w:val="006176E9"/>
    <w:rsid w:val="00617773"/>
    <w:rsid w:val="0061783E"/>
    <w:rsid w:val="0061784E"/>
    <w:rsid w:val="0061786C"/>
    <w:rsid w:val="00617870"/>
    <w:rsid w:val="00617896"/>
    <w:rsid w:val="006178A0"/>
    <w:rsid w:val="006178DB"/>
    <w:rsid w:val="0061794A"/>
    <w:rsid w:val="00617970"/>
    <w:rsid w:val="006179C4"/>
    <w:rsid w:val="006179ED"/>
    <w:rsid w:val="00617A0A"/>
    <w:rsid w:val="00617A87"/>
    <w:rsid w:val="00617AAB"/>
    <w:rsid w:val="00617B2C"/>
    <w:rsid w:val="00617B44"/>
    <w:rsid w:val="00617B65"/>
    <w:rsid w:val="00617BB7"/>
    <w:rsid w:val="00617BCC"/>
    <w:rsid w:val="00617BE4"/>
    <w:rsid w:val="00617C5E"/>
    <w:rsid w:val="00617C62"/>
    <w:rsid w:val="00617C72"/>
    <w:rsid w:val="00617CBD"/>
    <w:rsid w:val="00617D29"/>
    <w:rsid w:val="00617D48"/>
    <w:rsid w:val="00617D75"/>
    <w:rsid w:val="00617D8E"/>
    <w:rsid w:val="00617DEB"/>
    <w:rsid w:val="00617E6D"/>
    <w:rsid w:val="00617E99"/>
    <w:rsid w:val="00617ED5"/>
    <w:rsid w:val="00617F64"/>
    <w:rsid w:val="00617F6B"/>
    <w:rsid w:val="00617FC2"/>
    <w:rsid w:val="00617FF2"/>
    <w:rsid w:val="00620019"/>
    <w:rsid w:val="0062003D"/>
    <w:rsid w:val="0062006C"/>
    <w:rsid w:val="00620095"/>
    <w:rsid w:val="006200AA"/>
    <w:rsid w:val="006200C6"/>
    <w:rsid w:val="00620128"/>
    <w:rsid w:val="00620144"/>
    <w:rsid w:val="006201CC"/>
    <w:rsid w:val="006201CD"/>
    <w:rsid w:val="006201D3"/>
    <w:rsid w:val="006201F6"/>
    <w:rsid w:val="00620200"/>
    <w:rsid w:val="00620208"/>
    <w:rsid w:val="00620221"/>
    <w:rsid w:val="006202C2"/>
    <w:rsid w:val="00620347"/>
    <w:rsid w:val="00620358"/>
    <w:rsid w:val="00620398"/>
    <w:rsid w:val="006203EB"/>
    <w:rsid w:val="00620404"/>
    <w:rsid w:val="0062040F"/>
    <w:rsid w:val="006204AB"/>
    <w:rsid w:val="006204E6"/>
    <w:rsid w:val="00620560"/>
    <w:rsid w:val="00620593"/>
    <w:rsid w:val="006205DB"/>
    <w:rsid w:val="00620622"/>
    <w:rsid w:val="0062062A"/>
    <w:rsid w:val="006206FA"/>
    <w:rsid w:val="00620723"/>
    <w:rsid w:val="00620741"/>
    <w:rsid w:val="00620748"/>
    <w:rsid w:val="0062078B"/>
    <w:rsid w:val="00620791"/>
    <w:rsid w:val="006207E7"/>
    <w:rsid w:val="006207F5"/>
    <w:rsid w:val="006207F9"/>
    <w:rsid w:val="00620814"/>
    <w:rsid w:val="00620824"/>
    <w:rsid w:val="00620871"/>
    <w:rsid w:val="00620888"/>
    <w:rsid w:val="00620891"/>
    <w:rsid w:val="006209DD"/>
    <w:rsid w:val="006209E0"/>
    <w:rsid w:val="00620A15"/>
    <w:rsid w:val="00620A1D"/>
    <w:rsid w:val="00620ABC"/>
    <w:rsid w:val="00620ADA"/>
    <w:rsid w:val="00620B15"/>
    <w:rsid w:val="00620B57"/>
    <w:rsid w:val="00620B58"/>
    <w:rsid w:val="00620B8B"/>
    <w:rsid w:val="00620B96"/>
    <w:rsid w:val="00620BA2"/>
    <w:rsid w:val="00620BA8"/>
    <w:rsid w:val="00620BB5"/>
    <w:rsid w:val="00620C07"/>
    <w:rsid w:val="00620C47"/>
    <w:rsid w:val="00620C4D"/>
    <w:rsid w:val="00620C5C"/>
    <w:rsid w:val="00620CA8"/>
    <w:rsid w:val="00620CA9"/>
    <w:rsid w:val="00620CB3"/>
    <w:rsid w:val="00620CC1"/>
    <w:rsid w:val="00620CF4"/>
    <w:rsid w:val="00620CFD"/>
    <w:rsid w:val="00620D29"/>
    <w:rsid w:val="00620D3D"/>
    <w:rsid w:val="00620DB1"/>
    <w:rsid w:val="00620DF3"/>
    <w:rsid w:val="00620E3A"/>
    <w:rsid w:val="00620E48"/>
    <w:rsid w:val="00620E49"/>
    <w:rsid w:val="00620E4F"/>
    <w:rsid w:val="00620E53"/>
    <w:rsid w:val="00620E97"/>
    <w:rsid w:val="00620EBC"/>
    <w:rsid w:val="00620F0F"/>
    <w:rsid w:val="00620F3E"/>
    <w:rsid w:val="00621082"/>
    <w:rsid w:val="00621086"/>
    <w:rsid w:val="0062108B"/>
    <w:rsid w:val="00621092"/>
    <w:rsid w:val="006210C5"/>
    <w:rsid w:val="006210E9"/>
    <w:rsid w:val="006210ED"/>
    <w:rsid w:val="006210F5"/>
    <w:rsid w:val="006210FA"/>
    <w:rsid w:val="00621120"/>
    <w:rsid w:val="00621134"/>
    <w:rsid w:val="00621147"/>
    <w:rsid w:val="00621149"/>
    <w:rsid w:val="0062116F"/>
    <w:rsid w:val="006211C3"/>
    <w:rsid w:val="006211E0"/>
    <w:rsid w:val="006211FD"/>
    <w:rsid w:val="00621212"/>
    <w:rsid w:val="00621346"/>
    <w:rsid w:val="006213B4"/>
    <w:rsid w:val="006213BF"/>
    <w:rsid w:val="00621448"/>
    <w:rsid w:val="006214CD"/>
    <w:rsid w:val="0062154F"/>
    <w:rsid w:val="006215BE"/>
    <w:rsid w:val="0062160D"/>
    <w:rsid w:val="0062162D"/>
    <w:rsid w:val="00621672"/>
    <w:rsid w:val="00621688"/>
    <w:rsid w:val="00621699"/>
    <w:rsid w:val="0062172E"/>
    <w:rsid w:val="00621764"/>
    <w:rsid w:val="006217D5"/>
    <w:rsid w:val="0062185A"/>
    <w:rsid w:val="0062185D"/>
    <w:rsid w:val="0062185F"/>
    <w:rsid w:val="0062186F"/>
    <w:rsid w:val="0062189B"/>
    <w:rsid w:val="006218AB"/>
    <w:rsid w:val="006218B2"/>
    <w:rsid w:val="006218D5"/>
    <w:rsid w:val="006218FD"/>
    <w:rsid w:val="00621947"/>
    <w:rsid w:val="0062195A"/>
    <w:rsid w:val="00621970"/>
    <w:rsid w:val="006219A1"/>
    <w:rsid w:val="006219AE"/>
    <w:rsid w:val="006219C3"/>
    <w:rsid w:val="006219D3"/>
    <w:rsid w:val="00621A1A"/>
    <w:rsid w:val="00621A34"/>
    <w:rsid w:val="00621A50"/>
    <w:rsid w:val="00621A67"/>
    <w:rsid w:val="00621A8D"/>
    <w:rsid w:val="00621AD7"/>
    <w:rsid w:val="00621AD9"/>
    <w:rsid w:val="00621B04"/>
    <w:rsid w:val="00621B0A"/>
    <w:rsid w:val="00621B21"/>
    <w:rsid w:val="00621B3D"/>
    <w:rsid w:val="00621B69"/>
    <w:rsid w:val="00621BB4"/>
    <w:rsid w:val="00621BD1"/>
    <w:rsid w:val="00621BD4"/>
    <w:rsid w:val="00621BE7"/>
    <w:rsid w:val="00621BEC"/>
    <w:rsid w:val="00621CB4"/>
    <w:rsid w:val="00621CEA"/>
    <w:rsid w:val="00621D20"/>
    <w:rsid w:val="00621D2A"/>
    <w:rsid w:val="00621D34"/>
    <w:rsid w:val="00621D6B"/>
    <w:rsid w:val="00621DCA"/>
    <w:rsid w:val="00621DFE"/>
    <w:rsid w:val="00621E17"/>
    <w:rsid w:val="00621E7A"/>
    <w:rsid w:val="00621EA6"/>
    <w:rsid w:val="00621EA9"/>
    <w:rsid w:val="00621EB0"/>
    <w:rsid w:val="00621F3E"/>
    <w:rsid w:val="00621F7C"/>
    <w:rsid w:val="00621F83"/>
    <w:rsid w:val="00621FB9"/>
    <w:rsid w:val="00621FC9"/>
    <w:rsid w:val="00621FDE"/>
    <w:rsid w:val="00622034"/>
    <w:rsid w:val="00622048"/>
    <w:rsid w:val="00622070"/>
    <w:rsid w:val="00622072"/>
    <w:rsid w:val="00622092"/>
    <w:rsid w:val="006220A3"/>
    <w:rsid w:val="0062213D"/>
    <w:rsid w:val="00622166"/>
    <w:rsid w:val="006221D4"/>
    <w:rsid w:val="006221FE"/>
    <w:rsid w:val="006221FF"/>
    <w:rsid w:val="0062223C"/>
    <w:rsid w:val="006222FE"/>
    <w:rsid w:val="00622316"/>
    <w:rsid w:val="00622320"/>
    <w:rsid w:val="00622350"/>
    <w:rsid w:val="006223EA"/>
    <w:rsid w:val="006223EF"/>
    <w:rsid w:val="0062242B"/>
    <w:rsid w:val="00622446"/>
    <w:rsid w:val="0062245B"/>
    <w:rsid w:val="006224B6"/>
    <w:rsid w:val="006224CB"/>
    <w:rsid w:val="006224D7"/>
    <w:rsid w:val="0062250D"/>
    <w:rsid w:val="00622510"/>
    <w:rsid w:val="00622558"/>
    <w:rsid w:val="0062255E"/>
    <w:rsid w:val="00622592"/>
    <w:rsid w:val="00622621"/>
    <w:rsid w:val="0062265C"/>
    <w:rsid w:val="00622694"/>
    <w:rsid w:val="006226AA"/>
    <w:rsid w:val="006226B8"/>
    <w:rsid w:val="00622712"/>
    <w:rsid w:val="0062275B"/>
    <w:rsid w:val="00622766"/>
    <w:rsid w:val="006227D8"/>
    <w:rsid w:val="0062281D"/>
    <w:rsid w:val="0062286E"/>
    <w:rsid w:val="006228B4"/>
    <w:rsid w:val="006228C9"/>
    <w:rsid w:val="006228CA"/>
    <w:rsid w:val="00622990"/>
    <w:rsid w:val="006229A7"/>
    <w:rsid w:val="006229D6"/>
    <w:rsid w:val="006229F3"/>
    <w:rsid w:val="006229F8"/>
    <w:rsid w:val="00622A29"/>
    <w:rsid w:val="00622A5A"/>
    <w:rsid w:val="00622AA1"/>
    <w:rsid w:val="00622AC0"/>
    <w:rsid w:val="00622ACC"/>
    <w:rsid w:val="00622B1D"/>
    <w:rsid w:val="00622C93"/>
    <w:rsid w:val="00622CAE"/>
    <w:rsid w:val="00622D22"/>
    <w:rsid w:val="00622D35"/>
    <w:rsid w:val="00622E03"/>
    <w:rsid w:val="00622E18"/>
    <w:rsid w:val="00622E4A"/>
    <w:rsid w:val="00622E8A"/>
    <w:rsid w:val="00622EC2"/>
    <w:rsid w:val="00622F12"/>
    <w:rsid w:val="00622F2A"/>
    <w:rsid w:val="00622F54"/>
    <w:rsid w:val="00622FA0"/>
    <w:rsid w:val="00622FA3"/>
    <w:rsid w:val="00622FC5"/>
    <w:rsid w:val="0062302E"/>
    <w:rsid w:val="00623036"/>
    <w:rsid w:val="0062303F"/>
    <w:rsid w:val="0062306F"/>
    <w:rsid w:val="00623070"/>
    <w:rsid w:val="0062308A"/>
    <w:rsid w:val="00623100"/>
    <w:rsid w:val="00623123"/>
    <w:rsid w:val="00623142"/>
    <w:rsid w:val="00623185"/>
    <w:rsid w:val="006231F8"/>
    <w:rsid w:val="00623280"/>
    <w:rsid w:val="0062329A"/>
    <w:rsid w:val="006232C1"/>
    <w:rsid w:val="00623318"/>
    <w:rsid w:val="00623370"/>
    <w:rsid w:val="00623404"/>
    <w:rsid w:val="0062343A"/>
    <w:rsid w:val="0062343E"/>
    <w:rsid w:val="0062353A"/>
    <w:rsid w:val="0062354A"/>
    <w:rsid w:val="00623581"/>
    <w:rsid w:val="00623588"/>
    <w:rsid w:val="0062359B"/>
    <w:rsid w:val="006235CC"/>
    <w:rsid w:val="006235FD"/>
    <w:rsid w:val="0062364A"/>
    <w:rsid w:val="00623666"/>
    <w:rsid w:val="006236B2"/>
    <w:rsid w:val="0062371C"/>
    <w:rsid w:val="0062372C"/>
    <w:rsid w:val="0062373D"/>
    <w:rsid w:val="00623806"/>
    <w:rsid w:val="0062384D"/>
    <w:rsid w:val="006238B5"/>
    <w:rsid w:val="006238BF"/>
    <w:rsid w:val="006238C0"/>
    <w:rsid w:val="006238D2"/>
    <w:rsid w:val="00623990"/>
    <w:rsid w:val="0062399F"/>
    <w:rsid w:val="006239B5"/>
    <w:rsid w:val="006239D6"/>
    <w:rsid w:val="00623A52"/>
    <w:rsid w:val="00623A9E"/>
    <w:rsid w:val="00623B4B"/>
    <w:rsid w:val="00623BF2"/>
    <w:rsid w:val="00623C59"/>
    <w:rsid w:val="00623CC2"/>
    <w:rsid w:val="00623CCC"/>
    <w:rsid w:val="00623DF4"/>
    <w:rsid w:val="00623DFF"/>
    <w:rsid w:val="00623E25"/>
    <w:rsid w:val="00623E65"/>
    <w:rsid w:val="00623EAF"/>
    <w:rsid w:val="00623F2F"/>
    <w:rsid w:val="00623F30"/>
    <w:rsid w:val="00623F31"/>
    <w:rsid w:val="00623F41"/>
    <w:rsid w:val="00623F93"/>
    <w:rsid w:val="00623F9F"/>
    <w:rsid w:val="00623FB5"/>
    <w:rsid w:val="00623FB8"/>
    <w:rsid w:val="00623FC3"/>
    <w:rsid w:val="0062403E"/>
    <w:rsid w:val="00624043"/>
    <w:rsid w:val="0062405A"/>
    <w:rsid w:val="0062406F"/>
    <w:rsid w:val="0062409B"/>
    <w:rsid w:val="006240D8"/>
    <w:rsid w:val="00624114"/>
    <w:rsid w:val="0062411C"/>
    <w:rsid w:val="00624120"/>
    <w:rsid w:val="0062413E"/>
    <w:rsid w:val="00624199"/>
    <w:rsid w:val="006241A9"/>
    <w:rsid w:val="006241BB"/>
    <w:rsid w:val="006241D4"/>
    <w:rsid w:val="00624212"/>
    <w:rsid w:val="00624248"/>
    <w:rsid w:val="00624273"/>
    <w:rsid w:val="00624287"/>
    <w:rsid w:val="0062429D"/>
    <w:rsid w:val="0062429F"/>
    <w:rsid w:val="006242A8"/>
    <w:rsid w:val="00624313"/>
    <w:rsid w:val="00624321"/>
    <w:rsid w:val="00624323"/>
    <w:rsid w:val="00624368"/>
    <w:rsid w:val="006243C7"/>
    <w:rsid w:val="006243EB"/>
    <w:rsid w:val="00624429"/>
    <w:rsid w:val="0062443D"/>
    <w:rsid w:val="0062447A"/>
    <w:rsid w:val="006244F1"/>
    <w:rsid w:val="00624543"/>
    <w:rsid w:val="00624578"/>
    <w:rsid w:val="006245AB"/>
    <w:rsid w:val="00624663"/>
    <w:rsid w:val="0062467B"/>
    <w:rsid w:val="00624689"/>
    <w:rsid w:val="00624737"/>
    <w:rsid w:val="0062474B"/>
    <w:rsid w:val="0062475F"/>
    <w:rsid w:val="006247AA"/>
    <w:rsid w:val="0062482D"/>
    <w:rsid w:val="00624841"/>
    <w:rsid w:val="0062486B"/>
    <w:rsid w:val="006248AB"/>
    <w:rsid w:val="006248E5"/>
    <w:rsid w:val="006248E7"/>
    <w:rsid w:val="0062491C"/>
    <w:rsid w:val="00624981"/>
    <w:rsid w:val="00624A0E"/>
    <w:rsid w:val="00624A36"/>
    <w:rsid w:val="00624A5B"/>
    <w:rsid w:val="00624A9A"/>
    <w:rsid w:val="00624AA4"/>
    <w:rsid w:val="00624AB9"/>
    <w:rsid w:val="00624AD1"/>
    <w:rsid w:val="00624B17"/>
    <w:rsid w:val="00624B6D"/>
    <w:rsid w:val="00624B8B"/>
    <w:rsid w:val="00624BAA"/>
    <w:rsid w:val="00624C17"/>
    <w:rsid w:val="00624C44"/>
    <w:rsid w:val="00624C4B"/>
    <w:rsid w:val="00624C9A"/>
    <w:rsid w:val="00624D0D"/>
    <w:rsid w:val="00624D36"/>
    <w:rsid w:val="00624D5F"/>
    <w:rsid w:val="00624E2C"/>
    <w:rsid w:val="00624E52"/>
    <w:rsid w:val="00624E66"/>
    <w:rsid w:val="00624F15"/>
    <w:rsid w:val="00624F1B"/>
    <w:rsid w:val="00624F45"/>
    <w:rsid w:val="00624F87"/>
    <w:rsid w:val="00624F9B"/>
    <w:rsid w:val="00624FC6"/>
    <w:rsid w:val="00624FF9"/>
    <w:rsid w:val="00625007"/>
    <w:rsid w:val="00625028"/>
    <w:rsid w:val="0062503E"/>
    <w:rsid w:val="00625049"/>
    <w:rsid w:val="00625052"/>
    <w:rsid w:val="0062506F"/>
    <w:rsid w:val="00625107"/>
    <w:rsid w:val="00625155"/>
    <w:rsid w:val="00625172"/>
    <w:rsid w:val="006251A5"/>
    <w:rsid w:val="006251DE"/>
    <w:rsid w:val="00625239"/>
    <w:rsid w:val="0062528D"/>
    <w:rsid w:val="006252A9"/>
    <w:rsid w:val="006252C1"/>
    <w:rsid w:val="006252DE"/>
    <w:rsid w:val="006253EC"/>
    <w:rsid w:val="006253F1"/>
    <w:rsid w:val="00625402"/>
    <w:rsid w:val="00625485"/>
    <w:rsid w:val="0062548B"/>
    <w:rsid w:val="00625490"/>
    <w:rsid w:val="006254A6"/>
    <w:rsid w:val="006254B4"/>
    <w:rsid w:val="006254C8"/>
    <w:rsid w:val="006254D7"/>
    <w:rsid w:val="00625541"/>
    <w:rsid w:val="006255B3"/>
    <w:rsid w:val="006255DF"/>
    <w:rsid w:val="00625634"/>
    <w:rsid w:val="00625667"/>
    <w:rsid w:val="00625692"/>
    <w:rsid w:val="00625716"/>
    <w:rsid w:val="00625728"/>
    <w:rsid w:val="0062573A"/>
    <w:rsid w:val="00625744"/>
    <w:rsid w:val="006257AA"/>
    <w:rsid w:val="0062581F"/>
    <w:rsid w:val="00625894"/>
    <w:rsid w:val="006258D5"/>
    <w:rsid w:val="00625915"/>
    <w:rsid w:val="00625919"/>
    <w:rsid w:val="006259E9"/>
    <w:rsid w:val="00625A6B"/>
    <w:rsid w:val="00625A74"/>
    <w:rsid w:val="00625B2E"/>
    <w:rsid w:val="00625BC9"/>
    <w:rsid w:val="00625C16"/>
    <w:rsid w:val="00625C1A"/>
    <w:rsid w:val="00625C30"/>
    <w:rsid w:val="00625C3E"/>
    <w:rsid w:val="00625C5F"/>
    <w:rsid w:val="00625CF6"/>
    <w:rsid w:val="00625D38"/>
    <w:rsid w:val="00625D4C"/>
    <w:rsid w:val="00625DDB"/>
    <w:rsid w:val="00625E17"/>
    <w:rsid w:val="00625E1A"/>
    <w:rsid w:val="00625E2E"/>
    <w:rsid w:val="00625E5E"/>
    <w:rsid w:val="00625E65"/>
    <w:rsid w:val="00625E6F"/>
    <w:rsid w:val="00625EBF"/>
    <w:rsid w:val="00625F69"/>
    <w:rsid w:val="00626016"/>
    <w:rsid w:val="00626058"/>
    <w:rsid w:val="0062605F"/>
    <w:rsid w:val="00626074"/>
    <w:rsid w:val="00626079"/>
    <w:rsid w:val="0062609C"/>
    <w:rsid w:val="0062609E"/>
    <w:rsid w:val="0062612C"/>
    <w:rsid w:val="00626147"/>
    <w:rsid w:val="00626151"/>
    <w:rsid w:val="00626159"/>
    <w:rsid w:val="0062619D"/>
    <w:rsid w:val="006261DC"/>
    <w:rsid w:val="0062621A"/>
    <w:rsid w:val="00626237"/>
    <w:rsid w:val="00626247"/>
    <w:rsid w:val="00626273"/>
    <w:rsid w:val="00626275"/>
    <w:rsid w:val="006262A3"/>
    <w:rsid w:val="006262A7"/>
    <w:rsid w:val="006262A9"/>
    <w:rsid w:val="0062633B"/>
    <w:rsid w:val="0062633F"/>
    <w:rsid w:val="00626342"/>
    <w:rsid w:val="00626398"/>
    <w:rsid w:val="006263A6"/>
    <w:rsid w:val="0062641C"/>
    <w:rsid w:val="0062642A"/>
    <w:rsid w:val="00626447"/>
    <w:rsid w:val="0062644D"/>
    <w:rsid w:val="00626471"/>
    <w:rsid w:val="00626486"/>
    <w:rsid w:val="00626496"/>
    <w:rsid w:val="006264BC"/>
    <w:rsid w:val="006264BE"/>
    <w:rsid w:val="006264F8"/>
    <w:rsid w:val="006264FA"/>
    <w:rsid w:val="006265E6"/>
    <w:rsid w:val="00626603"/>
    <w:rsid w:val="0062660A"/>
    <w:rsid w:val="0062661A"/>
    <w:rsid w:val="00626656"/>
    <w:rsid w:val="006266D1"/>
    <w:rsid w:val="006266E7"/>
    <w:rsid w:val="00626704"/>
    <w:rsid w:val="0062671B"/>
    <w:rsid w:val="0062671F"/>
    <w:rsid w:val="0062673E"/>
    <w:rsid w:val="006267BA"/>
    <w:rsid w:val="00626829"/>
    <w:rsid w:val="00626859"/>
    <w:rsid w:val="00626862"/>
    <w:rsid w:val="006268AA"/>
    <w:rsid w:val="006268B0"/>
    <w:rsid w:val="006268FB"/>
    <w:rsid w:val="00626932"/>
    <w:rsid w:val="00626948"/>
    <w:rsid w:val="006269F8"/>
    <w:rsid w:val="00626A04"/>
    <w:rsid w:val="00626A4A"/>
    <w:rsid w:val="00626A68"/>
    <w:rsid w:val="00626AEF"/>
    <w:rsid w:val="00626AF3"/>
    <w:rsid w:val="00626AF7"/>
    <w:rsid w:val="00626B04"/>
    <w:rsid w:val="00626B0B"/>
    <w:rsid w:val="00626B39"/>
    <w:rsid w:val="00626B9B"/>
    <w:rsid w:val="00626BB6"/>
    <w:rsid w:val="00626BB8"/>
    <w:rsid w:val="00626BF9"/>
    <w:rsid w:val="00626C16"/>
    <w:rsid w:val="00626C1D"/>
    <w:rsid w:val="00626C2E"/>
    <w:rsid w:val="00626C6D"/>
    <w:rsid w:val="00626C76"/>
    <w:rsid w:val="00626D0A"/>
    <w:rsid w:val="00626E10"/>
    <w:rsid w:val="00626E64"/>
    <w:rsid w:val="00626E77"/>
    <w:rsid w:val="00626E94"/>
    <w:rsid w:val="00626ECD"/>
    <w:rsid w:val="00626EF4"/>
    <w:rsid w:val="00626EFC"/>
    <w:rsid w:val="00626F17"/>
    <w:rsid w:val="00626F5F"/>
    <w:rsid w:val="00626F86"/>
    <w:rsid w:val="00626F8A"/>
    <w:rsid w:val="00626FC1"/>
    <w:rsid w:val="00627068"/>
    <w:rsid w:val="00627071"/>
    <w:rsid w:val="00627079"/>
    <w:rsid w:val="006270DB"/>
    <w:rsid w:val="00627122"/>
    <w:rsid w:val="0062715E"/>
    <w:rsid w:val="00627174"/>
    <w:rsid w:val="00627195"/>
    <w:rsid w:val="006271BE"/>
    <w:rsid w:val="006271E9"/>
    <w:rsid w:val="00627217"/>
    <w:rsid w:val="00627218"/>
    <w:rsid w:val="00627302"/>
    <w:rsid w:val="00627330"/>
    <w:rsid w:val="00627343"/>
    <w:rsid w:val="0062736A"/>
    <w:rsid w:val="0062737B"/>
    <w:rsid w:val="0062737E"/>
    <w:rsid w:val="006273D0"/>
    <w:rsid w:val="006273EC"/>
    <w:rsid w:val="0062740D"/>
    <w:rsid w:val="00627418"/>
    <w:rsid w:val="006274FD"/>
    <w:rsid w:val="00627520"/>
    <w:rsid w:val="00627585"/>
    <w:rsid w:val="0062759C"/>
    <w:rsid w:val="006275CF"/>
    <w:rsid w:val="006275F8"/>
    <w:rsid w:val="00627693"/>
    <w:rsid w:val="006276BE"/>
    <w:rsid w:val="006276FA"/>
    <w:rsid w:val="00627735"/>
    <w:rsid w:val="00627793"/>
    <w:rsid w:val="0062779F"/>
    <w:rsid w:val="006277A1"/>
    <w:rsid w:val="006277C5"/>
    <w:rsid w:val="006277F5"/>
    <w:rsid w:val="0062788E"/>
    <w:rsid w:val="006278BC"/>
    <w:rsid w:val="006278E4"/>
    <w:rsid w:val="00627A2F"/>
    <w:rsid w:val="00627AB0"/>
    <w:rsid w:val="00627AC4"/>
    <w:rsid w:val="00627AC9"/>
    <w:rsid w:val="00627B09"/>
    <w:rsid w:val="00627B36"/>
    <w:rsid w:val="00627B6D"/>
    <w:rsid w:val="00627B9D"/>
    <w:rsid w:val="00627BCB"/>
    <w:rsid w:val="00627C69"/>
    <w:rsid w:val="00627C6C"/>
    <w:rsid w:val="00627C85"/>
    <w:rsid w:val="00627CC5"/>
    <w:rsid w:val="00627CFC"/>
    <w:rsid w:val="00627D54"/>
    <w:rsid w:val="00627D62"/>
    <w:rsid w:val="00627D93"/>
    <w:rsid w:val="00627DF9"/>
    <w:rsid w:val="00627E89"/>
    <w:rsid w:val="00627EAF"/>
    <w:rsid w:val="00627EBE"/>
    <w:rsid w:val="00627EDD"/>
    <w:rsid w:val="00627FFE"/>
    <w:rsid w:val="00630013"/>
    <w:rsid w:val="00630128"/>
    <w:rsid w:val="00630173"/>
    <w:rsid w:val="006301A2"/>
    <w:rsid w:val="006301A5"/>
    <w:rsid w:val="006301CB"/>
    <w:rsid w:val="0063022E"/>
    <w:rsid w:val="00630241"/>
    <w:rsid w:val="0063025F"/>
    <w:rsid w:val="0063028B"/>
    <w:rsid w:val="006302E0"/>
    <w:rsid w:val="0063031D"/>
    <w:rsid w:val="00630362"/>
    <w:rsid w:val="00630434"/>
    <w:rsid w:val="00630448"/>
    <w:rsid w:val="006304CF"/>
    <w:rsid w:val="006304EB"/>
    <w:rsid w:val="006305A8"/>
    <w:rsid w:val="006305F3"/>
    <w:rsid w:val="0063062F"/>
    <w:rsid w:val="00630633"/>
    <w:rsid w:val="00630688"/>
    <w:rsid w:val="00630696"/>
    <w:rsid w:val="00630699"/>
    <w:rsid w:val="006306A7"/>
    <w:rsid w:val="006306AC"/>
    <w:rsid w:val="006306B5"/>
    <w:rsid w:val="00630763"/>
    <w:rsid w:val="00630797"/>
    <w:rsid w:val="006307F3"/>
    <w:rsid w:val="006307FD"/>
    <w:rsid w:val="006308B0"/>
    <w:rsid w:val="006308B2"/>
    <w:rsid w:val="006308C8"/>
    <w:rsid w:val="00630910"/>
    <w:rsid w:val="00630913"/>
    <w:rsid w:val="00630960"/>
    <w:rsid w:val="00630988"/>
    <w:rsid w:val="006309E9"/>
    <w:rsid w:val="006309F9"/>
    <w:rsid w:val="00630A0F"/>
    <w:rsid w:val="00630A16"/>
    <w:rsid w:val="00630A64"/>
    <w:rsid w:val="00630A6F"/>
    <w:rsid w:val="00630A9F"/>
    <w:rsid w:val="00630AAE"/>
    <w:rsid w:val="00630AD8"/>
    <w:rsid w:val="00630AE8"/>
    <w:rsid w:val="00630B39"/>
    <w:rsid w:val="00630BC5"/>
    <w:rsid w:val="00630BC7"/>
    <w:rsid w:val="00630BC8"/>
    <w:rsid w:val="00630C2F"/>
    <w:rsid w:val="00630C5C"/>
    <w:rsid w:val="00630C77"/>
    <w:rsid w:val="00630C85"/>
    <w:rsid w:val="00630CB2"/>
    <w:rsid w:val="00630D41"/>
    <w:rsid w:val="00630DBA"/>
    <w:rsid w:val="00630DD9"/>
    <w:rsid w:val="00630E56"/>
    <w:rsid w:val="00630E91"/>
    <w:rsid w:val="00630EA8"/>
    <w:rsid w:val="00630EE1"/>
    <w:rsid w:val="00630EF1"/>
    <w:rsid w:val="00630F4E"/>
    <w:rsid w:val="00630FCD"/>
    <w:rsid w:val="00630FFD"/>
    <w:rsid w:val="0063108D"/>
    <w:rsid w:val="00631129"/>
    <w:rsid w:val="00631130"/>
    <w:rsid w:val="006311B0"/>
    <w:rsid w:val="006311EA"/>
    <w:rsid w:val="00631240"/>
    <w:rsid w:val="00631343"/>
    <w:rsid w:val="00631381"/>
    <w:rsid w:val="006313A7"/>
    <w:rsid w:val="006313F5"/>
    <w:rsid w:val="00631483"/>
    <w:rsid w:val="006314E3"/>
    <w:rsid w:val="006314E8"/>
    <w:rsid w:val="006314EF"/>
    <w:rsid w:val="0063153F"/>
    <w:rsid w:val="0063156C"/>
    <w:rsid w:val="006315C5"/>
    <w:rsid w:val="0063162C"/>
    <w:rsid w:val="00631680"/>
    <w:rsid w:val="006317AA"/>
    <w:rsid w:val="006317BF"/>
    <w:rsid w:val="0063180E"/>
    <w:rsid w:val="00631822"/>
    <w:rsid w:val="006318BB"/>
    <w:rsid w:val="006318EA"/>
    <w:rsid w:val="00631903"/>
    <w:rsid w:val="0063191C"/>
    <w:rsid w:val="0063191F"/>
    <w:rsid w:val="00631923"/>
    <w:rsid w:val="00631949"/>
    <w:rsid w:val="00631950"/>
    <w:rsid w:val="00631960"/>
    <w:rsid w:val="0063196A"/>
    <w:rsid w:val="00631982"/>
    <w:rsid w:val="0063198C"/>
    <w:rsid w:val="006319BA"/>
    <w:rsid w:val="006319E7"/>
    <w:rsid w:val="00631A1D"/>
    <w:rsid w:val="00631A97"/>
    <w:rsid w:val="00631AA8"/>
    <w:rsid w:val="00631ABD"/>
    <w:rsid w:val="00631B1A"/>
    <w:rsid w:val="00631B8C"/>
    <w:rsid w:val="00631C79"/>
    <w:rsid w:val="00631D0C"/>
    <w:rsid w:val="00631D3E"/>
    <w:rsid w:val="00631D44"/>
    <w:rsid w:val="00631DAC"/>
    <w:rsid w:val="00631DCF"/>
    <w:rsid w:val="00631E97"/>
    <w:rsid w:val="00631EA2"/>
    <w:rsid w:val="00631EAE"/>
    <w:rsid w:val="00631F2F"/>
    <w:rsid w:val="00631F93"/>
    <w:rsid w:val="00631FD4"/>
    <w:rsid w:val="00631FF8"/>
    <w:rsid w:val="00631FFA"/>
    <w:rsid w:val="00632002"/>
    <w:rsid w:val="00632015"/>
    <w:rsid w:val="0063201A"/>
    <w:rsid w:val="0063201B"/>
    <w:rsid w:val="0063201C"/>
    <w:rsid w:val="00632059"/>
    <w:rsid w:val="00632079"/>
    <w:rsid w:val="006320B4"/>
    <w:rsid w:val="00632103"/>
    <w:rsid w:val="00632162"/>
    <w:rsid w:val="00632164"/>
    <w:rsid w:val="00632177"/>
    <w:rsid w:val="00632190"/>
    <w:rsid w:val="0063219C"/>
    <w:rsid w:val="006321BF"/>
    <w:rsid w:val="006321F0"/>
    <w:rsid w:val="00632296"/>
    <w:rsid w:val="00632301"/>
    <w:rsid w:val="0063232F"/>
    <w:rsid w:val="0063234F"/>
    <w:rsid w:val="00632364"/>
    <w:rsid w:val="006323C0"/>
    <w:rsid w:val="0063240E"/>
    <w:rsid w:val="00632419"/>
    <w:rsid w:val="00632430"/>
    <w:rsid w:val="00632449"/>
    <w:rsid w:val="00632450"/>
    <w:rsid w:val="0063246E"/>
    <w:rsid w:val="00632484"/>
    <w:rsid w:val="006324B7"/>
    <w:rsid w:val="00632543"/>
    <w:rsid w:val="006325A5"/>
    <w:rsid w:val="006325A6"/>
    <w:rsid w:val="0063265B"/>
    <w:rsid w:val="0063265C"/>
    <w:rsid w:val="0063265E"/>
    <w:rsid w:val="00632675"/>
    <w:rsid w:val="006326CB"/>
    <w:rsid w:val="0063279C"/>
    <w:rsid w:val="006327FD"/>
    <w:rsid w:val="00632891"/>
    <w:rsid w:val="00632893"/>
    <w:rsid w:val="006328C5"/>
    <w:rsid w:val="00632935"/>
    <w:rsid w:val="0063293A"/>
    <w:rsid w:val="00632953"/>
    <w:rsid w:val="0063298B"/>
    <w:rsid w:val="006329CF"/>
    <w:rsid w:val="006329D2"/>
    <w:rsid w:val="006329D7"/>
    <w:rsid w:val="006329DE"/>
    <w:rsid w:val="00632A3A"/>
    <w:rsid w:val="00632A62"/>
    <w:rsid w:val="00632A6E"/>
    <w:rsid w:val="00632A80"/>
    <w:rsid w:val="00632A99"/>
    <w:rsid w:val="00632ACA"/>
    <w:rsid w:val="00632B0D"/>
    <w:rsid w:val="00632B17"/>
    <w:rsid w:val="00632B3F"/>
    <w:rsid w:val="00632B42"/>
    <w:rsid w:val="00632B55"/>
    <w:rsid w:val="00632BA9"/>
    <w:rsid w:val="00632BAA"/>
    <w:rsid w:val="00632BD2"/>
    <w:rsid w:val="00632BF1"/>
    <w:rsid w:val="00632BF5"/>
    <w:rsid w:val="00632C2E"/>
    <w:rsid w:val="00632CEB"/>
    <w:rsid w:val="00632D10"/>
    <w:rsid w:val="00632D79"/>
    <w:rsid w:val="00632D87"/>
    <w:rsid w:val="00632DB5"/>
    <w:rsid w:val="00632DBE"/>
    <w:rsid w:val="00632DC1"/>
    <w:rsid w:val="00632DC6"/>
    <w:rsid w:val="00632E25"/>
    <w:rsid w:val="00632E43"/>
    <w:rsid w:val="00632E62"/>
    <w:rsid w:val="00632E99"/>
    <w:rsid w:val="00632EC1"/>
    <w:rsid w:val="00632EE4"/>
    <w:rsid w:val="00632F05"/>
    <w:rsid w:val="00632F33"/>
    <w:rsid w:val="00632F38"/>
    <w:rsid w:val="00632F4B"/>
    <w:rsid w:val="00632F77"/>
    <w:rsid w:val="00632FB1"/>
    <w:rsid w:val="006330B6"/>
    <w:rsid w:val="006330CA"/>
    <w:rsid w:val="00633111"/>
    <w:rsid w:val="00633167"/>
    <w:rsid w:val="0063317D"/>
    <w:rsid w:val="006331B1"/>
    <w:rsid w:val="0063325C"/>
    <w:rsid w:val="00633265"/>
    <w:rsid w:val="00633276"/>
    <w:rsid w:val="00633289"/>
    <w:rsid w:val="006332EC"/>
    <w:rsid w:val="00633314"/>
    <w:rsid w:val="00633323"/>
    <w:rsid w:val="00633345"/>
    <w:rsid w:val="0063335A"/>
    <w:rsid w:val="0063339E"/>
    <w:rsid w:val="006333CE"/>
    <w:rsid w:val="006333D4"/>
    <w:rsid w:val="00633474"/>
    <w:rsid w:val="0063348B"/>
    <w:rsid w:val="006334A0"/>
    <w:rsid w:val="006334B8"/>
    <w:rsid w:val="006334D8"/>
    <w:rsid w:val="006334EC"/>
    <w:rsid w:val="00633538"/>
    <w:rsid w:val="0063355F"/>
    <w:rsid w:val="00633621"/>
    <w:rsid w:val="00633625"/>
    <w:rsid w:val="0063362F"/>
    <w:rsid w:val="00633646"/>
    <w:rsid w:val="00633667"/>
    <w:rsid w:val="00633670"/>
    <w:rsid w:val="00633692"/>
    <w:rsid w:val="00633737"/>
    <w:rsid w:val="00633784"/>
    <w:rsid w:val="006337B7"/>
    <w:rsid w:val="00633820"/>
    <w:rsid w:val="0063386F"/>
    <w:rsid w:val="006338AD"/>
    <w:rsid w:val="006338E3"/>
    <w:rsid w:val="00633923"/>
    <w:rsid w:val="00633960"/>
    <w:rsid w:val="00633986"/>
    <w:rsid w:val="00633997"/>
    <w:rsid w:val="0063399C"/>
    <w:rsid w:val="006339A3"/>
    <w:rsid w:val="006339A7"/>
    <w:rsid w:val="006339C8"/>
    <w:rsid w:val="006339FA"/>
    <w:rsid w:val="00633A30"/>
    <w:rsid w:val="00633A4D"/>
    <w:rsid w:val="00633A55"/>
    <w:rsid w:val="00633A57"/>
    <w:rsid w:val="00633A5F"/>
    <w:rsid w:val="00633A7B"/>
    <w:rsid w:val="00633A8E"/>
    <w:rsid w:val="00633AAC"/>
    <w:rsid w:val="00633AD9"/>
    <w:rsid w:val="00633B66"/>
    <w:rsid w:val="00633B86"/>
    <w:rsid w:val="00633BFF"/>
    <w:rsid w:val="00633C38"/>
    <w:rsid w:val="00633C9C"/>
    <w:rsid w:val="00633CDB"/>
    <w:rsid w:val="00633D48"/>
    <w:rsid w:val="00633D66"/>
    <w:rsid w:val="00633D76"/>
    <w:rsid w:val="00633DA9"/>
    <w:rsid w:val="00633DD6"/>
    <w:rsid w:val="00633DF3"/>
    <w:rsid w:val="00633E1C"/>
    <w:rsid w:val="00633E33"/>
    <w:rsid w:val="00633EA1"/>
    <w:rsid w:val="00633EAC"/>
    <w:rsid w:val="00633EEB"/>
    <w:rsid w:val="00633EF7"/>
    <w:rsid w:val="00633F6F"/>
    <w:rsid w:val="00633F7A"/>
    <w:rsid w:val="00633F91"/>
    <w:rsid w:val="00633FDF"/>
    <w:rsid w:val="00634000"/>
    <w:rsid w:val="00634003"/>
    <w:rsid w:val="0063404B"/>
    <w:rsid w:val="00634092"/>
    <w:rsid w:val="006340A0"/>
    <w:rsid w:val="006340CE"/>
    <w:rsid w:val="006340D4"/>
    <w:rsid w:val="006340FD"/>
    <w:rsid w:val="00634128"/>
    <w:rsid w:val="00634192"/>
    <w:rsid w:val="00634200"/>
    <w:rsid w:val="00634248"/>
    <w:rsid w:val="0063427C"/>
    <w:rsid w:val="006342DB"/>
    <w:rsid w:val="00634385"/>
    <w:rsid w:val="00634398"/>
    <w:rsid w:val="006343EC"/>
    <w:rsid w:val="006343F1"/>
    <w:rsid w:val="00634419"/>
    <w:rsid w:val="00634423"/>
    <w:rsid w:val="00634457"/>
    <w:rsid w:val="00634459"/>
    <w:rsid w:val="0063446A"/>
    <w:rsid w:val="00634483"/>
    <w:rsid w:val="006344A6"/>
    <w:rsid w:val="006344EE"/>
    <w:rsid w:val="00634546"/>
    <w:rsid w:val="0063457F"/>
    <w:rsid w:val="006345AF"/>
    <w:rsid w:val="006345D4"/>
    <w:rsid w:val="006345F1"/>
    <w:rsid w:val="0063463C"/>
    <w:rsid w:val="00634669"/>
    <w:rsid w:val="00634684"/>
    <w:rsid w:val="006346A9"/>
    <w:rsid w:val="0063476C"/>
    <w:rsid w:val="006347C0"/>
    <w:rsid w:val="00634868"/>
    <w:rsid w:val="00634871"/>
    <w:rsid w:val="00634890"/>
    <w:rsid w:val="006348B0"/>
    <w:rsid w:val="0063491E"/>
    <w:rsid w:val="00634927"/>
    <w:rsid w:val="00634935"/>
    <w:rsid w:val="0063497D"/>
    <w:rsid w:val="006349BF"/>
    <w:rsid w:val="006349F3"/>
    <w:rsid w:val="00634A44"/>
    <w:rsid w:val="00634AE6"/>
    <w:rsid w:val="00634B24"/>
    <w:rsid w:val="00634B2A"/>
    <w:rsid w:val="00634B2C"/>
    <w:rsid w:val="00634B87"/>
    <w:rsid w:val="00634BC8"/>
    <w:rsid w:val="00634BCD"/>
    <w:rsid w:val="00634C0E"/>
    <w:rsid w:val="00634C24"/>
    <w:rsid w:val="00634C6F"/>
    <w:rsid w:val="00634C90"/>
    <w:rsid w:val="00634CAB"/>
    <w:rsid w:val="00634CFF"/>
    <w:rsid w:val="00634D07"/>
    <w:rsid w:val="00634D37"/>
    <w:rsid w:val="00634D6E"/>
    <w:rsid w:val="00634D96"/>
    <w:rsid w:val="00634D9C"/>
    <w:rsid w:val="00634DA0"/>
    <w:rsid w:val="00634DA5"/>
    <w:rsid w:val="00634DBA"/>
    <w:rsid w:val="00634DD3"/>
    <w:rsid w:val="00634DEE"/>
    <w:rsid w:val="00634E15"/>
    <w:rsid w:val="00634E7A"/>
    <w:rsid w:val="00634EA6"/>
    <w:rsid w:val="00634EB9"/>
    <w:rsid w:val="00634EC7"/>
    <w:rsid w:val="00634EC9"/>
    <w:rsid w:val="00634ED8"/>
    <w:rsid w:val="00634EFB"/>
    <w:rsid w:val="00634EFE"/>
    <w:rsid w:val="00634F42"/>
    <w:rsid w:val="00634F4E"/>
    <w:rsid w:val="00634FF8"/>
    <w:rsid w:val="00634FFD"/>
    <w:rsid w:val="0063501E"/>
    <w:rsid w:val="00635023"/>
    <w:rsid w:val="0063503C"/>
    <w:rsid w:val="00635054"/>
    <w:rsid w:val="0063507B"/>
    <w:rsid w:val="006350E1"/>
    <w:rsid w:val="00635120"/>
    <w:rsid w:val="00635163"/>
    <w:rsid w:val="00635184"/>
    <w:rsid w:val="006351E4"/>
    <w:rsid w:val="00635244"/>
    <w:rsid w:val="0063525B"/>
    <w:rsid w:val="006352EA"/>
    <w:rsid w:val="0063536F"/>
    <w:rsid w:val="0063538A"/>
    <w:rsid w:val="006353AB"/>
    <w:rsid w:val="006353D7"/>
    <w:rsid w:val="006353D8"/>
    <w:rsid w:val="006353F6"/>
    <w:rsid w:val="0063540E"/>
    <w:rsid w:val="00635448"/>
    <w:rsid w:val="00635462"/>
    <w:rsid w:val="006354BE"/>
    <w:rsid w:val="006354C5"/>
    <w:rsid w:val="006354E1"/>
    <w:rsid w:val="0063551E"/>
    <w:rsid w:val="00635527"/>
    <w:rsid w:val="0063558C"/>
    <w:rsid w:val="006355D2"/>
    <w:rsid w:val="006355E7"/>
    <w:rsid w:val="00635663"/>
    <w:rsid w:val="006356AA"/>
    <w:rsid w:val="006356B9"/>
    <w:rsid w:val="006356C0"/>
    <w:rsid w:val="00635753"/>
    <w:rsid w:val="006357B8"/>
    <w:rsid w:val="006357EA"/>
    <w:rsid w:val="00635838"/>
    <w:rsid w:val="0063583B"/>
    <w:rsid w:val="00635872"/>
    <w:rsid w:val="00635891"/>
    <w:rsid w:val="006358E5"/>
    <w:rsid w:val="0063594C"/>
    <w:rsid w:val="0063594F"/>
    <w:rsid w:val="00635968"/>
    <w:rsid w:val="00635980"/>
    <w:rsid w:val="006359F1"/>
    <w:rsid w:val="00635A48"/>
    <w:rsid w:val="00635A7A"/>
    <w:rsid w:val="00635A80"/>
    <w:rsid w:val="00635A84"/>
    <w:rsid w:val="00635B02"/>
    <w:rsid w:val="00635B2C"/>
    <w:rsid w:val="00635B2F"/>
    <w:rsid w:val="00635B75"/>
    <w:rsid w:val="00635BB6"/>
    <w:rsid w:val="00635BFE"/>
    <w:rsid w:val="00635C2F"/>
    <w:rsid w:val="00635CC6"/>
    <w:rsid w:val="00635D35"/>
    <w:rsid w:val="00635D9B"/>
    <w:rsid w:val="00635D9D"/>
    <w:rsid w:val="00635DBE"/>
    <w:rsid w:val="00635DDB"/>
    <w:rsid w:val="00635DE0"/>
    <w:rsid w:val="00635E5D"/>
    <w:rsid w:val="00635E5E"/>
    <w:rsid w:val="00635E62"/>
    <w:rsid w:val="00635E6E"/>
    <w:rsid w:val="00635E8B"/>
    <w:rsid w:val="00635EF3"/>
    <w:rsid w:val="00635F0D"/>
    <w:rsid w:val="00635F21"/>
    <w:rsid w:val="00635F4F"/>
    <w:rsid w:val="00635FA6"/>
    <w:rsid w:val="00635FC6"/>
    <w:rsid w:val="00635FF6"/>
    <w:rsid w:val="00636037"/>
    <w:rsid w:val="00636044"/>
    <w:rsid w:val="00636086"/>
    <w:rsid w:val="006360EA"/>
    <w:rsid w:val="0063611A"/>
    <w:rsid w:val="00636164"/>
    <w:rsid w:val="00636176"/>
    <w:rsid w:val="00636177"/>
    <w:rsid w:val="006361BA"/>
    <w:rsid w:val="006361F5"/>
    <w:rsid w:val="00636275"/>
    <w:rsid w:val="00636282"/>
    <w:rsid w:val="006362D8"/>
    <w:rsid w:val="006362FC"/>
    <w:rsid w:val="0063630D"/>
    <w:rsid w:val="0063638F"/>
    <w:rsid w:val="006363BB"/>
    <w:rsid w:val="006363E6"/>
    <w:rsid w:val="006363F5"/>
    <w:rsid w:val="00636461"/>
    <w:rsid w:val="0063646E"/>
    <w:rsid w:val="006364B7"/>
    <w:rsid w:val="0063654D"/>
    <w:rsid w:val="00636581"/>
    <w:rsid w:val="00636585"/>
    <w:rsid w:val="006365DE"/>
    <w:rsid w:val="00636653"/>
    <w:rsid w:val="00636682"/>
    <w:rsid w:val="006366D2"/>
    <w:rsid w:val="00636752"/>
    <w:rsid w:val="0063675E"/>
    <w:rsid w:val="00636797"/>
    <w:rsid w:val="00636811"/>
    <w:rsid w:val="0063689E"/>
    <w:rsid w:val="0063691D"/>
    <w:rsid w:val="0063697D"/>
    <w:rsid w:val="00636988"/>
    <w:rsid w:val="00636A15"/>
    <w:rsid w:val="00636A73"/>
    <w:rsid w:val="00636A76"/>
    <w:rsid w:val="00636A84"/>
    <w:rsid w:val="00636AB0"/>
    <w:rsid w:val="00636ABA"/>
    <w:rsid w:val="00636ACA"/>
    <w:rsid w:val="00636B08"/>
    <w:rsid w:val="00636B25"/>
    <w:rsid w:val="00636B3F"/>
    <w:rsid w:val="00636BBF"/>
    <w:rsid w:val="00636C11"/>
    <w:rsid w:val="00636C1A"/>
    <w:rsid w:val="00636CC0"/>
    <w:rsid w:val="00636CDE"/>
    <w:rsid w:val="00636CE0"/>
    <w:rsid w:val="00636D0E"/>
    <w:rsid w:val="00636D15"/>
    <w:rsid w:val="00636D2B"/>
    <w:rsid w:val="00636D3A"/>
    <w:rsid w:val="00636EF0"/>
    <w:rsid w:val="00636F12"/>
    <w:rsid w:val="00636F22"/>
    <w:rsid w:val="00636F6E"/>
    <w:rsid w:val="00636F8F"/>
    <w:rsid w:val="00636FBF"/>
    <w:rsid w:val="00636FF5"/>
    <w:rsid w:val="00636FFB"/>
    <w:rsid w:val="00637028"/>
    <w:rsid w:val="0063708C"/>
    <w:rsid w:val="00637092"/>
    <w:rsid w:val="00637096"/>
    <w:rsid w:val="0063715E"/>
    <w:rsid w:val="00637181"/>
    <w:rsid w:val="00637187"/>
    <w:rsid w:val="006371A4"/>
    <w:rsid w:val="0063726C"/>
    <w:rsid w:val="00637279"/>
    <w:rsid w:val="0063728B"/>
    <w:rsid w:val="006372A0"/>
    <w:rsid w:val="006372A9"/>
    <w:rsid w:val="006372B5"/>
    <w:rsid w:val="00637315"/>
    <w:rsid w:val="00637335"/>
    <w:rsid w:val="0063737E"/>
    <w:rsid w:val="00637384"/>
    <w:rsid w:val="006373B1"/>
    <w:rsid w:val="006373FC"/>
    <w:rsid w:val="0063740C"/>
    <w:rsid w:val="00637451"/>
    <w:rsid w:val="00637481"/>
    <w:rsid w:val="006374AF"/>
    <w:rsid w:val="00637517"/>
    <w:rsid w:val="006375B8"/>
    <w:rsid w:val="006375CD"/>
    <w:rsid w:val="006375EF"/>
    <w:rsid w:val="0063760F"/>
    <w:rsid w:val="0063762B"/>
    <w:rsid w:val="0063763F"/>
    <w:rsid w:val="00637640"/>
    <w:rsid w:val="00637648"/>
    <w:rsid w:val="00637695"/>
    <w:rsid w:val="006376AB"/>
    <w:rsid w:val="00637745"/>
    <w:rsid w:val="00637750"/>
    <w:rsid w:val="0063775B"/>
    <w:rsid w:val="0063775E"/>
    <w:rsid w:val="0063776A"/>
    <w:rsid w:val="00637815"/>
    <w:rsid w:val="00637854"/>
    <w:rsid w:val="00637889"/>
    <w:rsid w:val="006378C4"/>
    <w:rsid w:val="0063790F"/>
    <w:rsid w:val="00637949"/>
    <w:rsid w:val="00637987"/>
    <w:rsid w:val="006379AB"/>
    <w:rsid w:val="00637A79"/>
    <w:rsid w:val="00637ACF"/>
    <w:rsid w:val="00637AE9"/>
    <w:rsid w:val="00637B2D"/>
    <w:rsid w:val="00637B40"/>
    <w:rsid w:val="00637BA8"/>
    <w:rsid w:val="00637C00"/>
    <w:rsid w:val="00637C14"/>
    <w:rsid w:val="00637C98"/>
    <w:rsid w:val="00637D9D"/>
    <w:rsid w:val="00637DEF"/>
    <w:rsid w:val="00637E3C"/>
    <w:rsid w:val="00637E54"/>
    <w:rsid w:val="00637E55"/>
    <w:rsid w:val="00637E71"/>
    <w:rsid w:val="00637F46"/>
    <w:rsid w:val="00637F7D"/>
    <w:rsid w:val="00637FB6"/>
    <w:rsid w:val="0064006F"/>
    <w:rsid w:val="00640070"/>
    <w:rsid w:val="00640095"/>
    <w:rsid w:val="006400E5"/>
    <w:rsid w:val="006400F7"/>
    <w:rsid w:val="006400FB"/>
    <w:rsid w:val="00640106"/>
    <w:rsid w:val="0064010B"/>
    <w:rsid w:val="00640176"/>
    <w:rsid w:val="006401EA"/>
    <w:rsid w:val="00640201"/>
    <w:rsid w:val="00640202"/>
    <w:rsid w:val="00640291"/>
    <w:rsid w:val="0064035F"/>
    <w:rsid w:val="00640391"/>
    <w:rsid w:val="006403D6"/>
    <w:rsid w:val="006403DB"/>
    <w:rsid w:val="006403ED"/>
    <w:rsid w:val="006403F5"/>
    <w:rsid w:val="006403F8"/>
    <w:rsid w:val="0064042E"/>
    <w:rsid w:val="00640495"/>
    <w:rsid w:val="006404DC"/>
    <w:rsid w:val="006404E9"/>
    <w:rsid w:val="0064053A"/>
    <w:rsid w:val="006405D8"/>
    <w:rsid w:val="00640612"/>
    <w:rsid w:val="00640629"/>
    <w:rsid w:val="00640651"/>
    <w:rsid w:val="00640682"/>
    <w:rsid w:val="00640739"/>
    <w:rsid w:val="006407A6"/>
    <w:rsid w:val="006407FE"/>
    <w:rsid w:val="006408B9"/>
    <w:rsid w:val="006408C0"/>
    <w:rsid w:val="00640937"/>
    <w:rsid w:val="00640964"/>
    <w:rsid w:val="00640A3F"/>
    <w:rsid w:val="00640AE5"/>
    <w:rsid w:val="00640B4D"/>
    <w:rsid w:val="00640B55"/>
    <w:rsid w:val="00640B91"/>
    <w:rsid w:val="00640BDD"/>
    <w:rsid w:val="00640C00"/>
    <w:rsid w:val="00640C07"/>
    <w:rsid w:val="00640C3B"/>
    <w:rsid w:val="00640C5C"/>
    <w:rsid w:val="00640C6E"/>
    <w:rsid w:val="00640CA6"/>
    <w:rsid w:val="00640DC0"/>
    <w:rsid w:val="00640DD6"/>
    <w:rsid w:val="00640E1D"/>
    <w:rsid w:val="00640E73"/>
    <w:rsid w:val="00640F30"/>
    <w:rsid w:val="00640F37"/>
    <w:rsid w:val="00640F80"/>
    <w:rsid w:val="00640FB7"/>
    <w:rsid w:val="00640FE3"/>
    <w:rsid w:val="0064102A"/>
    <w:rsid w:val="00641042"/>
    <w:rsid w:val="00641046"/>
    <w:rsid w:val="00641056"/>
    <w:rsid w:val="00641084"/>
    <w:rsid w:val="0064109A"/>
    <w:rsid w:val="006410F5"/>
    <w:rsid w:val="00641102"/>
    <w:rsid w:val="0064111E"/>
    <w:rsid w:val="00641156"/>
    <w:rsid w:val="00641160"/>
    <w:rsid w:val="00641198"/>
    <w:rsid w:val="00641199"/>
    <w:rsid w:val="006411A4"/>
    <w:rsid w:val="006411AC"/>
    <w:rsid w:val="006411E7"/>
    <w:rsid w:val="00641203"/>
    <w:rsid w:val="00641209"/>
    <w:rsid w:val="006412A2"/>
    <w:rsid w:val="006412E7"/>
    <w:rsid w:val="0064132A"/>
    <w:rsid w:val="00641332"/>
    <w:rsid w:val="00641351"/>
    <w:rsid w:val="00641395"/>
    <w:rsid w:val="006413BC"/>
    <w:rsid w:val="006413D5"/>
    <w:rsid w:val="006413E2"/>
    <w:rsid w:val="00641447"/>
    <w:rsid w:val="00641471"/>
    <w:rsid w:val="00641479"/>
    <w:rsid w:val="00641497"/>
    <w:rsid w:val="006414B5"/>
    <w:rsid w:val="006414C3"/>
    <w:rsid w:val="006414EB"/>
    <w:rsid w:val="00641575"/>
    <w:rsid w:val="006415A8"/>
    <w:rsid w:val="006415E9"/>
    <w:rsid w:val="006415FE"/>
    <w:rsid w:val="00641649"/>
    <w:rsid w:val="0064166E"/>
    <w:rsid w:val="00641686"/>
    <w:rsid w:val="0064168F"/>
    <w:rsid w:val="006416C2"/>
    <w:rsid w:val="006416E6"/>
    <w:rsid w:val="00641702"/>
    <w:rsid w:val="00641755"/>
    <w:rsid w:val="0064175F"/>
    <w:rsid w:val="0064178F"/>
    <w:rsid w:val="00641796"/>
    <w:rsid w:val="006417BB"/>
    <w:rsid w:val="006417F8"/>
    <w:rsid w:val="00641819"/>
    <w:rsid w:val="0064182E"/>
    <w:rsid w:val="00641831"/>
    <w:rsid w:val="00641896"/>
    <w:rsid w:val="006418C1"/>
    <w:rsid w:val="006418FB"/>
    <w:rsid w:val="00641911"/>
    <w:rsid w:val="00641943"/>
    <w:rsid w:val="006419AF"/>
    <w:rsid w:val="006419CA"/>
    <w:rsid w:val="006419CF"/>
    <w:rsid w:val="00641A6A"/>
    <w:rsid w:val="00641ACE"/>
    <w:rsid w:val="00641B5F"/>
    <w:rsid w:val="00641BA3"/>
    <w:rsid w:val="00641C95"/>
    <w:rsid w:val="00641CDF"/>
    <w:rsid w:val="00641CF4"/>
    <w:rsid w:val="00641D46"/>
    <w:rsid w:val="00641DD2"/>
    <w:rsid w:val="00641E08"/>
    <w:rsid w:val="00641E6F"/>
    <w:rsid w:val="00641EEE"/>
    <w:rsid w:val="00641F22"/>
    <w:rsid w:val="00641F23"/>
    <w:rsid w:val="00641F2B"/>
    <w:rsid w:val="00641FD0"/>
    <w:rsid w:val="00641FD6"/>
    <w:rsid w:val="00641FE9"/>
    <w:rsid w:val="00641FED"/>
    <w:rsid w:val="00642019"/>
    <w:rsid w:val="006420A1"/>
    <w:rsid w:val="006420B8"/>
    <w:rsid w:val="006420D4"/>
    <w:rsid w:val="0064219E"/>
    <w:rsid w:val="006421A5"/>
    <w:rsid w:val="006421B6"/>
    <w:rsid w:val="0064220D"/>
    <w:rsid w:val="00642239"/>
    <w:rsid w:val="00642242"/>
    <w:rsid w:val="0064225F"/>
    <w:rsid w:val="0064227D"/>
    <w:rsid w:val="00642311"/>
    <w:rsid w:val="00642332"/>
    <w:rsid w:val="0064234E"/>
    <w:rsid w:val="00642358"/>
    <w:rsid w:val="0064235F"/>
    <w:rsid w:val="006423A3"/>
    <w:rsid w:val="006423D3"/>
    <w:rsid w:val="006423EC"/>
    <w:rsid w:val="00642410"/>
    <w:rsid w:val="00642428"/>
    <w:rsid w:val="00642433"/>
    <w:rsid w:val="00642440"/>
    <w:rsid w:val="00642476"/>
    <w:rsid w:val="00642489"/>
    <w:rsid w:val="006424A9"/>
    <w:rsid w:val="006424D9"/>
    <w:rsid w:val="006424F2"/>
    <w:rsid w:val="006424F5"/>
    <w:rsid w:val="0064251D"/>
    <w:rsid w:val="00642551"/>
    <w:rsid w:val="00642592"/>
    <w:rsid w:val="006425C7"/>
    <w:rsid w:val="006425DE"/>
    <w:rsid w:val="006425E4"/>
    <w:rsid w:val="00642600"/>
    <w:rsid w:val="0064260A"/>
    <w:rsid w:val="00642627"/>
    <w:rsid w:val="0064262B"/>
    <w:rsid w:val="0064266A"/>
    <w:rsid w:val="0064271E"/>
    <w:rsid w:val="0064272A"/>
    <w:rsid w:val="00642737"/>
    <w:rsid w:val="00642745"/>
    <w:rsid w:val="00642760"/>
    <w:rsid w:val="0064288B"/>
    <w:rsid w:val="006428C9"/>
    <w:rsid w:val="006428FA"/>
    <w:rsid w:val="00642904"/>
    <w:rsid w:val="0064292D"/>
    <w:rsid w:val="006429BB"/>
    <w:rsid w:val="00642A13"/>
    <w:rsid w:val="00642C50"/>
    <w:rsid w:val="00642C54"/>
    <w:rsid w:val="00642C72"/>
    <w:rsid w:val="00642C95"/>
    <w:rsid w:val="00642CC1"/>
    <w:rsid w:val="00642DAA"/>
    <w:rsid w:val="00642DF5"/>
    <w:rsid w:val="00642E2B"/>
    <w:rsid w:val="00642E31"/>
    <w:rsid w:val="00642E7A"/>
    <w:rsid w:val="00642E87"/>
    <w:rsid w:val="00642F32"/>
    <w:rsid w:val="00642F9A"/>
    <w:rsid w:val="0064304E"/>
    <w:rsid w:val="00643068"/>
    <w:rsid w:val="006430AD"/>
    <w:rsid w:val="006430DB"/>
    <w:rsid w:val="00643171"/>
    <w:rsid w:val="00643193"/>
    <w:rsid w:val="006431AF"/>
    <w:rsid w:val="006431B0"/>
    <w:rsid w:val="006431C9"/>
    <w:rsid w:val="006431E8"/>
    <w:rsid w:val="00643226"/>
    <w:rsid w:val="00643234"/>
    <w:rsid w:val="0064326A"/>
    <w:rsid w:val="00643288"/>
    <w:rsid w:val="00643296"/>
    <w:rsid w:val="006432B6"/>
    <w:rsid w:val="006432BA"/>
    <w:rsid w:val="006432C6"/>
    <w:rsid w:val="00643300"/>
    <w:rsid w:val="00643331"/>
    <w:rsid w:val="00643355"/>
    <w:rsid w:val="0064338B"/>
    <w:rsid w:val="00643418"/>
    <w:rsid w:val="00643444"/>
    <w:rsid w:val="006434E3"/>
    <w:rsid w:val="006434E5"/>
    <w:rsid w:val="00643501"/>
    <w:rsid w:val="00643537"/>
    <w:rsid w:val="00643596"/>
    <w:rsid w:val="006435E5"/>
    <w:rsid w:val="00643623"/>
    <w:rsid w:val="0064362F"/>
    <w:rsid w:val="00643639"/>
    <w:rsid w:val="00643642"/>
    <w:rsid w:val="00643666"/>
    <w:rsid w:val="0064366C"/>
    <w:rsid w:val="0064369E"/>
    <w:rsid w:val="00643777"/>
    <w:rsid w:val="0064380B"/>
    <w:rsid w:val="00643817"/>
    <w:rsid w:val="0064384E"/>
    <w:rsid w:val="00643923"/>
    <w:rsid w:val="00643940"/>
    <w:rsid w:val="00643963"/>
    <w:rsid w:val="00643983"/>
    <w:rsid w:val="006439AF"/>
    <w:rsid w:val="006439BC"/>
    <w:rsid w:val="006439DE"/>
    <w:rsid w:val="006439E3"/>
    <w:rsid w:val="006439EA"/>
    <w:rsid w:val="00643A1F"/>
    <w:rsid w:val="00643A6F"/>
    <w:rsid w:val="00643AA4"/>
    <w:rsid w:val="00643AAE"/>
    <w:rsid w:val="00643AF0"/>
    <w:rsid w:val="00643B06"/>
    <w:rsid w:val="00643B27"/>
    <w:rsid w:val="00643B32"/>
    <w:rsid w:val="00643B3B"/>
    <w:rsid w:val="00643B86"/>
    <w:rsid w:val="00643B9A"/>
    <w:rsid w:val="00643BA1"/>
    <w:rsid w:val="00643D0C"/>
    <w:rsid w:val="00643D1A"/>
    <w:rsid w:val="00643D2A"/>
    <w:rsid w:val="00643D6B"/>
    <w:rsid w:val="00643D81"/>
    <w:rsid w:val="00643D90"/>
    <w:rsid w:val="00643DA3"/>
    <w:rsid w:val="00643DE5"/>
    <w:rsid w:val="00643DE9"/>
    <w:rsid w:val="00643E82"/>
    <w:rsid w:val="00643EA6"/>
    <w:rsid w:val="00643EBD"/>
    <w:rsid w:val="00643F4A"/>
    <w:rsid w:val="00643F77"/>
    <w:rsid w:val="00643F96"/>
    <w:rsid w:val="00643FF0"/>
    <w:rsid w:val="00644003"/>
    <w:rsid w:val="0064400A"/>
    <w:rsid w:val="00644082"/>
    <w:rsid w:val="00644140"/>
    <w:rsid w:val="0064416B"/>
    <w:rsid w:val="0064419D"/>
    <w:rsid w:val="006441BB"/>
    <w:rsid w:val="006441E6"/>
    <w:rsid w:val="006441EA"/>
    <w:rsid w:val="00644213"/>
    <w:rsid w:val="00644248"/>
    <w:rsid w:val="00644267"/>
    <w:rsid w:val="00644325"/>
    <w:rsid w:val="0064433B"/>
    <w:rsid w:val="00644385"/>
    <w:rsid w:val="00644435"/>
    <w:rsid w:val="0064447E"/>
    <w:rsid w:val="006444AF"/>
    <w:rsid w:val="006444B6"/>
    <w:rsid w:val="006444C1"/>
    <w:rsid w:val="006444C2"/>
    <w:rsid w:val="006444C8"/>
    <w:rsid w:val="006444CF"/>
    <w:rsid w:val="006444D4"/>
    <w:rsid w:val="00644512"/>
    <w:rsid w:val="00644522"/>
    <w:rsid w:val="0064453A"/>
    <w:rsid w:val="0064453B"/>
    <w:rsid w:val="00644555"/>
    <w:rsid w:val="00644574"/>
    <w:rsid w:val="006445B8"/>
    <w:rsid w:val="00644602"/>
    <w:rsid w:val="0064467F"/>
    <w:rsid w:val="006446B3"/>
    <w:rsid w:val="006446C5"/>
    <w:rsid w:val="006446F8"/>
    <w:rsid w:val="00644722"/>
    <w:rsid w:val="006447C7"/>
    <w:rsid w:val="0064486A"/>
    <w:rsid w:val="0064488F"/>
    <w:rsid w:val="00644898"/>
    <w:rsid w:val="006448C8"/>
    <w:rsid w:val="006448CB"/>
    <w:rsid w:val="00644929"/>
    <w:rsid w:val="00644957"/>
    <w:rsid w:val="0064499B"/>
    <w:rsid w:val="006449D6"/>
    <w:rsid w:val="00644A62"/>
    <w:rsid w:val="00644A74"/>
    <w:rsid w:val="00644A8E"/>
    <w:rsid w:val="00644A9B"/>
    <w:rsid w:val="00644B0B"/>
    <w:rsid w:val="00644B0F"/>
    <w:rsid w:val="00644B37"/>
    <w:rsid w:val="00644B3B"/>
    <w:rsid w:val="00644B5E"/>
    <w:rsid w:val="00644B5F"/>
    <w:rsid w:val="00644B63"/>
    <w:rsid w:val="00644B6B"/>
    <w:rsid w:val="00644C37"/>
    <w:rsid w:val="00644C59"/>
    <w:rsid w:val="00644C5D"/>
    <w:rsid w:val="00644C64"/>
    <w:rsid w:val="00644C96"/>
    <w:rsid w:val="00644CA8"/>
    <w:rsid w:val="00644CE5"/>
    <w:rsid w:val="00644D08"/>
    <w:rsid w:val="00644D26"/>
    <w:rsid w:val="00644D4E"/>
    <w:rsid w:val="00644D5E"/>
    <w:rsid w:val="00644D62"/>
    <w:rsid w:val="00644D89"/>
    <w:rsid w:val="00644DD2"/>
    <w:rsid w:val="00644E3A"/>
    <w:rsid w:val="00644E99"/>
    <w:rsid w:val="00644EE7"/>
    <w:rsid w:val="00644F6A"/>
    <w:rsid w:val="00644F8E"/>
    <w:rsid w:val="00644FCC"/>
    <w:rsid w:val="00644FDA"/>
    <w:rsid w:val="0064500E"/>
    <w:rsid w:val="00645018"/>
    <w:rsid w:val="0064502A"/>
    <w:rsid w:val="00645035"/>
    <w:rsid w:val="00645091"/>
    <w:rsid w:val="006450A6"/>
    <w:rsid w:val="006451B7"/>
    <w:rsid w:val="00645258"/>
    <w:rsid w:val="00645274"/>
    <w:rsid w:val="006452A3"/>
    <w:rsid w:val="006452BC"/>
    <w:rsid w:val="0064534D"/>
    <w:rsid w:val="00645390"/>
    <w:rsid w:val="006453D4"/>
    <w:rsid w:val="006453DB"/>
    <w:rsid w:val="00645431"/>
    <w:rsid w:val="00645451"/>
    <w:rsid w:val="00645476"/>
    <w:rsid w:val="006454B4"/>
    <w:rsid w:val="006454DE"/>
    <w:rsid w:val="00645539"/>
    <w:rsid w:val="0064559A"/>
    <w:rsid w:val="006455B0"/>
    <w:rsid w:val="006455FF"/>
    <w:rsid w:val="00645618"/>
    <w:rsid w:val="00645623"/>
    <w:rsid w:val="00645650"/>
    <w:rsid w:val="006456C4"/>
    <w:rsid w:val="0064571D"/>
    <w:rsid w:val="00645728"/>
    <w:rsid w:val="006457D3"/>
    <w:rsid w:val="00645884"/>
    <w:rsid w:val="00645893"/>
    <w:rsid w:val="006458CA"/>
    <w:rsid w:val="00645942"/>
    <w:rsid w:val="00645965"/>
    <w:rsid w:val="00645974"/>
    <w:rsid w:val="0064597B"/>
    <w:rsid w:val="006459B5"/>
    <w:rsid w:val="00645A5D"/>
    <w:rsid w:val="00645A95"/>
    <w:rsid w:val="00645AA2"/>
    <w:rsid w:val="00645AA4"/>
    <w:rsid w:val="00645AE3"/>
    <w:rsid w:val="00645B21"/>
    <w:rsid w:val="00645B76"/>
    <w:rsid w:val="00645C0E"/>
    <w:rsid w:val="00645CB1"/>
    <w:rsid w:val="00645D0D"/>
    <w:rsid w:val="00645D1B"/>
    <w:rsid w:val="00645D4B"/>
    <w:rsid w:val="00645D66"/>
    <w:rsid w:val="00645D91"/>
    <w:rsid w:val="00645D9F"/>
    <w:rsid w:val="00645DFA"/>
    <w:rsid w:val="00645E02"/>
    <w:rsid w:val="00645E5A"/>
    <w:rsid w:val="00645E65"/>
    <w:rsid w:val="00645EA1"/>
    <w:rsid w:val="00645ECC"/>
    <w:rsid w:val="00645F78"/>
    <w:rsid w:val="00645F8E"/>
    <w:rsid w:val="0064601C"/>
    <w:rsid w:val="00646042"/>
    <w:rsid w:val="0064609B"/>
    <w:rsid w:val="006460AB"/>
    <w:rsid w:val="006460B9"/>
    <w:rsid w:val="006460FA"/>
    <w:rsid w:val="00646110"/>
    <w:rsid w:val="0064613A"/>
    <w:rsid w:val="00646146"/>
    <w:rsid w:val="00646154"/>
    <w:rsid w:val="00646169"/>
    <w:rsid w:val="0064617C"/>
    <w:rsid w:val="006461E8"/>
    <w:rsid w:val="006461F5"/>
    <w:rsid w:val="0064632B"/>
    <w:rsid w:val="006463CE"/>
    <w:rsid w:val="006463E5"/>
    <w:rsid w:val="006463FE"/>
    <w:rsid w:val="00646424"/>
    <w:rsid w:val="00646429"/>
    <w:rsid w:val="00646451"/>
    <w:rsid w:val="006464AF"/>
    <w:rsid w:val="0064653E"/>
    <w:rsid w:val="00646576"/>
    <w:rsid w:val="0064657E"/>
    <w:rsid w:val="0064659A"/>
    <w:rsid w:val="006465B3"/>
    <w:rsid w:val="006465C8"/>
    <w:rsid w:val="00646603"/>
    <w:rsid w:val="0064664C"/>
    <w:rsid w:val="0064666C"/>
    <w:rsid w:val="0064666D"/>
    <w:rsid w:val="0064667D"/>
    <w:rsid w:val="00646680"/>
    <w:rsid w:val="006466A7"/>
    <w:rsid w:val="006466C0"/>
    <w:rsid w:val="006466D6"/>
    <w:rsid w:val="00646724"/>
    <w:rsid w:val="00646736"/>
    <w:rsid w:val="00646765"/>
    <w:rsid w:val="0064676F"/>
    <w:rsid w:val="006467AF"/>
    <w:rsid w:val="006467BF"/>
    <w:rsid w:val="006468B7"/>
    <w:rsid w:val="006468FD"/>
    <w:rsid w:val="00646925"/>
    <w:rsid w:val="00646927"/>
    <w:rsid w:val="00646968"/>
    <w:rsid w:val="0064698E"/>
    <w:rsid w:val="006469CC"/>
    <w:rsid w:val="00646A1A"/>
    <w:rsid w:val="00646A23"/>
    <w:rsid w:val="00646A48"/>
    <w:rsid w:val="00646A5C"/>
    <w:rsid w:val="00646AB5"/>
    <w:rsid w:val="00646AF1"/>
    <w:rsid w:val="00646AFE"/>
    <w:rsid w:val="00646B05"/>
    <w:rsid w:val="00646B17"/>
    <w:rsid w:val="00646B23"/>
    <w:rsid w:val="00646B2A"/>
    <w:rsid w:val="00646B3E"/>
    <w:rsid w:val="00646B5F"/>
    <w:rsid w:val="00646C11"/>
    <w:rsid w:val="00646C17"/>
    <w:rsid w:val="00646C18"/>
    <w:rsid w:val="00646C40"/>
    <w:rsid w:val="00646C63"/>
    <w:rsid w:val="00646C72"/>
    <w:rsid w:val="00646CCA"/>
    <w:rsid w:val="00646D04"/>
    <w:rsid w:val="00646D10"/>
    <w:rsid w:val="00646D87"/>
    <w:rsid w:val="00646D93"/>
    <w:rsid w:val="00646E18"/>
    <w:rsid w:val="00646E58"/>
    <w:rsid w:val="00646E5F"/>
    <w:rsid w:val="00646EFA"/>
    <w:rsid w:val="00646F30"/>
    <w:rsid w:val="00646F3F"/>
    <w:rsid w:val="00646F53"/>
    <w:rsid w:val="00646F5F"/>
    <w:rsid w:val="00646F84"/>
    <w:rsid w:val="00646F99"/>
    <w:rsid w:val="00646FDE"/>
    <w:rsid w:val="0064702C"/>
    <w:rsid w:val="00647045"/>
    <w:rsid w:val="006470B3"/>
    <w:rsid w:val="0064719C"/>
    <w:rsid w:val="00647204"/>
    <w:rsid w:val="0064720D"/>
    <w:rsid w:val="00647275"/>
    <w:rsid w:val="00647291"/>
    <w:rsid w:val="00647295"/>
    <w:rsid w:val="006472B8"/>
    <w:rsid w:val="006472C9"/>
    <w:rsid w:val="006472CC"/>
    <w:rsid w:val="006472D3"/>
    <w:rsid w:val="006472E8"/>
    <w:rsid w:val="00647321"/>
    <w:rsid w:val="0064734F"/>
    <w:rsid w:val="00647355"/>
    <w:rsid w:val="00647393"/>
    <w:rsid w:val="0064740C"/>
    <w:rsid w:val="0064743E"/>
    <w:rsid w:val="0064748F"/>
    <w:rsid w:val="006474B5"/>
    <w:rsid w:val="00647502"/>
    <w:rsid w:val="006475B1"/>
    <w:rsid w:val="006475D0"/>
    <w:rsid w:val="00647651"/>
    <w:rsid w:val="00647660"/>
    <w:rsid w:val="00647665"/>
    <w:rsid w:val="00647681"/>
    <w:rsid w:val="00647683"/>
    <w:rsid w:val="0064768B"/>
    <w:rsid w:val="006476D1"/>
    <w:rsid w:val="006476EF"/>
    <w:rsid w:val="00647717"/>
    <w:rsid w:val="00647732"/>
    <w:rsid w:val="00647753"/>
    <w:rsid w:val="00647754"/>
    <w:rsid w:val="0064776E"/>
    <w:rsid w:val="006477C6"/>
    <w:rsid w:val="006477D7"/>
    <w:rsid w:val="006477ED"/>
    <w:rsid w:val="006477F2"/>
    <w:rsid w:val="00647844"/>
    <w:rsid w:val="006478F2"/>
    <w:rsid w:val="00647958"/>
    <w:rsid w:val="00647967"/>
    <w:rsid w:val="006479AB"/>
    <w:rsid w:val="006479DF"/>
    <w:rsid w:val="006479E4"/>
    <w:rsid w:val="00647A25"/>
    <w:rsid w:val="00647A58"/>
    <w:rsid w:val="00647A65"/>
    <w:rsid w:val="00647A6C"/>
    <w:rsid w:val="00647ABA"/>
    <w:rsid w:val="00647B21"/>
    <w:rsid w:val="00647B5F"/>
    <w:rsid w:val="00647B8A"/>
    <w:rsid w:val="00647BA4"/>
    <w:rsid w:val="00647C8F"/>
    <w:rsid w:val="00647CC7"/>
    <w:rsid w:val="00647CDA"/>
    <w:rsid w:val="00647CF7"/>
    <w:rsid w:val="00647D2D"/>
    <w:rsid w:val="00647DCC"/>
    <w:rsid w:val="00647E30"/>
    <w:rsid w:val="00647E31"/>
    <w:rsid w:val="00647E74"/>
    <w:rsid w:val="00647E83"/>
    <w:rsid w:val="00647E8F"/>
    <w:rsid w:val="00647E9A"/>
    <w:rsid w:val="00647F2C"/>
    <w:rsid w:val="00647F3F"/>
    <w:rsid w:val="00647F4C"/>
    <w:rsid w:val="00647F82"/>
    <w:rsid w:val="00647F9B"/>
    <w:rsid w:val="00647FD3"/>
    <w:rsid w:val="00647FE0"/>
    <w:rsid w:val="00650001"/>
    <w:rsid w:val="00650009"/>
    <w:rsid w:val="00650037"/>
    <w:rsid w:val="00650074"/>
    <w:rsid w:val="0065007F"/>
    <w:rsid w:val="006500D3"/>
    <w:rsid w:val="0065012B"/>
    <w:rsid w:val="0065018F"/>
    <w:rsid w:val="006501D6"/>
    <w:rsid w:val="006501D9"/>
    <w:rsid w:val="006501EB"/>
    <w:rsid w:val="0065023D"/>
    <w:rsid w:val="00650246"/>
    <w:rsid w:val="00650264"/>
    <w:rsid w:val="00650290"/>
    <w:rsid w:val="00650293"/>
    <w:rsid w:val="006502BE"/>
    <w:rsid w:val="006502FF"/>
    <w:rsid w:val="0065030C"/>
    <w:rsid w:val="0065031F"/>
    <w:rsid w:val="0065033A"/>
    <w:rsid w:val="006504FC"/>
    <w:rsid w:val="006504FF"/>
    <w:rsid w:val="00650530"/>
    <w:rsid w:val="00650536"/>
    <w:rsid w:val="00650556"/>
    <w:rsid w:val="00650568"/>
    <w:rsid w:val="00650585"/>
    <w:rsid w:val="0065058C"/>
    <w:rsid w:val="00650598"/>
    <w:rsid w:val="006505ED"/>
    <w:rsid w:val="006505EF"/>
    <w:rsid w:val="00650639"/>
    <w:rsid w:val="0065064C"/>
    <w:rsid w:val="00650685"/>
    <w:rsid w:val="006506A3"/>
    <w:rsid w:val="006506F5"/>
    <w:rsid w:val="00650775"/>
    <w:rsid w:val="006507B1"/>
    <w:rsid w:val="006507CA"/>
    <w:rsid w:val="00650802"/>
    <w:rsid w:val="0065083A"/>
    <w:rsid w:val="0065083C"/>
    <w:rsid w:val="00650844"/>
    <w:rsid w:val="00650857"/>
    <w:rsid w:val="006508DC"/>
    <w:rsid w:val="00650918"/>
    <w:rsid w:val="0065095A"/>
    <w:rsid w:val="006509B4"/>
    <w:rsid w:val="006509E9"/>
    <w:rsid w:val="00650A2E"/>
    <w:rsid w:val="00650AF0"/>
    <w:rsid w:val="00650B5E"/>
    <w:rsid w:val="00650B94"/>
    <w:rsid w:val="00650BA5"/>
    <w:rsid w:val="00650BA8"/>
    <w:rsid w:val="00650C29"/>
    <w:rsid w:val="00650C30"/>
    <w:rsid w:val="00650C9E"/>
    <w:rsid w:val="00650D04"/>
    <w:rsid w:val="00650D0F"/>
    <w:rsid w:val="00650D4C"/>
    <w:rsid w:val="00650D66"/>
    <w:rsid w:val="00650D6E"/>
    <w:rsid w:val="00650D7F"/>
    <w:rsid w:val="00650DB0"/>
    <w:rsid w:val="00650DC3"/>
    <w:rsid w:val="00650E7F"/>
    <w:rsid w:val="00650EEC"/>
    <w:rsid w:val="00650F2E"/>
    <w:rsid w:val="00650F54"/>
    <w:rsid w:val="00650FCB"/>
    <w:rsid w:val="00650FDB"/>
    <w:rsid w:val="00651028"/>
    <w:rsid w:val="00651062"/>
    <w:rsid w:val="006510A0"/>
    <w:rsid w:val="006510B4"/>
    <w:rsid w:val="006510BB"/>
    <w:rsid w:val="006510E8"/>
    <w:rsid w:val="00651121"/>
    <w:rsid w:val="00651149"/>
    <w:rsid w:val="00651261"/>
    <w:rsid w:val="00651263"/>
    <w:rsid w:val="0065126C"/>
    <w:rsid w:val="00651281"/>
    <w:rsid w:val="00651298"/>
    <w:rsid w:val="006512AF"/>
    <w:rsid w:val="006512B8"/>
    <w:rsid w:val="006512CD"/>
    <w:rsid w:val="006512D9"/>
    <w:rsid w:val="0065139C"/>
    <w:rsid w:val="006513EF"/>
    <w:rsid w:val="0065144B"/>
    <w:rsid w:val="00651453"/>
    <w:rsid w:val="0065149F"/>
    <w:rsid w:val="006514D2"/>
    <w:rsid w:val="0065159B"/>
    <w:rsid w:val="006515A7"/>
    <w:rsid w:val="006515B6"/>
    <w:rsid w:val="006515D0"/>
    <w:rsid w:val="006515E1"/>
    <w:rsid w:val="0065160A"/>
    <w:rsid w:val="0065162A"/>
    <w:rsid w:val="00651656"/>
    <w:rsid w:val="006516D4"/>
    <w:rsid w:val="006516FE"/>
    <w:rsid w:val="0065178B"/>
    <w:rsid w:val="006517F4"/>
    <w:rsid w:val="00651809"/>
    <w:rsid w:val="00651820"/>
    <w:rsid w:val="00651844"/>
    <w:rsid w:val="0065186F"/>
    <w:rsid w:val="006518C0"/>
    <w:rsid w:val="00651921"/>
    <w:rsid w:val="0065197F"/>
    <w:rsid w:val="006519BE"/>
    <w:rsid w:val="006519D2"/>
    <w:rsid w:val="006519F8"/>
    <w:rsid w:val="00651A2A"/>
    <w:rsid w:val="00651A7E"/>
    <w:rsid w:val="00651AB3"/>
    <w:rsid w:val="00651ACB"/>
    <w:rsid w:val="00651AEF"/>
    <w:rsid w:val="00651B35"/>
    <w:rsid w:val="00651B49"/>
    <w:rsid w:val="00651B50"/>
    <w:rsid w:val="00651B70"/>
    <w:rsid w:val="00651BA3"/>
    <w:rsid w:val="00651C1F"/>
    <w:rsid w:val="00651C49"/>
    <w:rsid w:val="00651CBF"/>
    <w:rsid w:val="00651CE6"/>
    <w:rsid w:val="00651CEE"/>
    <w:rsid w:val="00651D1B"/>
    <w:rsid w:val="00651D9D"/>
    <w:rsid w:val="00651DFA"/>
    <w:rsid w:val="00651E12"/>
    <w:rsid w:val="00651E14"/>
    <w:rsid w:val="00651E4F"/>
    <w:rsid w:val="00651F16"/>
    <w:rsid w:val="00651F34"/>
    <w:rsid w:val="00651F54"/>
    <w:rsid w:val="00651F66"/>
    <w:rsid w:val="00651FB9"/>
    <w:rsid w:val="00651FEA"/>
    <w:rsid w:val="00651FF8"/>
    <w:rsid w:val="0065203E"/>
    <w:rsid w:val="00652065"/>
    <w:rsid w:val="006520A6"/>
    <w:rsid w:val="0065210B"/>
    <w:rsid w:val="00652115"/>
    <w:rsid w:val="0065211F"/>
    <w:rsid w:val="00652136"/>
    <w:rsid w:val="00652167"/>
    <w:rsid w:val="00652172"/>
    <w:rsid w:val="0065223C"/>
    <w:rsid w:val="0065228A"/>
    <w:rsid w:val="006522AA"/>
    <w:rsid w:val="006522FD"/>
    <w:rsid w:val="00652315"/>
    <w:rsid w:val="00652334"/>
    <w:rsid w:val="0065236B"/>
    <w:rsid w:val="006523AD"/>
    <w:rsid w:val="006523D0"/>
    <w:rsid w:val="006523EC"/>
    <w:rsid w:val="0065243E"/>
    <w:rsid w:val="00652461"/>
    <w:rsid w:val="0065247C"/>
    <w:rsid w:val="006524BF"/>
    <w:rsid w:val="00652547"/>
    <w:rsid w:val="006525BD"/>
    <w:rsid w:val="006525D8"/>
    <w:rsid w:val="0065261B"/>
    <w:rsid w:val="0065262B"/>
    <w:rsid w:val="0065266A"/>
    <w:rsid w:val="0065268D"/>
    <w:rsid w:val="006526AF"/>
    <w:rsid w:val="00652738"/>
    <w:rsid w:val="0065276B"/>
    <w:rsid w:val="0065276C"/>
    <w:rsid w:val="0065278E"/>
    <w:rsid w:val="006527C7"/>
    <w:rsid w:val="0065282F"/>
    <w:rsid w:val="0065284F"/>
    <w:rsid w:val="006528E7"/>
    <w:rsid w:val="00652915"/>
    <w:rsid w:val="00652957"/>
    <w:rsid w:val="0065295B"/>
    <w:rsid w:val="00652A67"/>
    <w:rsid w:val="00652ABA"/>
    <w:rsid w:val="00652AD2"/>
    <w:rsid w:val="00652BFA"/>
    <w:rsid w:val="00652C0D"/>
    <w:rsid w:val="00652C57"/>
    <w:rsid w:val="00652CBA"/>
    <w:rsid w:val="00652CDE"/>
    <w:rsid w:val="00652CE4"/>
    <w:rsid w:val="00652D00"/>
    <w:rsid w:val="00652D0A"/>
    <w:rsid w:val="00652D43"/>
    <w:rsid w:val="00652D55"/>
    <w:rsid w:val="00652D6F"/>
    <w:rsid w:val="00652D98"/>
    <w:rsid w:val="00652D9E"/>
    <w:rsid w:val="00652DC5"/>
    <w:rsid w:val="00652E46"/>
    <w:rsid w:val="00652E52"/>
    <w:rsid w:val="00653006"/>
    <w:rsid w:val="0065300D"/>
    <w:rsid w:val="0065304E"/>
    <w:rsid w:val="00653051"/>
    <w:rsid w:val="00653082"/>
    <w:rsid w:val="006531A8"/>
    <w:rsid w:val="0065320B"/>
    <w:rsid w:val="00653240"/>
    <w:rsid w:val="006532F9"/>
    <w:rsid w:val="00653324"/>
    <w:rsid w:val="0065333A"/>
    <w:rsid w:val="00653350"/>
    <w:rsid w:val="0065338D"/>
    <w:rsid w:val="006533AB"/>
    <w:rsid w:val="00653401"/>
    <w:rsid w:val="00653403"/>
    <w:rsid w:val="00653417"/>
    <w:rsid w:val="0065345A"/>
    <w:rsid w:val="0065345E"/>
    <w:rsid w:val="00653469"/>
    <w:rsid w:val="0065350E"/>
    <w:rsid w:val="00653527"/>
    <w:rsid w:val="0065352E"/>
    <w:rsid w:val="00653550"/>
    <w:rsid w:val="00653572"/>
    <w:rsid w:val="006535C4"/>
    <w:rsid w:val="006535DB"/>
    <w:rsid w:val="006535FA"/>
    <w:rsid w:val="00653641"/>
    <w:rsid w:val="00653682"/>
    <w:rsid w:val="006536F1"/>
    <w:rsid w:val="00653726"/>
    <w:rsid w:val="006537A1"/>
    <w:rsid w:val="006537FE"/>
    <w:rsid w:val="00653882"/>
    <w:rsid w:val="006538E6"/>
    <w:rsid w:val="006538F7"/>
    <w:rsid w:val="00653913"/>
    <w:rsid w:val="00653917"/>
    <w:rsid w:val="00653978"/>
    <w:rsid w:val="006539B0"/>
    <w:rsid w:val="006539D6"/>
    <w:rsid w:val="00653A0D"/>
    <w:rsid w:val="00653A75"/>
    <w:rsid w:val="00653A9E"/>
    <w:rsid w:val="00653AD1"/>
    <w:rsid w:val="00653AF5"/>
    <w:rsid w:val="00653B34"/>
    <w:rsid w:val="00653B3A"/>
    <w:rsid w:val="00653B4A"/>
    <w:rsid w:val="00653B80"/>
    <w:rsid w:val="00653BBF"/>
    <w:rsid w:val="00653BD5"/>
    <w:rsid w:val="00653BDC"/>
    <w:rsid w:val="00653C3D"/>
    <w:rsid w:val="00653CF7"/>
    <w:rsid w:val="00653CFB"/>
    <w:rsid w:val="00653D47"/>
    <w:rsid w:val="00653DA5"/>
    <w:rsid w:val="00653DC2"/>
    <w:rsid w:val="00653DE1"/>
    <w:rsid w:val="00653E28"/>
    <w:rsid w:val="00653F1D"/>
    <w:rsid w:val="00653FD3"/>
    <w:rsid w:val="00653FD5"/>
    <w:rsid w:val="00653FE9"/>
    <w:rsid w:val="0065402E"/>
    <w:rsid w:val="00654044"/>
    <w:rsid w:val="0065404A"/>
    <w:rsid w:val="0065405C"/>
    <w:rsid w:val="00654072"/>
    <w:rsid w:val="0065409D"/>
    <w:rsid w:val="006540E0"/>
    <w:rsid w:val="006540E4"/>
    <w:rsid w:val="00654113"/>
    <w:rsid w:val="00654189"/>
    <w:rsid w:val="006541CF"/>
    <w:rsid w:val="006541E4"/>
    <w:rsid w:val="00654269"/>
    <w:rsid w:val="00654296"/>
    <w:rsid w:val="006542A3"/>
    <w:rsid w:val="006542D2"/>
    <w:rsid w:val="0065430A"/>
    <w:rsid w:val="00654347"/>
    <w:rsid w:val="00654356"/>
    <w:rsid w:val="006543AB"/>
    <w:rsid w:val="006543C4"/>
    <w:rsid w:val="006543CC"/>
    <w:rsid w:val="006543E3"/>
    <w:rsid w:val="00654422"/>
    <w:rsid w:val="00654480"/>
    <w:rsid w:val="006544F3"/>
    <w:rsid w:val="006544F9"/>
    <w:rsid w:val="00654523"/>
    <w:rsid w:val="0065454A"/>
    <w:rsid w:val="006545BB"/>
    <w:rsid w:val="006545C5"/>
    <w:rsid w:val="006545C9"/>
    <w:rsid w:val="00654601"/>
    <w:rsid w:val="00654640"/>
    <w:rsid w:val="006546A9"/>
    <w:rsid w:val="006546E6"/>
    <w:rsid w:val="006547D7"/>
    <w:rsid w:val="006547EA"/>
    <w:rsid w:val="006547EC"/>
    <w:rsid w:val="00654801"/>
    <w:rsid w:val="00654832"/>
    <w:rsid w:val="00654889"/>
    <w:rsid w:val="0065489E"/>
    <w:rsid w:val="006548EA"/>
    <w:rsid w:val="006548FE"/>
    <w:rsid w:val="00654945"/>
    <w:rsid w:val="0065494E"/>
    <w:rsid w:val="006549A8"/>
    <w:rsid w:val="00654A3A"/>
    <w:rsid w:val="00654A61"/>
    <w:rsid w:val="00654A63"/>
    <w:rsid w:val="00654A70"/>
    <w:rsid w:val="00654A86"/>
    <w:rsid w:val="00654AC7"/>
    <w:rsid w:val="00654B41"/>
    <w:rsid w:val="00654B4B"/>
    <w:rsid w:val="00654B59"/>
    <w:rsid w:val="00654B93"/>
    <w:rsid w:val="00654B9A"/>
    <w:rsid w:val="00654BB9"/>
    <w:rsid w:val="00654BF9"/>
    <w:rsid w:val="00654C18"/>
    <w:rsid w:val="00654C7B"/>
    <w:rsid w:val="00654CD5"/>
    <w:rsid w:val="00654D17"/>
    <w:rsid w:val="00654D1E"/>
    <w:rsid w:val="00654D3D"/>
    <w:rsid w:val="00654D63"/>
    <w:rsid w:val="00654D7E"/>
    <w:rsid w:val="00654D93"/>
    <w:rsid w:val="00654E14"/>
    <w:rsid w:val="00654E89"/>
    <w:rsid w:val="00654E93"/>
    <w:rsid w:val="00654EC6"/>
    <w:rsid w:val="00654F2F"/>
    <w:rsid w:val="00654F69"/>
    <w:rsid w:val="00655029"/>
    <w:rsid w:val="00655034"/>
    <w:rsid w:val="0065509A"/>
    <w:rsid w:val="0065519A"/>
    <w:rsid w:val="006551F9"/>
    <w:rsid w:val="00655203"/>
    <w:rsid w:val="00655238"/>
    <w:rsid w:val="00655295"/>
    <w:rsid w:val="006552A1"/>
    <w:rsid w:val="006552B7"/>
    <w:rsid w:val="006552CE"/>
    <w:rsid w:val="006552D2"/>
    <w:rsid w:val="006552DF"/>
    <w:rsid w:val="00655303"/>
    <w:rsid w:val="00655316"/>
    <w:rsid w:val="0065534D"/>
    <w:rsid w:val="00655358"/>
    <w:rsid w:val="0065535F"/>
    <w:rsid w:val="00655389"/>
    <w:rsid w:val="0065538C"/>
    <w:rsid w:val="00655395"/>
    <w:rsid w:val="0065539C"/>
    <w:rsid w:val="006553EC"/>
    <w:rsid w:val="0065541C"/>
    <w:rsid w:val="00655484"/>
    <w:rsid w:val="00655495"/>
    <w:rsid w:val="006554B9"/>
    <w:rsid w:val="006554BF"/>
    <w:rsid w:val="00655502"/>
    <w:rsid w:val="00655571"/>
    <w:rsid w:val="006555D9"/>
    <w:rsid w:val="00655617"/>
    <w:rsid w:val="00655618"/>
    <w:rsid w:val="00655662"/>
    <w:rsid w:val="006556D7"/>
    <w:rsid w:val="006556DD"/>
    <w:rsid w:val="0065570E"/>
    <w:rsid w:val="00655726"/>
    <w:rsid w:val="00655737"/>
    <w:rsid w:val="0065574B"/>
    <w:rsid w:val="006557BB"/>
    <w:rsid w:val="006557E6"/>
    <w:rsid w:val="006557FF"/>
    <w:rsid w:val="00655874"/>
    <w:rsid w:val="006558B5"/>
    <w:rsid w:val="006558D7"/>
    <w:rsid w:val="006558E6"/>
    <w:rsid w:val="0065591B"/>
    <w:rsid w:val="00655941"/>
    <w:rsid w:val="00655946"/>
    <w:rsid w:val="00655958"/>
    <w:rsid w:val="00655987"/>
    <w:rsid w:val="006559A6"/>
    <w:rsid w:val="00655B39"/>
    <w:rsid w:val="00655B50"/>
    <w:rsid w:val="00655B92"/>
    <w:rsid w:val="00655BB9"/>
    <w:rsid w:val="00655BC5"/>
    <w:rsid w:val="00655BC7"/>
    <w:rsid w:val="00655BE8"/>
    <w:rsid w:val="00655C21"/>
    <w:rsid w:val="00655C25"/>
    <w:rsid w:val="00655C69"/>
    <w:rsid w:val="00655C6B"/>
    <w:rsid w:val="00655D14"/>
    <w:rsid w:val="00655D61"/>
    <w:rsid w:val="00655D70"/>
    <w:rsid w:val="00655DA3"/>
    <w:rsid w:val="00655DB8"/>
    <w:rsid w:val="00655DBD"/>
    <w:rsid w:val="00655E10"/>
    <w:rsid w:val="00655E37"/>
    <w:rsid w:val="00655E3F"/>
    <w:rsid w:val="00655E45"/>
    <w:rsid w:val="00655E50"/>
    <w:rsid w:val="00655E81"/>
    <w:rsid w:val="00655EA1"/>
    <w:rsid w:val="00655ECA"/>
    <w:rsid w:val="00655ED0"/>
    <w:rsid w:val="00655F35"/>
    <w:rsid w:val="00655F77"/>
    <w:rsid w:val="00656032"/>
    <w:rsid w:val="0065605B"/>
    <w:rsid w:val="0065607F"/>
    <w:rsid w:val="006560A1"/>
    <w:rsid w:val="006560A9"/>
    <w:rsid w:val="00656107"/>
    <w:rsid w:val="0065610B"/>
    <w:rsid w:val="0065611F"/>
    <w:rsid w:val="00656146"/>
    <w:rsid w:val="00656152"/>
    <w:rsid w:val="0065617A"/>
    <w:rsid w:val="0065619A"/>
    <w:rsid w:val="006561DB"/>
    <w:rsid w:val="006561E8"/>
    <w:rsid w:val="006562A8"/>
    <w:rsid w:val="006562D1"/>
    <w:rsid w:val="006562E5"/>
    <w:rsid w:val="006562FE"/>
    <w:rsid w:val="00656378"/>
    <w:rsid w:val="0065639A"/>
    <w:rsid w:val="006563CB"/>
    <w:rsid w:val="00656425"/>
    <w:rsid w:val="0065642C"/>
    <w:rsid w:val="00656431"/>
    <w:rsid w:val="0065643E"/>
    <w:rsid w:val="0065645B"/>
    <w:rsid w:val="00656494"/>
    <w:rsid w:val="006564B3"/>
    <w:rsid w:val="006564C6"/>
    <w:rsid w:val="006564EE"/>
    <w:rsid w:val="00656506"/>
    <w:rsid w:val="00656522"/>
    <w:rsid w:val="00656541"/>
    <w:rsid w:val="0065655F"/>
    <w:rsid w:val="00656582"/>
    <w:rsid w:val="006565F0"/>
    <w:rsid w:val="0065664F"/>
    <w:rsid w:val="006566C7"/>
    <w:rsid w:val="0065673C"/>
    <w:rsid w:val="00656759"/>
    <w:rsid w:val="00656761"/>
    <w:rsid w:val="0065676D"/>
    <w:rsid w:val="006567FA"/>
    <w:rsid w:val="00656825"/>
    <w:rsid w:val="00656870"/>
    <w:rsid w:val="006568D4"/>
    <w:rsid w:val="006568EE"/>
    <w:rsid w:val="00656990"/>
    <w:rsid w:val="006569E6"/>
    <w:rsid w:val="00656A0B"/>
    <w:rsid w:val="00656A54"/>
    <w:rsid w:val="00656A58"/>
    <w:rsid w:val="00656A6D"/>
    <w:rsid w:val="00656AA3"/>
    <w:rsid w:val="00656AD8"/>
    <w:rsid w:val="00656AF3"/>
    <w:rsid w:val="00656B34"/>
    <w:rsid w:val="00656B45"/>
    <w:rsid w:val="00656B95"/>
    <w:rsid w:val="00656BAB"/>
    <w:rsid w:val="00656BC3"/>
    <w:rsid w:val="00656C1B"/>
    <w:rsid w:val="00656CA1"/>
    <w:rsid w:val="00656CEF"/>
    <w:rsid w:val="00656D14"/>
    <w:rsid w:val="00656D18"/>
    <w:rsid w:val="00656D3D"/>
    <w:rsid w:val="00656D67"/>
    <w:rsid w:val="00656D9C"/>
    <w:rsid w:val="00656DEA"/>
    <w:rsid w:val="00656DEE"/>
    <w:rsid w:val="00656E57"/>
    <w:rsid w:val="00656E5F"/>
    <w:rsid w:val="00656ED0"/>
    <w:rsid w:val="00656F16"/>
    <w:rsid w:val="00656F24"/>
    <w:rsid w:val="00656F91"/>
    <w:rsid w:val="00656FAC"/>
    <w:rsid w:val="00656FCE"/>
    <w:rsid w:val="00656FE0"/>
    <w:rsid w:val="00656FE8"/>
    <w:rsid w:val="00656FFE"/>
    <w:rsid w:val="00657005"/>
    <w:rsid w:val="0065701D"/>
    <w:rsid w:val="00657032"/>
    <w:rsid w:val="00657077"/>
    <w:rsid w:val="00657097"/>
    <w:rsid w:val="0065709C"/>
    <w:rsid w:val="006570AE"/>
    <w:rsid w:val="006570CC"/>
    <w:rsid w:val="006570E4"/>
    <w:rsid w:val="006570E8"/>
    <w:rsid w:val="006571DA"/>
    <w:rsid w:val="006571DE"/>
    <w:rsid w:val="006571FA"/>
    <w:rsid w:val="006572B0"/>
    <w:rsid w:val="006572CF"/>
    <w:rsid w:val="006572F4"/>
    <w:rsid w:val="006573FB"/>
    <w:rsid w:val="00657424"/>
    <w:rsid w:val="0065742E"/>
    <w:rsid w:val="006574D1"/>
    <w:rsid w:val="006574FB"/>
    <w:rsid w:val="0065755B"/>
    <w:rsid w:val="00657573"/>
    <w:rsid w:val="00657619"/>
    <w:rsid w:val="0065762B"/>
    <w:rsid w:val="00657632"/>
    <w:rsid w:val="00657719"/>
    <w:rsid w:val="0065773E"/>
    <w:rsid w:val="0065773F"/>
    <w:rsid w:val="00657748"/>
    <w:rsid w:val="0065775E"/>
    <w:rsid w:val="0065776A"/>
    <w:rsid w:val="006577A2"/>
    <w:rsid w:val="006577C2"/>
    <w:rsid w:val="0065782C"/>
    <w:rsid w:val="006578D2"/>
    <w:rsid w:val="00657959"/>
    <w:rsid w:val="00657989"/>
    <w:rsid w:val="0065798D"/>
    <w:rsid w:val="0065799A"/>
    <w:rsid w:val="006579B1"/>
    <w:rsid w:val="00657A43"/>
    <w:rsid w:val="00657A5F"/>
    <w:rsid w:val="00657B26"/>
    <w:rsid w:val="00657B43"/>
    <w:rsid w:val="00657B97"/>
    <w:rsid w:val="00657BCE"/>
    <w:rsid w:val="00657BCF"/>
    <w:rsid w:val="00657BD9"/>
    <w:rsid w:val="00657BF3"/>
    <w:rsid w:val="00657C00"/>
    <w:rsid w:val="00657C07"/>
    <w:rsid w:val="00657C44"/>
    <w:rsid w:val="00657CAF"/>
    <w:rsid w:val="00657CF8"/>
    <w:rsid w:val="00657D00"/>
    <w:rsid w:val="00657D13"/>
    <w:rsid w:val="00657D14"/>
    <w:rsid w:val="00657D55"/>
    <w:rsid w:val="00657E08"/>
    <w:rsid w:val="00657E17"/>
    <w:rsid w:val="00657E20"/>
    <w:rsid w:val="00657E28"/>
    <w:rsid w:val="00657E5E"/>
    <w:rsid w:val="00657E8C"/>
    <w:rsid w:val="00657EBC"/>
    <w:rsid w:val="00657EE7"/>
    <w:rsid w:val="00657F55"/>
    <w:rsid w:val="00657FF3"/>
    <w:rsid w:val="00660001"/>
    <w:rsid w:val="00660048"/>
    <w:rsid w:val="00660059"/>
    <w:rsid w:val="00660093"/>
    <w:rsid w:val="006600B9"/>
    <w:rsid w:val="006600DF"/>
    <w:rsid w:val="00660138"/>
    <w:rsid w:val="006601E5"/>
    <w:rsid w:val="006601F5"/>
    <w:rsid w:val="0066020F"/>
    <w:rsid w:val="0066022D"/>
    <w:rsid w:val="0066025F"/>
    <w:rsid w:val="006602B3"/>
    <w:rsid w:val="006602DA"/>
    <w:rsid w:val="00660340"/>
    <w:rsid w:val="00660359"/>
    <w:rsid w:val="0066035B"/>
    <w:rsid w:val="0066037E"/>
    <w:rsid w:val="0066038E"/>
    <w:rsid w:val="006603F6"/>
    <w:rsid w:val="0066043A"/>
    <w:rsid w:val="00660452"/>
    <w:rsid w:val="0066046E"/>
    <w:rsid w:val="0066048D"/>
    <w:rsid w:val="006604D6"/>
    <w:rsid w:val="006604DB"/>
    <w:rsid w:val="006604F8"/>
    <w:rsid w:val="0066050A"/>
    <w:rsid w:val="0066050E"/>
    <w:rsid w:val="00660544"/>
    <w:rsid w:val="0066054F"/>
    <w:rsid w:val="00660562"/>
    <w:rsid w:val="00660587"/>
    <w:rsid w:val="006605F6"/>
    <w:rsid w:val="00660634"/>
    <w:rsid w:val="00660640"/>
    <w:rsid w:val="00660686"/>
    <w:rsid w:val="006606AB"/>
    <w:rsid w:val="006606DC"/>
    <w:rsid w:val="006606E7"/>
    <w:rsid w:val="00660703"/>
    <w:rsid w:val="00660716"/>
    <w:rsid w:val="0066074C"/>
    <w:rsid w:val="00660783"/>
    <w:rsid w:val="006607EA"/>
    <w:rsid w:val="00660814"/>
    <w:rsid w:val="00660824"/>
    <w:rsid w:val="00660892"/>
    <w:rsid w:val="006608D0"/>
    <w:rsid w:val="006608E3"/>
    <w:rsid w:val="006608F5"/>
    <w:rsid w:val="00660951"/>
    <w:rsid w:val="00660963"/>
    <w:rsid w:val="00660966"/>
    <w:rsid w:val="00660986"/>
    <w:rsid w:val="0066099C"/>
    <w:rsid w:val="006609AE"/>
    <w:rsid w:val="006609C3"/>
    <w:rsid w:val="006609EF"/>
    <w:rsid w:val="00660A30"/>
    <w:rsid w:val="00660AA7"/>
    <w:rsid w:val="00660AD6"/>
    <w:rsid w:val="00660ADD"/>
    <w:rsid w:val="00660C2D"/>
    <w:rsid w:val="00660CA7"/>
    <w:rsid w:val="00660D17"/>
    <w:rsid w:val="00660D57"/>
    <w:rsid w:val="00660D9C"/>
    <w:rsid w:val="00660DA1"/>
    <w:rsid w:val="00660DB0"/>
    <w:rsid w:val="00660DB1"/>
    <w:rsid w:val="00660E24"/>
    <w:rsid w:val="00660ECE"/>
    <w:rsid w:val="00660EF2"/>
    <w:rsid w:val="00660F13"/>
    <w:rsid w:val="00660FF6"/>
    <w:rsid w:val="00661043"/>
    <w:rsid w:val="0066104F"/>
    <w:rsid w:val="00661073"/>
    <w:rsid w:val="006610D5"/>
    <w:rsid w:val="006610D7"/>
    <w:rsid w:val="00661137"/>
    <w:rsid w:val="00661143"/>
    <w:rsid w:val="0066116E"/>
    <w:rsid w:val="00661198"/>
    <w:rsid w:val="00661208"/>
    <w:rsid w:val="00661288"/>
    <w:rsid w:val="006612C3"/>
    <w:rsid w:val="006612D5"/>
    <w:rsid w:val="006612D7"/>
    <w:rsid w:val="006612EF"/>
    <w:rsid w:val="006612F1"/>
    <w:rsid w:val="00661315"/>
    <w:rsid w:val="0066133A"/>
    <w:rsid w:val="0066139F"/>
    <w:rsid w:val="0066140F"/>
    <w:rsid w:val="0066141A"/>
    <w:rsid w:val="00661433"/>
    <w:rsid w:val="00661441"/>
    <w:rsid w:val="00661579"/>
    <w:rsid w:val="00661590"/>
    <w:rsid w:val="006615F6"/>
    <w:rsid w:val="006615F8"/>
    <w:rsid w:val="00661644"/>
    <w:rsid w:val="00661651"/>
    <w:rsid w:val="00661655"/>
    <w:rsid w:val="0066165D"/>
    <w:rsid w:val="0066166E"/>
    <w:rsid w:val="006616D0"/>
    <w:rsid w:val="006616EF"/>
    <w:rsid w:val="00661711"/>
    <w:rsid w:val="0066173F"/>
    <w:rsid w:val="006617C3"/>
    <w:rsid w:val="00661814"/>
    <w:rsid w:val="00661826"/>
    <w:rsid w:val="00661829"/>
    <w:rsid w:val="0066182F"/>
    <w:rsid w:val="0066183C"/>
    <w:rsid w:val="00661871"/>
    <w:rsid w:val="0066187A"/>
    <w:rsid w:val="006618C9"/>
    <w:rsid w:val="006618D7"/>
    <w:rsid w:val="0066196B"/>
    <w:rsid w:val="00661A00"/>
    <w:rsid w:val="00661A07"/>
    <w:rsid w:val="00661A63"/>
    <w:rsid w:val="00661A66"/>
    <w:rsid w:val="00661AD4"/>
    <w:rsid w:val="00661B0A"/>
    <w:rsid w:val="00661B29"/>
    <w:rsid w:val="00661B40"/>
    <w:rsid w:val="00661B42"/>
    <w:rsid w:val="00661B5C"/>
    <w:rsid w:val="00661B65"/>
    <w:rsid w:val="00661B7D"/>
    <w:rsid w:val="00661B95"/>
    <w:rsid w:val="00661BAF"/>
    <w:rsid w:val="00661BF6"/>
    <w:rsid w:val="00661C1C"/>
    <w:rsid w:val="00661C3A"/>
    <w:rsid w:val="00661C79"/>
    <w:rsid w:val="00661C8C"/>
    <w:rsid w:val="00661CA1"/>
    <w:rsid w:val="00661CD8"/>
    <w:rsid w:val="00661CDC"/>
    <w:rsid w:val="00661CF2"/>
    <w:rsid w:val="00661D3B"/>
    <w:rsid w:val="00661D3C"/>
    <w:rsid w:val="00661D41"/>
    <w:rsid w:val="00661DA7"/>
    <w:rsid w:val="00661DFB"/>
    <w:rsid w:val="00661E0C"/>
    <w:rsid w:val="00661E19"/>
    <w:rsid w:val="00661E30"/>
    <w:rsid w:val="00661EEC"/>
    <w:rsid w:val="00661EF1"/>
    <w:rsid w:val="00661F1D"/>
    <w:rsid w:val="00661F9D"/>
    <w:rsid w:val="00662036"/>
    <w:rsid w:val="00662136"/>
    <w:rsid w:val="006621D7"/>
    <w:rsid w:val="00662296"/>
    <w:rsid w:val="006622F5"/>
    <w:rsid w:val="0066231A"/>
    <w:rsid w:val="00662369"/>
    <w:rsid w:val="00662392"/>
    <w:rsid w:val="00662393"/>
    <w:rsid w:val="006623AD"/>
    <w:rsid w:val="0066241E"/>
    <w:rsid w:val="006624F0"/>
    <w:rsid w:val="00662538"/>
    <w:rsid w:val="00662627"/>
    <w:rsid w:val="0066262E"/>
    <w:rsid w:val="0066265F"/>
    <w:rsid w:val="0066269D"/>
    <w:rsid w:val="006626B6"/>
    <w:rsid w:val="0066270D"/>
    <w:rsid w:val="00662757"/>
    <w:rsid w:val="0066278D"/>
    <w:rsid w:val="0066279F"/>
    <w:rsid w:val="006627D2"/>
    <w:rsid w:val="00662823"/>
    <w:rsid w:val="00662865"/>
    <w:rsid w:val="00662884"/>
    <w:rsid w:val="00662894"/>
    <w:rsid w:val="0066289F"/>
    <w:rsid w:val="006628B9"/>
    <w:rsid w:val="006628E2"/>
    <w:rsid w:val="006628F2"/>
    <w:rsid w:val="006628F4"/>
    <w:rsid w:val="0066293C"/>
    <w:rsid w:val="006629C2"/>
    <w:rsid w:val="00662A26"/>
    <w:rsid w:val="00662A2B"/>
    <w:rsid w:val="00662A38"/>
    <w:rsid w:val="00662A57"/>
    <w:rsid w:val="00662A80"/>
    <w:rsid w:val="00662B13"/>
    <w:rsid w:val="00662BC2"/>
    <w:rsid w:val="00662C10"/>
    <w:rsid w:val="00662C1B"/>
    <w:rsid w:val="00662C77"/>
    <w:rsid w:val="00662C78"/>
    <w:rsid w:val="00662C9B"/>
    <w:rsid w:val="00662CAF"/>
    <w:rsid w:val="00662CB3"/>
    <w:rsid w:val="00662D33"/>
    <w:rsid w:val="00662D3D"/>
    <w:rsid w:val="00662D9D"/>
    <w:rsid w:val="00662DA3"/>
    <w:rsid w:val="00662DC0"/>
    <w:rsid w:val="00662DC1"/>
    <w:rsid w:val="00662DCA"/>
    <w:rsid w:val="00662E2F"/>
    <w:rsid w:val="00662ECC"/>
    <w:rsid w:val="00662ECF"/>
    <w:rsid w:val="00662ED2"/>
    <w:rsid w:val="00662F01"/>
    <w:rsid w:val="00662F37"/>
    <w:rsid w:val="00662FC9"/>
    <w:rsid w:val="00662FEB"/>
    <w:rsid w:val="00662FEC"/>
    <w:rsid w:val="0066309E"/>
    <w:rsid w:val="006630D0"/>
    <w:rsid w:val="006630D2"/>
    <w:rsid w:val="006630E8"/>
    <w:rsid w:val="0066310F"/>
    <w:rsid w:val="00663178"/>
    <w:rsid w:val="0066319F"/>
    <w:rsid w:val="006631AD"/>
    <w:rsid w:val="006631F3"/>
    <w:rsid w:val="00663235"/>
    <w:rsid w:val="00663249"/>
    <w:rsid w:val="00663266"/>
    <w:rsid w:val="00663314"/>
    <w:rsid w:val="0066333A"/>
    <w:rsid w:val="00663364"/>
    <w:rsid w:val="006633A2"/>
    <w:rsid w:val="006633DA"/>
    <w:rsid w:val="006633DD"/>
    <w:rsid w:val="006633F2"/>
    <w:rsid w:val="0066346D"/>
    <w:rsid w:val="00663499"/>
    <w:rsid w:val="006634FD"/>
    <w:rsid w:val="0066350A"/>
    <w:rsid w:val="00663569"/>
    <w:rsid w:val="00663570"/>
    <w:rsid w:val="00663571"/>
    <w:rsid w:val="00663579"/>
    <w:rsid w:val="0066358F"/>
    <w:rsid w:val="006635BD"/>
    <w:rsid w:val="0066361E"/>
    <w:rsid w:val="00663624"/>
    <w:rsid w:val="0066368E"/>
    <w:rsid w:val="006636C6"/>
    <w:rsid w:val="00663757"/>
    <w:rsid w:val="0066378F"/>
    <w:rsid w:val="00663805"/>
    <w:rsid w:val="00663824"/>
    <w:rsid w:val="00663864"/>
    <w:rsid w:val="00663875"/>
    <w:rsid w:val="0066387F"/>
    <w:rsid w:val="006638C8"/>
    <w:rsid w:val="006638DC"/>
    <w:rsid w:val="0066390C"/>
    <w:rsid w:val="00663922"/>
    <w:rsid w:val="00663932"/>
    <w:rsid w:val="00663978"/>
    <w:rsid w:val="006639A2"/>
    <w:rsid w:val="006639BB"/>
    <w:rsid w:val="006639D0"/>
    <w:rsid w:val="006639EA"/>
    <w:rsid w:val="006639FB"/>
    <w:rsid w:val="00663A00"/>
    <w:rsid w:val="00663A36"/>
    <w:rsid w:val="00663A8A"/>
    <w:rsid w:val="00663A9A"/>
    <w:rsid w:val="00663ABC"/>
    <w:rsid w:val="00663B5B"/>
    <w:rsid w:val="00663B80"/>
    <w:rsid w:val="00663B88"/>
    <w:rsid w:val="00663B98"/>
    <w:rsid w:val="00663BD3"/>
    <w:rsid w:val="00663C43"/>
    <w:rsid w:val="00663CA3"/>
    <w:rsid w:val="00663CFD"/>
    <w:rsid w:val="00663DDC"/>
    <w:rsid w:val="00663E35"/>
    <w:rsid w:val="00663E5F"/>
    <w:rsid w:val="00663E6B"/>
    <w:rsid w:val="00663F11"/>
    <w:rsid w:val="00663F37"/>
    <w:rsid w:val="00663F79"/>
    <w:rsid w:val="00663F93"/>
    <w:rsid w:val="00663F94"/>
    <w:rsid w:val="00663FAD"/>
    <w:rsid w:val="00664075"/>
    <w:rsid w:val="00664089"/>
    <w:rsid w:val="0066419F"/>
    <w:rsid w:val="006641CD"/>
    <w:rsid w:val="006641D0"/>
    <w:rsid w:val="00664208"/>
    <w:rsid w:val="00664227"/>
    <w:rsid w:val="0066426F"/>
    <w:rsid w:val="0066429F"/>
    <w:rsid w:val="006642AE"/>
    <w:rsid w:val="006642C3"/>
    <w:rsid w:val="006642FB"/>
    <w:rsid w:val="0066432F"/>
    <w:rsid w:val="00664438"/>
    <w:rsid w:val="00664472"/>
    <w:rsid w:val="00664487"/>
    <w:rsid w:val="00664490"/>
    <w:rsid w:val="006644CB"/>
    <w:rsid w:val="006644D5"/>
    <w:rsid w:val="00664550"/>
    <w:rsid w:val="00664592"/>
    <w:rsid w:val="006645F0"/>
    <w:rsid w:val="006645FF"/>
    <w:rsid w:val="0066466A"/>
    <w:rsid w:val="00664692"/>
    <w:rsid w:val="0066469A"/>
    <w:rsid w:val="006646A1"/>
    <w:rsid w:val="006646DE"/>
    <w:rsid w:val="006646EB"/>
    <w:rsid w:val="006646F8"/>
    <w:rsid w:val="00664766"/>
    <w:rsid w:val="0066476C"/>
    <w:rsid w:val="00664791"/>
    <w:rsid w:val="006647C3"/>
    <w:rsid w:val="00664803"/>
    <w:rsid w:val="0066487C"/>
    <w:rsid w:val="006648DC"/>
    <w:rsid w:val="0066490F"/>
    <w:rsid w:val="00664983"/>
    <w:rsid w:val="00664998"/>
    <w:rsid w:val="006649A1"/>
    <w:rsid w:val="006649B5"/>
    <w:rsid w:val="006649BC"/>
    <w:rsid w:val="006649DF"/>
    <w:rsid w:val="00664A23"/>
    <w:rsid w:val="00664A33"/>
    <w:rsid w:val="00664A37"/>
    <w:rsid w:val="00664A4A"/>
    <w:rsid w:val="00664A8A"/>
    <w:rsid w:val="00664AA4"/>
    <w:rsid w:val="00664AD6"/>
    <w:rsid w:val="00664AF6"/>
    <w:rsid w:val="00664B53"/>
    <w:rsid w:val="00664BB2"/>
    <w:rsid w:val="00664BD8"/>
    <w:rsid w:val="00664BF5"/>
    <w:rsid w:val="00664BFB"/>
    <w:rsid w:val="00664C51"/>
    <w:rsid w:val="00664C64"/>
    <w:rsid w:val="00664CC4"/>
    <w:rsid w:val="00664D20"/>
    <w:rsid w:val="00664D5D"/>
    <w:rsid w:val="00664D71"/>
    <w:rsid w:val="00664DA9"/>
    <w:rsid w:val="00664E0C"/>
    <w:rsid w:val="00664E1B"/>
    <w:rsid w:val="00664E4C"/>
    <w:rsid w:val="00664E62"/>
    <w:rsid w:val="00664EA9"/>
    <w:rsid w:val="00664EC2"/>
    <w:rsid w:val="00664EED"/>
    <w:rsid w:val="00664F10"/>
    <w:rsid w:val="00664F6B"/>
    <w:rsid w:val="00664FF7"/>
    <w:rsid w:val="0066500F"/>
    <w:rsid w:val="00665041"/>
    <w:rsid w:val="006650B2"/>
    <w:rsid w:val="006650CB"/>
    <w:rsid w:val="006650E8"/>
    <w:rsid w:val="00665121"/>
    <w:rsid w:val="0066513B"/>
    <w:rsid w:val="0066514B"/>
    <w:rsid w:val="00665170"/>
    <w:rsid w:val="006651D6"/>
    <w:rsid w:val="00665204"/>
    <w:rsid w:val="00665278"/>
    <w:rsid w:val="006652A5"/>
    <w:rsid w:val="006652C3"/>
    <w:rsid w:val="00665310"/>
    <w:rsid w:val="00665313"/>
    <w:rsid w:val="00665369"/>
    <w:rsid w:val="0066537A"/>
    <w:rsid w:val="0066537F"/>
    <w:rsid w:val="006653D8"/>
    <w:rsid w:val="00665403"/>
    <w:rsid w:val="00665430"/>
    <w:rsid w:val="0066543E"/>
    <w:rsid w:val="00665480"/>
    <w:rsid w:val="00665493"/>
    <w:rsid w:val="006654A0"/>
    <w:rsid w:val="00665524"/>
    <w:rsid w:val="00665538"/>
    <w:rsid w:val="00665584"/>
    <w:rsid w:val="006655F6"/>
    <w:rsid w:val="00665607"/>
    <w:rsid w:val="0066560E"/>
    <w:rsid w:val="00665655"/>
    <w:rsid w:val="00665661"/>
    <w:rsid w:val="006656FB"/>
    <w:rsid w:val="00665781"/>
    <w:rsid w:val="00665786"/>
    <w:rsid w:val="006657F7"/>
    <w:rsid w:val="00665813"/>
    <w:rsid w:val="00665820"/>
    <w:rsid w:val="00665822"/>
    <w:rsid w:val="0066584E"/>
    <w:rsid w:val="006658D1"/>
    <w:rsid w:val="006659E5"/>
    <w:rsid w:val="00665A0C"/>
    <w:rsid w:val="00665A99"/>
    <w:rsid w:val="00665ABD"/>
    <w:rsid w:val="00665B1F"/>
    <w:rsid w:val="00665B4F"/>
    <w:rsid w:val="00665C4E"/>
    <w:rsid w:val="00665C7C"/>
    <w:rsid w:val="00665C91"/>
    <w:rsid w:val="00665C93"/>
    <w:rsid w:val="00665C98"/>
    <w:rsid w:val="00665C99"/>
    <w:rsid w:val="00665CCB"/>
    <w:rsid w:val="00665CED"/>
    <w:rsid w:val="00665D2D"/>
    <w:rsid w:val="00665DEC"/>
    <w:rsid w:val="00665E06"/>
    <w:rsid w:val="00665E3D"/>
    <w:rsid w:val="00665E63"/>
    <w:rsid w:val="00665EC7"/>
    <w:rsid w:val="00665F10"/>
    <w:rsid w:val="00665F15"/>
    <w:rsid w:val="00665F38"/>
    <w:rsid w:val="00665F3D"/>
    <w:rsid w:val="00665F64"/>
    <w:rsid w:val="00665F91"/>
    <w:rsid w:val="00665FBC"/>
    <w:rsid w:val="00665FE9"/>
    <w:rsid w:val="00666013"/>
    <w:rsid w:val="0066609E"/>
    <w:rsid w:val="006660B3"/>
    <w:rsid w:val="006660EC"/>
    <w:rsid w:val="00666150"/>
    <w:rsid w:val="00666167"/>
    <w:rsid w:val="006661B9"/>
    <w:rsid w:val="006661ED"/>
    <w:rsid w:val="00666209"/>
    <w:rsid w:val="00666267"/>
    <w:rsid w:val="006662AB"/>
    <w:rsid w:val="006662B1"/>
    <w:rsid w:val="00666306"/>
    <w:rsid w:val="0066630D"/>
    <w:rsid w:val="00666393"/>
    <w:rsid w:val="006663CB"/>
    <w:rsid w:val="006663D7"/>
    <w:rsid w:val="006663EE"/>
    <w:rsid w:val="006663F2"/>
    <w:rsid w:val="00666414"/>
    <w:rsid w:val="00666476"/>
    <w:rsid w:val="0066647D"/>
    <w:rsid w:val="00666485"/>
    <w:rsid w:val="00666487"/>
    <w:rsid w:val="006664DF"/>
    <w:rsid w:val="006664E4"/>
    <w:rsid w:val="006664EC"/>
    <w:rsid w:val="006664F7"/>
    <w:rsid w:val="00666528"/>
    <w:rsid w:val="00666575"/>
    <w:rsid w:val="00666579"/>
    <w:rsid w:val="0066658C"/>
    <w:rsid w:val="006665E0"/>
    <w:rsid w:val="006665E8"/>
    <w:rsid w:val="00666614"/>
    <w:rsid w:val="00666628"/>
    <w:rsid w:val="00666638"/>
    <w:rsid w:val="00666650"/>
    <w:rsid w:val="0066666B"/>
    <w:rsid w:val="00666672"/>
    <w:rsid w:val="006666FA"/>
    <w:rsid w:val="00666731"/>
    <w:rsid w:val="0066676F"/>
    <w:rsid w:val="00666781"/>
    <w:rsid w:val="0066678D"/>
    <w:rsid w:val="00666791"/>
    <w:rsid w:val="006667B6"/>
    <w:rsid w:val="006667BA"/>
    <w:rsid w:val="00666827"/>
    <w:rsid w:val="00666879"/>
    <w:rsid w:val="006668A4"/>
    <w:rsid w:val="0066693D"/>
    <w:rsid w:val="00666966"/>
    <w:rsid w:val="00666971"/>
    <w:rsid w:val="006669D1"/>
    <w:rsid w:val="006669E1"/>
    <w:rsid w:val="006669F9"/>
    <w:rsid w:val="00666A36"/>
    <w:rsid w:val="00666A5E"/>
    <w:rsid w:val="00666A72"/>
    <w:rsid w:val="00666AED"/>
    <w:rsid w:val="00666B41"/>
    <w:rsid w:val="00666B42"/>
    <w:rsid w:val="00666BD0"/>
    <w:rsid w:val="00666C29"/>
    <w:rsid w:val="00666C34"/>
    <w:rsid w:val="00666C4E"/>
    <w:rsid w:val="00666C95"/>
    <w:rsid w:val="00666CB7"/>
    <w:rsid w:val="00666CCF"/>
    <w:rsid w:val="00666CF2"/>
    <w:rsid w:val="00666CF3"/>
    <w:rsid w:val="00666CF5"/>
    <w:rsid w:val="00666D05"/>
    <w:rsid w:val="00666D12"/>
    <w:rsid w:val="00666D47"/>
    <w:rsid w:val="00666D48"/>
    <w:rsid w:val="00666D5F"/>
    <w:rsid w:val="00666D8F"/>
    <w:rsid w:val="00666D96"/>
    <w:rsid w:val="00666DF3"/>
    <w:rsid w:val="00666E19"/>
    <w:rsid w:val="00666E42"/>
    <w:rsid w:val="00666E92"/>
    <w:rsid w:val="00666E9B"/>
    <w:rsid w:val="00666EA8"/>
    <w:rsid w:val="00666EE3"/>
    <w:rsid w:val="00666EEC"/>
    <w:rsid w:val="00666EF1"/>
    <w:rsid w:val="00666EFA"/>
    <w:rsid w:val="00666F3A"/>
    <w:rsid w:val="00666F4A"/>
    <w:rsid w:val="00666F87"/>
    <w:rsid w:val="00666F8D"/>
    <w:rsid w:val="00666FAE"/>
    <w:rsid w:val="00666FD6"/>
    <w:rsid w:val="00667032"/>
    <w:rsid w:val="0066705A"/>
    <w:rsid w:val="0066705E"/>
    <w:rsid w:val="00667060"/>
    <w:rsid w:val="00667062"/>
    <w:rsid w:val="00667098"/>
    <w:rsid w:val="006670CB"/>
    <w:rsid w:val="0066713A"/>
    <w:rsid w:val="00667171"/>
    <w:rsid w:val="00667195"/>
    <w:rsid w:val="00667232"/>
    <w:rsid w:val="00667233"/>
    <w:rsid w:val="00667254"/>
    <w:rsid w:val="006672C7"/>
    <w:rsid w:val="006672F5"/>
    <w:rsid w:val="0066731E"/>
    <w:rsid w:val="00667368"/>
    <w:rsid w:val="00667380"/>
    <w:rsid w:val="00667457"/>
    <w:rsid w:val="006674C1"/>
    <w:rsid w:val="006674E2"/>
    <w:rsid w:val="0066750D"/>
    <w:rsid w:val="00667518"/>
    <w:rsid w:val="0066753D"/>
    <w:rsid w:val="0066757E"/>
    <w:rsid w:val="006675C3"/>
    <w:rsid w:val="006675CA"/>
    <w:rsid w:val="00667606"/>
    <w:rsid w:val="00667627"/>
    <w:rsid w:val="00667686"/>
    <w:rsid w:val="00667693"/>
    <w:rsid w:val="006676A7"/>
    <w:rsid w:val="00667730"/>
    <w:rsid w:val="00667752"/>
    <w:rsid w:val="00667756"/>
    <w:rsid w:val="00667780"/>
    <w:rsid w:val="00667782"/>
    <w:rsid w:val="00667870"/>
    <w:rsid w:val="0066787F"/>
    <w:rsid w:val="00667903"/>
    <w:rsid w:val="00667939"/>
    <w:rsid w:val="00667968"/>
    <w:rsid w:val="00667975"/>
    <w:rsid w:val="006679A5"/>
    <w:rsid w:val="00667A2C"/>
    <w:rsid w:val="00667A61"/>
    <w:rsid w:val="00667A97"/>
    <w:rsid w:val="00667B08"/>
    <w:rsid w:val="00667B4E"/>
    <w:rsid w:val="00667BB3"/>
    <w:rsid w:val="00667BF4"/>
    <w:rsid w:val="00667C20"/>
    <w:rsid w:val="00667C26"/>
    <w:rsid w:val="00667C47"/>
    <w:rsid w:val="00667C4E"/>
    <w:rsid w:val="00667C8E"/>
    <w:rsid w:val="00667C94"/>
    <w:rsid w:val="00667CD0"/>
    <w:rsid w:val="00667D89"/>
    <w:rsid w:val="00667DDB"/>
    <w:rsid w:val="00667E15"/>
    <w:rsid w:val="00667E2B"/>
    <w:rsid w:val="00667E50"/>
    <w:rsid w:val="00667E62"/>
    <w:rsid w:val="00667EA0"/>
    <w:rsid w:val="00667EE2"/>
    <w:rsid w:val="00667F2F"/>
    <w:rsid w:val="00667F75"/>
    <w:rsid w:val="00667F88"/>
    <w:rsid w:val="00667FF3"/>
    <w:rsid w:val="00670042"/>
    <w:rsid w:val="0067004B"/>
    <w:rsid w:val="00670085"/>
    <w:rsid w:val="006700E7"/>
    <w:rsid w:val="006700F5"/>
    <w:rsid w:val="006700F7"/>
    <w:rsid w:val="006701BB"/>
    <w:rsid w:val="006701E7"/>
    <w:rsid w:val="006701FE"/>
    <w:rsid w:val="00670200"/>
    <w:rsid w:val="00670221"/>
    <w:rsid w:val="00670248"/>
    <w:rsid w:val="0067026D"/>
    <w:rsid w:val="0067028A"/>
    <w:rsid w:val="006702C2"/>
    <w:rsid w:val="006702C5"/>
    <w:rsid w:val="006702E8"/>
    <w:rsid w:val="00670306"/>
    <w:rsid w:val="0067030B"/>
    <w:rsid w:val="00670317"/>
    <w:rsid w:val="00670320"/>
    <w:rsid w:val="00670335"/>
    <w:rsid w:val="0067034E"/>
    <w:rsid w:val="00670352"/>
    <w:rsid w:val="006703B1"/>
    <w:rsid w:val="006703BD"/>
    <w:rsid w:val="006703D3"/>
    <w:rsid w:val="00670429"/>
    <w:rsid w:val="0067043E"/>
    <w:rsid w:val="0067044A"/>
    <w:rsid w:val="0067048C"/>
    <w:rsid w:val="00670499"/>
    <w:rsid w:val="006704D8"/>
    <w:rsid w:val="006704DF"/>
    <w:rsid w:val="0067054B"/>
    <w:rsid w:val="006705B4"/>
    <w:rsid w:val="006705EE"/>
    <w:rsid w:val="006705F3"/>
    <w:rsid w:val="00670617"/>
    <w:rsid w:val="0067067C"/>
    <w:rsid w:val="006706C8"/>
    <w:rsid w:val="00670700"/>
    <w:rsid w:val="00670775"/>
    <w:rsid w:val="006707A3"/>
    <w:rsid w:val="006707B7"/>
    <w:rsid w:val="0067083E"/>
    <w:rsid w:val="00670876"/>
    <w:rsid w:val="006708FC"/>
    <w:rsid w:val="0067092E"/>
    <w:rsid w:val="006709AD"/>
    <w:rsid w:val="006709C8"/>
    <w:rsid w:val="006709EF"/>
    <w:rsid w:val="00670A09"/>
    <w:rsid w:val="00670A2C"/>
    <w:rsid w:val="00670A95"/>
    <w:rsid w:val="00670ABA"/>
    <w:rsid w:val="00670AC0"/>
    <w:rsid w:val="00670AC9"/>
    <w:rsid w:val="00670ACC"/>
    <w:rsid w:val="00670AF4"/>
    <w:rsid w:val="00670B1C"/>
    <w:rsid w:val="00670B2B"/>
    <w:rsid w:val="00670B56"/>
    <w:rsid w:val="00670B71"/>
    <w:rsid w:val="00670BC3"/>
    <w:rsid w:val="00670BDE"/>
    <w:rsid w:val="00670C52"/>
    <w:rsid w:val="00670C98"/>
    <w:rsid w:val="00670CA8"/>
    <w:rsid w:val="00670CCE"/>
    <w:rsid w:val="00670D01"/>
    <w:rsid w:val="00670D22"/>
    <w:rsid w:val="00670D53"/>
    <w:rsid w:val="00670D8D"/>
    <w:rsid w:val="00670DAB"/>
    <w:rsid w:val="00670DD0"/>
    <w:rsid w:val="00670F35"/>
    <w:rsid w:val="00670F5C"/>
    <w:rsid w:val="00670F91"/>
    <w:rsid w:val="0067100B"/>
    <w:rsid w:val="00671086"/>
    <w:rsid w:val="00671172"/>
    <w:rsid w:val="006711A5"/>
    <w:rsid w:val="006711CF"/>
    <w:rsid w:val="006711DF"/>
    <w:rsid w:val="006712AE"/>
    <w:rsid w:val="006712D9"/>
    <w:rsid w:val="006712E2"/>
    <w:rsid w:val="006712F9"/>
    <w:rsid w:val="006712FF"/>
    <w:rsid w:val="0067134B"/>
    <w:rsid w:val="00671371"/>
    <w:rsid w:val="006713B9"/>
    <w:rsid w:val="006713C6"/>
    <w:rsid w:val="006713EC"/>
    <w:rsid w:val="00671456"/>
    <w:rsid w:val="0067149E"/>
    <w:rsid w:val="006714D6"/>
    <w:rsid w:val="006714DC"/>
    <w:rsid w:val="00671525"/>
    <w:rsid w:val="00671541"/>
    <w:rsid w:val="0067155B"/>
    <w:rsid w:val="0067158F"/>
    <w:rsid w:val="006715B6"/>
    <w:rsid w:val="006715F8"/>
    <w:rsid w:val="0067160C"/>
    <w:rsid w:val="00671619"/>
    <w:rsid w:val="00671625"/>
    <w:rsid w:val="0067164C"/>
    <w:rsid w:val="0067164F"/>
    <w:rsid w:val="00671655"/>
    <w:rsid w:val="006716D3"/>
    <w:rsid w:val="006716F5"/>
    <w:rsid w:val="00671738"/>
    <w:rsid w:val="0067174D"/>
    <w:rsid w:val="006717E9"/>
    <w:rsid w:val="00671844"/>
    <w:rsid w:val="00671879"/>
    <w:rsid w:val="0067192C"/>
    <w:rsid w:val="00671A2D"/>
    <w:rsid w:val="00671A62"/>
    <w:rsid w:val="00671A95"/>
    <w:rsid w:val="00671AE7"/>
    <w:rsid w:val="00671AFC"/>
    <w:rsid w:val="00671B15"/>
    <w:rsid w:val="00671B1D"/>
    <w:rsid w:val="00671B32"/>
    <w:rsid w:val="00671B5E"/>
    <w:rsid w:val="00671BD1"/>
    <w:rsid w:val="00671C44"/>
    <w:rsid w:val="00671CC2"/>
    <w:rsid w:val="00671CC7"/>
    <w:rsid w:val="00671CD1"/>
    <w:rsid w:val="00671D03"/>
    <w:rsid w:val="00671D4A"/>
    <w:rsid w:val="00671D76"/>
    <w:rsid w:val="00671DC2"/>
    <w:rsid w:val="00671DF3"/>
    <w:rsid w:val="00671E09"/>
    <w:rsid w:val="00671E18"/>
    <w:rsid w:val="00671E2B"/>
    <w:rsid w:val="00671EA2"/>
    <w:rsid w:val="00671ED5"/>
    <w:rsid w:val="00671ED8"/>
    <w:rsid w:val="00671F3A"/>
    <w:rsid w:val="00671F67"/>
    <w:rsid w:val="00671FAD"/>
    <w:rsid w:val="00671FBD"/>
    <w:rsid w:val="00671FD5"/>
    <w:rsid w:val="00671FD9"/>
    <w:rsid w:val="00671FF6"/>
    <w:rsid w:val="00672004"/>
    <w:rsid w:val="00672038"/>
    <w:rsid w:val="006720B8"/>
    <w:rsid w:val="006720DE"/>
    <w:rsid w:val="006720FA"/>
    <w:rsid w:val="00672104"/>
    <w:rsid w:val="0067210A"/>
    <w:rsid w:val="00672132"/>
    <w:rsid w:val="00672135"/>
    <w:rsid w:val="00672158"/>
    <w:rsid w:val="0067216F"/>
    <w:rsid w:val="0067218C"/>
    <w:rsid w:val="0067218F"/>
    <w:rsid w:val="006721A0"/>
    <w:rsid w:val="006721B5"/>
    <w:rsid w:val="006721E0"/>
    <w:rsid w:val="006721EC"/>
    <w:rsid w:val="00672224"/>
    <w:rsid w:val="00672255"/>
    <w:rsid w:val="006722C0"/>
    <w:rsid w:val="0067231C"/>
    <w:rsid w:val="0067233A"/>
    <w:rsid w:val="0067236B"/>
    <w:rsid w:val="00672387"/>
    <w:rsid w:val="006723CE"/>
    <w:rsid w:val="00672402"/>
    <w:rsid w:val="00672415"/>
    <w:rsid w:val="00672426"/>
    <w:rsid w:val="00672463"/>
    <w:rsid w:val="00672478"/>
    <w:rsid w:val="0067248B"/>
    <w:rsid w:val="006724F6"/>
    <w:rsid w:val="00672532"/>
    <w:rsid w:val="0067255D"/>
    <w:rsid w:val="00672593"/>
    <w:rsid w:val="006725C5"/>
    <w:rsid w:val="00672642"/>
    <w:rsid w:val="0067267A"/>
    <w:rsid w:val="0067267E"/>
    <w:rsid w:val="00672690"/>
    <w:rsid w:val="006726A8"/>
    <w:rsid w:val="006726B1"/>
    <w:rsid w:val="006726FB"/>
    <w:rsid w:val="00672752"/>
    <w:rsid w:val="00672770"/>
    <w:rsid w:val="00672780"/>
    <w:rsid w:val="00672788"/>
    <w:rsid w:val="0067278F"/>
    <w:rsid w:val="0067279F"/>
    <w:rsid w:val="006727AE"/>
    <w:rsid w:val="006727D3"/>
    <w:rsid w:val="006727E1"/>
    <w:rsid w:val="006727ED"/>
    <w:rsid w:val="006728F6"/>
    <w:rsid w:val="00672902"/>
    <w:rsid w:val="0067294E"/>
    <w:rsid w:val="00672971"/>
    <w:rsid w:val="006729AC"/>
    <w:rsid w:val="006729D4"/>
    <w:rsid w:val="006729EC"/>
    <w:rsid w:val="006729F4"/>
    <w:rsid w:val="00672B2B"/>
    <w:rsid w:val="00672B32"/>
    <w:rsid w:val="00672B3F"/>
    <w:rsid w:val="00672B51"/>
    <w:rsid w:val="00672B55"/>
    <w:rsid w:val="00672B5D"/>
    <w:rsid w:val="00672B8A"/>
    <w:rsid w:val="00672B8B"/>
    <w:rsid w:val="00672BDF"/>
    <w:rsid w:val="00672C3B"/>
    <w:rsid w:val="00672C3D"/>
    <w:rsid w:val="00672CA0"/>
    <w:rsid w:val="00672CAD"/>
    <w:rsid w:val="00672CB1"/>
    <w:rsid w:val="00672CB9"/>
    <w:rsid w:val="00672E07"/>
    <w:rsid w:val="00672E13"/>
    <w:rsid w:val="00672E4B"/>
    <w:rsid w:val="00672E55"/>
    <w:rsid w:val="00672E70"/>
    <w:rsid w:val="00672EC7"/>
    <w:rsid w:val="00672F19"/>
    <w:rsid w:val="00672F71"/>
    <w:rsid w:val="00672FD1"/>
    <w:rsid w:val="00673098"/>
    <w:rsid w:val="0067309C"/>
    <w:rsid w:val="006730C5"/>
    <w:rsid w:val="006730CD"/>
    <w:rsid w:val="006730FB"/>
    <w:rsid w:val="00673164"/>
    <w:rsid w:val="00673185"/>
    <w:rsid w:val="006731A7"/>
    <w:rsid w:val="006731A8"/>
    <w:rsid w:val="006731FD"/>
    <w:rsid w:val="00673211"/>
    <w:rsid w:val="0067322C"/>
    <w:rsid w:val="0067326A"/>
    <w:rsid w:val="00673274"/>
    <w:rsid w:val="006732F8"/>
    <w:rsid w:val="0067331F"/>
    <w:rsid w:val="00673340"/>
    <w:rsid w:val="00673342"/>
    <w:rsid w:val="00673347"/>
    <w:rsid w:val="0067335E"/>
    <w:rsid w:val="00673371"/>
    <w:rsid w:val="006733C4"/>
    <w:rsid w:val="006733CE"/>
    <w:rsid w:val="006733D4"/>
    <w:rsid w:val="00673407"/>
    <w:rsid w:val="0067341A"/>
    <w:rsid w:val="00673448"/>
    <w:rsid w:val="00673479"/>
    <w:rsid w:val="0067348B"/>
    <w:rsid w:val="006734AD"/>
    <w:rsid w:val="00673512"/>
    <w:rsid w:val="00673514"/>
    <w:rsid w:val="0067357C"/>
    <w:rsid w:val="0067357E"/>
    <w:rsid w:val="006735C4"/>
    <w:rsid w:val="00673638"/>
    <w:rsid w:val="0067363B"/>
    <w:rsid w:val="00673702"/>
    <w:rsid w:val="0067370C"/>
    <w:rsid w:val="00673787"/>
    <w:rsid w:val="006737C4"/>
    <w:rsid w:val="006737EA"/>
    <w:rsid w:val="006737EE"/>
    <w:rsid w:val="006737F2"/>
    <w:rsid w:val="0067389A"/>
    <w:rsid w:val="006738A5"/>
    <w:rsid w:val="006738EE"/>
    <w:rsid w:val="006738FC"/>
    <w:rsid w:val="00673922"/>
    <w:rsid w:val="00673939"/>
    <w:rsid w:val="0067394C"/>
    <w:rsid w:val="0067396A"/>
    <w:rsid w:val="006739A8"/>
    <w:rsid w:val="006739DB"/>
    <w:rsid w:val="00673A76"/>
    <w:rsid w:val="00673A93"/>
    <w:rsid w:val="00673AAF"/>
    <w:rsid w:val="00673AE2"/>
    <w:rsid w:val="00673AF3"/>
    <w:rsid w:val="00673BA4"/>
    <w:rsid w:val="00673C71"/>
    <w:rsid w:val="00673C75"/>
    <w:rsid w:val="00673C8D"/>
    <w:rsid w:val="00673D66"/>
    <w:rsid w:val="00673D69"/>
    <w:rsid w:val="00673DBD"/>
    <w:rsid w:val="00673DD1"/>
    <w:rsid w:val="00673E0F"/>
    <w:rsid w:val="00673E1A"/>
    <w:rsid w:val="00673EA9"/>
    <w:rsid w:val="00673EBB"/>
    <w:rsid w:val="00673EBF"/>
    <w:rsid w:val="00673EDA"/>
    <w:rsid w:val="00673F0C"/>
    <w:rsid w:val="0067404E"/>
    <w:rsid w:val="0067408F"/>
    <w:rsid w:val="00674115"/>
    <w:rsid w:val="0067414B"/>
    <w:rsid w:val="00674161"/>
    <w:rsid w:val="00674170"/>
    <w:rsid w:val="006741A6"/>
    <w:rsid w:val="006742A7"/>
    <w:rsid w:val="00674319"/>
    <w:rsid w:val="00674360"/>
    <w:rsid w:val="00674365"/>
    <w:rsid w:val="00674383"/>
    <w:rsid w:val="006743AF"/>
    <w:rsid w:val="006743BC"/>
    <w:rsid w:val="006743ED"/>
    <w:rsid w:val="00674424"/>
    <w:rsid w:val="00674432"/>
    <w:rsid w:val="0067445F"/>
    <w:rsid w:val="00674476"/>
    <w:rsid w:val="006744D1"/>
    <w:rsid w:val="00674698"/>
    <w:rsid w:val="006746EB"/>
    <w:rsid w:val="00674757"/>
    <w:rsid w:val="0067475B"/>
    <w:rsid w:val="0067480A"/>
    <w:rsid w:val="006748BF"/>
    <w:rsid w:val="006748D1"/>
    <w:rsid w:val="006748DC"/>
    <w:rsid w:val="006748FA"/>
    <w:rsid w:val="0067494E"/>
    <w:rsid w:val="0067495C"/>
    <w:rsid w:val="00674962"/>
    <w:rsid w:val="006749A1"/>
    <w:rsid w:val="006749C0"/>
    <w:rsid w:val="00674A2F"/>
    <w:rsid w:val="00674A4B"/>
    <w:rsid w:val="00674AB0"/>
    <w:rsid w:val="00674AB8"/>
    <w:rsid w:val="00674AE5"/>
    <w:rsid w:val="00674B4C"/>
    <w:rsid w:val="00674B60"/>
    <w:rsid w:val="00674BC2"/>
    <w:rsid w:val="00674BC7"/>
    <w:rsid w:val="00674BFE"/>
    <w:rsid w:val="00674C1D"/>
    <w:rsid w:val="00674C21"/>
    <w:rsid w:val="00674C2B"/>
    <w:rsid w:val="00674C4D"/>
    <w:rsid w:val="00674C6E"/>
    <w:rsid w:val="00674C7C"/>
    <w:rsid w:val="00674D04"/>
    <w:rsid w:val="00674D0C"/>
    <w:rsid w:val="00674D10"/>
    <w:rsid w:val="00674D2F"/>
    <w:rsid w:val="00674D3C"/>
    <w:rsid w:val="00674D84"/>
    <w:rsid w:val="00674DA7"/>
    <w:rsid w:val="00674DCE"/>
    <w:rsid w:val="00674E36"/>
    <w:rsid w:val="00674E52"/>
    <w:rsid w:val="00674E60"/>
    <w:rsid w:val="00674E84"/>
    <w:rsid w:val="00674E9E"/>
    <w:rsid w:val="00674ECC"/>
    <w:rsid w:val="00674F11"/>
    <w:rsid w:val="00674F4E"/>
    <w:rsid w:val="00674F7F"/>
    <w:rsid w:val="00675049"/>
    <w:rsid w:val="00675058"/>
    <w:rsid w:val="006750BC"/>
    <w:rsid w:val="006750E3"/>
    <w:rsid w:val="006750F6"/>
    <w:rsid w:val="0067511A"/>
    <w:rsid w:val="00675154"/>
    <w:rsid w:val="006751A9"/>
    <w:rsid w:val="006751DA"/>
    <w:rsid w:val="006752CE"/>
    <w:rsid w:val="006752E2"/>
    <w:rsid w:val="00675301"/>
    <w:rsid w:val="0067530C"/>
    <w:rsid w:val="00675310"/>
    <w:rsid w:val="00675363"/>
    <w:rsid w:val="00675397"/>
    <w:rsid w:val="006753CE"/>
    <w:rsid w:val="006753E0"/>
    <w:rsid w:val="006753FA"/>
    <w:rsid w:val="00675447"/>
    <w:rsid w:val="0067546F"/>
    <w:rsid w:val="006754A8"/>
    <w:rsid w:val="006754A9"/>
    <w:rsid w:val="00675520"/>
    <w:rsid w:val="00675529"/>
    <w:rsid w:val="00675562"/>
    <w:rsid w:val="00675574"/>
    <w:rsid w:val="006755AD"/>
    <w:rsid w:val="006755B8"/>
    <w:rsid w:val="006755C2"/>
    <w:rsid w:val="006755F8"/>
    <w:rsid w:val="0067566D"/>
    <w:rsid w:val="00675671"/>
    <w:rsid w:val="0067569F"/>
    <w:rsid w:val="006756B0"/>
    <w:rsid w:val="0067576A"/>
    <w:rsid w:val="00675780"/>
    <w:rsid w:val="00675784"/>
    <w:rsid w:val="0067578A"/>
    <w:rsid w:val="006757B5"/>
    <w:rsid w:val="006757E7"/>
    <w:rsid w:val="006757FE"/>
    <w:rsid w:val="00675821"/>
    <w:rsid w:val="00675870"/>
    <w:rsid w:val="006758B1"/>
    <w:rsid w:val="006758BA"/>
    <w:rsid w:val="006758D9"/>
    <w:rsid w:val="006758EC"/>
    <w:rsid w:val="0067594B"/>
    <w:rsid w:val="006759D3"/>
    <w:rsid w:val="006759F5"/>
    <w:rsid w:val="00675A77"/>
    <w:rsid w:val="00675A88"/>
    <w:rsid w:val="00675A92"/>
    <w:rsid w:val="00675AAA"/>
    <w:rsid w:val="00675AC3"/>
    <w:rsid w:val="00675ACC"/>
    <w:rsid w:val="00675B4B"/>
    <w:rsid w:val="00675B88"/>
    <w:rsid w:val="00675C6E"/>
    <w:rsid w:val="00675C9D"/>
    <w:rsid w:val="00675DEF"/>
    <w:rsid w:val="00675E46"/>
    <w:rsid w:val="00675EB3"/>
    <w:rsid w:val="00675ECB"/>
    <w:rsid w:val="00675EDB"/>
    <w:rsid w:val="00675F07"/>
    <w:rsid w:val="00675F59"/>
    <w:rsid w:val="00675F87"/>
    <w:rsid w:val="00675FA5"/>
    <w:rsid w:val="00676007"/>
    <w:rsid w:val="0067600D"/>
    <w:rsid w:val="006760B0"/>
    <w:rsid w:val="006760C7"/>
    <w:rsid w:val="006760E5"/>
    <w:rsid w:val="00676193"/>
    <w:rsid w:val="006761BA"/>
    <w:rsid w:val="006761EB"/>
    <w:rsid w:val="00676224"/>
    <w:rsid w:val="0067622C"/>
    <w:rsid w:val="0067623E"/>
    <w:rsid w:val="00676243"/>
    <w:rsid w:val="00676285"/>
    <w:rsid w:val="00676297"/>
    <w:rsid w:val="006762EE"/>
    <w:rsid w:val="0067631F"/>
    <w:rsid w:val="00676326"/>
    <w:rsid w:val="00676345"/>
    <w:rsid w:val="00676365"/>
    <w:rsid w:val="0067636A"/>
    <w:rsid w:val="006763E0"/>
    <w:rsid w:val="006763EC"/>
    <w:rsid w:val="006763F6"/>
    <w:rsid w:val="0067640C"/>
    <w:rsid w:val="0067641F"/>
    <w:rsid w:val="00676446"/>
    <w:rsid w:val="006764F4"/>
    <w:rsid w:val="00676501"/>
    <w:rsid w:val="0067655A"/>
    <w:rsid w:val="00676594"/>
    <w:rsid w:val="006765C7"/>
    <w:rsid w:val="006765D8"/>
    <w:rsid w:val="0067663F"/>
    <w:rsid w:val="00676653"/>
    <w:rsid w:val="0067667C"/>
    <w:rsid w:val="006766E6"/>
    <w:rsid w:val="006766E9"/>
    <w:rsid w:val="0067671A"/>
    <w:rsid w:val="00676741"/>
    <w:rsid w:val="006767D3"/>
    <w:rsid w:val="006767FB"/>
    <w:rsid w:val="0067683E"/>
    <w:rsid w:val="0067686C"/>
    <w:rsid w:val="006768A2"/>
    <w:rsid w:val="006768B0"/>
    <w:rsid w:val="006768F7"/>
    <w:rsid w:val="00676962"/>
    <w:rsid w:val="00676971"/>
    <w:rsid w:val="00676991"/>
    <w:rsid w:val="006769C0"/>
    <w:rsid w:val="00676A15"/>
    <w:rsid w:val="00676A73"/>
    <w:rsid w:val="00676A99"/>
    <w:rsid w:val="00676AB1"/>
    <w:rsid w:val="00676AF3"/>
    <w:rsid w:val="00676B93"/>
    <w:rsid w:val="00676BC3"/>
    <w:rsid w:val="00676BF4"/>
    <w:rsid w:val="00676C4D"/>
    <w:rsid w:val="00676C5C"/>
    <w:rsid w:val="00676C8F"/>
    <w:rsid w:val="00676CB1"/>
    <w:rsid w:val="00676CD0"/>
    <w:rsid w:val="00676CD4"/>
    <w:rsid w:val="00676D07"/>
    <w:rsid w:val="00676D6C"/>
    <w:rsid w:val="00676D7C"/>
    <w:rsid w:val="00676DDF"/>
    <w:rsid w:val="00676E7C"/>
    <w:rsid w:val="00676E94"/>
    <w:rsid w:val="00676EC1"/>
    <w:rsid w:val="00676F57"/>
    <w:rsid w:val="00676F8A"/>
    <w:rsid w:val="00676F98"/>
    <w:rsid w:val="00676FAF"/>
    <w:rsid w:val="00677017"/>
    <w:rsid w:val="00677076"/>
    <w:rsid w:val="00677086"/>
    <w:rsid w:val="00677096"/>
    <w:rsid w:val="006770C6"/>
    <w:rsid w:val="00677112"/>
    <w:rsid w:val="0067711A"/>
    <w:rsid w:val="0067715A"/>
    <w:rsid w:val="00677164"/>
    <w:rsid w:val="006771E8"/>
    <w:rsid w:val="006771EC"/>
    <w:rsid w:val="0067726C"/>
    <w:rsid w:val="006772B8"/>
    <w:rsid w:val="006772BC"/>
    <w:rsid w:val="00677379"/>
    <w:rsid w:val="00677399"/>
    <w:rsid w:val="006773BC"/>
    <w:rsid w:val="00677415"/>
    <w:rsid w:val="0067749E"/>
    <w:rsid w:val="006774FD"/>
    <w:rsid w:val="00677507"/>
    <w:rsid w:val="00677524"/>
    <w:rsid w:val="00677528"/>
    <w:rsid w:val="00677541"/>
    <w:rsid w:val="00677557"/>
    <w:rsid w:val="00677578"/>
    <w:rsid w:val="006775C8"/>
    <w:rsid w:val="006775D4"/>
    <w:rsid w:val="00677603"/>
    <w:rsid w:val="0067760C"/>
    <w:rsid w:val="00677619"/>
    <w:rsid w:val="006776BC"/>
    <w:rsid w:val="00677717"/>
    <w:rsid w:val="00677756"/>
    <w:rsid w:val="00677757"/>
    <w:rsid w:val="00677779"/>
    <w:rsid w:val="006777EA"/>
    <w:rsid w:val="00677826"/>
    <w:rsid w:val="00677844"/>
    <w:rsid w:val="0067787A"/>
    <w:rsid w:val="00677881"/>
    <w:rsid w:val="0067789A"/>
    <w:rsid w:val="006778AC"/>
    <w:rsid w:val="00677911"/>
    <w:rsid w:val="00677987"/>
    <w:rsid w:val="006779E5"/>
    <w:rsid w:val="006779F5"/>
    <w:rsid w:val="00677A2B"/>
    <w:rsid w:val="00677AA6"/>
    <w:rsid w:val="00677AF3"/>
    <w:rsid w:val="00677B4E"/>
    <w:rsid w:val="00677B7F"/>
    <w:rsid w:val="00677B91"/>
    <w:rsid w:val="00677C95"/>
    <w:rsid w:val="00677CD8"/>
    <w:rsid w:val="00677D14"/>
    <w:rsid w:val="00677D18"/>
    <w:rsid w:val="00677D3B"/>
    <w:rsid w:val="00677D6D"/>
    <w:rsid w:val="00677D84"/>
    <w:rsid w:val="00677D92"/>
    <w:rsid w:val="00677E34"/>
    <w:rsid w:val="00677E48"/>
    <w:rsid w:val="00677E5C"/>
    <w:rsid w:val="00677E75"/>
    <w:rsid w:val="00677EBD"/>
    <w:rsid w:val="00677EC4"/>
    <w:rsid w:val="00677EF9"/>
    <w:rsid w:val="00677F18"/>
    <w:rsid w:val="00677F25"/>
    <w:rsid w:val="00677F2E"/>
    <w:rsid w:val="00677F41"/>
    <w:rsid w:val="00677F80"/>
    <w:rsid w:val="0068001D"/>
    <w:rsid w:val="0068005F"/>
    <w:rsid w:val="00680135"/>
    <w:rsid w:val="0068014A"/>
    <w:rsid w:val="0068014B"/>
    <w:rsid w:val="00680159"/>
    <w:rsid w:val="00680171"/>
    <w:rsid w:val="00680193"/>
    <w:rsid w:val="0068019B"/>
    <w:rsid w:val="006801B2"/>
    <w:rsid w:val="006801CC"/>
    <w:rsid w:val="00680221"/>
    <w:rsid w:val="0068028F"/>
    <w:rsid w:val="006802EB"/>
    <w:rsid w:val="00680312"/>
    <w:rsid w:val="0068031D"/>
    <w:rsid w:val="0068036F"/>
    <w:rsid w:val="0068037E"/>
    <w:rsid w:val="006803D4"/>
    <w:rsid w:val="00680415"/>
    <w:rsid w:val="006804DE"/>
    <w:rsid w:val="006804E5"/>
    <w:rsid w:val="00680517"/>
    <w:rsid w:val="0068054F"/>
    <w:rsid w:val="006805BA"/>
    <w:rsid w:val="006806DE"/>
    <w:rsid w:val="0068070A"/>
    <w:rsid w:val="00680718"/>
    <w:rsid w:val="00680735"/>
    <w:rsid w:val="00680773"/>
    <w:rsid w:val="00680784"/>
    <w:rsid w:val="00680798"/>
    <w:rsid w:val="0068080F"/>
    <w:rsid w:val="0068083E"/>
    <w:rsid w:val="00680887"/>
    <w:rsid w:val="0068088B"/>
    <w:rsid w:val="0068088E"/>
    <w:rsid w:val="0068089E"/>
    <w:rsid w:val="006808C0"/>
    <w:rsid w:val="006808EA"/>
    <w:rsid w:val="00680918"/>
    <w:rsid w:val="00680947"/>
    <w:rsid w:val="0068096D"/>
    <w:rsid w:val="0068099A"/>
    <w:rsid w:val="0068099B"/>
    <w:rsid w:val="0068099E"/>
    <w:rsid w:val="00680A94"/>
    <w:rsid w:val="00680A9C"/>
    <w:rsid w:val="00680ABE"/>
    <w:rsid w:val="00680ADC"/>
    <w:rsid w:val="00680AE6"/>
    <w:rsid w:val="00680AE8"/>
    <w:rsid w:val="00680AEC"/>
    <w:rsid w:val="00680AF4"/>
    <w:rsid w:val="00680B36"/>
    <w:rsid w:val="00680BA8"/>
    <w:rsid w:val="00680BD4"/>
    <w:rsid w:val="00680BF8"/>
    <w:rsid w:val="00680C70"/>
    <w:rsid w:val="00680C72"/>
    <w:rsid w:val="00680D69"/>
    <w:rsid w:val="00680D90"/>
    <w:rsid w:val="00680DA3"/>
    <w:rsid w:val="00680DCF"/>
    <w:rsid w:val="00680E07"/>
    <w:rsid w:val="00680E85"/>
    <w:rsid w:val="00680EAE"/>
    <w:rsid w:val="00680EDC"/>
    <w:rsid w:val="00680F2A"/>
    <w:rsid w:val="00680F4D"/>
    <w:rsid w:val="00680F5F"/>
    <w:rsid w:val="00680F99"/>
    <w:rsid w:val="00680F9E"/>
    <w:rsid w:val="00680FAE"/>
    <w:rsid w:val="00680FEA"/>
    <w:rsid w:val="0068100B"/>
    <w:rsid w:val="0068106C"/>
    <w:rsid w:val="006810A4"/>
    <w:rsid w:val="006810CA"/>
    <w:rsid w:val="00681129"/>
    <w:rsid w:val="006811CC"/>
    <w:rsid w:val="006811D6"/>
    <w:rsid w:val="00681203"/>
    <w:rsid w:val="0068121E"/>
    <w:rsid w:val="0068128A"/>
    <w:rsid w:val="006812A9"/>
    <w:rsid w:val="006812D5"/>
    <w:rsid w:val="006812F7"/>
    <w:rsid w:val="0068135F"/>
    <w:rsid w:val="006813A1"/>
    <w:rsid w:val="006813B7"/>
    <w:rsid w:val="006813C1"/>
    <w:rsid w:val="006813E6"/>
    <w:rsid w:val="0068144E"/>
    <w:rsid w:val="0068146C"/>
    <w:rsid w:val="00681473"/>
    <w:rsid w:val="006814CA"/>
    <w:rsid w:val="006814DF"/>
    <w:rsid w:val="006814E9"/>
    <w:rsid w:val="00681517"/>
    <w:rsid w:val="00681546"/>
    <w:rsid w:val="0068155C"/>
    <w:rsid w:val="00681574"/>
    <w:rsid w:val="006815EA"/>
    <w:rsid w:val="0068168E"/>
    <w:rsid w:val="006816AE"/>
    <w:rsid w:val="006816EA"/>
    <w:rsid w:val="00681719"/>
    <w:rsid w:val="00681722"/>
    <w:rsid w:val="0068172A"/>
    <w:rsid w:val="0068173D"/>
    <w:rsid w:val="00681745"/>
    <w:rsid w:val="00681755"/>
    <w:rsid w:val="006817A4"/>
    <w:rsid w:val="006817CD"/>
    <w:rsid w:val="006817D3"/>
    <w:rsid w:val="006817DB"/>
    <w:rsid w:val="006817DC"/>
    <w:rsid w:val="006817EB"/>
    <w:rsid w:val="0068184F"/>
    <w:rsid w:val="00681871"/>
    <w:rsid w:val="00681948"/>
    <w:rsid w:val="0068194A"/>
    <w:rsid w:val="00681992"/>
    <w:rsid w:val="006819B5"/>
    <w:rsid w:val="006819E9"/>
    <w:rsid w:val="006819FA"/>
    <w:rsid w:val="00681A92"/>
    <w:rsid w:val="00681AA2"/>
    <w:rsid w:val="00681ABA"/>
    <w:rsid w:val="00681AD0"/>
    <w:rsid w:val="00681B1D"/>
    <w:rsid w:val="00681B37"/>
    <w:rsid w:val="00681B4D"/>
    <w:rsid w:val="00681B56"/>
    <w:rsid w:val="00681B77"/>
    <w:rsid w:val="00681B9E"/>
    <w:rsid w:val="00681BCC"/>
    <w:rsid w:val="00681C00"/>
    <w:rsid w:val="00681D10"/>
    <w:rsid w:val="00681D56"/>
    <w:rsid w:val="00681DAE"/>
    <w:rsid w:val="00681E98"/>
    <w:rsid w:val="00681F00"/>
    <w:rsid w:val="00681F31"/>
    <w:rsid w:val="00682013"/>
    <w:rsid w:val="00682015"/>
    <w:rsid w:val="0068205C"/>
    <w:rsid w:val="0068208F"/>
    <w:rsid w:val="00682092"/>
    <w:rsid w:val="006820DC"/>
    <w:rsid w:val="00682105"/>
    <w:rsid w:val="00682163"/>
    <w:rsid w:val="006821B6"/>
    <w:rsid w:val="006821C5"/>
    <w:rsid w:val="00682249"/>
    <w:rsid w:val="00682303"/>
    <w:rsid w:val="0068237F"/>
    <w:rsid w:val="006823B0"/>
    <w:rsid w:val="00682483"/>
    <w:rsid w:val="0068248D"/>
    <w:rsid w:val="006824A2"/>
    <w:rsid w:val="006824DE"/>
    <w:rsid w:val="006824F1"/>
    <w:rsid w:val="006824F3"/>
    <w:rsid w:val="006824F9"/>
    <w:rsid w:val="0068250C"/>
    <w:rsid w:val="0068257A"/>
    <w:rsid w:val="006825BE"/>
    <w:rsid w:val="006825CA"/>
    <w:rsid w:val="006825D8"/>
    <w:rsid w:val="0068268A"/>
    <w:rsid w:val="0068270E"/>
    <w:rsid w:val="00682739"/>
    <w:rsid w:val="00682777"/>
    <w:rsid w:val="00682781"/>
    <w:rsid w:val="006827BB"/>
    <w:rsid w:val="006828B9"/>
    <w:rsid w:val="006828BC"/>
    <w:rsid w:val="006828E7"/>
    <w:rsid w:val="0068299D"/>
    <w:rsid w:val="00682A0D"/>
    <w:rsid w:val="00682A31"/>
    <w:rsid w:val="00682A54"/>
    <w:rsid w:val="00682A70"/>
    <w:rsid w:val="00682A77"/>
    <w:rsid w:val="00682AB9"/>
    <w:rsid w:val="00682B05"/>
    <w:rsid w:val="00682B5A"/>
    <w:rsid w:val="00682B60"/>
    <w:rsid w:val="00682B83"/>
    <w:rsid w:val="00682BA7"/>
    <w:rsid w:val="00682BB2"/>
    <w:rsid w:val="00682BD8"/>
    <w:rsid w:val="00682C23"/>
    <w:rsid w:val="00682C24"/>
    <w:rsid w:val="00682C8E"/>
    <w:rsid w:val="00682C92"/>
    <w:rsid w:val="00682CA8"/>
    <w:rsid w:val="00682CE4"/>
    <w:rsid w:val="00682CF1"/>
    <w:rsid w:val="00682D62"/>
    <w:rsid w:val="00682D86"/>
    <w:rsid w:val="00682DC2"/>
    <w:rsid w:val="00682DD9"/>
    <w:rsid w:val="00682E2C"/>
    <w:rsid w:val="00682E6B"/>
    <w:rsid w:val="00682E97"/>
    <w:rsid w:val="00682F5C"/>
    <w:rsid w:val="00682F70"/>
    <w:rsid w:val="00682FCE"/>
    <w:rsid w:val="00682FD0"/>
    <w:rsid w:val="00683027"/>
    <w:rsid w:val="00683063"/>
    <w:rsid w:val="00683093"/>
    <w:rsid w:val="006830A3"/>
    <w:rsid w:val="006830F9"/>
    <w:rsid w:val="0068310D"/>
    <w:rsid w:val="00683120"/>
    <w:rsid w:val="0068313B"/>
    <w:rsid w:val="006831A7"/>
    <w:rsid w:val="006831C4"/>
    <w:rsid w:val="006831CF"/>
    <w:rsid w:val="00683256"/>
    <w:rsid w:val="006832AF"/>
    <w:rsid w:val="006832DD"/>
    <w:rsid w:val="00683317"/>
    <w:rsid w:val="0068332D"/>
    <w:rsid w:val="00683341"/>
    <w:rsid w:val="00683342"/>
    <w:rsid w:val="00683373"/>
    <w:rsid w:val="006833B0"/>
    <w:rsid w:val="006833B4"/>
    <w:rsid w:val="006833BD"/>
    <w:rsid w:val="00683467"/>
    <w:rsid w:val="0068346D"/>
    <w:rsid w:val="006834B0"/>
    <w:rsid w:val="0068350A"/>
    <w:rsid w:val="00683528"/>
    <w:rsid w:val="00683538"/>
    <w:rsid w:val="00683539"/>
    <w:rsid w:val="00683549"/>
    <w:rsid w:val="0068355B"/>
    <w:rsid w:val="00683573"/>
    <w:rsid w:val="00683595"/>
    <w:rsid w:val="006835B5"/>
    <w:rsid w:val="00683600"/>
    <w:rsid w:val="00683648"/>
    <w:rsid w:val="00683663"/>
    <w:rsid w:val="006836B8"/>
    <w:rsid w:val="006836B9"/>
    <w:rsid w:val="00683717"/>
    <w:rsid w:val="00683737"/>
    <w:rsid w:val="0068374B"/>
    <w:rsid w:val="00683757"/>
    <w:rsid w:val="0068376D"/>
    <w:rsid w:val="006837B6"/>
    <w:rsid w:val="00683839"/>
    <w:rsid w:val="00683886"/>
    <w:rsid w:val="00683927"/>
    <w:rsid w:val="0068398C"/>
    <w:rsid w:val="006839B9"/>
    <w:rsid w:val="00683A0F"/>
    <w:rsid w:val="00683A79"/>
    <w:rsid w:val="00683A8C"/>
    <w:rsid w:val="00683AC8"/>
    <w:rsid w:val="00683AC9"/>
    <w:rsid w:val="00683B26"/>
    <w:rsid w:val="00683B3F"/>
    <w:rsid w:val="00683B53"/>
    <w:rsid w:val="00683B55"/>
    <w:rsid w:val="00683B57"/>
    <w:rsid w:val="00683B9B"/>
    <w:rsid w:val="00683C48"/>
    <w:rsid w:val="00683C84"/>
    <w:rsid w:val="00683CCC"/>
    <w:rsid w:val="00683CEB"/>
    <w:rsid w:val="00683D45"/>
    <w:rsid w:val="00683D50"/>
    <w:rsid w:val="00683DB9"/>
    <w:rsid w:val="00683DBC"/>
    <w:rsid w:val="00683DCC"/>
    <w:rsid w:val="00683DD2"/>
    <w:rsid w:val="00683E31"/>
    <w:rsid w:val="00683E7E"/>
    <w:rsid w:val="00683E89"/>
    <w:rsid w:val="00683EE4"/>
    <w:rsid w:val="00683F65"/>
    <w:rsid w:val="00683F6D"/>
    <w:rsid w:val="00683FDC"/>
    <w:rsid w:val="0068408C"/>
    <w:rsid w:val="006840AA"/>
    <w:rsid w:val="006841EC"/>
    <w:rsid w:val="0068420F"/>
    <w:rsid w:val="00684238"/>
    <w:rsid w:val="00684242"/>
    <w:rsid w:val="0068424B"/>
    <w:rsid w:val="0068428E"/>
    <w:rsid w:val="00684325"/>
    <w:rsid w:val="0068432F"/>
    <w:rsid w:val="00684350"/>
    <w:rsid w:val="00684363"/>
    <w:rsid w:val="006843C9"/>
    <w:rsid w:val="006843DB"/>
    <w:rsid w:val="00684415"/>
    <w:rsid w:val="00684423"/>
    <w:rsid w:val="00684428"/>
    <w:rsid w:val="0068444D"/>
    <w:rsid w:val="006844BF"/>
    <w:rsid w:val="006844F6"/>
    <w:rsid w:val="0068450F"/>
    <w:rsid w:val="00684515"/>
    <w:rsid w:val="00684564"/>
    <w:rsid w:val="0068467D"/>
    <w:rsid w:val="00684685"/>
    <w:rsid w:val="0068469A"/>
    <w:rsid w:val="006846D7"/>
    <w:rsid w:val="006846F5"/>
    <w:rsid w:val="0068473F"/>
    <w:rsid w:val="00684756"/>
    <w:rsid w:val="0068482B"/>
    <w:rsid w:val="00684884"/>
    <w:rsid w:val="006848CA"/>
    <w:rsid w:val="00684941"/>
    <w:rsid w:val="006849C3"/>
    <w:rsid w:val="00684A91"/>
    <w:rsid w:val="00684AEE"/>
    <w:rsid w:val="00684AFD"/>
    <w:rsid w:val="00684B00"/>
    <w:rsid w:val="00684B0F"/>
    <w:rsid w:val="00684B1A"/>
    <w:rsid w:val="00684B2E"/>
    <w:rsid w:val="00684BA7"/>
    <w:rsid w:val="00684C9E"/>
    <w:rsid w:val="00684C9F"/>
    <w:rsid w:val="00684CC3"/>
    <w:rsid w:val="00684CD2"/>
    <w:rsid w:val="00684CD5"/>
    <w:rsid w:val="00684D12"/>
    <w:rsid w:val="00684D16"/>
    <w:rsid w:val="00684D2A"/>
    <w:rsid w:val="00684DF9"/>
    <w:rsid w:val="00684E12"/>
    <w:rsid w:val="00684E6B"/>
    <w:rsid w:val="00684E7C"/>
    <w:rsid w:val="00684E82"/>
    <w:rsid w:val="00684E84"/>
    <w:rsid w:val="00684EC1"/>
    <w:rsid w:val="00684F00"/>
    <w:rsid w:val="00684FAE"/>
    <w:rsid w:val="0068500F"/>
    <w:rsid w:val="00685042"/>
    <w:rsid w:val="00685062"/>
    <w:rsid w:val="006850C3"/>
    <w:rsid w:val="006850EF"/>
    <w:rsid w:val="006850F8"/>
    <w:rsid w:val="006850FB"/>
    <w:rsid w:val="00685121"/>
    <w:rsid w:val="0068513B"/>
    <w:rsid w:val="0068519C"/>
    <w:rsid w:val="00685239"/>
    <w:rsid w:val="0068523A"/>
    <w:rsid w:val="00685307"/>
    <w:rsid w:val="0068531A"/>
    <w:rsid w:val="00685351"/>
    <w:rsid w:val="006853A5"/>
    <w:rsid w:val="00685402"/>
    <w:rsid w:val="00685434"/>
    <w:rsid w:val="00685481"/>
    <w:rsid w:val="00685490"/>
    <w:rsid w:val="006854AC"/>
    <w:rsid w:val="006854B8"/>
    <w:rsid w:val="006854F2"/>
    <w:rsid w:val="00685516"/>
    <w:rsid w:val="00685526"/>
    <w:rsid w:val="00685532"/>
    <w:rsid w:val="00685588"/>
    <w:rsid w:val="0068561E"/>
    <w:rsid w:val="0068562F"/>
    <w:rsid w:val="0068564C"/>
    <w:rsid w:val="00685709"/>
    <w:rsid w:val="00685720"/>
    <w:rsid w:val="00685734"/>
    <w:rsid w:val="0068574D"/>
    <w:rsid w:val="00685773"/>
    <w:rsid w:val="00685855"/>
    <w:rsid w:val="00685890"/>
    <w:rsid w:val="006858C8"/>
    <w:rsid w:val="006858D6"/>
    <w:rsid w:val="006858DC"/>
    <w:rsid w:val="00685916"/>
    <w:rsid w:val="0068594F"/>
    <w:rsid w:val="0068599E"/>
    <w:rsid w:val="006859AF"/>
    <w:rsid w:val="006859DD"/>
    <w:rsid w:val="006859F9"/>
    <w:rsid w:val="00685A0E"/>
    <w:rsid w:val="00685A54"/>
    <w:rsid w:val="00685A90"/>
    <w:rsid w:val="00685AC2"/>
    <w:rsid w:val="00685AE1"/>
    <w:rsid w:val="00685B12"/>
    <w:rsid w:val="00685B4A"/>
    <w:rsid w:val="00685B66"/>
    <w:rsid w:val="00685BB7"/>
    <w:rsid w:val="00685C3C"/>
    <w:rsid w:val="00685C45"/>
    <w:rsid w:val="00685C58"/>
    <w:rsid w:val="00685C5B"/>
    <w:rsid w:val="00685CAD"/>
    <w:rsid w:val="00685CF7"/>
    <w:rsid w:val="00685D0B"/>
    <w:rsid w:val="00685D50"/>
    <w:rsid w:val="00685DAE"/>
    <w:rsid w:val="00685DBB"/>
    <w:rsid w:val="00685E01"/>
    <w:rsid w:val="00685E5A"/>
    <w:rsid w:val="00685E60"/>
    <w:rsid w:val="00685E6B"/>
    <w:rsid w:val="00685E70"/>
    <w:rsid w:val="00685EA4"/>
    <w:rsid w:val="00685EC0"/>
    <w:rsid w:val="00685ED7"/>
    <w:rsid w:val="00685F58"/>
    <w:rsid w:val="00685F96"/>
    <w:rsid w:val="00685FAD"/>
    <w:rsid w:val="00685FAF"/>
    <w:rsid w:val="00686009"/>
    <w:rsid w:val="0068603F"/>
    <w:rsid w:val="0068606E"/>
    <w:rsid w:val="0068607F"/>
    <w:rsid w:val="006860AC"/>
    <w:rsid w:val="0068614C"/>
    <w:rsid w:val="00686165"/>
    <w:rsid w:val="006861B9"/>
    <w:rsid w:val="00686264"/>
    <w:rsid w:val="00686355"/>
    <w:rsid w:val="00686378"/>
    <w:rsid w:val="0068639E"/>
    <w:rsid w:val="0068640D"/>
    <w:rsid w:val="00686416"/>
    <w:rsid w:val="00686436"/>
    <w:rsid w:val="0068645E"/>
    <w:rsid w:val="0068647C"/>
    <w:rsid w:val="0068648B"/>
    <w:rsid w:val="006864B9"/>
    <w:rsid w:val="00686503"/>
    <w:rsid w:val="00686518"/>
    <w:rsid w:val="00686581"/>
    <w:rsid w:val="006865A9"/>
    <w:rsid w:val="006866D6"/>
    <w:rsid w:val="00686703"/>
    <w:rsid w:val="00686705"/>
    <w:rsid w:val="00686745"/>
    <w:rsid w:val="0068678A"/>
    <w:rsid w:val="006867AD"/>
    <w:rsid w:val="006867CE"/>
    <w:rsid w:val="00686808"/>
    <w:rsid w:val="0068680F"/>
    <w:rsid w:val="00686892"/>
    <w:rsid w:val="00686899"/>
    <w:rsid w:val="006868AB"/>
    <w:rsid w:val="006868B6"/>
    <w:rsid w:val="00686923"/>
    <w:rsid w:val="00686941"/>
    <w:rsid w:val="006869D7"/>
    <w:rsid w:val="00686A8C"/>
    <w:rsid w:val="00686AAB"/>
    <w:rsid w:val="00686B47"/>
    <w:rsid w:val="00686B54"/>
    <w:rsid w:val="00686B7A"/>
    <w:rsid w:val="00686B98"/>
    <w:rsid w:val="00686BDA"/>
    <w:rsid w:val="00686C25"/>
    <w:rsid w:val="00686C38"/>
    <w:rsid w:val="00686C50"/>
    <w:rsid w:val="00686C56"/>
    <w:rsid w:val="00686C7C"/>
    <w:rsid w:val="00686CB5"/>
    <w:rsid w:val="00686D16"/>
    <w:rsid w:val="00686D80"/>
    <w:rsid w:val="00686D92"/>
    <w:rsid w:val="00686DD1"/>
    <w:rsid w:val="00686DD5"/>
    <w:rsid w:val="00686DE9"/>
    <w:rsid w:val="00686DF8"/>
    <w:rsid w:val="00686E06"/>
    <w:rsid w:val="00686E90"/>
    <w:rsid w:val="00686E9A"/>
    <w:rsid w:val="00686EA0"/>
    <w:rsid w:val="00686EC3"/>
    <w:rsid w:val="00686F62"/>
    <w:rsid w:val="00686F67"/>
    <w:rsid w:val="00686F86"/>
    <w:rsid w:val="00686F8D"/>
    <w:rsid w:val="00686FE4"/>
    <w:rsid w:val="00687035"/>
    <w:rsid w:val="0068704D"/>
    <w:rsid w:val="00687072"/>
    <w:rsid w:val="00687082"/>
    <w:rsid w:val="006870A1"/>
    <w:rsid w:val="006870A3"/>
    <w:rsid w:val="006870CA"/>
    <w:rsid w:val="0068715F"/>
    <w:rsid w:val="00687232"/>
    <w:rsid w:val="00687268"/>
    <w:rsid w:val="0068728A"/>
    <w:rsid w:val="00687313"/>
    <w:rsid w:val="00687322"/>
    <w:rsid w:val="00687354"/>
    <w:rsid w:val="0068737A"/>
    <w:rsid w:val="0068737B"/>
    <w:rsid w:val="006873A4"/>
    <w:rsid w:val="006873A8"/>
    <w:rsid w:val="006873B8"/>
    <w:rsid w:val="006873F5"/>
    <w:rsid w:val="0068742B"/>
    <w:rsid w:val="0068742E"/>
    <w:rsid w:val="0068745F"/>
    <w:rsid w:val="00687486"/>
    <w:rsid w:val="006874B2"/>
    <w:rsid w:val="006874D6"/>
    <w:rsid w:val="006875D0"/>
    <w:rsid w:val="006875F1"/>
    <w:rsid w:val="006875FF"/>
    <w:rsid w:val="006876BA"/>
    <w:rsid w:val="006876D0"/>
    <w:rsid w:val="006876DC"/>
    <w:rsid w:val="006876E0"/>
    <w:rsid w:val="0068771E"/>
    <w:rsid w:val="00687742"/>
    <w:rsid w:val="0068777A"/>
    <w:rsid w:val="006877AB"/>
    <w:rsid w:val="006877B8"/>
    <w:rsid w:val="00687832"/>
    <w:rsid w:val="00687888"/>
    <w:rsid w:val="006878E4"/>
    <w:rsid w:val="00687913"/>
    <w:rsid w:val="00687918"/>
    <w:rsid w:val="0068793B"/>
    <w:rsid w:val="00687995"/>
    <w:rsid w:val="006879E2"/>
    <w:rsid w:val="006879ED"/>
    <w:rsid w:val="006879FC"/>
    <w:rsid w:val="006879FD"/>
    <w:rsid w:val="00687A07"/>
    <w:rsid w:val="00687A85"/>
    <w:rsid w:val="00687C64"/>
    <w:rsid w:val="00687D2C"/>
    <w:rsid w:val="00687D87"/>
    <w:rsid w:val="00687DCA"/>
    <w:rsid w:val="00687DFB"/>
    <w:rsid w:val="00687E0B"/>
    <w:rsid w:val="00687E14"/>
    <w:rsid w:val="00687E2E"/>
    <w:rsid w:val="00687E48"/>
    <w:rsid w:val="00687E55"/>
    <w:rsid w:val="00687E5C"/>
    <w:rsid w:val="00687E8D"/>
    <w:rsid w:val="00687EA7"/>
    <w:rsid w:val="00687EB9"/>
    <w:rsid w:val="00687F6B"/>
    <w:rsid w:val="00687FAC"/>
    <w:rsid w:val="00687FB1"/>
    <w:rsid w:val="0069006B"/>
    <w:rsid w:val="0069015F"/>
    <w:rsid w:val="0069016D"/>
    <w:rsid w:val="00690266"/>
    <w:rsid w:val="00690297"/>
    <w:rsid w:val="0069036A"/>
    <w:rsid w:val="006903EE"/>
    <w:rsid w:val="00690463"/>
    <w:rsid w:val="00690465"/>
    <w:rsid w:val="0069047D"/>
    <w:rsid w:val="0069048C"/>
    <w:rsid w:val="00690494"/>
    <w:rsid w:val="006904D5"/>
    <w:rsid w:val="006904D6"/>
    <w:rsid w:val="006904D7"/>
    <w:rsid w:val="006904E8"/>
    <w:rsid w:val="00690513"/>
    <w:rsid w:val="0069052A"/>
    <w:rsid w:val="00690565"/>
    <w:rsid w:val="00690594"/>
    <w:rsid w:val="006905F4"/>
    <w:rsid w:val="00690634"/>
    <w:rsid w:val="006906C4"/>
    <w:rsid w:val="006906E2"/>
    <w:rsid w:val="006906EA"/>
    <w:rsid w:val="006906F4"/>
    <w:rsid w:val="0069072C"/>
    <w:rsid w:val="00690738"/>
    <w:rsid w:val="00690771"/>
    <w:rsid w:val="0069077D"/>
    <w:rsid w:val="00690847"/>
    <w:rsid w:val="0069085E"/>
    <w:rsid w:val="006908FF"/>
    <w:rsid w:val="00690912"/>
    <w:rsid w:val="00690936"/>
    <w:rsid w:val="00690946"/>
    <w:rsid w:val="0069099D"/>
    <w:rsid w:val="006909EE"/>
    <w:rsid w:val="00690A30"/>
    <w:rsid w:val="00690A45"/>
    <w:rsid w:val="00690A4B"/>
    <w:rsid w:val="00690A7F"/>
    <w:rsid w:val="00690AA6"/>
    <w:rsid w:val="00690B36"/>
    <w:rsid w:val="00690B3C"/>
    <w:rsid w:val="00690B7F"/>
    <w:rsid w:val="00690BCB"/>
    <w:rsid w:val="00690BF9"/>
    <w:rsid w:val="00690C32"/>
    <w:rsid w:val="00690C9B"/>
    <w:rsid w:val="00690CBD"/>
    <w:rsid w:val="00690CC8"/>
    <w:rsid w:val="00690CD0"/>
    <w:rsid w:val="00690CEB"/>
    <w:rsid w:val="00690D88"/>
    <w:rsid w:val="00690D9F"/>
    <w:rsid w:val="00690DAC"/>
    <w:rsid w:val="00690E9D"/>
    <w:rsid w:val="00690EC7"/>
    <w:rsid w:val="00690EFC"/>
    <w:rsid w:val="00690F1F"/>
    <w:rsid w:val="00690F4D"/>
    <w:rsid w:val="00690F4E"/>
    <w:rsid w:val="00690F7E"/>
    <w:rsid w:val="00690F9E"/>
    <w:rsid w:val="00690FC9"/>
    <w:rsid w:val="00691063"/>
    <w:rsid w:val="0069106C"/>
    <w:rsid w:val="00691082"/>
    <w:rsid w:val="006910A3"/>
    <w:rsid w:val="006910F7"/>
    <w:rsid w:val="006910FE"/>
    <w:rsid w:val="0069110B"/>
    <w:rsid w:val="00691130"/>
    <w:rsid w:val="00691144"/>
    <w:rsid w:val="0069114E"/>
    <w:rsid w:val="0069118A"/>
    <w:rsid w:val="006911A7"/>
    <w:rsid w:val="006911B8"/>
    <w:rsid w:val="0069120A"/>
    <w:rsid w:val="0069128C"/>
    <w:rsid w:val="006912B4"/>
    <w:rsid w:val="00691304"/>
    <w:rsid w:val="00691410"/>
    <w:rsid w:val="0069146F"/>
    <w:rsid w:val="00691497"/>
    <w:rsid w:val="006914C8"/>
    <w:rsid w:val="006914CF"/>
    <w:rsid w:val="006914FA"/>
    <w:rsid w:val="00691511"/>
    <w:rsid w:val="00691538"/>
    <w:rsid w:val="006915FE"/>
    <w:rsid w:val="00691620"/>
    <w:rsid w:val="00691670"/>
    <w:rsid w:val="00691673"/>
    <w:rsid w:val="006917F7"/>
    <w:rsid w:val="0069185F"/>
    <w:rsid w:val="006918CF"/>
    <w:rsid w:val="006918EA"/>
    <w:rsid w:val="006918F8"/>
    <w:rsid w:val="00691924"/>
    <w:rsid w:val="006919E4"/>
    <w:rsid w:val="00691A24"/>
    <w:rsid w:val="00691A32"/>
    <w:rsid w:val="00691ABD"/>
    <w:rsid w:val="00691AE6"/>
    <w:rsid w:val="00691B55"/>
    <w:rsid w:val="00691B5C"/>
    <w:rsid w:val="00691BDA"/>
    <w:rsid w:val="00691C36"/>
    <w:rsid w:val="00691C53"/>
    <w:rsid w:val="00691CB5"/>
    <w:rsid w:val="00691D53"/>
    <w:rsid w:val="00691E04"/>
    <w:rsid w:val="00691E10"/>
    <w:rsid w:val="00691E17"/>
    <w:rsid w:val="00691E27"/>
    <w:rsid w:val="00691ED5"/>
    <w:rsid w:val="00691ED9"/>
    <w:rsid w:val="00691F35"/>
    <w:rsid w:val="00691F93"/>
    <w:rsid w:val="00691FB8"/>
    <w:rsid w:val="00691FF7"/>
    <w:rsid w:val="00691FFA"/>
    <w:rsid w:val="0069209C"/>
    <w:rsid w:val="006920AA"/>
    <w:rsid w:val="006920B0"/>
    <w:rsid w:val="00692131"/>
    <w:rsid w:val="00692172"/>
    <w:rsid w:val="00692180"/>
    <w:rsid w:val="00692265"/>
    <w:rsid w:val="00692269"/>
    <w:rsid w:val="006922BE"/>
    <w:rsid w:val="006923B8"/>
    <w:rsid w:val="006923BC"/>
    <w:rsid w:val="006923D5"/>
    <w:rsid w:val="006923DF"/>
    <w:rsid w:val="006923F1"/>
    <w:rsid w:val="0069241A"/>
    <w:rsid w:val="00692457"/>
    <w:rsid w:val="00692482"/>
    <w:rsid w:val="006924C9"/>
    <w:rsid w:val="00692519"/>
    <w:rsid w:val="00692538"/>
    <w:rsid w:val="0069257E"/>
    <w:rsid w:val="0069258C"/>
    <w:rsid w:val="006925D6"/>
    <w:rsid w:val="006925DC"/>
    <w:rsid w:val="006925EF"/>
    <w:rsid w:val="00692673"/>
    <w:rsid w:val="006926D0"/>
    <w:rsid w:val="006926EC"/>
    <w:rsid w:val="00692704"/>
    <w:rsid w:val="0069274D"/>
    <w:rsid w:val="0069275F"/>
    <w:rsid w:val="00692796"/>
    <w:rsid w:val="0069279B"/>
    <w:rsid w:val="00692856"/>
    <w:rsid w:val="0069289C"/>
    <w:rsid w:val="00692967"/>
    <w:rsid w:val="00692990"/>
    <w:rsid w:val="006929AF"/>
    <w:rsid w:val="00692A31"/>
    <w:rsid w:val="00692A3E"/>
    <w:rsid w:val="00692A7A"/>
    <w:rsid w:val="00692A8F"/>
    <w:rsid w:val="00692AB5"/>
    <w:rsid w:val="00692B23"/>
    <w:rsid w:val="00692B3A"/>
    <w:rsid w:val="00692BA1"/>
    <w:rsid w:val="00692BB5"/>
    <w:rsid w:val="00692BC1"/>
    <w:rsid w:val="00692C0B"/>
    <w:rsid w:val="00692C2E"/>
    <w:rsid w:val="00692C58"/>
    <w:rsid w:val="00692C98"/>
    <w:rsid w:val="00692D20"/>
    <w:rsid w:val="00692D63"/>
    <w:rsid w:val="00692D91"/>
    <w:rsid w:val="00692D93"/>
    <w:rsid w:val="00692DC9"/>
    <w:rsid w:val="00692E1D"/>
    <w:rsid w:val="00692E1E"/>
    <w:rsid w:val="00692ED0"/>
    <w:rsid w:val="00692EEF"/>
    <w:rsid w:val="00692EF9"/>
    <w:rsid w:val="00692F40"/>
    <w:rsid w:val="00692FF9"/>
    <w:rsid w:val="00692FFF"/>
    <w:rsid w:val="00693044"/>
    <w:rsid w:val="00693074"/>
    <w:rsid w:val="00693080"/>
    <w:rsid w:val="006930A9"/>
    <w:rsid w:val="006930C6"/>
    <w:rsid w:val="00693141"/>
    <w:rsid w:val="0069318F"/>
    <w:rsid w:val="0069319E"/>
    <w:rsid w:val="006931A9"/>
    <w:rsid w:val="006931EA"/>
    <w:rsid w:val="006931FE"/>
    <w:rsid w:val="00693239"/>
    <w:rsid w:val="00693260"/>
    <w:rsid w:val="00693350"/>
    <w:rsid w:val="0069335F"/>
    <w:rsid w:val="0069338E"/>
    <w:rsid w:val="006933AF"/>
    <w:rsid w:val="006933B0"/>
    <w:rsid w:val="006933BA"/>
    <w:rsid w:val="006933E5"/>
    <w:rsid w:val="006933EA"/>
    <w:rsid w:val="006933F0"/>
    <w:rsid w:val="00693411"/>
    <w:rsid w:val="00693439"/>
    <w:rsid w:val="00693455"/>
    <w:rsid w:val="0069345A"/>
    <w:rsid w:val="00693483"/>
    <w:rsid w:val="00693484"/>
    <w:rsid w:val="006934BA"/>
    <w:rsid w:val="00693510"/>
    <w:rsid w:val="00693570"/>
    <w:rsid w:val="00693604"/>
    <w:rsid w:val="00693626"/>
    <w:rsid w:val="00693697"/>
    <w:rsid w:val="006936AC"/>
    <w:rsid w:val="006936FC"/>
    <w:rsid w:val="006937A0"/>
    <w:rsid w:val="006937B1"/>
    <w:rsid w:val="006937C8"/>
    <w:rsid w:val="006937EA"/>
    <w:rsid w:val="0069386B"/>
    <w:rsid w:val="006938DC"/>
    <w:rsid w:val="0069393A"/>
    <w:rsid w:val="00693951"/>
    <w:rsid w:val="00693955"/>
    <w:rsid w:val="0069395E"/>
    <w:rsid w:val="00693976"/>
    <w:rsid w:val="006939E2"/>
    <w:rsid w:val="00693A33"/>
    <w:rsid w:val="00693A4B"/>
    <w:rsid w:val="00693A62"/>
    <w:rsid w:val="00693A7E"/>
    <w:rsid w:val="00693A83"/>
    <w:rsid w:val="00693AA2"/>
    <w:rsid w:val="00693B1C"/>
    <w:rsid w:val="00693B29"/>
    <w:rsid w:val="00693C30"/>
    <w:rsid w:val="00693C4F"/>
    <w:rsid w:val="00693C69"/>
    <w:rsid w:val="00693C79"/>
    <w:rsid w:val="00693CA6"/>
    <w:rsid w:val="00693CAA"/>
    <w:rsid w:val="00693CFA"/>
    <w:rsid w:val="00693D70"/>
    <w:rsid w:val="00693D90"/>
    <w:rsid w:val="00693DE5"/>
    <w:rsid w:val="00693E09"/>
    <w:rsid w:val="00693E0C"/>
    <w:rsid w:val="00693E15"/>
    <w:rsid w:val="00693EA1"/>
    <w:rsid w:val="00693ECC"/>
    <w:rsid w:val="00693ED8"/>
    <w:rsid w:val="00693EE0"/>
    <w:rsid w:val="00693EEA"/>
    <w:rsid w:val="00693F24"/>
    <w:rsid w:val="00693F2C"/>
    <w:rsid w:val="00693F6A"/>
    <w:rsid w:val="00693FB0"/>
    <w:rsid w:val="00693FCD"/>
    <w:rsid w:val="00693FD7"/>
    <w:rsid w:val="00694008"/>
    <w:rsid w:val="0069403A"/>
    <w:rsid w:val="00694042"/>
    <w:rsid w:val="00694123"/>
    <w:rsid w:val="0069416B"/>
    <w:rsid w:val="00694193"/>
    <w:rsid w:val="006941C7"/>
    <w:rsid w:val="0069423D"/>
    <w:rsid w:val="00694260"/>
    <w:rsid w:val="00694261"/>
    <w:rsid w:val="00694275"/>
    <w:rsid w:val="00694364"/>
    <w:rsid w:val="006943DF"/>
    <w:rsid w:val="0069448C"/>
    <w:rsid w:val="006944C5"/>
    <w:rsid w:val="006944EC"/>
    <w:rsid w:val="00694530"/>
    <w:rsid w:val="00694537"/>
    <w:rsid w:val="00694544"/>
    <w:rsid w:val="00694557"/>
    <w:rsid w:val="006945B1"/>
    <w:rsid w:val="006945FC"/>
    <w:rsid w:val="00694617"/>
    <w:rsid w:val="00694623"/>
    <w:rsid w:val="00694661"/>
    <w:rsid w:val="006946FE"/>
    <w:rsid w:val="00694799"/>
    <w:rsid w:val="006947D5"/>
    <w:rsid w:val="0069484C"/>
    <w:rsid w:val="00694859"/>
    <w:rsid w:val="00694880"/>
    <w:rsid w:val="0069488E"/>
    <w:rsid w:val="006948A7"/>
    <w:rsid w:val="006948B8"/>
    <w:rsid w:val="006948B9"/>
    <w:rsid w:val="006948D9"/>
    <w:rsid w:val="00694918"/>
    <w:rsid w:val="0069494B"/>
    <w:rsid w:val="00694976"/>
    <w:rsid w:val="00694988"/>
    <w:rsid w:val="006949B7"/>
    <w:rsid w:val="00694A93"/>
    <w:rsid w:val="00694B36"/>
    <w:rsid w:val="00694B86"/>
    <w:rsid w:val="00694BE5"/>
    <w:rsid w:val="00694BF2"/>
    <w:rsid w:val="00694BF8"/>
    <w:rsid w:val="00694C08"/>
    <w:rsid w:val="00694CF1"/>
    <w:rsid w:val="00694CF8"/>
    <w:rsid w:val="00694D58"/>
    <w:rsid w:val="00694DD7"/>
    <w:rsid w:val="00694E29"/>
    <w:rsid w:val="00694E35"/>
    <w:rsid w:val="00694EA7"/>
    <w:rsid w:val="00694ED5"/>
    <w:rsid w:val="00694F00"/>
    <w:rsid w:val="00694FA3"/>
    <w:rsid w:val="00694FFA"/>
    <w:rsid w:val="00695006"/>
    <w:rsid w:val="00695031"/>
    <w:rsid w:val="00695090"/>
    <w:rsid w:val="006950DC"/>
    <w:rsid w:val="006950E9"/>
    <w:rsid w:val="00695132"/>
    <w:rsid w:val="0069514E"/>
    <w:rsid w:val="00695159"/>
    <w:rsid w:val="0069517A"/>
    <w:rsid w:val="0069517D"/>
    <w:rsid w:val="0069517F"/>
    <w:rsid w:val="00695201"/>
    <w:rsid w:val="00695210"/>
    <w:rsid w:val="00695217"/>
    <w:rsid w:val="0069524E"/>
    <w:rsid w:val="0069526C"/>
    <w:rsid w:val="006952CF"/>
    <w:rsid w:val="006952E4"/>
    <w:rsid w:val="00695353"/>
    <w:rsid w:val="0069535F"/>
    <w:rsid w:val="006953C0"/>
    <w:rsid w:val="006953E3"/>
    <w:rsid w:val="006953F3"/>
    <w:rsid w:val="00695404"/>
    <w:rsid w:val="00695457"/>
    <w:rsid w:val="00695487"/>
    <w:rsid w:val="0069549F"/>
    <w:rsid w:val="006954AD"/>
    <w:rsid w:val="006954D4"/>
    <w:rsid w:val="0069553F"/>
    <w:rsid w:val="00695592"/>
    <w:rsid w:val="00695606"/>
    <w:rsid w:val="00695616"/>
    <w:rsid w:val="0069561B"/>
    <w:rsid w:val="00695636"/>
    <w:rsid w:val="00695638"/>
    <w:rsid w:val="0069565C"/>
    <w:rsid w:val="006956A5"/>
    <w:rsid w:val="006956C3"/>
    <w:rsid w:val="006956E0"/>
    <w:rsid w:val="006956E4"/>
    <w:rsid w:val="006956EE"/>
    <w:rsid w:val="00695707"/>
    <w:rsid w:val="00695728"/>
    <w:rsid w:val="00695757"/>
    <w:rsid w:val="00695781"/>
    <w:rsid w:val="006957CD"/>
    <w:rsid w:val="00695802"/>
    <w:rsid w:val="00695826"/>
    <w:rsid w:val="006958D8"/>
    <w:rsid w:val="006958D9"/>
    <w:rsid w:val="006958E5"/>
    <w:rsid w:val="006958F4"/>
    <w:rsid w:val="00695971"/>
    <w:rsid w:val="0069598F"/>
    <w:rsid w:val="00695A8C"/>
    <w:rsid w:val="00695ACE"/>
    <w:rsid w:val="00695AEB"/>
    <w:rsid w:val="00695B18"/>
    <w:rsid w:val="00695B7D"/>
    <w:rsid w:val="00695BED"/>
    <w:rsid w:val="00695BF7"/>
    <w:rsid w:val="00695C17"/>
    <w:rsid w:val="00695C4B"/>
    <w:rsid w:val="00695C69"/>
    <w:rsid w:val="00695DFF"/>
    <w:rsid w:val="00695E13"/>
    <w:rsid w:val="00695E1E"/>
    <w:rsid w:val="00695E28"/>
    <w:rsid w:val="00695E36"/>
    <w:rsid w:val="00695EC2"/>
    <w:rsid w:val="00695EC4"/>
    <w:rsid w:val="00695F76"/>
    <w:rsid w:val="0069602F"/>
    <w:rsid w:val="0069603D"/>
    <w:rsid w:val="00696053"/>
    <w:rsid w:val="00696086"/>
    <w:rsid w:val="006960F9"/>
    <w:rsid w:val="006960FF"/>
    <w:rsid w:val="0069617D"/>
    <w:rsid w:val="00696180"/>
    <w:rsid w:val="006961F8"/>
    <w:rsid w:val="00696214"/>
    <w:rsid w:val="00696262"/>
    <w:rsid w:val="006962C3"/>
    <w:rsid w:val="006963B1"/>
    <w:rsid w:val="00696451"/>
    <w:rsid w:val="0069645D"/>
    <w:rsid w:val="00696522"/>
    <w:rsid w:val="0069652F"/>
    <w:rsid w:val="00696535"/>
    <w:rsid w:val="0069654D"/>
    <w:rsid w:val="006965D9"/>
    <w:rsid w:val="006965F8"/>
    <w:rsid w:val="00696622"/>
    <w:rsid w:val="0069662A"/>
    <w:rsid w:val="006966F0"/>
    <w:rsid w:val="00696739"/>
    <w:rsid w:val="0069676F"/>
    <w:rsid w:val="006967A5"/>
    <w:rsid w:val="0069684F"/>
    <w:rsid w:val="00696876"/>
    <w:rsid w:val="006968B4"/>
    <w:rsid w:val="006968BC"/>
    <w:rsid w:val="0069694A"/>
    <w:rsid w:val="0069697D"/>
    <w:rsid w:val="0069698E"/>
    <w:rsid w:val="00696992"/>
    <w:rsid w:val="006969E9"/>
    <w:rsid w:val="006969F8"/>
    <w:rsid w:val="00696A09"/>
    <w:rsid w:val="00696A36"/>
    <w:rsid w:val="00696A5F"/>
    <w:rsid w:val="00696A76"/>
    <w:rsid w:val="00696A7C"/>
    <w:rsid w:val="00696A9B"/>
    <w:rsid w:val="00696B56"/>
    <w:rsid w:val="00696B6F"/>
    <w:rsid w:val="00696B88"/>
    <w:rsid w:val="00696BCC"/>
    <w:rsid w:val="00696BCD"/>
    <w:rsid w:val="00696BE4"/>
    <w:rsid w:val="00696BF4"/>
    <w:rsid w:val="00696C10"/>
    <w:rsid w:val="00696C12"/>
    <w:rsid w:val="00696C1B"/>
    <w:rsid w:val="00696D96"/>
    <w:rsid w:val="00696D98"/>
    <w:rsid w:val="00696DBC"/>
    <w:rsid w:val="00696E84"/>
    <w:rsid w:val="00696EA7"/>
    <w:rsid w:val="00696EE8"/>
    <w:rsid w:val="00696FB7"/>
    <w:rsid w:val="00697003"/>
    <w:rsid w:val="0069708E"/>
    <w:rsid w:val="006970A9"/>
    <w:rsid w:val="006970FD"/>
    <w:rsid w:val="00697106"/>
    <w:rsid w:val="0069716A"/>
    <w:rsid w:val="00697171"/>
    <w:rsid w:val="006971A1"/>
    <w:rsid w:val="006971C7"/>
    <w:rsid w:val="006971F5"/>
    <w:rsid w:val="0069720A"/>
    <w:rsid w:val="00697212"/>
    <w:rsid w:val="00697233"/>
    <w:rsid w:val="00697237"/>
    <w:rsid w:val="0069724C"/>
    <w:rsid w:val="006972A5"/>
    <w:rsid w:val="006972B5"/>
    <w:rsid w:val="006972E5"/>
    <w:rsid w:val="0069732D"/>
    <w:rsid w:val="00697391"/>
    <w:rsid w:val="006973AD"/>
    <w:rsid w:val="006973E2"/>
    <w:rsid w:val="006973E4"/>
    <w:rsid w:val="006974A5"/>
    <w:rsid w:val="006974AA"/>
    <w:rsid w:val="006974B9"/>
    <w:rsid w:val="006974CC"/>
    <w:rsid w:val="006974F0"/>
    <w:rsid w:val="006974F7"/>
    <w:rsid w:val="00697520"/>
    <w:rsid w:val="006975A1"/>
    <w:rsid w:val="006975A6"/>
    <w:rsid w:val="00697601"/>
    <w:rsid w:val="00697615"/>
    <w:rsid w:val="00697647"/>
    <w:rsid w:val="006976FF"/>
    <w:rsid w:val="00697711"/>
    <w:rsid w:val="0069781E"/>
    <w:rsid w:val="00697878"/>
    <w:rsid w:val="006978A3"/>
    <w:rsid w:val="006978B2"/>
    <w:rsid w:val="006978FC"/>
    <w:rsid w:val="00697921"/>
    <w:rsid w:val="00697958"/>
    <w:rsid w:val="00697A33"/>
    <w:rsid w:val="00697A57"/>
    <w:rsid w:val="00697A70"/>
    <w:rsid w:val="00697AA5"/>
    <w:rsid w:val="00697AC4"/>
    <w:rsid w:val="00697ACA"/>
    <w:rsid w:val="00697B29"/>
    <w:rsid w:val="00697B3D"/>
    <w:rsid w:val="00697B62"/>
    <w:rsid w:val="00697B94"/>
    <w:rsid w:val="00697BB2"/>
    <w:rsid w:val="00697C25"/>
    <w:rsid w:val="00697C4A"/>
    <w:rsid w:val="00697C62"/>
    <w:rsid w:val="00697C6A"/>
    <w:rsid w:val="00697C98"/>
    <w:rsid w:val="00697D0B"/>
    <w:rsid w:val="00697D11"/>
    <w:rsid w:val="00697DD2"/>
    <w:rsid w:val="00697DD5"/>
    <w:rsid w:val="00697DE7"/>
    <w:rsid w:val="00697E24"/>
    <w:rsid w:val="00697E6D"/>
    <w:rsid w:val="00697E77"/>
    <w:rsid w:val="00697EE4"/>
    <w:rsid w:val="00697F4C"/>
    <w:rsid w:val="00697F8B"/>
    <w:rsid w:val="00697FDD"/>
    <w:rsid w:val="006A0054"/>
    <w:rsid w:val="006A005B"/>
    <w:rsid w:val="006A0062"/>
    <w:rsid w:val="006A00A8"/>
    <w:rsid w:val="006A0146"/>
    <w:rsid w:val="006A014A"/>
    <w:rsid w:val="006A019E"/>
    <w:rsid w:val="006A01BD"/>
    <w:rsid w:val="006A01D8"/>
    <w:rsid w:val="006A021B"/>
    <w:rsid w:val="006A022A"/>
    <w:rsid w:val="006A0232"/>
    <w:rsid w:val="006A02B2"/>
    <w:rsid w:val="006A036A"/>
    <w:rsid w:val="006A043E"/>
    <w:rsid w:val="006A0461"/>
    <w:rsid w:val="006A0482"/>
    <w:rsid w:val="006A048F"/>
    <w:rsid w:val="006A0499"/>
    <w:rsid w:val="006A050F"/>
    <w:rsid w:val="006A0562"/>
    <w:rsid w:val="006A05BF"/>
    <w:rsid w:val="006A0600"/>
    <w:rsid w:val="006A067A"/>
    <w:rsid w:val="006A06B3"/>
    <w:rsid w:val="006A06C5"/>
    <w:rsid w:val="006A06C8"/>
    <w:rsid w:val="006A0705"/>
    <w:rsid w:val="006A0733"/>
    <w:rsid w:val="006A07E1"/>
    <w:rsid w:val="006A07EE"/>
    <w:rsid w:val="006A07F3"/>
    <w:rsid w:val="006A0882"/>
    <w:rsid w:val="006A0895"/>
    <w:rsid w:val="006A08A4"/>
    <w:rsid w:val="006A08BF"/>
    <w:rsid w:val="006A0904"/>
    <w:rsid w:val="006A0906"/>
    <w:rsid w:val="006A0921"/>
    <w:rsid w:val="006A0958"/>
    <w:rsid w:val="006A095B"/>
    <w:rsid w:val="006A09BD"/>
    <w:rsid w:val="006A09C3"/>
    <w:rsid w:val="006A09FF"/>
    <w:rsid w:val="006A0A0E"/>
    <w:rsid w:val="006A0A2B"/>
    <w:rsid w:val="006A0A42"/>
    <w:rsid w:val="006A0A81"/>
    <w:rsid w:val="006A0AB4"/>
    <w:rsid w:val="006A0AB7"/>
    <w:rsid w:val="006A0B03"/>
    <w:rsid w:val="006A0B53"/>
    <w:rsid w:val="006A0B9B"/>
    <w:rsid w:val="006A0B9D"/>
    <w:rsid w:val="006A0BAC"/>
    <w:rsid w:val="006A0BB9"/>
    <w:rsid w:val="006A0BC5"/>
    <w:rsid w:val="006A0BE5"/>
    <w:rsid w:val="006A0C26"/>
    <w:rsid w:val="006A0C53"/>
    <w:rsid w:val="006A0C56"/>
    <w:rsid w:val="006A0CB9"/>
    <w:rsid w:val="006A0D8F"/>
    <w:rsid w:val="006A0DE1"/>
    <w:rsid w:val="006A0DFB"/>
    <w:rsid w:val="006A0E8D"/>
    <w:rsid w:val="006A0EB3"/>
    <w:rsid w:val="006A0ECC"/>
    <w:rsid w:val="006A0F89"/>
    <w:rsid w:val="006A0FE5"/>
    <w:rsid w:val="006A0FFD"/>
    <w:rsid w:val="006A101D"/>
    <w:rsid w:val="006A102A"/>
    <w:rsid w:val="006A1051"/>
    <w:rsid w:val="006A1068"/>
    <w:rsid w:val="006A106D"/>
    <w:rsid w:val="006A10D3"/>
    <w:rsid w:val="006A10E1"/>
    <w:rsid w:val="006A10FE"/>
    <w:rsid w:val="006A1119"/>
    <w:rsid w:val="006A11AF"/>
    <w:rsid w:val="006A11FC"/>
    <w:rsid w:val="006A12B5"/>
    <w:rsid w:val="006A12C0"/>
    <w:rsid w:val="006A12D3"/>
    <w:rsid w:val="006A135E"/>
    <w:rsid w:val="006A1379"/>
    <w:rsid w:val="006A1397"/>
    <w:rsid w:val="006A13AA"/>
    <w:rsid w:val="006A13B2"/>
    <w:rsid w:val="006A141A"/>
    <w:rsid w:val="006A144B"/>
    <w:rsid w:val="006A1461"/>
    <w:rsid w:val="006A14B7"/>
    <w:rsid w:val="006A1546"/>
    <w:rsid w:val="006A156B"/>
    <w:rsid w:val="006A1600"/>
    <w:rsid w:val="006A163D"/>
    <w:rsid w:val="006A16DA"/>
    <w:rsid w:val="006A16FA"/>
    <w:rsid w:val="006A1703"/>
    <w:rsid w:val="006A1709"/>
    <w:rsid w:val="006A170D"/>
    <w:rsid w:val="006A1723"/>
    <w:rsid w:val="006A176E"/>
    <w:rsid w:val="006A177E"/>
    <w:rsid w:val="006A178D"/>
    <w:rsid w:val="006A1812"/>
    <w:rsid w:val="006A181C"/>
    <w:rsid w:val="006A1865"/>
    <w:rsid w:val="006A18BF"/>
    <w:rsid w:val="006A18C6"/>
    <w:rsid w:val="006A18D0"/>
    <w:rsid w:val="006A18E6"/>
    <w:rsid w:val="006A18E9"/>
    <w:rsid w:val="006A1907"/>
    <w:rsid w:val="006A1922"/>
    <w:rsid w:val="006A1948"/>
    <w:rsid w:val="006A1972"/>
    <w:rsid w:val="006A1996"/>
    <w:rsid w:val="006A19AC"/>
    <w:rsid w:val="006A1A02"/>
    <w:rsid w:val="006A1A83"/>
    <w:rsid w:val="006A1AD0"/>
    <w:rsid w:val="006A1B0B"/>
    <w:rsid w:val="006A1C4B"/>
    <w:rsid w:val="006A1CEA"/>
    <w:rsid w:val="006A1CF3"/>
    <w:rsid w:val="006A1D3A"/>
    <w:rsid w:val="006A1D56"/>
    <w:rsid w:val="006A1D84"/>
    <w:rsid w:val="006A1DB0"/>
    <w:rsid w:val="006A1DC1"/>
    <w:rsid w:val="006A1DCB"/>
    <w:rsid w:val="006A1DD8"/>
    <w:rsid w:val="006A1DDA"/>
    <w:rsid w:val="006A1DF2"/>
    <w:rsid w:val="006A1E0D"/>
    <w:rsid w:val="006A1E16"/>
    <w:rsid w:val="006A1E6F"/>
    <w:rsid w:val="006A1EB6"/>
    <w:rsid w:val="006A1EBD"/>
    <w:rsid w:val="006A1ED1"/>
    <w:rsid w:val="006A1F12"/>
    <w:rsid w:val="006A1F2D"/>
    <w:rsid w:val="006A1F31"/>
    <w:rsid w:val="006A1F93"/>
    <w:rsid w:val="006A1FA3"/>
    <w:rsid w:val="006A1FD7"/>
    <w:rsid w:val="006A2006"/>
    <w:rsid w:val="006A2045"/>
    <w:rsid w:val="006A204D"/>
    <w:rsid w:val="006A2061"/>
    <w:rsid w:val="006A206B"/>
    <w:rsid w:val="006A20B0"/>
    <w:rsid w:val="006A20D8"/>
    <w:rsid w:val="006A20DC"/>
    <w:rsid w:val="006A2108"/>
    <w:rsid w:val="006A215C"/>
    <w:rsid w:val="006A2164"/>
    <w:rsid w:val="006A21FD"/>
    <w:rsid w:val="006A2213"/>
    <w:rsid w:val="006A2215"/>
    <w:rsid w:val="006A2223"/>
    <w:rsid w:val="006A222A"/>
    <w:rsid w:val="006A2256"/>
    <w:rsid w:val="006A226E"/>
    <w:rsid w:val="006A2295"/>
    <w:rsid w:val="006A229D"/>
    <w:rsid w:val="006A22BC"/>
    <w:rsid w:val="006A22C0"/>
    <w:rsid w:val="006A2300"/>
    <w:rsid w:val="006A2313"/>
    <w:rsid w:val="006A2330"/>
    <w:rsid w:val="006A234F"/>
    <w:rsid w:val="006A235F"/>
    <w:rsid w:val="006A2428"/>
    <w:rsid w:val="006A2467"/>
    <w:rsid w:val="006A24B4"/>
    <w:rsid w:val="006A24BF"/>
    <w:rsid w:val="006A24C4"/>
    <w:rsid w:val="006A24DB"/>
    <w:rsid w:val="006A2508"/>
    <w:rsid w:val="006A2545"/>
    <w:rsid w:val="006A257C"/>
    <w:rsid w:val="006A2606"/>
    <w:rsid w:val="006A262A"/>
    <w:rsid w:val="006A263A"/>
    <w:rsid w:val="006A2664"/>
    <w:rsid w:val="006A26BF"/>
    <w:rsid w:val="006A2718"/>
    <w:rsid w:val="006A2726"/>
    <w:rsid w:val="006A278E"/>
    <w:rsid w:val="006A280A"/>
    <w:rsid w:val="006A2874"/>
    <w:rsid w:val="006A28C6"/>
    <w:rsid w:val="006A28CB"/>
    <w:rsid w:val="006A28DE"/>
    <w:rsid w:val="006A28DF"/>
    <w:rsid w:val="006A28FE"/>
    <w:rsid w:val="006A295B"/>
    <w:rsid w:val="006A2961"/>
    <w:rsid w:val="006A29A1"/>
    <w:rsid w:val="006A29C4"/>
    <w:rsid w:val="006A29E0"/>
    <w:rsid w:val="006A2A18"/>
    <w:rsid w:val="006A2A3F"/>
    <w:rsid w:val="006A2A87"/>
    <w:rsid w:val="006A2A96"/>
    <w:rsid w:val="006A2A98"/>
    <w:rsid w:val="006A2AAE"/>
    <w:rsid w:val="006A2AC1"/>
    <w:rsid w:val="006A2ACE"/>
    <w:rsid w:val="006A2AFC"/>
    <w:rsid w:val="006A2B09"/>
    <w:rsid w:val="006A2B76"/>
    <w:rsid w:val="006A2B78"/>
    <w:rsid w:val="006A2BB5"/>
    <w:rsid w:val="006A2C29"/>
    <w:rsid w:val="006A2C67"/>
    <w:rsid w:val="006A2D1E"/>
    <w:rsid w:val="006A2DDA"/>
    <w:rsid w:val="006A2E36"/>
    <w:rsid w:val="006A2ED2"/>
    <w:rsid w:val="006A2ED5"/>
    <w:rsid w:val="006A2F12"/>
    <w:rsid w:val="006A2F15"/>
    <w:rsid w:val="006A2F2D"/>
    <w:rsid w:val="006A2F32"/>
    <w:rsid w:val="006A2F52"/>
    <w:rsid w:val="006A2F80"/>
    <w:rsid w:val="006A2F85"/>
    <w:rsid w:val="006A2FD1"/>
    <w:rsid w:val="006A301C"/>
    <w:rsid w:val="006A3029"/>
    <w:rsid w:val="006A30AD"/>
    <w:rsid w:val="006A30FB"/>
    <w:rsid w:val="006A310C"/>
    <w:rsid w:val="006A310F"/>
    <w:rsid w:val="006A31F8"/>
    <w:rsid w:val="006A3213"/>
    <w:rsid w:val="006A3312"/>
    <w:rsid w:val="006A33ED"/>
    <w:rsid w:val="006A33F0"/>
    <w:rsid w:val="006A341F"/>
    <w:rsid w:val="006A343A"/>
    <w:rsid w:val="006A3445"/>
    <w:rsid w:val="006A3450"/>
    <w:rsid w:val="006A34B7"/>
    <w:rsid w:val="006A34C0"/>
    <w:rsid w:val="006A34D8"/>
    <w:rsid w:val="006A3506"/>
    <w:rsid w:val="006A3590"/>
    <w:rsid w:val="006A35AB"/>
    <w:rsid w:val="006A3640"/>
    <w:rsid w:val="006A3658"/>
    <w:rsid w:val="006A36A1"/>
    <w:rsid w:val="006A36B4"/>
    <w:rsid w:val="006A3751"/>
    <w:rsid w:val="006A376E"/>
    <w:rsid w:val="006A37BA"/>
    <w:rsid w:val="006A37F5"/>
    <w:rsid w:val="006A37F9"/>
    <w:rsid w:val="006A380F"/>
    <w:rsid w:val="006A3822"/>
    <w:rsid w:val="006A384A"/>
    <w:rsid w:val="006A3892"/>
    <w:rsid w:val="006A389C"/>
    <w:rsid w:val="006A3900"/>
    <w:rsid w:val="006A392F"/>
    <w:rsid w:val="006A393E"/>
    <w:rsid w:val="006A394C"/>
    <w:rsid w:val="006A3969"/>
    <w:rsid w:val="006A397C"/>
    <w:rsid w:val="006A3980"/>
    <w:rsid w:val="006A3A17"/>
    <w:rsid w:val="006A3A8C"/>
    <w:rsid w:val="006A3ADC"/>
    <w:rsid w:val="006A3AE0"/>
    <w:rsid w:val="006A3B03"/>
    <w:rsid w:val="006A3B4C"/>
    <w:rsid w:val="006A3B4F"/>
    <w:rsid w:val="006A3B5F"/>
    <w:rsid w:val="006A3BCA"/>
    <w:rsid w:val="006A3BE1"/>
    <w:rsid w:val="006A3BEC"/>
    <w:rsid w:val="006A3C28"/>
    <w:rsid w:val="006A3C5A"/>
    <w:rsid w:val="006A3C80"/>
    <w:rsid w:val="006A3CB1"/>
    <w:rsid w:val="006A3CFD"/>
    <w:rsid w:val="006A3D04"/>
    <w:rsid w:val="006A3D29"/>
    <w:rsid w:val="006A3D43"/>
    <w:rsid w:val="006A3D92"/>
    <w:rsid w:val="006A3E2B"/>
    <w:rsid w:val="006A3E47"/>
    <w:rsid w:val="006A3E8E"/>
    <w:rsid w:val="006A3E99"/>
    <w:rsid w:val="006A3EA5"/>
    <w:rsid w:val="006A3EAA"/>
    <w:rsid w:val="006A3EAE"/>
    <w:rsid w:val="006A3EF0"/>
    <w:rsid w:val="006A3F49"/>
    <w:rsid w:val="006A3F7A"/>
    <w:rsid w:val="006A3F91"/>
    <w:rsid w:val="006A4040"/>
    <w:rsid w:val="006A404A"/>
    <w:rsid w:val="006A4050"/>
    <w:rsid w:val="006A4083"/>
    <w:rsid w:val="006A40C3"/>
    <w:rsid w:val="006A40F4"/>
    <w:rsid w:val="006A40F6"/>
    <w:rsid w:val="006A4114"/>
    <w:rsid w:val="006A411B"/>
    <w:rsid w:val="006A415E"/>
    <w:rsid w:val="006A417C"/>
    <w:rsid w:val="006A41C2"/>
    <w:rsid w:val="006A41D9"/>
    <w:rsid w:val="006A427A"/>
    <w:rsid w:val="006A432A"/>
    <w:rsid w:val="006A439A"/>
    <w:rsid w:val="006A43A8"/>
    <w:rsid w:val="006A43E6"/>
    <w:rsid w:val="006A4457"/>
    <w:rsid w:val="006A446F"/>
    <w:rsid w:val="006A4480"/>
    <w:rsid w:val="006A4528"/>
    <w:rsid w:val="006A4543"/>
    <w:rsid w:val="006A4586"/>
    <w:rsid w:val="006A45E0"/>
    <w:rsid w:val="006A460B"/>
    <w:rsid w:val="006A4662"/>
    <w:rsid w:val="006A466A"/>
    <w:rsid w:val="006A468F"/>
    <w:rsid w:val="006A46AE"/>
    <w:rsid w:val="006A46E2"/>
    <w:rsid w:val="006A475F"/>
    <w:rsid w:val="006A4777"/>
    <w:rsid w:val="006A4785"/>
    <w:rsid w:val="006A47C2"/>
    <w:rsid w:val="006A47D3"/>
    <w:rsid w:val="006A47E9"/>
    <w:rsid w:val="006A4808"/>
    <w:rsid w:val="006A4817"/>
    <w:rsid w:val="006A4892"/>
    <w:rsid w:val="006A4897"/>
    <w:rsid w:val="006A4898"/>
    <w:rsid w:val="006A48BD"/>
    <w:rsid w:val="006A4971"/>
    <w:rsid w:val="006A4972"/>
    <w:rsid w:val="006A4AC4"/>
    <w:rsid w:val="006A4ACA"/>
    <w:rsid w:val="006A4B0C"/>
    <w:rsid w:val="006A4B19"/>
    <w:rsid w:val="006A4B48"/>
    <w:rsid w:val="006A4B5E"/>
    <w:rsid w:val="006A4B6F"/>
    <w:rsid w:val="006A4BDD"/>
    <w:rsid w:val="006A4C64"/>
    <w:rsid w:val="006A4C9C"/>
    <w:rsid w:val="006A4CA0"/>
    <w:rsid w:val="006A4CC7"/>
    <w:rsid w:val="006A4D26"/>
    <w:rsid w:val="006A4D44"/>
    <w:rsid w:val="006A4DE9"/>
    <w:rsid w:val="006A4E54"/>
    <w:rsid w:val="006A4E8C"/>
    <w:rsid w:val="006A4EB3"/>
    <w:rsid w:val="006A4ECB"/>
    <w:rsid w:val="006A4EDF"/>
    <w:rsid w:val="006A4F08"/>
    <w:rsid w:val="006A4F0E"/>
    <w:rsid w:val="006A4F70"/>
    <w:rsid w:val="006A4FD2"/>
    <w:rsid w:val="006A4FD6"/>
    <w:rsid w:val="006A4FFB"/>
    <w:rsid w:val="006A5046"/>
    <w:rsid w:val="006A504D"/>
    <w:rsid w:val="006A5058"/>
    <w:rsid w:val="006A5085"/>
    <w:rsid w:val="006A50C1"/>
    <w:rsid w:val="006A50C6"/>
    <w:rsid w:val="006A50E2"/>
    <w:rsid w:val="006A50E8"/>
    <w:rsid w:val="006A5168"/>
    <w:rsid w:val="006A5269"/>
    <w:rsid w:val="006A527C"/>
    <w:rsid w:val="006A52EB"/>
    <w:rsid w:val="006A530A"/>
    <w:rsid w:val="006A5318"/>
    <w:rsid w:val="006A532A"/>
    <w:rsid w:val="006A5343"/>
    <w:rsid w:val="006A5376"/>
    <w:rsid w:val="006A53B7"/>
    <w:rsid w:val="006A53C6"/>
    <w:rsid w:val="006A5435"/>
    <w:rsid w:val="006A5449"/>
    <w:rsid w:val="006A544F"/>
    <w:rsid w:val="006A5460"/>
    <w:rsid w:val="006A547C"/>
    <w:rsid w:val="006A5483"/>
    <w:rsid w:val="006A54D4"/>
    <w:rsid w:val="006A54E1"/>
    <w:rsid w:val="006A5577"/>
    <w:rsid w:val="006A55A5"/>
    <w:rsid w:val="006A55C0"/>
    <w:rsid w:val="006A55C4"/>
    <w:rsid w:val="006A5614"/>
    <w:rsid w:val="006A5653"/>
    <w:rsid w:val="006A5699"/>
    <w:rsid w:val="006A56C5"/>
    <w:rsid w:val="006A56D5"/>
    <w:rsid w:val="006A56E4"/>
    <w:rsid w:val="006A575A"/>
    <w:rsid w:val="006A57AD"/>
    <w:rsid w:val="006A57C4"/>
    <w:rsid w:val="006A57E7"/>
    <w:rsid w:val="006A5827"/>
    <w:rsid w:val="006A5868"/>
    <w:rsid w:val="006A58F3"/>
    <w:rsid w:val="006A5901"/>
    <w:rsid w:val="006A590A"/>
    <w:rsid w:val="006A591C"/>
    <w:rsid w:val="006A593E"/>
    <w:rsid w:val="006A5953"/>
    <w:rsid w:val="006A596D"/>
    <w:rsid w:val="006A59AB"/>
    <w:rsid w:val="006A5A1A"/>
    <w:rsid w:val="006A5A42"/>
    <w:rsid w:val="006A5A47"/>
    <w:rsid w:val="006A5A6B"/>
    <w:rsid w:val="006A5AA0"/>
    <w:rsid w:val="006A5AC1"/>
    <w:rsid w:val="006A5B13"/>
    <w:rsid w:val="006A5B49"/>
    <w:rsid w:val="006A5B51"/>
    <w:rsid w:val="006A5BD9"/>
    <w:rsid w:val="006A5BE3"/>
    <w:rsid w:val="006A5BEE"/>
    <w:rsid w:val="006A5C0D"/>
    <w:rsid w:val="006A5C31"/>
    <w:rsid w:val="006A5C38"/>
    <w:rsid w:val="006A5C4D"/>
    <w:rsid w:val="006A5C61"/>
    <w:rsid w:val="006A5C93"/>
    <w:rsid w:val="006A5CCD"/>
    <w:rsid w:val="006A5D4B"/>
    <w:rsid w:val="006A5D9B"/>
    <w:rsid w:val="006A5DBD"/>
    <w:rsid w:val="006A5E43"/>
    <w:rsid w:val="006A5E47"/>
    <w:rsid w:val="006A5E79"/>
    <w:rsid w:val="006A5EAA"/>
    <w:rsid w:val="006A5EAF"/>
    <w:rsid w:val="006A5ED0"/>
    <w:rsid w:val="006A5EDD"/>
    <w:rsid w:val="006A5F1F"/>
    <w:rsid w:val="006A5F4B"/>
    <w:rsid w:val="006A5F7E"/>
    <w:rsid w:val="006A5F8A"/>
    <w:rsid w:val="006A5FB8"/>
    <w:rsid w:val="006A5FEA"/>
    <w:rsid w:val="006A6076"/>
    <w:rsid w:val="006A60A4"/>
    <w:rsid w:val="006A60A7"/>
    <w:rsid w:val="006A6126"/>
    <w:rsid w:val="006A6132"/>
    <w:rsid w:val="006A6156"/>
    <w:rsid w:val="006A6163"/>
    <w:rsid w:val="006A6180"/>
    <w:rsid w:val="006A619B"/>
    <w:rsid w:val="006A61D1"/>
    <w:rsid w:val="006A61FE"/>
    <w:rsid w:val="006A6207"/>
    <w:rsid w:val="006A622B"/>
    <w:rsid w:val="006A623D"/>
    <w:rsid w:val="006A62CD"/>
    <w:rsid w:val="006A62E3"/>
    <w:rsid w:val="006A6316"/>
    <w:rsid w:val="006A6339"/>
    <w:rsid w:val="006A6341"/>
    <w:rsid w:val="006A634D"/>
    <w:rsid w:val="006A637B"/>
    <w:rsid w:val="006A63AE"/>
    <w:rsid w:val="006A63F1"/>
    <w:rsid w:val="006A63FA"/>
    <w:rsid w:val="006A6415"/>
    <w:rsid w:val="006A64B0"/>
    <w:rsid w:val="006A64F2"/>
    <w:rsid w:val="006A6524"/>
    <w:rsid w:val="006A6549"/>
    <w:rsid w:val="006A654A"/>
    <w:rsid w:val="006A6580"/>
    <w:rsid w:val="006A659A"/>
    <w:rsid w:val="006A65CC"/>
    <w:rsid w:val="006A65D5"/>
    <w:rsid w:val="006A6667"/>
    <w:rsid w:val="006A66E9"/>
    <w:rsid w:val="006A6757"/>
    <w:rsid w:val="006A6771"/>
    <w:rsid w:val="006A677A"/>
    <w:rsid w:val="006A67AA"/>
    <w:rsid w:val="006A67B0"/>
    <w:rsid w:val="006A680C"/>
    <w:rsid w:val="006A6847"/>
    <w:rsid w:val="006A6871"/>
    <w:rsid w:val="006A68FA"/>
    <w:rsid w:val="006A6900"/>
    <w:rsid w:val="006A6905"/>
    <w:rsid w:val="006A690A"/>
    <w:rsid w:val="006A6934"/>
    <w:rsid w:val="006A69C1"/>
    <w:rsid w:val="006A69F7"/>
    <w:rsid w:val="006A69FC"/>
    <w:rsid w:val="006A6A9A"/>
    <w:rsid w:val="006A6AA6"/>
    <w:rsid w:val="006A6AA9"/>
    <w:rsid w:val="006A6ADA"/>
    <w:rsid w:val="006A6B3A"/>
    <w:rsid w:val="006A6B46"/>
    <w:rsid w:val="006A6BB8"/>
    <w:rsid w:val="006A6BC7"/>
    <w:rsid w:val="006A6BCC"/>
    <w:rsid w:val="006A6C14"/>
    <w:rsid w:val="006A6C27"/>
    <w:rsid w:val="006A6C31"/>
    <w:rsid w:val="006A6C6A"/>
    <w:rsid w:val="006A6C83"/>
    <w:rsid w:val="006A6C88"/>
    <w:rsid w:val="006A6CAB"/>
    <w:rsid w:val="006A6CB3"/>
    <w:rsid w:val="006A6D11"/>
    <w:rsid w:val="006A6D25"/>
    <w:rsid w:val="006A6D6F"/>
    <w:rsid w:val="006A6D8E"/>
    <w:rsid w:val="006A6D97"/>
    <w:rsid w:val="006A6DAE"/>
    <w:rsid w:val="006A6E12"/>
    <w:rsid w:val="006A6E20"/>
    <w:rsid w:val="006A6E46"/>
    <w:rsid w:val="006A6E70"/>
    <w:rsid w:val="006A6EDB"/>
    <w:rsid w:val="006A6F12"/>
    <w:rsid w:val="006A6F62"/>
    <w:rsid w:val="006A6F90"/>
    <w:rsid w:val="006A6F9E"/>
    <w:rsid w:val="006A6FE2"/>
    <w:rsid w:val="006A6FE4"/>
    <w:rsid w:val="006A702C"/>
    <w:rsid w:val="006A703A"/>
    <w:rsid w:val="006A7103"/>
    <w:rsid w:val="006A7148"/>
    <w:rsid w:val="006A7155"/>
    <w:rsid w:val="006A71A4"/>
    <w:rsid w:val="006A71C7"/>
    <w:rsid w:val="006A71C9"/>
    <w:rsid w:val="006A721F"/>
    <w:rsid w:val="006A7234"/>
    <w:rsid w:val="006A723F"/>
    <w:rsid w:val="006A735C"/>
    <w:rsid w:val="006A7366"/>
    <w:rsid w:val="006A73BC"/>
    <w:rsid w:val="006A73CD"/>
    <w:rsid w:val="006A73F8"/>
    <w:rsid w:val="006A740A"/>
    <w:rsid w:val="006A743B"/>
    <w:rsid w:val="006A74AC"/>
    <w:rsid w:val="006A74BD"/>
    <w:rsid w:val="006A74CB"/>
    <w:rsid w:val="006A74E0"/>
    <w:rsid w:val="006A74F8"/>
    <w:rsid w:val="006A7501"/>
    <w:rsid w:val="006A7537"/>
    <w:rsid w:val="006A75B5"/>
    <w:rsid w:val="006A75F3"/>
    <w:rsid w:val="006A761E"/>
    <w:rsid w:val="006A763C"/>
    <w:rsid w:val="006A7691"/>
    <w:rsid w:val="006A7695"/>
    <w:rsid w:val="006A769D"/>
    <w:rsid w:val="006A76D4"/>
    <w:rsid w:val="006A7708"/>
    <w:rsid w:val="006A7728"/>
    <w:rsid w:val="006A77B2"/>
    <w:rsid w:val="006A77C1"/>
    <w:rsid w:val="006A77E6"/>
    <w:rsid w:val="006A7827"/>
    <w:rsid w:val="006A787A"/>
    <w:rsid w:val="006A787C"/>
    <w:rsid w:val="006A7885"/>
    <w:rsid w:val="006A7892"/>
    <w:rsid w:val="006A78A3"/>
    <w:rsid w:val="006A78B7"/>
    <w:rsid w:val="006A78CE"/>
    <w:rsid w:val="006A78FA"/>
    <w:rsid w:val="006A7991"/>
    <w:rsid w:val="006A79BB"/>
    <w:rsid w:val="006A7A25"/>
    <w:rsid w:val="006A7A37"/>
    <w:rsid w:val="006A7A63"/>
    <w:rsid w:val="006A7AC4"/>
    <w:rsid w:val="006A7AE4"/>
    <w:rsid w:val="006A7AF9"/>
    <w:rsid w:val="006A7AFF"/>
    <w:rsid w:val="006A7B04"/>
    <w:rsid w:val="006A7B1A"/>
    <w:rsid w:val="006A7B2F"/>
    <w:rsid w:val="006A7B6C"/>
    <w:rsid w:val="006A7B96"/>
    <w:rsid w:val="006A7BB6"/>
    <w:rsid w:val="006A7CB3"/>
    <w:rsid w:val="006A7D8A"/>
    <w:rsid w:val="006A7D94"/>
    <w:rsid w:val="006A7DA7"/>
    <w:rsid w:val="006A7DDB"/>
    <w:rsid w:val="006A7E4B"/>
    <w:rsid w:val="006A7E81"/>
    <w:rsid w:val="006A7ED4"/>
    <w:rsid w:val="006A7F3A"/>
    <w:rsid w:val="006A7F5B"/>
    <w:rsid w:val="006A7F86"/>
    <w:rsid w:val="006A7FC3"/>
    <w:rsid w:val="006A7FE1"/>
    <w:rsid w:val="006B001B"/>
    <w:rsid w:val="006B001C"/>
    <w:rsid w:val="006B0044"/>
    <w:rsid w:val="006B00C1"/>
    <w:rsid w:val="006B0102"/>
    <w:rsid w:val="006B0133"/>
    <w:rsid w:val="006B014A"/>
    <w:rsid w:val="006B017F"/>
    <w:rsid w:val="006B0181"/>
    <w:rsid w:val="006B019C"/>
    <w:rsid w:val="006B01C8"/>
    <w:rsid w:val="006B023B"/>
    <w:rsid w:val="006B0243"/>
    <w:rsid w:val="006B026A"/>
    <w:rsid w:val="006B027D"/>
    <w:rsid w:val="006B028C"/>
    <w:rsid w:val="006B02D7"/>
    <w:rsid w:val="006B02F6"/>
    <w:rsid w:val="006B0311"/>
    <w:rsid w:val="006B035F"/>
    <w:rsid w:val="006B0361"/>
    <w:rsid w:val="006B03AC"/>
    <w:rsid w:val="006B03E2"/>
    <w:rsid w:val="006B0403"/>
    <w:rsid w:val="006B044E"/>
    <w:rsid w:val="006B0454"/>
    <w:rsid w:val="006B0488"/>
    <w:rsid w:val="006B04F3"/>
    <w:rsid w:val="006B055A"/>
    <w:rsid w:val="006B0570"/>
    <w:rsid w:val="006B0581"/>
    <w:rsid w:val="006B0597"/>
    <w:rsid w:val="006B05A9"/>
    <w:rsid w:val="006B05B0"/>
    <w:rsid w:val="006B05BC"/>
    <w:rsid w:val="006B062B"/>
    <w:rsid w:val="006B0644"/>
    <w:rsid w:val="006B06B2"/>
    <w:rsid w:val="006B06E7"/>
    <w:rsid w:val="006B06FE"/>
    <w:rsid w:val="006B070C"/>
    <w:rsid w:val="006B0785"/>
    <w:rsid w:val="006B078C"/>
    <w:rsid w:val="006B07AC"/>
    <w:rsid w:val="006B07BA"/>
    <w:rsid w:val="006B07CC"/>
    <w:rsid w:val="006B07D9"/>
    <w:rsid w:val="006B07EB"/>
    <w:rsid w:val="006B0819"/>
    <w:rsid w:val="006B0822"/>
    <w:rsid w:val="006B0858"/>
    <w:rsid w:val="006B0877"/>
    <w:rsid w:val="006B0896"/>
    <w:rsid w:val="006B08AA"/>
    <w:rsid w:val="006B09B0"/>
    <w:rsid w:val="006B09BE"/>
    <w:rsid w:val="006B0A0F"/>
    <w:rsid w:val="006B0A69"/>
    <w:rsid w:val="006B0A91"/>
    <w:rsid w:val="006B0AC1"/>
    <w:rsid w:val="006B0ADE"/>
    <w:rsid w:val="006B0B02"/>
    <w:rsid w:val="006B0B15"/>
    <w:rsid w:val="006B0B2B"/>
    <w:rsid w:val="006B0B48"/>
    <w:rsid w:val="006B0B5D"/>
    <w:rsid w:val="006B0BDC"/>
    <w:rsid w:val="006B0C04"/>
    <w:rsid w:val="006B0C18"/>
    <w:rsid w:val="006B0CBC"/>
    <w:rsid w:val="006B0D3B"/>
    <w:rsid w:val="006B0D49"/>
    <w:rsid w:val="006B0D8F"/>
    <w:rsid w:val="006B0D93"/>
    <w:rsid w:val="006B0DBA"/>
    <w:rsid w:val="006B0DC8"/>
    <w:rsid w:val="006B0DD7"/>
    <w:rsid w:val="006B0E60"/>
    <w:rsid w:val="006B0E8A"/>
    <w:rsid w:val="006B0EAF"/>
    <w:rsid w:val="006B0ED0"/>
    <w:rsid w:val="006B0F12"/>
    <w:rsid w:val="006B0F16"/>
    <w:rsid w:val="006B0F5A"/>
    <w:rsid w:val="006B0FA4"/>
    <w:rsid w:val="006B0FEF"/>
    <w:rsid w:val="006B107C"/>
    <w:rsid w:val="006B10B5"/>
    <w:rsid w:val="006B1143"/>
    <w:rsid w:val="006B114B"/>
    <w:rsid w:val="006B11F8"/>
    <w:rsid w:val="006B1212"/>
    <w:rsid w:val="006B1260"/>
    <w:rsid w:val="006B12D4"/>
    <w:rsid w:val="006B12D7"/>
    <w:rsid w:val="006B12EB"/>
    <w:rsid w:val="006B12FE"/>
    <w:rsid w:val="006B1304"/>
    <w:rsid w:val="006B132E"/>
    <w:rsid w:val="006B1366"/>
    <w:rsid w:val="006B1367"/>
    <w:rsid w:val="006B1388"/>
    <w:rsid w:val="006B138E"/>
    <w:rsid w:val="006B1396"/>
    <w:rsid w:val="006B139F"/>
    <w:rsid w:val="006B13FB"/>
    <w:rsid w:val="006B1412"/>
    <w:rsid w:val="006B1428"/>
    <w:rsid w:val="006B14A8"/>
    <w:rsid w:val="006B14B5"/>
    <w:rsid w:val="006B14CD"/>
    <w:rsid w:val="006B1525"/>
    <w:rsid w:val="006B1529"/>
    <w:rsid w:val="006B157C"/>
    <w:rsid w:val="006B15A7"/>
    <w:rsid w:val="006B15FD"/>
    <w:rsid w:val="006B161C"/>
    <w:rsid w:val="006B163E"/>
    <w:rsid w:val="006B166F"/>
    <w:rsid w:val="006B167A"/>
    <w:rsid w:val="006B16A2"/>
    <w:rsid w:val="006B16A8"/>
    <w:rsid w:val="006B16C7"/>
    <w:rsid w:val="006B16FC"/>
    <w:rsid w:val="006B172C"/>
    <w:rsid w:val="006B173E"/>
    <w:rsid w:val="006B175D"/>
    <w:rsid w:val="006B17BC"/>
    <w:rsid w:val="006B1814"/>
    <w:rsid w:val="006B18A8"/>
    <w:rsid w:val="006B18B9"/>
    <w:rsid w:val="006B194A"/>
    <w:rsid w:val="006B1996"/>
    <w:rsid w:val="006B19A2"/>
    <w:rsid w:val="006B19FC"/>
    <w:rsid w:val="006B1A1A"/>
    <w:rsid w:val="006B1A35"/>
    <w:rsid w:val="006B1A5C"/>
    <w:rsid w:val="006B1A6B"/>
    <w:rsid w:val="006B1A8F"/>
    <w:rsid w:val="006B1A94"/>
    <w:rsid w:val="006B1ADB"/>
    <w:rsid w:val="006B1AE9"/>
    <w:rsid w:val="006B1B0A"/>
    <w:rsid w:val="006B1B39"/>
    <w:rsid w:val="006B1B55"/>
    <w:rsid w:val="006B1B5F"/>
    <w:rsid w:val="006B1B67"/>
    <w:rsid w:val="006B1B78"/>
    <w:rsid w:val="006B1BB4"/>
    <w:rsid w:val="006B1BC5"/>
    <w:rsid w:val="006B1BC8"/>
    <w:rsid w:val="006B1C28"/>
    <w:rsid w:val="006B1C76"/>
    <w:rsid w:val="006B1CED"/>
    <w:rsid w:val="006B1D44"/>
    <w:rsid w:val="006B1D4A"/>
    <w:rsid w:val="006B1D61"/>
    <w:rsid w:val="006B1D6E"/>
    <w:rsid w:val="006B1DCC"/>
    <w:rsid w:val="006B1E0C"/>
    <w:rsid w:val="006B1E72"/>
    <w:rsid w:val="006B1EBD"/>
    <w:rsid w:val="006B1FE2"/>
    <w:rsid w:val="006B1FF6"/>
    <w:rsid w:val="006B1FF9"/>
    <w:rsid w:val="006B200D"/>
    <w:rsid w:val="006B200F"/>
    <w:rsid w:val="006B204E"/>
    <w:rsid w:val="006B2071"/>
    <w:rsid w:val="006B20A8"/>
    <w:rsid w:val="006B2145"/>
    <w:rsid w:val="006B215F"/>
    <w:rsid w:val="006B217E"/>
    <w:rsid w:val="006B21EB"/>
    <w:rsid w:val="006B225F"/>
    <w:rsid w:val="006B229A"/>
    <w:rsid w:val="006B22EF"/>
    <w:rsid w:val="006B22F7"/>
    <w:rsid w:val="006B23B8"/>
    <w:rsid w:val="006B23C7"/>
    <w:rsid w:val="006B243C"/>
    <w:rsid w:val="006B24B7"/>
    <w:rsid w:val="006B24EB"/>
    <w:rsid w:val="006B250B"/>
    <w:rsid w:val="006B2571"/>
    <w:rsid w:val="006B2597"/>
    <w:rsid w:val="006B25BA"/>
    <w:rsid w:val="006B25DB"/>
    <w:rsid w:val="006B2622"/>
    <w:rsid w:val="006B267A"/>
    <w:rsid w:val="006B268F"/>
    <w:rsid w:val="006B270D"/>
    <w:rsid w:val="006B2721"/>
    <w:rsid w:val="006B27A8"/>
    <w:rsid w:val="006B286E"/>
    <w:rsid w:val="006B28B5"/>
    <w:rsid w:val="006B28F7"/>
    <w:rsid w:val="006B2902"/>
    <w:rsid w:val="006B2965"/>
    <w:rsid w:val="006B2973"/>
    <w:rsid w:val="006B2975"/>
    <w:rsid w:val="006B29D5"/>
    <w:rsid w:val="006B29F7"/>
    <w:rsid w:val="006B2A07"/>
    <w:rsid w:val="006B2A12"/>
    <w:rsid w:val="006B2A46"/>
    <w:rsid w:val="006B2A4E"/>
    <w:rsid w:val="006B2AA5"/>
    <w:rsid w:val="006B2AEB"/>
    <w:rsid w:val="006B2B10"/>
    <w:rsid w:val="006B2B43"/>
    <w:rsid w:val="006B2B60"/>
    <w:rsid w:val="006B2B99"/>
    <w:rsid w:val="006B2BE5"/>
    <w:rsid w:val="006B2C3A"/>
    <w:rsid w:val="006B2C42"/>
    <w:rsid w:val="006B2C56"/>
    <w:rsid w:val="006B2C69"/>
    <w:rsid w:val="006B2C8D"/>
    <w:rsid w:val="006B2CBF"/>
    <w:rsid w:val="006B2CC8"/>
    <w:rsid w:val="006B2D38"/>
    <w:rsid w:val="006B2D45"/>
    <w:rsid w:val="006B2D51"/>
    <w:rsid w:val="006B2D6C"/>
    <w:rsid w:val="006B2D9F"/>
    <w:rsid w:val="006B2DE1"/>
    <w:rsid w:val="006B2E24"/>
    <w:rsid w:val="006B2E28"/>
    <w:rsid w:val="006B2E6C"/>
    <w:rsid w:val="006B2E74"/>
    <w:rsid w:val="006B2EBB"/>
    <w:rsid w:val="006B2EE9"/>
    <w:rsid w:val="006B2F9E"/>
    <w:rsid w:val="006B2FC0"/>
    <w:rsid w:val="006B2FF8"/>
    <w:rsid w:val="006B3003"/>
    <w:rsid w:val="006B3015"/>
    <w:rsid w:val="006B305D"/>
    <w:rsid w:val="006B3077"/>
    <w:rsid w:val="006B3095"/>
    <w:rsid w:val="006B309B"/>
    <w:rsid w:val="006B30B6"/>
    <w:rsid w:val="006B30E8"/>
    <w:rsid w:val="006B315B"/>
    <w:rsid w:val="006B316A"/>
    <w:rsid w:val="006B31B1"/>
    <w:rsid w:val="006B322B"/>
    <w:rsid w:val="006B32C0"/>
    <w:rsid w:val="006B32DE"/>
    <w:rsid w:val="006B32E2"/>
    <w:rsid w:val="006B3332"/>
    <w:rsid w:val="006B3359"/>
    <w:rsid w:val="006B335C"/>
    <w:rsid w:val="006B33C4"/>
    <w:rsid w:val="006B33E7"/>
    <w:rsid w:val="006B3413"/>
    <w:rsid w:val="006B344F"/>
    <w:rsid w:val="006B3478"/>
    <w:rsid w:val="006B3492"/>
    <w:rsid w:val="006B34A3"/>
    <w:rsid w:val="006B3592"/>
    <w:rsid w:val="006B35B0"/>
    <w:rsid w:val="006B35C6"/>
    <w:rsid w:val="006B35D0"/>
    <w:rsid w:val="006B35D7"/>
    <w:rsid w:val="006B3631"/>
    <w:rsid w:val="006B3651"/>
    <w:rsid w:val="006B3671"/>
    <w:rsid w:val="006B3688"/>
    <w:rsid w:val="006B36D7"/>
    <w:rsid w:val="006B3721"/>
    <w:rsid w:val="006B375A"/>
    <w:rsid w:val="006B3766"/>
    <w:rsid w:val="006B37AF"/>
    <w:rsid w:val="006B37D0"/>
    <w:rsid w:val="006B37ED"/>
    <w:rsid w:val="006B381C"/>
    <w:rsid w:val="006B3839"/>
    <w:rsid w:val="006B383A"/>
    <w:rsid w:val="006B3852"/>
    <w:rsid w:val="006B389A"/>
    <w:rsid w:val="006B38BF"/>
    <w:rsid w:val="006B38FF"/>
    <w:rsid w:val="006B390A"/>
    <w:rsid w:val="006B3922"/>
    <w:rsid w:val="006B392B"/>
    <w:rsid w:val="006B3971"/>
    <w:rsid w:val="006B397D"/>
    <w:rsid w:val="006B39B1"/>
    <w:rsid w:val="006B39D5"/>
    <w:rsid w:val="006B3A3C"/>
    <w:rsid w:val="006B3A4D"/>
    <w:rsid w:val="006B3A85"/>
    <w:rsid w:val="006B3ABA"/>
    <w:rsid w:val="006B3AD8"/>
    <w:rsid w:val="006B3B04"/>
    <w:rsid w:val="006B3B38"/>
    <w:rsid w:val="006B3B68"/>
    <w:rsid w:val="006B3B94"/>
    <w:rsid w:val="006B3BAB"/>
    <w:rsid w:val="006B3BBB"/>
    <w:rsid w:val="006B3BC6"/>
    <w:rsid w:val="006B3BF5"/>
    <w:rsid w:val="006B3C14"/>
    <w:rsid w:val="006B3C93"/>
    <w:rsid w:val="006B3CB8"/>
    <w:rsid w:val="006B3D5C"/>
    <w:rsid w:val="006B3DE9"/>
    <w:rsid w:val="006B3E31"/>
    <w:rsid w:val="006B3E4C"/>
    <w:rsid w:val="006B3E5A"/>
    <w:rsid w:val="006B3E72"/>
    <w:rsid w:val="006B3E77"/>
    <w:rsid w:val="006B3E82"/>
    <w:rsid w:val="006B3EA3"/>
    <w:rsid w:val="006B3EE9"/>
    <w:rsid w:val="006B3F10"/>
    <w:rsid w:val="006B3F73"/>
    <w:rsid w:val="006B3F85"/>
    <w:rsid w:val="006B3F97"/>
    <w:rsid w:val="006B4042"/>
    <w:rsid w:val="006B40C4"/>
    <w:rsid w:val="006B4142"/>
    <w:rsid w:val="006B41B2"/>
    <w:rsid w:val="006B41BA"/>
    <w:rsid w:val="006B41DB"/>
    <w:rsid w:val="006B423B"/>
    <w:rsid w:val="006B4267"/>
    <w:rsid w:val="006B42D8"/>
    <w:rsid w:val="006B433F"/>
    <w:rsid w:val="006B4389"/>
    <w:rsid w:val="006B43DC"/>
    <w:rsid w:val="006B43EB"/>
    <w:rsid w:val="006B43F7"/>
    <w:rsid w:val="006B445D"/>
    <w:rsid w:val="006B4468"/>
    <w:rsid w:val="006B446D"/>
    <w:rsid w:val="006B4487"/>
    <w:rsid w:val="006B44A0"/>
    <w:rsid w:val="006B44D7"/>
    <w:rsid w:val="006B4520"/>
    <w:rsid w:val="006B454D"/>
    <w:rsid w:val="006B4554"/>
    <w:rsid w:val="006B4565"/>
    <w:rsid w:val="006B4570"/>
    <w:rsid w:val="006B4583"/>
    <w:rsid w:val="006B45E5"/>
    <w:rsid w:val="006B4636"/>
    <w:rsid w:val="006B4648"/>
    <w:rsid w:val="006B464D"/>
    <w:rsid w:val="006B467D"/>
    <w:rsid w:val="006B4681"/>
    <w:rsid w:val="006B469B"/>
    <w:rsid w:val="006B46FC"/>
    <w:rsid w:val="006B4728"/>
    <w:rsid w:val="006B4744"/>
    <w:rsid w:val="006B4749"/>
    <w:rsid w:val="006B477F"/>
    <w:rsid w:val="006B479F"/>
    <w:rsid w:val="006B47A7"/>
    <w:rsid w:val="006B47B6"/>
    <w:rsid w:val="006B47D7"/>
    <w:rsid w:val="006B47E1"/>
    <w:rsid w:val="006B482A"/>
    <w:rsid w:val="006B488E"/>
    <w:rsid w:val="006B48C4"/>
    <w:rsid w:val="006B491E"/>
    <w:rsid w:val="006B493F"/>
    <w:rsid w:val="006B494B"/>
    <w:rsid w:val="006B4994"/>
    <w:rsid w:val="006B4A0B"/>
    <w:rsid w:val="006B4A33"/>
    <w:rsid w:val="006B4AE0"/>
    <w:rsid w:val="006B4AF0"/>
    <w:rsid w:val="006B4B55"/>
    <w:rsid w:val="006B4B65"/>
    <w:rsid w:val="006B4B8E"/>
    <w:rsid w:val="006B4C55"/>
    <w:rsid w:val="006B4C59"/>
    <w:rsid w:val="006B4C7F"/>
    <w:rsid w:val="006B4D03"/>
    <w:rsid w:val="006B4D18"/>
    <w:rsid w:val="006B4D63"/>
    <w:rsid w:val="006B4D6E"/>
    <w:rsid w:val="006B4DCD"/>
    <w:rsid w:val="006B4E0A"/>
    <w:rsid w:val="006B4E22"/>
    <w:rsid w:val="006B4E4E"/>
    <w:rsid w:val="006B4ED5"/>
    <w:rsid w:val="006B4EE9"/>
    <w:rsid w:val="006B4EED"/>
    <w:rsid w:val="006B4F77"/>
    <w:rsid w:val="006B4FDA"/>
    <w:rsid w:val="006B501E"/>
    <w:rsid w:val="006B5032"/>
    <w:rsid w:val="006B5078"/>
    <w:rsid w:val="006B5095"/>
    <w:rsid w:val="006B50AC"/>
    <w:rsid w:val="006B50E1"/>
    <w:rsid w:val="006B513F"/>
    <w:rsid w:val="006B51BF"/>
    <w:rsid w:val="006B51D4"/>
    <w:rsid w:val="006B524A"/>
    <w:rsid w:val="006B5265"/>
    <w:rsid w:val="006B5286"/>
    <w:rsid w:val="006B52AC"/>
    <w:rsid w:val="006B53A2"/>
    <w:rsid w:val="006B53C0"/>
    <w:rsid w:val="006B5468"/>
    <w:rsid w:val="006B547B"/>
    <w:rsid w:val="006B54DB"/>
    <w:rsid w:val="006B553F"/>
    <w:rsid w:val="006B5590"/>
    <w:rsid w:val="006B55C2"/>
    <w:rsid w:val="006B55D4"/>
    <w:rsid w:val="006B5633"/>
    <w:rsid w:val="006B5648"/>
    <w:rsid w:val="006B5671"/>
    <w:rsid w:val="006B5685"/>
    <w:rsid w:val="006B56CA"/>
    <w:rsid w:val="006B56D4"/>
    <w:rsid w:val="006B5773"/>
    <w:rsid w:val="006B578D"/>
    <w:rsid w:val="006B5813"/>
    <w:rsid w:val="006B5870"/>
    <w:rsid w:val="006B5889"/>
    <w:rsid w:val="006B58A3"/>
    <w:rsid w:val="006B58AD"/>
    <w:rsid w:val="006B58B0"/>
    <w:rsid w:val="006B5999"/>
    <w:rsid w:val="006B599C"/>
    <w:rsid w:val="006B5AA5"/>
    <w:rsid w:val="006B5AAE"/>
    <w:rsid w:val="006B5B0E"/>
    <w:rsid w:val="006B5B10"/>
    <w:rsid w:val="006B5B1C"/>
    <w:rsid w:val="006B5BBE"/>
    <w:rsid w:val="006B5BF1"/>
    <w:rsid w:val="006B5C30"/>
    <w:rsid w:val="006B5C76"/>
    <w:rsid w:val="006B5CD5"/>
    <w:rsid w:val="006B5CF1"/>
    <w:rsid w:val="006B5D98"/>
    <w:rsid w:val="006B5DD4"/>
    <w:rsid w:val="006B5E0E"/>
    <w:rsid w:val="006B5E12"/>
    <w:rsid w:val="006B5E26"/>
    <w:rsid w:val="006B5E40"/>
    <w:rsid w:val="006B5E66"/>
    <w:rsid w:val="006B5E75"/>
    <w:rsid w:val="006B5F0B"/>
    <w:rsid w:val="006B5F0D"/>
    <w:rsid w:val="006B5F57"/>
    <w:rsid w:val="006B5F5B"/>
    <w:rsid w:val="006B5F67"/>
    <w:rsid w:val="006B6017"/>
    <w:rsid w:val="006B601F"/>
    <w:rsid w:val="006B6039"/>
    <w:rsid w:val="006B6045"/>
    <w:rsid w:val="006B60A5"/>
    <w:rsid w:val="006B60BA"/>
    <w:rsid w:val="006B60ED"/>
    <w:rsid w:val="006B6148"/>
    <w:rsid w:val="006B614A"/>
    <w:rsid w:val="006B61C4"/>
    <w:rsid w:val="006B61F4"/>
    <w:rsid w:val="006B6236"/>
    <w:rsid w:val="006B625F"/>
    <w:rsid w:val="006B6265"/>
    <w:rsid w:val="006B6269"/>
    <w:rsid w:val="006B62AE"/>
    <w:rsid w:val="006B6346"/>
    <w:rsid w:val="006B637D"/>
    <w:rsid w:val="006B6384"/>
    <w:rsid w:val="006B63C2"/>
    <w:rsid w:val="006B63FD"/>
    <w:rsid w:val="006B6417"/>
    <w:rsid w:val="006B641B"/>
    <w:rsid w:val="006B6452"/>
    <w:rsid w:val="006B645D"/>
    <w:rsid w:val="006B64BA"/>
    <w:rsid w:val="006B64D2"/>
    <w:rsid w:val="006B64DF"/>
    <w:rsid w:val="006B6546"/>
    <w:rsid w:val="006B6569"/>
    <w:rsid w:val="006B65A9"/>
    <w:rsid w:val="006B65F8"/>
    <w:rsid w:val="006B660A"/>
    <w:rsid w:val="006B66BA"/>
    <w:rsid w:val="006B66D7"/>
    <w:rsid w:val="006B67D8"/>
    <w:rsid w:val="006B67E4"/>
    <w:rsid w:val="006B67FC"/>
    <w:rsid w:val="006B6831"/>
    <w:rsid w:val="006B6889"/>
    <w:rsid w:val="006B68B2"/>
    <w:rsid w:val="006B690B"/>
    <w:rsid w:val="006B6910"/>
    <w:rsid w:val="006B696E"/>
    <w:rsid w:val="006B6981"/>
    <w:rsid w:val="006B6AA5"/>
    <w:rsid w:val="006B6AE4"/>
    <w:rsid w:val="006B6AF7"/>
    <w:rsid w:val="006B6B59"/>
    <w:rsid w:val="006B6C0E"/>
    <w:rsid w:val="006B6C16"/>
    <w:rsid w:val="006B6C24"/>
    <w:rsid w:val="006B6C66"/>
    <w:rsid w:val="006B6C7C"/>
    <w:rsid w:val="006B6C99"/>
    <w:rsid w:val="006B6CE3"/>
    <w:rsid w:val="006B6CE9"/>
    <w:rsid w:val="006B6D05"/>
    <w:rsid w:val="006B6D11"/>
    <w:rsid w:val="006B6D47"/>
    <w:rsid w:val="006B6D50"/>
    <w:rsid w:val="006B6E29"/>
    <w:rsid w:val="006B6E2F"/>
    <w:rsid w:val="006B6E74"/>
    <w:rsid w:val="006B6E9F"/>
    <w:rsid w:val="006B6EE9"/>
    <w:rsid w:val="006B6F28"/>
    <w:rsid w:val="006B6FCA"/>
    <w:rsid w:val="006B6FD1"/>
    <w:rsid w:val="006B6FF7"/>
    <w:rsid w:val="006B7006"/>
    <w:rsid w:val="006B7092"/>
    <w:rsid w:val="006B716F"/>
    <w:rsid w:val="006B71AD"/>
    <w:rsid w:val="006B71E7"/>
    <w:rsid w:val="006B721D"/>
    <w:rsid w:val="006B722F"/>
    <w:rsid w:val="006B7233"/>
    <w:rsid w:val="006B7248"/>
    <w:rsid w:val="006B724C"/>
    <w:rsid w:val="006B7277"/>
    <w:rsid w:val="006B72F0"/>
    <w:rsid w:val="006B7314"/>
    <w:rsid w:val="006B7328"/>
    <w:rsid w:val="006B7340"/>
    <w:rsid w:val="006B7377"/>
    <w:rsid w:val="006B7378"/>
    <w:rsid w:val="006B73D1"/>
    <w:rsid w:val="006B7415"/>
    <w:rsid w:val="006B749B"/>
    <w:rsid w:val="006B74BC"/>
    <w:rsid w:val="006B74BE"/>
    <w:rsid w:val="006B74E7"/>
    <w:rsid w:val="006B753A"/>
    <w:rsid w:val="006B75B6"/>
    <w:rsid w:val="006B75C9"/>
    <w:rsid w:val="006B761A"/>
    <w:rsid w:val="006B761C"/>
    <w:rsid w:val="006B764D"/>
    <w:rsid w:val="006B76C7"/>
    <w:rsid w:val="006B76DC"/>
    <w:rsid w:val="006B771C"/>
    <w:rsid w:val="006B778F"/>
    <w:rsid w:val="006B7797"/>
    <w:rsid w:val="006B77BF"/>
    <w:rsid w:val="006B7889"/>
    <w:rsid w:val="006B78B9"/>
    <w:rsid w:val="006B792D"/>
    <w:rsid w:val="006B7940"/>
    <w:rsid w:val="006B7943"/>
    <w:rsid w:val="006B7954"/>
    <w:rsid w:val="006B796B"/>
    <w:rsid w:val="006B79A4"/>
    <w:rsid w:val="006B79B8"/>
    <w:rsid w:val="006B79E9"/>
    <w:rsid w:val="006B79F0"/>
    <w:rsid w:val="006B79F3"/>
    <w:rsid w:val="006B79FB"/>
    <w:rsid w:val="006B7A0D"/>
    <w:rsid w:val="006B7A1A"/>
    <w:rsid w:val="006B7A1B"/>
    <w:rsid w:val="006B7A41"/>
    <w:rsid w:val="006B7A7C"/>
    <w:rsid w:val="006B7AA0"/>
    <w:rsid w:val="006B7AA8"/>
    <w:rsid w:val="006B7AF5"/>
    <w:rsid w:val="006B7AF6"/>
    <w:rsid w:val="006B7AFA"/>
    <w:rsid w:val="006B7B52"/>
    <w:rsid w:val="006B7B72"/>
    <w:rsid w:val="006B7B9F"/>
    <w:rsid w:val="006B7BB7"/>
    <w:rsid w:val="006B7BC0"/>
    <w:rsid w:val="006B7C54"/>
    <w:rsid w:val="006B7C67"/>
    <w:rsid w:val="006B7C68"/>
    <w:rsid w:val="006B7C75"/>
    <w:rsid w:val="006B7D09"/>
    <w:rsid w:val="006B7D9F"/>
    <w:rsid w:val="006B7E04"/>
    <w:rsid w:val="006B7E18"/>
    <w:rsid w:val="006B7E1F"/>
    <w:rsid w:val="006B7E33"/>
    <w:rsid w:val="006B7E3B"/>
    <w:rsid w:val="006B7E4F"/>
    <w:rsid w:val="006B7E57"/>
    <w:rsid w:val="006B7E5C"/>
    <w:rsid w:val="006B7E7A"/>
    <w:rsid w:val="006B7E86"/>
    <w:rsid w:val="006B7EA8"/>
    <w:rsid w:val="006B7F63"/>
    <w:rsid w:val="006B7FAD"/>
    <w:rsid w:val="006C0005"/>
    <w:rsid w:val="006C001A"/>
    <w:rsid w:val="006C002E"/>
    <w:rsid w:val="006C0083"/>
    <w:rsid w:val="006C00A5"/>
    <w:rsid w:val="006C00FA"/>
    <w:rsid w:val="006C01DA"/>
    <w:rsid w:val="006C01F1"/>
    <w:rsid w:val="006C028A"/>
    <w:rsid w:val="006C028F"/>
    <w:rsid w:val="006C02F7"/>
    <w:rsid w:val="006C0319"/>
    <w:rsid w:val="006C034E"/>
    <w:rsid w:val="006C034F"/>
    <w:rsid w:val="006C0363"/>
    <w:rsid w:val="006C036A"/>
    <w:rsid w:val="006C0380"/>
    <w:rsid w:val="006C03D2"/>
    <w:rsid w:val="006C03DB"/>
    <w:rsid w:val="006C03E6"/>
    <w:rsid w:val="006C03F4"/>
    <w:rsid w:val="006C03FD"/>
    <w:rsid w:val="006C03FF"/>
    <w:rsid w:val="006C045F"/>
    <w:rsid w:val="006C047F"/>
    <w:rsid w:val="006C0495"/>
    <w:rsid w:val="006C04B9"/>
    <w:rsid w:val="006C0517"/>
    <w:rsid w:val="006C0549"/>
    <w:rsid w:val="006C055B"/>
    <w:rsid w:val="006C055C"/>
    <w:rsid w:val="006C0568"/>
    <w:rsid w:val="006C056A"/>
    <w:rsid w:val="006C05D1"/>
    <w:rsid w:val="006C063B"/>
    <w:rsid w:val="006C06F2"/>
    <w:rsid w:val="006C0773"/>
    <w:rsid w:val="006C0791"/>
    <w:rsid w:val="006C07EB"/>
    <w:rsid w:val="006C07FD"/>
    <w:rsid w:val="006C080A"/>
    <w:rsid w:val="006C0822"/>
    <w:rsid w:val="006C0867"/>
    <w:rsid w:val="006C0896"/>
    <w:rsid w:val="006C08DF"/>
    <w:rsid w:val="006C0934"/>
    <w:rsid w:val="006C09BB"/>
    <w:rsid w:val="006C09C7"/>
    <w:rsid w:val="006C09EC"/>
    <w:rsid w:val="006C0A1E"/>
    <w:rsid w:val="006C0A2D"/>
    <w:rsid w:val="006C0A2E"/>
    <w:rsid w:val="006C0A5F"/>
    <w:rsid w:val="006C0A78"/>
    <w:rsid w:val="006C0B54"/>
    <w:rsid w:val="006C0B7B"/>
    <w:rsid w:val="006C0B8D"/>
    <w:rsid w:val="006C0C10"/>
    <w:rsid w:val="006C0C11"/>
    <w:rsid w:val="006C0C4A"/>
    <w:rsid w:val="006C0C4C"/>
    <w:rsid w:val="006C0C52"/>
    <w:rsid w:val="006C0CEB"/>
    <w:rsid w:val="006C0CF7"/>
    <w:rsid w:val="006C0D2C"/>
    <w:rsid w:val="006C0D68"/>
    <w:rsid w:val="006C0D73"/>
    <w:rsid w:val="006C0DCA"/>
    <w:rsid w:val="006C0DD7"/>
    <w:rsid w:val="006C0DE5"/>
    <w:rsid w:val="006C0DFE"/>
    <w:rsid w:val="006C0E5D"/>
    <w:rsid w:val="006C0E80"/>
    <w:rsid w:val="006C0E99"/>
    <w:rsid w:val="006C0EAE"/>
    <w:rsid w:val="006C0F4B"/>
    <w:rsid w:val="006C0FA4"/>
    <w:rsid w:val="006C0FB7"/>
    <w:rsid w:val="006C0FB9"/>
    <w:rsid w:val="006C0FD6"/>
    <w:rsid w:val="006C0FF8"/>
    <w:rsid w:val="006C100F"/>
    <w:rsid w:val="006C1047"/>
    <w:rsid w:val="006C104B"/>
    <w:rsid w:val="006C1061"/>
    <w:rsid w:val="006C10B4"/>
    <w:rsid w:val="006C10F1"/>
    <w:rsid w:val="006C110D"/>
    <w:rsid w:val="006C111A"/>
    <w:rsid w:val="006C1192"/>
    <w:rsid w:val="006C119F"/>
    <w:rsid w:val="006C11E4"/>
    <w:rsid w:val="006C1231"/>
    <w:rsid w:val="006C1235"/>
    <w:rsid w:val="006C123E"/>
    <w:rsid w:val="006C1408"/>
    <w:rsid w:val="006C1495"/>
    <w:rsid w:val="006C14B0"/>
    <w:rsid w:val="006C14C8"/>
    <w:rsid w:val="006C14DA"/>
    <w:rsid w:val="006C14EF"/>
    <w:rsid w:val="006C14F6"/>
    <w:rsid w:val="006C151F"/>
    <w:rsid w:val="006C1528"/>
    <w:rsid w:val="006C1591"/>
    <w:rsid w:val="006C15AD"/>
    <w:rsid w:val="006C15BD"/>
    <w:rsid w:val="006C15E8"/>
    <w:rsid w:val="006C15EA"/>
    <w:rsid w:val="006C15F2"/>
    <w:rsid w:val="006C15FF"/>
    <w:rsid w:val="006C1633"/>
    <w:rsid w:val="006C1647"/>
    <w:rsid w:val="006C164B"/>
    <w:rsid w:val="006C1663"/>
    <w:rsid w:val="006C16BF"/>
    <w:rsid w:val="006C16CE"/>
    <w:rsid w:val="006C16F5"/>
    <w:rsid w:val="006C171F"/>
    <w:rsid w:val="006C175E"/>
    <w:rsid w:val="006C1792"/>
    <w:rsid w:val="006C17CE"/>
    <w:rsid w:val="006C180D"/>
    <w:rsid w:val="006C1810"/>
    <w:rsid w:val="006C182D"/>
    <w:rsid w:val="006C1867"/>
    <w:rsid w:val="006C1892"/>
    <w:rsid w:val="006C18A7"/>
    <w:rsid w:val="006C18DF"/>
    <w:rsid w:val="006C19B3"/>
    <w:rsid w:val="006C19D2"/>
    <w:rsid w:val="006C19FB"/>
    <w:rsid w:val="006C1A7E"/>
    <w:rsid w:val="006C1B2D"/>
    <w:rsid w:val="006C1BA9"/>
    <w:rsid w:val="006C1C6A"/>
    <w:rsid w:val="006C1CA2"/>
    <w:rsid w:val="006C1D2C"/>
    <w:rsid w:val="006C1D50"/>
    <w:rsid w:val="006C1DE3"/>
    <w:rsid w:val="006C1E3F"/>
    <w:rsid w:val="006C1E4E"/>
    <w:rsid w:val="006C1E73"/>
    <w:rsid w:val="006C1E82"/>
    <w:rsid w:val="006C1EA0"/>
    <w:rsid w:val="006C1ECF"/>
    <w:rsid w:val="006C1F10"/>
    <w:rsid w:val="006C1F12"/>
    <w:rsid w:val="006C1F30"/>
    <w:rsid w:val="006C1F54"/>
    <w:rsid w:val="006C1F5E"/>
    <w:rsid w:val="006C1F99"/>
    <w:rsid w:val="006C1FB6"/>
    <w:rsid w:val="006C1FFA"/>
    <w:rsid w:val="006C2046"/>
    <w:rsid w:val="006C2092"/>
    <w:rsid w:val="006C20AA"/>
    <w:rsid w:val="006C2116"/>
    <w:rsid w:val="006C214A"/>
    <w:rsid w:val="006C216B"/>
    <w:rsid w:val="006C21FF"/>
    <w:rsid w:val="006C220F"/>
    <w:rsid w:val="006C2213"/>
    <w:rsid w:val="006C221A"/>
    <w:rsid w:val="006C222F"/>
    <w:rsid w:val="006C223D"/>
    <w:rsid w:val="006C223F"/>
    <w:rsid w:val="006C2295"/>
    <w:rsid w:val="006C22C2"/>
    <w:rsid w:val="006C22C4"/>
    <w:rsid w:val="006C230D"/>
    <w:rsid w:val="006C246C"/>
    <w:rsid w:val="006C2473"/>
    <w:rsid w:val="006C24A8"/>
    <w:rsid w:val="006C24CB"/>
    <w:rsid w:val="006C24D5"/>
    <w:rsid w:val="006C254C"/>
    <w:rsid w:val="006C2577"/>
    <w:rsid w:val="006C2687"/>
    <w:rsid w:val="006C26B5"/>
    <w:rsid w:val="006C271A"/>
    <w:rsid w:val="006C2761"/>
    <w:rsid w:val="006C27B9"/>
    <w:rsid w:val="006C27F8"/>
    <w:rsid w:val="006C280E"/>
    <w:rsid w:val="006C28D5"/>
    <w:rsid w:val="006C2905"/>
    <w:rsid w:val="006C2952"/>
    <w:rsid w:val="006C296A"/>
    <w:rsid w:val="006C299F"/>
    <w:rsid w:val="006C29B6"/>
    <w:rsid w:val="006C2A5B"/>
    <w:rsid w:val="006C2A82"/>
    <w:rsid w:val="006C2A83"/>
    <w:rsid w:val="006C2AAF"/>
    <w:rsid w:val="006C2AE4"/>
    <w:rsid w:val="006C2B6A"/>
    <w:rsid w:val="006C2B9E"/>
    <w:rsid w:val="006C2BB6"/>
    <w:rsid w:val="006C2BD5"/>
    <w:rsid w:val="006C2BFA"/>
    <w:rsid w:val="006C2C3C"/>
    <w:rsid w:val="006C2C54"/>
    <w:rsid w:val="006C2C93"/>
    <w:rsid w:val="006C2CE8"/>
    <w:rsid w:val="006C2D69"/>
    <w:rsid w:val="006C2DD1"/>
    <w:rsid w:val="006C2E2C"/>
    <w:rsid w:val="006C2E40"/>
    <w:rsid w:val="006C2EB0"/>
    <w:rsid w:val="006C2EDD"/>
    <w:rsid w:val="006C2F1B"/>
    <w:rsid w:val="006C2F57"/>
    <w:rsid w:val="006C2F78"/>
    <w:rsid w:val="006C2FB8"/>
    <w:rsid w:val="006C2FDD"/>
    <w:rsid w:val="006C300F"/>
    <w:rsid w:val="006C3028"/>
    <w:rsid w:val="006C3040"/>
    <w:rsid w:val="006C3092"/>
    <w:rsid w:val="006C3111"/>
    <w:rsid w:val="006C3126"/>
    <w:rsid w:val="006C3131"/>
    <w:rsid w:val="006C315C"/>
    <w:rsid w:val="006C317B"/>
    <w:rsid w:val="006C3201"/>
    <w:rsid w:val="006C320F"/>
    <w:rsid w:val="006C323C"/>
    <w:rsid w:val="006C3248"/>
    <w:rsid w:val="006C329B"/>
    <w:rsid w:val="006C336D"/>
    <w:rsid w:val="006C33EF"/>
    <w:rsid w:val="006C3440"/>
    <w:rsid w:val="006C3457"/>
    <w:rsid w:val="006C34A8"/>
    <w:rsid w:val="006C358A"/>
    <w:rsid w:val="006C35A7"/>
    <w:rsid w:val="006C3666"/>
    <w:rsid w:val="006C369C"/>
    <w:rsid w:val="006C369E"/>
    <w:rsid w:val="006C36AE"/>
    <w:rsid w:val="006C36D1"/>
    <w:rsid w:val="006C36DC"/>
    <w:rsid w:val="006C36E8"/>
    <w:rsid w:val="006C376D"/>
    <w:rsid w:val="006C3800"/>
    <w:rsid w:val="006C3805"/>
    <w:rsid w:val="006C3842"/>
    <w:rsid w:val="006C38C7"/>
    <w:rsid w:val="006C38D7"/>
    <w:rsid w:val="006C38DA"/>
    <w:rsid w:val="006C38EF"/>
    <w:rsid w:val="006C390B"/>
    <w:rsid w:val="006C394F"/>
    <w:rsid w:val="006C3965"/>
    <w:rsid w:val="006C398F"/>
    <w:rsid w:val="006C39A9"/>
    <w:rsid w:val="006C3A19"/>
    <w:rsid w:val="006C3A80"/>
    <w:rsid w:val="006C3A8A"/>
    <w:rsid w:val="006C3B64"/>
    <w:rsid w:val="006C3C9C"/>
    <w:rsid w:val="006C3CB8"/>
    <w:rsid w:val="006C3CD9"/>
    <w:rsid w:val="006C3CF8"/>
    <w:rsid w:val="006C3D26"/>
    <w:rsid w:val="006C3D2E"/>
    <w:rsid w:val="006C3DA5"/>
    <w:rsid w:val="006C3DAE"/>
    <w:rsid w:val="006C3DD5"/>
    <w:rsid w:val="006C3DE5"/>
    <w:rsid w:val="006C3E86"/>
    <w:rsid w:val="006C3EB9"/>
    <w:rsid w:val="006C3EF5"/>
    <w:rsid w:val="006C3F51"/>
    <w:rsid w:val="006C3FA4"/>
    <w:rsid w:val="006C3FD9"/>
    <w:rsid w:val="006C3FE0"/>
    <w:rsid w:val="006C40F1"/>
    <w:rsid w:val="006C4166"/>
    <w:rsid w:val="006C41A4"/>
    <w:rsid w:val="006C41AF"/>
    <w:rsid w:val="006C41C0"/>
    <w:rsid w:val="006C4220"/>
    <w:rsid w:val="006C4291"/>
    <w:rsid w:val="006C42BE"/>
    <w:rsid w:val="006C42D0"/>
    <w:rsid w:val="006C432D"/>
    <w:rsid w:val="006C4347"/>
    <w:rsid w:val="006C434E"/>
    <w:rsid w:val="006C43DC"/>
    <w:rsid w:val="006C43EA"/>
    <w:rsid w:val="006C448B"/>
    <w:rsid w:val="006C44D6"/>
    <w:rsid w:val="006C451F"/>
    <w:rsid w:val="006C4566"/>
    <w:rsid w:val="006C4579"/>
    <w:rsid w:val="006C45B0"/>
    <w:rsid w:val="006C45B4"/>
    <w:rsid w:val="006C45D2"/>
    <w:rsid w:val="006C461A"/>
    <w:rsid w:val="006C4666"/>
    <w:rsid w:val="006C4667"/>
    <w:rsid w:val="006C46AA"/>
    <w:rsid w:val="006C4721"/>
    <w:rsid w:val="006C473D"/>
    <w:rsid w:val="006C47FD"/>
    <w:rsid w:val="006C4823"/>
    <w:rsid w:val="006C488D"/>
    <w:rsid w:val="006C48BA"/>
    <w:rsid w:val="006C48C2"/>
    <w:rsid w:val="006C4972"/>
    <w:rsid w:val="006C4973"/>
    <w:rsid w:val="006C4988"/>
    <w:rsid w:val="006C499B"/>
    <w:rsid w:val="006C49B6"/>
    <w:rsid w:val="006C49F8"/>
    <w:rsid w:val="006C4AD3"/>
    <w:rsid w:val="006C4B30"/>
    <w:rsid w:val="006C4B65"/>
    <w:rsid w:val="006C4B97"/>
    <w:rsid w:val="006C4C42"/>
    <w:rsid w:val="006C4C54"/>
    <w:rsid w:val="006C4C97"/>
    <w:rsid w:val="006C4C9C"/>
    <w:rsid w:val="006C4CA4"/>
    <w:rsid w:val="006C4CBE"/>
    <w:rsid w:val="006C4CDE"/>
    <w:rsid w:val="006C4D10"/>
    <w:rsid w:val="006C4D23"/>
    <w:rsid w:val="006C4D96"/>
    <w:rsid w:val="006C4D98"/>
    <w:rsid w:val="006C4DC4"/>
    <w:rsid w:val="006C4DED"/>
    <w:rsid w:val="006C4DF5"/>
    <w:rsid w:val="006C4E14"/>
    <w:rsid w:val="006C4E17"/>
    <w:rsid w:val="006C4EA4"/>
    <w:rsid w:val="006C4F4D"/>
    <w:rsid w:val="006C4F8F"/>
    <w:rsid w:val="006C5049"/>
    <w:rsid w:val="006C5062"/>
    <w:rsid w:val="006C50CC"/>
    <w:rsid w:val="006C5103"/>
    <w:rsid w:val="006C5124"/>
    <w:rsid w:val="006C51CE"/>
    <w:rsid w:val="006C5235"/>
    <w:rsid w:val="006C5298"/>
    <w:rsid w:val="006C52DA"/>
    <w:rsid w:val="006C52EB"/>
    <w:rsid w:val="006C52F0"/>
    <w:rsid w:val="006C52F4"/>
    <w:rsid w:val="006C535C"/>
    <w:rsid w:val="006C5385"/>
    <w:rsid w:val="006C538E"/>
    <w:rsid w:val="006C53A6"/>
    <w:rsid w:val="006C5407"/>
    <w:rsid w:val="006C5439"/>
    <w:rsid w:val="006C5447"/>
    <w:rsid w:val="006C545C"/>
    <w:rsid w:val="006C5475"/>
    <w:rsid w:val="006C5492"/>
    <w:rsid w:val="006C54A0"/>
    <w:rsid w:val="006C54B1"/>
    <w:rsid w:val="006C54C1"/>
    <w:rsid w:val="006C54C9"/>
    <w:rsid w:val="006C54F5"/>
    <w:rsid w:val="006C55A4"/>
    <w:rsid w:val="006C55B5"/>
    <w:rsid w:val="006C55D7"/>
    <w:rsid w:val="006C55EF"/>
    <w:rsid w:val="006C562B"/>
    <w:rsid w:val="006C5643"/>
    <w:rsid w:val="006C5673"/>
    <w:rsid w:val="006C569E"/>
    <w:rsid w:val="006C570C"/>
    <w:rsid w:val="006C57AB"/>
    <w:rsid w:val="006C57D9"/>
    <w:rsid w:val="006C5804"/>
    <w:rsid w:val="006C5841"/>
    <w:rsid w:val="006C585B"/>
    <w:rsid w:val="006C58AC"/>
    <w:rsid w:val="006C58AE"/>
    <w:rsid w:val="006C58C0"/>
    <w:rsid w:val="006C5904"/>
    <w:rsid w:val="006C591E"/>
    <w:rsid w:val="006C595D"/>
    <w:rsid w:val="006C5966"/>
    <w:rsid w:val="006C5970"/>
    <w:rsid w:val="006C598D"/>
    <w:rsid w:val="006C5997"/>
    <w:rsid w:val="006C59A3"/>
    <w:rsid w:val="006C59B2"/>
    <w:rsid w:val="006C59C2"/>
    <w:rsid w:val="006C59CA"/>
    <w:rsid w:val="006C59DC"/>
    <w:rsid w:val="006C5A23"/>
    <w:rsid w:val="006C5A9A"/>
    <w:rsid w:val="006C5AAF"/>
    <w:rsid w:val="006C5B57"/>
    <w:rsid w:val="006C5B5D"/>
    <w:rsid w:val="006C5B73"/>
    <w:rsid w:val="006C5BB8"/>
    <w:rsid w:val="006C5BBF"/>
    <w:rsid w:val="006C5BEF"/>
    <w:rsid w:val="006C5C72"/>
    <w:rsid w:val="006C5C94"/>
    <w:rsid w:val="006C5C97"/>
    <w:rsid w:val="006C5CAB"/>
    <w:rsid w:val="006C5CEE"/>
    <w:rsid w:val="006C5D14"/>
    <w:rsid w:val="006C5D3F"/>
    <w:rsid w:val="006C5D4A"/>
    <w:rsid w:val="006C5D5E"/>
    <w:rsid w:val="006C5E52"/>
    <w:rsid w:val="006C5E6C"/>
    <w:rsid w:val="006C5EAC"/>
    <w:rsid w:val="006C5EC7"/>
    <w:rsid w:val="006C5F89"/>
    <w:rsid w:val="006C5F98"/>
    <w:rsid w:val="006C5FAF"/>
    <w:rsid w:val="006C5FC2"/>
    <w:rsid w:val="006C5FE1"/>
    <w:rsid w:val="006C6006"/>
    <w:rsid w:val="006C6007"/>
    <w:rsid w:val="006C602C"/>
    <w:rsid w:val="006C6037"/>
    <w:rsid w:val="006C603B"/>
    <w:rsid w:val="006C605D"/>
    <w:rsid w:val="006C60C1"/>
    <w:rsid w:val="006C60F5"/>
    <w:rsid w:val="006C613C"/>
    <w:rsid w:val="006C616C"/>
    <w:rsid w:val="006C616E"/>
    <w:rsid w:val="006C6181"/>
    <w:rsid w:val="006C61BD"/>
    <w:rsid w:val="006C61E0"/>
    <w:rsid w:val="006C61E3"/>
    <w:rsid w:val="006C6248"/>
    <w:rsid w:val="006C6286"/>
    <w:rsid w:val="006C62CA"/>
    <w:rsid w:val="006C6300"/>
    <w:rsid w:val="006C632E"/>
    <w:rsid w:val="006C634B"/>
    <w:rsid w:val="006C636D"/>
    <w:rsid w:val="006C63A6"/>
    <w:rsid w:val="006C63C9"/>
    <w:rsid w:val="006C63CF"/>
    <w:rsid w:val="006C63E0"/>
    <w:rsid w:val="006C640A"/>
    <w:rsid w:val="006C641E"/>
    <w:rsid w:val="006C6452"/>
    <w:rsid w:val="006C645D"/>
    <w:rsid w:val="006C645F"/>
    <w:rsid w:val="006C64A2"/>
    <w:rsid w:val="006C64A8"/>
    <w:rsid w:val="006C64B8"/>
    <w:rsid w:val="006C64E9"/>
    <w:rsid w:val="006C6536"/>
    <w:rsid w:val="006C654C"/>
    <w:rsid w:val="006C655A"/>
    <w:rsid w:val="006C65E1"/>
    <w:rsid w:val="006C6613"/>
    <w:rsid w:val="006C6622"/>
    <w:rsid w:val="006C6644"/>
    <w:rsid w:val="006C66D5"/>
    <w:rsid w:val="006C66D6"/>
    <w:rsid w:val="006C66DB"/>
    <w:rsid w:val="006C66DE"/>
    <w:rsid w:val="006C66EA"/>
    <w:rsid w:val="006C6712"/>
    <w:rsid w:val="006C672D"/>
    <w:rsid w:val="006C676E"/>
    <w:rsid w:val="006C67A8"/>
    <w:rsid w:val="006C680D"/>
    <w:rsid w:val="006C686C"/>
    <w:rsid w:val="006C6877"/>
    <w:rsid w:val="006C6899"/>
    <w:rsid w:val="006C68E2"/>
    <w:rsid w:val="006C68FF"/>
    <w:rsid w:val="006C6906"/>
    <w:rsid w:val="006C69B8"/>
    <w:rsid w:val="006C69BC"/>
    <w:rsid w:val="006C69C7"/>
    <w:rsid w:val="006C6A2E"/>
    <w:rsid w:val="006C6A38"/>
    <w:rsid w:val="006C6A88"/>
    <w:rsid w:val="006C6A96"/>
    <w:rsid w:val="006C6ABA"/>
    <w:rsid w:val="006C6ACF"/>
    <w:rsid w:val="006C6B16"/>
    <w:rsid w:val="006C6B1B"/>
    <w:rsid w:val="006C6B34"/>
    <w:rsid w:val="006C6BA6"/>
    <w:rsid w:val="006C6BA8"/>
    <w:rsid w:val="006C6BD4"/>
    <w:rsid w:val="006C6C50"/>
    <w:rsid w:val="006C6C89"/>
    <w:rsid w:val="006C6CA5"/>
    <w:rsid w:val="006C6CB7"/>
    <w:rsid w:val="006C6CBD"/>
    <w:rsid w:val="006C6CF9"/>
    <w:rsid w:val="006C6D0D"/>
    <w:rsid w:val="006C6D74"/>
    <w:rsid w:val="006C6D85"/>
    <w:rsid w:val="006C6D86"/>
    <w:rsid w:val="006C6D90"/>
    <w:rsid w:val="006C6DF4"/>
    <w:rsid w:val="006C6E12"/>
    <w:rsid w:val="006C6E26"/>
    <w:rsid w:val="006C6E33"/>
    <w:rsid w:val="006C6E36"/>
    <w:rsid w:val="006C6EEA"/>
    <w:rsid w:val="006C6FE0"/>
    <w:rsid w:val="006C7071"/>
    <w:rsid w:val="006C70AA"/>
    <w:rsid w:val="006C70EA"/>
    <w:rsid w:val="006C70EC"/>
    <w:rsid w:val="006C7110"/>
    <w:rsid w:val="006C7116"/>
    <w:rsid w:val="006C7120"/>
    <w:rsid w:val="006C7132"/>
    <w:rsid w:val="006C7173"/>
    <w:rsid w:val="006C7174"/>
    <w:rsid w:val="006C7175"/>
    <w:rsid w:val="006C717A"/>
    <w:rsid w:val="006C71AF"/>
    <w:rsid w:val="006C71C1"/>
    <w:rsid w:val="006C71E7"/>
    <w:rsid w:val="006C71EE"/>
    <w:rsid w:val="006C71F4"/>
    <w:rsid w:val="006C71FB"/>
    <w:rsid w:val="006C7291"/>
    <w:rsid w:val="006C72A7"/>
    <w:rsid w:val="006C72F3"/>
    <w:rsid w:val="006C7320"/>
    <w:rsid w:val="006C732E"/>
    <w:rsid w:val="006C7336"/>
    <w:rsid w:val="006C7368"/>
    <w:rsid w:val="006C7380"/>
    <w:rsid w:val="006C7413"/>
    <w:rsid w:val="006C7417"/>
    <w:rsid w:val="006C741F"/>
    <w:rsid w:val="006C749A"/>
    <w:rsid w:val="006C74AA"/>
    <w:rsid w:val="006C7504"/>
    <w:rsid w:val="006C7546"/>
    <w:rsid w:val="006C75A1"/>
    <w:rsid w:val="006C75BC"/>
    <w:rsid w:val="006C75CA"/>
    <w:rsid w:val="006C75D0"/>
    <w:rsid w:val="006C75FB"/>
    <w:rsid w:val="006C761A"/>
    <w:rsid w:val="006C7624"/>
    <w:rsid w:val="006C7650"/>
    <w:rsid w:val="006C7752"/>
    <w:rsid w:val="006C777F"/>
    <w:rsid w:val="006C7784"/>
    <w:rsid w:val="006C77A2"/>
    <w:rsid w:val="006C77CA"/>
    <w:rsid w:val="006C77F9"/>
    <w:rsid w:val="006C7829"/>
    <w:rsid w:val="006C7835"/>
    <w:rsid w:val="006C785E"/>
    <w:rsid w:val="006C7902"/>
    <w:rsid w:val="006C79C4"/>
    <w:rsid w:val="006C79C9"/>
    <w:rsid w:val="006C79D1"/>
    <w:rsid w:val="006C79DC"/>
    <w:rsid w:val="006C7A36"/>
    <w:rsid w:val="006C7AB3"/>
    <w:rsid w:val="006C7AC2"/>
    <w:rsid w:val="006C7AEF"/>
    <w:rsid w:val="006C7AF1"/>
    <w:rsid w:val="006C7B3E"/>
    <w:rsid w:val="006C7B3F"/>
    <w:rsid w:val="006C7B48"/>
    <w:rsid w:val="006C7B5C"/>
    <w:rsid w:val="006C7B6B"/>
    <w:rsid w:val="006C7B7D"/>
    <w:rsid w:val="006C7B84"/>
    <w:rsid w:val="006C7B92"/>
    <w:rsid w:val="006C7BF9"/>
    <w:rsid w:val="006C7C28"/>
    <w:rsid w:val="006C7C47"/>
    <w:rsid w:val="006C7C79"/>
    <w:rsid w:val="006C7C86"/>
    <w:rsid w:val="006C7C90"/>
    <w:rsid w:val="006C7CAF"/>
    <w:rsid w:val="006C7CC3"/>
    <w:rsid w:val="006C7D00"/>
    <w:rsid w:val="006C7D02"/>
    <w:rsid w:val="006C7D11"/>
    <w:rsid w:val="006C7DAA"/>
    <w:rsid w:val="006C7DB7"/>
    <w:rsid w:val="006C7DDA"/>
    <w:rsid w:val="006C7DE6"/>
    <w:rsid w:val="006C7E0F"/>
    <w:rsid w:val="006C7E12"/>
    <w:rsid w:val="006C7E92"/>
    <w:rsid w:val="006C7E9C"/>
    <w:rsid w:val="006C7EB4"/>
    <w:rsid w:val="006C7F06"/>
    <w:rsid w:val="006C7F87"/>
    <w:rsid w:val="006C7FBD"/>
    <w:rsid w:val="006D0000"/>
    <w:rsid w:val="006D00B1"/>
    <w:rsid w:val="006D00BC"/>
    <w:rsid w:val="006D00D1"/>
    <w:rsid w:val="006D00D4"/>
    <w:rsid w:val="006D00D7"/>
    <w:rsid w:val="006D00E3"/>
    <w:rsid w:val="006D010F"/>
    <w:rsid w:val="006D0114"/>
    <w:rsid w:val="006D0115"/>
    <w:rsid w:val="006D011D"/>
    <w:rsid w:val="006D016B"/>
    <w:rsid w:val="006D01A2"/>
    <w:rsid w:val="006D01AE"/>
    <w:rsid w:val="006D01B6"/>
    <w:rsid w:val="006D01D2"/>
    <w:rsid w:val="006D01F5"/>
    <w:rsid w:val="006D0207"/>
    <w:rsid w:val="006D0233"/>
    <w:rsid w:val="006D023A"/>
    <w:rsid w:val="006D0274"/>
    <w:rsid w:val="006D02EA"/>
    <w:rsid w:val="006D0392"/>
    <w:rsid w:val="006D03B2"/>
    <w:rsid w:val="006D0447"/>
    <w:rsid w:val="006D0460"/>
    <w:rsid w:val="006D0470"/>
    <w:rsid w:val="006D0494"/>
    <w:rsid w:val="006D055E"/>
    <w:rsid w:val="006D0583"/>
    <w:rsid w:val="006D058C"/>
    <w:rsid w:val="006D05C0"/>
    <w:rsid w:val="006D05FC"/>
    <w:rsid w:val="006D060F"/>
    <w:rsid w:val="006D0636"/>
    <w:rsid w:val="006D066D"/>
    <w:rsid w:val="006D067B"/>
    <w:rsid w:val="006D067F"/>
    <w:rsid w:val="006D0723"/>
    <w:rsid w:val="006D0726"/>
    <w:rsid w:val="006D0741"/>
    <w:rsid w:val="006D0751"/>
    <w:rsid w:val="006D0756"/>
    <w:rsid w:val="006D078B"/>
    <w:rsid w:val="006D07B5"/>
    <w:rsid w:val="006D07E2"/>
    <w:rsid w:val="006D084E"/>
    <w:rsid w:val="006D0855"/>
    <w:rsid w:val="006D0865"/>
    <w:rsid w:val="006D0967"/>
    <w:rsid w:val="006D09FB"/>
    <w:rsid w:val="006D0A3C"/>
    <w:rsid w:val="006D0AAD"/>
    <w:rsid w:val="006D0ACB"/>
    <w:rsid w:val="006D0B8E"/>
    <w:rsid w:val="006D0C61"/>
    <w:rsid w:val="006D0C6B"/>
    <w:rsid w:val="006D0CA9"/>
    <w:rsid w:val="006D0CCA"/>
    <w:rsid w:val="006D0D71"/>
    <w:rsid w:val="006D0D8B"/>
    <w:rsid w:val="006D0E0C"/>
    <w:rsid w:val="006D0E16"/>
    <w:rsid w:val="006D0E6F"/>
    <w:rsid w:val="006D0ED0"/>
    <w:rsid w:val="006D0EF1"/>
    <w:rsid w:val="006D1048"/>
    <w:rsid w:val="006D1094"/>
    <w:rsid w:val="006D10BC"/>
    <w:rsid w:val="006D10D0"/>
    <w:rsid w:val="006D10D2"/>
    <w:rsid w:val="006D1101"/>
    <w:rsid w:val="006D112A"/>
    <w:rsid w:val="006D1192"/>
    <w:rsid w:val="006D1193"/>
    <w:rsid w:val="006D11AF"/>
    <w:rsid w:val="006D11CB"/>
    <w:rsid w:val="006D11D3"/>
    <w:rsid w:val="006D1205"/>
    <w:rsid w:val="006D1232"/>
    <w:rsid w:val="006D1266"/>
    <w:rsid w:val="006D1301"/>
    <w:rsid w:val="006D131B"/>
    <w:rsid w:val="006D132D"/>
    <w:rsid w:val="006D1409"/>
    <w:rsid w:val="006D1411"/>
    <w:rsid w:val="006D147D"/>
    <w:rsid w:val="006D14B1"/>
    <w:rsid w:val="006D14B3"/>
    <w:rsid w:val="006D14C6"/>
    <w:rsid w:val="006D14ED"/>
    <w:rsid w:val="006D1526"/>
    <w:rsid w:val="006D15A6"/>
    <w:rsid w:val="006D15C9"/>
    <w:rsid w:val="006D1600"/>
    <w:rsid w:val="006D1645"/>
    <w:rsid w:val="006D165E"/>
    <w:rsid w:val="006D16A2"/>
    <w:rsid w:val="006D16E2"/>
    <w:rsid w:val="006D16F4"/>
    <w:rsid w:val="006D1730"/>
    <w:rsid w:val="006D174F"/>
    <w:rsid w:val="006D176F"/>
    <w:rsid w:val="006D1771"/>
    <w:rsid w:val="006D17F2"/>
    <w:rsid w:val="006D17F4"/>
    <w:rsid w:val="006D1886"/>
    <w:rsid w:val="006D1889"/>
    <w:rsid w:val="006D18AE"/>
    <w:rsid w:val="006D18D0"/>
    <w:rsid w:val="006D1941"/>
    <w:rsid w:val="006D194D"/>
    <w:rsid w:val="006D19E1"/>
    <w:rsid w:val="006D1AD3"/>
    <w:rsid w:val="006D1AF6"/>
    <w:rsid w:val="006D1B1C"/>
    <w:rsid w:val="006D1B2F"/>
    <w:rsid w:val="006D1B47"/>
    <w:rsid w:val="006D1B71"/>
    <w:rsid w:val="006D1BB8"/>
    <w:rsid w:val="006D1BBE"/>
    <w:rsid w:val="006D1C14"/>
    <w:rsid w:val="006D1C2B"/>
    <w:rsid w:val="006D1CD2"/>
    <w:rsid w:val="006D1D22"/>
    <w:rsid w:val="006D1D6A"/>
    <w:rsid w:val="006D1DC5"/>
    <w:rsid w:val="006D1DDC"/>
    <w:rsid w:val="006D1E08"/>
    <w:rsid w:val="006D1E69"/>
    <w:rsid w:val="006D1E6F"/>
    <w:rsid w:val="006D1E77"/>
    <w:rsid w:val="006D1EEB"/>
    <w:rsid w:val="006D1EFA"/>
    <w:rsid w:val="006D1F03"/>
    <w:rsid w:val="006D1F27"/>
    <w:rsid w:val="006D1F2A"/>
    <w:rsid w:val="006D1F4D"/>
    <w:rsid w:val="006D2068"/>
    <w:rsid w:val="006D20CB"/>
    <w:rsid w:val="006D2127"/>
    <w:rsid w:val="006D2153"/>
    <w:rsid w:val="006D21BA"/>
    <w:rsid w:val="006D2222"/>
    <w:rsid w:val="006D2230"/>
    <w:rsid w:val="006D223D"/>
    <w:rsid w:val="006D2254"/>
    <w:rsid w:val="006D228C"/>
    <w:rsid w:val="006D22CF"/>
    <w:rsid w:val="006D232A"/>
    <w:rsid w:val="006D2349"/>
    <w:rsid w:val="006D237E"/>
    <w:rsid w:val="006D23A9"/>
    <w:rsid w:val="006D23B3"/>
    <w:rsid w:val="006D23FF"/>
    <w:rsid w:val="006D2404"/>
    <w:rsid w:val="006D241D"/>
    <w:rsid w:val="006D24ED"/>
    <w:rsid w:val="006D24F9"/>
    <w:rsid w:val="006D2538"/>
    <w:rsid w:val="006D2582"/>
    <w:rsid w:val="006D25B4"/>
    <w:rsid w:val="006D25BF"/>
    <w:rsid w:val="006D25DF"/>
    <w:rsid w:val="006D25EC"/>
    <w:rsid w:val="006D25F2"/>
    <w:rsid w:val="006D25F6"/>
    <w:rsid w:val="006D261B"/>
    <w:rsid w:val="006D261D"/>
    <w:rsid w:val="006D262B"/>
    <w:rsid w:val="006D264C"/>
    <w:rsid w:val="006D269E"/>
    <w:rsid w:val="006D26AB"/>
    <w:rsid w:val="006D26EB"/>
    <w:rsid w:val="006D26FB"/>
    <w:rsid w:val="006D270D"/>
    <w:rsid w:val="006D276F"/>
    <w:rsid w:val="006D2791"/>
    <w:rsid w:val="006D2794"/>
    <w:rsid w:val="006D27C9"/>
    <w:rsid w:val="006D27E2"/>
    <w:rsid w:val="006D27E6"/>
    <w:rsid w:val="006D280E"/>
    <w:rsid w:val="006D2837"/>
    <w:rsid w:val="006D283A"/>
    <w:rsid w:val="006D2846"/>
    <w:rsid w:val="006D2850"/>
    <w:rsid w:val="006D2871"/>
    <w:rsid w:val="006D28A0"/>
    <w:rsid w:val="006D28EB"/>
    <w:rsid w:val="006D28FA"/>
    <w:rsid w:val="006D29C7"/>
    <w:rsid w:val="006D2A3B"/>
    <w:rsid w:val="006D2ADA"/>
    <w:rsid w:val="006D2B34"/>
    <w:rsid w:val="006D2B50"/>
    <w:rsid w:val="006D2B65"/>
    <w:rsid w:val="006D2BD9"/>
    <w:rsid w:val="006D2C21"/>
    <w:rsid w:val="006D2C82"/>
    <w:rsid w:val="006D2C99"/>
    <w:rsid w:val="006D2CF2"/>
    <w:rsid w:val="006D2CF3"/>
    <w:rsid w:val="006D2CFA"/>
    <w:rsid w:val="006D2D2E"/>
    <w:rsid w:val="006D2D4A"/>
    <w:rsid w:val="006D2E08"/>
    <w:rsid w:val="006D2E18"/>
    <w:rsid w:val="006D2EBC"/>
    <w:rsid w:val="006D2ED2"/>
    <w:rsid w:val="006D2EF6"/>
    <w:rsid w:val="006D2F18"/>
    <w:rsid w:val="006D2F90"/>
    <w:rsid w:val="006D2F9B"/>
    <w:rsid w:val="006D2FB7"/>
    <w:rsid w:val="006D2FC9"/>
    <w:rsid w:val="006D301E"/>
    <w:rsid w:val="006D306B"/>
    <w:rsid w:val="006D30E4"/>
    <w:rsid w:val="006D3154"/>
    <w:rsid w:val="006D31A6"/>
    <w:rsid w:val="006D3227"/>
    <w:rsid w:val="006D3232"/>
    <w:rsid w:val="006D3267"/>
    <w:rsid w:val="006D3326"/>
    <w:rsid w:val="006D3328"/>
    <w:rsid w:val="006D334B"/>
    <w:rsid w:val="006D34C6"/>
    <w:rsid w:val="006D34DD"/>
    <w:rsid w:val="006D34E8"/>
    <w:rsid w:val="006D352B"/>
    <w:rsid w:val="006D3548"/>
    <w:rsid w:val="006D35B1"/>
    <w:rsid w:val="006D35D7"/>
    <w:rsid w:val="006D3678"/>
    <w:rsid w:val="006D36E8"/>
    <w:rsid w:val="006D371E"/>
    <w:rsid w:val="006D3762"/>
    <w:rsid w:val="006D3766"/>
    <w:rsid w:val="006D37E3"/>
    <w:rsid w:val="006D381A"/>
    <w:rsid w:val="006D382C"/>
    <w:rsid w:val="006D3830"/>
    <w:rsid w:val="006D3839"/>
    <w:rsid w:val="006D38B2"/>
    <w:rsid w:val="006D392F"/>
    <w:rsid w:val="006D3965"/>
    <w:rsid w:val="006D39B1"/>
    <w:rsid w:val="006D3A5F"/>
    <w:rsid w:val="006D3AAA"/>
    <w:rsid w:val="006D3AC0"/>
    <w:rsid w:val="006D3AEE"/>
    <w:rsid w:val="006D3B84"/>
    <w:rsid w:val="006D3B8E"/>
    <w:rsid w:val="006D3BB5"/>
    <w:rsid w:val="006D3BB6"/>
    <w:rsid w:val="006D3BCD"/>
    <w:rsid w:val="006D3BE5"/>
    <w:rsid w:val="006D3C1E"/>
    <w:rsid w:val="006D3C5D"/>
    <w:rsid w:val="006D3C79"/>
    <w:rsid w:val="006D3C89"/>
    <w:rsid w:val="006D3D83"/>
    <w:rsid w:val="006D3DAD"/>
    <w:rsid w:val="006D3E09"/>
    <w:rsid w:val="006D3E8E"/>
    <w:rsid w:val="006D3EBA"/>
    <w:rsid w:val="006D3F18"/>
    <w:rsid w:val="006D3F34"/>
    <w:rsid w:val="006D3F5F"/>
    <w:rsid w:val="006D3FA0"/>
    <w:rsid w:val="006D3FBD"/>
    <w:rsid w:val="006D3FD2"/>
    <w:rsid w:val="006D4039"/>
    <w:rsid w:val="006D40B3"/>
    <w:rsid w:val="006D40D2"/>
    <w:rsid w:val="006D40F7"/>
    <w:rsid w:val="006D412A"/>
    <w:rsid w:val="006D4132"/>
    <w:rsid w:val="006D4186"/>
    <w:rsid w:val="006D4217"/>
    <w:rsid w:val="006D425B"/>
    <w:rsid w:val="006D4287"/>
    <w:rsid w:val="006D42F3"/>
    <w:rsid w:val="006D431D"/>
    <w:rsid w:val="006D4323"/>
    <w:rsid w:val="006D4348"/>
    <w:rsid w:val="006D4355"/>
    <w:rsid w:val="006D435E"/>
    <w:rsid w:val="006D439D"/>
    <w:rsid w:val="006D4400"/>
    <w:rsid w:val="006D4456"/>
    <w:rsid w:val="006D44B1"/>
    <w:rsid w:val="006D44BE"/>
    <w:rsid w:val="006D44DB"/>
    <w:rsid w:val="006D44E1"/>
    <w:rsid w:val="006D457E"/>
    <w:rsid w:val="006D45D2"/>
    <w:rsid w:val="006D460A"/>
    <w:rsid w:val="006D460C"/>
    <w:rsid w:val="006D4657"/>
    <w:rsid w:val="006D4664"/>
    <w:rsid w:val="006D46B2"/>
    <w:rsid w:val="006D46B6"/>
    <w:rsid w:val="006D46BF"/>
    <w:rsid w:val="006D46FB"/>
    <w:rsid w:val="006D47C6"/>
    <w:rsid w:val="006D47FC"/>
    <w:rsid w:val="006D4842"/>
    <w:rsid w:val="006D4874"/>
    <w:rsid w:val="006D489D"/>
    <w:rsid w:val="006D48F7"/>
    <w:rsid w:val="006D4903"/>
    <w:rsid w:val="006D4928"/>
    <w:rsid w:val="006D49AC"/>
    <w:rsid w:val="006D49CF"/>
    <w:rsid w:val="006D4A28"/>
    <w:rsid w:val="006D4A48"/>
    <w:rsid w:val="006D4A9A"/>
    <w:rsid w:val="006D4B72"/>
    <w:rsid w:val="006D4BB0"/>
    <w:rsid w:val="006D4BC4"/>
    <w:rsid w:val="006D4BE3"/>
    <w:rsid w:val="006D4C30"/>
    <w:rsid w:val="006D4C44"/>
    <w:rsid w:val="006D4CD0"/>
    <w:rsid w:val="006D4D2B"/>
    <w:rsid w:val="006D4D2D"/>
    <w:rsid w:val="006D4D34"/>
    <w:rsid w:val="006D4D38"/>
    <w:rsid w:val="006D4D9A"/>
    <w:rsid w:val="006D4DA5"/>
    <w:rsid w:val="006D4DA7"/>
    <w:rsid w:val="006D4DCF"/>
    <w:rsid w:val="006D4E6A"/>
    <w:rsid w:val="006D4E9F"/>
    <w:rsid w:val="006D4EC3"/>
    <w:rsid w:val="006D4ED5"/>
    <w:rsid w:val="006D4F0E"/>
    <w:rsid w:val="006D4F3A"/>
    <w:rsid w:val="006D4F89"/>
    <w:rsid w:val="006D4FA2"/>
    <w:rsid w:val="006D4FE5"/>
    <w:rsid w:val="006D5003"/>
    <w:rsid w:val="006D5052"/>
    <w:rsid w:val="006D5068"/>
    <w:rsid w:val="006D5073"/>
    <w:rsid w:val="006D508A"/>
    <w:rsid w:val="006D509D"/>
    <w:rsid w:val="006D511B"/>
    <w:rsid w:val="006D51D7"/>
    <w:rsid w:val="006D52BC"/>
    <w:rsid w:val="006D52EE"/>
    <w:rsid w:val="006D5321"/>
    <w:rsid w:val="006D5351"/>
    <w:rsid w:val="006D5362"/>
    <w:rsid w:val="006D5385"/>
    <w:rsid w:val="006D53BA"/>
    <w:rsid w:val="006D5467"/>
    <w:rsid w:val="006D54D8"/>
    <w:rsid w:val="006D553E"/>
    <w:rsid w:val="006D5577"/>
    <w:rsid w:val="006D559B"/>
    <w:rsid w:val="006D55D6"/>
    <w:rsid w:val="006D55E5"/>
    <w:rsid w:val="006D56A9"/>
    <w:rsid w:val="006D56D7"/>
    <w:rsid w:val="006D5702"/>
    <w:rsid w:val="006D571E"/>
    <w:rsid w:val="006D57FC"/>
    <w:rsid w:val="006D5807"/>
    <w:rsid w:val="006D5865"/>
    <w:rsid w:val="006D5867"/>
    <w:rsid w:val="006D588F"/>
    <w:rsid w:val="006D58A2"/>
    <w:rsid w:val="006D58A8"/>
    <w:rsid w:val="006D58C4"/>
    <w:rsid w:val="006D58D4"/>
    <w:rsid w:val="006D58E7"/>
    <w:rsid w:val="006D592B"/>
    <w:rsid w:val="006D5934"/>
    <w:rsid w:val="006D5A67"/>
    <w:rsid w:val="006D5B7B"/>
    <w:rsid w:val="006D5BBE"/>
    <w:rsid w:val="006D5C2A"/>
    <w:rsid w:val="006D5C44"/>
    <w:rsid w:val="006D5D1A"/>
    <w:rsid w:val="006D5D51"/>
    <w:rsid w:val="006D5E28"/>
    <w:rsid w:val="006D5E64"/>
    <w:rsid w:val="006D5EAB"/>
    <w:rsid w:val="006D5F77"/>
    <w:rsid w:val="006D5F79"/>
    <w:rsid w:val="006D5F8A"/>
    <w:rsid w:val="006D5FF9"/>
    <w:rsid w:val="006D6058"/>
    <w:rsid w:val="006D608B"/>
    <w:rsid w:val="006D609E"/>
    <w:rsid w:val="006D60AC"/>
    <w:rsid w:val="006D611E"/>
    <w:rsid w:val="006D614B"/>
    <w:rsid w:val="006D614E"/>
    <w:rsid w:val="006D61B5"/>
    <w:rsid w:val="006D61E1"/>
    <w:rsid w:val="006D6214"/>
    <w:rsid w:val="006D623E"/>
    <w:rsid w:val="006D625A"/>
    <w:rsid w:val="006D6298"/>
    <w:rsid w:val="006D62FD"/>
    <w:rsid w:val="006D6300"/>
    <w:rsid w:val="006D6304"/>
    <w:rsid w:val="006D632C"/>
    <w:rsid w:val="006D637F"/>
    <w:rsid w:val="006D63A3"/>
    <w:rsid w:val="006D63C2"/>
    <w:rsid w:val="006D63D7"/>
    <w:rsid w:val="006D6431"/>
    <w:rsid w:val="006D645B"/>
    <w:rsid w:val="006D64B3"/>
    <w:rsid w:val="006D64E1"/>
    <w:rsid w:val="006D6504"/>
    <w:rsid w:val="006D651C"/>
    <w:rsid w:val="006D651D"/>
    <w:rsid w:val="006D6567"/>
    <w:rsid w:val="006D6568"/>
    <w:rsid w:val="006D6572"/>
    <w:rsid w:val="006D65AB"/>
    <w:rsid w:val="006D65FA"/>
    <w:rsid w:val="006D663D"/>
    <w:rsid w:val="006D6654"/>
    <w:rsid w:val="006D6661"/>
    <w:rsid w:val="006D6675"/>
    <w:rsid w:val="006D6704"/>
    <w:rsid w:val="006D675D"/>
    <w:rsid w:val="006D67CB"/>
    <w:rsid w:val="006D67E0"/>
    <w:rsid w:val="006D6823"/>
    <w:rsid w:val="006D6824"/>
    <w:rsid w:val="006D682A"/>
    <w:rsid w:val="006D687A"/>
    <w:rsid w:val="006D68BB"/>
    <w:rsid w:val="006D68C1"/>
    <w:rsid w:val="006D68D6"/>
    <w:rsid w:val="006D68EB"/>
    <w:rsid w:val="006D68FE"/>
    <w:rsid w:val="006D6907"/>
    <w:rsid w:val="006D6969"/>
    <w:rsid w:val="006D6992"/>
    <w:rsid w:val="006D69CD"/>
    <w:rsid w:val="006D6A0D"/>
    <w:rsid w:val="006D6A32"/>
    <w:rsid w:val="006D6A4B"/>
    <w:rsid w:val="006D6A66"/>
    <w:rsid w:val="006D6A68"/>
    <w:rsid w:val="006D6A69"/>
    <w:rsid w:val="006D6A75"/>
    <w:rsid w:val="006D6A79"/>
    <w:rsid w:val="006D6AA7"/>
    <w:rsid w:val="006D6AAF"/>
    <w:rsid w:val="006D6AB9"/>
    <w:rsid w:val="006D6B15"/>
    <w:rsid w:val="006D6B4A"/>
    <w:rsid w:val="006D6BBF"/>
    <w:rsid w:val="006D6BD2"/>
    <w:rsid w:val="006D6BF7"/>
    <w:rsid w:val="006D6C14"/>
    <w:rsid w:val="006D6C23"/>
    <w:rsid w:val="006D6CD8"/>
    <w:rsid w:val="006D6D96"/>
    <w:rsid w:val="006D6D9B"/>
    <w:rsid w:val="006D6DCA"/>
    <w:rsid w:val="006D6DDA"/>
    <w:rsid w:val="006D6E24"/>
    <w:rsid w:val="006D6E3D"/>
    <w:rsid w:val="006D6E44"/>
    <w:rsid w:val="006D6E4B"/>
    <w:rsid w:val="006D6E6E"/>
    <w:rsid w:val="006D6E75"/>
    <w:rsid w:val="006D6E9A"/>
    <w:rsid w:val="006D6EC7"/>
    <w:rsid w:val="006D6ECA"/>
    <w:rsid w:val="006D6ECE"/>
    <w:rsid w:val="006D6EF2"/>
    <w:rsid w:val="006D6F2F"/>
    <w:rsid w:val="006D6F51"/>
    <w:rsid w:val="006D6F55"/>
    <w:rsid w:val="006D6FEC"/>
    <w:rsid w:val="006D6FFB"/>
    <w:rsid w:val="006D7057"/>
    <w:rsid w:val="006D7090"/>
    <w:rsid w:val="006D7099"/>
    <w:rsid w:val="006D7108"/>
    <w:rsid w:val="006D7146"/>
    <w:rsid w:val="006D71D2"/>
    <w:rsid w:val="006D71F8"/>
    <w:rsid w:val="006D7226"/>
    <w:rsid w:val="006D7248"/>
    <w:rsid w:val="006D7275"/>
    <w:rsid w:val="006D72C9"/>
    <w:rsid w:val="006D72EB"/>
    <w:rsid w:val="006D7301"/>
    <w:rsid w:val="006D7314"/>
    <w:rsid w:val="006D739A"/>
    <w:rsid w:val="006D73EC"/>
    <w:rsid w:val="006D7423"/>
    <w:rsid w:val="006D745E"/>
    <w:rsid w:val="006D747B"/>
    <w:rsid w:val="006D74A8"/>
    <w:rsid w:val="006D74DD"/>
    <w:rsid w:val="006D7503"/>
    <w:rsid w:val="006D7552"/>
    <w:rsid w:val="006D7558"/>
    <w:rsid w:val="006D755D"/>
    <w:rsid w:val="006D759B"/>
    <w:rsid w:val="006D75E3"/>
    <w:rsid w:val="006D75FD"/>
    <w:rsid w:val="006D7600"/>
    <w:rsid w:val="006D7661"/>
    <w:rsid w:val="006D766C"/>
    <w:rsid w:val="006D771D"/>
    <w:rsid w:val="006D7732"/>
    <w:rsid w:val="006D7781"/>
    <w:rsid w:val="006D77AD"/>
    <w:rsid w:val="006D7810"/>
    <w:rsid w:val="006D7837"/>
    <w:rsid w:val="006D7861"/>
    <w:rsid w:val="006D7869"/>
    <w:rsid w:val="006D787D"/>
    <w:rsid w:val="006D7881"/>
    <w:rsid w:val="006D78EF"/>
    <w:rsid w:val="006D7916"/>
    <w:rsid w:val="006D7932"/>
    <w:rsid w:val="006D796E"/>
    <w:rsid w:val="006D799A"/>
    <w:rsid w:val="006D79B3"/>
    <w:rsid w:val="006D7A61"/>
    <w:rsid w:val="006D7A65"/>
    <w:rsid w:val="006D7ABC"/>
    <w:rsid w:val="006D7AE9"/>
    <w:rsid w:val="006D7B00"/>
    <w:rsid w:val="006D7B39"/>
    <w:rsid w:val="006D7BDA"/>
    <w:rsid w:val="006D7BDD"/>
    <w:rsid w:val="006D7BF0"/>
    <w:rsid w:val="006D7C3A"/>
    <w:rsid w:val="006D7C45"/>
    <w:rsid w:val="006D7C89"/>
    <w:rsid w:val="006D7CE0"/>
    <w:rsid w:val="006D7D2F"/>
    <w:rsid w:val="006D7D5D"/>
    <w:rsid w:val="006D7D6A"/>
    <w:rsid w:val="006D7DCA"/>
    <w:rsid w:val="006D7E2D"/>
    <w:rsid w:val="006D7E35"/>
    <w:rsid w:val="006D7E3B"/>
    <w:rsid w:val="006D7E58"/>
    <w:rsid w:val="006D7EFE"/>
    <w:rsid w:val="006D7F96"/>
    <w:rsid w:val="006D7FB0"/>
    <w:rsid w:val="006D7FBB"/>
    <w:rsid w:val="006D7FDC"/>
    <w:rsid w:val="006E0025"/>
    <w:rsid w:val="006E0039"/>
    <w:rsid w:val="006E0078"/>
    <w:rsid w:val="006E00CD"/>
    <w:rsid w:val="006E0129"/>
    <w:rsid w:val="006E0136"/>
    <w:rsid w:val="006E015F"/>
    <w:rsid w:val="006E017A"/>
    <w:rsid w:val="006E017C"/>
    <w:rsid w:val="006E01BB"/>
    <w:rsid w:val="006E01CF"/>
    <w:rsid w:val="006E01D2"/>
    <w:rsid w:val="006E023A"/>
    <w:rsid w:val="006E0242"/>
    <w:rsid w:val="006E02B1"/>
    <w:rsid w:val="006E035D"/>
    <w:rsid w:val="006E039C"/>
    <w:rsid w:val="006E03CC"/>
    <w:rsid w:val="006E03E0"/>
    <w:rsid w:val="006E03ED"/>
    <w:rsid w:val="006E0409"/>
    <w:rsid w:val="006E0417"/>
    <w:rsid w:val="006E041C"/>
    <w:rsid w:val="006E041F"/>
    <w:rsid w:val="006E0432"/>
    <w:rsid w:val="006E0456"/>
    <w:rsid w:val="006E046A"/>
    <w:rsid w:val="006E04CB"/>
    <w:rsid w:val="006E04EA"/>
    <w:rsid w:val="006E04EC"/>
    <w:rsid w:val="006E0555"/>
    <w:rsid w:val="006E056B"/>
    <w:rsid w:val="006E0580"/>
    <w:rsid w:val="006E05F7"/>
    <w:rsid w:val="006E0603"/>
    <w:rsid w:val="006E0608"/>
    <w:rsid w:val="006E0644"/>
    <w:rsid w:val="006E071B"/>
    <w:rsid w:val="006E073B"/>
    <w:rsid w:val="006E073F"/>
    <w:rsid w:val="006E0768"/>
    <w:rsid w:val="006E07EA"/>
    <w:rsid w:val="006E07FA"/>
    <w:rsid w:val="006E080A"/>
    <w:rsid w:val="006E081A"/>
    <w:rsid w:val="006E084A"/>
    <w:rsid w:val="006E0875"/>
    <w:rsid w:val="006E087A"/>
    <w:rsid w:val="006E08AF"/>
    <w:rsid w:val="006E0917"/>
    <w:rsid w:val="006E095F"/>
    <w:rsid w:val="006E09AE"/>
    <w:rsid w:val="006E09BC"/>
    <w:rsid w:val="006E09EB"/>
    <w:rsid w:val="006E0A38"/>
    <w:rsid w:val="006E0A68"/>
    <w:rsid w:val="006E0AA7"/>
    <w:rsid w:val="006E0AAB"/>
    <w:rsid w:val="006E0AE2"/>
    <w:rsid w:val="006E0B4D"/>
    <w:rsid w:val="006E0BA7"/>
    <w:rsid w:val="006E0BDC"/>
    <w:rsid w:val="006E0C55"/>
    <w:rsid w:val="006E0C74"/>
    <w:rsid w:val="006E0CCA"/>
    <w:rsid w:val="006E0D32"/>
    <w:rsid w:val="006E0D35"/>
    <w:rsid w:val="006E0DF5"/>
    <w:rsid w:val="006E0E05"/>
    <w:rsid w:val="006E0E1F"/>
    <w:rsid w:val="006E0EC1"/>
    <w:rsid w:val="006E0EDF"/>
    <w:rsid w:val="006E0F4D"/>
    <w:rsid w:val="006E0F5F"/>
    <w:rsid w:val="006E0FAA"/>
    <w:rsid w:val="006E0FC4"/>
    <w:rsid w:val="006E0FD9"/>
    <w:rsid w:val="006E0FE3"/>
    <w:rsid w:val="006E103B"/>
    <w:rsid w:val="006E1057"/>
    <w:rsid w:val="006E1089"/>
    <w:rsid w:val="006E1098"/>
    <w:rsid w:val="006E10A2"/>
    <w:rsid w:val="006E10DD"/>
    <w:rsid w:val="006E10E7"/>
    <w:rsid w:val="006E1100"/>
    <w:rsid w:val="006E1185"/>
    <w:rsid w:val="006E11C6"/>
    <w:rsid w:val="006E11DB"/>
    <w:rsid w:val="006E11ED"/>
    <w:rsid w:val="006E1213"/>
    <w:rsid w:val="006E122D"/>
    <w:rsid w:val="006E125E"/>
    <w:rsid w:val="006E1262"/>
    <w:rsid w:val="006E127F"/>
    <w:rsid w:val="006E128F"/>
    <w:rsid w:val="006E1294"/>
    <w:rsid w:val="006E12BE"/>
    <w:rsid w:val="006E134F"/>
    <w:rsid w:val="006E1385"/>
    <w:rsid w:val="006E138B"/>
    <w:rsid w:val="006E13A8"/>
    <w:rsid w:val="006E13AC"/>
    <w:rsid w:val="006E13AF"/>
    <w:rsid w:val="006E13ED"/>
    <w:rsid w:val="006E145C"/>
    <w:rsid w:val="006E14C4"/>
    <w:rsid w:val="006E14C8"/>
    <w:rsid w:val="006E14CC"/>
    <w:rsid w:val="006E1508"/>
    <w:rsid w:val="006E151D"/>
    <w:rsid w:val="006E1526"/>
    <w:rsid w:val="006E156C"/>
    <w:rsid w:val="006E1587"/>
    <w:rsid w:val="006E1602"/>
    <w:rsid w:val="006E163A"/>
    <w:rsid w:val="006E1648"/>
    <w:rsid w:val="006E1651"/>
    <w:rsid w:val="006E166C"/>
    <w:rsid w:val="006E1694"/>
    <w:rsid w:val="006E16C9"/>
    <w:rsid w:val="006E16D1"/>
    <w:rsid w:val="006E1722"/>
    <w:rsid w:val="006E177B"/>
    <w:rsid w:val="006E1782"/>
    <w:rsid w:val="006E178F"/>
    <w:rsid w:val="006E17C0"/>
    <w:rsid w:val="006E17ED"/>
    <w:rsid w:val="006E1800"/>
    <w:rsid w:val="006E1831"/>
    <w:rsid w:val="006E1838"/>
    <w:rsid w:val="006E1843"/>
    <w:rsid w:val="006E1850"/>
    <w:rsid w:val="006E18D2"/>
    <w:rsid w:val="006E194A"/>
    <w:rsid w:val="006E199F"/>
    <w:rsid w:val="006E19D4"/>
    <w:rsid w:val="006E1A51"/>
    <w:rsid w:val="006E1A81"/>
    <w:rsid w:val="006E1AAE"/>
    <w:rsid w:val="006E1AB8"/>
    <w:rsid w:val="006E1B14"/>
    <w:rsid w:val="006E1B1F"/>
    <w:rsid w:val="006E1B5D"/>
    <w:rsid w:val="006E1BD5"/>
    <w:rsid w:val="006E1C16"/>
    <w:rsid w:val="006E1C49"/>
    <w:rsid w:val="006E1CB8"/>
    <w:rsid w:val="006E1D11"/>
    <w:rsid w:val="006E1D14"/>
    <w:rsid w:val="006E1D56"/>
    <w:rsid w:val="006E1D88"/>
    <w:rsid w:val="006E1DD6"/>
    <w:rsid w:val="006E1E13"/>
    <w:rsid w:val="006E1E16"/>
    <w:rsid w:val="006E1E31"/>
    <w:rsid w:val="006E1F33"/>
    <w:rsid w:val="006E1F47"/>
    <w:rsid w:val="006E1F74"/>
    <w:rsid w:val="006E1F81"/>
    <w:rsid w:val="006E1FAF"/>
    <w:rsid w:val="006E1FC5"/>
    <w:rsid w:val="006E1FF7"/>
    <w:rsid w:val="006E2051"/>
    <w:rsid w:val="006E205E"/>
    <w:rsid w:val="006E2063"/>
    <w:rsid w:val="006E20DA"/>
    <w:rsid w:val="006E20DF"/>
    <w:rsid w:val="006E211D"/>
    <w:rsid w:val="006E214B"/>
    <w:rsid w:val="006E21AD"/>
    <w:rsid w:val="006E2223"/>
    <w:rsid w:val="006E224E"/>
    <w:rsid w:val="006E2258"/>
    <w:rsid w:val="006E225E"/>
    <w:rsid w:val="006E22AB"/>
    <w:rsid w:val="006E22B8"/>
    <w:rsid w:val="006E2315"/>
    <w:rsid w:val="006E2390"/>
    <w:rsid w:val="006E2397"/>
    <w:rsid w:val="006E23B3"/>
    <w:rsid w:val="006E23CC"/>
    <w:rsid w:val="006E23E3"/>
    <w:rsid w:val="006E2464"/>
    <w:rsid w:val="006E24AC"/>
    <w:rsid w:val="006E251D"/>
    <w:rsid w:val="006E2524"/>
    <w:rsid w:val="006E252E"/>
    <w:rsid w:val="006E258A"/>
    <w:rsid w:val="006E25BE"/>
    <w:rsid w:val="006E25D4"/>
    <w:rsid w:val="006E25E0"/>
    <w:rsid w:val="006E2617"/>
    <w:rsid w:val="006E266F"/>
    <w:rsid w:val="006E2691"/>
    <w:rsid w:val="006E26CB"/>
    <w:rsid w:val="006E26D0"/>
    <w:rsid w:val="006E26EC"/>
    <w:rsid w:val="006E270B"/>
    <w:rsid w:val="006E2733"/>
    <w:rsid w:val="006E2779"/>
    <w:rsid w:val="006E27BC"/>
    <w:rsid w:val="006E27F2"/>
    <w:rsid w:val="006E2821"/>
    <w:rsid w:val="006E2826"/>
    <w:rsid w:val="006E2842"/>
    <w:rsid w:val="006E2860"/>
    <w:rsid w:val="006E28A3"/>
    <w:rsid w:val="006E28AF"/>
    <w:rsid w:val="006E28BC"/>
    <w:rsid w:val="006E28C9"/>
    <w:rsid w:val="006E28CC"/>
    <w:rsid w:val="006E28F6"/>
    <w:rsid w:val="006E2926"/>
    <w:rsid w:val="006E2930"/>
    <w:rsid w:val="006E2940"/>
    <w:rsid w:val="006E2947"/>
    <w:rsid w:val="006E2967"/>
    <w:rsid w:val="006E2970"/>
    <w:rsid w:val="006E2974"/>
    <w:rsid w:val="006E29B1"/>
    <w:rsid w:val="006E2A14"/>
    <w:rsid w:val="006E2A90"/>
    <w:rsid w:val="006E2ADB"/>
    <w:rsid w:val="006E2AE1"/>
    <w:rsid w:val="006E2B21"/>
    <w:rsid w:val="006E2B39"/>
    <w:rsid w:val="006E2BB4"/>
    <w:rsid w:val="006E2C18"/>
    <w:rsid w:val="006E2C1D"/>
    <w:rsid w:val="006E2C23"/>
    <w:rsid w:val="006E2C4B"/>
    <w:rsid w:val="006E2C7A"/>
    <w:rsid w:val="006E2CB2"/>
    <w:rsid w:val="006E2CD2"/>
    <w:rsid w:val="006E2D04"/>
    <w:rsid w:val="006E2D2A"/>
    <w:rsid w:val="006E2D4E"/>
    <w:rsid w:val="006E2DA6"/>
    <w:rsid w:val="006E2DE7"/>
    <w:rsid w:val="006E2DFB"/>
    <w:rsid w:val="006E2E2A"/>
    <w:rsid w:val="006E2E4A"/>
    <w:rsid w:val="006E2E8B"/>
    <w:rsid w:val="006E2EBB"/>
    <w:rsid w:val="006E2ED9"/>
    <w:rsid w:val="006E2F2C"/>
    <w:rsid w:val="006E2F4B"/>
    <w:rsid w:val="006E2F65"/>
    <w:rsid w:val="006E2FB2"/>
    <w:rsid w:val="006E2FCD"/>
    <w:rsid w:val="006E3020"/>
    <w:rsid w:val="006E302C"/>
    <w:rsid w:val="006E308F"/>
    <w:rsid w:val="006E30CC"/>
    <w:rsid w:val="006E30E7"/>
    <w:rsid w:val="006E30EA"/>
    <w:rsid w:val="006E3100"/>
    <w:rsid w:val="006E3118"/>
    <w:rsid w:val="006E3121"/>
    <w:rsid w:val="006E31E8"/>
    <w:rsid w:val="006E31EE"/>
    <w:rsid w:val="006E3207"/>
    <w:rsid w:val="006E3234"/>
    <w:rsid w:val="006E3259"/>
    <w:rsid w:val="006E32EE"/>
    <w:rsid w:val="006E3300"/>
    <w:rsid w:val="006E3342"/>
    <w:rsid w:val="006E3379"/>
    <w:rsid w:val="006E33CE"/>
    <w:rsid w:val="006E3402"/>
    <w:rsid w:val="006E3403"/>
    <w:rsid w:val="006E343C"/>
    <w:rsid w:val="006E3462"/>
    <w:rsid w:val="006E3547"/>
    <w:rsid w:val="006E3554"/>
    <w:rsid w:val="006E355A"/>
    <w:rsid w:val="006E359F"/>
    <w:rsid w:val="006E35DA"/>
    <w:rsid w:val="006E35F8"/>
    <w:rsid w:val="006E3632"/>
    <w:rsid w:val="006E365D"/>
    <w:rsid w:val="006E368C"/>
    <w:rsid w:val="006E36A9"/>
    <w:rsid w:val="006E3707"/>
    <w:rsid w:val="006E3717"/>
    <w:rsid w:val="006E3754"/>
    <w:rsid w:val="006E37A4"/>
    <w:rsid w:val="006E37AD"/>
    <w:rsid w:val="006E384C"/>
    <w:rsid w:val="006E386F"/>
    <w:rsid w:val="006E388C"/>
    <w:rsid w:val="006E38D4"/>
    <w:rsid w:val="006E3934"/>
    <w:rsid w:val="006E393F"/>
    <w:rsid w:val="006E3946"/>
    <w:rsid w:val="006E3A26"/>
    <w:rsid w:val="006E3A62"/>
    <w:rsid w:val="006E3A78"/>
    <w:rsid w:val="006E3AB4"/>
    <w:rsid w:val="006E3AD1"/>
    <w:rsid w:val="006E3B3C"/>
    <w:rsid w:val="006E3B7C"/>
    <w:rsid w:val="006E3BD1"/>
    <w:rsid w:val="006E3BE3"/>
    <w:rsid w:val="006E3BFE"/>
    <w:rsid w:val="006E3C48"/>
    <w:rsid w:val="006E3C52"/>
    <w:rsid w:val="006E3CC3"/>
    <w:rsid w:val="006E3D23"/>
    <w:rsid w:val="006E3D44"/>
    <w:rsid w:val="006E3D5B"/>
    <w:rsid w:val="006E3D65"/>
    <w:rsid w:val="006E3DEC"/>
    <w:rsid w:val="006E3E3B"/>
    <w:rsid w:val="006E3E65"/>
    <w:rsid w:val="006E3ED8"/>
    <w:rsid w:val="006E3EF3"/>
    <w:rsid w:val="006E3F0B"/>
    <w:rsid w:val="006E3F23"/>
    <w:rsid w:val="006E3F3C"/>
    <w:rsid w:val="006E3F8D"/>
    <w:rsid w:val="006E3FA3"/>
    <w:rsid w:val="006E40B3"/>
    <w:rsid w:val="006E40DB"/>
    <w:rsid w:val="006E41A7"/>
    <w:rsid w:val="006E41F2"/>
    <w:rsid w:val="006E41F6"/>
    <w:rsid w:val="006E4218"/>
    <w:rsid w:val="006E422C"/>
    <w:rsid w:val="006E4234"/>
    <w:rsid w:val="006E424C"/>
    <w:rsid w:val="006E4276"/>
    <w:rsid w:val="006E429E"/>
    <w:rsid w:val="006E42A9"/>
    <w:rsid w:val="006E42F0"/>
    <w:rsid w:val="006E4322"/>
    <w:rsid w:val="006E4349"/>
    <w:rsid w:val="006E437C"/>
    <w:rsid w:val="006E44A7"/>
    <w:rsid w:val="006E44BE"/>
    <w:rsid w:val="006E44C8"/>
    <w:rsid w:val="006E44E7"/>
    <w:rsid w:val="006E44F0"/>
    <w:rsid w:val="006E4504"/>
    <w:rsid w:val="006E45C5"/>
    <w:rsid w:val="006E4624"/>
    <w:rsid w:val="006E463F"/>
    <w:rsid w:val="006E4663"/>
    <w:rsid w:val="006E4698"/>
    <w:rsid w:val="006E46B2"/>
    <w:rsid w:val="006E46C3"/>
    <w:rsid w:val="006E46EC"/>
    <w:rsid w:val="006E4762"/>
    <w:rsid w:val="006E4768"/>
    <w:rsid w:val="006E477A"/>
    <w:rsid w:val="006E47C6"/>
    <w:rsid w:val="006E47D1"/>
    <w:rsid w:val="006E4908"/>
    <w:rsid w:val="006E4952"/>
    <w:rsid w:val="006E4971"/>
    <w:rsid w:val="006E499C"/>
    <w:rsid w:val="006E49B4"/>
    <w:rsid w:val="006E4A30"/>
    <w:rsid w:val="006E4A3F"/>
    <w:rsid w:val="006E4A98"/>
    <w:rsid w:val="006E4AA7"/>
    <w:rsid w:val="006E4AA9"/>
    <w:rsid w:val="006E4AAA"/>
    <w:rsid w:val="006E4AD2"/>
    <w:rsid w:val="006E4AEE"/>
    <w:rsid w:val="006E4AF8"/>
    <w:rsid w:val="006E4B40"/>
    <w:rsid w:val="006E4B78"/>
    <w:rsid w:val="006E4BA6"/>
    <w:rsid w:val="006E4BEF"/>
    <w:rsid w:val="006E4C0C"/>
    <w:rsid w:val="006E4C32"/>
    <w:rsid w:val="006E4D09"/>
    <w:rsid w:val="006E4D0F"/>
    <w:rsid w:val="006E4D32"/>
    <w:rsid w:val="006E4D65"/>
    <w:rsid w:val="006E4D68"/>
    <w:rsid w:val="006E4D7F"/>
    <w:rsid w:val="006E4DB7"/>
    <w:rsid w:val="006E4DDB"/>
    <w:rsid w:val="006E4DDC"/>
    <w:rsid w:val="006E4DE1"/>
    <w:rsid w:val="006E4DFD"/>
    <w:rsid w:val="006E4E1F"/>
    <w:rsid w:val="006E4E3B"/>
    <w:rsid w:val="006E4E7B"/>
    <w:rsid w:val="006E4EAD"/>
    <w:rsid w:val="006E4EB0"/>
    <w:rsid w:val="006E4ECB"/>
    <w:rsid w:val="006E4ED9"/>
    <w:rsid w:val="006E4F74"/>
    <w:rsid w:val="006E4F94"/>
    <w:rsid w:val="006E4FCB"/>
    <w:rsid w:val="006E4FFE"/>
    <w:rsid w:val="006E5021"/>
    <w:rsid w:val="006E5030"/>
    <w:rsid w:val="006E5082"/>
    <w:rsid w:val="006E5095"/>
    <w:rsid w:val="006E50C8"/>
    <w:rsid w:val="006E50D5"/>
    <w:rsid w:val="006E51AA"/>
    <w:rsid w:val="006E5213"/>
    <w:rsid w:val="006E5225"/>
    <w:rsid w:val="006E528C"/>
    <w:rsid w:val="006E530E"/>
    <w:rsid w:val="006E53DB"/>
    <w:rsid w:val="006E53F2"/>
    <w:rsid w:val="006E54CC"/>
    <w:rsid w:val="006E54FA"/>
    <w:rsid w:val="006E550D"/>
    <w:rsid w:val="006E551D"/>
    <w:rsid w:val="006E554B"/>
    <w:rsid w:val="006E55AA"/>
    <w:rsid w:val="006E55C4"/>
    <w:rsid w:val="006E55CF"/>
    <w:rsid w:val="006E55D7"/>
    <w:rsid w:val="006E5642"/>
    <w:rsid w:val="006E5647"/>
    <w:rsid w:val="006E569A"/>
    <w:rsid w:val="006E56FC"/>
    <w:rsid w:val="006E5744"/>
    <w:rsid w:val="006E57B8"/>
    <w:rsid w:val="006E57CE"/>
    <w:rsid w:val="006E5852"/>
    <w:rsid w:val="006E58B5"/>
    <w:rsid w:val="006E591A"/>
    <w:rsid w:val="006E5987"/>
    <w:rsid w:val="006E59DE"/>
    <w:rsid w:val="006E59EA"/>
    <w:rsid w:val="006E59F7"/>
    <w:rsid w:val="006E5A20"/>
    <w:rsid w:val="006E5B28"/>
    <w:rsid w:val="006E5B53"/>
    <w:rsid w:val="006E5BD1"/>
    <w:rsid w:val="006E5BE9"/>
    <w:rsid w:val="006E5C50"/>
    <w:rsid w:val="006E5CC5"/>
    <w:rsid w:val="006E5D5A"/>
    <w:rsid w:val="006E5D5B"/>
    <w:rsid w:val="006E5D65"/>
    <w:rsid w:val="006E5D7B"/>
    <w:rsid w:val="006E5DB1"/>
    <w:rsid w:val="006E5DBA"/>
    <w:rsid w:val="006E5DBC"/>
    <w:rsid w:val="006E5DE3"/>
    <w:rsid w:val="006E5E21"/>
    <w:rsid w:val="006E5E42"/>
    <w:rsid w:val="006E5E4E"/>
    <w:rsid w:val="006E5E51"/>
    <w:rsid w:val="006E5EBD"/>
    <w:rsid w:val="006E5EED"/>
    <w:rsid w:val="006E5EF3"/>
    <w:rsid w:val="006E5F30"/>
    <w:rsid w:val="006E5F40"/>
    <w:rsid w:val="006E5F8D"/>
    <w:rsid w:val="006E608C"/>
    <w:rsid w:val="006E60A3"/>
    <w:rsid w:val="006E60B1"/>
    <w:rsid w:val="006E60D5"/>
    <w:rsid w:val="006E60D7"/>
    <w:rsid w:val="006E6101"/>
    <w:rsid w:val="006E6150"/>
    <w:rsid w:val="006E6177"/>
    <w:rsid w:val="006E61D8"/>
    <w:rsid w:val="006E61EB"/>
    <w:rsid w:val="006E61F4"/>
    <w:rsid w:val="006E6273"/>
    <w:rsid w:val="006E6311"/>
    <w:rsid w:val="006E634F"/>
    <w:rsid w:val="006E6397"/>
    <w:rsid w:val="006E639B"/>
    <w:rsid w:val="006E639D"/>
    <w:rsid w:val="006E640B"/>
    <w:rsid w:val="006E644C"/>
    <w:rsid w:val="006E6493"/>
    <w:rsid w:val="006E64A0"/>
    <w:rsid w:val="006E652C"/>
    <w:rsid w:val="006E6558"/>
    <w:rsid w:val="006E65B0"/>
    <w:rsid w:val="006E65B8"/>
    <w:rsid w:val="006E65E9"/>
    <w:rsid w:val="006E65EA"/>
    <w:rsid w:val="006E6668"/>
    <w:rsid w:val="006E6677"/>
    <w:rsid w:val="006E6697"/>
    <w:rsid w:val="006E66BB"/>
    <w:rsid w:val="006E66D4"/>
    <w:rsid w:val="006E66F3"/>
    <w:rsid w:val="006E672B"/>
    <w:rsid w:val="006E6780"/>
    <w:rsid w:val="006E67B4"/>
    <w:rsid w:val="006E67BC"/>
    <w:rsid w:val="006E67D4"/>
    <w:rsid w:val="006E67E0"/>
    <w:rsid w:val="006E6802"/>
    <w:rsid w:val="006E6806"/>
    <w:rsid w:val="006E685F"/>
    <w:rsid w:val="006E6875"/>
    <w:rsid w:val="006E68F1"/>
    <w:rsid w:val="006E6969"/>
    <w:rsid w:val="006E6970"/>
    <w:rsid w:val="006E69A0"/>
    <w:rsid w:val="006E69BC"/>
    <w:rsid w:val="006E6A0E"/>
    <w:rsid w:val="006E6AC3"/>
    <w:rsid w:val="006E6AEB"/>
    <w:rsid w:val="006E6B86"/>
    <w:rsid w:val="006E6B8E"/>
    <w:rsid w:val="006E6C19"/>
    <w:rsid w:val="006E6C2E"/>
    <w:rsid w:val="006E6C85"/>
    <w:rsid w:val="006E6CD4"/>
    <w:rsid w:val="006E6CF6"/>
    <w:rsid w:val="006E6D0F"/>
    <w:rsid w:val="006E6D19"/>
    <w:rsid w:val="006E6D4B"/>
    <w:rsid w:val="006E6D6D"/>
    <w:rsid w:val="006E6DAC"/>
    <w:rsid w:val="006E6DB5"/>
    <w:rsid w:val="006E6DB8"/>
    <w:rsid w:val="006E6DBD"/>
    <w:rsid w:val="006E6DDA"/>
    <w:rsid w:val="006E6E0E"/>
    <w:rsid w:val="006E6E16"/>
    <w:rsid w:val="006E6E42"/>
    <w:rsid w:val="006E6EF8"/>
    <w:rsid w:val="006E6F21"/>
    <w:rsid w:val="006E6F9A"/>
    <w:rsid w:val="006E6FB9"/>
    <w:rsid w:val="006E6FBB"/>
    <w:rsid w:val="006E6FC4"/>
    <w:rsid w:val="006E6FCB"/>
    <w:rsid w:val="006E6FD1"/>
    <w:rsid w:val="006E703F"/>
    <w:rsid w:val="006E7061"/>
    <w:rsid w:val="006E70A9"/>
    <w:rsid w:val="006E70BE"/>
    <w:rsid w:val="006E70C5"/>
    <w:rsid w:val="006E70D0"/>
    <w:rsid w:val="006E70E2"/>
    <w:rsid w:val="006E70F5"/>
    <w:rsid w:val="006E70FB"/>
    <w:rsid w:val="006E712B"/>
    <w:rsid w:val="006E7199"/>
    <w:rsid w:val="006E719F"/>
    <w:rsid w:val="006E71A3"/>
    <w:rsid w:val="006E721F"/>
    <w:rsid w:val="006E7253"/>
    <w:rsid w:val="006E72DF"/>
    <w:rsid w:val="006E73AA"/>
    <w:rsid w:val="006E73B1"/>
    <w:rsid w:val="006E73BF"/>
    <w:rsid w:val="006E73FD"/>
    <w:rsid w:val="006E740D"/>
    <w:rsid w:val="006E7420"/>
    <w:rsid w:val="006E742F"/>
    <w:rsid w:val="006E7438"/>
    <w:rsid w:val="006E7444"/>
    <w:rsid w:val="006E74B1"/>
    <w:rsid w:val="006E74E8"/>
    <w:rsid w:val="006E74EC"/>
    <w:rsid w:val="006E74F1"/>
    <w:rsid w:val="006E7544"/>
    <w:rsid w:val="006E754A"/>
    <w:rsid w:val="006E7564"/>
    <w:rsid w:val="006E758E"/>
    <w:rsid w:val="006E75E5"/>
    <w:rsid w:val="006E763C"/>
    <w:rsid w:val="006E7662"/>
    <w:rsid w:val="006E7678"/>
    <w:rsid w:val="006E76E4"/>
    <w:rsid w:val="006E7717"/>
    <w:rsid w:val="006E7722"/>
    <w:rsid w:val="006E7790"/>
    <w:rsid w:val="006E779D"/>
    <w:rsid w:val="006E77AF"/>
    <w:rsid w:val="006E7821"/>
    <w:rsid w:val="006E7893"/>
    <w:rsid w:val="006E78AD"/>
    <w:rsid w:val="006E78B4"/>
    <w:rsid w:val="006E798C"/>
    <w:rsid w:val="006E7A49"/>
    <w:rsid w:val="006E7A4A"/>
    <w:rsid w:val="006E7A5E"/>
    <w:rsid w:val="006E7A9E"/>
    <w:rsid w:val="006E7AC3"/>
    <w:rsid w:val="006E7B3C"/>
    <w:rsid w:val="006E7B5F"/>
    <w:rsid w:val="006E7B76"/>
    <w:rsid w:val="006E7BF5"/>
    <w:rsid w:val="006E7CB8"/>
    <w:rsid w:val="006E7CD5"/>
    <w:rsid w:val="006E7CE5"/>
    <w:rsid w:val="006E7CF0"/>
    <w:rsid w:val="006E7D37"/>
    <w:rsid w:val="006E7D6E"/>
    <w:rsid w:val="006E7D6F"/>
    <w:rsid w:val="006E7DAF"/>
    <w:rsid w:val="006E7DE3"/>
    <w:rsid w:val="006E7E69"/>
    <w:rsid w:val="006E7EAD"/>
    <w:rsid w:val="006E7EEC"/>
    <w:rsid w:val="006E7F21"/>
    <w:rsid w:val="006E7F68"/>
    <w:rsid w:val="006E7F8D"/>
    <w:rsid w:val="006F0001"/>
    <w:rsid w:val="006F0015"/>
    <w:rsid w:val="006F0042"/>
    <w:rsid w:val="006F006C"/>
    <w:rsid w:val="006F00ED"/>
    <w:rsid w:val="006F00F0"/>
    <w:rsid w:val="006F016B"/>
    <w:rsid w:val="006F018A"/>
    <w:rsid w:val="006F0205"/>
    <w:rsid w:val="006F020D"/>
    <w:rsid w:val="006F0261"/>
    <w:rsid w:val="006F026C"/>
    <w:rsid w:val="006F028C"/>
    <w:rsid w:val="006F030F"/>
    <w:rsid w:val="006F0313"/>
    <w:rsid w:val="006F031E"/>
    <w:rsid w:val="006F034C"/>
    <w:rsid w:val="006F035A"/>
    <w:rsid w:val="006F0394"/>
    <w:rsid w:val="006F03BB"/>
    <w:rsid w:val="006F03C3"/>
    <w:rsid w:val="006F03E7"/>
    <w:rsid w:val="006F03F6"/>
    <w:rsid w:val="006F0415"/>
    <w:rsid w:val="006F0453"/>
    <w:rsid w:val="006F049A"/>
    <w:rsid w:val="006F050E"/>
    <w:rsid w:val="006F0554"/>
    <w:rsid w:val="006F0557"/>
    <w:rsid w:val="006F056D"/>
    <w:rsid w:val="006F058C"/>
    <w:rsid w:val="006F05F6"/>
    <w:rsid w:val="006F0624"/>
    <w:rsid w:val="006F0653"/>
    <w:rsid w:val="006F0664"/>
    <w:rsid w:val="006F06B1"/>
    <w:rsid w:val="006F0757"/>
    <w:rsid w:val="006F078E"/>
    <w:rsid w:val="006F0790"/>
    <w:rsid w:val="006F085E"/>
    <w:rsid w:val="006F0889"/>
    <w:rsid w:val="006F08F4"/>
    <w:rsid w:val="006F096C"/>
    <w:rsid w:val="006F09B3"/>
    <w:rsid w:val="006F0A0C"/>
    <w:rsid w:val="006F0A1A"/>
    <w:rsid w:val="006F0B34"/>
    <w:rsid w:val="006F0B35"/>
    <w:rsid w:val="006F0B77"/>
    <w:rsid w:val="006F0BAC"/>
    <w:rsid w:val="006F0BB8"/>
    <w:rsid w:val="006F0BC2"/>
    <w:rsid w:val="006F0BDA"/>
    <w:rsid w:val="006F0C45"/>
    <w:rsid w:val="006F0C6D"/>
    <w:rsid w:val="006F0C7D"/>
    <w:rsid w:val="006F0CC4"/>
    <w:rsid w:val="006F0CE1"/>
    <w:rsid w:val="006F0DA3"/>
    <w:rsid w:val="006F0DBA"/>
    <w:rsid w:val="006F0DC4"/>
    <w:rsid w:val="006F0DE7"/>
    <w:rsid w:val="006F0E7C"/>
    <w:rsid w:val="006F0E90"/>
    <w:rsid w:val="006F0EF7"/>
    <w:rsid w:val="006F0F48"/>
    <w:rsid w:val="006F0F72"/>
    <w:rsid w:val="006F0F80"/>
    <w:rsid w:val="006F0F8C"/>
    <w:rsid w:val="006F0F94"/>
    <w:rsid w:val="006F0FD6"/>
    <w:rsid w:val="006F0FDF"/>
    <w:rsid w:val="006F103F"/>
    <w:rsid w:val="006F105A"/>
    <w:rsid w:val="006F1086"/>
    <w:rsid w:val="006F10A0"/>
    <w:rsid w:val="006F1111"/>
    <w:rsid w:val="006F112D"/>
    <w:rsid w:val="006F11EC"/>
    <w:rsid w:val="006F11EE"/>
    <w:rsid w:val="006F1212"/>
    <w:rsid w:val="006F125D"/>
    <w:rsid w:val="006F126A"/>
    <w:rsid w:val="006F12D8"/>
    <w:rsid w:val="006F1378"/>
    <w:rsid w:val="006F13AB"/>
    <w:rsid w:val="006F14AB"/>
    <w:rsid w:val="006F14B0"/>
    <w:rsid w:val="006F14BE"/>
    <w:rsid w:val="006F1564"/>
    <w:rsid w:val="006F161D"/>
    <w:rsid w:val="006F1648"/>
    <w:rsid w:val="006F1669"/>
    <w:rsid w:val="006F1692"/>
    <w:rsid w:val="006F1698"/>
    <w:rsid w:val="006F16D3"/>
    <w:rsid w:val="006F1773"/>
    <w:rsid w:val="006F1817"/>
    <w:rsid w:val="006F181D"/>
    <w:rsid w:val="006F1822"/>
    <w:rsid w:val="006F184E"/>
    <w:rsid w:val="006F1961"/>
    <w:rsid w:val="006F1972"/>
    <w:rsid w:val="006F19C0"/>
    <w:rsid w:val="006F19C8"/>
    <w:rsid w:val="006F19D4"/>
    <w:rsid w:val="006F1A6B"/>
    <w:rsid w:val="006F1A6D"/>
    <w:rsid w:val="006F1AB5"/>
    <w:rsid w:val="006F1AEB"/>
    <w:rsid w:val="006F1B28"/>
    <w:rsid w:val="006F1B3C"/>
    <w:rsid w:val="006F1B49"/>
    <w:rsid w:val="006F1B9B"/>
    <w:rsid w:val="006F1B9E"/>
    <w:rsid w:val="006F1BE2"/>
    <w:rsid w:val="006F1C3A"/>
    <w:rsid w:val="006F1C59"/>
    <w:rsid w:val="006F1C64"/>
    <w:rsid w:val="006F1CFA"/>
    <w:rsid w:val="006F1D00"/>
    <w:rsid w:val="006F1D39"/>
    <w:rsid w:val="006F1D4D"/>
    <w:rsid w:val="006F1D9A"/>
    <w:rsid w:val="006F1DC0"/>
    <w:rsid w:val="006F1DFC"/>
    <w:rsid w:val="006F1E18"/>
    <w:rsid w:val="006F1E4A"/>
    <w:rsid w:val="006F1E5C"/>
    <w:rsid w:val="006F1FB9"/>
    <w:rsid w:val="006F207E"/>
    <w:rsid w:val="006F20E9"/>
    <w:rsid w:val="006F20FA"/>
    <w:rsid w:val="006F2108"/>
    <w:rsid w:val="006F2148"/>
    <w:rsid w:val="006F2155"/>
    <w:rsid w:val="006F21C6"/>
    <w:rsid w:val="006F21D5"/>
    <w:rsid w:val="006F21ED"/>
    <w:rsid w:val="006F21FB"/>
    <w:rsid w:val="006F2206"/>
    <w:rsid w:val="006F2225"/>
    <w:rsid w:val="006F22DB"/>
    <w:rsid w:val="006F2317"/>
    <w:rsid w:val="006F232A"/>
    <w:rsid w:val="006F2334"/>
    <w:rsid w:val="006F233C"/>
    <w:rsid w:val="006F2348"/>
    <w:rsid w:val="006F234B"/>
    <w:rsid w:val="006F234D"/>
    <w:rsid w:val="006F234E"/>
    <w:rsid w:val="006F240F"/>
    <w:rsid w:val="006F2418"/>
    <w:rsid w:val="006F2466"/>
    <w:rsid w:val="006F2486"/>
    <w:rsid w:val="006F2497"/>
    <w:rsid w:val="006F24A5"/>
    <w:rsid w:val="006F24E6"/>
    <w:rsid w:val="006F24EA"/>
    <w:rsid w:val="006F256D"/>
    <w:rsid w:val="006F257B"/>
    <w:rsid w:val="006F259C"/>
    <w:rsid w:val="006F25AD"/>
    <w:rsid w:val="006F25C9"/>
    <w:rsid w:val="006F2681"/>
    <w:rsid w:val="006F270F"/>
    <w:rsid w:val="006F275D"/>
    <w:rsid w:val="006F2770"/>
    <w:rsid w:val="006F2779"/>
    <w:rsid w:val="006F282A"/>
    <w:rsid w:val="006F2848"/>
    <w:rsid w:val="006F2853"/>
    <w:rsid w:val="006F2854"/>
    <w:rsid w:val="006F285B"/>
    <w:rsid w:val="006F2869"/>
    <w:rsid w:val="006F28C9"/>
    <w:rsid w:val="006F28D8"/>
    <w:rsid w:val="006F28E2"/>
    <w:rsid w:val="006F28F9"/>
    <w:rsid w:val="006F2904"/>
    <w:rsid w:val="006F292C"/>
    <w:rsid w:val="006F294E"/>
    <w:rsid w:val="006F296A"/>
    <w:rsid w:val="006F2995"/>
    <w:rsid w:val="006F29C4"/>
    <w:rsid w:val="006F29F9"/>
    <w:rsid w:val="006F2A57"/>
    <w:rsid w:val="006F2AD9"/>
    <w:rsid w:val="006F2B25"/>
    <w:rsid w:val="006F2B39"/>
    <w:rsid w:val="006F2BB2"/>
    <w:rsid w:val="006F2BE7"/>
    <w:rsid w:val="006F2C09"/>
    <w:rsid w:val="006F2C5E"/>
    <w:rsid w:val="006F2C90"/>
    <w:rsid w:val="006F2D21"/>
    <w:rsid w:val="006F2D4B"/>
    <w:rsid w:val="006F2D4C"/>
    <w:rsid w:val="006F2D79"/>
    <w:rsid w:val="006F2D9E"/>
    <w:rsid w:val="006F2DA4"/>
    <w:rsid w:val="006F2DE8"/>
    <w:rsid w:val="006F2DFC"/>
    <w:rsid w:val="006F2E16"/>
    <w:rsid w:val="006F2E76"/>
    <w:rsid w:val="006F2EAF"/>
    <w:rsid w:val="006F2EBC"/>
    <w:rsid w:val="006F2F6D"/>
    <w:rsid w:val="006F2F90"/>
    <w:rsid w:val="006F2FF3"/>
    <w:rsid w:val="006F3092"/>
    <w:rsid w:val="006F30A0"/>
    <w:rsid w:val="006F30D3"/>
    <w:rsid w:val="006F30E0"/>
    <w:rsid w:val="006F3106"/>
    <w:rsid w:val="006F3110"/>
    <w:rsid w:val="006F3113"/>
    <w:rsid w:val="006F3134"/>
    <w:rsid w:val="006F3148"/>
    <w:rsid w:val="006F3152"/>
    <w:rsid w:val="006F3153"/>
    <w:rsid w:val="006F31B4"/>
    <w:rsid w:val="006F31CB"/>
    <w:rsid w:val="006F3229"/>
    <w:rsid w:val="006F32FB"/>
    <w:rsid w:val="006F335A"/>
    <w:rsid w:val="006F3402"/>
    <w:rsid w:val="006F3432"/>
    <w:rsid w:val="006F349C"/>
    <w:rsid w:val="006F34F6"/>
    <w:rsid w:val="006F3502"/>
    <w:rsid w:val="006F3507"/>
    <w:rsid w:val="006F3588"/>
    <w:rsid w:val="006F35F9"/>
    <w:rsid w:val="006F3620"/>
    <w:rsid w:val="006F3671"/>
    <w:rsid w:val="006F369F"/>
    <w:rsid w:val="006F36A1"/>
    <w:rsid w:val="006F374D"/>
    <w:rsid w:val="006F3750"/>
    <w:rsid w:val="006F375E"/>
    <w:rsid w:val="006F376D"/>
    <w:rsid w:val="006F37EE"/>
    <w:rsid w:val="006F3849"/>
    <w:rsid w:val="006F387E"/>
    <w:rsid w:val="006F389F"/>
    <w:rsid w:val="006F38A9"/>
    <w:rsid w:val="006F38C9"/>
    <w:rsid w:val="006F38F5"/>
    <w:rsid w:val="006F3927"/>
    <w:rsid w:val="006F394F"/>
    <w:rsid w:val="006F3975"/>
    <w:rsid w:val="006F3986"/>
    <w:rsid w:val="006F399F"/>
    <w:rsid w:val="006F39E2"/>
    <w:rsid w:val="006F3A35"/>
    <w:rsid w:val="006F3A4E"/>
    <w:rsid w:val="006F3A58"/>
    <w:rsid w:val="006F3AEC"/>
    <w:rsid w:val="006F3B57"/>
    <w:rsid w:val="006F3BAF"/>
    <w:rsid w:val="006F3BE6"/>
    <w:rsid w:val="006F3C76"/>
    <w:rsid w:val="006F3CD9"/>
    <w:rsid w:val="006F3CDC"/>
    <w:rsid w:val="006F3CE2"/>
    <w:rsid w:val="006F3CF0"/>
    <w:rsid w:val="006F3D0C"/>
    <w:rsid w:val="006F3D68"/>
    <w:rsid w:val="006F3D7B"/>
    <w:rsid w:val="006F3D8B"/>
    <w:rsid w:val="006F3DC9"/>
    <w:rsid w:val="006F3DE3"/>
    <w:rsid w:val="006F3DF1"/>
    <w:rsid w:val="006F3E2B"/>
    <w:rsid w:val="006F3E3B"/>
    <w:rsid w:val="006F3EC3"/>
    <w:rsid w:val="006F3EFC"/>
    <w:rsid w:val="006F3EFF"/>
    <w:rsid w:val="006F3F55"/>
    <w:rsid w:val="006F3F6F"/>
    <w:rsid w:val="006F3F74"/>
    <w:rsid w:val="006F3F94"/>
    <w:rsid w:val="006F3FFE"/>
    <w:rsid w:val="006F400A"/>
    <w:rsid w:val="006F4025"/>
    <w:rsid w:val="006F4027"/>
    <w:rsid w:val="006F402C"/>
    <w:rsid w:val="006F4049"/>
    <w:rsid w:val="006F4088"/>
    <w:rsid w:val="006F410C"/>
    <w:rsid w:val="006F4132"/>
    <w:rsid w:val="006F4163"/>
    <w:rsid w:val="006F416B"/>
    <w:rsid w:val="006F4264"/>
    <w:rsid w:val="006F4267"/>
    <w:rsid w:val="006F4294"/>
    <w:rsid w:val="006F4348"/>
    <w:rsid w:val="006F43A1"/>
    <w:rsid w:val="006F43C6"/>
    <w:rsid w:val="006F4429"/>
    <w:rsid w:val="006F44D0"/>
    <w:rsid w:val="006F44DD"/>
    <w:rsid w:val="006F4563"/>
    <w:rsid w:val="006F456D"/>
    <w:rsid w:val="006F45DD"/>
    <w:rsid w:val="006F464D"/>
    <w:rsid w:val="006F4691"/>
    <w:rsid w:val="006F46DC"/>
    <w:rsid w:val="006F4700"/>
    <w:rsid w:val="006F4893"/>
    <w:rsid w:val="006F48D6"/>
    <w:rsid w:val="006F48F4"/>
    <w:rsid w:val="006F4937"/>
    <w:rsid w:val="006F4950"/>
    <w:rsid w:val="006F497B"/>
    <w:rsid w:val="006F49AD"/>
    <w:rsid w:val="006F49EE"/>
    <w:rsid w:val="006F4A37"/>
    <w:rsid w:val="006F4A8A"/>
    <w:rsid w:val="006F4A9E"/>
    <w:rsid w:val="006F4AFD"/>
    <w:rsid w:val="006F4B2C"/>
    <w:rsid w:val="006F4B7B"/>
    <w:rsid w:val="006F4C26"/>
    <w:rsid w:val="006F4C2D"/>
    <w:rsid w:val="006F4C33"/>
    <w:rsid w:val="006F4C48"/>
    <w:rsid w:val="006F4C8A"/>
    <w:rsid w:val="006F4CE0"/>
    <w:rsid w:val="006F4D04"/>
    <w:rsid w:val="006F4D31"/>
    <w:rsid w:val="006F4D3D"/>
    <w:rsid w:val="006F4D77"/>
    <w:rsid w:val="006F4D9B"/>
    <w:rsid w:val="006F4DAC"/>
    <w:rsid w:val="006F4DCC"/>
    <w:rsid w:val="006F4E0C"/>
    <w:rsid w:val="006F4E84"/>
    <w:rsid w:val="006F4E9E"/>
    <w:rsid w:val="006F4EA4"/>
    <w:rsid w:val="006F4EAA"/>
    <w:rsid w:val="006F4EAC"/>
    <w:rsid w:val="006F4F6D"/>
    <w:rsid w:val="006F5025"/>
    <w:rsid w:val="006F5083"/>
    <w:rsid w:val="006F50CD"/>
    <w:rsid w:val="006F512F"/>
    <w:rsid w:val="006F5195"/>
    <w:rsid w:val="006F51A6"/>
    <w:rsid w:val="006F521F"/>
    <w:rsid w:val="006F5238"/>
    <w:rsid w:val="006F5289"/>
    <w:rsid w:val="006F528C"/>
    <w:rsid w:val="006F52F7"/>
    <w:rsid w:val="006F536C"/>
    <w:rsid w:val="006F540A"/>
    <w:rsid w:val="006F5433"/>
    <w:rsid w:val="006F5467"/>
    <w:rsid w:val="006F54BD"/>
    <w:rsid w:val="006F553B"/>
    <w:rsid w:val="006F55C1"/>
    <w:rsid w:val="006F55C3"/>
    <w:rsid w:val="006F560A"/>
    <w:rsid w:val="006F56C1"/>
    <w:rsid w:val="006F56C3"/>
    <w:rsid w:val="006F56D6"/>
    <w:rsid w:val="006F56F9"/>
    <w:rsid w:val="006F5736"/>
    <w:rsid w:val="006F57A4"/>
    <w:rsid w:val="006F57C5"/>
    <w:rsid w:val="006F57C7"/>
    <w:rsid w:val="006F57E4"/>
    <w:rsid w:val="006F57E5"/>
    <w:rsid w:val="006F57EB"/>
    <w:rsid w:val="006F5847"/>
    <w:rsid w:val="006F592C"/>
    <w:rsid w:val="006F5950"/>
    <w:rsid w:val="006F5973"/>
    <w:rsid w:val="006F597D"/>
    <w:rsid w:val="006F59A3"/>
    <w:rsid w:val="006F59CC"/>
    <w:rsid w:val="006F5A59"/>
    <w:rsid w:val="006F5A5E"/>
    <w:rsid w:val="006F5AA8"/>
    <w:rsid w:val="006F5AEC"/>
    <w:rsid w:val="006F5B86"/>
    <w:rsid w:val="006F5C33"/>
    <w:rsid w:val="006F5C38"/>
    <w:rsid w:val="006F5C3E"/>
    <w:rsid w:val="006F5C4B"/>
    <w:rsid w:val="006F5C56"/>
    <w:rsid w:val="006F5C5C"/>
    <w:rsid w:val="006F5C79"/>
    <w:rsid w:val="006F5D71"/>
    <w:rsid w:val="006F5D87"/>
    <w:rsid w:val="006F5DE3"/>
    <w:rsid w:val="006F5E11"/>
    <w:rsid w:val="006F5E51"/>
    <w:rsid w:val="006F5EA7"/>
    <w:rsid w:val="006F5EAD"/>
    <w:rsid w:val="006F5F1B"/>
    <w:rsid w:val="006F5F4A"/>
    <w:rsid w:val="006F5FA9"/>
    <w:rsid w:val="006F5FB6"/>
    <w:rsid w:val="006F5FE8"/>
    <w:rsid w:val="006F5FF1"/>
    <w:rsid w:val="006F604B"/>
    <w:rsid w:val="006F605A"/>
    <w:rsid w:val="006F605D"/>
    <w:rsid w:val="006F6074"/>
    <w:rsid w:val="006F60B6"/>
    <w:rsid w:val="006F60BA"/>
    <w:rsid w:val="006F6134"/>
    <w:rsid w:val="006F613A"/>
    <w:rsid w:val="006F613D"/>
    <w:rsid w:val="006F6187"/>
    <w:rsid w:val="006F6190"/>
    <w:rsid w:val="006F61B6"/>
    <w:rsid w:val="006F61CB"/>
    <w:rsid w:val="006F6227"/>
    <w:rsid w:val="006F6241"/>
    <w:rsid w:val="006F6290"/>
    <w:rsid w:val="006F62A0"/>
    <w:rsid w:val="006F62B7"/>
    <w:rsid w:val="006F62FD"/>
    <w:rsid w:val="006F635D"/>
    <w:rsid w:val="006F63C3"/>
    <w:rsid w:val="006F63DE"/>
    <w:rsid w:val="006F640D"/>
    <w:rsid w:val="006F644E"/>
    <w:rsid w:val="006F64C6"/>
    <w:rsid w:val="006F64D1"/>
    <w:rsid w:val="006F64F0"/>
    <w:rsid w:val="006F6522"/>
    <w:rsid w:val="006F65FD"/>
    <w:rsid w:val="006F660C"/>
    <w:rsid w:val="006F66E4"/>
    <w:rsid w:val="006F6768"/>
    <w:rsid w:val="006F6771"/>
    <w:rsid w:val="006F67E6"/>
    <w:rsid w:val="006F67F9"/>
    <w:rsid w:val="006F681D"/>
    <w:rsid w:val="006F681F"/>
    <w:rsid w:val="006F6876"/>
    <w:rsid w:val="006F68C0"/>
    <w:rsid w:val="006F6936"/>
    <w:rsid w:val="006F6A74"/>
    <w:rsid w:val="006F6A78"/>
    <w:rsid w:val="006F6A99"/>
    <w:rsid w:val="006F6ACB"/>
    <w:rsid w:val="006F6AF7"/>
    <w:rsid w:val="006F6B69"/>
    <w:rsid w:val="006F6B8F"/>
    <w:rsid w:val="006F6B9D"/>
    <w:rsid w:val="006F6BB8"/>
    <w:rsid w:val="006F6BC1"/>
    <w:rsid w:val="006F6BDA"/>
    <w:rsid w:val="006F6C15"/>
    <w:rsid w:val="006F6C33"/>
    <w:rsid w:val="006F6C43"/>
    <w:rsid w:val="006F6C62"/>
    <w:rsid w:val="006F6CAA"/>
    <w:rsid w:val="006F6CBC"/>
    <w:rsid w:val="006F6CC7"/>
    <w:rsid w:val="006F6CE6"/>
    <w:rsid w:val="006F6CF8"/>
    <w:rsid w:val="006F6D4C"/>
    <w:rsid w:val="006F6D53"/>
    <w:rsid w:val="006F6D58"/>
    <w:rsid w:val="006F6D92"/>
    <w:rsid w:val="006F6D9B"/>
    <w:rsid w:val="006F6E3C"/>
    <w:rsid w:val="006F6E65"/>
    <w:rsid w:val="006F6E75"/>
    <w:rsid w:val="006F6EC1"/>
    <w:rsid w:val="006F6EF1"/>
    <w:rsid w:val="006F6EFB"/>
    <w:rsid w:val="006F6F2D"/>
    <w:rsid w:val="006F6F2F"/>
    <w:rsid w:val="006F6FB0"/>
    <w:rsid w:val="006F7023"/>
    <w:rsid w:val="006F7037"/>
    <w:rsid w:val="006F7046"/>
    <w:rsid w:val="006F706A"/>
    <w:rsid w:val="006F70AA"/>
    <w:rsid w:val="006F7111"/>
    <w:rsid w:val="006F7147"/>
    <w:rsid w:val="006F7241"/>
    <w:rsid w:val="006F7297"/>
    <w:rsid w:val="006F72BA"/>
    <w:rsid w:val="006F737A"/>
    <w:rsid w:val="006F73E7"/>
    <w:rsid w:val="006F7400"/>
    <w:rsid w:val="006F742C"/>
    <w:rsid w:val="006F746D"/>
    <w:rsid w:val="006F7504"/>
    <w:rsid w:val="006F751D"/>
    <w:rsid w:val="006F7522"/>
    <w:rsid w:val="006F7538"/>
    <w:rsid w:val="006F7586"/>
    <w:rsid w:val="006F75C6"/>
    <w:rsid w:val="006F75FA"/>
    <w:rsid w:val="006F761D"/>
    <w:rsid w:val="006F7627"/>
    <w:rsid w:val="006F764A"/>
    <w:rsid w:val="006F765A"/>
    <w:rsid w:val="006F7677"/>
    <w:rsid w:val="006F767D"/>
    <w:rsid w:val="006F7692"/>
    <w:rsid w:val="006F76B3"/>
    <w:rsid w:val="006F76DA"/>
    <w:rsid w:val="006F7817"/>
    <w:rsid w:val="006F781A"/>
    <w:rsid w:val="006F781C"/>
    <w:rsid w:val="006F7884"/>
    <w:rsid w:val="006F78B3"/>
    <w:rsid w:val="006F796C"/>
    <w:rsid w:val="006F7A63"/>
    <w:rsid w:val="006F7A6B"/>
    <w:rsid w:val="006F7A9A"/>
    <w:rsid w:val="006F7C34"/>
    <w:rsid w:val="006F7C35"/>
    <w:rsid w:val="006F7C73"/>
    <w:rsid w:val="006F7C8B"/>
    <w:rsid w:val="006F7C90"/>
    <w:rsid w:val="006F7CD2"/>
    <w:rsid w:val="006F7D80"/>
    <w:rsid w:val="006F7E05"/>
    <w:rsid w:val="006F7E35"/>
    <w:rsid w:val="006F7E43"/>
    <w:rsid w:val="006F7E7B"/>
    <w:rsid w:val="006F7EAE"/>
    <w:rsid w:val="006F7F16"/>
    <w:rsid w:val="006F7F36"/>
    <w:rsid w:val="006F7F87"/>
    <w:rsid w:val="006F7F9D"/>
    <w:rsid w:val="006F7FC2"/>
    <w:rsid w:val="006F7FEB"/>
    <w:rsid w:val="00700005"/>
    <w:rsid w:val="007000A2"/>
    <w:rsid w:val="007000A7"/>
    <w:rsid w:val="007000F0"/>
    <w:rsid w:val="007000F1"/>
    <w:rsid w:val="0070010C"/>
    <w:rsid w:val="00700180"/>
    <w:rsid w:val="007001A8"/>
    <w:rsid w:val="007001C8"/>
    <w:rsid w:val="007001E3"/>
    <w:rsid w:val="007001E6"/>
    <w:rsid w:val="00700275"/>
    <w:rsid w:val="007002DB"/>
    <w:rsid w:val="007002F9"/>
    <w:rsid w:val="00700357"/>
    <w:rsid w:val="007003D5"/>
    <w:rsid w:val="0070044D"/>
    <w:rsid w:val="0070045D"/>
    <w:rsid w:val="0070047A"/>
    <w:rsid w:val="0070047F"/>
    <w:rsid w:val="00700517"/>
    <w:rsid w:val="00700531"/>
    <w:rsid w:val="00700567"/>
    <w:rsid w:val="00700585"/>
    <w:rsid w:val="007005B7"/>
    <w:rsid w:val="007005BF"/>
    <w:rsid w:val="007005CE"/>
    <w:rsid w:val="007005D7"/>
    <w:rsid w:val="007005E2"/>
    <w:rsid w:val="007005F5"/>
    <w:rsid w:val="007005FA"/>
    <w:rsid w:val="0070062B"/>
    <w:rsid w:val="00700652"/>
    <w:rsid w:val="00700699"/>
    <w:rsid w:val="007006A9"/>
    <w:rsid w:val="007006B1"/>
    <w:rsid w:val="007006E3"/>
    <w:rsid w:val="0070075F"/>
    <w:rsid w:val="00700792"/>
    <w:rsid w:val="007007B1"/>
    <w:rsid w:val="00700834"/>
    <w:rsid w:val="0070083A"/>
    <w:rsid w:val="0070088D"/>
    <w:rsid w:val="007008C0"/>
    <w:rsid w:val="007008D1"/>
    <w:rsid w:val="0070091B"/>
    <w:rsid w:val="00700922"/>
    <w:rsid w:val="00700924"/>
    <w:rsid w:val="00700939"/>
    <w:rsid w:val="00700991"/>
    <w:rsid w:val="007009AC"/>
    <w:rsid w:val="007009BA"/>
    <w:rsid w:val="007009D6"/>
    <w:rsid w:val="00700A1C"/>
    <w:rsid w:val="00700A87"/>
    <w:rsid w:val="00700AB4"/>
    <w:rsid w:val="00700B44"/>
    <w:rsid w:val="00700B50"/>
    <w:rsid w:val="00700B74"/>
    <w:rsid w:val="00700BFF"/>
    <w:rsid w:val="00700C1B"/>
    <w:rsid w:val="00700C76"/>
    <w:rsid w:val="00700C91"/>
    <w:rsid w:val="00700CB1"/>
    <w:rsid w:val="00700CC3"/>
    <w:rsid w:val="00700D3F"/>
    <w:rsid w:val="00700E00"/>
    <w:rsid w:val="00700E13"/>
    <w:rsid w:val="00700F1B"/>
    <w:rsid w:val="00700F28"/>
    <w:rsid w:val="00700F6D"/>
    <w:rsid w:val="00700F87"/>
    <w:rsid w:val="0070102B"/>
    <w:rsid w:val="00701078"/>
    <w:rsid w:val="0070109D"/>
    <w:rsid w:val="007010A6"/>
    <w:rsid w:val="007010C5"/>
    <w:rsid w:val="007010CC"/>
    <w:rsid w:val="007010D2"/>
    <w:rsid w:val="007010F8"/>
    <w:rsid w:val="0070124F"/>
    <w:rsid w:val="007012A8"/>
    <w:rsid w:val="00701310"/>
    <w:rsid w:val="0070137A"/>
    <w:rsid w:val="00701389"/>
    <w:rsid w:val="007013A1"/>
    <w:rsid w:val="007013A9"/>
    <w:rsid w:val="007013BC"/>
    <w:rsid w:val="007013CA"/>
    <w:rsid w:val="007013DE"/>
    <w:rsid w:val="00701407"/>
    <w:rsid w:val="00701428"/>
    <w:rsid w:val="00701476"/>
    <w:rsid w:val="00701477"/>
    <w:rsid w:val="007014A2"/>
    <w:rsid w:val="007014BE"/>
    <w:rsid w:val="007014C4"/>
    <w:rsid w:val="0070151C"/>
    <w:rsid w:val="00701523"/>
    <w:rsid w:val="007015F7"/>
    <w:rsid w:val="00701636"/>
    <w:rsid w:val="0070164D"/>
    <w:rsid w:val="00701654"/>
    <w:rsid w:val="0070167C"/>
    <w:rsid w:val="007016F7"/>
    <w:rsid w:val="00701764"/>
    <w:rsid w:val="0070176E"/>
    <w:rsid w:val="00701795"/>
    <w:rsid w:val="007017A1"/>
    <w:rsid w:val="007017A2"/>
    <w:rsid w:val="007017F4"/>
    <w:rsid w:val="0070184C"/>
    <w:rsid w:val="00701850"/>
    <w:rsid w:val="00701852"/>
    <w:rsid w:val="0070185C"/>
    <w:rsid w:val="00701890"/>
    <w:rsid w:val="007018B4"/>
    <w:rsid w:val="0070193F"/>
    <w:rsid w:val="00701945"/>
    <w:rsid w:val="0070196E"/>
    <w:rsid w:val="007019C6"/>
    <w:rsid w:val="007019F5"/>
    <w:rsid w:val="007019F6"/>
    <w:rsid w:val="007019F9"/>
    <w:rsid w:val="00701A0D"/>
    <w:rsid w:val="00701A1C"/>
    <w:rsid w:val="00701A27"/>
    <w:rsid w:val="00701A69"/>
    <w:rsid w:val="00701A75"/>
    <w:rsid w:val="00701AA6"/>
    <w:rsid w:val="00701AC1"/>
    <w:rsid w:val="00701ADD"/>
    <w:rsid w:val="00701AE1"/>
    <w:rsid w:val="00701B57"/>
    <w:rsid w:val="00701B5B"/>
    <w:rsid w:val="00701C63"/>
    <w:rsid w:val="00701C81"/>
    <w:rsid w:val="00701CA8"/>
    <w:rsid w:val="00701CB6"/>
    <w:rsid w:val="00701CBC"/>
    <w:rsid w:val="00701CFA"/>
    <w:rsid w:val="00701D49"/>
    <w:rsid w:val="00701D70"/>
    <w:rsid w:val="00701D7F"/>
    <w:rsid w:val="00701D82"/>
    <w:rsid w:val="00701D83"/>
    <w:rsid w:val="00701DCA"/>
    <w:rsid w:val="00701DD7"/>
    <w:rsid w:val="00701DDA"/>
    <w:rsid w:val="00701E55"/>
    <w:rsid w:val="00701ED8"/>
    <w:rsid w:val="00701EE5"/>
    <w:rsid w:val="00701EEA"/>
    <w:rsid w:val="00701F38"/>
    <w:rsid w:val="00701FA3"/>
    <w:rsid w:val="00701FAA"/>
    <w:rsid w:val="00701FB4"/>
    <w:rsid w:val="0070200E"/>
    <w:rsid w:val="0070204C"/>
    <w:rsid w:val="00702084"/>
    <w:rsid w:val="007021D7"/>
    <w:rsid w:val="00702210"/>
    <w:rsid w:val="0070221F"/>
    <w:rsid w:val="00702246"/>
    <w:rsid w:val="00702260"/>
    <w:rsid w:val="00702283"/>
    <w:rsid w:val="0070229E"/>
    <w:rsid w:val="007022A2"/>
    <w:rsid w:val="0070237F"/>
    <w:rsid w:val="0070238F"/>
    <w:rsid w:val="00702400"/>
    <w:rsid w:val="00702403"/>
    <w:rsid w:val="0070242A"/>
    <w:rsid w:val="0070243A"/>
    <w:rsid w:val="0070245C"/>
    <w:rsid w:val="00702478"/>
    <w:rsid w:val="007024DD"/>
    <w:rsid w:val="0070253E"/>
    <w:rsid w:val="00702569"/>
    <w:rsid w:val="00702572"/>
    <w:rsid w:val="007025B5"/>
    <w:rsid w:val="007025C5"/>
    <w:rsid w:val="00702636"/>
    <w:rsid w:val="007026DD"/>
    <w:rsid w:val="00702763"/>
    <w:rsid w:val="007027D7"/>
    <w:rsid w:val="007027E1"/>
    <w:rsid w:val="00702819"/>
    <w:rsid w:val="0070281E"/>
    <w:rsid w:val="00702839"/>
    <w:rsid w:val="00702857"/>
    <w:rsid w:val="0070286E"/>
    <w:rsid w:val="00702873"/>
    <w:rsid w:val="007028EB"/>
    <w:rsid w:val="00702A3E"/>
    <w:rsid w:val="00702A84"/>
    <w:rsid w:val="00702AEE"/>
    <w:rsid w:val="00702B0B"/>
    <w:rsid w:val="00702B16"/>
    <w:rsid w:val="00702B3E"/>
    <w:rsid w:val="00702B8F"/>
    <w:rsid w:val="00702B9D"/>
    <w:rsid w:val="00702C5E"/>
    <w:rsid w:val="00702C9C"/>
    <w:rsid w:val="00702CAB"/>
    <w:rsid w:val="00702CDE"/>
    <w:rsid w:val="00702D2F"/>
    <w:rsid w:val="00702D76"/>
    <w:rsid w:val="00702DDB"/>
    <w:rsid w:val="00702E03"/>
    <w:rsid w:val="00702E39"/>
    <w:rsid w:val="00702E48"/>
    <w:rsid w:val="00702E56"/>
    <w:rsid w:val="00702E58"/>
    <w:rsid w:val="00702E7A"/>
    <w:rsid w:val="00702E89"/>
    <w:rsid w:val="00702EA1"/>
    <w:rsid w:val="00702ECC"/>
    <w:rsid w:val="00702EE8"/>
    <w:rsid w:val="00702EEC"/>
    <w:rsid w:val="00702F67"/>
    <w:rsid w:val="00702F9E"/>
    <w:rsid w:val="00702FA6"/>
    <w:rsid w:val="00703024"/>
    <w:rsid w:val="007030E4"/>
    <w:rsid w:val="007030F4"/>
    <w:rsid w:val="00703110"/>
    <w:rsid w:val="0070316E"/>
    <w:rsid w:val="00703193"/>
    <w:rsid w:val="00703196"/>
    <w:rsid w:val="007031A8"/>
    <w:rsid w:val="0070320B"/>
    <w:rsid w:val="00703214"/>
    <w:rsid w:val="00703233"/>
    <w:rsid w:val="00703246"/>
    <w:rsid w:val="00703265"/>
    <w:rsid w:val="0070326B"/>
    <w:rsid w:val="007032A9"/>
    <w:rsid w:val="007032F0"/>
    <w:rsid w:val="00703318"/>
    <w:rsid w:val="0070332F"/>
    <w:rsid w:val="00703333"/>
    <w:rsid w:val="007033F8"/>
    <w:rsid w:val="0070349F"/>
    <w:rsid w:val="007034BC"/>
    <w:rsid w:val="007034DD"/>
    <w:rsid w:val="00703501"/>
    <w:rsid w:val="00703519"/>
    <w:rsid w:val="00703538"/>
    <w:rsid w:val="00703564"/>
    <w:rsid w:val="0070359A"/>
    <w:rsid w:val="007035D7"/>
    <w:rsid w:val="007037A8"/>
    <w:rsid w:val="007037E2"/>
    <w:rsid w:val="00703818"/>
    <w:rsid w:val="00703860"/>
    <w:rsid w:val="007038C4"/>
    <w:rsid w:val="007038CA"/>
    <w:rsid w:val="007038E5"/>
    <w:rsid w:val="00703929"/>
    <w:rsid w:val="00703938"/>
    <w:rsid w:val="0070395B"/>
    <w:rsid w:val="00703995"/>
    <w:rsid w:val="007039A8"/>
    <w:rsid w:val="007039BC"/>
    <w:rsid w:val="007039E1"/>
    <w:rsid w:val="00703A35"/>
    <w:rsid w:val="00703B0D"/>
    <w:rsid w:val="00703B6C"/>
    <w:rsid w:val="00703BCD"/>
    <w:rsid w:val="00703C02"/>
    <w:rsid w:val="00703C0C"/>
    <w:rsid w:val="00703C67"/>
    <w:rsid w:val="00703D29"/>
    <w:rsid w:val="00703DA7"/>
    <w:rsid w:val="00703E3F"/>
    <w:rsid w:val="00703E9C"/>
    <w:rsid w:val="00703EAD"/>
    <w:rsid w:val="00703EBD"/>
    <w:rsid w:val="00703EDF"/>
    <w:rsid w:val="00703EEB"/>
    <w:rsid w:val="00703F10"/>
    <w:rsid w:val="00703F31"/>
    <w:rsid w:val="00703F46"/>
    <w:rsid w:val="00703F63"/>
    <w:rsid w:val="00703F8A"/>
    <w:rsid w:val="00703F8E"/>
    <w:rsid w:val="00703FE7"/>
    <w:rsid w:val="0070403E"/>
    <w:rsid w:val="00704096"/>
    <w:rsid w:val="0070409D"/>
    <w:rsid w:val="007040AC"/>
    <w:rsid w:val="007040CD"/>
    <w:rsid w:val="00704133"/>
    <w:rsid w:val="00704162"/>
    <w:rsid w:val="00704164"/>
    <w:rsid w:val="007041DF"/>
    <w:rsid w:val="007041E9"/>
    <w:rsid w:val="007041F9"/>
    <w:rsid w:val="0070422F"/>
    <w:rsid w:val="00704231"/>
    <w:rsid w:val="00704267"/>
    <w:rsid w:val="007042D4"/>
    <w:rsid w:val="007042D5"/>
    <w:rsid w:val="0070431F"/>
    <w:rsid w:val="00704370"/>
    <w:rsid w:val="0070437A"/>
    <w:rsid w:val="007043A4"/>
    <w:rsid w:val="007043FA"/>
    <w:rsid w:val="00704421"/>
    <w:rsid w:val="0070444A"/>
    <w:rsid w:val="007044A0"/>
    <w:rsid w:val="007044B3"/>
    <w:rsid w:val="007044BF"/>
    <w:rsid w:val="007044E1"/>
    <w:rsid w:val="007044F0"/>
    <w:rsid w:val="0070453B"/>
    <w:rsid w:val="0070457B"/>
    <w:rsid w:val="007045D3"/>
    <w:rsid w:val="00704622"/>
    <w:rsid w:val="0070463C"/>
    <w:rsid w:val="00704667"/>
    <w:rsid w:val="007046AB"/>
    <w:rsid w:val="007046C2"/>
    <w:rsid w:val="007046C3"/>
    <w:rsid w:val="007046CF"/>
    <w:rsid w:val="007046EA"/>
    <w:rsid w:val="007046F7"/>
    <w:rsid w:val="00704797"/>
    <w:rsid w:val="007047A2"/>
    <w:rsid w:val="007047B8"/>
    <w:rsid w:val="007047E2"/>
    <w:rsid w:val="00704810"/>
    <w:rsid w:val="0070481B"/>
    <w:rsid w:val="00704847"/>
    <w:rsid w:val="0070489E"/>
    <w:rsid w:val="0070489F"/>
    <w:rsid w:val="00704986"/>
    <w:rsid w:val="0070499F"/>
    <w:rsid w:val="007049AA"/>
    <w:rsid w:val="007049E0"/>
    <w:rsid w:val="00704A51"/>
    <w:rsid w:val="00704A59"/>
    <w:rsid w:val="00704A74"/>
    <w:rsid w:val="00704A86"/>
    <w:rsid w:val="00704AB5"/>
    <w:rsid w:val="00704AF0"/>
    <w:rsid w:val="00704B41"/>
    <w:rsid w:val="00704B8E"/>
    <w:rsid w:val="00704B9D"/>
    <w:rsid w:val="00704BDD"/>
    <w:rsid w:val="00704BDF"/>
    <w:rsid w:val="00704C09"/>
    <w:rsid w:val="00704C60"/>
    <w:rsid w:val="00704C89"/>
    <w:rsid w:val="00704C8D"/>
    <w:rsid w:val="00704CBB"/>
    <w:rsid w:val="00704CC0"/>
    <w:rsid w:val="00704CF3"/>
    <w:rsid w:val="00704CF9"/>
    <w:rsid w:val="00704D42"/>
    <w:rsid w:val="00704D8E"/>
    <w:rsid w:val="00704DE0"/>
    <w:rsid w:val="00704E56"/>
    <w:rsid w:val="00704E5E"/>
    <w:rsid w:val="00704EC2"/>
    <w:rsid w:val="00704ECA"/>
    <w:rsid w:val="00704EED"/>
    <w:rsid w:val="00704F1A"/>
    <w:rsid w:val="00704F1B"/>
    <w:rsid w:val="00704F5B"/>
    <w:rsid w:val="00704FB3"/>
    <w:rsid w:val="00705083"/>
    <w:rsid w:val="007050BF"/>
    <w:rsid w:val="007050D7"/>
    <w:rsid w:val="007050D9"/>
    <w:rsid w:val="007050F5"/>
    <w:rsid w:val="00705113"/>
    <w:rsid w:val="00705133"/>
    <w:rsid w:val="00705135"/>
    <w:rsid w:val="00705144"/>
    <w:rsid w:val="00705196"/>
    <w:rsid w:val="007051C3"/>
    <w:rsid w:val="007051CD"/>
    <w:rsid w:val="007051D6"/>
    <w:rsid w:val="0070524F"/>
    <w:rsid w:val="0070537C"/>
    <w:rsid w:val="007053A6"/>
    <w:rsid w:val="00705494"/>
    <w:rsid w:val="007054AD"/>
    <w:rsid w:val="007054AF"/>
    <w:rsid w:val="007054D2"/>
    <w:rsid w:val="007054FB"/>
    <w:rsid w:val="00705598"/>
    <w:rsid w:val="007055B1"/>
    <w:rsid w:val="007055B6"/>
    <w:rsid w:val="007055EB"/>
    <w:rsid w:val="0070565F"/>
    <w:rsid w:val="007056BC"/>
    <w:rsid w:val="007056C8"/>
    <w:rsid w:val="00705710"/>
    <w:rsid w:val="00705712"/>
    <w:rsid w:val="00705724"/>
    <w:rsid w:val="0070572F"/>
    <w:rsid w:val="0070575D"/>
    <w:rsid w:val="00705762"/>
    <w:rsid w:val="00705786"/>
    <w:rsid w:val="0070579D"/>
    <w:rsid w:val="007057B9"/>
    <w:rsid w:val="007057D5"/>
    <w:rsid w:val="007057EB"/>
    <w:rsid w:val="00705838"/>
    <w:rsid w:val="00705856"/>
    <w:rsid w:val="00705857"/>
    <w:rsid w:val="00705867"/>
    <w:rsid w:val="0070586E"/>
    <w:rsid w:val="007058E0"/>
    <w:rsid w:val="007058EF"/>
    <w:rsid w:val="00705914"/>
    <w:rsid w:val="0070595A"/>
    <w:rsid w:val="0070595B"/>
    <w:rsid w:val="0070595C"/>
    <w:rsid w:val="0070597C"/>
    <w:rsid w:val="00705986"/>
    <w:rsid w:val="00705A1D"/>
    <w:rsid w:val="00705A25"/>
    <w:rsid w:val="00705A3F"/>
    <w:rsid w:val="00705A55"/>
    <w:rsid w:val="00705A8E"/>
    <w:rsid w:val="00705A94"/>
    <w:rsid w:val="00705AB8"/>
    <w:rsid w:val="00705B59"/>
    <w:rsid w:val="00705B5A"/>
    <w:rsid w:val="00705B64"/>
    <w:rsid w:val="00705B70"/>
    <w:rsid w:val="00705BFA"/>
    <w:rsid w:val="00705C06"/>
    <w:rsid w:val="00705C16"/>
    <w:rsid w:val="00705C49"/>
    <w:rsid w:val="00705CB4"/>
    <w:rsid w:val="00705CB5"/>
    <w:rsid w:val="00705CBC"/>
    <w:rsid w:val="00705CF7"/>
    <w:rsid w:val="00705D1E"/>
    <w:rsid w:val="00705D54"/>
    <w:rsid w:val="00705D56"/>
    <w:rsid w:val="00705D77"/>
    <w:rsid w:val="00705D93"/>
    <w:rsid w:val="00705D94"/>
    <w:rsid w:val="00705DC0"/>
    <w:rsid w:val="00705DE5"/>
    <w:rsid w:val="00705E72"/>
    <w:rsid w:val="00705EA2"/>
    <w:rsid w:val="00705ECB"/>
    <w:rsid w:val="00705F24"/>
    <w:rsid w:val="00705F47"/>
    <w:rsid w:val="00705FD1"/>
    <w:rsid w:val="00705FDB"/>
    <w:rsid w:val="00706001"/>
    <w:rsid w:val="0070603C"/>
    <w:rsid w:val="0070606F"/>
    <w:rsid w:val="007060BA"/>
    <w:rsid w:val="007060C3"/>
    <w:rsid w:val="00706152"/>
    <w:rsid w:val="00706162"/>
    <w:rsid w:val="00706190"/>
    <w:rsid w:val="007061A0"/>
    <w:rsid w:val="007061F7"/>
    <w:rsid w:val="007061FF"/>
    <w:rsid w:val="00706212"/>
    <w:rsid w:val="0070629E"/>
    <w:rsid w:val="007062C8"/>
    <w:rsid w:val="007062F0"/>
    <w:rsid w:val="0070630B"/>
    <w:rsid w:val="00706368"/>
    <w:rsid w:val="0070639A"/>
    <w:rsid w:val="00706430"/>
    <w:rsid w:val="0070643F"/>
    <w:rsid w:val="00706499"/>
    <w:rsid w:val="007064D6"/>
    <w:rsid w:val="00706507"/>
    <w:rsid w:val="00706682"/>
    <w:rsid w:val="00706691"/>
    <w:rsid w:val="007066B9"/>
    <w:rsid w:val="007066D0"/>
    <w:rsid w:val="00706706"/>
    <w:rsid w:val="00706783"/>
    <w:rsid w:val="007067C2"/>
    <w:rsid w:val="007067C5"/>
    <w:rsid w:val="007067D1"/>
    <w:rsid w:val="007067F8"/>
    <w:rsid w:val="007067FF"/>
    <w:rsid w:val="00706802"/>
    <w:rsid w:val="0070680A"/>
    <w:rsid w:val="00706810"/>
    <w:rsid w:val="0070681B"/>
    <w:rsid w:val="00706830"/>
    <w:rsid w:val="00706846"/>
    <w:rsid w:val="00706874"/>
    <w:rsid w:val="00706891"/>
    <w:rsid w:val="0070689A"/>
    <w:rsid w:val="007068F0"/>
    <w:rsid w:val="00706908"/>
    <w:rsid w:val="00706936"/>
    <w:rsid w:val="007069E1"/>
    <w:rsid w:val="00706A2C"/>
    <w:rsid w:val="00706A30"/>
    <w:rsid w:val="00706A3D"/>
    <w:rsid w:val="00706AA7"/>
    <w:rsid w:val="00706ADB"/>
    <w:rsid w:val="00706AFB"/>
    <w:rsid w:val="00706B68"/>
    <w:rsid w:val="00706C0E"/>
    <w:rsid w:val="00706C16"/>
    <w:rsid w:val="00706C33"/>
    <w:rsid w:val="00706CD9"/>
    <w:rsid w:val="00706D2E"/>
    <w:rsid w:val="00706D70"/>
    <w:rsid w:val="00706DBF"/>
    <w:rsid w:val="00706DF5"/>
    <w:rsid w:val="00706E07"/>
    <w:rsid w:val="00706E18"/>
    <w:rsid w:val="00706E20"/>
    <w:rsid w:val="00706E8E"/>
    <w:rsid w:val="00706E96"/>
    <w:rsid w:val="00706EA0"/>
    <w:rsid w:val="00706ECA"/>
    <w:rsid w:val="00706F03"/>
    <w:rsid w:val="00706F1A"/>
    <w:rsid w:val="00706FB6"/>
    <w:rsid w:val="00706FFE"/>
    <w:rsid w:val="0070702A"/>
    <w:rsid w:val="0070703E"/>
    <w:rsid w:val="00707050"/>
    <w:rsid w:val="0070706A"/>
    <w:rsid w:val="00707083"/>
    <w:rsid w:val="007070AD"/>
    <w:rsid w:val="007070D4"/>
    <w:rsid w:val="00707117"/>
    <w:rsid w:val="0070719C"/>
    <w:rsid w:val="007071F2"/>
    <w:rsid w:val="007071F6"/>
    <w:rsid w:val="007071F9"/>
    <w:rsid w:val="0070720A"/>
    <w:rsid w:val="0070724E"/>
    <w:rsid w:val="00707252"/>
    <w:rsid w:val="007072C4"/>
    <w:rsid w:val="007072C7"/>
    <w:rsid w:val="007072C9"/>
    <w:rsid w:val="0070730A"/>
    <w:rsid w:val="00707322"/>
    <w:rsid w:val="007073A1"/>
    <w:rsid w:val="007073F6"/>
    <w:rsid w:val="00707421"/>
    <w:rsid w:val="0070745A"/>
    <w:rsid w:val="0070749B"/>
    <w:rsid w:val="007074F0"/>
    <w:rsid w:val="0070753C"/>
    <w:rsid w:val="0070754C"/>
    <w:rsid w:val="00707557"/>
    <w:rsid w:val="00707586"/>
    <w:rsid w:val="007075C1"/>
    <w:rsid w:val="007075C4"/>
    <w:rsid w:val="00707642"/>
    <w:rsid w:val="00707661"/>
    <w:rsid w:val="007076B3"/>
    <w:rsid w:val="0070773B"/>
    <w:rsid w:val="00707759"/>
    <w:rsid w:val="0070778C"/>
    <w:rsid w:val="0070779B"/>
    <w:rsid w:val="007077E8"/>
    <w:rsid w:val="0070780A"/>
    <w:rsid w:val="0070781D"/>
    <w:rsid w:val="00707835"/>
    <w:rsid w:val="0070787A"/>
    <w:rsid w:val="0070787C"/>
    <w:rsid w:val="0070787D"/>
    <w:rsid w:val="007078C7"/>
    <w:rsid w:val="00707931"/>
    <w:rsid w:val="00707935"/>
    <w:rsid w:val="00707980"/>
    <w:rsid w:val="0070798D"/>
    <w:rsid w:val="007079B8"/>
    <w:rsid w:val="007079C5"/>
    <w:rsid w:val="007079E8"/>
    <w:rsid w:val="00707AAF"/>
    <w:rsid w:val="00707AB3"/>
    <w:rsid w:val="00707AB5"/>
    <w:rsid w:val="00707AE0"/>
    <w:rsid w:val="00707B72"/>
    <w:rsid w:val="00707B7C"/>
    <w:rsid w:val="00707B82"/>
    <w:rsid w:val="00707B87"/>
    <w:rsid w:val="00707BFB"/>
    <w:rsid w:val="00707C5A"/>
    <w:rsid w:val="00707C72"/>
    <w:rsid w:val="00707C8D"/>
    <w:rsid w:val="00707C91"/>
    <w:rsid w:val="00707CB3"/>
    <w:rsid w:val="00707CB5"/>
    <w:rsid w:val="00707CC6"/>
    <w:rsid w:val="00707D12"/>
    <w:rsid w:val="00707D40"/>
    <w:rsid w:val="00707D55"/>
    <w:rsid w:val="00707DD1"/>
    <w:rsid w:val="00707DDD"/>
    <w:rsid w:val="00707E0A"/>
    <w:rsid w:val="00707E19"/>
    <w:rsid w:val="00707F0B"/>
    <w:rsid w:val="00707F8F"/>
    <w:rsid w:val="00707FBD"/>
    <w:rsid w:val="00707FD8"/>
    <w:rsid w:val="00710028"/>
    <w:rsid w:val="00710075"/>
    <w:rsid w:val="007100CC"/>
    <w:rsid w:val="0071011A"/>
    <w:rsid w:val="00710163"/>
    <w:rsid w:val="00710198"/>
    <w:rsid w:val="007101B1"/>
    <w:rsid w:val="00710208"/>
    <w:rsid w:val="0071026B"/>
    <w:rsid w:val="0071028B"/>
    <w:rsid w:val="007102BF"/>
    <w:rsid w:val="007102C2"/>
    <w:rsid w:val="00710373"/>
    <w:rsid w:val="00710377"/>
    <w:rsid w:val="007103CE"/>
    <w:rsid w:val="007103F0"/>
    <w:rsid w:val="0071040A"/>
    <w:rsid w:val="0071044A"/>
    <w:rsid w:val="00710472"/>
    <w:rsid w:val="0071047D"/>
    <w:rsid w:val="00710497"/>
    <w:rsid w:val="0071050A"/>
    <w:rsid w:val="00710513"/>
    <w:rsid w:val="00710525"/>
    <w:rsid w:val="00710528"/>
    <w:rsid w:val="00710573"/>
    <w:rsid w:val="0071058B"/>
    <w:rsid w:val="007105AC"/>
    <w:rsid w:val="007105BC"/>
    <w:rsid w:val="007105FC"/>
    <w:rsid w:val="007106E0"/>
    <w:rsid w:val="007106EC"/>
    <w:rsid w:val="007106ED"/>
    <w:rsid w:val="00710732"/>
    <w:rsid w:val="00710764"/>
    <w:rsid w:val="00710766"/>
    <w:rsid w:val="00710778"/>
    <w:rsid w:val="007107AE"/>
    <w:rsid w:val="007107E1"/>
    <w:rsid w:val="0071082F"/>
    <w:rsid w:val="00710836"/>
    <w:rsid w:val="0071084F"/>
    <w:rsid w:val="00710863"/>
    <w:rsid w:val="007108AF"/>
    <w:rsid w:val="007108BC"/>
    <w:rsid w:val="00710955"/>
    <w:rsid w:val="0071095B"/>
    <w:rsid w:val="007109AA"/>
    <w:rsid w:val="007109AC"/>
    <w:rsid w:val="007109CE"/>
    <w:rsid w:val="00710A29"/>
    <w:rsid w:val="00710AA1"/>
    <w:rsid w:val="00710AD6"/>
    <w:rsid w:val="00710BD4"/>
    <w:rsid w:val="00710C18"/>
    <w:rsid w:val="00710C6D"/>
    <w:rsid w:val="00710CD9"/>
    <w:rsid w:val="00710CE6"/>
    <w:rsid w:val="00710D13"/>
    <w:rsid w:val="00710D2B"/>
    <w:rsid w:val="00710D30"/>
    <w:rsid w:val="00710D6B"/>
    <w:rsid w:val="00710DDF"/>
    <w:rsid w:val="00710E06"/>
    <w:rsid w:val="00710E78"/>
    <w:rsid w:val="00710E7C"/>
    <w:rsid w:val="00710EBA"/>
    <w:rsid w:val="00710EC3"/>
    <w:rsid w:val="00710EF1"/>
    <w:rsid w:val="00710F16"/>
    <w:rsid w:val="00710F39"/>
    <w:rsid w:val="00710F5D"/>
    <w:rsid w:val="00710F84"/>
    <w:rsid w:val="00710FFC"/>
    <w:rsid w:val="00711005"/>
    <w:rsid w:val="0071104A"/>
    <w:rsid w:val="0071108F"/>
    <w:rsid w:val="007110A0"/>
    <w:rsid w:val="007110AB"/>
    <w:rsid w:val="007110FE"/>
    <w:rsid w:val="0071110E"/>
    <w:rsid w:val="00711117"/>
    <w:rsid w:val="007111D5"/>
    <w:rsid w:val="007111D6"/>
    <w:rsid w:val="00711202"/>
    <w:rsid w:val="00711215"/>
    <w:rsid w:val="0071126C"/>
    <w:rsid w:val="0071128C"/>
    <w:rsid w:val="007112BD"/>
    <w:rsid w:val="007112D2"/>
    <w:rsid w:val="0071130F"/>
    <w:rsid w:val="00711365"/>
    <w:rsid w:val="0071137E"/>
    <w:rsid w:val="007113EF"/>
    <w:rsid w:val="00711439"/>
    <w:rsid w:val="0071148A"/>
    <w:rsid w:val="00711495"/>
    <w:rsid w:val="007114ED"/>
    <w:rsid w:val="0071150E"/>
    <w:rsid w:val="00711517"/>
    <w:rsid w:val="00711528"/>
    <w:rsid w:val="00711535"/>
    <w:rsid w:val="00711549"/>
    <w:rsid w:val="0071154B"/>
    <w:rsid w:val="0071156E"/>
    <w:rsid w:val="00711584"/>
    <w:rsid w:val="00711599"/>
    <w:rsid w:val="007115A1"/>
    <w:rsid w:val="007115CE"/>
    <w:rsid w:val="007115D8"/>
    <w:rsid w:val="0071165C"/>
    <w:rsid w:val="00711663"/>
    <w:rsid w:val="0071168C"/>
    <w:rsid w:val="007116A8"/>
    <w:rsid w:val="007116EB"/>
    <w:rsid w:val="0071170A"/>
    <w:rsid w:val="0071172C"/>
    <w:rsid w:val="00711765"/>
    <w:rsid w:val="007117C5"/>
    <w:rsid w:val="00711814"/>
    <w:rsid w:val="007118A9"/>
    <w:rsid w:val="007118AA"/>
    <w:rsid w:val="007118B3"/>
    <w:rsid w:val="007118C3"/>
    <w:rsid w:val="0071191F"/>
    <w:rsid w:val="0071192F"/>
    <w:rsid w:val="0071194E"/>
    <w:rsid w:val="0071195A"/>
    <w:rsid w:val="00711987"/>
    <w:rsid w:val="00711997"/>
    <w:rsid w:val="007119E7"/>
    <w:rsid w:val="00711AF0"/>
    <w:rsid w:val="00711AF9"/>
    <w:rsid w:val="00711B18"/>
    <w:rsid w:val="00711BBD"/>
    <w:rsid w:val="00711BC7"/>
    <w:rsid w:val="00711BC8"/>
    <w:rsid w:val="00711BD3"/>
    <w:rsid w:val="00711C22"/>
    <w:rsid w:val="00711C40"/>
    <w:rsid w:val="00711C69"/>
    <w:rsid w:val="00711CCC"/>
    <w:rsid w:val="00711CDA"/>
    <w:rsid w:val="00711D17"/>
    <w:rsid w:val="00711DB0"/>
    <w:rsid w:val="00711DCA"/>
    <w:rsid w:val="00711E13"/>
    <w:rsid w:val="00711E2A"/>
    <w:rsid w:val="00711E95"/>
    <w:rsid w:val="00711EC4"/>
    <w:rsid w:val="00711EC7"/>
    <w:rsid w:val="00711EEF"/>
    <w:rsid w:val="00711EF2"/>
    <w:rsid w:val="00711F00"/>
    <w:rsid w:val="00711F0F"/>
    <w:rsid w:val="00711F18"/>
    <w:rsid w:val="00711F1C"/>
    <w:rsid w:val="00711FA2"/>
    <w:rsid w:val="00711FAC"/>
    <w:rsid w:val="00711FB5"/>
    <w:rsid w:val="00712007"/>
    <w:rsid w:val="0071204F"/>
    <w:rsid w:val="007120AC"/>
    <w:rsid w:val="007120E3"/>
    <w:rsid w:val="00712109"/>
    <w:rsid w:val="007121A0"/>
    <w:rsid w:val="007121A2"/>
    <w:rsid w:val="007121EA"/>
    <w:rsid w:val="007121F2"/>
    <w:rsid w:val="007121F3"/>
    <w:rsid w:val="00712225"/>
    <w:rsid w:val="007122AB"/>
    <w:rsid w:val="007122AD"/>
    <w:rsid w:val="00712328"/>
    <w:rsid w:val="0071235F"/>
    <w:rsid w:val="00712380"/>
    <w:rsid w:val="00712399"/>
    <w:rsid w:val="00712420"/>
    <w:rsid w:val="0071245E"/>
    <w:rsid w:val="007124A6"/>
    <w:rsid w:val="007124F0"/>
    <w:rsid w:val="007124F8"/>
    <w:rsid w:val="00712503"/>
    <w:rsid w:val="00712577"/>
    <w:rsid w:val="0071258B"/>
    <w:rsid w:val="00712599"/>
    <w:rsid w:val="007125D4"/>
    <w:rsid w:val="007125D8"/>
    <w:rsid w:val="007125FE"/>
    <w:rsid w:val="00712644"/>
    <w:rsid w:val="00712662"/>
    <w:rsid w:val="0071266B"/>
    <w:rsid w:val="0071266E"/>
    <w:rsid w:val="0071268E"/>
    <w:rsid w:val="007126AB"/>
    <w:rsid w:val="007126D6"/>
    <w:rsid w:val="00712721"/>
    <w:rsid w:val="00712733"/>
    <w:rsid w:val="0071274C"/>
    <w:rsid w:val="007127C4"/>
    <w:rsid w:val="007127CB"/>
    <w:rsid w:val="00712888"/>
    <w:rsid w:val="007128A0"/>
    <w:rsid w:val="007128EE"/>
    <w:rsid w:val="007128F8"/>
    <w:rsid w:val="00712901"/>
    <w:rsid w:val="00712923"/>
    <w:rsid w:val="00712954"/>
    <w:rsid w:val="00712968"/>
    <w:rsid w:val="007129BC"/>
    <w:rsid w:val="00712A39"/>
    <w:rsid w:val="00712A3D"/>
    <w:rsid w:val="00712A64"/>
    <w:rsid w:val="00712A89"/>
    <w:rsid w:val="00712AAB"/>
    <w:rsid w:val="00712B44"/>
    <w:rsid w:val="00712B66"/>
    <w:rsid w:val="00712B76"/>
    <w:rsid w:val="00712BB8"/>
    <w:rsid w:val="00712C4E"/>
    <w:rsid w:val="00712C78"/>
    <w:rsid w:val="00712C88"/>
    <w:rsid w:val="00712C91"/>
    <w:rsid w:val="00712C9C"/>
    <w:rsid w:val="00712CB8"/>
    <w:rsid w:val="00712CBA"/>
    <w:rsid w:val="00712CF4"/>
    <w:rsid w:val="00712CF6"/>
    <w:rsid w:val="00712DCE"/>
    <w:rsid w:val="00712E9B"/>
    <w:rsid w:val="00712EC2"/>
    <w:rsid w:val="00712EF2"/>
    <w:rsid w:val="00712F6E"/>
    <w:rsid w:val="00712F81"/>
    <w:rsid w:val="00712FA7"/>
    <w:rsid w:val="00712FCF"/>
    <w:rsid w:val="00712FF6"/>
    <w:rsid w:val="0071301C"/>
    <w:rsid w:val="0071304E"/>
    <w:rsid w:val="00713086"/>
    <w:rsid w:val="00713182"/>
    <w:rsid w:val="0071319A"/>
    <w:rsid w:val="007131AB"/>
    <w:rsid w:val="007131CD"/>
    <w:rsid w:val="007131CF"/>
    <w:rsid w:val="00713212"/>
    <w:rsid w:val="00713251"/>
    <w:rsid w:val="00713284"/>
    <w:rsid w:val="0071329F"/>
    <w:rsid w:val="007132C6"/>
    <w:rsid w:val="007132C9"/>
    <w:rsid w:val="0071333C"/>
    <w:rsid w:val="007133EC"/>
    <w:rsid w:val="00713427"/>
    <w:rsid w:val="00713430"/>
    <w:rsid w:val="00713443"/>
    <w:rsid w:val="00713451"/>
    <w:rsid w:val="0071347E"/>
    <w:rsid w:val="007134A1"/>
    <w:rsid w:val="00713508"/>
    <w:rsid w:val="0071350D"/>
    <w:rsid w:val="007135C1"/>
    <w:rsid w:val="007135D4"/>
    <w:rsid w:val="007135DE"/>
    <w:rsid w:val="007135E8"/>
    <w:rsid w:val="0071365E"/>
    <w:rsid w:val="0071366D"/>
    <w:rsid w:val="007136C2"/>
    <w:rsid w:val="00713784"/>
    <w:rsid w:val="007137A2"/>
    <w:rsid w:val="007137CC"/>
    <w:rsid w:val="007137DF"/>
    <w:rsid w:val="007137E2"/>
    <w:rsid w:val="0071380C"/>
    <w:rsid w:val="0071382E"/>
    <w:rsid w:val="007138FB"/>
    <w:rsid w:val="0071392C"/>
    <w:rsid w:val="0071395B"/>
    <w:rsid w:val="007139A8"/>
    <w:rsid w:val="00713A14"/>
    <w:rsid w:val="00713A1B"/>
    <w:rsid w:val="00713A2C"/>
    <w:rsid w:val="00713AB8"/>
    <w:rsid w:val="00713AE0"/>
    <w:rsid w:val="00713AEA"/>
    <w:rsid w:val="00713B19"/>
    <w:rsid w:val="00713B24"/>
    <w:rsid w:val="00713B62"/>
    <w:rsid w:val="00713BB7"/>
    <w:rsid w:val="00713C80"/>
    <w:rsid w:val="00713C88"/>
    <w:rsid w:val="00713C89"/>
    <w:rsid w:val="00713CB1"/>
    <w:rsid w:val="00713CD6"/>
    <w:rsid w:val="00713D01"/>
    <w:rsid w:val="00713D1C"/>
    <w:rsid w:val="00713D5A"/>
    <w:rsid w:val="00713D83"/>
    <w:rsid w:val="00713D8A"/>
    <w:rsid w:val="00713D92"/>
    <w:rsid w:val="00713DAB"/>
    <w:rsid w:val="00713DB1"/>
    <w:rsid w:val="00713DCA"/>
    <w:rsid w:val="00713DDE"/>
    <w:rsid w:val="00713E2D"/>
    <w:rsid w:val="00713E31"/>
    <w:rsid w:val="00713E61"/>
    <w:rsid w:val="00713E67"/>
    <w:rsid w:val="00713E6D"/>
    <w:rsid w:val="00713E97"/>
    <w:rsid w:val="00713EEA"/>
    <w:rsid w:val="00713EFC"/>
    <w:rsid w:val="00713F01"/>
    <w:rsid w:val="00713F5C"/>
    <w:rsid w:val="00714021"/>
    <w:rsid w:val="0071403A"/>
    <w:rsid w:val="0071404F"/>
    <w:rsid w:val="0071405C"/>
    <w:rsid w:val="00714100"/>
    <w:rsid w:val="00714118"/>
    <w:rsid w:val="00714146"/>
    <w:rsid w:val="0071414D"/>
    <w:rsid w:val="0071418B"/>
    <w:rsid w:val="0071422C"/>
    <w:rsid w:val="0071428D"/>
    <w:rsid w:val="00714292"/>
    <w:rsid w:val="007142C4"/>
    <w:rsid w:val="007142F7"/>
    <w:rsid w:val="00714312"/>
    <w:rsid w:val="00714323"/>
    <w:rsid w:val="00714351"/>
    <w:rsid w:val="00714389"/>
    <w:rsid w:val="007143A5"/>
    <w:rsid w:val="007143BA"/>
    <w:rsid w:val="007143C9"/>
    <w:rsid w:val="0071440C"/>
    <w:rsid w:val="0071447D"/>
    <w:rsid w:val="007144D6"/>
    <w:rsid w:val="00714536"/>
    <w:rsid w:val="0071454D"/>
    <w:rsid w:val="00714562"/>
    <w:rsid w:val="007146BB"/>
    <w:rsid w:val="00714739"/>
    <w:rsid w:val="0071473B"/>
    <w:rsid w:val="0071477A"/>
    <w:rsid w:val="007147A3"/>
    <w:rsid w:val="007147A4"/>
    <w:rsid w:val="007147B1"/>
    <w:rsid w:val="00714822"/>
    <w:rsid w:val="00714846"/>
    <w:rsid w:val="00714880"/>
    <w:rsid w:val="007148B9"/>
    <w:rsid w:val="0071498E"/>
    <w:rsid w:val="007149A2"/>
    <w:rsid w:val="007149A5"/>
    <w:rsid w:val="00714A6A"/>
    <w:rsid w:val="00714AE2"/>
    <w:rsid w:val="00714B67"/>
    <w:rsid w:val="00714B95"/>
    <w:rsid w:val="00714C38"/>
    <w:rsid w:val="00714C5C"/>
    <w:rsid w:val="00714C62"/>
    <w:rsid w:val="00714C6B"/>
    <w:rsid w:val="00714C8D"/>
    <w:rsid w:val="00714CB5"/>
    <w:rsid w:val="00714CC6"/>
    <w:rsid w:val="00714CDC"/>
    <w:rsid w:val="00714D31"/>
    <w:rsid w:val="00714D33"/>
    <w:rsid w:val="00714D53"/>
    <w:rsid w:val="00714DD0"/>
    <w:rsid w:val="00714E44"/>
    <w:rsid w:val="00714E50"/>
    <w:rsid w:val="00714E8D"/>
    <w:rsid w:val="00714E8E"/>
    <w:rsid w:val="00714ECF"/>
    <w:rsid w:val="00714F1B"/>
    <w:rsid w:val="00714F3A"/>
    <w:rsid w:val="00715005"/>
    <w:rsid w:val="00715030"/>
    <w:rsid w:val="00715092"/>
    <w:rsid w:val="007150A8"/>
    <w:rsid w:val="007150AA"/>
    <w:rsid w:val="007150B4"/>
    <w:rsid w:val="007150D8"/>
    <w:rsid w:val="007150E8"/>
    <w:rsid w:val="00715119"/>
    <w:rsid w:val="007151A6"/>
    <w:rsid w:val="007151B5"/>
    <w:rsid w:val="007151C5"/>
    <w:rsid w:val="007151DC"/>
    <w:rsid w:val="007151F1"/>
    <w:rsid w:val="00715243"/>
    <w:rsid w:val="0071527E"/>
    <w:rsid w:val="0071528F"/>
    <w:rsid w:val="0071529B"/>
    <w:rsid w:val="00715305"/>
    <w:rsid w:val="00715315"/>
    <w:rsid w:val="00715333"/>
    <w:rsid w:val="0071535D"/>
    <w:rsid w:val="0071536C"/>
    <w:rsid w:val="007153DD"/>
    <w:rsid w:val="007153E6"/>
    <w:rsid w:val="0071542A"/>
    <w:rsid w:val="00715440"/>
    <w:rsid w:val="00715441"/>
    <w:rsid w:val="00715458"/>
    <w:rsid w:val="0071548D"/>
    <w:rsid w:val="007154A9"/>
    <w:rsid w:val="007154DA"/>
    <w:rsid w:val="00715520"/>
    <w:rsid w:val="0071554A"/>
    <w:rsid w:val="0071557E"/>
    <w:rsid w:val="00715587"/>
    <w:rsid w:val="007155DE"/>
    <w:rsid w:val="007155EB"/>
    <w:rsid w:val="00715604"/>
    <w:rsid w:val="00715636"/>
    <w:rsid w:val="0071563A"/>
    <w:rsid w:val="00715693"/>
    <w:rsid w:val="007156A4"/>
    <w:rsid w:val="007156BE"/>
    <w:rsid w:val="0071578C"/>
    <w:rsid w:val="0071579A"/>
    <w:rsid w:val="00715833"/>
    <w:rsid w:val="00715842"/>
    <w:rsid w:val="0071587F"/>
    <w:rsid w:val="007158A5"/>
    <w:rsid w:val="007158AB"/>
    <w:rsid w:val="007158C2"/>
    <w:rsid w:val="00715990"/>
    <w:rsid w:val="007159AB"/>
    <w:rsid w:val="007159B2"/>
    <w:rsid w:val="007159FE"/>
    <w:rsid w:val="00715A1A"/>
    <w:rsid w:val="00715A5F"/>
    <w:rsid w:val="00715ABF"/>
    <w:rsid w:val="00715AC1"/>
    <w:rsid w:val="00715B11"/>
    <w:rsid w:val="00715B32"/>
    <w:rsid w:val="00715B8C"/>
    <w:rsid w:val="00715BA9"/>
    <w:rsid w:val="00715BDC"/>
    <w:rsid w:val="00715C38"/>
    <w:rsid w:val="00715C53"/>
    <w:rsid w:val="00715C6E"/>
    <w:rsid w:val="00715C8A"/>
    <w:rsid w:val="00715CD9"/>
    <w:rsid w:val="00715CF2"/>
    <w:rsid w:val="00715D30"/>
    <w:rsid w:val="00715D33"/>
    <w:rsid w:val="00715D74"/>
    <w:rsid w:val="00715DD3"/>
    <w:rsid w:val="00715DF0"/>
    <w:rsid w:val="00715E26"/>
    <w:rsid w:val="00715E2A"/>
    <w:rsid w:val="00715E5F"/>
    <w:rsid w:val="00715E88"/>
    <w:rsid w:val="00715ECC"/>
    <w:rsid w:val="00715EEC"/>
    <w:rsid w:val="00715EEE"/>
    <w:rsid w:val="00715EF0"/>
    <w:rsid w:val="00715F5D"/>
    <w:rsid w:val="00715F6B"/>
    <w:rsid w:val="00715FC9"/>
    <w:rsid w:val="00715FFD"/>
    <w:rsid w:val="00716012"/>
    <w:rsid w:val="00716038"/>
    <w:rsid w:val="0071604E"/>
    <w:rsid w:val="00716057"/>
    <w:rsid w:val="0071609C"/>
    <w:rsid w:val="007160CF"/>
    <w:rsid w:val="00716112"/>
    <w:rsid w:val="00716150"/>
    <w:rsid w:val="00716156"/>
    <w:rsid w:val="00716164"/>
    <w:rsid w:val="00716166"/>
    <w:rsid w:val="00716199"/>
    <w:rsid w:val="007161D3"/>
    <w:rsid w:val="007161EF"/>
    <w:rsid w:val="00716206"/>
    <w:rsid w:val="00716208"/>
    <w:rsid w:val="00716251"/>
    <w:rsid w:val="00716297"/>
    <w:rsid w:val="007162B4"/>
    <w:rsid w:val="007162D2"/>
    <w:rsid w:val="007162EA"/>
    <w:rsid w:val="007162F1"/>
    <w:rsid w:val="007162F6"/>
    <w:rsid w:val="00716300"/>
    <w:rsid w:val="00716337"/>
    <w:rsid w:val="0071633C"/>
    <w:rsid w:val="00716356"/>
    <w:rsid w:val="00716371"/>
    <w:rsid w:val="007163A0"/>
    <w:rsid w:val="007163D4"/>
    <w:rsid w:val="00716492"/>
    <w:rsid w:val="007164C1"/>
    <w:rsid w:val="007164C5"/>
    <w:rsid w:val="007164D2"/>
    <w:rsid w:val="0071653B"/>
    <w:rsid w:val="00716595"/>
    <w:rsid w:val="0071659A"/>
    <w:rsid w:val="007165A1"/>
    <w:rsid w:val="007165B6"/>
    <w:rsid w:val="007165FD"/>
    <w:rsid w:val="00716629"/>
    <w:rsid w:val="00716652"/>
    <w:rsid w:val="0071666F"/>
    <w:rsid w:val="0071669E"/>
    <w:rsid w:val="007166F6"/>
    <w:rsid w:val="007166F7"/>
    <w:rsid w:val="00716722"/>
    <w:rsid w:val="007167C9"/>
    <w:rsid w:val="007167CE"/>
    <w:rsid w:val="007167F1"/>
    <w:rsid w:val="00716814"/>
    <w:rsid w:val="00716825"/>
    <w:rsid w:val="0071683F"/>
    <w:rsid w:val="00716854"/>
    <w:rsid w:val="0071685A"/>
    <w:rsid w:val="0071686C"/>
    <w:rsid w:val="0071687B"/>
    <w:rsid w:val="00716900"/>
    <w:rsid w:val="007169A3"/>
    <w:rsid w:val="007169AF"/>
    <w:rsid w:val="007169F1"/>
    <w:rsid w:val="00716A3D"/>
    <w:rsid w:val="00716A82"/>
    <w:rsid w:val="00716A87"/>
    <w:rsid w:val="00716B7B"/>
    <w:rsid w:val="00716B83"/>
    <w:rsid w:val="00716B8C"/>
    <w:rsid w:val="00716BA8"/>
    <w:rsid w:val="00716BCB"/>
    <w:rsid w:val="00716C0F"/>
    <w:rsid w:val="00716C30"/>
    <w:rsid w:val="00716C42"/>
    <w:rsid w:val="00716CA5"/>
    <w:rsid w:val="00716CAE"/>
    <w:rsid w:val="00716D63"/>
    <w:rsid w:val="00716DAB"/>
    <w:rsid w:val="00716DEC"/>
    <w:rsid w:val="00716DEF"/>
    <w:rsid w:val="00716DF3"/>
    <w:rsid w:val="00716E4B"/>
    <w:rsid w:val="00716E86"/>
    <w:rsid w:val="00716EAF"/>
    <w:rsid w:val="00716EDE"/>
    <w:rsid w:val="00716F0C"/>
    <w:rsid w:val="00716F35"/>
    <w:rsid w:val="00716F45"/>
    <w:rsid w:val="00716F6F"/>
    <w:rsid w:val="00716FD2"/>
    <w:rsid w:val="00717004"/>
    <w:rsid w:val="0071703C"/>
    <w:rsid w:val="007170E8"/>
    <w:rsid w:val="0071710D"/>
    <w:rsid w:val="00717132"/>
    <w:rsid w:val="0071715C"/>
    <w:rsid w:val="007171AB"/>
    <w:rsid w:val="007171B2"/>
    <w:rsid w:val="007171CB"/>
    <w:rsid w:val="007171ED"/>
    <w:rsid w:val="0071721F"/>
    <w:rsid w:val="0071724A"/>
    <w:rsid w:val="0071725E"/>
    <w:rsid w:val="00717265"/>
    <w:rsid w:val="0071729A"/>
    <w:rsid w:val="007172E8"/>
    <w:rsid w:val="0071734A"/>
    <w:rsid w:val="007173B7"/>
    <w:rsid w:val="00717430"/>
    <w:rsid w:val="00717467"/>
    <w:rsid w:val="0071753A"/>
    <w:rsid w:val="00717558"/>
    <w:rsid w:val="0071760A"/>
    <w:rsid w:val="00717711"/>
    <w:rsid w:val="007177B9"/>
    <w:rsid w:val="007177E4"/>
    <w:rsid w:val="0071781E"/>
    <w:rsid w:val="00717874"/>
    <w:rsid w:val="00717875"/>
    <w:rsid w:val="00717897"/>
    <w:rsid w:val="00717A06"/>
    <w:rsid w:val="00717A36"/>
    <w:rsid w:val="00717A41"/>
    <w:rsid w:val="00717AD6"/>
    <w:rsid w:val="00717AF0"/>
    <w:rsid w:val="00717AF5"/>
    <w:rsid w:val="00717AF7"/>
    <w:rsid w:val="00717B27"/>
    <w:rsid w:val="00717B3D"/>
    <w:rsid w:val="00717B6E"/>
    <w:rsid w:val="00717B9E"/>
    <w:rsid w:val="00717BBE"/>
    <w:rsid w:val="00717C02"/>
    <w:rsid w:val="00717C1C"/>
    <w:rsid w:val="00717C28"/>
    <w:rsid w:val="00717C45"/>
    <w:rsid w:val="00717CA4"/>
    <w:rsid w:val="00717DB6"/>
    <w:rsid w:val="00717DBB"/>
    <w:rsid w:val="00717E57"/>
    <w:rsid w:val="00717E6A"/>
    <w:rsid w:val="00717E96"/>
    <w:rsid w:val="00717EDF"/>
    <w:rsid w:val="00717F09"/>
    <w:rsid w:val="00717F3E"/>
    <w:rsid w:val="00717F43"/>
    <w:rsid w:val="00717F83"/>
    <w:rsid w:val="00717FAD"/>
    <w:rsid w:val="0072001C"/>
    <w:rsid w:val="0072004C"/>
    <w:rsid w:val="007200BA"/>
    <w:rsid w:val="00720101"/>
    <w:rsid w:val="0072012C"/>
    <w:rsid w:val="00720130"/>
    <w:rsid w:val="00720173"/>
    <w:rsid w:val="0072017B"/>
    <w:rsid w:val="0072018B"/>
    <w:rsid w:val="007201C6"/>
    <w:rsid w:val="007201CD"/>
    <w:rsid w:val="007201E1"/>
    <w:rsid w:val="00720201"/>
    <w:rsid w:val="00720224"/>
    <w:rsid w:val="0072023E"/>
    <w:rsid w:val="00720285"/>
    <w:rsid w:val="007202E2"/>
    <w:rsid w:val="007202E9"/>
    <w:rsid w:val="00720383"/>
    <w:rsid w:val="00720421"/>
    <w:rsid w:val="00720422"/>
    <w:rsid w:val="00720433"/>
    <w:rsid w:val="00720460"/>
    <w:rsid w:val="007204B5"/>
    <w:rsid w:val="00720598"/>
    <w:rsid w:val="007205B0"/>
    <w:rsid w:val="007205D9"/>
    <w:rsid w:val="00720630"/>
    <w:rsid w:val="00720648"/>
    <w:rsid w:val="0072069A"/>
    <w:rsid w:val="007206C6"/>
    <w:rsid w:val="007206CD"/>
    <w:rsid w:val="00720727"/>
    <w:rsid w:val="00720767"/>
    <w:rsid w:val="0072079C"/>
    <w:rsid w:val="007207B2"/>
    <w:rsid w:val="007207C6"/>
    <w:rsid w:val="007207DF"/>
    <w:rsid w:val="007207EA"/>
    <w:rsid w:val="00720929"/>
    <w:rsid w:val="00720948"/>
    <w:rsid w:val="0072098E"/>
    <w:rsid w:val="00720995"/>
    <w:rsid w:val="0072099F"/>
    <w:rsid w:val="007209D1"/>
    <w:rsid w:val="00720A1E"/>
    <w:rsid w:val="00720A45"/>
    <w:rsid w:val="00720A89"/>
    <w:rsid w:val="00720AAB"/>
    <w:rsid w:val="00720AB1"/>
    <w:rsid w:val="00720AB6"/>
    <w:rsid w:val="00720AED"/>
    <w:rsid w:val="00720AF6"/>
    <w:rsid w:val="00720B18"/>
    <w:rsid w:val="00720B32"/>
    <w:rsid w:val="00720B6E"/>
    <w:rsid w:val="00720B9B"/>
    <w:rsid w:val="00720C01"/>
    <w:rsid w:val="00720C6C"/>
    <w:rsid w:val="00720CE0"/>
    <w:rsid w:val="00720CEE"/>
    <w:rsid w:val="00720CFA"/>
    <w:rsid w:val="00720D18"/>
    <w:rsid w:val="00720D4F"/>
    <w:rsid w:val="00720D64"/>
    <w:rsid w:val="00720DA2"/>
    <w:rsid w:val="00720DF8"/>
    <w:rsid w:val="00720E3F"/>
    <w:rsid w:val="00720E49"/>
    <w:rsid w:val="00720E4B"/>
    <w:rsid w:val="00720E6D"/>
    <w:rsid w:val="00720EA4"/>
    <w:rsid w:val="00720F2E"/>
    <w:rsid w:val="00720F44"/>
    <w:rsid w:val="00720F9E"/>
    <w:rsid w:val="00720FA5"/>
    <w:rsid w:val="00720FAF"/>
    <w:rsid w:val="00720FB7"/>
    <w:rsid w:val="00720FCD"/>
    <w:rsid w:val="00720FF9"/>
    <w:rsid w:val="00721033"/>
    <w:rsid w:val="00721040"/>
    <w:rsid w:val="00721089"/>
    <w:rsid w:val="007210A2"/>
    <w:rsid w:val="007210C4"/>
    <w:rsid w:val="0072114E"/>
    <w:rsid w:val="00721157"/>
    <w:rsid w:val="0072118E"/>
    <w:rsid w:val="007211E7"/>
    <w:rsid w:val="007211EA"/>
    <w:rsid w:val="007211F8"/>
    <w:rsid w:val="007212A4"/>
    <w:rsid w:val="007212C6"/>
    <w:rsid w:val="0072136A"/>
    <w:rsid w:val="00721377"/>
    <w:rsid w:val="00721398"/>
    <w:rsid w:val="00721450"/>
    <w:rsid w:val="007214DC"/>
    <w:rsid w:val="007214F6"/>
    <w:rsid w:val="00721557"/>
    <w:rsid w:val="0072158A"/>
    <w:rsid w:val="00721591"/>
    <w:rsid w:val="007215A0"/>
    <w:rsid w:val="007215B0"/>
    <w:rsid w:val="00721627"/>
    <w:rsid w:val="007216F6"/>
    <w:rsid w:val="00721741"/>
    <w:rsid w:val="00721768"/>
    <w:rsid w:val="00721794"/>
    <w:rsid w:val="0072179C"/>
    <w:rsid w:val="007217CB"/>
    <w:rsid w:val="007217F0"/>
    <w:rsid w:val="0072185A"/>
    <w:rsid w:val="0072188B"/>
    <w:rsid w:val="0072188F"/>
    <w:rsid w:val="007218DD"/>
    <w:rsid w:val="007218EE"/>
    <w:rsid w:val="00721915"/>
    <w:rsid w:val="0072191C"/>
    <w:rsid w:val="00721949"/>
    <w:rsid w:val="00721A69"/>
    <w:rsid w:val="00721A8E"/>
    <w:rsid w:val="00721AAB"/>
    <w:rsid w:val="00721AD5"/>
    <w:rsid w:val="00721AE7"/>
    <w:rsid w:val="00721B8E"/>
    <w:rsid w:val="00721B93"/>
    <w:rsid w:val="00721BA8"/>
    <w:rsid w:val="00721BB2"/>
    <w:rsid w:val="00721BB7"/>
    <w:rsid w:val="00721C0B"/>
    <w:rsid w:val="00721C0C"/>
    <w:rsid w:val="00721C45"/>
    <w:rsid w:val="00721C86"/>
    <w:rsid w:val="00721CA1"/>
    <w:rsid w:val="00721CC8"/>
    <w:rsid w:val="00721CFC"/>
    <w:rsid w:val="00721D15"/>
    <w:rsid w:val="00721D69"/>
    <w:rsid w:val="00721D75"/>
    <w:rsid w:val="00721D85"/>
    <w:rsid w:val="00721DA1"/>
    <w:rsid w:val="00721DBD"/>
    <w:rsid w:val="00721DD9"/>
    <w:rsid w:val="00721DED"/>
    <w:rsid w:val="00721DFF"/>
    <w:rsid w:val="00721E16"/>
    <w:rsid w:val="00721E17"/>
    <w:rsid w:val="00721E95"/>
    <w:rsid w:val="00721ECB"/>
    <w:rsid w:val="00721F39"/>
    <w:rsid w:val="00721F4A"/>
    <w:rsid w:val="00721F4C"/>
    <w:rsid w:val="00721F51"/>
    <w:rsid w:val="00721F9A"/>
    <w:rsid w:val="00721FB9"/>
    <w:rsid w:val="00722018"/>
    <w:rsid w:val="007220A7"/>
    <w:rsid w:val="007220E0"/>
    <w:rsid w:val="00722106"/>
    <w:rsid w:val="007221EF"/>
    <w:rsid w:val="007221FB"/>
    <w:rsid w:val="00722223"/>
    <w:rsid w:val="00722249"/>
    <w:rsid w:val="0072224B"/>
    <w:rsid w:val="0072227F"/>
    <w:rsid w:val="007222A1"/>
    <w:rsid w:val="007222C5"/>
    <w:rsid w:val="007222CA"/>
    <w:rsid w:val="0072235C"/>
    <w:rsid w:val="00722368"/>
    <w:rsid w:val="00722369"/>
    <w:rsid w:val="00722370"/>
    <w:rsid w:val="007223DF"/>
    <w:rsid w:val="00722404"/>
    <w:rsid w:val="0072240C"/>
    <w:rsid w:val="00722428"/>
    <w:rsid w:val="00722489"/>
    <w:rsid w:val="00722492"/>
    <w:rsid w:val="007224B8"/>
    <w:rsid w:val="007224DC"/>
    <w:rsid w:val="007224EB"/>
    <w:rsid w:val="007225A2"/>
    <w:rsid w:val="00722604"/>
    <w:rsid w:val="0072267D"/>
    <w:rsid w:val="007226DB"/>
    <w:rsid w:val="0072270D"/>
    <w:rsid w:val="00722728"/>
    <w:rsid w:val="0072273F"/>
    <w:rsid w:val="0072277E"/>
    <w:rsid w:val="007227B2"/>
    <w:rsid w:val="0072287E"/>
    <w:rsid w:val="007228CF"/>
    <w:rsid w:val="0072293C"/>
    <w:rsid w:val="00722947"/>
    <w:rsid w:val="00722979"/>
    <w:rsid w:val="007229A5"/>
    <w:rsid w:val="007229AE"/>
    <w:rsid w:val="007229ED"/>
    <w:rsid w:val="007229FC"/>
    <w:rsid w:val="00722A25"/>
    <w:rsid w:val="00722AAF"/>
    <w:rsid w:val="00722AB3"/>
    <w:rsid w:val="00722B01"/>
    <w:rsid w:val="00722B04"/>
    <w:rsid w:val="00722B30"/>
    <w:rsid w:val="00722B42"/>
    <w:rsid w:val="00722B46"/>
    <w:rsid w:val="00722B53"/>
    <w:rsid w:val="00722B82"/>
    <w:rsid w:val="00722B91"/>
    <w:rsid w:val="00722BBD"/>
    <w:rsid w:val="00722BBE"/>
    <w:rsid w:val="00722BD0"/>
    <w:rsid w:val="00722BD1"/>
    <w:rsid w:val="00722C6E"/>
    <w:rsid w:val="00722C78"/>
    <w:rsid w:val="00722D1B"/>
    <w:rsid w:val="00722D1D"/>
    <w:rsid w:val="00722D27"/>
    <w:rsid w:val="00722D61"/>
    <w:rsid w:val="00722D72"/>
    <w:rsid w:val="00722DB7"/>
    <w:rsid w:val="00722DD2"/>
    <w:rsid w:val="00722DED"/>
    <w:rsid w:val="00722E18"/>
    <w:rsid w:val="00722E42"/>
    <w:rsid w:val="00722E85"/>
    <w:rsid w:val="00722F02"/>
    <w:rsid w:val="00722F51"/>
    <w:rsid w:val="00722F63"/>
    <w:rsid w:val="00723068"/>
    <w:rsid w:val="0072306D"/>
    <w:rsid w:val="0072307C"/>
    <w:rsid w:val="00723085"/>
    <w:rsid w:val="007230E1"/>
    <w:rsid w:val="00723116"/>
    <w:rsid w:val="00723140"/>
    <w:rsid w:val="00723149"/>
    <w:rsid w:val="007231AF"/>
    <w:rsid w:val="007231FB"/>
    <w:rsid w:val="007232AD"/>
    <w:rsid w:val="007232BB"/>
    <w:rsid w:val="0072331C"/>
    <w:rsid w:val="0072337D"/>
    <w:rsid w:val="007233A3"/>
    <w:rsid w:val="00723473"/>
    <w:rsid w:val="00723488"/>
    <w:rsid w:val="007234B2"/>
    <w:rsid w:val="00723556"/>
    <w:rsid w:val="00723557"/>
    <w:rsid w:val="0072355C"/>
    <w:rsid w:val="007235BA"/>
    <w:rsid w:val="007235F0"/>
    <w:rsid w:val="00723779"/>
    <w:rsid w:val="00723795"/>
    <w:rsid w:val="007237A9"/>
    <w:rsid w:val="007237D0"/>
    <w:rsid w:val="007237FB"/>
    <w:rsid w:val="00723883"/>
    <w:rsid w:val="007238C6"/>
    <w:rsid w:val="0072390A"/>
    <w:rsid w:val="0072392E"/>
    <w:rsid w:val="00723933"/>
    <w:rsid w:val="0072399E"/>
    <w:rsid w:val="007239B0"/>
    <w:rsid w:val="007239F3"/>
    <w:rsid w:val="00723A03"/>
    <w:rsid w:val="00723A4B"/>
    <w:rsid w:val="00723A5C"/>
    <w:rsid w:val="00723A81"/>
    <w:rsid w:val="00723AAC"/>
    <w:rsid w:val="00723AAF"/>
    <w:rsid w:val="00723AEF"/>
    <w:rsid w:val="00723B05"/>
    <w:rsid w:val="00723B3D"/>
    <w:rsid w:val="00723B9A"/>
    <w:rsid w:val="00723BAC"/>
    <w:rsid w:val="00723C08"/>
    <w:rsid w:val="00723C09"/>
    <w:rsid w:val="00723C1B"/>
    <w:rsid w:val="00723C36"/>
    <w:rsid w:val="00723C9E"/>
    <w:rsid w:val="00723CA7"/>
    <w:rsid w:val="00723CAF"/>
    <w:rsid w:val="00723D12"/>
    <w:rsid w:val="00723D37"/>
    <w:rsid w:val="00723D64"/>
    <w:rsid w:val="00723D7B"/>
    <w:rsid w:val="00723DA7"/>
    <w:rsid w:val="00723DCF"/>
    <w:rsid w:val="00723E48"/>
    <w:rsid w:val="00723E6C"/>
    <w:rsid w:val="00723EA1"/>
    <w:rsid w:val="00723EC9"/>
    <w:rsid w:val="00723F3F"/>
    <w:rsid w:val="00723F72"/>
    <w:rsid w:val="00723F92"/>
    <w:rsid w:val="00723FC4"/>
    <w:rsid w:val="00723FF8"/>
    <w:rsid w:val="0072401F"/>
    <w:rsid w:val="00724030"/>
    <w:rsid w:val="007240E8"/>
    <w:rsid w:val="007240F8"/>
    <w:rsid w:val="0072412A"/>
    <w:rsid w:val="00724135"/>
    <w:rsid w:val="00724139"/>
    <w:rsid w:val="0072413C"/>
    <w:rsid w:val="00724195"/>
    <w:rsid w:val="007241B4"/>
    <w:rsid w:val="007241BE"/>
    <w:rsid w:val="0072420A"/>
    <w:rsid w:val="00724230"/>
    <w:rsid w:val="0072423D"/>
    <w:rsid w:val="00724251"/>
    <w:rsid w:val="00724253"/>
    <w:rsid w:val="00724276"/>
    <w:rsid w:val="0072428F"/>
    <w:rsid w:val="0072431C"/>
    <w:rsid w:val="00724335"/>
    <w:rsid w:val="00724357"/>
    <w:rsid w:val="007243AA"/>
    <w:rsid w:val="007243D8"/>
    <w:rsid w:val="00724406"/>
    <w:rsid w:val="007244B8"/>
    <w:rsid w:val="007244CA"/>
    <w:rsid w:val="007244CC"/>
    <w:rsid w:val="007244F1"/>
    <w:rsid w:val="007244F9"/>
    <w:rsid w:val="00724510"/>
    <w:rsid w:val="00724544"/>
    <w:rsid w:val="0072455F"/>
    <w:rsid w:val="00724572"/>
    <w:rsid w:val="007245AA"/>
    <w:rsid w:val="007245DB"/>
    <w:rsid w:val="007245E0"/>
    <w:rsid w:val="00724624"/>
    <w:rsid w:val="00724626"/>
    <w:rsid w:val="00724660"/>
    <w:rsid w:val="00724711"/>
    <w:rsid w:val="00724766"/>
    <w:rsid w:val="0072478C"/>
    <w:rsid w:val="007247EC"/>
    <w:rsid w:val="00724850"/>
    <w:rsid w:val="0072487F"/>
    <w:rsid w:val="007248E0"/>
    <w:rsid w:val="007248E3"/>
    <w:rsid w:val="007249A8"/>
    <w:rsid w:val="007249B8"/>
    <w:rsid w:val="007249E4"/>
    <w:rsid w:val="00724A4C"/>
    <w:rsid w:val="00724A61"/>
    <w:rsid w:val="00724A73"/>
    <w:rsid w:val="00724A9B"/>
    <w:rsid w:val="00724B23"/>
    <w:rsid w:val="00724B29"/>
    <w:rsid w:val="00724B4B"/>
    <w:rsid w:val="00724B63"/>
    <w:rsid w:val="00724BB2"/>
    <w:rsid w:val="00724C8D"/>
    <w:rsid w:val="00724CB3"/>
    <w:rsid w:val="00724CD2"/>
    <w:rsid w:val="00724D08"/>
    <w:rsid w:val="00724D42"/>
    <w:rsid w:val="00724DB1"/>
    <w:rsid w:val="00724DD1"/>
    <w:rsid w:val="00724E1C"/>
    <w:rsid w:val="00724E58"/>
    <w:rsid w:val="00724EC4"/>
    <w:rsid w:val="00724EEF"/>
    <w:rsid w:val="00724EF0"/>
    <w:rsid w:val="00724EF4"/>
    <w:rsid w:val="00724F04"/>
    <w:rsid w:val="00724F16"/>
    <w:rsid w:val="00724F24"/>
    <w:rsid w:val="00724FA2"/>
    <w:rsid w:val="00724FDE"/>
    <w:rsid w:val="0072501D"/>
    <w:rsid w:val="00725127"/>
    <w:rsid w:val="00725175"/>
    <w:rsid w:val="0072519C"/>
    <w:rsid w:val="007251AC"/>
    <w:rsid w:val="007251BE"/>
    <w:rsid w:val="007251D3"/>
    <w:rsid w:val="00725250"/>
    <w:rsid w:val="00725283"/>
    <w:rsid w:val="007252AF"/>
    <w:rsid w:val="007252B8"/>
    <w:rsid w:val="007252BA"/>
    <w:rsid w:val="007252CF"/>
    <w:rsid w:val="007252EE"/>
    <w:rsid w:val="0072530B"/>
    <w:rsid w:val="00725310"/>
    <w:rsid w:val="0072531B"/>
    <w:rsid w:val="00725378"/>
    <w:rsid w:val="0072538C"/>
    <w:rsid w:val="00725395"/>
    <w:rsid w:val="007253BF"/>
    <w:rsid w:val="0072543E"/>
    <w:rsid w:val="00725480"/>
    <w:rsid w:val="007254B6"/>
    <w:rsid w:val="007254BA"/>
    <w:rsid w:val="00725538"/>
    <w:rsid w:val="00725547"/>
    <w:rsid w:val="0072559D"/>
    <w:rsid w:val="00725614"/>
    <w:rsid w:val="00725618"/>
    <w:rsid w:val="0072562D"/>
    <w:rsid w:val="00725676"/>
    <w:rsid w:val="007256CF"/>
    <w:rsid w:val="0072577B"/>
    <w:rsid w:val="00725791"/>
    <w:rsid w:val="007257C7"/>
    <w:rsid w:val="007258E4"/>
    <w:rsid w:val="00725923"/>
    <w:rsid w:val="0072593C"/>
    <w:rsid w:val="007259E4"/>
    <w:rsid w:val="00725A0F"/>
    <w:rsid w:val="00725A55"/>
    <w:rsid w:val="00725A75"/>
    <w:rsid w:val="00725A8E"/>
    <w:rsid w:val="00725AA7"/>
    <w:rsid w:val="00725AFA"/>
    <w:rsid w:val="00725B12"/>
    <w:rsid w:val="00725B13"/>
    <w:rsid w:val="00725B39"/>
    <w:rsid w:val="00725BC5"/>
    <w:rsid w:val="00725BDC"/>
    <w:rsid w:val="00725BDF"/>
    <w:rsid w:val="00725C0C"/>
    <w:rsid w:val="00725C2D"/>
    <w:rsid w:val="00725C68"/>
    <w:rsid w:val="00725C86"/>
    <w:rsid w:val="00725C9A"/>
    <w:rsid w:val="00725CB6"/>
    <w:rsid w:val="00725CC5"/>
    <w:rsid w:val="00725CCC"/>
    <w:rsid w:val="00725CEE"/>
    <w:rsid w:val="00725CF2"/>
    <w:rsid w:val="00725D5E"/>
    <w:rsid w:val="00725DC1"/>
    <w:rsid w:val="00725DD7"/>
    <w:rsid w:val="00725DFE"/>
    <w:rsid w:val="00725E02"/>
    <w:rsid w:val="00725E13"/>
    <w:rsid w:val="00725E98"/>
    <w:rsid w:val="00725EFE"/>
    <w:rsid w:val="00725F27"/>
    <w:rsid w:val="00725F36"/>
    <w:rsid w:val="00725FAE"/>
    <w:rsid w:val="00725FB1"/>
    <w:rsid w:val="00725FED"/>
    <w:rsid w:val="00726003"/>
    <w:rsid w:val="0072603C"/>
    <w:rsid w:val="007260C9"/>
    <w:rsid w:val="007260F7"/>
    <w:rsid w:val="0072616F"/>
    <w:rsid w:val="00726183"/>
    <w:rsid w:val="007261D6"/>
    <w:rsid w:val="007261DC"/>
    <w:rsid w:val="007261F0"/>
    <w:rsid w:val="00726205"/>
    <w:rsid w:val="00726245"/>
    <w:rsid w:val="00726269"/>
    <w:rsid w:val="00726285"/>
    <w:rsid w:val="007262D4"/>
    <w:rsid w:val="007262EF"/>
    <w:rsid w:val="00726334"/>
    <w:rsid w:val="00726378"/>
    <w:rsid w:val="007263F5"/>
    <w:rsid w:val="007263F7"/>
    <w:rsid w:val="00726404"/>
    <w:rsid w:val="00726409"/>
    <w:rsid w:val="0072641D"/>
    <w:rsid w:val="0072645E"/>
    <w:rsid w:val="00726493"/>
    <w:rsid w:val="007264A6"/>
    <w:rsid w:val="00726505"/>
    <w:rsid w:val="007265D1"/>
    <w:rsid w:val="007265DB"/>
    <w:rsid w:val="007265FF"/>
    <w:rsid w:val="00726614"/>
    <w:rsid w:val="00726632"/>
    <w:rsid w:val="00726695"/>
    <w:rsid w:val="007266F5"/>
    <w:rsid w:val="00726704"/>
    <w:rsid w:val="00726754"/>
    <w:rsid w:val="00726775"/>
    <w:rsid w:val="0072677A"/>
    <w:rsid w:val="0072678B"/>
    <w:rsid w:val="0072678F"/>
    <w:rsid w:val="007267F7"/>
    <w:rsid w:val="007267FE"/>
    <w:rsid w:val="00726899"/>
    <w:rsid w:val="007268BE"/>
    <w:rsid w:val="007268EB"/>
    <w:rsid w:val="007268ED"/>
    <w:rsid w:val="00726903"/>
    <w:rsid w:val="00726918"/>
    <w:rsid w:val="0072697A"/>
    <w:rsid w:val="007269B3"/>
    <w:rsid w:val="007269D5"/>
    <w:rsid w:val="00726A30"/>
    <w:rsid w:val="00726A3E"/>
    <w:rsid w:val="00726AAF"/>
    <w:rsid w:val="00726ABB"/>
    <w:rsid w:val="00726AF0"/>
    <w:rsid w:val="00726B27"/>
    <w:rsid w:val="00726B2E"/>
    <w:rsid w:val="00726B3A"/>
    <w:rsid w:val="00726B3D"/>
    <w:rsid w:val="00726B49"/>
    <w:rsid w:val="00726C73"/>
    <w:rsid w:val="00726CB8"/>
    <w:rsid w:val="00726D11"/>
    <w:rsid w:val="00726D5D"/>
    <w:rsid w:val="00726D98"/>
    <w:rsid w:val="00726DA4"/>
    <w:rsid w:val="00726DD9"/>
    <w:rsid w:val="00726E2D"/>
    <w:rsid w:val="00726E5A"/>
    <w:rsid w:val="00726E5E"/>
    <w:rsid w:val="00726E78"/>
    <w:rsid w:val="00726E9C"/>
    <w:rsid w:val="00726EF5"/>
    <w:rsid w:val="00726F9A"/>
    <w:rsid w:val="00726FAC"/>
    <w:rsid w:val="00726FC8"/>
    <w:rsid w:val="00727042"/>
    <w:rsid w:val="00727049"/>
    <w:rsid w:val="00727087"/>
    <w:rsid w:val="00727099"/>
    <w:rsid w:val="007270E8"/>
    <w:rsid w:val="00727161"/>
    <w:rsid w:val="00727180"/>
    <w:rsid w:val="007271AD"/>
    <w:rsid w:val="007271F3"/>
    <w:rsid w:val="00727210"/>
    <w:rsid w:val="00727213"/>
    <w:rsid w:val="0072721B"/>
    <w:rsid w:val="00727224"/>
    <w:rsid w:val="00727248"/>
    <w:rsid w:val="00727373"/>
    <w:rsid w:val="007273C4"/>
    <w:rsid w:val="007273D1"/>
    <w:rsid w:val="007273ED"/>
    <w:rsid w:val="007273F9"/>
    <w:rsid w:val="0072749F"/>
    <w:rsid w:val="00727505"/>
    <w:rsid w:val="00727521"/>
    <w:rsid w:val="00727567"/>
    <w:rsid w:val="007275B9"/>
    <w:rsid w:val="007275C8"/>
    <w:rsid w:val="007275EA"/>
    <w:rsid w:val="007275F1"/>
    <w:rsid w:val="007275F4"/>
    <w:rsid w:val="00727639"/>
    <w:rsid w:val="00727670"/>
    <w:rsid w:val="00727692"/>
    <w:rsid w:val="00727781"/>
    <w:rsid w:val="0072779B"/>
    <w:rsid w:val="007277A7"/>
    <w:rsid w:val="007277B9"/>
    <w:rsid w:val="00727855"/>
    <w:rsid w:val="00727881"/>
    <w:rsid w:val="00727885"/>
    <w:rsid w:val="007278A0"/>
    <w:rsid w:val="007278C9"/>
    <w:rsid w:val="007278CE"/>
    <w:rsid w:val="0072794E"/>
    <w:rsid w:val="007279A7"/>
    <w:rsid w:val="007279D9"/>
    <w:rsid w:val="00727A1D"/>
    <w:rsid w:val="00727A70"/>
    <w:rsid w:val="00727A9D"/>
    <w:rsid w:val="00727B0D"/>
    <w:rsid w:val="00727B14"/>
    <w:rsid w:val="00727B23"/>
    <w:rsid w:val="00727B2B"/>
    <w:rsid w:val="00727B55"/>
    <w:rsid w:val="00727C92"/>
    <w:rsid w:val="00727CB5"/>
    <w:rsid w:val="00727D3E"/>
    <w:rsid w:val="00727D50"/>
    <w:rsid w:val="00727D82"/>
    <w:rsid w:val="00727DBA"/>
    <w:rsid w:val="00727DC2"/>
    <w:rsid w:val="00727DE8"/>
    <w:rsid w:val="00727DFB"/>
    <w:rsid w:val="00727E9A"/>
    <w:rsid w:val="00727EEE"/>
    <w:rsid w:val="00727EF6"/>
    <w:rsid w:val="00727F04"/>
    <w:rsid w:val="00727F6D"/>
    <w:rsid w:val="00730014"/>
    <w:rsid w:val="00730019"/>
    <w:rsid w:val="0073006F"/>
    <w:rsid w:val="0073011C"/>
    <w:rsid w:val="0073011D"/>
    <w:rsid w:val="00730175"/>
    <w:rsid w:val="007301A6"/>
    <w:rsid w:val="00730204"/>
    <w:rsid w:val="0073026D"/>
    <w:rsid w:val="00730306"/>
    <w:rsid w:val="00730351"/>
    <w:rsid w:val="00730386"/>
    <w:rsid w:val="007303C4"/>
    <w:rsid w:val="00730465"/>
    <w:rsid w:val="00730500"/>
    <w:rsid w:val="0073052C"/>
    <w:rsid w:val="00730553"/>
    <w:rsid w:val="00730554"/>
    <w:rsid w:val="007305BE"/>
    <w:rsid w:val="0073060C"/>
    <w:rsid w:val="00730681"/>
    <w:rsid w:val="00730693"/>
    <w:rsid w:val="00730712"/>
    <w:rsid w:val="00730781"/>
    <w:rsid w:val="00730786"/>
    <w:rsid w:val="0073078D"/>
    <w:rsid w:val="0073079D"/>
    <w:rsid w:val="00730869"/>
    <w:rsid w:val="007308D6"/>
    <w:rsid w:val="00730914"/>
    <w:rsid w:val="00730936"/>
    <w:rsid w:val="00730986"/>
    <w:rsid w:val="0073098D"/>
    <w:rsid w:val="007309DC"/>
    <w:rsid w:val="007309DE"/>
    <w:rsid w:val="007309EA"/>
    <w:rsid w:val="00730A3A"/>
    <w:rsid w:val="00730A5D"/>
    <w:rsid w:val="00730AC5"/>
    <w:rsid w:val="00730B77"/>
    <w:rsid w:val="00730C43"/>
    <w:rsid w:val="00730D4F"/>
    <w:rsid w:val="00730DAA"/>
    <w:rsid w:val="00730DE6"/>
    <w:rsid w:val="00730E34"/>
    <w:rsid w:val="00730E65"/>
    <w:rsid w:val="00730E9B"/>
    <w:rsid w:val="00730EE1"/>
    <w:rsid w:val="00730F43"/>
    <w:rsid w:val="00730F81"/>
    <w:rsid w:val="00730FCC"/>
    <w:rsid w:val="00731078"/>
    <w:rsid w:val="007310AF"/>
    <w:rsid w:val="0073113E"/>
    <w:rsid w:val="00731140"/>
    <w:rsid w:val="007311A2"/>
    <w:rsid w:val="007311B2"/>
    <w:rsid w:val="007311CC"/>
    <w:rsid w:val="007311F3"/>
    <w:rsid w:val="00731244"/>
    <w:rsid w:val="00731247"/>
    <w:rsid w:val="0073125F"/>
    <w:rsid w:val="0073126A"/>
    <w:rsid w:val="00731273"/>
    <w:rsid w:val="0073129B"/>
    <w:rsid w:val="007312B3"/>
    <w:rsid w:val="00731301"/>
    <w:rsid w:val="00731325"/>
    <w:rsid w:val="0073134C"/>
    <w:rsid w:val="00731362"/>
    <w:rsid w:val="00731390"/>
    <w:rsid w:val="007313C1"/>
    <w:rsid w:val="00731493"/>
    <w:rsid w:val="0073150B"/>
    <w:rsid w:val="0073154D"/>
    <w:rsid w:val="00731552"/>
    <w:rsid w:val="007315A3"/>
    <w:rsid w:val="007315A9"/>
    <w:rsid w:val="007315D4"/>
    <w:rsid w:val="0073168D"/>
    <w:rsid w:val="00731697"/>
    <w:rsid w:val="007316B3"/>
    <w:rsid w:val="0073175C"/>
    <w:rsid w:val="007317E4"/>
    <w:rsid w:val="007317E6"/>
    <w:rsid w:val="00731822"/>
    <w:rsid w:val="0073183F"/>
    <w:rsid w:val="00731866"/>
    <w:rsid w:val="007318D5"/>
    <w:rsid w:val="007318DE"/>
    <w:rsid w:val="00731967"/>
    <w:rsid w:val="0073198F"/>
    <w:rsid w:val="007319B6"/>
    <w:rsid w:val="007319D6"/>
    <w:rsid w:val="007319DF"/>
    <w:rsid w:val="007319F3"/>
    <w:rsid w:val="00731A5A"/>
    <w:rsid w:val="00731A80"/>
    <w:rsid w:val="00731A8B"/>
    <w:rsid w:val="00731AB4"/>
    <w:rsid w:val="00731ABA"/>
    <w:rsid w:val="00731B25"/>
    <w:rsid w:val="00731B6D"/>
    <w:rsid w:val="00731BE8"/>
    <w:rsid w:val="00731C1D"/>
    <w:rsid w:val="00731C2E"/>
    <w:rsid w:val="00731C75"/>
    <w:rsid w:val="00731CC4"/>
    <w:rsid w:val="00731CFC"/>
    <w:rsid w:val="00731D0E"/>
    <w:rsid w:val="00731D32"/>
    <w:rsid w:val="00731D3E"/>
    <w:rsid w:val="00731D75"/>
    <w:rsid w:val="00731D76"/>
    <w:rsid w:val="00731D7C"/>
    <w:rsid w:val="00731D86"/>
    <w:rsid w:val="00731D9F"/>
    <w:rsid w:val="00731DA6"/>
    <w:rsid w:val="00731E6D"/>
    <w:rsid w:val="00731E70"/>
    <w:rsid w:val="00731E72"/>
    <w:rsid w:val="00731E95"/>
    <w:rsid w:val="00731EA9"/>
    <w:rsid w:val="00731EEF"/>
    <w:rsid w:val="00731F02"/>
    <w:rsid w:val="00731F1B"/>
    <w:rsid w:val="00731F30"/>
    <w:rsid w:val="00731F6D"/>
    <w:rsid w:val="00731F87"/>
    <w:rsid w:val="00731FF4"/>
    <w:rsid w:val="00732033"/>
    <w:rsid w:val="00732059"/>
    <w:rsid w:val="00732065"/>
    <w:rsid w:val="0073207D"/>
    <w:rsid w:val="007320D9"/>
    <w:rsid w:val="007320DC"/>
    <w:rsid w:val="007320E9"/>
    <w:rsid w:val="00732150"/>
    <w:rsid w:val="007321CA"/>
    <w:rsid w:val="007321E3"/>
    <w:rsid w:val="0073224B"/>
    <w:rsid w:val="00732259"/>
    <w:rsid w:val="0073228C"/>
    <w:rsid w:val="007322DF"/>
    <w:rsid w:val="0073231F"/>
    <w:rsid w:val="0073232B"/>
    <w:rsid w:val="0073233F"/>
    <w:rsid w:val="00732344"/>
    <w:rsid w:val="00732383"/>
    <w:rsid w:val="007323B3"/>
    <w:rsid w:val="007323BE"/>
    <w:rsid w:val="007323D3"/>
    <w:rsid w:val="007324CD"/>
    <w:rsid w:val="007324D6"/>
    <w:rsid w:val="007324D8"/>
    <w:rsid w:val="0073251F"/>
    <w:rsid w:val="00732536"/>
    <w:rsid w:val="0073254C"/>
    <w:rsid w:val="00732578"/>
    <w:rsid w:val="007325BF"/>
    <w:rsid w:val="007325D0"/>
    <w:rsid w:val="007325EC"/>
    <w:rsid w:val="0073260A"/>
    <w:rsid w:val="0073263B"/>
    <w:rsid w:val="007326A1"/>
    <w:rsid w:val="0073270F"/>
    <w:rsid w:val="00732728"/>
    <w:rsid w:val="0073273F"/>
    <w:rsid w:val="00732780"/>
    <w:rsid w:val="007327CA"/>
    <w:rsid w:val="0073284A"/>
    <w:rsid w:val="007328C9"/>
    <w:rsid w:val="007328E7"/>
    <w:rsid w:val="00732906"/>
    <w:rsid w:val="0073291C"/>
    <w:rsid w:val="00732960"/>
    <w:rsid w:val="007329C6"/>
    <w:rsid w:val="007329DB"/>
    <w:rsid w:val="007329E2"/>
    <w:rsid w:val="007329E8"/>
    <w:rsid w:val="00732A70"/>
    <w:rsid w:val="00732A78"/>
    <w:rsid w:val="00732A83"/>
    <w:rsid w:val="00732AB1"/>
    <w:rsid w:val="00732AF9"/>
    <w:rsid w:val="00732B08"/>
    <w:rsid w:val="00732B12"/>
    <w:rsid w:val="00732B17"/>
    <w:rsid w:val="00732B59"/>
    <w:rsid w:val="00732B60"/>
    <w:rsid w:val="00732BB4"/>
    <w:rsid w:val="00732C5C"/>
    <w:rsid w:val="00732C9E"/>
    <w:rsid w:val="00732CB5"/>
    <w:rsid w:val="00732CE1"/>
    <w:rsid w:val="00732DEB"/>
    <w:rsid w:val="00732DF4"/>
    <w:rsid w:val="00732E16"/>
    <w:rsid w:val="00732E17"/>
    <w:rsid w:val="00732E24"/>
    <w:rsid w:val="00732E46"/>
    <w:rsid w:val="00732E93"/>
    <w:rsid w:val="00732EAD"/>
    <w:rsid w:val="00732EEE"/>
    <w:rsid w:val="00732F7B"/>
    <w:rsid w:val="00732F8F"/>
    <w:rsid w:val="00732FA1"/>
    <w:rsid w:val="00732FF5"/>
    <w:rsid w:val="00733067"/>
    <w:rsid w:val="00733098"/>
    <w:rsid w:val="007330E6"/>
    <w:rsid w:val="0073315C"/>
    <w:rsid w:val="00733178"/>
    <w:rsid w:val="00733187"/>
    <w:rsid w:val="007331CB"/>
    <w:rsid w:val="00733204"/>
    <w:rsid w:val="00733247"/>
    <w:rsid w:val="00733267"/>
    <w:rsid w:val="007332D0"/>
    <w:rsid w:val="007332D6"/>
    <w:rsid w:val="00733307"/>
    <w:rsid w:val="00733308"/>
    <w:rsid w:val="00733332"/>
    <w:rsid w:val="007333B1"/>
    <w:rsid w:val="007333B8"/>
    <w:rsid w:val="007333F3"/>
    <w:rsid w:val="0073345B"/>
    <w:rsid w:val="0073346A"/>
    <w:rsid w:val="007334AC"/>
    <w:rsid w:val="007334BA"/>
    <w:rsid w:val="007334BD"/>
    <w:rsid w:val="007334F5"/>
    <w:rsid w:val="0073354B"/>
    <w:rsid w:val="00733556"/>
    <w:rsid w:val="00733563"/>
    <w:rsid w:val="007335B1"/>
    <w:rsid w:val="00733619"/>
    <w:rsid w:val="00733624"/>
    <w:rsid w:val="00733684"/>
    <w:rsid w:val="0073368A"/>
    <w:rsid w:val="007336AA"/>
    <w:rsid w:val="007336AB"/>
    <w:rsid w:val="007336C2"/>
    <w:rsid w:val="00733714"/>
    <w:rsid w:val="0073375E"/>
    <w:rsid w:val="007337CA"/>
    <w:rsid w:val="007337FB"/>
    <w:rsid w:val="00733827"/>
    <w:rsid w:val="007338E0"/>
    <w:rsid w:val="007338FC"/>
    <w:rsid w:val="00733929"/>
    <w:rsid w:val="0073393F"/>
    <w:rsid w:val="00733988"/>
    <w:rsid w:val="0073398D"/>
    <w:rsid w:val="007339F4"/>
    <w:rsid w:val="00733A0E"/>
    <w:rsid w:val="00733A22"/>
    <w:rsid w:val="00733A38"/>
    <w:rsid w:val="00733A9F"/>
    <w:rsid w:val="00733AF5"/>
    <w:rsid w:val="00733B03"/>
    <w:rsid w:val="00733B1B"/>
    <w:rsid w:val="00733B67"/>
    <w:rsid w:val="00733B9E"/>
    <w:rsid w:val="00733BA4"/>
    <w:rsid w:val="00733BFB"/>
    <w:rsid w:val="00733C04"/>
    <w:rsid w:val="00733C78"/>
    <w:rsid w:val="00733C84"/>
    <w:rsid w:val="00733C89"/>
    <w:rsid w:val="00733CC6"/>
    <w:rsid w:val="00733CF6"/>
    <w:rsid w:val="00733D20"/>
    <w:rsid w:val="00733D40"/>
    <w:rsid w:val="00733D65"/>
    <w:rsid w:val="00733DB0"/>
    <w:rsid w:val="00733E28"/>
    <w:rsid w:val="00733E43"/>
    <w:rsid w:val="00733E80"/>
    <w:rsid w:val="00733F56"/>
    <w:rsid w:val="00733FFF"/>
    <w:rsid w:val="00734005"/>
    <w:rsid w:val="00734007"/>
    <w:rsid w:val="00734022"/>
    <w:rsid w:val="00734032"/>
    <w:rsid w:val="0073403F"/>
    <w:rsid w:val="0073415C"/>
    <w:rsid w:val="00734191"/>
    <w:rsid w:val="007341B7"/>
    <w:rsid w:val="007341F2"/>
    <w:rsid w:val="0073426C"/>
    <w:rsid w:val="007342B4"/>
    <w:rsid w:val="007342FD"/>
    <w:rsid w:val="0073433C"/>
    <w:rsid w:val="0073438B"/>
    <w:rsid w:val="00734394"/>
    <w:rsid w:val="007343B4"/>
    <w:rsid w:val="00734420"/>
    <w:rsid w:val="0073443A"/>
    <w:rsid w:val="0073445E"/>
    <w:rsid w:val="00734481"/>
    <w:rsid w:val="00734561"/>
    <w:rsid w:val="00734577"/>
    <w:rsid w:val="007345CC"/>
    <w:rsid w:val="007345DB"/>
    <w:rsid w:val="00734606"/>
    <w:rsid w:val="00734623"/>
    <w:rsid w:val="0073468A"/>
    <w:rsid w:val="0073468E"/>
    <w:rsid w:val="0073469D"/>
    <w:rsid w:val="00734743"/>
    <w:rsid w:val="007347FF"/>
    <w:rsid w:val="00734806"/>
    <w:rsid w:val="0073483B"/>
    <w:rsid w:val="0073487E"/>
    <w:rsid w:val="007348AF"/>
    <w:rsid w:val="007348D7"/>
    <w:rsid w:val="00734900"/>
    <w:rsid w:val="00734966"/>
    <w:rsid w:val="0073496C"/>
    <w:rsid w:val="00734986"/>
    <w:rsid w:val="007349F2"/>
    <w:rsid w:val="00734A3F"/>
    <w:rsid w:val="00734A59"/>
    <w:rsid w:val="00734A64"/>
    <w:rsid w:val="00734B00"/>
    <w:rsid w:val="00734B20"/>
    <w:rsid w:val="00734B3B"/>
    <w:rsid w:val="00734B6C"/>
    <w:rsid w:val="00734B95"/>
    <w:rsid w:val="00734BCD"/>
    <w:rsid w:val="00734BEB"/>
    <w:rsid w:val="00734C43"/>
    <w:rsid w:val="00734CC1"/>
    <w:rsid w:val="00734D20"/>
    <w:rsid w:val="00734D4D"/>
    <w:rsid w:val="00734D58"/>
    <w:rsid w:val="00734DB9"/>
    <w:rsid w:val="00734E42"/>
    <w:rsid w:val="00734E83"/>
    <w:rsid w:val="00734E8C"/>
    <w:rsid w:val="00734E9A"/>
    <w:rsid w:val="00734EB2"/>
    <w:rsid w:val="00734F17"/>
    <w:rsid w:val="00734F23"/>
    <w:rsid w:val="00734F61"/>
    <w:rsid w:val="00734F6C"/>
    <w:rsid w:val="00734F90"/>
    <w:rsid w:val="0073503B"/>
    <w:rsid w:val="00735074"/>
    <w:rsid w:val="0073507E"/>
    <w:rsid w:val="00735097"/>
    <w:rsid w:val="0073513E"/>
    <w:rsid w:val="00735147"/>
    <w:rsid w:val="00735175"/>
    <w:rsid w:val="007351C6"/>
    <w:rsid w:val="00735296"/>
    <w:rsid w:val="00735351"/>
    <w:rsid w:val="00735402"/>
    <w:rsid w:val="0073544C"/>
    <w:rsid w:val="00735454"/>
    <w:rsid w:val="00735473"/>
    <w:rsid w:val="00735477"/>
    <w:rsid w:val="0073548C"/>
    <w:rsid w:val="00735498"/>
    <w:rsid w:val="007354A3"/>
    <w:rsid w:val="007354A4"/>
    <w:rsid w:val="007354A6"/>
    <w:rsid w:val="007354AC"/>
    <w:rsid w:val="007354B4"/>
    <w:rsid w:val="007354B9"/>
    <w:rsid w:val="00735516"/>
    <w:rsid w:val="0073552D"/>
    <w:rsid w:val="00735554"/>
    <w:rsid w:val="00735570"/>
    <w:rsid w:val="00735597"/>
    <w:rsid w:val="00735625"/>
    <w:rsid w:val="00735667"/>
    <w:rsid w:val="00735670"/>
    <w:rsid w:val="00735688"/>
    <w:rsid w:val="007356D8"/>
    <w:rsid w:val="0073574D"/>
    <w:rsid w:val="0073576E"/>
    <w:rsid w:val="00735782"/>
    <w:rsid w:val="00735884"/>
    <w:rsid w:val="00735893"/>
    <w:rsid w:val="007358FA"/>
    <w:rsid w:val="0073593C"/>
    <w:rsid w:val="00735956"/>
    <w:rsid w:val="00735979"/>
    <w:rsid w:val="0073598E"/>
    <w:rsid w:val="007359B2"/>
    <w:rsid w:val="007359BF"/>
    <w:rsid w:val="007359E5"/>
    <w:rsid w:val="00735A98"/>
    <w:rsid w:val="00735A9D"/>
    <w:rsid w:val="00735A9E"/>
    <w:rsid w:val="00735ADC"/>
    <w:rsid w:val="00735B18"/>
    <w:rsid w:val="00735B84"/>
    <w:rsid w:val="00735BC2"/>
    <w:rsid w:val="00735C35"/>
    <w:rsid w:val="00735C46"/>
    <w:rsid w:val="00735CA0"/>
    <w:rsid w:val="00735D09"/>
    <w:rsid w:val="00735D1D"/>
    <w:rsid w:val="00735D37"/>
    <w:rsid w:val="00735D8A"/>
    <w:rsid w:val="00735DAB"/>
    <w:rsid w:val="00735DB6"/>
    <w:rsid w:val="00735DCD"/>
    <w:rsid w:val="00735DD5"/>
    <w:rsid w:val="00735DE5"/>
    <w:rsid w:val="00735E67"/>
    <w:rsid w:val="00735EA3"/>
    <w:rsid w:val="00735ED5"/>
    <w:rsid w:val="00735F67"/>
    <w:rsid w:val="00735F75"/>
    <w:rsid w:val="00735F97"/>
    <w:rsid w:val="00735FA6"/>
    <w:rsid w:val="00735FC6"/>
    <w:rsid w:val="00735FFF"/>
    <w:rsid w:val="00736042"/>
    <w:rsid w:val="0073609F"/>
    <w:rsid w:val="007360AB"/>
    <w:rsid w:val="007360B0"/>
    <w:rsid w:val="007360C8"/>
    <w:rsid w:val="007360C9"/>
    <w:rsid w:val="007360D9"/>
    <w:rsid w:val="0073613E"/>
    <w:rsid w:val="0073616E"/>
    <w:rsid w:val="0073620A"/>
    <w:rsid w:val="00736212"/>
    <w:rsid w:val="00736215"/>
    <w:rsid w:val="00736219"/>
    <w:rsid w:val="00736228"/>
    <w:rsid w:val="0073624A"/>
    <w:rsid w:val="00736250"/>
    <w:rsid w:val="00736261"/>
    <w:rsid w:val="007362A3"/>
    <w:rsid w:val="007362CC"/>
    <w:rsid w:val="00736359"/>
    <w:rsid w:val="007363BC"/>
    <w:rsid w:val="00736423"/>
    <w:rsid w:val="0073643C"/>
    <w:rsid w:val="0073643F"/>
    <w:rsid w:val="00736447"/>
    <w:rsid w:val="00736455"/>
    <w:rsid w:val="00736593"/>
    <w:rsid w:val="007365A9"/>
    <w:rsid w:val="007365B5"/>
    <w:rsid w:val="007365BE"/>
    <w:rsid w:val="007365BF"/>
    <w:rsid w:val="007365D9"/>
    <w:rsid w:val="00736633"/>
    <w:rsid w:val="0073667D"/>
    <w:rsid w:val="007366BE"/>
    <w:rsid w:val="00736712"/>
    <w:rsid w:val="00736728"/>
    <w:rsid w:val="00736734"/>
    <w:rsid w:val="00736737"/>
    <w:rsid w:val="0073676D"/>
    <w:rsid w:val="00736798"/>
    <w:rsid w:val="007367D8"/>
    <w:rsid w:val="00736818"/>
    <w:rsid w:val="0073682D"/>
    <w:rsid w:val="00736885"/>
    <w:rsid w:val="007368E9"/>
    <w:rsid w:val="00736912"/>
    <w:rsid w:val="00736927"/>
    <w:rsid w:val="0073697C"/>
    <w:rsid w:val="00736A00"/>
    <w:rsid w:val="00736A29"/>
    <w:rsid w:val="00736A58"/>
    <w:rsid w:val="00736A5A"/>
    <w:rsid w:val="00736A68"/>
    <w:rsid w:val="00736AAE"/>
    <w:rsid w:val="00736AF9"/>
    <w:rsid w:val="00736B11"/>
    <w:rsid w:val="00736B5B"/>
    <w:rsid w:val="00736B5F"/>
    <w:rsid w:val="00736B7B"/>
    <w:rsid w:val="00736BF5"/>
    <w:rsid w:val="00736C7A"/>
    <w:rsid w:val="00736C7E"/>
    <w:rsid w:val="00736C9B"/>
    <w:rsid w:val="00736CBB"/>
    <w:rsid w:val="00736CC3"/>
    <w:rsid w:val="00736CD0"/>
    <w:rsid w:val="00736D07"/>
    <w:rsid w:val="00736D4D"/>
    <w:rsid w:val="00736DDF"/>
    <w:rsid w:val="00736E0E"/>
    <w:rsid w:val="00736E52"/>
    <w:rsid w:val="00736EB5"/>
    <w:rsid w:val="00736F3A"/>
    <w:rsid w:val="00736F4E"/>
    <w:rsid w:val="00736F51"/>
    <w:rsid w:val="00736F71"/>
    <w:rsid w:val="00736FD2"/>
    <w:rsid w:val="0073701D"/>
    <w:rsid w:val="0073708E"/>
    <w:rsid w:val="007370CB"/>
    <w:rsid w:val="007370D3"/>
    <w:rsid w:val="00737146"/>
    <w:rsid w:val="00737177"/>
    <w:rsid w:val="0073719D"/>
    <w:rsid w:val="007371B0"/>
    <w:rsid w:val="007371F6"/>
    <w:rsid w:val="00737210"/>
    <w:rsid w:val="007372D1"/>
    <w:rsid w:val="0073730A"/>
    <w:rsid w:val="0073735F"/>
    <w:rsid w:val="00737465"/>
    <w:rsid w:val="00737478"/>
    <w:rsid w:val="00737492"/>
    <w:rsid w:val="007374B2"/>
    <w:rsid w:val="007374FA"/>
    <w:rsid w:val="0073751A"/>
    <w:rsid w:val="0073751E"/>
    <w:rsid w:val="0073752C"/>
    <w:rsid w:val="00737556"/>
    <w:rsid w:val="00737567"/>
    <w:rsid w:val="00737574"/>
    <w:rsid w:val="0073757E"/>
    <w:rsid w:val="007375B3"/>
    <w:rsid w:val="007375C2"/>
    <w:rsid w:val="00737630"/>
    <w:rsid w:val="00737631"/>
    <w:rsid w:val="00737636"/>
    <w:rsid w:val="0073767C"/>
    <w:rsid w:val="007376F0"/>
    <w:rsid w:val="0073771E"/>
    <w:rsid w:val="007377E3"/>
    <w:rsid w:val="00737838"/>
    <w:rsid w:val="0073786B"/>
    <w:rsid w:val="0073786D"/>
    <w:rsid w:val="0073787D"/>
    <w:rsid w:val="00737880"/>
    <w:rsid w:val="0073788A"/>
    <w:rsid w:val="007378DA"/>
    <w:rsid w:val="0073798E"/>
    <w:rsid w:val="007379BC"/>
    <w:rsid w:val="00737A0E"/>
    <w:rsid w:val="00737A16"/>
    <w:rsid w:val="00737A32"/>
    <w:rsid w:val="00737B1C"/>
    <w:rsid w:val="00737B53"/>
    <w:rsid w:val="00737B62"/>
    <w:rsid w:val="00737B81"/>
    <w:rsid w:val="00737B9A"/>
    <w:rsid w:val="00737BAC"/>
    <w:rsid w:val="00737BEF"/>
    <w:rsid w:val="00737BFD"/>
    <w:rsid w:val="00737C1D"/>
    <w:rsid w:val="00737C62"/>
    <w:rsid w:val="00737D13"/>
    <w:rsid w:val="00737D62"/>
    <w:rsid w:val="00737D66"/>
    <w:rsid w:val="00737D67"/>
    <w:rsid w:val="00737DF3"/>
    <w:rsid w:val="00737E9F"/>
    <w:rsid w:val="00737EF0"/>
    <w:rsid w:val="00737F68"/>
    <w:rsid w:val="00737FB0"/>
    <w:rsid w:val="00740004"/>
    <w:rsid w:val="00740018"/>
    <w:rsid w:val="0074001F"/>
    <w:rsid w:val="00740062"/>
    <w:rsid w:val="007400B4"/>
    <w:rsid w:val="007400F9"/>
    <w:rsid w:val="00740113"/>
    <w:rsid w:val="00740137"/>
    <w:rsid w:val="00740152"/>
    <w:rsid w:val="00740196"/>
    <w:rsid w:val="007401F2"/>
    <w:rsid w:val="00740289"/>
    <w:rsid w:val="007402BC"/>
    <w:rsid w:val="007402C4"/>
    <w:rsid w:val="007403F6"/>
    <w:rsid w:val="0074047B"/>
    <w:rsid w:val="00740515"/>
    <w:rsid w:val="0074052A"/>
    <w:rsid w:val="0074055D"/>
    <w:rsid w:val="00740562"/>
    <w:rsid w:val="00740568"/>
    <w:rsid w:val="007405B6"/>
    <w:rsid w:val="007405BF"/>
    <w:rsid w:val="007405D6"/>
    <w:rsid w:val="007405F5"/>
    <w:rsid w:val="007405F6"/>
    <w:rsid w:val="007405F8"/>
    <w:rsid w:val="0074061A"/>
    <w:rsid w:val="00740647"/>
    <w:rsid w:val="007406A7"/>
    <w:rsid w:val="00740707"/>
    <w:rsid w:val="0074072B"/>
    <w:rsid w:val="0074078A"/>
    <w:rsid w:val="0074079C"/>
    <w:rsid w:val="007407C0"/>
    <w:rsid w:val="00740804"/>
    <w:rsid w:val="00740850"/>
    <w:rsid w:val="00740878"/>
    <w:rsid w:val="00740887"/>
    <w:rsid w:val="0074088B"/>
    <w:rsid w:val="007408CD"/>
    <w:rsid w:val="007408D6"/>
    <w:rsid w:val="007408EC"/>
    <w:rsid w:val="007408F1"/>
    <w:rsid w:val="00740943"/>
    <w:rsid w:val="007409EC"/>
    <w:rsid w:val="007409F5"/>
    <w:rsid w:val="00740A0B"/>
    <w:rsid w:val="00740A60"/>
    <w:rsid w:val="00740ABF"/>
    <w:rsid w:val="00740ACD"/>
    <w:rsid w:val="00740AE4"/>
    <w:rsid w:val="00740B1A"/>
    <w:rsid w:val="00740BDD"/>
    <w:rsid w:val="00740BED"/>
    <w:rsid w:val="00740BF9"/>
    <w:rsid w:val="00740C20"/>
    <w:rsid w:val="00740C26"/>
    <w:rsid w:val="00740C8C"/>
    <w:rsid w:val="00740D0A"/>
    <w:rsid w:val="00740D1E"/>
    <w:rsid w:val="00740DF4"/>
    <w:rsid w:val="00740DFD"/>
    <w:rsid w:val="00740E8A"/>
    <w:rsid w:val="00740EEA"/>
    <w:rsid w:val="00740F2C"/>
    <w:rsid w:val="00740FBB"/>
    <w:rsid w:val="00740FC0"/>
    <w:rsid w:val="00740FD6"/>
    <w:rsid w:val="00740FFC"/>
    <w:rsid w:val="00740FFD"/>
    <w:rsid w:val="0074104B"/>
    <w:rsid w:val="00741083"/>
    <w:rsid w:val="007410B9"/>
    <w:rsid w:val="007410F1"/>
    <w:rsid w:val="0074110B"/>
    <w:rsid w:val="0074111F"/>
    <w:rsid w:val="00741138"/>
    <w:rsid w:val="0074113F"/>
    <w:rsid w:val="00741172"/>
    <w:rsid w:val="00741184"/>
    <w:rsid w:val="0074128F"/>
    <w:rsid w:val="007412A3"/>
    <w:rsid w:val="007412B5"/>
    <w:rsid w:val="00741314"/>
    <w:rsid w:val="00741333"/>
    <w:rsid w:val="00741354"/>
    <w:rsid w:val="00741388"/>
    <w:rsid w:val="007413AF"/>
    <w:rsid w:val="007413C9"/>
    <w:rsid w:val="007413DC"/>
    <w:rsid w:val="007414F4"/>
    <w:rsid w:val="00741527"/>
    <w:rsid w:val="00741566"/>
    <w:rsid w:val="007415FF"/>
    <w:rsid w:val="00741605"/>
    <w:rsid w:val="0074163B"/>
    <w:rsid w:val="0074165F"/>
    <w:rsid w:val="00741716"/>
    <w:rsid w:val="00741747"/>
    <w:rsid w:val="00741754"/>
    <w:rsid w:val="0074175D"/>
    <w:rsid w:val="00741779"/>
    <w:rsid w:val="00741790"/>
    <w:rsid w:val="007417AA"/>
    <w:rsid w:val="007417FB"/>
    <w:rsid w:val="0074181B"/>
    <w:rsid w:val="00741845"/>
    <w:rsid w:val="00741883"/>
    <w:rsid w:val="0074188E"/>
    <w:rsid w:val="0074191A"/>
    <w:rsid w:val="0074192F"/>
    <w:rsid w:val="0074194F"/>
    <w:rsid w:val="00741964"/>
    <w:rsid w:val="00741A2C"/>
    <w:rsid w:val="00741A3E"/>
    <w:rsid w:val="00741A78"/>
    <w:rsid w:val="00741A99"/>
    <w:rsid w:val="00741AD4"/>
    <w:rsid w:val="00741B4D"/>
    <w:rsid w:val="00741B56"/>
    <w:rsid w:val="00741BAA"/>
    <w:rsid w:val="00741BBA"/>
    <w:rsid w:val="00741C04"/>
    <w:rsid w:val="00741C1E"/>
    <w:rsid w:val="00741C41"/>
    <w:rsid w:val="00741D36"/>
    <w:rsid w:val="00741D57"/>
    <w:rsid w:val="00741D5F"/>
    <w:rsid w:val="00741D78"/>
    <w:rsid w:val="00741D84"/>
    <w:rsid w:val="00741DC7"/>
    <w:rsid w:val="00741DDE"/>
    <w:rsid w:val="00741DF3"/>
    <w:rsid w:val="00741E8C"/>
    <w:rsid w:val="00741F36"/>
    <w:rsid w:val="00741F8A"/>
    <w:rsid w:val="00741FBE"/>
    <w:rsid w:val="00741FE3"/>
    <w:rsid w:val="00742001"/>
    <w:rsid w:val="0074200C"/>
    <w:rsid w:val="00742014"/>
    <w:rsid w:val="007420D3"/>
    <w:rsid w:val="007420DB"/>
    <w:rsid w:val="00742110"/>
    <w:rsid w:val="00742181"/>
    <w:rsid w:val="00742192"/>
    <w:rsid w:val="007421C8"/>
    <w:rsid w:val="0074224D"/>
    <w:rsid w:val="00742294"/>
    <w:rsid w:val="007422B7"/>
    <w:rsid w:val="007422DC"/>
    <w:rsid w:val="00742308"/>
    <w:rsid w:val="00742317"/>
    <w:rsid w:val="00742325"/>
    <w:rsid w:val="0074233F"/>
    <w:rsid w:val="00742366"/>
    <w:rsid w:val="00742371"/>
    <w:rsid w:val="00742391"/>
    <w:rsid w:val="007423BC"/>
    <w:rsid w:val="007423D6"/>
    <w:rsid w:val="0074243F"/>
    <w:rsid w:val="00742470"/>
    <w:rsid w:val="00742488"/>
    <w:rsid w:val="0074248F"/>
    <w:rsid w:val="007424BF"/>
    <w:rsid w:val="0074256F"/>
    <w:rsid w:val="007425C7"/>
    <w:rsid w:val="0074267D"/>
    <w:rsid w:val="0074268F"/>
    <w:rsid w:val="00742692"/>
    <w:rsid w:val="007426A9"/>
    <w:rsid w:val="0074270A"/>
    <w:rsid w:val="0074270F"/>
    <w:rsid w:val="0074271F"/>
    <w:rsid w:val="007427C7"/>
    <w:rsid w:val="007427D4"/>
    <w:rsid w:val="007428D2"/>
    <w:rsid w:val="0074290A"/>
    <w:rsid w:val="00742924"/>
    <w:rsid w:val="0074292E"/>
    <w:rsid w:val="0074299B"/>
    <w:rsid w:val="0074299C"/>
    <w:rsid w:val="007429C0"/>
    <w:rsid w:val="007429D7"/>
    <w:rsid w:val="00742A2B"/>
    <w:rsid w:val="00742A33"/>
    <w:rsid w:val="00742ABE"/>
    <w:rsid w:val="00742AEB"/>
    <w:rsid w:val="00742B39"/>
    <w:rsid w:val="00742B3B"/>
    <w:rsid w:val="00742B78"/>
    <w:rsid w:val="00742BC6"/>
    <w:rsid w:val="00742BDF"/>
    <w:rsid w:val="00742BE0"/>
    <w:rsid w:val="00742C24"/>
    <w:rsid w:val="00742C3A"/>
    <w:rsid w:val="00742C65"/>
    <w:rsid w:val="00742C75"/>
    <w:rsid w:val="00742CC8"/>
    <w:rsid w:val="00742D1A"/>
    <w:rsid w:val="00742D40"/>
    <w:rsid w:val="00742D88"/>
    <w:rsid w:val="00742D92"/>
    <w:rsid w:val="00742D99"/>
    <w:rsid w:val="00742DD4"/>
    <w:rsid w:val="00742DDA"/>
    <w:rsid w:val="00742E39"/>
    <w:rsid w:val="00742E60"/>
    <w:rsid w:val="00742EAB"/>
    <w:rsid w:val="00742EB3"/>
    <w:rsid w:val="00742EC3"/>
    <w:rsid w:val="00742ED7"/>
    <w:rsid w:val="00742F27"/>
    <w:rsid w:val="00742F2C"/>
    <w:rsid w:val="00742F48"/>
    <w:rsid w:val="00742F4C"/>
    <w:rsid w:val="00742F7C"/>
    <w:rsid w:val="00742FAE"/>
    <w:rsid w:val="00742FC3"/>
    <w:rsid w:val="00742FCA"/>
    <w:rsid w:val="00742FCB"/>
    <w:rsid w:val="00742FF3"/>
    <w:rsid w:val="00742FFC"/>
    <w:rsid w:val="00742FFD"/>
    <w:rsid w:val="0074304A"/>
    <w:rsid w:val="007430D7"/>
    <w:rsid w:val="0074312E"/>
    <w:rsid w:val="00743191"/>
    <w:rsid w:val="00743243"/>
    <w:rsid w:val="00743263"/>
    <w:rsid w:val="00743266"/>
    <w:rsid w:val="00743275"/>
    <w:rsid w:val="007432A8"/>
    <w:rsid w:val="007432D4"/>
    <w:rsid w:val="007432D6"/>
    <w:rsid w:val="007432F0"/>
    <w:rsid w:val="0074331B"/>
    <w:rsid w:val="0074331D"/>
    <w:rsid w:val="00743356"/>
    <w:rsid w:val="0074335B"/>
    <w:rsid w:val="007433AB"/>
    <w:rsid w:val="0074343B"/>
    <w:rsid w:val="0074344A"/>
    <w:rsid w:val="00743454"/>
    <w:rsid w:val="00743498"/>
    <w:rsid w:val="007434A4"/>
    <w:rsid w:val="007434CC"/>
    <w:rsid w:val="007435C4"/>
    <w:rsid w:val="007435CA"/>
    <w:rsid w:val="00743626"/>
    <w:rsid w:val="0074363F"/>
    <w:rsid w:val="00743654"/>
    <w:rsid w:val="00743669"/>
    <w:rsid w:val="0074366B"/>
    <w:rsid w:val="0074370E"/>
    <w:rsid w:val="0074371A"/>
    <w:rsid w:val="0074373A"/>
    <w:rsid w:val="00743777"/>
    <w:rsid w:val="00743811"/>
    <w:rsid w:val="00743818"/>
    <w:rsid w:val="00743856"/>
    <w:rsid w:val="0074385B"/>
    <w:rsid w:val="0074387D"/>
    <w:rsid w:val="00743915"/>
    <w:rsid w:val="0074394A"/>
    <w:rsid w:val="0074397D"/>
    <w:rsid w:val="007439C6"/>
    <w:rsid w:val="007439C7"/>
    <w:rsid w:val="007439CB"/>
    <w:rsid w:val="00743A08"/>
    <w:rsid w:val="00743A16"/>
    <w:rsid w:val="00743A26"/>
    <w:rsid w:val="00743A33"/>
    <w:rsid w:val="00743A38"/>
    <w:rsid w:val="00743A67"/>
    <w:rsid w:val="00743A70"/>
    <w:rsid w:val="00743B35"/>
    <w:rsid w:val="00743B39"/>
    <w:rsid w:val="00743B7E"/>
    <w:rsid w:val="00743B82"/>
    <w:rsid w:val="00743BF0"/>
    <w:rsid w:val="00743C27"/>
    <w:rsid w:val="00743C58"/>
    <w:rsid w:val="00743C66"/>
    <w:rsid w:val="00743CAD"/>
    <w:rsid w:val="00743CF3"/>
    <w:rsid w:val="00743D09"/>
    <w:rsid w:val="00743D98"/>
    <w:rsid w:val="00743DC8"/>
    <w:rsid w:val="00743E5A"/>
    <w:rsid w:val="00743EAE"/>
    <w:rsid w:val="00743ED0"/>
    <w:rsid w:val="00743F0C"/>
    <w:rsid w:val="00743F36"/>
    <w:rsid w:val="00743F59"/>
    <w:rsid w:val="00743F5C"/>
    <w:rsid w:val="00743F96"/>
    <w:rsid w:val="00743FAE"/>
    <w:rsid w:val="00744002"/>
    <w:rsid w:val="0074400E"/>
    <w:rsid w:val="0074405C"/>
    <w:rsid w:val="0074407E"/>
    <w:rsid w:val="00744098"/>
    <w:rsid w:val="00744147"/>
    <w:rsid w:val="007441D6"/>
    <w:rsid w:val="007441E8"/>
    <w:rsid w:val="007441EE"/>
    <w:rsid w:val="0074420B"/>
    <w:rsid w:val="00744259"/>
    <w:rsid w:val="007442C7"/>
    <w:rsid w:val="0074432D"/>
    <w:rsid w:val="00744365"/>
    <w:rsid w:val="007443BF"/>
    <w:rsid w:val="0074441B"/>
    <w:rsid w:val="00744480"/>
    <w:rsid w:val="00744484"/>
    <w:rsid w:val="007444C9"/>
    <w:rsid w:val="00744507"/>
    <w:rsid w:val="00744536"/>
    <w:rsid w:val="00744610"/>
    <w:rsid w:val="00744666"/>
    <w:rsid w:val="00744692"/>
    <w:rsid w:val="007446DD"/>
    <w:rsid w:val="007446E8"/>
    <w:rsid w:val="00744758"/>
    <w:rsid w:val="00744767"/>
    <w:rsid w:val="007447AB"/>
    <w:rsid w:val="007447AE"/>
    <w:rsid w:val="007447DD"/>
    <w:rsid w:val="0074480C"/>
    <w:rsid w:val="0074482D"/>
    <w:rsid w:val="0074488D"/>
    <w:rsid w:val="0074492D"/>
    <w:rsid w:val="00744930"/>
    <w:rsid w:val="0074493E"/>
    <w:rsid w:val="00744940"/>
    <w:rsid w:val="00744960"/>
    <w:rsid w:val="00744972"/>
    <w:rsid w:val="00744A13"/>
    <w:rsid w:val="00744A15"/>
    <w:rsid w:val="00744A23"/>
    <w:rsid w:val="00744A30"/>
    <w:rsid w:val="00744A5C"/>
    <w:rsid w:val="00744ACA"/>
    <w:rsid w:val="00744B94"/>
    <w:rsid w:val="00744BD8"/>
    <w:rsid w:val="00744C04"/>
    <w:rsid w:val="00744C2F"/>
    <w:rsid w:val="00744C6F"/>
    <w:rsid w:val="00744C71"/>
    <w:rsid w:val="00744CA7"/>
    <w:rsid w:val="00744CAC"/>
    <w:rsid w:val="00744CE9"/>
    <w:rsid w:val="00744D22"/>
    <w:rsid w:val="00744D39"/>
    <w:rsid w:val="00744DB9"/>
    <w:rsid w:val="00744DD7"/>
    <w:rsid w:val="00744DFC"/>
    <w:rsid w:val="00744E28"/>
    <w:rsid w:val="00744E2F"/>
    <w:rsid w:val="00744E73"/>
    <w:rsid w:val="00744EEC"/>
    <w:rsid w:val="00744EF2"/>
    <w:rsid w:val="00744F00"/>
    <w:rsid w:val="00744F24"/>
    <w:rsid w:val="00744F80"/>
    <w:rsid w:val="00744FBC"/>
    <w:rsid w:val="00744FF7"/>
    <w:rsid w:val="00745016"/>
    <w:rsid w:val="00745043"/>
    <w:rsid w:val="00745073"/>
    <w:rsid w:val="00745078"/>
    <w:rsid w:val="007450A4"/>
    <w:rsid w:val="007450BF"/>
    <w:rsid w:val="007450F1"/>
    <w:rsid w:val="0074514F"/>
    <w:rsid w:val="00745163"/>
    <w:rsid w:val="007451EF"/>
    <w:rsid w:val="007451F5"/>
    <w:rsid w:val="00745268"/>
    <w:rsid w:val="00745280"/>
    <w:rsid w:val="00745284"/>
    <w:rsid w:val="007452F7"/>
    <w:rsid w:val="007452FD"/>
    <w:rsid w:val="00745302"/>
    <w:rsid w:val="0074536D"/>
    <w:rsid w:val="007453C5"/>
    <w:rsid w:val="0074541E"/>
    <w:rsid w:val="00745448"/>
    <w:rsid w:val="0074546A"/>
    <w:rsid w:val="00745533"/>
    <w:rsid w:val="0074553A"/>
    <w:rsid w:val="00745547"/>
    <w:rsid w:val="007455A3"/>
    <w:rsid w:val="007455A4"/>
    <w:rsid w:val="00745714"/>
    <w:rsid w:val="00745726"/>
    <w:rsid w:val="0074572C"/>
    <w:rsid w:val="00745759"/>
    <w:rsid w:val="00745782"/>
    <w:rsid w:val="007457EC"/>
    <w:rsid w:val="007457EE"/>
    <w:rsid w:val="00745842"/>
    <w:rsid w:val="0074589C"/>
    <w:rsid w:val="007458B9"/>
    <w:rsid w:val="007458C3"/>
    <w:rsid w:val="007458EC"/>
    <w:rsid w:val="0074590D"/>
    <w:rsid w:val="00745931"/>
    <w:rsid w:val="00745949"/>
    <w:rsid w:val="00745954"/>
    <w:rsid w:val="00745958"/>
    <w:rsid w:val="00745986"/>
    <w:rsid w:val="007459CE"/>
    <w:rsid w:val="00745A1D"/>
    <w:rsid w:val="00745A40"/>
    <w:rsid w:val="00745A71"/>
    <w:rsid w:val="00745ABD"/>
    <w:rsid w:val="00745AC3"/>
    <w:rsid w:val="00745AD6"/>
    <w:rsid w:val="00745B62"/>
    <w:rsid w:val="00745B93"/>
    <w:rsid w:val="00745BB8"/>
    <w:rsid w:val="00745BF7"/>
    <w:rsid w:val="00745C20"/>
    <w:rsid w:val="00745C30"/>
    <w:rsid w:val="00745C60"/>
    <w:rsid w:val="00745C9F"/>
    <w:rsid w:val="00745CBB"/>
    <w:rsid w:val="00745CEC"/>
    <w:rsid w:val="00745D13"/>
    <w:rsid w:val="00745D24"/>
    <w:rsid w:val="00745DC1"/>
    <w:rsid w:val="00745E41"/>
    <w:rsid w:val="00745ECB"/>
    <w:rsid w:val="00745F21"/>
    <w:rsid w:val="00745F32"/>
    <w:rsid w:val="00745F6A"/>
    <w:rsid w:val="00745F8A"/>
    <w:rsid w:val="00745FA3"/>
    <w:rsid w:val="00745FC1"/>
    <w:rsid w:val="00745FFD"/>
    <w:rsid w:val="00746033"/>
    <w:rsid w:val="00746065"/>
    <w:rsid w:val="00746080"/>
    <w:rsid w:val="00746088"/>
    <w:rsid w:val="007460A6"/>
    <w:rsid w:val="007460B1"/>
    <w:rsid w:val="007460C4"/>
    <w:rsid w:val="00746122"/>
    <w:rsid w:val="00746179"/>
    <w:rsid w:val="007461BA"/>
    <w:rsid w:val="00746267"/>
    <w:rsid w:val="0074626E"/>
    <w:rsid w:val="00746272"/>
    <w:rsid w:val="007462CE"/>
    <w:rsid w:val="007462DE"/>
    <w:rsid w:val="00746342"/>
    <w:rsid w:val="0074639D"/>
    <w:rsid w:val="00746454"/>
    <w:rsid w:val="00746466"/>
    <w:rsid w:val="0074646B"/>
    <w:rsid w:val="0074646C"/>
    <w:rsid w:val="0074646D"/>
    <w:rsid w:val="0074646E"/>
    <w:rsid w:val="0074646F"/>
    <w:rsid w:val="0074648B"/>
    <w:rsid w:val="00746490"/>
    <w:rsid w:val="007464B6"/>
    <w:rsid w:val="007464BF"/>
    <w:rsid w:val="007465EC"/>
    <w:rsid w:val="0074663F"/>
    <w:rsid w:val="00746681"/>
    <w:rsid w:val="007466A4"/>
    <w:rsid w:val="007466C0"/>
    <w:rsid w:val="007466E6"/>
    <w:rsid w:val="0074671A"/>
    <w:rsid w:val="0074672B"/>
    <w:rsid w:val="00746739"/>
    <w:rsid w:val="00746742"/>
    <w:rsid w:val="007467AB"/>
    <w:rsid w:val="007467B6"/>
    <w:rsid w:val="007467E6"/>
    <w:rsid w:val="00746841"/>
    <w:rsid w:val="00746869"/>
    <w:rsid w:val="007468A6"/>
    <w:rsid w:val="00746951"/>
    <w:rsid w:val="007469BB"/>
    <w:rsid w:val="007469E3"/>
    <w:rsid w:val="00746A0A"/>
    <w:rsid w:val="00746A3F"/>
    <w:rsid w:val="00746AA1"/>
    <w:rsid w:val="00746AA3"/>
    <w:rsid w:val="00746AF8"/>
    <w:rsid w:val="00746B24"/>
    <w:rsid w:val="00746B49"/>
    <w:rsid w:val="00746B66"/>
    <w:rsid w:val="00746BC5"/>
    <w:rsid w:val="00746C24"/>
    <w:rsid w:val="00746C43"/>
    <w:rsid w:val="00746C85"/>
    <w:rsid w:val="00746C9E"/>
    <w:rsid w:val="00746CC5"/>
    <w:rsid w:val="00746CD1"/>
    <w:rsid w:val="00746CE1"/>
    <w:rsid w:val="00746D39"/>
    <w:rsid w:val="00746DC3"/>
    <w:rsid w:val="00746E10"/>
    <w:rsid w:val="00746E15"/>
    <w:rsid w:val="00746E54"/>
    <w:rsid w:val="00746E7E"/>
    <w:rsid w:val="00746EAC"/>
    <w:rsid w:val="00746EEC"/>
    <w:rsid w:val="00746EFA"/>
    <w:rsid w:val="00746F13"/>
    <w:rsid w:val="00746F82"/>
    <w:rsid w:val="007470A5"/>
    <w:rsid w:val="007470B3"/>
    <w:rsid w:val="00747112"/>
    <w:rsid w:val="00747120"/>
    <w:rsid w:val="00747128"/>
    <w:rsid w:val="00747138"/>
    <w:rsid w:val="0074722E"/>
    <w:rsid w:val="00747274"/>
    <w:rsid w:val="0074727F"/>
    <w:rsid w:val="0074729E"/>
    <w:rsid w:val="007472EC"/>
    <w:rsid w:val="00747352"/>
    <w:rsid w:val="0074741D"/>
    <w:rsid w:val="00747483"/>
    <w:rsid w:val="00747487"/>
    <w:rsid w:val="007474B0"/>
    <w:rsid w:val="007474C3"/>
    <w:rsid w:val="007474D2"/>
    <w:rsid w:val="00747545"/>
    <w:rsid w:val="007475A2"/>
    <w:rsid w:val="00747684"/>
    <w:rsid w:val="00747685"/>
    <w:rsid w:val="00747696"/>
    <w:rsid w:val="007476B3"/>
    <w:rsid w:val="007476CB"/>
    <w:rsid w:val="00747736"/>
    <w:rsid w:val="00747782"/>
    <w:rsid w:val="007477CA"/>
    <w:rsid w:val="007477F0"/>
    <w:rsid w:val="00747810"/>
    <w:rsid w:val="00747826"/>
    <w:rsid w:val="0074784D"/>
    <w:rsid w:val="00747891"/>
    <w:rsid w:val="00747898"/>
    <w:rsid w:val="007478E1"/>
    <w:rsid w:val="00747968"/>
    <w:rsid w:val="00747969"/>
    <w:rsid w:val="0074798F"/>
    <w:rsid w:val="007479BC"/>
    <w:rsid w:val="007479E4"/>
    <w:rsid w:val="00747A41"/>
    <w:rsid w:val="00747A55"/>
    <w:rsid w:val="00747AB7"/>
    <w:rsid w:val="00747ADE"/>
    <w:rsid w:val="00747AEB"/>
    <w:rsid w:val="00747AF0"/>
    <w:rsid w:val="00747B17"/>
    <w:rsid w:val="00747B86"/>
    <w:rsid w:val="00747B92"/>
    <w:rsid w:val="00747BE6"/>
    <w:rsid w:val="00747C26"/>
    <w:rsid w:val="00747C2C"/>
    <w:rsid w:val="00747C45"/>
    <w:rsid w:val="00747C4B"/>
    <w:rsid w:val="00747C58"/>
    <w:rsid w:val="00747CEB"/>
    <w:rsid w:val="00747D08"/>
    <w:rsid w:val="00747D0C"/>
    <w:rsid w:val="00747D37"/>
    <w:rsid w:val="00747D55"/>
    <w:rsid w:val="00747D57"/>
    <w:rsid w:val="00747D64"/>
    <w:rsid w:val="00747D8D"/>
    <w:rsid w:val="00747DA2"/>
    <w:rsid w:val="00747DAE"/>
    <w:rsid w:val="00747DC7"/>
    <w:rsid w:val="00747E1B"/>
    <w:rsid w:val="00747E1C"/>
    <w:rsid w:val="00747E3A"/>
    <w:rsid w:val="00747E8F"/>
    <w:rsid w:val="00747EB9"/>
    <w:rsid w:val="00747EEA"/>
    <w:rsid w:val="00747EF3"/>
    <w:rsid w:val="00747F15"/>
    <w:rsid w:val="00747F80"/>
    <w:rsid w:val="00747FB0"/>
    <w:rsid w:val="00750000"/>
    <w:rsid w:val="00750020"/>
    <w:rsid w:val="0075002A"/>
    <w:rsid w:val="00750038"/>
    <w:rsid w:val="0075004B"/>
    <w:rsid w:val="00750054"/>
    <w:rsid w:val="007500C8"/>
    <w:rsid w:val="007500FC"/>
    <w:rsid w:val="007501BE"/>
    <w:rsid w:val="007501DF"/>
    <w:rsid w:val="00750216"/>
    <w:rsid w:val="00750221"/>
    <w:rsid w:val="00750253"/>
    <w:rsid w:val="00750266"/>
    <w:rsid w:val="007502EA"/>
    <w:rsid w:val="0075037A"/>
    <w:rsid w:val="00750394"/>
    <w:rsid w:val="007503A6"/>
    <w:rsid w:val="007503DF"/>
    <w:rsid w:val="007503E1"/>
    <w:rsid w:val="00750427"/>
    <w:rsid w:val="00750435"/>
    <w:rsid w:val="0075044C"/>
    <w:rsid w:val="0075045E"/>
    <w:rsid w:val="00750477"/>
    <w:rsid w:val="007504A4"/>
    <w:rsid w:val="00750540"/>
    <w:rsid w:val="00750544"/>
    <w:rsid w:val="0075055E"/>
    <w:rsid w:val="00750596"/>
    <w:rsid w:val="007505A2"/>
    <w:rsid w:val="00750618"/>
    <w:rsid w:val="00750625"/>
    <w:rsid w:val="00750628"/>
    <w:rsid w:val="00750657"/>
    <w:rsid w:val="00750673"/>
    <w:rsid w:val="007506D2"/>
    <w:rsid w:val="007506DE"/>
    <w:rsid w:val="007507A7"/>
    <w:rsid w:val="00750804"/>
    <w:rsid w:val="00750856"/>
    <w:rsid w:val="0075085C"/>
    <w:rsid w:val="00750900"/>
    <w:rsid w:val="00750957"/>
    <w:rsid w:val="007509C8"/>
    <w:rsid w:val="007509DD"/>
    <w:rsid w:val="00750A0F"/>
    <w:rsid w:val="00750A7E"/>
    <w:rsid w:val="00750AE3"/>
    <w:rsid w:val="00750B85"/>
    <w:rsid w:val="00750BA4"/>
    <w:rsid w:val="00750BA6"/>
    <w:rsid w:val="00750BEE"/>
    <w:rsid w:val="00750C06"/>
    <w:rsid w:val="00750C34"/>
    <w:rsid w:val="00750CD6"/>
    <w:rsid w:val="00750CED"/>
    <w:rsid w:val="00750D2B"/>
    <w:rsid w:val="00750D35"/>
    <w:rsid w:val="00750D39"/>
    <w:rsid w:val="00750D98"/>
    <w:rsid w:val="00750DC5"/>
    <w:rsid w:val="00750E36"/>
    <w:rsid w:val="00750EE0"/>
    <w:rsid w:val="00750F22"/>
    <w:rsid w:val="00750F69"/>
    <w:rsid w:val="00750FB1"/>
    <w:rsid w:val="00750FB3"/>
    <w:rsid w:val="00750FCE"/>
    <w:rsid w:val="00750FD9"/>
    <w:rsid w:val="0075102B"/>
    <w:rsid w:val="0075104B"/>
    <w:rsid w:val="0075107F"/>
    <w:rsid w:val="007510C1"/>
    <w:rsid w:val="007510D7"/>
    <w:rsid w:val="007510E9"/>
    <w:rsid w:val="007511A5"/>
    <w:rsid w:val="00751234"/>
    <w:rsid w:val="00751251"/>
    <w:rsid w:val="0075126D"/>
    <w:rsid w:val="007512AD"/>
    <w:rsid w:val="007512D5"/>
    <w:rsid w:val="007512FE"/>
    <w:rsid w:val="00751338"/>
    <w:rsid w:val="007513E9"/>
    <w:rsid w:val="00751422"/>
    <w:rsid w:val="00751427"/>
    <w:rsid w:val="007514DE"/>
    <w:rsid w:val="007514FA"/>
    <w:rsid w:val="00751513"/>
    <w:rsid w:val="00751529"/>
    <w:rsid w:val="0075152D"/>
    <w:rsid w:val="0075156D"/>
    <w:rsid w:val="00751570"/>
    <w:rsid w:val="0075157F"/>
    <w:rsid w:val="0075158A"/>
    <w:rsid w:val="007515AE"/>
    <w:rsid w:val="007515C8"/>
    <w:rsid w:val="007515CB"/>
    <w:rsid w:val="0075164C"/>
    <w:rsid w:val="00751655"/>
    <w:rsid w:val="007516A7"/>
    <w:rsid w:val="007516A9"/>
    <w:rsid w:val="007516FE"/>
    <w:rsid w:val="00751730"/>
    <w:rsid w:val="00751740"/>
    <w:rsid w:val="0075174A"/>
    <w:rsid w:val="007517F7"/>
    <w:rsid w:val="007517FE"/>
    <w:rsid w:val="0075181B"/>
    <w:rsid w:val="00751865"/>
    <w:rsid w:val="00751891"/>
    <w:rsid w:val="007518A1"/>
    <w:rsid w:val="007518E9"/>
    <w:rsid w:val="00751922"/>
    <w:rsid w:val="007519D8"/>
    <w:rsid w:val="007519E7"/>
    <w:rsid w:val="00751A06"/>
    <w:rsid w:val="00751A07"/>
    <w:rsid w:val="00751A0B"/>
    <w:rsid w:val="00751A29"/>
    <w:rsid w:val="00751A5E"/>
    <w:rsid w:val="00751AE5"/>
    <w:rsid w:val="00751B18"/>
    <w:rsid w:val="00751B22"/>
    <w:rsid w:val="00751B40"/>
    <w:rsid w:val="00751B59"/>
    <w:rsid w:val="00751B82"/>
    <w:rsid w:val="00751B87"/>
    <w:rsid w:val="00751BAC"/>
    <w:rsid w:val="00751C0D"/>
    <w:rsid w:val="00751C43"/>
    <w:rsid w:val="00751C4E"/>
    <w:rsid w:val="00751CAE"/>
    <w:rsid w:val="00751CE5"/>
    <w:rsid w:val="00751D00"/>
    <w:rsid w:val="00751D2A"/>
    <w:rsid w:val="00751D9C"/>
    <w:rsid w:val="00751DB7"/>
    <w:rsid w:val="00751DBF"/>
    <w:rsid w:val="00751DEF"/>
    <w:rsid w:val="00751E04"/>
    <w:rsid w:val="00751E1D"/>
    <w:rsid w:val="00751E3D"/>
    <w:rsid w:val="00751E63"/>
    <w:rsid w:val="00751F18"/>
    <w:rsid w:val="00751F7C"/>
    <w:rsid w:val="00751F89"/>
    <w:rsid w:val="00751FEA"/>
    <w:rsid w:val="00751FF9"/>
    <w:rsid w:val="00752005"/>
    <w:rsid w:val="0075202F"/>
    <w:rsid w:val="0075203D"/>
    <w:rsid w:val="0075204A"/>
    <w:rsid w:val="00752072"/>
    <w:rsid w:val="0075208F"/>
    <w:rsid w:val="00752097"/>
    <w:rsid w:val="00752105"/>
    <w:rsid w:val="0075212A"/>
    <w:rsid w:val="0075217D"/>
    <w:rsid w:val="007521D9"/>
    <w:rsid w:val="007521F3"/>
    <w:rsid w:val="0075220F"/>
    <w:rsid w:val="00752261"/>
    <w:rsid w:val="0075227A"/>
    <w:rsid w:val="00752280"/>
    <w:rsid w:val="007522B6"/>
    <w:rsid w:val="00752303"/>
    <w:rsid w:val="00752318"/>
    <w:rsid w:val="0075236A"/>
    <w:rsid w:val="0075236B"/>
    <w:rsid w:val="00752370"/>
    <w:rsid w:val="0075240E"/>
    <w:rsid w:val="0075243D"/>
    <w:rsid w:val="00752446"/>
    <w:rsid w:val="00752457"/>
    <w:rsid w:val="007524F0"/>
    <w:rsid w:val="00752501"/>
    <w:rsid w:val="00752507"/>
    <w:rsid w:val="0075253B"/>
    <w:rsid w:val="0075257C"/>
    <w:rsid w:val="00752585"/>
    <w:rsid w:val="007525B8"/>
    <w:rsid w:val="007525BF"/>
    <w:rsid w:val="0075263E"/>
    <w:rsid w:val="00752666"/>
    <w:rsid w:val="007526C4"/>
    <w:rsid w:val="007526DB"/>
    <w:rsid w:val="007526E7"/>
    <w:rsid w:val="00752715"/>
    <w:rsid w:val="0075271B"/>
    <w:rsid w:val="00752750"/>
    <w:rsid w:val="0075276F"/>
    <w:rsid w:val="007527B5"/>
    <w:rsid w:val="00752810"/>
    <w:rsid w:val="00752848"/>
    <w:rsid w:val="007528C4"/>
    <w:rsid w:val="007528D1"/>
    <w:rsid w:val="007528D5"/>
    <w:rsid w:val="00752919"/>
    <w:rsid w:val="0075291F"/>
    <w:rsid w:val="0075294D"/>
    <w:rsid w:val="0075295F"/>
    <w:rsid w:val="0075297E"/>
    <w:rsid w:val="007529A7"/>
    <w:rsid w:val="007529AC"/>
    <w:rsid w:val="00752A0F"/>
    <w:rsid w:val="00752A18"/>
    <w:rsid w:val="00752A22"/>
    <w:rsid w:val="00752A29"/>
    <w:rsid w:val="00752A85"/>
    <w:rsid w:val="00752AC3"/>
    <w:rsid w:val="00752B3F"/>
    <w:rsid w:val="00752B4D"/>
    <w:rsid w:val="00752B51"/>
    <w:rsid w:val="00752BE2"/>
    <w:rsid w:val="00752BE3"/>
    <w:rsid w:val="00752BF1"/>
    <w:rsid w:val="00752BF5"/>
    <w:rsid w:val="00752C07"/>
    <w:rsid w:val="00752C8B"/>
    <w:rsid w:val="00752D53"/>
    <w:rsid w:val="00752D5C"/>
    <w:rsid w:val="00752D75"/>
    <w:rsid w:val="00752DBD"/>
    <w:rsid w:val="00752E0C"/>
    <w:rsid w:val="00752E98"/>
    <w:rsid w:val="00752EDC"/>
    <w:rsid w:val="00752EEA"/>
    <w:rsid w:val="00752F26"/>
    <w:rsid w:val="00752F59"/>
    <w:rsid w:val="00752F74"/>
    <w:rsid w:val="00752F7D"/>
    <w:rsid w:val="00752FCA"/>
    <w:rsid w:val="0075305C"/>
    <w:rsid w:val="0075308E"/>
    <w:rsid w:val="00753091"/>
    <w:rsid w:val="00753098"/>
    <w:rsid w:val="007530AF"/>
    <w:rsid w:val="007530D6"/>
    <w:rsid w:val="007530E4"/>
    <w:rsid w:val="00753143"/>
    <w:rsid w:val="00753149"/>
    <w:rsid w:val="00753164"/>
    <w:rsid w:val="00753168"/>
    <w:rsid w:val="007531AB"/>
    <w:rsid w:val="007531AD"/>
    <w:rsid w:val="007531BE"/>
    <w:rsid w:val="00753246"/>
    <w:rsid w:val="00753270"/>
    <w:rsid w:val="00753273"/>
    <w:rsid w:val="00753281"/>
    <w:rsid w:val="007532DE"/>
    <w:rsid w:val="0075334E"/>
    <w:rsid w:val="00753369"/>
    <w:rsid w:val="00753373"/>
    <w:rsid w:val="0075337F"/>
    <w:rsid w:val="007533FE"/>
    <w:rsid w:val="00753407"/>
    <w:rsid w:val="00753468"/>
    <w:rsid w:val="00753474"/>
    <w:rsid w:val="007534AD"/>
    <w:rsid w:val="007534E4"/>
    <w:rsid w:val="0075354D"/>
    <w:rsid w:val="00753593"/>
    <w:rsid w:val="007535F4"/>
    <w:rsid w:val="00753619"/>
    <w:rsid w:val="007536CB"/>
    <w:rsid w:val="007536F6"/>
    <w:rsid w:val="007537BB"/>
    <w:rsid w:val="007537F3"/>
    <w:rsid w:val="00753872"/>
    <w:rsid w:val="00753877"/>
    <w:rsid w:val="0075389F"/>
    <w:rsid w:val="0075393A"/>
    <w:rsid w:val="0075395C"/>
    <w:rsid w:val="007539A3"/>
    <w:rsid w:val="007539AA"/>
    <w:rsid w:val="007539FE"/>
    <w:rsid w:val="00753A2E"/>
    <w:rsid w:val="00753AE0"/>
    <w:rsid w:val="00753B0E"/>
    <w:rsid w:val="00753B40"/>
    <w:rsid w:val="00753BC9"/>
    <w:rsid w:val="00753BE1"/>
    <w:rsid w:val="00753C16"/>
    <w:rsid w:val="00753C4E"/>
    <w:rsid w:val="00753C50"/>
    <w:rsid w:val="00753C6C"/>
    <w:rsid w:val="00753CD3"/>
    <w:rsid w:val="00753CDE"/>
    <w:rsid w:val="00753D45"/>
    <w:rsid w:val="00753E2B"/>
    <w:rsid w:val="00753EF2"/>
    <w:rsid w:val="00753F81"/>
    <w:rsid w:val="00753FCF"/>
    <w:rsid w:val="00753FF9"/>
    <w:rsid w:val="00753FFA"/>
    <w:rsid w:val="0075402B"/>
    <w:rsid w:val="0075407A"/>
    <w:rsid w:val="0075416B"/>
    <w:rsid w:val="00754226"/>
    <w:rsid w:val="00754259"/>
    <w:rsid w:val="007542A8"/>
    <w:rsid w:val="0075434A"/>
    <w:rsid w:val="0075439B"/>
    <w:rsid w:val="00754408"/>
    <w:rsid w:val="0075443D"/>
    <w:rsid w:val="00754466"/>
    <w:rsid w:val="007544AA"/>
    <w:rsid w:val="007544D5"/>
    <w:rsid w:val="00754533"/>
    <w:rsid w:val="00754562"/>
    <w:rsid w:val="00754625"/>
    <w:rsid w:val="0075464E"/>
    <w:rsid w:val="0075465C"/>
    <w:rsid w:val="00754689"/>
    <w:rsid w:val="0075469D"/>
    <w:rsid w:val="00754750"/>
    <w:rsid w:val="0075475A"/>
    <w:rsid w:val="0075477F"/>
    <w:rsid w:val="007547ED"/>
    <w:rsid w:val="00754807"/>
    <w:rsid w:val="0075485D"/>
    <w:rsid w:val="007548BC"/>
    <w:rsid w:val="007548DA"/>
    <w:rsid w:val="00754903"/>
    <w:rsid w:val="00754905"/>
    <w:rsid w:val="0075492D"/>
    <w:rsid w:val="00754952"/>
    <w:rsid w:val="0075495B"/>
    <w:rsid w:val="007549AC"/>
    <w:rsid w:val="00754A21"/>
    <w:rsid w:val="00754A3A"/>
    <w:rsid w:val="00754A5B"/>
    <w:rsid w:val="00754A94"/>
    <w:rsid w:val="00754A99"/>
    <w:rsid w:val="00754AA6"/>
    <w:rsid w:val="00754AAF"/>
    <w:rsid w:val="00754AD3"/>
    <w:rsid w:val="00754AE6"/>
    <w:rsid w:val="00754B12"/>
    <w:rsid w:val="00754B1D"/>
    <w:rsid w:val="00754B78"/>
    <w:rsid w:val="00754B8C"/>
    <w:rsid w:val="00754BD1"/>
    <w:rsid w:val="00754BD6"/>
    <w:rsid w:val="00754C39"/>
    <w:rsid w:val="00754C3B"/>
    <w:rsid w:val="00754C3D"/>
    <w:rsid w:val="00754C4B"/>
    <w:rsid w:val="00754C50"/>
    <w:rsid w:val="00754CAE"/>
    <w:rsid w:val="00754CBA"/>
    <w:rsid w:val="00754D47"/>
    <w:rsid w:val="00754D51"/>
    <w:rsid w:val="00754D53"/>
    <w:rsid w:val="00754D95"/>
    <w:rsid w:val="00754DA5"/>
    <w:rsid w:val="00754DEE"/>
    <w:rsid w:val="00754DFE"/>
    <w:rsid w:val="00754E0D"/>
    <w:rsid w:val="00754E17"/>
    <w:rsid w:val="00754F1A"/>
    <w:rsid w:val="00754F60"/>
    <w:rsid w:val="00754F96"/>
    <w:rsid w:val="00754FB3"/>
    <w:rsid w:val="00754FF6"/>
    <w:rsid w:val="00754FF7"/>
    <w:rsid w:val="00755069"/>
    <w:rsid w:val="00755091"/>
    <w:rsid w:val="0075509C"/>
    <w:rsid w:val="007550B4"/>
    <w:rsid w:val="007550BE"/>
    <w:rsid w:val="007550E5"/>
    <w:rsid w:val="00755100"/>
    <w:rsid w:val="0075510A"/>
    <w:rsid w:val="00755136"/>
    <w:rsid w:val="00755167"/>
    <w:rsid w:val="007551BE"/>
    <w:rsid w:val="0075522C"/>
    <w:rsid w:val="007552BC"/>
    <w:rsid w:val="00755386"/>
    <w:rsid w:val="007553B4"/>
    <w:rsid w:val="007553DF"/>
    <w:rsid w:val="00755467"/>
    <w:rsid w:val="007554A1"/>
    <w:rsid w:val="007554AA"/>
    <w:rsid w:val="007554BE"/>
    <w:rsid w:val="007554CB"/>
    <w:rsid w:val="0075550A"/>
    <w:rsid w:val="00755528"/>
    <w:rsid w:val="00755564"/>
    <w:rsid w:val="00755601"/>
    <w:rsid w:val="0075568C"/>
    <w:rsid w:val="00755694"/>
    <w:rsid w:val="007556AE"/>
    <w:rsid w:val="007556C9"/>
    <w:rsid w:val="007556FE"/>
    <w:rsid w:val="00755702"/>
    <w:rsid w:val="00755729"/>
    <w:rsid w:val="00755812"/>
    <w:rsid w:val="00755837"/>
    <w:rsid w:val="00755858"/>
    <w:rsid w:val="00755872"/>
    <w:rsid w:val="00755905"/>
    <w:rsid w:val="0075591C"/>
    <w:rsid w:val="00755922"/>
    <w:rsid w:val="00755988"/>
    <w:rsid w:val="007559C3"/>
    <w:rsid w:val="007559F7"/>
    <w:rsid w:val="00755A7F"/>
    <w:rsid w:val="00755A91"/>
    <w:rsid w:val="00755BD8"/>
    <w:rsid w:val="00755BF8"/>
    <w:rsid w:val="00755C20"/>
    <w:rsid w:val="00755CBF"/>
    <w:rsid w:val="00755CC8"/>
    <w:rsid w:val="00755CEB"/>
    <w:rsid w:val="00755D1B"/>
    <w:rsid w:val="00755D39"/>
    <w:rsid w:val="00755D3A"/>
    <w:rsid w:val="00755D4B"/>
    <w:rsid w:val="00755D64"/>
    <w:rsid w:val="00755DAE"/>
    <w:rsid w:val="00755DCF"/>
    <w:rsid w:val="00755DD4"/>
    <w:rsid w:val="00755E67"/>
    <w:rsid w:val="00755EFA"/>
    <w:rsid w:val="00755F14"/>
    <w:rsid w:val="00755F42"/>
    <w:rsid w:val="00755F88"/>
    <w:rsid w:val="00755F8A"/>
    <w:rsid w:val="00755FB4"/>
    <w:rsid w:val="00755FBA"/>
    <w:rsid w:val="00755FED"/>
    <w:rsid w:val="00755FF4"/>
    <w:rsid w:val="0075603B"/>
    <w:rsid w:val="00756066"/>
    <w:rsid w:val="00756090"/>
    <w:rsid w:val="0075609E"/>
    <w:rsid w:val="007560B8"/>
    <w:rsid w:val="007560F5"/>
    <w:rsid w:val="00756138"/>
    <w:rsid w:val="00756143"/>
    <w:rsid w:val="007561BA"/>
    <w:rsid w:val="007561F3"/>
    <w:rsid w:val="00756211"/>
    <w:rsid w:val="00756273"/>
    <w:rsid w:val="0075629F"/>
    <w:rsid w:val="007562B7"/>
    <w:rsid w:val="007562E4"/>
    <w:rsid w:val="007562E8"/>
    <w:rsid w:val="00756308"/>
    <w:rsid w:val="00756342"/>
    <w:rsid w:val="00756358"/>
    <w:rsid w:val="00756360"/>
    <w:rsid w:val="007563CC"/>
    <w:rsid w:val="0075640F"/>
    <w:rsid w:val="00756412"/>
    <w:rsid w:val="00756415"/>
    <w:rsid w:val="0075643C"/>
    <w:rsid w:val="00756449"/>
    <w:rsid w:val="00756478"/>
    <w:rsid w:val="0075648D"/>
    <w:rsid w:val="007564C6"/>
    <w:rsid w:val="00756502"/>
    <w:rsid w:val="00756541"/>
    <w:rsid w:val="0075657F"/>
    <w:rsid w:val="007565A6"/>
    <w:rsid w:val="007565CD"/>
    <w:rsid w:val="007565D2"/>
    <w:rsid w:val="007565F2"/>
    <w:rsid w:val="0075661D"/>
    <w:rsid w:val="00756654"/>
    <w:rsid w:val="0075666F"/>
    <w:rsid w:val="00756688"/>
    <w:rsid w:val="0075669E"/>
    <w:rsid w:val="0075670C"/>
    <w:rsid w:val="00756734"/>
    <w:rsid w:val="0075676E"/>
    <w:rsid w:val="007567D9"/>
    <w:rsid w:val="007567FC"/>
    <w:rsid w:val="00756823"/>
    <w:rsid w:val="0075683E"/>
    <w:rsid w:val="0075695D"/>
    <w:rsid w:val="00756966"/>
    <w:rsid w:val="007569AF"/>
    <w:rsid w:val="007569BD"/>
    <w:rsid w:val="007569D9"/>
    <w:rsid w:val="00756A20"/>
    <w:rsid w:val="00756A2D"/>
    <w:rsid w:val="00756A39"/>
    <w:rsid w:val="00756AA9"/>
    <w:rsid w:val="00756AB4"/>
    <w:rsid w:val="00756AE0"/>
    <w:rsid w:val="00756B06"/>
    <w:rsid w:val="00756B4C"/>
    <w:rsid w:val="00756B78"/>
    <w:rsid w:val="00756B85"/>
    <w:rsid w:val="00756B8B"/>
    <w:rsid w:val="00756C7F"/>
    <w:rsid w:val="00756C8C"/>
    <w:rsid w:val="00756C99"/>
    <w:rsid w:val="00756CE5"/>
    <w:rsid w:val="00756CF9"/>
    <w:rsid w:val="00756D58"/>
    <w:rsid w:val="00756DDC"/>
    <w:rsid w:val="00756DFC"/>
    <w:rsid w:val="00756E11"/>
    <w:rsid w:val="00756E2E"/>
    <w:rsid w:val="00756E48"/>
    <w:rsid w:val="00756E67"/>
    <w:rsid w:val="00756E71"/>
    <w:rsid w:val="00756E9D"/>
    <w:rsid w:val="00756EB3"/>
    <w:rsid w:val="00756F0C"/>
    <w:rsid w:val="00756F2B"/>
    <w:rsid w:val="00756F61"/>
    <w:rsid w:val="00756F7B"/>
    <w:rsid w:val="00756F83"/>
    <w:rsid w:val="00756F88"/>
    <w:rsid w:val="00756FAD"/>
    <w:rsid w:val="00756FDC"/>
    <w:rsid w:val="00756FEB"/>
    <w:rsid w:val="00756FF7"/>
    <w:rsid w:val="0075704D"/>
    <w:rsid w:val="00757065"/>
    <w:rsid w:val="0075706C"/>
    <w:rsid w:val="0075707C"/>
    <w:rsid w:val="0075708B"/>
    <w:rsid w:val="00757097"/>
    <w:rsid w:val="007570BC"/>
    <w:rsid w:val="007570DC"/>
    <w:rsid w:val="0075710E"/>
    <w:rsid w:val="00757116"/>
    <w:rsid w:val="00757118"/>
    <w:rsid w:val="00757134"/>
    <w:rsid w:val="00757159"/>
    <w:rsid w:val="007571E6"/>
    <w:rsid w:val="00757227"/>
    <w:rsid w:val="00757236"/>
    <w:rsid w:val="00757239"/>
    <w:rsid w:val="0075728E"/>
    <w:rsid w:val="007572A5"/>
    <w:rsid w:val="007572E0"/>
    <w:rsid w:val="00757321"/>
    <w:rsid w:val="00757357"/>
    <w:rsid w:val="00757381"/>
    <w:rsid w:val="007573A9"/>
    <w:rsid w:val="00757456"/>
    <w:rsid w:val="0075746F"/>
    <w:rsid w:val="007574A2"/>
    <w:rsid w:val="0075751F"/>
    <w:rsid w:val="0075755E"/>
    <w:rsid w:val="00757578"/>
    <w:rsid w:val="007575F6"/>
    <w:rsid w:val="00757657"/>
    <w:rsid w:val="007576C9"/>
    <w:rsid w:val="00757733"/>
    <w:rsid w:val="00757797"/>
    <w:rsid w:val="007577B7"/>
    <w:rsid w:val="007577CE"/>
    <w:rsid w:val="00757804"/>
    <w:rsid w:val="00757815"/>
    <w:rsid w:val="0075784E"/>
    <w:rsid w:val="00757867"/>
    <w:rsid w:val="0075787A"/>
    <w:rsid w:val="007578AB"/>
    <w:rsid w:val="007578AD"/>
    <w:rsid w:val="00757920"/>
    <w:rsid w:val="0075792F"/>
    <w:rsid w:val="0075795D"/>
    <w:rsid w:val="00757978"/>
    <w:rsid w:val="007579A8"/>
    <w:rsid w:val="007579BF"/>
    <w:rsid w:val="007579CB"/>
    <w:rsid w:val="007579CD"/>
    <w:rsid w:val="007579DB"/>
    <w:rsid w:val="007579FB"/>
    <w:rsid w:val="00757A02"/>
    <w:rsid w:val="00757A11"/>
    <w:rsid w:val="00757A88"/>
    <w:rsid w:val="00757A93"/>
    <w:rsid w:val="00757AF3"/>
    <w:rsid w:val="00757B02"/>
    <w:rsid w:val="00757B64"/>
    <w:rsid w:val="00757B91"/>
    <w:rsid w:val="00757BDD"/>
    <w:rsid w:val="00757C3C"/>
    <w:rsid w:val="00757C4A"/>
    <w:rsid w:val="00757C58"/>
    <w:rsid w:val="00757CAE"/>
    <w:rsid w:val="00757CC4"/>
    <w:rsid w:val="00757D0A"/>
    <w:rsid w:val="00757D91"/>
    <w:rsid w:val="00757DEC"/>
    <w:rsid w:val="00757E17"/>
    <w:rsid w:val="00757E19"/>
    <w:rsid w:val="00757E31"/>
    <w:rsid w:val="00757E32"/>
    <w:rsid w:val="00757E47"/>
    <w:rsid w:val="00757E6A"/>
    <w:rsid w:val="00757EB8"/>
    <w:rsid w:val="00757EE9"/>
    <w:rsid w:val="00757EFA"/>
    <w:rsid w:val="00757F2E"/>
    <w:rsid w:val="00757F3F"/>
    <w:rsid w:val="0076001C"/>
    <w:rsid w:val="0076009B"/>
    <w:rsid w:val="007600C3"/>
    <w:rsid w:val="007600DF"/>
    <w:rsid w:val="007600FF"/>
    <w:rsid w:val="00760116"/>
    <w:rsid w:val="00760136"/>
    <w:rsid w:val="00760146"/>
    <w:rsid w:val="007601C7"/>
    <w:rsid w:val="007601F9"/>
    <w:rsid w:val="0076023B"/>
    <w:rsid w:val="0076023E"/>
    <w:rsid w:val="007602D0"/>
    <w:rsid w:val="007602F0"/>
    <w:rsid w:val="0076035C"/>
    <w:rsid w:val="00760372"/>
    <w:rsid w:val="00760381"/>
    <w:rsid w:val="007603D0"/>
    <w:rsid w:val="007603DA"/>
    <w:rsid w:val="007603DE"/>
    <w:rsid w:val="00760498"/>
    <w:rsid w:val="007604CC"/>
    <w:rsid w:val="007604D8"/>
    <w:rsid w:val="00760510"/>
    <w:rsid w:val="0076051D"/>
    <w:rsid w:val="00760544"/>
    <w:rsid w:val="007605A5"/>
    <w:rsid w:val="007605C5"/>
    <w:rsid w:val="007606AD"/>
    <w:rsid w:val="007606B8"/>
    <w:rsid w:val="007606D1"/>
    <w:rsid w:val="007606EC"/>
    <w:rsid w:val="00760755"/>
    <w:rsid w:val="0076078D"/>
    <w:rsid w:val="007607A6"/>
    <w:rsid w:val="007607F7"/>
    <w:rsid w:val="00760801"/>
    <w:rsid w:val="00760811"/>
    <w:rsid w:val="0076082A"/>
    <w:rsid w:val="00760834"/>
    <w:rsid w:val="007608DE"/>
    <w:rsid w:val="0076091B"/>
    <w:rsid w:val="00760938"/>
    <w:rsid w:val="0076096F"/>
    <w:rsid w:val="0076097B"/>
    <w:rsid w:val="00760998"/>
    <w:rsid w:val="007609F4"/>
    <w:rsid w:val="00760A22"/>
    <w:rsid w:val="00760A2A"/>
    <w:rsid w:val="00760A30"/>
    <w:rsid w:val="00760A9D"/>
    <w:rsid w:val="00760B47"/>
    <w:rsid w:val="00760B4F"/>
    <w:rsid w:val="00760BDC"/>
    <w:rsid w:val="00760BF8"/>
    <w:rsid w:val="00760C83"/>
    <w:rsid w:val="00760D29"/>
    <w:rsid w:val="00760D3D"/>
    <w:rsid w:val="00760D63"/>
    <w:rsid w:val="00760D9B"/>
    <w:rsid w:val="00760DCB"/>
    <w:rsid w:val="00760DFA"/>
    <w:rsid w:val="00760E02"/>
    <w:rsid w:val="00760E17"/>
    <w:rsid w:val="00760E2A"/>
    <w:rsid w:val="00760F2C"/>
    <w:rsid w:val="00760F4A"/>
    <w:rsid w:val="00760F60"/>
    <w:rsid w:val="00760F7C"/>
    <w:rsid w:val="00760F9A"/>
    <w:rsid w:val="00760FE3"/>
    <w:rsid w:val="00761007"/>
    <w:rsid w:val="00761047"/>
    <w:rsid w:val="0076109E"/>
    <w:rsid w:val="007610A0"/>
    <w:rsid w:val="007610BD"/>
    <w:rsid w:val="007610BF"/>
    <w:rsid w:val="007610F8"/>
    <w:rsid w:val="00761130"/>
    <w:rsid w:val="00761152"/>
    <w:rsid w:val="00761156"/>
    <w:rsid w:val="0076116E"/>
    <w:rsid w:val="007611C0"/>
    <w:rsid w:val="007611C4"/>
    <w:rsid w:val="007611C9"/>
    <w:rsid w:val="007611E7"/>
    <w:rsid w:val="007611F4"/>
    <w:rsid w:val="0076120B"/>
    <w:rsid w:val="00761226"/>
    <w:rsid w:val="00761266"/>
    <w:rsid w:val="007612A2"/>
    <w:rsid w:val="007612C1"/>
    <w:rsid w:val="007612CF"/>
    <w:rsid w:val="007612D3"/>
    <w:rsid w:val="00761375"/>
    <w:rsid w:val="0076138B"/>
    <w:rsid w:val="007613C4"/>
    <w:rsid w:val="00761426"/>
    <w:rsid w:val="007614B4"/>
    <w:rsid w:val="007614BE"/>
    <w:rsid w:val="00761502"/>
    <w:rsid w:val="00761518"/>
    <w:rsid w:val="00761554"/>
    <w:rsid w:val="00761584"/>
    <w:rsid w:val="007615B1"/>
    <w:rsid w:val="007615F2"/>
    <w:rsid w:val="0076161F"/>
    <w:rsid w:val="00761621"/>
    <w:rsid w:val="0076164F"/>
    <w:rsid w:val="00761656"/>
    <w:rsid w:val="0076166D"/>
    <w:rsid w:val="007616AF"/>
    <w:rsid w:val="007616CE"/>
    <w:rsid w:val="0076176B"/>
    <w:rsid w:val="00761785"/>
    <w:rsid w:val="007617ED"/>
    <w:rsid w:val="0076181C"/>
    <w:rsid w:val="0076182C"/>
    <w:rsid w:val="00761858"/>
    <w:rsid w:val="00761863"/>
    <w:rsid w:val="00761877"/>
    <w:rsid w:val="00761884"/>
    <w:rsid w:val="007619F9"/>
    <w:rsid w:val="00761A06"/>
    <w:rsid w:val="00761A8A"/>
    <w:rsid w:val="00761A90"/>
    <w:rsid w:val="00761B16"/>
    <w:rsid w:val="00761B5E"/>
    <w:rsid w:val="00761BBB"/>
    <w:rsid w:val="00761C69"/>
    <w:rsid w:val="00761C91"/>
    <w:rsid w:val="00761CC6"/>
    <w:rsid w:val="00761D08"/>
    <w:rsid w:val="00761D27"/>
    <w:rsid w:val="00761D95"/>
    <w:rsid w:val="00761DAF"/>
    <w:rsid w:val="00761E39"/>
    <w:rsid w:val="00761E45"/>
    <w:rsid w:val="00761E7C"/>
    <w:rsid w:val="00761EFD"/>
    <w:rsid w:val="00761F69"/>
    <w:rsid w:val="0076200B"/>
    <w:rsid w:val="0076207C"/>
    <w:rsid w:val="007620A1"/>
    <w:rsid w:val="007620A4"/>
    <w:rsid w:val="007620A6"/>
    <w:rsid w:val="007620D0"/>
    <w:rsid w:val="00762103"/>
    <w:rsid w:val="00762126"/>
    <w:rsid w:val="00762156"/>
    <w:rsid w:val="007621A5"/>
    <w:rsid w:val="007621C7"/>
    <w:rsid w:val="007621EA"/>
    <w:rsid w:val="00762200"/>
    <w:rsid w:val="00762214"/>
    <w:rsid w:val="0076221A"/>
    <w:rsid w:val="00762256"/>
    <w:rsid w:val="00762274"/>
    <w:rsid w:val="00762291"/>
    <w:rsid w:val="007622FC"/>
    <w:rsid w:val="00762308"/>
    <w:rsid w:val="00762385"/>
    <w:rsid w:val="00762395"/>
    <w:rsid w:val="007623A3"/>
    <w:rsid w:val="007623C0"/>
    <w:rsid w:val="007623C6"/>
    <w:rsid w:val="007624A7"/>
    <w:rsid w:val="007624E1"/>
    <w:rsid w:val="007624FA"/>
    <w:rsid w:val="00762548"/>
    <w:rsid w:val="0076255E"/>
    <w:rsid w:val="00762567"/>
    <w:rsid w:val="007625ED"/>
    <w:rsid w:val="00762602"/>
    <w:rsid w:val="0076261B"/>
    <w:rsid w:val="0076264F"/>
    <w:rsid w:val="00762691"/>
    <w:rsid w:val="007626F7"/>
    <w:rsid w:val="0076274E"/>
    <w:rsid w:val="00762760"/>
    <w:rsid w:val="00762776"/>
    <w:rsid w:val="00762793"/>
    <w:rsid w:val="007627A5"/>
    <w:rsid w:val="007627AA"/>
    <w:rsid w:val="007627C0"/>
    <w:rsid w:val="007627F9"/>
    <w:rsid w:val="00762850"/>
    <w:rsid w:val="00762851"/>
    <w:rsid w:val="0076288D"/>
    <w:rsid w:val="00762898"/>
    <w:rsid w:val="007628B7"/>
    <w:rsid w:val="0076295B"/>
    <w:rsid w:val="0076296B"/>
    <w:rsid w:val="00762976"/>
    <w:rsid w:val="0076299D"/>
    <w:rsid w:val="007629A3"/>
    <w:rsid w:val="007629BF"/>
    <w:rsid w:val="007629E3"/>
    <w:rsid w:val="007629F1"/>
    <w:rsid w:val="00762A04"/>
    <w:rsid w:val="00762A16"/>
    <w:rsid w:val="00762A20"/>
    <w:rsid w:val="00762AA9"/>
    <w:rsid w:val="00762ACD"/>
    <w:rsid w:val="00762AD0"/>
    <w:rsid w:val="00762AED"/>
    <w:rsid w:val="00762B14"/>
    <w:rsid w:val="00762B1F"/>
    <w:rsid w:val="00762B3D"/>
    <w:rsid w:val="00762C2D"/>
    <w:rsid w:val="00762C47"/>
    <w:rsid w:val="00762CF4"/>
    <w:rsid w:val="00762D05"/>
    <w:rsid w:val="00762D20"/>
    <w:rsid w:val="00762D82"/>
    <w:rsid w:val="00762DC0"/>
    <w:rsid w:val="00762DC9"/>
    <w:rsid w:val="00762DCA"/>
    <w:rsid w:val="00762DDD"/>
    <w:rsid w:val="00762E37"/>
    <w:rsid w:val="00762E4E"/>
    <w:rsid w:val="00762E60"/>
    <w:rsid w:val="00762E81"/>
    <w:rsid w:val="00762EAD"/>
    <w:rsid w:val="00762EC6"/>
    <w:rsid w:val="00762F00"/>
    <w:rsid w:val="00762F4C"/>
    <w:rsid w:val="00762F7D"/>
    <w:rsid w:val="0076304D"/>
    <w:rsid w:val="0076307B"/>
    <w:rsid w:val="00763125"/>
    <w:rsid w:val="0076313C"/>
    <w:rsid w:val="00763140"/>
    <w:rsid w:val="00763163"/>
    <w:rsid w:val="0076319C"/>
    <w:rsid w:val="007631E3"/>
    <w:rsid w:val="007632D9"/>
    <w:rsid w:val="007632DF"/>
    <w:rsid w:val="007632F6"/>
    <w:rsid w:val="00763309"/>
    <w:rsid w:val="00763314"/>
    <w:rsid w:val="00763339"/>
    <w:rsid w:val="00763394"/>
    <w:rsid w:val="007633B9"/>
    <w:rsid w:val="0076340E"/>
    <w:rsid w:val="00763429"/>
    <w:rsid w:val="00763445"/>
    <w:rsid w:val="00763463"/>
    <w:rsid w:val="00763474"/>
    <w:rsid w:val="007634B2"/>
    <w:rsid w:val="0076352B"/>
    <w:rsid w:val="00763534"/>
    <w:rsid w:val="00763576"/>
    <w:rsid w:val="00763595"/>
    <w:rsid w:val="0076359D"/>
    <w:rsid w:val="007635EF"/>
    <w:rsid w:val="007635F4"/>
    <w:rsid w:val="007635FC"/>
    <w:rsid w:val="0076360B"/>
    <w:rsid w:val="0076360D"/>
    <w:rsid w:val="0076365B"/>
    <w:rsid w:val="00763679"/>
    <w:rsid w:val="00763684"/>
    <w:rsid w:val="00763746"/>
    <w:rsid w:val="00763780"/>
    <w:rsid w:val="00763834"/>
    <w:rsid w:val="0076384B"/>
    <w:rsid w:val="00763879"/>
    <w:rsid w:val="007638CA"/>
    <w:rsid w:val="007638DE"/>
    <w:rsid w:val="00763914"/>
    <w:rsid w:val="007639DF"/>
    <w:rsid w:val="00763A3F"/>
    <w:rsid w:val="00763A60"/>
    <w:rsid w:val="00763A64"/>
    <w:rsid w:val="00763A6D"/>
    <w:rsid w:val="00763A73"/>
    <w:rsid w:val="00763A9C"/>
    <w:rsid w:val="00763AEB"/>
    <w:rsid w:val="00763B1F"/>
    <w:rsid w:val="00763B39"/>
    <w:rsid w:val="00763BBB"/>
    <w:rsid w:val="00763BF0"/>
    <w:rsid w:val="00763C03"/>
    <w:rsid w:val="00763C04"/>
    <w:rsid w:val="00763C1B"/>
    <w:rsid w:val="00763C35"/>
    <w:rsid w:val="00763C58"/>
    <w:rsid w:val="00763CBA"/>
    <w:rsid w:val="00763D06"/>
    <w:rsid w:val="00763D0E"/>
    <w:rsid w:val="00763D8B"/>
    <w:rsid w:val="00763E54"/>
    <w:rsid w:val="00763E57"/>
    <w:rsid w:val="00763E62"/>
    <w:rsid w:val="00763E79"/>
    <w:rsid w:val="00763EC8"/>
    <w:rsid w:val="00763F3A"/>
    <w:rsid w:val="00763F3B"/>
    <w:rsid w:val="00763F55"/>
    <w:rsid w:val="00763FAA"/>
    <w:rsid w:val="00763FE4"/>
    <w:rsid w:val="00764095"/>
    <w:rsid w:val="007640C6"/>
    <w:rsid w:val="007640CB"/>
    <w:rsid w:val="007640CD"/>
    <w:rsid w:val="007640D5"/>
    <w:rsid w:val="007640EA"/>
    <w:rsid w:val="0076412B"/>
    <w:rsid w:val="00764154"/>
    <w:rsid w:val="00764162"/>
    <w:rsid w:val="007641C6"/>
    <w:rsid w:val="007641DF"/>
    <w:rsid w:val="00764277"/>
    <w:rsid w:val="00764299"/>
    <w:rsid w:val="007642A3"/>
    <w:rsid w:val="007642E3"/>
    <w:rsid w:val="00764326"/>
    <w:rsid w:val="0076434A"/>
    <w:rsid w:val="00764394"/>
    <w:rsid w:val="0076439A"/>
    <w:rsid w:val="007643BD"/>
    <w:rsid w:val="007643C7"/>
    <w:rsid w:val="007643CA"/>
    <w:rsid w:val="0076446E"/>
    <w:rsid w:val="0076453A"/>
    <w:rsid w:val="0076454A"/>
    <w:rsid w:val="00764585"/>
    <w:rsid w:val="00764645"/>
    <w:rsid w:val="00764656"/>
    <w:rsid w:val="00764667"/>
    <w:rsid w:val="0076467F"/>
    <w:rsid w:val="00764697"/>
    <w:rsid w:val="007646A0"/>
    <w:rsid w:val="007646C9"/>
    <w:rsid w:val="007646DB"/>
    <w:rsid w:val="007646DD"/>
    <w:rsid w:val="007646DE"/>
    <w:rsid w:val="00764702"/>
    <w:rsid w:val="00764731"/>
    <w:rsid w:val="0076475D"/>
    <w:rsid w:val="00764767"/>
    <w:rsid w:val="007647AC"/>
    <w:rsid w:val="007648E8"/>
    <w:rsid w:val="00764924"/>
    <w:rsid w:val="0076496A"/>
    <w:rsid w:val="00764978"/>
    <w:rsid w:val="007649CD"/>
    <w:rsid w:val="007649EB"/>
    <w:rsid w:val="00764A38"/>
    <w:rsid w:val="00764A8D"/>
    <w:rsid w:val="00764AA0"/>
    <w:rsid w:val="00764ADF"/>
    <w:rsid w:val="00764B04"/>
    <w:rsid w:val="00764B66"/>
    <w:rsid w:val="00764BAB"/>
    <w:rsid w:val="00764BC6"/>
    <w:rsid w:val="00764BDF"/>
    <w:rsid w:val="00764C45"/>
    <w:rsid w:val="00764C63"/>
    <w:rsid w:val="00764CBA"/>
    <w:rsid w:val="00764CFD"/>
    <w:rsid w:val="00764D4A"/>
    <w:rsid w:val="00764D53"/>
    <w:rsid w:val="00764D86"/>
    <w:rsid w:val="00764DF7"/>
    <w:rsid w:val="00764E02"/>
    <w:rsid w:val="00764E14"/>
    <w:rsid w:val="00764E3C"/>
    <w:rsid w:val="00764E95"/>
    <w:rsid w:val="00764E9C"/>
    <w:rsid w:val="00764EAD"/>
    <w:rsid w:val="00764ED5"/>
    <w:rsid w:val="00764EFE"/>
    <w:rsid w:val="00764F05"/>
    <w:rsid w:val="00764F18"/>
    <w:rsid w:val="00764F24"/>
    <w:rsid w:val="00764F30"/>
    <w:rsid w:val="00764F3C"/>
    <w:rsid w:val="00764F96"/>
    <w:rsid w:val="0076502B"/>
    <w:rsid w:val="00765095"/>
    <w:rsid w:val="007650A4"/>
    <w:rsid w:val="007650B7"/>
    <w:rsid w:val="007650CF"/>
    <w:rsid w:val="007650D9"/>
    <w:rsid w:val="007650E3"/>
    <w:rsid w:val="007650F2"/>
    <w:rsid w:val="00765149"/>
    <w:rsid w:val="00765171"/>
    <w:rsid w:val="0076518B"/>
    <w:rsid w:val="0076519F"/>
    <w:rsid w:val="007651EC"/>
    <w:rsid w:val="0076524E"/>
    <w:rsid w:val="00765279"/>
    <w:rsid w:val="007652AE"/>
    <w:rsid w:val="007652E1"/>
    <w:rsid w:val="00765341"/>
    <w:rsid w:val="00765370"/>
    <w:rsid w:val="007653AA"/>
    <w:rsid w:val="007653AD"/>
    <w:rsid w:val="007653F4"/>
    <w:rsid w:val="0076540F"/>
    <w:rsid w:val="00765425"/>
    <w:rsid w:val="00765429"/>
    <w:rsid w:val="00765435"/>
    <w:rsid w:val="00765453"/>
    <w:rsid w:val="00765467"/>
    <w:rsid w:val="0076546B"/>
    <w:rsid w:val="007654A6"/>
    <w:rsid w:val="0076556A"/>
    <w:rsid w:val="00765589"/>
    <w:rsid w:val="0076558C"/>
    <w:rsid w:val="00765596"/>
    <w:rsid w:val="0076564B"/>
    <w:rsid w:val="007656BC"/>
    <w:rsid w:val="007656E4"/>
    <w:rsid w:val="00765743"/>
    <w:rsid w:val="00765748"/>
    <w:rsid w:val="007657DD"/>
    <w:rsid w:val="00765824"/>
    <w:rsid w:val="0076588E"/>
    <w:rsid w:val="007658E7"/>
    <w:rsid w:val="00765934"/>
    <w:rsid w:val="0076596A"/>
    <w:rsid w:val="00765A17"/>
    <w:rsid w:val="00765A3B"/>
    <w:rsid w:val="00765A63"/>
    <w:rsid w:val="00765A72"/>
    <w:rsid w:val="00765A75"/>
    <w:rsid w:val="00765AD9"/>
    <w:rsid w:val="00765B1F"/>
    <w:rsid w:val="00765BFB"/>
    <w:rsid w:val="00765C86"/>
    <w:rsid w:val="00765C88"/>
    <w:rsid w:val="00765CBA"/>
    <w:rsid w:val="00765CCE"/>
    <w:rsid w:val="00765CCF"/>
    <w:rsid w:val="00765D17"/>
    <w:rsid w:val="00765D7F"/>
    <w:rsid w:val="00765DC5"/>
    <w:rsid w:val="00765DD2"/>
    <w:rsid w:val="00765DE1"/>
    <w:rsid w:val="00765E35"/>
    <w:rsid w:val="00765EA7"/>
    <w:rsid w:val="00765EAC"/>
    <w:rsid w:val="00765ED7"/>
    <w:rsid w:val="00765F24"/>
    <w:rsid w:val="00765F62"/>
    <w:rsid w:val="00765F7B"/>
    <w:rsid w:val="00766024"/>
    <w:rsid w:val="00766041"/>
    <w:rsid w:val="00766054"/>
    <w:rsid w:val="00766064"/>
    <w:rsid w:val="00766089"/>
    <w:rsid w:val="00766097"/>
    <w:rsid w:val="007660AA"/>
    <w:rsid w:val="0076612C"/>
    <w:rsid w:val="00766140"/>
    <w:rsid w:val="00766181"/>
    <w:rsid w:val="00766184"/>
    <w:rsid w:val="007661B3"/>
    <w:rsid w:val="00766208"/>
    <w:rsid w:val="00766219"/>
    <w:rsid w:val="0076623F"/>
    <w:rsid w:val="00766240"/>
    <w:rsid w:val="0076628A"/>
    <w:rsid w:val="00766293"/>
    <w:rsid w:val="007662CD"/>
    <w:rsid w:val="007662D1"/>
    <w:rsid w:val="007662F5"/>
    <w:rsid w:val="0076630E"/>
    <w:rsid w:val="007663B1"/>
    <w:rsid w:val="007663F1"/>
    <w:rsid w:val="00766419"/>
    <w:rsid w:val="00766423"/>
    <w:rsid w:val="0076649D"/>
    <w:rsid w:val="00766546"/>
    <w:rsid w:val="00766589"/>
    <w:rsid w:val="007665BF"/>
    <w:rsid w:val="007665D9"/>
    <w:rsid w:val="007665F5"/>
    <w:rsid w:val="0076660F"/>
    <w:rsid w:val="00766615"/>
    <w:rsid w:val="0076663C"/>
    <w:rsid w:val="00766659"/>
    <w:rsid w:val="00766679"/>
    <w:rsid w:val="007666E9"/>
    <w:rsid w:val="00766706"/>
    <w:rsid w:val="0076672E"/>
    <w:rsid w:val="0076673B"/>
    <w:rsid w:val="0076674E"/>
    <w:rsid w:val="0076677E"/>
    <w:rsid w:val="007667AF"/>
    <w:rsid w:val="007667BD"/>
    <w:rsid w:val="007667D5"/>
    <w:rsid w:val="007667E5"/>
    <w:rsid w:val="007667EA"/>
    <w:rsid w:val="0076684A"/>
    <w:rsid w:val="007668A0"/>
    <w:rsid w:val="007668BC"/>
    <w:rsid w:val="00766954"/>
    <w:rsid w:val="00766960"/>
    <w:rsid w:val="00766966"/>
    <w:rsid w:val="0076698A"/>
    <w:rsid w:val="0076699E"/>
    <w:rsid w:val="007669B3"/>
    <w:rsid w:val="007669F3"/>
    <w:rsid w:val="00766A0D"/>
    <w:rsid w:val="00766A45"/>
    <w:rsid w:val="00766A56"/>
    <w:rsid w:val="00766AC4"/>
    <w:rsid w:val="00766AEC"/>
    <w:rsid w:val="00766B10"/>
    <w:rsid w:val="00766B9B"/>
    <w:rsid w:val="00766BBE"/>
    <w:rsid w:val="00766BE7"/>
    <w:rsid w:val="00766BFA"/>
    <w:rsid w:val="00766C12"/>
    <w:rsid w:val="00766C30"/>
    <w:rsid w:val="00766CD7"/>
    <w:rsid w:val="00766D88"/>
    <w:rsid w:val="00766D98"/>
    <w:rsid w:val="00766DB2"/>
    <w:rsid w:val="00766E28"/>
    <w:rsid w:val="00766EF2"/>
    <w:rsid w:val="00766EFF"/>
    <w:rsid w:val="00766F48"/>
    <w:rsid w:val="00766F50"/>
    <w:rsid w:val="00766F57"/>
    <w:rsid w:val="00766FD2"/>
    <w:rsid w:val="00766FDD"/>
    <w:rsid w:val="0076704B"/>
    <w:rsid w:val="00767063"/>
    <w:rsid w:val="00767085"/>
    <w:rsid w:val="00767097"/>
    <w:rsid w:val="0076716E"/>
    <w:rsid w:val="00767171"/>
    <w:rsid w:val="007671A8"/>
    <w:rsid w:val="007671BD"/>
    <w:rsid w:val="00767222"/>
    <w:rsid w:val="00767227"/>
    <w:rsid w:val="00767247"/>
    <w:rsid w:val="0076726D"/>
    <w:rsid w:val="007672B6"/>
    <w:rsid w:val="007672ED"/>
    <w:rsid w:val="00767314"/>
    <w:rsid w:val="0076731D"/>
    <w:rsid w:val="0076732A"/>
    <w:rsid w:val="00767374"/>
    <w:rsid w:val="00767378"/>
    <w:rsid w:val="0076737C"/>
    <w:rsid w:val="0076738D"/>
    <w:rsid w:val="00767396"/>
    <w:rsid w:val="007673AD"/>
    <w:rsid w:val="007673B6"/>
    <w:rsid w:val="0076743E"/>
    <w:rsid w:val="007674BF"/>
    <w:rsid w:val="00767579"/>
    <w:rsid w:val="0076757A"/>
    <w:rsid w:val="007675D6"/>
    <w:rsid w:val="007675D9"/>
    <w:rsid w:val="007675FA"/>
    <w:rsid w:val="00767606"/>
    <w:rsid w:val="00767630"/>
    <w:rsid w:val="00767633"/>
    <w:rsid w:val="00767697"/>
    <w:rsid w:val="007676BF"/>
    <w:rsid w:val="007676F4"/>
    <w:rsid w:val="00767715"/>
    <w:rsid w:val="00767776"/>
    <w:rsid w:val="007678D5"/>
    <w:rsid w:val="007678EC"/>
    <w:rsid w:val="00767923"/>
    <w:rsid w:val="00767970"/>
    <w:rsid w:val="00767998"/>
    <w:rsid w:val="007679FF"/>
    <w:rsid w:val="00767A13"/>
    <w:rsid w:val="00767A26"/>
    <w:rsid w:val="00767A48"/>
    <w:rsid w:val="00767A4E"/>
    <w:rsid w:val="00767B25"/>
    <w:rsid w:val="00767BB2"/>
    <w:rsid w:val="00767BEA"/>
    <w:rsid w:val="00767C08"/>
    <w:rsid w:val="00767C1D"/>
    <w:rsid w:val="00767C42"/>
    <w:rsid w:val="00767CD5"/>
    <w:rsid w:val="00767D17"/>
    <w:rsid w:val="00767D1E"/>
    <w:rsid w:val="00767D2D"/>
    <w:rsid w:val="00767D9F"/>
    <w:rsid w:val="00767DE7"/>
    <w:rsid w:val="00767E0A"/>
    <w:rsid w:val="00767E13"/>
    <w:rsid w:val="00767E81"/>
    <w:rsid w:val="00767E82"/>
    <w:rsid w:val="00767E83"/>
    <w:rsid w:val="00767EB6"/>
    <w:rsid w:val="00767EF8"/>
    <w:rsid w:val="00767EF9"/>
    <w:rsid w:val="00767EFF"/>
    <w:rsid w:val="00767F1C"/>
    <w:rsid w:val="00767F65"/>
    <w:rsid w:val="00767FD1"/>
    <w:rsid w:val="00770066"/>
    <w:rsid w:val="007700A9"/>
    <w:rsid w:val="00770125"/>
    <w:rsid w:val="0077012C"/>
    <w:rsid w:val="00770151"/>
    <w:rsid w:val="0077016D"/>
    <w:rsid w:val="0077017B"/>
    <w:rsid w:val="00770181"/>
    <w:rsid w:val="00770185"/>
    <w:rsid w:val="00770189"/>
    <w:rsid w:val="0077018D"/>
    <w:rsid w:val="0077019B"/>
    <w:rsid w:val="00770220"/>
    <w:rsid w:val="00770240"/>
    <w:rsid w:val="00770254"/>
    <w:rsid w:val="0077025B"/>
    <w:rsid w:val="007702B1"/>
    <w:rsid w:val="007702D0"/>
    <w:rsid w:val="0077030C"/>
    <w:rsid w:val="00770360"/>
    <w:rsid w:val="00770393"/>
    <w:rsid w:val="007703A5"/>
    <w:rsid w:val="007703D5"/>
    <w:rsid w:val="0077043D"/>
    <w:rsid w:val="00770460"/>
    <w:rsid w:val="007704D8"/>
    <w:rsid w:val="00770551"/>
    <w:rsid w:val="00770559"/>
    <w:rsid w:val="0077061E"/>
    <w:rsid w:val="0077065B"/>
    <w:rsid w:val="007706E8"/>
    <w:rsid w:val="00770732"/>
    <w:rsid w:val="00770743"/>
    <w:rsid w:val="007707A8"/>
    <w:rsid w:val="007707D0"/>
    <w:rsid w:val="007707D6"/>
    <w:rsid w:val="007707F5"/>
    <w:rsid w:val="007707FA"/>
    <w:rsid w:val="00770871"/>
    <w:rsid w:val="0077087B"/>
    <w:rsid w:val="0077087F"/>
    <w:rsid w:val="007708AC"/>
    <w:rsid w:val="007708C9"/>
    <w:rsid w:val="007708DB"/>
    <w:rsid w:val="00770953"/>
    <w:rsid w:val="007709FB"/>
    <w:rsid w:val="00770A04"/>
    <w:rsid w:val="00770A11"/>
    <w:rsid w:val="00770A66"/>
    <w:rsid w:val="00770AB2"/>
    <w:rsid w:val="00770AB8"/>
    <w:rsid w:val="00770ADF"/>
    <w:rsid w:val="00770B1E"/>
    <w:rsid w:val="00770B8C"/>
    <w:rsid w:val="00770BBA"/>
    <w:rsid w:val="00770CB0"/>
    <w:rsid w:val="00770D33"/>
    <w:rsid w:val="00770D6F"/>
    <w:rsid w:val="00770D73"/>
    <w:rsid w:val="00770D88"/>
    <w:rsid w:val="00770DBA"/>
    <w:rsid w:val="00770DE1"/>
    <w:rsid w:val="00770E3D"/>
    <w:rsid w:val="00770E62"/>
    <w:rsid w:val="00770EDD"/>
    <w:rsid w:val="00770F00"/>
    <w:rsid w:val="00770F09"/>
    <w:rsid w:val="00771028"/>
    <w:rsid w:val="0077103D"/>
    <w:rsid w:val="00771049"/>
    <w:rsid w:val="0077105E"/>
    <w:rsid w:val="0077107D"/>
    <w:rsid w:val="0077109B"/>
    <w:rsid w:val="007710D1"/>
    <w:rsid w:val="00771154"/>
    <w:rsid w:val="0077116E"/>
    <w:rsid w:val="007711A4"/>
    <w:rsid w:val="007711A9"/>
    <w:rsid w:val="007711C2"/>
    <w:rsid w:val="007711FD"/>
    <w:rsid w:val="0077120F"/>
    <w:rsid w:val="007712C5"/>
    <w:rsid w:val="007712E1"/>
    <w:rsid w:val="007712E3"/>
    <w:rsid w:val="0077130B"/>
    <w:rsid w:val="0077133E"/>
    <w:rsid w:val="00771343"/>
    <w:rsid w:val="00771346"/>
    <w:rsid w:val="00771366"/>
    <w:rsid w:val="00771385"/>
    <w:rsid w:val="007713B0"/>
    <w:rsid w:val="007713DD"/>
    <w:rsid w:val="007713DF"/>
    <w:rsid w:val="007713F5"/>
    <w:rsid w:val="0077143C"/>
    <w:rsid w:val="00771475"/>
    <w:rsid w:val="00771476"/>
    <w:rsid w:val="00771498"/>
    <w:rsid w:val="00771499"/>
    <w:rsid w:val="007714A4"/>
    <w:rsid w:val="007714D6"/>
    <w:rsid w:val="007714EB"/>
    <w:rsid w:val="007714F4"/>
    <w:rsid w:val="00771508"/>
    <w:rsid w:val="00771537"/>
    <w:rsid w:val="00771550"/>
    <w:rsid w:val="00771596"/>
    <w:rsid w:val="007715E6"/>
    <w:rsid w:val="007715EC"/>
    <w:rsid w:val="007715FA"/>
    <w:rsid w:val="00771608"/>
    <w:rsid w:val="0077167D"/>
    <w:rsid w:val="00771699"/>
    <w:rsid w:val="007716AF"/>
    <w:rsid w:val="007716B1"/>
    <w:rsid w:val="007716CC"/>
    <w:rsid w:val="0077171D"/>
    <w:rsid w:val="00771724"/>
    <w:rsid w:val="00771728"/>
    <w:rsid w:val="00771779"/>
    <w:rsid w:val="007717D4"/>
    <w:rsid w:val="00771822"/>
    <w:rsid w:val="00771823"/>
    <w:rsid w:val="007718BE"/>
    <w:rsid w:val="007718F9"/>
    <w:rsid w:val="0077190D"/>
    <w:rsid w:val="00771946"/>
    <w:rsid w:val="00771959"/>
    <w:rsid w:val="00771965"/>
    <w:rsid w:val="0077197E"/>
    <w:rsid w:val="00771982"/>
    <w:rsid w:val="00771997"/>
    <w:rsid w:val="007719AC"/>
    <w:rsid w:val="007719BA"/>
    <w:rsid w:val="007719D2"/>
    <w:rsid w:val="00771A15"/>
    <w:rsid w:val="00771A6D"/>
    <w:rsid w:val="00771ABC"/>
    <w:rsid w:val="00771AE3"/>
    <w:rsid w:val="00771AE8"/>
    <w:rsid w:val="00771B63"/>
    <w:rsid w:val="00771B6B"/>
    <w:rsid w:val="00771BD2"/>
    <w:rsid w:val="00771BFC"/>
    <w:rsid w:val="00771C06"/>
    <w:rsid w:val="00771C4C"/>
    <w:rsid w:val="00771C4D"/>
    <w:rsid w:val="00771C5E"/>
    <w:rsid w:val="00771C7E"/>
    <w:rsid w:val="00771CA5"/>
    <w:rsid w:val="00771CA9"/>
    <w:rsid w:val="00771D20"/>
    <w:rsid w:val="00771D70"/>
    <w:rsid w:val="00771DBC"/>
    <w:rsid w:val="00771E9A"/>
    <w:rsid w:val="00771EA4"/>
    <w:rsid w:val="00771EC2"/>
    <w:rsid w:val="00771F67"/>
    <w:rsid w:val="00771FD6"/>
    <w:rsid w:val="00771FFB"/>
    <w:rsid w:val="00772025"/>
    <w:rsid w:val="00772047"/>
    <w:rsid w:val="007720F7"/>
    <w:rsid w:val="0077216E"/>
    <w:rsid w:val="007721B2"/>
    <w:rsid w:val="007721BB"/>
    <w:rsid w:val="0077223B"/>
    <w:rsid w:val="007722E5"/>
    <w:rsid w:val="0077230B"/>
    <w:rsid w:val="00772357"/>
    <w:rsid w:val="0077238E"/>
    <w:rsid w:val="0077239D"/>
    <w:rsid w:val="007723A2"/>
    <w:rsid w:val="00772418"/>
    <w:rsid w:val="00772443"/>
    <w:rsid w:val="00772477"/>
    <w:rsid w:val="00772492"/>
    <w:rsid w:val="007724C3"/>
    <w:rsid w:val="007724C7"/>
    <w:rsid w:val="007724E1"/>
    <w:rsid w:val="00772506"/>
    <w:rsid w:val="0077252D"/>
    <w:rsid w:val="007726B6"/>
    <w:rsid w:val="00772710"/>
    <w:rsid w:val="00772776"/>
    <w:rsid w:val="0077278E"/>
    <w:rsid w:val="00772815"/>
    <w:rsid w:val="00772823"/>
    <w:rsid w:val="00772836"/>
    <w:rsid w:val="00772841"/>
    <w:rsid w:val="00772859"/>
    <w:rsid w:val="00772900"/>
    <w:rsid w:val="00772906"/>
    <w:rsid w:val="00772936"/>
    <w:rsid w:val="007729AF"/>
    <w:rsid w:val="00772A62"/>
    <w:rsid w:val="00772AC0"/>
    <w:rsid w:val="00772AD8"/>
    <w:rsid w:val="00772AFB"/>
    <w:rsid w:val="00772B02"/>
    <w:rsid w:val="00772B91"/>
    <w:rsid w:val="00772B95"/>
    <w:rsid w:val="00772B9F"/>
    <w:rsid w:val="00772C6C"/>
    <w:rsid w:val="00772C6E"/>
    <w:rsid w:val="00772D3C"/>
    <w:rsid w:val="00772D4A"/>
    <w:rsid w:val="00772D7A"/>
    <w:rsid w:val="00772DAD"/>
    <w:rsid w:val="00772DB7"/>
    <w:rsid w:val="00772DD5"/>
    <w:rsid w:val="00772E55"/>
    <w:rsid w:val="00772E64"/>
    <w:rsid w:val="00772EC9"/>
    <w:rsid w:val="00772ED7"/>
    <w:rsid w:val="00772EF9"/>
    <w:rsid w:val="00772F68"/>
    <w:rsid w:val="00772F97"/>
    <w:rsid w:val="00772FBF"/>
    <w:rsid w:val="00772FD6"/>
    <w:rsid w:val="00772FF6"/>
    <w:rsid w:val="0077300B"/>
    <w:rsid w:val="00773061"/>
    <w:rsid w:val="00773064"/>
    <w:rsid w:val="0077314B"/>
    <w:rsid w:val="0077318A"/>
    <w:rsid w:val="0077322B"/>
    <w:rsid w:val="0077332A"/>
    <w:rsid w:val="0077333F"/>
    <w:rsid w:val="00773382"/>
    <w:rsid w:val="007733E8"/>
    <w:rsid w:val="0077340B"/>
    <w:rsid w:val="0077344A"/>
    <w:rsid w:val="00773479"/>
    <w:rsid w:val="007734B5"/>
    <w:rsid w:val="007734C3"/>
    <w:rsid w:val="007734DD"/>
    <w:rsid w:val="007734EB"/>
    <w:rsid w:val="00773561"/>
    <w:rsid w:val="007735B2"/>
    <w:rsid w:val="007735BB"/>
    <w:rsid w:val="0077361A"/>
    <w:rsid w:val="00773622"/>
    <w:rsid w:val="0077363A"/>
    <w:rsid w:val="0077363F"/>
    <w:rsid w:val="00773693"/>
    <w:rsid w:val="007736B7"/>
    <w:rsid w:val="007736B9"/>
    <w:rsid w:val="007736C7"/>
    <w:rsid w:val="00773743"/>
    <w:rsid w:val="00773762"/>
    <w:rsid w:val="00773777"/>
    <w:rsid w:val="00773779"/>
    <w:rsid w:val="0077377F"/>
    <w:rsid w:val="007737F4"/>
    <w:rsid w:val="0077381D"/>
    <w:rsid w:val="0077382D"/>
    <w:rsid w:val="00773894"/>
    <w:rsid w:val="007738C2"/>
    <w:rsid w:val="007738DD"/>
    <w:rsid w:val="00773919"/>
    <w:rsid w:val="007739C7"/>
    <w:rsid w:val="00773A0B"/>
    <w:rsid w:val="00773A25"/>
    <w:rsid w:val="00773A2C"/>
    <w:rsid w:val="00773A3B"/>
    <w:rsid w:val="00773A40"/>
    <w:rsid w:val="00773A63"/>
    <w:rsid w:val="00773B0B"/>
    <w:rsid w:val="00773B88"/>
    <w:rsid w:val="00773BC2"/>
    <w:rsid w:val="00773BC7"/>
    <w:rsid w:val="00773BEA"/>
    <w:rsid w:val="00773C60"/>
    <w:rsid w:val="00773CA8"/>
    <w:rsid w:val="00773CFA"/>
    <w:rsid w:val="00773D13"/>
    <w:rsid w:val="00773D18"/>
    <w:rsid w:val="00773D92"/>
    <w:rsid w:val="00773F1E"/>
    <w:rsid w:val="00773F40"/>
    <w:rsid w:val="00773F74"/>
    <w:rsid w:val="00773F8F"/>
    <w:rsid w:val="007740AF"/>
    <w:rsid w:val="00774114"/>
    <w:rsid w:val="00774170"/>
    <w:rsid w:val="007741AA"/>
    <w:rsid w:val="00774224"/>
    <w:rsid w:val="00774226"/>
    <w:rsid w:val="0077427F"/>
    <w:rsid w:val="00774286"/>
    <w:rsid w:val="007742DE"/>
    <w:rsid w:val="0077433B"/>
    <w:rsid w:val="007743C3"/>
    <w:rsid w:val="00774422"/>
    <w:rsid w:val="0077447F"/>
    <w:rsid w:val="007744A2"/>
    <w:rsid w:val="007744B3"/>
    <w:rsid w:val="007744C1"/>
    <w:rsid w:val="0077450F"/>
    <w:rsid w:val="0077451A"/>
    <w:rsid w:val="0077453C"/>
    <w:rsid w:val="0077458B"/>
    <w:rsid w:val="007745C0"/>
    <w:rsid w:val="007745CE"/>
    <w:rsid w:val="007745D2"/>
    <w:rsid w:val="007745FB"/>
    <w:rsid w:val="00774632"/>
    <w:rsid w:val="0077467E"/>
    <w:rsid w:val="007746DB"/>
    <w:rsid w:val="007746E8"/>
    <w:rsid w:val="007746EF"/>
    <w:rsid w:val="007746F8"/>
    <w:rsid w:val="00774726"/>
    <w:rsid w:val="00774728"/>
    <w:rsid w:val="0077472A"/>
    <w:rsid w:val="00774778"/>
    <w:rsid w:val="00774790"/>
    <w:rsid w:val="007747AF"/>
    <w:rsid w:val="00774873"/>
    <w:rsid w:val="007748CD"/>
    <w:rsid w:val="00774907"/>
    <w:rsid w:val="00774909"/>
    <w:rsid w:val="00774938"/>
    <w:rsid w:val="0077494B"/>
    <w:rsid w:val="00774960"/>
    <w:rsid w:val="00774977"/>
    <w:rsid w:val="0077497B"/>
    <w:rsid w:val="00774987"/>
    <w:rsid w:val="007749A6"/>
    <w:rsid w:val="007749AA"/>
    <w:rsid w:val="007749F0"/>
    <w:rsid w:val="00774A04"/>
    <w:rsid w:val="00774A06"/>
    <w:rsid w:val="00774A60"/>
    <w:rsid w:val="00774AAA"/>
    <w:rsid w:val="00774AB3"/>
    <w:rsid w:val="00774AC3"/>
    <w:rsid w:val="00774AEE"/>
    <w:rsid w:val="00774B1D"/>
    <w:rsid w:val="00774B4B"/>
    <w:rsid w:val="00774BA6"/>
    <w:rsid w:val="00774BB7"/>
    <w:rsid w:val="00774C3F"/>
    <w:rsid w:val="00774C42"/>
    <w:rsid w:val="00774C43"/>
    <w:rsid w:val="00774C71"/>
    <w:rsid w:val="00774CB1"/>
    <w:rsid w:val="00774D17"/>
    <w:rsid w:val="00774D2A"/>
    <w:rsid w:val="00774D48"/>
    <w:rsid w:val="00774D4A"/>
    <w:rsid w:val="00774D74"/>
    <w:rsid w:val="00774D88"/>
    <w:rsid w:val="00774D8A"/>
    <w:rsid w:val="00774E0C"/>
    <w:rsid w:val="00774EB9"/>
    <w:rsid w:val="00774ED6"/>
    <w:rsid w:val="00774F1B"/>
    <w:rsid w:val="00774F7D"/>
    <w:rsid w:val="00774FC7"/>
    <w:rsid w:val="00774FE9"/>
    <w:rsid w:val="00775006"/>
    <w:rsid w:val="00775055"/>
    <w:rsid w:val="007750C6"/>
    <w:rsid w:val="007750F1"/>
    <w:rsid w:val="0077510B"/>
    <w:rsid w:val="0077510D"/>
    <w:rsid w:val="0077511D"/>
    <w:rsid w:val="0077513F"/>
    <w:rsid w:val="00775165"/>
    <w:rsid w:val="007751A0"/>
    <w:rsid w:val="00775202"/>
    <w:rsid w:val="00775265"/>
    <w:rsid w:val="0077526F"/>
    <w:rsid w:val="007752B2"/>
    <w:rsid w:val="007752C2"/>
    <w:rsid w:val="007752CD"/>
    <w:rsid w:val="007752E4"/>
    <w:rsid w:val="00775323"/>
    <w:rsid w:val="0077534D"/>
    <w:rsid w:val="00775390"/>
    <w:rsid w:val="007753CF"/>
    <w:rsid w:val="0077545E"/>
    <w:rsid w:val="00775467"/>
    <w:rsid w:val="00775483"/>
    <w:rsid w:val="007754A4"/>
    <w:rsid w:val="007754AB"/>
    <w:rsid w:val="007754E1"/>
    <w:rsid w:val="007754F6"/>
    <w:rsid w:val="007754F9"/>
    <w:rsid w:val="007754FD"/>
    <w:rsid w:val="0077550C"/>
    <w:rsid w:val="0077551D"/>
    <w:rsid w:val="00775525"/>
    <w:rsid w:val="0077555B"/>
    <w:rsid w:val="007755FB"/>
    <w:rsid w:val="0077561C"/>
    <w:rsid w:val="00775625"/>
    <w:rsid w:val="00775642"/>
    <w:rsid w:val="00775643"/>
    <w:rsid w:val="00775683"/>
    <w:rsid w:val="0077568B"/>
    <w:rsid w:val="00775715"/>
    <w:rsid w:val="00775748"/>
    <w:rsid w:val="00775774"/>
    <w:rsid w:val="007757BF"/>
    <w:rsid w:val="007757EB"/>
    <w:rsid w:val="0077583F"/>
    <w:rsid w:val="0077588D"/>
    <w:rsid w:val="007758B4"/>
    <w:rsid w:val="00775979"/>
    <w:rsid w:val="007759B3"/>
    <w:rsid w:val="007759D5"/>
    <w:rsid w:val="00775A16"/>
    <w:rsid w:val="00775A27"/>
    <w:rsid w:val="00775A41"/>
    <w:rsid w:val="00775A8D"/>
    <w:rsid w:val="00775A92"/>
    <w:rsid w:val="00775AFA"/>
    <w:rsid w:val="00775B74"/>
    <w:rsid w:val="00775B77"/>
    <w:rsid w:val="00775C07"/>
    <w:rsid w:val="00775C39"/>
    <w:rsid w:val="00775D08"/>
    <w:rsid w:val="00775D41"/>
    <w:rsid w:val="00775EE2"/>
    <w:rsid w:val="00775F05"/>
    <w:rsid w:val="00775F0A"/>
    <w:rsid w:val="00775F35"/>
    <w:rsid w:val="00775F66"/>
    <w:rsid w:val="00775FA4"/>
    <w:rsid w:val="00775FAB"/>
    <w:rsid w:val="00775FBE"/>
    <w:rsid w:val="00775FF4"/>
    <w:rsid w:val="00775FFC"/>
    <w:rsid w:val="007760AB"/>
    <w:rsid w:val="007760C6"/>
    <w:rsid w:val="007760DC"/>
    <w:rsid w:val="007760E0"/>
    <w:rsid w:val="00776113"/>
    <w:rsid w:val="0077612D"/>
    <w:rsid w:val="007761C9"/>
    <w:rsid w:val="007761EB"/>
    <w:rsid w:val="00776298"/>
    <w:rsid w:val="007762B2"/>
    <w:rsid w:val="007762C5"/>
    <w:rsid w:val="007762DF"/>
    <w:rsid w:val="007762EC"/>
    <w:rsid w:val="00776354"/>
    <w:rsid w:val="00776396"/>
    <w:rsid w:val="007763DA"/>
    <w:rsid w:val="007763FB"/>
    <w:rsid w:val="00776409"/>
    <w:rsid w:val="00776558"/>
    <w:rsid w:val="007765B0"/>
    <w:rsid w:val="007765B2"/>
    <w:rsid w:val="007765B3"/>
    <w:rsid w:val="007765F5"/>
    <w:rsid w:val="00776634"/>
    <w:rsid w:val="0077669E"/>
    <w:rsid w:val="0077672D"/>
    <w:rsid w:val="0077676E"/>
    <w:rsid w:val="0077677B"/>
    <w:rsid w:val="007767A4"/>
    <w:rsid w:val="007767B9"/>
    <w:rsid w:val="00776802"/>
    <w:rsid w:val="00776807"/>
    <w:rsid w:val="00776837"/>
    <w:rsid w:val="00776857"/>
    <w:rsid w:val="00776878"/>
    <w:rsid w:val="00776888"/>
    <w:rsid w:val="00776893"/>
    <w:rsid w:val="007768AD"/>
    <w:rsid w:val="007768B5"/>
    <w:rsid w:val="007768CF"/>
    <w:rsid w:val="007768D5"/>
    <w:rsid w:val="00776904"/>
    <w:rsid w:val="00776919"/>
    <w:rsid w:val="0077693B"/>
    <w:rsid w:val="0077694A"/>
    <w:rsid w:val="00776974"/>
    <w:rsid w:val="007769FC"/>
    <w:rsid w:val="007769FE"/>
    <w:rsid w:val="00776A32"/>
    <w:rsid w:val="00776A81"/>
    <w:rsid w:val="00776A84"/>
    <w:rsid w:val="00776A89"/>
    <w:rsid w:val="00776A98"/>
    <w:rsid w:val="00776AD0"/>
    <w:rsid w:val="00776AFB"/>
    <w:rsid w:val="00776B31"/>
    <w:rsid w:val="00776B5A"/>
    <w:rsid w:val="00776B69"/>
    <w:rsid w:val="00776BA6"/>
    <w:rsid w:val="00776BD6"/>
    <w:rsid w:val="00776BD9"/>
    <w:rsid w:val="00776C2B"/>
    <w:rsid w:val="00776C2E"/>
    <w:rsid w:val="00776C36"/>
    <w:rsid w:val="00776C54"/>
    <w:rsid w:val="00776C71"/>
    <w:rsid w:val="00776CA2"/>
    <w:rsid w:val="00776D2B"/>
    <w:rsid w:val="00776D3B"/>
    <w:rsid w:val="00776D72"/>
    <w:rsid w:val="00776DC2"/>
    <w:rsid w:val="00776DC9"/>
    <w:rsid w:val="00776E00"/>
    <w:rsid w:val="00776E19"/>
    <w:rsid w:val="00776E3E"/>
    <w:rsid w:val="00776E48"/>
    <w:rsid w:val="00776E68"/>
    <w:rsid w:val="00776F37"/>
    <w:rsid w:val="00776F47"/>
    <w:rsid w:val="00776F72"/>
    <w:rsid w:val="00776F7F"/>
    <w:rsid w:val="00776FA3"/>
    <w:rsid w:val="00776FB3"/>
    <w:rsid w:val="00776FEE"/>
    <w:rsid w:val="00776FFC"/>
    <w:rsid w:val="0077700A"/>
    <w:rsid w:val="0077703A"/>
    <w:rsid w:val="00777055"/>
    <w:rsid w:val="00777056"/>
    <w:rsid w:val="0077705E"/>
    <w:rsid w:val="00777083"/>
    <w:rsid w:val="00777095"/>
    <w:rsid w:val="007770BB"/>
    <w:rsid w:val="0077712D"/>
    <w:rsid w:val="00777155"/>
    <w:rsid w:val="00777180"/>
    <w:rsid w:val="007771AE"/>
    <w:rsid w:val="00777267"/>
    <w:rsid w:val="0077726E"/>
    <w:rsid w:val="007772F1"/>
    <w:rsid w:val="00777351"/>
    <w:rsid w:val="00777370"/>
    <w:rsid w:val="007773B1"/>
    <w:rsid w:val="007773C7"/>
    <w:rsid w:val="00777432"/>
    <w:rsid w:val="00777475"/>
    <w:rsid w:val="0077748A"/>
    <w:rsid w:val="007774A8"/>
    <w:rsid w:val="007774D0"/>
    <w:rsid w:val="00777541"/>
    <w:rsid w:val="00777577"/>
    <w:rsid w:val="007775B1"/>
    <w:rsid w:val="00777613"/>
    <w:rsid w:val="0077768A"/>
    <w:rsid w:val="0077769A"/>
    <w:rsid w:val="007776AC"/>
    <w:rsid w:val="00777719"/>
    <w:rsid w:val="00777737"/>
    <w:rsid w:val="0077773B"/>
    <w:rsid w:val="00777760"/>
    <w:rsid w:val="007777AB"/>
    <w:rsid w:val="007777D6"/>
    <w:rsid w:val="007777E9"/>
    <w:rsid w:val="007777F1"/>
    <w:rsid w:val="0077783A"/>
    <w:rsid w:val="0077783F"/>
    <w:rsid w:val="007778AE"/>
    <w:rsid w:val="007778AF"/>
    <w:rsid w:val="007778B1"/>
    <w:rsid w:val="0077790E"/>
    <w:rsid w:val="00777924"/>
    <w:rsid w:val="00777965"/>
    <w:rsid w:val="007779AB"/>
    <w:rsid w:val="00777A34"/>
    <w:rsid w:val="00777A63"/>
    <w:rsid w:val="00777A76"/>
    <w:rsid w:val="00777A78"/>
    <w:rsid w:val="00777A82"/>
    <w:rsid w:val="00777AC1"/>
    <w:rsid w:val="00777B3D"/>
    <w:rsid w:val="00777BE6"/>
    <w:rsid w:val="00777BEE"/>
    <w:rsid w:val="00777C35"/>
    <w:rsid w:val="00777C44"/>
    <w:rsid w:val="00777C81"/>
    <w:rsid w:val="00777CA0"/>
    <w:rsid w:val="00777CAB"/>
    <w:rsid w:val="00777CF7"/>
    <w:rsid w:val="00777D27"/>
    <w:rsid w:val="00777D29"/>
    <w:rsid w:val="00777DB6"/>
    <w:rsid w:val="00777DC8"/>
    <w:rsid w:val="00777E16"/>
    <w:rsid w:val="00777E5E"/>
    <w:rsid w:val="00777ED9"/>
    <w:rsid w:val="00777F40"/>
    <w:rsid w:val="00777F43"/>
    <w:rsid w:val="00777F47"/>
    <w:rsid w:val="00777F56"/>
    <w:rsid w:val="00777FBB"/>
    <w:rsid w:val="0078000D"/>
    <w:rsid w:val="00780010"/>
    <w:rsid w:val="00780062"/>
    <w:rsid w:val="007800E1"/>
    <w:rsid w:val="007800FB"/>
    <w:rsid w:val="00780120"/>
    <w:rsid w:val="00780123"/>
    <w:rsid w:val="0078012C"/>
    <w:rsid w:val="0078015A"/>
    <w:rsid w:val="0078016D"/>
    <w:rsid w:val="0078020C"/>
    <w:rsid w:val="00780218"/>
    <w:rsid w:val="00780226"/>
    <w:rsid w:val="00780227"/>
    <w:rsid w:val="007802D1"/>
    <w:rsid w:val="007802D4"/>
    <w:rsid w:val="007803C8"/>
    <w:rsid w:val="007803CF"/>
    <w:rsid w:val="007803FF"/>
    <w:rsid w:val="00780418"/>
    <w:rsid w:val="00780466"/>
    <w:rsid w:val="00780491"/>
    <w:rsid w:val="00780497"/>
    <w:rsid w:val="007804EC"/>
    <w:rsid w:val="00780560"/>
    <w:rsid w:val="007805F7"/>
    <w:rsid w:val="00780635"/>
    <w:rsid w:val="00780647"/>
    <w:rsid w:val="00780677"/>
    <w:rsid w:val="007806CC"/>
    <w:rsid w:val="007806F8"/>
    <w:rsid w:val="00780739"/>
    <w:rsid w:val="007807E5"/>
    <w:rsid w:val="00780801"/>
    <w:rsid w:val="0078089F"/>
    <w:rsid w:val="007808D0"/>
    <w:rsid w:val="007808EA"/>
    <w:rsid w:val="007808F0"/>
    <w:rsid w:val="0078090C"/>
    <w:rsid w:val="00780913"/>
    <w:rsid w:val="00780980"/>
    <w:rsid w:val="00780993"/>
    <w:rsid w:val="0078099A"/>
    <w:rsid w:val="007809C1"/>
    <w:rsid w:val="00780A04"/>
    <w:rsid w:val="00780A7C"/>
    <w:rsid w:val="00780A7E"/>
    <w:rsid w:val="00780AAB"/>
    <w:rsid w:val="00780AC3"/>
    <w:rsid w:val="00780B08"/>
    <w:rsid w:val="00780B2B"/>
    <w:rsid w:val="00780B5B"/>
    <w:rsid w:val="00780B84"/>
    <w:rsid w:val="00780B89"/>
    <w:rsid w:val="00780BD9"/>
    <w:rsid w:val="00780C07"/>
    <w:rsid w:val="00780C23"/>
    <w:rsid w:val="00780C33"/>
    <w:rsid w:val="00780C4F"/>
    <w:rsid w:val="00780CD9"/>
    <w:rsid w:val="00780CF3"/>
    <w:rsid w:val="00780D98"/>
    <w:rsid w:val="00780DBF"/>
    <w:rsid w:val="00780E44"/>
    <w:rsid w:val="00780E8C"/>
    <w:rsid w:val="00780EB3"/>
    <w:rsid w:val="00780ECD"/>
    <w:rsid w:val="00780ECF"/>
    <w:rsid w:val="00780EF0"/>
    <w:rsid w:val="00780EFD"/>
    <w:rsid w:val="00780F45"/>
    <w:rsid w:val="00780FDA"/>
    <w:rsid w:val="00781005"/>
    <w:rsid w:val="00781091"/>
    <w:rsid w:val="007810CD"/>
    <w:rsid w:val="007810D8"/>
    <w:rsid w:val="007810E9"/>
    <w:rsid w:val="00781102"/>
    <w:rsid w:val="0078110C"/>
    <w:rsid w:val="00781114"/>
    <w:rsid w:val="0078113F"/>
    <w:rsid w:val="00781192"/>
    <w:rsid w:val="007811D7"/>
    <w:rsid w:val="007811E8"/>
    <w:rsid w:val="0078121F"/>
    <w:rsid w:val="0078123F"/>
    <w:rsid w:val="0078126E"/>
    <w:rsid w:val="007812AD"/>
    <w:rsid w:val="007812C7"/>
    <w:rsid w:val="0078131F"/>
    <w:rsid w:val="00781331"/>
    <w:rsid w:val="007813F3"/>
    <w:rsid w:val="00781428"/>
    <w:rsid w:val="007814CB"/>
    <w:rsid w:val="00781504"/>
    <w:rsid w:val="0078151E"/>
    <w:rsid w:val="00781570"/>
    <w:rsid w:val="00781572"/>
    <w:rsid w:val="0078157A"/>
    <w:rsid w:val="00781596"/>
    <w:rsid w:val="007815EF"/>
    <w:rsid w:val="0078164E"/>
    <w:rsid w:val="00781724"/>
    <w:rsid w:val="0078172B"/>
    <w:rsid w:val="00781767"/>
    <w:rsid w:val="00781770"/>
    <w:rsid w:val="00781825"/>
    <w:rsid w:val="007818D9"/>
    <w:rsid w:val="0078190B"/>
    <w:rsid w:val="00781940"/>
    <w:rsid w:val="00781954"/>
    <w:rsid w:val="00781977"/>
    <w:rsid w:val="007819BF"/>
    <w:rsid w:val="007819C7"/>
    <w:rsid w:val="007819F1"/>
    <w:rsid w:val="00781A1A"/>
    <w:rsid w:val="00781A2D"/>
    <w:rsid w:val="00781A31"/>
    <w:rsid w:val="00781A36"/>
    <w:rsid w:val="00781A9D"/>
    <w:rsid w:val="00781AD6"/>
    <w:rsid w:val="00781ADB"/>
    <w:rsid w:val="00781AEC"/>
    <w:rsid w:val="00781AF7"/>
    <w:rsid w:val="00781B1B"/>
    <w:rsid w:val="00781B4E"/>
    <w:rsid w:val="00781BE2"/>
    <w:rsid w:val="00781BF4"/>
    <w:rsid w:val="00781C29"/>
    <w:rsid w:val="00781C31"/>
    <w:rsid w:val="00781C56"/>
    <w:rsid w:val="00781D79"/>
    <w:rsid w:val="00781D89"/>
    <w:rsid w:val="00781D8E"/>
    <w:rsid w:val="00781DBD"/>
    <w:rsid w:val="00781DCA"/>
    <w:rsid w:val="00781DD0"/>
    <w:rsid w:val="00781DD2"/>
    <w:rsid w:val="00781E35"/>
    <w:rsid w:val="00781E4F"/>
    <w:rsid w:val="00781EA7"/>
    <w:rsid w:val="00781EAA"/>
    <w:rsid w:val="00781F11"/>
    <w:rsid w:val="00781F6C"/>
    <w:rsid w:val="00781F71"/>
    <w:rsid w:val="0078200D"/>
    <w:rsid w:val="0078203C"/>
    <w:rsid w:val="00782054"/>
    <w:rsid w:val="00782083"/>
    <w:rsid w:val="00782096"/>
    <w:rsid w:val="007820A6"/>
    <w:rsid w:val="007820CE"/>
    <w:rsid w:val="00782122"/>
    <w:rsid w:val="00782152"/>
    <w:rsid w:val="007821A0"/>
    <w:rsid w:val="007821A8"/>
    <w:rsid w:val="007821F8"/>
    <w:rsid w:val="00782221"/>
    <w:rsid w:val="00782227"/>
    <w:rsid w:val="0078227C"/>
    <w:rsid w:val="007822A6"/>
    <w:rsid w:val="007822AB"/>
    <w:rsid w:val="007822C9"/>
    <w:rsid w:val="007822EA"/>
    <w:rsid w:val="007822ED"/>
    <w:rsid w:val="007822F6"/>
    <w:rsid w:val="007822FE"/>
    <w:rsid w:val="00782305"/>
    <w:rsid w:val="00782350"/>
    <w:rsid w:val="007823EB"/>
    <w:rsid w:val="00782402"/>
    <w:rsid w:val="00782441"/>
    <w:rsid w:val="0078247E"/>
    <w:rsid w:val="007824A8"/>
    <w:rsid w:val="007824AE"/>
    <w:rsid w:val="007824B2"/>
    <w:rsid w:val="007824E3"/>
    <w:rsid w:val="00782577"/>
    <w:rsid w:val="0078257B"/>
    <w:rsid w:val="007825F0"/>
    <w:rsid w:val="0078261D"/>
    <w:rsid w:val="00782623"/>
    <w:rsid w:val="00782666"/>
    <w:rsid w:val="007826FB"/>
    <w:rsid w:val="0078273B"/>
    <w:rsid w:val="0078275A"/>
    <w:rsid w:val="00782775"/>
    <w:rsid w:val="007827AA"/>
    <w:rsid w:val="007827AD"/>
    <w:rsid w:val="007827D1"/>
    <w:rsid w:val="007827D3"/>
    <w:rsid w:val="007827EC"/>
    <w:rsid w:val="007827F7"/>
    <w:rsid w:val="0078286D"/>
    <w:rsid w:val="00782908"/>
    <w:rsid w:val="0078292D"/>
    <w:rsid w:val="00782987"/>
    <w:rsid w:val="007829E9"/>
    <w:rsid w:val="00782A6A"/>
    <w:rsid w:val="00782A6B"/>
    <w:rsid w:val="00782A6F"/>
    <w:rsid w:val="00782A7F"/>
    <w:rsid w:val="00782AAB"/>
    <w:rsid w:val="00782ACD"/>
    <w:rsid w:val="00782B1B"/>
    <w:rsid w:val="00782B69"/>
    <w:rsid w:val="00782B78"/>
    <w:rsid w:val="00782B93"/>
    <w:rsid w:val="00782BB5"/>
    <w:rsid w:val="00782BD4"/>
    <w:rsid w:val="00782BF8"/>
    <w:rsid w:val="00782C10"/>
    <w:rsid w:val="00782C4F"/>
    <w:rsid w:val="00782C92"/>
    <w:rsid w:val="00782CAE"/>
    <w:rsid w:val="00782D58"/>
    <w:rsid w:val="00782D9E"/>
    <w:rsid w:val="00782DA7"/>
    <w:rsid w:val="00782E97"/>
    <w:rsid w:val="00782EB5"/>
    <w:rsid w:val="00782EBF"/>
    <w:rsid w:val="00782F0B"/>
    <w:rsid w:val="00782F70"/>
    <w:rsid w:val="00782F8C"/>
    <w:rsid w:val="00782FE2"/>
    <w:rsid w:val="00782FE8"/>
    <w:rsid w:val="00783014"/>
    <w:rsid w:val="00783015"/>
    <w:rsid w:val="00783021"/>
    <w:rsid w:val="00783050"/>
    <w:rsid w:val="007830B2"/>
    <w:rsid w:val="007830B5"/>
    <w:rsid w:val="007830D6"/>
    <w:rsid w:val="007830D8"/>
    <w:rsid w:val="0078312F"/>
    <w:rsid w:val="00783160"/>
    <w:rsid w:val="0078327E"/>
    <w:rsid w:val="00783290"/>
    <w:rsid w:val="00783293"/>
    <w:rsid w:val="00783307"/>
    <w:rsid w:val="00783352"/>
    <w:rsid w:val="00783363"/>
    <w:rsid w:val="0078337F"/>
    <w:rsid w:val="00783380"/>
    <w:rsid w:val="007834C4"/>
    <w:rsid w:val="007834C7"/>
    <w:rsid w:val="0078351F"/>
    <w:rsid w:val="007835B2"/>
    <w:rsid w:val="007835E7"/>
    <w:rsid w:val="007835F8"/>
    <w:rsid w:val="0078361D"/>
    <w:rsid w:val="00783624"/>
    <w:rsid w:val="00783664"/>
    <w:rsid w:val="0078366D"/>
    <w:rsid w:val="007836AE"/>
    <w:rsid w:val="007836E2"/>
    <w:rsid w:val="0078372C"/>
    <w:rsid w:val="0078373C"/>
    <w:rsid w:val="00783741"/>
    <w:rsid w:val="00783780"/>
    <w:rsid w:val="00783784"/>
    <w:rsid w:val="00783792"/>
    <w:rsid w:val="0078379E"/>
    <w:rsid w:val="00783805"/>
    <w:rsid w:val="00783859"/>
    <w:rsid w:val="00783880"/>
    <w:rsid w:val="007838B4"/>
    <w:rsid w:val="007838C9"/>
    <w:rsid w:val="007838E0"/>
    <w:rsid w:val="00783926"/>
    <w:rsid w:val="0078395E"/>
    <w:rsid w:val="00783A66"/>
    <w:rsid w:val="00783A6E"/>
    <w:rsid w:val="00783A7A"/>
    <w:rsid w:val="00783A8C"/>
    <w:rsid w:val="00783AA0"/>
    <w:rsid w:val="00783AD1"/>
    <w:rsid w:val="00783AE4"/>
    <w:rsid w:val="00783B1A"/>
    <w:rsid w:val="00783B2A"/>
    <w:rsid w:val="00783B52"/>
    <w:rsid w:val="00783B75"/>
    <w:rsid w:val="00783BB0"/>
    <w:rsid w:val="00783BDC"/>
    <w:rsid w:val="00783C3B"/>
    <w:rsid w:val="00783C50"/>
    <w:rsid w:val="00783D04"/>
    <w:rsid w:val="00783D40"/>
    <w:rsid w:val="00783D45"/>
    <w:rsid w:val="00783D75"/>
    <w:rsid w:val="00783D7B"/>
    <w:rsid w:val="00783D92"/>
    <w:rsid w:val="00783DB7"/>
    <w:rsid w:val="00783DE2"/>
    <w:rsid w:val="00783DE3"/>
    <w:rsid w:val="00783E0F"/>
    <w:rsid w:val="00783E14"/>
    <w:rsid w:val="00783E28"/>
    <w:rsid w:val="00783E83"/>
    <w:rsid w:val="00783E86"/>
    <w:rsid w:val="00783E89"/>
    <w:rsid w:val="00783F41"/>
    <w:rsid w:val="00783F42"/>
    <w:rsid w:val="00783FED"/>
    <w:rsid w:val="00784003"/>
    <w:rsid w:val="00784026"/>
    <w:rsid w:val="00784042"/>
    <w:rsid w:val="00784079"/>
    <w:rsid w:val="00784083"/>
    <w:rsid w:val="00784119"/>
    <w:rsid w:val="0078420B"/>
    <w:rsid w:val="0078420F"/>
    <w:rsid w:val="00784249"/>
    <w:rsid w:val="0078424F"/>
    <w:rsid w:val="00784259"/>
    <w:rsid w:val="0078427F"/>
    <w:rsid w:val="00784354"/>
    <w:rsid w:val="007843EB"/>
    <w:rsid w:val="007843EF"/>
    <w:rsid w:val="00784400"/>
    <w:rsid w:val="0078440A"/>
    <w:rsid w:val="0078440C"/>
    <w:rsid w:val="00784412"/>
    <w:rsid w:val="00784435"/>
    <w:rsid w:val="00784490"/>
    <w:rsid w:val="0078451D"/>
    <w:rsid w:val="00784530"/>
    <w:rsid w:val="007845BC"/>
    <w:rsid w:val="007845FB"/>
    <w:rsid w:val="00784609"/>
    <w:rsid w:val="0078462A"/>
    <w:rsid w:val="0078465E"/>
    <w:rsid w:val="0078469A"/>
    <w:rsid w:val="0078469F"/>
    <w:rsid w:val="007846B4"/>
    <w:rsid w:val="007846E5"/>
    <w:rsid w:val="0078474B"/>
    <w:rsid w:val="0078475C"/>
    <w:rsid w:val="007847B6"/>
    <w:rsid w:val="007847D0"/>
    <w:rsid w:val="007847D3"/>
    <w:rsid w:val="00784809"/>
    <w:rsid w:val="00784825"/>
    <w:rsid w:val="0078484C"/>
    <w:rsid w:val="007848E2"/>
    <w:rsid w:val="007848F8"/>
    <w:rsid w:val="00784923"/>
    <w:rsid w:val="00784932"/>
    <w:rsid w:val="00784957"/>
    <w:rsid w:val="00784982"/>
    <w:rsid w:val="007849E2"/>
    <w:rsid w:val="00784A30"/>
    <w:rsid w:val="00784A54"/>
    <w:rsid w:val="00784A8E"/>
    <w:rsid w:val="00784BFA"/>
    <w:rsid w:val="00784C0A"/>
    <w:rsid w:val="00784C81"/>
    <w:rsid w:val="00784C9A"/>
    <w:rsid w:val="00784D7F"/>
    <w:rsid w:val="00784DDC"/>
    <w:rsid w:val="00784DF8"/>
    <w:rsid w:val="00784E14"/>
    <w:rsid w:val="00784E3F"/>
    <w:rsid w:val="00784E51"/>
    <w:rsid w:val="00784E7C"/>
    <w:rsid w:val="00784EAC"/>
    <w:rsid w:val="00784F0A"/>
    <w:rsid w:val="00784F0D"/>
    <w:rsid w:val="00784F35"/>
    <w:rsid w:val="00784F76"/>
    <w:rsid w:val="00784FAC"/>
    <w:rsid w:val="00784FBE"/>
    <w:rsid w:val="00784FCC"/>
    <w:rsid w:val="00785017"/>
    <w:rsid w:val="0078502E"/>
    <w:rsid w:val="00785036"/>
    <w:rsid w:val="00785059"/>
    <w:rsid w:val="0078505D"/>
    <w:rsid w:val="007850CF"/>
    <w:rsid w:val="0078514F"/>
    <w:rsid w:val="0078518D"/>
    <w:rsid w:val="007851AE"/>
    <w:rsid w:val="007851CC"/>
    <w:rsid w:val="007851DA"/>
    <w:rsid w:val="0078523A"/>
    <w:rsid w:val="0078524F"/>
    <w:rsid w:val="00785287"/>
    <w:rsid w:val="00785309"/>
    <w:rsid w:val="00785349"/>
    <w:rsid w:val="0078538C"/>
    <w:rsid w:val="007853BA"/>
    <w:rsid w:val="00785453"/>
    <w:rsid w:val="0078546E"/>
    <w:rsid w:val="00785498"/>
    <w:rsid w:val="00785502"/>
    <w:rsid w:val="0078552A"/>
    <w:rsid w:val="0078552F"/>
    <w:rsid w:val="00785537"/>
    <w:rsid w:val="00785579"/>
    <w:rsid w:val="007855EF"/>
    <w:rsid w:val="0078562D"/>
    <w:rsid w:val="0078563E"/>
    <w:rsid w:val="00785709"/>
    <w:rsid w:val="00785710"/>
    <w:rsid w:val="00785715"/>
    <w:rsid w:val="00785783"/>
    <w:rsid w:val="007857BB"/>
    <w:rsid w:val="007857D8"/>
    <w:rsid w:val="007857FC"/>
    <w:rsid w:val="00785817"/>
    <w:rsid w:val="00785822"/>
    <w:rsid w:val="007858A5"/>
    <w:rsid w:val="007858BD"/>
    <w:rsid w:val="0078591F"/>
    <w:rsid w:val="0078598B"/>
    <w:rsid w:val="00785997"/>
    <w:rsid w:val="00785A10"/>
    <w:rsid w:val="00785A34"/>
    <w:rsid w:val="00785A70"/>
    <w:rsid w:val="00785A91"/>
    <w:rsid w:val="00785AD0"/>
    <w:rsid w:val="00785AF1"/>
    <w:rsid w:val="00785AFD"/>
    <w:rsid w:val="00785B5D"/>
    <w:rsid w:val="00785B99"/>
    <w:rsid w:val="00785C0E"/>
    <w:rsid w:val="00785C26"/>
    <w:rsid w:val="00785C46"/>
    <w:rsid w:val="00785C4E"/>
    <w:rsid w:val="00785D3B"/>
    <w:rsid w:val="00785D57"/>
    <w:rsid w:val="00785D5E"/>
    <w:rsid w:val="00785E24"/>
    <w:rsid w:val="00785E29"/>
    <w:rsid w:val="00785E4A"/>
    <w:rsid w:val="00785E8C"/>
    <w:rsid w:val="00785EFF"/>
    <w:rsid w:val="00785F1D"/>
    <w:rsid w:val="00785F20"/>
    <w:rsid w:val="00786025"/>
    <w:rsid w:val="00786085"/>
    <w:rsid w:val="007860A1"/>
    <w:rsid w:val="007860D7"/>
    <w:rsid w:val="007860EA"/>
    <w:rsid w:val="007860F6"/>
    <w:rsid w:val="00786139"/>
    <w:rsid w:val="00786196"/>
    <w:rsid w:val="0078619D"/>
    <w:rsid w:val="007861DB"/>
    <w:rsid w:val="007861EA"/>
    <w:rsid w:val="0078620C"/>
    <w:rsid w:val="0078626F"/>
    <w:rsid w:val="00786288"/>
    <w:rsid w:val="00786294"/>
    <w:rsid w:val="007862A1"/>
    <w:rsid w:val="007862D0"/>
    <w:rsid w:val="007862E7"/>
    <w:rsid w:val="00786301"/>
    <w:rsid w:val="0078631E"/>
    <w:rsid w:val="00786329"/>
    <w:rsid w:val="00786386"/>
    <w:rsid w:val="007863B7"/>
    <w:rsid w:val="007863CD"/>
    <w:rsid w:val="0078641F"/>
    <w:rsid w:val="00786476"/>
    <w:rsid w:val="007864C0"/>
    <w:rsid w:val="007864FC"/>
    <w:rsid w:val="007864FE"/>
    <w:rsid w:val="0078654B"/>
    <w:rsid w:val="00786579"/>
    <w:rsid w:val="007865CF"/>
    <w:rsid w:val="007865DD"/>
    <w:rsid w:val="00786634"/>
    <w:rsid w:val="00786635"/>
    <w:rsid w:val="007866F4"/>
    <w:rsid w:val="00786700"/>
    <w:rsid w:val="00786711"/>
    <w:rsid w:val="0078671D"/>
    <w:rsid w:val="0078672A"/>
    <w:rsid w:val="0078679C"/>
    <w:rsid w:val="007867AA"/>
    <w:rsid w:val="007867B9"/>
    <w:rsid w:val="007867BA"/>
    <w:rsid w:val="007867CC"/>
    <w:rsid w:val="007867DB"/>
    <w:rsid w:val="00786823"/>
    <w:rsid w:val="00786841"/>
    <w:rsid w:val="0078687C"/>
    <w:rsid w:val="007868C8"/>
    <w:rsid w:val="007868D9"/>
    <w:rsid w:val="007868EB"/>
    <w:rsid w:val="007868F9"/>
    <w:rsid w:val="0078699C"/>
    <w:rsid w:val="00786A1C"/>
    <w:rsid w:val="00786A70"/>
    <w:rsid w:val="00786AAF"/>
    <w:rsid w:val="00786B0E"/>
    <w:rsid w:val="00786B17"/>
    <w:rsid w:val="00786B4E"/>
    <w:rsid w:val="00786BA3"/>
    <w:rsid w:val="00786BC5"/>
    <w:rsid w:val="00786BE0"/>
    <w:rsid w:val="00786BF7"/>
    <w:rsid w:val="00786C64"/>
    <w:rsid w:val="00786C89"/>
    <w:rsid w:val="00786CA1"/>
    <w:rsid w:val="00786CAA"/>
    <w:rsid w:val="00786CB9"/>
    <w:rsid w:val="00786D97"/>
    <w:rsid w:val="00786E00"/>
    <w:rsid w:val="00786E5B"/>
    <w:rsid w:val="00786E7C"/>
    <w:rsid w:val="00786E8A"/>
    <w:rsid w:val="00786EA5"/>
    <w:rsid w:val="00786EAB"/>
    <w:rsid w:val="00786EF6"/>
    <w:rsid w:val="00786F00"/>
    <w:rsid w:val="00786F14"/>
    <w:rsid w:val="00786F63"/>
    <w:rsid w:val="00786F7E"/>
    <w:rsid w:val="00786F8D"/>
    <w:rsid w:val="00787004"/>
    <w:rsid w:val="00787018"/>
    <w:rsid w:val="0078701F"/>
    <w:rsid w:val="00787020"/>
    <w:rsid w:val="00787044"/>
    <w:rsid w:val="00787063"/>
    <w:rsid w:val="007870B9"/>
    <w:rsid w:val="007870C8"/>
    <w:rsid w:val="007870DA"/>
    <w:rsid w:val="007870EB"/>
    <w:rsid w:val="0078712B"/>
    <w:rsid w:val="0078714A"/>
    <w:rsid w:val="00787178"/>
    <w:rsid w:val="007871BA"/>
    <w:rsid w:val="0078723B"/>
    <w:rsid w:val="0078727B"/>
    <w:rsid w:val="00787283"/>
    <w:rsid w:val="00787299"/>
    <w:rsid w:val="007872C2"/>
    <w:rsid w:val="00787305"/>
    <w:rsid w:val="00787330"/>
    <w:rsid w:val="007873B3"/>
    <w:rsid w:val="007873BE"/>
    <w:rsid w:val="007873F0"/>
    <w:rsid w:val="00787400"/>
    <w:rsid w:val="0078749E"/>
    <w:rsid w:val="007874AE"/>
    <w:rsid w:val="007874C2"/>
    <w:rsid w:val="007874D1"/>
    <w:rsid w:val="007874FB"/>
    <w:rsid w:val="00787546"/>
    <w:rsid w:val="0078754A"/>
    <w:rsid w:val="00787560"/>
    <w:rsid w:val="00787570"/>
    <w:rsid w:val="0078757C"/>
    <w:rsid w:val="007875C5"/>
    <w:rsid w:val="007875D5"/>
    <w:rsid w:val="0078760E"/>
    <w:rsid w:val="0078763E"/>
    <w:rsid w:val="00787647"/>
    <w:rsid w:val="00787653"/>
    <w:rsid w:val="007876AF"/>
    <w:rsid w:val="007876BC"/>
    <w:rsid w:val="007876C2"/>
    <w:rsid w:val="00787782"/>
    <w:rsid w:val="00787796"/>
    <w:rsid w:val="007877A1"/>
    <w:rsid w:val="007877C4"/>
    <w:rsid w:val="007877EF"/>
    <w:rsid w:val="0078780B"/>
    <w:rsid w:val="0078780E"/>
    <w:rsid w:val="00787822"/>
    <w:rsid w:val="0078782B"/>
    <w:rsid w:val="007878AD"/>
    <w:rsid w:val="007878EB"/>
    <w:rsid w:val="00787946"/>
    <w:rsid w:val="007879A2"/>
    <w:rsid w:val="007879CC"/>
    <w:rsid w:val="007879EB"/>
    <w:rsid w:val="00787A21"/>
    <w:rsid w:val="00787A31"/>
    <w:rsid w:val="00787ABE"/>
    <w:rsid w:val="00787B12"/>
    <w:rsid w:val="00787B4B"/>
    <w:rsid w:val="00787B58"/>
    <w:rsid w:val="00787B80"/>
    <w:rsid w:val="00787BB5"/>
    <w:rsid w:val="00787BDA"/>
    <w:rsid w:val="00787BDE"/>
    <w:rsid w:val="00787C85"/>
    <w:rsid w:val="00787CE2"/>
    <w:rsid w:val="00787D12"/>
    <w:rsid w:val="00787D38"/>
    <w:rsid w:val="00787D3F"/>
    <w:rsid w:val="00787D84"/>
    <w:rsid w:val="00787DCE"/>
    <w:rsid w:val="00787DF0"/>
    <w:rsid w:val="00787DF4"/>
    <w:rsid w:val="00787DFE"/>
    <w:rsid w:val="00787E09"/>
    <w:rsid w:val="00787E47"/>
    <w:rsid w:val="00787EAD"/>
    <w:rsid w:val="00787EC7"/>
    <w:rsid w:val="00787ED6"/>
    <w:rsid w:val="00787F16"/>
    <w:rsid w:val="00787F27"/>
    <w:rsid w:val="00787F62"/>
    <w:rsid w:val="00787F63"/>
    <w:rsid w:val="00787FB1"/>
    <w:rsid w:val="00787FD8"/>
    <w:rsid w:val="00787FF7"/>
    <w:rsid w:val="0079000D"/>
    <w:rsid w:val="00790037"/>
    <w:rsid w:val="0079004F"/>
    <w:rsid w:val="00790077"/>
    <w:rsid w:val="007900E6"/>
    <w:rsid w:val="007900FA"/>
    <w:rsid w:val="00790103"/>
    <w:rsid w:val="00790131"/>
    <w:rsid w:val="0079017F"/>
    <w:rsid w:val="007901F3"/>
    <w:rsid w:val="007901FF"/>
    <w:rsid w:val="0079022C"/>
    <w:rsid w:val="007902B9"/>
    <w:rsid w:val="007902F8"/>
    <w:rsid w:val="0079038D"/>
    <w:rsid w:val="00790425"/>
    <w:rsid w:val="007904A6"/>
    <w:rsid w:val="007904D4"/>
    <w:rsid w:val="007904E7"/>
    <w:rsid w:val="007904F9"/>
    <w:rsid w:val="00790542"/>
    <w:rsid w:val="00790553"/>
    <w:rsid w:val="0079055A"/>
    <w:rsid w:val="0079058F"/>
    <w:rsid w:val="007905D8"/>
    <w:rsid w:val="00790628"/>
    <w:rsid w:val="0079065D"/>
    <w:rsid w:val="007906BF"/>
    <w:rsid w:val="007906DB"/>
    <w:rsid w:val="007906FA"/>
    <w:rsid w:val="0079077C"/>
    <w:rsid w:val="007907B1"/>
    <w:rsid w:val="00790809"/>
    <w:rsid w:val="00790909"/>
    <w:rsid w:val="00790938"/>
    <w:rsid w:val="00790953"/>
    <w:rsid w:val="00790960"/>
    <w:rsid w:val="007909A8"/>
    <w:rsid w:val="007909C6"/>
    <w:rsid w:val="007909D6"/>
    <w:rsid w:val="007909DB"/>
    <w:rsid w:val="007909FF"/>
    <w:rsid w:val="00790AA8"/>
    <w:rsid w:val="00790B0B"/>
    <w:rsid w:val="00790B1B"/>
    <w:rsid w:val="00790B7B"/>
    <w:rsid w:val="00790B9B"/>
    <w:rsid w:val="00790BAC"/>
    <w:rsid w:val="00790BB7"/>
    <w:rsid w:val="00790BBB"/>
    <w:rsid w:val="00790C13"/>
    <w:rsid w:val="00790C47"/>
    <w:rsid w:val="00790C76"/>
    <w:rsid w:val="00790C88"/>
    <w:rsid w:val="00790CEE"/>
    <w:rsid w:val="00790D22"/>
    <w:rsid w:val="00790D25"/>
    <w:rsid w:val="00790D4B"/>
    <w:rsid w:val="00790D54"/>
    <w:rsid w:val="00790D5F"/>
    <w:rsid w:val="00790D76"/>
    <w:rsid w:val="00790D87"/>
    <w:rsid w:val="00790DBB"/>
    <w:rsid w:val="00790DC2"/>
    <w:rsid w:val="00790E06"/>
    <w:rsid w:val="00790E16"/>
    <w:rsid w:val="00790E51"/>
    <w:rsid w:val="00790E7D"/>
    <w:rsid w:val="00790EA2"/>
    <w:rsid w:val="00790EED"/>
    <w:rsid w:val="00790F06"/>
    <w:rsid w:val="00790F2F"/>
    <w:rsid w:val="00790F97"/>
    <w:rsid w:val="00790FD3"/>
    <w:rsid w:val="0079103C"/>
    <w:rsid w:val="00791095"/>
    <w:rsid w:val="007910A5"/>
    <w:rsid w:val="007910DD"/>
    <w:rsid w:val="007910EA"/>
    <w:rsid w:val="0079111B"/>
    <w:rsid w:val="0079112B"/>
    <w:rsid w:val="00791175"/>
    <w:rsid w:val="00791193"/>
    <w:rsid w:val="007911B1"/>
    <w:rsid w:val="007911BC"/>
    <w:rsid w:val="00791212"/>
    <w:rsid w:val="00791219"/>
    <w:rsid w:val="00791258"/>
    <w:rsid w:val="00791282"/>
    <w:rsid w:val="0079135D"/>
    <w:rsid w:val="00791363"/>
    <w:rsid w:val="007913DE"/>
    <w:rsid w:val="007913E4"/>
    <w:rsid w:val="00791403"/>
    <w:rsid w:val="00791407"/>
    <w:rsid w:val="0079141D"/>
    <w:rsid w:val="0079147A"/>
    <w:rsid w:val="00791493"/>
    <w:rsid w:val="007914C1"/>
    <w:rsid w:val="007914D4"/>
    <w:rsid w:val="00791508"/>
    <w:rsid w:val="00791556"/>
    <w:rsid w:val="00791583"/>
    <w:rsid w:val="00791591"/>
    <w:rsid w:val="007915B5"/>
    <w:rsid w:val="007915FE"/>
    <w:rsid w:val="00791703"/>
    <w:rsid w:val="00791704"/>
    <w:rsid w:val="007917C8"/>
    <w:rsid w:val="00791800"/>
    <w:rsid w:val="0079189D"/>
    <w:rsid w:val="007918AD"/>
    <w:rsid w:val="007918FE"/>
    <w:rsid w:val="00791954"/>
    <w:rsid w:val="007919A4"/>
    <w:rsid w:val="007919C2"/>
    <w:rsid w:val="007919D5"/>
    <w:rsid w:val="00791A07"/>
    <w:rsid w:val="00791A38"/>
    <w:rsid w:val="00791A89"/>
    <w:rsid w:val="00791AA0"/>
    <w:rsid w:val="00791AC2"/>
    <w:rsid w:val="00791ADD"/>
    <w:rsid w:val="00791AE6"/>
    <w:rsid w:val="00791B0B"/>
    <w:rsid w:val="00791B25"/>
    <w:rsid w:val="00791B80"/>
    <w:rsid w:val="00791BF2"/>
    <w:rsid w:val="00791C17"/>
    <w:rsid w:val="00791C25"/>
    <w:rsid w:val="00791C29"/>
    <w:rsid w:val="00791C2A"/>
    <w:rsid w:val="00791C37"/>
    <w:rsid w:val="00791C3C"/>
    <w:rsid w:val="00791C52"/>
    <w:rsid w:val="00791CD6"/>
    <w:rsid w:val="00791CEF"/>
    <w:rsid w:val="00791D15"/>
    <w:rsid w:val="00791D4A"/>
    <w:rsid w:val="00791D62"/>
    <w:rsid w:val="00791D82"/>
    <w:rsid w:val="00791D89"/>
    <w:rsid w:val="00791DD7"/>
    <w:rsid w:val="00791E03"/>
    <w:rsid w:val="00791E05"/>
    <w:rsid w:val="00791E0F"/>
    <w:rsid w:val="00791E1B"/>
    <w:rsid w:val="00791E23"/>
    <w:rsid w:val="00791E63"/>
    <w:rsid w:val="00791E94"/>
    <w:rsid w:val="00791EA2"/>
    <w:rsid w:val="00791EFF"/>
    <w:rsid w:val="00791F3C"/>
    <w:rsid w:val="00791F5B"/>
    <w:rsid w:val="00791F72"/>
    <w:rsid w:val="00791F8F"/>
    <w:rsid w:val="00791FFA"/>
    <w:rsid w:val="00792001"/>
    <w:rsid w:val="00792018"/>
    <w:rsid w:val="0079202E"/>
    <w:rsid w:val="00792054"/>
    <w:rsid w:val="00792058"/>
    <w:rsid w:val="0079207E"/>
    <w:rsid w:val="0079207F"/>
    <w:rsid w:val="007920F8"/>
    <w:rsid w:val="0079213F"/>
    <w:rsid w:val="00792143"/>
    <w:rsid w:val="00792165"/>
    <w:rsid w:val="007921CD"/>
    <w:rsid w:val="007921F7"/>
    <w:rsid w:val="0079221B"/>
    <w:rsid w:val="007922B2"/>
    <w:rsid w:val="007922B3"/>
    <w:rsid w:val="007922DF"/>
    <w:rsid w:val="0079231C"/>
    <w:rsid w:val="0079234E"/>
    <w:rsid w:val="00792375"/>
    <w:rsid w:val="007923B1"/>
    <w:rsid w:val="007923B3"/>
    <w:rsid w:val="007924A1"/>
    <w:rsid w:val="007924BD"/>
    <w:rsid w:val="007924D4"/>
    <w:rsid w:val="007924E8"/>
    <w:rsid w:val="007924F8"/>
    <w:rsid w:val="0079259A"/>
    <w:rsid w:val="00792627"/>
    <w:rsid w:val="00792636"/>
    <w:rsid w:val="0079265D"/>
    <w:rsid w:val="0079266D"/>
    <w:rsid w:val="00792677"/>
    <w:rsid w:val="00792697"/>
    <w:rsid w:val="007926A9"/>
    <w:rsid w:val="007926B4"/>
    <w:rsid w:val="007926BD"/>
    <w:rsid w:val="0079274C"/>
    <w:rsid w:val="0079279C"/>
    <w:rsid w:val="007927D0"/>
    <w:rsid w:val="00792811"/>
    <w:rsid w:val="00792871"/>
    <w:rsid w:val="00792877"/>
    <w:rsid w:val="007928E1"/>
    <w:rsid w:val="00792934"/>
    <w:rsid w:val="0079296B"/>
    <w:rsid w:val="0079297C"/>
    <w:rsid w:val="00792A04"/>
    <w:rsid w:val="00792A0C"/>
    <w:rsid w:val="00792A1B"/>
    <w:rsid w:val="00792AA5"/>
    <w:rsid w:val="00792AB3"/>
    <w:rsid w:val="00792AD4"/>
    <w:rsid w:val="00792AE4"/>
    <w:rsid w:val="00792AF8"/>
    <w:rsid w:val="00792B5C"/>
    <w:rsid w:val="00792BF6"/>
    <w:rsid w:val="00792C20"/>
    <w:rsid w:val="00792C2F"/>
    <w:rsid w:val="00792C41"/>
    <w:rsid w:val="00792C4A"/>
    <w:rsid w:val="00792C55"/>
    <w:rsid w:val="00792C59"/>
    <w:rsid w:val="00792C66"/>
    <w:rsid w:val="00792C6F"/>
    <w:rsid w:val="00792C77"/>
    <w:rsid w:val="00792CEF"/>
    <w:rsid w:val="00792CFE"/>
    <w:rsid w:val="00792D26"/>
    <w:rsid w:val="00792D7F"/>
    <w:rsid w:val="00792D88"/>
    <w:rsid w:val="00792DA2"/>
    <w:rsid w:val="00792DDF"/>
    <w:rsid w:val="00792E7C"/>
    <w:rsid w:val="00792EC1"/>
    <w:rsid w:val="00792EC7"/>
    <w:rsid w:val="00792ED9"/>
    <w:rsid w:val="00792EDC"/>
    <w:rsid w:val="00792EE4"/>
    <w:rsid w:val="00792EFF"/>
    <w:rsid w:val="00792F16"/>
    <w:rsid w:val="00792FEE"/>
    <w:rsid w:val="00793020"/>
    <w:rsid w:val="00793036"/>
    <w:rsid w:val="00793094"/>
    <w:rsid w:val="007930DF"/>
    <w:rsid w:val="007930F9"/>
    <w:rsid w:val="00793139"/>
    <w:rsid w:val="00793147"/>
    <w:rsid w:val="007931C7"/>
    <w:rsid w:val="007931DD"/>
    <w:rsid w:val="007931E9"/>
    <w:rsid w:val="00793248"/>
    <w:rsid w:val="007932C3"/>
    <w:rsid w:val="007932DA"/>
    <w:rsid w:val="007932EB"/>
    <w:rsid w:val="00793330"/>
    <w:rsid w:val="00793393"/>
    <w:rsid w:val="007933C5"/>
    <w:rsid w:val="007933D8"/>
    <w:rsid w:val="007933DB"/>
    <w:rsid w:val="007933E9"/>
    <w:rsid w:val="0079342A"/>
    <w:rsid w:val="0079347A"/>
    <w:rsid w:val="007934AC"/>
    <w:rsid w:val="00793551"/>
    <w:rsid w:val="00793557"/>
    <w:rsid w:val="00793578"/>
    <w:rsid w:val="00793588"/>
    <w:rsid w:val="0079359F"/>
    <w:rsid w:val="007935A7"/>
    <w:rsid w:val="007935C9"/>
    <w:rsid w:val="007935F1"/>
    <w:rsid w:val="0079364A"/>
    <w:rsid w:val="00793653"/>
    <w:rsid w:val="00793679"/>
    <w:rsid w:val="007936F8"/>
    <w:rsid w:val="00793737"/>
    <w:rsid w:val="00793742"/>
    <w:rsid w:val="007937B5"/>
    <w:rsid w:val="00793862"/>
    <w:rsid w:val="00793956"/>
    <w:rsid w:val="0079398D"/>
    <w:rsid w:val="007939C4"/>
    <w:rsid w:val="007939CE"/>
    <w:rsid w:val="00793A17"/>
    <w:rsid w:val="00793A72"/>
    <w:rsid w:val="00793A9A"/>
    <w:rsid w:val="00793A9B"/>
    <w:rsid w:val="00793AC8"/>
    <w:rsid w:val="00793AD8"/>
    <w:rsid w:val="00793BC3"/>
    <w:rsid w:val="00793BE2"/>
    <w:rsid w:val="00793BF2"/>
    <w:rsid w:val="00793C49"/>
    <w:rsid w:val="00793C71"/>
    <w:rsid w:val="00793C8B"/>
    <w:rsid w:val="00793CA3"/>
    <w:rsid w:val="00793CB4"/>
    <w:rsid w:val="00793D09"/>
    <w:rsid w:val="00793DE0"/>
    <w:rsid w:val="00793E34"/>
    <w:rsid w:val="00793E35"/>
    <w:rsid w:val="00793E84"/>
    <w:rsid w:val="00793EC5"/>
    <w:rsid w:val="00793EE3"/>
    <w:rsid w:val="00793F29"/>
    <w:rsid w:val="00793F35"/>
    <w:rsid w:val="00793F36"/>
    <w:rsid w:val="00793F4B"/>
    <w:rsid w:val="00793F98"/>
    <w:rsid w:val="00793F9A"/>
    <w:rsid w:val="00793FD4"/>
    <w:rsid w:val="00793FED"/>
    <w:rsid w:val="00794018"/>
    <w:rsid w:val="007940CE"/>
    <w:rsid w:val="007940ED"/>
    <w:rsid w:val="00794141"/>
    <w:rsid w:val="00794284"/>
    <w:rsid w:val="00794296"/>
    <w:rsid w:val="007942DB"/>
    <w:rsid w:val="007942E6"/>
    <w:rsid w:val="00794313"/>
    <w:rsid w:val="00794319"/>
    <w:rsid w:val="007943BD"/>
    <w:rsid w:val="007943BF"/>
    <w:rsid w:val="00794420"/>
    <w:rsid w:val="00794422"/>
    <w:rsid w:val="007944B7"/>
    <w:rsid w:val="00794525"/>
    <w:rsid w:val="0079452D"/>
    <w:rsid w:val="00794538"/>
    <w:rsid w:val="0079453A"/>
    <w:rsid w:val="00794580"/>
    <w:rsid w:val="007945A7"/>
    <w:rsid w:val="007945C8"/>
    <w:rsid w:val="007945E5"/>
    <w:rsid w:val="00794661"/>
    <w:rsid w:val="00794680"/>
    <w:rsid w:val="00794684"/>
    <w:rsid w:val="00794690"/>
    <w:rsid w:val="007946A2"/>
    <w:rsid w:val="007946E3"/>
    <w:rsid w:val="007946F3"/>
    <w:rsid w:val="007946FD"/>
    <w:rsid w:val="00794726"/>
    <w:rsid w:val="0079472C"/>
    <w:rsid w:val="00794778"/>
    <w:rsid w:val="0079478D"/>
    <w:rsid w:val="00794797"/>
    <w:rsid w:val="007947C5"/>
    <w:rsid w:val="007947F8"/>
    <w:rsid w:val="00794888"/>
    <w:rsid w:val="007948AE"/>
    <w:rsid w:val="007948D6"/>
    <w:rsid w:val="007948F7"/>
    <w:rsid w:val="0079497B"/>
    <w:rsid w:val="007949B2"/>
    <w:rsid w:val="00794A08"/>
    <w:rsid w:val="00794A3C"/>
    <w:rsid w:val="00794B05"/>
    <w:rsid w:val="00794B40"/>
    <w:rsid w:val="00794B41"/>
    <w:rsid w:val="00794BA1"/>
    <w:rsid w:val="00794BC7"/>
    <w:rsid w:val="00794BF4"/>
    <w:rsid w:val="00794C5E"/>
    <w:rsid w:val="00794C70"/>
    <w:rsid w:val="00794CCB"/>
    <w:rsid w:val="00794CCD"/>
    <w:rsid w:val="00794CE1"/>
    <w:rsid w:val="00794DC8"/>
    <w:rsid w:val="00794E15"/>
    <w:rsid w:val="00794E35"/>
    <w:rsid w:val="00794E60"/>
    <w:rsid w:val="00794E6D"/>
    <w:rsid w:val="00794E6E"/>
    <w:rsid w:val="00794ED2"/>
    <w:rsid w:val="00794F79"/>
    <w:rsid w:val="00794FD3"/>
    <w:rsid w:val="00794FDA"/>
    <w:rsid w:val="00794FF1"/>
    <w:rsid w:val="00795007"/>
    <w:rsid w:val="0079507D"/>
    <w:rsid w:val="0079518F"/>
    <w:rsid w:val="007951B5"/>
    <w:rsid w:val="007951C7"/>
    <w:rsid w:val="0079523F"/>
    <w:rsid w:val="00795296"/>
    <w:rsid w:val="007952A8"/>
    <w:rsid w:val="007952DB"/>
    <w:rsid w:val="0079530F"/>
    <w:rsid w:val="0079534B"/>
    <w:rsid w:val="00795359"/>
    <w:rsid w:val="007953AF"/>
    <w:rsid w:val="007953D2"/>
    <w:rsid w:val="0079540C"/>
    <w:rsid w:val="0079541B"/>
    <w:rsid w:val="0079543D"/>
    <w:rsid w:val="0079543F"/>
    <w:rsid w:val="0079549F"/>
    <w:rsid w:val="007954BD"/>
    <w:rsid w:val="00795510"/>
    <w:rsid w:val="00795511"/>
    <w:rsid w:val="00795513"/>
    <w:rsid w:val="00795571"/>
    <w:rsid w:val="00795593"/>
    <w:rsid w:val="007955AE"/>
    <w:rsid w:val="0079560B"/>
    <w:rsid w:val="00795611"/>
    <w:rsid w:val="00795664"/>
    <w:rsid w:val="0079569D"/>
    <w:rsid w:val="007956BD"/>
    <w:rsid w:val="00795740"/>
    <w:rsid w:val="0079574C"/>
    <w:rsid w:val="0079575B"/>
    <w:rsid w:val="00795815"/>
    <w:rsid w:val="00795835"/>
    <w:rsid w:val="0079590C"/>
    <w:rsid w:val="00795922"/>
    <w:rsid w:val="0079594B"/>
    <w:rsid w:val="007959A8"/>
    <w:rsid w:val="007959E8"/>
    <w:rsid w:val="00795A51"/>
    <w:rsid w:val="00795A86"/>
    <w:rsid w:val="00795A8C"/>
    <w:rsid w:val="00795AB6"/>
    <w:rsid w:val="00795ACE"/>
    <w:rsid w:val="00795B02"/>
    <w:rsid w:val="00795B49"/>
    <w:rsid w:val="00795B86"/>
    <w:rsid w:val="00795BA4"/>
    <w:rsid w:val="00795C0F"/>
    <w:rsid w:val="00795C66"/>
    <w:rsid w:val="00795C92"/>
    <w:rsid w:val="00795CE2"/>
    <w:rsid w:val="00795D7C"/>
    <w:rsid w:val="00795E6A"/>
    <w:rsid w:val="00795E7D"/>
    <w:rsid w:val="00795EB9"/>
    <w:rsid w:val="00795EC4"/>
    <w:rsid w:val="00795ED9"/>
    <w:rsid w:val="00795EDC"/>
    <w:rsid w:val="00795EF7"/>
    <w:rsid w:val="00795F0E"/>
    <w:rsid w:val="00795F15"/>
    <w:rsid w:val="00795F3C"/>
    <w:rsid w:val="00795F4B"/>
    <w:rsid w:val="00795F7C"/>
    <w:rsid w:val="00795FB1"/>
    <w:rsid w:val="00795FDB"/>
    <w:rsid w:val="0079603E"/>
    <w:rsid w:val="00796090"/>
    <w:rsid w:val="007960E3"/>
    <w:rsid w:val="00796159"/>
    <w:rsid w:val="00796162"/>
    <w:rsid w:val="007961B1"/>
    <w:rsid w:val="007961BC"/>
    <w:rsid w:val="00796257"/>
    <w:rsid w:val="00796259"/>
    <w:rsid w:val="00796290"/>
    <w:rsid w:val="0079629A"/>
    <w:rsid w:val="007962E6"/>
    <w:rsid w:val="007962E8"/>
    <w:rsid w:val="00796363"/>
    <w:rsid w:val="0079639A"/>
    <w:rsid w:val="007963CB"/>
    <w:rsid w:val="00796457"/>
    <w:rsid w:val="0079645E"/>
    <w:rsid w:val="00796464"/>
    <w:rsid w:val="0079647B"/>
    <w:rsid w:val="007964B1"/>
    <w:rsid w:val="007964DA"/>
    <w:rsid w:val="0079650D"/>
    <w:rsid w:val="0079655B"/>
    <w:rsid w:val="0079656A"/>
    <w:rsid w:val="00796584"/>
    <w:rsid w:val="00796595"/>
    <w:rsid w:val="00796602"/>
    <w:rsid w:val="00796625"/>
    <w:rsid w:val="0079662E"/>
    <w:rsid w:val="00796691"/>
    <w:rsid w:val="00796692"/>
    <w:rsid w:val="007966C0"/>
    <w:rsid w:val="00796746"/>
    <w:rsid w:val="007967DD"/>
    <w:rsid w:val="00796833"/>
    <w:rsid w:val="0079685D"/>
    <w:rsid w:val="007968F4"/>
    <w:rsid w:val="007968FC"/>
    <w:rsid w:val="0079692C"/>
    <w:rsid w:val="00796938"/>
    <w:rsid w:val="00796965"/>
    <w:rsid w:val="0079698E"/>
    <w:rsid w:val="007969DC"/>
    <w:rsid w:val="00796A49"/>
    <w:rsid w:val="00796AC8"/>
    <w:rsid w:val="00796B4C"/>
    <w:rsid w:val="00796B66"/>
    <w:rsid w:val="00796B78"/>
    <w:rsid w:val="00796BC8"/>
    <w:rsid w:val="00796C03"/>
    <w:rsid w:val="00796C04"/>
    <w:rsid w:val="00796C09"/>
    <w:rsid w:val="00796C59"/>
    <w:rsid w:val="00796C65"/>
    <w:rsid w:val="00796CEE"/>
    <w:rsid w:val="00796D0C"/>
    <w:rsid w:val="00796D2C"/>
    <w:rsid w:val="00796D4C"/>
    <w:rsid w:val="00796DD5"/>
    <w:rsid w:val="00796E09"/>
    <w:rsid w:val="00796E26"/>
    <w:rsid w:val="00796E78"/>
    <w:rsid w:val="00796E83"/>
    <w:rsid w:val="00796EB9"/>
    <w:rsid w:val="00796EE2"/>
    <w:rsid w:val="00796EE8"/>
    <w:rsid w:val="00796F0B"/>
    <w:rsid w:val="00796FA5"/>
    <w:rsid w:val="00797006"/>
    <w:rsid w:val="00797037"/>
    <w:rsid w:val="0079704E"/>
    <w:rsid w:val="00797052"/>
    <w:rsid w:val="00797094"/>
    <w:rsid w:val="007970B4"/>
    <w:rsid w:val="007970B9"/>
    <w:rsid w:val="007970CE"/>
    <w:rsid w:val="0079710D"/>
    <w:rsid w:val="00797175"/>
    <w:rsid w:val="00797192"/>
    <w:rsid w:val="007971EC"/>
    <w:rsid w:val="007971FE"/>
    <w:rsid w:val="00797209"/>
    <w:rsid w:val="00797241"/>
    <w:rsid w:val="0079729A"/>
    <w:rsid w:val="007972A4"/>
    <w:rsid w:val="007972C6"/>
    <w:rsid w:val="00797317"/>
    <w:rsid w:val="00797351"/>
    <w:rsid w:val="0079735D"/>
    <w:rsid w:val="00797390"/>
    <w:rsid w:val="00797412"/>
    <w:rsid w:val="0079747D"/>
    <w:rsid w:val="007974BD"/>
    <w:rsid w:val="007974E3"/>
    <w:rsid w:val="0079752B"/>
    <w:rsid w:val="0079752F"/>
    <w:rsid w:val="0079755E"/>
    <w:rsid w:val="00797570"/>
    <w:rsid w:val="00797765"/>
    <w:rsid w:val="007978A6"/>
    <w:rsid w:val="007978CC"/>
    <w:rsid w:val="007978DE"/>
    <w:rsid w:val="007978E0"/>
    <w:rsid w:val="00797923"/>
    <w:rsid w:val="00797925"/>
    <w:rsid w:val="00797936"/>
    <w:rsid w:val="0079798B"/>
    <w:rsid w:val="007979C2"/>
    <w:rsid w:val="00797A0C"/>
    <w:rsid w:val="00797A9D"/>
    <w:rsid w:val="00797AB3"/>
    <w:rsid w:val="00797ADE"/>
    <w:rsid w:val="00797B16"/>
    <w:rsid w:val="00797B89"/>
    <w:rsid w:val="00797BC7"/>
    <w:rsid w:val="00797C06"/>
    <w:rsid w:val="00797C36"/>
    <w:rsid w:val="00797C52"/>
    <w:rsid w:val="00797CA1"/>
    <w:rsid w:val="00797CA4"/>
    <w:rsid w:val="00797D13"/>
    <w:rsid w:val="00797D43"/>
    <w:rsid w:val="00797D7B"/>
    <w:rsid w:val="00797DB6"/>
    <w:rsid w:val="00797DF5"/>
    <w:rsid w:val="00797E12"/>
    <w:rsid w:val="00797F74"/>
    <w:rsid w:val="00797F80"/>
    <w:rsid w:val="00797FBE"/>
    <w:rsid w:val="00797FCA"/>
    <w:rsid w:val="00797FE4"/>
    <w:rsid w:val="00797FE9"/>
    <w:rsid w:val="007A002B"/>
    <w:rsid w:val="007A0031"/>
    <w:rsid w:val="007A009E"/>
    <w:rsid w:val="007A0119"/>
    <w:rsid w:val="007A0135"/>
    <w:rsid w:val="007A016C"/>
    <w:rsid w:val="007A01BF"/>
    <w:rsid w:val="007A01D9"/>
    <w:rsid w:val="007A0226"/>
    <w:rsid w:val="007A024B"/>
    <w:rsid w:val="007A0272"/>
    <w:rsid w:val="007A0273"/>
    <w:rsid w:val="007A02AF"/>
    <w:rsid w:val="007A02E3"/>
    <w:rsid w:val="007A0316"/>
    <w:rsid w:val="007A0348"/>
    <w:rsid w:val="007A03BB"/>
    <w:rsid w:val="007A03DB"/>
    <w:rsid w:val="007A0402"/>
    <w:rsid w:val="007A0410"/>
    <w:rsid w:val="007A0423"/>
    <w:rsid w:val="007A04EC"/>
    <w:rsid w:val="007A0506"/>
    <w:rsid w:val="007A0531"/>
    <w:rsid w:val="007A0533"/>
    <w:rsid w:val="007A054F"/>
    <w:rsid w:val="007A05B2"/>
    <w:rsid w:val="007A060F"/>
    <w:rsid w:val="007A0626"/>
    <w:rsid w:val="007A0632"/>
    <w:rsid w:val="007A073F"/>
    <w:rsid w:val="007A0772"/>
    <w:rsid w:val="007A0794"/>
    <w:rsid w:val="007A07C1"/>
    <w:rsid w:val="007A07F6"/>
    <w:rsid w:val="007A0818"/>
    <w:rsid w:val="007A083A"/>
    <w:rsid w:val="007A0887"/>
    <w:rsid w:val="007A08C7"/>
    <w:rsid w:val="007A090B"/>
    <w:rsid w:val="007A097A"/>
    <w:rsid w:val="007A09BA"/>
    <w:rsid w:val="007A09DA"/>
    <w:rsid w:val="007A0A3B"/>
    <w:rsid w:val="007A0A8F"/>
    <w:rsid w:val="007A0AC9"/>
    <w:rsid w:val="007A0B53"/>
    <w:rsid w:val="007A0BF0"/>
    <w:rsid w:val="007A0C0D"/>
    <w:rsid w:val="007A0C9F"/>
    <w:rsid w:val="007A0CAB"/>
    <w:rsid w:val="007A0CB2"/>
    <w:rsid w:val="007A0CBF"/>
    <w:rsid w:val="007A0CF1"/>
    <w:rsid w:val="007A0DA7"/>
    <w:rsid w:val="007A0DE2"/>
    <w:rsid w:val="007A0DFE"/>
    <w:rsid w:val="007A0E49"/>
    <w:rsid w:val="007A0E87"/>
    <w:rsid w:val="007A0E9E"/>
    <w:rsid w:val="007A0EC4"/>
    <w:rsid w:val="007A0ED4"/>
    <w:rsid w:val="007A0F56"/>
    <w:rsid w:val="007A0F61"/>
    <w:rsid w:val="007A0F64"/>
    <w:rsid w:val="007A0F96"/>
    <w:rsid w:val="007A0FE2"/>
    <w:rsid w:val="007A0FF3"/>
    <w:rsid w:val="007A1003"/>
    <w:rsid w:val="007A103E"/>
    <w:rsid w:val="007A1063"/>
    <w:rsid w:val="007A1079"/>
    <w:rsid w:val="007A1102"/>
    <w:rsid w:val="007A1162"/>
    <w:rsid w:val="007A11C3"/>
    <w:rsid w:val="007A11D8"/>
    <w:rsid w:val="007A1245"/>
    <w:rsid w:val="007A12EC"/>
    <w:rsid w:val="007A1303"/>
    <w:rsid w:val="007A1356"/>
    <w:rsid w:val="007A1366"/>
    <w:rsid w:val="007A13CA"/>
    <w:rsid w:val="007A13FC"/>
    <w:rsid w:val="007A1444"/>
    <w:rsid w:val="007A1493"/>
    <w:rsid w:val="007A14D2"/>
    <w:rsid w:val="007A14D7"/>
    <w:rsid w:val="007A14E9"/>
    <w:rsid w:val="007A1505"/>
    <w:rsid w:val="007A1550"/>
    <w:rsid w:val="007A15A1"/>
    <w:rsid w:val="007A15B0"/>
    <w:rsid w:val="007A15E1"/>
    <w:rsid w:val="007A15E9"/>
    <w:rsid w:val="007A15EA"/>
    <w:rsid w:val="007A1610"/>
    <w:rsid w:val="007A1615"/>
    <w:rsid w:val="007A1646"/>
    <w:rsid w:val="007A164C"/>
    <w:rsid w:val="007A1669"/>
    <w:rsid w:val="007A1687"/>
    <w:rsid w:val="007A1693"/>
    <w:rsid w:val="007A16E5"/>
    <w:rsid w:val="007A175E"/>
    <w:rsid w:val="007A177D"/>
    <w:rsid w:val="007A17A1"/>
    <w:rsid w:val="007A17E6"/>
    <w:rsid w:val="007A17F4"/>
    <w:rsid w:val="007A1837"/>
    <w:rsid w:val="007A183E"/>
    <w:rsid w:val="007A1890"/>
    <w:rsid w:val="007A18EE"/>
    <w:rsid w:val="007A18FD"/>
    <w:rsid w:val="007A195C"/>
    <w:rsid w:val="007A1976"/>
    <w:rsid w:val="007A19C4"/>
    <w:rsid w:val="007A19CD"/>
    <w:rsid w:val="007A19CF"/>
    <w:rsid w:val="007A19D7"/>
    <w:rsid w:val="007A19E9"/>
    <w:rsid w:val="007A19EA"/>
    <w:rsid w:val="007A1A06"/>
    <w:rsid w:val="007A1A16"/>
    <w:rsid w:val="007A1A50"/>
    <w:rsid w:val="007A1A7C"/>
    <w:rsid w:val="007A1A81"/>
    <w:rsid w:val="007A1AFB"/>
    <w:rsid w:val="007A1AFC"/>
    <w:rsid w:val="007A1B06"/>
    <w:rsid w:val="007A1B11"/>
    <w:rsid w:val="007A1B6F"/>
    <w:rsid w:val="007A1BBA"/>
    <w:rsid w:val="007A1BCE"/>
    <w:rsid w:val="007A1BEE"/>
    <w:rsid w:val="007A1C7D"/>
    <w:rsid w:val="007A1C9E"/>
    <w:rsid w:val="007A1CB3"/>
    <w:rsid w:val="007A1CC6"/>
    <w:rsid w:val="007A1CF2"/>
    <w:rsid w:val="007A1CF8"/>
    <w:rsid w:val="007A1D1A"/>
    <w:rsid w:val="007A1D48"/>
    <w:rsid w:val="007A1D7C"/>
    <w:rsid w:val="007A1D82"/>
    <w:rsid w:val="007A1D95"/>
    <w:rsid w:val="007A1DAD"/>
    <w:rsid w:val="007A1DB3"/>
    <w:rsid w:val="007A1DBC"/>
    <w:rsid w:val="007A1DF1"/>
    <w:rsid w:val="007A1E98"/>
    <w:rsid w:val="007A1EBA"/>
    <w:rsid w:val="007A1F1B"/>
    <w:rsid w:val="007A1F32"/>
    <w:rsid w:val="007A1F6A"/>
    <w:rsid w:val="007A1F74"/>
    <w:rsid w:val="007A2075"/>
    <w:rsid w:val="007A20EA"/>
    <w:rsid w:val="007A2114"/>
    <w:rsid w:val="007A211B"/>
    <w:rsid w:val="007A2122"/>
    <w:rsid w:val="007A2171"/>
    <w:rsid w:val="007A2191"/>
    <w:rsid w:val="007A2230"/>
    <w:rsid w:val="007A229A"/>
    <w:rsid w:val="007A22F0"/>
    <w:rsid w:val="007A237C"/>
    <w:rsid w:val="007A23BE"/>
    <w:rsid w:val="007A23F8"/>
    <w:rsid w:val="007A241B"/>
    <w:rsid w:val="007A2421"/>
    <w:rsid w:val="007A243C"/>
    <w:rsid w:val="007A2487"/>
    <w:rsid w:val="007A24A0"/>
    <w:rsid w:val="007A24A4"/>
    <w:rsid w:val="007A24AD"/>
    <w:rsid w:val="007A2507"/>
    <w:rsid w:val="007A2512"/>
    <w:rsid w:val="007A251D"/>
    <w:rsid w:val="007A252F"/>
    <w:rsid w:val="007A257D"/>
    <w:rsid w:val="007A2583"/>
    <w:rsid w:val="007A25B0"/>
    <w:rsid w:val="007A25C8"/>
    <w:rsid w:val="007A2619"/>
    <w:rsid w:val="007A26A3"/>
    <w:rsid w:val="007A26C9"/>
    <w:rsid w:val="007A2704"/>
    <w:rsid w:val="007A2743"/>
    <w:rsid w:val="007A2755"/>
    <w:rsid w:val="007A281A"/>
    <w:rsid w:val="007A28D5"/>
    <w:rsid w:val="007A2964"/>
    <w:rsid w:val="007A2976"/>
    <w:rsid w:val="007A29E7"/>
    <w:rsid w:val="007A29EA"/>
    <w:rsid w:val="007A29EE"/>
    <w:rsid w:val="007A29FC"/>
    <w:rsid w:val="007A2AA1"/>
    <w:rsid w:val="007A2AAC"/>
    <w:rsid w:val="007A2AE2"/>
    <w:rsid w:val="007A2B15"/>
    <w:rsid w:val="007A2B1C"/>
    <w:rsid w:val="007A2B6E"/>
    <w:rsid w:val="007A2C4B"/>
    <w:rsid w:val="007A2C64"/>
    <w:rsid w:val="007A2C6A"/>
    <w:rsid w:val="007A2C92"/>
    <w:rsid w:val="007A2D24"/>
    <w:rsid w:val="007A2D5D"/>
    <w:rsid w:val="007A2D83"/>
    <w:rsid w:val="007A2D8F"/>
    <w:rsid w:val="007A2DB2"/>
    <w:rsid w:val="007A2DFA"/>
    <w:rsid w:val="007A2E49"/>
    <w:rsid w:val="007A2E90"/>
    <w:rsid w:val="007A2E9E"/>
    <w:rsid w:val="007A2EA4"/>
    <w:rsid w:val="007A2EA9"/>
    <w:rsid w:val="007A2F1E"/>
    <w:rsid w:val="007A2F2B"/>
    <w:rsid w:val="007A2F9B"/>
    <w:rsid w:val="007A2FD0"/>
    <w:rsid w:val="007A2FD6"/>
    <w:rsid w:val="007A2FF6"/>
    <w:rsid w:val="007A30B5"/>
    <w:rsid w:val="007A30DC"/>
    <w:rsid w:val="007A311F"/>
    <w:rsid w:val="007A312D"/>
    <w:rsid w:val="007A314A"/>
    <w:rsid w:val="007A319B"/>
    <w:rsid w:val="007A31C2"/>
    <w:rsid w:val="007A31DF"/>
    <w:rsid w:val="007A31EE"/>
    <w:rsid w:val="007A31F6"/>
    <w:rsid w:val="007A3211"/>
    <w:rsid w:val="007A326F"/>
    <w:rsid w:val="007A327E"/>
    <w:rsid w:val="007A32F8"/>
    <w:rsid w:val="007A336A"/>
    <w:rsid w:val="007A339A"/>
    <w:rsid w:val="007A340D"/>
    <w:rsid w:val="007A3431"/>
    <w:rsid w:val="007A345E"/>
    <w:rsid w:val="007A3468"/>
    <w:rsid w:val="007A349C"/>
    <w:rsid w:val="007A34A4"/>
    <w:rsid w:val="007A34DD"/>
    <w:rsid w:val="007A34F3"/>
    <w:rsid w:val="007A352C"/>
    <w:rsid w:val="007A354C"/>
    <w:rsid w:val="007A355F"/>
    <w:rsid w:val="007A3667"/>
    <w:rsid w:val="007A3699"/>
    <w:rsid w:val="007A36AB"/>
    <w:rsid w:val="007A36B3"/>
    <w:rsid w:val="007A3706"/>
    <w:rsid w:val="007A3723"/>
    <w:rsid w:val="007A3730"/>
    <w:rsid w:val="007A374E"/>
    <w:rsid w:val="007A3798"/>
    <w:rsid w:val="007A37A5"/>
    <w:rsid w:val="007A37AA"/>
    <w:rsid w:val="007A37D5"/>
    <w:rsid w:val="007A37EC"/>
    <w:rsid w:val="007A3841"/>
    <w:rsid w:val="007A3885"/>
    <w:rsid w:val="007A3886"/>
    <w:rsid w:val="007A3889"/>
    <w:rsid w:val="007A389C"/>
    <w:rsid w:val="007A3937"/>
    <w:rsid w:val="007A393D"/>
    <w:rsid w:val="007A394E"/>
    <w:rsid w:val="007A3982"/>
    <w:rsid w:val="007A39D3"/>
    <w:rsid w:val="007A39EE"/>
    <w:rsid w:val="007A3A00"/>
    <w:rsid w:val="007A3A9B"/>
    <w:rsid w:val="007A3AB0"/>
    <w:rsid w:val="007A3AC4"/>
    <w:rsid w:val="007A3BEC"/>
    <w:rsid w:val="007A3BFB"/>
    <w:rsid w:val="007A3C34"/>
    <w:rsid w:val="007A3C9C"/>
    <w:rsid w:val="007A3D04"/>
    <w:rsid w:val="007A3D0B"/>
    <w:rsid w:val="007A3D1B"/>
    <w:rsid w:val="007A3D3F"/>
    <w:rsid w:val="007A3D71"/>
    <w:rsid w:val="007A3DD5"/>
    <w:rsid w:val="007A3DFB"/>
    <w:rsid w:val="007A3E31"/>
    <w:rsid w:val="007A3F3C"/>
    <w:rsid w:val="007A3F89"/>
    <w:rsid w:val="007A3F9C"/>
    <w:rsid w:val="007A3FE7"/>
    <w:rsid w:val="007A3FF7"/>
    <w:rsid w:val="007A4019"/>
    <w:rsid w:val="007A401D"/>
    <w:rsid w:val="007A4036"/>
    <w:rsid w:val="007A40AA"/>
    <w:rsid w:val="007A4122"/>
    <w:rsid w:val="007A4142"/>
    <w:rsid w:val="007A414E"/>
    <w:rsid w:val="007A4168"/>
    <w:rsid w:val="007A41BF"/>
    <w:rsid w:val="007A41C2"/>
    <w:rsid w:val="007A4253"/>
    <w:rsid w:val="007A4266"/>
    <w:rsid w:val="007A428B"/>
    <w:rsid w:val="007A42C1"/>
    <w:rsid w:val="007A42CB"/>
    <w:rsid w:val="007A42E3"/>
    <w:rsid w:val="007A42FA"/>
    <w:rsid w:val="007A433B"/>
    <w:rsid w:val="007A434C"/>
    <w:rsid w:val="007A4359"/>
    <w:rsid w:val="007A4360"/>
    <w:rsid w:val="007A437A"/>
    <w:rsid w:val="007A4385"/>
    <w:rsid w:val="007A439E"/>
    <w:rsid w:val="007A43BF"/>
    <w:rsid w:val="007A43E6"/>
    <w:rsid w:val="007A4412"/>
    <w:rsid w:val="007A4436"/>
    <w:rsid w:val="007A443B"/>
    <w:rsid w:val="007A4445"/>
    <w:rsid w:val="007A444B"/>
    <w:rsid w:val="007A444F"/>
    <w:rsid w:val="007A445E"/>
    <w:rsid w:val="007A449E"/>
    <w:rsid w:val="007A44F1"/>
    <w:rsid w:val="007A4564"/>
    <w:rsid w:val="007A4585"/>
    <w:rsid w:val="007A4588"/>
    <w:rsid w:val="007A45A6"/>
    <w:rsid w:val="007A45FE"/>
    <w:rsid w:val="007A4617"/>
    <w:rsid w:val="007A4645"/>
    <w:rsid w:val="007A4710"/>
    <w:rsid w:val="007A47AB"/>
    <w:rsid w:val="007A47F3"/>
    <w:rsid w:val="007A4815"/>
    <w:rsid w:val="007A4855"/>
    <w:rsid w:val="007A4874"/>
    <w:rsid w:val="007A48DC"/>
    <w:rsid w:val="007A48F5"/>
    <w:rsid w:val="007A491C"/>
    <w:rsid w:val="007A4925"/>
    <w:rsid w:val="007A49EA"/>
    <w:rsid w:val="007A49F3"/>
    <w:rsid w:val="007A4A54"/>
    <w:rsid w:val="007A4A82"/>
    <w:rsid w:val="007A4AB2"/>
    <w:rsid w:val="007A4B3C"/>
    <w:rsid w:val="007A4B4B"/>
    <w:rsid w:val="007A4BDC"/>
    <w:rsid w:val="007A4C03"/>
    <w:rsid w:val="007A4C06"/>
    <w:rsid w:val="007A4C26"/>
    <w:rsid w:val="007A4C4B"/>
    <w:rsid w:val="007A4C84"/>
    <w:rsid w:val="007A4D79"/>
    <w:rsid w:val="007A4D9E"/>
    <w:rsid w:val="007A4DC1"/>
    <w:rsid w:val="007A4DCF"/>
    <w:rsid w:val="007A4DE7"/>
    <w:rsid w:val="007A4DEE"/>
    <w:rsid w:val="007A4E5C"/>
    <w:rsid w:val="007A4E74"/>
    <w:rsid w:val="007A4E8D"/>
    <w:rsid w:val="007A4EE5"/>
    <w:rsid w:val="007A4F31"/>
    <w:rsid w:val="007A4F4B"/>
    <w:rsid w:val="007A5037"/>
    <w:rsid w:val="007A5064"/>
    <w:rsid w:val="007A5073"/>
    <w:rsid w:val="007A5079"/>
    <w:rsid w:val="007A50B4"/>
    <w:rsid w:val="007A50EE"/>
    <w:rsid w:val="007A514F"/>
    <w:rsid w:val="007A5197"/>
    <w:rsid w:val="007A51AD"/>
    <w:rsid w:val="007A51CD"/>
    <w:rsid w:val="007A520B"/>
    <w:rsid w:val="007A525E"/>
    <w:rsid w:val="007A5264"/>
    <w:rsid w:val="007A528F"/>
    <w:rsid w:val="007A52C8"/>
    <w:rsid w:val="007A52DE"/>
    <w:rsid w:val="007A531C"/>
    <w:rsid w:val="007A5343"/>
    <w:rsid w:val="007A5392"/>
    <w:rsid w:val="007A5393"/>
    <w:rsid w:val="007A53E9"/>
    <w:rsid w:val="007A5459"/>
    <w:rsid w:val="007A546E"/>
    <w:rsid w:val="007A549A"/>
    <w:rsid w:val="007A54A3"/>
    <w:rsid w:val="007A54D8"/>
    <w:rsid w:val="007A54FE"/>
    <w:rsid w:val="007A5531"/>
    <w:rsid w:val="007A5578"/>
    <w:rsid w:val="007A557C"/>
    <w:rsid w:val="007A557D"/>
    <w:rsid w:val="007A5584"/>
    <w:rsid w:val="007A5592"/>
    <w:rsid w:val="007A55C8"/>
    <w:rsid w:val="007A55D0"/>
    <w:rsid w:val="007A560C"/>
    <w:rsid w:val="007A5623"/>
    <w:rsid w:val="007A5661"/>
    <w:rsid w:val="007A5717"/>
    <w:rsid w:val="007A5724"/>
    <w:rsid w:val="007A574A"/>
    <w:rsid w:val="007A57EC"/>
    <w:rsid w:val="007A58AB"/>
    <w:rsid w:val="007A58B7"/>
    <w:rsid w:val="007A58F0"/>
    <w:rsid w:val="007A594A"/>
    <w:rsid w:val="007A5957"/>
    <w:rsid w:val="007A5972"/>
    <w:rsid w:val="007A599A"/>
    <w:rsid w:val="007A599F"/>
    <w:rsid w:val="007A59C5"/>
    <w:rsid w:val="007A59FC"/>
    <w:rsid w:val="007A59FD"/>
    <w:rsid w:val="007A5A16"/>
    <w:rsid w:val="007A5A3E"/>
    <w:rsid w:val="007A5A96"/>
    <w:rsid w:val="007A5AC7"/>
    <w:rsid w:val="007A5AC9"/>
    <w:rsid w:val="007A5AF2"/>
    <w:rsid w:val="007A5B31"/>
    <w:rsid w:val="007A5B63"/>
    <w:rsid w:val="007A5B69"/>
    <w:rsid w:val="007A5BBF"/>
    <w:rsid w:val="007A5BE4"/>
    <w:rsid w:val="007A5C0A"/>
    <w:rsid w:val="007A5C0E"/>
    <w:rsid w:val="007A5C1E"/>
    <w:rsid w:val="007A5C2F"/>
    <w:rsid w:val="007A5C38"/>
    <w:rsid w:val="007A5C67"/>
    <w:rsid w:val="007A5CA4"/>
    <w:rsid w:val="007A5CB3"/>
    <w:rsid w:val="007A5CB5"/>
    <w:rsid w:val="007A5CD3"/>
    <w:rsid w:val="007A5CF1"/>
    <w:rsid w:val="007A5CF9"/>
    <w:rsid w:val="007A5D42"/>
    <w:rsid w:val="007A5D9A"/>
    <w:rsid w:val="007A5D9B"/>
    <w:rsid w:val="007A5DC8"/>
    <w:rsid w:val="007A5DD2"/>
    <w:rsid w:val="007A5DE0"/>
    <w:rsid w:val="007A5DEF"/>
    <w:rsid w:val="007A5DF7"/>
    <w:rsid w:val="007A5E0B"/>
    <w:rsid w:val="007A5E0E"/>
    <w:rsid w:val="007A5E40"/>
    <w:rsid w:val="007A5E61"/>
    <w:rsid w:val="007A5E8F"/>
    <w:rsid w:val="007A5EFC"/>
    <w:rsid w:val="007A5F19"/>
    <w:rsid w:val="007A5F52"/>
    <w:rsid w:val="007A5F5D"/>
    <w:rsid w:val="007A5FE7"/>
    <w:rsid w:val="007A6051"/>
    <w:rsid w:val="007A60EB"/>
    <w:rsid w:val="007A6126"/>
    <w:rsid w:val="007A6130"/>
    <w:rsid w:val="007A614B"/>
    <w:rsid w:val="007A6157"/>
    <w:rsid w:val="007A6160"/>
    <w:rsid w:val="007A6162"/>
    <w:rsid w:val="007A6163"/>
    <w:rsid w:val="007A61B6"/>
    <w:rsid w:val="007A61C8"/>
    <w:rsid w:val="007A61D3"/>
    <w:rsid w:val="007A6213"/>
    <w:rsid w:val="007A62A4"/>
    <w:rsid w:val="007A6354"/>
    <w:rsid w:val="007A6355"/>
    <w:rsid w:val="007A6433"/>
    <w:rsid w:val="007A6452"/>
    <w:rsid w:val="007A6553"/>
    <w:rsid w:val="007A6576"/>
    <w:rsid w:val="007A65B2"/>
    <w:rsid w:val="007A65B7"/>
    <w:rsid w:val="007A65C4"/>
    <w:rsid w:val="007A65E7"/>
    <w:rsid w:val="007A65F6"/>
    <w:rsid w:val="007A65F9"/>
    <w:rsid w:val="007A6611"/>
    <w:rsid w:val="007A661C"/>
    <w:rsid w:val="007A6625"/>
    <w:rsid w:val="007A6644"/>
    <w:rsid w:val="007A6660"/>
    <w:rsid w:val="007A6667"/>
    <w:rsid w:val="007A6689"/>
    <w:rsid w:val="007A66B3"/>
    <w:rsid w:val="007A66BB"/>
    <w:rsid w:val="007A66E0"/>
    <w:rsid w:val="007A66E5"/>
    <w:rsid w:val="007A6741"/>
    <w:rsid w:val="007A674F"/>
    <w:rsid w:val="007A677C"/>
    <w:rsid w:val="007A678B"/>
    <w:rsid w:val="007A67E3"/>
    <w:rsid w:val="007A67F7"/>
    <w:rsid w:val="007A67F8"/>
    <w:rsid w:val="007A6818"/>
    <w:rsid w:val="007A68A9"/>
    <w:rsid w:val="007A68AC"/>
    <w:rsid w:val="007A693B"/>
    <w:rsid w:val="007A697F"/>
    <w:rsid w:val="007A69F4"/>
    <w:rsid w:val="007A6A50"/>
    <w:rsid w:val="007A6A6F"/>
    <w:rsid w:val="007A6A81"/>
    <w:rsid w:val="007A6A83"/>
    <w:rsid w:val="007A6A8E"/>
    <w:rsid w:val="007A6AD8"/>
    <w:rsid w:val="007A6B17"/>
    <w:rsid w:val="007A6B55"/>
    <w:rsid w:val="007A6B99"/>
    <w:rsid w:val="007A6B9D"/>
    <w:rsid w:val="007A6BB8"/>
    <w:rsid w:val="007A6BCB"/>
    <w:rsid w:val="007A6BF3"/>
    <w:rsid w:val="007A6BF6"/>
    <w:rsid w:val="007A6BF9"/>
    <w:rsid w:val="007A6C36"/>
    <w:rsid w:val="007A6C38"/>
    <w:rsid w:val="007A6C53"/>
    <w:rsid w:val="007A6C5F"/>
    <w:rsid w:val="007A6C76"/>
    <w:rsid w:val="007A6C94"/>
    <w:rsid w:val="007A6CDD"/>
    <w:rsid w:val="007A6D3C"/>
    <w:rsid w:val="007A6D6B"/>
    <w:rsid w:val="007A6D71"/>
    <w:rsid w:val="007A6EA3"/>
    <w:rsid w:val="007A6ED8"/>
    <w:rsid w:val="007A6EF0"/>
    <w:rsid w:val="007A6F6A"/>
    <w:rsid w:val="007A6F70"/>
    <w:rsid w:val="007A6FE0"/>
    <w:rsid w:val="007A6FF0"/>
    <w:rsid w:val="007A6FF6"/>
    <w:rsid w:val="007A6FFA"/>
    <w:rsid w:val="007A703B"/>
    <w:rsid w:val="007A7043"/>
    <w:rsid w:val="007A705D"/>
    <w:rsid w:val="007A7070"/>
    <w:rsid w:val="007A70B5"/>
    <w:rsid w:val="007A7103"/>
    <w:rsid w:val="007A7139"/>
    <w:rsid w:val="007A71C4"/>
    <w:rsid w:val="007A71F2"/>
    <w:rsid w:val="007A722C"/>
    <w:rsid w:val="007A7255"/>
    <w:rsid w:val="007A72A6"/>
    <w:rsid w:val="007A72D4"/>
    <w:rsid w:val="007A72D6"/>
    <w:rsid w:val="007A72DA"/>
    <w:rsid w:val="007A72ED"/>
    <w:rsid w:val="007A72F0"/>
    <w:rsid w:val="007A7305"/>
    <w:rsid w:val="007A7314"/>
    <w:rsid w:val="007A7318"/>
    <w:rsid w:val="007A7366"/>
    <w:rsid w:val="007A73DD"/>
    <w:rsid w:val="007A7422"/>
    <w:rsid w:val="007A747B"/>
    <w:rsid w:val="007A74AA"/>
    <w:rsid w:val="007A74AF"/>
    <w:rsid w:val="007A74C5"/>
    <w:rsid w:val="007A74DC"/>
    <w:rsid w:val="007A75C5"/>
    <w:rsid w:val="007A75F1"/>
    <w:rsid w:val="007A7621"/>
    <w:rsid w:val="007A7672"/>
    <w:rsid w:val="007A76A5"/>
    <w:rsid w:val="007A76F4"/>
    <w:rsid w:val="007A77B9"/>
    <w:rsid w:val="007A77F3"/>
    <w:rsid w:val="007A7806"/>
    <w:rsid w:val="007A782F"/>
    <w:rsid w:val="007A7851"/>
    <w:rsid w:val="007A78FA"/>
    <w:rsid w:val="007A7960"/>
    <w:rsid w:val="007A797A"/>
    <w:rsid w:val="007A79A2"/>
    <w:rsid w:val="007A7A06"/>
    <w:rsid w:val="007A7A6A"/>
    <w:rsid w:val="007A7AAD"/>
    <w:rsid w:val="007A7AD8"/>
    <w:rsid w:val="007A7AF2"/>
    <w:rsid w:val="007A7B13"/>
    <w:rsid w:val="007A7B1E"/>
    <w:rsid w:val="007A7B2F"/>
    <w:rsid w:val="007A7BA9"/>
    <w:rsid w:val="007A7C00"/>
    <w:rsid w:val="007A7C07"/>
    <w:rsid w:val="007A7C18"/>
    <w:rsid w:val="007A7C4F"/>
    <w:rsid w:val="007A7C5B"/>
    <w:rsid w:val="007A7C65"/>
    <w:rsid w:val="007A7CC1"/>
    <w:rsid w:val="007A7CE7"/>
    <w:rsid w:val="007A7D80"/>
    <w:rsid w:val="007A7DE4"/>
    <w:rsid w:val="007A7E01"/>
    <w:rsid w:val="007A7E0A"/>
    <w:rsid w:val="007A7E0C"/>
    <w:rsid w:val="007A7F62"/>
    <w:rsid w:val="007A7F72"/>
    <w:rsid w:val="007B0002"/>
    <w:rsid w:val="007B006C"/>
    <w:rsid w:val="007B008F"/>
    <w:rsid w:val="007B00BB"/>
    <w:rsid w:val="007B0138"/>
    <w:rsid w:val="007B0176"/>
    <w:rsid w:val="007B01F2"/>
    <w:rsid w:val="007B01F8"/>
    <w:rsid w:val="007B01FD"/>
    <w:rsid w:val="007B020F"/>
    <w:rsid w:val="007B0251"/>
    <w:rsid w:val="007B02E5"/>
    <w:rsid w:val="007B030B"/>
    <w:rsid w:val="007B0351"/>
    <w:rsid w:val="007B0363"/>
    <w:rsid w:val="007B03CB"/>
    <w:rsid w:val="007B03FA"/>
    <w:rsid w:val="007B041A"/>
    <w:rsid w:val="007B044F"/>
    <w:rsid w:val="007B0473"/>
    <w:rsid w:val="007B04EC"/>
    <w:rsid w:val="007B0543"/>
    <w:rsid w:val="007B0554"/>
    <w:rsid w:val="007B05A7"/>
    <w:rsid w:val="007B05A8"/>
    <w:rsid w:val="007B05B4"/>
    <w:rsid w:val="007B0651"/>
    <w:rsid w:val="007B066F"/>
    <w:rsid w:val="007B067C"/>
    <w:rsid w:val="007B070B"/>
    <w:rsid w:val="007B0755"/>
    <w:rsid w:val="007B0775"/>
    <w:rsid w:val="007B082B"/>
    <w:rsid w:val="007B082F"/>
    <w:rsid w:val="007B0855"/>
    <w:rsid w:val="007B08F0"/>
    <w:rsid w:val="007B091E"/>
    <w:rsid w:val="007B0945"/>
    <w:rsid w:val="007B0A04"/>
    <w:rsid w:val="007B0A45"/>
    <w:rsid w:val="007B0A49"/>
    <w:rsid w:val="007B0A5F"/>
    <w:rsid w:val="007B0A9C"/>
    <w:rsid w:val="007B0AAB"/>
    <w:rsid w:val="007B0AFC"/>
    <w:rsid w:val="007B0BE8"/>
    <w:rsid w:val="007B0C13"/>
    <w:rsid w:val="007B0C28"/>
    <w:rsid w:val="007B0C3C"/>
    <w:rsid w:val="007B0C67"/>
    <w:rsid w:val="007B0C71"/>
    <w:rsid w:val="007B0C77"/>
    <w:rsid w:val="007B0C9D"/>
    <w:rsid w:val="007B0D18"/>
    <w:rsid w:val="007B0D20"/>
    <w:rsid w:val="007B0D7D"/>
    <w:rsid w:val="007B0DF7"/>
    <w:rsid w:val="007B0E3C"/>
    <w:rsid w:val="007B0EC6"/>
    <w:rsid w:val="007B0EE0"/>
    <w:rsid w:val="007B0F37"/>
    <w:rsid w:val="007B0F48"/>
    <w:rsid w:val="007B0FC5"/>
    <w:rsid w:val="007B100E"/>
    <w:rsid w:val="007B1010"/>
    <w:rsid w:val="007B1080"/>
    <w:rsid w:val="007B10B5"/>
    <w:rsid w:val="007B10E3"/>
    <w:rsid w:val="007B10F1"/>
    <w:rsid w:val="007B10F5"/>
    <w:rsid w:val="007B10F9"/>
    <w:rsid w:val="007B1106"/>
    <w:rsid w:val="007B114F"/>
    <w:rsid w:val="007B115A"/>
    <w:rsid w:val="007B11E2"/>
    <w:rsid w:val="007B127D"/>
    <w:rsid w:val="007B12B7"/>
    <w:rsid w:val="007B131D"/>
    <w:rsid w:val="007B147C"/>
    <w:rsid w:val="007B14B6"/>
    <w:rsid w:val="007B15BA"/>
    <w:rsid w:val="007B15EB"/>
    <w:rsid w:val="007B161C"/>
    <w:rsid w:val="007B1694"/>
    <w:rsid w:val="007B16B3"/>
    <w:rsid w:val="007B16C0"/>
    <w:rsid w:val="007B16D0"/>
    <w:rsid w:val="007B16D4"/>
    <w:rsid w:val="007B1723"/>
    <w:rsid w:val="007B17C4"/>
    <w:rsid w:val="007B17CB"/>
    <w:rsid w:val="007B17D2"/>
    <w:rsid w:val="007B182F"/>
    <w:rsid w:val="007B1854"/>
    <w:rsid w:val="007B1858"/>
    <w:rsid w:val="007B186E"/>
    <w:rsid w:val="007B1902"/>
    <w:rsid w:val="007B191B"/>
    <w:rsid w:val="007B19B7"/>
    <w:rsid w:val="007B19BB"/>
    <w:rsid w:val="007B1A0D"/>
    <w:rsid w:val="007B1A37"/>
    <w:rsid w:val="007B1A8F"/>
    <w:rsid w:val="007B1ACE"/>
    <w:rsid w:val="007B1AF4"/>
    <w:rsid w:val="007B1B1A"/>
    <w:rsid w:val="007B1B4E"/>
    <w:rsid w:val="007B1B6E"/>
    <w:rsid w:val="007B1C49"/>
    <w:rsid w:val="007B1CA1"/>
    <w:rsid w:val="007B1CBF"/>
    <w:rsid w:val="007B1D58"/>
    <w:rsid w:val="007B1D7B"/>
    <w:rsid w:val="007B1D98"/>
    <w:rsid w:val="007B1E31"/>
    <w:rsid w:val="007B1E56"/>
    <w:rsid w:val="007B1E8E"/>
    <w:rsid w:val="007B1EB3"/>
    <w:rsid w:val="007B1F2E"/>
    <w:rsid w:val="007B1F38"/>
    <w:rsid w:val="007B1F45"/>
    <w:rsid w:val="007B1FF9"/>
    <w:rsid w:val="007B202A"/>
    <w:rsid w:val="007B2050"/>
    <w:rsid w:val="007B20C2"/>
    <w:rsid w:val="007B20D4"/>
    <w:rsid w:val="007B2108"/>
    <w:rsid w:val="007B2150"/>
    <w:rsid w:val="007B2167"/>
    <w:rsid w:val="007B216E"/>
    <w:rsid w:val="007B21D8"/>
    <w:rsid w:val="007B2217"/>
    <w:rsid w:val="007B222D"/>
    <w:rsid w:val="007B2235"/>
    <w:rsid w:val="007B2239"/>
    <w:rsid w:val="007B2262"/>
    <w:rsid w:val="007B2289"/>
    <w:rsid w:val="007B22B2"/>
    <w:rsid w:val="007B22FB"/>
    <w:rsid w:val="007B2352"/>
    <w:rsid w:val="007B239C"/>
    <w:rsid w:val="007B23A6"/>
    <w:rsid w:val="007B23A7"/>
    <w:rsid w:val="007B23AD"/>
    <w:rsid w:val="007B23B0"/>
    <w:rsid w:val="007B23F5"/>
    <w:rsid w:val="007B23F8"/>
    <w:rsid w:val="007B2402"/>
    <w:rsid w:val="007B2411"/>
    <w:rsid w:val="007B241C"/>
    <w:rsid w:val="007B242F"/>
    <w:rsid w:val="007B2446"/>
    <w:rsid w:val="007B2471"/>
    <w:rsid w:val="007B2491"/>
    <w:rsid w:val="007B249F"/>
    <w:rsid w:val="007B2540"/>
    <w:rsid w:val="007B2555"/>
    <w:rsid w:val="007B255B"/>
    <w:rsid w:val="007B258A"/>
    <w:rsid w:val="007B262B"/>
    <w:rsid w:val="007B266E"/>
    <w:rsid w:val="007B2677"/>
    <w:rsid w:val="007B268E"/>
    <w:rsid w:val="007B26A7"/>
    <w:rsid w:val="007B26B5"/>
    <w:rsid w:val="007B26D0"/>
    <w:rsid w:val="007B26FE"/>
    <w:rsid w:val="007B2726"/>
    <w:rsid w:val="007B279F"/>
    <w:rsid w:val="007B27A0"/>
    <w:rsid w:val="007B27CF"/>
    <w:rsid w:val="007B28F0"/>
    <w:rsid w:val="007B291D"/>
    <w:rsid w:val="007B293C"/>
    <w:rsid w:val="007B2944"/>
    <w:rsid w:val="007B2954"/>
    <w:rsid w:val="007B2970"/>
    <w:rsid w:val="007B2976"/>
    <w:rsid w:val="007B2978"/>
    <w:rsid w:val="007B2997"/>
    <w:rsid w:val="007B29DF"/>
    <w:rsid w:val="007B29FB"/>
    <w:rsid w:val="007B2A29"/>
    <w:rsid w:val="007B2A93"/>
    <w:rsid w:val="007B2B15"/>
    <w:rsid w:val="007B2B17"/>
    <w:rsid w:val="007B2B34"/>
    <w:rsid w:val="007B2B51"/>
    <w:rsid w:val="007B2C02"/>
    <w:rsid w:val="007B2C3B"/>
    <w:rsid w:val="007B2C4A"/>
    <w:rsid w:val="007B2C4D"/>
    <w:rsid w:val="007B2C89"/>
    <w:rsid w:val="007B2C8E"/>
    <w:rsid w:val="007B2C95"/>
    <w:rsid w:val="007B2CC5"/>
    <w:rsid w:val="007B2CCB"/>
    <w:rsid w:val="007B2CD2"/>
    <w:rsid w:val="007B2CE3"/>
    <w:rsid w:val="007B2D24"/>
    <w:rsid w:val="007B2D26"/>
    <w:rsid w:val="007B2D51"/>
    <w:rsid w:val="007B2D5C"/>
    <w:rsid w:val="007B2D92"/>
    <w:rsid w:val="007B2E66"/>
    <w:rsid w:val="007B2E9D"/>
    <w:rsid w:val="007B2EBD"/>
    <w:rsid w:val="007B2F01"/>
    <w:rsid w:val="007B2F04"/>
    <w:rsid w:val="007B2F5F"/>
    <w:rsid w:val="007B2F67"/>
    <w:rsid w:val="007B2F89"/>
    <w:rsid w:val="007B2F96"/>
    <w:rsid w:val="007B2FF2"/>
    <w:rsid w:val="007B3045"/>
    <w:rsid w:val="007B30B6"/>
    <w:rsid w:val="007B30BB"/>
    <w:rsid w:val="007B30E5"/>
    <w:rsid w:val="007B30F5"/>
    <w:rsid w:val="007B3145"/>
    <w:rsid w:val="007B31BB"/>
    <w:rsid w:val="007B31D0"/>
    <w:rsid w:val="007B320F"/>
    <w:rsid w:val="007B3213"/>
    <w:rsid w:val="007B3229"/>
    <w:rsid w:val="007B3266"/>
    <w:rsid w:val="007B32B5"/>
    <w:rsid w:val="007B32B9"/>
    <w:rsid w:val="007B32D4"/>
    <w:rsid w:val="007B3305"/>
    <w:rsid w:val="007B3310"/>
    <w:rsid w:val="007B3330"/>
    <w:rsid w:val="007B33C5"/>
    <w:rsid w:val="007B34B8"/>
    <w:rsid w:val="007B354C"/>
    <w:rsid w:val="007B35A2"/>
    <w:rsid w:val="007B3605"/>
    <w:rsid w:val="007B360A"/>
    <w:rsid w:val="007B361A"/>
    <w:rsid w:val="007B3645"/>
    <w:rsid w:val="007B3650"/>
    <w:rsid w:val="007B3659"/>
    <w:rsid w:val="007B3696"/>
    <w:rsid w:val="007B372E"/>
    <w:rsid w:val="007B3764"/>
    <w:rsid w:val="007B377A"/>
    <w:rsid w:val="007B37DD"/>
    <w:rsid w:val="007B3827"/>
    <w:rsid w:val="007B3837"/>
    <w:rsid w:val="007B3849"/>
    <w:rsid w:val="007B390F"/>
    <w:rsid w:val="007B3913"/>
    <w:rsid w:val="007B3932"/>
    <w:rsid w:val="007B39B0"/>
    <w:rsid w:val="007B3A1E"/>
    <w:rsid w:val="007B3A2B"/>
    <w:rsid w:val="007B3A5C"/>
    <w:rsid w:val="007B3ACE"/>
    <w:rsid w:val="007B3B77"/>
    <w:rsid w:val="007B3C3F"/>
    <w:rsid w:val="007B3C51"/>
    <w:rsid w:val="007B3C6A"/>
    <w:rsid w:val="007B3CB2"/>
    <w:rsid w:val="007B3CC7"/>
    <w:rsid w:val="007B3CE5"/>
    <w:rsid w:val="007B3D42"/>
    <w:rsid w:val="007B3D97"/>
    <w:rsid w:val="007B3D9A"/>
    <w:rsid w:val="007B3DAB"/>
    <w:rsid w:val="007B3DC2"/>
    <w:rsid w:val="007B3DCE"/>
    <w:rsid w:val="007B3DF5"/>
    <w:rsid w:val="007B3E18"/>
    <w:rsid w:val="007B3EAD"/>
    <w:rsid w:val="007B3EEA"/>
    <w:rsid w:val="007B3F59"/>
    <w:rsid w:val="007B3F5E"/>
    <w:rsid w:val="007B3F7B"/>
    <w:rsid w:val="007B3FBA"/>
    <w:rsid w:val="007B3FD7"/>
    <w:rsid w:val="007B40BD"/>
    <w:rsid w:val="007B40E0"/>
    <w:rsid w:val="007B40F0"/>
    <w:rsid w:val="007B4114"/>
    <w:rsid w:val="007B41BB"/>
    <w:rsid w:val="007B41ED"/>
    <w:rsid w:val="007B41F9"/>
    <w:rsid w:val="007B4281"/>
    <w:rsid w:val="007B428A"/>
    <w:rsid w:val="007B42DB"/>
    <w:rsid w:val="007B42F2"/>
    <w:rsid w:val="007B4326"/>
    <w:rsid w:val="007B4328"/>
    <w:rsid w:val="007B4379"/>
    <w:rsid w:val="007B449D"/>
    <w:rsid w:val="007B44B2"/>
    <w:rsid w:val="007B44B6"/>
    <w:rsid w:val="007B44C2"/>
    <w:rsid w:val="007B44DC"/>
    <w:rsid w:val="007B44ED"/>
    <w:rsid w:val="007B4589"/>
    <w:rsid w:val="007B45C6"/>
    <w:rsid w:val="007B45E1"/>
    <w:rsid w:val="007B4638"/>
    <w:rsid w:val="007B4643"/>
    <w:rsid w:val="007B4646"/>
    <w:rsid w:val="007B46DE"/>
    <w:rsid w:val="007B4758"/>
    <w:rsid w:val="007B47FB"/>
    <w:rsid w:val="007B47FF"/>
    <w:rsid w:val="007B4884"/>
    <w:rsid w:val="007B48E2"/>
    <w:rsid w:val="007B4971"/>
    <w:rsid w:val="007B498B"/>
    <w:rsid w:val="007B49A7"/>
    <w:rsid w:val="007B4A12"/>
    <w:rsid w:val="007B4A1E"/>
    <w:rsid w:val="007B4A6A"/>
    <w:rsid w:val="007B4A78"/>
    <w:rsid w:val="007B4AC4"/>
    <w:rsid w:val="007B4B73"/>
    <w:rsid w:val="007B4BBF"/>
    <w:rsid w:val="007B4BF1"/>
    <w:rsid w:val="007B4C11"/>
    <w:rsid w:val="007B4C13"/>
    <w:rsid w:val="007B4C6C"/>
    <w:rsid w:val="007B4CD6"/>
    <w:rsid w:val="007B4D6C"/>
    <w:rsid w:val="007B4D8C"/>
    <w:rsid w:val="007B4D92"/>
    <w:rsid w:val="007B4DE9"/>
    <w:rsid w:val="007B4E14"/>
    <w:rsid w:val="007B4E91"/>
    <w:rsid w:val="007B4EDF"/>
    <w:rsid w:val="007B4EF1"/>
    <w:rsid w:val="007B4F0F"/>
    <w:rsid w:val="007B4F3F"/>
    <w:rsid w:val="007B4F4F"/>
    <w:rsid w:val="007B4FC8"/>
    <w:rsid w:val="007B501B"/>
    <w:rsid w:val="007B5023"/>
    <w:rsid w:val="007B505C"/>
    <w:rsid w:val="007B509C"/>
    <w:rsid w:val="007B50D3"/>
    <w:rsid w:val="007B50D6"/>
    <w:rsid w:val="007B5108"/>
    <w:rsid w:val="007B512A"/>
    <w:rsid w:val="007B5139"/>
    <w:rsid w:val="007B513E"/>
    <w:rsid w:val="007B516E"/>
    <w:rsid w:val="007B5199"/>
    <w:rsid w:val="007B51B1"/>
    <w:rsid w:val="007B5202"/>
    <w:rsid w:val="007B5231"/>
    <w:rsid w:val="007B5252"/>
    <w:rsid w:val="007B533A"/>
    <w:rsid w:val="007B5341"/>
    <w:rsid w:val="007B5360"/>
    <w:rsid w:val="007B5369"/>
    <w:rsid w:val="007B53AF"/>
    <w:rsid w:val="007B543C"/>
    <w:rsid w:val="007B544E"/>
    <w:rsid w:val="007B5490"/>
    <w:rsid w:val="007B549A"/>
    <w:rsid w:val="007B5505"/>
    <w:rsid w:val="007B5518"/>
    <w:rsid w:val="007B55F3"/>
    <w:rsid w:val="007B5602"/>
    <w:rsid w:val="007B56EA"/>
    <w:rsid w:val="007B572B"/>
    <w:rsid w:val="007B57C8"/>
    <w:rsid w:val="007B57FB"/>
    <w:rsid w:val="007B58E8"/>
    <w:rsid w:val="007B591A"/>
    <w:rsid w:val="007B5925"/>
    <w:rsid w:val="007B594B"/>
    <w:rsid w:val="007B595E"/>
    <w:rsid w:val="007B59AB"/>
    <w:rsid w:val="007B59CF"/>
    <w:rsid w:val="007B59EF"/>
    <w:rsid w:val="007B5A5F"/>
    <w:rsid w:val="007B5A65"/>
    <w:rsid w:val="007B5A9F"/>
    <w:rsid w:val="007B5B38"/>
    <w:rsid w:val="007B5B44"/>
    <w:rsid w:val="007B5B4E"/>
    <w:rsid w:val="007B5B81"/>
    <w:rsid w:val="007B5BC0"/>
    <w:rsid w:val="007B5C00"/>
    <w:rsid w:val="007B5C16"/>
    <w:rsid w:val="007B5C7B"/>
    <w:rsid w:val="007B5C7E"/>
    <w:rsid w:val="007B5C80"/>
    <w:rsid w:val="007B5C9D"/>
    <w:rsid w:val="007B5CF5"/>
    <w:rsid w:val="007B5D05"/>
    <w:rsid w:val="007B5D16"/>
    <w:rsid w:val="007B5D1C"/>
    <w:rsid w:val="007B5D1E"/>
    <w:rsid w:val="007B5DB4"/>
    <w:rsid w:val="007B5DB8"/>
    <w:rsid w:val="007B5DC3"/>
    <w:rsid w:val="007B5DE3"/>
    <w:rsid w:val="007B5DEB"/>
    <w:rsid w:val="007B5E37"/>
    <w:rsid w:val="007B5E99"/>
    <w:rsid w:val="007B5EE4"/>
    <w:rsid w:val="007B5EE9"/>
    <w:rsid w:val="007B5EF8"/>
    <w:rsid w:val="007B5F2B"/>
    <w:rsid w:val="007B5F37"/>
    <w:rsid w:val="007B5F59"/>
    <w:rsid w:val="007B5F79"/>
    <w:rsid w:val="007B5F82"/>
    <w:rsid w:val="007B5FCA"/>
    <w:rsid w:val="007B5FF6"/>
    <w:rsid w:val="007B601B"/>
    <w:rsid w:val="007B6034"/>
    <w:rsid w:val="007B604D"/>
    <w:rsid w:val="007B6070"/>
    <w:rsid w:val="007B609B"/>
    <w:rsid w:val="007B6161"/>
    <w:rsid w:val="007B617C"/>
    <w:rsid w:val="007B6180"/>
    <w:rsid w:val="007B61A9"/>
    <w:rsid w:val="007B61BA"/>
    <w:rsid w:val="007B61CD"/>
    <w:rsid w:val="007B61FC"/>
    <w:rsid w:val="007B6244"/>
    <w:rsid w:val="007B6273"/>
    <w:rsid w:val="007B62B9"/>
    <w:rsid w:val="007B62C7"/>
    <w:rsid w:val="007B6315"/>
    <w:rsid w:val="007B6320"/>
    <w:rsid w:val="007B633D"/>
    <w:rsid w:val="007B63FC"/>
    <w:rsid w:val="007B6455"/>
    <w:rsid w:val="007B648C"/>
    <w:rsid w:val="007B64A6"/>
    <w:rsid w:val="007B64B1"/>
    <w:rsid w:val="007B651A"/>
    <w:rsid w:val="007B652F"/>
    <w:rsid w:val="007B655B"/>
    <w:rsid w:val="007B6576"/>
    <w:rsid w:val="007B65B3"/>
    <w:rsid w:val="007B6636"/>
    <w:rsid w:val="007B6644"/>
    <w:rsid w:val="007B6672"/>
    <w:rsid w:val="007B6681"/>
    <w:rsid w:val="007B6698"/>
    <w:rsid w:val="007B66B6"/>
    <w:rsid w:val="007B66D1"/>
    <w:rsid w:val="007B6717"/>
    <w:rsid w:val="007B67D2"/>
    <w:rsid w:val="007B6810"/>
    <w:rsid w:val="007B6825"/>
    <w:rsid w:val="007B6872"/>
    <w:rsid w:val="007B6893"/>
    <w:rsid w:val="007B68AC"/>
    <w:rsid w:val="007B68D8"/>
    <w:rsid w:val="007B6977"/>
    <w:rsid w:val="007B698F"/>
    <w:rsid w:val="007B69BC"/>
    <w:rsid w:val="007B69BE"/>
    <w:rsid w:val="007B69EF"/>
    <w:rsid w:val="007B69F2"/>
    <w:rsid w:val="007B6A02"/>
    <w:rsid w:val="007B6A4B"/>
    <w:rsid w:val="007B6A56"/>
    <w:rsid w:val="007B6A62"/>
    <w:rsid w:val="007B6B11"/>
    <w:rsid w:val="007B6B6F"/>
    <w:rsid w:val="007B6C49"/>
    <w:rsid w:val="007B6C8A"/>
    <w:rsid w:val="007B6CA5"/>
    <w:rsid w:val="007B6CC8"/>
    <w:rsid w:val="007B6CD6"/>
    <w:rsid w:val="007B6CDF"/>
    <w:rsid w:val="007B6D3F"/>
    <w:rsid w:val="007B6D45"/>
    <w:rsid w:val="007B6DA3"/>
    <w:rsid w:val="007B6DB1"/>
    <w:rsid w:val="007B6DB5"/>
    <w:rsid w:val="007B6E55"/>
    <w:rsid w:val="007B6E64"/>
    <w:rsid w:val="007B6E6C"/>
    <w:rsid w:val="007B6EB4"/>
    <w:rsid w:val="007B6F1B"/>
    <w:rsid w:val="007B6F2F"/>
    <w:rsid w:val="007B6F40"/>
    <w:rsid w:val="007B6F58"/>
    <w:rsid w:val="007B6F5F"/>
    <w:rsid w:val="007B6FBD"/>
    <w:rsid w:val="007B7041"/>
    <w:rsid w:val="007B7053"/>
    <w:rsid w:val="007B707A"/>
    <w:rsid w:val="007B716B"/>
    <w:rsid w:val="007B7175"/>
    <w:rsid w:val="007B7184"/>
    <w:rsid w:val="007B7237"/>
    <w:rsid w:val="007B7288"/>
    <w:rsid w:val="007B7292"/>
    <w:rsid w:val="007B7293"/>
    <w:rsid w:val="007B734A"/>
    <w:rsid w:val="007B735D"/>
    <w:rsid w:val="007B737C"/>
    <w:rsid w:val="007B738B"/>
    <w:rsid w:val="007B7393"/>
    <w:rsid w:val="007B747B"/>
    <w:rsid w:val="007B74AB"/>
    <w:rsid w:val="007B74BA"/>
    <w:rsid w:val="007B74C7"/>
    <w:rsid w:val="007B74C9"/>
    <w:rsid w:val="007B756B"/>
    <w:rsid w:val="007B75A4"/>
    <w:rsid w:val="007B7636"/>
    <w:rsid w:val="007B76A7"/>
    <w:rsid w:val="007B76AB"/>
    <w:rsid w:val="007B76D1"/>
    <w:rsid w:val="007B76E1"/>
    <w:rsid w:val="007B772F"/>
    <w:rsid w:val="007B773A"/>
    <w:rsid w:val="007B7821"/>
    <w:rsid w:val="007B7864"/>
    <w:rsid w:val="007B78D7"/>
    <w:rsid w:val="007B796F"/>
    <w:rsid w:val="007B7A28"/>
    <w:rsid w:val="007B7AD3"/>
    <w:rsid w:val="007B7B3A"/>
    <w:rsid w:val="007B7B4A"/>
    <w:rsid w:val="007B7C52"/>
    <w:rsid w:val="007B7C64"/>
    <w:rsid w:val="007B7C7C"/>
    <w:rsid w:val="007B7C8D"/>
    <w:rsid w:val="007B7CA1"/>
    <w:rsid w:val="007B7CC8"/>
    <w:rsid w:val="007B7CFA"/>
    <w:rsid w:val="007B7D12"/>
    <w:rsid w:val="007B7D16"/>
    <w:rsid w:val="007B7D35"/>
    <w:rsid w:val="007B7D3F"/>
    <w:rsid w:val="007B7D79"/>
    <w:rsid w:val="007B7DAE"/>
    <w:rsid w:val="007B7DF5"/>
    <w:rsid w:val="007B7E64"/>
    <w:rsid w:val="007B7E68"/>
    <w:rsid w:val="007B7E7C"/>
    <w:rsid w:val="007B7EA3"/>
    <w:rsid w:val="007B7EB0"/>
    <w:rsid w:val="007B7F1B"/>
    <w:rsid w:val="007B7F6B"/>
    <w:rsid w:val="007B7FA7"/>
    <w:rsid w:val="007B7FB1"/>
    <w:rsid w:val="007B7FCD"/>
    <w:rsid w:val="007C0005"/>
    <w:rsid w:val="007C0062"/>
    <w:rsid w:val="007C0097"/>
    <w:rsid w:val="007C00E0"/>
    <w:rsid w:val="007C017E"/>
    <w:rsid w:val="007C017F"/>
    <w:rsid w:val="007C0199"/>
    <w:rsid w:val="007C019C"/>
    <w:rsid w:val="007C01A6"/>
    <w:rsid w:val="007C01B1"/>
    <w:rsid w:val="007C025C"/>
    <w:rsid w:val="007C026C"/>
    <w:rsid w:val="007C02B9"/>
    <w:rsid w:val="007C030E"/>
    <w:rsid w:val="007C03E4"/>
    <w:rsid w:val="007C03E6"/>
    <w:rsid w:val="007C0413"/>
    <w:rsid w:val="007C042C"/>
    <w:rsid w:val="007C043E"/>
    <w:rsid w:val="007C046F"/>
    <w:rsid w:val="007C0482"/>
    <w:rsid w:val="007C0497"/>
    <w:rsid w:val="007C04EB"/>
    <w:rsid w:val="007C0509"/>
    <w:rsid w:val="007C0511"/>
    <w:rsid w:val="007C0518"/>
    <w:rsid w:val="007C0557"/>
    <w:rsid w:val="007C056A"/>
    <w:rsid w:val="007C05BB"/>
    <w:rsid w:val="007C05D6"/>
    <w:rsid w:val="007C0601"/>
    <w:rsid w:val="007C062C"/>
    <w:rsid w:val="007C06BD"/>
    <w:rsid w:val="007C0753"/>
    <w:rsid w:val="007C0773"/>
    <w:rsid w:val="007C0782"/>
    <w:rsid w:val="007C079D"/>
    <w:rsid w:val="007C07C9"/>
    <w:rsid w:val="007C07CE"/>
    <w:rsid w:val="007C07DE"/>
    <w:rsid w:val="007C07E2"/>
    <w:rsid w:val="007C07E5"/>
    <w:rsid w:val="007C0807"/>
    <w:rsid w:val="007C083D"/>
    <w:rsid w:val="007C084A"/>
    <w:rsid w:val="007C087E"/>
    <w:rsid w:val="007C08F1"/>
    <w:rsid w:val="007C0913"/>
    <w:rsid w:val="007C09AA"/>
    <w:rsid w:val="007C09EB"/>
    <w:rsid w:val="007C0A08"/>
    <w:rsid w:val="007C0AB4"/>
    <w:rsid w:val="007C0B0E"/>
    <w:rsid w:val="007C0B5C"/>
    <w:rsid w:val="007C0B90"/>
    <w:rsid w:val="007C0BA0"/>
    <w:rsid w:val="007C0C10"/>
    <w:rsid w:val="007C0C4B"/>
    <w:rsid w:val="007C0CF3"/>
    <w:rsid w:val="007C0D23"/>
    <w:rsid w:val="007C0D2C"/>
    <w:rsid w:val="007C0D36"/>
    <w:rsid w:val="007C0D9E"/>
    <w:rsid w:val="007C0DDE"/>
    <w:rsid w:val="007C0E28"/>
    <w:rsid w:val="007C0E3F"/>
    <w:rsid w:val="007C0E5F"/>
    <w:rsid w:val="007C0E6B"/>
    <w:rsid w:val="007C0EED"/>
    <w:rsid w:val="007C0F18"/>
    <w:rsid w:val="007C0F53"/>
    <w:rsid w:val="007C0F54"/>
    <w:rsid w:val="007C0FC8"/>
    <w:rsid w:val="007C0FCA"/>
    <w:rsid w:val="007C1047"/>
    <w:rsid w:val="007C1055"/>
    <w:rsid w:val="007C10B1"/>
    <w:rsid w:val="007C10BD"/>
    <w:rsid w:val="007C111E"/>
    <w:rsid w:val="007C1149"/>
    <w:rsid w:val="007C11EC"/>
    <w:rsid w:val="007C125F"/>
    <w:rsid w:val="007C126B"/>
    <w:rsid w:val="007C1276"/>
    <w:rsid w:val="007C12EE"/>
    <w:rsid w:val="007C12FD"/>
    <w:rsid w:val="007C136C"/>
    <w:rsid w:val="007C1379"/>
    <w:rsid w:val="007C1392"/>
    <w:rsid w:val="007C139A"/>
    <w:rsid w:val="007C13E8"/>
    <w:rsid w:val="007C13EB"/>
    <w:rsid w:val="007C1477"/>
    <w:rsid w:val="007C147F"/>
    <w:rsid w:val="007C1480"/>
    <w:rsid w:val="007C14B6"/>
    <w:rsid w:val="007C1515"/>
    <w:rsid w:val="007C1534"/>
    <w:rsid w:val="007C1564"/>
    <w:rsid w:val="007C15D6"/>
    <w:rsid w:val="007C1608"/>
    <w:rsid w:val="007C160C"/>
    <w:rsid w:val="007C1640"/>
    <w:rsid w:val="007C1646"/>
    <w:rsid w:val="007C16F5"/>
    <w:rsid w:val="007C16FB"/>
    <w:rsid w:val="007C1702"/>
    <w:rsid w:val="007C174C"/>
    <w:rsid w:val="007C1756"/>
    <w:rsid w:val="007C1762"/>
    <w:rsid w:val="007C1765"/>
    <w:rsid w:val="007C180F"/>
    <w:rsid w:val="007C183D"/>
    <w:rsid w:val="007C1855"/>
    <w:rsid w:val="007C18AF"/>
    <w:rsid w:val="007C18BB"/>
    <w:rsid w:val="007C18D0"/>
    <w:rsid w:val="007C18E7"/>
    <w:rsid w:val="007C18F4"/>
    <w:rsid w:val="007C18FD"/>
    <w:rsid w:val="007C1904"/>
    <w:rsid w:val="007C195F"/>
    <w:rsid w:val="007C1980"/>
    <w:rsid w:val="007C19D0"/>
    <w:rsid w:val="007C19D3"/>
    <w:rsid w:val="007C1A18"/>
    <w:rsid w:val="007C1A50"/>
    <w:rsid w:val="007C1A6E"/>
    <w:rsid w:val="007C1A83"/>
    <w:rsid w:val="007C1AE6"/>
    <w:rsid w:val="007C1B54"/>
    <w:rsid w:val="007C1B73"/>
    <w:rsid w:val="007C1B8C"/>
    <w:rsid w:val="007C1BB2"/>
    <w:rsid w:val="007C1C4F"/>
    <w:rsid w:val="007C1C5C"/>
    <w:rsid w:val="007C1CC5"/>
    <w:rsid w:val="007C1CF6"/>
    <w:rsid w:val="007C1D2B"/>
    <w:rsid w:val="007C1D97"/>
    <w:rsid w:val="007C1E1F"/>
    <w:rsid w:val="007C1E73"/>
    <w:rsid w:val="007C1EDC"/>
    <w:rsid w:val="007C1F8B"/>
    <w:rsid w:val="007C1F95"/>
    <w:rsid w:val="007C1FCA"/>
    <w:rsid w:val="007C1FD9"/>
    <w:rsid w:val="007C2016"/>
    <w:rsid w:val="007C2017"/>
    <w:rsid w:val="007C204D"/>
    <w:rsid w:val="007C20CC"/>
    <w:rsid w:val="007C2147"/>
    <w:rsid w:val="007C2173"/>
    <w:rsid w:val="007C21C2"/>
    <w:rsid w:val="007C21FA"/>
    <w:rsid w:val="007C2248"/>
    <w:rsid w:val="007C2250"/>
    <w:rsid w:val="007C22FD"/>
    <w:rsid w:val="007C23E1"/>
    <w:rsid w:val="007C2402"/>
    <w:rsid w:val="007C2480"/>
    <w:rsid w:val="007C24D0"/>
    <w:rsid w:val="007C24EB"/>
    <w:rsid w:val="007C24EC"/>
    <w:rsid w:val="007C2508"/>
    <w:rsid w:val="007C250A"/>
    <w:rsid w:val="007C2559"/>
    <w:rsid w:val="007C255E"/>
    <w:rsid w:val="007C25A8"/>
    <w:rsid w:val="007C25F0"/>
    <w:rsid w:val="007C2613"/>
    <w:rsid w:val="007C2616"/>
    <w:rsid w:val="007C2663"/>
    <w:rsid w:val="007C26A3"/>
    <w:rsid w:val="007C26A7"/>
    <w:rsid w:val="007C26A8"/>
    <w:rsid w:val="007C26B4"/>
    <w:rsid w:val="007C26D0"/>
    <w:rsid w:val="007C2711"/>
    <w:rsid w:val="007C272C"/>
    <w:rsid w:val="007C2743"/>
    <w:rsid w:val="007C2748"/>
    <w:rsid w:val="007C2766"/>
    <w:rsid w:val="007C278F"/>
    <w:rsid w:val="007C2793"/>
    <w:rsid w:val="007C27FA"/>
    <w:rsid w:val="007C2834"/>
    <w:rsid w:val="007C2841"/>
    <w:rsid w:val="007C2849"/>
    <w:rsid w:val="007C2864"/>
    <w:rsid w:val="007C28CA"/>
    <w:rsid w:val="007C28D9"/>
    <w:rsid w:val="007C28F3"/>
    <w:rsid w:val="007C298E"/>
    <w:rsid w:val="007C2A04"/>
    <w:rsid w:val="007C2A0F"/>
    <w:rsid w:val="007C2A1C"/>
    <w:rsid w:val="007C2A39"/>
    <w:rsid w:val="007C2B57"/>
    <w:rsid w:val="007C2B71"/>
    <w:rsid w:val="007C2BF3"/>
    <w:rsid w:val="007C2C4A"/>
    <w:rsid w:val="007C2C5A"/>
    <w:rsid w:val="007C2CC4"/>
    <w:rsid w:val="007C2D48"/>
    <w:rsid w:val="007C2D5D"/>
    <w:rsid w:val="007C2D89"/>
    <w:rsid w:val="007C2DB3"/>
    <w:rsid w:val="007C2E05"/>
    <w:rsid w:val="007C2E10"/>
    <w:rsid w:val="007C2E7E"/>
    <w:rsid w:val="007C2EC6"/>
    <w:rsid w:val="007C2ED7"/>
    <w:rsid w:val="007C2EDB"/>
    <w:rsid w:val="007C2EEB"/>
    <w:rsid w:val="007C2F41"/>
    <w:rsid w:val="007C2F9D"/>
    <w:rsid w:val="007C2FDC"/>
    <w:rsid w:val="007C3085"/>
    <w:rsid w:val="007C309E"/>
    <w:rsid w:val="007C30B0"/>
    <w:rsid w:val="007C30FD"/>
    <w:rsid w:val="007C3109"/>
    <w:rsid w:val="007C310D"/>
    <w:rsid w:val="007C3125"/>
    <w:rsid w:val="007C3126"/>
    <w:rsid w:val="007C3132"/>
    <w:rsid w:val="007C3173"/>
    <w:rsid w:val="007C31AD"/>
    <w:rsid w:val="007C31C5"/>
    <w:rsid w:val="007C31FB"/>
    <w:rsid w:val="007C3205"/>
    <w:rsid w:val="007C321B"/>
    <w:rsid w:val="007C3235"/>
    <w:rsid w:val="007C328C"/>
    <w:rsid w:val="007C32D6"/>
    <w:rsid w:val="007C32DF"/>
    <w:rsid w:val="007C3328"/>
    <w:rsid w:val="007C3353"/>
    <w:rsid w:val="007C3362"/>
    <w:rsid w:val="007C33D3"/>
    <w:rsid w:val="007C3452"/>
    <w:rsid w:val="007C3457"/>
    <w:rsid w:val="007C3490"/>
    <w:rsid w:val="007C34D8"/>
    <w:rsid w:val="007C3517"/>
    <w:rsid w:val="007C351F"/>
    <w:rsid w:val="007C3524"/>
    <w:rsid w:val="007C3559"/>
    <w:rsid w:val="007C35A0"/>
    <w:rsid w:val="007C35E2"/>
    <w:rsid w:val="007C35F3"/>
    <w:rsid w:val="007C3614"/>
    <w:rsid w:val="007C3618"/>
    <w:rsid w:val="007C3655"/>
    <w:rsid w:val="007C365E"/>
    <w:rsid w:val="007C3666"/>
    <w:rsid w:val="007C36CA"/>
    <w:rsid w:val="007C36F5"/>
    <w:rsid w:val="007C3715"/>
    <w:rsid w:val="007C3755"/>
    <w:rsid w:val="007C3762"/>
    <w:rsid w:val="007C3773"/>
    <w:rsid w:val="007C378D"/>
    <w:rsid w:val="007C379D"/>
    <w:rsid w:val="007C37B7"/>
    <w:rsid w:val="007C37BE"/>
    <w:rsid w:val="007C37D2"/>
    <w:rsid w:val="007C380E"/>
    <w:rsid w:val="007C3812"/>
    <w:rsid w:val="007C3840"/>
    <w:rsid w:val="007C388B"/>
    <w:rsid w:val="007C399B"/>
    <w:rsid w:val="007C39DA"/>
    <w:rsid w:val="007C3A2F"/>
    <w:rsid w:val="007C3A3A"/>
    <w:rsid w:val="007C3A3D"/>
    <w:rsid w:val="007C3A58"/>
    <w:rsid w:val="007C3A86"/>
    <w:rsid w:val="007C3AEF"/>
    <w:rsid w:val="007C3B0F"/>
    <w:rsid w:val="007C3B24"/>
    <w:rsid w:val="007C3BB4"/>
    <w:rsid w:val="007C3BE9"/>
    <w:rsid w:val="007C3C36"/>
    <w:rsid w:val="007C3C3F"/>
    <w:rsid w:val="007C3C6D"/>
    <w:rsid w:val="007C3C6E"/>
    <w:rsid w:val="007C3CA8"/>
    <w:rsid w:val="007C3CAA"/>
    <w:rsid w:val="007C3CCA"/>
    <w:rsid w:val="007C3DBC"/>
    <w:rsid w:val="007C3DD4"/>
    <w:rsid w:val="007C3DD8"/>
    <w:rsid w:val="007C3DDF"/>
    <w:rsid w:val="007C3DED"/>
    <w:rsid w:val="007C3E56"/>
    <w:rsid w:val="007C3E71"/>
    <w:rsid w:val="007C3E78"/>
    <w:rsid w:val="007C3E9F"/>
    <w:rsid w:val="007C3EB3"/>
    <w:rsid w:val="007C3EE7"/>
    <w:rsid w:val="007C3F3E"/>
    <w:rsid w:val="007C3F9C"/>
    <w:rsid w:val="007C3FAC"/>
    <w:rsid w:val="007C4028"/>
    <w:rsid w:val="007C409B"/>
    <w:rsid w:val="007C40A0"/>
    <w:rsid w:val="007C40B0"/>
    <w:rsid w:val="007C40C5"/>
    <w:rsid w:val="007C40E1"/>
    <w:rsid w:val="007C40F9"/>
    <w:rsid w:val="007C4101"/>
    <w:rsid w:val="007C411F"/>
    <w:rsid w:val="007C4177"/>
    <w:rsid w:val="007C41B0"/>
    <w:rsid w:val="007C41E9"/>
    <w:rsid w:val="007C421E"/>
    <w:rsid w:val="007C4262"/>
    <w:rsid w:val="007C4263"/>
    <w:rsid w:val="007C42B6"/>
    <w:rsid w:val="007C42C5"/>
    <w:rsid w:val="007C42E9"/>
    <w:rsid w:val="007C4333"/>
    <w:rsid w:val="007C433D"/>
    <w:rsid w:val="007C438B"/>
    <w:rsid w:val="007C43C9"/>
    <w:rsid w:val="007C4464"/>
    <w:rsid w:val="007C4489"/>
    <w:rsid w:val="007C449D"/>
    <w:rsid w:val="007C44FC"/>
    <w:rsid w:val="007C453F"/>
    <w:rsid w:val="007C4544"/>
    <w:rsid w:val="007C45F4"/>
    <w:rsid w:val="007C4664"/>
    <w:rsid w:val="007C470B"/>
    <w:rsid w:val="007C4740"/>
    <w:rsid w:val="007C4785"/>
    <w:rsid w:val="007C47E1"/>
    <w:rsid w:val="007C47ED"/>
    <w:rsid w:val="007C4829"/>
    <w:rsid w:val="007C482A"/>
    <w:rsid w:val="007C482F"/>
    <w:rsid w:val="007C483D"/>
    <w:rsid w:val="007C4862"/>
    <w:rsid w:val="007C48DF"/>
    <w:rsid w:val="007C4942"/>
    <w:rsid w:val="007C4980"/>
    <w:rsid w:val="007C4985"/>
    <w:rsid w:val="007C4986"/>
    <w:rsid w:val="007C49FA"/>
    <w:rsid w:val="007C4A1B"/>
    <w:rsid w:val="007C4A3A"/>
    <w:rsid w:val="007C4A60"/>
    <w:rsid w:val="007C4AA4"/>
    <w:rsid w:val="007C4ADB"/>
    <w:rsid w:val="007C4AE8"/>
    <w:rsid w:val="007C4B3D"/>
    <w:rsid w:val="007C4B57"/>
    <w:rsid w:val="007C4BA3"/>
    <w:rsid w:val="007C4C3F"/>
    <w:rsid w:val="007C4C47"/>
    <w:rsid w:val="007C4CE1"/>
    <w:rsid w:val="007C4CEA"/>
    <w:rsid w:val="007C4D11"/>
    <w:rsid w:val="007C4DBE"/>
    <w:rsid w:val="007C4E02"/>
    <w:rsid w:val="007C4E03"/>
    <w:rsid w:val="007C4E37"/>
    <w:rsid w:val="007C4E44"/>
    <w:rsid w:val="007C4E65"/>
    <w:rsid w:val="007C4EA7"/>
    <w:rsid w:val="007C4EEC"/>
    <w:rsid w:val="007C4F6E"/>
    <w:rsid w:val="007C4F73"/>
    <w:rsid w:val="007C4FE1"/>
    <w:rsid w:val="007C4FE7"/>
    <w:rsid w:val="007C5065"/>
    <w:rsid w:val="007C5073"/>
    <w:rsid w:val="007C5088"/>
    <w:rsid w:val="007C5095"/>
    <w:rsid w:val="007C50D5"/>
    <w:rsid w:val="007C50E2"/>
    <w:rsid w:val="007C5109"/>
    <w:rsid w:val="007C5137"/>
    <w:rsid w:val="007C5193"/>
    <w:rsid w:val="007C51A4"/>
    <w:rsid w:val="007C51B1"/>
    <w:rsid w:val="007C5200"/>
    <w:rsid w:val="007C5261"/>
    <w:rsid w:val="007C5273"/>
    <w:rsid w:val="007C52A1"/>
    <w:rsid w:val="007C536B"/>
    <w:rsid w:val="007C5450"/>
    <w:rsid w:val="007C5495"/>
    <w:rsid w:val="007C54CF"/>
    <w:rsid w:val="007C554E"/>
    <w:rsid w:val="007C557D"/>
    <w:rsid w:val="007C5683"/>
    <w:rsid w:val="007C5687"/>
    <w:rsid w:val="007C56A9"/>
    <w:rsid w:val="007C56EA"/>
    <w:rsid w:val="007C5731"/>
    <w:rsid w:val="007C5820"/>
    <w:rsid w:val="007C5885"/>
    <w:rsid w:val="007C591A"/>
    <w:rsid w:val="007C591B"/>
    <w:rsid w:val="007C5A2C"/>
    <w:rsid w:val="007C5A7E"/>
    <w:rsid w:val="007C5AC2"/>
    <w:rsid w:val="007C5AC4"/>
    <w:rsid w:val="007C5AC8"/>
    <w:rsid w:val="007C5AEB"/>
    <w:rsid w:val="007C5B0B"/>
    <w:rsid w:val="007C5B80"/>
    <w:rsid w:val="007C5BA7"/>
    <w:rsid w:val="007C5C11"/>
    <w:rsid w:val="007C5C18"/>
    <w:rsid w:val="007C5C1C"/>
    <w:rsid w:val="007C5C79"/>
    <w:rsid w:val="007C5C7B"/>
    <w:rsid w:val="007C5C9B"/>
    <w:rsid w:val="007C5CC4"/>
    <w:rsid w:val="007C5CC6"/>
    <w:rsid w:val="007C5CF1"/>
    <w:rsid w:val="007C5D34"/>
    <w:rsid w:val="007C5D6B"/>
    <w:rsid w:val="007C5D9D"/>
    <w:rsid w:val="007C5DA2"/>
    <w:rsid w:val="007C5DBC"/>
    <w:rsid w:val="007C5DDC"/>
    <w:rsid w:val="007C5DE1"/>
    <w:rsid w:val="007C5E18"/>
    <w:rsid w:val="007C5E1D"/>
    <w:rsid w:val="007C5E28"/>
    <w:rsid w:val="007C5ED2"/>
    <w:rsid w:val="007C5F22"/>
    <w:rsid w:val="007C5F53"/>
    <w:rsid w:val="007C5FCB"/>
    <w:rsid w:val="007C6054"/>
    <w:rsid w:val="007C6072"/>
    <w:rsid w:val="007C612E"/>
    <w:rsid w:val="007C6130"/>
    <w:rsid w:val="007C613A"/>
    <w:rsid w:val="007C6155"/>
    <w:rsid w:val="007C6170"/>
    <w:rsid w:val="007C6177"/>
    <w:rsid w:val="007C61A5"/>
    <w:rsid w:val="007C61FB"/>
    <w:rsid w:val="007C6270"/>
    <w:rsid w:val="007C6298"/>
    <w:rsid w:val="007C636E"/>
    <w:rsid w:val="007C63B7"/>
    <w:rsid w:val="007C63ED"/>
    <w:rsid w:val="007C640F"/>
    <w:rsid w:val="007C6413"/>
    <w:rsid w:val="007C6423"/>
    <w:rsid w:val="007C6450"/>
    <w:rsid w:val="007C6458"/>
    <w:rsid w:val="007C6477"/>
    <w:rsid w:val="007C64AC"/>
    <w:rsid w:val="007C64C2"/>
    <w:rsid w:val="007C64CD"/>
    <w:rsid w:val="007C64E3"/>
    <w:rsid w:val="007C6507"/>
    <w:rsid w:val="007C651D"/>
    <w:rsid w:val="007C65F8"/>
    <w:rsid w:val="007C6615"/>
    <w:rsid w:val="007C6664"/>
    <w:rsid w:val="007C6678"/>
    <w:rsid w:val="007C667F"/>
    <w:rsid w:val="007C66A3"/>
    <w:rsid w:val="007C66BF"/>
    <w:rsid w:val="007C6705"/>
    <w:rsid w:val="007C6724"/>
    <w:rsid w:val="007C673E"/>
    <w:rsid w:val="007C6764"/>
    <w:rsid w:val="007C678F"/>
    <w:rsid w:val="007C682A"/>
    <w:rsid w:val="007C6868"/>
    <w:rsid w:val="007C6872"/>
    <w:rsid w:val="007C68D1"/>
    <w:rsid w:val="007C68F1"/>
    <w:rsid w:val="007C6904"/>
    <w:rsid w:val="007C6961"/>
    <w:rsid w:val="007C6A27"/>
    <w:rsid w:val="007C6A74"/>
    <w:rsid w:val="007C6A7F"/>
    <w:rsid w:val="007C6A9B"/>
    <w:rsid w:val="007C6AC5"/>
    <w:rsid w:val="007C6B20"/>
    <w:rsid w:val="007C6B26"/>
    <w:rsid w:val="007C6B64"/>
    <w:rsid w:val="007C6B85"/>
    <w:rsid w:val="007C6BA2"/>
    <w:rsid w:val="007C6BAB"/>
    <w:rsid w:val="007C6C15"/>
    <w:rsid w:val="007C6C60"/>
    <w:rsid w:val="007C6C7B"/>
    <w:rsid w:val="007C6CBC"/>
    <w:rsid w:val="007C6CEF"/>
    <w:rsid w:val="007C6CFA"/>
    <w:rsid w:val="007C6CFE"/>
    <w:rsid w:val="007C6CFF"/>
    <w:rsid w:val="007C6D00"/>
    <w:rsid w:val="007C6E1C"/>
    <w:rsid w:val="007C6E24"/>
    <w:rsid w:val="007C6E89"/>
    <w:rsid w:val="007C6F36"/>
    <w:rsid w:val="007C6F38"/>
    <w:rsid w:val="007C6F3D"/>
    <w:rsid w:val="007C6F90"/>
    <w:rsid w:val="007C6FF3"/>
    <w:rsid w:val="007C7062"/>
    <w:rsid w:val="007C707D"/>
    <w:rsid w:val="007C70B0"/>
    <w:rsid w:val="007C7153"/>
    <w:rsid w:val="007C71BF"/>
    <w:rsid w:val="007C71C6"/>
    <w:rsid w:val="007C71D2"/>
    <w:rsid w:val="007C7221"/>
    <w:rsid w:val="007C722F"/>
    <w:rsid w:val="007C7233"/>
    <w:rsid w:val="007C7257"/>
    <w:rsid w:val="007C726D"/>
    <w:rsid w:val="007C726E"/>
    <w:rsid w:val="007C7290"/>
    <w:rsid w:val="007C72C8"/>
    <w:rsid w:val="007C72D5"/>
    <w:rsid w:val="007C7334"/>
    <w:rsid w:val="007C7341"/>
    <w:rsid w:val="007C7367"/>
    <w:rsid w:val="007C7389"/>
    <w:rsid w:val="007C73A1"/>
    <w:rsid w:val="007C73B0"/>
    <w:rsid w:val="007C73DC"/>
    <w:rsid w:val="007C73E9"/>
    <w:rsid w:val="007C7404"/>
    <w:rsid w:val="007C7434"/>
    <w:rsid w:val="007C74B7"/>
    <w:rsid w:val="007C751A"/>
    <w:rsid w:val="007C754F"/>
    <w:rsid w:val="007C7554"/>
    <w:rsid w:val="007C755B"/>
    <w:rsid w:val="007C7592"/>
    <w:rsid w:val="007C759D"/>
    <w:rsid w:val="007C75BF"/>
    <w:rsid w:val="007C75C0"/>
    <w:rsid w:val="007C7603"/>
    <w:rsid w:val="007C7613"/>
    <w:rsid w:val="007C7615"/>
    <w:rsid w:val="007C7664"/>
    <w:rsid w:val="007C7699"/>
    <w:rsid w:val="007C76AD"/>
    <w:rsid w:val="007C76BA"/>
    <w:rsid w:val="007C7748"/>
    <w:rsid w:val="007C774A"/>
    <w:rsid w:val="007C7756"/>
    <w:rsid w:val="007C7870"/>
    <w:rsid w:val="007C7872"/>
    <w:rsid w:val="007C787C"/>
    <w:rsid w:val="007C787E"/>
    <w:rsid w:val="007C78CB"/>
    <w:rsid w:val="007C78CC"/>
    <w:rsid w:val="007C78D5"/>
    <w:rsid w:val="007C792F"/>
    <w:rsid w:val="007C7959"/>
    <w:rsid w:val="007C7991"/>
    <w:rsid w:val="007C79CE"/>
    <w:rsid w:val="007C79D8"/>
    <w:rsid w:val="007C7A9E"/>
    <w:rsid w:val="007C7AA0"/>
    <w:rsid w:val="007C7ADA"/>
    <w:rsid w:val="007C7B09"/>
    <w:rsid w:val="007C7B24"/>
    <w:rsid w:val="007C7B50"/>
    <w:rsid w:val="007C7B94"/>
    <w:rsid w:val="007C7BBC"/>
    <w:rsid w:val="007C7BFA"/>
    <w:rsid w:val="007C7C26"/>
    <w:rsid w:val="007C7C58"/>
    <w:rsid w:val="007C7C6A"/>
    <w:rsid w:val="007C7C79"/>
    <w:rsid w:val="007C7C7B"/>
    <w:rsid w:val="007C7C9B"/>
    <w:rsid w:val="007C7CB9"/>
    <w:rsid w:val="007C7D32"/>
    <w:rsid w:val="007C7D6E"/>
    <w:rsid w:val="007C7D96"/>
    <w:rsid w:val="007C7DB1"/>
    <w:rsid w:val="007C7E11"/>
    <w:rsid w:val="007C7E4B"/>
    <w:rsid w:val="007C7E61"/>
    <w:rsid w:val="007C7E69"/>
    <w:rsid w:val="007C7E79"/>
    <w:rsid w:val="007C7E98"/>
    <w:rsid w:val="007C7EB7"/>
    <w:rsid w:val="007C7FC5"/>
    <w:rsid w:val="007D002D"/>
    <w:rsid w:val="007D004D"/>
    <w:rsid w:val="007D0087"/>
    <w:rsid w:val="007D00D6"/>
    <w:rsid w:val="007D0119"/>
    <w:rsid w:val="007D0135"/>
    <w:rsid w:val="007D01E7"/>
    <w:rsid w:val="007D020F"/>
    <w:rsid w:val="007D0231"/>
    <w:rsid w:val="007D024F"/>
    <w:rsid w:val="007D0251"/>
    <w:rsid w:val="007D025A"/>
    <w:rsid w:val="007D0292"/>
    <w:rsid w:val="007D02A6"/>
    <w:rsid w:val="007D02B5"/>
    <w:rsid w:val="007D02DB"/>
    <w:rsid w:val="007D02F7"/>
    <w:rsid w:val="007D03FE"/>
    <w:rsid w:val="007D0404"/>
    <w:rsid w:val="007D045E"/>
    <w:rsid w:val="007D0496"/>
    <w:rsid w:val="007D04EE"/>
    <w:rsid w:val="007D0509"/>
    <w:rsid w:val="007D0511"/>
    <w:rsid w:val="007D0565"/>
    <w:rsid w:val="007D0599"/>
    <w:rsid w:val="007D05BA"/>
    <w:rsid w:val="007D05BB"/>
    <w:rsid w:val="007D05D4"/>
    <w:rsid w:val="007D05D7"/>
    <w:rsid w:val="007D06AA"/>
    <w:rsid w:val="007D06DC"/>
    <w:rsid w:val="007D0733"/>
    <w:rsid w:val="007D075A"/>
    <w:rsid w:val="007D075D"/>
    <w:rsid w:val="007D0771"/>
    <w:rsid w:val="007D0790"/>
    <w:rsid w:val="007D07DC"/>
    <w:rsid w:val="007D07FE"/>
    <w:rsid w:val="007D081E"/>
    <w:rsid w:val="007D0829"/>
    <w:rsid w:val="007D083A"/>
    <w:rsid w:val="007D0872"/>
    <w:rsid w:val="007D087D"/>
    <w:rsid w:val="007D08EA"/>
    <w:rsid w:val="007D08FC"/>
    <w:rsid w:val="007D0915"/>
    <w:rsid w:val="007D092E"/>
    <w:rsid w:val="007D09D5"/>
    <w:rsid w:val="007D0A13"/>
    <w:rsid w:val="007D0A42"/>
    <w:rsid w:val="007D0A53"/>
    <w:rsid w:val="007D0A57"/>
    <w:rsid w:val="007D0A74"/>
    <w:rsid w:val="007D0AEB"/>
    <w:rsid w:val="007D0AF6"/>
    <w:rsid w:val="007D0B1D"/>
    <w:rsid w:val="007D0B38"/>
    <w:rsid w:val="007D0B67"/>
    <w:rsid w:val="007D0B6F"/>
    <w:rsid w:val="007D0B81"/>
    <w:rsid w:val="007D0BB2"/>
    <w:rsid w:val="007D0BF6"/>
    <w:rsid w:val="007D0C0D"/>
    <w:rsid w:val="007D0C6D"/>
    <w:rsid w:val="007D0CA4"/>
    <w:rsid w:val="007D0CA5"/>
    <w:rsid w:val="007D0D2C"/>
    <w:rsid w:val="007D0DED"/>
    <w:rsid w:val="007D0E39"/>
    <w:rsid w:val="007D0E66"/>
    <w:rsid w:val="007D0E7D"/>
    <w:rsid w:val="007D0E7E"/>
    <w:rsid w:val="007D0EB3"/>
    <w:rsid w:val="007D0EC0"/>
    <w:rsid w:val="007D0EDC"/>
    <w:rsid w:val="007D0F0C"/>
    <w:rsid w:val="007D0F29"/>
    <w:rsid w:val="007D0F39"/>
    <w:rsid w:val="007D0FC1"/>
    <w:rsid w:val="007D0FCF"/>
    <w:rsid w:val="007D0FDC"/>
    <w:rsid w:val="007D1067"/>
    <w:rsid w:val="007D111E"/>
    <w:rsid w:val="007D1150"/>
    <w:rsid w:val="007D11AB"/>
    <w:rsid w:val="007D11D1"/>
    <w:rsid w:val="007D11D2"/>
    <w:rsid w:val="007D11DA"/>
    <w:rsid w:val="007D121D"/>
    <w:rsid w:val="007D1223"/>
    <w:rsid w:val="007D1247"/>
    <w:rsid w:val="007D1267"/>
    <w:rsid w:val="007D12A2"/>
    <w:rsid w:val="007D12C1"/>
    <w:rsid w:val="007D130C"/>
    <w:rsid w:val="007D1315"/>
    <w:rsid w:val="007D136C"/>
    <w:rsid w:val="007D13EA"/>
    <w:rsid w:val="007D13FA"/>
    <w:rsid w:val="007D1419"/>
    <w:rsid w:val="007D1457"/>
    <w:rsid w:val="007D1459"/>
    <w:rsid w:val="007D147D"/>
    <w:rsid w:val="007D1634"/>
    <w:rsid w:val="007D163A"/>
    <w:rsid w:val="007D1656"/>
    <w:rsid w:val="007D167D"/>
    <w:rsid w:val="007D16FB"/>
    <w:rsid w:val="007D1755"/>
    <w:rsid w:val="007D17A7"/>
    <w:rsid w:val="007D183E"/>
    <w:rsid w:val="007D187E"/>
    <w:rsid w:val="007D1926"/>
    <w:rsid w:val="007D1964"/>
    <w:rsid w:val="007D197C"/>
    <w:rsid w:val="007D1989"/>
    <w:rsid w:val="007D19EC"/>
    <w:rsid w:val="007D19F0"/>
    <w:rsid w:val="007D1A4B"/>
    <w:rsid w:val="007D1A84"/>
    <w:rsid w:val="007D1A95"/>
    <w:rsid w:val="007D1A9D"/>
    <w:rsid w:val="007D1B2A"/>
    <w:rsid w:val="007D1B80"/>
    <w:rsid w:val="007D1BBB"/>
    <w:rsid w:val="007D1BE0"/>
    <w:rsid w:val="007D1BF6"/>
    <w:rsid w:val="007D1C12"/>
    <w:rsid w:val="007D1C3A"/>
    <w:rsid w:val="007D1C85"/>
    <w:rsid w:val="007D1C8D"/>
    <w:rsid w:val="007D1C9F"/>
    <w:rsid w:val="007D1CA1"/>
    <w:rsid w:val="007D1CAD"/>
    <w:rsid w:val="007D1CB9"/>
    <w:rsid w:val="007D1CD6"/>
    <w:rsid w:val="007D1D81"/>
    <w:rsid w:val="007D1DEF"/>
    <w:rsid w:val="007D1E2B"/>
    <w:rsid w:val="007D1E57"/>
    <w:rsid w:val="007D1E68"/>
    <w:rsid w:val="007D1E7E"/>
    <w:rsid w:val="007D1E92"/>
    <w:rsid w:val="007D1E9F"/>
    <w:rsid w:val="007D1EA4"/>
    <w:rsid w:val="007D1F04"/>
    <w:rsid w:val="007D1F06"/>
    <w:rsid w:val="007D200A"/>
    <w:rsid w:val="007D2041"/>
    <w:rsid w:val="007D2059"/>
    <w:rsid w:val="007D2092"/>
    <w:rsid w:val="007D20BF"/>
    <w:rsid w:val="007D20CE"/>
    <w:rsid w:val="007D20D8"/>
    <w:rsid w:val="007D20EA"/>
    <w:rsid w:val="007D20F3"/>
    <w:rsid w:val="007D2172"/>
    <w:rsid w:val="007D223F"/>
    <w:rsid w:val="007D2298"/>
    <w:rsid w:val="007D229B"/>
    <w:rsid w:val="007D22A0"/>
    <w:rsid w:val="007D22A3"/>
    <w:rsid w:val="007D22CC"/>
    <w:rsid w:val="007D22EB"/>
    <w:rsid w:val="007D237C"/>
    <w:rsid w:val="007D239E"/>
    <w:rsid w:val="007D23ED"/>
    <w:rsid w:val="007D23FE"/>
    <w:rsid w:val="007D2430"/>
    <w:rsid w:val="007D243C"/>
    <w:rsid w:val="007D243F"/>
    <w:rsid w:val="007D2454"/>
    <w:rsid w:val="007D246E"/>
    <w:rsid w:val="007D2474"/>
    <w:rsid w:val="007D24C7"/>
    <w:rsid w:val="007D24F5"/>
    <w:rsid w:val="007D2537"/>
    <w:rsid w:val="007D2547"/>
    <w:rsid w:val="007D2551"/>
    <w:rsid w:val="007D255A"/>
    <w:rsid w:val="007D260B"/>
    <w:rsid w:val="007D2645"/>
    <w:rsid w:val="007D2678"/>
    <w:rsid w:val="007D2697"/>
    <w:rsid w:val="007D26AA"/>
    <w:rsid w:val="007D26D2"/>
    <w:rsid w:val="007D271C"/>
    <w:rsid w:val="007D2791"/>
    <w:rsid w:val="007D27B4"/>
    <w:rsid w:val="007D27C0"/>
    <w:rsid w:val="007D27D3"/>
    <w:rsid w:val="007D27FD"/>
    <w:rsid w:val="007D280A"/>
    <w:rsid w:val="007D2812"/>
    <w:rsid w:val="007D2816"/>
    <w:rsid w:val="007D2817"/>
    <w:rsid w:val="007D285D"/>
    <w:rsid w:val="007D2862"/>
    <w:rsid w:val="007D28B1"/>
    <w:rsid w:val="007D28CB"/>
    <w:rsid w:val="007D292D"/>
    <w:rsid w:val="007D29A6"/>
    <w:rsid w:val="007D29D1"/>
    <w:rsid w:val="007D29EB"/>
    <w:rsid w:val="007D2A0A"/>
    <w:rsid w:val="007D2ACB"/>
    <w:rsid w:val="007D2AE7"/>
    <w:rsid w:val="007D2B35"/>
    <w:rsid w:val="007D2B64"/>
    <w:rsid w:val="007D2BDA"/>
    <w:rsid w:val="007D2BDB"/>
    <w:rsid w:val="007D2C66"/>
    <w:rsid w:val="007D2C77"/>
    <w:rsid w:val="007D2CCB"/>
    <w:rsid w:val="007D2D00"/>
    <w:rsid w:val="007D2D38"/>
    <w:rsid w:val="007D2D48"/>
    <w:rsid w:val="007D2DAC"/>
    <w:rsid w:val="007D2E27"/>
    <w:rsid w:val="007D2E6C"/>
    <w:rsid w:val="007D2EC7"/>
    <w:rsid w:val="007D2F06"/>
    <w:rsid w:val="007D2F19"/>
    <w:rsid w:val="007D2F4C"/>
    <w:rsid w:val="007D2F7D"/>
    <w:rsid w:val="007D300D"/>
    <w:rsid w:val="007D306E"/>
    <w:rsid w:val="007D3091"/>
    <w:rsid w:val="007D30C2"/>
    <w:rsid w:val="007D311E"/>
    <w:rsid w:val="007D3148"/>
    <w:rsid w:val="007D3177"/>
    <w:rsid w:val="007D3198"/>
    <w:rsid w:val="007D3204"/>
    <w:rsid w:val="007D3245"/>
    <w:rsid w:val="007D324B"/>
    <w:rsid w:val="007D3264"/>
    <w:rsid w:val="007D327B"/>
    <w:rsid w:val="007D32B0"/>
    <w:rsid w:val="007D33AD"/>
    <w:rsid w:val="007D33DB"/>
    <w:rsid w:val="007D33F5"/>
    <w:rsid w:val="007D3481"/>
    <w:rsid w:val="007D359B"/>
    <w:rsid w:val="007D35DF"/>
    <w:rsid w:val="007D35F6"/>
    <w:rsid w:val="007D3617"/>
    <w:rsid w:val="007D377D"/>
    <w:rsid w:val="007D379A"/>
    <w:rsid w:val="007D37C2"/>
    <w:rsid w:val="007D37D2"/>
    <w:rsid w:val="007D37F0"/>
    <w:rsid w:val="007D3821"/>
    <w:rsid w:val="007D3835"/>
    <w:rsid w:val="007D383D"/>
    <w:rsid w:val="007D387C"/>
    <w:rsid w:val="007D38A7"/>
    <w:rsid w:val="007D38C0"/>
    <w:rsid w:val="007D38F4"/>
    <w:rsid w:val="007D392C"/>
    <w:rsid w:val="007D397E"/>
    <w:rsid w:val="007D3986"/>
    <w:rsid w:val="007D39A3"/>
    <w:rsid w:val="007D39E8"/>
    <w:rsid w:val="007D3A10"/>
    <w:rsid w:val="007D3A4D"/>
    <w:rsid w:val="007D3AA5"/>
    <w:rsid w:val="007D3AB1"/>
    <w:rsid w:val="007D3ACB"/>
    <w:rsid w:val="007D3ADD"/>
    <w:rsid w:val="007D3ADF"/>
    <w:rsid w:val="007D3AE0"/>
    <w:rsid w:val="007D3B3F"/>
    <w:rsid w:val="007D3B5F"/>
    <w:rsid w:val="007D3BC3"/>
    <w:rsid w:val="007D3BD0"/>
    <w:rsid w:val="007D3BD5"/>
    <w:rsid w:val="007D3BD8"/>
    <w:rsid w:val="007D3C09"/>
    <w:rsid w:val="007D3C18"/>
    <w:rsid w:val="007D3C49"/>
    <w:rsid w:val="007D3C58"/>
    <w:rsid w:val="007D3CD8"/>
    <w:rsid w:val="007D3D7F"/>
    <w:rsid w:val="007D3D82"/>
    <w:rsid w:val="007D3D99"/>
    <w:rsid w:val="007D3E13"/>
    <w:rsid w:val="007D3E1A"/>
    <w:rsid w:val="007D3E4F"/>
    <w:rsid w:val="007D3E71"/>
    <w:rsid w:val="007D3F92"/>
    <w:rsid w:val="007D3FD7"/>
    <w:rsid w:val="007D4011"/>
    <w:rsid w:val="007D408E"/>
    <w:rsid w:val="007D408F"/>
    <w:rsid w:val="007D40B5"/>
    <w:rsid w:val="007D4167"/>
    <w:rsid w:val="007D41DB"/>
    <w:rsid w:val="007D41E8"/>
    <w:rsid w:val="007D428D"/>
    <w:rsid w:val="007D4294"/>
    <w:rsid w:val="007D42AB"/>
    <w:rsid w:val="007D42AE"/>
    <w:rsid w:val="007D42F0"/>
    <w:rsid w:val="007D4326"/>
    <w:rsid w:val="007D4349"/>
    <w:rsid w:val="007D4351"/>
    <w:rsid w:val="007D4405"/>
    <w:rsid w:val="007D441E"/>
    <w:rsid w:val="007D4444"/>
    <w:rsid w:val="007D44C5"/>
    <w:rsid w:val="007D44DC"/>
    <w:rsid w:val="007D44E2"/>
    <w:rsid w:val="007D4500"/>
    <w:rsid w:val="007D45C0"/>
    <w:rsid w:val="007D45C5"/>
    <w:rsid w:val="007D45D0"/>
    <w:rsid w:val="007D4610"/>
    <w:rsid w:val="007D4638"/>
    <w:rsid w:val="007D4690"/>
    <w:rsid w:val="007D46C6"/>
    <w:rsid w:val="007D46DA"/>
    <w:rsid w:val="007D46E5"/>
    <w:rsid w:val="007D4721"/>
    <w:rsid w:val="007D4726"/>
    <w:rsid w:val="007D4757"/>
    <w:rsid w:val="007D4763"/>
    <w:rsid w:val="007D4816"/>
    <w:rsid w:val="007D4817"/>
    <w:rsid w:val="007D4834"/>
    <w:rsid w:val="007D4841"/>
    <w:rsid w:val="007D4894"/>
    <w:rsid w:val="007D4939"/>
    <w:rsid w:val="007D4943"/>
    <w:rsid w:val="007D496C"/>
    <w:rsid w:val="007D49D4"/>
    <w:rsid w:val="007D4A02"/>
    <w:rsid w:val="007D4A9B"/>
    <w:rsid w:val="007D4AC5"/>
    <w:rsid w:val="007D4B33"/>
    <w:rsid w:val="007D4B34"/>
    <w:rsid w:val="007D4B53"/>
    <w:rsid w:val="007D4BA4"/>
    <w:rsid w:val="007D4BB1"/>
    <w:rsid w:val="007D4BB5"/>
    <w:rsid w:val="007D4BC6"/>
    <w:rsid w:val="007D4C54"/>
    <w:rsid w:val="007D4C57"/>
    <w:rsid w:val="007D4C5C"/>
    <w:rsid w:val="007D4C9D"/>
    <w:rsid w:val="007D4CA1"/>
    <w:rsid w:val="007D4CA7"/>
    <w:rsid w:val="007D4CEF"/>
    <w:rsid w:val="007D4DE0"/>
    <w:rsid w:val="007D4E2A"/>
    <w:rsid w:val="007D4E83"/>
    <w:rsid w:val="007D4E91"/>
    <w:rsid w:val="007D4F19"/>
    <w:rsid w:val="007D4F90"/>
    <w:rsid w:val="007D4FA6"/>
    <w:rsid w:val="007D4FDD"/>
    <w:rsid w:val="007D4FF1"/>
    <w:rsid w:val="007D5002"/>
    <w:rsid w:val="007D5023"/>
    <w:rsid w:val="007D5041"/>
    <w:rsid w:val="007D507D"/>
    <w:rsid w:val="007D509F"/>
    <w:rsid w:val="007D50D4"/>
    <w:rsid w:val="007D50DD"/>
    <w:rsid w:val="007D5138"/>
    <w:rsid w:val="007D513C"/>
    <w:rsid w:val="007D5157"/>
    <w:rsid w:val="007D516A"/>
    <w:rsid w:val="007D516D"/>
    <w:rsid w:val="007D51AE"/>
    <w:rsid w:val="007D51C1"/>
    <w:rsid w:val="007D51CE"/>
    <w:rsid w:val="007D5220"/>
    <w:rsid w:val="007D522D"/>
    <w:rsid w:val="007D5234"/>
    <w:rsid w:val="007D5268"/>
    <w:rsid w:val="007D526E"/>
    <w:rsid w:val="007D5272"/>
    <w:rsid w:val="007D5277"/>
    <w:rsid w:val="007D534D"/>
    <w:rsid w:val="007D5356"/>
    <w:rsid w:val="007D5384"/>
    <w:rsid w:val="007D53E4"/>
    <w:rsid w:val="007D53FF"/>
    <w:rsid w:val="007D5443"/>
    <w:rsid w:val="007D5448"/>
    <w:rsid w:val="007D54A0"/>
    <w:rsid w:val="007D54A4"/>
    <w:rsid w:val="007D54B7"/>
    <w:rsid w:val="007D54C8"/>
    <w:rsid w:val="007D54D6"/>
    <w:rsid w:val="007D551D"/>
    <w:rsid w:val="007D556B"/>
    <w:rsid w:val="007D55CA"/>
    <w:rsid w:val="007D55D0"/>
    <w:rsid w:val="007D55D9"/>
    <w:rsid w:val="007D5643"/>
    <w:rsid w:val="007D5645"/>
    <w:rsid w:val="007D568B"/>
    <w:rsid w:val="007D5696"/>
    <w:rsid w:val="007D56DD"/>
    <w:rsid w:val="007D5743"/>
    <w:rsid w:val="007D5763"/>
    <w:rsid w:val="007D57A6"/>
    <w:rsid w:val="007D57B0"/>
    <w:rsid w:val="007D57B8"/>
    <w:rsid w:val="007D57F9"/>
    <w:rsid w:val="007D585B"/>
    <w:rsid w:val="007D586F"/>
    <w:rsid w:val="007D589C"/>
    <w:rsid w:val="007D58A8"/>
    <w:rsid w:val="007D58C9"/>
    <w:rsid w:val="007D58E1"/>
    <w:rsid w:val="007D592B"/>
    <w:rsid w:val="007D59A4"/>
    <w:rsid w:val="007D59BB"/>
    <w:rsid w:val="007D59C6"/>
    <w:rsid w:val="007D5A07"/>
    <w:rsid w:val="007D5A08"/>
    <w:rsid w:val="007D5A54"/>
    <w:rsid w:val="007D5AA6"/>
    <w:rsid w:val="007D5AAE"/>
    <w:rsid w:val="007D5ADA"/>
    <w:rsid w:val="007D5AF7"/>
    <w:rsid w:val="007D5B17"/>
    <w:rsid w:val="007D5B6C"/>
    <w:rsid w:val="007D5BB3"/>
    <w:rsid w:val="007D5BB5"/>
    <w:rsid w:val="007D5C60"/>
    <w:rsid w:val="007D5C88"/>
    <w:rsid w:val="007D5CE0"/>
    <w:rsid w:val="007D5D38"/>
    <w:rsid w:val="007D5DA7"/>
    <w:rsid w:val="007D5DEF"/>
    <w:rsid w:val="007D5DF5"/>
    <w:rsid w:val="007D5E18"/>
    <w:rsid w:val="007D5E3B"/>
    <w:rsid w:val="007D5E44"/>
    <w:rsid w:val="007D5EA7"/>
    <w:rsid w:val="007D5EAE"/>
    <w:rsid w:val="007D5EB0"/>
    <w:rsid w:val="007D5EC1"/>
    <w:rsid w:val="007D5F34"/>
    <w:rsid w:val="007D5F91"/>
    <w:rsid w:val="007D5FC2"/>
    <w:rsid w:val="007D600C"/>
    <w:rsid w:val="007D6033"/>
    <w:rsid w:val="007D60EB"/>
    <w:rsid w:val="007D60F3"/>
    <w:rsid w:val="007D610C"/>
    <w:rsid w:val="007D6121"/>
    <w:rsid w:val="007D6149"/>
    <w:rsid w:val="007D6154"/>
    <w:rsid w:val="007D6173"/>
    <w:rsid w:val="007D6178"/>
    <w:rsid w:val="007D617C"/>
    <w:rsid w:val="007D617D"/>
    <w:rsid w:val="007D61F4"/>
    <w:rsid w:val="007D6232"/>
    <w:rsid w:val="007D62DB"/>
    <w:rsid w:val="007D635D"/>
    <w:rsid w:val="007D637E"/>
    <w:rsid w:val="007D639A"/>
    <w:rsid w:val="007D63B0"/>
    <w:rsid w:val="007D63C6"/>
    <w:rsid w:val="007D63D6"/>
    <w:rsid w:val="007D6421"/>
    <w:rsid w:val="007D6432"/>
    <w:rsid w:val="007D64AC"/>
    <w:rsid w:val="007D654E"/>
    <w:rsid w:val="007D65A7"/>
    <w:rsid w:val="007D65E0"/>
    <w:rsid w:val="007D65E4"/>
    <w:rsid w:val="007D6641"/>
    <w:rsid w:val="007D66CD"/>
    <w:rsid w:val="007D670E"/>
    <w:rsid w:val="007D6718"/>
    <w:rsid w:val="007D6756"/>
    <w:rsid w:val="007D67D9"/>
    <w:rsid w:val="007D680F"/>
    <w:rsid w:val="007D6818"/>
    <w:rsid w:val="007D6822"/>
    <w:rsid w:val="007D685C"/>
    <w:rsid w:val="007D68A2"/>
    <w:rsid w:val="007D68A5"/>
    <w:rsid w:val="007D6967"/>
    <w:rsid w:val="007D69A2"/>
    <w:rsid w:val="007D69BE"/>
    <w:rsid w:val="007D69C7"/>
    <w:rsid w:val="007D6A03"/>
    <w:rsid w:val="007D6A5A"/>
    <w:rsid w:val="007D6AD0"/>
    <w:rsid w:val="007D6B26"/>
    <w:rsid w:val="007D6BC3"/>
    <w:rsid w:val="007D6BF3"/>
    <w:rsid w:val="007D6C05"/>
    <w:rsid w:val="007D6C4A"/>
    <w:rsid w:val="007D6C5A"/>
    <w:rsid w:val="007D6D3F"/>
    <w:rsid w:val="007D6D7E"/>
    <w:rsid w:val="007D6D95"/>
    <w:rsid w:val="007D6D99"/>
    <w:rsid w:val="007D6DAB"/>
    <w:rsid w:val="007D6DCE"/>
    <w:rsid w:val="007D6DEF"/>
    <w:rsid w:val="007D6E11"/>
    <w:rsid w:val="007D6E20"/>
    <w:rsid w:val="007D6E2B"/>
    <w:rsid w:val="007D6E56"/>
    <w:rsid w:val="007D6F29"/>
    <w:rsid w:val="007D6F3C"/>
    <w:rsid w:val="007D6F41"/>
    <w:rsid w:val="007D6F4A"/>
    <w:rsid w:val="007D6F4E"/>
    <w:rsid w:val="007D6F64"/>
    <w:rsid w:val="007D6FAA"/>
    <w:rsid w:val="007D7004"/>
    <w:rsid w:val="007D702B"/>
    <w:rsid w:val="007D70C9"/>
    <w:rsid w:val="007D70DB"/>
    <w:rsid w:val="007D7143"/>
    <w:rsid w:val="007D71B7"/>
    <w:rsid w:val="007D71F4"/>
    <w:rsid w:val="007D7239"/>
    <w:rsid w:val="007D724D"/>
    <w:rsid w:val="007D729C"/>
    <w:rsid w:val="007D72B4"/>
    <w:rsid w:val="007D738C"/>
    <w:rsid w:val="007D7396"/>
    <w:rsid w:val="007D73B8"/>
    <w:rsid w:val="007D742D"/>
    <w:rsid w:val="007D745B"/>
    <w:rsid w:val="007D74B0"/>
    <w:rsid w:val="007D74B9"/>
    <w:rsid w:val="007D74EA"/>
    <w:rsid w:val="007D74ED"/>
    <w:rsid w:val="007D74F6"/>
    <w:rsid w:val="007D7523"/>
    <w:rsid w:val="007D7542"/>
    <w:rsid w:val="007D7567"/>
    <w:rsid w:val="007D75E0"/>
    <w:rsid w:val="007D763C"/>
    <w:rsid w:val="007D765C"/>
    <w:rsid w:val="007D766C"/>
    <w:rsid w:val="007D7696"/>
    <w:rsid w:val="007D7697"/>
    <w:rsid w:val="007D76A0"/>
    <w:rsid w:val="007D772E"/>
    <w:rsid w:val="007D7756"/>
    <w:rsid w:val="007D7770"/>
    <w:rsid w:val="007D77AA"/>
    <w:rsid w:val="007D77C1"/>
    <w:rsid w:val="007D77C6"/>
    <w:rsid w:val="007D7811"/>
    <w:rsid w:val="007D783A"/>
    <w:rsid w:val="007D7876"/>
    <w:rsid w:val="007D789C"/>
    <w:rsid w:val="007D78D0"/>
    <w:rsid w:val="007D790F"/>
    <w:rsid w:val="007D797F"/>
    <w:rsid w:val="007D79DE"/>
    <w:rsid w:val="007D79E6"/>
    <w:rsid w:val="007D79ED"/>
    <w:rsid w:val="007D7A91"/>
    <w:rsid w:val="007D7B3A"/>
    <w:rsid w:val="007D7B41"/>
    <w:rsid w:val="007D7B6B"/>
    <w:rsid w:val="007D7BA8"/>
    <w:rsid w:val="007D7C17"/>
    <w:rsid w:val="007D7C62"/>
    <w:rsid w:val="007D7C74"/>
    <w:rsid w:val="007D7C96"/>
    <w:rsid w:val="007D7D36"/>
    <w:rsid w:val="007D7E2C"/>
    <w:rsid w:val="007D7E3C"/>
    <w:rsid w:val="007D7E50"/>
    <w:rsid w:val="007D7EA5"/>
    <w:rsid w:val="007D7EAB"/>
    <w:rsid w:val="007D7EBE"/>
    <w:rsid w:val="007D7F3E"/>
    <w:rsid w:val="007D7F6C"/>
    <w:rsid w:val="007D7F96"/>
    <w:rsid w:val="007E0062"/>
    <w:rsid w:val="007E006C"/>
    <w:rsid w:val="007E006F"/>
    <w:rsid w:val="007E0099"/>
    <w:rsid w:val="007E0107"/>
    <w:rsid w:val="007E0153"/>
    <w:rsid w:val="007E01BE"/>
    <w:rsid w:val="007E0288"/>
    <w:rsid w:val="007E028E"/>
    <w:rsid w:val="007E02A9"/>
    <w:rsid w:val="007E02C2"/>
    <w:rsid w:val="007E031D"/>
    <w:rsid w:val="007E0357"/>
    <w:rsid w:val="007E03AB"/>
    <w:rsid w:val="007E03D3"/>
    <w:rsid w:val="007E043D"/>
    <w:rsid w:val="007E046D"/>
    <w:rsid w:val="007E04B5"/>
    <w:rsid w:val="007E04B6"/>
    <w:rsid w:val="007E0556"/>
    <w:rsid w:val="007E057B"/>
    <w:rsid w:val="007E0604"/>
    <w:rsid w:val="007E0609"/>
    <w:rsid w:val="007E061F"/>
    <w:rsid w:val="007E0644"/>
    <w:rsid w:val="007E0661"/>
    <w:rsid w:val="007E0681"/>
    <w:rsid w:val="007E0686"/>
    <w:rsid w:val="007E0688"/>
    <w:rsid w:val="007E06D3"/>
    <w:rsid w:val="007E06D4"/>
    <w:rsid w:val="007E06DB"/>
    <w:rsid w:val="007E0701"/>
    <w:rsid w:val="007E073B"/>
    <w:rsid w:val="007E0751"/>
    <w:rsid w:val="007E0773"/>
    <w:rsid w:val="007E079E"/>
    <w:rsid w:val="007E07C9"/>
    <w:rsid w:val="007E07D8"/>
    <w:rsid w:val="007E07F7"/>
    <w:rsid w:val="007E07FE"/>
    <w:rsid w:val="007E08DD"/>
    <w:rsid w:val="007E08F6"/>
    <w:rsid w:val="007E0907"/>
    <w:rsid w:val="007E0952"/>
    <w:rsid w:val="007E0965"/>
    <w:rsid w:val="007E09E2"/>
    <w:rsid w:val="007E0A2C"/>
    <w:rsid w:val="007E0A48"/>
    <w:rsid w:val="007E0B54"/>
    <w:rsid w:val="007E0B60"/>
    <w:rsid w:val="007E0B69"/>
    <w:rsid w:val="007E0B8B"/>
    <w:rsid w:val="007E0BBB"/>
    <w:rsid w:val="007E0C69"/>
    <w:rsid w:val="007E0C6A"/>
    <w:rsid w:val="007E0C9F"/>
    <w:rsid w:val="007E0CD6"/>
    <w:rsid w:val="007E0CDA"/>
    <w:rsid w:val="007E0EA1"/>
    <w:rsid w:val="007E0EAB"/>
    <w:rsid w:val="007E0EE7"/>
    <w:rsid w:val="007E0F18"/>
    <w:rsid w:val="007E0F6D"/>
    <w:rsid w:val="007E0F8B"/>
    <w:rsid w:val="007E0F93"/>
    <w:rsid w:val="007E0FAD"/>
    <w:rsid w:val="007E0FF5"/>
    <w:rsid w:val="007E104E"/>
    <w:rsid w:val="007E10AF"/>
    <w:rsid w:val="007E113B"/>
    <w:rsid w:val="007E11A1"/>
    <w:rsid w:val="007E11C4"/>
    <w:rsid w:val="007E12C5"/>
    <w:rsid w:val="007E12D5"/>
    <w:rsid w:val="007E130A"/>
    <w:rsid w:val="007E1323"/>
    <w:rsid w:val="007E1336"/>
    <w:rsid w:val="007E1344"/>
    <w:rsid w:val="007E1357"/>
    <w:rsid w:val="007E136E"/>
    <w:rsid w:val="007E13AF"/>
    <w:rsid w:val="007E13D7"/>
    <w:rsid w:val="007E1410"/>
    <w:rsid w:val="007E141A"/>
    <w:rsid w:val="007E1435"/>
    <w:rsid w:val="007E1442"/>
    <w:rsid w:val="007E1466"/>
    <w:rsid w:val="007E1496"/>
    <w:rsid w:val="007E14A5"/>
    <w:rsid w:val="007E14DA"/>
    <w:rsid w:val="007E14DD"/>
    <w:rsid w:val="007E151B"/>
    <w:rsid w:val="007E1527"/>
    <w:rsid w:val="007E15A3"/>
    <w:rsid w:val="007E1600"/>
    <w:rsid w:val="007E168E"/>
    <w:rsid w:val="007E16DB"/>
    <w:rsid w:val="007E16E5"/>
    <w:rsid w:val="007E16F5"/>
    <w:rsid w:val="007E1716"/>
    <w:rsid w:val="007E1760"/>
    <w:rsid w:val="007E1795"/>
    <w:rsid w:val="007E179D"/>
    <w:rsid w:val="007E17F2"/>
    <w:rsid w:val="007E17F6"/>
    <w:rsid w:val="007E1806"/>
    <w:rsid w:val="007E187E"/>
    <w:rsid w:val="007E18E1"/>
    <w:rsid w:val="007E1997"/>
    <w:rsid w:val="007E19AF"/>
    <w:rsid w:val="007E19C0"/>
    <w:rsid w:val="007E1A01"/>
    <w:rsid w:val="007E1ACA"/>
    <w:rsid w:val="007E1B00"/>
    <w:rsid w:val="007E1B0B"/>
    <w:rsid w:val="007E1B11"/>
    <w:rsid w:val="007E1B2A"/>
    <w:rsid w:val="007E1B57"/>
    <w:rsid w:val="007E1BA9"/>
    <w:rsid w:val="007E1C35"/>
    <w:rsid w:val="007E1C45"/>
    <w:rsid w:val="007E1C73"/>
    <w:rsid w:val="007E1C81"/>
    <w:rsid w:val="007E1CED"/>
    <w:rsid w:val="007E1D0C"/>
    <w:rsid w:val="007E1D25"/>
    <w:rsid w:val="007E1D74"/>
    <w:rsid w:val="007E1D9E"/>
    <w:rsid w:val="007E1DDB"/>
    <w:rsid w:val="007E1E16"/>
    <w:rsid w:val="007E1E54"/>
    <w:rsid w:val="007E1EAE"/>
    <w:rsid w:val="007E1ED0"/>
    <w:rsid w:val="007E1EEE"/>
    <w:rsid w:val="007E1EF5"/>
    <w:rsid w:val="007E1F42"/>
    <w:rsid w:val="007E1F4C"/>
    <w:rsid w:val="007E1F58"/>
    <w:rsid w:val="007E1F6E"/>
    <w:rsid w:val="007E2001"/>
    <w:rsid w:val="007E200F"/>
    <w:rsid w:val="007E2052"/>
    <w:rsid w:val="007E2057"/>
    <w:rsid w:val="007E2175"/>
    <w:rsid w:val="007E2189"/>
    <w:rsid w:val="007E218C"/>
    <w:rsid w:val="007E21AE"/>
    <w:rsid w:val="007E21B7"/>
    <w:rsid w:val="007E21D2"/>
    <w:rsid w:val="007E21E9"/>
    <w:rsid w:val="007E21F4"/>
    <w:rsid w:val="007E2228"/>
    <w:rsid w:val="007E2230"/>
    <w:rsid w:val="007E2231"/>
    <w:rsid w:val="007E2243"/>
    <w:rsid w:val="007E22A2"/>
    <w:rsid w:val="007E22B0"/>
    <w:rsid w:val="007E22DF"/>
    <w:rsid w:val="007E22EF"/>
    <w:rsid w:val="007E2331"/>
    <w:rsid w:val="007E2366"/>
    <w:rsid w:val="007E2433"/>
    <w:rsid w:val="007E2434"/>
    <w:rsid w:val="007E247A"/>
    <w:rsid w:val="007E24DF"/>
    <w:rsid w:val="007E2505"/>
    <w:rsid w:val="007E259B"/>
    <w:rsid w:val="007E25D4"/>
    <w:rsid w:val="007E25F6"/>
    <w:rsid w:val="007E260C"/>
    <w:rsid w:val="007E265C"/>
    <w:rsid w:val="007E2665"/>
    <w:rsid w:val="007E266F"/>
    <w:rsid w:val="007E2682"/>
    <w:rsid w:val="007E26CD"/>
    <w:rsid w:val="007E2775"/>
    <w:rsid w:val="007E27C5"/>
    <w:rsid w:val="007E27F2"/>
    <w:rsid w:val="007E2818"/>
    <w:rsid w:val="007E281E"/>
    <w:rsid w:val="007E2843"/>
    <w:rsid w:val="007E2847"/>
    <w:rsid w:val="007E28E0"/>
    <w:rsid w:val="007E290D"/>
    <w:rsid w:val="007E2991"/>
    <w:rsid w:val="007E2996"/>
    <w:rsid w:val="007E2A07"/>
    <w:rsid w:val="007E2A11"/>
    <w:rsid w:val="007E2A31"/>
    <w:rsid w:val="007E2A43"/>
    <w:rsid w:val="007E2A81"/>
    <w:rsid w:val="007E2AAD"/>
    <w:rsid w:val="007E2AD1"/>
    <w:rsid w:val="007E2B0F"/>
    <w:rsid w:val="007E2BD4"/>
    <w:rsid w:val="007E2C1F"/>
    <w:rsid w:val="007E2C6C"/>
    <w:rsid w:val="007E2C84"/>
    <w:rsid w:val="007E2CAF"/>
    <w:rsid w:val="007E2CB8"/>
    <w:rsid w:val="007E2D48"/>
    <w:rsid w:val="007E2D58"/>
    <w:rsid w:val="007E2D8C"/>
    <w:rsid w:val="007E2DAE"/>
    <w:rsid w:val="007E2DB0"/>
    <w:rsid w:val="007E2E55"/>
    <w:rsid w:val="007E2E68"/>
    <w:rsid w:val="007E2E6C"/>
    <w:rsid w:val="007E2E8D"/>
    <w:rsid w:val="007E2ED6"/>
    <w:rsid w:val="007E2EDD"/>
    <w:rsid w:val="007E2F69"/>
    <w:rsid w:val="007E2FC1"/>
    <w:rsid w:val="007E2FE7"/>
    <w:rsid w:val="007E2FF5"/>
    <w:rsid w:val="007E3064"/>
    <w:rsid w:val="007E30B3"/>
    <w:rsid w:val="007E30FE"/>
    <w:rsid w:val="007E31BB"/>
    <w:rsid w:val="007E31E9"/>
    <w:rsid w:val="007E320E"/>
    <w:rsid w:val="007E322E"/>
    <w:rsid w:val="007E324E"/>
    <w:rsid w:val="007E3296"/>
    <w:rsid w:val="007E32AA"/>
    <w:rsid w:val="007E32DC"/>
    <w:rsid w:val="007E32FD"/>
    <w:rsid w:val="007E3391"/>
    <w:rsid w:val="007E33AD"/>
    <w:rsid w:val="007E33DB"/>
    <w:rsid w:val="007E3497"/>
    <w:rsid w:val="007E34BE"/>
    <w:rsid w:val="007E34DF"/>
    <w:rsid w:val="007E3559"/>
    <w:rsid w:val="007E360E"/>
    <w:rsid w:val="007E3675"/>
    <w:rsid w:val="007E36B1"/>
    <w:rsid w:val="007E36DB"/>
    <w:rsid w:val="007E3729"/>
    <w:rsid w:val="007E377E"/>
    <w:rsid w:val="007E37B2"/>
    <w:rsid w:val="007E37DD"/>
    <w:rsid w:val="007E3800"/>
    <w:rsid w:val="007E3873"/>
    <w:rsid w:val="007E387E"/>
    <w:rsid w:val="007E38CB"/>
    <w:rsid w:val="007E393C"/>
    <w:rsid w:val="007E3983"/>
    <w:rsid w:val="007E39B1"/>
    <w:rsid w:val="007E3A03"/>
    <w:rsid w:val="007E3A5A"/>
    <w:rsid w:val="007E3B2E"/>
    <w:rsid w:val="007E3B36"/>
    <w:rsid w:val="007E3B56"/>
    <w:rsid w:val="007E3B96"/>
    <w:rsid w:val="007E3BE7"/>
    <w:rsid w:val="007E3BF7"/>
    <w:rsid w:val="007E3CB0"/>
    <w:rsid w:val="007E3CC4"/>
    <w:rsid w:val="007E3D2D"/>
    <w:rsid w:val="007E3D5C"/>
    <w:rsid w:val="007E3D63"/>
    <w:rsid w:val="007E3DE5"/>
    <w:rsid w:val="007E3E01"/>
    <w:rsid w:val="007E3E14"/>
    <w:rsid w:val="007E3E36"/>
    <w:rsid w:val="007E3E6F"/>
    <w:rsid w:val="007E3E7A"/>
    <w:rsid w:val="007E3F7E"/>
    <w:rsid w:val="007E3FAB"/>
    <w:rsid w:val="007E402B"/>
    <w:rsid w:val="007E402E"/>
    <w:rsid w:val="007E4081"/>
    <w:rsid w:val="007E4093"/>
    <w:rsid w:val="007E40E3"/>
    <w:rsid w:val="007E4220"/>
    <w:rsid w:val="007E42B3"/>
    <w:rsid w:val="007E42E0"/>
    <w:rsid w:val="007E4315"/>
    <w:rsid w:val="007E4319"/>
    <w:rsid w:val="007E431F"/>
    <w:rsid w:val="007E4341"/>
    <w:rsid w:val="007E434E"/>
    <w:rsid w:val="007E4361"/>
    <w:rsid w:val="007E436B"/>
    <w:rsid w:val="007E439C"/>
    <w:rsid w:val="007E4414"/>
    <w:rsid w:val="007E4452"/>
    <w:rsid w:val="007E445D"/>
    <w:rsid w:val="007E44D6"/>
    <w:rsid w:val="007E4578"/>
    <w:rsid w:val="007E4598"/>
    <w:rsid w:val="007E462B"/>
    <w:rsid w:val="007E463F"/>
    <w:rsid w:val="007E4693"/>
    <w:rsid w:val="007E46A8"/>
    <w:rsid w:val="007E46E4"/>
    <w:rsid w:val="007E4725"/>
    <w:rsid w:val="007E47DF"/>
    <w:rsid w:val="007E4862"/>
    <w:rsid w:val="007E486F"/>
    <w:rsid w:val="007E487A"/>
    <w:rsid w:val="007E487D"/>
    <w:rsid w:val="007E48AE"/>
    <w:rsid w:val="007E48F0"/>
    <w:rsid w:val="007E4903"/>
    <w:rsid w:val="007E4904"/>
    <w:rsid w:val="007E498C"/>
    <w:rsid w:val="007E499D"/>
    <w:rsid w:val="007E49CA"/>
    <w:rsid w:val="007E49D5"/>
    <w:rsid w:val="007E4A1A"/>
    <w:rsid w:val="007E4AAF"/>
    <w:rsid w:val="007E4B18"/>
    <w:rsid w:val="007E4B21"/>
    <w:rsid w:val="007E4B35"/>
    <w:rsid w:val="007E4B38"/>
    <w:rsid w:val="007E4B9C"/>
    <w:rsid w:val="007E4BA6"/>
    <w:rsid w:val="007E4BC7"/>
    <w:rsid w:val="007E4BC8"/>
    <w:rsid w:val="007E4BDC"/>
    <w:rsid w:val="007E4C37"/>
    <w:rsid w:val="007E4C43"/>
    <w:rsid w:val="007E4C80"/>
    <w:rsid w:val="007E4CB0"/>
    <w:rsid w:val="007E4CE5"/>
    <w:rsid w:val="007E4D06"/>
    <w:rsid w:val="007E4D33"/>
    <w:rsid w:val="007E4D4C"/>
    <w:rsid w:val="007E4D9A"/>
    <w:rsid w:val="007E4DA7"/>
    <w:rsid w:val="007E4DB4"/>
    <w:rsid w:val="007E4DC3"/>
    <w:rsid w:val="007E4E1E"/>
    <w:rsid w:val="007E4E71"/>
    <w:rsid w:val="007E4E82"/>
    <w:rsid w:val="007E4F43"/>
    <w:rsid w:val="007E4F44"/>
    <w:rsid w:val="007E4F8A"/>
    <w:rsid w:val="007E4F9C"/>
    <w:rsid w:val="007E4FCF"/>
    <w:rsid w:val="007E5043"/>
    <w:rsid w:val="007E5167"/>
    <w:rsid w:val="007E516C"/>
    <w:rsid w:val="007E51D6"/>
    <w:rsid w:val="007E5220"/>
    <w:rsid w:val="007E524D"/>
    <w:rsid w:val="007E526A"/>
    <w:rsid w:val="007E5328"/>
    <w:rsid w:val="007E5390"/>
    <w:rsid w:val="007E5397"/>
    <w:rsid w:val="007E5399"/>
    <w:rsid w:val="007E53DA"/>
    <w:rsid w:val="007E53DE"/>
    <w:rsid w:val="007E540C"/>
    <w:rsid w:val="007E543E"/>
    <w:rsid w:val="007E5480"/>
    <w:rsid w:val="007E55A2"/>
    <w:rsid w:val="007E55AA"/>
    <w:rsid w:val="007E5641"/>
    <w:rsid w:val="007E5657"/>
    <w:rsid w:val="007E5662"/>
    <w:rsid w:val="007E566A"/>
    <w:rsid w:val="007E566F"/>
    <w:rsid w:val="007E5678"/>
    <w:rsid w:val="007E56E2"/>
    <w:rsid w:val="007E5710"/>
    <w:rsid w:val="007E573A"/>
    <w:rsid w:val="007E5770"/>
    <w:rsid w:val="007E5772"/>
    <w:rsid w:val="007E578A"/>
    <w:rsid w:val="007E57A6"/>
    <w:rsid w:val="007E57A8"/>
    <w:rsid w:val="007E57C3"/>
    <w:rsid w:val="007E57CD"/>
    <w:rsid w:val="007E581D"/>
    <w:rsid w:val="007E5824"/>
    <w:rsid w:val="007E586E"/>
    <w:rsid w:val="007E5891"/>
    <w:rsid w:val="007E589D"/>
    <w:rsid w:val="007E58AA"/>
    <w:rsid w:val="007E58BC"/>
    <w:rsid w:val="007E58C2"/>
    <w:rsid w:val="007E5924"/>
    <w:rsid w:val="007E59EC"/>
    <w:rsid w:val="007E5A79"/>
    <w:rsid w:val="007E5AE2"/>
    <w:rsid w:val="007E5AF1"/>
    <w:rsid w:val="007E5B5F"/>
    <w:rsid w:val="007E5B78"/>
    <w:rsid w:val="007E5BEE"/>
    <w:rsid w:val="007E5C89"/>
    <w:rsid w:val="007E5D21"/>
    <w:rsid w:val="007E5D2A"/>
    <w:rsid w:val="007E5D47"/>
    <w:rsid w:val="007E5D96"/>
    <w:rsid w:val="007E5DEB"/>
    <w:rsid w:val="007E5DF4"/>
    <w:rsid w:val="007E5E1D"/>
    <w:rsid w:val="007E5E90"/>
    <w:rsid w:val="007E5EA6"/>
    <w:rsid w:val="007E5ECD"/>
    <w:rsid w:val="007E5ED5"/>
    <w:rsid w:val="007E5EE3"/>
    <w:rsid w:val="007E5F45"/>
    <w:rsid w:val="007E5F5A"/>
    <w:rsid w:val="007E5F69"/>
    <w:rsid w:val="007E5FFB"/>
    <w:rsid w:val="007E6047"/>
    <w:rsid w:val="007E60A0"/>
    <w:rsid w:val="007E60C9"/>
    <w:rsid w:val="007E60F0"/>
    <w:rsid w:val="007E6127"/>
    <w:rsid w:val="007E612A"/>
    <w:rsid w:val="007E6136"/>
    <w:rsid w:val="007E615B"/>
    <w:rsid w:val="007E61BD"/>
    <w:rsid w:val="007E6240"/>
    <w:rsid w:val="007E62AF"/>
    <w:rsid w:val="007E62BB"/>
    <w:rsid w:val="007E62EF"/>
    <w:rsid w:val="007E6319"/>
    <w:rsid w:val="007E633B"/>
    <w:rsid w:val="007E635F"/>
    <w:rsid w:val="007E63F0"/>
    <w:rsid w:val="007E63F3"/>
    <w:rsid w:val="007E641D"/>
    <w:rsid w:val="007E6426"/>
    <w:rsid w:val="007E6456"/>
    <w:rsid w:val="007E645B"/>
    <w:rsid w:val="007E648B"/>
    <w:rsid w:val="007E64A2"/>
    <w:rsid w:val="007E64B2"/>
    <w:rsid w:val="007E64BF"/>
    <w:rsid w:val="007E64D0"/>
    <w:rsid w:val="007E64ED"/>
    <w:rsid w:val="007E6520"/>
    <w:rsid w:val="007E657B"/>
    <w:rsid w:val="007E65E7"/>
    <w:rsid w:val="007E6641"/>
    <w:rsid w:val="007E6679"/>
    <w:rsid w:val="007E669A"/>
    <w:rsid w:val="007E66B6"/>
    <w:rsid w:val="007E66C6"/>
    <w:rsid w:val="007E66C7"/>
    <w:rsid w:val="007E66F0"/>
    <w:rsid w:val="007E66FA"/>
    <w:rsid w:val="007E6727"/>
    <w:rsid w:val="007E6748"/>
    <w:rsid w:val="007E678B"/>
    <w:rsid w:val="007E6799"/>
    <w:rsid w:val="007E67BD"/>
    <w:rsid w:val="007E67CD"/>
    <w:rsid w:val="007E680E"/>
    <w:rsid w:val="007E6818"/>
    <w:rsid w:val="007E6828"/>
    <w:rsid w:val="007E6831"/>
    <w:rsid w:val="007E686E"/>
    <w:rsid w:val="007E687C"/>
    <w:rsid w:val="007E6896"/>
    <w:rsid w:val="007E68C1"/>
    <w:rsid w:val="007E692A"/>
    <w:rsid w:val="007E6934"/>
    <w:rsid w:val="007E6944"/>
    <w:rsid w:val="007E6948"/>
    <w:rsid w:val="007E694B"/>
    <w:rsid w:val="007E6953"/>
    <w:rsid w:val="007E696F"/>
    <w:rsid w:val="007E69A6"/>
    <w:rsid w:val="007E69F2"/>
    <w:rsid w:val="007E6A23"/>
    <w:rsid w:val="007E6A40"/>
    <w:rsid w:val="007E6A86"/>
    <w:rsid w:val="007E6AD8"/>
    <w:rsid w:val="007E6AED"/>
    <w:rsid w:val="007E6B16"/>
    <w:rsid w:val="007E6B4F"/>
    <w:rsid w:val="007E6B8C"/>
    <w:rsid w:val="007E6BC8"/>
    <w:rsid w:val="007E6BCB"/>
    <w:rsid w:val="007E6BEF"/>
    <w:rsid w:val="007E6C21"/>
    <w:rsid w:val="007E6C2B"/>
    <w:rsid w:val="007E6C2D"/>
    <w:rsid w:val="007E6C39"/>
    <w:rsid w:val="007E6CE2"/>
    <w:rsid w:val="007E6CF8"/>
    <w:rsid w:val="007E6E21"/>
    <w:rsid w:val="007E6EC6"/>
    <w:rsid w:val="007E6ED1"/>
    <w:rsid w:val="007E6F3E"/>
    <w:rsid w:val="007E6F91"/>
    <w:rsid w:val="007E7017"/>
    <w:rsid w:val="007E7065"/>
    <w:rsid w:val="007E70D1"/>
    <w:rsid w:val="007E70FC"/>
    <w:rsid w:val="007E7131"/>
    <w:rsid w:val="007E7169"/>
    <w:rsid w:val="007E717F"/>
    <w:rsid w:val="007E71EA"/>
    <w:rsid w:val="007E7204"/>
    <w:rsid w:val="007E7207"/>
    <w:rsid w:val="007E7221"/>
    <w:rsid w:val="007E7235"/>
    <w:rsid w:val="007E723F"/>
    <w:rsid w:val="007E72BE"/>
    <w:rsid w:val="007E72E1"/>
    <w:rsid w:val="007E72EE"/>
    <w:rsid w:val="007E7307"/>
    <w:rsid w:val="007E731E"/>
    <w:rsid w:val="007E7340"/>
    <w:rsid w:val="007E73A0"/>
    <w:rsid w:val="007E740D"/>
    <w:rsid w:val="007E745E"/>
    <w:rsid w:val="007E7496"/>
    <w:rsid w:val="007E74AC"/>
    <w:rsid w:val="007E74D3"/>
    <w:rsid w:val="007E74D6"/>
    <w:rsid w:val="007E74DD"/>
    <w:rsid w:val="007E7531"/>
    <w:rsid w:val="007E7592"/>
    <w:rsid w:val="007E75E9"/>
    <w:rsid w:val="007E7628"/>
    <w:rsid w:val="007E7669"/>
    <w:rsid w:val="007E7675"/>
    <w:rsid w:val="007E7691"/>
    <w:rsid w:val="007E76CD"/>
    <w:rsid w:val="007E76DC"/>
    <w:rsid w:val="007E76EC"/>
    <w:rsid w:val="007E770E"/>
    <w:rsid w:val="007E7769"/>
    <w:rsid w:val="007E7781"/>
    <w:rsid w:val="007E779D"/>
    <w:rsid w:val="007E77EC"/>
    <w:rsid w:val="007E77F4"/>
    <w:rsid w:val="007E77F8"/>
    <w:rsid w:val="007E783A"/>
    <w:rsid w:val="007E7873"/>
    <w:rsid w:val="007E7879"/>
    <w:rsid w:val="007E7899"/>
    <w:rsid w:val="007E7909"/>
    <w:rsid w:val="007E79E3"/>
    <w:rsid w:val="007E79F9"/>
    <w:rsid w:val="007E7A38"/>
    <w:rsid w:val="007E7BA6"/>
    <w:rsid w:val="007E7BE9"/>
    <w:rsid w:val="007E7BF7"/>
    <w:rsid w:val="007E7C71"/>
    <w:rsid w:val="007E7C8B"/>
    <w:rsid w:val="007E7CB7"/>
    <w:rsid w:val="007E7CBA"/>
    <w:rsid w:val="007E7CC8"/>
    <w:rsid w:val="007E7D21"/>
    <w:rsid w:val="007E7ED6"/>
    <w:rsid w:val="007E7EDE"/>
    <w:rsid w:val="007E7F61"/>
    <w:rsid w:val="007E7F62"/>
    <w:rsid w:val="007E7F63"/>
    <w:rsid w:val="007E7F9D"/>
    <w:rsid w:val="007E7FC9"/>
    <w:rsid w:val="007F000B"/>
    <w:rsid w:val="007F001F"/>
    <w:rsid w:val="007F0041"/>
    <w:rsid w:val="007F00B7"/>
    <w:rsid w:val="007F00C3"/>
    <w:rsid w:val="007F00C8"/>
    <w:rsid w:val="007F0114"/>
    <w:rsid w:val="007F0145"/>
    <w:rsid w:val="007F016E"/>
    <w:rsid w:val="007F0176"/>
    <w:rsid w:val="007F01E0"/>
    <w:rsid w:val="007F01E7"/>
    <w:rsid w:val="007F020A"/>
    <w:rsid w:val="007F02A5"/>
    <w:rsid w:val="007F02ED"/>
    <w:rsid w:val="007F02F2"/>
    <w:rsid w:val="007F030E"/>
    <w:rsid w:val="007F0330"/>
    <w:rsid w:val="007F037E"/>
    <w:rsid w:val="007F03F7"/>
    <w:rsid w:val="007F043A"/>
    <w:rsid w:val="007F0442"/>
    <w:rsid w:val="007F045B"/>
    <w:rsid w:val="007F051B"/>
    <w:rsid w:val="007F051C"/>
    <w:rsid w:val="007F053D"/>
    <w:rsid w:val="007F057C"/>
    <w:rsid w:val="007F057D"/>
    <w:rsid w:val="007F0592"/>
    <w:rsid w:val="007F0608"/>
    <w:rsid w:val="007F0646"/>
    <w:rsid w:val="007F065D"/>
    <w:rsid w:val="007F06A1"/>
    <w:rsid w:val="007F06EB"/>
    <w:rsid w:val="007F0714"/>
    <w:rsid w:val="007F0736"/>
    <w:rsid w:val="007F07AE"/>
    <w:rsid w:val="007F080C"/>
    <w:rsid w:val="007F08A7"/>
    <w:rsid w:val="007F08CF"/>
    <w:rsid w:val="007F0925"/>
    <w:rsid w:val="007F0932"/>
    <w:rsid w:val="007F097B"/>
    <w:rsid w:val="007F0996"/>
    <w:rsid w:val="007F0997"/>
    <w:rsid w:val="007F09A2"/>
    <w:rsid w:val="007F09E0"/>
    <w:rsid w:val="007F0A0D"/>
    <w:rsid w:val="007F0A1F"/>
    <w:rsid w:val="007F0AAA"/>
    <w:rsid w:val="007F0B16"/>
    <w:rsid w:val="007F0B19"/>
    <w:rsid w:val="007F0B56"/>
    <w:rsid w:val="007F0BAD"/>
    <w:rsid w:val="007F0BB3"/>
    <w:rsid w:val="007F0C20"/>
    <w:rsid w:val="007F0C3C"/>
    <w:rsid w:val="007F0C57"/>
    <w:rsid w:val="007F0D3F"/>
    <w:rsid w:val="007F0D48"/>
    <w:rsid w:val="007F0D86"/>
    <w:rsid w:val="007F0DF2"/>
    <w:rsid w:val="007F0E96"/>
    <w:rsid w:val="007F0EF5"/>
    <w:rsid w:val="007F0F04"/>
    <w:rsid w:val="007F0F8B"/>
    <w:rsid w:val="007F0F9A"/>
    <w:rsid w:val="007F0FF0"/>
    <w:rsid w:val="007F0FF7"/>
    <w:rsid w:val="007F102B"/>
    <w:rsid w:val="007F1070"/>
    <w:rsid w:val="007F10A4"/>
    <w:rsid w:val="007F10AE"/>
    <w:rsid w:val="007F10B9"/>
    <w:rsid w:val="007F10C1"/>
    <w:rsid w:val="007F1110"/>
    <w:rsid w:val="007F1143"/>
    <w:rsid w:val="007F11BC"/>
    <w:rsid w:val="007F11C3"/>
    <w:rsid w:val="007F11CD"/>
    <w:rsid w:val="007F11D9"/>
    <w:rsid w:val="007F1246"/>
    <w:rsid w:val="007F12FC"/>
    <w:rsid w:val="007F1300"/>
    <w:rsid w:val="007F1385"/>
    <w:rsid w:val="007F13A2"/>
    <w:rsid w:val="007F141C"/>
    <w:rsid w:val="007F146B"/>
    <w:rsid w:val="007F148D"/>
    <w:rsid w:val="007F1496"/>
    <w:rsid w:val="007F1550"/>
    <w:rsid w:val="007F1596"/>
    <w:rsid w:val="007F15AA"/>
    <w:rsid w:val="007F15D8"/>
    <w:rsid w:val="007F1686"/>
    <w:rsid w:val="007F1695"/>
    <w:rsid w:val="007F16B3"/>
    <w:rsid w:val="007F1756"/>
    <w:rsid w:val="007F175E"/>
    <w:rsid w:val="007F1776"/>
    <w:rsid w:val="007F17DE"/>
    <w:rsid w:val="007F181A"/>
    <w:rsid w:val="007F181D"/>
    <w:rsid w:val="007F183B"/>
    <w:rsid w:val="007F185D"/>
    <w:rsid w:val="007F1896"/>
    <w:rsid w:val="007F18A5"/>
    <w:rsid w:val="007F18AE"/>
    <w:rsid w:val="007F18DF"/>
    <w:rsid w:val="007F18F0"/>
    <w:rsid w:val="007F1964"/>
    <w:rsid w:val="007F1978"/>
    <w:rsid w:val="007F19CC"/>
    <w:rsid w:val="007F19F3"/>
    <w:rsid w:val="007F1A1C"/>
    <w:rsid w:val="007F1A3D"/>
    <w:rsid w:val="007F1AC7"/>
    <w:rsid w:val="007F1AD5"/>
    <w:rsid w:val="007F1AF8"/>
    <w:rsid w:val="007F1B0D"/>
    <w:rsid w:val="007F1B3B"/>
    <w:rsid w:val="007F1B56"/>
    <w:rsid w:val="007F1BB7"/>
    <w:rsid w:val="007F1BB9"/>
    <w:rsid w:val="007F1BD0"/>
    <w:rsid w:val="007F1C04"/>
    <w:rsid w:val="007F1C1C"/>
    <w:rsid w:val="007F1D10"/>
    <w:rsid w:val="007F1D57"/>
    <w:rsid w:val="007F1D82"/>
    <w:rsid w:val="007F1DDA"/>
    <w:rsid w:val="007F1E45"/>
    <w:rsid w:val="007F1E9E"/>
    <w:rsid w:val="007F1ED8"/>
    <w:rsid w:val="007F1F04"/>
    <w:rsid w:val="007F1F2C"/>
    <w:rsid w:val="007F1F48"/>
    <w:rsid w:val="007F1F65"/>
    <w:rsid w:val="007F1FAD"/>
    <w:rsid w:val="007F1FD2"/>
    <w:rsid w:val="007F2020"/>
    <w:rsid w:val="007F20E4"/>
    <w:rsid w:val="007F211C"/>
    <w:rsid w:val="007F2178"/>
    <w:rsid w:val="007F21CE"/>
    <w:rsid w:val="007F21FC"/>
    <w:rsid w:val="007F226D"/>
    <w:rsid w:val="007F2286"/>
    <w:rsid w:val="007F22BE"/>
    <w:rsid w:val="007F234B"/>
    <w:rsid w:val="007F234D"/>
    <w:rsid w:val="007F238A"/>
    <w:rsid w:val="007F23AB"/>
    <w:rsid w:val="007F23B2"/>
    <w:rsid w:val="007F23C8"/>
    <w:rsid w:val="007F23F3"/>
    <w:rsid w:val="007F2440"/>
    <w:rsid w:val="007F2471"/>
    <w:rsid w:val="007F24A5"/>
    <w:rsid w:val="007F2529"/>
    <w:rsid w:val="007F255C"/>
    <w:rsid w:val="007F2594"/>
    <w:rsid w:val="007F25CF"/>
    <w:rsid w:val="007F2605"/>
    <w:rsid w:val="007F2610"/>
    <w:rsid w:val="007F2694"/>
    <w:rsid w:val="007F26C6"/>
    <w:rsid w:val="007F26D9"/>
    <w:rsid w:val="007F26F8"/>
    <w:rsid w:val="007F26FF"/>
    <w:rsid w:val="007F2765"/>
    <w:rsid w:val="007F2856"/>
    <w:rsid w:val="007F2860"/>
    <w:rsid w:val="007F28A4"/>
    <w:rsid w:val="007F28CA"/>
    <w:rsid w:val="007F28E5"/>
    <w:rsid w:val="007F28E8"/>
    <w:rsid w:val="007F2902"/>
    <w:rsid w:val="007F29DB"/>
    <w:rsid w:val="007F2A13"/>
    <w:rsid w:val="007F2A44"/>
    <w:rsid w:val="007F2A56"/>
    <w:rsid w:val="007F2A7A"/>
    <w:rsid w:val="007F2B0F"/>
    <w:rsid w:val="007F2B28"/>
    <w:rsid w:val="007F2B81"/>
    <w:rsid w:val="007F2BBC"/>
    <w:rsid w:val="007F2C09"/>
    <w:rsid w:val="007F2C16"/>
    <w:rsid w:val="007F2C8F"/>
    <w:rsid w:val="007F2CA0"/>
    <w:rsid w:val="007F2CCC"/>
    <w:rsid w:val="007F2D04"/>
    <w:rsid w:val="007F2D87"/>
    <w:rsid w:val="007F2DE3"/>
    <w:rsid w:val="007F2E11"/>
    <w:rsid w:val="007F2E2D"/>
    <w:rsid w:val="007F2E58"/>
    <w:rsid w:val="007F2F0D"/>
    <w:rsid w:val="007F2F98"/>
    <w:rsid w:val="007F2F9A"/>
    <w:rsid w:val="007F302D"/>
    <w:rsid w:val="007F302E"/>
    <w:rsid w:val="007F3069"/>
    <w:rsid w:val="007F3086"/>
    <w:rsid w:val="007F3087"/>
    <w:rsid w:val="007F3089"/>
    <w:rsid w:val="007F308F"/>
    <w:rsid w:val="007F30B0"/>
    <w:rsid w:val="007F30C3"/>
    <w:rsid w:val="007F31A9"/>
    <w:rsid w:val="007F3213"/>
    <w:rsid w:val="007F32A6"/>
    <w:rsid w:val="007F32D6"/>
    <w:rsid w:val="007F331E"/>
    <w:rsid w:val="007F3325"/>
    <w:rsid w:val="007F3384"/>
    <w:rsid w:val="007F33A5"/>
    <w:rsid w:val="007F33C0"/>
    <w:rsid w:val="007F33D5"/>
    <w:rsid w:val="007F33D7"/>
    <w:rsid w:val="007F340A"/>
    <w:rsid w:val="007F3425"/>
    <w:rsid w:val="007F3461"/>
    <w:rsid w:val="007F34E3"/>
    <w:rsid w:val="007F34FE"/>
    <w:rsid w:val="007F3501"/>
    <w:rsid w:val="007F3551"/>
    <w:rsid w:val="007F35AD"/>
    <w:rsid w:val="007F35B6"/>
    <w:rsid w:val="007F364B"/>
    <w:rsid w:val="007F3650"/>
    <w:rsid w:val="007F3701"/>
    <w:rsid w:val="007F375F"/>
    <w:rsid w:val="007F37E2"/>
    <w:rsid w:val="007F37FF"/>
    <w:rsid w:val="007F38FF"/>
    <w:rsid w:val="007F3902"/>
    <w:rsid w:val="007F3904"/>
    <w:rsid w:val="007F3907"/>
    <w:rsid w:val="007F3927"/>
    <w:rsid w:val="007F3930"/>
    <w:rsid w:val="007F395A"/>
    <w:rsid w:val="007F3978"/>
    <w:rsid w:val="007F39F4"/>
    <w:rsid w:val="007F39FC"/>
    <w:rsid w:val="007F3A25"/>
    <w:rsid w:val="007F3A4B"/>
    <w:rsid w:val="007F3A75"/>
    <w:rsid w:val="007F3B99"/>
    <w:rsid w:val="007F3BD8"/>
    <w:rsid w:val="007F3C32"/>
    <w:rsid w:val="007F3C7B"/>
    <w:rsid w:val="007F3C9B"/>
    <w:rsid w:val="007F3CB1"/>
    <w:rsid w:val="007F3CC2"/>
    <w:rsid w:val="007F3CCE"/>
    <w:rsid w:val="007F3D85"/>
    <w:rsid w:val="007F3D91"/>
    <w:rsid w:val="007F3DB8"/>
    <w:rsid w:val="007F3E04"/>
    <w:rsid w:val="007F3E2F"/>
    <w:rsid w:val="007F3E46"/>
    <w:rsid w:val="007F3E63"/>
    <w:rsid w:val="007F3E7A"/>
    <w:rsid w:val="007F3F1F"/>
    <w:rsid w:val="007F3FDE"/>
    <w:rsid w:val="007F3FF2"/>
    <w:rsid w:val="007F3FF4"/>
    <w:rsid w:val="007F4056"/>
    <w:rsid w:val="007F4058"/>
    <w:rsid w:val="007F4088"/>
    <w:rsid w:val="007F4129"/>
    <w:rsid w:val="007F4141"/>
    <w:rsid w:val="007F4154"/>
    <w:rsid w:val="007F4172"/>
    <w:rsid w:val="007F4178"/>
    <w:rsid w:val="007F41BE"/>
    <w:rsid w:val="007F41D7"/>
    <w:rsid w:val="007F4221"/>
    <w:rsid w:val="007F4241"/>
    <w:rsid w:val="007F4261"/>
    <w:rsid w:val="007F428B"/>
    <w:rsid w:val="007F428F"/>
    <w:rsid w:val="007F42A7"/>
    <w:rsid w:val="007F42C8"/>
    <w:rsid w:val="007F4311"/>
    <w:rsid w:val="007F435F"/>
    <w:rsid w:val="007F4362"/>
    <w:rsid w:val="007F4372"/>
    <w:rsid w:val="007F43BA"/>
    <w:rsid w:val="007F43D2"/>
    <w:rsid w:val="007F4403"/>
    <w:rsid w:val="007F4466"/>
    <w:rsid w:val="007F4473"/>
    <w:rsid w:val="007F44AF"/>
    <w:rsid w:val="007F44E1"/>
    <w:rsid w:val="007F452E"/>
    <w:rsid w:val="007F4532"/>
    <w:rsid w:val="007F4561"/>
    <w:rsid w:val="007F457B"/>
    <w:rsid w:val="007F45E2"/>
    <w:rsid w:val="007F4617"/>
    <w:rsid w:val="007F46A6"/>
    <w:rsid w:val="007F46CF"/>
    <w:rsid w:val="007F46EE"/>
    <w:rsid w:val="007F46F5"/>
    <w:rsid w:val="007F46FE"/>
    <w:rsid w:val="007F4722"/>
    <w:rsid w:val="007F474A"/>
    <w:rsid w:val="007F4750"/>
    <w:rsid w:val="007F47CF"/>
    <w:rsid w:val="007F47DA"/>
    <w:rsid w:val="007F484B"/>
    <w:rsid w:val="007F48CF"/>
    <w:rsid w:val="007F493A"/>
    <w:rsid w:val="007F493C"/>
    <w:rsid w:val="007F495E"/>
    <w:rsid w:val="007F49A7"/>
    <w:rsid w:val="007F49B4"/>
    <w:rsid w:val="007F49DB"/>
    <w:rsid w:val="007F4AB2"/>
    <w:rsid w:val="007F4ABB"/>
    <w:rsid w:val="007F4ABC"/>
    <w:rsid w:val="007F4AF0"/>
    <w:rsid w:val="007F4B09"/>
    <w:rsid w:val="007F4B3E"/>
    <w:rsid w:val="007F4B7D"/>
    <w:rsid w:val="007F4BD6"/>
    <w:rsid w:val="007F4BEB"/>
    <w:rsid w:val="007F4C71"/>
    <w:rsid w:val="007F4C9C"/>
    <w:rsid w:val="007F4D04"/>
    <w:rsid w:val="007F4D69"/>
    <w:rsid w:val="007F4D77"/>
    <w:rsid w:val="007F4D92"/>
    <w:rsid w:val="007F4D98"/>
    <w:rsid w:val="007F4DBC"/>
    <w:rsid w:val="007F4DD8"/>
    <w:rsid w:val="007F4E59"/>
    <w:rsid w:val="007F4E81"/>
    <w:rsid w:val="007F4EDE"/>
    <w:rsid w:val="007F4EF4"/>
    <w:rsid w:val="007F4F12"/>
    <w:rsid w:val="007F4F15"/>
    <w:rsid w:val="007F4FA7"/>
    <w:rsid w:val="007F4FD0"/>
    <w:rsid w:val="007F4FD7"/>
    <w:rsid w:val="007F4FFC"/>
    <w:rsid w:val="007F502F"/>
    <w:rsid w:val="007F5063"/>
    <w:rsid w:val="007F5064"/>
    <w:rsid w:val="007F50FE"/>
    <w:rsid w:val="007F512B"/>
    <w:rsid w:val="007F5169"/>
    <w:rsid w:val="007F5193"/>
    <w:rsid w:val="007F51CE"/>
    <w:rsid w:val="007F520D"/>
    <w:rsid w:val="007F5211"/>
    <w:rsid w:val="007F5250"/>
    <w:rsid w:val="007F526D"/>
    <w:rsid w:val="007F5277"/>
    <w:rsid w:val="007F52D2"/>
    <w:rsid w:val="007F530C"/>
    <w:rsid w:val="007F534C"/>
    <w:rsid w:val="007F5395"/>
    <w:rsid w:val="007F53B2"/>
    <w:rsid w:val="007F53BD"/>
    <w:rsid w:val="007F53C0"/>
    <w:rsid w:val="007F53D1"/>
    <w:rsid w:val="007F549F"/>
    <w:rsid w:val="007F54A3"/>
    <w:rsid w:val="007F54C2"/>
    <w:rsid w:val="007F54EA"/>
    <w:rsid w:val="007F556A"/>
    <w:rsid w:val="007F5676"/>
    <w:rsid w:val="007F56B4"/>
    <w:rsid w:val="007F56F4"/>
    <w:rsid w:val="007F579F"/>
    <w:rsid w:val="007F57D1"/>
    <w:rsid w:val="007F57EB"/>
    <w:rsid w:val="007F5843"/>
    <w:rsid w:val="007F5898"/>
    <w:rsid w:val="007F590B"/>
    <w:rsid w:val="007F593E"/>
    <w:rsid w:val="007F596D"/>
    <w:rsid w:val="007F598E"/>
    <w:rsid w:val="007F59BC"/>
    <w:rsid w:val="007F5A0B"/>
    <w:rsid w:val="007F5A1B"/>
    <w:rsid w:val="007F5A64"/>
    <w:rsid w:val="007F5ACD"/>
    <w:rsid w:val="007F5B31"/>
    <w:rsid w:val="007F5BD0"/>
    <w:rsid w:val="007F5BD7"/>
    <w:rsid w:val="007F5BEB"/>
    <w:rsid w:val="007F5BEE"/>
    <w:rsid w:val="007F5BFA"/>
    <w:rsid w:val="007F5C22"/>
    <w:rsid w:val="007F5C31"/>
    <w:rsid w:val="007F5C54"/>
    <w:rsid w:val="007F5CCE"/>
    <w:rsid w:val="007F5D8A"/>
    <w:rsid w:val="007F5DA4"/>
    <w:rsid w:val="007F5E3E"/>
    <w:rsid w:val="007F5E8F"/>
    <w:rsid w:val="007F5E9F"/>
    <w:rsid w:val="007F5EB4"/>
    <w:rsid w:val="007F5F67"/>
    <w:rsid w:val="007F5F73"/>
    <w:rsid w:val="007F5FD7"/>
    <w:rsid w:val="007F5FE8"/>
    <w:rsid w:val="007F5FFC"/>
    <w:rsid w:val="007F602A"/>
    <w:rsid w:val="007F60CB"/>
    <w:rsid w:val="007F60F3"/>
    <w:rsid w:val="007F60F4"/>
    <w:rsid w:val="007F610C"/>
    <w:rsid w:val="007F6149"/>
    <w:rsid w:val="007F615E"/>
    <w:rsid w:val="007F6161"/>
    <w:rsid w:val="007F6200"/>
    <w:rsid w:val="007F624B"/>
    <w:rsid w:val="007F624E"/>
    <w:rsid w:val="007F6286"/>
    <w:rsid w:val="007F62E0"/>
    <w:rsid w:val="007F62F1"/>
    <w:rsid w:val="007F62F9"/>
    <w:rsid w:val="007F6396"/>
    <w:rsid w:val="007F639E"/>
    <w:rsid w:val="007F63CE"/>
    <w:rsid w:val="007F63E9"/>
    <w:rsid w:val="007F6421"/>
    <w:rsid w:val="007F643C"/>
    <w:rsid w:val="007F643D"/>
    <w:rsid w:val="007F649E"/>
    <w:rsid w:val="007F64BE"/>
    <w:rsid w:val="007F64C8"/>
    <w:rsid w:val="007F64FA"/>
    <w:rsid w:val="007F6659"/>
    <w:rsid w:val="007F6675"/>
    <w:rsid w:val="007F66BF"/>
    <w:rsid w:val="007F6743"/>
    <w:rsid w:val="007F678B"/>
    <w:rsid w:val="007F67AF"/>
    <w:rsid w:val="007F67BA"/>
    <w:rsid w:val="007F67C1"/>
    <w:rsid w:val="007F67C4"/>
    <w:rsid w:val="007F67C7"/>
    <w:rsid w:val="007F680B"/>
    <w:rsid w:val="007F6830"/>
    <w:rsid w:val="007F6833"/>
    <w:rsid w:val="007F6855"/>
    <w:rsid w:val="007F6864"/>
    <w:rsid w:val="007F688E"/>
    <w:rsid w:val="007F68D4"/>
    <w:rsid w:val="007F68F5"/>
    <w:rsid w:val="007F68FA"/>
    <w:rsid w:val="007F6903"/>
    <w:rsid w:val="007F6910"/>
    <w:rsid w:val="007F696A"/>
    <w:rsid w:val="007F6A01"/>
    <w:rsid w:val="007F6A2D"/>
    <w:rsid w:val="007F6A35"/>
    <w:rsid w:val="007F6A3E"/>
    <w:rsid w:val="007F6AD3"/>
    <w:rsid w:val="007F6B22"/>
    <w:rsid w:val="007F6BE8"/>
    <w:rsid w:val="007F6BF5"/>
    <w:rsid w:val="007F6BFB"/>
    <w:rsid w:val="007F6C44"/>
    <w:rsid w:val="007F6CB5"/>
    <w:rsid w:val="007F6CDA"/>
    <w:rsid w:val="007F6D0C"/>
    <w:rsid w:val="007F6D35"/>
    <w:rsid w:val="007F6D38"/>
    <w:rsid w:val="007F6D63"/>
    <w:rsid w:val="007F6DE2"/>
    <w:rsid w:val="007F6E69"/>
    <w:rsid w:val="007F6E6D"/>
    <w:rsid w:val="007F6E70"/>
    <w:rsid w:val="007F6EB1"/>
    <w:rsid w:val="007F6ECC"/>
    <w:rsid w:val="007F6ED4"/>
    <w:rsid w:val="007F7018"/>
    <w:rsid w:val="007F701D"/>
    <w:rsid w:val="007F7022"/>
    <w:rsid w:val="007F7062"/>
    <w:rsid w:val="007F706E"/>
    <w:rsid w:val="007F707D"/>
    <w:rsid w:val="007F708E"/>
    <w:rsid w:val="007F70B1"/>
    <w:rsid w:val="007F70BE"/>
    <w:rsid w:val="007F70C0"/>
    <w:rsid w:val="007F70D6"/>
    <w:rsid w:val="007F70D9"/>
    <w:rsid w:val="007F70DB"/>
    <w:rsid w:val="007F70EF"/>
    <w:rsid w:val="007F711A"/>
    <w:rsid w:val="007F712D"/>
    <w:rsid w:val="007F7134"/>
    <w:rsid w:val="007F7142"/>
    <w:rsid w:val="007F714B"/>
    <w:rsid w:val="007F715E"/>
    <w:rsid w:val="007F7197"/>
    <w:rsid w:val="007F71DD"/>
    <w:rsid w:val="007F71E7"/>
    <w:rsid w:val="007F7220"/>
    <w:rsid w:val="007F7268"/>
    <w:rsid w:val="007F72D2"/>
    <w:rsid w:val="007F72FA"/>
    <w:rsid w:val="007F72FF"/>
    <w:rsid w:val="007F733E"/>
    <w:rsid w:val="007F7347"/>
    <w:rsid w:val="007F7370"/>
    <w:rsid w:val="007F73B4"/>
    <w:rsid w:val="007F7419"/>
    <w:rsid w:val="007F749B"/>
    <w:rsid w:val="007F7501"/>
    <w:rsid w:val="007F7566"/>
    <w:rsid w:val="007F7585"/>
    <w:rsid w:val="007F7590"/>
    <w:rsid w:val="007F75CF"/>
    <w:rsid w:val="007F75F8"/>
    <w:rsid w:val="007F7607"/>
    <w:rsid w:val="007F7622"/>
    <w:rsid w:val="007F763A"/>
    <w:rsid w:val="007F7668"/>
    <w:rsid w:val="007F76E1"/>
    <w:rsid w:val="007F7717"/>
    <w:rsid w:val="007F77CA"/>
    <w:rsid w:val="007F77E3"/>
    <w:rsid w:val="007F7841"/>
    <w:rsid w:val="007F784F"/>
    <w:rsid w:val="007F7851"/>
    <w:rsid w:val="007F785C"/>
    <w:rsid w:val="007F786B"/>
    <w:rsid w:val="007F78D8"/>
    <w:rsid w:val="007F78E1"/>
    <w:rsid w:val="007F78E4"/>
    <w:rsid w:val="007F7904"/>
    <w:rsid w:val="007F792B"/>
    <w:rsid w:val="007F7A5E"/>
    <w:rsid w:val="007F7AB7"/>
    <w:rsid w:val="007F7ABA"/>
    <w:rsid w:val="007F7ADA"/>
    <w:rsid w:val="007F7AE6"/>
    <w:rsid w:val="007F7B91"/>
    <w:rsid w:val="007F7BA3"/>
    <w:rsid w:val="007F7BCE"/>
    <w:rsid w:val="007F7C0B"/>
    <w:rsid w:val="007F7C20"/>
    <w:rsid w:val="007F7C56"/>
    <w:rsid w:val="007F7C9E"/>
    <w:rsid w:val="007F7CC3"/>
    <w:rsid w:val="007F7D14"/>
    <w:rsid w:val="007F7D28"/>
    <w:rsid w:val="007F7D38"/>
    <w:rsid w:val="007F7D46"/>
    <w:rsid w:val="007F7D8F"/>
    <w:rsid w:val="007F7DE0"/>
    <w:rsid w:val="007F7E00"/>
    <w:rsid w:val="007F7E3A"/>
    <w:rsid w:val="007F7E4F"/>
    <w:rsid w:val="007F7E53"/>
    <w:rsid w:val="007F7E71"/>
    <w:rsid w:val="007F7ED1"/>
    <w:rsid w:val="007F7ED6"/>
    <w:rsid w:val="007F7F0C"/>
    <w:rsid w:val="007F7F59"/>
    <w:rsid w:val="007F7FED"/>
    <w:rsid w:val="00800072"/>
    <w:rsid w:val="008000C6"/>
    <w:rsid w:val="00800112"/>
    <w:rsid w:val="00800192"/>
    <w:rsid w:val="00800198"/>
    <w:rsid w:val="0080019C"/>
    <w:rsid w:val="008001D2"/>
    <w:rsid w:val="00800292"/>
    <w:rsid w:val="008002CF"/>
    <w:rsid w:val="00800326"/>
    <w:rsid w:val="00800392"/>
    <w:rsid w:val="0080044B"/>
    <w:rsid w:val="0080050A"/>
    <w:rsid w:val="00800521"/>
    <w:rsid w:val="0080052F"/>
    <w:rsid w:val="00800533"/>
    <w:rsid w:val="00800589"/>
    <w:rsid w:val="008005B7"/>
    <w:rsid w:val="008005EC"/>
    <w:rsid w:val="0080060D"/>
    <w:rsid w:val="00800620"/>
    <w:rsid w:val="00800684"/>
    <w:rsid w:val="00800696"/>
    <w:rsid w:val="008006D2"/>
    <w:rsid w:val="008006F0"/>
    <w:rsid w:val="00800758"/>
    <w:rsid w:val="00800789"/>
    <w:rsid w:val="00800791"/>
    <w:rsid w:val="008007CB"/>
    <w:rsid w:val="008007DF"/>
    <w:rsid w:val="008007E9"/>
    <w:rsid w:val="00800814"/>
    <w:rsid w:val="0080084E"/>
    <w:rsid w:val="00800868"/>
    <w:rsid w:val="008008B4"/>
    <w:rsid w:val="008008D8"/>
    <w:rsid w:val="008008DC"/>
    <w:rsid w:val="0080090C"/>
    <w:rsid w:val="0080092F"/>
    <w:rsid w:val="00800967"/>
    <w:rsid w:val="00800981"/>
    <w:rsid w:val="008009A2"/>
    <w:rsid w:val="008009C3"/>
    <w:rsid w:val="008009DA"/>
    <w:rsid w:val="008009EF"/>
    <w:rsid w:val="008009F7"/>
    <w:rsid w:val="00800A04"/>
    <w:rsid w:val="00800A90"/>
    <w:rsid w:val="00800AA0"/>
    <w:rsid w:val="00800ACB"/>
    <w:rsid w:val="00800B11"/>
    <w:rsid w:val="00800B13"/>
    <w:rsid w:val="00800B97"/>
    <w:rsid w:val="00800BD0"/>
    <w:rsid w:val="00800BD7"/>
    <w:rsid w:val="00800C56"/>
    <w:rsid w:val="00800C71"/>
    <w:rsid w:val="00800CA0"/>
    <w:rsid w:val="00800CA9"/>
    <w:rsid w:val="00800CFE"/>
    <w:rsid w:val="00800D9E"/>
    <w:rsid w:val="00800DE3"/>
    <w:rsid w:val="00800DFB"/>
    <w:rsid w:val="00800DFD"/>
    <w:rsid w:val="00800E19"/>
    <w:rsid w:val="00800E40"/>
    <w:rsid w:val="00800E5C"/>
    <w:rsid w:val="00800E80"/>
    <w:rsid w:val="00800EA8"/>
    <w:rsid w:val="00800EB4"/>
    <w:rsid w:val="00800ECB"/>
    <w:rsid w:val="00800F53"/>
    <w:rsid w:val="00800FB5"/>
    <w:rsid w:val="00800FBD"/>
    <w:rsid w:val="0080103D"/>
    <w:rsid w:val="00801094"/>
    <w:rsid w:val="008010B8"/>
    <w:rsid w:val="008010C4"/>
    <w:rsid w:val="0080110A"/>
    <w:rsid w:val="00801182"/>
    <w:rsid w:val="00801195"/>
    <w:rsid w:val="00801196"/>
    <w:rsid w:val="008011BA"/>
    <w:rsid w:val="008011C8"/>
    <w:rsid w:val="008011CE"/>
    <w:rsid w:val="00801250"/>
    <w:rsid w:val="008012B8"/>
    <w:rsid w:val="008012EC"/>
    <w:rsid w:val="00801388"/>
    <w:rsid w:val="0080144C"/>
    <w:rsid w:val="00801450"/>
    <w:rsid w:val="00801481"/>
    <w:rsid w:val="0080151D"/>
    <w:rsid w:val="00801541"/>
    <w:rsid w:val="00801557"/>
    <w:rsid w:val="00801559"/>
    <w:rsid w:val="00801577"/>
    <w:rsid w:val="008015A1"/>
    <w:rsid w:val="008015CB"/>
    <w:rsid w:val="00801632"/>
    <w:rsid w:val="00801639"/>
    <w:rsid w:val="0080172C"/>
    <w:rsid w:val="00801783"/>
    <w:rsid w:val="00801888"/>
    <w:rsid w:val="00801890"/>
    <w:rsid w:val="0080189B"/>
    <w:rsid w:val="008018BF"/>
    <w:rsid w:val="008018F0"/>
    <w:rsid w:val="0080191C"/>
    <w:rsid w:val="0080192E"/>
    <w:rsid w:val="00801946"/>
    <w:rsid w:val="00801970"/>
    <w:rsid w:val="00801980"/>
    <w:rsid w:val="008019B0"/>
    <w:rsid w:val="00801A4F"/>
    <w:rsid w:val="00801A89"/>
    <w:rsid w:val="00801AA4"/>
    <w:rsid w:val="00801AD3"/>
    <w:rsid w:val="00801ADC"/>
    <w:rsid w:val="00801B37"/>
    <w:rsid w:val="00801B3E"/>
    <w:rsid w:val="00801B5B"/>
    <w:rsid w:val="00801B77"/>
    <w:rsid w:val="00801CF8"/>
    <w:rsid w:val="00801D02"/>
    <w:rsid w:val="00801D0A"/>
    <w:rsid w:val="00801D42"/>
    <w:rsid w:val="00801D46"/>
    <w:rsid w:val="00801D62"/>
    <w:rsid w:val="00801D89"/>
    <w:rsid w:val="00801D9B"/>
    <w:rsid w:val="00801DF5"/>
    <w:rsid w:val="00801E19"/>
    <w:rsid w:val="00801E3A"/>
    <w:rsid w:val="00801E4E"/>
    <w:rsid w:val="00801EEC"/>
    <w:rsid w:val="00801EFD"/>
    <w:rsid w:val="00801F6C"/>
    <w:rsid w:val="00801F8D"/>
    <w:rsid w:val="00801F9A"/>
    <w:rsid w:val="00801FFA"/>
    <w:rsid w:val="00802021"/>
    <w:rsid w:val="00802036"/>
    <w:rsid w:val="008020BC"/>
    <w:rsid w:val="008020DE"/>
    <w:rsid w:val="008020E3"/>
    <w:rsid w:val="008020E4"/>
    <w:rsid w:val="008020FA"/>
    <w:rsid w:val="0080213A"/>
    <w:rsid w:val="00802167"/>
    <w:rsid w:val="008021B9"/>
    <w:rsid w:val="008021C3"/>
    <w:rsid w:val="008021CA"/>
    <w:rsid w:val="00802235"/>
    <w:rsid w:val="00802265"/>
    <w:rsid w:val="008022A0"/>
    <w:rsid w:val="008022E0"/>
    <w:rsid w:val="008022EA"/>
    <w:rsid w:val="008022FE"/>
    <w:rsid w:val="0080232E"/>
    <w:rsid w:val="00802330"/>
    <w:rsid w:val="0080235B"/>
    <w:rsid w:val="0080235E"/>
    <w:rsid w:val="00802372"/>
    <w:rsid w:val="0080238F"/>
    <w:rsid w:val="008023DE"/>
    <w:rsid w:val="00802447"/>
    <w:rsid w:val="00802461"/>
    <w:rsid w:val="00802488"/>
    <w:rsid w:val="008024AC"/>
    <w:rsid w:val="008024BF"/>
    <w:rsid w:val="00802532"/>
    <w:rsid w:val="0080255E"/>
    <w:rsid w:val="00802582"/>
    <w:rsid w:val="0080258B"/>
    <w:rsid w:val="008025AF"/>
    <w:rsid w:val="008025DB"/>
    <w:rsid w:val="00802618"/>
    <w:rsid w:val="0080267F"/>
    <w:rsid w:val="008026F2"/>
    <w:rsid w:val="008026F9"/>
    <w:rsid w:val="008026FC"/>
    <w:rsid w:val="00802741"/>
    <w:rsid w:val="00802794"/>
    <w:rsid w:val="008027DE"/>
    <w:rsid w:val="008027E8"/>
    <w:rsid w:val="008027F5"/>
    <w:rsid w:val="00802831"/>
    <w:rsid w:val="0080283A"/>
    <w:rsid w:val="00802905"/>
    <w:rsid w:val="00802920"/>
    <w:rsid w:val="0080294C"/>
    <w:rsid w:val="0080296F"/>
    <w:rsid w:val="0080297A"/>
    <w:rsid w:val="008029BC"/>
    <w:rsid w:val="008029D4"/>
    <w:rsid w:val="008029F6"/>
    <w:rsid w:val="00802A41"/>
    <w:rsid w:val="00802B44"/>
    <w:rsid w:val="00802B63"/>
    <w:rsid w:val="00802B68"/>
    <w:rsid w:val="00802B6D"/>
    <w:rsid w:val="00802B80"/>
    <w:rsid w:val="00802C56"/>
    <w:rsid w:val="00802C83"/>
    <w:rsid w:val="00802CFF"/>
    <w:rsid w:val="00802D5A"/>
    <w:rsid w:val="00802D95"/>
    <w:rsid w:val="00802DA2"/>
    <w:rsid w:val="00802DE3"/>
    <w:rsid w:val="00802DED"/>
    <w:rsid w:val="00802DF6"/>
    <w:rsid w:val="00802E20"/>
    <w:rsid w:val="00802E6B"/>
    <w:rsid w:val="00802E94"/>
    <w:rsid w:val="00802EAE"/>
    <w:rsid w:val="00802EFC"/>
    <w:rsid w:val="00802EFF"/>
    <w:rsid w:val="00802F19"/>
    <w:rsid w:val="00802F4B"/>
    <w:rsid w:val="00802F74"/>
    <w:rsid w:val="00802F94"/>
    <w:rsid w:val="00802FB0"/>
    <w:rsid w:val="00803031"/>
    <w:rsid w:val="0080305D"/>
    <w:rsid w:val="0080308B"/>
    <w:rsid w:val="00803097"/>
    <w:rsid w:val="0080309B"/>
    <w:rsid w:val="008030AA"/>
    <w:rsid w:val="008030CD"/>
    <w:rsid w:val="00803110"/>
    <w:rsid w:val="008031B1"/>
    <w:rsid w:val="00803258"/>
    <w:rsid w:val="00803270"/>
    <w:rsid w:val="008032BB"/>
    <w:rsid w:val="008032E2"/>
    <w:rsid w:val="008033B8"/>
    <w:rsid w:val="0080342F"/>
    <w:rsid w:val="00803446"/>
    <w:rsid w:val="00803456"/>
    <w:rsid w:val="008034A1"/>
    <w:rsid w:val="008034B5"/>
    <w:rsid w:val="008034B8"/>
    <w:rsid w:val="008034BB"/>
    <w:rsid w:val="008034DC"/>
    <w:rsid w:val="008035CE"/>
    <w:rsid w:val="008035D5"/>
    <w:rsid w:val="008035E8"/>
    <w:rsid w:val="008035E9"/>
    <w:rsid w:val="008035F4"/>
    <w:rsid w:val="00803646"/>
    <w:rsid w:val="00803669"/>
    <w:rsid w:val="0080366E"/>
    <w:rsid w:val="008036BC"/>
    <w:rsid w:val="008036C5"/>
    <w:rsid w:val="008036FA"/>
    <w:rsid w:val="0080375C"/>
    <w:rsid w:val="008037BC"/>
    <w:rsid w:val="0080382D"/>
    <w:rsid w:val="00803844"/>
    <w:rsid w:val="00803906"/>
    <w:rsid w:val="0080391D"/>
    <w:rsid w:val="0080392D"/>
    <w:rsid w:val="0080394F"/>
    <w:rsid w:val="00803962"/>
    <w:rsid w:val="00803976"/>
    <w:rsid w:val="00803985"/>
    <w:rsid w:val="008039B9"/>
    <w:rsid w:val="00803A04"/>
    <w:rsid w:val="00803A32"/>
    <w:rsid w:val="00803A41"/>
    <w:rsid w:val="00803A47"/>
    <w:rsid w:val="00803A80"/>
    <w:rsid w:val="00803AAF"/>
    <w:rsid w:val="00803AF2"/>
    <w:rsid w:val="00803AFB"/>
    <w:rsid w:val="00803AFF"/>
    <w:rsid w:val="00803B02"/>
    <w:rsid w:val="00803B7A"/>
    <w:rsid w:val="00803B7D"/>
    <w:rsid w:val="00803B99"/>
    <w:rsid w:val="00803C5A"/>
    <w:rsid w:val="00803CA4"/>
    <w:rsid w:val="00803CD6"/>
    <w:rsid w:val="00803D1E"/>
    <w:rsid w:val="00803DF4"/>
    <w:rsid w:val="00803E17"/>
    <w:rsid w:val="00803E44"/>
    <w:rsid w:val="00803E50"/>
    <w:rsid w:val="00803E52"/>
    <w:rsid w:val="00803E7C"/>
    <w:rsid w:val="00803EAE"/>
    <w:rsid w:val="00803EDB"/>
    <w:rsid w:val="00803EDE"/>
    <w:rsid w:val="00803F28"/>
    <w:rsid w:val="00803F37"/>
    <w:rsid w:val="00803FD6"/>
    <w:rsid w:val="00804008"/>
    <w:rsid w:val="00804059"/>
    <w:rsid w:val="00804083"/>
    <w:rsid w:val="008040F9"/>
    <w:rsid w:val="00804185"/>
    <w:rsid w:val="008041AE"/>
    <w:rsid w:val="008041BF"/>
    <w:rsid w:val="008041C2"/>
    <w:rsid w:val="00804219"/>
    <w:rsid w:val="0080421C"/>
    <w:rsid w:val="0080423C"/>
    <w:rsid w:val="00804258"/>
    <w:rsid w:val="0080426F"/>
    <w:rsid w:val="0080427A"/>
    <w:rsid w:val="008042BF"/>
    <w:rsid w:val="00804371"/>
    <w:rsid w:val="00804379"/>
    <w:rsid w:val="008043BA"/>
    <w:rsid w:val="008043D9"/>
    <w:rsid w:val="00804452"/>
    <w:rsid w:val="00804520"/>
    <w:rsid w:val="0080458F"/>
    <w:rsid w:val="008045C5"/>
    <w:rsid w:val="008045D3"/>
    <w:rsid w:val="00804689"/>
    <w:rsid w:val="0080468D"/>
    <w:rsid w:val="008047C3"/>
    <w:rsid w:val="008047FE"/>
    <w:rsid w:val="008047FF"/>
    <w:rsid w:val="00804894"/>
    <w:rsid w:val="008048B1"/>
    <w:rsid w:val="008048F5"/>
    <w:rsid w:val="008049A2"/>
    <w:rsid w:val="008049C0"/>
    <w:rsid w:val="008049DE"/>
    <w:rsid w:val="00804A73"/>
    <w:rsid w:val="00804A9B"/>
    <w:rsid w:val="00804A9D"/>
    <w:rsid w:val="00804B19"/>
    <w:rsid w:val="00804B52"/>
    <w:rsid w:val="00804BCB"/>
    <w:rsid w:val="00804C06"/>
    <w:rsid w:val="00804C12"/>
    <w:rsid w:val="00804C21"/>
    <w:rsid w:val="00804C64"/>
    <w:rsid w:val="00804C7D"/>
    <w:rsid w:val="00804CBB"/>
    <w:rsid w:val="00804CDE"/>
    <w:rsid w:val="00804D1A"/>
    <w:rsid w:val="00804D26"/>
    <w:rsid w:val="00804D69"/>
    <w:rsid w:val="00804DAA"/>
    <w:rsid w:val="00804DC1"/>
    <w:rsid w:val="00804E3B"/>
    <w:rsid w:val="00804E98"/>
    <w:rsid w:val="00804EAC"/>
    <w:rsid w:val="00804ED6"/>
    <w:rsid w:val="00804EE8"/>
    <w:rsid w:val="00804EF5"/>
    <w:rsid w:val="00804EFC"/>
    <w:rsid w:val="00804F10"/>
    <w:rsid w:val="00804F4A"/>
    <w:rsid w:val="00804F63"/>
    <w:rsid w:val="00804F85"/>
    <w:rsid w:val="00804FF2"/>
    <w:rsid w:val="0080503E"/>
    <w:rsid w:val="008050DC"/>
    <w:rsid w:val="008050EE"/>
    <w:rsid w:val="00805101"/>
    <w:rsid w:val="00805116"/>
    <w:rsid w:val="00805138"/>
    <w:rsid w:val="0080517D"/>
    <w:rsid w:val="0080519B"/>
    <w:rsid w:val="008051B4"/>
    <w:rsid w:val="008051B8"/>
    <w:rsid w:val="008051F0"/>
    <w:rsid w:val="0080520C"/>
    <w:rsid w:val="00805246"/>
    <w:rsid w:val="0080527C"/>
    <w:rsid w:val="0080527F"/>
    <w:rsid w:val="008052D0"/>
    <w:rsid w:val="008052FA"/>
    <w:rsid w:val="00805329"/>
    <w:rsid w:val="00805331"/>
    <w:rsid w:val="0080537B"/>
    <w:rsid w:val="008053DB"/>
    <w:rsid w:val="0080541C"/>
    <w:rsid w:val="0080542E"/>
    <w:rsid w:val="00805450"/>
    <w:rsid w:val="00805480"/>
    <w:rsid w:val="0080554C"/>
    <w:rsid w:val="00805552"/>
    <w:rsid w:val="00805563"/>
    <w:rsid w:val="00805570"/>
    <w:rsid w:val="00805591"/>
    <w:rsid w:val="0080561F"/>
    <w:rsid w:val="00805659"/>
    <w:rsid w:val="00805662"/>
    <w:rsid w:val="00805665"/>
    <w:rsid w:val="00805671"/>
    <w:rsid w:val="00805676"/>
    <w:rsid w:val="0080570A"/>
    <w:rsid w:val="0080570E"/>
    <w:rsid w:val="0080571E"/>
    <w:rsid w:val="00805724"/>
    <w:rsid w:val="0080572D"/>
    <w:rsid w:val="0080574F"/>
    <w:rsid w:val="008057C7"/>
    <w:rsid w:val="008057EB"/>
    <w:rsid w:val="00805820"/>
    <w:rsid w:val="0080582C"/>
    <w:rsid w:val="00805846"/>
    <w:rsid w:val="00805881"/>
    <w:rsid w:val="00805918"/>
    <w:rsid w:val="00805981"/>
    <w:rsid w:val="008059E1"/>
    <w:rsid w:val="008059F8"/>
    <w:rsid w:val="00805A16"/>
    <w:rsid w:val="00805A4A"/>
    <w:rsid w:val="00805A96"/>
    <w:rsid w:val="00805B2F"/>
    <w:rsid w:val="00805B46"/>
    <w:rsid w:val="00805BD3"/>
    <w:rsid w:val="00805D00"/>
    <w:rsid w:val="00805D0B"/>
    <w:rsid w:val="00805D35"/>
    <w:rsid w:val="00805D70"/>
    <w:rsid w:val="00805DB4"/>
    <w:rsid w:val="00805E24"/>
    <w:rsid w:val="00805E64"/>
    <w:rsid w:val="00805E6F"/>
    <w:rsid w:val="00805E91"/>
    <w:rsid w:val="00805EC1"/>
    <w:rsid w:val="00805EC8"/>
    <w:rsid w:val="00805EE1"/>
    <w:rsid w:val="00805F13"/>
    <w:rsid w:val="00805F16"/>
    <w:rsid w:val="00805F33"/>
    <w:rsid w:val="00805F55"/>
    <w:rsid w:val="00805F70"/>
    <w:rsid w:val="00805F85"/>
    <w:rsid w:val="00805FC9"/>
    <w:rsid w:val="00806048"/>
    <w:rsid w:val="0080608A"/>
    <w:rsid w:val="008060D6"/>
    <w:rsid w:val="0080616A"/>
    <w:rsid w:val="0080618C"/>
    <w:rsid w:val="0080618F"/>
    <w:rsid w:val="008061A4"/>
    <w:rsid w:val="0080625F"/>
    <w:rsid w:val="008062D7"/>
    <w:rsid w:val="008062E5"/>
    <w:rsid w:val="00806326"/>
    <w:rsid w:val="008063B7"/>
    <w:rsid w:val="00806499"/>
    <w:rsid w:val="008064B7"/>
    <w:rsid w:val="008064E0"/>
    <w:rsid w:val="008064FE"/>
    <w:rsid w:val="00806505"/>
    <w:rsid w:val="0080650D"/>
    <w:rsid w:val="00806526"/>
    <w:rsid w:val="00806544"/>
    <w:rsid w:val="00806605"/>
    <w:rsid w:val="00806611"/>
    <w:rsid w:val="00806636"/>
    <w:rsid w:val="0080664E"/>
    <w:rsid w:val="008066F0"/>
    <w:rsid w:val="0080675A"/>
    <w:rsid w:val="0080675B"/>
    <w:rsid w:val="0080678F"/>
    <w:rsid w:val="008067C1"/>
    <w:rsid w:val="008067CB"/>
    <w:rsid w:val="008067E3"/>
    <w:rsid w:val="008067ED"/>
    <w:rsid w:val="00806862"/>
    <w:rsid w:val="00806876"/>
    <w:rsid w:val="008068E6"/>
    <w:rsid w:val="008068EB"/>
    <w:rsid w:val="0080695A"/>
    <w:rsid w:val="0080696D"/>
    <w:rsid w:val="008069D7"/>
    <w:rsid w:val="008069DC"/>
    <w:rsid w:val="008069E9"/>
    <w:rsid w:val="00806A26"/>
    <w:rsid w:val="00806A27"/>
    <w:rsid w:val="00806A3F"/>
    <w:rsid w:val="00806A81"/>
    <w:rsid w:val="00806AAC"/>
    <w:rsid w:val="00806AFB"/>
    <w:rsid w:val="00806B2E"/>
    <w:rsid w:val="00806B3B"/>
    <w:rsid w:val="00806BBA"/>
    <w:rsid w:val="00806C82"/>
    <w:rsid w:val="00806C92"/>
    <w:rsid w:val="00806C97"/>
    <w:rsid w:val="00806CA1"/>
    <w:rsid w:val="00806D10"/>
    <w:rsid w:val="00806D24"/>
    <w:rsid w:val="00806D3B"/>
    <w:rsid w:val="00806D56"/>
    <w:rsid w:val="00806DC2"/>
    <w:rsid w:val="00806DE0"/>
    <w:rsid w:val="00806E65"/>
    <w:rsid w:val="00806E7E"/>
    <w:rsid w:val="00806E89"/>
    <w:rsid w:val="00806EC7"/>
    <w:rsid w:val="00806EE2"/>
    <w:rsid w:val="00806EEE"/>
    <w:rsid w:val="00806EFB"/>
    <w:rsid w:val="00806F15"/>
    <w:rsid w:val="00806F1E"/>
    <w:rsid w:val="00806F3D"/>
    <w:rsid w:val="00806FB3"/>
    <w:rsid w:val="00806FFA"/>
    <w:rsid w:val="0080700C"/>
    <w:rsid w:val="0080701E"/>
    <w:rsid w:val="00807068"/>
    <w:rsid w:val="00807077"/>
    <w:rsid w:val="00807107"/>
    <w:rsid w:val="00807114"/>
    <w:rsid w:val="00807123"/>
    <w:rsid w:val="00807179"/>
    <w:rsid w:val="00807192"/>
    <w:rsid w:val="008071B4"/>
    <w:rsid w:val="008071E1"/>
    <w:rsid w:val="00807250"/>
    <w:rsid w:val="00807282"/>
    <w:rsid w:val="008072AB"/>
    <w:rsid w:val="00807307"/>
    <w:rsid w:val="00807369"/>
    <w:rsid w:val="0080738D"/>
    <w:rsid w:val="008073DC"/>
    <w:rsid w:val="00807407"/>
    <w:rsid w:val="00807453"/>
    <w:rsid w:val="0080745A"/>
    <w:rsid w:val="00807495"/>
    <w:rsid w:val="00807496"/>
    <w:rsid w:val="00807547"/>
    <w:rsid w:val="00807549"/>
    <w:rsid w:val="0080755B"/>
    <w:rsid w:val="0080758A"/>
    <w:rsid w:val="008075C7"/>
    <w:rsid w:val="008075D1"/>
    <w:rsid w:val="0080764C"/>
    <w:rsid w:val="00807667"/>
    <w:rsid w:val="0080769E"/>
    <w:rsid w:val="008076BB"/>
    <w:rsid w:val="008076F5"/>
    <w:rsid w:val="00807729"/>
    <w:rsid w:val="00807773"/>
    <w:rsid w:val="008077AD"/>
    <w:rsid w:val="008077C8"/>
    <w:rsid w:val="008077E4"/>
    <w:rsid w:val="00807826"/>
    <w:rsid w:val="00807831"/>
    <w:rsid w:val="00807858"/>
    <w:rsid w:val="00807863"/>
    <w:rsid w:val="008078EA"/>
    <w:rsid w:val="008079A2"/>
    <w:rsid w:val="008079AE"/>
    <w:rsid w:val="008079B3"/>
    <w:rsid w:val="008079EF"/>
    <w:rsid w:val="00807A05"/>
    <w:rsid w:val="00807A66"/>
    <w:rsid w:val="00807AD2"/>
    <w:rsid w:val="00807B2E"/>
    <w:rsid w:val="00807B55"/>
    <w:rsid w:val="00807B63"/>
    <w:rsid w:val="00807B71"/>
    <w:rsid w:val="00807C21"/>
    <w:rsid w:val="00807CC4"/>
    <w:rsid w:val="00807CC6"/>
    <w:rsid w:val="00807D16"/>
    <w:rsid w:val="00807D2D"/>
    <w:rsid w:val="00807D35"/>
    <w:rsid w:val="00807D6E"/>
    <w:rsid w:val="00807DAB"/>
    <w:rsid w:val="00807DB8"/>
    <w:rsid w:val="00807DBD"/>
    <w:rsid w:val="00807DF0"/>
    <w:rsid w:val="00807E39"/>
    <w:rsid w:val="00807E75"/>
    <w:rsid w:val="00807E91"/>
    <w:rsid w:val="00807EA1"/>
    <w:rsid w:val="00807EAB"/>
    <w:rsid w:val="00807EEC"/>
    <w:rsid w:val="00807EF8"/>
    <w:rsid w:val="00807F56"/>
    <w:rsid w:val="00807F69"/>
    <w:rsid w:val="00810027"/>
    <w:rsid w:val="00810045"/>
    <w:rsid w:val="00810066"/>
    <w:rsid w:val="00810080"/>
    <w:rsid w:val="008100A9"/>
    <w:rsid w:val="008100B0"/>
    <w:rsid w:val="0081012D"/>
    <w:rsid w:val="00810199"/>
    <w:rsid w:val="0081019B"/>
    <w:rsid w:val="008101A0"/>
    <w:rsid w:val="008101B9"/>
    <w:rsid w:val="008101FC"/>
    <w:rsid w:val="00810229"/>
    <w:rsid w:val="00810241"/>
    <w:rsid w:val="00810262"/>
    <w:rsid w:val="00810281"/>
    <w:rsid w:val="008102D7"/>
    <w:rsid w:val="00810334"/>
    <w:rsid w:val="008103DA"/>
    <w:rsid w:val="008103DE"/>
    <w:rsid w:val="0081041B"/>
    <w:rsid w:val="00810420"/>
    <w:rsid w:val="00810473"/>
    <w:rsid w:val="00810497"/>
    <w:rsid w:val="008104CD"/>
    <w:rsid w:val="0081050A"/>
    <w:rsid w:val="00810521"/>
    <w:rsid w:val="00810555"/>
    <w:rsid w:val="008105BD"/>
    <w:rsid w:val="00810618"/>
    <w:rsid w:val="0081061D"/>
    <w:rsid w:val="0081062B"/>
    <w:rsid w:val="0081064E"/>
    <w:rsid w:val="0081070E"/>
    <w:rsid w:val="00810715"/>
    <w:rsid w:val="0081072E"/>
    <w:rsid w:val="00810758"/>
    <w:rsid w:val="00810784"/>
    <w:rsid w:val="008107BB"/>
    <w:rsid w:val="00810804"/>
    <w:rsid w:val="00810812"/>
    <w:rsid w:val="0081084E"/>
    <w:rsid w:val="0081087D"/>
    <w:rsid w:val="00810884"/>
    <w:rsid w:val="008108BE"/>
    <w:rsid w:val="008108F5"/>
    <w:rsid w:val="0081092D"/>
    <w:rsid w:val="00810961"/>
    <w:rsid w:val="008109B7"/>
    <w:rsid w:val="008109BF"/>
    <w:rsid w:val="00810A07"/>
    <w:rsid w:val="00810A4E"/>
    <w:rsid w:val="00810AE1"/>
    <w:rsid w:val="00810AE3"/>
    <w:rsid w:val="00810AF5"/>
    <w:rsid w:val="00810BAE"/>
    <w:rsid w:val="00810C09"/>
    <w:rsid w:val="00810D25"/>
    <w:rsid w:val="00810D5B"/>
    <w:rsid w:val="00810D67"/>
    <w:rsid w:val="00810D70"/>
    <w:rsid w:val="00810D8B"/>
    <w:rsid w:val="00810DD2"/>
    <w:rsid w:val="00810DEE"/>
    <w:rsid w:val="00810ECE"/>
    <w:rsid w:val="00810EE5"/>
    <w:rsid w:val="00810EF3"/>
    <w:rsid w:val="00810F11"/>
    <w:rsid w:val="00810F43"/>
    <w:rsid w:val="00810F4E"/>
    <w:rsid w:val="00810F5F"/>
    <w:rsid w:val="00810F7D"/>
    <w:rsid w:val="00810F99"/>
    <w:rsid w:val="00810FA6"/>
    <w:rsid w:val="0081102A"/>
    <w:rsid w:val="00811095"/>
    <w:rsid w:val="00811098"/>
    <w:rsid w:val="008110B9"/>
    <w:rsid w:val="008110C8"/>
    <w:rsid w:val="008110DE"/>
    <w:rsid w:val="008110EF"/>
    <w:rsid w:val="0081113C"/>
    <w:rsid w:val="008111BB"/>
    <w:rsid w:val="008111E3"/>
    <w:rsid w:val="0081124F"/>
    <w:rsid w:val="00811258"/>
    <w:rsid w:val="008112CA"/>
    <w:rsid w:val="008112CD"/>
    <w:rsid w:val="0081131D"/>
    <w:rsid w:val="0081139E"/>
    <w:rsid w:val="008113C1"/>
    <w:rsid w:val="00811425"/>
    <w:rsid w:val="00811440"/>
    <w:rsid w:val="00811452"/>
    <w:rsid w:val="00811466"/>
    <w:rsid w:val="00811498"/>
    <w:rsid w:val="008114B2"/>
    <w:rsid w:val="0081152F"/>
    <w:rsid w:val="008115C7"/>
    <w:rsid w:val="008115E8"/>
    <w:rsid w:val="008115EA"/>
    <w:rsid w:val="008115F5"/>
    <w:rsid w:val="00811617"/>
    <w:rsid w:val="0081161D"/>
    <w:rsid w:val="0081164C"/>
    <w:rsid w:val="0081164D"/>
    <w:rsid w:val="00811685"/>
    <w:rsid w:val="008116E3"/>
    <w:rsid w:val="008116F0"/>
    <w:rsid w:val="008116F1"/>
    <w:rsid w:val="0081170C"/>
    <w:rsid w:val="00811724"/>
    <w:rsid w:val="00811756"/>
    <w:rsid w:val="00811861"/>
    <w:rsid w:val="008118C0"/>
    <w:rsid w:val="0081192E"/>
    <w:rsid w:val="00811940"/>
    <w:rsid w:val="00811943"/>
    <w:rsid w:val="0081195F"/>
    <w:rsid w:val="00811A07"/>
    <w:rsid w:val="00811A21"/>
    <w:rsid w:val="00811A2A"/>
    <w:rsid w:val="00811A3A"/>
    <w:rsid w:val="00811A4A"/>
    <w:rsid w:val="00811AA8"/>
    <w:rsid w:val="00811B1E"/>
    <w:rsid w:val="00811B7C"/>
    <w:rsid w:val="00811B92"/>
    <w:rsid w:val="00811BCC"/>
    <w:rsid w:val="00811C71"/>
    <w:rsid w:val="00811C9F"/>
    <w:rsid w:val="00811CC5"/>
    <w:rsid w:val="00811CF6"/>
    <w:rsid w:val="00811D22"/>
    <w:rsid w:val="00811D7E"/>
    <w:rsid w:val="00811D8A"/>
    <w:rsid w:val="00811DE3"/>
    <w:rsid w:val="00811DEA"/>
    <w:rsid w:val="00811DF7"/>
    <w:rsid w:val="00811E21"/>
    <w:rsid w:val="00811E37"/>
    <w:rsid w:val="00811E55"/>
    <w:rsid w:val="00811E7E"/>
    <w:rsid w:val="00811E84"/>
    <w:rsid w:val="00811ED1"/>
    <w:rsid w:val="00811F04"/>
    <w:rsid w:val="00811F61"/>
    <w:rsid w:val="00811F8C"/>
    <w:rsid w:val="00811FE0"/>
    <w:rsid w:val="008120FA"/>
    <w:rsid w:val="00812149"/>
    <w:rsid w:val="00812169"/>
    <w:rsid w:val="00812197"/>
    <w:rsid w:val="008121C3"/>
    <w:rsid w:val="008121EE"/>
    <w:rsid w:val="00812263"/>
    <w:rsid w:val="0081227E"/>
    <w:rsid w:val="008122BC"/>
    <w:rsid w:val="008122E6"/>
    <w:rsid w:val="008122F1"/>
    <w:rsid w:val="00812320"/>
    <w:rsid w:val="00812380"/>
    <w:rsid w:val="0081238B"/>
    <w:rsid w:val="008123A7"/>
    <w:rsid w:val="008123E6"/>
    <w:rsid w:val="00812447"/>
    <w:rsid w:val="008124A0"/>
    <w:rsid w:val="008124B3"/>
    <w:rsid w:val="008124F5"/>
    <w:rsid w:val="00812569"/>
    <w:rsid w:val="00812572"/>
    <w:rsid w:val="00812575"/>
    <w:rsid w:val="00812587"/>
    <w:rsid w:val="008125A9"/>
    <w:rsid w:val="008125C0"/>
    <w:rsid w:val="008125DE"/>
    <w:rsid w:val="0081274B"/>
    <w:rsid w:val="00812866"/>
    <w:rsid w:val="008128B6"/>
    <w:rsid w:val="008128C3"/>
    <w:rsid w:val="00812904"/>
    <w:rsid w:val="00812907"/>
    <w:rsid w:val="00812919"/>
    <w:rsid w:val="00812929"/>
    <w:rsid w:val="00812977"/>
    <w:rsid w:val="00812992"/>
    <w:rsid w:val="00812A57"/>
    <w:rsid w:val="00812A76"/>
    <w:rsid w:val="00812ADC"/>
    <w:rsid w:val="00812B4C"/>
    <w:rsid w:val="00812C68"/>
    <w:rsid w:val="00812CE8"/>
    <w:rsid w:val="00812D28"/>
    <w:rsid w:val="00812D59"/>
    <w:rsid w:val="00812DD4"/>
    <w:rsid w:val="00812E05"/>
    <w:rsid w:val="00812E19"/>
    <w:rsid w:val="00812E60"/>
    <w:rsid w:val="00812F1D"/>
    <w:rsid w:val="00812F44"/>
    <w:rsid w:val="00812F4E"/>
    <w:rsid w:val="00812F60"/>
    <w:rsid w:val="00812FC6"/>
    <w:rsid w:val="00812FCB"/>
    <w:rsid w:val="00812FF1"/>
    <w:rsid w:val="0081301B"/>
    <w:rsid w:val="0081302A"/>
    <w:rsid w:val="008130EA"/>
    <w:rsid w:val="008130F2"/>
    <w:rsid w:val="00813135"/>
    <w:rsid w:val="00813153"/>
    <w:rsid w:val="008131A4"/>
    <w:rsid w:val="008131B8"/>
    <w:rsid w:val="00813225"/>
    <w:rsid w:val="00813247"/>
    <w:rsid w:val="0081324F"/>
    <w:rsid w:val="00813264"/>
    <w:rsid w:val="0081326B"/>
    <w:rsid w:val="008132B1"/>
    <w:rsid w:val="00813308"/>
    <w:rsid w:val="00813334"/>
    <w:rsid w:val="00813399"/>
    <w:rsid w:val="008133E6"/>
    <w:rsid w:val="008133F8"/>
    <w:rsid w:val="0081341B"/>
    <w:rsid w:val="00813444"/>
    <w:rsid w:val="008134A0"/>
    <w:rsid w:val="00813540"/>
    <w:rsid w:val="00813581"/>
    <w:rsid w:val="008135BB"/>
    <w:rsid w:val="008135C1"/>
    <w:rsid w:val="008135CB"/>
    <w:rsid w:val="008135FD"/>
    <w:rsid w:val="0081360E"/>
    <w:rsid w:val="00813625"/>
    <w:rsid w:val="00813638"/>
    <w:rsid w:val="008136B3"/>
    <w:rsid w:val="008136BF"/>
    <w:rsid w:val="008136F2"/>
    <w:rsid w:val="00813762"/>
    <w:rsid w:val="008137D7"/>
    <w:rsid w:val="008137E0"/>
    <w:rsid w:val="008137FB"/>
    <w:rsid w:val="00813809"/>
    <w:rsid w:val="008138E3"/>
    <w:rsid w:val="008138EB"/>
    <w:rsid w:val="0081390E"/>
    <w:rsid w:val="00813967"/>
    <w:rsid w:val="0081396C"/>
    <w:rsid w:val="008139FA"/>
    <w:rsid w:val="00813A19"/>
    <w:rsid w:val="00813A27"/>
    <w:rsid w:val="00813A3B"/>
    <w:rsid w:val="00813A59"/>
    <w:rsid w:val="00813A6D"/>
    <w:rsid w:val="00813AB6"/>
    <w:rsid w:val="00813AB8"/>
    <w:rsid w:val="00813ABF"/>
    <w:rsid w:val="00813AE9"/>
    <w:rsid w:val="00813B45"/>
    <w:rsid w:val="00813B7F"/>
    <w:rsid w:val="00813C3D"/>
    <w:rsid w:val="00813C87"/>
    <w:rsid w:val="00813D3E"/>
    <w:rsid w:val="00813D41"/>
    <w:rsid w:val="00813D93"/>
    <w:rsid w:val="00813DD8"/>
    <w:rsid w:val="00813DF5"/>
    <w:rsid w:val="00813E29"/>
    <w:rsid w:val="00813E3C"/>
    <w:rsid w:val="00813E65"/>
    <w:rsid w:val="00813E75"/>
    <w:rsid w:val="00813EC6"/>
    <w:rsid w:val="00813F14"/>
    <w:rsid w:val="00813F17"/>
    <w:rsid w:val="00813F3C"/>
    <w:rsid w:val="00813F91"/>
    <w:rsid w:val="0081402B"/>
    <w:rsid w:val="0081403A"/>
    <w:rsid w:val="00814097"/>
    <w:rsid w:val="008140F6"/>
    <w:rsid w:val="008140FE"/>
    <w:rsid w:val="0081411D"/>
    <w:rsid w:val="00814143"/>
    <w:rsid w:val="0081416B"/>
    <w:rsid w:val="008141AD"/>
    <w:rsid w:val="008141B1"/>
    <w:rsid w:val="008141DF"/>
    <w:rsid w:val="008141F9"/>
    <w:rsid w:val="00814229"/>
    <w:rsid w:val="0081424C"/>
    <w:rsid w:val="0081428B"/>
    <w:rsid w:val="00814296"/>
    <w:rsid w:val="008142BA"/>
    <w:rsid w:val="008142CA"/>
    <w:rsid w:val="008142D7"/>
    <w:rsid w:val="00814314"/>
    <w:rsid w:val="00814330"/>
    <w:rsid w:val="00814334"/>
    <w:rsid w:val="00814372"/>
    <w:rsid w:val="00814382"/>
    <w:rsid w:val="008143DF"/>
    <w:rsid w:val="0081447A"/>
    <w:rsid w:val="0081448D"/>
    <w:rsid w:val="0081448F"/>
    <w:rsid w:val="0081449B"/>
    <w:rsid w:val="0081449E"/>
    <w:rsid w:val="008144E9"/>
    <w:rsid w:val="00814529"/>
    <w:rsid w:val="0081456C"/>
    <w:rsid w:val="008145F6"/>
    <w:rsid w:val="0081466D"/>
    <w:rsid w:val="008146B1"/>
    <w:rsid w:val="008146EA"/>
    <w:rsid w:val="00814733"/>
    <w:rsid w:val="00814745"/>
    <w:rsid w:val="0081474A"/>
    <w:rsid w:val="00814768"/>
    <w:rsid w:val="00814772"/>
    <w:rsid w:val="00814788"/>
    <w:rsid w:val="00814798"/>
    <w:rsid w:val="008147D5"/>
    <w:rsid w:val="0081480A"/>
    <w:rsid w:val="0081484F"/>
    <w:rsid w:val="00814886"/>
    <w:rsid w:val="0081489D"/>
    <w:rsid w:val="008148B6"/>
    <w:rsid w:val="00814905"/>
    <w:rsid w:val="00814906"/>
    <w:rsid w:val="0081493A"/>
    <w:rsid w:val="0081495A"/>
    <w:rsid w:val="008149DA"/>
    <w:rsid w:val="00814A4F"/>
    <w:rsid w:val="00814A7D"/>
    <w:rsid w:val="00814A8B"/>
    <w:rsid w:val="00814AAA"/>
    <w:rsid w:val="00814AB7"/>
    <w:rsid w:val="00814AF9"/>
    <w:rsid w:val="00814B05"/>
    <w:rsid w:val="00814BA8"/>
    <w:rsid w:val="00814BA9"/>
    <w:rsid w:val="00814BF8"/>
    <w:rsid w:val="00814D57"/>
    <w:rsid w:val="00814DAC"/>
    <w:rsid w:val="00814DC9"/>
    <w:rsid w:val="00814E11"/>
    <w:rsid w:val="00814E14"/>
    <w:rsid w:val="00814E9A"/>
    <w:rsid w:val="00814F49"/>
    <w:rsid w:val="00815008"/>
    <w:rsid w:val="0081502B"/>
    <w:rsid w:val="008150A5"/>
    <w:rsid w:val="00815108"/>
    <w:rsid w:val="0081511C"/>
    <w:rsid w:val="0081515A"/>
    <w:rsid w:val="008151CF"/>
    <w:rsid w:val="00815251"/>
    <w:rsid w:val="00815324"/>
    <w:rsid w:val="0081532F"/>
    <w:rsid w:val="00815351"/>
    <w:rsid w:val="0081536A"/>
    <w:rsid w:val="00815393"/>
    <w:rsid w:val="008153AD"/>
    <w:rsid w:val="0081542B"/>
    <w:rsid w:val="008154CB"/>
    <w:rsid w:val="00815536"/>
    <w:rsid w:val="00815590"/>
    <w:rsid w:val="008155A3"/>
    <w:rsid w:val="008155E0"/>
    <w:rsid w:val="00815605"/>
    <w:rsid w:val="0081564C"/>
    <w:rsid w:val="00815663"/>
    <w:rsid w:val="008156AC"/>
    <w:rsid w:val="008156C6"/>
    <w:rsid w:val="0081572C"/>
    <w:rsid w:val="0081575F"/>
    <w:rsid w:val="00815769"/>
    <w:rsid w:val="0081578F"/>
    <w:rsid w:val="008157AA"/>
    <w:rsid w:val="008157ED"/>
    <w:rsid w:val="00815856"/>
    <w:rsid w:val="00815874"/>
    <w:rsid w:val="008158E2"/>
    <w:rsid w:val="008158FC"/>
    <w:rsid w:val="00815930"/>
    <w:rsid w:val="0081595A"/>
    <w:rsid w:val="008159B6"/>
    <w:rsid w:val="008159F5"/>
    <w:rsid w:val="00815A07"/>
    <w:rsid w:val="00815AE5"/>
    <w:rsid w:val="00815B11"/>
    <w:rsid w:val="00815B19"/>
    <w:rsid w:val="00815B31"/>
    <w:rsid w:val="00815BBD"/>
    <w:rsid w:val="00815C31"/>
    <w:rsid w:val="00815C71"/>
    <w:rsid w:val="00815C81"/>
    <w:rsid w:val="00815CBE"/>
    <w:rsid w:val="00815D15"/>
    <w:rsid w:val="00815D3A"/>
    <w:rsid w:val="00815D3B"/>
    <w:rsid w:val="00815D51"/>
    <w:rsid w:val="00815E41"/>
    <w:rsid w:val="00815E61"/>
    <w:rsid w:val="00815E83"/>
    <w:rsid w:val="00815EBB"/>
    <w:rsid w:val="00815F47"/>
    <w:rsid w:val="00815F61"/>
    <w:rsid w:val="00816013"/>
    <w:rsid w:val="0081604C"/>
    <w:rsid w:val="008160D1"/>
    <w:rsid w:val="008160E1"/>
    <w:rsid w:val="00816191"/>
    <w:rsid w:val="00816195"/>
    <w:rsid w:val="008161A0"/>
    <w:rsid w:val="008161C3"/>
    <w:rsid w:val="008161D4"/>
    <w:rsid w:val="0081623E"/>
    <w:rsid w:val="00816247"/>
    <w:rsid w:val="00816254"/>
    <w:rsid w:val="00816258"/>
    <w:rsid w:val="0081629F"/>
    <w:rsid w:val="008162C8"/>
    <w:rsid w:val="00816441"/>
    <w:rsid w:val="0081647B"/>
    <w:rsid w:val="0081649C"/>
    <w:rsid w:val="008164B1"/>
    <w:rsid w:val="008164CC"/>
    <w:rsid w:val="008164CE"/>
    <w:rsid w:val="008164E4"/>
    <w:rsid w:val="00816594"/>
    <w:rsid w:val="008165DE"/>
    <w:rsid w:val="00816604"/>
    <w:rsid w:val="00816626"/>
    <w:rsid w:val="00816634"/>
    <w:rsid w:val="0081664B"/>
    <w:rsid w:val="0081665D"/>
    <w:rsid w:val="0081669C"/>
    <w:rsid w:val="00816749"/>
    <w:rsid w:val="00816763"/>
    <w:rsid w:val="00816774"/>
    <w:rsid w:val="00816777"/>
    <w:rsid w:val="00816799"/>
    <w:rsid w:val="008167B9"/>
    <w:rsid w:val="008167D3"/>
    <w:rsid w:val="00816834"/>
    <w:rsid w:val="00816864"/>
    <w:rsid w:val="008168AD"/>
    <w:rsid w:val="008168B3"/>
    <w:rsid w:val="008168BC"/>
    <w:rsid w:val="008168D7"/>
    <w:rsid w:val="008168F9"/>
    <w:rsid w:val="00816949"/>
    <w:rsid w:val="00816958"/>
    <w:rsid w:val="0081695A"/>
    <w:rsid w:val="00816996"/>
    <w:rsid w:val="00816998"/>
    <w:rsid w:val="008169A4"/>
    <w:rsid w:val="008169D5"/>
    <w:rsid w:val="00816A13"/>
    <w:rsid w:val="00816A24"/>
    <w:rsid w:val="00816A58"/>
    <w:rsid w:val="00816A5E"/>
    <w:rsid w:val="00816A62"/>
    <w:rsid w:val="00816ABA"/>
    <w:rsid w:val="00816AD8"/>
    <w:rsid w:val="00816B27"/>
    <w:rsid w:val="00816BA3"/>
    <w:rsid w:val="00816BBB"/>
    <w:rsid w:val="00816C21"/>
    <w:rsid w:val="00816C9A"/>
    <w:rsid w:val="00816CE3"/>
    <w:rsid w:val="00816D9B"/>
    <w:rsid w:val="00816DF3"/>
    <w:rsid w:val="00816E3F"/>
    <w:rsid w:val="00816F10"/>
    <w:rsid w:val="00816F1D"/>
    <w:rsid w:val="00816F4C"/>
    <w:rsid w:val="00816F6A"/>
    <w:rsid w:val="00816FBA"/>
    <w:rsid w:val="00817043"/>
    <w:rsid w:val="0081708A"/>
    <w:rsid w:val="008170CB"/>
    <w:rsid w:val="00817120"/>
    <w:rsid w:val="008171A2"/>
    <w:rsid w:val="008171BC"/>
    <w:rsid w:val="008171C8"/>
    <w:rsid w:val="00817208"/>
    <w:rsid w:val="00817233"/>
    <w:rsid w:val="008173D1"/>
    <w:rsid w:val="0081744F"/>
    <w:rsid w:val="0081747E"/>
    <w:rsid w:val="008174A9"/>
    <w:rsid w:val="008174C1"/>
    <w:rsid w:val="008174CC"/>
    <w:rsid w:val="008174D6"/>
    <w:rsid w:val="008174F2"/>
    <w:rsid w:val="00817502"/>
    <w:rsid w:val="00817534"/>
    <w:rsid w:val="00817538"/>
    <w:rsid w:val="00817548"/>
    <w:rsid w:val="0081754D"/>
    <w:rsid w:val="0081757E"/>
    <w:rsid w:val="00817582"/>
    <w:rsid w:val="008175A8"/>
    <w:rsid w:val="0081760B"/>
    <w:rsid w:val="00817681"/>
    <w:rsid w:val="008176BE"/>
    <w:rsid w:val="008176F0"/>
    <w:rsid w:val="008176FC"/>
    <w:rsid w:val="00817730"/>
    <w:rsid w:val="00817733"/>
    <w:rsid w:val="00817742"/>
    <w:rsid w:val="00817751"/>
    <w:rsid w:val="00817756"/>
    <w:rsid w:val="0081776D"/>
    <w:rsid w:val="008177B6"/>
    <w:rsid w:val="00817817"/>
    <w:rsid w:val="00817849"/>
    <w:rsid w:val="0081784B"/>
    <w:rsid w:val="008178AB"/>
    <w:rsid w:val="008178CC"/>
    <w:rsid w:val="00817914"/>
    <w:rsid w:val="0081791A"/>
    <w:rsid w:val="00817937"/>
    <w:rsid w:val="00817940"/>
    <w:rsid w:val="0081794B"/>
    <w:rsid w:val="0081798B"/>
    <w:rsid w:val="00817A22"/>
    <w:rsid w:val="00817A2F"/>
    <w:rsid w:val="00817A49"/>
    <w:rsid w:val="00817A8A"/>
    <w:rsid w:val="00817A92"/>
    <w:rsid w:val="00817A9C"/>
    <w:rsid w:val="00817AAD"/>
    <w:rsid w:val="00817B60"/>
    <w:rsid w:val="00817B66"/>
    <w:rsid w:val="00817B88"/>
    <w:rsid w:val="00817BAE"/>
    <w:rsid w:val="00817BC2"/>
    <w:rsid w:val="00817C39"/>
    <w:rsid w:val="00817C46"/>
    <w:rsid w:val="00817C91"/>
    <w:rsid w:val="00817C9B"/>
    <w:rsid w:val="00817CB6"/>
    <w:rsid w:val="00817CC2"/>
    <w:rsid w:val="00817CFF"/>
    <w:rsid w:val="00817D02"/>
    <w:rsid w:val="00817D07"/>
    <w:rsid w:val="00817D54"/>
    <w:rsid w:val="00817D96"/>
    <w:rsid w:val="00817DA8"/>
    <w:rsid w:val="00817DFE"/>
    <w:rsid w:val="00817E38"/>
    <w:rsid w:val="00817E52"/>
    <w:rsid w:val="00817E9F"/>
    <w:rsid w:val="00817EC4"/>
    <w:rsid w:val="00817F11"/>
    <w:rsid w:val="00817F19"/>
    <w:rsid w:val="00817F5C"/>
    <w:rsid w:val="00817FBB"/>
    <w:rsid w:val="00817FC6"/>
    <w:rsid w:val="00817FCE"/>
    <w:rsid w:val="00820030"/>
    <w:rsid w:val="00820075"/>
    <w:rsid w:val="00820085"/>
    <w:rsid w:val="008200A8"/>
    <w:rsid w:val="008200C8"/>
    <w:rsid w:val="00820128"/>
    <w:rsid w:val="0082022B"/>
    <w:rsid w:val="00820240"/>
    <w:rsid w:val="0082029E"/>
    <w:rsid w:val="008202AF"/>
    <w:rsid w:val="008202B3"/>
    <w:rsid w:val="008202EF"/>
    <w:rsid w:val="008202FB"/>
    <w:rsid w:val="008202FE"/>
    <w:rsid w:val="0082037D"/>
    <w:rsid w:val="00820388"/>
    <w:rsid w:val="008203C3"/>
    <w:rsid w:val="00820463"/>
    <w:rsid w:val="00820548"/>
    <w:rsid w:val="008205F4"/>
    <w:rsid w:val="008205F8"/>
    <w:rsid w:val="008206A5"/>
    <w:rsid w:val="008206DF"/>
    <w:rsid w:val="008206E3"/>
    <w:rsid w:val="008206ED"/>
    <w:rsid w:val="00820782"/>
    <w:rsid w:val="00820816"/>
    <w:rsid w:val="0082082A"/>
    <w:rsid w:val="008208FC"/>
    <w:rsid w:val="0082091D"/>
    <w:rsid w:val="0082095B"/>
    <w:rsid w:val="008209BA"/>
    <w:rsid w:val="008209E0"/>
    <w:rsid w:val="008209FA"/>
    <w:rsid w:val="008209FE"/>
    <w:rsid w:val="00820A53"/>
    <w:rsid w:val="00820A7F"/>
    <w:rsid w:val="00820A9C"/>
    <w:rsid w:val="00820B2A"/>
    <w:rsid w:val="00820B60"/>
    <w:rsid w:val="00820B9E"/>
    <w:rsid w:val="00820BD7"/>
    <w:rsid w:val="00820C72"/>
    <w:rsid w:val="00820D0D"/>
    <w:rsid w:val="00820D24"/>
    <w:rsid w:val="00820D39"/>
    <w:rsid w:val="00820D4B"/>
    <w:rsid w:val="00820D9D"/>
    <w:rsid w:val="00820DA3"/>
    <w:rsid w:val="00820DE7"/>
    <w:rsid w:val="00820E40"/>
    <w:rsid w:val="00820E90"/>
    <w:rsid w:val="00820EAF"/>
    <w:rsid w:val="00820EB5"/>
    <w:rsid w:val="00820ED4"/>
    <w:rsid w:val="00820F19"/>
    <w:rsid w:val="00820F5D"/>
    <w:rsid w:val="00820F7D"/>
    <w:rsid w:val="00820FB8"/>
    <w:rsid w:val="00820FDD"/>
    <w:rsid w:val="00820FE6"/>
    <w:rsid w:val="00821017"/>
    <w:rsid w:val="008210C1"/>
    <w:rsid w:val="008210E9"/>
    <w:rsid w:val="00821150"/>
    <w:rsid w:val="008211C4"/>
    <w:rsid w:val="008212C0"/>
    <w:rsid w:val="00821303"/>
    <w:rsid w:val="0082132D"/>
    <w:rsid w:val="00821336"/>
    <w:rsid w:val="00821354"/>
    <w:rsid w:val="0082136E"/>
    <w:rsid w:val="00821374"/>
    <w:rsid w:val="00821386"/>
    <w:rsid w:val="008213D1"/>
    <w:rsid w:val="00821425"/>
    <w:rsid w:val="00821432"/>
    <w:rsid w:val="00821439"/>
    <w:rsid w:val="00821488"/>
    <w:rsid w:val="0082149C"/>
    <w:rsid w:val="008214A9"/>
    <w:rsid w:val="008214C2"/>
    <w:rsid w:val="008214EE"/>
    <w:rsid w:val="0082154E"/>
    <w:rsid w:val="00821570"/>
    <w:rsid w:val="008215CC"/>
    <w:rsid w:val="008215F6"/>
    <w:rsid w:val="00821658"/>
    <w:rsid w:val="008216DC"/>
    <w:rsid w:val="00821744"/>
    <w:rsid w:val="00821746"/>
    <w:rsid w:val="00821769"/>
    <w:rsid w:val="008217B0"/>
    <w:rsid w:val="00821806"/>
    <w:rsid w:val="00821811"/>
    <w:rsid w:val="0082187E"/>
    <w:rsid w:val="0082188E"/>
    <w:rsid w:val="008218B9"/>
    <w:rsid w:val="008218BF"/>
    <w:rsid w:val="008218C3"/>
    <w:rsid w:val="00821943"/>
    <w:rsid w:val="00821952"/>
    <w:rsid w:val="00821960"/>
    <w:rsid w:val="00821967"/>
    <w:rsid w:val="0082196B"/>
    <w:rsid w:val="00821976"/>
    <w:rsid w:val="0082197A"/>
    <w:rsid w:val="008219AA"/>
    <w:rsid w:val="008219B2"/>
    <w:rsid w:val="008219D5"/>
    <w:rsid w:val="008219DE"/>
    <w:rsid w:val="008219E6"/>
    <w:rsid w:val="008219F7"/>
    <w:rsid w:val="00821A48"/>
    <w:rsid w:val="00821AF3"/>
    <w:rsid w:val="00821BB0"/>
    <w:rsid w:val="00821BCD"/>
    <w:rsid w:val="00821CBF"/>
    <w:rsid w:val="00821CDA"/>
    <w:rsid w:val="00821CFC"/>
    <w:rsid w:val="00821D0D"/>
    <w:rsid w:val="00821D2C"/>
    <w:rsid w:val="00821D6B"/>
    <w:rsid w:val="00821DEB"/>
    <w:rsid w:val="00821E7A"/>
    <w:rsid w:val="00821ECE"/>
    <w:rsid w:val="00821ED4"/>
    <w:rsid w:val="00821F19"/>
    <w:rsid w:val="00821F29"/>
    <w:rsid w:val="00821FE8"/>
    <w:rsid w:val="00822006"/>
    <w:rsid w:val="00822016"/>
    <w:rsid w:val="00822040"/>
    <w:rsid w:val="0082205A"/>
    <w:rsid w:val="00822099"/>
    <w:rsid w:val="008220D3"/>
    <w:rsid w:val="00822185"/>
    <w:rsid w:val="00822201"/>
    <w:rsid w:val="00822249"/>
    <w:rsid w:val="0082225F"/>
    <w:rsid w:val="00822287"/>
    <w:rsid w:val="008222AA"/>
    <w:rsid w:val="008222D5"/>
    <w:rsid w:val="008222DF"/>
    <w:rsid w:val="008222FC"/>
    <w:rsid w:val="00822313"/>
    <w:rsid w:val="0082236F"/>
    <w:rsid w:val="0082238E"/>
    <w:rsid w:val="008223A4"/>
    <w:rsid w:val="008223AE"/>
    <w:rsid w:val="008223CA"/>
    <w:rsid w:val="00822441"/>
    <w:rsid w:val="008224C7"/>
    <w:rsid w:val="00822514"/>
    <w:rsid w:val="00822557"/>
    <w:rsid w:val="00822599"/>
    <w:rsid w:val="008225B3"/>
    <w:rsid w:val="008225E1"/>
    <w:rsid w:val="00822608"/>
    <w:rsid w:val="0082260A"/>
    <w:rsid w:val="0082261A"/>
    <w:rsid w:val="00822649"/>
    <w:rsid w:val="00822650"/>
    <w:rsid w:val="00822653"/>
    <w:rsid w:val="00822667"/>
    <w:rsid w:val="008226BA"/>
    <w:rsid w:val="0082274B"/>
    <w:rsid w:val="0082274C"/>
    <w:rsid w:val="00822754"/>
    <w:rsid w:val="0082275D"/>
    <w:rsid w:val="008227AD"/>
    <w:rsid w:val="0082283A"/>
    <w:rsid w:val="0082283E"/>
    <w:rsid w:val="0082285F"/>
    <w:rsid w:val="0082288E"/>
    <w:rsid w:val="008228BB"/>
    <w:rsid w:val="008228D9"/>
    <w:rsid w:val="00822927"/>
    <w:rsid w:val="00822946"/>
    <w:rsid w:val="0082294B"/>
    <w:rsid w:val="0082297C"/>
    <w:rsid w:val="00822985"/>
    <w:rsid w:val="008229B5"/>
    <w:rsid w:val="008229CC"/>
    <w:rsid w:val="00822A20"/>
    <w:rsid w:val="00822A25"/>
    <w:rsid w:val="00822A49"/>
    <w:rsid w:val="00822A54"/>
    <w:rsid w:val="00822A63"/>
    <w:rsid w:val="00822A6D"/>
    <w:rsid w:val="00822A78"/>
    <w:rsid w:val="00822AF5"/>
    <w:rsid w:val="00822AF7"/>
    <w:rsid w:val="00822B31"/>
    <w:rsid w:val="00822B65"/>
    <w:rsid w:val="00822B69"/>
    <w:rsid w:val="00822BAC"/>
    <w:rsid w:val="00822BB4"/>
    <w:rsid w:val="00822BE5"/>
    <w:rsid w:val="00822C4E"/>
    <w:rsid w:val="00822C58"/>
    <w:rsid w:val="00822C66"/>
    <w:rsid w:val="00822CB5"/>
    <w:rsid w:val="00822CC3"/>
    <w:rsid w:val="00822D20"/>
    <w:rsid w:val="00822D37"/>
    <w:rsid w:val="00822D5F"/>
    <w:rsid w:val="00822D68"/>
    <w:rsid w:val="00822DEA"/>
    <w:rsid w:val="00822E20"/>
    <w:rsid w:val="00822E39"/>
    <w:rsid w:val="00822E5F"/>
    <w:rsid w:val="00822EA4"/>
    <w:rsid w:val="00822EBD"/>
    <w:rsid w:val="00822EC0"/>
    <w:rsid w:val="00822ED3"/>
    <w:rsid w:val="00822EE9"/>
    <w:rsid w:val="00822EEC"/>
    <w:rsid w:val="00822F1A"/>
    <w:rsid w:val="00822F34"/>
    <w:rsid w:val="00822F3F"/>
    <w:rsid w:val="00822F78"/>
    <w:rsid w:val="00822FA1"/>
    <w:rsid w:val="00822FB7"/>
    <w:rsid w:val="00822FBC"/>
    <w:rsid w:val="00822FD2"/>
    <w:rsid w:val="00822FDB"/>
    <w:rsid w:val="00822FF9"/>
    <w:rsid w:val="0082302D"/>
    <w:rsid w:val="0082304A"/>
    <w:rsid w:val="008230C2"/>
    <w:rsid w:val="008230CD"/>
    <w:rsid w:val="0082311A"/>
    <w:rsid w:val="00823120"/>
    <w:rsid w:val="008231F0"/>
    <w:rsid w:val="008231FC"/>
    <w:rsid w:val="00823253"/>
    <w:rsid w:val="00823286"/>
    <w:rsid w:val="008232E2"/>
    <w:rsid w:val="0082331E"/>
    <w:rsid w:val="00823333"/>
    <w:rsid w:val="00823346"/>
    <w:rsid w:val="00823373"/>
    <w:rsid w:val="008233C2"/>
    <w:rsid w:val="008233C6"/>
    <w:rsid w:val="008233D4"/>
    <w:rsid w:val="008233DC"/>
    <w:rsid w:val="00823400"/>
    <w:rsid w:val="0082341A"/>
    <w:rsid w:val="00823442"/>
    <w:rsid w:val="008234BD"/>
    <w:rsid w:val="008234BF"/>
    <w:rsid w:val="008234DA"/>
    <w:rsid w:val="008234E5"/>
    <w:rsid w:val="00823521"/>
    <w:rsid w:val="0082352E"/>
    <w:rsid w:val="0082354E"/>
    <w:rsid w:val="00823557"/>
    <w:rsid w:val="008235A7"/>
    <w:rsid w:val="008235BE"/>
    <w:rsid w:val="00823622"/>
    <w:rsid w:val="00823625"/>
    <w:rsid w:val="008236E1"/>
    <w:rsid w:val="00823717"/>
    <w:rsid w:val="0082374C"/>
    <w:rsid w:val="008237EF"/>
    <w:rsid w:val="00823802"/>
    <w:rsid w:val="00823821"/>
    <w:rsid w:val="0082387B"/>
    <w:rsid w:val="00823890"/>
    <w:rsid w:val="008238E0"/>
    <w:rsid w:val="008238EC"/>
    <w:rsid w:val="00823900"/>
    <w:rsid w:val="00823956"/>
    <w:rsid w:val="00823967"/>
    <w:rsid w:val="00823975"/>
    <w:rsid w:val="008239FC"/>
    <w:rsid w:val="00823A3E"/>
    <w:rsid w:val="00823A50"/>
    <w:rsid w:val="00823A6A"/>
    <w:rsid w:val="00823A97"/>
    <w:rsid w:val="00823AFC"/>
    <w:rsid w:val="00823B43"/>
    <w:rsid w:val="00823B59"/>
    <w:rsid w:val="00823B78"/>
    <w:rsid w:val="00823B9B"/>
    <w:rsid w:val="00823BB5"/>
    <w:rsid w:val="00823BE7"/>
    <w:rsid w:val="00823C0B"/>
    <w:rsid w:val="00823CE9"/>
    <w:rsid w:val="00823CEE"/>
    <w:rsid w:val="00823CFD"/>
    <w:rsid w:val="00823CFF"/>
    <w:rsid w:val="00823D34"/>
    <w:rsid w:val="00823D96"/>
    <w:rsid w:val="00823D97"/>
    <w:rsid w:val="00823DBD"/>
    <w:rsid w:val="00823E12"/>
    <w:rsid w:val="00823E1C"/>
    <w:rsid w:val="00823E51"/>
    <w:rsid w:val="00823E9E"/>
    <w:rsid w:val="00823EA6"/>
    <w:rsid w:val="00823EC0"/>
    <w:rsid w:val="00823F8D"/>
    <w:rsid w:val="00823FD7"/>
    <w:rsid w:val="0082401F"/>
    <w:rsid w:val="00824049"/>
    <w:rsid w:val="0082405F"/>
    <w:rsid w:val="00824061"/>
    <w:rsid w:val="0082408C"/>
    <w:rsid w:val="008240A2"/>
    <w:rsid w:val="008240B2"/>
    <w:rsid w:val="008240D7"/>
    <w:rsid w:val="0082413C"/>
    <w:rsid w:val="008241C5"/>
    <w:rsid w:val="0082422B"/>
    <w:rsid w:val="00824303"/>
    <w:rsid w:val="0082430A"/>
    <w:rsid w:val="00824359"/>
    <w:rsid w:val="0082438E"/>
    <w:rsid w:val="008243AA"/>
    <w:rsid w:val="008243F6"/>
    <w:rsid w:val="0082440D"/>
    <w:rsid w:val="00824486"/>
    <w:rsid w:val="00824497"/>
    <w:rsid w:val="008244F0"/>
    <w:rsid w:val="00824532"/>
    <w:rsid w:val="00824574"/>
    <w:rsid w:val="008245A2"/>
    <w:rsid w:val="008245D3"/>
    <w:rsid w:val="008245FB"/>
    <w:rsid w:val="00824613"/>
    <w:rsid w:val="00824635"/>
    <w:rsid w:val="00824716"/>
    <w:rsid w:val="00824730"/>
    <w:rsid w:val="00824736"/>
    <w:rsid w:val="0082473A"/>
    <w:rsid w:val="0082476C"/>
    <w:rsid w:val="00824774"/>
    <w:rsid w:val="008247C6"/>
    <w:rsid w:val="008247CA"/>
    <w:rsid w:val="008247D5"/>
    <w:rsid w:val="008247E6"/>
    <w:rsid w:val="00824815"/>
    <w:rsid w:val="00824829"/>
    <w:rsid w:val="00824858"/>
    <w:rsid w:val="00824870"/>
    <w:rsid w:val="00824887"/>
    <w:rsid w:val="008248D0"/>
    <w:rsid w:val="008248D7"/>
    <w:rsid w:val="008248FF"/>
    <w:rsid w:val="00824939"/>
    <w:rsid w:val="00824945"/>
    <w:rsid w:val="008249B1"/>
    <w:rsid w:val="008249CF"/>
    <w:rsid w:val="008249F2"/>
    <w:rsid w:val="008249F7"/>
    <w:rsid w:val="00824A05"/>
    <w:rsid w:val="00824A90"/>
    <w:rsid w:val="00824AE2"/>
    <w:rsid w:val="00824AF4"/>
    <w:rsid w:val="00824AFA"/>
    <w:rsid w:val="00824B03"/>
    <w:rsid w:val="00824B62"/>
    <w:rsid w:val="00824B8B"/>
    <w:rsid w:val="00824C9A"/>
    <w:rsid w:val="00824D62"/>
    <w:rsid w:val="00824DE9"/>
    <w:rsid w:val="00824DEF"/>
    <w:rsid w:val="00824E60"/>
    <w:rsid w:val="00824EFC"/>
    <w:rsid w:val="00824EFF"/>
    <w:rsid w:val="00824F1B"/>
    <w:rsid w:val="00824F74"/>
    <w:rsid w:val="00824FCB"/>
    <w:rsid w:val="00824FD9"/>
    <w:rsid w:val="00825073"/>
    <w:rsid w:val="008250D5"/>
    <w:rsid w:val="00825114"/>
    <w:rsid w:val="00825140"/>
    <w:rsid w:val="00825148"/>
    <w:rsid w:val="0082515D"/>
    <w:rsid w:val="00825208"/>
    <w:rsid w:val="00825209"/>
    <w:rsid w:val="00825237"/>
    <w:rsid w:val="00825241"/>
    <w:rsid w:val="00825295"/>
    <w:rsid w:val="008252D6"/>
    <w:rsid w:val="008252FF"/>
    <w:rsid w:val="00825335"/>
    <w:rsid w:val="008253F2"/>
    <w:rsid w:val="00825400"/>
    <w:rsid w:val="00825413"/>
    <w:rsid w:val="0082543D"/>
    <w:rsid w:val="00825441"/>
    <w:rsid w:val="0082544D"/>
    <w:rsid w:val="00825472"/>
    <w:rsid w:val="008254BC"/>
    <w:rsid w:val="008254F5"/>
    <w:rsid w:val="0082550A"/>
    <w:rsid w:val="00825526"/>
    <w:rsid w:val="00825546"/>
    <w:rsid w:val="008255B7"/>
    <w:rsid w:val="008255F7"/>
    <w:rsid w:val="008256C0"/>
    <w:rsid w:val="008256C7"/>
    <w:rsid w:val="008256D4"/>
    <w:rsid w:val="008256D8"/>
    <w:rsid w:val="008256F5"/>
    <w:rsid w:val="00825705"/>
    <w:rsid w:val="00825757"/>
    <w:rsid w:val="0082577A"/>
    <w:rsid w:val="008257AA"/>
    <w:rsid w:val="008257B1"/>
    <w:rsid w:val="008258AA"/>
    <w:rsid w:val="00825927"/>
    <w:rsid w:val="0082592F"/>
    <w:rsid w:val="0082594C"/>
    <w:rsid w:val="0082597A"/>
    <w:rsid w:val="008259E5"/>
    <w:rsid w:val="008259E7"/>
    <w:rsid w:val="008259FD"/>
    <w:rsid w:val="00825A2D"/>
    <w:rsid w:val="00825A40"/>
    <w:rsid w:val="00825A89"/>
    <w:rsid w:val="00825A91"/>
    <w:rsid w:val="00825AB1"/>
    <w:rsid w:val="00825ABD"/>
    <w:rsid w:val="00825B4C"/>
    <w:rsid w:val="00825B80"/>
    <w:rsid w:val="00825BC5"/>
    <w:rsid w:val="00825BDE"/>
    <w:rsid w:val="00825C05"/>
    <w:rsid w:val="00825CF1"/>
    <w:rsid w:val="00825D07"/>
    <w:rsid w:val="00825D84"/>
    <w:rsid w:val="00825DCB"/>
    <w:rsid w:val="00825DD4"/>
    <w:rsid w:val="00825DEB"/>
    <w:rsid w:val="00825E24"/>
    <w:rsid w:val="00825E25"/>
    <w:rsid w:val="00825E3D"/>
    <w:rsid w:val="00825E89"/>
    <w:rsid w:val="00825E9E"/>
    <w:rsid w:val="00825EAE"/>
    <w:rsid w:val="00825EBB"/>
    <w:rsid w:val="00825EF5"/>
    <w:rsid w:val="00825EF6"/>
    <w:rsid w:val="00825F5C"/>
    <w:rsid w:val="00825F76"/>
    <w:rsid w:val="00825FA7"/>
    <w:rsid w:val="00826057"/>
    <w:rsid w:val="00826071"/>
    <w:rsid w:val="00826082"/>
    <w:rsid w:val="008260AB"/>
    <w:rsid w:val="008260C3"/>
    <w:rsid w:val="008260CA"/>
    <w:rsid w:val="0082616B"/>
    <w:rsid w:val="008261D9"/>
    <w:rsid w:val="00826221"/>
    <w:rsid w:val="00826224"/>
    <w:rsid w:val="0082627C"/>
    <w:rsid w:val="008262A8"/>
    <w:rsid w:val="00826326"/>
    <w:rsid w:val="00826399"/>
    <w:rsid w:val="0082639C"/>
    <w:rsid w:val="0082645F"/>
    <w:rsid w:val="0082646B"/>
    <w:rsid w:val="0082646F"/>
    <w:rsid w:val="00826474"/>
    <w:rsid w:val="00826503"/>
    <w:rsid w:val="00826526"/>
    <w:rsid w:val="00826579"/>
    <w:rsid w:val="008265A1"/>
    <w:rsid w:val="008265F3"/>
    <w:rsid w:val="0082662D"/>
    <w:rsid w:val="008266A8"/>
    <w:rsid w:val="008266DB"/>
    <w:rsid w:val="00826712"/>
    <w:rsid w:val="0082671C"/>
    <w:rsid w:val="00826772"/>
    <w:rsid w:val="00826776"/>
    <w:rsid w:val="008267FA"/>
    <w:rsid w:val="008268AE"/>
    <w:rsid w:val="008268B7"/>
    <w:rsid w:val="008268C4"/>
    <w:rsid w:val="008268D1"/>
    <w:rsid w:val="00826919"/>
    <w:rsid w:val="0082693C"/>
    <w:rsid w:val="008269B5"/>
    <w:rsid w:val="00826A26"/>
    <w:rsid w:val="00826ADD"/>
    <w:rsid w:val="00826B47"/>
    <w:rsid w:val="00826B62"/>
    <w:rsid w:val="00826B95"/>
    <w:rsid w:val="00826B99"/>
    <w:rsid w:val="00826BC7"/>
    <w:rsid w:val="00826BCA"/>
    <w:rsid w:val="00826BEE"/>
    <w:rsid w:val="00826BF2"/>
    <w:rsid w:val="00826C38"/>
    <w:rsid w:val="00826C3E"/>
    <w:rsid w:val="00826C55"/>
    <w:rsid w:val="00826D51"/>
    <w:rsid w:val="00826DCF"/>
    <w:rsid w:val="00826E34"/>
    <w:rsid w:val="00826E4F"/>
    <w:rsid w:val="00826E51"/>
    <w:rsid w:val="00826E63"/>
    <w:rsid w:val="00826E87"/>
    <w:rsid w:val="00826F25"/>
    <w:rsid w:val="00826F32"/>
    <w:rsid w:val="00826F36"/>
    <w:rsid w:val="00826F81"/>
    <w:rsid w:val="00826F99"/>
    <w:rsid w:val="00826FC8"/>
    <w:rsid w:val="00826FC9"/>
    <w:rsid w:val="00827095"/>
    <w:rsid w:val="008270A8"/>
    <w:rsid w:val="008270C0"/>
    <w:rsid w:val="008270C9"/>
    <w:rsid w:val="00827153"/>
    <w:rsid w:val="00827173"/>
    <w:rsid w:val="0082719D"/>
    <w:rsid w:val="008271C0"/>
    <w:rsid w:val="008271D4"/>
    <w:rsid w:val="0082723F"/>
    <w:rsid w:val="00827281"/>
    <w:rsid w:val="0082728C"/>
    <w:rsid w:val="008272B1"/>
    <w:rsid w:val="008272D6"/>
    <w:rsid w:val="00827358"/>
    <w:rsid w:val="008273A7"/>
    <w:rsid w:val="008273C2"/>
    <w:rsid w:val="0082742D"/>
    <w:rsid w:val="0082744B"/>
    <w:rsid w:val="00827487"/>
    <w:rsid w:val="008274AD"/>
    <w:rsid w:val="0082753E"/>
    <w:rsid w:val="0082754A"/>
    <w:rsid w:val="00827574"/>
    <w:rsid w:val="0082757C"/>
    <w:rsid w:val="0082758F"/>
    <w:rsid w:val="008275B2"/>
    <w:rsid w:val="008275DB"/>
    <w:rsid w:val="00827602"/>
    <w:rsid w:val="00827603"/>
    <w:rsid w:val="008276B1"/>
    <w:rsid w:val="008276C9"/>
    <w:rsid w:val="008276DE"/>
    <w:rsid w:val="008276F8"/>
    <w:rsid w:val="00827713"/>
    <w:rsid w:val="00827745"/>
    <w:rsid w:val="00827771"/>
    <w:rsid w:val="0082777C"/>
    <w:rsid w:val="008277E8"/>
    <w:rsid w:val="008277ED"/>
    <w:rsid w:val="0082783A"/>
    <w:rsid w:val="00827866"/>
    <w:rsid w:val="00827887"/>
    <w:rsid w:val="00827897"/>
    <w:rsid w:val="0082789D"/>
    <w:rsid w:val="008278BF"/>
    <w:rsid w:val="008278DA"/>
    <w:rsid w:val="008278E8"/>
    <w:rsid w:val="008278FB"/>
    <w:rsid w:val="00827909"/>
    <w:rsid w:val="008279E1"/>
    <w:rsid w:val="008279EA"/>
    <w:rsid w:val="00827A00"/>
    <w:rsid w:val="00827A4E"/>
    <w:rsid w:val="00827A97"/>
    <w:rsid w:val="00827AAD"/>
    <w:rsid w:val="00827AC6"/>
    <w:rsid w:val="00827B02"/>
    <w:rsid w:val="00827B29"/>
    <w:rsid w:val="00827B32"/>
    <w:rsid w:val="00827B6E"/>
    <w:rsid w:val="00827BFD"/>
    <w:rsid w:val="00827C52"/>
    <w:rsid w:val="00827C65"/>
    <w:rsid w:val="00827C8D"/>
    <w:rsid w:val="00827C9A"/>
    <w:rsid w:val="00827C9D"/>
    <w:rsid w:val="00827D02"/>
    <w:rsid w:val="00827D7A"/>
    <w:rsid w:val="00827D8A"/>
    <w:rsid w:val="00827DDA"/>
    <w:rsid w:val="00827DFB"/>
    <w:rsid w:val="00827E5E"/>
    <w:rsid w:val="00827E69"/>
    <w:rsid w:val="00827EF0"/>
    <w:rsid w:val="00827F28"/>
    <w:rsid w:val="00827F9E"/>
    <w:rsid w:val="00827FA9"/>
    <w:rsid w:val="00827FF3"/>
    <w:rsid w:val="00830083"/>
    <w:rsid w:val="008300FE"/>
    <w:rsid w:val="00830102"/>
    <w:rsid w:val="00830144"/>
    <w:rsid w:val="00830148"/>
    <w:rsid w:val="00830168"/>
    <w:rsid w:val="0083017F"/>
    <w:rsid w:val="008301A0"/>
    <w:rsid w:val="008301E6"/>
    <w:rsid w:val="00830276"/>
    <w:rsid w:val="00830291"/>
    <w:rsid w:val="008302BB"/>
    <w:rsid w:val="008302EF"/>
    <w:rsid w:val="00830356"/>
    <w:rsid w:val="00830382"/>
    <w:rsid w:val="0083038B"/>
    <w:rsid w:val="008303B2"/>
    <w:rsid w:val="008303CF"/>
    <w:rsid w:val="00830470"/>
    <w:rsid w:val="00830500"/>
    <w:rsid w:val="0083050A"/>
    <w:rsid w:val="00830543"/>
    <w:rsid w:val="008305A9"/>
    <w:rsid w:val="008305B0"/>
    <w:rsid w:val="0083062A"/>
    <w:rsid w:val="008306C7"/>
    <w:rsid w:val="008306D4"/>
    <w:rsid w:val="008306DC"/>
    <w:rsid w:val="00830790"/>
    <w:rsid w:val="00830851"/>
    <w:rsid w:val="0083085C"/>
    <w:rsid w:val="00830891"/>
    <w:rsid w:val="008308A2"/>
    <w:rsid w:val="008308D5"/>
    <w:rsid w:val="008308DB"/>
    <w:rsid w:val="0083090B"/>
    <w:rsid w:val="0083090C"/>
    <w:rsid w:val="00830950"/>
    <w:rsid w:val="00830967"/>
    <w:rsid w:val="00830984"/>
    <w:rsid w:val="00830A1B"/>
    <w:rsid w:val="00830A39"/>
    <w:rsid w:val="00830A41"/>
    <w:rsid w:val="00830A87"/>
    <w:rsid w:val="00830AD6"/>
    <w:rsid w:val="00830AEE"/>
    <w:rsid w:val="00830AFA"/>
    <w:rsid w:val="00830B20"/>
    <w:rsid w:val="00830B52"/>
    <w:rsid w:val="00830B5A"/>
    <w:rsid w:val="00830BCF"/>
    <w:rsid w:val="00830C74"/>
    <w:rsid w:val="00830C85"/>
    <w:rsid w:val="00830CCF"/>
    <w:rsid w:val="00830CE8"/>
    <w:rsid w:val="00830CFB"/>
    <w:rsid w:val="00830DBC"/>
    <w:rsid w:val="00830DC8"/>
    <w:rsid w:val="00830E19"/>
    <w:rsid w:val="00830E24"/>
    <w:rsid w:val="00830E41"/>
    <w:rsid w:val="00830E69"/>
    <w:rsid w:val="00830EC8"/>
    <w:rsid w:val="00830F1C"/>
    <w:rsid w:val="00831013"/>
    <w:rsid w:val="0083101F"/>
    <w:rsid w:val="0083102D"/>
    <w:rsid w:val="00831058"/>
    <w:rsid w:val="008310E9"/>
    <w:rsid w:val="00831100"/>
    <w:rsid w:val="00831151"/>
    <w:rsid w:val="00831186"/>
    <w:rsid w:val="00831195"/>
    <w:rsid w:val="008311B8"/>
    <w:rsid w:val="008311C9"/>
    <w:rsid w:val="00831261"/>
    <w:rsid w:val="0083127D"/>
    <w:rsid w:val="008312AB"/>
    <w:rsid w:val="008312B7"/>
    <w:rsid w:val="00831310"/>
    <w:rsid w:val="0083131E"/>
    <w:rsid w:val="0083133C"/>
    <w:rsid w:val="0083138A"/>
    <w:rsid w:val="0083141E"/>
    <w:rsid w:val="0083142C"/>
    <w:rsid w:val="00831431"/>
    <w:rsid w:val="008314EB"/>
    <w:rsid w:val="00831582"/>
    <w:rsid w:val="00831584"/>
    <w:rsid w:val="00831645"/>
    <w:rsid w:val="00831668"/>
    <w:rsid w:val="008316AD"/>
    <w:rsid w:val="008316B5"/>
    <w:rsid w:val="008316CE"/>
    <w:rsid w:val="00831794"/>
    <w:rsid w:val="008318CF"/>
    <w:rsid w:val="0083192B"/>
    <w:rsid w:val="008319D8"/>
    <w:rsid w:val="00831A05"/>
    <w:rsid w:val="00831A88"/>
    <w:rsid w:val="00831AD2"/>
    <w:rsid w:val="00831B19"/>
    <w:rsid w:val="00831B6D"/>
    <w:rsid w:val="00831B87"/>
    <w:rsid w:val="00831B9D"/>
    <w:rsid w:val="00831BE3"/>
    <w:rsid w:val="00831C80"/>
    <w:rsid w:val="00831C81"/>
    <w:rsid w:val="00831CFB"/>
    <w:rsid w:val="00831D68"/>
    <w:rsid w:val="00831DA2"/>
    <w:rsid w:val="00831DC9"/>
    <w:rsid w:val="00831DEC"/>
    <w:rsid w:val="00831DF4"/>
    <w:rsid w:val="00831DFC"/>
    <w:rsid w:val="00831E1C"/>
    <w:rsid w:val="00831E35"/>
    <w:rsid w:val="00831E5B"/>
    <w:rsid w:val="00831E61"/>
    <w:rsid w:val="00831E64"/>
    <w:rsid w:val="00831E71"/>
    <w:rsid w:val="00831E7F"/>
    <w:rsid w:val="00831E8B"/>
    <w:rsid w:val="00831E8D"/>
    <w:rsid w:val="00831EA5"/>
    <w:rsid w:val="00831EAA"/>
    <w:rsid w:val="00831ED2"/>
    <w:rsid w:val="00831F2D"/>
    <w:rsid w:val="00831F3D"/>
    <w:rsid w:val="00831F6D"/>
    <w:rsid w:val="00831FAC"/>
    <w:rsid w:val="00831FAF"/>
    <w:rsid w:val="00831FE1"/>
    <w:rsid w:val="00831FFE"/>
    <w:rsid w:val="00832038"/>
    <w:rsid w:val="0083209F"/>
    <w:rsid w:val="008320D6"/>
    <w:rsid w:val="00832118"/>
    <w:rsid w:val="00832192"/>
    <w:rsid w:val="008321AB"/>
    <w:rsid w:val="0083222E"/>
    <w:rsid w:val="00832304"/>
    <w:rsid w:val="00832388"/>
    <w:rsid w:val="008323B4"/>
    <w:rsid w:val="0083243F"/>
    <w:rsid w:val="00832479"/>
    <w:rsid w:val="00832497"/>
    <w:rsid w:val="0083250D"/>
    <w:rsid w:val="00832518"/>
    <w:rsid w:val="0083257A"/>
    <w:rsid w:val="00832609"/>
    <w:rsid w:val="0083263F"/>
    <w:rsid w:val="00832665"/>
    <w:rsid w:val="00832674"/>
    <w:rsid w:val="008326DD"/>
    <w:rsid w:val="008326DE"/>
    <w:rsid w:val="00832733"/>
    <w:rsid w:val="0083273F"/>
    <w:rsid w:val="00832750"/>
    <w:rsid w:val="00832768"/>
    <w:rsid w:val="008327A6"/>
    <w:rsid w:val="008327F1"/>
    <w:rsid w:val="00832804"/>
    <w:rsid w:val="0083286C"/>
    <w:rsid w:val="00832874"/>
    <w:rsid w:val="008328C7"/>
    <w:rsid w:val="008328F9"/>
    <w:rsid w:val="008329BE"/>
    <w:rsid w:val="008329F8"/>
    <w:rsid w:val="00832A1C"/>
    <w:rsid w:val="00832A2A"/>
    <w:rsid w:val="00832A32"/>
    <w:rsid w:val="00832AEA"/>
    <w:rsid w:val="00832B0B"/>
    <w:rsid w:val="00832B43"/>
    <w:rsid w:val="00832B66"/>
    <w:rsid w:val="00832B67"/>
    <w:rsid w:val="00832B9D"/>
    <w:rsid w:val="00832BCD"/>
    <w:rsid w:val="00832BD6"/>
    <w:rsid w:val="00832BDB"/>
    <w:rsid w:val="00832C40"/>
    <w:rsid w:val="00832C59"/>
    <w:rsid w:val="00832DDD"/>
    <w:rsid w:val="00832E00"/>
    <w:rsid w:val="00832E2B"/>
    <w:rsid w:val="00832F63"/>
    <w:rsid w:val="00832FC1"/>
    <w:rsid w:val="00832FCA"/>
    <w:rsid w:val="00832FCC"/>
    <w:rsid w:val="00832FE1"/>
    <w:rsid w:val="00833011"/>
    <w:rsid w:val="00833021"/>
    <w:rsid w:val="008330E6"/>
    <w:rsid w:val="008330F1"/>
    <w:rsid w:val="00833136"/>
    <w:rsid w:val="00833174"/>
    <w:rsid w:val="00833185"/>
    <w:rsid w:val="008331EC"/>
    <w:rsid w:val="008331F1"/>
    <w:rsid w:val="008332B9"/>
    <w:rsid w:val="0083338C"/>
    <w:rsid w:val="00833394"/>
    <w:rsid w:val="008333E8"/>
    <w:rsid w:val="008333FB"/>
    <w:rsid w:val="0083343B"/>
    <w:rsid w:val="0083344D"/>
    <w:rsid w:val="008334B4"/>
    <w:rsid w:val="008334B8"/>
    <w:rsid w:val="0083355C"/>
    <w:rsid w:val="0083368D"/>
    <w:rsid w:val="00833699"/>
    <w:rsid w:val="008336D4"/>
    <w:rsid w:val="0083378A"/>
    <w:rsid w:val="0083379F"/>
    <w:rsid w:val="00833800"/>
    <w:rsid w:val="00833820"/>
    <w:rsid w:val="00833873"/>
    <w:rsid w:val="00833877"/>
    <w:rsid w:val="008338DD"/>
    <w:rsid w:val="00833940"/>
    <w:rsid w:val="00833985"/>
    <w:rsid w:val="00833A7A"/>
    <w:rsid w:val="00833A8E"/>
    <w:rsid w:val="00833AD6"/>
    <w:rsid w:val="00833AF5"/>
    <w:rsid w:val="00833B61"/>
    <w:rsid w:val="00833B6F"/>
    <w:rsid w:val="00833B77"/>
    <w:rsid w:val="00833B89"/>
    <w:rsid w:val="00833B94"/>
    <w:rsid w:val="00833BCE"/>
    <w:rsid w:val="00833BFC"/>
    <w:rsid w:val="00833C0C"/>
    <w:rsid w:val="00833C26"/>
    <w:rsid w:val="00833C68"/>
    <w:rsid w:val="00833C87"/>
    <w:rsid w:val="00833C8E"/>
    <w:rsid w:val="00833C99"/>
    <w:rsid w:val="00833CE8"/>
    <w:rsid w:val="00833D46"/>
    <w:rsid w:val="00833D76"/>
    <w:rsid w:val="00833D85"/>
    <w:rsid w:val="00833D9F"/>
    <w:rsid w:val="00833DB2"/>
    <w:rsid w:val="00833DE4"/>
    <w:rsid w:val="00833E64"/>
    <w:rsid w:val="00833EA5"/>
    <w:rsid w:val="00833EFA"/>
    <w:rsid w:val="00833F73"/>
    <w:rsid w:val="00833F89"/>
    <w:rsid w:val="00833FBC"/>
    <w:rsid w:val="0083406B"/>
    <w:rsid w:val="0083406D"/>
    <w:rsid w:val="00834073"/>
    <w:rsid w:val="008340B0"/>
    <w:rsid w:val="008340B8"/>
    <w:rsid w:val="0083411F"/>
    <w:rsid w:val="00834194"/>
    <w:rsid w:val="008341AF"/>
    <w:rsid w:val="008341BF"/>
    <w:rsid w:val="00834243"/>
    <w:rsid w:val="00834244"/>
    <w:rsid w:val="00834262"/>
    <w:rsid w:val="00834270"/>
    <w:rsid w:val="0083428D"/>
    <w:rsid w:val="008342E6"/>
    <w:rsid w:val="008342E9"/>
    <w:rsid w:val="008342F3"/>
    <w:rsid w:val="00834331"/>
    <w:rsid w:val="00834332"/>
    <w:rsid w:val="00834344"/>
    <w:rsid w:val="00834364"/>
    <w:rsid w:val="00834384"/>
    <w:rsid w:val="0083438A"/>
    <w:rsid w:val="0083439E"/>
    <w:rsid w:val="008343DA"/>
    <w:rsid w:val="00834479"/>
    <w:rsid w:val="00834491"/>
    <w:rsid w:val="008344C7"/>
    <w:rsid w:val="008344C9"/>
    <w:rsid w:val="008344CD"/>
    <w:rsid w:val="008344D2"/>
    <w:rsid w:val="00834540"/>
    <w:rsid w:val="00834564"/>
    <w:rsid w:val="00834587"/>
    <w:rsid w:val="00834592"/>
    <w:rsid w:val="0083459D"/>
    <w:rsid w:val="008345A5"/>
    <w:rsid w:val="008345A9"/>
    <w:rsid w:val="0083460C"/>
    <w:rsid w:val="00834660"/>
    <w:rsid w:val="00834690"/>
    <w:rsid w:val="00834698"/>
    <w:rsid w:val="008346E0"/>
    <w:rsid w:val="008346FD"/>
    <w:rsid w:val="00834704"/>
    <w:rsid w:val="0083472D"/>
    <w:rsid w:val="00834861"/>
    <w:rsid w:val="008348A3"/>
    <w:rsid w:val="008348A5"/>
    <w:rsid w:val="0083493F"/>
    <w:rsid w:val="0083495D"/>
    <w:rsid w:val="008349DE"/>
    <w:rsid w:val="008349FE"/>
    <w:rsid w:val="00834A27"/>
    <w:rsid w:val="00834A55"/>
    <w:rsid w:val="00834A90"/>
    <w:rsid w:val="00834ADE"/>
    <w:rsid w:val="00834B53"/>
    <w:rsid w:val="00834B82"/>
    <w:rsid w:val="00834BC5"/>
    <w:rsid w:val="00834BCC"/>
    <w:rsid w:val="00834C23"/>
    <w:rsid w:val="00834C26"/>
    <w:rsid w:val="00834CA9"/>
    <w:rsid w:val="00834CAC"/>
    <w:rsid w:val="00834D1B"/>
    <w:rsid w:val="00834D96"/>
    <w:rsid w:val="00834DB4"/>
    <w:rsid w:val="00834DD7"/>
    <w:rsid w:val="00834DF7"/>
    <w:rsid w:val="00834E2F"/>
    <w:rsid w:val="00834E74"/>
    <w:rsid w:val="00834EAF"/>
    <w:rsid w:val="00834ECA"/>
    <w:rsid w:val="00834F01"/>
    <w:rsid w:val="00834F51"/>
    <w:rsid w:val="00834F58"/>
    <w:rsid w:val="00834F68"/>
    <w:rsid w:val="00834FB8"/>
    <w:rsid w:val="00834FC9"/>
    <w:rsid w:val="0083506B"/>
    <w:rsid w:val="008350E6"/>
    <w:rsid w:val="00835106"/>
    <w:rsid w:val="00835112"/>
    <w:rsid w:val="00835122"/>
    <w:rsid w:val="00835155"/>
    <w:rsid w:val="0083515A"/>
    <w:rsid w:val="00835177"/>
    <w:rsid w:val="0083517E"/>
    <w:rsid w:val="00835186"/>
    <w:rsid w:val="0083518B"/>
    <w:rsid w:val="00835193"/>
    <w:rsid w:val="00835198"/>
    <w:rsid w:val="008351A9"/>
    <w:rsid w:val="008351B0"/>
    <w:rsid w:val="00835253"/>
    <w:rsid w:val="0083525C"/>
    <w:rsid w:val="008352D5"/>
    <w:rsid w:val="008352E0"/>
    <w:rsid w:val="008352E9"/>
    <w:rsid w:val="00835333"/>
    <w:rsid w:val="00835341"/>
    <w:rsid w:val="0083537E"/>
    <w:rsid w:val="00835392"/>
    <w:rsid w:val="008353A4"/>
    <w:rsid w:val="008353C9"/>
    <w:rsid w:val="008353F0"/>
    <w:rsid w:val="00835418"/>
    <w:rsid w:val="00835465"/>
    <w:rsid w:val="0083546F"/>
    <w:rsid w:val="008354A2"/>
    <w:rsid w:val="008354C2"/>
    <w:rsid w:val="00835511"/>
    <w:rsid w:val="008355D5"/>
    <w:rsid w:val="008355DC"/>
    <w:rsid w:val="008355EB"/>
    <w:rsid w:val="008355F3"/>
    <w:rsid w:val="008355FD"/>
    <w:rsid w:val="00835604"/>
    <w:rsid w:val="00835610"/>
    <w:rsid w:val="00835631"/>
    <w:rsid w:val="00835640"/>
    <w:rsid w:val="00835649"/>
    <w:rsid w:val="0083568C"/>
    <w:rsid w:val="008356A7"/>
    <w:rsid w:val="008356B2"/>
    <w:rsid w:val="008356B6"/>
    <w:rsid w:val="008356C1"/>
    <w:rsid w:val="008356FB"/>
    <w:rsid w:val="00835723"/>
    <w:rsid w:val="008357F8"/>
    <w:rsid w:val="00835890"/>
    <w:rsid w:val="008358CE"/>
    <w:rsid w:val="008358D0"/>
    <w:rsid w:val="008358D7"/>
    <w:rsid w:val="00835978"/>
    <w:rsid w:val="0083598E"/>
    <w:rsid w:val="008359BD"/>
    <w:rsid w:val="008359C5"/>
    <w:rsid w:val="008359D6"/>
    <w:rsid w:val="008359F7"/>
    <w:rsid w:val="00835A32"/>
    <w:rsid w:val="00835AAE"/>
    <w:rsid w:val="00835AE7"/>
    <w:rsid w:val="00835B49"/>
    <w:rsid w:val="00835C3E"/>
    <w:rsid w:val="00835C4F"/>
    <w:rsid w:val="00835C60"/>
    <w:rsid w:val="00835CB2"/>
    <w:rsid w:val="00835CB4"/>
    <w:rsid w:val="00835CD8"/>
    <w:rsid w:val="00835D04"/>
    <w:rsid w:val="00835D0C"/>
    <w:rsid w:val="00835D16"/>
    <w:rsid w:val="00835D5D"/>
    <w:rsid w:val="00835D71"/>
    <w:rsid w:val="00835DA9"/>
    <w:rsid w:val="00835EC7"/>
    <w:rsid w:val="00835ECC"/>
    <w:rsid w:val="00835ED5"/>
    <w:rsid w:val="00835EDD"/>
    <w:rsid w:val="00835F62"/>
    <w:rsid w:val="00835F80"/>
    <w:rsid w:val="00835FE8"/>
    <w:rsid w:val="0083605D"/>
    <w:rsid w:val="0083606E"/>
    <w:rsid w:val="0083608C"/>
    <w:rsid w:val="008360D8"/>
    <w:rsid w:val="008360E2"/>
    <w:rsid w:val="00836100"/>
    <w:rsid w:val="00836159"/>
    <w:rsid w:val="00836196"/>
    <w:rsid w:val="008361EA"/>
    <w:rsid w:val="008361FF"/>
    <w:rsid w:val="00836291"/>
    <w:rsid w:val="008362DC"/>
    <w:rsid w:val="0083635A"/>
    <w:rsid w:val="00836368"/>
    <w:rsid w:val="00836377"/>
    <w:rsid w:val="008363A7"/>
    <w:rsid w:val="008363AB"/>
    <w:rsid w:val="0083641B"/>
    <w:rsid w:val="0083646D"/>
    <w:rsid w:val="00836489"/>
    <w:rsid w:val="008364FE"/>
    <w:rsid w:val="0083654B"/>
    <w:rsid w:val="008365E7"/>
    <w:rsid w:val="00836620"/>
    <w:rsid w:val="00836622"/>
    <w:rsid w:val="00836646"/>
    <w:rsid w:val="00836669"/>
    <w:rsid w:val="0083666B"/>
    <w:rsid w:val="0083669C"/>
    <w:rsid w:val="008366C9"/>
    <w:rsid w:val="008366FF"/>
    <w:rsid w:val="0083675B"/>
    <w:rsid w:val="00836794"/>
    <w:rsid w:val="0083689A"/>
    <w:rsid w:val="008369B6"/>
    <w:rsid w:val="008369CB"/>
    <w:rsid w:val="008369D2"/>
    <w:rsid w:val="00836AAB"/>
    <w:rsid w:val="00836ABC"/>
    <w:rsid w:val="00836B9C"/>
    <w:rsid w:val="00836BA2"/>
    <w:rsid w:val="00836BEB"/>
    <w:rsid w:val="00836C26"/>
    <w:rsid w:val="00836C5C"/>
    <w:rsid w:val="00836C63"/>
    <w:rsid w:val="00836C87"/>
    <w:rsid w:val="00836CE4"/>
    <w:rsid w:val="00836D25"/>
    <w:rsid w:val="00836D55"/>
    <w:rsid w:val="00836D71"/>
    <w:rsid w:val="00836D80"/>
    <w:rsid w:val="00836DC6"/>
    <w:rsid w:val="00836DD2"/>
    <w:rsid w:val="00836EC2"/>
    <w:rsid w:val="00836F00"/>
    <w:rsid w:val="00836F12"/>
    <w:rsid w:val="00836F2F"/>
    <w:rsid w:val="00836F7F"/>
    <w:rsid w:val="00836FBA"/>
    <w:rsid w:val="00836FD3"/>
    <w:rsid w:val="00837061"/>
    <w:rsid w:val="008370FA"/>
    <w:rsid w:val="0083711D"/>
    <w:rsid w:val="0083715B"/>
    <w:rsid w:val="00837167"/>
    <w:rsid w:val="008371CD"/>
    <w:rsid w:val="00837204"/>
    <w:rsid w:val="00837257"/>
    <w:rsid w:val="00837275"/>
    <w:rsid w:val="0083727A"/>
    <w:rsid w:val="00837296"/>
    <w:rsid w:val="008372ED"/>
    <w:rsid w:val="00837394"/>
    <w:rsid w:val="00837396"/>
    <w:rsid w:val="008373DB"/>
    <w:rsid w:val="008373E7"/>
    <w:rsid w:val="0083741D"/>
    <w:rsid w:val="00837483"/>
    <w:rsid w:val="0083749E"/>
    <w:rsid w:val="008374C4"/>
    <w:rsid w:val="008374FA"/>
    <w:rsid w:val="0083750B"/>
    <w:rsid w:val="00837557"/>
    <w:rsid w:val="00837622"/>
    <w:rsid w:val="0083762A"/>
    <w:rsid w:val="0083767F"/>
    <w:rsid w:val="008376A3"/>
    <w:rsid w:val="00837700"/>
    <w:rsid w:val="0083770E"/>
    <w:rsid w:val="0083776A"/>
    <w:rsid w:val="00837782"/>
    <w:rsid w:val="008377A7"/>
    <w:rsid w:val="008377CC"/>
    <w:rsid w:val="008377EA"/>
    <w:rsid w:val="00837807"/>
    <w:rsid w:val="0083781B"/>
    <w:rsid w:val="00837848"/>
    <w:rsid w:val="008378A3"/>
    <w:rsid w:val="008378D1"/>
    <w:rsid w:val="008378E8"/>
    <w:rsid w:val="008379FC"/>
    <w:rsid w:val="00837A0E"/>
    <w:rsid w:val="00837A22"/>
    <w:rsid w:val="00837A72"/>
    <w:rsid w:val="00837AC4"/>
    <w:rsid w:val="00837AE2"/>
    <w:rsid w:val="00837B0D"/>
    <w:rsid w:val="00837B15"/>
    <w:rsid w:val="00837B33"/>
    <w:rsid w:val="00837B68"/>
    <w:rsid w:val="00837B6B"/>
    <w:rsid w:val="00837BBF"/>
    <w:rsid w:val="00837BC1"/>
    <w:rsid w:val="00837BC6"/>
    <w:rsid w:val="00837BD8"/>
    <w:rsid w:val="00837C79"/>
    <w:rsid w:val="00837C89"/>
    <w:rsid w:val="00837C9D"/>
    <w:rsid w:val="00837CDA"/>
    <w:rsid w:val="00837CEE"/>
    <w:rsid w:val="00837D81"/>
    <w:rsid w:val="00837D89"/>
    <w:rsid w:val="00837EA7"/>
    <w:rsid w:val="00837EC8"/>
    <w:rsid w:val="00837ED2"/>
    <w:rsid w:val="00837F26"/>
    <w:rsid w:val="00837F27"/>
    <w:rsid w:val="00837F35"/>
    <w:rsid w:val="00837F7B"/>
    <w:rsid w:val="00837F84"/>
    <w:rsid w:val="00837F94"/>
    <w:rsid w:val="00837FB9"/>
    <w:rsid w:val="00837FCF"/>
    <w:rsid w:val="00837FD3"/>
    <w:rsid w:val="0084000A"/>
    <w:rsid w:val="00840041"/>
    <w:rsid w:val="00840087"/>
    <w:rsid w:val="0084009A"/>
    <w:rsid w:val="008400D0"/>
    <w:rsid w:val="008400F3"/>
    <w:rsid w:val="00840177"/>
    <w:rsid w:val="00840292"/>
    <w:rsid w:val="008402D5"/>
    <w:rsid w:val="008402EF"/>
    <w:rsid w:val="008402FA"/>
    <w:rsid w:val="0084036C"/>
    <w:rsid w:val="00840392"/>
    <w:rsid w:val="008403BE"/>
    <w:rsid w:val="00840441"/>
    <w:rsid w:val="0084045D"/>
    <w:rsid w:val="00840485"/>
    <w:rsid w:val="00840491"/>
    <w:rsid w:val="008404E0"/>
    <w:rsid w:val="00840541"/>
    <w:rsid w:val="00840542"/>
    <w:rsid w:val="008405B2"/>
    <w:rsid w:val="008405C6"/>
    <w:rsid w:val="00840626"/>
    <w:rsid w:val="00840655"/>
    <w:rsid w:val="0084067D"/>
    <w:rsid w:val="00840681"/>
    <w:rsid w:val="00840718"/>
    <w:rsid w:val="00840720"/>
    <w:rsid w:val="00840743"/>
    <w:rsid w:val="00840750"/>
    <w:rsid w:val="0084076B"/>
    <w:rsid w:val="0084076C"/>
    <w:rsid w:val="0084076F"/>
    <w:rsid w:val="0084079F"/>
    <w:rsid w:val="008407DC"/>
    <w:rsid w:val="00840814"/>
    <w:rsid w:val="0084088B"/>
    <w:rsid w:val="008408BD"/>
    <w:rsid w:val="008408F6"/>
    <w:rsid w:val="008409C3"/>
    <w:rsid w:val="00840A66"/>
    <w:rsid w:val="00840A9A"/>
    <w:rsid w:val="00840AAF"/>
    <w:rsid w:val="00840AB6"/>
    <w:rsid w:val="00840B2A"/>
    <w:rsid w:val="00840C27"/>
    <w:rsid w:val="00840D01"/>
    <w:rsid w:val="00840D3B"/>
    <w:rsid w:val="00840E10"/>
    <w:rsid w:val="00840E21"/>
    <w:rsid w:val="00840E59"/>
    <w:rsid w:val="00840E74"/>
    <w:rsid w:val="00840EE7"/>
    <w:rsid w:val="00840EE9"/>
    <w:rsid w:val="00840F0A"/>
    <w:rsid w:val="00840F4A"/>
    <w:rsid w:val="00840F54"/>
    <w:rsid w:val="00840FA9"/>
    <w:rsid w:val="0084105F"/>
    <w:rsid w:val="0084108E"/>
    <w:rsid w:val="008410B8"/>
    <w:rsid w:val="008410D9"/>
    <w:rsid w:val="008410EE"/>
    <w:rsid w:val="0084110C"/>
    <w:rsid w:val="0084115E"/>
    <w:rsid w:val="008411B1"/>
    <w:rsid w:val="008411D1"/>
    <w:rsid w:val="008411E4"/>
    <w:rsid w:val="00841209"/>
    <w:rsid w:val="00841218"/>
    <w:rsid w:val="00841237"/>
    <w:rsid w:val="008412B4"/>
    <w:rsid w:val="008412DC"/>
    <w:rsid w:val="00841341"/>
    <w:rsid w:val="00841346"/>
    <w:rsid w:val="00841350"/>
    <w:rsid w:val="008413B0"/>
    <w:rsid w:val="008413C9"/>
    <w:rsid w:val="008413CD"/>
    <w:rsid w:val="008413ED"/>
    <w:rsid w:val="0084145E"/>
    <w:rsid w:val="00841482"/>
    <w:rsid w:val="0084151A"/>
    <w:rsid w:val="0084153F"/>
    <w:rsid w:val="00841557"/>
    <w:rsid w:val="008415CA"/>
    <w:rsid w:val="008415D8"/>
    <w:rsid w:val="0084160A"/>
    <w:rsid w:val="00841614"/>
    <w:rsid w:val="008416C9"/>
    <w:rsid w:val="008416CA"/>
    <w:rsid w:val="00841793"/>
    <w:rsid w:val="0084183A"/>
    <w:rsid w:val="00841876"/>
    <w:rsid w:val="0084189F"/>
    <w:rsid w:val="0084198E"/>
    <w:rsid w:val="00841993"/>
    <w:rsid w:val="00841996"/>
    <w:rsid w:val="008419AE"/>
    <w:rsid w:val="00841A15"/>
    <w:rsid w:val="00841A3F"/>
    <w:rsid w:val="00841A53"/>
    <w:rsid w:val="00841A70"/>
    <w:rsid w:val="00841A71"/>
    <w:rsid w:val="00841A8C"/>
    <w:rsid w:val="00841A9D"/>
    <w:rsid w:val="00841ABB"/>
    <w:rsid w:val="00841AD8"/>
    <w:rsid w:val="00841B29"/>
    <w:rsid w:val="00841B55"/>
    <w:rsid w:val="00841B58"/>
    <w:rsid w:val="00841B96"/>
    <w:rsid w:val="00841B98"/>
    <w:rsid w:val="00841C04"/>
    <w:rsid w:val="00841C16"/>
    <w:rsid w:val="00841C25"/>
    <w:rsid w:val="00841C3B"/>
    <w:rsid w:val="00841C54"/>
    <w:rsid w:val="00841C76"/>
    <w:rsid w:val="00841C81"/>
    <w:rsid w:val="00841C92"/>
    <w:rsid w:val="00841CF1"/>
    <w:rsid w:val="00841CFC"/>
    <w:rsid w:val="00841D29"/>
    <w:rsid w:val="00841DE5"/>
    <w:rsid w:val="00841E26"/>
    <w:rsid w:val="00841EE3"/>
    <w:rsid w:val="00841EF1"/>
    <w:rsid w:val="00841F5A"/>
    <w:rsid w:val="00841F6B"/>
    <w:rsid w:val="00841FB7"/>
    <w:rsid w:val="0084206E"/>
    <w:rsid w:val="008420DA"/>
    <w:rsid w:val="00842133"/>
    <w:rsid w:val="00842169"/>
    <w:rsid w:val="00842173"/>
    <w:rsid w:val="008421BC"/>
    <w:rsid w:val="008421F9"/>
    <w:rsid w:val="0084223B"/>
    <w:rsid w:val="008422B6"/>
    <w:rsid w:val="00842387"/>
    <w:rsid w:val="008423AF"/>
    <w:rsid w:val="008423CB"/>
    <w:rsid w:val="008423D0"/>
    <w:rsid w:val="0084240F"/>
    <w:rsid w:val="00842431"/>
    <w:rsid w:val="00842444"/>
    <w:rsid w:val="0084246A"/>
    <w:rsid w:val="00842482"/>
    <w:rsid w:val="008424C0"/>
    <w:rsid w:val="0084251F"/>
    <w:rsid w:val="00842534"/>
    <w:rsid w:val="0084257B"/>
    <w:rsid w:val="008426A4"/>
    <w:rsid w:val="008426B5"/>
    <w:rsid w:val="008426B7"/>
    <w:rsid w:val="008426B9"/>
    <w:rsid w:val="00842722"/>
    <w:rsid w:val="00842750"/>
    <w:rsid w:val="00842756"/>
    <w:rsid w:val="00842770"/>
    <w:rsid w:val="008427A8"/>
    <w:rsid w:val="008427CF"/>
    <w:rsid w:val="00842850"/>
    <w:rsid w:val="0084285D"/>
    <w:rsid w:val="008428BB"/>
    <w:rsid w:val="008428FC"/>
    <w:rsid w:val="00842950"/>
    <w:rsid w:val="00842983"/>
    <w:rsid w:val="00842991"/>
    <w:rsid w:val="00842A2C"/>
    <w:rsid w:val="00842A3C"/>
    <w:rsid w:val="00842A43"/>
    <w:rsid w:val="00842AA1"/>
    <w:rsid w:val="00842AA9"/>
    <w:rsid w:val="00842ACE"/>
    <w:rsid w:val="00842ADC"/>
    <w:rsid w:val="00842B50"/>
    <w:rsid w:val="00842B81"/>
    <w:rsid w:val="00842BAD"/>
    <w:rsid w:val="00842C1A"/>
    <w:rsid w:val="00842C27"/>
    <w:rsid w:val="00842CF5"/>
    <w:rsid w:val="00842D45"/>
    <w:rsid w:val="00842D52"/>
    <w:rsid w:val="00842D5A"/>
    <w:rsid w:val="00842D5D"/>
    <w:rsid w:val="00842DA2"/>
    <w:rsid w:val="00842E28"/>
    <w:rsid w:val="00842E34"/>
    <w:rsid w:val="00842E59"/>
    <w:rsid w:val="00842E6F"/>
    <w:rsid w:val="00842E93"/>
    <w:rsid w:val="00842EDE"/>
    <w:rsid w:val="00842EEB"/>
    <w:rsid w:val="00842F5D"/>
    <w:rsid w:val="00842F6A"/>
    <w:rsid w:val="00842F74"/>
    <w:rsid w:val="00842FC1"/>
    <w:rsid w:val="00842FDA"/>
    <w:rsid w:val="00842FE1"/>
    <w:rsid w:val="00842FE6"/>
    <w:rsid w:val="0084301C"/>
    <w:rsid w:val="00843087"/>
    <w:rsid w:val="00843151"/>
    <w:rsid w:val="00843193"/>
    <w:rsid w:val="00843196"/>
    <w:rsid w:val="008431D6"/>
    <w:rsid w:val="008431EC"/>
    <w:rsid w:val="008431FE"/>
    <w:rsid w:val="0084325C"/>
    <w:rsid w:val="0084326E"/>
    <w:rsid w:val="0084327E"/>
    <w:rsid w:val="0084329A"/>
    <w:rsid w:val="008432B2"/>
    <w:rsid w:val="008432FE"/>
    <w:rsid w:val="00843312"/>
    <w:rsid w:val="00843354"/>
    <w:rsid w:val="0084336D"/>
    <w:rsid w:val="0084339E"/>
    <w:rsid w:val="00843406"/>
    <w:rsid w:val="0084340D"/>
    <w:rsid w:val="0084346D"/>
    <w:rsid w:val="008434D7"/>
    <w:rsid w:val="008435C2"/>
    <w:rsid w:val="008435EE"/>
    <w:rsid w:val="008435FE"/>
    <w:rsid w:val="00843601"/>
    <w:rsid w:val="00843655"/>
    <w:rsid w:val="00843669"/>
    <w:rsid w:val="00843677"/>
    <w:rsid w:val="008436E1"/>
    <w:rsid w:val="0084370B"/>
    <w:rsid w:val="00843758"/>
    <w:rsid w:val="0084376A"/>
    <w:rsid w:val="008437AF"/>
    <w:rsid w:val="0084382F"/>
    <w:rsid w:val="00843875"/>
    <w:rsid w:val="00843891"/>
    <w:rsid w:val="008438BA"/>
    <w:rsid w:val="008438D4"/>
    <w:rsid w:val="008438F6"/>
    <w:rsid w:val="0084399D"/>
    <w:rsid w:val="008439BA"/>
    <w:rsid w:val="008439FF"/>
    <w:rsid w:val="00843A1F"/>
    <w:rsid w:val="00843AA8"/>
    <w:rsid w:val="00843AC7"/>
    <w:rsid w:val="00843B2E"/>
    <w:rsid w:val="00843B66"/>
    <w:rsid w:val="00843B98"/>
    <w:rsid w:val="00843C22"/>
    <w:rsid w:val="00843C2B"/>
    <w:rsid w:val="00843C4B"/>
    <w:rsid w:val="00843C6F"/>
    <w:rsid w:val="00843D2D"/>
    <w:rsid w:val="00843D3F"/>
    <w:rsid w:val="00843D45"/>
    <w:rsid w:val="00843D60"/>
    <w:rsid w:val="00843DC1"/>
    <w:rsid w:val="00843DE0"/>
    <w:rsid w:val="00843E85"/>
    <w:rsid w:val="00843EB4"/>
    <w:rsid w:val="00843EE3"/>
    <w:rsid w:val="00843EFC"/>
    <w:rsid w:val="00843F55"/>
    <w:rsid w:val="00843F67"/>
    <w:rsid w:val="00844005"/>
    <w:rsid w:val="00844019"/>
    <w:rsid w:val="0084404D"/>
    <w:rsid w:val="008440B1"/>
    <w:rsid w:val="008440BA"/>
    <w:rsid w:val="008440ED"/>
    <w:rsid w:val="00844133"/>
    <w:rsid w:val="0084414C"/>
    <w:rsid w:val="0084419B"/>
    <w:rsid w:val="00844217"/>
    <w:rsid w:val="00844221"/>
    <w:rsid w:val="0084429F"/>
    <w:rsid w:val="008442B5"/>
    <w:rsid w:val="008442BF"/>
    <w:rsid w:val="008442E3"/>
    <w:rsid w:val="008442F7"/>
    <w:rsid w:val="00844343"/>
    <w:rsid w:val="008443E7"/>
    <w:rsid w:val="00844429"/>
    <w:rsid w:val="00844448"/>
    <w:rsid w:val="0084446B"/>
    <w:rsid w:val="00844525"/>
    <w:rsid w:val="0084452B"/>
    <w:rsid w:val="00844540"/>
    <w:rsid w:val="0084455E"/>
    <w:rsid w:val="00844563"/>
    <w:rsid w:val="00844589"/>
    <w:rsid w:val="008445EB"/>
    <w:rsid w:val="008445FF"/>
    <w:rsid w:val="0084461B"/>
    <w:rsid w:val="0084470D"/>
    <w:rsid w:val="0084473F"/>
    <w:rsid w:val="0084477E"/>
    <w:rsid w:val="00844817"/>
    <w:rsid w:val="00844821"/>
    <w:rsid w:val="0084484D"/>
    <w:rsid w:val="00844883"/>
    <w:rsid w:val="00844893"/>
    <w:rsid w:val="008448C7"/>
    <w:rsid w:val="008448D6"/>
    <w:rsid w:val="00844914"/>
    <w:rsid w:val="0084491F"/>
    <w:rsid w:val="00844937"/>
    <w:rsid w:val="00844938"/>
    <w:rsid w:val="00844987"/>
    <w:rsid w:val="008449AE"/>
    <w:rsid w:val="00844A22"/>
    <w:rsid w:val="00844A2E"/>
    <w:rsid w:val="00844A53"/>
    <w:rsid w:val="00844A85"/>
    <w:rsid w:val="00844A9C"/>
    <w:rsid w:val="00844AC9"/>
    <w:rsid w:val="00844ADB"/>
    <w:rsid w:val="00844B14"/>
    <w:rsid w:val="00844B44"/>
    <w:rsid w:val="00844B5A"/>
    <w:rsid w:val="00844B91"/>
    <w:rsid w:val="00844C0E"/>
    <w:rsid w:val="00844C37"/>
    <w:rsid w:val="00844C4B"/>
    <w:rsid w:val="00844C50"/>
    <w:rsid w:val="00844D10"/>
    <w:rsid w:val="00844D2A"/>
    <w:rsid w:val="00844D45"/>
    <w:rsid w:val="00844D9F"/>
    <w:rsid w:val="00844E46"/>
    <w:rsid w:val="00844E9F"/>
    <w:rsid w:val="00844EB5"/>
    <w:rsid w:val="00844EE1"/>
    <w:rsid w:val="00844EFE"/>
    <w:rsid w:val="00844F03"/>
    <w:rsid w:val="00844F0F"/>
    <w:rsid w:val="00844F57"/>
    <w:rsid w:val="00844F65"/>
    <w:rsid w:val="00844F69"/>
    <w:rsid w:val="00844F82"/>
    <w:rsid w:val="00844FD0"/>
    <w:rsid w:val="00844FE5"/>
    <w:rsid w:val="00845017"/>
    <w:rsid w:val="0084503F"/>
    <w:rsid w:val="00845040"/>
    <w:rsid w:val="00845046"/>
    <w:rsid w:val="00845051"/>
    <w:rsid w:val="008450C7"/>
    <w:rsid w:val="008450CA"/>
    <w:rsid w:val="0084513C"/>
    <w:rsid w:val="008451B1"/>
    <w:rsid w:val="008451B4"/>
    <w:rsid w:val="008451C3"/>
    <w:rsid w:val="008451F0"/>
    <w:rsid w:val="00845228"/>
    <w:rsid w:val="00845251"/>
    <w:rsid w:val="00845259"/>
    <w:rsid w:val="00845260"/>
    <w:rsid w:val="00845268"/>
    <w:rsid w:val="0084528A"/>
    <w:rsid w:val="0084528E"/>
    <w:rsid w:val="0084528F"/>
    <w:rsid w:val="0084529C"/>
    <w:rsid w:val="0084530B"/>
    <w:rsid w:val="00845332"/>
    <w:rsid w:val="0084533C"/>
    <w:rsid w:val="00845341"/>
    <w:rsid w:val="0084535D"/>
    <w:rsid w:val="0084539B"/>
    <w:rsid w:val="008453AA"/>
    <w:rsid w:val="008453AE"/>
    <w:rsid w:val="008453B8"/>
    <w:rsid w:val="008453C3"/>
    <w:rsid w:val="008453D4"/>
    <w:rsid w:val="008453D6"/>
    <w:rsid w:val="008453E0"/>
    <w:rsid w:val="00845414"/>
    <w:rsid w:val="0084542E"/>
    <w:rsid w:val="00845492"/>
    <w:rsid w:val="00845581"/>
    <w:rsid w:val="00845618"/>
    <w:rsid w:val="00845730"/>
    <w:rsid w:val="00845760"/>
    <w:rsid w:val="008457BC"/>
    <w:rsid w:val="008457CF"/>
    <w:rsid w:val="0084580C"/>
    <w:rsid w:val="00845893"/>
    <w:rsid w:val="00845908"/>
    <w:rsid w:val="00845945"/>
    <w:rsid w:val="0084594A"/>
    <w:rsid w:val="008459A6"/>
    <w:rsid w:val="008459C6"/>
    <w:rsid w:val="008459D6"/>
    <w:rsid w:val="008459E3"/>
    <w:rsid w:val="008459F7"/>
    <w:rsid w:val="00845A28"/>
    <w:rsid w:val="00845A63"/>
    <w:rsid w:val="00845A91"/>
    <w:rsid w:val="00845B16"/>
    <w:rsid w:val="00845B45"/>
    <w:rsid w:val="00845BE0"/>
    <w:rsid w:val="00845BFE"/>
    <w:rsid w:val="00845C29"/>
    <w:rsid w:val="00845C32"/>
    <w:rsid w:val="00845C62"/>
    <w:rsid w:val="00845CDF"/>
    <w:rsid w:val="00845CF8"/>
    <w:rsid w:val="00845CF9"/>
    <w:rsid w:val="00845D1F"/>
    <w:rsid w:val="00845D67"/>
    <w:rsid w:val="00845DAB"/>
    <w:rsid w:val="00845DC4"/>
    <w:rsid w:val="00845DD5"/>
    <w:rsid w:val="00845E24"/>
    <w:rsid w:val="00845E28"/>
    <w:rsid w:val="00845F07"/>
    <w:rsid w:val="00845F4B"/>
    <w:rsid w:val="00845F56"/>
    <w:rsid w:val="00845FF6"/>
    <w:rsid w:val="00846090"/>
    <w:rsid w:val="008460A9"/>
    <w:rsid w:val="008460AC"/>
    <w:rsid w:val="008460E6"/>
    <w:rsid w:val="008460F1"/>
    <w:rsid w:val="0084611F"/>
    <w:rsid w:val="00846158"/>
    <w:rsid w:val="0084617E"/>
    <w:rsid w:val="00846197"/>
    <w:rsid w:val="008461AE"/>
    <w:rsid w:val="008461B5"/>
    <w:rsid w:val="008461B7"/>
    <w:rsid w:val="0084621B"/>
    <w:rsid w:val="0084627E"/>
    <w:rsid w:val="0084628F"/>
    <w:rsid w:val="008462A6"/>
    <w:rsid w:val="0084634F"/>
    <w:rsid w:val="00846351"/>
    <w:rsid w:val="00846381"/>
    <w:rsid w:val="00846387"/>
    <w:rsid w:val="008463CB"/>
    <w:rsid w:val="008463FE"/>
    <w:rsid w:val="0084649A"/>
    <w:rsid w:val="00846507"/>
    <w:rsid w:val="0084651E"/>
    <w:rsid w:val="00846521"/>
    <w:rsid w:val="00846583"/>
    <w:rsid w:val="008465A8"/>
    <w:rsid w:val="00846606"/>
    <w:rsid w:val="0084664B"/>
    <w:rsid w:val="00846662"/>
    <w:rsid w:val="00846678"/>
    <w:rsid w:val="0084667F"/>
    <w:rsid w:val="00846710"/>
    <w:rsid w:val="00846713"/>
    <w:rsid w:val="00846782"/>
    <w:rsid w:val="00846785"/>
    <w:rsid w:val="008467A2"/>
    <w:rsid w:val="008467C5"/>
    <w:rsid w:val="008467CB"/>
    <w:rsid w:val="00846813"/>
    <w:rsid w:val="00846815"/>
    <w:rsid w:val="00846832"/>
    <w:rsid w:val="008468A6"/>
    <w:rsid w:val="008468D0"/>
    <w:rsid w:val="008468F3"/>
    <w:rsid w:val="00846902"/>
    <w:rsid w:val="00846929"/>
    <w:rsid w:val="0084695F"/>
    <w:rsid w:val="008469D8"/>
    <w:rsid w:val="00846A08"/>
    <w:rsid w:val="00846A0A"/>
    <w:rsid w:val="00846A8E"/>
    <w:rsid w:val="00846AEC"/>
    <w:rsid w:val="00846B4D"/>
    <w:rsid w:val="00846B53"/>
    <w:rsid w:val="00846B87"/>
    <w:rsid w:val="00846BEE"/>
    <w:rsid w:val="00846BFF"/>
    <w:rsid w:val="00846C10"/>
    <w:rsid w:val="00846D81"/>
    <w:rsid w:val="00846DB4"/>
    <w:rsid w:val="00846E15"/>
    <w:rsid w:val="00846E37"/>
    <w:rsid w:val="00846F86"/>
    <w:rsid w:val="00846FE2"/>
    <w:rsid w:val="00846FE6"/>
    <w:rsid w:val="00847032"/>
    <w:rsid w:val="00847041"/>
    <w:rsid w:val="00847053"/>
    <w:rsid w:val="008470A9"/>
    <w:rsid w:val="008470D7"/>
    <w:rsid w:val="008470F0"/>
    <w:rsid w:val="00847109"/>
    <w:rsid w:val="00847116"/>
    <w:rsid w:val="00847122"/>
    <w:rsid w:val="0084715A"/>
    <w:rsid w:val="008471BD"/>
    <w:rsid w:val="008471C7"/>
    <w:rsid w:val="00847268"/>
    <w:rsid w:val="008472A9"/>
    <w:rsid w:val="008472C4"/>
    <w:rsid w:val="0084730A"/>
    <w:rsid w:val="00847335"/>
    <w:rsid w:val="00847355"/>
    <w:rsid w:val="00847368"/>
    <w:rsid w:val="008473AF"/>
    <w:rsid w:val="008473F1"/>
    <w:rsid w:val="0084744C"/>
    <w:rsid w:val="00847470"/>
    <w:rsid w:val="0084749A"/>
    <w:rsid w:val="008474EA"/>
    <w:rsid w:val="00847558"/>
    <w:rsid w:val="0084759E"/>
    <w:rsid w:val="008475B1"/>
    <w:rsid w:val="00847600"/>
    <w:rsid w:val="00847614"/>
    <w:rsid w:val="00847650"/>
    <w:rsid w:val="0084766D"/>
    <w:rsid w:val="008476C1"/>
    <w:rsid w:val="008476DE"/>
    <w:rsid w:val="00847727"/>
    <w:rsid w:val="00847775"/>
    <w:rsid w:val="0084784F"/>
    <w:rsid w:val="00847873"/>
    <w:rsid w:val="008478D5"/>
    <w:rsid w:val="0084792D"/>
    <w:rsid w:val="00847958"/>
    <w:rsid w:val="0084796C"/>
    <w:rsid w:val="008479D2"/>
    <w:rsid w:val="008479EF"/>
    <w:rsid w:val="00847A3C"/>
    <w:rsid w:val="00847A73"/>
    <w:rsid w:val="00847A9B"/>
    <w:rsid w:val="00847AA0"/>
    <w:rsid w:val="00847AD2"/>
    <w:rsid w:val="00847B21"/>
    <w:rsid w:val="00847B54"/>
    <w:rsid w:val="00847BD4"/>
    <w:rsid w:val="00847C34"/>
    <w:rsid w:val="00847C6A"/>
    <w:rsid w:val="00847CC4"/>
    <w:rsid w:val="00847CE8"/>
    <w:rsid w:val="00847D05"/>
    <w:rsid w:val="00847D58"/>
    <w:rsid w:val="00847D68"/>
    <w:rsid w:val="00847D9D"/>
    <w:rsid w:val="00847DBA"/>
    <w:rsid w:val="00847DE1"/>
    <w:rsid w:val="00847E07"/>
    <w:rsid w:val="00847E21"/>
    <w:rsid w:val="00847E36"/>
    <w:rsid w:val="00847E4B"/>
    <w:rsid w:val="00847E4C"/>
    <w:rsid w:val="00847EA0"/>
    <w:rsid w:val="00847EAA"/>
    <w:rsid w:val="00847FAF"/>
    <w:rsid w:val="00850010"/>
    <w:rsid w:val="00850039"/>
    <w:rsid w:val="0085007A"/>
    <w:rsid w:val="008500CA"/>
    <w:rsid w:val="00850133"/>
    <w:rsid w:val="00850144"/>
    <w:rsid w:val="008501A8"/>
    <w:rsid w:val="008501BB"/>
    <w:rsid w:val="008501F2"/>
    <w:rsid w:val="0085021A"/>
    <w:rsid w:val="00850227"/>
    <w:rsid w:val="00850257"/>
    <w:rsid w:val="00850337"/>
    <w:rsid w:val="008503E3"/>
    <w:rsid w:val="00850419"/>
    <w:rsid w:val="00850437"/>
    <w:rsid w:val="0085046F"/>
    <w:rsid w:val="00850473"/>
    <w:rsid w:val="008504CE"/>
    <w:rsid w:val="00850504"/>
    <w:rsid w:val="0085050F"/>
    <w:rsid w:val="00850554"/>
    <w:rsid w:val="0085057B"/>
    <w:rsid w:val="008505DF"/>
    <w:rsid w:val="00850639"/>
    <w:rsid w:val="00850682"/>
    <w:rsid w:val="008506B3"/>
    <w:rsid w:val="008506BA"/>
    <w:rsid w:val="0085072E"/>
    <w:rsid w:val="00850740"/>
    <w:rsid w:val="0085077A"/>
    <w:rsid w:val="008507AA"/>
    <w:rsid w:val="008507BA"/>
    <w:rsid w:val="008507C3"/>
    <w:rsid w:val="008507E0"/>
    <w:rsid w:val="008507E3"/>
    <w:rsid w:val="00850832"/>
    <w:rsid w:val="00850863"/>
    <w:rsid w:val="0085089C"/>
    <w:rsid w:val="00850911"/>
    <w:rsid w:val="00850913"/>
    <w:rsid w:val="00850915"/>
    <w:rsid w:val="0085092A"/>
    <w:rsid w:val="0085094E"/>
    <w:rsid w:val="00850973"/>
    <w:rsid w:val="00850988"/>
    <w:rsid w:val="008509CA"/>
    <w:rsid w:val="008509E6"/>
    <w:rsid w:val="00850A2E"/>
    <w:rsid w:val="00850A31"/>
    <w:rsid w:val="00850AAB"/>
    <w:rsid w:val="00850AEB"/>
    <w:rsid w:val="00850AEF"/>
    <w:rsid w:val="00850B05"/>
    <w:rsid w:val="00850B07"/>
    <w:rsid w:val="00850B0D"/>
    <w:rsid w:val="00850B71"/>
    <w:rsid w:val="00850B7F"/>
    <w:rsid w:val="00850BA1"/>
    <w:rsid w:val="00850C4B"/>
    <w:rsid w:val="00850C4D"/>
    <w:rsid w:val="00850C50"/>
    <w:rsid w:val="00850C7B"/>
    <w:rsid w:val="00850CDE"/>
    <w:rsid w:val="00850CDF"/>
    <w:rsid w:val="00850D0C"/>
    <w:rsid w:val="00850D3D"/>
    <w:rsid w:val="00850D94"/>
    <w:rsid w:val="00850E14"/>
    <w:rsid w:val="00850E60"/>
    <w:rsid w:val="00850E99"/>
    <w:rsid w:val="00850EED"/>
    <w:rsid w:val="00850F50"/>
    <w:rsid w:val="00850F7E"/>
    <w:rsid w:val="00850F87"/>
    <w:rsid w:val="00850FC8"/>
    <w:rsid w:val="0085100E"/>
    <w:rsid w:val="00851037"/>
    <w:rsid w:val="0085107C"/>
    <w:rsid w:val="00851087"/>
    <w:rsid w:val="008510B1"/>
    <w:rsid w:val="008510CB"/>
    <w:rsid w:val="008510E5"/>
    <w:rsid w:val="0085113B"/>
    <w:rsid w:val="00851164"/>
    <w:rsid w:val="00851189"/>
    <w:rsid w:val="00851209"/>
    <w:rsid w:val="00851215"/>
    <w:rsid w:val="00851219"/>
    <w:rsid w:val="00851221"/>
    <w:rsid w:val="0085122B"/>
    <w:rsid w:val="00851260"/>
    <w:rsid w:val="008512B3"/>
    <w:rsid w:val="008512FD"/>
    <w:rsid w:val="008513B0"/>
    <w:rsid w:val="008513BE"/>
    <w:rsid w:val="0085148B"/>
    <w:rsid w:val="008514F6"/>
    <w:rsid w:val="008514FE"/>
    <w:rsid w:val="00851554"/>
    <w:rsid w:val="00851555"/>
    <w:rsid w:val="0085155F"/>
    <w:rsid w:val="008515B1"/>
    <w:rsid w:val="008515C5"/>
    <w:rsid w:val="008515E6"/>
    <w:rsid w:val="0085160B"/>
    <w:rsid w:val="0085162A"/>
    <w:rsid w:val="008516E7"/>
    <w:rsid w:val="008516ED"/>
    <w:rsid w:val="00851715"/>
    <w:rsid w:val="00851733"/>
    <w:rsid w:val="00851784"/>
    <w:rsid w:val="008517A1"/>
    <w:rsid w:val="008517A4"/>
    <w:rsid w:val="008517E5"/>
    <w:rsid w:val="00851802"/>
    <w:rsid w:val="00851805"/>
    <w:rsid w:val="008518BF"/>
    <w:rsid w:val="008518E0"/>
    <w:rsid w:val="00851955"/>
    <w:rsid w:val="00851995"/>
    <w:rsid w:val="008519A4"/>
    <w:rsid w:val="00851A12"/>
    <w:rsid w:val="00851ADA"/>
    <w:rsid w:val="00851B40"/>
    <w:rsid w:val="00851B84"/>
    <w:rsid w:val="00851B88"/>
    <w:rsid w:val="00851BC9"/>
    <w:rsid w:val="00851BFC"/>
    <w:rsid w:val="00851C01"/>
    <w:rsid w:val="00851CE3"/>
    <w:rsid w:val="00851DA2"/>
    <w:rsid w:val="00851DAB"/>
    <w:rsid w:val="00851DE3"/>
    <w:rsid w:val="00851DE6"/>
    <w:rsid w:val="00851E37"/>
    <w:rsid w:val="00851E5C"/>
    <w:rsid w:val="00851E61"/>
    <w:rsid w:val="00851E9C"/>
    <w:rsid w:val="00851F1B"/>
    <w:rsid w:val="00851F5B"/>
    <w:rsid w:val="00851F7E"/>
    <w:rsid w:val="00851FFE"/>
    <w:rsid w:val="008520C2"/>
    <w:rsid w:val="008520C3"/>
    <w:rsid w:val="008520EE"/>
    <w:rsid w:val="00852123"/>
    <w:rsid w:val="0085213A"/>
    <w:rsid w:val="00852160"/>
    <w:rsid w:val="00852165"/>
    <w:rsid w:val="0085218B"/>
    <w:rsid w:val="008521A8"/>
    <w:rsid w:val="008521AE"/>
    <w:rsid w:val="00852200"/>
    <w:rsid w:val="00852218"/>
    <w:rsid w:val="0085224D"/>
    <w:rsid w:val="008522A6"/>
    <w:rsid w:val="008522D0"/>
    <w:rsid w:val="00852384"/>
    <w:rsid w:val="00852388"/>
    <w:rsid w:val="008523B1"/>
    <w:rsid w:val="008523BA"/>
    <w:rsid w:val="008523C2"/>
    <w:rsid w:val="008523EB"/>
    <w:rsid w:val="00852455"/>
    <w:rsid w:val="00852492"/>
    <w:rsid w:val="008524AC"/>
    <w:rsid w:val="0085252F"/>
    <w:rsid w:val="00852536"/>
    <w:rsid w:val="00852574"/>
    <w:rsid w:val="0085258B"/>
    <w:rsid w:val="008525BC"/>
    <w:rsid w:val="008525CD"/>
    <w:rsid w:val="00852639"/>
    <w:rsid w:val="00852686"/>
    <w:rsid w:val="008526F9"/>
    <w:rsid w:val="0085277A"/>
    <w:rsid w:val="00852792"/>
    <w:rsid w:val="00852824"/>
    <w:rsid w:val="0085282E"/>
    <w:rsid w:val="00852838"/>
    <w:rsid w:val="00852859"/>
    <w:rsid w:val="0085286D"/>
    <w:rsid w:val="00852882"/>
    <w:rsid w:val="008528B4"/>
    <w:rsid w:val="008528C0"/>
    <w:rsid w:val="00852971"/>
    <w:rsid w:val="00852AB8"/>
    <w:rsid w:val="00852AE1"/>
    <w:rsid w:val="00852B2B"/>
    <w:rsid w:val="00852B33"/>
    <w:rsid w:val="00852BC8"/>
    <w:rsid w:val="00852BD1"/>
    <w:rsid w:val="00852BE7"/>
    <w:rsid w:val="00852C27"/>
    <w:rsid w:val="00852CBF"/>
    <w:rsid w:val="00852CC5"/>
    <w:rsid w:val="00852D0B"/>
    <w:rsid w:val="00852D0D"/>
    <w:rsid w:val="00852D1E"/>
    <w:rsid w:val="00852D70"/>
    <w:rsid w:val="00852E49"/>
    <w:rsid w:val="00852E4F"/>
    <w:rsid w:val="00852EA9"/>
    <w:rsid w:val="00852EB2"/>
    <w:rsid w:val="00852EB5"/>
    <w:rsid w:val="00852ED5"/>
    <w:rsid w:val="00852EE4"/>
    <w:rsid w:val="00852F68"/>
    <w:rsid w:val="00852F7B"/>
    <w:rsid w:val="00852F92"/>
    <w:rsid w:val="00852FA6"/>
    <w:rsid w:val="00852FDD"/>
    <w:rsid w:val="00852FF4"/>
    <w:rsid w:val="00852FF5"/>
    <w:rsid w:val="00853054"/>
    <w:rsid w:val="008530F0"/>
    <w:rsid w:val="0085315B"/>
    <w:rsid w:val="00853193"/>
    <w:rsid w:val="008531BD"/>
    <w:rsid w:val="008531EB"/>
    <w:rsid w:val="00853217"/>
    <w:rsid w:val="00853227"/>
    <w:rsid w:val="008532CA"/>
    <w:rsid w:val="00853385"/>
    <w:rsid w:val="00853448"/>
    <w:rsid w:val="008534A0"/>
    <w:rsid w:val="0085350B"/>
    <w:rsid w:val="00853528"/>
    <w:rsid w:val="008535CD"/>
    <w:rsid w:val="0085363E"/>
    <w:rsid w:val="00853655"/>
    <w:rsid w:val="0085367F"/>
    <w:rsid w:val="008536EF"/>
    <w:rsid w:val="00853714"/>
    <w:rsid w:val="00853756"/>
    <w:rsid w:val="00853779"/>
    <w:rsid w:val="008537AB"/>
    <w:rsid w:val="00853801"/>
    <w:rsid w:val="0085388A"/>
    <w:rsid w:val="008538F6"/>
    <w:rsid w:val="008538F7"/>
    <w:rsid w:val="0085392C"/>
    <w:rsid w:val="008539B9"/>
    <w:rsid w:val="008539D3"/>
    <w:rsid w:val="00853AB2"/>
    <w:rsid w:val="00853AB5"/>
    <w:rsid w:val="00853B29"/>
    <w:rsid w:val="00853BBD"/>
    <w:rsid w:val="00853BFD"/>
    <w:rsid w:val="00853C48"/>
    <w:rsid w:val="00853C6B"/>
    <w:rsid w:val="00853C71"/>
    <w:rsid w:val="00853CA0"/>
    <w:rsid w:val="00853CB1"/>
    <w:rsid w:val="00853CBC"/>
    <w:rsid w:val="00853CCB"/>
    <w:rsid w:val="00853D8E"/>
    <w:rsid w:val="00853DDD"/>
    <w:rsid w:val="00853E22"/>
    <w:rsid w:val="00853EE8"/>
    <w:rsid w:val="00853F1D"/>
    <w:rsid w:val="00853FAC"/>
    <w:rsid w:val="00853FBC"/>
    <w:rsid w:val="00854018"/>
    <w:rsid w:val="0085406E"/>
    <w:rsid w:val="00854096"/>
    <w:rsid w:val="008540A1"/>
    <w:rsid w:val="008540B5"/>
    <w:rsid w:val="008540E0"/>
    <w:rsid w:val="0085414F"/>
    <w:rsid w:val="00854171"/>
    <w:rsid w:val="008541F8"/>
    <w:rsid w:val="00854212"/>
    <w:rsid w:val="00854274"/>
    <w:rsid w:val="0085429D"/>
    <w:rsid w:val="008542A1"/>
    <w:rsid w:val="008542D4"/>
    <w:rsid w:val="008542E0"/>
    <w:rsid w:val="008542ED"/>
    <w:rsid w:val="008542F8"/>
    <w:rsid w:val="008542FD"/>
    <w:rsid w:val="008543A7"/>
    <w:rsid w:val="008543B3"/>
    <w:rsid w:val="008543D1"/>
    <w:rsid w:val="0085440A"/>
    <w:rsid w:val="00854416"/>
    <w:rsid w:val="00854453"/>
    <w:rsid w:val="00854498"/>
    <w:rsid w:val="00854665"/>
    <w:rsid w:val="00854668"/>
    <w:rsid w:val="0085469A"/>
    <w:rsid w:val="008546B2"/>
    <w:rsid w:val="008546CE"/>
    <w:rsid w:val="00854700"/>
    <w:rsid w:val="00854756"/>
    <w:rsid w:val="008547A1"/>
    <w:rsid w:val="008547B9"/>
    <w:rsid w:val="0085480B"/>
    <w:rsid w:val="00854920"/>
    <w:rsid w:val="0085493B"/>
    <w:rsid w:val="00854965"/>
    <w:rsid w:val="0085499E"/>
    <w:rsid w:val="008549AC"/>
    <w:rsid w:val="008549BC"/>
    <w:rsid w:val="00854A66"/>
    <w:rsid w:val="00854AA7"/>
    <w:rsid w:val="00854AF8"/>
    <w:rsid w:val="00854B12"/>
    <w:rsid w:val="00854B1E"/>
    <w:rsid w:val="00854B34"/>
    <w:rsid w:val="00854B3B"/>
    <w:rsid w:val="00854B74"/>
    <w:rsid w:val="00854BCC"/>
    <w:rsid w:val="00854C07"/>
    <w:rsid w:val="00854C5E"/>
    <w:rsid w:val="00854C8C"/>
    <w:rsid w:val="00854D18"/>
    <w:rsid w:val="00854D21"/>
    <w:rsid w:val="00854D62"/>
    <w:rsid w:val="00854DBC"/>
    <w:rsid w:val="00854DC8"/>
    <w:rsid w:val="00854DE9"/>
    <w:rsid w:val="00854E22"/>
    <w:rsid w:val="00854E71"/>
    <w:rsid w:val="00854EB4"/>
    <w:rsid w:val="00854F15"/>
    <w:rsid w:val="00854F76"/>
    <w:rsid w:val="00854F8F"/>
    <w:rsid w:val="00854FE9"/>
    <w:rsid w:val="00855036"/>
    <w:rsid w:val="00855042"/>
    <w:rsid w:val="00855046"/>
    <w:rsid w:val="0085504E"/>
    <w:rsid w:val="00855058"/>
    <w:rsid w:val="00855061"/>
    <w:rsid w:val="00855064"/>
    <w:rsid w:val="00855082"/>
    <w:rsid w:val="008550A3"/>
    <w:rsid w:val="008551BB"/>
    <w:rsid w:val="008551E8"/>
    <w:rsid w:val="00855200"/>
    <w:rsid w:val="0085520F"/>
    <w:rsid w:val="0085538E"/>
    <w:rsid w:val="008553CF"/>
    <w:rsid w:val="008553E9"/>
    <w:rsid w:val="00855463"/>
    <w:rsid w:val="00855465"/>
    <w:rsid w:val="00855487"/>
    <w:rsid w:val="008554C5"/>
    <w:rsid w:val="008554DC"/>
    <w:rsid w:val="00855516"/>
    <w:rsid w:val="0085551F"/>
    <w:rsid w:val="0085554C"/>
    <w:rsid w:val="00855569"/>
    <w:rsid w:val="0085556C"/>
    <w:rsid w:val="008555CA"/>
    <w:rsid w:val="00855601"/>
    <w:rsid w:val="008556CD"/>
    <w:rsid w:val="008556DC"/>
    <w:rsid w:val="00855711"/>
    <w:rsid w:val="00855752"/>
    <w:rsid w:val="008557D6"/>
    <w:rsid w:val="008557ED"/>
    <w:rsid w:val="00855808"/>
    <w:rsid w:val="0085584F"/>
    <w:rsid w:val="0085586F"/>
    <w:rsid w:val="0085589B"/>
    <w:rsid w:val="008558DD"/>
    <w:rsid w:val="008558EF"/>
    <w:rsid w:val="00855900"/>
    <w:rsid w:val="00855909"/>
    <w:rsid w:val="00855A2B"/>
    <w:rsid w:val="00855A35"/>
    <w:rsid w:val="00855A38"/>
    <w:rsid w:val="00855A89"/>
    <w:rsid w:val="00855AC3"/>
    <w:rsid w:val="00855AC5"/>
    <w:rsid w:val="00855AFC"/>
    <w:rsid w:val="00855B0F"/>
    <w:rsid w:val="00855B12"/>
    <w:rsid w:val="00855B2B"/>
    <w:rsid w:val="00855B5A"/>
    <w:rsid w:val="00855BAA"/>
    <w:rsid w:val="00855BC9"/>
    <w:rsid w:val="00855C5A"/>
    <w:rsid w:val="00855C75"/>
    <w:rsid w:val="00855C77"/>
    <w:rsid w:val="00855CC1"/>
    <w:rsid w:val="00855CE0"/>
    <w:rsid w:val="00855D23"/>
    <w:rsid w:val="00855D50"/>
    <w:rsid w:val="00855DFF"/>
    <w:rsid w:val="00855E3B"/>
    <w:rsid w:val="00855E7D"/>
    <w:rsid w:val="00855E81"/>
    <w:rsid w:val="00855EDD"/>
    <w:rsid w:val="00855EF6"/>
    <w:rsid w:val="00855F17"/>
    <w:rsid w:val="00855F20"/>
    <w:rsid w:val="00855F22"/>
    <w:rsid w:val="00855F3A"/>
    <w:rsid w:val="00855FA4"/>
    <w:rsid w:val="00855FEB"/>
    <w:rsid w:val="00855FF3"/>
    <w:rsid w:val="00856019"/>
    <w:rsid w:val="0085603F"/>
    <w:rsid w:val="00856073"/>
    <w:rsid w:val="0085609B"/>
    <w:rsid w:val="008560C5"/>
    <w:rsid w:val="008560E9"/>
    <w:rsid w:val="008560F9"/>
    <w:rsid w:val="0085616A"/>
    <w:rsid w:val="0085616C"/>
    <w:rsid w:val="008561F9"/>
    <w:rsid w:val="0085624F"/>
    <w:rsid w:val="008562C4"/>
    <w:rsid w:val="008562DE"/>
    <w:rsid w:val="008562F0"/>
    <w:rsid w:val="0085646A"/>
    <w:rsid w:val="008564E1"/>
    <w:rsid w:val="00856532"/>
    <w:rsid w:val="00856553"/>
    <w:rsid w:val="00856569"/>
    <w:rsid w:val="008565A7"/>
    <w:rsid w:val="008565E9"/>
    <w:rsid w:val="00856650"/>
    <w:rsid w:val="00856655"/>
    <w:rsid w:val="00856668"/>
    <w:rsid w:val="0085666D"/>
    <w:rsid w:val="0085671A"/>
    <w:rsid w:val="00856753"/>
    <w:rsid w:val="00856763"/>
    <w:rsid w:val="0085677B"/>
    <w:rsid w:val="00856782"/>
    <w:rsid w:val="00856784"/>
    <w:rsid w:val="008567A0"/>
    <w:rsid w:val="008567C6"/>
    <w:rsid w:val="008567EB"/>
    <w:rsid w:val="00856867"/>
    <w:rsid w:val="0085687E"/>
    <w:rsid w:val="0085688E"/>
    <w:rsid w:val="008568B1"/>
    <w:rsid w:val="008568F1"/>
    <w:rsid w:val="008569CE"/>
    <w:rsid w:val="008569CF"/>
    <w:rsid w:val="008569FB"/>
    <w:rsid w:val="00856A26"/>
    <w:rsid w:val="00856A2D"/>
    <w:rsid w:val="00856A69"/>
    <w:rsid w:val="00856ADB"/>
    <w:rsid w:val="00856AF9"/>
    <w:rsid w:val="00856B21"/>
    <w:rsid w:val="00856B5B"/>
    <w:rsid w:val="00856C31"/>
    <w:rsid w:val="00856C7B"/>
    <w:rsid w:val="00856C7D"/>
    <w:rsid w:val="00856CD5"/>
    <w:rsid w:val="00856CDB"/>
    <w:rsid w:val="00856CF8"/>
    <w:rsid w:val="00856D0E"/>
    <w:rsid w:val="00856D6B"/>
    <w:rsid w:val="00856D94"/>
    <w:rsid w:val="00856DE8"/>
    <w:rsid w:val="00856E07"/>
    <w:rsid w:val="00856E1B"/>
    <w:rsid w:val="00856E56"/>
    <w:rsid w:val="00856E6E"/>
    <w:rsid w:val="00857023"/>
    <w:rsid w:val="00857047"/>
    <w:rsid w:val="00857069"/>
    <w:rsid w:val="00857104"/>
    <w:rsid w:val="00857131"/>
    <w:rsid w:val="00857212"/>
    <w:rsid w:val="00857262"/>
    <w:rsid w:val="0085730B"/>
    <w:rsid w:val="00857356"/>
    <w:rsid w:val="00857376"/>
    <w:rsid w:val="00857384"/>
    <w:rsid w:val="008573F0"/>
    <w:rsid w:val="00857409"/>
    <w:rsid w:val="0085740F"/>
    <w:rsid w:val="00857422"/>
    <w:rsid w:val="00857432"/>
    <w:rsid w:val="00857439"/>
    <w:rsid w:val="00857478"/>
    <w:rsid w:val="008574DD"/>
    <w:rsid w:val="00857510"/>
    <w:rsid w:val="00857522"/>
    <w:rsid w:val="0085755E"/>
    <w:rsid w:val="0085759A"/>
    <w:rsid w:val="008575FE"/>
    <w:rsid w:val="0085763B"/>
    <w:rsid w:val="0085763F"/>
    <w:rsid w:val="0085766C"/>
    <w:rsid w:val="00857699"/>
    <w:rsid w:val="008576CE"/>
    <w:rsid w:val="008576F0"/>
    <w:rsid w:val="008576F3"/>
    <w:rsid w:val="00857721"/>
    <w:rsid w:val="0085773F"/>
    <w:rsid w:val="008577A1"/>
    <w:rsid w:val="008577B1"/>
    <w:rsid w:val="008577B4"/>
    <w:rsid w:val="008577DD"/>
    <w:rsid w:val="008577FB"/>
    <w:rsid w:val="0085780A"/>
    <w:rsid w:val="00857822"/>
    <w:rsid w:val="00857835"/>
    <w:rsid w:val="0085784E"/>
    <w:rsid w:val="00857869"/>
    <w:rsid w:val="0085789A"/>
    <w:rsid w:val="008578D5"/>
    <w:rsid w:val="008578DA"/>
    <w:rsid w:val="008578E3"/>
    <w:rsid w:val="008578FC"/>
    <w:rsid w:val="00857909"/>
    <w:rsid w:val="00857923"/>
    <w:rsid w:val="0085795E"/>
    <w:rsid w:val="00857969"/>
    <w:rsid w:val="008579E2"/>
    <w:rsid w:val="008579E7"/>
    <w:rsid w:val="00857A09"/>
    <w:rsid w:val="00857A31"/>
    <w:rsid w:val="00857A42"/>
    <w:rsid w:val="00857AB3"/>
    <w:rsid w:val="00857B11"/>
    <w:rsid w:val="00857B18"/>
    <w:rsid w:val="00857B52"/>
    <w:rsid w:val="00857B8C"/>
    <w:rsid w:val="00857B9B"/>
    <w:rsid w:val="00857C47"/>
    <w:rsid w:val="00857C90"/>
    <w:rsid w:val="00857C9F"/>
    <w:rsid w:val="00857CB8"/>
    <w:rsid w:val="00857CDD"/>
    <w:rsid w:val="00857CF5"/>
    <w:rsid w:val="00857CFF"/>
    <w:rsid w:val="00857D22"/>
    <w:rsid w:val="00857D78"/>
    <w:rsid w:val="00857DAE"/>
    <w:rsid w:val="00857E06"/>
    <w:rsid w:val="00857E34"/>
    <w:rsid w:val="00857E3D"/>
    <w:rsid w:val="00857E8C"/>
    <w:rsid w:val="00857EA9"/>
    <w:rsid w:val="00857EC9"/>
    <w:rsid w:val="00857EF8"/>
    <w:rsid w:val="00857F6A"/>
    <w:rsid w:val="00857F7C"/>
    <w:rsid w:val="00857FB9"/>
    <w:rsid w:val="00857FBD"/>
    <w:rsid w:val="00860029"/>
    <w:rsid w:val="0086002D"/>
    <w:rsid w:val="00860032"/>
    <w:rsid w:val="008600E1"/>
    <w:rsid w:val="00860110"/>
    <w:rsid w:val="0086011A"/>
    <w:rsid w:val="00860164"/>
    <w:rsid w:val="00860184"/>
    <w:rsid w:val="008601AD"/>
    <w:rsid w:val="008601D4"/>
    <w:rsid w:val="0086023A"/>
    <w:rsid w:val="0086023F"/>
    <w:rsid w:val="008602AD"/>
    <w:rsid w:val="008602B6"/>
    <w:rsid w:val="008602BD"/>
    <w:rsid w:val="008602C0"/>
    <w:rsid w:val="008602D5"/>
    <w:rsid w:val="00860326"/>
    <w:rsid w:val="00860386"/>
    <w:rsid w:val="008603A2"/>
    <w:rsid w:val="008603A3"/>
    <w:rsid w:val="008603B1"/>
    <w:rsid w:val="008603C3"/>
    <w:rsid w:val="00860406"/>
    <w:rsid w:val="00860414"/>
    <w:rsid w:val="00860461"/>
    <w:rsid w:val="0086048A"/>
    <w:rsid w:val="00860490"/>
    <w:rsid w:val="0086049D"/>
    <w:rsid w:val="008604B8"/>
    <w:rsid w:val="008604D2"/>
    <w:rsid w:val="008604F4"/>
    <w:rsid w:val="008604F7"/>
    <w:rsid w:val="00860570"/>
    <w:rsid w:val="008605A5"/>
    <w:rsid w:val="00860653"/>
    <w:rsid w:val="00860684"/>
    <w:rsid w:val="00860707"/>
    <w:rsid w:val="0086072C"/>
    <w:rsid w:val="008607B7"/>
    <w:rsid w:val="008607E5"/>
    <w:rsid w:val="0086083D"/>
    <w:rsid w:val="0086084F"/>
    <w:rsid w:val="00860857"/>
    <w:rsid w:val="00860866"/>
    <w:rsid w:val="0086086B"/>
    <w:rsid w:val="00860899"/>
    <w:rsid w:val="00860964"/>
    <w:rsid w:val="00860972"/>
    <w:rsid w:val="00860990"/>
    <w:rsid w:val="00860A82"/>
    <w:rsid w:val="00860A91"/>
    <w:rsid w:val="00860AEE"/>
    <w:rsid w:val="00860AFA"/>
    <w:rsid w:val="00860B0D"/>
    <w:rsid w:val="00860B4F"/>
    <w:rsid w:val="00860B81"/>
    <w:rsid w:val="00860B85"/>
    <w:rsid w:val="00860B9D"/>
    <w:rsid w:val="00860BC1"/>
    <w:rsid w:val="00860BC3"/>
    <w:rsid w:val="00860BD4"/>
    <w:rsid w:val="00860C03"/>
    <w:rsid w:val="00860C51"/>
    <w:rsid w:val="00860C68"/>
    <w:rsid w:val="00860CAE"/>
    <w:rsid w:val="00860D1C"/>
    <w:rsid w:val="00860D42"/>
    <w:rsid w:val="00860D54"/>
    <w:rsid w:val="00860D91"/>
    <w:rsid w:val="00860D9F"/>
    <w:rsid w:val="00860DAB"/>
    <w:rsid w:val="00860DCF"/>
    <w:rsid w:val="00860E07"/>
    <w:rsid w:val="00860E5D"/>
    <w:rsid w:val="00860E70"/>
    <w:rsid w:val="00860EC8"/>
    <w:rsid w:val="00860ECE"/>
    <w:rsid w:val="00860EFF"/>
    <w:rsid w:val="00860F2E"/>
    <w:rsid w:val="00860F2F"/>
    <w:rsid w:val="00860F32"/>
    <w:rsid w:val="00860FC0"/>
    <w:rsid w:val="00860FC9"/>
    <w:rsid w:val="00861064"/>
    <w:rsid w:val="0086106E"/>
    <w:rsid w:val="00861090"/>
    <w:rsid w:val="008610B9"/>
    <w:rsid w:val="008610C9"/>
    <w:rsid w:val="008610CF"/>
    <w:rsid w:val="0086120C"/>
    <w:rsid w:val="0086123D"/>
    <w:rsid w:val="0086126E"/>
    <w:rsid w:val="008612E9"/>
    <w:rsid w:val="008612FE"/>
    <w:rsid w:val="00861373"/>
    <w:rsid w:val="00861383"/>
    <w:rsid w:val="008613C1"/>
    <w:rsid w:val="008613D4"/>
    <w:rsid w:val="0086140E"/>
    <w:rsid w:val="0086141A"/>
    <w:rsid w:val="00861457"/>
    <w:rsid w:val="00861460"/>
    <w:rsid w:val="0086146C"/>
    <w:rsid w:val="00861472"/>
    <w:rsid w:val="00861497"/>
    <w:rsid w:val="0086149E"/>
    <w:rsid w:val="008614B9"/>
    <w:rsid w:val="008615AA"/>
    <w:rsid w:val="008615B8"/>
    <w:rsid w:val="008616EC"/>
    <w:rsid w:val="00861712"/>
    <w:rsid w:val="0086178A"/>
    <w:rsid w:val="0086178D"/>
    <w:rsid w:val="00861793"/>
    <w:rsid w:val="00861819"/>
    <w:rsid w:val="00861893"/>
    <w:rsid w:val="008618B2"/>
    <w:rsid w:val="008618C5"/>
    <w:rsid w:val="00861939"/>
    <w:rsid w:val="00861940"/>
    <w:rsid w:val="00861961"/>
    <w:rsid w:val="008619AD"/>
    <w:rsid w:val="00861A3B"/>
    <w:rsid w:val="00861AFE"/>
    <w:rsid w:val="00861B1E"/>
    <w:rsid w:val="00861B25"/>
    <w:rsid w:val="00861B51"/>
    <w:rsid w:val="00861BC2"/>
    <w:rsid w:val="00861BF8"/>
    <w:rsid w:val="00861C14"/>
    <w:rsid w:val="00861C57"/>
    <w:rsid w:val="00861C58"/>
    <w:rsid w:val="00861C97"/>
    <w:rsid w:val="00861CA3"/>
    <w:rsid w:val="00861D52"/>
    <w:rsid w:val="00861D82"/>
    <w:rsid w:val="00861D93"/>
    <w:rsid w:val="00861DA5"/>
    <w:rsid w:val="00861DC8"/>
    <w:rsid w:val="00861DD9"/>
    <w:rsid w:val="00861DE9"/>
    <w:rsid w:val="00861E13"/>
    <w:rsid w:val="00861E56"/>
    <w:rsid w:val="00861E66"/>
    <w:rsid w:val="00861E83"/>
    <w:rsid w:val="00861EC1"/>
    <w:rsid w:val="00861EE7"/>
    <w:rsid w:val="00861F67"/>
    <w:rsid w:val="00861F85"/>
    <w:rsid w:val="00861FAE"/>
    <w:rsid w:val="00861FE0"/>
    <w:rsid w:val="00862021"/>
    <w:rsid w:val="00862034"/>
    <w:rsid w:val="0086203C"/>
    <w:rsid w:val="0086205E"/>
    <w:rsid w:val="008620DD"/>
    <w:rsid w:val="0086210B"/>
    <w:rsid w:val="0086216C"/>
    <w:rsid w:val="00862176"/>
    <w:rsid w:val="00862177"/>
    <w:rsid w:val="008621BA"/>
    <w:rsid w:val="008621CE"/>
    <w:rsid w:val="008621DF"/>
    <w:rsid w:val="00862245"/>
    <w:rsid w:val="00862249"/>
    <w:rsid w:val="00862315"/>
    <w:rsid w:val="00862339"/>
    <w:rsid w:val="00862341"/>
    <w:rsid w:val="00862394"/>
    <w:rsid w:val="008623A9"/>
    <w:rsid w:val="008623BC"/>
    <w:rsid w:val="008623BD"/>
    <w:rsid w:val="008623CB"/>
    <w:rsid w:val="0086245C"/>
    <w:rsid w:val="00862480"/>
    <w:rsid w:val="008624AF"/>
    <w:rsid w:val="008624D0"/>
    <w:rsid w:val="00862543"/>
    <w:rsid w:val="00862594"/>
    <w:rsid w:val="008625F7"/>
    <w:rsid w:val="00862641"/>
    <w:rsid w:val="00862651"/>
    <w:rsid w:val="00862652"/>
    <w:rsid w:val="0086267F"/>
    <w:rsid w:val="00862683"/>
    <w:rsid w:val="0086268E"/>
    <w:rsid w:val="0086269A"/>
    <w:rsid w:val="008626BC"/>
    <w:rsid w:val="008626F7"/>
    <w:rsid w:val="00862703"/>
    <w:rsid w:val="00862719"/>
    <w:rsid w:val="00862723"/>
    <w:rsid w:val="00862728"/>
    <w:rsid w:val="00862768"/>
    <w:rsid w:val="0086278A"/>
    <w:rsid w:val="0086278F"/>
    <w:rsid w:val="008627A3"/>
    <w:rsid w:val="00862803"/>
    <w:rsid w:val="00862852"/>
    <w:rsid w:val="00862880"/>
    <w:rsid w:val="00862886"/>
    <w:rsid w:val="008628B3"/>
    <w:rsid w:val="008628BC"/>
    <w:rsid w:val="00862910"/>
    <w:rsid w:val="00862960"/>
    <w:rsid w:val="00862982"/>
    <w:rsid w:val="00862991"/>
    <w:rsid w:val="008629BD"/>
    <w:rsid w:val="008629D5"/>
    <w:rsid w:val="008629E5"/>
    <w:rsid w:val="00862A11"/>
    <w:rsid w:val="00862AAD"/>
    <w:rsid w:val="00862B0B"/>
    <w:rsid w:val="00862B2F"/>
    <w:rsid w:val="00862B79"/>
    <w:rsid w:val="00862C35"/>
    <w:rsid w:val="00862C38"/>
    <w:rsid w:val="00862C75"/>
    <w:rsid w:val="00862C87"/>
    <w:rsid w:val="00862CB1"/>
    <w:rsid w:val="00862CDD"/>
    <w:rsid w:val="00862D0D"/>
    <w:rsid w:val="00862D35"/>
    <w:rsid w:val="00862DB1"/>
    <w:rsid w:val="00862DCB"/>
    <w:rsid w:val="00862DE0"/>
    <w:rsid w:val="00862E23"/>
    <w:rsid w:val="00862E43"/>
    <w:rsid w:val="00862E48"/>
    <w:rsid w:val="00862EA5"/>
    <w:rsid w:val="00862EB6"/>
    <w:rsid w:val="00862EE6"/>
    <w:rsid w:val="00862EF1"/>
    <w:rsid w:val="00862F0E"/>
    <w:rsid w:val="00862F18"/>
    <w:rsid w:val="00862F71"/>
    <w:rsid w:val="00862F88"/>
    <w:rsid w:val="00862FC3"/>
    <w:rsid w:val="00862FF9"/>
    <w:rsid w:val="0086302D"/>
    <w:rsid w:val="00863039"/>
    <w:rsid w:val="008630BA"/>
    <w:rsid w:val="008630F3"/>
    <w:rsid w:val="008631CB"/>
    <w:rsid w:val="008631E4"/>
    <w:rsid w:val="0086322F"/>
    <w:rsid w:val="00863240"/>
    <w:rsid w:val="0086324C"/>
    <w:rsid w:val="008632B2"/>
    <w:rsid w:val="008632E5"/>
    <w:rsid w:val="008632F1"/>
    <w:rsid w:val="00863377"/>
    <w:rsid w:val="00863394"/>
    <w:rsid w:val="00863408"/>
    <w:rsid w:val="0086340F"/>
    <w:rsid w:val="0086343D"/>
    <w:rsid w:val="00863470"/>
    <w:rsid w:val="00863488"/>
    <w:rsid w:val="00863519"/>
    <w:rsid w:val="00863552"/>
    <w:rsid w:val="0086357F"/>
    <w:rsid w:val="008635B3"/>
    <w:rsid w:val="008635C2"/>
    <w:rsid w:val="008635FC"/>
    <w:rsid w:val="00863675"/>
    <w:rsid w:val="008636EA"/>
    <w:rsid w:val="00863709"/>
    <w:rsid w:val="0086371F"/>
    <w:rsid w:val="00863787"/>
    <w:rsid w:val="0086378A"/>
    <w:rsid w:val="008637A5"/>
    <w:rsid w:val="008637E1"/>
    <w:rsid w:val="008638A1"/>
    <w:rsid w:val="008638F3"/>
    <w:rsid w:val="00863946"/>
    <w:rsid w:val="0086396A"/>
    <w:rsid w:val="00863992"/>
    <w:rsid w:val="008639B0"/>
    <w:rsid w:val="008639D4"/>
    <w:rsid w:val="00863A0E"/>
    <w:rsid w:val="00863A87"/>
    <w:rsid w:val="00863A90"/>
    <w:rsid w:val="00863AA1"/>
    <w:rsid w:val="00863ABA"/>
    <w:rsid w:val="00863AE1"/>
    <w:rsid w:val="00863AEB"/>
    <w:rsid w:val="00863B24"/>
    <w:rsid w:val="00863B2A"/>
    <w:rsid w:val="00863B45"/>
    <w:rsid w:val="00863B69"/>
    <w:rsid w:val="00863BD9"/>
    <w:rsid w:val="00863C1D"/>
    <w:rsid w:val="00863C40"/>
    <w:rsid w:val="00863C84"/>
    <w:rsid w:val="00863CF9"/>
    <w:rsid w:val="00863D10"/>
    <w:rsid w:val="00863D1A"/>
    <w:rsid w:val="00863DDC"/>
    <w:rsid w:val="00863E53"/>
    <w:rsid w:val="00863E9D"/>
    <w:rsid w:val="00863F4A"/>
    <w:rsid w:val="00863F92"/>
    <w:rsid w:val="00863F9E"/>
    <w:rsid w:val="00863FCC"/>
    <w:rsid w:val="00864069"/>
    <w:rsid w:val="00864076"/>
    <w:rsid w:val="0086409F"/>
    <w:rsid w:val="0086417B"/>
    <w:rsid w:val="00864187"/>
    <w:rsid w:val="0086418D"/>
    <w:rsid w:val="008641A8"/>
    <w:rsid w:val="008641B9"/>
    <w:rsid w:val="008641D3"/>
    <w:rsid w:val="008641FC"/>
    <w:rsid w:val="0086423D"/>
    <w:rsid w:val="00864244"/>
    <w:rsid w:val="00864264"/>
    <w:rsid w:val="0086428A"/>
    <w:rsid w:val="00864298"/>
    <w:rsid w:val="008642DC"/>
    <w:rsid w:val="008643B6"/>
    <w:rsid w:val="00864438"/>
    <w:rsid w:val="00864452"/>
    <w:rsid w:val="00864466"/>
    <w:rsid w:val="00864482"/>
    <w:rsid w:val="008644B4"/>
    <w:rsid w:val="008644C8"/>
    <w:rsid w:val="0086454C"/>
    <w:rsid w:val="00864556"/>
    <w:rsid w:val="00864602"/>
    <w:rsid w:val="00864624"/>
    <w:rsid w:val="00864674"/>
    <w:rsid w:val="0086469C"/>
    <w:rsid w:val="008646B1"/>
    <w:rsid w:val="008646C8"/>
    <w:rsid w:val="008646E0"/>
    <w:rsid w:val="0086471A"/>
    <w:rsid w:val="00864762"/>
    <w:rsid w:val="00864765"/>
    <w:rsid w:val="0086476A"/>
    <w:rsid w:val="0086478A"/>
    <w:rsid w:val="008647A6"/>
    <w:rsid w:val="00864856"/>
    <w:rsid w:val="00864878"/>
    <w:rsid w:val="0086487D"/>
    <w:rsid w:val="008649E1"/>
    <w:rsid w:val="00864A23"/>
    <w:rsid w:val="00864A26"/>
    <w:rsid w:val="00864ACB"/>
    <w:rsid w:val="00864B3C"/>
    <w:rsid w:val="00864B8A"/>
    <w:rsid w:val="00864BE7"/>
    <w:rsid w:val="00864BFD"/>
    <w:rsid w:val="00864C29"/>
    <w:rsid w:val="00864C6A"/>
    <w:rsid w:val="00864C75"/>
    <w:rsid w:val="00864CA3"/>
    <w:rsid w:val="00864CEC"/>
    <w:rsid w:val="00864D45"/>
    <w:rsid w:val="00864D50"/>
    <w:rsid w:val="00864D83"/>
    <w:rsid w:val="00864D9B"/>
    <w:rsid w:val="00864E20"/>
    <w:rsid w:val="00864E4A"/>
    <w:rsid w:val="00864E79"/>
    <w:rsid w:val="00864E8A"/>
    <w:rsid w:val="00864EAE"/>
    <w:rsid w:val="00864ED6"/>
    <w:rsid w:val="00864F23"/>
    <w:rsid w:val="00864F2F"/>
    <w:rsid w:val="00864F54"/>
    <w:rsid w:val="00864F9B"/>
    <w:rsid w:val="00864FA0"/>
    <w:rsid w:val="00864FDB"/>
    <w:rsid w:val="00865041"/>
    <w:rsid w:val="0086507D"/>
    <w:rsid w:val="0086508D"/>
    <w:rsid w:val="00865095"/>
    <w:rsid w:val="0086509E"/>
    <w:rsid w:val="008650D1"/>
    <w:rsid w:val="008650EA"/>
    <w:rsid w:val="00865103"/>
    <w:rsid w:val="0086514C"/>
    <w:rsid w:val="00865180"/>
    <w:rsid w:val="00865243"/>
    <w:rsid w:val="00865258"/>
    <w:rsid w:val="00865284"/>
    <w:rsid w:val="008652A4"/>
    <w:rsid w:val="008652F4"/>
    <w:rsid w:val="008653AC"/>
    <w:rsid w:val="008653B4"/>
    <w:rsid w:val="008653D0"/>
    <w:rsid w:val="008654A7"/>
    <w:rsid w:val="008654EC"/>
    <w:rsid w:val="008654F0"/>
    <w:rsid w:val="00865509"/>
    <w:rsid w:val="00865527"/>
    <w:rsid w:val="0086555D"/>
    <w:rsid w:val="0086556F"/>
    <w:rsid w:val="0086561B"/>
    <w:rsid w:val="0086565E"/>
    <w:rsid w:val="008656CF"/>
    <w:rsid w:val="008656E3"/>
    <w:rsid w:val="0086570F"/>
    <w:rsid w:val="0086573F"/>
    <w:rsid w:val="008657A3"/>
    <w:rsid w:val="008657C7"/>
    <w:rsid w:val="00865822"/>
    <w:rsid w:val="0086585C"/>
    <w:rsid w:val="008659D7"/>
    <w:rsid w:val="008659E9"/>
    <w:rsid w:val="008659EB"/>
    <w:rsid w:val="008659F1"/>
    <w:rsid w:val="00865A10"/>
    <w:rsid w:val="00865A34"/>
    <w:rsid w:val="00865A44"/>
    <w:rsid w:val="00865A46"/>
    <w:rsid w:val="00865A77"/>
    <w:rsid w:val="00865A88"/>
    <w:rsid w:val="00865B04"/>
    <w:rsid w:val="00865B1B"/>
    <w:rsid w:val="00865B29"/>
    <w:rsid w:val="00865B39"/>
    <w:rsid w:val="00865B90"/>
    <w:rsid w:val="00865B93"/>
    <w:rsid w:val="00865BBE"/>
    <w:rsid w:val="00865C16"/>
    <w:rsid w:val="00865C6C"/>
    <w:rsid w:val="00865C8A"/>
    <w:rsid w:val="00865CD3"/>
    <w:rsid w:val="00865DBE"/>
    <w:rsid w:val="00865DC8"/>
    <w:rsid w:val="00865DDE"/>
    <w:rsid w:val="00865E08"/>
    <w:rsid w:val="00865E22"/>
    <w:rsid w:val="00865E48"/>
    <w:rsid w:val="00865E62"/>
    <w:rsid w:val="00865E77"/>
    <w:rsid w:val="00865F10"/>
    <w:rsid w:val="00865F48"/>
    <w:rsid w:val="00865F4A"/>
    <w:rsid w:val="00865F52"/>
    <w:rsid w:val="00865F7E"/>
    <w:rsid w:val="00865FE5"/>
    <w:rsid w:val="0086601D"/>
    <w:rsid w:val="00866042"/>
    <w:rsid w:val="00866054"/>
    <w:rsid w:val="00866088"/>
    <w:rsid w:val="00866094"/>
    <w:rsid w:val="008660CB"/>
    <w:rsid w:val="008660F5"/>
    <w:rsid w:val="008661B8"/>
    <w:rsid w:val="00866221"/>
    <w:rsid w:val="00866231"/>
    <w:rsid w:val="00866237"/>
    <w:rsid w:val="0086631E"/>
    <w:rsid w:val="00866322"/>
    <w:rsid w:val="00866345"/>
    <w:rsid w:val="00866375"/>
    <w:rsid w:val="008663A2"/>
    <w:rsid w:val="008663BF"/>
    <w:rsid w:val="008663D8"/>
    <w:rsid w:val="008663FF"/>
    <w:rsid w:val="0086640A"/>
    <w:rsid w:val="00866434"/>
    <w:rsid w:val="00866534"/>
    <w:rsid w:val="00866578"/>
    <w:rsid w:val="0086658E"/>
    <w:rsid w:val="008665B9"/>
    <w:rsid w:val="00866617"/>
    <w:rsid w:val="00866631"/>
    <w:rsid w:val="008666AE"/>
    <w:rsid w:val="008666C8"/>
    <w:rsid w:val="0086679D"/>
    <w:rsid w:val="008667E5"/>
    <w:rsid w:val="00866808"/>
    <w:rsid w:val="00866812"/>
    <w:rsid w:val="0086681E"/>
    <w:rsid w:val="008668EB"/>
    <w:rsid w:val="008668FD"/>
    <w:rsid w:val="008669B0"/>
    <w:rsid w:val="008669C3"/>
    <w:rsid w:val="008669D8"/>
    <w:rsid w:val="00866A00"/>
    <w:rsid w:val="00866A14"/>
    <w:rsid w:val="00866A4F"/>
    <w:rsid w:val="00866A8B"/>
    <w:rsid w:val="00866AAD"/>
    <w:rsid w:val="00866AC7"/>
    <w:rsid w:val="00866AD5"/>
    <w:rsid w:val="00866B13"/>
    <w:rsid w:val="00866B15"/>
    <w:rsid w:val="00866B40"/>
    <w:rsid w:val="00866B73"/>
    <w:rsid w:val="00866BC8"/>
    <w:rsid w:val="00866BCF"/>
    <w:rsid w:val="00866BEC"/>
    <w:rsid w:val="00866C29"/>
    <w:rsid w:val="00866C44"/>
    <w:rsid w:val="00866C69"/>
    <w:rsid w:val="00866C77"/>
    <w:rsid w:val="00866C90"/>
    <w:rsid w:val="00866C9D"/>
    <w:rsid w:val="00866CBC"/>
    <w:rsid w:val="00866CD8"/>
    <w:rsid w:val="00866CF4"/>
    <w:rsid w:val="00866D37"/>
    <w:rsid w:val="00866D52"/>
    <w:rsid w:val="00866DFF"/>
    <w:rsid w:val="00866E0A"/>
    <w:rsid w:val="00866E23"/>
    <w:rsid w:val="00866E8C"/>
    <w:rsid w:val="00866EF3"/>
    <w:rsid w:val="00866F06"/>
    <w:rsid w:val="00866F20"/>
    <w:rsid w:val="00866F69"/>
    <w:rsid w:val="00866F89"/>
    <w:rsid w:val="00866FBD"/>
    <w:rsid w:val="00866FD2"/>
    <w:rsid w:val="00866FE7"/>
    <w:rsid w:val="00867005"/>
    <w:rsid w:val="00867038"/>
    <w:rsid w:val="0086706B"/>
    <w:rsid w:val="00867086"/>
    <w:rsid w:val="008670AC"/>
    <w:rsid w:val="008670FF"/>
    <w:rsid w:val="00867156"/>
    <w:rsid w:val="008671AD"/>
    <w:rsid w:val="008671E8"/>
    <w:rsid w:val="008671F6"/>
    <w:rsid w:val="0086720F"/>
    <w:rsid w:val="00867237"/>
    <w:rsid w:val="00867267"/>
    <w:rsid w:val="00867296"/>
    <w:rsid w:val="008672C1"/>
    <w:rsid w:val="008672FA"/>
    <w:rsid w:val="0086730D"/>
    <w:rsid w:val="00867316"/>
    <w:rsid w:val="00867326"/>
    <w:rsid w:val="00867349"/>
    <w:rsid w:val="0086736D"/>
    <w:rsid w:val="008674B4"/>
    <w:rsid w:val="00867517"/>
    <w:rsid w:val="0086751D"/>
    <w:rsid w:val="00867548"/>
    <w:rsid w:val="00867573"/>
    <w:rsid w:val="008675C3"/>
    <w:rsid w:val="008675D3"/>
    <w:rsid w:val="00867603"/>
    <w:rsid w:val="00867672"/>
    <w:rsid w:val="0086768E"/>
    <w:rsid w:val="008676DC"/>
    <w:rsid w:val="00867760"/>
    <w:rsid w:val="0086776A"/>
    <w:rsid w:val="00867789"/>
    <w:rsid w:val="008677BE"/>
    <w:rsid w:val="008677F1"/>
    <w:rsid w:val="0086781F"/>
    <w:rsid w:val="00867821"/>
    <w:rsid w:val="00867834"/>
    <w:rsid w:val="008678B8"/>
    <w:rsid w:val="008678E6"/>
    <w:rsid w:val="0086797D"/>
    <w:rsid w:val="008679CE"/>
    <w:rsid w:val="008679CF"/>
    <w:rsid w:val="008679E6"/>
    <w:rsid w:val="00867A14"/>
    <w:rsid w:val="00867A3E"/>
    <w:rsid w:val="00867A46"/>
    <w:rsid w:val="00867AA8"/>
    <w:rsid w:val="00867AE8"/>
    <w:rsid w:val="00867B31"/>
    <w:rsid w:val="00867B5A"/>
    <w:rsid w:val="00867B9B"/>
    <w:rsid w:val="00867BCD"/>
    <w:rsid w:val="00867CAC"/>
    <w:rsid w:val="00867CBC"/>
    <w:rsid w:val="00867D0C"/>
    <w:rsid w:val="00867E18"/>
    <w:rsid w:val="00867E3A"/>
    <w:rsid w:val="00867E4E"/>
    <w:rsid w:val="00867E66"/>
    <w:rsid w:val="00867E90"/>
    <w:rsid w:val="00867E91"/>
    <w:rsid w:val="00867E95"/>
    <w:rsid w:val="00867E96"/>
    <w:rsid w:val="00867E99"/>
    <w:rsid w:val="00867EBE"/>
    <w:rsid w:val="00867F07"/>
    <w:rsid w:val="00867F09"/>
    <w:rsid w:val="00867F85"/>
    <w:rsid w:val="00867FB0"/>
    <w:rsid w:val="00867FB3"/>
    <w:rsid w:val="00867FB6"/>
    <w:rsid w:val="00867FC2"/>
    <w:rsid w:val="00870054"/>
    <w:rsid w:val="00870059"/>
    <w:rsid w:val="00870100"/>
    <w:rsid w:val="00870118"/>
    <w:rsid w:val="0087015F"/>
    <w:rsid w:val="00870163"/>
    <w:rsid w:val="0087019E"/>
    <w:rsid w:val="008701B5"/>
    <w:rsid w:val="008701C1"/>
    <w:rsid w:val="00870270"/>
    <w:rsid w:val="008702CB"/>
    <w:rsid w:val="00870324"/>
    <w:rsid w:val="0087033B"/>
    <w:rsid w:val="00870348"/>
    <w:rsid w:val="008703B2"/>
    <w:rsid w:val="008703D5"/>
    <w:rsid w:val="008703E6"/>
    <w:rsid w:val="0087040D"/>
    <w:rsid w:val="0087042E"/>
    <w:rsid w:val="00870431"/>
    <w:rsid w:val="0087045D"/>
    <w:rsid w:val="0087046A"/>
    <w:rsid w:val="00870491"/>
    <w:rsid w:val="008704AD"/>
    <w:rsid w:val="008704B1"/>
    <w:rsid w:val="008704D1"/>
    <w:rsid w:val="008704EB"/>
    <w:rsid w:val="0087050D"/>
    <w:rsid w:val="00870537"/>
    <w:rsid w:val="00870545"/>
    <w:rsid w:val="0087057E"/>
    <w:rsid w:val="00870596"/>
    <w:rsid w:val="008705A3"/>
    <w:rsid w:val="008705A4"/>
    <w:rsid w:val="008705B3"/>
    <w:rsid w:val="008705E9"/>
    <w:rsid w:val="008705F5"/>
    <w:rsid w:val="00870627"/>
    <w:rsid w:val="0087066F"/>
    <w:rsid w:val="00870680"/>
    <w:rsid w:val="00870702"/>
    <w:rsid w:val="00870710"/>
    <w:rsid w:val="0087071E"/>
    <w:rsid w:val="00870723"/>
    <w:rsid w:val="00870743"/>
    <w:rsid w:val="00870771"/>
    <w:rsid w:val="0087079A"/>
    <w:rsid w:val="0087079E"/>
    <w:rsid w:val="008707B5"/>
    <w:rsid w:val="008707F2"/>
    <w:rsid w:val="00870814"/>
    <w:rsid w:val="00870832"/>
    <w:rsid w:val="00870881"/>
    <w:rsid w:val="00870885"/>
    <w:rsid w:val="00870893"/>
    <w:rsid w:val="008708CE"/>
    <w:rsid w:val="00870950"/>
    <w:rsid w:val="008709B0"/>
    <w:rsid w:val="00870A13"/>
    <w:rsid w:val="00870A2D"/>
    <w:rsid w:val="00870AA5"/>
    <w:rsid w:val="00870AA7"/>
    <w:rsid w:val="00870ADA"/>
    <w:rsid w:val="00870AF3"/>
    <w:rsid w:val="00870BD6"/>
    <w:rsid w:val="00870C49"/>
    <w:rsid w:val="00870CC7"/>
    <w:rsid w:val="00870D09"/>
    <w:rsid w:val="00870D5D"/>
    <w:rsid w:val="00870D5F"/>
    <w:rsid w:val="00870DFF"/>
    <w:rsid w:val="00870E1E"/>
    <w:rsid w:val="00870F1E"/>
    <w:rsid w:val="00870F41"/>
    <w:rsid w:val="00870FAB"/>
    <w:rsid w:val="0087100D"/>
    <w:rsid w:val="00871025"/>
    <w:rsid w:val="0087107E"/>
    <w:rsid w:val="00871081"/>
    <w:rsid w:val="00871099"/>
    <w:rsid w:val="008710B4"/>
    <w:rsid w:val="008710EF"/>
    <w:rsid w:val="008710FC"/>
    <w:rsid w:val="00871124"/>
    <w:rsid w:val="008711A3"/>
    <w:rsid w:val="00871271"/>
    <w:rsid w:val="00871276"/>
    <w:rsid w:val="00871288"/>
    <w:rsid w:val="008712AC"/>
    <w:rsid w:val="00871345"/>
    <w:rsid w:val="00871370"/>
    <w:rsid w:val="00871400"/>
    <w:rsid w:val="0087149C"/>
    <w:rsid w:val="008714D1"/>
    <w:rsid w:val="008714F5"/>
    <w:rsid w:val="0087152E"/>
    <w:rsid w:val="0087153A"/>
    <w:rsid w:val="00871577"/>
    <w:rsid w:val="0087165A"/>
    <w:rsid w:val="008716B8"/>
    <w:rsid w:val="008716C7"/>
    <w:rsid w:val="0087170A"/>
    <w:rsid w:val="00871735"/>
    <w:rsid w:val="00871766"/>
    <w:rsid w:val="008717AE"/>
    <w:rsid w:val="008717D3"/>
    <w:rsid w:val="008717E1"/>
    <w:rsid w:val="008717F3"/>
    <w:rsid w:val="00871806"/>
    <w:rsid w:val="0087184A"/>
    <w:rsid w:val="00871875"/>
    <w:rsid w:val="008718A5"/>
    <w:rsid w:val="008718E7"/>
    <w:rsid w:val="00871903"/>
    <w:rsid w:val="0087191E"/>
    <w:rsid w:val="00871990"/>
    <w:rsid w:val="00871A57"/>
    <w:rsid w:val="00871A61"/>
    <w:rsid w:val="00871A6D"/>
    <w:rsid w:val="00871A87"/>
    <w:rsid w:val="00871AB6"/>
    <w:rsid w:val="00871B0D"/>
    <w:rsid w:val="00871B11"/>
    <w:rsid w:val="00871B29"/>
    <w:rsid w:val="00871B40"/>
    <w:rsid w:val="00871B59"/>
    <w:rsid w:val="00871B7B"/>
    <w:rsid w:val="00871B95"/>
    <w:rsid w:val="00871BAC"/>
    <w:rsid w:val="00871BEA"/>
    <w:rsid w:val="00871C9E"/>
    <w:rsid w:val="00871D29"/>
    <w:rsid w:val="00871D2F"/>
    <w:rsid w:val="00871E30"/>
    <w:rsid w:val="00871E7A"/>
    <w:rsid w:val="00871EAC"/>
    <w:rsid w:val="00871F0D"/>
    <w:rsid w:val="00871F10"/>
    <w:rsid w:val="00871F60"/>
    <w:rsid w:val="00871F66"/>
    <w:rsid w:val="00871F87"/>
    <w:rsid w:val="00871FCD"/>
    <w:rsid w:val="00871FF5"/>
    <w:rsid w:val="0087200D"/>
    <w:rsid w:val="008720DF"/>
    <w:rsid w:val="008720E1"/>
    <w:rsid w:val="008720E4"/>
    <w:rsid w:val="0087214C"/>
    <w:rsid w:val="0087216F"/>
    <w:rsid w:val="0087219F"/>
    <w:rsid w:val="008721B3"/>
    <w:rsid w:val="00872261"/>
    <w:rsid w:val="008722BA"/>
    <w:rsid w:val="00872312"/>
    <w:rsid w:val="00872315"/>
    <w:rsid w:val="0087235F"/>
    <w:rsid w:val="0087236B"/>
    <w:rsid w:val="0087237A"/>
    <w:rsid w:val="0087243D"/>
    <w:rsid w:val="0087246E"/>
    <w:rsid w:val="00872488"/>
    <w:rsid w:val="008724DD"/>
    <w:rsid w:val="00872504"/>
    <w:rsid w:val="0087251F"/>
    <w:rsid w:val="0087252A"/>
    <w:rsid w:val="00872542"/>
    <w:rsid w:val="0087255A"/>
    <w:rsid w:val="00872561"/>
    <w:rsid w:val="00872574"/>
    <w:rsid w:val="00872575"/>
    <w:rsid w:val="00872597"/>
    <w:rsid w:val="008725D7"/>
    <w:rsid w:val="00872629"/>
    <w:rsid w:val="00872665"/>
    <w:rsid w:val="00872669"/>
    <w:rsid w:val="00872694"/>
    <w:rsid w:val="00872695"/>
    <w:rsid w:val="008726F7"/>
    <w:rsid w:val="008728F5"/>
    <w:rsid w:val="00872934"/>
    <w:rsid w:val="008729BA"/>
    <w:rsid w:val="00872A1C"/>
    <w:rsid w:val="00872A6D"/>
    <w:rsid w:val="00872A99"/>
    <w:rsid w:val="00872ABA"/>
    <w:rsid w:val="00872ADA"/>
    <w:rsid w:val="00872B6F"/>
    <w:rsid w:val="00872BD3"/>
    <w:rsid w:val="00872BD7"/>
    <w:rsid w:val="00872C03"/>
    <w:rsid w:val="00872C1C"/>
    <w:rsid w:val="00872C3B"/>
    <w:rsid w:val="00872C59"/>
    <w:rsid w:val="00872CA5"/>
    <w:rsid w:val="00872CB5"/>
    <w:rsid w:val="00872CB7"/>
    <w:rsid w:val="00872D4A"/>
    <w:rsid w:val="00872D54"/>
    <w:rsid w:val="00872E9B"/>
    <w:rsid w:val="00872ECA"/>
    <w:rsid w:val="00872F0B"/>
    <w:rsid w:val="00872F57"/>
    <w:rsid w:val="00872F7F"/>
    <w:rsid w:val="00872F95"/>
    <w:rsid w:val="00872FCA"/>
    <w:rsid w:val="00872FCD"/>
    <w:rsid w:val="00872FD5"/>
    <w:rsid w:val="00872FDE"/>
    <w:rsid w:val="00872FF7"/>
    <w:rsid w:val="00873020"/>
    <w:rsid w:val="0087302B"/>
    <w:rsid w:val="0087305E"/>
    <w:rsid w:val="008730BE"/>
    <w:rsid w:val="00873112"/>
    <w:rsid w:val="00873164"/>
    <w:rsid w:val="008731EF"/>
    <w:rsid w:val="008731F8"/>
    <w:rsid w:val="00873206"/>
    <w:rsid w:val="00873213"/>
    <w:rsid w:val="0087326B"/>
    <w:rsid w:val="008732A2"/>
    <w:rsid w:val="008732C8"/>
    <w:rsid w:val="00873307"/>
    <w:rsid w:val="00873308"/>
    <w:rsid w:val="00873372"/>
    <w:rsid w:val="00873378"/>
    <w:rsid w:val="0087337D"/>
    <w:rsid w:val="008733AB"/>
    <w:rsid w:val="008733DB"/>
    <w:rsid w:val="008733E0"/>
    <w:rsid w:val="00873404"/>
    <w:rsid w:val="008734AB"/>
    <w:rsid w:val="0087350E"/>
    <w:rsid w:val="00873514"/>
    <w:rsid w:val="0087351B"/>
    <w:rsid w:val="0087355D"/>
    <w:rsid w:val="00873569"/>
    <w:rsid w:val="00873653"/>
    <w:rsid w:val="0087366D"/>
    <w:rsid w:val="00873672"/>
    <w:rsid w:val="008736B2"/>
    <w:rsid w:val="008736C1"/>
    <w:rsid w:val="0087370D"/>
    <w:rsid w:val="00873711"/>
    <w:rsid w:val="00873770"/>
    <w:rsid w:val="00873776"/>
    <w:rsid w:val="00873790"/>
    <w:rsid w:val="00873799"/>
    <w:rsid w:val="008737CC"/>
    <w:rsid w:val="008737F6"/>
    <w:rsid w:val="00873811"/>
    <w:rsid w:val="0087387B"/>
    <w:rsid w:val="00873887"/>
    <w:rsid w:val="00873894"/>
    <w:rsid w:val="008738DE"/>
    <w:rsid w:val="008738FD"/>
    <w:rsid w:val="00873951"/>
    <w:rsid w:val="00873952"/>
    <w:rsid w:val="00873975"/>
    <w:rsid w:val="00873A10"/>
    <w:rsid w:val="00873AB9"/>
    <w:rsid w:val="00873AF4"/>
    <w:rsid w:val="00873B23"/>
    <w:rsid w:val="00873B64"/>
    <w:rsid w:val="00873BC9"/>
    <w:rsid w:val="00873C41"/>
    <w:rsid w:val="00873C4E"/>
    <w:rsid w:val="00873C61"/>
    <w:rsid w:val="00873C8B"/>
    <w:rsid w:val="00873CB1"/>
    <w:rsid w:val="00873CC4"/>
    <w:rsid w:val="00873CFE"/>
    <w:rsid w:val="00873D14"/>
    <w:rsid w:val="00873DBD"/>
    <w:rsid w:val="00873DC4"/>
    <w:rsid w:val="00873DEA"/>
    <w:rsid w:val="00873E03"/>
    <w:rsid w:val="00873E0D"/>
    <w:rsid w:val="00873E2E"/>
    <w:rsid w:val="00873E37"/>
    <w:rsid w:val="00873E84"/>
    <w:rsid w:val="00873E9C"/>
    <w:rsid w:val="00873EBD"/>
    <w:rsid w:val="00873F23"/>
    <w:rsid w:val="00873F4D"/>
    <w:rsid w:val="00873FD5"/>
    <w:rsid w:val="00873FE4"/>
    <w:rsid w:val="00873FFC"/>
    <w:rsid w:val="00874006"/>
    <w:rsid w:val="00874020"/>
    <w:rsid w:val="00874024"/>
    <w:rsid w:val="00874088"/>
    <w:rsid w:val="008740A4"/>
    <w:rsid w:val="008740C5"/>
    <w:rsid w:val="008740FB"/>
    <w:rsid w:val="008740FE"/>
    <w:rsid w:val="00874103"/>
    <w:rsid w:val="00874119"/>
    <w:rsid w:val="00874149"/>
    <w:rsid w:val="0087414C"/>
    <w:rsid w:val="00874269"/>
    <w:rsid w:val="0087428B"/>
    <w:rsid w:val="0087429E"/>
    <w:rsid w:val="008742D5"/>
    <w:rsid w:val="00874364"/>
    <w:rsid w:val="008743B5"/>
    <w:rsid w:val="0087440D"/>
    <w:rsid w:val="00874479"/>
    <w:rsid w:val="0087447B"/>
    <w:rsid w:val="008744BE"/>
    <w:rsid w:val="008744CE"/>
    <w:rsid w:val="00874500"/>
    <w:rsid w:val="00874503"/>
    <w:rsid w:val="00874504"/>
    <w:rsid w:val="00874518"/>
    <w:rsid w:val="00874551"/>
    <w:rsid w:val="00874681"/>
    <w:rsid w:val="00874700"/>
    <w:rsid w:val="00874723"/>
    <w:rsid w:val="00874726"/>
    <w:rsid w:val="0087472E"/>
    <w:rsid w:val="0087473A"/>
    <w:rsid w:val="00874785"/>
    <w:rsid w:val="00874788"/>
    <w:rsid w:val="00874796"/>
    <w:rsid w:val="008747E4"/>
    <w:rsid w:val="008747FA"/>
    <w:rsid w:val="0087480C"/>
    <w:rsid w:val="00874854"/>
    <w:rsid w:val="008748B8"/>
    <w:rsid w:val="008748D0"/>
    <w:rsid w:val="0087494B"/>
    <w:rsid w:val="008749A0"/>
    <w:rsid w:val="008749D2"/>
    <w:rsid w:val="008749D8"/>
    <w:rsid w:val="008749E9"/>
    <w:rsid w:val="00874A7C"/>
    <w:rsid w:val="00874A91"/>
    <w:rsid w:val="00874A95"/>
    <w:rsid w:val="00874AB8"/>
    <w:rsid w:val="00874B04"/>
    <w:rsid w:val="00874B32"/>
    <w:rsid w:val="00874B3D"/>
    <w:rsid w:val="00874B6C"/>
    <w:rsid w:val="00874B73"/>
    <w:rsid w:val="00874BA9"/>
    <w:rsid w:val="00874BC9"/>
    <w:rsid w:val="00874C4C"/>
    <w:rsid w:val="00874C66"/>
    <w:rsid w:val="00874C6F"/>
    <w:rsid w:val="00874C70"/>
    <w:rsid w:val="00874CA7"/>
    <w:rsid w:val="00874CDA"/>
    <w:rsid w:val="00874CDE"/>
    <w:rsid w:val="00874CE2"/>
    <w:rsid w:val="00874CF3"/>
    <w:rsid w:val="00874D23"/>
    <w:rsid w:val="00874DA1"/>
    <w:rsid w:val="00874DFD"/>
    <w:rsid w:val="00874E67"/>
    <w:rsid w:val="00874F02"/>
    <w:rsid w:val="00874F38"/>
    <w:rsid w:val="00874F97"/>
    <w:rsid w:val="00874FFD"/>
    <w:rsid w:val="0087500F"/>
    <w:rsid w:val="00875076"/>
    <w:rsid w:val="008750BF"/>
    <w:rsid w:val="008750DA"/>
    <w:rsid w:val="0087510B"/>
    <w:rsid w:val="00875185"/>
    <w:rsid w:val="00875190"/>
    <w:rsid w:val="008751B9"/>
    <w:rsid w:val="00875248"/>
    <w:rsid w:val="0087529D"/>
    <w:rsid w:val="008752F2"/>
    <w:rsid w:val="00875314"/>
    <w:rsid w:val="0087534F"/>
    <w:rsid w:val="008753A6"/>
    <w:rsid w:val="00875400"/>
    <w:rsid w:val="00875403"/>
    <w:rsid w:val="0087542D"/>
    <w:rsid w:val="0087545A"/>
    <w:rsid w:val="00875464"/>
    <w:rsid w:val="008754AB"/>
    <w:rsid w:val="008754CE"/>
    <w:rsid w:val="00875502"/>
    <w:rsid w:val="00875534"/>
    <w:rsid w:val="00875548"/>
    <w:rsid w:val="00875568"/>
    <w:rsid w:val="0087558D"/>
    <w:rsid w:val="00875596"/>
    <w:rsid w:val="008755CE"/>
    <w:rsid w:val="0087560B"/>
    <w:rsid w:val="00875612"/>
    <w:rsid w:val="0087571F"/>
    <w:rsid w:val="0087572C"/>
    <w:rsid w:val="00875739"/>
    <w:rsid w:val="00875753"/>
    <w:rsid w:val="0087578B"/>
    <w:rsid w:val="008757C1"/>
    <w:rsid w:val="008757C4"/>
    <w:rsid w:val="008757E3"/>
    <w:rsid w:val="008757F2"/>
    <w:rsid w:val="0087581C"/>
    <w:rsid w:val="00875833"/>
    <w:rsid w:val="00875835"/>
    <w:rsid w:val="00875840"/>
    <w:rsid w:val="00875896"/>
    <w:rsid w:val="00875906"/>
    <w:rsid w:val="008759DF"/>
    <w:rsid w:val="008759FD"/>
    <w:rsid w:val="00875A16"/>
    <w:rsid w:val="00875A63"/>
    <w:rsid w:val="00875A70"/>
    <w:rsid w:val="00875A80"/>
    <w:rsid w:val="00875A83"/>
    <w:rsid w:val="00875A8C"/>
    <w:rsid w:val="00875AAA"/>
    <w:rsid w:val="00875ABD"/>
    <w:rsid w:val="00875AD6"/>
    <w:rsid w:val="00875B17"/>
    <w:rsid w:val="00875B70"/>
    <w:rsid w:val="00875B73"/>
    <w:rsid w:val="00875B74"/>
    <w:rsid w:val="00875BF8"/>
    <w:rsid w:val="00875C45"/>
    <w:rsid w:val="00875D0D"/>
    <w:rsid w:val="00875D25"/>
    <w:rsid w:val="00875D26"/>
    <w:rsid w:val="00875DF6"/>
    <w:rsid w:val="00875E37"/>
    <w:rsid w:val="00875E9F"/>
    <w:rsid w:val="00875EC7"/>
    <w:rsid w:val="00875ECC"/>
    <w:rsid w:val="00875F0E"/>
    <w:rsid w:val="00875FA1"/>
    <w:rsid w:val="00875FC1"/>
    <w:rsid w:val="00875FE4"/>
    <w:rsid w:val="0087608C"/>
    <w:rsid w:val="00876097"/>
    <w:rsid w:val="00876137"/>
    <w:rsid w:val="0087613B"/>
    <w:rsid w:val="00876166"/>
    <w:rsid w:val="0087616E"/>
    <w:rsid w:val="0087617A"/>
    <w:rsid w:val="00876200"/>
    <w:rsid w:val="0087623B"/>
    <w:rsid w:val="00876260"/>
    <w:rsid w:val="008762A2"/>
    <w:rsid w:val="008762C1"/>
    <w:rsid w:val="00876331"/>
    <w:rsid w:val="00876369"/>
    <w:rsid w:val="008763A7"/>
    <w:rsid w:val="00876447"/>
    <w:rsid w:val="0087649B"/>
    <w:rsid w:val="0087649D"/>
    <w:rsid w:val="008764E5"/>
    <w:rsid w:val="00876583"/>
    <w:rsid w:val="008765B3"/>
    <w:rsid w:val="008765CB"/>
    <w:rsid w:val="008765DE"/>
    <w:rsid w:val="008765DF"/>
    <w:rsid w:val="008765EE"/>
    <w:rsid w:val="00876608"/>
    <w:rsid w:val="0087662D"/>
    <w:rsid w:val="00876655"/>
    <w:rsid w:val="008766FD"/>
    <w:rsid w:val="0087670D"/>
    <w:rsid w:val="00876765"/>
    <w:rsid w:val="00876792"/>
    <w:rsid w:val="008767EB"/>
    <w:rsid w:val="00876859"/>
    <w:rsid w:val="00876876"/>
    <w:rsid w:val="008768B0"/>
    <w:rsid w:val="008768BC"/>
    <w:rsid w:val="00876932"/>
    <w:rsid w:val="0087694C"/>
    <w:rsid w:val="0087698C"/>
    <w:rsid w:val="00876993"/>
    <w:rsid w:val="008769B7"/>
    <w:rsid w:val="008769E2"/>
    <w:rsid w:val="00876A38"/>
    <w:rsid w:val="00876A5B"/>
    <w:rsid w:val="00876AD0"/>
    <w:rsid w:val="00876B39"/>
    <w:rsid w:val="00876B66"/>
    <w:rsid w:val="00876B99"/>
    <w:rsid w:val="00876CA0"/>
    <w:rsid w:val="00876CE2"/>
    <w:rsid w:val="00876D1D"/>
    <w:rsid w:val="00876D49"/>
    <w:rsid w:val="00876D7B"/>
    <w:rsid w:val="00876D91"/>
    <w:rsid w:val="00876DA2"/>
    <w:rsid w:val="00876E71"/>
    <w:rsid w:val="00876EDD"/>
    <w:rsid w:val="00876EE0"/>
    <w:rsid w:val="00876F32"/>
    <w:rsid w:val="00876F5D"/>
    <w:rsid w:val="00876F8B"/>
    <w:rsid w:val="0087700E"/>
    <w:rsid w:val="0087705C"/>
    <w:rsid w:val="00877085"/>
    <w:rsid w:val="008770B1"/>
    <w:rsid w:val="00877102"/>
    <w:rsid w:val="00877195"/>
    <w:rsid w:val="0087719C"/>
    <w:rsid w:val="008771C6"/>
    <w:rsid w:val="008771CD"/>
    <w:rsid w:val="008771EE"/>
    <w:rsid w:val="00877287"/>
    <w:rsid w:val="008772B8"/>
    <w:rsid w:val="008772BD"/>
    <w:rsid w:val="00877311"/>
    <w:rsid w:val="00877340"/>
    <w:rsid w:val="00877372"/>
    <w:rsid w:val="00877380"/>
    <w:rsid w:val="008773AB"/>
    <w:rsid w:val="008773B8"/>
    <w:rsid w:val="008773E9"/>
    <w:rsid w:val="0087740E"/>
    <w:rsid w:val="0087746D"/>
    <w:rsid w:val="00877541"/>
    <w:rsid w:val="0087757F"/>
    <w:rsid w:val="00877629"/>
    <w:rsid w:val="00877642"/>
    <w:rsid w:val="00877648"/>
    <w:rsid w:val="00877681"/>
    <w:rsid w:val="008776A9"/>
    <w:rsid w:val="00877766"/>
    <w:rsid w:val="00877797"/>
    <w:rsid w:val="008777C8"/>
    <w:rsid w:val="00877818"/>
    <w:rsid w:val="0087783A"/>
    <w:rsid w:val="0087787E"/>
    <w:rsid w:val="0087788A"/>
    <w:rsid w:val="0087788B"/>
    <w:rsid w:val="008778E9"/>
    <w:rsid w:val="0087792A"/>
    <w:rsid w:val="00877A0A"/>
    <w:rsid w:val="00877A92"/>
    <w:rsid w:val="00877AB6"/>
    <w:rsid w:val="00877AF7"/>
    <w:rsid w:val="00877BD1"/>
    <w:rsid w:val="00877BD9"/>
    <w:rsid w:val="00877BE7"/>
    <w:rsid w:val="00877BEB"/>
    <w:rsid w:val="00877C80"/>
    <w:rsid w:val="00877D02"/>
    <w:rsid w:val="00877D3F"/>
    <w:rsid w:val="00877DB7"/>
    <w:rsid w:val="00877DE6"/>
    <w:rsid w:val="00877E01"/>
    <w:rsid w:val="00877E38"/>
    <w:rsid w:val="00877E4B"/>
    <w:rsid w:val="00877E72"/>
    <w:rsid w:val="00877E7C"/>
    <w:rsid w:val="00877F04"/>
    <w:rsid w:val="00877F20"/>
    <w:rsid w:val="00877F25"/>
    <w:rsid w:val="00877F6A"/>
    <w:rsid w:val="00877F9C"/>
    <w:rsid w:val="00877FA5"/>
    <w:rsid w:val="00877FA9"/>
    <w:rsid w:val="00877FB1"/>
    <w:rsid w:val="00877FEB"/>
    <w:rsid w:val="00877FED"/>
    <w:rsid w:val="00877FFB"/>
    <w:rsid w:val="00880067"/>
    <w:rsid w:val="008800FC"/>
    <w:rsid w:val="0088010B"/>
    <w:rsid w:val="0088015B"/>
    <w:rsid w:val="008801D9"/>
    <w:rsid w:val="0088024C"/>
    <w:rsid w:val="008802AA"/>
    <w:rsid w:val="008802D1"/>
    <w:rsid w:val="008802DE"/>
    <w:rsid w:val="008803BF"/>
    <w:rsid w:val="008803C3"/>
    <w:rsid w:val="008803D1"/>
    <w:rsid w:val="00880433"/>
    <w:rsid w:val="00880459"/>
    <w:rsid w:val="0088045B"/>
    <w:rsid w:val="00880487"/>
    <w:rsid w:val="00880491"/>
    <w:rsid w:val="0088049D"/>
    <w:rsid w:val="008804AC"/>
    <w:rsid w:val="008804B5"/>
    <w:rsid w:val="00880517"/>
    <w:rsid w:val="00880538"/>
    <w:rsid w:val="00880543"/>
    <w:rsid w:val="0088057D"/>
    <w:rsid w:val="008806C0"/>
    <w:rsid w:val="00880706"/>
    <w:rsid w:val="00880727"/>
    <w:rsid w:val="00880746"/>
    <w:rsid w:val="0088077C"/>
    <w:rsid w:val="0088077D"/>
    <w:rsid w:val="008807C2"/>
    <w:rsid w:val="008807DA"/>
    <w:rsid w:val="00880819"/>
    <w:rsid w:val="0088082A"/>
    <w:rsid w:val="0088086E"/>
    <w:rsid w:val="00880984"/>
    <w:rsid w:val="008809C0"/>
    <w:rsid w:val="008809DF"/>
    <w:rsid w:val="008809FD"/>
    <w:rsid w:val="00880A3F"/>
    <w:rsid w:val="00880ABD"/>
    <w:rsid w:val="00880ADA"/>
    <w:rsid w:val="00880AF3"/>
    <w:rsid w:val="00880AFB"/>
    <w:rsid w:val="00880B48"/>
    <w:rsid w:val="00880B74"/>
    <w:rsid w:val="00880BA4"/>
    <w:rsid w:val="00880BBB"/>
    <w:rsid w:val="00880C19"/>
    <w:rsid w:val="00880C38"/>
    <w:rsid w:val="00880CCF"/>
    <w:rsid w:val="00880CEC"/>
    <w:rsid w:val="00880CF5"/>
    <w:rsid w:val="00880CFB"/>
    <w:rsid w:val="00880D41"/>
    <w:rsid w:val="00880D74"/>
    <w:rsid w:val="00880DB8"/>
    <w:rsid w:val="00880DC5"/>
    <w:rsid w:val="00880DFB"/>
    <w:rsid w:val="00880E2B"/>
    <w:rsid w:val="00880E2F"/>
    <w:rsid w:val="00880E55"/>
    <w:rsid w:val="00880E61"/>
    <w:rsid w:val="00880E74"/>
    <w:rsid w:val="00880EC2"/>
    <w:rsid w:val="00880ED2"/>
    <w:rsid w:val="00880F04"/>
    <w:rsid w:val="00880F7C"/>
    <w:rsid w:val="00880F83"/>
    <w:rsid w:val="00880FC2"/>
    <w:rsid w:val="00880FE1"/>
    <w:rsid w:val="00880FF9"/>
    <w:rsid w:val="00881002"/>
    <w:rsid w:val="00881007"/>
    <w:rsid w:val="00881008"/>
    <w:rsid w:val="00881052"/>
    <w:rsid w:val="00881100"/>
    <w:rsid w:val="0088113A"/>
    <w:rsid w:val="0088114B"/>
    <w:rsid w:val="0088116F"/>
    <w:rsid w:val="00881193"/>
    <w:rsid w:val="008811A0"/>
    <w:rsid w:val="008811DB"/>
    <w:rsid w:val="00881205"/>
    <w:rsid w:val="0088120C"/>
    <w:rsid w:val="0088124A"/>
    <w:rsid w:val="00881251"/>
    <w:rsid w:val="008812F9"/>
    <w:rsid w:val="00881301"/>
    <w:rsid w:val="0088137C"/>
    <w:rsid w:val="00881420"/>
    <w:rsid w:val="00881441"/>
    <w:rsid w:val="00881445"/>
    <w:rsid w:val="0088144D"/>
    <w:rsid w:val="0088147F"/>
    <w:rsid w:val="0088148B"/>
    <w:rsid w:val="008814F7"/>
    <w:rsid w:val="00881505"/>
    <w:rsid w:val="0088154F"/>
    <w:rsid w:val="00881555"/>
    <w:rsid w:val="00881558"/>
    <w:rsid w:val="0088155A"/>
    <w:rsid w:val="008815AF"/>
    <w:rsid w:val="008815B0"/>
    <w:rsid w:val="008815CB"/>
    <w:rsid w:val="00881621"/>
    <w:rsid w:val="0088162A"/>
    <w:rsid w:val="0088165C"/>
    <w:rsid w:val="00881663"/>
    <w:rsid w:val="008816A2"/>
    <w:rsid w:val="008816CB"/>
    <w:rsid w:val="00881734"/>
    <w:rsid w:val="00881756"/>
    <w:rsid w:val="00881779"/>
    <w:rsid w:val="008817AD"/>
    <w:rsid w:val="008817ED"/>
    <w:rsid w:val="00881803"/>
    <w:rsid w:val="00881824"/>
    <w:rsid w:val="008818B0"/>
    <w:rsid w:val="008818D9"/>
    <w:rsid w:val="00881909"/>
    <w:rsid w:val="0088191B"/>
    <w:rsid w:val="00881923"/>
    <w:rsid w:val="00881966"/>
    <w:rsid w:val="0088198D"/>
    <w:rsid w:val="008819A6"/>
    <w:rsid w:val="008819B3"/>
    <w:rsid w:val="008819B4"/>
    <w:rsid w:val="008819C8"/>
    <w:rsid w:val="008819CD"/>
    <w:rsid w:val="008819F2"/>
    <w:rsid w:val="00881A06"/>
    <w:rsid w:val="00881A66"/>
    <w:rsid w:val="00881A91"/>
    <w:rsid w:val="00881AD9"/>
    <w:rsid w:val="00881BB4"/>
    <w:rsid w:val="00881BC6"/>
    <w:rsid w:val="00881BCF"/>
    <w:rsid w:val="00881BDF"/>
    <w:rsid w:val="00881C34"/>
    <w:rsid w:val="00881C40"/>
    <w:rsid w:val="00881C65"/>
    <w:rsid w:val="00881CAF"/>
    <w:rsid w:val="00881D77"/>
    <w:rsid w:val="00881D7B"/>
    <w:rsid w:val="00881E61"/>
    <w:rsid w:val="00881E6A"/>
    <w:rsid w:val="00881F65"/>
    <w:rsid w:val="00881F82"/>
    <w:rsid w:val="00881FAB"/>
    <w:rsid w:val="00881FC5"/>
    <w:rsid w:val="0088201D"/>
    <w:rsid w:val="0088202A"/>
    <w:rsid w:val="00882095"/>
    <w:rsid w:val="008820B7"/>
    <w:rsid w:val="008820BB"/>
    <w:rsid w:val="00882136"/>
    <w:rsid w:val="0088214F"/>
    <w:rsid w:val="00882169"/>
    <w:rsid w:val="0088219F"/>
    <w:rsid w:val="008821A1"/>
    <w:rsid w:val="008821F3"/>
    <w:rsid w:val="00882254"/>
    <w:rsid w:val="008822C0"/>
    <w:rsid w:val="008822DA"/>
    <w:rsid w:val="00882313"/>
    <w:rsid w:val="00882314"/>
    <w:rsid w:val="00882369"/>
    <w:rsid w:val="00882373"/>
    <w:rsid w:val="00882391"/>
    <w:rsid w:val="00882407"/>
    <w:rsid w:val="00882425"/>
    <w:rsid w:val="0088242D"/>
    <w:rsid w:val="00882433"/>
    <w:rsid w:val="00882450"/>
    <w:rsid w:val="008824C7"/>
    <w:rsid w:val="008824E0"/>
    <w:rsid w:val="0088252C"/>
    <w:rsid w:val="00882546"/>
    <w:rsid w:val="0088255F"/>
    <w:rsid w:val="00882682"/>
    <w:rsid w:val="00882693"/>
    <w:rsid w:val="008826D9"/>
    <w:rsid w:val="00882704"/>
    <w:rsid w:val="0088270B"/>
    <w:rsid w:val="00882722"/>
    <w:rsid w:val="0088274F"/>
    <w:rsid w:val="0088275D"/>
    <w:rsid w:val="008827A9"/>
    <w:rsid w:val="008827DD"/>
    <w:rsid w:val="008827F0"/>
    <w:rsid w:val="0088288C"/>
    <w:rsid w:val="00882918"/>
    <w:rsid w:val="00882932"/>
    <w:rsid w:val="0088295C"/>
    <w:rsid w:val="008829CE"/>
    <w:rsid w:val="008829E9"/>
    <w:rsid w:val="00882A2E"/>
    <w:rsid w:val="00882A7C"/>
    <w:rsid w:val="00882A99"/>
    <w:rsid w:val="00882AD3"/>
    <w:rsid w:val="00882AF3"/>
    <w:rsid w:val="00882B77"/>
    <w:rsid w:val="00882BC4"/>
    <w:rsid w:val="00882BFD"/>
    <w:rsid w:val="00882C5D"/>
    <w:rsid w:val="00882C99"/>
    <w:rsid w:val="00882CC4"/>
    <w:rsid w:val="00882CDC"/>
    <w:rsid w:val="00882D56"/>
    <w:rsid w:val="00882DCA"/>
    <w:rsid w:val="00882E0F"/>
    <w:rsid w:val="00882E90"/>
    <w:rsid w:val="00882EA0"/>
    <w:rsid w:val="00882EC7"/>
    <w:rsid w:val="00882ECC"/>
    <w:rsid w:val="00882ED4"/>
    <w:rsid w:val="00882F1B"/>
    <w:rsid w:val="00882F6F"/>
    <w:rsid w:val="00882F73"/>
    <w:rsid w:val="00882F74"/>
    <w:rsid w:val="00882F97"/>
    <w:rsid w:val="00882FC9"/>
    <w:rsid w:val="00882FDE"/>
    <w:rsid w:val="00883028"/>
    <w:rsid w:val="008830E0"/>
    <w:rsid w:val="008830E3"/>
    <w:rsid w:val="00883110"/>
    <w:rsid w:val="00883119"/>
    <w:rsid w:val="0088313E"/>
    <w:rsid w:val="0088317A"/>
    <w:rsid w:val="008831DC"/>
    <w:rsid w:val="00883235"/>
    <w:rsid w:val="00883248"/>
    <w:rsid w:val="00883255"/>
    <w:rsid w:val="00883271"/>
    <w:rsid w:val="008832EE"/>
    <w:rsid w:val="008832FB"/>
    <w:rsid w:val="0088332F"/>
    <w:rsid w:val="0088333E"/>
    <w:rsid w:val="008833C3"/>
    <w:rsid w:val="00883422"/>
    <w:rsid w:val="00883465"/>
    <w:rsid w:val="00883471"/>
    <w:rsid w:val="0088348F"/>
    <w:rsid w:val="00883492"/>
    <w:rsid w:val="008834A9"/>
    <w:rsid w:val="00883521"/>
    <w:rsid w:val="00883546"/>
    <w:rsid w:val="00883606"/>
    <w:rsid w:val="00883622"/>
    <w:rsid w:val="00883640"/>
    <w:rsid w:val="0088364A"/>
    <w:rsid w:val="00883666"/>
    <w:rsid w:val="0088368F"/>
    <w:rsid w:val="00883691"/>
    <w:rsid w:val="008836A5"/>
    <w:rsid w:val="008836FB"/>
    <w:rsid w:val="0088380B"/>
    <w:rsid w:val="008838B1"/>
    <w:rsid w:val="008838F5"/>
    <w:rsid w:val="008838FC"/>
    <w:rsid w:val="0088391E"/>
    <w:rsid w:val="00883920"/>
    <w:rsid w:val="0088393B"/>
    <w:rsid w:val="00883958"/>
    <w:rsid w:val="00883980"/>
    <w:rsid w:val="008839A5"/>
    <w:rsid w:val="008839E7"/>
    <w:rsid w:val="008839EC"/>
    <w:rsid w:val="008839EE"/>
    <w:rsid w:val="00883A45"/>
    <w:rsid w:val="00883A53"/>
    <w:rsid w:val="00883A5A"/>
    <w:rsid w:val="00883AD0"/>
    <w:rsid w:val="00883ADC"/>
    <w:rsid w:val="00883B49"/>
    <w:rsid w:val="00883C15"/>
    <w:rsid w:val="00883C40"/>
    <w:rsid w:val="00883C88"/>
    <w:rsid w:val="00883D74"/>
    <w:rsid w:val="00883D7C"/>
    <w:rsid w:val="00883DF8"/>
    <w:rsid w:val="00883E26"/>
    <w:rsid w:val="00883E7E"/>
    <w:rsid w:val="00883EBB"/>
    <w:rsid w:val="00883ECD"/>
    <w:rsid w:val="00883F07"/>
    <w:rsid w:val="00883F2D"/>
    <w:rsid w:val="00883F5A"/>
    <w:rsid w:val="00883FAD"/>
    <w:rsid w:val="00883FB3"/>
    <w:rsid w:val="00883FC9"/>
    <w:rsid w:val="00883FD4"/>
    <w:rsid w:val="00884005"/>
    <w:rsid w:val="0088409E"/>
    <w:rsid w:val="00884132"/>
    <w:rsid w:val="00884142"/>
    <w:rsid w:val="0088416E"/>
    <w:rsid w:val="008841E0"/>
    <w:rsid w:val="00884207"/>
    <w:rsid w:val="0088421F"/>
    <w:rsid w:val="00884247"/>
    <w:rsid w:val="008842C2"/>
    <w:rsid w:val="0088433B"/>
    <w:rsid w:val="00884343"/>
    <w:rsid w:val="0088439B"/>
    <w:rsid w:val="008843EC"/>
    <w:rsid w:val="00884408"/>
    <w:rsid w:val="00884427"/>
    <w:rsid w:val="0088447B"/>
    <w:rsid w:val="00884498"/>
    <w:rsid w:val="008844A1"/>
    <w:rsid w:val="008844AC"/>
    <w:rsid w:val="008844F2"/>
    <w:rsid w:val="0088454D"/>
    <w:rsid w:val="0088457F"/>
    <w:rsid w:val="0088458B"/>
    <w:rsid w:val="00884617"/>
    <w:rsid w:val="00884624"/>
    <w:rsid w:val="00884664"/>
    <w:rsid w:val="00884673"/>
    <w:rsid w:val="00884674"/>
    <w:rsid w:val="0088469E"/>
    <w:rsid w:val="008846D4"/>
    <w:rsid w:val="008846F9"/>
    <w:rsid w:val="0088472F"/>
    <w:rsid w:val="0088479D"/>
    <w:rsid w:val="008847D1"/>
    <w:rsid w:val="00884842"/>
    <w:rsid w:val="00884858"/>
    <w:rsid w:val="00884868"/>
    <w:rsid w:val="00884873"/>
    <w:rsid w:val="008848EF"/>
    <w:rsid w:val="00884902"/>
    <w:rsid w:val="0088492C"/>
    <w:rsid w:val="00884940"/>
    <w:rsid w:val="0088495B"/>
    <w:rsid w:val="00884979"/>
    <w:rsid w:val="00884990"/>
    <w:rsid w:val="008849B2"/>
    <w:rsid w:val="008849DA"/>
    <w:rsid w:val="008849EA"/>
    <w:rsid w:val="00884A23"/>
    <w:rsid w:val="00884A5D"/>
    <w:rsid w:val="00884AB5"/>
    <w:rsid w:val="00884AD6"/>
    <w:rsid w:val="00884B19"/>
    <w:rsid w:val="00884B54"/>
    <w:rsid w:val="00884B5C"/>
    <w:rsid w:val="00884B71"/>
    <w:rsid w:val="00884B7C"/>
    <w:rsid w:val="00884BC8"/>
    <w:rsid w:val="00884BD9"/>
    <w:rsid w:val="00884BF3"/>
    <w:rsid w:val="00884C25"/>
    <w:rsid w:val="00884C2E"/>
    <w:rsid w:val="00884C47"/>
    <w:rsid w:val="00884C6F"/>
    <w:rsid w:val="00884C87"/>
    <w:rsid w:val="00884C9E"/>
    <w:rsid w:val="00884D10"/>
    <w:rsid w:val="00884D25"/>
    <w:rsid w:val="00884D30"/>
    <w:rsid w:val="00884D49"/>
    <w:rsid w:val="00884DA4"/>
    <w:rsid w:val="00884DAC"/>
    <w:rsid w:val="00884DCE"/>
    <w:rsid w:val="00884DD7"/>
    <w:rsid w:val="00884E01"/>
    <w:rsid w:val="00884E03"/>
    <w:rsid w:val="00884E04"/>
    <w:rsid w:val="00884E45"/>
    <w:rsid w:val="00884E78"/>
    <w:rsid w:val="00884F2C"/>
    <w:rsid w:val="00884F52"/>
    <w:rsid w:val="00884FAC"/>
    <w:rsid w:val="00884FBC"/>
    <w:rsid w:val="0088505B"/>
    <w:rsid w:val="008850DC"/>
    <w:rsid w:val="008850F3"/>
    <w:rsid w:val="00885120"/>
    <w:rsid w:val="00885143"/>
    <w:rsid w:val="0088516A"/>
    <w:rsid w:val="00885175"/>
    <w:rsid w:val="0088518C"/>
    <w:rsid w:val="00885201"/>
    <w:rsid w:val="00885253"/>
    <w:rsid w:val="00885284"/>
    <w:rsid w:val="008852AA"/>
    <w:rsid w:val="00885345"/>
    <w:rsid w:val="0088538B"/>
    <w:rsid w:val="008853B6"/>
    <w:rsid w:val="0088544A"/>
    <w:rsid w:val="008854D5"/>
    <w:rsid w:val="008854F3"/>
    <w:rsid w:val="00885577"/>
    <w:rsid w:val="008855CA"/>
    <w:rsid w:val="00885644"/>
    <w:rsid w:val="00885649"/>
    <w:rsid w:val="008856DA"/>
    <w:rsid w:val="0088571A"/>
    <w:rsid w:val="00885760"/>
    <w:rsid w:val="008857BA"/>
    <w:rsid w:val="008858D2"/>
    <w:rsid w:val="00885912"/>
    <w:rsid w:val="0088591E"/>
    <w:rsid w:val="00885980"/>
    <w:rsid w:val="0088598F"/>
    <w:rsid w:val="008859FB"/>
    <w:rsid w:val="00885A23"/>
    <w:rsid w:val="00885ABA"/>
    <w:rsid w:val="00885AF9"/>
    <w:rsid w:val="00885B35"/>
    <w:rsid w:val="00885BBE"/>
    <w:rsid w:val="00885BCC"/>
    <w:rsid w:val="00885C43"/>
    <w:rsid w:val="00885C60"/>
    <w:rsid w:val="00885C6C"/>
    <w:rsid w:val="00885C96"/>
    <w:rsid w:val="00885CCB"/>
    <w:rsid w:val="00885CF0"/>
    <w:rsid w:val="00885D15"/>
    <w:rsid w:val="00885D42"/>
    <w:rsid w:val="00885E93"/>
    <w:rsid w:val="00885EF2"/>
    <w:rsid w:val="00885F39"/>
    <w:rsid w:val="00885F3D"/>
    <w:rsid w:val="00885F50"/>
    <w:rsid w:val="00885F66"/>
    <w:rsid w:val="00886093"/>
    <w:rsid w:val="008860EE"/>
    <w:rsid w:val="00886118"/>
    <w:rsid w:val="00886150"/>
    <w:rsid w:val="0088616A"/>
    <w:rsid w:val="008861B9"/>
    <w:rsid w:val="008861C5"/>
    <w:rsid w:val="00886209"/>
    <w:rsid w:val="00886228"/>
    <w:rsid w:val="0088625D"/>
    <w:rsid w:val="0088629E"/>
    <w:rsid w:val="0088635F"/>
    <w:rsid w:val="008863F7"/>
    <w:rsid w:val="0088646A"/>
    <w:rsid w:val="00886494"/>
    <w:rsid w:val="00886500"/>
    <w:rsid w:val="00886501"/>
    <w:rsid w:val="0088650B"/>
    <w:rsid w:val="0088659A"/>
    <w:rsid w:val="008865C7"/>
    <w:rsid w:val="008865E6"/>
    <w:rsid w:val="008865EF"/>
    <w:rsid w:val="008866CC"/>
    <w:rsid w:val="008866F1"/>
    <w:rsid w:val="0088671E"/>
    <w:rsid w:val="0088672A"/>
    <w:rsid w:val="00886745"/>
    <w:rsid w:val="0088675E"/>
    <w:rsid w:val="0088676F"/>
    <w:rsid w:val="008867D9"/>
    <w:rsid w:val="00886828"/>
    <w:rsid w:val="0088683F"/>
    <w:rsid w:val="0088684A"/>
    <w:rsid w:val="0088686E"/>
    <w:rsid w:val="00886889"/>
    <w:rsid w:val="00886893"/>
    <w:rsid w:val="008868D6"/>
    <w:rsid w:val="00886937"/>
    <w:rsid w:val="00886948"/>
    <w:rsid w:val="00886968"/>
    <w:rsid w:val="0088698A"/>
    <w:rsid w:val="00886A01"/>
    <w:rsid w:val="00886A1D"/>
    <w:rsid w:val="00886A3C"/>
    <w:rsid w:val="00886A5C"/>
    <w:rsid w:val="00886A60"/>
    <w:rsid w:val="00886A66"/>
    <w:rsid w:val="00886AC4"/>
    <w:rsid w:val="00886AC5"/>
    <w:rsid w:val="00886AFB"/>
    <w:rsid w:val="00886B23"/>
    <w:rsid w:val="00886B30"/>
    <w:rsid w:val="00886B64"/>
    <w:rsid w:val="00886B7B"/>
    <w:rsid w:val="00886B7E"/>
    <w:rsid w:val="00886B95"/>
    <w:rsid w:val="00886B9B"/>
    <w:rsid w:val="00886BA7"/>
    <w:rsid w:val="00886BEF"/>
    <w:rsid w:val="00886CFC"/>
    <w:rsid w:val="00886D16"/>
    <w:rsid w:val="00886D52"/>
    <w:rsid w:val="00886D59"/>
    <w:rsid w:val="00886D67"/>
    <w:rsid w:val="00886D6F"/>
    <w:rsid w:val="00886D8B"/>
    <w:rsid w:val="00886E00"/>
    <w:rsid w:val="00886E26"/>
    <w:rsid w:val="00886E56"/>
    <w:rsid w:val="00886E91"/>
    <w:rsid w:val="00886F01"/>
    <w:rsid w:val="00886F72"/>
    <w:rsid w:val="00886F8C"/>
    <w:rsid w:val="00887012"/>
    <w:rsid w:val="00887035"/>
    <w:rsid w:val="0088705D"/>
    <w:rsid w:val="0088707C"/>
    <w:rsid w:val="00887118"/>
    <w:rsid w:val="0088712F"/>
    <w:rsid w:val="0088715A"/>
    <w:rsid w:val="0088717F"/>
    <w:rsid w:val="0088719A"/>
    <w:rsid w:val="0088719D"/>
    <w:rsid w:val="008871A6"/>
    <w:rsid w:val="008871B1"/>
    <w:rsid w:val="008871E6"/>
    <w:rsid w:val="00887225"/>
    <w:rsid w:val="0088729E"/>
    <w:rsid w:val="008872BA"/>
    <w:rsid w:val="008872E6"/>
    <w:rsid w:val="00887337"/>
    <w:rsid w:val="0088738E"/>
    <w:rsid w:val="0088739C"/>
    <w:rsid w:val="008873AA"/>
    <w:rsid w:val="008873EF"/>
    <w:rsid w:val="00887424"/>
    <w:rsid w:val="0088744E"/>
    <w:rsid w:val="0088746E"/>
    <w:rsid w:val="008874E4"/>
    <w:rsid w:val="0088758A"/>
    <w:rsid w:val="008875C9"/>
    <w:rsid w:val="008875D7"/>
    <w:rsid w:val="008875D9"/>
    <w:rsid w:val="00887666"/>
    <w:rsid w:val="00887678"/>
    <w:rsid w:val="008876E1"/>
    <w:rsid w:val="00887720"/>
    <w:rsid w:val="0088779B"/>
    <w:rsid w:val="0088779D"/>
    <w:rsid w:val="008877A9"/>
    <w:rsid w:val="008877BB"/>
    <w:rsid w:val="008877CE"/>
    <w:rsid w:val="008877F5"/>
    <w:rsid w:val="0088780D"/>
    <w:rsid w:val="0088783E"/>
    <w:rsid w:val="00887850"/>
    <w:rsid w:val="008878DB"/>
    <w:rsid w:val="008878DD"/>
    <w:rsid w:val="008878EA"/>
    <w:rsid w:val="00887910"/>
    <w:rsid w:val="0088795C"/>
    <w:rsid w:val="00887970"/>
    <w:rsid w:val="0088797D"/>
    <w:rsid w:val="00887998"/>
    <w:rsid w:val="0088799E"/>
    <w:rsid w:val="00887A1C"/>
    <w:rsid w:val="00887AB8"/>
    <w:rsid w:val="00887AD1"/>
    <w:rsid w:val="00887ADC"/>
    <w:rsid w:val="00887AE0"/>
    <w:rsid w:val="00887B1D"/>
    <w:rsid w:val="00887B49"/>
    <w:rsid w:val="00887B61"/>
    <w:rsid w:val="00887B6D"/>
    <w:rsid w:val="00887B7B"/>
    <w:rsid w:val="00887B9D"/>
    <w:rsid w:val="00887BB8"/>
    <w:rsid w:val="00887C5B"/>
    <w:rsid w:val="00887CA0"/>
    <w:rsid w:val="00887CBE"/>
    <w:rsid w:val="00887CD9"/>
    <w:rsid w:val="00887CFC"/>
    <w:rsid w:val="00887D39"/>
    <w:rsid w:val="00887D6C"/>
    <w:rsid w:val="00887DCB"/>
    <w:rsid w:val="00887E14"/>
    <w:rsid w:val="00887E75"/>
    <w:rsid w:val="00887E79"/>
    <w:rsid w:val="00887E85"/>
    <w:rsid w:val="00887EF1"/>
    <w:rsid w:val="00887F22"/>
    <w:rsid w:val="00887F33"/>
    <w:rsid w:val="00887FBB"/>
    <w:rsid w:val="00887FF5"/>
    <w:rsid w:val="00890016"/>
    <w:rsid w:val="0089007F"/>
    <w:rsid w:val="008900C1"/>
    <w:rsid w:val="0089010A"/>
    <w:rsid w:val="0089015F"/>
    <w:rsid w:val="008901D3"/>
    <w:rsid w:val="008901E3"/>
    <w:rsid w:val="008901FB"/>
    <w:rsid w:val="00890218"/>
    <w:rsid w:val="0089021A"/>
    <w:rsid w:val="00890245"/>
    <w:rsid w:val="0089024A"/>
    <w:rsid w:val="00890294"/>
    <w:rsid w:val="00890295"/>
    <w:rsid w:val="008902D6"/>
    <w:rsid w:val="008902E5"/>
    <w:rsid w:val="008902F1"/>
    <w:rsid w:val="00890332"/>
    <w:rsid w:val="00890355"/>
    <w:rsid w:val="008903E7"/>
    <w:rsid w:val="00890419"/>
    <w:rsid w:val="008904A6"/>
    <w:rsid w:val="008904B6"/>
    <w:rsid w:val="00890504"/>
    <w:rsid w:val="00890560"/>
    <w:rsid w:val="00890563"/>
    <w:rsid w:val="008905AA"/>
    <w:rsid w:val="00890642"/>
    <w:rsid w:val="00890675"/>
    <w:rsid w:val="0089067A"/>
    <w:rsid w:val="00890699"/>
    <w:rsid w:val="00890700"/>
    <w:rsid w:val="0089071C"/>
    <w:rsid w:val="00890729"/>
    <w:rsid w:val="00890747"/>
    <w:rsid w:val="0089075E"/>
    <w:rsid w:val="00890770"/>
    <w:rsid w:val="00890782"/>
    <w:rsid w:val="008907A9"/>
    <w:rsid w:val="008907D4"/>
    <w:rsid w:val="008907F0"/>
    <w:rsid w:val="00890814"/>
    <w:rsid w:val="00890850"/>
    <w:rsid w:val="0089088C"/>
    <w:rsid w:val="00890892"/>
    <w:rsid w:val="008908A2"/>
    <w:rsid w:val="008908F3"/>
    <w:rsid w:val="008909A5"/>
    <w:rsid w:val="008909B3"/>
    <w:rsid w:val="00890A26"/>
    <w:rsid w:val="00890A55"/>
    <w:rsid w:val="00890A78"/>
    <w:rsid w:val="00890AC3"/>
    <w:rsid w:val="00890AD5"/>
    <w:rsid w:val="00890B46"/>
    <w:rsid w:val="00890B47"/>
    <w:rsid w:val="00890BA1"/>
    <w:rsid w:val="00890BDA"/>
    <w:rsid w:val="00890BE9"/>
    <w:rsid w:val="00890BEC"/>
    <w:rsid w:val="00890C18"/>
    <w:rsid w:val="00890C39"/>
    <w:rsid w:val="00890C6B"/>
    <w:rsid w:val="00890D24"/>
    <w:rsid w:val="00890D62"/>
    <w:rsid w:val="00890D6D"/>
    <w:rsid w:val="00890D80"/>
    <w:rsid w:val="00890DF5"/>
    <w:rsid w:val="00890E01"/>
    <w:rsid w:val="00890E0B"/>
    <w:rsid w:val="00890E6B"/>
    <w:rsid w:val="00890E87"/>
    <w:rsid w:val="00890F1C"/>
    <w:rsid w:val="00890F1F"/>
    <w:rsid w:val="00890F39"/>
    <w:rsid w:val="00890F3D"/>
    <w:rsid w:val="00890F9C"/>
    <w:rsid w:val="00890FBE"/>
    <w:rsid w:val="00890FCF"/>
    <w:rsid w:val="00891001"/>
    <w:rsid w:val="00891074"/>
    <w:rsid w:val="0089109B"/>
    <w:rsid w:val="008910A8"/>
    <w:rsid w:val="00891104"/>
    <w:rsid w:val="00891122"/>
    <w:rsid w:val="00891142"/>
    <w:rsid w:val="00891161"/>
    <w:rsid w:val="008911FE"/>
    <w:rsid w:val="0089121D"/>
    <w:rsid w:val="0089123F"/>
    <w:rsid w:val="0089124F"/>
    <w:rsid w:val="00891252"/>
    <w:rsid w:val="008912A7"/>
    <w:rsid w:val="008912B3"/>
    <w:rsid w:val="008912E3"/>
    <w:rsid w:val="008912FF"/>
    <w:rsid w:val="00891307"/>
    <w:rsid w:val="00891353"/>
    <w:rsid w:val="00891354"/>
    <w:rsid w:val="00891363"/>
    <w:rsid w:val="0089137D"/>
    <w:rsid w:val="0089139B"/>
    <w:rsid w:val="008913C2"/>
    <w:rsid w:val="008913D0"/>
    <w:rsid w:val="0089145D"/>
    <w:rsid w:val="008914C1"/>
    <w:rsid w:val="00891508"/>
    <w:rsid w:val="00891526"/>
    <w:rsid w:val="0089154D"/>
    <w:rsid w:val="0089155C"/>
    <w:rsid w:val="0089166F"/>
    <w:rsid w:val="00891685"/>
    <w:rsid w:val="008916AA"/>
    <w:rsid w:val="00891729"/>
    <w:rsid w:val="0089172E"/>
    <w:rsid w:val="0089175C"/>
    <w:rsid w:val="00891775"/>
    <w:rsid w:val="008917E8"/>
    <w:rsid w:val="00891845"/>
    <w:rsid w:val="008918D8"/>
    <w:rsid w:val="008918E9"/>
    <w:rsid w:val="008918F3"/>
    <w:rsid w:val="0089192B"/>
    <w:rsid w:val="0089196D"/>
    <w:rsid w:val="00891987"/>
    <w:rsid w:val="00891A23"/>
    <w:rsid w:val="00891A2F"/>
    <w:rsid w:val="00891A35"/>
    <w:rsid w:val="00891A89"/>
    <w:rsid w:val="00891ADB"/>
    <w:rsid w:val="00891AF7"/>
    <w:rsid w:val="00891B11"/>
    <w:rsid w:val="00891B1B"/>
    <w:rsid w:val="00891B27"/>
    <w:rsid w:val="00891B28"/>
    <w:rsid w:val="00891B3B"/>
    <w:rsid w:val="00891B9C"/>
    <w:rsid w:val="00891BA4"/>
    <w:rsid w:val="00891BBD"/>
    <w:rsid w:val="00891BD4"/>
    <w:rsid w:val="00891C04"/>
    <w:rsid w:val="00891C58"/>
    <w:rsid w:val="00891C6A"/>
    <w:rsid w:val="00891C7D"/>
    <w:rsid w:val="00891CE7"/>
    <w:rsid w:val="00891D04"/>
    <w:rsid w:val="00891D10"/>
    <w:rsid w:val="00891D33"/>
    <w:rsid w:val="00891D4F"/>
    <w:rsid w:val="00891D9F"/>
    <w:rsid w:val="00891DB0"/>
    <w:rsid w:val="00891DB4"/>
    <w:rsid w:val="00891E19"/>
    <w:rsid w:val="00891E47"/>
    <w:rsid w:val="00891E5F"/>
    <w:rsid w:val="00891E99"/>
    <w:rsid w:val="00891EE9"/>
    <w:rsid w:val="00891F22"/>
    <w:rsid w:val="00891F27"/>
    <w:rsid w:val="00891F73"/>
    <w:rsid w:val="00891F74"/>
    <w:rsid w:val="00891FAA"/>
    <w:rsid w:val="00891FCB"/>
    <w:rsid w:val="00891FD9"/>
    <w:rsid w:val="00892017"/>
    <w:rsid w:val="0089201A"/>
    <w:rsid w:val="0089202F"/>
    <w:rsid w:val="00892041"/>
    <w:rsid w:val="00892049"/>
    <w:rsid w:val="008920C0"/>
    <w:rsid w:val="008920CB"/>
    <w:rsid w:val="008920EB"/>
    <w:rsid w:val="00892123"/>
    <w:rsid w:val="00892168"/>
    <w:rsid w:val="008921EC"/>
    <w:rsid w:val="0089228C"/>
    <w:rsid w:val="008922A3"/>
    <w:rsid w:val="008922D9"/>
    <w:rsid w:val="008922F7"/>
    <w:rsid w:val="00892314"/>
    <w:rsid w:val="00892320"/>
    <w:rsid w:val="00892335"/>
    <w:rsid w:val="00892356"/>
    <w:rsid w:val="00892391"/>
    <w:rsid w:val="008923E7"/>
    <w:rsid w:val="00892453"/>
    <w:rsid w:val="0089245A"/>
    <w:rsid w:val="0089245E"/>
    <w:rsid w:val="0089246C"/>
    <w:rsid w:val="0089249B"/>
    <w:rsid w:val="008924EF"/>
    <w:rsid w:val="00892557"/>
    <w:rsid w:val="00892572"/>
    <w:rsid w:val="00892579"/>
    <w:rsid w:val="00892626"/>
    <w:rsid w:val="008926BB"/>
    <w:rsid w:val="008926FC"/>
    <w:rsid w:val="00892731"/>
    <w:rsid w:val="008927BB"/>
    <w:rsid w:val="0089280F"/>
    <w:rsid w:val="00892869"/>
    <w:rsid w:val="008928AF"/>
    <w:rsid w:val="008928E0"/>
    <w:rsid w:val="00892941"/>
    <w:rsid w:val="008929E1"/>
    <w:rsid w:val="00892A92"/>
    <w:rsid w:val="00892B13"/>
    <w:rsid w:val="00892B24"/>
    <w:rsid w:val="00892B97"/>
    <w:rsid w:val="00892BB0"/>
    <w:rsid w:val="00892C30"/>
    <w:rsid w:val="00892C5D"/>
    <w:rsid w:val="00892C64"/>
    <w:rsid w:val="00892CDA"/>
    <w:rsid w:val="00892D1F"/>
    <w:rsid w:val="00892D27"/>
    <w:rsid w:val="00892D46"/>
    <w:rsid w:val="00892D4B"/>
    <w:rsid w:val="00892D56"/>
    <w:rsid w:val="00892D57"/>
    <w:rsid w:val="00892D96"/>
    <w:rsid w:val="00892DD0"/>
    <w:rsid w:val="00892DFA"/>
    <w:rsid w:val="00892E98"/>
    <w:rsid w:val="00892EC1"/>
    <w:rsid w:val="00892F17"/>
    <w:rsid w:val="00892F6A"/>
    <w:rsid w:val="00892F7A"/>
    <w:rsid w:val="00892F91"/>
    <w:rsid w:val="00892F9D"/>
    <w:rsid w:val="00892FD8"/>
    <w:rsid w:val="00892FF0"/>
    <w:rsid w:val="00892FFD"/>
    <w:rsid w:val="00893027"/>
    <w:rsid w:val="00893030"/>
    <w:rsid w:val="00893036"/>
    <w:rsid w:val="00893050"/>
    <w:rsid w:val="00893077"/>
    <w:rsid w:val="00893086"/>
    <w:rsid w:val="0089308F"/>
    <w:rsid w:val="0089310F"/>
    <w:rsid w:val="0089312E"/>
    <w:rsid w:val="008931A5"/>
    <w:rsid w:val="008931C1"/>
    <w:rsid w:val="00893294"/>
    <w:rsid w:val="008932A0"/>
    <w:rsid w:val="0089333D"/>
    <w:rsid w:val="00893340"/>
    <w:rsid w:val="00893343"/>
    <w:rsid w:val="00893354"/>
    <w:rsid w:val="00893355"/>
    <w:rsid w:val="0089339F"/>
    <w:rsid w:val="008933C6"/>
    <w:rsid w:val="00893420"/>
    <w:rsid w:val="0089343A"/>
    <w:rsid w:val="00893464"/>
    <w:rsid w:val="00893480"/>
    <w:rsid w:val="00893482"/>
    <w:rsid w:val="008934A0"/>
    <w:rsid w:val="008934AC"/>
    <w:rsid w:val="00893530"/>
    <w:rsid w:val="008935E3"/>
    <w:rsid w:val="00893604"/>
    <w:rsid w:val="0089360C"/>
    <w:rsid w:val="00893635"/>
    <w:rsid w:val="00893646"/>
    <w:rsid w:val="00893648"/>
    <w:rsid w:val="00893696"/>
    <w:rsid w:val="008936A4"/>
    <w:rsid w:val="008936EF"/>
    <w:rsid w:val="0089376F"/>
    <w:rsid w:val="00893773"/>
    <w:rsid w:val="008937A6"/>
    <w:rsid w:val="008937E8"/>
    <w:rsid w:val="00893814"/>
    <w:rsid w:val="00893829"/>
    <w:rsid w:val="0089383F"/>
    <w:rsid w:val="0089385B"/>
    <w:rsid w:val="0089389D"/>
    <w:rsid w:val="008938E5"/>
    <w:rsid w:val="008939C6"/>
    <w:rsid w:val="00893A21"/>
    <w:rsid w:val="00893A7C"/>
    <w:rsid w:val="00893AD1"/>
    <w:rsid w:val="00893ADC"/>
    <w:rsid w:val="00893B02"/>
    <w:rsid w:val="00893B05"/>
    <w:rsid w:val="00893B17"/>
    <w:rsid w:val="00893B1E"/>
    <w:rsid w:val="00893B2C"/>
    <w:rsid w:val="00893B55"/>
    <w:rsid w:val="00893B5D"/>
    <w:rsid w:val="00893B5E"/>
    <w:rsid w:val="00893B7C"/>
    <w:rsid w:val="00893BBC"/>
    <w:rsid w:val="00893BFD"/>
    <w:rsid w:val="00893C14"/>
    <w:rsid w:val="00893C1D"/>
    <w:rsid w:val="00893C4A"/>
    <w:rsid w:val="00893C9B"/>
    <w:rsid w:val="00893D02"/>
    <w:rsid w:val="00893D41"/>
    <w:rsid w:val="00893D42"/>
    <w:rsid w:val="00893D76"/>
    <w:rsid w:val="00893D7C"/>
    <w:rsid w:val="00893DCB"/>
    <w:rsid w:val="00893F3D"/>
    <w:rsid w:val="00893F43"/>
    <w:rsid w:val="00893F99"/>
    <w:rsid w:val="00893FA5"/>
    <w:rsid w:val="00893FB3"/>
    <w:rsid w:val="00893FFD"/>
    <w:rsid w:val="0089403A"/>
    <w:rsid w:val="0089404B"/>
    <w:rsid w:val="00894058"/>
    <w:rsid w:val="00894096"/>
    <w:rsid w:val="0089409B"/>
    <w:rsid w:val="008940AD"/>
    <w:rsid w:val="008940F0"/>
    <w:rsid w:val="008940F6"/>
    <w:rsid w:val="008941BC"/>
    <w:rsid w:val="0089420A"/>
    <w:rsid w:val="0089421D"/>
    <w:rsid w:val="0089423B"/>
    <w:rsid w:val="00894262"/>
    <w:rsid w:val="0089427C"/>
    <w:rsid w:val="008942C0"/>
    <w:rsid w:val="008942DB"/>
    <w:rsid w:val="00894311"/>
    <w:rsid w:val="0089434B"/>
    <w:rsid w:val="00894388"/>
    <w:rsid w:val="0089439C"/>
    <w:rsid w:val="008943A9"/>
    <w:rsid w:val="008943E0"/>
    <w:rsid w:val="00894424"/>
    <w:rsid w:val="008944A0"/>
    <w:rsid w:val="008944A2"/>
    <w:rsid w:val="008944AD"/>
    <w:rsid w:val="0089452E"/>
    <w:rsid w:val="00894537"/>
    <w:rsid w:val="0089454A"/>
    <w:rsid w:val="00894551"/>
    <w:rsid w:val="00894579"/>
    <w:rsid w:val="0089459D"/>
    <w:rsid w:val="008945C8"/>
    <w:rsid w:val="008945D7"/>
    <w:rsid w:val="00894619"/>
    <w:rsid w:val="00894656"/>
    <w:rsid w:val="00894669"/>
    <w:rsid w:val="00894680"/>
    <w:rsid w:val="00894691"/>
    <w:rsid w:val="0089474E"/>
    <w:rsid w:val="008947CC"/>
    <w:rsid w:val="008947E1"/>
    <w:rsid w:val="00894842"/>
    <w:rsid w:val="0089485D"/>
    <w:rsid w:val="008948BE"/>
    <w:rsid w:val="008948FE"/>
    <w:rsid w:val="00894928"/>
    <w:rsid w:val="0089493C"/>
    <w:rsid w:val="0089493E"/>
    <w:rsid w:val="00894992"/>
    <w:rsid w:val="008949A9"/>
    <w:rsid w:val="008949DD"/>
    <w:rsid w:val="008949EB"/>
    <w:rsid w:val="00894A33"/>
    <w:rsid w:val="00894A3F"/>
    <w:rsid w:val="00894A5F"/>
    <w:rsid w:val="00894B2E"/>
    <w:rsid w:val="00894B38"/>
    <w:rsid w:val="00894B68"/>
    <w:rsid w:val="00894B74"/>
    <w:rsid w:val="00894BE3"/>
    <w:rsid w:val="00894C48"/>
    <w:rsid w:val="00894C60"/>
    <w:rsid w:val="00894C73"/>
    <w:rsid w:val="00894D1B"/>
    <w:rsid w:val="00894D4B"/>
    <w:rsid w:val="00894D62"/>
    <w:rsid w:val="00894DA3"/>
    <w:rsid w:val="00894E07"/>
    <w:rsid w:val="00894E32"/>
    <w:rsid w:val="00894E64"/>
    <w:rsid w:val="00894EBB"/>
    <w:rsid w:val="00894F0B"/>
    <w:rsid w:val="00894F37"/>
    <w:rsid w:val="00894F3C"/>
    <w:rsid w:val="00894F6D"/>
    <w:rsid w:val="00894FA2"/>
    <w:rsid w:val="00894FC9"/>
    <w:rsid w:val="00895021"/>
    <w:rsid w:val="0089502F"/>
    <w:rsid w:val="00895033"/>
    <w:rsid w:val="008950C7"/>
    <w:rsid w:val="008950DF"/>
    <w:rsid w:val="008950E8"/>
    <w:rsid w:val="008950FE"/>
    <w:rsid w:val="00895107"/>
    <w:rsid w:val="00895119"/>
    <w:rsid w:val="00895133"/>
    <w:rsid w:val="0089514A"/>
    <w:rsid w:val="0089517D"/>
    <w:rsid w:val="008951F1"/>
    <w:rsid w:val="008951FE"/>
    <w:rsid w:val="00895202"/>
    <w:rsid w:val="00895261"/>
    <w:rsid w:val="00895283"/>
    <w:rsid w:val="008952AB"/>
    <w:rsid w:val="00895302"/>
    <w:rsid w:val="00895345"/>
    <w:rsid w:val="00895356"/>
    <w:rsid w:val="00895396"/>
    <w:rsid w:val="008953B3"/>
    <w:rsid w:val="00895428"/>
    <w:rsid w:val="008954DD"/>
    <w:rsid w:val="008954DE"/>
    <w:rsid w:val="008954EC"/>
    <w:rsid w:val="008954F6"/>
    <w:rsid w:val="008955CC"/>
    <w:rsid w:val="008955D7"/>
    <w:rsid w:val="008955E3"/>
    <w:rsid w:val="008955FF"/>
    <w:rsid w:val="0089562B"/>
    <w:rsid w:val="0089564B"/>
    <w:rsid w:val="00895663"/>
    <w:rsid w:val="00895676"/>
    <w:rsid w:val="0089568D"/>
    <w:rsid w:val="008956D3"/>
    <w:rsid w:val="008956DC"/>
    <w:rsid w:val="00895760"/>
    <w:rsid w:val="008957E3"/>
    <w:rsid w:val="008957ED"/>
    <w:rsid w:val="00895807"/>
    <w:rsid w:val="0089589B"/>
    <w:rsid w:val="008958C0"/>
    <w:rsid w:val="00895902"/>
    <w:rsid w:val="00895908"/>
    <w:rsid w:val="00895939"/>
    <w:rsid w:val="00895942"/>
    <w:rsid w:val="0089594B"/>
    <w:rsid w:val="008959E3"/>
    <w:rsid w:val="00895A19"/>
    <w:rsid w:val="00895A35"/>
    <w:rsid w:val="00895A4E"/>
    <w:rsid w:val="00895A72"/>
    <w:rsid w:val="00895A8E"/>
    <w:rsid w:val="00895A8F"/>
    <w:rsid w:val="00895AF3"/>
    <w:rsid w:val="00895B18"/>
    <w:rsid w:val="00895B52"/>
    <w:rsid w:val="00895B79"/>
    <w:rsid w:val="00895BB2"/>
    <w:rsid w:val="00895C42"/>
    <w:rsid w:val="00895C61"/>
    <w:rsid w:val="00895CD1"/>
    <w:rsid w:val="00895D24"/>
    <w:rsid w:val="00895D8F"/>
    <w:rsid w:val="00895DD5"/>
    <w:rsid w:val="00895E2B"/>
    <w:rsid w:val="00895EB6"/>
    <w:rsid w:val="00895F35"/>
    <w:rsid w:val="00895F8F"/>
    <w:rsid w:val="00895FE4"/>
    <w:rsid w:val="0089600E"/>
    <w:rsid w:val="008960DF"/>
    <w:rsid w:val="008960FB"/>
    <w:rsid w:val="00896101"/>
    <w:rsid w:val="00896131"/>
    <w:rsid w:val="00896142"/>
    <w:rsid w:val="0089614F"/>
    <w:rsid w:val="008961CB"/>
    <w:rsid w:val="00896225"/>
    <w:rsid w:val="00896252"/>
    <w:rsid w:val="008962AE"/>
    <w:rsid w:val="008962D5"/>
    <w:rsid w:val="008962D7"/>
    <w:rsid w:val="00896303"/>
    <w:rsid w:val="00896343"/>
    <w:rsid w:val="0089638E"/>
    <w:rsid w:val="008963C0"/>
    <w:rsid w:val="008963D9"/>
    <w:rsid w:val="00896412"/>
    <w:rsid w:val="00896449"/>
    <w:rsid w:val="00896465"/>
    <w:rsid w:val="008964F8"/>
    <w:rsid w:val="00896532"/>
    <w:rsid w:val="00896583"/>
    <w:rsid w:val="00896599"/>
    <w:rsid w:val="0089659E"/>
    <w:rsid w:val="008965C8"/>
    <w:rsid w:val="0089660C"/>
    <w:rsid w:val="0089660D"/>
    <w:rsid w:val="00896682"/>
    <w:rsid w:val="00896693"/>
    <w:rsid w:val="008966B5"/>
    <w:rsid w:val="00896757"/>
    <w:rsid w:val="00896785"/>
    <w:rsid w:val="008967F8"/>
    <w:rsid w:val="00896821"/>
    <w:rsid w:val="00896895"/>
    <w:rsid w:val="008968EB"/>
    <w:rsid w:val="00896916"/>
    <w:rsid w:val="0089694F"/>
    <w:rsid w:val="00896998"/>
    <w:rsid w:val="008969F6"/>
    <w:rsid w:val="00896A27"/>
    <w:rsid w:val="00896A48"/>
    <w:rsid w:val="00896A5E"/>
    <w:rsid w:val="00896ABD"/>
    <w:rsid w:val="00896AD0"/>
    <w:rsid w:val="00896AF4"/>
    <w:rsid w:val="00896AF6"/>
    <w:rsid w:val="00896B22"/>
    <w:rsid w:val="00896B32"/>
    <w:rsid w:val="00896B59"/>
    <w:rsid w:val="00896B6D"/>
    <w:rsid w:val="00896B98"/>
    <w:rsid w:val="00896BAA"/>
    <w:rsid w:val="00896BDD"/>
    <w:rsid w:val="00896BFA"/>
    <w:rsid w:val="00896C1F"/>
    <w:rsid w:val="00896C7F"/>
    <w:rsid w:val="00896CD9"/>
    <w:rsid w:val="00896CF4"/>
    <w:rsid w:val="00896CFC"/>
    <w:rsid w:val="00896D24"/>
    <w:rsid w:val="00896D60"/>
    <w:rsid w:val="00896DD9"/>
    <w:rsid w:val="00896E44"/>
    <w:rsid w:val="00896EF0"/>
    <w:rsid w:val="00896F29"/>
    <w:rsid w:val="00896F33"/>
    <w:rsid w:val="00896FB4"/>
    <w:rsid w:val="00896FCB"/>
    <w:rsid w:val="00896FE3"/>
    <w:rsid w:val="00896FE9"/>
    <w:rsid w:val="00897025"/>
    <w:rsid w:val="0089704B"/>
    <w:rsid w:val="00897053"/>
    <w:rsid w:val="008970C6"/>
    <w:rsid w:val="008970D7"/>
    <w:rsid w:val="008970E3"/>
    <w:rsid w:val="00897119"/>
    <w:rsid w:val="00897130"/>
    <w:rsid w:val="0089715C"/>
    <w:rsid w:val="00897167"/>
    <w:rsid w:val="0089716C"/>
    <w:rsid w:val="0089717D"/>
    <w:rsid w:val="00897198"/>
    <w:rsid w:val="008971BA"/>
    <w:rsid w:val="008971C9"/>
    <w:rsid w:val="008971F2"/>
    <w:rsid w:val="008971F9"/>
    <w:rsid w:val="0089730B"/>
    <w:rsid w:val="0089731E"/>
    <w:rsid w:val="00897327"/>
    <w:rsid w:val="0089732C"/>
    <w:rsid w:val="00897445"/>
    <w:rsid w:val="00897453"/>
    <w:rsid w:val="00897461"/>
    <w:rsid w:val="008975FA"/>
    <w:rsid w:val="0089760F"/>
    <w:rsid w:val="0089762C"/>
    <w:rsid w:val="00897668"/>
    <w:rsid w:val="0089768C"/>
    <w:rsid w:val="008976E0"/>
    <w:rsid w:val="0089774E"/>
    <w:rsid w:val="008977B5"/>
    <w:rsid w:val="008977BF"/>
    <w:rsid w:val="008977C8"/>
    <w:rsid w:val="008977F3"/>
    <w:rsid w:val="008977FF"/>
    <w:rsid w:val="0089781B"/>
    <w:rsid w:val="00897836"/>
    <w:rsid w:val="00897838"/>
    <w:rsid w:val="0089783F"/>
    <w:rsid w:val="00897863"/>
    <w:rsid w:val="008978AE"/>
    <w:rsid w:val="008978BF"/>
    <w:rsid w:val="008978FC"/>
    <w:rsid w:val="00897955"/>
    <w:rsid w:val="00897975"/>
    <w:rsid w:val="0089797D"/>
    <w:rsid w:val="00897A09"/>
    <w:rsid w:val="00897A2A"/>
    <w:rsid w:val="00897A4D"/>
    <w:rsid w:val="00897A50"/>
    <w:rsid w:val="00897AD4"/>
    <w:rsid w:val="00897B0E"/>
    <w:rsid w:val="00897B57"/>
    <w:rsid w:val="00897BBE"/>
    <w:rsid w:val="00897C16"/>
    <w:rsid w:val="00897C6C"/>
    <w:rsid w:val="00897C72"/>
    <w:rsid w:val="00897CAA"/>
    <w:rsid w:val="00897CC7"/>
    <w:rsid w:val="00897D04"/>
    <w:rsid w:val="00897D2F"/>
    <w:rsid w:val="00897D71"/>
    <w:rsid w:val="00897D7E"/>
    <w:rsid w:val="00897DB7"/>
    <w:rsid w:val="00897DC8"/>
    <w:rsid w:val="00897E2C"/>
    <w:rsid w:val="00897E6A"/>
    <w:rsid w:val="00897EAD"/>
    <w:rsid w:val="00897ECF"/>
    <w:rsid w:val="00897ED3"/>
    <w:rsid w:val="00897F46"/>
    <w:rsid w:val="00897F48"/>
    <w:rsid w:val="00897F95"/>
    <w:rsid w:val="00897FB2"/>
    <w:rsid w:val="00897FEB"/>
    <w:rsid w:val="008A000E"/>
    <w:rsid w:val="008A007C"/>
    <w:rsid w:val="008A00C3"/>
    <w:rsid w:val="008A00DD"/>
    <w:rsid w:val="008A0100"/>
    <w:rsid w:val="008A017C"/>
    <w:rsid w:val="008A017D"/>
    <w:rsid w:val="008A01BD"/>
    <w:rsid w:val="008A0266"/>
    <w:rsid w:val="008A0269"/>
    <w:rsid w:val="008A0293"/>
    <w:rsid w:val="008A02E1"/>
    <w:rsid w:val="008A02E6"/>
    <w:rsid w:val="008A0319"/>
    <w:rsid w:val="008A033B"/>
    <w:rsid w:val="008A034E"/>
    <w:rsid w:val="008A039C"/>
    <w:rsid w:val="008A045A"/>
    <w:rsid w:val="008A0481"/>
    <w:rsid w:val="008A0498"/>
    <w:rsid w:val="008A04A8"/>
    <w:rsid w:val="008A04D5"/>
    <w:rsid w:val="008A051C"/>
    <w:rsid w:val="008A054A"/>
    <w:rsid w:val="008A057A"/>
    <w:rsid w:val="008A0603"/>
    <w:rsid w:val="008A0648"/>
    <w:rsid w:val="008A0674"/>
    <w:rsid w:val="008A06CA"/>
    <w:rsid w:val="008A06D7"/>
    <w:rsid w:val="008A06E9"/>
    <w:rsid w:val="008A071B"/>
    <w:rsid w:val="008A073C"/>
    <w:rsid w:val="008A0743"/>
    <w:rsid w:val="008A07F4"/>
    <w:rsid w:val="008A0815"/>
    <w:rsid w:val="008A0843"/>
    <w:rsid w:val="008A0846"/>
    <w:rsid w:val="008A0859"/>
    <w:rsid w:val="008A0861"/>
    <w:rsid w:val="008A08A6"/>
    <w:rsid w:val="008A08C8"/>
    <w:rsid w:val="008A08E0"/>
    <w:rsid w:val="008A0989"/>
    <w:rsid w:val="008A09CF"/>
    <w:rsid w:val="008A0A2B"/>
    <w:rsid w:val="008A0A5A"/>
    <w:rsid w:val="008A0A8D"/>
    <w:rsid w:val="008A0A9D"/>
    <w:rsid w:val="008A0AA0"/>
    <w:rsid w:val="008A0AEB"/>
    <w:rsid w:val="008A0B19"/>
    <w:rsid w:val="008A0B35"/>
    <w:rsid w:val="008A0B7B"/>
    <w:rsid w:val="008A0B83"/>
    <w:rsid w:val="008A0BB5"/>
    <w:rsid w:val="008A0BD2"/>
    <w:rsid w:val="008A0BDB"/>
    <w:rsid w:val="008A0BF3"/>
    <w:rsid w:val="008A0BFA"/>
    <w:rsid w:val="008A0C23"/>
    <w:rsid w:val="008A0C9D"/>
    <w:rsid w:val="008A0CA4"/>
    <w:rsid w:val="008A0CEA"/>
    <w:rsid w:val="008A0D55"/>
    <w:rsid w:val="008A0D56"/>
    <w:rsid w:val="008A0DEE"/>
    <w:rsid w:val="008A0E16"/>
    <w:rsid w:val="008A0E1B"/>
    <w:rsid w:val="008A0E73"/>
    <w:rsid w:val="008A0F11"/>
    <w:rsid w:val="008A0F51"/>
    <w:rsid w:val="008A0F54"/>
    <w:rsid w:val="008A0FB5"/>
    <w:rsid w:val="008A108D"/>
    <w:rsid w:val="008A10B7"/>
    <w:rsid w:val="008A10BC"/>
    <w:rsid w:val="008A10C2"/>
    <w:rsid w:val="008A10F3"/>
    <w:rsid w:val="008A11A7"/>
    <w:rsid w:val="008A11F8"/>
    <w:rsid w:val="008A12E9"/>
    <w:rsid w:val="008A1303"/>
    <w:rsid w:val="008A131C"/>
    <w:rsid w:val="008A1321"/>
    <w:rsid w:val="008A137A"/>
    <w:rsid w:val="008A13CF"/>
    <w:rsid w:val="008A146F"/>
    <w:rsid w:val="008A152F"/>
    <w:rsid w:val="008A1550"/>
    <w:rsid w:val="008A158F"/>
    <w:rsid w:val="008A15BF"/>
    <w:rsid w:val="008A15C2"/>
    <w:rsid w:val="008A15CE"/>
    <w:rsid w:val="008A1679"/>
    <w:rsid w:val="008A16D6"/>
    <w:rsid w:val="008A1706"/>
    <w:rsid w:val="008A1742"/>
    <w:rsid w:val="008A17F0"/>
    <w:rsid w:val="008A1800"/>
    <w:rsid w:val="008A1819"/>
    <w:rsid w:val="008A182C"/>
    <w:rsid w:val="008A1845"/>
    <w:rsid w:val="008A1864"/>
    <w:rsid w:val="008A1868"/>
    <w:rsid w:val="008A186A"/>
    <w:rsid w:val="008A18A6"/>
    <w:rsid w:val="008A18AC"/>
    <w:rsid w:val="008A18FB"/>
    <w:rsid w:val="008A1930"/>
    <w:rsid w:val="008A1936"/>
    <w:rsid w:val="008A19AB"/>
    <w:rsid w:val="008A1A08"/>
    <w:rsid w:val="008A1A15"/>
    <w:rsid w:val="008A1A96"/>
    <w:rsid w:val="008A1AB0"/>
    <w:rsid w:val="008A1ABA"/>
    <w:rsid w:val="008A1AD7"/>
    <w:rsid w:val="008A1AEC"/>
    <w:rsid w:val="008A1B37"/>
    <w:rsid w:val="008A1B41"/>
    <w:rsid w:val="008A1B46"/>
    <w:rsid w:val="008A1B5B"/>
    <w:rsid w:val="008A1B89"/>
    <w:rsid w:val="008A1BD3"/>
    <w:rsid w:val="008A1C3D"/>
    <w:rsid w:val="008A1C65"/>
    <w:rsid w:val="008A1C86"/>
    <w:rsid w:val="008A1CAA"/>
    <w:rsid w:val="008A1CC0"/>
    <w:rsid w:val="008A1CF1"/>
    <w:rsid w:val="008A1DB7"/>
    <w:rsid w:val="008A1DBE"/>
    <w:rsid w:val="008A1E2D"/>
    <w:rsid w:val="008A1E61"/>
    <w:rsid w:val="008A1E6B"/>
    <w:rsid w:val="008A1E82"/>
    <w:rsid w:val="008A1EA6"/>
    <w:rsid w:val="008A1EB8"/>
    <w:rsid w:val="008A1EC1"/>
    <w:rsid w:val="008A1ED3"/>
    <w:rsid w:val="008A1EDC"/>
    <w:rsid w:val="008A1EE7"/>
    <w:rsid w:val="008A1EF5"/>
    <w:rsid w:val="008A1EFD"/>
    <w:rsid w:val="008A1F35"/>
    <w:rsid w:val="008A1F4D"/>
    <w:rsid w:val="008A1F95"/>
    <w:rsid w:val="008A1FA8"/>
    <w:rsid w:val="008A1FD0"/>
    <w:rsid w:val="008A1FD9"/>
    <w:rsid w:val="008A206F"/>
    <w:rsid w:val="008A2083"/>
    <w:rsid w:val="008A2084"/>
    <w:rsid w:val="008A20AB"/>
    <w:rsid w:val="008A20D4"/>
    <w:rsid w:val="008A20E2"/>
    <w:rsid w:val="008A20F4"/>
    <w:rsid w:val="008A2109"/>
    <w:rsid w:val="008A2139"/>
    <w:rsid w:val="008A219C"/>
    <w:rsid w:val="008A21ED"/>
    <w:rsid w:val="008A222C"/>
    <w:rsid w:val="008A2231"/>
    <w:rsid w:val="008A22FA"/>
    <w:rsid w:val="008A22FF"/>
    <w:rsid w:val="008A231C"/>
    <w:rsid w:val="008A231D"/>
    <w:rsid w:val="008A2320"/>
    <w:rsid w:val="008A2334"/>
    <w:rsid w:val="008A2336"/>
    <w:rsid w:val="008A2337"/>
    <w:rsid w:val="008A241F"/>
    <w:rsid w:val="008A243D"/>
    <w:rsid w:val="008A2440"/>
    <w:rsid w:val="008A2487"/>
    <w:rsid w:val="008A248C"/>
    <w:rsid w:val="008A24DE"/>
    <w:rsid w:val="008A24E6"/>
    <w:rsid w:val="008A253E"/>
    <w:rsid w:val="008A256E"/>
    <w:rsid w:val="008A257C"/>
    <w:rsid w:val="008A258C"/>
    <w:rsid w:val="008A25A0"/>
    <w:rsid w:val="008A25C6"/>
    <w:rsid w:val="008A2617"/>
    <w:rsid w:val="008A2636"/>
    <w:rsid w:val="008A26B4"/>
    <w:rsid w:val="008A26BF"/>
    <w:rsid w:val="008A26CE"/>
    <w:rsid w:val="008A270A"/>
    <w:rsid w:val="008A271B"/>
    <w:rsid w:val="008A276B"/>
    <w:rsid w:val="008A2782"/>
    <w:rsid w:val="008A27C0"/>
    <w:rsid w:val="008A280C"/>
    <w:rsid w:val="008A281C"/>
    <w:rsid w:val="008A282F"/>
    <w:rsid w:val="008A2836"/>
    <w:rsid w:val="008A2860"/>
    <w:rsid w:val="008A2892"/>
    <w:rsid w:val="008A28DC"/>
    <w:rsid w:val="008A28E2"/>
    <w:rsid w:val="008A2924"/>
    <w:rsid w:val="008A292E"/>
    <w:rsid w:val="008A2940"/>
    <w:rsid w:val="008A2956"/>
    <w:rsid w:val="008A2962"/>
    <w:rsid w:val="008A296C"/>
    <w:rsid w:val="008A2989"/>
    <w:rsid w:val="008A29DF"/>
    <w:rsid w:val="008A2A9C"/>
    <w:rsid w:val="008A2ACA"/>
    <w:rsid w:val="008A2B25"/>
    <w:rsid w:val="008A2B37"/>
    <w:rsid w:val="008A2B7F"/>
    <w:rsid w:val="008A2B89"/>
    <w:rsid w:val="008A2B8F"/>
    <w:rsid w:val="008A2BA6"/>
    <w:rsid w:val="008A2BB4"/>
    <w:rsid w:val="008A2BC2"/>
    <w:rsid w:val="008A2BFF"/>
    <w:rsid w:val="008A2C26"/>
    <w:rsid w:val="008A2C82"/>
    <w:rsid w:val="008A2CC9"/>
    <w:rsid w:val="008A2CFA"/>
    <w:rsid w:val="008A2D0E"/>
    <w:rsid w:val="008A2D2C"/>
    <w:rsid w:val="008A2D4A"/>
    <w:rsid w:val="008A2DAC"/>
    <w:rsid w:val="008A2E00"/>
    <w:rsid w:val="008A2E19"/>
    <w:rsid w:val="008A2EDD"/>
    <w:rsid w:val="008A2F14"/>
    <w:rsid w:val="008A2F5E"/>
    <w:rsid w:val="008A2F74"/>
    <w:rsid w:val="008A2F87"/>
    <w:rsid w:val="008A2F9A"/>
    <w:rsid w:val="008A2FB3"/>
    <w:rsid w:val="008A2FD3"/>
    <w:rsid w:val="008A3016"/>
    <w:rsid w:val="008A302E"/>
    <w:rsid w:val="008A3033"/>
    <w:rsid w:val="008A3034"/>
    <w:rsid w:val="008A305A"/>
    <w:rsid w:val="008A307A"/>
    <w:rsid w:val="008A30A8"/>
    <w:rsid w:val="008A30E8"/>
    <w:rsid w:val="008A3100"/>
    <w:rsid w:val="008A31D0"/>
    <w:rsid w:val="008A31E7"/>
    <w:rsid w:val="008A321E"/>
    <w:rsid w:val="008A3271"/>
    <w:rsid w:val="008A32B7"/>
    <w:rsid w:val="008A32E7"/>
    <w:rsid w:val="008A32FB"/>
    <w:rsid w:val="008A3376"/>
    <w:rsid w:val="008A337E"/>
    <w:rsid w:val="008A3387"/>
    <w:rsid w:val="008A33D9"/>
    <w:rsid w:val="008A33EF"/>
    <w:rsid w:val="008A352D"/>
    <w:rsid w:val="008A3630"/>
    <w:rsid w:val="008A365C"/>
    <w:rsid w:val="008A365D"/>
    <w:rsid w:val="008A3678"/>
    <w:rsid w:val="008A3696"/>
    <w:rsid w:val="008A36FB"/>
    <w:rsid w:val="008A3717"/>
    <w:rsid w:val="008A3741"/>
    <w:rsid w:val="008A375A"/>
    <w:rsid w:val="008A37E9"/>
    <w:rsid w:val="008A380B"/>
    <w:rsid w:val="008A38E7"/>
    <w:rsid w:val="008A3909"/>
    <w:rsid w:val="008A390C"/>
    <w:rsid w:val="008A3947"/>
    <w:rsid w:val="008A395B"/>
    <w:rsid w:val="008A3986"/>
    <w:rsid w:val="008A39A7"/>
    <w:rsid w:val="008A3A1E"/>
    <w:rsid w:val="008A3A32"/>
    <w:rsid w:val="008A3A4E"/>
    <w:rsid w:val="008A3A59"/>
    <w:rsid w:val="008A3A60"/>
    <w:rsid w:val="008A3A93"/>
    <w:rsid w:val="008A3ADE"/>
    <w:rsid w:val="008A3B2A"/>
    <w:rsid w:val="008A3B34"/>
    <w:rsid w:val="008A3B75"/>
    <w:rsid w:val="008A3BC4"/>
    <w:rsid w:val="008A3C1E"/>
    <w:rsid w:val="008A3C4F"/>
    <w:rsid w:val="008A3C6C"/>
    <w:rsid w:val="008A3D1F"/>
    <w:rsid w:val="008A3D3B"/>
    <w:rsid w:val="008A3D52"/>
    <w:rsid w:val="008A3D67"/>
    <w:rsid w:val="008A3DCE"/>
    <w:rsid w:val="008A3E30"/>
    <w:rsid w:val="008A3E3C"/>
    <w:rsid w:val="008A3E7F"/>
    <w:rsid w:val="008A3EEF"/>
    <w:rsid w:val="008A3EFF"/>
    <w:rsid w:val="008A3F07"/>
    <w:rsid w:val="008A3F6A"/>
    <w:rsid w:val="008A404A"/>
    <w:rsid w:val="008A4074"/>
    <w:rsid w:val="008A40D7"/>
    <w:rsid w:val="008A40D8"/>
    <w:rsid w:val="008A410A"/>
    <w:rsid w:val="008A412F"/>
    <w:rsid w:val="008A4135"/>
    <w:rsid w:val="008A416B"/>
    <w:rsid w:val="008A4189"/>
    <w:rsid w:val="008A4190"/>
    <w:rsid w:val="008A41F9"/>
    <w:rsid w:val="008A4264"/>
    <w:rsid w:val="008A426C"/>
    <w:rsid w:val="008A42F0"/>
    <w:rsid w:val="008A431E"/>
    <w:rsid w:val="008A436E"/>
    <w:rsid w:val="008A43E1"/>
    <w:rsid w:val="008A43E8"/>
    <w:rsid w:val="008A43F0"/>
    <w:rsid w:val="008A43FA"/>
    <w:rsid w:val="008A43FF"/>
    <w:rsid w:val="008A4424"/>
    <w:rsid w:val="008A4449"/>
    <w:rsid w:val="008A4471"/>
    <w:rsid w:val="008A448C"/>
    <w:rsid w:val="008A44BF"/>
    <w:rsid w:val="008A44E2"/>
    <w:rsid w:val="008A4551"/>
    <w:rsid w:val="008A4570"/>
    <w:rsid w:val="008A457D"/>
    <w:rsid w:val="008A4674"/>
    <w:rsid w:val="008A46E3"/>
    <w:rsid w:val="008A46F7"/>
    <w:rsid w:val="008A478B"/>
    <w:rsid w:val="008A478C"/>
    <w:rsid w:val="008A47E4"/>
    <w:rsid w:val="008A4826"/>
    <w:rsid w:val="008A48AA"/>
    <w:rsid w:val="008A48D5"/>
    <w:rsid w:val="008A48D9"/>
    <w:rsid w:val="008A48ED"/>
    <w:rsid w:val="008A4931"/>
    <w:rsid w:val="008A493E"/>
    <w:rsid w:val="008A4958"/>
    <w:rsid w:val="008A4974"/>
    <w:rsid w:val="008A4992"/>
    <w:rsid w:val="008A4993"/>
    <w:rsid w:val="008A49CF"/>
    <w:rsid w:val="008A4A3F"/>
    <w:rsid w:val="008A4A93"/>
    <w:rsid w:val="008A4AAE"/>
    <w:rsid w:val="008A4AC5"/>
    <w:rsid w:val="008A4AFC"/>
    <w:rsid w:val="008A4B38"/>
    <w:rsid w:val="008A4B5E"/>
    <w:rsid w:val="008A4BD2"/>
    <w:rsid w:val="008A4BF4"/>
    <w:rsid w:val="008A4C20"/>
    <w:rsid w:val="008A4C99"/>
    <w:rsid w:val="008A4CA7"/>
    <w:rsid w:val="008A4CE8"/>
    <w:rsid w:val="008A4D1A"/>
    <w:rsid w:val="008A4D4C"/>
    <w:rsid w:val="008A4D55"/>
    <w:rsid w:val="008A4D84"/>
    <w:rsid w:val="008A4DB8"/>
    <w:rsid w:val="008A4DD2"/>
    <w:rsid w:val="008A4E6C"/>
    <w:rsid w:val="008A4EFA"/>
    <w:rsid w:val="008A4F2A"/>
    <w:rsid w:val="008A4F68"/>
    <w:rsid w:val="008A4F72"/>
    <w:rsid w:val="008A4F7B"/>
    <w:rsid w:val="008A505F"/>
    <w:rsid w:val="008A50E9"/>
    <w:rsid w:val="008A511C"/>
    <w:rsid w:val="008A513A"/>
    <w:rsid w:val="008A513C"/>
    <w:rsid w:val="008A5151"/>
    <w:rsid w:val="008A51CA"/>
    <w:rsid w:val="008A51E7"/>
    <w:rsid w:val="008A5262"/>
    <w:rsid w:val="008A5269"/>
    <w:rsid w:val="008A52B2"/>
    <w:rsid w:val="008A52DC"/>
    <w:rsid w:val="008A52EE"/>
    <w:rsid w:val="008A5333"/>
    <w:rsid w:val="008A5351"/>
    <w:rsid w:val="008A53CA"/>
    <w:rsid w:val="008A53CF"/>
    <w:rsid w:val="008A53E6"/>
    <w:rsid w:val="008A5407"/>
    <w:rsid w:val="008A542E"/>
    <w:rsid w:val="008A549C"/>
    <w:rsid w:val="008A5550"/>
    <w:rsid w:val="008A5557"/>
    <w:rsid w:val="008A5599"/>
    <w:rsid w:val="008A563F"/>
    <w:rsid w:val="008A5654"/>
    <w:rsid w:val="008A5719"/>
    <w:rsid w:val="008A572C"/>
    <w:rsid w:val="008A57B0"/>
    <w:rsid w:val="008A57DB"/>
    <w:rsid w:val="008A57E6"/>
    <w:rsid w:val="008A5841"/>
    <w:rsid w:val="008A584A"/>
    <w:rsid w:val="008A5853"/>
    <w:rsid w:val="008A58F0"/>
    <w:rsid w:val="008A591C"/>
    <w:rsid w:val="008A592A"/>
    <w:rsid w:val="008A5935"/>
    <w:rsid w:val="008A5948"/>
    <w:rsid w:val="008A598F"/>
    <w:rsid w:val="008A59EE"/>
    <w:rsid w:val="008A59F2"/>
    <w:rsid w:val="008A5A4F"/>
    <w:rsid w:val="008A5A52"/>
    <w:rsid w:val="008A5A60"/>
    <w:rsid w:val="008A5A6F"/>
    <w:rsid w:val="008A5AC2"/>
    <w:rsid w:val="008A5AD1"/>
    <w:rsid w:val="008A5AEA"/>
    <w:rsid w:val="008A5B07"/>
    <w:rsid w:val="008A5B48"/>
    <w:rsid w:val="008A5B6F"/>
    <w:rsid w:val="008A5B7A"/>
    <w:rsid w:val="008A5BB4"/>
    <w:rsid w:val="008A5BD4"/>
    <w:rsid w:val="008A5C0F"/>
    <w:rsid w:val="008A5C58"/>
    <w:rsid w:val="008A5C74"/>
    <w:rsid w:val="008A5C77"/>
    <w:rsid w:val="008A5CB9"/>
    <w:rsid w:val="008A5CF1"/>
    <w:rsid w:val="008A5D4E"/>
    <w:rsid w:val="008A5D60"/>
    <w:rsid w:val="008A5D6D"/>
    <w:rsid w:val="008A5D78"/>
    <w:rsid w:val="008A5D87"/>
    <w:rsid w:val="008A5DBB"/>
    <w:rsid w:val="008A5DDF"/>
    <w:rsid w:val="008A5E52"/>
    <w:rsid w:val="008A5E5D"/>
    <w:rsid w:val="008A5EC7"/>
    <w:rsid w:val="008A5ECF"/>
    <w:rsid w:val="008A5ED9"/>
    <w:rsid w:val="008A5EE6"/>
    <w:rsid w:val="008A5EEE"/>
    <w:rsid w:val="008A5F43"/>
    <w:rsid w:val="008A5F4F"/>
    <w:rsid w:val="008A5F52"/>
    <w:rsid w:val="008A5F9F"/>
    <w:rsid w:val="008A5FB6"/>
    <w:rsid w:val="008A5FFA"/>
    <w:rsid w:val="008A5FFB"/>
    <w:rsid w:val="008A6047"/>
    <w:rsid w:val="008A60EB"/>
    <w:rsid w:val="008A60F0"/>
    <w:rsid w:val="008A60FE"/>
    <w:rsid w:val="008A610B"/>
    <w:rsid w:val="008A610F"/>
    <w:rsid w:val="008A616A"/>
    <w:rsid w:val="008A61A2"/>
    <w:rsid w:val="008A61A7"/>
    <w:rsid w:val="008A61BF"/>
    <w:rsid w:val="008A61D1"/>
    <w:rsid w:val="008A622F"/>
    <w:rsid w:val="008A6236"/>
    <w:rsid w:val="008A62B0"/>
    <w:rsid w:val="008A62B5"/>
    <w:rsid w:val="008A62C0"/>
    <w:rsid w:val="008A62FB"/>
    <w:rsid w:val="008A6344"/>
    <w:rsid w:val="008A636C"/>
    <w:rsid w:val="008A6379"/>
    <w:rsid w:val="008A63B6"/>
    <w:rsid w:val="008A63ED"/>
    <w:rsid w:val="008A6410"/>
    <w:rsid w:val="008A6435"/>
    <w:rsid w:val="008A643C"/>
    <w:rsid w:val="008A6448"/>
    <w:rsid w:val="008A645C"/>
    <w:rsid w:val="008A6478"/>
    <w:rsid w:val="008A6517"/>
    <w:rsid w:val="008A6520"/>
    <w:rsid w:val="008A6523"/>
    <w:rsid w:val="008A6525"/>
    <w:rsid w:val="008A6533"/>
    <w:rsid w:val="008A654A"/>
    <w:rsid w:val="008A6588"/>
    <w:rsid w:val="008A658C"/>
    <w:rsid w:val="008A65B3"/>
    <w:rsid w:val="008A65CD"/>
    <w:rsid w:val="008A65CF"/>
    <w:rsid w:val="008A65DB"/>
    <w:rsid w:val="008A666B"/>
    <w:rsid w:val="008A6674"/>
    <w:rsid w:val="008A6692"/>
    <w:rsid w:val="008A66E6"/>
    <w:rsid w:val="008A66FC"/>
    <w:rsid w:val="008A6712"/>
    <w:rsid w:val="008A6728"/>
    <w:rsid w:val="008A6729"/>
    <w:rsid w:val="008A676F"/>
    <w:rsid w:val="008A67AE"/>
    <w:rsid w:val="008A67C1"/>
    <w:rsid w:val="008A6845"/>
    <w:rsid w:val="008A6881"/>
    <w:rsid w:val="008A68A2"/>
    <w:rsid w:val="008A6908"/>
    <w:rsid w:val="008A6954"/>
    <w:rsid w:val="008A6981"/>
    <w:rsid w:val="008A69A5"/>
    <w:rsid w:val="008A69B1"/>
    <w:rsid w:val="008A6A07"/>
    <w:rsid w:val="008A6A28"/>
    <w:rsid w:val="008A6A2A"/>
    <w:rsid w:val="008A6A4C"/>
    <w:rsid w:val="008A6AA6"/>
    <w:rsid w:val="008A6B13"/>
    <w:rsid w:val="008A6B26"/>
    <w:rsid w:val="008A6B82"/>
    <w:rsid w:val="008A6BFD"/>
    <w:rsid w:val="008A6CCF"/>
    <w:rsid w:val="008A6D13"/>
    <w:rsid w:val="008A6D4D"/>
    <w:rsid w:val="008A6D56"/>
    <w:rsid w:val="008A6D92"/>
    <w:rsid w:val="008A6D98"/>
    <w:rsid w:val="008A6E12"/>
    <w:rsid w:val="008A6E40"/>
    <w:rsid w:val="008A6F0B"/>
    <w:rsid w:val="008A6F18"/>
    <w:rsid w:val="008A6F79"/>
    <w:rsid w:val="008A6F7D"/>
    <w:rsid w:val="008A702A"/>
    <w:rsid w:val="008A7050"/>
    <w:rsid w:val="008A710A"/>
    <w:rsid w:val="008A715C"/>
    <w:rsid w:val="008A718C"/>
    <w:rsid w:val="008A71DB"/>
    <w:rsid w:val="008A721F"/>
    <w:rsid w:val="008A7240"/>
    <w:rsid w:val="008A72AD"/>
    <w:rsid w:val="008A72C8"/>
    <w:rsid w:val="008A73A5"/>
    <w:rsid w:val="008A73D0"/>
    <w:rsid w:val="008A73D5"/>
    <w:rsid w:val="008A741D"/>
    <w:rsid w:val="008A743D"/>
    <w:rsid w:val="008A74A6"/>
    <w:rsid w:val="008A74BE"/>
    <w:rsid w:val="008A74C7"/>
    <w:rsid w:val="008A74D0"/>
    <w:rsid w:val="008A753F"/>
    <w:rsid w:val="008A7569"/>
    <w:rsid w:val="008A7583"/>
    <w:rsid w:val="008A75BD"/>
    <w:rsid w:val="008A75BF"/>
    <w:rsid w:val="008A761B"/>
    <w:rsid w:val="008A763E"/>
    <w:rsid w:val="008A7653"/>
    <w:rsid w:val="008A76BF"/>
    <w:rsid w:val="008A772F"/>
    <w:rsid w:val="008A775F"/>
    <w:rsid w:val="008A77B6"/>
    <w:rsid w:val="008A7859"/>
    <w:rsid w:val="008A78EF"/>
    <w:rsid w:val="008A7912"/>
    <w:rsid w:val="008A797B"/>
    <w:rsid w:val="008A798E"/>
    <w:rsid w:val="008A7A0E"/>
    <w:rsid w:val="008A7A1A"/>
    <w:rsid w:val="008A7A7E"/>
    <w:rsid w:val="008A7AA2"/>
    <w:rsid w:val="008A7ABE"/>
    <w:rsid w:val="008A7ABF"/>
    <w:rsid w:val="008A7AF6"/>
    <w:rsid w:val="008A7B10"/>
    <w:rsid w:val="008A7B18"/>
    <w:rsid w:val="008A7B95"/>
    <w:rsid w:val="008A7BDF"/>
    <w:rsid w:val="008A7BF3"/>
    <w:rsid w:val="008A7BF5"/>
    <w:rsid w:val="008A7C0F"/>
    <w:rsid w:val="008A7C10"/>
    <w:rsid w:val="008A7C3F"/>
    <w:rsid w:val="008A7C51"/>
    <w:rsid w:val="008A7CDF"/>
    <w:rsid w:val="008A7D0C"/>
    <w:rsid w:val="008A7D40"/>
    <w:rsid w:val="008A7D89"/>
    <w:rsid w:val="008A7DA2"/>
    <w:rsid w:val="008A7DCA"/>
    <w:rsid w:val="008A7DE7"/>
    <w:rsid w:val="008A7DE8"/>
    <w:rsid w:val="008A7E06"/>
    <w:rsid w:val="008A7E49"/>
    <w:rsid w:val="008A7E4D"/>
    <w:rsid w:val="008A7E4E"/>
    <w:rsid w:val="008A7EC0"/>
    <w:rsid w:val="008A7F30"/>
    <w:rsid w:val="008A7F43"/>
    <w:rsid w:val="008A7FA9"/>
    <w:rsid w:val="008A7FC2"/>
    <w:rsid w:val="008A7FD9"/>
    <w:rsid w:val="008A7FE4"/>
    <w:rsid w:val="008B00C8"/>
    <w:rsid w:val="008B00F5"/>
    <w:rsid w:val="008B00FF"/>
    <w:rsid w:val="008B010C"/>
    <w:rsid w:val="008B0113"/>
    <w:rsid w:val="008B0131"/>
    <w:rsid w:val="008B017D"/>
    <w:rsid w:val="008B01DA"/>
    <w:rsid w:val="008B01E5"/>
    <w:rsid w:val="008B01EB"/>
    <w:rsid w:val="008B0209"/>
    <w:rsid w:val="008B0219"/>
    <w:rsid w:val="008B0220"/>
    <w:rsid w:val="008B024E"/>
    <w:rsid w:val="008B0349"/>
    <w:rsid w:val="008B0361"/>
    <w:rsid w:val="008B039E"/>
    <w:rsid w:val="008B045E"/>
    <w:rsid w:val="008B046E"/>
    <w:rsid w:val="008B0488"/>
    <w:rsid w:val="008B04B4"/>
    <w:rsid w:val="008B04D0"/>
    <w:rsid w:val="008B04D8"/>
    <w:rsid w:val="008B04DA"/>
    <w:rsid w:val="008B04FE"/>
    <w:rsid w:val="008B055E"/>
    <w:rsid w:val="008B05F8"/>
    <w:rsid w:val="008B0601"/>
    <w:rsid w:val="008B063C"/>
    <w:rsid w:val="008B063D"/>
    <w:rsid w:val="008B0672"/>
    <w:rsid w:val="008B06A8"/>
    <w:rsid w:val="008B06AB"/>
    <w:rsid w:val="008B06B6"/>
    <w:rsid w:val="008B06C5"/>
    <w:rsid w:val="008B0771"/>
    <w:rsid w:val="008B07CB"/>
    <w:rsid w:val="008B07DA"/>
    <w:rsid w:val="008B0811"/>
    <w:rsid w:val="008B081E"/>
    <w:rsid w:val="008B083A"/>
    <w:rsid w:val="008B083F"/>
    <w:rsid w:val="008B0851"/>
    <w:rsid w:val="008B0863"/>
    <w:rsid w:val="008B0899"/>
    <w:rsid w:val="008B08B8"/>
    <w:rsid w:val="008B0912"/>
    <w:rsid w:val="008B091E"/>
    <w:rsid w:val="008B093A"/>
    <w:rsid w:val="008B094C"/>
    <w:rsid w:val="008B09AC"/>
    <w:rsid w:val="008B0A32"/>
    <w:rsid w:val="008B0A5E"/>
    <w:rsid w:val="008B0A9A"/>
    <w:rsid w:val="008B0AC7"/>
    <w:rsid w:val="008B0AE6"/>
    <w:rsid w:val="008B0AF5"/>
    <w:rsid w:val="008B0AFB"/>
    <w:rsid w:val="008B0BD7"/>
    <w:rsid w:val="008B0C28"/>
    <w:rsid w:val="008B0C3A"/>
    <w:rsid w:val="008B0C83"/>
    <w:rsid w:val="008B0CB5"/>
    <w:rsid w:val="008B0CDB"/>
    <w:rsid w:val="008B0D97"/>
    <w:rsid w:val="008B0E2C"/>
    <w:rsid w:val="008B0E41"/>
    <w:rsid w:val="008B0E96"/>
    <w:rsid w:val="008B0EBE"/>
    <w:rsid w:val="008B0EF4"/>
    <w:rsid w:val="008B0F2D"/>
    <w:rsid w:val="008B0F48"/>
    <w:rsid w:val="008B0FBE"/>
    <w:rsid w:val="008B0FCB"/>
    <w:rsid w:val="008B0FF3"/>
    <w:rsid w:val="008B1001"/>
    <w:rsid w:val="008B1033"/>
    <w:rsid w:val="008B1079"/>
    <w:rsid w:val="008B1089"/>
    <w:rsid w:val="008B10A2"/>
    <w:rsid w:val="008B10A8"/>
    <w:rsid w:val="008B10F5"/>
    <w:rsid w:val="008B1106"/>
    <w:rsid w:val="008B1117"/>
    <w:rsid w:val="008B1152"/>
    <w:rsid w:val="008B115E"/>
    <w:rsid w:val="008B115F"/>
    <w:rsid w:val="008B116C"/>
    <w:rsid w:val="008B11C8"/>
    <w:rsid w:val="008B11E7"/>
    <w:rsid w:val="008B1225"/>
    <w:rsid w:val="008B1278"/>
    <w:rsid w:val="008B128D"/>
    <w:rsid w:val="008B12AD"/>
    <w:rsid w:val="008B12CF"/>
    <w:rsid w:val="008B1307"/>
    <w:rsid w:val="008B132E"/>
    <w:rsid w:val="008B1373"/>
    <w:rsid w:val="008B13AB"/>
    <w:rsid w:val="008B13AD"/>
    <w:rsid w:val="008B1510"/>
    <w:rsid w:val="008B1540"/>
    <w:rsid w:val="008B1544"/>
    <w:rsid w:val="008B158E"/>
    <w:rsid w:val="008B15AB"/>
    <w:rsid w:val="008B166C"/>
    <w:rsid w:val="008B1681"/>
    <w:rsid w:val="008B170E"/>
    <w:rsid w:val="008B1793"/>
    <w:rsid w:val="008B17C1"/>
    <w:rsid w:val="008B1800"/>
    <w:rsid w:val="008B1810"/>
    <w:rsid w:val="008B18CA"/>
    <w:rsid w:val="008B18D4"/>
    <w:rsid w:val="008B1962"/>
    <w:rsid w:val="008B1981"/>
    <w:rsid w:val="008B19DE"/>
    <w:rsid w:val="008B19EF"/>
    <w:rsid w:val="008B1A06"/>
    <w:rsid w:val="008B1A26"/>
    <w:rsid w:val="008B1A36"/>
    <w:rsid w:val="008B1A54"/>
    <w:rsid w:val="008B1AC3"/>
    <w:rsid w:val="008B1AD7"/>
    <w:rsid w:val="008B1AF0"/>
    <w:rsid w:val="008B1B0B"/>
    <w:rsid w:val="008B1B77"/>
    <w:rsid w:val="008B1B7D"/>
    <w:rsid w:val="008B1C2E"/>
    <w:rsid w:val="008B1D18"/>
    <w:rsid w:val="008B1D3A"/>
    <w:rsid w:val="008B1D52"/>
    <w:rsid w:val="008B1D5C"/>
    <w:rsid w:val="008B1D67"/>
    <w:rsid w:val="008B1DD5"/>
    <w:rsid w:val="008B1DE3"/>
    <w:rsid w:val="008B1E2C"/>
    <w:rsid w:val="008B1F07"/>
    <w:rsid w:val="008B1F2E"/>
    <w:rsid w:val="008B1F3D"/>
    <w:rsid w:val="008B1F3F"/>
    <w:rsid w:val="008B1F5A"/>
    <w:rsid w:val="008B1F99"/>
    <w:rsid w:val="008B1FDC"/>
    <w:rsid w:val="008B2006"/>
    <w:rsid w:val="008B201F"/>
    <w:rsid w:val="008B2037"/>
    <w:rsid w:val="008B20B6"/>
    <w:rsid w:val="008B210D"/>
    <w:rsid w:val="008B2113"/>
    <w:rsid w:val="008B211E"/>
    <w:rsid w:val="008B21A2"/>
    <w:rsid w:val="008B21CC"/>
    <w:rsid w:val="008B21EA"/>
    <w:rsid w:val="008B21F3"/>
    <w:rsid w:val="008B21F6"/>
    <w:rsid w:val="008B2218"/>
    <w:rsid w:val="008B22A1"/>
    <w:rsid w:val="008B22AB"/>
    <w:rsid w:val="008B22C5"/>
    <w:rsid w:val="008B2305"/>
    <w:rsid w:val="008B2311"/>
    <w:rsid w:val="008B237D"/>
    <w:rsid w:val="008B23A7"/>
    <w:rsid w:val="008B2428"/>
    <w:rsid w:val="008B2461"/>
    <w:rsid w:val="008B24EA"/>
    <w:rsid w:val="008B24EF"/>
    <w:rsid w:val="008B250A"/>
    <w:rsid w:val="008B250B"/>
    <w:rsid w:val="008B2545"/>
    <w:rsid w:val="008B259E"/>
    <w:rsid w:val="008B25A8"/>
    <w:rsid w:val="008B25D3"/>
    <w:rsid w:val="008B25F0"/>
    <w:rsid w:val="008B2617"/>
    <w:rsid w:val="008B2690"/>
    <w:rsid w:val="008B26B1"/>
    <w:rsid w:val="008B2766"/>
    <w:rsid w:val="008B276F"/>
    <w:rsid w:val="008B279F"/>
    <w:rsid w:val="008B27CD"/>
    <w:rsid w:val="008B27ED"/>
    <w:rsid w:val="008B281E"/>
    <w:rsid w:val="008B284B"/>
    <w:rsid w:val="008B286A"/>
    <w:rsid w:val="008B292E"/>
    <w:rsid w:val="008B293E"/>
    <w:rsid w:val="008B293F"/>
    <w:rsid w:val="008B2957"/>
    <w:rsid w:val="008B298B"/>
    <w:rsid w:val="008B2992"/>
    <w:rsid w:val="008B29E7"/>
    <w:rsid w:val="008B2A06"/>
    <w:rsid w:val="008B2A60"/>
    <w:rsid w:val="008B2AAE"/>
    <w:rsid w:val="008B2AF2"/>
    <w:rsid w:val="008B2AFC"/>
    <w:rsid w:val="008B2B40"/>
    <w:rsid w:val="008B2B51"/>
    <w:rsid w:val="008B2B67"/>
    <w:rsid w:val="008B2B6B"/>
    <w:rsid w:val="008B2BA0"/>
    <w:rsid w:val="008B2BB9"/>
    <w:rsid w:val="008B2BD5"/>
    <w:rsid w:val="008B2C1C"/>
    <w:rsid w:val="008B2C88"/>
    <w:rsid w:val="008B2C92"/>
    <w:rsid w:val="008B2CC6"/>
    <w:rsid w:val="008B2CE1"/>
    <w:rsid w:val="008B2CFA"/>
    <w:rsid w:val="008B2D0F"/>
    <w:rsid w:val="008B2D12"/>
    <w:rsid w:val="008B2D2B"/>
    <w:rsid w:val="008B2D4C"/>
    <w:rsid w:val="008B2DA2"/>
    <w:rsid w:val="008B2DE0"/>
    <w:rsid w:val="008B2DE8"/>
    <w:rsid w:val="008B2E27"/>
    <w:rsid w:val="008B2E61"/>
    <w:rsid w:val="008B2E75"/>
    <w:rsid w:val="008B2E77"/>
    <w:rsid w:val="008B2ED3"/>
    <w:rsid w:val="008B2EDA"/>
    <w:rsid w:val="008B2F33"/>
    <w:rsid w:val="008B2F36"/>
    <w:rsid w:val="008B2F74"/>
    <w:rsid w:val="008B2FDA"/>
    <w:rsid w:val="008B2FDF"/>
    <w:rsid w:val="008B3085"/>
    <w:rsid w:val="008B3116"/>
    <w:rsid w:val="008B3167"/>
    <w:rsid w:val="008B31A1"/>
    <w:rsid w:val="008B31A9"/>
    <w:rsid w:val="008B31B5"/>
    <w:rsid w:val="008B32DD"/>
    <w:rsid w:val="008B3373"/>
    <w:rsid w:val="008B3375"/>
    <w:rsid w:val="008B3385"/>
    <w:rsid w:val="008B33C7"/>
    <w:rsid w:val="008B33CB"/>
    <w:rsid w:val="008B33ED"/>
    <w:rsid w:val="008B340D"/>
    <w:rsid w:val="008B345D"/>
    <w:rsid w:val="008B3473"/>
    <w:rsid w:val="008B347E"/>
    <w:rsid w:val="008B34FF"/>
    <w:rsid w:val="008B3517"/>
    <w:rsid w:val="008B3541"/>
    <w:rsid w:val="008B3555"/>
    <w:rsid w:val="008B3576"/>
    <w:rsid w:val="008B3595"/>
    <w:rsid w:val="008B35C4"/>
    <w:rsid w:val="008B3611"/>
    <w:rsid w:val="008B3614"/>
    <w:rsid w:val="008B3628"/>
    <w:rsid w:val="008B364C"/>
    <w:rsid w:val="008B3658"/>
    <w:rsid w:val="008B365B"/>
    <w:rsid w:val="008B36AB"/>
    <w:rsid w:val="008B36B1"/>
    <w:rsid w:val="008B36E8"/>
    <w:rsid w:val="008B3713"/>
    <w:rsid w:val="008B3747"/>
    <w:rsid w:val="008B376F"/>
    <w:rsid w:val="008B3778"/>
    <w:rsid w:val="008B3784"/>
    <w:rsid w:val="008B3792"/>
    <w:rsid w:val="008B37AA"/>
    <w:rsid w:val="008B37B1"/>
    <w:rsid w:val="008B37CF"/>
    <w:rsid w:val="008B3811"/>
    <w:rsid w:val="008B3816"/>
    <w:rsid w:val="008B38AB"/>
    <w:rsid w:val="008B38DF"/>
    <w:rsid w:val="008B3969"/>
    <w:rsid w:val="008B397D"/>
    <w:rsid w:val="008B39A1"/>
    <w:rsid w:val="008B39E2"/>
    <w:rsid w:val="008B3A11"/>
    <w:rsid w:val="008B3A26"/>
    <w:rsid w:val="008B3ADB"/>
    <w:rsid w:val="008B3AE1"/>
    <w:rsid w:val="008B3B54"/>
    <w:rsid w:val="008B3BB1"/>
    <w:rsid w:val="008B3BEA"/>
    <w:rsid w:val="008B3C36"/>
    <w:rsid w:val="008B3C37"/>
    <w:rsid w:val="008B3C39"/>
    <w:rsid w:val="008B3C5B"/>
    <w:rsid w:val="008B3C63"/>
    <w:rsid w:val="008B3C8D"/>
    <w:rsid w:val="008B3CE7"/>
    <w:rsid w:val="008B3D25"/>
    <w:rsid w:val="008B3DA0"/>
    <w:rsid w:val="008B3DB4"/>
    <w:rsid w:val="008B3DB6"/>
    <w:rsid w:val="008B3DDA"/>
    <w:rsid w:val="008B3DF6"/>
    <w:rsid w:val="008B3E07"/>
    <w:rsid w:val="008B3E18"/>
    <w:rsid w:val="008B3E34"/>
    <w:rsid w:val="008B3E4A"/>
    <w:rsid w:val="008B3E4E"/>
    <w:rsid w:val="008B3E96"/>
    <w:rsid w:val="008B3F08"/>
    <w:rsid w:val="008B3F1B"/>
    <w:rsid w:val="008B3F50"/>
    <w:rsid w:val="008B3F7D"/>
    <w:rsid w:val="008B3F83"/>
    <w:rsid w:val="008B3F9C"/>
    <w:rsid w:val="008B3FE0"/>
    <w:rsid w:val="008B4003"/>
    <w:rsid w:val="008B4084"/>
    <w:rsid w:val="008B409F"/>
    <w:rsid w:val="008B40F7"/>
    <w:rsid w:val="008B410F"/>
    <w:rsid w:val="008B4126"/>
    <w:rsid w:val="008B41E5"/>
    <w:rsid w:val="008B41F1"/>
    <w:rsid w:val="008B421F"/>
    <w:rsid w:val="008B4238"/>
    <w:rsid w:val="008B425E"/>
    <w:rsid w:val="008B429E"/>
    <w:rsid w:val="008B42F0"/>
    <w:rsid w:val="008B4305"/>
    <w:rsid w:val="008B4307"/>
    <w:rsid w:val="008B4329"/>
    <w:rsid w:val="008B4368"/>
    <w:rsid w:val="008B43DC"/>
    <w:rsid w:val="008B43E0"/>
    <w:rsid w:val="008B43F8"/>
    <w:rsid w:val="008B442E"/>
    <w:rsid w:val="008B4441"/>
    <w:rsid w:val="008B446C"/>
    <w:rsid w:val="008B4470"/>
    <w:rsid w:val="008B4498"/>
    <w:rsid w:val="008B44C9"/>
    <w:rsid w:val="008B44FE"/>
    <w:rsid w:val="008B4569"/>
    <w:rsid w:val="008B45B0"/>
    <w:rsid w:val="008B45C6"/>
    <w:rsid w:val="008B45D1"/>
    <w:rsid w:val="008B45E3"/>
    <w:rsid w:val="008B45E9"/>
    <w:rsid w:val="008B4604"/>
    <w:rsid w:val="008B4617"/>
    <w:rsid w:val="008B4637"/>
    <w:rsid w:val="008B47A3"/>
    <w:rsid w:val="008B47B0"/>
    <w:rsid w:val="008B47C8"/>
    <w:rsid w:val="008B47E1"/>
    <w:rsid w:val="008B480E"/>
    <w:rsid w:val="008B48FD"/>
    <w:rsid w:val="008B4913"/>
    <w:rsid w:val="008B4918"/>
    <w:rsid w:val="008B49AE"/>
    <w:rsid w:val="008B4A06"/>
    <w:rsid w:val="008B4B22"/>
    <w:rsid w:val="008B4B43"/>
    <w:rsid w:val="008B4B85"/>
    <w:rsid w:val="008B4BA1"/>
    <w:rsid w:val="008B4BC2"/>
    <w:rsid w:val="008B4BC7"/>
    <w:rsid w:val="008B4C11"/>
    <w:rsid w:val="008B4C6B"/>
    <w:rsid w:val="008B4C7C"/>
    <w:rsid w:val="008B4CD2"/>
    <w:rsid w:val="008B4CD8"/>
    <w:rsid w:val="008B4CE2"/>
    <w:rsid w:val="008B4D1B"/>
    <w:rsid w:val="008B4D26"/>
    <w:rsid w:val="008B4D9E"/>
    <w:rsid w:val="008B4DB3"/>
    <w:rsid w:val="008B4E1B"/>
    <w:rsid w:val="008B4EE7"/>
    <w:rsid w:val="008B4EE9"/>
    <w:rsid w:val="008B4F05"/>
    <w:rsid w:val="008B4F38"/>
    <w:rsid w:val="008B4F7A"/>
    <w:rsid w:val="008B4FC7"/>
    <w:rsid w:val="008B4FD3"/>
    <w:rsid w:val="008B4FF3"/>
    <w:rsid w:val="008B501E"/>
    <w:rsid w:val="008B5073"/>
    <w:rsid w:val="008B5083"/>
    <w:rsid w:val="008B509B"/>
    <w:rsid w:val="008B50B0"/>
    <w:rsid w:val="008B50C7"/>
    <w:rsid w:val="008B50EE"/>
    <w:rsid w:val="008B5152"/>
    <w:rsid w:val="008B518B"/>
    <w:rsid w:val="008B51A2"/>
    <w:rsid w:val="008B51B2"/>
    <w:rsid w:val="008B51D0"/>
    <w:rsid w:val="008B5252"/>
    <w:rsid w:val="008B52D7"/>
    <w:rsid w:val="008B52EB"/>
    <w:rsid w:val="008B531E"/>
    <w:rsid w:val="008B5403"/>
    <w:rsid w:val="008B5404"/>
    <w:rsid w:val="008B5436"/>
    <w:rsid w:val="008B5492"/>
    <w:rsid w:val="008B5498"/>
    <w:rsid w:val="008B54AD"/>
    <w:rsid w:val="008B54B4"/>
    <w:rsid w:val="008B54DE"/>
    <w:rsid w:val="008B553B"/>
    <w:rsid w:val="008B554D"/>
    <w:rsid w:val="008B558D"/>
    <w:rsid w:val="008B5683"/>
    <w:rsid w:val="008B5688"/>
    <w:rsid w:val="008B568B"/>
    <w:rsid w:val="008B56D1"/>
    <w:rsid w:val="008B578F"/>
    <w:rsid w:val="008B57AA"/>
    <w:rsid w:val="008B57D1"/>
    <w:rsid w:val="008B5808"/>
    <w:rsid w:val="008B582E"/>
    <w:rsid w:val="008B5873"/>
    <w:rsid w:val="008B58A0"/>
    <w:rsid w:val="008B58EC"/>
    <w:rsid w:val="008B5931"/>
    <w:rsid w:val="008B5965"/>
    <w:rsid w:val="008B5986"/>
    <w:rsid w:val="008B5994"/>
    <w:rsid w:val="008B59EE"/>
    <w:rsid w:val="008B5A1B"/>
    <w:rsid w:val="008B5B05"/>
    <w:rsid w:val="008B5BBD"/>
    <w:rsid w:val="008B5BE8"/>
    <w:rsid w:val="008B5C29"/>
    <w:rsid w:val="008B5C34"/>
    <w:rsid w:val="008B5CA7"/>
    <w:rsid w:val="008B5CB6"/>
    <w:rsid w:val="008B5CD2"/>
    <w:rsid w:val="008B5CE8"/>
    <w:rsid w:val="008B5CF0"/>
    <w:rsid w:val="008B5D64"/>
    <w:rsid w:val="008B5D92"/>
    <w:rsid w:val="008B5D97"/>
    <w:rsid w:val="008B5DC0"/>
    <w:rsid w:val="008B5DC6"/>
    <w:rsid w:val="008B5E11"/>
    <w:rsid w:val="008B5E65"/>
    <w:rsid w:val="008B5E90"/>
    <w:rsid w:val="008B5F47"/>
    <w:rsid w:val="008B5F5F"/>
    <w:rsid w:val="008B5F81"/>
    <w:rsid w:val="008B5F9E"/>
    <w:rsid w:val="008B5FD5"/>
    <w:rsid w:val="008B5FDE"/>
    <w:rsid w:val="008B6001"/>
    <w:rsid w:val="008B6043"/>
    <w:rsid w:val="008B6048"/>
    <w:rsid w:val="008B60AB"/>
    <w:rsid w:val="008B60D8"/>
    <w:rsid w:val="008B611E"/>
    <w:rsid w:val="008B61C7"/>
    <w:rsid w:val="008B621D"/>
    <w:rsid w:val="008B6264"/>
    <w:rsid w:val="008B62D5"/>
    <w:rsid w:val="008B62DD"/>
    <w:rsid w:val="008B6301"/>
    <w:rsid w:val="008B6305"/>
    <w:rsid w:val="008B6324"/>
    <w:rsid w:val="008B632D"/>
    <w:rsid w:val="008B6336"/>
    <w:rsid w:val="008B635F"/>
    <w:rsid w:val="008B63F3"/>
    <w:rsid w:val="008B63F6"/>
    <w:rsid w:val="008B640B"/>
    <w:rsid w:val="008B640D"/>
    <w:rsid w:val="008B650D"/>
    <w:rsid w:val="008B65B0"/>
    <w:rsid w:val="008B65DD"/>
    <w:rsid w:val="008B6624"/>
    <w:rsid w:val="008B6630"/>
    <w:rsid w:val="008B663D"/>
    <w:rsid w:val="008B6656"/>
    <w:rsid w:val="008B666E"/>
    <w:rsid w:val="008B668C"/>
    <w:rsid w:val="008B6696"/>
    <w:rsid w:val="008B66E9"/>
    <w:rsid w:val="008B6711"/>
    <w:rsid w:val="008B6739"/>
    <w:rsid w:val="008B675A"/>
    <w:rsid w:val="008B6765"/>
    <w:rsid w:val="008B67A9"/>
    <w:rsid w:val="008B67AB"/>
    <w:rsid w:val="008B68E6"/>
    <w:rsid w:val="008B692E"/>
    <w:rsid w:val="008B6932"/>
    <w:rsid w:val="008B6945"/>
    <w:rsid w:val="008B69B7"/>
    <w:rsid w:val="008B6A4E"/>
    <w:rsid w:val="008B6A9D"/>
    <w:rsid w:val="008B6AB0"/>
    <w:rsid w:val="008B6ACF"/>
    <w:rsid w:val="008B6B02"/>
    <w:rsid w:val="008B6B2A"/>
    <w:rsid w:val="008B6B75"/>
    <w:rsid w:val="008B6B7C"/>
    <w:rsid w:val="008B6B81"/>
    <w:rsid w:val="008B6B85"/>
    <w:rsid w:val="008B6BA1"/>
    <w:rsid w:val="008B6BF3"/>
    <w:rsid w:val="008B6C41"/>
    <w:rsid w:val="008B6C68"/>
    <w:rsid w:val="008B6C80"/>
    <w:rsid w:val="008B6C95"/>
    <w:rsid w:val="008B6CC2"/>
    <w:rsid w:val="008B6CE9"/>
    <w:rsid w:val="008B6D73"/>
    <w:rsid w:val="008B6E40"/>
    <w:rsid w:val="008B6E54"/>
    <w:rsid w:val="008B6E5B"/>
    <w:rsid w:val="008B6E9C"/>
    <w:rsid w:val="008B6F88"/>
    <w:rsid w:val="008B6FBF"/>
    <w:rsid w:val="008B6FDC"/>
    <w:rsid w:val="008B7023"/>
    <w:rsid w:val="008B704E"/>
    <w:rsid w:val="008B7052"/>
    <w:rsid w:val="008B705E"/>
    <w:rsid w:val="008B706C"/>
    <w:rsid w:val="008B7091"/>
    <w:rsid w:val="008B70ED"/>
    <w:rsid w:val="008B7104"/>
    <w:rsid w:val="008B715D"/>
    <w:rsid w:val="008B715E"/>
    <w:rsid w:val="008B7180"/>
    <w:rsid w:val="008B71A6"/>
    <w:rsid w:val="008B721A"/>
    <w:rsid w:val="008B7233"/>
    <w:rsid w:val="008B725C"/>
    <w:rsid w:val="008B726E"/>
    <w:rsid w:val="008B7329"/>
    <w:rsid w:val="008B7333"/>
    <w:rsid w:val="008B73F3"/>
    <w:rsid w:val="008B7444"/>
    <w:rsid w:val="008B7457"/>
    <w:rsid w:val="008B746F"/>
    <w:rsid w:val="008B74C6"/>
    <w:rsid w:val="008B74E9"/>
    <w:rsid w:val="008B7563"/>
    <w:rsid w:val="008B75E5"/>
    <w:rsid w:val="008B760A"/>
    <w:rsid w:val="008B76E2"/>
    <w:rsid w:val="008B76E3"/>
    <w:rsid w:val="008B7700"/>
    <w:rsid w:val="008B771D"/>
    <w:rsid w:val="008B7749"/>
    <w:rsid w:val="008B7788"/>
    <w:rsid w:val="008B77AF"/>
    <w:rsid w:val="008B7809"/>
    <w:rsid w:val="008B7813"/>
    <w:rsid w:val="008B78BC"/>
    <w:rsid w:val="008B7945"/>
    <w:rsid w:val="008B79AD"/>
    <w:rsid w:val="008B7A40"/>
    <w:rsid w:val="008B7A98"/>
    <w:rsid w:val="008B7A9A"/>
    <w:rsid w:val="008B7AA7"/>
    <w:rsid w:val="008B7B4C"/>
    <w:rsid w:val="008B7B6E"/>
    <w:rsid w:val="008B7BA6"/>
    <w:rsid w:val="008B7BAB"/>
    <w:rsid w:val="008B7BFB"/>
    <w:rsid w:val="008B7C13"/>
    <w:rsid w:val="008B7C1A"/>
    <w:rsid w:val="008B7D1F"/>
    <w:rsid w:val="008B7D25"/>
    <w:rsid w:val="008B7D47"/>
    <w:rsid w:val="008B7D4C"/>
    <w:rsid w:val="008B7D4E"/>
    <w:rsid w:val="008B7D68"/>
    <w:rsid w:val="008B7D79"/>
    <w:rsid w:val="008B7DB8"/>
    <w:rsid w:val="008B7DBE"/>
    <w:rsid w:val="008B7DEE"/>
    <w:rsid w:val="008B7E00"/>
    <w:rsid w:val="008B7E1F"/>
    <w:rsid w:val="008B7E3A"/>
    <w:rsid w:val="008B7F8A"/>
    <w:rsid w:val="008B7FB7"/>
    <w:rsid w:val="008C0051"/>
    <w:rsid w:val="008C0058"/>
    <w:rsid w:val="008C0076"/>
    <w:rsid w:val="008C0085"/>
    <w:rsid w:val="008C0099"/>
    <w:rsid w:val="008C0157"/>
    <w:rsid w:val="008C0170"/>
    <w:rsid w:val="008C0182"/>
    <w:rsid w:val="008C01C8"/>
    <w:rsid w:val="008C01EC"/>
    <w:rsid w:val="008C0236"/>
    <w:rsid w:val="008C0250"/>
    <w:rsid w:val="008C0256"/>
    <w:rsid w:val="008C0265"/>
    <w:rsid w:val="008C02D0"/>
    <w:rsid w:val="008C02E2"/>
    <w:rsid w:val="008C0345"/>
    <w:rsid w:val="008C0354"/>
    <w:rsid w:val="008C0366"/>
    <w:rsid w:val="008C03A4"/>
    <w:rsid w:val="008C03B7"/>
    <w:rsid w:val="008C03D8"/>
    <w:rsid w:val="008C0486"/>
    <w:rsid w:val="008C04A8"/>
    <w:rsid w:val="008C052D"/>
    <w:rsid w:val="008C0537"/>
    <w:rsid w:val="008C0544"/>
    <w:rsid w:val="008C0573"/>
    <w:rsid w:val="008C05D0"/>
    <w:rsid w:val="008C0600"/>
    <w:rsid w:val="008C0616"/>
    <w:rsid w:val="008C0689"/>
    <w:rsid w:val="008C06C8"/>
    <w:rsid w:val="008C06E1"/>
    <w:rsid w:val="008C0716"/>
    <w:rsid w:val="008C0749"/>
    <w:rsid w:val="008C079F"/>
    <w:rsid w:val="008C07BF"/>
    <w:rsid w:val="008C0851"/>
    <w:rsid w:val="008C08FE"/>
    <w:rsid w:val="008C0944"/>
    <w:rsid w:val="008C095C"/>
    <w:rsid w:val="008C098E"/>
    <w:rsid w:val="008C09F0"/>
    <w:rsid w:val="008C0A0D"/>
    <w:rsid w:val="008C0A45"/>
    <w:rsid w:val="008C0A6A"/>
    <w:rsid w:val="008C0A7D"/>
    <w:rsid w:val="008C0A84"/>
    <w:rsid w:val="008C0A89"/>
    <w:rsid w:val="008C0B64"/>
    <w:rsid w:val="008C0B70"/>
    <w:rsid w:val="008C0BAE"/>
    <w:rsid w:val="008C0BE4"/>
    <w:rsid w:val="008C0C06"/>
    <w:rsid w:val="008C0C93"/>
    <w:rsid w:val="008C0C99"/>
    <w:rsid w:val="008C0CB4"/>
    <w:rsid w:val="008C0CD0"/>
    <w:rsid w:val="008C0CEE"/>
    <w:rsid w:val="008C0D40"/>
    <w:rsid w:val="008C0D63"/>
    <w:rsid w:val="008C0D8A"/>
    <w:rsid w:val="008C0D91"/>
    <w:rsid w:val="008C0D94"/>
    <w:rsid w:val="008C0DF4"/>
    <w:rsid w:val="008C0DFC"/>
    <w:rsid w:val="008C0E11"/>
    <w:rsid w:val="008C0E18"/>
    <w:rsid w:val="008C0ECD"/>
    <w:rsid w:val="008C0F0B"/>
    <w:rsid w:val="008C0F75"/>
    <w:rsid w:val="008C0F80"/>
    <w:rsid w:val="008C1048"/>
    <w:rsid w:val="008C104F"/>
    <w:rsid w:val="008C105E"/>
    <w:rsid w:val="008C10A1"/>
    <w:rsid w:val="008C10A7"/>
    <w:rsid w:val="008C10EF"/>
    <w:rsid w:val="008C1174"/>
    <w:rsid w:val="008C118C"/>
    <w:rsid w:val="008C11A9"/>
    <w:rsid w:val="008C1260"/>
    <w:rsid w:val="008C127B"/>
    <w:rsid w:val="008C1285"/>
    <w:rsid w:val="008C12A6"/>
    <w:rsid w:val="008C12AA"/>
    <w:rsid w:val="008C12D5"/>
    <w:rsid w:val="008C1321"/>
    <w:rsid w:val="008C137B"/>
    <w:rsid w:val="008C138C"/>
    <w:rsid w:val="008C1399"/>
    <w:rsid w:val="008C141C"/>
    <w:rsid w:val="008C1448"/>
    <w:rsid w:val="008C14A2"/>
    <w:rsid w:val="008C14C1"/>
    <w:rsid w:val="008C14E2"/>
    <w:rsid w:val="008C1505"/>
    <w:rsid w:val="008C151D"/>
    <w:rsid w:val="008C154B"/>
    <w:rsid w:val="008C15A4"/>
    <w:rsid w:val="008C15EF"/>
    <w:rsid w:val="008C1611"/>
    <w:rsid w:val="008C1643"/>
    <w:rsid w:val="008C1653"/>
    <w:rsid w:val="008C16AD"/>
    <w:rsid w:val="008C16D1"/>
    <w:rsid w:val="008C16F0"/>
    <w:rsid w:val="008C1740"/>
    <w:rsid w:val="008C17BF"/>
    <w:rsid w:val="008C1813"/>
    <w:rsid w:val="008C1823"/>
    <w:rsid w:val="008C1840"/>
    <w:rsid w:val="008C1847"/>
    <w:rsid w:val="008C184A"/>
    <w:rsid w:val="008C185A"/>
    <w:rsid w:val="008C1862"/>
    <w:rsid w:val="008C1895"/>
    <w:rsid w:val="008C1901"/>
    <w:rsid w:val="008C1902"/>
    <w:rsid w:val="008C1903"/>
    <w:rsid w:val="008C1992"/>
    <w:rsid w:val="008C1AA2"/>
    <w:rsid w:val="008C1B5E"/>
    <w:rsid w:val="008C1BA5"/>
    <w:rsid w:val="008C1BD3"/>
    <w:rsid w:val="008C1BDC"/>
    <w:rsid w:val="008C1C02"/>
    <w:rsid w:val="008C1C1C"/>
    <w:rsid w:val="008C1C22"/>
    <w:rsid w:val="008C1C37"/>
    <w:rsid w:val="008C1C76"/>
    <w:rsid w:val="008C1C78"/>
    <w:rsid w:val="008C1C8B"/>
    <w:rsid w:val="008C1D06"/>
    <w:rsid w:val="008C1D25"/>
    <w:rsid w:val="008C1D2C"/>
    <w:rsid w:val="008C1D32"/>
    <w:rsid w:val="008C1D42"/>
    <w:rsid w:val="008C1D6C"/>
    <w:rsid w:val="008C1D7A"/>
    <w:rsid w:val="008C1D80"/>
    <w:rsid w:val="008C1D98"/>
    <w:rsid w:val="008C1E47"/>
    <w:rsid w:val="008C1E4F"/>
    <w:rsid w:val="008C1F27"/>
    <w:rsid w:val="008C1F58"/>
    <w:rsid w:val="008C1FC3"/>
    <w:rsid w:val="008C1FF2"/>
    <w:rsid w:val="008C2039"/>
    <w:rsid w:val="008C2069"/>
    <w:rsid w:val="008C2079"/>
    <w:rsid w:val="008C208C"/>
    <w:rsid w:val="008C20D6"/>
    <w:rsid w:val="008C20D9"/>
    <w:rsid w:val="008C20F1"/>
    <w:rsid w:val="008C2115"/>
    <w:rsid w:val="008C2135"/>
    <w:rsid w:val="008C2136"/>
    <w:rsid w:val="008C2142"/>
    <w:rsid w:val="008C214A"/>
    <w:rsid w:val="008C2216"/>
    <w:rsid w:val="008C2291"/>
    <w:rsid w:val="008C22FF"/>
    <w:rsid w:val="008C231D"/>
    <w:rsid w:val="008C2342"/>
    <w:rsid w:val="008C2369"/>
    <w:rsid w:val="008C240C"/>
    <w:rsid w:val="008C240F"/>
    <w:rsid w:val="008C242F"/>
    <w:rsid w:val="008C2463"/>
    <w:rsid w:val="008C24A9"/>
    <w:rsid w:val="008C2555"/>
    <w:rsid w:val="008C2561"/>
    <w:rsid w:val="008C256B"/>
    <w:rsid w:val="008C258D"/>
    <w:rsid w:val="008C25AC"/>
    <w:rsid w:val="008C25BE"/>
    <w:rsid w:val="008C25C9"/>
    <w:rsid w:val="008C2643"/>
    <w:rsid w:val="008C265B"/>
    <w:rsid w:val="008C2667"/>
    <w:rsid w:val="008C26BB"/>
    <w:rsid w:val="008C26E9"/>
    <w:rsid w:val="008C26FA"/>
    <w:rsid w:val="008C277A"/>
    <w:rsid w:val="008C27A1"/>
    <w:rsid w:val="008C27E9"/>
    <w:rsid w:val="008C27ED"/>
    <w:rsid w:val="008C2822"/>
    <w:rsid w:val="008C2854"/>
    <w:rsid w:val="008C2864"/>
    <w:rsid w:val="008C28CF"/>
    <w:rsid w:val="008C2946"/>
    <w:rsid w:val="008C294E"/>
    <w:rsid w:val="008C2A98"/>
    <w:rsid w:val="008C2AB2"/>
    <w:rsid w:val="008C2AF0"/>
    <w:rsid w:val="008C2B0D"/>
    <w:rsid w:val="008C2B2F"/>
    <w:rsid w:val="008C2B39"/>
    <w:rsid w:val="008C2B53"/>
    <w:rsid w:val="008C2B59"/>
    <w:rsid w:val="008C2B77"/>
    <w:rsid w:val="008C2B78"/>
    <w:rsid w:val="008C2B92"/>
    <w:rsid w:val="008C2BFA"/>
    <w:rsid w:val="008C2C5C"/>
    <w:rsid w:val="008C2C89"/>
    <w:rsid w:val="008C2CBC"/>
    <w:rsid w:val="008C2CE8"/>
    <w:rsid w:val="008C2D1B"/>
    <w:rsid w:val="008C2D32"/>
    <w:rsid w:val="008C2D43"/>
    <w:rsid w:val="008C2DEA"/>
    <w:rsid w:val="008C2E37"/>
    <w:rsid w:val="008C2EB5"/>
    <w:rsid w:val="008C2ED3"/>
    <w:rsid w:val="008C2F15"/>
    <w:rsid w:val="008C2F19"/>
    <w:rsid w:val="008C2F34"/>
    <w:rsid w:val="008C2F3A"/>
    <w:rsid w:val="008C2F8D"/>
    <w:rsid w:val="008C2FD5"/>
    <w:rsid w:val="008C3068"/>
    <w:rsid w:val="008C30D5"/>
    <w:rsid w:val="008C310D"/>
    <w:rsid w:val="008C3110"/>
    <w:rsid w:val="008C3122"/>
    <w:rsid w:val="008C312C"/>
    <w:rsid w:val="008C314D"/>
    <w:rsid w:val="008C3156"/>
    <w:rsid w:val="008C3172"/>
    <w:rsid w:val="008C319A"/>
    <w:rsid w:val="008C3269"/>
    <w:rsid w:val="008C329E"/>
    <w:rsid w:val="008C332B"/>
    <w:rsid w:val="008C3356"/>
    <w:rsid w:val="008C33C2"/>
    <w:rsid w:val="008C33EA"/>
    <w:rsid w:val="008C3431"/>
    <w:rsid w:val="008C347C"/>
    <w:rsid w:val="008C3483"/>
    <w:rsid w:val="008C3506"/>
    <w:rsid w:val="008C352F"/>
    <w:rsid w:val="008C355A"/>
    <w:rsid w:val="008C355D"/>
    <w:rsid w:val="008C3574"/>
    <w:rsid w:val="008C35AC"/>
    <w:rsid w:val="008C35BC"/>
    <w:rsid w:val="008C3605"/>
    <w:rsid w:val="008C3657"/>
    <w:rsid w:val="008C367C"/>
    <w:rsid w:val="008C36E7"/>
    <w:rsid w:val="008C379F"/>
    <w:rsid w:val="008C37B5"/>
    <w:rsid w:val="008C380E"/>
    <w:rsid w:val="008C3810"/>
    <w:rsid w:val="008C3833"/>
    <w:rsid w:val="008C383F"/>
    <w:rsid w:val="008C3845"/>
    <w:rsid w:val="008C386B"/>
    <w:rsid w:val="008C38BB"/>
    <w:rsid w:val="008C38CC"/>
    <w:rsid w:val="008C38ED"/>
    <w:rsid w:val="008C3941"/>
    <w:rsid w:val="008C395A"/>
    <w:rsid w:val="008C39E3"/>
    <w:rsid w:val="008C3A0E"/>
    <w:rsid w:val="008C3A76"/>
    <w:rsid w:val="008C3A9E"/>
    <w:rsid w:val="008C3AA7"/>
    <w:rsid w:val="008C3B1D"/>
    <w:rsid w:val="008C3B51"/>
    <w:rsid w:val="008C3B57"/>
    <w:rsid w:val="008C3B98"/>
    <w:rsid w:val="008C3C0A"/>
    <w:rsid w:val="008C3C2E"/>
    <w:rsid w:val="008C3C95"/>
    <w:rsid w:val="008C3CBC"/>
    <w:rsid w:val="008C3D41"/>
    <w:rsid w:val="008C3D9F"/>
    <w:rsid w:val="008C3DEF"/>
    <w:rsid w:val="008C3E0B"/>
    <w:rsid w:val="008C3E2F"/>
    <w:rsid w:val="008C3E97"/>
    <w:rsid w:val="008C3F2E"/>
    <w:rsid w:val="008C3F67"/>
    <w:rsid w:val="008C3F8D"/>
    <w:rsid w:val="008C402E"/>
    <w:rsid w:val="008C40C9"/>
    <w:rsid w:val="008C40CD"/>
    <w:rsid w:val="008C4135"/>
    <w:rsid w:val="008C4174"/>
    <w:rsid w:val="008C41B5"/>
    <w:rsid w:val="008C41E7"/>
    <w:rsid w:val="008C41F6"/>
    <w:rsid w:val="008C41F9"/>
    <w:rsid w:val="008C4246"/>
    <w:rsid w:val="008C4247"/>
    <w:rsid w:val="008C4272"/>
    <w:rsid w:val="008C42B0"/>
    <w:rsid w:val="008C42DB"/>
    <w:rsid w:val="008C43CC"/>
    <w:rsid w:val="008C43D7"/>
    <w:rsid w:val="008C4439"/>
    <w:rsid w:val="008C44AC"/>
    <w:rsid w:val="008C44BA"/>
    <w:rsid w:val="008C44EA"/>
    <w:rsid w:val="008C4533"/>
    <w:rsid w:val="008C4566"/>
    <w:rsid w:val="008C4583"/>
    <w:rsid w:val="008C45AA"/>
    <w:rsid w:val="008C45B1"/>
    <w:rsid w:val="008C45FA"/>
    <w:rsid w:val="008C4625"/>
    <w:rsid w:val="008C4635"/>
    <w:rsid w:val="008C4637"/>
    <w:rsid w:val="008C464A"/>
    <w:rsid w:val="008C4667"/>
    <w:rsid w:val="008C4691"/>
    <w:rsid w:val="008C46AE"/>
    <w:rsid w:val="008C46B7"/>
    <w:rsid w:val="008C46B9"/>
    <w:rsid w:val="008C46D5"/>
    <w:rsid w:val="008C4741"/>
    <w:rsid w:val="008C474A"/>
    <w:rsid w:val="008C47DC"/>
    <w:rsid w:val="008C47DF"/>
    <w:rsid w:val="008C481B"/>
    <w:rsid w:val="008C4880"/>
    <w:rsid w:val="008C498E"/>
    <w:rsid w:val="008C49A0"/>
    <w:rsid w:val="008C49A2"/>
    <w:rsid w:val="008C4A2B"/>
    <w:rsid w:val="008C4AA2"/>
    <w:rsid w:val="008C4B54"/>
    <w:rsid w:val="008C4B82"/>
    <w:rsid w:val="008C4BB5"/>
    <w:rsid w:val="008C4BBC"/>
    <w:rsid w:val="008C4BCB"/>
    <w:rsid w:val="008C4BCD"/>
    <w:rsid w:val="008C4C24"/>
    <w:rsid w:val="008C4C7C"/>
    <w:rsid w:val="008C4C83"/>
    <w:rsid w:val="008C4CA3"/>
    <w:rsid w:val="008C4CAB"/>
    <w:rsid w:val="008C4CC3"/>
    <w:rsid w:val="008C4CD8"/>
    <w:rsid w:val="008C4CE7"/>
    <w:rsid w:val="008C4D28"/>
    <w:rsid w:val="008C4D74"/>
    <w:rsid w:val="008C4D77"/>
    <w:rsid w:val="008C4D94"/>
    <w:rsid w:val="008C4D99"/>
    <w:rsid w:val="008C4DA0"/>
    <w:rsid w:val="008C4E27"/>
    <w:rsid w:val="008C4ECD"/>
    <w:rsid w:val="008C4F45"/>
    <w:rsid w:val="008C4FAB"/>
    <w:rsid w:val="008C4FBB"/>
    <w:rsid w:val="008C5053"/>
    <w:rsid w:val="008C505A"/>
    <w:rsid w:val="008C5088"/>
    <w:rsid w:val="008C5096"/>
    <w:rsid w:val="008C50A6"/>
    <w:rsid w:val="008C50B7"/>
    <w:rsid w:val="008C50C1"/>
    <w:rsid w:val="008C514A"/>
    <w:rsid w:val="008C518C"/>
    <w:rsid w:val="008C519C"/>
    <w:rsid w:val="008C51A5"/>
    <w:rsid w:val="008C51F4"/>
    <w:rsid w:val="008C5201"/>
    <w:rsid w:val="008C5209"/>
    <w:rsid w:val="008C523F"/>
    <w:rsid w:val="008C5245"/>
    <w:rsid w:val="008C529E"/>
    <w:rsid w:val="008C52BA"/>
    <w:rsid w:val="008C52F4"/>
    <w:rsid w:val="008C532B"/>
    <w:rsid w:val="008C5388"/>
    <w:rsid w:val="008C53A2"/>
    <w:rsid w:val="008C53B7"/>
    <w:rsid w:val="008C53F4"/>
    <w:rsid w:val="008C5416"/>
    <w:rsid w:val="008C5440"/>
    <w:rsid w:val="008C54BF"/>
    <w:rsid w:val="008C54D4"/>
    <w:rsid w:val="008C550C"/>
    <w:rsid w:val="008C5518"/>
    <w:rsid w:val="008C5585"/>
    <w:rsid w:val="008C558E"/>
    <w:rsid w:val="008C55E3"/>
    <w:rsid w:val="008C55F5"/>
    <w:rsid w:val="008C5606"/>
    <w:rsid w:val="008C5617"/>
    <w:rsid w:val="008C5654"/>
    <w:rsid w:val="008C567E"/>
    <w:rsid w:val="008C56B0"/>
    <w:rsid w:val="008C56B1"/>
    <w:rsid w:val="008C56B7"/>
    <w:rsid w:val="008C56F5"/>
    <w:rsid w:val="008C56FC"/>
    <w:rsid w:val="008C575F"/>
    <w:rsid w:val="008C5783"/>
    <w:rsid w:val="008C57A3"/>
    <w:rsid w:val="008C57C4"/>
    <w:rsid w:val="008C5827"/>
    <w:rsid w:val="008C5865"/>
    <w:rsid w:val="008C58C8"/>
    <w:rsid w:val="008C5981"/>
    <w:rsid w:val="008C5984"/>
    <w:rsid w:val="008C59A0"/>
    <w:rsid w:val="008C59F9"/>
    <w:rsid w:val="008C5A16"/>
    <w:rsid w:val="008C5A59"/>
    <w:rsid w:val="008C5A7B"/>
    <w:rsid w:val="008C5A84"/>
    <w:rsid w:val="008C5B0C"/>
    <w:rsid w:val="008C5B1A"/>
    <w:rsid w:val="008C5B1D"/>
    <w:rsid w:val="008C5B20"/>
    <w:rsid w:val="008C5B52"/>
    <w:rsid w:val="008C5C84"/>
    <w:rsid w:val="008C5C8C"/>
    <w:rsid w:val="008C5CB8"/>
    <w:rsid w:val="008C5CC8"/>
    <w:rsid w:val="008C5CD5"/>
    <w:rsid w:val="008C5D09"/>
    <w:rsid w:val="008C5D3D"/>
    <w:rsid w:val="008C5D5A"/>
    <w:rsid w:val="008C5D6A"/>
    <w:rsid w:val="008C5D6B"/>
    <w:rsid w:val="008C5DC0"/>
    <w:rsid w:val="008C5DE2"/>
    <w:rsid w:val="008C5DEF"/>
    <w:rsid w:val="008C5E1A"/>
    <w:rsid w:val="008C5EBB"/>
    <w:rsid w:val="008C5EF8"/>
    <w:rsid w:val="008C5F13"/>
    <w:rsid w:val="008C5F4B"/>
    <w:rsid w:val="008C5F6C"/>
    <w:rsid w:val="008C5F70"/>
    <w:rsid w:val="008C5F7A"/>
    <w:rsid w:val="008C5FA1"/>
    <w:rsid w:val="008C5FA2"/>
    <w:rsid w:val="008C600C"/>
    <w:rsid w:val="008C604C"/>
    <w:rsid w:val="008C609A"/>
    <w:rsid w:val="008C60B5"/>
    <w:rsid w:val="008C6140"/>
    <w:rsid w:val="008C61AF"/>
    <w:rsid w:val="008C6350"/>
    <w:rsid w:val="008C63C5"/>
    <w:rsid w:val="008C63FE"/>
    <w:rsid w:val="008C63FF"/>
    <w:rsid w:val="008C643A"/>
    <w:rsid w:val="008C64C4"/>
    <w:rsid w:val="008C6510"/>
    <w:rsid w:val="008C6558"/>
    <w:rsid w:val="008C65CC"/>
    <w:rsid w:val="008C65CD"/>
    <w:rsid w:val="008C65D4"/>
    <w:rsid w:val="008C6613"/>
    <w:rsid w:val="008C667F"/>
    <w:rsid w:val="008C668E"/>
    <w:rsid w:val="008C66C4"/>
    <w:rsid w:val="008C66C8"/>
    <w:rsid w:val="008C66E3"/>
    <w:rsid w:val="008C66EE"/>
    <w:rsid w:val="008C6705"/>
    <w:rsid w:val="008C6744"/>
    <w:rsid w:val="008C6748"/>
    <w:rsid w:val="008C6767"/>
    <w:rsid w:val="008C6794"/>
    <w:rsid w:val="008C67F0"/>
    <w:rsid w:val="008C6858"/>
    <w:rsid w:val="008C68AB"/>
    <w:rsid w:val="008C68D6"/>
    <w:rsid w:val="008C68F9"/>
    <w:rsid w:val="008C6943"/>
    <w:rsid w:val="008C6989"/>
    <w:rsid w:val="008C698A"/>
    <w:rsid w:val="008C6A1F"/>
    <w:rsid w:val="008C6A22"/>
    <w:rsid w:val="008C6A32"/>
    <w:rsid w:val="008C6A3E"/>
    <w:rsid w:val="008C6ACC"/>
    <w:rsid w:val="008C6ADB"/>
    <w:rsid w:val="008C6AE3"/>
    <w:rsid w:val="008C6AFD"/>
    <w:rsid w:val="008C6B94"/>
    <w:rsid w:val="008C6BB3"/>
    <w:rsid w:val="008C6BCC"/>
    <w:rsid w:val="008C6BFE"/>
    <w:rsid w:val="008C6C97"/>
    <w:rsid w:val="008C6CEB"/>
    <w:rsid w:val="008C6CFC"/>
    <w:rsid w:val="008C6D70"/>
    <w:rsid w:val="008C6DEC"/>
    <w:rsid w:val="008C6E2F"/>
    <w:rsid w:val="008C6EB3"/>
    <w:rsid w:val="008C6EB4"/>
    <w:rsid w:val="008C6EF7"/>
    <w:rsid w:val="008C6F06"/>
    <w:rsid w:val="008C6F07"/>
    <w:rsid w:val="008C6F23"/>
    <w:rsid w:val="008C6F2F"/>
    <w:rsid w:val="008C6FF2"/>
    <w:rsid w:val="008C7047"/>
    <w:rsid w:val="008C7057"/>
    <w:rsid w:val="008C707F"/>
    <w:rsid w:val="008C70D0"/>
    <w:rsid w:val="008C7146"/>
    <w:rsid w:val="008C719C"/>
    <w:rsid w:val="008C71B9"/>
    <w:rsid w:val="008C7214"/>
    <w:rsid w:val="008C7235"/>
    <w:rsid w:val="008C723F"/>
    <w:rsid w:val="008C7277"/>
    <w:rsid w:val="008C7302"/>
    <w:rsid w:val="008C7333"/>
    <w:rsid w:val="008C7385"/>
    <w:rsid w:val="008C7390"/>
    <w:rsid w:val="008C73B3"/>
    <w:rsid w:val="008C7406"/>
    <w:rsid w:val="008C74CB"/>
    <w:rsid w:val="008C7536"/>
    <w:rsid w:val="008C759A"/>
    <w:rsid w:val="008C75D2"/>
    <w:rsid w:val="008C7619"/>
    <w:rsid w:val="008C7623"/>
    <w:rsid w:val="008C7650"/>
    <w:rsid w:val="008C7695"/>
    <w:rsid w:val="008C76E8"/>
    <w:rsid w:val="008C76EC"/>
    <w:rsid w:val="008C76F6"/>
    <w:rsid w:val="008C771E"/>
    <w:rsid w:val="008C7752"/>
    <w:rsid w:val="008C7755"/>
    <w:rsid w:val="008C7756"/>
    <w:rsid w:val="008C77AE"/>
    <w:rsid w:val="008C7810"/>
    <w:rsid w:val="008C787E"/>
    <w:rsid w:val="008C7919"/>
    <w:rsid w:val="008C791A"/>
    <w:rsid w:val="008C793F"/>
    <w:rsid w:val="008C796B"/>
    <w:rsid w:val="008C798A"/>
    <w:rsid w:val="008C798C"/>
    <w:rsid w:val="008C7A30"/>
    <w:rsid w:val="008C7A58"/>
    <w:rsid w:val="008C7A8B"/>
    <w:rsid w:val="008C7B07"/>
    <w:rsid w:val="008C7B28"/>
    <w:rsid w:val="008C7B34"/>
    <w:rsid w:val="008C7B38"/>
    <w:rsid w:val="008C7B76"/>
    <w:rsid w:val="008C7BB7"/>
    <w:rsid w:val="008C7BFA"/>
    <w:rsid w:val="008C7C61"/>
    <w:rsid w:val="008C7C65"/>
    <w:rsid w:val="008C7C9B"/>
    <w:rsid w:val="008C7CC9"/>
    <w:rsid w:val="008C7D35"/>
    <w:rsid w:val="008C7D6B"/>
    <w:rsid w:val="008C7D95"/>
    <w:rsid w:val="008C7D9C"/>
    <w:rsid w:val="008C7DBD"/>
    <w:rsid w:val="008C7DC7"/>
    <w:rsid w:val="008C7DE9"/>
    <w:rsid w:val="008C7E38"/>
    <w:rsid w:val="008C7E8C"/>
    <w:rsid w:val="008C7EFD"/>
    <w:rsid w:val="008C7F71"/>
    <w:rsid w:val="008C7F7A"/>
    <w:rsid w:val="008C7F9E"/>
    <w:rsid w:val="008C7FF6"/>
    <w:rsid w:val="008D001A"/>
    <w:rsid w:val="008D0037"/>
    <w:rsid w:val="008D003A"/>
    <w:rsid w:val="008D0051"/>
    <w:rsid w:val="008D0098"/>
    <w:rsid w:val="008D00A1"/>
    <w:rsid w:val="008D00E0"/>
    <w:rsid w:val="008D018A"/>
    <w:rsid w:val="008D01A2"/>
    <w:rsid w:val="008D01CE"/>
    <w:rsid w:val="008D01FA"/>
    <w:rsid w:val="008D0201"/>
    <w:rsid w:val="008D0205"/>
    <w:rsid w:val="008D0262"/>
    <w:rsid w:val="008D027C"/>
    <w:rsid w:val="008D02A0"/>
    <w:rsid w:val="008D02D4"/>
    <w:rsid w:val="008D036F"/>
    <w:rsid w:val="008D0383"/>
    <w:rsid w:val="008D039E"/>
    <w:rsid w:val="008D03A1"/>
    <w:rsid w:val="008D0428"/>
    <w:rsid w:val="008D0429"/>
    <w:rsid w:val="008D0468"/>
    <w:rsid w:val="008D04B2"/>
    <w:rsid w:val="008D04CE"/>
    <w:rsid w:val="008D04E2"/>
    <w:rsid w:val="008D0505"/>
    <w:rsid w:val="008D0557"/>
    <w:rsid w:val="008D0578"/>
    <w:rsid w:val="008D05B0"/>
    <w:rsid w:val="008D05B7"/>
    <w:rsid w:val="008D05BC"/>
    <w:rsid w:val="008D05D0"/>
    <w:rsid w:val="008D061C"/>
    <w:rsid w:val="008D0644"/>
    <w:rsid w:val="008D0687"/>
    <w:rsid w:val="008D068E"/>
    <w:rsid w:val="008D06DF"/>
    <w:rsid w:val="008D06E8"/>
    <w:rsid w:val="008D06FC"/>
    <w:rsid w:val="008D076F"/>
    <w:rsid w:val="008D07EF"/>
    <w:rsid w:val="008D0817"/>
    <w:rsid w:val="008D081B"/>
    <w:rsid w:val="008D08C5"/>
    <w:rsid w:val="008D08E5"/>
    <w:rsid w:val="008D090C"/>
    <w:rsid w:val="008D0978"/>
    <w:rsid w:val="008D09E0"/>
    <w:rsid w:val="008D09E6"/>
    <w:rsid w:val="008D0A04"/>
    <w:rsid w:val="008D0A2C"/>
    <w:rsid w:val="008D0A34"/>
    <w:rsid w:val="008D0AB0"/>
    <w:rsid w:val="008D0AF4"/>
    <w:rsid w:val="008D0B12"/>
    <w:rsid w:val="008D0B69"/>
    <w:rsid w:val="008D0BBC"/>
    <w:rsid w:val="008D0C14"/>
    <w:rsid w:val="008D0C91"/>
    <w:rsid w:val="008D0CD6"/>
    <w:rsid w:val="008D0CE4"/>
    <w:rsid w:val="008D0D3F"/>
    <w:rsid w:val="008D0DCC"/>
    <w:rsid w:val="008D0DFC"/>
    <w:rsid w:val="008D0E1E"/>
    <w:rsid w:val="008D0E4D"/>
    <w:rsid w:val="008D0E65"/>
    <w:rsid w:val="008D0EBF"/>
    <w:rsid w:val="008D0F19"/>
    <w:rsid w:val="008D0F1B"/>
    <w:rsid w:val="008D0F40"/>
    <w:rsid w:val="008D0F79"/>
    <w:rsid w:val="008D0F7B"/>
    <w:rsid w:val="008D0FD7"/>
    <w:rsid w:val="008D104F"/>
    <w:rsid w:val="008D106F"/>
    <w:rsid w:val="008D1084"/>
    <w:rsid w:val="008D10BD"/>
    <w:rsid w:val="008D10E2"/>
    <w:rsid w:val="008D10FE"/>
    <w:rsid w:val="008D111E"/>
    <w:rsid w:val="008D1134"/>
    <w:rsid w:val="008D1159"/>
    <w:rsid w:val="008D11B9"/>
    <w:rsid w:val="008D11E6"/>
    <w:rsid w:val="008D1229"/>
    <w:rsid w:val="008D128C"/>
    <w:rsid w:val="008D12E0"/>
    <w:rsid w:val="008D132A"/>
    <w:rsid w:val="008D1358"/>
    <w:rsid w:val="008D136E"/>
    <w:rsid w:val="008D139F"/>
    <w:rsid w:val="008D13A5"/>
    <w:rsid w:val="008D13E8"/>
    <w:rsid w:val="008D1498"/>
    <w:rsid w:val="008D151A"/>
    <w:rsid w:val="008D154D"/>
    <w:rsid w:val="008D1562"/>
    <w:rsid w:val="008D156A"/>
    <w:rsid w:val="008D15C4"/>
    <w:rsid w:val="008D15D6"/>
    <w:rsid w:val="008D162B"/>
    <w:rsid w:val="008D1630"/>
    <w:rsid w:val="008D1631"/>
    <w:rsid w:val="008D1643"/>
    <w:rsid w:val="008D1689"/>
    <w:rsid w:val="008D16B7"/>
    <w:rsid w:val="008D16D7"/>
    <w:rsid w:val="008D17B5"/>
    <w:rsid w:val="008D17BF"/>
    <w:rsid w:val="008D180A"/>
    <w:rsid w:val="008D1898"/>
    <w:rsid w:val="008D1899"/>
    <w:rsid w:val="008D18CB"/>
    <w:rsid w:val="008D18E5"/>
    <w:rsid w:val="008D193A"/>
    <w:rsid w:val="008D1941"/>
    <w:rsid w:val="008D19AE"/>
    <w:rsid w:val="008D19F8"/>
    <w:rsid w:val="008D1A50"/>
    <w:rsid w:val="008D1AFA"/>
    <w:rsid w:val="008D1B1A"/>
    <w:rsid w:val="008D1B3C"/>
    <w:rsid w:val="008D1B57"/>
    <w:rsid w:val="008D1B63"/>
    <w:rsid w:val="008D1B7A"/>
    <w:rsid w:val="008D1C35"/>
    <w:rsid w:val="008D1C50"/>
    <w:rsid w:val="008D1C9F"/>
    <w:rsid w:val="008D1CF4"/>
    <w:rsid w:val="008D1E04"/>
    <w:rsid w:val="008D1E42"/>
    <w:rsid w:val="008D1EC4"/>
    <w:rsid w:val="008D1F34"/>
    <w:rsid w:val="008D1F74"/>
    <w:rsid w:val="008D1FFD"/>
    <w:rsid w:val="008D2002"/>
    <w:rsid w:val="008D2036"/>
    <w:rsid w:val="008D204E"/>
    <w:rsid w:val="008D207F"/>
    <w:rsid w:val="008D208C"/>
    <w:rsid w:val="008D20B0"/>
    <w:rsid w:val="008D20B6"/>
    <w:rsid w:val="008D2129"/>
    <w:rsid w:val="008D2189"/>
    <w:rsid w:val="008D21B0"/>
    <w:rsid w:val="008D21E7"/>
    <w:rsid w:val="008D223E"/>
    <w:rsid w:val="008D22CD"/>
    <w:rsid w:val="008D22E4"/>
    <w:rsid w:val="008D22F5"/>
    <w:rsid w:val="008D2300"/>
    <w:rsid w:val="008D2303"/>
    <w:rsid w:val="008D2322"/>
    <w:rsid w:val="008D233D"/>
    <w:rsid w:val="008D236F"/>
    <w:rsid w:val="008D23CB"/>
    <w:rsid w:val="008D23FA"/>
    <w:rsid w:val="008D2414"/>
    <w:rsid w:val="008D2416"/>
    <w:rsid w:val="008D242C"/>
    <w:rsid w:val="008D2433"/>
    <w:rsid w:val="008D2439"/>
    <w:rsid w:val="008D24C6"/>
    <w:rsid w:val="008D24E4"/>
    <w:rsid w:val="008D2576"/>
    <w:rsid w:val="008D2591"/>
    <w:rsid w:val="008D261F"/>
    <w:rsid w:val="008D2671"/>
    <w:rsid w:val="008D2709"/>
    <w:rsid w:val="008D2761"/>
    <w:rsid w:val="008D277A"/>
    <w:rsid w:val="008D2795"/>
    <w:rsid w:val="008D27A3"/>
    <w:rsid w:val="008D27E0"/>
    <w:rsid w:val="008D282C"/>
    <w:rsid w:val="008D2843"/>
    <w:rsid w:val="008D28F1"/>
    <w:rsid w:val="008D2930"/>
    <w:rsid w:val="008D2962"/>
    <w:rsid w:val="008D2976"/>
    <w:rsid w:val="008D2979"/>
    <w:rsid w:val="008D298A"/>
    <w:rsid w:val="008D298B"/>
    <w:rsid w:val="008D29A1"/>
    <w:rsid w:val="008D29AE"/>
    <w:rsid w:val="008D2A08"/>
    <w:rsid w:val="008D2A30"/>
    <w:rsid w:val="008D2A74"/>
    <w:rsid w:val="008D2A99"/>
    <w:rsid w:val="008D2AC1"/>
    <w:rsid w:val="008D2BB6"/>
    <w:rsid w:val="008D2BCD"/>
    <w:rsid w:val="008D2C2C"/>
    <w:rsid w:val="008D2C60"/>
    <w:rsid w:val="008D2C9F"/>
    <w:rsid w:val="008D2CFE"/>
    <w:rsid w:val="008D2D2B"/>
    <w:rsid w:val="008D2D4B"/>
    <w:rsid w:val="008D2DA2"/>
    <w:rsid w:val="008D2DCC"/>
    <w:rsid w:val="008D2E2D"/>
    <w:rsid w:val="008D2E48"/>
    <w:rsid w:val="008D2EA6"/>
    <w:rsid w:val="008D2EF4"/>
    <w:rsid w:val="008D2F11"/>
    <w:rsid w:val="008D2F1A"/>
    <w:rsid w:val="008D2F27"/>
    <w:rsid w:val="008D2F4E"/>
    <w:rsid w:val="008D2F86"/>
    <w:rsid w:val="008D2FCE"/>
    <w:rsid w:val="008D2FD9"/>
    <w:rsid w:val="008D3012"/>
    <w:rsid w:val="008D3024"/>
    <w:rsid w:val="008D3048"/>
    <w:rsid w:val="008D306F"/>
    <w:rsid w:val="008D30B8"/>
    <w:rsid w:val="008D30E6"/>
    <w:rsid w:val="008D3271"/>
    <w:rsid w:val="008D327C"/>
    <w:rsid w:val="008D329E"/>
    <w:rsid w:val="008D333B"/>
    <w:rsid w:val="008D335D"/>
    <w:rsid w:val="008D339F"/>
    <w:rsid w:val="008D3401"/>
    <w:rsid w:val="008D3404"/>
    <w:rsid w:val="008D3421"/>
    <w:rsid w:val="008D3451"/>
    <w:rsid w:val="008D346E"/>
    <w:rsid w:val="008D347D"/>
    <w:rsid w:val="008D3482"/>
    <w:rsid w:val="008D34A0"/>
    <w:rsid w:val="008D34D7"/>
    <w:rsid w:val="008D34E9"/>
    <w:rsid w:val="008D351C"/>
    <w:rsid w:val="008D353D"/>
    <w:rsid w:val="008D35D5"/>
    <w:rsid w:val="008D3674"/>
    <w:rsid w:val="008D369C"/>
    <w:rsid w:val="008D36AE"/>
    <w:rsid w:val="008D36B1"/>
    <w:rsid w:val="008D36BB"/>
    <w:rsid w:val="008D36DF"/>
    <w:rsid w:val="008D3797"/>
    <w:rsid w:val="008D37E8"/>
    <w:rsid w:val="008D381C"/>
    <w:rsid w:val="008D3830"/>
    <w:rsid w:val="008D3858"/>
    <w:rsid w:val="008D3876"/>
    <w:rsid w:val="008D38B7"/>
    <w:rsid w:val="008D3918"/>
    <w:rsid w:val="008D3947"/>
    <w:rsid w:val="008D3968"/>
    <w:rsid w:val="008D396A"/>
    <w:rsid w:val="008D3971"/>
    <w:rsid w:val="008D3981"/>
    <w:rsid w:val="008D3989"/>
    <w:rsid w:val="008D399E"/>
    <w:rsid w:val="008D39E9"/>
    <w:rsid w:val="008D3A59"/>
    <w:rsid w:val="008D3A6F"/>
    <w:rsid w:val="008D3A7C"/>
    <w:rsid w:val="008D3A84"/>
    <w:rsid w:val="008D3A9F"/>
    <w:rsid w:val="008D3B55"/>
    <w:rsid w:val="008D3BA9"/>
    <w:rsid w:val="008D3BD4"/>
    <w:rsid w:val="008D3BDA"/>
    <w:rsid w:val="008D3C4B"/>
    <w:rsid w:val="008D3C5D"/>
    <w:rsid w:val="008D3D2A"/>
    <w:rsid w:val="008D3D7F"/>
    <w:rsid w:val="008D3DED"/>
    <w:rsid w:val="008D3E9B"/>
    <w:rsid w:val="008D3ECA"/>
    <w:rsid w:val="008D3EF1"/>
    <w:rsid w:val="008D3EF2"/>
    <w:rsid w:val="008D3F96"/>
    <w:rsid w:val="008D3FAB"/>
    <w:rsid w:val="008D3FBA"/>
    <w:rsid w:val="008D3FD4"/>
    <w:rsid w:val="008D3FE7"/>
    <w:rsid w:val="008D3FF1"/>
    <w:rsid w:val="008D4008"/>
    <w:rsid w:val="008D4028"/>
    <w:rsid w:val="008D4062"/>
    <w:rsid w:val="008D4073"/>
    <w:rsid w:val="008D4076"/>
    <w:rsid w:val="008D4084"/>
    <w:rsid w:val="008D40BE"/>
    <w:rsid w:val="008D40C1"/>
    <w:rsid w:val="008D4107"/>
    <w:rsid w:val="008D410F"/>
    <w:rsid w:val="008D416F"/>
    <w:rsid w:val="008D41BB"/>
    <w:rsid w:val="008D41D5"/>
    <w:rsid w:val="008D41E0"/>
    <w:rsid w:val="008D41FB"/>
    <w:rsid w:val="008D421D"/>
    <w:rsid w:val="008D4231"/>
    <w:rsid w:val="008D4234"/>
    <w:rsid w:val="008D4255"/>
    <w:rsid w:val="008D4292"/>
    <w:rsid w:val="008D42FC"/>
    <w:rsid w:val="008D4305"/>
    <w:rsid w:val="008D435B"/>
    <w:rsid w:val="008D435D"/>
    <w:rsid w:val="008D4370"/>
    <w:rsid w:val="008D439B"/>
    <w:rsid w:val="008D43DC"/>
    <w:rsid w:val="008D43FE"/>
    <w:rsid w:val="008D43FF"/>
    <w:rsid w:val="008D4462"/>
    <w:rsid w:val="008D4463"/>
    <w:rsid w:val="008D44AD"/>
    <w:rsid w:val="008D451F"/>
    <w:rsid w:val="008D453E"/>
    <w:rsid w:val="008D4554"/>
    <w:rsid w:val="008D4591"/>
    <w:rsid w:val="008D462B"/>
    <w:rsid w:val="008D4656"/>
    <w:rsid w:val="008D4699"/>
    <w:rsid w:val="008D46AF"/>
    <w:rsid w:val="008D46D8"/>
    <w:rsid w:val="008D4716"/>
    <w:rsid w:val="008D4758"/>
    <w:rsid w:val="008D479B"/>
    <w:rsid w:val="008D479E"/>
    <w:rsid w:val="008D47AE"/>
    <w:rsid w:val="008D47B9"/>
    <w:rsid w:val="008D47BE"/>
    <w:rsid w:val="008D47F2"/>
    <w:rsid w:val="008D4819"/>
    <w:rsid w:val="008D4861"/>
    <w:rsid w:val="008D488E"/>
    <w:rsid w:val="008D48A3"/>
    <w:rsid w:val="008D48BC"/>
    <w:rsid w:val="008D48C2"/>
    <w:rsid w:val="008D492B"/>
    <w:rsid w:val="008D492D"/>
    <w:rsid w:val="008D49AF"/>
    <w:rsid w:val="008D4A08"/>
    <w:rsid w:val="008D4A29"/>
    <w:rsid w:val="008D4A70"/>
    <w:rsid w:val="008D4AD1"/>
    <w:rsid w:val="008D4AF9"/>
    <w:rsid w:val="008D4B01"/>
    <w:rsid w:val="008D4BD3"/>
    <w:rsid w:val="008D4C2A"/>
    <w:rsid w:val="008D4C36"/>
    <w:rsid w:val="008D4C41"/>
    <w:rsid w:val="008D4C68"/>
    <w:rsid w:val="008D4CD8"/>
    <w:rsid w:val="008D4D17"/>
    <w:rsid w:val="008D4D68"/>
    <w:rsid w:val="008D4D6D"/>
    <w:rsid w:val="008D4D9E"/>
    <w:rsid w:val="008D4E00"/>
    <w:rsid w:val="008D4E0B"/>
    <w:rsid w:val="008D4E6F"/>
    <w:rsid w:val="008D4EB6"/>
    <w:rsid w:val="008D4FAA"/>
    <w:rsid w:val="008D4FD7"/>
    <w:rsid w:val="008D4FFD"/>
    <w:rsid w:val="008D500D"/>
    <w:rsid w:val="008D5049"/>
    <w:rsid w:val="008D5090"/>
    <w:rsid w:val="008D50DE"/>
    <w:rsid w:val="008D510B"/>
    <w:rsid w:val="008D513E"/>
    <w:rsid w:val="008D5185"/>
    <w:rsid w:val="008D51CC"/>
    <w:rsid w:val="008D51D1"/>
    <w:rsid w:val="008D5207"/>
    <w:rsid w:val="008D5233"/>
    <w:rsid w:val="008D5283"/>
    <w:rsid w:val="008D5286"/>
    <w:rsid w:val="008D528F"/>
    <w:rsid w:val="008D52A8"/>
    <w:rsid w:val="008D5330"/>
    <w:rsid w:val="008D5378"/>
    <w:rsid w:val="008D5382"/>
    <w:rsid w:val="008D539D"/>
    <w:rsid w:val="008D539F"/>
    <w:rsid w:val="008D53BC"/>
    <w:rsid w:val="008D53FC"/>
    <w:rsid w:val="008D5416"/>
    <w:rsid w:val="008D5455"/>
    <w:rsid w:val="008D54E2"/>
    <w:rsid w:val="008D551F"/>
    <w:rsid w:val="008D555A"/>
    <w:rsid w:val="008D558F"/>
    <w:rsid w:val="008D55AB"/>
    <w:rsid w:val="008D55D3"/>
    <w:rsid w:val="008D55E8"/>
    <w:rsid w:val="008D55FF"/>
    <w:rsid w:val="008D560C"/>
    <w:rsid w:val="008D5625"/>
    <w:rsid w:val="008D562A"/>
    <w:rsid w:val="008D5641"/>
    <w:rsid w:val="008D5643"/>
    <w:rsid w:val="008D564C"/>
    <w:rsid w:val="008D56BA"/>
    <w:rsid w:val="008D56D9"/>
    <w:rsid w:val="008D5712"/>
    <w:rsid w:val="008D5714"/>
    <w:rsid w:val="008D575E"/>
    <w:rsid w:val="008D5772"/>
    <w:rsid w:val="008D5791"/>
    <w:rsid w:val="008D583D"/>
    <w:rsid w:val="008D5870"/>
    <w:rsid w:val="008D587C"/>
    <w:rsid w:val="008D587F"/>
    <w:rsid w:val="008D58B3"/>
    <w:rsid w:val="008D5929"/>
    <w:rsid w:val="008D597B"/>
    <w:rsid w:val="008D59AC"/>
    <w:rsid w:val="008D59F3"/>
    <w:rsid w:val="008D5A4D"/>
    <w:rsid w:val="008D5A63"/>
    <w:rsid w:val="008D5AD1"/>
    <w:rsid w:val="008D5C3C"/>
    <w:rsid w:val="008D5C96"/>
    <w:rsid w:val="008D5CCD"/>
    <w:rsid w:val="008D5CD3"/>
    <w:rsid w:val="008D5D72"/>
    <w:rsid w:val="008D5DAC"/>
    <w:rsid w:val="008D5DEE"/>
    <w:rsid w:val="008D5DF3"/>
    <w:rsid w:val="008D5DFF"/>
    <w:rsid w:val="008D5E01"/>
    <w:rsid w:val="008D5E1E"/>
    <w:rsid w:val="008D5E2F"/>
    <w:rsid w:val="008D5E4E"/>
    <w:rsid w:val="008D5E52"/>
    <w:rsid w:val="008D5E7D"/>
    <w:rsid w:val="008D5E89"/>
    <w:rsid w:val="008D5E9F"/>
    <w:rsid w:val="008D5EB0"/>
    <w:rsid w:val="008D5EE4"/>
    <w:rsid w:val="008D5F5B"/>
    <w:rsid w:val="008D5F67"/>
    <w:rsid w:val="008D5F9D"/>
    <w:rsid w:val="008D5FD5"/>
    <w:rsid w:val="008D5FDD"/>
    <w:rsid w:val="008D5FE7"/>
    <w:rsid w:val="008D6001"/>
    <w:rsid w:val="008D600D"/>
    <w:rsid w:val="008D602F"/>
    <w:rsid w:val="008D6033"/>
    <w:rsid w:val="008D6068"/>
    <w:rsid w:val="008D60D9"/>
    <w:rsid w:val="008D60F4"/>
    <w:rsid w:val="008D610F"/>
    <w:rsid w:val="008D6158"/>
    <w:rsid w:val="008D615B"/>
    <w:rsid w:val="008D61AC"/>
    <w:rsid w:val="008D61D6"/>
    <w:rsid w:val="008D6220"/>
    <w:rsid w:val="008D6225"/>
    <w:rsid w:val="008D6242"/>
    <w:rsid w:val="008D62D2"/>
    <w:rsid w:val="008D6331"/>
    <w:rsid w:val="008D636F"/>
    <w:rsid w:val="008D63AF"/>
    <w:rsid w:val="008D63B5"/>
    <w:rsid w:val="008D63BD"/>
    <w:rsid w:val="008D63CB"/>
    <w:rsid w:val="008D63FE"/>
    <w:rsid w:val="008D6403"/>
    <w:rsid w:val="008D6438"/>
    <w:rsid w:val="008D643A"/>
    <w:rsid w:val="008D64A6"/>
    <w:rsid w:val="008D64B3"/>
    <w:rsid w:val="008D64E6"/>
    <w:rsid w:val="008D64E7"/>
    <w:rsid w:val="008D64EC"/>
    <w:rsid w:val="008D6502"/>
    <w:rsid w:val="008D6543"/>
    <w:rsid w:val="008D658C"/>
    <w:rsid w:val="008D6609"/>
    <w:rsid w:val="008D6618"/>
    <w:rsid w:val="008D662B"/>
    <w:rsid w:val="008D6659"/>
    <w:rsid w:val="008D666F"/>
    <w:rsid w:val="008D66BF"/>
    <w:rsid w:val="008D6776"/>
    <w:rsid w:val="008D6781"/>
    <w:rsid w:val="008D6788"/>
    <w:rsid w:val="008D67B8"/>
    <w:rsid w:val="008D67FE"/>
    <w:rsid w:val="008D6885"/>
    <w:rsid w:val="008D68A4"/>
    <w:rsid w:val="008D68BA"/>
    <w:rsid w:val="008D68E9"/>
    <w:rsid w:val="008D6975"/>
    <w:rsid w:val="008D6A06"/>
    <w:rsid w:val="008D6A11"/>
    <w:rsid w:val="008D6A88"/>
    <w:rsid w:val="008D6A8B"/>
    <w:rsid w:val="008D6A9B"/>
    <w:rsid w:val="008D6B05"/>
    <w:rsid w:val="008D6B23"/>
    <w:rsid w:val="008D6BD1"/>
    <w:rsid w:val="008D6BE0"/>
    <w:rsid w:val="008D6C21"/>
    <w:rsid w:val="008D6C88"/>
    <w:rsid w:val="008D6C8A"/>
    <w:rsid w:val="008D6D80"/>
    <w:rsid w:val="008D6DB9"/>
    <w:rsid w:val="008D6DD8"/>
    <w:rsid w:val="008D6DEA"/>
    <w:rsid w:val="008D6E0B"/>
    <w:rsid w:val="008D6E54"/>
    <w:rsid w:val="008D6E5D"/>
    <w:rsid w:val="008D6E95"/>
    <w:rsid w:val="008D6EB4"/>
    <w:rsid w:val="008D6F0B"/>
    <w:rsid w:val="008D6F0D"/>
    <w:rsid w:val="008D6F51"/>
    <w:rsid w:val="008D6F9B"/>
    <w:rsid w:val="008D6FBB"/>
    <w:rsid w:val="008D6FCB"/>
    <w:rsid w:val="008D6FE1"/>
    <w:rsid w:val="008D6FEB"/>
    <w:rsid w:val="008D704E"/>
    <w:rsid w:val="008D705C"/>
    <w:rsid w:val="008D707D"/>
    <w:rsid w:val="008D7084"/>
    <w:rsid w:val="008D70E1"/>
    <w:rsid w:val="008D715F"/>
    <w:rsid w:val="008D71AD"/>
    <w:rsid w:val="008D7232"/>
    <w:rsid w:val="008D7248"/>
    <w:rsid w:val="008D7251"/>
    <w:rsid w:val="008D7262"/>
    <w:rsid w:val="008D7273"/>
    <w:rsid w:val="008D7357"/>
    <w:rsid w:val="008D73AD"/>
    <w:rsid w:val="008D7479"/>
    <w:rsid w:val="008D7481"/>
    <w:rsid w:val="008D74A4"/>
    <w:rsid w:val="008D74CE"/>
    <w:rsid w:val="008D74DC"/>
    <w:rsid w:val="008D767E"/>
    <w:rsid w:val="008D7686"/>
    <w:rsid w:val="008D76E0"/>
    <w:rsid w:val="008D76EE"/>
    <w:rsid w:val="008D7725"/>
    <w:rsid w:val="008D77D6"/>
    <w:rsid w:val="008D77E1"/>
    <w:rsid w:val="008D781C"/>
    <w:rsid w:val="008D7855"/>
    <w:rsid w:val="008D7865"/>
    <w:rsid w:val="008D78C8"/>
    <w:rsid w:val="008D78DA"/>
    <w:rsid w:val="008D78DE"/>
    <w:rsid w:val="008D792A"/>
    <w:rsid w:val="008D7948"/>
    <w:rsid w:val="008D795B"/>
    <w:rsid w:val="008D7971"/>
    <w:rsid w:val="008D797F"/>
    <w:rsid w:val="008D79A1"/>
    <w:rsid w:val="008D79D7"/>
    <w:rsid w:val="008D79E8"/>
    <w:rsid w:val="008D79FE"/>
    <w:rsid w:val="008D7A4D"/>
    <w:rsid w:val="008D7A77"/>
    <w:rsid w:val="008D7A9D"/>
    <w:rsid w:val="008D7ADA"/>
    <w:rsid w:val="008D7AF6"/>
    <w:rsid w:val="008D7AFD"/>
    <w:rsid w:val="008D7B2E"/>
    <w:rsid w:val="008D7B38"/>
    <w:rsid w:val="008D7BA3"/>
    <w:rsid w:val="008D7BB5"/>
    <w:rsid w:val="008D7BD4"/>
    <w:rsid w:val="008D7BFA"/>
    <w:rsid w:val="008D7C13"/>
    <w:rsid w:val="008D7C9E"/>
    <w:rsid w:val="008D7CA3"/>
    <w:rsid w:val="008D7CFC"/>
    <w:rsid w:val="008D7D1F"/>
    <w:rsid w:val="008D7D2B"/>
    <w:rsid w:val="008D7D3D"/>
    <w:rsid w:val="008D7D44"/>
    <w:rsid w:val="008D7D4C"/>
    <w:rsid w:val="008D7DA9"/>
    <w:rsid w:val="008D7E2B"/>
    <w:rsid w:val="008D7EA5"/>
    <w:rsid w:val="008D7EE7"/>
    <w:rsid w:val="008D7EFE"/>
    <w:rsid w:val="008D7F5F"/>
    <w:rsid w:val="008D7FAB"/>
    <w:rsid w:val="008E0010"/>
    <w:rsid w:val="008E002D"/>
    <w:rsid w:val="008E0067"/>
    <w:rsid w:val="008E0072"/>
    <w:rsid w:val="008E00FA"/>
    <w:rsid w:val="008E0117"/>
    <w:rsid w:val="008E0137"/>
    <w:rsid w:val="008E0219"/>
    <w:rsid w:val="008E025D"/>
    <w:rsid w:val="008E0281"/>
    <w:rsid w:val="008E02A6"/>
    <w:rsid w:val="008E02ED"/>
    <w:rsid w:val="008E0305"/>
    <w:rsid w:val="008E0351"/>
    <w:rsid w:val="008E0385"/>
    <w:rsid w:val="008E038E"/>
    <w:rsid w:val="008E03AF"/>
    <w:rsid w:val="008E03B7"/>
    <w:rsid w:val="008E03CE"/>
    <w:rsid w:val="008E03DE"/>
    <w:rsid w:val="008E03FC"/>
    <w:rsid w:val="008E0428"/>
    <w:rsid w:val="008E0442"/>
    <w:rsid w:val="008E0451"/>
    <w:rsid w:val="008E0467"/>
    <w:rsid w:val="008E0484"/>
    <w:rsid w:val="008E0488"/>
    <w:rsid w:val="008E04B3"/>
    <w:rsid w:val="008E04B4"/>
    <w:rsid w:val="008E0533"/>
    <w:rsid w:val="008E0583"/>
    <w:rsid w:val="008E05CD"/>
    <w:rsid w:val="008E060F"/>
    <w:rsid w:val="008E0681"/>
    <w:rsid w:val="008E06D3"/>
    <w:rsid w:val="008E0736"/>
    <w:rsid w:val="008E0737"/>
    <w:rsid w:val="008E07FD"/>
    <w:rsid w:val="008E083C"/>
    <w:rsid w:val="008E08AE"/>
    <w:rsid w:val="008E08BE"/>
    <w:rsid w:val="008E0941"/>
    <w:rsid w:val="008E0949"/>
    <w:rsid w:val="008E099A"/>
    <w:rsid w:val="008E09CF"/>
    <w:rsid w:val="008E0A37"/>
    <w:rsid w:val="008E0A52"/>
    <w:rsid w:val="008E0A78"/>
    <w:rsid w:val="008E0BA1"/>
    <w:rsid w:val="008E0BF6"/>
    <w:rsid w:val="008E0C05"/>
    <w:rsid w:val="008E0C23"/>
    <w:rsid w:val="008E0C38"/>
    <w:rsid w:val="008E0CA3"/>
    <w:rsid w:val="008E0CA9"/>
    <w:rsid w:val="008E0CB2"/>
    <w:rsid w:val="008E0CD3"/>
    <w:rsid w:val="008E0D01"/>
    <w:rsid w:val="008E0D0B"/>
    <w:rsid w:val="008E0D1D"/>
    <w:rsid w:val="008E0D20"/>
    <w:rsid w:val="008E0D64"/>
    <w:rsid w:val="008E0DA2"/>
    <w:rsid w:val="008E0DC4"/>
    <w:rsid w:val="008E0E43"/>
    <w:rsid w:val="008E0E53"/>
    <w:rsid w:val="008E0E80"/>
    <w:rsid w:val="008E0EB2"/>
    <w:rsid w:val="008E0EE6"/>
    <w:rsid w:val="008E0EEA"/>
    <w:rsid w:val="008E0EF4"/>
    <w:rsid w:val="008E0F4A"/>
    <w:rsid w:val="008E0F86"/>
    <w:rsid w:val="008E0FA1"/>
    <w:rsid w:val="008E0FD8"/>
    <w:rsid w:val="008E0FDB"/>
    <w:rsid w:val="008E102E"/>
    <w:rsid w:val="008E106C"/>
    <w:rsid w:val="008E10A0"/>
    <w:rsid w:val="008E11B7"/>
    <w:rsid w:val="008E11C2"/>
    <w:rsid w:val="008E11FB"/>
    <w:rsid w:val="008E120C"/>
    <w:rsid w:val="008E120F"/>
    <w:rsid w:val="008E1215"/>
    <w:rsid w:val="008E1239"/>
    <w:rsid w:val="008E1245"/>
    <w:rsid w:val="008E1266"/>
    <w:rsid w:val="008E126B"/>
    <w:rsid w:val="008E127D"/>
    <w:rsid w:val="008E12A1"/>
    <w:rsid w:val="008E12BE"/>
    <w:rsid w:val="008E12D5"/>
    <w:rsid w:val="008E12F5"/>
    <w:rsid w:val="008E1303"/>
    <w:rsid w:val="008E1308"/>
    <w:rsid w:val="008E1316"/>
    <w:rsid w:val="008E1349"/>
    <w:rsid w:val="008E134C"/>
    <w:rsid w:val="008E1363"/>
    <w:rsid w:val="008E1381"/>
    <w:rsid w:val="008E1393"/>
    <w:rsid w:val="008E13F6"/>
    <w:rsid w:val="008E140D"/>
    <w:rsid w:val="008E1416"/>
    <w:rsid w:val="008E141D"/>
    <w:rsid w:val="008E1420"/>
    <w:rsid w:val="008E1500"/>
    <w:rsid w:val="008E150B"/>
    <w:rsid w:val="008E1537"/>
    <w:rsid w:val="008E155C"/>
    <w:rsid w:val="008E15CB"/>
    <w:rsid w:val="008E16D0"/>
    <w:rsid w:val="008E183C"/>
    <w:rsid w:val="008E1856"/>
    <w:rsid w:val="008E18A7"/>
    <w:rsid w:val="008E18B6"/>
    <w:rsid w:val="008E19C8"/>
    <w:rsid w:val="008E19CE"/>
    <w:rsid w:val="008E19DE"/>
    <w:rsid w:val="008E19FA"/>
    <w:rsid w:val="008E1A3B"/>
    <w:rsid w:val="008E1AD0"/>
    <w:rsid w:val="008E1B57"/>
    <w:rsid w:val="008E1BCF"/>
    <w:rsid w:val="008E1BDC"/>
    <w:rsid w:val="008E1BE3"/>
    <w:rsid w:val="008E1C7F"/>
    <w:rsid w:val="008E1CED"/>
    <w:rsid w:val="008E1D05"/>
    <w:rsid w:val="008E1D68"/>
    <w:rsid w:val="008E1D72"/>
    <w:rsid w:val="008E1D88"/>
    <w:rsid w:val="008E1DB8"/>
    <w:rsid w:val="008E1DCE"/>
    <w:rsid w:val="008E1E43"/>
    <w:rsid w:val="008E1E7A"/>
    <w:rsid w:val="008E1F13"/>
    <w:rsid w:val="008E1F39"/>
    <w:rsid w:val="008E1F43"/>
    <w:rsid w:val="008E1FA1"/>
    <w:rsid w:val="008E1FF4"/>
    <w:rsid w:val="008E2019"/>
    <w:rsid w:val="008E20E8"/>
    <w:rsid w:val="008E2107"/>
    <w:rsid w:val="008E213E"/>
    <w:rsid w:val="008E2182"/>
    <w:rsid w:val="008E2187"/>
    <w:rsid w:val="008E21F9"/>
    <w:rsid w:val="008E21FE"/>
    <w:rsid w:val="008E2298"/>
    <w:rsid w:val="008E22AE"/>
    <w:rsid w:val="008E22C3"/>
    <w:rsid w:val="008E237C"/>
    <w:rsid w:val="008E23DF"/>
    <w:rsid w:val="008E23E9"/>
    <w:rsid w:val="008E23EB"/>
    <w:rsid w:val="008E2401"/>
    <w:rsid w:val="008E242E"/>
    <w:rsid w:val="008E243A"/>
    <w:rsid w:val="008E2463"/>
    <w:rsid w:val="008E24D2"/>
    <w:rsid w:val="008E2504"/>
    <w:rsid w:val="008E256F"/>
    <w:rsid w:val="008E262E"/>
    <w:rsid w:val="008E2656"/>
    <w:rsid w:val="008E2678"/>
    <w:rsid w:val="008E2740"/>
    <w:rsid w:val="008E27D5"/>
    <w:rsid w:val="008E2813"/>
    <w:rsid w:val="008E2815"/>
    <w:rsid w:val="008E282F"/>
    <w:rsid w:val="008E28F8"/>
    <w:rsid w:val="008E298B"/>
    <w:rsid w:val="008E29B2"/>
    <w:rsid w:val="008E29D3"/>
    <w:rsid w:val="008E29F7"/>
    <w:rsid w:val="008E2AC4"/>
    <w:rsid w:val="008E2AC5"/>
    <w:rsid w:val="008E2AED"/>
    <w:rsid w:val="008E2AF8"/>
    <w:rsid w:val="008E2D4A"/>
    <w:rsid w:val="008E2D50"/>
    <w:rsid w:val="008E2DBD"/>
    <w:rsid w:val="008E2E09"/>
    <w:rsid w:val="008E2EA8"/>
    <w:rsid w:val="008E2F0A"/>
    <w:rsid w:val="008E2F4F"/>
    <w:rsid w:val="008E2F7A"/>
    <w:rsid w:val="008E2FA3"/>
    <w:rsid w:val="008E2FBC"/>
    <w:rsid w:val="008E2FC6"/>
    <w:rsid w:val="008E2FE5"/>
    <w:rsid w:val="008E301A"/>
    <w:rsid w:val="008E3033"/>
    <w:rsid w:val="008E3081"/>
    <w:rsid w:val="008E3096"/>
    <w:rsid w:val="008E30A4"/>
    <w:rsid w:val="008E311D"/>
    <w:rsid w:val="008E3132"/>
    <w:rsid w:val="008E3136"/>
    <w:rsid w:val="008E3186"/>
    <w:rsid w:val="008E319A"/>
    <w:rsid w:val="008E31B8"/>
    <w:rsid w:val="008E31B9"/>
    <w:rsid w:val="008E31EB"/>
    <w:rsid w:val="008E3224"/>
    <w:rsid w:val="008E3240"/>
    <w:rsid w:val="008E3243"/>
    <w:rsid w:val="008E324B"/>
    <w:rsid w:val="008E32B8"/>
    <w:rsid w:val="008E32BC"/>
    <w:rsid w:val="008E32D3"/>
    <w:rsid w:val="008E3348"/>
    <w:rsid w:val="008E3380"/>
    <w:rsid w:val="008E3396"/>
    <w:rsid w:val="008E339C"/>
    <w:rsid w:val="008E33BD"/>
    <w:rsid w:val="008E33F2"/>
    <w:rsid w:val="008E343D"/>
    <w:rsid w:val="008E343E"/>
    <w:rsid w:val="008E3468"/>
    <w:rsid w:val="008E3483"/>
    <w:rsid w:val="008E3496"/>
    <w:rsid w:val="008E34A8"/>
    <w:rsid w:val="008E34B9"/>
    <w:rsid w:val="008E34D4"/>
    <w:rsid w:val="008E34D9"/>
    <w:rsid w:val="008E3509"/>
    <w:rsid w:val="008E3540"/>
    <w:rsid w:val="008E354C"/>
    <w:rsid w:val="008E358A"/>
    <w:rsid w:val="008E35D8"/>
    <w:rsid w:val="008E35F3"/>
    <w:rsid w:val="008E3600"/>
    <w:rsid w:val="008E36CF"/>
    <w:rsid w:val="008E3704"/>
    <w:rsid w:val="008E370B"/>
    <w:rsid w:val="008E3723"/>
    <w:rsid w:val="008E373E"/>
    <w:rsid w:val="008E3741"/>
    <w:rsid w:val="008E37AF"/>
    <w:rsid w:val="008E37CF"/>
    <w:rsid w:val="008E37E8"/>
    <w:rsid w:val="008E3812"/>
    <w:rsid w:val="008E3818"/>
    <w:rsid w:val="008E38D9"/>
    <w:rsid w:val="008E391A"/>
    <w:rsid w:val="008E3927"/>
    <w:rsid w:val="008E392A"/>
    <w:rsid w:val="008E3931"/>
    <w:rsid w:val="008E393C"/>
    <w:rsid w:val="008E398C"/>
    <w:rsid w:val="008E3A0E"/>
    <w:rsid w:val="008E3A1F"/>
    <w:rsid w:val="008E3A33"/>
    <w:rsid w:val="008E3AA5"/>
    <w:rsid w:val="008E3AB1"/>
    <w:rsid w:val="008E3ABA"/>
    <w:rsid w:val="008E3ABD"/>
    <w:rsid w:val="008E3BB5"/>
    <w:rsid w:val="008E3BD3"/>
    <w:rsid w:val="008E3C08"/>
    <w:rsid w:val="008E3C11"/>
    <w:rsid w:val="008E3C83"/>
    <w:rsid w:val="008E3C85"/>
    <w:rsid w:val="008E3C9E"/>
    <w:rsid w:val="008E3CEB"/>
    <w:rsid w:val="008E3D04"/>
    <w:rsid w:val="008E3D4B"/>
    <w:rsid w:val="008E3D4C"/>
    <w:rsid w:val="008E3E0E"/>
    <w:rsid w:val="008E3E50"/>
    <w:rsid w:val="008E3E5D"/>
    <w:rsid w:val="008E3E72"/>
    <w:rsid w:val="008E3E73"/>
    <w:rsid w:val="008E3EB4"/>
    <w:rsid w:val="008E3EC2"/>
    <w:rsid w:val="008E3F3A"/>
    <w:rsid w:val="008E3FA2"/>
    <w:rsid w:val="008E3FE1"/>
    <w:rsid w:val="008E3FEE"/>
    <w:rsid w:val="008E3FF0"/>
    <w:rsid w:val="008E4009"/>
    <w:rsid w:val="008E402E"/>
    <w:rsid w:val="008E4034"/>
    <w:rsid w:val="008E40E9"/>
    <w:rsid w:val="008E40FB"/>
    <w:rsid w:val="008E410E"/>
    <w:rsid w:val="008E411C"/>
    <w:rsid w:val="008E4149"/>
    <w:rsid w:val="008E4184"/>
    <w:rsid w:val="008E419E"/>
    <w:rsid w:val="008E41D9"/>
    <w:rsid w:val="008E4209"/>
    <w:rsid w:val="008E421C"/>
    <w:rsid w:val="008E428E"/>
    <w:rsid w:val="008E430D"/>
    <w:rsid w:val="008E435B"/>
    <w:rsid w:val="008E438D"/>
    <w:rsid w:val="008E4418"/>
    <w:rsid w:val="008E4427"/>
    <w:rsid w:val="008E4470"/>
    <w:rsid w:val="008E449D"/>
    <w:rsid w:val="008E44B9"/>
    <w:rsid w:val="008E44D8"/>
    <w:rsid w:val="008E453E"/>
    <w:rsid w:val="008E4592"/>
    <w:rsid w:val="008E45B3"/>
    <w:rsid w:val="008E45BA"/>
    <w:rsid w:val="008E45C5"/>
    <w:rsid w:val="008E45F3"/>
    <w:rsid w:val="008E4638"/>
    <w:rsid w:val="008E4664"/>
    <w:rsid w:val="008E46B7"/>
    <w:rsid w:val="008E46F4"/>
    <w:rsid w:val="008E470D"/>
    <w:rsid w:val="008E4716"/>
    <w:rsid w:val="008E4743"/>
    <w:rsid w:val="008E4790"/>
    <w:rsid w:val="008E47EF"/>
    <w:rsid w:val="008E48DD"/>
    <w:rsid w:val="008E494D"/>
    <w:rsid w:val="008E49E1"/>
    <w:rsid w:val="008E4A72"/>
    <w:rsid w:val="008E4A8E"/>
    <w:rsid w:val="008E4AE7"/>
    <w:rsid w:val="008E4B22"/>
    <w:rsid w:val="008E4B51"/>
    <w:rsid w:val="008E4B52"/>
    <w:rsid w:val="008E4B5C"/>
    <w:rsid w:val="008E4B9D"/>
    <w:rsid w:val="008E4BC3"/>
    <w:rsid w:val="008E4C31"/>
    <w:rsid w:val="008E4C77"/>
    <w:rsid w:val="008E4C9E"/>
    <w:rsid w:val="008E4CCA"/>
    <w:rsid w:val="008E4CE9"/>
    <w:rsid w:val="008E4CFB"/>
    <w:rsid w:val="008E4D61"/>
    <w:rsid w:val="008E4D6D"/>
    <w:rsid w:val="008E4D83"/>
    <w:rsid w:val="008E4DA4"/>
    <w:rsid w:val="008E4DDC"/>
    <w:rsid w:val="008E4DED"/>
    <w:rsid w:val="008E4E87"/>
    <w:rsid w:val="008E4E99"/>
    <w:rsid w:val="008E4EFA"/>
    <w:rsid w:val="008E4F1B"/>
    <w:rsid w:val="008E4F41"/>
    <w:rsid w:val="008E4F67"/>
    <w:rsid w:val="008E4F71"/>
    <w:rsid w:val="008E4F80"/>
    <w:rsid w:val="008E4F89"/>
    <w:rsid w:val="008E4FB3"/>
    <w:rsid w:val="008E4FE8"/>
    <w:rsid w:val="008E500F"/>
    <w:rsid w:val="008E504B"/>
    <w:rsid w:val="008E505B"/>
    <w:rsid w:val="008E5086"/>
    <w:rsid w:val="008E50BE"/>
    <w:rsid w:val="008E50D1"/>
    <w:rsid w:val="008E50E0"/>
    <w:rsid w:val="008E5174"/>
    <w:rsid w:val="008E5187"/>
    <w:rsid w:val="008E5189"/>
    <w:rsid w:val="008E51BB"/>
    <w:rsid w:val="008E5229"/>
    <w:rsid w:val="008E529F"/>
    <w:rsid w:val="008E52DC"/>
    <w:rsid w:val="008E5322"/>
    <w:rsid w:val="008E5349"/>
    <w:rsid w:val="008E5382"/>
    <w:rsid w:val="008E53F2"/>
    <w:rsid w:val="008E5426"/>
    <w:rsid w:val="008E542C"/>
    <w:rsid w:val="008E54BD"/>
    <w:rsid w:val="008E55A9"/>
    <w:rsid w:val="008E55BD"/>
    <w:rsid w:val="008E55C9"/>
    <w:rsid w:val="008E56C1"/>
    <w:rsid w:val="008E56D5"/>
    <w:rsid w:val="008E56FB"/>
    <w:rsid w:val="008E5727"/>
    <w:rsid w:val="008E5756"/>
    <w:rsid w:val="008E5782"/>
    <w:rsid w:val="008E579A"/>
    <w:rsid w:val="008E57C0"/>
    <w:rsid w:val="008E57C6"/>
    <w:rsid w:val="008E57EF"/>
    <w:rsid w:val="008E5849"/>
    <w:rsid w:val="008E5857"/>
    <w:rsid w:val="008E58E2"/>
    <w:rsid w:val="008E591C"/>
    <w:rsid w:val="008E597C"/>
    <w:rsid w:val="008E59E2"/>
    <w:rsid w:val="008E59EC"/>
    <w:rsid w:val="008E59F4"/>
    <w:rsid w:val="008E5A0B"/>
    <w:rsid w:val="008E5A32"/>
    <w:rsid w:val="008E5A33"/>
    <w:rsid w:val="008E5A3B"/>
    <w:rsid w:val="008E5ABA"/>
    <w:rsid w:val="008E5B09"/>
    <w:rsid w:val="008E5B1E"/>
    <w:rsid w:val="008E5B62"/>
    <w:rsid w:val="008E5B99"/>
    <w:rsid w:val="008E5BF2"/>
    <w:rsid w:val="008E5C08"/>
    <w:rsid w:val="008E5CA3"/>
    <w:rsid w:val="008E5CB0"/>
    <w:rsid w:val="008E5CBB"/>
    <w:rsid w:val="008E5CDE"/>
    <w:rsid w:val="008E5D90"/>
    <w:rsid w:val="008E5DBB"/>
    <w:rsid w:val="008E5E68"/>
    <w:rsid w:val="008E5E7B"/>
    <w:rsid w:val="008E5E9C"/>
    <w:rsid w:val="008E5EB1"/>
    <w:rsid w:val="008E5EFB"/>
    <w:rsid w:val="008E5F18"/>
    <w:rsid w:val="008E5F2B"/>
    <w:rsid w:val="008E5F8B"/>
    <w:rsid w:val="008E5FA8"/>
    <w:rsid w:val="008E5FCF"/>
    <w:rsid w:val="008E5FD6"/>
    <w:rsid w:val="008E605E"/>
    <w:rsid w:val="008E6090"/>
    <w:rsid w:val="008E60BA"/>
    <w:rsid w:val="008E60C1"/>
    <w:rsid w:val="008E611E"/>
    <w:rsid w:val="008E6184"/>
    <w:rsid w:val="008E6240"/>
    <w:rsid w:val="008E626B"/>
    <w:rsid w:val="008E6286"/>
    <w:rsid w:val="008E6292"/>
    <w:rsid w:val="008E62BE"/>
    <w:rsid w:val="008E634B"/>
    <w:rsid w:val="008E635E"/>
    <w:rsid w:val="008E6362"/>
    <w:rsid w:val="008E639E"/>
    <w:rsid w:val="008E63C3"/>
    <w:rsid w:val="008E63C9"/>
    <w:rsid w:val="008E6412"/>
    <w:rsid w:val="008E6415"/>
    <w:rsid w:val="008E6420"/>
    <w:rsid w:val="008E6427"/>
    <w:rsid w:val="008E6436"/>
    <w:rsid w:val="008E645B"/>
    <w:rsid w:val="008E6479"/>
    <w:rsid w:val="008E64B3"/>
    <w:rsid w:val="008E64BD"/>
    <w:rsid w:val="008E64E4"/>
    <w:rsid w:val="008E64EF"/>
    <w:rsid w:val="008E64FB"/>
    <w:rsid w:val="008E6530"/>
    <w:rsid w:val="008E65A1"/>
    <w:rsid w:val="008E6619"/>
    <w:rsid w:val="008E66C7"/>
    <w:rsid w:val="008E66D7"/>
    <w:rsid w:val="008E6726"/>
    <w:rsid w:val="008E67C2"/>
    <w:rsid w:val="008E67C3"/>
    <w:rsid w:val="008E67F2"/>
    <w:rsid w:val="008E6801"/>
    <w:rsid w:val="008E681C"/>
    <w:rsid w:val="008E682B"/>
    <w:rsid w:val="008E684D"/>
    <w:rsid w:val="008E68D2"/>
    <w:rsid w:val="008E6917"/>
    <w:rsid w:val="008E6928"/>
    <w:rsid w:val="008E699F"/>
    <w:rsid w:val="008E69C1"/>
    <w:rsid w:val="008E6A97"/>
    <w:rsid w:val="008E6A98"/>
    <w:rsid w:val="008E6AA2"/>
    <w:rsid w:val="008E6B26"/>
    <w:rsid w:val="008E6B57"/>
    <w:rsid w:val="008E6B7B"/>
    <w:rsid w:val="008E6BA7"/>
    <w:rsid w:val="008E6BAC"/>
    <w:rsid w:val="008E6BBC"/>
    <w:rsid w:val="008E6BC6"/>
    <w:rsid w:val="008E6C07"/>
    <w:rsid w:val="008E6C13"/>
    <w:rsid w:val="008E6C73"/>
    <w:rsid w:val="008E6CCE"/>
    <w:rsid w:val="008E6CEE"/>
    <w:rsid w:val="008E6D3D"/>
    <w:rsid w:val="008E6D3E"/>
    <w:rsid w:val="008E6D48"/>
    <w:rsid w:val="008E6E0F"/>
    <w:rsid w:val="008E6E89"/>
    <w:rsid w:val="008E6F01"/>
    <w:rsid w:val="008E6F44"/>
    <w:rsid w:val="008E6FD7"/>
    <w:rsid w:val="008E6FE2"/>
    <w:rsid w:val="008E6FEB"/>
    <w:rsid w:val="008E7008"/>
    <w:rsid w:val="008E7048"/>
    <w:rsid w:val="008E708E"/>
    <w:rsid w:val="008E70C8"/>
    <w:rsid w:val="008E70F1"/>
    <w:rsid w:val="008E712B"/>
    <w:rsid w:val="008E7146"/>
    <w:rsid w:val="008E71B5"/>
    <w:rsid w:val="008E71E7"/>
    <w:rsid w:val="008E71ED"/>
    <w:rsid w:val="008E72BC"/>
    <w:rsid w:val="008E72F6"/>
    <w:rsid w:val="008E72FB"/>
    <w:rsid w:val="008E72FC"/>
    <w:rsid w:val="008E73A4"/>
    <w:rsid w:val="008E7407"/>
    <w:rsid w:val="008E7438"/>
    <w:rsid w:val="008E7446"/>
    <w:rsid w:val="008E745B"/>
    <w:rsid w:val="008E7498"/>
    <w:rsid w:val="008E74B3"/>
    <w:rsid w:val="008E74E3"/>
    <w:rsid w:val="008E74FF"/>
    <w:rsid w:val="008E7531"/>
    <w:rsid w:val="008E758C"/>
    <w:rsid w:val="008E75E3"/>
    <w:rsid w:val="008E7640"/>
    <w:rsid w:val="008E766B"/>
    <w:rsid w:val="008E767C"/>
    <w:rsid w:val="008E768B"/>
    <w:rsid w:val="008E76C1"/>
    <w:rsid w:val="008E76D6"/>
    <w:rsid w:val="008E7720"/>
    <w:rsid w:val="008E7728"/>
    <w:rsid w:val="008E77F3"/>
    <w:rsid w:val="008E7801"/>
    <w:rsid w:val="008E782C"/>
    <w:rsid w:val="008E78D1"/>
    <w:rsid w:val="008E78E9"/>
    <w:rsid w:val="008E79A7"/>
    <w:rsid w:val="008E7A17"/>
    <w:rsid w:val="008E7A19"/>
    <w:rsid w:val="008E7A27"/>
    <w:rsid w:val="008E7A37"/>
    <w:rsid w:val="008E7A55"/>
    <w:rsid w:val="008E7A6E"/>
    <w:rsid w:val="008E7A7B"/>
    <w:rsid w:val="008E7AC6"/>
    <w:rsid w:val="008E7AD4"/>
    <w:rsid w:val="008E7AD6"/>
    <w:rsid w:val="008E7B02"/>
    <w:rsid w:val="008E7B9C"/>
    <w:rsid w:val="008E7B9D"/>
    <w:rsid w:val="008E7BD2"/>
    <w:rsid w:val="008E7BD4"/>
    <w:rsid w:val="008E7C48"/>
    <w:rsid w:val="008E7CB2"/>
    <w:rsid w:val="008E7CD1"/>
    <w:rsid w:val="008E7CDF"/>
    <w:rsid w:val="008E7CFB"/>
    <w:rsid w:val="008E7D17"/>
    <w:rsid w:val="008E7D6E"/>
    <w:rsid w:val="008E7D81"/>
    <w:rsid w:val="008E7D83"/>
    <w:rsid w:val="008E7D8A"/>
    <w:rsid w:val="008E7D9D"/>
    <w:rsid w:val="008E7DE0"/>
    <w:rsid w:val="008E7DF1"/>
    <w:rsid w:val="008E7E04"/>
    <w:rsid w:val="008E7E05"/>
    <w:rsid w:val="008E7E1A"/>
    <w:rsid w:val="008E7E27"/>
    <w:rsid w:val="008E7E68"/>
    <w:rsid w:val="008E7E95"/>
    <w:rsid w:val="008E7F03"/>
    <w:rsid w:val="008E7F26"/>
    <w:rsid w:val="008E7F39"/>
    <w:rsid w:val="008E7F78"/>
    <w:rsid w:val="008E7F87"/>
    <w:rsid w:val="008E7FD3"/>
    <w:rsid w:val="008F0036"/>
    <w:rsid w:val="008F009A"/>
    <w:rsid w:val="008F009C"/>
    <w:rsid w:val="008F00A8"/>
    <w:rsid w:val="008F011D"/>
    <w:rsid w:val="008F0133"/>
    <w:rsid w:val="008F015E"/>
    <w:rsid w:val="008F0173"/>
    <w:rsid w:val="008F0194"/>
    <w:rsid w:val="008F0196"/>
    <w:rsid w:val="008F01BE"/>
    <w:rsid w:val="008F01DD"/>
    <w:rsid w:val="008F0275"/>
    <w:rsid w:val="008F0279"/>
    <w:rsid w:val="008F02CB"/>
    <w:rsid w:val="008F030D"/>
    <w:rsid w:val="008F0343"/>
    <w:rsid w:val="008F0363"/>
    <w:rsid w:val="008F03F6"/>
    <w:rsid w:val="008F03F9"/>
    <w:rsid w:val="008F0461"/>
    <w:rsid w:val="008F0518"/>
    <w:rsid w:val="008F0548"/>
    <w:rsid w:val="008F0578"/>
    <w:rsid w:val="008F05A1"/>
    <w:rsid w:val="008F05A3"/>
    <w:rsid w:val="008F05B2"/>
    <w:rsid w:val="008F061A"/>
    <w:rsid w:val="008F061F"/>
    <w:rsid w:val="008F0623"/>
    <w:rsid w:val="008F0741"/>
    <w:rsid w:val="008F0822"/>
    <w:rsid w:val="008F0846"/>
    <w:rsid w:val="008F0866"/>
    <w:rsid w:val="008F087B"/>
    <w:rsid w:val="008F08B9"/>
    <w:rsid w:val="008F08F6"/>
    <w:rsid w:val="008F08FC"/>
    <w:rsid w:val="008F0913"/>
    <w:rsid w:val="008F0961"/>
    <w:rsid w:val="008F0968"/>
    <w:rsid w:val="008F096F"/>
    <w:rsid w:val="008F09CF"/>
    <w:rsid w:val="008F09E1"/>
    <w:rsid w:val="008F0A22"/>
    <w:rsid w:val="008F0A79"/>
    <w:rsid w:val="008F0AA9"/>
    <w:rsid w:val="008F0AEC"/>
    <w:rsid w:val="008F0BED"/>
    <w:rsid w:val="008F0C09"/>
    <w:rsid w:val="008F0C30"/>
    <w:rsid w:val="008F0C4E"/>
    <w:rsid w:val="008F0C7C"/>
    <w:rsid w:val="008F0CA2"/>
    <w:rsid w:val="008F0CB7"/>
    <w:rsid w:val="008F0CCC"/>
    <w:rsid w:val="008F0CF0"/>
    <w:rsid w:val="008F0DC5"/>
    <w:rsid w:val="008F0DC8"/>
    <w:rsid w:val="008F0E11"/>
    <w:rsid w:val="008F0E27"/>
    <w:rsid w:val="008F0E73"/>
    <w:rsid w:val="008F0EA3"/>
    <w:rsid w:val="008F0EED"/>
    <w:rsid w:val="008F0EF3"/>
    <w:rsid w:val="008F0F17"/>
    <w:rsid w:val="008F0FE9"/>
    <w:rsid w:val="008F1002"/>
    <w:rsid w:val="008F1018"/>
    <w:rsid w:val="008F1040"/>
    <w:rsid w:val="008F10C6"/>
    <w:rsid w:val="008F10DD"/>
    <w:rsid w:val="008F10E9"/>
    <w:rsid w:val="008F1158"/>
    <w:rsid w:val="008F115E"/>
    <w:rsid w:val="008F117E"/>
    <w:rsid w:val="008F11D7"/>
    <w:rsid w:val="008F1257"/>
    <w:rsid w:val="008F1279"/>
    <w:rsid w:val="008F12B3"/>
    <w:rsid w:val="008F12BB"/>
    <w:rsid w:val="008F1312"/>
    <w:rsid w:val="008F139D"/>
    <w:rsid w:val="008F13B6"/>
    <w:rsid w:val="008F1445"/>
    <w:rsid w:val="008F144E"/>
    <w:rsid w:val="008F152C"/>
    <w:rsid w:val="008F1574"/>
    <w:rsid w:val="008F1575"/>
    <w:rsid w:val="008F1631"/>
    <w:rsid w:val="008F1633"/>
    <w:rsid w:val="008F166B"/>
    <w:rsid w:val="008F1672"/>
    <w:rsid w:val="008F1676"/>
    <w:rsid w:val="008F1688"/>
    <w:rsid w:val="008F16B7"/>
    <w:rsid w:val="008F16EE"/>
    <w:rsid w:val="008F17A6"/>
    <w:rsid w:val="008F1804"/>
    <w:rsid w:val="008F1805"/>
    <w:rsid w:val="008F185F"/>
    <w:rsid w:val="008F18BD"/>
    <w:rsid w:val="008F18C9"/>
    <w:rsid w:val="008F18E4"/>
    <w:rsid w:val="008F1910"/>
    <w:rsid w:val="008F1915"/>
    <w:rsid w:val="008F195E"/>
    <w:rsid w:val="008F196D"/>
    <w:rsid w:val="008F1980"/>
    <w:rsid w:val="008F19A7"/>
    <w:rsid w:val="008F19B7"/>
    <w:rsid w:val="008F19D6"/>
    <w:rsid w:val="008F1A18"/>
    <w:rsid w:val="008F1A21"/>
    <w:rsid w:val="008F1A5B"/>
    <w:rsid w:val="008F1A84"/>
    <w:rsid w:val="008F1AF2"/>
    <w:rsid w:val="008F1B5B"/>
    <w:rsid w:val="008F1B81"/>
    <w:rsid w:val="008F1BB9"/>
    <w:rsid w:val="008F1BDA"/>
    <w:rsid w:val="008F1BF4"/>
    <w:rsid w:val="008F1C11"/>
    <w:rsid w:val="008F1C2F"/>
    <w:rsid w:val="008F1C52"/>
    <w:rsid w:val="008F1CA2"/>
    <w:rsid w:val="008F1CA4"/>
    <w:rsid w:val="008F1D01"/>
    <w:rsid w:val="008F1DAB"/>
    <w:rsid w:val="008F1DBD"/>
    <w:rsid w:val="008F1E05"/>
    <w:rsid w:val="008F1E26"/>
    <w:rsid w:val="008F1EBA"/>
    <w:rsid w:val="008F1FEC"/>
    <w:rsid w:val="008F207A"/>
    <w:rsid w:val="008F207D"/>
    <w:rsid w:val="008F207E"/>
    <w:rsid w:val="008F20E9"/>
    <w:rsid w:val="008F20EC"/>
    <w:rsid w:val="008F2179"/>
    <w:rsid w:val="008F2186"/>
    <w:rsid w:val="008F21BD"/>
    <w:rsid w:val="008F220E"/>
    <w:rsid w:val="008F2228"/>
    <w:rsid w:val="008F2265"/>
    <w:rsid w:val="008F226D"/>
    <w:rsid w:val="008F22BF"/>
    <w:rsid w:val="008F22EC"/>
    <w:rsid w:val="008F233A"/>
    <w:rsid w:val="008F23D2"/>
    <w:rsid w:val="008F23EB"/>
    <w:rsid w:val="008F2416"/>
    <w:rsid w:val="008F2492"/>
    <w:rsid w:val="008F24D4"/>
    <w:rsid w:val="008F24E3"/>
    <w:rsid w:val="008F24FD"/>
    <w:rsid w:val="008F25C5"/>
    <w:rsid w:val="008F25C6"/>
    <w:rsid w:val="008F25FA"/>
    <w:rsid w:val="008F25FC"/>
    <w:rsid w:val="008F2672"/>
    <w:rsid w:val="008F26A3"/>
    <w:rsid w:val="008F26BB"/>
    <w:rsid w:val="008F26EF"/>
    <w:rsid w:val="008F2729"/>
    <w:rsid w:val="008F2788"/>
    <w:rsid w:val="008F27EA"/>
    <w:rsid w:val="008F27F6"/>
    <w:rsid w:val="008F2801"/>
    <w:rsid w:val="008F281A"/>
    <w:rsid w:val="008F2827"/>
    <w:rsid w:val="008F283A"/>
    <w:rsid w:val="008F284C"/>
    <w:rsid w:val="008F2859"/>
    <w:rsid w:val="008F2882"/>
    <w:rsid w:val="008F28A5"/>
    <w:rsid w:val="008F28E4"/>
    <w:rsid w:val="008F291A"/>
    <w:rsid w:val="008F2941"/>
    <w:rsid w:val="008F2973"/>
    <w:rsid w:val="008F298C"/>
    <w:rsid w:val="008F29B8"/>
    <w:rsid w:val="008F29E3"/>
    <w:rsid w:val="008F2A51"/>
    <w:rsid w:val="008F2A5E"/>
    <w:rsid w:val="008F2B22"/>
    <w:rsid w:val="008F2B9E"/>
    <w:rsid w:val="008F2BE2"/>
    <w:rsid w:val="008F2BFB"/>
    <w:rsid w:val="008F2C3E"/>
    <w:rsid w:val="008F2C94"/>
    <w:rsid w:val="008F2D63"/>
    <w:rsid w:val="008F2D73"/>
    <w:rsid w:val="008F2DF1"/>
    <w:rsid w:val="008F2DF7"/>
    <w:rsid w:val="008F2DFF"/>
    <w:rsid w:val="008F2E2D"/>
    <w:rsid w:val="008F2EBA"/>
    <w:rsid w:val="008F2EBC"/>
    <w:rsid w:val="008F2ECF"/>
    <w:rsid w:val="008F2F0D"/>
    <w:rsid w:val="008F2F21"/>
    <w:rsid w:val="008F2F98"/>
    <w:rsid w:val="008F2FA3"/>
    <w:rsid w:val="008F3031"/>
    <w:rsid w:val="008F306D"/>
    <w:rsid w:val="008F308B"/>
    <w:rsid w:val="008F30AF"/>
    <w:rsid w:val="008F312C"/>
    <w:rsid w:val="008F3153"/>
    <w:rsid w:val="008F31D0"/>
    <w:rsid w:val="008F320B"/>
    <w:rsid w:val="008F3294"/>
    <w:rsid w:val="008F32E9"/>
    <w:rsid w:val="008F330D"/>
    <w:rsid w:val="008F3316"/>
    <w:rsid w:val="008F331B"/>
    <w:rsid w:val="008F332C"/>
    <w:rsid w:val="008F3341"/>
    <w:rsid w:val="008F3375"/>
    <w:rsid w:val="008F33D1"/>
    <w:rsid w:val="008F33E6"/>
    <w:rsid w:val="008F33F4"/>
    <w:rsid w:val="008F348F"/>
    <w:rsid w:val="008F34B8"/>
    <w:rsid w:val="008F34BC"/>
    <w:rsid w:val="008F34BD"/>
    <w:rsid w:val="008F3514"/>
    <w:rsid w:val="008F35E3"/>
    <w:rsid w:val="008F35EB"/>
    <w:rsid w:val="008F3608"/>
    <w:rsid w:val="008F378C"/>
    <w:rsid w:val="008F37CD"/>
    <w:rsid w:val="008F384B"/>
    <w:rsid w:val="008F388A"/>
    <w:rsid w:val="008F397B"/>
    <w:rsid w:val="008F3985"/>
    <w:rsid w:val="008F39C6"/>
    <w:rsid w:val="008F39EA"/>
    <w:rsid w:val="008F3A07"/>
    <w:rsid w:val="008F3A26"/>
    <w:rsid w:val="008F3A48"/>
    <w:rsid w:val="008F3A63"/>
    <w:rsid w:val="008F3B2A"/>
    <w:rsid w:val="008F3B48"/>
    <w:rsid w:val="008F3B4A"/>
    <w:rsid w:val="008F3B4E"/>
    <w:rsid w:val="008F3B73"/>
    <w:rsid w:val="008F3BA7"/>
    <w:rsid w:val="008F3BED"/>
    <w:rsid w:val="008F3C03"/>
    <w:rsid w:val="008F3C29"/>
    <w:rsid w:val="008F3C5F"/>
    <w:rsid w:val="008F3CD3"/>
    <w:rsid w:val="008F3CEE"/>
    <w:rsid w:val="008F3CF5"/>
    <w:rsid w:val="008F3D23"/>
    <w:rsid w:val="008F3D28"/>
    <w:rsid w:val="008F3D2E"/>
    <w:rsid w:val="008F3D52"/>
    <w:rsid w:val="008F3D5A"/>
    <w:rsid w:val="008F3D89"/>
    <w:rsid w:val="008F3DE3"/>
    <w:rsid w:val="008F3DE6"/>
    <w:rsid w:val="008F3EBA"/>
    <w:rsid w:val="008F3EDB"/>
    <w:rsid w:val="008F3EE2"/>
    <w:rsid w:val="008F3EE7"/>
    <w:rsid w:val="008F3F3B"/>
    <w:rsid w:val="008F3F3C"/>
    <w:rsid w:val="008F3FEB"/>
    <w:rsid w:val="008F400A"/>
    <w:rsid w:val="008F400B"/>
    <w:rsid w:val="008F401F"/>
    <w:rsid w:val="008F403B"/>
    <w:rsid w:val="008F403C"/>
    <w:rsid w:val="008F404C"/>
    <w:rsid w:val="008F4058"/>
    <w:rsid w:val="008F409D"/>
    <w:rsid w:val="008F40DC"/>
    <w:rsid w:val="008F40F1"/>
    <w:rsid w:val="008F4134"/>
    <w:rsid w:val="008F4162"/>
    <w:rsid w:val="008F41A0"/>
    <w:rsid w:val="008F426A"/>
    <w:rsid w:val="008F4277"/>
    <w:rsid w:val="008F42C8"/>
    <w:rsid w:val="008F432D"/>
    <w:rsid w:val="008F4341"/>
    <w:rsid w:val="008F43B3"/>
    <w:rsid w:val="008F4424"/>
    <w:rsid w:val="008F4459"/>
    <w:rsid w:val="008F4470"/>
    <w:rsid w:val="008F449B"/>
    <w:rsid w:val="008F4516"/>
    <w:rsid w:val="008F4545"/>
    <w:rsid w:val="008F460B"/>
    <w:rsid w:val="008F464E"/>
    <w:rsid w:val="008F4655"/>
    <w:rsid w:val="008F4679"/>
    <w:rsid w:val="008F46AC"/>
    <w:rsid w:val="008F46D9"/>
    <w:rsid w:val="008F46F9"/>
    <w:rsid w:val="008F4720"/>
    <w:rsid w:val="008F47D0"/>
    <w:rsid w:val="008F47D3"/>
    <w:rsid w:val="008F47F7"/>
    <w:rsid w:val="008F4817"/>
    <w:rsid w:val="008F4888"/>
    <w:rsid w:val="008F4890"/>
    <w:rsid w:val="008F48BE"/>
    <w:rsid w:val="008F49BF"/>
    <w:rsid w:val="008F4A0F"/>
    <w:rsid w:val="008F4A95"/>
    <w:rsid w:val="008F4AD2"/>
    <w:rsid w:val="008F4B3D"/>
    <w:rsid w:val="008F4B67"/>
    <w:rsid w:val="008F4B6F"/>
    <w:rsid w:val="008F4B7F"/>
    <w:rsid w:val="008F4C7F"/>
    <w:rsid w:val="008F4CD8"/>
    <w:rsid w:val="008F4D14"/>
    <w:rsid w:val="008F4D18"/>
    <w:rsid w:val="008F4D52"/>
    <w:rsid w:val="008F4D92"/>
    <w:rsid w:val="008F4D98"/>
    <w:rsid w:val="008F4E13"/>
    <w:rsid w:val="008F4E77"/>
    <w:rsid w:val="008F4E89"/>
    <w:rsid w:val="008F4EA8"/>
    <w:rsid w:val="008F4EC4"/>
    <w:rsid w:val="008F4F0A"/>
    <w:rsid w:val="008F4F17"/>
    <w:rsid w:val="008F4F1B"/>
    <w:rsid w:val="008F4F4C"/>
    <w:rsid w:val="008F4F57"/>
    <w:rsid w:val="008F4F9A"/>
    <w:rsid w:val="008F4FBB"/>
    <w:rsid w:val="008F4FC6"/>
    <w:rsid w:val="008F4FCD"/>
    <w:rsid w:val="008F4FFD"/>
    <w:rsid w:val="008F5089"/>
    <w:rsid w:val="008F50CE"/>
    <w:rsid w:val="008F5211"/>
    <w:rsid w:val="008F521C"/>
    <w:rsid w:val="008F524A"/>
    <w:rsid w:val="008F52C1"/>
    <w:rsid w:val="008F5338"/>
    <w:rsid w:val="008F5343"/>
    <w:rsid w:val="008F5351"/>
    <w:rsid w:val="008F53A0"/>
    <w:rsid w:val="008F53C0"/>
    <w:rsid w:val="008F546D"/>
    <w:rsid w:val="008F548C"/>
    <w:rsid w:val="008F5526"/>
    <w:rsid w:val="008F5533"/>
    <w:rsid w:val="008F5549"/>
    <w:rsid w:val="008F55C7"/>
    <w:rsid w:val="008F55D2"/>
    <w:rsid w:val="008F55DA"/>
    <w:rsid w:val="008F5654"/>
    <w:rsid w:val="008F5657"/>
    <w:rsid w:val="008F5680"/>
    <w:rsid w:val="008F5693"/>
    <w:rsid w:val="008F56A1"/>
    <w:rsid w:val="008F56F8"/>
    <w:rsid w:val="008F5719"/>
    <w:rsid w:val="008F578F"/>
    <w:rsid w:val="008F5796"/>
    <w:rsid w:val="008F579E"/>
    <w:rsid w:val="008F57E5"/>
    <w:rsid w:val="008F5893"/>
    <w:rsid w:val="008F58A4"/>
    <w:rsid w:val="008F58CF"/>
    <w:rsid w:val="008F58EB"/>
    <w:rsid w:val="008F58EF"/>
    <w:rsid w:val="008F5911"/>
    <w:rsid w:val="008F595D"/>
    <w:rsid w:val="008F5A31"/>
    <w:rsid w:val="008F5AC3"/>
    <w:rsid w:val="008F5AE0"/>
    <w:rsid w:val="008F5AFE"/>
    <w:rsid w:val="008F5B2A"/>
    <w:rsid w:val="008F5B4B"/>
    <w:rsid w:val="008F5B59"/>
    <w:rsid w:val="008F5D13"/>
    <w:rsid w:val="008F5D65"/>
    <w:rsid w:val="008F5DF4"/>
    <w:rsid w:val="008F5E27"/>
    <w:rsid w:val="008F5E67"/>
    <w:rsid w:val="008F5E7D"/>
    <w:rsid w:val="008F5EA2"/>
    <w:rsid w:val="008F5F2B"/>
    <w:rsid w:val="008F5FBE"/>
    <w:rsid w:val="008F5FC7"/>
    <w:rsid w:val="008F5FD5"/>
    <w:rsid w:val="008F601E"/>
    <w:rsid w:val="008F6026"/>
    <w:rsid w:val="008F6052"/>
    <w:rsid w:val="008F6066"/>
    <w:rsid w:val="008F6074"/>
    <w:rsid w:val="008F6078"/>
    <w:rsid w:val="008F6092"/>
    <w:rsid w:val="008F60AF"/>
    <w:rsid w:val="008F6101"/>
    <w:rsid w:val="008F6119"/>
    <w:rsid w:val="008F613D"/>
    <w:rsid w:val="008F616C"/>
    <w:rsid w:val="008F618E"/>
    <w:rsid w:val="008F61C6"/>
    <w:rsid w:val="008F61C9"/>
    <w:rsid w:val="008F61CE"/>
    <w:rsid w:val="008F6260"/>
    <w:rsid w:val="008F6266"/>
    <w:rsid w:val="008F62AD"/>
    <w:rsid w:val="008F633F"/>
    <w:rsid w:val="008F6342"/>
    <w:rsid w:val="008F636B"/>
    <w:rsid w:val="008F63E8"/>
    <w:rsid w:val="008F6461"/>
    <w:rsid w:val="008F648E"/>
    <w:rsid w:val="008F64A6"/>
    <w:rsid w:val="008F64D8"/>
    <w:rsid w:val="008F64E8"/>
    <w:rsid w:val="008F652C"/>
    <w:rsid w:val="008F6562"/>
    <w:rsid w:val="008F65CB"/>
    <w:rsid w:val="008F65DE"/>
    <w:rsid w:val="008F6615"/>
    <w:rsid w:val="008F664B"/>
    <w:rsid w:val="008F664F"/>
    <w:rsid w:val="008F666B"/>
    <w:rsid w:val="008F66A5"/>
    <w:rsid w:val="008F66B2"/>
    <w:rsid w:val="008F66EF"/>
    <w:rsid w:val="008F66F3"/>
    <w:rsid w:val="008F6710"/>
    <w:rsid w:val="008F6729"/>
    <w:rsid w:val="008F672B"/>
    <w:rsid w:val="008F676D"/>
    <w:rsid w:val="008F6772"/>
    <w:rsid w:val="008F67AF"/>
    <w:rsid w:val="008F67B6"/>
    <w:rsid w:val="008F67E5"/>
    <w:rsid w:val="008F67F1"/>
    <w:rsid w:val="008F6826"/>
    <w:rsid w:val="008F687A"/>
    <w:rsid w:val="008F691A"/>
    <w:rsid w:val="008F692A"/>
    <w:rsid w:val="008F6932"/>
    <w:rsid w:val="008F6943"/>
    <w:rsid w:val="008F695A"/>
    <w:rsid w:val="008F6998"/>
    <w:rsid w:val="008F69AA"/>
    <w:rsid w:val="008F69C1"/>
    <w:rsid w:val="008F69CE"/>
    <w:rsid w:val="008F69ED"/>
    <w:rsid w:val="008F69FE"/>
    <w:rsid w:val="008F6A33"/>
    <w:rsid w:val="008F6A3F"/>
    <w:rsid w:val="008F6A66"/>
    <w:rsid w:val="008F6AB9"/>
    <w:rsid w:val="008F6B08"/>
    <w:rsid w:val="008F6B58"/>
    <w:rsid w:val="008F6B5B"/>
    <w:rsid w:val="008F6B60"/>
    <w:rsid w:val="008F6B74"/>
    <w:rsid w:val="008F6B87"/>
    <w:rsid w:val="008F6B94"/>
    <w:rsid w:val="008F6BB6"/>
    <w:rsid w:val="008F6BBF"/>
    <w:rsid w:val="008F6BC4"/>
    <w:rsid w:val="008F6C4A"/>
    <w:rsid w:val="008F6C55"/>
    <w:rsid w:val="008F6C60"/>
    <w:rsid w:val="008F6C8F"/>
    <w:rsid w:val="008F6CB6"/>
    <w:rsid w:val="008F6CB8"/>
    <w:rsid w:val="008F6CE0"/>
    <w:rsid w:val="008F6D7E"/>
    <w:rsid w:val="008F6DA5"/>
    <w:rsid w:val="008F6DAE"/>
    <w:rsid w:val="008F6DBD"/>
    <w:rsid w:val="008F6DC4"/>
    <w:rsid w:val="008F6DC8"/>
    <w:rsid w:val="008F6E0D"/>
    <w:rsid w:val="008F6E1C"/>
    <w:rsid w:val="008F6E92"/>
    <w:rsid w:val="008F6EB1"/>
    <w:rsid w:val="008F6ED0"/>
    <w:rsid w:val="008F6F0E"/>
    <w:rsid w:val="008F701F"/>
    <w:rsid w:val="008F704C"/>
    <w:rsid w:val="008F7056"/>
    <w:rsid w:val="008F70D6"/>
    <w:rsid w:val="008F716F"/>
    <w:rsid w:val="008F717D"/>
    <w:rsid w:val="008F718B"/>
    <w:rsid w:val="008F718C"/>
    <w:rsid w:val="008F727A"/>
    <w:rsid w:val="008F72BA"/>
    <w:rsid w:val="008F72C5"/>
    <w:rsid w:val="008F72CF"/>
    <w:rsid w:val="008F730A"/>
    <w:rsid w:val="008F732B"/>
    <w:rsid w:val="008F734B"/>
    <w:rsid w:val="008F736B"/>
    <w:rsid w:val="008F73E0"/>
    <w:rsid w:val="008F73F7"/>
    <w:rsid w:val="008F7455"/>
    <w:rsid w:val="008F7483"/>
    <w:rsid w:val="008F74DD"/>
    <w:rsid w:val="008F75B6"/>
    <w:rsid w:val="008F75C1"/>
    <w:rsid w:val="008F75C3"/>
    <w:rsid w:val="008F75C6"/>
    <w:rsid w:val="008F7644"/>
    <w:rsid w:val="008F768D"/>
    <w:rsid w:val="008F7698"/>
    <w:rsid w:val="008F76A4"/>
    <w:rsid w:val="008F76BB"/>
    <w:rsid w:val="008F76CF"/>
    <w:rsid w:val="008F770E"/>
    <w:rsid w:val="008F7753"/>
    <w:rsid w:val="008F775F"/>
    <w:rsid w:val="008F7760"/>
    <w:rsid w:val="008F77DD"/>
    <w:rsid w:val="008F77F9"/>
    <w:rsid w:val="008F7835"/>
    <w:rsid w:val="008F785F"/>
    <w:rsid w:val="008F786F"/>
    <w:rsid w:val="008F78A5"/>
    <w:rsid w:val="008F78C3"/>
    <w:rsid w:val="008F7915"/>
    <w:rsid w:val="008F7918"/>
    <w:rsid w:val="008F7935"/>
    <w:rsid w:val="008F794C"/>
    <w:rsid w:val="008F7971"/>
    <w:rsid w:val="008F79A5"/>
    <w:rsid w:val="008F7A0A"/>
    <w:rsid w:val="008F7A60"/>
    <w:rsid w:val="008F7A64"/>
    <w:rsid w:val="008F7A92"/>
    <w:rsid w:val="008F7ADA"/>
    <w:rsid w:val="008F7ADF"/>
    <w:rsid w:val="008F7AE0"/>
    <w:rsid w:val="008F7B20"/>
    <w:rsid w:val="008F7B62"/>
    <w:rsid w:val="008F7B75"/>
    <w:rsid w:val="008F7B80"/>
    <w:rsid w:val="008F7BB2"/>
    <w:rsid w:val="008F7BB6"/>
    <w:rsid w:val="008F7BB9"/>
    <w:rsid w:val="008F7C00"/>
    <w:rsid w:val="008F7C0F"/>
    <w:rsid w:val="008F7C12"/>
    <w:rsid w:val="008F7C9D"/>
    <w:rsid w:val="008F7CA9"/>
    <w:rsid w:val="008F7D03"/>
    <w:rsid w:val="008F7D7C"/>
    <w:rsid w:val="008F7DC0"/>
    <w:rsid w:val="008F7E5F"/>
    <w:rsid w:val="008F7E98"/>
    <w:rsid w:val="008F7ECA"/>
    <w:rsid w:val="008F7F1F"/>
    <w:rsid w:val="008F7F4F"/>
    <w:rsid w:val="008F7F8E"/>
    <w:rsid w:val="008F7F9E"/>
    <w:rsid w:val="008F7FB3"/>
    <w:rsid w:val="008F7FC3"/>
    <w:rsid w:val="008F7FD9"/>
    <w:rsid w:val="008F7FFA"/>
    <w:rsid w:val="0090002D"/>
    <w:rsid w:val="0090004E"/>
    <w:rsid w:val="00900073"/>
    <w:rsid w:val="00900116"/>
    <w:rsid w:val="00900124"/>
    <w:rsid w:val="00900132"/>
    <w:rsid w:val="0090014D"/>
    <w:rsid w:val="0090015B"/>
    <w:rsid w:val="00900192"/>
    <w:rsid w:val="009001E1"/>
    <w:rsid w:val="00900203"/>
    <w:rsid w:val="0090021C"/>
    <w:rsid w:val="0090025A"/>
    <w:rsid w:val="009002C6"/>
    <w:rsid w:val="009002EF"/>
    <w:rsid w:val="0090032C"/>
    <w:rsid w:val="0090034C"/>
    <w:rsid w:val="0090034E"/>
    <w:rsid w:val="0090035B"/>
    <w:rsid w:val="009003BC"/>
    <w:rsid w:val="009003E1"/>
    <w:rsid w:val="0090042D"/>
    <w:rsid w:val="00900461"/>
    <w:rsid w:val="0090046C"/>
    <w:rsid w:val="00900492"/>
    <w:rsid w:val="009004CC"/>
    <w:rsid w:val="00900513"/>
    <w:rsid w:val="00900556"/>
    <w:rsid w:val="00900640"/>
    <w:rsid w:val="00900669"/>
    <w:rsid w:val="009006BC"/>
    <w:rsid w:val="009006D3"/>
    <w:rsid w:val="0090075A"/>
    <w:rsid w:val="00900778"/>
    <w:rsid w:val="00900784"/>
    <w:rsid w:val="009007AC"/>
    <w:rsid w:val="009007C1"/>
    <w:rsid w:val="009007E8"/>
    <w:rsid w:val="00900841"/>
    <w:rsid w:val="00900868"/>
    <w:rsid w:val="0090087E"/>
    <w:rsid w:val="009008D0"/>
    <w:rsid w:val="009008D4"/>
    <w:rsid w:val="00900944"/>
    <w:rsid w:val="00900A3F"/>
    <w:rsid w:val="00900AB1"/>
    <w:rsid w:val="00900AC9"/>
    <w:rsid w:val="00900ACC"/>
    <w:rsid w:val="00900AE7"/>
    <w:rsid w:val="00900B1D"/>
    <w:rsid w:val="00900B1F"/>
    <w:rsid w:val="00900B63"/>
    <w:rsid w:val="00900B80"/>
    <w:rsid w:val="00900BAF"/>
    <w:rsid w:val="00900BB7"/>
    <w:rsid w:val="00900BC0"/>
    <w:rsid w:val="00900BDE"/>
    <w:rsid w:val="00900BFD"/>
    <w:rsid w:val="00900C5A"/>
    <w:rsid w:val="00900C68"/>
    <w:rsid w:val="00900C79"/>
    <w:rsid w:val="00900C7E"/>
    <w:rsid w:val="00900CAC"/>
    <w:rsid w:val="00900CCA"/>
    <w:rsid w:val="00900D43"/>
    <w:rsid w:val="00900D59"/>
    <w:rsid w:val="00900E47"/>
    <w:rsid w:val="00900E5D"/>
    <w:rsid w:val="00900E88"/>
    <w:rsid w:val="00900EAF"/>
    <w:rsid w:val="00900ECA"/>
    <w:rsid w:val="00900EE5"/>
    <w:rsid w:val="00900EF4"/>
    <w:rsid w:val="00900EFD"/>
    <w:rsid w:val="00900F01"/>
    <w:rsid w:val="00900F58"/>
    <w:rsid w:val="00900F6E"/>
    <w:rsid w:val="00900F7A"/>
    <w:rsid w:val="00900F85"/>
    <w:rsid w:val="00900F99"/>
    <w:rsid w:val="00900FE9"/>
    <w:rsid w:val="00900FF6"/>
    <w:rsid w:val="0090100B"/>
    <w:rsid w:val="00901020"/>
    <w:rsid w:val="0090105C"/>
    <w:rsid w:val="009010E1"/>
    <w:rsid w:val="00901106"/>
    <w:rsid w:val="00901121"/>
    <w:rsid w:val="0090113F"/>
    <w:rsid w:val="0090114E"/>
    <w:rsid w:val="00901183"/>
    <w:rsid w:val="009011C4"/>
    <w:rsid w:val="009011DF"/>
    <w:rsid w:val="009011E1"/>
    <w:rsid w:val="009011F3"/>
    <w:rsid w:val="0090122C"/>
    <w:rsid w:val="00901232"/>
    <w:rsid w:val="0090125B"/>
    <w:rsid w:val="00901277"/>
    <w:rsid w:val="009012B0"/>
    <w:rsid w:val="009012F7"/>
    <w:rsid w:val="00901323"/>
    <w:rsid w:val="00901365"/>
    <w:rsid w:val="0090137F"/>
    <w:rsid w:val="00901383"/>
    <w:rsid w:val="00901385"/>
    <w:rsid w:val="009013C0"/>
    <w:rsid w:val="00901418"/>
    <w:rsid w:val="00901495"/>
    <w:rsid w:val="0090149F"/>
    <w:rsid w:val="009014C7"/>
    <w:rsid w:val="009014D5"/>
    <w:rsid w:val="009014E5"/>
    <w:rsid w:val="0090158B"/>
    <w:rsid w:val="009015A6"/>
    <w:rsid w:val="009015E8"/>
    <w:rsid w:val="00901617"/>
    <w:rsid w:val="0090161F"/>
    <w:rsid w:val="009016A2"/>
    <w:rsid w:val="009016D7"/>
    <w:rsid w:val="00901707"/>
    <w:rsid w:val="009017AF"/>
    <w:rsid w:val="0090180C"/>
    <w:rsid w:val="0090185C"/>
    <w:rsid w:val="009018BA"/>
    <w:rsid w:val="009018E6"/>
    <w:rsid w:val="009018E9"/>
    <w:rsid w:val="0090190F"/>
    <w:rsid w:val="00901929"/>
    <w:rsid w:val="0090195E"/>
    <w:rsid w:val="00901A04"/>
    <w:rsid w:val="00901A4A"/>
    <w:rsid w:val="00901A57"/>
    <w:rsid w:val="00901AAC"/>
    <w:rsid w:val="00901AB3"/>
    <w:rsid w:val="00901AE5"/>
    <w:rsid w:val="00901B6F"/>
    <w:rsid w:val="00901BB5"/>
    <w:rsid w:val="00901C3E"/>
    <w:rsid w:val="00901CC1"/>
    <w:rsid w:val="00901CE5"/>
    <w:rsid w:val="00901D34"/>
    <w:rsid w:val="00901D6A"/>
    <w:rsid w:val="00901D7A"/>
    <w:rsid w:val="00901D9A"/>
    <w:rsid w:val="00901E1C"/>
    <w:rsid w:val="00901E77"/>
    <w:rsid w:val="00901E8B"/>
    <w:rsid w:val="00901E97"/>
    <w:rsid w:val="00901F13"/>
    <w:rsid w:val="00901F1A"/>
    <w:rsid w:val="00902005"/>
    <w:rsid w:val="00902013"/>
    <w:rsid w:val="00902030"/>
    <w:rsid w:val="0090206C"/>
    <w:rsid w:val="0090208C"/>
    <w:rsid w:val="009020A5"/>
    <w:rsid w:val="009020D4"/>
    <w:rsid w:val="009020E4"/>
    <w:rsid w:val="009020EA"/>
    <w:rsid w:val="00902135"/>
    <w:rsid w:val="00902177"/>
    <w:rsid w:val="009021C7"/>
    <w:rsid w:val="00902251"/>
    <w:rsid w:val="009022AF"/>
    <w:rsid w:val="009022CA"/>
    <w:rsid w:val="009022E7"/>
    <w:rsid w:val="009022FD"/>
    <w:rsid w:val="00902322"/>
    <w:rsid w:val="00902356"/>
    <w:rsid w:val="00902366"/>
    <w:rsid w:val="00902435"/>
    <w:rsid w:val="00902498"/>
    <w:rsid w:val="009024A2"/>
    <w:rsid w:val="009024D2"/>
    <w:rsid w:val="009024DB"/>
    <w:rsid w:val="0090250B"/>
    <w:rsid w:val="00902515"/>
    <w:rsid w:val="0090257D"/>
    <w:rsid w:val="009025A4"/>
    <w:rsid w:val="009025AD"/>
    <w:rsid w:val="009025C3"/>
    <w:rsid w:val="009025FD"/>
    <w:rsid w:val="009025FF"/>
    <w:rsid w:val="009026DE"/>
    <w:rsid w:val="0090279B"/>
    <w:rsid w:val="009027A1"/>
    <w:rsid w:val="00902805"/>
    <w:rsid w:val="009028AB"/>
    <w:rsid w:val="00902963"/>
    <w:rsid w:val="00902964"/>
    <w:rsid w:val="00902977"/>
    <w:rsid w:val="009029D4"/>
    <w:rsid w:val="00902A6D"/>
    <w:rsid w:val="00902A74"/>
    <w:rsid w:val="00902A8D"/>
    <w:rsid w:val="00902A96"/>
    <w:rsid w:val="00902AB3"/>
    <w:rsid w:val="00902ACE"/>
    <w:rsid w:val="00902AFD"/>
    <w:rsid w:val="00902B02"/>
    <w:rsid w:val="00902B38"/>
    <w:rsid w:val="00902BCE"/>
    <w:rsid w:val="00902C52"/>
    <w:rsid w:val="00902C53"/>
    <w:rsid w:val="00902CA5"/>
    <w:rsid w:val="00902CAC"/>
    <w:rsid w:val="00902CEC"/>
    <w:rsid w:val="00902CFE"/>
    <w:rsid w:val="00902D1A"/>
    <w:rsid w:val="00902D4E"/>
    <w:rsid w:val="00902D66"/>
    <w:rsid w:val="00902D7A"/>
    <w:rsid w:val="00902E13"/>
    <w:rsid w:val="00902E20"/>
    <w:rsid w:val="00902E22"/>
    <w:rsid w:val="00902E36"/>
    <w:rsid w:val="00902ED3"/>
    <w:rsid w:val="00902EEB"/>
    <w:rsid w:val="00902F68"/>
    <w:rsid w:val="00902FB2"/>
    <w:rsid w:val="00902FFA"/>
    <w:rsid w:val="00903001"/>
    <w:rsid w:val="0090301A"/>
    <w:rsid w:val="0090305E"/>
    <w:rsid w:val="00903065"/>
    <w:rsid w:val="00903070"/>
    <w:rsid w:val="009030A6"/>
    <w:rsid w:val="009030EC"/>
    <w:rsid w:val="009030FA"/>
    <w:rsid w:val="00903111"/>
    <w:rsid w:val="0090311C"/>
    <w:rsid w:val="00903163"/>
    <w:rsid w:val="009031A2"/>
    <w:rsid w:val="009031DF"/>
    <w:rsid w:val="009031E9"/>
    <w:rsid w:val="00903240"/>
    <w:rsid w:val="00903249"/>
    <w:rsid w:val="0090324C"/>
    <w:rsid w:val="009032BC"/>
    <w:rsid w:val="009032D7"/>
    <w:rsid w:val="009033B8"/>
    <w:rsid w:val="009033D3"/>
    <w:rsid w:val="009033E1"/>
    <w:rsid w:val="00903404"/>
    <w:rsid w:val="0090344C"/>
    <w:rsid w:val="0090344F"/>
    <w:rsid w:val="0090346B"/>
    <w:rsid w:val="00903488"/>
    <w:rsid w:val="009034BE"/>
    <w:rsid w:val="00903501"/>
    <w:rsid w:val="0090351A"/>
    <w:rsid w:val="00903551"/>
    <w:rsid w:val="009035EB"/>
    <w:rsid w:val="009035EC"/>
    <w:rsid w:val="00903650"/>
    <w:rsid w:val="00903659"/>
    <w:rsid w:val="0090368B"/>
    <w:rsid w:val="009036BF"/>
    <w:rsid w:val="00903720"/>
    <w:rsid w:val="00903722"/>
    <w:rsid w:val="00903753"/>
    <w:rsid w:val="00903782"/>
    <w:rsid w:val="00903785"/>
    <w:rsid w:val="00903793"/>
    <w:rsid w:val="0090379A"/>
    <w:rsid w:val="009037D6"/>
    <w:rsid w:val="0090383D"/>
    <w:rsid w:val="00903873"/>
    <w:rsid w:val="00903943"/>
    <w:rsid w:val="00903945"/>
    <w:rsid w:val="00903985"/>
    <w:rsid w:val="009039C2"/>
    <w:rsid w:val="00903A01"/>
    <w:rsid w:val="00903A8B"/>
    <w:rsid w:val="00903AA4"/>
    <w:rsid w:val="00903AC3"/>
    <w:rsid w:val="00903ADB"/>
    <w:rsid w:val="00903ADE"/>
    <w:rsid w:val="00903AF8"/>
    <w:rsid w:val="00903B48"/>
    <w:rsid w:val="00903B5D"/>
    <w:rsid w:val="00903BA8"/>
    <w:rsid w:val="00903BA9"/>
    <w:rsid w:val="00903BB0"/>
    <w:rsid w:val="00903BD2"/>
    <w:rsid w:val="00903C36"/>
    <w:rsid w:val="00903C84"/>
    <w:rsid w:val="00903CF2"/>
    <w:rsid w:val="00903DAB"/>
    <w:rsid w:val="00903DC6"/>
    <w:rsid w:val="00903DE3"/>
    <w:rsid w:val="00903DF6"/>
    <w:rsid w:val="00903DFB"/>
    <w:rsid w:val="00903E16"/>
    <w:rsid w:val="00903E20"/>
    <w:rsid w:val="00903F25"/>
    <w:rsid w:val="00903F34"/>
    <w:rsid w:val="00903F90"/>
    <w:rsid w:val="00903FCD"/>
    <w:rsid w:val="00903FE4"/>
    <w:rsid w:val="00903FEF"/>
    <w:rsid w:val="00903FF9"/>
    <w:rsid w:val="009040B3"/>
    <w:rsid w:val="009040C1"/>
    <w:rsid w:val="009040C5"/>
    <w:rsid w:val="0090412A"/>
    <w:rsid w:val="0090415A"/>
    <w:rsid w:val="009041AF"/>
    <w:rsid w:val="0090420F"/>
    <w:rsid w:val="00904290"/>
    <w:rsid w:val="00904293"/>
    <w:rsid w:val="009042B5"/>
    <w:rsid w:val="0090431B"/>
    <w:rsid w:val="0090438D"/>
    <w:rsid w:val="009043C9"/>
    <w:rsid w:val="0090440B"/>
    <w:rsid w:val="00904414"/>
    <w:rsid w:val="00904494"/>
    <w:rsid w:val="00904499"/>
    <w:rsid w:val="009044AE"/>
    <w:rsid w:val="009044B4"/>
    <w:rsid w:val="009044D1"/>
    <w:rsid w:val="009044D4"/>
    <w:rsid w:val="0090450A"/>
    <w:rsid w:val="0090453D"/>
    <w:rsid w:val="00904551"/>
    <w:rsid w:val="00904559"/>
    <w:rsid w:val="009045DE"/>
    <w:rsid w:val="00904636"/>
    <w:rsid w:val="0090466E"/>
    <w:rsid w:val="00904678"/>
    <w:rsid w:val="00904690"/>
    <w:rsid w:val="009046C5"/>
    <w:rsid w:val="0090470A"/>
    <w:rsid w:val="0090470D"/>
    <w:rsid w:val="00904738"/>
    <w:rsid w:val="0090479E"/>
    <w:rsid w:val="0090480F"/>
    <w:rsid w:val="009048AC"/>
    <w:rsid w:val="009048E2"/>
    <w:rsid w:val="00904919"/>
    <w:rsid w:val="0090494C"/>
    <w:rsid w:val="0090495A"/>
    <w:rsid w:val="00904979"/>
    <w:rsid w:val="00904A12"/>
    <w:rsid w:val="00904A14"/>
    <w:rsid w:val="00904A1F"/>
    <w:rsid w:val="00904A2B"/>
    <w:rsid w:val="00904A3C"/>
    <w:rsid w:val="00904A74"/>
    <w:rsid w:val="00904A7E"/>
    <w:rsid w:val="00904AA1"/>
    <w:rsid w:val="00904AA3"/>
    <w:rsid w:val="00904AEA"/>
    <w:rsid w:val="00904B0F"/>
    <w:rsid w:val="00904B43"/>
    <w:rsid w:val="00904B89"/>
    <w:rsid w:val="00904C02"/>
    <w:rsid w:val="00904C30"/>
    <w:rsid w:val="00904C5C"/>
    <w:rsid w:val="00904CAB"/>
    <w:rsid w:val="00904CCA"/>
    <w:rsid w:val="00904CDB"/>
    <w:rsid w:val="00904D0A"/>
    <w:rsid w:val="00904D0B"/>
    <w:rsid w:val="00904D15"/>
    <w:rsid w:val="00904D89"/>
    <w:rsid w:val="00904DD0"/>
    <w:rsid w:val="00904DD7"/>
    <w:rsid w:val="00904E07"/>
    <w:rsid w:val="00904E4C"/>
    <w:rsid w:val="00904E5A"/>
    <w:rsid w:val="00904E6F"/>
    <w:rsid w:val="00904E76"/>
    <w:rsid w:val="00904E91"/>
    <w:rsid w:val="00904E94"/>
    <w:rsid w:val="00904F06"/>
    <w:rsid w:val="00904F1D"/>
    <w:rsid w:val="00904FE4"/>
    <w:rsid w:val="00904FEB"/>
    <w:rsid w:val="00904FED"/>
    <w:rsid w:val="00904FF3"/>
    <w:rsid w:val="00905082"/>
    <w:rsid w:val="009050AE"/>
    <w:rsid w:val="009050D0"/>
    <w:rsid w:val="009050F4"/>
    <w:rsid w:val="009050FC"/>
    <w:rsid w:val="00905109"/>
    <w:rsid w:val="0090511A"/>
    <w:rsid w:val="00905142"/>
    <w:rsid w:val="0090515B"/>
    <w:rsid w:val="0090518A"/>
    <w:rsid w:val="009051AD"/>
    <w:rsid w:val="009051BE"/>
    <w:rsid w:val="009051D0"/>
    <w:rsid w:val="009051DC"/>
    <w:rsid w:val="009051FA"/>
    <w:rsid w:val="009052C9"/>
    <w:rsid w:val="00905371"/>
    <w:rsid w:val="0090537F"/>
    <w:rsid w:val="00905387"/>
    <w:rsid w:val="0090539B"/>
    <w:rsid w:val="009053A3"/>
    <w:rsid w:val="009053BD"/>
    <w:rsid w:val="00905413"/>
    <w:rsid w:val="009054C3"/>
    <w:rsid w:val="00905563"/>
    <w:rsid w:val="00905566"/>
    <w:rsid w:val="00905652"/>
    <w:rsid w:val="00905678"/>
    <w:rsid w:val="0090571B"/>
    <w:rsid w:val="0090572C"/>
    <w:rsid w:val="00905787"/>
    <w:rsid w:val="009057AB"/>
    <w:rsid w:val="009057B4"/>
    <w:rsid w:val="00905888"/>
    <w:rsid w:val="009058C4"/>
    <w:rsid w:val="009058E1"/>
    <w:rsid w:val="00905913"/>
    <w:rsid w:val="0090591F"/>
    <w:rsid w:val="00905966"/>
    <w:rsid w:val="00905975"/>
    <w:rsid w:val="0090597F"/>
    <w:rsid w:val="0090598A"/>
    <w:rsid w:val="0090599D"/>
    <w:rsid w:val="009059A5"/>
    <w:rsid w:val="009059B3"/>
    <w:rsid w:val="00905A4F"/>
    <w:rsid w:val="00905AAB"/>
    <w:rsid w:val="00905B2D"/>
    <w:rsid w:val="00905B48"/>
    <w:rsid w:val="00905B7A"/>
    <w:rsid w:val="00905B91"/>
    <w:rsid w:val="00905BB1"/>
    <w:rsid w:val="00905BE4"/>
    <w:rsid w:val="00905C12"/>
    <w:rsid w:val="00905C6B"/>
    <w:rsid w:val="00905C83"/>
    <w:rsid w:val="00905C91"/>
    <w:rsid w:val="00905D0E"/>
    <w:rsid w:val="00905D4F"/>
    <w:rsid w:val="00905D60"/>
    <w:rsid w:val="00905D96"/>
    <w:rsid w:val="00905D9F"/>
    <w:rsid w:val="00905E25"/>
    <w:rsid w:val="00905E4C"/>
    <w:rsid w:val="00905E97"/>
    <w:rsid w:val="00905EBD"/>
    <w:rsid w:val="00905F9D"/>
    <w:rsid w:val="00906024"/>
    <w:rsid w:val="0090603B"/>
    <w:rsid w:val="00906045"/>
    <w:rsid w:val="009060A3"/>
    <w:rsid w:val="009060F9"/>
    <w:rsid w:val="009060FE"/>
    <w:rsid w:val="00906125"/>
    <w:rsid w:val="00906126"/>
    <w:rsid w:val="00906165"/>
    <w:rsid w:val="00906186"/>
    <w:rsid w:val="00906193"/>
    <w:rsid w:val="009061A1"/>
    <w:rsid w:val="009061E6"/>
    <w:rsid w:val="0090620F"/>
    <w:rsid w:val="00906292"/>
    <w:rsid w:val="009062DD"/>
    <w:rsid w:val="009062F7"/>
    <w:rsid w:val="0090630F"/>
    <w:rsid w:val="00906324"/>
    <w:rsid w:val="00906375"/>
    <w:rsid w:val="009063A2"/>
    <w:rsid w:val="009063A6"/>
    <w:rsid w:val="009063E6"/>
    <w:rsid w:val="0090643F"/>
    <w:rsid w:val="0090644C"/>
    <w:rsid w:val="00906451"/>
    <w:rsid w:val="00906485"/>
    <w:rsid w:val="0090648E"/>
    <w:rsid w:val="00906497"/>
    <w:rsid w:val="009064A6"/>
    <w:rsid w:val="009064BD"/>
    <w:rsid w:val="00906553"/>
    <w:rsid w:val="00906597"/>
    <w:rsid w:val="009065B2"/>
    <w:rsid w:val="009065F0"/>
    <w:rsid w:val="0090662B"/>
    <w:rsid w:val="00906662"/>
    <w:rsid w:val="00906679"/>
    <w:rsid w:val="009066C3"/>
    <w:rsid w:val="009066CE"/>
    <w:rsid w:val="009066D6"/>
    <w:rsid w:val="00906702"/>
    <w:rsid w:val="0090670A"/>
    <w:rsid w:val="00906715"/>
    <w:rsid w:val="0090673F"/>
    <w:rsid w:val="009067BE"/>
    <w:rsid w:val="0090682F"/>
    <w:rsid w:val="00906838"/>
    <w:rsid w:val="0090687C"/>
    <w:rsid w:val="009068D8"/>
    <w:rsid w:val="00906900"/>
    <w:rsid w:val="00906A54"/>
    <w:rsid w:val="00906A63"/>
    <w:rsid w:val="00906B04"/>
    <w:rsid w:val="00906B06"/>
    <w:rsid w:val="00906B89"/>
    <w:rsid w:val="00906C36"/>
    <w:rsid w:val="00906C49"/>
    <w:rsid w:val="00906CDE"/>
    <w:rsid w:val="00906CEB"/>
    <w:rsid w:val="00906D85"/>
    <w:rsid w:val="00906DE7"/>
    <w:rsid w:val="00906E0F"/>
    <w:rsid w:val="00906E61"/>
    <w:rsid w:val="00906EBD"/>
    <w:rsid w:val="00906F78"/>
    <w:rsid w:val="00906F97"/>
    <w:rsid w:val="00906FBC"/>
    <w:rsid w:val="00906FBE"/>
    <w:rsid w:val="00906FBF"/>
    <w:rsid w:val="0090701B"/>
    <w:rsid w:val="009070DE"/>
    <w:rsid w:val="009070E9"/>
    <w:rsid w:val="00907134"/>
    <w:rsid w:val="0090718A"/>
    <w:rsid w:val="00907219"/>
    <w:rsid w:val="00907299"/>
    <w:rsid w:val="0090729B"/>
    <w:rsid w:val="009072BF"/>
    <w:rsid w:val="00907378"/>
    <w:rsid w:val="00907387"/>
    <w:rsid w:val="00907388"/>
    <w:rsid w:val="0090738C"/>
    <w:rsid w:val="00907397"/>
    <w:rsid w:val="009073EF"/>
    <w:rsid w:val="00907415"/>
    <w:rsid w:val="00907428"/>
    <w:rsid w:val="00907468"/>
    <w:rsid w:val="009074A8"/>
    <w:rsid w:val="0090750D"/>
    <w:rsid w:val="0090751D"/>
    <w:rsid w:val="00907547"/>
    <w:rsid w:val="00907571"/>
    <w:rsid w:val="00907583"/>
    <w:rsid w:val="009075A4"/>
    <w:rsid w:val="009075D0"/>
    <w:rsid w:val="00907644"/>
    <w:rsid w:val="009076BC"/>
    <w:rsid w:val="00907705"/>
    <w:rsid w:val="00907708"/>
    <w:rsid w:val="00907715"/>
    <w:rsid w:val="00907724"/>
    <w:rsid w:val="00907740"/>
    <w:rsid w:val="00907760"/>
    <w:rsid w:val="0090777C"/>
    <w:rsid w:val="0090779E"/>
    <w:rsid w:val="009077A6"/>
    <w:rsid w:val="009077DF"/>
    <w:rsid w:val="009077F5"/>
    <w:rsid w:val="0090783F"/>
    <w:rsid w:val="00907875"/>
    <w:rsid w:val="00907877"/>
    <w:rsid w:val="0090788B"/>
    <w:rsid w:val="00907896"/>
    <w:rsid w:val="009078DB"/>
    <w:rsid w:val="00907977"/>
    <w:rsid w:val="0090798D"/>
    <w:rsid w:val="009079B7"/>
    <w:rsid w:val="00907A19"/>
    <w:rsid w:val="00907A5E"/>
    <w:rsid w:val="00907A82"/>
    <w:rsid w:val="00907A91"/>
    <w:rsid w:val="00907ABD"/>
    <w:rsid w:val="00907ABE"/>
    <w:rsid w:val="00907ADC"/>
    <w:rsid w:val="00907B54"/>
    <w:rsid w:val="00907B87"/>
    <w:rsid w:val="00907B8E"/>
    <w:rsid w:val="00907B96"/>
    <w:rsid w:val="00907B99"/>
    <w:rsid w:val="00907BD9"/>
    <w:rsid w:val="00907BE5"/>
    <w:rsid w:val="00907BE6"/>
    <w:rsid w:val="00907BEE"/>
    <w:rsid w:val="00907C1F"/>
    <w:rsid w:val="00907C38"/>
    <w:rsid w:val="00907C5B"/>
    <w:rsid w:val="00907C98"/>
    <w:rsid w:val="00907CB7"/>
    <w:rsid w:val="00907CD0"/>
    <w:rsid w:val="00907CD8"/>
    <w:rsid w:val="00907CFD"/>
    <w:rsid w:val="00907D24"/>
    <w:rsid w:val="00907D42"/>
    <w:rsid w:val="00907D80"/>
    <w:rsid w:val="00907E09"/>
    <w:rsid w:val="00907E1D"/>
    <w:rsid w:val="00907E29"/>
    <w:rsid w:val="00907E32"/>
    <w:rsid w:val="00907E4C"/>
    <w:rsid w:val="00907E52"/>
    <w:rsid w:val="00907EC0"/>
    <w:rsid w:val="00907EC2"/>
    <w:rsid w:val="00907EFA"/>
    <w:rsid w:val="00907F12"/>
    <w:rsid w:val="00907F1E"/>
    <w:rsid w:val="00907F7A"/>
    <w:rsid w:val="00907F9A"/>
    <w:rsid w:val="00910034"/>
    <w:rsid w:val="0091004B"/>
    <w:rsid w:val="00910065"/>
    <w:rsid w:val="00910082"/>
    <w:rsid w:val="009100BE"/>
    <w:rsid w:val="009100EB"/>
    <w:rsid w:val="009100FF"/>
    <w:rsid w:val="0091019F"/>
    <w:rsid w:val="009101A9"/>
    <w:rsid w:val="009101AC"/>
    <w:rsid w:val="009101E8"/>
    <w:rsid w:val="00910216"/>
    <w:rsid w:val="0091024B"/>
    <w:rsid w:val="009102A6"/>
    <w:rsid w:val="009102E9"/>
    <w:rsid w:val="00910331"/>
    <w:rsid w:val="0091035B"/>
    <w:rsid w:val="00910394"/>
    <w:rsid w:val="009103B4"/>
    <w:rsid w:val="009103DB"/>
    <w:rsid w:val="009103FD"/>
    <w:rsid w:val="0091049D"/>
    <w:rsid w:val="009104F9"/>
    <w:rsid w:val="00910523"/>
    <w:rsid w:val="00910570"/>
    <w:rsid w:val="009105C8"/>
    <w:rsid w:val="009105E1"/>
    <w:rsid w:val="009105E6"/>
    <w:rsid w:val="0091063F"/>
    <w:rsid w:val="009106D5"/>
    <w:rsid w:val="00910717"/>
    <w:rsid w:val="00910773"/>
    <w:rsid w:val="00910777"/>
    <w:rsid w:val="009107FA"/>
    <w:rsid w:val="00910841"/>
    <w:rsid w:val="00910850"/>
    <w:rsid w:val="00910854"/>
    <w:rsid w:val="0091087C"/>
    <w:rsid w:val="009108AB"/>
    <w:rsid w:val="009108B1"/>
    <w:rsid w:val="009108E6"/>
    <w:rsid w:val="009108F3"/>
    <w:rsid w:val="00910918"/>
    <w:rsid w:val="0091091F"/>
    <w:rsid w:val="0091096C"/>
    <w:rsid w:val="009109C4"/>
    <w:rsid w:val="00910A52"/>
    <w:rsid w:val="00910A7E"/>
    <w:rsid w:val="00910A96"/>
    <w:rsid w:val="00910AA4"/>
    <w:rsid w:val="00910AB2"/>
    <w:rsid w:val="00910AB4"/>
    <w:rsid w:val="00910AC0"/>
    <w:rsid w:val="00910AD9"/>
    <w:rsid w:val="00910AEB"/>
    <w:rsid w:val="00910B46"/>
    <w:rsid w:val="00910B4E"/>
    <w:rsid w:val="00910B71"/>
    <w:rsid w:val="00910B85"/>
    <w:rsid w:val="00910C21"/>
    <w:rsid w:val="00910C23"/>
    <w:rsid w:val="00910CA3"/>
    <w:rsid w:val="00910D21"/>
    <w:rsid w:val="00910D32"/>
    <w:rsid w:val="00910D67"/>
    <w:rsid w:val="00910E25"/>
    <w:rsid w:val="00910F46"/>
    <w:rsid w:val="00910F68"/>
    <w:rsid w:val="00910F6A"/>
    <w:rsid w:val="00910F96"/>
    <w:rsid w:val="00910FC6"/>
    <w:rsid w:val="00910FCB"/>
    <w:rsid w:val="0091102C"/>
    <w:rsid w:val="00911031"/>
    <w:rsid w:val="00911051"/>
    <w:rsid w:val="00911087"/>
    <w:rsid w:val="009110B2"/>
    <w:rsid w:val="009110C1"/>
    <w:rsid w:val="009110C5"/>
    <w:rsid w:val="00911101"/>
    <w:rsid w:val="00911117"/>
    <w:rsid w:val="00911126"/>
    <w:rsid w:val="0091112C"/>
    <w:rsid w:val="00911179"/>
    <w:rsid w:val="00911187"/>
    <w:rsid w:val="009111BD"/>
    <w:rsid w:val="009111DA"/>
    <w:rsid w:val="009111E8"/>
    <w:rsid w:val="00911203"/>
    <w:rsid w:val="00911211"/>
    <w:rsid w:val="00911263"/>
    <w:rsid w:val="009112B5"/>
    <w:rsid w:val="009112E2"/>
    <w:rsid w:val="0091130A"/>
    <w:rsid w:val="00911374"/>
    <w:rsid w:val="00911383"/>
    <w:rsid w:val="009113CA"/>
    <w:rsid w:val="0091140B"/>
    <w:rsid w:val="0091142A"/>
    <w:rsid w:val="0091146F"/>
    <w:rsid w:val="009114A1"/>
    <w:rsid w:val="00911576"/>
    <w:rsid w:val="00911627"/>
    <w:rsid w:val="00911637"/>
    <w:rsid w:val="009116B7"/>
    <w:rsid w:val="009116D7"/>
    <w:rsid w:val="009116F4"/>
    <w:rsid w:val="0091170D"/>
    <w:rsid w:val="00911727"/>
    <w:rsid w:val="00911739"/>
    <w:rsid w:val="0091177A"/>
    <w:rsid w:val="00911791"/>
    <w:rsid w:val="0091179E"/>
    <w:rsid w:val="009117B2"/>
    <w:rsid w:val="009117DA"/>
    <w:rsid w:val="009117E1"/>
    <w:rsid w:val="00911867"/>
    <w:rsid w:val="009118B7"/>
    <w:rsid w:val="009118D4"/>
    <w:rsid w:val="009118E0"/>
    <w:rsid w:val="009118EF"/>
    <w:rsid w:val="009118F9"/>
    <w:rsid w:val="0091195C"/>
    <w:rsid w:val="00911966"/>
    <w:rsid w:val="00911974"/>
    <w:rsid w:val="009119DC"/>
    <w:rsid w:val="009119FB"/>
    <w:rsid w:val="00911A28"/>
    <w:rsid w:val="00911A68"/>
    <w:rsid w:val="00911A6F"/>
    <w:rsid w:val="00911AAF"/>
    <w:rsid w:val="00911ABE"/>
    <w:rsid w:val="00911AD3"/>
    <w:rsid w:val="00911ADD"/>
    <w:rsid w:val="00911AFA"/>
    <w:rsid w:val="00911B19"/>
    <w:rsid w:val="00911B2E"/>
    <w:rsid w:val="00911B7B"/>
    <w:rsid w:val="00911B7C"/>
    <w:rsid w:val="00911BAB"/>
    <w:rsid w:val="00911C02"/>
    <w:rsid w:val="00911C20"/>
    <w:rsid w:val="00911C2A"/>
    <w:rsid w:val="00911C2E"/>
    <w:rsid w:val="00911CDA"/>
    <w:rsid w:val="00911CFA"/>
    <w:rsid w:val="00911CFD"/>
    <w:rsid w:val="00911D74"/>
    <w:rsid w:val="00911D78"/>
    <w:rsid w:val="00911DCB"/>
    <w:rsid w:val="00911E12"/>
    <w:rsid w:val="00911E47"/>
    <w:rsid w:val="00911E87"/>
    <w:rsid w:val="00911E90"/>
    <w:rsid w:val="00911F52"/>
    <w:rsid w:val="00911F87"/>
    <w:rsid w:val="00911FA7"/>
    <w:rsid w:val="00911FB2"/>
    <w:rsid w:val="00911FDE"/>
    <w:rsid w:val="00911FE4"/>
    <w:rsid w:val="0091205C"/>
    <w:rsid w:val="0091206D"/>
    <w:rsid w:val="00912080"/>
    <w:rsid w:val="009120C6"/>
    <w:rsid w:val="00912123"/>
    <w:rsid w:val="0091213B"/>
    <w:rsid w:val="00912154"/>
    <w:rsid w:val="009121D1"/>
    <w:rsid w:val="00912266"/>
    <w:rsid w:val="0091226C"/>
    <w:rsid w:val="009122CD"/>
    <w:rsid w:val="00912304"/>
    <w:rsid w:val="00912362"/>
    <w:rsid w:val="00912396"/>
    <w:rsid w:val="009123A3"/>
    <w:rsid w:val="009123E9"/>
    <w:rsid w:val="009124B6"/>
    <w:rsid w:val="009124CF"/>
    <w:rsid w:val="009124F6"/>
    <w:rsid w:val="009124FA"/>
    <w:rsid w:val="0091250B"/>
    <w:rsid w:val="00912559"/>
    <w:rsid w:val="0091255A"/>
    <w:rsid w:val="00912576"/>
    <w:rsid w:val="009125D0"/>
    <w:rsid w:val="00912617"/>
    <w:rsid w:val="00912683"/>
    <w:rsid w:val="00912711"/>
    <w:rsid w:val="00912713"/>
    <w:rsid w:val="00912720"/>
    <w:rsid w:val="0091277E"/>
    <w:rsid w:val="0091279E"/>
    <w:rsid w:val="009127BB"/>
    <w:rsid w:val="009127D1"/>
    <w:rsid w:val="009127F8"/>
    <w:rsid w:val="009127FA"/>
    <w:rsid w:val="00912807"/>
    <w:rsid w:val="00912810"/>
    <w:rsid w:val="0091282A"/>
    <w:rsid w:val="0091282D"/>
    <w:rsid w:val="0091285D"/>
    <w:rsid w:val="00912876"/>
    <w:rsid w:val="00912887"/>
    <w:rsid w:val="0091289D"/>
    <w:rsid w:val="009128B9"/>
    <w:rsid w:val="009128CD"/>
    <w:rsid w:val="009128E9"/>
    <w:rsid w:val="009128ED"/>
    <w:rsid w:val="00912908"/>
    <w:rsid w:val="00912945"/>
    <w:rsid w:val="00912957"/>
    <w:rsid w:val="00912994"/>
    <w:rsid w:val="009129AA"/>
    <w:rsid w:val="009129F8"/>
    <w:rsid w:val="00912A2A"/>
    <w:rsid w:val="00912A7D"/>
    <w:rsid w:val="00912A93"/>
    <w:rsid w:val="00912B5B"/>
    <w:rsid w:val="00912B5E"/>
    <w:rsid w:val="00912B71"/>
    <w:rsid w:val="00912B8B"/>
    <w:rsid w:val="00912BCC"/>
    <w:rsid w:val="00912BD6"/>
    <w:rsid w:val="00912C11"/>
    <w:rsid w:val="00912C6C"/>
    <w:rsid w:val="00912CCB"/>
    <w:rsid w:val="00912CCD"/>
    <w:rsid w:val="00912CD6"/>
    <w:rsid w:val="00912D06"/>
    <w:rsid w:val="00912D11"/>
    <w:rsid w:val="00912D23"/>
    <w:rsid w:val="00912D7D"/>
    <w:rsid w:val="00912D95"/>
    <w:rsid w:val="00912E0D"/>
    <w:rsid w:val="00912E59"/>
    <w:rsid w:val="00912E5F"/>
    <w:rsid w:val="00912E8B"/>
    <w:rsid w:val="00912E9F"/>
    <w:rsid w:val="00912EB8"/>
    <w:rsid w:val="00912ECD"/>
    <w:rsid w:val="00912EE0"/>
    <w:rsid w:val="00912F19"/>
    <w:rsid w:val="00912F26"/>
    <w:rsid w:val="00912F3C"/>
    <w:rsid w:val="00912F4B"/>
    <w:rsid w:val="00912FAD"/>
    <w:rsid w:val="00912FDC"/>
    <w:rsid w:val="00913058"/>
    <w:rsid w:val="00913070"/>
    <w:rsid w:val="009130AE"/>
    <w:rsid w:val="009130B4"/>
    <w:rsid w:val="009131D3"/>
    <w:rsid w:val="009131F0"/>
    <w:rsid w:val="009131FD"/>
    <w:rsid w:val="00913215"/>
    <w:rsid w:val="0091321A"/>
    <w:rsid w:val="0091321C"/>
    <w:rsid w:val="0091323B"/>
    <w:rsid w:val="0091335C"/>
    <w:rsid w:val="0091335D"/>
    <w:rsid w:val="00913393"/>
    <w:rsid w:val="009133C2"/>
    <w:rsid w:val="00913421"/>
    <w:rsid w:val="0091344D"/>
    <w:rsid w:val="009134E3"/>
    <w:rsid w:val="00913518"/>
    <w:rsid w:val="00913531"/>
    <w:rsid w:val="00913535"/>
    <w:rsid w:val="00913545"/>
    <w:rsid w:val="0091359C"/>
    <w:rsid w:val="0091364D"/>
    <w:rsid w:val="0091365E"/>
    <w:rsid w:val="00913756"/>
    <w:rsid w:val="009137D0"/>
    <w:rsid w:val="0091380B"/>
    <w:rsid w:val="00913822"/>
    <w:rsid w:val="0091384E"/>
    <w:rsid w:val="00913866"/>
    <w:rsid w:val="0091387C"/>
    <w:rsid w:val="00913880"/>
    <w:rsid w:val="0091389D"/>
    <w:rsid w:val="009138A9"/>
    <w:rsid w:val="009138AF"/>
    <w:rsid w:val="00913929"/>
    <w:rsid w:val="00913960"/>
    <w:rsid w:val="00913972"/>
    <w:rsid w:val="009139D9"/>
    <w:rsid w:val="009139F8"/>
    <w:rsid w:val="00913A6E"/>
    <w:rsid w:val="00913A97"/>
    <w:rsid w:val="00913A98"/>
    <w:rsid w:val="00913BA8"/>
    <w:rsid w:val="00913BC8"/>
    <w:rsid w:val="00913C03"/>
    <w:rsid w:val="00913C99"/>
    <w:rsid w:val="00913D4D"/>
    <w:rsid w:val="00913DD7"/>
    <w:rsid w:val="00913E70"/>
    <w:rsid w:val="00913E79"/>
    <w:rsid w:val="00913EFC"/>
    <w:rsid w:val="00913FA5"/>
    <w:rsid w:val="00913FBC"/>
    <w:rsid w:val="00914005"/>
    <w:rsid w:val="0091401D"/>
    <w:rsid w:val="00914083"/>
    <w:rsid w:val="009140B8"/>
    <w:rsid w:val="009140D7"/>
    <w:rsid w:val="009140E2"/>
    <w:rsid w:val="0091413B"/>
    <w:rsid w:val="0091415F"/>
    <w:rsid w:val="00914169"/>
    <w:rsid w:val="0091418A"/>
    <w:rsid w:val="0091418D"/>
    <w:rsid w:val="00914195"/>
    <w:rsid w:val="009141A8"/>
    <w:rsid w:val="009141DD"/>
    <w:rsid w:val="00914241"/>
    <w:rsid w:val="00914256"/>
    <w:rsid w:val="00914296"/>
    <w:rsid w:val="0091430D"/>
    <w:rsid w:val="00914382"/>
    <w:rsid w:val="009143D7"/>
    <w:rsid w:val="00914402"/>
    <w:rsid w:val="00914485"/>
    <w:rsid w:val="00914497"/>
    <w:rsid w:val="009144E1"/>
    <w:rsid w:val="009144E7"/>
    <w:rsid w:val="00914532"/>
    <w:rsid w:val="00914553"/>
    <w:rsid w:val="0091456B"/>
    <w:rsid w:val="0091456E"/>
    <w:rsid w:val="0091459A"/>
    <w:rsid w:val="0091459F"/>
    <w:rsid w:val="009145A4"/>
    <w:rsid w:val="009145FD"/>
    <w:rsid w:val="0091460F"/>
    <w:rsid w:val="009146AF"/>
    <w:rsid w:val="009146C7"/>
    <w:rsid w:val="009146DA"/>
    <w:rsid w:val="009146F0"/>
    <w:rsid w:val="00914701"/>
    <w:rsid w:val="0091471F"/>
    <w:rsid w:val="00914739"/>
    <w:rsid w:val="00914748"/>
    <w:rsid w:val="009147B6"/>
    <w:rsid w:val="009147FC"/>
    <w:rsid w:val="00914863"/>
    <w:rsid w:val="0091486C"/>
    <w:rsid w:val="009148C7"/>
    <w:rsid w:val="009148FF"/>
    <w:rsid w:val="00914920"/>
    <w:rsid w:val="0091496A"/>
    <w:rsid w:val="00914974"/>
    <w:rsid w:val="00914A19"/>
    <w:rsid w:val="00914A38"/>
    <w:rsid w:val="00914A39"/>
    <w:rsid w:val="00914A56"/>
    <w:rsid w:val="00914A69"/>
    <w:rsid w:val="00914A7E"/>
    <w:rsid w:val="00914AEE"/>
    <w:rsid w:val="00914B1C"/>
    <w:rsid w:val="00914B20"/>
    <w:rsid w:val="00914BA1"/>
    <w:rsid w:val="00914BC7"/>
    <w:rsid w:val="00914BE1"/>
    <w:rsid w:val="00914C86"/>
    <w:rsid w:val="00914C9A"/>
    <w:rsid w:val="00914C9C"/>
    <w:rsid w:val="00914CEC"/>
    <w:rsid w:val="00914D51"/>
    <w:rsid w:val="00914D80"/>
    <w:rsid w:val="00914E57"/>
    <w:rsid w:val="00914E87"/>
    <w:rsid w:val="00914EAA"/>
    <w:rsid w:val="00914ED3"/>
    <w:rsid w:val="00914EDD"/>
    <w:rsid w:val="00914EDF"/>
    <w:rsid w:val="00914EF6"/>
    <w:rsid w:val="00914F03"/>
    <w:rsid w:val="00914F32"/>
    <w:rsid w:val="00914F68"/>
    <w:rsid w:val="00914F86"/>
    <w:rsid w:val="00914FF7"/>
    <w:rsid w:val="00914FF9"/>
    <w:rsid w:val="00914FFD"/>
    <w:rsid w:val="0091501F"/>
    <w:rsid w:val="0091503D"/>
    <w:rsid w:val="0091509D"/>
    <w:rsid w:val="009150D7"/>
    <w:rsid w:val="00915143"/>
    <w:rsid w:val="0091515E"/>
    <w:rsid w:val="00915169"/>
    <w:rsid w:val="009151B3"/>
    <w:rsid w:val="00915222"/>
    <w:rsid w:val="0091524C"/>
    <w:rsid w:val="0091526C"/>
    <w:rsid w:val="00915279"/>
    <w:rsid w:val="00915328"/>
    <w:rsid w:val="0091532F"/>
    <w:rsid w:val="00915367"/>
    <w:rsid w:val="009153DB"/>
    <w:rsid w:val="0091549C"/>
    <w:rsid w:val="00915527"/>
    <w:rsid w:val="0091557C"/>
    <w:rsid w:val="0091558E"/>
    <w:rsid w:val="009155AA"/>
    <w:rsid w:val="009155CE"/>
    <w:rsid w:val="009155CF"/>
    <w:rsid w:val="009155D0"/>
    <w:rsid w:val="00915612"/>
    <w:rsid w:val="00915630"/>
    <w:rsid w:val="0091563A"/>
    <w:rsid w:val="0091565B"/>
    <w:rsid w:val="0091568E"/>
    <w:rsid w:val="009156AB"/>
    <w:rsid w:val="009156C2"/>
    <w:rsid w:val="009156D7"/>
    <w:rsid w:val="00915757"/>
    <w:rsid w:val="00915782"/>
    <w:rsid w:val="009157B1"/>
    <w:rsid w:val="009157E3"/>
    <w:rsid w:val="009157F5"/>
    <w:rsid w:val="0091580C"/>
    <w:rsid w:val="00915810"/>
    <w:rsid w:val="00915815"/>
    <w:rsid w:val="00915833"/>
    <w:rsid w:val="00915839"/>
    <w:rsid w:val="0091583F"/>
    <w:rsid w:val="00915861"/>
    <w:rsid w:val="00915871"/>
    <w:rsid w:val="00915908"/>
    <w:rsid w:val="0091592C"/>
    <w:rsid w:val="0091593F"/>
    <w:rsid w:val="00915972"/>
    <w:rsid w:val="009159C1"/>
    <w:rsid w:val="009159C9"/>
    <w:rsid w:val="009159D2"/>
    <w:rsid w:val="009159D4"/>
    <w:rsid w:val="009159D9"/>
    <w:rsid w:val="00915A03"/>
    <w:rsid w:val="00915A33"/>
    <w:rsid w:val="00915A5B"/>
    <w:rsid w:val="00915A67"/>
    <w:rsid w:val="00915A6B"/>
    <w:rsid w:val="00915A8C"/>
    <w:rsid w:val="00915A92"/>
    <w:rsid w:val="00915AC4"/>
    <w:rsid w:val="00915B63"/>
    <w:rsid w:val="00915B96"/>
    <w:rsid w:val="00915B97"/>
    <w:rsid w:val="00915B9F"/>
    <w:rsid w:val="00915BC7"/>
    <w:rsid w:val="00915C0C"/>
    <w:rsid w:val="00915C6B"/>
    <w:rsid w:val="00915C7C"/>
    <w:rsid w:val="00915C9A"/>
    <w:rsid w:val="00915CEB"/>
    <w:rsid w:val="00915D3C"/>
    <w:rsid w:val="00915D73"/>
    <w:rsid w:val="00915D7A"/>
    <w:rsid w:val="00915D9B"/>
    <w:rsid w:val="00915DA7"/>
    <w:rsid w:val="00915DB0"/>
    <w:rsid w:val="00915DE0"/>
    <w:rsid w:val="00915DE8"/>
    <w:rsid w:val="00915E31"/>
    <w:rsid w:val="00915E5B"/>
    <w:rsid w:val="00915EA4"/>
    <w:rsid w:val="00915EAD"/>
    <w:rsid w:val="00915EF0"/>
    <w:rsid w:val="00915F30"/>
    <w:rsid w:val="00915F36"/>
    <w:rsid w:val="00915F6F"/>
    <w:rsid w:val="00915FAA"/>
    <w:rsid w:val="00915FD4"/>
    <w:rsid w:val="00915FF5"/>
    <w:rsid w:val="00916066"/>
    <w:rsid w:val="009160E6"/>
    <w:rsid w:val="00916139"/>
    <w:rsid w:val="0091617C"/>
    <w:rsid w:val="00916189"/>
    <w:rsid w:val="009161BA"/>
    <w:rsid w:val="009161CA"/>
    <w:rsid w:val="009161EF"/>
    <w:rsid w:val="0091621E"/>
    <w:rsid w:val="00916227"/>
    <w:rsid w:val="00916240"/>
    <w:rsid w:val="0091629E"/>
    <w:rsid w:val="0091637C"/>
    <w:rsid w:val="009163A4"/>
    <w:rsid w:val="009163A9"/>
    <w:rsid w:val="009163AB"/>
    <w:rsid w:val="0091640B"/>
    <w:rsid w:val="00916430"/>
    <w:rsid w:val="00916448"/>
    <w:rsid w:val="0091645B"/>
    <w:rsid w:val="009164EE"/>
    <w:rsid w:val="009164F5"/>
    <w:rsid w:val="009164FA"/>
    <w:rsid w:val="0091654F"/>
    <w:rsid w:val="0091659B"/>
    <w:rsid w:val="009165B6"/>
    <w:rsid w:val="009165BC"/>
    <w:rsid w:val="009166AC"/>
    <w:rsid w:val="009166D3"/>
    <w:rsid w:val="00916716"/>
    <w:rsid w:val="00916717"/>
    <w:rsid w:val="00916786"/>
    <w:rsid w:val="009167A3"/>
    <w:rsid w:val="0091684B"/>
    <w:rsid w:val="00916851"/>
    <w:rsid w:val="00916869"/>
    <w:rsid w:val="00916881"/>
    <w:rsid w:val="009168AA"/>
    <w:rsid w:val="009168B8"/>
    <w:rsid w:val="009168DF"/>
    <w:rsid w:val="00916913"/>
    <w:rsid w:val="00916928"/>
    <w:rsid w:val="009169E6"/>
    <w:rsid w:val="00916A27"/>
    <w:rsid w:val="00916A2D"/>
    <w:rsid w:val="00916B05"/>
    <w:rsid w:val="00916B0A"/>
    <w:rsid w:val="00916B75"/>
    <w:rsid w:val="00916C6D"/>
    <w:rsid w:val="00916C81"/>
    <w:rsid w:val="00916C9A"/>
    <w:rsid w:val="00916CFE"/>
    <w:rsid w:val="00916D35"/>
    <w:rsid w:val="00916D36"/>
    <w:rsid w:val="00916DA8"/>
    <w:rsid w:val="00916DAD"/>
    <w:rsid w:val="00916DD1"/>
    <w:rsid w:val="00916E16"/>
    <w:rsid w:val="00916E93"/>
    <w:rsid w:val="00916ECB"/>
    <w:rsid w:val="00916ED2"/>
    <w:rsid w:val="00916F25"/>
    <w:rsid w:val="00916F51"/>
    <w:rsid w:val="00916F9C"/>
    <w:rsid w:val="00916FBC"/>
    <w:rsid w:val="00916FCD"/>
    <w:rsid w:val="00917000"/>
    <w:rsid w:val="0091704E"/>
    <w:rsid w:val="009170B2"/>
    <w:rsid w:val="009170B9"/>
    <w:rsid w:val="009170E5"/>
    <w:rsid w:val="009170EA"/>
    <w:rsid w:val="00917174"/>
    <w:rsid w:val="009171A8"/>
    <w:rsid w:val="0091721D"/>
    <w:rsid w:val="00917282"/>
    <w:rsid w:val="0091733B"/>
    <w:rsid w:val="0091733F"/>
    <w:rsid w:val="0091743E"/>
    <w:rsid w:val="00917476"/>
    <w:rsid w:val="009174C7"/>
    <w:rsid w:val="009174CA"/>
    <w:rsid w:val="009174DC"/>
    <w:rsid w:val="0091753E"/>
    <w:rsid w:val="00917568"/>
    <w:rsid w:val="00917578"/>
    <w:rsid w:val="009175E2"/>
    <w:rsid w:val="009176C5"/>
    <w:rsid w:val="009176E3"/>
    <w:rsid w:val="00917773"/>
    <w:rsid w:val="009177A3"/>
    <w:rsid w:val="009177CA"/>
    <w:rsid w:val="009177D1"/>
    <w:rsid w:val="00917814"/>
    <w:rsid w:val="00917832"/>
    <w:rsid w:val="00917838"/>
    <w:rsid w:val="00917878"/>
    <w:rsid w:val="00917886"/>
    <w:rsid w:val="00917894"/>
    <w:rsid w:val="0091792A"/>
    <w:rsid w:val="00917A1A"/>
    <w:rsid w:val="00917A4A"/>
    <w:rsid w:val="00917A4B"/>
    <w:rsid w:val="00917A59"/>
    <w:rsid w:val="00917A66"/>
    <w:rsid w:val="00917A82"/>
    <w:rsid w:val="00917AC9"/>
    <w:rsid w:val="00917B32"/>
    <w:rsid w:val="00917B98"/>
    <w:rsid w:val="00917D1C"/>
    <w:rsid w:val="00917D91"/>
    <w:rsid w:val="00917E28"/>
    <w:rsid w:val="00917E78"/>
    <w:rsid w:val="00917EAB"/>
    <w:rsid w:val="00917EE8"/>
    <w:rsid w:val="00917F05"/>
    <w:rsid w:val="00917F2D"/>
    <w:rsid w:val="00917F42"/>
    <w:rsid w:val="00917F48"/>
    <w:rsid w:val="00917F60"/>
    <w:rsid w:val="00917F7F"/>
    <w:rsid w:val="00917F98"/>
    <w:rsid w:val="00917F9A"/>
    <w:rsid w:val="00917FB8"/>
    <w:rsid w:val="00917FC4"/>
    <w:rsid w:val="0092000A"/>
    <w:rsid w:val="00920038"/>
    <w:rsid w:val="00920068"/>
    <w:rsid w:val="009200A9"/>
    <w:rsid w:val="009200BD"/>
    <w:rsid w:val="009200D5"/>
    <w:rsid w:val="009200FB"/>
    <w:rsid w:val="00920171"/>
    <w:rsid w:val="00920182"/>
    <w:rsid w:val="00920237"/>
    <w:rsid w:val="00920265"/>
    <w:rsid w:val="009202D5"/>
    <w:rsid w:val="009202E5"/>
    <w:rsid w:val="00920333"/>
    <w:rsid w:val="0092034D"/>
    <w:rsid w:val="009203FF"/>
    <w:rsid w:val="00920446"/>
    <w:rsid w:val="00920460"/>
    <w:rsid w:val="00920484"/>
    <w:rsid w:val="009204BC"/>
    <w:rsid w:val="0092053C"/>
    <w:rsid w:val="009205BB"/>
    <w:rsid w:val="009205D1"/>
    <w:rsid w:val="00920616"/>
    <w:rsid w:val="00920622"/>
    <w:rsid w:val="00920625"/>
    <w:rsid w:val="0092066E"/>
    <w:rsid w:val="00920679"/>
    <w:rsid w:val="00920684"/>
    <w:rsid w:val="0092068B"/>
    <w:rsid w:val="009206B8"/>
    <w:rsid w:val="009206D3"/>
    <w:rsid w:val="0092074D"/>
    <w:rsid w:val="00920752"/>
    <w:rsid w:val="0092076E"/>
    <w:rsid w:val="00920793"/>
    <w:rsid w:val="00920795"/>
    <w:rsid w:val="00920799"/>
    <w:rsid w:val="00920804"/>
    <w:rsid w:val="00920860"/>
    <w:rsid w:val="00920866"/>
    <w:rsid w:val="00920878"/>
    <w:rsid w:val="00920885"/>
    <w:rsid w:val="00920886"/>
    <w:rsid w:val="00920893"/>
    <w:rsid w:val="009208BA"/>
    <w:rsid w:val="009208DC"/>
    <w:rsid w:val="00920969"/>
    <w:rsid w:val="00920992"/>
    <w:rsid w:val="009209AD"/>
    <w:rsid w:val="009209D7"/>
    <w:rsid w:val="009209E3"/>
    <w:rsid w:val="009209F2"/>
    <w:rsid w:val="00920A04"/>
    <w:rsid w:val="00920A27"/>
    <w:rsid w:val="00920A47"/>
    <w:rsid w:val="00920B4C"/>
    <w:rsid w:val="00920B58"/>
    <w:rsid w:val="00920B6D"/>
    <w:rsid w:val="00920BC7"/>
    <w:rsid w:val="00920C2C"/>
    <w:rsid w:val="00920C43"/>
    <w:rsid w:val="00920C59"/>
    <w:rsid w:val="00920C63"/>
    <w:rsid w:val="00920C8B"/>
    <w:rsid w:val="00920C96"/>
    <w:rsid w:val="00920CED"/>
    <w:rsid w:val="00920D9D"/>
    <w:rsid w:val="00920DEF"/>
    <w:rsid w:val="00920DF4"/>
    <w:rsid w:val="00920E31"/>
    <w:rsid w:val="00920E4D"/>
    <w:rsid w:val="00920E52"/>
    <w:rsid w:val="00920F65"/>
    <w:rsid w:val="00920FD7"/>
    <w:rsid w:val="00920FF6"/>
    <w:rsid w:val="00921019"/>
    <w:rsid w:val="009210A2"/>
    <w:rsid w:val="009210A9"/>
    <w:rsid w:val="009210F2"/>
    <w:rsid w:val="0092113C"/>
    <w:rsid w:val="00921178"/>
    <w:rsid w:val="0092117A"/>
    <w:rsid w:val="009211BF"/>
    <w:rsid w:val="009211CC"/>
    <w:rsid w:val="00921203"/>
    <w:rsid w:val="0092121E"/>
    <w:rsid w:val="00921234"/>
    <w:rsid w:val="00921237"/>
    <w:rsid w:val="00921255"/>
    <w:rsid w:val="009212BA"/>
    <w:rsid w:val="009212D8"/>
    <w:rsid w:val="00921318"/>
    <w:rsid w:val="0092131F"/>
    <w:rsid w:val="0092133F"/>
    <w:rsid w:val="00921349"/>
    <w:rsid w:val="0092139C"/>
    <w:rsid w:val="009213E6"/>
    <w:rsid w:val="00921467"/>
    <w:rsid w:val="0092149B"/>
    <w:rsid w:val="00921515"/>
    <w:rsid w:val="0092154F"/>
    <w:rsid w:val="0092156B"/>
    <w:rsid w:val="0092157A"/>
    <w:rsid w:val="0092157E"/>
    <w:rsid w:val="009215B6"/>
    <w:rsid w:val="00921650"/>
    <w:rsid w:val="00921654"/>
    <w:rsid w:val="0092166C"/>
    <w:rsid w:val="0092171D"/>
    <w:rsid w:val="0092171F"/>
    <w:rsid w:val="00921732"/>
    <w:rsid w:val="00921766"/>
    <w:rsid w:val="0092178C"/>
    <w:rsid w:val="00921797"/>
    <w:rsid w:val="009217C0"/>
    <w:rsid w:val="009217C2"/>
    <w:rsid w:val="0092180D"/>
    <w:rsid w:val="00921839"/>
    <w:rsid w:val="00921898"/>
    <w:rsid w:val="009218BD"/>
    <w:rsid w:val="00921948"/>
    <w:rsid w:val="00921961"/>
    <w:rsid w:val="009219CC"/>
    <w:rsid w:val="00921AAF"/>
    <w:rsid w:val="00921B05"/>
    <w:rsid w:val="00921B58"/>
    <w:rsid w:val="00921B70"/>
    <w:rsid w:val="00921B83"/>
    <w:rsid w:val="00921BA7"/>
    <w:rsid w:val="00921BA8"/>
    <w:rsid w:val="00921BAD"/>
    <w:rsid w:val="00921C3C"/>
    <w:rsid w:val="00921C4B"/>
    <w:rsid w:val="00921C66"/>
    <w:rsid w:val="00921C78"/>
    <w:rsid w:val="00921D00"/>
    <w:rsid w:val="00921D3F"/>
    <w:rsid w:val="00921D7E"/>
    <w:rsid w:val="00921DA2"/>
    <w:rsid w:val="00921DDE"/>
    <w:rsid w:val="00921E1C"/>
    <w:rsid w:val="00921E26"/>
    <w:rsid w:val="00921EC9"/>
    <w:rsid w:val="00921EF1"/>
    <w:rsid w:val="00921F0A"/>
    <w:rsid w:val="00921F47"/>
    <w:rsid w:val="00921F84"/>
    <w:rsid w:val="00921FEC"/>
    <w:rsid w:val="00922021"/>
    <w:rsid w:val="0092202D"/>
    <w:rsid w:val="00922087"/>
    <w:rsid w:val="0092212A"/>
    <w:rsid w:val="00922134"/>
    <w:rsid w:val="00922139"/>
    <w:rsid w:val="00922142"/>
    <w:rsid w:val="00922185"/>
    <w:rsid w:val="009221A8"/>
    <w:rsid w:val="009221B7"/>
    <w:rsid w:val="009221E9"/>
    <w:rsid w:val="009221FE"/>
    <w:rsid w:val="00922205"/>
    <w:rsid w:val="0092220E"/>
    <w:rsid w:val="00922216"/>
    <w:rsid w:val="00922250"/>
    <w:rsid w:val="0092227E"/>
    <w:rsid w:val="009222EC"/>
    <w:rsid w:val="009222F2"/>
    <w:rsid w:val="00922328"/>
    <w:rsid w:val="00922354"/>
    <w:rsid w:val="0092236C"/>
    <w:rsid w:val="0092238C"/>
    <w:rsid w:val="009223BB"/>
    <w:rsid w:val="0092249E"/>
    <w:rsid w:val="00922523"/>
    <w:rsid w:val="00922563"/>
    <w:rsid w:val="00922581"/>
    <w:rsid w:val="0092259B"/>
    <w:rsid w:val="0092260D"/>
    <w:rsid w:val="00922618"/>
    <w:rsid w:val="0092261C"/>
    <w:rsid w:val="0092262C"/>
    <w:rsid w:val="00922649"/>
    <w:rsid w:val="00922652"/>
    <w:rsid w:val="009226F7"/>
    <w:rsid w:val="00922707"/>
    <w:rsid w:val="0092271C"/>
    <w:rsid w:val="0092271F"/>
    <w:rsid w:val="00922733"/>
    <w:rsid w:val="0092274B"/>
    <w:rsid w:val="00922819"/>
    <w:rsid w:val="00922836"/>
    <w:rsid w:val="009228D9"/>
    <w:rsid w:val="009228E3"/>
    <w:rsid w:val="0092290D"/>
    <w:rsid w:val="00922931"/>
    <w:rsid w:val="009229BD"/>
    <w:rsid w:val="00922A2E"/>
    <w:rsid w:val="00922A81"/>
    <w:rsid w:val="00922AAD"/>
    <w:rsid w:val="00922AB8"/>
    <w:rsid w:val="00922AD3"/>
    <w:rsid w:val="00922B03"/>
    <w:rsid w:val="00922B23"/>
    <w:rsid w:val="00922B3C"/>
    <w:rsid w:val="00922C1B"/>
    <w:rsid w:val="00922C32"/>
    <w:rsid w:val="00922C89"/>
    <w:rsid w:val="00922C9B"/>
    <w:rsid w:val="00922CB9"/>
    <w:rsid w:val="00922D1C"/>
    <w:rsid w:val="00922D23"/>
    <w:rsid w:val="00922D42"/>
    <w:rsid w:val="00922D6A"/>
    <w:rsid w:val="00922DC7"/>
    <w:rsid w:val="00922DF3"/>
    <w:rsid w:val="00922E9D"/>
    <w:rsid w:val="00922F08"/>
    <w:rsid w:val="00922F44"/>
    <w:rsid w:val="00922F5C"/>
    <w:rsid w:val="00922F8D"/>
    <w:rsid w:val="0092304F"/>
    <w:rsid w:val="00923070"/>
    <w:rsid w:val="00923088"/>
    <w:rsid w:val="0092320F"/>
    <w:rsid w:val="00923319"/>
    <w:rsid w:val="009233F1"/>
    <w:rsid w:val="009233FE"/>
    <w:rsid w:val="00923467"/>
    <w:rsid w:val="00923483"/>
    <w:rsid w:val="009234F4"/>
    <w:rsid w:val="0092352E"/>
    <w:rsid w:val="00923541"/>
    <w:rsid w:val="009235BB"/>
    <w:rsid w:val="009235C5"/>
    <w:rsid w:val="009235FA"/>
    <w:rsid w:val="009235FE"/>
    <w:rsid w:val="00923668"/>
    <w:rsid w:val="00923675"/>
    <w:rsid w:val="009236A2"/>
    <w:rsid w:val="009236AB"/>
    <w:rsid w:val="009236C4"/>
    <w:rsid w:val="009236E7"/>
    <w:rsid w:val="00923791"/>
    <w:rsid w:val="009237CA"/>
    <w:rsid w:val="009237D1"/>
    <w:rsid w:val="009237EA"/>
    <w:rsid w:val="0092381F"/>
    <w:rsid w:val="00923847"/>
    <w:rsid w:val="0092386B"/>
    <w:rsid w:val="009238E5"/>
    <w:rsid w:val="00923936"/>
    <w:rsid w:val="00923982"/>
    <w:rsid w:val="009239CC"/>
    <w:rsid w:val="009239F3"/>
    <w:rsid w:val="009239F4"/>
    <w:rsid w:val="00923A24"/>
    <w:rsid w:val="00923A46"/>
    <w:rsid w:val="00923A54"/>
    <w:rsid w:val="00923A91"/>
    <w:rsid w:val="00923AAD"/>
    <w:rsid w:val="00923ABA"/>
    <w:rsid w:val="00923ADE"/>
    <w:rsid w:val="00923B03"/>
    <w:rsid w:val="00923B37"/>
    <w:rsid w:val="00923B68"/>
    <w:rsid w:val="00923BC1"/>
    <w:rsid w:val="00923C1D"/>
    <w:rsid w:val="00923D73"/>
    <w:rsid w:val="00923D78"/>
    <w:rsid w:val="00923D7A"/>
    <w:rsid w:val="00923DB3"/>
    <w:rsid w:val="00923E27"/>
    <w:rsid w:val="00923E3D"/>
    <w:rsid w:val="00923EC6"/>
    <w:rsid w:val="00923EDF"/>
    <w:rsid w:val="00923EED"/>
    <w:rsid w:val="00923EF6"/>
    <w:rsid w:val="00923F28"/>
    <w:rsid w:val="00923F42"/>
    <w:rsid w:val="00924062"/>
    <w:rsid w:val="00924070"/>
    <w:rsid w:val="0092409C"/>
    <w:rsid w:val="009240AC"/>
    <w:rsid w:val="009240DA"/>
    <w:rsid w:val="00924123"/>
    <w:rsid w:val="00924184"/>
    <w:rsid w:val="009241DD"/>
    <w:rsid w:val="009241E8"/>
    <w:rsid w:val="00924219"/>
    <w:rsid w:val="0092421A"/>
    <w:rsid w:val="0092421B"/>
    <w:rsid w:val="0092422F"/>
    <w:rsid w:val="0092425B"/>
    <w:rsid w:val="0092425C"/>
    <w:rsid w:val="00924285"/>
    <w:rsid w:val="009242CA"/>
    <w:rsid w:val="009242F7"/>
    <w:rsid w:val="00924303"/>
    <w:rsid w:val="00924367"/>
    <w:rsid w:val="00924394"/>
    <w:rsid w:val="009243AA"/>
    <w:rsid w:val="009243E8"/>
    <w:rsid w:val="00924402"/>
    <w:rsid w:val="00924422"/>
    <w:rsid w:val="00924436"/>
    <w:rsid w:val="0092446A"/>
    <w:rsid w:val="009244D5"/>
    <w:rsid w:val="009244FE"/>
    <w:rsid w:val="00924500"/>
    <w:rsid w:val="0092453B"/>
    <w:rsid w:val="00924556"/>
    <w:rsid w:val="00924577"/>
    <w:rsid w:val="00924581"/>
    <w:rsid w:val="009245A8"/>
    <w:rsid w:val="009245AB"/>
    <w:rsid w:val="009245DC"/>
    <w:rsid w:val="0092461A"/>
    <w:rsid w:val="00924697"/>
    <w:rsid w:val="00924701"/>
    <w:rsid w:val="0092470C"/>
    <w:rsid w:val="0092477F"/>
    <w:rsid w:val="00924797"/>
    <w:rsid w:val="009247BF"/>
    <w:rsid w:val="009247E7"/>
    <w:rsid w:val="0092481D"/>
    <w:rsid w:val="0092484B"/>
    <w:rsid w:val="009248F8"/>
    <w:rsid w:val="009248F9"/>
    <w:rsid w:val="009249B1"/>
    <w:rsid w:val="009249B4"/>
    <w:rsid w:val="009249B8"/>
    <w:rsid w:val="009249ED"/>
    <w:rsid w:val="009249EF"/>
    <w:rsid w:val="00924A7F"/>
    <w:rsid w:val="00924A97"/>
    <w:rsid w:val="00924AA7"/>
    <w:rsid w:val="00924AB8"/>
    <w:rsid w:val="00924AEB"/>
    <w:rsid w:val="00924B28"/>
    <w:rsid w:val="00924B34"/>
    <w:rsid w:val="00924B81"/>
    <w:rsid w:val="00924BC5"/>
    <w:rsid w:val="00924BD9"/>
    <w:rsid w:val="00924BDE"/>
    <w:rsid w:val="00924C07"/>
    <w:rsid w:val="00924C30"/>
    <w:rsid w:val="00924C40"/>
    <w:rsid w:val="00924C83"/>
    <w:rsid w:val="00924CF7"/>
    <w:rsid w:val="00924D20"/>
    <w:rsid w:val="00924D43"/>
    <w:rsid w:val="00924DD4"/>
    <w:rsid w:val="00924DDA"/>
    <w:rsid w:val="00924E43"/>
    <w:rsid w:val="00924E4C"/>
    <w:rsid w:val="00924E5F"/>
    <w:rsid w:val="00924E6C"/>
    <w:rsid w:val="00924E80"/>
    <w:rsid w:val="00924E83"/>
    <w:rsid w:val="00924EC3"/>
    <w:rsid w:val="00924F1F"/>
    <w:rsid w:val="00924F70"/>
    <w:rsid w:val="00924FA2"/>
    <w:rsid w:val="00924FFE"/>
    <w:rsid w:val="00925027"/>
    <w:rsid w:val="00925045"/>
    <w:rsid w:val="00925086"/>
    <w:rsid w:val="00925089"/>
    <w:rsid w:val="00925140"/>
    <w:rsid w:val="00925165"/>
    <w:rsid w:val="00925185"/>
    <w:rsid w:val="00925186"/>
    <w:rsid w:val="0092519F"/>
    <w:rsid w:val="0092527D"/>
    <w:rsid w:val="009252B6"/>
    <w:rsid w:val="009252C6"/>
    <w:rsid w:val="00925318"/>
    <w:rsid w:val="00925335"/>
    <w:rsid w:val="009253A3"/>
    <w:rsid w:val="009253BB"/>
    <w:rsid w:val="009253F5"/>
    <w:rsid w:val="009253FF"/>
    <w:rsid w:val="00925420"/>
    <w:rsid w:val="0092542A"/>
    <w:rsid w:val="00925438"/>
    <w:rsid w:val="00925451"/>
    <w:rsid w:val="0092547F"/>
    <w:rsid w:val="00925480"/>
    <w:rsid w:val="009254B2"/>
    <w:rsid w:val="009254CA"/>
    <w:rsid w:val="009254F0"/>
    <w:rsid w:val="0092551D"/>
    <w:rsid w:val="0092557D"/>
    <w:rsid w:val="0092557E"/>
    <w:rsid w:val="009255BD"/>
    <w:rsid w:val="0092568B"/>
    <w:rsid w:val="00925701"/>
    <w:rsid w:val="0092573B"/>
    <w:rsid w:val="00925798"/>
    <w:rsid w:val="009257DC"/>
    <w:rsid w:val="0092584B"/>
    <w:rsid w:val="0092585D"/>
    <w:rsid w:val="0092588C"/>
    <w:rsid w:val="009258B6"/>
    <w:rsid w:val="009258D0"/>
    <w:rsid w:val="009258DE"/>
    <w:rsid w:val="00925934"/>
    <w:rsid w:val="00925966"/>
    <w:rsid w:val="0092597E"/>
    <w:rsid w:val="00925985"/>
    <w:rsid w:val="009259B4"/>
    <w:rsid w:val="009259C0"/>
    <w:rsid w:val="009259C5"/>
    <w:rsid w:val="009259FD"/>
    <w:rsid w:val="00925A36"/>
    <w:rsid w:val="00925A4B"/>
    <w:rsid w:val="00925A6D"/>
    <w:rsid w:val="00925AA5"/>
    <w:rsid w:val="00925B39"/>
    <w:rsid w:val="00925BB8"/>
    <w:rsid w:val="00925BBA"/>
    <w:rsid w:val="00925BDD"/>
    <w:rsid w:val="00925C7A"/>
    <w:rsid w:val="00925C8B"/>
    <w:rsid w:val="00925CBD"/>
    <w:rsid w:val="00925CD0"/>
    <w:rsid w:val="00925D27"/>
    <w:rsid w:val="00925D31"/>
    <w:rsid w:val="00925D71"/>
    <w:rsid w:val="00925D8F"/>
    <w:rsid w:val="00925E1F"/>
    <w:rsid w:val="00925E96"/>
    <w:rsid w:val="00925EEC"/>
    <w:rsid w:val="00925EF3"/>
    <w:rsid w:val="00925F3D"/>
    <w:rsid w:val="00925F8A"/>
    <w:rsid w:val="00925FDD"/>
    <w:rsid w:val="00925FF6"/>
    <w:rsid w:val="009260C6"/>
    <w:rsid w:val="009260FB"/>
    <w:rsid w:val="00926126"/>
    <w:rsid w:val="00926128"/>
    <w:rsid w:val="009261A8"/>
    <w:rsid w:val="009261C5"/>
    <w:rsid w:val="00926258"/>
    <w:rsid w:val="0092626E"/>
    <w:rsid w:val="009262CE"/>
    <w:rsid w:val="009262EF"/>
    <w:rsid w:val="0092635D"/>
    <w:rsid w:val="00926365"/>
    <w:rsid w:val="009263A2"/>
    <w:rsid w:val="009263AE"/>
    <w:rsid w:val="009263B0"/>
    <w:rsid w:val="0092643A"/>
    <w:rsid w:val="009264B1"/>
    <w:rsid w:val="009264BA"/>
    <w:rsid w:val="009264F3"/>
    <w:rsid w:val="0092650B"/>
    <w:rsid w:val="00926588"/>
    <w:rsid w:val="0092658F"/>
    <w:rsid w:val="009265B0"/>
    <w:rsid w:val="009265D6"/>
    <w:rsid w:val="00926659"/>
    <w:rsid w:val="009266D8"/>
    <w:rsid w:val="00926731"/>
    <w:rsid w:val="00926756"/>
    <w:rsid w:val="00926766"/>
    <w:rsid w:val="0092676F"/>
    <w:rsid w:val="009267B9"/>
    <w:rsid w:val="0092683A"/>
    <w:rsid w:val="00926844"/>
    <w:rsid w:val="00926887"/>
    <w:rsid w:val="009268CB"/>
    <w:rsid w:val="00926933"/>
    <w:rsid w:val="0092694F"/>
    <w:rsid w:val="00926964"/>
    <w:rsid w:val="00926972"/>
    <w:rsid w:val="0092699E"/>
    <w:rsid w:val="009269A7"/>
    <w:rsid w:val="009269AE"/>
    <w:rsid w:val="009269FE"/>
    <w:rsid w:val="00926A06"/>
    <w:rsid w:val="00926A0E"/>
    <w:rsid w:val="00926B1D"/>
    <w:rsid w:val="00926B7F"/>
    <w:rsid w:val="00926B9F"/>
    <w:rsid w:val="00926BEE"/>
    <w:rsid w:val="00926C03"/>
    <w:rsid w:val="00926C50"/>
    <w:rsid w:val="00926CA8"/>
    <w:rsid w:val="00926D0D"/>
    <w:rsid w:val="00926D2E"/>
    <w:rsid w:val="00926D52"/>
    <w:rsid w:val="00926D75"/>
    <w:rsid w:val="00926D7F"/>
    <w:rsid w:val="00926DB5"/>
    <w:rsid w:val="00926DBB"/>
    <w:rsid w:val="00926DD8"/>
    <w:rsid w:val="00926E36"/>
    <w:rsid w:val="00926E45"/>
    <w:rsid w:val="00926E86"/>
    <w:rsid w:val="00926E88"/>
    <w:rsid w:val="00926E93"/>
    <w:rsid w:val="00926EC2"/>
    <w:rsid w:val="00926EC3"/>
    <w:rsid w:val="00926EE1"/>
    <w:rsid w:val="00926EEB"/>
    <w:rsid w:val="00926F3C"/>
    <w:rsid w:val="00926FAB"/>
    <w:rsid w:val="00927055"/>
    <w:rsid w:val="00927065"/>
    <w:rsid w:val="0092706C"/>
    <w:rsid w:val="009270A5"/>
    <w:rsid w:val="009270F1"/>
    <w:rsid w:val="00927103"/>
    <w:rsid w:val="0092717B"/>
    <w:rsid w:val="00927294"/>
    <w:rsid w:val="0092729C"/>
    <w:rsid w:val="009272FB"/>
    <w:rsid w:val="009272FC"/>
    <w:rsid w:val="00927315"/>
    <w:rsid w:val="00927351"/>
    <w:rsid w:val="00927383"/>
    <w:rsid w:val="009273BE"/>
    <w:rsid w:val="009273D7"/>
    <w:rsid w:val="009273D8"/>
    <w:rsid w:val="00927422"/>
    <w:rsid w:val="00927437"/>
    <w:rsid w:val="00927446"/>
    <w:rsid w:val="00927469"/>
    <w:rsid w:val="009274D5"/>
    <w:rsid w:val="009274EF"/>
    <w:rsid w:val="00927557"/>
    <w:rsid w:val="009275D7"/>
    <w:rsid w:val="0092762F"/>
    <w:rsid w:val="00927640"/>
    <w:rsid w:val="00927665"/>
    <w:rsid w:val="0092767A"/>
    <w:rsid w:val="00927680"/>
    <w:rsid w:val="00927757"/>
    <w:rsid w:val="0092776F"/>
    <w:rsid w:val="0092778E"/>
    <w:rsid w:val="009277D9"/>
    <w:rsid w:val="00927806"/>
    <w:rsid w:val="00927839"/>
    <w:rsid w:val="0092786D"/>
    <w:rsid w:val="009278AD"/>
    <w:rsid w:val="009278BA"/>
    <w:rsid w:val="009278F0"/>
    <w:rsid w:val="009278FF"/>
    <w:rsid w:val="0092790D"/>
    <w:rsid w:val="0092790E"/>
    <w:rsid w:val="0092796F"/>
    <w:rsid w:val="0092797B"/>
    <w:rsid w:val="0092799B"/>
    <w:rsid w:val="009279BC"/>
    <w:rsid w:val="009279F6"/>
    <w:rsid w:val="00927A13"/>
    <w:rsid w:val="00927A3C"/>
    <w:rsid w:val="00927AA2"/>
    <w:rsid w:val="00927ABF"/>
    <w:rsid w:val="00927AF9"/>
    <w:rsid w:val="00927B08"/>
    <w:rsid w:val="00927B09"/>
    <w:rsid w:val="00927B45"/>
    <w:rsid w:val="00927B6F"/>
    <w:rsid w:val="00927B80"/>
    <w:rsid w:val="00927BD7"/>
    <w:rsid w:val="00927C99"/>
    <w:rsid w:val="00927D12"/>
    <w:rsid w:val="00927D1C"/>
    <w:rsid w:val="00927D22"/>
    <w:rsid w:val="00927DD8"/>
    <w:rsid w:val="00927E4E"/>
    <w:rsid w:val="00927E66"/>
    <w:rsid w:val="00927E72"/>
    <w:rsid w:val="00927EB4"/>
    <w:rsid w:val="00927EC4"/>
    <w:rsid w:val="00927ED6"/>
    <w:rsid w:val="00927EF7"/>
    <w:rsid w:val="00927F1C"/>
    <w:rsid w:val="00927F60"/>
    <w:rsid w:val="00927FB4"/>
    <w:rsid w:val="00927FC3"/>
    <w:rsid w:val="00927FEA"/>
    <w:rsid w:val="00930001"/>
    <w:rsid w:val="00930034"/>
    <w:rsid w:val="0093003D"/>
    <w:rsid w:val="009300BC"/>
    <w:rsid w:val="009300D0"/>
    <w:rsid w:val="009300E4"/>
    <w:rsid w:val="00930177"/>
    <w:rsid w:val="009301A4"/>
    <w:rsid w:val="00930227"/>
    <w:rsid w:val="00930230"/>
    <w:rsid w:val="00930257"/>
    <w:rsid w:val="0093026B"/>
    <w:rsid w:val="009302F5"/>
    <w:rsid w:val="00930302"/>
    <w:rsid w:val="0093031B"/>
    <w:rsid w:val="009303B0"/>
    <w:rsid w:val="0093049E"/>
    <w:rsid w:val="009304D7"/>
    <w:rsid w:val="009304E7"/>
    <w:rsid w:val="0093051F"/>
    <w:rsid w:val="00930527"/>
    <w:rsid w:val="00930540"/>
    <w:rsid w:val="00930551"/>
    <w:rsid w:val="009305C9"/>
    <w:rsid w:val="0093065B"/>
    <w:rsid w:val="00930665"/>
    <w:rsid w:val="00930701"/>
    <w:rsid w:val="0093071E"/>
    <w:rsid w:val="00930745"/>
    <w:rsid w:val="00930758"/>
    <w:rsid w:val="0093077B"/>
    <w:rsid w:val="009307BF"/>
    <w:rsid w:val="009307FA"/>
    <w:rsid w:val="00930836"/>
    <w:rsid w:val="00930838"/>
    <w:rsid w:val="0093088A"/>
    <w:rsid w:val="00930921"/>
    <w:rsid w:val="00930923"/>
    <w:rsid w:val="00930972"/>
    <w:rsid w:val="00930982"/>
    <w:rsid w:val="00930984"/>
    <w:rsid w:val="00930996"/>
    <w:rsid w:val="009309B3"/>
    <w:rsid w:val="009309DC"/>
    <w:rsid w:val="009309EF"/>
    <w:rsid w:val="00930A10"/>
    <w:rsid w:val="00930A33"/>
    <w:rsid w:val="00930A60"/>
    <w:rsid w:val="00930AA9"/>
    <w:rsid w:val="00930AFB"/>
    <w:rsid w:val="00930B39"/>
    <w:rsid w:val="00930B40"/>
    <w:rsid w:val="00930B45"/>
    <w:rsid w:val="00930B4F"/>
    <w:rsid w:val="00930BB2"/>
    <w:rsid w:val="00930CD3"/>
    <w:rsid w:val="00930CD9"/>
    <w:rsid w:val="00930D58"/>
    <w:rsid w:val="00930DF9"/>
    <w:rsid w:val="00930DFC"/>
    <w:rsid w:val="00930E22"/>
    <w:rsid w:val="00930E28"/>
    <w:rsid w:val="00930E30"/>
    <w:rsid w:val="00930E31"/>
    <w:rsid w:val="00930E46"/>
    <w:rsid w:val="00930E60"/>
    <w:rsid w:val="00930EB7"/>
    <w:rsid w:val="00930F52"/>
    <w:rsid w:val="00930F69"/>
    <w:rsid w:val="00930F70"/>
    <w:rsid w:val="00930F7D"/>
    <w:rsid w:val="00930FA2"/>
    <w:rsid w:val="00930FC2"/>
    <w:rsid w:val="00930FFC"/>
    <w:rsid w:val="0093101A"/>
    <w:rsid w:val="00931056"/>
    <w:rsid w:val="009310F5"/>
    <w:rsid w:val="00931207"/>
    <w:rsid w:val="00931227"/>
    <w:rsid w:val="00931229"/>
    <w:rsid w:val="00931295"/>
    <w:rsid w:val="0093129F"/>
    <w:rsid w:val="009312A7"/>
    <w:rsid w:val="009312AC"/>
    <w:rsid w:val="009312FF"/>
    <w:rsid w:val="00931310"/>
    <w:rsid w:val="00931346"/>
    <w:rsid w:val="009313C2"/>
    <w:rsid w:val="0093140E"/>
    <w:rsid w:val="0093142E"/>
    <w:rsid w:val="0093145F"/>
    <w:rsid w:val="00931469"/>
    <w:rsid w:val="0093147B"/>
    <w:rsid w:val="009314AD"/>
    <w:rsid w:val="0093150C"/>
    <w:rsid w:val="0093151D"/>
    <w:rsid w:val="0093158E"/>
    <w:rsid w:val="00931599"/>
    <w:rsid w:val="009315A8"/>
    <w:rsid w:val="00931675"/>
    <w:rsid w:val="0093167E"/>
    <w:rsid w:val="0093168F"/>
    <w:rsid w:val="009316DE"/>
    <w:rsid w:val="009316FC"/>
    <w:rsid w:val="00931754"/>
    <w:rsid w:val="0093175F"/>
    <w:rsid w:val="0093177F"/>
    <w:rsid w:val="009317F5"/>
    <w:rsid w:val="00931805"/>
    <w:rsid w:val="00931819"/>
    <w:rsid w:val="0093188C"/>
    <w:rsid w:val="0093189F"/>
    <w:rsid w:val="009318A0"/>
    <w:rsid w:val="009318F0"/>
    <w:rsid w:val="00931921"/>
    <w:rsid w:val="0093199B"/>
    <w:rsid w:val="009319A2"/>
    <w:rsid w:val="00931A01"/>
    <w:rsid w:val="00931A17"/>
    <w:rsid w:val="00931A19"/>
    <w:rsid w:val="00931A2C"/>
    <w:rsid w:val="00931A2D"/>
    <w:rsid w:val="00931A68"/>
    <w:rsid w:val="00931AB2"/>
    <w:rsid w:val="00931B0C"/>
    <w:rsid w:val="00931BBA"/>
    <w:rsid w:val="00931BBF"/>
    <w:rsid w:val="00931BC3"/>
    <w:rsid w:val="00931BE2"/>
    <w:rsid w:val="00931C01"/>
    <w:rsid w:val="00931C1B"/>
    <w:rsid w:val="00931C53"/>
    <w:rsid w:val="00931C61"/>
    <w:rsid w:val="00931CA1"/>
    <w:rsid w:val="00931CA3"/>
    <w:rsid w:val="00931CB0"/>
    <w:rsid w:val="00931D17"/>
    <w:rsid w:val="00931DCE"/>
    <w:rsid w:val="00931DD3"/>
    <w:rsid w:val="00931E01"/>
    <w:rsid w:val="00931E45"/>
    <w:rsid w:val="00931E4E"/>
    <w:rsid w:val="00931E66"/>
    <w:rsid w:val="00931E79"/>
    <w:rsid w:val="00931E89"/>
    <w:rsid w:val="00931ED7"/>
    <w:rsid w:val="00931EDC"/>
    <w:rsid w:val="00931EF4"/>
    <w:rsid w:val="00931F7A"/>
    <w:rsid w:val="00931F9C"/>
    <w:rsid w:val="0093204C"/>
    <w:rsid w:val="00932072"/>
    <w:rsid w:val="009320EA"/>
    <w:rsid w:val="009320EF"/>
    <w:rsid w:val="00932166"/>
    <w:rsid w:val="009321B1"/>
    <w:rsid w:val="009321C6"/>
    <w:rsid w:val="009321DF"/>
    <w:rsid w:val="009321E1"/>
    <w:rsid w:val="009322A2"/>
    <w:rsid w:val="00932307"/>
    <w:rsid w:val="00932323"/>
    <w:rsid w:val="009323B5"/>
    <w:rsid w:val="009323BD"/>
    <w:rsid w:val="00932414"/>
    <w:rsid w:val="00932434"/>
    <w:rsid w:val="00932477"/>
    <w:rsid w:val="00932480"/>
    <w:rsid w:val="00932546"/>
    <w:rsid w:val="0093256A"/>
    <w:rsid w:val="00932589"/>
    <w:rsid w:val="009325BA"/>
    <w:rsid w:val="009325C9"/>
    <w:rsid w:val="009325D7"/>
    <w:rsid w:val="009325E6"/>
    <w:rsid w:val="00932620"/>
    <w:rsid w:val="0093263B"/>
    <w:rsid w:val="0093264E"/>
    <w:rsid w:val="00932682"/>
    <w:rsid w:val="00932693"/>
    <w:rsid w:val="0093270E"/>
    <w:rsid w:val="00932713"/>
    <w:rsid w:val="00932779"/>
    <w:rsid w:val="009327DB"/>
    <w:rsid w:val="00932819"/>
    <w:rsid w:val="0093283F"/>
    <w:rsid w:val="00932843"/>
    <w:rsid w:val="00932848"/>
    <w:rsid w:val="0093285A"/>
    <w:rsid w:val="00932863"/>
    <w:rsid w:val="0093289A"/>
    <w:rsid w:val="009328A2"/>
    <w:rsid w:val="009328AB"/>
    <w:rsid w:val="009328B5"/>
    <w:rsid w:val="009328DF"/>
    <w:rsid w:val="009328E2"/>
    <w:rsid w:val="009328FD"/>
    <w:rsid w:val="00932918"/>
    <w:rsid w:val="00932921"/>
    <w:rsid w:val="00932976"/>
    <w:rsid w:val="0093298D"/>
    <w:rsid w:val="00932996"/>
    <w:rsid w:val="009329E5"/>
    <w:rsid w:val="00932A1D"/>
    <w:rsid w:val="00932B08"/>
    <w:rsid w:val="00932B59"/>
    <w:rsid w:val="00932B6A"/>
    <w:rsid w:val="00932B7C"/>
    <w:rsid w:val="00932BB6"/>
    <w:rsid w:val="00932C46"/>
    <w:rsid w:val="00932C57"/>
    <w:rsid w:val="00932CA8"/>
    <w:rsid w:val="00932CB3"/>
    <w:rsid w:val="00932CDD"/>
    <w:rsid w:val="00932CF9"/>
    <w:rsid w:val="00932D23"/>
    <w:rsid w:val="00932D8F"/>
    <w:rsid w:val="00932D93"/>
    <w:rsid w:val="00932DA0"/>
    <w:rsid w:val="00932DAC"/>
    <w:rsid w:val="00932E3C"/>
    <w:rsid w:val="00932E70"/>
    <w:rsid w:val="00932E7B"/>
    <w:rsid w:val="00932ED2"/>
    <w:rsid w:val="00932ED5"/>
    <w:rsid w:val="00932F05"/>
    <w:rsid w:val="00932F6F"/>
    <w:rsid w:val="00932F87"/>
    <w:rsid w:val="00932FAF"/>
    <w:rsid w:val="00932FCB"/>
    <w:rsid w:val="00932FCF"/>
    <w:rsid w:val="00933041"/>
    <w:rsid w:val="0093306B"/>
    <w:rsid w:val="009330EA"/>
    <w:rsid w:val="00933113"/>
    <w:rsid w:val="009331AB"/>
    <w:rsid w:val="00933226"/>
    <w:rsid w:val="00933232"/>
    <w:rsid w:val="0093324B"/>
    <w:rsid w:val="0093326C"/>
    <w:rsid w:val="009332B5"/>
    <w:rsid w:val="0093331F"/>
    <w:rsid w:val="0093333C"/>
    <w:rsid w:val="00933367"/>
    <w:rsid w:val="0093338B"/>
    <w:rsid w:val="009333B1"/>
    <w:rsid w:val="0093341E"/>
    <w:rsid w:val="00933439"/>
    <w:rsid w:val="00933452"/>
    <w:rsid w:val="00933469"/>
    <w:rsid w:val="009334D2"/>
    <w:rsid w:val="009334DA"/>
    <w:rsid w:val="0093350E"/>
    <w:rsid w:val="00933538"/>
    <w:rsid w:val="00933557"/>
    <w:rsid w:val="00933598"/>
    <w:rsid w:val="009335BE"/>
    <w:rsid w:val="009335DD"/>
    <w:rsid w:val="009335F4"/>
    <w:rsid w:val="00933656"/>
    <w:rsid w:val="00933668"/>
    <w:rsid w:val="00933681"/>
    <w:rsid w:val="009336BD"/>
    <w:rsid w:val="00933704"/>
    <w:rsid w:val="0093374F"/>
    <w:rsid w:val="009337B7"/>
    <w:rsid w:val="009337F1"/>
    <w:rsid w:val="00933805"/>
    <w:rsid w:val="00933817"/>
    <w:rsid w:val="009338B4"/>
    <w:rsid w:val="009338CB"/>
    <w:rsid w:val="00933910"/>
    <w:rsid w:val="0093392C"/>
    <w:rsid w:val="0093393B"/>
    <w:rsid w:val="00933963"/>
    <w:rsid w:val="009339A2"/>
    <w:rsid w:val="009339A3"/>
    <w:rsid w:val="009339AC"/>
    <w:rsid w:val="00933A24"/>
    <w:rsid w:val="00933A3A"/>
    <w:rsid w:val="00933AC4"/>
    <w:rsid w:val="00933ADF"/>
    <w:rsid w:val="00933AEA"/>
    <w:rsid w:val="00933AF3"/>
    <w:rsid w:val="00933AF9"/>
    <w:rsid w:val="00933B04"/>
    <w:rsid w:val="00933B05"/>
    <w:rsid w:val="00933B36"/>
    <w:rsid w:val="00933BC6"/>
    <w:rsid w:val="00933BE0"/>
    <w:rsid w:val="00933C42"/>
    <w:rsid w:val="00933C81"/>
    <w:rsid w:val="00933D3F"/>
    <w:rsid w:val="00933D96"/>
    <w:rsid w:val="00933DDD"/>
    <w:rsid w:val="00933DE2"/>
    <w:rsid w:val="00933DE7"/>
    <w:rsid w:val="00933E00"/>
    <w:rsid w:val="00933E1C"/>
    <w:rsid w:val="00933E35"/>
    <w:rsid w:val="00933E52"/>
    <w:rsid w:val="00933E54"/>
    <w:rsid w:val="00933E94"/>
    <w:rsid w:val="00933EE6"/>
    <w:rsid w:val="00933F46"/>
    <w:rsid w:val="00933F82"/>
    <w:rsid w:val="00933F95"/>
    <w:rsid w:val="00933F9A"/>
    <w:rsid w:val="00934049"/>
    <w:rsid w:val="009340CD"/>
    <w:rsid w:val="00934109"/>
    <w:rsid w:val="00934150"/>
    <w:rsid w:val="00934299"/>
    <w:rsid w:val="009342D8"/>
    <w:rsid w:val="00934313"/>
    <w:rsid w:val="00934382"/>
    <w:rsid w:val="0093438A"/>
    <w:rsid w:val="009343F3"/>
    <w:rsid w:val="00934402"/>
    <w:rsid w:val="00934427"/>
    <w:rsid w:val="00934463"/>
    <w:rsid w:val="009344BA"/>
    <w:rsid w:val="009344BE"/>
    <w:rsid w:val="009344C4"/>
    <w:rsid w:val="009344EF"/>
    <w:rsid w:val="0093452C"/>
    <w:rsid w:val="00934533"/>
    <w:rsid w:val="0093456F"/>
    <w:rsid w:val="0093459E"/>
    <w:rsid w:val="00934639"/>
    <w:rsid w:val="009346D5"/>
    <w:rsid w:val="009346DE"/>
    <w:rsid w:val="00934771"/>
    <w:rsid w:val="00934786"/>
    <w:rsid w:val="009347CD"/>
    <w:rsid w:val="00934812"/>
    <w:rsid w:val="00934816"/>
    <w:rsid w:val="009348D3"/>
    <w:rsid w:val="00934949"/>
    <w:rsid w:val="00934954"/>
    <w:rsid w:val="009349DE"/>
    <w:rsid w:val="009349F5"/>
    <w:rsid w:val="009349F8"/>
    <w:rsid w:val="00934AEA"/>
    <w:rsid w:val="00934B27"/>
    <w:rsid w:val="00934B9B"/>
    <w:rsid w:val="00934BDF"/>
    <w:rsid w:val="00934C79"/>
    <w:rsid w:val="00934C86"/>
    <w:rsid w:val="00934C96"/>
    <w:rsid w:val="00934CCE"/>
    <w:rsid w:val="00934D2C"/>
    <w:rsid w:val="00934D42"/>
    <w:rsid w:val="00934D63"/>
    <w:rsid w:val="00934DC0"/>
    <w:rsid w:val="00934DEC"/>
    <w:rsid w:val="00934E02"/>
    <w:rsid w:val="00934E4F"/>
    <w:rsid w:val="00934ED8"/>
    <w:rsid w:val="00934EDD"/>
    <w:rsid w:val="00934F9C"/>
    <w:rsid w:val="00934FB7"/>
    <w:rsid w:val="00935009"/>
    <w:rsid w:val="0093502A"/>
    <w:rsid w:val="00935041"/>
    <w:rsid w:val="0093505A"/>
    <w:rsid w:val="00935063"/>
    <w:rsid w:val="0093507D"/>
    <w:rsid w:val="009350A7"/>
    <w:rsid w:val="009350A9"/>
    <w:rsid w:val="009350DE"/>
    <w:rsid w:val="0093522A"/>
    <w:rsid w:val="0093522D"/>
    <w:rsid w:val="00935249"/>
    <w:rsid w:val="0093527A"/>
    <w:rsid w:val="009352BE"/>
    <w:rsid w:val="009352CF"/>
    <w:rsid w:val="009352D9"/>
    <w:rsid w:val="009352F5"/>
    <w:rsid w:val="0093535D"/>
    <w:rsid w:val="0093537B"/>
    <w:rsid w:val="00935390"/>
    <w:rsid w:val="009353F4"/>
    <w:rsid w:val="0093540A"/>
    <w:rsid w:val="0093540D"/>
    <w:rsid w:val="0093540F"/>
    <w:rsid w:val="00935419"/>
    <w:rsid w:val="00935420"/>
    <w:rsid w:val="00935440"/>
    <w:rsid w:val="00935473"/>
    <w:rsid w:val="009354BE"/>
    <w:rsid w:val="009354C6"/>
    <w:rsid w:val="009354E9"/>
    <w:rsid w:val="00935504"/>
    <w:rsid w:val="0093551E"/>
    <w:rsid w:val="00935532"/>
    <w:rsid w:val="00935555"/>
    <w:rsid w:val="00935586"/>
    <w:rsid w:val="0093558A"/>
    <w:rsid w:val="00935618"/>
    <w:rsid w:val="00935697"/>
    <w:rsid w:val="0093569B"/>
    <w:rsid w:val="009356C6"/>
    <w:rsid w:val="00935722"/>
    <w:rsid w:val="0093572D"/>
    <w:rsid w:val="0093577D"/>
    <w:rsid w:val="009357A2"/>
    <w:rsid w:val="009357B5"/>
    <w:rsid w:val="009357DF"/>
    <w:rsid w:val="00935882"/>
    <w:rsid w:val="009358F0"/>
    <w:rsid w:val="0093593A"/>
    <w:rsid w:val="009359A6"/>
    <w:rsid w:val="009359A9"/>
    <w:rsid w:val="009359D0"/>
    <w:rsid w:val="00935A1E"/>
    <w:rsid w:val="00935A2B"/>
    <w:rsid w:val="00935A6E"/>
    <w:rsid w:val="00935AA0"/>
    <w:rsid w:val="00935AAB"/>
    <w:rsid w:val="00935ACD"/>
    <w:rsid w:val="00935B2B"/>
    <w:rsid w:val="00935B39"/>
    <w:rsid w:val="00935BFB"/>
    <w:rsid w:val="00935C08"/>
    <w:rsid w:val="00935C1E"/>
    <w:rsid w:val="00935C3B"/>
    <w:rsid w:val="00935C4C"/>
    <w:rsid w:val="00935CA2"/>
    <w:rsid w:val="00935CFC"/>
    <w:rsid w:val="00935D30"/>
    <w:rsid w:val="00935D72"/>
    <w:rsid w:val="00935D84"/>
    <w:rsid w:val="00935D8A"/>
    <w:rsid w:val="00935D92"/>
    <w:rsid w:val="00935DD3"/>
    <w:rsid w:val="00935DE6"/>
    <w:rsid w:val="00935DF5"/>
    <w:rsid w:val="00935E68"/>
    <w:rsid w:val="00935E7F"/>
    <w:rsid w:val="00935EA8"/>
    <w:rsid w:val="00935EE8"/>
    <w:rsid w:val="00935F05"/>
    <w:rsid w:val="00935F14"/>
    <w:rsid w:val="00935F2D"/>
    <w:rsid w:val="00935F52"/>
    <w:rsid w:val="00935FE5"/>
    <w:rsid w:val="00936050"/>
    <w:rsid w:val="0093607E"/>
    <w:rsid w:val="009360B9"/>
    <w:rsid w:val="009360C2"/>
    <w:rsid w:val="009360E5"/>
    <w:rsid w:val="009360E7"/>
    <w:rsid w:val="00936132"/>
    <w:rsid w:val="00936137"/>
    <w:rsid w:val="0093619E"/>
    <w:rsid w:val="009361B2"/>
    <w:rsid w:val="009362D1"/>
    <w:rsid w:val="00936348"/>
    <w:rsid w:val="00936357"/>
    <w:rsid w:val="0093643F"/>
    <w:rsid w:val="00936474"/>
    <w:rsid w:val="009364EC"/>
    <w:rsid w:val="00936518"/>
    <w:rsid w:val="00936579"/>
    <w:rsid w:val="00936597"/>
    <w:rsid w:val="009365BF"/>
    <w:rsid w:val="00936608"/>
    <w:rsid w:val="00936613"/>
    <w:rsid w:val="0093662C"/>
    <w:rsid w:val="00936669"/>
    <w:rsid w:val="009366AF"/>
    <w:rsid w:val="009366C7"/>
    <w:rsid w:val="00936728"/>
    <w:rsid w:val="0093676D"/>
    <w:rsid w:val="00936791"/>
    <w:rsid w:val="009367A3"/>
    <w:rsid w:val="009367DA"/>
    <w:rsid w:val="00936872"/>
    <w:rsid w:val="009368A8"/>
    <w:rsid w:val="009368AC"/>
    <w:rsid w:val="00936908"/>
    <w:rsid w:val="00936921"/>
    <w:rsid w:val="00936955"/>
    <w:rsid w:val="009369A6"/>
    <w:rsid w:val="009369BD"/>
    <w:rsid w:val="009369F5"/>
    <w:rsid w:val="00936A25"/>
    <w:rsid w:val="00936A9A"/>
    <w:rsid w:val="00936B24"/>
    <w:rsid w:val="00936BA4"/>
    <w:rsid w:val="00936BA5"/>
    <w:rsid w:val="00936BC2"/>
    <w:rsid w:val="00936BDF"/>
    <w:rsid w:val="00936BFA"/>
    <w:rsid w:val="00936C7F"/>
    <w:rsid w:val="00936CE4"/>
    <w:rsid w:val="00936CFC"/>
    <w:rsid w:val="00936D33"/>
    <w:rsid w:val="00936DB8"/>
    <w:rsid w:val="00936E16"/>
    <w:rsid w:val="00936E1D"/>
    <w:rsid w:val="00936E34"/>
    <w:rsid w:val="00936E6A"/>
    <w:rsid w:val="00936E93"/>
    <w:rsid w:val="00936EA5"/>
    <w:rsid w:val="00936EC5"/>
    <w:rsid w:val="00936EE1"/>
    <w:rsid w:val="00936EE3"/>
    <w:rsid w:val="00936EE7"/>
    <w:rsid w:val="00936EED"/>
    <w:rsid w:val="00936F13"/>
    <w:rsid w:val="00936F15"/>
    <w:rsid w:val="00936F38"/>
    <w:rsid w:val="00936F3C"/>
    <w:rsid w:val="00936F53"/>
    <w:rsid w:val="00936F6D"/>
    <w:rsid w:val="00936FDD"/>
    <w:rsid w:val="00936FFE"/>
    <w:rsid w:val="0093704C"/>
    <w:rsid w:val="00937078"/>
    <w:rsid w:val="009370B3"/>
    <w:rsid w:val="009370D8"/>
    <w:rsid w:val="00937107"/>
    <w:rsid w:val="0093714E"/>
    <w:rsid w:val="009371FC"/>
    <w:rsid w:val="00937234"/>
    <w:rsid w:val="009372A6"/>
    <w:rsid w:val="00937300"/>
    <w:rsid w:val="00937302"/>
    <w:rsid w:val="0093731A"/>
    <w:rsid w:val="0093731C"/>
    <w:rsid w:val="00937369"/>
    <w:rsid w:val="0093736C"/>
    <w:rsid w:val="0093736D"/>
    <w:rsid w:val="009373CE"/>
    <w:rsid w:val="0093740C"/>
    <w:rsid w:val="00937413"/>
    <w:rsid w:val="00937429"/>
    <w:rsid w:val="00937431"/>
    <w:rsid w:val="009374DE"/>
    <w:rsid w:val="009374EF"/>
    <w:rsid w:val="00937532"/>
    <w:rsid w:val="00937553"/>
    <w:rsid w:val="0093755D"/>
    <w:rsid w:val="0093756E"/>
    <w:rsid w:val="00937590"/>
    <w:rsid w:val="009375A2"/>
    <w:rsid w:val="009375BF"/>
    <w:rsid w:val="00937624"/>
    <w:rsid w:val="00937642"/>
    <w:rsid w:val="0093764D"/>
    <w:rsid w:val="0093767B"/>
    <w:rsid w:val="009376A8"/>
    <w:rsid w:val="009376E5"/>
    <w:rsid w:val="009376F4"/>
    <w:rsid w:val="009376FB"/>
    <w:rsid w:val="00937708"/>
    <w:rsid w:val="0093773C"/>
    <w:rsid w:val="00937769"/>
    <w:rsid w:val="00937780"/>
    <w:rsid w:val="009377C5"/>
    <w:rsid w:val="0093782C"/>
    <w:rsid w:val="00937833"/>
    <w:rsid w:val="009378BE"/>
    <w:rsid w:val="0093791C"/>
    <w:rsid w:val="00937953"/>
    <w:rsid w:val="0093795E"/>
    <w:rsid w:val="009379CA"/>
    <w:rsid w:val="009379D3"/>
    <w:rsid w:val="009379D4"/>
    <w:rsid w:val="009379EA"/>
    <w:rsid w:val="00937AFD"/>
    <w:rsid w:val="00937B15"/>
    <w:rsid w:val="00937B97"/>
    <w:rsid w:val="00937C11"/>
    <w:rsid w:val="00937C15"/>
    <w:rsid w:val="00937C27"/>
    <w:rsid w:val="00937C78"/>
    <w:rsid w:val="00937C84"/>
    <w:rsid w:val="00937C97"/>
    <w:rsid w:val="00937CE1"/>
    <w:rsid w:val="00937D1D"/>
    <w:rsid w:val="00937D2B"/>
    <w:rsid w:val="00937D40"/>
    <w:rsid w:val="00937D82"/>
    <w:rsid w:val="00937D85"/>
    <w:rsid w:val="00937E3A"/>
    <w:rsid w:val="00937E3D"/>
    <w:rsid w:val="00937EAE"/>
    <w:rsid w:val="00937EB0"/>
    <w:rsid w:val="00937FBC"/>
    <w:rsid w:val="00940008"/>
    <w:rsid w:val="00940010"/>
    <w:rsid w:val="00940059"/>
    <w:rsid w:val="0094005F"/>
    <w:rsid w:val="00940065"/>
    <w:rsid w:val="009400D8"/>
    <w:rsid w:val="009400F5"/>
    <w:rsid w:val="00940100"/>
    <w:rsid w:val="00940163"/>
    <w:rsid w:val="00940180"/>
    <w:rsid w:val="0094019D"/>
    <w:rsid w:val="00940201"/>
    <w:rsid w:val="00940219"/>
    <w:rsid w:val="0094023B"/>
    <w:rsid w:val="00940250"/>
    <w:rsid w:val="009402AA"/>
    <w:rsid w:val="009402E7"/>
    <w:rsid w:val="00940331"/>
    <w:rsid w:val="00940339"/>
    <w:rsid w:val="0094038E"/>
    <w:rsid w:val="00940395"/>
    <w:rsid w:val="009403C3"/>
    <w:rsid w:val="009403EF"/>
    <w:rsid w:val="0094040C"/>
    <w:rsid w:val="009404EF"/>
    <w:rsid w:val="0094050A"/>
    <w:rsid w:val="0094051A"/>
    <w:rsid w:val="00940553"/>
    <w:rsid w:val="009405FB"/>
    <w:rsid w:val="0094067D"/>
    <w:rsid w:val="00940681"/>
    <w:rsid w:val="009406E6"/>
    <w:rsid w:val="00940715"/>
    <w:rsid w:val="0094086F"/>
    <w:rsid w:val="00940915"/>
    <w:rsid w:val="00940938"/>
    <w:rsid w:val="00940950"/>
    <w:rsid w:val="0094098E"/>
    <w:rsid w:val="00940A31"/>
    <w:rsid w:val="00940A54"/>
    <w:rsid w:val="00940A72"/>
    <w:rsid w:val="00940A89"/>
    <w:rsid w:val="00940AD7"/>
    <w:rsid w:val="00940AE0"/>
    <w:rsid w:val="00940B2D"/>
    <w:rsid w:val="00940B6C"/>
    <w:rsid w:val="00940B8F"/>
    <w:rsid w:val="00940B99"/>
    <w:rsid w:val="00940BAA"/>
    <w:rsid w:val="00940BCE"/>
    <w:rsid w:val="00940C2C"/>
    <w:rsid w:val="00940C30"/>
    <w:rsid w:val="00940C6D"/>
    <w:rsid w:val="00940C7D"/>
    <w:rsid w:val="00940CAA"/>
    <w:rsid w:val="00940CD7"/>
    <w:rsid w:val="00940D2B"/>
    <w:rsid w:val="00940D84"/>
    <w:rsid w:val="00940D8E"/>
    <w:rsid w:val="00940DF3"/>
    <w:rsid w:val="00940E14"/>
    <w:rsid w:val="00940E1A"/>
    <w:rsid w:val="00940E6E"/>
    <w:rsid w:val="00940EAE"/>
    <w:rsid w:val="00940ED0"/>
    <w:rsid w:val="00940EE2"/>
    <w:rsid w:val="00940EF2"/>
    <w:rsid w:val="00940F07"/>
    <w:rsid w:val="00940F5F"/>
    <w:rsid w:val="00940F79"/>
    <w:rsid w:val="00940FA9"/>
    <w:rsid w:val="00941000"/>
    <w:rsid w:val="00941083"/>
    <w:rsid w:val="009410A3"/>
    <w:rsid w:val="009410F5"/>
    <w:rsid w:val="0094111F"/>
    <w:rsid w:val="00941144"/>
    <w:rsid w:val="00941171"/>
    <w:rsid w:val="009411A6"/>
    <w:rsid w:val="009411C8"/>
    <w:rsid w:val="009411EB"/>
    <w:rsid w:val="00941224"/>
    <w:rsid w:val="00941260"/>
    <w:rsid w:val="009412EB"/>
    <w:rsid w:val="009412FD"/>
    <w:rsid w:val="00941314"/>
    <w:rsid w:val="00941317"/>
    <w:rsid w:val="00941333"/>
    <w:rsid w:val="0094137E"/>
    <w:rsid w:val="009413A6"/>
    <w:rsid w:val="009413B1"/>
    <w:rsid w:val="009413D5"/>
    <w:rsid w:val="009413F6"/>
    <w:rsid w:val="0094142B"/>
    <w:rsid w:val="0094144D"/>
    <w:rsid w:val="0094145E"/>
    <w:rsid w:val="00941492"/>
    <w:rsid w:val="009414FD"/>
    <w:rsid w:val="0094152D"/>
    <w:rsid w:val="0094154C"/>
    <w:rsid w:val="00941555"/>
    <w:rsid w:val="00941565"/>
    <w:rsid w:val="00941582"/>
    <w:rsid w:val="009415EE"/>
    <w:rsid w:val="00941644"/>
    <w:rsid w:val="0094164D"/>
    <w:rsid w:val="009416AC"/>
    <w:rsid w:val="0094173D"/>
    <w:rsid w:val="00941743"/>
    <w:rsid w:val="0094176E"/>
    <w:rsid w:val="00941771"/>
    <w:rsid w:val="00941791"/>
    <w:rsid w:val="009417BC"/>
    <w:rsid w:val="009417FC"/>
    <w:rsid w:val="0094185B"/>
    <w:rsid w:val="00941864"/>
    <w:rsid w:val="00941894"/>
    <w:rsid w:val="0094189C"/>
    <w:rsid w:val="009418BD"/>
    <w:rsid w:val="00941907"/>
    <w:rsid w:val="00941915"/>
    <w:rsid w:val="0094197F"/>
    <w:rsid w:val="00941984"/>
    <w:rsid w:val="009419B2"/>
    <w:rsid w:val="009419DF"/>
    <w:rsid w:val="009419ED"/>
    <w:rsid w:val="009419FF"/>
    <w:rsid w:val="00941A28"/>
    <w:rsid w:val="00941A56"/>
    <w:rsid w:val="00941B5D"/>
    <w:rsid w:val="00941B6E"/>
    <w:rsid w:val="00941BDB"/>
    <w:rsid w:val="00941C28"/>
    <w:rsid w:val="00941C3A"/>
    <w:rsid w:val="00941C54"/>
    <w:rsid w:val="00941C71"/>
    <w:rsid w:val="00941C85"/>
    <w:rsid w:val="00941CA9"/>
    <w:rsid w:val="00941CB2"/>
    <w:rsid w:val="00941CCE"/>
    <w:rsid w:val="00941CEB"/>
    <w:rsid w:val="00941D64"/>
    <w:rsid w:val="00941DE5"/>
    <w:rsid w:val="00941E1C"/>
    <w:rsid w:val="00941E3C"/>
    <w:rsid w:val="00941E96"/>
    <w:rsid w:val="00941EDF"/>
    <w:rsid w:val="00941F20"/>
    <w:rsid w:val="00941F6B"/>
    <w:rsid w:val="00941FB6"/>
    <w:rsid w:val="00942040"/>
    <w:rsid w:val="00942043"/>
    <w:rsid w:val="009420D4"/>
    <w:rsid w:val="009420E4"/>
    <w:rsid w:val="0094210F"/>
    <w:rsid w:val="00942132"/>
    <w:rsid w:val="0094213C"/>
    <w:rsid w:val="00942143"/>
    <w:rsid w:val="00942179"/>
    <w:rsid w:val="009421D1"/>
    <w:rsid w:val="009421DE"/>
    <w:rsid w:val="00942228"/>
    <w:rsid w:val="00942236"/>
    <w:rsid w:val="00942243"/>
    <w:rsid w:val="0094229D"/>
    <w:rsid w:val="009422B0"/>
    <w:rsid w:val="009422CD"/>
    <w:rsid w:val="00942307"/>
    <w:rsid w:val="00942313"/>
    <w:rsid w:val="00942357"/>
    <w:rsid w:val="009423AF"/>
    <w:rsid w:val="009423B1"/>
    <w:rsid w:val="00942413"/>
    <w:rsid w:val="0094243E"/>
    <w:rsid w:val="00942446"/>
    <w:rsid w:val="0094246E"/>
    <w:rsid w:val="00942470"/>
    <w:rsid w:val="009424A6"/>
    <w:rsid w:val="009424ED"/>
    <w:rsid w:val="00942521"/>
    <w:rsid w:val="009425EA"/>
    <w:rsid w:val="0094263B"/>
    <w:rsid w:val="00942664"/>
    <w:rsid w:val="00942668"/>
    <w:rsid w:val="0094267E"/>
    <w:rsid w:val="00942683"/>
    <w:rsid w:val="009426CB"/>
    <w:rsid w:val="009426FA"/>
    <w:rsid w:val="0094272F"/>
    <w:rsid w:val="0094275C"/>
    <w:rsid w:val="009427AA"/>
    <w:rsid w:val="009427E9"/>
    <w:rsid w:val="0094281F"/>
    <w:rsid w:val="00942874"/>
    <w:rsid w:val="0094287B"/>
    <w:rsid w:val="00942883"/>
    <w:rsid w:val="0094289D"/>
    <w:rsid w:val="009428D3"/>
    <w:rsid w:val="009428EC"/>
    <w:rsid w:val="009428F3"/>
    <w:rsid w:val="0094290C"/>
    <w:rsid w:val="00942932"/>
    <w:rsid w:val="00942958"/>
    <w:rsid w:val="0094295C"/>
    <w:rsid w:val="00942980"/>
    <w:rsid w:val="00942988"/>
    <w:rsid w:val="00942995"/>
    <w:rsid w:val="009429D7"/>
    <w:rsid w:val="00942A66"/>
    <w:rsid w:val="00942A67"/>
    <w:rsid w:val="00942A76"/>
    <w:rsid w:val="00942A80"/>
    <w:rsid w:val="00942ACA"/>
    <w:rsid w:val="00942B54"/>
    <w:rsid w:val="00942BE3"/>
    <w:rsid w:val="00942C11"/>
    <w:rsid w:val="00942C3D"/>
    <w:rsid w:val="00942C54"/>
    <w:rsid w:val="00942CA0"/>
    <w:rsid w:val="00942CAC"/>
    <w:rsid w:val="00942CDB"/>
    <w:rsid w:val="00942CE6"/>
    <w:rsid w:val="00942D2A"/>
    <w:rsid w:val="00942D44"/>
    <w:rsid w:val="00942DD4"/>
    <w:rsid w:val="00942DF2"/>
    <w:rsid w:val="00942EA3"/>
    <w:rsid w:val="00942ED1"/>
    <w:rsid w:val="00942EE8"/>
    <w:rsid w:val="00942F22"/>
    <w:rsid w:val="00942F2B"/>
    <w:rsid w:val="00942F2D"/>
    <w:rsid w:val="00942F7E"/>
    <w:rsid w:val="00942FB0"/>
    <w:rsid w:val="00942FE7"/>
    <w:rsid w:val="00942FEA"/>
    <w:rsid w:val="0094303C"/>
    <w:rsid w:val="0094307B"/>
    <w:rsid w:val="009430A1"/>
    <w:rsid w:val="009430A4"/>
    <w:rsid w:val="009430BA"/>
    <w:rsid w:val="009430C1"/>
    <w:rsid w:val="0094312E"/>
    <w:rsid w:val="00943132"/>
    <w:rsid w:val="0094313A"/>
    <w:rsid w:val="00943166"/>
    <w:rsid w:val="009431DE"/>
    <w:rsid w:val="009431F3"/>
    <w:rsid w:val="0094329A"/>
    <w:rsid w:val="009432C7"/>
    <w:rsid w:val="009432F0"/>
    <w:rsid w:val="009432F9"/>
    <w:rsid w:val="009432FF"/>
    <w:rsid w:val="0094333B"/>
    <w:rsid w:val="00943379"/>
    <w:rsid w:val="0094338D"/>
    <w:rsid w:val="009433B2"/>
    <w:rsid w:val="009433D5"/>
    <w:rsid w:val="009433F8"/>
    <w:rsid w:val="0094351F"/>
    <w:rsid w:val="00943531"/>
    <w:rsid w:val="0094354C"/>
    <w:rsid w:val="0094358A"/>
    <w:rsid w:val="00943600"/>
    <w:rsid w:val="0094365E"/>
    <w:rsid w:val="0094367A"/>
    <w:rsid w:val="009436CB"/>
    <w:rsid w:val="009436D1"/>
    <w:rsid w:val="00943714"/>
    <w:rsid w:val="00943717"/>
    <w:rsid w:val="0094372C"/>
    <w:rsid w:val="00943735"/>
    <w:rsid w:val="00943754"/>
    <w:rsid w:val="00943765"/>
    <w:rsid w:val="0094376D"/>
    <w:rsid w:val="00943795"/>
    <w:rsid w:val="00943813"/>
    <w:rsid w:val="009438B0"/>
    <w:rsid w:val="009438CF"/>
    <w:rsid w:val="009438E5"/>
    <w:rsid w:val="009438F4"/>
    <w:rsid w:val="009438F8"/>
    <w:rsid w:val="009438FC"/>
    <w:rsid w:val="0094391F"/>
    <w:rsid w:val="00943923"/>
    <w:rsid w:val="009439A4"/>
    <w:rsid w:val="009439AC"/>
    <w:rsid w:val="009439B0"/>
    <w:rsid w:val="00943A01"/>
    <w:rsid w:val="00943A0D"/>
    <w:rsid w:val="00943A12"/>
    <w:rsid w:val="00943A3C"/>
    <w:rsid w:val="00943A76"/>
    <w:rsid w:val="00943B2F"/>
    <w:rsid w:val="00943B7D"/>
    <w:rsid w:val="00943BF4"/>
    <w:rsid w:val="00943C05"/>
    <w:rsid w:val="00943C1B"/>
    <w:rsid w:val="00943CA8"/>
    <w:rsid w:val="00943D0C"/>
    <w:rsid w:val="00943D42"/>
    <w:rsid w:val="00943D87"/>
    <w:rsid w:val="00943E2D"/>
    <w:rsid w:val="00943E4E"/>
    <w:rsid w:val="00943E89"/>
    <w:rsid w:val="00943EC4"/>
    <w:rsid w:val="00943F25"/>
    <w:rsid w:val="00943F3B"/>
    <w:rsid w:val="00943F5A"/>
    <w:rsid w:val="00943F5D"/>
    <w:rsid w:val="00943F83"/>
    <w:rsid w:val="00943FAE"/>
    <w:rsid w:val="00943FD1"/>
    <w:rsid w:val="00943FFB"/>
    <w:rsid w:val="00943FFE"/>
    <w:rsid w:val="0094403C"/>
    <w:rsid w:val="00944042"/>
    <w:rsid w:val="0094404C"/>
    <w:rsid w:val="00944063"/>
    <w:rsid w:val="009440C5"/>
    <w:rsid w:val="009440F8"/>
    <w:rsid w:val="00944118"/>
    <w:rsid w:val="009441C2"/>
    <w:rsid w:val="00944215"/>
    <w:rsid w:val="00944272"/>
    <w:rsid w:val="0094427E"/>
    <w:rsid w:val="009442CE"/>
    <w:rsid w:val="009442ED"/>
    <w:rsid w:val="009443A8"/>
    <w:rsid w:val="009443BF"/>
    <w:rsid w:val="0094445D"/>
    <w:rsid w:val="009444B1"/>
    <w:rsid w:val="009444B8"/>
    <w:rsid w:val="009444D9"/>
    <w:rsid w:val="009444E9"/>
    <w:rsid w:val="009444FE"/>
    <w:rsid w:val="00944536"/>
    <w:rsid w:val="0094454A"/>
    <w:rsid w:val="00944581"/>
    <w:rsid w:val="009445A3"/>
    <w:rsid w:val="009445D0"/>
    <w:rsid w:val="009445E0"/>
    <w:rsid w:val="009445FE"/>
    <w:rsid w:val="0094461F"/>
    <w:rsid w:val="0094464A"/>
    <w:rsid w:val="0094465B"/>
    <w:rsid w:val="0094466F"/>
    <w:rsid w:val="009446A6"/>
    <w:rsid w:val="009446B7"/>
    <w:rsid w:val="009446BE"/>
    <w:rsid w:val="009446DB"/>
    <w:rsid w:val="0094470C"/>
    <w:rsid w:val="0094470F"/>
    <w:rsid w:val="00944725"/>
    <w:rsid w:val="0094472F"/>
    <w:rsid w:val="00944768"/>
    <w:rsid w:val="0094479C"/>
    <w:rsid w:val="009447DC"/>
    <w:rsid w:val="009447E0"/>
    <w:rsid w:val="00944824"/>
    <w:rsid w:val="00944851"/>
    <w:rsid w:val="0094485C"/>
    <w:rsid w:val="0094486A"/>
    <w:rsid w:val="009448D3"/>
    <w:rsid w:val="009448D4"/>
    <w:rsid w:val="009448D9"/>
    <w:rsid w:val="009448DB"/>
    <w:rsid w:val="009448E8"/>
    <w:rsid w:val="009448F7"/>
    <w:rsid w:val="00944915"/>
    <w:rsid w:val="009449A0"/>
    <w:rsid w:val="009449BC"/>
    <w:rsid w:val="009449CE"/>
    <w:rsid w:val="00944AB5"/>
    <w:rsid w:val="00944ADC"/>
    <w:rsid w:val="00944B53"/>
    <w:rsid w:val="00944B5B"/>
    <w:rsid w:val="00944B96"/>
    <w:rsid w:val="00944BFC"/>
    <w:rsid w:val="00944C6C"/>
    <w:rsid w:val="00944CAD"/>
    <w:rsid w:val="00944D35"/>
    <w:rsid w:val="00944D3B"/>
    <w:rsid w:val="00944D4E"/>
    <w:rsid w:val="00944D7E"/>
    <w:rsid w:val="00944DCD"/>
    <w:rsid w:val="00944E51"/>
    <w:rsid w:val="00944E5D"/>
    <w:rsid w:val="00944E7B"/>
    <w:rsid w:val="00944ED9"/>
    <w:rsid w:val="00944EFD"/>
    <w:rsid w:val="00944F2D"/>
    <w:rsid w:val="00944F38"/>
    <w:rsid w:val="00944F5B"/>
    <w:rsid w:val="00944F76"/>
    <w:rsid w:val="00944F84"/>
    <w:rsid w:val="00944FAD"/>
    <w:rsid w:val="00944FDE"/>
    <w:rsid w:val="00944FE6"/>
    <w:rsid w:val="00945012"/>
    <w:rsid w:val="00945090"/>
    <w:rsid w:val="00945092"/>
    <w:rsid w:val="009450B7"/>
    <w:rsid w:val="0094511F"/>
    <w:rsid w:val="00945121"/>
    <w:rsid w:val="0094512B"/>
    <w:rsid w:val="00945161"/>
    <w:rsid w:val="00945162"/>
    <w:rsid w:val="0094516E"/>
    <w:rsid w:val="009451A2"/>
    <w:rsid w:val="00945221"/>
    <w:rsid w:val="0094522E"/>
    <w:rsid w:val="009452BC"/>
    <w:rsid w:val="009452D2"/>
    <w:rsid w:val="009452EF"/>
    <w:rsid w:val="009452FD"/>
    <w:rsid w:val="0094535C"/>
    <w:rsid w:val="00945377"/>
    <w:rsid w:val="00945383"/>
    <w:rsid w:val="009453A9"/>
    <w:rsid w:val="009453BF"/>
    <w:rsid w:val="00945490"/>
    <w:rsid w:val="0094549C"/>
    <w:rsid w:val="0094549E"/>
    <w:rsid w:val="009454C1"/>
    <w:rsid w:val="009454D8"/>
    <w:rsid w:val="009454DF"/>
    <w:rsid w:val="009454EE"/>
    <w:rsid w:val="009454FA"/>
    <w:rsid w:val="0094551B"/>
    <w:rsid w:val="00945546"/>
    <w:rsid w:val="00945599"/>
    <w:rsid w:val="009455AA"/>
    <w:rsid w:val="00945628"/>
    <w:rsid w:val="0094562B"/>
    <w:rsid w:val="00945643"/>
    <w:rsid w:val="00945655"/>
    <w:rsid w:val="009456B2"/>
    <w:rsid w:val="009456E6"/>
    <w:rsid w:val="00945795"/>
    <w:rsid w:val="009457B4"/>
    <w:rsid w:val="00945821"/>
    <w:rsid w:val="00945888"/>
    <w:rsid w:val="009458A8"/>
    <w:rsid w:val="009458E1"/>
    <w:rsid w:val="0094590D"/>
    <w:rsid w:val="00945921"/>
    <w:rsid w:val="0094594C"/>
    <w:rsid w:val="009459A0"/>
    <w:rsid w:val="009459BC"/>
    <w:rsid w:val="00945A16"/>
    <w:rsid w:val="00945A17"/>
    <w:rsid w:val="00945A2A"/>
    <w:rsid w:val="00945A30"/>
    <w:rsid w:val="00945A58"/>
    <w:rsid w:val="00945A7C"/>
    <w:rsid w:val="00945A91"/>
    <w:rsid w:val="00945A93"/>
    <w:rsid w:val="00945A9E"/>
    <w:rsid w:val="00945AD6"/>
    <w:rsid w:val="00945B1D"/>
    <w:rsid w:val="00945B3B"/>
    <w:rsid w:val="00945B53"/>
    <w:rsid w:val="00945B8B"/>
    <w:rsid w:val="00945BFC"/>
    <w:rsid w:val="00945C9D"/>
    <w:rsid w:val="00945CB3"/>
    <w:rsid w:val="00945CEB"/>
    <w:rsid w:val="00945D1A"/>
    <w:rsid w:val="00945DAD"/>
    <w:rsid w:val="00945DB7"/>
    <w:rsid w:val="00945DFA"/>
    <w:rsid w:val="00945E2E"/>
    <w:rsid w:val="00945E8B"/>
    <w:rsid w:val="00945F13"/>
    <w:rsid w:val="00945F24"/>
    <w:rsid w:val="00945F28"/>
    <w:rsid w:val="00945F4B"/>
    <w:rsid w:val="00945F5E"/>
    <w:rsid w:val="00945FAF"/>
    <w:rsid w:val="00945FFD"/>
    <w:rsid w:val="00946030"/>
    <w:rsid w:val="00946086"/>
    <w:rsid w:val="0094609E"/>
    <w:rsid w:val="009460A7"/>
    <w:rsid w:val="009460B6"/>
    <w:rsid w:val="009460F1"/>
    <w:rsid w:val="009460FD"/>
    <w:rsid w:val="00946120"/>
    <w:rsid w:val="0094619D"/>
    <w:rsid w:val="009461A4"/>
    <w:rsid w:val="009461C2"/>
    <w:rsid w:val="009461D6"/>
    <w:rsid w:val="0094620D"/>
    <w:rsid w:val="00946233"/>
    <w:rsid w:val="0094625E"/>
    <w:rsid w:val="00946291"/>
    <w:rsid w:val="009462C0"/>
    <w:rsid w:val="009462DD"/>
    <w:rsid w:val="00946307"/>
    <w:rsid w:val="0094630C"/>
    <w:rsid w:val="0094634F"/>
    <w:rsid w:val="00946358"/>
    <w:rsid w:val="0094635B"/>
    <w:rsid w:val="0094636F"/>
    <w:rsid w:val="009463BB"/>
    <w:rsid w:val="009463E3"/>
    <w:rsid w:val="009463F4"/>
    <w:rsid w:val="00946428"/>
    <w:rsid w:val="0094648F"/>
    <w:rsid w:val="009464C2"/>
    <w:rsid w:val="009464C9"/>
    <w:rsid w:val="0094652E"/>
    <w:rsid w:val="00946590"/>
    <w:rsid w:val="009465A1"/>
    <w:rsid w:val="00946614"/>
    <w:rsid w:val="00946633"/>
    <w:rsid w:val="00946639"/>
    <w:rsid w:val="00946640"/>
    <w:rsid w:val="00946654"/>
    <w:rsid w:val="00946677"/>
    <w:rsid w:val="0094668F"/>
    <w:rsid w:val="00946712"/>
    <w:rsid w:val="00946741"/>
    <w:rsid w:val="00946751"/>
    <w:rsid w:val="00946756"/>
    <w:rsid w:val="0094677E"/>
    <w:rsid w:val="00946786"/>
    <w:rsid w:val="0094679C"/>
    <w:rsid w:val="009467D4"/>
    <w:rsid w:val="009467FF"/>
    <w:rsid w:val="009468B0"/>
    <w:rsid w:val="00946949"/>
    <w:rsid w:val="00946991"/>
    <w:rsid w:val="00946A1F"/>
    <w:rsid w:val="00946A43"/>
    <w:rsid w:val="00946A57"/>
    <w:rsid w:val="00946AA4"/>
    <w:rsid w:val="00946AAF"/>
    <w:rsid w:val="00946AD7"/>
    <w:rsid w:val="00946B30"/>
    <w:rsid w:val="00946B35"/>
    <w:rsid w:val="00946BB4"/>
    <w:rsid w:val="00946BD7"/>
    <w:rsid w:val="00946BF1"/>
    <w:rsid w:val="00946C14"/>
    <w:rsid w:val="00946C28"/>
    <w:rsid w:val="00946CC1"/>
    <w:rsid w:val="00946CC8"/>
    <w:rsid w:val="00946D15"/>
    <w:rsid w:val="00946D35"/>
    <w:rsid w:val="00946D44"/>
    <w:rsid w:val="00946D50"/>
    <w:rsid w:val="00946D67"/>
    <w:rsid w:val="00946D96"/>
    <w:rsid w:val="00946DC1"/>
    <w:rsid w:val="00946E77"/>
    <w:rsid w:val="00946EC3"/>
    <w:rsid w:val="00946EDF"/>
    <w:rsid w:val="00946EEF"/>
    <w:rsid w:val="00946F31"/>
    <w:rsid w:val="00946F98"/>
    <w:rsid w:val="00946FA2"/>
    <w:rsid w:val="00946FC3"/>
    <w:rsid w:val="00947053"/>
    <w:rsid w:val="00947116"/>
    <w:rsid w:val="009471B5"/>
    <w:rsid w:val="009471D7"/>
    <w:rsid w:val="009471E0"/>
    <w:rsid w:val="009471FA"/>
    <w:rsid w:val="00947214"/>
    <w:rsid w:val="00947258"/>
    <w:rsid w:val="0094725E"/>
    <w:rsid w:val="0094728A"/>
    <w:rsid w:val="0094728E"/>
    <w:rsid w:val="009472A8"/>
    <w:rsid w:val="009472CF"/>
    <w:rsid w:val="009472D0"/>
    <w:rsid w:val="009472F5"/>
    <w:rsid w:val="00947340"/>
    <w:rsid w:val="00947344"/>
    <w:rsid w:val="00947390"/>
    <w:rsid w:val="009473AB"/>
    <w:rsid w:val="009473E1"/>
    <w:rsid w:val="00947421"/>
    <w:rsid w:val="009474AA"/>
    <w:rsid w:val="0094750E"/>
    <w:rsid w:val="00947515"/>
    <w:rsid w:val="0094751B"/>
    <w:rsid w:val="00947523"/>
    <w:rsid w:val="00947527"/>
    <w:rsid w:val="0094755B"/>
    <w:rsid w:val="0094758D"/>
    <w:rsid w:val="009475A3"/>
    <w:rsid w:val="009475B3"/>
    <w:rsid w:val="00947649"/>
    <w:rsid w:val="009476EB"/>
    <w:rsid w:val="00947776"/>
    <w:rsid w:val="00947795"/>
    <w:rsid w:val="00947883"/>
    <w:rsid w:val="009478D2"/>
    <w:rsid w:val="00947987"/>
    <w:rsid w:val="00947994"/>
    <w:rsid w:val="009479A7"/>
    <w:rsid w:val="009479AD"/>
    <w:rsid w:val="009479BB"/>
    <w:rsid w:val="009479D4"/>
    <w:rsid w:val="009479EE"/>
    <w:rsid w:val="00947A1D"/>
    <w:rsid w:val="00947A92"/>
    <w:rsid w:val="00947AC6"/>
    <w:rsid w:val="00947AD9"/>
    <w:rsid w:val="00947AE4"/>
    <w:rsid w:val="00947AEC"/>
    <w:rsid w:val="00947B02"/>
    <w:rsid w:val="00947B13"/>
    <w:rsid w:val="00947B59"/>
    <w:rsid w:val="00947B68"/>
    <w:rsid w:val="00947B7F"/>
    <w:rsid w:val="00947B8F"/>
    <w:rsid w:val="00947BA0"/>
    <w:rsid w:val="00947BBD"/>
    <w:rsid w:val="00947BC5"/>
    <w:rsid w:val="00947BF4"/>
    <w:rsid w:val="00947C2E"/>
    <w:rsid w:val="00947C63"/>
    <w:rsid w:val="00947CA8"/>
    <w:rsid w:val="00947CAC"/>
    <w:rsid w:val="00947CD3"/>
    <w:rsid w:val="00947D20"/>
    <w:rsid w:val="00947D39"/>
    <w:rsid w:val="00947D3B"/>
    <w:rsid w:val="00947D5E"/>
    <w:rsid w:val="00947D85"/>
    <w:rsid w:val="00947DAB"/>
    <w:rsid w:val="00947DB4"/>
    <w:rsid w:val="00947E2A"/>
    <w:rsid w:val="00947EA0"/>
    <w:rsid w:val="00947EC0"/>
    <w:rsid w:val="00947F32"/>
    <w:rsid w:val="00947F5B"/>
    <w:rsid w:val="00947FE1"/>
    <w:rsid w:val="00950035"/>
    <w:rsid w:val="00950079"/>
    <w:rsid w:val="009500B5"/>
    <w:rsid w:val="009500B7"/>
    <w:rsid w:val="009500E0"/>
    <w:rsid w:val="00950113"/>
    <w:rsid w:val="00950214"/>
    <w:rsid w:val="00950241"/>
    <w:rsid w:val="009502A3"/>
    <w:rsid w:val="009502C0"/>
    <w:rsid w:val="0095030B"/>
    <w:rsid w:val="00950332"/>
    <w:rsid w:val="00950372"/>
    <w:rsid w:val="0095037C"/>
    <w:rsid w:val="009503B2"/>
    <w:rsid w:val="009503E9"/>
    <w:rsid w:val="009503EE"/>
    <w:rsid w:val="00950437"/>
    <w:rsid w:val="0095043A"/>
    <w:rsid w:val="009504A3"/>
    <w:rsid w:val="009504AE"/>
    <w:rsid w:val="00950527"/>
    <w:rsid w:val="00950571"/>
    <w:rsid w:val="00950573"/>
    <w:rsid w:val="00950604"/>
    <w:rsid w:val="0095064D"/>
    <w:rsid w:val="0095073C"/>
    <w:rsid w:val="00950788"/>
    <w:rsid w:val="009507AE"/>
    <w:rsid w:val="009507B9"/>
    <w:rsid w:val="009507C3"/>
    <w:rsid w:val="009507FB"/>
    <w:rsid w:val="00950802"/>
    <w:rsid w:val="00950823"/>
    <w:rsid w:val="00950883"/>
    <w:rsid w:val="0095091E"/>
    <w:rsid w:val="00950952"/>
    <w:rsid w:val="00950956"/>
    <w:rsid w:val="00950969"/>
    <w:rsid w:val="00950985"/>
    <w:rsid w:val="0095098B"/>
    <w:rsid w:val="009509B2"/>
    <w:rsid w:val="009509D2"/>
    <w:rsid w:val="00950A14"/>
    <w:rsid w:val="00950A87"/>
    <w:rsid w:val="00950AAE"/>
    <w:rsid w:val="00950ACF"/>
    <w:rsid w:val="00950AF3"/>
    <w:rsid w:val="00950B2E"/>
    <w:rsid w:val="00950B84"/>
    <w:rsid w:val="00950B9E"/>
    <w:rsid w:val="00950BAB"/>
    <w:rsid w:val="00950BB4"/>
    <w:rsid w:val="00950BE0"/>
    <w:rsid w:val="00950C0B"/>
    <w:rsid w:val="00950C28"/>
    <w:rsid w:val="00950C56"/>
    <w:rsid w:val="00950CA0"/>
    <w:rsid w:val="00950CD1"/>
    <w:rsid w:val="00950D43"/>
    <w:rsid w:val="00950D47"/>
    <w:rsid w:val="00950D6B"/>
    <w:rsid w:val="00950DA3"/>
    <w:rsid w:val="00950DAC"/>
    <w:rsid w:val="00950DFE"/>
    <w:rsid w:val="00950E0C"/>
    <w:rsid w:val="00950E1B"/>
    <w:rsid w:val="00950E1E"/>
    <w:rsid w:val="00950E66"/>
    <w:rsid w:val="00950E77"/>
    <w:rsid w:val="00950EEB"/>
    <w:rsid w:val="00950F50"/>
    <w:rsid w:val="00950F9A"/>
    <w:rsid w:val="00951007"/>
    <w:rsid w:val="00951015"/>
    <w:rsid w:val="00951073"/>
    <w:rsid w:val="0095117D"/>
    <w:rsid w:val="00951183"/>
    <w:rsid w:val="009511A0"/>
    <w:rsid w:val="009511AE"/>
    <w:rsid w:val="00951205"/>
    <w:rsid w:val="0095120C"/>
    <w:rsid w:val="0095123D"/>
    <w:rsid w:val="0095129B"/>
    <w:rsid w:val="009512A1"/>
    <w:rsid w:val="009512BD"/>
    <w:rsid w:val="0095135E"/>
    <w:rsid w:val="00951376"/>
    <w:rsid w:val="00951378"/>
    <w:rsid w:val="00951383"/>
    <w:rsid w:val="009513E8"/>
    <w:rsid w:val="0095140A"/>
    <w:rsid w:val="0095143D"/>
    <w:rsid w:val="009514C7"/>
    <w:rsid w:val="0095154E"/>
    <w:rsid w:val="0095158C"/>
    <w:rsid w:val="00951598"/>
    <w:rsid w:val="0095159B"/>
    <w:rsid w:val="009515B5"/>
    <w:rsid w:val="009515D0"/>
    <w:rsid w:val="0095166F"/>
    <w:rsid w:val="009516DC"/>
    <w:rsid w:val="009516E5"/>
    <w:rsid w:val="009516E6"/>
    <w:rsid w:val="009516F4"/>
    <w:rsid w:val="0095172F"/>
    <w:rsid w:val="00951741"/>
    <w:rsid w:val="0095176D"/>
    <w:rsid w:val="009517AD"/>
    <w:rsid w:val="009517FD"/>
    <w:rsid w:val="0095182C"/>
    <w:rsid w:val="00951858"/>
    <w:rsid w:val="00951876"/>
    <w:rsid w:val="00951885"/>
    <w:rsid w:val="00951899"/>
    <w:rsid w:val="009518B7"/>
    <w:rsid w:val="009518BB"/>
    <w:rsid w:val="0095193E"/>
    <w:rsid w:val="0095195C"/>
    <w:rsid w:val="00951991"/>
    <w:rsid w:val="009519B4"/>
    <w:rsid w:val="009519BA"/>
    <w:rsid w:val="009519C5"/>
    <w:rsid w:val="009519D1"/>
    <w:rsid w:val="009519D2"/>
    <w:rsid w:val="009519FE"/>
    <w:rsid w:val="00951A01"/>
    <w:rsid w:val="00951A85"/>
    <w:rsid w:val="00951ABA"/>
    <w:rsid w:val="00951B88"/>
    <w:rsid w:val="00951B90"/>
    <w:rsid w:val="00951BB8"/>
    <w:rsid w:val="00951C47"/>
    <w:rsid w:val="00951C55"/>
    <w:rsid w:val="00951CA1"/>
    <w:rsid w:val="00951CE1"/>
    <w:rsid w:val="00951CFA"/>
    <w:rsid w:val="00951CFC"/>
    <w:rsid w:val="00951CFF"/>
    <w:rsid w:val="00951D39"/>
    <w:rsid w:val="00951D79"/>
    <w:rsid w:val="00951D9C"/>
    <w:rsid w:val="00951DC9"/>
    <w:rsid w:val="00951E2E"/>
    <w:rsid w:val="00951E4F"/>
    <w:rsid w:val="00951E53"/>
    <w:rsid w:val="00951E6D"/>
    <w:rsid w:val="00951E9D"/>
    <w:rsid w:val="00951EAC"/>
    <w:rsid w:val="00951EDD"/>
    <w:rsid w:val="00951F1B"/>
    <w:rsid w:val="00951F52"/>
    <w:rsid w:val="00951F76"/>
    <w:rsid w:val="00951FC5"/>
    <w:rsid w:val="00951FD2"/>
    <w:rsid w:val="00952007"/>
    <w:rsid w:val="00952057"/>
    <w:rsid w:val="0095206A"/>
    <w:rsid w:val="00952093"/>
    <w:rsid w:val="009520AC"/>
    <w:rsid w:val="009520BD"/>
    <w:rsid w:val="009520E1"/>
    <w:rsid w:val="00952109"/>
    <w:rsid w:val="0095213B"/>
    <w:rsid w:val="00952146"/>
    <w:rsid w:val="00952225"/>
    <w:rsid w:val="0095226D"/>
    <w:rsid w:val="0095227A"/>
    <w:rsid w:val="009522B0"/>
    <w:rsid w:val="009522DC"/>
    <w:rsid w:val="009522E6"/>
    <w:rsid w:val="00952336"/>
    <w:rsid w:val="009523F0"/>
    <w:rsid w:val="00952414"/>
    <w:rsid w:val="009524F7"/>
    <w:rsid w:val="0095252C"/>
    <w:rsid w:val="0095255A"/>
    <w:rsid w:val="00952565"/>
    <w:rsid w:val="0095259C"/>
    <w:rsid w:val="009525B4"/>
    <w:rsid w:val="009525E8"/>
    <w:rsid w:val="009525F7"/>
    <w:rsid w:val="0095260C"/>
    <w:rsid w:val="00952640"/>
    <w:rsid w:val="00952679"/>
    <w:rsid w:val="0095278B"/>
    <w:rsid w:val="009527F6"/>
    <w:rsid w:val="00952840"/>
    <w:rsid w:val="00952856"/>
    <w:rsid w:val="009528B1"/>
    <w:rsid w:val="009528E7"/>
    <w:rsid w:val="009528E9"/>
    <w:rsid w:val="00952985"/>
    <w:rsid w:val="00952991"/>
    <w:rsid w:val="00952A2A"/>
    <w:rsid w:val="00952A2E"/>
    <w:rsid w:val="00952A5F"/>
    <w:rsid w:val="00952A64"/>
    <w:rsid w:val="00952A6C"/>
    <w:rsid w:val="00952A72"/>
    <w:rsid w:val="00952A7A"/>
    <w:rsid w:val="00952AFD"/>
    <w:rsid w:val="00952B12"/>
    <w:rsid w:val="00952BA5"/>
    <w:rsid w:val="00952BA6"/>
    <w:rsid w:val="00952BE2"/>
    <w:rsid w:val="00952C0D"/>
    <w:rsid w:val="00952C1E"/>
    <w:rsid w:val="00952C4A"/>
    <w:rsid w:val="00952C72"/>
    <w:rsid w:val="00952C91"/>
    <w:rsid w:val="00952CE2"/>
    <w:rsid w:val="00952CF9"/>
    <w:rsid w:val="00952D60"/>
    <w:rsid w:val="00952D76"/>
    <w:rsid w:val="00952DD9"/>
    <w:rsid w:val="00952E17"/>
    <w:rsid w:val="00952E28"/>
    <w:rsid w:val="00952E2A"/>
    <w:rsid w:val="00952E4D"/>
    <w:rsid w:val="00952E57"/>
    <w:rsid w:val="00952E60"/>
    <w:rsid w:val="00952E9D"/>
    <w:rsid w:val="00952EFD"/>
    <w:rsid w:val="00952F00"/>
    <w:rsid w:val="00952F34"/>
    <w:rsid w:val="00952F8F"/>
    <w:rsid w:val="00952FC3"/>
    <w:rsid w:val="0095301A"/>
    <w:rsid w:val="0095308A"/>
    <w:rsid w:val="009530AE"/>
    <w:rsid w:val="009530C6"/>
    <w:rsid w:val="00953138"/>
    <w:rsid w:val="009531C2"/>
    <w:rsid w:val="009531F7"/>
    <w:rsid w:val="00953221"/>
    <w:rsid w:val="00953277"/>
    <w:rsid w:val="009532A4"/>
    <w:rsid w:val="009532D5"/>
    <w:rsid w:val="0095330B"/>
    <w:rsid w:val="0095335E"/>
    <w:rsid w:val="0095335F"/>
    <w:rsid w:val="00953365"/>
    <w:rsid w:val="009533D6"/>
    <w:rsid w:val="00953459"/>
    <w:rsid w:val="009534D9"/>
    <w:rsid w:val="00953521"/>
    <w:rsid w:val="0095353C"/>
    <w:rsid w:val="009535A0"/>
    <w:rsid w:val="009535D2"/>
    <w:rsid w:val="009535E7"/>
    <w:rsid w:val="009535EC"/>
    <w:rsid w:val="00953669"/>
    <w:rsid w:val="00953689"/>
    <w:rsid w:val="009536CB"/>
    <w:rsid w:val="009536F9"/>
    <w:rsid w:val="00953768"/>
    <w:rsid w:val="009537A5"/>
    <w:rsid w:val="009537C7"/>
    <w:rsid w:val="009537CD"/>
    <w:rsid w:val="009537DA"/>
    <w:rsid w:val="009537FC"/>
    <w:rsid w:val="00953860"/>
    <w:rsid w:val="0095388D"/>
    <w:rsid w:val="009538A7"/>
    <w:rsid w:val="009538BB"/>
    <w:rsid w:val="009538FD"/>
    <w:rsid w:val="0095391A"/>
    <w:rsid w:val="00953929"/>
    <w:rsid w:val="00953934"/>
    <w:rsid w:val="00953937"/>
    <w:rsid w:val="00953945"/>
    <w:rsid w:val="009539B6"/>
    <w:rsid w:val="00953A25"/>
    <w:rsid w:val="00953A40"/>
    <w:rsid w:val="00953A4A"/>
    <w:rsid w:val="00953A64"/>
    <w:rsid w:val="00953AF1"/>
    <w:rsid w:val="00953B31"/>
    <w:rsid w:val="00953B5D"/>
    <w:rsid w:val="00953BA3"/>
    <w:rsid w:val="00953BB1"/>
    <w:rsid w:val="00953BDA"/>
    <w:rsid w:val="00953BE8"/>
    <w:rsid w:val="00953C1B"/>
    <w:rsid w:val="00953C65"/>
    <w:rsid w:val="00953CCB"/>
    <w:rsid w:val="00953CF2"/>
    <w:rsid w:val="00953D29"/>
    <w:rsid w:val="00953D65"/>
    <w:rsid w:val="00953DB0"/>
    <w:rsid w:val="00953DEC"/>
    <w:rsid w:val="00953DF7"/>
    <w:rsid w:val="00953E74"/>
    <w:rsid w:val="00953ED7"/>
    <w:rsid w:val="00953F3C"/>
    <w:rsid w:val="00953F48"/>
    <w:rsid w:val="00953F5B"/>
    <w:rsid w:val="00953F79"/>
    <w:rsid w:val="00953F88"/>
    <w:rsid w:val="00953F98"/>
    <w:rsid w:val="00953FF0"/>
    <w:rsid w:val="00953FFA"/>
    <w:rsid w:val="00954085"/>
    <w:rsid w:val="009540B4"/>
    <w:rsid w:val="009540BE"/>
    <w:rsid w:val="00954203"/>
    <w:rsid w:val="00954232"/>
    <w:rsid w:val="00954256"/>
    <w:rsid w:val="00954261"/>
    <w:rsid w:val="0095426F"/>
    <w:rsid w:val="0095427A"/>
    <w:rsid w:val="00954289"/>
    <w:rsid w:val="009542AB"/>
    <w:rsid w:val="009542C7"/>
    <w:rsid w:val="009542EC"/>
    <w:rsid w:val="009542FD"/>
    <w:rsid w:val="0095433D"/>
    <w:rsid w:val="00954369"/>
    <w:rsid w:val="009543E4"/>
    <w:rsid w:val="009543F8"/>
    <w:rsid w:val="0095444C"/>
    <w:rsid w:val="0095444F"/>
    <w:rsid w:val="009544DC"/>
    <w:rsid w:val="009544E2"/>
    <w:rsid w:val="00954509"/>
    <w:rsid w:val="0095450C"/>
    <w:rsid w:val="0095452D"/>
    <w:rsid w:val="00954649"/>
    <w:rsid w:val="00954666"/>
    <w:rsid w:val="00954673"/>
    <w:rsid w:val="009546C1"/>
    <w:rsid w:val="009546C3"/>
    <w:rsid w:val="0095472C"/>
    <w:rsid w:val="00954757"/>
    <w:rsid w:val="00954770"/>
    <w:rsid w:val="00954789"/>
    <w:rsid w:val="009547C2"/>
    <w:rsid w:val="009547CB"/>
    <w:rsid w:val="009547E6"/>
    <w:rsid w:val="009547F8"/>
    <w:rsid w:val="0095482E"/>
    <w:rsid w:val="009548CD"/>
    <w:rsid w:val="009548CE"/>
    <w:rsid w:val="0095492C"/>
    <w:rsid w:val="00954948"/>
    <w:rsid w:val="00954958"/>
    <w:rsid w:val="0095495D"/>
    <w:rsid w:val="009549A5"/>
    <w:rsid w:val="009549B4"/>
    <w:rsid w:val="009549BA"/>
    <w:rsid w:val="009549FC"/>
    <w:rsid w:val="00954A2C"/>
    <w:rsid w:val="00954A66"/>
    <w:rsid w:val="00954A9D"/>
    <w:rsid w:val="00954AB8"/>
    <w:rsid w:val="00954B1B"/>
    <w:rsid w:val="00954B32"/>
    <w:rsid w:val="00954B65"/>
    <w:rsid w:val="00954B6A"/>
    <w:rsid w:val="00954C23"/>
    <w:rsid w:val="00954C58"/>
    <w:rsid w:val="00954C7C"/>
    <w:rsid w:val="00954C88"/>
    <w:rsid w:val="00954CDD"/>
    <w:rsid w:val="00954D10"/>
    <w:rsid w:val="00954D58"/>
    <w:rsid w:val="00954DC4"/>
    <w:rsid w:val="00954DFC"/>
    <w:rsid w:val="00954E0F"/>
    <w:rsid w:val="00954E21"/>
    <w:rsid w:val="00954E2A"/>
    <w:rsid w:val="00954E42"/>
    <w:rsid w:val="00954E80"/>
    <w:rsid w:val="00954EAE"/>
    <w:rsid w:val="00954EC2"/>
    <w:rsid w:val="00954EDB"/>
    <w:rsid w:val="00954EEE"/>
    <w:rsid w:val="00954EEF"/>
    <w:rsid w:val="00954F06"/>
    <w:rsid w:val="00954F32"/>
    <w:rsid w:val="00954F6E"/>
    <w:rsid w:val="00954F86"/>
    <w:rsid w:val="00954FA0"/>
    <w:rsid w:val="00954FBF"/>
    <w:rsid w:val="00954FC3"/>
    <w:rsid w:val="00954FD8"/>
    <w:rsid w:val="0095501F"/>
    <w:rsid w:val="0095511E"/>
    <w:rsid w:val="00955122"/>
    <w:rsid w:val="00955167"/>
    <w:rsid w:val="009551F9"/>
    <w:rsid w:val="00955227"/>
    <w:rsid w:val="00955238"/>
    <w:rsid w:val="00955283"/>
    <w:rsid w:val="00955294"/>
    <w:rsid w:val="0095533F"/>
    <w:rsid w:val="0095539B"/>
    <w:rsid w:val="009553BF"/>
    <w:rsid w:val="009553CA"/>
    <w:rsid w:val="00955417"/>
    <w:rsid w:val="0095546C"/>
    <w:rsid w:val="009554AB"/>
    <w:rsid w:val="009554C0"/>
    <w:rsid w:val="009554C5"/>
    <w:rsid w:val="009554C8"/>
    <w:rsid w:val="00955570"/>
    <w:rsid w:val="00955576"/>
    <w:rsid w:val="00955583"/>
    <w:rsid w:val="0095563E"/>
    <w:rsid w:val="009556D2"/>
    <w:rsid w:val="009556EE"/>
    <w:rsid w:val="00955778"/>
    <w:rsid w:val="00955866"/>
    <w:rsid w:val="0095589A"/>
    <w:rsid w:val="009558A5"/>
    <w:rsid w:val="009558C4"/>
    <w:rsid w:val="00955A18"/>
    <w:rsid w:val="00955A42"/>
    <w:rsid w:val="00955AD0"/>
    <w:rsid w:val="00955AE5"/>
    <w:rsid w:val="00955AFC"/>
    <w:rsid w:val="00955B8F"/>
    <w:rsid w:val="00955BC1"/>
    <w:rsid w:val="00955C00"/>
    <w:rsid w:val="00955C05"/>
    <w:rsid w:val="00955C32"/>
    <w:rsid w:val="00955C7E"/>
    <w:rsid w:val="00955D23"/>
    <w:rsid w:val="00955D26"/>
    <w:rsid w:val="00955D67"/>
    <w:rsid w:val="00955D79"/>
    <w:rsid w:val="00955D7C"/>
    <w:rsid w:val="00955DFB"/>
    <w:rsid w:val="00955E14"/>
    <w:rsid w:val="00955EB6"/>
    <w:rsid w:val="00955EBD"/>
    <w:rsid w:val="00955EFB"/>
    <w:rsid w:val="00955F65"/>
    <w:rsid w:val="00955F8C"/>
    <w:rsid w:val="00955FFE"/>
    <w:rsid w:val="00956056"/>
    <w:rsid w:val="00956068"/>
    <w:rsid w:val="009560A3"/>
    <w:rsid w:val="009560EB"/>
    <w:rsid w:val="0095617D"/>
    <w:rsid w:val="00956191"/>
    <w:rsid w:val="009561AA"/>
    <w:rsid w:val="009561B0"/>
    <w:rsid w:val="009561D9"/>
    <w:rsid w:val="009561F4"/>
    <w:rsid w:val="00956272"/>
    <w:rsid w:val="0095628D"/>
    <w:rsid w:val="009562AA"/>
    <w:rsid w:val="009562CA"/>
    <w:rsid w:val="009562D0"/>
    <w:rsid w:val="00956387"/>
    <w:rsid w:val="00956398"/>
    <w:rsid w:val="00956474"/>
    <w:rsid w:val="00956481"/>
    <w:rsid w:val="009564E6"/>
    <w:rsid w:val="009564EC"/>
    <w:rsid w:val="009565AF"/>
    <w:rsid w:val="009565D0"/>
    <w:rsid w:val="009565D3"/>
    <w:rsid w:val="009565F3"/>
    <w:rsid w:val="009565F4"/>
    <w:rsid w:val="00956636"/>
    <w:rsid w:val="00956646"/>
    <w:rsid w:val="009566C1"/>
    <w:rsid w:val="009566C2"/>
    <w:rsid w:val="0095674B"/>
    <w:rsid w:val="00956793"/>
    <w:rsid w:val="009567E2"/>
    <w:rsid w:val="00956816"/>
    <w:rsid w:val="0095685E"/>
    <w:rsid w:val="009568AB"/>
    <w:rsid w:val="00956928"/>
    <w:rsid w:val="00956995"/>
    <w:rsid w:val="0095699F"/>
    <w:rsid w:val="009569A3"/>
    <w:rsid w:val="009569DC"/>
    <w:rsid w:val="00956A01"/>
    <w:rsid w:val="00956A18"/>
    <w:rsid w:val="00956A53"/>
    <w:rsid w:val="00956AC0"/>
    <w:rsid w:val="00956AD0"/>
    <w:rsid w:val="00956B18"/>
    <w:rsid w:val="00956B1F"/>
    <w:rsid w:val="00956B3B"/>
    <w:rsid w:val="00956B75"/>
    <w:rsid w:val="00956BDB"/>
    <w:rsid w:val="00956BE6"/>
    <w:rsid w:val="00956C63"/>
    <w:rsid w:val="00956C65"/>
    <w:rsid w:val="00956C87"/>
    <w:rsid w:val="00956CFF"/>
    <w:rsid w:val="00956D02"/>
    <w:rsid w:val="00956D10"/>
    <w:rsid w:val="00956D26"/>
    <w:rsid w:val="00956D4A"/>
    <w:rsid w:val="00956D70"/>
    <w:rsid w:val="00956E10"/>
    <w:rsid w:val="00956EC1"/>
    <w:rsid w:val="00956EC6"/>
    <w:rsid w:val="00956F8B"/>
    <w:rsid w:val="00956FF0"/>
    <w:rsid w:val="00957002"/>
    <w:rsid w:val="00957009"/>
    <w:rsid w:val="0095703E"/>
    <w:rsid w:val="00957053"/>
    <w:rsid w:val="0095705F"/>
    <w:rsid w:val="00957065"/>
    <w:rsid w:val="0095707E"/>
    <w:rsid w:val="009570C3"/>
    <w:rsid w:val="009570C7"/>
    <w:rsid w:val="0095714B"/>
    <w:rsid w:val="00957165"/>
    <w:rsid w:val="00957187"/>
    <w:rsid w:val="00957195"/>
    <w:rsid w:val="009571BF"/>
    <w:rsid w:val="009571CD"/>
    <w:rsid w:val="009571E4"/>
    <w:rsid w:val="00957211"/>
    <w:rsid w:val="00957274"/>
    <w:rsid w:val="009572C9"/>
    <w:rsid w:val="00957309"/>
    <w:rsid w:val="00957310"/>
    <w:rsid w:val="0095731F"/>
    <w:rsid w:val="0095734C"/>
    <w:rsid w:val="0095737C"/>
    <w:rsid w:val="00957405"/>
    <w:rsid w:val="00957459"/>
    <w:rsid w:val="009574AF"/>
    <w:rsid w:val="009574B6"/>
    <w:rsid w:val="009574C0"/>
    <w:rsid w:val="009574E3"/>
    <w:rsid w:val="00957501"/>
    <w:rsid w:val="00957514"/>
    <w:rsid w:val="00957521"/>
    <w:rsid w:val="00957549"/>
    <w:rsid w:val="009575CF"/>
    <w:rsid w:val="00957605"/>
    <w:rsid w:val="0095765E"/>
    <w:rsid w:val="00957679"/>
    <w:rsid w:val="0095768E"/>
    <w:rsid w:val="009576BC"/>
    <w:rsid w:val="009576D9"/>
    <w:rsid w:val="009576F2"/>
    <w:rsid w:val="009577F0"/>
    <w:rsid w:val="00957808"/>
    <w:rsid w:val="00957823"/>
    <w:rsid w:val="0095782B"/>
    <w:rsid w:val="00957831"/>
    <w:rsid w:val="00957837"/>
    <w:rsid w:val="00957863"/>
    <w:rsid w:val="009578D2"/>
    <w:rsid w:val="009578DF"/>
    <w:rsid w:val="00957915"/>
    <w:rsid w:val="00957926"/>
    <w:rsid w:val="009579CF"/>
    <w:rsid w:val="009579DA"/>
    <w:rsid w:val="00957A0C"/>
    <w:rsid w:val="00957A52"/>
    <w:rsid w:val="00957A5D"/>
    <w:rsid w:val="00957A62"/>
    <w:rsid w:val="00957B16"/>
    <w:rsid w:val="00957B8D"/>
    <w:rsid w:val="00957B93"/>
    <w:rsid w:val="00957BC9"/>
    <w:rsid w:val="00957BE0"/>
    <w:rsid w:val="00957C55"/>
    <w:rsid w:val="00957C71"/>
    <w:rsid w:val="00957C72"/>
    <w:rsid w:val="00957CA9"/>
    <w:rsid w:val="00957D33"/>
    <w:rsid w:val="00957D62"/>
    <w:rsid w:val="00957D63"/>
    <w:rsid w:val="00957D76"/>
    <w:rsid w:val="00957DB5"/>
    <w:rsid w:val="00957DC6"/>
    <w:rsid w:val="00957E43"/>
    <w:rsid w:val="00957E5D"/>
    <w:rsid w:val="00957F0C"/>
    <w:rsid w:val="00957F3F"/>
    <w:rsid w:val="00957F4C"/>
    <w:rsid w:val="00957FDE"/>
    <w:rsid w:val="0096005F"/>
    <w:rsid w:val="009600D0"/>
    <w:rsid w:val="0096012D"/>
    <w:rsid w:val="0096014C"/>
    <w:rsid w:val="009601BE"/>
    <w:rsid w:val="009601E3"/>
    <w:rsid w:val="009601F5"/>
    <w:rsid w:val="009602CA"/>
    <w:rsid w:val="009602D3"/>
    <w:rsid w:val="009602E2"/>
    <w:rsid w:val="00960316"/>
    <w:rsid w:val="00960326"/>
    <w:rsid w:val="0096032A"/>
    <w:rsid w:val="0096032D"/>
    <w:rsid w:val="0096033C"/>
    <w:rsid w:val="0096034B"/>
    <w:rsid w:val="00960384"/>
    <w:rsid w:val="00960431"/>
    <w:rsid w:val="00960484"/>
    <w:rsid w:val="009604CA"/>
    <w:rsid w:val="00960519"/>
    <w:rsid w:val="00960591"/>
    <w:rsid w:val="00960592"/>
    <w:rsid w:val="009605B1"/>
    <w:rsid w:val="009605DB"/>
    <w:rsid w:val="0096062D"/>
    <w:rsid w:val="00960675"/>
    <w:rsid w:val="00960678"/>
    <w:rsid w:val="009606C4"/>
    <w:rsid w:val="00960717"/>
    <w:rsid w:val="009607B9"/>
    <w:rsid w:val="009607BB"/>
    <w:rsid w:val="009607C8"/>
    <w:rsid w:val="009607DE"/>
    <w:rsid w:val="009607FD"/>
    <w:rsid w:val="0096080C"/>
    <w:rsid w:val="00960826"/>
    <w:rsid w:val="0096083B"/>
    <w:rsid w:val="0096084F"/>
    <w:rsid w:val="00960852"/>
    <w:rsid w:val="00960863"/>
    <w:rsid w:val="00960880"/>
    <w:rsid w:val="009608D0"/>
    <w:rsid w:val="009608FC"/>
    <w:rsid w:val="0096095D"/>
    <w:rsid w:val="0096096A"/>
    <w:rsid w:val="009609AE"/>
    <w:rsid w:val="00960A17"/>
    <w:rsid w:val="00960A58"/>
    <w:rsid w:val="00960A71"/>
    <w:rsid w:val="00960A7A"/>
    <w:rsid w:val="00960A80"/>
    <w:rsid w:val="00960A8E"/>
    <w:rsid w:val="00960AEE"/>
    <w:rsid w:val="00960B2B"/>
    <w:rsid w:val="00960B30"/>
    <w:rsid w:val="00960B74"/>
    <w:rsid w:val="00960B75"/>
    <w:rsid w:val="00960B77"/>
    <w:rsid w:val="00960BD7"/>
    <w:rsid w:val="00960C0E"/>
    <w:rsid w:val="00960D02"/>
    <w:rsid w:val="00960D0F"/>
    <w:rsid w:val="00960D72"/>
    <w:rsid w:val="00960DCD"/>
    <w:rsid w:val="00960E13"/>
    <w:rsid w:val="00960E46"/>
    <w:rsid w:val="00960E79"/>
    <w:rsid w:val="00960E88"/>
    <w:rsid w:val="00960E9F"/>
    <w:rsid w:val="00960EB1"/>
    <w:rsid w:val="00960EBF"/>
    <w:rsid w:val="00960ECB"/>
    <w:rsid w:val="00961036"/>
    <w:rsid w:val="00961066"/>
    <w:rsid w:val="0096106E"/>
    <w:rsid w:val="00961076"/>
    <w:rsid w:val="00961087"/>
    <w:rsid w:val="0096108C"/>
    <w:rsid w:val="0096108D"/>
    <w:rsid w:val="009610BE"/>
    <w:rsid w:val="00961146"/>
    <w:rsid w:val="00961173"/>
    <w:rsid w:val="0096117B"/>
    <w:rsid w:val="009611CB"/>
    <w:rsid w:val="009611F1"/>
    <w:rsid w:val="0096120B"/>
    <w:rsid w:val="00961218"/>
    <w:rsid w:val="0096128F"/>
    <w:rsid w:val="009612C2"/>
    <w:rsid w:val="009612DD"/>
    <w:rsid w:val="009612EB"/>
    <w:rsid w:val="009612EC"/>
    <w:rsid w:val="0096142A"/>
    <w:rsid w:val="00961439"/>
    <w:rsid w:val="0096143B"/>
    <w:rsid w:val="0096144E"/>
    <w:rsid w:val="00961477"/>
    <w:rsid w:val="0096148B"/>
    <w:rsid w:val="009614BC"/>
    <w:rsid w:val="009614E3"/>
    <w:rsid w:val="00961501"/>
    <w:rsid w:val="009615C8"/>
    <w:rsid w:val="00961608"/>
    <w:rsid w:val="00961624"/>
    <w:rsid w:val="00961633"/>
    <w:rsid w:val="00961649"/>
    <w:rsid w:val="009616A2"/>
    <w:rsid w:val="009616C0"/>
    <w:rsid w:val="009616E7"/>
    <w:rsid w:val="00961702"/>
    <w:rsid w:val="0096170E"/>
    <w:rsid w:val="00961735"/>
    <w:rsid w:val="00961779"/>
    <w:rsid w:val="00961795"/>
    <w:rsid w:val="009617F8"/>
    <w:rsid w:val="00961897"/>
    <w:rsid w:val="009618A8"/>
    <w:rsid w:val="009618EF"/>
    <w:rsid w:val="00961978"/>
    <w:rsid w:val="009619C5"/>
    <w:rsid w:val="00961A09"/>
    <w:rsid w:val="00961A44"/>
    <w:rsid w:val="00961A7A"/>
    <w:rsid w:val="00961ABC"/>
    <w:rsid w:val="00961ADC"/>
    <w:rsid w:val="00961AFD"/>
    <w:rsid w:val="00961B2D"/>
    <w:rsid w:val="00961B55"/>
    <w:rsid w:val="00961BDA"/>
    <w:rsid w:val="00961C15"/>
    <w:rsid w:val="00961C3B"/>
    <w:rsid w:val="00961CA4"/>
    <w:rsid w:val="00961CF6"/>
    <w:rsid w:val="00961D15"/>
    <w:rsid w:val="00961D26"/>
    <w:rsid w:val="00961D3C"/>
    <w:rsid w:val="00961DB5"/>
    <w:rsid w:val="00961DD3"/>
    <w:rsid w:val="00961DDC"/>
    <w:rsid w:val="00961E15"/>
    <w:rsid w:val="00961E9A"/>
    <w:rsid w:val="00961E9E"/>
    <w:rsid w:val="00961EFD"/>
    <w:rsid w:val="00961F3A"/>
    <w:rsid w:val="00961FC2"/>
    <w:rsid w:val="00961FF7"/>
    <w:rsid w:val="0096200C"/>
    <w:rsid w:val="00962034"/>
    <w:rsid w:val="009620A1"/>
    <w:rsid w:val="009620AC"/>
    <w:rsid w:val="0096216C"/>
    <w:rsid w:val="00962182"/>
    <w:rsid w:val="009621B1"/>
    <w:rsid w:val="009621CA"/>
    <w:rsid w:val="00962259"/>
    <w:rsid w:val="00962279"/>
    <w:rsid w:val="009622D3"/>
    <w:rsid w:val="009623B2"/>
    <w:rsid w:val="009623E8"/>
    <w:rsid w:val="009623FC"/>
    <w:rsid w:val="0096241E"/>
    <w:rsid w:val="00962420"/>
    <w:rsid w:val="00962433"/>
    <w:rsid w:val="00962473"/>
    <w:rsid w:val="009624A0"/>
    <w:rsid w:val="009624A1"/>
    <w:rsid w:val="009624A6"/>
    <w:rsid w:val="009624B0"/>
    <w:rsid w:val="009624B6"/>
    <w:rsid w:val="009624C2"/>
    <w:rsid w:val="009624F3"/>
    <w:rsid w:val="0096251C"/>
    <w:rsid w:val="0096252F"/>
    <w:rsid w:val="00962544"/>
    <w:rsid w:val="0096255E"/>
    <w:rsid w:val="0096259D"/>
    <w:rsid w:val="009625A3"/>
    <w:rsid w:val="009625F6"/>
    <w:rsid w:val="0096261D"/>
    <w:rsid w:val="00962655"/>
    <w:rsid w:val="009626BA"/>
    <w:rsid w:val="009626F7"/>
    <w:rsid w:val="00962701"/>
    <w:rsid w:val="00962751"/>
    <w:rsid w:val="00962763"/>
    <w:rsid w:val="00962765"/>
    <w:rsid w:val="009627A6"/>
    <w:rsid w:val="009627D7"/>
    <w:rsid w:val="009627E0"/>
    <w:rsid w:val="0096281C"/>
    <w:rsid w:val="00962864"/>
    <w:rsid w:val="00962881"/>
    <w:rsid w:val="00962891"/>
    <w:rsid w:val="009628C8"/>
    <w:rsid w:val="009628E2"/>
    <w:rsid w:val="00962939"/>
    <w:rsid w:val="0096295A"/>
    <w:rsid w:val="00962965"/>
    <w:rsid w:val="0096298F"/>
    <w:rsid w:val="0096299A"/>
    <w:rsid w:val="0096299E"/>
    <w:rsid w:val="009629CB"/>
    <w:rsid w:val="00962A0B"/>
    <w:rsid w:val="00962A16"/>
    <w:rsid w:val="00962A56"/>
    <w:rsid w:val="00962A78"/>
    <w:rsid w:val="00962ACF"/>
    <w:rsid w:val="00962B0C"/>
    <w:rsid w:val="00962B18"/>
    <w:rsid w:val="00962B1C"/>
    <w:rsid w:val="00962B89"/>
    <w:rsid w:val="00962BC7"/>
    <w:rsid w:val="00962C36"/>
    <w:rsid w:val="00962CCA"/>
    <w:rsid w:val="00962CCE"/>
    <w:rsid w:val="00962CD7"/>
    <w:rsid w:val="00962CF6"/>
    <w:rsid w:val="00962CFA"/>
    <w:rsid w:val="00962D49"/>
    <w:rsid w:val="00962D84"/>
    <w:rsid w:val="00962DF0"/>
    <w:rsid w:val="00962E03"/>
    <w:rsid w:val="00962E77"/>
    <w:rsid w:val="00962EF4"/>
    <w:rsid w:val="00962F33"/>
    <w:rsid w:val="00962F6F"/>
    <w:rsid w:val="00962FBB"/>
    <w:rsid w:val="00962FBF"/>
    <w:rsid w:val="00962FD4"/>
    <w:rsid w:val="00963032"/>
    <w:rsid w:val="00963033"/>
    <w:rsid w:val="0096303B"/>
    <w:rsid w:val="009630A5"/>
    <w:rsid w:val="0096315A"/>
    <w:rsid w:val="0096317B"/>
    <w:rsid w:val="00963181"/>
    <w:rsid w:val="009632A1"/>
    <w:rsid w:val="009632B9"/>
    <w:rsid w:val="009632C6"/>
    <w:rsid w:val="009632CA"/>
    <w:rsid w:val="0096339E"/>
    <w:rsid w:val="009633D8"/>
    <w:rsid w:val="009633E9"/>
    <w:rsid w:val="009633EB"/>
    <w:rsid w:val="0096341D"/>
    <w:rsid w:val="009634EC"/>
    <w:rsid w:val="00963510"/>
    <w:rsid w:val="00963517"/>
    <w:rsid w:val="0096352E"/>
    <w:rsid w:val="00963557"/>
    <w:rsid w:val="00963572"/>
    <w:rsid w:val="009635D2"/>
    <w:rsid w:val="0096364A"/>
    <w:rsid w:val="00963743"/>
    <w:rsid w:val="00963770"/>
    <w:rsid w:val="00963796"/>
    <w:rsid w:val="0096379E"/>
    <w:rsid w:val="009637CB"/>
    <w:rsid w:val="009637CD"/>
    <w:rsid w:val="009637E8"/>
    <w:rsid w:val="0096387A"/>
    <w:rsid w:val="0096388F"/>
    <w:rsid w:val="009638BE"/>
    <w:rsid w:val="009638CC"/>
    <w:rsid w:val="0096393C"/>
    <w:rsid w:val="0096396E"/>
    <w:rsid w:val="009639CF"/>
    <w:rsid w:val="009639EE"/>
    <w:rsid w:val="00963A06"/>
    <w:rsid w:val="00963A1D"/>
    <w:rsid w:val="00963A69"/>
    <w:rsid w:val="00963A9C"/>
    <w:rsid w:val="00963ABD"/>
    <w:rsid w:val="00963AE4"/>
    <w:rsid w:val="00963B2A"/>
    <w:rsid w:val="00963B37"/>
    <w:rsid w:val="00963B38"/>
    <w:rsid w:val="00963B78"/>
    <w:rsid w:val="00963B82"/>
    <w:rsid w:val="00963BBE"/>
    <w:rsid w:val="00963C01"/>
    <w:rsid w:val="00963C09"/>
    <w:rsid w:val="00963C2C"/>
    <w:rsid w:val="00963C31"/>
    <w:rsid w:val="00963C3C"/>
    <w:rsid w:val="00963C3E"/>
    <w:rsid w:val="00963C69"/>
    <w:rsid w:val="00963CA0"/>
    <w:rsid w:val="00963D1E"/>
    <w:rsid w:val="00963D29"/>
    <w:rsid w:val="00963D85"/>
    <w:rsid w:val="00963DBB"/>
    <w:rsid w:val="00963E11"/>
    <w:rsid w:val="00963E15"/>
    <w:rsid w:val="00963E4C"/>
    <w:rsid w:val="00963E83"/>
    <w:rsid w:val="00963F0C"/>
    <w:rsid w:val="00963F5A"/>
    <w:rsid w:val="00963F5C"/>
    <w:rsid w:val="00963F5F"/>
    <w:rsid w:val="00963FAE"/>
    <w:rsid w:val="00963FD7"/>
    <w:rsid w:val="00963FD8"/>
    <w:rsid w:val="0096402E"/>
    <w:rsid w:val="00964059"/>
    <w:rsid w:val="0096405A"/>
    <w:rsid w:val="009640AB"/>
    <w:rsid w:val="009640E3"/>
    <w:rsid w:val="0096418A"/>
    <w:rsid w:val="009641BE"/>
    <w:rsid w:val="009641C4"/>
    <w:rsid w:val="009641DB"/>
    <w:rsid w:val="009641E0"/>
    <w:rsid w:val="0096426B"/>
    <w:rsid w:val="00964283"/>
    <w:rsid w:val="00964295"/>
    <w:rsid w:val="009642AF"/>
    <w:rsid w:val="0096434D"/>
    <w:rsid w:val="009643AF"/>
    <w:rsid w:val="009643BD"/>
    <w:rsid w:val="009643D5"/>
    <w:rsid w:val="009643F7"/>
    <w:rsid w:val="0096440C"/>
    <w:rsid w:val="0096440E"/>
    <w:rsid w:val="0096440F"/>
    <w:rsid w:val="00964410"/>
    <w:rsid w:val="0096443A"/>
    <w:rsid w:val="00964442"/>
    <w:rsid w:val="0096445F"/>
    <w:rsid w:val="00964491"/>
    <w:rsid w:val="009644DC"/>
    <w:rsid w:val="00964500"/>
    <w:rsid w:val="0096450C"/>
    <w:rsid w:val="00964549"/>
    <w:rsid w:val="00964570"/>
    <w:rsid w:val="00964588"/>
    <w:rsid w:val="00964601"/>
    <w:rsid w:val="00964660"/>
    <w:rsid w:val="009646A4"/>
    <w:rsid w:val="009646B3"/>
    <w:rsid w:val="0096474F"/>
    <w:rsid w:val="00964768"/>
    <w:rsid w:val="00964781"/>
    <w:rsid w:val="009647E5"/>
    <w:rsid w:val="00964851"/>
    <w:rsid w:val="00964889"/>
    <w:rsid w:val="009648E9"/>
    <w:rsid w:val="00964914"/>
    <w:rsid w:val="00964932"/>
    <w:rsid w:val="00964955"/>
    <w:rsid w:val="00964969"/>
    <w:rsid w:val="00964972"/>
    <w:rsid w:val="009649C3"/>
    <w:rsid w:val="00964A42"/>
    <w:rsid w:val="00964AC3"/>
    <w:rsid w:val="00964B4E"/>
    <w:rsid w:val="00964B52"/>
    <w:rsid w:val="00964B65"/>
    <w:rsid w:val="00964BCB"/>
    <w:rsid w:val="00964BD7"/>
    <w:rsid w:val="00964BEA"/>
    <w:rsid w:val="00964BEB"/>
    <w:rsid w:val="00964C90"/>
    <w:rsid w:val="00964CB2"/>
    <w:rsid w:val="00964CC2"/>
    <w:rsid w:val="00964CFD"/>
    <w:rsid w:val="00964D52"/>
    <w:rsid w:val="00964D57"/>
    <w:rsid w:val="00964D7F"/>
    <w:rsid w:val="00964D86"/>
    <w:rsid w:val="00964D99"/>
    <w:rsid w:val="00964DB3"/>
    <w:rsid w:val="00964E2C"/>
    <w:rsid w:val="00964E93"/>
    <w:rsid w:val="00964EAD"/>
    <w:rsid w:val="00964ECE"/>
    <w:rsid w:val="00964EFB"/>
    <w:rsid w:val="00964F40"/>
    <w:rsid w:val="00964F76"/>
    <w:rsid w:val="00964FAF"/>
    <w:rsid w:val="00964FEC"/>
    <w:rsid w:val="00965030"/>
    <w:rsid w:val="0096503C"/>
    <w:rsid w:val="009650A6"/>
    <w:rsid w:val="009650C7"/>
    <w:rsid w:val="00965138"/>
    <w:rsid w:val="00965182"/>
    <w:rsid w:val="009651EE"/>
    <w:rsid w:val="009651FA"/>
    <w:rsid w:val="00965203"/>
    <w:rsid w:val="00965221"/>
    <w:rsid w:val="0096524A"/>
    <w:rsid w:val="00965261"/>
    <w:rsid w:val="00965284"/>
    <w:rsid w:val="009652C8"/>
    <w:rsid w:val="009652F6"/>
    <w:rsid w:val="0096531C"/>
    <w:rsid w:val="0096535A"/>
    <w:rsid w:val="009653E6"/>
    <w:rsid w:val="009653FB"/>
    <w:rsid w:val="00965415"/>
    <w:rsid w:val="009654FC"/>
    <w:rsid w:val="0096551D"/>
    <w:rsid w:val="0096553C"/>
    <w:rsid w:val="0096555A"/>
    <w:rsid w:val="00965564"/>
    <w:rsid w:val="0096556E"/>
    <w:rsid w:val="0096558B"/>
    <w:rsid w:val="0096561B"/>
    <w:rsid w:val="00965639"/>
    <w:rsid w:val="0096569F"/>
    <w:rsid w:val="009656EB"/>
    <w:rsid w:val="0096572C"/>
    <w:rsid w:val="0096577F"/>
    <w:rsid w:val="00965785"/>
    <w:rsid w:val="009657A5"/>
    <w:rsid w:val="009657A7"/>
    <w:rsid w:val="009657CD"/>
    <w:rsid w:val="009657F0"/>
    <w:rsid w:val="009657F5"/>
    <w:rsid w:val="00965837"/>
    <w:rsid w:val="00965871"/>
    <w:rsid w:val="00965881"/>
    <w:rsid w:val="009659A7"/>
    <w:rsid w:val="009659ED"/>
    <w:rsid w:val="00965A5A"/>
    <w:rsid w:val="00965A91"/>
    <w:rsid w:val="00965A96"/>
    <w:rsid w:val="00965B07"/>
    <w:rsid w:val="00965B88"/>
    <w:rsid w:val="00965BA1"/>
    <w:rsid w:val="00965BD8"/>
    <w:rsid w:val="00965BDA"/>
    <w:rsid w:val="00965BDD"/>
    <w:rsid w:val="00965C21"/>
    <w:rsid w:val="00965C29"/>
    <w:rsid w:val="00965C71"/>
    <w:rsid w:val="00965C81"/>
    <w:rsid w:val="00965C89"/>
    <w:rsid w:val="00965C8F"/>
    <w:rsid w:val="00965CAC"/>
    <w:rsid w:val="00965CB3"/>
    <w:rsid w:val="00965CD6"/>
    <w:rsid w:val="00965CDE"/>
    <w:rsid w:val="00965D1A"/>
    <w:rsid w:val="00965D4A"/>
    <w:rsid w:val="00965D56"/>
    <w:rsid w:val="00965D71"/>
    <w:rsid w:val="00965DA7"/>
    <w:rsid w:val="00965DB5"/>
    <w:rsid w:val="00965E5B"/>
    <w:rsid w:val="00965E91"/>
    <w:rsid w:val="00965EFB"/>
    <w:rsid w:val="00965F17"/>
    <w:rsid w:val="00965F1A"/>
    <w:rsid w:val="00965F2F"/>
    <w:rsid w:val="00965F32"/>
    <w:rsid w:val="00965F3A"/>
    <w:rsid w:val="00965F66"/>
    <w:rsid w:val="00965FF3"/>
    <w:rsid w:val="00966079"/>
    <w:rsid w:val="009660C7"/>
    <w:rsid w:val="009660EA"/>
    <w:rsid w:val="00966111"/>
    <w:rsid w:val="00966114"/>
    <w:rsid w:val="0096619D"/>
    <w:rsid w:val="009661B5"/>
    <w:rsid w:val="009661BE"/>
    <w:rsid w:val="0096620E"/>
    <w:rsid w:val="0096631D"/>
    <w:rsid w:val="0096634A"/>
    <w:rsid w:val="0096635D"/>
    <w:rsid w:val="009663CE"/>
    <w:rsid w:val="009663EE"/>
    <w:rsid w:val="0096641E"/>
    <w:rsid w:val="00966429"/>
    <w:rsid w:val="00966440"/>
    <w:rsid w:val="0096645E"/>
    <w:rsid w:val="00966472"/>
    <w:rsid w:val="009664A7"/>
    <w:rsid w:val="009664DA"/>
    <w:rsid w:val="0096650A"/>
    <w:rsid w:val="0096654F"/>
    <w:rsid w:val="0096655C"/>
    <w:rsid w:val="0096658C"/>
    <w:rsid w:val="009665F0"/>
    <w:rsid w:val="0096664E"/>
    <w:rsid w:val="00966655"/>
    <w:rsid w:val="0096665D"/>
    <w:rsid w:val="00966688"/>
    <w:rsid w:val="009666F8"/>
    <w:rsid w:val="00966755"/>
    <w:rsid w:val="0096677E"/>
    <w:rsid w:val="009667B6"/>
    <w:rsid w:val="009667DB"/>
    <w:rsid w:val="009667FF"/>
    <w:rsid w:val="00966810"/>
    <w:rsid w:val="00966835"/>
    <w:rsid w:val="00966846"/>
    <w:rsid w:val="00966852"/>
    <w:rsid w:val="009668BA"/>
    <w:rsid w:val="009668D7"/>
    <w:rsid w:val="00966917"/>
    <w:rsid w:val="00966932"/>
    <w:rsid w:val="00966971"/>
    <w:rsid w:val="00966987"/>
    <w:rsid w:val="009669D6"/>
    <w:rsid w:val="009669DF"/>
    <w:rsid w:val="00966A26"/>
    <w:rsid w:val="00966A86"/>
    <w:rsid w:val="00966A9E"/>
    <w:rsid w:val="00966AC2"/>
    <w:rsid w:val="00966B04"/>
    <w:rsid w:val="00966B0B"/>
    <w:rsid w:val="00966B15"/>
    <w:rsid w:val="00966B5A"/>
    <w:rsid w:val="00966BAA"/>
    <w:rsid w:val="00966BB3"/>
    <w:rsid w:val="00966BC2"/>
    <w:rsid w:val="00966BDB"/>
    <w:rsid w:val="00966BE5"/>
    <w:rsid w:val="00966C32"/>
    <w:rsid w:val="00966C4A"/>
    <w:rsid w:val="00966C62"/>
    <w:rsid w:val="00966C92"/>
    <w:rsid w:val="00966CBB"/>
    <w:rsid w:val="00966D48"/>
    <w:rsid w:val="00966D53"/>
    <w:rsid w:val="00966D6D"/>
    <w:rsid w:val="00966D74"/>
    <w:rsid w:val="00966DF5"/>
    <w:rsid w:val="00966E32"/>
    <w:rsid w:val="00966E4E"/>
    <w:rsid w:val="00966E64"/>
    <w:rsid w:val="00966E69"/>
    <w:rsid w:val="00966E6D"/>
    <w:rsid w:val="00966ECF"/>
    <w:rsid w:val="00966F0F"/>
    <w:rsid w:val="00966F13"/>
    <w:rsid w:val="00966F22"/>
    <w:rsid w:val="00966F99"/>
    <w:rsid w:val="00966FF8"/>
    <w:rsid w:val="00967024"/>
    <w:rsid w:val="00967067"/>
    <w:rsid w:val="00967076"/>
    <w:rsid w:val="0096708F"/>
    <w:rsid w:val="009670A3"/>
    <w:rsid w:val="009670AC"/>
    <w:rsid w:val="009670DE"/>
    <w:rsid w:val="009670DF"/>
    <w:rsid w:val="00967169"/>
    <w:rsid w:val="0096716A"/>
    <w:rsid w:val="00967172"/>
    <w:rsid w:val="0096717D"/>
    <w:rsid w:val="00967183"/>
    <w:rsid w:val="00967187"/>
    <w:rsid w:val="00967261"/>
    <w:rsid w:val="00967263"/>
    <w:rsid w:val="00967273"/>
    <w:rsid w:val="009672A2"/>
    <w:rsid w:val="009672D2"/>
    <w:rsid w:val="00967305"/>
    <w:rsid w:val="00967347"/>
    <w:rsid w:val="00967432"/>
    <w:rsid w:val="0096747D"/>
    <w:rsid w:val="009674B7"/>
    <w:rsid w:val="009674D2"/>
    <w:rsid w:val="009674D8"/>
    <w:rsid w:val="00967537"/>
    <w:rsid w:val="00967564"/>
    <w:rsid w:val="009675AC"/>
    <w:rsid w:val="009675AF"/>
    <w:rsid w:val="00967630"/>
    <w:rsid w:val="0096764B"/>
    <w:rsid w:val="00967683"/>
    <w:rsid w:val="009676D7"/>
    <w:rsid w:val="009676DC"/>
    <w:rsid w:val="0096773E"/>
    <w:rsid w:val="009677BA"/>
    <w:rsid w:val="009677D2"/>
    <w:rsid w:val="0096781F"/>
    <w:rsid w:val="00967833"/>
    <w:rsid w:val="0096783C"/>
    <w:rsid w:val="00967847"/>
    <w:rsid w:val="00967859"/>
    <w:rsid w:val="00967900"/>
    <w:rsid w:val="0096791D"/>
    <w:rsid w:val="00967989"/>
    <w:rsid w:val="00967BD7"/>
    <w:rsid w:val="00967C14"/>
    <w:rsid w:val="00967C45"/>
    <w:rsid w:val="00967CC0"/>
    <w:rsid w:val="00967D1D"/>
    <w:rsid w:val="00967D8F"/>
    <w:rsid w:val="00967DB9"/>
    <w:rsid w:val="00967DDF"/>
    <w:rsid w:val="00967DF3"/>
    <w:rsid w:val="00967DF7"/>
    <w:rsid w:val="00967E66"/>
    <w:rsid w:val="00967EAF"/>
    <w:rsid w:val="00967EBC"/>
    <w:rsid w:val="00967EF7"/>
    <w:rsid w:val="00967F40"/>
    <w:rsid w:val="00967F48"/>
    <w:rsid w:val="00967F5A"/>
    <w:rsid w:val="00970003"/>
    <w:rsid w:val="00970082"/>
    <w:rsid w:val="00970138"/>
    <w:rsid w:val="00970146"/>
    <w:rsid w:val="0097018F"/>
    <w:rsid w:val="009701C7"/>
    <w:rsid w:val="009701CF"/>
    <w:rsid w:val="009701FB"/>
    <w:rsid w:val="00970206"/>
    <w:rsid w:val="0097022D"/>
    <w:rsid w:val="0097022F"/>
    <w:rsid w:val="00970230"/>
    <w:rsid w:val="00970249"/>
    <w:rsid w:val="009702A2"/>
    <w:rsid w:val="009702D0"/>
    <w:rsid w:val="00970387"/>
    <w:rsid w:val="0097038B"/>
    <w:rsid w:val="0097038E"/>
    <w:rsid w:val="0097039F"/>
    <w:rsid w:val="009703D3"/>
    <w:rsid w:val="009703FF"/>
    <w:rsid w:val="00970475"/>
    <w:rsid w:val="009704A6"/>
    <w:rsid w:val="009704F5"/>
    <w:rsid w:val="00970514"/>
    <w:rsid w:val="00970548"/>
    <w:rsid w:val="009705B7"/>
    <w:rsid w:val="0097062A"/>
    <w:rsid w:val="00970643"/>
    <w:rsid w:val="00970663"/>
    <w:rsid w:val="00970694"/>
    <w:rsid w:val="00970698"/>
    <w:rsid w:val="0097069B"/>
    <w:rsid w:val="009706F6"/>
    <w:rsid w:val="00970750"/>
    <w:rsid w:val="0097076D"/>
    <w:rsid w:val="00970774"/>
    <w:rsid w:val="0097077F"/>
    <w:rsid w:val="009707BD"/>
    <w:rsid w:val="009707FD"/>
    <w:rsid w:val="00970800"/>
    <w:rsid w:val="00970814"/>
    <w:rsid w:val="0097082A"/>
    <w:rsid w:val="0097083C"/>
    <w:rsid w:val="0097088D"/>
    <w:rsid w:val="009708C8"/>
    <w:rsid w:val="009708CC"/>
    <w:rsid w:val="00970910"/>
    <w:rsid w:val="0097091E"/>
    <w:rsid w:val="00970956"/>
    <w:rsid w:val="0097097E"/>
    <w:rsid w:val="0097099F"/>
    <w:rsid w:val="009709A9"/>
    <w:rsid w:val="009709B0"/>
    <w:rsid w:val="009709B4"/>
    <w:rsid w:val="009709DC"/>
    <w:rsid w:val="00970A81"/>
    <w:rsid w:val="00970B14"/>
    <w:rsid w:val="00970B51"/>
    <w:rsid w:val="00970C0F"/>
    <w:rsid w:val="00970C18"/>
    <w:rsid w:val="00970C4B"/>
    <w:rsid w:val="00970C88"/>
    <w:rsid w:val="00970CDB"/>
    <w:rsid w:val="00970CE1"/>
    <w:rsid w:val="00970CF9"/>
    <w:rsid w:val="00970D1E"/>
    <w:rsid w:val="00970D7B"/>
    <w:rsid w:val="00970E88"/>
    <w:rsid w:val="00970EC1"/>
    <w:rsid w:val="00970F18"/>
    <w:rsid w:val="00970F79"/>
    <w:rsid w:val="00970FAB"/>
    <w:rsid w:val="00970FE3"/>
    <w:rsid w:val="00970FF0"/>
    <w:rsid w:val="0097101B"/>
    <w:rsid w:val="0097105B"/>
    <w:rsid w:val="00971079"/>
    <w:rsid w:val="0097112C"/>
    <w:rsid w:val="0097117E"/>
    <w:rsid w:val="0097119C"/>
    <w:rsid w:val="00971226"/>
    <w:rsid w:val="0097122C"/>
    <w:rsid w:val="00971269"/>
    <w:rsid w:val="009712A7"/>
    <w:rsid w:val="009712AB"/>
    <w:rsid w:val="009712C0"/>
    <w:rsid w:val="009712E4"/>
    <w:rsid w:val="00971300"/>
    <w:rsid w:val="00971329"/>
    <w:rsid w:val="00971372"/>
    <w:rsid w:val="00971379"/>
    <w:rsid w:val="00971394"/>
    <w:rsid w:val="009713AC"/>
    <w:rsid w:val="0097144A"/>
    <w:rsid w:val="0097146F"/>
    <w:rsid w:val="009714B6"/>
    <w:rsid w:val="009714DF"/>
    <w:rsid w:val="009714E0"/>
    <w:rsid w:val="009714E8"/>
    <w:rsid w:val="009714F1"/>
    <w:rsid w:val="00971510"/>
    <w:rsid w:val="0097153C"/>
    <w:rsid w:val="009715C1"/>
    <w:rsid w:val="009715D2"/>
    <w:rsid w:val="0097167F"/>
    <w:rsid w:val="009716DD"/>
    <w:rsid w:val="0097170F"/>
    <w:rsid w:val="00971727"/>
    <w:rsid w:val="00971760"/>
    <w:rsid w:val="009717C0"/>
    <w:rsid w:val="009717C1"/>
    <w:rsid w:val="009718B3"/>
    <w:rsid w:val="009718D7"/>
    <w:rsid w:val="009718DB"/>
    <w:rsid w:val="00971934"/>
    <w:rsid w:val="00971942"/>
    <w:rsid w:val="00971948"/>
    <w:rsid w:val="0097197E"/>
    <w:rsid w:val="009719A2"/>
    <w:rsid w:val="009719C0"/>
    <w:rsid w:val="00971A18"/>
    <w:rsid w:val="00971A99"/>
    <w:rsid w:val="00971AB2"/>
    <w:rsid w:val="00971B0B"/>
    <w:rsid w:val="00971B8B"/>
    <w:rsid w:val="00971BA2"/>
    <w:rsid w:val="00971BF8"/>
    <w:rsid w:val="00971BFA"/>
    <w:rsid w:val="00971C36"/>
    <w:rsid w:val="00971C6B"/>
    <w:rsid w:val="00971CDC"/>
    <w:rsid w:val="00971CE2"/>
    <w:rsid w:val="00971D3E"/>
    <w:rsid w:val="00971DB3"/>
    <w:rsid w:val="00971DF7"/>
    <w:rsid w:val="00971E01"/>
    <w:rsid w:val="00971E4B"/>
    <w:rsid w:val="00971E70"/>
    <w:rsid w:val="00971EB9"/>
    <w:rsid w:val="00971EC2"/>
    <w:rsid w:val="00971EE5"/>
    <w:rsid w:val="00971EEC"/>
    <w:rsid w:val="00971F05"/>
    <w:rsid w:val="00971FFE"/>
    <w:rsid w:val="00972002"/>
    <w:rsid w:val="00972006"/>
    <w:rsid w:val="009720D0"/>
    <w:rsid w:val="009720DB"/>
    <w:rsid w:val="009720F8"/>
    <w:rsid w:val="00972132"/>
    <w:rsid w:val="009721DA"/>
    <w:rsid w:val="009721E4"/>
    <w:rsid w:val="009721EC"/>
    <w:rsid w:val="009721F3"/>
    <w:rsid w:val="009722E9"/>
    <w:rsid w:val="009722EB"/>
    <w:rsid w:val="009722F7"/>
    <w:rsid w:val="00972341"/>
    <w:rsid w:val="0097235E"/>
    <w:rsid w:val="00972392"/>
    <w:rsid w:val="009723B5"/>
    <w:rsid w:val="009723D2"/>
    <w:rsid w:val="00972434"/>
    <w:rsid w:val="00972456"/>
    <w:rsid w:val="009724AE"/>
    <w:rsid w:val="009724D8"/>
    <w:rsid w:val="00972508"/>
    <w:rsid w:val="0097253B"/>
    <w:rsid w:val="0097256F"/>
    <w:rsid w:val="009725F9"/>
    <w:rsid w:val="00972616"/>
    <w:rsid w:val="00972625"/>
    <w:rsid w:val="00972642"/>
    <w:rsid w:val="00972655"/>
    <w:rsid w:val="0097265B"/>
    <w:rsid w:val="00972667"/>
    <w:rsid w:val="009726F4"/>
    <w:rsid w:val="00972700"/>
    <w:rsid w:val="00972709"/>
    <w:rsid w:val="00972724"/>
    <w:rsid w:val="00972769"/>
    <w:rsid w:val="009727A9"/>
    <w:rsid w:val="009727AA"/>
    <w:rsid w:val="009727B2"/>
    <w:rsid w:val="00972825"/>
    <w:rsid w:val="00972849"/>
    <w:rsid w:val="00972922"/>
    <w:rsid w:val="00972977"/>
    <w:rsid w:val="009729D4"/>
    <w:rsid w:val="009729D8"/>
    <w:rsid w:val="00972A72"/>
    <w:rsid w:val="00972A9A"/>
    <w:rsid w:val="00972B13"/>
    <w:rsid w:val="00972B7A"/>
    <w:rsid w:val="00972B9B"/>
    <w:rsid w:val="00972B9E"/>
    <w:rsid w:val="00972BA6"/>
    <w:rsid w:val="00972BBB"/>
    <w:rsid w:val="00972BD9"/>
    <w:rsid w:val="00972BF7"/>
    <w:rsid w:val="00972C07"/>
    <w:rsid w:val="00972C6B"/>
    <w:rsid w:val="00972C93"/>
    <w:rsid w:val="00972D66"/>
    <w:rsid w:val="00972DA2"/>
    <w:rsid w:val="00972DB6"/>
    <w:rsid w:val="00972DC6"/>
    <w:rsid w:val="00972E98"/>
    <w:rsid w:val="00972EE5"/>
    <w:rsid w:val="00972F34"/>
    <w:rsid w:val="00972F56"/>
    <w:rsid w:val="00972F8A"/>
    <w:rsid w:val="00972F94"/>
    <w:rsid w:val="00972F98"/>
    <w:rsid w:val="00972FCC"/>
    <w:rsid w:val="0097302C"/>
    <w:rsid w:val="009730C4"/>
    <w:rsid w:val="009730FB"/>
    <w:rsid w:val="00973176"/>
    <w:rsid w:val="009731EA"/>
    <w:rsid w:val="00973209"/>
    <w:rsid w:val="0097324D"/>
    <w:rsid w:val="0097328C"/>
    <w:rsid w:val="009732FF"/>
    <w:rsid w:val="0097330B"/>
    <w:rsid w:val="00973337"/>
    <w:rsid w:val="0097334B"/>
    <w:rsid w:val="00973389"/>
    <w:rsid w:val="009733A5"/>
    <w:rsid w:val="0097341D"/>
    <w:rsid w:val="00973421"/>
    <w:rsid w:val="00973431"/>
    <w:rsid w:val="00973458"/>
    <w:rsid w:val="0097347F"/>
    <w:rsid w:val="009734B0"/>
    <w:rsid w:val="009734E0"/>
    <w:rsid w:val="009734F3"/>
    <w:rsid w:val="0097350F"/>
    <w:rsid w:val="00973561"/>
    <w:rsid w:val="0097356D"/>
    <w:rsid w:val="009735A6"/>
    <w:rsid w:val="009735E3"/>
    <w:rsid w:val="00973608"/>
    <w:rsid w:val="00973617"/>
    <w:rsid w:val="00973660"/>
    <w:rsid w:val="009736A2"/>
    <w:rsid w:val="009736EC"/>
    <w:rsid w:val="00973768"/>
    <w:rsid w:val="0097376A"/>
    <w:rsid w:val="00973773"/>
    <w:rsid w:val="009737D0"/>
    <w:rsid w:val="009737E5"/>
    <w:rsid w:val="00973881"/>
    <w:rsid w:val="00973973"/>
    <w:rsid w:val="009739DF"/>
    <w:rsid w:val="00973A30"/>
    <w:rsid w:val="00973A6A"/>
    <w:rsid w:val="00973A8F"/>
    <w:rsid w:val="00973AFB"/>
    <w:rsid w:val="00973B77"/>
    <w:rsid w:val="00973B7B"/>
    <w:rsid w:val="00973BF8"/>
    <w:rsid w:val="00973BFC"/>
    <w:rsid w:val="00973C26"/>
    <w:rsid w:val="00973C34"/>
    <w:rsid w:val="00973CD8"/>
    <w:rsid w:val="00973CDE"/>
    <w:rsid w:val="00973D47"/>
    <w:rsid w:val="00973DA0"/>
    <w:rsid w:val="00973E62"/>
    <w:rsid w:val="00973E63"/>
    <w:rsid w:val="00973F00"/>
    <w:rsid w:val="00973F6C"/>
    <w:rsid w:val="00973FA2"/>
    <w:rsid w:val="00973FB6"/>
    <w:rsid w:val="00973FD4"/>
    <w:rsid w:val="00974004"/>
    <w:rsid w:val="00974009"/>
    <w:rsid w:val="0097402B"/>
    <w:rsid w:val="0097405A"/>
    <w:rsid w:val="0097406C"/>
    <w:rsid w:val="0097408C"/>
    <w:rsid w:val="009740C2"/>
    <w:rsid w:val="009740C6"/>
    <w:rsid w:val="00974140"/>
    <w:rsid w:val="0097417E"/>
    <w:rsid w:val="009741C5"/>
    <w:rsid w:val="0097420D"/>
    <w:rsid w:val="00974240"/>
    <w:rsid w:val="00974332"/>
    <w:rsid w:val="00974364"/>
    <w:rsid w:val="0097436D"/>
    <w:rsid w:val="00974375"/>
    <w:rsid w:val="00974395"/>
    <w:rsid w:val="009743FE"/>
    <w:rsid w:val="00974408"/>
    <w:rsid w:val="00974421"/>
    <w:rsid w:val="00974422"/>
    <w:rsid w:val="0097446B"/>
    <w:rsid w:val="00974478"/>
    <w:rsid w:val="0097447E"/>
    <w:rsid w:val="00974492"/>
    <w:rsid w:val="009744B9"/>
    <w:rsid w:val="009744C3"/>
    <w:rsid w:val="009744EA"/>
    <w:rsid w:val="009744F3"/>
    <w:rsid w:val="009744FC"/>
    <w:rsid w:val="00974552"/>
    <w:rsid w:val="00974574"/>
    <w:rsid w:val="009745E3"/>
    <w:rsid w:val="00974667"/>
    <w:rsid w:val="009746AC"/>
    <w:rsid w:val="00974738"/>
    <w:rsid w:val="0097474A"/>
    <w:rsid w:val="0097476A"/>
    <w:rsid w:val="0097477A"/>
    <w:rsid w:val="00974783"/>
    <w:rsid w:val="009747F0"/>
    <w:rsid w:val="0097483F"/>
    <w:rsid w:val="0097491A"/>
    <w:rsid w:val="00974926"/>
    <w:rsid w:val="009749CC"/>
    <w:rsid w:val="009749FC"/>
    <w:rsid w:val="00974A02"/>
    <w:rsid w:val="00974A04"/>
    <w:rsid w:val="00974A1E"/>
    <w:rsid w:val="00974A62"/>
    <w:rsid w:val="00974A80"/>
    <w:rsid w:val="00974A92"/>
    <w:rsid w:val="00974A95"/>
    <w:rsid w:val="00974A9F"/>
    <w:rsid w:val="00974AD5"/>
    <w:rsid w:val="00974AE6"/>
    <w:rsid w:val="00974B2E"/>
    <w:rsid w:val="00974B3E"/>
    <w:rsid w:val="00974B65"/>
    <w:rsid w:val="00974CD0"/>
    <w:rsid w:val="00974CFD"/>
    <w:rsid w:val="00974D6D"/>
    <w:rsid w:val="00974D97"/>
    <w:rsid w:val="00974DA1"/>
    <w:rsid w:val="00974DDD"/>
    <w:rsid w:val="00974DF2"/>
    <w:rsid w:val="00974E50"/>
    <w:rsid w:val="00974E52"/>
    <w:rsid w:val="00974E6F"/>
    <w:rsid w:val="00974EE5"/>
    <w:rsid w:val="00974EEC"/>
    <w:rsid w:val="00974EF3"/>
    <w:rsid w:val="00974F05"/>
    <w:rsid w:val="00974F32"/>
    <w:rsid w:val="00974F4A"/>
    <w:rsid w:val="00974F56"/>
    <w:rsid w:val="00974F6C"/>
    <w:rsid w:val="00975039"/>
    <w:rsid w:val="00975055"/>
    <w:rsid w:val="0097507F"/>
    <w:rsid w:val="009750C7"/>
    <w:rsid w:val="009750DB"/>
    <w:rsid w:val="00975163"/>
    <w:rsid w:val="00975183"/>
    <w:rsid w:val="009751B0"/>
    <w:rsid w:val="009751C9"/>
    <w:rsid w:val="009751E3"/>
    <w:rsid w:val="009751E8"/>
    <w:rsid w:val="009751F4"/>
    <w:rsid w:val="00975256"/>
    <w:rsid w:val="009752A1"/>
    <w:rsid w:val="009752A3"/>
    <w:rsid w:val="009752AE"/>
    <w:rsid w:val="009752B2"/>
    <w:rsid w:val="009752B5"/>
    <w:rsid w:val="009752BA"/>
    <w:rsid w:val="009752C6"/>
    <w:rsid w:val="009752E9"/>
    <w:rsid w:val="009752FA"/>
    <w:rsid w:val="00975335"/>
    <w:rsid w:val="00975351"/>
    <w:rsid w:val="0097536B"/>
    <w:rsid w:val="00975373"/>
    <w:rsid w:val="009753AA"/>
    <w:rsid w:val="009753BD"/>
    <w:rsid w:val="009753C9"/>
    <w:rsid w:val="009753DB"/>
    <w:rsid w:val="0097540F"/>
    <w:rsid w:val="009754B2"/>
    <w:rsid w:val="009754B6"/>
    <w:rsid w:val="00975538"/>
    <w:rsid w:val="0097556E"/>
    <w:rsid w:val="009755B0"/>
    <w:rsid w:val="00975649"/>
    <w:rsid w:val="009756A5"/>
    <w:rsid w:val="009756DA"/>
    <w:rsid w:val="00975700"/>
    <w:rsid w:val="0097573E"/>
    <w:rsid w:val="00975778"/>
    <w:rsid w:val="00975785"/>
    <w:rsid w:val="00975789"/>
    <w:rsid w:val="0097579A"/>
    <w:rsid w:val="009757A9"/>
    <w:rsid w:val="009757AD"/>
    <w:rsid w:val="009757D0"/>
    <w:rsid w:val="00975854"/>
    <w:rsid w:val="009758A7"/>
    <w:rsid w:val="009758A8"/>
    <w:rsid w:val="009758F1"/>
    <w:rsid w:val="009758F7"/>
    <w:rsid w:val="0097591F"/>
    <w:rsid w:val="00975948"/>
    <w:rsid w:val="009759C3"/>
    <w:rsid w:val="009759F2"/>
    <w:rsid w:val="009759FC"/>
    <w:rsid w:val="00975A84"/>
    <w:rsid w:val="00975ACA"/>
    <w:rsid w:val="00975B31"/>
    <w:rsid w:val="00975B34"/>
    <w:rsid w:val="00975B45"/>
    <w:rsid w:val="00975B48"/>
    <w:rsid w:val="00975B58"/>
    <w:rsid w:val="00975B62"/>
    <w:rsid w:val="00975B98"/>
    <w:rsid w:val="00975BAE"/>
    <w:rsid w:val="00975BBC"/>
    <w:rsid w:val="00975BBF"/>
    <w:rsid w:val="00975BEC"/>
    <w:rsid w:val="00975C54"/>
    <w:rsid w:val="00975C59"/>
    <w:rsid w:val="00975C5E"/>
    <w:rsid w:val="00975C69"/>
    <w:rsid w:val="00975CA3"/>
    <w:rsid w:val="00975CF1"/>
    <w:rsid w:val="00975D0A"/>
    <w:rsid w:val="00975D3C"/>
    <w:rsid w:val="00975DDD"/>
    <w:rsid w:val="00975E1B"/>
    <w:rsid w:val="00975E42"/>
    <w:rsid w:val="00975E81"/>
    <w:rsid w:val="00975EF0"/>
    <w:rsid w:val="00975F0D"/>
    <w:rsid w:val="00975F1A"/>
    <w:rsid w:val="00975F23"/>
    <w:rsid w:val="00975F9E"/>
    <w:rsid w:val="00975FCE"/>
    <w:rsid w:val="00975FFC"/>
    <w:rsid w:val="0097600E"/>
    <w:rsid w:val="0097604A"/>
    <w:rsid w:val="009760FE"/>
    <w:rsid w:val="0097610B"/>
    <w:rsid w:val="00976144"/>
    <w:rsid w:val="0097614A"/>
    <w:rsid w:val="00976184"/>
    <w:rsid w:val="00976191"/>
    <w:rsid w:val="009761E1"/>
    <w:rsid w:val="009761FE"/>
    <w:rsid w:val="00976215"/>
    <w:rsid w:val="00976266"/>
    <w:rsid w:val="0097627C"/>
    <w:rsid w:val="00976292"/>
    <w:rsid w:val="00976356"/>
    <w:rsid w:val="00976363"/>
    <w:rsid w:val="00976370"/>
    <w:rsid w:val="00976372"/>
    <w:rsid w:val="0097637D"/>
    <w:rsid w:val="0097638B"/>
    <w:rsid w:val="0097641D"/>
    <w:rsid w:val="00976448"/>
    <w:rsid w:val="00976498"/>
    <w:rsid w:val="009764B6"/>
    <w:rsid w:val="009764F5"/>
    <w:rsid w:val="00976509"/>
    <w:rsid w:val="009765B3"/>
    <w:rsid w:val="00976656"/>
    <w:rsid w:val="0097665E"/>
    <w:rsid w:val="00976679"/>
    <w:rsid w:val="0097668B"/>
    <w:rsid w:val="009766CE"/>
    <w:rsid w:val="00976739"/>
    <w:rsid w:val="00976764"/>
    <w:rsid w:val="00976778"/>
    <w:rsid w:val="0097677D"/>
    <w:rsid w:val="00976811"/>
    <w:rsid w:val="00976831"/>
    <w:rsid w:val="00976867"/>
    <w:rsid w:val="009768B6"/>
    <w:rsid w:val="009768C5"/>
    <w:rsid w:val="009768F6"/>
    <w:rsid w:val="00976925"/>
    <w:rsid w:val="00976997"/>
    <w:rsid w:val="009769A1"/>
    <w:rsid w:val="009769F1"/>
    <w:rsid w:val="009769FD"/>
    <w:rsid w:val="00976A91"/>
    <w:rsid w:val="00976AAE"/>
    <w:rsid w:val="00976B25"/>
    <w:rsid w:val="00976B37"/>
    <w:rsid w:val="00976B3D"/>
    <w:rsid w:val="00976B94"/>
    <w:rsid w:val="00976B99"/>
    <w:rsid w:val="00976BD0"/>
    <w:rsid w:val="00976C15"/>
    <w:rsid w:val="00976C7C"/>
    <w:rsid w:val="00976CA3"/>
    <w:rsid w:val="00976CCE"/>
    <w:rsid w:val="00976D05"/>
    <w:rsid w:val="00976D08"/>
    <w:rsid w:val="00976D70"/>
    <w:rsid w:val="00976D7E"/>
    <w:rsid w:val="00976DA4"/>
    <w:rsid w:val="00976DB9"/>
    <w:rsid w:val="00976DD2"/>
    <w:rsid w:val="00976DDF"/>
    <w:rsid w:val="00976E6B"/>
    <w:rsid w:val="00976EFC"/>
    <w:rsid w:val="00976F3D"/>
    <w:rsid w:val="00976F69"/>
    <w:rsid w:val="00977014"/>
    <w:rsid w:val="0097702C"/>
    <w:rsid w:val="0097705F"/>
    <w:rsid w:val="00977076"/>
    <w:rsid w:val="009770E3"/>
    <w:rsid w:val="009770EE"/>
    <w:rsid w:val="0097712F"/>
    <w:rsid w:val="00977166"/>
    <w:rsid w:val="009771F2"/>
    <w:rsid w:val="00977250"/>
    <w:rsid w:val="009772A4"/>
    <w:rsid w:val="009772AC"/>
    <w:rsid w:val="009772C9"/>
    <w:rsid w:val="009772ED"/>
    <w:rsid w:val="0097730B"/>
    <w:rsid w:val="00977369"/>
    <w:rsid w:val="0097736F"/>
    <w:rsid w:val="0097738E"/>
    <w:rsid w:val="009773A0"/>
    <w:rsid w:val="009773BE"/>
    <w:rsid w:val="00977405"/>
    <w:rsid w:val="00977453"/>
    <w:rsid w:val="00977461"/>
    <w:rsid w:val="009774D2"/>
    <w:rsid w:val="009774D5"/>
    <w:rsid w:val="009775D7"/>
    <w:rsid w:val="0097764D"/>
    <w:rsid w:val="0097765B"/>
    <w:rsid w:val="00977676"/>
    <w:rsid w:val="009776F7"/>
    <w:rsid w:val="0097770A"/>
    <w:rsid w:val="0097770F"/>
    <w:rsid w:val="00977718"/>
    <w:rsid w:val="00977781"/>
    <w:rsid w:val="009777B2"/>
    <w:rsid w:val="009777D5"/>
    <w:rsid w:val="0097780A"/>
    <w:rsid w:val="00977851"/>
    <w:rsid w:val="00977876"/>
    <w:rsid w:val="0097787F"/>
    <w:rsid w:val="009778B8"/>
    <w:rsid w:val="009778CF"/>
    <w:rsid w:val="009778F8"/>
    <w:rsid w:val="0097790F"/>
    <w:rsid w:val="00977974"/>
    <w:rsid w:val="00977995"/>
    <w:rsid w:val="00977998"/>
    <w:rsid w:val="009779A2"/>
    <w:rsid w:val="009779B4"/>
    <w:rsid w:val="009779D2"/>
    <w:rsid w:val="00977A26"/>
    <w:rsid w:val="00977A96"/>
    <w:rsid w:val="00977AD5"/>
    <w:rsid w:val="00977AD7"/>
    <w:rsid w:val="00977B20"/>
    <w:rsid w:val="00977B57"/>
    <w:rsid w:val="00977BA1"/>
    <w:rsid w:val="00977BB4"/>
    <w:rsid w:val="00977BBD"/>
    <w:rsid w:val="00977BFB"/>
    <w:rsid w:val="00977C4B"/>
    <w:rsid w:val="00977C57"/>
    <w:rsid w:val="00977C93"/>
    <w:rsid w:val="00977CA0"/>
    <w:rsid w:val="00977D03"/>
    <w:rsid w:val="00977D15"/>
    <w:rsid w:val="00977D1E"/>
    <w:rsid w:val="00977D3C"/>
    <w:rsid w:val="00977DF0"/>
    <w:rsid w:val="00977DF3"/>
    <w:rsid w:val="00977E33"/>
    <w:rsid w:val="00977F2A"/>
    <w:rsid w:val="00977F2F"/>
    <w:rsid w:val="00977F37"/>
    <w:rsid w:val="00977F64"/>
    <w:rsid w:val="00977FC6"/>
    <w:rsid w:val="00977FCC"/>
    <w:rsid w:val="00977FD4"/>
    <w:rsid w:val="0098002C"/>
    <w:rsid w:val="00980069"/>
    <w:rsid w:val="0098007E"/>
    <w:rsid w:val="00980086"/>
    <w:rsid w:val="009800BB"/>
    <w:rsid w:val="009800C0"/>
    <w:rsid w:val="009800C1"/>
    <w:rsid w:val="009800D0"/>
    <w:rsid w:val="0098013A"/>
    <w:rsid w:val="0098013D"/>
    <w:rsid w:val="0098014D"/>
    <w:rsid w:val="00980195"/>
    <w:rsid w:val="00980202"/>
    <w:rsid w:val="00980208"/>
    <w:rsid w:val="00980224"/>
    <w:rsid w:val="009802E0"/>
    <w:rsid w:val="0098036E"/>
    <w:rsid w:val="00980386"/>
    <w:rsid w:val="0098038C"/>
    <w:rsid w:val="0098039A"/>
    <w:rsid w:val="009803E2"/>
    <w:rsid w:val="009803EB"/>
    <w:rsid w:val="009803F1"/>
    <w:rsid w:val="009803F4"/>
    <w:rsid w:val="00980416"/>
    <w:rsid w:val="00980428"/>
    <w:rsid w:val="0098045E"/>
    <w:rsid w:val="0098046F"/>
    <w:rsid w:val="00980470"/>
    <w:rsid w:val="009804D2"/>
    <w:rsid w:val="00980501"/>
    <w:rsid w:val="00980507"/>
    <w:rsid w:val="0098054D"/>
    <w:rsid w:val="00980582"/>
    <w:rsid w:val="009805A6"/>
    <w:rsid w:val="009805EA"/>
    <w:rsid w:val="00980678"/>
    <w:rsid w:val="009806A6"/>
    <w:rsid w:val="009806CE"/>
    <w:rsid w:val="0098073C"/>
    <w:rsid w:val="00980740"/>
    <w:rsid w:val="00980759"/>
    <w:rsid w:val="0098076C"/>
    <w:rsid w:val="0098076F"/>
    <w:rsid w:val="00980772"/>
    <w:rsid w:val="009807F8"/>
    <w:rsid w:val="0098088E"/>
    <w:rsid w:val="0098088F"/>
    <w:rsid w:val="009808EE"/>
    <w:rsid w:val="00980916"/>
    <w:rsid w:val="00980918"/>
    <w:rsid w:val="0098092B"/>
    <w:rsid w:val="00980953"/>
    <w:rsid w:val="00980974"/>
    <w:rsid w:val="009809CD"/>
    <w:rsid w:val="009809EB"/>
    <w:rsid w:val="00980A49"/>
    <w:rsid w:val="00980A4E"/>
    <w:rsid w:val="00980A52"/>
    <w:rsid w:val="00980A86"/>
    <w:rsid w:val="00980AAC"/>
    <w:rsid w:val="00980AAE"/>
    <w:rsid w:val="00980AB5"/>
    <w:rsid w:val="00980AC9"/>
    <w:rsid w:val="00980AF7"/>
    <w:rsid w:val="00980B0C"/>
    <w:rsid w:val="00980B0E"/>
    <w:rsid w:val="00980B2F"/>
    <w:rsid w:val="00980B75"/>
    <w:rsid w:val="00980B9A"/>
    <w:rsid w:val="00980B9C"/>
    <w:rsid w:val="00980BD4"/>
    <w:rsid w:val="00980BE4"/>
    <w:rsid w:val="00980BF4"/>
    <w:rsid w:val="00980C2F"/>
    <w:rsid w:val="00980C93"/>
    <w:rsid w:val="00980CE4"/>
    <w:rsid w:val="00980D0C"/>
    <w:rsid w:val="00980D7C"/>
    <w:rsid w:val="00980D9F"/>
    <w:rsid w:val="00980DA4"/>
    <w:rsid w:val="00980E16"/>
    <w:rsid w:val="00980E37"/>
    <w:rsid w:val="00980E60"/>
    <w:rsid w:val="00980E64"/>
    <w:rsid w:val="00980E90"/>
    <w:rsid w:val="00980F11"/>
    <w:rsid w:val="00981034"/>
    <w:rsid w:val="00981152"/>
    <w:rsid w:val="009811AD"/>
    <w:rsid w:val="009811EA"/>
    <w:rsid w:val="00981205"/>
    <w:rsid w:val="00981214"/>
    <w:rsid w:val="00981272"/>
    <w:rsid w:val="009812A8"/>
    <w:rsid w:val="009812E9"/>
    <w:rsid w:val="00981306"/>
    <w:rsid w:val="0098131B"/>
    <w:rsid w:val="0098134A"/>
    <w:rsid w:val="00981350"/>
    <w:rsid w:val="0098136D"/>
    <w:rsid w:val="009813C9"/>
    <w:rsid w:val="009813FA"/>
    <w:rsid w:val="00981465"/>
    <w:rsid w:val="009814B1"/>
    <w:rsid w:val="009814B3"/>
    <w:rsid w:val="009814E7"/>
    <w:rsid w:val="009814F0"/>
    <w:rsid w:val="0098150E"/>
    <w:rsid w:val="0098151C"/>
    <w:rsid w:val="00981523"/>
    <w:rsid w:val="00981536"/>
    <w:rsid w:val="00981545"/>
    <w:rsid w:val="00981591"/>
    <w:rsid w:val="0098162E"/>
    <w:rsid w:val="00981662"/>
    <w:rsid w:val="009816A0"/>
    <w:rsid w:val="009816BC"/>
    <w:rsid w:val="009816DB"/>
    <w:rsid w:val="0098178E"/>
    <w:rsid w:val="009817B0"/>
    <w:rsid w:val="009817C1"/>
    <w:rsid w:val="0098185D"/>
    <w:rsid w:val="00981876"/>
    <w:rsid w:val="009818A0"/>
    <w:rsid w:val="009818AC"/>
    <w:rsid w:val="009818D8"/>
    <w:rsid w:val="0098193A"/>
    <w:rsid w:val="0098197A"/>
    <w:rsid w:val="009819A5"/>
    <w:rsid w:val="009819E4"/>
    <w:rsid w:val="00981A6D"/>
    <w:rsid w:val="00981A79"/>
    <w:rsid w:val="00981A92"/>
    <w:rsid w:val="00981ABE"/>
    <w:rsid w:val="00981AC1"/>
    <w:rsid w:val="00981AEF"/>
    <w:rsid w:val="00981AFF"/>
    <w:rsid w:val="00981B06"/>
    <w:rsid w:val="00981B0F"/>
    <w:rsid w:val="00981B87"/>
    <w:rsid w:val="00981B93"/>
    <w:rsid w:val="00981BEB"/>
    <w:rsid w:val="00981C1A"/>
    <w:rsid w:val="00981C2D"/>
    <w:rsid w:val="00981CAB"/>
    <w:rsid w:val="00981D37"/>
    <w:rsid w:val="00981D47"/>
    <w:rsid w:val="00981D72"/>
    <w:rsid w:val="00981E00"/>
    <w:rsid w:val="00981E36"/>
    <w:rsid w:val="00981E88"/>
    <w:rsid w:val="00981EA4"/>
    <w:rsid w:val="00981EEE"/>
    <w:rsid w:val="00981F06"/>
    <w:rsid w:val="00981F46"/>
    <w:rsid w:val="00981F4D"/>
    <w:rsid w:val="00981F70"/>
    <w:rsid w:val="00981F98"/>
    <w:rsid w:val="00981FFE"/>
    <w:rsid w:val="00982010"/>
    <w:rsid w:val="00982060"/>
    <w:rsid w:val="009820F7"/>
    <w:rsid w:val="0098211B"/>
    <w:rsid w:val="00982141"/>
    <w:rsid w:val="00982151"/>
    <w:rsid w:val="0098219B"/>
    <w:rsid w:val="009821CE"/>
    <w:rsid w:val="00982210"/>
    <w:rsid w:val="0098224A"/>
    <w:rsid w:val="0098224E"/>
    <w:rsid w:val="0098227A"/>
    <w:rsid w:val="009822DA"/>
    <w:rsid w:val="009822E1"/>
    <w:rsid w:val="009822FB"/>
    <w:rsid w:val="00982319"/>
    <w:rsid w:val="00982324"/>
    <w:rsid w:val="00982368"/>
    <w:rsid w:val="0098239C"/>
    <w:rsid w:val="009823DC"/>
    <w:rsid w:val="00982404"/>
    <w:rsid w:val="0098244A"/>
    <w:rsid w:val="00982455"/>
    <w:rsid w:val="00982491"/>
    <w:rsid w:val="009824DF"/>
    <w:rsid w:val="00982506"/>
    <w:rsid w:val="00982527"/>
    <w:rsid w:val="0098252A"/>
    <w:rsid w:val="00982553"/>
    <w:rsid w:val="00982567"/>
    <w:rsid w:val="0098256F"/>
    <w:rsid w:val="00982625"/>
    <w:rsid w:val="00982635"/>
    <w:rsid w:val="0098264C"/>
    <w:rsid w:val="009826C2"/>
    <w:rsid w:val="009827BE"/>
    <w:rsid w:val="009827D9"/>
    <w:rsid w:val="009827DC"/>
    <w:rsid w:val="009827EC"/>
    <w:rsid w:val="009827F1"/>
    <w:rsid w:val="00982813"/>
    <w:rsid w:val="00982836"/>
    <w:rsid w:val="00982840"/>
    <w:rsid w:val="0098289D"/>
    <w:rsid w:val="009828C3"/>
    <w:rsid w:val="00982903"/>
    <w:rsid w:val="00982918"/>
    <w:rsid w:val="00982980"/>
    <w:rsid w:val="0098298C"/>
    <w:rsid w:val="00982994"/>
    <w:rsid w:val="00982996"/>
    <w:rsid w:val="0098299D"/>
    <w:rsid w:val="009829C9"/>
    <w:rsid w:val="009829D4"/>
    <w:rsid w:val="00982A07"/>
    <w:rsid w:val="00982A0E"/>
    <w:rsid w:val="00982A3F"/>
    <w:rsid w:val="00982A45"/>
    <w:rsid w:val="00982AF8"/>
    <w:rsid w:val="00982B19"/>
    <w:rsid w:val="00982B26"/>
    <w:rsid w:val="00982B59"/>
    <w:rsid w:val="00982BB9"/>
    <w:rsid w:val="00982C4B"/>
    <w:rsid w:val="00982D0B"/>
    <w:rsid w:val="00982D26"/>
    <w:rsid w:val="00982D94"/>
    <w:rsid w:val="00982DDC"/>
    <w:rsid w:val="00982EB9"/>
    <w:rsid w:val="00982ECE"/>
    <w:rsid w:val="00982F26"/>
    <w:rsid w:val="00982F74"/>
    <w:rsid w:val="00982FAB"/>
    <w:rsid w:val="00982FCF"/>
    <w:rsid w:val="00983088"/>
    <w:rsid w:val="009830F8"/>
    <w:rsid w:val="00983140"/>
    <w:rsid w:val="00983151"/>
    <w:rsid w:val="00983178"/>
    <w:rsid w:val="00983180"/>
    <w:rsid w:val="009831E2"/>
    <w:rsid w:val="00983200"/>
    <w:rsid w:val="0098323F"/>
    <w:rsid w:val="0098329A"/>
    <w:rsid w:val="0098329F"/>
    <w:rsid w:val="009832DD"/>
    <w:rsid w:val="00983344"/>
    <w:rsid w:val="00983349"/>
    <w:rsid w:val="009833B5"/>
    <w:rsid w:val="009833BB"/>
    <w:rsid w:val="009833EC"/>
    <w:rsid w:val="009833F4"/>
    <w:rsid w:val="00983466"/>
    <w:rsid w:val="0098349F"/>
    <w:rsid w:val="009834D1"/>
    <w:rsid w:val="0098359F"/>
    <w:rsid w:val="009835AB"/>
    <w:rsid w:val="009835EC"/>
    <w:rsid w:val="0098361E"/>
    <w:rsid w:val="00983650"/>
    <w:rsid w:val="00983678"/>
    <w:rsid w:val="0098367E"/>
    <w:rsid w:val="0098368F"/>
    <w:rsid w:val="009836BB"/>
    <w:rsid w:val="009836C3"/>
    <w:rsid w:val="009836CD"/>
    <w:rsid w:val="009836D4"/>
    <w:rsid w:val="00983732"/>
    <w:rsid w:val="00983764"/>
    <w:rsid w:val="0098378F"/>
    <w:rsid w:val="00983797"/>
    <w:rsid w:val="009837F2"/>
    <w:rsid w:val="009838D5"/>
    <w:rsid w:val="00983937"/>
    <w:rsid w:val="00983984"/>
    <w:rsid w:val="0098399A"/>
    <w:rsid w:val="009839E5"/>
    <w:rsid w:val="009839E7"/>
    <w:rsid w:val="00983A83"/>
    <w:rsid w:val="00983AA6"/>
    <w:rsid w:val="00983B06"/>
    <w:rsid w:val="00983B29"/>
    <w:rsid w:val="00983B33"/>
    <w:rsid w:val="00983B71"/>
    <w:rsid w:val="00983BD3"/>
    <w:rsid w:val="00983C15"/>
    <w:rsid w:val="00983C25"/>
    <w:rsid w:val="00983C2C"/>
    <w:rsid w:val="00983C6C"/>
    <w:rsid w:val="00983CB3"/>
    <w:rsid w:val="00983EBD"/>
    <w:rsid w:val="00983F3B"/>
    <w:rsid w:val="00983F49"/>
    <w:rsid w:val="00983F5C"/>
    <w:rsid w:val="00983FBB"/>
    <w:rsid w:val="00983FDC"/>
    <w:rsid w:val="00984050"/>
    <w:rsid w:val="0098405B"/>
    <w:rsid w:val="00984080"/>
    <w:rsid w:val="009840C3"/>
    <w:rsid w:val="0098410C"/>
    <w:rsid w:val="0098410E"/>
    <w:rsid w:val="0098410F"/>
    <w:rsid w:val="0098414E"/>
    <w:rsid w:val="0098418F"/>
    <w:rsid w:val="009841CC"/>
    <w:rsid w:val="009841DD"/>
    <w:rsid w:val="009841E6"/>
    <w:rsid w:val="0098424B"/>
    <w:rsid w:val="009842CB"/>
    <w:rsid w:val="009842D0"/>
    <w:rsid w:val="009842E8"/>
    <w:rsid w:val="009842FE"/>
    <w:rsid w:val="0098434C"/>
    <w:rsid w:val="00984355"/>
    <w:rsid w:val="0098436D"/>
    <w:rsid w:val="009843B1"/>
    <w:rsid w:val="009843BC"/>
    <w:rsid w:val="009843EF"/>
    <w:rsid w:val="0098443D"/>
    <w:rsid w:val="009844B4"/>
    <w:rsid w:val="009844C9"/>
    <w:rsid w:val="009844E4"/>
    <w:rsid w:val="009845D0"/>
    <w:rsid w:val="009845E7"/>
    <w:rsid w:val="00984601"/>
    <w:rsid w:val="00984603"/>
    <w:rsid w:val="00984605"/>
    <w:rsid w:val="00984616"/>
    <w:rsid w:val="00984630"/>
    <w:rsid w:val="00984674"/>
    <w:rsid w:val="0098467C"/>
    <w:rsid w:val="00984680"/>
    <w:rsid w:val="00984714"/>
    <w:rsid w:val="00984746"/>
    <w:rsid w:val="00984753"/>
    <w:rsid w:val="009847A4"/>
    <w:rsid w:val="009847C9"/>
    <w:rsid w:val="009847CF"/>
    <w:rsid w:val="009847E7"/>
    <w:rsid w:val="00984833"/>
    <w:rsid w:val="00984892"/>
    <w:rsid w:val="009848A9"/>
    <w:rsid w:val="0098492F"/>
    <w:rsid w:val="0098496A"/>
    <w:rsid w:val="00984A12"/>
    <w:rsid w:val="00984A14"/>
    <w:rsid w:val="00984A20"/>
    <w:rsid w:val="00984A29"/>
    <w:rsid w:val="00984B1B"/>
    <w:rsid w:val="00984B20"/>
    <w:rsid w:val="00984B34"/>
    <w:rsid w:val="00984B79"/>
    <w:rsid w:val="00984B99"/>
    <w:rsid w:val="00984BA0"/>
    <w:rsid w:val="00984BA6"/>
    <w:rsid w:val="00984BF5"/>
    <w:rsid w:val="00984C6D"/>
    <w:rsid w:val="00984C78"/>
    <w:rsid w:val="00984CAB"/>
    <w:rsid w:val="00984D55"/>
    <w:rsid w:val="00984D74"/>
    <w:rsid w:val="00984DCD"/>
    <w:rsid w:val="00984DD6"/>
    <w:rsid w:val="00984E6E"/>
    <w:rsid w:val="00984E71"/>
    <w:rsid w:val="00984E8F"/>
    <w:rsid w:val="00984EFB"/>
    <w:rsid w:val="00984F29"/>
    <w:rsid w:val="00984F2E"/>
    <w:rsid w:val="00984FB4"/>
    <w:rsid w:val="00984FEB"/>
    <w:rsid w:val="00984FEC"/>
    <w:rsid w:val="00985021"/>
    <w:rsid w:val="0098506A"/>
    <w:rsid w:val="0098509C"/>
    <w:rsid w:val="009850D0"/>
    <w:rsid w:val="009850F4"/>
    <w:rsid w:val="009850F7"/>
    <w:rsid w:val="0098513A"/>
    <w:rsid w:val="00985188"/>
    <w:rsid w:val="00985198"/>
    <w:rsid w:val="009851BB"/>
    <w:rsid w:val="009851BD"/>
    <w:rsid w:val="009851F6"/>
    <w:rsid w:val="00985234"/>
    <w:rsid w:val="00985246"/>
    <w:rsid w:val="00985249"/>
    <w:rsid w:val="009852AA"/>
    <w:rsid w:val="009852BA"/>
    <w:rsid w:val="009852BC"/>
    <w:rsid w:val="009852C8"/>
    <w:rsid w:val="00985329"/>
    <w:rsid w:val="0098532A"/>
    <w:rsid w:val="00985334"/>
    <w:rsid w:val="0098533E"/>
    <w:rsid w:val="00985405"/>
    <w:rsid w:val="00985407"/>
    <w:rsid w:val="00985437"/>
    <w:rsid w:val="009854BA"/>
    <w:rsid w:val="00985527"/>
    <w:rsid w:val="0098556E"/>
    <w:rsid w:val="0098558A"/>
    <w:rsid w:val="00985590"/>
    <w:rsid w:val="009855CA"/>
    <w:rsid w:val="00985652"/>
    <w:rsid w:val="00985670"/>
    <w:rsid w:val="009856D6"/>
    <w:rsid w:val="00985710"/>
    <w:rsid w:val="0098573B"/>
    <w:rsid w:val="0098575B"/>
    <w:rsid w:val="00985778"/>
    <w:rsid w:val="009857F3"/>
    <w:rsid w:val="009857FD"/>
    <w:rsid w:val="00985851"/>
    <w:rsid w:val="00985866"/>
    <w:rsid w:val="00985890"/>
    <w:rsid w:val="009858CC"/>
    <w:rsid w:val="009858F1"/>
    <w:rsid w:val="00985932"/>
    <w:rsid w:val="00985937"/>
    <w:rsid w:val="0098595D"/>
    <w:rsid w:val="00985987"/>
    <w:rsid w:val="00985992"/>
    <w:rsid w:val="009859FB"/>
    <w:rsid w:val="00985A1E"/>
    <w:rsid w:val="00985A28"/>
    <w:rsid w:val="00985A84"/>
    <w:rsid w:val="00985B09"/>
    <w:rsid w:val="00985B10"/>
    <w:rsid w:val="00985BA0"/>
    <w:rsid w:val="00985BF9"/>
    <w:rsid w:val="00985C11"/>
    <w:rsid w:val="00985D61"/>
    <w:rsid w:val="00985DCE"/>
    <w:rsid w:val="00985DD4"/>
    <w:rsid w:val="00985E0E"/>
    <w:rsid w:val="00985E29"/>
    <w:rsid w:val="00985E90"/>
    <w:rsid w:val="00985EB3"/>
    <w:rsid w:val="00985EC1"/>
    <w:rsid w:val="00985EC2"/>
    <w:rsid w:val="00985ECD"/>
    <w:rsid w:val="00985ED5"/>
    <w:rsid w:val="00985EDF"/>
    <w:rsid w:val="00985F5B"/>
    <w:rsid w:val="0098600B"/>
    <w:rsid w:val="00986025"/>
    <w:rsid w:val="0098603D"/>
    <w:rsid w:val="009860AA"/>
    <w:rsid w:val="009860C4"/>
    <w:rsid w:val="009860C7"/>
    <w:rsid w:val="00986139"/>
    <w:rsid w:val="00986164"/>
    <w:rsid w:val="00986187"/>
    <w:rsid w:val="009861CF"/>
    <w:rsid w:val="00986200"/>
    <w:rsid w:val="00986205"/>
    <w:rsid w:val="0098620B"/>
    <w:rsid w:val="00986296"/>
    <w:rsid w:val="009862F5"/>
    <w:rsid w:val="00986347"/>
    <w:rsid w:val="009863F4"/>
    <w:rsid w:val="009863F6"/>
    <w:rsid w:val="009863FD"/>
    <w:rsid w:val="00986480"/>
    <w:rsid w:val="00986509"/>
    <w:rsid w:val="00986567"/>
    <w:rsid w:val="0098659A"/>
    <w:rsid w:val="009865C9"/>
    <w:rsid w:val="009865D2"/>
    <w:rsid w:val="0098660B"/>
    <w:rsid w:val="0098660C"/>
    <w:rsid w:val="00986628"/>
    <w:rsid w:val="00986655"/>
    <w:rsid w:val="0098668B"/>
    <w:rsid w:val="0098669E"/>
    <w:rsid w:val="009866E4"/>
    <w:rsid w:val="00986702"/>
    <w:rsid w:val="00986770"/>
    <w:rsid w:val="0098678A"/>
    <w:rsid w:val="009867BB"/>
    <w:rsid w:val="009867DA"/>
    <w:rsid w:val="009867F0"/>
    <w:rsid w:val="009867FD"/>
    <w:rsid w:val="00986801"/>
    <w:rsid w:val="00986872"/>
    <w:rsid w:val="00986875"/>
    <w:rsid w:val="00986898"/>
    <w:rsid w:val="009868A6"/>
    <w:rsid w:val="009868B2"/>
    <w:rsid w:val="009868E6"/>
    <w:rsid w:val="00986976"/>
    <w:rsid w:val="009869AB"/>
    <w:rsid w:val="00986A15"/>
    <w:rsid w:val="00986A33"/>
    <w:rsid w:val="00986A3E"/>
    <w:rsid w:val="00986A57"/>
    <w:rsid w:val="00986AB9"/>
    <w:rsid w:val="00986AC3"/>
    <w:rsid w:val="00986AD1"/>
    <w:rsid w:val="00986AE7"/>
    <w:rsid w:val="00986B53"/>
    <w:rsid w:val="00986B5F"/>
    <w:rsid w:val="00986B64"/>
    <w:rsid w:val="00986B79"/>
    <w:rsid w:val="00986BF7"/>
    <w:rsid w:val="00986CC5"/>
    <w:rsid w:val="00986CD1"/>
    <w:rsid w:val="00986CE2"/>
    <w:rsid w:val="00986DBA"/>
    <w:rsid w:val="00986E0A"/>
    <w:rsid w:val="00986E23"/>
    <w:rsid w:val="00986E40"/>
    <w:rsid w:val="00986E51"/>
    <w:rsid w:val="00986E57"/>
    <w:rsid w:val="00986E71"/>
    <w:rsid w:val="00986EB0"/>
    <w:rsid w:val="00986EB2"/>
    <w:rsid w:val="00986EFD"/>
    <w:rsid w:val="00986F3B"/>
    <w:rsid w:val="00986F57"/>
    <w:rsid w:val="00986FAB"/>
    <w:rsid w:val="00986FB0"/>
    <w:rsid w:val="00986FC1"/>
    <w:rsid w:val="00987052"/>
    <w:rsid w:val="0098706D"/>
    <w:rsid w:val="00987098"/>
    <w:rsid w:val="009870FD"/>
    <w:rsid w:val="00987116"/>
    <w:rsid w:val="00987125"/>
    <w:rsid w:val="00987131"/>
    <w:rsid w:val="009871D3"/>
    <w:rsid w:val="0098727A"/>
    <w:rsid w:val="0098728B"/>
    <w:rsid w:val="009872BF"/>
    <w:rsid w:val="009872F0"/>
    <w:rsid w:val="00987300"/>
    <w:rsid w:val="00987303"/>
    <w:rsid w:val="00987345"/>
    <w:rsid w:val="00987411"/>
    <w:rsid w:val="0098741F"/>
    <w:rsid w:val="00987467"/>
    <w:rsid w:val="0098746F"/>
    <w:rsid w:val="00987484"/>
    <w:rsid w:val="009874C5"/>
    <w:rsid w:val="00987502"/>
    <w:rsid w:val="009875BF"/>
    <w:rsid w:val="009875DD"/>
    <w:rsid w:val="009875F4"/>
    <w:rsid w:val="00987609"/>
    <w:rsid w:val="00987632"/>
    <w:rsid w:val="0098765C"/>
    <w:rsid w:val="0098769E"/>
    <w:rsid w:val="00987715"/>
    <w:rsid w:val="00987727"/>
    <w:rsid w:val="00987736"/>
    <w:rsid w:val="00987753"/>
    <w:rsid w:val="009877BB"/>
    <w:rsid w:val="009877EC"/>
    <w:rsid w:val="009877F1"/>
    <w:rsid w:val="00987818"/>
    <w:rsid w:val="00987837"/>
    <w:rsid w:val="009878D1"/>
    <w:rsid w:val="0098791E"/>
    <w:rsid w:val="00987924"/>
    <w:rsid w:val="00987934"/>
    <w:rsid w:val="0098796F"/>
    <w:rsid w:val="00987A81"/>
    <w:rsid w:val="00987B13"/>
    <w:rsid w:val="00987B14"/>
    <w:rsid w:val="00987B57"/>
    <w:rsid w:val="00987B5E"/>
    <w:rsid w:val="00987B73"/>
    <w:rsid w:val="00987B7E"/>
    <w:rsid w:val="00987BB4"/>
    <w:rsid w:val="00987BB8"/>
    <w:rsid w:val="00987BFB"/>
    <w:rsid w:val="00987C28"/>
    <w:rsid w:val="00987C48"/>
    <w:rsid w:val="00987C63"/>
    <w:rsid w:val="00987C71"/>
    <w:rsid w:val="00987CB9"/>
    <w:rsid w:val="00987CF4"/>
    <w:rsid w:val="00987D21"/>
    <w:rsid w:val="00987D33"/>
    <w:rsid w:val="00987D37"/>
    <w:rsid w:val="00987D46"/>
    <w:rsid w:val="00987D92"/>
    <w:rsid w:val="00987D97"/>
    <w:rsid w:val="00987DA3"/>
    <w:rsid w:val="00987DEE"/>
    <w:rsid w:val="00987E60"/>
    <w:rsid w:val="00987E94"/>
    <w:rsid w:val="00987EC1"/>
    <w:rsid w:val="00987ED3"/>
    <w:rsid w:val="00987EE3"/>
    <w:rsid w:val="00987F0A"/>
    <w:rsid w:val="00987F0D"/>
    <w:rsid w:val="00987F1E"/>
    <w:rsid w:val="00990015"/>
    <w:rsid w:val="009900BD"/>
    <w:rsid w:val="009900C7"/>
    <w:rsid w:val="009900CD"/>
    <w:rsid w:val="009900D0"/>
    <w:rsid w:val="00990111"/>
    <w:rsid w:val="00990143"/>
    <w:rsid w:val="00990147"/>
    <w:rsid w:val="00990167"/>
    <w:rsid w:val="0099019D"/>
    <w:rsid w:val="009901F8"/>
    <w:rsid w:val="00990236"/>
    <w:rsid w:val="00990248"/>
    <w:rsid w:val="00990255"/>
    <w:rsid w:val="00990257"/>
    <w:rsid w:val="009902A8"/>
    <w:rsid w:val="009902AD"/>
    <w:rsid w:val="009902F3"/>
    <w:rsid w:val="00990343"/>
    <w:rsid w:val="009903D4"/>
    <w:rsid w:val="009903D6"/>
    <w:rsid w:val="0099041F"/>
    <w:rsid w:val="0099042C"/>
    <w:rsid w:val="009904AB"/>
    <w:rsid w:val="00990531"/>
    <w:rsid w:val="0099056E"/>
    <w:rsid w:val="00990589"/>
    <w:rsid w:val="009905A7"/>
    <w:rsid w:val="009905D9"/>
    <w:rsid w:val="009906B2"/>
    <w:rsid w:val="0099071D"/>
    <w:rsid w:val="00990772"/>
    <w:rsid w:val="00990790"/>
    <w:rsid w:val="009907BD"/>
    <w:rsid w:val="00990834"/>
    <w:rsid w:val="00990871"/>
    <w:rsid w:val="009908C3"/>
    <w:rsid w:val="009908FF"/>
    <w:rsid w:val="0099092A"/>
    <w:rsid w:val="0099096A"/>
    <w:rsid w:val="0099096B"/>
    <w:rsid w:val="00990971"/>
    <w:rsid w:val="0099097D"/>
    <w:rsid w:val="0099098D"/>
    <w:rsid w:val="009909A5"/>
    <w:rsid w:val="009909CE"/>
    <w:rsid w:val="009909E3"/>
    <w:rsid w:val="009909F6"/>
    <w:rsid w:val="00990A81"/>
    <w:rsid w:val="00990A83"/>
    <w:rsid w:val="00990BA1"/>
    <w:rsid w:val="00990BF2"/>
    <w:rsid w:val="00990C30"/>
    <w:rsid w:val="00990C65"/>
    <w:rsid w:val="00990C8B"/>
    <w:rsid w:val="00990C9E"/>
    <w:rsid w:val="00990CA3"/>
    <w:rsid w:val="00990D56"/>
    <w:rsid w:val="00990D66"/>
    <w:rsid w:val="00990D92"/>
    <w:rsid w:val="00990DB0"/>
    <w:rsid w:val="00990E3F"/>
    <w:rsid w:val="00990E42"/>
    <w:rsid w:val="00990E66"/>
    <w:rsid w:val="00990E9F"/>
    <w:rsid w:val="00990F14"/>
    <w:rsid w:val="00990F20"/>
    <w:rsid w:val="00990F39"/>
    <w:rsid w:val="00990F4A"/>
    <w:rsid w:val="00990F4E"/>
    <w:rsid w:val="00990F5B"/>
    <w:rsid w:val="00990F75"/>
    <w:rsid w:val="00990FBE"/>
    <w:rsid w:val="0099103F"/>
    <w:rsid w:val="0099107C"/>
    <w:rsid w:val="009910E7"/>
    <w:rsid w:val="00991103"/>
    <w:rsid w:val="00991178"/>
    <w:rsid w:val="00991192"/>
    <w:rsid w:val="009911AF"/>
    <w:rsid w:val="00991206"/>
    <w:rsid w:val="00991252"/>
    <w:rsid w:val="0099125A"/>
    <w:rsid w:val="00991291"/>
    <w:rsid w:val="0099132E"/>
    <w:rsid w:val="00991352"/>
    <w:rsid w:val="00991389"/>
    <w:rsid w:val="009913C4"/>
    <w:rsid w:val="009913CC"/>
    <w:rsid w:val="009913F6"/>
    <w:rsid w:val="00991412"/>
    <w:rsid w:val="00991451"/>
    <w:rsid w:val="00991476"/>
    <w:rsid w:val="009914B3"/>
    <w:rsid w:val="009914BE"/>
    <w:rsid w:val="009914F1"/>
    <w:rsid w:val="00991500"/>
    <w:rsid w:val="0099150A"/>
    <w:rsid w:val="00991545"/>
    <w:rsid w:val="00991565"/>
    <w:rsid w:val="00991568"/>
    <w:rsid w:val="00991629"/>
    <w:rsid w:val="0099163B"/>
    <w:rsid w:val="00991668"/>
    <w:rsid w:val="00991693"/>
    <w:rsid w:val="009916D8"/>
    <w:rsid w:val="00991752"/>
    <w:rsid w:val="0099176B"/>
    <w:rsid w:val="009917FD"/>
    <w:rsid w:val="00991898"/>
    <w:rsid w:val="0099189A"/>
    <w:rsid w:val="009918C3"/>
    <w:rsid w:val="009918D6"/>
    <w:rsid w:val="009918F4"/>
    <w:rsid w:val="00991924"/>
    <w:rsid w:val="00991927"/>
    <w:rsid w:val="00991940"/>
    <w:rsid w:val="00991945"/>
    <w:rsid w:val="009919DB"/>
    <w:rsid w:val="00991A6E"/>
    <w:rsid w:val="00991A73"/>
    <w:rsid w:val="00991AE5"/>
    <w:rsid w:val="00991AFD"/>
    <w:rsid w:val="00991B01"/>
    <w:rsid w:val="00991B34"/>
    <w:rsid w:val="00991B39"/>
    <w:rsid w:val="00991B52"/>
    <w:rsid w:val="00991B57"/>
    <w:rsid w:val="00991C18"/>
    <w:rsid w:val="00991C33"/>
    <w:rsid w:val="00991C57"/>
    <w:rsid w:val="00991CA4"/>
    <w:rsid w:val="00991CAE"/>
    <w:rsid w:val="00991D0F"/>
    <w:rsid w:val="00991D26"/>
    <w:rsid w:val="00991D27"/>
    <w:rsid w:val="00991D60"/>
    <w:rsid w:val="00991DF1"/>
    <w:rsid w:val="00991E4D"/>
    <w:rsid w:val="00991E4F"/>
    <w:rsid w:val="00991E95"/>
    <w:rsid w:val="00991ECF"/>
    <w:rsid w:val="00991F52"/>
    <w:rsid w:val="00991F73"/>
    <w:rsid w:val="00991FAD"/>
    <w:rsid w:val="00991FBA"/>
    <w:rsid w:val="00991FC7"/>
    <w:rsid w:val="0099200A"/>
    <w:rsid w:val="00992011"/>
    <w:rsid w:val="0099201D"/>
    <w:rsid w:val="00992022"/>
    <w:rsid w:val="009920D0"/>
    <w:rsid w:val="009920DB"/>
    <w:rsid w:val="00992137"/>
    <w:rsid w:val="00992222"/>
    <w:rsid w:val="0099223D"/>
    <w:rsid w:val="00992263"/>
    <w:rsid w:val="00992292"/>
    <w:rsid w:val="009922B9"/>
    <w:rsid w:val="0099231E"/>
    <w:rsid w:val="00992326"/>
    <w:rsid w:val="0099232A"/>
    <w:rsid w:val="00992334"/>
    <w:rsid w:val="0099236E"/>
    <w:rsid w:val="00992391"/>
    <w:rsid w:val="009923B3"/>
    <w:rsid w:val="009923DF"/>
    <w:rsid w:val="009923FC"/>
    <w:rsid w:val="00992404"/>
    <w:rsid w:val="0099241E"/>
    <w:rsid w:val="00992452"/>
    <w:rsid w:val="0099245A"/>
    <w:rsid w:val="00992487"/>
    <w:rsid w:val="009924E7"/>
    <w:rsid w:val="0099264B"/>
    <w:rsid w:val="00992651"/>
    <w:rsid w:val="00992696"/>
    <w:rsid w:val="00992705"/>
    <w:rsid w:val="0099270A"/>
    <w:rsid w:val="0099270F"/>
    <w:rsid w:val="0099271E"/>
    <w:rsid w:val="0099272D"/>
    <w:rsid w:val="00992749"/>
    <w:rsid w:val="0099275C"/>
    <w:rsid w:val="00992782"/>
    <w:rsid w:val="009927AF"/>
    <w:rsid w:val="0099280D"/>
    <w:rsid w:val="00992838"/>
    <w:rsid w:val="00992885"/>
    <w:rsid w:val="009928A9"/>
    <w:rsid w:val="00992917"/>
    <w:rsid w:val="0099293C"/>
    <w:rsid w:val="009929AB"/>
    <w:rsid w:val="009929B5"/>
    <w:rsid w:val="009929BC"/>
    <w:rsid w:val="00992A35"/>
    <w:rsid w:val="00992A68"/>
    <w:rsid w:val="00992B36"/>
    <w:rsid w:val="00992B7B"/>
    <w:rsid w:val="00992BAD"/>
    <w:rsid w:val="00992BEE"/>
    <w:rsid w:val="00992BEF"/>
    <w:rsid w:val="00992C1D"/>
    <w:rsid w:val="00992C2C"/>
    <w:rsid w:val="00992C6C"/>
    <w:rsid w:val="00992D1E"/>
    <w:rsid w:val="00992D8A"/>
    <w:rsid w:val="00992DE3"/>
    <w:rsid w:val="00992E39"/>
    <w:rsid w:val="00992E8D"/>
    <w:rsid w:val="00992EA6"/>
    <w:rsid w:val="00992EB2"/>
    <w:rsid w:val="00992EB9"/>
    <w:rsid w:val="00992F3F"/>
    <w:rsid w:val="00992F8A"/>
    <w:rsid w:val="00992F8E"/>
    <w:rsid w:val="00992FA4"/>
    <w:rsid w:val="00992FE7"/>
    <w:rsid w:val="00992FF0"/>
    <w:rsid w:val="0099302E"/>
    <w:rsid w:val="00993084"/>
    <w:rsid w:val="00993086"/>
    <w:rsid w:val="00993094"/>
    <w:rsid w:val="009930B3"/>
    <w:rsid w:val="009930F4"/>
    <w:rsid w:val="00993211"/>
    <w:rsid w:val="00993213"/>
    <w:rsid w:val="00993253"/>
    <w:rsid w:val="00993275"/>
    <w:rsid w:val="009932E4"/>
    <w:rsid w:val="0099333D"/>
    <w:rsid w:val="0099333E"/>
    <w:rsid w:val="00993354"/>
    <w:rsid w:val="0099338E"/>
    <w:rsid w:val="009933F0"/>
    <w:rsid w:val="0099346D"/>
    <w:rsid w:val="009934AC"/>
    <w:rsid w:val="009934C4"/>
    <w:rsid w:val="009934CB"/>
    <w:rsid w:val="009934CF"/>
    <w:rsid w:val="0099355F"/>
    <w:rsid w:val="0099357D"/>
    <w:rsid w:val="009935B5"/>
    <w:rsid w:val="009935C3"/>
    <w:rsid w:val="009935D8"/>
    <w:rsid w:val="009935DC"/>
    <w:rsid w:val="009935F2"/>
    <w:rsid w:val="00993609"/>
    <w:rsid w:val="00993618"/>
    <w:rsid w:val="0099364A"/>
    <w:rsid w:val="00993670"/>
    <w:rsid w:val="00993693"/>
    <w:rsid w:val="00993697"/>
    <w:rsid w:val="0099370E"/>
    <w:rsid w:val="00993719"/>
    <w:rsid w:val="00993745"/>
    <w:rsid w:val="00993757"/>
    <w:rsid w:val="00993769"/>
    <w:rsid w:val="009938E5"/>
    <w:rsid w:val="00993943"/>
    <w:rsid w:val="00993968"/>
    <w:rsid w:val="009939AD"/>
    <w:rsid w:val="009939EB"/>
    <w:rsid w:val="00993A26"/>
    <w:rsid w:val="00993A79"/>
    <w:rsid w:val="00993ABC"/>
    <w:rsid w:val="00993B0D"/>
    <w:rsid w:val="00993B22"/>
    <w:rsid w:val="00993B5F"/>
    <w:rsid w:val="00993B82"/>
    <w:rsid w:val="00993BC8"/>
    <w:rsid w:val="00993BD0"/>
    <w:rsid w:val="00993BD3"/>
    <w:rsid w:val="00993C3C"/>
    <w:rsid w:val="00993C55"/>
    <w:rsid w:val="00993C79"/>
    <w:rsid w:val="00993C85"/>
    <w:rsid w:val="00993CEF"/>
    <w:rsid w:val="00993D09"/>
    <w:rsid w:val="00993D65"/>
    <w:rsid w:val="00993D84"/>
    <w:rsid w:val="00993DC4"/>
    <w:rsid w:val="00993DF8"/>
    <w:rsid w:val="00993E13"/>
    <w:rsid w:val="00993E7B"/>
    <w:rsid w:val="00993EE2"/>
    <w:rsid w:val="00993F14"/>
    <w:rsid w:val="00993F65"/>
    <w:rsid w:val="00993FCF"/>
    <w:rsid w:val="00993FDB"/>
    <w:rsid w:val="00993FFB"/>
    <w:rsid w:val="00994018"/>
    <w:rsid w:val="00994032"/>
    <w:rsid w:val="00994039"/>
    <w:rsid w:val="00994042"/>
    <w:rsid w:val="0099407D"/>
    <w:rsid w:val="009940A4"/>
    <w:rsid w:val="009940AE"/>
    <w:rsid w:val="009940CB"/>
    <w:rsid w:val="009940E7"/>
    <w:rsid w:val="00994105"/>
    <w:rsid w:val="00994154"/>
    <w:rsid w:val="009941B7"/>
    <w:rsid w:val="009941C6"/>
    <w:rsid w:val="00994256"/>
    <w:rsid w:val="009942D1"/>
    <w:rsid w:val="009942E2"/>
    <w:rsid w:val="00994322"/>
    <w:rsid w:val="00994327"/>
    <w:rsid w:val="0099434D"/>
    <w:rsid w:val="00994356"/>
    <w:rsid w:val="0099435F"/>
    <w:rsid w:val="009943A4"/>
    <w:rsid w:val="00994452"/>
    <w:rsid w:val="0099449F"/>
    <w:rsid w:val="009944D9"/>
    <w:rsid w:val="009944E1"/>
    <w:rsid w:val="0099451B"/>
    <w:rsid w:val="00994534"/>
    <w:rsid w:val="009945CB"/>
    <w:rsid w:val="0099466C"/>
    <w:rsid w:val="00994673"/>
    <w:rsid w:val="009946A0"/>
    <w:rsid w:val="009946B5"/>
    <w:rsid w:val="00994707"/>
    <w:rsid w:val="0099470E"/>
    <w:rsid w:val="00994711"/>
    <w:rsid w:val="00994743"/>
    <w:rsid w:val="0099475D"/>
    <w:rsid w:val="00994772"/>
    <w:rsid w:val="00994781"/>
    <w:rsid w:val="009947C7"/>
    <w:rsid w:val="0099482C"/>
    <w:rsid w:val="0099493A"/>
    <w:rsid w:val="00994990"/>
    <w:rsid w:val="009949AA"/>
    <w:rsid w:val="009949D6"/>
    <w:rsid w:val="00994A3E"/>
    <w:rsid w:val="00994B43"/>
    <w:rsid w:val="00994B82"/>
    <w:rsid w:val="00994BBC"/>
    <w:rsid w:val="00994BCF"/>
    <w:rsid w:val="00994C00"/>
    <w:rsid w:val="00994C5E"/>
    <w:rsid w:val="00994C75"/>
    <w:rsid w:val="00994C76"/>
    <w:rsid w:val="00994C9B"/>
    <w:rsid w:val="00994CAE"/>
    <w:rsid w:val="00994CDD"/>
    <w:rsid w:val="00994CFA"/>
    <w:rsid w:val="00994D44"/>
    <w:rsid w:val="00994D8C"/>
    <w:rsid w:val="00994DAB"/>
    <w:rsid w:val="00994DE7"/>
    <w:rsid w:val="00994E19"/>
    <w:rsid w:val="00994E40"/>
    <w:rsid w:val="00994F44"/>
    <w:rsid w:val="00994FC4"/>
    <w:rsid w:val="00995013"/>
    <w:rsid w:val="00995028"/>
    <w:rsid w:val="0099503F"/>
    <w:rsid w:val="0099507B"/>
    <w:rsid w:val="009950C2"/>
    <w:rsid w:val="009950E7"/>
    <w:rsid w:val="00995101"/>
    <w:rsid w:val="00995107"/>
    <w:rsid w:val="0099510E"/>
    <w:rsid w:val="00995140"/>
    <w:rsid w:val="0099515B"/>
    <w:rsid w:val="0099515F"/>
    <w:rsid w:val="00995175"/>
    <w:rsid w:val="00995187"/>
    <w:rsid w:val="009951B2"/>
    <w:rsid w:val="009951BE"/>
    <w:rsid w:val="009951D8"/>
    <w:rsid w:val="009951E3"/>
    <w:rsid w:val="0099520B"/>
    <w:rsid w:val="00995232"/>
    <w:rsid w:val="00995283"/>
    <w:rsid w:val="0099533C"/>
    <w:rsid w:val="00995356"/>
    <w:rsid w:val="0099536C"/>
    <w:rsid w:val="009953D7"/>
    <w:rsid w:val="0099546E"/>
    <w:rsid w:val="00995479"/>
    <w:rsid w:val="009954D6"/>
    <w:rsid w:val="009955AE"/>
    <w:rsid w:val="009955BB"/>
    <w:rsid w:val="00995600"/>
    <w:rsid w:val="00995610"/>
    <w:rsid w:val="00995679"/>
    <w:rsid w:val="00995699"/>
    <w:rsid w:val="00995733"/>
    <w:rsid w:val="009957CC"/>
    <w:rsid w:val="009957D7"/>
    <w:rsid w:val="009957E9"/>
    <w:rsid w:val="0099586D"/>
    <w:rsid w:val="00995871"/>
    <w:rsid w:val="009958D6"/>
    <w:rsid w:val="009958EC"/>
    <w:rsid w:val="00995923"/>
    <w:rsid w:val="00995932"/>
    <w:rsid w:val="00995992"/>
    <w:rsid w:val="009959AB"/>
    <w:rsid w:val="00995A02"/>
    <w:rsid w:val="00995A10"/>
    <w:rsid w:val="00995ABB"/>
    <w:rsid w:val="00995ABE"/>
    <w:rsid w:val="00995AC9"/>
    <w:rsid w:val="00995B47"/>
    <w:rsid w:val="00995B8B"/>
    <w:rsid w:val="00995B9A"/>
    <w:rsid w:val="00995BDF"/>
    <w:rsid w:val="00995BED"/>
    <w:rsid w:val="00995C08"/>
    <w:rsid w:val="00995C0C"/>
    <w:rsid w:val="00995C12"/>
    <w:rsid w:val="00995C6B"/>
    <w:rsid w:val="00995C7E"/>
    <w:rsid w:val="00995C88"/>
    <w:rsid w:val="00995CD2"/>
    <w:rsid w:val="00995D15"/>
    <w:rsid w:val="00995D48"/>
    <w:rsid w:val="00995D4A"/>
    <w:rsid w:val="00995DA4"/>
    <w:rsid w:val="00995DB1"/>
    <w:rsid w:val="00995E9F"/>
    <w:rsid w:val="00995F0B"/>
    <w:rsid w:val="00995F10"/>
    <w:rsid w:val="00995FD8"/>
    <w:rsid w:val="00995FF2"/>
    <w:rsid w:val="00996006"/>
    <w:rsid w:val="0099601E"/>
    <w:rsid w:val="0099607B"/>
    <w:rsid w:val="00996089"/>
    <w:rsid w:val="00996093"/>
    <w:rsid w:val="009960A5"/>
    <w:rsid w:val="009960B6"/>
    <w:rsid w:val="00996163"/>
    <w:rsid w:val="0099617F"/>
    <w:rsid w:val="00996187"/>
    <w:rsid w:val="009961C7"/>
    <w:rsid w:val="00996254"/>
    <w:rsid w:val="0099626E"/>
    <w:rsid w:val="00996289"/>
    <w:rsid w:val="009962D2"/>
    <w:rsid w:val="009962E6"/>
    <w:rsid w:val="00996319"/>
    <w:rsid w:val="0099631E"/>
    <w:rsid w:val="00996368"/>
    <w:rsid w:val="00996399"/>
    <w:rsid w:val="009963EA"/>
    <w:rsid w:val="009963FC"/>
    <w:rsid w:val="0099640A"/>
    <w:rsid w:val="00996473"/>
    <w:rsid w:val="009964C3"/>
    <w:rsid w:val="009964DA"/>
    <w:rsid w:val="009964F1"/>
    <w:rsid w:val="00996568"/>
    <w:rsid w:val="009965E3"/>
    <w:rsid w:val="00996604"/>
    <w:rsid w:val="00996669"/>
    <w:rsid w:val="00996675"/>
    <w:rsid w:val="0099669A"/>
    <w:rsid w:val="0099670E"/>
    <w:rsid w:val="00996718"/>
    <w:rsid w:val="0099676B"/>
    <w:rsid w:val="009967AA"/>
    <w:rsid w:val="009967BE"/>
    <w:rsid w:val="00996837"/>
    <w:rsid w:val="0099683C"/>
    <w:rsid w:val="0099683E"/>
    <w:rsid w:val="0099683F"/>
    <w:rsid w:val="009968B8"/>
    <w:rsid w:val="009968C8"/>
    <w:rsid w:val="0099691A"/>
    <w:rsid w:val="00996972"/>
    <w:rsid w:val="00996974"/>
    <w:rsid w:val="00996975"/>
    <w:rsid w:val="009969B3"/>
    <w:rsid w:val="00996A25"/>
    <w:rsid w:val="00996A3C"/>
    <w:rsid w:val="00996A4B"/>
    <w:rsid w:val="00996AC7"/>
    <w:rsid w:val="00996AF0"/>
    <w:rsid w:val="00996B29"/>
    <w:rsid w:val="00996B36"/>
    <w:rsid w:val="00996B5B"/>
    <w:rsid w:val="00996B84"/>
    <w:rsid w:val="00996B8F"/>
    <w:rsid w:val="00996C09"/>
    <w:rsid w:val="00996C17"/>
    <w:rsid w:val="00996C40"/>
    <w:rsid w:val="00996C5D"/>
    <w:rsid w:val="00996C89"/>
    <w:rsid w:val="00996C96"/>
    <w:rsid w:val="00996C9C"/>
    <w:rsid w:val="00996CC2"/>
    <w:rsid w:val="00996CED"/>
    <w:rsid w:val="00996D11"/>
    <w:rsid w:val="00996D54"/>
    <w:rsid w:val="00996DAC"/>
    <w:rsid w:val="00996DD5"/>
    <w:rsid w:val="00996DF6"/>
    <w:rsid w:val="00996E31"/>
    <w:rsid w:val="00996E3A"/>
    <w:rsid w:val="00996E45"/>
    <w:rsid w:val="00996E68"/>
    <w:rsid w:val="00996E9E"/>
    <w:rsid w:val="00996EA5"/>
    <w:rsid w:val="00996ECE"/>
    <w:rsid w:val="00996EFF"/>
    <w:rsid w:val="00996F1A"/>
    <w:rsid w:val="00996FB1"/>
    <w:rsid w:val="00997013"/>
    <w:rsid w:val="0099702E"/>
    <w:rsid w:val="00997091"/>
    <w:rsid w:val="00997094"/>
    <w:rsid w:val="009970A1"/>
    <w:rsid w:val="009970AC"/>
    <w:rsid w:val="009970B3"/>
    <w:rsid w:val="0099712E"/>
    <w:rsid w:val="00997144"/>
    <w:rsid w:val="0099714D"/>
    <w:rsid w:val="00997158"/>
    <w:rsid w:val="009971AA"/>
    <w:rsid w:val="009971D0"/>
    <w:rsid w:val="009971DE"/>
    <w:rsid w:val="009971F9"/>
    <w:rsid w:val="00997208"/>
    <w:rsid w:val="0099720C"/>
    <w:rsid w:val="00997216"/>
    <w:rsid w:val="00997269"/>
    <w:rsid w:val="009972A2"/>
    <w:rsid w:val="009972C2"/>
    <w:rsid w:val="009972FC"/>
    <w:rsid w:val="00997320"/>
    <w:rsid w:val="00997394"/>
    <w:rsid w:val="009973E5"/>
    <w:rsid w:val="00997463"/>
    <w:rsid w:val="00997482"/>
    <w:rsid w:val="009974DB"/>
    <w:rsid w:val="009974F0"/>
    <w:rsid w:val="00997521"/>
    <w:rsid w:val="00997578"/>
    <w:rsid w:val="009975B2"/>
    <w:rsid w:val="009975CE"/>
    <w:rsid w:val="009975F4"/>
    <w:rsid w:val="0099760E"/>
    <w:rsid w:val="0099761D"/>
    <w:rsid w:val="0099762F"/>
    <w:rsid w:val="00997638"/>
    <w:rsid w:val="00997696"/>
    <w:rsid w:val="009976E5"/>
    <w:rsid w:val="0099775F"/>
    <w:rsid w:val="009977B0"/>
    <w:rsid w:val="009977D7"/>
    <w:rsid w:val="00997815"/>
    <w:rsid w:val="0099783A"/>
    <w:rsid w:val="0099785C"/>
    <w:rsid w:val="00997886"/>
    <w:rsid w:val="009978BC"/>
    <w:rsid w:val="009978F0"/>
    <w:rsid w:val="009978F6"/>
    <w:rsid w:val="00997919"/>
    <w:rsid w:val="0099796F"/>
    <w:rsid w:val="009979DD"/>
    <w:rsid w:val="009979E0"/>
    <w:rsid w:val="009979F2"/>
    <w:rsid w:val="00997A0B"/>
    <w:rsid w:val="00997A4A"/>
    <w:rsid w:val="00997AA0"/>
    <w:rsid w:val="00997AD6"/>
    <w:rsid w:val="00997B1A"/>
    <w:rsid w:val="00997B48"/>
    <w:rsid w:val="00997B69"/>
    <w:rsid w:val="00997BF7"/>
    <w:rsid w:val="00997C46"/>
    <w:rsid w:val="00997C60"/>
    <w:rsid w:val="00997C76"/>
    <w:rsid w:val="00997CC1"/>
    <w:rsid w:val="00997CEE"/>
    <w:rsid w:val="00997D37"/>
    <w:rsid w:val="00997D82"/>
    <w:rsid w:val="00997DEA"/>
    <w:rsid w:val="00997E15"/>
    <w:rsid w:val="00997E21"/>
    <w:rsid w:val="00997E37"/>
    <w:rsid w:val="00997E86"/>
    <w:rsid w:val="00997EA1"/>
    <w:rsid w:val="00997ED7"/>
    <w:rsid w:val="00997EF3"/>
    <w:rsid w:val="00997F19"/>
    <w:rsid w:val="00997F3A"/>
    <w:rsid w:val="00997F48"/>
    <w:rsid w:val="00997F66"/>
    <w:rsid w:val="00997F6A"/>
    <w:rsid w:val="00997F7A"/>
    <w:rsid w:val="00997F93"/>
    <w:rsid w:val="009A0005"/>
    <w:rsid w:val="009A0030"/>
    <w:rsid w:val="009A0046"/>
    <w:rsid w:val="009A0057"/>
    <w:rsid w:val="009A00B6"/>
    <w:rsid w:val="009A00DA"/>
    <w:rsid w:val="009A00ED"/>
    <w:rsid w:val="009A00FB"/>
    <w:rsid w:val="009A0187"/>
    <w:rsid w:val="009A018B"/>
    <w:rsid w:val="009A0196"/>
    <w:rsid w:val="009A0213"/>
    <w:rsid w:val="009A0227"/>
    <w:rsid w:val="009A023D"/>
    <w:rsid w:val="009A0246"/>
    <w:rsid w:val="009A024A"/>
    <w:rsid w:val="009A02A4"/>
    <w:rsid w:val="009A02B2"/>
    <w:rsid w:val="009A02CA"/>
    <w:rsid w:val="009A032C"/>
    <w:rsid w:val="009A0351"/>
    <w:rsid w:val="009A0370"/>
    <w:rsid w:val="009A0376"/>
    <w:rsid w:val="009A038C"/>
    <w:rsid w:val="009A03AF"/>
    <w:rsid w:val="009A0410"/>
    <w:rsid w:val="009A0420"/>
    <w:rsid w:val="009A0423"/>
    <w:rsid w:val="009A042E"/>
    <w:rsid w:val="009A046B"/>
    <w:rsid w:val="009A0470"/>
    <w:rsid w:val="009A04D4"/>
    <w:rsid w:val="009A04F4"/>
    <w:rsid w:val="009A0513"/>
    <w:rsid w:val="009A053A"/>
    <w:rsid w:val="009A054A"/>
    <w:rsid w:val="009A059C"/>
    <w:rsid w:val="009A05A0"/>
    <w:rsid w:val="009A05D4"/>
    <w:rsid w:val="009A05F4"/>
    <w:rsid w:val="009A05FC"/>
    <w:rsid w:val="009A0623"/>
    <w:rsid w:val="009A0636"/>
    <w:rsid w:val="009A065C"/>
    <w:rsid w:val="009A0664"/>
    <w:rsid w:val="009A0665"/>
    <w:rsid w:val="009A069F"/>
    <w:rsid w:val="009A06E3"/>
    <w:rsid w:val="009A074B"/>
    <w:rsid w:val="009A0754"/>
    <w:rsid w:val="009A0761"/>
    <w:rsid w:val="009A07AC"/>
    <w:rsid w:val="009A07B2"/>
    <w:rsid w:val="009A07B4"/>
    <w:rsid w:val="009A07F8"/>
    <w:rsid w:val="009A0803"/>
    <w:rsid w:val="009A0870"/>
    <w:rsid w:val="009A0900"/>
    <w:rsid w:val="009A090F"/>
    <w:rsid w:val="009A0940"/>
    <w:rsid w:val="009A0951"/>
    <w:rsid w:val="009A09B8"/>
    <w:rsid w:val="009A09FA"/>
    <w:rsid w:val="009A0A2D"/>
    <w:rsid w:val="009A0A44"/>
    <w:rsid w:val="009A0A4E"/>
    <w:rsid w:val="009A0A63"/>
    <w:rsid w:val="009A0A80"/>
    <w:rsid w:val="009A0AD9"/>
    <w:rsid w:val="009A0AF1"/>
    <w:rsid w:val="009A0B3B"/>
    <w:rsid w:val="009A0B71"/>
    <w:rsid w:val="009A0BBF"/>
    <w:rsid w:val="009A0BC3"/>
    <w:rsid w:val="009A0BD7"/>
    <w:rsid w:val="009A0BF8"/>
    <w:rsid w:val="009A0C22"/>
    <w:rsid w:val="009A0C97"/>
    <w:rsid w:val="009A0CAE"/>
    <w:rsid w:val="009A0CDB"/>
    <w:rsid w:val="009A0CF7"/>
    <w:rsid w:val="009A0D1F"/>
    <w:rsid w:val="009A0D34"/>
    <w:rsid w:val="009A0D3A"/>
    <w:rsid w:val="009A0D3C"/>
    <w:rsid w:val="009A0D72"/>
    <w:rsid w:val="009A0DBC"/>
    <w:rsid w:val="009A0DE4"/>
    <w:rsid w:val="009A0E23"/>
    <w:rsid w:val="009A0E49"/>
    <w:rsid w:val="009A0EA6"/>
    <w:rsid w:val="009A0EC4"/>
    <w:rsid w:val="009A0EFC"/>
    <w:rsid w:val="009A0F1A"/>
    <w:rsid w:val="009A10A5"/>
    <w:rsid w:val="009A10A8"/>
    <w:rsid w:val="009A10D4"/>
    <w:rsid w:val="009A10D9"/>
    <w:rsid w:val="009A10E9"/>
    <w:rsid w:val="009A10F6"/>
    <w:rsid w:val="009A10FF"/>
    <w:rsid w:val="009A1116"/>
    <w:rsid w:val="009A113C"/>
    <w:rsid w:val="009A1146"/>
    <w:rsid w:val="009A114D"/>
    <w:rsid w:val="009A114E"/>
    <w:rsid w:val="009A115B"/>
    <w:rsid w:val="009A116D"/>
    <w:rsid w:val="009A1197"/>
    <w:rsid w:val="009A11AE"/>
    <w:rsid w:val="009A11B2"/>
    <w:rsid w:val="009A11DF"/>
    <w:rsid w:val="009A11FC"/>
    <w:rsid w:val="009A1210"/>
    <w:rsid w:val="009A12A5"/>
    <w:rsid w:val="009A12D6"/>
    <w:rsid w:val="009A133A"/>
    <w:rsid w:val="009A1354"/>
    <w:rsid w:val="009A1397"/>
    <w:rsid w:val="009A13C4"/>
    <w:rsid w:val="009A140E"/>
    <w:rsid w:val="009A147C"/>
    <w:rsid w:val="009A14CA"/>
    <w:rsid w:val="009A1514"/>
    <w:rsid w:val="009A153C"/>
    <w:rsid w:val="009A1565"/>
    <w:rsid w:val="009A158B"/>
    <w:rsid w:val="009A158D"/>
    <w:rsid w:val="009A15E6"/>
    <w:rsid w:val="009A15F1"/>
    <w:rsid w:val="009A168E"/>
    <w:rsid w:val="009A16E6"/>
    <w:rsid w:val="009A173E"/>
    <w:rsid w:val="009A1748"/>
    <w:rsid w:val="009A1780"/>
    <w:rsid w:val="009A1827"/>
    <w:rsid w:val="009A1891"/>
    <w:rsid w:val="009A196F"/>
    <w:rsid w:val="009A1981"/>
    <w:rsid w:val="009A19CC"/>
    <w:rsid w:val="009A1A03"/>
    <w:rsid w:val="009A1B05"/>
    <w:rsid w:val="009A1B5A"/>
    <w:rsid w:val="009A1B60"/>
    <w:rsid w:val="009A1B65"/>
    <w:rsid w:val="009A1B74"/>
    <w:rsid w:val="009A1BB8"/>
    <w:rsid w:val="009A1BDF"/>
    <w:rsid w:val="009A1C33"/>
    <w:rsid w:val="009A1C52"/>
    <w:rsid w:val="009A1C99"/>
    <w:rsid w:val="009A1C9E"/>
    <w:rsid w:val="009A1CD1"/>
    <w:rsid w:val="009A1CE1"/>
    <w:rsid w:val="009A1D03"/>
    <w:rsid w:val="009A1D2B"/>
    <w:rsid w:val="009A1D4A"/>
    <w:rsid w:val="009A1D5A"/>
    <w:rsid w:val="009A1D97"/>
    <w:rsid w:val="009A1DC2"/>
    <w:rsid w:val="009A1DE6"/>
    <w:rsid w:val="009A1E03"/>
    <w:rsid w:val="009A1E30"/>
    <w:rsid w:val="009A1E4D"/>
    <w:rsid w:val="009A1EB0"/>
    <w:rsid w:val="009A1EFA"/>
    <w:rsid w:val="009A1F44"/>
    <w:rsid w:val="009A1F6E"/>
    <w:rsid w:val="009A1F97"/>
    <w:rsid w:val="009A1F9E"/>
    <w:rsid w:val="009A1FBC"/>
    <w:rsid w:val="009A1FD3"/>
    <w:rsid w:val="009A2033"/>
    <w:rsid w:val="009A2140"/>
    <w:rsid w:val="009A2154"/>
    <w:rsid w:val="009A218C"/>
    <w:rsid w:val="009A21AC"/>
    <w:rsid w:val="009A21DE"/>
    <w:rsid w:val="009A22A1"/>
    <w:rsid w:val="009A22C4"/>
    <w:rsid w:val="009A22E7"/>
    <w:rsid w:val="009A22F9"/>
    <w:rsid w:val="009A2320"/>
    <w:rsid w:val="009A2350"/>
    <w:rsid w:val="009A23A9"/>
    <w:rsid w:val="009A23DC"/>
    <w:rsid w:val="009A2439"/>
    <w:rsid w:val="009A2468"/>
    <w:rsid w:val="009A249B"/>
    <w:rsid w:val="009A24A7"/>
    <w:rsid w:val="009A24F8"/>
    <w:rsid w:val="009A2595"/>
    <w:rsid w:val="009A25F9"/>
    <w:rsid w:val="009A2658"/>
    <w:rsid w:val="009A2667"/>
    <w:rsid w:val="009A267A"/>
    <w:rsid w:val="009A26A2"/>
    <w:rsid w:val="009A26AA"/>
    <w:rsid w:val="009A26B7"/>
    <w:rsid w:val="009A2739"/>
    <w:rsid w:val="009A2769"/>
    <w:rsid w:val="009A277C"/>
    <w:rsid w:val="009A27AD"/>
    <w:rsid w:val="009A27D3"/>
    <w:rsid w:val="009A27DD"/>
    <w:rsid w:val="009A27E0"/>
    <w:rsid w:val="009A2819"/>
    <w:rsid w:val="009A2821"/>
    <w:rsid w:val="009A285C"/>
    <w:rsid w:val="009A290C"/>
    <w:rsid w:val="009A296E"/>
    <w:rsid w:val="009A29AF"/>
    <w:rsid w:val="009A29D0"/>
    <w:rsid w:val="009A29DD"/>
    <w:rsid w:val="009A29E8"/>
    <w:rsid w:val="009A2A3A"/>
    <w:rsid w:val="009A2A62"/>
    <w:rsid w:val="009A2AAC"/>
    <w:rsid w:val="009A2B11"/>
    <w:rsid w:val="009A2B45"/>
    <w:rsid w:val="009A2BC7"/>
    <w:rsid w:val="009A2C21"/>
    <w:rsid w:val="009A2C22"/>
    <w:rsid w:val="009A2C2B"/>
    <w:rsid w:val="009A2C5D"/>
    <w:rsid w:val="009A2C69"/>
    <w:rsid w:val="009A2C9B"/>
    <w:rsid w:val="009A2D07"/>
    <w:rsid w:val="009A2D7E"/>
    <w:rsid w:val="009A2DA1"/>
    <w:rsid w:val="009A2DCE"/>
    <w:rsid w:val="009A2E16"/>
    <w:rsid w:val="009A2E8B"/>
    <w:rsid w:val="009A2EC0"/>
    <w:rsid w:val="009A2F21"/>
    <w:rsid w:val="009A2F28"/>
    <w:rsid w:val="009A2F87"/>
    <w:rsid w:val="009A2FE1"/>
    <w:rsid w:val="009A2FF9"/>
    <w:rsid w:val="009A3026"/>
    <w:rsid w:val="009A302F"/>
    <w:rsid w:val="009A306A"/>
    <w:rsid w:val="009A307B"/>
    <w:rsid w:val="009A308B"/>
    <w:rsid w:val="009A30B5"/>
    <w:rsid w:val="009A30D1"/>
    <w:rsid w:val="009A3153"/>
    <w:rsid w:val="009A31CF"/>
    <w:rsid w:val="009A31E2"/>
    <w:rsid w:val="009A31F2"/>
    <w:rsid w:val="009A322E"/>
    <w:rsid w:val="009A3254"/>
    <w:rsid w:val="009A32CF"/>
    <w:rsid w:val="009A330A"/>
    <w:rsid w:val="009A3339"/>
    <w:rsid w:val="009A33BC"/>
    <w:rsid w:val="009A33C7"/>
    <w:rsid w:val="009A33C8"/>
    <w:rsid w:val="009A33DF"/>
    <w:rsid w:val="009A33FD"/>
    <w:rsid w:val="009A3418"/>
    <w:rsid w:val="009A3457"/>
    <w:rsid w:val="009A34AC"/>
    <w:rsid w:val="009A3508"/>
    <w:rsid w:val="009A3531"/>
    <w:rsid w:val="009A3539"/>
    <w:rsid w:val="009A353A"/>
    <w:rsid w:val="009A35A8"/>
    <w:rsid w:val="009A3727"/>
    <w:rsid w:val="009A377E"/>
    <w:rsid w:val="009A380F"/>
    <w:rsid w:val="009A3837"/>
    <w:rsid w:val="009A385C"/>
    <w:rsid w:val="009A38A6"/>
    <w:rsid w:val="009A38C7"/>
    <w:rsid w:val="009A3995"/>
    <w:rsid w:val="009A39C8"/>
    <w:rsid w:val="009A39E8"/>
    <w:rsid w:val="009A3A1B"/>
    <w:rsid w:val="009A3A4A"/>
    <w:rsid w:val="009A3A68"/>
    <w:rsid w:val="009A3AD4"/>
    <w:rsid w:val="009A3AD6"/>
    <w:rsid w:val="009A3B40"/>
    <w:rsid w:val="009A3B50"/>
    <w:rsid w:val="009A3B76"/>
    <w:rsid w:val="009A3B9F"/>
    <w:rsid w:val="009A3C36"/>
    <w:rsid w:val="009A3C77"/>
    <w:rsid w:val="009A3CA8"/>
    <w:rsid w:val="009A3D2F"/>
    <w:rsid w:val="009A3D34"/>
    <w:rsid w:val="009A3D57"/>
    <w:rsid w:val="009A3D5C"/>
    <w:rsid w:val="009A3D85"/>
    <w:rsid w:val="009A3E07"/>
    <w:rsid w:val="009A3E26"/>
    <w:rsid w:val="009A3EB9"/>
    <w:rsid w:val="009A3EC8"/>
    <w:rsid w:val="009A3EF6"/>
    <w:rsid w:val="009A3F44"/>
    <w:rsid w:val="009A3F49"/>
    <w:rsid w:val="009A3F8B"/>
    <w:rsid w:val="009A3F8D"/>
    <w:rsid w:val="009A3FCB"/>
    <w:rsid w:val="009A3FCF"/>
    <w:rsid w:val="009A4007"/>
    <w:rsid w:val="009A4058"/>
    <w:rsid w:val="009A4106"/>
    <w:rsid w:val="009A4140"/>
    <w:rsid w:val="009A414B"/>
    <w:rsid w:val="009A4175"/>
    <w:rsid w:val="009A41AF"/>
    <w:rsid w:val="009A41D0"/>
    <w:rsid w:val="009A41FD"/>
    <w:rsid w:val="009A4212"/>
    <w:rsid w:val="009A4229"/>
    <w:rsid w:val="009A4236"/>
    <w:rsid w:val="009A4246"/>
    <w:rsid w:val="009A4260"/>
    <w:rsid w:val="009A428B"/>
    <w:rsid w:val="009A428E"/>
    <w:rsid w:val="009A42B0"/>
    <w:rsid w:val="009A4328"/>
    <w:rsid w:val="009A43A5"/>
    <w:rsid w:val="009A43D3"/>
    <w:rsid w:val="009A4408"/>
    <w:rsid w:val="009A4476"/>
    <w:rsid w:val="009A453A"/>
    <w:rsid w:val="009A4568"/>
    <w:rsid w:val="009A457E"/>
    <w:rsid w:val="009A462C"/>
    <w:rsid w:val="009A4630"/>
    <w:rsid w:val="009A4641"/>
    <w:rsid w:val="009A4644"/>
    <w:rsid w:val="009A4658"/>
    <w:rsid w:val="009A4660"/>
    <w:rsid w:val="009A46F9"/>
    <w:rsid w:val="009A4794"/>
    <w:rsid w:val="009A47D3"/>
    <w:rsid w:val="009A47D9"/>
    <w:rsid w:val="009A488A"/>
    <w:rsid w:val="009A48C8"/>
    <w:rsid w:val="009A48E4"/>
    <w:rsid w:val="009A48E7"/>
    <w:rsid w:val="009A4929"/>
    <w:rsid w:val="009A4951"/>
    <w:rsid w:val="009A4996"/>
    <w:rsid w:val="009A49CE"/>
    <w:rsid w:val="009A4A03"/>
    <w:rsid w:val="009A4A05"/>
    <w:rsid w:val="009A4A31"/>
    <w:rsid w:val="009A4A3F"/>
    <w:rsid w:val="009A4A5D"/>
    <w:rsid w:val="009A4A84"/>
    <w:rsid w:val="009A4B08"/>
    <w:rsid w:val="009A4B2B"/>
    <w:rsid w:val="009A4B62"/>
    <w:rsid w:val="009A4C68"/>
    <w:rsid w:val="009A4C83"/>
    <w:rsid w:val="009A4C98"/>
    <w:rsid w:val="009A4D3F"/>
    <w:rsid w:val="009A4DA3"/>
    <w:rsid w:val="009A4E20"/>
    <w:rsid w:val="009A4E6B"/>
    <w:rsid w:val="009A4EFE"/>
    <w:rsid w:val="009A4F10"/>
    <w:rsid w:val="009A4F66"/>
    <w:rsid w:val="009A4F75"/>
    <w:rsid w:val="009A4FDF"/>
    <w:rsid w:val="009A5008"/>
    <w:rsid w:val="009A5048"/>
    <w:rsid w:val="009A50A5"/>
    <w:rsid w:val="009A50A7"/>
    <w:rsid w:val="009A5102"/>
    <w:rsid w:val="009A5132"/>
    <w:rsid w:val="009A5188"/>
    <w:rsid w:val="009A5194"/>
    <w:rsid w:val="009A51BC"/>
    <w:rsid w:val="009A51C1"/>
    <w:rsid w:val="009A521E"/>
    <w:rsid w:val="009A5266"/>
    <w:rsid w:val="009A52BA"/>
    <w:rsid w:val="009A52F3"/>
    <w:rsid w:val="009A52FB"/>
    <w:rsid w:val="009A5315"/>
    <w:rsid w:val="009A5320"/>
    <w:rsid w:val="009A5330"/>
    <w:rsid w:val="009A5395"/>
    <w:rsid w:val="009A53A4"/>
    <w:rsid w:val="009A53B6"/>
    <w:rsid w:val="009A53B7"/>
    <w:rsid w:val="009A53C0"/>
    <w:rsid w:val="009A53FD"/>
    <w:rsid w:val="009A54D0"/>
    <w:rsid w:val="009A5512"/>
    <w:rsid w:val="009A5548"/>
    <w:rsid w:val="009A558C"/>
    <w:rsid w:val="009A562A"/>
    <w:rsid w:val="009A565A"/>
    <w:rsid w:val="009A566A"/>
    <w:rsid w:val="009A5672"/>
    <w:rsid w:val="009A5676"/>
    <w:rsid w:val="009A5685"/>
    <w:rsid w:val="009A56B7"/>
    <w:rsid w:val="009A56BD"/>
    <w:rsid w:val="009A56C2"/>
    <w:rsid w:val="009A56F0"/>
    <w:rsid w:val="009A5709"/>
    <w:rsid w:val="009A572A"/>
    <w:rsid w:val="009A573C"/>
    <w:rsid w:val="009A5843"/>
    <w:rsid w:val="009A5886"/>
    <w:rsid w:val="009A58B4"/>
    <w:rsid w:val="009A58D6"/>
    <w:rsid w:val="009A58E3"/>
    <w:rsid w:val="009A5921"/>
    <w:rsid w:val="009A5937"/>
    <w:rsid w:val="009A5951"/>
    <w:rsid w:val="009A5961"/>
    <w:rsid w:val="009A59CE"/>
    <w:rsid w:val="009A5A19"/>
    <w:rsid w:val="009A5A42"/>
    <w:rsid w:val="009A5A62"/>
    <w:rsid w:val="009A5A7B"/>
    <w:rsid w:val="009A5A87"/>
    <w:rsid w:val="009A5A8B"/>
    <w:rsid w:val="009A5AA9"/>
    <w:rsid w:val="009A5B47"/>
    <w:rsid w:val="009A5B9A"/>
    <w:rsid w:val="009A5B9F"/>
    <w:rsid w:val="009A5BAA"/>
    <w:rsid w:val="009A5BEF"/>
    <w:rsid w:val="009A5C00"/>
    <w:rsid w:val="009A5C18"/>
    <w:rsid w:val="009A5C23"/>
    <w:rsid w:val="009A5C3F"/>
    <w:rsid w:val="009A5C64"/>
    <w:rsid w:val="009A5C88"/>
    <w:rsid w:val="009A5C91"/>
    <w:rsid w:val="009A5CF8"/>
    <w:rsid w:val="009A5D39"/>
    <w:rsid w:val="009A5D63"/>
    <w:rsid w:val="009A5DA7"/>
    <w:rsid w:val="009A5E07"/>
    <w:rsid w:val="009A5EDC"/>
    <w:rsid w:val="009A5EEF"/>
    <w:rsid w:val="009A5F02"/>
    <w:rsid w:val="009A5F7D"/>
    <w:rsid w:val="009A5FC9"/>
    <w:rsid w:val="009A5FD2"/>
    <w:rsid w:val="009A5FF5"/>
    <w:rsid w:val="009A5FF6"/>
    <w:rsid w:val="009A601D"/>
    <w:rsid w:val="009A6062"/>
    <w:rsid w:val="009A609B"/>
    <w:rsid w:val="009A60A1"/>
    <w:rsid w:val="009A60D0"/>
    <w:rsid w:val="009A6114"/>
    <w:rsid w:val="009A615E"/>
    <w:rsid w:val="009A618D"/>
    <w:rsid w:val="009A6223"/>
    <w:rsid w:val="009A630C"/>
    <w:rsid w:val="009A6389"/>
    <w:rsid w:val="009A639E"/>
    <w:rsid w:val="009A63D9"/>
    <w:rsid w:val="009A6432"/>
    <w:rsid w:val="009A6485"/>
    <w:rsid w:val="009A64A8"/>
    <w:rsid w:val="009A64C2"/>
    <w:rsid w:val="009A64D4"/>
    <w:rsid w:val="009A650C"/>
    <w:rsid w:val="009A6539"/>
    <w:rsid w:val="009A6583"/>
    <w:rsid w:val="009A658F"/>
    <w:rsid w:val="009A662E"/>
    <w:rsid w:val="009A6639"/>
    <w:rsid w:val="009A668E"/>
    <w:rsid w:val="009A67AA"/>
    <w:rsid w:val="009A6859"/>
    <w:rsid w:val="009A68A0"/>
    <w:rsid w:val="009A68CA"/>
    <w:rsid w:val="009A68DD"/>
    <w:rsid w:val="009A6974"/>
    <w:rsid w:val="009A6997"/>
    <w:rsid w:val="009A6A1D"/>
    <w:rsid w:val="009A6A58"/>
    <w:rsid w:val="009A6AB3"/>
    <w:rsid w:val="009A6ABC"/>
    <w:rsid w:val="009A6B5B"/>
    <w:rsid w:val="009A6C4B"/>
    <w:rsid w:val="009A6C7B"/>
    <w:rsid w:val="009A6C98"/>
    <w:rsid w:val="009A6CA8"/>
    <w:rsid w:val="009A6CCA"/>
    <w:rsid w:val="009A6DAD"/>
    <w:rsid w:val="009A6DB3"/>
    <w:rsid w:val="009A6DCB"/>
    <w:rsid w:val="009A6DD5"/>
    <w:rsid w:val="009A6E10"/>
    <w:rsid w:val="009A6E47"/>
    <w:rsid w:val="009A6E55"/>
    <w:rsid w:val="009A6ED0"/>
    <w:rsid w:val="009A6F20"/>
    <w:rsid w:val="009A6F41"/>
    <w:rsid w:val="009A6F47"/>
    <w:rsid w:val="009A6F4E"/>
    <w:rsid w:val="009A6F78"/>
    <w:rsid w:val="009A6F97"/>
    <w:rsid w:val="009A7048"/>
    <w:rsid w:val="009A70AE"/>
    <w:rsid w:val="009A70D2"/>
    <w:rsid w:val="009A70F3"/>
    <w:rsid w:val="009A711F"/>
    <w:rsid w:val="009A7137"/>
    <w:rsid w:val="009A713D"/>
    <w:rsid w:val="009A716E"/>
    <w:rsid w:val="009A7180"/>
    <w:rsid w:val="009A7196"/>
    <w:rsid w:val="009A71AA"/>
    <w:rsid w:val="009A71B7"/>
    <w:rsid w:val="009A71F5"/>
    <w:rsid w:val="009A7217"/>
    <w:rsid w:val="009A726C"/>
    <w:rsid w:val="009A727D"/>
    <w:rsid w:val="009A72FA"/>
    <w:rsid w:val="009A7311"/>
    <w:rsid w:val="009A7334"/>
    <w:rsid w:val="009A736D"/>
    <w:rsid w:val="009A7379"/>
    <w:rsid w:val="009A7412"/>
    <w:rsid w:val="009A757F"/>
    <w:rsid w:val="009A75A8"/>
    <w:rsid w:val="009A75BE"/>
    <w:rsid w:val="009A7628"/>
    <w:rsid w:val="009A7721"/>
    <w:rsid w:val="009A7760"/>
    <w:rsid w:val="009A7763"/>
    <w:rsid w:val="009A776B"/>
    <w:rsid w:val="009A7787"/>
    <w:rsid w:val="009A77BF"/>
    <w:rsid w:val="009A77D7"/>
    <w:rsid w:val="009A7810"/>
    <w:rsid w:val="009A7867"/>
    <w:rsid w:val="009A7885"/>
    <w:rsid w:val="009A7887"/>
    <w:rsid w:val="009A78AC"/>
    <w:rsid w:val="009A78F4"/>
    <w:rsid w:val="009A7954"/>
    <w:rsid w:val="009A7970"/>
    <w:rsid w:val="009A79DC"/>
    <w:rsid w:val="009A7A8F"/>
    <w:rsid w:val="009A7A93"/>
    <w:rsid w:val="009A7AB0"/>
    <w:rsid w:val="009A7AC2"/>
    <w:rsid w:val="009A7AC8"/>
    <w:rsid w:val="009A7ACA"/>
    <w:rsid w:val="009A7ADB"/>
    <w:rsid w:val="009A7B11"/>
    <w:rsid w:val="009A7B1D"/>
    <w:rsid w:val="009A7B38"/>
    <w:rsid w:val="009A7B74"/>
    <w:rsid w:val="009A7BA5"/>
    <w:rsid w:val="009A7BDF"/>
    <w:rsid w:val="009A7C1B"/>
    <w:rsid w:val="009A7C97"/>
    <w:rsid w:val="009A7CD0"/>
    <w:rsid w:val="009A7CDE"/>
    <w:rsid w:val="009A7D68"/>
    <w:rsid w:val="009A7D99"/>
    <w:rsid w:val="009A7DC1"/>
    <w:rsid w:val="009A7E09"/>
    <w:rsid w:val="009A7E6B"/>
    <w:rsid w:val="009A7E7E"/>
    <w:rsid w:val="009A7E8A"/>
    <w:rsid w:val="009A7EBC"/>
    <w:rsid w:val="009A7ECD"/>
    <w:rsid w:val="009A7EF8"/>
    <w:rsid w:val="009A7EF9"/>
    <w:rsid w:val="009A7F38"/>
    <w:rsid w:val="009A7F4E"/>
    <w:rsid w:val="009A7F5E"/>
    <w:rsid w:val="009A7F82"/>
    <w:rsid w:val="009A7FAF"/>
    <w:rsid w:val="009A7FB9"/>
    <w:rsid w:val="009A7FE8"/>
    <w:rsid w:val="009B000E"/>
    <w:rsid w:val="009B0011"/>
    <w:rsid w:val="009B0018"/>
    <w:rsid w:val="009B002C"/>
    <w:rsid w:val="009B0037"/>
    <w:rsid w:val="009B006F"/>
    <w:rsid w:val="009B0070"/>
    <w:rsid w:val="009B009B"/>
    <w:rsid w:val="009B00E0"/>
    <w:rsid w:val="009B01D5"/>
    <w:rsid w:val="009B021F"/>
    <w:rsid w:val="009B022F"/>
    <w:rsid w:val="009B0237"/>
    <w:rsid w:val="009B02A7"/>
    <w:rsid w:val="009B02DD"/>
    <w:rsid w:val="009B02E6"/>
    <w:rsid w:val="009B0340"/>
    <w:rsid w:val="009B0391"/>
    <w:rsid w:val="009B0396"/>
    <w:rsid w:val="009B039A"/>
    <w:rsid w:val="009B04AA"/>
    <w:rsid w:val="009B0523"/>
    <w:rsid w:val="009B0525"/>
    <w:rsid w:val="009B0588"/>
    <w:rsid w:val="009B05DE"/>
    <w:rsid w:val="009B0608"/>
    <w:rsid w:val="009B060E"/>
    <w:rsid w:val="009B061B"/>
    <w:rsid w:val="009B066C"/>
    <w:rsid w:val="009B06C9"/>
    <w:rsid w:val="009B0701"/>
    <w:rsid w:val="009B0755"/>
    <w:rsid w:val="009B07CF"/>
    <w:rsid w:val="009B07DC"/>
    <w:rsid w:val="009B0839"/>
    <w:rsid w:val="009B0847"/>
    <w:rsid w:val="009B088F"/>
    <w:rsid w:val="009B08B4"/>
    <w:rsid w:val="009B093B"/>
    <w:rsid w:val="009B0951"/>
    <w:rsid w:val="009B0962"/>
    <w:rsid w:val="009B09B5"/>
    <w:rsid w:val="009B0A28"/>
    <w:rsid w:val="009B0A8E"/>
    <w:rsid w:val="009B0A98"/>
    <w:rsid w:val="009B0B67"/>
    <w:rsid w:val="009B0BBD"/>
    <w:rsid w:val="009B0BC7"/>
    <w:rsid w:val="009B0C2D"/>
    <w:rsid w:val="009B0C5A"/>
    <w:rsid w:val="009B0C5F"/>
    <w:rsid w:val="009B0CE8"/>
    <w:rsid w:val="009B0CF9"/>
    <w:rsid w:val="009B0D2F"/>
    <w:rsid w:val="009B0D6E"/>
    <w:rsid w:val="009B0D9F"/>
    <w:rsid w:val="009B0E37"/>
    <w:rsid w:val="009B0EC2"/>
    <w:rsid w:val="009B0F30"/>
    <w:rsid w:val="009B0F69"/>
    <w:rsid w:val="009B0F76"/>
    <w:rsid w:val="009B0F84"/>
    <w:rsid w:val="009B0FD7"/>
    <w:rsid w:val="009B1003"/>
    <w:rsid w:val="009B106D"/>
    <w:rsid w:val="009B10EB"/>
    <w:rsid w:val="009B1105"/>
    <w:rsid w:val="009B1116"/>
    <w:rsid w:val="009B1119"/>
    <w:rsid w:val="009B1138"/>
    <w:rsid w:val="009B1225"/>
    <w:rsid w:val="009B1250"/>
    <w:rsid w:val="009B12FE"/>
    <w:rsid w:val="009B1315"/>
    <w:rsid w:val="009B1375"/>
    <w:rsid w:val="009B13C5"/>
    <w:rsid w:val="009B142F"/>
    <w:rsid w:val="009B1473"/>
    <w:rsid w:val="009B147B"/>
    <w:rsid w:val="009B14B0"/>
    <w:rsid w:val="009B150E"/>
    <w:rsid w:val="009B1534"/>
    <w:rsid w:val="009B153D"/>
    <w:rsid w:val="009B1542"/>
    <w:rsid w:val="009B1561"/>
    <w:rsid w:val="009B1599"/>
    <w:rsid w:val="009B15A0"/>
    <w:rsid w:val="009B160C"/>
    <w:rsid w:val="009B164E"/>
    <w:rsid w:val="009B1698"/>
    <w:rsid w:val="009B16F2"/>
    <w:rsid w:val="009B1753"/>
    <w:rsid w:val="009B17BF"/>
    <w:rsid w:val="009B17F4"/>
    <w:rsid w:val="009B1830"/>
    <w:rsid w:val="009B183D"/>
    <w:rsid w:val="009B183E"/>
    <w:rsid w:val="009B188B"/>
    <w:rsid w:val="009B188D"/>
    <w:rsid w:val="009B1897"/>
    <w:rsid w:val="009B18A7"/>
    <w:rsid w:val="009B18EF"/>
    <w:rsid w:val="009B1907"/>
    <w:rsid w:val="009B19A7"/>
    <w:rsid w:val="009B19B1"/>
    <w:rsid w:val="009B19C7"/>
    <w:rsid w:val="009B1A8E"/>
    <w:rsid w:val="009B1AAA"/>
    <w:rsid w:val="009B1B13"/>
    <w:rsid w:val="009B1B2E"/>
    <w:rsid w:val="009B1B66"/>
    <w:rsid w:val="009B1C30"/>
    <w:rsid w:val="009B1C8C"/>
    <w:rsid w:val="009B1C93"/>
    <w:rsid w:val="009B1C9A"/>
    <w:rsid w:val="009B1D57"/>
    <w:rsid w:val="009B1EEA"/>
    <w:rsid w:val="009B1F1A"/>
    <w:rsid w:val="009B1F35"/>
    <w:rsid w:val="009B1F6A"/>
    <w:rsid w:val="009B1F95"/>
    <w:rsid w:val="009B2016"/>
    <w:rsid w:val="009B2025"/>
    <w:rsid w:val="009B2094"/>
    <w:rsid w:val="009B20B1"/>
    <w:rsid w:val="009B20BA"/>
    <w:rsid w:val="009B20CB"/>
    <w:rsid w:val="009B20EE"/>
    <w:rsid w:val="009B214B"/>
    <w:rsid w:val="009B2183"/>
    <w:rsid w:val="009B2197"/>
    <w:rsid w:val="009B21C1"/>
    <w:rsid w:val="009B21DE"/>
    <w:rsid w:val="009B2204"/>
    <w:rsid w:val="009B2247"/>
    <w:rsid w:val="009B2249"/>
    <w:rsid w:val="009B2255"/>
    <w:rsid w:val="009B2287"/>
    <w:rsid w:val="009B22A0"/>
    <w:rsid w:val="009B22BB"/>
    <w:rsid w:val="009B22D0"/>
    <w:rsid w:val="009B2379"/>
    <w:rsid w:val="009B237C"/>
    <w:rsid w:val="009B23D0"/>
    <w:rsid w:val="009B23E5"/>
    <w:rsid w:val="009B241D"/>
    <w:rsid w:val="009B24DA"/>
    <w:rsid w:val="009B24F2"/>
    <w:rsid w:val="009B2535"/>
    <w:rsid w:val="009B2588"/>
    <w:rsid w:val="009B259F"/>
    <w:rsid w:val="009B25A6"/>
    <w:rsid w:val="009B25DF"/>
    <w:rsid w:val="009B2606"/>
    <w:rsid w:val="009B2632"/>
    <w:rsid w:val="009B2678"/>
    <w:rsid w:val="009B26B4"/>
    <w:rsid w:val="009B26D1"/>
    <w:rsid w:val="009B26D2"/>
    <w:rsid w:val="009B26D7"/>
    <w:rsid w:val="009B2712"/>
    <w:rsid w:val="009B278A"/>
    <w:rsid w:val="009B27AA"/>
    <w:rsid w:val="009B27E6"/>
    <w:rsid w:val="009B2839"/>
    <w:rsid w:val="009B28FA"/>
    <w:rsid w:val="009B2908"/>
    <w:rsid w:val="009B293E"/>
    <w:rsid w:val="009B2974"/>
    <w:rsid w:val="009B297D"/>
    <w:rsid w:val="009B29ED"/>
    <w:rsid w:val="009B2A0B"/>
    <w:rsid w:val="009B2A8E"/>
    <w:rsid w:val="009B2B34"/>
    <w:rsid w:val="009B2B3C"/>
    <w:rsid w:val="009B2B67"/>
    <w:rsid w:val="009B2C1B"/>
    <w:rsid w:val="009B2C69"/>
    <w:rsid w:val="009B2C92"/>
    <w:rsid w:val="009B2CB9"/>
    <w:rsid w:val="009B2CCA"/>
    <w:rsid w:val="009B2CD8"/>
    <w:rsid w:val="009B2D6C"/>
    <w:rsid w:val="009B2EC7"/>
    <w:rsid w:val="009B2F3A"/>
    <w:rsid w:val="009B3013"/>
    <w:rsid w:val="009B3027"/>
    <w:rsid w:val="009B3036"/>
    <w:rsid w:val="009B3067"/>
    <w:rsid w:val="009B309F"/>
    <w:rsid w:val="009B30B9"/>
    <w:rsid w:val="009B30D5"/>
    <w:rsid w:val="009B310F"/>
    <w:rsid w:val="009B3208"/>
    <w:rsid w:val="009B322B"/>
    <w:rsid w:val="009B3237"/>
    <w:rsid w:val="009B3240"/>
    <w:rsid w:val="009B32A1"/>
    <w:rsid w:val="009B32B1"/>
    <w:rsid w:val="009B32DC"/>
    <w:rsid w:val="009B32E5"/>
    <w:rsid w:val="009B333C"/>
    <w:rsid w:val="009B338E"/>
    <w:rsid w:val="009B33A9"/>
    <w:rsid w:val="009B33C5"/>
    <w:rsid w:val="009B3445"/>
    <w:rsid w:val="009B34B6"/>
    <w:rsid w:val="009B3556"/>
    <w:rsid w:val="009B355D"/>
    <w:rsid w:val="009B3563"/>
    <w:rsid w:val="009B3608"/>
    <w:rsid w:val="009B363B"/>
    <w:rsid w:val="009B3662"/>
    <w:rsid w:val="009B3663"/>
    <w:rsid w:val="009B3699"/>
    <w:rsid w:val="009B3714"/>
    <w:rsid w:val="009B3715"/>
    <w:rsid w:val="009B371A"/>
    <w:rsid w:val="009B3728"/>
    <w:rsid w:val="009B381E"/>
    <w:rsid w:val="009B3825"/>
    <w:rsid w:val="009B3864"/>
    <w:rsid w:val="009B38BF"/>
    <w:rsid w:val="009B38E1"/>
    <w:rsid w:val="009B38F8"/>
    <w:rsid w:val="009B3924"/>
    <w:rsid w:val="009B395C"/>
    <w:rsid w:val="009B3961"/>
    <w:rsid w:val="009B39A1"/>
    <w:rsid w:val="009B39B9"/>
    <w:rsid w:val="009B39F4"/>
    <w:rsid w:val="009B3A08"/>
    <w:rsid w:val="009B3AE7"/>
    <w:rsid w:val="009B3AFF"/>
    <w:rsid w:val="009B3B2A"/>
    <w:rsid w:val="009B3B56"/>
    <w:rsid w:val="009B3B8A"/>
    <w:rsid w:val="009B3BCF"/>
    <w:rsid w:val="009B3BF2"/>
    <w:rsid w:val="009B3BF8"/>
    <w:rsid w:val="009B3C00"/>
    <w:rsid w:val="009B3C15"/>
    <w:rsid w:val="009B3C65"/>
    <w:rsid w:val="009B3CC3"/>
    <w:rsid w:val="009B3CD9"/>
    <w:rsid w:val="009B3D44"/>
    <w:rsid w:val="009B3D5F"/>
    <w:rsid w:val="009B3D70"/>
    <w:rsid w:val="009B3DE6"/>
    <w:rsid w:val="009B3E44"/>
    <w:rsid w:val="009B3E46"/>
    <w:rsid w:val="009B3E4F"/>
    <w:rsid w:val="009B3E5C"/>
    <w:rsid w:val="009B3E5E"/>
    <w:rsid w:val="009B3E87"/>
    <w:rsid w:val="009B3F1B"/>
    <w:rsid w:val="009B3F20"/>
    <w:rsid w:val="009B3F27"/>
    <w:rsid w:val="009B3FD4"/>
    <w:rsid w:val="009B3FEA"/>
    <w:rsid w:val="009B4022"/>
    <w:rsid w:val="009B405D"/>
    <w:rsid w:val="009B4068"/>
    <w:rsid w:val="009B4081"/>
    <w:rsid w:val="009B40AE"/>
    <w:rsid w:val="009B40C6"/>
    <w:rsid w:val="009B40E1"/>
    <w:rsid w:val="009B4170"/>
    <w:rsid w:val="009B41F3"/>
    <w:rsid w:val="009B4268"/>
    <w:rsid w:val="009B42C4"/>
    <w:rsid w:val="009B42D2"/>
    <w:rsid w:val="009B42DC"/>
    <w:rsid w:val="009B4319"/>
    <w:rsid w:val="009B4362"/>
    <w:rsid w:val="009B43AD"/>
    <w:rsid w:val="009B43D6"/>
    <w:rsid w:val="009B442A"/>
    <w:rsid w:val="009B4435"/>
    <w:rsid w:val="009B448E"/>
    <w:rsid w:val="009B4498"/>
    <w:rsid w:val="009B44AF"/>
    <w:rsid w:val="009B451F"/>
    <w:rsid w:val="009B4570"/>
    <w:rsid w:val="009B458B"/>
    <w:rsid w:val="009B45AA"/>
    <w:rsid w:val="009B4687"/>
    <w:rsid w:val="009B4710"/>
    <w:rsid w:val="009B4786"/>
    <w:rsid w:val="009B47C2"/>
    <w:rsid w:val="009B47CB"/>
    <w:rsid w:val="009B47E4"/>
    <w:rsid w:val="009B4835"/>
    <w:rsid w:val="009B48DB"/>
    <w:rsid w:val="009B48DC"/>
    <w:rsid w:val="009B48DE"/>
    <w:rsid w:val="009B48E0"/>
    <w:rsid w:val="009B490D"/>
    <w:rsid w:val="009B4915"/>
    <w:rsid w:val="009B4919"/>
    <w:rsid w:val="009B49BC"/>
    <w:rsid w:val="009B4A1B"/>
    <w:rsid w:val="009B4A2A"/>
    <w:rsid w:val="009B4A2F"/>
    <w:rsid w:val="009B4A52"/>
    <w:rsid w:val="009B4A53"/>
    <w:rsid w:val="009B4A71"/>
    <w:rsid w:val="009B4A8E"/>
    <w:rsid w:val="009B4AAB"/>
    <w:rsid w:val="009B4B0F"/>
    <w:rsid w:val="009B4B1C"/>
    <w:rsid w:val="009B4B24"/>
    <w:rsid w:val="009B4B92"/>
    <w:rsid w:val="009B4C18"/>
    <w:rsid w:val="009B4C5E"/>
    <w:rsid w:val="009B4C9D"/>
    <w:rsid w:val="009B4D34"/>
    <w:rsid w:val="009B4D46"/>
    <w:rsid w:val="009B4D71"/>
    <w:rsid w:val="009B4D73"/>
    <w:rsid w:val="009B4DAA"/>
    <w:rsid w:val="009B4DB1"/>
    <w:rsid w:val="009B4E68"/>
    <w:rsid w:val="009B4E72"/>
    <w:rsid w:val="009B4EB4"/>
    <w:rsid w:val="009B4F2E"/>
    <w:rsid w:val="009B4F38"/>
    <w:rsid w:val="009B4F58"/>
    <w:rsid w:val="009B4FC1"/>
    <w:rsid w:val="009B4FCB"/>
    <w:rsid w:val="009B4FE5"/>
    <w:rsid w:val="009B506F"/>
    <w:rsid w:val="009B5079"/>
    <w:rsid w:val="009B50A9"/>
    <w:rsid w:val="009B50CB"/>
    <w:rsid w:val="009B50F9"/>
    <w:rsid w:val="009B5133"/>
    <w:rsid w:val="009B513D"/>
    <w:rsid w:val="009B516F"/>
    <w:rsid w:val="009B51A4"/>
    <w:rsid w:val="009B51AE"/>
    <w:rsid w:val="009B51CC"/>
    <w:rsid w:val="009B51D3"/>
    <w:rsid w:val="009B51F2"/>
    <w:rsid w:val="009B5272"/>
    <w:rsid w:val="009B5273"/>
    <w:rsid w:val="009B529D"/>
    <w:rsid w:val="009B52EA"/>
    <w:rsid w:val="009B5322"/>
    <w:rsid w:val="009B5379"/>
    <w:rsid w:val="009B53A2"/>
    <w:rsid w:val="009B53C6"/>
    <w:rsid w:val="009B53E4"/>
    <w:rsid w:val="009B5402"/>
    <w:rsid w:val="009B5434"/>
    <w:rsid w:val="009B546E"/>
    <w:rsid w:val="009B549D"/>
    <w:rsid w:val="009B54C3"/>
    <w:rsid w:val="009B54F6"/>
    <w:rsid w:val="009B5514"/>
    <w:rsid w:val="009B5526"/>
    <w:rsid w:val="009B5562"/>
    <w:rsid w:val="009B556F"/>
    <w:rsid w:val="009B5586"/>
    <w:rsid w:val="009B55CE"/>
    <w:rsid w:val="009B55FF"/>
    <w:rsid w:val="009B5630"/>
    <w:rsid w:val="009B565F"/>
    <w:rsid w:val="009B5671"/>
    <w:rsid w:val="009B5674"/>
    <w:rsid w:val="009B56B3"/>
    <w:rsid w:val="009B56EA"/>
    <w:rsid w:val="009B5707"/>
    <w:rsid w:val="009B5708"/>
    <w:rsid w:val="009B5744"/>
    <w:rsid w:val="009B575E"/>
    <w:rsid w:val="009B5761"/>
    <w:rsid w:val="009B576D"/>
    <w:rsid w:val="009B57E2"/>
    <w:rsid w:val="009B57FD"/>
    <w:rsid w:val="009B581D"/>
    <w:rsid w:val="009B583A"/>
    <w:rsid w:val="009B5840"/>
    <w:rsid w:val="009B585A"/>
    <w:rsid w:val="009B5883"/>
    <w:rsid w:val="009B5890"/>
    <w:rsid w:val="009B58A1"/>
    <w:rsid w:val="009B58A3"/>
    <w:rsid w:val="009B58F3"/>
    <w:rsid w:val="009B5905"/>
    <w:rsid w:val="009B5909"/>
    <w:rsid w:val="009B597A"/>
    <w:rsid w:val="009B599A"/>
    <w:rsid w:val="009B5A65"/>
    <w:rsid w:val="009B5A7D"/>
    <w:rsid w:val="009B5AA8"/>
    <w:rsid w:val="009B5AA9"/>
    <w:rsid w:val="009B5ACF"/>
    <w:rsid w:val="009B5B26"/>
    <w:rsid w:val="009B5B56"/>
    <w:rsid w:val="009B5BB5"/>
    <w:rsid w:val="009B5BE2"/>
    <w:rsid w:val="009B5C34"/>
    <w:rsid w:val="009B5C87"/>
    <w:rsid w:val="009B5CA7"/>
    <w:rsid w:val="009B5CEB"/>
    <w:rsid w:val="009B5D76"/>
    <w:rsid w:val="009B5DA1"/>
    <w:rsid w:val="009B5DB9"/>
    <w:rsid w:val="009B5DD1"/>
    <w:rsid w:val="009B5E03"/>
    <w:rsid w:val="009B5E16"/>
    <w:rsid w:val="009B5E23"/>
    <w:rsid w:val="009B5E2D"/>
    <w:rsid w:val="009B5EC0"/>
    <w:rsid w:val="009B5ED6"/>
    <w:rsid w:val="009B5EFC"/>
    <w:rsid w:val="009B5F84"/>
    <w:rsid w:val="009B5F9C"/>
    <w:rsid w:val="009B5F9E"/>
    <w:rsid w:val="009B5FA5"/>
    <w:rsid w:val="009B5FFB"/>
    <w:rsid w:val="009B6070"/>
    <w:rsid w:val="009B6076"/>
    <w:rsid w:val="009B6099"/>
    <w:rsid w:val="009B60BB"/>
    <w:rsid w:val="009B60F4"/>
    <w:rsid w:val="009B6112"/>
    <w:rsid w:val="009B6117"/>
    <w:rsid w:val="009B6127"/>
    <w:rsid w:val="009B620D"/>
    <w:rsid w:val="009B6276"/>
    <w:rsid w:val="009B62C4"/>
    <w:rsid w:val="009B62CE"/>
    <w:rsid w:val="009B636E"/>
    <w:rsid w:val="009B6414"/>
    <w:rsid w:val="009B648E"/>
    <w:rsid w:val="009B64E5"/>
    <w:rsid w:val="009B6507"/>
    <w:rsid w:val="009B6552"/>
    <w:rsid w:val="009B65DB"/>
    <w:rsid w:val="009B65DD"/>
    <w:rsid w:val="009B65F2"/>
    <w:rsid w:val="009B6609"/>
    <w:rsid w:val="009B6616"/>
    <w:rsid w:val="009B666B"/>
    <w:rsid w:val="009B6674"/>
    <w:rsid w:val="009B66A1"/>
    <w:rsid w:val="009B6790"/>
    <w:rsid w:val="009B67CD"/>
    <w:rsid w:val="009B67E0"/>
    <w:rsid w:val="009B6812"/>
    <w:rsid w:val="009B6834"/>
    <w:rsid w:val="009B6854"/>
    <w:rsid w:val="009B68AF"/>
    <w:rsid w:val="009B68BE"/>
    <w:rsid w:val="009B68D2"/>
    <w:rsid w:val="009B6943"/>
    <w:rsid w:val="009B698D"/>
    <w:rsid w:val="009B6991"/>
    <w:rsid w:val="009B69A4"/>
    <w:rsid w:val="009B69C6"/>
    <w:rsid w:val="009B69E1"/>
    <w:rsid w:val="009B6AEA"/>
    <w:rsid w:val="009B6B34"/>
    <w:rsid w:val="009B6B54"/>
    <w:rsid w:val="009B6B78"/>
    <w:rsid w:val="009B6B7B"/>
    <w:rsid w:val="009B6B88"/>
    <w:rsid w:val="009B6BC4"/>
    <w:rsid w:val="009B6C93"/>
    <w:rsid w:val="009B6CF8"/>
    <w:rsid w:val="009B6D1B"/>
    <w:rsid w:val="009B6D1F"/>
    <w:rsid w:val="009B6D76"/>
    <w:rsid w:val="009B6D87"/>
    <w:rsid w:val="009B6DD8"/>
    <w:rsid w:val="009B6DDF"/>
    <w:rsid w:val="009B6DFB"/>
    <w:rsid w:val="009B6E33"/>
    <w:rsid w:val="009B6E64"/>
    <w:rsid w:val="009B6EAE"/>
    <w:rsid w:val="009B6EB6"/>
    <w:rsid w:val="009B6ED8"/>
    <w:rsid w:val="009B6ED9"/>
    <w:rsid w:val="009B6F6C"/>
    <w:rsid w:val="009B6F97"/>
    <w:rsid w:val="009B6FB1"/>
    <w:rsid w:val="009B6FB7"/>
    <w:rsid w:val="009B6FDE"/>
    <w:rsid w:val="009B6FF8"/>
    <w:rsid w:val="009B7054"/>
    <w:rsid w:val="009B708B"/>
    <w:rsid w:val="009B7156"/>
    <w:rsid w:val="009B7174"/>
    <w:rsid w:val="009B71D1"/>
    <w:rsid w:val="009B7288"/>
    <w:rsid w:val="009B72CD"/>
    <w:rsid w:val="009B730E"/>
    <w:rsid w:val="009B7326"/>
    <w:rsid w:val="009B7332"/>
    <w:rsid w:val="009B7335"/>
    <w:rsid w:val="009B7343"/>
    <w:rsid w:val="009B738F"/>
    <w:rsid w:val="009B7396"/>
    <w:rsid w:val="009B73AA"/>
    <w:rsid w:val="009B73C6"/>
    <w:rsid w:val="009B73EA"/>
    <w:rsid w:val="009B73F9"/>
    <w:rsid w:val="009B7435"/>
    <w:rsid w:val="009B7465"/>
    <w:rsid w:val="009B7519"/>
    <w:rsid w:val="009B751B"/>
    <w:rsid w:val="009B751C"/>
    <w:rsid w:val="009B757E"/>
    <w:rsid w:val="009B7591"/>
    <w:rsid w:val="009B75D7"/>
    <w:rsid w:val="009B7612"/>
    <w:rsid w:val="009B7624"/>
    <w:rsid w:val="009B763B"/>
    <w:rsid w:val="009B7645"/>
    <w:rsid w:val="009B767D"/>
    <w:rsid w:val="009B7754"/>
    <w:rsid w:val="009B7763"/>
    <w:rsid w:val="009B77A1"/>
    <w:rsid w:val="009B77AD"/>
    <w:rsid w:val="009B77EC"/>
    <w:rsid w:val="009B77F6"/>
    <w:rsid w:val="009B78BF"/>
    <w:rsid w:val="009B78C3"/>
    <w:rsid w:val="009B790C"/>
    <w:rsid w:val="009B791C"/>
    <w:rsid w:val="009B7938"/>
    <w:rsid w:val="009B7958"/>
    <w:rsid w:val="009B7994"/>
    <w:rsid w:val="009B79BA"/>
    <w:rsid w:val="009B79D4"/>
    <w:rsid w:val="009B79DF"/>
    <w:rsid w:val="009B7A26"/>
    <w:rsid w:val="009B7A34"/>
    <w:rsid w:val="009B7A81"/>
    <w:rsid w:val="009B7AAE"/>
    <w:rsid w:val="009B7B7E"/>
    <w:rsid w:val="009B7B93"/>
    <w:rsid w:val="009B7BC6"/>
    <w:rsid w:val="009B7C11"/>
    <w:rsid w:val="009B7C72"/>
    <w:rsid w:val="009B7C87"/>
    <w:rsid w:val="009B7C9C"/>
    <w:rsid w:val="009B7D59"/>
    <w:rsid w:val="009B7D65"/>
    <w:rsid w:val="009B7D6C"/>
    <w:rsid w:val="009B7DC7"/>
    <w:rsid w:val="009B7DC9"/>
    <w:rsid w:val="009B7DEC"/>
    <w:rsid w:val="009B7DF1"/>
    <w:rsid w:val="009B7E81"/>
    <w:rsid w:val="009B7EA0"/>
    <w:rsid w:val="009B7F83"/>
    <w:rsid w:val="009B7FC3"/>
    <w:rsid w:val="009C000D"/>
    <w:rsid w:val="009C0036"/>
    <w:rsid w:val="009C00EA"/>
    <w:rsid w:val="009C00F5"/>
    <w:rsid w:val="009C0117"/>
    <w:rsid w:val="009C0141"/>
    <w:rsid w:val="009C0181"/>
    <w:rsid w:val="009C0188"/>
    <w:rsid w:val="009C01B8"/>
    <w:rsid w:val="009C01C1"/>
    <w:rsid w:val="009C024E"/>
    <w:rsid w:val="009C0280"/>
    <w:rsid w:val="009C02D4"/>
    <w:rsid w:val="009C0372"/>
    <w:rsid w:val="009C0375"/>
    <w:rsid w:val="009C041A"/>
    <w:rsid w:val="009C042B"/>
    <w:rsid w:val="009C04AA"/>
    <w:rsid w:val="009C04C2"/>
    <w:rsid w:val="009C04CB"/>
    <w:rsid w:val="009C04DE"/>
    <w:rsid w:val="009C04F5"/>
    <w:rsid w:val="009C0561"/>
    <w:rsid w:val="009C0579"/>
    <w:rsid w:val="009C05FA"/>
    <w:rsid w:val="009C0619"/>
    <w:rsid w:val="009C062E"/>
    <w:rsid w:val="009C0630"/>
    <w:rsid w:val="009C0632"/>
    <w:rsid w:val="009C065E"/>
    <w:rsid w:val="009C0677"/>
    <w:rsid w:val="009C06D9"/>
    <w:rsid w:val="009C06DD"/>
    <w:rsid w:val="009C0710"/>
    <w:rsid w:val="009C0755"/>
    <w:rsid w:val="009C0788"/>
    <w:rsid w:val="009C079E"/>
    <w:rsid w:val="009C07A4"/>
    <w:rsid w:val="009C07C1"/>
    <w:rsid w:val="009C07EE"/>
    <w:rsid w:val="009C0802"/>
    <w:rsid w:val="009C0818"/>
    <w:rsid w:val="009C0820"/>
    <w:rsid w:val="009C084D"/>
    <w:rsid w:val="009C0858"/>
    <w:rsid w:val="009C0889"/>
    <w:rsid w:val="009C0904"/>
    <w:rsid w:val="009C090F"/>
    <w:rsid w:val="009C091B"/>
    <w:rsid w:val="009C095C"/>
    <w:rsid w:val="009C096A"/>
    <w:rsid w:val="009C0A6D"/>
    <w:rsid w:val="009C0A6E"/>
    <w:rsid w:val="009C0A76"/>
    <w:rsid w:val="009C0A87"/>
    <w:rsid w:val="009C0AE9"/>
    <w:rsid w:val="009C0B60"/>
    <w:rsid w:val="009C0BF8"/>
    <w:rsid w:val="009C0C33"/>
    <w:rsid w:val="009C0C44"/>
    <w:rsid w:val="009C0C58"/>
    <w:rsid w:val="009C0C5A"/>
    <w:rsid w:val="009C0C7A"/>
    <w:rsid w:val="009C0C90"/>
    <w:rsid w:val="009C0D54"/>
    <w:rsid w:val="009C0D68"/>
    <w:rsid w:val="009C0D6A"/>
    <w:rsid w:val="009C0D86"/>
    <w:rsid w:val="009C0D8D"/>
    <w:rsid w:val="009C0D99"/>
    <w:rsid w:val="009C0DA7"/>
    <w:rsid w:val="009C0DEF"/>
    <w:rsid w:val="009C0E05"/>
    <w:rsid w:val="009C0E17"/>
    <w:rsid w:val="009C0E23"/>
    <w:rsid w:val="009C0EA5"/>
    <w:rsid w:val="009C0EAD"/>
    <w:rsid w:val="009C0ECE"/>
    <w:rsid w:val="009C0ED0"/>
    <w:rsid w:val="009C0ED6"/>
    <w:rsid w:val="009C0F21"/>
    <w:rsid w:val="009C0F3F"/>
    <w:rsid w:val="009C0F4A"/>
    <w:rsid w:val="009C0F6E"/>
    <w:rsid w:val="009C0FE1"/>
    <w:rsid w:val="009C1009"/>
    <w:rsid w:val="009C104E"/>
    <w:rsid w:val="009C108B"/>
    <w:rsid w:val="009C1099"/>
    <w:rsid w:val="009C10A8"/>
    <w:rsid w:val="009C10B4"/>
    <w:rsid w:val="009C10CF"/>
    <w:rsid w:val="009C1159"/>
    <w:rsid w:val="009C11B3"/>
    <w:rsid w:val="009C11DA"/>
    <w:rsid w:val="009C1226"/>
    <w:rsid w:val="009C1259"/>
    <w:rsid w:val="009C1268"/>
    <w:rsid w:val="009C1284"/>
    <w:rsid w:val="009C12CA"/>
    <w:rsid w:val="009C136A"/>
    <w:rsid w:val="009C1370"/>
    <w:rsid w:val="009C1393"/>
    <w:rsid w:val="009C139E"/>
    <w:rsid w:val="009C1414"/>
    <w:rsid w:val="009C142D"/>
    <w:rsid w:val="009C142F"/>
    <w:rsid w:val="009C14DA"/>
    <w:rsid w:val="009C1505"/>
    <w:rsid w:val="009C1527"/>
    <w:rsid w:val="009C1533"/>
    <w:rsid w:val="009C158F"/>
    <w:rsid w:val="009C15B0"/>
    <w:rsid w:val="009C15BD"/>
    <w:rsid w:val="009C15C8"/>
    <w:rsid w:val="009C162F"/>
    <w:rsid w:val="009C1637"/>
    <w:rsid w:val="009C16A9"/>
    <w:rsid w:val="009C16D9"/>
    <w:rsid w:val="009C16F9"/>
    <w:rsid w:val="009C176E"/>
    <w:rsid w:val="009C1777"/>
    <w:rsid w:val="009C177A"/>
    <w:rsid w:val="009C17C4"/>
    <w:rsid w:val="009C17DF"/>
    <w:rsid w:val="009C182B"/>
    <w:rsid w:val="009C185A"/>
    <w:rsid w:val="009C1872"/>
    <w:rsid w:val="009C18F2"/>
    <w:rsid w:val="009C195F"/>
    <w:rsid w:val="009C197D"/>
    <w:rsid w:val="009C1984"/>
    <w:rsid w:val="009C1A03"/>
    <w:rsid w:val="009C1A0B"/>
    <w:rsid w:val="009C1A0C"/>
    <w:rsid w:val="009C1A8B"/>
    <w:rsid w:val="009C1AC8"/>
    <w:rsid w:val="009C1AD1"/>
    <w:rsid w:val="009C1B03"/>
    <w:rsid w:val="009C1B0A"/>
    <w:rsid w:val="009C1B1F"/>
    <w:rsid w:val="009C1B5E"/>
    <w:rsid w:val="009C1B88"/>
    <w:rsid w:val="009C1BDD"/>
    <w:rsid w:val="009C1BF3"/>
    <w:rsid w:val="009C1C12"/>
    <w:rsid w:val="009C1C2A"/>
    <w:rsid w:val="009C1D2B"/>
    <w:rsid w:val="009C1D31"/>
    <w:rsid w:val="009C1DC0"/>
    <w:rsid w:val="009C1E6D"/>
    <w:rsid w:val="009C1E77"/>
    <w:rsid w:val="009C1E90"/>
    <w:rsid w:val="009C1EF2"/>
    <w:rsid w:val="009C1EFF"/>
    <w:rsid w:val="009C1F20"/>
    <w:rsid w:val="009C1F79"/>
    <w:rsid w:val="009C1F9E"/>
    <w:rsid w:val="009C1F9F"/>
    <w:rsid w:val="009C1FCC"/>
    <w:rsid w:val="009C1FDB"/>
    <w:rsid w:val="009C1FF3"/>
    <w:rsid w:val="009C200D"/>
    <w:rsid w:val="009C203F"/>
    <w:rsid w:val="009C205B"/>
    <w:rsid w:val="009C205F"/>
    <w:rsid w:val="009C2064"/>
    <w:rsid w:val="009C206D"/>
    <w:rsid w:val="009C2074"/>
    <w:rsid w:val="009C2087"/>
    <w:rsid w:val="009C2095"/>
    <w:rsid w:val="009C20D4"/>
    <w:rsid w:val="009C20EE"/>
    <w:rsid w:val="009C20F9"/>
    <w:rsid w:val="009C2111"/>
    <w:rsid w:val="009C2130"/>
    <w:rsid w:val="009C214D"/>
    <w:rsid w:val="009C2173"/>
    <w:rsid w:val="009C21AF"/>
    <w:rsid w:val="009C21B9"/>
    <w:rsid w:val="009C227C"/>
    <w:rsid w:val="009C2280"/>
    <w:rsid w:val="009C229A"/>
    <w:rsid w:val="009C22E4"/>
    <w:rsid w:val="009C2304"/>
    <w:rsid w:val="009C2327"/>
    <w:rsid w:val="009C2340"/>
    <w:rsid w:val="009C235C"/>
    <w:rsid w:val="009C2366"/>
    <w:rsid w:val="009C2417"/>
    <w:rsid w:val="009C244D"/>
    <w:rsid w:val="009C2502"/>
    <w:rsid w:val="009C2523"/>
    <w:rsid w:val="009C259B"/>
    <w:rsid w:val="009C260D"/>
    <w:rsid w:val="009C2659"/>
    <w:rsid w:val="009C265B"/>
    <w:rsid w:val="009C2672"/>
    <w:rsid w:val="009C26B0"/>
    <w:rsid w:val="009C2829"/>
    <w:rsid w:val="009C2884"/>
    <w:rsid w:val="009C28A7"/>
    <w:rsid w:val="009C293B"/>
    <w:rsid w:val="009C294A"/>
    <w:rsid w:val="009C2996"/>
    <w:rsid w:val="009C29D1"/>
    <w:rsid w:val="009C29DD"/>
    <w:rsid w:val="009C2A4B"/>
    <w:rsid w:val="009C2A61"/>
    <w:rsid w:val="009C2A82"/>
    <w:rsid w:val="009C2A8E"/>
    <w:rsid w:val="009C2AE0"/>
    <w:rsid w:val="009C2B00"/>
    <w:rsid w:val="009C2B1B"/>
    <w:rsid w:val="009C2B45"/>
    <w:rsid w:val="009C2BCD"/>
    <w:rsid w:val="009C2C45"/>
    <w:rsid w:val="009C2C50"/>
    <w:rsid w:val="009C2C5E"/>
    <w:rsid w:val="009C2C64"/>
    <w:rsid w:val="009C2C71"/>
    <w:rsid w:val="009C2CA5"/>
    <w:rsid w:val="009C2D09"/>
    <w:rsid w:val="009C2D4E"/>
    <w:rsid w:val="009C2D71"/>
    <w:rsid w:val="009C2DB7"/>
    <w:rsid w:val="009C2E18"/>
    <w:rsid w:val="009C2E72"/>
    <w:rsid w:val="009C2EB2"/>
    <w:rsid w:val="009C2EF5"/>
    <w:rsid w:val="009C2F43"/>
    <w:rsid w:val="009C2F7E"/>
    <w:rsid w:val="009C2FA2"/>
    <w:rsid w:val="009C30A9"/>
    <w:rsid w:val="009C30BE"/>
    <w:rsid w:val="009C30D7"/>
    <w:rsid w:val="009C317B"/>
    <w:rsid w:val="009C317F"/>
    <w:rsid w:val="009C3182"/>
    <w:rsid w:val="009C3192"/>
    <w:rsid w:val="009C31A1"/>
    <w:rsid w:val="009C31AA"/>
    <w:rsid w:val="009C31CE"/>
    <w:rsid w:val="009C323E"/>
    <w:rsid w:val="009C3249"/>
    <w:rsid w:val="009C3299"/>
    <w:rsid w:val="009C32A7"/>
    <w:rsid w:val="009C3310"/>
    <w:rsid w:val="009C3371"/>
    <w:rsid w:val="009C3376"/>
    <w:rsid w:val="009C338F"/>
    <w:rsid w:val="009C340C"/>
    <w:rsid w:val="009C3416"/>
    <w:rsid w:val="009C343C"/>
    <w:rsid w:val="009C3446"/>
    <w:rsid w:val="009C3453"/>
    <w:rsid w:val="009C347E"/>
    <w:rsid w:val="009C34D8"/>
    <w:rsid w:val="009C3530"/>
    <w:rsid w:val="009C3543"/>
    <w:rsid w:val="009C3581"/>
    <w:rsid w:val="009C36A3"/>
    <w:rsid w:val="009C36D7"/>
    <w:rsid w:val="009C3794"/>
    <w:rsid w:val="009C379B"/>
    <w:rsid w:val="009C37E7"/>
    <w:rsid w:val="009C3897"/>
    <w:rsid w:val="009C390B"/>
    <w:rsid w:val="009C3979"/>
    <w:rsid w:val="009C3A01"/>
    <w:rsid w:val="009C3A08"/>
    <w:rsid w:val="009C3A31"/>
    <w:rsid w:val="009C3A34"/>
    <w:rsid w:val="009C3AA1"/>
    <w:rsid w:val="009C3AA9"/>
    <w:rsid w:val="009C3AFF"/>
    <w:rsid w:val="009C3B61"/>
    <w:rsid w:val="009C3B7A"/>
    <w:rsid w:val="009C3BE1"/>
    <w:rsid w:val="009C3C24"/>
    <w:rsid w:val="009C3C53"/>
    <w:rsid w:val="009C3C5B"/>
    <w:rsid w:val="009C3C5D"/>
    <w:rsid w:val="009C3CB3"/>
    <w:rsid w:val="009C3CC3"/>
    <w:rsid w:val="009C3CD1"/>
    <w:rsid w:val="009C3CE2"/>
    <w:rsid w:val="009C3D46"/>
    <w:rsid w:val="009C3D75"/>
    <w:rsid w:val="009C3D98"/>
    <w:rsid w:val="009C3DB7"/>
    <w:rsid w:val="009C3DC1"/>
    <w:rsid w:val="009C3DD0"/>
    <w:rsid w:val="009C3E02"/>
    <w:rsid w:val="009C3E16"/>
    <w:rsid w:val="009C3E5E"/>
    <w:rsid w:val="009C3E99"/>
    <w:rsid w:val="009C3F52"/>
    <w:rsid w:val="009C3F71"/>
    <w:rsid w:val="009C3F84"/>
    <w:rsid w:val="009C3FBD"/>
    <w:rsid w:val="009C403C"/>
    <w:rsid w:val="009C4093"/>
    <w:rsid w:val="009C40BC"/>
    <w:rsid w:val="009C410D"/>
    <w:rsid w:val="009C4123"/>
    <w:rsid w:val="009C412D"/>
    <w:rsid w:val="009C4139"/>
    <w:rsid w:val="009C414B"/>
    <w:rsid w:val="009C416E"/>
    <w:rsid w:val="009C4175"/>
    <w:rsid w:val="009C41BD"/>
    <w:rsid w:val="009C4212"/>
    <w:rsid w:val="009C425D"/>
    <w:rsid w:val="009C4280"/>
    <w:rsid w:val="009C431A"/>
    <w:rsid w:val="009C4347"/>
    <w:rsid w:val="009C43CE"/>
    <w:rsid w:val="009C4411"/>
    <w:rsid w:val="009C4417"/>
    <w:rsid w:val="009C444E"/>
    <w:rsid w:val="009C4494"/>
    <w:rsid w:val="009C449A"/>
    <w:rsid w:val="009C44E9"/>
    <w:rsid w:val="009C451E"/>
    <w:rsid w:val="009C458E"/>
    <w:rsid w:val="009C45C9"/>
    <w:rsid w:val="009C460D"/>
    <w:rsid w:val="009C4674"/>
    <w:rsid w:val="009C468F"/>
    <w:rsid w:val="009C4699"/>
    <w:rsid w:val="009C46DA"/>
    <w:rsid w:val="009C4753"/>
    <w:rsid w:val="009C475F"/>
    <w:rsid w:val="009C47E8"/>
    <w:rsid w:val="009C4898"/>
    <w:rsid w:val="009C48FC"/>
    <w:rsid w:val="009C48FE"/>
    <w:rsid w:val="009C492B"/>
    <w:rsid w:val="009C4957"/>
    <w:rsid w:val="009C4978"/>
    <w:rsid w:val="009C49A7"/>
    <w:rsid w:val="009C49C0"/>
    <w:rsid w:val="009C49EC"/>
    <w:rsid w:val="009C4A00"/>
    <w:rsid w:val="009C4A03"/>
    <w:rsid w:val="009C4A0A"/>
    <w:rsid w:val="009C4A3F"/>
    <w:rsid w:val="009C4A49"/>
    <w:rsid w:val="009C4A70"/>
    <w:rsid w:val="009C4AA3"/>
    <w:rsid w:val="009C4B0B"/>
    <w:rsid w:val="009C4B19"/>
    <w:rsid w:val="009C4B39"/>
    <w:rsid w:val="009C4B65"/>
    <w:rsid w:val="009C4C07"/>
    <w:rsid w:val="009C4C0E"/>
    <w:rsid w:val="009C4C60"/>
    <w:rsid w:val="009C4C65"/>
    <w:rsid w:val="009C4C69"/>
    <w:rsid w:val="009C4C81"/>
    <w:rsid w:val="009C4CAB"/>
    <w:rsid w:val="009C4CBB"/>
    <w:rsid w:val="009C4CF3"/>
    <w:rsid w:val="009C4CFB"/>
    <w:rsid w:val="009C4D59"/>
    <w:rsid w:val="009C4D8D"/>
    <w:rsid w:val="009C4D90"/>
    <w:rsid w:val="009C4D94"/>
    <w:rsid w:val="009C4DC0"/>
    <w:rsid w:val="009C4DF2"/>
    <w:rsid w:val="009C4F7F"/>
    <w:rsid w:val="009C4FB5"/>
    <w:rsid w:val="009C5000"/>
    <w:rsid w:val="009C503A"/>
    <w:rsid w:val="009C5091"/>
    <w:rsid w:val="009C50FB"/>
    <w:rsid w:val="009C5174"/>
    <w:rsid w:val="009C517F"/>
    <w:rsid w:val="009C5188"/>
    <w:rsid w:val="009C518A"/>
    <w:rsid w:val="009C5194"/>
    <w:rsid w:val="009C51F8"/>
    <w:rsid w:val="009C527C"/>
    <w:rsid w:val="009C52A3"/>
    <w:rsid w:val="009C52EB"/>
    <w:rsid w:val="009C5321"/>
    <w:rsid w:val="009C5339"/>
    <w:rsid w:val="009C5345"/>
    <w:rsid w:val="009C5370"/>
    <w:rsid w:val="009C53B2"/>
    <w:rsid w:val="009C53F1"/>
    <w:rsid w:val="009C5409"/>
    <w:rsid w:val="009C542B"/>
    <w:rsid w:val="009C5461"/>
    <w:rsid w:val="009C5468"/>
    <w:rsid w:val="009C547B"/>
    <w:rsid w:val="009C54E6"/>
    <w:rsid w:val="009C54ED"/>
    <w:rsid w:val="009C5512"/>
    <w:rsid w:val="009C5529"/>
    <w:rsid w:val="009C5556"/>
    <w:rsid w:val="009C556A"/>
    <w:rsid w:val="009C55D2"/>
    <w:rsid w:val="009C563C"/>
    <w:rsid w:val="009C564F"/>
    <w:rsid w:val="009C5660"/>
    <w:rsid w:val="009C5687"/>
    <w:rsid w:val="009C56AD"/>
    <w:rsid w:val="009C56D3"/>
    <w:rsid w:val="009C56E3"/>
    <w:rsid w:val="009C5725"/>
    <w:rsid w:val="009C5726"/>
    <w:rsid w:val="009C575A"/>
    <w:rsid w:val="009C576B"/>
    <w:rsid w:val="009C57DE"/>
    <w:rsid w:val="009C57E3"/>
    <w:rsid w:val="009C580B"/>
    <w:rsid w:val="009C580C"/>
    <w:rsid w:val="009C5872"/>
    <w:rsid w:val="009C593C"/>
    <w:rsid w:val="009C596A"/>
    <w:rsid w:val="009C59A1"/>
    <w:rsid w:val="009C59A8"/>
    <w:rsid w:val="009C59C0"/>
    <w:rsid w:val="009C5AC1"/>
    <w:rsid w:val="009C5ADC"/>
    <w:rsid w:val="009C5AF1"/>
    <w:rsid w:val="009C5AF7"/>
    <w:rsid w:val="009C5AFF"/>
    <w:rsid w:val="009C5B3E"/>
    <w:rsid w:val="009C5BEB"/>
    <w:rsid w:val="009C5C1B"/>
    <w:rsid w:val="009C5C26"/>
    <w:rsid w:val="009C5C6D"/>
    <w:rsid w:val="009C5C78"/>
    <w:rsid w:val="009C5D01"/>
    <w:rsid w:val="009C5D1F"/>
    <w:rsid w:val="009C5D3C"/>
    <w:rsid w:val="009C5D96"/>
    <w:rsid w:val="009C5DE1"/>
    <w:rsid w:val="009C5E6E"/>
    <w:rsid w:val="009C5E77"/>
    <w:rsid w:val="009C5EED"/>
    <w:rsid w:val="009C5EF6"/>
    <w:rsid w:val="009C5F5F"/>
    <w:rsid w:val="009C5F79"/>
    <w:rsid w:val="009C5F87"/>
    <w:rsid w:val="009C5FAC"/>
    <w:rsid w:val="009C5FC3"/>
    <w:rsid w:val="009C6009"/>
    <w:rsid w:val="009C6020"/>
    <w:rsid w:val="009C603F"/>
    <w:rsid w:val="009C6060"/>
    <w:rsid w:val="009C6065"/>
    <w:rsid w:val="009C60DB"/>
    <w:rsid w:val="009C60E4"/>
    <w:rsid w:val="009C60E8"/>
    <w:rsid w:val="009C6115"/>
    <w:rsid w:val="009C6135"/>
    <w:rsid w:val="009C615A"/>
    <w:rsid w:val="009C61A7"/>
    <w:rsid w:val="009C61D9"/>
    <w:rsid w:val="009C61E0"/>
    <w:rsid w:val="009C6241"/>
    <w:rsid w:val="009C627F"/>
    <w:rsid w:val="009C62C5"/>
    <w:rsid w:val="009C62E4"/>
    <w:rsid w:val="009C630A"/>
    <w:rsid w:val="009C6324"/>
    <w:rsid w:val="009C6369"/>
    <w:rsid w:val="009C6395"/>
    <w:rsid w:val="009C63A7"/>
    <w:rsid w:val="009C6405"/>
    <w:rsid w:val="009C640B"/>
    <w:rsid w:val="009C649A"/>
    <w:rsid w:val="009C649D"/>
    <w:rsid w:val="009C6567"/>
    <w:rsid w:val="009C65A0"/>
    <w:rsid w:val="009C65A4"/>
    <w:rsid w:val="009C65AE"/>
    <w:rsid w:val="009C65CC"/>
    <w:rsid w:val="009C661F"/>
    <w:rsid w:val="009C6639"/>
    <w:rsid w:val="009C663B"/>
    <w:rsid w:val="009C663C"/>
    <w:rsid w:val="009C66B3"/>
    <w:rsid w:val="009C672A"/>
    <w:rsid w:val="009C6756"/>
    <w:rsid w:val="009C677E"/>
    <w:rsid w:val="009C6833"/>
    <w:rsid w:val="009C6847"/>
    <w:rsid w:val="009C68C1"/>
    <w:rsid w:val="009C68E2"/>
    <w:rsid w:val="009C693A"/>
    <w:rsid w:val="009C693B"/>
    <w:rsid w:val="009C6947"/>
    <w:rsid w:val="009C6968"/>
    <w:rsid w:val="009C6972"/>
    <w:rsid w:val="009C6A70"/>
    <w:rsid w:val="009C6A77"/>
    <w:rsid w:val="009C6ACD"/>
    <w:rsid w:val="009C6AD1"/>
    <w:rsid w:val="009C6B9B"/>
    <w:rsid w:val="009C6BAF"/>
    <w:rsid w:val="009C6BC8"/>
    <w:rsid w:val="009C6C12"/>
    <w:rsid w:val="009C6C1B"/>
    <w:rsid w:val="009C6C23"/>
    <w:rsid w:val="009C6C5D"/>
    <w:rsid w:val="009C6C6B"/>
    <w:rsid w:val="009C6CC8"/>
    <w:rsid w:val="009C6CD3"/>
    <w:rsid w:val="009C6CD9"/>
    <w:rsid w:val="009C6D44"/>
    <w:rsid w:val="009C6D61"/>
    <w:rsid w:val="009C6D83"/>
    <w:rsid w:val="009C6D86"/>
    <w:rsid w:val="009C6D9E"/>
    <w:rsid w:val="009C6E73"/>
    <w:rsid w:val="009C6EA9"/>
    <w:rsid w:val="009C6ED4"/>
    <w:rsid w:val="009C6EF6"/>
    <w:rsid w:val="009C6F45"/>
    <w:rsid w:val="009C6F5C"/>
    <w:rsid w:val="009C6FF1"/>
    <w:rsid w:val="009C7033"/>
    <w:rsid w:val="009C7045"/>
    <w:rsid w:val="009C704E"/>
    <w:rsid w:val="009C70C9"/>
    <w:rsid w:val="009C7112"/>
    <w:rsid w:val="009C7138"/>
    <w:rsid w:val="009C718B"/>
    <w:rsid w:val="009C71D4"/>
    <w:rsid w:val="009C720C"/>
    <w:rsid w:val="009C726F"/>
    <w:rsid w:val="009C7285"/>
    <w:rsid w:val="009C72A9"/>
    <w:rsid w:val="009C72C7"/>
    <w:rsid w:val="009C734B"/>
    <w:rsid w:val="009C7381"/>
    <w:rsid w:val="009C73AC"/>
    <w:rsid w:val="009C73CC"/>
    <w:rsid w:val="009C73E5"/>
    <w:rsid w:val="009C746E"/>
    <w:rsid w:val="009C74A8"/>
    <w:rsid w:val="009C74CC"/>
    <w:rsid w:val="009C74FE"/>
    <w:rsid w:val="009C7540"/>
    <w:rsid w:val="009C756D"/>
    <w:rsid w:val="009C7570"/>
    <w:rsid w:val="009C75A9"/>
    <w:rsid w:val="009C75C9"/>
    <w:rsid w:val="009C75F1"/>
    <w:rsid w:val="009C7664"/>
    <w:rsid w:val="009C76F6"/>
    <w:rsid w:val="009C7704"/>
    <w:rsid w:val="009C773E"/>
    <w:rsid w:val="009C77F6"/>
    <w:rsid w:val="009C783F"/>
    <w:rsid w:val="009C7851"/>
    <w:rsid w:val="009C78C1"/>
    <w:rsid w:val="009C78DC"/>
    <w:rsid w:val="009C7988"/>
    <w:rsid w:val="009C7A2E"/>
    <w:rsid w:val="009C7A82"/>
    <w:rsid w:val="009C7A97"/>
    <w:rsid w:val="009C7AB0"/>
    <w:rsid w:val="009C7BC2"/>
    <w:rsid w:val="009C7BD1"/>
    <w:rsid w:val="009C7C6C"/>
    <w:rsid w:val="009C7C76"/>
    <w:rsid w:val="009C7CFE"/>
    <w:rsid w:val="009C7D03"/>
    <w:rsid w:val="009C7D3F"/>
    <w:rsid w:val="009C7D60"/>
    <w:rsid w:val="009C7DC7"/>
    <w:rsid w:val="009C7DDC"/>
    <w:rsid w:val="009C7E1E"/>
    <w:rsid w:val="009C7E55"/>
    <w:rsid w:val="009C7E9F"/>
    <w:rsid w:val="009C7EBC"/>
    <w:rsid w:val="009C7F04"/>
    <w:rsid w:val="009C7F3A"/>
    <w:rsid w:val="009C7F44"/>
    <w:rsid w:val="009C7F7F"/>
    <w:rsid w:val="009C7F90"/>
    <w:rsid w:val="009C7FE0"/>
    <w:rsid w:val="009D0036"/>
    <w:rsid w:val="009D003B"/>
    <w:rsid w:val="009D0092"/>
    <w:rsid w:val="009D00B7"/>
    <w:rsid w:val="009D00E7"/>
    <w:rsid w:val="009D014C"/>
    <w:rsid w:val="009D0188"/>
    <w:rsid w:val="009D01E7"/>
    <w:rsid w:val="009D01EE"/>
    <w:rsid w:val="009D01F2"/>
    <w:rsid w:val="009D021A"/>
    <w:rsid w:val="009D022D"/>
    <w:rsid w:val="009D0240"/>
    <w:rsid w:val="009D028D"/>
    <w:rsid w:val="009D0292"/>
    <w:rsid w:val="009D02A6"/>
    <w:rsid w:val="009D02B9"/>
    <w:rsid w:val="009D02D7"/>
    <w:rsid w:val="009D0341"/>
    <w:rsid w:val="009D0368"/>
    <w:rsid w:val="009D036F"/>
    <w:rsid w:val="009D037E"/>
    <w:rsid w:val="009D0411"/>
    <w:rsid w:val="009D0413"/>
    <w:rsid w:val="009D0469"/>
    <w:rsid w:val="009D04A4"/>
    <w:rsid w:val="009D04FB"/>
    <w:rsid w:val="009D052C"/>
    <w:rsid w:val="009D0550"/>
    <w:rsid w:val="009D059E"/>
    <w:rsid w:val="009D05B6"/>
    <w:rsid w:val="009D06A7"/>
    <w:rsid w:val="009D06CF"/>
    <w:rsid w:val="009D0735"/>
    <w:rsid w:val="009D077D"/>
    <w:rsid w:val="009D078D"/>
    <w:rsid w:val="009D07A2"/>
    <w:rsid w:val="009D07BA"/>
    <w:rsid w:val="009D08CB"/>
    <w:rsid w:val="009D08FC"/>
    <w:rsid w:val="009D099E"/>
    <w:rsid w:val="009D09ED"/>
    <w:rsid w:val="009D09EE"/>
    <w:rsid w:val="009D0AD3"/>
    <w:rsid w:val="009D0B04"/>
    <w:rsid w:val="009D0B2F"/>
    <w:rsid w:val="009D0B3A"/>
    <w:rsid w:val="009D0B4C"/>
    <w:rsid w:val="009D0B7F"/>
    <w:rsid w:val="009D0B88"/>
    <w:rsid w:val="009D0B9F"/>
    <w:rsid w:val="009D0BB9"/>
    <w:rsid w:val="009D0C1E"/>
    <w:rsid w:val="009D0C20"/>
    <w:rsid w:val="009D0C30"/>
    <w:rsid w:val="009D0CFC"/>
    <w:rsid w:val="009D0D49"/>
    <w:rsid w:val="009D0D85"/>
    <w:rsid w:val="009D0D8A"/>
    <w:rsid w:val="009D0DAD"/>
    <w:rsid w:val="009D0DC8"/>
    <w:rsid w:val="009D0DD6"/>
    <w:rsid w:val="009D0DE0"/>
    <w:rsid w:val="009D0DE9"/>
    <w:rsid w:val="009D0DF4"/>
    <w:rsid w:val="009D0E01"/>
    <w:rsid w:val="009D0E04"/>
    <w:rsid w:val="009D0E34"/>
    <w:rsid w:val="009D0E38"/>
    <w:rsid w:val="009D0E3B"/>
    <w:rsid w:val="009D0E41"/>
    <w:rsid w:val="009D0E52"/>
    <w:rsid w:val="009D0E63"/>
    <w:rsid w:val="009D0EB4"/>
    <w:rsid w:val="009D0F25"/>
    <w:rsid w:val="009D0F36"/>
    <w:rsid w:val="009D0F95"/>
    <w:rsid w:val="009D0FBF"/>
    <w:rsid w:val="009D0FE5"/>
    <w:rsid w:val="009D0FEB"/>
    <w:rsid w:val="009D1020"/>
    <w:rsid w:val="009D102D"/>
    <w:rsid w:val="009D1042"/>
    <w:rsid w:val="009D10BD"/>
    <w:rsid w:val="009D1100"/>
    <w:rsid w:val="009D112A"/>
    <w:rsid w:val="009D112D"/>
    <w:rsid w:val="009D1147"/>
    <w:rsid w:val="009D1149"/>
    <w:rsid w:val="009D1150"/>
    <w:rsid w:val="009D118E"/>
    <w:rsid w:val="009D11C5"/>
    <w:rsid w:val="009D11F3"/>
    <w:rsid w:val="009D1202"/>
    <w:rsid w:val="009D126B"/>
    <w:rsid w:val="009D1270"/>
    <w:rsid w:val="009D1290"/>
    <w:rsid w:val="009D12AE"/>
    <w:rsid w:val="009D12D9"/>
    <w:rsid w:val="009D12EE"/>
    <w:rsid w:val="009D1314"/>
    <w:rsid w:val="009D132B"/>
    <w:rsid w:val="009D1392"/>
    <w:rsid w:val="009D13A6"/>
    <w:rsid w:val="009D13C3"/>
    <w:rsid w:val="009D13EA"/>
    <w:rsid w:val="009D1402"/>
    <w:rsid w:val="009D141D"/>
    <w:rsid w:val="009D144F"/>
    <w:rsid w:val="009D1478"/>
    <w:rsid w:val="009D1598"/>
    <w:rsid w:val="009D15D9"/>
    <w:rsid w:val="009D1622"/>
    <w:rsid w:val="009D1631"/>
    <w:rsid w:val="009D164B"/>
    <w:rsid w:val="009D165D"/>
    <w:rsid w:val="009D167F"/>
    <w:rsid w:val="009D16DD"/>
    <w:rsid w:val="009D1711"/>
    <w:rsid w:val="009D1723"/>
    <w:rsid w:val="009D1724"/>
    <w:rsid w:val="009D1742"/>
    <w:rsid w:val="009D1791"/>
    <w:rsid w:val="009D17D9"/>
    <w:rsid w:val="009D18B8"/>
    <w:rsid w:val="009D190F"/>
    <w:rsid w:val="009D1994"/>
    <w:rsid w:val="009D1AA5"/>
    <w:rsid w:val="009D1B6E"/>
    <w:rsid w:val="009D1B83"/>
    <w:rsid w:val="009D1BE9"/>
    <w:rsid w:val="009D1C72"/>
    <w:rsid w:val="009D1CA1"/>
    <w:rsid w:val="009D1CA9"/>
    <w:rsid w:val="009D1CD3"/>
    <w:rsid w:val="009D1CEC"/>
    <w:rsid w:val="009D1CF4"/>
    <w:rsid w:val="009D1D27"/>
    <w:rsid w:val="009D1D3D"/>
    <w:rsid w:val="009D1D42"/>
    <w:rsid w:val="009D1D58"/>
    <w:rsid w:val="009D1E0A"/>
    <w:rsid w:val="009D1E21"/>
    <w:rsid w:val="009D1E39"/>
    <w:rsid w:val="009D1E61"/>
    <w:rsid w:val="009D1E70"/>
    <w:rsid w:val="009D1E83"/>
    <w:rsid w:val="009D1EE0"/>
    <w:rsid w:val="009D1EF4"/>
    <w:rsid w:val="009D1F18"/>
    <w:rsid w:val="009D1F1E"/>
    <w:rsid w:val="009D1F2B"/>
    <w:rsid w:val="009D1F9E"/>
    <w:rsid w:val="009D1FB2"/>
    <w:rsid w:val="009D1FBB"/>
    <w:rsid w:val="009D1FBE"/>
    <w:rsid w:val="009D1FDE"/>
    <w:rsid w:val="009D1FE3"/>
    <w:rsid w:val="009D2020"/>
    <w:rsid w:val="009D2042"/>
    <w:rsid w:val="009D204E"/>
    <w:rsid w:val="009D205F"/>
    <w:rsid w:val="009D20D2"/>
    <w:rsid w:val="009D20E5"/>
    <w:rsid w:val="009D20FA"/>
    <w:rsid w:val="009D2104"/>
    <w:rsid w:val="009D2112"/>
    <w:rsid w:val="009D21A5"/>
    <w:rsid w:val="009D22ED"/>
    <w:rsid w:val="009D2314"/>
    <w:rsid w:val="009D23CC"/>
    <w:rsid w:val="009D240D"/>
    <w:rsid w:val="009D242F"/>
    <w:rsid w:val="009D2465"/>
    <w:rsid w:val="009D246E"/>
    <w:rsid w:val="009D248D"/>
    <w:rsid w:val="009D2498"/>
    <w:rsid w:val="009D24AB"/>
    <w:rsid w:val="009D24C1"/>
    <w:rsid w:val="009D24DB"/>
    <w:rsid w:val="009D24F2"/>
    <w:rsid w:val="009D2515"/>
    <w:rsid w:val="009D2518"/>
    <w:rsid w:val="009D2582"/>
    <w:rsid w:val="009D2598"/>
    <w:rsid w:val="009D2609"/>
    <w:rsid w:val="009D265D"/>
    <w:rsid w:val="009D26AC"/>
    <w:rsid w:val="009D27C2"/>
    <w:rsid w:val="009D27D1"/>
    <w:rsid w:val="009D27E8"/>
    <w:rsid w:val="009D2802"/>
    <w:rsid w:val="009D284F"/>
    <w:rsid w:val="009D289B"/>
    <w:rsid w:val="009D28A1"/>
    <w:rsid w:val="009D28B9"/>
    <w:rsid w:val="009D28BF"/>
    <w:rsid w:val="009D28EB"/>
    <w:rsid w:val="009D2928"/>
    <w:rsid w:val="009D295E"/>
    <w:rsid w:val="009D29DB"/>
    <w:rsid w:val="009D29DE"/>
    <w:rsid w:val="009D29EC"/>
    <w:rsid w:val="009D29F1"/>
    <w:rsid w:val="009D2A26"/>
    <w:rsid w:val="009D2A35"/>
    <w:rsid w:val="009D2A5A"/>
    <w:rsid w:val="009D2A92"/>
    <w:rsid w:val="009D2AB2"/>
    <w:rsid w:val="009D2B07"/>
    <w:rsid w:val="009D2B18"/>
    <w:rsid w:val="009D2C0A"/>
    <w:rsid w:val="009D2C17"/>
    <w:rsid w:val="009D2C3D"/>
    <w:rsid w:val="009D2C5B"/>
    <w:rsid w:val="009D2C9A"/>
    <w:rsid w:val="009D2CBB"/>
    <w:rsid w:val="009D2CFF"/>
    <w:rsid w:val="009D2D4A"/>
    <w:rsid w:val="009D2D5A"/>
    <w:rsid w:val="009D2D93"/>
    <w:rsid w:val="009D2DAB"/>
    <w:rsid w:val="009D2DEE"/>
    <w:rsid w:val="009D2E2D"/>
    <w:rsid w:val="009D2E4D"/>
    <w:rsid w:val="009D2EBC"/>
    <w:rsid w:val="009D2ECC"/>
    <w:rsid w:val="009D2EEB"/>
    <w:rsid w:val="009D2EF3"/>
    <w:rsid w:val="009D2F17"/>
    <w:rsid w:val="009D2F5D"/>
    <w:rsid w:val="009D2F6F"/>
    <w:rsid w:val="009D2F96"/>
    <w:rsid w:val="009D301E"/>
    <w:rsid w:val="009D3069"/>
    <w:rsid w:val="009D306C"/>
    <w:rsid w:val="009D306F"/>
    <w:rsid w:val="009D30A4"/>
    <w:rsid w:val="009D30AA"/>
    <w:rsid w:val="009D312C"/>
    <w:rsid w:val="009D3144"/>
    <w:rsid w:val="009D3207"/>
    <w:rsid w:val="009D3275"/>
    <w:rsid w:val="009D327A"/>
    <w:rsid w:val="009D3284"/>
    <w:rsid w:val="009D3297"/>
    <w:rsid w:val="009D32BD"/>
    <w:rsid w:val="009D32EB"/>
    <w:rsid w:val="009D32F0"/>
    <w:rsid w:val="009D330E"/>
    <w:rsid w:val="009D3366"/>
    <w:rsid w:val="009D34BB"/>
    <w:rsid w:val="009D34DA"/>
    <w:rsid w:val="009D34FC"/>
    <w:rsid w:val="009D351D"/>
    <w:rsid w:val="009D3537"/>
    <w:rsid w:val="009D3543"/>
    <w:rsid w:val="009D354A"/>
    <w:rsid w:val="009D359D"/>
    <w:rsid w:val="009D35AB"/>
    <w:rsid w:val="009D35FC"/>
    <w:rsid w:val="009D3609"/>
    <w:rsid w:val="009D3628"/>
    <w:rsid w:val="009D3652"/>
    <w:rsid w:val="009D366A"/>
    <w:rsid w:val="009D3670"/>
    <w:rsid w:val="009D36D4"/>
    <w:rsid w:val="009D3747"/>
    <w:rsid w:val="009D3775"/>
    <w:rsid w:val="009D37EA"/>
    <w:rsid w:val="009D37F5"/>
    <w:rsid w:val="009D381B"/>
    <w:rsid w:val="009D3820"/>
    <w:rsid w:val="009D3848"/>
    <w:rsid w:val="009D389A"/>
    <w:rsid w:val="009D38B3"/>
    <w:rsid w:val="009D390B"/>
    <w:rsid w:val="009D3925"/>
    <w:rsid w:val="009D3926"/>
    <w:rsid w:val="009D3964"/>
    <w:rsid w:val="009D3970"/>
    <w:rsid w:val="009D3987"/>
    <w:rsid w:val="009D3996"/>
    <w:rsid w:val="009D39AB"/>
    <w:rsid w:val="009D39AF"/>
    <w:rsid w:val="009D39DE"/>
    <w:rsid w:val="009D39DF"/>
    <w:rsid w:val="009D39E1"/>
    <w:rsid w:val="009D3A2F"/>
    <w:rsid w:val="009D3A31"/>
    <w:rsid w:val="009D3AE4"/>
    <w:rsid w:val="009D3AE5"/>
    <w:rsid w:val="009D3AFD"/>
    <w:rsid w:val="009D3AFF"/>
    <w:rsid w:val="009D3BFF"/>
    <w:rsid w:val="009D3C3E"/>
    <w:rsid w:val="009D3C4B"/>
    <w:rsid w:val="009D3CEC"/>
    <w:rsid w:val="009D3DDA"/>
    <w:rsid w:val="009D3E0F"/>
    <w:rsid w:val="009D3E19"/>
    <w:rsid w:val="009D3E7A"/>
    <w:rsid w:val="009D3ECC"/>
    <w:rsid w:val="009D4068"/>
    <w:rsid w:val="009D4079"/>
    <w:rsid w:val="009D4081"/>
    <w:rsid w:val="009D40ED"/>
    <w:rsid w:val="009D4133"/>
    <w:rsid w:val="009D414B"/>
    <w:rsid w:val="009D419F"/>
    <w:rsid w:val="009D41F3"/>
    <w:rsid w:val="009D425B"/>
    <w:rsid w:val="009D4290"/>
    <w:rsid w:val="009D4308"/>
    <w:rsid w:val="009D43A4"/>
    <w:rsid w:val="009D4433"/>
    <w:rsid w:val="009D4439"/>
    <w:rsid w:val="009D4474"/>
    <w:rsid w:val="009D4477"/>
    <w:rsid w:val="009D447F"/>
    <w:rsid w:val="009D44F0"/>
    <w:rsid w:val="009D4500"/>
    <w:rsid w:val="009D4504"/>
    <w:rsid w:val="009D4559"/>
    <w:rsid w:val="009D455B"/>
    <w:rsid w:val="009D4624"/>
    <w:rsid w:val="009D4632"/>
    <w:rsid w:val="009D4657"/>
    <w:rsid w:val="009D4660"/>
    <w:rsid w:val="009D46D9"/>
    <w:rsid w:val="009D46DD"/>
    <w:rsid w:val="009D474A"/>
    <w:rsid w:val="009D4764"/>
    <w:rsid w:val="009D476B"/>
    <w:rsid w:val="009D47B3"/>
    <w:rsid w:val="009D47CA"/>
    <w:rsid w:val="009D4864"/>
    <w:rsid w:val="009D486B"/>
    <w:rsid w:val="009D4882"/>
    <w:rsid w:val="009D48BF"/>
    <w:rsid w:val="009D4915"/>
    <w:rsid w:val="009D4926"/>
    <w:rsid w:val="009D4932"/>
    <w:rsid w:val="009D499B"/>
    <w:rsid w:val="009D49A4"/>
    <w:rsid w:val="009D49A7"/>
    <w:rsid w:val="009D49D8"/>
    <w:rsid w:val="009D49E1"/>
    <w:rsid w:val="009D4A29"/>
    <w:rsid w:val="009D4A6A"/>
    <w:rsid w:val="009D4A98"/>
    <w:rsid w:val="009D4AD5"/>
    <w:rsid w:val="009D4B05"/>
    <w:rsid w:val="009D4B11"/>
    <w:rsid w:val="009D4B71"/>
    <w:rsid w:val="009D4B9C"/>
    <w:rsid w:val="009D4BAE"/>
    <w:rsid w:val="009D4BAF"/>
    <w:rsid w:val="009D4BBF"/>
    <w:rsid w:val="009D4BF7"/>
    <w:rsid w:val="009D4C2A"/>
    <w:rsid w:val="009D4C4E"/>
    <w:rsid w:val="009D4CF3"/>
    <w:rsid w:val="009D4D26"/>
    <w:rsid w:val="009D4D75"/>
    <w:rsid w:val="009D4D7D"/>
    <w:rsid w:val="009D4DB4"/>
    <w:rsid w:val="009D4DD9"/>
    <w:rsid w:val="009D4E08"/>
    <w:rsid w:val="009D4E10"/>
    <w:rsid w:val="009D4E4E"/>
    <w:rsid w:val="009D4E9B"/>
    <w:rsid w:val="009D4F11"/>
    <w:rsid w:val="009D4F2E"/>
    <w:rsid w:val="009D4F4D"/>
    <w:rsid w:val="009D4F59"/>
    <w:rsid w:val="009D4F5F"/>
    <w:rsid w:val="009D4F79"/>
    <w:rsid w:val="009D4FCB"/>
    <w:rsid w:val="009D5061"/>
    <w:rsid w:val="009D5080"/>
    <w:rsid w:val="009D50B5"/>
    <w:rsid w:val="009D50E2"/>
    <w:rsid w:val="009D5109"/>
    <w:rsid w:val="009D5113"/>
    <w:rsid w:val="009D5170"/>
    <w:rsid w:val="009D5187"/>
    <w:rsid w:val="009D51B4"/>
    <w:rsid w:val="009D51BD"/>
    <w:rsid w:val="009D5266"/>
    <w:rsid w:val="009D528F"/>
    <w:rsid w:val="009D52BC"/>
    <w:rsid w:val="009D52EB"/>
    <w:rsid w:val="009D530F"/>
    <w:rsid w:val="009D5391"/>
    <w:rsid w:val="009D53E1"/>
    <w:rsid w:val="009D543B"/>
    <w:rsid w:val="009D543F"/>
    <w:rsid w:val="009D54B8"/>
    <w:rsid w:val="009D554C"/>
    <w:rsid w:val="009D5596"/>
    <w:rsid w:val="009D55BF"/>
    <w:rsid w:val="009D560C"/>
    <w:rsid w:val="009D562B"/>
    <w:rsid w:val="009D5687"/>
    <w:rsid w:val="009D568F"/>
    <w:rsid w:val="009D56C5"/>
    <w:rsid w:val="009D56ED"/>
    <w:rsid w:val="009D56F6"/>
    <w:rsid w:val="009D56FD"/>
    <w:rsid w:val="009D572F"/>
    <w:rsid w:val="009D573C"/>
    <w:rsid w:val="009D57C6"/>
    <w:rsid w:val="009D57F2"/>
    <w:rsid w:val="009D580A"/>
    <w:rsid w:val="009D5818"/>
    <w:rsid w:val="009D5829"/>
    <w:rsid w:val="009D5856"/>
    <w:rsid w:val="009D5872"/>
    <w:rsid w:val="009D5883"/>
    <w:rsid w:val="009D5887"/>
    <w:rsid w:val="009D58BA"/>
    <w:rsid w:val="009D591D"/>
    <w:rsid w:val="009D59D4"/>
    <w:rsid w:val="009D5A25"/>
    <w:rsid w:val="009D5A40"/>
    <w:rsid w:val="009D5A5D"/>
    <w:rsid w:val="009D5A89"/>
    <w:rsid w:val="009D5AA2"/>
    <w:rsid w:val="009D5AA4"/>
    <w:rsid w:val="009D5B06"/>
    <w:rsid w:val="009D5B25"/>
    <w:rsid w:val="009D5B35"/>
    <w:rsid w:val="009D5B36"/>
    <w:rsid w:val="009D5B59"/>
    <w:rsid w:val="009D5C24"/>
    <w:rsid w:val="009D5C39"/>
    <w:rsid w:val="009D5C9C"/>
    <w:rsid w:val="009D5D17"/>
    <w:rsid w:val="009D5D23"/>
    <w:rsid w:val="009D5DD7"/>
    <w:rsid w:val="009D5DE4"/>
    <w:rsid w:val="009D5EEC"/>
    <w:rsid w:val="009D5FB5"/>
    <w:rsid w:val="009D5FC1"/>
    <w:rsid w:val="009D5FCA"/>
    <w:rsid w:val="009D5FFF"/>
    <w:rsid w:val="009D600E"/>
    <w:rsid w:val="009D600F"/>
    <w:rsid w:val="009D602C"/>
    <w:rsid w:val="009D6038"/>
    <w:rsid w:val="009D6088"/>
    <w:rsid w:val="009D6089"/>
    <w:rsid w:val="009D60FF"/>
    <w:rsid w:val="009D6115"/>
    <w:rsid w:val="009D6167"/>
    <w:rsid w:val="009D61D6"/>
    <w:rsid w:val="009D62AA"/>
    <w:rsid w:val="009D62B5"/>
    <w:rsid w:val="009D62D9"/>
    <w:rsid w:val="009D630A"/>
    <w:rsid w:val="009D6321"/>
    <w:rsid w:val="009D636F"/>
    <w:rsid w:val="009D6439"/>
    <w:rsid w:val="009D6448"/>
    <w:rsid w:val="009D6475"/>
    <w:rsid w:val="009D6477"/>
    <w:rsid w:val="009D6532"/>
    <w:rsid w:val="009D655B"/>
    <w:rsid w:val="009D657F"/>
    <w:rsid w:val="009D658F"/>
    <w:rsid w:val="009D65A1"/>
    <w:rsid w:val="009D65A6"/>
    <w:rsid w:val="009D65AF"/>
    <w:rsid w:val="009D6605"/>
    <w:rsid w:val="009D662F"/>
    <w:rsid w:val="009D665F"/>
    <w:rsid w:val="009D668D"/>
    <w:rsid w:val="009D6692"/>
    <w:rsid w:val="009D674F"/>
    <w:rsid w:val="009D679B"/>
    <w:rsid w:val="009D67DD"/>
    <w:rsid w:val="009D6841"/>
    <w:rsid w:val="009D6857"/>
    <w:rsid w:val="009D6868"/>
    <w:rsid w:val="009D6873"/>
    <w:rsid w:val="009D688C"/>
    <w:rsid w:val="009D691E"/>
    <w:rsid w:val="009D69AB"/>
    <w:rsid w:val="009D69DD"/>
    <w:rsid w:val="009D6A0F"/>
    <w:rsid w:val="009D6A3A"/>
    <w:rsid w:val="009D6A56"/>
    <w:rsid w:val="009D6A62"/>
    <w:rsid w:val="009D6A6B"/>
    <w:rsid w:val="009D6AD8"/>
    <w:rsid w:val="009D6AF3"/>
    <w:rsid w:val="009D6B27"/>
    <w:rsid w:val="009D6B53"/>
    <w:rsid w:val="009D6BF1"/>
    <w:rsid w:val="009D6C27"/>
    <w:rsid w:val="009D6C28"/>
    <w:rsid w:val="009D6C9D"/>
    <w:rsid w:val="009D6C9F"/>
    <w:rsid w:val="009D6D64"/>
    <w:rsid w:val="009D6D80"/>
    <w:rsid w:val="009D6DE3"/>
    <w:rsid w:val="009D6E38"/>
    <w:rsid w:val="009D6E79"/>
    <w:rsid w:val="009D6E80"/>
    <w:rsid w:val="009D6E89"/>
    <w:rsid w:val="009D6ED9"/>
    <w:rsid w:val="009D6EF2"/>
    <w:rsid w:val="009D6EF3"/>
    <w:rsid w:val="009D6F0F"/>
    <w:rsid w:val="009D6F52"/>
    <w:rsid w:val="009D6F63"/>
    <w:rsid w:val="009D6F73"/>
    <w:rsid w:val="009D6FDF"/>
    <w:rsid w:val="009D701A"/>
    <w:rsid w:val="009D7022"/>
    <w:rsid w:val="009D70CF"/>
    <w:rsid w:val="009D70E7"/>
    <w:rsid w:val="009D711A"/>
    <w:rsid w:val="009D7167"/>
    <w:rsid w:val="009D7175"/>
    <w:rsid w:val="009D7199"/>
    <w:rsid w:val="009D71CA"/>
    <w:rsid w:val="009D71E6"/>
    <w:rsid w:val="009D7246"/>
    <w:rsid w:val="009D7278"/>
    <w:rsid w:val="009D72C6"/>
    <w:rsid w:val="009D7375"/>
    <w:rsid w:val="009D7399"/>
    <w:rsid w:val="009D739F"/>
    <w:rsid w:val="009D73E0"/>
    <w:rsid w:val="009D7451"/>
    <w:rsid w:val="009D7482"/>
    <w:rsid w:val="009D748B"/>
    <w:rsid w:val="009D74A8"/>
    <w:rsid w:val="009D74B3"/>
    <w:rsid w:val="009D74CB"/>
    <w:rsid w:val="009D74EA"/>
    <w:rsid w:val="009D74FB"/>
    <w:rsid w:val="009D7534"/>
    <w:rsid w:val="009D75AE"/>
    <w:rsid w:val="009D75FA"/>
    <w:rsid w:val="009D75FC"/>
    <w:rsid w:val="009D7603"/>
    <w:rsid w:val="009D764F"/>
    <w:rsid w:val="009D767C"/>
    <w:rsid w:val="009D7694"/>
    <w:rsid w:val="009D76E0"/>
    <w:rsid w:val="009D7776"/>
    <w:rsid w:val="009D777C"/>
    <w:rsid w:val="009D7796"/>
    <w:rsid w:val="009D779C"/>
    <w:rsid w:val="009D779D"/>
    <w:rsid w:val="009D77B8"/>
    <w:rsid w:val="009D77D5"/>
    <w:rsid w:val="009D77E4"/>
    <w:rsid w:val="009D7829"/>
    <w:rsid w:val="009D7836"/>
    <w:rsid w:val="009D7881"/>
    <w:rsid w:val="009D78D8"/>
    <w:rsid w:val="009D78F8"/>
    <w:rsid w:val="009D791D"/>
    <w:rsid w:val="009D7969"/>
    <w:rsid w:val="009D79C4"/>
    <w:rsid w:val="009D79D6"/>
    <w:rsid w:val="009D7A2D"/>
    <w:rsid w:val="009D7A54"/>
    <w:rsid w:val="009D7ACD"/>
    <w:rsid w:val="009D7AF8"/>
    <w:rsid w:val="009D7B33"/>
    <w:rsid w:val="009D7B73"/>
    <w:rsid w:val="009D7C01"/>
    <w:rsid w:val="009D7CB9"/>
    <w:rsid w:val="009D7CCA"/>
    <w:rsid w:val="009D7CDB"/>
    <w:rsid w:val="009D7CED"/>
    <w:rsid w:val="009D7D12"/>
    <w:rsid w:val="009D7D18"/>
    <w:rsid w:val="009D7D40"/>
    <w:rsid w:val="009D7D95"/>
    <w:rsid w:val="009D7D9C"/>
    <w:rsid w:val="009D7DDB"/>
    <w:rsid w:val="009D7E6C"/>
    <w:rsid w:val="009D7EA6"/>
    <w:rsid w:val="009D7EB0"/>
    <w:rsid w:val="009D7ED3"/>
    <w:rsid w:val="009D7F04"/>
    <w:rsid w:val="009D7F0A"/>
    <w:rsid w:val="009D7F45"/>
    <w:rsid w:val="009D7F66"/>
    <w:rsid w:val="009D7FEC"/>
    <w:rsid w:val="009D7FF1"/>
    <w:rsid w:val="009E005D"/>
    <w:rsid w:val="009E0069"/>
    <w:rsid w:val="009E00AE"/>
    <w:rsid w:val="009E00B6"/>
    <w:rsid w:val="009E00C0"/>
    <w:rsid w:val="009E00D8"/>
    <w:rsid w:val="009E00F1"/>
    <w:rsid w:val="009E0101"/>
    <w:rsid w:val="009E011D"/>
    <w:rsid w:val="009E0137"/>
    <w:rsid w:val="009E0142"/>
    <w:rsid w:val="009E023D"/>
    <w:rsid w:val="009E02AC"/>
    <w:rsid w:val="009E02D5"/>
    <w:rsid w:val="009E037A"/>
    <w:rsid w:val="009E037B"/>
    <w:rsid w:val="009E03C3"/>
    <w:rsid w:val="009E0430"/>
    <w:rsid w:val="009E047D"/>
    <w:rsid w:val="009E04E2"/>
    <w:rsid w:val="009E04E4"/>
    <w:rsid w:val="009E051A"/>
    <w:rsid w:val="009E0527"/>
    <w:rsid w:val="009E0553"/>
    <w:rsid w:val="009E055F"/>
    <w:rsid w:val="009E056B"/>
    <w:rsid w:val="009E05E3"/>
    <w:rsid w:val="009E05FC"/>
    <w:rsid w:val="009E0602"/>
    <w:rsid w:val="009E065F"/>
    <w:rsid w:val="009E0684"/>
    <w:rsid w:val="009E06CE"/>
    <w:rsid w:val="009E0732"/>
    <w:rsid w:val="009E0737"/>
    <w:rsid w:val="009E0759"/>
    <w:rsid w:val="009E078D"/>
    <w:rsid w:val="009E0795"/>
    <w:rsid w:val="009E07C3"/>
    <w:rsid w:val="009E080E"/>
    <w:rsid w:val="009E0847"/>
    <w:rsid w:val="009E0874"/>
    <w:rsid w:val="009E08A0"/>
    <w:rsid w:val="009E08E3"/>
    <w:rsid w:val="009E0927"/>
    <w:rsid w:val="009E0999"/>
    <w:rsid w:val="009E09AE"/>
    <w:rsid w:val="009E09B1"/>
    <w:rsid w:val="009E09B2"/>
    <w:rsid w:val="009E09F9"/>
    <w:rsid w:val="009E0A03"/>
    <w:rsid w:val="009E0A6E"/>
    <w:rsid w:val="009E0AAF"/>
    <w:rsid w:val="009E0AD7"/>
    <w:rsid w:val="009E0AE2"/>
    <w:rsid w:val="009E0AE9"/>
    <w:rsid w:val="009E0B26"/>
    <w:rsid w:val="009E0B28"/>
    <w:rsid w:val="009E0B5E"/>
    <w:rsid w:val="009E0B7D"/>
    <w:rsid w:val="009E0BB8"/>
    <w:rsid w:val="009E0BC2"/>
    <w:rsid w:val="009E0BC5"/>
    <w:rsid w:val="009E0C4D"/>
    <w:rsid w:val="009E0CA5"/>
    <w:rsid w:val="009E0CCF"/>
    <w:rsid w:val="009E0CD9"/>
    <w:rsid w:val="009E0D0F"/>
    <w:rsid w:val="009E0D1C"/>
    <w:rsid w:val="009E0D31"/>
    <w:rsid w:val="009E0D4E"/>
    <w:rsid w:val="009E0D5C"/>
    <w:rsid w:val="009E0D81"/>
    <w:rsid w:val="009E0DBC"/>
    <w:rsid w:val="009E0E48"/>
    <w:rsid w:val="009E0E5D"/>
    <w:rsid w:val="009E0E6D"/>
    <w:rsid w:val="009E0F31"/>
    <w:rsid w:val="009E0F4E"/>
    <w:rsid w:val="009E0F66"/>
    <w:rsid w:val="009E0F6E"/>
    <w:rsid w:val="009E0FEA"/>
    <w:rsid w:val="009E1001"/>
    <w:rsid w:val="009E1046"/>
    <w:rsid w:val="009E105E"/>
    <w:rsid w:val="009E107F"/>
    <w:rsid w:val="009E108A"/>
    <w:rsid w:val="009E1093"/>
    <w:rsid w:val="009E10AD"/>
    <w:rsid w:val="009E10E9"/>
    <w:rsid w:val="009E111B"/>
    <w:rsid w:val="009E1125"/>
    <w:rsid w:val="009E1187"/>
    <w:rsid w:val="009E1188"/>
    <w:rsid w:val="009E11A6"/>
    <w:rsid w:val="009E11FD"/>
    <w:rsid w:val="009E1200"/>
    <w:rsid w:val="009E1217"/>
    <w:rsid w:val="009E12BD"/>
    <w:rsid w:val="009E12C6"/>
    <w:rsid w:val="009E12E2"/>
    <w:rsid w:val="009E12E9"/>
    <w:rsid w:val="009E137A"/>
    <w:rsid w:val="009E1388"/>
    <w:rsid w:val="009E13BA"/>
    <w:rsid w:val="009E142C"/>
    <w:rsid w:val="009E14E4"/>
    <w:rsid w:val="009E153C"/>
    <w:rsid w:val="009E1564"/>
    <w:rsid w:val="009E1613"/>
    <w:rsid w:val="009E1623"/>
    <w:rsid w:val="009E167B"/>
    <w:rsid w:val="009E1693"/>
    <w:rsid w:val="009E16A5"/>
    <w:rsid w:val="009E16E1"/>
    <w:rsid w:val="009E16F8"/>
    <w:rsid w:val="009E1704"/>
    <w:rsid w:val="009E1705"/>
    <w:rsid w:val="009E1707"/>
    <w:rsid w:val="009E171B"/>
    <w:rsid w:val="009E1727"/>
    <w:rsid w:val="009E179E"/>
    <w:rsid w:val="009E17A2"/>
    <w:rsid w:val="009E17CE"/>
    <w:rsid w:val="009E17F5"/>
    <w:rsid w:val="009E181F"/>
    <w:rsid w:val="009E1833"/>
    <w:rsid w:val="009E1845"/>
    <w:rsid w:val="009E18B0"/>
    <w:rsid w:val="009E1930"/>
    <w:rsid w:val="009E194F"/>
    <w:rsid w:val="009E1980"/>
    <w:rsid w:val="009E19AD"/>
    <w:rsid w:val="009E19BB"/>
    <w:rsid w:val="009E1AC6"/>
    <w:rsid w:val="009E1B78"/>
    <w:rsid w:val="009E1B7F"/>
    <w:rsid w:val="009E1B81"/>
    <w:rsid w:val="009E1BA0"/>
    <w:rsid w:val="009E1BD1"/>
    <w:rsid w:val="009E1C6A"/>
    <w:rsid w:val="009E1C7E"/>
    <w:rsid w:val="009E1C8F"/>
    <w:rsid w:val="009E1CF6"/>
    <w:rsid w:val="009E1D28"/>
    <w:rsid w:val="009E1D3A"/>
    <w:rsid w:val="009E1D54"/>
    <w:rsid w:val="009E1D92"/>
    <w:rsid w:val="009E1DB8"/>
    <w:rsid w:val="009E1DC5"/>
    <w:rsid w:val="009E1DF9"/>
    <w:rsid w:val="009E1E6E"/>
    <w:rsid w:val="009E1EC6"/>
    <w:rsid w:val="009E1ED8"/>
    <w:rsid w:val="009E1F25"/>
    <w:rsid w:val="009E1F26"/>
    <w:rsid w:val="009E1FB2"/>
    <w:rsid w:val="009E1FE9"/>
    <w:rsid w:val="009E1FF8"/>
    <w:rsid w:val="009E2006"/>
    <w:rsid w:val="009E204A"/>
    <w:rsid w:val="009E2080"/>
    <w:rsid w:val="009E20AD"/>
    <w:rsid w:val="009E2141"/>
    <w:rsid w:val="009E21A2"/>
    <w:rsid w:val="009E21ED"/>
    <w:rsid w:val="009E2204"/>
    <w:rsid w:val="009E220E"/>
    <w:rsid w:val="009E224A"/>
    <w:rsid w:val="009E2252"/>
    <w:rsid w:val="009E2282"/>
    <w:rsid w:val="009E228B"/>
    <w:rsid w:val="009E22A8"/>
    <w:rsid w:val="009E2365"/>
    <w:rsid w:val="009E23A9"/>
    <w:rsid w:val="009E23C4"/>
    <w:rsid w:val="009E23E0"/>
    <w:rsid w:val="009E242D"/>
    <w:rsid w:val="009E243C"/>
    <w:rsid w:val="009E2483"/>
    <w:rsid w:val="009E24AA"/>
    <w:rsid w:val="009E24E3"/>
    <w:rsid w:val="009E24EA"/>
    <w:rsid w:val="009E24EC"/>
    <w:rsid w:val="009E2515"/>
    <w:rsid w:val="009E257C"/>
    <w:rsid w:val="009E26B1"/>
    <w:rsid w:val="009E2734"/>
    <w:rsid w:val="009E278B"/>
    <w:rsid w:val="009E27C9"/>
    <w:rsid w:val="009E2808"/>
    <w:rsid w:val="009E28A3"/>
    <w:rsid w:val="009E28C7"/>
    <w:rsid w:val="009E28DA"/>
    <w:rsid w:val="009E28F4"/>
    <w:rsid w:val="009E2941"/>
    <w:rsid w:val="009E2992"/>
    <w:rsid w:val="009E2997"/>
    <w:rsid w:val="009E2A4B"/>
    <w:rsid w:val="009E2A53"/>
    <w:rsid w:val="009E2AAE"/>
    <w:rsid w:val="009E2B1B"/>
    <w:rsid w:val="009E2B27"/>
    <w:rsid w:val="009E2B3C"/>
    <w:rsid w:val="009E2B50"/>
    <w:rsid w:val="009E2B85"/>
    <w:rsid w:val="009E2B8A"/>
    <w:rsid w:val="009E2B9C"/>
    <w:rsid w:val="009E2BBD"/>
    <w:rsid w:val="009E2BD5"/>
    <w:rsid w:val="009E2BFF"/>
    <w:rsid w:val="009E2C1D"/>
    <w:rsid w:val="009E2C99"/>
    <w:rsid w:val="009E2DE4"/>
    <w:rsid w:val="009E2DF4"/>
    <w:rsid w:val="009E2DFF"/>
    <w:rsid w:val="009E2E1F"/>
    <w:rsid w:val="009E2E2E"/>
    <w:rsid w:val="009E2E32"/>
    <w:rsid w:val="009E2E3C"/>
    <w:rsid w:val="009E2EED"/>
    <w:rsid w:val="009E2EF7"/>
    <w:rsid w:val="009E2F5B"/>
    <w:rsid w:val="009E2F5E"/>
    <w:rsid w:val="009E2F7B"/>
    <w:rsid w:val="009E2FE5"/>
    <w:rsid w:val="009E3033"/>
    <w:rsid w:val="009E3038"/>
    <w:rsid w:val="009E303F"/>
    <w:rsid w:val="009E305D"/>
    <w:rsid w:val="009E311B"/>
    <w:rsid w:val="009E3135"/>
    <w:rsid w:val="009E3270"/>
    <w:rsid w:val="009E3299"/>
    <w:rsid w:val="009E32D1"/>
    <w:rsid w:val="009E330F"/>
    <w:rsid w:val="009E3326"/>
    <w:rsid w:val="009E3377"/>
    <w:rsid w:val="009E3392"/>
    <w:rsid w:val="009E33A8"/>
    <w:rsid w:val="009E33B6"/>
    <w:rsid w:val="009E33D3"/>
    <w:rsid w:val="009E33DB"/>
    <w:rsid w:val="009E3415"/>
    <w:rsid w:val="009E3429"/>
    <w:rsid w:val="009E3435"/>
    <w:rsid w:val="009E3461"/>
    <w:rsid w:val="009E34CE"/>
    <w:rsid w:val="009E34D7"/>
    <w:rsid w:val="009E34E5"/>
    <w:rsid w:val="009E3509"/>
    <w:rsid w:val="009E350E"/>
    <w:rsid w:val="009E3524"/>
    <w:rsid w:val="009E3583"/>
    <w:rsid w:val="009E35D0"/>
    <w:rsid w:val="009E35F0"/>
    <w:rsid w:val="009E3634"/>
    <w:rsid w:val="009E3641"/>
    <w:rsid w:val="009E3651"/>
    <w:rsid w:val="009E3666"/>
    <w:rsid w:val="009E366A"/>
    <w:rsid w:val="009E3697"/>
    <w:rsid w:val="009E36D9"/>
    <w:rsid w:val="009E3743"/>
    <w:rsid w:val="009E3753"/>
    <w:rsid w:val="009E3772"/>
    <w:rsid w:val="009E3789"/>
    <w:rsid w:val="009E3807"/>
    <w:rsid w:val="009E384A"/>
    <w:rsid w:val="009E3854"/>
    <w:rsid w:val="009E3867"/>
    <w:rsid w:val="009E3870"/>
    <w:rsid w:val="009E387E"/>
    <w:rsid w:val="009E38D1"/>
    <w:rsid w:val="009E38D9"/>
    <w:rsid w:val="009E38EE"/>
    <w:rsid w:val="009E3981"/>
    <w:rsid w:val="009E3992"/>
    <w:rsid w:val="009E3995"/>
    <w:rsid w:val="009E39B9"/>
    <w:rsid w:val="009E39F5"/>
    <w:rsid w:val="009E3A94"/>
    <w:rsid w:val="009E3AA0"/>
    <w:rsid w:val="009E3AB9"/>
    <w:rsid w:val="009E3AFD"/>
    <w:rsid w:val="009E3B03"/>
    <w:rsid w:val="009E3B23"/>
    <w:rsid w:val="009E3B45"/>
    <w:rsid w:val="009E3B47"/>
    <w:rsid w:val="009E3B57"/>
    <w:rsid w:val="009E3C00"/>
    <w:rsid w:val="009E3C04"/>
    <w:rsid w:val="009E3C22"/>
    <w:rsid w:val="009E3C71"/>
    <w:rsid w:val="009E3D0F"/>
    <w:rsid w:val="009E3D1C"/>
    <w:rsid w:val="009E3D39"/>
    <w:rsid w:val="009E3DC6"/>
    <w:rsid w:val="009E3DF5"/>
    <w:rsid w:val="009E3E42"/>
    <w:rsid w:val="009E3E4F"/>
    <w:rsid w:val="009E3E89"/>
    <w:rsid w:val="009E3E91"/>
    <w:rsid w:val="009E3EC3"/>
    <w:rsid w:val="009E3ED8"/>
    <w:rsid w:val="009E3F44"/>
    <w:rsid w:val="009E3FAD"/>
    <w:rsid w:val="009E3FD0"/>
    <w:rsid w:val="009E4005"/>
    <w:rsid w:val="009E405A"/>
    <w:rsid w:val="009E409D"/>
    <w:rsid w:val="009E40A3"/>
    <w:rsid w:val="009E40AF"/>
    <w:rsid w:val="009E40EA"/>
    <w:rsid w:val="009E413F"/>
    <w:rsid w:val="009E41F7"/>
    <w:rsid w:val="009E4212"/>
    <w:rsid w:val="009E4228"/>
    <w:rsid w:val="009E422A"/>
    <w:rsid w:val="009E4230"/>
    <w:rsid w:val="009E425C"/>
    <w:rsid w:val="009E4276"/>
    <w:rsid w:val="009E4285"/>
    <w:rsid w:val="009E42C0"/>
    <w:rsid w:val="009E4314"/>
    <w:rsid w:val="009E4341"/>
    <w:rsid w:val="009E4382"/>
    <w:rsid w:val="009E4397"/>
    <w:rsid w:val="009E439F"/>
    <w:rsid w:val="009E43A2"/>
    <w:rsid w:val="009E43AD"/>
    <w:rsid w:val="009E4451"/>
    <w:rsid w:val="009E4496"/>
    <w:rsid w:val="009E44AD"/>
    <w:rsid w:val="009E44B0"/>
    <w:rsid w:val="009E44F2"/>
    <w:rsid w:val="009E44F7"/>
    <w:rsid w:val="009E4532"/>
    <w:rsid w:val="009E4542"/>
    <w:rsid w:val="009E4565"/>
    <w:rsid w:val="009E4571"/>
    <w:rsid w:val="009E4586"/>
    <w:rsid w:val="009E45EF"/>
    <w:rsid w:val="009E4609"/>
    <w:rsid w:val="009E463B"/>
    <w:rsid w:val="009E466D"/>
    <w:rsid w:val="009E469B"/>
    <w:rsid w:val="009E46A5"/>
    <w:rsid w:val="009E46AC"/>
    <w:rsid w:val="009E46DB"/>
    <w:rsid w:val="009E4749"/>
    <w:rsid w:val="009E4798"/>
    <w:rsid w:val="009E47D9"/>
    <w:rsid w:val="009E47E1"/>
    <w:rsid w:val="009E47E6"/>
    <w:rsid w:val="009E47F1"/>
    <w:rsid w:val="009E480C"/>
    <w:rsid w:val="009E482F"/>
    <w:rsid w:val="009E4839"/>
    <w:rsid w:val="009E4855"/>
    <w:rsid w:val="009E4864"/>
    <w:rsid w:val="009E4886"/>
    <w:rsid w:val="009E48E1"/>
    <w:rsid w:val="009E4939"/>
    <w:rsid w:val="009E4A95"/>
    <w:rsid w:val="009E4AC4"/>
    <w:rsid w:val="009E4B12"/>
    <w:rsid w:val="009E4B56"/>
    <w:rsid w:val="009E4BBC"/>
    <w:rsid w:val="009E4BF3"/>
    <w:rsid w:val="009E4C14"/>
    <w:rsid w:val="009E4C82"/>
    <w:rsid w:val="009E4C86"/>
    <w:rsid w:val="009E4D08"/>
    <w:rsid w:val="009E4D67"/>
    <w:rsid w:val="009E4DC2"/>
    <w:rsid w:val="009E4E03"/>
    <w:rsid w:val="009E4E6B"/>
    <w:rsid w:val="009E4E70"/>
    <w:rsid w:val="009E4EA6"/>
    <w:rsid w:val="009E4F1F"/>
    <w:rsid w:val="009E4F24"/>
    <w:rsid w:val="009E4F2A"/>
    <w:rsid w:val="009E4F5E"/>
    <w:rsid w:val="009E4F75"/>
    <w:rsid w:val="009E4F78"/>
    <w:rsid w:val="009E4FAB"/>
    <w:rsid w:val="009E4FC4"/>
    <w:rsid w:val="009E4FCA"/>
    <w:rsid w:val="009E4FF8"/>
    <w:rsid w:val="009E5023"/>
    <w:rsid w:val="009E504F"/>
    <w:rsid w:val="009E5063"/>
    <w:rsid w:val="009E50DD"/>
    <w:rsid w:val="009E50F3"/>
    <w:rsid w:val="009E5150"/>
    <w:rsid w:val="009E5188"/>
    <w:rsid w:val="009E518E"/>
    <w:rsid w:val="009E51A8"/>
    <w:rsid w:val="009E51A9"/>
    <w:rsid w:val="009E51F2"/>
    <w:rsid w:val="009E51FC"/>
    <w:rsid w:val="009E5240"/>
    <w:rsid w:val="009E5341"/>
    <w:rsid w:val="009E537A"/>
    <w:rsid w:val="009E53D1"/>
    <w:rsid w:val="009E5468"/>
    <w:rsid w:val="009E54A6"/>
    <w:rsid w:val="009E54EA"/>
    <w:rsid w:val="009E5552"/>
    <w:rsid w:val="009E5554"/>
    <w:rsid w:val="009E5573"/>
    <w:rsid w:val="009E5594"/>
    <w:rsid w:val="009E55A7"/>
    <w:rsid w:val="009E56B5"/>
    <w:rsid w:val="009E5704"/>
    <w:rsid w:val="009E5741"/>
    <w:rsid w:val="009E5765"/>
    <w:rsid w:val="009E57B9"/>
    <w:rsid w:val="009E57CA"/>
    <w:rsid w:val="009E583C"/>
    <w:rsid w:val="009E58C8"/>
    <w:rsid w:val="009E594A"/>
    <w:rsid w:val="009E594B"/>
    <w:rsid w:val="009E5967"/>
    <w:rsid w:val="009E59DB"/>
    <w:rsid w:val="009E5A12"/>
    <w:rsid w:val="009E5A48"/>
    <w:rsid w:val="009E5A68"/>
    <w:rsid w:val="009E5A6F"/>
    <w:rsid w:val="009E5AA5"/>
    <w:rsid w:val="009E5AF6"/>
    <w:rsid w:val="009E5B04"/>
    <w:rsid w:val="009E5B62"/>
    <w:rsid w:val="009E5B6A"/>
    <w:rsid w:val="009E5BFF"/>
    <w:rsid w:val="009E5C20"/>
    <w:rsid w:val="009E5C37"/>
    <w:rsid w:val="009E5C9F"/>
    <w:rsid w:val="009E5CCF"/>
    <w:rsid w:val="009E5CD2"/>
    <w:rsid w:val="009E5CE5"/>
    <w:rsid w:val="009E5D0B"/>
    <w:rsid w:val="009E5D55"/>
    <w:rsid w:val="009E5DD6"/>
    <w:rsid w:val="009E5DF6"/>
    <w:rsid w:val="009E5E64"/>
    <w:rsid w:val="009E5EA8"/>
    <w:rsid w:val="009E5ECE"/>
    <w:rsid w:val="009E5EE1"/>
    <w:rsid w:val="009E5EFD"/>
    <w:rsid w:val="009E5F11"/>
    <w:rsid w:val="009E5F7E"/>
    <w:rsid w:val="009E5F84"/>
    <w:rsid w:val="009E5F9A"/>
    <w:rsid w:val="009E5FAB"/>
    <w:rsid w:val="009E5FE2"/>
    <w:rsid w:val="009E6041"/>
    <w:rsid w:val="009E606D"/>
    <w:rsid w:val="009E606F"/>
    <w:rsid w:val="009E60C5"/>
    <w:rsid w:val="009E60F6"/>
    <w:rsid w:val="009E6126"/>
    <w:rsid w:val="009E61A5"/>
    <w:rsid w:val="009E61CF"/>
    <w:rsid w:val="009E61D4"/>
    <w:rsid w:val="009E6205"/>
    <w:rsid w:val="009E6213"/>
    <w:rsid w:val="009E6251"/>
    <w:rsid w:val="009E627B"/>
    <w:rsid w:val="009E62C3"/>
    <w:rsid w:val="009E62CA"/>
    <w:rsid w:val="009E6333"/>
    <w:rsid w:val="009E6349"/>
    <w:rsid w:val="009E63A4"/>
    <w:rsid w:val="009E63A8"/>
    <w:rsid w:val="009E63F2"/>
    <w:rsid w:val="009E640E"/>
    <w:rsid w:val="009E6416"/>
    <w:rsid w:val="009E6430"/>
    <w:rsid w:val="009E6444"/>
    <w:rsid w:val="009E6454"/>
    <w:rsid w:val="009E6475"/>
    <w:rsid w:val="009E647E"/>
    <w:rsid w:val="009E6494"/>
    <w:rsid w:val="009E64A1"/>
    <w:rsid w:val="009E64E1"/>
    <w:rsid w:val="009E64F0"/>
    <w:rsid w:val="009E64F6"/>
    <w:rsid w:val="009E6521"/>
    <w:rsid w:val="009E6542"/>
    <w:rsid w:val="009E658E"/>
    <w:rsid w:val="009E65C2"/>
    <w:rsid w:val="009E6633"/>
    <w:rsid w:val="009E6680"/>
    <w:rsid w:val="009E66B1"/>
    <w:rsid w:val="009E66D2"/>
    <w:rsid w:val="009E66F9"/>
    <w:rsid w:val="009E673E"/>
    <w:rsid w:val="009E6773"/>
    <w:rsid w:val="009E6779"/>
    <w:rsid w:val="009E677C"/>
    <w:rsid w:val="009E67B6"/>
    <w:rsid w:val="009E680A"/>
    <w:rsid w:val="009E68CB"/>
    <w:rsid w:val="009E68CC"/>
    <w:rsid w:val="009E68FF"/>
    <w:rsid w:val="009E6928"/>
    <w:rsid w:val="009E6952"/>
    <w:rsid w:val="009E69AB"/>
    <w:rsid w:val="009E6A7A"/>
    <w:rsid w:val="009E6A9F"/>
    <w:rsid w:val="009E6AA9"/>
    <w:rsid w:val="009E6B1A"/>
    <w:rsid w:val="009E6B51"/>
    <w:rsid w:val="009E6B85"/>
    <w:rsid w:val="009E6BAC"/>
    <w:rsid w:val="009E6BB1"/>
    <w:rsid w:val="009E6C11"/>
    <w:rsid w:val="009E6C25"/>
    <w:rsid w:val="009E6C76"/>
    <w:rsid w:val="009E6C7F"/>
    <w:rsid w:val="009E6C86"/>
    <w:rsid w:val="009E6CD5"/>
    <w:rsid w:val="009E6D8B"/>
    <w:rsid w:val="009E6DC2"/>
    <w:rsid w:val="009E6DE5"/>
    <w:rsid w:val="009E6DED"/>
    <w:rsid w:val="009E6E2C"/>
    <w:rsid w:val="009E6E53"/>
    <w:rsid w:val="009E6E68"/>
    <w:rsid w:val="009E6E7B"/>
    <w:rsid w:val="009E6EBD"/>
    <w:rsid w:val="009E6EFB"/>
    <w:rsid w:val="009E6FB3"/>
    <w:rsid w:val="009E6FB9"/>
    <w:rsid w:val="009E6FC1"/>
    <w:rsid w:val="009E7002"/>
    <w:rsid w:val="009E7043"/>
    <w:rsid w:val="009E7044"/>
    <w:rsid w:val="009E7085"/>
    <w:rsid w:val="009E70AE"/>
    <w:rsid w:val="009E70ED"/>
    <w:rsid w:val="009E7111"/>
    <w:rsid w:val="009E7129"/>
    <w:rsid w:val="009E7138"/>
    <w:rsid w:val="009E714F"/>
    <w:rsid w:val="009E7177"/>
    <w:rsid w:val="009E717B"/>
    <w:rsid w:val="009E7189"/>
    <w:rsid w:val="009E71F2"/>
    <w:rsid w:val="009E7226"/>
    <w:rsid w:val="009E727B"/>
    <w:rsid w:val="009E7283"/>
    <w:rsid w:val="009E72C1"/>
    <w:rsid w:val="009E7343"/>
    <w:rsid w:val="009E73BC"/>
    <w:rsid w:val="009E73CE"/>
    <w:rsid w:val="009E73FE"/>
    <w:rsid w:val="009E744D"/>
    <w:rsid w:val="009E747E"/>
    <w:rsid w:val="009E74C6"/>
    <w:rsid w:val="009E74CE"/>
    <w:rsid w:val="009E7556"/>
    <w:rsid w:val="009E7579"/>
    <w:rsid w:val="009E75AF"/>
    <w:rsid w:val="009E75BF"/>
    <w:rsid w:val="009E7644"/>
    <w:rsid w:val="009E7682"/>
    <w:rsid w:val="009E76C4"/>
    <w:rsid w:val="009E76D8"/>
    <w:rsid w:val="009E7745"/>
    <w:rsid w:val="009E778A"/>
    <w:rsid w:val="009E77B8"/>
    <w:rsid w:val="009E7819"/>
    <w:rsid w:val="009E78B0"/>
    <w:rsid w:val="009E78F5"/>
    <w:rsid w:val="009E7929"/>
    <w:rsid w:val="009E7942"/>
    <w:rsid w:val="009E7974"/>
    <w:rsid w:val="009E79C8"/>
    <w:rsid w:val="009E79DF"/>
    <w:rsid w:val="009E7A05"/>
    <w:rsid w:val="009E7A3B"/>
    <w:rsid w:val="009E7A50"/>
    <w:rsid w:val="009E7A5C"/>
    <w:rsid w:val="009E7A89"/>
    <w:rsid w:val="009E7AA5"/>
    <w:rsid w:val="009E7AC7"/>
    <w:rsid w:val="009E7AE9"/>
    <w:rsid w:val="009E7B17"/>
    <w:rsid w:val="009E7B6C"/>
    <w:rsid w:val="009E7C76"/>
    <w:rsid w:val="009E7CD3"/>
    <w:rsid w:val="009E7CD8"/>
    <w:rsid w:val="009E7D53"/>
    <w:rsid w:val="009E7D88"/>
    <w:rsid w:val="009E7DA4"/>
    <w:rsid w:val="009E7DBD"/>
    <w:rsid w:val="009E7DD1"/>
    <w:rsid w:val="009E7DF5"/>
    <w:rsid w:val="009E7E67"/>
    <w:rsid w:val="009E7E96"/>
    <w:rsid w:val="009E7EA7"/>
    <w:rsid w:val="009E7EB5"/>
    <w:rsid w:val="009E7ED7"/>
    <w:rsid w:val="009E7EDD"/>
    <w:rsid w:val="009E7EEE"/>
    <w:rsid w:val="009E7EFF"/>
    <w:rsid w:val="009E7F32"/>
    <w:rsid w:val="009E7F3B"/>
    <w:rsid w:val="009E7F3F"/>
    <w:rsid w:val="009E7FC4"/>
    <w:rsid w:val="009E7FF9"/>
    <w:rsid w:val="009F0007"/>
    <w:rsid w:val="009F00BE"/>
    <w:rsid w:val="009F01D0"/>
    <w:rsid w:val="009F01D2"/>
    <w:rsid w:val="009F01DA"/>
    <w:rsid w:val="009F01EE"/>
    <w:rsid w:val="009F020B"/>
    <w:rsid w:val="009F0229"/>
    <w:rsid w:val="009F02B2"/>
    <w:rsid w:val="009F031A"/>
    <w:rsid w:val="009F033A"/>
    <w:rsid w:val="009F03B9"/>
    <w:rsid w:val="009F040A"/>
    <w:rsid w:val="009F044E"/>
    <w:rsid w:val="009F0496"/>
    <w:rsid w:val="009F04B8"/>
    <w:rsid w:val="009F04DB"/>
    <w:rsid w:val="009F04F8"/>
    <w:rsid w:val="009F052F"/>
    <w:rsid w:val="009F0535"/>
    <w:rsid w:val="009F0588"/>
    <w:rsid w:val="009F05EE"/>
    <w:rsid w:val="009F05F2"/>
    <w:rsid w:val="009F0612"/>
    <w:rsid w:val="009F065A"/>
    <w:rsid w:val="009F066E"/>
    <w:rsid w:val="009F06A4"/>
    <w:rsid w:val="009F06D1"/>
    <w:rsid w:val="009F06E4"/>
    <w:rsid w:val="009F0739"/>
    <w:rsid w:val="009F074D"/>
    <w:rsid w:val="009F07E7"/>
    <w:rsid w:val="009F07F3"/>
    <w:rsid w:val="009F07FA"/>
    <w:rsid w:val="009F080A"/>
    <w:rsid w:val="009F082D"/>
    <w:rsid w:val="009F0847"/>
    <w:rsid w:val="009F0886"/>
    <w:rsid w:val="009F08BA"/>
    <w:rsid w:val="009F0909"/>
    <w:rsid w:val="009F090A"/>
    <w:rsid w:val="009F091B"/>
    <w:rsid w:val="009F091D"/>
    <w:rsid w:val="009F0933"/>
    <w:rsid w:val="009F0936"/>
    <w:rsid w:val="009F0996"/>
    <w:rsid w:val="009F0A24"/>
    <w:rsid w:val="009F0A38"/>
    <w:rsid w:val="009F0A71"/>
    <w:rsid w:val="009F0B26"/>
    <w:rsid w:val="009F0BB6"/>
    <w:rsid w:val="009F0BDC"/>
    <w:rsid w:val="009F0BFA"/>
    <w:rsid w:val="009F0C4B"/>
    <w:rsid w:val="009F0CD6"/>
    <w:rsid w:val="009F0CE8"/>
    <w:rsid w:val="009F0CEA"/>
    <w:rsid w:val="009F0D7D"/>
    <w:rsid w:val="009F0D95"/>
    <w:rsid w:val="009F0DA1"/>
    <w:rsid w:val="009F0DBF"/>
    <w:rsid w:val="009F0E07"/>
    <w:rsid w:val="009F0E0A"/>
    <w:rsid w:val="009F0E3A"/>
    <w:rsid w:val="009F0E44"/>
    <w:rsid w:val="009F0EB4"/>
    <w:rsid w:val="009F0F05"/>
    <w:rsid w:val="009F0F1C"/>
    <w:rsid w:val="009F0F28"/>
    <w:rsid w:val="009F0F74"/>
    <w:rsid w:val="009F0FEB"/>
    <w:rsid w:val="009F103D"/>
    <w:rsid w:val="009F1054"/>
    <w:rsid w:val="009F106A"/>
    <w:rsid w:val="009F109D"/>
    <w:rsid w:val="009F10BB"/>
    <w:rsid w:val="009F1109"/>
    <w:rsid w:val="009F112F"/>
    <w:rsid w:val="009F1140"/>
    <w:rsid w:val="009F115F"/>
    <w:rsid w:val="009F1236"/>
    <w:rsid w:val="009F1238"/>
    <w:rsid w:val="009F125F"/>
    <w:rsid w:val="009F1261"/>
    <w:rsid w:val="009F12F2"/>
    <w:rsid w:val="009F12F3"/>
    <w:rsid w:val="009F1346"/>
    <w:rsid w:val="009F1369"/>
    <w:rsid w:val="009F138E"/>
    <w:rsid w:val="009F1391"/>
    <w:rsid w:val="009F1399"/>
    <w:rsid w:val="009F140F"/>
    <w:rsid w:val="009F1424"/>
    <w:rsid w:val="009F149F"/>
    <w:rsid w:val="009F14B9"/>
    <w:rsid w:val="009F14BF"/>
    <w:rsid w:val="009F14C7"/>
    <w:rsid w:val="009F14D3"/>
    <w:rsid w:val="009F1548"/>
    <w:rsid w:val="009F1549"/>
    <w:rsid w:val="009F1583"/>
    <w:rsid w:val="009F15B2"/>
    <w:rsid w:val="009F15C5"/>
    <w:rsid w:val="009F163B"/>
    <w:rsid w:val="009F1680"/>
    <w:rsid w:val="009F16C0"/>
    <w:rsid w:val="009F16C5"/>
    <w:rsid w:val="009F16D0"/>
    <w:rsid w:val="009F16FF"/>
    <w:rsid w:val="009F1720"/>
    <w:rsid w:val="009F17B3"/>
    <w:rsid w:val="009F1819"/>
    <w:rsid w:val="009F1842"/>
    <w:rsid w:val="009F190D"/>
    <w:rsid w:val="009F199B"/>
    <w:rsid w:val="009F19CD"/>
    <w:rsid w:val="009F1A0C"/>
    <w:rsid w:val="009F1A79"/>
    <w:rsid w:val="009F1A85"/>
    <w:rsid w:val="009F1A89"/>
    <w:rsid w:val="009F1AE7"/>
    <w:rsid w:val="009F1B22"/>
    <w:rsid w:val="009F1B24"/>
    <w:rsid w:val="009F1B2F"/>
    <w:rsid w:val="009F1B30"/>
    <w:rsid w:val="009F1B58"/>
    <w:rsid w:val="009F1B62"/>
    <w:rsid w:val="009F1BC8"/>
    <w:rsid w:val="009F1C33"/>
    <w:rsid w:val="009F1C89"/>
    <w:rsid w:val="009F1D25"/>
    <w:rsid w:val="009F1D6A"/>
    <w:rsid w:val="009F1D81"/>
    <w:rsid w:val="009F1D84"/>
    <w:rsid w:val="009F1D95"/>
    <w:rsid w:val="009F1D9A"/>
    <w:rsid w:val="009F1DE6"/>
    <w:rsid w:val="009F1DED"/>
    <w:rsid w:val="009F1E1A"/>
    <w:rsid w:val="009F1E43"/>
    <w:rsid w:val="009F1E75"/>
    <w:rsid w:val="009F1E9B"/>
    <w:rsid w:val="009F1EA7"/>
    <w:rsid w:val="009F1ED8"/>
    <w:rsid w:val="009F1EE3"/>
    <w:rsid w:val="009F1EF6"/>
    <w:rsid w:val="009F1F28"/>
    <w:rsid w:val="009F1F74"/>
    <w:rsid w:val="009F1FA5"/>
    <w:rsid w:val="009F1FB7"/>
    <w:rsid w:val="009F1FF0"/>
    <w:rsid w:val="009F2036"/>
    <w:rsid w:val="009F2043"/>
    <w:rsid w:val="009F2086"/>
    <w:rsid w:val="009F20A8"/>
    <w:rsid w:val="009F20AB"/>
    <w:rsid w:val="009F20FE"/>
    <w:rsid w:val="009F2108"/>
    <w:rsid w:val="009F2110"/>
    <w:rsid w:val="009F2121"/>
    <w:rsid w:val="009F2153"/>
    <w:rsid w:val="009F2167"/>
    <w:rsid w:val="009F21FF"/>
    <w:rsid w:val="009F2213"/>
    <w:rsid w:val="009F2261"/>
    <w:rsid w:val="009F22AF"/>
    <w:rsid w:val="009F22DB"/>
    <w:rsid w:val="009F2307"/>
    <w:rsid w:val="009F232C"/>
    <w:rsid w:val="009F23AB"/>
    <w:rsid w:val="009F23E1"/>
    <w:rsid w:val="009F2432"/>
    <w:rsid w:val="009F2439"/>
    <w:rsid w:val="009F2459"/>
    <w:rsid w:val="009F2480"/>
    <w:rsid w:val="009F24BA"/>
    <w:rsid w:val="009F24F0"/>
    <w:rsid w:val="009F24FA"/>
    <w:rsid w:val="009F256E"/>
    <w:rsid w:val="009F25AC"/>
    <w:rsid w:val="009F25E4"/>
    <w:rsid w:val="009F25F1"/>
    <w:rsid w:val="009F261E"/>
    <w:rsid w:val="009F2695"/>
    <w:rsid w:val="009F26B9"/>
    <w:rsid w:val="009F26D7"/>
    <w:rsid w:val="009F2741"/>
    <w:rsid w:val="009F2742"/>
    <w:rsid w:val="009F274F"/>
    <w:rsid w:val="009F275B"/>
    <w:rsid w:val="009F2796"/>
    <w:rsid w:val="009F279A"/>
    <w:rsid w:val="009F27E8"/>
    <w:rsid w:val="009F27F3"/>
    <w:rsid w:val="009F283D"/>
    <w:rsid w:val="009F2847"/>
    <w:rsid w:val="009F287F"/>
    <w:rsid w:val="009F28A3"/>
    <w:rsid w:val="009F28DB"/>
    <w:rsid w:val="009F2966"/>
    <w:rsid w:val="009F2971"/>
    <w:rsid w:val="009F299D"/>
    <w:rsid w:val="009F29B4"/>
    <w:rsid w:val="009F29DB"/>
    <w:rsid w:val="009F2A15"/>
    <w:rsid w:val="009F2AC7"/>
    <w:rsid w:val="009F2B02"/>
    <w:rsid w:val="009F2B26"/>
    <w:rsid w:val="009F2B77"/>
    <w:rsid w:val="009F2B7E"/>
    <w:rsid w:val="009F2B9A"/>
    <w:rsid w:val="009F2BA3"/>
    <w:rsid w:val="009F2C36"/>
    <w:rsid w:val="009F2C78"/>
    <w:rsid w:val="009F2CBD"/>
    <w:rsid w:val="009F2CDF"/>
    <w:rsid w:val="009F2CFC"/>
    <w:rsid w:val="009F2D1D"/>
    <w:rsid w:val="009F2D22"/>
    <w:rsid w:val="009F2D79"/>
    <w:rsid w:val="009F2D88"/>
    <w:rsid w:val="009F2DFE"/>
    <w:rsid w:val="009F2E3A"/>
    <w:rsid w:val="009F2E60"/>
    <w:rsid w:val="009F2ED9"/>
    <w:rsid w:val="009F2F43"/>
    <w:rsid w:val="009F2F63"/>
    <w:rsid w:val="009F2F72"/>
    <w:rsid w:val="009F2F7D"/>
    <w:rsid w:val="009F2F8D"/>
    <w:rsid w:val="009F3009"/>
    <w:rsid w:val="009F3024"/>
    <w:rsid w:val="009F302E"/>
    <w:rsid w:val="009F3038"/>
    <w:rsid w:val="009F3057"/>
    <w:rsid w:val="009F3133"/>
    <w:rsid w:val="009F3149"/>
    <w:rsid w:val="009F314F"/>
    <w:rsid w:val="009F3194"/>
    <w:rsid w:val="009F31B4"/>
    <w:rsid w:val="009F31BD"/>
    <w:rsid w:val="009F31C8"/>
    <w:rsid w:val="009F31D2"/>
    <w:rsid w:val="009F31F7"/>
    <w:rsid w:val="009F3206"/>
    <w:rsid w:val="009F3232"/>
    <w:rsid w:val="009F327F"/>
    <w:rsid w:val="009F3293"/>
    <w:rsid w:val="009F32C0"/>
    <w:rsid w:val="009F32C1"/>
    <w:rsid w:val="009F32FC"/>
    <w:rsid w:val="009F3338"/>
    <w:rsid w:val="009F3357"/>
    <w:rsid w:val="009F339A"/>
    <w:rsid w:val="009F33D8"/>
    <w:rsid w:val="009F33E4"/>
    <w:rsid w:val="009F3412"/>
    <w:rsid w:val="009F3424"/>
    <w:rsid w:val="009F3456"/>
    <w:rsid w:val="009F3462"/>
    <w:rsid w:val="009F3463"/>
    <w:rsid w:val="009F346B"/>
    <w:rsid w:val="009F3491"/>
    <w:rsid w:val="009F34B2"/>
    <w:rsid w:val="009F34DC"/>
    <w:rsid w:val="009F34F8"/>
    <w:rsid w:val="009F3569"/>
    <w:rsid w:val="009F35A1"/>
    <w:rsid w:val="009F35A2"/>
    <w:rsid w:val="009F35C4"/>
    <w:rsid w:val="009F35F7"/>
    <w:rsid w:val="009F369E"/>
    <w:rsid w:val="009F36D2"/>
    <w:rsid w:val="009F370F"/>
    <w:rsid w:val="009F371F"/>
    <w:rsid w:val="009F3721"/>
    <w:rsid w:val="009F372E"/>
    <w:rsid w:val="009F3735"/>
    <w:rsid w:val="009F3772"/>
    <w:rsid w:val="009F37AC"/>
    <w:rsid w:val="009F37C1"/>
    <w:rsid w:val="009F3832"/>
    <w:rsid w:val="009F3836"/>
    <w:rsid w:val="009F3873"/>
    <w:rsid w:val="009F3881"/>
    <w:rsid w:val="009F38AE"/>
    <w:rsid w:val="009F38B7"/>
    <w:rsid w:val="009F38C1"/>
    <w:rsid w:val="009F38E4"/>
    <w:rsid w:val="009F38F2"/>
    <w:rsid w:val="009F38F4"/>
    <w:rsid w:val="009F3951"/>
    <w:rsid w:val="009F39BD"/>
    <w:rsid w:val="009F39C4"/>
    <w:rsid w:val="009F3A11"/>
    <w:rsid w:val="009F3A2A"/>
    <w:rsid w:val="009F3A2E"/>
    <w:rsid w:val="009F3A3A"/>
    <w:rsid w:val="009F3AB0"/>
    <w:rsid w:val="009F3AEE"/>
    <w:rsid w:val="009F3B13"/>
    <w:rsid w:val="009F3B14"/>
    <w:rsid w:val="009F3B16"/>
    <w:rsid w:val="009F3B1C"/>
    <w:rsid w:val="009F3B57"/>
    <w:rsid w:val="009F3B6C"/>
    <w:rsid w:val="009F3B82"/>
    <w:rsid w:val="009F3BF3"/>
    <w:rsid w:val="009F3C7F"/>
    <w:rsid w:val="009F3C85"/>
    <w:rsid w:val="009F3CB4"/>
    <w:rsid w:val="009F3CC3"/>
    <w:rsid w:val="009F3D3C"/>
    <w:rsid w:val="009F3E2A"/>
    <w:rsid w:val="009F3E96"/>
    <w:rsid w:val="009F3EC8"/>
    <w:rsid w:val="009F3EEB"/>
    <w:rsid w:val="009F3F05"/>
    <w:rsid w:val="009F3F0E"/>
    <w:rsid w:val="009F3F14"/>
    <w:rsid w:val="009F3F3B"/>
    <w:rsid w:val="009F3F55"/>
    <w:rsid w:val="009F3F60"/>
    <w:rsid w:val="009F3F6C"/>
    <w:rsid w:val="009F3F77"/>
    <w:rsid w:val="009F3FB0"/>
    <w:rsid w:val="009F3FB5"/>
    <w:rsid w:val="009F4044"/>
    <w:rsid w:val="009F40D2"/>
    <w:rsid w:val="009F40D8"/>
    <w:rsid w:val="009F40DE"/>
    <w:rsid w:val="009F4104"/>
    <w:rsid w:val="009F411B"/>
    <w:rsid w:val="009F4185"/>
    <w:rsid w:val="009F4199"/>
    <w:rsid w:val="009F41FD"/>
    <w:rsid w:val="009F4217"/>
    <w:rsid w:val="009F4261"/>
    <w:rsid w:val="009F42A4"/>
    <w:rsid w:val="009F42AF"/>
    <w:rsid w:val="009F42E1"/>
    <w:rsid w:val="009F4327"/>
    <w:rsid w:val="009F435D"/>
    <w:rsid w:val="009F439A"/>
    <w:rsid w:val="009F439E"/>
    <w:rsid w:val="009F443D"/>
    <w:rsid w:val="009F4461"/>
    <w:rsid w:val="009F4469"/>
    <w:rsid w:val="009F44C2"/>
    <w:rsid w:val="009F44F7"/>
    <w:rsid w:val="009F4564"/>
    <w:rsid w:val="009F45B7"/>
    <w:rsid w:val="009F45BE"/>
    <w:rsid w:val="009F45C3"/>
    <w:rsid w:val="009F460C"/>
    <w:rsid w:val="009F4638"/>
    <w:rsid w:val="009F4686"/>
    <w:rsid w:val="009F4718"/>
    <w:rsid w:val="009F4739"/>
    <w:rsid w:val="009F475F"/>
    <w:rsid w:val="009F4762"/>
    <w:rsid w:val="009F4785"/>
    <w:rsid w:val="009F4791"/>
    <w:rsid w:val="009F4797"/>
    <w:rsid w:val="009F47B9"/>
    <w:rsid w:val="009F47F2"/>
    <w:rsid w:val="009F4837"/>
    <w:rsid w:val="009F484D"/>
    <w:rsid w:val="009F4859"/>
    <w:rsid w:val="009F4860"/>
    <w:rsid w:val="009F48E5"/>
    <w:rsid w:val="009F48E7"/>
    <w:rsid w:val="009F4957"/>
    <w:rsid w:val="009F4982"/>
    <w:rsid w:val="009F4992"/>
    <w:rsid w:val="009F4998"/>
    <w:rsid w:val="009F49DD"/>
    <w:rsid w:val="009F4A0A"/>
    <w:rsid w:val="009F4A1F"/>
    <w:rsid w:val="009F4A41"/>
    <w:rsid w:val="009F4A59"/>
    <w:rsid w:val="009F4A5A"/>
    <w:rsid w:val="009F4A62"/>
    <w:rsid w:val="009F4A6F"/>
    <w:rsid w:val="009F4AB8"/>
    <w:rsid w:val="009F4B1D"/>
    <w:rsid w:val="009F4B77"/>
    <w:rsid w:val="009F4BDA"/>
    <w:rsid w:val="009F4CEC"/>
    <w:rsid w:val="009F4CEF"/>
    <w:rsid w:val="009F4CFE"/>
    <w:rsid w:val="009F4D6D"/>
    <w:rsid w:val="009F4DBF"/>
    <w:rsid w:val="009F4DEE"/>
    <w:rsid w:val="009F4E08"/>
    <w:rsid w:val="009F4E1A"/>
    <w:rsid w:val="009F4E26"/>
    <w:rsid w:val="009F4E45"/>
    <w:rsid w:val="009F4E89"/>
    <w:rsid w:val="009F4E91"/>
    <w:rsid w:val="009F4E94"/>
    <w:rsid w:val="009F4E9E"/>
    <w:rsid w:val="009F4EA8"/>
    <w:rsid w:val="009F4EAD"/>
    <w:rsid w:val="009F4ECB"/>
    <w:rsid w:val="009F4ECE"/>
    <w:rsid w:val="009F4F18"/>
    <w:rsid w:val="009F4F1E"/>
    <w:rsid w:val="009F4F75"/>
    <w:rsid w:val="009F4FCD"/>
    <w:rsid w:val="009F4FD7"/>
    <w:rsid w:val="009F4FF5"/>
    <w:rsid w:val="009F508B"/>
    <w:rsid w:val="009F50B0"/>
    <w:rsid w:val="009F50BA"/>
    <w:rsid w:val="009F50E4"/>
    <w:rsid w:val="009F50F7"/>
    <w:rsid w:val="009F511F"/>
    <w:rsid w:val="009F512A"/>
    <w:rsid w:val="009F5185"/>
    <w:rsid w:val="009F51F9"/>
    <w:rsid w:val="009F51FE"/>
    <w:rsid w:val="009F521E"/>
    <w:rsid w:val="009F5238"/>
    <w:rsid w:val="009F5259"/>
    <w:rsid w:val="009F5284"/>
    <w:rsid w:val="009F52BC"/>
    <w:rsid w:val="009F52FA"/>
    <w:rsid w:val="009F54FF"/>
    <w:rsid w:val="009F5553"/>
    <w:rsid w:val="009F5556"/>
    <w:rsid w:val="009F55C2"/>
    <w:rsid w:val="009F55D0"/>
    <w:rsid w:val="009F560E"/>
    <w:rsid w:val="009F5674"/>
    <w:rsid w:val="009F5685"/>
    <w:rsid w:val="009F5695"/>
    <w:rsid w:val="009F56AD"/>
    <w:rsid w:val="009F56E1"/>
    <w:rsid w:val="009F576E"/>
    <w:rsid w:val="009F57D2"/>
    <w:rsid w:val="009F57D5"/>
    <w:rsid w:val="009F57EB"/>
    <w:rsid w:val="009F5828"/>
    <w:rsid w:val="009F5836"/>
    <w:rsid w:val="009F5889"/>
    <w:rsid w:val="009F5892"/>
    <w:rsid w:val="009F591C"/>
    <w:rsid w:val="009F5938"/>
    <w:rsid w:val="009F5951"/>
    <w:rsid w:val="009F59A9"/>
    <w:rsid w:val="009F59EF"/>
    <w:rsid w:val="009F5A03"/>
    <w:rsid w:val="009F5A04"/>
    <w:rsid w:val="009F5A33"/>
    <w:rsid w:val="009F5AC3"/>
    <w:rsid w:val="009F5AF7"/>
    <w:rsid w:val="009F5AFF"/>
    <w:rsid w:val="009F5B80"/>
    <w:rsid w:val="009F5BB6"/>
    <w:rsid w:val="009F5C50"/>
    <w:rsid w:val="009F5C73"/>
    <w:rsid w:val="009F5C7B"/>
    <w:rsid w:val="009F5CCB"/>
    <w:rsid w:val="009F5CFA"/>
    <w:rsid w:val="009F5CFE"/>
    <w:rsid w:val="009F5D08"/>
    <w:rsid w:val="009F5DB7"/>
    <w:rsid w:val="009F5E43"/>
    <w:rsid w:val="009F5E7D"/>
    <w:rsid w:val="009F5EE3"/>
    <w:rsid w:val="009F5F2F"/>
    <w:rsid w:val="009F5F63"/>
    <w:rsid w:val="009F5F8B"/>
    <w:rsid w:val="009F5FBD"/>
    <w:rsid w:val="009F5FF3"/>
    <w:rsid w:val="009F6001"/>
    <w:rsid w:val="009F6008"/>
    <w:rsid w:val="009F60BD"/>
    <w:rsid w:val="009F60F0"/>
    <w:rsid w:val="009F6117"/>
    <w:rsid w:val="009F612D"/>
    <w:rsid w:val="009F6244"/>
    <w:rsid w:val="009F624C"/>
    <w:rsid w:val="009F62EE"/>
    <w:rsid w:val="009F6347"/>
    <w:rsid w:val="009F63AA"/>
    <w:rsid w:val="009F63FC"/>
    <w:rsid w:val="009F63FD"/>
    <w:rsid w:val="009F648F"/>
    <w:rsid w:val="009F64BA"/>
    <w:rsid w:val="009F650F"/>
    <w:rsid w:val="009F6553"/>
    <w:rsid w:val="009F6574"/>
    <w:rsid w:val="009F657D"/>
    <w:rsid w:val="009F658E"/>
    <w:rsid w:val="009F65AA"/>
    <w:rsid w:val="009F65AF"/>
    <w:rsid w:val="009F65B3"/>
    <w:rsid w:val="009F660B"/>
    <w:rsid w:val="009F6623"/>
    <w:rsid w:val="009F6645"/>
    <w:rsid w:val="009F665B"/>
    <w:rsid w:val="009F6679"/>
    <w:rsid w:val="009F6722"/>
    <w:rsid w:val="009F6757"/>
    <w:rsid w:val="009F6777"/>
    <w:rsid w:val="009F67B6"/>
    <w:rsid w:val="009F681C"/>
    <w:rsid w:val="009F6914"/>
    <w:rsid w:val="009F6939"/>
    <w:rsid w:val="009F693A"/>
    <w:rsid w:val="009F696B"/>
    <w:rsid w:val="009F69A9"/>
    <w:rsid w:val="009F69CF"/>
    <w:rsid w:val="009F69D2"/>
    <w:rsid w:val="009F6A14"/>
    <w:rsid w:val="009F6A41"/>
    <w:rsid w:val="009F6A60"/>
    <w:rsid w:val="009F6A97"/>
    <w:rsid w:val="009F6AA6"/>
    <w:rsid w:val="009F6B08"/>
    <w:rsid w:val="009F6B18"/>
    <w:rsid w:val="009F6B44"/>
    <w:rsid w:val="009F6B75"/>
    <w:rsid w:val="009F6B95"/>
    <w:rsid w:val="009F6BE4"/>
    <w:rsid w:val="009F6BE5"/>
    <w:rsid w:val="009F6C15"/>
    <w:rsid w:val="009F6C55"/>
    <w:rsid w:val="009F6CC2"/>
    <w:rsid w:val="009F6D0A"/>
    <w:rsid w:val="009F6D15"/>
    <w:rsid w:val="009F6D3E"/>
    <w:rsid w:val="009F6DB6"/>
    <w:rsid w:val="009F6DB7"/>
    <w:rsid w:val="009F6DC5"/>
    <w:rsid w:val="009F6DD9"/>
    <w:rsid w:val="009F6E64"/>
    <w:rsid w:val="009F6ED5"/>
    <w:rsid w:val="009F6EE3"/>
    <w:rsid w:val="009F6F4D"/>
    <w:rsid w:val="009F6FFB"/>
    <w:rsid w:val="009F704D"/>
    <w:rsid w:val="009F70BA"/>
    <w:rsid w:val="009F7136"/>
    <w:rsid w:val="009F7159"/>
    <w:rsid w:val="009F71F1"/>
    <w:rsid w:val="009F7217"/>
    <w:rsid w:val="009F7223"/>
    <w:rsid w:val="009F724D"/>
    <w:rsid w:val="009F72E9"/>
    <w:rsid w:val="009F730B"/>
    <w:rsid w:val="009F7314"/>
    <w:rsid w:val="009F7322"/>
    <w:rsid w:val="009F7334"/>
    <w:rsid w:val="009F7389"/>
    <w:rsid w:val="009F73EB"/>
    <w:rsid w:val="009F7452"/>
    <w:rsid w:val="009F7459"/>
    <w:rsid w:val="009F74B3"/>
    <w:rsid w:val="009F7561"/>
    <w:rsid w:val="009F758B"/>
    <w:rsid w:val="009F7592"/>
    <w:rsid w:val="009F7672"/>
    <w:rsid w:val="009F76B4"/>
    <w:rsid w:val="009F7718"/>
    <w:rsid w:val="009F773C"/>
    <w:rsid w:val="009F77A2"/>
    <w:rsid w:val="009F77BA"/>
    <w:rsid w:val="009F7871"/>
    <w:rsid w:val="009F7918"/>
    <w:rsid w:val="009F7928"/>
    <w:rsid w:val="009F7991"/>
    <w:rsid w:val="009F799D"/>
    <w:rsid w:val="009F79C8"/>
    <w:rsid w:val="009F79E2"/>
    <w:rsid w:val="009F7A08"/>
    <w:rsid w:val="009F7A0B"/>
    <w:rsid w:val="009F7A1D"/>
    <w:rsid w:val="009F7A5E"/>
    <w:rsid w:val="009F7ACC"/>
    <w:rsid w:val="009F7AFA"/>
    <w:rsid w:val="009F7B37"/>
    <w:rsid w:val="009F7B67"/>
    <w:rsid w:val="009F7BE2"/>
    <w:rsid w:val="009F7BE6"/>
    <w:rsid w:val="009F7BF9"/>
    <w:rsid w:val="009F7BFF"/>
    <w:rsid w:val="009F7C02"/>
    <w:rsid w:val="009F7C1E"/>
    <w:rsid w:val="009F7CF1"/>
    <w:rsid w:val="009F7CFB"/>
    <w:rsid w:val="009F7D40"/>
    <w:rsid w:val="009F7D42"/>
    <w:rsid w:val="009F7D4C"/>
    <w:rsid w:val="009F7DC3"/>
    <w:rsid w:val="009F7DE6"/>
    <w:rsid w:val="009F7DF3"/>
    <w:rsid w:val="009F7E2A"/>
    <w:rsid w:val="009F7E6F"/>
    <w:rsid w:val="009F7E83"/>
    <w:rsid w:val="009F7F44"/>
    <w:rsid w:val="009F7F48"/>
    <w:rsid w:val="009F7F5E"/>
    <w:rsid w:val="009F7F65"/>
    <w:rsid w:val="009F7F70"/>
    <w:rsid w:val="00A0003C"/>
    <w:rsid w:val="00A00045"/>
    <w:rsid w:val="00A00046"/>
    <w:rsid w:val="00A000BC"/>
    <w:rsid w:val="00A000CF"/>
    <w:rsid w:val="00A000E8"/>
    <w:rsid w:val="00A000F1"/>
    <w:rsid w:val="00A0013D"/>
    <w:rsid w:val="00A0015F"/>
    <w:rsid w:val="00A00185"/>
    <w:rsid w:val="00A001C9"/>
    <w:rsid w:val="00A001CB"/>
    <w:rsid w:val="00A00281"/>
    <w:rsid w:val="00A002C6"/>
    <w:rsid w:val="00A002DF"/>
    <w:rsid w:val="00A002E4"/>
    <w:rsid w:val="00A00304"/>
    <w:rsid w:val="00A00311"/>
    <w:rsid w:val="00A0031F"/>
    <w:rsid w:val="00A00334"/>
    <w:rsid w:val="00A0033F"/>
    <w:rsid w:val="00A00359"/>
    <w:rsid w:val="00A00360"/>
    <w:rsid w:val="00A003A5"/>
    <w:rsid w:val="00A003AE"/>
    <w:rsid w:val="00A0040B"/>
    <w:rsid w:val="00A00428"/>
    <w:rsid w:val="00A0044B"/>
    <w:rsid w:val="00A00450"/>
    <w:rsid w:val="00A0049C"/>
    <w:rsid w:val="00A004CA"/>
    <w:rsid w:val="00A00524"/>
    <w:rsid w:val="00A00537"/>
    <w:rsid w:val="00A00553"/>
    <w:rsid w:val="00A0056A"/>
    <w:rsid w:val="00A00599"/>
    <w:rsid w:val="00A0059B"/>
    <w:rsid w:val="00A005A9"/>
    <w:rsid w:val="00A005C1"/>
    <w:rsid w:val="00A005C5"/>
    <w:rsid w:val="00A0060C"/>
    <w:rsid w:val="00A00615"/>
    <w:rsid w:val="00A00629"/>
    <w:rsid w:val="00A0062B"/>
    <w:rsid w:val="00A00660"/>
    <w:rsid w:val="00A0067F"/>
    <w:rsid w:val="00A006C7"/>
    <w:rsid w:val="00A0070E"/>
    <w:rsid w:val="00A0074B"/>
    <w:rsid w:val="00A007F9"/>
    <w:rsid w:val="00A00810"/>
    <w:rsid w:val="00A00818"/>
    <w:rsid w:val="00A0089A"/>
    <w:rsid w:val="00A008A0"/>
    <w:rsid w:val="00A008A6"/>
    <w:rsid w:val="00A008F4"/>
    <w:rsid w:val="00A00973"/>
    <w:rsid w:val="00A009D6"/>
    <w:rsid w:val="00A00A26"/>
    <w:rsid w:val="00A00A4B"/>
    <w:rsid w:val="00A00AD7"/>
    <w:rsid w:val="00A00AF3"/>
    <w:rsid w:val="00A00B47"/>
    <w:rsid w:val="00A00B9A"/>
    <w:rsid w:val="00A00BAF"/>
    <w:rsid w:val="00A00BC8"/>
    <w:rsid w:val="00A00C1E"/>
    <w:rsid w:val="00A00C35"/>
    <w:rsid w:val="00A00CAE"/>
    <w:rsid w:val="00A00D2E"/>
    <w:rsid w:val="00A00DAC"/>
    <w:rsid w:val="00A00DB0"/>
    <w:rsid w:val="00A00DEA"/>
    <w:rsid w:val="00A00DF6"/>
    <w:rsid w:val="00A00DF7"/>
    <w:rsid w:val="00A00E42"/>
    <w:rsid w:val="00A00EB7"/>
    <w:rsid w:val="00A00ED2"/>
    <w:rsid w:val="00A00F67"/>
    <w:rsid w:val="00A00F87"/>
    <w:rsid w:val="00A00F9E"/>
    <w:rsid w:val="00A01042"/>
    <w:rsid w:val="00A0104C"/>
    <w:rsid w:val="00A0104E"/>
    <w:rsid w:val="00A010B1"/>
    <w:rsid w:val="00A010F9"/>
    <w:rsid w:val="00A010FC"/>
    <w:rsid w:val="00A0112A"/>
    <w:rsid w:val="00A01158"/>
    <w:rsid w:val="00A01174"/>
    <w:rsid w:val="00A011A9"/>
    <w:rsid w:val="00A011CB"/>
    <w:rsid w:val="00A0121A"/>
    <w:rsid w:val="00A0121E"/>
    <w:rsid w:val="00A01263"/>
    <w:rsid w:val="00A0128F"/>
    <w:rsid w:val="00A012DB"/>
    <w:rsid w:val="00A0133B"/>
    <w:rsid w:val="00A013CF"/>
    <w:rsid w:val="00A01458"/>
    <w:rsid w:val="00A01482"/>
    <w:rsid w:val="00A01483"/>
    <w:rsid w:val="00A014C3"/>
    <w:rsid w:val="00A0154B"/>
    <w:rsid w:val="00A0156C"/>
    <w:rsid w:val="00A015A2"/>
    <w:rsid w:val="00A015E8"/>
    <w:rsid w:val="00A015EC"/>
    <w:rsid w:val="00A0161E"/>
    <w:rsid w:val="00A0162A"/>
    <w:rsid w:val="00A0165C"/>
    <w:rsid w:val="00A01673"/>
    <w:rsid w:val="00A016BA"/>
    <w:rsid w:val="00A016C3"/>
    <w:rsid w:val="00A016CB"/>
    <w:rsid w:val="00A01711"/>
    <w:rsid w:val="00A01778"/>
    <w:rsid w:val="00A0177C"/>
    <w:rsid w:val="00A01787"/>
    <w:rsid w:val="00A017B5"/>
    <w:rsid w:val="00A017EA"/>
    <w:rsid w:val="00A017F4"/>
    <w:rsid w:val="00A017FA"/>
    <w:rsid w:val="00A01862"/>
    <w:rsid w:val="00A01888"/>
    <w:rsid w:val="00A018BB"/>
    <w:rsid w:val="00A018BC"/>
    <w:rsid w:val="00A018F8"/>
    <w:rsid w:val="00A01956"/>
    <w:rsid w:val="00A0199D"/>
    <w:rsid w:val="00A019F2"/>
    <w:rsid w:val="00A01A04"/>
    <w:rsid w:val="00A01A17"/>
    <w:rsid w:val="00A01A45"/>
    <w:rsid w:val="00A01A79"/>
    <w:rsid w:val="00A01A7D"/>
    <w:rsid w:val="00A01A9C"/>
    <w:rsid w:val="00A01AAC"/>
    <w:rsid w:val="00A01B2D"/>
    <w:rsid w:val="00A01B69"/>
    <w:rsid w:val="00A01BFD"/>
    <w:rsid w:val="00A01C73"/>
    <w:rsid w:val="00A01CB6"/>
    <w:rsid w:val="00A01CD0"/>
    <w:rsid w:val="00A01CED"/>
    <w:rsid w:val="00A01D08"/>
    <w:rsid w:val="00A01D11"/>
    <w:rsid w:val="00A01D47"/>
    <w:rsid w:val="00A01D5F"/>
    <w:rsid w:val="00A01D6B"/>
    <w:rsid w:val="00A01E13"/>
    <w:rsid w:val="00A01E18"/>
    <w:rsid w:val="00A01E48"/>
    <w:rsid w:val="00A01E61"/>
    <w:rsid w:val="00A01EE2"/>
    <w:rsid w:val="00A01F5A"/>
    <w:rsid w:val="00A01F9F"/>
    <w:rsid w:val="00A01FA0"/>
    <w:rsid w:val="00A01FB8"/>
    <w:rsid w:val="00A01FD1"/>
    <w:rsid w:val="00A01FEF"/>
    <w:rsid w:val="00A0201B"/>
    <w:rsid w:val="00A02038"/>
    <w:rsid w:val="00A02077"/>
    <w:rsid w:val="00A02096"/>
    <w:rsid w:val="00A02097"/>
    <w:rsid w:val="00A020B8"/>
    <w:rsid w:val="00A020BC"/>
    <w:rsid w:val="00A020DE"/>
    <w:rsid w:val="00A02104"/>
    <w:rsid w:val="00A0214D"/>
    <w:rsid w:val="00A02158"/>
    <w:rsid w:val="00A0216B"/>
    <w:rsid w:val="00A021A8"/>
    <w:rsid w:val="00A021B5"/>
    <w:rsid w:val="00A021DF"/>
    <w:rsid w:val="00A021EA"/>
    <w:rsid w:val="00A021EB"/>
    <w:rsid w:val="00A0220F"/>
    <w:rsid w:val="00A02233"/>
    <w:rsid w:val="00A02241"/>
    <w:rsid w:val="00A02242"/>
    <w:rsid w:val="00A02246"/>
    <w:rsid w:val="00A02251"/>
    <w:rsid w:val="00A02259"/>
    <w:rsid w:val="00A02272"/>
    <w:rsid w:val="00A02293"/>
    <w:rsid w:val="00A022AF"/>
    <w:rsid w:val="00A02311"/>
    <w:rsid w:val="00A0232C"/>
    <w:rsid w:val="00A02330"/>
    <w:rsid w:val="00A02455"/>
    <w:rsid w:val="00A024A9"/>
    <w:rsid w:val="00A0253D"/>
    <w:rsid w:val="00A02566"/>
    <w:rsid w:val="00A02574"/>
    <w:rsid w:val="00A025D6"/>
    <w:rsid w:val="00A025EC"/>
    <w:rsid w:val="00A02645"/>
    <w:rsid w:val="00A02671"/>
    <w:rsid w:val="00A026A1"/>
    <w:rsid w:val="00A026C1"/>
    <w:rsid w:val="00A02750"/>
    <w:rsid w:val="00A0278D"/>
    <w:rsid w:val="00A027ED"/>
    <w:rsid w:val="00A0281D"/>
    <w:rsid w:val="00A028A1"/>
    <w:rsid w:val="00A028EB"/>
    <w:rsid w:val="00A02922"/>
    <w:rsid w:val="00A02973"/>
    <w:rsid w:val="00A029B0"/>
    <w:rsid w:val="00A029E0"/>
    <w:rsid w:val="00A02A49"/>
    <w:rsid w:val="00A02A4B"/>
    <w:rsid w:val="00A02A98"/>
    <w:rsid w:val="00A02AA5"/>
    <w:rsid w:val="00A02B93"/>
    <w:rsid w:val="00A02BE6"/>
    <w:rsid w:val="00A02BFF"/>
    <w:rsid w:val="00A02C58"/>
    <w:rsid w:val="00A02CAE"/>
    <w:rsid w:val="00A02CF1"/>
    <w:rsid w:val="00A02CFD"/>
    <w:rsid w:val="00A02D14"/>
    <w:rsid w:val="00A02D61"/>
    <w:rsid w:val="00A02D72"/>
    <w:rsid w:val="00A02DDC"/>
    <w:rsid w:val="00A02E2D"/>
    <w:rsid w:val="00A02F02"/>
    <w:rsid w:val="00A03038"/>
    <w:rsid w:val="00A0303E"/>
    <w:rsid w:val="00A03040"/>
    <w:rsid w:val="00A03081"/>
    <w:rsid w:val="00A030D9"/>
    <w:rsid w:val="00A030EF"/>
    <w:rsid w:val="00A0310B"/>
    <w:rsid w:val="00A0318F"/>
    <w:rsid w:val="00A031A4"/>
    <w:rsid w:val="00A031AD"/>
    <w:rsid w:val="00A031B4"/>
    <w:rsid w:val="00A031C1"/>
    <w:rsid w:val="00A031F3"/>
    <w:rsid w:val="00A0324C"/>
    <w:rsid w:val="00A03265"/>
    <w:rsid w:val="00A03281"/>
    <w:rsid w:val="00A032A0"/>
    <w:rsid w:val="00A032CF"/>
    <w:rsid w:val="00A032DA"/>
    <w:rsid w:val="00A032DD"/>
    <w:rsid w:val="00A0336E"/>
    <w:rsid w:val="00A033EE"/>
    <w:rsid w:val="00A03454"/>
    <w:rsid w:val="00A0345E"/>
    <w:rsid w:val="00A03477"/>
    <w:rsid w:val="00A03486"/>
    <w:rsid w:val="00A034A4"/>
    <w:rsid w:val="00A034A8"/>
    <w:rsid w:val="00A034D0"/>
    <w:rsid w:val="00A0355A"/>
    <w:rsid w:val="00A0357F"/>
    <w:rsid w:val="00A035E7"/>
    <w:rsid w:val="00A03622"/>
    <w:rsid w:val="00A03660"/>
    <w:rsid w:val="00A03699"/>
    <w:rsid w:val="00A036B6"/>
    <w:rsid w:val="00A036F8"/>
    <w:rsid w:val="00A03704"/>
    <w:rsid w:val="00A03731"/>
    <w:rsid w:val="00A03738"/>
    <w:rsid w:val="00A03748"/>
    <w:rsid w:val="00A0375F"/>
    <w:rsid w:val="00A0383A"/>
    <w:rsid w:val="00A0385E"/>
    <w:rsid w:val="00A038F8"/>
    <w:rsid w:val="00A03910"/>
    <w:rsid w:val="00A03931"/>
    <w:rsid w:val="00A0395E"/>
    <w:rsid w:val="00A03976"/>
    <w:rsid w:val="00A0397F"/>
    <w:rsid w:val="00A039A5"/>
    <w:rsid w:val="00A039CC"/>
    <w:rsid w:val="00A039D2"/>
    <w:rsid w:val="00A039EA"/>
    <w:rsid w:val="00A039FB"/>
    <w:rsid w:val="00A03A31"/>
    <w:rsid w:val="00A03AD1"/>
    <w:rsid w:val="00A03AF6"/>
    <w:rsid w:val="00A03B48"/>
    <w:rsid w:val="00A03BC5"/>
    <w:rsid w:val="00A03C1C"/>
    <w:rsid w:val="00A03C52"/>
    <w:rsid w:val="00A03CA8"/>
    <w:rsid w:val="00A03CCF"/>
    <w:rsid w:val="00A03CEF"/>
    <w:rsid w:val="00A03CFD"/>
    <w:rsid w:val="00A03D9C"/>
    <w:rsid w:val="00A03DB7"/>
    <w:rsid w:val="00A03DE7"/>
    <w:rsid w:val="00A03DFC"/>
    <w:rsid w:val="00A03E95"/>
    <w:rsid w:val="00A03EFA"/>
    <w:rsid w:val="00A03F14"/>
    <w:rsid w:val="00A04013"/>
    <w:rsid w:val="00A04033"/>
    <w:rsid w:val="00A040B9"/>
    <w:rsid w:val="00A04128"/>
    <w:rsid w:val="00A04250"/>
    <w:rsid w:val="00A04256"/>
    <w:rsid w:val="00A04258"/>
    <w:rsid w:val="00A042B2"/>
    <w:rsid w:val="00A042BE"/>
    <w:rsid w:val="00A042D7"/>
    <w:rsid w:val="00A04359"/>
    <w:rsid w:val="00A043A2"/>
    <w:rsid w:val="00A04421"/>
    <w:rsid w:val="00A04437"/>
    <w:rsid w:val="00A0446C"/>
    <w:rsid w:val="00A04483"/>
    <w:rsid w:val="00A044A9"/>
    <w:rsid w:val="00A045FC"/>
    <w:rsid w:val="00A04676"/>
    <w:rsid w:val="00A0469F"/>
    <w:rsid w:val="00A04731"/>
    <w:rsid w:val="00A04744"/>
    <w:rsid w:val="00A04755"/>
    <w:rsid w:val="00A047B6"/>
    <w:rsid w:val="00A047D0"/>
    <w:rsid w:val="00A047E8"/>
    <w:rsid w:val="00A0480D"/>
    <w:rsid w:val="00A04823"/>
    <w:rsid w:val="00A04857"/>
    <w:rsid w:val="00A0486D"/>
    <w:rsid w:val="00A0488D"/>
    <w:rsid w:val="00A048EE"/>
    <w:rsid w:val="00A04919"/>
    <w:rsid w:val="00A04959"/>
    <w:rsid w:val="00A04984"/>
    <w:rsid w:val="00A0498C"/>
    <w:rsid w:val="00A049AE"/>
    <w:rsid w:val="00A04A10"/>
    <w:rsid w:val="00A04A39"/>
    <w:rsid w:val="00A04A70"/>
    <w:rsid w:val="00A04A76"/>
    <w:rsid w:val="00A04AF9"/>
    <w:rsid w:val="00A04B02"/>
    <w:rsid w:val="00A04B35"/>
    <w:rsid w:val="00A04B77"/>
    <w:rsid w:val="00A04BAE"/>
    <w:rsid w:val="00A04BAF"/>
    <w:rsid w:val="00A04BC7"/>
    <w:rsid w:val="00A04C14"/>
    <w:rsid w:val="00A04C86"/>
    <w:rsid w:val="00A04D4E"/>
    <w:rsid w:val="00A04D6F"/>
    <w:rsid w:val="00A04E49"/>
    <w:rsid w:val="00A04E59"/>
    <w:rsid w:val="00A04E8E"/>
    <w:rsid w:val="00A04E9D"/>
    <w:rsid w:val="00A04EC2"/>
    <w:rsid w:val="00A04ED8"/>
    <w:rsid w:val="00A04F63"/>
    <w:rsid w:val="00A04F71"/>
    <w:rsid w:val="00A04F9B"/>
    <w:rsid w:val="00A04FAB"/>
    <w:rsid w:val="00A05016"/>
    <w:rsid w:val="00A05063"/>
    <w:rsid w:val="00A050A3"/>
    <w:rsid w:val="00A050B0"/>
    <w:rsid w:val="00A05101"/>
    <w:rsid w:val="00A05107"/>
    <w:rsid w:val="00A05122"/>
    <w:rsid w:val="00A05155"/>
    <w:rsid w:val="00A05179"/>
    <w:rsid w:val="00A0518C"/>
    <w:rsid w:val="00A05197"/>
    <w:rsid w:val="00A051AD"/>
    <w:rsid w:val="00A051B3"/>
    <w:rsid w:val="00A051F0"/>
    <w:rsid w:val="00A05200"/>
    <w:rsid w:val="00A05204"/>
    <w:rsid w:val="00A05210"/>
    <w:rsid w:val="00A05221"/>
    <w:rsid w:val="00A05271"/>
    <w:rsid w:val="00A0528E"/>
    <w:rsid w:val="00A05291"/>
    <w:rsid w:val="00A052B8"/>
    <w:rsid w:val="00A05310"/>
    <w:rsid w:val="00A05381"/>
    <w:rsid w:val="00A05399"/>
    <w:rsid w:val="00A053A5"/>
    <w:rsid w:val="00A053CA"/>
    <w:rsid w:val="00A053F2"/>
    <w:rsid w:val="00A05417"/>
    <w:rsid w:val="00A0545B"/>
    <w:rsid w:val="00A054D0"/>
    <w:rsid w:val="00A054D7"/>
    <w:rsid w:val="00A0552E"/>
    <w:rsid w:val="00A055DD"/>
    <w:rsid w:val="00A05606"/>
    <w:rsid w:val="00A0561D"/>
    <w:rsid w:val="00A05631"/>
    <w:rsid w:val="00A05676"/>
    <w:rsid w:val="00A0571F"/>
    <w:rsid w:val="00A05722"/>
    <w:rsid w:val="00A05734"/>
    <w:rsid w:val="00A0573E"/>
    <w:rsid w:val="00A0575A"/>
    <w:rsid w:val="00A057BC"/>
    <w:rsid w:val="00A0583A"/>
    <w:rsid w:val="00A0584F"/>
    <w:rsid w:val="00A05857"/>
    <w:rsid w:val="00A05868"/>
    <w:rsid w:val="00A058EA"/>
    <w:rsid w:val="00A058EE"/>
    <w:rsid w:val="00A058FB"/>
    <w:rsid w:val="00A0592A"/>
    <w:rsid w:val="00A059AF"/>
    <w:rsid w:val="00A059C0"/>
    <w:rsid w:val="00A05A24"/>
    <w:rsid w:val="00A05A9C"/>
    <w:rsid w:val="00A05B08"/>
    <w:rsid w:val="00A05B0E"/>
    <w:rsid w:val="00A05B2E"/>
    <w:rsid w:val="00A05B34"/>
    <w:rsid w:val="00A05B36"/>
    <w:rsid w:val="00A05B55"/>
    <w:rsid w:val="00A05BC8"/>
    <w:rsid w:val="00A05BFC"/>
    <w:rsid w:val="00A05C14"/>
    <w:rsid w:val="00A05C19"/>
    <w:rsid w:val="00A05C1E"/>
    <w:rsid w:val="00A05C46"/>
    <w:rsid w:val="00A05C52"/>
    <w:rsid w:val="00A05C54"/>
    <w:rsid w:val="00A05CB7"/>
    <w:rsid w:val="00A05CD5"/>
    <w:rsid w:val="00A05D48"/>
    <w:rsid w:val="00A05D4B"/>
    <w:rsid w:val="00A05D93"/>
    <w:rsid w:val="00A05DB8"/>
    <w:rsid w:val="00A05DC7"/>
    <w:rsid w:val="00A05DCD"/>
    <w:rsid w:val="00A05E28"/>
    <w:rsid w:val="00A05E46"/>
    <w:rsid w:val="00A05E66"/>
    <w:rsid w:val="00A05E81"/>
    <w:rsid w:val="00A05E9E"/>
    <w:rsid w:val="00A05EF8"/>
    <w:rsid w:val="00A05EFB"/>
    <w:rsid w:val="00A05FA3"/>
    <w:rsid w:val="00A05FE6"/>
    <w:rsid w:val="00A06039"/>
    <w:rsid w:val="00A06081"/>
    <w:rsid w:val="00A0609C"/>
    <w:rsid w:val="00A060AD"/>
    <w:rsid w:val="00A060B5"/>
    <w:rsid w:val="00A060DB"/>
    <w:rsid w:val="00A06129"/>
    <w:rsid w:val="00A06166"/>
    <w:rsid w:val="00A0619D"/>
    <w:rsid w:val="00A061B4"/>
    <w:rsid w:val="00A061FB"/>
    <w:rsid w:val="00A0622A"/>
    <w:rsid w:val="00A0625C"/>
    <w:rsid w:val="00A062E4"/>
    <w:rsid w:val="00A0631D"/>
    <w:rsid w:val="00A0636D"/>
    <w:rsid w:val="00A0636F"/>
    <w:rsid w:val="00A06397"/>
    <w:rsid w:val="00A063B3"/>
    <w:rsid w:val="00A063F3"/>
    <w:rsid w:val="00A0656E"/>
    <w:rsid w:val="00A065B0"/>
    <w:rsid w:val="00A065D0"/>
    <w:rsid w:val="00A065DC"/>
    <w:rsid w:val="00A065EF"/>
    <w:rsid w:val="00A06645"/>
    <w:rsid w:val="00A06665"/>
    <w:rsid w:val="00A0672D"/>
    <w:rsid w:val="00A06745"/>
    <w:rsid w:val="00A0675E"/>
    <w:rsid w:val="00A06794"/>
    <w:rsid w:val="00A067A8"/>
    <w:rsid w:val="00A067B2"/>
    <w:rsid w:val="00A067C4"/>
    <w:rsid w:val="00A067C8"/>
    <w:rsid w:val="00A067F0"/>
    <w:rsid w:val="00A06838"/>
    <w:rsid w:val="00A0688A"/>
    <w:rsid w:val="00A06944"/>
    <w:rsid w:val="00A069A0"/>
    <w:rsid w:val="00A069A9"/>
    <w:rsid w:val="00A069B7"/>
    <w:rsid w:val="00A069BE"/>
    <w:rsid w:val="00A06A12"/>
    <w:rsid w:val="00A06A36"/>
    <w:rsid w:val="00A06A85"/>
    <w:rsid w:val="00A06A88"/>
    <w:rsid w:val="00A06AAF"/>
    <w:rsid w:val="00A06B0E"/>
    <w:rsid w:val="00A06B42"/>
    <w:rsid w:val="00A06B97"/>
    <w:rsid w:val="00A06BBA"/>
    <w:rsid w:val="00A06BDB"/>
    <w:rsid w:val="00A06C01"/>
    <w:rsid w:val="00A06C0E"/>
    <w:rsid w:val="00A06C29"/>
    <w:rsid w:val="00A06C4E"/>
    <w:rsid w:val="00A06C9D"/>
    <w:rsid w:val="00A06CC3"/>
    <w:rsid w:val="00A06CDE"/>
    <w:rsid w:val="00A06D33"/>
    <w:rsid w:val="00A06D56"/>
    <w:rsid w:val="00A06D72"/>
    <w:rsid w:val="00A06D7A"/>
    <w:rsid w:val="00A06DFD"/>
    <w:rsid w:val="00A06E0D"/>
    <w:rsid w:val="00A06E34"/>
    <w:rsid w:val="00A06EA4"/>
    <w:rsid w:val="00A06EBF"/>
    <w:rsid w:val="00A06ECB"/>
    <w:rsid w:val="00A06ED1"/>
    <w:rsid w:val="00A06EE7"/>
    <w:rsid w:val="00A06F31"/>
    <w:rsid w:val="00A06F5E"/>
    <w:rsid w:val="00A06F8A"/>
    <w:rsid w:val="00A06FD0"/>
    <w:rsid w:val="00A07031"/>
    <w:rsid w:val="00A07094"/>
    <w:rsid w:val="00A07099"/>
    <w:rsid w:val="00A070B8"/>
    <w:rsid w:val="00A07117"/>
    <w:rsid w:val="00A07119"/>
    <w:rsid w:val="00A0714B"/>
    <w:rsid w:val="00A0715D"/>
    <w:rsid w:val="00A0719D"/>
    <w:rsid w:val="00A071C7"/>
    <w:rsid w:val="00A071D0"/>
    <w:rsid w:val="00A07227"/>
    <w:rsid w:val="00A0726F"/>
    <w:rsid w:val="00A07277"/>
    <w:rsid w:val="00A072A1"/>
    <w:rsid w:val="00A072A4"/>
    <w:rsid w:val="00A072AD"/>
    <w:rsid w:val="00A072E5"/>
    <w:rsid w:val="00A0731C"/>
    <w:rsid w:val="00A07330"/>
    <w:rsid w:val="00A07353"/>
    <w:rsid w:val="00A07390"/>
    <w:rsid w:val="00A073E4"/>
    <w:rsid w:val="00A07448"/>
    <w:rsid w:val="00A07457"/>
    <w:rsid w:val="00A07464"/>
    <w:rsid w:val="00A07481"/>
    <w:rsid w:val="00A074E9"/>
    <w:rsid w:val="00A074F5"/>
    <w:rsid w:val="00A0750E"/>
    <w:rsid w:val="00A07543"/>
    <w:rsid w:val="00A0754F"/>
    <w:rsid w:val="00A07551"/>
    <w:rsid w:val="00A07553"/>
    <w:rsid w:val="00A07579"/>
    <w:rsid w:val="00A0757F"/>
    <w:rsid w:val="00A0759D"/>
    <w:rsid w:val="00A075CD"/>
    <w:rsid w:val="00A075DA"/>
    <w:rsid w:val="00A076C3"/>
    <w:rsid w:val="00A076CC"/>
    <w:rsid w:val="00A076EE"/>
    <w:rsid w:val="00A077BD"/>
    <w:rsid w:val="00A077C3"/>
    <w:rsid w:val="00A07802"/>
    <w:rsid w:val="00A07816"/>
    <w:rsid w:val="00A0782C"/>
    <w:rsid w:val="00A0784D"/>
    <w:rsid w:val="00A0787A"/>
    <w:rsid w:val="00A078BC"/>
    <w:rsid w:val="00A078BF"/>
    <w:rsid w:val="00A078C4"/>
    <w:rsid w:val="00A0792E"/>
    <w:rsid w:val="00A079BE"/>
    <w:rsid w:val="00A079E0"/>
    <w:rsid w:val="00A07A1A"/>
    <w:rsid w:val="00A07A45"/>
    <w:rsid w:val="00A07A77"/>
    <w:rsid w:val="00A07AC2"/>
    <w:rsid w:val="00A07AE6"/>
    <w:rsid w:val="00A07AEC"/>
    <w:rsid w:val="00A07B26"/>
    <w:rsid w:val="00A07B45"/>
    <w:rsid w:val="00A07BE1"/>
    <w:rsid w:val="00A07BE8"/>
    <w:rsid w:val="00A07C45"/>
    <w:rsid w:val="00A07C9A"/>
    <w:rsid w:val="00A07D11"/>
    <w:rsid w:val="00A07D29"/>
    <w:rsid w:val="00A07D43"/>
    <w:rsid w:val="00A07D47"/>
    <w:rsid w:val="00A07D88"/>
    <w:rsid w:val="00A07D9C"/>
    <w:rsid w:val="00A07DC5"/>
    <w:rsid w:val="00A07DD5"/>
    <w:rsid w:val="00A07DE5"/>
    <w:rsid w:val="00A07E1D"/>
    <w:rsid w:val="00A07E4A"/>
    <w:rsid w:val="00A07E51"/>
    <w:rsid w:val="00A07E52"/>
    <w:rsid w:val="00A07E95"/>
    <w:rsid w:val="00A07E9A"/>
    <w:rsid w:val="00A07ED8"/>
    <w:rsid w:val="00A07F34"/>
    <w:rsid w:val="00A07FB4"/>
    <w:rsid w:val="00A10026"/>
    <w:rsid w:val="00A1004F"/>
    <w:rsid w:val="00A10086"/>
    <w:rsid w:val="00A100BF"/>
    <w:rsid w:val="00A100C4"/>
    <w:rsid w:val="00A100C5"/>
    <w:rsid w:val="00A100CF"/>
    <w:rsid w:val="00A100FE"/>
    <w:rsid w:val="00A1010C"/>
    <w:rsid w:val="00A10151"/>
    <w:rsid w:val="00A1016C"/>
    <w:rsid w:val="00A101A0"/>
    <w:rsid w:val="00A101A2"/>
    <w:rsid w:val="00A101F2"/>
    <w:rsid w:val="00A101F8"/>
    <w:rsid w:val="00A10205"/>
    <w:rsid w:val="00A10271"/>
    <w:rsid w:val="00A102AB"/>
    <w:rsid w:val="00A102D4"/>
    <w:rsid w:val="00A102D6"/>
    <w:rsid w:val="00A10328"/>
    <w:rsid w:val="00A10350"/>
    <w:rsid w:val="00A10356"/>
    <w:rsid w:val="00A10363"/>
    <w:rsid w:val="00A10368"/>
    <w:rsid w:val="00A1036B"/>
    <w:rsid w:val="00A1042B"/>
    <w:rsid w:val="00A104A9"/>
    <w:rsid w:val="00A104FF"/>
    <w:rsid w:val="00A10590"/>
    <w:rsid w:val="00A10593"/>
    <w:rsid w:val="00A105BA"/>
    <w:rsid w:val="00A105BF"/>
    <w:rsid w:val="00A10621"/>
    <w:rsid w:val="00A10648"/>
    <w:rsid w:val="00A10696"/>
    <w:rsid w:val="00A106F6"/>
    <w:rsid w:val="00A1076D"/>
    <w:rsid w:val="00A107A6"/>
    <w:rsid w:val="00A107BF"/>
    <w:rsid w:val="00A107E0"/>
    <w:rsid w:val="00A10802"/>
    <w:rsid w:val="00A10852"/>
    <w:rsid w:val="00A10853"/>
    <w:rsid w:val="00A1087E"/>
    <w:rsid w:val="00A10899"/>
    <w:rsid w:val="00A108A5"/>
    <w:rsid w:val="00A1090E"/>
    <w:rsid w:val="00A10939"/>
    <w:rsid w:val="00A10947"/>
    <w:rsid w:val="00A1097E"/>
    <w:rsid w:val="00A1098D"/>
    <w:rsid w:val="00A109CE"/>
    <w:rsid w:val="00A10A30"/>
    <w:rsid w:val="00A10A40"/>
    <w:rsid w:val="00A10A55"/>
    <w:rsid w:val="00A10A9F"/>
    <w:rsid w:val="00A10AAA"/>
    <w:rsid w:val="00A10B29"/>
    <w:rsid w:val="00A10B2B"/>
    <w:rsid w:val="00A10B76"/>
    <w:rsid w:val="00A10B8F"/>
    <w:rsid w:val="00A10C0A"/>
    <w:rsid w:val="00A10C16"/>
    <w:rsid w:val="00A10CC8"/>
    <w:rsid w:val="00A10D0A"/>
    <w:rsid w:val="00A10D6E"/>
    <w:rsid w:val="00A10DD2"/>
    <w:rsid w:val="00A10E0C"/>
    <w:rsid w:val="00A10E8A"/>
    <w:rsid w:val="00A10EA2"/>
    <w:rsid w:val="00A10EC8"/>
    <w:rsid w:val="00A10ED9"/>
    <w:rsid w:val="00A10EDA"/>
    <w:rsid w:val="00A10EFC"/>
    <w:rsid w:val="00A10FC5"/>
    <w:rsid w:val="00A10FD2"/>
    <w:rsid w:val="00A1101F"/>
    <w:rsid w:val="00A1105A"/>
    <w:rsid w:val="00A11064"/>
    <w:rsid w:val="00A110E0"/>
    <w:rsid w:val="00A110FE"/>
    <w:rsid w:val="00A11149"/>
    <w:rsid w:val="00A1117B"/>
    <w:rsid w:val="00A111C6"/>
    <w:rsid w:val="00A11232"/>
    <w:rsid w:val="00A11278"/>
    <w:rsid w:val="00A11291"/>
    <w:rsid w:val="00A112A0"/>
    <w:rsid w:val="00A112D5"/>
    <w:rsid w:val="00A112E1"/>
    <w:rsid w:val="00A112ED"/>
    <w:rsid w:val="00A1132B"/>
    <w:rsid w:val="00A11349"/>
    <w:rsid w:val="00A11366"/>
    <w:rsid w:val="00A11374"/>
    <w:rsid w:val="00A1137C"/>
    <w:rsid w:val="00A11390"/>
    <w:rsid w:val="00A113CE"/>
    <w:rsid w:val="00A113F6"/>
    <w:rsid w:val="00A1140A"/>
    <w:rsid w:val="00A11477"/>
    <w:rsid w:val="00A1148A"/>
    <w:rsid w:val="00A11502"/>
    <w:rsid w:val="00A1150D"/>
    <w:rsid w:val="00A1155C"/>
    <w:rsid w:val="00A11590"/>
    <w:rsid w:val="00A115B0"/>
    <w:rsid w:val="00A115E4"/>
    <w:rsid w:val="00A115EF"/>
    <w:rsid w:val="00A1165D"/>
    <w:rsid w:val="00A1165F"/>
    <w:rsid w:val="00A116E7"/>
    <w:rsid w:val="00A116EF"/>
    <w:rsid w:val="00A116F0"/>
    <w:rsid w:val="00A11710"/>
    <w:rsid w:val="00A11724"/>
    <w:rsid w:val="00A1177D"/>
    <w:rsid w:val="00A1178F"/>
    <w:rsid w:val="00A11796"/>
    <w:rsid w:val="00A117FC"/>
    <w:rsid w:val="00A1180B"/>
    <w:rsid w:val="00A1180D"/>
    <w:rsid w:val="00A1184D"/>
    <w:rsid w:val="00A11861"/>
    <w:rsid w:val="00A118C8"/>
    <w:rsid w:val="00A118D2"/>
    <w:rsid w:val="00A11941"/>
    <w:rsid w:val="00A119A4"/>
    <w:rsid w:val="00A11A1D"/>
    <w:rsid w:val="00A11A82"/>
    <w:rsid w:val="00A11A85"/>
    <w:rsid w:val="00A11A94"/>
    <w:rsid w:val="00A11A9F"/>
    <w:rsid w:val="00A11AE3"/>
    <w:rsid w:val="00A11B27"/>
    <w:rsid w:val="00A11B51"/>
    <w:rsid w:val="00A11B57"/>
    <w:rsid w:val="00A11B5C"/>
    <w:rsid w:val="00A11B86"/>
    <w:rsid w:val="00A11BA6"/>
    <w:rsid w:val="00A11BD4"/>
    <w:rsid w:val="00A11BF1"/>
    <w:rsid w:val="00A11CF2"/>
    <w:rsid w:val="00A11D3A"/>
    <w:rsid w:val="00A11DB4"/>
    <w:rsid w:val="00A11DDD"/>
    <w:rsid w:val="00A11DE0"/>
    <w:rsid w:val="00A11E28"/>
    <w:rsid w:val="00A11E41"/>
    <w:rsid w:val="00A11E6B"/>
    <w:rsid w:val="00A11F72"/>
    <w:rsid w:val="00A11F81"/>
    <w:rsid w:val="00A11F92"/>
    <w:rsid w:val="00A11FC8"/>
    <w:rsid w:val="00A12043"/>
    <w:rsid w:val="00A12047"/>
    <w:rsid w:val="00A12080"/>
    <w:rsid w:val="00A120B0"/>
    <w:rsid w:val="00A120B3"/>
    <w:rsid w:val="00A120B7"/>
    <w:rsid w:val="00A12128"/>
    <w:rsid w:val="00A1212C"/>
    <w:rsid w:val="00A1216B"/>
    <w:rsid w:val="00A121B7"/>
    <w:rsid w:val="00A121D1"/>
    <w:rsid w:val="00A121D3"/>
    <w:rsid w:val="00A12220"/>
    <w:rsid w:val="00A122A3"/>
    <w:rsid w:val="00A122C6"/>
    <w:rsid w:val="00A122D2"/>
    <w:rsid w:val="00A122F3"/>
    <w:rsid w:val="00A1232F"/>
    <w:rsid w:val="00A1235C"/>
    <w:rsid w:val="00A1236E"/>
    <w:rsid w:val="00A1242D"/>
    <w:rsid w:val="00A1248E"/>
    <w:rsid w:val="00A124B0"/>
    <w:rsid w:val="00A124C6"/>
    <w:rsid w:val="00A124D2"/>
    <w:rsid w:val="00A124DA"/>
    <w:rsid w:val="00A1253A"/>
    <w:rsid w:val="00A12573"/>
    <w:rsid w:val="00A12594"/>
    <w:rsid w:val="00A125A5"/>
    <w:rsid w:val="00A125E7"/>
    <w:rsid w:val="00A125F8"/>
    <w:rsid w:val="00A125FA"/>
    <w:rsid w:val="00A12728"/>
    <w:rsid w:val="00A12735"/>
    <w:rsid w:val="00A12886"/>
    <w:rsid w:val="00A128B4"/>
    <w:rsid w:val="00A12905"/>
    <w:rsid w:val="00A1291A"/>
    <w:rsid w:val="00A12923"/>
    <w:rsid w:val="00A12928"/>
    <w:rsid w:val="00A12A3F"/>
    <w:rsid w:val="00A12A65"/>
    <w:rsid w:val="00A12A8E"/>
    <w:rsid w:val="00A12AAC"/>
    <w:rsid w:val="00A12B2D"/>
    <w:rsid w:val="00A12B6D"/>
    <w:rsid w:val="00A12BCB"/>
    <w:rsid w:val="00A12C3B"/>
    <w:rsid w:val="00A12C78"/>
    <w:rsid w:val="00A12C9D"/>
    <w:rsid w:val="00A12D29"/>
    <w:rsid w:val="00A12DAF"/>
    <w:rsid w:val="00A12E5E"/>
    <w:rsid w:val="00A12E83"/>
    <w:rsid w:val="00A12ED5"/>
    <w:rsid w:val="00A12EF1"/>
    <w:rsid w:val="00A12F2C"/>
    <w:rsid w:val="00A12F3B"/>
    <w:rsid w:val="00A12F4F"/>
    <w:rsid w:val="00A12F62"/>
    <w:rsid w:val="00A13037"/>
    <w:rsid w:val="00A13151"/>
    <w:rsid w:val="00A1316D"/>
    <w:rsid w:val="00A1319D"/>
    <w:rsid w:val="00A131A9"/>
    <w:rsid w:val="00A131B4"/>
    <w:rsid w:val="00A131DB"/>
    <w:rsid w:val="00A132AB"/>
    <w:rsid w:val="00A132BA"/>
    <w:rsid w:val="00A132BC"/>
    <w:rsid w:val="00A132D3"/>
    <w:rsid w:val="00A13356"/>
    <w:rsid w:val="00A1335D"/>
    <w:rsid w:val="00A133D2"/>
    <w:rsid w:val="00A1341C"/>
    <w:rsid w:val="00A1348F"/>
    <w:rsid w:val="00A134B5"/>
    <w:rsid w:val="00A134C3"/>
    <w:rsid w:val="00A134D4"/>
    <w:rsid w:val="00A134FB"/>
    <w:rsid w:val="00A13545"/>
    <w:rsid w:val="00A1359C"/>
    <w:rsid w:val="00A135B2"/>
    <w:rsid w:val="00A135D9"/>
    <w:rsid w:val="00A135DB"/>
    <w:rsid w:val="00A135DF"/>
    <w:rsid w:val="00A13607"/>
    <w:rsid w:val="00A1366E"/>
    <w:rsid w:val="00A13681"/>
    <w:rsid w:val="00A13699"/>
    <w:rsid w:val="00A136CD"/>
    <w:rsid w:val="00A136DB"/>
    <w:rsid w:val="00A1372D"/>
    <w:rsid w:val="00A13781"/>
    <w:rsid w:val="00A137AC"/>
    <w:rsid w:val="00A137DB"/>
    <w:rsid w:val="00A13877"/>
    <w:rsid w:val="00A13882"/>
    <w:rsid w:val="00A13895"/>
    <w:rsid w:val="00A138BA"/>
    <w:rsid w:val="00A138DB"/>
    <w:rsid w:val="00A138E5"/>
    <w:rsid w:val="00A13916"/>
    <w:rsid w:val="00A13972"/>
    <w:rsid w:val="00A139BD"/>
    <w:rsid w:val="00A139CF"/>
    <w:rsid w:val="00A139FF"/>
    <w:rsid w:val="00A13A46"/>
    <w:rsid w:val="00A13A71"/>
    <w:rsid w:val="00A13AA2"/>
    <w:rsid w:val="00A13B1B"/>
    <w:rsid w:val="00A13B2C"/>
    <w:rsid w:val="00A13B72"/>
    <w:rsid w:val="00A13C1A"/>
    <w:rsid w:val="00A13C21"/>
    <w:rsid w:val="00A13C4C"/>
    <w:rsid w:val="00A13C51"/>
    <w:rsid w:val="00A13C82"/>
    <w:rsid w:val="00A13D0C"/>
    <w:rsid w:val="00A13D2C"/>
    <w:rsid w:val="00A13D87"/>
    <w:rsid w:val="00A13DF3"/>
    <w:rsid w:val="00A13DF6"/>
    <w:rsid w:val="00A13DF7"/>
    <w:rsid w:val="00A13DF8"/>
    <w:rsid w:val="00A13DFE"/>
    <w:rsid w:val="00A13EAA"/>
    <w:rsid w:val="00A13F1A"/>
    <w:rsid w:val="00A13F59"/>
    <w:rsid w:val="00A13F86"/>
    <w:rsid w:val="00A13F8E"/>
    <w:rsid w:val="00A14075"/>
    <w:rsid w:val="00A14077"/>
    <w:rsid w:val="00A14096"/>
    <w:rsid w:val="00A140C6"/>
    <w:rsid w:val="00A14134"/>
    <w:rsid w:val="00A14171"/>
    <w:rsid w:val="00A1418D"/>
    <w:rsid w:val="00A141AF"/>
    <w:rsid w:val="00A14219"/>
    <w:rsid w:val="00A1424B"/>
    <w:rsid w:val="00A142CB"/>
    <w:rsid w:val="00A142D2"/>
    <w:rsid w:val="00A142E0"/>
    <w:rsid w:val="00A14376"/>
    <w:rsid w:val="00A14379"/>
    <w:rsid w:val="00A1438C"/>
    <w:rsid w:val="00A143AB"/>
    <w:rsid w:val="00A143B6"/>
    <w:rsid w:val="00A143C0"/>
    <w:rsid w:val="00A14406"/>
    <w:rsid w:val="00A1442C"/>
    <w:rsid w:val="00A14479"/>
    <w:rsid w:val="00A144AB"/>
    <w:rsid w:val="00A144EA"/>
    <w:rsid w:val="00A144F6"/>
    <w:rsid w:val="00A1450E"/>
    <w:rsid w:val="00A14580"/>
    <w:rsid w:val="00A14635"/>
    <w:rsid w:val="00A146D0"/>
    <w:rsid w:val="00A1479B"/>
    <w:rsid w:val="00A147E5"/>
    <w:rsid w:val="00A1482E"/>
    <w:rsid w:val="00A14840"/>
    <w:rsid w:val="00A14893"/>
    <w:rsid w:val="00A148C6"/>
    <w:rsid w:val="00A148E6"/>
    <w:rsid w:val="00A14901"/>
    <w:rsid w:val="00A14932"/>
    <w:rsid w:val="00A1495B"/>
    <w:rsid w:val="00A14982"/>
    <w:rsid w:val="00A14A16"/>
    <w:rsid w:val="00A14A4F"/>
    <w:rsid w:val="00A14AC1"/>
    <w:rsid w:val="00A14AD8"/>
    <w:rsid w:val="00A14AFF"/>
    <w:rsid w:val="00A14B2F"/>
    <w:rsid w:val="00A14BD2"/>
    <w:rsid w:val="00A14BE5"/>
    <w:rsid w:val="00A14BEF"/>
    <w:rsid w:val="00A14C04"/>
    <w:rsid w:val="00A14C20"/>
    <w:rsid w:val="00A14C2B"/>
    <w:rsid w:val="00A14C3E"/>
    <w:rsid w:val="00A14C70"/>
    <w:rsid w:val="00A14CC5"/>
    <w:rsid w:val="00A14CD7"/>
    <w:rsid w:val="00A14D1A"/>
    <w:rsid w:val="00A14D2E"/>
    <w:rsid w:val="00A14D56"/>
    <w:rsid w:val="00A14D5B"/>
    <w:rsid w:val="00A14DCB"/>
    <w:rsid w:val="00A14DEF"/>
    <w:rsid w:val="00A14DFD"/>
    <w:rsid w:val="00A14E36"/>
    <w:rsid w:val="00A14EE5"/>
    <w:rsid w:val="00A14EE6"/>
    <w:rsid w:val="00A14EFD"/>
    <w:rsid w:val="00A14F47"/>
    <w:rsid w:val="00A14F61"/>
    <w:rsid w:val="00A14F62"/>
    <w:rsid w:val="00A14F96"/>
    <w:rsid w:val="00A14FA7"/>
    <w:rsid w:val="00A14FA8"/>
    <w:rsid w:val="00A14FE9"/>
    <w:rsid w:val="00A15079"/>
    <w:rsid w:val="00A15093"/>
    <w:rsid w:val="00A150C2"/>
    <w:rsid w:val="00A1516F"/>
    <w:rsid w:val="00A151AB"/>
    <w:rsid w:val="00A151B7"/>
    <w:rsid w:val="00A151D5"/>
    <w:rsid w:val="00A151FB"/>
    <w:rsid w:val="00A15239"/>
    <w:rsid w:val="00A15345"/>
    <w:rsid w:val="00A1534D"/>
    <w:rsid w:val="00A153A6"/>
    <w:rsid w:val="00A15449"/>
    <w:rsid w:val="00A1545B"/>
    <w:rsid w:val="00A154B0"/>
    <w:rsid w:val="00A154D8"/>
    <w:rsid w:val="00A15555"/>
    <w:rsid w:val="00A1556D"/>
    <w:rsid w:val="00A15580"/>
    <w:rsid w:val="00A15595"/>
    <w:rsid w:val="00A15597"/>
    <w:rsid w:val="00A155AC"/>
    <w:rsid w:val="00A155BC"/>
    <w:rsid w:val="00A155D2"/>
    <w:rsid w:val="00A155F0"/>
    <w:rsid w:val="00A155FA"/>
    <w:rsid w:val="00A15629"/>
    <w:rsid w:val="00A15632"/>
    <w:rsid w:val="00A1566D"/>
    <w:rsid w:val="00A156C7"/>
    <w:rsid w:val="00A15725"/>
    <w:rsid w:val="00A15747"/>
    <w:rsid w:val="00A1574D"/>
    <w:rsid w:val="00A15762"/>
    <w:rsid w:val="00A1578F"/>
    <w:rsid w:val="00A15794"/>
    <w:rsid w:val="00A157A0"/>
    <w:rsid w:val="00A157ED"/>
    <w:rsid w:val="00A1582B"/>
    <w:rsid w:val="00A1582F"/>
    <w:rsid w:val="00A158B1"/>
    <w:rsid w:val="00A158F5"/>
    <w:rsid w:val="00A1590D"/>
    <w:rsid w:val="00A15933"/>
    <w:rsid w:val="00A15936"/>
    <w:rsid w:val="00A15937"/>
    <w:rsid w:val="00A1593A"/>
    <w:rsid w:val="00A15959"/>
    <w:rsid w:val="00A15960"/>
    <w:rsid w:val="00A1599C"/>
    <w:rsid w:val="00A159AF"/>
    <w:rsid w:val="00A15A28"/>
    <w:rsid w:val="00A15A45"/>
    <w:rsid w:val="00A15A4D"/>
    <w:rsid w:val="00A15ADD"/>
    <w:rsid w:val="00A15AFE"/>
    <w:rsid w:val="00A15B09"/>
    <w:rsid w:val="00A15B20"/>
    <w:rsid w:val="00A15B5C"/>
    <w:rsid w:val="00A15B5D"/>
    <w:rsid w:val="00A15B69"/>
    <w:rsid w:val="00A15BA0"/>
    <w:rsid w:val="00A15BBB"/>
    <w:rsid w:val="00A15BE0"/>
    <w:rsid w:val="00A15C22"/>
    <w:rsid w:val="00A15C33"/>
    <w:rsid w:val="00A15C3C"/>
    <w:rsid w:val="00A15C56"/>
    <w:rsid w:val="00A15C7C"/>
    <w:rsid w:val="00A15D11"/>
    <w:rsid w:val="00A15D92"/>
    <w:rsid w:val="00A15DA0"/>
    <w:rsid w:val="00A15DE0"/>
    <w:rsid w:val="00A15DEF"/>
    <w:rsid w:val="00A15E24"/>
    <w:rsid w:val="00A15E89"/>
    <w:rsid w:val="00A15EB4"/>
    <w:rsid w:val="00A15EE1"/>
    <w:rsid w:val="00A15EFF"/>
    <w:rsid w:val="00A15F0B"/>
    <w:rsid w:val="00A15F12"/>
    <w:rsid w:val="00A15F61"/>
    <w:rsid w:val="00A15FDA"/>
    <w:rsid w:val="00A15FDC"/>
    <w:rsid w:val="00A16065"/>
    <w:rsid w:val="00A16077"/>
    <w:rsid w:val="00A160A1"/>
    <w:rsid w:val="00A160A8"/>
    <w:rsid w:val="00A160BE"/>
    <w:rsid w:val="00A160D2"/>
    <w:rsid w:val="00A160D8"/>
    <w:rsid w:val="00A160DC"/>
    <w:rsid w:val="00A160F4"/>
    <w:rsid w:val="00A1610A"/>
    <w:rsid w:val="00A16121"/>
    <w:rsid w:val="00A16132"/>
    <w:rsid w:val="00A16149"/>
    <w:rsid w:val="00A16187"/>
    <w:rsid w:val="00A161CA"/>
    <w:rsid w:val="00A161FB"/>
    <w:rsid w:val="00A16210"/>
    <w:rsid w:val="00A1627B"/>
    <w:rsid w:val="00A16287"/>
    <w:rsid w:val="00A162A0"/>
    <w:rsid w:val="00A162E7"/>
    <w:rsid w:val="00A162F3"/>
    <w:rsid w:val="00A162F8"/>
    <w:rsid w:val="00A1631C"/>
    <w:rsid w:val="00A1638C"/>
    <w:rsid w:val="00A163BD"/>
    <w:rsid w:val="00A163CD"/>
    <w:rsid w:val="00A163E3"/>
    <w:rsid w:val="00A16443"/>
    <w:rsid w:val="00A16456"/>
    <w:rsid w:val="00A16463"/>
    <w:rsid w:val="00A164F8"/>
    <w:rsid w:val="00A16546"/>
    <w:rsid w:val="00A1655F"/>
    <w:rsid w:val="00A165AF"/>
    <w:rsid w:val="00A165DA"/>
    <w:rsid w:val="00A165E9"/>
    <w:rsid w:val="00A1661A"/>
    <w:rsid w:val="00A1662B"/>
    <w:rsid w:val="00A16636"/>
    <w:rsid w:val="00A16649"/>
    <w:rsid w:val="00A16682"/>
    <w:rsid w:val="00A16691"/>
    <w:rsid w:val="00A166AE"/>
    <w:rsid w:val="00A166D8"/>
    <w:rsid w:val="00A16713"/>
    <w:rsid w:val="00A16779"/>
    <w:rsid w:val="00A167A1"/>
    <w:rsid w:val="00A167DE"/>
    <w:rsid w:val="00A16829"/>
    <w:rsid w:val="00A1683B"/>
    <w:rsid w:val="00A16922"/>
    <w:rsid w:val="00A16929"/>
    <w:rsid w:val="00A1697C"/>
    <w:rsid w:val="00A169B8"/>
    <w:rsid w:val="00A169BA"/>
    <w:rsid w:val="00A169BE"/>
    <w:rsid w:val="00A169CD"/>
    <w:rsid w:val="00A169EE"/>
    <w:rsid w:val="00A16ACF"/>
    <w:rsid w:val="00A16AD0"/>
    <w:rsid w:val="00A16AEC"/>
    <w:rsid w:val="00A16B94"/>
    <w:rsid w:val="00A16B9B"/>
    <w:rsid w:val="00A16BC0"/>
    <w:rsid w:val="00A16BC5"/>
    <w:rsid w:val="00A16BDE"/>
    <w:rsid w:val="00A16C14"/>
    <w:rsid w:val="00A16C44"/>
    <w:rsid w:val="00A16C87"/>
    <w:rsid w:val="00A16CCE"/>
    <w:rsid w:val="00A16CD3"/>
    <w:rsid w:val="00A16D35"/>
    <w:rsid w:val="00A16D4C"/>
    <w:rsid w:val="00A16D73"/>
    <w:rsid w:val="00A16D7D"/>
    <w:rsid w:val="00A16D8E"/>
    <w:rsid w:val="00A16DA4"/>
    <w:rsid w:val="00A16DEF"/>
    <w:rsid w:val="00A16E11"/>
    <w:rsid w:val="00A16E29"/>
    <w:rsid w:val="00A16E53"/>
    <w:rsid w:val="00A16E6F"/>
    <w:rsid w:val="00A16F17"/>
    <w:rsid w:val="00A16F3F"/>
    <w:rsid w:val="00A16F60"/>
    <w:rsid w:val="00A16F62"/>
    <w:rsid w:val="00A16F7F"/>
    <w:rsid w:val="00A170DE"/>
    <w:rsid w:val="00A17144"/>
    <w:rsid w:val="00A1714B"/>
    <w:rsid w:val="00A17168"/>
    <w:rsid w:val="00A1719A"/>
    <w:rsid w:val="00A171A3"/>
    <w:rsid w:val="00A171AB"/>
    <w:rsid w:val="00A171B3"/>
    <w:rsid w:val="00A171DB"/>
    <w:rsid w:val="00A17268"/>
    <w:rsid w:val="00A172B1"/>
    <w:rsid w:val="00A1732B"/>
    <w:rsid w:val="00A1732E"/>
    <w:rsid w:val="00A1733A"/>
    <w:rsid w:val="00A1734E"/>
    <w:rsid w:val="00A17368"/>
    <w:rsid w:val="00A17373"/>
    <w:rsid w:val="00A1737E"/>
    <w:rsid w:val="00A1738F"/>
    <w:rsid w:val="00A17399"/>
    <w:rsid w:val="00A173B0"/>
    <w:rsid w:val="00A173B8"/>
    <w:rsid w:val="00A173EE"/>
    <w:rsid w:val="00A1741B"/>
    <w:rsid w:val="00A1749E"/>
    <w:rsid w:val="00A175B0"/>
    <w:rsid w:val="00A175B5"/>
    <w:rsid w:val="00A175E7"/>
    <w:rsid w:val="00A175F3"/>
    <w:rsid w:val="00A1763D"/>
    <w:rsid w:val="00A17664"/>
    <w:rsid w:val="00A1768F"/>
    <w:rsid w:val="00A176BD"/>
    <w:rsid w:val="00A176C5"/>
    <w:rsid w:val="00A176CC"/>
    <w:rsid w:val="00A17753"/>
    <w:rsid w:val="00A1777F"/>
    <w:rsid w:val="00A177A8"/>
    <w:rsid w:val="00A177DF"/>
    <w:rsid w:val="00A17810"/>
    <w:rsid w:val="00A17830"/>
    <w:rsid w:val="00A1784C"/>
    <w:rsid w:val="00A178F4"/>
    <w:rsid w:val="00A17901"/>
    <w:rsid w:val="00A17906"/>
    <w:rsid w:val="00A1791E"/>
    <w:rsid w:val="00A17921"/>
    <w:rsid w:val="00A1794F"/>
    <w:rsid w:val="00A17963"/>
    <w:rsid w:val="00A179AA"/>
    <w:rsid w:val="00A179AE"/>
    <w:rsid w:val="00A17A1F"/>
    <w:rsid w:val="00A17A51"/>
    <w:rsid w:val="00A17A77"/>
    <w:rsid w:val="00A17ACF"/>
    <w:rsid w:val="00A17AD6"/>
    <w:rsid w:val="00A17ADA"/>
    <w:rsid w:val="00A17B14"/>
    <w:rsid w:val="00A17BA8"/>
    <w:rsid w:val="00A17BBC"/>
    <w:rsid w:val="00A17BC5"/>
    <w:rsid w:val="00A17BCA"/>
    <w:rsid w:val="00A17C12"/>
    <w:rsid w:val="00A17C21"/>
    <w:rsid w:val="00A17CB2"/>
    <w:rsid w:val="00A17CC3"/>
    <w:rsid w:val="00A17CCC"/>
    <w:rsid w:val="00A17CD5"/>
    <w:rsid w:val="00A17D1D"/>
    <w:rsid w:val="00A17D3F"/>
    <w:rsid w:val="00A17D4D"/>
    <w:rsid w:val="00A17D55"/>
    <w:rsid w:val="00A17D9E"/>
    <w:rsid w:val="00A17DF3"/>
    <w:rsid w:val="00A17DF7"/>
    <w:rsid w:val="00A17E02"/>
    <w:rsid w:val="00A17E4C"/>
    <w:rsid w:val="00A17E80"/>
    <w:rsid w:val="00A17EDE"/>
    <w:rsid w:val="00A17F11"/>
    <w:rsid w:val="00A17F42"/>
    <w:rsid w:val="00A17F46"/>
    <w:rsid w:val="00A17F75"/>
    <w:rsid w:val="00A17F86"/>
    <w:rsid w:val="00A17F8E"/>
    <w:rsid w:val="00A17F9B"/>
    <w:rsid w:val="00A17FEA"/>
    <w:rsid w:val="00A20038"/>
    <w:rsid w:val="00A20066"/>
    <w:rsid w:val="00A200A5"/>
    <w:rsid w:val="00A200B0"/>
    <w:rsid w:val="00A2011D"/>
    <w:rsid w:val="00A20124"/>
    <w:rsid w:val="00A20141"/>
    <w:rsid w:val="00A2015C"/>
    <w:rsid w:val="00A201C8"/>
    <w:rsid w:val="00A201F1"/>
    <w:rsid w:val="00A2020B"/>
    <w:rsid w:val="00A20211"/>
    <w:rsid w:val="00A2023C"/>
    <w:rsid w:val="00A20272"/>
    <w:rsid w:val="00A202CE"/>
    <w:rsid w:val="00A202E1"/>
    <w:rsid w:val="00A202F8"/>
    <w:rsid w:val="00A20319"/>
    <w:rsid w:val="00A20331"/>
    <w:rsid w:val="00A20338"/>
    <w:rsid w:val="00A203CB"/>
    <w:rsid w:val="00A203D5"/>
    <w:rsid w:val="00A203F3"/>
    <w:rsid w:val="00A2044D"/>
    <w:rsid w:val="00A20466"/>
    <w:rsid w:val="00A20482"/>
    <w:rsid w:val="00A20501"/>
    <w:rsid w:val="00A2051D"/>
    <w:rsid w:val="00A20535"/>
    <w:rsid w:val="00A20543"/>
    <w:rsid w:val="00A2054D"/>
    <w:rsid w:val="00A20586"/>
    <w:rsid w:val="00A205AC"/>
    <w:rsid w:val="00A205B6"/>
    <w:rsid w:val="00A2063A"/>
    <w:rsid w:val="00A20641"/>
    <w:rsid w:val="00A2064B"/>
    <w:rsid w:val="00A2064C"/>
    <w:rsid w:val="00A206C6"/>
    <w:rsid w:val="00A206F2"/>
    <w:rsid w:val="00A20709"/>
    <w:rsid w:val="00A2079F"/>
    <w:rsid w:val="00A20822"/>
    <w:rsid w:val="00A2082A"/>
    <w:rsid w:val="00A2082C"/>
    <w:rsid w:val="00A20867"/>
    <w:rsid w:val="00A2088C"/>
    <w:rsid w:val="00A20891"/>
    <w:rsid w:val="00A208D9"/>
    <w:rsid w:val="00A20918"/>
    <w:rsid w:val="00A2093B"/>
    <w:rsid w:val="00A20A15"/>
    <w:rsid w:val="00A20A36"/>
    <w:rsid w:val="00A20AB7"/>
    <w:rsid w:val="00A20ABF"/>
    <w:rsid w:val="00A20AC3"/>
    <w:rsid w:val="00A20AE8"/>
    <w:rsid w:val="00A20AFB"/>
    <w:rsid w:val="00A20B16"/>
    <w:rsid w:val="00A20B4D"/>
    <w:rsid w:val="00A20BA7"/>
    <w:rsid w:val="00A20BB0"/>
    <w:rsid w:val="00A20BC3"/>
    <w:rsid w:val="00A20BCC"/>
    <w:rsid w:val="00A20C24"/>
    <w:rsid w:val="00A20C29"/>
    <w:rsid w:val="00A20C55"/>
    <w:rsid w:val="00A20CE4"/>
    <w:rsid w:val="00A20D47"/>
    <w:rsid w:val="00A20D60"/>
    <w:rsid w:val="00A20D89"/>
    <w:rsid w:val="00A20DC2"/>
    <w:rsid w:val="00A20E78"/>
    <w:rsid w:val="00A20EA9"/>
    <w:rsid w:val="00A20EB8"/>
    <w:rsid w:val="00A20EE4"/>
    <w:rsid w:val="00A20EEF"/>
    <w:rsid w:val="00A20F09"/>
    <w:rsid w:val="00A20F10"/>
    <w:rsid w:val="00A20F27"/>
    <w:rsid w:val="00A20F3F"/>
    <w:rsid w:val="00A20F5F"/>
    <w:rsid w:val="00A20F65"/>
    <w:rsid w:val="00A20FCB"/>
    <w:rsid w:val="00A20FE8"/>
    <w:rsid w:val="00A21010"/>
    <w:rsid w:val="00A21015"/>
    <w:rsid w:val="00A210AF"/>
    <w:rsid w:val="00A211CE"/>
    <w:rsid w:val="00A21228"/>
    <w:rsid w:val="00A2122E"/>
    <w:rsid w:val="00A2123C"/>
    <w:rsid w:val="00A212B1"/>
    <w:rsid w:val="00A212FD"/>
    <w:rsid w:val="00A213E0"/>
    <w:rsid w:val="00A21400"/>
    <w:rsid w:val="00A2141E"/>
    <w:rsid w:val="00A21425"/>
    <w:rsid w:val="00A21483"/>
    <w:rsid w:val="00A214B8"/>
    <w:rsid w:val="00A214F9"/>
    <w:rsid w:val="00A21530"/>
    <w:rsid w:val="00A215A3"/>
    <w:rsid w:val="00A215B9"/>
    <w:rsid w:val="00A21626"/>
    <w:rsid w:val="00A2164D"/>
    <w:rsid w:val="00A216B7"/>
    <w:rsid w:val="00A2174E"/>
    <w:rsid w:val="00A2176B"/>
    <w:rsid w:val="00A217A9"/>
    <w:rsid w:val="00A217CC"/>
    <w:rsid w:val="00A217E2"/>
    <w:rsid w:val="00A217EC"/>
    <w:rsid w:val="00A217FC"/>
    <w:rsid w:val="00A21808"/>
    <w:rsid w:val="00A21870"/>
    <w:rsid w:val="00A218AD"/>
    <w:rsid w:val="00A218C6"/>
    <w:rsid w:val="00A218E9"/>
    <w:rsid w:val="00A2190C"/>
    <w:rsid w:val="00A21960"/>
    <w:rsid w:val="00A219B3"/>
    <w:rsid w:val="00A219D9"/>
    <w:rsid w:val="00A219E4"/>
    <w:rsid w:val="00A21A0C"/>
    <w:rsid w:val="00A21A7F"/>
    <w:rsid w:val="00A21A8A"/>
    <w:rsid w:val="00A21AAC"/>
    <w:rsid w:val="00A21AED"/>
    <w:rsid w:val="00A21B29"/>
    <w:rsid w:val="00A21BA7"/>
    <w:rsid w:val="00A21BB7"/>
    <w:rsid w:val="00A21BE7"/>
    <w:rsid w:val="00A21BF3"/>
    <w:rsid w:val="00A21C50"/>
    <w:rsid w:val="00A21C88"/>
    <w:rsid w:val="00A21CCC"/>
    <w:rsid w:val="00A21CDC"/>
    <w:rsid w:val="00A21CDF"/>
    <w:rsid w:val="00A21D09"/>
    <w:rsid w:val="00A21D30"/>
    <w:rsid w:val="00A21D85"/>
    <w:rsid w:val="00A21DD0"/>
    <w:rsid w:val="00A21DE8"/>
    <w:rsid w:val="00A21E32"/>
    <w:rsid w:val="00A21E48"/>
    <w:rsid w:val="00A21E65"/>
    <w:rsid w:val="00A21F6C"/>
    <w:rsid w:val="00A21F8C"/>
    <w:rsid w:val="00A21FA6"/>
    <w:rsid w:val="00A22096"/>
    <w:rsid w:val="00A220C8"/>
    <w:rsid w:val="00A22118"/>
    <w:rsid w:val="00A2211C"/>
    <w:rsid w:val="00A22170"/>
    <w:rsid w:val="00A221BE"/>
    <w:rsid w:val="00A22265"/>
    <w:rsid w:val="00A222B5"/>
    <w:rsid w:val="00A222BE"/>
    <w:rsid w:val="00A222DA"/>
    <w:rsid w:val="00A2230F"/>
    <w:rsid w:val="00A22325"/>
    <w:rsid w:val="00A2234A"/>
    <w:rsid w:val="00A22359"/>
    <w:rsid w:val="00A22375"/>
    <w:rsid w:val="00A223B0"/>
    <w:rsid w:val="00A223C7"/>
    <w:rsid w:val="00A223D8"/>
    <w:rsid w:val="00A223E5"/>
    <w:rsid w:val="00A223F1"/>
    <w:rsid w:val="00A22403"/>
    <w:rsid w:val="00A2241D"/>
    <w:rsid w:val="00A2244F"/>
    <w:rsid w:val="00A22492"/>
    <w:rsid w:val="00A224DC"/>
    <w:rsid w:val="00A22508"/>
    <w:rsid w:val="00A225A9"/>
    <w:rsid w:val="00A225B8"/>
    <w:rsid w:val="00A225DC"/>
    <w:rsid w:val="00A225EF"/>
    <w:rsid w:val="00A2260C"/>
    <w:rsid w:val="00A2260E"/>
    <w:rsid w:val="00A2261F"/>
    <w:rsid w:val="00A22671"/>
    <w:rsid w:val="00A22677"/>
    <w:rsid w:val="00A2267A"/>
    <w:rsid w:val="00A226B4"/>
    <w:rsid w:val="00A226D7"/>
    <w:rsid w:val="00A2272B"/>
    <w:rsid w:val="00A22764"/>
    <w:rsid w:val="00A2277D"/>
    <w:rsid w:val="00A22783"/>
    <w:rsid w:val="00A22787"/>
    <w:rsid w:val="00A227A3"/>
    <w:rsid w:val="00A227E7"/>
    <w:rsid w:val="00A227EC"/>
    <w:rsid w:val="00A22815"/>
    <w:rsid w:val="00A228A0"/>
    <w:rsid w:val="00A228C7"/>
    <w:rsid w:val="00A228F8"/>
    <w:rsid w:val="00A229E7"/>
    <w:rsid w:val="00A229FB"/>
    <w:rsid w:val="00A22A67"/>
    <w:rsid w:val="00A22B04"/>
    <w:rsid w:val="00A22B28"/>
    <w:rsid w:val="00A22B94"/>
    <w:rsid w:val="00A22BE0"/>
    <w:rsid w:val="00A22BF2"/>
    <w:rsid w:val="00A22C53"/>
    <w:rsid w:val="00A22CB5"/>
    <w:rsid w:val="00A22CD7"/>
    <w:rsid w:val="00A22D36"/>
    <w:rsid w:val="00A22D7A"/>
    <w:rsid w:val="00A22DCB"/>
    <w:rsid w:val="00A22E14"/>
    <w:rsid w:val="00A22E22"/>
    <w:rsid w:val="00A22E6F"/>
    <w:rsid w:val="00A22EC3"/>
    <w:rsid w:val="00A22EE3"/>
    <w:rsid w:val="00A22EFD"/>
    <w:rsid w:val="00A22F00"/>
    <w:rsid w:val="00A22F3E"/>
    <w:rsid w:val="00A22F7F"/>
    <w:rsid w:val="00A22F8F"/>
    <w:rsid w:val="00A22FCC"/>
    <w:rsid w:val="00A2302E"/>
    <w:rsid w:val="00A23068"/>
    <w:rsid w:val="00A230EA"/>
    <w:rsid w:val="00A230F0"/>
    <w:rsid w:val="00A23109"/>
    <w:rsid w:val="00A2312B"/>
    <w:rsid w:val="00A23146"/>
    <w:rsid w:val="00A23176"/>
    <w:rsid w:val="00A231A9"/>
    <w:rsid w:val="00A231E1"/>
    <w:rsid w:val="00A2325A"/>
    <w:rsid w:val="00A2327D"/>
    <w:rsid w:val="00A2327F"/>
    <w:rsid w:val="00A232AB"/>
    <w:rsid w:val="00A232C2"/>
    <w:rsid w:val="00A232D6"/>
    <w:rsid w:val="00A232FE"/>
    <w:rsid w:val="00A23309"/>
    <w:rsid w:val="00A23343"/>
    <w:rsid w:val="00A23347"/>
    <w:rsid w:val="00A233CC"/>
    <w:rsid w:val="00A233D1"/>
    <w:rsid w:val="00A233E0"/>
    <w:rsid w:val="00A2344C"/>
    <w:rsid w:val="00A234AC"/>
    <w:rsid w:val="00A234BD"/>
    <w:rsid w:val="00A23520"/>
    <w:rsid w:val="00A23590"/>
    <w:rsid w:val="00A23597"/>
    <w:rsid w:val="00A2360A"/>
    <w:rsid w:val="00A23621"/>
    <w:rsid w:val="00A23634"/>
    <w:rsid w:val="00A2363D"/>
    <w:rsid w:val="00A23658"/>
    <w:rsid w:val="00A236C6"/>
    <w:rsid w:val="00A236EB"/>
    <w:rsid w:val="00A236F8"/>
    <w:rsid w:val="00A23714"/>
    <w:rsid w:val="00A2372E"/>
    <w:rsid w:val="00A23751"/>
    <w:rsid w:val="00A23765"/>
    <w:rsid w:val="00A2379E"/>
    <w:rsid w:val="00A238AE"/>
    <w:rsid w:val="00A238D9"/>
    <w:rsid w:val="00A238F3"/>
    <w:rsid w:val="00A238FA"/>
    <w:rsid w:val="00A23945"/>
    <w:rsid w:val="00A23946"/>
    <w:rsid w:val="00A2395F"/>
    <w:rsid w:val="00A23980"/>
    <w:rsid w:val="00A23A51"/>
    <w:rsid w:val="00A23A58"/>
    <w:rsid w:val="00A23A67"/>
    <w:rsid w:val="00A23A6C"/>
    <w:rsid w:val="00A23A7D"/>
    <w:rsid w:val="00A23ACD"/>
    <w:rsid w:val="00A23AF3"/>
    <w:rsid w:val="00A23B14"/>
    <w:rsid w:val="00A23B26"/>
    <w:rsid w:val="00A23B54"/>
    <w:rsid w:val="00A23B5B"/>
    <w:rsid w:val="00A23BAB"/>
    <w:rsid w:val="00A23BB3"/>
    <w:rsid w:val="00A23C62"/>
    <w:rsid w:val="00A23CA7"/>
    <w:rsid w:val="00A23CB4"/>
    <w:rsid w:val="00A23CC4"/>
    <w:rsid w:val="00A23D3F"/>
    <w:rsid w:val="00A23D5A"/>
    <w:rsid w:val="00A23D9C"/>
    <w:rsid w:val="00A23DFB"/>
    <w:rsid w:val="00A23E5A"/>
    <w:rsid w:val="00A23EAB"/>
    <w:rsid w:val="00A23F1B"/>
    <w:rsid w:val="00A2403E"/>
    <w:rsid w:val="00A24049"/>
    <w:rsid w:val="00A24058"/>
    <w:rsid w:val="00A24064"/>
    <w:rsid w:val="00A240B8"/>
    <w:rsid w:val="00A240BD"/>
    <w:rsid w:val="00A240CF"/>
    <w:rsid w:val="00A24101"/>
    <w:rsid w:val="00A24111"/>
    <w:rsid w:val="00A2411E"/>
    <w:rsid w:val="00A24133"/>
    <w:rsid w:val="00A24199"/>
    <w:rsid w:val="00A241C5"/>
    <w:rsid w:val="00A241D0"/>
    <w:rsid w:val="00A241EA"/>
    <w:rsid w:val="00A24229"/>
    <w:rsid w:val="00A24249"/>
    <w:rsid w:val="00A2424E"/>
    <w:rsid w:val="00A24253"/>
    <w:rsid w:val="00A2426D"/>
    <w:rsid w:val="00A2429C"/>
    <w:rsid w:val="00A242DD"/>
    <w:rsid w:val="00A2431D"/>
    <w:rsid w:val="00A24334"/>
    <w:rsid w:val="00A24421"/>
    <w:rsid w:val="00A24451"/>
    <w:rsid w:val="00A24472"/>
    <w:rsid w:val="00A244A7"/>
    <w:rsid w:val="00A2457E"/>
    <w:rsid w:val="00A245DB"/>
    <w:rsid w:val="00A24610"/>
    <w:rsid w:val="00A24622"/>
    <w:rsid w:val="00A24685"/>
    <w:rsid w:val="00A24689"/>
    <w:rsid w:val="00A246A3"/>
    <w:rsid w:val="00A246C1"/>
    <w:rsid w:val="00A246F0"/>
    <w:rsid w:val="00A247A4"/>
    <w:rsid w:val="00A247AF"/>
    <w:rsid w:val="00A24851"/>
    <w:rsid w:val="00A24874"/>
    <w:rsid w:val="00A24878"/>
    <w:rsid w:val="00A24893"/>
    <w:rsid w:val="00A248AE"/>
    <w:rsid w:val="00A248CC"/>
    <w:rsid w:val="00A248DA"/>
    <w:rsid w:val="00A24913"/>
    <w:rsid w:val="00A24955"/>
    <w:rsid w:val="00A2498A"/>
    <w:rsid w:val="00A249D8"/>
    <w:rsid w:val="00A24A84"/>
    <w:rsid w:val="00A24A98"/>
    <w:rsid w:val="00A24AA2"/>
    <w:rsid w:val="00A24AC8"/>
    <w:rsid w:val="00A24AD7"/>
    <w:rsid w:val="00A24AFA"/>
    <w:rsid w:val="00A24BD3"/>
    <w:rsid w:val="00A24BE1"/>
    <w:rsid w:val="00A24C0A"/>
    <w:rsid w:val="00A24C16"/>
    <w:rsid w:val="00A24C56"/>
    <w:rsid w:val="00A24CF4"/>
    <w:rsid w:val="00A24D11"/>
    <w:rsid w:val="00A24D66"/>
    <w:rsid w:val="00A24D7D"/>
    <w:rsid w:val="00A24DB6"/>
    <w:rsid w:val="00A24DF2"/>
    <w:rsid w:val="00A24E4E"/>
    <w:rsid w:val="00A24E60"/>
    <w:rsid w:val="00A24EBF"/>
    <w:rsid w:val="00A24F38"/>
    <w:rsid w:val="00A24F89"/>
    <w:rsid w:val="00A24F8B"/>
    <w:rsid w:val="00A2500E"/>
    <w:rsid w:val="00A2503E"/>
    <w:rsid w:val="00A2508B"/>
    <w:rsid w:val="00A2509E"/>
    <w:rsid w:val="00A250A1"/>
    <w:rsid w:val="00A250BB"/>
    <w:rsid w:val="00A250E1"/>
    <w:rsid w:val="00A250F8"/>
    <w:rsid w:val="00A2511A"/>
    <w:rsid w:val="00A25141"/>
    <w:rsid w:val="00A25195"/>
    <w:rsid w:val="00A251D1"/>
    <w:rsid w:val="00A251ED"/>
    <w:rsid w:val="00A25203"/>
    <w:rsid w:val="00A25213"/>
    <w:rsid w:val="00A25229"/>
    <w:rsid w:val="00A2524B"/>
    <w:rsid w:val="00A252AD"/>
    <w:rsid w:val="00A252B5"/>
    <w:rsid w:val="00A252E7"/>
    <w:rsid w:val="00A2541E"/>
    <w:rsid w:val="00A25450"/>
    <w:rsid w:val="00A25485"/>
    <w:rsid w:val="00A2548D"/>
    <w:rsid w:val="00A254C4"/>
    <w:rsid w:val="00A254ED"/>
    <w:rsid w:val="00A254F7"/>
    <w:rsid w:val="00A25517"/>
    <w:rsid w:val="00A25549"/>
    <w:rsid w:val="00A2554A"/>
    <w:rsid w:val="00A2556F"/>
    <w:rsid w:val="00A25635"/>
    <w:rsid w:val="00A25649"/>
    <w:rsid w:val="00A25650"/>
    <w:rsid w:val="00A2568E"/>
    <w:rsid w:val="00A25691"/>
    <w:rsid w:val="00A25697"/>
    <w:rsid w:val="00A2569B"/>
    <w:rsid w:val="00A256E4"/>
    <w:rsid w:val="00A256EA"/>
    <w:rsid w:val="00A25753"/>
    <w:rsid w:val="00A257E3"/>
    <w:rsid w:val="00A257FA"/>
    <w:rsid w:val="00A25813"/>
    <w:rsid w:val="00A25897"/>
    <w:rsid w:val="00A2589C"/>
    <w:rsid w:val="00A258E5"/>
    <w:rsid w:val="00A2596E"/>
    <w:rsid w:val="00A25978"/>
    <w:rsid w:val="00A25987"/>
    <w:rsid w:val="00A259FC"/>
    <w:rsid w:val="00A25A57"/>
    <w:rsid w:val="00A25A5A"/>
    <w:rsid w:val="00A25A87"/>
    <w:rsid w:val="00A25B05"/>
    <w:rsid w:val="00A25B62"/>
    <w:rsid w:val="00A25B82"/>
    <w:rsid w:val="00A25BB1"/>
    <w:rsid w:val="00A25C12"/>
    <w:rsid w:val="00A25C1C"/>
    <w:rsid w:val="00A25C1D"/>
    <w:rsid w:val="00A25C1E"/>
    <w:rsid w:val="00A25C5F"/>
    <w:rsid w:val="00A25C95"/>
    <w:rsid w:val="00A25CA2"/>
    <w:rsid w:val="00A25CDB"/>
    <w:rsid w:val="00A25D3C"/>
    <w:rsid w:val="00A25D7E"/>
    <w:rsid w:val="00A25D9F"/>
    <w:rsid w:val="00A25DAD"/>
    <w:rsid w:val="00A25DF2"/>
    <w:rsid w:val="00A25DFD"/>
    <w:rsid w:val="00A25E57"/>
    <w:rsid w:val="00A25F20"/>
    <w:rsid w:val="00A25F50"/>
    <w:rsid w:val="00A25F60"/>
    <w:rsid w:val="00A25FE1"/>
    <w:rsid w:val="00A26059"/>
    <w:rsid w:val="00A26072"/>
    <w:rsid w:val="00A26112"/>
    <w:rsid w:val="00A26132"/>
    <w:rsid w:val="00A2613A"/>
    <w:rsid w:val="00A26173"/>
    <w:rsid w:val="00A26181"/>
    <w:rsid w:val="00A261D5"/>
    <w:rsid w:val="00A26221"/>
    <w:rsid w:val="00A26240"/>
    <w:rsid w:val="00A26264"/>
    <w:rsid w:val="00A26288"/>
    <w:rsid w:val="00A262A3"/>
    <w:rsid w:val="00A262AB"/>
    <w:rsid w:val="00A262DA"/>
    <w:rsid w:val="00A262F3"/>
    <w:rsid w:val="00A2634C"/>
    <w:rsid w:val="00A26391"/>
    <w:rsid w:val="00A26398"/>
    <w:rsid w:val="00A263DF"/>
    <w:rsid w:val="00A26402"/>
    <w:rsid w:val="00A2640E"/>
    <w:rsid w:val="00A26440"/>
    <w:rsid w:val="00A2648B"/>
    <w:rsid w:val="00A2649D"/>
    <w:rsid w:val="00A264B3"/>
    <w:rsid w:val="00A264C8"/>
    <w:rsid w:val="00A264CD"/>
    <w:rsid w:val="00A264D6"/>
    <w:rsid w:val="00A264D9"/>
    <w:rsid w:val="00A264F0"/>
    <w:rsid w:val="00A26527"/>
    <w:rsid w:val="00A26528"/>
    <w:rsid w:val="00A2652D"/>
    <w:rsid w:val="00A26580"/>
    <w:rsid w:val="00A2659E"/>
    <w:rsid w:val="00A26624"/>
    <w:rsid w:val="00A26649"/>
    <w:rsid w:val="00A2665A"/>
    <w:rsid w:val="00A2668A"/>
    <w:rsid w:val="00A266AF"/>
    <w:rsid w:val="00A266C9"/>
    <w:rsid w:val="00A26738"/>
    <w:rsid w:val="00A2674C"/>
    <w:rsid w:val="00A2675B"/>
    <w:rsid w:val="00A2676D"/>
    <w:rsid w:val="00A26778"/>
    <w:rsid w:val="00A26825"/>
    <w:rsid w:val="00A2687D"/>
    <w:rsid w:val="00A26923"/>
    <w:rsid w:val="00A26949"/>
    <w:rsid w:val="00A26A26"/>
    <w:rsid w:val="00A26A7E"/>
    <w:rsid w:val="00A26A8A"/>
    <w:rsid w:val="00A26AB7"/>
    <w:rsid w:val="00A26ACC"/>
    <w:rsid w:val="00A26AEC"/>
    <w:rsid w:val="00A26B35"/>
    <w:rsid w:val="00A26B53"/>
    <w:rsid w:val="00A26B62"/>
    <w:rsid w:val="00A26BA1"/>
    <w:rsid w:val="00A26BAF"/>
    <w:rsid w:val="00A26BEE"/>
    <w:rsid w:val="00A26C39"/>
    <w:rsid w:val="00A26C4A"/>
    <w:rsid w:val="00A26C8F"/>
    <w:rsid w:val="00A26CE2"/>
    <w:rsid w:val="00A26D34"/>
    <w:rsid w:val="00A26D68"/>
    <w:rsid w:val="00A26D73"/>
    <w:rsid w:val="00A26D94"/>
    <w:rsid w:val="00A26E4A"/>
    <w:rsid w:val="00A26E4B"/>
    <w:rsid w:val="00A26EA6"/>
    <w:rsid w:val="00A26EE2"/>
    <w:rsid w:val="00A26EF5"/>
    <w:rsid w:val="00A26EFF"/>
    <w:rsid w:val="00A26F0B"/>
    <w:rsid w:val="00A26F0D"/>
    <w:rsid w:val="00A26F65"/>
    <w:rsid w:val="00A26F88"/>
    <w:rsid w:val="00A26FF9"/>
    <w:rsid w:val="00A26FFA"/>
    <w:rsid w:val="00A27025"/>
    <w:rsid w:val="00A27095"/>
    <w:rsid w:val="00A2710C"/>
    <w:rsid w:val="00A27115"/>
    <w:rsid w:val="00A2712E"/>
    <w:rsid w:val="00A2713F"/>
    <w:rsid w:val="00A2714F"/>
    <w:rsid w:val="00A27193"/>
    <w:rsid w:val="00A271F5"/>
    <w:rsid w:val="00A2729E"/>
    <w:rsid w:val="00A272B0"/>
    <w:rsid w:val="00A273DC"/>
    <w:rsid w:val="00A2740B"/>
    <w:rsid w:val="00A27434"/>
    <w:rsid w:val="00A2745D"/>
    <w:rsid w:val="00A274AC"/>
    <w:rsid w:val="00A274CF"/>
    <w:rsid w:val="00A274E3"/>
    <w:rsid w:val="00A274FC"/>
    <w:rsid w:val="00A27546"/>
    <w:rsid w:val="00A27560"/>
    <w:rsid w:val="00A27574"/>
    <w:rsid w:val="00A275D8"/>
    <w:rsid w:val="00A276BD"/>
    <w:rsid w:val="00A276CB"/>
    <w:rsid w:val="00A276D4"/>
    <w:rsid w:val="00A2772A"/>
    <w:rsid w:val="00A27746"/>
    <w:rsid w:val="00A277A8"/>
    <w:rsid w:val="00A277AE"/>
    <w:rsid w:val="00A277C3"/>
    <w:rsid w:val="00A277F8"/>
    <w:rsid w:val="00A27853"/>
    <w:rsid w:val="00A2786A"/>
    <w:rsid w:val="00A278F9"/>
    <w:rsid w:val="00A278FF"/>
    <w:rsid w:val="00A2792F"/>
    <w:rsid w:val="00A2795B"/>
    <w:rsid w:val="00A279BB"/>
    <w:rsid w:val="00A27AB3"/>
    <w:rsid w:val="00A27AC7"/>
    <w:rsid w:val="00A27AD2"/>
    <w:rsid w:val="00A27AE6"/>
    <w:rsid w:val="00A27AEC"/>
    <w:rsid w:val="00A27B33"/>
    <w:rsid w:val="00A27BA0"/>
    <w:rsid w:val="00A27BEE"/>
    <w:rsid w:val="00A27C2C"/>
    <w:rsid w:val="00A27CCD"/>
    <w:rsid w:val="00A27D54"/>
    <w:rsid w:val="00A27DA3"/>
    <w:rsid w:val="00A27DD4"/>
    <w:rsid w:val="00A27E46"/>
    <w:rsid w:val="00A27E56"/>
    <w:rsid w:val="00A27E70"/>
    <w:rsid w:val="00A27E76"/>
    <w:rsid w:val="00A27E7E"/>
    <w:rsid w:val="00A27E98"/>
    <w:rsid w:val="00A27ED1"/>
    <w:rsid w:val="00A27F20"/>
    <w:rsid w:val="00A27F24"/>
    <w:rsid w:val="00A27F96"/>
    <w:rsid w:val="00A27FB4"/>
    <w:rsid w:val="00A27FD2"/>
    <w:rsid w:val="00A30018"/>
    <w:rsid w:val="00A30050"/>
    <w:rsid w:val="00A30054"/>
    <w:rsid w:val="00A30100"/>
    <w:rsid w:val="00A3010D"/>
    <w:rsid w:val="00A3012B"/>
    <w:rsid w:val="00A30216"/>
    <w:rsid w:val="00A30242"/>
    <w:rsid w:val="00A3027E"/>
    <w:rsid w:val="00A302C6"/>
    <w:rsid w:val="00A302E4"/>
    <w:rsid w:val="00A302E9"/>
    <w:rsid w:val="00A302ED"/>
    <w:rsid w:val="00A30345"/>
    <w:rsid w:val="00A30375"/>
    <w:rsid w:val="00A3038D"/>
    <w:rsid w:val="00A303A4"/>
    <w:rsid w:val="00A303D2"/>
    <w:rsid w:val="00A303E7"/>
    <w:rsid w:val="00A3040F"/>
    <w:rsid w:val="00A304AD"/>
    <w:rsid w:val="00A304B6"/>
    <w:rsid w:val="00A304B9"/>
    <w:rsid w:val="00A30538"/>
    <w:rsid w:val="00A30568"/>
    <w:rsid w:val="00A3059C"/>
    <w:rsid w:val="00A305F2"/>
    <w:rsid w:val="00A30680"/>
    <w:rsid w:val="00A3069E"/>
    <w:rsid w:val="00A3071E"/>
    <w:rsid w:val="00A307A8"/>
    <w:rsid w:val="00A307B2"/>
    <w:rsid w:val="00A30849"/>
    <w:rsid w:val="00A30860"/>
    <w:rsid w:val="00A3087C"/>
    <w:rsid w:val="00A308C3"/>
    <w:rsid w:val="00A3097D"/>
    <w:rsid w:val="00A309F1"/>
    <w:rsid w:val="00A30A3A"/>
    <w:rsid w:val="00A30A63"/>
    <w:rsid w:val="00A30A8E"/>
    <w:rsid w:val="00A30AA2"/>
    <w:rsid w:val="00A30AC4"/>
    <w:rsid w:val="00A30B07"/>
    <w:rsid w:val="00A30BCB"/>
    <w:rsid w:val="00A30BDD"/>
    <w:rsid w:val="00A30C48"/>
    <w:rsid w:val="00A30C76"/>
    <w:rsid w:val="00A30C7C"/>
    <w:rsid w:val="00A30C8D"/>
    <w:rsid w:val="00A30C9E"/>
    <w:rsid w:val="00A30D1E"/>
    <w:rsid w:val="00A30DED"/>
    <w:rsid w:val="00A30DF9"/>
    <w:rsid w:val="00A30E01"/>
    <w:rsid w:val="00A30E1A"/>
    <w:rsid w:val="00A30E54"/>
    <w:rsid w:val="00A30E67"/>
    <w:rsid w:val="00A30E77"/>
    <w:rsid w:val="00A30EB9"/>
    <w:rsid w:val="00A30EF8"/>
    <w:rsid w:val="00A30F16"/>
    <w:rsid w:val="00A30F29"/>
    <w:rsid w:val="00A30F47"/>
    <w:rsid w:val="00A30F9C"/>
    <w:rsid w:val="00A30FD2"/>
    <w:rsid w:val="00A30FFB"/>
    <w:rsid w:val="00A3104C"/>
    <w:rsid w:val="00A3104D"/>
    <w:rsid w:val="00A31060"/>
    <w:rsid w:val="00A310A9"/>
    <w:rsid w:val="00A3111E"/>
    <w:rsid w:val="00A3112E"/>
    <w:rsid w:val="00A3113F"/>
    <w:rsid w:val="00A311B6"/>
    <w:rsid w:val="00A311F5"/>
    <w:rsid w:val="00A3122E"/>
    <w:rsid w:val="00A3124E"/>
    <w:rsid w:val="00A31251"/>
    <w:rsid w:val="00A31282"/>
    <w:rsid w:val="00A3128F"/>
    <w:rsid w:val="00A312B1"/>
    <w:rsid w:val="00A31341"/>
    <w:rsid w:val="00A31343"/>
    <w:rsid w:val="00A3134B"/>
    <w:rsid w:val="00A3138F"/>
    <w:rsid w:val="00A313A6"/>
    <w:rsid w:val="00A313F1"/>
    <w:rsid w:val="00A3144D"/>
    <w:rsid w:val="00A31460"/>
    <w:rsid w:val="00A3147B"/>
    <w:rsid w:val="00A3148B"/>
    <w:rsid w:val="00A314C5"/>
    <w:rsid w:val="00A314C6"/>
    <w:rsid w:val="00A314D2"/>
    <w:rsid w:val="00A314D6"/>
    <w:rsid w:val="00A314D7"/>
    <w:rsid w:val="00A314F0"/>
    <w:rsid w:val="00A31546"/>
    <w:rsid w:val="00A31570"/>
    <w:rsid w:val="00A315CC"/>
    <w:rsid w:val="00A31600"/>
    <w:rsid w:val="00A31620"/>
    <w:rsid w:val="00A31635"/>
    <w:rsid w:val="00A31654"/>
    <w:rsid w:val="00A31678"/>
    <w:rsid w:val="00A3167D"/>
    <w:rsid w:val="00A3168B"/>
    <w:rsid w:val="00A316C1"/>
    <w:rsid w:val="00A31724"/>
    <w:rsid w:val="00A31730"/>
    <w:rsid w:val="00A31760"/>
    <w:rsid w:val="00A3177E"/>
    <w:rsid w:val="00A317B7"/>
    <w:rsid w:val="00A317DB"/>
    <w:rsid w:val="00A317E4"/>
    <w:rsid w:val="00A31815"/>
    <w:rsid w:val="00A3182E"/>
    <w:rsid w:val="00A31855"/>
    <w:rsid w:val="00A31861"/>
    <w:rsid w:val="00A3186C"/>
    <w:rsid w:val="00A318A5"/>
    <w:rsid w:val="00A318CE"/>
    <w:rsid w:val="00A318E8"/>
    <w:rsid w:val="00A319C4"/>
    <w:rsid w:val="00A319C9"/>
    <w:rsid w:val="00A319CA"/>
    <w:rsid w:val="00A31A73"/>
    <w:rsid w:val="00A31AA7"/>
    <w:rsid w:val="00A31AAB"/>
    <w:rsid w:val="00A31AD5"/>
    <w:rsid w:val="00A31AE2"/>
    <w:rsid w:val="00A31B44"/>
    <w:rsid w:val="00A31B49"/>
    <w:rsid w:val="00A31B57"/>
    <w:rsid w:val="00A31B71"/>
    <w:rsid w:val="00A31BB3"/>
    <w:rsid w:val="00A31BCC"/>
    <w:rsid w:val="00A31CD3"/>
    <w:rsid w:val="00A31D0A"/>
    <w:rsid w:val="00A31D0F"/>
    <w:rsid w:val="00A31D34"/>
    <w:rsid w:val="00A31D55"/>
    <w:rsid w:val="00A31D92"/>
    <w:rsid w:val="00A31DF1"/>
    <w:rsid w:val="00A31E0B"/>
    <w:rsid w:val="00A31E40"/>
    <w:rsid w:val="00A31E7A"/>
    <w:rsid w:val="00A31EA0"/>
    <w:rsid w:val="00A31EA7"/>
    <w:rsid w:val="00A31EDF"/>
    <w:rsid w:val="00A31F3B"/>
    <w:rsid w:val="00A31F53"/>
    <w:rsid w:val="00A31F57"/>
    <w:rsid w:val="00A31FC9"/>
    <w:rsid w:val="00A31FEB"/>
    <w:rsid w:val="00A32013"/>
    <w:rsid w:val="00A32017"/>
    <w:rsid w:val="00A32046"/>
    <w:rsid w:val="00A32097"/>
    <w:rsid w:val="00A320AF"/>
    <w:rsid w:val="00A320E3"/>
    <w:rsid w:val="00A32193"/>
    <w:rsid w:val="00A321A7"/>
    <w:rsid w:val="00A32257"/>
    <w:rsid w:val="00A3226C"/>
    <w:rsid w:val="00A322E8"/>
    <w:rsid w:val="00A32304"/>
    <w:rsid w:val="00A32340"/>
    <w:rsid w:val="00A323CF"/>
    <w:rsid w:val="00A323DC"/>
    <w:rsid w:val="00A32406"/>
    <w:rsid w:val="00A32434"/>
    <w:rsid w:val="00A32475"/>
    <w:rsid w:val="00A3251E"/>
    <w:rsid w:val="00A3255A"/>
    <w:rsid w:val="00A32576"/>
    <w:rsid w:val="00A32579"/>
    <w:rsid w:val="00A32588"/>
    <w:rsid w:val="00A325A7"/>
    <w:rsid w:val="00A325BA"/>
    <w:rsid w:val="00A325E5"/>
    <w:rsid w:val="00A32606"/>
    <w:rsid w:val="00A32637"/>
    <w:rsid w:val="00A3263F"/>
    <w:rsid w:val="00A32657"/>
    <w:rsid w:val="00A326A2"/>
    <w:rsid w:val="00A326D6"/>
    <w:rsid w:val="00A326FA"/>
    <w:rsid w:val="00A3279F"/>
    <w:rsid w:val="00A327A1"/>
    <w:rsid w:val="00A327E0"/>
    <w:rsid w:val="00A32856"/>
    <w:rsid w:val="00A32898"/>
    <w:rsid w:val="00A328CF"/>
    <w:rsid w:val="00A328DC"/>
    <w:rsid w:val="00A3294C"/>
    <w:rsid w:val="00A329E8"/>
    <w:rsid w:val="00A329FB"/>
    <w:rsid w:val="00A32A1D"/>
    <w:rsid w:val="00A32A44"/>
    <w:rsid w:val="00A32A59"/>
    <w:rsid w:val="00A32B54"/>
    <w:rsid w:val="00A32BCE"/>
    <w:rsid w:val="00A32BD5"/>
    <w:rsid w:val="00A32C58"/>
    <w:rsid w:val="00A32C9D"/>
    <w:rsid w:val="00A32CAC"/>
    <w:rsid w:val="00A32CE7"/>
    <w:rsid w:val="00A32CF4"/>
    <w:rsid w:val="00A32D39"/>
    <w:rsid w:val="00A32D45"/>
    <w:rsid w:val="00A32DCF"/>
    <w:rsid w:val="00A32DEE"/>
    <w:rsid w:val="00A32E27"/>
    <w:rsid w:val="00A32E30"/>
    <w:rsid w:val="00A32E3B"/>
    <w:rsid w:val="00A32E49"/>
    <w:rsid w:val="00A32E73"/>
    <w:rsid w:val="00A32EA9"/>
    <w:rsid w:val="00A32F0D"/>
    <w:rsid w:val="00A32F12"/>
    <w:rsid w:val="00A32F1C"/>
    <w:rsid w:val="00A32F33"/>
    <w:rsid w:val="00A32F3B"/>
    <w:rsid w:val="00A32F64"/>
    <w:rsid w:val="00A32F74"/>
    <w:rsid w:val="00A32FC6"/>
    <w:rsid w:val="00A32FEF"/>
    <w:rsid w:val="00A3302D"/>
    <w:rsid w:val="00A33092"/>
    <w:rsid w:val="00A33106"/>
    <w:rsid w:val="00A3310A"/>
    <w:rsid w:val="00A3311A"/>
    <w:rsid w:val="00A331BC"/>
    <w:rsid w:val="00A331CD"/>
    <w:rsid w:val="00A331E2"/>
    <w:rsid w:val="00A33231"/>
    <w:rsid w:val="00A332A2"/>
    <w:rsid w:val="00A332C3"/>
    <w:rsid w:val="00A332D0"/>
    <w:rsid w:val="00A332FD"/>
    <w:rsid w:val="00A33362"/>
    <w:rsid w:val="00A33372"/>
    <w:rsid w:val="00A33384"/>
    <w:rsid w:val="00A333A1"/>
    <w:rsid w:val="00A333DB"/>
    <w:rsid w:val="00A333DF"/>
    <w:rsid w:val="00A3346A"/>
    <w:rsid w:val="00A334AD"/>
    <w:rsid w:val="00A334B9"/>
    <w:rsid w:val="00A3357E"/>
    <w:rsid w:val="00A335A3"/>
    <w:rsid w:val="00A335D8"/>
    <w:rsid w:val="00A335E9"/>
    <w:rsid w:val="00A335EC"/>
    <w:rsid w:val="00A33658"/>
    <w:rsid w:val="00A3366A"/>
    <w:rsid w:val="00A336EE"/>
    <w:rsid w:val="00A336F4"/>
    <w:rsid w:val="00A3375D"/>
    <w:rsid w:val="00A33788"/>
    <w:rsid w:val="00A337A9"/>
    <w:rsid w:val="00A337C0"/>
    <w:rsid w:val="00A337F3"/>
    <w:rsid w:val="00A3380D"/>
    <w:rsid w:val="00A33832"/>
    <w:rsid w:val="00A3394A"/>
    <w:rsid w:val="00A339DA"/>
    <w:rsid w:val="00A33A02"/>
    <w:rsid w:val="00A33A1A"/>
    <w:rsid w:val="00A33A4A"/>
    <w:rsid w:val="00A33A52"/>
    <w:rsid w:val="00A33AC4"/>
    <w:rsid w:val="00A33AC9"/>
    <w:rsid w:val="00A33B60"/>
    <w:rsid w:val="00A33BB2"/>
    <w:rsid w:val="00A33BC0"/>
    <w:rsid w:val="00A33BC5"/>
    <w:rsid w:val="00A33BD1"/>
    <w:rsid w:val="00A33BD4"/>
    <w:rsid w:val="00A33C37"/>
    <w:rsid w:val="00A33C59"/>
    <w:rsid w:val="00A33C85"/>
    <w:rsid w:val="00A33CAD"/>
    <w:rsid w:val="00A33D2B"/>
    <w:rsid w:val="00A33D33"/>
    <w:rsid w:val="00A33D53"/>
    <w:rsid w:val="00A33D8C"/>
    <w:rsid w:val="00A33D9E"/>
    <w:rsid w:val="00A33DC7"/>
    <w:rsid w:val="00A33DF0"/>
    <w:rsid w:val="00A33DF9"/>
    <w:rsid w:val="00A33E1E"/>
    <w:rsid w:val="00A33E41"/>
    <w:rsid w:val="00A33E59"/>
    <w:rsid w:val="00A33E6C"/>
    <w:rsid w:val="00A33E8C"/>
    <w:rsid w:val="00A33EA1"/>
    <w:rsid w:val="00A33EB6"/>
    <w:rsid w:val="00A33F22"/>
    <w:rsid w:val="00A33F90"/>
    <w:rsid w:val="00A33F9F"/>
    <w:rsid w:val="00A33FD1"/>
    <w:rsid w:val="00A33FD8"/>
    <w:rsid w:val="00A34025"/>
    <w:rsid w:val="00A34030"/>
    <w:rsid w:val="00A34060"/>
    <w:rsid w:val="00A34068"/>
    <w:rsid w:val="00A340CE"/>
    <w:rsid w:val="00A34145"/>
    <w:rsid w:val="00A341CD"/>
    <w:rsid w:val="00A341E7"/>
    <w:rsid w:val="00A34229"/>
    <w:rsid w:val="00A34249"/>
    <w:rsid w:val="00A342BB"/>
    <w:rsid w:val="00A342BF"/>
    <w:rsid w:val="00A343D2"/>
    <w:rsid w:val="00A343F2"/>
    <w:rsid w:val="00A3441F"/>
    <w:rsid w:val="00A34422"/>
    <w:rsid w:val="00A3443D"/>
    <w:rsid w:val="00A344A3"/>
    <w:rsid w:val="00A34506"/>
    <w:rsid w:val="00A34511"/>
    <w:rsid w:val="00A3457A"/>
    <w:rsid w:val="00A34595"/>
    <w:rsid w:val="00A345A3"/>
    <w:rsid w:val="00A345E6"/>
    <w:rsid w:val="00A34661"/>
    <w:rsid w:val="00A346C2"/>
    <w:rsid w:val="00A346E4"/>
    <w:rsid w:val="00A34718"/>
    <w:rsid w:val="00A3471E"/>
    <w:rsid w:val="00A34781"/>
    <w:rsid w:val="00A34787"/>
    <w:rsid w:val="00A347A2"/>
    <w:rsid w:val="00A347E6"/>
    <w:rsid w:val="00A34831"/>
    <w:rsid w:val="00A34896"/>
    <w:rsid w:val="00A34935"/>
    <w:rsid w:val="00A34936"/>
    <w:rsid w:val="00A34966"/>
    <w:rsid w:val="00A349C6"/>
    <w:rsid w:val="00A349D4"/>
    <w:rsid w:val="00A34A22"/>
    <w:rsid w:val="00A34A23"/>
    <w:rsid w:val="00A34A28"/>
    <w:rsid w:val="00A34A33"/>
    <w:rsid w:val="00A34AD2"/>
    <w:rsid w:val="00A34B00"/>
    <w:rsid w:val="00A34B5B"/>
    <w:rsid w:val="00A34B80"/>
    <w:rsid w:val="00A34C0C"/>
    <w:rsid w:val="00A34C86"/>
    <w:rsid w:val="00A34D6F"/>
    <w:rsid w:val="00A34D7F"/>
    <w:rsid w:val="00A34D9A"/>
    <w:rsid w:val="00A34DA4"/>
    <w:rsid w:val="00A34DE6"/>
    <w:rsid w:val="00A34E69"/>
    <w:rsid w:val="00A34EE8"/>
    <w:rsid w:val="00A34F19"/>
    <w:rsid w:val="00A34F30"/>
    <w:rsid w:val="00A34F34"/>
    <w:rsid w:val="00A34F86"/>
    <w:rsid w:val="00A35025"/>
    <w:rsid w:val="00A3503C"/>
    <w:rsid w:val="00A350DA"/>
    <w:rsid w:val="00A3511F"/>
    <w:rsid w:val="00A351A0"/>
    <w:rsid w:val="00A351BE"/>
    <w:rsid w:val="00A3520D"/>
    <w:rsid w:val="00A35216"/>
    <w:rsid w:val="00A35226"/>
    <w:rsid w:val="00A35238"/>
    <w:rsid w:val="00A3524F"/>
    <w:rsid w:val="00A35268"/>
    <w:rsid w:val="00A35275"/>
    <w:rsid w:val="00A3527B"/>
    <w:rsid w:val="00A35292"/>
    <w:rsid w:val="00A35299"/>
    <w:rsid w:val="00A352B1"/>
    <w:rsid w:val="00A352C0"/>
    <w:rsid w:val="00A3531C"/>
    <w:rsid w:val="00A353F4"/>
    <w:rsid w:val="00A35459"/>
    <w:rsid w:val="00A35463"/>
    <w:rsid w:val="00A3546E"/>
    <w:rsid w:val="00A35473"/>
    <w:rsid w:val="00A354A2"/>
    <w:rsid w:val="00A354BD"/>
    <w:rsid w:val="00A3552B"/>
    <w:rsid w:val="00A3554E"/>
    <w:rsid w:val="00A35564"/>
    <w:rsid w:val="00A3558C"/>
    <w:rsid w:val="00A355CA"/>
    <w:rsid w:val="00A355D3"/>
    <w:rsid w:val="00A355E6"/>
    <w:rsid w:val="00A355FB"/>
    <w:rsid w:val="00A3560D"/>
    <w:rsid w:val="00A35611"/>
    <w:rsid w:val="00A3563C"/>
    <w:rsid w:val="00A35643"/>
    <w:rsid w:val="00A35644"/>
    <w:rsid w:val="00A35655"/>
    <w:rsid w:val="00A3567D"/>
    <w:rsid w:val="00A35680"/>
    <w:rsid w:val="00A35736"/>
    <w:rsid w:val="00A35806"/>
    <w:rsid w:val="00A35807"/>
    <w:rsid w:val="00A35851"/>
    <w:rsid w:val="00A3589F"/>
    <w:rsid w:val="00A358C7"/>
    <w:rsid w:val="00A359AE"/>
    <w:rsid w:val="00A35A02"/>
    <w:rsid w:val="00A35A51"/>
    <w:rsid w:val="00A35A63"/>
    <w:rsid w:val="00A35A8E"/>
    <w:rsid w:val="00A35ABD"/>
    <w:rsid w:val="00A35AD9"/>
    <w:rsid w:val="00A35B04"/>
    <w:rsid w:val="00A35B40"/>
    <w:rsid w:val="00A35B46"/>
    <w:rsid w:val="00A35B72"/>
    <w:rsid w:val="00A35B7A"/>
    <w:rsid w:val="00A35B80"/>
    <w:rsid w:val="00A35B8D"/>
    <w:rsid w:val="00A35BC2"/>
    <w:rsid w:val="00A35C51"/>
    <w:rsid w:val="00A35C67"/>
    <w:rsid w:val="00A35C89"/>
    <w:rsid w:val="00A35CC3"/>
    <w:rsid w:val="00A35D1B"/>
    <w:rsid w:val="00A35D24"/>
    <w:rsid w:val="00A35D5C"/>
    <w:rsid w:val="00A35D77"/>
    <w:rsid w:val="00A35D81"/>
    <w:rsid w:val="00A35DF4"/>
    <w:rsid w:val="00A35DF8"/>
    <w:rsid w:val="00A35DFB"/>
    <w:rsid w:val="00A35EF8"/>
    <w:rsid w:val="00A35F1F"/>
    <w:rsid w:val="00A35F3C"/>
    <w:rsid w:val="00A35F40"/>
    <w:rsid w:val="00A35F68"/>
    <w:rsid w:val="00A35F88"/>
    <w:rsid w:val="00A35FC0"/>
    <w:rsid w:val="00A35FD2"/>
    <w:rsid w:val="00A3604C"/>
    <w:rsid w:val="00A3606E"/>
    <w:rsid w:val="00A36075"/>
    <w:rsid w:val="00A360AE"/>
    <w:rsid w:val="00A360DF"/>
    <w:rsid w:val="00A3610C"/>
    <w:rsid w:val="00A3613C"/>
    <w:rsid w:val="00A361A4"/>
    <w:rsid w:val="00A36208"/>
    <w:rsid w:val="00A3620A"/>
    <w:rsid w:val="00A3621E"/>
    <w:rsid w:val="00A3622C"/>
    <w:rsid w:val="00A36273"/>
    <w:rsid w:val="00A36277"/>
    <w:rsid w:val="00A362A6"/>
    <w:rsid w:val="00A362D9"/>
    <w:rsid w:val="00A36301"/>
    <w:rsid w:val="00A36307"/>
    <w:rsid w:val="00A363AA"/>
    <w:rsid w:val="00A363DA"/>
    <w:rsid w:val="00A363FE"/>
    <w:rsid w:val="00A36448"/>
    <w:rsid w:val="00A36455"/>
    <w:rsid w:val="00A36497"/>
    <w:rsid w:val="00A364AD"/>
    <w:rsid w:val="00A364B9"/>
    <w:rsid w:val="00A364C4"/>
    <w:rsid w:val="00A364E1"/>
    <w:rsid w:val="00A364F3"/>
    <w:rsid w:val="00A3650A"/>
    <w:rsid w:val="00A36518"/>
    <w:rsid w:val="00A36529"/>
    <w:rsid w:val="00A36534"/>
    <w:rsid w:val="00A3665B"/>
    <w:rsid w:val="00A366D5"/>
    <w:rsid w:val="00A36780"/>
    <w:rsid w:val="00A367A5"/>
    <w:rsid w:val="00A367E9"/>
    <w:rsid w:val="00A367FF"/>
    <w:rsid w:val="00A3686B"/>
    <w:rsid w:val="00A368DC"/>
    <w:rsid w:val="00A3691F"/>
    <w:rsid w:val="00A36947"/>
    <w:rsid w:val="00A36974"/>
    <w:rsid w:val="00A369C6"/>
    <w:rsid w:val="00A36A65"/>
    <w:rsid w:val="00A36A6B"/>
    <w:rsid w:val="00A36AA0"/>
    <w:rsid w:val="00A36AA4"/>
    <w:rsid w:val="00A36ADB"/>
    <w:rsid w:val="00A36AE4"/>
    <w:rsid w:val="00A36B00"/>
    <w:rsid w:val="00A36B09"/>
    <w:rsid w:val="00A36B17"/>
    <w:rsid w:val="00A36B1D"/>
    <w:rsid w:val="00A36B1E"/>
    <w:rsid w:val="00A36B46"/>
    <w:rsid w:val="00A36B49"/>
    <w:rsid w:val="00A36BA4"/>
    <w:rsid w:val="00A36BA6"/>
    <w:rsid w:val="00A36BAB"/>
    <w:rsid w:val="00A36BB6"/>
    <w:rsid w:val="00A36C17"/>
    <w:rsid w:val="00A36C1F"/>
    <w:rsid w:val="00A36CBB"/>
    <w:rsid w:val="00A36CBC"/>
    <w:rsid w:val="00A36CE3"/>
    <w:rsid w:val="00A36D02"/>
    <w:rsid w:val="00A36D05"/>
    <w:rsid w:val="00A36D74"/>
    <w:rsid w:val="00A36D85"/>
    <w:rsid w:val="00A36DE4"/>
    <w:rsid w:val="00A36E3C"/>
    <w:rsid w:val="00A36E7B"/>
    <w:rsid w:val="00A36E87"/>
    <w:rsid w:val="00A36E9C"/>
    <w:rsid w:val="00A36F3E"/>
    <w:rsid w:val="00A36F7B"/>
    <w:rsid w:val="00A36F96"/>
    <w:rsid w:val="00A36F97"/>
    <w:rsid w:val="00A36FBA"/>
    <w:rsid w:val="00A36FEB"/>
    <w:rsid w:val="00A37023"/>
    <w:rsid w:val="00A37045"/>
    <w:rsid w:val="00A37058"/>
    <w:rsid w:val="00A3705F"/>
    <w:rsid w:val="00A370BA"/>
    <w:rsid w:val="00A370F1"/>
    <w:rsid w:val="00A37101"/>
    <w:rsid w:val="00A371AF"/>
    <w:rsid w:val="00A371BC"/>
    <w:rsid w:val="00A371C3"/>
    <w:rsid w:val="00A371D1"/>
    <w:rsid w:val="00A371EA"/>
    <w:rsid w:val="00A3728B"/>
    <w:rsid w:val="00A372B9"/>
    <w:rsid w:val="00A372E0"/>
    <w:rsid w:val="00A3730D"/>
    <w:rsid w:val="00A37333"/>
    <w:rsid w:val="00A37355"/>
    <w:rsid w:val="00A3738A"/>
    <w:rsid w:val="00A37393"/>
    <w:rsid w:val="00A37397"/>
    <w:rsid w:val="00A3742F"/>
    <w:rsid w:val="00A37432"/>
    <w:rsid w:val="00A3743E"/>
    <w:rsid w:val="00A37455"/>
    <w:rsid w:val="00A3747C"/>
    <w:rsid w:val="00A3749B"/>
    <w:rsid w:val="00A374F4"/>
    <w:rsid w:val="00A37524"/>
    <w:rsid w:val="00A375E2"/>
    <w:rsid w:val="00A3761A"/>
    <w:rsid w:val="00A37623"/>
    <w:rsid w:val="00A37652"/>
    <w:rsid w:val="00A376AB"/>
    <w:rsid w:val="00A376CD"/>
    <w:rsid w:val="00A37731"/>
    <w:rsid w:val="00A37741"/>
    <w:rsid w:val="00A37762"/>
    <w:rsid w:val="00A37772"/>
    <w:rsid w:val="00A3777B"/>
    <w:rsid w:val="00A377D4"/>
    <w:rsid w:val="00A37809"/>
    <w:rsid w:val="00A37833"/>
    <w:rsid w:val="00A3786B"/>
    <w:rsid w:val="00A378AA"/>
    <w:rsid w:val="00A378B3"/>
    <w:rsid w:val="00A378C4"/>
    <w:rsid w:val="00A378D6"/>
    <w:rsid w:val="00A378E0"/>
    <w:rsid w:val="00A37902"/>
    <w:rsid w:val="00A3797A"/>
    <w:rsid w:val="00A37988"/>
    <w:rsid w:val="00A379CF"/>
    <w:rsid w:val="00A379D3"/>
    <w:rsid w:val="00A379EB"/>
    <w:rsid w:val="00A379FD"/>
    <w:rsid w:val="00A37A46"/>
    <w:rsid w:val="00A37AC9"/>
    <w:rsid w:val="00A37AD1"/>
    <w:rsid w:val="00A37AE0"/>
    <w:rsid w:val="00A37B1A"/>
    <w:rsid w:val="00A37B74"/>
    <w:rsid w:val="00A37B80"/>
    <w:rsid w:val="00A37C3D"/>
    <w:rsid w:val="00A37D7F"/>
    <w:rsid w:val="00A37D84"/>
    <w:rsid w:val="00A37D87"/>
    <w:rsid w:val="00A37D99"/>
    <w:rsid w:val="00A37E29"/>
    <w:rsid w:val="00A37E49"/>
    <w:rsid w:val="00A37E53"/>
    <w:rsid w:val="00A37E54"/>
    <w:rsid w:val="00A37E92"/>
    <w:rsid w:val="00A37F07"/>
    <w:rsid w:val="00A37F0B"/>
    <w:rsid w:val="00A37F12"/>
    <w:rsid w:val="00A37F7F"/>
    <w:rsid w:val="00A40018"/>
    <w:rsid w:val="00A40046"/>
    <w:rsid w:val="00A40094"/>
    <w:rsid w:val="00A400D1"/>
    <w:rsid w:val="00A400D3"/>
    <w:rsid w:val="00A40133"/>
    <w:rsid w:val="00A40186"/>
    <w:rsid w:val="00A40221"/>
    <w:rsid w:val="00A40248"/>
    <w:rsid w:val="00A40286"/>
    <w:rsid w:val="00A402EC"/>
    <w:rsid w:val="00A4030F"/>
    <w:rsid w:val="00A40325"/>
    <w:rsid w:val="00A40353"/>
    <w:rsid w:val="00A40360"/>
    <w:rsid w:val="00A4038B"/>
    <w:rsid w:val="00A4039E"/>
    <w:rsid w:val="00A40402"/>
    <w:rsid w:val="00A40410"/>
    <w:rsid w:val="00A40422"/>
    <w:rsid w:val="00A4044C"/>
    <w:rsid w:val="00A404AB"/>
    <w:rsid w:val="00A4059D"/>
    <w:rsid w:val="00A40606"/>
    <w:rsid w:val="00A4060C"/>
    <w:rsid w:val="00A40692"/>
    <w:rsid w:val="00A40698"/>
    <w:rsid w:val="00A40723"/>
    <w:rsid w:val="00A4075A"/>
    <w:rsid w:val="00A4079A"/>
    <w:rsid w:val="00A407A2"/>
    <w:rsid w:val="00A40860"/>
    <w:rsid w:val="00A408CF"/>
    <w:rsid w:val="00A408E0"/>
    <w:rsid w:val="00A40946"/>
    <w:rsid w:val="00A4096A"/>
    <w:rsid w:val="00A4099A"/>
    <w:rsid w:val="00A409D6"/>
    <w:rsid w:val="00A40A04"/>
    <w:rsid w:val="00A40A0D"/>
    <w:rsid w:val="00A40A11"/>
    <w:rsid w:val="00A40A6D"/>
    <w:rsid w:val="00A40B13"/>
    <w:rsid w:val="00A40B4D"/>
    <w:rsid w:val="00A40B67"/>
    <w:rsid w:val="00A40B6F"/>
    <w:rsid w:val="00A40B70"/>
    <w:rsid w:val="00A40B85"/>
    <w:rsid w:val="00A40BBC"/>
    <w:rsid w:val="00A40BEF"/>
    <w:rsid w:val="00A40C02"/>
    <w:rsid w:val="00A40C28"/>
    <w:rsid w:val="00A40C42"/>
    <w:rsid w:val="00A40C6B"/>
    <w:rsid w:val="00A40CD4"/>
    <w:rsid w:val="00A40CE1"/>
    <w:rsid w:val="00A40D0C"/>
    <w:rsid w:val="00A40D7E"/>
    <w:rsid w:val="00A40D7F"/>
    <w:rsid w:val="00A40DD3"/>
    <w:rsid w:val="00A40E01"/>
    <w:rsid w:val="00A40E58"/>
    <w:rsid w:val="00A40E67"/>
    <w:rsid w:val="00A40E6D"/>
    <w:rsid w:val="00A40EF9"/>
    <w:rsid w:val="00A40F42"/>
    <w:rsid w:val="00A40F68"/>
    <w:rsid w:val="00A40F8F"/>
    <w:rsid w:val="00A40FC4"/>
    <w:rsid w:val="00A40FD7"/>
    <w:rsid w:val="00A4100F"/>
    <w:rsid w:val="00A41023"/>
    <w:rsid w:val="00A4102B"/>
    <w:rsid w:val="00A41063"/>
    <w:rsid w:val="00A410A1"/>
    <w:rsid w:val="00A41193"/>
    <w:rsid w:val="00A411AE"/>
    <w:rsid w:val="00A411BE"/>
    <w:rsid w:val="00A411F2"/>
    <w:rsid w:val="00A411F5"/>
    <w:rsid w:val="00A4124F"/>
    <w:rsid w:val="00A41298"/>
    <w:rsid w:val="00A412B6"/>
    <w:rsid w:val="00A412C6"/>
    <w:rsid w:val="00A412EA"/>
    <w:rsid w:val="00A4135E"/>
    <w:rsid w:val="00A41376"/>
    <w:rsid w:val="00A413C3"/>
    <w:rsid w:val="00A413E7"/>
    <w:rsid w:val="00A4143F"/>
    <w:rsid w:val="00A41442"/>
    <w:rsid w:val="00A414F9"/>
    <w:rsid w:val="00A41503"/>
    <w:rsid w:val="00A4151E"/>
    <w:rsid w:val="00A41533"/>
    <w:rsid w:val="00A4155C"/>
    <w:rsid w:val="00A41560"/>
    <w:rsid w:val="00A4157E"/>
    <w:rsid w:val="00A41587"/>
    <w:rsid w:val="00A415B9"/>
    <w:rsid w:val="00A41604"/>
    <w:rsid w:val="00A41622"/>
    <w:rsid w:val="00A41636"/>
    <w:rsid w:val="00A41646"/>
    <w:rsid w:val="00A41652"/>
    <w:rsid w:val="00A4174D"/>
    <w:rsid w:val="00A41755"/>
    <w:rsid w:val="00A41799"/>
    <w:rsid w:val="00A417CA"/>
    <w:rsid w:val="00A41809"/>
    <w:rsid w:val="00A4185D"/>
    <w:rsid w:val="00A4187D"/>
    <w:rsid w:val="00A41942"/>
    <w:rsid w:val="00A419EC"/>
    <w:rsid w:val="00A41A0E"/>
    <w:rsid w:val="00A41A12"/>
    <w:rsid w:val="00A41A1A"/>
    <w:rsid w:val="00A41A1C"/>
    <w:rsid w:val="00A41A26"/>
    <w:rsid w:val="00A41AA7"/>
    <w:rsid w:val="00A41AA9"/>
    <w:rsid w:val="00A41AFF"/>
    <w:rsid w:val="00A41B79"/>
    <w:rsid w:val="00A41BB4"/>
    <w:rsid w:val="00A41C09"/>
    <w:rsid w:val="00A41C8C"/>
    <w:rsid w:val="00A41CBB"/>
    <w:rsid w:val="00A41CD5"/>
    <w:rsid w:val="00A41CE0"/>
    <w:rsid w:val="00A41CEA"/>
    <w:rsid w:val="00A41CF2"/>
    <w:rsid w:val="00A41D4E"/>
    <w:rsid w:val="00A41D66"/>
    <w:rsid w:val="00A41DA3"/>
    <w:rsid w:val="00A41E1B"/>
    <w:rsid w:val="00A41E22"/>
    <w:rsid w:val="00A41EA4"/>
    <w:rsid w:val="00A41EC2"/>
    <w:rsid w:val="00A41ECA"/>
    <w:rsid w:val="00A41ED2"/>
    <w:rsid w:val="00A41F03"/>
    <w:rsid w:val="00A41F08"/>
    <w:rsid w:val="00A41F4D"/>
    <w:rsid w:val="00A41F8F"/>
    <w:rsid w:val="00A4202B"/>
    <w:rsid w:val="00A4206C"/>
    <w:rsid w:val="00A42082"/>
    <w:rsid w:val="00A4208E"/>
    <w:rsid w:val="00A42090"/>
    <w:rsid w:val="00A420A2"/>
    <w:rsid w:val="00A420E0"/>
    <w:rsid w:val="00A420F9"/>
    <w:rsid w:val="00A421C8"/>
    <w:rsid w:val="00A421E8"/>
    <w:rsid w:val="00A421F7"/>
    <w:rsid w:val="00A42232"/>
    <w:rsid w:val="00A42270"/>
    <w:rsid w:val="00A422AD"/>
    <w:rsid w:val="00A422AF"/>
    <w:rsid w:val="00A4236A"/>
    <w:rsid w:val="00A42385"/>
    <w:rsid w:val="00A42394"/>
    <w:rsid w:val="00A423CF"/>
    <w:rsid w:val="00A42427"/>
    <w:rsid w:val="00A4248B"/>
    <w:rsid w:val="00A424DD"/>
    <w:rsid w:val="00A424EA"/>
    <w:rsid w:val="00A4252E"/>
    <w:rsid w:val="00A42540"/>
    <w:rsid w:val="00A4254F"/>
    <w:rsid w:val="00A425A0"/>
    <w:rsid w:val="00A425B3"/>
    <w:rsid w:val="00A425C1"/>
    <w:rsid w:val="00A425E4"/>
    <w:rsid w:val="00A42601"/>
    <w:rsid w:val="00A42640"/>
    <w:rsid w:val="00A4268C"/>
    <w:rsid w:val="00A4269A"/>
    <w:rsid w:val="00A426C0"/>
    <w:rsid w:val="00A4270B"/>
    <w:rsid w:val="00A4272C"/>
    <w:rsid w:val="00A42755"/>
    <w:rsid w:val="00A42774"/>
    <w:rsid w:val="00A427A1"/>
    <w:rsid w:val="00A427D9"/>
    <w:rsid w:val="00A42802"/>
    <w:rsid w:val="00A42807"/>
    <w:rsid w:val="00A42809"/>
    <w:rsid w:val="00A4280B"/>
    <w:rsid w:val="00A42836"/>
    <w:rsid w:val="00A42846"/>
    <w:rsid w:val="00A4285A"/>
    <w:rsid w:val="00A428DD"/>
    <w:rsid w:val="00A428E6"/>
    <w:rsid w:val="00A428F8"/>
    <w:rsid w:val="00A4291E"/>
    <w:rsid w:val="00A42929"/>
    <w:rsid w:val="00A42940"/>
    <w:rsid w:val="00A42965"/>
    <w:rsid w:val="00A42975"/>
    <w:rsid w:val="00A42976"/>
    <w:rsid w:val="00A429CE"/>
    <w:rsid w:val="00A429E2"/>
    <w:rsid w:val="00A42A0E"/>
    <w:rsid w:val="00A42A94"/>
    <w:rsid w:val="00A42AC6"/>
    <w:rsid w:val="00A42AF7"/>
    <w:rsid w:val="00A42B19"/>
    <w:rsid w:val="00A42B38"/>
    <w:rsid w:val="00A42B56"/>
    <w:rsid w:val="00A42B94"/>
    <w:rsid w:val="00A42C66"/>
    <w:rsid w:val="00A42C69"/>
    <w:rsid w:val="00A42C8B"/>
    <w:rsid w:val="00A42CE4"/>
    <w:rsid w:val="00A42CEC"/>
    <w:rsid w:val="00A42CF7"/>
    <w:rsid w:val="00A42D99"/>
    <w:rsid w:val="00A42DD0"/>
    <w:rsid w:val="00A42E63"/>
    <w:rsid w:val="00A42E65"/>
    <w:rsid w:val="00A42E6B"/>
    <w:rsid w:val="00A42EE0"/>
    <w:rsid w:val="00A42EF7"/>
    <w:rsid w:val="00A42F05"/>
    <w:rsid w:val="00A42F43"/>
    <w:rsid w:val="00A42F68"/>
    <w:rsid w:val="00A42FC3"/>
    <w:rsid w:val="00A43021"/>
    <w:rsid w:val="00A4303B"/>
    <w:rsid w:val="00A43054"/>
    <w:rsid w:val="00A43082"/>
    <w:rsid w:val="00A430A3"/>
    <w:rsid w:val="00A43135"/>
    <w:rsid w:val="00A4319C"/>
    <w:rsid w:val="00A431BF"/>
    <w:rsid w:val="00A431D0"/>
    <w:rsid w:val="00A431E8"/>
    <w:rsid w:val="00A431E9"/>
    <w:rsid w:val="00A43211"/>
    <w:rsid w:val="00A4321A"/>
    <w:rsid w:val="00A43304"/>
    <w:rsid w:val="00A43310"/>
    <w:rsid w:val="00A4337B"/>
    <w:rsid w:val="00A43386"/>
    <w:rsid w:val="00A433B1"/>
    <w:rsid w:val="00A43450"/>
    <w:rsid w:val="00A434A7"/>
    <w:rsid w:val="00A434D1"/>
    <w:rsid w:val="00A43553"/>
    <w:rsid w:val="00A43568"/>
    <w:rsid w:val="00A4359F"/>
    <w:rsid w:val="00A4363E"/>
    <w:rsid w:val="00A43645"/>
    <w:rsid w:val="00A43672"/>
    <w:rsid w:val="00A43695"/>
    <w:rsid w:val="00A436BE"/>
    <w:rsid w:val="00A436C4"/>
    <w:rsid w:val="00A436CD"/>
    <w:rsid w:val="00A437E1"/>
    <w:rsid w:val="00A43808"/>
    <w:rsid w:val="00A438B5"/>
    <w:rsid w:val="00A438D7"/>
    <w:rsid w:val="00A43919"/>
    <w:rsid w:val="00A4394F"/>
    <w:rsid w:val="00A439B0"/>
    <w:rsid w:val="00A439B3"/>
    <w:rsid w:val="00A439E3"/>
    <w:rsid w:val="00A439ED"/>
    <w:rsid w:val="00A439F2"/>
    <w:rsid w:val="00A43AC8"/>
    <w:rsid w:val="00A43B12"/>
    <w:rsid w:val="00A43B2E"/>
    <w:rsid w:val="00A43B53"/>
    <w:rsid w:val="00A43B5F"/>
    <w:rsid w:val="00A43B84"/>
    <w:rsid w:val="00A43B89"/>
    <w:rsid w:val="00A43B9C"/>
    <w:rsid w:val="00A43BA9"/>
    <w:rsid w:val="00A43BB9"/>
    <w:rsid w:val="00A43C26"/>
    <w:rsid w:val="00A43C3A"/>
    <w:rsid w:val="00A43C50"/>
    <w:rsid w:val="00A43CA5"/>
    <w:rsid w:val="00A43D96"/>
    <w:rsid w:val="00A43DA0"/>
    <w:rsid w:val="00A43DC5"/>
    <w:rsid w:val="00A43E1E"/>
    <w:rsid w:val="00A43E24"/>
    <w:rsid w:val="00A43E91"/>
    <w:rsid w:val="00A43EC3"/>
    <w:rsid w:val="00A43ED1"/>
    <w:rsid w:val="00A43F8A"/>
    <w:rsid w:val="00A43FAA"/>
    <w:rsid w:val="00A43FB2"/>
    <w:rsid w:val="00A43FBA"/>
    <w:rsid w:val="00A43FDA"/>
    <w:rsid w:val="00A44009"/>
    <w:rsid w:val="00A44013"/>
    <w:rsid w:val="00A440F9"/>
    <w:rsid w:val="00A44114"/>
    <w:rsid w:val="00A44120"/>
    <w:rsid w:val="00A4413E"/>
    <w:rsid w:val="00A4414C"/>
    <w:rsid w:val="00A4414E"/>
    <w:rsid w:val="00A441DE"/>
    <w:rsid w:val="00A44237"/>
    <w:rsid w:val="00A44239"/>
    <w:rsid w:val="00A4425C"/>
    <w:rsid w:val="00A4427F"/>
    <w:rsid w:val="00A44311"/>
    <w:rsid w:val="00A44335"/>
    <w:rsid w:val="00A44336"/>
    <w:rsid w:val="00A443D7"/>
    <w:rsid w:val="00A443F1"/>
    <w:rsid w:val="00A44450"/>
    <w:rsid w:val="00A444A7"/>
    <w:rsid w:val="00A444E9"/>
    <w:rsid w:val="00A44522"/>
    <w:rsid w:val="00A44558"/>
    <w:rsid w:val="00A445A3"/>
    <w:rsid w:val="00A445B0"/>
    <w:rsid w:val="00A445D0"/>
    <w:rsid w:val="00A44628"/>
    <w:rsid w:val="00A44630"/>
    <w:rsid w:val="00A44673"/>
    <w:rsid w:val="00A4467A"/>
    <w:rsid w:val="00A44699"/>
    <w:rsid w:val="00A446CB"/>
    <w:rsid w:val="00A446DD"/>
    <w:rsid w:val="00A446FF"/>
    <w:rsid w:val="00A44762"/>
    <w:rsid w:val="00A44783"/>
    <w:rsid w:val="00A44797"/>
    <w:rsid w:val="00A447C1"/>
    <w:rsid w:val="00A4483B"/>
    <w:rsid w:val="00A44862"/>
    <w:rsid w:val="00A448D1"/>
    <w:rsid w:val="00A44953"/>
    <w:rsid w:val="00A44968"/>
    <w:rsid w:val="00A44975"/>
    <w:rsid w:val="00A449AE"/>
    <w:rsid w:val="00A449C6"/>
    <w:rsid w:val="00A44A0C"/>
    <w:rsid w:val="00A44A36"/>
    <w:rsid w:val="00A44A71"/>
    <w:rsid w:val="00A44A73"/>
    <w:rsid w:val="00A44AA1"/>
    <w:rsid w:val="00A44AA3"/>
    <w:rsid w:val="00A44AD0"/>
    <w:rsid w:val="00A44B96"/>
    <w:rsid w:val="00A44BD3"/>
    <w:rsid w:val="00A44BEA"/>
    <w:rsid w:val="00A44C26"/>
    <w:rsid w:val="00A44C72"/>
    <w:rsid w:val="00A44CC6"/>
    <w:rsid w:val="00A44CF0"/>
    <w:rsid w:val="00A44D7F"/>
    <w:rsid w:val="00A44DCA"/>
    <w:rsid w:val="00A44DDF"/>
    <w:rsid w:val="00A44DF9"/>
    <w:rsid w:val="00A44E1B"/>
    <w:rsid w:val="00A44E1E"/>
    <w:rsid w:val="00A44E1F"/>
    <w:rsid w:val="00A44EAB"/>
    <w:rsid w:val="00A44EB1"/>
    <w:rsid w:val="00A44ED7"/>
    <w:rsid w:val="00A44EDA"/>
    <w:rsid w:val="00A44FD7"/>
    <w:rsid w:val="00A44FDA"/>
    <w:rsid w:val="00A44FDC"/>
    <w:rsid w:val="00A4500A"/>
    <w:rsid w:val="00A4503C"/>
    <w:rsid w:val="00A45044"/>
    <w:rsid w:val="00A450C5"/>
    <w:rsid w:val="00A450DC"/>
    <w:rsid w:val="00A450EF"/>
    <w:rsid w:val="00A4510D"/>
    <w:rsid w:val="00A45162"/>
    <w:rsid w:val="00A4518C"/>
    <w:rsid w:val="00A4518E"/>
    <w:rsid w:val="00A451B4"/>
    <w:rsid w:val="00A451C0"/>
    <w:rsid w:val="00A45216"/>
    <w:rsid w:val="00A4525C"/>
    <w:rsid w:val="00A4525F"/>
    <w:rsid w:val="00A45282"/>
    <w:rsid w:val="00A45298"/>
    <w:rsid w:val="00A452D8"/>
    <w:rsid w:val="00A452ED"/>
    <w:rsid w:val="00A4537A"/>
    <w:rsid w:val="00A453F0"/>
    <w:rsid w:val="00A453F8"/>
    <w:rsid w:val="00A45403"/>
    <w:rsid w:val="00A45420"/>
    <w:rsid w:val="00A45432"/>
    <w:rsid w:val="00A454C5"/>
    <w:rsid w:val="00A454CC"/>
    <w:rsid w:val="00A45506"/>
    <w:rsid w:val="00A45598"/>
    <w:rsid w:val="00A4561D"/>
    <w:rsid w:val="00A45620"/>
    <w:rsid w:val="00A45638"/>
    <w:rsid w:val="00A4563C"/>
    <w:rsid w:val="00A4566F"/>
    <w:rsid w:val="00A456A3"/>
    <w:rsid w:val="00A456CB"/>
    <w:rsid w:val="00A45705"/>
    <w:rsid w:val="00A45763"/>
    <w:rsid w:val="00A45766"/>
    <w:rsid w:val="00A45779"/>
    <w:rsid w:val="00A4577E"/>
    <w:rsid w:val="00A457B2"/>
    <w:rsid w:val="00A457B6"/>
    <w:rsid w:val="00A457C9"/>
    <w:rsid w:val="00A45848"/>
    <w:rsid w:val="00A458D1"/>
    <w:rsid w:val="00A458FC"/>
    <w:rsid w:val="00A45904"/>
    <w:rsid w:val="00A45936"/>
    <w:rsid w:val="00A45948"/>
    <w:rsid w:val="00A45A21"/>
    <w:rsid w:val="00A45A2F"/>
    <w:rsid w:val="00A45A4F"/>
    <w:rsid w:val="00A45A81"/>
    <w:rsid w:val="00A45A9F"/>
    <w:rsid w:val="00A45B08"/>
    <w:rsid w:val="00A45B1C"/>
    <w:rsid w:val="00A45B49"/>
    <w:rsid w:val="00A45B71"/>
    <w:rsid w:val="00A45B73"/>
    <w:rsid w:val="00A45C11"/>
    <w:rsid w:val="00A45C4C"/>
    <w:rsid w:val="00A45C83"/>
    <w:rsid w:val="00A45CF9"/>
    <w:rsid w:val="00A45D70"/>
    <w:rsid w:val="00A45DA3"/>
    <w:rsid w:val="00A45E5B"/>
    <w:rsid w:val="00A45EA0"/>
    <w:rsid w:val="00A45EFA"/>
    <w:rsid w:val="00A45EFE"/>
    <w:rsid w:val="00A45F3D"/>
    <w:rsid w:val="00A45FF0"/>
    <w:rsid w:val="00A46052"/>
    <w:rsid w:val="00A4605F"/>
    <w:rsid w:val="00A46077"/>
    <w:rsid w:val="00A46084"/>
    <w:rsid w:val="00A460BA"/>
    <w:rsid w:val="00A460DE"/>
    <w:rsid w:val="00A4610C"/>
    <w:rsid w:val="00A46134"/>
    <w:rsid w:val="00A46147"/>
    <w:rsid w:val="00A46190"/>
    <w:rsid w:val="00A46199"/>
    <w:rsid w:val="00A461D2"/>
    <w:rsid w:val="00A46217"/>
    <w:rsid w:val="00A46271"/>
    <w:rsid w:val="00A462AE"/>
    <w:rsid w:val="00A462B1"/>
    <w:rsid w:val="00A4632C"/>
    <w:rsid w:val="00A463AB"/>
    <w:rsid w:val="00A463BD"/>
    <w:rsid w:val="00A463DC"/>
    <w:rsid w:val="00A463F7"/>
    <w:rsid w:val="00A46409"/>
    <w:rsid w:val="00A46449"/>
    <w:rsid w:val="00A4647B"/>
    <w:rsid w:val="00A4649D"/>
    <w:rsid w:val="00A464B5"/>
    <w:rsid w:val="00A464BC"/>
    <w:rsid w:val="00A46555"/>
    <w:rsid w:val="00A46583"/>
    <w:rsid w:val="00A4659B"/>
    <w:rsid w:val="00A465E7"/>
    <w:rsid w:val="00A46628"/>
    <w:rsid w:val="00A4664E"/>
    <w:rsid w:val="00A46653"/>
    <w:rsid w:val="00A466C0"/>
    <w:rsid w:val="00A466CB"/>
    <w:rsid w:val="00A466F8"/>
    <w:rsid w:val="00A4671B"/>
    <w:rsid w:val="00A46820"/>
    <w:rsid w:val="00A46829"/>
    <w:rsid w:val="00A4688B"/>
    <w:rsid w:val="00A46897"/>
    <w:rsid w:val="00A468A6"/>
    <w:rsid w:val="00A46909"/>
    <w:rsid w:val="00A4692F"/>
    <w:rsid w:val="00A4695D"/>
    <w:rsid w:val="00A46976"/>
    <w:rsid w:val="00A469A0"/>
    <w:rsid w:val="00A469F8"/>
    <w:rsid w:val="00A46A7C"/>
    <w:rsid w:val="00A46A82"/>
    <w:rsid w:val="00A46A9C"/>
    <w:rsid w:val="00A46ADB"/>
    <w:rsid w:val="00A46B01"/>
    <w:rsid w:val="00A46B1A"/>
    <w:rsid w:val="00A46B5F"/>
    <w:rsid w:val="00A46BDA"/>
    <w:rsid w:val="00A46C06"/>
    <w:rsid w:val="00A46C22"/>
    <w:rsid w:val="00A46C53"/>
    <w:rsid w:val="00A46C8A"/>
    <w:rsid w:val="00A46CA0"/>
    <w:rsid w:val="00A46CA2"/>
    <w:rsid w:val="00A46D36"/>
    <w:rsid w:val="00A46D56"/>
    <w:rsid w:val="00A46D8C"/>
    <w:rsid w:val="00A46DBE"/>
    <w:rsid w:val="00A46E2E"/>
    <w:rsid w:val="00A46E39"/>
    <w:rsid w:val="00A46EDA"/>
    <w:rsid w:val="00A46F28"/>
    <w:rsid w:val="00A46F8C"/>
    <w:rsid w:val="00A46FAF"/>
    <w:rsid w:val="00A46FB6"/>
    <w:rsid w:val="00A47084"/>
    <w:rsid w:val="00A470BE"/>
    <w:rsid w:val="00A470D5"/>
    <w:rsid w:val="00A470DE"/>
    <w:rsid w:val="00A470E4"/>
    <w:rsid w:val="00A470F3"/>
    <w:rsid w:val="00A4714E"/>
    <w:rsid w:val="00A4715D"/>
    <w:rsid w:val="00A471CE"/>
    <w:rsid w:val="00A471DF"/>
    <w:rsid w:val="00A471F5"/>
    <w:rsid w:val="00A47214"/>
    <w:rsid w:val="00A4722A"/>
    <w:rsid w:val="00A4722E"/>
    <w:rsid w:val="00A47275"/>
    <w:rsid w:val="00A47278"/>
    <w:rsid w:val="00A47298"/>
    <w:rsid w:val="00A472CB"/>
    <w:rsid w:val="00A472D5"/>
    <w:rsid w:val="00A472E7"/>
    <w:rsid w:val="00A472EE"/>
    <w:rsid w:val="00A47372"/>
    <w:rsid w:val="00A4737C"/>
    <w:rsid w:val="00A4738C"/>
    <w:rsid w:val="00A4745D"/>
    <w:rsid w:val="00A47507"/>
    <w:rsid w:val="00A47594"/>
    <w:rsid w:val="00A475B8"/>
    <w:rsid w:val="00A475F8"/>
    <w:rsid w:val="00A47647"/>
    <w:rsid w:val="00A4764F"/>
    <w:rsid w:val="00A47685"/>
    <w:rsid w:val="00A476A7"/>
    <w:rsid w:val="00A476AC"/>
    <w:rsid w:val="00A4774C"/>
    <w:rsid w:val="00A477CE"/>
    <w:rsid w:val="00A47824"/>
    <w:rsid w:val="00A4788A"/>
    <w:rsid w:val="00A478AD"/>
    <w:rsid w:val="00A478AE"/>
    <w:rsid w:val="00A478D9"/>
    <w:rsid w:val="00A47924"/>
    <w:rsid w:val="00A4798C"/>
    <w:rsid w:val="00A47996"/>
    <w:rsid w:val="00A479DD"/>
    <w:rsid w:val="00A47A49"/>
    <w:rsid w:val="00A47A8B"/>
    <w:rsid w:val="00A47ACD"/>
    <w:rsid w:val="00A47AD0"/>
    <w:rsid w:val="00A47AD3"/>
    <w:rsid w:val="00A47AF6"/>
    <w:rsid w:val="00A47AFF"/>
    <w:rsid w:val="00A47BAC"/>
    <w:rsid w:val="00A47BE2"/>
    <w:rsid w:val="00A47BF3"/>
    <w:rsid w:val="00A47C27"/>
    <w:rsid w:val="00A47C49"/>
    <w:rsid w:val="00A47C6A"/>
    <w:rsid w:val="00A47C89"/>
    <w:rsid w:val="00A47C8C"/>
    <w:rsid w:val="00A47CBB"/>
    <w:rsid w:val="00A47D0D"/>
    <w:rsid w:val="00A47D24"/>
    <w:rsid w:val="00A47DB8"/>
    <w:rsid w:val="00A47E17"/>
    <w:rsid w:val="00A47E35"/>
    <w:rsid w:val="00A47F32"/>
    <w:rsid w:val="00A47F35"/>
    <w:rsid w:val="00A47F45"/>
    <w:rsid w:val="00A47F4E"/>
    <w:rsid w:val="00A47FE2"/>
    <w:rsid w:val="00A47FFC"/>
    <w:rsid w:val="00A50053"/>
    <w:rsid w:val="00A5005F"/>
    <w:rsid w:val="00A5006C"/>
    <w:rsid w:val="00A50079"/>
    <w:rsid w:val="00A50081"/>
    <w:rsid w:val="00A500D4"/>
    <w:rsid w:val="00A5018B"/>
    <w:rsid w:val="00A501A2"/>
    <w:rsid w:val="00A501A8"/>
    <w:rsid w:val="00A501B7"/>
    <w:rsid w:val="00A501D1"/>
    <w:rsid w:val="00A5020F"/>
    <w:rsid w:val="00A50217"/>
    <w:rsid w:val="00A50221"/>
    <w:rsid w:val="00A50234"/>
    <w:rsid w:val="00A5026A"/>
    <w:rsid w:val="00A50284"/>
    <w:rsid w:val="00A502A6"/>
    <w:rsid w:val="00A502B3"/>
    <w:rsid w:val="00A502B7"/>
    <w:rsid w:val="00A50315"/>
    <w:rsid w:val="00A50327"/>
    <w:rsid w:val="00A5032F"/>
    <w:rsid w:val="00A5039A"/>
    <w:rsid w:val="00A503C0"/>
    <w:rsid w:val="00A503C1"/>
    <w:rsid w:val="00A503D0"/>
    <w:rsid w:val="00A5043D"/>
    <w:rsid w:val="00A504A3"/>
    <w:rsid w:val="00A504F2"/>
    <w:rsid w:val="00A50543"/>
    <w:rsid w:val="00A5055D"/>
    <w:rsid w:val="00A5056F"/>
    <w:rsid w:val="00A505CE"/>
    <w:rsid w:val="00A505D5"/>
    <w:rsid w:val="00A505F4"/>
    <w:rsid w:val="00A50601"/>
    <w:rsid w:val="00A5060D"/>
    <w:rsid w:val="00A5067A"/>
    <w:rsid w:val="00A506A2"/>
    <w:rsid w:val="00A5071A"/>
    <w:rsid w:val="00A5072B"/>
    <w:rsid w:val="00A5076B"/>
    <w:rsid w:val="00A5078A"/>
    <w:rsid w:val="00A5078C"/>
    <w:rsid w:val="00A507F9"/>
    <w:rsid w:val="00A507FB"/>
    <w:rsid w:val="00A507FC"/>
    <w:rsid w:val="00A5082D"/>
    <w:rsid w:val="00A508BA"/>
    <w:rsid w:val="00A5090E"/>
    <w:rsid w:val="00A50954"/>
    <w:rsid w:val="00A509FE"/>
    <w:rsid w:val="00A50A10"/>
    <w:rsid w:val="00A50AC1"/>
    <w:rsid w:val="00A50AE6"/>
    <w:rsid w:val="00A50AF6"/>
    <w:rsid w:val="00A50AFF"/>
    <w:rsid w:val="00A50B01"/>
    <w:rsid w:val="00A50B17"/>
    <w:rsid w:val="00A50B2E"/>
    <w:rsid w:val="00A50B70"/>
    <w:rsid w:val="00A50B72"/>
    <w:rsid w:val="00A50C0A"/>
    <w:rsid w:val="00A50C15"/>
    <w:rsid w:val="00A50C75"/>
    <w:rsid w:val="00A50CB6"/>
    <w:rsid w:val="00A50CE3"/>
    <w:rsid w:val="00A50D09"/>
    <w:rsid w:val="00A50D1E"/>
    <w:rsid w:val="00A50D4F"/>
    <w:rsid w:val="00A50D88"/>
    <w:rsid w:val="00A50D9B"/>
    <w:rsid w:val="00A50DC3"/>
    <w:rsid w:val="00A50E14"/>
    <w:rsid w:val="00A50E25"/>
    <w:rsid w:val="00A50E3A"/>
    <w:rsid w:val="00A50E9B"/>
    <w:rsid w:val="00A50F06"/>
    <w:rsid w:val="00A50FB1"/>
    <w:rsid w:val="00A50FFD"/>
    <w:rsid w:val="00A51023"/>
    <w:rsid w:val="00A5104F"/>
    <w:rsid w:val="00A510A2"/>
    <w:rsid w:val="00A510D0"/>
    <w:rsid w:val="00A510F1"/>
    <w:rsid w:val="00A5111F"/>
    <w:rsid w:val="00A511FD"/>
    <w:rsid w:val="00A51236"/>
    <w:rsid w:val="00A51291"/>
    <w:rsid w:val="00A512E6"/>
    <w:rsid w:val="00A5134A"/>
    <w:rsid w:val="00A51395"/>
    <w:rsid w:val="00A51399"/>
    <w:rsid w:val="00A51476"/>
    <w:rsid w:val="00A514B8"/>
    <w:rsid w:val="00A51554"/>
    <w:rsid w:val="00A51555"/>
    <w:rsid w:val="00A5155C"/>
    <w:rsid w:val="00A5159E"/>
    <w:rsid w:val="00A515FF"/>
    <w:rsid w:val="00A51695"/>
    <w:rsid w:val="00A516FE"/>
    <w:rsid w:val="00A51731"/>
    <w:rsid w:val="00A5178A"/>
    <w:rsid w:val="00A517B7"/>
    <w:rsid w:val="00A517BB"/>
    <w:rsid w:val="00A517DA"/>
    <w:rsid w:val="00A51877"/>
    <w:rsid w:val="00A518A7"/>
    <w:rsid w:val="00A518CB"/>
    <w:rsid w:val="00A519A0"/>
    <w:rsid w:val="00A519DC"/>
    <w:rsid w:val="00A51A7A"/>
    <w:rsid w:val="00A51A85"/>
    <w:rsid w:val="00A51AEE"/>
    <w:rsid w:val="00A51AF3"/>
    <w:rsid w:val="00A51B0A"/>
    <w:rsid w:val="00A51B76"/>
    <w:rsid w:val="00A51BA4"/>
    <w:rsid w:val="00A51BCD"/>
    <w:rsid w:val="00A51BF0"/>
    <w:rsid w:val="00A51BF8"/>
    <w:rsid w:val="00A51C0D"/>
    <w:rsid w:val="00A51C31"/>
    <w:rsid w:val="00A51C75"/>
    <w:rsid w:val="00A51C88"/>
    <w:rsid w:val="00A51CF0"/>
    <w:rsid w:val="00A51D76"/>
    <w:rsid w:val="00A51D91"/>
    <w:rsid w:val="00A51DC4"/>
    <w:rsid w:val="00A51E40"/>
    <w:rsid w:val="00A51E63"/>
    <w:rsid w:val="00A51E67"/>
    <w:rsid w:val="00A51E86"/>
    <w:rsid w:val="00A51EAB"/>
    <w:rsid w:val="00A51EE3"/>
    <w:rsid w:val="00A51F18"/>
    <w:rsid w:val="00A51F97"/>
    <w:rsid w:val="00A51FBA"/>
    <w:rsid w:val="00A51FC6"/>
    <w:rsid w:val="00A5206D"/>
    <w:rsid w:val="00A52073"/>
    <w:rsid w:val="00A52085"/>
    <w:rsid w:val="00A52091"/>
    <w:rsid w:val="00A520B2"/>
    <w:rsid w:val="00A520CA"/>
    <w:rsid w:val="00A5219F"/>
    <w:rsid w:val="00A521B7"/>
    <w:rsid w:val="00A521BC"/>
    <w:rsid w:val="00A521CC"/>
    <w:rsid w:val="00A521D3"/>
    <w:rsid w:val="00A521EE"/>
    <w:rsid w:val="00A52243"/>
    <w:rsid w:val="00A52274"/>
    <w:rsid w:val="00A522A1"/>
    <w:rsid w:val="00A52359"/>
    <w:rsid w:val="00A52385"/>
    <w:rsid w:val="00A523BC"/>
    <w:rsid w:val="00A523D1"/>
    <w:rsid w:val="00A5243A"/>
    <w:rsid w:val="00A5243D"/>
    <w:rsid w:val="00A5243E"/>
    <w:rsid w:val="00A524A9"/>
    <w:rsid w:val="00A524C0"/>
    <w:rsid w:val="00A524D8"/>
    <w:rsid w:val="00A52504"/>
    <w:rsid w:val="00A52550"/>
    <w:rsid w:val="00A5257F"/>
    <w:rsid w:val="00A525C3"/>
    <w:rsid w:val="00A52607"/>
    <w:rsid w:val="00A52612"/>
    <w:rsid w:val="00A52630"/>
    <w:rsid w:val="00A52648"/>
    <w:rsid w:val="00A5264B"/>
    <w:rsid w:val="00A52661"/>
    <w:rsid w:val="00A52674"/>
    <w:rsid w:val="00A52726"/>
    <w:rsid w:val="00A52730"/>
    <w:rsid w:val="00A527B5"/>
    <w:rsid w:val="00A52897"/>
    <w:rsid w:val="00A528D1"/>
    <w:rsid w:val="00A52907"/>
    <w:rsid w:val="00A5291B"/>
    <w:rsid w:val="00A52966"/>
    <w:rsid w:val="00A52974"/>
    <w:rsid w:val="00A5297F"/>
    <w:rsid w:val="00A529B9"/>
    <w:rsid w:val="00A52A24"/>
    <w:rsid w:val="00A52A2E"/>
    <w:rsid w:val="00A52A32"/>
    <w:rsid w:val="00A52A80"/>
    <w:rsid w:val="00A52ABE"/>
    <w:rsid w:val="00A52B09"/>
    <w:rsid w:val="00A52B31"/>
    <w:rsid w:val="00A52B52"/>
    <w:rsid w:val="00A52B8F"/>
    <w:rsid w:val="00A52BC1"/>
    <w:rsid w:val="00A52BDC"/>
    <w:rsid w:val="00A52BEF"/>
    <w:rsid w:val="00A52BF0"/>
    <w:rsid w:val="00A52BFD"/>
    <w:rsid w:val="00A52C13"/>
    <w:rsid w:val="00A52C15"/>
    <w:rsid w:val="00A52C37"/>
    <w:rsid w:val="00A52C73"/>
    <w:rsid w:val="00A52C7F"/>
    <w:rsid w:val="00A52C88"/>
    <w:rsid w:val="00A52D43"/>
    <w:rsid w:val="00A52D7C"/>
    <w:rsid w:val="00A52DA3"/>
    <w:rsid w:val="00A52F04"/>
    <w:rsid w:val="00A52F0A"/>
    <w:rsid w:val="00A52F78"/>
    <w:rsid w:val="00A52F85"/>
    <w:rsid w:val="00A52FA0"/>
    <w:rsid w:val="00A52FAE"/>
    <w:rsid w:val="00A52FCA"/>
    <w:rsid w:val="00A53061"/>
    <w:rsid w:val="00A53071"/>
    <w:rsid w:val="00A5307F"/>
    <w:rsid w:val="00A530BE"/>
    <w:rsid w:val="00A53104"/>
    <w:rsid w:val="00A53111"/>
    <w:rsid w:val="00A53135"/>
    <w:rsid w:val="00A531AA"/>
    <w:rsid w:val="00A531AC"/>
    <w:rsid w:val="00A531D8"/>
    <w:rsid w:val="00A53221"/>
    <w:rsid w:val="00A5323A"/>
    <w:rsid w:val="00A53272"/>
    <w:rsid w:val="00A53287"/>
    <w:rsid w:val="00A5334F"/>
    <w:rsid w:val="00A533BC"/>
    <w:rsid w:val="00A533C8"/>
    <w:rsid w:val="00A53417"/>
    <w:rsid w:val="00A5342D"/>
    <w:rsid w:val="00A53439"/>
    <w:rsid w:val="00A53460"/>
    <w:rsid w:val="00A5346A"/>
    <w:rsid w:val="00A53485"/>
    <w:rsid w:val="00A5348F"/>
    <w:rsid w:val="00A5351C"/>
    <w:rsid w:val="00A53523"/>
    <w:rsid w:val="00A53545"/>
    <w:rsid w:val="00A53591"/>
    <w:rsid w:val="00A535FB"/>
    <w:rsid w:val="00A5361E"/>
    <w:rsid w:val="00A5362A"/>
    <w:rsid w:val="00A53691"/>
    <w:rsid w:val="00A536BD"/>
    <w:rsid w:val="00A536DF"/>
    <w:rsid w:val="00A53747"/>
    <w:rsid w:val="00A5378E"/>
    <w:rsid w:val="00A53799"/>
    <w:rsid w:val="00A5379B"/>
    <w:rsid w:val="00A537C5"/>
    <w:rsid w:val="00A53851"/>
    <w:rsid w:val="00A53868"/>
    <w:rsid w:val="00A538B9"/>
    <w:rsid w:val="00A538D3"/>
    <w:rsid w:val="00A538E5"/>
    <w:rsid w:val="00A538EB"/>
    <w:rsid w:val="00A5393C"/>
    <w:rsid w:val="00A53948"/>
    <w:rsid w:val="00A53977"/>
    <w:rsid w:val="00A53994"/>
    <w:rsid w:val="00A539A0"/>
    <w:rsid w:val="00A539CE"/>
    <w:rsid w:val="00A539D0"/>
    <w:rsid w:val="00A53A48"/>
    <w:rsid w:val="00A53A82"/>
    <w:rsid w:val="00A53AF0"/>
    <w:rsid w:val="00A53B8D"/>
    <w:rsid w:val="00A53BB9"/>
    <w:rsid w:val="00A53BC3"/>
    <w:rsid w:val="00A53BF4"/>
    <w:rsid w:val="00A53BF7"/>
    <w:rsid w:val="00A53C2A"/>
    <w:rsid w:val="00A53CCD"/>
    <w:rsid w:val="00A53D1D"/>
    <w:rsid w:val="00A53D8C"/>
    <w:rsid w:val="00A53DAB"/>
    <w:rsid w:val="00A53DAE"/>
    <w:rsid w:val="00A53E10"/>
    <w:rsid w:val="00A53EEB"/>
    <w:rsid w:val="00A53F3A"/>
    <w:rsid w:val="00A53F4B"/>
    <w:rsid w:val="00A53F9C"/>
    <w:rsid w:val="00A53FC6"/>
    <w:rsid w:val="00A53FEE"/>
    <w:rsid w:val="00A540C2"/>
    <w:rsid w:val="00A540C9"/>
    <w:rsid w:val="00A5411F"/>
    <w:rsid w:val="00A54171"/>
    <w:rsid w:val="00A54173"/>
    <w:rsid w:val="00A54179"/>
    <w:rsid w:val="00A541B4"/>
    <w:rsid w:val="00A5420D"/>
    <w:rsid w:val="00A54226"/>
    <w:rsid w:val="00A54244"/>
    <w:rsid w:val="00A542BE"/>
    <w:rsid w:val="00A5430B"/>
    <w:rsid w:val="00A54318"/>
    <w:rsid w:val="00A5431E"/>
    <w:rsid w:val="00A54335"/>
    <w:rsid w:val="00A543B6"/>
    <w:rsid w:val="00A543D9"/>
    <w:rsid w:val="00A54408"/>
    <w:rsid w:val="00A5442A"/>
    <w:rsid w:val="00A54495"/>
    <w:rsid w:val="00A544AA"/>
    <w:rsid w:val="00A544C3"/>
    <w:rsid w:val="00A544CB"/>
    <w:rsid w:val="00A544D9"/>
    <w:rsid w:val="00A544E4"/>
    <w:rsid w:val="00A5452C"/>
    <w:rsid w:val="00A54582"/>
    <w:rsid w:val="00A545B5"/>
    <w:rsid w:val="00A545B7"/>
    <w:rsid w:val="00A545C2"/>
    <w:rsid w:val="00A545CE"/>
    <w:rsid w:val="00A5460B"/>
    <w:rsid w:val="00A54624"/>
    <w:rsid w:val="00A54638"/>
    <w:rsid w:val="00A54654"/>
    <w:rsid w:val="00A5465E"/>
    <w:rsid w:val="00A54690"/>
    <w:rsid w:val="00A546A6"/>
    <w:rsid w:val="00A54759"/>
    <w:rsid w:val="00A5478F"/>
    <w:rsid w:val="00A5479F"/>
    <w:rsid w:val="00A54868"/>
    <w:rsid w:val="00A54880"/>
    <w:rsid w:val="00A54881"/>
    <w:rsid w:val="00A548CA"/>
    <w:rsid w:val="00A5493E"/>
    <w:rsid w:val="00A54965"/>
    <w:rsid w:val="00A54969"/>
    <w:rsid w:val="00A54992"/>
    <w:rsid w:val="00A549D8"/>
    <w:rsid w:val="00A54A3C"/>
    <w:rsid w:val="00A54AC7"/>
    <w:rsid w:val="00A54B87"/>
    <w:rsid w:val="00A54C3B"/>
    <w:rsid w:val="00A54C8C"/>
    <w:rsid w:val="00A54CA6"/>
    <w:rsid w:val="00A54D25"/>
    <w:rsid w:val="00A54D41"/>
    <w:rsid w:val="00A54D63"/>
    <w:rsid w:val="00A54D88"/>
    <w:rsid w:val="00A54D9A"/>
    <w:rsid w:val="00A54DB0"/>
    <w:rsid w:val="00A54DB9"/>
    <w:rsid w:val="00A54DDE"/>
    <w:rsid w:val="00A54DF0"/>
    <w:rsid w:val="00A54E0B"/>
    <w:rsid w:val="00A54E37"/>
    <w:rsid w:val="00A54E40"/>
    <w:rsid w:val="00A54EBF"/>
    <w:rsid w:val="00A54EC9"/>
    <w:rsid w:val="00A54ECA"/>
    <w:rsid w:val="00A54EE8"/>
    <w:rsid w:val="00A54F5B"/>
    <w:rsid w:val="00A54F64"/>
    <w:rsid w:val="00A54F6C"/>
    <w:rsid w:val="00A54F91"/>
    <w:rsid w:val="00A54FA7"/>
    <w:rsid w:val="00A550B5"/>
    <w:rsid w:val="00A550BB"/>
    <w:rsid w:val="00A550BC"/>
    <w:rsid w:val="00A550CC"/>
    <w:rsid w:val="00A55119"/>
    <w:rsid w:val="00A551C5"/>
    <w:rsid w:val="00A551F4"/>
    <w:rsid w:val="00A5530A"/>
    <w:rsid w:val="00A55344"/>
    <w:rsid w:val="00A553AA"/>
    <w:rsid w:val="00A553B0"/>
    <w:rsid w:val="00A553D2"/>
    <w:rsid w:val="00A553FC"/>
    <w:rsid w:val="00A5541A"/>
    <w:rsid w:val="00A55434"/>
    <w:rsid w:val="00A554E7"/>
    <w:rsid w:val="00A5554B"/>
    <w:rsid w:val="00A55564"/>
    <w:rsid w:val="00A5556F"/>
    <w:rsid w:val="00A555D5"/>
    <w:rsid w:val="00A55655"/>
    <w:rsid w:val="00A55662"/>
    <w:rsid w:val="00A556BB"/>
    <w:rsid w:val="00A556C2"/>
    <w:rsid w:val="00A556C7"/>
    <w:rsid w:val="00A556FB"/>
    <w:rsid w:val="00A55746"/>
    <w:rsid w:val="00A55767"/>
    <w:rsid w:val="00A55768"/>
    <w:rsid w:val="00A55781"/>
    <w:rsid w:val="00A5580F"/>
    <w:rsid w:val="00A5586C"/>
    <w:rsid w:val="00A5589B"/>
    <w:rsid w:val="00A558E3"/>
    <w:rsid w:val="00A558E6"/>
    <w:rsid w:val="00A558F4"/>
    <w:rsid w:val="00A5593D"/>
    <w:rsid w:val="00A55975"/>
    <w:rsid w:val="00A55997"/>
    <w:rsid w:val="00A559B0"/>
    <w:rsid w:val="00A55A6A"/>
    <w:rsid w:val="00A55A83"/>
    <w:rsid w:val="00A55AA6"/>
    <w:rsid w:val="00A55ABF"/>
    <w:rsid w:val="00A55B3F"/>
    <w:rsid w:val="00A55B49"/>
    <w:rsid w:val="00A55B6A"/>
    <w:rsid w:val="00A55B84"/>
    <w:rsid w:val="00A55B97"/>
    <w:rsid w:val="00A55BBD"/>
    <w:rsid w:val="00A55BC1"/>
    <w:rsid w:val="00A55BED"/>
    <w:rsid w:val="00A55C2C"/>
    <w:rsid w:val="00A55C2E"/>
    <w:rsid w:val="00A55C3E"/>
    <w:rsid w:val="00A55C7D"/>
    <w:rsid w:val="00A55CA3"/>
    <w:rsid w:val="00A55CBF"/>
    <w:rsid w:val="00A55CC8"/>
    <w:rsid w:val="00A55CFB"/>
    <w:rsid w:val="00A55D4D"/>
    <w:rsid w:val="00A55E1F"/>
    <w:rsid w:val="00A55E4C"/>
    <w:rsid w:val="00A55EA2"/>
    <w:rsid w:val="00A55EB3"/>
    <w:rsid w:val="00A55EC6"/>
    <w:rsid w:val="00A55ECD"/>
    <w:rsid w:val="00A55EFB"/>
    <w:rsid w:val="00A55F1F"/>
    <w:rsid w:val="00A55F8D"/>
    <w:rsid w:val="00A55F99"/>
    <w:rsid w:val="00A55FB0"/>
    <w:rsid w:val="00A55FEF"/>
    <w:rsid w:val="00A55FF7"/>
    <w:rsid w:val="00A56001"/>
    <w:rsid w:val="00A56008"/>
    <w:rsid w:val="00A56033"/>
    <w:rsid w:val="00A56036"/>
    <w:rsid w:val="00A56046"/>
    <w:rsid w:val="00A5607A"/>
    <w:rsid w:val="00A560A7"/>
    <w:rsid w:val="00A560DB"/>
    <w:rsid w:val="00A56135"/>
    <w:rsid w:val="00A56158"/>
    <w:rsid w:val="00A5616A"/>
    <w:rsid w:val="00A561B6"/>
    <w:rsid w:val="00A561F6"/>
    <w:rsid w:val="00A5621F"/>
    <w:rsid w:val="00A56288"/>
    <w:rsid w:val="00A562B2"/>
    <w:rsid w:val="00A562C5"/>
    <w:rsid w:val="00A56334"/>
    <w:rsid w:val="00A5633A"/>
    <w:rsid w:val="00A56348"/>
    <w:rsid w:val="00A5635A"/>
    <w:rsid w:val="00A56386"/>
    <w:rsid w:val="00A56391"/>
    <w:rsid w:val="00A563B0"/>
    <w:rsid w:val="00A56424"/>
    <w:rsid w:val="00A56478"/>
    <w:rsid w:val="00A564DE"/>
    <w:rsid w:val="00A564E8"/>
    <w:rsid w:val="00A56521"/>
    <w:rsid w:val="00A56560"/>
    <w:rsid w:val="00A5658D"/>
    <w:rsid w:val="00A565DF"/>
    <w:rsid w:val="00A56605"/>
    <w:rsid w:val="00A5662B"/>
    <w:rsid w:val="00A56682"/>
    <w:rsid w:val="00A56690"/>
    <w:rsid w:val="00A566E4"/>
    <w:rsid w:val="00A5678D"/>
    <w:rsid w:val="00A5679D"/>
    <w:rsid w:val="00A567D0"/>
    <w:rsid w:val="00A56855"/>
    <w:rsid w:val="00A56873"/>
    <w:rsid w:val="00A568DD"/>
    <w:rsid w:val="00A56923"/>
    <w:rsid w:val="00A56954"/>
    <w:rsid w:val="00A5696B"/>
    <w:rsid w:val="00A56980"/>
    <w:rsid w:val="00A5698C"/>
    <w:rsid w:val="00A569AB"/>
    <w:rsid w:val="00A569FB"/>
    <w:rsid w:val="00A56A4E"/>
    <w:rsid w:val="00A56AB9"/>
    <w:rsid w:val="00A56AD3"/>
    <w:rsid w:val="00A56B30"/>
    <w:rsid w:val="00A56B44"/>
    <w:rsid w:val="00A56B47"/>
    <w:rsid w:val="00A56B59"/>
    <w:rsid w:val="00A56B8E"/>
    <w:rsid w:val="00A56B9A"/>
    <w:rsid w:val="00A56B9D"/>
    <w:rsid w:val="00A56BA9"/>
    <w:rsid w:val="00A56BC7"/>
    <w:rsid w:val="00A56BD6"/>
    <w:rsid w:val="00A56BE6"/>
    <w:rsid w:val="00A56BFA"/>
    <w:rsid w:val="00A56C10"/>
    <w:rsid w:val="00A56C36"/>
    <w:rsid w:val="00A56C56"/>
    <w:rsid w:val="00A56C57"/>
    <w:rsid w:val="00A56C65"/>
    <w:rsid w:val="00A56CA2"/>
    <w:rsid w:val="00A56CC7"/>
    <w:rsid w:val="00A56CCC"/>
    <w:rsid w:val="00A56CEF"/>
    <w:rsid w:val="00A56D7E"/>
    <w:rsid w:val="00A56DA7"/>
    <w:rsid w:val="00A56DE8"/>
    <w:rsid w:val="00A56E74"/>
    <w:rsid w:val="00A56EDA"/>
    <w:rsid w:val="00A56F35"/>
    <w:rsid w:val="00A56F57"/>
    <w:rsid w:val="00A56F61"/>
    <w:rsid w:val="00A56F73"/>
    <w:rsid w:val="00A56F9A"/>
    <w:rsid w:val="00A56F9E"/>
    <w:rsid w:val="00A56FC6"/>
    <w:rsid w:val="00A56FF8"/>
    <w:rsid w:val="00A57008"/>
    <w:rsid w:val="00A570A2"/>
    <w:rsid w:val="00A570B4"/>
    <w:rsid w:val="00A570C3"/>
    <w:rsid w:val="00A570DD"/>
    <w:rsid w:val="00A570FD"/>
    <w:rsid w:val="00A57111"/>
    <w:rsid w:val="00A57133"/>
    <w:rsid w:val="00A571E9"/>
    <w:rsid w:val="00A57201"/>
    <w:rsid w:val="00A57221"/>
    <w:rsid w:val="00A57270"/>
    <w:rsid w:val="00A57282"/>
    <w:rsid w:val="00A572D6"/>
    <w:rsid w:val="00A57314"/>
    <w:rsid w:val="00A57377"/>
    <w:rsid w:val="00A57394"/>
    <w:rsid w:val="00A573E1"/>
    <w:rsid w:val="00A5743A"/>
    <w:rsid w:val="00A57459"/>
    <w:rsid w:val="00A57475"/>
    <w:rsid w:val="00A5749E"/>
    <w:rsid w:val="00A5755A"/>
    <w:rsid w:val="00A575C1"/>
    <w:rsid w:val="00A575FE"/>
    <w:rsid w:val="00A576CA"/>
    <w:rsid w:val="00A5772E"/>
    <w:rsid w:val="00A577A8"/>
    <w:rsid w:val="00A577AE"/>
    <w:rsid w:val="00A577EE"/>
    <w:rsid w:val="00A577F7"/>
    <w:rsid w:val="00A57817"/>
    <w:rsid w:val="00A57834"/>
    <w:rsid w:val="00A578AC"/>
    <w:rsid w:val="00A578DB"/>
    <w:rsid w:val="00A578EF"/>
    <w:rsid w:val="00A57914"/>
    <w:rsid w:val="00A57920"/>
    <w:rsid w:val="00A57952"/>
    <w:rsid w:val="00A57997"/>
    <w:rsid w:val="00A579CA"/>
    <w:rsid w:val="00A57A46"/>
    <w:rsid w:val="00A57A61"/>
    <w:rsid w:val="00A57AB4"/>
    <w:rsid w:val="00A57B3E"/>
    <w:rsid w:val="00A57BDE"/>
    <w:rsid w:val="00A57BE8"/>
    <w:rsid w:val="00A57BF9"/>
    <w:rsid w:val="00A57D3C"/>
    <w:rsid w:val="00A57D4A"/>
    <w:rsid w:val="00A57D66"/>
    <w:rsid w:val="00A57D94"/>
    <w:rsid w:val="00A57DC0"/>
    <w:rsid w:val="00A57E1D"/>
    <w:rsid w:val="00A57ECF"/>
    <w:rsid w:val="00A57F17"/>
    <w:rsid w:val="00A57F51"/>
    <w:rsid w:val="00A57F55"/>
    <w:rsid w:val="00A57F7D"/>
    <w:rsid w:val="00A57F86"/>
    <w:rsid w:val="00A6007B"/>
    <w:rsid w:val="00A60093"/>
    <w:rsid w:val="00A600A3"/>
    <w:rsid w:val="00A600AD"/>
    <w:rsid w:val="00A600CE"/>
    <w:rsid w:val="00A60147"/>
    <w:rsid w:val="00A6015E"/>
    <w:rsid w:val="00A601DD"/>
    <w:rsid w:val="00A6032F"/>
    <w:rsid w:val="00A6033F"/>
    <w:rsid w:val="00A60344"/>
    <w:rsid w:val="00A603C3"/>
    <w:rsid w:val="00A60401"/>
    <w:rsid w:val="00A6045D"/>
    <w:rsid w:val="00A604E7"/>
    <w:rsid w:val="00A60500"/>
    <w:rsid w:val="00A6050F"/>
    <w:rsid w:val="00A605AD"/>
    <w:rsid w:val="00A605DB"/>
    <w:rsid w:val="00A605E4"/>
    <w:rsid w:val="00A6063A"/>
    <w:rsid w:val="00A60660"/>
    <w:rsid w:val="00A606F6"/>
    <w:rsid w:val="00A606F7"/>
    <w:rsid w:val="00A60718"/>
    <w:rsid w:val="00A60793"/>
    <w:rsid w:val="00A607F0"/>
    <w:rsid w:val="00A6081F"/>
    <w:rsid w:val="00A60843"/>
    <w:rsid w:val="00A6087F"/>
    <w:rsid w:val="00A609C0"/>
    <w:rsid w:val="00A609D0"/>
    <w:rsid w:val="00A609FD"/>
    <w:rsid w:val="00A60A9E"/>
    <w:rsid w:val="00A60BB7"/>
    <w:rsid w:val="00A60C38"/>
    <w:rsid w:val="00A60CE2"/>
    <w:rsid w:val="00A60CF2"/>
    <w:rsid w:val="00A60D04"/>
    <w:rsid w:val="00A60D51"/>
    <w:rsid w:val="00A60DA2"/>
    <w:rsid w:val="00A60DA3"/>
    <w:rsid w:val="00A60DB7"/>
    <w:rsid w:val="00A60DED"/>
    <w:rsid w:val="00A60E26"/>
    <w:rsid w:val="00A60E6A"/>
    <w:rsid w:val="00A60E76"/>
    <w:rsid w:val="00A60F1E"/>
    <w:rsid w:val="00A60F4E"/>
    <w:rsid w:val="00A60F5A"/>
    <w:rsid w:val="00A60F71"/>
    <w:rsid w:val="00A60F8E"/>
    <w:rsid w:val="00A60F9A"/>
    <w:rsid w:val="00A60FB4"/>
    <w:rsid w:val="00A60FE3"/>
    <w:rsid w:val="00A60FEF"/>
    <w:rsid w:val="00A60FF4"/>
    <w:rsid w:val="00A61014"/>
    <w:rsid w:val="00A61016"/>
    <w:rsid w:val="00A6102F"/>
    <w:rsid w:val="00A61052"/>
    <w:rsid w:val="00A61084"/>
    <w:rsid w:val="00A610B7"/>
    <w:rsid w:val="00A61114"/>
    <w:rsid w:val="00A6116B"/>
    <w:rsid w:val="00A611F4"/>
    <w:rsid w:val="00A6124F"/>
    <w:rsid w:val="00A612F3"/>
    <w:rsid w:val="00A61318"/>
    <w:rsid w:val="00A6133A"/>
    <w:rsid w:val="00A61387"/>
    <w:rsid w:val="00A61388"/>
    <w:rsid w:val="00A613B2"/>
    <w:rsid w:val="00A613D8"/>
    <w:rsid w:val="00A613F0"/>
    <w:rsid w:val="00A61458"/>
    <w:rsid w:val="00A61532"/>
    <w:rsid w:val="00A6154B"/>
    <w:rsid w:val="00A61576"/>
    <w:rsid w:val="00A61588"/>
    <w:rsid w:val="00A61596"/>
    <w:rsid w:val="00A615A3"/>
    <w:rsid w:val="00A615DC"/>
    <w:rsid w:val="00A615E5"/>
    <w:rsid w:val="00A61626"/>
    <w:rsid w:val="00A616D6"/>
    <w:rsid w:val="00A616F7"/>
    <w:rsid w:val="00A61715"/>
    <w:rsid w:val="00A61767"/>
    <w:rsid w:val="00A61795"/>
    <w:rsid w:val="00A617AE"/>
    <w:rsid w:val="00A617CE"/>
    <w:rsid w:val="00A61834"/>
    <w:rsid w:val="00A61848"/>
    <w:rsid w:val="00A6184C"/>
    <w:rsid w:val="00A61858"/>
    <w:rsid w:val="00A61870"/>
    <w:rsid w:val="00A61893"/>
    <w:rsid w:val="00A618A9"/>
    <w:rsid w:val="00A618FC"/>
    <w:rsid w:val="00A61907"/>
    <w:rsid w:val="00A6197C"/>
    <w:rsid w:val="00A61985"/>
    <w:rsid w:val="00A619C4"/>
    <w:rsid w:val="00A619CE"/>
    <w:rsid w:val="00A619D4"/>
    <w:rsid w:val="00A619D9"/>
    <w:rsid w:val="00A619E4"/>
    <w:rsid w:val="00A619EF"/>
    <w:rsid w:val="00A61A10"/>
    <w:rsid w:val="00A61A2C"/>
    <w:rsid w:val="00A61A4E"/>
    <w:rsid w:val="00A61ABD"/>
    <w:rsid w:val="00A61AF2"/>
    <w:rsid w:val="00A61AF7"/>
    <w:rsid w:val="00A61B17"/>
    <w:rsid w:val="00A61B70"/>
    <w:rsid w:val="00A61B77"/>
    <w:rsid w:val="00A61BE5"/>
    <w:rsid w:val="00A61BE8"/>
    <w:rsid w:val="00A61C2E"/>
    <w:rsid w:val="00A61C3B"/>
    <w:rsid w:val="00A61C52"/>
    <w:rsid w:val="00A61C60"/>
    <w:rsid w:val="00A61C79"/>
    <w:rsid w:val="00A61CB7"/>
    <w:rsid w:val="00A61CD7"/>
    <w:rsid w:val="00A61DBA"/>
    <w:rsid w:val="00A61DDE"/>
    <w:rsid w:val="00A61DE8"/>
    <w:rsid w:val="00A61DF1"/>
    <w:rsid w:val="00A61E0C"/>
    <w:rsid w:val="00A61E33"/>
    <w:rsid w:val="00A61E57"/>
    <w:rsid w:val="00A61E5F"/>
    <w:rsid w:val="00A61E73"/>
    <w:rsid w:val="00A61E84"/>
    <w:rsid w:val="00A61EA8"/>
    <w:rsid w:val="00A61F9A"/>
    <w:rsid w:val="00A61FC3"/>
    <w:rsid w:val="00A62021"/>
    <w:rsid w:val="00A62063"/>
    <w:rsid w:val="00A62064"/>
    <w:rsid w:val="00A620FA"/>
    <w:rsid w:val="00A6210D"/>
    <w:rsid w:val="00A621FC"/>
    <w:rsid w:val="00A62205"/>
    <w:rsid w:val="00A622D4"/>
    <w:rsid w:val="00A62324"/>
    <w:rsid w:val="00A62348"/>
    <w:rsid w:val="00A62355"/>
    <w:rsid w:val="00A62374"/>
    <w:rsid w:val="00A6237D"/>
    <w:rsid w:val="00A6237E"/>
    <w:rsid w:val="00A623A8"/>
    <w:rsid w:val="00A62463"/>
    <w:rsid w:val="00A6252F"/>
    <w:rsid w:val="00A62531"/>
    <w:rsid w:val="00A6255B"/>
    <w:rsid w:val="00A62599"/>
    <w:rsid w:val="00A625B5"/>
    <w:rsid w:val="00A626B6"/>
    <w:rsid w:val="00A626BA"/>
    <w:rsid w:val="00A62705"/>
    <w:rsid w:val="00A62759"/>
    <w:rsid w:val="00A627BE"/>
    <w:rsid w:val="00A62810"/>
    <w:rsid w:val="00A62835"/>
    <w:rsid w:val="00A6284D"/>
    <w:rsid w:val="00A6288E"/>
    <w:rsid w:val="00A628BA"/>
    <w:rsid w:val="00A629B3"/>
    <w:rsid w:val="00A629B9"/>
    <w:rsid w:val="00A629F9"/>
    <w:rsid w:val="00A62A09"/>
    <w:rsid w:val="00A62A75"/>
    <w:rsid w:val="00A62AE9"/>
    <w:rsid w:val="00A62AEC"/>
    <w:rsid w:val="00A62AF6"/>
    <w:rsid w:val="00A62BF1"/>
    <w:rsid w:val="00A62C16"/>
    <w:rsid w:val="00A62C1D"/>
    <w:rsid w:val="00A62C73"/>
    <w:rsid w:val="00A62C75"/>
    <w:rsid w:val="00A62D00"/>
    <w:rsid w:val="00A62D5D"/>
    <w:rsid w:val="00A62DAC"/>
    <w:rsid w:val="00A62E20"/>
    <w:rsid w:val="00A62E3B"/>
    <w:rsid w:val="00A62E42"/>
    <w:rsid w:val="00A62E81"/>
    <w:rsid w:val="00A62EC7"/>
    <w:rsid w:val="00A62EEE"/>
    <w:rsid w:val="00A62F5D"/>
    <w:rsid w:val="00A62F8E"/>
    <w:rsid w:val="00A62FB5"/>
    <w:rsid w:val="00A62FE7"/>
    <w:rsid w:val="00A63023"/>
    <w:rsid w:val="00A6308A"/>
    <w:rsid w:val="00A63090"/>
    <w:rsid w:val="00A63157"/>
    <w:rsid w:val="00A63159"/>
    <w:rsid w:val="00A631A5"/>
    <w:rsid w:val="00A6322D"/>
    <w:rsid w:val="00A63233"/>
    <w:rsid w:val="00A6326F"/>
    <w:rsid w:val="00A632AC"/>
    <w:rsid w:val="00A632DA"/>
    <w:rsid w:val="00A632E2"/>
    <w:rsid w:val="00A632E6"/>
    <w:rsid w:val="00A63381"/>
    <w:rsid w:val="00A6338C"/>
    <w:rsid w:val="00A63394"/>
    <w:rsid w:val="00A633D6"/>
    <w:rsid w:val="00A633FB"/>
    <w:rsid w:val="00A63410"/>
    <w:rsid w:val="00A63428"/>
    <w:rsid w:val="00A6343C"/>
    <w:rsid w:val="00A63530"/>
    <w:rsid w:val="00A63543"/>
    <w:rsid w:val="00A63560"/>
    <w:rsid w:val="00A63562"/>
    <w:rsid w:val="00A63582"/>
    <w:rsid w:val="00A635A1"/>
    <w:rsid w:val="00A635B6"/>
    <w:rsid w:val="00A635B8"/>
    <w:rsid w:val="00A635E6"/>
    <w:rsid w:val="00A63601"/>
    <w:rsid w:val="00A63624"/>
    <w:rsid w:val="00A63637"/>
    <w:rsid w:val="00A63659"/>
    <w:rsid w:val="00A63666"/>
    <w:rsid w:val="00A6368D"/>
    <w:rsid w:val="00A636AC"/>
    <w:rsid w:val="00A6372D"/>
    <w:rsid w:val="00A63758"/>
    <w:rsid w:val="00A637C4"/>
    <w:rsid w:val="00A637D0"/>
    <w:rsid w:val="00A637FC"/>
    <w:rsid w:val="00A63837"/>
    <w:rsid w:val="00A63845"/>
    <w:rsid w:val="00A63863"/>
    <w:rsid w:val="00A638A0"/>
    <w:rsid w:val="00A638BB"/>
    <w:rsid w:val="00A638F9"/>
    <w:rsid w:val="00A63948"/>
    <w:rsid w:val="00A639A5"/>
    <w:rsid w:val="00A639DD"/>
    <w:rsid w:val="00A639E4"/>
    <w:rsid w:val="00A639FC"/>
    <w:rsid w:val="00A63A02"/>
    <w:rsid w:val="00A63A17"/>
    <w:rsid w:val="00A63A33"/>
    <w:rsid w:val="00A63A41"/>
    <w:rsid w:val="00A63A55"/>
    <w:rsid w:val="00A63A66"/>
    <w:rsid w:val="00A63A76"/>
    <w:rsid w:val="00A63AA4"/>
    <w:rsid w:val="00A63B23"/>
    <w:rsid w:val="00A63B84"/>
    <w:rsid w:val="00A63BB5"/>
    <w:rsid w:val="00A63BE6"/>
    <w:rsid w:val="00A63BF4"/>
    <w:rsid w:val="00A63C13"/>
    <w:rsid w:val="00A63C7B"/>
    <w:rsid w:val="00A63C8B"/>
    <w:rsid w:val="00A63C9E"/>
    <w:rsid w:val="00A63CC7"/>
    <w:rsid w:val="00A63D36"/>
    <w:rsid w:val="00A63D8E"/>
    <w:rsid w:val="00A63DA1"/>
    <w:rsid w:val="00A63E00"/>
    <w:rsid w:val="00A63E28"/>
    <w:rsid w:val="00A63E48"/>
    <w:rsid w:val="00A63E93"/>
    <w:rsid w:val="00A63F26"/>
    <w:rsid w:val="00A63F41"/>
    <w:rsid w:val="00A63F4E"/>
    <w:rsid w:val="00A63FDE"/>
    <w:rsid w:val="00A63FE5"/>
    <w:rsid w:val="00A64057"/>
    <w:rsid w:val="00A64075"/>
    <w:rsid w:val="00A6408A"/>
    <w:rsid w:val="00A640B7"/>
    <w:rsid w:val="00A640E5"/>
    <w:rsid w:val="00A640F5"/>
    <w:rsid w:val="00A6413E"/>
    <w:rsid w:val="00A641C7"/>
    <w:rsid w:val="00A64234"/>
    <w:rsid w:val="00A6426A"/>
    <w:rsid w:val="00A64279"/>
    <w:rsid w:val="00A642AE"/>
    <w:rsid w:val="00A642D1"/>
    <w:rsid w:val="00A64357"/>
    <w:rsid w:val="00A64364"/>
    <w:rsid w:val="00A6438C"/>
    <w:rsid w:val="00A643A9"/>
    <w:rsid w:val="00A643CD"/>
    <w:rsid w:val="00A64400"/>
    <w:rsid w:val="00A6440E"/>
    <w:rsid w:val="00A6441C"/>
    <w:rsid w:val="00A6442E"/>
    <w:rsid w:val="00A644A2"/>
    <w:rsid w:val="00A644C9"/>
    <w:rsid w:val="00A644FD"/>
    <w:rsid w:val="00A6452D"/>
    <w:rsid w:val="00A645A6"/>
    <w:rsid w:val="00A645B6"/>
    <w:rsid w:val="00A6467E"/>
    <w:rsid w:val="00A6469B"/>
    <w:rsid w:val="00A6470E"/>
    <w:rsid w:val="00A64713"/>
    <w:rsid w:val="00A647C8"/>
    <w:rsid w:val="00A647E6"/>
    <w:rsid w:val="00A6482F"/>
    <w:rsid w:val="00A648E9"/>
    <w:rsid w:val="00A648F5"/>
    <w:rsid w:val="00A648FE"/>
    <w:rsid w:val="00A6490A"/>
    <w:rsid w:val="00A6493D"/>
    <w:rsid w:val="00A64972"/>
    <w:rsid w:val="00A649B8"/>
    <w:rsid w:val="00A649C9"/>
    <w:rsid w:val="00A64A00"/>
    <w:rsid w:val="00A64A4E"/>
    <w:rsid w:val="00A64A6D"/>
    <w:rsid w:val="00A64A71"/>
    <w:rsid w:val="00A64A9B"/>
    <w:rsid w:val="00A64BAD"/>
    <w:rsid w:val="00A64C78"/>
    <w:rsid w:val="00A64CEB"/>
    <w:rsid w:val="00A64D6A"/>
    <w:rsid w:val="00A64D6E"/>
    <w:rsid w:val="00A64D84"/>
    <w:rsid w:val="00A64D88"/>
    <w:rsid w:val="00A64D94"/>
    <w:rsid w:val="00A64DA8"/>
    <w:rsid w:val="00A64E3A"/>
    <w:rsid w:val="00A64E76"/>
    <w:rsid w:val="00A64E93"/>
    <w:rsid w:val="00A64EC2"/>
    <w:rsid w:val="00A64EF3"/>
    <w:rsid w:val="00A64F21"/>
    <w:rsid w:val="00A64F4C"/>
    <w:rsid w:val="00A64F6E"/>
    <w:rsid w:val="00A64F84"/>
    <w:rsid w:val="00A64FDA"/>
    <w:rsid w:val="00A65067"/>
    <w:rsid w:val="00A65077"/>
    <w:rsid w:val="00A65091"/>
    <w:rsid w:val="00A650C5"/>
    <w:rsid w:val="00A650D6"/>
    <w:rsid w:val="00A65179"/>
    <w:rsid w:val="00A651EE"/>
    <w:rsid w:val="00A65200"/>
    <w:rsid w:val="00A6520D"/>
    <w:rsid w:val="00A6521A"/>
    <w:rsid w:val="00A652AC"/>
    <w:rsid w:val="00A6532C"/>
    <w:rsid w:val="00A6535F"/>
    <w:rsid w:val="00A653C6"/>
    <w:rsid w:val="00A653DA"/>
    <w:rsid w:val="00A653F9"/>
    <w:rsid w:val="00A654C5"/>
    <w:rsid w:val="00A654F0"/>
    <w:rsid w:val="00A654FB"/>
    <w:rsid w:val="00A6551F"/>
    <w:rsid w:val="00A65605"/>
    <w:rsid w:val="00A65618"/>
    <w:rsid w:val="00A6563F"/>
    <w:rsid w:val="00A6568F"/>
    <w:rsid w:val="00A656E1"/>
    <w:rsid w:val="00A6573B"/>
    <w:rsid w:val="00A6573D"/>
    <w:rsid w:val="00A65783"/>
    <w:rsid w:val="00A65790"/>
    <w:rsid w:val="00A65796"/>
    <w:rsid w:val="00A657D5"/>
    <w:rsid w:val="00A6588C"/>
    <w:rsid w:val="00A6588D"/>
    <w:rsid w:val="00A65930"/>
    <w:rsid w:val="00A6595F"/>
    <w:rsid w:val="00A65966"/>
    <w:rsid w:val="00A65A21"/>
    <w:rsid w:val="00A65A31"/>
    <w:rsid w:val="00A65A6E"/>
    <w:rsid w:val="00A65ACF"/>
    <w:rsid w:val="00A65AF2"/>
    <w:rsid w:val="00A65B09"/>
    <w:rsid w:val="00A65B55"/>
    <w:rsid w:val="00A65B61"/>
    <w:rsid w:val="00A65BC7"/>
    <w:rsid w:val="00A65BE9"/>
    <w:rsid w:val="00A65C18"/>
    <w:rsid w:val="00A65C19"/>
    <w:rsid w:val="00A65C52"/>
    <w:rsid w:val="00A65CA2"/>
    <w:rsid w:val="00A65CBF"/>
    <w:rsid w:val="00A65CC9"/>
    <w:rsid w:val="00A65CF3"/>
    <w:rsid w:val="00A65CFD"/>
    <w:rsid w:val="00A65D6A"/>
    <w:rsid w:val="00A65D7E"/>
    <w:rsid w:val="00A65DB2"/>
    <w:rsid w:val="00A65DBC"/>
    <w:rsid w:val="00A65DD1"/>
    <w:rsid w:val="00A65DDB"/>
    <w:rsid w:val="00A65DF1"/>
    <w:rsid w:val="00A65E27"/>
    <w:rsid w:val="00A65E69"/>
    <w:rsid w:val="00A65E7F"/>
    <w:rsid w:val="00A65EB6"/>
    <w:rsid w:val="00A65EEC"/>
    <w:rsid w:val="00A65F70"/>
    <w:rsid w:val="00A65F97"/>
    <w:rsid w:val="00A65FB6"/>
    <w:rsid w:val="00A65FC5"/>
    <w:rsid w:val="00A6601E"/>
    <w:rsid w:val="00A66037"/>
    <w:rsid w:val="00A6604B"/>
    <w:rsid w:val="00A660AF"/>
    <w:rsid w:val="00A660FF"/>
    <w:rsid w:val="00A66181"/>
    <w:rsid w:val="00A661B0"/>
    <w:rsid w:val="00A661F3"/>
    <w:rsid w:val="00A6623F"/>
    <w:rsid w:val="00A66257"/>
    <w:rsid w:val="00A66281"/>
    <w:rsid w:val="00A662A2"/>
    <w:rsid w:val="00A6632F"/>
    <w:rsid w:val="00A66384"/>
    <w:rsid w:val="00A66400"/>
    <w:rsid w:val="00A6641F"/>
    <w:rsid w:val="00A664CC"/>
    <w:rsid w:val="00A664D4"/>
    <w:rsid w:val="00A664D7"/>
    <w:rsid w:val="00A664F9"/>
    <w:rsid w:val="00A66503"/>
    <w:rsid w:val="00A66515"/>
    <w:rsid w:val="00A66597"/>
    <w:rsid w:val="00A665B1"/>
    <w:rsid w:val="00A665C1"/>
    <w:rsid w:val="00A665EE"/>
    <w:rsid w:val="00A665F1"/>
    <w:rsid w:val="00A66600"/>
    <w:rsid w:val="00A66618"/>
    <w:rsid w:val="00A666A8"/>
    <w:rsid w:val="00A666C1"/>
    <w:rsid w:val="00A666F4"/>
    <w:rsid w:val="00A66727"/>
    <w:rsid w:val="00A6674A"/>
    <w:rsid w:val="00A6675F"/>
    <w:rsid w:val="00A6677F"/>
    <w:rsid w:val="00A667A0"/>
    <w:rsid w:val="00A667A8"/>
    <w:rsid w:val="00A667BB"/>
    <w:rsid w:val="00A66825"/>
    <w:rsid w:val="00A6684A"/>
    <w:rsid w:val="00A6684E"/>
    <w:rsid w:val="00A668D7"/>
    <w:rsid w:val="00A668F0"/>
    <w:rsid w:val="00A668F9"/>
    <w:rsid w:val="00A6690F"/>
    <w:rsid w:val="00A66926"/>
    <w:rsid w:val="00A66927"/>
    <w:rsid w:val="00A66952"/>
    <w:rsid w:val="00A66959"/>
    <w:rsid w:val="00A66961"/>
    <w:rsid w:val="00A669C1"/>
    <w:rsid w:val="00A669FE"/>
    <w:rsid w:val="00A66A23"/>
    <w:rsid w:val="00A66A29"/>
    <w:rsid w:val="00A66A2B"/>
    <w:rsid w:val="00A66A5E"/>
    <w:rsid w:val="00A66A5F"/>
    <w:rsid w:val="00A66A64"/>
    <w:rsid w:val="00A66ACB"/>
    <w:rsid w:val="00A66AD6"/>
    <w:rsid w:val="00A66AD9"/>
    <w:rsid w:val="00A66B1F"/>
    <w:rsid w:val="00A66B26"/>
    <w:rsid w:val="00A66B7B"/>
    <w:rsid w:val="00A66CC5"/>
    <w:rsid w:val="00A66D49"/>
    <w:rsid w:val="00A66D5E"/>
    <w:rsid w:val="00A66D70"/>
    <w:rsid w:val="00A66D8C"/>
    <w:rsid w:val="00A66DA2"/>
    <w:rsid w:val="00A66DF6"/>
    <w:rsid w:val="00A66E97"/>
    <w:rsid w:val="00A66EA7"/>
    <w:rsid w:val="00A66ED5"/>
    <w:rsid w:val="00A66F24"/>
    <w:rsid w:val="00A66F55"/>
    <w:rsid w:val="00A6702B"/>
    <w:rsid w:val="00A67066"/>
    <w:rsid w:val="00A670D5"/>
    <w:rsid w:val="00A67112"/>
    <w:rsid w:val="00A67117"/>
    <w:rsid w:val="00A67141"/>
    <w:rsid w:val="00A67147"/>
    <w:rsid w:val="00A67167"/>
    <w:rsid w:val="00A671B5"/>
    <w:rsid w:val="00A671D1"/>
    <w:rsid w:val="00A6725D"/>
    <w:rsid w:val="00A6726C"/>
    <w:rsid w:val="00A672DC"/>
    <w:rsid w:val="00A672E1"/>
    <w:rsid w:val="00A67357"/>
    <w:rsid w:val="00A673A0"/>
    <w:rsid w:val="00A673A2"/>
    <w:rsid w:val="00A673E1"/>
    <w:rsid w:val="00A673EA"/>
    <w:rsid w:val="00A673ED"/>
    <w:rsid w:val="00A67425"/>
    <w:rsid w:val="00A6746F"/>
    <w:rsid w:val="00A6749C"/>
    <w:rsid w:val="00A674D0"/>
    <w:rsid w:val="00A67506"/>
    <w:rsid w:val="00A67519"/>
    <w:rsid w:val="00A67541"/>
    <w:rsid w:val="00A6757A"/>
    <w:rsid w:val="00A675C8"/>
    <w:rsid w:val="00A675CE"/>
    <w:rsid w:val="00A675E9"/>
    <w:rsid w:val="00A67600"/>
    <w:rsid w:val="00A6761B"/>
    <w:rsid w:val="00A67636"/>
    <w:rsid w:val="00A67638"/>
    <w:rsid w:val="00A6767B"/>
    <w:rsid w:val="00A6768E"/>
    <w:rsid w:val="00A676A0"/>
    <w:rsid w:val="00A67708"/>
    <w:rsid w:val="00A67730"/>
    <w:rsid w:val="00A67780"/>
    <w:rsid w:val="00A677E8"/>
    <w:rsid w:val="00A6781A"/>
    <w:rsid w:val="00A67830"/>
    <w:rsid w:val="00A67936"/>
    <w:rsid w:val="00A6794B"/>
    <w:rsid w:val="00A6796F"/>
    <w:rsid w:val="00A6798A"/>
    <w:rsid w:val="00A679A9"/>
    <w:rsid w:val="00A679F2"/>
    <w:rsid w:val="00A67A5E"/>
    <w:rsid w:val="00A67A90"/>
    <w:rsid w:val="00A67AA2"/>
    <w:rsid w:val="00A67AA9"/>
    <w:rsid w:val="00A67AF4"/>
    <w:rsid w:val="00A67B1E"/>
    <w:rsid w:val="00A67B34"/>
    <w:rsid w:val="00A67B3F"/>
    <w:rsid w:val="00A67B77"/>
    <w:rsid w:val="00A67B8E"/>
    <w:rsid w:val="00A67B93"/>
    <w:rsid w:val="00A67C0B"/>
    <w:rsid w:val="00A67C17"/>
    <w:rsid w:val="00A67C42"/>
    <w:rsid w:val="00A67C5D"/>
    <w:rsid w:val="00A67D07"/>
    <w:rsid w:val="00A67D6F"/>
    <w:rsid w:val="00A67D8C"/>
    <w:rsid w:val="00A67DC2"/>
    <w:rsid w:val="00A67DC9"/>
    <w:rsid w:val="00A67DEF"/>
    <w:rsid w:val="00A67E89"/>
    <w:rsid w:val="00A67E9C"/>
    <w:rsid w:val="00A67ED0"/>
    <w:rsid w:val="00A67ED2"/>
    <w:rsid w:val="00A67EE9"/>
    <w:rsid w:val="00A67F65"/>
    <w:rsid w:val="00A67FAE"/>
    <w:rsid w:val="00A67FB9"/>
    <w:rsid w:val="00A70088"/>
    <w:rsid w:val="00A700EF"/>
    <w:rsid w:val="00A7011E"/>
    <w:rsid w:val="00A70134"/>
    <w:rsid w:val="00A70174"/>
    <w:rsid w:val="00A70183"/>
    <w:rsid w:val="00A701AE"/>
    <w:rsid w:val="00A701B7"/>
    <w:rsid w:val="00A701E2"/>
    <w:rsid w:val="00A7021B"/>
    <w:rsid w:val="00A70254"/>
    <w:rsid w:val="00A70257"/>
    <w:rsid w:val="00A7029C"/>
    <w:rsid w:val="00A702B7"/>
    <w:rsid w:val="00A7031F"/>
    <w:rsid w:val="00A70394"/>
    <w:rsid w:val="00A703AA"/>
    <w:rsid w:val="00A703B4"/>
    <w:rsid w:val="00A70423"/>
    <w:rsid w:val="00A7042D"/>
    <w:rsid w:val="00A70463"/>
    <w:rsid w:val="00A70474"/>
    <w:rsid w:val="00A7048A"/>
    <w:rsid w:val="00A7049C"/>
    <w:rsid w:val="00A704A3"/>
    <w:rsid w:val="00A70502"/>
    <w:rsid w:val="00A7052C"/>
    <w:rsid w:val="00A7056C"/>
    <w:rsid w:val="00A705E5"/>
    <w:rsid w:val="00A705E6"/>
    <w:rsid w:val="00A70606"/>
    <w:rsid w:val="00A70618"/>
    <w:rsid w:val="00A7064D"/>
    <w:rsid w:val="00A70654"/>
    <w:rsid w:val="00A70673"/>
    <w:rsid w:val="00A70683"/>
    <w:rsid w:val="00A706A5"/>
    <w:rsid w:val="00A70770"/>
    <w:rsid w:val="00A7077D"/>
    <w:rsid w:val="00A707BB"/>
    <w:rsid w:val="00A70856"/>
    <w:rsid w:val="00A70880"/>
    <w:rsid w:val="00A70929"/>
    <w:rsid w:val="00A7092F"/>
    <w:rsid w:val="00A7094D"/>
    <w:rsid w:val="00A7095F"/>
    <w:rsid w:val="00A709C4"/>
    <w:rsid w:val="00A709CE"/>
    <w:rsid w:val="00A709DA"/>
    <w:rsid w:val="00A709FF"/>
    <w:rsid w:val="00A70A3E"/>
    <w:rsid w:val="00A70A86"/>
    <w:rsid w:val="00A70AE0"/>
    <w:rsid w:val="00A70B5B"/>
    <w:rsid w:val="00A70BA3"/>
    <w:rsid w:val="00A70C33"/>
    <w:rsid w:val="00A70C64"/>
    <w:rsid w:val="00A70CAC"/>
    <w:rsid w:val="00A70DB5"/>
    <w:rsid w:val="00A70DC5"/>
    <w:rsid w:val="00A70DD2"/>
    <w:rsid w:val="00A70E77"/>
    <w:rsid w:val="00A70ECE"/>
    <w:rsid w:val="00A70EE6"/>
    <w:rsid w:val="00A70F0A"/>
    <w:rsid w:val="00A70F20"/>
    <w:rsid w:val="00A70F2B"/>
    <w:rsid w:val="00A70F5F"/>
    <w:rsid w:val="00A70F99"/>
    <w:rsid w:val="00A70FD2"/>
    <w:rsid w:val="00A70FE3"/>
    <w:rsid w:val="00A7105B"/>
    <w:rsid w:val="00A7106C"/>
    <w:rsid w:val="00A71088"/>
    <w:rsid w:val="00A710F5"/>
    <w:rsid w:val="00A710FD"/>
    <w:rsid w:val="00A7110D"/>
    <w:rsid w:val="00A71159"/>
    <w:rsid w:val="00A7117A"/>
    <w:rsid w:val="00A711B7"/>
    <w:rsid w:val="00A7122D"/>
    <w:rsid w:val="00A7125D"/>
    <w:rsid w:val="00A71270"/>
    <w:rsid w:val="00A712DF"/>
    <w:rsid w:val="00A71340"/>
    <w:rsid w:val="00A71355"/>
    <w:rsid w:val="00A71393"/>
    <w:rsid w:val="00A71397"/>
    <w:rsid w:val="00A713C1"/>
    <w:rsid w:val="00A713C7"/>
    <w:rsid w:val="00A713DD"/>
    <w:rsid w:val="00A713E2"/>
    <w:rsid w:val="00A713E6"/>
    <w:rsid w:val="00A713F2"/>
    <w:rsid w:val="00A71427"/>
    <w:rsid w:val="00A71499"/>
    <w:rsid w:val="00A714C1"/>
    <w:rsid w:val="00A714D4"/>
    <w:rsid w:val="00A714F4"/>
    <w:rsid w:val="00A71503"/>
    <w:rsid w:val="00A7153C"/>
    <w:rsid w:val="00A7154E"/>
    <w:rsid w:val="00A715AC"/>
    <w:rsid w:val="00A715C9"/>
    <w:rsid w:val="00A715F1"/>
    <w:rsid w:val="00A7162B"/>
    <w:rsid w:val="00A7165A"/>
    <w:rsid w:val="00A71694"/>
    <w:rsid w:val="00A716B7"/>
    <w:rsid w:val="00A716CC"/>
    <w:rsid w:val="00A717A0"/>
    <w:rsid w:val="00A717E4"/>
    <w:rsid w:val="00A718D3"/>
    <w:rsid w:val="00A718E2"/>
    <w:rsid w:val="00A718F0"/>
    <w:rsid w:val="00A71909"/>
    <w:rsid w:val="00A71948"/>
    <w:rsid w:val="00A7198A"/>
    <w:rsid w:val="00A71A09"/>
    <w:rsid w:val="00A71A25"/>
    <w:rsid w:val="00A71A70"/>
    <w:rsid w:val="00A71A85"/>
    <w:rsid w:val="00A71A8D"/>
    <w:rsid w:val="00A71AAA"/>
    <w:rsid w:val="00A71AD7"/>
    <w:rsid w:val="00A71AE0"/>
    <w:rsid w:val="00A71B3F"/>
    <w:rsid w:val="00A71B6E"/>
    <w:rsid w:val="00A71B7F"/>
    <w:rsid w:val="00A71B99"/>
    <w:rsid w:val="00A71BA5"/>
    <w:rsid w:val="00A71BD9"/>
    <w:rsid w:val="00A71BF9"/>
    <w:rsid w:val="00A71C19"/>
    <w:rsid w:val="00A71C2C"/>
    <w:rsid w:val="00A71C4E"/>
    <w:rsid w:val="00A71C64"/>
    <w:rsid w:val="00A71D6F"/>
    <w:rsid w:val="00A71D7C"/>
    <w:rsid w:val="00A71D9B"/>
    <w:rsid w:val="00A71E20"/>
    <w:rsid w:val="00A71E23"/>
    <w:rsid w:val="00A71E66"/>
    <w:rsid w:val="00A71E99"/>
    <w:rsid w:val="00A71EBC"/>
    <w:rsid w:val="00A71EC0"/>
    <w:rsid w:val="00A71EEB"/>
    <w:rsid w:val="00A71EF2"/>
    <w:rsid w:val="00A71F34"/>
    <w:rsid w:val="00A71F9C"/>
    <w:rsid w:val="00A71FA1"/>
    <w:rsid w:val="00A71FD3"/>
    <w:rsid w:val="00A71FEE"/>
    <w:rsid w:val="00A72009"/>
    <w:rsid w:val="00A72014"/>
    <w:rsid w:val="00A72059"/>
    <w:rsid w:val="00A720D0"/>
    <w:rsid w:val="00A720F0"/>
    <w:rsid w:val="00A72104"/>
    <w:rsid w:val="00A72137"/>
    <w:rsid w:val="00A72152"/>
    <w:rsid w:val="00A72174"/>
    <w:rsid w:val="00A72185"/>
    <w:rsid w:val="00A721B0"/>
    <w:rsid w:val="00A721EE"/>
    <w:rsid w:val="00A72201"/>
    <w:rsid w:val="00A72207"/>
    <w:rsid w:val="00A7220A"/>
    <w:rsid w:val="00A72248"/>
    <w:rsid w:val="00A7226F"/>
    <w:rsid w:val="00A722AC"/>
    <w:rsid w:val="00A722E8"/>
    <w:rsid w:val="00A72339"/>
    <w:rsid w:val="00A7236C"/>
    <w:rsid w:val="00A723D2"/>
    <w:rsid w:val="00A723D4"/>
    <w:rsid w:val="00A7247C"/>
    <w:rsid w:val="00A7248E"/>
    <w:rsid w:val="00A724C3"/>
    <w:rsid w:val="00A7250D"/>
    <w:rsid w:val="00A7250F"/>
    <w:rsid w:val="00A7257E"/>
    <w:rsid w:val="00A7259B"/>
    <w:rsid w:val="00A725C4"/>
    <w:rsid w:val="00A725E5"/>
    <w:rsid w:val="00A72606"/>
    <w:rsid w:val="00A72610"/>
    <w:rsid w:val="00A7267F"/>
    <w:rsid w:val="00A72688"/>
    <w:rsid w:val="00A726F0"/>
    <w:rsid w:val="00A726FF"/>
    <w:rsid w:val="00A72724"/>
    <w:rsid w:val="00A72738"/>
    <w:rsid w:val="00A72778"/>
    <w:rsid w:val="00A72779"/>
    <w:rsid w:val="00A72789"/>
    <w:rsid w:val="00A727C2"/>
    <w:rsid w:val="00A727FD"/>
    <w:rsid w:val="00A7285D"/>
    <w:rsid w:val="00A72863"/>
    <w:rsid w:val="00A72881"/>
    <w:rsid w:val="00A728E4"/>
    <w:rsid w:val="00A72960"/>
    <w:rsid w:val="00A729F3"/>
    <w:rsid w:val="00A72A96"/>
    <w:rsid w:val="00A72B07"/>
    <w:rsid w:val="00A72B13"/>
    <w:rsid w:val="00A72B26"/>
    <w:rsid w:val="00A72B29"/>
    <w:rsid w:val="00A72B58"/>
    <w:rsid w:val="00A72C1E"/>
    <w:rsid w:val="00A72C59"/>
    <w:rsid w:val="00A72C6C"/>
    <w:rsid w:val="00A72CAB"/>
    <w:rsid w:val="00A72CBB"/>
    <w:rsid w:val="00A72D03"/>
    <w:rsid w:val="00A72D10"/>
    <w:rsid w:val="00A72D8F"/>
    <w:rsid w:val="00A72DFA"/>
    <w:rsid w:val="00A72E08"/>
    <w:rsid w:val="00A72E1D"/>
    <w:rsid w:val="00A72E3B"/>
    <w:rsid w:val="00A72E3D"/>
    <w:rsid w:val="00A72EB9"/>
    <w:rsid w:val="00A72F1D"/>
    <w:rsid w:val="00A72F7E"/>
    <w:rsid w:val="00A72FC1"/>
    <w:rsid w:val="00A72FDC"/>
    <w:rsid w:val="00A72FFA"/>
    <w:rsid w:val="00A7303D"/>
    <w:rsid w:val="00A730D9"/>
    <w:rsid w:val="00A73159"/>
    <w:rsid w:val="00A731AD"/>
    <w:rsid w:val="00A731B8"/>
    <w:rsid w:val="00A731D2"/>
    <w:rsid w:val="00A731F1"/>
    <w:rsid w:val="00A7323F"/>
    <w:rsid w:val="00A73248"/>
    <w:rsid w:val="00A73279"/>
    <w:rsid w:val="00A732AE"/>
    <w:rsid w:val="00A732E6"/>
    <w:rsid w:val="00A73307"/>
    <w:rsid w:val="00A7333E"/>
    <w:rsid w:val="00A7334A"/>
    <w:rsid w:val="00A733CB"/>
    <w:rsid w:val="00A73411"/>
    <w:rsid w:val="00A73414"/>
    <w:rsid w:val="00A73453"/>
    <w:rsid w:val="00A734E6"/>
    <w:rsid w:val="00A7353D"/>
    <w:rsid w:val="00A73542"/>
    <w:rsid w:val="00A7358D"/>
    <w:rsid w:val="00A7360D"/>
    <w:rsid w:val="00A7360F"/>
    <w:rsid w:val="00A7362C"/>
    <w:rsid w:val="00A73662"/>
    <w:rsid w:val="00A73698"/>
    <w:rsid w:val="00A736AA"/>
    <w:rsid w:val="00A736BD"/>
    <w:rsid w:val="00A73753"/>
    <w:rsid w:val="00A7375D"/>
    <w:rsid w:val="00A73765"/>
    <w:rsid w:val="00A737EC"/>
    <w:rsid w:val="00A73840"/>
    <w:rsid w:val="00A7385E"/>
    <w:rsid w:val="00A7389D"/>
    <w:rsid w:val="00A738A8"/>
    <w:rsid w:val="00A738B3"/>
    <w:rsid w:val="00A738C4"/>
    <w:rsid w:val="00A738DF"/>
    <w:rsid w:val="00A738E5"/>
    <w:rsid w:val="00A7390E"/>
    <w:rsid w:val="00A73931"/>
    <w:rsid w:val="00A7399C"/>
    <w:rsid w:val="00A739D4"/>
    <w:rsid w:val="00A73A1A"/>
    <w:rsid w:val="00A73A53"/>
    <w:rsid w:val="00A73A86"/>
    <w:rsid w:val="00A73A99"/>
    <w:rsid w:val="00A73AE9"/>
    <w:rsid w:val="00A73B08"/>
    <w:rsid w:val="00A73B54"/>
    <w:rsid w:val="00A73B5D"/>
    <w:rsid w:val="00A73B7D"/>
    <w:rsid w:val="00A73B9E"/>
    <w:rsid w:val="00A73C02"/>
    <w:rsid w:val="00A73C7D"/>
    <w:rsid w:val="00A73CCB"/>
    <w:rsid w:val="00A73CD2"/>
    <w:rsid w:val="00A73D1F"/>
    <w:rsid w:val="00A73D5A"/>
    <w:rsid w:val="00A73D74"/>
    <w:rsid w:val="00A73D9C"/>
    <w:rsid w:val="00A73DA5"/>
    <w:rsid w:val="00A73DAC"/>
    <w:rsid w:val="00A73DFC"/>
    <w:rsid w:val="00A73E5C"/>
    <w:rsid w:val="00A73E80"/>
    <w:rsid w:val="00A73EA4"/>
    <w:rsid w:val="00A73EDF"/>
    <w:rsid w:val="00A73EED"/>
    <w:rsid w:val="00A73F15"/>
    <w:rsid w:val="00A73FAE"/>
    <w:rsid w:val="00A73FAF"/>
    <w:rsid w:val="00A740DC"/>
    <w:rsid w:val="00A74100"/>
    <w:rsid w:val="00A7412F"/>
    <w:rsid w:val="00A7413F"/>
    <w:rsid w:val="00A74150"/>
    <w:rsid w:val="00A74152"/>
    <w:rsid w:val="00A741F7"/>
    <w:rsid w:val="00A74233"/>
    <w:rsid w:val="00A742A5"/>
    <w:rsid w:val="00A742BC"/>
    <w:rsid w:val="00A742D8"/>
    <w:rsid w:val="00A74324"/>
    <w:rsid w:val="00A74354"/>
    <w:rsid w:val="00A7436B"/>
    <w:rsid w:val="00A74408"/>
    <w:rsid w:val="00A74480"/>
    <w:rsid w:val="00A7449D"/>
    <w:rsid w:val="00A744B0"/>
    <w:rsid w:val="00A744B7"/>
    <w:rsid w:val="00A744BD"/>
    <w:rsid w:val="00A744CA"/>
    <w:rsid w:val="00A74521"/>
    <w:rsid w:val="00A7452D"/>
    <w:rsid w:val="00A74541"/>
    <w:rsid w:val="00A7457F"/>
    <w:rsid w:val="00A74597"/>
    <w:rsid w:val="00A745DC"/>
    <w:rsid w:val="00A745E1"/>
    <w:rsid w:val="00A745F2"/>
    <w:rsid w:val="00A74604"/>
    <w:rsid w:val="00A74612"/>
    <w:rsid w:val="00A74625"/>
    <w:rsid w:val="00A7462E"/>
    <w:rsid w:val="00A7469E"/>
    <w:rsid w:val="00A746AC"/>
    <w:rsid w:val="00A746D7"/>
    <w:rsid w:val="00A74775"/>
    <w:rsid w:val="00A7477A"/>
    <w:rsid w:val="00A7477D"/>
    <w:rsid w:val="00A747A1"/>
    <w:rsid w:val="00A747D9"/>
    <w:rsid w:val="00A747DA"/>
    <w:rsid w:val="00A747E4"/>
    <w:rsid w:val="00A747F1"/>
    <w:rsid w:val="00A74804"/>
    <w:rsid w:val="00A74807"/>
    <w:rsid w:val="00A74815"/>
    <w:rsid w:val="00A7487B"/>
    <w:rsid w:val="00A7487F"/>
    <w:rsid w:val="00A7489C"/>
    <w:rsid w:val="00A748A1"/>
    <w:rsid w:val="00A748AF"/>
    <w:rsid w:val="00A748DA"/>
    <w:rsid w:val="00A748FC"/>
    <w:rsid w:val="00A74925"/>
    <w:rsid w:val="00A74943"/>
    <w:rsid w:val="00A7495A"/>
    <w:rsid w:val="00A74962"/>
    <w:rsid w:val="00A749B5"/>
    <w:rsid w:val="00A749E0"/>
    <w:rsid w:val="00A749F9"/>
    <w:rsid w:val="00A74A09"/>
    <w:rsid w:val="00A74A0E"/>
    <w:rsid w:val="00A74A19"/>
    <w:rsid w:val="00A74A1F"/>
    <w:rsid w:val="00A74A78"/>
    <w:rsid w:val="00A74A7B"/>
    <w:rsid w:val="00A74A96"/>
    <w:rsid w:val="00A74AD9"/>
    <w:rsid w:val="00A74AE8"/>
    <w:rsid w:val="00A74B08"/>
    <w:rsid w:val="00A74B30"/>
    <w:rsid w:val="00A74B5F"/>
    <w:rsid w:val="00A74BA7"/>
    <w:rsid w:val="00A74BF4"/>
    <w:rsid w:val="00A74C19"/>
    <w:rsid w:val="00A74C20"/>
    <w:rsid w:val="00A74C38"/>
    <w:rsid w:val="00A74C43"/>
    <w:rsid w:val="00A74CB9"/>
    <w:rsid w:val="00A74D2F"/>
    <w:rsid w:val="00A74D43"/>
    <w:rsid w:val="00A74D44"/>
    <w:rsid w:val="00A74D51"/>
    <w:rsid w:val="00A74DED"/>
    <w:rsid w:val="00A74E33"/>
    <w:rsid w:val="00A74E44"/>
    <w:rsid w:val="00A74E6C"/>
    <w:rsid w:val="00A74E8D"/>
    <w:rsid w:val="00A74EDD"/>
    <w:rsid w:val="00A74EE1"/>
    <w:rsid w:val="00A74F32"/>
    <w:rsid w:val="00A74F39"/>
    <w:rsid w:val="00A74F73"/>
    <w:rsid w:val="00A74F8B"/>
    <w:rsid w:val="00A74FA6"/>
    <w:rsid w:val="00A74FC2"/>
    <w:rsid w:val="00A74FE1"/>
    <w:rsid w:val="00A74FFF"/>
    <w:rsid w:val="00A7503C"/>
    <w:rsid w:val="00A75079"/>
    <w:rsid w:val="00A750BF"/>
    <w:rsid w:val="00A750F6"/>
    <w:rsid w:val="00A75120"/>
    <w:rsid w:val="00A75188"/>
    <w:rsid w:val="00A751C4"/>
    <w:rsid w:val="00A752BF"/>
    <w:rsid w:val="00A752D7"/>
    <w:rsid w:val="00A7530F"/>
    <w:rsid w:val="00A75318"/>
    <w:rsid w:val="00A75329"/>
    <w:rsid w:val="00A7537F"/>
    <w:rsid w:val="00A75477"/>
    <w:rsid w:val="00A7549B"/>
    <w:rsid w:val="00A754BC"/>
    <w:rsid w:val="00A754C7"/>
    <w:rsid w:val="00A754D4"/>
    <w:rsid w:val="00A75538"/>
    <w:rsid w:val="00A7557C"/>
    <w:rsid w:val="00A7558D"/>
    <w:rsid w:val="00A755B5"/>
    <w:rsid w:val="00A755C1"/>
    <w:rsid w:val="00A755EA"/>
    <w:rsid w:val="00A75602"/>
    <w:rsid w:val="00A75607"/>
    <w:rsid w:val="00A75633"/>
    <w:rsid w:val="00A756B7"/>
    <w:rsid w:val="00A756D9"/>
    <w:rsid w:val="00A756ED"/>
    <w:rsid w:val="00A75719"/>
    <w:rsid w:val="00A75762"/>
    <w:rsid w:val="00A75775"/>
    <w:rsid w:val="00A7578F"/>
    <w:rsid w:val="00A75793"/>
    <w:rsid w:val="00A75832"/>
    <w:rsid w:val="00A75853"/>
    <w:rsid w:val="00A758F4"/>
    <w:rsid w:val="00A75990"/>
    <w:rsid w:val="00A75A00"/>
    <w:rsid w:val="00A75A36"/>
    <w:rsid w:val="00A75A37"/>
    <w:rsid w:val="00A75A5D"/>
    <w:rsid w:val="00A75A8A"/>
    <w:rsid w:val="00A75AE1"/>
    <w:rsid w:val="00A75AFF"/>
    <w:rsid w:val="00A75B4F"/>
    <w:rsid w:val="00A75B59"/>
    <w:rsid w:val="00A75BC8"/>
    <w:rsid w:val="00A75BC9"/>
    <w:rsid w:val="00A75BD8"/>
    <w:rsid w:val="00A75BDF"/>
    <w:rsid w:val="00A75CB1"/>
    <w:rsid w:val="00A75CD6"/>
    <w:rsid w:val="00A75D62"/>
    <w:rsid w:val="00A75DA0"/>
    <w:rsid w:val="00A75DB5"/>
    <w:rsid w:val="00A75DC6"/>
    <w:rsid w:val="00A75E49"/>
    <w:rsid w:val="00A75E52"/>
    <w:rsid w:val="00A75E82"/>
    <w:rsid w:val="00A75E91"/>
    <w:rsid w:val="00A75EE0"/>
    <w:rsid w:val="00A75EF4"/>
    <w:rsid w:val="00A75F30"/>
    <w:rsid w:val="00A75F39"/>
    <w:rsid w:val="00A75F44"/>
    <w:rsid w:val="00A75F45"/>
    <w:rsid w:val="00A75F83"/>
    <w:rsid w:val="00A75FA3"/>
    <w:rsid w:val="00A76037"/>
    <w:rsid w:val="00A760DD"/>
    <w:rsid w:val="00A76118"/>
    <w:rsid w:val="00A7611C"/>
    <w:rsid w:val="00A76180"/>
    <w:rsid w:val="00A76226"/>
    <w:rsid w:val="00A762F0"/>
    <w:rsid w:val="00A76314"/>
    <w:rsid w:val="00A76327"/>
    <w:rsid w:val="00A76341"/>
    <w:rsid w:val="00A7639A"/>
    <w:rsid w:val="00A763BB"/>
    <w:rsid w:val="00A763F8"/>
    <w:rsid w:val="00A7640C"/>
    <w:rsid w:val="00A76433"/>
    <w:rsid w:val="00A76435"/>
    <w:rsid w:val="00A7645D"/>
    <w:rsid w:val="00A764BE"/>
    <w:rsid w:val="00A764CE"/>
    <w:rsid w:val="00A7651F"/>
    <w:rsid w:val="00A76568"/>
    <w:rsid w:val="00A76593"/>
    <w:rsid w:val="00A765B5"/>
    <w:rsid w:val="00A765E1"/>
    <w:rsid w:val="00A7664F"/>
    <w:rsid w:val="00A76667"/>
    <w:rsid w:val="00A7667B"/>
    <w:rsid w:val="00A76696"/>
    <w:rsid w:val="00A766A1"/>
    <w:rsid w:val="00A766B5"/>
    <w:rsid w:val="00A766F4"/>
    <w:rsid w:val="00A76703"/>
    <w:rsid w:val="00A76709"/>
    <w:rsid w:val="00A76817"/>
    <w:rsid w:val="00A7682F"/>
    <w:rsid w:val="00A768DC"/>
    <w:rsid w:val="00A7694E"/>
    <w:rsid w:val="00A76974"/>
    <w:rsid w:val="00A76A09"/>
    <w:rsid w:val="00A76AE4"/>
    <w:rsid w:val="00A76AED"/>
    <w:rsid w:val="00A76B0E"/>
    <w:rsid w:val="00A76C72"/>
    <w:rsid w:val="00A76C76"/>
    <w:rsid w:val="00A76C97"/>
    <w:rsid w:val="00A76D50"/>
    <w:rsid w:val="00A76D92"/>
    <w:rsid w:val="00A76DA0"/>
    <w:rsid w:val="00A76DE3"/>
    <w:rsid w:val="00A76E22"/>
    <w:rsid w:val="00A76E35"/>
    <w:rsid w:val="00A76E76"/>
    <w:rsid w:val="00A76E85"/>
    <w:rsid w:val="00A76F0D"/>
    <w:rsid w:val="00A76F3F"/>
    <w:rsid w:val="00A76F64"/>
    <w:rsid w:val="00A76F79"/>
    <w:rsid w:val="00A76F8A"/>
    <w:rsid w:val="00A77027"/>
    <w:rsid w:val="00A77061"/>
    <w:rsid w:val="00A770DA"/>
    <w:rsid w:val="00A770DC"/>
    <w:rsid w:val="00A770F1"/>
    <w:rsid w:val="00A770FB"/>
    <w:rsid w:val="00A7712D"/>
    <w:rsid w:val="00A77136"/>
    <w:rsid w:val="00A77161"/>
    <w:rsid w:val="00A77165"/>
    <w:rsid w:val="00A77171"/>
    <w:rsid w:val="00A77173"/>
    <w:rsid w:val="00A771B7"/>
    <w:rsid w:val="00A771D2"/>
    <w:rsid w:val="00A771EB"/>
    <w:rsid w:val="00A771FD"/>
    <w:rsid w:val="00A7720F"/>
    <w:rsid w:val="00A7722D"/>
    <w:rsid w:val="00A772C3"/>
    <w:rsid w:val="00A77302"/>
    <w:rsid w:val="00A77315"/>
    <w:rsid w:val="00A77337"/>
    <w:rsid w:val="00A773C6"/>
    <w:rsid w:val="00A773C7"/>
    <w:rsid w:val="00A77446"/>
    <w:rsid w:val="00A7746B"/>
    <w:rsid w:val="00A7748F"/>
    <w:rsid w:val="00A774AA"/>
    <w:rsid w:val="00A774B8"/>
    <w:rsid w:val="00A774E5"/>
    <w:rsid w:val="00A774F9"/>
    <w:rsid w:val="00A77550"/>
    <w:rsid w:val="00A77593"/>
    <w:rsid w:val="00A776DC"/>
    <w:rsid w:val="00A77768"/>
    <w:rsid w:val="00A77791"/>
    <w:rsid w:val="00A777AA"/>
    <w:rsid w:val="00A778EC"/>
    <w:rsid w:val="00A77924"/>
    <w:rsid w:val="00A77941"/>
    <w:rsid w:val="00A77987"/>
    <w:rsid w:val="00A77999"/>
    <w:rsid w:val="00A779CC"/>
    <w:rsid w:val="00A77A15"/>
    <w:rsid w:val="00A77A24"/>
    <w:rsid w:val="00A77A4E"/>
    <w:rsid w:val="00A77AA1"/>
    <w:rsid w:val="00A77AD6"/>
    <w:rsid w:val="00A77AEB"/>
    <w:rsid w:val="00A77B45"/>
    <w:rsid w:val="00A77B5E"/>
    <w:rsid w:val="00A77B6E"/>
    <w:rsid w:val="00A77B8D"/>
    <w:rsid w:val="00A77B9F"/>
    <w:rsid w:val="00A77C05"/>
    <w:rsid w:val="00A77C8B"/>
    <w:rsid w:val="00A77C9C"/>
    <w:rsid w:val="00A77CB3"/>
    <w:rsid w:val="00A77CC0"/>
    <w:rsid w:val="00A77CEE"/>
    <w:rsid w:val="00A77D01"/>
    <w:rsid w:val="00A77D3C"/>
    <w:rsid w:val="00A77D62"/>
    <w:rsid w:val="00A77E5F"/>
    <w:rsid w:val="00A77E98"/>
    <w:rsid w:val="00A77EAA"/>
    <w:rsid w:val="00A77F91"/>
    <w:rsid w:val="00A8007B"/>
    <w:rsid w:val="00A800A6"/>
    <w:rsid w:val="00A800B9"/>
    <w:rsid w:val="00A800C7"/>
    <w:rsid w:val="00A800FA"/>
    <w:rsid w:val="00A8018B"/>
    <w:rsid w:val="00A80245"/>
    <w:rsid w:val="00A80257"/>
    <w:rsid w:val="00A8026C"/>
    <w:rsid w:val="00A80288"/>
    <w:rsid w:val="00A80294"/>
    <w:rsid w:val="00A802FE"/>
    <w:rsid w:val="00A803FC"/>
    <w:rsid w:val="00A8042F"/>
    <w:rsid w:val="00A80492"/>
    <w:rsid w:val="00A804F5"/>
    <w:rsid w:val="00A80512"/>
    <w:rsid w:val="00A80521"/>
    <w:rsid w:val="00A805AA"/>
    <w:rsid w:val="00A805E8"/>
    <w:rsid w:val="00A8065D"/>
    <w:rsid w:val="00A80670"/>
    <w:rsid w:val="00A806F1"/>
    <w:rsid w:val="00A80717"/>
    <w:rsid w:val="00A80722"/>
    <w:rsid w:val="00A80725"/>
    <w:rsid w:val="00A80739"/>
    <w:rsid w:val="00A80746"/>
    <w:rsid w:val="00A8075A"/>
    <w:rsid w:val="00A807A0"/>
    <w:rsid w:val="00A807C8"/>
    <w:rsid w:val="00A807EE"/>
    <w:rsid w:val="00A80818"/>
    <w:rsid w:val="00A8084F"/>
    <w:rsid w:val="00A8087D"/>
    <w:rsid w:val="00A808B4"/>
    <w:rsid w:val="00A80912"/>
    <w:rsid w:val="00A80945"/>
    <w:rsid w:val="00A80992"/>
    <w:rsid w:val="00A8099E"/>
    <w:rsid w:val="00A809FA"/>
    <w:rsid w:val="00A80A7D"/>
    <w:rsid w:val="00A80AB4"/>
    <w:rsid w:val="00A80AD3"/>
    <w:rsid w:val="00A80B01"/>
    <w:rsid w:val="00A80B12"/>
    <w:rsid w:val="00A80B4E"/>
    <w:rsid w:val="00A80BD6"/>
    <w:rsid w:val="00A80C24"/>
    <w:rsid w:val="00A80C3C"/>
    <w:rsid w:val="00A80C3F"/>
    <w:rsid w:val="00A80C58"/>
    <w:rsid w:val="00A80C89"/>
    <w:rsid w:val="00A80D09"/>
    <w:rsid w:val="00A80D14"/>
    <w:rsid w:val="00A80D38"/>
    <w:rsid w:val="00A80D72"/>
    <w:rsid w:val="00A80DDD"/>
    <w:rsid w:val="00A80DF3"/>
    <w:rsid w:val="00A80E05"/>
    <w:rsid w:val="00A80E25"/>
    <w:rsid w:val="00A80E55"/>
    <w:rsid w:val="00A80E9D"/>
    <w:rsid w:val="00A80ED5"/>
    <w:rsid w:val="00A80EF3"/>
    <w:rsid w:val="00A80EF9"/>
    <w:rsid w:val="00A80EFD"/>
    <w:rsid w:val="00A80FAB"/>
    <w:rsid w:val="00A80FAD"/>
    <w:rsid w:val="00A80FCD"/>
    <w:rsid w:val="00A810F2"/>
    <w:rsid w:val="00A8114D"/>
    <w:rsid w:val="00A81167"/>
    <w:rsid w:val="00A811AA"/>
    <w:rsid w:val="00A811DF"/>
    <w:rsid w:val="00A81219"/>
    <w:rsid w:val="00A8123B"/>
    <w:rsid w:val="00A81247"/>
    <w:rsid w:val="00A8131C"/>
    <w:rsid w:val="00A8132A"/>
    <w:rsid w:val="00A8138D"/>
    <w:rsid w:val="00A8138E"/>
    <w:rsid w:val="00A8139B"/>
    <w:rsid w:val="00A813A3"/>
    <w:rsid w:val="00A813B0"/>
    <w:rsid w:val="00A813B3"/>
    <w:rsid w:val="00A813E6"/>
    <w:rsid w:val="00A81406"/>
    <w:rsid w:val="00A81416"/>
    <w:rsid w:val="00A8142C"/>
    <w:rsid w:val="00A81458"/>
    <w:rsid w:val="00A8149E"/>
    <w:rsid w:val="00A814D1"/>
    <w:rsid w:val="00A814D4"/>
    <w:rsid w:val="00A8152F"/>
    <w:rsid w:val="00A81565"/>
    <w:rsid w:val="00A81588"/>
    <w:rsid w:val="00A81593"/>
    <w:rsid w:val="00A815A9"/>
    <w:rsid w:val="00A81662"/>
    <w:rsid w:val="00A8167E"/>
    <w:rsid w:val="00A816FA"/>
    <w:rsid w:val="00A81740"/>
    <w:rsid w:val="00A8176D"/>
    <w:rsid w:val="00A817F9"/>
    <w:rsid w:val="00A818A1"/>
    <w:rsid w:val="00A818D0"/>
    <w:rsid w:val="00A8190F"/>
    <w:rsid w:val="00A81915"/>
    <w:rsid w:val="00A81943"/>
    <w:rsid w:val="00A81961"/>
    <w:rsid w:val="00A81963"/>
    <w:rsid w:val="00A8198B"/>
    <w:rsid w:val="00A819A8"/>
    <w:rsid w:val="00A819AA"/>
    <w:rsid w:val="00A819E9"/>
    <w:rsid w:val="00A819FB"/>
    <w:rsid w:val="00A81A27"/>
    <w:rsid w:val="00A81A81"/>
    <w:rsid w:val="00A81A8E"/>
    <w:rsid w:val="00A81AB5"/>
    <w:rsid w:val="00A81AB9"/>
    <w:rsid w:val="00A81B8D"/>
    <w:rsid w:val="00A81B97"/>
    <w:rsid w:val="00A81BE7"/>
    <w:rsid w:val="00A81C04"/>
    <w:rsid w:val="00A81C5E"/>
    <w:rsid w:val="00A81C61"/>
    <w:rsid w:val="00A81C73"/>
    <w:rsid w:val="00A81C9D"/>
    <w:rsid w:val="00A81D34"/>
    <w:rsid w:val="00A81D40"/>
    <w:rsid w:val="00A81DC2"/>
    <w:rsid w:val="00A81E4E"/>
    <w:rsid w:val="00A81E60"/>
    <w:rsid w:val="00A81EED"/>
    <w:rsid w:val="00A81F1F"/>
    <w:rsid w:val="00A81F23"/>
    <w:rsid w:val="00A81F27"/>
    <w:rsid w:val="00A81F2D"/>
    <w:rsid w:val="00A81F5B"/>
    <w:rsid w:val="00A81FFD"/>
    <w:rsid w:val="00A82027"/>
    <w:rsid w:val="00A8208F"/>
    <w:rsid w:val="00A821DF"/>
    <w:rsid w:val="00A821ED"/>
    <w:rsid w:val="00A821F7"/>
    <w:rsid w:val="00A8220B"/>
    <w:rsid w:val="00A8229E"/>
    <w:rsid w:val="00A822C3"/>
    <w:rsid w:val="00A82312"/>
    <w:rsid w:val="00A82342"/>
    <w:rsid w:val="00A82361"/>
    <w:rsid w:val="00A8238E"/>
    <w:rsid w:val="00A8239B"/>
    <w:rsid w:val="00A82410"/>
    <w:rsid w:val="00A8245E"/>
    <w:rsid w:val="00A8247A"/>
    <w:rsid w:val="00A82489"/>
    <w:rsid w:val="00A824B7"/>
    <w:rsid w:val="00A824BD"/>
    <w:rsid w:val="00A824EB"/>
    <w:rsid w:val="00A824F4"/>
    <w:rsid w:val="00A82549"/>
    <w:rsid w:val="00A82574"/>
    <w:rsid w:val="00A8258D"/>
    <w:rsid w:val="00A825D0"/>
    <w:rsid w:val="00A82687"/>
    <w:rsid w:val="00A82688"/>
    <w:rsid w:val="00A82702"/>
    <w:rsid w:val="00A82735"/>
    <w:rsid w:val="00A8277A"/>
    <w:rsid w:val="00A827E9"/>
    <w:rsid w:val="00A8284A"/>
    <w:rsid w:val="00A82861"/>
    <w:rsid w:val="00A8286C"/>
    <w:rsid w:val="00A828A6"/>
    <w:rsid w:val="00A828C4"/>
    <w:rsid w:val="00A8295E"/>
    <w:rsid w:val="00A8299E"/>
    <w:rsid w:val="00A829AD"/>
    <w:rsid w:val="00A829F2"/>
    <w:rsid w:val="00A829F7"/>
    <w:rsid w:val="00A82A85"/>
    <w:rsid w:val="00A82A98"/>
    <w:rsid w:val="00A82B07"/>
    <w:rsid w:val="00A82BA8"/>
    <w:rsid w:val="00A82BB1"/>
    <w:rsid w:val="00A82BBA"/>
    <w:rsid w:val="00A82BCE"/>
    <w:rsid w:val="00A82BEC"/>
    <w:rsid w:val="00A82BFA"/>
    <w:rsid w:val="00A82C10"/>
    <w:rsid w:val="00A82C13"/>
    <w:rsid w:val="00A82C72"/>
    <w:rsid w:val="00A82CB9"/>
    <w:rsid w:val="00A82CDB"/>
    <w:rsid w:val="00A82D28"/>
    <w:rsid w:val="00A82D34"/>
    <w:rsid w:val="00A82D99"/>
    <w:rsid w:val="00A82D9A"/>
    <w:rsid w:val="00A82DC5"/>
    <w:rsid w:val="00A82DD3"/>
    <w:rsid w:val="00A82E17"/>
    <w:rsid w:val="00A82EE0"/>
    <w:rsid w:val="00A82EE1"/>
    <w:rsid w:val="00A82F37"/>
    <w:rsid w:val="00A82F49"/>
    <w:rsid w:val="00A82FB1"/>
    <w:rsid w:val="00A82FF2"/>
    <w:rsid w:val="00A83055"/>
    <w:rsid w:val="00A830B7"/>
    <w:rsid w:val="00A830BB"/>
    <w:rsid w:val="00A830C3"/>
    <w:rsid w:val="00A830CF"/>
    <w:rsid w:val="00A830F7"/>
    <w:rsid w:val="00A83105"/>
    <w:rsid w:val="00A83138"/>
    <w:rsid w:val="00A8313A"/>
    <w:rsid w:val="00A831C3"/>
    <w:rsid w:val="00A831DB"/>
    <w:rsid w:val="00A83276"/>
    <w:rsid w:val="00A83279"/>
    <w:rsid w:val="00A8337D"/>
    <w:rsid w:val="00A8338A"/>
    <w:rsid w:val="00A833A1"/>
    <w:rsid w:val="00A833BF"/>
    <w:rsid w:val="00A833C9"/>
    <w:rsid w:val="00A8340A"/>
    <w:rsid w:val="00A83424"/>
    <w:rsid w:val="00A834EB"/>
    <w:rsid w:val="00A8357D"/>
    <w:rsid w:val="00A835AC"/>
    <w:rsid w:val="00A835FD"/>
    <w:rsid w:val="00A8360A"/>
    <w:rsid w:val="00A8360E"/>
    <w:rsid w:val="00A8363D"/>
    <w:rsid w:val="00A836D5"/>
    <w:rsid w:val="00A83707"/>
    <w:rsid w:val="00A83714"/>
    <w:rsid w:val="00A8376A"/>
    <w:rsid w:val="00A837D8"/>
    <w:rsid w:val="00A837FD"/>
    <w:rsid w:val="00A83868"/>
    <w:rsid w:val="00A83885"/>
    <w:rsid w:val="00A838C8"/>
    <w:rsid w:val="00A838DC"/>
    <w:rsid w:val="00A83930"/>
    <w:rsid w:val="00A8394B"/>
    <w:rsid w:val="00A83955"/>
    <w:rsid w:val="00A83973"/>
    <w:rsid w:val="00A839BB"/>
    <w:rsid w:val="00A839F2"/>
    <w:rsid w:val="00A83A0D"/>
    <w:rsid w:val="00A83A51"/>
    <w:rsid w:val="00A83AA3"/>
    <w:rsid w:val="00A83AA4"/>
    <w:rsid w:val="00A83AED"/>
    <w:rsid w:val="00A83B3D"/>
    <w:rsid w:val="00A83B4D"/>
    <w:rsid w:val="00A83B70"/>
    <w:rsid w:val="00A83BA2"/>
    <w:rsid w:val="00A83BAD"/>
    <w:rsid w:val="00A83BCE"/>
    <w:rsid w:val="00A83C1A"/>
    <w:rsid w:val="00A83C32"/>
    <w:rsid w:val="00A83C59"/>
    <w:rsid w:val="00A83C6B"/>
    <w:rsid w:val="00A83C6F"/>
    <w:rsid w:val="00A83C96"/>
    <w:rsid w:val="00A83CB1"/>
    <w:rsid w:val="00A83CC0"/>
    <w:rsid w:val="00A83CE0"/>
    <w:rsid w:val="00A83D62"/>
    <w:rsid w:val="00A83DB0"/>
    <w:rsid w:val="00A83E39"/>
    <w:rsid w:val="00A83E75"/>
    <w:rsid w:val="00A83E92"/>
    <w:rsid w:val="00A83EAA"/>
    <w:rsid w:val="00A83ECB"/>
    <w:rsid w:val="00A83EE8"/>
    <w:rsid w:val="00A83F28"/>
    <w:rsid w:val="00A83F4C"/>
    <w:rsid w:val="00A83F4D"/>
    <w:rsid w:val="00A84007"/>
    <w:rsid w:val="00A84069"/>
    <w:rsid w:val="00A84096"/>
    <w:rsid w:val="00A840CA"/>
    <w:rsid w:val="00A840E2"/>
    <w:rsid w:val="00A840E6"/>
    <w:rsid w:val="00A84124"/>
    <w:rsid w:val="00A84127"/>
    <w:rsid w:val="00A84185"/>
    <w:rsid w:val="00A84241"/>
    <w:rsid w:val="00A8429A"/>
    <w:rsid w:val="00A8433E"/>
    <w:rsid w:val="00A8436A"/>
    <w:rsid w:val="00A84377"/>
    <w:rsid w:val="00A843FF"/>
    <w:rsid w:val="00A84490"/>
    <w:rsid w:val="00A84495"/>
    <w:rsid w:val="00A844C0"/>
    <w:rsid w:val="00A844D3"/>
    <w:rsid w:val="00A84508"/>
    <w:rsid w:val="00A845E8"/>
    <w:rsid w:val="00A846CC"/>
    <w:rsid w:val="00A8472A"/>
    <w:rsid w:val="00A84733"/>
    <w:rsid w:val="00A84746"/>
    <w:rsid w:val="00A84761"/>
    <w:rsid w:val="00A8477B"/>
    <w:rsid w:val="00A847AF"/>
    <w:rsid w:val="00A847B5"/>
    <w:rsid w:val="00A847FF"/>
    <w:rsid w:val="00A84887"/>
    <w:rsid w:val="00A84896"/>
    <w:rsid w:val="00A848C1"/>
    <w:rsid w:val="00A848FD"/>
    <w:rsid w:val="00A84904"/>
    <w:rsid w:val="00A8491E"/>
    <w:rsid w:val="00A8493B"/>
    <w:rsid w:val="00A84961"/>
    <w:rsid w:val="00A8498E"/>
    <w:rsid w:val="00A84A3F"/>
    <w:rsid w:val="00A84A72"/>
    <w:rsid w:val="00A84A80"/>
    <w:rsid w:val="00A84ACA"/>
    <w:rsid w:val="00A84AF8"/>
    <w:rsid w:val="00A84BBD"/>
    <w:rsid w:val="00A84C3D"/>
    <w:rsid w:val="00A84C41"/>
    <w:rsid w:val="00A84C5C"/>
    <w:rsid w:val="00A84CA5"/>
    <w:rsid w:val="00A84CAA"/>
    <w:rsid w:val="00A84CB6"/>
    <w:rsid w:val="00A84CEC"/>
    <w:rsid w:val="00A84D10"/>
    <w:rsid w:val="00A84D5F"/>
    <w:rsid w:val="00A84DC8"/>
    <w:rsid w:val="00A84DE3"/>
    <w:rsid w:val="00A84E1F"/>
    <w:rsid w:val="00A84E28"/>
    <w:rsid w:val="00A84E3D"/>
    <w:rsid w:val="00A84E46"/>
    <w:rsid w:val="00A84EE7"/>
    <w:rsid w:val="00A84EF7"/>
    <w:rsid w:val="00A84F52"/>
    <w:rsid w:val="00A84F54"/>
    <w:rsid w:val="00A84FAB"/>
    <w:rsid w:val="00A84FB0"/>
    <w:rsid w:val="00A85074"/>
    <w:rsid w:val="00A850C0"/>
    <w:rsid w:val="00A850E0"/>
    <w:rsid w:val="00A850E2"/>
    <w:rsid w:val="00A8513C"/>
    <w:rsid w:val="00A85171"/>
    <w:rsid w:val="00A8518A"/>
    <w:rsid w:val="00A851D6"/>
    <w:rsid w:val="00A8521E"/>
    <w:rsid w:val="00A85272"/>
    <w:rsid w:val="00A8527A"/>
    <w:rsid w:val="00A852C7"/>
    <w:rsid w:val="00A85328"/>
    <w:rsid w:val="00A8535F"/>
    <w:rsid w:val="00A853D1"/>
    <w:rsid w:val="00A853EC"/>
    <w:rsid w:val="00A853EF"/>
    <w:rsid w:val="00A85408"/>
    <w:rsid w:val="00A85458"/>
    <w:rsid w:val="00A8546E"/>
    <w:rsid w:val="00A85478"/>
    <w:rsid w:val="00A854CF"/>
    <w:rsid w:val="00A854E8"/>
    <w:rsid w:val="00A854FA"/>
    <w:rsid w:val="00A85518"/>
    <w:rsid w:val="00A8553E"/>
    <w:rsid w:val="00A85559"/>
    <w:rsid w:val="00A855D7"/>
    <w:rsid w:val="00A85618"/>
    <w:rsid w:val="00A8563F"/>
    <w:rsid w:val="00A85699"/>
    <w:rsid w:val="00A8573F"/>
    <w:rsid w:val="00A85775"/>
    <w:rsid w:val="00A85822"/>
    <w:rsid w:val="00A85870"/>
    <w:rsid w:val="00A85876"/>
    <w:rsid w:val="00A85886"/>
    <w:rsid w:val="00A8589E"/>
    <w:rsid w:val="00A858B3"/>
    <w:rsid w:val="00A8591B"/>
    <w:rsid w:val="00A85967"/>
    <w:rsid w:val="00A85976"/>
    <w:rsid w:val="00A8598C"/>
    <w:rsid w:val="00A85A16"/>
    <w:rsid w:val="00A85A20"/>
    <w:rsid w:val="00A85A42"/>
    <w:rsid w:val="00A85A60"/>
    <w:rsid w:val="00A85B07"/>
    <w:rsid w:val="00A85B11"/>
    <w:rsid w:val="00A85B5B"/>
    <w:rsid w:val="00A85B68"/>
    <w:rsid w:val="00A85BCB"/>
    <w:rsid w:val="00A85BE8"/>
    <w:rsid w:val="00A85BF6"/>
    <w:rsid w:val="00A85C15"/>
    <w:rsid w:val="00A85C29"/>
    <w:rsid w:val="00A85C2B"/>
    <w:rsid w:val="00A85C8B"/>
    <w:rsid w:val="00A85CB7"/>
    <w:rsid w:val="00A85CF3"/>
    <w:rsid w:val="00A85D01"/>
    <w:rsid w:val="00A85D4E"/>
    <w:rsid w:val="00A85D81"/>
    <w:rsid w:val="00A85D83"/>
    <w:rsid w:val="00A85DFA"/>
    <w:rsid w:val="00A85E05"/>
    <w:rsid w:val="00A85E8C"/>
    <w:rsid w:val="00A85EA5"/>
    <w:rsid w:val="00A85EC4"/>
    <w:rsid w:val="00A85ED9"/>
    <w:rsid w:val="00A85EF4"/>
    <w:rsid w:val="00A85EFE"/>
    <w:rsid w:val="00A85F2F"/>
    <w:rsid w:val="00A85F45"/>
    <w:rsid w:val="00A85F59"/>
    <w:rsid w:val="00A85F97"/>
    <w:rsid w:val="00A85FC4"/>
    <w:rsid w:val="00A85FE7"/>
    <w:rsid w:val="00A85FF5"/>
    <w:rsid w:val="00A86011"/>
    <w:rsid w:val="00A8606C"/>
    <w:rsid w:val="00A860CE"/>
    <w:rsid w:val="00A860F3"/>
    <w:rsid w:val="00A860F8"/>
    <w:rsid w:val="00A86119"/>
    <w:rsid w:val="00A86139"/>
    <w:rsid w:val="00A86166"/>
    <w:rsid w:val="00A86187"/>
    <w:rsid w:val="00A861E0"/>
    <w:rsid w:val="00A861E2"/>
    <w:rsid w:val="00A86220"/>
    <w:rsid w:val="00A86221"/>
    <w:rsid w:val="00A8626E"/>
    <w:rsid w:val="00A862F4"/>
    <w:rsid w:val="00A86300"/>
    <w:rsid w:val="00A86302"/>
    <w:rsid w:val="00A863A0"/>
    <w:rsid w:val="00A863BF"/>
    <w:rsid w:val="00A863F1"/>
    <w:rsid w:val="00A86444"/>
    <w:rsid w:val="00A8649F"/>
    <w:rsid w:val="00A864AA"/>
    <w:rsid w:val="00A864F1"/>
    <w:rsid w:val="00A86510"/>
    <w:rsid w:val="00A865C6"/>
    <w:rsid w:val="00A865CF"/>
    <w:rsid w:val="00A865E1"/>
    <w:rsid w:val="00A86669"/>
    <w:rsid w:val="00A8668B"/>
    <w:rsid w:val="00A866A1"/>
    <w:rsid w:val="00A866C2"/>
    <w:rsid w:val="00A8673D"/>
    <w:rsid w:val="00A8674D"/>
    <w:rsid w:val="00A867B4"/>
    <w:rsid w:val="00A867E6"/>
    <w:rsid w:val="00A86816"/>
    <w:rsid w:val="00A8683E"/>
    <w:rsid w:val="00A868B7"/>
    <w:rsid w:val="00A86909"/>
    <w:rsid w:val="00A8692A"/>
    <w:rsid w:val="00A86937"/>
    <w:rsid w:val="00A86951"/>
    <w:rsid w:val="00A8695D"/>
    <w:rsid w:val="00A869BF"/>
    <w:rsid w:val="00A869CF"/>
    <w:rsid w:val="00A86A25"/>
    <w:rsid w:val="00A86A5C"/>
    <w:rsid w:val="00A86A72"/>
    <w:rsid w:val="00A86A90"/>
    <w:rsid w:val="00A86AA4"/>
    <w:rsid w:val="00A86B33"/>
    <w:rsid w:val="00A86BC1"/>
    <w:rsid w:val="00A86C0A"/>
    <w:rsid w:val="00A86C36"/>
    <w:rsid w:val="00A86C37"/>
    <w:rsid w:val="00A86C4D"/>
    <w:rsid w:val="00A86CB6"/>
    <w:rsid w:val="00A86CE6"/>
    <w:rsid w:val="00A86D9E"/>
    <w:rsid w:val="00A86DB2"/>
    <w:rsid w:val="00A86DC4"/>
    <w:rsid w:val="00A86DD8"/>
    <w:rsid w:val="00A86DE8"/>
    <w:rsid w:val="00A86DEA"/>
    <w:rsid w:val="00A86DF0"/>
    <w:rsid w:val="00A86E01"/>
    <w:rsid w:val="00A86E3F"/>
    <w:rsid w:val="00A86E6D"/>
    <w:rsid w:val="00A86ED1"/>
    <w:rsid w:val="00A86ED5"/>
    <w:rsid w:val="00A86F1B"/>
    <w:rsid w:val="00A86F9C"/>
    <w:rsid w:val="00A86FE4"/>
    <w:rsid w:val="00A87042"/>
    <w:rsid w:val="00A8706A"/>
    <w:rsid w:val="00A87091"/>
    <w:rsid w:val="00A87122"/>
    <w:rsid w:val="00A87132"/>
    <w:rsid w:val="00A87155"/>
    <w:rsid w:val="00A8719E"/>
    <w:rsid w:val="00A871B5"/>
    <w:rsid w:val="00A871D4"/>
    <w:rsid w:val="00A871D9"/>
    <w:rsid w:val="00A871E7"/>
    <w:rsid w:val="00A87249"/>
    <w:rsid w:val="00A872A2"/>
    <w:rsid w:val="00A872BF"/>
    <w:rsid w:val="00A872DB"/>
    <w:rsid w:val="00A87307"/>
    <w:rsid w:val="00A87357"/>
    <w:rsid w:val="00A8735D"/>
    <w:rsid w:val="00A873EC"/>
    <w:rsid w:val="00A87446"/>
    <w:rsid w:val="00A8745E"/>
    <w:rsid w:val="00A87467"/>
    <w:rsid w:val="00A87496"/>
    <w:rsid w:val="00A874A5"/>
    <w:rsid w:val="00A87501"/>
    <w:rsid w:val="00A875C1"/>
    <w:rsid w:val="00A87601"/>
    <w:rsid w:val="00A8760D"/>
    <w:rsid w:val="00A876BD"/>
    <w:rsid w:val="00A876F5"/>
    <w:rsid w:val="00A87703"/>
    <w:rsid w:val="00A87771"/>
    <w:rsid w:val="00A877FC"/>
    <w:rsid w:val="00A87810"/>
    <w:rsid w:val="00A8782E"/>
    <w:rsid w:val="00A8788B"/>
    <w:rsid w:val="00A878D4"/>
    <w:rsid w:val="00A878DE"/>
    <w:rsid w:val="00A8791A"/>
    <w:rsid w:val="00A879AB"/>
    <w:rsid w:val="00A879E3"/>
    <w:rsid w:val="00A87A02"/>
    <w:rsid w:val="00A87A5B"/>
    <w:rsid w:val="00A87A7A"/>
    <w:rsid w:val="00A87A96"/>
    <w:rsid w:val="00A87AF3"/>
    <w:rsid w:val="00A87B07"/>
    <w:rsid w:val="00A87B13"/>
    <w:rsid w:val="00A87B37"/>
    <w:rsid w:val="00A87BA0"/>
    <w:rsid w:val="00A87BD5"/>
    <w:rsid w:val="00A87BDA"/>
    <w:rsid w:val="00A87BEB"/>
    <w:rsid w:val="00A87C68"/>
    <w:rsid w:val="00A87C71"/>
    <w:rsid w:val="00A87C81"/>
    <w:rsid w:val="00A87CC8"/>
    <w:rsid w:val="00A87CF9"/>
    <w:rsid w:val="00A87D3F"/>
    <w:rsid w:val="00A87D42"/>
    <w:rsid w:val="00A87D91"/>
    <w:rsid w:val="00A87D9D"/>
    <w:rsid w:val="00A87E2C"/>
    <w:rsid w:val="00A87E58"/>
    <w:rsid w:val="00A87E59"/>
    <w:rsid w:val="00A87E69"/>
    <w:rsid w:val="00A87EAA"/>
    <w:rsid w:val="00A87EBC"/>
    <w:rsid w:val="00A87ED1"/>
    <w:rsid w:val="00A87EDF"/>
    <w:rsid w:val="00A87EEB"/>
    <w:rsid w:val="00A87F1C"/>
    <w:rsid w:val="00A87F40"/>
    <w:rsid w:val="00A87F7A"/>
    <w:rsid w:val="00A87F7E"/>
    <w:rsid w:val="00A9001A"/>
    <w:rsid w:val="00A90028"/>
    <w:rsid w:val="00A90093"/>
    <w:rsid w:val="00A9009D"/>
    <w:rsid w:val="00A900A0"/>
    <w:rsid w:val="00A900CC"/>
    <w:rsid w:val="00A90121"/>
    <w:rsid w:val="00A9015A"/>
    <w:rsid w:val="00A90164"/>
    <w:rsid w:val="00A90183"/>
    <w:rsid w:val="00A901A0"/>
    <w:rsid w:val="00A901C4"/>
    <w:rsid w:val="00A901CE"/>
    <w:rsid w:val="00A901D4"/>
    <w:rsid w:val="00A90215"/>
    <w:rsid w:val="00A90240"/>
    <w:rsid w:val="00A90286"/>
    <w:rsid w:val="00A902AF"/>
    <w:rsid w:val="00A902CE"/>
    <w:rsid w:val="00A902D9"/>
    <w:rsid w:val="00A90345"/>
    <w:rsid w:val="00A90365"/>
    <w:rsid w:val="00A9038C"/>
    <w:rsid w:val="00A903A8"/>
    <w:rsid w:val="00A903B2"/>
    <w:rsid w:val="00A90409"/>
    <w:rsid w:val="00A90412"/>
    <w:rsid w:val="00A90414"/>
    <w:rsid w:val="00A9046E"/>
    <w:rsid w:val="00A90476"/>
    <w:rsid w:val="00A90493"/>
    <w:rsid w:val="00A904EF"/>
    <w:rsid w:val="00A90509"/>
    <w:rsid w:val="00A90513"/>
    <w:rsid w:val="00A90545"/>
    <w:rsid w:val="00A905AF"/>
    <w:rsid w:val="00A905F1"/>
    <w:rsid w:val="00A9065E"/>
    <w:rsid w:val="00A90735"/>
    <w:rsid w:val="00A90746"/>
    <w:rsid w:val="00A9074A"/>
    <w:rsid w:val="00A90764"/>
    <w:rsid w:val="00A90766"/>
    <w:rsid w:val="00A90783"/>
    <w:rsid w:val="00A907E7"/>
    <w:rsid w:val="00A9080A"/>
    <w:rsid w:val="00A90827"/>
    <w:rsid w:val="00A9083F"/>
    <w:rsid w:val="00A90864"/>
    <w:rsid w:val="00A9087F"/>
    <w:rsid w:val="00A908A2"/>
    <w:rsid w:val="00A908B6"/>
    <w:rsid w:val="00A908C2"/>
    <w:rsid w:val="00A908CE"/>
    <w:rsid w:val="00A908FF"/>
    <w:rsid w:val="00A9091E"/>
    <w:rsid w:val="00A90978"/>
    <w:rsid w:val="00A909A9"/>
    <w:rsid w:val="00A909DE"/>
    <w:rsid w:val="00A90A02"/>
    <w:rsid w:val="00A90A15"/>
    <w:rsid w:val="00A90A76"/>
    <w:rsid w:val="00A90ABD"/>
    <w:rsid w:val="00A90B24"/>
    <w:rsid w:val="00A90B2B"/>
    <w:rsid w:val="00A90B43"/>
    <w:rsid w:val="00A90B62"/>
    <w:rsid w:val="00A90B83"/>
    <w:rsid w:val="00A90B90"/>
    <w:rsid w:val="00A90BA8"/>
    <w:rsid w:val="00A90BB3"/>
    <w:rsid w:val="00A90BD7"/>
    <w:rsid w:val="00A90C1D"/>
    <w:rsid w:val="00A90C26"/>
    <w:rsid w:val="00A90C54"/>
    <w:rsid w:val="00A90C67"/>
    <w:rsid w:val="00A90C86"/>
    <w:rsid w:val="00A90CDC"/>
    <w:rsid w:val="00A90D33"/>
    <w:rsid w:val="00A90D60"/>
    <w:rsid w:val="00A90D92"/>
    <w:rsid w:val="00A90D9A"/>
    <w:rsid w:val="00A90DAC"/>
    <w:rsid w:val="00A90DC1"/>
    <w:rsid w:val="00A90DF3"/>
    <w:rsid w:val="00A90E2C"/>
    <w:rsid w:val="00A90EDF"/>
    <w:rsid w:val="00A90EEC"/>
    <w:rsid w:val="00A90F31"/>
    <w:rsid w:val="00A90F51"/>
    <w:rsid w:val="00A90F53"/>
    <w:rsid w:val="00A90F56"/>
    <w:rsid w:val="00A90F69"/>
    <w:rsid w:val="00A90FD1"/>
    <w:rsid w:val="00A90FDA"/>
    <w:rsid w:val="00A9101D"/>
    <w:rsid w:val="00A91077"/>
    <w:rsid w:val="00A910A2"/>
    <w:rsid w:val="00A910D9"/>
    <w:rsid w:val="00A910E5"/>
    <w:rsid w:val="00A91145"/>
    <w:rsid w:val="00A91150"/>
    <w:rsid w:val="00A91188"/>
    <w:rsid w:val="00A91193"/>
    <w:rsid w:val="00A911DC"/>
    <w:rsid w:val="00A91208"/>
    <w:rsid w:val="00A91211"/>
    <w:rsid w:val="00A9122A"/>
    <w:rsid w:val="00A91245"/>
    <w:rsid w:val="00A91278"/>
    <w:rsid w:val="00A912A3"/>
    <w:rsid w:val="00A912AD"/>
    <w:rsid w:val="00A91301"/>
    <w:rsid w:val="00A91318"/>
    <w:rsid w:val="00A91320"/>
    <w:rsid w:val="00A91382"/>
    <w:rsid w:val="00A913C8"/>
    <w:rsid w:val="00A913EC"/>
    <w:rsid w:val="00A91408"/>
    <w:rsid w:val="00A9142F"/>
    <w:rsid w:val="00A91446"/>
    <w:rsid w:val="00A9147C"/>
    <w:rsid w:val="00A91484"/>
    <w:rsid w:val="00A91485"/>
    <w:rsid w:val="00A9150B"/>
    <w:rsid w:val="00A91511"/>
    <w:rsid w:val="00A91551"/>
    <w:rsid w:val="00A9155D"/>
    <w:rsid w:val="00A91576"/>
    <w:rsid w:val="00A91582"/>
    <w:rsid w:val="00A915B7"/>
    <w:rsid w:val="00A915C6"/>
    <w:rsid w:val="00A915CB"/>
    <w:rsid w:val="00A91678"/>
    <w:rsid w:val="00A91737"/>
    <w:rsid w:val="00A917EE"/>
    <w:rsid w:val="00A9181F"/>
    <w:rsid w:val="00A9183E"/>
    <w:rsid w:val="00A918EA"/>
    <w:rsid w:val="00A9190A"/>
    <w:rsid w:val="00A91930"/>
    <w:rsid w:val="00A9194C"/>
    <w:rsid w:val="00A91959"/>
    <w:rsid w:val="00A9195C"/>
    <w:rsid w:val="00A91998"/>
    <w:rsid w:val="00A919EA"/>
    <w:rsid w:val="00A91A0E"/>
    <w:rsid w:val="00A91A14"/>
    <w:rsid w:val="00A91A40"/>
    <w:rsid w:val="00A91A98"/>
    <w:rsid w:val="00A91AB0"/>
    <w:rsid w:val="00A91AD1"/>
    <w:rsid w:val="00A91AE2"/>
    <w:rsid w:val="00A91B03"/>
    <w:rsid w:val="00A91B0F"/>
    <w:rsid w:val="00A91B1D"/>
    <w:rsid w:val="00A91B36"/>
    <w:rsid w:val="00A91B4D"/>
    <w:rsid w:val="00A91B8A"/>
    <w:rsid w:val="00A91BA5"/>
    <w:rsid w:val="00A91BC6"/>
    <w:rsid w:val="00A91BEC"/>
    <w:rsid w:val="00A91C04"/>
    <w:rsid w:val="00A91C06"/>
    <w:rsid w:val="00A91C0A"/>
    <w:rsid w:val="00A91C53"/>
    <w:rsid w:val="00A91D0F"/>
    <w:rsid w:val="00A91D67"/>
    <w:rsid w:val="00A91D81"/>
    <w:rsid w:val="00A91D94"/>
    <w:rsid w:val="00A91DBC"/>
    <w:rsid w:val="00A91DFC"/>
    <w:rsid w:val="00A91E9B"/>
    <w:rsid w:val="00A91ED6"/>
    <w:rsid w:val="00A91F84"/>
    <w:rsid w:val="00A91FC1"/>
    <w:rsid w:val="00A91FE4"/>
    <w:rsid w:val="00A91FE8"/>
    <w:rsid w:val="00A9204A"/>
    <w:rsid w:val="00A92095"/>
    <w:rsid w:val="00A920C1"/>
    <w:rsid w:val="00A92106"/>
    <w:rsid w:val="00A9210E"/>
    <w:rsid w:val="00A9212D"/>
    <w:rsid w:val="00A9214A"/>
    <w:rsid w:val="00A92173"/>
    <w:rsid w:val="00A92186"/>
    <w:rsid w:val="00A92198"/>
    <w:rsid w:val="00A921AA"/>
    <w:rsid w:val="00A921C3"/>
    <w:rsid w:val="00A921C9"/>
    <w:rsid w:val="00A921F0"/>
    <w:rsid w:val="00A92273"/>
    <w:rsid w:val="00A922A1"/>
    <w:rsid w:val="00A922E5"/>
    <w:rsid w:val="00A9233A"/>
    <w:rsid w:val="00A92376"/>
    <w:rsid w:val="00A923A1"/>
    <w:rsid w:val="00A923F9"/>
    <w:rsid w:val="00A924CE"/>
    <w:rsid w:val="00A924F4"/>
    <w:rsid w:val="00A92559"/>
    <w:rsid w:val="00A9255F"/>
    <w:rsid w:val="00A92560"/>
    <w:rsid w:val="00A92578"/>
    <w:rsid w:val="00A925A8"/>
    <w:rsid w:val="00A925B3"/>
    <w:rsid w:val="00A925BB"/>
    <w:rsid w:val="00A925CA"/>
    <w:rsid w:val="00A925E8"/>
    <w:rsid w:val="00A9262F"/>
    <w:rsid w:val="00A926B0"/>
    <w:rsid w:val="00A926D2"/>
    <w:rsid w:val="00A9271D"/>
    <w:rsid w:val="00A92781"/>
    <w:rsid w:val="00A927B6"/>
    <w:rsid w:val="00A927CC"/>
    <w:rsid w:val="00A927F4"/>
    <w:rsid w:val="00A9280D"/>
    <w:rsid w:val="00A92824"/>
    <w:rsid w:val="00A9282B"/>
    <w:rsid w:val="00A9283D"/>
    <w:rsid w:val="00A928A6"/>
    <w:rsid w:val="00A928BD"/>
    <w:rsid w:val="00A9290B"/>
    <w:rsid w:val="00A92928"/>
    <w:rsid w:val="00A929A9"/>
    <w:rsid w:val="00A929E3"/>
    <w:rsid w:val="00A929EB"/>
    <w:rsid w:val="00A929F7"/>
    <w:rsid w:val="00A92A06"/>
    <w:rsid w:val="00A92A10"/>
    <w:rsid w:val="00A92A2B"/>
    <w:rsid w:val="00A92A49"/>
    <w:rsid w:val="00A92B0A"/>
    <w:rsid w:val="00A92B68"/>
    <w:rsid w:val="00A92B7A"/>
    <w:rsid w:val="00A92BA0"/>
    <w:rsid w:val="00A92BC5"/>
    <w:rsid w:val="00A92BD9"/>
    <w:rsid w:val="00A92BFC"/>
    <w:rsid w:val="00A92C49"/>
    <w:rsid w:val="00A92C70"/>
    <w:rsid w:val="00A92CF2"/>
    <w:rsid w:val="00A92D7E"/>
    <w:rsid w:val="00A92D8A"/>
    <w:rsid w:val="00A92E33"/>
    <w:rsid w:val="00A92E5E"/>
    <w:rsid w:val="00A92E73"/>
    <w:rsid w:val="00A92E7B"/>
    <w:rsid w:val="00A92ECA"/>
    <w:rsid w:val="00A92EDC"/>
    <w:rsid w:val="00A92EF8"/>
    <w:rsid w:val="00A92F76"/>
    <w:rsid w:val="00A92FA5"/>
    <w:rsid w:val="00A92FC1"/>
    <w:rsid w:val="00A92FC9"/>
    <w:rsid w:val="00A93008"/>
    <w:rsid w:val="00A9302D"/>
    <w:rsid w:val="00A93030"/>
    <w:rsid w:val="00A93032"/>
    <w:rsid w:val="00A93040"/>
    <w:rsid w:val="00A93055"/>
    <w:rsid w:val="00A93067"/>
    <w:rsid w:val="00A9307C"/>
    <w:rsid w:val="00A930C0"/>
    <w:rsid w:val="00A930D3"/>
    <w:rsid w:val="00A9313B"/>
    <w:rsid w:val="00A93149"/>
    <w:rsid w:val="00A9314D"/>
    <w:rsid w:val="00A93157"/>
    <w:rsid w:val="00A93170"/>
    <w:rsid w:val="00A931AA"/>
    <w:rsid w:val="00A931B3"/>
    <w:rsid w:val="00A931FE"/>
    <w:rsid w:val="00A93218"/>
    <w:rsid w:val="00A9324B"/>
    <w:rsid w:val="00A93263"/>
    <w:rsid w:val="00A93293"/>
    <w:rsid w:val="00A932A2"/>
    <w:rsid w:val="00A932BE"/>
    <w:rsid w:val="00A932DF"/>
    <w:rsid w:val="00A93322"/>
    <w:rsid w:val="00A9333B"/>
    <w:rsid w:val="00A93364"/>
    <w:rsid w:val="00A933D8"/>
    <w:rsid w:val="00A933FF"/>
    <w:rsid w:val="00A93401"/>
    <w:rsid w:val="00A9340E"/>
    <w:rsid w:val="00A9346A"/>
    <w:rsid w:val="00A934A7"/>
    <w:rsid w:val="00A934D9"/>
    <w:rsid w:val="00A934E2"/>
    <w:rsid w:val="00A93587"/>
    <w:rsid w:val="00A935A2"/>
    <w:rsid w:val="00A935A6"/>
    <w:rsid w:val="00A93629"/>
    <w:rsid w:val="00A93630"/>
    <w:rsid w:val="00A93648"/>
    <w:rsid w:val="00A936AA"/>
    <w:rsid w:val="00A936C6"/>
    <w:rsid w:val="00A9376D"/>
    <w:rsid w:val="00A93772"/>
    <w:rsid w:val="00A9377E"/>
    <w:rsid w:val="00A937D3"/>
    <w:rsid w:val="00A937E0"/>
    <w:rsid w:val="00A937FE"/>
    <w:rsid w:val="00A9384A"/>
    <w:rsid w:val="00A9389D"/>
    <w:rsid w:val="00A938AE"/>
    <w:rsid w:val="00A938BF"/>
    <w:rsid w:val="00A9398C"/>
    <w:rsid w:val="00A939C1"/>
    <w:rsid w:val="00A939E4"/>
    <w:rsid w:val="00A93A38"/>
    <w:rsid w:val="00A93A62"/>
    <w:rsid w:val="00A93A85"/>
    <w:rsid w:val="00A93A92"/>
    <w:rsid w:val="00A93AB6"/>
    <w:rsid w:val="00A93ABC"/>
    <w:rsid w:val="00A93AFF"/>
    <w:rsid w:val="00A93B08"/>
    <w:rsid w:val="00A93B9E"/>
    <w:rsid w:val="00A93BD5"/>
    <w:rsid w:val="00A93C12"/>
    <w:rsid w:val="00A93C19"/>
    <w:rsid w:val="00A93C53"/>
    <w:rsid w:val="00A93C9A"/>
    <w:rsid w:val="00A93CAC"/>
    <w:rsid w:val="00A93CC2"/>
    <w:rsid w:val="00A93D10"/>
    <w:rsid w:val="00A93D6A"/>
    <w:rsid w:val="00A93D9E"/>
    <w:rsid w:val="00A93DBF"/>
    <w:rsid w:val="00A93DCA"/>
    <w:rsid w:val="00A93E0D"/>
    <w:rsid w:val="00A93E22"/>
    <w:rsid w:val="00A93E87"/>
    <w:rsid w:val="00A93E94"/>
    <w:rsid w:val="00A93EDA"/>
    <w:rsid w:val="00A93EEE"/>
    <w:rsid w:val="00A93F1D"/>
    <w:rsid w:val="00A93F3A"/>
    <w:rsid w:val="00A93F6B"/>
    <w:rsid w:val="00A93FC3"/>
    <w:rsid w:val="00A93FDE"/>
    <w:rsid w:val="00A93FED"/>
    <w:rsid w:val="00A93FF7"/>
    <w:rsid w:val="00A94001"/>
    <w:rsid w:val="00A940AF"/>
    <w:rsid w:val="00A940E8"/>
    <w:rsid w:val="00A94122"/>
    <w:rsid w:val="00A9414E"/>
    <w:rsid w:val="00A9415B"/>
    <w:rsid w:val="00A94177"/>
    <w:rsid w:val="00A941CA"/>
    <w:rsid w:val="00A941F5"/>
    <w:rsid w:val="00A942BB"/>
    <w:rsid w:val="00A942CA"/>
    <w:rsid w:val="00A942D7"/>
    <w:rsid w:val="00A9430A"/>
    <w:rsid w:val="00A9431F"/>
    <w:rsid w:val="00A9438B"/>
    <w:rsid w:val="00A943F9"/>
    <w:rsid w:val="00A94403"/>
    <w:rsid w:val="00A9441C"/>
    <w:rsid w:val="00A94423"/>
    <w:rsid w:val="00A94442"/>
    <w:rsid w:val="00A94457"/>
    <w:rsid w:val="00A94466"/>
    <w:rsid w:val="00A9448F"/>
    <w:rsid w:val="00A944D6"/>
    <w:rsid w:val="00A9451E"/>
    <w:rsid w:val="00A94556"/>
    <w:rsid w:val="00A9458B"/>
    <w:rsid w:val="00A945FE"/>
    <w:rsid w:val="00A94649"/>
    <w:rsid w:val="00A94695"/>
    <w:rsid w:val="00A946BB"/>
    <w:rsid w:val="00A946E5"/>
    <w:rsid w:val="00A94732"/>
    <w:rsid w:val="00A94735"/>
    <w:rsid w:val="00A9477B"/>
    <w:rsid w:val="00A94815"/>
    <w:rsid w:val="00A9482A"/>
    <w:rsid w:val="00A9485B"/>
    <w:rsid w:val="00A94897"/>
    <w:rsid w:val="00A948A0"/>
    <w:rsid w:val="00A948E2"/>
    <w:rsid w:val="00A948E5"/>
    <w:rsid w:val="00A948E9"/>
    <w:rsid w:val="00A94985"/>
    <w:rsid w:val="00A949C2"/>
    <w:rsid w:val="00A949D5"/>
    <w:rsid w:val="00A949DB"/>
    <w:rsid w:val="00A949EC"/>
    <w:rsid w:val="00A94A76"/>
    <w:rsid w:val="00A94B38"/>
    <w:rsid w:val="00A94B9C"/>
    <w:rsid w:val="00A94BA4"/>
    <w:rsid w:val="00A94BA9"/>
    <w:rsid w:val="00A94BD8"/>
    <w:rsid w:val="00A94C82"/>
    <w:rsid w:val="00A94D02"/>
    <w:rsid w:val="00A94DD5"/>
    <w:rsid w:val="00A94E15"/>
    <w:rsid w:val="00A94E4D"/>
    <w:rsid w:val="00A94E5F"/>
    <w:rsid w:val="00A94EC3"/>
    <w:rsid w:val="00A94ED4"/>
    <w:rsid w:val="00A94EE2"/>
    <w:rsid w:val="00A94F2B"/>
    <w:rsid w:val="00A94F69"/>
    <w:rsid w:val="00A9502D"/>
    <w:rsid w:val="00A9506C"/>
    <w:rsid w:val="00A95071"/>
    <w:rsid w:val="00A95072"/>
    <w:rsid w:val="00A950C1"/>
    <w:rsid w:val="00A950C6"/>
    <w:rsid w:val="00A95101"/>
    <w:rsid w:val="00A9511F"/>
    <w:rsid w:val="00A95165"/>
    <w:rsid w:val="00A9517B"/>
    <w:rsid w:val="00A95184"/>
    <w:rsid w:val="00A9518F"/>
    <w:rsid w:val="00A951AF"/>
    <w:rsid w:val="00A951C2"/>
    <w:rsid w:val="00A95250"/>
    <w:rsid w:val="00A9529E"/>
    <w:rsid w:val="00A953BB"/>
    <w:rsid w:val="00A95413"/>
    <w:rsid w:val="00A954BC"/>
    <w:rsid w:val="00A954D3"/>
    <w:rsid w:val="00A9553F"/>
    <w:rsid w:val="00A9555B"/>
    <w:rsid w:val="00A95569"/>
    <w:rsid w:val="00A95582"/>
    <w:rsid w:val="00A9558A"/>
    <w:rsid w:val="00A955B3"/>
    <w:rsid w:val="00A95601"/>
    <w:rsid w:val="00A95611"/>
    <w:rsid w:val="00A956B4"/>
    <w:rsid w:val="00A956BB"/>
    <w:rsid w:val="00A956C1"/>
    <w:rsid w:val="00A956E5"/>
    <w:rsid w:val="00A956F0"/>
    <w:rsid w:val="00A95705"/>
    <w:rsid w:val="00A95732"/>
    <w:rsid w:val="00A957EA"/>
    <w:rsid w:val="00A95855"/>
    <w:rsid w:val="00A95929"/>
    <w:rsid w:val="00A95950"/>
    <w:rsid w:val="00A9597A"/>
    <w:rsid w:val="00A959CD"/>
    <w:rsid w:val="00A959E7"/>
    <w:rsid w:val="00A95A21"/>
    <w:rsid w:val="00A95A3C"/>
    <w:rsid w:val="00A95A66"/>
    <w:rsid w:val="00A95A81"/>
    <w:rsid w:val="00A95AD5"/>
    <w:rsid w:val="00A95AE3"/>
    <w:rsid w:val="00A95B05"/>
    <w:rsid w:val="00A95B11"/>
    <w:rsid w:val="00A95B4D"/>
    <w:rsid w:val="00A95B63"/>
    <w:rsid w:val="00A95BF0"/>
    <w:rsid w:val="00A95BFD"/>
    <w:rsid w:val="00A95C6D"/>
    <w:rsid w:val="00A95CC0"/>
    <w:rsid w:val="00A95CD2"/>
    <w:rsid w:val="00A95CDA"/>
    <w:rsid w:val="00A95D0E"/>
    <w:rsid w:val="00A95D38"/>
    <w:rsid w:val="00A95D44"/>
    <w:rsid w:val="00A95D62"/>
    <w:rsid w:val="00A95D78"/>
    <w:rsid w:val="00A95D8B"/>
    <w:rsid w:val="00A95D99"/>
    <w:rsid w:val="00A95DD5"/>
    <w:rsid w:val="00A95DE0"/>
    <w:rsid w:val="00A95E49"/>
    <w:rsid w:val="00A95E4A"/>
    <w:rsid w:val="00A95F28"/>
    <w:rsid w:val="00A95F68"/>
    <w:rsid w:val="00A95FCF"/>
    <w:rsid w:val="00A95FD5"/>
    <w:rsid w:val="00A95FF8"/>
    <w:rsid w:val="00A96003"/>
    <w:rsid w:val="00A9604E"/>
    <w:rsid w:val="00A96061"/>
    <w:rsid w:val="00A96106"/>
    <w:rsid w:val="00A9612A"/>
    <w:rsid w:val="00A961BD"/>
    <w:rsid w:val="00A961D9"/>
    <w:rsid w:val="00A961DB"/>
    <w:rsid w:val="00A96200"/>
    <w:rsid w:val="00A9620B"/>
    <w:rsid w:val="00A96213"/>
    <w:rsid w:val="00A962A1"/>
    <w:rsid w:val="00A962CE"/>
    <w:rsid w:val="00A96371"/>
    <w:rsid w:val="00A9646D"/>
    <w:rsid w:val="00A96498"/>
    <w:rsid w:val="00A964AE"/>
    <w:rsid w:val="00A964AF"/>
    <w:rsid w:val="00A9654D"/>
    <w:rsid w:val="00A965FD"/>
    <w:rsid w:val="00A965FF"/>
    <w:rsid w:val="00A96619"/>
    <w:rsid w:val="00A966CA"/>
    <w:rsid w:val="00A96722"/>
    <w:rsid w:val="00A9675F"/>
    <w:rsid w:val="00A9677F"/>
    <w:rsid w:val="00A967CA"/>
    <w:rsid w:val="00A967D9"/>
    <w:rsid w:val="00A967F8"/>
    <w:rsid w:val="00A96833"/>
    <w:rsid w:val="00A96898"/>
    <w:rsid w:val="00A9690D"/>
    <w:rsid w:val="00A9699A"/>
    <w:rsid w:val="00A969C8"/>
    <w:rsid w:val="00A969DD"/>
    <w:rsid w:val="00A969ED"/>
    <w:rsid w:val="00A96A05"/>
    <w:rsid w:val="00A96A24"/>
    <w:rsid w:val="00A96AA1"/>
    <w:rsid w:val="00A96AF5"/>
    <w:rsid w:val="00A96B5D"/>
    <w:rsid w:val="00A96B94"/>
    <w:rsid w:val="00A96B9A"/>
    <w:rsid w:val="00A96BA3"/>
    <w:rsid w:val="00A96BC5"/>
    <w:rsid w:val="00A96BD7"/>
    <w:rsid w:val="00A96C01"/>
    <w:rsid w:val="00A96C06"/>
    <w:rsid w:val="00A96C0F"/>
    <w:rsid w:val="00A96C80"/>
    <w:rsid w:val="00A96C8C"/>
    <w:rsid w:val="00A96CC9"/>
    <w:rsid w:val="00A96CDE"/>
    <w:rsid w:val="00A96D24"/>
    <w:rsid w:val="00A96D34"/>
    <w:rsid w:val="00A96D6A"/>
    <w:rsid w:val="00A96DA7"/>
    <w:rsid w:val="00A96DE0"/>
    <w:rsid w:val="00A96DFA"/>
    <w:rsid w:val="00A96E1C"/>
    <w:rsid w:val="00A96EA1"/>
    <w:rsid w:val="00A96EDE"/>
    <w:rsid w:val="00A96EE3"/>
    <w:rsid w:val="00A96EEC"/>
    <w:rsid w:val="00A96F59"/>
    <w:rsid w:val="00A96F69"/>
    <w:rsid w:val="00A96FB6"/>
    <w:rsid w:val="00A96FC1"/>
    <w:rsid w:val="00A97015"/>
    <w:rsid w:val="00A97091"/>
    <w:rsid w:val="00A9709E"/>
    <w:rsid w:val="00A970AE"/>
    <w:rsid w:val="00A970DE"/>
    <w:rsid w:val="00A970EB"/>
    <w:rsid w:val="00A97108"/>
    <w:rsid w:val="00A97140"/>
    <w:rsid w:val="00A97154"/>
    <w:rsid w:val="00A97160"/>
    <w:rsid w:val="00A97175"/>
    <w:rsid w:val="00A97235"/>
    <w:rsid w:val="00A9725F"/>
    <w:rsid w:val="00A9727B"/>
    <w:rsid w:val="00A972DD"/>
    <w:rsid w:val="00A973B3"/>
    <w:rsid w:val="00A973E4"/>
    <w:rsid w:val="00A973F8"/>
    <w:rsid w:val="00A97410"/>
    <w:rsid w:val="00A97426"/>
    <w:rsid w:val="00A9747D"/>
    <w:rsid w:val="00A97491"/>
    <w:rsid w:val="00A974C7"/>
    <w:rsid w:val="00A974D5"/>
    <w:rsid w:val="00A974DF"/>
    <w:rsid w:val="00A97525"/>
    <w:rsid w:val="00A97577"/>
    <w:rsid w:val="00A97582"/>
    <w:rsid w:val="00A97591"/>
    <w:rsid w:val="00A975DE"/>
    <w:rsid w:val="00A975FA"/>
    <w:rsid w:val="00A9766C"/>
    <w:rsid w:val="00A9768C"/>
    <w:rsid w:val="00A976BC"/>
    <w:rsid w:val="00A976EA"/>
    <w:rsid w:val="00A976FA"/>
    <w:rsid w:val="00A9773E"/>
    <w:rsid w:val="00A97791"/>
    <w:rsid w:val="00A977C8"/>
    <w:rsid w:val="00A977CB"/>
    <w:rsid w:val="00A977DD"/>
    <w:rsid w:val="00A9785D"/>
    <w:rsid w:val="00A9786C"/>
    <w:rsid w:val="00A97878"/>
    <w:rsid w:val="00A9787B"/>
    <w:rsid w:val="00A97898"/>
    <w:rsid w:val="00A978EE"/>
    <w:rsid w:val="00A9791A"/>
    <w:rsid w:val="00A97924"/>
    <w:rsid w:val="00A97987"/>
    <w:rsid w:val="00A979B4"/>
    <w:rsid w:val="00A979EE"/>
    <w:rsid w:val="00A97A0B"/>
    <w:rsid w:val="00A97A29"/>
    <w:rsid w:val="00A97AFB"/>
    <w:rsid w:val="00A97B3B"/>
    <w:rsid w:val="00A97B3C"/>
    <w:rsid w:val="00A97B6C"/>
    <w:rsid w:val="00A97BCA"/>
    <w:rsid w:val="00A97BEA"/>
    <w:rsid w:val="00A97BF9"/>
    <w:rsid w:val="00A97C8E"/>
    <w:rsid w:val="00A97CB9"/>
    <w:rsid w:val="00A97CE8"/>
    <w:rsid w:val="00A97D23"/>
    <w:rsid w:val="00A97D82"/>
    <w:rsid w:val="00A97DC1"/>
    <w:rsid w:val="00A97E6B"/>
    <w:rsid w:val="00A97E75"/>
    <w:rsid w:val="00A97EA4"/>
    <w:rsid w:val="00A97EB5"/>
    <w:rsid w:val="00AA009B"/>
    <w:rsid w:val="00AA0111"/>
    <w:rsid w:val="00AA014F"/>
    <w:rsid w:val="00AA0163"/>
    <w:rsid w:val="00AA0184"/>
    <w:rsid w:val="00AA0237"/>
    <w:rsid w:val="00AA025A"/>
    <w:rsid w:val="00AA025F"/>
    <w:rsid w:val="00AA0262"/>
    <w:rsid w:val="00AA0274"/>
    <w:rsid w:val="00AA0348"/>
    <w:rsid w:val="00AA034F"/>
    <w:rsid w:val="00AA0374"/>
    <w:rsid w:val="00AA03C0"/>
    <w:rsid w:val="00AA03C5"/>
    <w:rsid w:val="00AA03E3"/>
    <w:rsid w:val="00AA042D"/>
    <w:rsid w:val="00AA0481"/>
    <w:rsid w:val="00AA0483"/>
    <w:rsid w:val="00AA04BF"/>
    <w:rsid w:val="00AA0547"/>
    <w:rsid w:val="00AA054E"/>
    <w:rsid w:val="00AA0551"/>
    <w:rsid w:val="00AA0560"/>
    <w:rsid w:val="00AA05B4"/>
    <w:rsid w:val="00AA05F3"/>
    <w:rsid w:val="00AA0645"/>
    <w:rsid w:val="00AA0728"/>
    <w:rsid w:val="00AA0736"/>
    <w:rsid w:val="00AA073E"/>
    <w:rsid w:val="00AA0764"/>
    <w:rsid w:val="00AA077B"/>
    <w:rsid w:val="00AA0797"/>
    <w:rsid w:val="00AA07D2"/>
    <w:rsid w:val="00AA07E4"/>
    <w:rsid w:val="00AA07F4"/>
    <w:rsid w:val="00AA082C"/>
    <w:rsid w:val="00AA0878"/>
    <w:rsid w:val="00AA087F"/>
    <w:rsid w:val="00AA08B0"/>
    <w:rsid w:val="00AA08C6"/>
    <w:rsid w:val="00AA08CC"/>
    <w:rsid w:val="00AA0903"/>
    <w:rsid w:val="00AA093C"/>
    <w:rsid w:val="00AA09FB"/>
    <w:rsid w:val="00AA0A01"/>
    <w:rsid w:val="00AA0B01"/>
    <w:rsid w:val="00AA0B62"/>
    <w:rsid w:val="00AA0BC0"/>
    <w:rsid w:val="00AA0BF0"/>
    <w:rsid w:val="00AA0BF7"/>
    <w:rsid w:val="00AA0C06"/>
    <w:rsid w:val="00AA0C0F"/>
    <w:rsid w:val="00AA0C42"/>
    <w:rsid w:val="00AA0C84"/>
    <w:rsid w:val="00AA0C89"/>
    <w:rsid w:val="00AA0C92"/>
    <w:rsid w:val="00AA0CC8"/>
    <w:rsid w:val="00AA0D61"/>
    <w:rsid w:val="00AA0E05"/>
    <w:rsid w:val="00AA0E09"/>
    <w:rsid w:val="00AA0E1F"/>
    <w:rsid w:val="00AA0E6A"/>
    <w:rsid w:val="00AA0E81"/>
    <w:rsid w:val="00AA0EA5"/>
    <w:rsid w:val="00AA0F12"/>
    <w:rsid w:val="00AA0FCB"/>
    <w:rsid w:val="00AA0FF7"/>
    <w:rsid w:val="00AA1005"/>
    <w:rsid w:val="00AA1027"/>
    <w:rsid w:val="00AA103A"/>
    <w:rsid w:val="00AA1047"/>
    <w:rsid w:val="00AA105B"/>
    <w:rsid w:val="00AA109C"/>
    <w:rsid w:val="00AA10A2"/>
    <w:rsid w:val="00AA10AF"/>
    <w:rsid w:val="00AA1107"/>
    <w:rsid w:val="00AA1109"/>
    <w:rsid w:val="00AA111A"/>
    <w:rsid w:val="00AA120C"/>
    <w:rsid w:val="00AA1213"/>
    <w:rsid w:val="00AA123B"/>
    <w:rsid w:val="00AA1263"/>
    <w:rsid w:val="00AA1274"/>
    <w:rsid w:val="00AA127D"/>
    <w:rsid w:val="00AA1293"/>
    <w:rsid w:val="00AA12D4"/>
    <w:rsid w:val="00AA12E0"/>
    <w:rsid w:val="00AA12FB"/>
    <w:rsid w:val="00AA130A"/>
    <w:rsid w:val="00AA1385"/>
    <w:rsid w:val="00AA142E"/>
    <w:rsid w:val="00AA1471"/>
    <w:rsid w:val="00AA1496"/>
    <w:rsid w:val="00AA14A4"/>
    <w:rsid w:val="00AA14BB"/>
    <w:rsid w:val="00AA14BC"/>
    <w:rsid w:val="00AA14D2"/>
    <w:rsid w:val="00AA14D6"/>
    <w:rsid w:val="00AA1513"/>
    <w:rsid w:val="00AA1519"/>
    <w:rsid w:val="00AA1523"/>
    <w:rsid w:val="00AA155E"/>
    <w:rsid w:val="00AA1561"/>
    <w:rsid w:val="00AA1668"/>
    <w:rsid w:val="00AA170A"/>
    <w:rsid w:val="00AA178E"/>
    <w:rsid w:val="00AA1791"/>
    <w:rsid w:val="00AA17CE"/>
    <w:rsid w:val="00AA1854"/>
    <w:rsid w:val="00AA18D6"/>
    <w:rsid w:val="00AA190F"/>
    <w:rsid w:val="00AA1911"/>
    <w:rsid w:val="00AA194D"/>
    <w:rsid w:val="00AA195D"/>
    <w:rsid w:val="00AA195E"/>
    <w:rsid w:val="00AA1987"/>
    <w:rsid w:val="00AA19B4"/>
    <w:rsid w:val="00AA19BE"/>
    <w:rsid w:val="00AA19E0"/>
    <w:rsid w:val="00AA1A1C"/>
    <w:rsid w:val="00AA1A64"/>
    <w:rsid w:val="00AA1A78"/>
    <w:rsid w:val="00AA1AF2"/>
    <w:rsid w:val="00AA1C05"/>
    <w:rsid w:val="00AA1C0D"/>
    <w:rsid w:val="00AA1C1F"/>
    <w:rsid w:val="00AA1C82"/>
    <w:rsid w:val="00AA1D26"/>
    <w:rsid w:val="00AA1D3D"/>
    <w:rsid w:val="00AA1D59"/>
    <w:rsid w:val="00AA1D61"/>
    <w:rsid w:val="00AA1D66"/>
    <w:rsid w:val="00AA1D91"/>
    <w:rsid w:val="00AA1DCA"/>
    <w:rsid w:val="00AA1DD5"/>
    <w:rsid w:val="00AA1DDF"/>
    <w:rsid w:val="00AA1EB2"/>
    <w:rsid w:val="00AA1EDF"/>
    <w:rsid w:val="00AA1F18"/>
    <w:rsid w:val="00AA1F4B"/>
    <w:rsid w:val="00AA1F94"/>
    <w:rsid w:val="00AA2007"/>
    <w:rsid w:val="00AA2031"/>
    <w:rsid w:val="00AA2033"/>
    <w:rsid w:val="00AA20F4"/>
    <w:rsid w:val="00AA2123"/>
    <w:rsid w:val="00AA212E"/>
    <w:rsid w:val="00AA2185"/>
    <w:rsid w:val="00AA21B1"/>
    <w:rsid w:val="00AA21E9"/>
    <w:rsid w:val="00AA21FB"/>
    <w:rsid w:val="00AA225F"/>
    <w:rsid w:val="00AA228F"/>
    <w:rsid w:val="00AA22CB"/>
    <w:rsid w:val="00AA22E3"/>
    <w:rsid w:val="00AA230B"/>
    <w:rsid w:val="00AA23AE"/>
    <w:rsid w:val="00AA241F"/>
    <w:rsid w:val="00AA2430"/>
    <w:rsid w:val="00AA245E"/>
    <w:rsid w:val="00AA2460"/>
    <w:rsid w:val="00AA24CA"/>
    <w:rsid w:val="00AA2591"/>
    <w:rsid w:val="00AA2593"/>
    <w:rsid w:val="00AA260B"/>
    <w:rsid w:val="00AA265B"/>
    <w:rsid w:val="00AA267F"/>
    <w:rsid w:val="00AA26C0"/>
    <w:rsid w:val="00AA26DD"/>
    <w:rsid w:val="00AA27CF"/>
    <w:rsid w:val="00AA27D2"/>
    <w:rsid w:val="00AA27FE"/>
    <w:rsid w:val="00AA2823"/>
    <w:rsid w:val="00AA284E"/>
    <w:rsid w:val="00AA28AB"/>
    <w:rsid w:val="00AA28F3"/>
    <w:rsid w:val="00AA2900"/>
    <w:rsid w:val="00AA2988"/>
    <w:rsid w:val="00AA2997"/>
    <w:rsid w:val="00AA29A0"/>
    <w:rsid w:val="00AA29F1"/>
    <w:rsid w:val="00AA29FF"/>
    <w:rsid w:val="00AA2A4D"/>
    <w:rsid w:val="00AA2A7D"/>
    <w:rsid w:val="00AA2ABE"/>
    <w:rsid w:val="00AA2AD3"/>
    <w:rsid w:val="00AA2ADB"/>
    <w:rsid w:val="00AA2B2D"/>
    <w:rsid w:val="00AA2B78"/>
    <w:rsid w:val="00AA2B8E"/>
    <w:rsid w:val="00AA2BFD"/>
    <w:rsid w:val="00AA2C11"/>
    <w:rsid w:val="00AA2C9C"/>
    <w:rsid w:val="00AA2C9D"/>
    <w:rsid w:val="00AA2CEF"/>
    <w:rsid w:val="00AA2D0A"/>
    <w:rsid w:val="00AA2D15"/>
    <w:rsid w:val="00AA2D2D"/>
    <w:rsid w:val="00AA2D3A"/>
    <w:rsid w:val="00AA2D82"/>
    <w:rsid w:val="00AA2E1B"/>
    <w:rsid w:val="00AA2E33"/>
    <w:rsid w:val="00AA2E6C"/>
    <w:rsid w:val="00AA2E73"/>
    <w:rsid w:val="00AA2E79"/>
    <w:rsid w:val="00AA2EE5"/>
    <w:rsid w:val="00AA2F0A"/>
    <w:rsid w:val="00AA2F10"/>
    <w:rsid w:val="00AA2F80"/>
    <w:rsid w:val="00AA2F8B"/>
    <w:rsid w:val="00AA2FBA"/>
    <w:rsid w:val="00AA2FDA"/>
    <w:rsid w:val="00AA301E"/>
    <w:rsid w:val="00AA304E"/>
    <w:rsid w:val="00AA306F"/>
    <w:rsid w:val="00AA30A8"/>
    <w:rsid w:val="00AA30A9"/>
    <w:rsid w:val="00AA30C3"/>
    <w:rsid w:val="00AA312D"/>
    <w:rsid w:val="00AA31A5"/>
    <w:rsid w:val="00AA31A8"/>
    <w:rsid w:val="00AA323F"/>
    <w:rsid w:val="00AA326C"/>
    <w:rsid w:val="00AA3279"/>
    <w:rsid w:val="00AA32C0"/>
    <w:rsid w:val="00AA335E"/>
    <w:rsid w:val="00AA33D6"/>
    <w:rsid w:val="00AA3402"/>
    <w:rsid w:val="00AA3416"/>
    <w:rsid w:val="00AA3428"/>
    <w:rsid w:val="00AA3490"/>
    <w:rsid w:val="00AA34C8"/>
    <w:rsid w:val="00AA3508"/>
    <w:rsid w:val="00AA358F"/>
    <w:rsid w:val="00AA35EF"/>
    <w:rsid w:val="00AA3631"/>
    <w:rsid w:val="00AA3696"/>
    <w:rsid w:val="00AA36B0"/>
    <w:rsid w:val="00AA36ED"/>
    <w:rsid w:val="00AA3774"/>
    <w:rsid w:val="00AA37A4"/>
    <w:rsid w:val="00AA37B2"/>
    <w:rsid w:val="00AA37B6"/>
    <w:rsid w:val="00AA37E7"/>
    <w:rsid w:val="00AA3817"/>
    <w:rsid w:val="00AA3862"/>
    <w:rsid w:val="00AA3865"/>
    <w:rsid w:val="00AA386D"/>
    <w:rsid w:val="00AA38AC"/>
    <w:rsid w:val="00AA38D8"/>
    <w:rsid w:val="00AA3977"/>
    <w:rsid w:val="00AA3990"/>
    <w:rsid w:val="00AA39D7"/>
    <w:rsid w:val="00AA3A0B"/>
    <w:rsid w:val="00AA3A14"/>
    <w:rsid w:val="00AA3A30"/>
    <w:rsid w:val="00AA3A37"/>
    <w:rsid w:val="00AA3A5B"/>
    <w:rsid w:val="00AA3AF1"/>
    <w:rsid w:val="00AA3BA6"/>
    <w:rsid w:val="00AA3BB1"/>
    <w:rsid w:val="00AA3BB6"/>
    <w:rsid w:val="00AA3BBC"/>
    <w:rsid w:val="00AA3C82"/>
    <w:rsid w:val="00AA3CAB"/>
    <w:rsid w:val="00AA3CE1"/>
    <w:rsid w:val="00AA3D24"/>
    <w:rsid w:val="00AA3D85"/>
    <w:rsid w:val="00AA3DEF"/>
    <w:rsid w:val="00AA3DFB"/>
    <w:rsid w:val="00AA3E1B"/>
    <w:rsid w:val="00AA3E7B"/>
    <w:rsid w:val="00AA3E98"/>
    <w:rsid w:val="00AA3ECE"/>
    <w:rsid w:val="00AA3F0C"/>
    <w:rsid w:val="00AA3F6D"/>
    <w:rsid w:val="00AA3F7E"/>
    <w:rsid w:val="00AA3F84"/>
    <w:rsid w:val="00AA3F8A"/>
    <w:rsid w:val="00AA3FE0"/>
    <w:rsid w:val="00AA401C"/>
    <w:rsid w:val="00AA406D"/>
    <w:rsid w:val="00AA406F"/>
    <w:rsid w:val="00AA40B7"/>
    <w:rsid w:val="00AA415A"/>
    <w:rsid w:val="00AA415B"/>
    <w:rsid w:val="00AA41A4"/>
    <w:rsid w:val="00AA4210"/>
    <w:rsid w:val="00AA421F"/>
    <w:rsid w:val="00AA4223"/>
    <w:rsid w:val="00AA4259"/>
    <w:rsid w:val="00AA436B"/>
    <w:rsid w:val="00AA438C"/>
    <w:rsid w:val="00AA43A2"/>
    <w:rsid w:val="00AA43E0"/>
    <w:rsid w:val="00AA4424"/>
    <w:rsid w:val="00AA4450"/>
    <w:rsid w:val="00AA44A3"/>
    <w:rsid w:val="00AA44ED"/>
    <w:rsid w:val="00AA4518"/>
    <w:rsid w:val="00AA4526"/>
    <w:rsid w:val="00AA4530"/>
    <w:rsid w:val="00AA457B"/>
    <w:rsid w:val="00AA459E"/>
    <w:rsid w:val="00AA45D2"/>
    <w:rsid w:val="00AA45F4"/>
    <w:rsid w:val="00AA461E"/>
    <w:rsid w:val="00AA462F"/>
    <w:rsid w:val="00AA4648"/>
    <w:rsid w:val="00AA467E"/>
    <w:rsid w:val="00AA46AD"/>
    <w:rsid w:val="00AA46D9"/>
    <w:rsid w:val="00AA4725"/>
    <w:rsid w:val="00AA4739"/>
    <w:rsid w:val="00AA47EB"/>
    <w:rsid w:val="00AA47EF"/>
    <w:rsid w:val="00AA47FD"/>
    <w:rsid w:val="00AA47FF"/>
    <w:rsid w:val="00AA480B"/>
    <w:rsid w:val="00AA483C"/>
    <w:rsid w:val="00AA4894"/>
    <w:rsid w:val="00AA489C"/>
    <w:rsid w:val="00AA48D3"/>
    <w:rsid w:val="00AA4922"/>
    <w:rsid w:val="00AA494E"/>
    <w:rsid w:val="00AA49BB"/>
    <w:rsid w:val="00AA49D1"/>
    <w:rsid w:val="00AA49E3"/>
    <w:rsid w:val="00AA49F1"/>
    <w:rsid w:val="00AA49F8"/>
    <w:rsid w:val="00AA4A08"/>
    <w:rsid w:val="00AA4A0A"/>
    <w:rsid w:val="00AA4A2E"/>
    <w:rsid w:val="00AA4A7D"/>
    <w:rsid w:val="00AA4AAB"/>
    <w:rsid w:val="00AA4AE9"/>
    <w:rsid w:val="00AA4B17"/>
    <w:rsid w:val="00AA4BA9"/>
    <w:rsid w:val="00AA4BD2"/>
    <w:rsid w:val="00AA4BDC"/>
    <w:rsid w:val="00AA4BF1"/>
    <w:rsid w:val="00AA4C07"/>
    <w:rsid w:val="00AA4C88"/>
    <w:rsid w:val="00AA4CF7"/>
    <w:rsid w:val="00AA4CF9"/>
    <w:rsid w:val="00AA4D38"/>
    <w:rsid w:val="00AA4D64"/>
    <w:rsid w:val="00AA4DBF"/>
    <w:rsid w:val="00AA4DDE"/>
    <w:rsid w:val="00AA4DE1"/>
    <w:rsid w:val="00AA4DF5"/>
    <w:rsid w:val="00AA4E14"/>
    <w:rsid w:val="00AA4E1B"/>
    <w:rsid w:val="00AA4E21"/>
    <w:rsid w:val="00AA4E2E"/>
    <w:rsid w:val="00AA4E36"/>
    <w:rsid w:val="00AA4EE4"/>
    <w:rsid w:val="00AA4F70"/>
    <w:rsid w:val="00AA4F72"/>
    <w:rsid w:val="00AA4F79"/>
    <w:rsid w:val="00AA5049"/>
    <w:rsid w:val="00AA5053"/>
    <w:rsid w:val="00AA505A"/>
    <w:rsid w:val="00AA5073"/>
    <w:rsid w:val="00AA5089"/>
    <w:rsid w:val="00AA5094"/>
    <w:rsid w:val="00AA5095"/>
    <w:rsid w:val="00AA50A7"/>
    <w:rsid w:val="00AA50AC"/>
    <w:rsid w:val="00AA50AE"/>
    <w:rsid w:val="00AA50CB"/>
    <w:rsid w:val="00AA510D"/>
    <w:rsid w:val="00AA5146"/>
    <w:rsid w:val="00AA51AB"/>
    <w:rsid w:val="00AA51B7"/>
    <w:rsid w:val="00AA51D2"/>
    <w:rsid w:val="00AA5253"/>
    <w:rsid w:val="00AA525D"/>
    <w:rsid w:val="00AA5273"/>
    <w:rsid w:val="00AA528A"/>
    <w:rsid w:val="00AA52CC"/>
    <w:rsid w:val="00AA538B"/>
    <w:rsid w:val="00AA53C5"/>
    <w:rsid w:val="00AA540B"/>
    <w:rsid w:val="00AA540D"/>
    <w:rsid w:val="00AA5410"/>
    <w:rsid w:val="00AA5443"/>
    <w:rsid w:val="00AA5485"/>
    <w:rsid w:val="00AA54CB"/>
    <w:rsid w:val="00AA5573"/>
    <w:rsid w:val="00AA5574"/>
    <w:rsid w:val="00AA55CD"/>
    <w:rsid w:val="00AA55D7"/>
    <w:rsid w:val="00AA55DE"/>
    <w:rsid w:val="00AA56A7"/>
    <w:rsid w:val="00AA56A8"/>
    <w:rsid w:val="00AA56BE"/>
    <w:rsid w:val="00AA56CF"/>
    <w:rsid w:val="00AA5739"/>
    <w:rsid w:val="00AA575C"/>
    <w:rsid w:val="00AA576F"/>
    <w:rsid w:val="00AA5796"/>
    <w:rsid w:val="00AA57EA"/>
    <w:rsid w:val="00AA5815"/>
    <w:rsid w:val="00AA582F"/>
    <w:rsid w:val="00AA5879"/>
    <w:rsid w:val="00AA587D"/>
    <w:rsid w:val="00AA5884"/>
    <w:rsid w:val="00AA5975"/>
    <w:rsid w:val="00AA59B7"/>
    <w:rsid w:val="00AA59D2"/>
    <w:rsid w:val="00AA5A10"/>
    <w:rsid w:val="00AA5A75"/>
    <w:rsid w:val="00AA5AB5"/>
    <w:rsid w:val="00AA5AC8"/>
    <w:rsid w:val="00AA5B06"/>
    <w:rsid w:val="00AA5B09"/>
    <w:rsid w:val="00AA5BB6"/>
    <w:rsid w:val="00AA5BEC"/>
    <w:rsid w:val="00AA5BEE"/>
    <w:rsid w:val="00AA5BFA"/>
    <w:rsid w:val="00AA5C36"/>
    <w:rsid w:val="00AA5C48"/>
    <w:rsid w:val="00AA5D0B"/>
    <w:rsid w:val="00AA5D2C"/>
    <w:rsid w:val="00AA5DA3"/>
    <w:rsid w:val="00AA5DB1"/>
    <w:rsid w:val="00AA5DEB"/>
    <w:rsid w:val="00AA5E16"/>
    <w:rsid w:val="00AA5E9F"/>
    <w:rsid w:val="00AA5EC1"/>
    <w:rsid w:val="00AA5EE6"/>
    <w:rsid w:val="00AA5F0C"/>
    <w:rsid w:val="00AA5F28"/>
    <w:rsid w:val="00AA5F6C"/>
    <w:rsid w:val="00AA5FFA"/>
    <w:rsid w:val="00AA602B"/>
    <w:rsid w:val="00AA6092"/>
    <w:rsid w:val="00AA6093"/>
    <w:rsid w:val="00AA60CE"/>
    <w:rsid w:val="00AA60E4"/>
    <w:rsid w:val="00AA614D"/>
    <w:rsid w:val="00AA61AE"/>
    <w:rsid w:val="00AA626E"/>
    <w:rsid w:val="00AA62C4"/>
    <w:rsid w:val="00AA6316"/>
    <w:rsid w:val="00AA6318"/>
    <w:rsid w:val="00AA6353"/>
    <w:rsid w:val="00AA63C6"/>
    <w:rsid w:val="00AA643C"/>
    <w:rsid w:val="00AA6461"/>
    <w:rsid w:val="00AA6484"/>
    <w:rsid w:val="00AA6490"/>
    <w:rsid w:val="00AA6491"/>
    <w:rsid w:val="00AA6492"/>
    <w:rsid w:val="00AA6540"/>
    <w:rsid w:val="00AA6558"/>
    <w:rsid w:val="00AA655E"/>
    <w:rsid w:val="00AA6589"/>
    <w:rsid w:val="00AA65AE"/>
    <w:rsid w:val="00AA65BC"/>
    <w:rsid w:val="00AA65E6"/>
    <w:rsid w:val="00AA667B"/>
    <w:rsid w:val="00AA668E"/>
    <w:rsid w:val="00AA6712"/>
    <w:rsid w:val="00AA675D"/>
    <w:rsid w:val="00AA6774"/>
    <w:rsid w:val="00AA678D"/>
    <w:rsid w:val="00AA67FD"/>
    <w:rsid w:val="00AA6847"/>
    <w:rsid w:val="00AA6870"/>
    <w:rsid w:val="00AA68AA"/>
    <w:rsid w:val="00AA68B7"/>
    <w:rsid w:val="00AA68E1"/>
    <w:rsid w:val="00AA68F2"/>
    <w:rsid w:val="00AA68FB"/>
    <w:rsid w:val="00AA691A"/>
    <w:rsid w:val="00AA6936"/>
    <w:rsid w:val="00AA6941"/>
    <w:rsid w:val="00AA6949"/>
    <w:rsid w:val="00AA6A44"/>
    <w:rsid w:val="00AA6A49"/>
    <w:rsid w:val="00AA6A5F"/>
    <w:rsid w:val="00AA6A95"/>
    <w:rsid w:val="00AA6B0D"/>
    <w:rsid w:val="00AA6B44"/>
    <w:rsid w:val="00AA6B72"/>
    <w:rsid w:val="00AA6CCD"/>
    <w:rsid w:val="00AA6CE2"/>
    <w:rsid w:val="00AA6CFF"/>
    <w:rsid w:val="00AA6D21"/>
    <w:rsid w:val="00AA6E3A"/>
    <w:rsid w:val="00AA6E78"/>
    <w:rsid w:val="00AA6EDE"/>
    <w:rsid w:val="00AA6F34"/>
    <w:rsid w:val="00AA6F4F"/>
    <w:rsid w:val="00AA6F7A"/>
    <w:rsid w:val="00AA6F9B"/>
    <w:rsid w:val="00AA6FB9"/>
    <w:rsid w:val="00AA6FE7"/>
    <w:rsid w:val="00AA7013"/>
    <w:rsid w:val="00AA701C"/>
    <w:rsid w:val="00AA7034"/>
    <w:rsid w:val="00AA705B"/>
    <w:rsid w:val="00AA706B"/>
    <w:rsid w:val="00AA70B6"/>
    <w:rsid w:val="00AA70D9"/>
    <w:rsid w:val="00AA711B"/>
    <w:rsid w:val="00AA7148"/>
    <w:rsid w:val="00AA7156"/>
    <w:rsid w:val="00AA71B4"/>
    <w:rsid w:val="00AA721F"/>
    <w:rsid w:val="00AA7261"/>
    <w:rsid w:val="00AA7280"/>
    <w:rsid w:val="00AA72D7"/>
    <w:rsid w:val="00AA72F5"/>
    <w:rsid w:val="00AA734D"/>
    <w:rsid w:val="00AA736B"/>
    <w:rsid w:val="00AA7372"/>
    <w:rsid w:val="00AA739C"/>
    <w:rsid w:val="00AA73A9"/>
    <w:rsid w:val="00AA73BB"/>
    <w:rsid w:val="00AA7421"/>
    <w:rsid w:val="00AA7423"/>
    <w:rsid w:val="00AA742A"/>
    <w:rsid w:val="00AA74B0"/>
    <w:rsid w:val="00AA74C8"/>
    <w:rsid w:val="00AA74E3"/>
    <w:rsid w:val="00AA7504"/>
    <w:rsid w:val="00AA7530"/>
    <w:rsid w:val="00AA7552"/>
    <w:rsid w:val="00AA7554"/>
    <w:rsid w:val="00AA756A"/>
    <w:rsid w:val="00AA75C6"/>
    <w:rsid w:val="00AA75CE"/>
    <w:rsid w:val="00AA75D7"/>
    <w:rsid w:val="00AA75DE"/>
    <w:rsid w:val="00AA7604"/>
    <w:rsid w:val="00AA764A"/>
    <w:rsid w:val="00AA76A8"/>
    <w:rsid w:val="00AA771D"/>
    <w:rsid w:val="00AA7731"/>
    <w:rsid w:val="00AA7747"/>
    <w:rsid w:val="00AA774A"/>
    <w:rsid w:val="00AA7764"/>
    <w:rsid w:val="00AA784F"/>
    <w:rsid w:val="00AA7851"/>
    <w:rsid w:val="00AA7852"/>
    <w:rsid w:val="00AA7858"/>
    <w:rsid w:val="00AA788A"/>
    <w:rsid w:val="00AA7890"/>
    <w:rsid w:val="00AA7895"/>
    <w:rsid w:val="00AA7950"/>
    <w:rsid w:val="00AA7953"/>
    <w:rsid w:val="00AA7987"/>
    <w:rsid w:val="00AA7993"/>
    <w:rsid w:val="00AA79AE"/>
    <w:rsid w:val="00AA79B3"/>
    <w:rsid w:val="00AA7A57"/>
    <w:rsid w:val="00AA7A68"/>
    <w:rsid w:val="00AA7AC9"/>
    <w:rsid w:val="00AA7AEC"/>
    <w:rsid w:val="00AA7B04"/>
    <w:rsid w:val="00AA7B29"/>
    <w:rsid w:val="00AA7B40"/>
    <w:rsid w:val="00AA7B9B"/>
    <w:rsid w:val="00AA7C14"/>
    <w:rsid w:val="00AA7C16"/>
    <w:rsid w:val="00AA7C27"/>
    <w:rsid w:val="00AA7C7C"/>
    <w:rsid w:val="00AA7D84"/>
    <w:rsid w:val="00AA7D8A"/>
    <w:rsid w:val="00AA7E0D"/>
    <w:rsid w:val="00AA7E79"/>
    <w:rsid w:val="00AA7EB4"/>
    <w:rsid w:val="00AA7EBF"/>
    <w:rsid w:val="00AA7EC8"/>
    <w:rsid w:val="00AA7EFD"/>
    <w:rsid w:val="00AA7F16"/>
    <w:rsid w:val="00AA7FB4"/>
    <w:rsid w:val="00AA7FC1"/>
    <w:rsid w:val="00AA7FFC"/>
    <w:rsid w:val="00AB0064"/>
    <w:rsid w:val="00AB00B8"/>
    <w:rsid w:val="00AB00D9"/>
    <w:rsid w:val="00AB00DC"/>
    <w:rsid w:val="00AB00EB"/>
    <w:rsid w:val="00AB010F"/>
    <w:rsid w:val="00AB01EF"/>
    <w:rsid w:val="00AB0212"/>
    <w:rsid w:val="00AB022E"/>
    <w:rsid w:val="00AB02BA"/>
    <w:rsid w:val="00AB02D3"/>
    <w:rsid w:val="00AB02E4"/>
    <w:rsid w:val="00AB0308"/>
    <w:rsid w:val="00AB03A0"/>
    <w:rsid w:val="00AB03C3"/>
    <w:rsid w:val="00AB03D7"/>
    <w:rsid w:val="00AB0417"/>
    <w:rsid w:val="00AB0436"/>
    <w:rsid w:val="00AB0457"/>
    <w:rsid w:val="00AB048E"/>
    <w:rsid w:val="00AB0495"/>
    <w:rsid w:val="00AB049A"/>
    <w:rsid w:val="00AB04C1"/>
    <w:rsid w:val="00AB04EB"/>
    <w:rsid w:val="00AB04F8"/>
    <w:rsid w:val="00AB053A"/>
    <w:rsid w:val="00AB0582"/>
    <w:rsid w:val="00AB05B9"/>
    <w:rsid w:val="00AB05D6"/>
    <w:rsid w:val="00AB05EA"/>
    <w:rsid w:val="00AB062D"/>
    <w:rsid w:val="00AB0642"/>
    <w:rsid w:val="00AB0747"/>
    <w:rsid w:val="00AB0770"/>
    <w:rsid w:val="00AB0793"/>
    <w:rsid w:val="00AB07EE"/>
    <w:rsid w:val="00AB0890"/>
    <w:rsid w:val="00AB08CD"/>
    <w:rsid w:val="00AB08D0"/>
    <w:rsid w:val="00AB0918"/>
    <w:rsid w:val="00AB0941"/>
    <w:rsid w:val="00AB098E"/>
    <w:rsid w:val="00AB09A2"/>
    <w:rsid w:val="00AB09E4"/>
    <w:rsid w:val="00AB09E5"/>
    <w:rsid w:val="00AB09F2"/>
    <w:rsid w:val="00AB0AB5"/>
    <w:rsid w:val="00AB0B23"/>
    <w:rsid w:val="00AB0B2B"/>
    <w:rsid w:val="00AB0B77"/>
    <w:rsid w:val="00AB0BF2"/>
    <w:rsid w:val="00AB0C32"/>
    <w:rsid w:val="00AB0CAA"/>
    <w:rsid w:val="00AB0D0A"/>
    <w:rsid w:val="00AB0D87"/>
    <w:rsid w:val="00AB0D9C"/>
    <w:rsid w:val="00AB0E0D"/>
    <w:rsid w:val="00AB0E29"/>
    <w:rsid w:val="00AB0E4D"/>
    <w:rsid w:val="00AB0E75"/>
    <w:rsid w:val="00AB0E87"/>
    <w:rsid w:val="00AB0F41"/>
    <w:rsid w:val="00AB0F46"/>
    <w:rsid w:val="00AB0F4E"/>
    <w:rsid w:val="00AB0F6D"/>
    <w:rsid w:val="00AB0FC7"/>
    <w:rsid w:val="00AB0FD9"/>
    <w:rsid w:val="00AB1052"/>
    <w:rsid w:val="00AB1065"/>
    <w:rsid w:val="00AB10A5"/>
    <w:rsid w:val="00AB10B8"/>
    <w:rsid w:val="00AB10C0"/>
    <w:rsid w:val="00AB10F2"/>
    <w:rsid w:val="00AB110D"/>
    <w:rsid w:val="00AB1157"/>
    <w:rsid w:val="00AB115B"/>
    <w:rsid w:val="00AB1209"/>
    <w:rsid w:val="00AB120D"/>
    <w:rsid w:val="00AB1253"/>
    <w:rsid w:val="00AB1291"/>
    <w:rsid w:val="00AB130F"/>
    <w:rsid w:val="00AB1330"/>
    <w:rsid w:val="00AB139A"/>
    <w:rsid w:val="00AB139B"/>
    <w:rsid w:val="00AB13D2"/>
    <w:rsid w:val="00AB13F5"/>
    <w:rsid w:val="00AB1418"/>
    <w:rsid w:val="00AB1489"/>
    <w:rsid w:val="00AB1497"/>
    <w:rsid w:val="00AB150B"/>
    <w:rsid w:val="00AB1516"/>
    <w:rsid w:val="00AB1536"/>
    <w:rsid w:val="00AB1569"/>
    <w:rsid w:val="00AB1570"/>
    <w:rsid w:val="00AB1577"/>
    <w:rsid w:val="00AB159A"/>
    <w:rsid w:val="00AB15BA"/>
    <w:rsid w:val="00AB15C7"/>
    <w:rsid w:val="00AB15DC"/>
    <w:rsid w:val="00AB15F0"/>
    <w:rsid w:val="00AB1601"/>
    <w:rsid w:val="00AB165F"/>
    <w:rsid w:val="00AB167A"/>
    <w:rsid w:val="00AB1748"/>
    <w:rsid w:val="00AB175A"/>
    <w:rsid w:val="00AB1793"/>
    <w:rsid w:val="00AB185B"/>
    <w:rsid w:val="00AB1861"/>
    <w:rsid w:val="00AB18A6"/>
    <w:rsid w:val="00AB18C3"/>
    <w:rsid w:val="00AB18FD"/>
    <w:rsid w:val="00AB1901"/>
    <w:rsid w:val="00AB190D"/>
    <w:rsid w:val="00AB194F"/>
    <w:rsid w:val="00AB1965"/>
    <w:rsid w:val="00AB1994"/>
    <w:rsid w:val="00AB19C7"/>
    <w:rsid w:val="00AB19F9"/>
    <w:rsid w:val="00AB1A58"/>
    <w:rsid w:val="00AB1A6F"/>
    <w:rsid w:val="00AB1B3A"/>
    <w:rsid w:val="00AB1B54"/>
    <w:rsid w:val="00AB1B7E"/>
    <w:rsid w:val="00AB1C27"/>
    <w:rsid w:val="00AB1C63"/>
    <w:rsid w:val="00AB1C99"/>
    <w:rsid w:val="00AB1CDD"/>
    <w:rsid w:val="00AB1CE8"/>
    <w:rsid w:val="00AB1CF0"/>
    <w:rsid w:val="00AB1D06"/>
    <w:rsid w:val="00AB1D19"/>
    <w:rsid w:val="00AB1D2D"/>
    <w:rsid w:val="00AB1D53"/>
    <w:rsid w:val="00AB1D54"/>
    <w:rsid w:val="00AB1D5D"/>
    <w:rsid w:val="00AB1DB1"/>
    <w:rsid w:val="00AB1DEE"/>
    <w:rsid w:val="00AB1E2C"/>
    <w:rsid w:val="00AB1E36"/>
    <w:rsid w:val="00AB1E55"/>
    <w:rsid w:val="00AB1E57"/>
    <w:rsid w:val="00AB1EBD"/>
    <w:rsid w:val="00AB1F24"/>
    <w:rsid w:val="00AB1F6B"/>
    <w:rsid w:val="00AB1FA1"/>
    <w:rsid w:val="00AB1FB0"/>
    <w:rsid w:val="00AB1FD4"/>
    <w:rsid w:val="00AB2003"/>
    <w:rsid w:val="00AB200F"/>
    <w:rsid w:val="00AB206F"/>
    <w:rsid w:val="00AB20D2"/>
    <w:rsid w:val="00AB20E9"/>
    <w:rsid w:val="00AB21E6"/>
    <w:rsid w:val="00AB2217"/>
    <w:rsid w:val="00AB2253"/>
    <w:rsid w:val="00AB22C2"/>
    <w:rsid w:val="00AB22C5"/>
    <w:rsid w:val="00AB22E9"/>
    <w:rsid w:val="00AB22F5"/>
    <w:rsid w:val="00AB2357"/>
    <w:rsid w:val="00AB2375"/>
    <w:rsid w:val="00AB23A2"/>
    <w:rsid w:val="00AB23AE"/>
    <w:rsid w:val="00AB2419"/>
    <w:rsid w:val="00AB2435"/>
    <w:rsid w:val="00AB2438"/>
    <w:rsid w:val="00AB245D"/>
    <w:rsid w:val="00AB2461"/>
    <w:rsid w:val="00AB247F"/>
    <w:rsid w:val="00AB24B4"/>
    <w:rsid w:val="00AB24C5"/>
    <w:rsid w:val="00AB252F"/>
    <w:rsid w:val="00AB25B9"/>
    <w:rsid w:val="00AB2637"/>
    <w:rsid w:val="00AB2645"/>
    <w:rsid w:val="00AB2668"/>
    <w:rsid w:val="00AB266D"/>
    <w:rsid w:val="00AB2697"/>
    <w:rsid w:val="00AB26E1"/>
    <w:rsid w:val="00AB26EE"/>
    <w:rsid w:val="00AB26F0"/>
    <w:rsid w:val="00AB270F"/>
    <w:rsid w:val="00AB272A"/>
    <w:rsid w:val="00AB275D"/>
    <w:rsid w:val="00AB2760"/>
    <w:rsid w:val="00AB27D5"/>
    <w:rsid w:val="00AB2810"/>
    <w:rsid w:val="00AB2859"/>
    <w:rsid w:val="00AB28A3"/>
    <w:rsid w:val="00AB28C6"/>
    <w:rsid w:val="00AB28E4"/>
    <w:rsid w:val="00AB28E8"/>
    <w:rsid w:val="00AB2941"/>
    <w:rsid w:val="00AB2948"/>
    <w:rsid w:val="00AB297F"/>
    <w:rsid w:val="00AB29A0"/>
    <w:rsid w:val="00AB29D5"/>
    <w:rsid w:val="00AB2A1F"/>
    <w:rsid w:val="00AB2AD2"/>
    <w:rsid w:val="00AB2B1D"/>
    <w:rsid w:val="00AB2B40"/>
    <w:rsid w:val="00AB2C68"/>
    <w:rsid w:val="00AB2C8E"/>
    <w:rsid w:val="00AB2C99"/>
    <w:rsid w:val="00AB2CF6"/>
    <w:rsid w:val="00AB2D39"/>
    <w:rsid w:val="00AB2D56"/>
    <w:rsid w:val="00AB2D9A"/>
    <w:rsid w:val="00AB2DBC"/>
    <w:rsid w:val="00AB2DC0"/>
    <w:rsid w:val="00AB2E1E"/>
    <w:rsid w:val="00AB2E60"/>
    <w:rsid w:val="00AB2EC4"/>
    <w:rsid w:val="00AB2EC8"/>
    <w:rsid w:val="00AB2EF0"/>
    <w:rsid w:val="00AB2F07"/>
    <w:rsid w:val="00AB2F1B"/>
    <w:rsid w:val="00AB2F2E"/>
    <w:rsid w:val="00AB304A"/>
    <w:rsid w:val="00AB30E2"/>
    <w:rsid w:val="00AB30E4"/>
    <w:rsid w:val="00AB30E9"/>
    <w:rsid w:val="00AB31CC"/>
    <w:rsid w:val="00AB31D3"/>
    <w:rsid w:val="00AB31E2"/>
    <w:rsid w:val="00AB31E3"/>
    <w:rsid w:val="00AB3208"/>
    <w:rsid w:val="00AB3248"/>
    <w:rsid w:val="00AB329E"/>
    <w:rsid w:val="00AB32E0"/>
    <w:rsid w:val="00AB32E3"/>
    <w:rsid w:val="00AB32E9"/>
    <w:rsid w:val="00AB330D"/>
    <w:rsid w:val="00AB331F"/>
    <w:rsid w:val="00AB3344"/>
    <w:rsid w:val="00AB33B6"/>
    <w:rsid w:val="00AB33E6"/>
    <w:rsid w:val="00AB3430"/>
    <w:rsid w:val="00AB3439"/>
    <w:rsid w:val="00AB3456"/>
    <w:rsid w:val="00AB348D"/>
    <w:rsid w:val="00AB3499"/>
    <w:rsid w:val="00AB349E"/>
    <w:rsid w:val="00AB34A4"/>
    <w:rsid w:val="00AB34B2"/>
    <w:rsid w:val="00AB34E9"/>
    <w:rsid w:val="00AB3585"/>
    <w:rsid w:val="00AB3607"/>
    <w:rsid w:val="00AB3626"/>
    <w:rsid w:val="00AB3642"/>
    <w:rsid w:val="00AB3698"/>
    <w:rsid w:val="00AB36DA"/>
    <w:rsid w:val="00AB36E4"/>
    <w:rsid w:val="00AB3710"/>
    <w:rsid w:val="00AB3733"/>
    <w:rsid w:val="00AB3743"/>
    <w:rsid w:val="00AB374C"/>
    <w:rsid w:val="00AB376F"/>
    <w:rsid w:val="00AB3778"/>
    <w:rsid w:val="00AB378E"/>
    <w:rsid w:val="00AB379C"/>
    <w:rsid w:val="00AB37DA"/>
    <w:rsid w:val="00AB3804"/>
    <w:rsid w:val="00AB385D"/>
    <w:rsid w:val="00AB385E"/>
    <w:rsid w:val="00AB3869"/>
    <w:rsid w:val="00AB3891"/>
    <w:rsid w:val="00AB38A0"/>
    <w:rsid w:val="00AB38A1"/>
    <w:rsid w:val="00AB38B3"/>
    <w:rsid w:val="00AB390D"/>
    <w:rsid w:val="00AB3950"/>
    <w:rsid w:val="00AB39F4"/>
    <w:rsid w:val="00AB3A06"/>
    <w:rsid w:val="00AB3A33"/>
    <w:rsid w:val="00AB3A34"/>
    <w:rsid w:val="00AB3A39"/>
    <w:rsid w:val="00AB3A48"/>
    <w:rsid w:val="00AB3A76"/>
    <w:rsid w:val="00AB3A94"/>
    <w:rsid w:val="00AB3AEE"/>
    <w:rsid w:val="00AB3B66"/>
    <w:rsid w:val="00AB3B89"/>
    <w:rsid w:val="00AB3BAC"/>
    <w:rsid w:val="00AB3BB1"/>
    <w:rsid w:val="00AB3BC0"/>
    <w:rsid w:val="00AB3BC5"/>
    <w:rsid w:val="00AB3C18"/>
    <w:rsid w:val="00AB3C83"/>
    <w:rsid w:val="00AB3CD6"/>
    <w:rsid w:val="00AB3D51"/>
    <w:rsid w:val="00AB3DE9"/>
    <w:rsid w:val="00AB3E27"/>
    <w:rsid w:val="00AB3E3B"/>
    <w:rsid w:val="00AB3EC9"/>
    <w:rsid w:val="00AB3ED5"/>
    <w:rsid w:val="00AB3F00"/>
    <w:rsid w:val="00AB3F05"/>
    <w:rsid w:val="00AB3F1F"/>
    <w:rsid w:val="00AB3F59"/>
    <w:rsid w:val="00AB3F9D"/>
    <w:rsid w:val="00AB3FD2"/>
    <w:rsid w:val="00AB3FDE"/>
    <w:rsid w:val="00AB405D"/>
    <w:rsid w:val="00AB4066"/>
    <w:rsid w:val="00AB4076"/>
    <w:rsid w:val="00AB40AD"/>
    <w:rsid w:val="00AB40B2"/>
    <w:rsid w:val="00AB4184"/>
    <w:rsid w:val="00AB419C"/>
    <w:rsid w:val="00AB419E"/>
    <w:rsid w:val="00AB41C7"/>
    <w:rsid w:val="00AB41CB"/>
    <w:rsid w:val="00AB41EE"/>
    <w:rsid w:val="00AB4200"/>
    <w:rsid w:val="00AB428D"/>
    <w:rsid w:val="00AB42B8"/>
    <w:rsid w:val="00AB4334"/>
    <w:rsid w:val="00AB4336"/>
    <w:rsid w:val="00AB434C"/>
    <w:rsid w:val="00AB4358"/>
    <w:rsid w:val="00AB4387"/>
    <w:rsid w:val="00AB43D2"/>
    <w:rsid w:val="00AB4402"/>
    <w:rsid w:val="00AB4441"/>
    <w:rsid w:val="00AB4495"/>
    <w:rsid w:val="00AB449D"/>
    <w:rsid w:val="00AB44AD"/>
    <w:rsid w:val="00AB44D3"/>
    <w:rsid w:val="00AB44EE"/>
    <w:rsid w:val="00AB4510"/>
    <w:rsid w:val="00AB4524"/>
    <w:rsid w:val="00AB4533"/>
    <w:rsid w:val="00AB4560"/>
    <w:rsid w:val="00AB45F7"/>
    <w:rsid w:val="00AB45F8"/>
    <w:rsid w:val="00AB4631"/>
    <w:rsid w:val="00AB4647"/>
    <w:rsid w:val="00AB464C"/>
    <w:rsid w:val="00AB470E"/>
    <w:rsid w:val="00AB4728"/>
    <w:rsid w:val="00AB4741"/>
    <w:rsid w:val="00AB474E"/>
    <w:rsid w:val="00AB4766"/>
    <w:rsid w:val="00AB4791"/>
    <w:rsid w:val="00AB47BB"/>
    <w:rsid w:val="00AB47DC"/>
    <w:rsid w:val="00AB47E1"/>
    <w:rsid w:val="00AB480B"/>
    <w:rsid w:val="00AB483F"/>
    <w:rsid w:val="00AB486F"/>
    <w:rsid w:val="00AB4884"/>
    <w:rsid w:val="00AB48C5"/>
    <w:rsid w:val="00AB4922"/>
    <w:rsid w:val="00AB494E"/>
    <w:rsid w:val="00AB4A0E"/>
    <w:rsid w:val="00AB4A1E"/>
    <w:rsid w:val="00AB4A64"/>
    <w:rsid w:val="00AB4A70"/>
    <w:rsid w:val="00AB4AAF"/>
    <w:rsid w:val="00AB4ADB"/>
    <w:rsid w:val="00AB4B20"/>
    <w:rsid w:val="00AB4B2C"/>
    <w:rsid w:val="00AB4B4B"/>
    <w:rsid w:val="00AB4B52"/>
    <w:rsid w:val="00AB4B57"/>
    <w:rsid w:val="00AB4B66"/>
    <w:rsid w:val="00AB4B77"/>
    <w:rsid w:val="00AB4B8E"/>
    <w:rsid w:val="00AB4B98"/>
    <w:rsid w:val="00AB4BAF"/>
    <w:rsid w:val="00AB4BBD"/>
    <w:rsid w:val="00AB4BEE"/>
    <w:rsid w:val="00AB4C26"/>
    <w:rsid w:val="00AB4C33"/>
    <w:rsid w:val="00AB4CAA"/>
    <w:rsid w:val="00AB4D4A"/>
    <w:rsid w:val="00AB4DA3"/>
    <w:rsid w:val="00AB4DF7"/>
    <w:rsid w:val="00AB4E6F"/>
    <w:rsid w:val="00AB4E7A"/>
    <w:rsid w:val="00AB4E7C"/>
    <w:rsid w:val="00AB4E94"/>
    <w:rsid w:val="00AB4EAC"/>
    <w:rsid w:val="00AB4EAF"/>
    <w:rsid w:val="00AB4F4A"/>
    <w:rsid w:val="00AB4F64"/>
    <w:rsid w:val="00AB4FB2"/>
    <w:rsid w:val="00AB4FC5"/>
    <w:rsid w:val="00AB4FCF"/>
    <w:rsid w:val="00AB5054"/>
    <w:rsid w:val="00AB50B5"/>
    <w:rsid w:val="00AB514A"/>
    <w:rsid w:val="00AB5166"/>
    <w:rsid w:val="00AB518E"/>
    <w:rsid w:val="00AB5195"/>
    <w:rsid w:val="00AB51AD"/>
    <w:rsid w:val="00AB5205"/>
    <w:rsid w:val="00AB521A"/>
    <w:rsid w:val="00AB5297"/>
    <w:rsid w:val="00AB52A4"/>
    <w:rsid w:val="00AB52B4"/>
    <w:rsid w:val="00AB52CE"/>
    <w:rsid w:val="00AB5317"/>
    <w:rsid w:val="00AB5329"/>
    <w:rsid w:val="00AB5339"/>
    <w:rsid w:val="00AB534F"/>
    <w:rsid w:val="00AB5364"/>
    <w:rsid w:val="00AB53B5"/>
    <w:rsid w:val="00AB53B8"/>
    <w:rsid w:val="00AB5447"/>
    <w:rsid w:val="00AB54A2"/>
    <w:rsid w:val="00AB54A9"/>
    <w:rsid w:val="00AB557B"/>
    <w:rsid w:val="00AB557E"/>
    <w:rsid w:val="00AB5593"/>
    <w:rsid w:val="00AB5597"/>
    <w:rsid w:val="00AB55CA"/>
    <w:rsid w:val="00AB55CB"/>
    <w:rsid w:val="00AB5698"/>
    <w:rsid w:val="00AB5759"/>
    <w:rsid w:val="00AB57B2"/>
    <w:rsid w:val="00AB57B5"/>
    <w:rsid w:val="00AB57EC"/>
    <w:rsid w:val="00AB5850"/>
    <w:rsid w:val="00AB58D3"/>
    <w:rsid w:val="00AB5907"/>
    <w:rsid w:val="00AB593B"/>
    <w:rsid w:val="00AB5949"/>
    <w:rsid w:val="00AB59C4"/>
    <w:rsid w:val="00AB5A56"/>
    <w:rsid w:val="00AB5A75"/>
    <w:rsid w:val="00AB5A7A"/>
    <w:rsid w:val="00AB5B1A"/>
    <w:rsid w:val="00AB5B28"/>
    <w:rsid w:val="00AB5B5C"/>
    <w:rsid w:val="00AB5BF4"/>
    <w:rsid w:val="00AB5C16"/>
    <w:rsid w:val="00AB5C73"/>
    <w:rsid w:val="00AB5C8F"/>
    <w:rsid w:val="00AB5CE5"/>
    <w:rsid w:val="00AB5CFC"/>
    <w:rsid w:val="00AB5D0B"/>
    <w:rsid w:val="00AB5D50"/>
    <w:rsid w:val="00AB5D54"/>
    <w:rsid w:val="00AB5DD6"/>
    <w:rsid w:val="00AB5E25"/>
    <w:rsid w:val="00AB5E37"/>
    <w:rsid w:val="00AB5E60"/>
    <w:rsid w:val="00AB5EA5"/>
    <w:rsid w:val="00AB5EFF"/>
    <w:rsid w:val="00AB5F17"/>
    <w:rsid w:val="00AB5F30"/>
    <w:rsid w:val="00AB5F38"/>
    <w:rsid w:val="00AB5F55"/>
    <w:rsid w:val="00AB5F8B"/>
    <w:rsid w:val="00AB5F99"/>
    <w:rsid w:val="00AB6042"/>
    <w:rsid w:val="00AB606E"/>
    <w:rsid w:val="00AB6072"/>
    <w:rsid w:val="00AB60D7"/>
    <w:rsid w:val="00AB6130"/>
    <w:rsid w:val="00AB619F"/>
    <w:rsid w:val="00AB61B6"/>
    <w:rsid w:val="00AB61D5"/>
    <w:rsid w:val="00AB6244"/>
    <w:rsid w:val="00AB6259"/>
    <w:rsid w:val="00AB62B4"/>
    <w:rsid w:val="00AB63B4"/>
    <w:rsid w:val="00AB63C5"/>
    <w:rsid w:val="00AB63CB"/>
    <w:rsid w:val="00AB6435"/>
    <w:rsid w:val="00AB6453"/>
    <w:rsid w:val="00AB64B8"/>
    <w:rsid w:val="00AB651C"/>
    <w:rsid w:val="00AB653E"/>
    <w:rsid w:val="00AB65BC"/>
    <w:rsid w:val="00AB65D8"/>
    <w:rsid w:val="00AB66A5"/>
    <w:rsid w:val="00AB66D4"/>
    <w:rsid w:val="00AB66E8"/>
    <w:rsid w:val="00AB66EF"/>
    <w:rsid w:val="00AB67D0"/>
    <w:rsid w:val="00AB67F2"/>
    <w:rsid w:val="00AB684F"/>
    <w:rsid w:val="00AB6873"/>
    <w:rsid w:val="00AB6879"/>
    <w:rsid w:val="00AB68AB"/>
    <w:rsid w:val="00AB68F1"/>
    <w:rsid w:val="00AB6912"/>
    <w:rsid w:val="00AB6917"/>
    <w:rsid w:val="00AB69BD"/>
    <w:rsid w:val="00AB69BE"/>
    <w:rsid w:val="00AB69DB"/>
    <w:rsid w:val="00AB69EB"/>
    <w:rsid w:val="00AB6A02"/>
    <w:rsid w:val="00AB6ABF"/>
    <w:rsid w:val="00AB6AC4"/>
    <w:rsid w:val="00AB6AC8"/>
    <w:rsid w:val="00AB6AFE"/>
    <w:rsid w:val="00AB6B46"/>
    <w:rsid w:val="00AB6B57"/>
    <w:rsid w:val="00AB6BA0"/>
    <w:rsid w:val="00AB6C19"/>
    <w:rsid w:val="00AB6C64"/>
    <w:rsid w:val="00AB6CFC"/>
    <w:rsid w:val="00AB6D09"/>
    <w:rsid w:val="00AB6D2D"/>
    <w:rsid w:val="00AB6DC0"/>
    <w:rsid w:val="00AB6DEC"/>
    <w:rsid w:val="00AB6DF8"/>
    <w:rsid w:val="00AB6E2A"/>
    <w:rsid w:val="00AB6E55"/>
    <w:rsid w:val="00AB6EAA"/>
    <w:rsid w:val="00AB6EBD"/>
    <w:rsid w:val="00AB6EF2"/>
    <w:rsid w:val="00AB6F0E"/>
    <w:rsid w:val="00AB6F34"/>
    <w:rsid w:val="00AB6F4A"/>
    <w:rsid w:val="00AB6F4E"/>
    <w:rsid w:val="00AB6F5A"/>
    <w:rsid w:val="00AB6FD7"/>
    <w:rsid w:val="00AB6FE8"/>
    <w:rsid w:val="00AB700C"/>
    <w:rsid w:val="00AB7018"/>
    <w:rsid w:val="00AB7071"/>
    <w:rsid w:val="00AB70CF"/>
    <w:rsid w:val="00AB7106"/>
    <w:rsid w:val="00AB712A"/>
    <w:rsid w:val="00AB712B"/>
    <w:rsid w:val="00AB716A"/>
    <w:rsid w:val="00AB717E"/>
    <w:rsid w:val="00AB71C3"/>
    <w:rsid w:val="00AB71FF"/>
    <w:rsid w:val="00AB7230"/>
    <w:rsid w:val="00AB7241"/>
    <w:rsid w:val="00AB7320"/>
    <w:rsid w:val="00AB7341"/>
    <w:rsid w:val="00AB735E"/>
    <w:rsid w:val="00AB73DD"/>
    <w:rsid w:val="00AB7464"/>
    <w:rsid w:val="00AB7488"/>
    <w:rsid w:val="00AB748C"/>
    <w:rsid w:val="00AB7496"/>
    <w:rsid w:val="00AB752A"/>
    <w:rsid w:val="00AB7556"/>
    <w:rsid w:val="00AB756E"/>
    <w:rsid w:val="00AB75EF"/>
    <w:rsid w:val="00AB75F0"/>
    <w:rsid w:val="00AB7620"/>
    <w:rsid w:val="00AB7666"/>
    <w:rsid w:val="00AB766C"/>
    <w:rsid w:val="00AB76AC"/>
    <w:rsid w:val="00AB7717"/>
    <w:rsid w:val="00AB7784"/>
    <w:rsid w:val="00AB7785"/>
    <w:rsid w:val="00AB77D3"/>
    <w:rsid w:val="00AB77FE"/>
    <w:rsid w:val="00AB7809"/>
    <w:rsid w:val="00AB7829"/>
    <w:rsid w:val="00AB783A"/>
    <w:rsid w:val="00AB788D"/>
    <w:rsid w:val="00AB7891"/>
    <w:rsid w:val="00AB789F"/>
    <w:rsid w:val="00AB790F"/>
    <w:rsid w:val="00AB7912"/>
    <w:rsid w:val="00AB796C"/>
    <w:rsid w:val="00AB7981"/>
    <w:rsid w:val="00AB79B3"/>
    <w:rsid w:val="00AB79E2"/>
    <w:rsid w:val="00AB79EB"/>
    <w:rsid w:val="00AB79ED"/>
    <w:rsid w:val="00AB7A43"/>
    <w:rsid w:val="00AB7A6A"/>
    <w:rsid w:val="00AB7A8D"/>
    <w:rsid w:val="00AB7A9B"/>
    <w:rsid w:val="00AB7ADE"/>
    <w:rsid w:val="00AB7B69"/>
    <w:rsid w:val="00AB7BBF"/>
    <w:rsid w:val="00AB7C12"/>
    <w:rsid w:val="00AB7C25"/>
    <w:rsid w:val="00AB7C5C"/>
    <w:rsid w:val="00AB7C6A"/>
    <w:rsid w:val="00AB7DDB"/>
    <w:rsid w:val="00AB7DE2"/>
    <w:rsid w:val="00AB7E0C"/>
    <w:rsid w:val="00AB7E3A"/>
    <w:rsid w:val="00AB7E67"/>
    <w:rsid w:val="00AB7E8F"/>
    <w:rsid w:val="00AB7EED"/>
    <w:rsid w:val="00AB7F31"/>
    <w:rsid w:val="00AB7F5D"/>
    <w:rsid w:val="00AB7F64"/>
    <w:rsid w:val="00AB7FB5"/>
    <w:rsid w:val="00AB7FD6"/>
    <w:rsid w:val="00AB7FE6"/>
    <w:rsid w:val="00AC00A8"/>
    <w:rsid w:val="00AC018E"/>
    <w:rsid w:val="00AC0274"/>
    <w:rsid w:val="00AC0279"/>
    <w:rsid w:val="00AC0312"/>
    <w:rsid w:val="00AC033F"/>
    <w:rsid w:val="00AC0375"/>
    <w:rsid w:val="00AC03AB"/>
    <w:rsid w:val="00AC040C"/>
    <w:rsid w:val="00AC0503"/>
    <w:rsid w:val="00AC0551"/>
    <w:rsid w:val="00AC0560"/>
    <w:rsid w:val="00AC05CB"/>
    <w:rsid w:val="00AC068D"/>
    <w:rsid w:val="00AC06D4"/>
    <w:rsid w:val="00AC0710"/>
    <w:rsid w:val="00AC0715"/>
    <w:rsid w:val="00AC074C"/>
    <w:rsid w:val="00AC075F"/>
    <w:rsid w:val="00AC0772"/>
    <w:rsid w:val="00AC07BD"/>
    <w:rsid w:val="00AC07F2"/>
    <w:rsid w:val="00AC084B"/>
    <w:rsid w:val="00AC0884"/>
    <w:rsid w:val="00AC092A"/>
    <w:rsid w:val="00AC0960"/>
    <w:rsid w:val="00AC097F"/>
    <w:rsid w:val="00AC09A3"/>
    <w:rsid w:val="00AC09A7"/>
    <w:rsid w:val="00AC09D2"/>
    <w:rsid w:val="00AC09F5"/>
    <w:rsid w:val="00AC0A0C"/>
    <w:rsid w:val="00AC0A7A"/>
    <w:rsid w:val="00AC0AA8"/>
    <w:rsid w:val="00AC0ACB"/>
    <w:rsid w:val="00AC0AEF"/>
    <w:rsid w:val="00AC0AFA"/>
    <w:rsid w:val="00AC0B03"/>
    <w:rsid w:val="00AC0B32"/>
    <w:rsid w:val="00AC0B7C"/>
    <w:rsid w:val="00AC0BA9"/>
    <w:rsid w:val="00AC0BF8"/>
    <w:rsid w:val="00AC0C0A"/>
    <w:rsid w:val="00AC0C63"/>
    <w:rsid w:val="00AC0C8A"/>
    <w:rsid w:val="00AC0CA2"/>
    <w:rsid w:val="00AC0CA4"/>
    <w:rsid w:val="00AC0CBC"/>
    <w:rsid w:val="00AC0CBE"/>
    <w:rsid w:val="00AC0D10"/>
    <w:rsid w:val="00AC0D25"/>
    <w:rsid w:val="00AC0D33"/>
    <w:rsid w:val="00AC0D39"/>
    <w:rsid w:val="00AC0D4C"/>
    <w:rsid w:val="00AC0D6D"/>
    <w:rsid w:val="00AC0D8F"/>
    <w:rsid w:val="00AC0DDF"/>
    <w:rsid w:val="00AC0E67"/>
    <w:rsid w:val="00AC0E73"/>
    <w:rsid w:val="00AC0ECA"/>
    <w:rsid w:val="00AC0F11"/>
    <w:rsid w:val="00AC0F48"/>
    <w:rsid w:val="00AC0F7A"/>
    <w:rsid w:val="00AC10B1"/>
    <w:rsid w:val="00AC10C1"/>
    <w:rsid w:val="00AC10D9"/>
    <w:rsid w:val="00AC10F2"/>
    <w:rsid w:val="00AC10FB"/>
    <w:rsid w:val="00AC1164"/>
    <w:rsid w:val="00AC11A7"/>
    <w:rsid w:val="00AC1213"/>
    <w:rsid w:val="00AC1244"/>
    <w:rsid w:val="00AC1246"/>
    <w:rsid w:val="00AC12A7"/>
    <w:rsid w:val="00AC12D1"/>
    <w:rsid w:val="00AC12D2"/>
    <w:rsid w:val="00AC1302"/>
    <w:rsid w:val="00AC131E"/>
    <w:rsid w:val="00AC136D"/>
    <w:rsid w:val="00AC1371"/>
    <w:rsid w:val="00AC13CB"/>
    <w:rsid w:val="00AC13CE"/>
    <w:rsid w:val="00AC1466"/>
    <w:rsid w:val="00AC149B"/>
    <w:rsid w:val="00AC14E0"/>
    <w:rsid w:val="00AC1510"/>
    <w:rsid w:val="00AC1564"/>
    <w:rsid w:val="00AC159F"/>
    <w:rsid w:val="00AC15C7"/>
    <w:rsid w:val="00AC15DD"/>
    <w:rsid w:val="00AC16B2"/>
    <w:rsid w:val="00AC16E9"/>
    <w:rsid w:val="00AC16F4"/>
    <w:rsid w:val="00AC1721"/>
    <w:rsid w:val="00AC176B"/>
    <w:rsid w:val="00AC178C"/>
    <w:rsid w:val="00AC17CD"/>
    <w:rsid w:val="00AC17ED"/>
    <w:rsid w:val="00AC181F"/>
    <w:rsid w:val="00AC1841"/>
    <w:rsid w:val="00AC189B"/>
    <w:rsid w:val="00AC18DC"/>
    <w:rsid w:val="00AC198B"/>
    <w:rsid w:val="00AC19CC"/>
    <w:rsid w:val="00AC19FB"/>
    <w:rsid w:val="00AC1A93"/>
    <w:rsid w:val="00AC1AED"/>
    <w:rsid w:val="00AC1AEF"/>
    <w:rsid w:val="00AC1B01"/>
    <w:rsid w:val="00AC1B6E"/>
    <w:rsid w:val="00AC1B94"/>
    <w:rsid w:val="00AC1B9E"/>
    <w:rsid w:val="00AC1BF1"/>
    <w:rsid w:val="00AC1C58"/>
    <w:rsid w:val="00AC1C8C"/>
    <w:rsid w:val="00AC1C9C"/>
    <w:rsid w:val="00AC1CB9"/>
    <w:rsid w:val="00AC1CC7"/>
    <w:rsid w:val="00AC1CDB"/>
    <w:rsid w:val="00AC1CF8"/>
    <w:rsid w:val="00AC1D61"/>
    <w:rsid w:val="00AC1D71"/>
    <w:rsid w:val="00AC1D84"/>
    <w:rsid w:val="00AC1D9C"/>
    <w:rsid w:val="00AC1E96"/>
    <w:rsid w:val="00AC1ECE"/>
    <w:rsid w:val="00AC1ED9"/>
    <w:rsid w:val="00AC1F6E"/>
    <w:rsid w:val="00AC1F77"/>
    <w:rsid w:val="00AC1FA4"/>
    <w:rsid w:val="00AC1FC3"/>
    <w:rsid w:val="00AC1FC7"/>
    <w:rsid w:val="00AC1FEB"/>
    <w:rsid w:val="00AC1FF2"/>
    <w:rsid w:val="00AC1FFE"/>
    <w:rsid w:val="00AC204F"/>
    <w:rsid w:val="00AC207C"/>
    <w:rsid w:val="00AC2087"/>
    <w:rsid w:val="00AC2105"/>
    <w:rsid w:val="00AC216D"/>
    <w:rsid w:val="00AC2198"/>
    <w:rsid w:val="00AC220B"/>
    <w:rsid w:val="00AC2218"/>
    <w:rsid w:val="00AC221E"/>
    <w:rsid w:val="00AC224C"/>
    <w:rsid w:val="00AC2269"/>
    <w:rsid w:val="00AC226F"/>
    <w:rsid w:val="00AC2289"/>
    <w:rsid w:val="00AC22C5"/>
    <w:rsid w:val="00AC22D3"/>
    <w:rsid w:val="00AC2311"/>
    <w:rsid w:val="00AC2323"/>
    <w:rsid w:val="00AC23BE"/>
    <w:rsid w:val="00AC23C0"/>
    <w:rsid w:val="00AC23FA"/>
    <w:rsid w:val="00AC23FD"/>
    <w:rsid w:val="00AC2438"/>
    <w:rsid w:val="00AC2485"/>
    <w:rsid w:val="00AC24BC"/>
    <w:rsid w:val="00AC24C4"/>
    <w:rsid w:val="00AC24DF"/>
    <w:rsid w:val="00AC24EE"/>
    <w:rsid w:val="00AC2526"/>
    <w:rsid w:val="00AC2546"/>
    <w:rsid w:val="00AC2550"/>
    <w:rsid w:val="00AC25D9"/>
    <w:rsid w:val="00AC25E0"/>
    <w:rsid w:val="00AC2614"/>
    <w:rsid w:val="00AC2626"/>
    <w:rsid w:val="00AC265B"/>
    <w:rsid w:val="00AC2662"/>
    <w:rsid w:val="00AC2685"/>
    <w:rsid w:val="00AC2692"/>
    <w:rsid w:val="00AC26C0"/>
    <w:rsid w:val="00AC2713"/>
    <w:rsid w:val="00AC2723"/>
    <w:rsid w:val="00AC272A"/>
    <w:rsid w:val="00AC27A6"/>
    <w:rsid w:val="00AC27DD"/>
    <w:rsid w:val="00AC280D"/>
    <w:rsid w:val="00AC286A"/>
    <w:rsid w:val="00AC28B6"/>
    <w:rsid w:val="00AC28BE"/>
    <w:rsid w:val="00AC2910"/>
    <w:rsid w:val="00AC293A"/>
    <w:rsid w:val="00AC2948"/>
    <w:rsid w:val="00AC2966"/>
    <w:rsid w:val="00AC29FB"/>
    <w:rsid w:val="00AC2B19"/>
    <w:rsid w:val="00AC2B9B"/>
    <w:rsid w:val="00AC2BD8"/>
    <w:rsid w:val="00AC2C48"/>
    <w:rsid w:val="00AC2C52"/>
    <w:rsid w:val="00AC2C85"/>
    <w:rsid w:val="00AC2D08"/>
    <w:rsid w:val="00AC2D5F"/>
    <w:rsid w:val="00AC2D74"/>
    <w:rsid w:val="00AC2D7C"/>
    <w:rsid w:val="00AC2DBD"/>
    <w:rsid w:val="00AC2DD5"/>
    <w:rsid w:val="00AC2DEB"/>
    <w:rsid w:val="00AC2E03"/>
    <w:rsid w:val="00AC2E60"/>
    <w:rsid w:val="00AC2EAD"/>
    <w:rsid w:val="00AC2EC8"/>
    <w:rsid w:val="00AC2F10"/>
    <w:rsid w:val="00AC2FBE"/>
    <w:rsid w:val="00AC2FFB"/>
    <w:rsid w:val="00AC30A9"/>
    <w:rsid w:val="00AC30AA"/>
    <w:rsid w:val="00AC3147"/>
    <w:rsid w:val="00AC318C"/>
    <w:rsid w:val="00AC3196"/>
    <w:rsid w:val="00AC31A8"/>
    <w:rsid w:val="00AC31B6"/>
    <w:rsid w:val="00AC31C6"/>
    <w:rsid w:val="00AC31E7"/>
    <w:rsid w:val="00AC320F"/>
    <w:rsid w:val="00AC3213"/>
    <w:rsid w:val="00AC32D5"/>
    <w:rsid w:val="00AC33B5"/>
    <w:rsid w:val="00AC342F"/>
    <w:rsid w:val="00AC3499"/>
    <w:rsid w:val="00AC34E7"/>
    <w:rsid w:val="00AC3511"/>
    <w:rsid w:val="00AC3517"/>
    <w:rsid w:val="00AC356D"/>
    <w:rsid w:val="00AC3591"/>
    <w:rsid w:val="00AC362E"/>
    <w:rsid w:val="00AC3641"/>
    <w:rsid w:val="00AC3680"/>
    <w:rsid w:val="00AC3693"/>
    <w:rsid w:val="00AC3755"/>
    <w:rsid w:val="00AC37B2"/>
    <w:rsid w:val="00AC37B9"/>
    <w:rsid w:val="00AC37F7"/>
    <w:rsid w:val="00AC3806"/>
    <w:rsid w:val="00AC382C"/>
    <w:rsid w:val="00AC385C"/>
    <w:rsid w:val="00AC385E"/>
    <w:rsid w:val="00AC388F"/>
    <w:rsid w:val="00AC38AA"/>
    <w:rsid w:val="00AC38FD"/>
    <w:rsid w:val="00AC396F"/>
    <w:rsid w:val="00AC3995"/>
    <w:rsid w:val="00AC39D6"/>
    <w:rsid w:val="00AC3AAB"/>
    <w:rsid w:val="00AC3AD9"/>
    <w:rsid w:val="00AC3B34"/>
    <w:rsid w:val="00AC3B53"/>
    <w:rsid w:val="00AC3B66"/>
    <w:rsid w:val="00AC3B7E"/>
    <w:rsid w:val="00AC3B92"/>
    <w:rsid w:val="00AC3BA7"/>
    <w:rsid w:val="00AC3BFD"/>
    <w:rsid w:val="00AC3C14"/>
    <w:rsid w:val="00AC3C2F"/>
    <w:rsid w:val="00AC3C3F"/>
    <w:rsid w:val="00AC3C81"/>
    <w:rsid w:val="00AC3C9F"/>
    <w:rsid w:val="00AC3CCA"/>
    <w:rsid w:val="00AC3CDB"/>
    <w:rsid w:val="00AC3CF7"/>
    <w:rsid w:val="00AC3D2A"/>
    <w:rsid w:val="00AC3DC2"/>
    <w:rsid w:val="00AC3DDB"/>
    <w:rsid w:val="00AC3E0C"/>
    <w:rsid w:val="00AC3E2F"/>
    <w:rsid w:val="00AC3E4A"/>
    <w:rsid w:val="00AC3E4C"/>
    <w:rsid w:val="00AC3E80"/>
    <w:rsid w:val="00AC3E89"/>
    <w:rsid w:val="00AC3EA0"/>
    <w:rsid w:val="00AC3ECB"/>
    <w:rsid w:val="00AC3ECE"/>
    <w:rsid w:val="00AC3EEE"/>
    <w:rsid w:val="00AC3F0C"/>
    <w:rsid w:val="00AC3F33"/>
    <w:rsid w:val="00AC3F34"/>
    <w:rsid w:val="00AC3FB2"/>
    <w:rsid w:val="00AC3FF3"/>
    <w:rsid w:val="00AC4065"/>
    <w:rsid w:val="00AC4087"/>
    <w:rsid w:val="00AC4089"/>
    <w:rsid w:val="00AC4091"/>
    <w:rsid w:val="00AC40C8"/>
    <w:rsid w:val="00AC40D4"/>
    <w:rsid w:val="00AC4114"/>
    <w:rsid w:val="00AC4125"/>
    <w:rsid w:val="00AC4155"/>
    <w:rsid w:val="00AC41A9"/>
    <w:rsid w:val="00AC41C5"/>
    <w:rsid w:val="00AC41EF"/>
    <w:rsid w:val="00AC41F3"/>
    <w:rsid w:val="00AC41F9"/>
    <w:rsid w:val="00AC423F"/>
    <w:rsid w:val="00AC4283"/>
    <w:rsid w:val="00AC4292"/>
    <w:rsid w:val="00AC432F"/>
    <w:rsid w:val="00AC4383"/>
    <w:rsid w:val="00AC43DE"/>
    <w:rsid w:val="00AC4400"/>
    <w:rsid w:val="00AC4408"/>
    <w:rsid w:val="00AC4435"/>
    <w:rsid w:val="00AC446B"/>
    <w:rsid w:val="00AC4487"/>
    <w:rsid w:val="00AC44E7"/>
    <w:rsid w:val="00AC45A1"/>
    <w:rsid w:val="00AC4649"/>
    <w:rsid w:val="00AC4663"/>
    <w:rsid w:val="00AC466B"/>
    <w:rsid w:val="00AC469D"/>
    <w:rsid w:val="00AC46B4"/>
    <w:rsid w:val="00AC46DA"/>
    <w:rsid w:val="00AC4791"/>
    <w:rsid w:val="00AC47D6"/>
    <w:rsid w:val="00AC4824"/>
    <w:rsid w:val="00AC485C"/>
    <w:rsid w:val="00AC48C4"/>
    <w:rsid w:val="00AC48CD"/>
    <w:rsid w:val="00AC48F9"/>
    <w:rsid w:val="00AC493B"/>
    <w:rsid w:val="00AC49A1"/>
    <w:rsid w:val="00AC49E6"/>
    <w:rsid w:val="00AC4A03"/>
    <w:rsid w:val="00AC4A08"/>
    <w:rsid w:val="00AC4A1A"/>
    <w:rsid w:val="00AC4AB9"/>
    <w:rsid w:val="00AC4ACB"/>
    <w:rsid w:val="00AC4B0D"/>
    <w:rsid w:val="00AC4B8B"/>
    <w:rsid w:val="00AC4BC4"/>
    <w:rsid w:val="00AC4C14"/>
    <w:rsid w:val="00AC4C47"/>
    <w:rsid w:val="00AC4C67"/>
    <w:rsid w:val="00AC4C68"/>
    <w:rsid w:val="00AC4C78"/>
    <w:rsid w:val="00AC4C93"/>
    <w:rsid w:val="00AC4D07"/>
    <w:rsid w:val="00AC4D83"/>
    <w:rsid w:val="00AC4DA8"/>
    <w:rsid w:val="00AC4DFB"/>
    <w:rsid w:val="00AC4E2B"/>
    <w:rsid w:val="00AC4E34"/>
    <w:rsid w:val="00AC4E35"/>
    <w:rsid w:val="00AC4E7C"/>
    <w:rsid w:val="00AC4E83"/>
    <w:rsid w:val="00AC4E9E"/>
    <w:rsid w:val="00AC4EA5"/>
    <w:rsid w:val="00AC4EBA"/>
    <w:rsid w:val="00AC4EF4"/>
    <w:rsid w:val="00AC4F12"/>
    <w:rsid w:val="00AC4FF6"/>
    <w:rsid w:val="00AC5024"/>
    <w:rsid w:val="00AC5028"/>
    <w:rsid w:val="00AC5044"/>
    <w:rsid w:val="00AC504B"/>
    <w:rsid w:val="00AC5081"/>
    <w:rsid w:val="00AC519F"/>
    <w:rsid w:val="00AC520D"/>
    <w:rsid w:val="00AC5211"/>
    <w:rsid w:val="00AC5279"/>
    <w:rsid w:val="00AC52A2"/>
    <w:rsid w:val="00AC52C6"/>
    <w:rsid w:val="00AC530A"/>
    <w:rsid w:val="00AC5336"/>
    <w:rsid w:val="00AC5346"/>
    <w:rsid w:val="00AC5349"/>
    <w:rsid w:val="00AC53B1"/>
    <w:rsid w:val="00AC53B2"/>
    <w:rsid w:val="00AC53E7"/>
    <w:rsid w:val="00AC53F0"/>
    <w:rsid w:val="00AC5405"/>
    <w:rsid w:val="00AC546D"/>
    <w:rsid w:val="00AC552E"/>
    <w:rsid w:val="00AC554C"/>
    <w:rsid w:val="00AC5550"/>
    <w:rsid w:val="00AC5587"/>
    <w:rsid w:val="00AC559C"/>
    <w:rsid w:val="00AC55D9"/>
    <w:rsid w:val="00AC5644"/>
    <w:rsid w:val="00AC56AF"/>
    <w:rsid w:val="00AC56DA"/>
    <w:rsid w:val="00AC5712"/>
    <w:rsid w:val="00AC576D"/>
    <w:rsid w:val="00AC5773"/>
    <w:rsid w:val="00AC57A1"/>
    <w:rsid w:val="00AC585B"/>
    <w:rsid w:val="00AC58B2"/>
    <w:rsid w:val="00AC58D0"/>
    <w:rsid w:val="00AC590C"/>
    <w:rsid w:val="00AC598D"/>
    <w:rsid w:val="00AC59B5"/>
    <w:rsid w:val="00AC59BD"/>
    <w:rsid w:val="00AC59C9"/>
    <w:rsid w:val="00AC59EE"/>
    <w:rsid w:val="00AC5A57"/>
    <w:rsid w:val="00AC5A91"/>
    <w:rsid w:val="00AC5B1C"/>
    <w:rsid w:val="00AC5B22"/>
    <w:rsid w:val="00AC5B33"/>
    <w:rsid w:val="00AC5B47"/>
    <w:rsid w:val="00AC5C0F"/>
    <w:rsid w:val="00AC5C26"/>
    <w:rsid w:val="00AC5C3D"/>
    <w:rsid w:val="00AC5C89"/>
    <w:rsid w:val="00AC5CCC"/>
    <w:rsid w:val="00AC5D4D"/>
    <w:rsid w:val="00AC5D72"/>
    <w:rsid w:val="00AC5D7E"/>
    <w:rsid w:val="00AC5D84"/>
    <w:rsid w:val="00AC5DF8"/>
    <w:rsid w:val="00AC5E08"/>
    <w:rsid w:val="00AC5E29"/>
    <w:rsid w:val="00AC5E3A"/>
    <w:rsid w:val="00AC5E4A"/>
    <w:rsid w:val="00AC5E51"/>
    <w:rsid w:val="00AC5E73"/>
    <w:rsid w:val="00AC5F08"/>
    <w:rsid w:val="00AC5F17"/>
    <w:rsid w:val="00AC5F71"/>
    <w:rsid w:val="00AC6007"/>
    <w:rsid w:val="00AC6114"/>
    <w:rsid w:val="00AC6133"/>
    <w:rsid w:val="00AC6142"/>
    <w:rsid w:val="00AC615A"/>
    <w:rsid w:val="00AC619B"/>
    <w:rsid w:val="00AC61CB"/>
    <w:rsid w:val="00AC61DB"/>
    <w:rsid w:val="00AC61DE"/>
    <w:rsid w:val="00AC61F9"/>
    <w:rsid w:val="00AC625C"/>
    <w:rsid w:val="00AC6266"/>
    <w:rsid w:val="00AC628E"/>
    <w:rsid w:val="00AC62F0"/>
    <w:rsid w:val="00AC6322"/>
    <w:rsid w:val="00AC633A"/>
    <w:rsid w:val="00AC635C"/>
    <w:rsid w:val="00AC63C4"/>
    <w:rsid w:val="00AC63EC"/>
    <w:rsid w:val="00AC6432"/>
    <w:rsid w:val="00AC6434"/>
    <w:rsid w:val="00AC65E1"/>
    <w:rsid w:val="00AC65EF"/>
    <w:rsid w:val="00AC660A"/>
    <w:rsid w:val="00AC665A"/>
    <w:rsid w:val="00AC666A"/>
    <w:rsid w:val="00AC666F"/>
    <w:rsid w:val="00AC668D"/>
    <w:rsid w:val="00AC66F4"/>
    <w:rsid w:val="00AC6715"/>
    <w:rsid w:val="00AC671C"/>
    <w:rsid w:val="00AC6745"/>
    <w:rsid w:val="00AC6783"/>
    <w:rsid w:val="00AC67FE"/>
    <w:rsid w:val="00AC682C"/>
    <w:rsid w:val="00AC6862"/>
    <w:rsid w:val="00AC686A"/>
    <w:rsid w:val="00AC6898"/>
    <w:rsid w:val="00AC68C7"/>
    <w:rsid w:val="00AC699A"/>
    <w:rsid w:val="00AC6A05"/>
    <w:rsid w:val="00AC6A5B"/>
    <w:rsid w:val="00AC6A65"/>
    <w:rsid w:val="00AC6AA4"/>
    <w:rsid w:val="00AC6B36"/>
    <w:rsid w:val="00AC6B4F"/>
    <w:rsid w:val="00AC6B68"/>
    <w:rsid w:val="00AC6B80"/>
    <w:rsid w:val="00AC6B82"/>
    <w:rsid w:val="00AC6BC8"/>
    <w:rsid w:val="00AC6BF5"/>
    <w:rsid w:val="00AC6C14"/>
    <w:rsid w:val="00AC6C19"/>
    <w:rsid w:val="00AC6C1F"/>
    <w:rsid w:val="00AC6C5C"/>
    <w:rsid w:val="00AC6CAA"/>
    <w:rsid w:val="00AC6CBC"/>
    <w:rsid w:val="00AC6D06"/>
    <w:rsid w:val="00AC6D71"/>
    <w:rsid w:val="00AC6D89"/>
    <w:rsid w:val="00AC6DB6"/>
    <w:rsid w:val="00AC6DE6"/>
    <w:rsid w:val="00AC6DE9"/>
    <w:rsid w:val="00AC6E16"/>
    <w:rsid w:val="00AC6E36"/>
    <w:rsid w:val="00AC6E5D"/>
    <w:rsid w:val="00AC6EC0"/>
    <w:rsid w:val="00AC6EEF"/>
    <w:rsid w:val="00AC6F16"/>
    <w:rsid w:val="00AC6F1A"/>
    <w:rsid w:val="00AC6F59"/>
    <w:rsid w:val="00AC6F81"/>
    <w:rsid w:val="00AC6FC6"/>
    <w:rsid w:val="00AC6FD5"/>
    <w:rsid w:val="00AC7048"/>
    <w:rsid w:val="00AC7084"/>
    <w:rsid w:val="00AC70C7"/>
    <w:rsid w:val="00AC70FA"/>
    <w:rsid w:val="00AC715C"/>
    <w:rsid w:val="00AC7191"/>
    <w:rsid w:val="00AC7211"/>
    <w:rsid w:val="00AC7233"/>
    <w:rsid w:val="00AC7252"/>
    <w:rsid w:val="00AC725B"/>
    <w:rsid w:val="00AC726B"/>
    <w:rsid w:val="00AC72A7"/>
    <w:rsid w:val="00AC72E4"/>
    <w:rsid w:val="00AC72EE"/>
    <w:rsid w:val="00AC72F7"/>
    <w:rsid w:val="00AC7317"/>
    <w:rsid w:val="00AC7386"/>
    <w:rsid w:val="00AC738C"/>
    <w:rsid w:val="00AC7408"/>
    <w:rsid w:val="00AC7474"/>
    <w:rsid w:val="00AC747A"/>
    <w:rsid w:val="00AC7494"/>
    <w:rsid w:val="00AC74D3"/>
    <w:rsid w:val="00AC7529"/>
    <w:rsid w:val="00AC7560"/>
    <w:rsid w:val="00AC75AC"/>
    <w:rsid w:val="00AC75B5"/>
    <w:rsid w:val="00AC75E2"/>
    <w:rsid w:val="00AC7675"/>
    <w:rsid w:val="00AC76C2"/>
    <w:rsid w:val="00AC7700"/>
    <w:rsid w:val="00AC7797"/>
    <w:rsid w:val="00AC779B"/>
    <w:rsid w:val="00AC77D4"/>
    <w:rsid w:val="00AC782F"/>
    <w:rsid w:val="00AC7847"/>
    <w:rsid w:val="00AC7858"/>
    <w:rsid w:val="00AC7879"/>
    <w:rsid w:val="00AC7881"/>
    <w:rsid w:val="00AC78EB"/>
    <w:rsid w:val="00AC78F0"/>
    <w:rsid w:val="00AC78F9"/>
    <w:rsid w:val="00AC795E"/>
    <w:rsid w:val="00AC7983"/>
    <w:rsid w:val="00AC798A"/>
    <w:rsid w:val="00AC7999"/>
    <w:rsid w:val="00AC79C1"/>
    <w:rsid w:val="00AC79D1"/>
    <w:rsid w:val="00AC7A5A"/>
    <w:rsid w:val="00AC7AFA"/>
    <w:rsid w:val="00AC7B4B"/>
    <w:rsid w:val="00AC7B84"/>
    <w:rsid w:val="00AC7B88"/>
    <w:rsid w:val="00AC7BB9"/>
    <w:rsid w:val="00AC7BE5"/>
    <w:rsid w:val="00AC7BF5"/>
    <w:rsid w:val="00AC7C05"/>
    <w:rsid w:val="00AC7C08"/>
    <w:rsid w:val="00AC7CE0"/>
    <w:rsid w:val="00AC7D0C"/>
    <w:rsid w:val="00AC7D18"/>
    <w:rsid w:val="00AC7D24"/>
    <w:rsid w:val="00AC7D38"/>
    <w:rsid w:val="00AC7D8A"/>
    <w:rsid w:val="00AC7DA4"/>
    <w:rsid w:val="00AC7DD0"/>
    <w:rsid w:val="00AC7E42"/>
    <w:rsid w:val="00AC7E50"/>
    <w:rsid w:val="00AC7E81"/>
    <w:rsid w:val="00AC7E85"/>
    <w:rsid w:val="00AC7EC0"/>
    <w:rsid w:val="00AC7ECA"/>
    <w:rsid w:val="00AC7EED"/>
    <w:rsid w:val="00AC7F0E"/>
    <w:rsid w:val="00AC7F18"/>
    <w:rsid w:val="00AC7F66"/>
    <w:rsid w:val="00AC7F74"/>
    <w:rsid w:val="00AC7F7D"/>
    <w:rsid w:val="00AC7F99"/>
    <w:rsid w:val="00AC7F9D"/>
    <w:rsid w:val="00AC7FA3"/>
    <w:rsid w:val="00AC7FE7"/>
    <w:rsid w:val="00AD000A"/>
    <w:rsid w:val="00AD0014"/>
    <w:rsid w:val="00AD0069"/>
    <w:rsid w:val="00AD00B5"/>
    <w:rsid w:val="00AD00F3"/>
    <w:rsid w:val="00AD0129"/>
    <w:rsid w:val="00AD0156"/>
    <w:rsid w:val="00AD019A"/>
    <w:rsid w:val="00AD01AF"/>
    <w:rsid w:val="00AD01DA"/>
    <w:rsid w:val="00AD01E8"/>
    <w:rsid w:val="00AD01ED"/>
    <w:rsid w:val="00AD0210"/>
    <w:rsid w:val="00AD0262"/>
    <w:rsid w:val="00AD02A6"/>
    <w:rsid w:val="00AD02B7"/>
    <w:rsid w:val="00AD02CB"/>
    <w:rsid w:val="00AD02DE"/>
    <w:rsid w:val="00AD02E1"/>
    <w:rsid w:val="00AD02F8"/>
    <w:rsid w:val="00AD035C"/>
    <w:rsid w:val="00AD03A6"/>
    <w:rsid w:val="00AD03A7"/>
    <w:rsid w:val="00AD03B9"/>
    <w:rsid w:val="00AD03D4"/>
    <w:rsid w:val="00AD0414"/>
    <w:rsid w:val="00AD0422"/>
    <w:rsid w:val="00AD04CA"/>
    <w:rsid w:val="00AD04E7"/>
    <w:rsid w:val="00AD0516"/>
    <w:rsid w:val="00AD0560"/>
    <w:rsid w:val="00AD05A6"/>
    <w:rsid w:val="00AD05C1"/>
    <w:rsid w:val="00AD063E"/>
    <w:rsid w:val="00AD0658"/>
    <w:rsid w:val="00AD0692"/>
    <w:rsid w:val="00AD06C5"/>
    <w:rsid w:val="00AD06DA"/>
    <w:rsid w:val="00AD06EF"/>
    <w:rsid w:val="00AD06F5"/>
    <w:rsid w:val="00AD072F"/>
    <w:rsid w:val="00AD073B"/>
    <w:rsid w:val="00AD073D"/>
    <w:rsid w:val="00AD075E"/>
    <w:rsid w:val="00AD079F"/>
    <w:rsid w:val="00AD07B1"/>
    <w:rsid w:val="00AD07D9"/>
    <w:rsid w:val="00AD080C"/>
    <w:rsid w:val="00AD0823"/>
    <w:rsid w:val="00AD08F9"/>
    <w:rsid w:val="00AD092B"/>
    <w:rsid w:val="00AD0959"/>
    <w:rsid w:val="00AD0990"/>
    <w:rsid w:val="00AD09A2"/>
    <w:rsid w:val="00AD09B4"/>
    <w:rsid w:val="00AD09CA"/>
    <w:rsid w:val="00AD0A42"/>
    <w:rsid w:val="00AD0A5E"/>
    <w:rsid w:val="00AD0AC7"/>
    <w:rsid w:val="00AD0AE3"/>
    <w:rsid w:val="00AD0B95"/>
    <w:rsid w:val="00AD0C21"/>
    <w:rsid w:val="00AD0C30"/>
    <w:rsid w:val="00AD0CB8"/>
    <w:rsid w:val="00AD0CD3"/>
    <w:rsid w:val="00AD0D14"/>
    <w:rsid w:val="00AD0D1A"/>
    <w:rsid w:val="00AD0D70"/>
    <w:rsid w:val="00AD0DD5"/>
    <w:rsid w:val="00AD0DF3"/>
    <w:rsid w:val="00AD0E31"/>
    <w:rsid w:val="00AD0E39"/>
    <w:rsid w:val="00AD0E3D"/>
    <w:rsid w:val="00AD0EBD"/>
    <w:rsid w:val="00AD0EC6"/>
    <w:rsid w:val="00AD0ECA"/>
    <w:rsid w:val="00AD0ED5"/>
    <w:rsid w:val="00AD0F09"/>
    <w:rsid w:val="00AD0F23"/>
    <w:rsid w:val="00AD0F36"/>
    <w:rsid w:val="00AD0F73"/>
    <w:rsid w:val="00AD0FBD"/>
    <w:rsid w:val="00AD106E"/>
    <w:rsid w:val="00AD109E"/>
    <w:rsid w:val="00AD10A0"/>
    <w:rsid w:val="00AD10AF"/>
    <w:rsid w:val="00AD10BD"/>
    <w:rsid w:val="00AD111D"/>
    <w:rsid w:val="00AD111E"/>
    <w:rsid w:val="00AD1188"/>
    <w:rsid w:val="00AD11B4"/>
    <w:rsid w:val="00AD11C1"/>
    <w:rsid w:val="00AD1204"/>
    <w:rsid w:val="00AD1205"/>
    <w:rsid w:val="00AD120A"/>
    <w:rsid w:val="00AD123C"/>
    <w:rsid w:val="00AD12A5"/>
    <w:rsid w:val="00AD12AA"/>
    <w:rsid w:val="00AD136A"/>
    <w:rsid w:val="00AD1418"/>
    <w:rsid w:val="00AD14E7"/>
    <w:rsid w:val="00AD163B"/>
    <w:rsid w:val="00AD1666"/>
    <w:rsid w:val="00AD168E"/>
    <w:rsid w:val="00AD1702"/>
    <w:rsid w:val="00AD17A5"/>
    <w:rsid w:val="00AD17CA"/>
    <w:rsid w:val="00AD1815"/>
    <w:rsid w:val="00AD1825"/>
    <w:rsid w:val="00AD182A"/>
    <w:rsid w:val="00AD183F"/>
    <w:rsid w:val="00AD185D"/>
    <w:rsid w:val="00AD18E2"/>
    <w:rsid w:val="00AD18E5"/>
    <w:rsid w:val="00AD194B"/>
    <w:rsid w:val="00AD1983"/>
    <w:rsid w:val="00AD1985"/>
    <w:rsid w:val="00AD19B9"/>
    <w:rsid w:val="00AD1A5D"/>
    <w:rsid w:val="00AD1A6F"/>
    <w:rsid w:val="00AD1A8E"/>
    <w:rsid w:val="00AD1AC0"/>
    <w:rsid w:val="00AD1B20"/>
    <w:rsid w:val="00AD1B4D"/>
    <w:rsid w:val="00AD1B64"/>
    <w:rsid w:val="00AD1B8F"/>
    <w:rsid w:val="00AD1BDF"/>
    <w:rsid w:val="00AD1BF2"/>
    <w:rsid w:val="00AD1C00"/>
    <w:rsid w:val="00AD1C08"/>
    <w:rsid w:val="00AD1C24"/>
    <w:rsid w:val="00AD1C50"/>
    <w:rsid w:val="00AD1C73"/>
    <w:rsid w:val="00AD1CEE"/>
    <w:rsid w:val="00AD1D87"/>
    <w:rsid w:val="00AD1D99"/>
    <w:rsid w:val="00AD1DB4"/>
    <w:rsid w:val="00AD1E65"/>
    <w:rsid w:val="00AD1E6D"/>
    <w:rsid w:val="00AD1E84"/>
    <w:rsid w:val="00AD1E87"/>
    <w:rsid w:val="00AD1EE9"/>
    <w:rsid w:val="00AD1F13"/>
    <w:rsid w:val="00AD1F19"/>
    <w:rsid w:val="00AD2003"/>
    <w:rsid w:val="00AD2056"/>
    <w:rsid w:val="00AD2068"/>
    <w:rsid w:val="00AD206A"/>
    <w:rsid w:val="00AD20AA"/>
    <w:rsid w:val="00AD20AD"/>
    <w:rsid w:val="00AD20DD"/>
    <w:rsid w:val="00AD212C"/>
    <w:rsid w:val="00AD2130"/>
    <w:rsid w:val="00AD2135"/>
    <w:rsid w:val="00AD21C6"/>
    <w:rsid w:val="00AD2204"/>
    <w:rsid w:val="00AD2235"/>
    <w:rsid w:val="00AD223F"/>
    <w:rsid w:val="00AD225D"/>
    <w:rsid w:val="00AD225E"/>
    <w:rsid w:val="00AD2271"/>
    <w:rsid w:val="00AD236C"/>
    <w:rsid w:val="00AD2370"/>
    <w:rsid w:val="00AD2373"/>
    <w:rsid w:val="00AD2382"/>
    <w:rsid w:val="00AD2386"/>
    <w:rsid w:val="00AD2389"/>
    <w:rsid w:val="00AD23B2"/>
    <w:rsid w:val="00AD23B6"/>
    <w:rsid w:val="00AD23DD"/>
    <w:rsid w:val="00AD23FD"/>
    <w:rsid w:val="00AD246B"/>
    <w:rsid w:val="00AD24AC"/>
    <w:rsid w:val="00AD24B3"/>
    <w:rsid w:val="00AD2506"/>
    <w:rsid w:val="00AD2545"/>
    <w:rsid w:val="00AD25AF"/>
    <w:rsid w:val="00AD25FE"/>
    <w:rsid w:val="00AD2620"/>
    <w:rsid w:val="00AD27A6"/>
    <w:rsid w:val="00AD27A8"/>
    <w:rsid w:val="00AD27C9"/>
    <w:rsid w:val="00AD27E5"/>
    <w:rsid w:val="00AD2848"/>
    <w:rsid w:val="00AD28A4"/>
    <w:rsid w:val="00AD28C1"/>
    <w:rsid w:val="00AD28CA"/>
    <w:rsid w:val="00AD28FF"/>
    <w:rsid w:val="00AD293A"/>
    <w:rsid w:val="00AD2949"/>
    <w:rsid w:val="00AD2988"/>
    <w:rsid w:val="00AD29B9"/>
    <w:rsid w:val="00AD29DA"/>
    <w:rsid w:val="00AD29F7"/>
    <w:rsid w:val="00AD2A3A"/>
    <w:rsid w:val="00AD2A45"/>
    <w:rsid w:val="00AD2A5A"/>
    <w:rsid w:val="00AD2AEC"/>
    <w:rsid w:val="00AD2B18"/>
    <w:rsid w:val="00AD2B46"/>
    <w:rsid w:val="00AD2B60"/>
    <w:rsid w:val="00AD2BB4"/>
    <w:rsid w:val="00AD2C11"/>
    <w:rsid w:val="00AD2C1A"/>
    <w:rsid w:val="00AD2C47"/>
    <w:rsid w:val="00AD2C6C"/>
    <w:rsid w:val="00AD2CA1"/>
    <w:rsid w:val="00AD2CB4"/>
    <w:rsid w:val="00AD2CD4"/>
    <w:rsid w:val="00AD2CE8"/>
    <w:rsid w:val="00AD2D05"/>
    <w:rsid w:val="00AD2D0D"/>
    <w:rsid w:val="00AD2D37"/>
    <w:rsid w:val="00AD2D5D"/>
    <w:rsid w:val="00AD2D6B"/>
    <w:rsid w:val="00AD2DBD"/>
    <w:rsid w:val="00AD2DC9"/>
    <w:rsid w:val="00AD2DDB"/>
    <w:rsid w:val="00AD2E27"/>
    <w:rsid w:val="00AD2EB6"/>
    <w:rsid w:val="00AD2ECE"/>
    <w:rsid w:val="00AD2EFF"/>
    <w:rsid w:val="00AD2F75"/>
    <w:rsid w:val="00AD2F8E"/>
    <w:rsid w:val="00AD300B"/>
    <w:rsid w:val="00AD3036"/>
    <w:rsid w:val="00AD305A"/>
    <w:rsid w:val="00AD306E"/>
    <w:rsid w:val="00AD30B6"/>
    <w:rsid w:val="00AD30CE"/>
    <w:rsid w:val="00AD3118"/>
    <w:rsid w:val="00AD311C"/>
    <w:rsid w:val="00AD3128"/>
    <w:rsid w:val="00AD3135"/>
    <w:rsid w:val="00AD319B"/>
    <w:rsid w:val="00AD31F9"/>
    <w:rsid w:val="00AD323D"/>
    <w:rsid w:val="00AD3259"/>
    <w:rsid w:val="00AD327B"/>
    <w:rsid w:val="00AD32AB"/>
    <w:rsid w:val="00AD32C7"/>
    <w:rsid w:val="00AD32CE"/>
    <w:rsid w:val="00AD32FF"/>
    <w:rsid w:val="00AD332C"/>
    <w:rsid w:val="00AD3347"/>
    <w:rsid w:val="00AD3390"/>
    <w:rsid w:val="00AD339D"/>
    <w:rsid w:val="00AD33BD"/>
    <w:rsid w:val="00AD33CF"/>
    <w:rsid w:val="00AD33E8"/>
    <w:rsid w:val="00AD341C"/>
    <w:rsid w:val="00AD345A"/>
    <w:rsid w:val="00AD347A"/>
    <w:rsid w:val="00AD3490"/>
    <w:rsid w:val="00AD34B1"/>
    <w:rsid w:val="00AD34D7"/>
    <w:rsid w:val="00AD3540"/>
    <w:rsid w:val="00AD3592"/>
    <w:rsid w:val="00AD35B7"/>
    <w:rsid w:val="00AD3608"/>
    <w:rsid w:val="00AD363B"/>
    <w:rsid w:val="00AD36BE"/>
    <w:rsid w:val="00AD3730"/>
    <w:rsid w:val="00AD3739"/>
    <w:rsid w:val="00AD374F"/>
    <w:rsid w:val="00AD3772"/>
    <w:rsid w:val="00AD37DD"/>
    <w:rsid w:val="00AD3838"/>
    <w:rsid w:val="00AD384A"/>
    <w:rsid w:val="00AD385D"/>
    <w:rsid w:val="00AD386B"/>
    <w:rsid w:val="00AD386E"/>
    <w:rsid w:val="00AD38AB"/>
    <w:rsid w:val="00AD38AD"/>
    <w:rsid w:val="00AD38DC"/>
    <w:rsid w:val="00AD38EB"/>
    <w:rsid w:val="00AD3975"/>
    <w:rsid w:val="00AD3A6B"/>
    <w:rsid w:val="00AD3A71"/>
    <w:rsid w:val="00AD3A7E"/>
    <w:rsid w:val="00AD3AD2"/>
    <w:rsid w:val="00AD3B16"/>
    <w:rsid w:val="00AD3B53"/>
    <w:rsid w:val="00AD3B5A"/>
    <w:rsid w:val="00AD3B76"/>
    <w:rsid w:val="00AD3B78"/>
    <w:rsid w:val="00AD3BCB"/>
    <w:rsid w:val="00AD3C27"/>
    <w:rsid w:val="00AD3CE5"/>
    <w:rsid w:val="00AD3D3C"/>
    <w:rsid w:val="00AD3D89"/>
    <w:rsid w:val="00AD3E29"/>
    <w:rsid w:val="00AD3E35"/>
    <w:rsid w:val="00AD3E7E"/>
    <w:rsid w:val="00AD3EA0"/>
    <w:rsid w:val="00AD3F1D"/>
    <w:rsid w:val="00AD3F1F"/>
    <w:rsid w:val="00AD3F58"/>
    <w:rsid w:val="00AD3F6C"/>
    <w:rsid w:val="00AD3F94"/>
    <w:rsid w:val="00AD3FA0"/>
    <w:rsid w:val="00AD4002"/>
    <w:rsid w:val="00AD4024"/>
    <w:rsid w:val="00AD404F"/>
    <w:rsid w:val="00AD4074"/>
    <w:rsid w:val="00AD4084"/>
    <w:rsid w:val="00AD40BA"/>
    <w:rsid w:val="00AD40D5"/>
    <w:rsid w:val="00AD40D8"/>
    <w:rsid w:val="00AD4164"/>
    <w:rsid w:val="00AD4189"/>
    <w:rsid w:val="00AD419E"/>
    <w:rsid w:val="00AD4200"/>
    <w:rsid w:val="00AD4289"/>
    <w:rsid w:val="00AD429D"/>
    <w:rsid w:val="00AD42C5"/>
    <w:rsid w:val="00AD42E6"/>
    <w:rsid w:val="00AD4313"/>
    <w:rsid w:val="00AD4335"/>
    <w:rsid w:val="00AD4365"/>
    <w:rsid w:val="00AD437E"/>
    <w:rsid w:val="00AD43B1"/>
    <w:rsid w:val="00AD443D"/>
    <w:rsid w:val="00AD450E"/>
    <w:rsid w:val="00AD4564"/>
    <w:rsid w:val="00AD456C"/>
    <w:rsid w:val="00AD459C"/>
    <w:rsid w:val="00AD45BA"/>
    <w:rsid w:val="00AD45EE"/>
    <w:rsid w:val="00AD45F2"/>
    <w:rsid w:val="00AD461E"/>
    <w:rsid w:val="00AD46C9"/>
    <w:rsid w:val="00AD474B"/>
    <w:rsid w:val="00AD478A"/>
    <w:rsid w:val="00AD47F9"/>
    <w:rsid w:val="00AD483A"/>
    <w:rsid w:val="00AD48BC"/>
    <w:rsid w:val="00AD48DD"/>
    <w:rsid w:val="00AD48EB"/>
    <w:rsid w:val="00AD48F6"/>
    <w:rsid w:val="00AD4907"/>
    <w:rsid w:val="00AD496A"/>
    <w:rsid w:val="00AD497C"/>
    <w:rsid w:val="00AD498E"/>
    <w:rsid w:val="00AD49B6"/>
    <w:rsid w:val="00AD49FE"/>
    <w:rsid w:val="00AD4A58"/>
    <w:rsid w:val="00AD4A86"/>
    <w:rsid w:val="00AD4AC9"/>
    <w:rsid w:val="00AD4AD7"/>
    <w:rsid w:val="00AD4ADD"/>
    <w:rsid w:val="00AD4AF6"/>
    <w:rsid w:val="00AD4B0F"/>
    <w:rsid w:val="00AD4B24"/>
    <w:rsid w:val="00AD4B71"/>
    <w:rsid w:val="00AD4B9D"/>
    <w:rsid w:val="00AD4BAD"/>
    <w:rsid w:val="00AD4BE9"/>
    <w:rsid w:val="00AD4BEF"/>
    <w:rsid w:val="00AD4C2C"/>
    <w:rsid w:val="00AD4C3D"/>
    <w:rsid w:val="00AD4C68"/>
    <w:rsid w:val="00AD4CAD"/>
    <w:rsid w:val="00AD4D22"/>
    <w:rsid w:val="00AD4D39"/>
    <w:rsid w:val="00AD4D5F"/>
    <w:rsid w:val="00AD4D6D"/>
    <w:rsid w:val="00AD4E12"/>
    <w:rsid w:val="00AD4E2D"/>
    <w:rsid w:val="00AD4E58"/>
    <w:rsid w:val="00AD4EB0"/>
    <w:rsid w:val="00AD4EC8"/>
    <w:rsid w:val="00AD4F1D"/>
    <w:rsid w:val="00AD4F63"/>
    <w:rsid w:val="00AD4FB4"/>
    <w:rsid w:val="00AD4FCF"/>
    <w:rsid w:val="00AD4FD4"/>
    <w:rsid w:val="00AD4FDF"/>
    <w:rsid w:val="00AD4FEC"/>
    <w:rsid w:val="00AD5034"/>
    <w:rsid w:val="00AD506E"/>
    <w:rsid w:val="00AD50CA"/>
    <w:rsid w:val="00AD50F0"/>
    <w:rsid w:val="00AD50F4"/>
    <w:rsid w:val="00AD5104"/>
    <w:rsid w:val="00AD517A"/>
    <w:rsid w:val="00AD51B0"/>
    <w:rsid w:val="00AD51ED"/>
    <w:rsid w:val="00AD522B"/>
    <w:rsid w:val="00AD5234"/>
    <w:rsid w:val="00AD523D"/>
    <w:rsid w:val="00AD5291"/>
    <w:rsid w:val="00AD52C4"/>
    <w:rsid w:val="00AD52FB"/>
    <w:rsid w:val="00AD52FF"/>
    <w:rsid w:val="00AD530C"/>
    <w:rsid w:val="00AD532B"/>
    <w:rsid w:val="00AD5360"/>
    <w:rsid w:val="00AD53B6"/>
    <w:rsid w:val="00AD5418"/>
    <w:rsid w:val="00AD5425"/>
    <w:rsid w:val="00AD543F"/>
    <w:rsid w:val="00AD54BA"/>
    <w:rsid w:val="00AD5505"/>
    <w:rsid w:val="00AD551C"/>
    <w:rsid w:val="00AD5544"/>
    <w:rsid w:val="00AD5561"/>
    <w:rsid w:val="00AD5563"/>
    <w:rsid w:val="00AD560A"/>
    <w:rsid w:val="00AD563F"/>
    <w:rsid w:val="00AD5694"/>
    <w:rsid w:val="00AD5695"/>
    <w:rsid w:val="00AD56C8"/>
    <w:rsid w:val="00AD5801"/>
    <w:rsid w:val="00AD5813"/>
    <w:rsid w:val="00AD582E"/>
    <w:rsid w:val="00AD5841"/>
    <w:rsid w:val="00AD58F6"/>
    <w:rsid w:val="00AD5981"/>
    <w:rsid w:val="00AD5990"/>
    <w:rsid w:val="00AD59E3"/>
    <w:rsid w:val="00AD59EA"/>
    <w:rsid w:val="00AD59FA"/>
    <w:rsid w:val="00AD5A0B"/>
    <w:rsid w:val="00AD5A49"/>
    <w:rsid w:val="00AD5A73"/>
    <w:rsid w:val="00AD5A8B"/>
    <w:rsid w:val="00AD5A94"/>
    <w:rsid w:val="00AD5B40"/>
    <w:rsid w:val="00AD5BEF"/>
    <w:rsid w:val="00AD5BF2"/>
    <w:rsid w:val="00AD5C2B"/>
    <w:rsid w:val="00AD5C44"/>
    <w:rsid w:val="00AD5C47"/>
    <w:rsid w:val="00AD5C8B"/>
    <w:rsid w:val="00AD5CBE"/>
    <w:rsid w:val="00AD5CD3"/>
    <w:rsid w:val="00AD5CE5"/>
    <w:rsid w:val="00AD5D0C"/>
    <w:rsid w:val="00AD5D3F"/>
    <w:rsid w:val="00AD5D43"/>
    <w:rsid w:val="00AD5D98"/>
    <w:rsid w:val="00AD5DFD"/>
    <w:rsid w:val="00AD5E01"/>
    <w:rsid w:val="00AD5E32"/>
    <w:rsid w:val="00AD5E64"/>
    <w:rsid w:val="00AD5ECB"/>
    <w:rsid w:val="00AD5ECC"/>
    <w:rsid w:val="00AD5EF8"/>
    <w:rsid w:val="00AD5EFC"/>
    <w:rsid w:val="00AD5F17"/>
    <w:rsid w:val="00AD5F5B"/>
    <w:rsid w:val="00AD5F83"/>
    <w:rsid w:val="00AD5F9A"/>
    <w:rsid w:val="00AD6011"/>
    <w:rsid w:val="00AD6039"/>
    <w:rsid w:val="00AD607F"/>
    <w:rsid w:val="00AD610D"/>
    <w:rsid w:val="00AD6119"/>
    <w:rsid w:val="00AD6136"/>
    <w:rsid w:val="00AD619C"/>
    <w:rsid w:val="00AD61DD"/>
    <w:rsid w:val="00AD61FB"/>
    <w:rsid w:val="00AD623D"/>
    <w:rsid w:val="00AD6249"/>
    <w:rsid w:val="00AD6255"/>
    <w:rsid w:val="00AD629D"/>
    <w:rsid w:val="00AD62D9"/>
    <w:rsid w:val="00AD6302"/>
    <w:rsid w:val="00AD631A"/>
    <w:rsid w:val="00AD6360"/>
    <w:rsid w:val="00AD63C1"/>
    <w:rsid w:val="00AD6445"/>
    <w:rsid w:val="00AD645E"/>
    <w:rsid w:val="00AD6498"/>
    <w:rsid w:val="00AD64A5"/>
    <w:rsid w:val="00AD64FD"/>
    <w:rsid w:val="00AD655B"/>
    <w:rsid w:val="00AD6574"/>
    <w:rsid w:val="00AD6594"/>
    <w:rsid w:val="00AD65DE"/>
    <w:rsid w:val="00AD6619"/>
    <w:rsid w:val="00AD666B"/>
    <w:rsid w:val="00AD6681"/>
    <w:rsid w:val="00AD669B"/>
    <w:rsid w:val="00AD66A7"/>
    <w:rsid w:val="00AD66D8"/>
    <w:rsid w:val="00AD6707"/>
    <w:rsid w:val="00AD672C"/>
    <w:rsid w:val="00AD6741"/>
    <w:rsid w:val="00AD681C"/>
    <w:rsid w:val="00AD6838"/>
    <w:rsid w:val="00AD6857"/>
    <w:rsid w:val="00AD6907"/>
    <w:rsid w:val="00AD6969"/>
    <w:rsid w:val="00AD69A1"/>
    <w:rsid w:val="00AD69A6"/>
    <w:rsid w:val="00AD6A54"/>
    <w:rsid w:val="00AD6A7E"/>
    <w:rsid w:val="00AD6AB8"/>
    <w:rsid w:val="00AD6AF9"/>
    <w:rsid w:val="00AD6B0A"/>
    <w:rsid w:val="00AD6B10"/>
    <w:rsid w:val="00AD6B1C"/>
    <w:rsid w:val="00AD6B48"/>
    <w:rsid w:val="00AD6B4E"/>
    <w:rsid w:val="00AD6B89"/>
    <w:rsid w:val="00AD6B95"/>
    <w:rsid w:val="00AD6BC1"/>
    <w:rsid w:val="00AD6BDE"/>
    <w:rsid w:val="00AD6D05"/>
    <w:rsid w:val="00AD6D30"/>
    <w:rsid w:val="00AD6D7A"/>
    <w:rsid w:val="00AD6DE3"/>
    <w:rsid w:val="00AD6E05"/>
    <w:rsid w:val="00AD6E63"/>
    <w:rsid w:val="00AD6E76"/>
    <w:rsid w:val="00AD6E92"/>
    <w:rsid w:val="00AD6EF9"/>
    <w:rsid w:val="00AD6F12"/>
    <w:rsid w:val="00AD6F29"/>
    <w:rsid w:val="00AD6F6E"/>
    <w:rsid w:val="00AD6F8D"/>
    <w:rsid w:val="00AD6FA5"/>
    <w:rsid w:val="00AD702B"/>
    <w:rsid w:val="00AD7037"/>
    <w:rsid w:val="00AD70CE"/>
    <w:rsid w:val="00AD7145"/>
    <w:rsid w:val="00AD71C9"/>
    <w:rsid w:val="00AD72F8"/>
    <w:rsid w:val="00AD735C"/>
    <w:rsid w:val="00AD736B"/>
    <w:rsid w:val="00AD73DB"/>
    <w:rsid w:val="00AD73E1"/>
    <w:rsid w:val="00AD73F9"/>
    <w:rsid w:val="00AD7422"/>
    <w:rsid w:val="00AD744B"/>
    <w:rsid w:val="00AD7486"/>
    <w:rsid w:val="00AD74D4"/>
    <w:rsid w:val="00AD74E9"/>
    <w:rsid w:val="00AD74FE"/>
    <w:rsid w:val="00AD7502"/>
    <w:rsid w:val="00AD750B"/>
    <w:rsid w:val="00AD757F"/>
    <w:rsid w:val="00AD75F7"/>
    <w:rsid w:val="00AD7610"/>
    <w:rsid w:val="00AD762D"/>
    <w:rsid w:val="00AD763F"/>
    <w:rsid w:val="00AD764C"/>
    <w:rsid w:val="00AD765D"/>
    <w:rsid w:val="00AD7662"/>
    <w:rsid w:val="00AD7675"/>
    <w:rsid w:val="00AD767E"/>
    <w:rsid w:val="00AD76AF"/>
    <w:rsid w:val="00AD76EE"/>
    <w:rsid w:val="00AD76FE"/>
    <w:rsid w:val="00AD7772"/>
    <w:rsid w:val="00AD77BB"/>
    <w:rsid w:val="00AD77D6"/>
    <w:rsid w:val="00AD7804"/>
    <w:rsid w:val="00AD78C0"/>
    <w:rsid w:val="00AD78DB"/>
    <w:rsid w:val="00AD78E7"/>
    <w:rsid w:val="00AD78F0"/>
    <w:rsid w:val="00AD78F5"/>
    <w:rsid w:val="00AD7908"/>
    <w:rsid w:val="00AD7920"/>
    <w:rsid w:val="00AD79DF"/>
    <w:rsid w:val="00AD79E7"/>
    <w:rsid w:val="00AD79F1"/>
    <w:rsid w:val="00AD7A78"/>
    <w:rsid w:val="00AD7A98"/>
    <w:rsid w:val="00AD7ACF"/>
    <w:rsid w:val="00AD7B40"/>
    <w:rsid w:val="00AD7BEE"/>
    <w:rsid w:val="00AD7C0B"/>
    <w:rsid w:val="00AD7C3D"/>
    <w:rsid w:val="00AD7C83"/>
    <w:rsid w:val="00AD7CCA"/>
    <w:rsid w:val="00AD7DB2"/>
    <w:rsid w:val="00AD7DC6"/>
    <w:rsid w:val="00AD7DC7"/>
    <w:rsid w:val="00AD7E5C"/>
    <w:rsid w:val="00AD7E6D"/>
    <w:rsid w:val="00AD7E9D"/>
    <w:rsid w:val="00AD7EC5"/>
    <w:rsid w:val="00AD7ED4"/>
    <w:rsid w:val="00AD7EE1"/>
    <w:rsid w:val="00AD7F2A"/>
    <w:rsid w:val="00AD7F4F"/>
    <w:rsid w:val="00AD7F69"/>
    <w:rsid w:val="00AD7FE9"/>
    <w:rsid w:val="00AD7FEB"/>
    <w:rsid w:val="00AD7FF0"/>
    <w:rsid w:val="00AE0037"/>
    <w:rsid w:val="00AE004D"/>
    <w:rsid w:val="00AE0108"/>
    <w:rsid w:val="00AE0115"/>
    <w:rsid w:val="00AE012E"/>
    <w:rsid w:val="00AE016A"/>
    <w:rsid w:val="00AE018A"/>
    <w:rsid w:val="00AE01BF"/>
    <w:rsid w:val="00AE022F"/>
    <w:rsid w:val="00AE0258"/>
    <w:rsid w:val="00AE0273"/>
    <w:rsid w:val="00AE02DD"/>
    <w:rsid w:val="00AE0332"/>
    <w:rsid w:val="00AE0373"/>
    <w:rsid w:val="00AE03E4"/>
    <w:rsid w:val="00AE0436"/>
    <w:rsid w:val="00AE0455"/>
    <w:rsid w:val="00AE0477"/>
    <w:rsid w:val="00AE05AC"/>
    <w:rsid w:val="00AE05E6"/>
    <w:rsid w:val="00AE06B3"/>
    <w:rsid w:val="00AE06C4"/>
    <w:rsid w:val="00AE075D"/>
    <w:rsid w:val="00AE077A"/>
    <w:rsid w:val="00AE07A2"/>
    <w:rsid w:val="00AE0815"/>
    <w:rsid w:val="00AE0821"/>
    <w:rsid w:val="00AE084E"/>
    <w:rsid w:val="00AE089F"/>
    <w:rsid w:val="00AE08BA"/>
    <w:rsid w:val="00AE08FB"/>
    <w:rsid w:val="00AE0980"/>
    <w:rsid w:val="00AE0A60"/>
    <w:rsid w:val="00AE0B3F"/>
    <w:rsid w:val="00AE0B90"/>
    <w:rsid w:val="00AE0B91"/>
    <w:rsid w:val="00AE0BB0"/>
    <w:rsid w:val="00AE0BE9"/>
    <w:rsid w:val="00AE0C64"/>
    <w:rsid w:val="00AE0C85"/>
    <w:rsid w:val="00AE0C97"/>
    <w:rsid w:val="00AE0D03"/>
    <w:rsid w:val="00AE0D38"/>
    <w:rsid w:val="00AE0D42"/>
    <w:rsid w:val="00AE0D9F"/>
    <w:rsid w:val="00AE0DAE"/>
    <w:rsid w:val="00AE0DD5"/>
    <w:rsid w:val="00AE0DE3"/>
    <w:rsid w:val="00AE0E08"/>
    <w:rsid w:val="00AE0E0E"/>
    <w:rsid w:val="00AE0E41"/>
    <w:rsid w:val="00AE0EE4"/>
    <w:rsid w:val="00AE0EF2"/>
    <w:rsid w:val="00AE0F1E"/>
    <w:rsid w:val="00AE0F20"/>
    <w:rsid w:val="00AE0F69"/>
    <w:rsid w:val="00AE0F87"/>
    <w:rsid w:val="00AE0F93"/>
    <w:rsid w:val="00AE0FE7"/>
    <w:rsid w:val="00AE0FEB"/>
    <w:rsid w:val="00AE1030"/>
    <w:rsid w:val="00AE1031"/>
    <w:rsid w:val="00AE1032"/>
    <w:rsid w:val="00AE103D"/>
    <w:rsid w:val="00AE104E"/>
    <w:rsid w:val="00AE106A"/>
    <w:rsid w:val="00AE107A"/>
    <w:rsid w:val="00AE107D"/>
    <w:rsid w:val="00AE109E"/>
    <w:rsid w:val="00AE10B8"/>
    <w:rsid w:val="00AE10DF"/>
    <w:rsid w:val="00AE10F0"/>
    <w:rsid w:val="00AE115F"/>
    <w:rsid w:val="00AE116F"/>
    <w:rsid w:val="00AE120E"/>
    <w:rsid w:val="00AE121E"/>
    <w:rsid w:val="00AE1262"/>
    <w:rsid w:val="00AE128C"/>
    <w:rsid w:val="00AE128F"/>
    <w:rsid w:val="00AE12DA"/>
    <w:rsid w:val="00AE136D"/>
    <w:rsid w:val="00AE1383"/>
    <w:rsid w:val="00AE13D1"/>
    <w:rsid w:val="00AE1431"/>
    <w:rsid w:val="00AE149F"/>
    <w:rsid w:val="00AE14A8"/>
    <w:rsid w:val="00AE14B9"/>
    <w:rsid w:val="00AE14BE"/>
    <w:rsid w:val="00AE14D0"/>
    <w:rsid w:val="00AE150D"/>
    <w:rsid w:val="00AE154B"/>
    <w:rsid w:val="00AE1591"/>
    <w:rsid w:val="00AE15B7"/>
    <w:rsid w:val="00AE15C4"/>
    <w:rsid w:val="00AE15CB"/>
    <w:rsid w:val="00AE163C"/>
    <w:rsid w:val="00AE1653"/>
    <w:rsid w:val="00AE1658"/>
    <w:rsid w:val="00AE1678"/>
    <w:rsid w:val="00AE167A"/>
    <w:rsid w:val="00AE1682"/>
    <w:rsid w:val="00AE1690"/>
    <w:rsid w:val="00AE16AA"/>
    <w:rsid w:val="00AE16B2"/>
    <w:rsid w:val="00AE16B7"/>
    <w:rsid w:val="00AE16BB"/>
    <w:rsid w:val="00AE1703"/>
    <w:rsid w:val="00AE1718"/>
    <w:rsid w:val="00AE174D"/>
    <w:rsid w:val="00AE175B"/>
    <w:rsid w:val="00AE1783"/>
    <w:rsid w:val="00AE17D1"/>
    <w:rsid w:val="00AE17D2"/>
    <w:rsid w:val="00AE181F"/>
    <w:rsid w:val="00AE184E"/>
    <w:rsid w:val="00AE1882"/>
    <w:rsid w:val="00AE189B"/>
    <w:rsid w:val="00AE18C4"/>
    <w:rsid w:val="00AE1915"/>
    <w:rsid w:val="00AE1917"/>
    <w:rsid w:val="00AE193D"/>
    <w:rsid w:val="00AE196C"/>
    <w:rsid w:val="00AE1985"/>
    <w:rsid w:val="00AE19F8"/>
    <w:rsid w:val="00AE1A10"/>
    <w:rsid w:val="00AE1A90"/>
    <w:rsid w:val="00AE1AB1"/>
    <w:rsid w:val="00AE1B26"/>
    <w:rsid w:val="00AE1B5D"/>
    <w:rsid w:val="00AE1B61"/>
    <w:rsid w:val="00AE1B76"/>
    <w:rsid w:val="00AE1B80"/>
    <w:rsid w:val="00AE1BD7"/>
    <w:rsid w:val="00AE1BD9"/>
    <w:rsid w:val="00AE1BEB"/>
    <w:rsid w:val="00AE1C98"/>
    <w:rsid w:val="00AE1CA1"/>
    <w:rsid w:val="00AE1CEB"/>
    <w:rsid w:val="00AE1CED"/>
    <w:rsid w:val="00AE1D66"/>
    <w:rsid w:val="00AE1D6D"/>
    <w:rsid w:val="00AE1DE8"/>
    <w:rsid w:val="00AE1E5C"/>
    <w:rsid w:val="00AE1EA7"/>
    <w:rsid w:val="00AE1EF9"/>
    <w:rsid w:val="00AE1F1D"/>
    <w:rsid w:val="00AE1F2E"/>
    <w:rsid w:val="00AE1F32"/>
    <w:rsid w:val="00AE1F63"/>
    <w:rsid w:val="00AE1F70"/>
    <w:rsid w:val="00AE1F7C"/>
    <w:rsid w:val="00AE1FB6"/>
    <w:rsid w:val="00AE1FEF"/>
    <w:rsid w:val="00AE2033"/>
    <w:rsid w:val="00AE2105"/>
    <w:rsid w:val="00AE2107"/>
    <w:rsid w:val="00AE2123"/>
    <w:rsid w:val="00AE21B2"/>
    <w:rsid w:val="00AE220D"/>
    <w:rsid w:val="00AE221F"/>
    <w:rsid w:val="00AE223E"/>
    <w:rsid w:val="00AE2275"/>
    <w:rsid w:val="00AE227F"/>
    <w:rsid w:val="00AE22A1"/>
    <w:rsid w:val="00AE22A4"/>
    <w:rsid w:val="00AE22A5"/>
    <w:rsid w:val="00AE23CA"/>
    <w:rsid w:val="00AE2458"/>
    <w:rsid w:val="00AE245A"/>
    <w:rsid w:val="00AE2467"/>
    <w:rsid w:val="00AE2478"/>
    <w:rsid w:val="00AE24D1"/>
    <w:rsid w:val="00AE2508"/>
    <w:rsid w:val="00AE250B"/>
    <w:rsid w:val="00AE251B"/>
    <w:rsid w:val="00AE256E"/>
    <w:rsid w:val="00AE259F"/>
    <w:rsid w:val="00AE25E0"/>
    <w:rsid w:val="00AE25F7"/>
    <w:rsid w:val="00AE2621"/>
    <w:rsid w:val="00AE267F"/>
    <w:rsid w:val="00AE2690"/>
    <w:rsid w:val="00AE2716"/>
    <w:rsid w:val="00AE2717"/>
    <w:rsid w:val="00AE2728"/>
    <w:rsid w:val="00AE2729"/>
    <w:rsid w:val="00AE2746"/>
    <w:rsid w:val="00AE27D5"/>
    <w:rsid w:val="00AE280E"/>
    <w:rsid w:val="00AE282B"/>
    <w:rsid w:val="00AE2853"/>
    <w:rsid w:val="00AE2856"/>
    <w:rsid w:val="00AE285A"/>
    <w:rsid w:val="00AE2893"/>
    <w:rsid w:val="00AE28AC"/>
    <w:rsid w:val="00AE28C8"/>
    <w:rsid w:val="00AE2916"/>
    <w:rsid w:val="00AE2918"/>
    <w:rsid w:val="00AE292F"/>
    <w:rsid w:val="00AE2979"/>
    <w:rsid w:val="00AE2981"/>
    <w:rsid w:val="00AE29C2"/>
    <w:rsid w:val="00AE2A0F"/>
    <w:rsid w:val="00AE2A38"/>
    <w:rsid w:val="00AE2A89"/>
    <w:rsid w:val="00AE2A94"/>
    <w:rsid w:val="00AE2AB1"/>
    <w:rsid w:val="00AE2B4C"/>
    <w:rsid w:val="00AE2B5F"/>
    <w:rsid w:val="00AE2BBF"/>
    <w:rsid w:val="00AE2BD6"/>
    <w:rsid w:val="00AE2C09"/>
    <w:rsid w:val="00AE2C13"/>
    <w:rsid w:val="00AE2C5E"/>
    <w:rsid w:val="00AE2C6B"/>
    <w:rsid w:val="00AE2CAA"/>
    <w:rsid w:val="00AE2D0F"/>
    <w:rsid w:val="00AE2D4F"/>
    <w:rsid w:val="00AE2D62"/>
    <w:rsid w:val="00AE2DDF"/>
    <w:rsid w:val="00AE2E32"/>
    <w:rsid w:val="00AE2E40"/>
    <w:rsid w:val="00AE2EB3"/>
    <w:rsid w:val="00AE2EBC"/>
    <w:rsid w:val="00AE2F2D"/>
    <w:rsid w:val="00AE2F36"/>
    <w:rsid w:val="00AE2F90"/>
    <w:rsid w:val="00AE2F97"/>
    <w:rsid w:val="00AE2F98"/>
    <w:rsid w:val="00AE2FE5"/>
    <w:rsid w:val="00AE305D"/>
    <w:rsid w:val="00AE3073"/>
    <w:rsid w:val="00AE3089"/>
    <w:rsid w:val="00AE30E8"/>
    <w:rsid w:val="00AE30F1"/>
    <w:rsid w:val="00AE3125"/>
    <w:rsid w:val="00AE3174"/>
    <w:rsid w:val="00AE3185"/>
    <w:rsid w:val="00AE31F2"/>
    <w:rsid w:val="00AE3211"/>
    <w:rsid w:val="00AE3264"/>
    <w:rsid w:val="00AE326B"/>
    <w:rsid w:val="00AE3375"/>
    <w:rsid w:val="00AE3382"/>
    <w:rsid w:val="00AE33D5"/>
    <w:rsid w:val="00AE3427"/>
    <w:rsid w:val="00AE346F"/>
    <w:rsid w:val="00AE34E9"/>
    <w:rsid w:val="00AE3594"/>
    <w:rsid w:val="00AE35EA"/>
    <w:rsid w:val="00AE361B"/>
    <w:rsid w:val="00AE3648"/>
    <w:rsid w:val="00AE367E"/>
    <w:rsid w:val="00AE36D5"/>
    <w:rsid w:val="00AE3757"/>
    <w:rsid w:val="00AE3780"/>
    <w:rsid w:val="00AE37E8"/>
    <w:rsid w:val="00AE3811"/>
    <w:rsid w:val="00AE381D"/>
    <w:rsid w:val="00AE3826"/>
    <w:rsid w:val="00AE382E"/>
    <w:rsid w:val="00AE3847"/>
    <w:rsid w:val="00AE384D"/>
    <w:rsid w:val="00AE3865"/>
    <w:rsid w:val="00AE38A2"/>
    <w:rsid w:val="00AE38E5"/>
    <w:rsid w:val="00AE3920"/>
    <w:rsid w:val="00AE3953"/>
    <w:rsid w:val="00AE39A1"/>
    <w:rsid w:val="00AE3A12"/>
    <w:rsid w:val="00AE3A4D"/>
    <w:rsid w:val="00AE3AB0"/>
    <w:rsid w:val="00AE3B05"/>
    <w:rsid w:val="00AE3B12"/>
    <w:rsid w:val="00AE3B57"/>
    <w:rsid w:val="00AE3B91"/>
    <w:rsid w:val="00AE3BB8"/>
    <w:rsid w:val="00AE3BC5"/>
    <w:rsid w:val="00AE3BD7"/>
    <w:rsid w:val="00AE3BFA"/>
    <w:rsid w:val="00AE3CAA"/>
    <w:rsid w:val="00AE3CB0"/>
    <w:rsid w:val="00AE3D0F"/>
    <w:rsid w:val="00AE3D11"/>
    <w:rsid w:val="00AE3D1D"/>
    <w:rsid w:val="00AE3D26"/>
    <w:rsid w:val="00AE3D46"/>
    <w:rsid w:val="00AE3D79"/>
    <w:rsid w:val="00AE3D9E"/>
    <w:rsid w:val="00AE3DD8"/>
    <w:rsid w:val="00AE3E31"/>
    <w:rsid w:val="00AE3E4D"/>
    <w:rsid w:val="00AE3E5C"/>
    <w:rsid w:val="00AE3E9D"/>
    <w:rsid w:val="00AE3ED1"/>
    <w:rsid w:val="00AE3F07"/>
    <w:rsid w:val="00AE3F4A"/>
    <w:rsid w:val="00AE3F85"/>
    <w:rsid w:val="00AE3F94"/>
    <w:rsid w:val="00AE3FC8"/>
    <w:rsid w:val="00AE4054"/>
    <w:rsid w:val="00AE406B"/>
    <w:rsid w:val="00AE409A"/>
    <w:rsid w:val="00AE40C9"/>
    <w:rsid w:val="00AE4111"/>
    <w:rsid w:val="00AE414C"/>
    <w:rsid w:val="00AE41A4"/>
    <w:rsid w:val="00AE423F"/>
    <w:rsid w:val="00AE424B"/>
    <w:rsid w:val="00AE429B"/>
    <w:rsid w:val="00AE42AF"/>
    <w:rsid w:val="00AE42EF"/>
    <w:rsid w:val="00AE432B"/>
    <w:rsid w:val="00AE43F7"/>
    <w:rsid w:val="00AE4413"/>
    <w:rsid w:val="00AE4456"/>
    <w:rsid w:val="00AE4513"/>
    <w:rsid w:val="00AE4583"/>
    <w:rsid w:val="00AE45A4"/>
    <w:rsid w:val="00AE45B8"/>
    <w:rsid w:val="00AE45C8"/>
    <w:rsid w:val="00AE461C"/>
    <w:rsid w:val="00AE4620"/>
    <w:rsid w:val="00AE466E"/>
    <w:rsid w:val="00AE4691"/>
    <w:rsid w:val="00AE46EA"/>
    <w:rsid w:val="00AE47C5"/>
    <w:rsid w:val="00AE481E"/>
    <w:rsid w:val="00AE483E"/>
    <w:rsid w:val="00AE4945"/>
    <w:rsid w:val="00AE4954"/>
    <w:rsid w:val="00AE49CA"/>
    <w:rsid w:val="00AE49DD"/>
    <w:rsid w:val="00AE4A3E"/>
    <w:rsid w:val="00AE4A59"/>
    <w:rsid w:val="00AE4B8E"/>
    <w:rsid w:val="00AE4B9C"/>
    <w:rsid w:val="00AE4BC8"/>
    <w:rsid w:val="00AE4BE1"/>
    <w:rsid w:val="00AE4CC7"/>
    <w:rsid w:val="00AE4D47"/>
    <w:rsid w:val="00AE4D50"/>
    <w:rsid w:val="00AE4D8C"/>
    <w:rsid w:val="00AE4D96"/>
    <w:rsid w:val="00AE4DC4"/>
    <w:rsid w:val="00AE4E0D"/>
    <w:rsid w:val="00AE4E43"/>
    <w:rsid w:val="00AE4E92"/>
    <w:rsid w:val="00AE4EE1"/>
    <w:rsid w:val="00AE4EE9"/>
    <w:rsid w:val="00AE4F0D"/>
    <w:rsid w:val="00AE4F0F"/>
    <w:rsid w:val="00AE4F1E"/>
    <w:rsid w:val="00AE4F23"/>
    <w:rsid w:val="00AE4F39"/>
    <w:rsid w:val="00AE4F61"/>
    <w:rsid w:val="00AE4F92"/>
    <w:rsid w:val="00AE4FFA"/>
    <w:rsid w:val="00AE4FFC"/>
    <w:rsid w:val="00AE5071"/>
    <w:rsid w:val="00AE50E0"/>
    <w:rsid w:val="00AE51C2"/>
    <w:rsid w:val="00AE5238"/>
    <w:rsid w:val="00AE5262"/>
    <w:rsid w:val="00AE529A"/>
    <w:rsid w:val="00AE52A8"/>
    <w:rsid w:val="00AE52EB"/>
    <w:rsid w:val="00AE535D"/>
    <w:rsid w:val="00AE536D"/>
    <w:rsid w:val="00AE53F8"/>
    <w:rsid w:val="00AE542F"/>
    <w:rsid w:val="00AE5488"/>
    <w:rsid w:val="00AE549F"/>
    <w:rsid w:val="00AE54A4"/>
    <w:rsid w:val="00AE54B2"/>
    <w:rsid w:val="00AE54D6"/>
    <w:rsid w:val="00AE5535"/>
    <w:rsid w:val="00AE5568"/>
    <w:rsid w:val="00AE5571"/>
    <w:rsid w:val="00AE5573"/>
    <w:rsid w:val="00AE558F"/>
    <w:rsid w:val="00AE55A2"/>
    <w:rsid w:val="00AE55B0"/>
    <w:rsid w:val="00AE55BE"/>
    <w:rsid w:val="00AE55C0"/>
    <w:rsid w:val="00AE55DE"/>
    <w:rsid w:val="00AE55E8"/>
    <w:rsid w:val="00AE5616"/>
    <w:rsid w:val="00AE5645"/>
    <w:rsid w:val="00AE565C"/>
    <w:rsid w:val="00AE56CA"/>
    <w:rsid w:val="00AE56D8"/>
    <w:rsid w:val="00AE56DD"/>
    <w:rsid w:val="00AE56EF"/>
    <w:rsid w:val="00AE5732"/>
    <w:rsid w:val="00AE5745"/>
    <w:rsid w:val="00AE577A"/>
    <w:rsid w:val="00AE5798"/>
    <w:rsid w:val="00AE5832"/>
    <w:rsid w:val="00AE5835"/>
    <w:rsid w:val="00AE583A"/>
    <w:rsid w:val="00AE584C"/>
    <w:rsid w:val="00AE5876"/>
    <w:rsid w:val="00AE58D3"/>
    <w:rsid w:val="00AE593E"/>
    <w:rsid w:val="00AE595E"/>
    <w:rsid w:val="00AE596C"/>
    <w:rsid w:val="00AE59A9"/>
    <w:rsid w:val="00AE59E3"/>
    <w:rsid w:val="00AE5A1A"/>
    <w:rsid w:val="00AE5A3E"/>
    <w:rsid w:val="00AE5A3F"/>
    <w:rsid w:val="00AE5A7A"/>
    <w:rsid w:val="00AE5AC7"/>
    <w:rsid w:val="00AE5BEB"/>
    <w:rsid w:val="00AE5BFB"/>
    <w:rsid w:val="00AE5C98"/>
    <w:rsid w:val="00AE5CDE"/>
    <w:rsid w:val="00AE5E2C"/>
    <w:rsid w:val="00AE5E38"/>
    <w:rsid w:val="00AE5E6A"/>
    <w:rsid w:val="00AE5E9A"/>
    <w:rsid w:val="00AE5EB4"/>
    <w:rsid w:val="00AE5EB7"/>
    <w:rsid w:val="00AE5ED4"/>
    <w:rsid w:val="00AE5F67"/>
    <w:rsid w:val="00AE5F9B"/>
    <w:rsid w:val="00AE5FCE"/>
    <w:rsid w:val="00AE5FD9"/>
    <w:rsid w:val="00AE601D"/>
    <w:rsid w:val="00AE602D"/>
    <w:rsid w:val="00AE6052"/>
    <w:rsid w:val="00AE60A4"/>
    <w:rsid w:val="00AE6123"/>
    <w:rsid w:val="00AE6127"/>
    <w:rsid w:val="00AE6139"/>
    <w:rsid w:val="00AE6179"/>
    <w:rsid w:val="00AE6189"/>
    <w:rsid w:val="00AE61A3"/>
    <w:rsid w:val="00AE61DD"/>
    <w:rsid w:val="00AE61E7"/>
    <w:rsid w:val="00AE6275"/>
    <w:rsid w:val="00AE62D0"/>
    <w:rsid w:val="00AE634A"/>
    <w:rsid w:val="00AE6372"/>
    <w:rsid w:val="00AE637F"/>
    <w:rsid w:val="00AE639A"/>
    <w:rsid w:val="00AE63A5"/>
    <w:rsid w:val="00AE63ED"/>
    <w:rsid w:val="00AE63FC"/>
    <w:rsid w:val="00AE6435"/>
    <w:rsid w:val="00AE647B"/>
    <w:rsid w:val="00AE651A"/>
    <w:rsid w:val="00AE6550"/>
    <w:rsid w:val="00AE6556"/>
    <w:rsid w:val="00AE6574"/>
    <w:rsid w:val="00AE658A"/>
    <w:rsid w:val="00AE65A0"/>
    <w:rsid w:val="00AE6617"/>
    <w:rsid w:val="00AE6630"/>
    <w:rsid w:val="00AE66BF"/>
    <w:rsid w:val="00AE66C2"/>
    <w:rsid w:val="00AE671A"/>
    <w:rsid w:val="00AE6726"/>
    <w:rsid w:val="00AE674E"/>
    <w:rsid w:val="00AE6759"/>
    <w:rsid w:val="00AE6764"/>
    <w:rsid w:val="00AE6789"/>
    <w:rsid w:val="00AE67AF"/>
    <w:rsid w:val="00AE6869"/>
    <w:rsid w:val="00AE686C"/>
    <w:rsid w:val="00AE6964"/>
    <w:rsid w:val="00AE697A"/>
    <w:rsid w:val="00AE697B"/>
    <w:rsid w:val="00AE698B"/>
    <w:rsid w:val="00AE6A01"/>
    <w:rsid w:val="00AE6A5F"/>
    <w:rsid w:val="00AE6AA8"/>
    <w:rsid w:val="00AE6AE4"/>
    <w:rsid w:val="00AE6B1E"/>
    <w:rsid w:val="00AE6B91"/>
    <w:rsid w:val="00AE6B9D"/>
    <w:rsid w:val="00AE6BA2"/>
    <w:rsid w:val="00AE6BE6"/>
    <w:rsid w:val="00AE6C3D"/>
    <w:rsid w:val="00AE6C65"/>
    <w:rsid w:val="00AE6CBF"/>
    <w:rsid w:val="00AE6CE8"/>
    <w:rsid w:val="00AE6CEB"/>
    <w:rsid w:val="00AE6CF7"/>
    <w:rsid w:val="00AE6D05"/>
    <w:rsid w:val="00AE6DA7"/>
    <w:rsid w:val="00AE6E58"/>
    <w:rsid w:val="00AE6E73"/>
    <w:rsid w:val="00AE6E89"/>
    <w:rsid w:val="00AE6EB3"/>
    <w:rsid w:val="00AE6EEE"/>
    <w:rsid w:val="00AE6EFF"/>
    <w:rsid w:val="00AE6F16"/>
    <w:rsid w:val="00AE6F3B"/>
    <w:rsid w:val="00AE6FD8"/>
    <w:rsid w:val="00AE6FDC"/>
    <w:rsid w:val="00AE6FF3"/>
    <w:rsid w:val="00AE7014"/>
    <w:rsid w:val="00AE7076"/>
    <w:rsid w:val="00AE70A6"/>
    <w:rsid w:val="00AE70C5"/>
    <w:rsid w:val="00AE70E7"/>
    <w:rsid w:val="00AE70EF"/>
    <w:rsid w:val="00AE70F2"/>
    <w:rsid w:val="00AE7103"/>
    <w:rsid w:val="00AE710E"/>
    <w:rsid w:val="00AE7141"/>
    <w:rsid w:val="00AE714C"/>
    <w:rsid w:val="00AE7193"/>
    <w:rsid w:val="00AE7194"/>
    <w:rsid w:val="00AE71C6"/>
    <w:rsid w:val="00AE71F9"/>
    <w:rsid w:val="00AE7224"/>
    <w:rsid w:val="00AE7285"/>
    <w:rsid w:val="00AE7290"/>
    <w:rsid w:val="00AE72AC"/>
    <w:rsid w:val="00AE72B8"/>
    <w:rsid w:val="00AE72E8"/>
    <w:rsid w:val="00AE731A"/>
    <w:rsid w:val="00AE7327"/>
    <w:rsid w:val="00AE7361"/>
    <w:rsid w:val="00AE737F"/>
    <w:rsid w:val="00AE7396"/>
    <w:rsid w:val="00AE73BA"/>
    <w:rsid w:val="00AE73EB"/>
    <w:rsid w:val="00AE743D"/>
    <w:rsid w:val="00AE745F"/>
    <w:rsid w:val="00AE74A2"/>
    <w:rsid w:val="00AE74B1"/>
    <w:rsid w:val="00AE7516"/>
    <w:rsid w:val="00AE752D"/>
    <w:rsid w:val="00AE754B"/>
    <w:rsid w:val="00AE7570"/>
    <w:rsid w:val="00AE7694"/>
    <w:rsid w:val="00AE76A1"/>
    <w:rsid w:val="00AE76C9"/>
    <w:rsid w:val="00AE76D8"/>
    <w:rsid w:val="00AE76E4"/>
    <w:rsid w:val="00AE772F"/>
    <w:rsid w:val="00AE7735"/>
    <w:rsid w:val="00AE776A"/>
    <w:rsid w:val="00AE7775"/>
    <w:rsid w:val="00AE779C"/>
    <w:rsid w:val="00AE77C1"/>
    <w:rsid w:val="00AE77ED"/>
    <w:rsid w:val="00AE77F3"/>
    <w:rsid w:val="00AE77F6"/>
    <w:rsid w:val="00AE782B"/>
    <w:rsid w:val="00AE78B3"/>
    <w:rsid w:val="00AE7906"/>
    <w:rsid w:val="00AE7963"/>
    <w:rsid w:val="00AE7991"/>
    <w:rsid w:val="00AE79B9"/>
    <w:rsid w:val="00AE7A22"/>
    <w:rsid w:val="00AE7A43"/>
    <w:rsid w:val="00AE7A68"/>
    <w:rsid w:val="00AE7ACC"/>
    <w:rsid w:val="00AE7AFC"/>
    <w:rsid w:val="00AE7B34"/>
    <w:rsid w:val="00AE7B60"/>
    <w:rsid w:val="00AE7B73"/>
    <w:rsid w:val="00AE7B78"/>
    <w:rsid w:val="00AE7B7D"/>
    <w:rsid w:val="00AE7B82"/>
    <w:rsid w:val="00AE7BA1"/>
    <w:rsid w:val="00AE7BA6"/>
    <w:rsid w:val="00AE7BB5"/>
    <w:rsid w:val="00AE7BC6"/>
    <w:rsid w:val="00AE7BCD"/>
    <w:rsid w:val="00AE7C19"/>
    <w:rsid w:val="00AE7CD2"/>
    <w:rsid w:val="00AE7D15"/>
    <w:rsid w:val="00AE7D4C"/>
    <w:rsid w:val="00AE7DDD"/>
    <w:rsid w:val="00AE7E1B"/>
    <w:rsid w:val="00AE7E2A"/>
    <w:rsid w:val="00AE7E3F"/>
    <w:rsid w:val="00AE7E43"/>
    <w:rsid w:val="00AE7E55"/>
    <w:rsid w:val="00AE7EFA"/>
    <w:rsid w:val="00AE7F17"/>
    <w:rsid w:val="00AE7F48"/>
    <w:rsid w:val="00AE7FA0"/>
    <w:rsid w:val="00AE7FD7"/>
    <w:rsid w:val="00AE7FF8"/>
    <w:rsid w:val="00AF0029"/>
    <w:rsid w:val="00AF0065"/>
    <w:rsid w:val="00AF006E"/>
    <w:rsid w:val="00AF0074"/>
    <w:rsid w:val="00AF00AD"/>
    <w:rsid w:val="00AF00E8"/>
    <w:rsid w:val="00AF017E"/>
    <w:rsid w:val="00AF0189"/>
    <w:rsid w:val="00AF0191"/>
    <w:rsid w:val="00AF0199"/>
    <w:rsid w:val="00AF025D"/>
    <w:rsid w:val="00AF0298"/>
    <w:rsid w:val="00AF02AB"/>
    <w:rsid w:val="00AF02B0"/>
    <w:rsid w:val="00AF0336"/>
    <w:rsid w:val="00AF0361"/>
    <w:rsid w:val="00AF0372"/>
    <w:rsid w:val="00AF0396"/>
    <w:rsid w:val="00AF03C4"/>
    <w:rsid w:val="00AF03E8"/>
    <w:rsid w:val="00AF03F1"/>
    <w:rsid w:val="00AF03FC"/>
    <w:rsid w:val="00AF042F"/>
    <w:rsid w:val="00AF0457"/>
    <w:rsid w:val="00AF049D"/>
    <w:rsid w:val="00AF04FD"/>
    <w:rsid w:val="00AF0505"/>
    <w:rsid w:val="00AF0543"/>
    <w:rsid w:val="00AF0570"/>
    <w:rsid w:val="00AF05E1"/>
    <w:rsid w:val="00AF0607"/>
    <w:rsid w:val="00AF064E"/>
    <w:rsid w:val="00AF06E4"/>
    <w:rsid w:val="00AF06FA"/>
    <w:rsid w:val="00AF072E"/>
    <w:rsid w:val="00AF07AD"/>
    <w:rsid w:val="00AF07AE"/>
    <w:rsid w:val="00AF07D0"/>
    <w:rsid w:val="00AF0803"/>
    <w:rsid w:val="00AF0869"/>
    <w:rsid w:val="00AF088F"/>
    <w:rsid w:val="00AF08A1"/>
    <w:rsid w:val="00AF08CE"/>
    <w:rsid w:val="00AF08DD"/>
    <w:rsid w:val="00AF0931"/>
    <w:rsid w:val="00AF0957"/>
    <w:rsid w:val="00AF097C"/>
    <w:rsid w:val="00AF0A26"/>
    <w:rsid w:val="00AF0A63"/>
    <w:rsid w:val="00AF0AAD"/>
    <w:rsid w:val="00AF0AC4"/>
    <w:rsid w:val="00AF0B67"/>
    <w:rsid w:val="00AF0BA3"/>
    <w:rsid w:val="00AF0C1E"/>
    <w:rsid w:val="00AF0CBC"/>
    <w:rsid w:val="00AF0CF9"/>
    <w:rsid w:val="00AF0D3E"/>
    <w:rsid w:val="00AF0DA6"/>
    <w:rsid w:val="00AF0DAA"/>
    <w:rsid w:val="00AF0DBD"/>
    <w:rsid w:val="00AF0EC3"/>
    <w:rsid w:val="00AF0ECE"/>
    <w:rsid w:val="00AF0ED1"/>
    <w:rsid w:val="00AF0EE9"/>
    <w:rsid w:val="00AF0F16"/>
    <w:rsid w:val="00AF0F36"/>
    <w:rsid w:val="00AF0F3A"/>
    <w:rsid w:val="00AF0F73"/>
    <w:rsid w:val="00AF0FCA"/>
    <w:rsid w:val="00AF0FE4"/>
    <w:rsid w:val="00AF1024"/>
    <w:rsid w:val="00AF1093"/>
    <w:rsid w:val="00AF10A1"/>
    <w:rsid w:val="00AF10F3"/>
    <w:rsid w:val="00AF111B"/>
    <w:rsid w:val="00AF1173"/>
    <w:rsid w:val="00AF11BA"/>
    <w:rsid w:val="00AF11D6"/>
    <w:rsid w:val="00AF121A"/>
    <w:rsid w:val="00AF1243"/>
    <w:rsid w:val="00AF12EF"/>
    <w:rsid w:val="00AF1335"/>
    <w:rsid w:val="00AF137F"/>
    <w:rsid w:val="00AF1397"/>
    <w:rsid w:val="00AF13AC"/>
    <w:rsid w:val="00AF13B3"/>
    <w:rsid w:val="00AF13EB"/>
    <w:rsid w:val="00AF1428"/>
    <w:rsid w:val="00AF1443"/>
    <w:rsid w:val="00AF148D"/>
    <w:rsid w:val="00AF15A2"/>
    <w:rsid w:val="00AF15C4"/>
    <w:rsid w:val="00AF160F"/>
    <w:rsid w:val="00AF1648"/>
    <w:rsid w:val="00AF1666"/>
    <w:rsid w:val="00AF16C5"/>
    <w:rsid w:val="00AF1719"/>
    <w:rsid w:val="00AF1721"/>
    <w:rsid w:val="00AF1759"/>
    <w:rsid w:val="00AF1775"/>
    <w:rsid w:val="00AF177D"/>
    <w:rsid w:val="00AF1828"/>
    <w:rsid w:val="00AF1882"/>
    <w:rsid w:val="00AF18D1"/>
    <w:rsid w:val="00AF192A"/>
    <w:rsid w:val="00AF193F"/>
    <w:rsid w:val="00AF194E"/>
    <w:rsid w:val="00AF1A30"/>
    <w:rsid w:val="00AF1A3A"/>
    <w:rsid w:val="00AF1A53"/>
    <w:rsid w:val="00AF1B24"/>
    <w:rsid w:val="00AF1B37"/>
    <w:rsid w:val="00AF1B55"/>
    <w:rsid w:val="00AF1B7A"/>
    <w:rsid w:val="00AF1B8D"/>
    <w:rsid w:val="00AF1B9A"/>
    <w:rsid w:val="00AF1C12"/>
    <w:rsid w:val="00AF1C8E"/>
    <w:rsid w:val="00AF1CC6"/>
    <w:rsid w:val="00AF1CD1"/>
    <w:rsid w:val="00AF1CE3"/>
    <w:rsid w:val="00AF1D16"/>
    <w:rsid w:val="00AF1D49"/>
    <w:rsid w:val="00AF1D64"/>
    <w:rsid w:val="00AF1D7B"/>
    <w:rsid w:val="00AF1D80"/>
    <w:rsid w:val="00AF1D98"/>
    <w:rsid w:val="00AF1DCA"/>
    <w:rsid w:val="00AF1E37"/>
    <w:rsid w:val="00AF1E42"/>
    <w:rsid w:val="00AF1E60"/>
    <w:rsid w:val="00AF1E72"/>
    <w:rsid w:val="00AF1E83"/>
    <w:rsid w:val="00AF1EA9"/>
    <w:rsid w:val="00AF1EE4"/>
    <w:rsid w:val="00AF1EE7"/>
    <w:rsid w:val="00AF1F71"/>
    <w:rsid w:val="00AF1F9F"/>
    <w:rsid w:val="00AF1FB0"/>
    <w:rsid w:val="00AF1FB7"/>
    <w:rsid w:val="00AF1FF4"/>
    <w:rsid w:val="00AF2030"/>
    <w:rsid w:val="00AF2078"/>
    <w:rsid w:val="00AF20A7"/>
    <w:rsid w:val="00AF2140"/>
    <w:rsid w:val="00AF214B"/>
    <w:rsid w:val="00AF2176"/>
    <w:rsid w:val="00AF21AD"/>
    <w:rsid w:val="00AF21B2"/>
    <w:rsid w:val="00AF21BA"/>
    <w:rsid w:val="00AF220D"/>
    <w:rsid w:val="00AF223F"/>
    <w:rsid w:val="00AF2269"/>
    <w:rsid w:val="00AF226A"/>
    <w:rsid w:val="00AF2271"/>
    <w:rsid w:val="00AF2290"/>
    <w:rsid w:val="00AF22B2"/>
    <w:rsid w:val="00AF22F0"/>
    <w:rsid w:val="00AF233A"/>
    <w:rsid w:val="00AF2340"/>
    <w:rsid w:val="00AF2372"/>
    <w:rsid w:val="00AF23FB"/>
    <w:rsid w:val="00AF2433"/>
    <w:rsid w:val="00AF245F"/>
    <w:rsid w:val="00AF24B5"/>
    <w:rsid w:val="00AF24B8"/>
    <w:rsid w:val="00AF24EE"/>
    <w:rsid w:val="00AF2565"/>
    <w:rsid w:val="00AF25A8"/>
    <w:rsid w:val="00AF2632"/>
    <w:rsid w:val="00AF2671"/>
    <w:rsid w:val="00AF2679"/>
    <w:rsid w:val="00AF268E"/>
    <w:rsid w:val="00AF26E1"/>
    <w:rsid w:val="00AF26FC"/>
    <w:rsid w:val="00AF272B"/>
    <w:rsid w:val="00AF2782"/>
    <w:rsid w:val="00AF2786"/>
    <w:rsid w:val="00AF27C1"/>
    <w:rsid w:val="00AF284A"/>
    <w:rsid w:val="00AF284E"/>
    <w:rsid w:val="00AF285C"/>
    <w:rsid w:val="00AF2876"/>
    <w:rsid w:val="00AF28B1"/>
    <w:rsid w:val="00AF28B3"/>
    <w:rsid w:val="00AF294B"/>
    <w:rsid w:val="00AF2953"/>
    <w:rsid w:val="00AF297F"/>
    <w:rsid w:val="00AF29B5"/>
    <w:rsid w:val="00AF29E0"/>
    <w:rsid w:val="00AF29F6"/>
    <w:rsid w:val="00AF2A09"/>
    <w:rsid w:val="00AF2A4A"/>
    <w:rsid w:val="00AF2A66"/>
    <w:rsid w:val="00AF2A68"/>
    <w:rsid w:val="00AF2B1B"/>
    <w:rsid w:val="00AF2B1F"/>
    <w:rsid w:val="00AF2B42"/>
    <w:rsid w:val="00AF2BA8"/>
    <w:rsid w:val="00AF2BAB"/>
    <w:rsid w:val="00AF2C07"/>
    <w:rsid w:val="00AF2C0C"/>
    <w:rsid w:val="00AF2C10"/>
    <w:rsid w:val="00AF2D11"/>
    <w:rsid w:val="00AF2D22"/>
    <w:rsid w:val="00AF2DC3"/>
    <w:rsid w:val="00AF2E0C"/>
    <w:rsid w:val="00AF2E1D"/>
    <w:rsid w:val="00AF2E79"/>
    <w:rsid w:val="00AF2EED"/>
    <w:rsid w:val="00AF2F22"/>
    <w:rsid w:val="00AF2F9F"/>
    <w:rsid w:val="00AF2FF8"/>
    <w:rsid w:val="00AF303D"/>
    <w:rsid w:val="00AF3088"/>
    <w:rsid w:val="00AF3091"/>
    <w:rsid w:val="00AF309C"/>
    <w:rsid w:val="00AF30AA"/>
    <w:rsid w:val="00AF30AB"/>
    <w:rsid w:val="00AF30B9"/>
    <w:rsid w:val="00AF30C1"/>
    <w:rsid w:val="00AF30F5"/>
    <w:rsid w:val="00AF312A"/>
    <w:rsid w:val="00AF3146"/>
    <w:rsid w:val="00AF3180"/>
    <w:rsid w:val="00AF3181"/>
    <w:rsid w:val="00AF3186"/>
    <w:rsid w:val="00AF318D"/>
    <w:rsid w:val="00AF31F1"/>
    <w:rsid w:val="00AF3217"/>
    <w:rsid w:val="00AF32B7"/>
    <w:rsid w:val="00AF32F9"/>
    <w:rsid w:val="00AF32FC"/>
    <w:rsid w:val="00AF333F"/>
    <w:rsid w:val="00AF349C"/>
    <w:rsid w:val="00AF34A8"/>
    <w:rsid w:val="00AF34B6"/>
    <w:rsid w:val="00AF34C8"/>
    <w:rsid w:val="00AF35C5"/>
    <w:rsid w:val="00AF360F"/>
    <w:rsid w:val="00AF3636"/>
    <w:rsid w:val="00AF3648"/>
    <w:rsid w:val="00AF3685"/>
    <w:rsid w:val="00AF36BC"/>
    <w:rsid w:val="00AF3774"/>
    <w:rsid w:val="00AF37F6"/>
    <w:rsid w:val="00AF3814"/>
    <w:rsid w:val="00AF3828"/>
    <w:rsid w:val="00AF386F"/>
    <w:rsid w:val="00AF38C3"/>
    <w:rsid w:val="00AF38D4"/>
    <w:rsid w:val="00AF38DE"/>
    <w:rsid w:val="00AF38E0"/>
    <w:rsid w:val="00AF3900"/>
    <w:rsid w:val="00AF3928"/>
    <w:rsid w:val="00AF392F"/>
    <w:rsid w:val="00AF39D0"/>
    <w:rsid w:val="00AF39F8"/>
    <w:rsid w:val="00AF3A8F"/>
    <w:rsid w:val="00AF3B50"/>
    <w:rsid w:val="00AF3B56"/>
    <w:rsid w:val="00AF3B81"/>
    <w:rsid w:val="00AF3B96"/>
    <w:rsid w:val="00AF3BED"/>
    <w:rsid w:val="00AF3BFF"/>
    <w:rsid w:val="00AF3C33"/>
    <w:rsid w:val="00AF3C40"/>
    <w:rsid w:val="00AF3C56"/>
    <w:rsid w:val="00AF3C5B"/>
    <w:rsid w:val="00AF3C9A"/>
    <w:rsid w:val="00AF3D00"/>
    <w:rsid w:val="00AF3D2C"/>
    <w:rsid w:val="00AF3D5F"/>
    <w:rsid w:val="00AF3D8A"/>
    <w:rsid w:val="00AF3E4F"/>
    <w:rsid w:val="00AF3E86"/>
    <w:rsid w:val="00AF3F1C"/>
    <w:rsid w:val="00AF3F48"/>
    <w:rsid w:val="00AF3F59"/>
    <w:rsid w:val="00AF3F69"/>
    <w:rsid w:val="00AF3FD9"/>
    <w:rsid w:val="00AF3FDA"/>
    <w:rsid w:val="00AF3FED"/>
    <w:rsid w:val="00AF3FFC"/>
    <w:rsid w:val="00AF4066"/>
    <w:rsid w:val="00AF408D"/>
    <w:rsid w:val="00AF411D"/>
    <w:rsid w:val="00AF413B"/>
    <w:rsid w:val="00AF4142"/>
    <w:rsid w:val="00AF415C"/>
    <w:rsid w:val="00AF415E"/>
    <w:rsid w:val="00AF41AC"/>
    <w:rsid w:val="00AF41EA"/>
    <w:rsid w:val="00AF41FF"/>
    <w:rsid w:val="00AF424C"/>
    <w:rsid w:val="00AF424E"/>
    <w:rsid w:val="00AF4277"/>
    <w:rsid w:val="00AF429E"/>
    <w:rsid w:val="00AF4301"/>
    <w:rsid w:val="00AF4329"/>
    <w:rsid w:val="00AF432A"/>
    <w:rsid w:val="00AF435E"/>
    <w:rsid w:val="00AF437E"/>
    <w:rsid w:val="00AF43B6"/>
    <w:rsid w:val="00AF4481"/>
    <w:rsid w:val="00AF4484"/>
    <w:rsid w:val="00AF4485"/>
    <w:rsid w:val="00AF449D"/>
    <w:rsid w:val="00AF44C5"/>
    <w:rsid w:val="00AF4528"/>
    <w:rsid w:val="00AF454F"/>
    <w:rsid w:val="00AF45AE"/>
    <w:rsid w:val="00AF461D"/>
    <w:rsid w:val="00AF466C"/>
    <w:rsid w:val="00AF4687"/>
    <w:rsid w:val="00AF46CC"/>
    <w:rsid w:val="00AF46F4"/>
    <w:rsid w:val="00AF4718"/>
    <w:rsid w:val="00AF4738"/>
    <w:rsid w:val="00AF4757"/>
    <w:rsid w:val="00AF47C8"/>
    <w:rsid w:val="00AF47E8"/>
    <w:rsid w:val="00AF480E"/>
    <w:rsid w:val="00AF482B"/>
    <w:rsid w:val="00AF487E"/>
    <w:rsid w:val="00AF4881"/>
    <w:rsid w:val="00AF48B7"/>
    <w:rsid w:val="00AF48C9"/>
    <w:rsid w:val="00AF4946"/>
    <w:rsid w:val="00AF49DF"/>
    <w:rsid w:val="00AF49E8"/>
    <w:rsid w:val="00AF4AAB"/>
    <w:rsid w:val="00AF4B86"/>
    <w:rsid w:val="00AF4B98"/>
    <w:rsid w:val="00AF4BA2"/>
    <w:rsid w:val="00AF4BDF"/>
    <w:rsid w:val="00AF4BE2"/>
    <w:rsid w:val="00AF4C11"/>
    <w:rsid w:val="00AF4C1C"/>
    <w:rsid w:val="00AF4C26"/>
    <w:rsid w:val="00AF4C32"/>
    <w:rsid w:val="00AF4C91"/>
    <w:rsid w:val="00AF4CA2"/>
    <w:rsid w:val="00AF4CFF"/>
    <w:rsid w:val="00AF4D37"/>
    <w:rsid w:val="00AF4D56"/>
    <w:rsid w:val="00AF4D89"/>
    <w:rsid w:val="00AF4D97"/>
    <w:rsid w:val="00AF4D9E"/>
    <w:rsid w:val="00AF4E18"/>
    <w:rsid w:val="00AF4E26"/>
    <w:rsid w:val="00AF4E49"/>
    <w:rsid w:val="00AF4E50"/>
    <w:rsid w:val="00AF4E6F"/>
    <w:rsid w:val="00AF4EAA"/>
    <w:rsid w:val="00AF4EFC"/>
    <w:rsid w:val="00AF4F15"/>
    <w:rsid w:val="00AF4F20"/>
    <w:rsid w:val="00AF4FD4"/>
    <w:rsid w:val="00AF5053"/>
    <w:rsid w:val="00AF509A"/>
    <w:rsid w:val="00AF50D8"/>
    <w:rsid w:val="00AF50E7"/>
    <w:rsid w:val="00AF5144"/>
    <w:rsid w:val="00AF5196"/>
    <w:rsid w:val="00AF51A9"/>
    <w:rsid w:val="00AF51B7"/>
    <w:rsid w:val="00AF5226"/>
    <w:rsid w:val="00AF5239"/>
    <w:rsid w:val="00AF52A5"/>
    <w:rsid w:val="00AF5306"/>
    <w:rsid w:val="00AF5333"/>
    <w:rsid w:val="00AF538C"/>
    <w:rsid w:val="00AF5453"/>
    <w:rsid w:val="00AF549A"/>
    <w:rsid w:val="00AF54B4"/>
    <w:rsid w:val="00AF54BC"/>
    <w:rsid w:val="00AF5500"/>
    <w:rsid w:val="00AF5505"/>
    <w:rsid w:val="00AF5508"/>
    <w:rsid w:val="00AF5519"/>
    <w:rsid w:val="00AF553B"/>
    <w:rsid w:val="00AF5543"/>
    <w:rsid w:val="00AF5544"/>
    <w:rsid w:val="00AF5549"/>
    <w:rsid w:val="00AF554B"/>
    <w:rsid w:val="00AF554E"/>
    <w:rsid w:val="00AF5550"/>
    <w:rsid w:val="00AF559D"/>
    <w:rsid w:val="00AF5678"/>
    <w:rsid w:val="00AF567F"/>
    <w:rsid w:val="00AF56B0"/>
    <w:rsid w:val="00AF56F7"/>
    <w:rsid w:val="00AF56FD"/>
    <w:rsid w:val="00AF570C"/>
    <w:rsid w:val="00AF5718"/>
    <w:rsid w:val="00AF574A"/>
    <w:rsid w:val="00AF578E"/>
    <w:rsid w:val="00AF57B2"/>
    <w:rsid w:val="00AF57E2"/>
    <w:rsid w:val="00AF57F8"/>
    <w:rsid w:val="00AF5801"/>
    <w:rsid w:val="00AF584B"/>
    <w:rsid w:val="00AF5858"/>
    <w:rsid w:val="00AF585B"/>
    <w:rsid w:val="00AF5891"/>
    <w:rsid w:val="00AF58BD"/>
    <w:rsid w:val="00AF592E"/>
    <w:rsid w:val="00AF5991"/>
    <w:rsid w:val="00AF5A33"/>
    <w:rsid w:val="00AF5A57"/>
    <w:rsid w:val="00AF5B19"/>
    <w:rsid w:val="00AF5B27"/>
    <w:rsid w:val="00AF5B5B"/>
    <w:rsid w:val="00AF5B69"/>
    <w:rsid w:val="00AF5C2A"/>
    <w:rsid w:val="00AF5CA9"/>
    <w:rsid w:val="00AF5CAD"/>
    <w:rsid w:val="00AF5CC1"/>
    <w:rsid w:val="00AF5CE2"/>
    <w:rsid w:val="00AF5CF5"/>
    <w:rsid w:val="00AF5CFE"/>
    <w:rsid w:val="00AF5D04"/>
    <w:rsid w:val="00AF5DAC"/>
    <w:rsid w:val="00AF5DB4"/>
    <w:rsid w:val="00AF5DD4"/>
    <w:rsid w:val="00AF5DF3"/>
    <w:rsid w:val="00AF5E4A"/>
    <w:rsid w:val="00AF5E5E"/>
    <w:rsid w:val="00AF5E7A"/>
    <w:rsid w:val="00AF5E8C"/>
    <w:rsid w:val="00AF5ECE"/>
    <w:rsid w:val="00AF5F39"/>
    <w:rsid w:val="00AF6001"/>
    <w:rsid w:val="00AF6019"/>
    <w:rsid w:val="00AF6149"/>
    <w:rsid w:val="00AF61C0"/>
    <w:rsid w:val="00AF62FC"/>
    <w:rsid w:val="00AF6348"/>
    <w:rsid w:val="00AF6448"/>
    <w:rsid w:val="00AF647F"/>
    <w:rsid w:val="00AF64AD"/>
    <w:rsid w:val="00AF64D1"/>
    <w:rsid w:val="00AF64D2"/>
    <w:rsid w:val="00AF650B"/>
    <w:rsid w:val="00AF656D"/>
    <w:rsid w:val="00AF65DA"/>
    <w:rsid w:val="00AF6603"/>
    <w:rsid w:val="00AF6619"/>
    <w:rsid w:val="00AF662D"/>
    <w:rsid w:val="00AF6639"/>
    <w:rsid w:val="00AF6685"/>
    <w:rsid w:val="00AF66CD"/>
    <w:rsid w:val="00AF66F5"/>
    <w:rsid w:val="00AF6715"/>
    <w:rsid w:val="00AF6739"/>
    <w:rsid w:val="00AF6750"/>
    <w:rsid w:val="00AF67DD"/>
    <w:rsid w:val="00AF67EA"/>
    <w:rsid w:val="00AF681A"/>
    <w:rsid w:val="00AF6837"/>
    <w:rsid w:val="00AF6870"/>
    <w:rsid w:val="00AF688D"/>
    <w:rsid w:val="00AF6897"/>
    <w:rsid w:val="00AF694B"/>
    <w:rsid w:val="00AF69AB"/>
    <w:rsid w:val="00AF69E4"/>
    <w:rsid w:val="00AF69FA"/>
    <w:rsid w:val="00AF6A1E"/>
    <w:rsid w:val="00AF6A40"/>
    <w:rsid w:val="00AF6A51"/>
    <w:rsid w:val="00AF6A54"/>
    <w:rsid w:val="00AF6AA3"/>
    <w:rsid w:val="00AF6AF5"/>
    <w:rsid w:val="00AF6AFF"/>
    <w:rsid w:val="00AF6B2E"/>
    <w:rsid w:val="00AF6B8E"/>
    <w:rsid w:val="00AF6C21"/>
    <w:rsid w:val="00AF6C9C"/>
    <w:rsid w:val="00AF6D0A"/>
    <w:rsid w:val="00AF6D11"/>
    <w:rsid w:val="00AF6E94"/>
    <w:rsid w:val="00AF6EF0"/>
    <w:rsid w:val="00AF6F99"/>
    <w:rsid w:val="00AF6FB7"/>
    <w:rsid w:val="00AF6FB9"/>
    <w:rsid w:val="00AF6FE1"/>
    <w:rsid w:val="00AF6FE5"/>
    <w:rsid w:val="00AF6FF8"/>
    <w:rsid w:val="00AF7097"/>
    <w:rsid w:val="00AF70E8"/>
    <w:rsid w:val="00AF70EA"/>
    <w:rsid w:val="00AF715B"/>
    <w:rsid w:val="00AF71DD"/>
    <w:rsid w:val="00AF71F7"/>
    <w:rsid w:val="00AF720F"/>
    <w:rsid w:val="00AF725B"/>
    <w:rsid w:val="00AF7289"/>
    <w:rsid w:val="00AF731B"/>
    <w:rsid w:val="00AF7321"/>
    <w:rsid w:val="00AF7341"/>
    <w:rsid w:val="00AF7375"/>
    <w:rsid w:val="00AF737C"/>
    <w:rsid w:val="00AF7390"/>
    <w:rsid w:val="00AF73E9"/>
    <w:rsid w:val="00AF7413"/>
    <w:rsid w:val="00AF7471"/>
    <w:rsid w:val="00AF74A0"/>
    <w:rsid w:val="00AF74A6"/>
    <w:rsid w:val="00AF755A"/>
    <w:rsid w:val="00AF7594"/>
    <w:rsid w:val="00AF7614"/>
    <w:rsid w:val="00AF7643"/>
    <w:rsid w:val="00AF7654"/>
    <w:rsid w:val="00AF7662"/>
    <w:rsid w:val="00AF767F"/>
    <w:rsid w:val="00AF768E"/>
    <w:rsid w:val="00AF769D"/>
    <w:rsid w:val="00AF7701"/>
    <w:rsid w:val="00AF772A"/>
    <w:rsid w:val="00AF776E"/>
    <w:rsid w:val="00AF7785"/>
    <w:rsid w:val="00AF778D"/>
    <w:rsid w:val="00AF77AE"/>
    <w:rsid w:val="00AF77EF"/>
    <w:rsid w:val="00AF7844"/>
    <w:rsid w:val="00AF7868"/>
    <w:rsid w:val="00AF7881"/>
    <w:rsid w:val="00AF78DC"/>
    <w:rsid w:val="00AF7913"/>
    <w:rsid w:val="00AF7971"/>
    <w:rsid w:val="00AF798C"/>
    <w:rsid w:val="00AF79AD"/>
    <w:rsid w:val="00AF79C6"/>
    <w:rsid w:val="00AF7AB4"/>
    <w:rsid w:val="00AF7ADD"/>
    <w:rsid w:val="00AF7B65"/>
    <w:rsid w:val="00AF7BBC"/>
    <w:rsid w:val="00AF7BDD"/>
    <w:rsid w:val="00AF7C43"/>
    <w:rsid w:val="00AF7CA8"/>
    <w:rsid w:val="00AF7CAA"/>
    <w:rsid w:val="00AF7CB5"/>
    <w:rsid w:val="00AF7D18"/>
    <w:rsid w:val="00AF7D2D"/>
    <w:rsid w:val="00AF7D7C"/>
    <w:rsid w:val="00AF7DAB"/>
    <w:rsid w:val="00AF7DCE"/>
    <w:rsid w:val="00AF7DF5"/>
    <w:rsid w:val="00AF7E09"/>
    <w:rsid w:val="00AF7E0F"/>
    <w:rsid w:val="00AF7E62"/>
    <w:rsid w:val="00AF7EBE"/>
    <w:rsid w:val="00AF7EEF"/>
    <w:rsid w:val="00AF7EFB"/>
    <w:rsid w:val="00AF7F3B"/>
    <w:rsid w:val="00AF7F5B"/>
    <w:rsid w:val="00AF7F5F"/>
    <w:rsid w:val="00AF7F73"/>
    <w:rsid w:val="00AF7FA2"/>
    <w:rsid w:val="00AF7FE0"/>
    <w:rsid w:val="00B00021"/>
    <w:rsid w:val="00B0008D"/>
    <w:rsid w:val="00B00095"/>
    <w:rsid w:val="00B00107"/>
    <w:rsid w:val="00B0013E"/>
    <w:rsid w:val="00B00150"/>
    <w:rsid w:val="00B00165"/>
    <w:rsid w:val="00B001C2"/>
    <w:rsid w:val="00B001D9"/>
    <w:rsid w:val="00B00229"/>
    <w:rsid w:val="00B00270"/>
    <w:rsid w:val="00B002AD"/>
    <w:rsid w:val="00B002B8"/>
    <w:rsid w:val="00B002BF"/>
    <w:rsid w:val="00B00336"/>
    <w:rsid w:val="00B0033C"/>
    <w:rsid w:val="00B00340"/>
    <w:rsid w:val="00B0037B"/>
    <w:rsid w:val="00B00387"/>
    <w:rsid w:val="00B00397"/>
    <w:rsid w:val="00B003BD"/>
    <w:rsid w:val="00B003C2"/>
    <w:rsid w:val="00B003D9"/>
    <w:rsid w:val="00B00405"/>
    <w:rsid w:val="00B0040B"/>
    <w:rsid w:val="00B0043C"/>
    <w:rsid w:val="00B00453"/>
    <w:rsid w:val="00B0046D"/>
    <w:rsid w:val="00B004E3"/>
    <w:rsid w:val="00B00508"/>
    <w:rsid w:val="00B00520"/>
    <w:rsid w:val="00B00535"/>
    <w:rsid w:val="00B005AB"/>
    <w:rsid w:val="00B005B1"/>
    <w:rsid w:val="00B0067C"/>
    <w:rsid w:val="00B006C2"/>
    <w:rsid w:val="00B006E1"/>
    <w:rsid w:val="00B0070E"/>
    <w:rsid w:val="00B0075A"/>
    <w:rsid w:val="00B00794"/>
    <w:rsid w:val="00B00852"/>
    <w:rsid w:val="00B00865"/>
    <w:rsid w:val="00B00870"/>
    <w:rsid w:val="00B00880"/>
    <w:rsid w:val="00B008BC"/>
    <w:rsid w:val="00B008F8"/>
    <w:rsid w:val="00B00939"/>
    <w:rsid w:val="00B00943"/>
    <w:rsid w:val="00B00951"/>
    <w:rsid w:val="00B00958"/>
    <w:rsid w:val="00B0095A"/>
    <w:rsid w:val="00B009F5"/>
    <w:rsid w:val="00B00A29"/>
    <w:rsid w:val="00B00A85"/>
    <w:rsid w:val="00B00AE9"/>
    <w:rsid w:val="00B00B07"/>
    <w:rsid w:val="00B00B10"/>
    <w:rsid w:val="00B00B49"/>
    <w:rsid w:val="00B00B5B"/>
    <w:rsid w:val="00B00B7C"/>
    <w:rsid w:val="00B00BC2"/>
    <w:rsid w:val="00B00BF1"/>
    <w:rsid w:val="00B00C0C"/>
    <w:rsid w:val="00B00C17"/>
    <w:rsid w:val="00B00C51"/>
    <w:rsid w:val="00B00CA8"/>
    <w:rsid w:val="00B00CCB"/>
    <w:rsid w:val="00B00DC2"/>
    <w:rsid w:val="00B00EA2"/>
    <w:rsid w:val="00B00EC6"/>
    <w:rsid w:val="00B00F3E"/>
    <w:rsid w:val="00B00F6C"/>
    <w:rsid w:val="00B0102D"/>
    <w:rsid w:val="00B01081"/>
    <w:rsid w:val="00B010E1"/>
    <w:rsid w:val="00B01112"/>
    <w:rsid w:val="00B01134"/>
    <w:rsid w:val="00B01140"/>
    <w:rsid w:val="00B01154"/>
    <w:rsid w:val="00B01162"/>
    <w:rsid w:val="00B0117E"/>
    <w:rsid w:val="00B011B1"/>
    <w:rsid w:val="00B011BC"/>
    <w:rsid w:val="00B011C7"/>
    <w:rsid w:val="00B011D8"/>
    <w:rsid w:val="00B01212"/>
    <w:rsid w:val="00B0130E"/>
    <w:rsid w:val="00B0131C"/>
    <w:rsid w:val="00B0135F"/>
    <w:rsid w:val="00B013B9"/>
    <w:rsid w:val="00B013DB"/>
    <w:rsid w:val="00B013DD"/>
    <w:rsid w:val="00B013E5"/>
    <w:rsid w:val="00B01419"/>
    <w:rsid w:val="00B0142E"/>
    <w:rsid w:val="00B014D5"/>
    <w:rsid w:val="00B014F0"/>
    <w:rsid w:val="00B01506"/>
    <w:rsid w:val="00B01550"/>
    <w:rsid w:val="00B01580"/>
    <w:rsid w:val="00B01594"/>
    <w:rsid w:val="00B0163A"/>
    <w:rsid w:val="00B01661"/>
    <w:rsid w:val="00B01736"/>
    <w:rsid w:val="00B01753"/>
    <w:rsid w:val="00B01759"/>
    <w:rsid w:val="00B0175E"/>
    <w:rsid w:val="00B01760"/>
    <w:rsid w:val="00B017BC"/>
    <w:rsid w:val="00B017D5"/>
    <w:rsid w:val="00B01843"/>
    <w:rsid w:val="00B01846"/>
    <w:rsid w:val="00B01898"/>
    <w:rsid w:val="00B018B5"/>
    <w:rsid w:val="00B018C5"/>
    <w:rsid w:val="00B01900"/>
    <w:rsid w:val="00B0196E"/>
    <w:rsid w:val="00B01985"/>
    <w:rsid w:val="00B019C2"/>
    <w:rsid w:val="00B019F3"/>
    <w:rsid w:val="00B019FD"/>
    <w:rsid w:val="00B01A05"/>
    <w:rsid w:val="00B01A4B"/>
    <w:rsid w:val="00B01A4C"/>
    <w:rsid w:val="00B01A51"/>
    <w:rsid w:val="00B01AAD"/>
    <w:rsid w:val="00B01B57"/>
    <w:rsid w:val="00B01B97"/>
    <w:rsid w:val="00B01B98"/>
    <w:rsid w:val="00B01C0E"/>
    <w:rsid w:val="00B01C20"/>
    <w:rsid w:val="00B01C39"/>
    <w:rsid w:val="00B01C68"/>
    <w:rsid w:val="00B01D48"/>
    <w:rsid w:val="00B01D5F"/>
    <w:rsid w:val="00B01D6C"/>
    <w:rsid w:val="00B01D93"/>
    <w:rsid w:val="00B01DE0"/>
    <w:rsid w:val="00B01E31"/>
    <w:rsid w:val="00B01E38"/>
    <w:rsid w:val="00B01E67"/>
    <w:rsid w:val="00B01E99"/>
    <w:rsid w:val="00B01F2D"/>
    <w:rsid w:val="00B01F43"/>
    <w:rsid w:val="00B01F4D"/>
    <w:rsid w:val="00B01F60"/>
    <w:rsid w:val="00B0202A"/>
    <w:rsid w:val="00B0206F"/>
    <w:rsid w:val="00B0207F"/>
    <w:rsid w:val="00B02098"/>
    <w:rsid w:val="00B020A7"/>
    <w:rsid w:val="00B020BA"/>
    <w:rsid w:val="00B02124"/>
    <w:rsid w:val="00B02136"/>
    <w:rsid w:val="00B0215E"/>
    <w:rsid w:val="00B02263"/>
    <w:rsid w:val="00B02264"/>
    <w:rsid w:val="00B0226A"/>
    <w:rsid w:val="00B0226D"/>
    <w:rsid w:val="00B022A4"/>
    <w:rsid w:val="00B022C9"/>
    <w:rsid w:val="00B022F4"/>
    <w:rsid w:val="00B02301"/>
    <w:rsid w:val="00B023A2"/>
    <w:rsid w:val="00B023E3"/>
    <w:rsid w:val="00B023FB"/>
    <w:rsid w:val="00B02404"/>
    <w:rsid w:val="00B0240C"/>
    <w:rsid w:val="00B02421"/>
    <w:rsid w:val="00B0242C"/>
    <w:rsid w:val="00B02443"/>
    <w:rsid w:val="00B02447"/>
    <w:rsid w:val="00B024B8"/>
    <w:rsid w:val="00B024B9"/>
    <w:rsid w:val="00B024CC"/>
    <w:rsid w:val="00B024F8"/>
    <w:rsid w:val="00B02504"/>
    <w:rsid w:val="00B0250E"/>
    <w:rsid w:val="00B02547"/>
    <w:rsid w:val="00B0254C"/>
    <w:rsid w:val="00B0255C"/>
    <w:rsid w:val="00B0256E"/>
    <w:rsid w:val="00B02584"/>
    <w:rsid w:val="00B0258D"/>
    <w:rsid w:val="00B025A6"/>
    <w:rsid w:val="00B025DE"/>
    <w:rsid w:val="00B025E3"/>
    <w:rsid w:val="00B025F7"/>
    <w:rsid w:val="00B02610"/>
    <w:rsid w:val="00B02631"/>
    <w:rsid w:val="00B02639"/>
    <w:rsid w:val="00B0269E"/>
    <w:rsid w:val="00B02789"/>
    <w:rsid w:val="00B0279D"/>
    <w:rsid w:val="00B027DA"/>
    <w:rsid w:val="00B0288B"/>
    <w:rsid w:val="00B02928"/>
    <w:rsid w:val="00B02952"/>
    <w:rsid w:val="00B02959"/>
    <w:rsid w:val="00B0296A"/>
    <w:rsid w:val="00B029A6"/>
    <w:rsid w:val="00B029BA"/>
    <w:rsid w:val="00B02A32"/>
    <w:rsid w:val="00B02AD2"/>
    <w:rsid w:val="00B02AEE"/>
    <w:rsid w:val="00B02B1A"/>
    <w:rsid w:val="00B02B1D"/>
    <w:rsid w:val="00B02BB8"/>
    <w:rsid w:val="00B02C0B"/>
    <w:rsid w:val="00B02C10"/>
    <w:rsid w:val="00B02C58"/>
    <w:rsid w:val="00B02C62"/>
    <w:rsid w:val="00B02C9A"/>
    <w:rsid w:val="00B02CC3"/>
    <w:rsid w:val="00B02CCE"/>
    <w:rsid w:val="00B02CD0"/>
    <w:rsid w:val="00B02CE1"/>
    <w:rsid w:val="00B02D17"/>
    <w:rsid w:val="00B02D2E"/>
    <w:rsid w:val="00B02D62"/>
    <w:rsid w:val="00B02D72"/>
    <w:rsid w:val="00B02D87"/>
    <w:rsid w:val="00B02DA0"/>
    <w:rsid w:val="00B02DAE"/>
    <w:rsid w:val="00B02DF2"/>
    <w:rsid w:val="00B02E04"/>
    <w:rsid w:val="00B02E54"/>
    <w:rsid w:val="00B02E9B"/>
    <w:rsid w:val="00B02ED5"/>
    <w:rsid w:val="00B02EEB"/>
    <w:rsid w:val="00B02F05"/>
    <w:rsid w:val="00B02F4E"/>
    <w:rsid w:val="00B02FAA"/>
    <w:rsid w:val="00B02FBB"/>
    <w:rsid w:val="00B02FC8"/>
    <w:rsid w:val="00B02FDF"/>
    <w:rsid w:val="00B0305A"/>
    <w:rsid w:val="00B03060"/>
    <w:rsid w:val="00B03074"/>
    <w:rsid w:val="00B030EA"/>
    <w:rsid w:val="00B0311E"/>
    <w:rsid w:val="00B03138"/>
    <w:rsid w:val="00B03158"/>
    <w:rsid w:val="00B03161"/>
    <w:rsid w:val="00B0317D"/>
    <w:rsid w:val="00B031A6"/>
    <w:rsid w:val="00B031BF"/>
    <w:rsid w:val="00B031DC"/>
    <w:rsid w:val="00B031EC"/>
    <w:rsid w:val="00B03291"/>
    <w:rsid w:val="00B0329C"/>
    <w:rsid w:val="00B03306"/>
    <w:rsid w:val="00B0332E"/>
    <w:rsid w:val="00B033FD"/>
    <w:rsid w:val="00B03430"/>
    <w:rsid w:val="00B0346A"/>
    <w:rsid w:val="00B034A1"/>
    <w:rsid w:val="00B035A1"/>
    <w:rsid w:val="00B03616"/>
    <w:rsid w:val="00B03669"/>
    <w:rsid w:val="00B03690"/>
    <w:rsid w:val="00B03779"/>
    <w:rsid w:val="00B0379D"/>
    <w:rsid w:val="00B037C6"/>
    <w:rsid w:val="00B037F5"/>
    <w:rsid w:val="00B03819"/>
    <w:rsid w:val="00B03857"/>
    <w:rsid w:val="00B03858"/>
    <w:rsid w:val="00B0386C"/>
    <w:rsid w:val="00B0388F"/>
    <w:rsid w:val="00B03908"/>
    <w:rsid w:val="00B0393B"/>
    <w:rsid w:val="00B03959"/>
    <w:rsid w:val="00B03989"/>
    <w:rsid w:val="00B03997"/>
    <w:rsid w:val="00B0399B"/>
    <w:rsid w:val="00B039DB"/>
    <w:rsid w:val="00B039F3"/>
    <w:rsid w:val="00B03A1C"/>
    <w:rsid w:val="00B03A20"/>
    <w:rsid w:val="00B03A53"/>
    <w:rsid w:val="00B03A55"/>
    <w:rsid w:val="00B03AF1"/>
    <w:rsid w:val="00B03B07"/>
    <w:rsid w:val="00B03B56"/>
    <w:rsid w:val="00B03B63"/>
    <w:rsid w:val="00B03B69"/>
    <w:rsid w:val="00B03B6C"/>
    <w:rsid w:val="00B03B8B"/>
    <w:rsid w:val="00B03B98"/>
    <w:rsid w:val="00B03BBD"/>
    <w:rsid w:val="00B03C16"/>
    <w:rsid w:val="00B03C1B"/>
    <w:rsid w:val="00B03C4E"/>
    <w:rsid w:val="00B03C5F"/>
    <w:rsid w:val="00B03C78"/>
    <w:rsid w:val="00B03D66"/>
    <w:rsid w:val="00B03D77"/>
    <w:rsid w:val="00B03DC9"/>
    <w:rsid w:val="00B03DD6"/>
    <w:rsid w:val="00B03DED"/>
    <w:rsid w:val="00B03E62"/>
    <w:rsid w:val="00B03E7A"/>
    <w:rsid w:val="00B03E87"/>
    <w:rsid w:val="00B03EC3"/>
    <w:rsid w:val="00B03EF0"/>
    <w:rsid w:val="00B03EF2"/>
    <w:rsid w:val="00B03F60"/>
    <w:rsid w:val="00B03F8F"/>
    <w:rsid w:val="00B03FC7"/>
    <w:rsid w:val="00B04010"/>
    <w:rsid w:val="00B04016"/>
    <w:rsid w:val="00B0401B"/>
    <w:rsid w:val="00B0405C"/>
    <w:rsid w:val="00B0409D"/>
    <w:rsid w:val="00B040BA"/>
    <w:rsid w:val="00B040F6"/>
    <w:rsid w:val="00B04122"/>
    <w:rsid w:val="00B0418A"/>
    <w:rsid w:val="00B04213"/>
    <w:rsid w:val="00B0423B"/>
    <w:rsid w:val="00B04279"/>
    <w:rsid w:val="00B042FD"/>
    <w:rsid w:val="00B04383"/>
    <w:rsid w:val="00B043CF"/>
    <w:rsid w:val="00B0440A"/>
    <w:rsid w:val="00B0444E"/>
    <w:rsid w:val="00B0454C"/>
    <w:rsid w:val="00B0456C"/>
    <w:rsid w:val="00B04587"/>
    <w:rsid w:val="00B045A6"/>
    <w:rsid w:val="00B045EA"/>
    <w:rsid w:val="00B0467F"/>
    <w:rsid w:val="00B04683"/>
    <w:rsid w:val="00B046F4"/>
    <w:rsid w:val="00B04748"/>
    <w:rsid w:val="00B04760"/>
    <w:rsid w:val="00B047BD"/>
    <w:rsid w:val="00B047F2"/>
    <w:rsid w:val="00B04815"/>
    <w:rsid w:val="00B04900"/>
    <w:rsid w:val="00B04929"/>
    <w:rsid w:val="00B0492D"/>
    <w:rsid w:val="00B04934"/>
    <w:rsid w:val="00B0495C"/>
    <w:rsid w:val="00B04999"/>
    <w:rsid w:val="00B049A3"/>
    <w:rsid w:val="00B049E0"/>
    <w:rsid w:val="00B049E3"/>
    <w:rsid w:val="00B04A2C"/>
    <w:rsid w:val="00B04A34"/>
    <w:rsid w:val="00B04A3E"/>
    <w:rsid w:val="00B04A60"/>
    <w:rsid w:val="00B04AC5"/>
    <w:rsid w:val="00B04AF5"/>
    <w:rsid w:val="00B04B45"/>
    <w:rsid w:val="00B04B88"/>
    <w:rsid w:val="00B04B8E"/>
    <w:rsid w:val="00B04BC1"/>
    <w:rsid w:val="00B04C1C"/>
    <w:rsid w:val="00B04C6C"/>
    <w:rsid w:val="00B04C72"/>
    <w:rsid w:val="00B04CE8"/>
    <w:rsid w:val="00B04D07"/>
    <w:rsid w:val="00B04D23"/>
    <w:rsid w:val="00B04D6B"/>
    <w:rsid w:val="00B04D91"/>
    <w:rsid w:val="00B04D95"/>
    <w:rsid w:val="00B04DA9"/>
    <w:rsid w:val="00B04DBF"/>
    <w:rsid w:val="00B04E05"/>
    <w:rsid w:val="00B04E15"/>
    <w:rsid w:val="00B04E28"/>
    <w:rsid w:val="00B04E31"/>
    <w:rsid w:val="00B04E63"/>
    <w:rsid w:val="00B04EBA"/>
    <w:rsid w:val="00B04F20"/>
    <w:rsid w:val="00B04F30"/>
    <w:rsid w:val="00B04F90"/>
    <w:rsid w:val="00B04F98"/>
    <w:rsid w:val="00B04FA3"/>
    <w:rsid w:val="00B04FBF"/>
    <w:rsid w:val="00B04FFE"/>
    <w:rsid w:val="00B0501D"/>
    <w:rsid w:val="00B05080"/>
    <w:rsid w:val="00B0511D"/>
    <w:rsid w:val="00B051B8"/>
    <w:rsid w:val="00B051DB"/>
    <w:rsid w:val="00B05219"/>
    <w:rsid w:val="00B05292"/>
    <w:rsid w:val="00B052E4"/>
    <w:rsid w:val="00B0535F"/>
    <w:rsid w:val="00B0536A"/>
    <w:rsid w:val="00B053D6"/>
    <w:rsid w:val="00B053DD"/>
    <w:rsid w:val="00B053E9"/>
    <w:rsid w:val="00B053F0"/>
    <w:rsid w:val="00B05429"/>
    <w:rsid w:val="00B0556A"/>
    <w:rsid w:val="00B05580"/>
    <w:rsid w:val="00B055B1"/>
    <w:rsid w:val="00B0565D"/>
    <w:rsid w:val="00B056DE"/>
    <w:rsid w:val="00B0571E"/>
    <w:rsid w:val="00B0573C"/>
    <w:rsid w:val="00B057E4"/>
    <w:rsid w:val="00B0584C"/>
    <w:rsid w:val="00B05877"/>
    <w:rsid w:val="00B058AF"/>
    <w:rsid w:val="00B05943"/>
    <w:rsid w:val="00B05968"/>
    <w:rsid w:val="00B0598A"/>
    <w:rsid w:val="00B05998"/>
    <w:rsid w:val="00B059B2"/>
    <w:rsid w:val="00B059C4"/>
    <w:rsid w:val="00B059EC"/>
    <w:rsid w:val="00B05A7B"/>
    <w:rsid w:val="00B05A91"/>
    <w:rsid w:val="00B05ADF"/>
    <w:rsid w:val="00B05B15"/>
    <w:rsid w:val="00B05B26"/>
    <w:rsid w:val="00B05B76"/>
    <w:rsid w:val="00B05B84"/>
    <w:rsid w:val="00B05B87"/>
    <w:rsid w:val="00B05BB8"/>
    <w:rsid w:val="00B05C00"/>
    <w:rsid w:val="00B05C26"/>
    <w:rsid w:val="00B05C35"/>
    <w:rsid w:val="00B05C8A"/>
    <w:rsid w:val="00B05D3E"/>
    <w:rsid w:val="00B05DAA"/>
    <w:rsid w:val="00B05DE3"/>
    <w:rsid w:val="00B05DE4"/>
    <w:rsid w:val="00B05DF2"/>
    <w:rsid w:val="00B05E09"/>
    <w:rsid w:val="00B05E41"/>
    <w:rsid w:val="00B05E95"/>
    <w:rsid w:val="00B05ED9"/>
    <w:rsid w:val="00B05F66"/>
    <w:rsid w:val="00B05FFF"/>
    <w:rsid w:val="00B0605D"/>
    <w:rsid w:val="00B06098"/>
    <w:rsid w:val="00B060F2"/>
    <w:rsid w:val="00B0611D"/>
    <w:rsid w:val="00B06142"/>
    <w:rsid w:val="00B06159"/>
    <w:rsid w:val="00B0615D"/>
    <w:rsid w:val="00B061A4"/>
    <w:rsid w:val="00B061B0"/>
    <w:rsid w:val="00B061B1"/>
    <w:rsid w:val="00B06239"/>
    <w:rsid w:val="00B0628C"/>
    <w:rsid w:val="00B06361"/>
    <w:rsid w:val="00B06376"/>
    <w:rsid w:val="00B0638F"/>
    <w:rsid w:val="00B0639F"/>
    <w:rsid w:val="00B063A2"/>
    <w:rsid w:val="00B06491"/>
    <w:rsid w:val="00B06498"/>
    <w:rsid w:val="00B064BB"/>
    <w:rsid w:val="00B06517"/>
    <w:rsid w:val="00B06525"/>
    <w:rsid w:val="00B06526"/>
    <w:rsid w:val="00B06557"/>
    <w:rsid w:val="00B065B3"/>
    <w:rsid w:val="00B065D0"/>
    <w:rsid w:val="00B065EE"/>
    <w:rsid w:val="00B065F0"/>
    <w:rsid w:val="00B06600"/>
    <w:rsid w:val="00B06617"/>
    <w:rsid w:val="00B06627"/>
    <w:rsid w:val="00B06668"/>
    <w:rsid w:val="00B0667E"/>
    <w:rsid w:val="00B06688"/>
    <w:rsid w:val="00B066C4"/>
    <w:rsid w:val="00B066CE"/>
    <w:rsid w:val="00B06703"/>
    <w:rsid w:val="00B0674E"/>
    <w:rsid w:val="00B06772"/>
    <w:rsid w:val="00B0678F"/>
    <w:rsid w:val="00B067DD"/>
    <w:rsid w:val="00B06849"/>
    <w:rsid w:val="00B068A9"/>
    <w:rsid w:val="00B068D1"/>
    <w:rsid w:val="00B068DC"/>
    <w:rsid w:val="00B06937"/>
    <w:rsid w:val="00B069A3"/>
    <w:rsid w:val="00B069BB"/>
    <w:rsid w:val="00B069F6"/>
    <w:rsid w:val="00B06A02"/>
    <w:rsid w:val="00B06A41"/>
    <w:rsid w:val="00B06A8D"/>
    <w:rsid w:val="00B06AB9"/>
    <w:rsid w:val="00B06AD1"/>
    <w:rsid w:val="00B06AFE"/>
    <w:rsid w:val="00B06B16"/>
    <w:rsid w:val="00B06B7F"/>
    <w:rsid w:val="00B06BA5"/>
    <w:rsid w:val="00B06BC0"/>
    <w:rsid w:val="00B06BE3"/>
    <w:rsid w:val="00B06BF0"/>
    <w:rsid w:val="00B06C17"/>
    <w:rsid w:val="00B06C58"/>
    <w:rsid w:val="00B06CB1"/>
    <w:rsid w:val="00B06CCA"/>
    <w:rsid w:val="00B06CEF"/>
    <w:rsid w:val="00B06D1F"/>
    <w:rsid w:val="00B06D49"/>
    <w:rsid w:val="00B06D86"/>
    <w:rsid w:val="00B06DF3"/>
    <w:rsid w:val="00B06E13"/>
    <w:rsid w:val="00B06E3C"/>
    <w:rsid w:val="00B06E58"/>
    <w:rsid w:val="00B06ECE"/>
    <w:rsid w:val="00B06F27"/>
    <w:rsid w:val="00B06F38"/>
    <w:rsid w:val="00B06F57"/>
    <w:rsid w:val="00B06F7F"/>
    <w:rsid w:val="00B06FCE"/>
    <w:rsid w:val="00B06FDD"/>
    <w:rsid w:val="00B07011"/>
    <w:rsid w:val="00B0709C"/>
    <w:rsid w:val="00B070EF"/>
    <w:rsid w:val="00B07120"/>
    <w:rsid w:val="00B071D1"/>
    <w:rsid w:val="00B0723A"/>
    <w:rsid w:val="00B0725C"/>
    <w:rsid w:val="00B072C1"/>
    <w:rsid w:val="00B07328"/>
    <w:rsid w:val="00B07357"/>
    <w:rsid w:val="00B0735A"/>
    <w:rsid w:val="00B0738D"/>
    <w:rsid w:val="00B073ED"/>
    <w:rsid w:val="00B0741C"/>
    <w:rsid w:val="00B07421"/>
    <w:rsid w:val="00B07457"/>
    <w:rsid w:val="00B07492"/>
    <w:rsid w:val="00B074C8"/>
    <w:rsid w:val="00B074CB"/>
    <w:rsid w:val="00B0758B"/>
    <w:rsid w:val="00B075AD"/>
    <w:rsid w:val="00B075CB"/>
    <w:rsid w:val="00B075E2"/>
    <w:rsid w:val="00B0763B"/>
    <w:rsid w:val="00B07687"/>
    <w:rsid w:val="00B07698"/>
    <w:rsid w:val="00B076B0"/>
    <w:rsid w:val="00B076D7"/>
    <w:rsid w:val="00B07719"/>
    <w:rsid w:val="00B07739"/>
    <w:rsid w:val="00B077A5"/>
    <w:rsid w:val="00B077E3"/>
    <w:rsid w:val="00B07845"/>
    <w:rsid w:val="00B07865"/>
    <w:rsid w:val="00B078B1"/>
    <w:rsid w:val="00B07924"/>
    <w:rsid w:val="00B0792A"/>
    <w:rsid w:val="00B0793B"/>
    <w:rsid w:val="00B0795A"/>
    <w:rsid w:val="00B0795D"/>
    <w:rsid w:val="00B0797E"/>
    <w:rsid w:val="00B0798D"/>
    <w:rsid w:val="00B0798F"/>
    <w:rsid w:val="00B079A4"/>
    <w:rsid w:val="00B079E6"/>
    <w:rsid w:val="00B07A00"/>
    <w:rsid w:val="00B07A47"/>
    <w:rsid w:val="00B07A5B"/>
    <w:rsid w:val="00B07A6E"/>
    <w:rsid w:val="00B07A90"/>
    <w:rsid w:val="00B07ACE"/>
    <w:rsid w:val="00B07B34"/>
    <w:rsid w:val="00B07B5B"/>
    <w:rsid w:val="00B07BCA"/>
    <w:rsid w:val="00B07BE1"/>
    <w:rsid w:val="00B07BE5"/>
    <w:rsid w:val="00B07C9A"/>
    <w:rsid w:val="00B07C9D"/>
    <w:rsid w:val="00B07CB1"/>
    <w:rsid w:val="00B07D4A"/>
    <w:rsid w:val="00B07D78"/>
    <w:rsid w:val="00B07DB1"/>
    <w:rsid w:val="00B07DB2"/>
    <w:rsid w:val="00B07DB6"/>
    <w:rsid w:val="00B07DC8"/>
    <w:rsid w:val="00B07E23"/>
    <w:rsid w:val="00B07E73"/>
    <w:rsid w:val="00B07F2C"/>
    <w:rsid w:val="00B07F53"/>
    <w:rsid w:val="00B07F7C"/>
    <w:rsid w:val="00B07F92"/>
    <w:rsid w:val="00B1000B"/>
    <w:rsid w:val="00B10033"/>
    <w:rsid w:val="00B100A3"/>
    <w:rsid w:val="00B100A7"/>
    <w:rsid w:val="00B100BE"/>
    <w:rsid w:val="00B100C7"/>
    <w:rsid w:val="00B100EC"/>
    <w:rsid w:val="00B1010D"/>
    <w:rsid w:val="00B10169"/>
    <w:rsid w:val="00B101E9"/>
    <w:rsid w:val="00B102A4"/>
    <w:rsid w:val="00B102BC"/>
    <w:rsid w:val="00B10340"/>
    <w:rsid w:val="00B103B6"/>
    <w:rsid w:val="00B103BC"/>
    <w:rsid w:val="00B103D9"/>
    <w:rsid w:val="00B10421"/>
    <w:rsid w:val="00B1044D"/>
    <w:rsid w:val="00B1055B"/>
    <w:rsid w:val="00B105FC"/>
    <w:rsid w:val="00B10674"/>
    <w:rsid w:val="00B106A0"/>
    <w:rsid w:val="00B106AB"/>
    <w:rsid w:val="00B106E8"/>
    <w:rsid w:val="00B107B2"/>
    <w:rsid w:val="00B107C7"/>
    <w:rsid w:val="00B10833"/>
    <w:rsid w:val="00B10855"/>
    <w:rsid w:val="00B10871"/>
    <w:rsid w:val="00B10918"/>
    <w:rsid w:val="00B1096F"/>
    <w:rsid w:val="00B109C0"/>
    <w:rsid w:val="00B109C7"/>
    <w:rsid w:val="00B109E3"/>
    <w:rsid w:val="00B10A0A"/>
    <w:rsid w:val="00B10A35"/>
    <w:rsid w:val="00B10A52"/>
    <w:rsid w:val="00B10A67"/>
    <w:rsid w:val="00B10A9A"/>
    <w:rsid w:val="00B10ACC"/>
    <w:rsid w:val="00B10B32"/>
    <w:rsid w:val="00B10B65"/>
    <w:rsid w:val="00B10BED"/>
    <w:rsid w:val="00B10C28"/>
    <w:rsid w:val="00B10C40"/>
    <w:rsid w:val="00B10CC5"/>
    <w:rsid w:val="00B10CD0"/>
    <w:rsid w:val="00B10CF4"/>
    <w:rsid w:val="00B10D0F"/>
    <w:rsid w:val="00B10D1E"/>
    <w:rsid w:val="00B10D48"/>
    <w:rsid w:val="00B10D9B"/>
    <w:rsid w:val="00B10EA9"/>
    <w:rsid w:val="00B10EBE"/>
    <w:rsid w:val="00B10EE5"/>
    <w:rsid w:val="00B10EFA"/>
    <w:rsid w:val="00B10F71"/>
    <w:rsid w:val="00B10FAB"/>
    <w:rsid w:val="00B10FBD"/>
    <w:rsid w:val="00B10FE3"/>
    <w:rsid w:val="00B11008"/>
    <w:rsid w:val="00B1102B"/>
    <w:rsid w:val="00B1103B"/>
    <w:rsid w:val="00B1104B"/>
    <w:rsid w:val="00B11080"/>
    <w:rsid w:val="00B11095"/>
    <w:rsid w:val="00B110A8"/>
    <w:rsid w:val="00B110E3"/>
    <w:rsid w:val="00B11120"/>
    <w:rsid w:val="00B11135"/>
    <w:rsid w:val="00B11182"/>
    <w:rsid w:val="00B111DE"/>
    <w:rsid w:val="00B111F3"/>
    <w:rsid w:val="00B11281"/>
    <w:rsid w:val="00B11285"/>
    <w:rsid w:val="00B11286"/>
    <w:rsid w:val="00B1131C"/>
    <w:rsid w:val="00B1131F"/>
    <w:rsid w:val="00B11320"/>
    <w:rsid w:val="00B1133D"/>
    <w:rsid w:val="00B113B2"/>
    <w:rsid w:val="00B113F0"/>
    <w:rsid w:val="00B11405"/>
    <w:rsid w:val="00B11458"/>
    <w:rsid w:val="00B1145B"/>
    <w:rsid w:val="00B11470"/>
    <w:rsid w:val="00B11488"/>
    <w:rsid w:val="00B11494"/>
    <w:rsid w:val="00B114B1"/>
    <w:rsid w:val="00B11524"/>
    <w:rsid w:val="00B1153F"/>
    <w:rsid w:val="00B11543"/>
    <w:rsid w:val="00B1155A"/>
    <w:rsid w:val="00B11577"/>
    <w:rsid w:val="00B11592"/>
    <w:rsid w:val="00B1164B"/>
    <w:rsid w:val="00B116DB"/>
    <w:rsid w:val="00B1170B"/>
    <w:rsid w:val="00B11720"/>
    <w:rsid w:val="00B11742"/>
    <w:rsid w:val="00B11770"/>
    <w:rsid w:val="00B117A1"/>
    <w:rsid w:val="00B11859"/>
    <w:rsid w:val="00B118AF"/>
    <w:rsid w:val="00B118E4"/>
    <w:rsid w:val="00B118E9"/>
    <w:rsid w:val="00B1191E"/>
    <w:rsid w:val="00B11962"/>
    <w:rsid w:val="00B11A40"/>
    <w:rsid w:val="00B11A47"/>
    <w:rsid w:val="00B11A66"/>
    <w:rsid w:val="00B11A6E"/>
    <w:rsid w:val="00B11ABF"/>
    <w:rsid w:val="00B11AD5"/>
    <w:rsid w:val="00B11ADD"/>
    <w:rsid w:val="00B11B38"/>
    <w:rsid w:val="00B11B6E"/>
    <w:rsid w:val="00B11B7E"/>
    <w:rsid w:val="00B11C18"/>
    <w:rsid w:val="00B11C32"/>
    <w:rsid w:val="00B11C66"/>
    <w:rsid w:val="00B11C79"/>
    <w:rsid w:val="00B11C83"/>
    <w:rsid w:val="00B11CAC"/>
    <w:rsid w:val="00B11D48"/>
    <w:rsid w:val="00B11D6E"/>
    <w:rsid w:val="00B11DEE"/>
    <w:rsid w:val="00B11DF6"/>
    <w:rsid w:val="00B11DFB"/>
    <w:rsid w:val="00B11DFE"/>
    <w:rsid w:val="00B11E21"/>
    <w:rsid w:val="00B11E77"/>
    <w:rsid w:val="00B11E79"/>
    <w:rsid w:val="00B11F0B"/>
    <w:rsid w:val="00B11F3B"/>
    <w:rsid w:val="00B11FBE"/>
    <w:rsid w:val="00B11FC3"/>
    <w:rsid w:val="00B11FC4"/>
    <w:rsid w:val="00B11FF3"/>
    <w:rsid w:val="00B12082"/>
    <w:rsid w:val="00B120CB"/>
    <w:rsid w:val="00B120F2"/>
    <w:rsid w:val="00B12125"/>
    <w:rsid w:val="00B1212A"/>
    <w:rsid w:val="00B1214A"/>
    <w:rsid w:val="00B1215F"/>
    <w:rsid w:val="00B121B7"/>
    <w:rsid w:val="00B121C7"/>
    <w:rsid w:val="00B121E6"/>
    <w:rsid w:val="00B121EC"/>
    <w:rsid w:val="00B12204"/>
    <w:rsid w:val="00B12223"/>
    <w:rsid w:val="00B12231"/>
    <w:rsid w:val="00B12287"/>
    <w:rsid w:val="00B12292"/>
    <w:rsid w:val="00B12299"/>
    <w:rsid w:val="00B122B2"/>
    <w:rsid w:val="00B122C8"/>
    <w:rsid w:val="00B122CF"/>
    <w:rsid w:val="00B12334"/>
    <w:rsid w:val="00B1233B"/>
    <w:rsid w:val="00B123B5"/>
    <w:rsid w:val="00B123CE"/>
    <w:rsid w:val="00B12411"/>
    <w:rsid w:val="00B12416"/>
    <w:rsid w:val="00B12445"/>
    <w:rsid w:val="00B12465"/>
    <w:rsid w:val="00B1249A"/>
    <w:rsid w:val="00B124B9"/>
    <w:rsid w:val="00B124EB"/>
    <w:rsid w:val="00B1250A"/>
    <w:rsid w:val="00B1250F"/>
    <w:rsid w:val="00B12543"/>
    <w:rsid w:val="00B1257C"/>
    <w:rsid w:val="00B125E9"/>
    <w:rsid w:val="00B126C4"/>
    <w:rsid w:val="00B126CF"/>
    <w:rsid w:val="00B12705"/>
    <w:rsid w:val="00B12726"/>
    <w:rsid w:val="00B12766"/>
    <w:rsid w:val="00B1276B"/>
    <w:rsid w:val="00B127B1"/>
    <w:rsid w:val="00B127E8"/>
    <w:rsid w:val="00B12813"/>
    <w:rsid w:val="00B128C2"/>
    <w:rsid w:val="00B128E7"/>
    <w:rsid w:val="00B12911"/>
    <w:rsid w:val="00B12996"/>
    <w:rsid w:val="00B129B3"/>
    <w:rsid w:val="00B129BB"/>
    <w:rsid w:val="00B129C5"/>
    <w:rsid w:val="00B129EC"/>
    <w:rsid w:val="00B12A7A"/>
    <w:rsid w:val="00B12A97"/>
    <w:rsid w:val="00B12A9E"/>
    <w:rsid w:val="00B12AAF"/>
    <w:rsid w:val="00B12AC2"/>
    <w:rsid w:val="00B12B12"/>
    <w:rsid w:val="00B12B6F"/>
    <w:rsid w:val="00B12BCE"/>
    <w:rsid w:val="00B12C47"/>
    <w:rsid w:val="00B12C53"/>
    <w:rsid w:val="00B12D11"/>
    <w:rsid w:val="00B12D53"/>
    <w:rsid w:val="00B12D5B"/>
    <w:rsid w:val="00B12D66"/>
    <w:rsid w:val="00B12DD0"/>
    <w:rsid w:val="00B12DDB"/>
    <w:rsid w:val="00B12E34"/>
    <w:rsid w:val="00B12E6A"/>
    <w:rsid w:val="00B12E8F"/>
    <w:rsid w:val="00B12EC1"/>
    <w:rsid w:val="00B12ED0"/>
    <w:rsid w:val="00B12F0F"/>
    <w:rsid w:val="00B12F3C"/>
    <w:rsid w:val="00B12F9E"/>
    <w:rsid w:val="00B12FA9"/>
    <w:rsid w:val="00B12FFA"/>
    <w:rsid w:val="00B13009"/>
    <w:rsid w:val="00B130E9"/>
    <w:rsid w:val="00B130FF"/>
    <w:rsid w:val="00B13147"/>
    <w:rsid w:val="00B13171"/>
    <w:rsid w:val="00B131AF"/>
    <w:rsid w:val="00B131D7"/>
    <w:rsid w:val="00B131F8"/>
    <w:rsid w:val="00B13210"/>
    <w:rsid w:val="00B13229"/>
    <w:rsid w:val="00B132A1"/>
    <w:rsid w:val="00B132A6"/>
    <w:rsid w:val="00B132AC"/>
    <w:rsid w:val="00B132EA"/>
    <w:rsid w:val="00B132FF"/>
    <w:rsid w:val="00B13337"/>
    <w:rsid w:val="00B1333B"/>
    <w:rsid w:val="00B133CE"/>
    <w:rsid w:val="00B133D5"/>
    <w:rsid w:val="00B13438"/>
    <w:rsid w:val="00B1343C"/>
    <w:rsid w:val="00B134F3"/>
    <w:rsid w:val="00B13501"/>
    <w:rsid w:val="00B1351C"/>
    <w:rsid w:val="00B13574"/>
    <w:rsid w:val="00B13577"/>
    <w:rsid w:val="00B135D9"/>
    <w:rsid w:val="00B13601"/>
    <w:rsid w:val="00B13607"/>
    <w:rsid w:val="00B13633"/>
    <w:rsid w:val="00B13639"/>
    <w:rsid w:val="00B13653"/>
    <w:rsid w:val="00B1368D"/>
    <w:rsid w:val="00B136C6"/>
    <w:rsid w:val="00B137AE"/>
    <w:rsid w:val="00B137E8"/>
    <w:rsid w:val="00B13859"/>
    <w:rsid w:val="00B138CB"/>
    <w:rsid w:val="00B1390D"/>
    <w:rsid w:val="00B13985"/>
    <w:rsid w:val="00B139A5"/>
    <w:rsid w:val="00B13A19"/>
    <w:rsid w:val="00B13A1B"/>
    <w:rsid w:val="00B13A48"/>
    <w:rsid w:val="00B13ACA"/>
    <w:rsid w:val="00B13AE7"/>
    <w:rsid w:val="00B13B08"/>
    <w:rsid w:val="00B13B24"/>
    <w:rsid w:val="00B13C65"/>
    <w:rsid w:val="00B13C9D"/>
    <w:rsid w:val="00B13CAA"/>
    <w:rsid w:val="00B13D7D"/>
    <w:rsid w:val="00B13D84"/>
    <w:rsid w:val="00B13DC3"/>
    <w:rsid w:val="00B13DF3"/>
    <w:rsid w:val="00B13E1C"/>
    <w:rsid w:val="00B13FDF"/>
    <w:rsid w:val="00B1402F"/>
    <w:rsid w:val="00B1403B"/>
    <w:rsid w:val="00B140A9"/>
    <w:rsid w:val="00B140FB"/>
    <w:rsid w:val="00B14147"/>
    <w:rsid w:val="00B14175"/>
    <w:rsid w:val="00B14199"/>
    <w:rsid w:val="00B141B5"/>
    <w:rsid w:val="00B14287"/>
    <w:rsid w:val="00B14289"/>
    <w:rsid w:val="00B14293"/>
    <w:rsid w:val="00B142B9"/>
    <w:rsid w:val="00B142FE"/>
    <w:rsid w:val="00B14303"/>
    <w:rsid w:val="00B14335"/>
    <w:rsid w:val="00B14357"/>
    <w:rsid w:val="00B14412"/>
    <w:rsid w:val="00B1441D"/>
    <w:rsid w:val="00B14431"/>
    <w:rsid w:val="00B14436"/>
    <w:rsid w:val="00B1443A"/>
    <w:rsid w:val="00B1443E"/>
    <w:rsid w:val="00B1444C"/>
    <w:rsid w:val="00B14473"/>
    <w:rsid w:val="00B144B5"/>
    <w:rsid w:val="00B144ED"/>
    <w:rsid w:val="00B144F7"/>
    <w:rsid w:val="00B1456F"/>
    <w:rsid w:val="00B14576"/>
    <w:rsid w:val="00B14577"/>
    <w:rsid w:val="00B14579"/>
    <w:rsid w:val="00B145B3"/>
    <w:rsid w:val="00B145C4"/>
    <w:rsid w:val="00B145D0"/>
    <w:rsid w:val="00B145F7"/>
    <w:rsid w:val="00B14607"/>
    <w:rsid w:val="00B14609"/>
    <w:rsid w:val="00B14625"/>
    <w:rsid w:val="00B1463D"/>
    <w:rsid w:val="00B14677"/>
    <w:rsid w:val="00B1469C"/>
    <w:rsid w:val="00B1469D"/>
    <w:rsid w:val="00B146E2"/>
    <w:rsid w:val="00B14704"/>
    <w:rsid w:val="00B14711"/>
    <w:rsid w:val="00B1472B"/>
    <w:rsid w:val="00B14753"/>
    <w:rsid w:val="00B1476B"/>
    <w:rsid w:val="00B14784"/>
    <w:rsid w:val="00B147A5"/>
    <w:rsid w:val="00B147F0"/>
    <w:rsid w:val="00B1483F"/>
    <w:rsid w:val="00B14856"/>
    <w:rsid w:val="00B1489C"/>
    <w:rsid w:val="00B148B0"/>
    <w:rsid w:val="00B148ED"/>
    <w:rsid w:val="00B1491A"/>
    <w:rsid w:val="00B1491D"/>
    <w:rsid w:val="00B1493C"/>
    <w:rsid w:val="00B1493E"/>
    <w:rsid w:val="00B149BB"/>
    <w:rsid w:val="00B149D9"/>
    <w:rsid w:val="00B149FA"/>
    <w:rsid w:val="00B14A1C"/>
    <w:rsid w:val="00B14A22"/>
    <w:rsid w:val="00B14A51"/>
    <w:rsid w:val="00B14B18"/>
    <w:rsid w:val="00B14B29"/>
    <w:rsid w:val="00B14B30"/>
    <w:rsid w:val="00B14BAC"/>
    <w:rsid w:val="00B14C1D"/>
    <w:rsid w:val="00B14C22"/>
    <w:rsid w:val="00B14C24"/>
    <w:rsid w:val="00B14C7F"/>
    <w:rsid w:val="00B14CE4"/>
    <w:rsid w:val="00B14D12"/>
    <w:rsid w:val="00B14D8F"/>
    <w:rsid w:val="00B14E1A"/>
    <w:rsid w:val="00B14E67"/>
    <w:rsid w:val="00B14E90"/>
    <w:rsid w:val="00B14E9D"/>
    <w:rsid w:val="00B14EA0"/>
    <w:rsid w:val="00B14EE0"/>
    <w:rsid w:val="00B14F1E"/>
    <w:rsid w:val="00B14F28"/>
    <w:rsid w:val="00B14F45"/>
    <w:rsid w:val="00B14F9B"/>
    <w:rsid w:val="00B14FF0"/>
    <w:rsid w:val="00B15025"/>
    <w:rsid w:val="00B150B2"/>
    <w:rsid w:val="00B15164"/>
    <w:rsid w:val="00B1517E"/>
    <w:rsid w:val="00B151A8"/>
    <w:rsid w:val="00B1529E"/>
    <w:rsid w:val="00B152C2"/>
    <w:rsid w:val="00B152DC"/>
    <w:rsid w:val="00B152F0"/>
    <w:rsid w:val="00B1531A"/>
    <w:rsid w:val="00B15322"/>
    <w:rsid w:val="00B1534F"/>
    <w:rsid w:val="00B1535D"/>
    <w:rsid w:val="00B15376"/>
    <w:rsid w:val="00B153DB"/>
    <w:rsid w:val="00B15418"/>
    <w:rsid w:val="00B15494"/>
    <w:rsid w:val="00B154B3"/>
    <w:rsid w:val="00B15508"/>
    <w:rsid w:val="00B15588"/>
    <w:rsid w:val="00B15636"/>
    <w:rsid w:val="00B15644"/>
    <w:rsid w:val="00B1565C"/>
    <w:rsid w:val="00B15678"/>
    <w:rsid w:val="00B1567F"/>
    <w:rsid w:val="00B15699"/>
    <w:rsid w:val="00B1569F"/>
    <w:rsid w:val="00B156DF"/>
    <w:rsid w:val="00B157B3"/>
    <w:rsid w:val="00B157C5"/>
    <w:rsid w:val="00B157EA"/>
    <w:rsid w:val="00B15874"/>
    <w:rsid w:val="00B15900"/>
    <w:rsid w:val="00B1596C"/>
    <w:rsid w:val="00B159C0"/>
    <w:rsid w:val="00B15A4C"/>
    <w:rsid w:val="00B15A60"/>
    <w:rsid w:val="00B15A7F"/>
    <w:rsid w:val="00B15AD4"/>
    <w:rsid w:val="00B15B32"/>
    <w:rsid w:val="00B15B42"/>
    <w:rsid w:val="00B15B89"/>
    <w:rsid w:val="00B15BB7"/>
    <w:rsid w:val="00B15BEF"/>
    <w:rsid w:val="00B15C19"/>
    <w:rsid w:val="00B15C5B"/>
    <w:rsid w:val="00B15D04"/>
    <w:rsid w:val="00B15D68"/>
    <w:rsid w:val="00B15D7C"/>
    <w:rsid w:val="00B15D88"/>
    <w:rsid w:val="00B15DF4"/>
    <w:rsid w:val="00B15E5E"/>
    <w:rsid w:val="00B15E7A"/>
    <w:rsid w:val="00B15F1F"/>
    <w:rsid w:val="00B15F65"/>
    <w:rsid w:val="00B15FAE"/>
    <w:rsid w:val="00B1602E"/>
    <w:rsid w:val="00B16078"/>
    <w:rsid w:val="00B16096"/>
    <w:rsid w:val="00B160BA"/>
    <w:rsid w:val="00B160F7"/>
    <w:rsid w:val="00B16179"/>
    <w:rsid w:val="00B161AF"/>
    <w:rsid w:val="00B16202"/>
    <w:rsid w:val="00B16234"/>
    <w:rsid w:val="00B16237"/>
    <w:rsid w:val="00B1623C"/>
    <w:rsid w:val="00B16251"/>
    <w:rsid w:val="00B16321"/>
    <w:rsid w:val="00B163DE"/>
    <w:rsid w:val="00B16403"/>
    <w:rsid w:val="00B16425"/>
    <w:rsid w:val="00B16476"/>
    <w:rsid w:val="00B16495"/>
    <w:rsid w:val="00B164DB"/>
    <w:rsid w:val="00B164E2"/>
    <w:rsid w:val="00B16548"/>
    <w:rsid w:val="00B1655D"/>
    <w:rsid w:val="00B1658A"/>
    <w:rsid w:val="00B165A0"/>
    <w:rsid w:val="00B165D2"/>
    <w:rsid w:val="00B165DF"/>
    <w:rsid w:val="00B165EC"/>
    <w:rsid w:val="00B165FC"/>
    <w:rsid w:val="00B1660B"/>
    <w:rsid w:val="00B1661F"/>
    <w:rsid w:val="00B16732"/>
    <w:rsid w:val="00B16742"/>
    <w:rsid w:val="00B167E6"/>
    <w:rsid w:val="00B16840"/>
    <w:rsid w:val="00B16846"/>
    <w:rsid w:val="00B1684F"/>
    <w:rsid w:val="00B16857"/>
    <w:rsid w:val="00B168B0"/>
    <w:rsid w:val="00B168DE"/>
    <w:rsid w:val="00B168DF"/>
    <w:rsid w:val="00B168EE"/>
    <w:rsid w:val="00B16935"/>
    <w:rsid w:val="00B16951"/>
    <w:rsid w:val="00B1697C"/>
    <w:rsid w:val="00B1697F"/>
    <w:rsid w:val="00B169A4"/>
    <w:rsid w:val="00B169B3"/>
    <w:rsid w:val="00B16A16"/>
    <w:rsid w:val="00B16A33"/>
    <w:rsid w:val="00B16A7E"/>
    <w:rsid w:val="00B16A93"/>
    <w:rsid w:val="00B16AF7"/>
    <w:rsid w:val="00B16B37"/>
    <w:rsid w:val="00B16B88"/>
    <w:rsid w:val="00B16B95"/>
    <w:rsid w:val="00B16B9C"/>
    <w:rsid w:val="00B16BAD"/>
    <w:rsid w:val="00B16C6A"/>
    <w:rsid w:val="00B16C9B"/>
    <w:rsid w:val="00B16CE4"/>
    <w:rsid w:val="00B16D59"/>
    <w:rsid w:val="00B16D6A"/>
    <w:rsid w:val="00B16D9D"/>
    <w:rsid w:val="00B16DBF"/>
    <w:rsid w:val="00B16E41"/>
    <w:rsid w:val="00B16E47"/>
    <w:rsid w:val="00B16E4D"/>
    <w:rsid w:val="00B16E85"/>
    <w:rsid w:val="00B16E9C"/>
    <w:rsid w:val="00B16EA3"/>
    <w:rsid w:val="00B16EB5"/>
    <w:rsid w:val="00B16ED2"/>
    <w:rsid w:val="00B16EE7"/>
    <w:rsid w:val="00B16F39"/>
    <w:rsid w:val="00B16F54"/>
    <w:rsid w:val="00B16F8C"/>
    <w:rsid w:val="00B16FFD"/>
    <w:rsid w:val="00B17015"/>
    <w:rsid w:val="00B17053"/>
    <w:rsid w:val="00B170F0"/>
    <w:rsid w:val="00B17101"/>
    <w:rsid w:val="00B17147"/>
    <w:rsid w:val="00B1717D"/>
    <w:rsid w:val="00B1725D"/>
    <w:rsid w:val="00B172C0"/>
    <w:rsid w:val="00B172C9"/>
    <w:rsid w:val="00B172CF"/>
    <w:rsid w:val="00B172DD"/>
    <w:rsid w:val="00B173CA"/>
    <w:rsid w:val="00B173E6"/>
    <w:rsid w:val="00B173F2"/>
    <w:rsid w:val="00B17428"/>
    <w:rsid w:val="00B1745E"/>
    <w:rsid w:val="00B17473"/>
    <w:rsid w:val="00B17489"/>
    <w:rsid w:val="00B1748C"/>
    <w:rsid w:val="00B174A4"/>
    <w:rsid w:val="00B174DB"/>
    <w:rsid w:val="00B174FE"/>
    <w:rsid w:val="00B17555"/>
    <w:rsid w:val="00B17559"/>
    <w:rsid w:val="00B17567"/>
    <w:rsid w:val="00B17596"/>
    <w:rsid w:val="00B175A4"/>
    <w:rsid w:val="00B1764B"/>
    <w:rsid w:val="00B176AB"/>
    <w:rsid w:val="00B17701"/>
    <w:rsid w:val="00B17723"/>
    <w:rsid w:val="00B1774D"/>
    <w:rsid w:val="00B17754"/>
    <w:rsid w:val="00B1775B"/>
    <w:rsid w:val="00B1777F"/>
    <w:rsid w:val="00B17783"/>
    <w:rsid w:val="00B17883"/>
    <w:rsid w:val="00B17891"/>
    <w:rsid w:val="00B178AE"/>
    <w:rsid w:val="00B178F5"/>
    <w:rsid w:val="00B17933"/>
    <w:rsid w:val="00B1793D"/>
    <w:rsid w:val="00B1796A"/>
    <w:rsid w:val="00B179EB"/>
    <w:rsid w:val="00B17A07"/>
    <w:rsid w:val="00B17B10"/>
    <w:rsid w:val="00B17B2C"/>
    <w:rsid w:val="00B17B2E"/>
    <w:rsid w:val="00B17B44"/>
    <w:rsid w:val="00B17B6A"/>
    <w:rsid w:val="00B17B6D"/>
    <w:rsid w:val="00B17B89"/>
    <w:rsid w:val="00B17BA8"/>
    <w:rsid w:val="00B17BEE"/>
    <w:rsid w:val="00B17C2D"/>
    <w:rsid w:val="00B17C2F"/>
    <w:rsid w:val="00B17CA8"/>
    <w:rsid w:val="00B17CC2"/>
    <w:rsid w:val="00B17CCB"/>
    <w:rsid w:val="00B17D2E"/>
    <w:rsid w:val="00B17DA8"/>
    <w:rsid w:val="00B17DCB"/>
    <w:rsid w:val="00B17DD8"/>
    <w:rsid w:val="00B17E82"/>
    <w:rsid w:val="00B17E83"/>
    <w:rsid w:val="00B17EAF"/>
    <w:rsid w:val="00B17EE3"/>
    <w:rsid w:val="00B17EFE"/>
    <w:rsid w:val="00B17F18"/>
    <w:rsid w:val="00B17F39"/>
    <w:rsid w:val="00B17F44"/>
    <w:rsid w:val="00B17F58"/>
    <w:rsid w:val="00B17F60"/>
    <w:rsid w:val="00B17F6E"/>
    <w:rsid w:val="00B17FAA"/>
    <w:rsid w:val="00B2001A"/>
    <w:rsid w:val="00B20093"/>
    <w:rsid w:val="00B200AE"/>
    <w:rsid w:val="00B200B8"/>
    <w:rsid w:val="00B20108"/>
    <w:rsid w:val="00B2010E"/>
    <w:rsid w:val="00B20120"/>
    <w:rsid w:val="00B20127"/>
    <w:rsid w:val="00B20133"/>
    <w:rsid w:val="00B20182"/>
    <w:rsid w:val="00B201B5"/>
    <w:rsid w:val="00B201F3"/>
    <w:rsid w:val="00B20224"/>
    <w:rsid w:val="00B2022A"/>
    <w:rsid w:val="00B2025A"/>
    <w:rsid w:val="00B203BE"/>
    <w:rsid w:val="00B203DE"/>
    <w:rsid w:val="00B203EA"/>
    <w:rsid w:val="00B20401"/>
    <w:rsid w:val="00B2041D"/>
    <w:rsid w:val="00B2049B"/>
    <w:rsid w:val="00B2049D"/>
    <w:rsid w:val="00B204A0"/>
    <w:rsid w:val="00B204CA"/>
    <w:rsid w:val="00B204F3"/>
    <w:rsid w:val="00B20517"/>
    <w:rsid w:val="00B20519"/>
    <w:rsid w:val="00B2051F"/>
    <w:rsid w:val="00B205EF"/>
    <w:rsid w:val="00B2068B"/>
    <w:rsid w:val="00B2072A"/>
    <w:rsid w:val="00B20733"/>
    <w:rsid w:val="00B2073D"/>
    <w:rsid w:val="00B20743"/>
    <w:rsid w:val="00B207A2"/>
    <w:rsid w:val="00B207C3"/>
    <w:rsid w:val="00B207ED"/>
    <w:rsid w:val="00B20820"/>
    <w:rsid w:val="00B20860"/>
    <w:rsid w:val="00B20915"/>
    <w:rsid w:val="00B2092D"/>
    <w:rsid w:val="00B20A02"/>
    <w:rsid w:val="00B20A0C"/>
    <w:rsid w:val="00B20A1D"/>
    <w:rsid w:val="00B20A5D"/>
    <w:rsid w:val="00B20A6C"/>
    <w:rsid w:val="00B20ACF"/>
    <w:rsid w:val="00B20BD1"/>
    <w:rsid w:val="00B20C0F"/>
    <w:rsid w:val="00B20C41"/>
    <w:rsid w:val="00B20CA2"/>
    <w:rsid w:val="00B20CB5"/>
    <w:rsid w:val="00B20D5D"/>
    <w:rsid w:val="00B20DA4"/>
    <w:rsid w:val="00B20DEA"/>
    <w:rsid w:val="00B20E2F"/>
    <w:rsid w:val="00B20E57"/>
    <w:rsid w:val="00B20E9F"/>
    <w:rsid w:val="00B20ED1"/>
    <w:rsid w:val="00B20FA8"/>
    <w:rsid w:val="00B20FAF"/>
    <w:rsid w:val="00B20FB9"/>
    <w:rsid w:val="00B20FE4"/>
    <w:rsid w:val="00B21030"/>
    <w:rsid w:val="00B2104C"/>
    <w:rsid w:val="00B21051"/>
    <w:rsid w:val="00B210B0"/>
    <w:rsid w:val="00B210B8"/>
    <w:rsid w:val="00B210F7"/>
    <w:rsid w:val="00B2114E"/>
    <w:rsid w:val="00B211F4"/>
    <w:rsid w:val="00B2120A"/>
    <w:rsid w:val="00B2122E"/>
    <w:rsid w:val="00B212AF"/>
    <w:rsid w:val="00B212B2"/>
    <w:rsid w:val="00B212C7"/>
    <w:rsid w:val="00B212CD"/>
    <w:rsid w:val="00B212E3"/>
    <w:rsid w:val="00B2138A"/>
    <w:rsid w:val="00B213A6"/>
    <w:rsid w:val="00B21407"/>
    <w:rsid w:val="00B21436"/>
    <w:rsid w:val="00B2147D"/>
    <w:rsid w:val="00B214A5"/>
    <w:rsid w:val="00B214C6"/>
    <w:rsid w:val="00B214EC"/>
    <w:rsid w:val="00B21514"/>
    <w:rsid w:val="00B21528"/>
    <w:rsid w:val="00B21534"/>
    <w:rsid w:val="00B2153B"/>
    <w:rsid w:val="00B21558"/>
    <w:rsid w:val="00B2156B"/>
    <w:rsid w:val="00B21577"/>
    <w:rsid w:val="00B21580"/>
    <w:rsid w:val="00B215C0"/>
    <w:rsid w:val="00B215DC"/>
    <w:rsid w:val="00B215E1"/>
    <w:rsid w:val="00B2160C"/>
    <w:rsid w:val="00B2164E"/>
    <w:rsid w:val="00B21694"/>
    <w:rsid w:val="00B216AE"/>
    <w:rsid w:val="00B216FA"/>
    <w:rsid w:val="00B216FC"/>
    <w:rsid w:val="00B2171B"/>
    <w:rsid w:val="00B2172A"/>
    <w:rsid w:val="00B21799"/>
    <w:rsid w:val="00B217E5"/>
    <w:rsid w:val="00B218A2"/>
    <w:rsid w:val="00B218F9"/>
    <w:rsid w:val="00B21932"/>
    <w:rsid w:val="00B2195B"/>
    <w:rsid w:val="00B2195E"/>
    <w:rsid w:val="00B219D6"/>
    <w:rsid w:val="00B219F5"/>
    <w:rsid w:val="00B21A10"/>
    <w:rsid w:val="00B21A33"/>
    <w:rsid w:val="00B21A4C"/>
    <w:rsid w:val="00B21A6F"/>
    <w:rsid w:val="00B21A77"/>
    <w:rsid w:val="00B21AA2"/>
    <w:rsid w:val="00B21B01"/>
    <w:rsid w:val="00B21B30"/>
    <w:rsid w:val="00B21B34"/>
    <w:rsid w:val="00B21B48"/>
    <w:rsid w:val="00B21BC0"/>
    <w:rsid w:val="00B21BF5"/>
    <w:rsid w:val="00B21C0B"/>
    <w:rsid w:val="00B21C80"/>
    <w:rsid w:val="00B21CCB"/>
    <w:rsid w:val="00B21CFA"/>
    <w:rsid w:val="00B21D36"/>
    <w:rsid w:val="00B21D6C"/>
    <w:rsid w:val="00B21D80"/>
    <w:rsid w:val="00B21DAC"/>
    <w:rsid w:val="00B21DF6"/>
    <w:rsid w:val="00B21EBC"/>
    <w:rsid w:val="00B21EE0"/>
    <w:rsid w:val="00B21F0A"/>
    <w:rsid w:val="00B21F67"/>
    <w:rsid w:val="00B21FCC"/>
    <w:rsid w:val="00B21FFA"/>
    <w:rsid w:val="00B22004"/>
    <w:rsid w:val="00B22007"/>
    <w:rsid w:val="00B22016"/>
    <w:rsid w:val="00B22055"/>
    <w:rsid w:val="00B2208A"/>
    <w:rsid w:val="00B220A9"/>
    <w:rsid w:val="00B220C5"/>
    <w:rsid w:val="00B22127"/>
    <w:rsid w:val="00B2215E"/>
    <w:rsid w:val="00B22163"/>
    <w:rsid w:val="00B221A0"/>
    <w:rsid w:val="00B221A1"/>
    <w:rsid w:val="00B221B2"/>
    <w:rsid w:val="00B2222A"/>
    <w:rsid w:val="00B22249"/>
    <w:rsid w:val="00B22255"/>
    <w:rsid w:val="00B222E2"/>
    <w:rsid w:val="00B222E7"/>
    <w:rsid w:val="00B2233A"/>
    <w:rsid w:val="00B2233B"/>
    <w:rsid w:val="00B223BC"/>
    <w:rsid w:val="00B223E5"/>
    <w:rsid w:val="00B2242A"/>
    <w:rsid w:val="00B22463"/>
    <w:rsid w:val="00B224A1"/>
    <w:rsid w:val="00B22502"/>
    <w:rsid w:val="00B22505"/>
    <w:rsid w:val="00B22521"/>
    <w:rsid w:val="00B2254B"/>
    <w:rsid w:val="00B22554"/>
    <w:rsid w:val="00B225D6"/>
    <w:rsid w:val="00B225F7"/>
    <w:rsid w:val="00B22614"/>
    <w:rsid w:val="00B22684"/>
    <w:rsid w:val="00B226FA"/>
    <w:rsid w:val="00B22759"/>
    <w:rsid w:val="00B22788"/>
    <w:rsid w:val="00B227AF"/>
    <w:rsid w:val="00B22832"/>
    <w:rsid w:val="00B2298E"/>
    <w:rsid w:val="00B229B2"/>
    <w:rsid w:val="00B229BB"/>
    <w:rsid w:val="00B229DF"/>
    <w:rsid w:val="00B22A07"/>
    <w:rsid w:val="00B22A48"/>
    <w:rsid w:val="00B22ABE"/>
    <w:rsid w:val="00B22ABF"/>
    <w:rsid w:val="00B22B0D"/>
    <w:rsid w:val="00B22B2A"/>
    <w:rsid w:val="00B22B42"/>
    <w:rsid w:val="00B22B71"/>
    <w:rsid w:val="00B22BF7"/>
    <w:rsid w:val="00B22C0C"/>
    <w:rsid w:val="00B22C71"/>
    <w:rsid w:val="00B22C84"/>
    <w:rsid w:val="00B22C94"/>
    <w:rsid w:val="00B22C9B"/>
    <w:rsid w:val="00B22CC5"/>
    <w:rsid w:val="00B22CCB"/>
    <w:rsid w:val="00B22CD9"/>
    <w:rsid w:val="00B22CE4"/>
    <w:rsid w:val="00B22D14"/>
    <w:rsid w:val="00B22EEE"/>
    <w:rsid w:val="00B22F0C"/>
    <w:rsid w:val="00B22F0F"/>
    <w:rsid w:val="00B22F81"/>
    <w:rsid w:val="00B22F87"/>
    <w:rsid w:val="00B22F9F"/>
    <w:rsid w:val="00B22FA3"/>
    <w:rsid w:val="00B22FF5"/>
    <w:rsid w:val="00B230B6"/>
    <w:rsid w:val="00B230B7"/>
    <w:rsid w:val="00B23106"/>
    <w:rsid w:val="00B23119"/>
    <w:rsid w:val="00B23124"/>
    <w:rsid w:val="00B23134"/>
    <w:rsid w:val="00B23137"/>
    <w:rsid w:val="00B2315F"/>
    <w:rsid w:val="00B2317D"/>
    <w:rsid w:val="00B231A3"/>
    <w:rsid w:val="00B2324C"/>
    <w:rsid w:val="00B2325E"/>
    <w:rsid w:val="00B232F2"/>
    <w:rsid w:val="00B23319"/>
    <w:rsid w:val="00B23328"/>
    <w:rsid w:val="00B233DA"/>
    <w:rsid w:val="00B23415"/>
    <w:rsid w:val="00B2343E"/>
    <w:rsid w:val="00B23446"/>
    <w:rsid w:val="00B2345B"/>
    <w:rsid w:val="00B234AA"/>
    <w:rsid w:val="00B234CF"/>
    <w:rsid w:val="00B23510"/>
    <w:rsid w:val="00B23522"/>
    <w:rsid w:val="00B2352F"/>
    <w:rsid w:val="00B2353D"/>
    <w:rsid w:val="00B23598"/>
    <w:rsid w:val="00B235C5"/>
    <w:rsid w:val="00B235CD"/>
    <w:rsid w:val="00B235CF"/>
    <w:rsid w:val="00B235DC"/>
    <w:rsid w:val="00B235F2"/>
    <w:rsid w:val="00B2360D"/>
    <w:rsid w:val="00B23623"/>
    <w:rsid w:val="00B23626"/>
    <w:rsid w:val="00B236A6"/>
    <w:rsid w:val="00B236D4"/>
    <w:rsid w:val="00B236FE"/>
    <w:rsid w:val="00B2377F"/>
    <w:rsid w:val="00B23784"/>
    <w:rsid w:val="00B237D5"/>
    <w:rsid w:val="00B237E6"/>
    <w:rsid w:val="00B2380A"/>
    <w:rsid w:val="00B23837"/>
    <w:rsid w:val="00B23872"/>
    <w:rsid w:val="00B23883"/>
    <w:rsid w:val="00B23893"/>
    <w:rsid w:val="00B2392A"/>
    <w:rsid w:val="00B23936"/>
    <w:rsid w:val="00B23947"/>
    <w:rsid w:val="00B239C9"/>
    <w:rsid w:val="00B239F7"/>
    <w:rsid w:val="00B23A91"/>
    <w:rsid w:val="00B23AE1"/>
    <w:rsid w:val="00B23B1D"/>
    <w:rsid w:val="00B23B1E"/>
    <w:rsid w:val="00B23B20"/>
    <w:rsid w:val="00B23B3A"/>
    <w:rsid w:val="00B23B50"/>
    <w:rsid w:val="00B23B64"/>
    <w:rsid w:val="00B23B67"/>
    <w:rsid w:val="00B23BE4"/>
    <w:rsid w:val="00B23C50"/>
    <w:rsid w:val="00B23CA2"/>
    <w:rsid w:val="00B23CFD"/>
    <w:rsid w:val="00B23D52"/>
    <w:rsid w:val="00B23D74"/>
    <w:rsid w:val="00B23D9C"/>
    <w:rsid w:val="00B23E24"/>
    <w:rsid w:val="00B23E46"/>
    <w:rsid w:val="00B23E4B"/>
    <w:rsid w:val="00B23E6D"/>
    <w:rsid w:val="00B23E93"/>
    <w:rsid w:val="00B23F2F"/>
    <w:rsid w:val="00B23F5C"/>
    <w:rsid w:val="00B23F75"/>
    <w:rsid w:val="00B23FB7"/>
    <w:rsid w:val="00B23FFC"/>
    <w:rsid w:val="00B2404C"/>
    <w:rsid w:val="00B2404E"/>
    <w:rsid w:val="00B24060"/>
    <w:rsid w:val="00B2408F"/>
    <w:rsid w:val="00B240C4"/>
    <w:rsid w:val="00B24102"/>
    <w:rsid w:val="00B24108"/>
    <w:rsid w:val="00B2411E"/>
    <w:rsid w:val="00B241AD"/>
    <w:rsid w:val="00B241B4"/>
    <w:rsid w:val="00B241E2"/>
    <w:rsid w:val="00B241E9"/>
    <w:rsid w:val="00B241EE"/>
    <w:rsid w:val="00B2420E"/>
    <w:rsid w:val="00B24213"/>
    <w:rsid w:val="00B2422C"/>
    <w:rsid w:val="00B2425E"/>
    <w:rsid w:val="00B24273"/>
    <w:rsid w:val="00B242A6"/>
    <w:rsid w:val="00B24424"/>
    <w:rsid w:val="00B2442D"/>
    <w:rsid w:val="00B244A1"/>
    <w:rsid w:val="00B24581"/>
    <w:rsid w:val="00B245AE"/>
    <w:rsid w:val="00B245DD"/>
    <w:rsid w:val="00B245FF"/>
    <w:rsid w:val="00B24642"/>
    <w:rsid w:val="00B2467E"/>
    <w:rsid w:val="00B246A7"/>
    <w:rsid w:val="00B24741"/>
    <w:rsid w:val="00B24749"/>
    <w:rsid w:val="00B2475E"/>
    <w:rsid w:val="00B247A8"/>
    <w:rsid w:val="00B247AB"/>
    <w:rsid w:val="00B247AE"/>
    <w:rsid w:val="00B249A0"/>
    <w:rsid w:val="00B249A2"/>
    <w:rsid w:val="00B249FD"/>
    <w:rsid w:val="00B24A18"/>
    <w:rsid w:val="00B24A1E"/>
    <w:rsid w:val="00B24A27"/>
    <w:rsid w:val="00B24A48"/>
    <w:rsid w:val="00B24A7F"/>
    <w:rsid w:val="00B24AE9"/>
    <w:rsid w:val="00B24B12"/>
    <w:rsid w:val="00B24B9A"/>
    <w:rsid w:val="00B24BA2"/>
    <w:rsid w:val="00B24BBC"/>
    <w:rsid w:val="00B24C45"/>
    <w:rsid w:val="00B24C51"/>
    <w:rsid w:val="00B24C67"/>
    <w:rsid w:val="00B24C78"/>
    <w:rsid w:val="00B24C9A"/>
    <w:rsid w:val="00B24CB7"/>
    <w:rsid w:val="00B24D23"/>
    <w:rsid w:val="00B24D43"/>
    <w:rsid w:val="00B24D4B"/>
    <w:rsid w:val="00B24D8A"/>
    <w:rsid w:val="00B24DA3"/>
    <w:rsid w:val="00B24DE5"/>
    <w:rsid w:val="00B24E0C"/>
    <w:rsid w:val="00B24EEA"/>
    <w:rsid w:val="00B24F45"/>
    <w:rsid w:val="00B24F5B"/>
    <w:rsid w:val="00B24F77"/>
    <w:rsid w:val="00B24FBF"/>
    <w:rsid w:val="00B24FE5"/>
    <w:rsid w:val="00B24FE7"/>
    <w:rsid w:val="00B24FE8"/>
    <w:rsid w:val="00B24FF4"/>
    <w:rsid w:val="00B25036"/>
    <w:rsid w:val="00B25041"/>
    <w:rsid w:val="00B25071"/>
    <w:rsid w:val="00B25090"/>
    <w:rsid w:val="00B250DA"/>
    <w:rsid w:val="00B250DF"/>
    <w:rsid w:val="00B2510B"/>
    <w:rsid w:val="00B25136"/>
    <w:rsid w:val="00B2514C"/>
    <w:rsid w:val="00B25160"/>
    <w:rsid w:val="00B25221"/>
    <w:rsid w:val="00B25226"/>
    <w:rsid w:val="00B25241"/>
    <w:rsid w:val="00B25261"/>
    <w:rsid w:val="00B2528F"/>
    <w:rsid w:val="00B2529F"/>
    <w:rsid w:val="00B252CB"/>
    <w:rsid w:val="00B2537A"/>
    <w:rsid w:val="00B253A9"/>
    <w:rsid w:val="00B253C0"/>
    <w:rsid w:val="00B253D7"/>
    <w:rsid w:val="00B25433"/>
    <w:rsid w:val="00B25452"/>
    <w:rsid w:val="00B2546A"/>
    <w:rsid w:val="00B2546C"/>
    <w:rsid w:val="00B254B9"/>
    <w:rsid w:val="00B254E7"/>
    <w:rsid w:val="00B254FE"/>
    <w:rsid w:val="00B2558B"/>
    <w:rsid w:val="00B255A3"/>
    <w:rsid w:val="00B255A6"/>
    <w:rsid w:val="00B25600"/>
    <w:rsid w:val="00B2562C"/>
    <w:rsid w:val="00B25636"/>
    <w:rsid w:val="00B2567B"/>
    <w:rsid w:val="00B25724"/>
    <w:rsid w:val="00B25749"/>
    <w:rsid w:val="00B25799"/>
    <w:rsid w:val="00B2581D"/>
    <w:rsid w:val="00B25871"/>
    <w:rsid w:val="00B2587D"/>
    <w:rsid w:val="00B258A9"/>
    <w:rsid w:val="00B258AE"/>
    <w:rsid w:val="00B258D3"/>
    <w:rsid w:val="00B2592B"/>
    <w:rsid w:val="00B259B9"/>
    <w:rsid w:val="00B259C7"/>
    <w:rsid w:val="00B25A47"/>
    <w:rsid w:val="00B25A90"/>
    <w:rsid w:val="00B25B80"/>
    <w:rsid w:val="00B25BC9"/>
    <w:rsid w:val="00B25C37"/>
    <w:rsid w:val="00B25C43"/>
    <w:rsid w:val="00B25CE8"/>
    <w:rsid w:val="00B25D66"/>
    <w:rsid w:val="00B25DE8"/>
    <w:rsid w:val="00B25E6C"/>
    <w:rsid w:val="00B25E92"/>
    <w:rsid w:val="00B25EB9"/>
    <w:rsid w:val="00B25F0D"/>
    <w:rsid w:val="00B25FBD"/>
    <w:rsid w:val="00B25FDE"/>
    <w:rsid w:val="00B25FFD"/>
    <w:rsid w:val="00B26082"/>
    <w:rsid w:val="00B260AE"/>
    <w:rsid w:val="00B2619C"/>
    <w:rsid w:val="00B261D7"/>
    <w:rsid w:val="00B26251"/>
    <w:rsid w:val="00B262BF"/>
    <w:rsid w:val="00B262DB"/>
    <w:rsid w:val="00B262DC"/>
    <w:rsid w:val="00B2634A"/>
    <w:rsid w:val="00B2636D"/>
    <w:rsid w:val="00B263BA"/>
    <w:rsid w:val="00B263C3"/>
    <w:rsid w:val="00B264EA"/>
    <w:rsid w:val="00B26526"/>
    <w:rsid w:val="00B2652B"/>
    <w:rsid w:val="00B26540"/>
    <w:rsid w:val="00B265A0"/>
    <w:rsid w:val="00B265A4"/>
    <w:rsid w:val="00B265D6"/>
    <w:rsid w:val="00B265E2"/>
    <w:rsid w:val="00B26600"/>
    <w:rsid w:val="00B26671"/>
    <w:rsid w:val="00B266AF"/>
    <w:rsid w:val="00B266E4"/>
    <w:rsid w:val="00B266E6"/>
    <w:rsid w:val="00B26778"/>
    <w:rsid w:val="00B267BF"/>
    <w:rsid w:val="00B267D6"/>
    <w:rsid w:val="00B267D7"/>
    <w:rsid w:val="00B267DA"/>
    <w:rsid w:val="00B2680F"/>
    <w:rsid w:val="00B26876"/>
    <w:rsid w:val="00B268AD"/>
    <w:rsid w:val="00B268ED"/>
    <w:rsid w:val="00B2690A"/>
    <w:rsid w:val="00B2694F"/>
    <w:rsid w:val="00B26990"/>
    <w:rsid w:val="00B26A29"/>
    <w:rsid w:val="00B26A5C"/>
    <w:rsid w:val="00B26A9E"/>
    <w:rsid w:val="00B26ABF"/>
    <w:rsid w:val="00B26AF4"/>
    <w:rsid w:val="00B26B1E"/>
    <w:rsid w:val="00B26B7E"/>
    <w:rsid w:val="00B26BBB"/>
    <w:rsid w:val="00B26BE7"/>
    <w:rsid w:val="00B26C5D"/>
    <w:rsid w:val="00B26C82"/>
    <w:rsid w:val="00B26C85"/>
    <w:rsid w:val="00B26C8C"/>
    <w:rsid w:val="00B26C8D"/>
    <w:rsid w:val="00B26C8F"/>
    <w:rsid w:val="00B26D23"/>
    <w:rsid w:val="00B26D3A"/>
    <w:rsid w:val="00B26D51"/>
    <w:rsid w:val="00B26D64"/>
    <w:rsid w:val="00B26D86"/>
    <w:rsid w:val="00B26D8D"/>
    <w:rsid w:val="00B26DB4"/>
    <w:rsid w:val="00B26DBA"/>
    <w:rsid w:val="00B26DD3"/>
    <w:rsid w:val="00B26E66"/>
    <w:rsid w:val="00B26EC9"/>
    <w:rsid w:val="00B26ED4"/>
    <w:rsid w:val="00B26EEC"/>
    <w:rsid w:val="00B26EF7"/>
    <w:rsid w:val="00B26F45"/>
    <w:rsid w:val="00B26FB5"/>
    <w:rsid w:val="00B2701A"/>
    <w:rsid w:val="00B2701E"/>
    <w:rsid w:val="00B27052"/>
    <w:rsid w:val="00B27099"/>
    <w:rsid w:val="00B27193"/>
    <w:rsid w:val="00B271C5"/>
    <w:rsid w:val="00B271E2"/>
    <w:rsid w:val="00B27250"/>
    <w:rsid w:val="00B2727B"/>
    <w:rsid w:val="00B2729F"/>
    <w:rsid w:val="00B272A2"/>
    <w:rsid w:val="00B272A7"/>
    <w:rsid w:val="00B272D7"/>
    <w:rsid w:val="00B27311"/>
    <w:rsid w:val="00B27326"/>
    <w:rsid w:val="00B27340"/>
    <w:rsid w:val="00B2738A"/>
    <w:rsid w:val="00B27396"/>
    <w:rsid w:val="00B273B8"/>
    <w:rsid w:val="00B273D3"/>
    <w:rsid w:val="00B27412"/>
    <w:rsid w:val="00B27454"/>
    <w:rsid w:val="00B27455"/>
    <w:rsid w:val="00B274B7"/>
    <w:rsid w:val="00B274EA"/>
    <w:rsid w:val="00B275C6"/>
    <w:rsid w:val="00B275FF"/>
    <w:rsid w:val="00B27617"/>
    <w:rsid w:val="00B2765E"/>
    <w:rsid w:val="00B27674"/>
    <w:rsid w:val="00B2767C"/>
    <w:rsid w:val="00B2767D"/>
    <w:rsid w:val="00B276CA"/>
    <w:rsid w:val="00B276E4"/>
    <w:rsid w:val="00B2775A"/>
    <w:rsid w:val="00B2776F"/>
    <w:rsid w:val="00B27787"/>
    <w:rsid w:val="00B277C6"/>
    <w:rsid w:val="00B27881"/>
    <w:rsid w:val="00B278B1"/>
    <w:rsid w:val="00B278CE"/>
    <w:rsid w:val="00B279F0"/>
    <w:rsid w:val="00B27AB0"/>
    <w:rsid w:val="00B27ABB"/>
    <w:rsid w:val="00B27B37"/>
    <w:rsid w:val="00B27B67"/>
    <w:rsid w:val="00B27BBD"/>
    <w:rsid w:val="00B27BD3"/>
    <w:rsid w:val="00B27BE3"/>
    <w:rsid w:val="00B27C39"/>
    <w:rsid w:val="00B27C5C"/>
    <w:rsid w:val="00B27C75"/>
    <w:rsid w:val="00B27C87"/>
    <w:rsid w:val="00B27D0A"/>
    <w:rsid w:val="00B27D80"/>
    <w:rsid w:val="00B27DAC"/>
    <w:rsid w:val="00B27DAD"/>
    <w:rsid w:val="00B27DBF"/>
    <w:rsid w:val="00B27DEE"/>
    <w:rsid w:val="00B27E19"/>
    <w:rsid w:val="00B27E2A"/>
    <w:rsid w:val="00B27E2C"/>
    <w:rsid w:val="00B27E32"/>
    <w:rsid w:val="00B27EBF"/>
    <w:rsid w:val="00B27EC1"/>
    <w:rsid w:val="00B27ECC"/>
    <w:rsid w:val="00B27F2B"/>
    <w:rsid w:val="00B27F3C"/>
    <w:rsid w:val="00B27FB6"/>
    <w:rsid w:val="00B27FDC"/>
    <w:rsid w:val="00B3004C"/>
    <w:rsid w:val="00B30055"/>
    <w:rsid w:val="00B30079"/>
    <w:rsid w:val="00B30083"/>
    <w:rsid w:val="00B300F0"/>
    <w:rsid w:val="00B300F4"/>
    <w:rsid w:val="00B30144"/>
    <w:rsid w:val="00B30195"/>
    <w:rsid w:val="00B301C8"/>
    <w:rsid w:val="00B301D6"/>
    <w:rsid w:val="00B30277"/>
    <w:rsid w:val="00B302F6"/>
    <w:rsid w:val="00B30337"/>
    <w:rsid w:val="00B30350"/>
    <w:rsid w:val="00B30375"/>
    <w:rsid w:val="00B3037E"/>
    <w:rsid w:val="00B303B6"/>
    <w:rsid w:val="00B3041A"/>
    <w:rsid w:val="00B30420"/>
    <w:rsid w:val="00B30423"/>
    <w:rsid w:val="00B30464"/>
    <w:rsid w:val="00B304A7"/>
    <w:rsid w:val="00B304BF"/>
    <w:rsid w:val="00B3050E"/>
    <w:rsid w:val="00B30529"/>
    <w:rsid w:val="00B30571"/>
    <w:rsid w:val="00B305C1"/>
    <w:rsid w:val="00B305C6"/>
    <w:rsid w:val="00B305DB"/>
    <w:rsid w:val="00B305FF"/>
    <w:rsid w:val="00B30610"/>
    <w:rsid w:val="00B30634"/>
    <w:rsid w:val="00B30678"/>
    <w:rsid w:val="00B3072B"/>
    <w:rsid w:val="00B307C7"/>
    <w:rsid w:val="00B307CB"/>
    <w:rsid w:val="00B307E2"/>
    <w:rsid w:val="00B30856"/>
    <w:rsid w:val="00B3085E"/>
    <w:rsid w:val="00B30886"/>
    <w:rsid w:val="00B30887"/>
    <w:rsid w:val="00B3088E"/>
    <w:rsid w:val="00B3089E"/>
    <w:rsid w:val="00B308BE"/>
    <w:rsid w:val="00B308C5"/>
    <w:rsid w:val="00B308DD"/>
    <w:rsid w:val="00B30908"/>
    <w:rsid w:val="00B30913"/>
    <w:rsid w:val="00B3091C"/>
    <w:rsid w:val="00B30926"/>
    <w:rsid w:val="00B3094C"/>
    <w:rsid w:val="00B30A07"/>
    <w:rsid w:val="00B30A62"/>
    <w:rsid w:val="00B30A7C"/>
    <w:rsid w:val="00B30AAF"/>
    <w:rsid w:val="00B30AE8"/>
    <w:rsid w:val="00B30B0A"/>
    <w:rsid w:val="00B30B13"/>
    <w:rsid w:val="00B30B3C"/>
    <w:rsid w:val="00B30B43"/>
    <w:rsid w:val="00B30B49"/>
    <w:rsid w:val="00B30BE1"/>
    <w:rsid w:val="00B30BFE"/>
    <w:rsid w:val="00B30C10"/>
    <w:rsid w:val="00B30C95"/>
    <w:rsid w:val="00B30CB7"/>
    <w:rsid w:val="00B30CC7"/>
    <w:rsid w:val="00B30CE5"/>
    <w:rsid w:val="00B30D0A"/>
    <w:rsid w:val="00B30D1F"/>
    <w:rsid w:val="00B30D37"/>
    <w:rsid w:val="00B30D64"/>
    <w:rsid w:val="00B30D7D"/>
    <w:rsid w:val="00B30D91"/>
    <w:rsid w:val="00B30DAE"/>
    <w:rsid w:val="00B30DB0"/>
    <w:rsid w:val="00B30E3B"/>
    <w:rsid w:val="00B30E40"/>
    <w:rsid w:val="00B30E53"/>
    <w:rsid w:val="00B30E7F"/>
    <w:rsid w:val="00B30E98"/>
    <w:rsid w:val="00B30EB4"/>
    <w:rsid w:val="00B30ECD"/>
    <w:rsid w:val="00B30F36"/>
    <w:rsid w:val="00B30F6C"/>
    <w:rsid w:val="00B30F85"/>
    <w:rsid w:val="00B30FF4"/>
    <w:rsid w:val="00B31002"/>
    <w:rsid w:val="00B31051"/>
    <w:rsid w:val="00B310AB"/>
    <w:rsid w:val="00B31168"/>
    <w:rsid w:val="00B3116D"/>
    <w:rsid w:val="00B31193"/>
    <w:rsid w:val="00B311AC"/>
    <w:rsid w:val="00B311D6"/>
    <w:rsid w:val="00B311D8"/>
    <w:rsid w:val="00B31206"/>
    <w:rsid w:val="00B3131C"/>
    <w:rsid w:val="00B3132C"/>
    <w:rsid w:val="00B31355"/>
    <w:rsid w:val="00B3136B"/>
    <w:rsid w:val="00B3136E"/>
    <w:rsid w:val="00B3136F"/>
    <w:rsid w:val="00B313DB"/>
    <w:rsid w:val="00B313E6"/>
    <w:rsid w:val="00B313F6"/>
    <w:rsid w:val="00B313FD"/>
    <w:rsid w:val="00B31411"/>
    <w:rsid w:val="00B314B7"/>
    <w:rsid w:val="00B31526"/>
    <w:rsid w:val="00B3154E"/>
    <w:rsid w:val="00B315A5"/>
    <w:rsid w:val="00B315B6"/>
    <w:rsid w:val="00B315E0"/>
    <w:rsid w:val="00B31614"/>
    <w:rsid w:val="00B31646"/>
    <w:rsid w:val="00B3165A"/>
    <w:rsid w:val="00B3167E"/>
    <w:rsid w:val="00B316AD"/>
    <w:rsid w:val="00B316BA"/>
    <w:rsid w:val="00B3172C"/>
    <w:rsid w:val="00B317E0"/>
    <w:rsid w:val="00B31855"/>
    <w:rsid w:val="00B31877"/>
    <w:rsid w:val="00B318C0"/>
    <w:rsid w:val="00B318EF"/>
    <w:rsid w:val="00B31945"/>
    <w:rsid w:val="00B319B2"/>
    <w:rsid w:val="00B319C0"/>
    <w:rsid w:val="00B319C6"/>
    <w:rsid w:val="00B31A14"/>
    <w:rsid w:val="00B31A5C"/>
    <w:rsid w:val="00B31A8E"/>
    <w:rsid w:val="00B31AD3"/>
    <w:rsid w:val="00B31B0A"/>
    <w:rsid w:val="00B31B65"/>
    <w:rsid w:val="00B31BE4"/>
    <w:rsid w:val="00B31BF0"/>
    <w:rsid w:val="00B31C07"/>
    <w:rsid w:val="00B31C6F"/>
    <w:rsid w:val="00B31C74"/>
    <w:rsid w:val="00B31CB2"/>
    <w:rsid w:val="00B31D1A"/>
    <w:rsid w:val="00B31D5F"/>
    <w:rsid w:val="00B31D75"/>
    <w:rsid w:val="00B31D96"/>
    <w:rsid w:val="00B31DF2"/>
    <w:rsid w:val="00B31DFC"/>
    <w:rsid w:val="00B31E1E"/>
    <w:rsid w:val="00B31E79"/>
    <w:rsid w:val="00B31EFB"/>
    <w:rsid w:val="00B31F57"/>
    <w:rsid w:val="00B31F86"/>
    <w:rsid w:val="00B31FD2"/>
    <w:rsid w:val="00B32013"/>
    <w:rsid w:val="00B32037"/>
    <w:rsid w:val="00B32055"/>
    <w:rsid w:val="00B3208A"/>
    <w:rsid w:val="00B32115"/>
    <w:rsid w:val="00B32127"/>
    <w:rsid w:val="00B32140"/>
    <w:rsid w:val="00B3215B"/>
    <w:rsid w:val="00B321DC"/>
    <w:rsid w:val="00B32249"/>
    <w:rsid w:val="00B3229F"/>
    <w:rsid w:val="00B322A2"/>
    <w:rsid w:val="00B322AF"/>
    <w:rsid w:val="00B3235F"/>
    <w:rsid w:val="00B32383"/>
    <w:rsid w:val="00B32395"/>
    <w:rsid w:val="00B32398"/>
    <w:rsid w:val="00B323C9"/>
    <w:rsid w:val="00B3241D"/>
    <w:rsid w:val="00B3246E"/>
    <w:rsid w:val="00B32480"/>
    <w:rsid w:val="00B324A0"/>
    <w:rsid w:val="00B324AF"/>
    <w:rsid w:val="00B324B9"/>
    <w:rsid w:val="00B3250D"/>
    <w:rsid w:val="00B3254C"/>
    <w:rsid w:val="00B32559"/>
    <w:rsid w:val="00B32579"/>
    <w:rsid w:val="00B32623"/>
    <w:rsid w:val="00B326A2"/>
    <w:rsid w:val="00B326C7"/>
    <w:rsid w:val="00B32721"/>
    <w:rsid w:val="00B32726"/>
    <w:rsid w:val="00B32755"/>
    <w:rsid w:val="00B32765"/>
    <w:rsid w:val="00B32789"/>
    <w:rsid w:val="00B327B1"/>
    <w:rsid w:val="00B327BF"/>
    <w:rsid w:val="00B327ED"/>
    <w:rsid w:val="00B32808"/>
    <w:rsid w:val="00B32831"/>
    <w:rsid w:val="00B3283C"/>
    <w:rsid w:val="00B32866"/>
    <w:rsid w:val="00B3287B"/>
    <w:rsid w:val="00B32881"/>
    <w:rsid w:val="00B3289B"/>
    <w:rsid w:val="00B328C3"/>
    <w:rsid w:val="00B32940"/>
    <w:rsid w:val="00B32962"/>
    <w:rsid w:val="00B32993"/>
    <w:rsid w:val="00B329AD"/>
    <w:rsid w:val="00B329C2"/>
    <w:rsid w:val="00B329F9"/>
    <w:rsid w:val="00B32A13"/>
    <w:rsid w:val="00B32A1E"/>
    <w:rsid w:val="00B32A25"/>
    <w:rsid w:val="00B32AE6"/>
    <w:rsid w:val="00B32B07"/>
    <w:rsid w:val="00B32B64"/>
    <w:rsid w:val="00B32B8C"/>
    <w:rsid w:val="00B32C49"/>
    <w:rsid w:val="00B32C54"/>
    <w:rsid w:val="00B32CB9"/>
    <w:rsid w:val="00B32CF5"/>
    <w:rsid w:val="00B32D20"/>
    <w:rsid w:val="00B32D34"/>
    <w:rsid w:val="00B32DC1"/>
    <w:rsid w:val="00B32DCA"/>
    <w:rsid w:val="00B32E68"/>
    <w:rsid w:val="00B32E87"/>
    <w:rsid w:val="00B32E94"/>
    <w:rsid w:val="00B32EA7"/>
    <w:rsid w:val="00B32F04"/>
    <w:rsid w:val="00B32F19"/>
    <w:rsid w:val="00B32F8A"/>
    <w:rsid w:val="00B32F95"/>
    <w:rsid w:val="00B33041"/>
    <w:rsid w:val="00B330A6"/>
    <w:rsid w:val="00B330BE"/>
    <w:rsid w:val="00B330CC"/>
    <w:rsid w:val="00B330DF"/>
    <w:rsid w:val="00B3312B"/>
    <w:rsid w:val="00B331CD"/>
    <w:rsid w:val="00B331DD"/>
    <w:rsid w:val="00B331E6"/>
    <w:rsid w:val="00B33220"/>
    <w:rsid w:val="00B3322C"/>
    <w:rsid w:val="00B3323C"/>
    <w:rsid w:val="00B3324C"/>
    <w:rsid w:val="00B3324E"/>
    <w:rsid w:val="00B332D6"/>
    <w:rsid w:val="00B3331E"/>
    <w:rsid w:val="00B3332F"/>
    <w:rsid w:val="00B33346"/>
    <w:rsid w:val="00B33367"/>
    <w:rsid w:val="00B33382"/>
    <w:rsid w:val="00B33387"/>
    <w:rsid w:val="00B3340C"/>
    <w:rsid w:val="00B33477"/>
    <w:rsid w:val="00B334A8"/>
    <w:rsid w:val="00B334F1"/>
    <w:rsid w:val="00B33538"/>
    <w:rsid w:val="00B33573"/>
    <w:rsid w:val="00B336C4"/>
    <w:rsid w:val="00B33707"/>
    <w:rsid w:val="00B33708"/>
    <w:rsid w:val="00B3373A"/>
    <w:rsid w:val="00B33749"/>
    <w:rsid w:val="00B337B9"/>
    <w:rsid w:val="00B337E3"/>
    <w:rsid w:val="00B3381C"/>
    <w:rsid w:val="00B33825"/>
    <w:rsid w:val="00B33845"/>
    <w:rsid w:val="00B3384E"/>
    <w:rsid w:val="00B33913"/>
    <w:rsid w:val="00B33919"/>
    <w:rsid w:val="00B3396B"/>
    <w:rsid w:val="00B339AD"/>
    <w:rsid w:val="00B339B6"/>
    <w:rsid w:val="00B339CB"/>
    <w:rsid w:val="00B33A3A"/>
    <w:rsid w:val="00B33AD4"/>
    <w:rsid w:val="00B33AF1"/>
    <w:rsid w:val="00B33B0F"/>
    <w:rsid w:val="00B33B4C"/>
    <w:rsid w:val="00B33B78"/>
    <w:rsid w:val="00B33C1E"/>
    <w:rsid w:val="00B33C22"/>
    <w:rsid w:val="00B33C27"/>
    <w:rsid w:val="00B33C50"/>
    <w:rsid w:val="00B33C6F"/>
    <w:rsid w:val="00B33C97"/>
    <w:rsid w:val="00B33CB7"/>
    <w:rsid w:val="00B33D16"/>
    <w:rsid w:val="00B33D27"/>
    <w:rsid w:val="00B33D64"/>
    <w:rsid w:val="00B33D69"/>
    <w:rsid w:val="00B33D6A"/>
    <w:rsid w:val="00B33DC1"/>
    <w:rsid w:val="00B33DFE"/>
    <w:rsid w:val="00B33F24"/>
    <w:rsid w:val="00B33F39"/>
    <w:rsid w:val="00B33F3F"/>
    <w:rsid w:val="00B33F81"/>
    <w:rsid w:val="00B34018"/>
    <w:rsid w:val="00B34038"/>
    <w:rsid w:val="00B34045"/>
    <w:rsid w:val="00B34046"/>
    <w:rsid w:val="00B3407D"/>
    <w:rsid w:val="00B3407E"/>
    <w:rsid w:val="00B34095"/>
    <w:rsid w:val="00B34098"/>
    <w:rsid w:val="00B3409D"/>
    <w:rsid w:val="00B3410F"/>
    <w:rsid w:val="00B34119"/>
    <w:rsid w:val="00B34127"/>
    <w:rsid w:val="00B34154"/>
    <w:rsid w:val="00B341F6"/>
    <w:rsid w:val="00B34365"/>
    <w:rsid w:val="00B34397"/>
    <w:rsid w:val="00B34476"/>
    <w:rsid w:val="00B34493"/>
    <w:rsid w:val="00B344DB"/>
    <w:rsid w:val="00B3456A"/>
    <w:rsid w:val="00B345C2"/>
    <w:rsid w:val="00B345CD"/>
    <w:rsid w:val="00B345DB"/>
    <w:rsid w:val="00B34604"/>
    <w:rsid w:val="00B3464A"/>
    <w:rsid w:val="00B3466B"/>
    <w:rsid w:val="00B346A1"/>
    <w:rsid w:val="00B346D2"/>
    <w:rsid w:val="00B346FF"/>
    <w:rsid w:val="00B3473D"/>
    <w:rsid w:val="00B34755"/>
    <w:rsid w:val="00B347E6"/>
    <w:rsid w:val="00B3485F"/>
    <w:rsid w:val="00B34895"/>
    <w:rsid w:val="00B348C5"/>
    <w:rsid w:val="00B3491C"/>
    <w:rsid w:val="00B349A5"/>
    <w:rsid w:val="00B349CD"/>
    <w:rsid w:val="00B349E4"/>
    <w:rsid w:val="00B34A38"/>
    <w:rsid w:val="00B34A3F"/>
    <w:rsid w:val="00B34A63"/>
    <w:rsid w:val="00B34A6E"/>
    <w:rsid w:val="00B34B56"/>
    <w:rsid w:val="00B34B5D"/>
    <w:rsid w:val="00B34BF3"/>
    <w:rsid w:val="00B34C3E"/>
    <w:rsid w:val="00B34CEC"/>
    <w:rsid w:val="00B34CFF"/>
    <w:rsid w:val="00B34D53"/>
    <w:rsid w:val="00B34D72"/>
    <w:rsid w:val="00B34DDE"/>
    <w:rsid w:val="00B34EA0"/>
    <w:rsid w:val="00B34ED1"/>
    <w:rsid w:val="00B34EFE"/>
    <w:rsid w:val="00B34F05"/>
    <w:rsid w:val="00B34F21"/>
    <w:rsid w:val="00B34F4E"/>
    <w:rsid w:val="00B34F75"/>
    <w:rsid w:val="00B34FA6"/>
    <w:rsid w:val="00B34FC0"/>
    <w:rsid w:val="00B34FDA"/>
    <w:rsid w:val="00B34FEA"/>
    <w:rsid w:val="00B3500C"/>
    <w:rsid w:val="00B35026"/>
    <w:rsid w:val="00B3502C"/>
    <w:rsid w:val="00B3508A"/>
    <w:rsid w:val="00B35090"/>
    <w:rsid w:val="00B350A2"/>
    <w:rsid w:val="00B35102"/>
    <w:rsid w:val="00B35175"/>
    <w:rsid w:val="00B351B8"/>
    <w:rsid w:val="00B35218"/>
    <w:rsid w:val="00B35301"/>
    <w:rsid w:val="00B3534A"/>
    <w:rsid w:val="00B3538A"/>
    <w:rsid w:val="00B35397"/>
    <w:rsid w:val="00B3539E"/>
    <w:rsid w:val="00B354A5"/>
    <w:rsid w:val="00B354B7"/>
    <w:rsid w:val="00B354E5"/>
    <w:rsid w:val="00B354FA"/>
    <w:rsid w:val="00B35523"/>
    <w:rsid w:val="00B35536"/>
    <w:rsid w:val="00B35586"/>
    <w:rsid w:val="00B35589"/>
    <w:rsid w:val="00B355B0"/>
    <w:rsid w:val="00B355BA"/>
    <w:rsid w:val="00B355E7"/>
    <w:rsid w:val="00B355F8"/>
    <w:rsid w:val="00B35644"/>
    <w:rsid w:val="00B35652"/>
    <w:rsid w:val="00B356DB"/>
    <w:rsid w:val="00B356EC"/>
    <w:rsid w:val="00B356ED"/>
    <w:rsid w:val="00B3575F"/>
    <w:rsid w:val="00B35762"/>
    <w:rsid w:val="00B35763"/>
    <w:rsid w:val="00B357AD"/>
    <w:rsid w:val="00B357F3"/>
    <w:rsid w:val="00B3583B"/>
    <w:rsid w:val="00B3588A"/>
    <w:rsid w:val="00B35900"/>
    <w:rsid w:val="00B3591E"/>
    <w:rsid w:val="00B35934"/>
    <w:rsid w:val="00B35944"/>
    <w:rsid w:val="00B359BB"/>
    <w:rsid w:val="00B35A11"/>
    <w:rsid w:val="00B35A22"/>
    <w:rsid w:val="00B35A25"/>
    <w:rsid w:val="00B35A2A"/>
    <w:rsid w:val="00B35AAD"/>
    <w:rsid w:val="00B35AFE"/>
    <w:rsid w:val="00B35B1C"/>
    <w:rsid w:val="00B35B3D"/>
    <w:rsid w:val="00B35B41"/>
    <w:rsid w:val="00B35BBF"/>
    <w:rsid w:val="00B35BD0"/>
    <w:rsid w:val="00B35C14"/>
    <w:rsid w:val="00B35C22"/>
    <w:rsid w:val="00B35C70"/>
    <w:rsid w:val="00B35C8F"/>
    <w:rsid w:val="00B35C9F"/>
    <w:rsid w:val="00B35CA2"/>
    <w:rsid w:val="00B35D6E"/>
    <w:rsid w:val="00B35DC8"/>
    <w:rsid w:val="00B35E47"/>
    <w:rsid w:val="00B35E90"/>
    <w:rsid w:val="00B35EC9"/>
    <w:rsid w:val="00B35F1F"/>
    <w:rsid w:val="00B35F5D"/>
    <w:rsid w:val="00B35FDE"/>
    <w:rsid w:val="00B35FE1"/>
    <w:rsid w:val="00B35FF0"/>
    <w:rsid w:val="00B36002"/>
    <w:rsid w:val="00B36026"/>
    <w:rsid w:val="00B36042"/>
    <w:rsid w:val="00B36092"/>
    <w:rsid w:val="00B360C9"/>
    <w:rsid w:val="00B360ED"/>
    <w:rsid w:val="00B36119"/>
    <w:rsid w:val="00B36123"/>
    <w:rsid w:val="00B3613A"/>
    <w:rsid w:val="00B36143"/>
    <w:rsid w:val="00B36149"/>
    <w:rsid w:val="00B36165"/>
    <w:rsid w:val="00B361A4"/>
    <w:rsid w:val="00B3624F"/>
    <w:rsid w:val="00B36302"/>
    <w:rsid w:val="00B3636B"/>
    <w:rsid w:val="00B363AC"/>
    <w:rsid w:val="00B363AD"/>
    <w:rsid w:val="00B363C4"/>
    <w:rsid w:val="00B36402"/>
    <w:rsid w:val="00B36433"/>
    <w:rsid w:val="00B3643A"/>
    <w:rsid w:val="00B3644B"/>
    <w:rsid w:val="00B36484"/>
    <w:rsid w:val="00B364DC"/>
    <w:rsid w:val="00B36527"/>
    <w:rsid w:val="00B3655F"/>
    <w:rsid w:val="00B36585"/>
    <w:rsid w:val="00B3658D"/>
    <w:rsid w:val="00B365D0"/>
    <w:rsid w:val="00B36665"/>
    <w:rsid w:val="00B36676"/>
    <w:rsid w:val="00B3669E"/>
    <w:rsid w:val="00B366ED"/>
    <w:rsid w:val="00B36734"/>
    <w:rsid w:val="00B3673E"/>
    <w:rsid w:val="00B3676D"/>
    <w:rsid w:val="00B3676E"/>
    <w:rsid w:val="00B367B6"/>
    <w:rsid w:val="00B367D8"/>
    <w:rsid w:val="00B367F0"/>
    <w:rsid w:val="00B36824"/>
    <w:rsid w:val="00B36840"/>
    <w:rsid w:val="00B3684B"/>
    <w:rsid w:val="00B3689F"/>
    <w:rsid w:val="00B368A5"/>
    <w:rsid w:val="00B368C9"/>
    <w:rsid w:val="00B368D6"/>
    <w:rsid w:val="00B368F5"/>
    <w:rsid w:val="00B368FB"/>
    <w:rsid w:val="00B36912"/>
    <w:rsid w:val="00B3692C"/>
    <w:rsid w:val="00B36935"/>
    <w:rsid w:val="00B36943"/>
    <w:rsid w:val="00B36973"/>
    <w:rsid w:val="00B369B8"/>
    <w:rsid w:val="00B369D0"/>
    <w:rsid w:val="00B36A38"/>
    <w:rsid w:val="00B36ADB"/>
    <w:rsid w:val="00B36B25"/>
    <w:rsid w:val="00B36B87"/>
    <w:rsid w:val="00B36C09"/>
    <w:rsid w:val="00B36C15"/>
    <w:rsid w:val="00B36C47"/>
    <w:rsid w:val="00B36D04"/>
    <w:rsid w:val="00B36D27"/>
    <w:rsid w:val="00B36D34"/>
    <w:rsid w:val="00B36D3A"/>
    <w:rsid w:val="00B36DA6"/>
    <w:rsid w:val="00B36DEE"/>
    <w:rsid w:val="00B36DFE"/>
    <w:rsid w:val="00B36E24"/>
    <w:rsid w:val="00B36E25"/>
    <w:rsid w:val="00B36E9C"/>
    <w:rsid w:val="00B36EA2"/>
    <w:rsid w:val="00B36EFD"/>
    <w:rsid w:val="00B36F00"/>
    <w:rsid w:val="00B36F8D"/>
    <w:rsid w:val="00B36F9C"/>
    <w:rsid w:val="00B36FEB"/>
    <w:rsid w:val="00B36FFB"/>
    <w:rsid w:val="00B37001"/>
    <w:rsid w:val="00B37065"/>
    <w:rsid w:val="00B370EC"/>
    <w:rsid w:val="00B37117"/>
    <w:rsid w:val="00B37134"/>
    <w:rsid w:val="00B37186"/>
    <w:rsid w:val="00B37203"/>
    <w:rsid w:val="00B3721C"/>
    <w:rsid w:val="00B37231"/>
    <w:rsid w:val="00B3725B"/>
    <w:rsid w:val="00B37271"/>
    <w:rsid w:val="00B37278"/>
    <w:rsid w:val="00B3729C"/>
    <w:rsid w:val="00B3729F"/>
    <w:rsid w:val="00B372FB"/>
    <w:rsid w:val="00B3731D"/>
    <w:rsid w:val="00B3732B"/>
    <w:rsid w:val="00B37415"/>
    <w:rsid w:val="00B3749D"/>
    <w:rsid w:val="00B374AA"/>
    <w:rsid w:val="00B374D8"/>
    <w:rsid w:val="00B374E1"/>
    <w:rsid w:val="00B37548"/>
    <w:rsid w:val="00B375AA"/>
    <w:rsid w:val="00B375BB"/>
    <w:rsid w:val="00B375C8"/>
    <w:rsid w:val="00B37635"/>
    <w:rsid w:val="00B37651"/>
    <w:rsid w:val="00B37653"/>
    <w:rsid w:val="00B37656"/>
    <w:rsid w:val="00B376D3"/>
    <w:rsid w:val="00B37726"/>
    <w:rsid w:val="00B37743"/>
    <w:rsid w:val="00B3777B"/>
    <w:rsid w:val="00B37797"/>
    <w:rsid w:val="00B377D2"/>
    <w:rsid w:val="00B377FC"/>
    <w:rsid w:val="00B378C6"/>
    <w:rsid w:val="00B378D0"/>
    <w:rsid w:val="00B378FA"/>
    <w:rsid w:val="00B37911"/>
    <w:rsid w:val="00B3791F"/>
    <w:rsid w:val="00B37980"/>
    <w:rsid w:val="00B37A21"/>
    <w:rsid w:val="00B37A24"/>
    <w:rsid w:val="00B37A2E"/>
    <w:rsid w:val="00B37A30"/>
    <w:rsid w:val="00B37A56"/>
    <w:rsid w:val="00B37A8F"/>
    <w:rsid w:val="00B37AE1"/>
    <w:rsid w:val="00B37BA3"/>
    <w:rsid w:val="00B37BE6"/>
    <w:rsid w:val="00B37BFF"/>
    <w:rsid w:val="00B37C14"/>
    <w:rsid w:val="00B37C77"/>
    <w:rsid w:val="00B37CDF"/>
    <w:rsid w:val="00B37D25"/>
    <w:rsid w:val="00B37D5D"/>
    <w:rsid w:val="00B37DC2"/>
    <w:rsid w:val="00B37DC5"/>
    <w:rsid w:val="00B37DF8"/>
    <w:rsid w:val="00B37E2B"/>
    <w:rsid w:val="00B37E57"/>
    <w:rsid w:val="00B37E80"/>
    <w:rsid w:val="00B37E9D"/>
    <w:rsid w:val="00B37EC2"/>
    <w:rsid w:val="00B4008C"/>
    <w:rsid w:val="00B400B9"/>
    <w:rsid w:val="00B400C3"/>
    <w:rsid w:val="00B400DE"/>
    <w:rsid w:val="00B400F9"/>
    <w:rsid w:val="00B4018B"/>
    <w:rsid w:val="00B401A0"/>
    <w:rsid w:val="00B401BF"/>
    <w:rsid w:val="00B401FC"/>
    <w:rsid w:val="00B40253"/>
    <w:rsid w:val="00B402C3"/>
    <w:rsid w:val="00B402E5"/>
    <w:rsid w:val="00B40369"/>
    <w:rsid w:val="00B40378"/>
    <w:rsid w:val="00B403A8"/>
    <w:rsid w:val="00B4042D"/>
    <w:rsid w:val="00B4042F"/>
    <w:rsid w:val="00B40433"/>
    <w:rsid w:val="00B40458"/>
    <w:rsid w:val="00B4046C"/>
    <w:rsid w:val="00B40525"/>
    <w:rsid w:val="00B405B6"/>
    <w:rsid w:val="00B4065D"/>
    <w:rsid w:val="00B406CF"/>
    <w:rsid w:val="00B4071F"/>
    <w:rsid w:val="00B40721"/>
    <w:rsid w:val="00B4072C"/>
    <w:rsid w:val="00B40731"/>
    <w:rsid w:val="00B407AB"/>
    <w:rsid w:val="00B407BC"/>
    <w:rsid w:val="00B407FF"/>
    <w:rsid w:val="00B4081F"/>
    <w:rsid w:val="00B4085C"/>
    <w:rsid w:val="00B408AA"/>
    <w:rsid w:val="00B408EC"/>
    <w:rsid w:val="00B408FD"/>
    <w:rsid w:val="00B409D0"/>
    <w:rsid w:val="00B409F0"/>
    <w:rsid w:val="00B40A10"/>
    <w:rsid w:val="00B40AA4"/>
    <w:rsid w:val="00B40AAB"/>
    <w:rsid w:val="00B40B01"/>
    <w:rsid w:val="00B40B21"/>
    <w:rsid w:val="00B40B32"/>
    <w:rsid w:val="00B40B33"/>
    <w:rsid w:val="00B40B35"/>
    <w:rsid w:val="00B40B37"/>
    <w:rsid w:val="00B40BB1"/>
    <w:rsid w:val="00B40BBB"/>
    <w:rsid w:val="00B40C05"/>
    <w:rsid w:val="00B40CB2"/>
    <w:rsid w:val="00B40CD4"/>
    <w:rsid w:val="00B40CF7"/>
    <w:rsid w:val="00B40D0B"/>
    <w:rsid w:val="00B40D37"/>
    <w:rsid w:val="00B40D3B"/>
    <w:rsid w:val="00B40D6A"/>
    <w:rsid w:val="00B40D7D"/>
    <w:rsid w:val="00B40E34"/>
    <w:rsid w:val="00B40E51"/>
    <w:rsid w:val="00B40E66"/>
    <w:rsid w:val="00B40E7F"/>
    <w:rsid w:val="00B40E9D"/>
    <w:rsid w:val="00B40EAC"/>
    <w:rsid w:val="00B40ED0"/>
    <w:rsid w:val="00B40F11"/>
    <w:rsid w:val="00B40F40"/>
    <w:rsid w:val="00B40F4E"/>
    <w:rsid w:val="00B40F51"/>
    <w:rsid w:val="00B40F59"/>
    <w:rsid w:val="00B40F61"/>
    <w:rsid w:val="00B40F84"/>
    <w:rsid w:val="00B40F89"/>
    <w:rsid w:val="00B40FC8"/>
    <w:rsid w:val="00B41063"/>
    <w:rsid w:val="00B4107F"/>
    <w:rsid w:val="00B410C0"/>
    <w:rsid w:val="00B41125"/>
    <w:rsid w:val="00B41151"/>
    <w:rsid w:val="00B4117F"/>
    <w:rsid w:val="00B411E6"/>
    <w:rsid w:val="00B41221"/>
    <w:rsid w:val="00B4122F"/>
    <w:rsid w:val="00B41274"/>
    <w:rsid w:val="00B412A2"/>
    <w:rsid w:val="00B412A3"/>
    <w:rsid w:val="00B412AD"/>
    <w:rsid w:val="00B412EE"/>
    <w:rsid w:val="00B4130D"/>
    <w:rsid w:val="00B41312"/>
    <w:rsid w:val="00B41319"/>
    <w:rsid w:val="00B413BB"/>
    <w:rsid w:val="00B413BC"/>
    <w:rsid w:val="00B413C1"/>
    <w:rsid w:val="00B413CD"/>
    <w:rsid w:val="00B4143E"/>
    <w:rsid w:val="00B41482"/>
    <w:rsid w:val="00B414D6"/>
    <w:rsid w:val="00B414E4"/>
    <w:rsid w:val="00B414ED"/>
    <w:rsid w:val="00B4150A"/>
    <w:rsid w:val="00B4150D"/>
    <w:rsid w:val="00B415C9"/>
    <w:rsid w:val="00B415F6"/>
    <w:rsid w:val="00B41649"/>
    <w:rsid w:val="00B4165C"/>
    <w:rsid w:val="00B41698"/>
    <w:rsid w:val="00B416BE"/>
    <w:rsid w:val="00B416C6"/>
    <w:rsid w:val="00B416C8"/>
    <w:rsid w:val="00B416D3"/>
    <w:rsid w:val="00B416E2"/>
    <w:rsid w:val="00B4170B"/>
    <w:rsid w:val="00B41719"/>
    <w:rsid w:val="00B41726"/>
    <w:rsid w:val="00B4179C"/>
    <w:rsid w:val="00B4179F"/>
    <w:rsid w:val="00B417AC"/>
    <w:rsid w:val="00B41816"/>
    <w:rsid w:val="00B4182C"/>
    <w:rsid w:val="00B41864"/>
    <w:rsid w:val="00B418DC"/>
    <w:rsid w:val="00B418E9"/>
    <w:rsid w:val="00B41909"/>
    <w:rsid w:val="00B4190F"/>
    <w:rsid w:val="00B41969"/>
    <w:rsid w:val="00B41980"/>
    <w:rsid w:val="00B41991"/>
    <w:rsid w:val="00B41993"/>
    <w:rsid w:val="00B419BF"/>
    <w:rsid w:val="00B419C5"/>
    <w:rsid w:val="00B419E7"/>
    <w:rsid w:val="00B419F4"/>
    <w:rsid w:val="00B419F5"/>
    <w:rsid w:val="00B41A79"/>
    <w:rsid w:val="00B41A80"/>
    <w:rsid w:val="00B41A93"/>
    <w:rsid w:val="00B41AFB"/>
    <w:rsid w:val="00B41BA8"/>
    <w:rsid w:val="00B41BEA"/>
    <w:rsid w:val="00B41BF9"/>
    <w:rsid w:val="00B41D2A"/>
    <w:rsid w:val="00B41DE8"/>
    <w:rsid w:val="00B41E31"/>
    <w:rsid w:val="00B41E79"/>
    <w:rsid w:val="00B41EBC"/>
    <w:rsid w:val="00B41ECC"/>
    <w:rsid w:val="00B41F4B"/>
    <w:rsid w:val="00B41F87"/>
    <w:rsid w:val="00B41FD2"/>
    <w:rsid w:val="00B42009"/>
    <w:rsid w:val="00B42079"/>
    <w:rsid w:val="00B420CC"/>
    <w:rsid w:val="00B42132"/>
    <w:rsid w:val="00B421B6"/>
    <w:rsid w:val="00B421E6"/>
    <w:rsid w:val="00B421E8"/>
    <w:rsid w:val="00B421F0"/>
    <w:rsid w:val="00B42256"/>
    <w:rsid w:val="00B422B6"/>
    <w:rsid w:val="00B422BA"/>
    <w:rsid w:val="00B422E4"/>
    <w:rsid w:val="00B42373"/>
    <w:rsid w:val="00B423A3"/>
    <w:rsid w:val="00B423BD"/>
    <w:rsid w:val="00B4243F"/>
    <w:rsid w:val="00B42479"/>
    <w:rsid w:val="00B4247E"/>
    <w:rsid w:val="00B424B3"/>
    <w:rsid w:val="00B424BA"/>
    <w:rsid w:val="00B424F2"/>
    <w:rsid w:val="00B42505"/>
    <w:rsid w:val="00B425DA"/>
    <w:rsid w:val="00B425E1"/>
    <w:rsid w:val="00B425E7"/>
    <w:rsid w:val="00B4262A"/>
    <w:rsid w:val="00B4262C"/>
    <w:rsid w:val="00B42652"/>
    <w:rsid w:val="00B42669"/>
    <w:rsid w:val="00B4268B"/>
    <w:rsid w:val="00B4269B"/>
    <w:rsid w:val="00B426A6"/>
    <w:rsid w:val="00B426D6"/>
    <w:rsid w:val="00B426EB"/>
    <w:rsid w:val="00B426FE"/>
    <w:rsid w:val="00B4271C"/>
    <w:rsid w:val="00B4273E"/>
    <w:rsid w:val="00B4274B"/>
    <w:rsid w:val="00B42753"/>
    <w:rsid w:val="00B427B7"/>
    <w:rsid w:val="00B427DB"/>
    <w:rsid w:val="00B427E4"/>
    <w:rsid w:val="00B427F2"/>
    <w:rsid w:val="00B42848"/>
    <w:rsid w:val="00B42872"/>
    <w:rsid w:val="00B42880"/>
    <w:rsid w:val="00B428A3"/>
    <w:rsid w:val="00B428A6"/>
    <w:rsid w:val="00B428A9"/>
    <w:rsid w:val="00B428AF"/>
    <w:rsid w:val="00B428C2"/>
    <w:rsid w:val="00B42904"/>
    <w:rsid w:val="00B4299C"/>
    <w:rsid w:val="00B42A08"/>
    <w:rsid w:val="00B42A1B"/>
    <w:rsid w:val="00B42A66"/>
    <w:rsid w:val="00B42A77"/>
    <w:rsid w:val="00B42A78"/>
    <w:rsid w:val="00B42AA2"/>
    <w:rsid w:val="00B42B8B"/>
    <w:rsid w:val="00B42B98"/>
    <w:rsid w:val="00B42BCF"/>
    <w:rsid w:val="00B42BED"/>
    <w:rsid w:val="00B42BFD"/>
    <w:rsid w:val="00B42C07"/>
    <w:rsid w:val="00B42C18"/>
    <w:rsid w:val="00B42C43"/>
    <w:rsid w:val="00B42C83"/>
    <w:rsid w:val="00B42CAC"/>
    <w:rsid w:val="00B42CC2"/>
    <w:rsid w:val="00B42DB0"/>
    <w:rsid w:val="00B42DD0"/>
    <w:rsid w:val="00B42DDC"/>
    <w:rsid w:val="00B42DF8"/>
    <w:rsid w:val="00B42E6C"/>
    <w:rsid w:val="00B42E7D"/>
    <w:rsid w:val="00B42E9B"/>
    <w:rsid w:val="00B42EFB"/>
    <w:rsid w:val="00B42EFD"/>
    <w:rsid w:val="00B42F23"/>
    <w:rsid w:val="00B42F2E"/>
    <w:rsid w:val="00B42F53"/>
    <w:rsid w:val="00B42F72"/>
    <w:rsid w:val="00B42F8C"/>
    <w:rsid w:val="00B42FD6"/>
    <w:rsid w:val="00B43059"/>
    <w:rsid w:val="00B43098"/>
    <w:rsid w:val="00B430F4"/>
    <w:rsid w:val="00B4313E"/>
    <w:rsid w:val="00B431F1"/>
    <w:rsid w:val="00B4320D"/>
    <w:rsid w:val="00B4324A"/>
    <w:rsid w:val="00B4328B"/>
    <w:rsid w:val="00B4328E"/>
    <w:rsid w:val="00B432EE"/>
    <w:rsid w:val="00B43320"/>
    <w:rsid w:val="00B4337F"/>
    <w:rsid w:val="00B433FD"/>
    <w:rsid w:val="00B4340D"/>
    <w:rsid w:val="00B4346B"/>
    <w:rsid w:val="00B43509"/>
    <w:rsid w:val="00B4352E"/>
    <w:rsid w:val="00B43592"/>
    <w:rsid w:val="00B435AC"/>
    <w:rsid w:val="00B4361C"/>
    <w:rsid w:val="00B43625"/>
    <w:rsid w:val="00B43639"/>
    <w:rsid w:val="00B43640"/>
    <w:rsid w:val="00B43644"/>
    <w:rsid w:val="00B4365F"/>
    <w:rsid w:val="00B4366F"/>
    <w:rsid w:val="00B43694"/>
    <w:rsid w:val="00B43695"/>
    <w:rsid w:val="00B436EE"/>
    <w:rsid w:val="00B43711"/>
    <w:rsid w:val="00B43756"/>
    <w:rsid w:val="00B43780"/>
    <w:rsid w:val="00B437EF"/>
    <w:rsid w:val="00B43813"/>
    <w:rsid w:val="00B43816"/>
    <w:rsid w:val="00B4382F"/>
    <w:rsid w:val="00B43873"/>
    <w:rsid w:val="00B43890"/>
    <w:rsid w:val="00B438D6"/>
    <w:rsid w:val="00B438FD"/>
    <w:rsid w:val="00B43909"/>
    <w:rsid w:val="00B43916"/>
    <w:rsid w:val="00B43965"/>
    <w:rsid w:val="00B43967"/>
    <w:rsid w:val="00B439BD"/>
    <w:rsid w:val="00B439DB"/>
    <w:rsid w:val="00B43A65"/>
    <w:rsid w:val="00B43AFF"/>
    <w:rsid w:val="00B43B0D"/>
    <w:rsid w:val="00B43B63"/>
    <w:rsid w:val="00B43B69"/>
    <w:rsid w:val="00B43B78"/>
    <w:rsid w:val="00B43B7F"/>
    <w:rsid w:val="00B43B94"/>
    <w:rsid w:val="00B43B9F"/>
    <w:rsid w:val="00B43BA4"/>
    <w:rsid w:val="00B43BD5"/>
    <w:rsid w:val="00B43C21"/>
    <w:rsid w:val="00B43C4E"/>
    <w:rsid w:val="00B43C60"/>
    <w:rsid w:val="00B43CA0"/>
    <w:rsid w:val="00B43CBF"/>
    <w:rsid w:val="00B43D03"/>
    <w:rsid w:val="00B43D1C"/>
    <w:rsid w:val="00B43D4B"/>
    <w:rsid w:val="00B43D95"/>
    <w:rsid w:val="00B43DF2"/>
    <w:rsid w:val="00B43DFC"/>
    <w:rsid w:val="00B43E7D"/>
    <w:rsid w:val="00B43EF4"/>
    <w:rsid w:val="00B43EF5"/>
    <w:rsid w:val="00B43F6A"/>
    <w:rsid w:val="00B43F9D"/>
    <w:rsid w:val="00B44037"/>
    <w:rsid w:val="00B44072"/>
    <w:rsid w:val="00B440B6"/>
    <w:rsid w:val="00B440DD"/>
    <w:rsid w:val="00B4413B"/>
    <w:rsid w:val="00B4419A"/>
    <w:rsid w:val="00B44200"/>
    <w:rsid w:val="00B4421D"/>
    <w:rsid w:val="00B4423A"/>
    <w:rsid w:val="00B442C0"/>
    <w:rsid w:val="00B44368"/>
    <w:rsid w:val="00B44380"/>
    <w:rsid w:val="00B443EE"/>
    <w:rsid w:val="00B44452"/>
    <w:rsid w:val="00B444BE"/>
    <w:rsid w:val="00B444F0"/>
    <w:rsid w:val="00B44530"/>
    <w:rsid w:val="00B44590"/>
    <w:rsid w:val="00B445CD"/>
    <w:rsid w:val="00B44608"/>
    <w:rsid w:val="00B44631"/>
    <w:rsid w:val="00B44658"/>
    <w:rsid w:val="00B44668"/>
    <w:rsid w:val="00B44697"/>
    <w:rsid w:val="00B446A1"/>
    <w:rsid w:val="00B446C8"/>
    <w:rsid w:val="00B44710"/>
    <w:rsid w:val="00B4475A"/>
    <w:rsid w:val="00B4478B"/>
    <w:rsid w:val="00B447A1"/>
    <w:rsid w:val="00B447BE"/>
    <w:rsid w:val="00B44843"/>
    <w:rsid w:val="00B448C5"/>
    <w:rsid w:val="00B448D4"/>
    <w:rsid w:val="00B4493F"/>
    <w:rsid w:val="00B44993"/>
    <w:rsid w:val="00B449F0"/>
    <w:rsid w:val="00B44A16"/>
    <w:rsid w:val="00B44A3B"/>
    <w:rsid w:val="00B44A52"/>
    <w:rsid w:val="00B44A5F"/>
    <w:rsid w:val="00B44A70"/>
    <w:rsid w:val="00B44B0E"/>
    <w:rsid w:val="00B44BA5"/>
    <w:rsid w:val="00B44C33"/>
    <w:rsid w:val="00B44C4B"/>
    <w:rsid w:val="00B44D0F"/>
    <w:rsid w:val="00B44D54"/>
    <w:rsid w:val="00B44D7E"/>
    <w:rsid w:val="00B44D8D"/>
    <w:rsid w:val="00B44E44"/>
    <w:rsid w:val="00B44E65"/>
    <w:rsid w:val="00B44E67"/>
    <w:rsid w:val="00B44E91"/>
    <w:rsid w:val="00B44EA3"/>
    <w:rsid w:val="00B44EB9"/>
    <w:rsid w:val="00B44ECB"/>
    <w:rsid w:val="00B44EF4"/>
    <w:rsid w:val="00B44EFA"/>
    <w:rsid w:val="00B44F60"/>
    <w:rsid w:val="00B44F84"/>
    <w:rsid w:val="00B44FE4"/>
    <w:rsid w:val="00B44FF0"/>
    <w:rsid w:val="00B45000"/>
    <w:rsid w:val="00B45038"/>
    <w:rsid w:val="00B4507D"/>
    <w:rsid w:val="00B450BD"/>
    <w:rsid w:val="00B450E3"/>
    <w:rsid w:val="00B450EC"/>
    <w:rsid w:val="00B4518D"/>
    <w:rsid w:val="00B451C1"/>
    <w:rsid w:val="00B451E3"/>
    <w:rsid w:val="00B4522E"/>
    <w:rsid w:val="00B45255"/>
    <w:rsid w:val="00B45284"/>
    <w:rsid w:val="00B452B6"/>
    <w:rsid w:val="00B4532F"/>
    <w:rsid w:val="00B45343"/>
    <w:rsid w:val="00B453B0"/>
    <w:rsid w:val="00B453B7"/>
    <w:rsid w:val="00B453C3"/>
    <w:rsid w:val="00B45406"/>
    <w:rsid w:val="00B45485"/>
    <w:rsid w:val="00B45486"/>
    <w:rsid w:val="00B454BC"/>
    <w:rsid w:val="00B454C0"/>
    <w:rsid w:val="00B454CD"/>
    <w:rsid w:val="00B454DC"/>
    <w:rsid w:val="00B454F2"/>
    <w:rsid w:val="00B45596"/>
    <w:rsid w:val="00B455C7"/>
    <w:rsid w:val="00B455FA"/>
    <w:rsid w:val="00B45681"/>
    <w:rsid w:val="00B45696"/>
    <w:rsid w:val="00B45753"/>
    <w:rsid w:val="00B45771"/>
    <w:rsid w:val="00B4578A"/>
    <w:rsid w:val="00B457D1"/>
    <w:rsid w:val="00B45813"/>
    <w:rsid w:val="00B4582A"/>
    <w:rsid w:val="00B4584D"/>
    <w:rsid w:val="00B4587A"/>
    <w:rsid w:val="00B458EE"/>
    <w:rsid w:val="00B459D4"/>
    <w:rsid w:val="00B459FB"/>
    <w:rsid w:val="00B45A56"/>
    <w:rsid w:val="00B45A93"/>
    <w:rsid w:val="00B45AE5"/>
    <w:rsid w:val="00B45B3E"/>
    <w:rsid w:val="00B45B41"/>
    <w:rsid w:val="00B45BE5"/>
    <w:rsid w:val="00B45BF3"/>
    <w:rsid w:val="00B45BF4"/>
    <w:rsid w:val="00B45BFE"/>
    <w:rsid w:val="00B45C86"/>
    <w:rsid w:val="00B45C89"/>
    <w:rsid w:val="00B45CDA"/>
    <w:rsid w:val="00B45D12"/>
    <w:rsid w:val="00B45D26"/>
    <w:rsid w:val="00B45D51"/>
    <w:rsid w:val="00B45D93"/>
    <w:rsid w:val="00B45DAF"/>
    <w:rsid w:val="00B45DBF"/>
    <w:rsid w:val="00B45DD5"/>
    <w:rsid w:val="00B45E28"/>
    <w:rsid w:val="00B45E2F"/>
    <w:rsid w:val="00B45E9C"/>
    <w:rsid w:val="00B45ED0"/>
    <w:rsid w:val="00B45EDC"/>
    <w:rsid w:val="00B45F06"/>
    <w:rsid w:val="00B45F0D"/>
    <w:rsid w:val="00B45F2D"/>
    <w:rsid w:val="00B45F35"/>
    <w:rsid w:val="00B45FCF"/>
    <w:rsid w:val="00B46005"/>
    <w:rsid w:val="00B46070"/>
    <w:rsid w:val="00B460D3"/>
    <w:rsid w:val="00B460E8"/>
    <w:rsid w:val="00B460FA"/>
    <w:rsid w:val="00B46134"/>
    <w:rsid w:val="00B4613E"/>
    <w:rsid w:val="00B46155"/>
    <w:rsid w:val="00B46166"/>
    <w:rsid w:val="00B46187"/>
    <w:rsid w:val="00B46247"/>
    <w:rsid w:val="00B462C3"/>
    <w:rsid w:val="00B46320"/>
    <w:rsid w:val="00B46330"/>
    <w:rsid w:val="00B4634A"/>
    <w:rsid w:val="00B46361"/>
    <w:rsid w:val="00B46386"/>
    <w:rsid w:val="00B463A3"/>
    <w:rsid w:val="00B463FE"/>
    <w:rsid w:val="00B46404"/>
    <w:rsid w:val="00B4645E"/>
    <w:rsid w:val="00B46463"/>
    <w:rsid w:val="00B4648F"/>
    <w:rsid w:val="00B46491"/>
    <w:rsid w:val="00B464A5"/>
    <w:rsid w:val="00B464F2"/>
    <w:rsid w:val="00B464FA"/>
    <w:rsid w:val="00B4650D"/>
    <w:rsid w:val="00B46544"/>
    <w:rsid w:val="00B4657B"/>
    <w:rsid w:val="00B465CB"/>
    <w:rsid w:val="00B465E1"/>
    <w:rsid w:val="00B465F7"/>
    <w:rsid w:val="00B4662B"/>
    <w:rsid w:val="00B4664E"/>
    <w:rsid w:val="00B46661"/>
    <w:rsid w:val="00B46675"/>
    <w:rsid w:val="00B466B5"/>
    <w:rsid w:val="00B46735"/>
    <w:rsid w:val="00B4685A"/>
    <w:rsid w:val="00B4687D"/>
    <w:rsid w:val="00B468EB"/>
    <w:rsid w:val="00B46903"/>
    <w:rsid w:val="00B46931"/>
    <w:rsid w:val="00B46954"/>
    <w:rsid w:val="00B46963"/>
    <w:rsid w:val="00B469AA"/>
    <w:rsid w:val="00B46A7D"/>
    <w:rsid w:val="00B46A84"/>
    <w:rsid w:val="00B46B02"/>
    <w:rsid w:val="00B46B15"/>
    <w:rsid w:val="00B46B42"/>
    <w:rsid w:val="00B46B5D"/>
    <w:rsid w:val="00B46B87"/>
    <w:rsid w:val="00B46BA9"/>
    <w:rsid w:val="00B46BEC"/>
    <w:rsid w:val="00B46BF9"/>
    <w:rsid w:val="00B46CB1"/>
    <w:rsid w:val="00B46CBE"/>
    <w:rsid w:val="00B46D0F"/>
    <w:rsid w:val="00B46D61"/>
    <w:rsid w:val="00B46D75"/>
    <w:rsid w:val="00B46D84"/>
    <w:rsid w:val="00B46D87"/>
    <w:rsid w:val="00B46DD5"/>
    <w:rsid w:val="00B46DDB"/>
    <w:rsid w:val="00B46E52"/>
    <w:rsid w:val="00B46E5F"/>
    <w:rsid w:val="00B46E70"/>
    <w:rsid w:val="00B46F00"/>
    <w:rsid w:val="00B46F18"/>
    <w:rsid w:val="00B46F1D"/>
    <w:rsid w:val="00B46F24"/>
    <w:rsid w:val="00B46F29"/>
    <w:rsid w:val="00B46F56"/>
    <w:rsid w:val="00B46F5C"/>
    <w:rsid w:val="00B46F70"/>
    <w:rsid w:val="00B46F73"/>
    <w:rsid w:val="00B46FED"/>
    <w:rsid w:val="00B4700E"/>
    <w:rsid w:val="00B47012"/>
    <w:rsid w:val="00B47058"/>
    <w:rsid w:val="00B4706D"/>
    <w:rsid w:val="00B47079"/>
    <w:rsid w:val="00B47080"/>
    <w:rsid w:val="00B470AB"/>
    <w:rsid w:val="00B4717C"/>
    <w:rsid w:val="00B471DA"/>
    <w:rsid w:val="00B471DD"/>
    <w:rsid w:val="00B471ED"/>
    <w:rsid w:val="00B47204"/>
    <w:rsid w:val="00B47221"/>
    <w:rsid w:val="00B47227"/>
    <w:rsid w:val="00B47252"/>
    <w:rsid w:val="00B4725C"/>
    <w:rsid w:val="00B4728E"/>
    <w:rsid w:val="00B472A7"/>
    <w:rsid w:val="00B472C3"/>
    <w:rsid w:val="00B472DD"/>
    <w:rsid w:val="00B472F2"/>
    <w:rsid w:val="00B47321"/>
    <w:rsid w:val="00B47366"/>
    <w:rsid w:val="00B47374"/>
    <w:rsid w:val="00B47375"/>
    <w:rsid w:val="00B4737B"/>
    <w:rsid w:val="00B473B0"/>
    <w:rsid w:val="00B473DA"/>
    <w:rsid w:val="00B473F3"/>
    <w:rsid w:val="00B473F5"/>
    <w:rsid w:val="00B47438"/>
    <w:rsid w:val="00B47455"/>
    <w:rsid w:val="00B47484"/>
    <w:rsid w:val="00B474FC"/>
    <w:rsid w:val="00B47567"/>
    <w:rsid w:val="00B47597"/>
    <w:rsid w:val="00B47599"/>
    <w:rsid w:val="00B4767C"/>
    <w:rsid w:val="00B47691"/>
    <w:rsid w:val="00B47699"/>
    <w:rsid w:val="00B4770A"/>
    <w:rsid w:val="00B47735"/>
    <w:rsid w:val="00B477D7"/>
    <w:rsid w:val="00B47884"/>
    <w:rsid w:val="00B4789F"/>
    <w:rsid w:val="00B478B8"/>
    <w:rsid w:val="00B478C7"/>
    <w:rsid w:val="00B47907"/>
    <w:rsid w:val="00B4792B"/>
    <w:rsid w:val="00B47975"/>
    <w:rsid w:val="00B479E0"/>
    <w:rsid w:val="00B47A1B"/>
    <w:rsid w:val="00B47A34"/>
    <w:rsid w:val="00B47A74"/>
    <w:rsid w:val="00B47A8A"/>
    <w:rsid w:val="00B47B48"/>
    <w:rsid w:val="00B47B80"/>
    <w:rsid w:val="00B47B88"/>
    <w:rsid w:val="00B47B89"/>
    <w:rsid w:val="00B47BCF"/>
    <w:rsid w:val="00B47BDE"/>
    <w:rsid w:val="00B47BE0"/>
    <w:rsid w:val="00B47C63"/>
    <w:rsid w:val="00B47C75"/>
    <w:rsid w:val="00B47C7A"/>
    <w:rsid w:val="00B47CC0"/>
    <w:rsid w:val="00B47CC5"/>
    <w:rsid w:val="00B47D00"/>
    <w:rsid w:val="00B47D07"/>
    <w:rsid w:val="00B47D21"/>
    <w:rsid w:val="00B47D7D"/>
    <w:rsid w:val="00B47DD6"/>
    <w:rsid w:val="00B47DF8"/>
    <w:rsid w:val="00B47DFC"/>
    <w:rsid w:val="00B47E42"/>
    <w:rsid w:val="00B47F3B"/>
    <w:rsid w:val="00B47F89"/>
    <w:rsid w:val="00B47FAB"/>
    <w:rsid w:val="00B50021"/>
    <w:rsid w:val="00B50042"/>
    <w:rsid w:val="00B5005B"/>
    <w:rsid w:val="00B5014D"/>
    <w:rsid w:val="00B501E4"/>
    <w:rsid w:val="00B50215"/>
    <w:rsid w:val="00B50258"/>
    <w:rsid w:val="00B5029C"/>
    <w:rsid w:val="00B502B5"/>
    <w:rsid w:val="00B5036F"/>
    <w:rsid w:val="00B50394"/>
    <w:rsid w:val="00B5044B"/>
    <w:rsid w:val="00B5047D"/>
    <w:rsid w:val="00B5050D"/>
    <w:rsid w:val="00B50546"/>
    <w:rsid w:val="00B50556"/>
    <w:rsid w:val="00B505AE"/>
    <w:rsid w:val="00B505CF"/>
    <w:rsid w:val="00B5062A"/>
    <w:rsid w:val="00B5065F"/>
    <w:rsid w:val="00B50689"/>
    <w:rsid w:val="00B506B4"/>
    <w:rsid w:val="00B50719"/>
    <w:rsid w:val="00B5076C"/>
    <w:rsid w:val="00B507E3"/>
    <w:rsid w:val="00B507F2"/>
    <w:rsid w:val="00B507F3"/>
    <w:rsid w:val="00B50803"/>
    <w:rsid w:val="00B5087D"/>
    <w:rsid w:val="00B50932"/>
    <w:rsid w:val="00B509BD"/>
    <w:rsid w:val="00B50A35"/>
    <w:rsid w:val="00B50A86"/>
    <w:rsid w:val="00B50A9A"/>
    <w:rsid w:val="00B50AB9"/>
    <w:rsid w:val="00B50ACD"/>
    <w:rsid w:val="00B50AE0"/>
    <w:rsid w:val="00B50B22"/>
    <w:rsid w:val="00B50B25"/>
    <w:rsid w:val="00B50BC7"/>
    <w:rsid w:val="00B50C09"/>
    <w:rsid w:val="00B50C0E"/>
    <w:rsid w:val="00B50C7D"/>
    <w:rsid w:val="00B50C86"/>
    <w:rsid w:val="00B50C8E"/>
    <w:rsid w:val="00B50C9F"/>
    <w:rsid w:val="00B50CAC"/>
    <w:rsid w:val="00B50CC0"/>
    <w:rsid w:val="00B50CF4"/>
    <w:rsid w:val="00B50D27"/>
    <w:rsid w:val="00B50DAD"/>
    <w:rsid w:val="00B50E28"/>
    <w:rsid w:val="00B50E3E"/>
    <w:rsid w:val="00B50E86"/>
    <w:rsid w:val="00B50E9E"/>
    <w:rsid w:val="00B50EB5"/>
    <w:rsid w:val="00B50F21"/>
    <w:rsid w:val="00B50F70"/>
    <w:rsid w:val="00B51011"/>
    <w:rsid w:val="00B51087"/>
    <w:rsid w:val="00B510C9"/>
    <w:rsid w:val="00B510D5"/>
    <w:rsid w:val="00B51150"/>
    <w:rsid w:val="00B51161"/>
    <w:rsid w:val="00B51184"/>
    <w:rsid w:val="00B51185"/>
    <w:rsid w:val="00B511ED"/>
    <w:rsid w:val="00B51247"/>
    <w:rsid w:val="00B51267"/>
    <w:rsid w:val="00B512B2"/>
    <w:rsid w:val="00B512C4"/>
    <w:rsid w:val="00B512D5"/>
    <w:rsid w:val="00B512FF"/>
    <w:rsid w:val="00B51312"/>
    <w:rsid w:val="00B51334"/>
    <w:rsid w:val="00B513E7"/>
    <w:rsid w:val="00B51448"/>
    <w:rsid w:val="00B51465"/>
    <w:rsid w:val="00B5155D"/>
    <w:rsid w:val="00B51571"/>
    <w:rsid w:val="00B515E2"/>
    <w:rsid w:val="00B516BC"/>
    <w:rsid w:val="00B516C0"/>
    <w:rsid w:val="00B516D4"/>
    <w:rsid w:val="00B516DF"/>
    <w:rsid w:val="00B516FE"/>
    <w:rsid w:val="00B51770"/>
    <w:rsid w:val="00B517AA"/>
    <w:rsid w:val="00B517C4"/>
    <w:rsid w:val="00B517D1"/>
    <w:rsid w:val="00B51807"/>
    <w:rsid w:val="00B5184C"/>
    <w:rsid w:val="00B51885"/>
    <w:rsid w:val="00B5192E"/>
    <w:rsid w:val="00B5195E"/>
    <w:rsid w:val="00B5197D"/>
    <w:rsid w:val="00B51987"/>
    <w:rsid w:val="00B519AB"/>
    <w:rsid w:val="00B519D4"/>
    <w:rsid w:val="00B51A30"/>
    <w:rsid w:val="00B51A35"/>
    <w:rsid w:val="00B51A49"/>
    <w:rsid w:val="00B51A7F"/>
    <w:rsid w:val="00B51BB0"/>
    <w:rsid w:val="00B51BBD"/>
    <w:rsid w:val="00B51BE2"/>
    <w:rsid w:val="00B51C40"/>
    <w:rsid w:val="00B51D78"/>
    <w:rsid w:val="00B51D88"/>
    <w:rsid w:val="00B51E06"/>
    <w:rsid w:val="00B51F27"/>
    <w:rsid w:val="00B51F4B"/>
    <w:rsid w:val="00B51F52"/>
    <w:rsid w:val="00B51F95"/>
    <w:rsid w:val="00B51FB9"/>
    <w:rsid w:val="00B51FBB"/>
    <w:rsid w:val="00B51FEA"/>
    <w:rsid w:val="00B51FF2"/>
    <w:rsid w:val="00B5201C"/>
    <w:rsid w:val="00B5203F"/>
    <w:rsid w:val="00B52066"/>
    <w:rsid w:val="00B52110"/>
    <w:rsid w:val="00B52116"/>
    <w:rsid w:val="00B52137"/>
    <w:rsid w:val="00B5213F"/>
    <w:rsid w:val="00B521B1"/>
    <w:rsid w:val="00B521B5"/>
    <w:rsid w:val="00B52240"/>
    <w:rsid w:val="00B52249"/>
    <w:rsid w:val="00B5227C"/>
    <w:rsid w:val="00B5229D"/>
    <w:rsid w:val="00B522A6"/>
    <w:rsid w:val="00B522BD"/>
    <w:rsid w:val="00B522DE"/>
    <w:rsid w:val="00B522E5"/>
    <w:rsid w:val="00B5233A"/>
    <w:rsid w:val="00B523AB"/>
    <w:rsid w:val="00B523FB"/>
    <w:rsid w:val="00B5240B"/>
    <w:rsid w:val="00B52453"/>
    <w:rsid w:val="00B52490"/>
    <w:rsid w:val="00B524BF"/>
    <w:rsid w:val="00B5250A"/>
    <w:rsid w:val="00B52512"/>
    <w:rsid w:val="00B5253D"/>
    <w:rsid w:val="00B52558"/>
    <w:rsid w:val="00B525BE"/>
    <w:rsid w:val="00B525EE"/>
    <w:rsid w:val="00B525F6"/>
    <w:rsid w:val="00B52706"/>
    <w:rsid w:val="00B5272F"/>
    <w:rsid w:val="00B52798"/>
    <w:rsid w:val="00B527D6"/>
    <w:rsid w:val="00B527F3"/>
    <w:rsid w:val="00B5281E"/>
    <w:rsid w:val="00B52824"/>
    <w:rsid w:val="00B52828"/>
    <w:rsid w:val="00B5291F"/>
    <w:rsid w:val="00B5293B"/>
    <w:rsid w:val="00B5293F"/>
    <w:rsid w:val="00B52997"/>
    <w:rsid w:val="00B529F7"/>
    <w:rsid w:val="00B52A23"/>
    <w:rsid w:val="00B52A59"/>
    <w:rsid w:val="00B52A80"/>
    <w:rsid w:val="00B52A9E"/>
    <w:rsid w:val="00B52AAE"/>
    <w:rsid w:val="00B52AB2"/>
    <w:rsid w:val="00B52ACD"/>
    <w:rsid w:val="00B52B0C"/>
    <w:rsid w:val="00B52B4D"/>
    <w:rsid w:val="00B52C29"/>
    <w:rsid w:val="00B52C4F"/>
    <w:rsid w:val="00B52C58"/>
    <w:rsid w:val="00B52C72"/>
    <w:rsid w:val="00B52CAC"/>
    <w:rsid w:val="00B52CBC"/>
    <w:rsid w:val="00B52CE2"/>
    <w:rsid w:val="00B52CF0"/>
    <w:rsid w:val="00B52D16"/>
    <w:rsid w:val="00B52D48"/>
    <w:rsid w:val="00B52D71"/>
    <w:rsid w:val="00B52D81"/>
    <w:rsid w:val="00B52DC1"/>
    <w:rsid w:val="00B52DFD"/>
    <w:rsid w:val="00B52F20"/>
    <w:rsid w:val="00B52F3D"/>
    <w:rsid w:val="00B52F4C"/>
    <w:rsid w:val="00B52F56"/>
    <w:rsid w:val="00B52F68"/>
    <w:rsid w:val="00B52FEF"/>
    <w:rsid w:val="00B53001"/>
    <w:rsid w:val="00B53030"/>
    <w:rsid w:val="00B53049"/>
    <w:rsid w:val="00B53060"/>
    <w:rsid w:val="00B53078"/>
    <w:rsid w:val="00B530A9"/>
    <w:rsid w:val="00B530C9"/>
    <w:rsid w:val="00B5310B"/>
    <w:rsid w:val="00B5314B"/>
    <w:rsid w:val="00B53160"/>
    <w:rsid w:val="00B53219"/>
    <w:rsid w:val="00B53299"/>
    <w:rsid w:val="00B532D4"/>
    <w:rsid w:val="00B53303"/>
    <w:rsid w:val="00B53347"/>
    <w:rsid w:val="00B53387"/>
    <w:rsid w:val="00B5346E"/>
    <w:rsid w:val="00B534A4"/>
    <w:rsid w:val="00B534C9"/>
    <w:rsid w:val="00B534EB"/>
    <w:rsid w:val="00B53527"/>
    <w:rsid w:val="00B53536"/>
    <w:rsid w:val="00B53556"/>
    <w:rsid w:val="00B535D8"/>
    <w:rsid w:val="00B535E5"/>
    <w:rsid w:val="00B53646"/>
    <w:rsid w:val="00B536B1"/>
    <w:rsid w:val="00B536C9"/>
    <w:rsid w:val="00B536E3"/>
    <w:rsid w:val="00B536ED"/>
    <w:rsid w:val="00B53710"/>
    <w:rsid w:val="00B53788"/>
    <w:rsid w:val="00B53794"/>
    <w:rsid w:val="00B5379C"/>
    <w:rsid w:val="00B537C9"/>
    <w:rsid w:val="00B537D3"/>
    <w:rsid w:val="00B53827"/>
    <w:rsid w:val="00B538B9"/>
    <w:rsid w:val="00B538F3"/>
    <w:rsid w:val="00B5393C"/>
    <w:rsid w:val="00B53943"/>
    <w:rsid w:val="00B53965"/>
    <w:rsid w:val="00B539BA"/>
    <w:rsid w:val="00B539CE"/>
    <w:rsid w:val="00B539FA"/>
    <w:rsid w:val="00B53A0B"/>
    <w:rsid w:val="00B53A50"/>
    <w:rsid w:val="00B53A7A"/>
    <w:rsid w:val="00B53A93"/>
    <w:rsid w:val="00B53A9D"/>
    <w:rsid w:val="00B53AE8"/>
    <w:rsid w:val="00B53B02"/>
    <w:rsid w:val="00B53B73"/>
    <w:rsid w:val="00B53BCC"/>
    <w:rsid w:val="00B53BE1"/>
    <w:rsid w:val="00B53C70"/>
    <w:rsid w:val="00B53C73"/>
    <w:rsid w:val="00B53CC3"/>
    <w:rsid w:val="00B53D0A"/>
    <w:rsid w:val="00B53D4D"/>
    <w:rsid w:val="00B53D83"/>
    <w:rsid w:val="00B53DCA"/>
    <w:rsid w:val="00B53DFD"/>
    <w:rsid w:val="00B53E10"/>
    <w:rsid w:val="00B53E1E"/>
    <w:rsid w:val="00B53E24"/>
    <w:rsid w:val="00B53E7F"/>
    <w:rsid w:val="00B53E8F"/>
    <w:rsid w:val="00B53EE8"/>
    <w:rsid w:val="00B53EF2"/>
    <w:rsid w:val="00B53F26"/>
    <w:rsid w:val="00B53F2A"/>
    <w:rsid w:val="00B53F5E"/>
    <w:rsid w:val="00B54017"/>
    <w:rsid w:val="00B54024"/>
    <w:rsid w:val="00B540C1"/>
    <w:rsid w:val="00B540CC"/>
    <w:rsid w:val="00B54134"/>
    <w:rsid w:val="00B541A4"/>
    <w:rsid w:val="00B54217"/>
    <w:rsid w:val="00B5424C"/>
    <w:rsid w:val="00B54297"/>
    <w:rsid w:val="00B542BF"/>
    <w:rsid w:val="00B542D5"/>
    <w:rsid w:val="00B5430D"/>
    <w:rsid w:val="00B54318"/>
    <w:rsid w:val="00B543E8"/>
    <w:rsid w:val="00B5445A"/>
    <w:rsid w:val="00B54484"/>
    <w:rsid w:val="00B544A4"/>
    <w:rsid w:val="00B544BB"/>
    <w:rsid w:val="00B544D6"/>
    <w:rsid w:val="00B5452C"/>
    <w:rsid w:val="00B54537"/>
    <w:rsid w:val="00B54543"/>
    <w:rsid w:val="00B54553"/>
    <w:rsid w:val="00B54560"/>
    <w:rsid w:val="00B5457C"/>
    <w:rsid w:val="00B54661"/>
    <w:rsid w:val="00B546A0"/>
    <w:rsid w:val="00B546D5"/>
    <w:rsid w:val="00B546EA"/>
    <w:rsid w:val="00B546F2"/>
    <w:rsid w:val="00B54744"/>
    <w:rsid w:val="00B5479C"/>
    <w:rsid w:val="00B54846"/>
    <w:rsid w:val="00B54847"/>
    <w:rsid w:val="00B5487C"/>
    <w:rsid w:val="00B5489B"/>
    <w:rsid w:val="00B54922"/>
    <w:rsid w:val="00B549B5"/>
    <w:rsid w:val="00B54A0C"/>
    <w:rsid w:val="00B54A40"/>
    <w:rsid w:val="00B54AFB"/>
    <w:rsid w:val="00B54B04"/>
    <w:rsid w:val="00B54B50"/>
    <w:rsid w:val="00B54B6A"/>
    <w:rsid w:val="00B54B70"/>
    <w:rsid w:val="00B54BA8"/>
    <w:rsid w:val="00B54BC4"/>
    <w:rsid w:val="00B54BFE"/>
    <w:rsid w:val="00B54C33"/>
    <w:rsid w:val="00B54C34"/>
    <w:rsid w:val="00B54C35"/>
    <w:rsid w:val="00B54C68"/>
    <w:rsid w:val="00B54C80"/>
    <w:rsid w:val="00B54CA4"/>
    <w:rsid w:val="00B54CD8"/>
    <w:rsid w:val="00B54CEA"/>
    <w:rsid w:val="00B54D06"/>
    <w:rsid w:val="00B54D14"/>
    <w:rsid w:val="00B54D51"/>
    <w:rsid w:val="00B54E9D"/>
    <w:rsid w:val="00B54EDD"/>
    <w:rsid w:val="00B54F15"/>
    <w:rsid w:val="00B54F1E"/>
    <w:rsid w:val="00B54F53"/>
    <w:rsid w:val="00B54F72"/>
    <w:rsid w:val="00B54FB4"/>
    <w:rsid w:val="00B54FF0"/>
    <w:rsid w:val="00B55046"/>
    <w:rsid w:val="00B5508A"/>
    <w:rsid w:val="00B550DC"/>
    <w:rsid w:val="00B55108"/>
    <w:rsid w:val="00B55179"/>
    <w:rsid w:val="00B551A4"/>
    <w:rsid w:val="00B551C3"/>
    <w:rsid w:val="00B551E1"/>
    <w:rsid w:val="00B551E3"/>
    <w:rsid w:val="00B551F3"/>
    <w:rsid w:val="00B5524D"/>
    <w:rsid w:val="00B5525D"/>
    <w:rsid w:val="00B55282"/>
    <w:rsid w:val="00B552C8"/>
    <w:rsid w:val="00B55333"/>
    <w:rsid w:val="00B5537D"/>
    <w:rsid w:val="00B553B3"/>
    <w:rsid w:val="00B553B9"/>
    <w:rsid w:val="00B55423"/>
    <w:rsid w:val="00B5546F"/>
    <w:rsid w:val="00B55470"/>
    <w:rsid w:val="00B554A0"/>
    <w:rsid w:val="00B554E9"/>
    <w:rsid w:val="00B554F3"/>
    <w:rsid w:val="00B5551F"/>
    <w:rsid w:val="00B5558F"/>
    <w:rsid w:val="00B55599"/>
    <w:rsid w:val="00B555A0"/>
    <w:rsid w:val="00B555D0"/>
    <w:rsid w:val="00B555EF"/>
    <w:rsid w:val="00B555FF"/>
    <w:rsid w:val="00B55638"/>
    <w:rsid w:val="00B55640"/>
    <w:rsid w:val="00B5568F"/>
    <w:rsid w:val="00B55690"/>
    <w:rsid w:val="00B55699"/>
    <w:rsid w:val="00B5569C"/>
    <w:rsid w:val="00B556C5"/>
    <w:rsid w:val="00B556F4"/>
    <w:rsid w:val="00B55724"/>
    <w:rsid w:val="00B5578C"/>
    <w:rsid w:val="00B557A6"/>
    <w:rsid w:val="00B557D5"/>
    <w:rsid w:val="00B557DE"/>
    <w:rsid w:val="00B55815"/>
    <w:rsid w:val="00B55817"/>
    <w:rsid w:val="00B5581F"/>
    <w:rsid w:val="00B55840"/>
    <w:rsid w:val="00B5586C"/>
    <w:rsid w:val="00B5588B"/>
    <w:rsid w:val="00B5589B"/>
    <w:rsid w:val="00B558C0"/>
    <w:rsid w:val="00B558D1"/>
    <w:rsid w:val="00B558EC"/>
    <w:rsid w:val="00B55939"/>
    <w:rsid w:val="00B5593E"/>
    <w:rsid w:val="00B559C0"/>
    <w:rsid w:val="00B559C6"/>
    <w:rsid w:val="00B559D0"/>
    <w:rsid w:val="00B55A01"/>
    <w:rsid w:val="00B55A40"/>
    <w:rsid w:val="00B55A41"/>
    <w:rsid w:val="00B55A55"/>
    <w:rsid w:val="00B55A80"/>
    <w:rsid w:val="00B55AC9"/>
    <w:rsid w:val="00B55AF2"/>
    <w:rsid w:val="00B55AFF"/>
    <w:rsid w:val="00B55B04"/>
    <w:rsid w:val="00B55B3B"/>
    <w:rsid w:val="00B55B4D"/>
    <w:rsid w:val="00B55B6A"/>
    <w:rsid w:val="00B55B7F"/>
    <w:rsid w:val="00B55BB4"/>
    <w:rsid w:val="00B55BDA"/>
    <w:rsid w:val="00B55C00"/>
    <w:rsid w:val="00B55C04"/>
    <w:rsid w:val="00B55C3A"/>
    <w:rsid w:val="00B55C6C"/>
    <w:rsid w:val="00B55C75"/>
    <w:rsid w:val="00B55C77"/>
    <w:rsid w:val="00B55CD1"/>
    <w:rsid w:val="00B55CD3"/>
    <w:rsid w:val="00B55CE3"/>
    <w:rsid w:val="00B55D16"/>
    <w:rsid w:val="00B55D39"/>
    <w:rsid w:val="00B55D3A"/>
    <w:rsid w:val="00B55D3C"/>
    <w:rsid w:val="00B55D61"/>
    <w:rsid w:val="00B55DC2"/>
    <w:rsid w:val="00B55E63"/>
    <w:rsid w:val="00B55E8E"/>
    <w:rsid w:val="00B55EC8"/>
    <w:rsid w:val="00B55F08"/>
    <w:rsid w:val="00B55F50"/>
    <w:rsid w:val="00B55FC0"/>
    <w:rsid w:val="00B56034"/>
    <w:rsid w:val="00B5604D"/>
    <w:rsid w:val="00B56072"/>
    <w:rsid w:val="00B560BE"/>
    <w:rsid w:val="00B560BF"/>
    <w:rsid w:val="00B560DD"/>
    <w:rsid w:val="00B56101"/>
    <w:rsid w:val="00B5610D"/>
    <w:rsid w:val="00B56185"/>
    <w:rsid w:val="00B56197"/>
    <w:rsid w:val="00B561C1"/>
    <w:rsid w:val="00B5623F"/>
    <w:rsid w:val="00B5625D"/>
    <w:rsid w:val="00B562E3"/>
    <w:rsid w:val="00B56308"/>
    <w:rsid w:val="00B56342"/>
    <w:rsid w:val="00B5638C"/>
    <w:rsid w:val="00B563C9"/>
    <w:rsid w:val="00B563DF"/>
    <w:rsid w:val="00B56402"/>
    <w:rsid w:val="00B56414"/>
    <w:rsid w:val="00B56433"/>
    <w:rsid w:val="00B5644B"/>
    <w:rsid w:val="00B5644D"/>
    <w:rsid w:val="00B56477"/>
    <w:rsid w:val="00B56480"/>
    <w:rsid w:val="00B56518"/>
    <w:rsid w:val="00B56572"/>
    <w:rsid w:val="00B565AB"/>
    <w:rsid w:val="00B565B5"/>
    <w:rsid w:val="00B5660A"/>
    <w:rsid w:val="00B56647"/>
    <w:rsid w:val="00B56697"/>
    <w:rsid w:val="00B566E4"/>
    <w:rsid w:val="00B5671E"/>
    <w:rsid w:val="00B56744"/>
    <w:rsid w:val="00B5674C"/>
    <w:rsid w:val="00B5677E"/>
    <w:rsid w:val="00B567A9"/>
    <w:rsid w:val="00B567E7"/>
    <w:rsid w:val="00B567EA"/>
    <w:rsid w:val="00B56865"/>
    <w:rsid w:val="00B568F6"/>
    <w:rsid w:val="00B568FD"/>
    <w:rsid w:val="00B56904"/>
    <w:rsid w:val="00B56985"/>
    <w:rsid w:val="00B569AE"/>
    <w:rsid w:val="00B569F8"/>
    <w:rsid w:val="00B56A30"/>
    <w:rsid w:val="00B56A47"/>
    <w:rsid w:val="00B56A73"/>
    <w:rsid w:val="00B56AFD"/>
    <w:rsid w:val="00B56BB8"/>
    <w:rsid w:val="00B56CDE"/>
    <w:rsid w:val="00B56D4C"/>
    <w:rsid w:val="00B56D4E"/>
    <w:rsid w:val="00B56D80"/>
    <w:rsid w:val="00B56DE6"/>
    <w:rsid w:val="00B56E14"/>
    <w:rsid w:val="00B56E19"/>
    <w:rsid w:val="00B56E56"/>
    <w:rsid w:val="00B56E8C"/>
    <w:rsid w:val="00B56ED9"/>
    <w:rsid w:val="00B56EEA"/>
    <w:rsid w:val="00B56F3F"/>
    <w:rsid w:val="00B56F5A"/>
    <w:rsid w:val="00B56F5D"/>
    <w:rsid w:val="00B56F90"/>
    <w:rsid w:val="00B56F95"/>
    <w:rsid w:val="00B56FA5"/>
    <w:rsid w:val="00B56FF0"/>
    <w:rsid w:val="00B570B2"/>
    <w:rsid w:val="00B570D0"/>
    <w:rsid w:val="00B570E9"/>
    <w:rsid w:val="00B57110"/>
    <w:rsid w:val="00B571BC"/>
    <w:rsid w:val="00B571E3"/>
    <w:rsid w:val="00B5726D"/>
    <w:rsid w:val="00B5729D"/>
    <w:rsid w:val="00B572C1"/>
    <w:rsid w:val="00B572C9"/>
    <w:rsid w:val="00B572E6"/>
    <w:rsid w:val="00B572F3"/>
    <w:rsid w:val="00B572F6"/>
    <w:rsid w:val="00B5730C"/>
    <w:rsid w:val="00B57329"/>
    <w:rsid w:val="00B5733A"/>
    <w:rsid w:val="00B573BE"/>
    <w:rsid w:val="00B573C6"/>
    <w:rsid w:val="00B573ED"/>
    <w:rsid w:val="00B57414"/>
    <w:rsid w:val="00B5741C"/>
    <w:rsid w:val="00B57421"/>
    <w:rsid w:val="00B57432"/>
    <w:rsid w:val="00B5746E"/>
    <w:rsid w:val="00B574AE"/>
    <w:rsid w:val="00B574E4"/>
    <w:rsid w:val="00B574E7"/>
    <w:rsid w:val="00B5753E"/>
    <w:rsid w:val="00B57576"/>
    <w:rsid w:val="00B575CC"/>
    <w:rsid w:val="00B575D2"/>
    <w:rsid w:val="00B57620"/>
    <w:rsid w:val="00B5763B"/>
    <w:rsid w:val="00B57662"/>
    <w:rsid w:val="00B5768B"/>
    <w:rsid w:val="00B576F1"/>
    <w:rsid w:val="00B57729"/>
    <w:rsid w:val="00B57782"/>
    <w:rsid w:val="00B577A2"/>
    <w:rsid w:val="00B577A8"/>
    <w:rsid w:val="00B577B9"/>
    <w:rsid w:val="00B577FE"/>
    <w:rsid w:val="00B57832"/>
    <w:rsid w:val="00B57834"/>
    <w:rsid w:val="00B57861"/>
    <w:rsid w:val="00B57891"/>
    <w:rsid w:val="00B578DA"/>
    <w:rsid w:val="00B578EB"/>
    <w:rsid w:val="00B578FB"/>
    <w:rsid w:val="00B57940"/>
    <w:rsid w:val="00B57953"/>
    <w:rsid w:val="00B57978"/>
    <w:rsid w:val="00B57987"/>
    <w:rsid w:val="00B579BD"/>
    <w:rsid w:val="00B57A98"/>
    <w:rsid w:val="00B57AA4"/>
    <w:rsid w:val="00B57AAD"/>
    <w:rsid w:val="00B57AED"/>
    <w:rsid w:val="00B57B1A"/>
    <w:rsid w:val="00B57B33"/>
    <w:rsid w:val="00B57C0D"/>
    <w:rsid w:val="00B57C73"/>
    <w:rsid w:val="00B57CC2"/>
    <w:rsid w:val="00B57D03"/>
    <w:rsid w:val="00B57D54"/>
    <w:rsid w:val="00B57D7B"/>
    <w:rsid w:val="00B57D88"/>
    <w:rsid w:val="00B57DC1"/>
    <w:rsid w:val="00B57E0D"/>
    <w:rsid w:val="00B57E20"/>
    <w:rsid w:val="00B57E51"/>
    <w:rsid w:val="00B57E9C"/>
    <w:rsid w:val="00B57F19"/>
    <w:rsid w:val="00B57F45"/>
    <w:rsid w:val="00B57F50"/>
    <w:rsid w:val="00B57F70"/>
    <w:rsid w:val="00B57F87"/>
    <w:rsid w:val="00B57F9E"/>
    <w:rsid w:val="00B57FB2"/>
    <w:rsid w:val="00B57FB9"/>
    <w:rsid w:val="00B57FEA"/>
    <w:rsid w:val="00B60021"/>
    <w:rsid w:val="00B60024"/>
    <w:rsid w:val="00B6005D"/>
    <w:rsid w:val="00B6009E"/>
    <w:rsid w:val="00B6012A"/>
    <w:rsid w:val="00B60132"/>
    <w:rsid w:val="00B6020F"/>
    <w:rsid w:val="00B60236"/>
    <w:rsid w:val="00B60275"/>
    <w:rsid w:val="00B60288"/>
    <w:rsid w:val="00B602DE"/>
    <w:rsid w:val="00B602DF"/>
    <w:rsid w:val="00B602F9"/>
    <w:rsid w:val="00B6037A"/>
    <w:rsid w:val="00B60385"/>
    <w:rsid w:val="00B603D1"/>
    <w:rsid w:val="00B603E1"/>
    <w:rsid w:val="00B603F1"/>
    <w:rsid w:val="00B603F9"/>
    <w:rsid w:val="00B60422"/>
    <w:rsid w:val="00B60426"/>
    <w:rsid w:val="00B60499"/>
    <w:rsid w:val="00B604DE"/>
    <w:rsid w:val="00B6052B"/>
    <w:rsid w:val="00B6060F"/>
    <w:rsid w:val="00B60690"/>
    <w:rsid w:val="00B60699"/>
    <w:rsid w:val="00B60710"/>
    <w:rsid w:val="00B6071A"/>
    <w:rsid w:val="00B6078B"/>
    <w:rsid w:val="00B607D9"/>
    <w:rsid w:val="00B607E2"/>
    <w:rsid w:val="00B60819"/>
    <w:rsid w:val="00B6084D"/>
    <w:rsid w:val="00B60859"/>
    <w:rsid w:val="00B608E6"/>
    <w:rsid w:val="00B608F9"/>
    <w:rsid w:val="00B60927"/>
    <w:rsid w:val="00B60985"/>
    <w:rsid w:val="00B609CD"/>
    <w:rsid w:val="00B609F0"/>
    <w:rsid w:val="00B60A4C"/>
    <w:rsid w:val="00B60A53"/>
    <w:rsid w:val="00B60A9F"/>
    <w:rsid w:val="00B60AC1"/>
    <w:rsid w:val="00B60B2C"/>
    <w:rsid w:val="00B60B53"/>
    <w:rsid w:val="00B60B76"/>
    <w:rsid w:val="00B60BAA"/>
    <w:rsid w:val="00B60C71"/>
    <w:rsid w:val="00B60C7D"/>
    <w:rsid w:val="00B60CCA"/>
    <w:rsid w:val="00B60D08"/>
    <w:rsid w:val="00B60D56"/>
    <w:rsid w:val="00B60D6A"/>
    <w:rsid w:val="00B60D7A"/>
    <w:rsid w:val="00B60D90"/>
    <w:rsid w:val="00B60DAD"/>
    <w:rsid w:val="00B60DB1"/>
    <w:rsid w:val="00B60DF0"/>
    <w:rsid w:val="00B60E5D"/>
    <w:rsid w:val="00B60E7D"/>
    <w:rsid w:val="00B60ECA"/>
    <w:rsid w:val="00B60F24"/>
    <w:rsid w:val="00B61024"/>
    <w:rsid w:val="00B61033"/>
    <w:rsid w:val="00B6103C"/>
    <w:rsid w:val="00B6104F"/>
    <w:rsid w:val="00B61068"/>
    <w:rsid w:val="00B61081"/>
    <w:rsid w:val="00B610F9"/>
    <w:rsid w:val="00B61112"/>
    <w:rsid w:val="00B61131"/>
    <w:rsid w:val="00B6115C"/>
    <w:rsid w:val="00B611B3"/>
    <w:rsid w:val="00B611B4"/>
    <w:rsid w:val="00B611BE"/>
    <w:rsid w:val="00B611C6"/>
    <w:rsid w:val="00B611F2"/>
    <w:rsid w:val="00B61272"/>
    <w:rsid w:val="00B612ED"/>
    <w:rsid w:val="00B61331"/>
    <w:rsid w:val="00B61361"/>
    <w:rsid w:val="00B6136C"/>
    <w:rsid w:val="00B61394"/>
    <w:rsid w:val="00B6139D"/>
    <w:rsid w:val="00B613D4"/>
    <w:rsid w:val="00B61412"/>
    <w:rsid w:val="00B6142A"/>
    <w:rsid w:val="00B61437"/>
    <w:rsid w:val="00B61453"/>
    <w:rsid w:val="00B61462"/>
    <w:rsid w:val="00B61475"/>
    <w:rsid w:val="00B61490"/>
    <w:rsid w:val="00B61492"/>
    <w:rsid w:val="00B614E3"/>
    <w:rsid w:val="00B614E7"/>
    <w:rsid w:val="00B614FD"/>
    <w:rsid w:val="00B614FE"/>
    <w:rsid w:val="00B61589"/>
    <w:rsid w:val="00B615A2"/>
    <w:rsid w:val="00B615C6"/>
    <w:rsid w:val="00B61602"/>
    <w:rsid w:val="00B61623"/>
    <w:rsid w:val="00B6164C"/>
    <w:rsid w:val="00B61663"/>
    <w:rsid w:val="00B6169B"/>
    <w:rsid w:val="00B616D4"/>
    <w:rsid w:val="00B616EE"/>
    <w:rsid w:val="00B6170C"/>
    <w:rsid w:val="00B61737"/>
    <w:rsid w:val="00B617D8"/>
    <w:rsid w:val="00B61803"/>
    <w:rsid w:val="00B6181E"/>
    <w:rsid w:val="00B6182B"/>
    <w:rsid w:val="00B61864"/>
    <w:rsid w:val="00B619C5"/>
    <w:rsid w:val="00B619D9"/>
    <w:rsid w:val="00B619E0"/>
    <w:rsid w:val="00B619EF"/>
    <w:rsid w:val="00B61A07"/>
    <w:rsid w:val="00B61A3B"/>
    <w:rsid w:val="00B61A71"/>
    <w:rsid w:val="00B61ADD"/>
    <w:rsid w:val="00B61B7D"/>
    <w:rsid w:val="00B61B8F"/>
    <w:rsid w:val="00B61B9E"/>
    <w:rsid w:val="00B61C27"/>
    <w:rsid w:val="00B61C80"/>
    <w:rsid w:val="00B61D29"/>
    <w:rsid w:val="00B61DFB"/>
    <w:rsid w:val="00B61E7E"/>
    <w:rsid w:val="00B61E88"/>
    <w:rsid w:val="00B61E9C"/>
    <w:rsid w:val="00B61EB7"/>
    <w:rsid w:val="00B61EBA"/>
    <w:rsid w:val="00B61ECD"/>
    <w:rsid w:val="00B6204A"/>
    <w:rsid w:val="00B62062"/>
    <w:rsid w:val="00B62101"/>
    <w:rsid w:val="00B62108"/>
    <w:rsid w:val="00B62112"/>
    <w:rsid w:val="00B6216A"/>
    <w:rsid w:val="00B62178"/>
    <w:rsid w:val="00B62193"/>
    <w:rsid w:val="00B621D7"/>
    <w:rsid w:val="00B62227"/>
    <w:rsid w:val="00B622F4"/>
    <w:rsid w:val="00B62342"/>
    <w:rsid w:val="00B62345"/>
    <w:rsid w:val="00B62394"/>
    <w:rsid w:val="00B623D2"/>
    <w:rsid w:val="00B623DC"/>
    <w:rsid w:val="00B624A6"/>
    <w:rsid w:val="00B624B6"/>
    <w:rsid w:val="00B624F3"/>
    <w:rsid w:val="00B6252C"/>
    <w:rsid w:val="00B625A9"/>
    <w:rsid w:val="00B625F2"/>
    <w:rsid w:val="00B62623"/>
    <w:rsid w:val="00B62624"/>
    <w:rsid w:val="00B62665"/>
    <w:rsid w:val="00B62674"/>
    <w:rsid w:val="00B6267D"/>
    <w:rsid w:val="00B62680"/>
    <w:rsid w:val="00B62699"/>
    <w:rsid w:val="00B62753"/>
    <w:rsid w:val="00B627A4"/>
    <w:rsid w:val="00B627BC"/>
    <w:rsid w:val="00B6283B"/>
    <w:rsid w:val="00B62904"/>
    <w:rsid w:val="00B6294B"/>
    <w:rsid w:val="00B6294F"/>
    <w:rsid w:val="00B62953"/>
    <w:rsid w:val="00B6297F"/>
    <w:rsid w:val="00B62A14"/>
    <w:rsid w:val="00B62A66"/>
    <w:rsid w:val="00B62AA5"/>
    <w:rsid w:val="00B62AA6"/>
    <w:rsid w:val="00B62AD2"/>
    <w:rsid w:val="00B62ADD"/>
    <w:rsid w:val="00B62AE3"/>
    <w:rsid w:val="00B62AEA"/>
    <w:rsid w:val="00B62AF8"/>
    <w:rsid w:val="00B62B03"/>
    <w:rsid w:val="00B62B4A"/>
    <w:rsid w:val="00B62B72"/>
    <w:rsid w:val="00B62B8D"/>
    <w:rsid w:val="00B62C39"/>
    <w:rsid w:val="00B62C3C"/>
    <w:rsid w:val="00B62C6A"/>
    <w:rsid w:val="00B62C7E"/>
    <w:rsid w:val="00B62CBE"/>
    <w:rsid w:val="00B62D28"/>
    <w:rsid w:val="00B62DE1"/>
    <w:rsid w:val="00B62F0D"/>
    <w:rsid w:val="00B62F0E"/>
    <w:rsid w:val="00B62F1E"/>
    <w:rsid w:val="00B62F30"/>
    <w:rsid w:val="00B62F50"/>
    <w:rsid w:val="00B62F79"/>
    <w:rsid w:val="00B62F83"/>
    <w:rsid w:val="00B63052"/>
    <w:rsid w:val="00B6305D"/>
    <w:rsid w:val="00B630C8"/>
    <w:rsid w:val="00B630D9"/>
    <w:rsid w:val="00B63108"/>
    <w:rsid w:val="00B63197"/>
    <w:rsid w:val="00B63206"/>
    <w:rsid w:val="00B6322C"/>
    <w:rsid w:val="00B6325D"/>
    <w:rsid w:val="00B63302"/>
    <w:rsid w:val="00B63483"/>
    <w:rsid w:val="00B63484"/>
    <w:rsid w:val="00B634DA"/>
    <w:rsid w:val="00B63583"/>
    <w:rsid w:val="00B63589"/>
    <w:rsid w:val="00B635D5"/>
    <w:rsid w:val="00B635E8"/>
    <w:rsid w:val="00B635F4"/>
    <w:rsid w:val="00B6366E"/>
    <w:rsid w:val="00B63679"/>
    <w:rsid w:val="00B6368F"/>
    <w:rsid w:val="00B636A8"/>
    <w:rsid w:val="00B63739"/>
    <w:rsid w:val="00B637E0"/>
    <w:rsid w:val="00B6381D"/>
    <w:rsid w:val="00B6382E"/>
    <w:rsid w:val="00B6383C"/>
    <w:rsid w:val="00B63852"/>
    <w:rsid w:val="00B63856"/>
    <w:rsid w:val="00B6389F"/>
    <w:rsid w:val="00B638BC"/>
    <w:rsid w:val="00B638C8"/>
    <w:rsid w:val="00B638D8"/>
    <w:rsid w:val="00B638DB"/>
    <w:rsid w:val="00B6390D"/>
    <w:rsid w:val="00B63A05"/>
    <w:rsid w:val="00B63A5A"/>
    <w:rsid w:val="00B63A71"/>
    <w:rsid w:val="00B63A75"/>
    <w:rsid w:val="00B63A77"/>
    <w:rsid w:val="00B63A91"/>
    <w:rsid w:val="00B63AD3"/>
    <w:rsid w:val="00B63B20"/>
    <w:rsid w:val="00B63B46"/>
    <w:rsid w:val="00B63BAE"/>
    <w:rsid w:val="00B63BE3"/>
    <w:rsid w:val="00B63C05"/>
    <w:rsid w:val="00B63C3D"/>
    <w:rsid w:val="00B63C70"/>
    <w:rsid w:val="00B63C86"/>
    <w:rsid w:val="00B63D05"/>
    <w:rsid w:val="00B63D11"/>
    <w:rsid w:val="00B63D68"/>
    <w:rsid w:val="00B63D72"/>
    <w:rsid w:val="00B63DBD"/>
    <w:rsid w:val="00B63DE6"/>
    <w:rsid w:val="00B63E12"/>
    <w:rsid w:val="00B63E44"/>
    <w:rsid w:val="00B63E73"/>
    <w:rsid w:val="00B63E7B"/>
    <w:rsid w:val="00B63EA8"/>
    <w:rsid w:val="00B63F09"/>
    <w:rsid w:val="00B63F12"/>
    <w:rsid w:val="00B63F32"/>
    <w:rsid w:val="00B63F7C"/>
    <w:rsid w:val="00B6401F"/>
    <w:rsid w:val="00B6408F"/>
    <w:rsid w:val="00B640C6"/>
    <w:rsid w:val="00B64117"/>
    <w:rsid w:val="00B6415B"/>
    <w:rsid w:val="00B64243"/>
    <w:rsid w:val="00B6425F"/>
    <w:rsid w:val="00B64262"/>
    <w:rsid w:val="00B642BC"/>
    <w:rsid w:val="00B642FD"/>
    <w:rsid w:val="00B6436C"/>
    <w:rsid w:val="00B64384"/>
    <w:rsid w:val="00B643E9"/>
    <w:rsid w:val="00B643F7"/>
    <w:rsid w:val="00B64471"/>
    <w:rsid w:val="00B64503"/>
    <w:rsid w:val="00B64510"/>
    <w:rsid w:val="00B64552"/>
    <w:rsid w:val="00B6456D"/>
    <w:rsid w:val="00B645AF"/>
    <w:rsid w:val="00B64628"/>
    <w:rsid w:val="00B64698"/>
    <w:rsid w:val="00B6469D"/>
    <w:rsid w:val="00B646B7"/>
    <w:rsid w:val="00B646E7"/>
    <w:rsid w:val="00B646EF"/>
    <w:rsid w:val="00B646FC"/>
    <w:rsid w:val="00B64717"/>
    <w:rsid w:val="00B64721"/>
    <w:rsid w:val="00B6473D"/>
    <w:rsid w:val="00B6475E"/>
    <w:rsid w:val="00B6478B"/>
    <w:rsid w:val="00B647A0"/>
    <w:rsid w:val="00B647A5"/>
    <w:rsid w:val="00B647E0"/>
    <w:rsid w:val="00B64853"/>
    <w:rsid w:val="00B64866"/>
    <w:rsid w:val="00B6488F"/>
    <w:rsid w:val="00B6489F"/>
    <w:rsid w:val="00B648AF"/>
    <w:rsid w:val="00B6495F"/>
    <w:rsid w:val="00B649BF"/>
    <w:rsid w:val="00B649E7"/>
    <w:rsid w:val="00B649F4"/>
    <w:rsid w:val="00B649F9"/>
    <w:rsid w:val="00B64A6D"/>
    <w:rsid w:val="00B64ADB"/>
    <w:rsid w:val="00B64BCF"/>
    <w:rsid w:val="00B64C30"/>
    <w:rsid w:val="00B64C6B"/>
    <w:rsid w:val="00B64C70"/>
    <w:rsid w:val="00B64CB8"/>
    <w:rsid w:val="00B64CC1"/>
    <w:rsid w:val="00B64CD7"/>
    <w:rsid w:val="00B64D07"/>
    <w:rsid w:val="00B64D0E"/>
    <w:rsid w:val="00B64D1C"/>
    <w:rsid w:val="00B64D81"/>
    <w:rsid w:val="00B64DA9"/>
    <w:rsid w:val="00B64DB2"/>
    <w:rsid w:val="00B64DDB"/>
    <w:rsid w:val="00B64E38"/>
    <w:rsid w:val="00B64E62"/>
    <w:rsid w:val="00B64E92"/>
    <w:rsid w:val="00B64EC4"/>
    <w:rsid w:val="00B64F48"/>
    <w:rsid w:val="00B64F59"/>
    <w:rsid w:val="00B64F64"/>
    <w:rsid w:val="00B64FB3"/>
    <w:rsid w:val="00B64FDC"/>
    <w:rsid w:val="00B64FF9"/>
    <w:rsid w:val="00B65003"/>
    <w:rsid w:val="00B6500E"/>
    <w:rsid w:val="00B6504C"/>
    <w:rsid w:val="00B65076"/>
    <w:rsid w:val="00B65085"/>
    <w:rsid w:val="00B65096"/>
    <w:rsid w:val="00B650A3"/>
    <w:rsid w:val="00B650CB"/>
    <w:rsid w:val="00B650D2"/>
    <w:rsid w:val="00B6512E"/>
    <w:rsid w:val="00B65138"/>
    <w:rsid w:val="00B6514D"/>
    <w:rsid w:val="00B65177"/>
    <w:rsid w:val="00B651DA"/>
    <w:rsid w:val="00B65236"/>
    <w:rsid w:val="00B6526D"/>
    <w:rsid w:val="00B6528C"/>
    <w:rsid w:val="00B652DD"/>
    <w:rsid w:val="00B6530E"/>
    <w:rsid w:val="00B6532F"/>
    <w:rsid w:val="00B65333"/>
    <w:rsid w:val="00B65340"/>
    <w:rsid w:val="00B65347"/>
    <w:rsid w:val="00B65349"/>
    <w:rsid w:val="00B65387"/>
    <w:rsid w:val="00B653DB"/>
    <w:rsid w:val="00B653EC"/>
    <w:rsid w:val="00B65404"/>
    <w:rsid w:val="00B6549C"/>
    <w:rsid w:val="00B654A4"/>
    <w:rsid w:val="00B654F8"/>
    <w:rsid w:val="00B654FF"/>
    <w:rsid w:val="00B65539"/>
    <w:rsid w:val="00B6553A"/>
    <w:rsid w:val="00B65547"/>
    <w:rsid w:val="00B65559"/>
    <w:rsid w:val="00B655ED"/>
    <w:rsid w:val="00B655F2"/>
    <w:rsid w:val="00B6564D"/>
    <w:rsid w:val="00B65652"/>
    <w:rsid w:val="00B6567C"/>
    <w:rsid w:val="00B656FE"/>
    <w:rsid w:val="00B6575B"/>
    <w:rsid w:val="00B657F3"/>
    <w:rsid w:val="00B65853"/>
    <w:rsid w:val="00B65882"/>
    <w:rsid w:val="00B6588C"/>
    <w:rsid w:val="00B658AE"/>
    <w:rsid w:val="00B65939"/>
    <w:rsid w:val="00B65953"/>
    <w:rsid w:val="00B65997"/>
    <w:rsid w:val="00B659E8"/>
    <w:rsid w:val="00B65A09"/>
    <w:rsid w:val="00B65A17"/>
    <w:rsid w:val="00B65A25"/>
    <w:rsid w:val="00B65A50"/>
    <w:rsid w:val="00B65A5A"/>
    <w:rsid w:val="00B65A6F"/>
    <w:rsid w:val="00B65ABE"/>
    <w:rsid w:val="00B65B38"/>
    <w:rsid w:val="00B65B66"/>
    <w:rsid w:val="00B65B86"/>
    <w:rsid w:val="00B65BBD"/>
    <w:rsid w:val="00B65C1F"/>
    <w:rsid w:val="00B65C3B"/>
    <w:rsid w:val="00B65C58"/>
    <w:rsid w:val="00B65C9F"/>
    <w:rsid w:val="00B65CCE"/>
    <w:rsid w:val="00B65D6E"/>
    <w:rsid w:val="00B65D87"/>
    <w:rsid w:val="00B65DD7"/>
    <w:rsid w:val="00B65DE1"/>
    <w:rsid w:val="00B65E44"/>
    <w:rsid w:val="00B65F0A"/>
    <w:rsid w:val="00B65F57"/>
    <w:rsid w:val="00B65F88"/>
    <w:rsid w:val="00B65F8A"/>
    <w:rsid w:val="00B65FA6"/>
    <w:rsid w:val="00B65FBE"/>
    <w:rsid w:val="00B65FBF"/>
    <w:rsid w:val="00B6603F"/>
    <w:rsid w:val="00B66080"/>
    <w:rsid w:val="00B66085"/>
    <w:rsid w:val="00B66092"/>
    <w:rsid w:val="00B6609A"/>
    <w:rsid w:val="00B660DA"/>
    <w:rsid w:val="00B660E5"/>
    <w:rsid w:val="00B66124"/>
    <w:rsid w:val="00B661DF"/>
    <w:rsid w:val="00B6627B"/>
    <w:rsid w:val="00B6628C"/>
    <w:rsid w:val="00B662B1"/>
    <w:rsid w:val="00B662C0"/>
    <w:rsid w:val="00B662C3"/>
    <w:rsid w:val="00B662CD"/>
    <w:rsid w:val="00B662ED"/>
    <w:rsid w:val="00B6639B"/>
    <w:rsid w:val="00B663CE"/>
    <w:rsid w:val="00B663E6"/>
    <w:rsid w:val="00B66444"/>
    <w:rsid w:val="00B66447"/>
    <w:rsid w:val="00B6645A"/>
    <w:rsid w:val="00B6647D"/>
    <w:rsid w:val="00B664AA"/>
    <w:rsid w:val="00B66513"/>
    <w:rsid w:val="00B6653C"/>
    <w:rsid w:val="00B66601"/>
    <w:rsid w:val="00B66609"/>
    <w:rsid w:val="00B6665F"/>
    <w:rsid w:val="00B666A2"/>
    <w:rsid w:val="00B666A6"/>
    <w:rsid w:val="00B666C1"/>
    <w:rsid w:val="00B6677F"/>
    <w:rsid w:val="00B66790"/>
    <w:rsid w:val="00B66791"/>
    <w:rsid w:val="00B667BA"/>
    <w:rsid w:val="00B667BB"/>
    <w:rsid w:val="00B667FB"/>
    <w:rsid w:val="00B66804"/>
    <w:rsid w:val="00B6681F"/>
    <w:rsid w:val="00B6688E"/>
    <w:rsid w:val="00B668CA"/>
    <w:rsid w:val="00B668ED"/>
    <w:rsid w:val="00B66999"/>
    <w:rsid w:val="00B669A1"/>
    <w:rsid w:val="00B669E7"/>
    <w:rsid w:val="00B66A40"/>
    <w:rsid w:val="00B66A82"/>
    <w:rsid w:val="00B66ABB"/>
    <w:rsid w:val="00B66B1E"/>
    <w:rsid w:val="00B66BD1"/>
    <w:rsid w:val="00B66BF2"/>
    <w:rsid w:val="00B66BFE"/>
    <w:rsid w:val="00B66C0F"/>
    <w:rsid w:val="00B66C47"/>
    <w:rsid w:val="00B66C5D"/>
    <w:rsid w:val="00B66C62"/>
    <w:rsid w:val="00B66C69"/>
    <w:rsid w:val="00B66CD9"/>
    <w:rsid w:val="00B66CF9"/>
    <w:rsid w:val="00B66D43"/>
    <w:rsid w:val="00B66D44"/>
    <w:rsid w:val="00B66D61"/>
    <w:rsid w:val="00B66DAB"/>
    <w:rsid w:val="00B66DAF"/>
    <w:rsid w:val="00B66DBA"/>
    <w:rsid w:val="00B66E53"/>
    <w:rsid w:val="00B66E55"/>
    <w:rsid w:val="00B66E9A"/>
    <w:rsid w:val="00B66EB1"/>
    <w:rsid w:val="00B66EDD"/>
    <w:rsid w:val="00B66F55"/>
    <w:rsid w:val="00B6701F"/>
    <w:rsid w:val="00B67022"/>
    <w:rsid w:val="00B67044"/>
    <w:rsid w:val="00B67074"/>
    <w:rsid w:val="00B67088"/>
    <w:rsid w:val="00B670D0"/>
    <w:rsid w:val="00B67100"/>
    <w:rsid w:val="00B6710B"/>
    <w:rsid w:val="00B6710C"/>
    <w:rsid w:val="00B6712B"/>
    <w:rsid w:val="00B671CD"/>
    <w:rsid w:val="00B671F0"/>
    <w:rsid w:val="00B67228"/>
    <w:rsid w:val="00B672DD"/>
    <w:rsid w:val="00B67301"/>
    <w:rsid w:val="00B67368"/>
    <w:rsid w:val="00B6736F"/>
    <w:rsid w:val="00B6738F"/>
    <w:rsid w:val="00B673AA"/>
    <w:rsid w:val="00B673BD"/>
    <w:rsid w:val="00B673D1"/>
    <w:rsid w:val="00B673F4"/>
    <w:rsid w:val="00B6741D"/>
    <w:rsid w:val="00B67445"/>
    <w:rsid w:val="00B674D2"/>
    <w:rsid w:val="00B67574"/>
    <w:rsid w:val="00B67576"/>
    <w:rsid w:val="00B675CE"/>
    <w:rsid w:val="00B6763A"/>
    <w:rsid w:val="00B67673"/>
    <w:rsid w:val="00B67690"/>
    <w:rsid w:val="00B676CA"/>
    <w:rsid w:val="00B676E2"/>
    <w:rsid w:val="00B67701"/>
    <w:rsid w:val="00B6772C"/>
    <w:rsid w:val="00B6779B"/>
    <w:rsid w:val="00B677CB"/>
    <w:rsid w:val="00B677F4"/>
    <w:rsid w:val="00B67815"/>
    <w:rsid w:val="00B6781D"/>
    <w:rsid w:val="00B6789D"/>
    <w:rsid w:val="00B678A2"/>
    <w:rsid w:val="00B678C7"/>
    <w:rsid w:val="00B679B5"/>
    <w:rsid w:val="00B679CA"/>
    <w:rsid w:val="00B679D0"/>
    <w:rsid w:val="00B67A1D"/>
    <w:rsid w:val="00B67A3A"/>
    <w:rsid w:val="00B67A3B"/>
    <w:rsid w:val="00B67A73"/>
    <w:rsid w:val="00B67A7B"/>
    <w:rsid w:val="00B67A7E"/>
    <w:rsid w:val="00B67AAF"/>
    <w:rsid w:val="00B67AF5"/>
    <w:rsid w:val="00B67B09"/>
    <w:rsid w:val="00B67B2A"/>
    <w:rsid w:val="00B67BEB"/>
    <w:rsid w:val="00B67BFE"/>
    <w:rsid w:val="00B67C71"/>
    <w:rsid w:val="00B67C7D"/>
    <w:rsid w:val="00B67C92"/>
    <w:rsid w:val="00B67CC1"/>
    <w:rsid w:val="00B67DB7"/>
    <w:rsid w:val="00B67EE0"/>
    <w:rsid w:val="00B67EE8"/>
    <w:rsid w:val="00B67F3C"/>
    <w:rsid w:val="00B67FA4"/>
    <w:rsid w:val="00B67FD5"/>
    <w:rsid w:val="00B70036"/>
    <w:rsid w:val="00B700D0"/>
    <w:rsid w:val="00B70101"/>
    <w:rsid w:val="00B70122"/>
    <w:rsid w:val="00B70134"/>
    <w:rsid w:val="00B70148"/>
    <w:rsid w:val="00B701AB"/>
    <w:rsid w:val="00B701D7"/>
    <w:rsid w:val="00B701E7"/>
    <w:rsid w:val="00B70240"/>
    <w:rsid w:val="00B7024F"/>
    <w:rsid w:val="00B70259"/>
    <w:rsid w:val="00B70273"/>
    <w:rsid w:val="00B70286"/>
    <w:rsid w:val="00B702B0"/>
    <w:rsid w:val="00B702CD"/>
    <w:rsid w:val="00B7034D"/>
    <w:rsid w:val="00B70397"/>
    <w:rsid w:val="00B703A1"/>
    <w:rsid w:val="00B70404"/>
    <w:rsid w:val="00B7040A"/>
    <w:rsid w:val="00B70424"/>
    <w:rsid w:val="00B7042B"/>
    <w:rsid w:val="00B7043F"/>
    <w:rsid w:val="00B7049C"/>
    <w:rsid w:val="00B704FD"/>
    <w:rsid w:val="00B7052B"/>
    <w:rsid w:val="00B705B2"/>
    <w:rsid w:val="00B705DA"/>
    <w:rsid w:val="00B70640"/>
    <w:rsid w:val="00B7065B"/>
    <w:rsid w:val="00B70676"/>
    <w:rsid w:val="00B7068C"/>
    <w:rsid w:val="00B706C9"/>
    <w:rsid w:val="00B7077B"/>
    <w:rsid w:val="00B7077E"/>
    <w:rsid w:val="00B707AA"/>
    <w:rsid w:val="00B707DE"/>
    <w:rsid w:val="00B7083F"/>
    <w:rsid w:val="00B708B7"/>
    <w:rsid w:val="00B708E1"/>
    <w:rsid w:val="00B708E5"/>
    <w:rsid w:val="00B708F8"/>
    <w:rsid w:val="00B7090B"/>
    <w:rsid w:val="00B7091E"/>
    <w:rsid w:val="00B70941"/>
    <w:rsid w:val="00B70992"/>
    <w:rsid w:val="00B709A3"/>
    <w:rsid w:val="00B70A1B"/>
    <w:rsid w:val="00B70A31"/>
    <w:rsid w:val="00B70A40"/>
    <w:rsid w:val="00B70AAE"/>
    <w:rsid w:val="00B70B0E"/>
    <w:rsid w:val="00B70B5B"/>
    <w:rsid w:val="00B70B6C"/>
    <w:rsid w:val="00B70B8C"/>
    <w:rsid w:val="00B70BD3"/>
    <w:rsid w:val="00B70C06"/>
    <w:rsid w:val="00B70CCF"/>
    <w:rsid w:val="00B70CE6"/>
    <w:rsid w:val="00B70CF5"/>
    <w:rsid w:val="00B70CFA"/>
    <w:rsid w:val="00B70D45"/>
    <w:rsid w:val="00B70DB9"/>
    <w:rsid w:val="00B70DE2"/>
    <w:rsid w:val="00B70DE4"/>
    <w:rsid w:val="00B70E2E"/>
    <w:rsid w:val="00B70E75"/>
    <w:rsid w:val="00B70E8A"/>
    <w:rsid w:val="00B70E93"/>
    <w:rsid w:val="00B70EF6"/>
    <w:rsid w:val="00B70F12"/>
    <w:rsid w:val="00B70F1D"/>
    <w:rsid w:val="00B70F8C"/>
    <w:rsid w:val="00B70F95"/>
    <w:rsid w:val="00B70FA9"/>
    <w:rsid w:val="00B70FD3"/>
    <w:rsid w:val="00B70FE5"/>
    <w:rsid w:val="00B7104F"/>
    <w:rsid w:val="00B71059"/>
    <w:rsid w:val="00B71076"/>
    <w:rsid w:val="00B710D3"/>
    <w:rsid w:val="00B71104"/>
    <w:rsid w:val="00B71146"/>
    <w:rsid w:val="00B7114F"/>
    <w:rsid w:val="00B712B2"/>
    <w:rsid w:val="00B712BE"/>
    <w:rsid w:val="00B712EA"/>
    <w:rsid w:val="00B71369"/>
    <w:rsid w:val="00B71392"/>
    <w:rsid w:val="00B7139D"/>
    <w:rsid w:val="00B713A4"/>
    <w:rsid w:val="00B713BE"/>
    <w:rsid w:val="00B7140C"/>
    <w:rsid w:val="00B7143A"/>
    <w:rsid w:val="00B7146C"/>
    <w:rsid w:val="00B714A9"/>
    <w:rsid w:val="00B714BE"/>
    <w:rsid w:val="00B71508"/>
    <w:rsid w:val="00B71553"/>
    <w:rsid w:val="00B7155E"/>
    <w:rsid w:val="00B71617"/>
    <w:rsid w:val="00B7164B"/>
    <w:rsid w:val="00B716AA"/>
    <w:rsid w:val="00B716C8"/>
    <w:rsid w:val="00B71708"/>
    <w:rsid w:val="00B71782"/>
    <w:rsid w:val="00B717A8"/>
    <w:rsid w:val="00B717D6"/>
    <w:rsid w:val="00B717E3"/>
    <w:rsid w:val="00B717F3"/>
    <w:rsid w:val="00B7183B"/>
    <w:rsid w:val="00B7187B"/>
    <w:rsid w:val="00B718BB"/>
    <w:rsid w:val="00B718EC"/>
    <w:rsid w:val="00B7190D"/>
    <w:rsid w:val="00B71941"/>
    <w:rsid w:val="00B7197C"/>
    <w:rsid w:val="00B71990"/>
    <w:rsid w:val="00B719B2"/>
    <w:rsid w:val="00B719CD"/>
    <w:rsid w:val="00B719E3"/>
    <w:rsid w:val="00B71A37"/>
    <w:rsid w:val="00B71A6C"/>
    <w:rsid w:val="00B71A7D"/>
    <w:rsid w:val="00B71AA8"/>
    <w:rsid w:val="00B71ABC"/>
    <w:rsid w:val="00B71AF2"/>
    <w:rsid w:val="00B71B25"/>
    <w:rsid w:val="00B71BC5"/>
    <w:rsid w:val="00B71C5D"/>
    <w:rsid w:val="00B71C92"/>
    <w:rsid w:val="00B71CF3"/>
    <w:rsid w:val="00B71D12"/>
    <w:rsid w:val="00B71D48"/>
    <w:rsid w:val="00B71D53"/>
    <w:rsid w:val="00B71DE3"/>
    <w:rsid w:val="00B71E2E"/>
    <w:rsid w:val="00B71E38"/>
    <w:rsid w:val="00B71E5E"/>
    <w:rsid w:val="00B71EE3"/>
    <w:rsid w:val="00B71F0E"/>
    <w:rsid w:val="00B71FB2"/>
    <w:rsid w:val="00B71FC0"/>
    <w:rsid w:val="00B71FFE"/>
    <w:rsid w:val="00B72004"/>
    <w:rsid w:val="00B72013"/>
    <w:rsid w:val="00B72016"/>
    <w:rsid w:val="00B7202D"/>
    <w:rsid w:val="00B72046"/>
    <w:rsid w:val="00B72067"/>
    <w:rsid w:val="00B7208D"/>
    <w:rsid w:val="00B720C8"/>
    <w:rsid w:val="00B720CA"/>
    <w:rsid w:val="00B720FE"/>
    <w:rsid w:val="00B72105"/>
    <w:rsid w:val="00B72191"/>
    <w:rsid w:val="00B7219E"/>
    <w:rsid w:val="00B721A2"/>
    <w:rsid w:val="00B721A5"/>
    <w:rsid w:val="00B72202"/>
    <w:rsid w:val="00B72223"/>
    <w:rsid w:val="00B7229F"/>
    <w:rsid w:val="00B722BA"/>
    <w:rsid w:val="00B72319"/>
    <w:rsid w:val="00B72351"/>
    <w:rsid w:val="00B72399"/>
    <w:rsid w:val="00B723B3"/>
    <w:rsid w:val="00B723C7"/>
    <w:rsid w:val="00B723CD"/>
    <w:rsid w:val="00B72409"/>
    <w:rsid w:val="00B7244C"/>
    <w:rsid w:val="00B724B8"/>
    <w:rsid w:val="00B724FA"/>
    <w:rsid w:val="00B72525"/>
    <w:rsid w:val="00B7253E"/>
    <w:rsid w:val="00B72560"/>
    <w:rsid w:val="00B72573"/>
    <w:rsid w:val="00B72586"/>
    <w:rsid w:val="00B7258A"/>
    <w:rsid w:val="00B7258B"/>
    <w:rsid w:val="00B725B0"/>
    <w:rsid w:val="00B72644"/>
    <w:rsid w:val="00B7266F"/>
    <w:rsid w:val="00B72671"/>
    <w:rsid w:val="00B72703"/>
    <w:rsid w:val="00B7271D"/>
    <w:rsid w:val="00B7272D"/>
    <w:rsid w:val="00B72732"/>
    <w:rsid w:val="00B727B1"/>
    <w:rsid w:val="00B727C0"/>
    <w:rsid w:val="00B72804"/>
    <w:rsid w:val="00B72811"/>
    <w:rsid w:val="00B728E7"/>
    <w:rsid w:val="00B728E9"/>
    <w:rsid w:val="00B728FD"/>
    <w:rsid w:val="00B7290F"/>
    <w:rsid w:val="00B72955"/>
    <w:rsid w:val="00B72969"/>
    <w:rsid w:val="00B72981"/>
    <w:rsid w:val="00B729BB"/>
    <w:rsid w:val="00B729C5"/>
    <w:rsid w:val="00B729D0"/>
    <w:rsid w:val="00B72A17"/>
    <w:rsid w:val="00B72A7B"/>
    <w:rsid w:val="00B72A9D"/>
    <w:rsid w:val="00B72AC4"/>
    <w:rsid w:val="00B72AD8"/>
    <w:rsid w:val="00B72AF0"/>
    <w:rsid w:val="00B72AF7"/>
    <w:rsid w:val="00B72B4A"/>
    <w:rsid w:val="00B72B9B"/>
    <w:rsid w:val="00B72BAA"/>
    <w:rsid w:val="00B72BAE"/>
    <w:rsid w:val="00B72C1F"/>
    <w:rsid w:val="00B72C7B"/>
    <w:rsid w:val="00B72C88"/>
    <w:rsid w:val="00B72C8A"/>
    <w:rsid w:val="00B72CD3"/>
    <w:rsid w:val="00B72CEE"/>
    <w:rsid w:val="00B72DBE"/>
    <w:rsid w:val="00B72DF3"/>
    <w:rsid w:val="00B72E92"/>
    <w:rsid w:val="00B72F86"/>
    <w:rsid w:val="00B72F99"/>
    <w:rsid w:val="00B72FDE"/>
    <w:rsid w:val="00B7302F"/>
    <w:rsid w:val="00B7305E"/>
    <w:rsid w:val="00B73095"/>
    <w:rsid w:val="00B730B9"/>
    <w:rsid w:val="00B73111"/>
    <w:rsid w:val="00B7316C"/>
    <w:rsid w:val="00B731B4"/>
    <w:rsid w:val="00B73228"/>
    <w:rsid w:val="00B732C9"/>
    <w:rsid w:val="00B732F5"/>
    <w:rsid w:val="00B73372"/>
    <w:rsid w:val="00B7337F"/>
    <w:rsid w:val="00B73383"/>
    <w:rsid w:val="00B73394"/>
    <w:rsid w:val="00B73485"/>
    <w:rsid w:val="00B734BC"/>
    <w:rsid w:val="00B734E3"/>
    <w:rsid w:val="00B7350F"/>
    <w:rsid w:val="00B73521"/>
    <w:rsid w:val="00B73552"/>
    <w:rsid w:val="00B7355E"/>
    <w:rsid w:val="00B735C8"/>
    <w:rsid w:val="00B73629"/>
    <w:rsid w:val="00B73660"/>
    <w:rsid w:val="00B736D3"/>
    <w:rsid w:val="00B736DD"/>
    <w:rsid w:val="00B736F0"/>
    <w:rsid w:val="00B736F1"/>
    <w:rsid w:val="00B737D0"/>
    <w:rsid w:val="00B737E6"/>
    <w:rsid w:val="00B737EB"/>
    <w:rsid w:val="00B73842"/>
    <w:rsid w:val="00B73861"/>
    <w:rsid w:val="00B738B7"/>
    <w:rsid w:val="00B73905"/>
    <w:rsid w:val="00B7392C"/>
    <w:rsid w:val="00B7394F"/>
    <w:rsid w:val="00B7395C"/>
    <w:rsid w:val="00B73978"/>
    <w:rsid w:val="00B739E8"/>
    <w:rsid w:val="00B739F0"/>
    <w:rsid w:val="00B739F1"/>
    <w:rsid w:val="00B73A01"/>
    <w:rsid w:val="00B73A93"/>
    <w:rsid w:val="00B73AC8"/>
    <w:rsid w:val="00B73ACC"/>
    <w:rsid w:val="00B73AD6"/>
    <w:rsid w:val="00B73B37"/>
    <w:rsid w:val="00B73B9F"/>
    <w:rsid w:val="00B73C14"/>
    <w:rsid w:val="00B73C17"/>
    <w:rsid w:val="00B73C2D"/>
    <w:rsid w:val="00B73C86"/>
    <w:rsid w:val="00B73C88"/>
    <w:rsid w:val="00B73C90"/>
    <w:rsid w:val="00B73CAB"/>
    <w:rsid w:val="00B73CEF"/>
    <w:rsid w:val="00B73D1D"/>
    <w:rsid w:val="00B73D24"/>
    <w:rsid w:val="00B73D34"/>
    <w:rsid w:val="00B73D42"/>
    <w:rsid w:val="00B73D6B"/>
    <w:rsid w:val="00B73D8A"/>
    <w:rsid w:val="00B73D8E"/>
    <w:rsid w:val="00B73DA1"/>
    <w:rsid w:val="00B73DE6"/>
    <w:rsid w:val="00B73DF0"/>
    <w:rsid w:val="00B73E62"/>
    <w:rsid w:val="00B73ECD"/>
    <w:rsid w:val="00B73EE5"/>
    <w:rsid w:val="00B73F22"/>
    <w:rsid w:val="00B73F40"/>
    <w:rsid w:val="00B73F58"/>
    <w:rsid w:val="00B73F6A"/>
    <w:rsid w:val="00B73FFA"/>
    <w:rsid w:val="00B740D5"/>
    <w:rsid w:val="00B740E2"/>
    <w:rsid w:val="00B74153"/>
    <w:rsid w:val="00B74227"/>
    <w:rsid w:val="00B74302"/>
    <w:rsid w:val="00B74329"/>
    <w:rsid w:val="00B7432D"/>
    <w:rsid w:val="00B7434A"/>
    <w:rsid w:val="00B743D1"/>
    <w:rsid w:val="00B743E2"/>
    <w:rsid w:val="00B743FC"/>
    <w:rsid w:val="00B743FD"/>
    <w:rsid w:val="00B743FF"/>
    <w:rsid w:val="00B7441F"/>
    <w:rsid w:val="00B74457"/>
    <w:rsid w:val="00B7445A"/>
    <w:rsid w:val="00B74499"/>
    <w:rsid w:val="00B744A0"/>
    <w:rsid w:val="00B744CC"/>
    <w:rsid w:val="00B74508"/>
    <w:rsid w:val="00B74512"/>
    <w:rsid w:val="00B74524"/>
    <w:rsid w:val="00B74530"/>
    <w:rsid w:val="00B74550"/>
    <w:rsid w:val="00B7457E"/>
    <w:rsid w:val="00B745BE"/>
    <w:rsid w:val="00B745C0"/>
    <w:rsid w:val="00B745EC"/>
    <w:rsid w:val="00B74606"/>
    <w:rsid w:val="00B74641"/>
    <w:rsid w:val="00B74674"/>
    <w:rsid w:val="00B74683"/>
    <w:rsid w:val="00B7468A"/>
    <w:rsid w:val="00B74691"/>
    <w:rsid w:val="00B746CE"/>
    <w:rsid w:val="00B746D6"/>
    <w:rsid w:val="00B746D7"/>
    <w:rsid w:val="00B74706"/>
    <w:rsid w:val="00B7471E"/>
    <w:rsid w:val="00B74720"/>
    <w:rsid w:val="00B747A9"/>
    <w:rsid w:val="00B74803"/>
    <w:rsid w:val="00B74835"/>
    <w:rsid w:val="00B74850"/>
    <w:rsid w:val="00B7486E"/>
    <w:rsid w:val="00B74885"/>
    <w:rsid w:val="00B7489D"/>
    <w:rsid w:val="00B748D0"/>
    <w:rsid w:val="00B74937"/>
    <w:rsid w:val="00B7493C"/>
    <w:rsid w:val="00B749ED"/>
    <w:rsid w:val="00B749FE"/>
    <w:rsid w:val="00B74ADB"/>
    <w:rsid w:val="00B74AF9"/>
    <w:rsid w:val="00B74B22"/>
    <w:rsid w:val="00B74B56"/>
    <w:rsid w:val="00B74BB8"/>
    <w:rsid w:val="00B74BF4"/>
    <w:rsid w:val="00B74C13"/>
    <w:rsid w:val="00B74C33"/>
    <w:rsid w:val="00B74C75"/>
    <w:rsid w:val="00B74CF4"/>
    <w:rsid w:val="00B74D0E"/>
    <w:rsid w:val="00B74D84"/>
    <w:rsid w:val="00B74E3A"/>
    <w:rsid w:val="00B74E48"/>
    <w:rsid w:val="00B74E9F"/>
    <w:rsid w:val="00B74EA6"/>
    <w:rsid w:val="00B74EF8"/>
    <w:rsid w:val="00B74F53"/>
    <w:rsid w:val="00B74F62"/>
    <w:rsid w:val="00B74F84"/>
    <w:rsid w:val="00B74F99"/>
    <w:rsid w:val="00B74FC0"/>
    <w:rsid w:val="00B74FD5"/>
    <w:rsid w:val="00B74FF6"/>
    <w:rsid w:val="00B75009"/>
    <w:rsid w:val="00B75011"/>
    <w:rsid w:val="00B75032"/>
    <w:rsid w:val="00B75083"/>
    <w:rsid w:val="00B750CC"/>
    <w:rsid w:val="00B75162"/>
    <w:rsid w:val="00B751AB"/>
    <w:rsid w:val="00B751E1"/>
    <w:rsid w:val="00B75224"/>
    <w:rsid w:val="00B7524B"/>
    <w:rsid w:val="00B75253"/>
    <w:rsid w:val="00B752B2"/>
    <w:rsid w:val="00B752C1"/>
    <w:rsid w:val="00B752EF"/>
    <w:rsid w:val="00B75302"/>
    <w:rsid w:val="00B75311"/>
    <w:rsid w:val="00B75330"/>
    <w:rsid w:val="00B7534F"/>
    <w:rsid w:val="00B75357"/>
    <w:rsid w:val="00B75361"/>
    <w:rsid w:val="00B753BB"/>
    <w:rsid w:val="00B7543B"/>
    <w:rsid w:val="00B75456"/>
    <w:rsid w:val="00B75483"/>
    <w:rsid w:val="00B75505"/>
    <w:rsid w:val="00B75537"/>
    <w:rsid w:val="00B755C6"/>
    <w:rsid w:val="00B755D0"/>
    <w:rsid w:val="00B755D6"/>
    <w:rsid w:val="00B755F9"/>
    <w:rsid w:val="00B75631"/>
    <w:rsid w:val="00B75638"/>
    <w:rsid w:val="00B75694"/>
    <w:rsid w:val="00B756F2"/>
    <w:rsid w:val="00B756F7"/>
    <w:rsid w:val="00B75738"/>
    <w:rsid w:val="00B757EA"/>
    <w:rsid w:val="00B75813"/>
    <w:rsid w:val="00B75834"/>
    <w:rsid w:val="00B7586F"/>
    <w:rsid w:val="00B75878"/>
    <w:rsid w:val="00B758AA"/>
    <w:rsid w:val="00B75932"/>
    <w:rsid w:val="00B75995"/>
    <w:rsid w:val="00B75996"/>
    <w:rsid w:val="00B759A3"/>
    <w:rsid w:val="00B759C5"/>
    <w:rsid w:val="00B759F9"/>
    <w:rsid w:val="00B75A0E"/>
    <w:rsid w:val="00B75A30"/>
    <w:rsid w:val="00B75A5F"/>
    <w:rsid w:val="00B75A79"/>
    <w:rsid w:val="00B75AB9"/>
    <w:rsid w:val="00B75ACA"/>
    <w:rsid w:val="00B75B48"/>
    <w:rsid w:val="00B75B5E"/>
    <w:rsid w:val="00B75B63"/>
    <w:rsid w:val="00B75B89"/>
    <w:rsid w:val="00B75B9E"/>
    <w:rsid w:val="00B75BA9"/>
    <w:rsid w:val="00B75BF7"/>
    <w:rsid w:val="00B75C18"/>
    <w:rsid w:val="00B75C62"/>
    <w:rsid w:val="00B75D0F"/>
    <w:rsid w:val="00B75D63"/>
    <w:rsid w:val="00B75D8A"/>
    <w:rsid w:val="00B75DA7"/>
    <w:rsid w:val="00B75DE2"/>
    <w:rsid w:val="00B75E56"/>
    <w:rsid w:val="00B75E5E"/>
    <w:rsid w:val="00B75E6E"/>
    <w:rsid w:val="00B75E89"/>
    <w:rsid w:val="00B75ECB"/>
    <w:rsid w:val="00B75ED1"/>
    <w:rsid w:val="00B75F31"/>
    <w:rsid w:val="00B75FA7"/>
    <w:rsid w:val="00B75FAB"/>
    <w:rsid w:val="00B75FCF"/>
    <w:rsid w:val="00B75FF0"/>
    <w:rsid w:val="00B7607D"/>
    <w:rsid w:val="00B760D5"/>
    <w:rsid w:val="00B76112"/>
    <w:rsid w:val="00B7614F"/>
    <w:rsid w:val="00B76167"/>
    <w:rsid w:val="00B76230"/>
    <w:rsid w:val="00B7629A"/>
    <w:rsid w:val="00B762CA"/>
    <w:rsid w:val="00B762FF"/>
    <w:rsid w:val="00B7630B"/>
    <w:rsid w:val="00B76319"/>
    <w:rsid w:val="00B7631F"/>
    <w:rsid w:val="00B76343"/>
    <w:rsid w:val="00B7634D"/>
    <w:rsid w:val="00B76350"/>
    <w:rsid w:val="00B763A8"/>
    <w:rsid w:val="00B763C1"/>
    <w:rsid w:val="00B763CB"/>
    <w:rsid w:val="00B763E2"/>
    <w:rsid w:val="00B7640C"/>
    <w:rsid w:val="00B7644B"/>
    <w:rsid w:val="00B76467"/>
    <w:rsid w:val="00B7647C"/>
    <w:rsid w:val="00B76522"/>
    <w:rsid w:val="00B76585"/>
    <w:rsid w:val="00B765CC"/>
    <w:rsid w:val="00B765DC"/>
    <w:rsid w:val="00B765E5"/>
    <w:rsid w:val="00B765F7"/>
    <w:rsid w:val="00B76620"/>
    <w:rsid w:val="00B76651"/>
    <w:rsid w:val="00B76716"/>
    <w:rsid w:val="00B767B4"/>
    <w:rsid w:val="00B767C7"/>
    <w:rsid w:val="00B767CC"/>
    <w:rsid w:val="00B767EF"/>
    <w:rsid w:val="00B76811"/>
    <w:rsid w:val="00B768FC"/>
    <w:rsid w:val="00B76949"/>
    <w:rsid w:val="00B7694A"/>
    <w:rsid w:val="00B76997"/>
    <w:rsid w:val="00B769DD"/>
    <w:rsid w:val="00B769EB"/>
    <w:rsid w:val="00B76AAB"/>
    <w:rsid w:val="00B76AC8"/>
    <w:rsid w:val="00B76B3C"/>
    <w:rsid w:val="00B76B46"/>
    <w:rsid w:val="00B76B6F"/>
    <w:rsid w:val="00B76C8C"/>
    <w:rsid w:val="00B76D17"/>
    <w:rsid w:val="00B76D70"/>
    <w:rsid w:val="00B76DE8"/>
    <w:rsid w:val="00B76DEC"/>
    <w:rsid w:val="00B76E31"/>
    <w:rsid w:val="00B76E88"/>
    <w:rsid w:val="00B76EA4"/>
    <w:rsid w:val="00B76EBF"/>
    <w:rsid w:val="00B76F4E"/>
    <w:rsid w:val="00B76F51"/>
    <w:rsid w:val="00B76F66"/>
    <w:rsid w:val="00B76F68"/>
    <w:rsid w:val="00B76F96"/>
    <w:rsid w:val="00B76FB5"/>
    <w:rsid w:val="00B77030"/>
    <w:rsid w:val="00B77072"/>
    <w:rsid w:val="00B7707C"/>
    <w:rsid w:val="00B770AE"/>
    <w:rsid w:val="00B770D2"/>
    <w:rsid w:val="00B770DF"/>
    <w:rsid w:val="00B770E1"/>
    <w:rsid w:val="00B770F9"/>
    <w:rsid w:val="00B7712B"/>
    <w:rsid w:val="00B77132"/>
    <w:rsid w:val="00B7715F"/>
    <w:rsid w:val="00B77175"/>
    <w:rsid w:val="00B77196"/>
    <w:rsid w:val="00B771F4"/>
    <w:rsid w:val="00B771F7"/>
    <w:rsid w:val="00B77213"/>
    <w:rsid w:val="00B77268"/>
    <w:rsid w:val="00B77275"/>
    <w:rsid w:val="00B77315"/>
    <w:rsid w:val="00B77326"/>
    <w:rsid w:val="00B77343"/>
    <w:rsid w:val="00B7734C"/>
    <w:rsid w:val="00B77392"/>
    <w:rsid w:val="00B7739C"/>
    <w:rsid w:val="00B773A7"/>
    <w:rsid w:val="00B773AC"/>
    <w:rsid w:val="00B773FA"/>
    <w:rsid w:val="00B77432"/>
    <w:rsid w:val="00B77474"/>
    <w:rsid w:val="00B77499"/>
    <w:rsid w:val="00B774BF"/>
    <w:rsid w:val="00B774E3"/>
    <w:rsid w:val="00B774F8"/>
    <w:rsid w:val="00B7750D"/>
    <w:rsid w:val="00B7750E"/>
    <w:rsid w:val="00B7756D"/>
    <w:rsid w:val="00B775D1"/>
    <w:rsid w:val="00B775DA"/>
    <w:rsid w:val="00B775E4"/>
    <w:rsid w:val="00B775EE"/>
    <w:rsid w:val="00B77651"/>
    <w:rsid w:val="00B77675"/>
    <w:rsid w:val="00B77698"/>
    <w:rsid w:val="00B776B1"/>
    <w:rsid w:val="00B776EF"/>
    <w:rsid w:val="00B77720"/>
    <w:rsid w:val="00B77752"/>
    <w:rsid w:val="00B7780A"/>
    <w:rsid w:val="00B77841"/>
    <w:rsid w:val="00B77853"/>
    <w:rsid w:val="00B77858"/>
    <w:rsid w:val="00B7788C"/>
    <w:rsid w:val="00B7788F"/>
    <w:rsid w:val="00B778A3"/>
    <w:rsid w:val="00B778ED"/>
    <w:rsid w:val="00B7794F"/>
    <w:rsid w:val="00B7796D"/>
    <w:rsid w:val="00B7796E"/>
    <w:rsid w:val="00B77986"/>
    <w:rsid w:val="00B7798B"/>
    <w:rsid w:val="00B779E5"/>
    <w:rsid w:val="00B77A0C"/>
    <w:rsid w:val="00B77A21"/>
    <w:rsid w:val="00B77A66"/>
    <w:rsid w:val="00B77A6F"/>
    <w:rsid w:val="00B77ABC"/>
    <w:rsid w:val="00B77AD1"/>
    <w:rsid w:val="00B77AD4"/>
    <w:rsid w:val="00B77AF9"/>
    <w:rsid w:val="00B77B13"/>
    <w:rsid w:val="00B77B68"/>
    <w:rsid w:val="00B77BC6"/>
    <w:rsid w:val="00B77BF2"/>
    <w:rsid w:val="00B77C0A"/>
    <w:rsid w:val="00B77C35"/>
    <w:rsid w:val="00B77C41"/>
    <w:rsid w:val="00B77C43"/>
    <w:rsid w:val="00B77CD3"/>
    <w:rsid w:val="00B77CDF"/>
    <w:rsid w:val="00B77CEB"/>
    <w:rsid w:val="00B77D19"/>
    <w:rsid w:val="00B77D8E"/>
    <w:rsid w:val="00B77DB6"/>
    <w:rsid w:val="00B77E4C"/>
    <w:rsid w:val="00B77E81"/>
    <w:rsid w:val="00B77ED8"/>
    <w:rsid w:val="00B77EF1"/>
    <w:rsid w:val="00B77F0A"/>
    <w:rsid w:val="00B77F79"/>
    <w:rsid w:val="00B77F7C"/>
    <w:rsid w:val="00B77FBD"/>
    <w:rsid w:val="00B80007"/>
    <w:rsid w:val="00B80017"/>
    <w:rsid w:val="00B8007F"/>
    <w:rsid w:val="00B800BF"/>
    <w:rsid w:val="00B800EA"/>
    <w:rsid w:val="00B8013D"/>
    <w:rsid w:val="00B801BA"/>
    <w:rsid w:val="00B80275"/>
    <w:rsid w:val="00B802C0"/>
    <w:rsid w:val="00B802DC"/>
    <w:rsid w:val="00B80326"/>
    <w:rsid w:val="00B8037A"/>
    <w:rsid w:val="00B80385"/>
    <w:rsid w:val="00B8039B"/>
    <w:rsid w:val="00B803E0"/>
    <w:rsid w:val="00B803E1"/>
    <w:rsid w:val="00B804CA"/>
    <w:rsid w:val="00B804E8"/>
    <w:rsid w:val="00B804EF"/>
    <w:rsid w:val="00B8051D"/>
    <w:rsid w:val="00B80532"/>
    <w:rsid w:val="00B80551"/>
    <w:rsid w:val="00B80556"/>
    <w:rsid w:val="00B80568"/>
    <w:rsid w:val="00B80589"/>
    <w:rsid w:val="00B805B9"/>
    <w:rsid w:val="00B80637"/>
    <w:rsid w:val="00B8064C"/>
    <w:rsid w:val="00B806F3"/>
    <w:rsid w:val="00B8073B"/>
    <w:rsid w:val="00B80740"/>
    <w:rsid w:val="00B8075A"/>
    <w:rsid w:val="00B80762"/>
    <w:rsid w:val="00B80791"/>
    <w:rsid w:val="00B807B1"/>
    <w:rsid w:val="00B807C3"/>
    <w:rsid w:val="00B807D5"/>
    <w:rsid w:val="00B807E1"/>
    <w:rsid w:val="00B8080F"/>
    <w:rsid w:val="00B80811"/>
    <w:rsid w:val="00B80833"/>
    <w:rsid w:val="00B8092A"/>
    <w:rsid w:val="00B80938"/>
    <w:rsid w:val="00B80956"/>
    <w:rsid w:val="00B80A15"/>
    <w:rsid w:val="00B80A4D"/>
    <w:rsid w:val="00B80A6A"/>
    <w:rsid w:val="00B80A75"/>
    <w:rsid w:val="00B80A86"/>
    <w:rsid w:val="00B80B31"/>
    <w:rsid w:val="00B80B52"/>
    <w:rsid w:val="00B80B71"/>
    <w:rsid w:val="00B80BED"/>
    <w:rsid w:val="00B80BEE"/>
    <w:rsid w:val="00B80BF4"/>
    <w:rsid w:val="00B80CD6"/>
    <w:rsid w:val="00B80DCA"/>
    <w:rsid w:val="00B80E36"/>
    <w:rsid w:val="00B80E69"/>
    <w:rsid w:val="00B80E83"/>
    <w:rsid w:val="00B80EC4"/>
    <w:rsid w:val="00B80ED8"/>
    <w:rsid w:val="00B80EE0"/>
    <w:rsid w:val="00B80EF1"/>
    <w:rsid w:val="00B80F56"/>
    <w:rsid w:val="00B80FD3"/>
    <w:rsid w:val="00B80FEC"/>
    <w:rsid w:val="00B8104E"/>
    <w:rsid w:val="00B81075"/>
    <w:rsid w:val="00B8108D"/>
    <w:rsid w:val="00B81090"/>
    <w:rsid w:val="00B810DE"/>
    <w:rsid w:val="00B810F4"/>
    <w:rsid w:val="00B8111B"/>
    <w:rsid w:val="00B81148"/>
    <w:rsid w:val="00B811AD"/>
    <w:rsid w:val="00B811BE"/>
    <w:rsid w:val="00B811F7"/>
    <w:rsid w:val="00B81236"/>
    <w:rsid w:val="00B812BF"/>
    <w:rsid w:val="00B812FD"/>
    <w:rsid w:val="00B812FF"/>
    <w:rsid w:val="00B81307"/>
    <w:rsid w:val="00B8132E"/>
    <w:rsid w:val="00B8138D"/>
    <w:rsid w:val="00B813C1"/>
    <w:rsid w:val="00B8149D"/>
    <w:rsid w:val="00B8155A"/>
    <w:rsid w:val="00B81672"/>
    <w:rsid w:val="00B8167C"/>
    <w:rsid w:val="00B81698"/>
    <w:rsid w:val="00B8169F"/>
    <w:rsid w:val="00B816E0"/>
    <w:rsid w:val="00B816F3"/>
    <w:rsid w:val="00B81751"/>
    <w:rsid w:val="00B8179B"/>
    <w:rsid w:val="00B817F5"/>
    <w:rsid w:val="00B81805"/>
    <w:rsid w:val="00B8183A"/>
    <w:rsid w:val="00B81885"/>
    <w:rsid w:val="00B81898"/>
    <w:rsid w:val="00B818A5"/>
    <w:rsid w:val="00B818E7"/>
    <w:rsid w:val="00B8194E"/>
    <w:rsid w:val="00B81963"/>
    <w:rsid w:val="00B819DB"/>
    <w:rsid w:val="00B819E7"/>
    <w:rsid w:val="00B81A13"/>
    <w:rsid w:val="00B81A2B"/>
    <w:rsid w:val="00B81A33"/>
    <w:rsid w:val="00B81A3F"/>
    <w:rsid w:val="00B81A59"/>
    <w:rsid w:val="00B81A5D"/>
    <w:rsid w:val="00B81A8B"/>
    <w:rsid w:val="00B81B4F"/>
    <w:rsid w:val="00B81BAB"/>
    <w:rsid w:val="00B81BBE"/>
    <w:rsid w:val="00B81BDE"/>
    <w:rsid w:val="00B81C1A"/>
    <w:rsid w:val="00B81C36"/>
    <w:rsid w:val="00B81C58"/>
    <w:rsid w:val="00B81C6B"/>
    <w:rsid w:val="00B81C6D"/>
    <w:rsid w:val="00B81C8F"/>
    <w:rsid w:val="00B81CB8"/>
    <w:rsid w:val="00B81CCB"/>
    <w:rsid w:val="00B81D15"/>
    <w:rsid w:val="00B81D21"/>
    <w:rsid w:val="00B81D5D"/>
    <w:rsid w:val="00B81D73"/>
    <w:rsid w:val="00B81D8C"/>
    <w:rsid w:val="00B81DBA"/>
    <w:rsid w:val="00B81DC3"/>
    <w:rsid w:val="00B81E65"/>
    <w:rsid w:val="00B81E83"/>
    <w:rsid w:val="00B81E86"/>
    <w:rsid w:val="00B81E94"/>
    <w:rsid w:val="00B81EAE"/>
    <w:rsid w:val="00B81F09"/>
    <w:rsid w:val="00B81F8A"/>
    <w:rsid w:val="00B81F98"/>
    <w:rsid w:val="00B81FA3"/>
    <w:rsid w:val="00B820B2"/>
    <w:rsid w:val="00B820E4"/>
    <w:rsid w:val="00B82101"/>
    <w:rsid w:val="00B82115"/>
    <w:rsid w:val="00B82123"/>
    <w:rsid w:val="00B82157"/>
    <w:rsid w:val="00B82169"/>
    <w:rsid w:val="00B821AB"/>
    <w:rsid w:val="00B821D9"/>
    <w:rsid w:val="00B82231"/>
    <w:rsid w:val="00B82235"/>
    <w:rsid w:val="00B822AA"/>
    <w:rsid w:val="00B822AC"/>
    <w:rsid w:val="00B822F2"/>
    <w:rsid w:val="00B82318"/>
    <w:rsid w:val="00B82332"/>
    <w:rsid w:val="00B8234C"/>
    <w:rsid w:val="00B82365"/>
    <w:rsid w:val="00B823CB"/>
    <w:rsid w:val="00B823E0"/>
    <w:rsid w:val="00B82414"/>
    <w:rsid w:val="00B82470"/>
    <w:rsid w:val="00B824C1"/>
    <w:rsid w:val="00B82501"/>
    <w:rsid w:val="00B82517"/>
    <w:rsid w:val="00B82527"/>
    <w:rsid w:val="00B8253C"/>
    <w:rsid w:val="00B82551"/>
    <w:rsid w:val="00B82582"/>
    <w:rsid w:val="00B825C3"/>
    <w:rsid w:val="00B825C4"/>
    <w:rsid w:val="00B825DB"/>
    <w:rsid w:val="00B8264E"/>
    <w:rsid w:val="00B8268A"/>
    <w:rsid w:val="00B826D1"/>
    <w:rsid w:val="00B826DD"/>
    <w:rsid w:val="00B82777"/>
    <w:rsid w:val="00B82784"/>
    <w:rsid w:val="00B827E5"/>
    <w:rsid w:val="00B82819"/>
    <w:rsid w:val="00B8282D"/>
    <w:rsid w:val="00B82835"/>
    <w:rsid w:val="00B828FA"/>
    <w:rsid w:val="00B8292C"/>
    <w:rsid w:val="00B82938"/>
    <w:rsid w:val="00B82965"/>
    <w:rsid w:val="00B82987"/>
    <w:rsid w:val="00B829D3"/>
    <w:rsid w:val="00B82AA8"/>
    <w:rsid w:val="00B82B21"/>
    <w:rsid w:val="00B82B2A"/>
    <w:rsid w:val="00B82B78"/>
    <w:rsid w:val="00B82BA6"/>
    <w:rsid w:val="00B82BA7"/>
    <w:rsid w:val="00B82C05"/>
    <w:rsid w:val="00B82C24"/>
    <w:rsid w:val="00B82C41"/>
    <w:rsid w:val="00B82C46"/>
    <w:rsid w:val="00B82CA7"/>
    <w:rsid w:val="00B82D24"/>
    <w:rsid w:val="00B82D48"/>
    <w:rsid w:val="00B82D49"/>
    <w:rsid w:val="00B82D60"/>
    <w:rsid w:val="00B82D7D"/>
    <w:rsid w:val="00B82DE7"/>
    <w:rsid w:val="00B82DE9"/>
    <w:rsid w:val="00B82E62"/>
    <w:rsid w:val="00B82E98"/>
    <w:rsid w:val="00B82E9B"/>
    <w:rsid w:val="00B82EA7"/>
    <w:rsid w:val="00B82F1E"/>
    <w:rsid w:val="00B82F7F"/>
    <w:rsid w:val="00B82FAC"/>
    <w:rsid w:val="00B82FB6"/>
    <w:rsid w:val="00B82FFE"/>
    <w:rsid w:val="00B8300C"/>
    <w:rsid w:val="00B8301C"/>
    <w:rsid w:val="00B83055"/>
    <w:rsid w:val="00B8305E"/>
    <w:rsid w:val="00B8306C"/>
    <w:rsid w:val="00B83096"/>
    <w:rsid w:val="00B8309B"/>
    <w:rsid w:val="00B830A5"/>
    <w:rsid w:val="00B830B5"/>
    <w:rsid w:val="00B83116"/>
    <w:rsid w:val="00B83131"/>
    <w:rsid w:val="00B83143"/>
    <w:rsid w:val="00B831B7"/>
    <w:rsid w:val="00B8320C"/>
    <w:rsid w:val="00B83215"/>
    <w:rsid w:val="00B83230"/>
    <w:rsid w:val="00B83251"/>
    <w:rsid w:val="00B83256"/>
    <w:rsid w:val="00B832AE"/>
    <w:rsid w:val="00B832B1"/>
    <w:rsid w:val="00B832BD"/>
    <w:rsid w:val="00B83324"/>
    <w:rsid w:val="00B83380"/>
    <w:rsid w:val="00B83387"/>
    <w:rsid w:val="00B833A5"/>
    <w:rsid w:val="00B833E7"/>
    <w:rsid w:val="00B833EE"/>
    <w:rsid w:val="00B83427"/>
    <w:rsid w:val="00B83439"/>
    <w:rsid w:val="00B83483"/>
    <w:rsid w:val="00B834FD"/>
    <w:rsid w:val="00B83507"/>
    <w:rsid w:val="00B8351F"/>
    <w:rsid w:val="00B8354A"/>
    <w:rsid w:val="00B835AB"/>
    <w:rsid w:val="00B835DD"/>
    <w:rsid w:val="00B835E4"/>
    <w:rsid w:val="00B835E5"/>
    <w:rsid w:val="00B835FD"/>
    <w:rsid w:val="00B8360C"/>
    <w:rsid w:val="00B83638"/>
    <w:rsid w:val="00B83682"/>
    <w:rsid w:val="00B83684"/>
    <w:rsid w:val="00B83733"/>
    <w:rsid w:val="00B8374E"/>
    <w:rsid w:val="00B83759"/>
    <w:rsid w:val="00B8376B"/>
    <w:rsid w:val="00B837D5"/>
    <w:rsid w:val="00B837FA"/>
    <w:rsid w:val="00B8382A"/>
    <w:rsid w:val="00B83841"/>
    <w:rsid w:val="00B8388B"/>
    <w:rsid w:val="00B83895"/>
    <w:rsid w:val="00B838E2"/>
    <w:rsid w:val="00B838E5"/>
    <w:rsid w:val="00B838E6"/>
    <w:rsid w:val="00B838F1"/>
    <w:rsid w:val="00B83910"/>
    <w:rsid w:val="00B83956"/>
    <w:rsid w:val="00B83977"/>
    <w:rsid w:val="00B839E4"/>
    <w:rsid w:val="00B83A17"/>
    <w:rsid w:val="00B83AB3"/>
    <w:rsid w:val="00B83B2E"/>
    <w:rsid w:val="00B83B97"/>
    <w:rsid w:val="00B83BB9"/>
    <w:rsid w:val="00B83BD5"/>
    <w:rsid w:val="00B83BF3"/>
    <w:rsid w:val="00B83BF5"/>
    <w:rsid w:val="00B83C4A"/>
    <w:rsid w:val="00B83CA1"/>
    <w:rsid w:val="00B83CBB"/>
    <w:rsid w:val="00B83CBD"/>
    <w:rsid w:val="00B83D26"/>
    <w:rsid w:val="00B83D34"/>
    <w:rsid w:val="00B83DF6"/>
    <w:rsid w:val="00B83E0E"/>
    <w:rsid w:val="00B83E2D"/>
    <w:rsid w:val="00B83E9B"/>
    <w:rsid w:val="00B83EBC"/>
    <w:rsid w:val="00B83EE1"/>
    <w:rsid w:val="00B83F8A"/>
    <w:rsid w:val="00B83FBB"/>
    <w:rsid w:val="00B8402B"/>
    <w:rsid w:val="00B84056"/>
    <w:rsid w:val="00B84083"/>
    <w:rsid w:val="00B840A3"/>
    <w:rsid w:val="00B840EA"/>
    <w:rsid w:val="00B841C3"/>
    <w:rsid w:val="00B841C6"/>
    <w:rsid w:val="00B841EA"/>
    <w:rsid w:val="00B842CC"/>
    <w:rsid w:val="00B84320"/>
    <w:rsid w:val="00B84341"/>
    <w:rsid w:val="00B84370"/>
    <w:rsid w:val="00B8443B"/>
    <w:rsid w:val="00B84478"/>
    <w:rsid w:val="00B8447A"/>
    <w:rsid w:val="00B84483"/>
    <w:rsid w:val="00B84536"/>
    <w:rsid w:val="00B8454F"/>
    <w:rsid w:val="00B84568"/>
    <w:rsid w:val="00B8456B"/>
    <w:rsid w:val="00B84594"/>
    <w:rsid w:val="00B845CA"/>
    <w:rsid w:val="00B845CC"/>
    <w:rsid w:val="00B845E2"/>
    <w:rsid w:val="00B8460E"/>
    <w:rsid w:val="00B84610"/>
    <w:rsid w:val="00B84622"/>
    <w:rsid w:val="00B84684"/>
    <w:rsid w:val="00B846AE"/>
    <w:rsid w:val="00B846FE"/>
    <w:rsid w:val="00B84762"/>
    <w:rsid w:val="00B84789"/>
    <w:rsid w:val="00B8482D"/>
    <w:rsid w:val="00B848A2"/>
    <w:rsid w:val="00B848A8"/>
    <w:rsid w:val="00B8490F"/>
    <w:rsid w:val="00B84932"/>
    <w:rsid w:val="00B8493F"/>
    <w:rsid w:val="00B84954"/>
    <w:rsid w:val="00B84959"/>
    <w:rsid w:val="00B84986"/>
    <w:rsid w:val="00B849AD"/>
    <w:rsid w:val="00B849D3"/>
    <w:rsid w:val="00B84A02"/>
    <w:rsid w:val="00B84A70"/>
    <w:rsid w:val="00B84A96"/>
    <w:rsid w:val="00B84ABA"/>
    <w:rsid w:val="00B84AC0"/>
    <w:rsid w:val="00B84B0D"/>
    <w:rsid w:val="00B84B6B"/>
    <w:rsid w:val="00B84B8B"/>
    <w:rsid w:val="00B84B8C"/>
    <w:rsid w:val="00B84C44"/>
    <w:rsid w:val="00B84C47"/>
    <w:rsid w:val="00B84C69"/>
    <w:rsid w:val="00B84D10"/>
    <w:rsid w:val="00B84D3F"/>
    <w:rsid w:val="00B84DB7"/>
    <w:rsid w:val="00B84DE3"/>
    <w:rsid w:val="00B84DEA"/>
    <w:rsid w:val="00B84DEB"/>
    <w:rsid w:val="00B84EBC"/>
    <w:rsid w:val="00B84F0B"/>
    <w:rsid w:val="00B84F12"/>
    <w:rsid w:val="00B84F81"/>
    <w:rsid w:val="00B84F96"/>
    <w:rsid w:val="00B84FA5"/>
    <w:rsid w:val="00B84FA9"/>
    <w:rsid w:val="00B84FB2"/>
    <w:rsid w:val="00B84FF3"/>
    <w:rsid w:val="00B85013"/>
    <w:rsid w:val="00B85023"/>
    <w:rsid w:val="00B85047"/>
    <w:rsid w:val="00B85082"/>
    <w:rsid w:val="00B850B4"/>
    <w:rsid w:val="00B850C0"/>
    <w:rsid w:val="00B8516E"/>
    <w:rsid w:val="00B85192"/>
    <w:rsid w:val="00B8519F"/>
    <w:rsid w:val="00B851AF"/>
    <w:rsid w:val="00B851F5"/>
    <w:rsid w:val="00B8521A"/>
    <w:rsid w:val="00B85231"/>
    <w:rsid w:val="00B85238"/>
    <w:rsid w:val="00B85284"/>
    <w:rsid w:val="00B85292"/>
    <w:rsid w:val="00B852D2"/>
    <w:rsid w:val="00B8530B"/>
    <w:rsid w:val="00B85371"/>
    <w:rsid w:val="00B85372"/>
    <w:rsid w:val="00B853A3"/>
    <w:rsid w:val="00B853D2"/>
    <w:rsid w:val="00B85424"/>
    <w:rsid w:val="00B854D1"/>
    <w:rsid w:val="00B854D2"/>
    <w:rsid w:val="00B854DC"/>
    <w:rsid w:val="00B8555E"/>
    <w:rsid w:val="00B8559A"/>
    <w:rsid w:val="00B855D2"/>
    <w:rsid w:val="00B85614"/>
    <w:rsid w:val="00B856B4"/>
    <w:rsid w:val="00B856C1"/>
    <w:rsid w:val="00B856CC"/>
    <w:rsid w:val="00B85722"/>
    <w:rsid w:val="00B8572E"/>
    <w:rsid w:val="00B85819"/>
    <w:rsid w:val="00B85822"/>
    <w:rsid w:val="00B858A3"/>
    <w:rsid w:val="00B858BA"/>
    <w:rsid w:val="00B858CC"/>
    <w:rsid w:val="00B858D0"/>
    <w:rsid w:val="00B85916"/>
    <w:rsid w:val="00B8597A"/>
    <w:rsid w:val="00B859CE"/>
    <w:rsid w:val="00B859D8"/>
    <w:rsid w:val="00B859EF"/>
    <w:rsid w:val="00B85A10"/>
    <w:rsid w:val="00B85A39"/>
    <w:rsid w:val="00B85A63"/>
    <w:rsid w:val="00B85A69"/>
    <w:rsid w:val="00B85A84"/>
    <w:rsid w:val="00B85ACC"/>
    <w:rsid w:val="00B85ADE"/>
    <w:rsid w:val="00B85AE3"/>
    <w:rsid w:val="00B85AFB"/>
    <w:rsid w:val="00B85B22"/>
    <w:rsid w:val="00B85B5F"/>
    <w:rsid w:val="00B85B77"/>
    <w:rsid w:val="00B85B7D"/>
    <w:rsid w:val="00B85B7E"/>
    <w:rsid w:val="00B85BA4"/>
    <w:rsid w:val="00B85BB5"/>
    <w:rsid w:val="00B85BE4"/>
    <w:rsid w:val="00B85C22"/>
    <w:rsid w:val="00B85C42"/>
    <w:rsid w:val="00B85C57"/>
    <w:rsid w:val="00B85C7C"/>
    <w:rsid w:val="00B85CDD"/>
    <w:rsid w:val="00B85D82"/>
    <w:rsid w:val="00B85D8D"/>
    <w:rsid w:val="00B85E1E"/>
    <w:rsid w:val="00B85E25"/>
    <w:rsid w:val="00B85E56"/>
    <w:rsid w:val="00B85EAA"/>
    <w:rsid w:val="00B85ED5"/>
    <w:rsid w:val="00B85EDF"/>
    <w:rsid w:val="00B85FF8"/>
    <w:rsid w:val="00B86010"/>
    <w:rsid w:val="00B8602D"/>
    <w:rsid w:val="00B86093"/>
    <w:rsid w:val="00B860EA"/>
    <w:rsid w:val="00B86165"/>
    <w:rsid w:val="00B8619F"/>
    <w:rsid w:val="00B861ED"/>
    <w:rsid w:val="00B861FA"/>
    <w:rsid w:val="00B86227"/>
    <w:rsid w:val="00B86249"/>
    <w:rsid w:val="00B8624D"/>
    <w:rsid w:val="00B8626A"/>
    <w:rsid w:val="00B86340"/>
    <w:rsid w:val="00B863A2"/>
    <w:rsid w:val="00B863D5"/>
    <w:rsid w:val="00B863DC"/>
    <w:rsid w:val="00B863EF"/>
    <w:rsid w:val="00B8641C"/>
    <w:rsid w:val="00B86448"/>
    <w:rsid w:val="00B86476"/>
    <w:rsid w:val="00B86492"/>
    <w:rsid w:val="00B864FF"/>
    <w:rsid w:val="00B86526"/>
    <w:rsid w:val="00B8652E"/>
    <w:rsid w:val="00B865B5"/>
    <w:rsid w:val="00B86625"/>
    <w:rsid w:val="00B86629"/>
    <w:rsid w:val="00B8666F"/>
    <w:rsid w:val="00B866AB"/>
    <w:rsid w:val="00B866B2"/>
    <w:rsid w:val="00B866B7"/>
    <w:rsid w:val="00B867BC"/>
    <w:rsid w:val="00B867D5"/>
    <w:rsid w:val="00B86878"/>
    <w:rsid w:val="00B86897"/>
    <w:rsid w:val="00B86898"/>
    <w:rsid w:val="00B86909"/>
    <w:rsid w:val="00B86940"/>
    <w:rsid w:val="00B86973"/>
    <w:rsid w:val="00B86AAC"/>
    <w:rsid w:val="00B86AC6"/>
    <w:rsid w:val="00B86AC7"/>
    <w:rsid w:val="00B86ADB"/>
    <w:rsid w:val="00B86AF6"/>
    <w:rsid w:val="00B86B0B"/>
    <w:rsid w:val="00B86B16"/>
    <w:rsid w:val="00B86B30"/>
    <w:rsid w:val="00B86B83"/>
    <w:rsid w:val="00B86BB7"/>
    <w:rsid w:val="00B86BC1"/>
    <w:rsid w:val="00B86C13"/>
    <w:rsid w:val="00B86C31"/>
    <w:rsid w:val="00B86C46"/>
    <w:rsid w:val="00B86C67"/>
    <w:rsid w:val="00B86CB2"/>
    <w:rsid w:val="00B86CD3"/>
    <w:rsid w:val="00B86CD7"/>
    <w:rsid w:val="00B86CE2"/>
    <w:rsid w:val="00B86D6A"/>
    <w:rsid w:val="00B86DAA"/>
    <w:rsid w:val="00B86DAD"/>
    <w:rsid w:val="00B86DB3"/>
    <w:rsid w:val="00B86DB4"/>
    <w:rsid w:val="00B86E4D"/>
    <w:rsid w:val="00B86E62"/>
    <w:rsid w:val="00B86EA1"/>
    <w:rsid w:val="00B86EDE"/>
    <w:rsid w:val="00B86F31"/>
    <w:rsid w:val="00B86F57"/>
    <w:rsid w:val="00B86F76"/>
    <w:rsid w:val="00B86F9B"/>
    <w:rsid w:val="00B8700E"/>
    <w:rsid w:val="00B870B6"/>
    <w:rsid w:val="00B871C0"/>
    <w:rsid w:val="00B87285"/>
    <w:rsid w:val="00B872BD"/>
    <w:rsid w:val="00B8731C"/>
    <w:rsid w:val="00B87325"/>
    <w:rsid w:val="00B87353"/>
    <w:rsid w:val="00B873FE"/>
    <w:rsid w:val="00B87461"/>
    <w:rsid w:val="00B8746E"/>
    <w:rsid w:val="00B874C9"/>
    <w:rsid w:val="00B874E0"/>
    <w:rsid w:val="00B874EA"/>
    <w:rsid w:val="00B87518"/>
    <w:rsid w:val="00B8757B"/>
    <w:rsid w:val="00B8758D"/>
    <w:rsid w:val="00B87609"/>
    <w:rsid w:val="00B87610"/>
    <w:rsid w:val="00B8762D"/>
    <w:rsid w:val="00B87641"/>
    <w:rsid w:val="00B8765A"/>
    <w:rsid w:val="00B87673"/>
    <w:rsid w:val="00B876E3"/>
    <w:rsid w:val="00B876F2"/>
    <w:rsid w:val="00B8771B"/>
    <w:rsid w:val="00B87761"/>
    <w:rsid w:val="00B877E1"/>
    <w:rsid w:val="00B877E2"/>
    <w:rsid w:val="00B877F4"/>
    <w:rsid w:val="00B8780B"/>
    <w:rsid w:val="00B8780E"/>
    <w:rsid w:val="00B8782C"/>
    <w:rsid w:val="00B87847"/>
    <w:rsid w:val="00B87868"/>
    <w:rsid w:val="00B878A0"/>
    <w:rsid w:val="00B878A9"/>
    <w:rsid w:val="00B878F5"/>
    <w:rsid w:val="00B87927"/>
    <w:rsid w:val="00B87934"/>
    <w:rsid w:val="00B879F0"/>
    <w:rsid w:val="00B87A1A"/>
    <w:rsid w:val="00B87A1E"/>
    <w:rsid w:val="00B87A39"/>
    <w:rsid w:val="00B87A51"/>
    <w:rsid w:val="00B87A72"/>
    <w:rsid w:val="00B87A9B"/>
    <w:rsid w:val="00B87AD1"/>
    <w:rsid w:val="00B87B6C"/>
    <w:rsid w:val="00B87BC3"/>
    <w:rsid w:val="00B87BE7"/>
    <w:rsid w:val="00B87C14"/>
    <w:rsid w:val="00B87C2A"/>
    <w:rsid w:val="00B87C60"/>
    <w:rsid w:val="00B87CB6"/>
    <w:rsid w:val="00B87CBF"/>
    <w:rsid w:val="00B87D12"/>
    <w:rsid w:val="00B87D4C"/>
    <w:rsid w:val="00B87D7B"/>
    <w:rsid w:val="00B87DC4"/>
    <w:rsid w:val="00B87E1F"/>
    <w:rsid w:val="00B87EAC"/>
    <w:rsid w:val="00B87EE4"/>
    <w:rsid w:val="00B87EE8"/>
    <w:rsid w:val="00B87EED"/>
    <w:rsid w:val="00B87EF3"/>
    <w:rsid w:val="00B87EFF"/>
    <w:rsid w:val="00B87F2D"/>
    <w:rsid w:val="00B87FE8"/>
    <w:rsid w:val="00B9007B"/>
    <w:rsid w:val="00B900A9"/>
    <w:rsid w:val="00B900FF"/>
    <w:rsid w:val="00B90148"/>
    <w:rsid w:val="00B90187"/>
    <w:rsid w:val="00B901CC"/>
    <w:rsid w:val="00B901CE"/>
    <w:rsid w:val="00B9025B"/>
    <w:rsid w:val="00B90277"/>
    <w:rsid w:val="00B9028D"/>
    <w:rsid w:val="00B902A4"/>
    <w:rsid w:val="00B902E2"/>
    <w:rsid w:val="00B902E3"/>
    <w:rsid w:val="00B90361"/>
    <w:rsid w:val="00B9037E"/>
    <w:rsid w:val="00B9041A"/>
    <w:rsid w:val="00B90433"/>
    <w:rsid w:val="00B90452"/>
    <w:rsid w:val="00B90468"/>
    <w:rsid w:val="00B9046A"/>
    <w:rsid w:val="00B904A3"/>
    <w:rsid w:val="00B904CA"/>
    <w:rsid w:val="00B904DB"/>
    <w:rsid w:val="00B904E4"/>
    <w:rsid w:val="00B905FA"/>
    <w:rsid w:val="00B90635"/>
    <w:rsid w:val="00B90648"/>
    <w:rsid w:val="00B90681"/>
    <w:rsid w:val="00B906C4"/>
    <w:rsid w:val="00B906C5"/>
    <w:rsid w:val="00B906DD"/>
    <w:rsid w:val="00B9070C"/>
    <w:rsid w:val="00B9075D"/>
    <w:rsid w:val="00B907A7"/>
    <w:rsid w:val="00B907B7"/>
    <w:rsid w:val="00B907FC"/>
    <w:rsid w:val="00B90848"/>
    <w:rsid w:val="00B9087A"/>
    <w:rsid w:val="00B908E8"/>
    <w:rsid w:val="00B908F5"/>
    <w:rsid w:val="00B90932"/>
    <w:rsid w:val="00B9093B"/>
    <w:rsid w:val="00B9094E"/>
    <w:rsid w:val="00B9098D"/>
    <w:rsid w:val="00B909A8"/>
    <w:rsid w:val="00B909AE"/>
    <w:rsid w:val="00B909BC"/>
    <w:rsid w:val="00B909E0"/>
    <w:rsid w:val="00B90A38"/>
    <w:rsid w:val="00B90A4E"/>
    <w:rsid w:val="00B90A56"/>
    <w:rsid w:val="00B90A8C"/>
    <w:rsid w:val="00B90ABB"/>
    <w:rsid w:val="00B90AD8"/>
    <w:rsid w:val="00B90AE5"/>
    <w:rsid w:val="00B90B68"/>
    <w:rsid w:val="00B90BC6"/>
    <w:rsid w:val="00B90BFF"/>
    <w:rsid w:val="00B90C56"/>
    <w:rsid w:val="00B90C68"/>
    <w:rsid w:val="00B90CBE"/>
    <w:rsid w:val="00B90CDF"/>
    <w:rsid w:val="00B90D33"/>
    <w:rsid w:val="00B90DDD"/>
    <w:rsid w:val="00B90EDE"/>
    <w:rsid w:val="00B90F10"/>
    <w:rsid w:val="00B90F44"/>
    <w:rsid w:val="00B90F52"/>
    <w:rsid w:val="00B90F82"/>
    <w:rsid w:val="00B90FD3"/>
    <w:rsid w:val="00B91000"/>
    <w:rsid w:val="00B9117C"/>
    <w:rsid w:val="00B9118B"/>
    <w:rsid w:val="00B91198"/>
    <w:rsid w:val="00B9119C"/>
    <w:rsid w:val="00B911F1"/>
    <w:rsid w:val="00B91239"/>
    <w:rsid w:val="00B91280"/>
    <w:rsid w:val="00B91294"/>
    <w:rsid w:val="00B912A0"/>
    <w:rsid w:val="00B91327"/>
    <w:rsid w:val="00B91359"/>
    <w:rsid w:val="00B9137A"/>
    <w:rsid w:val="00B913A0"/>
    <w:rsid w:val="00B913E4"/>
    <w:rsid w:val="00B913FE"/>
    <w:rsid w:val="00B91402"/>
    <w:rsid w:val="00B91418"/>
    <w:rsid w:val="00B9142A"/>
    <w:rsid w:val="00B91486"/>
    <w:rsid w:val="00B9148B"/>
    <w:rsid w:val="00B914C4"/>
    <w:rsid w:val="00B91518"/>
    <w:rsid w:val="00B91538"/>
    <w:rsid w:val="00B9153C"/>
    <w:rsid w:val="00B915A2"/>
    <w:rsid w:val="00B915AA"/>
    <w:rsid w:val="00B915EB"/>
    <w:rsid w:val="00B91643"/>
    <w:rsid w:val="00B91701"/>
    <w:rsid w:val="00B91749"/>
    <w:rsid w:val="00B91775"/>
    <w:rsid w:val="00B91816"/>
    <w:rsid w:val="00B91845"/>
    <w:rsid w:val="00B918FD"/>
    <w:rsid w:val="00B9190D"/>
    <w:rsid w:val="00B919CF"/>
    <w:rsid w:val="00B919EA"/>
    <w:rsid w:val="00B91A32"/>
    <w:rsid w:val="00B91A6E"/>
    <w:rsid w:val="00B91B6D"/>
    <w:rsid w:val="00B91B83"/>
    <w:rsid w:val="00B91BD2"/>
    <w:rsid w:val="00B91BE0"/>
    <w:rsid w:val="00B91C2F"/>
    <w:rsid w:val="00B91CC5"/>
    <w:rsid w:val="00B91CFB"/>
    <w:rsid w:val="00B91D0C"/>
    <w:rsid w:val="00B91D14"/>
    <w:rsid w:val="00B91D63"/>
    <w:rsid w:val="00B91DC7"/>
    <w:rsid w:val="00B91DD7"/>
    <w:rsid w:val="00B91DE8"/>
    <w:rsid w:val="00B91DF8"/>
    <w:rsid w:val="00B91DFF"/>
    <w:rsid w:val="00B91E00"/>
    <w:rsid w:val="00B91E08"/>
    <w:rsid w:val="00B91E25"/>
    <w:rsid w:val="00B91E36"/>
    <w:rsid w:val="00B91E44"/>
    <w:rsid w:val="00B91E9B"/>
    <w:rsid w:val="00B91EC8"/>
    <w:rsid w:val="00B91F64"/>
    <w:rsid w:val="00B91F8A"/>
    <w:rsid w:val="00B91FEB"/>
    <w:rsid w:val="00B91FF0"/>
    <w:rsid w:val="00B9204B"/>
    <w:rsid w:val="00B9207D"/>
    <w:rsid w:val="00B92080"/>
    <w:rsid w:val="00B9209C"/>
    <w:rsid w:val="00B9214E"/>
    <w:rsid w:val="00B92151"/>
    <w:rsid w:val="00B921C3"/>
    <w:rsid w:val="00B921E2"/>
    <w:rsid w:val="00B92296"/>
    <w:rsid w:val="00B922DA"/>
    <w:rsid w:val="00B9231C"/>
    <w:rsid w:val="00B9232F"/>
    <w:rsid w:val="00B9233A"/>
    <w:rsid w:val="00B9233D"/>
    <w:rsid w:val="00B92349"/>
    <w:rsid w:val="00B92388"/>
    <w:rsid w:val="00B923B3"/>
    <w:rsid w:val="00B9240E"/>
    <w:rsid w:val="00B9244A"/>
    <w:rsid w:val="00B92458"/>
    <w:rsid w:val="00B92459"/>
    <w:rsid w:val="00B9245B"/>
    <w:rsid w:val="00B924D1"/>
    <w:rsid w:val="00B92523"/>
    <w:rsid w:val="00B92528"/>
    <w:rsid w:val="00B9253E"/>
    <w:rsid w:val="00B92580"/>
    <w:rsid w:val="00B925B2"/>
    <w:rsid w:val="00B925DE"/>
    <w:rsid w:val="00B925FC"/>
    <w:rsid w:val="00B9260B"/>
    <w:rsid w:val="00B92626"/>
    <w:rsid w:val="00B92654"/>
    <w:rsid w:val="00B926CF"/>
    <w:rsid w:val="00B92705"/>
    <w:rsid w:val="00B9273B"/>
    <w:rsid w:val="00B9278C"/>
    <w:rsid w:val="00B927AB"/>
    <w:rsid w:val="00B927EE"/>
    <w:rsid w:val="00B927F0"/>
    <w:rsid w:val="00B92864"/>
    <w:rsid w:val="00B9286D"/>
    <w:rsid w:val="00B928A4"/>
    <w:rsid w:val="00B928DE"/>
    <w:rsid w:val="00B928F0"/>
    <w:rsid w:val="00B9290C"/>
    <w:rsid w:val="00B9291A"/>
    <w:rsid w:val="00B92984"/>
    <w:rsid w:val="00B92A18"/>
    <w:rsid w:val="00B92A2B"/>
    <w:rsid w:val="00B92A5A"/>
    <w:rsid w:val="00B92A75"/>
    <w:rsid w:val="00B92A91"/>
    <w:rsid w:val="00B92AE2"/>
    <w:rsid w:val="00B92AF1"/>
    <w:rsid w:val="00B92B5D"/>
    <w:rsid w:val="00B92BDC"/>
    <w:rsid w:val="00B92C02"/>
    <w:rsid w:val="00B92C38"/>
    <w:rsid w:val="00B92C7A"/>
    <w:rsid w:val="00B92CDC"/>
    <w:rsid w:val="00B92CE6"/>
    <w:rsid w:val="00B92D50"/>
    <w:rsid w:val="00B92D7A"/>
    <w:rsid w:val="00B92D7B"/>
    <w:rsid w:val="00B92D7C"/>
    <w:rsid w:val="00B92DC3"/>
    <w:rsid w:val="00B92E62"/>
    <w:rsid w:val="00B92E91"/>
    <w:rsid w:val="00B92E97"/>
    <w:rsid w:val="00B92EB5"/>
    <w:rsid w:val="00B92ED1"/>
    <w:rsid w:val="00B92EDB"/>
    <w:rsid w:val="00B92F0A"/>
    <w:rsid w:val="00B92F4D"/>
    <w:rsid w:val="00B92F73"/>
    <w:rsid w:val="00B92FAA"/>
    <w:rsid w:val="00B92FDE"/>
    <w:rsid w:val="00B93004"/>
    <w:rsid w:val="00B9304C"/>
    <w:rsid w:val="00B93059"/>
    <w:rsid w:val="00B9308B"/>
    <w:rsid w:val="00B9308D"/>
    <w:rsid w:val="00B930E4"/>
    <w:rsid w:val="00B93126"/>
    <w:rsid w:val="00B93166"/>
    <w:rsid w:val="00B931DA"/>
    <w:rsid w:val="00B931F4"/>
    <w:rsid w:val="00B93213"/>
    <w:rsid w:val="00B932CE"/>
    <w:rsid w:val="00B933C4"/>
    <w:rsid w:val="00B93410"/>
    <w:rsid w:val="00B9341F"/>
    <w:rsid w:val="00B934B5"/>
    <w:rsid w:val="00B934BC"/>
    <w:rsid w:val="00B934DB"/>
    <w:rsid w:val="00B93531"/>
    <w:rsid w:val="00B935A8"/>
    <w:rsid w:val="00B935BF"/>
    <w:rsid w:val="00B935E0"/>
    <w:rsid w:val="00B935F3"/>
    <w:rsid w:val="00B9368C"/>
    <w:rsid w:val="00B936AB"/>
    <w:rsid w:val="00B936CF"/>
    <w:rsid w:val="00B936FD"/>
    <w:rsid w:val="00B93775"/>
    <w:rsid w:val="00B937D4"/>
    <w:rsid w:val="00B93854"/>
    <w:rsid w:val="00B9388A"/>
    <w:rsid w:val="00B9389B"/>
    <w:rsid w:val="00B938C5"/>
    <w:rsid w:val="00B93914"/>
    <w:rsid w:val="00B93944"/>
    <w:rsid w:val="00B9399A"/>
    <w:rsid w:val="00B939D1"/>
    <w:rsid w:val="00B939DD"/>
    <w:rsid w:val="00B939E8"/>
    <w:rsid w:val="00B93A00"/>
    <w:rsid w:val="00B93A0E"/>
    <w:rsid w:val="00B93A50"/>
    <w:rsid w:val="00B93A71"/>
    <w:rsid w:val="00B93B3A"/>
    <w:rsid w:val="00B93B84"/>
    <w:rsid w:val="00B93BA0"/>
    <w:rsid w:val="00B93BCD"/>
    <w:rsid w:val="00B93BF7"/>
    <w:rsid w:val="00B93C12"/>
    <w:rsid w:val="00B93C19"/>
    <w:rsid w:val="00B93C2A"/>
    <w:rsid w:val="00B93C76"/>
    <w:rsid w:val="00B93C92"/>
    <w:rsid w:val="00B93CB8"/>
    <w:rsid w:val="00B93CB9"/>
    <w:rsid w:val="00B93CCE"/>
    <w:rsid w:val="00B93DA3"/>
    <w:rsid w:val="00B93DB7"/>
    <w:rsid w:val="00B93DC8"/>
    <w:rsid w:val="00B93DE8"/>
    <w:rsid w:val="00B93E3B"/>
    <w:rsid w:val="00B93E71"/>
    <w:rsid w:val="00B93EB1"/>
    <w:rsid w:val="00B93EDB"/>
    <w:rsid w:val="00B93EF3"/>
    <w:rsid w:val="00B93F7A"/>
    <w:rsid w:val="00B93F88"/>
    <w:rsid w:val="00B93FB3"/>
    <w:rsid w:val="00B94000"/>
    <w:rsid w:val="00B94025"/>
    <w:rsid w:val="00B9406A"/>
    <w:rsid w:val="00B940A3"/>
    <w:rsid w:val="00B940BD"/>
    <w:rsid w:val="00B9415D"/>
    <w:rsid w:val="00B9415F"/>
    <w:rsid w:val="00B94172"/>
    <w:rsid w:val="00B9418C"/>
    <w:rsid w:val="00B941BA"/>
    <w:rsid w:val="00B9421E"/>
    <w:rsid w:val="00B942A8"/>
    <w:rsid w:val="00B942BA"/>
    <w:rsid w:val="00B942C6"/>
    <w:rsid w:val="00B942FA"/>
    <w:rsid w:val="00B9431F"/>
    <w:rsid w:val="00B94365"/>
    <w:rsid w:val="00B943DD"/>
    <w:rsid w:val="00B94489"/>
    <w:rsid w:val="00B944E0"/>
    <w:rsid w:val="00B94514"/>
    <w:rsid w:val="00B94535"/>
    <w:rsid w:val="00B9455F"/>
    <w:rsid w:val="00B9456E"/>
    <w:rsid w:val="00B945FC"/>
    <w:rsid w:val="00B9461C"/>
    <w:rsid w:val="00B94636"/>
    <w:rsid w:val="00B946F4"/>
    <w:rsid w:val="00B94708"/>
    <w:rsid w:val="00B94733"/>
    <w:rsid w:val="00B94742"/>
    <w:rsid w:val="00B94841"/>
    <w:rsid w:val="00B9484E"/>
    <w:rsid w:val="00B9485A"/>
    <w:rsid w:val="00B9487B"/>
    <w:rsid w:val="00B94892"/>
    <w:rsid w:val="00B94899"/>
    <w:rsid w:val="00B948D8"/>
    <w:rsid w:val="00B948E4"/>
    <w:rsid w:val="00B948EC"/>
    <w:rsid w:val="00B94968"/>
    <w:rsid w:val="00B94999"/>
    <w:rsid w:val="00B949AC"/>
    <w:rsid w:val="00B949D8"/>
    <w:rsid w:val="00B94A64"/>
    <w:rsid w:val="00B94B29"/>
    <w:rsid w:val="00B94B39"/>
    <w:rsid w:val="00B94B54"/>
    <w:rsid w:val="00B94B7E"/>
    <w:rsid w:val="00B94BCA"/>
    <w:rsid w:val="00B94C04"/>
    <w:rsid w:val="00B94C1C"/>
    <w:rsid w:val="00B94C30"/>
    <w:rsid w:val="00B94C31"/>
    <w:rsid w:val="00B94C62"/>
    <w:rsid w:val="00B94CD7"/>
    <w:rsid w:val="00B94D25"/>
    <w:rsid w:val="00B94D2E"/>
    <w:rsid w:val="00B94D80"/>
    <w:rsid w:val="00B94D8C"/>
    <w:rsid w:val="00B94D90"/>
    <w:rsid w:val="00B94DD0"/>
    <w:rsid w:val="00B94DF3"/>
    <w:rsid w:val="00B94E11"/>
    <w:rsid w:val="00B94E78"/>
    <w:rsid w:val="00B94EB2"/>
    <w:rsid w:val="00B94EB3"/>
    <w:rsid w:val="00B94EBE"/>
    <w:rsid w:val="00B94ED4"/>
    <w:rsid w:val="00B94F08"/>
    <w:rsid w:val="00B94F2D"/>
    <w:rsid w:val="00B94F43"/>
    <w:rsid w:val="00B94F4D"/>
    <w:rsid w:val="00B94F5D"/>
    <w:rsid w:val="00B9501F"/>
    <w:rsid w:val="00B95024"/>
    <w:rsid w:val="00B95054"/>
    <w:rsid w:val="00B95064"/>
    <w:rsid w:val="00B95084"/>
    <w:rsid w:val="00B950F0"/>
    <w:rsid w:val="00B95109"/>
    <w:rsid w:val="00B95121"/>
    <w:rsid w:val="00B9513C"/>
    <w:rsid w:val="00B95184"/>
    <w:rsid w:val="00B951E9"/>
    <w:rsid w:val="00B9524B"/>
    <w:rsid w:val="00B9527A"/>
    <w:rsid w:val="00B952C7"/>
    <w:rsid w:val="00B952FA"/>
    <w:rsid w:val="00B9533C"/>
    <w:rsid w:val="00B95352"/>
    <w:rsid w:val="00B953F3"/>
    <w:rsid w:val="00B9550A"/>
    <w:rsid w:val="00B95526"/>
    <w:rsid w:val="00B95529"/>
    <w:rsid w:val="00B95569"/>
    <w:rsid w:val="00B955A3"/>
    <w:rsid w:val="00B9563B"/>
    <w:rsid w:val="00B95679"/>
    <w:rsid w:val="00B95691"/>
    <w:rsid w:val="00B95692"/>
    <w:rsid w:val="00B95699"/>
    <w:rsid w:val="00B956C4"/>
    <w:rsid w:val="00B957B6"/>
    <w:rsid w:val="00B957CA"/>
    <w:rsid w:val="00B957E3"/>
    <w:rsid w:val="00B957E8"/>
    <w:rsid w:val="00B9580C"/>
    <w:rsid w:val="00B95861"/>
    <w:rsid w:val="00B9586D"/>
    <w:rsid w:val="00B9587A"/>
    <w:rsid w:val="00B958BF"/>
    <w:rsid w:val="00B95943"/>
    <w:rsid w:val="00B95955"/>
    <w:rsid w:val="00B95A93"/>
    <w:rsid w:val="00B95ADE"/>
    <w:rsid w:val="00B95AF2"/>
    <w:rsid w:val="00B95BB8"/>
    <w:rsid w:val="00B95BF0"/>
    <w:rsid w:val="00B95C05"/>
    <w:rsid w:val="00B95CB0"/>
    <w:rsid w:val="00B95D03"/>
    <w:rsid w:val="00B95D3E"/>
    <w:rsid w:val="00B95DA0"/>
    <w:rsid w:val="00B95DC5"/>
    <w:rsid w:val="00B95E4D"/>
    <w:rsid w:val="00B95E67"/>
    <w:rsid w:val="00B95EA3"/>
    <w:rsid w:val="00B95EB0"/>
    <w:rsid w:val="00B95EFA"/>
    <w:rsid w:val="00B95F43"/>
    <w:rsid w:val="00B95F7B"/>
    <w:rsid w:val="00B95F92"/>
    <w:rsid w:val="00B95F96"/>
    <w:rsid w:val="00B95FA4"/>
    <w:rsid w:val="00B95FAA"/>
    <w:rsid w:val="00B95FEF"/>
    <w:rsid w:val="00B9601C"/>
    <w:rsid w:val="00B9601F"/>
    <w:rsid w:val="00B96064"/>
    <w:rsid w:val="00B9607E"/>
    <w:rsid w:val="00B96096"/>
    <w:rsid w:val="00B960BD"/>
    <w:rsid w:val="00B960CA"/>
    <w:rsid w:val="00B960F5"/>
    <w:rsid w:val="00B960F8"/>
    <w:rsid w:val="00B9610C"/>
    <w:rsid w:val="00B9610F"/>
    <w:rsid w:val="00B9621F"/>
    <w:rsid w:val="00B962B2"/>
    <w:rsid w:val="00B962C0"/>
    <w:rsid w:val="00B962C9"/>
    <w:rsid w:val="00B962CB"/>
    <w:rsid w:val="00B962D1"/>
    <w:rsid w:val="00B962DA"/>
    <w:rsid w:val="00B9631C"/>
    <w:rsid w:val="00B96340"/>
    <w:rsid w:val="00B96348"/>
    <w:rsid w:val="00B9634A"/>
    <w:rsid w:val="00B96414"/>
    <w:rsid w:val="00B96445"/>
    <w:rsid w:val="00B9644D"/>
    <w:rsid w:val="00B964D6"/>
    <w:rsid w:val="00B964E0"/>
    <w:rsid w:val="00B964E6"/>
    <w:rsid w:val="00B96505"/>
    <w:rsid w:val="00B96550"/>
    <w:rsid w:val="00B96553"/>
    <w:rsid w:val="00B9656D"/>
    <w:rsid w:val="00B96583"/>
    <w:rsid w:val="00B9663C"/>
    <w:rsid w:val="00B9669B"/>
    <w:rsid w:val="00B966C8"/>
    <w:rsid w:val="00B966C9"/>
    <w:rsid w:val="00B966F9"/>
    <w:rsid w:val="00B9677E"/>
    <w:rsid w:val="00B967A4"/>
    <w:rsid w:val="00B967A7"/>
    <w:rsid w:val="00B967B1"/>
    <w:rsid w:val="00B96835"/>
    <w:rsid w:val="00B9683C"/>
    <w:rsid w:val="00B9687D"/>
    <w:rsid w:val="00B96899"/>
    <w:rsid w:val="00B968F9"/>
    <w:rsid w:val="00B96933"/>
    <w:rsid w:val="00B96938"/>
    <w:rsid w:val="00B96969"/>
    <w:rsid w:val="00B96971"/>
    <w:rsid w:val="00B96998"/>
    <w:rsid w:val="00B969C8"/>
    <w:rsid w:val="00B969C9"/>
    <w:rsid w:val="00B969DD"/>
    <w:rsid w:val="00B96A43"/>
    <w:rsid w:val="00B96A9C"/>
    <w:rsid w:val="00B96AB8"/>
    <w:rsid w:val="00B96AD8"/>
    <w:rsid w:val="00B96B41"/>
    <w:rsid w:val="00B96B44"/>
    <w:rsid w:val="00B96B7A"/>
    <w:rsid w:val="00B96B80"/>
    <w:rsid w:val="00B96C78"/>
    <w:rsid w:val="00B96C95"/>
    <w:rsid w:val="00B96D2C"/>
    <w:rsid w:val="00B96D77"/>
    <w:rsid w:val="00B96E56"/>
    <w:rsid w:val="00B96E7F"/>
    <w:rsid w:val="00B96EEA"/>
    <w:rsid w:val="00B96F57"/>
    <w:rsid w:val="00B96F7A"/>
    <w:rsid w:val="00B96F97"/>
    <w:rsid w:val="00B96FF1"/>
    <w:rsid w:val="00B97028"/>
    <w:rsid w:val="00B9702E"/>
    <w:rsid w:val="00B97092"/>
    <w:rsid w:val="00B9709A"/>
    <w:rsid w:val="00B970AD"/>
    <w:rsid w:val="00B970F5"/>
    <w:rsid w:val="00B97123"/>
    <w:rsid w:val="00B97139"/>
    <w:rsid w:val="00B9713B"/>
    <w:rsid w:val="00B97148"/>
    <w:rsid w:val="00B971BF"/>
    <w:rsid w:val="00B971D9"/>
    <w:rsid w:val="00B97206"/>
    <w:rsid w:val="00B9720F"/>
    <w:rsid w:val="00B9723F"/>
    <w:rsid w:val="00B97243"/>
    <w:rsid w:val="00B97245"/>
    <w:rsid w:val="00B97247"/>
    <w:rsid w:val="00B972F4"/>
    <w:rsid w:val="00B9733D"/>
    <w:rsid w:val="00B97342"/>
    <w:rsid w:val="00B9737A"/>
    <w:rsid w:val="00B9737E"/>
    <w:rsid w:val="00B973B5"/>
    <w:rsid w:val="00B973CC"/>
    <w:rsid w:val="00B97455"/>
    <w:rsid w:val="00B9746D"/>
    <w:rsid w:val="00B974DD"/>
    <w:rsid w:val="00B97584"/>
    <w:rsid w:val="00B975AA"/>
    <w:rsid w:val="00B975CC"/>
    <w:rsid w:val="00B97681"/>
    <w:rsid w:val="00B97685"/>
    <w:rsid w:val="00B976A3"/>
    <w:rsid w:val="00B976F7"/>
    <w:rsid w:val="00B977EA"/>
    <w:rsid w:val="00B97883"/>
    <w:rsid w:val="00B978CB"/>
    <w:rsid w:val="00B978FB"/>
    <w:rsid w:val="00B9790D"/>
    <w:rsid w:val="00B97951"/>
    <w:rsid w:val="00B9797F"/>
    <w:rsid w:val="00B97A2A"/>
    <w:rsid w:val="00B97ACC"/>
    <w:rsid w:val="00B97B06"/>
    <w:rsid w:val="00B97B10"/>
    <w:rsid w:val="00B97B4E"/>
    <w:rsid w:val="00B97B8E"/>
    <w:rsid w:val="00B97BF2"/>
    <w:rsid w:val="00B97C04"/>
    <w:rsid w:val="00B97C15"/>
    <w:rsid w:val="00B97CC1"/>
    <w:rsid w:val="00B97D01"/>
    <w:rsid w:val="00B97D3F"/>
    <w:rsid w:val="00B97D83"/>
    <w:rsid w:val="00B97DA0"/>
    <w:rsid w:val="00B97E38"/>
    <w:rsid w:val="00B97E3C"/>
    <w:rsid w:val="00B97E7C"/>
    <w:rsid w:val="00B97EBD"/>
    <w:rsid w:val="00B97EE3"/>
    <w:rsid w:val="00B97EF1"/>
    <w:rsid w:val="00B97F1E"/>
    <w:rsid w:val="00B97F57"/>
    <w:rsid w:val="00B97F8E"/>
    <w:rsid w:val="00BA0067"/>
    <w:rsid w:val="00BA0096"/>
    <w:rsid w:val="00BA00B1"/>
    <w:rsid w:val="00BA018D"/>
    <w:rsid w:val="00BA01E0"/>
    <w:rsid w:val="00BA01E9"/>
    <w:rsid w:val="00BA0237"/>
    <w:rsid w:val="00BA027C"/>
    <w:rsid w:val="00BA02A7"/>
    <w:rsid w:val="00BA02B6"/>
    <w:rsid w:val="00BA02C4"/>
    <w:rsid w:val="00BA02FD"/>
    <w:rsid w:val="00BA0339"/>
    <w:rsid w:val="00BA0362"/>
    <w:rsid w:val="00BA037A"/>
    <w:rsid w:val="00BA0382"/>
    <w:rsid w:val="00BA039C"/>
    <w:rsid w:val="00BA039E"/>
    <w:rsid w:val="00BA03BD"/>
    <w:rsid w:val="00BA042F"/>
    <w:rsid w:val="00BA0430"/>
    <w:rsid w:val="00BA0479"/>
    <w:rsid w:val="00BA049D"/>
    <w:rsid w:val="00BA0532"/>
    <w:rsid w:val="00BA0539"/>
    <w:rsid w:val="00BA0548"/>
    <w:rsid w:val="00BA0598"/>
    <w:rsid w:val="00BA05B7"/>
    <w:rsid w:val="00BA0648"/>
    <w:rsid w:val="00BA065E"/>
    <w:rsid w:val="00BA06A0"/>
    <w:rsid w:val="00BA06A7"/>
    <w:rsid w:val="00BA06CD"/>
    <w:rsid w:val="00BA075E"/>
    <w:rsid w:val="00BA076D"/>
    <w:rsid w:val="00BA0791"/>
    <w:rsid w:val="00BA079D"/>
    <w:rsid w:val="00BA07A8"/>
    <w:rsid w:val="00BA07AD"/>
    <w:rsid w:val="00BA07FC"/>
    <w:rsid w:val="00BA082F"/>
    <w:rsid w:val="00BA0883"/>
    <w:rsid w:val="00BA08E7"/>
    <w:rsid w:val="00BA08F6"/>
    <w:rsid w:val="00BA09ED"/>
    <w:rsid w:val="00BA0A08"/>
    <w:rsid w:val="00BA0A4F"/>
    <w:rsid w:val="00BA0AAF"/>
    <w:rsid w:val="00BA0B47"/>
    <w:rsid w:val="00BA0B4C"/>
    <w:rsid w:val="00BA0BA2"/>
    <w:rsid w:val="00BA0BDC"/>
    <w:rsid w:val="00BA0C8B"/>
    <w:rsid w:val="00BA0CB3"/>
    <w:rsid w:val="00BA0CE8"/>
    <w:rsid w:val="00BA0D04"/>
    <w:rsid w:val="00BA0D38"/>
    <w:rsid w:val="00BA0D5F"/>
    <w:rsid w:val="00BA0D96"/>
    <w:rsid w:val="00BA0DB4"/>
    <w:rsid w:val="00BA0DD1"/>
    <w:rsid w:val="00BA0DD7"/>
    <w:rsid w:val="00BA0DD9"/>
    <w:rsid w:val="00BA0DFB"/>
    <w:rsid w:val="00BA0E21"/>
    <w:rsid w:val="00BA0EAF"/>
    <w:rsid w:val="00BA0ED6"/>
    <w:rsid w:val="00BA0F14"/>
    <w:rsid w:val="00BA0F6E"/>
    <w:rsid w:val="00BA0FE0"/>
    <w:rsid w:val="00BA0FFE"/>
    <w:rsid w:val="00BA1043"/>
    <w:rsid w:val="00BA105B"/>
    <w:rsid w:val="00BA105E"/>
    <w:rsid w:val="00BA10C5"/>
    <w:rsid w:val="00BA10CC"/>
    <w:rsid w:val="00BA1173"/>
    <w:rsid w:val="00BA11A1"/>
    <w:rsid w:val="00BA11A6"/>
    <w:rsid w:val="00BA1201"/>
    <w:rsid w:val="00BA12B4"/>
    <w:rsid w:val="00BA12C5"/>
    <w:rsid w:val="00BA1316"/>
    <w:rsid w:val="00BA131E"/>
    <w:rsid w:val="00BA1335"/>
    <w:rsid w:val="00BA137E"/>
    <w:rsid w:val="00BA13F1"/>
    <w:rsid w:val="00BA13FC"/>
    <w:rsid w:val="00BA1442"/>
    <w:rsid w:val="00BA149A"/>
    <w:rsid w:val="00BA14AD"/>
    <w:rsid w:val="00BA14C4"/>
    <w:rsid w:val="00BA1502"/>
    <w:rsid w:val="00BA1555"/>
    <w:rsid w:val="00BA15A2"/>
    <w:rsid w:val="00BA15ED"/>
    <w:rsid w:val="00BA1649"/>
    <w:rsid w:val="00BA1667"/>
    <w:rsid w:val="00BA16A0"/>
    <w:rsid w:val="00BA16F7"/>
    <w:rsid w:val="00BA17A5"/>
    <w:rsid w:val="00BA17C5"/>
    <w:rsid w:val="00BA1893"/>
    <w:rsid w:val="00BA18BA"/>
    <w:rsid w:val="00BA18DF"/>
    <w:rsid w:val="00BA18EF"/>
    <w:rsid w:val="00BA1921"/>
    <w:rsid w:val="00BA1940"/>
    <w:rsid w:val="00BA1983"/>
    <w:rsid w:val="00BA19BF"/>
    <w:rsid w:val="00BA19DF"/>
    <w:rsid w:val="00BA1A03"/>
    <w:rsid w:val="00BA1A60"/>
    <w:rsid w:val="00BA1A92"/>
    <w:rsid w:val="00BA1AB4"/>
    <w:rsid w:val="00BA1ADA"/>
    <w:rsid w:val="00BA1B1F"/>
    <w:rsid w:val="00BA1B3F"/>
    <w:rsid w:val="00BA1B67"/>
    <w:rsid w:val="00BA1BEE"/>
    <w:rsid w:val="00BA1BF3"/>
    <w:rsid w:val="00BA1BFF"/>
    <w:rsid w:val="00BA1C0C"/>
    <w:rsid w:val="00BA1C42"/>
    <w:rsid w:val="00BA1C70"/>
    <w:rsid w:val="00BA1C92"/>
    <w:rsid w:val="00BA1CC0"/>
    <w:rsid w:val="00BA1CC6"/>
    <w:rsid w:val="00BA1CD5"/>
    <w:rsid w:val="00BA1D35"/>
    <w:rsid w:val="00BA1D43"/>
    <w:rsid w:val="00BA1D6F"/>
    <w:rsid w:val="00BA1DC6"/>
    <w:rsid w:val="00BA1E03"/>
    <w:rsid w:val="00BA1E3A"/>
    <w:rsid w:val="00BA1E66"/>
    <w:rsid w:val="00BA1E71"/>
    <w:rsid w:val="00BA1EA1"/>
    <w:rsid w:val="00BA1EA9"/>
    <w:rsid w:val="00BA1F08"/>
    <w:rsid w:val="00BA1F1F"/>
    <w:rsid w:val="00BA1F96"/>
    <w:rsid w:val="00BA1FBC"/>
    <w:rsid w:val="00BA1FD0"/>
    <w:rsid w:val="00BA1FD7"/>
    <w:rsid w:val="00BA1FE5"/>
    <w:rsid w:val="00BA201F"/>
    <w:rsid w:val="00BA202C"/>
    <w:rsid w:val="00BA2049"/>
    <w:rsid w:val="00BA20B8"/>
    <w:rsid w:val="00BA2118"/>
    <w:rsid w:val="00BA21B0"/>
    <w:rsid w:val="00BA21C0"/>
    <w:rsid w:val="00BA21CC"/>
    <w:rsid w:val="00BA21F2"/>
    <w:rsid w:val="00BA222C"/>
    <w:rsid w:val="00BA2279"/>
    <w:rsid w:val="00BA228F"/>
    <w:rsid w:val="00BA22DD"/>
    <w:rsid w:val="00BA22E3"/>
    <w:rsid w:val="00BA22EA"/>
    <w:rsid w:val="00BA2313"/>
    <w:rsid w:val="00BA2320"/>
    <w:rsid w:val="00BA2348"/>
    <w:rsid w:val="00BA236A"/>
    <w:rsid w:val="00BA238C"/>
    <w:rsid w:val="00BA23B4"/>
    <w:rsid w:val="00BA23D5"/>
    <w:rsid w:val="00BA2416"/>
    <w:rsid w:val="00BA2417"/>
    <w:rsid w:val="00BA2428"/>
    <w:rsid w:val="00BA24A5"/>
    <w:rsid w:val="00BA24B3"/>
    <w:rsid w:val="00BA24B6"/>
    <w:rsid w:val="00BA24D8"/>
    <w:rsid w:val="00BA24DB"/>
    <w:rsid w:val="00BA2529"/>
    <w:rsid w:val="00BA2590"/>
    <w:rsid w:val="00BA2591"/>
    <w:rsid w:val="00BA259C"/>
    <w:rsid w:val="00BA25FF"/>
    <w:rsid w:val="00BA2608"/>
    <w:rsid w:val="00BA2628"/>
    <w:rsid w:val="00BA269C"/>
    <w:rsid w:val="00BA26FD"/>
    <w:rsid w:val="00BA26FF"/>
    <w:rsid w:val="00BA27FA"/>
    <w:rsid w:val="00BA27FB"/>
    <w:rsid w:val="00BA27FF"/>
    <w:rsid w:val="00BA2808"/>
    <w:rsid w:val="00BA2809"/>
    <w:rsid w:val="00BA2811"/>
    <w:rsid w:val="00BA284C"/>
    <w:rsid w:val="00BA2903"/>
    <w:rsid w:val="00BA290F"/>
    <w:rsid w:val="00BA2921"/>
    <w:rsid w:val="00BA2941"/>
    <w:rsid w:val="00BA2945"/>
    <w:rsid w:val="00BA29B6"/>
    <w:rsid w:val="00BA29E4"/>
    <w:rsid w:val="00BA2A23"/>
    <w:rsid w:val="00BA2A3D"/>
    <w:rsid w:val="00BA2AA9"/>
    <w:rsid w:val="00BA2AB1"/>
    <w:rsid w:val="00BA2AE3"/>
    <w:rsid w:val="00BA2AE8"/>
    <w:rsid w:val="00BA2B16"/>
    <w:rsid w:val="00BA2B52"/>
    <w:rsid w:val="00BA2B5B"/>
    <w:rsid w:val="00BA2B74"/>
    <w:rsid w:val="00BA2C01"/>
    <w:rsid w:val="00BA2C02"/>
    <w:rsid w:val="00BA2C2B"/>
    <w:rsid w:val="00BA2D63"/>
    <w:rsid w:val="00BA2D9E"/>
    <w:rsid w:val="00BA2DAF"/>
    <w:rsid w:val="00BA2E0B"/>
    <w:rsid w:val="00BA2E1A"/>
    <w:rsid w:val="00BA2EC7"/>
    <w:rsid w:val="00BA2EE0"/>
    <w:rsid w:val="00BA2EF6"/>
    <w:rsid w:val="00BA2F1B"/>
    <w:rsid w:val="00BA2F35"/>
    <w:rsid w:val="00BA2F55"/>
    <w:rsid w:val="00BA2FC8"/>
    <w:rsid w:val="00BA3018"/>
    <w:rsid w:val="00BA3040"/>
    <w:rsid w:val="00BA305A"/>
    <w:rsid w:val="00BA3067"/>
    <w:rsid w:val="00BA3070"/>
    <w:rsid w:val="00BA30A9"/>
    <w:rsid w:val="00BA30AA"/>
    <w:rsid w:val="00BA3119"/>
    <w:rsid w:val="00BA3144"/>
    <w:rsid w:val="00BA3174"/>
    <w:rsid w:val="00BA32CE"/>
    <w:rsid w:val="00BA333D"/>
    <w:rsid w:val="00BA3381"/>
    <w:rsid w:val="00BA33C8"/>
    <w:rsid w:val="00BA33EE"/>
    <w:rsid w:val="00BA33F5"/>
    <w:rsid w:val="00BA341B"/>
    <w:rsid w:val="00BA3463"/>
    <w:rsid w:val="00BA3477"/>
    <w:rsid w:val="00BA348C"/>
    <w:rsid w:val="00BA348E"/>
    <w:rsid w:val="00BA34C4"/>
    <w:rsid w:val="00BA34E5"/>
    <w:rsid w:val="00BA3543"/>
    <w:rsid w:val="00BA354F"/>
    <w:rsid w:val="00BA35F3"/>
    <w:rsid w:val="00BA3640"/>
    <w:rsid w:val="00BA364E"/>
    <w:rsid w:val="00BA3694"/>
    <w:rsid w:val="00BA36A2"/>
    <w:rsid w:val="00BA36CA"/>
    <w:rsid w:val="00BA36E4"/>
    <w:rsid w:val="00BA3732"/>
    <w:rsid w:val="00BA37C3"/>
    <w:rsid w:val="00BA37C4"/>
    <w:rsid w:val="00BA385E"/>
    <w:rsid w:val="00BA38E6"/>
    <w:rsid w:val="00BA39A2"/>
    <w:rsid w:val="00BA39F9"/>
    <w:rsid w:val="00BA3A14"/>
    <w:rsid w:val="00BA3A3C"/>
    <w:rsid w:val="00BA3A46"/>
    <w:rsid w:val="00BA3A6C"/>
    <w:rsid w:val="00BA3A71"/>
    <w:rsid w:val="00BA3A84"/>
    <w:rsid w:val="00BA3ACC"/>
    <w:rsid w:val="00BA3AFA"/>
    <w:rsid w:val="00BA3B0B"/>
    <w:rsid w:val="00BA3B1D"/>
    <w:rsid w:val="00BA3B6D"/>
    <w:rsid w:val="00BA3BA6"/>
    <w:rsid w:val="00BA3BB8"/>
    <w:rsid w:val="00BA3C31"/>
    <w:rsid w:val="00BA3C4B"/>
    <w:rsid w:val="00BA3C64"/>
    <w:rsid w:val="00BA3D41"/>
    <w:rsid w:val="00BA3E04"/>
    <w:rsid w:val="00BA3E05"/>
    <w:rsid w:val="00BA3E4D"/>
    <w:rsid w:val="00BA3E80"/>
    <w:rsid w:val="00BA3E93"/>
    <w:rsid w:val="00BA3EBC"/>
    <w:rsid w:val="00BA3F5D"/>
    <w:rsid w:val="00BA3F88"/>
    <w:rsid w:val="00BA3FEE"/>
    <w:rsid w:val="00BA4045"/>
    <w:rsid w:val="00BA4082"/>
    <w:rsid w:val="00BA409E"/>
    <w:rsid w:val="00BA411E"/>
    <w:rsid w:val="00BA415F"/>
    <w:rsid w:val="00BA41BF"/>
    <w:rsid w:val="00BA41CF"/>
    <w:rsid w:val="00BA41E7"/>
    <w:rsid w:val="00BA4200"/>
    <w:rsid w:val="00BA4209"/>
    <w:rsid w:val="00BA4224"/>
    <w:rsid w:val="00BA4227"/>
    <w:rsid w:val="00BA422C"/>
    <w:rsid w:val="00BA4238"/>
    <w:rsid w:val="00BA4245"/>
    <w:rsid w:val="00BA425A"/>
    <w:rsid w:val="00BA4273"/>
    <w:rsid w:val="00BA42A7"/>
    <w:rsid w:val="00BA42F0"/>
    <w:rsid w:val="00BA433D"/>
    <w:rsid w:val="00BA435B"/>
    <w:rsid w:val="00BA436C"/>
    <w:rsid w:val="00BA4372"/>
    <w:rsid w:val="00BA43BA"/>
    <w:rsid w:val="00BA43BB"/>
    <w:rsid w:val="00BA43F7"/>
    <w:rsid w:val="00BA4490"/>
    <w:rsid w:val="00BA44C8"/>
    <w:rsid w:val="00BA44E2"/>
    <w:rsid w:val="00BA44E7"/>
    <w:rsid w:val="00BA44F1"/>
    <w:rsid w:val="00BA4516"/>
    <w:rsid w:val="00BA4520"/>
    <w:rsid w:val="00BA453C"/>
    <w:rsid w:val="00BA4575"/>
    <w:rsid w:val="00BA45A8"/>
    <w:rsid w:val="00BA45B4"/>
    <w:rsid w:val="00BA45DF"/>
    <w:rsid w:val="00BA45EA"/>
    <w:rsid w:val="00BA4680"/>
    <w:rsid w:val="00BA4693"/>
    <w:rsid w:val="00BA4695"/>
    <w:rsid w:val="00BA46CB"/>
    <w:rsid w:val="00BA4706"/>
    <w:rsid w:val="00BA4714"/>
    <w:rsid w:val="00BA4749"/>
    <w:rsid w:val="00BA4782"/>
    <w:rsid w:val="00BA478B"/>
    <w:rsid w:val="00BA47D1"/>
    <w:rsid w:val="00BA4802"/>
    <w:rsid w:val="00BA481D"/>
    <w:rsid w:val="00BA4849"/>
    <w:rsid w:val="00BA4884"/>
    <w:rsid w:val="00BA4886"/>
    <w:rsid w:val="00BA48AB"/>
    <w:rsid w:val="00BA490D"/>
    <w:rsid w:val="00BA491E"/>
    <w:rsid w:val="00BA4923"/>
    <w:rsid w:val="00BA4926"/>
    <w:rsid w:val="00BA4934"/>
    <w:rsid w:val="00BA49FD"/>
    <w:rsid w:val="00BA4A0F"/>
    <w:rsid w:val="00BA4A12"/>
    <w:rsid w:val="00BA4A19"/>
    <w:rsid w:val="00BA4A21"/>
    <w:rsid w:val="00BA4A30"/>
    <w:rsid w:val="00BA4A5A"/>
    <w:rsid w:val="00BA4A9B"/>
    <w:rsid w:val="00BA4AB5"/>
    <w:rsid w:val="00BA4AC4"/>
    <w:rsid w:val="00BA4AF0"/>
    <w:rsid w:val="00BA4AF7"/>
    <w:rsid w:val="00BA4AFF"/>
    <w:rsid w:val="00BA4B93"/>
    <w:rsid w:val="00BA4BD7"/>
    <w:rsid w:val="00BA4C62"/>
    <w:rsid w:val="00BA4C80"/>
    <w:rsid w:val="00BA4C91"/>
    <w:rsid w:val="00BA4C92"/>
    <w:rsid w:val="00BA4D04"/>
    <w:rsid w:val="00BA4D21"/>
    <w:rsid w:val="00BA4D71"/>
    <w:rsid w:val="00BA4DFD"/>
    <w:rsid w:val="00BA4E03"/>
    <w:rsid w:val="00BA4E62"/>
    <w:rsid w:val="00BA4E7E"/>
    <w:rsid w:val="00BA4EF3"/>
    <w:rsid w:val="00BA4EF8"/>
    <w:rsid w:val="00BA4F39"/>
    <w:rsid w:val="00BA4F67"/>
    <w:rsid w:val="00BA4F8D"/>
    <w:rsid w:val="00BA4FA6"/>
    <w:rsid w:val="00BA4FAC"/>
    <w:rsid w:val="00BA502F"/>
    <w:rsid w:val="00BA5044"/>
    <w:rsid w:val="00BA505F"/>
    <w:rsid w:val="00BA5062"/>
    <w:rsid w:val="00BA50AF"/>
    <w:rsid w:val="00BA50F8"/>
    <w:rsid w:val="00BA5129"/>
    <w:rsid w:val="00BA513E"/>
    <w:rsid w:val="00BA516C"/>
    <w:rsid w:val="00BA51D5"/>
    <w:rsid w:val="00BA5201"/>
    <w:rsid w:val="00BA5250"/>
    <w:rsid w:val="00BA5284"/>
    <w:rsid w:val="00BA52C2"/>
    <w:rsid w:val="00BA52C3"/>
    <w:rsid w:val="00BA532D"/>
    <w:rsid w:val="00BA5395"/>
    <w:rsid w:val="00BA53A0"/>
    <w:rsid w:val="00BA53BA"/>
    <w:rsid w:val="00BA53C7"/>
    <w:rsid w:val="00BA53E4"/>
    <w:rsid w:val="00BA5401"/>
    <w:rsid w:val="00BA540A"/>
    <w:rsid w:val="00BA5410"/>
    <w:rsid w:val="00BA5454"/>
    <w:rsid w:val="00BA546B"/>
    <w:rsid w:val="00BA547F"/>
    <w:rsid w:val="00BA5484"/>
    <w:rsid w:val="00BA54A8"/>
    <w:rsid w:val="00BA54C2"/>
    <w:rsid w:val="00BA54DC"/>
    <w:rsid w:val="00BA5599"/>
    <w:rsid w:val="00BA55D7"/>
    <w:rsid w:val="00BA5643"/>
    <w:rsid w:val="00BA5652"/>
    <w:rsid w:val="00BA5654"/>
    <w:rsid w:val="00BA56D3"/>
    <w:rsid w:val="00BA571C"/>
    <w:rsid w:val="00BA5728"/>
    <w:rsid w:val="00BA572B"/>
    <w:rsid w:val="00BA5754"/>
    <w:rsid w:val="00BA575C"/>
    <w:rsid w:val="00BA5761"/>
    <w:rsid w:val="00BA57A8"/>
    <w:rsid w:val="00BA5877"/>
    <w:rsid w:val="00BA5940"/>
    <w:rsid w:val="00BA598B"/>
    <w:rsid w:val="00BA59E6"/>
    <w:rsid w:val="00BA59F7"/>
    <w:rsid w:val="00BA5A12"/>
    <w:rsid w:val="00BA5A22"/>
    <w:rsid w:val="00BA5A2F"/>
    <w:rsid w:val="00BA5A38"/>
    <w:rsid w:val="00BA5A86"/>
    <w:rsid w:val="00BA5AC2"/>
    <w:rsid w:val="00BA5ADF"/>
    <w:rsid w:val="00BA5B2C"/>
    <w:rsid w:val="00BA5B32"/>
    <w:rsid w:val="00BA5B53"/>
    <w:rsid w:val="00BA5B5D"/>
    <w:rsid w:val="00BA5B79"/>
    <w:rsid w:val="00BA5BB6"/>
    <w:rsid w:val="00BA5BB7"/>
    <w:rsid w:val="00BA5BD3"/>
    <w:rsid w:val="00BA5C32"/>
    <w:rsid w:val="00BA5C37"/>
    <w:rsid w:val="00BA5D39"/>
    <w:rsid w:val="00BA5D3A"/>
    <w:rsid w:val="00BA5D4A"/>
    <w:rsid w:val="00BA5D76"/>
    <w:rsid w:val="00BA5D7D"/>
    <w:rsid w:val="00BA5D8A"/>
    <w:rsid w:val="00BA5DA3"/>
    <w:rsid w:val="00BA5E11"/>
    <w:rsid w:val="00BA5E1C"/>
    <w:rsid w:val="00BA5E86"/>
    <w:rsid w:val="00BA5EFD"/>
    <w:rsid w:val="00BA5F16"/>
    <w:rsid w:val="00BA5F1A"/>
    <w:rsid w:val="00BA5F3D"/>
    <w:rsid w:val="00BA5F4A"/>
    <w:rsid w:val="00BA5F83"/>
    <w:rsid w:val="00BA5F87"/>
    <w:rsid w:val="00BA5FB3"/>
    <w:rsid w:val="00BA604B"/>
    <w:rsid w:val="00BA6057"/>
    <w:rsid w:val="00BA6091"/>
    <w:rsid w:val="00BA60B0"/>
    <w:rsid w:val="00BA60BB"/>
    <w:rsid w:val="00BA60D4"/>
    <w:rsid w:val="00BA6170"/>
    <w:rsid w:val="00BA624C"/>
    <w:rsid w:val="00BA625D"/>
    <w:rsid w:val="00BA6260"/>
    <w:rsid w:val="00BA6267"/>
    <w:rsid w:val="00BA6297"/>
    <w:rsid w:val="00BA62A7"/>
    <w:rsid w:val="00BA62B2"/>
    <w:rsid w:val="00BA6304"/>
    <w:rsid w:val="00BA6373"/>
    <w:rsid w:val="00BA6388"/>
    <w:rsid w:val="00BA63FA"/>
    <w:rsid w:val="00BA6452"/>
    <w:rsid w:val="00BA6474"/>
    <w:rsid w:val="00BA647D"/>
    <w:rsid w:val="00BA64D1"/>
    <w:rsid w:val="00BA64F9"/>
    <w:rsid w:val="00BA651E"/>
    <w:rsid w:val="00BA6562"/>
    <w:rsid w:val="00BA65A3"/>
    <w:rsid w:val="00BA65AA"/>
    <w:rsid w:val="00BA65AB"/>
    <w:rsid w:val="00BA660B"/>
    <w:rsid w:val="00BA66A3"/>
    <w:rsid w:val="00BA672C"/>
    <w:rsid w:val="00BA6732"/>
    <w:rsid w:val="00BA6740"/>
    <w:rsid w:val="00BA6750"/>
    <w:rsid w:val="00BA6772"/>
    <w:rsid w:val="00BA67B2"/>
    <w:rsid w:val="00BA67CA"/>
    <w:rsid w:val="00BA6803"/>
    <w:rsid w:val="00BA685D"/>
    <w:rsid w:val="00BA685E"/>
    <w:rsid w:val="00BA6875"/>
    <w:rsid w:val="00BA6895"/>
    <w:rsid w:val="00BA6907"/>
    <w:rsid w:val="00BA6947"/>
    <w:rsid w:val="00BA694D"/>
    <w:rsid w:val="00BA697A"/>
    <w:rsid w:val="00BA69B9"/>
    <w:rsid w:val="00BA6A2C"/>
    <w:rsid w:val="00BA6A5D"/>
    <w:rsid w:val="00BA6A61"/>
    <w:rsid w:val="00BA6A64"/>
    <w:rsid w:val="00BA6AC3"/>
    <w:rsid w:val="00BA6AC4"/>
    <w:rsid w:val="00BA6AE6"/>
    <w:rsid w:val="00BA6B11"/>
    <w:rsid w:val="00BA6B26"/>
    <w:rsid w:val="00BA6B27"/>
    <w:rsid w:val="00BA6B28"/>
    <w:rsid w:val="00BA6B7E"/>
    <w:rsid w:val="00BA6BBC"/>
    <w:rsid w:val="00BA6BE3"/>
    <w:rsid w:val="00BA6C31"/>
    <w:rsid w:val="00BA6C42"/>
    <w:rsid w:val="00BA6C75"/>
    <w:rsid w:val="00BA6C7E"/>
    <w:rsid w:val="00BA6D2E"/>
    <w:rsid w:val="00BA6D3B"/>
    <w:rsid w:val="00BA6D66"/>
    <w:rsid w:val="00BA6D95"/>
    <w:rsid w:val="00BA6E3E"/>
    <w:rsid w:val="00BA6E74"/>
    <w:rsid w:val="00BA6E7F"/>
    <w:rsid w:val="00BA6EE5"/>
    <w:rsid w:val="00BA6F11"/>
    <w:rsid w:val="00BA6F52"/>
    <w:rsid w:val="00BA6F5C"/>
    <w:rsid w:val="00BA6F76"/>
    <w:rsid w:val="00BA6FA7"/>
    <w:rsid w:val="00BA6FC7"/>
    <w:rsid w:val="00BA6FDA"/>
    <w:rsid w:val="00BA7041"/>
    <w:rsid w:val="00BA7044"/>
    <w:rsid w:val="00BA70AE"/>
    <w:rsid w:val="00BA70B0"/>
    <w:rsid w:val="00BA70CA"/>
    <w:rsid w:val="00BA70E2"/>
    <w:rsid w:val="00BA7136"/>
    <w:rsid w:val="00BA713E"/>
    <w:rsid w:val="00BA7144"/>
    <w:rsid w:val="00BA7188"/>
    <w:rsid w:val="00BA718C"/>
    <w:rsid w:val="00BA71A0"/>
    <w:rsid w:val="00BA71A8"/>
    <w:rsid w:val="00BA71D9"/>
    <w:rsid w:val="00BA721C"/>
    <w:rsid w:val="00BA7239"/>
    <w:rsid w:val="00BA7269"/>
    <w:rsid w:val="00BA73CA"/>
    <w:rsid w:val="00BA73EC"/>
    <w:rsid w:val="00BA7444"/>
    <w:rsid w:val="00BA7476"/>
    <w:rsid w:val="00BA747D"/>
    <w:rsid w:val="00BA7487"/>
    <w:rsid w:val="00BA74B7"/>
    <w:rsid w:val="00BA7504"/>
    <w:rsid w:val="00BA7524"/>
    <w:rsid w:val="00BA753A"/>
    <w:rsid w:val="00BA7587"/>
    <w:rsid w:val="00BA75D0"/>
    <w:rsid w:val="00BA75D8"/>
    <w:rsid w:val="00BA75ED"/>
    <w:rsid w:val="00BA7602"/>
    <w:rsid w:val="00BA7643"/>
    <w:rsid w:val="00BA764B"/>
    <w:rsid w:val="00BA76F1"/>
    <w:rsid w:val="00BA76F8"/>
    <w:rsid w:val="00BA7736"/>
    <w:rsid w:val="00BA77CC"/>
    <w:rsid w:val="00BA77D4"/>
    <w:rsid w:val="00BA7848"/>
    <w:rsid w:val="00BA785A"/>
    <w:rsid w:val="00BA7898"/>
    <w:rsid w:val="00BA78C3"/>
    <w:rsid w:val="00BA78D5"/>
    <w:rsid w:val="00BA78DB"/>
    <w:rsid w:val="00BA7900"/>
    <w:rsid w:val="00BA794A"/>
    <w:rsid w:val="00BA795C"/>
    <w:rsid w:val="00BA7975"/>
    <w:rsid w:val="00BA7982"/>
    <w:rsid w:val="00BA79E5"/>
    <w:rsid w:val="00BA79EE"/>
    <w:rsid w:val="00BA7A69"/>
    <w:rsid w:val="00BA7A6D"/>
    <w:rsid w:val="00BA7AAE"/>
    <w:rsid w:val="00BA7ADF"/>
    <w:rsid w:val="00BA7AE3"/>
    <w:rsid w:val="00BA7AEC"/>
    <w:rsid w:val="00BA7AF1"/>
    <w:rsid w:val="00BA7B26"/>
    <w:rsid w:val="00BA7B4C"/>
    <w:rsid w:val="00BA7B5E"/>
    <w:rsid w:val="00BA7BCA"/>
    <w:rsid w:val="00BA7C2C"/>
    <w:rsid w:val="00BA7C4B"/>
    <w:rsid w:val="00BA7CD2"/>
    <w:rsid w:val="00BA7CE1"/>
    <w:rsid w:val="00BA7CF2"/>
    <w:rsid w:val="00BA7D43"/>
    <w:rsid w:val="00BA7D48"/>
    <w:rsid w:val="00BA7D54"/>
    <w:rsid w:val="00BA7DEF"/>
    <w:rsid w:val="00BA7E1E"/>
    <w:rsid w:val="00BA7E2C"/>
    <w:rsid w:val="00BA7E5D"/>
    <w:rsid w:val="00BA7E68"/>
    <w:rsid w:val="00BA7E6C"/>
    <w:rsid w:val="00BA7F42"/>
    <w:rsid w:val="00BA7FCF"/>
    <w:rsid w:val="00BA7FE7"/>
    <w:rsid w:val="00BB001C"/>
    <w:rsid w:val="00BB0030"/>
    <w:rsid w:val="00BB003F"/>
    <w:rsid w:val="00BB005B"/>
    <w:rsid w:val="00BB00CB"/>
    <w:rsid w:val="00BB00F3"/>
    <w:rsid w:val="00BB0138"/>
    <w:rsid w:val="00BB0171"/>
    <w:rsid w:val="00BB0176"/>
    <w:rsid w:val="00BB01CC"/>
    <w:rsid w:val="00BB01DC"/>
    <w:rsid w:val="00BB020F"/>
    <w:rsid w:val="00BB0233"/>
    <w:rsid w:val="00BB0294"/>
    <w:rsid w:val="00BB02D5"/>
    <w:rsid w:val="00BB02EA"/>
    <w:rsid w:val="00BB034B"/>
    <w:rsid w:val="00BB037E"/>
    <w:rsid w:val="00BB0386"/>
    <w:rsid w:val="00BB0395"/>
    <w:rsid w:val="00BB039F"/>
    <w:rsid w:val="00BB03A0"/>
    <w:rsid w:val="00BB0439"/>
    <w:rsid w:val="00BB0458"/>
    <w:rsid w:val="00BB04BB"/>
    <w:rsid w:val="00BB04CE"/>
    <w:rsid w:val="00BB04D9"/>
    <w:rsid w:val="00BB04E5"/>
    <w:rsid w:val="00BB0547"/>
    <w:rsid w:val="00BB05CB"/>
    <w:rsid w:val="00BB05CE"/>
    <w:rsid w:val="00BB0600"/>
    <w:rsid w:val="00BB0680"/>
    <w:rsid w:val="00BB070B"/>
    <w:rsid w:val="00BB071D"/>
    <w:rsid w:val="00BB073A"/>
    <w:rsid w:val="00BB073B"/>
    <w:rsid w:val="00BB0766"/>
    <w:rsid w:val="00BB0772"/>
    <w:rsid w:val="00BB077D"/>
    <w:rsid w:val="00BB079B"/>
    <w:rsid w:val="00BB0811"/>
    <w:rsid w:val="00BB086B"/>
    <w:rsid w:val="00BB0878"/>
    <w:rsid w:val="00BB098E"/>
    <w:rsid w:val="00BB0994"/>
    <w:rsid w:val="00BB09A3"/>
    <w:rsid w:val="00BB09DC"/>
    <w:rsid w:val="00BB09F3"/>
    <w:rsid w:val="00BB0A13"/>
    <w:rsid w:val="00BB0A3A"/>
    <w:rsid w:val="00BB0A52"/>
    <w:rsid w:val="00BB0A78"/>
    <w:rsid w:val="00BB0B09"/>
    <w:rsid w:val="00BB0B1F"/>
    <w:rsid w:val="00BB0B7B"/>
    <w:rsid w:val="00BB0BB4"/>
    <w:rsid w:val="00BB0BF6"/>
    <w:rsid w:val="00BB0C0E"/>
    <w:rsid w:val="00BB0C68"/>
    <w:rsid w:val="00BB0C8D"/>
    <w:rsid w:val="00BB0C97"/>
    <w:rsid w:val="00BB0D0C"/>
    <w:rsid w:val="00BB0D39"/>
    <w:rsid w:val="00BB0D57"/>
    <w:rsid w:val="00BB0D95"/>
    <w:rsid w:val="00BB0DB0"/>
    <w:rsid w:val="00BB0DE9"/>
    <w:rsid w:val="00BB0E1F"/>
    <w:rsid w:val="00BB0E4C"/>
    <w:rsid w:val="00BB0E79"/>
    <w:rsid w:val="00BB0E85"/>
    <w:rsid w:val="00BB0EAF"/>
    <w:rsid w:val="00BB0ED7"/>
    <w:rsid w:val="00BB0F04"/>
    <w:rsid w:val="00BB0F0D"/>
    <w:rsid w:val="00BB0F49"/>
    <w:rsid w:val="00BB0FAF"/>
    <w:rsid w:val="00BB0FB5"/>
    <w:rsid w:val="00BB0FC9"/>
    <w:rsid w:val="00BB0FFD"/>
    <w:rsid w:val="00BB1020"/>
    <w:rsid w:val="00BB109E"/>
    <w:rsid w:val="00BB10B9"/>
    <w:rsid w:val="00BB10C4"/>
    <w:rsid w:val="00BB10E1"/>
    <w:rsid w:val="00BB111C"/>
    <w:rsid w:val="00BB1149"/>
    <w:rsid w:val="00BB11A8"/>
    <w:rsid w:val="00BB124D"/>
    <w:rsid w:val="00BB126A"/>
    <w:rsid w:val="00BB127F"/>
    <w:rsid w:val="00BB12DF"/>
    <w:rsid w:val="00BB133D"/>
    <w:rsid w:val="00BB1345"/>
    <w:rsid w:val="00BB1363"/>
    <w:rsid w:val="00BB13A4"/>
    <w:rsid w:val="00BB13CD"/>
    <w:rsid w:val="00BB13CE"/>
    <w:rsid w:val="00BB13F8"/>
    <w:rsid w:val="00BB1407"/>
    <w:rsid w:val="00BB1464"/>
    <w:rsid w:val="00BB148E"/>
    <w:rsid w:val="00BB1593"/>
    <w:rsid w:val="00BB15A5"/>
    <w:rsid w:val="00BB1604"/>
    <w:rsid w:val="00BB1627"/>
    <w:rsid w:val="00BB1662"/>
    <w:rsid w:val="00BB1697"/>
    <w:rsid w:val="00BB169F"/>
    <w:rsid w:val="00BB16AB"/>
    <w:rsid w:val="00BB16F7"/>
    <w:rsid w:val="00BB1750"/>
    <w:rsid w:val="00BB1777"/>
    <w:rsid w:val="00BB1779"/>
    <w:rsid w:val="00BB17E0"/>
    <w:rsid w:val="00BB1862"/>
    <w:rsid w:val="00BB18A5"/>
    <w:rsid w:val="00BB18E4"/>
    <w:rsid w:val="00BB18E7"/>
    <w:rsid w:val="00BB18F7"/>
    <w:rsid w:val="00BB1904"/>
    <w:rsid w:val="00BB19A8"/>
    <w:rsid w:val="00BB19D5"/>
    <w:rsid w:val="00BB19DA"/>
    <w:rsid w:val="00BB1A99"/>
    <w:rsid w:val="00BB1AC8"/>
    <w:rsid w:val="00BB1AD0"/>
    <w:rsid w:val="00BB1B20"/>
    <w:rsid w:val="00BB1B7A"/>
    <w:rsid w:val="00BB1BCB"/>
    <w:rsid w:val="00BB1BE9"/>
    <w:rsid w:val="00BB1BF6"/>
    <w:rsid w:val="00BB1C0E"/>
    <w:rsid w:val="00BB1C30"/>
    <w:rsid w:val="00BB1C43"/>
    <w:rsid w:val="00BB1CF5"/>
    <w:rsid w:val="00BB1D1B"/>
    <w:rsid w:val="00BB1D4F"/>
    <w:rsid w:val="00BB1D76"/>
    <w:rsid w:val="00BB1D9C"/>
    <w:rsid w:val="00BB1DBD"/>
    <w:rsid w:val="00BB1DC6"/>
    <w:rsid w:val="00BB1E0A"/>
    <w:rsid w:val="00BB1E8A"/>
    <w:rsid w:val="00BB1E97"/>
    <w:rsid w:val="00BB1F6C"/>
    <w:rsid w:val="00BB1FB7"/>
    <w:rsid w:val="00BB2117"/>
    <w:rsid w:val="00BB2119"/>
    <w:rsid w:val="00BB2152"/>
    <w:rsid w:val="00BB216C"/>
    <w:rsid w:val="00BB2186"/>
    <w:rsid w:val="00BB219C"/>
    <w:rsid w:val="00BB221E"/>
    <w:rsid w:val="00BB222E"/>
    <w:rsid w:val="00BB2240"/>
    <w:rsid w:val="00BB227E"/>
    <w:rsid w:val="00BB2294"/>
    <w:rsid w:val="00BB2316"/>
    <w:rsid w:val="00BB233C"/>
    <w:rsid w:val="00BB233D"/>
    <w:rsid w:val="00BB23BE"/>
    <w:rsid w:val="00BB23BF"/>
    <w:rsid w:val="00BB23D8"/>
    <w:rsid w:val="00BB23F5"/>
    <w:rsid w:val="00BB23F6"/>
    <w:rsid w:val="00BB23FD"/>
    <w:rsid w:val="00BB2424"/>
    <w:rsid w:val="00BB244B"/>
    <w:rsid w:val="00BB2461"/>
    <w:rsid w:val="00BB2486"/>
    <w:rsid w:val="00BB248D"/>
    <w:rsid w:val="00BB2498"/>
    <w:rsid w:val="00BB24EC"/>
    <w:rsid w:val="00BB24F9"/>
    <w:rsid w:val="00BB2512"/>
    <w:rsid w:val="00BB252F"/>
    <w:rsid w:val="00BB2532"/>
    <w:rsid w:val="00BB2562"/>
    <w:rsid w:val="00BB25DF"/>
    <w:rsid w:val="00BB2604"/>
    <w:rsid w:val="00BB2632"/>
    <w:rsid w:val="00BB2670"/>
    <w:rsid w:val="00BB2677"/>
    <w:rsid w:val="00BB271D"/>
    <w:rsid w:val="00BB2737"/>
    <w:rsid w:val="00BB2781"/>
    <w:rsid w:val="00BB278A"/>
    <w:rsid w:val="00BB27E1"/>
    <w:rsid w:val="00BB2816"/>
    <w:rsid w:val="00BB285A"/>
    <w:rsid w:val="00BB2870"/>
    <w:rsid w:val="00BB2902"/>
    <w:rsid w:val="00BB291D"/>
    <w:rsid w:val="00BB292E"/>
    <w:rsid w:val="00BB2951"/>
    <w:rsid w:val="00BB2961"/>
    <w:rsid w:val="00BB2987"/>
    <w:rsid w:val="00BB29A0"/>
    <w:rsid w:val="00BB29D9"/>
    <w:rsid w:val="00BB29F9"/>
    <w:rsid w:val="00BB2A35"/>
    <w:rsid w:val="00BB2A3D"/>
    <w:rsid w:val="00BB2AA5"/>
    <w:rsid w:val="00BB2AD5"/>
    <w:rsid w:val="00BB2AE9"/>
    <w:rsid w:val="00BB2BD0"/>
    <w:rsid w:val="00BB2BD2"/>
    <w:rsid w:val="00BB2C23"/>
    <w:rsid w:val="00BB2C36"/>
    <w:rsid w:val="00BB2CC7"/>
    <w:rsid w:val="00BB2CFC"/>
    <w:rsid w:val="00BB2D2A"/>
    <w:rsid w:val="00BB2D5D"/>
    <w:rsid w:val="00BB2D78"/>
    <w:rsid w:val="00BB2D89"/>
    <w:rsid w:val="00BB2D94"/>
    <w:rsid w:val="00BB2DAE"/>
    <w:rsid w:val="00BB2DC1"/>
    <w:rsid w:val="00BB2E27"/>
    <w:rsid w:val="00BB2E5B"/>
    <w:rsid w:val="00BB2E86"/>
    <w:rsid w:val="00BB2EA6"/>
    <w:rsid w:val="00BB2EC5"/>
    <w:rsid w:val="00BB2F02"/>
    <w:rsid w:val="00BB2F1C"/>
    <w:rsid w:val="00BB2FA5"/>
    <w:rsid w:val="00BB2FB6"/>
    <w:rsid w:val="00BB3013"/>
    <w:rsid w:val="00BB3045"/>
    <w:rsid w:val="00BB3047"/>
    <w:rsid w:val="00BB305C"/>
    <w:rsid w:val="00BB309F"/>
    <w:rsid w:val="00BB30CB"/>
    <w:rsid w:val="00BB30E0"/>
    <w:rsid w:val="00BB30EA"/>
    <w:rsid w:val="00BB30F9"/>
    <w:rsid w:val="00BB3156"/>
    <w:rsid w:val="00BB3191"/>
    <w:rsid w:val="00BB31D8"/>
    <w:rsid w:val="00BB31DD"/>
    <w:rsid w:val="00BB31F1"/>
    <w:rsid w:val="00BB32DF"/>
    <w:rsid w:val="00BB3304"/>
    <w:rsid w:val="00BB338B"/>
    <w:rsid w:val="00BB33A4"/>
    <w:rsid w:val="00BB33F3"/>
    <w:rsid w:val="00BB3457"/>
    <w:rsid w:val="00BB34BB"/>
    <w:rsid w:val="00BB34E1"/>
    <w:rsid w:val="00BB351C"/>
    <w:rsid w:val="00BB35A6"/>
    <w:rsid w:val="00BB35EF"/>
    <w:rsid w:val="00BB3699"/>
    <w:rsid w:val="00BB36A8"/>
    <w:rsid w:val="00BB3704"/>
    <w:rsid w:val="00BB3762"/>
    <w:rsid w:val="00BB3794"/>
    <w:rsid w:val="00BB37C0"/>
    <w:rsid w:val="00BB37EE"/>
    <w:rsid w:val="00BB380A"/>
    <w:rsid w:val="00BB381C"/>
    <w:rsid w:val="00BB3830"/>
    <w:rsid w:val="00BB38A2"/>
    <w:rsid w:val="00BB38C2"/>
    <w:rsid w:val="00BB3997"/>
    <w:rsid w:val="00BB39BA"/>
    <w:rsid w:val="00BB3A05"/>
    <w:rsid w:val="00BB3AB1"/>
    <w:rsid w:val="00BB3B0A"/>
    <w:rsid w:val="00BB3B38"/>
    <w:rsid w:val="00BB3B3B"/>
    <w:rsid w:val="00BB3B55"/>
    <w:rsid w:val="00BB3B66"/>
    <w:rsid w:val="00BB3C21"/>
    <w:rsid w:val="00BB3C2C"/>
    <w:rsid w:val="00BB3C4F"/>
    <w:rsid w:val="00BB3C6C"/>
    <w:rsid w:val="00BB3C8A"/>
    <w:rsid w:val="00BB3CC7"/>
    <w:rsid w:val="00BB3CEE"/>
    <w:rsid w:val="00BB3D02"/>
    <w:rsid w:val="00BB3D13"/>
    <w:rsid w:val="00BB3D34"/>
    <w:rsid w:val="00BB3D42"/>
    <w:rsid w:val="00BB3D87"/>
    <w:rsid w:val="00BB3D9E"/>
    <w:rsid w:val="00BB3DDE"/>
    <w:rsid w:val="00BB3DDF"/>
    <w:rsid w:val="00BB3DE2"/>
    <w:rsid w:val="00BB3DF5"/>
    <w:rsid w:val="00BB3E20"/>
    <w:rsid w:val="00BB3ED7"/>
    <w:rsid w:val="00BB3F0D"/>
    <w:rsid w:val="00BB3F27"/>
    <w:rsid w:val="00BB3F5F"/>
    <w:rsid w:val="00BB3F69"/>
    <w:rsid w:val="00BB3F78"/>
    <w:rsid w:val="00BB3F93"/>
    <w:rsid w:val="00BB3FCF"/>
    <w:rsid w:val="00BB4049"/>
    <w:rsid w:val="00BB4052"/>
    <w:rsid w:val="00BB4067"/>
    <w:rsid w:val="00BB40B0"/>
    <w:rsid w:val="00BB40F1"/>
    <w:rsid w:val="00BB4110"/>
    <w:rsid w:val="00BB4131"/>
    <w:rsid w:val="00BB41A6"/>
    <w:rsid w:val="00BB41E8"/>
    <w:rsid w:val="00BB421D"/>
    <w:rsid w:val="00BB4220"/>
    <w:rsid w:val="00BB425F"/>
    <w:rsid w:val="00BB4280"/>
    <w:rsid w:val="00BB42A1"/>
    <w:rsid w:val="00BB42F7"/>
    <w:rsid w:val="00BB4303"/>
    <w:rsid w:val="00BB4305"/>
    <w:rsid w:val="00BB4307"/>
    <w:rsid w:val="00BB4354"/>
    <w:rsid w:val="00BB4365"/>
    <w:rsid w:val="00BB4388"/>
    <w:rsid w:val="00BB4396"/>
    <w:rsid w:val="00BB4489"/>
    <w:rsid w:val="00BB44F9"/>
    <w:rsid w:val="00BB4534"/>
    <w:rsid w:val="00BB4545"/>
    <w:rsid w:val="00BB456B"/>
    <w:rsid w:val="00BB4572"/>
    <w:rsid w:val="00BB45A5"/>
    <w:rsid w:val="00BB45BE"/>
    <w:rsid w:val="00BB45CA"/>
    <w:rsid w:val="00BB46B6"/>
    <w:rsid w:val="00BB46B8"/>
    <w:rsid w:val="00BB46CE"/>
    <w:rsid w:val="00BB4712"/>
    <w:rsid w:val="00BB473F"/>
    <w:rsid w:val="00BB4781"/>
    <w:rsid w:val="00BB4799"/>
    <w:rsid w:val="00BB47B8"/>
    <w:rsid w:val="00BB47BF"/>
    <w:rsid w:val="00BB481F"/>
    <w:rsid w:val="00BB486A"/>
    <w:rsid w:val="00BB493D"/>
    <w:rsid w:val="00BB4975"/>
    <w:rsid w:val="00BB4981"/>
    <w:rsid w:val="00BB4983"/>
    <w:rsid w:val="00BB498B"/>
    <w:rsid w:val="00BB49C5"/>
    <w:rsid w:val="00BB49FA"/>
    <w:rsid w:val="00BB4A3F"/>
    <w:rsid w:val="00BB4AA9"/>
    <w:rsid w:val="00BB4AB4"/>
    <w:rsid w:val="00BB4ABF"/>
    <w:rsid w:val="00BB4B1D"/>
    <w:rsid w:val="00BB4B2E"/>
    <w:rsid w:val="00BB4B58"/>
    <w:rsid w:val="00BB4BA6"/>
    <w:rsid w:val="00BB4BE1"/>
    <w:rsid w:val="00BB4BFB"/>
    <w:rsid w:val="00BB4C02"/>
    <w:rsid w:val="00BB4C1B"/>
    <w:rsid w:val="00BB4C89"/>
    <w:rsid w:val="00BB4C93"/>
    <w:rsid w:val="00BB4C95"/>
    <w:rsid w:val="00BB4CBA"/>
    <w:rsid w:val="00BB4CE4"/>
    <w:rsid w:val="00BB4CF7"/>
    <w:rsid w:val="00BB4D22"/>
    <w:rsid w:val="00BB4D2B"/>
    <w:rsid w:val="00BB4D93"/>
    <w:rsid w:val="00BB4DB7"/>
    <w:rsid w:val="00BB4DDA"/>
    <w:rsid w:val="00BB4E1D"/>
    <w:rsid w:val="00BB4ED8"/>
    <w:rsid w:val="00BB4EE4"/>
    <w:rsid w:val="00BB4F03"/>
    <w:rsid w:val="00BB4F1C"/>
    <w:rsid w:val="00BB4F47"/>
    <w:rsid w:val="00BB4FE3"/>
    <w:rsid w:val="00BB4FED"/>
    <w:rsid w:val="00BB5008"/>
    <w:rsid w:val="00BB504F"/>
    <w:rsid w:val="00BB5070"/>
    <w:rsid w:val="00BB50C6"/>
    <w:rsid w:val="00BB50E6"/>
    <w:rsid w:val="00BB5109"/>
    <w:rsid w:val="00BB5153"/>
    <w:rsid w:val="00BB5183"/>
    <w:rsid w:val="00BB51B1"/>
    <w:rsid w:val="00BB51C8"/>
    <w:rsid w:val="00BB5207"/>
    <w:rsid w:val="00BB524D"/>
    <w:rsid w:val="00BB5299"/>
    <w:rsid w:val="00BB530F"/>
    <w:rsid w:val="00BB5327"/>
    <w:rsid w:val="00BB5360"/>
    <w:rsid w:val="00BB5379"/>
    <w:rsid w:val="00BB53B0"/>
    <w:rsid w:val="00BB5462"/>
    <w:rsid w:val="00BB54A1"/>
    <w:rsid w:val="00BB54C3"/>
    <w:rsid w:val="00BB5507"/>
    <w:rsid w:val="00BB5558"/>
    <w:rsid w:val="00BB5581"/>
    <w:rsid w:val="00BB5610"/>
    <w:rsid w:val="00BB561D"/>
    <w:rsid w:val="00BB5625"/>
    <w:rsid w:val="00BB5637"/>
    <w:rsid w:val="00BB5645"/>
    <w:rsid w:val="00BB564F"/>
    <w:rsid w:val="00BB566D"/>
    <w:rsid w:val="00BB56A1"/>
    <w:rsid w:val="00BB56FA"/>
    <w:rsid w:val="00BB5705"/>
    <w:rsid w:val="00BB5760"/>
    <w:rsid w:val="00BB5773"/>
    <w:rsid w:val="00BB5782"/>
    <w:rsid w:val="00BB5796"/>
    <w:rsid w:val="00BB57D0"/>
    <w:rsid w:val="00BB5816"/>
    <w:rsid w:val="00BB581A"/>
    <w:rsid w:val="00BB586E"/>
    <w:rsid w:val="00BB587F"/>
    <w:rsid w:val="00BB58A4"/>
    <w:rsid w:val="00BB58E0"/>
    <w:rsid w:val="00BB58E9"/>
    <w:rsid w:val="00BB596F"/>
    <w:rsid w:val="00BB59A0"/>
    <w:rsid w:val="00BB59F0"/>
    <w:rsid w:val="00BB59FB"/>
    <w:rsid w:val="00BB59FE"/>
    <w:rsid w:val="00BB5A8B"/>
    <w:rsid w:val="00BB5B0B"/>
    <w:rsid w:val="00BB5B2B"/>
    <w:rsid w:val="00BB5B2E"/>
    <w:rsid w:val="00BB5B61"/>
    <w:rsid w:val="00BB5B94"/>
    <w:rsid w:val="00BB5BD2"/>
    <w:rsid w:val="00BB5C11"/>
    <w:rsid w:val="00BB5C4C"/>
    <w:rsid w:val="00BB5C6A"/>
    <w:rsid w:val="00BB5CA8"/>
    <w:rsid w:val="00BB5CC5"/>
    <w:rsid w:val="00BB5D0E"/>
    <w:rsid w:val="00BB5D66"/>
    <w:rsid w:val="00BB5D6D"/>
    <w:rsid w:val="00BB5DD5"/>
    <w:rsid w:val="00BB5DE8"/>
    <w:rsid w:val="00BB5DF0"/>
    <w:rsid w:val="00BB5E00"/>
    <w:rsid w:val="00BB5E0B"/>
    <w:rsid w:val="00BB5E86"/>
    <w:rsid w:val="00BB5E8B"/>
    <w:rsid w:val="00BB5ED2"/>
    <w:rsid w:val="00BB5EF3"/>
    <w:rsid w:val="00BB5F1A"/>
    <w:rsid w:val="00BB5F5C"/>
    <w:rsid w:val="00BB5FBA"/>
    <w:rsid w:val="00BB5FDA"/>
    <w:rsid w:val="00BB6008"/>
    <w:rsid w:val="00BB6019"/>
    <w:rsid w:val="00BB60CC"/>
    <w:rsid w:val="00BB60EF"/>
    <w:rsid w:val="00BB618F"/>
    <w:rsid w:val="00BB6196"/>
    <w:rsid w:val="00BB6221"/>
    <w:rsid w:val="00BB6241"/>
    <w:rsid w:val="00BB6292"/>
    <w:rsid w:val="00BB6379"/>
    <w:rsid w:val="00BB6384"/>
    <w:rsid w:val="00BB6388"/>
    <w:rsid w:val="00BB63A9"/>
    <w:rsid w:val="00BB63DC"/>
    <w:rsid w:val="00BB6400"/>
    <w:rsid w:val="00BB6488"/>
    <w:rsid w:val="00BB64AB"/>
    <w:rsid w:val="00BB64C9"/>
    <w:rsid w:val="00BB64F0"/>
    <w:rsid w:val="00BB650C"/>
    <w:rsid w:val="00BB6511"/>
    <w:rsid w:val="00BB6520"/>
    <w:rsid w:val="00BB657E"/>
    <w:rsid w:val="00BB65BB"/>
    <w:rsid w:val="00BB661C"/>
    <w:rsid w:val="00BB664B"/>
    <w:rsid w:val="00BB6658"/>
    <w:rsid w:val="00BB682D"/>
    <w:rsid w:val="00BB68FF"/>
    <w:rsid w:val="00BB690E"/>
    <w:rsid w:val="00BB6913"/>
    <w:rsid w:val="00BB69A6"/>
    <w:rsid w:val="00BB69E7"/>
    <w:rsid w:val="00BB6A34"/>
    <w:rsid w:val="00BB6A41"/>
    <w:rsid w:val="00BB6B20"/>
    <w:rsid w:val="00BB6B62"/>
    <w:rsid w:val="00BB6B64"/>
    <w:rsid w:val="00BB6B6E"/>
    <w:rsid w:val="00BB6B91"/>
    <w:rsid w:val="00BB6B9D"/>
    <w:rsid w:val="00BB6BAA"/>
    <w:rsid w:val="00BB6BCB"/>
    <w:rsid w:val="00BB6C05"/>
    <w:rsid w:val="00BB6C09"/>
    <w:rsid w:val="00BB6C0C"/>
    <w:rsid w:val="00BB6C58"/>
    <w:rsid w:val="00BB6CD6"/>
    <w:rsid w:val="00BB6D0F"/>
    <w:rsid w:val="00BB6DB1"/>
    <w:rsid w:val="00BB6DE4"/>
    <w:rsid w:val="00BB6E0C"/>
    <w:rsid w:val="00BB6E55"/>
    <w:rsid w:val="00BB6E5F"/>
    <w:rsid w:val="00BB6EE8"/>
    <w:rsid w:val="00BB6F34"/>
    <w:rsid w:val="00BB6F60"/>
    <w:rsid w:val="00BB6F75"/>
    <w:rsid w:val="00BB6FB1"/>
    <w:rsid w:val="00BB6FF5"/>
    <w:rsid w:val="00BB7006"/>
    <w:rsid w:val="00BB7012"/>
    <w:rsid w:val="00BB7030"/>
    <w:rsid w:val="00BB7039"/>
    <w:rsid w:val="00BB705A"/>
    <w:rsid w:val="00BB7064"/>
    <w:rsid w:val="00BB707D"/>
    <w:rsid w:val="00BB7133"/>
    <w:rsid w:val="00BB7154"/>
    <w:rsid w:val="00BB7157"/>
    <w:rsid w:val="00BB7172"/>
    <w:rsid w:val="00BB71D6"/>
    <w:rsid w:val="00BB723F"/>
    <w:rsid w:val="00BB7243"/>
    <w:rsid w:val="00BB7244"/>
    <w:rsid w:val="00BB72A8"/>
    <w:rsid w:val="00BB72E4"/>
    <w:rsid w:val="00BB72F4"/>
    <w:rsid w:val="00BB7301"/>
    <w:rsid w:val="00BB7334"/>
    <w:rsid w:val="00BB735D"/>
    <w:rsid w:val="00BB736E"/>
    <w:rsid w:val="00BB738E"/>
    <w:rsid w:val="00BB7399"/>
    <w:rsid w:val="00BB73A3"/>
    <w:rsid w:val="00BB73D7"/>
    <w:rsid w:val="00BB7400"/>
    <w:rsid w:val="00BB7427"/>
    <w:rsid w:val="00BB7482"/>
    <w:rsid w:val="00BB7484"/>
    <w:rsid w:val="00BB750C"/>
    <w:rsid w:val="00BB7532"/>
    <w:rsid w:val="00BB7554"/>
    <w:rsid w:val="00BB7572"/>
    <w:rsid w:val="00BB757F"/>
    <w:rsid w:val="00BB7598"/>
    <w:rsid w:val="00BB75BC"/>
    <w:rsid w:val="00BB75E7"/>
    <w:rsid w:val="00BB7600"/>
    <w:rsid w:val="00BB761F"/>
    <w:rsid w:val="00BB7641"/>
    <w:rsid w:val="00BB7688"/>
    <w:rsid w:val="00BB76E0"/>
    <w:rsid w:val="00BB76E9"/>
    <w:rsid w:val="00BB773C"/>
    <w:rsid w:val="00BB7742"/>
    <w:rsid w:val="00BB774F"/>
    <w:rsid w:val="00BB7754"/>
    <w:rsid w:val="00BB776E"/>
    <w:rsid w:val="00BB7786"/>
    <w:rsid w:val="00BB77B5"/>
    <w:rsid w:val="00BB77B8"/>
    <w:rsid w:val="00BB787C"/>
    <w:rsid w:val="00BB78FB"/>
    <w:rsid w:val="00BB7962"/>
    <w:rsid w:val="00BB79AA"/>
    <w:rsid w:val="00BB7A02"/>
    <w:rsid w:val="00BB7A4F"/>
    <w:rsid w:val="00BB7A71"/>
    <w:rsid w:val="00BB7AD8"/>
    <w:rsid w:val="00BB7B03"/>
    <w:rsid w:val="00BB7BE3"/>
    <w:rsid w:val="00BB7C08"/>
    <w:rsid w:val="00BB7C1A"/>
    <w:rsid w:val="00BB7C93"/>
    <w:rsid w:val="00BB7CD3"/>
    <w:rsid w:val="00BB7D2E"/>
    <w:rsid w:val="00BB7E02"/>
    <w:rsid w:val="00BB7E05"/>
    <w:rsid w:val="00BB7E59"/>
    <w:rsid w:val="00BB7E6A"/>
    <w:rsid w:val="00BB7EA6"/>
    <w:rsid w:val="00BB7F52"/>
    <w:rsid w:val="00BB7F9E"/>
    <w:rsid w:val="00BB7FF7"/>
    <w:rsid w:val="00BB7FFB"/>
    <w:rsid w:val="00BC0097"/>
    <w:rsid w:val="00BC00B7"/>
    <w:rsid w:val="00BC00F6"/>
    <w:rsid w:val="00BC021F"/>
    <w:rsid w:val="00BC0257"/>
    <w:rsid w:val="00BC029D"/>
    <w:rsid w:val="00BC02F3"/>
    <w:rsid w:val="00BC0303"/>
    <w:rsid w:val="00BC032C"/>
    <w:rsid w:val="00BC033A"/>
    <w:rsid w:val="00BC034A"/>
    <w:rsid w:val="00BC035A"/>
    <w:rsid w:val="00BC038F"/>
    <w:rsid w:val="00BC03A3"/>
    <w:rsid w:val="00BC03B1"/>
    <w:rsid w:val="00BC03B2"/>
    <w:rsid w:val="00BC0401"/>
    <w:rsid w:val="00BC0432"/>
    <w:rsid w:val="00BC0472"/>
    <w:rsid w:val="00BC0491"/>
    <w:rsid w:val="00BC04A1"/>
    <w:rsid w:val="00BC0530"/>
    <w:rsid w:val="00BC053C"/>
    <w:rsid w:val="00BC058B"/>
    <w:rsid w:val="00BC05B1"/>
    <w:rsid w:val="00BC05C7"/>
    <w:rsid w:val="00BC05D0"/>
    <w:rsid w:val="00BC0603"/>
    <w:rsid w:val="00BC0610"/>
    <w:rsid w:val="00BC0642"/>
    <w:rsid w:val="00BC0661"/>
    <w:rsid w:val="00BC0742"/>
    <w:rsid w:val="00BC079D"/>
    <w:rsid w:val="00BC07D3"/>
    <w:rsid w:val="00BC07D8"/>
    <w:rsid w:val="00BC07DD"/>
    <w:rsid w:val="00BC0849"/>
    <w:rsid w:val="00BC084E"/>
    <w:rsid w:val="00BC0877"/>
    <w:rsid w:val="00BC0907"/>
    <w:rsid w:val="00BC092A"/>
    <w:rsid w:val="00BC097F"/>
    <w:rsid w:val="00BC099C"/>
    <w:rsid w:val="00BC09DA"/>
    <w:rsid w:val="00BC0A1E"/>
    <w:rsid w:val="00BC0AA2"/>
    <w:rsid w:val="00BC0AA4"/>
    <w:rsid w:val="00BC0B3A"/>
    <w:rsid w:val="00BC0B85"/>
    <w:rsid w:val="00BC0BA0"/>
    <w:rsid w:val="00BC0BB3"/>
    <w:rsid w:val="00BC0BD6"/>
    <w:rsid w:val="00BC0C20"/>
    <w:rsid w:val="00BC0C50"/>
    <w:rsid w:val="00BC0C72"/>
    <w:rsid w:val="00BC0C95"/>
    <w:rsid w:val="00BC0CAA"/>
    <w:rsid w:val="00BC0CBD"/>
    <w:rsid w:val="00BC0D65"/>
    <w:rsid w:val="00BC0D88"/>
    <w:rsid w:val="00BC0DCC"/>
    <w:rsid w:val="00BC0DE8"/>
    <w:rsid w:val="00BC0EAE"/>
    <w:rsid w:val="00BC0EE1"/>
    <w:rsid w:val="00BC0EFC"/>
    <w:rsid w:val="00BC0F3E"/>
    <w:rsid w:val="00BC0F6D"/>
    <w:rsid w:val="00BC1009"/>
    <w:rsid w:val="00BC1021"/>
    <w:rsid w:val="00BC1074"/>
    <w:rsid w:val="00BC10AC"/>
    <w:rsid w:val="00BC10C0"/>
    <w:rsid w:val="00BC1103"/>
    <w:rsid w:val="00BC1142"/>
    <w:rsid w:val="00BC116A"/>
    <w:rsid w:val="00BC1199"/>
    <w:rsid w:val="00BC11A4"/>
    <w:rsid w:val="00BC11C6"/>
    <w:rsid w:val="00BC11F3"/>
    <w:rsid w:val="00BC1233"/>
    <w:rsid w:val="00BC1287"/>
    <w:rsid w:val="00BC1291"/>
    <w:rsid w:val="00BC12FC"/>
    <w:rsid w:val="00BC1306"/>
    <w:rsid w:val="00BC1317"/>
    <w:rsid w:val="00BC134A"/>
    <w:rsid w:val="00BC135C"/>
    <w:rsid w:val="00BC1364"/>
    <w:rsid w:val="00BC1367"/>
    <w:rsid w:val="00BC1379"/>
    <w:rsid w:val="00BC141D"/>
    <w:rsid w:val="00BC1444"/>
    <w:rsid w:val="00BC150B"/>
    <w:rsid w:val="00BC1522"/>
    <w:rsid w:val="00BC153A"/>
    <w:rsid w:val="00BC1549"/>
    <w:rsid w:val="00BC157E"/>
    <w:rsid w:val="00BC1592"/>
    <w:rsid w:val="00BC1624"/>
    <w:rsid w:val="00BC16CA"/>
    <w:rsid w:val="00BC16CC"/>
    <w:rsid w:val="00BC1756"/>
    <w:rsid w:val="00BC1826"/>
    <w:rsid w:val="00BC18BC"/>
    <w:rsid w:val="00BC1903"/>
    <w:rsid w:val="00BC1950"/>
    <w:rsid w:val="00BC198D"/>
    <w:rsid w:val="00BC19FF"/>
    <w:rsid w:val="00BC1A22"/>
    <w:rsid w:val="00BC1A70"/>
    <w:rsid w:val="00BC1AA3"/>
    <w:rsid w:val="00BC1AC9"/>
    <w:rsid w:val="00BC1AD3"/>
    <w:rsid w:val="00BC1B00"/>
    <w:rsid w:val="00BC1B61"/>
    <w:rsid w:val="00BC1B96"/>
    <w:rsid w:val="00BC1C0B"/>
    <w:rsid w:val="00BC1C24"/>
    <w:rsid w:val="00BC1C40"/>
    <w:rsid w:val="00BC1C4D"/>
    <w:rsid w:val="00BC1C5B"/>
    <w:rsid w:val="00BC1C67"/>
    <w:rsid w:val="00BC1C7C"/>
    <w:rsid w:val="00BC1CD7"/>
    <w:rsid w:val="00BC1CE1"/>
    <w:rsid w:val="00BC1D59"/>
    <w:rsid w:val="00BC1DC0"/>
    <w:rsid w:val="00BC1E23"/>
    <w:rsid w:val="00BC1E58"/>
    <w:rsid w:val="00BC1EB7"/>
    <w:rsid w:val="00BC1FBC"/>
    <w:rsid w:val="00BC2046"/>
    <w:rsid w:val="00BC2098"/>
    <w:rsid w:val="00BC210F"/>
    <w:rsid w:val="00BC2168"/>
    <w:rsid w:val="00BC21C2"/>
    <w:rsid w:val="00BC21ED"/>
    <w:rsid w:val="00BC2209"/>
    <w:rsid w:val="00BC2214"/>
    <w:rsid w:val="00BC221B"/>
    <w:rsid w:val="00BC226F"/>
    <w:rsid w:val="00BC2293"/>
    <w:rsid w:val="00BC2296"/>
    <w:rsid w:val="00BC22DD"/>
    <w:rsid w:val="00BC234E"/>
    <w:rsid w:val="00BC2382"/>
    <w:rsid w:val="00BC23A4"/>
    <w:rsid w:val="00BC23BD"/>
    <w:rsid w:val="00BC23E3"/>
    <w:rsid w:val="00BC242F"/>
    <w:rsid w:val="00BC2499"/>
    <w:rsid w:val="00BC2575"/>
    <w:rsid w:val="00BC257C"/>
    <w:rsid w:val="00BC25C5"/>
    <w:rsid w:val="00BC2633"/>
    <w:rsid w:val="00BC264A"/>
    <w:rsid w:val="00BC2677"/>
    <w:rsid w:val="00BC26C4"/>
    <w:rsid w:val="00BC2717"/>
    <w:rsid w:val="00BC2727"/>
    <w:rsid w:val="00BC2732"/>
    <w:rsid w:val="00BC274E"/>
    <w:rsid w:val="00BC2752"/>
    <w:rsid w:val="00BC2763"/>
    <w:rsid w:val="00BC2780"/>
    <w:rsid w:val="00BC27C2"/>
    <w:rsid w:val="00BC27E4"/>
    <w:rsid w:val="00BC27E9"/>
    <w:rsid w:val="00BC2839"/>
    <w:rsid w:val="00BC2893"/>
    <w:rsid w:val="00BC2898"/>
    <w:rsid w:val="00BC290D"/>
    <w:rsid w:val="00BC2910"/>
    <w:rsid w:val="00BC2934"/>
    <w:rsid w:val="00BC2993"/>
    <w:rsid w:val="00BC29A5"/>
    <w:rsid w:val="00BC29BE"/>
    <w:rsid w:val="00BC29D8"/>
    <w:rsid w:val="00BC29EE"/>
    <w:rsid w:val="00BC29F3"/>
    <w:rsid w:val="00BC2A52"/>
    <w:rsid w:val="00BC2A6E"/>
    <w:rsid w:val="00BC2A7E"/>
    <w:rsid w:val="00BC2AA9"/>
    <w:rsid w:val="00BC2AC8"/>
    <w:rsid w:val="00BC2AF7"/>
    <w:rsid w:val="00BC2B1B"/>
    <w:rsid w:val="00BC2B3F"/>
    <w:rsid w:val="00BC2B52"/>
    <w:rsid w:val="00BC2B60"/>
    <w:rsid w:val="00BC2B74"/>
    <w:rsid w:val="00BC2B85"/>
    <w:rsid w:val="00BC2B9D"/>
    <w:rsid w:val="00BC2BA6"/>
    <w:rsid w:val="00BC2BE6"/>
    <w:rsid w:val="00BC2BFA"/>
    <w:rsid w:val="00BC2C84"/>
    <w:rsid w:val="00BC2CBA"/>
    <w:rsid w:val="00BC2CEF"/>
    <w:rsid w:val="00BC2D0F"/>
    <w:rsid w:val="00BC2D31"/>
    <w:rsid w:val="00BC2D4D"/>
    <w:rsid w:val="00BC2D8D"/>
    <w:rsid w:val="00BC2D99"/>
    <w:rsid w:val="00BC2DDE"/>
    <w:rsid w:val="00BC2DF4"/>
    <w:rsid w:val="00BC2EA1"/>
    <w:rsid w:val="00BC2EB4"/>
    <w:rsid w:val="00BC2EB5"/>
    <w:rsid w:val="00BC2F06"/>
    <w:rsid w:val="00BC2F3B"/>
    <w:rsid w:val="00BC2F55"/>
    <w:rsid w:val="00BC2F84"/>
    <w:rsid w:val="00BC2FEC"/>
    <w:rsid w:val="00BC3022"/>
    <w:rsid w:val="00BC3079"/>
    <w:rsid w:val="00BC309A"/>
    <w:rsid w:val="00BC30A4"/>
    <w:rsid w:val="00BC30D0"/>
    <w:rsid w:val="00BC311E"/>
    <w:rsid w:val="00BC313D"/>
    <w:rsid w:val="00BC316A"/>
    <w:rsid w:val="00BC3182"/>
    <w:rsid w:val="00BC319E"/>
    <w:rsid w:val="00BC31C7"/>
    <w:rsid w:val="00BC31CE"/>
    <w:rsid w:val="00BC32BD"/>
    <w:rsid w:val="00BC32EF"/>
    <w:rsid w:val="00BC3358"/>
    <w:rsid w:val="00BC336C"/>
    <w:rsid w:val="00BC336D"/>
    <w:rsid w:val="00BC3377"/>
    <w:rsid w:val="00BC3468"/>
    <w:rsid w:val="00BC347C"/>
    <w:rsid w:val="00BC3547"/>
    <w:rsid w:val="00BC35B7"/>
    <w:rsid w:val="00BC35CB"/>
    <w:rsid w:val="00BC35FA"/>
    <w:rsid w:val="00BC369D"/>
    <w:rsid w:val="00BC36BA"/>
    <w:rsid w:val="00BC36D2"/>
    <w:rsid w:val="00BC36D6"/>
    <w:rsid w:val="00BC36E1"/>
    <w:rsid w:val="00BC3706"/>
    <w:rsid w:val="00BC3725"/>
    <w:rsid w:val="00BC373E"/>
    <w:rsid w:val="00BC3787"/>
    <w:rsid w:val="00BC3793"/>
    <w:rsid w:val="00BC37DF"/>
    <w:rsid w:val="00BC3852"/>
    <w:rsid w:val="00BC38C4"/>
    <w:rsid w:val="00BC3990"/>
    <w:rsid w:val="00BC39E6"/>
    <w:rsid w:val="00BC39FD"/>
    <w:rsid w:val="00BC3A17"/>
    <w:rsid w:val="00BC3AD5"/>
    <w:rsid w:val="00BC3AE5"/>
    <w:rsid w:val="00BC3AE7"/>
    <w:rsid w:val="00BC3B63"/>
    <w:rsid w:val="00BC3B6B"/>
    <w:rsid w:val="00BC3BEA"/>
    <w:rsid w:val="00BC3BEF"/>
    <w:rsid w:val="00BC3C50"/>
    <w:rsid w:val="00BC3C71"/>
    <w:rsid w:val="00BC3C8D"/>
    <w:rsid w:val="00BC3CBD"/>
    <w:rsid w:val="00BC3CC6"/>
    <w:rsid w:val="00BC3D1C"/>
    <w:rsid w:val="00BC3D75"/>
    <w:rsid w:val="00BC3D7F"/>
    <w:rsid w:val="00BC3E25"/>
    <w:rsid w:val="00BC3E3E"/>
    <w:rsid w:val="00BC3E4D"/>
    <w:rsid w:val="00BC3E51"/>
    <w:rsid w:val="00BC3E5F"/>
    <w:rsid w:val="00BC3E61"/>
    <w:rsid w:val="00BC3F3C"/>
    <w:rsid w:val="00BC3F5F"/>
    <w:rsid w:val="00BC3F7E"/>
    <w:rsid w:val="00BC3F86"/>
    <w:rsid w:val="00BC3F90"/>
    <w:rsid w:val="00BC3FD2"/>
    <w:rsid w:val="00BC3FD9"/>
    <w:rsid w:val="00BC3FDC"/>
    <w:rsid w:val="00BC4051"/>
    <w:rsid w:val="00BC40B8"/>
    <w:rsid w:val="00BC40EF"/>
    <w:rsid w:val="00BC40F5"/>
    <w:rsid w:val="00BC4132"/>
    <w:rsid w:val="00BC414A"/>
    <w:rsid w:val="00BC417C"/>
    <w:rsid w:val="00BC4194"/>
    <w:rsid w:val="00BC41D9"/>
    <w:rsid w:val="00BC4212"/>
    <w:rsid w:val="00BC4217"/>
    <w:rsid w:val="00BC4228"/>
    <w:rsid w:val="00BC4257"/>
    <w:rsid w:val="00BC4271"/>
    <w:rsid w:val="00BC4310"/>
    <w:rsid w:val="00BC4322"/>
    <w:rsid w:val="00BC433F"/>
    <w:rsid w:val="00BC4394"/>
    <w:rsid w:val="00BC43A8"/>
    <w:rsid w:val="00BC43C5"/>
    <w:rsid w:val="00BC440F"/>
    <w:rsid w:val="00BC4490"/>
    <w:rsid w:val="00BC4492"/>
    <w:rsid w:val="00BC4571"/>
    <w:rsid w:val="00BC457D"/>
    <w:rsid w:val="00BC45B3"/>
    <w:rsid w:val="00BC4601"/>
    <w:rsid w:val="00BC4644"/>
    <w:rsid w:val="00BC4737"/>
    <w:rsid w:val="00BC4780"/>
    <w:rsid w:val="00BC47A4"/>
    <w:rsid w:val="00BC47B1"/>
    <w:rsid w:val="00BC47D7"/>
    <w:rsid w:val="00BC4833"/>
    <w:rsid w:val="00BC485B"/>
    <w:rsid w:val="00BC486C"/>
    <w:rsid w:val="00BC48E9"/>
    <w:rsid w:val="00BC490A"/>
    <w:rsid w:val="00BC491B"/>
    <w:rsid w:val="00BC4940"/>
    <w:rsid w:val="00BC4942"/>
    <w:rsid w:val="00BC4969"/>
    <w:rsid w:val="00BC4986"/>
    <w:rsid w:val="00BC4987"/>
    <w:rsid w:val="00BC4A15"/>
    <w:rsid w:val="00BC4A45"/>
    <w:rsid w:val="00BC4A56"/>
    <w:rsid w:val="00BC4AB0"/>
    <w:rsid w:val="00BC4ABF"/>
    <w:rsid w:val="00BC4AD4"/>
    <w:rsid w:val="00BC4AD5"/>
    <w:rsid w:val="00BC4AFE"/>
    <w:rsid w:val="00BC4BE0"/>
    <w:rsid w:val="00BC4BF3"/>
    <w:rsid w:val="00BC4BF4"/>
    <w:rsid w:val="00BC4BFE"/>
    <w:rsid w:val="00BC4C14"/>
    <w:rsid w:val="00BC4C40"/>
    <w:rsid w:val="00BC4CDF"/>
    <w:rsid w:val="00BC4D91"/>
    <w:rsid w:val="00BC4D9E"/>
    <w:rsid w:val="00BC4DB0"/>
    <w:rsid w:val="00BC4DFE"/>
    <w:rsid w:val="00BC4ED9"/>
    <w:rsid w:val="00BC4EEB"/>
    <w:rsid w:val="00BC4EEE"/>
    <w:rsid w:val="00BC4F55"/>
    <w:rsid w:val="00BC4F6F"/>
    <w:rsid w:val="00BC4F84"/>
    <w:rsid w:val="00BC4FDD"/>
    <w:rsid w:val="00BC500D"/>
    <w:rsid w:val="00BC50BB"/>
    <w:rsid w:val="00BC50FB"/>
    <w:rsid w:val="00BC50FE"/>
    <w:rsid w:val="00BC5172"/>
    <w:rsid w:val="00BC51AA"/>
    <w:rsid w:val="00BC51DB"/>
    <w:rsid w:val="00BC520F"/>
    <w:rsid w:val="00BC521C"/>
    <w:rsid w:val="00BC526E"/>
    <w:rsid w:val="00BC528A"/>
    <w:rsid w:val="00BC52E7"/>
    <w:rsid w:val="00BC5319"/>
    <w:rsid w:val="00BC533F"/>
    <w:rsid w:val="00BC5348"/>
    <w:rsid w:val="00BC53B2"/>
    <w:rsid w:val="00BC53CA"/>
    <w:rsid w:val="00BC5456"/>
    <w:rsid w:val="00BC5487"/>
    <w:rsid w:val="00BC54DF"/>
    <w:rsid w:val="00BC54ED"/>
    <w:rsid w:val="00BC54FB"/>
    <w:rsid w:val="00BC55C0"/>
    <w:rsid w:val="00BC5699"/>
    <w:rsid w:val="00BC56C5"/>
    <w:rsid w:val="00BC56D3"/>
    <w:rsid w:val="00BC573A"/>
    <w:rsid w:val="00BC57A2"/>
    <w:rsid w:val="00BC57AF"/>
    <w:rsid w:val="00BC57B1"/>
    <w:rsid w:val="00BC57C0"/>
    <w:rsid w:val="00BC57DA"/>
    <w:rsid w:val="00BC57E0"/>
    <w:rsid w:val="00BC57FE"/>
    <w:rsid w:val="00BC5815"/>
    <w:rsid w:val="00BC5840"/>
    <w:rsid w:val="00BC5867"/>
    <w:rsid w:val="00BC58B0"/>
    <w:rsid w:val="00BC58C3"/>
    <w:rsid w:val="00BC58F6"/>
    <w:rsid w:val="00BC5942"/>
    <w:rsid w:val="00BC599D"/>
    <w:rsid w:val="00BC59A2"/>
    <w:rsid w:val="00BC59BB"/>
    <w:rsid w:val="00BC5A4C"/>
    <w:rsid w:val="00BC5A89"/>
    <w:rsid w:val="00BC5A9C"/>
    <w:rsid w:val="00BC5B1D"/>
    <w:rsid w:val="00BC5B5D"/>
    <w:rsid w:val="00BC5B68"/>
    <w:rsid w:val="00BC5BE1"/>
    <w:rsid w:val="00BC5C2B"/>
    <w:rsid w:val="00BC5C2E"/>
    <w:rsid w:val="00BC5C6C"/>
    <w:rsid w:val="00BC5C7D"/>
    <w:rsid w:val="00BC5C8C"/>
    <w:rsid w:val="00BC5C9E"/>
    <w:rsid w:val="00BC5D28"/>
    <w:rsid w:val="00BC5D9B"/>
    <w:rsid w:val="00BC5DE2"/>
    <w:rsid w:val="00BC5E65"/>
    <w:rsid w:val="00BC5E86"/>
    <w:rsid w:val="00BC5EB0"/>
    <w:rsid w:val="00BC5EB5"/>
    <w:rsid w:val="00BC5EE7"/>
    <w:rsid w:val="00BC5EFD"/>
    <w:rsid w:val="00BC5F32"/>
    <w:rsid w:val="00BC5FA2"/>
    <w:rsid w:val="00BC601D"/>
    <w:rsid w:val="00BC6063"/>
    <w:rsid w:val="00BC60C8"/>
    <w:rsid w:val="00BC60CF"/>
    <w:rsid w:val="00BC614B"/>
    <w:rsid w:val="00BC6162"/>
    <w:rsid w:val="00BC6185"/>
    <w:rsid w:val="00BC61D4"/>
    <w:rsid w:val="00BC6212"/>
    <w:rsid w:val="00BC6238"/>
    <w:rsid w:val="00BC6253"/>
    <w:rsid w:val="00BC627F"/>
    <w:rsid w:val="00BC634D"/>
    <w:rsid w:val="00BC6368"/>
    <w:rsid w:val="00BC63B1"/>
    <w:rsid w:val="00BC63DC"/>
    <w:rsid w:val="00BC641A"/>
    <w:rsid w:val="00BC645D"/>
    <w:rsid w:val="00BC6534"/>
    <w:rsid w:val="00BC655B"/>
    <w:rsid w:val="00BC655C"/>
    <w:rsid w:val="00BC6565"/>
    <w:rsid w:val="00BC65B5"/>
    <w:rsid w:val="00BC664D"/>
    <w:rsid w:val="00BC668F"/>
    <w:rsid w:val="00BC66C0"/>
    <w:rsid w:val="00BC6715"/>
    <w:rsid w:val="00BC6738"/>
    <w:rsid w:val="00BC6762"/>
    <w:rsid w:val="00BC6766"/>
    <w:rsid w:val="00BC6768"/>
    <w:rsid w:val="00BC67A7"/>
    <w:rsid w:val="00BC67CA"/>
    <w:rsid w:val="00BC67D4"/>
    <w:rsid w:val="00BC6823"/>
    <w:rsid w:val="00BC68FC"/>
    <w:rsid w:val="00BC6962"/>
    <w:rsid w:val="00BC6995"/>
    <w:rsid w:val="00BC69EB"/>
    <w:rsid w:val="00BC6A04"/>
    <w:rsid w:val="00BC6A1A"/>
    <w:rsid w:val="00BC6A34"/>
    <w:rsid w:val="00BC6A3C"/>
    <w:rsid w:val="00BC6AD8"/>
    <w:rsid w:val="00BC6AFB"/>
    <w:rsid w:val="00BC6B82"/>
    <w:rsid w:val="00BC6B8F"/>
    <w:rsid w:val="00BC6BAC"/>
    <w:rsid w:val="00BC6C4A"/>
    <w:rsid w:val="00BC6C58"/>
    <w:rsid w:val="00BC6C6E"/>
    <w:rsid w:val="00BC6C7F"/>
    <w:rsid w:val="00BC6C9F"/>
    <w:rsid w:val="00BC6CDD"/>
    <w:rsid w:val="00BC6D36"/>
    <w:rsid w:val="00BC6D5B"/>
    <w:rsid w:val="00BC6D6E"/>
    <w:rsid w:val="00BC6D8C"/>
    <w:rsid w:val="00BC6DC2"/>
    <w:rsid w:val="00BC6DCE"/>
    <w:rsid w:val="00BC6DDD"/>
    <w:rsid w:val="00BC6DE5"/>
    <w:rsid w:val="00BC6DEC"/>
    <w:rsid w:val="00BC6DF1"/>
    <w:rsid w:val="00BC6DF5"/>
    <w:rsid w:val="00BC6E35"/>
    <w:rsid w:val="00BC6E40"/>
    <w:rsid w:val="00BC6E69"/>
    <w:rsid w:val="00BC6E79"/>
    <w:rsid w:val="00BC6EAC"/>
    <w:rsid w:val="00BC6EBD"/>
    <w:rsid w:val="00BC6ED6"/>
    <w:rsid w:val="00BC6ED7"/>
    <w:rsid w:val="00BC6F05"/>
    <w:rsid w:val="00BC6F29"/>
    <w:rsid w:val="00BC6F3B"/>
    <w:rsid w:val="00BC6F94"/>
    <w:rsid w:val="00BC7006"/>
    <w:rsid w:val="00BC700A"/>
    <w:rsid w:val="00BC7032"/>
    <w:rsid w:val="00BC7033"/>
    <w:rsid w:val="00BC7042"/>
    <w:rsid w:val="00BC7052"/>
    <w:rsid w:val="00BC7053"/>
    <w:rsid w:val="00BC7072"/>
    <w:rsid w:val="00BC7092"/>
    <w:rsid w:val="00BC70A5"/>
    <w:rsid w:val="00BC70D7"/>
    <w:rsid w:val="00BC70DD"/>
    <w:rsid w:val="00BC70EC"/>
    <w:rsid w:val="00BC70FC"/>
    <w:rsid w:val="00BC70FE"/>
    <w:rsid w:val="00BC7109"/>
    <w:rsid w:val="00BC711D"/>
    <w:rsid w:val="00BC7120"/>
    <w:rsid w:val="00BC7121"/>
    <w:rsid w:val="00BC7128"/>
    <w:rsid w:val="00BC719C"/>
    <w:rsid w:val="00BC71C8"/>
    <w:rsid w:val="00BC71CC"/>
    <w:rsid w:val="00BC71DA"/>
    <w:rsid w:val="00BC7221"/>
    <w:rsid w:val="00BC7274"/>
    <w:rsid w:val="00BC72AE"/>
    <w:rsid w:val="00BC72B8"/>
    <w:rsid w:val="00BC72F0"/>
    <w:rsid w:val="00BC731E"/>
    <w:rsid w:val="00BC7354"/>
    <w:rsid w:val="00BC73AF"/>
    <w:rsid w:val="00BC73B4"/>
    <w:rsid w:val="00BC73BA"/>
    <w:rsid w:val="00BC73D5"/>
    <w:rsid w:val="00BC73DA"/>
    <w:rsid w:val="00BC742C"/>
    <w:rsid w:val="00BC7463"/>
    <w:rsid w:val="00BC7499"/>
    <w:rsid w:val="00BC74AF"/>
    <w:rsid w:val="00BC7502"/>
    <w:rsid w:val="00BC750A"/>
    <w:rsid w:val="00BC751E"/>
    <w:rsid w:val="00BC7537"/>
    <w:rsid w:val="00BC7551"/>
    <w:rsid w:val="00BC759A"/>
    <w:rsid w:val="00BC7614"/>
    <w:rsid w:val="00BC7620"/>
    <w:rsid w:val="00BC7631"/>
    <w:rsid w:val="00BC7643"/>
    <w:rsid w:val="00BC768F"/>
    <w:rsid w:val="00BC76BB"/>
    <w:rsid w:val="00BC76E2"/>
    <w:rsid w:val="00BC771D"/>
    <w:rsid w:val="00BC7773"/>
    <w:rsid w:val="00BC77F9"/>
    <w:rsid w:val="00BC7815"/>
    <w:rsid w:val="00BC782B"/>
    <w:rsid w:val="00BC7855"/>
    <w:rsid w:val="00BC7861"/>
    <w:rsid w:val="00BC7867"/>
    <w:rsid w:val="00BC789C"/>
    <w:rsid w:val="00BC7987"/>
    <w:rsid w:val="00BC7A34"/>
    <w:rsid w:val="00BC7B70"/>
    <w:rsid w:val="00BC7C32"/>
    <w:rsid w:val="00BC7C56"/>
    <w:rsid w:val="00BC7C62"/>
    <w:rsid w:val="00BC7C74"/>
    <w:rsid w:val="00BC7C95"/>
    <w:rsid w:val="00BC7CA3"/>
    <w:rsid w:val="00BC7DBC"/>
    <w:rsid w:val="00BC7DBD"/>
    <w:rsid w:val="00BC7E30"/>
    <w:rsid w:val="00BC7E50"/>
    <w:rsid w:val="00BC7E84"/>
    <w:rsid w:val="00BC7E8C"/>
    <w:rsid w:val="00BC7EB6"/>
    <w:rsid w:val="00BC7EBC"/>
    <w:rsid w:val="00BC7F35"/>
    <w:rsid w:val="00BC7F63"/>
    <w:rsid w:val="00BC7FA6"/>
    <w:rsid w:val="00BC7FC9"/>
    <w:rsid w:val="00BD004F"/>
    <w:rsid w:val="00BD006E"/>
    <w:rsid w:val="00BD00B5"/>
    <w:rsid w:val="00BD00D3"/>
    <w:rsid w:val="00BD00E6"/>
    <w:rsid w:val="00BD010E"/>
    <w:rsid w:val="00BD0163"/>
    <w:rsid w:val="00BD0167"/>
    <w:rsid w:val="00BD01F5"/>
    <w:rsid w:val="00BD023A"/>
    <w:rsid w:val="00BD025C"/>
    <w:rsid w:val="00BD02E4"/>
    <w:rsid w:val="00BD0303"/>
    <w:rsid w:val="00BD030E"/>
    <w:rsid w:val="00BD0338"/>
    <w:rsid w:val="00BD036A"/>
    <w:rsid w:val="00BD0379"/>
    <w:rsid w:val="00BD03B5"/>
    <w:rsid w:val="00BD03CF"/>
    <w:rsid w:val="00BD03FD"/>
    <w:rsid w:val="00BD040E"/>
    <w:rsid w:val="00BD043C"/>
    <w:rsid w:val="00BD0456"/>
    <w:rsid w:val="00BD045D"/>
    <w:rsid w:val="00BD04C1"/>
    <w:rsid w:val="00BD056F"/>
    <w:rsid w:val="00BD05F9"/>
    <w:rsid w:val="00BD061B"/>
    <w:rsid w:val="00BD064B"/>
    <w:rsid w:val="00BD066D"/>
    <w:rsid w:val="00BD06B7"/>
    <w:rsid w:val="00BD06B8"/>
    <w:rsid w:val="00BD06D5"/>
    <w:rsid w:val="00BD06F3"/>
    <w:rsid w:val="00BD06FB"/>
    <w:rsid w:val="00BD0731"/>
    <w:rsid w:val="00BD07B8"/>
    <w:rsid w:val="00BD07E3"/>
    <w:rsid w:val="00BD0843"/>
    <w:rsid w:val="00BD0857"/>
    <w:rsid w:val="00BD08E8"/>
    <w:rsid w:val="00BD090C"/>
    <w:rsid w:val="00BD0967"/>
    <w:rsid w:val="00BD09CA"/>
    <w:rsid w:val="00BD0A19"/>
    <w:rsid w:val="00BD0A1A"/>
    <w:rsid w:val="00BD0A20"/>
    <w:rsid w:val="00BD0A74"/>
    <w:rsid w:val="00BD0A7F"/>
    <w:rsid w:val="00BD0A8C"/>
    <w:rsid w:val="00BD0AA1"/>
    <w:rsid w:val="00BD0AAB"/>
    <w:rsid w:val="00BD0ACE"/>
    <w:rsid w:val="00BD0B3F"/>
    <w:rsid w:val="00BD0B45"/>
    <w:rsid w:val="00BD0B4A"/>
    <w:rsid w:val="00BD0B70"/>
    <w:rsid w:val="00BD0B8D"/>
    <w:rsid w:val="00BD0BA8"/>
    <w:rsid w:val="00BD0C12"/>
    <w:rsid w:val="00BD0C7F"/>
    <w:rsid w:val="00BD0C8D"/>
    <w:rsid w:val="00BD0C93"/>
    <w:rsid w:val="00BD0CA5"/>
    <w:rsid w:val="00BD0CD4"/>
    <w:rsid w:val="00BD0CF3"/>
    <w:rsid w:val="00BD0D02"/>
    <w:rsid w:val="00BD0D2A"/>
    <w:rsid w:val="00BD0DFC"/>
    <w:rsid w:val="00BD0E22"/>
    <w:rsid w:val="00BD0E2D"/>
    <w:rsid w:val="00BD0E36"/>
    <w:rsid w:val="00BD0E3C"/>
    <w:rsid w:val="00BD0E63"/>
    <w:rsid w:val="00BD0E77"/>
    <w:rsid w:val="00BD0E84"/>
    <w:rsid w:val="00BD0E85"/>
    <w:rsid w:val="00BD0E8C"/>
    <w:rsid w:val="00BD0E9D"/>
    <w:rsid w:val="00BD0EA4"/>
    <w:rsid w:val="00BD0EBD"/>
    <w:rsid w:val="00BD0EFA"/>
    <w:rsid w:val="00BD0F06"/>
    <w:rsid w:val="00BD0F88"/>
    <w:rsid w:val="00BD0F95"/>
    <w:rsid w:val="00BD0FB4"/>
    <w:rsid w:val="00BD0FC4"/>
    <w:rsid w:val="00BD1007"/>
    <w:rsid w:val="00BD10C9"/>
    <w:rsid w:val="00BD1107"/>
    <w:rsid w:val="00BD11DC"/>
    <w:rsid w:val="00BD1200"/>
    <w:rsid w:val="00BD1236"/>
    <w:rsid w:val="00BD1246"/>
    <w:rsid w:val="00BD12CD"/>
    <w:rsid w:val="00BD12FC"/>
    <w:rsid w:val="00BD13A8"/>
    <w:rsid w:val="00BD13C0"/>
    <w:rsid w:val="00BD13E3"/>
    <w:rsid w:val="00BD13FD"/>
    <w:rsid w:val="00BD1402"/>
    <w:rsid w:val="00BD1419"/>
    <w:rsid w:val="00BD1428"/>
    <w:rsid w:val="00BD1452"/>
    <w:rsid w:val="00BD1465"/>
    <w:rsid w:val="00BD1473"/>
    <w:rsid w:val="00BD1525"/>
    <w:rsid w:val="00BD154E"/>
    <w:rsid w:val="00BD158F"/>
    <w:rsid w:val="00BD15CA"/>
    <w:rsid w:val="00BD1605"/>
    <w:rsid w:val="00BD1627"/>
    <w:rsid w:val="00BD1675"/>
    <w:rsid w:val="00BD1692"/>
    <w:rsid w:val="00BD1698"/>
    <w:rsid w:val="00BD16CB"/>
    <w:rsid w:val="00BD172C"/>
    <w:rsid w:val="00BD1731"/>
    <w:rsid w:val="00BD1745"/>
    <w:rsid w:val="00BD1794"/>
    <w:rsid w:val="00BD17A6"/>
    <w:rsid w:val="00BD17BF"/>
    <w:rsid w:val="00BD17EA"/>
    <w:rsid w:val="00BD17FB"/>
    <w:rsid w:val="00BD17FF"/>
    <w:rsid w:val="00BD1806"/>
    <w:rsid w:val="00BD1845"/>
    <w:rsid w:val="00BD18A6"/>
    <w:rsid w:val="00BD18FF"/>
    <w:rsid w:val="00BD1939"/>
    <w:rsid w:val="00BD198B"/>
    <w:rsid w:val="00BD199B"/>
    <w:rsid w:val="00BD1A3C"/>
    <w:rsid w:val="00BD1A7F"/>
    <w:rsid w:val="00BD1A92"/>
    <w:rsid w:val="00BD1AD3"/>
    <w:rsid w:val="00BD1B0C"/>
    <w:rsid w:val="00BD1B2D"/>
    <w:rsid w:val="00BD1B40"/>
    <w:rsid w:val="00BD1BA9"/>
    <w:rsid w:val="00BD1BBC"/>
    <w:rsid w:val="00BD1BEA"/>
    <w:rsid w:val="00BD1C08"/>
    <w:rsid w:val="00BD1C27"/>
    <w:rsid w:val="00BD1C48"/>
    <w:rsid w:val="00BD1C72"/>
    <w:rsid w:val="00BD1C74"/>
    <w:rsid w:val="00BD1C81"/>
    <w:rsid w:val="00BD1CD3"/>
    <w:rsid w:val="00BD1CE3"/>
    <w:rsid w:val="00BD1CF4"/>
    <w:rsid w:val="00BD1D06"/>
    <w:rsid w:val="00BD1D81"/>
    <w:rsid w:val="00BD1D84"/>
    <w:rsid w:val="00BD1D9B"/>
    <w:rsid w:val="00BD1DB5"/>
    <w:rsid w:val="00BD1DC4"/>
    <w:rsid w:val="00BD1DFA"/>
    <w:rsid w:val="00BD1E1E"/>
    <w:rsid w:val="00BD1E36"/>
    <w:rsid w:val="00BD1E4C"/>
    <w:rsid w:val="00BD1E51"/>
    <w:rsid w:val="00BD1E9A"/>
    <w:rsid w:val="00BD1EAD"/>
    <w:rsid w:val="00BD1F0B"/>
    <w:rsid w:val="00BD1F4E"/>
    <w:rsid w:val="00BD1F50"/>
    <w:rsid w:val="00BD1F7B"/>
    <w:rsid w:val="00BD1FB4"/>
    <w:rsid w:val="00BD1FBC"/>
    <w:rsid w:val="00BD1FF7"/>
    <w:rsid w:val="00BD202D"/>
    <w:rsid w:val="00BD2073"/>
    <w:rsid w:val="00BD209F"/>
    <w:rsid w:val="00BD20A0"/>
    <w:rsid w:val="00BD2120"/>
    <w:rsid w:val="00BD212B"/>
    <w:rsid w:val="00BD2142"/>
    <w:rsid w:val="00BD2148"/>
    <w:rsid w:val="00BD2155"/>
    <w:rsid w:val="00BD2194"/>
    <w:rsid w:val="00BD21E6"/>
    <w:rsid w:val="00BD21E9"/>
    <w:rsid w:val="00BD2245"/>
    <w:rsid w:val="00BD2262"/>
    <w:rsid w:val="00BD2303"/>
    <w:rsid w:val="00BD231B"/>
    <w:rsid w:val="00BD2353"/>
    <w:rsid w:val="00BD2355"/>
    <w:rsid w:val="00BD2386"/>
    <w:rsid w:val="00BD23B4"/>
    <w:rsid w:val="00BD2405"/>
    <w:rsid w:val="00BD240E"/>
    <w:rsid w:val="00BD2469"/>
    <w:rsid w:val="00BD24A7"/>
    <w:rsid w:val="00BD24E7"/>
    <w:rsid w:val="00BD2501"/>
    <w:rsid w:val="00BD2513"/>
    <w:rsid w:val="00BD252F"/>
    <w:rsid w:val="00BD25A4"/>
    <w:rsid w:val="00BD25C8"/>
    <w:rsid w:val="00BD25D1"/>
    <w:rsid w:val="00BD25EE"/>
    <w:rsid w:val="00BD260C"/>
    <w:rsid w:val="00BD2611"/>
    <w:rsid w:val="00BD261B"/>
    <w:rsid w:val="00BD267E"/>
    <w:rsid w:val="00BD26AA"/>
    <w:rsid w:val="00BD26E7"/>
    <w:rsid w:val="00BD2750"/>
    <w:rsid w:val="00BD275E"/>
    <w:rsid w:val="00BD2798"/>
    <w:rsid w:val="00BD27B9"/>
    <w:rsid w:val="00BD27C8"/>
    <w:rsid w:val="00BD2801"/>
    <w:rsid w:val="00BD282C"/>
    <w:rsid w:val="00BD285A"/>
    <w:rsid w:val="00BD2898"/>
    <w:rsid w:val="00BD28B4"/>
    <w:rsid w:val="00BD290E"/>
    <w:rsid w:val="00BD2914"/>
    <w:rsid w:val="00BD292E"/>
    <w:rsid w:val="00BD2A40"/>
    <w:rsid w:val="00BD2A5E"/>
    <w:rsid w:val="00BD2A7C"/>
    <w:rsid w:val="00BD2B12"/>
    <w:rsid w:val="00BD2B6C"/>
    <w:rsid w:val="00BD2B8B"/>
    <w:rsid w:val="00BD2BA5"/>
    <w:rsid w:val="00BD2BF0"/>
    <w:rsid w:val="00BD2C10"/>
    <w:rsid w:val="00BD2C34"/>
    <w:rsid w:val="00BD2C48"/>
    <w:rsid w:val="00BD2C4F"/>
    <w:rsid w:val="00BD2C87"/>
    <w:rsid w:val="00BD2C90"/>
    <w:rsid w:val="00BD2CB4"/>
    <w:rsid w:val="00BD2D6C"/>
    <w:rsid w:val="00BD2D86"/>
    <w:rsid w:val="00BD2DD4"/>
    <w:rsid w:val="00BD2DE6"/>
    <w:rsid w:val="00BD2DE8"/>
    <w:rsid w:val="00BD2E38"/>
    <w:rsid w:val="00BD2FA6"/>
    <w:rsid w:val="00BD2FA7"/>
    <w:rsid w:val="00BD3013"/>
    <w:rsid w:val="00BD3028"/>
    <w:rsid w:val="00BD3137"/>
    <w:rsid w:val="00BD317B"/>
    <w:rsid w:val="00BD31AD"/>
    <w:rsid w:val="00BD31C3"/>
    <w:rsid w:val="00BD31E4"/>
    <w:rsid w:val="00BD3209"/>
    <w:rsid w:val="00BD3232"/>
    <w:rsid w:val="00BD3283"/>
    <w:rsid w:val="00BD3294"/>
    <w:rsid w:val="00BD32AF"/>
    <w:rsid w:val="00BD32C2"/>
    <w:rsid w:val="00BD3341"/>
    <w:rsid w:val="00BD3342"/>
    <w:rsid w:val="00BD3382"/>
    <w:rsid w:val="00BD33BB"/>
    <w:rsid w:val="00BD3442"/>
    <w:rsid w:val="00BD3446"/>
    <w:rsid w:val="00BD344E"/>
    <w:rsid w:val="00BD3496"/>
    <w:rsid w:val="00BD34BE"/>
    <w:rsid w:val="00BD34C2"/>
    <w:rsid w:val="00BD34DA"/>
    <w:rsid w:val="00BD3509"/>
    <w:rsid w:val="00BD353E"/>
    <w:rsid w:val="00BD3553"/>
    <w:rsid w:val="00BD3585"/>
    <w:rsid w:val="00BD35DC"/>
    <w:rsid w:val="00BD35E1"/>
    <w:rsid w:val="00BD360F"/>
    <w:rsid w:val="00BD3614"/>
    <w:rsid w:val="00BD362A"/>
    <w:rsid w:val="00BD3656"/>
    <w:rsid w:val="00BD36AC"/>
    <w:rsid w:val="00BD36F7"/>
    <w:rsid w:val="00BD370C"/>
    <w:rsid w:val="00BD37AA"/>
    <w:rsid w:val="00BD381E"/>
    <w:rsid w:val="00BD3824"/>
    <w:rsid w:val="00BD3845"/>
    <w:rsid w:val="00BD3850"/>
    <w:rsid w:val="00BD3866"/>
    <w:rsid w:val="00BD38D5"/>
    <w:rsid w:val="00BD38FB"/>
    <w:rsid w:val="00BD390B"/>
    <w:rsid w:val="00BD3919"/>
    <w:rsid w:val="00BD3945"/>
    <w:rsid w:val="00BD3957"/>
    <w:rsid w:val="00BD39A8"/>
    <w:rsid w:val="00BD39AE"/>
    <w:rsid w:val="00BD39BE"/>
    <w:rsid w:val="00BD39C6"/>
    <w:rsid w:val="00BD39F6"/>
    <w:rsid w:val="00BD3A97"/>
    <w:rsid w:val="00BD3B16"/>
    <w:rsid w:val="00BD3B3B"/>
    <w:rsid w:val="00BD3B51"/>
    <w:rsid w:val="00BD3B7B"/>
    <w:rsid w:val="00BD3BCB"/>
    <w:rsid w:val="00BD3C1F"/>
    <w:rsid w:val="00BD3D1B"/>
    <w:rsid w:val="00BD3D5A"/>
    <w:rsid w:val="00BD3DB7"/>
    <w:rsid w:val="00BD3DC4"/>
    <w:rsid w:val="00BD3DDF"/>
    <w:rsid w:val="00BD3DEF"/>
    <w:rsid w:val="00BD3E4F"/>
    <w:rsid w:val="00BD3E5D"/>
    <w:rsid w:val="00BD3E7D"/>
    <w:rsid w:val="00BD3EBC"/>
    <w:rsid w:val="00BD3F02"/>
    <w:rsid w:val="00BD3F2E"/>
    <w:rsid w:val="00BD3F4B"/>
    <w:rsid w:val="00BD3F5A"/>
    <w:rsid w:val="00BD3F5D"/>
    <w:rsid w:val="00BD3FAD"/>
    <w:rsid w:val="00BD3FF9"/>
    <w:rsid w:val="00BD4026"/>
    <w:rsid w:val="00BD40BE"/>
    <w:rsid w:val="00BD40C5"/>
    <w:rsid w:val="00BD4106"/>
    <w:rsid w:val="00BD4146"/>
    <w:rsid w:val="00BD4187"/>
    <w:rsid w:val="00BD41D4"/>
    <w:rsid w:val="00BD4206"/>
    <w:rsid w:val="00BD422D"/>
    <w:rsid w:val="00BD4259"/>
    <w:rsid w:val="00BD4263"/>
    <w:rsid w:val="00BD426B"/>
    <w:rsid w:val="00BD427D"/>
    <w:rsid w:val="00BD42E3"/>
    <w:rsid w:val="00BD430B"/>
    <w:rsid w:val="00BD4330"/>
    <w:rsid w:val="00BD4363"/>
    <w:rsid w:val="00BD4416"/>
    <w:rsid w:val="00BD44CA"/>
    <w:rsid w:val="00BD44D0"/>
    <w:rsid w:val="00BD4536"/>
    <w:rsid w:val="00BD454C"/>
    <w:rsid w:val="00BD454F"/>
    <w:rsid w:val="00BD464A"/>
    <w:rsid w:val="00BD4686"/>
    <w:rsid w:val="00BD46A4"/>
    <w:rsid w:val="00BD46A8"/>
    <w:rsid w:val="00BD46FA"/>
    <w:rsid w:val="00BD46FE"/>
    <w:rsid w:val="00BD4721"/>
    <w:rsid w:val="00BD475C"/>
    <w:rsid w:val="00BD47A6"/>
    <w:rsid w:val="00BD4804"/>
    <w:rsid w:val="00BD48A9"/>
    <w:rsid w:val="00BD4955"/>
    <w:rsid w:val="00BD49A3"/>
    <w:rsid w:val="00BD49F3"/>
    <w:rsid w:val="00BD4A16"/>
    <w:rsid w:val="00BD4A77"/>
    <w:rsid w:val="00BD4B71"/>
    <w:rsid w:val="00BD4B9A"/>
    <w:rsid w:val="00BD4BC2"/>
    <w:rsid w:val="00BD4C1F"/>
    <w:rsid w:val="00BD4C44"/>
    <w:rsid w:val="00BD4CA2"/>
    <w:rsid w:val="00BD4CB8"/>
    <w:rsid w:val="00BD4CC5"/>
    <w:rsid w:val="00BD4CE0"/>
    <w:rsid w:val="00BD4D1E"/>
    <w:rsid w:val="00BD4D69"/>
    <w:rsid w:val="00BD4DD6"/>
    <w:rsid w:val="00BD4E11"/>
    <w:rsid w:val="00BD4E12"/>
    <w:rsid w:val="00BD4E13"/>
    <w:rsid w:val="00BD4E14"/>
    <w:rsid w:val="00BD4E1D"/>
    <w:rsid w:val="00BD4E44"/>
    <w:rsid w:val="00BD4E5C"/>
    <w:rsid w:val="00BD4EC4"/>
    <w:rsid w:val="00BD4EDE"/>
    <w:rsid w:val="00BD4F15"/>
    <w:rsid w:val="00BD4F1D"/>
    <w:rsid w:val="00BD4F3D"/>
    <w:rsid w:val="00BD4F51"/>
    <w:rsid w:val="00BD4FA1"/>
    <w:rsid w:val="00BD4FA2"/>
    <w:rsid w:val="00BD5018"/>
    <w:rsid w:val="00BD5024"/>
    <w:rsid w:val="00BD505F"/>
    <w:rsid w:val="00BD509C"/>
    <w:rsid w:val="00BD50BC"/>
    <w:rsid w:val="00BD50D0"/>
    <w:rsid w:val="00BD5110"/>
    <w:rsid w:val="00BD511C"/>
    <w:rsid w:val="00BD5144"/>
    <w:rsid w:val="00BD515A"/>
    <w:rsid w:val="00BD51DA"/>
    <w:rsid w:val="00BD521F"/>
    <w:rsid w:val="00BD5257"/>
    <w:rsid w:val="00BD5268"/>
    <w:rsid w:val="00BD52AB"/>
    <w:rsid w:val="00BD52B5"/>
    <w:rsid w:val="00BD52BE"/>
    <w:rsid w:val="00BD5300"/>
    <w:rsid w:val="00BD5346"/>
    <w:rsid w:val="00BD537C"/>
    <w:rsid w:val="00BD53CC"/>
    <w:rsid w:val="00BD5474"/>
    <w:rsid w:val="00BD5508"/>
    <w:rsid w:val="00BD5587"/>
    <w:rsid w:val="00BD559E"/>
    <w:rsid w:val="00BD55A8"/>
    <w:rsid w:val="00BD55EC"/>
    <w:rsid w:val="00BD562F"/>
    <w:rsid w:val="00BD563E"/>
    <w:rsid w:val="00BD5661"/>
    <w:rsid w:val="00BD5666"/>
    <w:rsid w:val="00BD567E"/>
    <w:rsid w:val="00BD5692"/>
    <w:rsid w:val="00BD56FD"/>
    <w:rsid w:val="00BD5732"/>
    <w:rsid w:val="00BD575A"/>
    <w:rsid w:val="00BD577D"/>
    <w:rsid w:val="00BD5780"/>
    <w:rsid w:val="00BD57B3"/>
    <w:rsid w:val="00BD57D0"/>
    <w:rsid w:val="00BD581F"/>
    <w:rsid w:val="00BD587D"/>
    <w:rsid w:val="00BD592F"/>
    <w:rsid w:val="00BD5945"/>
    <w:rsid w:val="00BD5960"/>
    <w:rsid w:val="00BD5974"/>
    <w:rsid w:val="00BD59C3"/>
    <w:rsid w:val="00BD59C8"/>
    <w:rsid w:val="00BD5A2B"/>
    <w:rsid w:val="00BD5A3F"/>
    <w:rsid w:val="00BD5A5D"/>
    <w:rsid w:val="00BD5A64"/>
    <w:rsid w:val="00BD5AC4"/>
    <w:rsid w:val="00BD5AF0"/>
    <w:rsid w:val="00BD5B0D"/>
    <w:rsid w:val="00BD5B59"/>
    <w:rsid w:val="00BD5B5D"/>
    <w:rsid w:val="00BD5B91"/>
    <w:rsid w:val="00BD5BA6"/>
    <w:rsid w:val="00BD5BBC"/>
    <w:rsid w:val="00BD5BDB"/>
    <w:rsid w:val="00BD5BF5"/>
    <w:rsid w:val="00BD5C05"/>
    <w:rsid w:val="00BD5C30"/>
    <w:rsid w:val="00BD5C4B"/>
    <w:rsid w:val="00BD5C52"/>
    <w:rsid w:val="00BD5C67"/>
    <w:rsid w:val="00BD5C95"/>
    <w:rsid w:val="00BD5CCD"/>
    <w:rsid w:val="00BD5CDC"/>
    <w:rsid w:val="00BD5D2A"/>
    <w:rsid w:val="00BD5D52"/>
    <w:rsid w:val="00BD5DD5"/>
    <w:rsid w:val="00BD5E42"/>
    <w:rsid w:val="00BD5E83"/>
    <w:rsid w:val="00BD5EC2"/>
    <w:rsid w:val="00BD5ED0"/>
    <w:rsid w:val="00BD5F20"/>
    <w:rsid w:val="00BD5F25"/>
    <w:rsid w:val="00BD5F8E"/>
    <w:rsid w:val="00BD5FF1"/>
    <w:rsid w:val="00BD604A"/>
    <w:rsid w:val="00BD605F"/>
    <w:rsid w:val="00BD606A"/>
    <w:rsid w:val="00BD6074"/>
    <w:rsid w:val="00BD6088"/>
    <w:rsid w:val="00BD60A1"/>
    <w:rsid w:val="00BD60FC"/>
    <w:rsid w:val="00BD6155"/>
    <w:rsid w:val="00BD6168"/>
    <w:rsid w:val="00BD617A"/>
    <w:rsid w:val="00BD61AA"/>
    <w:rsid w:val="00BD61CA"/>
    <w:rsid w:val="00BD61DC"/>
    <w:rsid w:val="00BD61E0"/>
    <w:rsid w:val="00BD61FD"/>
    <w:rsid w:val="00BD622C"/>
    <w:rsid w:val="00BD623E"/>
    <w:rsid w:val="00BD624E"/>
    <w:rsid w:val="00BD6250"/>
    <w:rsid w:val="00BD6277"/>
    <w:rsid w:val="00BD629F"/>
    <w:rsid w:val="00BD62CC"/>
    <w:rsid w:val="00BD6316"/>
    <w:rsid w:val="00BD632A"/>
    <w:rsid w:val="00BD6389"/>
    <w:rsid w:val="00BD638D"/>
    <w:rsid w:val="00BD63A1"/>
    <w:rsid w:val="00BD640F"/>
    <w:rsid w:val="00BD641A"/>
    <w:rsid w:val="00BD6428"/>
    <w:rsid w:val="00BD643B"/>
    <w:rsid w:val="00BD64BD"/>
    <w:rsid w:val="00BD64F7"/>
    <w:rsid w:val="00BD6509"/>
    <w:rsid w:val="00BD6556"/>
    <w:rsid w:val="00BD657E"/>
    <w:rsid w:val="00BD6599"/>
    <w:rsid w:val="00BD65A1"/>
    <w:rsid w:val="00BD65B0"/>
    <w:rsid w:val="00BD6661"/>
    <w:rsid w:val="00BD666A"/>
    <w:rsid w:val="00BD6694"/>
    <w:rsid w:val="00BD6696"/>
    <w:rsid w:val="00BD6697"/>
    <w:rsid w:val="00BD6712"/>
    <w:rsid w:val="00BD6723"/>
    <w:rsid w:val="00BD677A"/>
    <w:rsid w:val="00BD67CD"/>
    <w:rsid w:val="00BD67F0"/>
    <w:rsid w:val="00BD67FE"/>
    <w:rsid w:val="00BD680E"/>
    <w:rsid w:val="00BD682F"/>
    <w:rsid w:val="00BD6850"/>
    <w:rsid w:val="00BD6882"/>
    <w:rsid w:val="00BD68B4"/>
    <w:rsid w:val="00BD68B6"/>
    <w:rsid w:val="00BD68D2"/>
    <w:rsid w:val="00BD6914"/>
    <w:rsid w:val="00BD6916"/>
    <w:rsid w:val="00BD6925"/>
    <w:rsid w:val="00BD6926"/>
    <w:rsid w:val="00BD693E"/>
    <w:rsid w:val="00BD698A"/>
    <w:rsid w:val="00BD6992"/>
    <w:rsid w:val="00BD69E1"/>
    <w:rsid w:val="00BD6A12"/>
    <w:rsid w:val="00BD6A47"/>
    <w:rsid w:val="00BD6A6D"/>
    <w:rsid w:val="00BD6A7A"/>
    <w:rsid w:val="00BD6A88"/>
    <w:rsid w:val="00BD6AA3"/>
    <w:rsid w:val="00BD6AE9"/>
    <w:rsid w:val="00BD6AF7"/>
    <w:rsid w:val="00BD6B44"/>
    <w:rsid w:val="00BD6B7A"/>
    <w:rsid w:val="00BD6BCB"/>
    <w:rsid w:val="00BD6BF6"/>
    <w:rsid w:val="00BD6BFC"/>
    <w:rsid w:val="00BD6C6E"/>
    <w:rsid w:val="00BD6C76"/>
    <w:rsid w:val="00BD6CB2"/>
    <w:rsid w:val="00BD6CC4"/>
    <w:rsid w:val="00BD6D37"/>
    <w:rsid w:val="00BD6D3C"/>
    <w:rsid w:val="00BD6D44"/>
    <w:rsid w:val="00BD6D52"/>
    <w:rsid w:val="00BD6DA2"/>
    <w:rsid w:val="00BD6DBE"/>
    <w:rsid w:val="00BD6DDD"/>
    <w:rsid w:val="00BD6E63"/>
    <w:rsid w:val="00BD6E69"/>
    <w:rsid w:val="00BD6EB6"/>
    <w:rsid w:val="00BD6ECF"/>
    <w:rsid w:val="00BD6F2B"/>
    <w:rsid w:val="00BD6F5B"/>
    <w:rsid w:val="00BD6FF8"/>
    <w:rsid w:val="00BD7066"/>
    <w:rsid w:val="00BD7080"/>
    <w:rsid w:val="00BD7083"/>
    <w:rsid w:val="00BD7153"/>
    <w:rsid w:val="00BD71C1"/>
    <w:rsid w:val="00BD7217"/>
    <w:rsid w:val="00BD7294"/>
    <w:rsid w:val="00BD72D6"/>
    <w:rsid w:val="00BD72D8"/>
    <w:rsid w:val="00BD72DC"/>
    <w:rsid w:val="00BD734C"/>
    <w:rsid w:val="00BD7381"/>
    <w:rsid w:val="00BD73AF"/>
    <w:rsid w:val="00BD73CE"/>
    <w:rsid w:val="00BD747C"/>
    <w:rsid w:val="00BD74DF"/>
    <w:rsid w:val="00BD74F6"/>
    <w:rsid w:val="00BD7576"/>
    <w:rsid w:val="00BD7578"/>
    <w:rsid w:val="00BD75E0"/>
    <w:rsid w:val="00BD760E"/>
    <w:rsid w:val="00BD764D"/>
    <w:rsid w:val="00BD766E"/>
    <w:rsid w:val="00BD76A9"/>
    <w:rsid w:val="00BD76B3"/>
    <w:rsid w:val="00BD76BB"/>
    <w:rsid w:val="00BD76BF"/>
    <w:rsid w:val="00BD76C4"/>
    <w:rsid w:val="00BD76CB"/>
    <w:rsid w:val="00BD76D0"/>
    <w:rsid w:val="00BD76E0"/>
    <w:rsid w:val="00BD76F3"/>
    <w:rsid w:val="00BD76F9"/>
    <w:rsid w:val="00BD774E"/>
    <w:rsid w:val="00BD7833"/>
    <w:rsid w:val="00BD7855"/>
    <w:rsid w:val="00BD78D0"/>
    <w:rsid w:val="00BD78F1"/>
    <w:rsid w:val="00BD793F"/>
    <w:rsid w:val="00BD7944"/>
    <w:rsid w:val="00BD7946"/>
    <w:rsid w:val="00BD7994"/>
    <w:rsid w:val="00BD79C9"/>
    <w:rsid w:val="00BD79D0"/>
    <w:rsid w:val="00BD79F0"/>
    <w:rsid w:val="00BD79F6"/>
    <w:rsid w:val="00BD7A28"/>
    <w:rsid w:val="00BD7A45"/>
    <w:rsid w:val="00BD7A68"/>
    <w:rsid w:val="00BD7A98"/>
    <w:rsid w:val="00BD7A9A"/>
    <w:rsid w:val="00BD7B2A"/>
    <w:rsid w:val="00BD7B44"/>
    <w:rsid w:val="00BD7BBD"/>
    <w:rsid w:val="00BD7C3C"/>
    <w:rsid w:val="00BD7CA9"/>
    <w:rsid w:val="00BD7CCB"/>
    <w:rsid w:val="00BD7CE4"/>
    <w:rsid w:val="00BD7D07"/>
    <w:rsid w:val="00BD7D5A"/>
    <w:rsid w:val="00BD7D95"/>
    <w:rsid w:val="00BD7DA6"/>
    <w:rsid w:val="00BD7DD8"/>
    <w:rsid w:val="00BD7DDA"/>
    <w:rsid w:val="00BD7DFF"/>
    <w:rsid w:val="00BD7E0C"/>
    <w:rsid w:val="00BD7E73"/>
    <w:rsid w:val="00BD7E9F"/>
    <w:rsid w:val="00BD7EC5"/>
    <w:rsid w:val="00BD7F36"/>
    <w:rsid w:val="00BD7F5D"/>
    <w:rsid w:val="00BD7F66"/>
    <w:rsid w:val="00BD7F76"/>
    <w:rsid w:val="00BD7F78"/>
    <w:rsid w:val="00BD7FA1"/>
    <w:rsid w:val="00BD7FEF"/>
    <w:rsid w:val="00BE0010"/>
    <w:rsid w:val="00BE0022"/>
    <w:rsid w:val="00BE002E"/>
    <w:rsid w:val="00BE002F"/>
    <w:rsid w:val="00BE0070"/>
    <w:rsid w:val="00BE007F"/>
    <w:rsid w:val="00BE009C"/>
    <w:rsid w:val="00BE009F"/>
    <w:rsid w:val="00BE00AD"/>
    <w:rsid w:val="00BE00AF"/>
    <w:rsid w:val="00BE0134"/>
    <w:rsid w:val="00BE0173"/>
    <w:rsid w:val="00BE01A5"/>
    <w:rsid w:val="00BE0218"/>
    <w:rsid w:val="00BE0271"/>
    <w:rsid w:val="00BE02AD"/>
    <w:rsid w:val="00BE030A"/>
    <w:rsid w:val="00BE0380"/>
    <w:rsid w:val="00BE041B"/>
    <w:rsid w:val="00BE0426"/>
    <w:rsid w:val="00BE0474"/>
    <w:rsid w:val="00BE0475"/>
    <w:rsid w:val="00BE0495"/>
    <w:rsid w:val="00BE04A0"/>
    <w:rsid w:val="00BE04B8"/>
    <w:rsid w:val="00BE0543"/>
    <w:rsid w:val="00BE059D"/>
    <w:rsid w:val="00BE05A8"/>
    <w:rsid w:val="00BE05AE"/>
    <w:rsid w:val="00BE05D0"/>
    <w:rsid w:val="00BE0682"/>
    <w:rsid w:val="00BE0695"/>
    <w:rsid w:val="00BE06A7"/>
    <w:rsid w:val="00BE06FD"/>
    <w:rsid w:val="00BE0725"/>
    <w:rsid w:val="00BE0771"/>
    <w:rsid w:val="00BE07B7"/>
    <w:rsid w:val="00BE0808"/>
    <w:rsid w:val="00BE089A"/>
    <w:rsid w:val="00BE0913"/>
    <w:rsid w:val="00BE091A"/>
    <w:rsid w:val="00BE0982"/>
    <w:rsid w:val="00BE09AA"/>
    <w:rsid w:val="00BE09AD"/>
    <w:rsid w:val="00BE09D6"/>
    <w:rsid w:val="00BE09F3"/>
    <w:rsid w:val="00BE0A21"/>
    <w:rsid w:val="00BE0A38"/>
    <w:rsid w:val="00BE0A96"/>
    <w:rsid w:val="00BE0ABE"/>
    <w:rsid w:val="00BE0AC7"/>
    <w:rsid w:val="00BE0B33"/>
    <w:rsid w:val="00BE0B7F"/>
    <w:rsid w:val="00BE0B99"/>
    <w:rsid w:val="00BE0BFA"/>
    <w:rsid w:val="00BE0C03"/>
    <w:rsid w:val="00BE0C91"/>
    <w:rsid w:val="00BE0CE3"/>
    <w:rsid w:val="00BE0D24"/>
    <w:rsid w:val="00BE0D7A"/>
    <w:rsid w:val="00BE0D82"/>
    <w:rsid w:val="00BE0E09"/>
    <w:rsid w:val="00BE0E11"/>
    <w:rsid w:val="00BE0E24"/>
    <w:rsid w:val="00BE0E83"/>
    <w:rsid w:val="00BE0E9A"/>
    <w:rsid w:val="00BE0EA6"/>
    <w:rsid w:val="00BE0EDA"/>
    <w:rsid w:val="00BE0EE5"/>
    <w:rsid w:val="00BE0F73"/>
    <w:rsid w:val="00BE0FD5"/>
    <w:rsid w:val="00BE0FD9"/>
    <w:rsid w:val="00BE1043"/>
    <w:rsid w:val="00BE1063"/>
    <w:rsid w:val="00BE1077"/>
    <w:rsid w:val="00BE10AD"/>
    <w:rsid w:val="00BE10FA"/>
    <w:rsid w:val="00BE110C"/>
    <w:rsid w:val="00BE1165"/>
    <w:rsid w:val="00BE11D7"/>
    <w:rsid w:val="00BE1215"/>
    <w:rsid w:val="00BE1271"/>
    <w:rsid w:val="00BE12AA"/>
    <w:rsid w:val="00BE12C0"/>
    <w:rsid w:val="00BE12C4"/>
    <w:rsid w:val="00BE12F6"/>
    <w:rsid w:val="00BE1311"/>
    <w:rsid w:val="00BE1332"/>
    <w:rsid w:val="00BE135A"/>
    <w:rsid w:val="00BE136E"/>
    <w:rsid w:val="00BE137D"/>
    <w:rsid w:val="00BE13BD"/>
    <w:rsid w:val="00BE13BF"/>
    <w:rsid w:val="00BE142B"/>
    <w:rsid w:val="00BE1443"/>
    <w:rsid w:val="00BE14A7"/>
    <w:rsid w:val="00BE1505"/>
    <w:rsid w:val="00BE1519"/>
    <w:rsid w:val="00BE1579"/>
    <w:rsid w:val="00BE158B"/>
    <w:rsid w:val="00BE15AB"/>
    <w:rsid w:val="00BE15D9"/>
    <w:rsid w:val="00BE165A"/>
    <w:rsid w:val="00BE16C1"/>
    <w:rsid w:val="00BE16DA"/>
    <w:rsid w:val="00BE177F"/>
    <w:rsid w:val="00BE1784"/>
    <w:rsid w:val="00BE17CD"/>
    <w:rsid w:val="00BE17DB"/>
    <w:rsid w:val="00BE1850"/>
    <w:rsid w:val="00BE18A3"/>
    <w:rsid w:val="00BE18F3"/>
    <w:rsid w:val="00BE18F4"/>
    <w:rsid w:val="00BE18FF"/>
    <w:rsid w:val="00BE1900"/>
    <w:rsid w:val="00BE190F"/>
    <w:rsid w:val="00BE1920"/>
    <w:rsid w:val="00BE1993"/>
    <w:rsid w:val="00BE199F"/>
    <w:rsid w:val="00BE1A3E"/>
    <w:rsid w:val="00BE1A49"/>
    <w:rsid w:val="00BE1A66"/>
    <w:rsid w:val="00BE1AA5"/>
    <w:rsid w:val="00BE1AAA"/>
    <w:rsid w:val="00BE1B18"/>
    <w:rsid w:val="00BE1BAF"/>
    <w:rsid w:val="00BE1BCE"/>
    <w:rsid w:val="00BE1C29"/>
    <w:rsid w:val="00BE1C71"/>
    <w:rsid w:val="00BE1C99"/>
    <w:rsid w:val="00BE1C9C"/>
    <w:rsid w:val="00BE1CD5"/>
    <w:rsid w:val="00BE1D61"/>
    <w:rsid w:val="00BE1D94"/>
    <w:rsid w:val="00BE1DA5"/>
    <w:rsid w:val="00BE1DD3"/>
    <w:rsid w:val="00BE1E8E"/>
    <w:rsid w:val="00BE1F55"/>
    <w:rsid w:val="00BE1F65"/>
    <w:rsid w:val="00BE1FEA"/>
    <w:rsid w:val="00BE2059"/>
    <w:rsid w:val="00BE2080"/>
    <w:rsid w:val="00BE20A9"/>
    <w:rsid w:val="00BE20B3"/>
    <w:rsid w:val="00BE20CF"/>
    <w:rsid w:val="00BE20EC"/>
    <w:rsid w:val="00BE213B"/>
    <w:rsid w:val="00BE213D"/>
    <w:rsid w:val="00BE2142"/>
    <w:rsid w:val="00BE2174"/>
    <w:rsid w:val="00BE217B"/>
    <w:rsid w:val="00BE2186"/>
    <w:rsid w:val="00BE219E"/>
    <w:rsid w:val="00BE21BF"/>
    <w:rsid w:val="00BE21CA"/>
    <w:rsid w:val="00BE21D9"/>
    <w:rsid w:val="00BE21EF"/>
    <w:rsid w:val="00BE21F6"/>
    <w:rsid w:val="00BE221C"/>
    <w:rsid w:val="00BE2246"/>
    <w:rsid w:val="00BE22E1"/>
    <w:rsid w:val="00BE2301"/>
    <w:rsid w:val="00BE233C"/>
    <w:rsid w:val="00BE234D"/>
    <w:rsid w:val="00BE23A5"/>
    <w:rsid w:val="00BE23BA"/>
    <w:rsid w:val="00BE23F5"/>
    <w:rsid w:val="00BE2447"/>
    <w:rsid w:val="00BE244E"/>
    <w:rsid w:val="00BE24D2"/>
    <w:rsid w:val="00BE24F9"/>
    <w:rsid w:val="00BE24FE"/>
    <w:rsid w:val="00BE2502"/>
    <w:rsid w:val="00BE252E"/>
    <w:rsid w:val="00BE253D"/>
    <w:rsid w:val="00BE2574"/>
    <w:rsid w:val="00BE25CB"/>
    <w:rsid w:val="00BE25E6"/>
    <w:rsid w:val="00BE262C"/>
    <w:rsid w:val="00BE2655"/>
    <w:rsid w:val="00BE266C"/>
    <w:rsid w:val="00BE2672"/>
    <w:rsid w:val="00BE2680"/>
    <w:rsid w:val="00BE269F"/>
    <w:rsid w:val="00BE26CA"/>
    <w:rsid w:val="00BE2722"/>
    <w:rsid w:val="00BE27AC"/>
    <w:rsid w:val="00BE27B8"/>
    <w:rsid w:val="00BE28AA"/>
    <w:rsid w:val="00BE28D5"/>
    <w:rsid w:val="00BE28E4"/>
    <w:rsid w:val="00BE2910"/>
    <w:rsid w:val="00BE293A"/>
    <w:rsid w:val="00BE2945"/>
    <w:rsid w:val="00BE295A"/>
    <w:rsid w:val="00BE295B"/>
    <w:rsid w:val="00BE29BF"/>
    <w:rsid w:val="00BE2A18"/>
    <w:rsid w:val="00BE2A2A"/>
    <w:rsid w:val="00BE2A30"/>
    <w:rsid w:val="00BE2A6F"/>
    <w:rsid w:val="00BE2B08"/>
    <w:rsid w:val="00BE2BC3"/>
    <w:rsid w:val="00BE2BF8"/>
    <w:rsid w:val="00BE2C00"/>
    <w:rsid w:val="00BE2C24"/>
    <w:rsid w:val="00BE2C42"/>
    <w:rsid w:val="00BE2C4F"/>
    <w:rsid w:val="00BE2CB4"/>
    <w:rsid w:val="00BE2CC6"/>
    <w:rsid w:val="00BE2D3C"/>
    <w:rsid w:val="00BE2E9D"/>
    <w:rsid w:val="00BE2ECC"/>
    <w:rsid w:val="00BE2EE0"/>
    <w:rsid w:val="00BE2EE4"/>
    <w:rsid w:val="00BE2EF3"/>
    <w:rsid w:val="00BE2F39"/>
    <w:rsid w:val="00BE2F53"/>
    <w:rsid w:val="00BE2F64"/>
    <w:rsid w:val="00BE3136"/>
    <w:rsid w:val="00BE314A"/>
    <w:rsid w:val="00BE32DF"/>
    <w:rsid w:val="00BE32E6"/>
    <w:rsid w:val="00BE32F5"/>
    <w:rsid w:val="00BE32FA"/>
    <w:rsid w:val="00BE32FD"/>
    <w:rsid w:val="00BE330C"/>
    <w:rsid w:val="00BE330F"/>
    <w:rsid w:val="00BE3320"/>
    <w:rsid w:val="00BE3331"/>
    <w:rsid w:val="00BE3338"/>
    <w:rsid w:val="00BE3389"/>
    <w:rsid w:val="00BE33A8"/>
    <w:rsid w:val="00BE33D3"/>
    <w:rsid w:val="00BE3405"/>
    <w:rsid w:val="00BE3418"/>
    <w:rsid w:val="00BE3467"/>
    <w:rsid w:val="00BE3471"/>
    <w:rsid w:val="00BE34F8"/>
    <w:rsid w:val="00BE3576"/>
    <w:rsid w:val="00BE3614"/>
    <w:rsid w:val="00BE3623"/>
    <w:rsid w:val="00BE3624"/>
    <w:rsid w:val="00BE365D"/>
    <w:rsid w:val="00BE3663"/>
    <w:rsid w:val="00BE3670"/>
    <w:rsid w:val="00BE36C3"/>
    <w:rsid w:val="00BE36DD"/>
    <w:rsid w:val="00BE3715"/>
    <w:rsid w:val="00BE3723"/>
    <w:rsid w:val="00BE3758"/>
    <w:rsid w:val="00BE37AD"/>
    <w:rsid w:val="00BE37D6"/>
    <w:rsid w:val="00BE37E1"/>
    <w:rsid w:val="00BE37E8"/>
    <w:rsid w:val="00BE38CD"/>
    <w:rsid w:val="00BE38D0"/>
    <w:rsid w:val="00BE393A"/>
    <w:rsid w:val="00BE39D2"/>
    <w:rsid w:val="00BE3A04"/>
    <w:rsid w:val="00BE3A1A"/>
    <w:rsid w:val="00BE3AE7"/>
    <w:rsid w:val="00BE3B1C"/>
    <w:rsid w:val="00BE3B51"/>
    <w:rsid w:val="00BE3B8E"/>
    <w:rsid w:val="00BE3BAA"/>
    <w:rsid w:val="00BE3BBB"/>
    <w:rsid w:val="00BE3BBF"/>
    <w:rsid w:val="00BE3C1D"/>
    <w:rsid w:val="00BE3C1F"/>
    <w:rsid w:val="00BE3C21"/>
    <w:rsid w:val="00BE3C3E"/>
    <w:rsid w:val="00BE3C58"/>
    <w:rsid w:val="00BE3C65"/>
    <w:rsid w:val="00BE3C67"/>
    <w:rsid w:val="00BE3C68"/>
    <w:rsid w:val="00BE3C95"/>
    <w:rsid w:val="00BE3CDA"/>
    <w:rsid w:val="00BE3D03"/>
    <w:rsid w:val="00BE3D19"/>
    <w:rsid w:val="00BE3D50"/>
    <w:rsid w:val="00BE3E0C"/>
    <w:rsid w:val="00BE3E12"/>
    <w:rsid w:val="00BE3E5F"/>
    <w:rsid w:val="00BE3EED"/>
    <w:rsid w:val="00BE3FD2"/>
    <w:rsid w:val="00BE403A"/>
    <w:rsid w:val="00BE4047"/>
    <w:rsid w:val="00BE40B9"/>
    <w:rsid w:val="00BE40EB"/>
    <w:rsid w:val="00BE411C"/>
    <w:rsid w:val="00BE4136"/>
    <w:rsid w:val="00BE416F"/>
    <w:rsid w:val="00BE4222"/>
    <w:rsid w:val="00BE426A"/>
    <w:rsid w:val="00BE432D"/>
    <w:rsid w:val="00BE435F"/>
    <w:rsid w:val="00BE4391"/>
    <w:rsid w:val="00BE4393"/>
    <w:rsid w:val="00BE43B8"/>
    <w:rsid w:val="00BE43EA"/>
    <w:rsid w:val="00BE4411"/>
    <w:rsid w:val="00BE4414"/>
    <w:rsid w:val="00BE4467"/>
    <w:rsid w:val="00BE446F"/>
    <w:rsid w:val="00BE447F"/>
    <w:rsid w:val="00BE44C6"/>
    <w:rsid w:val="00BE4545"/>
    <w:rsid w:val="00BE4571"/>
    <w:rsid w:val="00BE45C8"/>
    <w:rsid w:val="00BE45D1"/>
    <w:rsid w:val="00BE462D"/>
    <w:rsid w:val="00BE464C"/>
    <w:rsid w:val="00BE46CD"/>
    <w:rsid w:val="00BE473A"/>
    <w:rsid w:val="00BE473E"/>
    <w:rsid w:val="00BE4742"/>
    <w:rsid w:val="00BE475E"/>
    <w:rsid w:val="00BE47C5"/>
    <w:rsid w:val="00BE4832"/>
    <w:rsid w:val="00BE4835"/>
    <w:rsid w:val="00BE4858"/>
    <w:rsid w:val="00BE48C5"/>
    <w:rsid w:val="00BE48C9"/>
    <w:rsid w:val="00BE4913"/>
    <w:rsid w:val="00BE497A"/>
    <w:rsid w:val="00BE498A"/>
    <w:rsid w:val="00BE49CF"/>
    <w:rsid w:val="00BE49FE"/>
    <w:rsid w:val="00BE4AED"/>
    <w:rsid w:val="00BE4AF8"/>
    <w:rsid w:val="00BE4B0C"/>
    <w:rsid w:val="00BE4B3F"/>
    <w:rsid w:val="00BE4B4D"/>
    <w:rsid w:val="00BE4B8A"/>
    <w:rsid w:val="00BE4C1E"/>
    <w:rsid w:val="00BE4C4B"/>
    <w:rsid w:val="00BE4C53"/>
    <w:rsid w:val="00BE4C75"/>
    <w:rsid w:val="00BE4CF4"/>
    <w:rsid w:val="00BE4CFF"/>
    <w:rsid w:val="00BE4D0B"/>
    <w:rsid w:val="00BE4DA7"/>
    <w:rsid w:val="00BE4DCB"/>
    <w:rsid w:val="00BE4E21"/>
    <w:rsid w:val="00BE4E3D"/>
    <w:rsid w:val="00BE4EEB"/>
    <w:rsid w:val="00BE4EFC"/>
    <w:rsid w:val="00BE4EFE"/>
    <w:rsid w:val="00BE4F48"/>
    <w:rsid w:val="00BE4FB9"/>
    <w:rsid w:val="00BE4FD2"/>
    <w:rsid w:val="00BE4FE2"/>
    <w:rsid w:val="00BE5018"/>
    <w:rsid w:val="00BE5069"/>
    <w:rsid w:val="00BE50DD"/>
    <w:rsid w:val="00BE5150"/>
    <w:rsid w:val="00BE5169"/>
    <w:rsid w:val="00BE5191"/>
    <w:rsid w:val="00BE519F"/>
    <w:rsid w:val="00BE51B6"/>
    <w:rsid w:val="00BE51D8"/>
    <w:rsid w:val="00BE51E3"/>
    <w:rsid w:val="00BE51F0"/>
    <w:rsid w:val="00BE5217"/>
    <w:rsid w:val="00BE5263"/>
    <w:rsid w:val="00BE528D"/>
    <w:rsid w:val="00BE52DC"/>
    <w:rsid w:val="00BE52F6"/>
    <w:rsid w:val="00BE5310"/>
    <w:rsid w:val="00BE5319"/>
    <w:rsid w:val="00BE536E"/>
    <w:rsid w:val="00BE5380"/>
    <w:rsid w:val="00BE5385"/>
    <w:rsid w:val="00BE53C3"/>
    <w:rsid w:val="00BE5424"/>
    <w:rsid w:val="00BE542B"/>
    <w:rsid w:val="00BE5439"/>
    <w:rsid w:val="00BE5449"/>
    <w:rsid w:val="00BE545B"/>
    <w:rsid w:val="00BE5484"/>
    <w:rsid w:val="00BE554B"/>
    <w:rsid w:val="00BE556F"/>
    <w:rsid w:val="00BE558D"/>
    <w:rsid w:val="00BE5605"/>
    <w:rsid w:val="00BE562D"/>
    <w:rsid w:val="00BE5682"/>
    <w:rsid w:val="00BE5701"/>
    <w:rsid w:val="00BE570D"/>
    <w:rsid w:val="00BE5756"/>
    <w:rsid w:val="00BE575C"/>
    <w:rsid w:val="00BE5761"/>
    <w:rsid w:val="00BE5767"/>
    <w:rsid w:val="00BE57C3"/>
    <w:rsid w:val="00BE57C6"/>
    <w:rsid w:val="00BE57DA"/>
    <w:rsid w:val="00BE57E1"/>
    <w:rsid w:val="00BE5847"/>
    <w:rsid w:val="00BE5857"/>
    <w:rsid w:val="00BE5870"/>
    <w:rsid w:val="00BE58E2"/>
    <w:rsid w:val="00BE58FE"/>
    <w:rsid w:val="00BE592D"/>
    <w:rsid w:val="00BE5932"/>
    <w:rsid w:val="00BE596C"/>
    <w:rsid w:val="00BE5983"/>
    <w:rsid w:val="00BE5985"/>
    <w:rsid w:val="00BE5997"/>
    <w:rsid w:val="00BE59A7"/>
    <w:rsid w:val="00BE59AF"/>
    <w:rsid w:val="00BE59F0"/>
    <w:rsid w:val="00BE59F1"/>
    <w:rsid w:val="00BE5A4C"/>
    <w:rsid w:val="00BE5A6A"/>
    <w:rsid w:val="00BE5AED"/>
    <w:rsid w:val="00BE5AEF"/>
    <w:rsid w:val="00BE5B32"/>
    <w:rsid w:val="00BE5B87"/>
    <w:rsid w:val="00BE5B8B"/>
    <w:rsid w:val="00BE5B8F"/>
    <w:rsid w:val="00BE5B9F"/>
    <w:rsid w:val="00BE5C66"/>
    <w:rsid w:val="00BE5C68"/>
    <w:rsid w:val="00BE5C89"/>
    <w:rsid w:val="00BE5C9D"/>
    <w:rsid w:val="00BE5CF8"/>
    <w:rsid w:val="00BE5D39"/>
    <w:rsid w:val="00BE5D3F"/>
    <w:rsid w:val="00BE5D5E"/>
    <w:rsid w:val="00BE5D95"/>
    <w:rsid w:val="00BE5DE2"/>
    <w:rsid w:val="00BE5DF0"/>
    <w:rsid w:val="00BE5DFD"/>
    <w:rsid w:val="00BE5E06"/>
    <w:rsid w:val="00BE5E78"/>
    <w:rsid w:val="00BE5EC0"/>
    <w:rsid w:val="00BE5EC5"/>
    <w:rsid w:val="00BE5EE0"/>
    <w:rsid w:val="00BE5EE5"/>
    <w:rsid w:val="00BE5EF7"/>
    <w:rsid w:val="00BE5F1D"/>
    <w:rsid w:val="00BE5F44"/>
    <w:rsid w:val="00BE5F47"/>
    <w:rsid w:val="00BE5F50"/>
    <w:rsid w:val="00BE5F62"/>
    <w:rsid w:val="00BE5FFC"/>
    <w:rsid w:val="00BE6040"/>
    <w:rsid w:val="00BE6043"/>
    <w:rsid w:val="00BE6063"/>
    <w:rsid w:val="00BE606E"/>
    <w:rsid w:val="00BE6071"/>
    <w:rsid w:val="00BE609C"/>
    <w:rsid w:val="00BE60DB"/>
    <w:rsid w:val="00BE610C"/>
    <w:rsid w:val="00BE6111"/>
    <w:rsid w:val="00BE61AD"/>
    <w:rsid w:val="00BE61D3"/>
    <w:rsid w:val="00BE6204"/>
    <w:rsid w:val="00BE6227"/>
    <w:rsid w:val="00BE623F"/>
    <w:rsid w:val="00BE6254"/>
    <w:rsid w:val="00BE630D"/>
    <w:rsid w:val="00BE635B"/>
    <w:rsid w:val="00BE63B0"/>
    <w:rsid w:val="00BE63F4"/>
    <w:rsid w:val="00BE6464"/>
    <w:rsid w:val="00BE6472"/>
    <w:rsid w:val="00BE64F3"/>
    <w:rsid w:val="00BE6524"/>
    <w:rsid w:val="00BE6546"/>
    <w:rsid w:val="00BE6556"/>
    <w:rsid w:val="00BE6599"/>
    <w:rsid w:val="00BE659D"/>
    <w:rsid w:val="00BE65A0"/>
    <w:rsid w:val="00BE65B1"/>
    <w:rsid w:val="00BE65B2"/>
    <w:rsid w:val="00BE6617"/>
    <w:rsid w:val="00BE6650"/>
    <w:rsid w:val="00BE6674"/>
    <w:rsid w:val="00BE667E"/>
    <w:rsid w:val="00BE6699"/>
    <w:rsid w:val="00BE66A6"/>
    <w:rsid w:val="00BE671D"/>
    <w:rsid w:val="00BE6755"/>
    <w:rsid w:val="00BE6786"/>
    <w:rsid w:val="00BE67E1"/>
    <w:rsid w:val="00BE67E7"/>
    <w:rsid w:val="00BE67FF"/>
    <w:rsid w:val="00BE6803"/>
    <w:rsid w:val="00BE6814"/>
    <w:rsid w:val="00BE6815"/>
    <w:rsid w:val="00BE688A"/>
    <w:rsid w:val="00BE688B"/>
    <w:rsid w:val="00BE68A4"/>
    <w:rsid w:val="00BE68AE"/>
    <w:rsid w:val="00BE68B9"/>
    <w:rsid w:val="00BE68C9"/>
    <w:rsid w:val="00BE68DA"/>
    <w:rsid w:val="00BE68E8"/>
    <w:rsid w:val="00BE68FE"/>
    <w:rsid w:val="00BE691C"/>
    <w:rsid w:val="00BE6947"/>
    <w:rsid w:val="00BE694B"/>
    <w:rsid w:val="00BE6966"/>
    <w:rsid w:val="00BE6979"/>
    <w:rsid w:val="00BE69BF"/>
    <w:rsid w:val="00BE69F7"/>
    <w:rsid w:val="00BE6A01"/>
    <w:rsid w:val="00BE6AB8"/>
    <w:rsid w:val="00BE6AE3"/>
    <w:rsid w:val="00BE6BC4"/>
    <w:rsid w:val="00BE6BFE"/>
    <w:rsid w:val="00BE6C00"/>
    <w:rsid w:val="00BE6C1B"/>
    <w:rsid w:val="00BE6C4A"/>
    <w:rsid w:val="00BE6C63"/>
    <w:rsid w:val="00BE6CB7"/>
    <w:rsid w:val="00BE6D82"/>
    <w:rsid w:val="00BE6DB1"/>
    <w:rsid w:val="00BE6DC9"/>
    <w:rsid w:val="00BE6DDF"/>
    <w:rsid w:val="00BE6DFA"/>
    <w:rsid w:val="00BE6E6D"/>
    <w:rsid w:val="00BE6F0E"/>
    <w:rsid w:val="00BE6F1B"/>
    <w:rsid w:val="00BE6F24"/>
    <w:rsid w:val="00BE6F2A"/>
    <w:rsid w:val="00BE6F74"/>
    <w:rsid w:val="00BE6F7B"/>
    <w:rsid w:val="00BE6F92"/>
    <w:rsid w:val="00BE6FBF"/>
    <w:rsid w:val="00BE6FD5"/>
    <w:rsid w:val="00BE7041"/>
    <w:rsid w:val="00BE7044"/>
    <w:rsid w:val="00BE7050"/>
    <w:rsid w:val="00BE708C"/>
    <w:rsid w:val="00BE70BF"/>
    <w:rsid w:val="00BE710F"/>
    <w:rsid w:val="00BE7130"/>
    <w:rsid w:val="00BE7136"/>
    <w:rsid w:val="00BE7166"/>
    <w:rsid w:val="00BE71BA"/>
    <w:rsid w:val="00BE7221"/>
    <w:rsid w:val="00BE7244"/>
    <w:rsid w:val="00BE7252"/>
    <w:rsid w:val="00BE72D4"/>
    <w:rsid w:val="00BE72E8"/>
    <w:rsid w:val="00BE7349"/>
    <w:rsid w:val="00BE736D"/>
    <w:rsid w:val="00BE7430"/>
    <w:rsid w:val="00BE744F"/>
    <w:rsid w:val="00BE746B"/>
    <w:rsid w:val="00BE7494"/>
    <w:rsid w:val="00BE74A7"/>
    <w:rsid w:val="00BE74AB"/>
    <w:rsid w:val="00BE74B4"/>
    <w:rsid w:val="00BE74EE"/>
    <w:rsid w:val="00BE74F7"/>
    <w:rsid w:val="00BE7540"/>
    <w:rsid w:val="00BE756D"/>
    <w:rsid w:val="00BE7599"/>
    <w:rsid w:val="00BE75BB"/>
    <w:rsid w:val="00BE75C6"/>
    <w:rsid w:val="00BE75EA"/>
    <w:rsid w:val="00BE75FA"/>
    <w:rsid w:val="00BE7667"/>
    <w:rsid w:val="00BE768A"/>
    <w:rsid w:val="00BE76AB"/>
    <w:rsid w:val="00BE76C4"/>
    <w:rsid w:val="00BE7705"/>
    <w:rsid w:val="00BE7711"/>
    <w:rsid w:val="00BE7718"/>
    <w:rsid w:val="00BE7732"/>
    <w:rsid w:val="00BE7774"/>
    <w:rsid w:val="00BE7795"/>
    <w:rsid w:val="00BE779C"/>
    <w:rsid w:val="00BE7833"/>
    <w:rsid w:val="00BE783F"/>
    <w:rsid w:val="00BE78DF"/>
    <w:rsid w:val="00BE78F7"/>
    <w:rsid w:val="00BE7909"/>
    <w:rsid w:val="00BE79E2"/>
    <w:rsid w:val="00BE7A27"/>
    <w:rsid w:val="00BE7A51"/>
    <w:rsid w:val="00BE7A73"/>
    <w:rsid w:val="00BE7A93"/>
    <w:rsid w:val="00BE7B3D"/>
    <w:rsid w:val="00BE7B50"/>
    <w:rsid w:val="00BE7BC8"/>
    <w:rsid w:val="00BE7BE6"/>
    <w:rsid w:val="00BE7BEC"/>
    <w:rsid w:val="00BE7C00"/>
    <w:rsid w:val="00BE7C1D"/>
    <w:rsid w:val="00BE7C72"/>
    <w:rsid w:val="00BE7C8B"/>
    <w:rsid w:val="00BE7CB9"/>
    <w:rsid w:val="00BE7D7C"/>
    <w:rsid w:val="00BE7D97"/>
    <w:rsid w:val="00BE7DF0"/>
    <w:rsid w:val="00BE7DFE"/>
    <w:rsid w:val="00BE7E1F"/>
    <w:rsid w:val="00BE7E21"/>
    <w:rsid w:val="00BE7E42"/>
    <w:rsid w:val="00BE7E57"/>
    <w:rsid w:val="00BE7E83"/>
    <w:rsid w:val="00BE7E89"/>
    <w:rsid w:val="00BE7E91"/>
    <w:rsid w:val="00BE7E9A"/>
    <w:rsid w:val="00BE7EA5"/>
    <w:rsid w:val="00BE7EA6"/>
    <w:rsid w:val="00BE7EC7"/>
    <w:rsid w:val="00BE7EF4"/>
    <w:rsid w:val="00BE7F25"/>
    <w:rsid w:val="00BE7F58"/>
    <w:rsid w:val="00BE7F93"/>
    <w:rsid w:val="00BE7FA4"/>
    <w:rsid w:val="00BE7FC7"/>
    <w:rsid w:val="00BF0040"/>
    <w:rsid w:val="00BF008E"/>
    <w:rsid w:val="00BF00C5"/>
    <w:rsid w:val="00BF00F5"/>
    <w:rsid w:val="00BF0176"/>
    <w:rsid w:val="00BF01F2"/>
    <w:rsid w:val="00BF0237"/>
    <w:rsid w:val="00BF0248"/>
    <w:rsid w:val="00BF0267"/>
    <w:rsid w:val="00BF02E6"/>
    <w:rsid w:val="00BF02F2"/>
    <w:rsid w:val="00BF030E"/>
    <w:rsid w:val="00BF033F"/>
    <w:rsid w:val="00BF039C"/>
    <w:rsid w:val="00BF0428"/>
    <w:rsid w:val="00BF0433"/>
    <w:rsid w:val="00BF044B"/>
    <w:rsid w:val="00BF0476"/>
    <w:rsid w:val="00BF0477"/>
    <w:rsid w:val="00BF047C"/>
    <w:rsid w:val="00BF0483"/>
    <w:rsid w:val="00BF04C9"/>
    <w:rsid w:val="00BF053F"/>
    <w:rsid w:val="00BF0573"/>
    <w:rsid w:val="00BF0582"/>
    <w:rsid w:val="00BF05C2"/>
    <w:rsid w:val="00BF05CF"/>
    <w:rsid w:val="00BF05D3"/>
    <w:rsid w:val="00BF067E"/>
    <w:rsid w:val="00BF06B2"/>
    <w:rsid w:val="00BF06BD"/>
    <w:rsid w:val="00BF06CD"/>
    <w:rsid w:val="00BF06F8"/>
    <w:rsid w:val="00BF0705"/>
    <w:rsid w:val="00BF070F"/>
    <w:rsid w:val="00BF0738"/>
    <w:rsid w:val="00BF0741"/>
    <w:rsid w:val="00BF0821"/>
    <w:rsid w:val="00BF085C"/>
    <w:rsid w:val="00BF08B7"/>
    <w:rsid w:val="00BF0922"/>
    <w:rsid w:val="00BF09C3"/>
    <w:rsid w:val="00BF0A0A"/>
    <w:rsid w:val="00BF0A10"/>
    <w:rsid w:val="00BF0A16"/>
    <w:rsid w:val="00BF0A54"/>
    <w:rsid w:val="00BF0A87"/>
    <w:rsid w:val="00BF0AEF"/>
    <w:rsid w:val="00BF0B4F"/>
    <w:rsid w:val="00BF0C02"/>
    <w:rsid w:val="00BF0C44"/>
    <w:rsid w:val="00BF0C5E"/>
    <w:rsid w:val="00BF0D89"/>
    <w:rsid w:val="00BF0DB6"/>
    <w:rsid w:val="00BF0E1C"/>
    <w:rsid w:val="00BF0EDE"/>
    <w:rsid w:val="00BF0EF6"/>
    <w:rsid w:val="00BF0F09"/>
    <w:rsid w:val="00BF101A"/>
    <w:rsid w:val="00BF1052"/>
    <w:rsid w:val="00BF1069"/>
    <w:rsid w:val="00BF107E"/>
    <w:rsid w:val="00BF10A8"/>
    <w:rsid w:val="00BF118E"/>
    <w:rsid w:val="00BF11A6"/>
    <w:rsid w:val="00BF11A7"/>
    <w:rsid w:val="00BF11D5"/>
    <w:rsid w:val="00BF1214"/>
    <w:rsid w:val="00BF126E"/>
    <w:rsid w:val="00BF1272"/>
    <w:rsid w:val="00BF1287"/>
    <w:rsid w:val="00BF12A1"/>
    <w:rsid w:val="00BF12AC"/>
    <w:rsid w:val="00BF12AF"/>
    <w:rsid w:val="00BF12F7"/>
    <w:rsid w:val="00BF1312"/>
    <w:rsid w:val="00BF1367"/>
    <w:rsid w:val="00BF13E2"/>
    <w:rsid w:val="00BF13FA"/>
    <w:rsid w:val="00BF1421"/>
    <w:rsid w:val="00BF142E"/>
    <w:rsid w:val="00BF143B"/>
    <w:rsid w:val="00BF147D"/>
    <w:rsid w:val="00BF14A0"/>
    <w:rsid w:val="00BF14E1"/>
    <w:rsid w:val="00BF14FB"/>
    <w:rsid w:val="00BF1503"/>
    <w:rsid w:val="00BF1530"/>
    <w:rsid w:val="00BF1545"/>
    <w:rsid w:val="00BF15B0"/>
    <w:rsid w:val="00BF15C9"/>
    <w:rsid w:val="00BF1606"/>
    <w:rsid w:val="00BF163C"/>
    <w:rsid w:val="00BF1696"/>
    <w:rsid w:val="00BF16AA"/>
    <w:rsid w:val="00BF16DA"/>
    <w:rsid w:val="00BF17A6"/>
    <w:rsid w:val="00BF17B5"/>
    <w:rsid w:val="00BF17B8"/>
    <w:rsid w:val="00BF181B"/>
    <w:rsid w:val="00BF183F"/>
    <w:rsid w:val="00BF1861"/>
    <w:rsid w:val="00BF190E"/>
    <w:rsid w:val="00BF191C"/>
    <w:rsid w:val="00BF1921"/>
    <w:rsid w:val="00BF1964"/>
    <w:rsid w:val="00BF19A3"/>
    <w:rsid w:val="00BF19AE"/>
    <w:rsid w:val="00BF19B4"/>
    <w:rsid w:val="00BF1A54"/>
    <w:rsid w:val="00BF1AA2"/>
    <w:rsid w:val="00BF1AFA"/>
    <w:rsid w:val="00BF1B06"/>
    <w:rsid w:val="00BF1B37"/>
    <w:rsid w:val="00BF1B55"/>
    <w:rsid w:val="00BF1BFB"/>
    <w:rsid w:val="00BF1BFF"/>
    <w:rsid w:val="00BF1CB7"/>
    <w:rsid w:val="00BF1CD3"/>
    <w:rsid w:val="00BF1D03"/>
    <w:rsid w:val="00BF1D06"/>
    <w:rsid w:val="00BF1D1B"/>
    <w:rsid w:val="00BF1D28"/>
    <w:rsid w:val="00BF1D69"/>
    <w:rsid w:val="00BF1D91"/>
    <w:rsid w:val="00BF1DBA"/>
    <w:rsid w:val="00BF1DCD"/>
    <w:rsid w:val="00BF1DF5"/>
    <w:rsid w:val="00BF1ED7"/>
    <w:rsid w:val="00BF1EFC"/>
    <w:rsid w:val="00BF1F7B"/>
    <w:rsid w:val="00BF1FA4"/>
    <w:rsid w:val="00BF1FF7"/>
    <w:rsid w:val="00BF2018"/>
    <w:rsid w:val="00BF202F"/>
    <w:rsid w:val="00BF205B"/>
    <w:rsid w:val="00BF205D"/>
    <w:rsid w:val="00BF2073"/>
    <w:rsid w:val="00BF20CD"/>
    <w:rsid w:val="00BF20F1"/>
    <w:rsid w:val="00BF2137"/>
    <w:rsid w:val="00BF2141"/>
    <w:rsid w:val="00BF2155"/>
    <w:rsid w:val="00BF2158"/>
    <w:rsid w:val="00BF215E"/>
    <w:rsid w:val="00BF21E9"/>
    <w:rsid w:val="00BF21F2"/>
    <w:rsid w:val="00BF21F4"/>
    <w:rsid w:val="00BF21FE"/>
    <w:rsid w:val="00BF2254"/>
    <w:rsid w:val="00BF2266"/>
    <w:rsid w:val="00BF2270"/>
    <w:rsid w:val="00BF228A"/>
    <w:rsid w:val="00BF22A8"/>
    <w:rsid w:val="00BF22CE"/>
    <w:rsid w:val="00BF232C"/>
    <w:rsid w:val="00BF2346"/>
    <w:rsid w:val="00BF2358"/>
    <w:rsid w:val="00BF2365"/>
    <w:rsid w:val="00BF23B9"/>
    <w:rsid w:val="00BF2413"/>
    <w:rsid w:val="00BF2449"/>
    <w:rsid w:val="00BF2458"/>
    <w:rsid w:val="00BF24A0"/>
    <w:rsid w:val="00BF24E3"/>
    <w:rsid w:val="00BF24E8"/>
    <w:rsid w:val="00BF2597"/>
    <w:rsid w:val="00BF25AD"/>
    <w:rsid w:val="00BF25E4"/>
    <w:rsid w:val="00BF266E"/>
    <w:rsid w:val="00BF2684"/>
    <w:rsid w:val="00BF2686"/>
    <w:rsid w:val="00BF2697"/>
    <w:rsid w:val="00BF26D9"/>
    <w:rsid w:val="00BF26F6"/>
    <w:rsid w:val="00BF26F7"/>
    <w:rsid w:val="00BF274B"/>
    <w:rsid w:val="00BF274C"/>
    <w:rsid w:val="00BF2772"/>
    <w:rsid w:val="00BF2813"/>
    <w:rsid w:val="00BF2838"/>
    <w:rsid w:val="00BF2851"/>
    <w:rsid w:val="00BF2859"/>
    <w:rsid w:val="00BF2875"/>
    <w:rsid w:val="00BF28B1"/>
    <w:rsid w:val="00BF28B4"/>
    <w:rsid w:val="00BF28B7"/>
    <w:rsid w:val="00BF28DA"/>
    <w:rsid w:val="00BF28FE"/>
    <w:rsid w:val="00BF292A"/>
    <w:rsid w:val="00BF2940"/>
    <w:rsid w:val="00BF299D"/>
    <w:rsid w:val="00BF2A15"/>
    <w:rsid w:val="00BF2A37"/>
    <w:rsid w:val="00BF2A3E"/>
    <w:rsid w:val="00BF2AA0"/>
    <w:rsid w:val="00BF2AB5"/>
    <w:rsid w:val="00BF2AB7"/>
    <w:rsid w:val="00BF2B04"/>
    <w:rsid w:val="00BF2B7B"/>
    <w:rsid w:val="00BF2B81"/>
    <w:rsid w:val="00BF2BB5"/>
    <w:rsid w:val="00BF2BC4"/>
    <w:rsid w:val="00BF2C2E"/>
    <w:rsid w:val="00BF2C46"/>
    <w:rsid w:val="00BF2CAE"/>
    <w:rsid w:val="00BF2CE7"/>
    <w:rsid w:val="00BF2D1E"/>
    <w:rsid w:val="00BF2D26"/>
    <w:rsid w:val="00BF2D82"/>
    <w:rsid w:val="00BF2DAF"/>
    <w:rsid w:val="00BF2DBE"/>
    <w:rsid w:val="00BF2DEA"/>
    <w:rsid w:val="00BF2EA7"/>
    <w:rsid w:val="00BF2EF0"/>
    <w:rsid w:val="00BF2F2A"/>
    <w:rsid w:val="00BF2F44"/>
    <w:rsid w:val="00BF2F4A"/>
    <w:rsid w:val="00BF2FA4"/>
    <w:rsid w:val="00BF2FC7"/>
    <w:rsid w:val="00BF2FF2"/>
    <w:rsid w:val="00BF3049"/>
    <w:rsid w:val="00BF30EB"/>
    <w:rsid w:val="00BF3129"/>
    <w:rsid w:val="00BF31EA"/>
    <w:rsid w:val="00BF320A"/>
    <w:rsid w:val="00BF3211"/>
    <w:rsid w:val="00BF3227"/>
    <w:rsid w:val="00BF323C"/>
    <w:rsid w:val="00BF3259"/>
    <w:rsid w:val="00BF32B1"/>
    <w:rsid w:val="00BF32B7"/>
    <w:rsid w:val="00BF32F1"/>
    <w:rsid w:val="00BF3355"/>
    <w:rsid w:val="00BF337E"/>
    <w:rsid w:val="00BF33D7"/>
    <w:rsid w:val="00BF33DB"/>
    <w:rsid w:val="00BF3401"/>
    <w:rsid w:val="00BF3422"/>
    <w:rsid w:val="00BF3434"/>
    <w:rsid w:val="00BF3445"/>
    <w:rsid w:val="00BF3458"/>
    <w:rsid w:val="00BF34E2"/>
    <w:rsid w:val="00BF34E4"/>
    <w:rsid w:val="00BF3521"/>
    <w:rsid w:val="00BF3539"/>
    <w:rsid w:val="00BF35F7"/>
    <w:rsid w:val="00BF35F8"/>
    <w:rsid w:val="00BF360F"/>
    <w:rsid w:val="00BF366E"/>
    <w:rsid w:val="00BF3688"/>
    <w:rsid w:val="00BF369D"/>
    <w:rsid w:val="00BF36A7"/>
    <w:rsid w:val="00BF3706"/>
    <w:rsid w:val="00BF3715"/>
    <w:rsid w:val="00BF373D"/>
    <w:rsid w:val="00BF3755"/>
    <w:rsid w:val="00BF3757"/>
    <w:rsid w:val="00BF3812"/>
    <w:rsid w:val="00BF383C"/>
    <w:rsid w:val="00BF383E"/>
    <w:rsid w:val="00BF3853"/>
    <w:rsid w:val="00BF388A"/>
    <w:rsid w:val="00BF38C4"/>
    <w:rsid w:val="00BF38C9"/>
    <w:rsid w:val="00BF390C"/>
    <w:rsid w:val="00BF3929"/>
    <w:rsid w:val="00BF396D"/>
    <w:rsid w:val="00BF398C"/>
    <w:rsid w:val="00BF3A0F"/>
    <w:rsid w:val="00BF3A1F"/>
    <w:rsid w:val="00BF3A24"/>
    <w:rsid w:val="00BF3A40"/>
    <w:rsid w:val="00BF3A6D"/>
    <w:rsid w:val="00BF3A9E"/>
    <w:rsid w:val="00BF3B7D"/>
    <w:rsid w:val="00BF3B96"/>
    <w:rsid w:val="00BF3BF7"/>
    <w:rsid w:val="00BF3C04"/>
    <w:rsid w:val="00BF3C0F"/>
    <w:rsid w:val="00BF3CBB"/>
    <w:rsid w:val="00BF3CE3"/>
    <w:rsid w:val="00BF3CFD"/>
    <w:rsid w:val="00BF3D1F"/>
    <w:rsid w:val="00BF3D3E"/>
    <w:rsid w:val="00BF3D5D"/>
    <w:rsid w:val="00BF3D9D"/>
    <w:rsid w:val="00BF3DB4"/>
    <w:rsid w:val="00BF3DF9"/>
    <w:rsid w:val="00BF3E3D"/>
    <w:rsid w:val="00BF3EBB"/>
    <w:rsid w:val="00BF3EBD"/>
    <w:rsid w:val="00BF3EEF"/>
    <w:rsid w:val="00BF3F96"/>
    <w:rsid w:val="00BF3FCC"/>
    <w:rsid w:val="00BF4000"/>
    <w:rsid w:val="00BF400D"/>
    <w:rsid w:val="00BF4030"/>
    <w:rsid w:val="00BF4034"/>
    <w:rsid w:val="00BF4035"/>
    <w:rsid w:val="00BF40B7"/>
    <w:rsid w:val="00BF40C5"/>
    <w:rsid w:val="00BF40CD"/>
    <w:rsid w:val="00BF40FA"/>
    <w:rsid w:val="00BF40FE"/>
    <w:rsid w:val="00BF4100"/>
    <w:rsid w:val="00BF4189"/>
    <w:rsid w:val="00BF41BD"/>
    <w:rsid w:val="00BF4206"/>
    <w:rsid w:val="00BF4248"/>
    <w:rsid w:val="00BF428C"/>
    <w:rsid w:val="00BF42B3"/>
    <w:rsid w:val="00BF4307"/>
    <w:rsid w:val="00BF434B"/>
    <w:rsid w:val="00BF439C"/>
    <w:rsid w:val="00BF43CB"/>
    <w:rsid w:val="00BF43E8"/>
    <w:rsid w:val="00BF43EB"/>
    <w:rsid w:val="00BF4440"/>
    <w:rsid w:val="00BF44E9"/>
    <w:rsid w:val="00BF456B"/>
    <w:rsid w:val="00BF458F"/>
    <w:rsid w:val="00BF45CC"/>
    <w:rsid w:val="00BF462B"/>
    <w:rsid w:val="00BF462C"/>
    <w:rsid w:val="00BF4636"/>
    <w:rsid w:val="00BF4639"/>
    <w:rsid w:val="00BF4646"/>
    <w:rsid w:val="00BF466B"/>
    <w:rsid w:val="00BF4680"/>
    <w:rsid w:val="00BF4701"/>
    <w:rsid w:val="00BF471E"/>
    <w:rsid w:val="00BF471F"/>
    <w:rsid w:val="00BF4767"/>
    <w:rsid w:val="00BF4770"/>
    <w:rsid w:val="00BF477B"/>
    <w:rsid w:val="00BF481E"/>
    <w:rsid w:val="00BF4833"/>
    <w:rsid w:val="00BF4848"/>
    <w:rsid w:val="00BF487F"/>
    <w:rsid w:val="00BF4901"/>
    <w:rsid w:val="00BF495D"/>
    <w:rsid w:val="00BF49B1"/>
    <w:rsid w:val="00BF49E6"/>
    <w:rsid w:val="00BF4A07"/>
    <w:rsid w:val="00BF4A36"/>
    <w:rsid w:val="00BF4A5D"/>
    <w:rsid w:val="00BF4AC2"/>
    <w:rsid w:val="00BF4AC7"/>
    <w:rsid w:val="00BF4AEB"/>
    <w:rsid w:val="00BF4B00"/>
    <w:rsid w:val="00BF4B2E"/>
    <w:rsid w:val="00BF4B70"/>
    <w:rsid w:val="00BF4BBF"/>
    <w:rsid w:val="00BF4BC0"/>
    <w:rsid w:val="00BF4BD6"/>
    <w:rsid w:val="00BF4C03"/>
    <w:rsid w:val="00BF4C0B"/>
    <w:rsid w:val="00BF4C21"/>
    <w:rsid w:val="00BF4C36"/>
    <w:rsid w:val="00BF4C87"/>
    <w:rsid w:val="00BF4CAF"/>
    <w:rsid w:val="00BF4D20"/>
    <w:rsid w:val="00BF4D71"/>
    <w:rsid w:val="00BF4DC6"/>
    <w:rsid w:val="00BF4E46"/>
    <w:rsid w:val="00BF4E79"/>
    <w:rsid w:val="00BF4ECC"/>
    <w:rsid w:val="00BF4F29"/>
    <w:rsid w:val="00BF4F50"/>
    <w:rsid w:val="00BF5002"/>
    <w:rsid w:val="00BF5017"/>
    <w:rsid w:val="00BF5032"/>
    <w:rsid w:val="00BF5050"/>
    <w:rsid w:val="00BF505A"/>
    <w:rsid w:val="00BF50E2"/>
    <w:rsid w:val="00BF50EA"/>
    <w:rsid w:val="00BF50F0"/>
    <w:rsid w:val="00BF51AD"/>
    <w:rsid w:val="00BF51B3"/>
    <w:rsid w:val="00BF5218"/>
    <w:rsid w:val="00BF52FD"/>
    <w:rsid w:val="00BF5333"/>
    <w:rsid w:val="00BF537E"/>
    <w:rsid w:val="00BF5380"/>
    <w:rsid w:val="00BF538C"/>
    <w:rsid w:val="00BF5419"/>
    <w:rsid w:val="00BF5440"/>
    <w:rsid w:val="00BF54AC"/>
    <w:rsid w:val="00BF5505"/>
    <w:rsid w:val="00BF553E"/>
    <w:rsid w:val="00BF55BB"/>
    <w:rsid w:val="00BF55C5"/>
    <w:rsid w:val="00BF55D4"/>
    <w:rsid w:val="00BF5639"/>
    <w:rsid w:val="00BF5650"/>
    <w:rsid w:val="00BF56AE"/>
    <w:rsid w:val="00BF5700"/>
    <w:rsid w:val="00BF5701"/>
    <w:rsid w:val="00BF5760"/>
    <w:rsid w:val="00BF57AB"/>
    <w:rsid w:val="00BF57DF"/>
    <w:rsid w:val="00BF5802"/>
    <w:rsid w:val="00BF580F"/>
    <w:rsid w:val="00BF583E"/>
    <w:rsid w:val="00BF588C"/>
    <w:rsid w:val="00BF58E3"/>
    <w:rsid w:val="00BF591D"/>
    <w:rsid w:val="00BF592A"/>
    <w:rsid w:val="00BF5960"/>
    <w:rsid w:val="00BF5963"/>
    <w:rsid w:val="00BF59D9"/>
    <w:rsid w:val="00BF59FE"/>
    <w:rsid w:val="00BF5A1A"/>
    <w:rsid w:val="00BF5A24"/>
    <w:rsid w:val="00BF5A50"/>
    <w:rsid w:val="00BF5A71"/>
    <w:rsid w:val="00BF5A9E"/>
    <w:rsid w:val="00BF5AF4"/>
    <w:rsid w:val="00BF5B07"/>
    <w:rsid w:val="00BF5B0F"/>
    <w:rsid w:val="00BF5B17"/>
    <w:rsid w:val="00BF5B1C"/>
    <w:rsid w:val="00BF5B44"/>
    <w:rsid w:val="00BF5B5A"/>
    <w:rsid w:val="00BF5B75"/>
    <w:rsid w:val="00BF5B7B"/>
    <w:rsid w:val="00BF5B81"/>
    <w:rsid w:val="00BF5B92"/>
    <w:rsid w:val="00BF5BC6"/>
    <w:rsid w:val="00BF5BD1"/>
    <w:rsid w:val="00BF5C2F"/>
    <w:rsid w:val="00BF5C35"/>
    <w:rsid w:val="00BF5C52"/>
    <w:rsid w:val="00BF5C61"/>
    <w:rsid w:val="00BF5C9E"/>
    <w:rsid w:val="00BF5CB4"/>
    <w:rsid w:val="00BF5D19"/>
    <w:rsid w:val="00BF5D27"/>
    <w:rsid w:val="00BF5D7A"/>
    <w:rsid w:val="00BF5DAB"/>
    <w:rsid w:val="00BF5E4E"/>
    <w:rsid w:val="00BF5E64"/>
    <w:rsid w:val="00BF5EFE"/>
    <w:rsid w:val="00BF5F4F"/>
    <w:rsid w:val="00BF5F5B"/>
    <w:rsid w:val="00BF5F65"/>
    <w:rsid w:val="00BF5FA9"/>
    <w:rsid w:val="00BF5FC1"/>
    <w:rsid w:val="00BF6024"/>
    <w:rsid w:val="00BF60CE"/>
    <w:rsid w:val="00BF619D"/>
    <w:rsid w:val="00BF61D8"/>
    <w:rsid w:val="00BF6203"/>
    <w:rsid w:val="00BF629F"/>
    <w:rsid w:val="00BF62DA"/>
    <w:rsid w:val="00BF6384"/>
    <w:rsid w:val="00BF6398"/>
    <w:rsid w:val="00BF63BE"/>
    <w:rsid w:val="00BF63C0"/>
    <w:rsid w:val="00BF63DA"/>
    <w:rsid w:val="00BF63E9"/>
    <w:rsid w:val="00BF63F7"/>
    <w:rsid w:val="00BF6458"/>
    <w:rsid w:val="00BF6465"/>
    <w:rsid w:val="00BF6469"/>
    <w:rsid w:val="00BF6475"/>
    <w:rsid w:val="00BF647B"/>
    <w:rsid w:val="00BF64A3"/>
    <w:rsid w:val="00BF64B6"/>
    <w:rsid w:val="00BF6550"/>
    <w:rsid w:val="00BF6570"/>
    <w:rsid w:val="00BF657B"/>
    <w:rsid w:val="00BF657C"/>
    <w:rsid w:val="00BF6593"/>
    <w:rsid w:val="00BF659E"/>
    <w:rsid w:val="00BF65A2"/>
    <w:rsid w:val="00BF65DA"/>
    <w:rsid w:val="00BF6670"/>
    <w:rsid w:val="00BF66C3"/>
    <w:rsid w:val="00BF66E4"/>
    <w:rsid w:val="00BF672B"/>
    <w:rsid w:val="00BF673B"/>
    <w:rsid w:val="00BF6770"/>
    <w:rsid w:val="00BF67B7"/>
    <w:rsid w:val="00BF67C8"/>
    <w:rsid w:val="00BF67EF"/>
    <w:rsid w:val="00BF6817"/>
    <w:rsid w:val="00BF681E"/>
    <w:rsid w:val="00BF68AA"/>
    <w:rsid w:val="00BF68C1"/>
    <w:rsid w:val="00BF68E4"/>
    <w:rsid w:val="00BF6921"/>
    <w:rsid w:val="00BF6936"/>
    <w:rsid w:val="00BF6937"/>
    <w:rsid w:val="00BF6976"/>
    <w:rsid w:val="00BF6994"/>
    <w:rsid w:val="00BF69A4"/>
    <w:rsid w:val="00BF69AD"/>
    <w:rsid w:val="00BF69D0"/>
    <w:rsid w:val="00BF6A2B"/>
    <w:rsid w:val="00BF6A3E"/>
    <w:rsid w:val="00BF6A54"/>
    <w:rsid w:val="00BF6A6E"/>
    <w:rsid w:val="00BF6A8F"/>
    <w:rsid w:val="00BF6B03"/>
    <w:rsid w:val="00BF6B07"/>
    <w:rsid w:val="00BF6B1B"/>
    <w:rsid w:val="00BF6B2F"/>
    <w:rsid w:val="00BF6B59"/>
    <w:rsid w:val="00BF6BED"/>
    <w:rsid w:val="00BF6BEE"/>
    <w:rsid w:val="00BF6BF6"/>
    <w:rsid w:val="00BF6BFE"/>
    <w:rsid w:val="00BF6C08"/>
    <w:rsid w:val="00BF6C1E"/>
    <w:rsid w:val="00BF6C55"/>
    <w:rsid w:val="00BF6C6F"/>
    <w:rsid w:val="00BF6C7D"/>
    <w:rsid w:val="00BF6CA3"/>
    <w:rsid w:val="00BF6CCC"/>
    <w:rsid w:val="00BF6D13"/>
    <w:rsid w:val="00BF6D7B"/>
    <w:rsid w:val="00BF6DF0"/>
    <w:rsid w:val="00BF6E38"/>
    <w:rsid w:val="00BF6E59"/>
    <w:rsid w:val="00BF6EDB"/>
    <w:rsid w:val="00BF6F1F"/>
    <w:rsid w:val="00BF6F36"/>
    <w:rsid w:val="00BF6F4B"/>
    <w:rsid w:val="00BF6FA5"/>
    <w:rsid w:val="00BF6FA8"/>
    <w:rsid w:val="00BF6FAE"/>
    <w:rsid w:val="00BF7012"/>
    <w:rsid w:val="00BF701F"/>
    <w:rsid w:val="00BF707E"/>
    <w:rsid w:val="00BF707F"/>
    <w:rsid w:val="00BF70B2"/>
    <w:rsid w:val="00BF710B"/>
    <w:rsid w:val="00BF7154"/>
    <w:rsid w:val="00BF7164"/>
    <w:rsid w:val="00BF7188"/>
    <w:rsid w:val="00BF719A"/>
    <w:rsid w:val="00BF71F9"/>
    <w:rsid w:val="00BF722C"/>
    <w:rsid w:val="00BF726A"/>
    <w:rsid w:val="00BF728C"/>
    <w:rsid w:val="00BF729E"/>
    <w:rsid w:val="00BF72A0"/>
    <w:rsid w:val="00BF731B"/>
    <w:rsid w:val="00BF73AB"/>
    <w:rsid w:val="00BF73E0"/>
    <w:rsid w:val="00BF7413"/>
    <w:rsid w:val="00BF7422"/>
    <w:rsid w:val="00BF745F"/>
    <w:rsid w:val="00BF74D1"/>
    <w:rsid w:val="00BF74D3"/>
    <w:rsid w:val="00BF74FC"/>
    <w:rsid w:val="00BF753A"/>
    <w:rsid w:val="00BF758E"/>
    <w:rsid w:val="00BF7619"/>
    <w:rsid w:val="00BF76B7"/>
    <w:rsid w:val="00BF76D5"/>
    <w:rsid w:val="00BF7709"/>
    <w:rsid w:val="00BF7723"/>
    <w:rsid w:val="00BF7742"/>
    <w:rsid w:val="00BF779C"/>
    <w:rsid w:val="00BF77E4"/>
    <w:rsid w:val="00BF77FC"/>
    <w:rsid w:val="00BF7853"/>
    <w:rsid w:val="00BF786E"/>
    <w:rsid w:val="00BF7915"/>
    <w:rsid w:val="00BF792F"/>
    <w:rsid w:val="00BF793F"/>
    <w:rsid w:val="00BF7A9A"/>
    <w:rsid w:val="00BF7B8B"/>
    <w:rsid w:val="00BF7B93"/>
    <w:rsid w:val="00BF7BCA"/>
    <w:rsid w:val="00BF7BE0"/>
    <w:rsid w:val="00BF7BEE"/>
    <w:rsid w:val="00BF7C1F"/>
    <w:rsid w:val="00BF7C29"/>
    <w:rsid w:val="00BF7C57"/>
    <w:rsid w:val="00BF7CAA"/>
    <w:rsid w:val="00BF7D1F"/>
    <w:rsid w:val="00BF7D4C"/>
    <w:rsid w:val="00BF7DD8"/>
    <w:rsid w:val="00BF7DF3"/>
    <w:rsid w:val="00BF7E14"/>
    <w:rsid w:val="00BF7E63"/>
    <w:rsid w:val="00BF7E98"/>
    <w:rsid w:val="00BF7EFD"/>
    <w:rsid w:val="00BF7F31"/>
    <w:rsid w:val="00BF7FD9"/>
    <w:rsid w:val="00BF7FDD"/>
    <w:rsid w:val="00C00090"/>
    <w:rsid w:val="00C00098"/>
    <w:rsid w:val="00C000A6"/>
    <w:rsid w:val="00C000B4"/>
    <w:rsid w:val="00C000E0"/>
    <w:rsid w:val="00C000E5"/>
    <w:rsid w:val="00C000FB"/>
    <w:rsid w:val="00C00108"/>
    <w:rsid w:val="00C00125"/>
    <w:rsid w:val="00C00161"/>
    <w:rsid w:val="00C00178"/>
    <w:rsid w:val="00C0021E"/>
    <w:rsid w:val="00C00234"/>
    <w:rsid w:val="00C00251"/>
    <w:rsid w:val="00C0027B"/>
    <w:rsid w:val="00C00290"/>
    <w:rsid w:val="00C00342"/>
    <w:rsid w:val="00C00395"/>
    <w:rsid w:val="00C003A2"/>
    <w:rsid w:val="00C003B4"/>
    <w:rsid w:val="00C00436"/>
    <w:rsid w:val="00C00496"/>
    <w:rsid w:val="00C004EF"/>
    <w:rsid w:val="00C00512"/>
    <w:rsid w:val="00C00533"/>
    <w:rsid w:val="00C0053D"/>
    <w:rsid w:val="00C00571"/>
    <w:rsid w:val="00C005AB"/>
    <w:rsid w:val="00C005C4"/>
    <w:rsid w:val="00C005C6"/>
    <w:rsid w:val="00C005FF"/>
    <w:rsid w:val="00C00632"/>
    <w:rsid w:val="00C006CB"/>
    <w:rsid w:val="00C006ED"/>
    <w:rsid w:val="00C006EF"/>
    <w:rsid w:val="00C00700"/>
    <w:rsid w:val="00C00722"/>
    <w:rsid w:val="00C00763"/>
    <w:rsid w:val="00C00781"/>
    <w:rsid w:val="00C00794"/>
    <w:rsid w:val="00C007CE"/>
    <w:rsid w:val="00C007D4"/>
    <w:rsid w:val="00C007E9"/>
    <w:rsid w:val="00C0083C"/>
    <w:rsid w:val="00C00898"/>
    <w:rsid w:val="00C00901"/>
    <w:rsid w:val="00C00928"/>
    <w:rsid w:val="00C0092B"/>
    <w:rsid w:val="00C0093E"/>
    <w:rsid w:val="00C00942"/>
    <w:rsid w:val="00C00A06"/>
    <w:rsid w:val="00C00A0D"/>
    <w:rsid w:val="00C00A38"/>
    <w:rsid w:val="00C00A66"/>
    <w:rsid w:val="00C00A70"/>
    <w:rsid w:val="00C00AA3"/>
    <w:rsid w:val="00C00AD5"/>
    <w:rsid w:val="00C00AF4"/>
    <w:rsid w:val="00C00BBB"/>
    <w:rsid w:val="00C00BC8"/>
    <w:rsid w:val="00C00BF1"/>
    <w:rsid w:val="00C00C29"/>
    <w:rsid w:val="00C00C2E"/>
    <w:rsid w:val="00C00C3F"/>
    <w:rsid w:val="00C00C80"/>
    <w:rsid w:val="00C00C85"/>
    <w:rsid w:val="00C00CBB"/>
    <w:rsid w:val="00C00CC8"/>
    <w:rsid w:val="00C00CE9"/>
    <w:rsid w:val="00C00CFF"/>
    <w:rsid w:val="00C00D3A"/>
    <w:rsid w:val="00C00D3B"/>
    <w:rsid w:val="00C00D5D"/>
    <w:rsid w:val="00C00DC5"/>
    <w:rsid w:val="00C00DD9"/>
    <w:rsid w:val="00C00E0B"/>
    <w:rsid w:val="00C00E41"/>
    <w:rsid w:val="00C00EE2"/>
    <w:rsid w:val="00C00EE5"/>
    <w:rsid w:val="00C00EF1"/>
    <w:rsid w:val="00C00F02"/>
    <w:rsid w:val="00C00F9B"/>
    <w:rsid w:val="00C00FD0"/>
    <w:rsid w:val="00C00FD4"/>
    <w:rsid w:val="00C0100F"/>
    <w:rsid w:val="00C01041"/>
    <w:rsid w:val="00C010F1"/>
    <w:rsid w:val="00C010FC"/>
    <w:rsid w:val="00C01109"/>
    <w:rsid w:val="00C0113A"/>
    <w:rsid w:val="00C01150"/>
    <w:rsid w:val="00C01175"/>
    <w:rsid w:val="00C01177"/>
    <w:rsid w:val="00C011A8"/>
    <w:rsid w:val="00C011D6"/>
    <w:rsid w:val="00C0120D"/>
    <w:rsid w:val="00C01238"/>
    <w:rsid w:val="00C0125D"/>
    <w:rsid w:val="00C01273"/>
    <w:rsid w:val="00C012A8"/>
    <w:rsid w:val="00C012BE"/>
    <w:rsid w:val="00C012DC"/>
    <w:rsid w:val="00C01376"/>
    <w:rsid w:val="00C01394"/>
    <w:rsid w:val="00C013C7"/>
    <w:rsid w:val="00C013E9"/>
    <w:rsid w:val="00C013F9"/>
    <w:rsid w:val="00C01442"/>
    <w:rsid w:val="00C0145E"/>
    <w:rsid w:val="00C01473"/>
    <w:rsid w:val="00C014A7"/>
    <w:rsid w:val="00C01524"/>
    <w:rsid w:val="00C0152D"/>
    <w:rsid w:val="00C0155A"/>
    <w:rsid w:val="00C01598"/>
    <w:rsid w:val="00C015C5"/>
    <w:rsid w:val="00C01618"/>
    <w:rsid w:val="00C01630"/>
    <w:rsid w:val="00C01642"/>
    <w:rsid w:val="00C016AC"/>
    <w:rsid w:val="00C016B7"/>
    <w:rsid w:val="00C016DD"/>
    <w:rsid w:val="00C01706"/>
    <w:rsid w:val="00C01734"/>
    <w:rsid w:val="00C0174C"/>
    <w:rsid w:val="00C01756"/>
    <w:rsid w:val="00C017CF"/>
    <w:rsid w:val="00C017EF"/>
    <w:rsid w:val="00C017FB"/>
    <w:rsid w:val="00C0180A"/>
    <w:rsid w:val="00C01816"/>
    <w:rsid w:val="00C01840"/>
    <w:rsid w:val="00C01881"/>
    <w:rsid w:val="00C01895"/>
    <w:rsid w:val="00C018FC"/>
    <w:rsid w:val="00C01903"/>
    <w:rsid w:val="00C01919"/>
    <w:rsid w:val="00C0191B"/>
    <w:rsid w:val="00C01A29"/>
    <w:rsid w:val="00C01A54"/>
    <w:rsid w:val="00C01AB9"/>
    <w:rsid w:val="00C01AC0"/>
    <w:rsid w:val="00C01AC3"/>
    <w:rsid w:val="00C01AE1"/>
    <w:rsid w:val="00C01B02"/>
    <w:rsid w:val="00C01B0A"/>
    <w:rsid w:val="00C01B5E"/>
    <w:rsid w:val="00C01B82"/>
    <w:rsid w:val="00C01B91"/>
    <w:rsid w:val="00C01BA0"/>
    <w:rsid w:val="00C01BB2"/>
    <w:rsid w:val="00C01BF1"/>
    <w:rsid w:val="00C01C0C"/>
    <w:rsid w:val="00C01C0F"/>
    <w:rsid w:val="00C01C17"/>
    <w:rsid w:val="00C01C48"/>
    <w:rsid w:val="00C01C4D"/>
    <w:rsid w:val="00C01D46"/>
    <w:rsid w:val="00C01D74"/>
    <w:rsid w:val="00C01DCC"/>
    <w:rsid w:val="00C01E07"/>
    <w:rsid w:val="00C01E26"/>
    <w:rsid w:val="00C01E6F"/>
    <w:rsid w:val="00C01E9B"/>
    <w:rsid w:val="00C01EDC"/>
    <w:rsid w:val="00C01F2A"/>
    <w:rsid w:val="00C01F6D"/>
    <w:rsid w:val="00C01FC4"/>
    <w:rsid w:val="00C02005"/>
    <w:rsid w:val="00C02006"/>
    <w:rsid w:val="00C02012"/>
    <w:rsid w:val="00C02013"/>
    <w:rsid w:val="00C0201A"/>
    <w:rsid w:val="00C0201F"/>
    <w:rsid w:val="00C02030"/>
    <w:rsid w:val="00C0203D"/>
    <w:rsid w:val="00C020DA"/>
    <w:rsid w:val="00C020EA"/>
    <w:rsid w:val="00C0214C"/>
    <w:rsid w:val="00C02158"/>
    <w:rsid w:val="00C02181"/>
    <w:rsid w:val="00C021A7"/>
    <w:rsid w:val="00C021F1"/>
    <w:rsid w:val="00C02233"/>
    <w:rsid w:val="00C0225E"/>
    <w:rsid w:val="00C02273"/>
    <w:rsid w:val="00C022DB"/>
    <w:rsid w:val="00C022FA"/>
    <w:rsid w:val="00C0233C"/>
    <w:rsid w:val="00C02357"/>
    <w:rsid w:val="00C02358"/>
    <w:rsid w:val="00C02371"/>
    <w:rsid w:val="00C02391"/>
    <w:rsid w:val="00C023D6"/>
    <w:rsid w:val="00C0244B"/>
    <w:rsid w:val="00C02457"/>
    <w:rsid w:val="00C0246D"/>
    <w:rsid w:val="00C02489"/>
    <w:rsid w:val="00C0248B"/>
    <w:rsid w:val="00C0248F"/>
    <w:rsid w:val="00C02497"/>
    <w:rsid w:val="00C024ED"/>
    <w:rsid w:val="00C02601"/>
    <w:rsid w:val="00C02634"/>
    <w:rsid w:val="00C02674"/>
    <w:rsid w:val="00C02683"/>
    <w:rsid w:val="00C026D8"/>
    <w:rsid w:val="00C02728"/>
    <w:rsid w:val="00C02734"/>
    <w:rsid w:val="00C02753"/>
    <w:rsid w:val="00C0275E"/>
    <w:rsid w:val="00C0276C"/>
    <w:rsid w:val="00C02781"/>
    <w:rsid w:val="00C027B2"/>
    <w:rsid w:val="00C027BC"/>
    <w:rsid w:val="00C027C6"/>
    <w:rsid w:val="00C02850"/>
    <w:rsid w:val="00C028C1"/>
    <w:rsid w:val="00C02916"/>
    <w:rsid w:val="00C02927"/>
    <w:rsid w:val="00C02972"/>
    <w:rsid w:val="00C02976"/>
    <w:rsid w:val="00C02995"/>
    <w:rsid w:val="00C029A6"/>
    <w:rsid w:val="00C029C7"/>
    <w:rsid w:val="00C029CD"/>
    <w:rsid w:val="00C02A15"/>
    <w:rsid w:val="00C02A23"/>
    <w:rsid w:val="00C02A44"/>
    <w:rsid w:val="00C02A60"/>
    <w:rsid w:val="00C02A62"/>
    <w:rsid w:val="00C02A6D"/>
    <w:rsid w:val="00C02B22"/>
    <w:rsid w:val="00C02B94"/>
    <w:rsid w:val="00C02BA9"/>
    <w:rsid w:val="00C02BAC"/>
    <w:rsid w:val="00C02BC1"/>
    <w:rsid w:val="00C02BCC"/>
    <w:rsid w:val="00C02C05"/>
    <w:rsid w:val="00C02C8C"/>
    <w:rsid w:val="00C02CC4"/>
    <w:rsid w:val="00C02D11"/>
    <w:rsid w:val="00C02D36"/>
    <w:rsid w:val="00C02DC2"/>
    <w:rsid w:val="00C02E71"/>
    <w:rsid w:val="00C02E9B"/>
    <w:rsid w:val="00C02EC5"/>
    <w:rsid w:val="00C02ECC"/>
    <w:rsid w:val="00C02EE6"/>
    <w:rsid w:val="00C02F44"/>
    <w:rsid w:val="00C02F51"/>
    <w:rsid w:val="00C02F91"/>
    <w:rsid w:val="00C02F95"/>
    <w:rsid w:val="00C02FD1"/>
    <w:rsid w:val="00C03043"/>
    <w:rsid w:val="00C030AC"/>
    <w:rsid w:val="00C030B6"/>
    <w:rsid w:val="00C030CC"/>
    <w:rsid w:val="00C030CF"/>
    <w:rsid w:val="00C03104"/>
    <w:rsid w:val="00C03120"/>
    <w:rsid w:val="00C03142"/>
    <w:rsid w:val="00C03188"/>
    <w:rsid w:val="00C03198"/>
    <w:rsid w:val="00C031B6"/>
    <w:rsid w:val="00C03270"/>
    <w:rsid w:val="00C03286"/>
    <w:rsid w:val="00C032AF"/>
    <w:rsid w:val="00C032C7"/>
    <w:rsid w:val="00C032EE"/>
    <w:rsid w:val="00C03338"/>
    <w:rsid w:val="00C03364"/>
    <w:rsid w:val="00C03377"/>
    <w:rsid w:val="00C03408"/>
    <w:rsid w:val="00C03418"/>
    <w:rsid w:val="00C03428"/>
    <w:rsid w:val="00C034C8"/>
    <w:rsid w:val="00C034E1"/>
    <w:rsid w:val="00C0354B"/>
    <w:rsid w:val="00C03579"/>
    <w:rsid w:val="00C035FA"/>
    <w:rsid w:val="00C03601"/>
    <w:rsid w:val="00C03610"/>
    <w:rsid w:val="00C03612"/>
    <w:rsid w:val="00C03622"/>
    <w:rsid w:val="00C0366A"/>
    <w:rsid w:val="00C036BB"/>
    <w:rsid w:val="00C036C1"/>
    <w:rsid w:val="00C036E8"/>
    <w:rsid w:val="00C036F8"/>
    <w:rsid w:val="00C03706"/>
    <w:rsid w:val="00C037A4"/>
    <w:rsid w:val="00C037CB"/>
    <w:rsid w:val="00C037D0"/>
    <w:rsid w:val="00C037E0"/>
    <w:rsid w:val="00C0383C"/>
    <w:rsid w:val="00C03842"/>
    <w:rsid w:val="00C03843"/>
    <w:rsid w:val="00C038CF"/>
    <w:rsid w:val="00C038EA"/>
    <w:rsid w:val="00C038F9"/>
    <w:rsid w:val="00C038FD"/>
    <w:rsid w:val="00C0394F"/>
    <w:rsid w:val="00C03999"/>
    <w:rsid w:val="00C039BF"/>
    <w:rsid w:val="00C03A21"/>
    <w:rsid w:val="00C03A5B"/>
    <w:rsid w:val="00C03B3E"/>
    <w:rsid w:val="00C03BF2"/>
    <w:rsid w:val="00C03C18"/>
    <w:rsid w:val="00C03C39"/>
    <w:rsid w:val="00C03C65"/>
    <w:rsid w:val="00C03CAA"/>
    <w:rsid w:val="00C03CCC"/>
    <w:rsid w:val="00C03D09"/>
    <w:rsid w:val="00C03D2F"/>
    <w:rsid w:val="00C03D87"/>
    <w:rsid w:val="00C03DFF"/>
    <w:rsid w:val="00C03E42"/>
    <w:rsid w:val="00C03E46"/>
    <w:rsid w:val="00C03EAC"/>
    <w:rsid w:val="00C03ED9"/>
    <w:rsid w:val="00C03EFE"/>
    <w:rsid w:val="00C03F5B"/>
    <w:rsid w:val="00C03F7D"/>
    <w:rsid w:val="00C03F85"/>
    <w:rsid w:val="00C03F86"/>
    <w:rsid w:val="00C03FCE"/>
    <w:rsid w:val="00C03FE9"/>
    <w:rsid w:val="00C0400E"/>
    <w:rsid w:val="00C04020"/>
    <w:rsid w:val="00C04043"/>
    <w:rsid w:val="00C0409D"/>
    <w:rsid w:val="00C0409F"/>
    <w:rsid w:val="00C0416D"/>
    <w:rsid w:val="00C041C3"/>
    <w:rsid w:val="00C041E2"/>
    <w:rsid w:val="00C04242"/>
    <w:rsid w:val="00C0429D"/>
    <w:rsid w:val="00C0432C"/>
    <w:rsid w:val="00C04374"/>
    <w:rsid w:val="00C043C1"/>
    <w:rsid w:val="00C043D0"/>
    <w:rsid w:val="00C043DF"/>
    <w:rsid w:val="00C043FF"/>
    <w:rsid w:val="00C04442"/>
    <w:rsid w:val="00C044A3"/>
    <w:rsid w:val="00C044BE"/>
    <w:rsid w:val="00C04505"/>
    <w:rsid w:val="00C04656"/>
    <w:rsid w:val="00C04676"/>
    <w:rsid w:val="00C04719"/>
    <w:rsid w:val="00C04753"/>
    <w:rsid w:val="00C04786"/>
    <w:rsid w:val="00C047B9"/>
    <w:rsid w:val="00C04860"/>
    <w:rsid w:val="00C048A3"/>
    <w:rsid w:val="00C048E8"/>
    <w:rsid w:val="00C04918"/>
    <w:rsid w:val="00C049E4"/>
    <w:rsid w:val="00C04A0C"/>
    <w:rsid w:val="00C04A1C"/>
    <w:rsid w:val="00C04A3C"/>
    <w:rsid w:val="00C04A74"/>
    <w:rsid w:val="00C04A76"/>
    <w:rsid w:val="00C04AAC"/>
    <w:rsid w:val="00C04AFA"/>
    <w:rsid w:val="00C04B5B"/>
    <w:rsid w:val="00C04BA4"/>
    <w:rsid w:val="00C04BAB"/>
    <w:rsid w:val="00C04BC5"/>
    <w:rsid w:val="00C04BC6"/>
    <w:rsid w:val="00C04BD1"/>
    <w:rsid w:val="00C04BED"/>
    <w:rsid w:val="00C04BEF"/>
    <w:rsid w:val="00C04C3B"/>
    <w:rsid w:val="00C04C42"/>
    <w:rsid w:val="00C04C65"/>
    <w:rsid w:val="00C04C72"/>
    <w:rsid w:val="00C04C8D"/>
    <w:rsid w:val="00C04CF0"/>
    <w:rsid w:val="00C04D04"/>
    <w:rsid w:val="00C04D38"/>
    <w:rsid w:val="00C04D3C"/>
    <w:rsid w:val="00C04DC8"/>
    <w:rsid w:val="00C04DCC"/>
    <w:rsid w:val="00C04E29"/>
    <w:rsid w:val="00C04E2C"/>
    <w:rsid w:val="00C04E7A"/>
    <w:rsid w:val="00C04EB2"/>
    <w:rsid w:val="00C04EB9"/>
    <w:rsid w:val="00C04ECE"/>
    <w:rsid w:val="00C04EF2"/>
    <w:rsid w:val="00C04F05"/>
    <w:rsid w:val="00C04F0E"/>
    <w:rsid w:val="00C04F15"/>
    <w:rsid w:val="00C04F47"/>
    <w:rsid w:val="00C04F5D"/>
    <w:rsid w:val="00C04FB1"/>
    <w:rsid w:val="00C04FE6"/>
    <w:rsid w:val="00C05055"/>
    <w:rsid w:val="00C05090"/>
    <w:rsid w:val="00C0521B"/>
    <w:rsid w:val="00C0521D"/>
    <w:rsid w:val="00C05224"/>
    <w:rsid w:val="00C05236"/>
    <w:rsid w:val="00C05252"/>
    <w:rsid w:val="00C05288"/>
    <w:rsid w:val="00C052B3"/>
    <w:rsid w:val="00C052D9"/>
    <w:rsid w:val="00C052E8"/>
    <w:rsid w:val="00C05340"/>
    <w:rsid w:val="00C05362"/>
    <w:rsid w:val="00C05372"/>
    <w:rsid w:val="00C053B0"/>
    <w:rsid w:val="00C053C9"/>
    <w:rsid w:val="00C0543D"/>
    <w:rsid w:val="00C0544E"/>
    <w:rsid w:val="00C05484"/>
    <w:rsid w:val="00C05514"/>
    <w:rsid w:val="00C0553E"/>
    <w:rsid w:val="00C0554F"/>
    <w:rsid w:val="00C05577"/>
    <w:rsid w:val="00C05579"/>
    <w:rsid w:val="00C055A1"/>
    <w:rsid w:val="00C0575F"/>
    <w:rsid w:val="00C05767"/>
    <w:rsid w:val="00C05811"/>
    <w:rsid w:val="00C0582E"/>
    <w:rsid w:val="00C0584D"/>
    <w:rsid w:val="00C0585E"/>
    <w:rsid w:val="00C05870"/>
    <w:rsid w:val="00C058F1"/>
    <w:rsid w:val="00C058FB"/>
    <w:rsid w:val="00C05907"/>
    <w:rsid w:val="00C05918"/>
    <w:rsid w:val="00C05927"/>
    <w:rsid w:val="00C0594A"/>
    <w:rsid w:val="00C059A0"/>
    <w:rsid w:val="00C059AB"/>
    <w:rsid w:val="00C059DE"/>
    <w:rsid w:val="00C059F9"/>
    <w:rsid w:val="00C05A3F"/>
    <w:rsid w:val="00C05ACF"/>
    <w:rsid w:val="00C05ADB"/>
    <w:rsid w:val="00C05B09"/>
    <w:rsid w:val="00C05B95"/>
    <w:rsid w:val="00C05BA2"/>
    <w:rsid w:val="00C05BA8"/>
    <w:rsid w:val="00C05C56"/>
    <w:rsid w:val="00C05CB5"/>
    <w:rsid w:val="00C05CF2"/>
    <w:rsid w:val="00C05DAF"/>
    <w:rsid w:val="00C05DB3"/>
    <w:rsid w:val="00C05DBD"/>
    <w:rsid w:val="00C05E23"/>
    <w:rsid w:val="00C05E3C"/>
    <w:rsid w:val="00C05E4B"/>
    <w:rsid w:val="00C05E76"/>
    <w:rsid w:val="00C05EE6"/>
    <w:rsid w:val="00C05EEB"/>
    <w:rsid w:val="00C05EED"/>
    <w:rsid w:val="00C05EF8"/>
    <w:rsid w:val="00C05F40"/>
    <w:rsid w:val="00C05F4A"/>
    <w:rsid w:val="00C05F6A"/>
    <w:rsid w:val="00C05F97"/>
    <w:rsid w:val="00C06043"/>
    <w:rsid w:val="00C06050"/>
    <w:rsid w:val="00C0606D"/>
    <w:rsid w:val="00C060FD"/>
    <w:rsid w:val="00C060FF"/>
    <w:rsid w:val="00C06165"/>
    <w:rsid w:val="00C06199"/>
    <w:rsid w:val="00C061E4"/>
    <w:rsid w:val="00C06212"/>
    <w:rsid w:val="00C06247"/>
    <w:rsid w:val="00C06253"/>
    <w:rsid w:val="00C062A1"/>
    <w:rsid w:val="00C06324"/>
    <w:rsid w:val="00C06338"/>
    <w:rsid w:val="00C06359"/>
    <w:rsid w:val="00C06365"/>
    <w:rsid w:val="00C06372"/>
    <w:rsid w:val="00C06376"/>
    <w:rsid w:val="00C06389"/>
    <w:rsid w:val="00C063A7"/>
    <w:rsid w:val="00C063BD"/>
    <w:rsid w:val="00C063FF"/>
    <w:rsid w:val="00C06414"/>
    <w:rsid w:val="00C06429"/>
    <w:rsid w:val="00C06447"/>
    <w:rsid w:val="00C0645B"/>
    <w:rsid w:val="00C06477"/>
    <w:rsid w:val="00C064BA"/>
    <w:rsid w:val="00C064F4"/>
    <w:rsid w:val="00C064F8"/>
    <w:rsid w:val="00C06523"/>
    <w:rsid w:val="00C0657D"/>
    <w:rsid w:val="00C065BA"/>
    <w:rsid w:val="00C065F0"/>
    <w:rsid w:val="00C06613"/>
    <w:rsid w:val="00C06623"/>
    <w:rsid w:val="00C06637"/>
    <w:rsid w:val="00C06641"/>
    <w:rsid w:val="00C06653"/>
    <w:rsid w:val="00C06678"/>
    <w:rsid w:val="00C066BC"/>
    <w:rsid w:val="00C066CD"/>
    <w:rsid w:val="00C0672B"/>
    <w:rsid w:val="00C0674E"/>
    <w:rsid w:val="00C0675A"/>
    <w:rsid w:val="00C0677E"/>
    <w:rsid w:val="00C0678D"/>
    <w:rsid w:val="00C06797"/>
    <w:rsid w:val="00C067C8"/>
    <w:rsid w:val="00C067E1"/>
    <w:rsid w:val="00C06852"/>
    <w:rsid w:val="00C0686C"/>
    <w:rsid w:val="00C06874"/>
    <w:rsid w:val="00C068A9"/>
    <w:rsid w:val="00C068BD"/>
    <w:rsid w:val="00C0694C"/>
    <w:rsid w:val="00C06959"/>
    <w:rsid w:val="00C06999"/>
    <w:rsid w:val="00C069C6"/>
    <w:rsid w:val="00C06AC1"/>
    <w:rsid w:val="00C06AC7"/>
    <w:rsid w:val="00C06ADD"/>
    <w:rsid w:val="00C06B1F"/>
    <w:rsid w:val="00C06B40"/>
    <w:rsid w:val="00C06B52"/>
    <w:rsid w:val="00C06B7B"/>
    <w:rsid w:val="00C06B81"/>
    <w:rsid w:val="00C06B86"/>
    <w:rsid w:val="00C06B87"/>
    <w:rsid w:val="00C06B95"/>
    <w:rsid w:val="00C06BB2"/>
    <w:rsid w:val="00C06BBD"/>
    <w:rsid w:val="00C06C48"/>
    <w:rsid w:val="00C06C56"/>
    <w:rsid w:val="00C06CBD"/>
    <w:rsid w:val="00C06CF5"/>
    <w:rsid w:val="00C06D06"/>
    <w:rsid w:val="00C06D19"/>
    <w:rsid w:val="00C06D3A"/>
    <w:rsid w:val="00C06D5C"/>
    <w:rsid w:val="00C06D5E"/>
    <w:rsid w:val="00C06D69"/>
    <w:rsid w:val="00C06D6A"/>
    <w:rsid w:val="00C06DB8"/>
    <w:rsid w:val="00C06DBB"/>
    <w:rsid w:val="00C06E26"/>
    <w:rsid w:val="00C06E31"/>
    <w:rsid w:val="00C06F32"/>
    <w:rsid w:val="00C06F5A"/>
    <w:rsid w:val="00C06F5C"/>
    <w:rsid w:val="00C06FFF"/>
    <w:rsid w:val="00C07019"/>
    <w:rsid w:val="00C07036"/>
    <w:rsid w:val="00C0703C"/>
    <w:rsid w:val="00C070C5"/>
    <w:rsid w:val="00C070D0"/>
    <w:rsid w:val="00C070E0"/>
    <w:rsid w:val="00C070EA"/>
    <w:rsid w:val="00C0713F"/>
    <w:rsid w:val="00C07158"/>
    <w:rsid w:val="00C0718F"/>
    <w:rsid w:val="00C071B0"/>
    <w:rsid w:val="00C071BF"/>
    <w:rsid w:val="00C071C3"/>
    <w:rsid w:val="00C071DA"/>
    <w:rsid w:val="00C07205"/>
    <w:rsid w:val="00C07277"/>
    <w:rsid w:val="00C072DA"/>
    <w:rsid w:val="00C07381"/>
    <w:rsid w:val="00C073DB"/>
    <w:rsid w:val="00C073EB"/>
    <w:rsid w:val="00C07400"/>
    <w:rsid w:val="00C07474"/>
    <w:rsid w:val="00C07503"/>
    <w:rsid w:val="00C07535"/>
    <w:rsid w:val="00C0756A"/>
    <w:rsid w:val="00C07579"/>
    <w:rsid w:val="00C07588"/>
    <w:rsid w:val="00C075C3"/>
    <w:rsid w:val="00C075CD"/>
    <w:rsid w:val="00C075CE"/>
    <w:rsid w:val="00C075D7"/>
    <w:rsid w:val="00C075EA"/>
    <w:rsid w:val="00C0764B"/>
    <w:rsid w:val="00C07651"/>
    <w:rsid w:val="00C07692"/>
    <w:rsid w:val="00C076AD"/>
    <w:rsid w:val="00C076AE"/>
    <w:rsid w:val="00C076DD"/>
    <w:rsid w:val="00C076E5"/>
    <w:rsid w:val="00C07758"/>
    <w:rsid w:val="00C0778D"/>
    <w:rsid w:val="00C077DD"/>
    <w:rsid w:val="00C07814"/>
    <w:rsid w:val="00C078D2"/>
    <w:rsid w:val="00C07972"/>
    <w:rsid w:val="00C0798D"/>
    <w:rsid w:val="00C079B7"/>
    <w:rsid w:val="00C079FD"/>
    <w:rsid w:val="00C07A62"/>
    <w:rsid w:val="00C07A72"/>
    <w:rsid w:val="00C07A79"/>
    <w:rsid w:val="00C07A7F"/>
    <w:rsid w:val="00C07ABF"/>
    <w:rsid w:val="00C07AC2"/>
    <w:rsid w:val="00C07AF3"/>
    <w:rsid w:val="00C07B23"/>
    <w:rsid w:val="00C07BBB"/>
    <w:rsid w:val="00C07C19"/>
    <w:rsid w:val="00C07C23"/>
    <w:rsid w:val="00C07C7B"/>
    <w:rsid w:val="00C07C8F"/>
    <w:rsid w:val="00C07CC5"/>
    <w:rsid w:val="00C07CEA"/>
    <w:rsid w:val="00C07D1F"/>
    <w:rsid w:val="00C07D48"/>
    <w:rsid w:val="00C07DCC"/>
    <w:rsid w:val="00C07DF5"/>
    <w:rsid w:val="00C07DFF"/>
    <w:rsid w:val="00C07E36"/>
    <w:rsid w:val="00C07E67"/>
    <w:rsid w:val="00C07E6A"/>
    <w:rsid w:val="00C07E89"/>
    <w:rsid w:val="00C07EA0"/>
    <w:rsid w:val="00C07EB3"/>
    <w:rsid w:val="00C07F67"/>
    <w:rsid w:val="00C07F75"/>
    <w:rsid w:val="00C07F9E"/>
    <w:rsid w:val="00C07FCD"/>
    <w:rsid w:val="00C07FF7"/>
    <w:rsid w:val="00C10019"/>
    <w:rsid w:val="00C10058"/>
    <w:rsid w:val="00C10068"/>
    <w:rsid w:val="00C10091"/>
    <w:rsid w:val="00C10148"/>
    <w:rsid w:val="00C10198"/>
    <w:rsid w:val="00C101D5"/>
    <w:rsid w:val="00C102C3"/>
    <w:rsid w:val="00C102D4"/>
    <w:rsid w:val="00C102EA"/>
    <w:rsid w:val="00C10306"/>
    <w:rsid w:val="00C10307"/>
    <w:rsid w:val="00C10318"/>
    <w:rsid w:val="00C1032C"/>
    <w:rsid w:val="00C103B1"/>
    <w:rsid w:val="00C10490"/>
    <w:rsid w:val="00C104C9"/>
    <w:rsid w:val="00C104D2"/>
    <w:rsid w:val="00C10553"/>
    <w:rsid w:val="00C1056F"/>
    <w:rsid w:val="00C105BF"/>
    <w:rsid w:val="00C105C1"/>
    <w:rsid w:val="00C10642"/>
    <w:rsid w:val="00C1069D"/>
    <w:rsid w:val="00C106CA"/>
    <w:rsid w:val="00C106CF"/>
    <w:rsid w:val="00C10706"/>
    <w:rsid w:val="00C10740"/>
    <w:rsid w:val="00C10745"/>
    <w:rsid w:val="00C1075A"/>
    <w:rsid w:val="00C107B6"/>
    <w:rsid w:val="00C107B8"/>
    <w:rsid w:val="00C107E9"/>
    <w:rsid w:val="00C10847"/>
    <w:rsid w:val="00C108FF"/>
    <w:rsid w:val="00C1098F"/>
    <w:rsid w:val="00C10990"/>
    <w:rsid w:val="00C109B0"/>
    <w:rsid w:val="00C10AB9"/>
    <w:rsid w:val="00C10ABC"/>
    <w:rsid w:val="00C10AD9"/>
    <w:rsid w:val="00C10AF8"/>
    <w:rsid w:val="00C10B35"/>
    <w:rsid w:val="00C10B36"/>
    <w:rsid w:val="00C10B40"/>
    <w:rsid w:val="00C10B6C"/>
    <w:rsid w:val="00C10BE7"/>
    <w:rsid w:val="00C10BFD"/>
    <w:rsid w:val="00C10C0A"/>
    <w:rsid w:val="00C10C0C"/>
    <w:rsid w:val="00C10C14"/>
    <w:rsid w:val="00C10C25"/>
    <w:rsid w:val="00C10C67"/>
    <w:rsid w:val="00C10CA1"/>
    <w:rsid w:val="00C10CAE"/>
    <w:rsid w:val="00C10CD0"/>
    <w:rsid w:val="00C10CE0"/>
    <w:rsid w:val="00C10CF6"/>
    <w:rsid w:val="00C10D0D"/>
    <w:rsid w:val="00C10D18"/>
    <w:rsid w:val="00C10D7E"/>
    <w:rsid w:val="00C10D8F"/>
    <w:rsid w:val="00C10DEF"/>
    <w:rsid w:val="00C10E31"/>
    <w:rsid w:val="00C10EA3"/>
    <w:rsid w:val="00C10EE8"/>
    <w:rsid w:val="00C10F18"/>
    <w:rsid w:val="00C10F4B"/>
    <w:rsid w:val="00C10F84"/>
    <w:rsid w:val="00C10FA9"/>
    <w:rsid w:val="00C10FCD"/>
    <w:rsid w:val="00C10FD6"/>
    <w:rsid w:val="00C10FE0"/>
    <w:rsid w:val="00C11006"/>
    <w:rsid w:val="00C1101C"/>
    <w:rsid w:val="00C11074"/>
    <w:rsid w:val="00C11137"/>
    <w:rsid w:val="00C1118F"/>
    <w:rsid w:val="00C112CD"/>
    <w:rsid w:val="00C11300"/>
    <w:rsid w:val="00C11305"/>
    <w:rsid w:val="00C1131C"/>
    <w:rsid w:val="00C1132E"/>
    <w:rsid w:val="00C11343"/>
    <w:rsid w:val="00C113A1"/>
    <w:rsid w:val="00C113E5"/>
    <w:rsid w:val="00C113EE"/>
    <w:rsid w:val="00C113FD"/>
    <w:rsid w:val="00C1142D"/>
    <w:rsid w:val="00C114B3"/>
    <w:rsid w:val="00C114CB"/>
    <w:rsid w:val="00C114D3"/>
    <w:rsid w:val="00C11528"/>
    <w:rsid w:val="00C11538"/>
    <w:rsid w:val="00C11595"/>
    <w:rsid w:val="00C115FA"/>
    <w:rsid w:val="00C11604"/>
    <w:rsid w:val="00C1160C"/>
    <w:rsid w:val="00C11627"/>
    <w:rsid w:val="00C1163C"/>
    <w:rsid w:val="00C11696"/>
    <w:rsid w:val="00C116A7"/>
    <w:rsid w:val="00C116C5"/>
    <w:rsid w:val="00C11704"/>
    <w:rsid w:val="00C1171B"/>
    <w:rsid w:val="00C11745"/>
    <w:rsid w:val="00C1174D"/>
    <w:rsid w:val="00C11775"/>
    <w:rsid w:val="00C117A1"/>
    <w:rsid w:val="00C117B5"/>
    <w:rsid w:val="00C117E1"/>
    <w:rsid w:val="00C117EF"/>
    <w:rsid w:val="00C11801"/>
    <w:rsid w:val="00C11841"/>
    <w:rsid w:val="00C1188E"/>
    <w:rsid w:val="00C11890"/>
    <w:rsid w:val="00C118C3"/>
    <w:rsid w:val="00C11922"/>
    <w:rsid w:val="00C11958"/>
    <w:rsid w:val="00C11994"/>
    <w:rsid w:val="00C119CA"/>
    <w:rsid w:val="00C119D6"/>
    <w:rsid w:val="00C11A31"/>
    <w:rsid w:val="00C11A5F"/>
    <w:rsid w:val="00C11AB8"/>
    <w:rsid w:val="00C11B04"/>
    <w:rsid w:val="00C11BB2"/>
    <w:rsid w:val="00C11BC1"/>
    <w:rsid w:val="00C11BC9"/>
    <w:rsid w:val="00C11C20"/>
    <w:rsid w:val="00C11C3B"/>
    <w:rsid w:val="00C11C3C"/>
    <w:rsid w:val="00C11CA1"/>
    <w:rsid w:val="00C11CB3"/>
    <w:rsid w:val="00C11CE2"/>
    <w:rsid w:val="00C11D39"/>
    <w:rsid w:val="00C11D3A"/>
    <w:rsid w:val="00C11D3B"/>
    <w:rsid w:val="00C11D6A"/>
    <w:rsid w:val="00C11D87"/>
    <w:rsid w:val="00C11DBB"/>
    <w:rsid w:val="00C11DC0"/>
    <w:rsid w:val="00C11DD1"/>
    <w:rsid w:val="00C11DE2"/>
    <w:rsid w:val="00C11E4D"/>
    <w:rsid w:val="00C11EA4"/>
    <w:rsid w:val="00C11F17"/>
    <w:rsid w:val="00C11F50"/>
    <w:rsid w:val="00C11F5E"/>
    <w:rsid w:val="00C11FD3"/>
    <w:rsid w:val="00C12049"/>
    <w:rsid w:val="00C120C8"/>
    <w:rsid w:val="00C120D4"/>
    <w:rsid w:val="00C120DB"/>
    <w:rsid w:val="00C1210C"/>
    <w:rsid w:val="00C12123"/>
    <w:rsid w:val="00C12159"/>
    <w:rsid w:val="00C1215B"/>
    <w:rsid w:val="00C12185"/>
    <w:rsid w:val="00C12198"/>
    <w:rsid w:val="00C121BD"/>
    <w:rsid w:val="00C121E7"/>
    <w:rsid w:val="00C121F8"/>
    <w:rsid w:val="00C12212"/>
    <w:rsid w:val="00C1225D"/>
    <w:rsid w:val="00C122EE"/>
    <w:rsid w:val="00C12323"/>
    <w:rsid w:val="00C1235C"/>
    <w:rsid w:val="00C1243B"/>
    <w:rsid w:val="00C12445"/>
    <w:rsid w:val="00C12453"/>
    <w:rsid w:val="00C12477"/>
    <w:rsid w:val="00C124B7"/>
    <w:rsid w:val="00C124DE"/>
    <w:rsid w:val="00C12530"/>
    <w:rsid w:val="00C12547"/>
    <w:rsid w:val="00C12619"/>
    <w:rsid w:val="00C1266C"/>
    <w:rsid w:val="00C126C6"/>
    <w:rsid w:val="00C126D5"/>
    <w:rsid w:val="00C1275C"/>
    <w:rsid w:val="00C1279D"/>
    <w:rsid w:val="00C127CD"/>
    <w:rsid w:val="00C12810"/>
    <w:rsid w:val="00C1287A"/>
    <w:rsid w:val="00C12895"/>
    <w:rsid w:val="00C128A6"/>
    <w:rsid w:val="00C128C3"/>
    <w:rsid w:val="00C12908"/>
    <w:rsid w:val="00C12909"/>
    <w:rsid w:val="00C129DA"/>
    <w:rsid w:val="00C129F1"/>
    <w:rsid w:val="00C12A46"/>
    <w:rsid w:val="00C12A85"/>
    <w:rsid w:val="00C12B36"/>
    <w:rsid w:val="00C12B68"/>
    <w:rsid w:val="00C12BBE"/>
    <w:rsid w:val="00C12BF1"/>
    <w:rsid w:val="00C12C36"/>
    <w:rsid w:val="00C12C52"/>
    <w:rsid w:val="00C12C64"/>
    <w:rsid w:val="00C12C95"/>
    <w:rsid w:val="00C12C9F"/>
    <w:rsid w:val="00C12CAE"/>
    <w:rsid w:val="00C12CD7"/>
    <w:rsid w:val="00C12D34"/>
    <w:rsid w:val="00C12D65"/>
    <w:rsid w:val="00C12D83"/>
    <w:rsid w:val="00C12DE6"/>
    <w:rsid w:val="00C12DEC"/>
    <w:rsid w:val="00C12E07"/>
    <w:rsid w:val="00C12E27"/>
    <w:rsid w:val="00C12E98"/>
    <w:rsid w:val="00C12EEE"/>
    <w:rsid w:val="00C12F1B"/>
    <w:rsid w:val="00C12FF0"/>
    <w:rsid w:val="00C12FF5"/>
    <w:rsid w:val="00C13003"/>
    <w:rsid w:val="00C13015"/>
    <w:rsid w:val="00C13025"/>
    <w:rsid w:val="00C13065"/>
    <w:rsid w:val="00C1309B"/>
    <w:rsid w:val="00C130B9"/>
    <w:rsid w:val="00C130C8"/>
    <w:rsid w:val="00C13103"/>
    <w:rsid w:val="00C13113"/>
    <w:rsid w:val="00C13140"/>
    <w:rsid w:val="00C13155"/>
    <w:rsid w:val="00C1320E"/>
    <w:rsid w:val="00C1328A"/>
    <w:rsid w:val="00C13293"/>
    <w:rsid w:val="00C132AE"/>
    <w:rsid w:val="00C133C2"/>
    <w:rsid w:val="00C133CC"/>
    <w:rsid w:val="00C1340F"/>
    <w:rsid w:val="00C13415"/>
    <w:rsid w:val="00C1343B"/>
    <w:rsid w:val="00C13474"/>
    <w:rsid w:val="00C134AA"/>
    <w:rsid w:val="00C134BE"/>
    <w:rsid w:val="00C135F0"/>
    <w:rsid w:val="00C1362A"/>
    <w:rsid w:val="00C13643"/>
    <w:rsid w:val="00C13652"/>
    <w:rsid w:val="00C1367F"/>
    <w:rsid w:val="00C13699"/>
    <w:rsid w:val="00C1369F"/>
    <w:rsid w:val="00C136A8"/>
    <w:rsid w:val="00C136E2"/>
    <w:rsid w:val="00C13736"/>
    <w:rsid w:val="00C13738"/>
    <w:rsid w:val="00C13771"/>
    <w:rsid w:val="00C137B9"/>
    <w:rsid w:val="00C137E6"/>
    <w:rsid w:val="00C13808"/>
    <w:rsid w:val="00C13853"/>
    <w:rsid w:val="00C13866"/>
    <w:rsid w:val="00C13883"/>
    <w:rsid w:val="00C1388A"/>
    <w:rsid w:val="00C1389A"/>
    <w:rsid w:val="00C138AA"/>
    <w:rsid w:val="00C138B9"/>
    <w:rsid w:val="00C138C3"/>
    <w:rsid w:val="00C138F1"/>
    <w:rsid w:val="00C13982"/>
    <w:rsid w:val="00C13988"/>
    <w:rsid w:val="00C139B7"/>
    <w:rsid w:val="00C139BB"/>
    <w:rsid w:val="00C139D0"/>
    <w:rsid w:val="00C13A5A"/>
    <w:rsid w:val="00C13A67"/>
    <w:rsid w:val="00C13A6B"/>
    <w:rsid w:val="00C13A7B"/>
    <w:rsid w:val="00C13A9A"/>
    <w:rsid w:val="00C13AAC"/>
    <w:rsid w:val="00C13AB8"/>
    <w:rsid w:val="00C13AE7"/>
    <w:rsid w:val="00C13AFD"/>
    <w:rsid w:val="00C13B39"/>
    <w:rsid w:val="00C13B63"/>
    <w:rsid w:val="00C13B89"/>
    <w:rsid w:val="00C13B92"/>
    <w:rsid w:val="00C13BA9"/>
    <w:rsid w:val="00C13C21"/>
    <w:rsid w:val="00C13D2F"/>
    <w:rsid w:val="00C13D48"/>
    <w:rsid w:val="00C13D7D"/>
    <w:rsid w:val="00C13DA5"/>
    <w:rsid w:val="00C13DC8"/>
    <w:rsid w:val="00C13DFE"/>
    <w:rsid w:val="00C13E33"/>
    <w:rsid w:val="00C13EA2"/>
    <w:rsid w:val="00C13EC5"/>
    <w:rsid w:val="00C13ED4"/>
    <w:rsid w:val="00C13F24"/>
    <w:rsid w:val="00C13F25"/>
    <w:rsid w:val="00C13F51"/>
    <w:rsid w:val="00C13F8C"/>
    <w:rsid w:val="00C13F94"/>
    <w:rsid w:val="00C14017"/>
    <w:rsid w:val="00C140E9"/>
    <w:rsid w:val="00C140EE"/>
    <w:rsid w:val="00C1410A"/>
    <w:rsid w:val="00C1414F"/>
    <w:rsid w:val="00C14153"/>
    <w:rsid w:val="00C1415C"/>
    <w:rsid w:val="00C1418D"/>
    <w:rsid w:val="00C141B4"/>
    <w:rsid w:val="00C141FE"/>
    <w:rsid w:val="00C14231"/>
    <w:rsid w:val="00C14297"/>
    <w:rsid w:val="00C142D5"/>
    <w:rsid w:val="00C14301"/>
    <w:rsid w:val="00C14304"/>
    <w:rsid w:val="00C14315"/>
    <w:rsid w:val="00C1435D"/>
    <w:rsid w:val="00C14390"/>
    <w:rsid w:val="00C143AC"/>
    <w:rsid w:val="00C143C3"/>
    <w:rsid w:val="00C143F4"/>
    <w:rsid w:val="00C1440D"/>
    <w:rsid w:val="00C14416"/>
    <w:rsid w:val="00C14450"/>
    <w:rsid w:val="00C1447F"/>
    <w:rsid w:val="00C14491"/>
    <w:rsid w:val="00C144CA"/>
    <w:rsid w:val="00C144E1"/>
    <w:rsid w:val="00C144E4"/>
    <w:rsid w:val="00C144F6"/>
    <w:rsid w:val="00C14503"/>
    <w:rsid w:val="00C14532"/>
    <w:rsid w:val="00C14539"/>
    <w:rsid w:val="00C14543"/>
    <w:rsid w:val="00C1458C"/>
    <w:rsid w:val="00C14591"/>
    <w:rsid w:val="00C145BB"/>
    <w:rsid w:val="00C145CB"/>
    <w:rsid w:val="00C146CA"/>
    <w:rsid w:val="00C146DD"/>
    <w:rsid w:val="00C14742"/>
    <w:rsid w:val="00C1474D"/>
    <w:rsid w:val="00C14776"/>
    <w:rsid w:val="00C147DF"/>
    <w:rsid w:val="00C14805"/>
    <w:rsid w:val="00C14815"/>
    <w:rsid w:val="00C1486B"/>
    <w:rsid w:val="00C1487F"/>
    <w:rsid w:val="00C148C8"/>
    <w:rsid w:val="00C148FF"/>
    <w:rsid w:val="00C1492F"/>
    <w:rsid w:val="00C1497E"/>
    <w:rsid w:val="00C149D6"/>
    <w:rsid w:val="00C149E9"/>
    <w:rsid w:val="00C14A5A"/>
    <w:rsid w:val="00C14A74"/>
    <w:rsid w:val="00C14AB8"/>
    <w:rsid w:val="00C14ACC"/>
    <w:rsid w:val="00C14AE7"/>
    <w:rsid w:val="00C14B01"/>
    <w:rsid w:val="00C14B28"/>
    <w:rsid w:val="00C14B58"/>
    <w:rsid w:val="00C14B9E"/>
    <w:rsid w:val="00C14BAF"/>
    <w:rsid w:val="00C14CCF"/>
    <w:rsid w:val="00C14D36"/>
    <w:rsid w:val="00C14D9E"/>
    <w:rsid w:val="00C14DB6"/>
    <w:rsid w:val="00C14DD8"/>
    <w:rsid w:val="00C14DF1"/>
    <w:rsid w:val="00C14DF2"/>
    <w:rsid w:val="00C14DF9"/>
    <w:rsid w:val="00C14E80"/>
    <w:rsid w:val="00C14EB4"/>
    <w:rsid w:val="00C14EC6"/>
    <w:rsid w:val="00C14F0A"/>
    <w:rsid w:val="00C14F21"/>
    <w:rsid w:val="00C14F47"/>
    <w:rsid w:val="00C14F64"/>
    <w:rsid w:val="00C14F7F"/>
    <w:rsid w:val="00C14F84"/>
    <w:rsid w:val="00C14FAF"/>
    <w:rsid w:val="00C14FBE"/>
    <w:rsid w:val="00C15001"/>
    <w:rsid w:val="00C15047"/>
    <w:rsid w:val="00C1506E"/>
    <w:rsid w:val="00C15088"/>
    <w:rsid w:val="00C150C6"/>
    <w:rsid w:val="00C150E2"/>
    <w:rsid w:val="00C151AA"/>
    <w:rsid w:val="00C1527F"/>
    <w:rsid w:val="00C1528D"/>
    <w:rsid w:val="00C152C2"/>
    <w:rsid w:val="00C152F9"/>
    <w:rsid w:val="00C15301"/>
    <w:rsid w:val="00C15311"/>
    <w:rsid w:val="00C15348"/>
    <w:rsid w:val="00C15368"/>
    <w:rsid w:val="00C153EA"/>
    <w:rsid w:val="00C1543E"/>
    <w:rsid w:val="00C15487"/>
    <w:rsid w:val="00C1549A"/>
    <w:rsid w:val="00C154BD"/>
    <w:rsid w:val="00C154DF"/>
    <w:rsid w:val="00C1552B"/>
    <w:rsid w:val="00C15532"/>
    <w:rsid w:val="00C15575"/>
    <w:rsid w:val="00C155C5"/>
    <w:rsid w:val="00C1561C"/>
    <w:rsid w:val="00C15620"/>
    <w:rsid w:val="00C15639"/>
    <w:rsid w:val="00C15656"/>
    <w:rsid w:val="00C1565B"/>
    <w:rsid w:val="00C1566F"/>
    <w:rsid w:val="00C156C3"/>
    <w:rsid w:val="00C15718"/>
    <w:rsid w:val="00C15740"/>
    <w:rsid w:val="00C157EE"/>
    <w:rsid w:val="00C1580F"/>
    <w:rsid w:val="00C15896"/>
    <w:rsid w:val="00C158A4"/>
    <w:rsid w:val="00C158B5"/>
    <w:rsid w:val="00C15904"/>
    <w:rsid w:val="00C1593B"/>
    <w:rsid w:val="00C159A7"/>
    <w:rsid w:val="00C159F1"/>
    <w:rsid w:val="00C15A09"/>
    <w:rsid w:val="00C15A21"/>
    <w:rsid w:val="00C15A2F"/>
    <w:rsid w:val="00C15A41"/>
    <w:rsid w:val="00C15A55"/>
    <w:rsid w:val="00C15A73"/>
    <w:rsid w:val="00C15ABB"/>
    <w:rsid w:val="00C15ABF"/>
    <w:rsid w:val="00C15B2C"/>
    <w:rsid w:val="00C15B2E"/>
    <w:rsid w:val="00C15B32"/>
    <w:rsid w:val="00C15BDA"/>
    <w:rsid w:val="00C15BF3"/>
    <w:rsid w:val="00C15BF5"/>
    <w:rsid w:val="00C15C22"/>
    <w:rsid w:val="00C15C3A"/>
    <w:rsid w:val="00C15C40"/>
    <w:rsid w:val="00C15C9A"/>
    <w:rsid w:val="00C15CA2"/>
    <w:rsid w:val="00C15CB9"/>
    <w:rsid w:val="00C15CD7"/>
    <w:rsid w:val="00C15CD9"/>
    <w:rsid w:val="00C15CDC"/>
    <w:rsid w:val="00C15D5B"/>
    <w:rsid w:val="00C15D9C"/>
    <w:rsid w:val="00C15DC3"/>
    <w:rsid w:val="00C15DCF"/>
    <w:rsid w:val="00C15DD0"/>
    <w:rsid w:val="00C15DF1"/>
    <w:rsid w:val="00C15E65"/>
    <w:rsid w:val="00C15E93"/>
    <w:rsid w:val="00C15EA0"/>
    <w:rsid w:val="00C15EA8"/>
    <w:rsid w:val="00C15ED0"/>
    <w:rsid w:val="00C15F2A"/>
    <w:rsid w:val="00C15F41"/>
    <w:rsid w:val="00C15F65"/>
    <w:rsid w:val="00C15F88"/>
    <w:rsid w:val="00C15FB6"/>
    <w:rsid w:val="00C15FDA"/>
    <w:rsid w:val="00C15FF2"/>
    <w:rsid w:val="00C15FF3"/>
    <w:rsid w:val="00C15FFA"/>
    <w:rsid w:val="00C1602B"/>
    <w:rsid w:val="00C16102"/>
    <w:rsid w:val="00C16179"/>
    <w:rsid w:val="00C161CF"/>
    <w:rsid w:val="00C161DF"/>
    <w:rsid w:val="00C1621C"/>
    <w:rsid w:val="00C16220"/>
    <w:rsid w:val="00C16240"/>
    <w:rsid w:val="00C16274"/>
    <w:rsid w:val="00C16291"/>
    <w:rsid w:val="00C16297"/>
    <w:rsid w:val="00C1631B"/>
    <w:rsid w:val="00C1636C"/>
    <w:rsid w:val="00C1637E"/>
    <w:rsid w:val="00C1639D"/>
    <w:rsid w:val="00C163C0"/>
    <w:rsid w:val="00C16440"/>
    <w:rsid w:val="00C16454"/>
    <w:rsid w:val="00C164CE"/>
    <w:rsid w:val="00C164F4"/>
    <w:rsid w:val="00C1656F"/>
    <w:rsid w:val="00C16598"/>
    <w:rsid w:val="00C165CE"/>
    <w:rsid w:val="00C165D3"/>
    <w:rsid w:val="00C16602"/>
    <w:rsid w:val="00C16652"/>
    <w:rsid w:val="00C16679"/>
    <w:rsid w:val="00C167D9"/>
    <w:rsid w:val="00C16810"/>
    <w:rsid w:val="00C16830"/>
    <w:rsid w:val="00C16844"/>
    <w:rsid w:val="00C16845"/>
    <w:rsid w:val="00C1688E"/>
    <w:rsid w:val="00C168A0"/>
    <w:rsid w:val="00C168AC"/>
    <w:rsid w:val="00C168CC"/>
    <w:rsid w:val="00C168D3"/>
    <w:rsid w:val="00C1699D"/>
    <w:rsid w:val="00C16A13"/>
    <w:rsid w:val="00C16A6A"/>
    <w:rsid w:val="00C16A8B"/>
    <w:rsid w:val="00C16A95"/>
    <w:rsid w:val="00C16AB6"/>
    <w:rsid w:val="00C16AB8"/>
    <w:rsid w:val="00C16AE8"/>
    <w:rsid w:val="00C16B0E"/>
    <w:rsid w:val="00C16B3A"/>
    <w:rsid w:val="00C16B64"/>
    <w:rsid w:val="00C16C77"/>
    <w:rsid w:val="00C16CCE"/>
    <w:rsid w:val="00C16CD2"/>
    <w:rsid w:val="00C16CDB"/>
    <w:rsid w:val="00C16D5B"/>
    <w:rsid w:val="00C16D77"/>
    <w:rsid w:val="00C16D80"/>
    <w:rsid w:val="00C16E51"/>
    <w:rsid w:val="00C16E54"/>
    <w:rsid w:val="00C16E67"/>
    <w:rsid w:val="00C16E7C"/>
    <w:rsid w:val="00C16E7D"/>
    <w:rsid w:val="00C16EB4"/>
    <w:rsid w:val="00C16ED3"/>
    <w:rsid w:val="00C16EDB"/>
    <w:rsid w:val="00C16EE3"/>
    <w:rsid w:val="00C16EEE"/>
    <w:rsid w:val="00C16F11"/>
    <w:rsid w:val="00C16F46"/>
    <w:rsid w:val="00C16F7C"/>
    <w:rsid w:val="00C16F86"/>
    <w:rsid w:val="00C16F95"/>
    <w:rsid w:val="00C1703F"/>
    <w:rsid w:val="00C1708F"/>
    <w:rsid w:val="00C170AE"/>
    <w:rsid w:val="00C170FD"/>
    <w:rsid w:val="00C1714E"/>
    <w:rsid w:val="00C171A0"/>
    <w:rsid w:val="00C171AA"/>
    <w:rsid w:val="00C17221"/>
    <w:rsid w:val="00C17234"/>
    <w:rsid w:val="00C17262"/>
    <w:rsid w:val="00C17269"/>
    <w:rsid w:val="00C1729C"/>
    <w:rsid w:val="00C17323"/>
    <w:rsid w:val="00C17370"/>
    <w:rsid w:val="00C173A6"/>
    <w:rsid w:val="00C17486"/>
    <w:rsid w:val="00C1748C"/>
    <w:rsid w:val="00C1749F"/>
    <w:rsid w:val="00C174D9"/>
    <w:rsid w:val="00C174FD"/>
    <w:rsid w:val="00C1754B"/>
    <w:rsid w:val="00C17554"/>
    <w:rsid w:val="00C17569"/>
    <w:rsid w:val="00C17587"/>
    <w:rsid w:val="00C1758C"/>
    <w:rsid w:val="00C175B0"/>
    <w:rsid w:val="00C175C1"/>
    <w:rsid w:val="00C175E2"/>
    <w:rsid w:val="00C1760B"/>
    <w:rsid w:val="00C1760E"/>
    <w:rsid w:val="00C1768C"/>
    <w:rsid w:val="00C176BC"/>
    <w:rsid w:val="00C176CF"/>
    <w:rsid w:val="00C176D3"/>
    <w:rsid w:val="00C176E5"/>
    <w:rsid w:val="00C17781"/>
    <w:rsid w:val="00C177AC"/>
    <w:rsid w:val="00C177BC"/>
    <w:rsid w:val="00C177DC"/>
    <w:rsid w:val="00C1786A"/>
    <w:rsid w:val="00C178B8"/>
    <w:rsid w:val="00C17908"/>
    <w:rsid w:val="00C1790F"/>
    <w:rsid w:val="00C17963"/>
    <w:rsid w:val="00C179B3"/>
    <w:rsid w:val="00C179DB"/>
    <w:rsid w:val="00C179DE"/>
    <w:rsid w:val="00C179EF"/>
    <w:rsid w:val="00C17A33"/>
    <w:rsid w:val="00C17AA6"/>
    <w:rsid w:val="00C17AB9"/>
    <w:rsid w:val="00C17AC1"/>
    <w:rsid w:val="00C17AE6"/>
    <w:rsid w:val="00C17B1D"/>
    <w:rsid w:val="00C17B26"/>
    <w:rsid w:val="00C17B6A"/>
    <w:rsid w:val="00C17BAC"/>
    <w:rsid w:val="00C17C2D"/>
    <w:rsid w:val="00C17C61"/>
    <w:rsid w:val="00C17CC5"/>
    <w:rsid w:val="00C17D01"/>
    <w:rsid w:val="00C17D35"/>
    <w:rsid w:val="00C17D46"/>
    <w:rsid w:val="00C17D4B"/>
    <w:rsid w:val="00C17D60"/>
    <w:rsid w:val="00C17DEB"/>
    <w:rsid w:val="00C17E13"/>
    <w:rsid w:val="00C17E17"/>
    <w:rsid w:val="00C17E7F"/>
    <w:rsid w:val="00C17E85"/>
    <w:rsid w:val="00C17EA3"/>
    <w:rsid w:val="00C17EA8"/>
    <w:rsid w:val="00C17EC3"/>
    <w:rsid w:val="00C17EC6"/>
    <w:rsid w:val="00C17F4A"/>
    <w:rsid w:val="00C17F52"/>
    <w:rsid w:val="00C17F62"/>
    <w:rsid w:val="00C17FA8"/>
    <w:rsid w:val="00C17FC3"/>
    <w:rsid w:val="00C17FDE"/>
    <w:rsid w:val="00C2005A"/>
    <w:rsid w:val="00C20072"/>
    <w:rsid w:val="00C20084"/>
    <w:rsid w:val="00C20086"/>
    <w:rsid w:val="00C2008C"/>
    <w:rsid w:val="00C200D2"/>
    <w:rsid w:val="00C2011D"/>
    <w:rsid w:val="00C20158"/>
    <w:rsid w:val="00C2016B"/>
    <w:rsid w:val="00C2019A"/>
    <w:rsid w:val="00C201A2"/>
    <w:rsid w:val="00C201F1"/>
    <w:rsid w:val="00C20260"/>
    <w:rsid w:val="00C20266"/>
    <w:rsid w:val="00C20293"/>
    <w:rsid w:val="00C20294"/>
    <w:rsid w:val="00C202B3"/>
    <w:rsid w:val="00C202BA"/>
    <w:rsid w:val="00C202E4"/>
    <w:rsid w:val="00C20335"/>
    <w:rsid w:val="00C20338"/>
    <w:rsid w:val="00C20362"/>
    <w:rsid w:val="00C20371"/>
    <w:rsid w:val="00C203E6"/>
    <w:rsid w:val="00C204DD"/>
    <w:rsid w:val="00C2051E"/>
    <w:rsid w:val="00C20556"/>
    <w:rsid w:val="00C205CF"/>
    <w:rsid w:val="00C2062C"/>
    <w:rsid w:val="00C2066E"/>
    <w:rsid w:val="00C206DD"/>
    <w:rsid w:val="00C206E9"/>
    <w:rsid w:val="00C206F4"/>
    <w:rsid w:val="00C20725"/>
    <w:rsid w:val="00C2072D"/>
    <w:rsid w:val="00C2075E"/>
    <w:rsid w:val="00C2076C"/>
    <w:rsid w:val="00C207A3"/>
    <w:rsid w:val="00C207DB"/>
    <w:rsid w:val="00C207ED"/>
    <w:rsid w:val="00C207FE"/>
    <w:rsid w:val="00C208E6"/>
    <w:rsid w:val="00C20951"/>
    <w:rsid w:val="00C2095A"/>
    <w:rsid w:val="00C20967"/>
    <w:rsid w:val="00C209A2"/>
    <w:rsid w:val="00C209BF"/>
    <w:rsid w:val="00C209C4"/>
    <w:rsid w:val="00C20A13"/>
    <w:rsid w:val="00C20A46"/>
    <w:rsid w:val="00C20A62"/>
    <w:rsid w:val="00C20AB6"/>
    <w:rsid w:val="00C20B59"/>
    <w:rsid w:val="00C20BA3"/>
    <w:rsid w:val="00C20BA4"/>
    <w:rsid w:val="00C20BC0"/>
    <w:rsid w:val="00C20BE1"/>
    <w:rsid w:val="00C20C14"/>
    <w:rsid w:val="00C20C19"/>
    <w:rsid w:val="00C20C2C"/>
    <w:rsid w:val="00C20C30"/>
    <w:rsid w:val="00C20C3E"/>
    <w:rsid w:val="00C20C58"/>
    <w:rsid w:val="00C20CCE"/>
    <w:rsid w:val="00C20D2E"/>
    <w:rsid w:val="00C20D66"/>
    <w:rsid w:val="00C20D93"/>
    <w:rsid w:val="00C20DD3"/>
    <w:rsid w:val="00C20DD6"/>
    <w:rsid w:val="00C20E84"/>
    <w:rsid w:val="00C20EAD"/>
    <w:rsid w:val="00C20EC5"/>
    <w:rsid w:val="00C20EE6"/>
    <w:rsid w:val="00C20EFD"/>
    <w:rsid w:val="00C20F49"/>
    <w:rsid w:val="00C20F5F"/>
    <w:rsid w:val="00C20FE6"/>
    <w:rsid w:val="00C20FEC"/>
    <w:rsid w:val="00C21070"/>
    <w:rsid w:val="00C2109D"/>
    <w:rsid w:val="00C210A3"/>
    <w:rsid w:val="00C210A5"/>
    <w:rsid w:val="00C210B5"/>
    <w:rsid w:val="00C210CC"/>
    <w:rsid w:val="00C2110A"/>
    <w:rsid w:val="00C21113"/>
    <w:rsid w:val="00C211EB"/>
    <w:rsid w:val="00C21219"/>
    <w:rsid w:val="00C21224"/>
    <w:rsid w:val="00C21265"/>
    <w:rsid w:val="00C212C7"/>
    <w:rsid w:val="00C21344"/>
    <w:rsid w:val="00C2142F"/>
    <w:rsid w:val="00C2144A"/>
    <w:rsid w:val="00C2148A"/>
    <w:rsid w:val="00C21491"/>
    <w:rsid w:val="00C214F4"/>
    <w:rsid w:val="00C21555"/>
    <w:rsid w:val="00C21572"/>
    <w:rsid w:val="00C2158F"/>
    <w:rsid w:val="00C2159A"/>
    <w:rsid w:val="00C215A1"/>
    <w:rsid w:val="00C215E5"/>
    <w:rsid w:val="00C2162C"/>
    <w:rsid w:val="00C21651"/>
    <w:rsid w:val="00C2165C"/>
    <w:rsid w:val="00C21667"/>
    <w:rsid w:val="00C2166E"/>
    <w:rsid w:val="00C21671"/>
    <w:rsid w:val="00C216C2"/>
    <w:rsid w:val="00C216D6"/>
    <w:rsid w:val="00C21702"/>
    <w:rsid w:val="00C2176F"/>
    <w:rsid w:val="00C2177C"/>
    <w:rsid w:val="00C2178D"/>
    <w:rsid w:val="00C217AF"/>
    <w:rsid w:val="00C21800"/>
    <w:rsid w:val="00C21813"/>
    <w:rsid w:val="00C21892"/>
    <w:rsid w:val="00C218CF"/>
    <w:rsid w:val="00C218EC"/>
    <w:rsid w:val="00C218EE"/>
    <w:rsid w:val="00C2191D"/>
    <w:rsid w:val="00C2193C"/>
    <w:rsid w:val="00C21942"/>
    <w:rsid w:val="00C21956"/>
    <w:rsid w:val="00C21959"/>
    <w:rsid w:val="00C21993"/>
    <w:rsid w:val="00C21998"/>
    <w:rsid w:val="00C219B9"/>
    <w:rsid w:val="00C219E1"/>
    <w:rsid w:val="00C21A19"/>
    <w:rsid w:val="00C21A1B"/>
    <w:rsid w:val="00C21A34"/>
    <w:rsid w:val="00C21A4A"/>
    <w:rsid w:val="00C21A63"/>
    <w:rsid w:val="00C21A89"/>
    <w:rsid w:val="00C21A8F"/>
    <w:rsid w:val="00C21AD5"/>
    <w:rsid w:val="00C21AE6"/>
    <w:rsid w:val="00C21B2A"/>
    <w:rsid w:val="00C21B3D"/>
    <w:rsid w:val="00C21B4F"/>
    <w:rsid w:val="00C21BC8"/>
    <w:rsid w:val="00C21C16"/>
    <w:rsid w:val="00C21C68"/>
    <w:rsid w:val="00C21C69"/>
    <w:rsid w:val="00C21C6D"/>
    <w:rsid w:val="00C21C9A"/>
    <w:rsid w:val="00C21CA8"/>
    <w:rsid w:val="00C21CC2"/>
    <w:rsid w:val="00C21CD2"/>
    <w:rsid w:val="00C21D96"/>
    <w:rsid w:val="00C21E08"/>
    <w:rsid w:val="00C21E1E"/>
    <w:rsid w:val="00C21E4A"/>
    <w:rsid w:val="00C21E64"/>
    <w:rsid w:val="00C21E98"/>
    <w:rsid w:val="00C21EC4"/>
    <w:rsid w:val="00C21EE0"/>
    <w:rsid w:val="00C21EF4"/>
    <w:rsid w:val="00C21F03"/>
    <w:rsid w:val="00C21F1C"/>
    <w:rsid w:val="00C21F1D"/>
    <w:rsid w:val="00C21F5B"/>
    <w:rsid w:val="00C21F65"/>
    <w:rsid w:val="00C21F93"/>
    <w:rsid w:val="00C21FD0"/>
    <w:rsid w:val="00C21FF4"/>
    <w:rsid w:val="00C21FFC"/>
    <w:rsid w:val="00C22053"/>
    <w:rsid w:val="00C22082"/>
    <w:rsid w:val="00C22103"/>
    <w:rsid w:val="00C22153"/>
    <w:rsid w:val="00C2217B"/>
    <w:rsid w:val="00C221AA"/>
    <w:rsid w:val="00C221BF"/>
    <w:rsid w:val="00C22227"/>
    <w:rsid w:val="00C2224E"/>
    <w:rsid w:val="00C22259"/>
    <w:rsid w:val="00C22274"/>
    <w:rsid w:val="00C222A5"/>
    <w:rsid w:val="00C2232E"/>
    <w:rsid w:val="00C22346"/>
    <w:rsid w:val="00C22356"/>
    <w:rsid w:val="00C223CD"/>
    <w:rsid w:val="00C22453"/>
    <w:rsid w:val="00C22482"/>
    <w:rsid w:val="00C22483"/>
    <w:rsid w:val="00C224B3"/>
    <w:rsid w:val="00C224CE"/>
    <w:rsid w:val="00C224D7"/>
    <w:rsid w:val="00C2250A"/>
    <w:rsid w:val="00C22530"/>
    <w:rsid w:val="00C22541"/>
    <w:rsid w:val="00C22546"/>
    <w:rsid w:val="00C22558"/>
    <w:rsid w:val="00C22566"/>
    <w:rsid w:val="00C2260F"/>
    <w:rsid w:val="00C2263D"/>
    <w:rsid w:val="00C22641"/>
    <w:rsid w:val="00C22698"/>
    <w:rsid w:val="00C2270C"/>
    <w:rsid w:val="00C22751"/>
    <w:rsid w:val="00C2275C"/>
    <w:rsid w:val="00C2277E"/>
    <w:rsid w:val="00C2278B"/>
    <w:rsid w:val="00C22792"/>
    <w:rsid w:val="00C227A7"/>
    <w:rsid w:val="00C227BA"/>
    <w:rsid w:val="00C227CB"/>
    <w:rsid w:val="00C22804"/>
    <w:rsid w:val="00C22841"/>
    <w:rsid w:val="00C2286D"/>
    <w:rsid w:val="00C22879"/>
    <w:rsid w:val="00C228A1"/>
    <w:rsid w:val="00C228CA"/>
    <w:rsid w:val="00C2290D"/>
    <w:rsid w:val="00C22912"/>
    <w:rsid w:val="00C2298D"/>
    <w:rsid w:val="00C229BD"/>
    <w:rsid w:val="00C22A03"/>
    <w:rsid w:val="00C22A10"/>
    <w:rsid w:val="00C22ADF"/>
    <w:rsid w:val="00C22B06"/>
    <w:rsid w:val="00C22B28"/>
    <w:rsid w:val="00C22B8D"/>
    <w:rsid w:val="00C22B98"/>
    <w:rsid w:val="00C22BBA"/>
    <w:rsid w:val="00C22C18"/>
    <w:rsid w:val="00C22C2B"/>
    <w:rsid w:val="00C22C39"/>
    <w:rsid w:val="00C22C47"/>
    <w:rsid w:val="00C22C90"/>
    <w:rsid w:val="00C22CA9"/>
    <w:rsid w:val="00C22CE0"/>
    <w:rsid w:val="00C22D4D"/>
    <w:rsid w:val="00C22D5B"/>
    <w:rsid w:val="00C22D84"/>
    <w:rsid w:val="00C22E13"/>
    <w:rsid w:val="00C22E1D"/>
    <w:rsid w:val="00C22E48"/>
    <w:rsid w:val="00C22EF8"/>
    <w:rsid w:val="00C22F1E"/>
    <w:rsid w:val="00C22F67"/>
    <w:rsid w:val="00C22F95"/>
    <w:rsid w:val="00C22F9A"/>
    <w:rsid w:val="00C23025"/>
    <w:rsid w:val="00C23035"/>
    <w:rsid w:val="00C23055"/>
    <w:rsid w:val="00C23092"/>
    <w:rsid w:val="00C230DF"/>
    <w:rsid w:val="00C230F6"/>
    <w:rsid w:val="00C23101"/>
    <w:rsid w:val="00C23115"/>
    <w:rsid w:val="00C23157"/>
    <w:rsid w:val="00C23187"/>
    <w:rsid w:val="00C231B9"/>
    <w:rsid w:val="00C231DB"/>
    <w:rsid w:val="00C231F3"/>
    <w:rsid w:val="00C23201"/>
    <w:rsid w:val="00C23240"/>
    <w:rsid w:val="00C2324B"/>
    <w:rsid w:val="00C232B2"/>
    <w:rsid w:val="00C232CE"/>
    <w:rsid w:val="00C23333"/>
    <w:rsid w:val="00C2333C"/>
    <w:rsid w:val="00C23385"/>
    <w:rsid w:val="00C233C7"/>
    <w:rsid w:val="00C2343E"/>
    <w:rsid w:val="00C2347C"/>
    <w:rsid w:val="00C23517"/>
    <w:rsid w:val="00C23529"/>
    <w:rsid w:val="00C2352E"/>
    <w:rsid w:val="00C23567"/>
    <w:rsid w:val="00C23568"/>
    <w:rsid w:val="00C23579"/>
    <w:rsid w:val="00C2357F"/>
    <w:rsid w:val="00C23591"/>
    <w:rsid w:val="00C235A5"/>
    <w:rsid w:val="00C235AC"/>
    <w:rsid w:val="00C235BF"/>
    <w:rsid w:val="00C2362F"/>
    <w:rsid w:val="00C23672"/>
    <w:rsid w:val="00C23678"/>
    <w:rsid w:val="00C23700"/>
    <w:rsid w:val="00C23750"/>
    <w:rsid w:val="00C237A7"/>
    <w:rsid w:val="00C237B9"/>
    <w:rsid w:val="00C237D7"/>
    <w:rsid w:val="00C237F6"/>
    <w:rsid w:val="00C23837"/>
    <w:rsid w:val="00C2383A"/>
    <w:rsid w:val="00C23877"/>
    <w:rsid w:val="00C23888"/>
    <w:rsid w:val="00C238C5"/>
    <w:rsid w:val="00C238C8"/>
    <w:rsid w:val="00C238E2"/>
    <w:rsid w:val="00C2393D"/>
    <w:rsid w:val="00C23960"/>
    <w:rsid w:val="00C23998"/>
    <w:rsid w:val="00C239AD"/>
    <w:rsid w:val="00C239D2"/>
    <w:rsid w:val="00C239D4"/>
    <w:rsid w:val="00C23A95"/>
    <w:rsid w:val="00C23B1A"/>
    <w:rsid w:val="00C23BDA"/>
    <w:rsid w:val="00C23C0A"/>
    <w:rsid w:val="00C23C14"/>
    <w:rsid w:val="00C23C4B"/>
    <w:rsid w:val="00C23C80"/>
    <w:rsid w:val="00C23C8B"/>
    <w:rsid w:val="00C23CD7"/>
    <w:rsid w:val="00C23CE8"/>
    <w:rsid w:val="00C23D93"/>
    <w:rsid w:val="00C23E42"/>
    <w:rsid w:val="00C23E92"/>
    <w:rsid w:val="00C23EA4"/>
    <w:rsid w:val="00C23EFA"/>
    <w:rsid w:val="00C23F31"/>
    <w:rsid w:val="00C23F35"/>
    <w:rsid w:val="00C23F44"/>
    <w:rsid w:val="00C23F68"/>
    <w:rsid w:val="00C23F80"/>
    <w:rsid w:val="00C23FB8"/>
    <w:rsid w:val="00C23FFF"/>
    <w:rsid w:val="00C24001"/>
    <w:rsid w:val="00C2405D"/>
    <w:rsid w:val="00C2408B"/>
    <w:rsid w:val="00C240B8"/>
    <w:rsid w:val="00C241C3"/>
    <w:rsid w:val="00C2420F"/>
    <w:rsid w:val="00C24221"/>
    <w:rsid w:val="00C24257"/>
    <w:rsid w:val="00C2425D"/>
    <w:rsid w:val="00C24260"/>
    <w:rsid w:val="00C24294"/>
    <w:rsid w:val="00C242E7"/>
    <w:rsid w:val="00C24382"/>
    <w:rsid w:val="00C243A7"/>
    <w:rsid w:val="00C243BA"/>
    <w:rsid w:val="00C243BE"/>
    <w:rsid w:val="00C243D0"/>
    <w:rsid w:val="00C243EA"/>
    <w:rsid w:val="00C243EB"/>
    <w:rsid w:val="00C24406"/>
    <w:rsid w:val="00C2444A"/>
    <w:rsid w:val="00C24539"/>
    <w:rsid w:val="00C2454F"/>
    <w:rsid w:val="00C24606"/>
    <w:rsid w:val="00C24645"/>
    <w:rsid w:val="00C2467F"/>
    <w:rsid w:val="00C2471F"/>
    <w:rsid w:val="00C24741"/>
    <w:rsid w:val="00C2474F"/>
    <w:rsid w:val="00C24760"/>
    <w:rsid w:val="00C24771"/>
    <w:rsid w:val="00C24773"/>
    <w:rsid w:val="00C247C2"/>
    <w:rsid w:val="00C247E8"/>
    <w:rsid w:val="00C247FA"/>
    <w:rsid w:val="00C248A0"/>
    <w:rsid w:val="00C248C8"/>
    <w:rsid w:val="00C248D1"/>
    <w:rsid w:val="00C248FB"/>
    <w:rsid w:val="00C24932"/>
    <w:rsid w:val="00C2495D"/>
    <w:rsid w:val="00C2496D"/>
    <w:rsid w:val="00C24983"/>
    <w:rsid w:val="00C249C4"/>
    <w:rsid w:val="00C24A31"/>
    <w:rsid w:val="00C24A3B"/>
    <w:rsid w:val="00C24A81"/>
    <w:rsid w:val="00C24A9F"/>
    <w:rsid w:val="00C24AA1"/>
    <w:rsid w:val="00C24B0E"/>
    <w:rsid w:val="00C24B1F"/>
    <w:rsid w:val="00C24B30"/>
    <w:rsid w:val="00C24C36"/>
    <w:rsid w:val="00C24C5B"/>
    <w:rsid w:val="00C24C89"/>
    <w:rsid w:val="00C24CAA"/>
    <w:rsid w:val="00C24CAF"/>
    <w:rsid w:val="00C24D29"/>
    <w:rsid w:val="00C24D41"/>
    <w:rsid w:val="00C24D53"/>
    <w:rsid w:val="00C24D84"/>
    <w:rsid w:val="00C24DD8"/>
    <w:rsid w:val="00C24E1E"/>
    <w:rsid w:val="00C24E43"/>
    <w:rsid w:val="00C24E50"/>
    <w:rsid w:val="00C24E84"/>
    <w:rsid w:val="00C24E9C"/>
    <w:rsid w:val="00C24ED9"/>
    <w:rsid w:val="00C24F24"/>
    <w:rsid w:val="00C24F3E"/>
    <w:rsid w:val="00C24F40"/>
    <w:rsid w:val="00C24F5E"/>
    <w:rsid w:val="00C24F9A"/>
    <w:rsid w:val="00C24FB7"/>
    <w:rsid w:val="00C24FD6"/>
    <w:rsid w:val="00C25016"/>
    <w:rsid w:val="00C25017"/>
    <w:rsid w:val="00C2505A"/>
    <w:rsid w:val="00C25092"/>
    <w:rsid w:val="00C250C8"/>
    <w:rsid w:val="00C2510D"/>
    <w:rsid w:val="00C25115"/>
    <w:rsid w:val="00C25137"/>
    <w:rsid w:val="00C25150"/>
    <w:rsid w:val="00C2516B"/>
    <w:rsid w:val="00C251A6"/>
    <w:rsid w:val="00C251B2"/>
    <w:rsid w:val="00C251B9"/>
    <w:rsid w:val="00C251F2"/>
    <w:rsid w:val="00C2523B"/>
    <w:rsid w:val="00C25251"/>
    <w:rsid w:val="00C2533E"/>
    <w:rsid w:val="00C25389"/>
    <w:rsid w:val="00C253C6"/>
    <w:rsid w:val="00C253DC"/>
    <w:rsid w:val="00C2544B"/>
    <w:rsid w:val="00C2546B"/>
    <w:rsid w:val="00C25487"/>
    <w:rsid w:val="00C2548A"/>
    <w:rsid w:val="00C254C7"/>
    <w:rsid w:val="00C2551A"/>
    <w:rsid w:val="00C2551D"/>
    <w:rsid w:val="00C2557B"/>
    <w:rsid w:val="00C255E2"/>
    <w:rsid w:val="00C25624"/>
    <w:rsid w:val="00C2562C"/>
    <w:rsid w:val="00C25644"/>
    <w:rsid w:val="00C2565C"/>
    <w:rsid w:val="00C25675"/>
    <w:rsid w:val="00C256B4"/>
    <w:rsid w:val="00C256C0"/>
    <w:rsid w:val="00C256C2"/>
    <w:rsid w:val="00C25730"/>
    <w:rsid w:val="00C25735"/>
    <w:rsid w:val="00C25763"/>
    <w:rsid w:val="00C2576D"/>
    <w:rsid w:val="00C257F6"/>
    <w:rsid w:val="00C25824"/>
    <w:rsid w:val="00C2589F"/>
    <w:rsid w:val="00C258A7"/>
    <w:rsid w:val="00C258F3"/>
    <w:rsid w:val="00C25936"/>
    <w:rsid w:val="00C2599B"/>
    <w:rsid w:val="00C259A7"/>
    <w:rsid w:val="00C259AC"/>
    <w:rsid w:val="00C259BB"/>
    <w:rsid w:val="00C259BE"/>
    <w:rsid w:val="00C259C8"/>
    <w:rsid w:val="00C25AFD"/>
    <w:rsid w:val="00C25B13"/>
    <w:rsid w:val="00C25B6D"/>
    <w:rsid w:val="00C25B88"/>
    <w:rsid w:val="00C25BD7"/>
    <w:rsid w:val="00C25C6E"/>
    <w:rsid w:val="00C25C84"/>
    <w:rsid w:val="00C25CC3"/>
    <w:rsid w:val="00C25CE3"/>
    <w:rsid w:val="00C25D3C"/>
    <w:rsid w:val="00C25D7D"/>
    <w:rsid w:val="00C25DCF"/>
    <w:rsid w:val="00C25DDB"/>
    <w:rsid w:val="00C25DF7"/>
    <w:rsid w:val="00C25E1E"/>
    <w:rsid w:val="00C25E87"/>
    <w:rsid w:val="00C25EA0"/>
    <w:rsid w:val="00C25F08"/>
    <w:rsid w:val="00C25F16"/>
    <w:rsid w:val="00C25F62"/>
    <w:rsid w:val="00C2602A"/>
    <w:rsid w:val="00C26059"/>
    <w:rsid w:val="00C260FF"/>
    <w:rsid w:val="00C26104"/>
    <w:rsid w:val="00C2618D"/>
    <w:rsid w:val="00C26192"/>
    <w:rsid w:val="00C261FB"/>
    <w:rsid w:val="00C26242"/>
    <w:rsid w:val="00C26260"/>
    <w:rsid w:val="00C26270"/>
    <w:rsid w:val="00C262CF"/>
    <w:rsid w:val="00C2632F"/>
    <w:rsid w:val="00C26334"/>
    <w:rsid w:val="00C263E0"/>
    <w:rsid w:val="00C2640D"/>
    <w:rsid w:val="00C26472"/>
    <w:rsid w:val="00C264B1"/>
    <w:rsid w:val="00C264B4"/>
    <w:rsid w:val="00C264F0"/>
    <w:rsid w:val="00C26505"/>
    <w:rsid w:val="00C26510"/>
    <w:rsid w:val="00C26545"/>
    <w:rsid w:val="00C265D8"/>
    <w:rsid w:val="00C265FA"/>
    <w:rsid w:val="00C26614"/>
    <w:rsid w:val="00C26616"/>
    <w:rsid w:val="00C26639"/>
    <w:rsid w:val="00C2663F"/>
    <w:rsid w:val="00C26642"/>
    <w:rsid w:val="00C266AD"/>
    <w:rsid w:val="00C266F8"/>
    <w:rsid w:val="00C2671F"/>
    <w:rsid w:val="00C2672A"/>
    <w:rsid w:val="00C26751"/>
    <w:rsid w:val="00C267C1"/>
    <w:rsid w:val="00C267D3"/>
    <w:rsid w:val="00C267E0"/>
    <w:rsid w:val="00C26800"/>
    <w:rsid w:val="00C2683E"/>
    <w:rsid w:val="00C2684E"/>
    <w:rsid w:val="00C26898"/>
    <w:rsid w:val="00C268AA"/>
    <w:rsid w:val="00C268DE"/>
    <w:rsid w:val="00C268DF"/>
    <w:rsid w:val="00C268E2"/>
    <w:rsid w:val="00C26922"/>
    <w:rsid w:val="00C2697F"/>
    <w:rsid w:val="00C269A1"/>
    <w:rsid w:val="00C269CF"/>
    <w:rsid w:val="00C269E9"/>
    <w:rsid w:val="00C26A33"/>
    <w:rsid w:val="00C26A59"/>
    <w:rsid w:val="00C26AF0"/>
    <w:rsid w:val="00C26B07"/>
    <w:rsid w:val="00C26B0A"/>
    <w:rsid w:val="00C26B0F"/>
    <w:rsid w:val="00C26B65"/>
    <w:rsid w:val="00C26B79"/>
    <w:rsid w:val="00C26B92"/>
    <w:rsid w:val="00C26B96"/>
    <w:rsid w:val="00C26BB9"/>
    <w:rsid w:val="00C26BC8"/>
    <w:rsid w:val="00C26BE7"/>
    <w:rsid w:val="00C26C2C"/>
    <w:rsid w:val="00C26C87"/>
    <w:rsid w:val="00C26C99"/>
    <w:rsid w:val="00C26CBB"/>
    <w:rsid w:val="00C26CEB"/>
    <w:rsid w:val="00C26D23"/>
    <w:rsid w:val="00C26DAE"/>
    <w:rsid w:val="00C26E10"/>
    <w:rsid w:val="00C26E1F"/>
    <w:rsid w:val="00C26E6E"/>
    <w:rsid w:val="00C26EAC"/>
    <w:rsid w:val="00C26EBE"/>
    <w:rsid w:val="00C26F6B"/>
    <w:rsid w:val="00C26F6D"/>
    <w:rsid w:val="00C26FE5"/>
    <w:rsid w:val="00C27082"/>
    <w:rsid w:val="00C270E8"/>
    <w:rsid w:val="00C2711E"/>
    <w:rsid w:val="00C27142"/>
    <w:rsid w:val="00C2714C"/>
    <w:rsid w:val="00C27154"/>
    <w:rsid w:val="00C2717E"/>
    <w:rsid w:val="00C2719D"/>
    <w:rsid w:val="00C27233"/>
    <w:rsid w:val="00C27285"/>
    <w:rsid w:val="00C27289"/>
    <w:rsid w:val="00C272FD"/>
    <w:rsid w:val="00C27303"/>
    <w:rsid w:val="00C2730E"/>
    <w:rsid w:val="00C27321"/>
    <w:rsid w:val="00C2733A"/>
    <w:rsid w:val="00C27360"/>
    <w:rsid w:val="00C27384"/>
    <w:rsid w:val="00C2738C"/>
    <w:rsid w:val="00C273D0"/>
    <w:rsid w:val="00C273FE"/>
    <w:rsid w:val="00C27405"/>
    <w:rsid w:val="00C2740D"/>
    <w:rsid w:val="00C2745B"/>
    <w:rsid w:val="00C27499"/>
    <w:rsid w:val="00C274D2"/>
    <w:rsid w:val="00C27502"/>
    <w:rsid w:val="00C2751E"/>
    <w:rsid w:val="00C27555"/>
    <w:rsid w:val="00C2756F"/>
    <w:rsid w:val="00C2759F"/>
    <w:rsid w:val="00C275BD"/>
    <w:rsid w:val="00C275EB"/>
    <w:rsid w:val="00C275FD"/>
    <w:rsid w:val="00C2761A"/>
    <w:rsid w:val="00C2761E"/>
    <w:rsid w:val="00C27629"/>
    <w:rsid w:val="00C2762B"/>
    <w:rsid w:val="00C27636"/>
    <w:rsid w:val="00C2767A"/>
    <w:rsid w:val="00C276ED"/>
    <w:rsid w:val="00C2778B"/>
    <w:rsid w:val="00C27798"/>
    <w:rsid w:val="00C2788C"/>
    <w:rsid w:val="00C27891"/>
    <w:rsid w:val="00C27895"/>
    <w:rsid w:val="00C278C7"/>
    <w:rsid w:val="00C278DD"/>
    <w:rsid w:val="00C278E8"/>
    <w:rsid w:val="00C278EB"/>
    <w:rsid w:val="00C2798D"/>
    <w:rsid w:val="00C27A19"/>
    <w:rsid w:val="00C27A2A"/>
    <w:rsid w:val="00C27A4C"/>
    <w:rsid w:val="00C27A54"/>
    <w:rsid w:val="00C27A94"/>
    <w:rsid w:val="00C27AF5"/>
    <w:rsid w:val="00C27B09"/>
    <w:rsid w:val="00C27BC5"/>
    <w:rsid w:val="00C27BD1"/>
    <w:rsid w:val="00C27BDB"/>
    <w:rsid w:val="00C27C01"/>
    <w:rsid w:val="00C27C56"/>
    <w:rsid w:val="00C27CE6"/>
    <w:rsid w:val="00C27D4D"/>
    <w:rsid w:val="00C27D6B"/>
    <w:rsid w:val="00C27D8E"/>
    <w:rsid w:val="00C27DCE"/>
    <w:rsid w:val="00C27E9D"/>
    <w:rsid w:val="00C27EC1"/>
    <w:rsid w:val="00C27EF7"/>
    <w:rsid w:val="00C27F05"/>
    <w:rsid w:val="00C27F0F"/>
    <w:rsid w:val="00C27F25"/>
    <w:rsid w:val="00C27FE9"/>
    <w:rsid w:val="00C30038"/>
    <w:rsid w:val="00C30071"/>
    <w:rsid w:val="00C30082"/>
    <w:rsid w:val="00C30096"/>
    <w:rsid w:val="00C300E3"/>
    <w:rsid w:val="00C30209"/>
    <w:rsid w:val="00C30253"/>
    <w:rsid w:val="00C30266"/>
    <w:rsid w:val="00C3027A"/>
    <w:rsid w:val="00C30297"/>
    <w:rsid w:val="00C302C5"/>
    <w:rsid w:val="00C3034F"/>
    <w:rsid w:val="00C30354"/>
    <w:rsid w:val="00C3039D"/>
    <w:rsid w:val="00C303A8"/>
    <w:rsid w:val="00C303CD"/>
    <w:rsid w:val="00C303E3"/>
    <w:rsid w:val="00C3047D"/>
    <w:rsid w:val="00C304CC"/>
    <w:rsid w:val="00C304D0"/>
    <w:rsid w:val="00C30506"/>
    <w:rsid w:val="00C305C1"/>
    <w:rsid w:val="00C305F1"/>
    <w:rsid w:val="00C3061C"/>
    <w:rsid w:val="00C30651"/>
    <w:rsid w:val="00C3065F"/>
    <w:rsid w:val="00C3067A"/>
    <w:rsid w:val="00C3068D"/>
    <w:rsid w:val="00C306AF"/>
    <w:rsid w:val="00C30773"/>
    <w:rsid w:val="00C30870"/>
    <w:rsid w:val="00C3087E"/>
    <w:rsid w:val="00C308E1"/>
    <w:rsid w:val="00C3091D"/>
    <w:rsid w:val="00C30936"/>
    <w:rsid w:val="00C309AB"/>
    <w:rsid w:val="00C309BE"/>
    <w:rsid w:val="00C309CE"/>
    <w:rsid w:val="00C30A06"/>
    <w:rsid w:val="00C30A67"/>
    <w:rsid w:val="00C30B15"/>
    <w:rsid w:val="00C30B61"/>
    <w:rsid w:val="00C30BDA"/>
    <w:rsid w:val="00C30BE6"/>
    <w:rsid w:val="00C30C19"/>
    <w:rsid w:val="00C30C29"/>
    <w:rsid w:val="00C30C90"/>
    <w:rsid w:val="00C30CC6"/>
    <w:rsid w:val="00C30CDD"/>
    <w:rsid w:val="00C30CE0"/>
    <w:rsid w:val="00C30D05"/>
    <w:rsid w:val="00C30D06"/>
    <w:rsid w:val="00C30D3A"/>
    <w:rsid w:val="00C30D53"/>
    <w:rsid w:val="00C30D78"/>
    <w:rsid w:val="00C30DE4"/>
    <w:rsid w:val="00C30E4F"/>
    <w:rsid w:val="00C30E5A"/>
    <w:rsid w:val="00C30E5F"/>
    <w:rsid w:val="00C30E7B"/>
    <w:rsid w:val="00C30EBC"/>
    <w:rsid w:val="00C30ED7"/>
    <w:rsid w:val="00C30EDD"/>
    <w:rsid w:val="00C30F1D"/>
    <w:rsid w:val="00C30F2F"/>
    <w:rsid w:val="00C30F43"/>
    <w:rsid w:val="00C30F7C"/>
    <w:rsid w:val="00C30FAD"/>
    <w:rsid w:val="00C30FEA"/>
    <w:rsid w:val="00C30FF2"/>
    <w:rsid w:val="00C30FF3"/>
    <w:rsid w:val="00C31028"/>
    <w:rsid w:val="00C3103F"/>
    <w:rsid w:val="00C3104D"/>
    <w:rsid w:val="00C3106D"/>
    <w:rsid w:val="00C3108C"/>
    <w:rsid w:val="00C310B3"/>
    <w:rsid w:val="00C310E8"/>
    <w:rsid w:val="00C31100"/>
    <w:rsid w:val="00C31101"/>
    <w:rsid w:val="00C31109"/>
    <w:rsid w:val="00C31120"/>
    <w:rsid w:val="00C31123"/>
    <w:rsid w:val="00C31179"/>
    <w:rsid w:val="00C3120A"/>
    <w:rsid w:val="00C3120F"/>
    <w:rsid w:val="00C31215"/>
    <w:rsid w:val="00C31260"/>
    <w:rsid w:val="00C31273"/>
    <w:rsid w:val="00C31287"/>
    <w:rsid w:val="00C312A8"/>
    <w:rsid w:val="00C312B9"/>
    <w:rsid w:val="00C3130F"/>
    <w:rsid w:val="00C3133E"/>
    <w:rsid w:val="00C31369"/>
    <w:rsid w:val="00C313DB"/>
    <w:rsid w:val="00C313EC"/>
    <w:rsid w:val="00C31420"/>
    <w:rsid w:val="00C31437"/>
    <w:rsid w:val="00C3148E"/>
    <w:rsid w:val="00C31546"/>
    <w:rsid w:val="00C31573"/>
    <w:rsid w:val="00C315C3"/>
    <w:rsid w:val="00C315CB"/>
    <w:rsid w:val="00C315F7"/>
    <w:rsid w:val="00C31632"/>
    <w:rsid w:val="00C3163B"/>
    <w:rsid w:val="00C3164F"/>
    <w:rsid w:val="00C31650"/>
    <w:rsid w:val="00C31702"/>
    <w:rsid w:val="00C31792"/>
    <w:rsid w:val="00C3179A"/>
    <w:rsid w:val="00C317A8"/>
    <w:rsid w:val="00C317BD"/>
    <w:rsid w:val="00C317F3"/>
    <w:rsid w:val="00C3181A"/>
    <w:rsid w:val="00C31828"/>
    <w:rsid w:val="00C3184B"/>
    <w:rsid w:val="00C31852"/>
    <w:rsid w:val="00C31871"/>
    <w:rsid w:val="00C3187D"/>
    <w:rsid w:val="00C318A7"/>
    <w:rsid w:val="00C318AD"/>
    <w:rsid w:val="00C318AE"/>
    <w:rsid w:val="00C3192B"/>
    <w:rsid w:val="00C31943"/>
    <w:rsid w:val="00C31982"/>
    <w:rsid w:val="00C31997"/>
    <w:rsid w:val="00C319F2"/>
    <w:rsid w:val="00C31A06"/>
    <w:rsid w:val="00C31A5A"/>
    <w:rsid w:val="00C31AA0"/>
    <w:rsid w:val="00C31AC3"/>
    <w:rsid w:val="00C31AF0"/>
    <w:rsid w:val="00C31B03"/>
    <w:rsid w:val="00C31B2B"/>
    <w:rsid w:val="00C31B46"/>
    <w:rsid w:val="00C31B7E"/>
    <w:rsid w:val="00C31B8E"/>
    <w:rsid w:val="00C31B9F"/>
    <w:rsid w:val="00C31BCF"/>
    <w:rsid w:val="00C31BE2"/>
    <w:rsid w:val="00C31BFE"/>
    <w:rsid w:val="00C31C38"/>
    <w:rsid w:val="00C31C39"/>
    <w:rsid w:val="00C31C6B"/>
    <w:rsid w:val="00C31D51"/>
    <w:rsid w:val="00C31D70"/>
    <w:rsid w:val="00C31D79"/>
    <w:rsid w:val="00C31D7D"/>
    <w:rsid w:val="00C31DEF"/>
    <w:rsid w:val="00C31E63"/>
    <w:rsid w:val="00C31EB5"/>
    <w:rsid w:val="00C31EC9"/>
    <w:rsid w:val="00C31EFB"/>
    <w:rsid w:val="00C31F3D"/>
    <w:rsid w:val="00C31F6A"/>
    <w:rsid w:val="00C31F78"/>
    <w:rsid w:val="00C31FBF"/>
    <w:rsid w:val="00C31FE3"/>
    <w:rsid w:val="00C32023"/>
    <w:rsid w:val="00C32064"/>
    <w:rsid w:val="00C32075"/>
    <w:rsid w:val="00C32094"/>
    <w:rsid w:val="00C320A1"/>
    <w:rsid w:val="00C320A3"/>
    <w:rsid w:val="00C320AF"/>
    <w:rsid w:val="00C320DE"/>
    <w:rsid w:val="00C32101"/>
    <w:rsid w:val="00C3213B"/>
    <w:rsid w:val="00C3214D"/>
    <w:rsid w:val="00C32168"/>
    <w:rsid w:val="00C3219D"/>
    <w:rsid w:val="00C321CB"/>
    <w:rsid w:val="00C321EF"/>
    <w:rsid w:val="00C3222F"/>
    <w:rsid w:val="00C32290"/>
    <w:rsid w:val="00C322C8"/>
    <w:rsid w:val="00C32357"/>
    <w:rsid w:val="00C3240D"/>
    <w:rsid w:val="00C3240E"/>
    <w:rsid w:val="00C32471"/>
    <w:rsid w:val="00C32474"/>
    <w:rsid w:val="00C3248E"/>
    <w:rsid w:val="00C32513"/>
    <w:rsid w:val="00C3251C"/>
    <w:rsid w:val="00C32538"/>
    <w:rsid w:val="00C32546"/>
    <w:rsid w:val="00C32548"/>
    <w:rsid w:val="00C3259D"/>
    <w:rsid w:val="00C325BE"/>
    <w:rsid w:val="00C325CF"/>
    <w:rsid w:val="00C325D0"/>
    <w:rsid w:val="00C325D6"/>
    <w:rsid w:val="00C325F1"/>
    <w:rsid w:val="00C32623"/>
    <w:rsid w:val="00C32650"/>
    <w:rsid w:val="00C32669"/>
    <w:rsid w:val="00C32697"/>
    <w:rsid w:val="00C326F4"/>
    <w:rsid w:val="00C32770"/>
    <w:rsid w:val="00C32791"/>
    <w:rsid w:val="00C3279B"/>
    <w:rsid w:val="00C327B5"/>
    <w:rsid w:val="00C327DC"/>
    <w:rsid w:val="00C3283F"/>
    <w:rsid w:val="00C3284E"/>
    <w:rsid w:val="00C328D1"/>
    <w:rsid w:val="00C3293E"/>
    <w:rsid w:val="00C3297C"/>
    <w:rsid w:val="00C32A0F"/>
    <w:rsid w:val="00C32ACC"/>
    <w:rsid w:val="00C32ACE"/>
    <w:rsid w:val="00C32AE4"/>
    <w:rsid w:val="00C32AF0"/>
    <w:rsid w:val="00C32B07"/>
    <w:rsid w:val="00C32B56"/>
    <w:rsid w:val="00C32B68"/>
    <w:rsid w:val="00C32B72"/>
    <w:rsid w:val="00C32B9A"/>
    <w:rsid w:val="00C32BC1"/>
    <w:rsid w:val="00C32BE2"/>
    <w:rsid w:val="00C32C06"/>
    <w:rsid w:val="00C32C30"/>
    <w:rsid w:val="00C32C41"/>
    <w:rsid w:val="00C32CC0"/>
    <w:rsid w:val="00C32CE0"/>
    <w:rsid w:val="00C32D3C"/>
    <w:rsid w:val="00C32E24"/>
    <w:rsid w:val="00C32E73"/>
    <w:rsid w:val="00C32E81"/>
    <w:rsid w:val="00C32EE1"/>
    <w:rsid w:val="00C32F0D"/>
    <w:rsid w:val="00C32F2A"/>
    <w:rsid w:val="00C32F83"/>
    <w:rsid w:val="00C32FED"/>
    <w:rsid w:val="00C33015"/>
    <w:rsid w:val="00C3302B"/>
    <w:rsid w:val="00C33062"/>
    <w:rsid w:val="00C3309A"/>
    <w:rsid w:val="00C330ED"/>
    <w:rsid w:val="00C33124"/>
    <w:rsid w:val="00C33169"/>
    <w:rsid w:val="00C3317D"/>
    <w:rsid w:val="00C33193"/>
    <w:rsid w:val="00C33195"/>
    <w:rsid w:val="00C331A4"/>
    <w:rsid w:val="00C331C6"/>
    <w:rsid w:val="00C33245"/>
    <w:rsid w:val="00C33249"/>
    <w:rsid w:val="00C3324F"/>
    <w:rsid w:val="00C3325C"/>
    <w:rsid w:val="00C3328D"/>
    <w:rsid w:val="00C33294"/>
    <w:rsid w:val="00C332D7"/>
    <w:rsid w:val="00C332FB"/>
    <w:rsid w:val="00C33318"/>
    <w:rsid w:val="00C333B8"/>
    <w:rsid w:val="00C333E5"/>
    <w:rsid w:val="00C333F4"/>
    <w:rsid w:val="00C33411"/>
    <w:rsid w:val="00C3343F"/>
    <w:rsid w:val="00C33465"/>
    <w:rsid w:val="00C33487"/>
    <w:rsid w:val="00C334A3"/>
    <w:rsid w:val="00C334E8"/>
    <w:rsid w:val="00C334F0"/>
    <w:rsid w:val="00C33505"/>
    <w:rsid w:val="00C3352A"/>
    <w:rsid w:val="00C335F7"/>
    <w:rsid w:val="00C33663"/>
    <w:rsid w:val="00C3366E"/>
    <w:rsid w:val="00C336B9"/>
    <w:rsid w:val="00C336CA"/>
    <w:rsid w:val="00C33735"/>
    <w:rsid w:val="00C33743"/>
    <w:rsid w:val="00C3377C"/>
    <w:rsid w:val="00C337E6"/>
    <w:rsid w:val="00C337F6"/>
    <w:rsid w:val="00C33812"/>
    <w:rsid w:val="00C33845"/>
    <w:rsid w:val="00C33847"/>
    <w:rsid w:val="00C3385A"/>
    <w:rsid w:val="00C338AC"/>
    <w:rsid w:val="00C338B9"/>
    <w:rsid w:val="00C338C4"/>
    <w:rsid w:val="00C338D7"/>
    <w:rsid w:val="00C338D8"/>
    <w:rsid w:val="00C338E4"/>
    <w:rsid w:val="00C3391C"/>
    <w:rsid w:val="00C3395C"/>
    <w:rsid w:val="00C339CC"/>
    <w:rsid w:val="00C339CD"/>
    <w:rsid w:val="00C339F4"/>
    <w:rsid w:val="00C33A1D"/>
    <w:rsid w:val="00C33A5D"/>
    <w:rsid w:val="00C33A78"/>
    <w:rsid w:val="00C33A95"/>
    <w:rsid w:val="00C33B0E"/>
    <w:rsid w:val="00C33B2E"/>
    <w:rsid w:val="00C33BFF"/>
    <w:rsid w:val="00C33C32"/>
    <w:rsid w:val="00C33CBD"/>
    <w:rsid w:val="00C33D65"/>
    <w:rsid w:val="00C33D80"/>
    <w:rsid w:val="00C33D98"/>
    <w:rsid w:val="00C33DBF"/>
    <w:rsid w:val="00C33E7E"/>
    <w:rsid w:val="00C33E9A"/>
    <w:rsid w:val="00C33EC3"/>
    <w:rsid w:val="00C33ED0"/>
    <w:rsid w:val="00C33F42"/>
    <w:rsid w:val="00C33FD6"/>
    <w:rsid w:val="00C33FFE"/>
    <w:rsid w:val="00C34009"/>
    <w:rsid w:val="00C34049"/>
    <w:rsid w:val="00C3406F"/>
    <w:rsid w:val="00C3408C"/>
    <w:rsid w:val="00C3409B"/>
    <w:rsid w:val="00C340C4"/>
    <w:rsid w:val="00C3416C"/>
    <w:rsid w:val="00C34177"/>
    <w:rsid w:val="00C341A8"/>
    <w:rsid w:val="00C3421A"/>
    <w:rsid w:val="00C34234"/>
    <w:rsid w:val="00C34249"/>
    <w:rsid w:val="00C34256"/>
    <w:rsid w:val="00C34275"/>
    <w:rsid w:val="00C342C6"/>
    <w:rsid w:val="00C342CC"/>
    <w:rsid w:val="00C342D1"/>
    <w:rsid w:val="00C342F4"/>
    <w:rsid w:val="00C34323"/>
    <w:rsid w:val="00C343C7"/>
    <w:rsid w:val="00C343D9"/>
    <w:rsid w:val="00C343DA"/>
    <w:rsid w:val="00C343E4"/>
    <w:rsid w:val="00C343F3"/>
    <w:rsid w:val="00C3440F"/>
    <w:rsid w:val="00C3441F"/>
    <w:rsid w:val="00C34467"/>
    <w:rsid w:val="00C34475"/>
    <w:rsid w:val="00C344C7"/>
    <w:rsid w:val="00C344CF"/>
    <w:rsid w:val="00C344DE"/>
    <w:rsid w:val="00C34609"/>
    <w:rsid w:val="00C34624"/>
    <w:rsid w:val="00C3462E"/>
    <w:rsid w:val="00C3464F"/>
    <w:rsid w:val="00C3465A"/>
    <w:rsid w:val="00C34675"/>
    <w:rsid w:val="00C3467F"/>
    <w:rsid w:val="00C34690"/>
    <w:rsid w:val="00C346CD"/>
    <w:rsid w:val="00C3474E"/>
    <w:rsid w:val="00C347D7"/>
    <w:rsid w:val="00C347FF"/>
    <w:rsid w:val="00C34832"/>
    <w:rsid w:val="00C34882"/>
    <w:rsid w:val="00C3489B"/>
    <w:rsid w:val="00C348A6"/>
    <w:rsid w:val="00C348F5"/>
    <w:rsid w:val="00C34935"/>
    <w:rsid w:val="00C3494B"/>
    <w:rsid w:val="00C349BC"/>
    <w:rsid w:val="00C349CE"/>
    <w:rsid w:val="00C349EB"/>
    <w:rsid w:val="00C34A1A"/>
    <w:rsid w:val="00C34A96"/>
    <w:rsid w:val="00C34B04"/>
    <w:rsid w:val="00C34B0B"/>
    <w:rsid w:val="00C34B13"/>
    <w:rsid w:val="00C34B36"/>
    <w:rsid w:val="00C34B75"/>
    <w:rsid w:val="00C34BA6"/>
    <w:rsid w:val="00C34BE9"/>
    <w:rsid w:val="00C34C08"/>
    <w:rsid w:val="00C34C69"/>
    <w:rsid w:val="00C34CB5"/>
    <w:rsid w:val="00C34D4C"/>
    <w:rsid w:val="00C34D81"/>
    <w:rsid w:val="00C34D89"/>
    <w:rsid w:val="00C34D8A"/>
    <w:rsid w:val="00C34D99"/>
    <w:rsid w:val="00C34DB8"/>
    <w:rsid w:val="00C34DF5"/>
    <w:rsid w:val="00C34E19"/>
    <w:rsid w:val="00C34E2E"/>
    <w:rsid w:val="00C34E49"/>
    <w:rsid w:val="00C34E5A"/>
    <w:rsid w:val="00C34EB6"/>
    <w:rsid w:val="00C34F73"/>
    <w:rsid w:val="00C34F9A"/>
    <w:rsid w:val="00C34FA2"/>
    <w:rsid w:val="00C34FB2"/>
    <w:rsid w:val="00C34FDE"/>
    <w:rsid w:val="00C35006"/>
    <w:rsid w:val="00C35030"/>
    <w:rsid w:val="00C3507F"/>
    <w:rsid w:val="00C350B4"/>
    <w:rsid w:val="00C350CA"/>
    <w:rsid w:val="00C350D7"/>
    <w:rsid w:val="00C35129"/>
    <w:rsid w:val="00C3512C"/>
    <w:rsid w:val="00C35177"/>
    <w:rsid w:val="00C3518A"/>
    <w:rsid w:val="00C351A2"/>
    <w:rsid w:val="00C3520F"/>
    <w:rsid w:val="00C35215"/>
    <w:rsid w:val="00C35241"/>
    <w:rsid w:val="00C35253"/>
    <w:rsid w:val="00C35282"/>
    <w:rsid w:val="00C35290"/>
    <w:rsid w:val="00C35295"/>
    <w:rsid w:val="00C3529D"/>
    <w:rsid w:val="00C3534C"/>
    <w:rsid w:val="00C353C1"/>
    <w:rsid w:val="00C35408"/>
    <w:rsid w:val="00C3549E"/>
    <w:rsid w:val="00C354BD"/>
    <w:rsid w:val="00C354F4"/>
    <w:rsid w:val="00C35523"/>
    <w:rsid w:val="00C3555D"/>
    <w:rsid w:val="00C3557B"/>
    <w:rsid w:val="00C355AE"/>
    <w:rsid w:val="00C355FE"/>
    <w:rsid w:val="00C35629"/>
    <w:rsid w:val="00C35683"/>
    <w:rsid w:val="00C3568E"/>
    <w:rsid w:val="00C35724"/>
    <w:rsid w:val="00C35787"/>
    <w:rsid w:val="00C357E1"/>
    <w:rsid w:val="00C357E2"/>
    <w:rsid w:val="00C357E5"/>
    <w:rsid w:val="00C357FB"/>
    <w:rsid w:val="00C3581F"/>
    <w:rsid w:val="00C35837"/>
    <w:rsid w:val="00C35868"/>
    <w:rsid w:val="00C3591A"/>
    <w:rsid w:val="00C35975"/>
    <w:rsid w:val="00C35982"/>
    <w:rsid w:val="00C359E0"/>
    <w:rsid w:val="00C35A41"/>
    <w:rsid w:val="00C35A52"/>
    <w:rsid w:val="00C35A6C"/>
    <w:rsid w:val="00C35AC0"/>
    <w:rsid w:val="00C35AFF"/>
    <w:rsid w:val="00C35B24"/>
    <w:rsid w:val="00C35BBE"/>
    <w:rsid w:val="00C35BD0"/>
    <w:rsid w:val="00C35BE5"/>
    <w:rsid w:val="00C35BEE"/>
    <w:rsid w:val="00C35C2B"/>
    <w:rsid w:val="00C35C41"/>
    <w:rsid w:val="00C35C59"/>
    <w:rsid w:val="00C35C80"/>
    <w:rsid w:val="00C35CA1"/>
    <w:rsid w:val="00C35CA9"/>
    <w:rsid w:val="00C35CAC"/>
    <w:rsid w:val="00C35D07"/>
    <w:rsid w:val="00C35D91"/>
    <w:rsid w:val="00C35DD4"/>
    <w:rsid w:val="00C35E6C"/>
    <w:rsid w:val="00C35F0A"/>
    <w:rsid w:val="00C35F35"/>
    <w:rsid w:val="00C35F54"/>
    <w:rsid w:val="00C35F6F"/>
    <w:rsid w:val="00C35FB6"/>
    <w:rsid w:val="00C35FB9"/>
    <w:rsid w:val="00C35FBA"/>
    <w:rsid w:val="00C36052"/>
    <w:rsid w:val="00C360AB"/>
    <w:rsid w:val="00C361AD"/>
    <w:rsid w:val="00C361B9"/>
    <w:rsid w:val="00C361F4"/>
    <w:rsid w:val="00C36273"/>
    <w:rsid w:val="00C36278"/>
    <w:rsid w:val="00C362C2"/>
    <w:rsid w:val="00C3633E"/>
    <w:rsid w:val="00C363CA"/>
    <w:rsid w:val="00C363D5"/>
    <w:rsid w:val="00C363E5"/>
    <w:rsid w:val="00C3648D"/>
    <w:rsid w:val="00C3649E"/>
    <w:rsid w:val="00C364BA"/>
    <w:rsid w:val="00C364FC"/>
    <w:rsid w:val="00C36540"/>
    <w:rsid w:val="00C36550"/>
    <w:rsid w:val="00C36567"/>
    <w:rsid w:val="00C365AB"/>
    <w:rsid w:val="00C365F7"/>
    <w:rsid w:val="00C36645"/>
    <w:rsid w:val="00C366B3"/>
    <w:rsid w:val="00C36704"/>
    <w:rsid w:val="00C36730"/>
    <w:rsid w:val="00C36764"/>
    <w:rsid w:val="00C36770"/>
    <w:rsid w:val="00C367CC"/>
    <w:rsid w:val="00C36836"/>
    <w:rsid w:val="00C36875"/>
    <w:rsid w:val="00C3688E"/>
    <w:rsid w:val="00C3688F"/>
    <w:rsid w:val="00C36890"/>
    <w:rsid w:val="00C368F1"/>
    <w:rsid w:val="00C3690C"/>
    <w:rsid w:val="00C3692A"/>
    <w:rsid w:val="00C36969"/>
    <w:rsid w:val="00C36994"/>
    <w:rsid w:val="00C36A03"/>
    <w:rsid w:val="00C36A1A"/>
    <w:rsid w:val="00C36A39"/>
    <w:rsid w:val="00C36AA5"/>
    <w:rsid w:val="00C36AC2"/>
    <w:rsid w:val="00C36AE5"/>
    <w:rsid w:val="00C36AEE"/>
    <w:rsid w:val="00C36AFF"/>
    <w:rsid w:val="00C36B12"/>
    <w:rsid w:val="00C36B6D"/>
    <w:rsid w:val="00C36B6E"/>
    <w:rsid w:val="00C36BC8"/>
    <w:rsid w:val="00C36BD9"/>
    <w:rsid w:val="00C36C9F"/>
    <w:rsid w:val="00C36CA1"/>
    <w:rsid w:val="00C36CAC"/>
    <w:rsid w:val="00C36D2E"/>
    <w:rsid w:val="00C36D35"/>
    <w:rsid w:val="00C36D38"/>
    <w:rsid w:val="00C36D5E"/>
    <w:rsid w:val="00C36D7F"/>
    <w:rsid w:val="00C36DA3"/>
    <w:rsid w:val="00C36DBF"/>
    <w:rsid w:val="00C36DC3"/>
    <w:rsid w:val="00C36E6D"/>
    <w:rsid w:val="00C36F3B"/>
    <w:rsid w:val="00C36F5A"/>
    <w:rsid w:val="00C36FA3"/>
    <w:rsid w:val="00C36FC3"/>
    <w:rsid w:val="00C36FEA"/>
    <w:rsid w:val="00C37039"/>
    <w:rsid w:val="00C3705D"/>
    <w:rsid w:val="00C3707A"/>
    <w:rsid w:val="00C3707B"/>
    <w:rsid w:val="00C370B5"/>
    <w:rsid w:val="00C370B7"/>
    <w:rsid w:val="00C370FC"/>
    <w:rsid w:val="00C37123"/>
    <w:rsid w:val="00C37137"/>
    <w:rsid w:val="00C3714A"/>
    <w:rsid w:val="00C37157"/>
    <w:rsid w:val="00C37233"/>
    <w:rsid w:val="00C37234"/>
    <w:rsid w:val="00C3726C"/>
    <w:rsid w:val="00C3726E"/>
    <w:rsid w:val="00C372A2"/>
    <w:rsid w:val="00C372E2"/>
    <w:rsid w:val="00C37352"/>
    <w:rsid w:val="00C37368"/>
    <w:rsid w:val="00C37380"/>
    <w:rsid w:val="00C373D5"/>
    <w:rsid w:val="00C373F8"/>
    <w:rsid w:val="00C37435"/>
    <w:rsid w:val="00C3743B"/>
    <w:rsid w:val="00C37453"/>
    <w:rsid w:val="00C374AE"/>
    <w:rsid w:val="00C3750A"/>
    <w:rsid w:val="00C37517"/>
    <w:rsid w:val="00C37545"/>
    <w:rsid w:val="00C37554"/>
    <w:rsid w:val="00C375A8"/>
    <w:rsid w:val="00C375A9"/>
    <w:rsid w:val="00C37612"/>
    <w:rsid w:val="00C3762E"/>
    <w:rsid w:val="00C3764B"/>
    <w:rsid w:val="00C3764D"/>
    <w:rsid w:val="00C37731"/>
    <w:rsid w:val="00C37793"/>
    <w:rsid w:val="00C377CA"/>
    <w:rsid w:val="00C3782B"/>
    <w:rsid w:val="00C3783D"/>
    <w:rsid w:val="00C37840"/>
    <w:rsid w:val="00C37886"/>
    <w:rsid w:val="00C3789E"/>
    <w:rsid w:val="00C37901"/>
    <w:rsid w:val="00C37968"/>
    <w:rsid w:val="00C3799A"/>
    <w:rsid w:val="00C37A0A"/>
    <w:rsid w:val="00C37A32"/>
    <w:rsid w:val="00C37A37"/>
    <w:rsid w:val="00C37AC5"/>
    <w:rsid w:val="00C37ACA"/>
    <w:rsid w:val="00C37AD5"/>
    <w:rsid w:val="00C37B21"/>
    <w:rsid w:val="00C37BBA"/>
    <w:rsid w:val="00C37BCC"/>
    <w:rsid w:val="00C37C84"/>
    <w:rsid w:val="00C37CDD"/>
    <w:rsid w:val="00C37D07"/>
    <w:rsid w:val="00C37D89"/>
    <w:rsid w:val="00C37D8F"/>
    <w:rsid w:val="00C37D96"/>
    <w:rsid w:val="00C37E39"/>
    <w:rsid w:val="00C37E3C"/>
    <w:rsid w:val="00C37E54"/>
    <w:rsid w:val="00C37E70"/>
    <w:rsid w:val="00C37E9F"/>
    <w:rsid w:val="00C37F15"/>
    <w:rsid w:val="00C37F1C"/>
    <w:rsid w:val="00C37F37"/>
    <w:rsid w:val="00C37F79"/>
    <w:rsid w:val="00C4003E"/>
    <w:rsid w:val="00C40058"/>
    <w:rsid w:val="00C40095"/>
    <w:rsid w:val="00C400B2"/>
    <w:rsid w:val="00C400D2"/>
    <w:rsid w:val="00C400EC"/>
    <w:rsid w:val="00C40100"/>
    <w:rsid w:val="00C4010F"/>
    <w:rsid w:val="00C4015E"/>
    <w:rsid w:val="00C40178"/>
    <w:rsid w:val="00C4017B"/>
    <w:rsid w:val="00C40184"/>
    <w:rsid w:val="00C402E3"/>
    <w:rsid w:val="00C4031A"/>
    <w:rsid w:val="00C40339"/>
    <w:rsid w:val="00C4034A"/>
    <w:rsid w:val="00C40397"/>
    <w:rsid w:val="00C403DA"/>
    <w:rsid w:val="00C403E9"/>
    <w:rsid w:val="00C40407"/>
    <w:rsid w:val="00C4045D"/>
    <w:rsid w:val="00C4047C"/>
    <w:rsid w:val="00C4047E"/>
    <w:rsid w:val="00C404A5"/>
    <w:rsid w:val="00C404E6"/>
    <w:rsid w:val="00C404EF"/>
    <w:rsid w:val="00C4055F"/>
    <w:rsid w:val="00C405A0"/>
    <w:rsid w:val="00C405AE"/>
    <w:rsid w:val="00C405E6"/>
    <w:rsid w:val="00C4065B"/>
    <w:rsid w:val="00C40673"/>
    <w:rsid w:val="00C4069F"/>
    <w:rsid w:val="00C40720"/>
    <w:rsid w:val="00C40723"/>
    <w:rsid w:val="00C4075A"/>
    <w:rsid w:val="00C407B6"/>
    <w:rsid w:val="00C40862"/>
    <w:rsid w:val="00C40876"/>
    <w:rsid w:val="00C408B8"/>
    <w:rsid w:val="00C408BA"/>
    <w:rsid w:val="00C408C8"/>
    <w:rsid w:val="00C408F6"/>
    <w:rsid w:val="00C40903"/>
    <w:rsid w:val="00C4090D"/>
    <w:rsid w:val="00C40934"/>
    <w:rsid w:val="00C4095F"/>
    <w:rsid w:val="00C40976"/>
    <w:rsid w:val="00C4099E"/>
    <w:rsid w:val="00C409D1"/>
    <w:rsid w:val="00C409DD"/>
    <w:rsid w:val="00C40A4D"/>
    <w:rsid w:val="00C40A9B"/>
    <w:rsid w:val="00C40ACE"/>
    <w:rsid w:val="00C40ADE"/>
    <w:rsid w:val="00C40AFE"/>
    <w:rsid w:val="00C40B0B"/>
    <w:rsid w:val="00C40B16"/>
    <w:rsid w:val="00C40B2C"/>
    <w:rsid w:val="00C40BBB"/>
    <w:rsid w:val="00C40C24"/>
    <w:rsid w:val="00C40C2F"/>
    <w:rsid w:val="00C40C4E"/>
    <w:rsid w:val="00C40C8E"/>
    <w:rsid w:val="00C40CC3"/>
    <w:rsid w:val="00C40CE2"/>
    <w:rsid w:val="00C40D08"/>
    <w:rsid w:val="00C40D2A"/>
    <w:rsid w:val="00C40D36"/>
    <w:rsid w:val="00C40D3F"/>
    <w:rsid w:val="00C40DBD"/>
    <w:rsid w:val="00C40DD8"/>
    <w:rsid w:val="00C40E02"/>
    <w:rsid w:val="00C40E2C"/>
    <w:rsid w:val="00C40F04"/>
    <w:rsid w:val="00C40F72"/>
    <w:rsid w:val="00C40FF2"/>
    <w:rsid w:val="00C41071"/>
    <w:rsid w:val="00C41106"/>
    <w:rsid w:val="00C41141"/>
    <w:rsid w:val="00C4117F"/>
    <w:rsid w:val="00C411B0"/>
    <w:rsid w:val="00C411BC"/>
    <w:rsid w:val="00C412A7"/>
    <w:rsid w:val="00C412BE"/>
    <w:rsid w:val="00C412DD"/>
    <w:rsid w:val="00C41312"/>
    <w:rsid w:val="00C41317"/>
    <w:rsid w:val="00C41347"/>
    <w:rsid w:val="00C41360"/>
    <w:rsid w:val="00C41362"/>
    <w:rsid w:val="00C4136B"/>
    <w:rsid w:val="00C41386"/>
    <w:rsid w:val="00C41392"/>
    <w:rsid w:val="00C41485"/>
    <w:rsid w:val="00C414BD"/>
    <w:rsid w:val="00C414CF"/>
    <w:rsid w:val="00C415D3"/>
    <w:rsid w:val="00C415FB"/>
    <w:rsid w:val="00C41666"/>
    <w:rsid w:val="00C4168F"/>
    <w:rsid w:val="00C416B1"/>
    <w:rsid w:val="00C416F6"/>
    <w:rsid w:val="00C41707"/>
    <w:rsid w:val="00C41759"/>
    <w:rsid w:val="00C41763"/>
    <w:rsid w:val="00C41848"/>
    <w:rsid w:val="00C41871"/>
    <w:rsid w:val="00C418A0"/>
    <w:rsid w:val="00C418A3"/>
    <w:rsid w:val="00C41974"/>
    <w:rsid w:val="00C41985"/>
    <w:rsid w:val="00C4198D"/>
    <w:rsid w:val="00C419D5"/>
    <w:rsid w:val="00C419E4"/>
    <w:rsid w:val="00C41A39"/>
    <w:rsid w:val="00C41A5F"/>
    <w:rsid w:val="00C41AB2"/>
    <w:rsid w:val="00C41ABB"/>
    <w:rsid w:val="00C41AEE"/>
    <w:rsid w:val="00C41AF8"/>
    <w:rsid w:val="00C41AFD"/>
    <w:rsid w:val="00C41B8F"/>
    <w:rsid w:val="00C41BC6"/>
    <w:rsid w:val="00C41BEF"/>
    <w:rsid w:val="00C41C29"/>
    <w:rsid w:val="00C41C3E"/>
    <w:rsid w:val="00C41C42"/>
    <w:rsid w:val="00C41C5D"/>
    <w:rsid w:val="00C41CFB"/>
    <w:rsid w:val="00C41DEE"/>
    <w:rsid w:val="00C41DFE"/>
    <w:rsid w:val="00C41E5A"/>
    <w:rsid w:val="00C41E66"/>
    <w:rsid w:val="00C41EB4"/>
    <w:rsid w:val="00C41F0B"/>
    <w:rsid w:val="00C41F19"/>
    <w:rsid w:val="00C41F3E"/>
    <w:rsid w:val="00C41F44"/>
    <w:rsid w:val="00C41F8B"/>
    <w:rsid w:val="00C41FA3"/>
    <w:rsid w:val="00C41FAA"/>
    <w:rsid w:val="00C42012"/>
    <w:rsid w:val="00C42069"/>
    <w:rsid w:val="00C42071"/>
    <w:rsid w:val="00C42073"/>
    <w:rsid w:val="00C420FB"/>
    <w:rsid w:val="00C4211C"/>
    <w:rsid w:val="00C42152"/>
    <w:rsid w:val="00C421C9"/>
    <w:rsid w:val="00C42289"/>
    <w:rsid w:val="00C42302"/>
    <w:rsid w:val="00C42362"/>
    <w:rsid w:val="00C42372"/>
    <w:rsid w:val="00C4237D"/>
    <w:rsid w:val="00C42463"/>
    <w:rsid w:val="00C42476"/>
    <w:rsid w:val="00C424FA"/>
    <w:rsid w:val="00C42524"/>
    <w:rsid w:val="00C4253B"/>
    <w:rsid w:val="00C4253D"/>
    <w:rsid w:val="00C42563"/>
    <w:rsid w:val="00C42587"/>
    <w:rsid w:val="00C425A6"/>
    <w:rsid w:val="00C425CC"/>
    <w:rsid w:val="00C42656"/>
    <w:rsid w:val="00C4272D"/>
    <w:rsid w:val="00C42757"/>
    <w:rsid w:val="00C42780"/>
    <w:rsid w:val="00C4279D"/>
    <w:rsid w:val="00C427F0"/>
    <w:rsid w:val="00C427FF"/>
    <w:rsid w:val="00C42829"/>
    <w:rsid w:val="00C428B5"/>
    <w:rsid w:val="00C428C9"/>
    <w:rsid w:val="00C428D8"/>
    <w:rsid w:val="00C4292F"/>
    <w:rsid w:val="00C4297B"/>
    <w:rsid w:val="00C429F0"/>
    <w:rsid w:val="00C42A30"/>
    <w:rsid w:val="00C42A70"/>
    <w:rsid w:val="00C42A7D"/>
    <w:rsid w:val="00C42B49"/>
    <w:rsid w:val="00C42B5A"/>
    <w:rsid w:val="00C42B5E"/>
    <w:rsid w:val="00C42B7D"/>
    <w:rsid w:val="00C42BD3"/>
    <w:rsid w:val="00C42BDC"/>
    <w:rsid w:val="00C42BE8"/>
    <w:rsid w:val="00C42C2D"/>
    <w:rsid w:val="00C42C40"/>
    <w:rsid w:val="00C42C87"/>
    <w:rsid w:val="00C42CAE"/>
    <w:rsid w:val="00C42CE9"/>
    <w:rsid w:val="00C42D6A"/>
    <w:rsid w:val="00C42DB2"/>
    <w:rsid w:val="00C42E10"/>
    <w:rsid w:val="00C42E49"/>
    <w:rsid w:val="00C42E93"/>
    <w:rsid w:val="00C42EB0"/>
    <w:rsid w:val="00C42EB1"/>
    <w:rsid w:val="00C42EED"/>
    <w:rsid w:val="00C42F3E"/>
    <w:rsid w:val="00C42F51"/>
    <w:rsid w:val="00C42F83"/>
    <w:rsid w:val="00C42FA5"/>
    <w:rsid w:val="00C42FB1"/>
    <w:rsid w:val="00C42FCD"/>
    <w:rsid w:val="00C42FE9"/>
    <w:rsid w:val="00C43004"/>
    <w:rsid w:val="00C4301D"/>
    <w:rsid w:val="00C43049"/>
    <w:rsid w:val="00C43055"/>
    <w:rsid w:val="00C430C9"/>
    <w:rsid w:val="00C4312F"/>
    <w:rsid w:val="00C4317A"/>
    <w:rsid w:val="00C4318C"/>
    <w:rsid w:val="00C431B1"/>
    <w:rsid w:val="00C431FF"/>
    <w:rsid w:val="00C4324C"/>
    <w:rsid w:val="00C4328C"/>
    <w:rsid w:val="00C432AA"/>
    <w:rsid w:val="00C433DF"/>
    <w:rsid w:val="00C43418"/>
    <w:rsid w:val="00C4345D"/>
    <w:rsid w:val="00C43462"/>
    <w:rsid w:val="00C434CD"/>
    <w:rsid w:val="00C434E9"/>
    <w:rsid w:val="00C4356E"/>
    <w:rsid w:val="00C435B6"/>
    <w:rsid w:val="00C43621"/>
    <w:rsid w:val="00C4363E"/>
    <w:rsid w:val="00C43654"/>
    <w:rsid w:val="00C4367B"/>
    <w:rsid w:val="00C436A8"/>
    <w:rsid w:val="00C436B2"/>
    <w:rsid w:val="00C436CF"/>
    <w:rsid w:val="00C436F8"/>
    <w:rsid w:val="00C4383C"/>
    <w:rsid w:val="00C43874"/>
    <w:rsid w:val="00C438E8"/>
    <w:rsid w:val="00C4395D"/>
    <w:rsid w:val="00C43979"/>
    <w:rsid w:val="00C439B2"/>
    <w:rsid w:val="00C439B4"/>
    <w:rsid w:val="00C439B5"/>
    <w:rsid w:val="00C43AED"/>
    <w:rsid w:val="00C43B6D"/>
    <w:rsid w:val="00C43B80"/>
    <w:rsid w:val="00C43BAD"/>
    <w:rsid w:val="00C43BB1"/>
    <w:rsid w:val="00C43BEB"/>
    <w:rsid w:val="00C43C16"/>
    <w:rsid w:val="00C43C5D"/>
    <w:rsid w:val="00C43C8F"/>
    <w:rsid w:val="00C43CBE"/>
    <w:rsid w:val="00C43CCA"/>
    <w:rsid w:val="00C43D02"/>
    <w:rsid w:val="00C43D0B"/>
    <w:rsid w:val="00C43D63"/>
    <w:rsid w:val="00C43D65"/>
    <w:rsid w:val="00C43DBD"/>
    <w:rsid w:val="00C43E0B"/>
    <w:rsid w:val="00C43E58"/>
    <w:rsid w:val="00C43E68"/>
    <w:rsid w:val="00C43EF3"/>
    <w:rsid w:val="00C43F32"/>
    <w:rsid w:val="00C43F36"/>
    <w:rsid w:val="00C43F7D"/>
    <w:rsid w:val="00C43FDF"/>
    <w:rsid w:val="00C43FF0"/>
    <w:rsid w:val="00C43FF9"/>
    <w:rsid w:val="00C43FFF"/>
    <w:rsid w:val="00C4401A"/>
    <w:rsid w:val="00C44020"/>
    <w:rsid w:val="00C440E0"/>
    <w:rsid w:val="00C440EB"/>
    <w:rsid w:val="00C440EE"/>
    <w:rsid w:val="00C4414C"/>
    <w:rsid w:val="00C44170"/>
    <w:rsid w:val="00C44198"/>
    <w:rsid w:val="00C441A0"/>
    <w:rsid w:val="00C441A8"/>
    <w:rsid w:val="00C441CB"/>
    <w:rsid w:val="00C441E7"/>
    <w:rsid w:val="00C4420A"/>
    <w:rsid w:val="00C44216"/>
    <w:rsid w:val="00C44242"/>
    <w:rsid w:val="00C44260"/>
    <w:rsid w:val="00C44284"/>
    <w:rsid w:val="00C442A7"/>
    <w:rsid w:val="00C442CA"/>
    <w:rsid w:val="00C442F4"/>
    <w:rsid w:val="00C44317"/>
    <w:rsid w:val="00C44332"/>
    <w:rsid w:val="00C443A4"/>
    <w:rsid w:val="00C444A6"/>
    <w:rsid w:val="00C444CA"/>
    <w:rsid w:val="00C44562"/>
    <w:rsid w:val="00C44566"/>
    <w:rsid w:val="00C445CC"/>
    <w:rsid w:val="00C445FA"/>
    <w:rsid w:val="00C44623"/>
    <w:rsid w:val="00C44677"/>
    <w:rsid w:val="00C446AC"/>
    <w:rsid w:val="00C446F2"/>
    <w:rsid w:val="00C44709"/>
    <w:rsid w:val="00C4470A"/>
    <w:rsid w:val="00C44771"/>
    <w:rsid w:val="00C447D0"/>
    <w:rsid w:val="00C44806"/>
    <w:rsid w:val="00C44887"/>
    <w:rsid w:val="00C448A4"/>
    <w:rsid w:val="00C448A7"/>
    <w:rsid w:val="00C448C8"/>
    <w:rsid w:val="00C44A04"/>
    <w:rsid w:val="00C44A64"/>
    <w:rsid w:val="00C44A86"/>
    <w:rsid w:val="00C44AD4"/>
    <w:rsid w:val="00C44B05"/>
    <w:rsid w:val="00C44B0D"/>
    <w:rsid w:val="00C44B1E"/>
    <w:rsid w:val="00C44B4C"/>
    <w:rsid w:val="00C44B65"/>
    <w:rsid w:val="00C44C7E"/>
    <w:rsid w:val="00C44CE8"/>
    <w:rsid w:val="00C44D17"/>
    <w:rsid w:val="00C44D42"/>
    <w:rsid w:val="00C44E09"/>
    <w:rsid w:val="00C44E70"/>
    <w:rsid w:val="00C44E80"/>
    <w:rsid w:val="00C44E95"/>
    <w:rsid w:val="00C44EDF"/>
    <w:rsid w:val="00C44FA4"/>
    <w:rsid w:val="00C44FCB"/>
    <w:rsid w:val="00C45028"/>
    <w:rsid w:val="00C45034"/>
    <w:rsid w:val="00C4504F"/>
    <w:rsid w:val="00C45068"/>
    <w:rsid w:val="00C450B4"/>
    <w:rsid w:val="00C450C4"/>
    <w:rsid w:val="00C450C6"/>
    <w:rsid w:val="00C450D4"/>
    <w:rsid w:val="00C4510B"/>
    <w:rsid w:val="00C4513E"/>
    <w:rsid w:val="00C45152"/>
    <w:rsid w:val="00C45165"/>
    <w:rsid w:val="00C451FB"/>
    <w:rsid w:val="00C45210"/>
    <w:rsid w:val="00C45223"/>
    <w:rsid w:val="00C4522F"/>
    <w:rsid w:val="00C4523B"/>
    <w:rsid w:val="00C4528F"/>
    <w:rsid w:val="00C45290"/>
    <w:rsid w:val="00C45302"/>
    <w:rsid w:val="00C45303"/>
    <w:rsid w:val="00C4531E"/>
    <w:rsid w:val="00C45341"/>
    <w:rsid w:val="00C45362"/>
    <w:rsid w:val="00C45372"/>
    <w:rsid w:val="00C453A5"/>
    <w:rsid w:val="00C453BF"/>
    <w:rsid w:val="00C454C9"/>
    <w:rsid w:val="00C45500"/>
    <w:rsid w:val="00C45578"/>
    <w:rsid w:val="00C455FC"/>
    <w:rsid w:val="00C45619"/>
    <w:rsid w:val="00C45656"/>
    <w:rsid w:val="00C45694"/>
    <w:rsid w:val="00C456C1"/>
    <w:rsid w:val="00C456E9"/>
    <w:rsid w:val="00C4576D"/>
    <w:rsid w:val="00C457C2"/>
    <w:rsid w:val="00C457CF"/>
    <w:rsid w:val="00C457E5"/>
    <w:rsid w:val="00C45830"/>
    <w:rsid w:val="00C45848"/>
    <w:rsid w:val="00C458B3"/>
    <w:rsid w:val="00C45919"/>
    <w:rsid w:val="00C45958"/>
    <w:rsid w:val="00C45959"/>
    <w:rsid w:val="00C459B9"/>
    <w:rsid w:val="00C459CC"/>
    <w:rsid w:val="00C459DC"/>
    <w:rsid w:val="00C459FB"/>
    <w:rsid w:val="00C45A2E"/>
    <w:rsid w:val="00C45ACB"/>
    <w:rsid w:val="00C45AEA"/>
    <w:rsid w:val="00C45B0B"/>
    <w:rsid w:val="00C45B61"/>
    <w:rsid w:val="00C45BA7"/>
    <w:rsid w:val="00C45BB8"/>
    <w:rsid w:val="00C45BF7"/>
    <w:rsid w:val="00C45BF8"/>
    <w:rsid w:val="00C45BF9"/>
    <w:rsid w:val="00C45C35"/>
    <w:rsid w:val="00C45C62"/>
    <w:rsid w:val="00C45CFE"/>
    <w:rsid w:val="00C45D0A"/>
    <w:rsid w:val="00C45D30"/>
    <w:rsid w:val="00C45D43"/>
    <w:rsid w:val="00C45D48"/>
    <w:rsid w:val="00C45DEC"/>
    <w:rsid w:val="00C45E21"/>
    <w:rsid w:val="00C45E41"/>
    <w:rsid w:val="00C45E84"/>
    <w:rsid w:val="00C45EC7"/>
    <w:rsid w:val="00C45ED4"/>
    <w:rsid w:val="00C45F17"/>
    <w:rsid w:val="00C45F1F"/>
    <w:rsid w:val="00C45F2F"/>
    <w:rsid w:val="00C45F33"/>
    <w:rsid w:val="00C45F7C"/>
    <w:rsid w:val="00C45FD7"/>
    <w:rsid w:val="00C45FE4"/>
    <w:rsid w:val="00C45FEA"/>
    <w:rsid w:val="00C46003"/>
    <w:rsid w:val="00C46060"/>
    <w:rsid w:val="00C460B6"/>
    <w:rsid w:val="00C460E8"/>
    <w:rsid w:val="00C46120"/>
    <w:rsid w:val="00C46185"/>
    <w:rsid w:val="00C461CD"/>
    <w:rsid w:val="00C461E1"/>
    <w:rsid w:val="00C46213"/>
    <w:rsid w:val="00C46256"/>
    <w:rsid w:val="00C46270"/>
    <w:rsid w:val="00C4628E"/>
    <w:rsid w:val="00C4629D"/>
    <w:rsid w:val="00C462E2"/>
    <w:rsid w:val="00C46383"/>
    <w:rsid w:val="00C46384"/>
    <w:rsid w:val="00C46398"/>
    <w:rsid w:val="00C463C5"/>
    <w:rsid w:val="00C463F8"/>
    <w:rsid w:val="00C4640D"/>
    <w:rsid w:val="00C464A3"/>
    <w:rsid w:val="00C464C0"/>
    <w:rsid w:val="00C46515"/>
    <w:rsid w:val="00C46522"/>
    <w:rsid w:val="00C46532"/>
    <w:rsid w:val="00C46542"/>
    <w:rsid w:val="00C465BF"/>
    <w:rsid w:val="00C465D6"/>
    <w:rsid w:val="00C465FD"/>
    <w:rsid w:val="00C466DE"/>
    <w:rsid w:val="00C46731"/>
    <w:rsid w:val="00C46751"/>
    <w:rsid w:val="00C46768"/>
    <w:rsid w:val="00C467B7"/>
    <w:rsid w:val="00C46812"/>
    <w:rsid w:val="00C46830"/>
    <w:rsid w:val="00C46855"/>
    <w:rsid w:val="00C468A2"/>
    <w:rsid w:val="00C468B4"/>
    <w:rsid w:val="00C468D4"/>
    <w:rsid w:val="00C468E3"/>
    <w:rsid w:val="00C4691D"/>
    <w:rsid w:val="00C46973"/>
    <w:rsid w:val="00C469A9"/>
    <w:rsid w:val="00C469CB"/>
    <w:rsid w:val="00C46A90"/>
    <w:rsid w:val="00C46B36"/>
    <w:rsid w:val="00C46B4E"/>
    <w:rsid w:val="00C46B9C"/>
    <w:rsid w:val="00C46BB5"/>
    <w:rsid w:val="00C46C15"/>
    <w:rsid w:val="00C46C54"/>
    <w:rsid w:val="00C46C67"/>
    <w:rsid w:val="00C46C6C"/>
    <w:rsid w:val="00C46CBB"/>
    <w:rsid w:val="00C46CC6"/>
    <w:rsid w:val="00C46CE1"/>
    <w:rsid w:val="00C46DD1"/>
    <w:rsid w:val="00C46E3D"/>
    <w:rsid w:val="00C46E68"/>
    <w:rsid w:val="00C46E86"/>
    <w:rsid w:val="00C46E90"/>
    <w:rsid w:val="00C46EE5"/>
    <w:rsid w:val="00C46F37"/>
    <w:rsid w:val="00C46F59"/>
    <w:rsid w:val="00C46F73"/>
    <w:rsid w:val="00C46F8B"/>
    <w:rsid w:val="00C46F98"/>
    <w:rsid w:val="00C46F9E"/>
    <w:rsid w:val="00C46FA3"/>
    <w:rsid w:val="00C46FED"/>
    <w:rsid w:val="00C47033"/>
    <w:rsid w:val="00C4709D"/>
    <w:rsid w:val="00C470DC"/>
    <w:rsid w:val="00C471A4"/>
    <w:rsid w:val="00C47209"/>
    <w:rsid w:val="00C47211"/>
    <w:rsid w:val="00C47218"/>
    <w:rsid w:val="00C47222"/>
    <w:rsid w:val="00C4724C"/>
    <w:rsid w:val="00C4725F"/>
    <w:rsid w:val="00C47278"/>
    <w:rsid w:val="00C472DE"/>
    <w:rsid w:val="00C47300"/>
    <w:rsid w:val="00C47303"/>
    <w:rsid w:val="00C47310"/>
    <w:rsid w:val="00C473B5"/>
    <w:rsid w:val="00C473C7"/>
    <w:rsid w:val="00C473D1"/>
    <w:rsid w:val="00C47408"/>
    <w:rsid w:val="00C47438"/>
    <w:rsid w:val="00C47448"/>
    <w:rsid w:val="00C474B1"/>
    <w:rsid w:val="00C474C3"/>
    <w:rsid w:val="00C474E0"/>
    <w:rsid w:val="00C474F9"/>
    <w:rsid w:val="00C4752F"/>
    <w:rsid w:val="00C47538"/>
    <w:rsid w:val="00C47553"/>
    <w:rsid w:val="00C47572"/>
    <w:rsid w:val="00C47594"/>
    <w:rsid w:val="00C475B0"/>
    <w:rsid w:val="00C475D1"/>
    <w:rsid w:val="00C4768A"/>
    <w:rsid w:val="00C47692"/>
    <w:rsid w:val="00C476E8"/>
    <w:rsid w:val="00C476FC"/>
    <w:rsid w:val="00C4770C"/>
    <w:rsid w:val="00C4770D"/>
    <w:rsid w:val="00C47725"/>
    <w:rsid w:val="00C4773C"/>
    <w:rsid w:val="00C4775A"/>
    <w:rsid w:val="00C4775B"/>
    <w:rsid w:val="00C477F4"/>
    <w:rsid w:val="00C4782E"/>
    <w:rsid w:val="00C47834"/>
    <w:rsid w:val="00C4786A"/>
    <w:rsid w:val="00C478A6"/>
    <w:rsid w:val="00C478B0"/>
    <w:rsid w:val="00C478C5"/>
    <w:rsid w:val="00C47904"/>
    <w:rsid w:val="00C47913"/>
    <w:rsid w:val="00C47949"/>
    <w:rsid w:val="00C4796B"/>
    <w:rsid w:val="00C47971"/>
    <w:rsid w:val="00C4798C"/>
    <w:rsid w:val="00C479CB"/>
    <w:rsid w:val="00C47A60"/>
    <w:rsid w:val="00C47A71"/>
    <w:rsid w:val="00C47A7A"/>
    <w:rsid w:val="00C47A8A"/>
    <w:rsid w:val="00C47AAE"/>
    <w:rsid w:val="00C47B6D"/>
    <w:rsid w:val="00C47B7A"/>
    <w:rsid w:val="00C47BF2"/>
    <w:rsid w:val="00C47C16"/>
    <w:rsid w:val="00C47C1F"/>
    <w:rsid w:val="00C47C22"/>
    <w:rsid w:val="00C47C73"/>
    <w:rsid w:val="00C47D55"/>
    <w:rsid w:val="00C47D68"/>
    <w:rsid w:val="00C47DA0"/>
    <w:rsid w:val="00C47DCC"/>
    <w:rsid w:val="00C47DEA"/>
    <w:rsid w:val="00C47E4F"/>
    <w:rsid w:val="00C47EA0"/>
    <w:rsid w:val="00C47EC7"/>
    <w:rsid w:val="00C47EE8"/>
    <w:rsid w:val="00C47EF0"/>
    <w:rsid w:val="00C47F68"/>
    <w:rsid w:val="00C47FBB"/>
    <w:rsid w:val="00C5000A"/>
    <w:rsid w:val="00C50079"/>
    <w:rsid w:val="00C50106"/>
    <w:rsid w:val="00C50107"/>
    <w:rsid w:val="00C50120"/>
    <w:rsid w:val="00C50125"/>
    <w:rsid w:val="00C5019D"/>
    <w:rsid w:val="00C501D7"/>
    <w:rsid w:val="00C50206"/>
    <w:rsid w:val="00C5024A"/>
    <w:rsid w:val="00C50291"/>
    <w:rsid w:val="00C502D4"/>
    <w:rsid w:val="00C502EE"/>
    <w:rsid w:val="00C502F1"/>
    <w:rsid w:val="00C50316"/>
    <w:rsid w:val="00C5031E"/>
    <w:rsid w:val="00C50324"/>
    <w:rsid w:val="00C5033C"/>
    <w:rsid w:val="00C5034C"/>
    <w:rsid w:val="00C5037A"/>
    <w:rsid w:val="00C503B9"/>
    <w:rsid w:val="00C503C7"/>
    <w:rsid w:val="00C503D8"/>
    <w:rsid w:val="00C503E3"/>
    <w:rsid w:val="00C503E4"/>
    <w:rsid w:val="00C50417"/>
    <w:rsid w:val="00C5041E"/>
    <w:rsid w:val="00C5046B"/>
    <w:rsid w:val="00C504EB"/>
    <w:rsid w:val="00C504F7"/>
    <w:rsid w:val="00C50502"/>
    <w:rsid w:val="00C5050F"/>
    <w:rsid w:val="00C50514"/>
    <w:rsid w:val="00C5051D"/>
    <w:rsid w:val="00C505DF"/>
    <w:rsid w:val="00C5060B"/>
    <w:rsid w:val="00C50634"/>
    <w:rsid w:val="00C506A3"/>
    <w:rsid w:val="00C506A4"/>
    <w:rsid w:val="00C506D0"/>
    <w:rsid w:val="00C506EA"/>
    <w:rsid w:val="00C50739"/>
    <w:rsid w:val="00C50747"/>
    <w:rsid w:val="00C5076F"/>
    <w:rsid w:val="00C507E8"/>
    <w:rsid w:val="00C5088A"/>
    <w:rsid w:val="00C508B2"/>
    <w:rsid w:val="00C508B7"/>
    <w:rsid w:val="00C508EE"/>
    <w:rsid w:val="00C5092E"/>
    <w:rsid w:val="00C50937"/>
    <w:rsid w:val="00C509AE"/>
    <w:rsid w:val="00C509B7"/>
    <w:rsid w:val="00C509E6"/>
    <w:rsid w:val="00C509FE"/>
    <w:rsid w:val="00C50A71"/>
    <w:rsid w:val="00C50A9D"/>
    <w:rsid w:val="00C50AC1"/>
    <w:rsid w:val="00C50B1C"/>
    <w:rsid w:val="00C50B48"/>
    <w:rsid w:val="00C50BB1"/>
    <w:rsid w:val="00C50BB9"/>
    <w:rsid w:val="00C50BD0"/>
    <w:rsid w:val="00C50C24"/>
    <w:rsid w:val="00C50C83"/>
    <w:rsid w:val="00C50CA6"/>
    <w:rsid w:val="00C50CCA"/>
    <w:rsid w:val="00C50CE0"/>
    <w:rsid w:val="00C50CFA"/>
    <w:rsid w:val="00C50DB0"/>
    <w:rsid w:val="00C50E27"/>
    <w:rsid w:val="00C50E5B"/>
    <w:rsid w:val="00C50EC4"/>
    <w:rsid w:val="00C50F10"/>
    <w:rsid w:val="00C50F20"/>
    <w:rsid w:val="00C50F59"/>
    <w:rsid w:val="00C50F93"/>
    <w:rsid w:val="00C50F9B"/>
    <w:rsid w:val="00C50FB7"/>
    <w:rsid w:val="00C51033"/>
    <w:rsid w:val="00C510C5"/>
    <w:rsid w:val="00C51137"/>
    <w:rsid w:val="00C511AB"/>
    <w:rsid w:val="00C511B8"/>
    <w:rsid w:val="00C511EA"/>
    <w:rsid w:val="00C51219"/>
    <w:rsid w:val="00C5121D"/>
    <w:rsid w:val="00C51227"/>
    <w:rsid w:val="00C51239"/>
    <w:rsid w:val="00C5125C"/>
    <w:rsid w:val="00C51285"/>
    <w:rsid w:val="00C512D3"/>
    <w:rsid w:val="00C51308"/>
    <w:rsid w:val="00C513BD"/>
    <w:rsid w:val="00C513CD"/>
    <w:rsid w:val="00C513F2"/>
    <w:rsid w:val="00C51471"/>
    <w:rsid w:val="00C514C7"/>
    <w:rsid w:val="00C514DD"/>
    <w:rsid w:val="00C514EA"/>
    <w:rsid w:val="00C51557"/>
    <w:rsid w:val="00C51577"/>
    <w:rsid w:val="00C51585"/>
    <w:rsid w:val="00C515D7"/>
    <w:rsid w:val="00C51655"/>
    <w:rsid w:val="00C51692"/>
    <w:rsid w:val="00C516D0"/>
    <w:rsid w:val="00C516D2"/>
    <w:rsid w:val="00C51712"/>
    <w:rsid w:val="00C51732"/>
    <w:rsid w:val="00C5176E"/>
    <w:rsid w:val="00C51770"/>
    <w:rsid w:val="00C517F9"/>
    <w:rsid w:val="00C51867"/>
    <w:rsid w:val="00C5189E"/>
    <w:rsid w:val="00C518C2"/>
    <w:rsid w:val="00C518CC"/>
    <w:rsid w:val="00C518F4"/>
    <w:rsid w:val="00C51996"/>
    <w:rsid w:val="00C519F5"/>
    <w:rsid w:val="00C51A6E"/>
    <w:rsid w:val="00C51AD3"/>
    <w:rsid w:val="00C51B12"/>
    <w:rsid w:val="00C51B41"/>
    <w:rsid w:val="00C51B55"/>
    <w:rsid w:val="00C51B95"/>
    <w:rsid w:val="00C51BBB"/>
    <w:rsid w:val="00C51C20"/>
    <w:rsid w:val="00C51C2F"/>
    <w:rsid w:val="00C51C41"/>
    <w:rsid w:val="00C51C80"/>
    <w:rsid w:val="00C51CBA"/>
    <w:rsid w:val="00C51CBF"/>
    <w:rsid w:val="00C51D31"/>
    <w:rsid w:val="00C51DEF"/>
    <w:rsid w:val="00C51DF4"/>
    <w:rsid w:val="00C51E09"/>
    <w:rsid w:val="00C51E12"/>
    <w:rsid w:val="00C51E19"/>
    <w:rsid w:val="00C51E33"/>
    <w:rsid w:val="00C51E78"/>
    <w:rsid w:val="00C51E7F"/>
    <w:rsid w:val="00C51EBE"/>
    <w:rsid w:val="00C51EDF"/>
    <w:rsid w:val="00C51F22"/>
    <w:rsid w:val="00C51F43"/>
    <w:rsid w:val="00C51F51"/>
    <w:rsid w:val="00C51FA3"/>
    <w:rsid w:val="00C51FB0"/>
    <w:rsid w:val="00C51FBB"/>
    <w:rsid w:val="00C51FC5"/>
    <w:rsid w:val="00C52004"/>
    <w:rsid w:val="00C52040"/>
    <w:rsid w:val="00C5208F"/>
    <w:rsid w:val="00C520C0"/>
    <w:rsid w:val="00C520EE"/>
    <w:rsid w:val="00C52147"/>
    <w:rsid w:val="00C52169"/>
    <w:rsid w:val="00C52172"/>
    <w:rsid w:val="00C52201"/>
    <w:rsid w:val="00C52214"/>
    <w:rsid w:val="00C52273"/>
    <w:rsid w:val="00C5227A"/>
    <w:rsid w:val="00C522B7"/>
    <w:rsid w:val="00C522BD"/>
    <w:rsid w:val="00C522C7"/>
    <w:rsid w:val="00C522DB"/>
    <w:rsid w:val="00C522EF"/>
    <w:rsid w:val="00C5234B"/>
    <w:rsid w:val="00C5234D"/>
    <w:rsid w:val="00C52360"/>
    <w:rsid w:val="00C523BB"/>
    <w:rsid w:val="00C523D0"/>
    <w:rsid w:val="00C52494"/>
    <w:rsid w:val="00C5249E"/>
    <w:rsid w:val="00C524EB"/>
    <w:rsid w:val="00C52540"/>
    <w:rsid w:val="00C525D0"/>
    <w:rsid w:val="00C5266A"/>
    <w:rsid w:val="00C5266C"/>
    <w:rsid w:val="00C52696"/>
    <w:rsid w:val="00C526CF"/>
    <w:rsid w:val="00C526D1"/>
    <w:rsid w:val="00C526F5"/>
    <w:rsid w:val="00C52730"/>
    <w:rsid w:val="00C52735"/>
    <w:rsid w:val="00C52737"/>
    <w:rsid w:val="00C527CC"/>
    <w:rsid w:val="00C52832"/>
    <w:rsid w:val="00C5296D"/>
    <w:rsid w:val="00C52978"/>
    <w:rsid w:val="00C529AC"/>
    <w:rsid w:val="00C529E2"/>
    <w:rsid w:val="00C52A4C"/>
    <w:rsid w:val="00C52B41"/>
    <w:rsid w:val="00C52B4A"/>
    <w:rsid w:val="00C52B89"/>
    <w:rsid w:val="00C52BA4"/>
    <w:rsid w:val="00C52C22"/>
    <w:rsid w:val="00C52CD5"/>
    <w:rsid w:val="00C52CD8"/>
    <w:rsid w:val="00C52D25"/>
    <w:rsid w:val="00C52D3E"/>
    <w:rsid w:val="00C52D56"/>
    <w:rsid w:val="00C52D96"/>
    <w:rsid w:val="00C52D98"/>
    <w:rsid w:val="00C52DCA"/>
    <w:rsid w:val="00C52DD5"/>
    <w:rsid w:val="00C52E26"/>
    <w:rsid w:val="00C52E2F"/>
    <w:rsid w:val="00C52E42"/>
    <w:rsid w:val="00C52E7A"/>
    <w:rsid w:val="00C52EAB"/>
    <w:rsid w:val="00C52EE2"/>
    <w:rsid w:val="00C52EEB"/>
    <w:rsid w:val="00C52EEC"/>
    <w:rsid w:val="00C52F45"/>
    <w:rsid w:val="00C52F9A"/>
    <w:rsid w:val="00C52FA5"/>
    <w:rsid w:val="00C52FBE"/>
    <w:rsid w:val="00C52FC0"/>
    <w:rsid w:val="00C52FD7"/>
    <w:rsid w:val="00C53079"/>
    <w:rsid w:val="00C530D6"/>
    <w:rsid w:val="00C530EE"/>
    <w:rsid w:val="00C530F7"/>
    <w:rsid w:val="00C5312F"/>
    <w:rsid w:val="00C53170"/>
    <w:rsid w:val="00C531B2"/>
    <w:rsid w:val="00C531FE"/>
    <w:rsid w:val="00C53205"/>
    <w:rsid w:val="00C53228"/>
    <w:rsid w:val="00C532A3"/>
    <w:rsid w:val="00C532F7"/>
    <w:rsid w:val="00C53341"/>
    <w:rsid w:val="00C53349"/>
    <w:rsid w:val="00C5334C"/>
    <w:rsid w:val="00C5335D"/>
    <w:rsid w:val="00C533AF"/>
    <w:rsid w:val="00C533DF"/>
    <w:rsid w:val="00C53425"/>
    <w:rsid w:val="00C5343F"/>
    <w:rsid w:val="00C53469"/>
    <w:rsid w:val="00C534A5"/>
    <w:rsid w:val="00C534BA"/>
    <w:rsid w:val="00C534E6"/>
    <w:rsid w:val="00C5357A"/>
    <w:rsid w:val="00C535AC"/>
    <w:rsid w:val="00C535D0"/>
    <w:rsid w:val="00C5366B"/>
    <w:rsid w:val="00C536A2"/>
    <w:rsid w:val="00C536B6"/>
    <w:rsid w:val="00C536C3"/>
    <w:rsid w:val="00C536CE"/>
    <w:rsid w:val="00C536F9"/>
    <w:rsid w:val="00C5372D"/>
    <w:rsid w:val="00C53740"/>
    <w:rsid w:val="00C5374F"/>
    <w:rsid w:val="00C5377F"/>
    <w:rsid w:val="00C537AA"/>
    <w:rsid w:val="00C537D4"/>
    <w:rsid w:val="00C53860"/>
    <w:rsid w:val="00C538AB"/>
    <w:rsid w:val="00C538BD"/>
    <w:rsid w:val="00C538D1"/>
    <w:rsid w:val="00C538EF"/>
    <w:rsid w:val="00C53905"/>
    <w:rsid w:val="00C53916"/>
    <w:rsid w:val="00C539DF"/>
    <w:rsid w:val="00C53A60"/>
    <w:rsid w:val="00C53ABD"/>
    <w:rsid w:val="00C53AD3"/>
    <w:rsid w:val="00C53ADC"/>
    <w:rsid w:val="00C53B5B"/>
    <w:rsid w:val="00C53B6A"/>
    <w:rsid w:val="00C53BE7"/>
    <w:rsid w:val="00C53C1C"/>
    <w:rsid w:val="00C53C21"/>
    <w:rsid w:val="00C53C48"/>
    <w:rsid w:val="00C53C4B"/>
    <w:rsid w:val="00C53C6A"/>
    <w:rsid w:val="00C53CAD"/>
    <w:rsid w:val="00C53CFF"/>
    <w:rsid w:val="00C53D2B"/>
    <w:rsid w:val="00C53D9B"/>
    <w:rsid w:val="00C53DC9"/>
    <w:rsid w:val="00C53DDC"/>
    <w:rsid w:val="00C53E33"/>
    <w:rsid w:val="00C53E7B"/>
    <w:rsid w:val="00C53E83"/>
    <w:rsid w:val="00C53E9F"/>
    <w:rsid w:val="00C53EC2"/>
    <w:rsid w:val="00C53EE9"/>
    <w:rsid w:val="00C53F13"/>
    <w:rsid w:val="00C53F59"/>
    <w:rsid w:val="00C53F61"/>
    <w:rsid w:val="00C53FC3"/>
    <w:rsid w:val="00C53FED"/>
    <w:rsid w:val="00C5400B"/>
    <w:rsid w:val="00C54016"/>
    <w:rsid w:val="00C5402A"/>
    <w:rsid w:val="00C54102"/>
    <w:rsid w:val="00C54126"/>
    <w:rsid w:val="00C5412A"/>
    <w:rsid w:val="00C5413B"/>
    <w:rsid w:val="00C5415A"/>
    <w:rsid w:val="00C54190"/>
    <w:rsid w:val="00C541AD"/>
    <w:rsid w:val="00C54206"/>
    <w:rsid w:val="00C54241"/>
    <w:rsid w:val="00C54288"/>
    <w:rsid w:val="00C5429D"/>
    <w:rsid w:val="00C54309"/>
    <w:rsid w:val="00C54359"/>
    <w:rsid w:val="00C5435C"/>
    <w:rsid w:val="00C5437A"/>
    <w:rsid w:val="00C54398"/>
    <w:rsid w:val="00C543C4"/>
    <w:rsid w:val="00C5441F"/>
    <w:rsid w:val="00C5445A"/>
    <w:rsid w:val="00C5446B"/>
    <w:rsid w:val="00C5446F"/>
    <w:rsid w:val="00C544A7"/>
    <w:rsid w:val="00C544F2"/>
    <w:rsid w:val="00C544FB"/>
    <w:rsid w:val="00C54531"/>
    <w:rsid w:val="00C545B6"/>
    <w:rsid w:val="00C545DB"/>
    <w:rsid w:val="00C545DC"/>
    <w:rsid w:val="00C545FF"/>
    <w:rsid w:val="00C5461C"/>
    <w:rsid w:val="00C546FD"/>
    <w:rsid w:val="00C5473D"/>
    <w:rsid w:val="00C547E0"/>
    <w:rsid w:val="00C547FF"/>
    <w:rsid w:val="00C54821"/>
    <w:rsid w:val="00C548DC"/>
    <w:rsid w:val="00C54900"/>
    <w:rsid w:val="00C5490D"/>
    <w:rsid w:val="00C5493A"/>
    <w:rsid w:val="00C54970"/>
    <w:rsid w:val="00C54978"/>
    <w:rsid w:val="00C54999"/>
    <w:rsid w:val="00C5499B"/>
    <w:rsid w:val="00C54AB8"/>
    <w:rsid w:val="00C54AD3"/>
    <w:rsid w:val="00C54AF6"/>
    <w:rsid w:val="00C54B5F"/>
    <w:rsid w:val="00C54B88"/>
    <w:rsid w:val="00C54B98"/>
    <w:rsid w:val="00C54C4E"/>
    <w:rsid w:val="00C54C57"/>
    <w:rsid w:val="00C54CDE"/>
    <w:rsid w:val="00C54D28"/>
    <w:rsid w:val="00C54D58"/>
    <w:rsid w:val="00C54D61"/>
    <w:rsid w:val="00C54D92"/>
    <w:rsid w:val="00C54DB5"/>
    <w:rsid w:val="00C54DD3"/>
    <w:rsid w:val="00C54DD5"/>
    <w:rsid w:val="00C54E31"/>
    <w:rsid w:val="00C54E40"/>
    <w:rsid w:val="00C54E47"/>
    <w:rsid w:val="00C54E6B"/>
    <w:rsid w:val="00C54EC9"/>
    <w:rsid w:val="00C54EDA"/>
    <w:rsid w:val="00C54EE4"/>
    <w:rsid w:val="00C54EF3"/>
    <w:rsid w:val="00C54F10"/>
    <w:rsid w:val="00C54F5E"/>
    <w:rsid w:val="00C54FC7"/>
    <w:rsid w:val="00C54FCD"/>
    <w:rsid w:val="00C54FEE"/>
    <w:rsid w:val="00C5500F"/>
    <w:rsid w:val="00C55038"/>
    <w:rsid w:val="00C5505E"/>
    <w:rsid w:val="00C5507B"/>
    <w:rsid w:val="00C5507C"/>
    <w:rsid w:val="00C5508A"/>
    <w:rsid w:val="00C550A3"/>
    <w:rsid w:val="00C55116"/>
    <w:rsid w:val="00C55134"/>
    <w:rsid w:val="00C5516F"/>
    <w:rsid w:val="00C551E2"/>
    <w:rsid w:val="00C55284"/>
    <w:rsid w:val="00C5528C"/>
    <w:rsid w:val="00C552AF"/>
    <w:rsid w:val="00C552C0"/>
    <w:rsid w:val="00C552F2"/>
    <w:rsid w:val="00C55313"/>
    <w:rsid w:val="00C5533A"/>
    <w:rsid w:val="00C55344"/>
    <w:rsid w:val="00C55384"/>
    <w:rsid w:val="00C5544A"/>
    <w:rsid w:val="00C55475"/>
    <w:rsid w:val="00C554A7"/>
    <w:rsid w:val="00C554B5"/>
    <w:rsid w:val="00C554D2"/>
    <w:rsid w:val="00C55574"/>
    <w:rsid w:val="00C55585"/>
    <w:rsid w:val="00C555AC"/>
    <w:rsid w:val="00C5563E"/>
    <w:rsid w:val="00C55652"/>
    <w:rsid w:val="00C55662"/>
    <w:rsid w:val="00C55674"/>
    <w:rsid w:val="00C556F6"/>
    <w:rsid w:val="00C55760"/>
    <w:rsid w:val="00C55778"/>
    <w:rsid w:val="00C5578F"/>
    <w:rsid w:val="00C558F2"/>
    <w:rsid w:val="00C55985"/>
    <w:rsid w:val="00C559FE"/>
    <w:rsid w:val="00C55A0F"/>
    <w:rsid w:val="00C55A36"/>
    <w:rsid w:val="00C55A87"/>
    <w:rsid w:val="00C55ACD"/>
    <w:rsid w:val="00C55B1C"/>
    <w:rsid w:val="00C55B6A"/>
    <w:rsid w:val="00C55B93"/>
    <w:rsid w:val="00C55BC1"/>
    <w:rsid w:val="00C55C09"/>
    <w:rsid w:val="00C55C10"/>
    <w:rsid w:val="00C55C26"/>
    <w:rsid w:val="00C55C39"/>
    <w:rsid w:val="00C55C6B"/>
    <w:rsid w:val="00C55C9D"/>
    <w:rsid w:val="00C55C9F"/>
    <w:rsid w:val="00C55D4D"/>
    <w:rsid w:val="00C55D62"/>
    <w:rsid w:val="00C55DA9"/>
    <w:rsid w:val="00C55DB3"/>
    <w:rsid w:val="00C55DDA"/>
    <w:rsid w:val="00C55E02"/>
    <w:rsid w:val="00C55E06"/>
    <w:rsid w:val="00C55E07"/>
    <w:rsid w:val="00C55E45"/>
    <w:rsid w:val="00C55EA4"/>
    <w:rsid w:val="00C55ECA"/>
    <w:rsid w:val="00C55EF6"/>
    <w:rsid w:val="00C55F2F"/>
    <w:rsid w:val="00C55F6E"/>
    <w:rsid w:val="00C55FC2"/>
    <w:rsid w:val="00C5606F"/>
    <w:rsid w:val="00C56094"/>
    <w:rsid w:val="00C560DF"/>
    <w:rsid w:val="00C560FF"/>
    <w:rsid w:val="00C56118"/>
    <w:rsid w:val="00C5611A"/>
    <w:rsid w:val="00C56143"/>
    <w:rsid w:val="00C56181"/>
    <w:rsid w:val="00C561C1"/>
    <w:rsid w:val="00C561C3"/>
    <w:rsid w:val="00C561EB"/>
    <w:rsid w:val="00C5622C"/>
    <w:rsid w:val="00C56270"/>
    <w:rsid w:val="00C56286"/>
    <w:rsid w:val="00C5628B"/>
    <w:rsid w:val="00C562EB"/>
    <w:rsid w:val="00C5632E"/>
    <w:rsid w:val="00C5634E"/>
    <w:rsid w:val="00C563B8"/>
    <w:rsid w:val="00C563FD"/>
    <w:rsid w:val="00C56422"/>
    <w:rsid w:val="00C56454"/>
    <w:rsid w:val="00C564D4"/>
    <w:rsid w:val="00C564D6"/>
    <w:rsid w:val="00C5651B"/>
    <w:rsid w:val="00C56535"/>
    <w:rsid w:val="00C56570"/>
    <w:rsid w:val="00C565B9"/>
    <w:rsid w:val="00C565F7"/>
    <w:rsid w:val="00C5661B"/>
    <w:rsid w:val="00C56639"/>
    <w:rsid w:val="00C5665E"/>
    <w:rsid w:val="00C5666D"/>
    <w:rsid w:val="00C5667C"/>
    <w:rsid w:val="00C566A5"/>
    <w:rsid w:val="00C566AC"/>
    <w:rsid w:val="00C566B2"/>
    <w:rsid w:val="00C566FC"/>
    <w:rsid w:val="00C5677A"/>
    <w:rsid w:val="00C5678A"/>
    <w:rsid w:val="00C56829"/>
    <w:rsid w:val="00C56857"/>
    <w:rsid w:val="00C56894"/>
    <w:rsid w:val="00C5691C"/>
    <w:rsid w:val="00C56948"/>
    <w:rsid w:val="00C569A0"/>
    <w:rsid w:val="00C569B0"/>
    <w:rsid w:val="00C569B3"/>
    <w:rsid w:val="00C56A08"/>
    <w:rsid w:val="00C56A20"/>
    <w:rsid w:val="00C56A24"/>
    <w:rsid w:val="00C56A50"/>
    <w:rsid w:val="00C56A52"/>
    <w:rsid w:val="00C56A7F"/>
    <w:rsid w:val="00C56B36"/>
    <w:rsid w:val="00C56B69"/>
    <w:rsid w:val="00C56B6B"/>
    <w:rsid w:val="00C56BE0"/>
    <w:rsid w:val="00C56BEB"/>
    <w:rsid w:val="00C56BED"/>
    <w:rsid w:val="00C56BF2"/>
    <w:rsid w:val="00C56CD0"/>
    <w:rsid w:val="00C56CDB"/>
    <w:rsid w:val="00C56CF1"/>
    <w:rsid w:val="00C56CF8"/>
    <w:rsid w:val="00C56D2E"/>
    <w:rsid w:val="00C56D36"/>
    <w:rsid w:val="00C56D3E"/>
    <w:rsid w:val="00C56D49"/>
    <w:rsid w:val="00C56D5E"/>
    <w:rsid w:val="00C56D7C"/>
    <w:rsid w:val="00C56DBE"/>
    <w:rsid w:val="00C56DE4"/>
    <w:rsid w:val="00C56E15"/>
    <w:rsid w:val="00C56E32"/>
    <w:rsid w:val="00C56E9E"/>
    <w:rsid w:val="00C56EA9"/>
    <w:rsid w:val="00C56EE6"/>
    <w:rsid w:val="00C56EF7"/>
    <w:rsid w:val="00C56F9D"/>
    <w:rsid w:val="00C56FBA"/>
    <w:rsid w:val="00C5704A"/>
    <w:rsid w:val="00C57063"/>
    <w:rsid w:val="00C5707F"/>
    <w:rsid w:val="00C57095"/>
    <w:rsid w:val="00C570BE"/>
    <w:rsid w:val="00C570E2"/>
    <w:rsid w:val="00C570F8"/>
    <w:rsid w:val="00C57137"/>
    <w:rsid w:val="00C5713F"/>
    <w:rsid w:val="00C57140"/>
    <w:rsid w:val="00C57177"/>
    <w:rsid w:val="00C5718B"/>
    <w:rsid w:val="00C571B9"/>
    <w:rsid w:val="00C571E1"/>
    <w:rsid w:val="00C571F3"/>
    <w:rsid w:val="00C5720E"/>
    <w:rsid w:val="00C57225"/>
    <w:rsid w:val="00C5723C"/>
    <w:rsid w:val="00C57265"/>
    <w:rsid w:val="00C5726F"/>
    <w:rsid w:val="00C57383"/>
    <w:rsid w:val="00C573BC"/>
    <w:rsid w:val="00C573C4"/>
    <w:rsid w:val="00C573EE"/>
    <w:rsid w:val="00C57432"/>
    <w:rsid w:val="00C5743C"/>
    <w:rsid w:val="00C57469"/>
    <w:rsid w:val="00C574A6"/>
    <w:rsid w:val="00C5751C"/>
    <w:rsid w:val="00C5756F"/>
    <w:rsid w:val="00C575F2"/>
    <w:rsid w:val="00C57645"/>
    <w:rsid w:val="00C57658"/>
    <w:rsid w:val="00C576F6"/>
    <w:rsid w:val="00C576FC"/>
    <w:rsid w:val="00C5777F"/>
    <w:rsid w:val="00C5779D"/>
    <w:rsid w:val="00C5780F"/>
    <w:rsid w:val="00C57822"/>
    <w:rsid w:val="00C5785A"/>
    <w:rsid w:val="00C57874"/>
    <w:rsid w:val="00C578B5"/>
    <w:rsid w:val="00C578ED"/>
    <w:rsid w:val="00C578F2"/>
    <w:rsid w:val="00C578F9"/>
    <w:rsid w:val="00C57900"/>
    <w:rsid w:val="00C57924"/>
    <w:rsid w:val="00C57969"/>
    <w:rsid w:val="00C5798C"/>
    <w:rsid w:val="00C579AD"/>
    <w:rsid w:val="00C579AF"/>
    <w:rsid w:val="00C57AA6"/>
    <w:rsid w:val="00C57AF8"/>
    <w:rsid w:val="00C57B22"/>
    <w:rsid w:val="00C57BCC"/>
    <w:rsid w:val="00C57BFB"/>
    <w:rsid w:val="00C57C61"/>
    <w:rsid w:val="00C57C7A"/>
    <w:rsid w:val="00C57CAE"/>
    <w:rsid w:val="00C57D3D"/>
    <w:rsid w:val="00C57D45"/>
    <w:rsid w:val="00C57DBE"/>
    <w:rsid w:val="00C57E38"/>
    <w:rsid w:val="00C57E4F"/>
    <w:rsid w:val="00C57E67"/>
    <w:rsid w:val="00C57EA6"/>
    <w:rsid w:val="00C57EDC"/>
    <w:rsid w:val="00C57F01"/>
    <w:rsid w:val="00C57F14"/>
    <w:rsid w:val="00C57F1C"/>
    <w:rsid w:val="00C57F60"/>
    <w:rsid w:val="00C57FD0"/>
    <w:rsid w:val="00C60003"/>
    <w:rsid w:val="00C60066"/>
    <w:rsid w:val="00C6006C"/>
    <w:rsid w:val="00C600EB"/>
    <w:rsid w:val="00C60101"/>
    <w:rsid w:val="00C60132"/>
    <w:rsid w:val="00C60152"/>
    <w:rsid w:val="00C6018C"/>
    <w:rsid w:val="00C6019C"/>
    <w:rsid w:val="00C601B7"/>
    <w:rsid w:val="00C601C6"/>
    <w:rsid w:val="00C60215"/>
    <w:rsid w:val="00C6021F"/>
    <w:rsid w:val="00C6022C"/>
    <w:rsid w:val="00C60243"/>
    <w:rsid w:val="00C602CA"/>
    <w:rsid w:val="00C60388"/>
    <w:rsid w:val="00C603E4"/>
    <w:rsid w:val="00C60472"/>
    <w:rsid w:val="00C60481"/>
    <w:rsid w:val="00C604AA"/>
    <w:rsid w:val="00C60500"/>
    <w:rsid w:val="00C6050A"/>
    <w:rsid w:val="00C6052A"/>
    <w:rsid w:val="00C605BC"/>
    <w:rsid w:val="00C605D1"/>
    <w:rsid w:val="00C60614"/>
    <w:rsid w:val="00C6061C"/>
    <w:rsid w:val="00C6065D"/>
    <w:rsid w:val="00C6068A"/>
    <w:rsid w:val="00C6072D"/>
    <w:rsid w:val="00C60751"/>
    <w:rsid w:val="00C6075B"/>
    <w:rsid w:val="00C6076B"/>
    <w:rsid w:val="00C6078E"/>
    <w:rsid w:val="00C60816"/>
    <w:rsid w:val="00C6082E"/>
    <w:rsid w:val="00C60913"/>
    <w:rsid w:val="00C609E7"/>
    <w:rsid w:val="00C60AC5"/>
    <w:rsid w:val="00C60AD9"/>
    <w:rsid w:val="00C60AEC"/>
    <w:rsid w:val="00C60B4C"/>
    <w:rsid w:val="00C60BA6"/>
    <w:rsid w:val="00C60C88"/>
    <w:rsid w:val="00C60CCD"/>
    <w:rsid w:val="00C60D72"/>
    <w:rsid w:val="00C60E45"/>
    <w:rsid w:val="00C60E56"/>
    <w:rsid w:val="00C60EF8"/>
    <w:rsid w:val="00C60F70"/>
    <w:rsid w:val="00C60F86"/>
    <w:rsid w:val="00C60F8D"/>
    <w:rsid w:val="00C60FA9"/>
    <w:rsid w:val="00C610A5"/>
    <w:rsid w:val="00C610BE"/>
    <w:rsid w:val="00C610C7"/>
    <w:rsid w:val="00C610E9"/>
    <w:rsid w:val="00C61114"/>
    <w:rsid w:val="00C6111C"/>
    <w:rsid w:val="00C6111D"/>
    <w:rsid w:val="00C6120B"/>
    <w:rsid w:val="00C61237"/>
    <w:rsid w:val="00C61265"/>
    <w:rsid w:val="00C61295"/>
    <w:rsid w:val="00C612B1"/>
    <w:rsid w:val="00C612B9"/>
    <w:rsid w:val="00C612EB"/>
    <w:rsid w:val="00C61341"/>
    <w:rsid w:val="00C613B3"/>
    <w:rsid w:val="00C613D3"/>
    <w:rsid w:val="00C613F4"/>
    <w:rsid w:val="00C61416"/>
    <w:rsid w:val="00C61418"/>
    <w:rsid w:val="00C61421"/>
    <w:rsid w:val="00C61430"/>
    <w:rsid w:val="00C61461"/>
    <w:rsid w:val="00C614D9"/>
    <w:rsid w:val="00C61537"/>
    <w:rsid w:val="00C615AA"/>
    <w:rsid w:val="00C61660"/>
    <w:rsid w:val="00C6166E"/>
    <w:rsid w:val="00C61675"/>
    <w:rsid w:val="00C616BE"/>
    <w:rsid w:val="00C616CF"/>
    <w:rsid w:val="00C6173B"/>
    <w:rsid w:val="00C6174F"/>
    <w:rsid w:val="00C61751"/>
    <w:rsid w:val="00C6178C"/>
    <w:rsid w:val="00C61802"/>
    <w:rsid w:val="00C61834"/>
    <w:rsid w:val="00C61836"/>
    <w:rsid w:val="00C61861"/>
    <w:rsid w:val="00C61894"/>
    <w:rsid w:val="00C618D8"/>
    <w:rsid w:val="00C61943"/>
    <w:rsid w:val="00C61950"/>
    <w:rsid w:val="00C6198B"/>
    <w:rsid w:val="00C619B7"/>
    <w:rsid w:val="00C61A28"/>
    <w:rsid w:val="00C61A67"/>
    <w:rsid w:val="00C61A87"/>
    <w:rsid w:val="00C61BC0"/>
    <w:rsid w:val="00C61BF4"/>
    <w:rsid w:val="00C61BF8"/>
    <w:rsid w:val="00C61C5F"/>
    <w:rsid w:val="00C61C9E"/>
    <w:rsid w:val="00C61D1D"/>
    <w:rsid w:val="00C61D35"/>
    <w:rsid w:val="00C61D7A"/>
    <w:rsid w:val="00C61D7C"/>
    <w:rsid w:val="00C61DD8"/>
    <w:rsid w:val="00C61E05"/>
    <w:rsid w:val="00C61E54"/>
    <w:rsid w:val="00C61E73"/>
    <w:rsid w:val="00C61EE0"/>
    <w:rsid w:val="00C61F38"/>
    <w:rsid w:val="00C61F57"/>
    <w:rsid w:val="00C61F68"/>
    <w:rsid w:val="00C61FBE"/>
    <w:rsid w:val="00C62016"/>
    <w:rsid w:val="00C620A3"/>
    <w:rsid w:val="00C620C6"/>
    <w:rsid w:val="00C620CE"/>
    <w:rsid w:val="00C620F4"/>
    <w:rsid w:val="00C6210B"/>
    <w:rsid w:val="00C6213D"/>
    <w:rsid w:val="00C62179"/>
    <w:rsid w:val="00C62185"/>
    <w:rsid w:val="00C6218A"/>
    <w:rsid w:val="00C621A8"/>
    <w:rsid w:val="00C621BF"/>
    <w:rsid w:val="00C62226"/>
    <w:rsid w:val="00C62274"/>
    <w:rsid w:val="00C62295"/>
    <w:rsid w:val="00C6234E"/>
    <w:rsid w:val="00C62362"/>
    <w:rsid w:val="00C62372"/>
    <w:rsid w:val="00C62375"/>
    <w:rsid w:val="00C623BC"/>
    <w:rsid w:val="00C623BF"/>
    <w:rsid w:val="00C62400"/>
    <w:rsid w:val="00C62404"/>
    <w:rsid w:val="00C62443"/>
    <w:rsid w:val="00C62446"/>
    <w:rsid w:val="00C6244D"/>
    <w:rsid w:val="00C62457"/>
    <w:rsid w:val="00C6245F"/>
    <w:rsid w:val="00C62495"/>
    <w:rsid w:val="00C624F7"/>
    <w:rsid w:val="00C6250B"/>
    <w:rsid w:val="00C62556"/>
    <w:rsid w:val="00C6258A"/>
    <w:rsid w:val="00C625B9"/>
    <w:rsid w:val="00C625DA"/>
    <w:rsid w:val="00C625DB"/>
    <w:rsid w:val="00C625FC"/>
    <w:rsid w:val="00C6263B"/>
    <w:rsid w:val="00C6264A"/>
    <w:rsid w:val="00C62676"/>
    <w:rsid w:val="00C626C4"/>
    <w:rsid w:val="00C62716"/>
    <w:rsid w:val="00C62731"/>
    <w:rsid w:val="00C62745"/>
    <w:rsid w:val="00C627B0"/>
    <w:rsid w:val="00C627D9"/>
    <w:rsid w:val="00C62806"/>
    <w:rsid w:val="00C62829"/>
    <w:rsid w:val="00C6284C"/>
    <w:rsid w:val="00C6286A"/>
    <w:rsid w:val="00C6287F"/>
    <w:rsid w:val="00C628C0"/>
    <w:rsid w:val="00C628DF"/>
    <w:rsid w:val="00C629BC"/>
    <w:rsid w:val="00C62A7E"/>
    <w:rsid w:val="00C62AFA"/>
    <w:rsid w:val="00C62B5E"/>
    <w:rsid w:val="00C62BCD"/>
    <w:rsid w:val="00C62BEA"/>
    <w:rsid w:val="00C62C0F"/>
    <w:rsid w:val="00C62C9D"/>
    <w:rsid w:val="00C62C9F"/>
    <w:rsid w:val="00C62D0A"/>
    <w:rsid w:val="00C62D5A"/>
    <w:rsid w:val="00C62D90"/>
    <w:rsid w:val="00C62E17"/>
    <w:rsid w:val="00C62E7D"/>
    <w:rsid w:val="00C62E87"/>
    <w:rsid w:val="00C62F5C"/>
    <w:rsid w:val="00C62FA9"/>
    <w:rsid w:val="00C63024"/>
    <w:rsid w:val="00C6304E"/>
    <w:rsid w:val="00C630BE"/>
    <w:rsid w:val="00C630EB"/>
    <w:rsid w:val="00C630F8"/>
    <w:rsid w:val="00C630FB"/>
    <w:rsid w:val="00C6313D"/>
    <w:rsid w:val="00C63204"/>
    <w:rsid w:val="00C63219"/>
    <w:rsid w:val="00C6321D"/>
    <w:rsid w:val="00C63236"/>
    <w:rsid w:val="00C63274"/>
    <w:rsid w:val="00C63302"/>
    <w:rsid w:val="00C6330E"/>
    <w:rsid w:val="00C6339E"/>
    <w:rsid w:val="00C633B6"/>
    <w:rsid w:val="00C633C2"/>
    <w:rsid w:val="00C633D9"/>
    <w:rsid w:val="00C63426"/>
    <w:rsid w:val="00C6345E"/>
    <w:rsid w:val="00C634A6"/>
    <w:rsid w:val="00C634AF"/>
    <w:rsid w:val="00C634DA"/>
    <w:rsid w:val="00C634DF"/>
    <w:rsid w:val="00C63511"/>
    <w:rsid w:val="00C6357A"/>
    <w:rsid w:val="00C635AE"/>
    <w:rsid w:val="00C635B7"/>
    <w:rsid w:val="00C635C4"/>
    <w:rsid w:val="00C635F3"/>
    <w:rsid w:val="00C6362B"/>
    <w:rsid w:val="00C63651"/>
    <w:rsid w:val="00C636DA"/>
    <w:rsid w:val="00C63719"/>
    <w:rsid w:val="00C63724"/>
    <w:rsid w:val="00C6374D"/>
    <w:rsid w:val="00C63779"/>
    <w:rsid w:val="00C6378C"/>
    <w:rsid w:val="00C637AB"/>
    <w:rsid w:val="00C637E8"/>
    <w:rsid w:val="00C6380A"/>
    <w:rsid w:val="00C63866"/>
    <w:rsid w:val="00C6389E"/>
    <w:rsid w:val="00C638A0"/>
    <w:rsid w:val="00C638DF"/>
    <w:rsid w:val="00C638F5"/>
    <w:rsid w:val="00C639B6"/>
    <w:rsid w:val="00C639E5"/>
    <w:rsid w:val="00C63A08"/>
    <w:rsid w:val="00C63A48"/>
    <w:rsid w:val="00C63A65"/>
    <w:rsid w:val="00C63AB6"/>
    <w:rsid w:val="00C63ABF"/>
    <w:rsid w:val="00C63AC5"/>
    <w:rsid w:val="00C63ACC"/>
    <w:rsid w:val="00C63AED"/>
    <w:rsid w:val="00C63B0D"/>
    <w:rsid w:val="00C63B17"/>
    <w:rsid w:val="00C63B33"/>
    <w:rsid w:val="00C63B51"/>
    <w:rsid w:val="00C63BF3"/>
    <w:rsid w:val="00C63C27"/>
    <w:rsid w:val="00C63C42"/>
    <w:rsid w:val="00C63C80"/>
    <w:rsid w:val="00C63C87"/>
    <w:rsid w:val="00C63CD1"/>
    <w:rsid w:val="00C63CF0"/>
    <w:rsid w:val="00C63D2D"/>
    <w:rsid w:val="00C63D31"/>
    <w:rsid w:val="00C63D38"/>
    <w:rsid w:val="00C63D5A"/>
    <w:rsid w:val="00C63DDD"/>
    <w:rsid w:val="00C63E10"/>
    <w:rsid w:val="00C63E11"/>
    <w:rsid w:val="00C63E1F"/>
    <w:rsid w:val="00C63E20"/>
    <w:rsid w:val="00C63E8E"/>
    <w:rsid w:val="00C63E90"/>
    <w:rsid w:val="00C63EAD"/>
    <w:rsid w:val="00C63EB7"/>
    <w:rsid w:val="00C63F65"/>
    <w:rsid w:val="00C63F85"/>
    <w:rsid w:val="00C63FB4"/>
    <w:rsid w:val="00C63FF7"/>
    <w:rsid w:val="00C64022"/>
    <w:rsid w:val="00C640C0"/>
    <w:rsid w:val="00C640CC"/>
    <w:rsid w:val="00C64102"/>
    <w:rsid w:val="00C64170"/>
    <w:rsid w:val="00C641DB"/>
    <w:rsid w:val="00C6422A"/>
    <w:rsid w:val="00C6422F"/>
    <w:rsid w:val="00C64250"/>
    <w:rsid w:val="00C642D2"/>
    <w:rsid w:val="00C642D5"/>
    <w:rsid w:val="00C64362"/>
    <w:rsid w:val="00C64374"/>
    <w:rsid w:val="00C643AA"/>
    <w:rsid w:val="00C643C6"/>
    <w:rsid w:val="00C643DC"/>
    <w:rsid w:val="00C64400"/>
    <w:rsid w:val="00C6446C"/>
    <w:rsid w:val="00C64502"/>
    <w:rsid w:val="00C64540"/>
    <w:rsid w:val="00C64569"/>
    <w:rsid w:val="00C6459C"/>
    <w:rsid w:val="00C645CC"/>
    <w:rsid w:val="00C64674"/>
    <w:rsid w:val="00C64681"/>
    <w:rsid w:val="00C646AB"/>
    <w:rsid w:val="00C64737"/>
    <w:rsid w:val="00C647C5"/>
    <w:rsid w:val="00C647C6"/>
    <w:rsid w:val="00C647F6"/>
    <w:rsid w:val="00C64815"/>
    <w:rsid w:val="00C6487B"/>
    <w:rsid w:val="00C6488F"/>
    <w:rsid w:val="00C648AB"/>
    <w:rsid w:val="00C648CD"/>
    <w:rsid w:val="00C64908"/>
    <w:rsid w:val="00C6490D"/>
    <w:rsid w:val="00C649BE"/>
    <w:rsid w:val="00C64A2B"/>
    <w:rsid w:val="00C64A87"/>
    <w:rsid w:val="00C64AD4"/>
    <w:rsid w:val="00C64AF0"/>
    <w:rsid w:val="00C64B17"/>
    <w:rsid w:val="00C64B27"/>
    <w:rsid w:val="00C64B63"/>
    <w:rsid w:val="00C64B7C"/>
    <w:rsid w:val="00C64C3D"/>
    <w:rsid w:val="00C64C78"/>
    <w:rsid w:val="00C64C80"/>
    <w:rsid w:val="00C64D28"/>
    <w:rsid w:val="00C64D87"/>
    <w:rsid w:val="00C64DBE"/>
    <w:rsid w:val="00C64DF1"/>
    <w:rsid w:val="00C64DF8"/>
    <w:rsid w:val="00C64E8C"/>
    <w:rsid w:val="00C64E8F"/>
    <w:rsid w:val="00C64EF6"/>
    <w:rsid w:val="00C64F0F"/>
    <w:rsid w:val="00C64F33"/>
    <w:rsid w:val="00C64F44"/>
    <w:rsid w:val="00C64F4B"/>
    <w:rsid w:val="00C64F70"/>
    <w:rsid w:val="00C64F80"/>
    <w:rsid w:val="00C64FD3"/>
    <w:rsid w:val="00C64FEC"/>
    <w:rsid w:val="00C64FF6"/>
    <w:rsid w:val="00C64FF9"/>
    <w:rsid w:val="00C650D2"/>
    <w:rsid w:val="00C650E3"/>
    <w:rsid w:val="00C65102"/>
    <w:rsid w:val="00C6515F"/>
    <w:rsid w:val="00C6516E"/>
    <w:rsid w:val="00C651CC"/>
    <w:rsid w:val="00C651D1"/>
    <w:rsid w:val="00C651E1"/>
    <w:rsid w:val="00C651E3"/>
    <w:rsid w:val="00C651F9"/>
    <w:rsid w:val="00C65221"/>
    <w:rsid w:val="00C65293"/>
    <w:rsid w:val="00C652B1"/>
    <w:rsid w:val="00C6533A"/>
    <w:rsid w:val="00C6535C"/>
    <w:rsid w:val="00C65376"/>
    <w:rsid w:val="00C6538D"/>
    <w:rsid w:val="00C653DC"/>
    <w:rsid w:val="00C653F2"/>
    <w:rsid w:val="00C6544A"/>
    <w:rsid w:val="00C65471"/>
    <w:rsid w:val="00C65517"/>
    <w:rsid w:val="00C6551F"/>
    <w:rsid w:val="00C6552C"/>
    <w:rsid w:val="00C65552"/>
    <w:rsid w:val="00C6555E"/>
    <w:rsid w:val="00C655A3"/>
    <w:rsid w:val="00C65612"/>
    <w:rsid w:val="00C65641"/>
    <w:rsid w:val="00C65656"/>
    <w:rsid w:val="00C65659"/>
    <w:rsid w:val="00C65679"/>
    <w:rsid w:val="00C6567E"/>
    <w:rsid w:val="00C65692"/>
    <w:rsid w:val="00C656A5"/>
    <w:rsid w:val="00C656B7"/>
    <w:rsid w:val="00C656D8"/>
    <w:rsid w:val="00C65770"/>
    <w:rsid w:val="00C657B5"/>
    <w:rsid w:val="00C657E7"/>
    <w:rsid w:val="00C65846"/>
    <w:rsid w:val="00C65859"/>
    <w:rsid w:val="00C6589B"/>
    <w:rsid w:val="00C658A3"/>
    <w:rsid w:val="00C658BC"/>
    <w:rsid w:val="00C65916"/>
    <w:rsid w:val="00C65935"/>
    <w:rsid w:val="00C6593D"/>
    <w:rsid w:val="00C659DC"/>
    <w:rsid w:val="00C659F5"/>
    <w:rsid w:val="00C65A09"/>
    <w:rsid w:val="00C65A32"/>
    <w:rsid w:val="00C65AAE"/>
    <w:rsid w:val="00C65AB8"/>
    <w:rsid w:val="00C65AD9"/>
    <w:rsid w:val="00C65B2D"/>
    <w:rsid w:val="00C65B62"/>
    <w:rsid w:val="00C65BC9"/>
    <w:rsid w:val="00C65C31"/>
    <w:rsid w:val="00C65C37"/>
    <w:rsid w:val="00C65C79"/>
    <w:rsid w:val="00C65C8A"/>
    <w:rsid w:val="00C65CBB"/>
    <w:rsid w:val="00C65CCB"/>
    <w:rsid w:val="00C65CE5"/>
    <w:rsid w:val="00C65CEC"/>
    <w:rsid w:val="00C65CFC"/>
    <w:rsid w:val="00C65D17"/>
    <w:rsid w:val="00C65D1A"/>
    <w:rsid w:val="00C65D3A"/>
    <w:rsid w:val="00C65D51"/>
    <w:rsid w:val="00C65D90"/>
    <w:rsid w:val="00C65DBE"/>
    <w:rsid w:val="00C65DFF"/>
    <w:rsid w:val="00C65E20"/>
    <w:rsid w:val="00C65E43"/>
    <w:rsid w:val="00C65E44"/>
    <w:rsid w:val="00C65E78"/>
    <w:rsid w:val="00C65F0E"/>
    <w:rsid w:val="00C65F33"/>
    <w:rsid w:val="00C65F4F"/>
    <w:rsid w:val="00C65F54"/>
    <w:rsid w:val="00C65F56"/>
    <w:rsid w:val="00C65F86"/>
    <w:rsid w:val="00C65F98"/>
    <w:rsid w:val="00C66062"/>
    <w:rsid w:val="00C6612E"/>
    <w:rsid w:val="00C6614E"/>
    <w:rsid w:val="00C66181"/>
    <w:rsid w:val="00C661EB"/>
    <w:rsid w:val="00C6620F"/>
    <w:rsid w:val="00C66268"/>
    <w:rsid w:val="00C66285"/>
    <w:rsid w:val="00C662DE"/>
    <w:rsid w:val="00C6631B"/>
    <w:rsid w:val="00C66332"/>
    <w:rsid w:val="00C6634A"/>
    <w:rsid w:val="00C66373"/>
    <w:rsid w:val="00C6645D"/>
    <w:rsid w:val="00C6647E"/>
    <w:rsid w:val="00C66499"/>
    <w:rsid w:val="00C6655A"/>
    <w:rsid w:val="00C66575"/>
    <w:rsid w:val="00C6658D"/>
    <w:rsid w:val="00C6658F"/>
    <w:rsid w:val="00C665B1"/>
    <w:rsid w:val="00C6660D"/>
    <w:rsid w:val="00C6663F"/>
    <w:rsid w:val="00C66663"/>
    <w:rsid w:val="00C6666B"/>
    <w:rsid w:val="00C6668B"/>
    <w:rsid w:val="00C666F2"/>
    <w:rsid w:val="00C667E0"/>
    <w:rsid w:val="00C667F6"/>
    <w:rsid w:val="00C66966"/>
    <w:rsid w:val="00C66988"/>
    <w:rsid w:val="00C669A0"/>
    <w:rsid w:val="00C669A6"/>
    <w:rsid w:val="00C669DD"/>
    <w:rsid w:val="00C669E9"/>
    <w:rsid w:val="00C669EA"/>
    <w:rsid w:val="00C66A39"/>
    <w:rsid w:val="00C66A98"/>
    <w:rsid w:val="00C66B42"/>
    <w:rsid w:val="00C66B64"/>
    <w:rsid w:val="00C66B83"/>
    <w:rsid w:val="00C66BBA"/>
    <w:rsid w:val="00C66BFF"/>
    <w:rsid w:val="00C66C29"/>
    <w:rsid w:val="00C66CB4"/>
    <w:rsid w:val="00C66CD2"/>
    <w:rsid w:val="00C66CEF"/>
    <w:rsid w:val="00C66CFD"/>
    <w:rsid w:val="00C66D43"/>
    <w:rsid w:val="00C66DC3"/>
    <w:rsid w:val="00C66DC6"/>
    <w:rsid w:val="00C66DE5"/>
    <w:rsid w:val="00C66DFC"/>
    <w:rsid w:val="00C66E56"/>
    <w:rsid w:val="00C66EE1"/>
    <w:rsid w:val="00C66F01"/>
    <w:rsid w:val="00C66F19"/>
    <w:rsid w:val="00C66F81"/>
    <w:rsid w:val="00C66FB5"/>
    <w:rsid w:val="00C6702C"/>
    <w:rsid w:val="00C6707A"/>
    <w:rsid w:val="00C6707C"/>
    <w:rsid w:val="00C670AF"/>
    <w:rsid w:val="00C67133"/>
    <w:rsid w:val="00C67199"/>
    <w:rsid w:val="00C671A1"/>
    <w:rsid w:val="00C671AC"/>
    <w:rsid w:val="00C67211"/>
    <w:rsid w:val="00C6722C"/>
    <w:rsid w:val="00C6729F"/>
    <w:rsid w:val="00C672F8"/>
    <w:rsid w:val="00C6730A"/>
    <w:rsid w:val="00C6733D"/>
    <w:rsid w:val="00C67348"/>
    <w:rsid w:val="00C673A5"/>
    <w:rsid w:val="00C673B1"/>
    <w:rsid w:val="00C673CF"/>
    <w:rsid w:val="00C673F5"/>
    <w:rsid w:val="00C67438"/>
    <w:rsid w:val="00C67452"/>
    <w:rsid w:val="00C67468"/>
    <w:rsid w:val="00C67474"/>
    <w:rsid w:val="00C67489"/>
    <w:rsid w:val="00C674E6"/>
    <w:rsid w:val="00C6752C"/>
    <w:rsid w:val="00C67550"/>
    <w:rsid w:val="00C67586"/>
    <w:rsid w:val="00C675B7"/>
    <w:rsid w:val="00C67609"/>
    <w:rsid w:val="00C676D3"/>
    <w:rsid w:val="00C6772E"/>
    <w:rsid w:val="00C6773C"/>
    <w:rsid w:val="00C6774C"/>
    <w:rsid w:val="00C67755"/>
    <w:rsid w:val="00C67759"/>
    <w:rsid w:val="00C677AA"/>
    <w:rsid w:val="00C67863"/>
    <w:rsid w:val="00C678BE"/>
    <w:rsid w:val="00C678F3"/>
    <w:rsid w:val="00C67910"/>
    <w:rsid w:val="00C67924"/>
    <w:rsid w:val="00C679A0"/>
    <w:rsid w:val="00C679C2"/>
    <w:rsid w:val="00C67A7F"/>
    <w:rsid w:val="00C67AB5"/>
    <w:rsid w:val="00C67ACA"/>
    <w:rsid w:val="00C67B0E"/>
    <w:rsid w:val="00C67B44"/>
    <w:rsid w:val="00C67B6B"/>
    <w:rsid w:val="00C67B75"/>
    <w:rsid w:val="00C67B9F"/>
    <w:rsid w:val="00C67BEE"/>
    <w:rsid w:val="00C67C35"/>
    <w:rsid w:val="00C67C82"/>
    <w:rsid w:val="00C67CB4"/>
    <w:rsid w:val="00C67CC1"/>
    <w:rsid w:val="00C67D0B"/>
    <w:rsid w:val="00C67D2C"/>
    <w:rsid w:val="00C67DF3"/>
    <w:rsid w:val="00C67E03"/>
    <w:rsid w:val="00C67E59"/>
    <w:rsid w:val="00C67E84"/>
    <w:rsid w:val="00C67E8B"/>
    <w:rsid w:val="00C67E98"/>
    <w:rsid w:val="00C67F00"/>
    <w:rsid w:val="00C67F37"/>
    <w:rsid w:val="00C67F79"/>
    <w:rsid w:val="00C67FB6"/>
    <w:rsid w:val="00C67FEF"/>
    <w:rsid w:val="00C67FF2"/>
    <w:rsid w:val="00C70042"/>
    <w:rsid w:val="00C70099"/>
    <w:rsid w:val="00C7016E"/>
    <w:rsid w:val="00C701D5"/>
    <w:rsid w:val="00C701E1"/>
    <w:rsid w:val="00C701E8"/>
    <w:rsid w:val="00C7027E"/>
    <w:rsid w:val="00C7029E"/>
    <w:rsid w:val="00C702C3"/>
    <w:rsid w:val="00C702C6"/>
    <w:rsid w:val="00C702F8"/>
    <w:rsid w:val="00C70304"/>
    <w:rsid w:val="00C703BB"/>
    <w:rsid w:val="00C70465"/>
    <w:rsid w:val="00C704AF"/>
    <w:rsid w:val="00C7050F"/>
    <w:rsid w:val="00C7051A"/>
    <w:rsid w:val="00C70522"/>
    <w:rsid w:val="00C70532"/>
    <w:rsid w:val="00C70563"/>
    <w:rsid w:val="00C7056E"/>
    <w:rsid w:val="00C7057A"/>
    <w:rsid w:val="00C70585"/>
    <w:rsid w:val="00C705AC"/>
    <w:rsid w:val="00C705E8"/>
    <w:rsid w:val="00C70644"/>
    <w:rsid w:val="00C70652"/>
    <w:rsid w:val="00C7066B"/>
    <w:rsid w:val="00C706AB"/>
    <w:rsid w:val="00C70702"/>
    <w:rsid w:val="00C70728"/>
    <w:rsid w:val="00C70796"/>
    <w:rsid w:val="00C707FF"/>
    <w:rsid w:val="00C708BF"/>
    <w:rsid w:val="00C70950"/>
    <w:rsid w:val="00C709B3"/>
    <w:rsid w:val="00C70A5B"/>
    <w:rsid w:val="00C70A5E"/>
    <w:rsid w:val="00C70A73"/>
    <w:rsid w:val="00C70AAB"/>
    <w:rsid w:val="00C70ADC"/>
    <w:rsid w:val="00C70B20"/>
    <w:rsid w:val="00C70B7E"/>
    <w:rsid w:val="00C70B89"/>
    <w:rsid w:val="00C70BB3"/>
    <w:rsid w:val="00C70BC0"/>
    <w:rsid w:val="00C70BFC"/>
    <w:rsid w:val="00C70C04"/>
    <w:rsid w:val="00C70C05"/>
    <w:rsid w:val="00C70C28"/>
    <w:rsid w:val="00C70C8C"/>
    <w:rsid w:val="00C70CA5"/>
    <w:rsid w:val="00C70CAF"/>
    <w:rsid w:val="00C70CC0"/>
    <w:rsid w:val="00C70CC5"/>
    <w:rsid w:val="00C70CC9"/>
    <w:rsid w:val="00C70CF2"/>
    <w:rsid w:val="00C70D34"/>
    <w:rsid w:val="00C70DB1"/>
    <w:rsid w:val="00C70E06"/>
    <w:rsid w:val="00C70E09"/>
    <w:rsid w:val="00C70E2F"/>
    <w:rsid w:val="00C70E6A"/>
    <w:rsid w:val="00C70EF7"/>
    <w:rsid w:val="00C70F47"/>
    <w:rsid w:val="00C70F49"/>
    <w:rsid w:val="00C70F58"/>
    <w:rsid w:val="00C70F63"/>
    <w:rsid w:val="00C70F83"/>
    <w:rsid w:val="00C70FDF"/>
    <w:rsid w:val="00C7100F"/>
    <w:rsid w:val="00C71033"/>
    <w:rsid w:val="00C71069"/>
    <w:rsid w:val="00C71085"/>
    <w:rsid w:val="00C7108D"/>
    <w:rsid w:val="00C710B7"/>
    <w:rsid w:val="00C71108"/>
    <w:rsid w:val="00C7112E"/>
    <w:rsid w:val="00C711C4"/>
    <w:rsid w:val="00C711EA"/>
    <w:rsid w:val="00C711ED"/>
    <w:rsid w:val="00C71247"/>
    <w:rsid w:val="00C7125C"/>
    <w:rsid w:val="00C7128E"/>
    <w:rsid w:val="00C71294"/>
    <w:rsid w:val="00C712CD"/>
    <w:rsid w:val="00C712EE"/>
    <w:rsid w:val="00C712FA"/>
    <w:rsid w:val="00C713BE"/>
    <w:rsid w:val="00C713ED"/>
    <w:rsid w:val="00C71424"/>
    <w:rsid w:val="00C7146F"/>
    <w:rsid w:val="00C71498"/>
    <w:rsid w:val="00C7150C"/>
    <w:rsid w:val="00C7151C"/>
    <w:rsid w:val="00C71522"/>
    <w:rsid w:val="00C71551"/>
    <w:rsid w:val="00C71558"/>
    <w:rsid w:val="00C71580"/>
    <w:rsid w:val="00C71587"/>
    <w:rsid w:val="00C71594"/>
    <w:rsid w:val="00C715AF"/>
    <w:rsid w:val="00C715F2"/>
    <w:rsid w:val="00C71653"/>
    <w:rsid w:val="00C716A7"/>
    <w:rsid w:val="00C71723"/>
    <w:rsid w:val="00C71724"/>
    <w:rsid w:val="00C71780"/>
    <w:rsid w:val="00C717AE"/>
    <w:rsid w:val="00C717DD"/>
    <w:rsid w:val="00C7180E"/>
    <w:rsid w:val="00C71853"/>
    <w:rsid w:val="00C71897"/>
    <w:rsid w:val="00C718A3"/>
    <w:rsid w:val="00C719B5"/>
    <w:rsid w:val="00C719C0"/>
    <w:rsid w:val="00C719F4"/>
    <w:rsid w:val="00C71A39"/>
    <w:rsid w:val="00C71A9E"/>
    <w:rsid w:val="00C71ACC"/>
    <w:rsid w:val="00C71B43"/>
    <w:rsid w:val="00C71B83"/>
    <w:rsid w:val="00C71BDF"/>
    <w:rsid w:val="00C71C04"/>
    <w:rsid w:val="00C71C3B"/>
    <w:rsid w:val="00C71D28"/>
    <w:rsid w:val="00C71D7A"/>
    <w:rsid w:val="00C71DA4"/>
    <w:rsid w:val="00C71DAB"/>
    <w:rsid w:val="00C71DC1"/>
    <w:rsid w:val="00C71DFB"/>
    <w:rsid w:val="00C71E2E"/>
    <w:rsid w:val="00C71E44"/>
    <w:rsid w:val="00C71E49"/>
    <w:rsid w:val="00C71E88"/>
    <w:rsid w:val="00C71E9F"/>
    <w:rsid w:val="00C71EB7"/>
    <w:rsid w:val="00C71F06"/>
    <w:rsid w:val="00C71F21"/>
    <w:rsid w:val="00C71F22"/>
    <w:rsid w:val="00C71FB4"/>
    <w:rsid w:val="00C71FB6"/>
    <w:rsid w:val="00C72067"/>
    <w:rsid w:val="00C72078"/>
    <w:rsid w:val="00C72084"/>
    <w:rsid w:val="00C7209C"/>
    <w:rsid w:val="00C720A8"/>
    <w:rsid w:val="00C72228"/>
    <w:rsid w:val="00C72240"/>
    <w:rsid w:val="00C72274"/>
    <w:rsid w:val="00C722A3"/>
    <w:rsid w:val="00C72311"/>
    <w:rsid w:val="00C72318"/>
    <w:rsid w:val="00C72367"/>
    <w:rsid w:val="00C7236C"/>
    <w:rsid w:val="00C723FE"/>
    <w:rsid w:val="00C72481"/>
    <w:rsid w:val="00C724A7"/>
    <w:rsid w:val="00C724B7"/>
    <w:rsid w:val="00C724C8"/>
    <w:rsid w:val="00C724E6"/>
    <w:rsid w:val="00C724E8"/>
    <w:rsid w:val="00C724F5"/>
    <w:rsid w:val="00C724FD"/>
    <w:rsid w:val="00C7256E"/>
    <w:rsid w:val="00C72588"/>
    <w:rsid w:val="00C725D6"/>
    <w:rsid w:val="00C725EA"/>
    <w:rsid w:val="00C72714"/>
    <w:rsid w:val="00C7275B"/>
    <w:rsid w:val="00C7277E"/>
    <w:rsid w:val="00C72863"/>
    <w:rsid w:val="00C7288B"/>
    <w:rsid w:val="00C728AB"/>
    <w:rsid w:val="00C72923"/>
    <w:rsid w:val="00C72988"/>
    <w:rsid w:val="00C729E8"/>
    <w:rsid w:val="00C72A0E"/>
    <w:rsid w:val="00C72A0F"/>
    <w:rsid w:val="00C72A14"/>
    <w:rsid w:val="00C72A5D"/>
    <w:rsid w:val="00C72A74"/>
    <w:rsid w:val="00C72A99"/>
    <w:rsid w:val="00C72AA2"/>
    <w:rsid w:val="00C72AAF"/>
    <w:rsid w:val="00C72AB6"/>
    <w:rsid w:val="00C72B0C"/>
    <w:rsid w:val="00C72B11"/>
    <w:rsid w:val="00C72B17"/>
    <w:rsid w:val="00C72B34"/>
    <w:rsid w:val="00C72B36"/>
    <w:rsid w:val="00C72B49"/>
    <w:rsid w:val="00C72B90"/>
    <w:rsid w:val="00C72BB8"/>
    <w:rsid w:val="00C72BF1"/>
    <w:rsid w:val="00C72C4E"/>
    <w:rsid w:val="00C72C5F"/>
    <w:rsid w:val="00C72CEF"/>
    <w:rsid w:val="00C72CFD"/>
    <w:rsid w:val="00C72D20"/>
    <w:rsid w:val="00C72D21"/>
    <w:rsid w:val="00C72D38"/>
    <w:rsid w:val="00C72D7B"/>
    <w:rsid w:val="00C72DDC"/>
    <w:rsid w:val="00C72E2A"/>
    <w:rsid w:val="00C72E7A"/>
    <w:rsid w:val="00C72EC4"/>
    <w:rsid w:val="00C72FBF"/>
    <w:rsid w:val="00C72FD7"/>
    <w:rsid w:val="00C73021"/>
    <w:rsid w:val="00C73022"/>
    <w:rsid w:val="00C73024"/>
    <w:rsid w:val="00C7305B"/>
    <w:rsid w:val="00C73089"/>
    <w:rsid w:val="00C730A7"/>
    <w:rsid w:val="00C730D0"/>
    <w:rsid w:val="00C73113"/>
    <w:rsid w:val="00C731B2"/>
    <w:rsid w:val="00C731BC"/>
    <w:rsid w:val="00C73227"/>
    <w:rsid w:val="00C73295"/>
    <w:rsid w:val="00C73299"/>
    <w:rsid w:val="00C732C7"/>
    <w:rsid w:val="00C73357"/>
    <w:rsid w:val="00C7335B"/>
    <w:rsid w:val="00C73370"/>
    <w:rsid w:val="00C73383"/>
    <w:rsid w:val="00C733BC"/>
    <w:rsid w:val="00C733F8"/>
    <w:rsid w:val="00C733FE"/>
    <w:rsid w:val="00C73412"/>
    <w:rsid w:val="00C73421"/>
    <w:rsid w:val="00C73474"/>
    <w:rsid w:val="00C734C8"/>
    <w:rsid w:val="00C735C5"/>
    <w:rsid w:val="00C7368F"/>
    <w:rsid w:val="00C736E1"/>
    <w:rsid w:val="00C736E2"/>
    <w:rsid w:val="00C73726"/>
    <w:rsid w:val="00C7372B"/>
    <w:rsid w:val="00C73730"/>
    <w:rsid w:val="00C73739"/>
    <w:rsid w:val="00C7374D"/>
    <w:rsid w:val="00C73751"/>
    <w:rsid w:val="00C73772"/>
    <w:rsid w:val="00C73777"/>
    <w:rsid w:val="00C737E9"/>
    <w:rsid w:val="00C73802"/>
    <w:rsid w:val="00C7383C"/>
    <w:rsid w:val="00C73845"/>
    <w:rsid w:val="00C73861"/>
    <w:rsid w:val="00C738A9"/>
    <w:rsid w:val="00C738E8"/>
    <w:rsid w:val="00C73920"/>
    <w:rsid w:val="00C7394C"/>
    <w:rsid w:val="00C73953"/>
    <w:rsid w:val="00C73984"/>
    <w:rsid w:val="00C73997"/>
    <w:rsid w:val="00C739F0"/>
    <w:rsid w:val="00C73A47"/>
    <w:rsid w:val="00C73A74"/>
    <w:rsid w:val="00C73A9B"/>
    <w:rsid w:val="00C73AF5"/>
    <w:rsid w:val="00C73B3C"/>
    <w:rsid w:val="00C73B55"/>
    <w:rsid w:val="00C73B59"/>
    <w:rsid w:val="00C73B8F"/>
    <w:rsid w:val="00C73BA5"/>
    <w:rsid w:val="00C73BFA"/>
    <w:rsid w:val="00C73C32"/>
    <w:rsid w:val="00C73C42"/>
    <w:rsid w:val="00C73C65"/>
    <w:rsid w:val="00C73C67"/>
    <w:rsid w:val="00C73C6F"/>
    <w:rsid w:val="00C73CEC"/>
    <w:rsid w:val="00C73D78"/>
    <w:rsid w:val="00C73DA6"/>
    <w:rsid w:val="00C73E03"/>
    <w:rsid w:val="00C73E58"/>
    <w:rsid w:val="00C73EA9"/>
    <w:rsid w:val="00C73EB6"/>
    <w:rsid w:val="00C73EBE"/>
    <w:rsid w:val="00C73F1C"/>
    <w:rsid w:val="00C73F3C"/>
    <w:rsid w:val="00C73F3F"/>
    <w:rsid w:val="00C73F63"/>
    <w:rsid w:val="00C73F92"/>
    <w:rsid w:val="00C73FE5"/>
    <w:rsid w:val="00C73FF2"/>
    <w:rsid w:val="00C7400B"/>
    <w:rsid w:val="00C7403A"/>
    <w:rsid w:val="00C7406D"/>
    <w:rsid w:val="00C740C9"/>
    <w:rsid w:val="00C74109"/>
    <w:rsid w:val="00C74140"/>
    <w:rsid w:val="00C74145"/>
    <w:rsid w:val="00C741C6"/>
    <w:rsid w:val="00C741D9"/>
    <w:rsid w:val="00C74234"/>
    <w:rsid w:val="00C7423A"/>
    <w:rsid w:val="00C74280"/>
    <w:rsid w:val="00C742C5"/>
    <w:rsid w:val="00C742FF"/>
    <w:rsid w:val="00C74307"/>
    <w:rsid w:val="00C74318"/>
    <w:rsid w:val="00C7431F"/>
    <w:rsid w:val="00C7436A"/>
    <w:rsid w:val="00C74398"/>
    <w:rsid w:val="00C7439C"/>
    <w:rsid w:val="00C743B7"/>
    <w:rsid w:val="00C743BA"/>
    <w:rsid w:val="00C743E5"/>
    <w:rsid w:val="00C743EB"/>
    <w:rsid w:val="00C743EC"/>
    <w:rsid w:val="00C74400"/>
    <w:rsid w:val="00C74407"/>
    <w:rsid w:val="00C74415"/>
    <w:rsid w:val="00C7441D"/>
    <w:rsid w:val="00C74470"/>
    <w:rsid w:val="00C74473"/>
    <w:rsid w:val="00C7448D"/>
    <w:rsid w:val="00C744CF"/>
    <w:rsid w:val="00C7455D"/>
    <w:rsid w:val="00C7457F"/>
    <w:rsid w:val="00C745A3"/>
    <w:rsid w:val="00C745BD"/>
    <w:rsid w:val="00C745E9"/>
    <w:rsid w:val="00C74670"/>
    <w:rsid w:val="00C74689"/>
    <w:rsid w:val="00C7468D"/>
    <w:rsid w:val="00C746A1"/>
    <w:rsid w:val="00C746C5"/>
    <w:rsid w:val="00C746C6"/>
    <w:rsid w:val="00C74728"/>
    <w:rsid w:val="00C74736"/>
    <w:rsid w:val="00C7473E"/>
    <w:rsid w:val="00C747A5"/>
    <w:rsid w:val="00C747B3"/>
    <w:rsid w:val="00C747BB"/>
    <w:rsid w:val="00C747C4"/>
    <w:rsid w:val="00C7482E"/>
    <w:rsid w:val="00C748FA"/>
    <w:rsid w:val="00C7494A"/>
    <w:rsid w:val="00C749DE"/>
    <w:rsid w:val="00C749F4"/>
    <w:rsid w:val="00C74AA8"/>
    <w:rsid w:val="00C74AED"/>
    <w:rsid w:val="00C74B1B"/>
    <w:rsid w:val="00C74B54"/>
    <w:rsid w:val="00C74B9C"/>
    <w:rsid w:val="00C74BF4"/>
    <w:rsid w:val="00C74C72"/>
    <w:rsid w:val="00C74C7A"/>
    <w:rsid w:val="00C74C80"/>
    <w:rsid w:val="00C74D4C"/>
    <w:rsid w:val="00C74D64"/>
    <w:rsid w:val="00C74D6A"/>
    <w:rsid w:val="00C74D7F"/>
    <w:rsid w:val="00C74DF0"/>
    <w:rsid w:val="00C74E06"/>
    <w:rsid w:val="00C74E15"/>
    <w:rsid w:val="00C74E1E"/>
    <w:rsid w:val="00C74E27"/>
    <w:rsid w:val="00C74E2B"/>
    <w:rsid w:val="00C74E5C"/>
    <w:rsid w:val="00C74E67"/>
    <w:rsid w:val="00C74F68"/>
    <w:rsid w:val="00C74F99"/>
    <w:rsid w:val="00C74F9E"/>
    <w:rsid w:val="00C74FE7"/>
    <w:rsid w:val="00C75010"/>
    <w:rsid w:val="00C75100"/>
    <w:rsid w:val="00C75108"/>
    <w:rsid w:val="00C7511C"/>
    <w:rsid w:val="00C7512C"/>
    <w:rsid w:val="00C75167"/>
    <w:rsid w:val="00C751AF"/>
    <w:rsid w:val="00C751BC"/>
    <w:rsid w:val="00C751D4"/>
    <w:rsid w:val="00C75217"/>
    <w:rsid w:val="00C75253"/>
    <w:rsid w:val="00C7526D"/>
    <w:rsid w:val="00C75294"/>
    <w:rsid w:val="00C75295"/>
    <w:rsid w:val="00C752D7"/>
    <w:rsid w:val="00C75325"/>
    <w:rsid w:val="00C75332"/>
    <w:rsid w:val="00C75340"/>
    <w:rsid w:val="00C753B3"/>
    <w:rsid w:val="00C75404"/>
    <w:rsid w:val="00C75472"/>
    <w:rsid w:val="00C75480"/>
    <w:rsid w:val="00C754CF"/>
    <w:rsid w:val="00C75503"/>
    <w:rsid w:val="00C7550A"/>
    <w:rsid w:val="00C75516"/>
    <w:rsid w:val="00C75594"/>
    <w:rsid w:val="00C755AC"/>
    <w:rsid w:val="00C755DF"/>
    <w:rsid w:val="00C75645"/>
    <w:rsid w:val="00C7567A"/>
    <w:rsid w:val="00C75686"/>
    <w:rsid w:val="00C756CC"/>
    <w:rsid w:val="00C756EE"/>
    <w:rsid w:val="00C7571C"/>
    <w:rsid w:val="00C7572F"/>
    <w:rsid w:val="00C7575B"/>
    <w:rsid w:val="00C75766"/>
    <w:rsid w:val="00C75860"/>
    <w:rsid w:val="00C758B3"/>
    <w:rsid w:val="00C758CE"/>
    <w:rsid w:val="00C758FE"/>
    <w:rsid w:val="00C7591A"/>
    <w:rsid w:val="00C75944"/>
    <w:rsid w:val="00C7598B"/>
    <w:rsid w:val="00C75991"/>
    <w:rsid w:val="00C759C8"/>
    <w:rsid w:val="00C75A56"/>
    <w:rsid w:val="00C75AC5"/>
    <w:rsid w:val="00C75AC7"/>
    <w:rsid w:val="00C75B5F"/>
    <w:rsid w:val="00C75B6C"/>
    <w:rsid w:val="00C75B89"/>
    <w:rsid w:val="00C75BB2"/>
    <w:rsid w:val="00C75BBB"/>
    <w:rsid w:val="00C75C01"/>
    <w:rsid w:val="00C75C0C"/>
    <w:rsid w:val="00C75C49"/>
    <w:rsid w:val="00C75D0B"/>
    <w:rsid w:val="00C75D22"/>
    <w:rsid w:val="00C75D36"/>
    <w:rsid w:val="00C75D60"/>
    <w:rsid w:val="00C75D95"/>
    <w:rsid w:val="00C75DAE"/>
    <w:rsid w:val="00C75DB7"/>
    <w:rsid w:val="00C75DEA"/>
    <w:rsid w:val="00C75E03"/>
    <w:rsid w:val="00C75E1A"/>
    <w:rsid w:val="00C75E30"/>
    <w:rsid w:val="00C75E4F"/>
    <w:rsid w:val="00C75EC7"/>
    <w:rsid w:val="00C75EDA"/>
    <w:rsid w:val="00C75EEA"/>
    <w:rsid w:val="00C75F1C"/>
    <w:rsid w:val="00C75FC4"/>
    <w:rsid w:val="00C75FF6"/>
    <w:rsid w:val="00C76031"/>
    <w:rsid w:val="00C76052"/>
    <w:rsid w:val="00C76069"/>
    <w:rsid w:val="00C7607E"/>
    <w:rsid w:val="00C76110"/>
    <w:rsid w:val="00C7613B"/>
    <w:rsid w:val="00C7616A"/>
    <w:rsid w:val="00C76173"/>
    <w:rsid w:val="00C761A5"/>
    <w:rsid w:val="00C761BE"/>
    <w:rsid w:val="00C76237"/>
    <w:rsid w:val="00C76260"/>
    <w:rsid w:val="00C7626B"/>
    <w:rsid w:val="00C7628C"/>
    <w:rsid w:val="00C76291"/>
    <w:rsid w:val="00C762C3"/>
    <w:rsid w:val="00C762E1"/>
    <w:rsid w:val="00C7632B"/>
    <w:rsid w:val="00C7633F"/>
    <w:rsid w:val="00C763AF"/>
    <w:rsid w:val="00C763FB"/>
    <w:rsid w:val="00C76415"/>
    <w:rsid w:val="00C7644C"/>
    <w:rsid w:val="00C76499"/>
    <w:rsid w:val="00C764A1"/>
    <w:rsid w:val="00C764AE"/>
    <w:rsid w:val="00C7651B"/>
    <w:rsid w:val="00C76533"/>
    <w:rsid w:val="00C76599"/>
    <w:rsid w:val="00C765DD"/>
    <w:rsid w:val="00C765E8"/>
    <w:rsid w:val="00C765F6"/>
    <w:rsid w:val="00C76683"/>
    <w:rsid w:val="00C766D9"/>
    <w:rsid w:val="00C766DE"/>
    <w:rsid w:val="00C766E2"/>
    <w:rsid w:val="00C766ED"/>
    <w:rsid w:val="00C76745"/>
    <w:rsid w:val="00C7674E"/>
    <w:rsid w:val="00C767C2"/>
    <w:rsid w:val="00C767F4"/>
    <w:rsid w:val="00C7682E"/>
    <w:rsid w:val="00C768B3"/>
    <w:rsid w:val="00C768C6"/>
    <w:rsid w:val="00C768D9"/>
    <w:rsid w:val="00C768EC"/>
    <w:rsid w:val="00C76A44"/>
    <w:rsid w:val="00C76A61"/>
    <w:rsid w:val="00C76A95"/>
    <w:rsid w:val="00C76A9D"/>
    <w:rsid w:val="00C76AA0"/>
    <w:rsid w:val="00C76B37"/>
    <w:rsid w:val="00C76B7C"/>
    <w:rsid w:val="00C76B7D"/>
    <w:rsid w:val="00C76BFF"/>
    <w:rsid w:val="00C76C44"/>
    <w:rsid w:val="00C76C6D"/>
    <w:rsid w:val="00C76C86"/>
    <w:rsid w:val="00C76CA4"/>
    <w:rsid w:val="00C76CA7"/>
    <w:rsid w:val="00C76CD1"/>
    <w:rsid w:val="00C76D0F"/>
    <w:rsid w:val="00C76D3B"/>
    <w:rsid w:val="00C76DD3"/>
    <w:rsid w:val="00C76DFB"/>
    <w:rsid w:val="00C76E22"/>
    <w:rsid w:val="00C76E25"/>
    <w:rsid w:val="00C76E85"/>
    <w:rsid w:val="00C76EB2"/>
    <w:rsid w:val="00C76F12"/>
    <w:rsid w:val="00C76F30"/>
    <w:rsid w:val="00C76FFD"/>
    <w:rsid w:val="00C77054"/>
    <w:rsid w:val="00C7709A"/>
    <w:rsid w:val="00C770A1"/>
    <w:rsid w:val="00C770A5"/>
    <w:rsid w:val="00C77136"/>
    <w:rsid w:val="00C771B5"/>
    <w:rsid w:val="00C77224"/>
    <w:rsid w:val="00C77265"/>
    <w:rsid w:val="00C77297"/>
    <w:rsid w:val="00C772B3"/>
    <w:rsid w:val="00C772CD"/>
    <w:rsid w:val="00C773E5"/>
    <w:rsid w:val="00C773EA"/>
    <w:rsid w:val="00C7743E"/>
    <w:rsid w:val="00C77447"/>
    <w:rsid w:val="00C77467"/>
    <w:rsid w:val="00C7747D"/>
    <w:rsid w:val="00C774D1"/>
    <w:rsid w:val="00C77517"/>
    <w:rsid w:val="00C7758A"/>
    <w:rsid w:val="00C775DA"/>
    <w:rsid w:val="00C775E7"/>
    <w:rsid w:val="00C775FB"/>
    <w:rsid w:val="00C775FD"/>
    <w:rsid w:val="00C77622"/>
    <w:rsid w:val="00C7772A"/>
    <w:rsid w:val="00C7774C"/>
    <w:rsid w:val="00C77765"/>
    <w:rsid w:val="00C777A1"/>
    <w:rsid w:val="00C7782E"/>
    <w:rsid w:val="00C77833"/>
    <w:rsid w:val="00C7784B"/>
    <w:rsid w:val="00C7787C"/>
    <w:rsid w:val="00C7789B"/>
    <w:rsid w:val="00C778F5"/>
    <w:rsid w:val="00C779A2"/>
    <w:rsid w:val="00C779A6"/>
    <w:rsid w:val="00C779B4"/>
    <w:rsid w:val="00C779FD"/>
    <w:rsid w:val="00C779FF"/>
    <w:rsid w:val="00C77A37"/>
    <w:rsid w:val="00C77B7C"/>
    <w:rsid w:val="00C77BCF"/>
    <w:rsid w:val="00C77BD9"/>
    <w:rsid w:val="00C77C46"/>
    <w:rsid w:val="00C77CD1"/>
    <w:rsid w:val="00C77CE1"/>
    <w:rsid w:val="00C77CF8"/>
    <w:rsid w:val="00C77CFE"/>
    <w:rsid w:val="00C77D03"/>
    <w:rsid w:val="00C77D1B"/>
    <w:rsid w:val="00C77D21"/>
    <w:rsid w:val="00C77D2B"/>
    <w:rsid w:val="00C77D3C"/>
    <w:rsid w:val="00C77D52"/>
    <w:rsid w:val="00C77D77"/>
    <w:rsid w:val="00C77D91"/>
    <w:rsid w:val="00C77E22"/>
    <w:rsid w:val="00C77E37"/>
    <w:rsid w:val="00C77E72"/>
    <w:rsid w:val="00C77E7D"/>
    <w:rsid w:val="00C77ED0"/>
    <w:rsid w:val="00C77EE0"/>
    <w:rsid w:val="00C77EF8"/>
    <w:rsid w:val="00C77F0C"/>
    <w:rsid w:val="00C77F3E"/>
    <w:rsid w:val="00C77FF3"/>
    <w:rsid w:val="00C80040"/>
    <w:rsid w:val="00C800D0"/>
    <w:rsid w:val="00C800D2"/>
    <w:rsid w:val="00C800D6"/>
    <w:rsid w:val="00C800D9"/>
    <w:rsid w:val="00C800F9"/>
    <w:rsid w:val="00C80149"/>
    <w:rsid w:val="00C8015B"/>
    <w:rsid w:val="00C80164"/>
    <w:rsid w:val="00C80172"/>
    <w:rsid w:val="00C8017F"/>
    <w:rsid w:val="00C8018C"/>
    <w:rsid w:val="00C8018D"/>
    <w:rsid w:val="00C8019E"/>
    <w:rsid w:val="00C801B3"/>
    <w:rsid w:val="00C8026D"/>
    <w:rsid w:val="00C80276"/>
    <w:rsid w:val="00C80298"/>
    <w:rsid w:val="00C802D1"/>
    <w:rsid w:val="00C802DF"/>
    <w:rsid w:val="00C80322"/>
    <w:rsid w:val="00C80334"/>
    <w:rsid w:val="00C8034D"/>
    <w:rsid w:val="00C80356"/>
    <w:rsid w:val="00C803A2"/>
    <w:rsid w:val="00C803A9"/>
    <w:rsid w:val="00C803B6"/>
    <w:rsid w:val="00C803E6"/>
    <w:rsid w:val="00C8042D"/>
    <w:rsid w:val="00C80440"/>
    <w:rsid w:val="00C80444"/>
    <w:rsid w:val="00C8049B"/>
    <w:rsid w:val="00C804B7"/>
    <w:rsid w:val="00C80508"/>
    <w:rsid w:val="00C80540"/>
    <w:rsid w:val="00C80546"/>
    <w:rsid w:val="00C805F7"/>
    <w:rsid w:val="00C80607"/>
    <w:rsid w:val="00C8066E"/>
    <w:rsid w:val="00C80713"/>
    <w:rsid w:val="00C80736"/>
    <w:rsid w:val="00C80742"/>
    <w:rsid w:val="00C8075D"/>
    <w:rsid w:val="00C80786"/>
    <w:rsid w:val="00C80791"/>
    <w:rsid w:val="00C807E2"/>
    <w:rsid w:val="00C807FC"/>
    <w:rsid w:val="00C80800"/>
    <w:rsid w:val="00C80826"/>
    <w:rsid w:val="00C8089A"/>
    <w:rsid w:val="00C808FE"/>
    <w:rsid w:val="00C80983"/>
    <w:rsid w:val="00C809AD"/>
    <w:rsid w:val="00C809EA"/>
    <w:rsid w:val="00C809FB"/>
    <w:rsid w:val="00C80A33"/>
    <w:rsid w:val="00C80A48"/>
    <w:rsid w:val="00C80A53"/>
    <w:rsid w:val="00C80AAE"/>
    <w:rsid w:val="00C80B2B"/>
    <w:rsid w:val="00C80B58"/>
    <w:rsid w:val="00C80B62"/>
    <w:rsid w:val="00C80C96"/>
    <w:rsid w:val="00C80C97"/>
    <w:rsid w:val="00C80C9C"/>
    <w:rsid w:val="00C80CF5"/>
    <w:rsid w:val="00C80D03"/>
    <w:rsid w:val="00C80D5E"/>
    <w:rsid w:val="00C80DB3"/>
    <w:rsid w:val="00C80DEB"/>
    <w:rsid w:val="00C80DF0"/>
    <w:rsid w:val="00C80E17"/>
    <w:rsid w:val="00C80E21"/>
    <w:rsid w:val="00C80E36"/>
    <w:rsid w:val="00C80E76"/>
    <w:rsid w:val="00C80E84"/>
    <w:rsid w:val="00C80E8A"/>
    <w:rsid w:val="00C80EC4"/>
    <w:rsid w:val="00C80F81"/>
    <w:rsid w:val="00C81032"/>
    <w:rsid w:val="00C810BD"/>
    <w:rsid w:val="00C810F2"/>
    <w:rsid w:val="00C8110C"/>
    <w:rsid w:val="00C81139"/>
    <w:rsid w:val="00C8113D"/>
    <w:rsid w:val="00C8117C"/>
    <w:rsid w:val="00C811A2"/>
    <w:rsid w:val="00C8128C"/>
    <w:rsid w:val="00C812C7"/>
    <w:rsid w:val="00C81320"/>
    <w:rsid w:val="00C8134C"/>
    <w:rsid w:val="00C81374"/>
    <w:rsid w:val="00C813B8"/>
    <w:rsid w:val="00C813C5"/>
    <w:rsid w:val="00C813EF"/>
    <w:rsid w:val="00C8143B"/>
    <w:rsid w:val="00C81484"/>
    <w:rsid w:val="00C814D8"/>
    <w:rsid w:val="00C81511"/>
    <w:rsid w:val="00C81627"/>
    <w:rsid w:val="00C8167E"/>
    <w:rsid w:val="00C816C2"/>
    <w:rsid w:val="00C816D6"/>
    <w:rsid w:val="00C816EE"/>
    <w:rsid w:val="00C81729"/>
    <w:rsid w:val="00C8172E"/>
    <w:rsid w:val="00C8172F"/>
    <w:rsid w:val="00C81787"/>
    <w:rsid w:val="00C817B6"/>
    <w:rsid w:val="00C81816"/>
    <w:rsid w:val="00C8184D"/>
    <w:rsid w:val="00C8185C"/>
    <w:rsid w:val="00C8187F"/>
    <w:rsid w:val="00C8188F"/>
    <w:rsid w:val="00C818CC"/>
    <w:rsid w:val="00C818CD"/>
    <w:rsid w:val="00C818E6"/>
    <w:rsid w:val="00C818FA"/>
    <w:rsid w:val="00C81909"/>
    <w:rsid w:val="00C81930"/>
    <w:rsid w:val="00C81947"/>
    <w:rsid w:val="00C81970"/>
    <w:rsid w:val="00C81A56"/>
    <w:rsid w:val="00C81A98"/>
    <w:rsid w:val="00C81AF8"/>
    <w:rsid w:val="00C81B06"/>
    <w:rsid w:val="00C81B33"/>
    <w:rsid w:val="00C81B94"/>
    <w:rsid w:val="00C81BBA"/>
    <w:rsid w:val="00C81BF7"/>
    <w:rsid w:val="00C81C04"/>
    <w:rsid w:val="00C81C7A"/>
    <w:rsid w:val="00C81CBA"/>
    <w:rsid w:val="00C81CC8"/>
    <w:rsid w:val="00C81D38"/>
    <w:rsid w:val="00C81D4A"/>
    <w:rsid w:val="00C81E0A"/>
    <w:rsid w:val="00C81E39"/>
    <w:rsid w:val="00C81E76"/>
    <w:rsid w:val="00C81EA3"/>
    <w:rsid w:val="00C81EF5"/>
    <w:rsid w:val="00C81F0A"/>
    <w:rsid w:val="00C81F0E"/>
    <w:rsid w:val="00C81F2F"/>
    <w:rsid w:val="00C81F38"/>
    <w:rsid w:val="00C81F4C"/>
    <w:rsid w:val="00C81F60"/>
    <w:rsid w:val="00C81FB9"/>
    <w:rsid w:val="00C81FC3"/>
    <w:rsid w:val="00C81FCE"/>
    <w:rsid w:val="00C81FD8"/>
    <w:rsid w:val="00C81FEC"/>
    <w:rsid w:val="00C82009"/>
    <w:rsid w:val="00C8200D"/>
    <w:rsid w:val="00C82026"/>
    <w:rsid w:val="00C8203E"/>
    <w:rsid w:val="00C820A3"/>
    <w:rsid w:val="00C820A4"/>
    <w:rsid w:val="00C820EE"/>
    <w:rsid w:val="00C82119"/>
    <w:rsid w:val="00C8219D"/>
    <w:rsid w:val="00C821F2"/>
    <w:rsid w:val="00C822AE"/>
    <w:rsid w:val="00C822D0"/>
    <w:rsid w:val="00C82371"/>
    <w:rsid w:val="00C82383"/>
    <w:rsid w:val="00C8240E"/>
    <w:rsid w:val="00C824C0"/>
    <w:rsid w:val="00C824D3"/>
    <w:rsid w:val="00C824DE"/>
    <w:rsid w:val="00C824F5"/>
    <w:rsid w:val="00C8250E"/>
    <w:rsid w:val="00C8256A"/>
    <w:rsid w:val="00C825BF"/>
    <w:rsid w:val="00C825E0"/>
    <w:rsid w:val="00C82624"/>
    <w:rsid w:val="00C82700"/>
    <w:rsid w:val="00C82703"/>
    <w:rsid w:val="00C827AB"/>
    <w:rsid w:val="00C827C9"/>
    <w:rsid w:val="00C8285C"/>
    <w:rsid w:val="00C828AF"/>
    <w:rsid w:val="00C828C4"/>
    <w:rsid w:val="00C8290A"/>
    <w:rsid w:val="00C82925"/>
    <w:rsid w:val="00C82978"/>
    <w:rsid w:val="00C8299C"/>
    <w:rsid w:val="00C82A10"/>
    <w:rsid w:val="00C82A1F"/>
    <w:rsid w:val="00C82A41"/>
    <w:rsid w:val="00C82A97"/>
    <w:rsid w:val="00C82B06"/>
    <w:rsid w:val="00C82B0C"/>
    <w:rsid w:val="00C82B13"/>
    <w:rsid w:val="00C82B2A"/>
    <w:rsid w:val="00C82B38"/>
    <w:rsid w:val="00C82B51"/>
    <w:rsid w:val="00C82B79"/>
    <w:rsid w:val="00C82B88"/>
    <w:rsid w:val="00C82BDD"/>
    <w:rsid w:val="00C82C02"/>
    <w:rsid w:val="00C82C1D"/>
    <w:rsid w:val="00C82C34"/>
    <w:rsid w:val="00C82C63"/>
    <w:rsid w:val="00C82C7F"/>
    <w:rsid w:val="00C82D8F"/>
    <w:rsid w:val="00C82DEE"/>
    <w:rsid w:val="00C82DF3"/>
    <w:rsid w:val="00C82E3D"/>
    <w:rsid w:val="00C82EB0"/>
    <w:rsid w:val="00C82EB3"/>
    <w:rsid w:val="00C82EBA"/>
    <w:rsid w:val="00C82F5E"/>
    <w:rsid w:val="00C82F82"/>
    <w:rsid w:val="00C82F9B"/>
    <w:rsid w:val="00C82FA8"/>
    <w:rsid w:val="00C82FAE"/>
    <w:rsid w:val="00C82FBE"/>
    <w:rsid w:val="00C83076"/>
    <w:rsid w:val="00C8308C"/>
    <w:rsid w:val="00C83098"/>
    <w:rsid w:val="00C83099"/>
    <w:rsid w:val="00C8309B"/>
    <w:rsid w:val="00C830B3"/>
    <w:rsid w:val="00C830F2"/>
    <w:rsid w:val="00C831A2"/>
    <w:rsid w:val="00C831F6"/>
    <w:rsid w:val="00C8327D"/>
    <w:rsid w:val="00C83284"/>
    <w:rsid w:val="00C832CA"/>
    <w:rsid w:val="00C832DE"/>
    <w:rsid w:val="00C832E2"/>
    <w:rsid w:val="00C832E3"/>
    <w:rsid w:val="00C832F5"/>
    <w:rsid w:val="00C832FD"/>
    <w:rsid w:val="00C83482"/>
    <w:rsid w:val="00C83488"/>
    <w:rsid w:val="00C834D0"/>
    <w:rsid w:val="00C834EE"/>
    <w:rsid w:val="00C834F8"/>
    <w:rsid w:val="00C8350F"/>
    <w:rsid w:val="00C83561"/>
    <w:rsid w:val="00C83565"/>
    <w:rsid w:val="00C8358A"/>
    <w:rsid w:val="00C83591"/>
    <w:rsid w:val="00C835A5"/>
    <w:rsid w:val="00C83648"/>
    <w:rsid w:val="00C83714"/>
    <w:rsid w:val="00C8372E"/>
    <w:rsid w:val="00C837A9"/>
    <w:rsid w:val="00C837BC"/>
    <w:rsid w:val="00C83865"/>
    <w:rsid w:val="00C838B1"/>
    <w:rsid w:val="00C838DA"/>
    <w:rsid w:val="00C838E9"/>
    <w:rsid w:val="00C838FE"/>
    <w:rsid w:val="00C83909"/>
    <w:rsid w:val="00C83925"/>
    <w:rsid w:val="00C83A16"/>
    <w:rsid w:val="00C83A5C"/>
    <w:rsid w:val="00C83A9E"/>
    <w:rsid w:val="00C83B98"/>
    <w:rsid w:val="00C83BD7"/>
    <w:rsid w:val="00C83BE1"/>
    <w:rsid w:val="00C83BF5"/>
    <w:rsid w:val="00C83BFC"/>
    <w:rsid w:val="00C83C54"/>
    <w:rsid w:val="00C83C5B"/>
    <w:rsid w:val="00C83C80"/>
    <w:rsid w:val="00C83D55"/>
    <w:rsid w:val="00C83D6C"/>
    <w:rsid w:val="00C83D73"/>
    <w:rsid w:val="00C83E0F"/>
    <w:rsid w:val="00C83E2C"/>
    <w:rsid w:val="00C83E35"/>
    <w:rsid w:val="00C83E45"/>
    <w:rsid w:val="00C83E62"/>
    <w:rsid w:val="00C83E79"/>
    <w:rsid w:val="00C83E9B"/>
    <w:rsid w:val="00C83ECA"/>
    <w:rsid w:val="00C83F62"/>
    <w:rsid w:val="00C83FBE"/>
    <w:rsid w:val="00C84009"/>
    <w:rsid w:val="00C84036"/>
    <w:rsid w:val="00C8404F"/>
    <w:rsid w:val="00C8408B"/>
    <w:rsid w:val="00C8409F"/>
    <w:rsid w:val="00C840F9"/>
    <w:rsid w:val="00C840FB"/>
    <w:rsid w:val="00C8410F"/>
    <w:rsid w:val="00C8415C"/>
    <w:rsid w:val="00C841B9"/>
    <w:rsid w:val="00C841CA"/>
    <w:rsid w:val="00C84210"/>
    <w:rsid w:val="00C8421B"/>
    <w:rsid w:val="00C84281"/>
    <w:rsid w:val="00C8428F"/>
    <w:rsid w:val="00C842A2"/>
    <w:rsid w:val="00C842CA"/>
    <w:rsid w:val="00C842CC"/>
    <w:rsid w:val="00C8433A"/>
    <w:rsid w:val="00C8433F"/>
    <w:rsid w:val="00C843C9"/>
    <w:rsid w:val="00C843F3"/>
    <w:rsid w:val="00C843F9"/>
    <w:rsid w:val="00C843FA"/>
    <w:rsid w:val="00C84454"/>
    <w:rsid w:val="00C84479"/>
    <w:rsid w:val="00C84490"/>
    <w:rsid w:val="00C844CF"/>
    <w:rsid w:val="00C844D5"/>
    <w:rsid w:val="00C844E3"/>
    <w:rsid w:val="00C8458D"/>
    <w:rsid w:val="00C845FF"/>
    <w:rsid w:val="00C8460C"/>
    <w:rsid w:val="00C84616"/>
    <w:rsid w:val="00C846A1"/>
    <w:rsid w:val="00C846CD"/>
    <w:rsid w:val="00C84709"/>
    <w:rsid w:val="00C84769"/>
    <w:rsid w:val="00C84839"/>
    <w:rsid w:val="00C84857"/>
    <w:rsid w:val="00C848A0"/>
    <w:rsid w:val="00C848CE"/>
    <w:rsid w:val="00C848E6"/>
    <w:rsid w:val="00C848EB"/>
    <w:rsid w:val="00C848FE"/>
    <w:rsid w:val="00C8491A"/>
    <w:rsid w:val="00C8494A"/>
    <w:rsid w:val="00C849F8"/>
    <w:rsid w:val="00C84A04"/>
    <w:rsid w:val="00C84A06"/>
    <w:rsid w:val="00C84B27"/>
    <w:rsid w:val="00C84B93"/>
    <w:rsid w:val="00C84BA1"/>
    <w:rsid w:val="00C84C17"/>
    <w:rsid w:val="00C84C39"/>
    <w:rsid w:val="00C84C7E"/>
    <w:rsid w:val="00C84D32"/>
    <w:rsid w:val="00C84DC2"/>
    <w:rsid w:val="00C84DDD"/>
    <w:rsid w:val="00C84DE3"/>
    <w:rsid w:val="00C84DFA"/>
    <w:rsid w:val="00C84E01"/>
    <w:rsid w:val="00C84E5C"/>
    <w:rsid w:val="00C84E6F"/>
    <w:rsid w:val="00C84EDC"/>
    <w:rsid w:val="00C84F18"/>
    <w:rsid w:val="00C84F89"/>
    <w:rsid w:val="00C84FF5"/>
    <w:rsid w:val="00C85038"/>
    <w:rsid w:val="00C8506C"/>
    <w:rsid w:val="00C850B2"/>
    <w:rsid w:val="00C850E0"/>
    <w:rsid w:val="00C8511B"/>
    <w:rsid w:val="00C8514B"/>
    <w:rsid w:val="00C85154"/>
    <w:rsid w:val="00C85174"/>
    <w:rsid w:val="00C85243"/>
    <w:rsid w:val="00C8525C"/>
    <w:rsid w:val="00C852BD"/>
    <w:rsid w:val="00C85314"/>
    <w:rsid w:val="00C8531F"/>
    <w:rsid w:val="00C8532A"/>
    <w:rsid w:val="00C85346"/>
    <w:rsid w:val="00C8534F"/>
    <w:rsid w:val="00C85355"/>
    <w:rsid w:val="00C85373"/>
    <w:rsid w:val="00C85379"/>
    <w:rsid w:val="00C853C5"/>
    <w:rsid w:val="00C853E1"/>
    <w:rsid w:val="00C85409"/>
    <w:rsid w:val="00C8540B"/>
    <w:rsid w:val="00C85410"/>
    <w:rsid w:val="00C85413"/>
    <w:rsid w:val="00C85414"/>
    <w:rsid w:val="00C85509"/>
    <w:rsid w:val="00C8551A"/>
    <w:rsid w:val="00C855C0"/>
    <w:rsid w:val="00C85646"/>
    <w:rsid w:val="00C85655"/>
    <w:rsid w:val="00C8565D"/>
    <w:rsid w:val="00C85694"/>
    <w:rsid w:val="00C856BA"/>
    <w:rsid w:val="00C8576C"/>
    <w:rsid w:val="00C85771"/>
    <w:rsid w:val="00C85779"/>
    <w:rsid w:val="00C85795"/>
    <w:rsid w:val="00C85821"/>
    <w:rsid w:val="00C8582A"/>
    <w:rsid w:val="00C8582D"/>
    <w:rsid w:val="00C8583F"/>
    <w:rsid w:val="00C85850"/>
    <w:rsid w:val="00C858CF"/>
    <w:rsid w:val="00C8593A"/>
    <w:rsid w:val="00C8594A"/>
    <w:rsid w:val="00C85953"/>
    <w:rsid w:val="00C85992"/>
    <w:rsid w:val="00C85994"/>
    <w:rsid w:val="00C859AA"/>
    <w:rsid w:val="00C859B2"/>
    <w:rsid w:val="00C85A30"/>
    <w:rsid w:val="00C85A36"/>
    <w:rsid w:val="00C85A8A"/>
    <w:rsid w:val="00C85ADC"/>
    <w:rsid w:val="00C85B23"/>
    <w:rsid w:val="00C85B72"/>
    <w:rsid w:val="00C85B88"/>
    <w:rsid w:val="00C85B8C"/>
    <w:rsid w:val="00C85BA0"/>
    <w:rsid w:val="00C85BD8"/>
    <w:rsid w:val="00C85C39"/>
    <w:rsid w:val="00C85C50"/>
    <w:rsid w:val="00C85C62"/>
    <w:rsid w:val="00C85C88"/>
    <w:rsid w:val="00C85D19"/>
    <w:rsid w:val="00C85E9F"/>
    <w:rsid w:val="00C85EED"/>
    <w:rsid w:val="00C85F2A"/>
    <w:rsid w:val="00C85F51"/>
    <w:rsid w:val="00C85F68"/>
    <w:rsid w:val="00C86003"/>
    <w:rsid w:val="00C8602E"/>
    <w:rsid w:val="00C86048"/>
    <w:rsid w:val="00C86060"/>
    <w:rsid w:val="00C860A1"/>
    <w:rsid w:val="00C860B5"/>
    <w:rsid w:val="00C860B7"/>
    <w:rsid w:val="00C860BC"/>
    <w:rsid w:val="00C86159"/>
    <w:rsid w:val="00C861E7"/>
    <w:rsid w:val="00C861F9"/>
    <w:rsid w:val="00C86243"/>
    <w:rsid w:val="00C8631F"/>
    <w:rsid w:val="00C8639C"/>
    <w:rsid w:val="00C863E6"/>
    <w:rsid w:val="00C863F4"/>
    <w:rsid w:val="00C8645C"/>
    <w:rsid w:val="00C864CF"/>
    <w:rsid w:val="00C864D6"/>
    <w:rsid w:val="00C865A7"/>
    <w:rsid w:val="00C865D5"/>
    <w:rsid w:val="00C865E9"/>
    <w:rsid w:val="00C86645"/>
    <w:rsid w:val="00C8667A"/>
    <w:rsid w:val="00C8668A"/>
    <w:rsid w:val="00C866F6"/>
    <w:rsid w:val="00C8672B"/>
    <w:rsid w:val="00C86777"/>
    <w:rsid w:val="00C8677C"/>
    <w:rsid w:val="00C8678F"/>
    <w:rsid w:val="00C867BF"/>
    <w:rsid w:val="00C8688C"/>
    <w:rsid w:val="00C868A0"/>
    <w:rsid w:val="00C868AF"/>
    <w:rsid w:val="00C868BE"/>
    <w:rsid w:val="00C8690E"/>
    <w:rsid w:val="00C8691B"/>
    <w:rsid w:val="00C8693C"/>
    <w:rsid w:val="00C869A2"/>
    <w:rsid w:val="00C86A00"/>
    <w:rsid w:val="00C86A92"/>
    <w:rsid w:val="00C86AD2"/>
    <w:rsid w:val="00C86B57"/>
    <w:rsid w:val="00C86C2B"/>
    <w:rsid w:val="00C86C37"/>
    <w:rsid w:val="00C86CC5"/>
    <w:rsid w:val="00C86CFA"/>
    <w:rsid w:val="00C86D08"/>
    <w:rsid w:val="00C86D44"/>
    <w:rsid w:val="00C86D4B"/>
    <w:rsid w:val="00C86D83"/>
    <w:rsid w:val="00C86D92"/>
    <w:rsid w:val="00C86D9B"/>
    <w:rsid w:val="00C86E3B"/>
    <w:rsid w:val="00C86E49"/>
    <w:rsid w:val="00C86ED0"/>
    <w:rsid w:val="00C86EF7"/>
    <w:rsid w:val="00C86EFF"/>
    <w:rsid w:val="00C86F04"/>
    <w:rsid w:val="00C86F07"/>
    <w:rsid w:val="00C86F2A"/>
    <w:rsid w:val="00C86F92"/>
    <w:rsid w:val="00C86FA5"/>
    <w:rsid w:val="00C86FBF"/>
    <w:rsid w:val="00C86FC9"/>
    <w:rsid w:val="00C86FD4"/>
    <w:rsid w:val="00C86FDF"/>
    <w:rsid w:val="00C86FEF"/>
    <w:rsid w:val="00C8700E"/>
    <w:rsid w:val="00C8703B"/>
    <w:rsid w:val="00C870E4"/>
    <w:rsid w:val="00C87123"/>
    <w:rsid w:val="00C8713A"/>
    <w:rsid w:val="00C8715A"/>
    <w:rsid w:val="00C87168"/>
    <w:rsid w:val="00C87173"/>
    <w:rsid w:val="00C871B4"/>
    <w:rsid w:val="00C871D7"/>
    <w:rsid w:val="00C871E9"/>
    <w:rsid w:val="00C871F4"/>
    <w:rsid w:val="00C87210"/>
    <w:rsid w:val="00C87231"/>
    <w:rsid w:val="00C87297"/>
    <w:rsid w:val="00C872AA"/>
    <w:rsid w:val="00C872AE"/>
    <w:rsid w:val="00C872C1"/>
    <w:rsid w:val="00C87330"/>
    <w:rsid w:val="00C87346"/>
    <w:rsid w:val="00C87352"/>
    <w:rsid w:val="00C87367"/>
    <w:rsid w:val="00C873E0"/>
    <w:rsid w:val="00C87479"/>
    <w:rsid w:val="00C874A0"/>
    <w:rsid w:val="00C874C4"/>
    <w:rsid w:val="00C874D0"/>
    <w:rsid w:val="00C874D2"/>
    <w:rsid w:val="00C87510"/>
    <w:rsid w:val="00C8753C"/>
    <w:rsid w:val="00C8754E"/>
    <w:rsid w:val="00C8757D"/>
    <w:rsid w:val="00C8757F"/>
    <w:rsid w:val="00C875B8"/>
    <w:rsid w:val="00C875C8"/>
    <w:rsid w:val="00C875D0"/>
    <w:rsid w:val="00C87653"/>
    <w:rsid w:val="00C8767E"/>
    <w:rsid w:val="00C876B4"/>
    <w:rsid w:val="00C87729"/>
    <w:rsid w:val="00C8775C"/>
    <w:rsid w:val="00C87768"/>
    <w:rsid w:val="00C8779A"/>
    <w:rsid w:val="00C8779C"/>
    <w:rsid w:val="00C877B8"/>
    <w:rsid w:val="00C877F5"/>
    <w:rsid w:val="00C877F9"/>
    <w:rsid w:val="00C87816"/>
    <w:rsid w:val="00C8784A"/>
    <w:rsid w:val="00C87906"/>
    <w:rsid w:val="00C8794F"/>
    <w:rsid w:val="00C8796B"/>
    <w:rsid w:val="00C87999"/>
    <w:rsid w:val="00C87A15"/>
    <w:rsid w:val="00C87A42"/>
    <w:rsid w:val="00C87A8E"/>
    <w:rsid w:val="00C87A96"/>
    <w:rsid w:val="00C87ADD"/>
    <w:rsid w:val="00C87B52"/>
    <w:rsid w:val="00C87B87"/>
    <w:rsid w:val="00C87BA6"/>
    <w:rsid w:val="00C87BA8"/>
    <w:rsid w:val="00C87C42"/>
    <w:rsid w:val="00C87C55"/>
    <w:rsid w:val="00C87CBF"/>
    <w:rsid w:val="00C87CE7"/>
    <w:rsid w:val="00C87D85"/>
    <w:rsid w:val="00C87D97"/>
    <w:rsid w:val="00C87DA3"/>
    <w:rsid w:val="00C87DBB"/>
    <w:rsid w:val="00C87DCA"/>
    <w:rsid w:val="00C87DEF"/>
    <w:rsid w:val="00C87E03"/>
    <w:rsid w:val="00C87E14"/>
    <w:rsid w:val="00C87E23"/>
    <w:rsid w:val="00C87E28"/>
    <w:rsid w:val="00C87E61"/>
    <w:rsid w:val="00C87E76"/>
    <w:rsid w:val="00C87E86"/>
    <w:rsid w:val="00C87EB0"/>
    <w:rsid w:val="00C87ED4"/>
    <w:rsid w:val="00C87EF8"/>
    <w:rsid w:val="00C87F16"/>
    <w:rsid w:val="00C87F22"/>
    <w:rsid w:val="00C87F2A"/>
    <w:rsid w:val="00C87F36"/>
    <w:rsid w:val="00C87F6D"/>
    <w:rsid w:val="00C87FAB"/>
    <w:rsid w:val="00C87FC2"/>
    <w:rsid w:val="00C90013"/>
    <w:rsid w:val="00C90072"/>
    <w:rsid w:val="00C9007A"/>
    <w:rsid w:val="00C900D1"/>
    <w:rsid w:val="00C90113"/>
    <w:rsid w:val="00C90149"/>
    <w:rsid w:val="00C901BD"/>
    <w:rsid w:val="00C901CF"/>
    <w:rsid w:val="00C9024A"/>
    <w:rsid w:val="00C90284"/>
    <w:rsid w:val="00C90286"/>
    <w:rsid w:val="00C902CC"/>
    <w:rsid w:val="00C90318"/>
    <w:rsid w:val="00C90319"/>
    <w:rsid w:val="00C90332"/>
    <w:rsid w:val="00C9035C"/>
    <w:rsid w:val="00C903CE"/>
    <w:rsid w:val="00C9040D"/>
    <w:rsid w:val="00C90420"/>
    <w:rsid w:val="00C90423"/>
    <w:rsid w:val="00C9044E"/>
    <w:rsid w:val="00C90477"/>
    <w:rsid w:val="00C9048A"/>
    <w:rsid w:val="00C9049A"/>
    <w:rsid w:val="00C904D5"/>
    <w:rsid w:val="00C904DF"/>
    <w:rsid w:val="00C904EF"/>
    <w:rsid w:val="00C90529"/>
    <w:rsid w:val="00C9054E"/>
    <w:rsid w:val="00C90568"/>
    <w:rsid w:val="00C90666"/>
    <w:rsid w:val="00C90673"/>
    <w:rsid w:val="00C90675"/>
    <w:rsid w:val="00C90691"/>
    <w:rsid w:val="00C906C3"/>
    <w:rsid w:val="00C906F6"/>
    <w:rsid w:val="00C906FF"/>
    <w:rsid w:val="00C9072E"/>
    <w:rsid w:val="00C90782"/>
    <w:rsid w:val="00C9079E"/>
    <w:rsid w:val="00C9079F"/>
    <w:rsid w:val="00C907CA"/>
    <w:rsid w:val="00C907E2"/>
    <w:rsid w:val="00C90870"/>
    <w:rsid w:val="00C9088A"/>
    <w:rsid w:val="00C90910"/>
    <w:rsid w:val="00C9091F"/>
    <w:rsid w:val="00C9094E"/>
    <w:rsid w:val="00C90956"/>
    <w:rsid w:val="00C909B2"/>
    <w:rsid w:val="00C909D6"/>
    <w:rsid w:val="00C909F2"/>
    <w:rsid w:val="00C90B8F"/>
    <w:rsid w:val="00C90BC0"/>
    <w:rsid w:val="00C90BDD"/>
    <w:rsid w:val="00C90C16"/>
    <w:rsid w:val="00C90C4C"/>
    <w:rsid w:val="00C90C7A"/>
    <w:rsid w:val="00C90C82"/>
    <w:rsid w:val="00C90C84"/>
    <w:rsid w:val="00C90C86"/>
    <w:rsid w:val="00C90CB3"/>
    <w:rsid w:val="00C90D09"/>
    <w:rsid w:val="00C90D26"/>
    <w:rsid w:val="00C90D3B"/>
    <w:rsid w:val="00C90D49"/>
    <w:rsid w:val="00C90D64"/>
    <w:rsid w:val="00C90DA7"/>
    <w:rsid w:val="00C90DBC"/>
    <w:rsid w:val="00C90DD0"/>
    <w:rsid w:val="00C90DEB"/>
    <w:rsid w:val="00C90E0C"/>
    <w:rsid w:val="00C90E0F"/>
    <w:rsid w:val="00C90E7F"/>
    <w:rsid w:val="00C90E8F"/>
    <w:rsid w:val="00C90ECD"/>
    <w:rsid w:val="00C90EF1"/>
    <w:rsid w:val="00C90F5F"/>
    <w:rsid w:val="00C90FA1"/>
    <w:rsid w:val="00C91018"/>
    <w:rsid w:val="00C9102A"/>
    <w:rsid w:val="00C9105C"/>
    <w:rsid w:val="00C9106A"/>
    <w:rsid w:val="00C91073"/>
    <w:rsid w:val="00C91097"/>
    <w:rsid w:val="00C910A1"/>
    <w:rsid w:val="00C910DC"/>
    <w:rsid w:val="00C910E7"/>
    <w:rsid w:val="00C9110E"/>
    <w:rsid w:val="00C9116C"/>
    <w:rsid w:val="00C911AF"/>
    <w:rsid w:val="00C9122D"/>
    <w:rsid w:val="00C9122E"/>
    <w:rsid w:val="00C91232"/>
    <w:rsid w:val="00C91277"/>
    <w:rsid w:val="00C912B0"/>
    <w:rsid w:val="00C912D5"/>
    <w:rsid w:val="00C912DC"/>
    <w:rsid w:val="00C912F1"/>
    <w:rsid w:val="00C9130D"/>
    <w:rsid w:val="00C913A5"/>
    <w:rsid w:val="00C913BD"/>
    <w:rsid w:val="00C91406"/>
    <w:rsid w:val="00C9144B"/>
    <w:rsid w:val="00C91462"/>
    <w:rsid w:val="00C91490"/>
    <w:rsid w:val="00C9150A"/>
    <w:rsid w:val="00C91526"/>
    <w:rsid w:val="00C9157A"/>
    <w:rsid w:val="00C9157C"/>
    <w:rsid w:val="00C915B3"/>
    <w:rsid w:val="00C915FE"/>
    <w:rsid w:val="00C91629"/>
    <w:rsid w:val="00C91666"/>
    <w:rsid w:val="00C916DD"/>
    <w:rsid w:val="00C916FD"/>
    <w:rsid w:val="00C91722"/>
    <w:rsid w:val="00C9172D"/>
    <w:rsid w:val="00C917B7"/>
    <w:rsid w:val="00C917F0"/>
    <w:rsid w:val="00C917FC"/>
    <w:rsid w:val="00C91840"/>
    <w:rsid w:val="00C91888"/>
    <w:rsid w:val="00C918B0"/>
    <w:rsid w:val="00C918E4"/>
    <w:rsid w:val="00C9194D"/>
    <w:rsid w:val="00C919C0"/>
    <w:rsid w:val="00C91A11"/>
    <w:rsid w:val="00C91A8A"/>
    <w:rsid w:val="00C91A9A"/>
    <w:rsid w:val="00C91AE8"/>
    <w:rsid w:val="00C91B03"/>
    <w:rsid w:val="00C91B09"/>
    <w:rsid w:val="00C91B0D"/>
    <w:rsid w:val="00C91B4C"/>
    <w:rsid w:val="00C91B9A"/>
    <w:rsid w:val="00C91BA1"/>
    <w:rsid w:val="00C91BC6"/>
    <w:rsid w:val="00C91C20"/>
    <w:rsid w:val="00C91C38"/>
    <w:rsid w:val="00C91C5D"/>
    <w:rsid w:val="00C91CF9"/>
    <w:rsid w:val="00C91DBE"/>
    <w:rsid w:val="00C91E2F"/>
    <w:rsid w:val="00C91E4F"/>
    <w:rsid w:val="00C91EBD"/>
    <w:rsid w:val="00C91EC8"/>
    <w:rsid w:val="00C91ECD"/>
    <w:rsid w:val="00C91ED8"/>
    <w:rsid w:val="00C91F98"/>
    <w:rsid w:val="00C91FA4"/>
    <w:rsid w:val="00C92039"/>
    <w:rsid w:val="00C92098"/>
    <w:rsid w:val="00C9213C"/>
    <w:rsid w:val="00C9219C"/>
    <w:rsid w:val="00C921B3"/>
    <w:rsid w:val="00C921C6"/>
    <w:rsid w:val="00C921E3"/>
    <w:rsid w:val="00C921F0"/>
    <w:rsid w:val="00C92221"/>
    <w:rsid w:val="00C9222F"/>
    <w:rsid w:val="00C92246"/>
    <w:rsid w:val="00C9228E"/>
    <w:rsid w:val="00C92310"/>
    <w:rsid w:val="00C92349"/>
    <w:rsid w:val="00C9237E"/>
    <w:rsid w:val="00C92397"/>
    <w:rsid w:val="00C9239F"/>
    <w:rsid w:val="00C923BF"/>
    <w:rsid w:val="00C923FD"/>
    <w:rsid w:val="00C92408"/>
    <w:rsid w:val="00C9241E"/>
    <w:rsid w:val="00C92440"/>
    <w:rsid w:val="00C92441"/>
    <w:rsid w:val="00C92467"/>
    <w:rsid w:val="00C92481"/>
    <w:rsid w:val="00C92488"/>
    <w:rsid w:val="00C9248C"/>
    <w:rsid w:val="00C924A2"/>
    <w:rsid w:val="00C924BF"/>
    <w:rsid w:val="00C924FB"/>
    <w:rsid w:val="00C9255D"/>
    <w:rsid w:val="00C92578"/>
    <w:rsid w:val="00C925C6"/>
    <w:rsid w:val="00C92624"/>
    <w:rsid w:val="00C92657"/>
    <w:rsid w:val="00C92679"/>
    <w:rsid w:val="00C92684"/>
    <w:rsid w:val="00C926AE"/>
    <w:rsid w:val="00C926CF"/>
    <w:rsid w:val="00C926DB"/>
    <w:rsid w:val="00C926F0"/>
    <w:rsid w:val="00C9279B"/>
    <w:rsid w:val="00C92821"/>
    <w:rsid w:val="00C92822"/>
    <w:rsid w:val="00C92848"/>
    <w:rsid w:val="00C92902"/>
    <w:rsid w:val="00C92910"/>
    <w:rsid w:val="00C9291C"/>
    <w:rsid w:val="00C92929"/>
    <w:rsid w:val="00C92969"/>
    <w:rsid w:val="00C92974"/>
    <w:rsid w:val="00C929AE"/>
    <w:rsid w:val="00C92A30"/>
    <w:rsid w:val="00C92A67"/>
    <w:rsid w:val="00C92A6B"/>
    <w:rsid w:val="00C92A7A"/>
    <w:rsid w:val="00C92A98"/>
    <w:rsid w:val="00C92A9E"/>
    <w:rsid w:val="00C92AC3"/>
    <w:rsid w:val="00C92B61"/>
    <w:rsid w:val="00C92B85"/>
    <w:rsid w:val="00C92B88"/>
    <w:rsid w:val="00C92B9A"/>
    <w:rsid w:val="00C92BAF"/>
    <w:rsid w:val="00C92BC6"/>
    <w:rsid w:val="00C92BE8"/>
    <w:rsid w:val="00C92BED"/>
    <w:rsid w:val="00C92C3D"/>
    <w:rsid w:val="00C92D21"/>
    <w:rsid w:val="00C92D2E"/>
    <w:rsid w:val="00C92D31"/>
    <w:rsid w:val="00C92DA1"/>
    <w:rsid w:val="00C92DEF"/>
    <w:rsid w:val="00C92E0D"/>
    <w:rsid w:val="00C92E42"/>
    <w:rsid w:val="00C92E66"/>
    <w:rsid w:val="00C92E88"/>
    <w:rsid w:val="00C92EC4"/>
    <w:rsid w:val="00C92ECD"/>
    <w:rsid w:val="00C92EFA"/>
    <w:rsid w:val="00C92F24"/>
    <w:rsid w:val="00C92F2E"/>
    <w:rsid w:val="00C92F5E"/>
    <w:rsid w:val="00C92F6F"/>
    <w:rsid w:val="00C92FA3"/>
    <w:rsid w:val="00C93064"/>
    <w:rsid w:val="00C93090"/>
    <w:rsid w:val="00C93096"/>
    <w:rsid w:val="00C93097"/>
    <w:rsid w:val="00C930A9"/>
    <w:rsid w:val="00C930E9"/>
    <w:rsid w:val="00C93103"/>
    <w:rsid w:val="00C9313E"/>
    <w:rsid w:val="00C9318C"/>
    <w:rsid w:val="00C9319B"/>
    <w:rsid w:val="00C931A4"/>
    <w:rsid w:val="00C931E3"/>
    <w:rsid w:val="00C931F9"/>
    <w:rsid w:val="00C93210"/>
    <w:rsid w:val="00C9323D"/>
    <w:rsid w:val="00C9334B"/>
    <w:rsid w:val="00C933F6"/>
    <w:rsid w:val="00C93459"/>
    <w:rsid w:val="00C9348A"/>
    <w:rsid w:val="00C934F7"/>
    <w:rsid w:val="00C9352A"/>
    <w:rsid w:val="00C93577"/>
    <w:rsid w:val="00C9358C"/>
    <w:rsid w:val="00C935E7"/>
    <w:rsid w:val="00C93623"/>
    <w:rsid w:val="00C9362B"/>
    <w:rsid w:val="00C936A0"/>
    <w:rsid w:val="00C936D0"/>
    <w:rsid w:val="00C936EF"/>
    <w:rsid w:val="00C93708"/>
    <w:rsid w:val="00C9371C"/>
    <w:rsid w:val="00C93734"/>
    <w:rsid w:val="00C937FC"/>
    <w:rsid w:val="00C9382D"/>
    <w:rsid w:val="00C93848"/>
    <w:rsid w:val="00C9385C"/>
    <w:rsid w:val="00C938A7"/>
    <w:rsid w:val="00C938AB"/>
    <w:rsid w:val="00C938DB"/>
    <w:rsid w:val="00C938E3"/>
    <w:rsid w:val="00C938F1"/>
    <w:rsid w:val="00C9392A"/>
    <w:rsid w:val="00C93972"/>
    <w:rsid w:val="00C93999"/>
    <w:rsid w:val="00C9399D"/>
    <w:rsid w:val="00C939A9"/>
    <w:rsid w:val="00C939E2"/>
    <w:rsid w:val="00C93A25"/>
    <w:rsid w:val="00C93A3C"/>
    <w:rsid w:val="00C93ADE"/>
    <w:rsid w:val="00C93B06"/>
    <w:rsid w:val="00C93B4D"/>
    <w:rsid w:val="00C93C1E"/>
    <w:rsid w:val="00C93C96"/>
    <w:rsid w:val="00C93CE8"/>
    <w:rsid w:val="00C93CED"/>
    <w:rsid w:val="00C93D08"/>
    <w:rsid w:val="00C93D16"/>
    <w:rsid w:val="00C93D99"/>
    <w:rsid w:val="00C93DBA"/>
    <w:rsid w:val="00C93E0A"/>
    <w:rsid w:val="00C93E14"/>
    <w:rsid w:val="00C93E16"/>
    <w:rsid w:val="00C93E1A"/>
    <w:rsid w:val="00C93E57"/>
    <w:rsid w:val="00C93EBB"/>
    <w:rsid w:val="00C93EF7"/>
    <w:rsid w:val="00C93F0D"/>
    <w:rsid w:val="00C93F59"/>
    <w:rsid w:val="00C94010"/>
    <w:rsid w:val="00C94011"/>
    <w:rsid w:val="00C94056"/>
    <w:rsid w:val="00C94094"/>
    <w:rsid w:val="00C940F8"/>
    <w:rsid w:val="00C9412C"/>
    <w:rsid w:val="00C94133"/>
    <w:rsid w:val="00C94155"/>
    <w:rsid w:val="00C94157"/>
    <w:rsid w:val="00C94165"/>
    <w:rsid w:val="00C94177"/>
    <w:rsid w:val="00C9417B"/>
    <w:rsid w:val="00C94180"/>
    <w:rsid w:val="00C941DC"/>
    <w:rsid w:val="00C941E8"/>
    <w:rsid w:val="00C94228"/>
    <w:rsid w:val="00C94267"/>
    <w:rsid w:val="00C942A3"/>
    <w:rsid w:val="00C942AA"/>
    <w:rsid w:val="00C942AD"/>
    <w:rsid w:val="00C942B1"/>
    <w:rsid w:val="00C942D1"/>
    <w:rsid w:val="00C942F9"/>
    <w:rsid w:val="00C94306"/>
    <w:rsid w:val="00C9430E"/>
    <w:rsid w:val="00C94333"/>
    <w:rsid w:val="00C943D1"/>
    <w:rsid w:val="00C943D5"/>
    <w:rsid w:val="00C943E9"/>
    <w:rsid w:val="00C9442B"/>
    <w:rsid w:val="00C9449D"/>
    <w:rsid w:val="00C944AE"/>
    <w:rsid w:val="00C944E6"/>
    <w:rsid w:val="00C944F6"/>
    <w:rsid w:val="00C94504"/>
    <w:rsid w:val="00C94555"/>
    <w:rsid w:val="00C9455B"/>
    <w:rsid w:val="00C9456A"/>
    <w:rsid w:val="00C94590"/>
    <w:rsid w:val="00C945AE"/>
    <w:rsid w:val="00C945C4"/>
    <w:rsid w:val="00C945F2"/>
    <w:rsid w:val="00C94687"/>
    <w:rsid w:val="00C946E8"/>
    <w:rsid w:val="00C946EF"/>
    <w:rsid w:val="00C9475B"/>
    <w:rsid w:val="00C9481D"/>
    <w:rsid w:val="00C94828"/>
    <w:rsid w:val="00C94834"/>
    <w:rsid w:val="00C94845"/>
    <w:rsid w:val="00C94890"/>
    <w:rsid w:val="00C948A7"/>
    <w:rsid w:val="00C948D6"/>
    <w:rsid w:val="00C9490B"/>
    <w:rsid w:val="00C94927"/>
    <w:rsid w:val="00C94928"/>
    <w:rsid w:val="00C94955"/>
    <w:rsid w:val="00C94976"/>
    <w:rsid w:val="00C94A45"/>
    <w:rsid w:val="00C94A68"/>
    <w:rsid w:val="00C94A69"/>
    <w:rsid w:val="00C94A83"/>
    <w:rsid w:val="00C94AAF"/>
    <w:rsid w:val="00C94ABA"/>
    <w:rsid w:val="00C94AC9"/>
    <w:rsid w:val="00C94AD6"/>
    <w:rsid w:val="00C94ADA"/>
    <w:rsid w:val="00C94AE1"/>
    <w:rsid w:val="00C94B43"/>
    <w:rsid w:val="00C94BD6"/>
    <w:rsid w:val="00C94C20"/>
    <w:rsid w:val="00C94C4F"/>
    <w:rsid w:val="00C94CAA"/>
    <w:rsid w:val="00C94CB8"/>
    <w:rsid w:val="00C94CF7"/>
    <w:rsid w:val="00C94D06"/>
    <w:rsid w:val="00C94D51"/>
    <w:rsid w:val="00C94D77"/>
    <w:rsid w:val="00C94D9D"/>
    <w:rsid w:val="00C94DCB"/>
    <w:rsid w:val="00C94E42"/>
    <w:rsid w:val="00C94E8D"/>
    <w:rsid w:val="00C94EBB"/>
    <w:rsid w:val="00C94F71"/>
    <w:rsid w:val="00C94F80"/>
    <w:rsid w:val="00C94FC6"/>
    <w:rsid w:val="00C94FCF"/>
    <w:rsid w:val="00C94FD5"/>
    <w:rsid w:val="00C94FEA"/>
    <w:rsid w:val="00C95057"/>
    <w:rsid w:val="00C950AC"/>
    <w:rsid w:val="00C950FD"/>
    <w:rsid w:val="00C95133"/>
    <w:rsid w:val="00C9515E"/>
    <w:rsid w:val="00C951B4"/>
    <w:rsid w:val="00C951CF"/>
    <w:rsid w:val="00C952DD"/>
    <w:rsid w:val="00C952ED"/>
    <w:rsid w:val="00C95301"/>
    <w:rsid w:val="00C95307"/>
    <w:rsid w:val="00C95313"/>
    <w:rsid w:val="00C95394"/>
    <w:rsid w:val="00C9539A"/>
    <w:rsid w:val="00C953F5"/>
    <w:rsid w:val="00C9543D"/>
    <w:rsid w:val="00C95496"/>
    <w:rsid w:val="00C954F6"/>
    <w:rsid w:val="00C95525"/>
    <w:rsid w:val="00C9559D"/>
    <w:rsid w:val="00C955DF"/>
    <w:rsid w:val="00C9568F"/>
    <w:rsid w:val="00C956FC"/>
    <w:rsid w:val="00C95744"/>
    <w:rsid w:val="00C95762"/>
    <w:rsid w:val="00C95777"/>
    <w:rsid w:val="00C9579F"/>
    <w:rsid w:val="00C95844"/>
    <w:rsid w:val="00C9590C"/>
    <w:rsid w:val="00C95973"/>
    <w:rsid w:val="00C95977"/>
    <w:rsid w:val="00C959B4"/>
    <w:rsid w:val="00C959E2"/>
    <w:rsid w:val="00C95A09"/>
    <w:rsid w:val="00C95A12"/>
    <w:rsid w:val="00C95A36"/>
    <w:rsid w:val="00C95A62"/>
    <w:rsid w:val="00C95B49"/>
    <w:rsid w:val="00C95BAC"/>
    <w:rsid w:val="00C95C2F"/>
    <w:rsid w:val="00C95CEA"/>
    <w:rsid w:val="00C95D81"/>
    <w:rsid w:val="00C95D9C"/>
    <w:rsid w:val="00C95DA7"/>
    <w:rsid w:val="00C95DBD"/>
    <w:rsid w:val="00C95DC1"/>
    <w:rsid w:val="00C95DE3"/>
    <w:rsid w:val="00C95E41"/>
    <w:rsid w:val="00C95E6E"/>
    <w:rsid w:val="00C95EA2"/>
    <w:rsid w:val="00C95EF1"/>
    <w:rsid w:val="00C95F2A"/>
    <w:rsid w:val="00C95F38"/>
    <w:rsid w:val="00C95F4D"/>
    <w:rsid w:val="00C95F4E"/>
    <w:rsid w:val="00C95FA9"/>
    <w:rsid w:val="00C95FB5"/>
    <w:rsid w:val="00C95FD6"/>
    <w:rsid w:val="00C95FEA"/>
    <w:rsid w:val="00C96002"/>
    <w:rsid w:val="00C96125"/>
    <w:rsid w:val="00C96128"/>
    <w:rsid w:val="00C961D7"/>
    <w:rsid w:val="00C961E5"/>
    <w:rsid w:val="00C961F1"/>
    <w:rsid w:val="00C96279"/>
    <w:rsid w:val="00C9629C"/>
    <w:rsid w:val="00C962C0"/>
    <w:rsid w:val="00C962E4"/>
    <w:rsid w:val="00C96334"/>
    <w:rsid w:val="00C9634C"/>
    <w:rsid w:val="00C963DD"/>
    <w:rsid w:val="00C9646A"/>
    <w:rsid w:val="00C96472"/>
    <w:rsid w:val="00C96487"/>
    <w:rsid w:val="00C96496"/>
    <w:rsid w:val="00C964C7"/>
    <w:rsid w:val="00C964C9"/>
    <w:rsid w:val="00C964DA"/>
    <w:rsid w:val="00C964E0"/>
    <w:rsid w:val="00C964FA"/>
    <w:rsid w:val="00C96515"/>
    <w:rsid w:val="00C965A6"/>
    <w:rsid w:val="00C965E5"/>
    <w:rsid w:val="00C9661E"/>
    <w:rsid w:val="00C96636"/>
    <w:rsid w:val="00C96740"/>
    <w:rsid w:val="00C967B6"/>
    <w:rsid w:val="00C967E3"/>
    <w:rsid w:val="00C967F9"/>
    <w:rsid w:val="00C968F7"/>
    <w:rsid w:val="00C96923"/>
    <w:rsid w:val="00C96943"/>
    <w:rsid w:val="00C96994"/>
    <w:rsid w:val="00C969B6"/>
    <w:rsid w:val="00C969C3"/>
    <w:rsid w:val="00C969EE"/>
    <w:rsid w:val="00C96A0D"/>
    <w:rsid w:val="00C96AC5"/>
    <w:rsid w:val="00C96ACC"/>
    <w:rsid w:val="00C96B17"/>
    <w:rsid w:val="00C96B27"/>
    <w:rsid w:val="00C96B62"/>
    <w:rsid w:val="00C96B6F"/>
    <w:rsid w:val="00C96BAF"/>
    <w:rsid w:val="00C96C00"/>
    <w:rsid w:val="00C96C45"/>
    <w:rsid w:val="00C96C5F"/>
    <w:rsid w:val="00C96C65"/>
    <w:rsid w:val="00C96C78"/>
    <w:rsid w:val="00C96CC2"/>
    <w:rsid w:val="00C96D3A"/>
    <w:rsid w:val="00C96D70"/>
    <w:rsid w:val="00C96E0C"/>
    <w:rsid w:val="00C96E29"/>
    <w:rsid w:val="00C96E70"/>
    <w:rsid w:val="00C96E79"/>
    <w:rsid w:val="00C96EF2"/>
    <w:rsid w:val="00C96F5F"/>
    <w:rsid w:val="00C96F66"/>
    <w:rsid w:val="00C96FF0"/>
    <w:rsid w:val="00C97063"/>
    <w:rsid w:val="00C97076"/>
    <w:rsid w:val="00C97098"/>
    <w:rsid w:val="00C970C6"/>
    <w:rsid w:val="00C970EF"/>
    <w:rsid w:val="00C97117"/>
    <w:rsid w:val="00C97121"/>
    <w:rsid w:val="00C97143"/>
    <w:rsid w:val="00C9716D"/>
    <w:rsid w:val="00C971D6"/>
    <w:rsid w:val="00C97236"/>
    <w:rsid w:val="00C97267"/>
    <w:rsid w:val="00C9729F"/>
    <w:rsid w:val="00C972BF"/>
    <w:rsid w:val="00C972D1"/>
    <w:rsid w:val="00C972D2"/>
    <w:rsid w:val="00C972E0"/>
    <w:rsid w:val="00C9731B"/>
    <w:rsid w:val="00C9734B"/>
    <w:rsid w:val="00C9735D"/>
    <w:rsid w:val="00C9737E"/>
    <w:rsid w:val="00C973AC"/>
    <w:rsid w:val="00C973C0"/>
    <w:rsid w:val="00C9741F"/>
    <w:rsid w:val="00C97447"/>
    <w:rsid w:val="00C9747B"/>
    <w:rsid w:val="00C9747C"/>
    <w:rsid w:val="00C97482"/>
    <w:rsid w:val="00C9751A"/>
    <w:rsid w:val="00C9751E"/>
    <w:rsid w:val="00C9752C"/>
    <w:rsid w:val="00C97560"/>
    <w:rsid w:val="00C975C3"/>
    <w:rsid w:val="00C975D8"/>
    <w:rsid w:val="00C975F2"/>
    <w:rsid w:val="00C97624"/>
    <w:rsid w:val="00C97642"/>
    <w:rsid w:val="00C97650"/>
    <w:rsid w:val="00C976BD"/>
    <w:rsid w:val="00C976F5"/>
    <w:rsid w:val="00C97718"/>
    <w:rsid w:val="00C97748"/>
    <w:rsid w:val="00C97765"/>
    <w:rsid w:val="00C97782"/>
    <w:rsid w:val="00C97799"/>
    <w:rsid w:val="00C977D5"/>
    <w:rsid w:val="00C97828"/>
    <w:rsid w:val="00C9784D"/>
    <w:rsid w:val="00C97859"/>
    <w:rsid w:val="00C978A8"/>
    <w:rsid w:val="00C9791A"/>
    <w:rsid w:val="00C97932"/>
    <w:rsid w:val="00C97944"/>
    <w:rsid w:val="00C97963"/>
    <w:rsid w:val="00C979A4"/>
    <w:rsid w:val="00C979B9"/>
    <w:rsid w:val="00C979D2"/>
    <w:rsid w:val="00C97A1C"/>
    <w:rsid w:val="00C97A75"/>
    <w:rsid w:val="00C97A83"/>
    <w:rsid w:val="00C97B03"/>
    <w:rsid w:val="00C97B33"/>
    <w:rsid w:val="00C97B81"/>
    <w:rsid w:val="00C97BF3"/>
    <w:rsid w:val="00C97C07"/>
    <w:rsid w:val="00C97C23"/>
    <w:rsid w:val="00C97C4A"/>
    <w:rsid w:val="00C97C95"/>
    <w:rsid w:val="00C97CBB"/>
    <w:rsid w:val="00C97CC7"/>
    <w:rsid w:val="00C97E00"/>
    <w:rsid w:val="00C97E0C"/>
    <w:rsid w:val="00C97E0E"/>
    <w:rsid w:val="00C97E64"/>
    <w:rsid w:val="00C97EB4"/>
    <w:rsid w:val="00C97F2B"/>
    <w:rsid w:val="00C97F47"/>
    <w:rsid w:val="00C97F87"/>
    <w:rsid w:val="00CA0009"/>
    <w:rsid w:val="00CA0035"/>
    <w:rsid w:val="00CA0046"/>
    <w:rsid w:val="00CA0053"/>
    <w:rsid w:val="00CA005F"/>
    <w:rsid w:val="00CA006B"/>
    <w:rsid w:val="00CA0083"/>
    <w:rsid w:val="00CA008B"/>
    <w:rsid w:val="00CA00C3"/>
    <w:rsid w:val="00CA00C7"/>
    <w:rsid w:val="00CA0116"/>
    <w:rsid w:val="00CA013D"/>
    <w:rsid w:val="00CA018E"/>
    <w:rsid w:val="00CA01D6"/>
    <w:rsid w:val="00CA01E1"/>
    <w:rsid w:val="00CA0248"/>
    <w:rsid w:val="00CA0276"/>
    <w:rsid w:val="00CA028A"/>
    <w:rsid w:val="00CA02B5"/>
    <w:rsid w:val="00CA02FD"/>
    <w:rsid w:val="00CA030F"/>
    <w:rsid w:val="00CA031A"/>
    <w:rsid w:val="00CA0342"/>
    <w:rsid w:val="00CA0367"/>
    <w:rsid w:val="00CA03DE"/>
    <w:rsid w:val="00CA03EC"/>
    <w:rsid w:val="00CA04B9"/>
    <w:rsid w:val="00CA04CB"/>
    <w:rsid w:val="00CA0511"/>
    <w:rsid w:val="00CA052B"/>
    <w:rsid w:val="00CA056D"/>
    <w:rsid w:val="00CA060C"/>
    <w:rsid w:val="00CA062B"/>
    <w:rsid w:val="00CA0653"/>
    <w:rsid w:val="00CA0671"/>
    <w:rsid w:val="00CA0796"/>
    <w:rsid w:val="00CA07C6"/>
    <w:rsid w:val="00CA08C6"/>
    <w:rsid w:val="00CA08D7"/>
    <w:rsid w:val="00CA095F"/>
    <w:rsid w:val="00CA09AA"/>
    <w:rsid w:val="00CA0A86"/>
    <w:rsid w:val="00CA0A99"/>
    <w:rsid w:val="00CA0ABF"/>
    <w:rsid w:val="00CA0ACF"/>
    <w:rsid w:val="00CA0AF7"/>
    <w:rsid w:val="00CA0B22"/>
    <w:rsid w:val="00CA0B29"/>
    <w:rsid w:val="00CA0B8E"/>
    <w:rsid w:val="00CA0BD3"/>
    <w:rsid w:val="00CA0BE4"/>
    <w:rsid w:val="00CA0BF0"/>
    <w:rsid w:val="00CA0C15"/>
    <w:rsid w:val="00CA0C18"/>
    <w:rsid w:val="00CA0C26"/>
    <w:rsid w:val="00CA0C2D"/>
    <w:rsid w:val="00CA0C4A"/>
    <w:rsid w:val="00CA0CB1"/>
    <w:rsid w:val="00CA0CD4"/>
    <w:rsid w:val="00CA0D02"/>
    <w:rsid w:val="00CA0D1B"/>
    <w:rsid w:val="00CA0D43"/>
    <w:rsid w:val="00CA0DBD"/>
    <w:rsid w:val="00CA0E2D"/>
    <w:rsid w:val="00CA0E45"/>
    <w:rsid w:val="00CA0E54"/>
    <w:rsid w:val="00CA0E85"/>
    <w:rsid w:val="00CA0EAB"/>
    <w:rsid w:val="00CA0ECA"/>
    <w:rsid w:val="00CA0EF6"/>
    <w:rsid w:val="00CA0F04"/>
    <w:rsid w:val="00CA0F0D"/>
    <w:rsid w:val="00CA0F98"/>
    <w:rsid w:val="00CA0FB2"/>
    <w:rsid w:val="00CA0FC4"/>
    <w:rsid w:val="00CA0FC7"/>
    <w:rsid w:val="00CA0FD9"/>
    <w:rsid w:val="00CA0FDC"/>
    <w:rsid w:val="00CA1033"/>
    <w:rsid w:val="00CA1042"/>
    <w:rsid w:val="00CA1076"/>
    <w:rsid w:val="00CA1097"/>
    <w:rsid w:val="00CA10BC"/>
    <w:rsid w:val="00CA10E9"/>
    <w:rsid w:val="00CA1137"/>
    <w:rsid w:val="00CA1138"/>
    <w:rsid w:val="00CA1196"/>
    <w:rsid w:val="00CA11E6"/>
    <w:rsid w:val="00CA1209"/>
    <w:rsid w:val="00CA125A"/>
    <w:rsid w:val="00CA12B9"/>
    <w:rsid w:val="00CA12C9"/>
    <w:rsid w:val="00CA12D4"/>
    <w:rsid w:val="00CA1372"/>
    <w:rsid w:val="00CA13C8"/>
    <w:rsid w:val="00CA13E2"/>
    <w:rsid w:val="00CA13E3"/>
    <w:rsid w:val="00CA140D"/>
    <w:rsid w:val="00CA1500"/>
    <w:rsid w:val="00CA153E"/>
    <w:rsid w:val="00CA1574"/>
    <w:rsid w:val="00CA1595"/>
    <w:rsid w:val="00CA1636"/>
    <w:rsid w:val="00CA1640"/>
    <w:rsid w:val="00CA164D"/>
    <w:rsid w:val="00CA168E"/>
    <w:rsid w:val="00CA16A5"/>
    <w:rsid w:val="00CA16DC"/>
    <w:rsid w:val="00CA171F"/>
    <w:rsid w:val="00CA174B"/>
    <w:rsid w:val="00CA175C"/>
    <w:rsid w:val="00CA178F"/>
    <w:rsid w:val="00CA1793"/>
    <w:rsid w:val="00CA17B7"/>
    <w:rsid w:val="00CA17EA"/>
    <w:rsid w:val="00CA1818"/>
    <w:rsid w:val="00CA1820"/>
    <w:rsid w:val="00CA1834"/>
    <w:rsid w:val="00CA1859"/>
    <w:rsid w:val="00CA1868"/>
    <w:rsid w:val="00CA18A8"/>
    <w:rsid w:val="00CA18B0"/>
    <w:rsid w:val="00CA1951"/>
    <w:rsid w:val="00CA196E"/>
    <w:rsid w:val="00CA1972"/>
    <w:rsid w:val="00CA1984"/>
    <w:rsid w:val="00CA1986"/>
    <w:rsid w:val="00CA19AC"/>
    <w:rsid w:val="00CA19E1"/>
    <w:rsid w:val="00CA19E8"/>
    <w:rsid w:val="00CA19F9"/>
    <w:rsid w:val="00CA1A22"/>
    <w:rsid w:val="00CA1A34"/>
    <w:rsid w:val="00CA1A43"/>
    <w:rsid w:val="00CA1A63"/>
    <w:rsid w:val="00CA1A8C"/>
    <w:rsid w:val="00CA1AA7"/>
    <w:rsid w:val="00CA1AC4"/>
    <w:rsid w:val="00CA1B04"/>
    <w:rsid w:val="00CA1B14"/>
    <w:rsid w:val="00CA1B30"/>
    <w:rsid w:val="00CA1B6C"/>
    <w:rsid w:val="00CA1BA9"/>
    <w:rsid w:val="00CA1BB1"/>
    <w:rsid w:val="00CA1BB7"/>
    <w:rsid w:val="00CA1BC3"/>
    <w:rsid w:val="00CA1C2D"/>
    <w:rsid w:val="00CA1C4C"/>
    <w:rsid w:val="00CA1C72"/>
    <w:rsid w:val="00CA1C95"/>
    <w:rsid w:val="00CA1CE1"/>
    <w:rsid w:val="00CA1CF5"/>
    <w:rsid w:val="00CA1D0F"/>
    <w:rsid w:val="00CA1D4A"/>
    <w:rsid w:val="00CA1D4B"/>
    <w:rsid w:val="00CA1D68"/>
    <w:rsid w:val="00CA1DFD"/>
    <w:rsid w:val="00CA1E00"/>
    <w:rsid w:val="00CA1E04"/>
    <w:rsid w:val="00CA1E06"/>
    <w:rsid w:val="00CA1EBB"/>
    <w:rsid w:val="00CA1EC3"/>
    <w:rsid w:val="00CA1ED5"/>
    <w:rsid w:val="00CA1F13"/>
    <w:rsid w:val="00CA1F58"/>
    <w:rsid w:val="00CA1F68"/>
    <w:rsid w:val="00CA1F89"/>
    <w:rsid w:val="00CA1FF3"/>
    <w:rsid w:val="00CA20B5"/>
    <w:rsid w:val="00CA2136"/>
    <w:rsid w:val="00CA2138"/>
    <w:rsid w:val="00CA213A"/>
    <w:rsid w:val="00CA2161"/>
    <w:rsid w:val="00CA21F6"/>
    <w:rsid w:val="00CA227B"/>
    <w:rsid w:val="00CA22CB"/>
    <w:rsid w:val="00CA22F8"/>
    <w:rsid w:val="00CA2313"/>
    <w:rsid w:val="00CA2348"/>
    <w:rsid w:val="00CA234E"/>
    <w:rsid w:val="00CA2375"/>
    <w:rsid w:val="00CA2387"/>
    <w:rsid w:val="00CA239C"/>
    <w:rsid w:val="00CA2403"/>
    <w:rsid w:val="00CA242C"/>
    <w:rsid w:val="00CA2464"/>
    <w:rsid w:val="00CA251B"/>
    <w:rsid w:val="00CA255E"/>
    <w:rsid w:val="00CA2572"/>
    <w:rsid w:val="00CA2583"/>
    <w:rsid w:val="00CA25A9"/>
    <w:rsid w:val="00CA2605"/>
    <w:rsid w:val="00CA2618"/>
    <w:rsid w:val="00CA263E"/>
    <w:rsid w:val="00CA2671"/>
    <w:rsid w:val="00CA26C1"/>
    <w:rsid w:val="00CA26D7"/>
    <w:rsid w:val="00CA26F1"/>
    <w:rsid w:val="00CA2716"/>
    <w:rsid w:val="00CA2735"/>
    <w:rsid w:val="00CA273C"/>
    <w:rsid w:val="00CA2779"/>
    <w:rsid w:val="00CA27D0"/>
    <w:rsid w:val="00CA27D4"/>
    <w:rsid w:val="00CA27D6"/>
    <w:rsid w:val="00CA2849"/>
    <w:rsid w:val="00CA28D0"/>
    <w:rsid w:val="00CA28E1"/>
    <w:rsid w:val="00CA291D"/>
    <w:rsid w:val="00CA2963"/>
    <w:rsid w:val="00CA2A21"/>
    <w:rsid w:val="00CA2A2B"/>
    <w:rsid w:val="00CA2A88"/>
    <w:rsid w:val="00CA2AB9"/>
    <w:rsid w:val="00CA2B36"/>
    <w:rsid w:val="00CA2B8E"/>
    <w:rsid w:val="00CA2BE3"/>
    <w:rsid w:val="00CA2C44"/>
    <w:rsid w:val="00CA2CAD"/>
    <w:rsid w:val="00CA2CE5"/>
    <w:rsid w:val="00CA2D18"/>
    <w:rsid w:val="00CA2D75"/>
    <w:rsid w:val="00CA2D8B"/>
    <w:rsid w:val="00CA2D97"/>
    <w:rsid w:val="00CA2DD5"/>
    <w:rsid w:val="00CA2E07"/>
    <w:rsid w:val="00CA2E12"/>
    <w:rsid w:val="00CA2E56"/>
    <w:rsid w:val="00CA2E66"/>
    <w:rsid w:val="00CA2EA8"/>
    <w:rsid w:val="00CA2EF5"/>
    <w:rsid w:val="00CA2F90"/>
    <w:rsid w:val="00CA2F9B"/>
    <w:rsid w:val="00CA302E"/>
    <w:rsid w:val="00CA3078"/>
    <w:rsid w:val="00CA30D1"/>
    <w:rsid w:val="00CA3170"/>
    <w:rsid w:val="00CA31C4"/>
    <w:rsid w:val="00CA31D7"/>
    <w:rsid w:val="00CA323C"/>
    <w:rsid w:val="00CA32A6"/>
    <w:rsid w:val="00CA32D0"/>
    <w:rsid w:val="00CA32D5"/>
    <w:rsid w:val="00CA32E3"/>
    <w:rsid w:val="00CA32F0"/>
    <w:rsid w:val="00CA32FA"/>
    <w:rsid w:val="00CA3306"/>
    <w:rsid w:val="00CA3324"/>
    <w:rsid w:val="00CA3357"/>
    <w:rsid w:val="00CA335D"/>
    <w:rsid w:val="00CA339A"/>
    <w:rsid w:val="00CA33DC"/>
    <w:rsid w:val="00CA340B"/>
    <w:rsid w:val="00CA3441"/>
    <w:rsid w:val="00CA3542"/>
    <w:rsid w:val="00CA3562"/>
    <w:rsid w:val="00CA35A5"/>
    <w:rsid w:val="00CA35F3"/>
    <w:rsid w:val="00CA364C"/>
    <w:rsid w:val="00CA3651"/>
    <w:rsid w:val="00CA3673"/>
    <w:rsid w:val="00CA368F"/>
    <w:rsid w:val="00CA36B1"/>
    <w:rsid w:val="00CA36BC"/>
    <w:rsid w:val="00CA36D0"/>
    <w:rsid w:val="00CA36DE"/>
    <w:rsid w:val="00CA372A"/>
    <w:rsid w:val="00CA372C"/>
    <w:rsid w:val="00CA3739"/>
    <w:rsid w:val="00CA3768"/>
    <w:rsid w:val="00CA3799"/>
    <w:rsid w:val="00CA37C9"/>
    <w:rsid w:val="00CA37CA"/>
    <w:rsid w:val="00CA3803"/>
    <w:rsid w:val="00CA380A"/>
    <w:rsid w:val="00CA384D"/>
    <w:rsid w:val="00CA3874"/>
    <w:rsid w:val="00CA3884"/>
    <w:rsid w:val="00CA389D"/>
    <w:rsid w:val="00CA390A"/>
    <w:rsid w:val="00CA393D"/>
    <w:rsid w:val="00CA3949"/>
    <w:rsid w:val="00CA394B"/>
    <w:rsid w:val="00CA3973"/>
    <w:rsid w:val="00CA39B6"/>
    <w:rsid w:val="00CA3A21"/>
    <w:rsid w:val="00CA3A4C"/>
    <w:rsid w:val="00CA3A7B"/>
    <w:rsid w:val="00CA3B1C"/>
    <w:rsid w:val="00CA3B50"/>
    <w:rsid w:val="00CA3B59"/>
    <w:rsid w:val="00CA3C04"/>
    <w:rsid w:val="00CA3C0E"/>
    <w:rsid w:val="00CA3C40"/>
    <w:rsid w:val="00CA3CB9"/>
    <w:rsid w:val="00CA3CC5"/>
    <w:rsid w:val="00CA3CEE"/>
    <w:rsid w:val="00CA3D0A"/>
    <w:rsid w:val="00CA3D3E"/>
    <w:rsid w:val="00CA3D59"/>
    <w:rsid w:val="00CA3DDD"/>
    <w:rsid w:val="00CA3DE6"/>
    <w:rsid w:val="00CA3DFE"/>
    <w:rsid w:val="00CA3E14"/>
    <w:rsid w:val="00CA3E55"/>
    <w:rsid w:val="00CA3E8E"/>
    <w:rsid w:val="00CA3EE7"/>
    <w:rsid w:val="00CA3F56"/>
    <w:rsid w:val="00CA3F7A"/>
    <w:rsid w:val="00CA3FC9"/>
    <w:rsid w:val="00CA4002"/>
    <w:rsid w:val="00CA4015"/>
    <w:rsid w:val="00CA4026"/>
    <w:rsid w:val="00CA402C"/>
    <w:rsid w:val="00CA402F"/>
    <w:rsid w:val="00CA409D"/>
    <w:rsid w:val="00CA40C7"/>
    <w:rsid w:val="00CA40E0"/>
    <w:rsid w:val="00CA4145"/>
    <w:rsid w:val="00CA4156"/>
    <w:rsid w:val="00CA418B"/>
    <w:rsid w:val="00CA41A0"/>
    <w:rsid w:val="00CA41A4"/>
    <w:rsid w:val="00CA42C3"/>
    <w:rsid w:val="00CA42E3"/>
    <w:rsid w:val="00CA43A2"/>
    <w:rsid w:val="00CA4489"/>
    <w:rsid w:val="00CA4495"/>
    <w:rsid w:val="00CA44B6"/>
    <w:rsid w:val="00CA44BC"/>
    <w:rsid w:val="00CA4538"/>
    <w:rsid w:val="00CA45E2"/>
    <w:rsid w:val="00CA461D"/>
    <w:rsid w:val="00CA4623"/>
    <w:rsid w:val="00CA4653"/>
    <w:rsid w:val="00CA465D"/>
    <w:rsid w:val="00CA4684"/>
    <w:rsid w:val="00CA4688"/>
    <w:rsid w:val="00CA46CE"/>
    <w:rsid w:val="00CA46E4"/>
    <w:rsid w:val="00CA4700"/>
    <w:rsid w:val="00CA471C"/>
    <w:rsid w:val="00CA471E"/>
    <w:rsid w:val="00CA4757"/>
    <w:rsid w:val="00CA4765"/>
    <w:rsid w:val="00CA478A"/>
    <w:rsid w:val="00CA47ED"/>
    <w:rsid w:val="00CA4819"/>
    <w:rsid w:val="00CA483F"/>
    <w:rsid w:val="00CA484C"/>
    <w:rsid w:val="00CA485F"/>
    <w:rsid w:val="00CA4870"/>
    <w:rsid w:val="00CA48DE"/>
    <w:rsid w:val="00CA4938"/>
    <w:rsid w:val="00CA493F"/>
    <w:rsid w:val="00CA49B0"/>
    <w:rsid w:val="00CA49D0"/>
    <w:rsid w:val="00CA4A4F"/>
    <w:rsid w:val="00CA4A80"/>
    <w:rsid w:val="00CA4A8F"/>
    <w:rsid w:val="00CA4AD1"/>
    <w:rsid w:val="00CA4AEA"/>
    <w:rsid w:val="00CA4AF8"/>
    <w:rsid w:val="00CA4B04"/>
    <w:rsid w:val="00CA4B69"/>
    <w:rsid w:val="00CA4B7E"/>
    <w:rsid w:val="00CA4B8F"/>
    <w:rsid w:val="00CA4B96"/>
    <w:rsid w:val="00CA4BB6"/>
    <w:rsid w:val="00CA4BC0"/>
    <w:rsid w:val="00CA4BF6"/>
    <w:rsid w:val="00CA4CD3"/>
    <w:rsid w:val="00CA4CFA"/>
    <w:rsid w:val="00CA4D26"/>
    <w:rsid w:val="00CA4D33"/>
    <w:rsid w:val="00CA4D85"/>
    <w:rsid w:val="00CA4DB4"/>
    <w:rsid w:val="00CA4DCA"/>
    <w:rsid w:val="00CA4DD9"/>
    <w:rsid w:val="00CA4DE4"/>
    <w:rsid w:val="00CA4E60"/>
    <w:rsid w:val="00CA4E65"/>
    <w:rsid w:val="00CA4E66"/>
    <w:rsid w:val="00CA4EB5"/>
    <w:rsid w:val="00CA4EE1"/>
    <w:rsid w:val="00CA4F2E"/>
    <w:rsid w:val="00CA501D"/>
    <w:rsid w:val="00CA5052"/>
    <w:rsid w:val="00CA5058"/>
    <w:rsid w:val="00CA505E"/>
    <w:rsid w:val="00CA5095"/>
    <w:rsid w:val="00CA50E0"/>
    <w:rsid w:val="00CA5148"/>
    <w:rsid w:val="00CA516F"/>
    <w:rsid w:val="00CA5177"/>
    <w:rsid w:val="00CA5182"/>
    <w:rsid w:val="00CA51A3"/>
    <w:rsid w:val="00CA51BA"/>
    <w:rsid w:val="00CA51D7"/>
    <w:rsid w:val="00CA5210"/>
    <w:rsid w:val="00CA5228"/>
    <w:rsid w:val="00CA5231"/>
    <w:rsid w:val="00CA5279"/>
    <w:rsid w:val="00CA528A"/>
    <w:rsid w:val="00CA52A4"/>
    <w:rsid w:val="00CA5345"/>
    <w:rsid w:val="00CA537E"/>
    <w:rsid w:val="00CA53EC"/>
    <w:rsid w:val="00CA53F6"/>
    <w:rsid w:val="00CA5464"/>
    <w:rsid w:val="00CA5471"/>
    <w:rsid w:val="00CA548C"/>
    <w:rsid w:val="00CA5512"/>
    <w:rsid w:val="00CA552A"/>
    <w:rsid w:val="00CA5595"/>
    <w:rsid w:val="00CA55C2"/>
    <w:rsid w:val="00CA55E3"/>
    <w:rsid w:val="00CA55E4"/>
    <w:rsid w:val="00CA55F9"/>
    <w:rsid w:val="00CA5634"/>
    <w:rsid w:val="00CA5660"/>
    <w:rsid w:val="00CA5692"/>
    <w:rsid w:val="00CA569D"/>
    <w:rsid w:val="00CA56AA"/>
    <w:rsid w:val="00CA56B7"/>
    <w:rsid w:val="00CA56C1"/>
    <w:rsid w:val="00CA56D7"/>
    <w:rsid w:val="00CA56E2"/>
    <w:rsid w:val="00CA5702"/>
    <w:rsid w:val="00CA5760"/>
    <w:rsid w:val="00CA5798"/>
    <w:rsid w:val="00CA57A7"/>
    <w:rsid w:val="00CA57DA"/>
    <w:rsid w:val="00CA5831"/>
    <w:rsid w:val="00CA585A"/>
    <w:rsid w:val="00CA5873"/>
    <w:rsid w:val="00CA5901"/>
    <w:rsid w:val="00CA5970"/>
    <w:rsid w:val="00CA5978"/>
    <w:rsid w:val="00CA59A4"/>
    <w:rsid w:val="00CA59C2"/>
    <w:rsid w:val="00CA59DB"/>
    <w:rsid w:val="00CA5A14"/>
    <w:rsid w:val="00CA5A9A"/>
    <w:rsid w:val="00CA5AD0"/>
    <w:rsid w:val="00CA5B40"/>
    <w:rsid w:val="00CA5B48"/>
    <w:rsid w:val="00CA5B7F"/>
    <w:rsid w:val="00CA5C39"/>
    <w:rsid w:val="00CA5C59"/>
    <w:rsid w:val="00CA5C77"/>
    <w:rsid w:val="00CA5CA8"/>
    <w:rsid w:val="00CA5CAF"/>
    <w:rsid w:val="00CA5CE4"/>
    <w:rsid w:val="00CA5CFF"/>
    <w:rsid w:val="00CA5D52"/>
    <w:rsid w:val="00CA5DA7"/>
    <w:rsid w:val="00CA5DE2"/>
    <w:rsid w:val="00CA5E1A"/>
    <w:rsid w:val="00CA5E43"/>
    <w:rsid w:val="00CA5E57"/>
    <w:rsid w:val="00CA5E5A"/>
    <w:rsid w:val="00CA5E70"/>
    <w:rsid w:val="00CA5E78"/>
    <w:rsid w:val="00CA5E9A"/>
    <w:rsid w:val="00CA5EB1"/>
    <w:rsid w:val="00CA5EB4"/>
    <w:rsid w:val="00CA5EC9"/>
    <w:rsid w:val="00CA5ECB"/>
    <w:rsid w:val="00CA5ED5"/>
    <w:rsid w:val="00CA5EF0"/>
    <w:rsid w:val="00CA5F17"/>
    <w:rsid w:val="00CA5F18"/>
    <w:rsid w:val="00CA5F83"/>
    <w:rsid w:val="00CA5FD1"/>
    <w:rsid w:val="00CA5FE1"/>
    <w:rsid w:val="00CA5FF2"/>
    <w:rsid w:val="00CA6026"/>
    <w:rsid w:val="00CA6034"/>
    <w:rsid w:val="00CA606F"/>
    <w:rsid w:val="00CA608A"/>
    <w:rsid w:val="00CA60B5"/>
    <w:rsid w:val="00CA60F4"/>
    <w:rsid w:val="00CA613E"/>
    <w:rsid w:val="00CA6160"/>
    <w:rsid w:val="00CA6168"/>
    <w:rsid w:val="00CA6170"/>
    <w:rsid w:val="00CA6185"/>
    <w:rsid w:val="00CA620A"/>
    <w:rsid w:val="00CA6216"/>
    <w:rsid w:val="00CA6217"/>
    <w:rsid w:val="00CA6296"/>
    <w:rsid w:val="00CA62B2"/>
    <w:rsid w:val="00CA6367"/>
    <w:rsid w:val="00CA6393"/>
    <w:rsid w:val="00CA6398"/>
    <w:rsid w:val="00CA63C3"/>
    <w:rsid w:val="00CA63F2"/>
    <w:rsid w:val="00CA640A"/>
    <w:rsid w:val="00CA6435"/>
    <w:rsid w:val="00CA6441"/>
    <w:rsid w:val="00CA6450"/>
    <w:rsid w:val="00CA6550"/>
    <w:rsid w:val="00CA6554"/>
    <w:rsid w:val="00CA6586"/>
    <w:rsid w:val="00CA6599"/>
    <w:rsid w:val="00CA65FE"/>
    <w:rsid w:val="00CA6613"/>
    <w:rsid w:val="00CA665A"/>
    <w:rsid w:val="00CA6696"/>
    <w:rsid w:val="00CA66CA"/>
    <w:rsid w:val="00CA66D3"/>
    <w:rsid w:val="00CA670F"/>
    <w:rsid w:val="00CA6721"/>
    <w:rsid w:val="00CA67B6"/>
    <w:rsid w:val="00CA67B7"/>
    <w:rsid w:val="00CA67C1"/>
    <w:rsid w:val="00CA67CB"/>
    <w:rsid w:val="00CA67EB"/>
    <w:rsid w:val="00CA6862"/>
    <w:rsid w:val="00CA6865"/>
    <w:rsid w:val="00CA687F"/>
    <w:rsid w:val="00CA68C9"/>
    <w:rsid w:val="00CA6951"/>
    <w:rsid w:val="00CA69CF"/>
    <w:rsid w:val="00CA6A05"/>
    <w:rsid w:val="00CA6A17"/>
    <w:rsid w:val="00CA6A4D"/>
    <w:rsid w:val="00CA6A55"/>
    <w:rsid w:val="00CA6AF5"/>
    <w:rsid w:val="00CA6AF8"/>
    <w:rsid w:val="00CA6B56"/>
    <w:rsid w:val="00CA6B7C"/>
    <w:rsid w:val="00CA6BD7"/>
    <w:rsid w:val="00CA6BF1"/>
    <w:rsid w:val="00CA6CCB"/>
    <w:rsid w:val="00CA6CF4"/>
    <w:rsid w:val="00CA6D02"/>
    <w:rsid w:val="00CA6D13"/>
    <w:rsid w:val="00CA6D3F"/>
    <w:rsid w:val="00CA6D48"/>
    <w:rsid w:val="00CA6D59"/>
    <w:rsid w:val="00CA6D5C"/>
    <w:rsid w:val="00CA6D89"/>
    <w:rsid w:val="00CA6E06"/>
    <w:rsid w:val="00CA6E3C"/>
    <w:rsid w:val="00CA6E4D"/>
    <w:rsid w:val="00CA6E70"/>
    <w:rsid w:val="00CA6E72"/>
    <w:rsid w:val="00CA6E87"/>
    <w:rsid w:val="00CA6EA6"/>
    <w:rsid w:val="00CA6EBC"/>
    <w:rsid w:val="00CA6F2D"/>
    <w:rsid w:val="00CA6F6B"/>
    <w:rsid w:val="00CA6F8A"/>
    <w:rsid w:val="00CA6FCB"/>
    <w:rsid w:val="00CA6FDC"/>
    <w:rsid w:val="00CA6FED"/>
    <w:rsid w:val="00CA700B"/>
    <w:rsid w:val="00CA70AB"/>
    <w:rsid w:val="00CA7106"/>
    <w:rsid w:val="00CA7113"/>
    <w:rsid w:val="00CA7123"/>
    <w:rsid w:val="00CA71AB"/>
    <w:rsid w:val="00CA71CF"/>
    <w:rsid w:val="00CA7228"/>
    <w:rsid w:val="00CA72B6"/>
    <w:rsid w:val="00CA72CF"/>
    <w:rsid w:val="00CA7349"/>
    <w:rsid w:val="00CA734D"/>
    <w:rsid w:val="00CA736B"/>
    <w:rsid w:val="00CA738A"/>
    <w:rsid w:val="00CA7394"/>
    <w:rsid w:val="00CA7395"/>
    <w:rsid w:val="00CA7399"/>
    <w:rsid w:val="00CA73C2"/>
    <w:rsid w:val="00CA73DC"/>
    <w:rsid w:val="00CA7428"/>
    <w:rsid w:val="00CA748A"/>
    <w:rsid w:val="00CA74D8"/>
    <w:rsid w:val="00CA74FF"/>
    <w:rsid w:val="00CA75FA"/>
    <w:rsid w:val="00CA767C"/>
    <w:rsid w:val="00CA76A7"/>
    <w:rsid w:val="00CA7717"/>
    <w:rsid w:val="00CA7720"/>
    <w:rsid w:val="00CA7735"/>
    <w:rsid w:val="00CA77C3"/>
    <w:rsid w:val="00CA77D8"/>
    <w:rsid w:val="00CA7849"/>
    <w:rsid w:val="00CA7858"/>
    <w:rsid w:val="00CA7863"/>
    <w:rsid w:val="00CA7870"/>
    <w:rsid w:val="00CA78A7"/>
    <w:rsid w:val="00CA78B4"/>
    <w:rsid w:val="00CA7943"/>
    <w:rsid w:val="00CA798F"/>
    <w:rsid w:val="00CA79FA"/>
    <w:rsid w:val="00CA7A18"/>
    <w:rsid w:val="00CA7A1A"/>
    <w:rsid w:val="00CA7A36"/>
    <w:rsid w:val="00CA7A38"/>
    <w:rsid w:val="00CA7A40"/>
    <w:rsid w:val="00CA7A62"/>
    <w:rsid w:val="00CA7A6E"/>
    <w:rsid w:val="00CA7A72"/>
    <w:rsid w:val="00CA7A76"/>
    <w:rsid w:val="00CA7AC6"/>
    <w:rsid w:val="00CA7AD8"/>
    <w:rsid w:val="00CA7ADF"/>
    <w:rsid w:val="00CA7B2C"/>
    <w:rsid w:val="00CA7B37"/>
    <w:rsid w:val="00CA7B65"/>
    <w:rsid w:val="00CA7B6B"/>
    <w:rsid w:val="00CA7BD3"/>
    <w:rsid w:val="00CA7C67"/>
    <w:rsid w:val="00CA7C73"/>
    <w:rsid w:val="00CA7CDA"/>
    <w:rsid w:val="00CA7CF9"/>
    <w:rsid w:val="00CA7D8B"/>
    <w:rsid w:val="00CA7D8E"/>
    <w:rsid w:val="00CA7DB6"/>
    <w:rsid w:val="00CA7DDA"/>
    <w:rsid w:val="00CA7E16"/>
    <w:rsid w:val="00CA7E9C"/>
    <w:rsid w:val="00CA7F2B"/>
    <w:rsid w:val="00CA7F96"/>
    <w:rsid w:val="00CA7FA4"/>
    <w:rsid w:val="00CA7FB3"/>
    <w:rsid w:val="00CB0051"/>
    <w:rsid w:val="00CB0074"/>
    <w:rsid w:val="00CB00A0"/>
    <w:rsid w:val="00CB00A1"/>
    <w:rsid w:val="00CB00B9"/>
    <w:rsid w:val="00CB00E9"/>
    <w:rsid w:val="00CB0105"/>
    <w:rsid w:val="00CB012F"/>
    <w:rsid w:val="00CB0157"/>
    <w:rsid w:val="00CB0178"/>
    <w:rsid w:val="00CB0187"/>
    <w:rsid w:val="00CB01A0"/>
    <w:rsid w:val="00CB01A9"/>
    <w:rsid w:val="00CB01B9"/>
    <w:rsid w:val="00CB01DF"/>
    <w:rsid w:val="00CB0201"/>
    <w:rsid w:val="00CB0267"/>
    <w:rsid w:val="00CB02A5"/>
    <w:rsid w:val="00CB02EE"/>
    <w:rsid w:val="00CB0309"/>
    <w:rsid w:val="00CB0324"/>
    <w:rsid w:val="00CB033B"/>
    <w:rsid w:val="00CB034A"/>
    <w:rsid w:val="00CB034F"/>
    <w:rsid w:val="00CB0377"/>
    <w:rsid w:val="00CB03A6"/>
    <w:rsid w:val="00CB03BD"/>
    <w:rsid w:val="00CB03D4"/>
    <w:rsid w:val="00CB03F6"/>
    <w:rsid w:val="00CB042C"/>
    <w:rsid w:val="00CB0441"/>
    <w:rsid w:val="00CB045E"/>
    <w:rsid w:val="00CB049C"/>
    <w:rsid w:val="00CB0505"/>
    <w:rsid w:val="00CB05EF"/>
    <w:rsid w:val="00CB05FA"/>
    <w:rsid w:val="00CB061E"/>
    <w:rsid w:val="00CB0627"/>
    <w:rsid w:val="00CB0650"/>
    <w:rsid w:val="00CB0658"/>
    <w:rsid w:val="00CB06A4"/>
    <w:rsid w:val="00CB06BF"/>
    <w:rsid w:val="00CB06F5"/>
    <w:rsid w:val="00CB075D"/>
    <w:rsid w:val="00CB07BB"/>
    <w:rsid w:val="00CB080A"/>
    <w:rsid w:val="00CB0818"/>
    <w:rsid w:val="00CB08E1"/>
    <w:rsid w:val="00CB0926"/>
    <w:rsid w:val="00CB0939"/>
    <w:rsid w:val="00CB0AE4"/>
    <w:rsid w:val="00CB0AEC"/>
    <w:rsid w:val="00CB0B0C"/>
    <w:rsid w:val="00CB0B58"/>
    <w:rsid w:val="00CB0B66"/>
    <w:rsid w:val="00CB0B80"/>
    <w:rsid w:val="00CB0B8D"/>
    <w:rsid w:val="00CB0BA5"/>
    <w:rsid w:val="00CB0BF5"/>
    <w:rsid w:val="00CB0C2F"/>
    <w:rsid w:val="00CB0CC0"/>
    <w:rsid w:val="00CB0CE5"/>
    <w:rsid w:val="00CB0D4B"/>
    <w:rsid w:val="00CB0D5F"/>
    <w:rsid w:val="00CB0DCE"/>
    <w:rsid w:val="00CB0DEB"/>
    <w:rsid w:val="00CB0E21"/>
    <w:rsid w:val="00CB0E71"/>
    <w:rsid w:val="00CB0EA1"/>
    <w:rsid w:val="00CB0F30"/>
    <w:rsid w:val="00CB0F6E"/>
    <w:rsid w:val="00CB0FA4"/>
    <w:rsid w:val="00CB0FA8"/>
    <w:rsid w:val="00CB0FCB"/>
    <w:rsid w:val="00CB0FF9"/>
    <w:rsid w:val="00CB1030"/>
    <w:rsid w:val="00CB105D"/>
    <w:rsid w:val="00CB10CD"/>
    <w:rsid w:val="00CB1114"/>
    <w:rsid w:val="00CB1117"/>
    <w:rsid w:val="00CB112C"/>
    <w:rsid w:val="00CB1196"/>
    <w:rsid w:val="00CB11D6"/>
    <w:rsid w:val="00CB11E5"/>
    <w:rsid w:val="00CB125A"/>
    <w:rsid w:val="00CB1277"/>
    <w:rsid w:val="00CB12AE"/>
    <w:rsid w:val="00CB1345"/>
    <w:rsid w:val="00CB1347"/>
    <w:rsid w:val="00CB134D"/>
    <w:rsid w:val="00CB136C"/>
    <w:rsid w:val="00CB13A9"/>
    <w:rsid w:val="00CB13B0"/>
    <w:rsid w:val="00CB140A"/>
    <w:rsid w:val="00CB1421"/>
    <w:rsid w:val="00CB1443"/>
    <w:rsid w:val="00CB146F"/>
    <w:rsid w:val="00CB1484"/>
    <w:rsid w:val="00CB150C"/>
    <w:rsid w:val="00CB15A5"/>
    <w:rsid w:val="00CB15AB"/>
    <w:rsid w:val="00CB15C4"/>
    <w:rsid w:val="00CB1604"/>
    <w:rsid w:val="00CB161F"/>
    <w:rsid w:val="00CB162B"/>
    <w:rsid w:val="00CB1639"/>
    <w:rsid w:val="00CB1646"/>
    <w:rsid w:val="00CB169A"/>
    <w:rsid w:val="00CB1706"/>
    <w:rsid w:val="00CB1719"/>
    <w:rsid w:val="00CB1724"/>
    <w:rsid w:val="00CB1767"/>
    <w:rsid w:val="00CB1795"/>
    <w:rsid w:val="00CB181E"/>
    <w:rsid w:val="00CB1859"/>
    <w:rsid w:val="00CB1886"/>
    <w:rsid w:val="00CB18AA"/>
    <w:rsid w:val="00CB18D3"/>
    <w:rsid w:val="00CB1924"/>
    <w:rsid w:val="00CB192E"/>
    <w:rsid w:val="00CB1945"/>
    <w:rsid w:val="00CB1947"/>
    <w:rsid w:val="00CB1958"/>
    <w:rsid w:val="00CB1A4A"/>
    <w:rsid w:val="00CB1A5C"/>
    <w:rsid w:val="00CB1A6E"/>
    <w:rsid w:val="00CB1A75"/>
    <w:rsid w:val="00CB1AE6"/>
    <w:rsid w:val="00CB1B51"/>
    <w:rsid w:val="00CB1B63"/>
    <w:rsid w:val="00CB1B80"/>
    <w:rsid w:val="00CB1BD7"/>
    <w:rsid w:val="00CB1BEF"/>
    <w:rsid w:val="00CB1C1B"/>
    <w:rsid w:val="00CB1C54"/>
    <w:rsid w:val="00CB1C81"/>
    <w:rsid w:val="00CB1CC6"/>
    <w:rsid w:val="00CB1CDC"/>
    <w:rsid w:val="00CB1CEB"/>
    <w:rsid w:val="00CB1D4E"/>
    <w:rsid w:val="00CB1DB6"/>
    <w:rsid w:val="00CB1DD2"/>
    <w:rsid w:val="00CB1DE3"/>
    <w:rsid w:val="00CB1E19"/>
    <w:rsid w:val="00CB1E48"/>
    <w:rsid w:val="00CB1E5E"/>
    <w:rsid w:val="00CB1E79"/>
    <w:rsid w:val="00CB1E8B"/>
    <w:rsid w:val="00CB1EB9"/>
    <w:rsid w:val="00CB1EBC"/>
    <w:rsid w:val="00CB1EED"/>
    <w:rsid w:val="00CB1F0D"/>
    <w:rsid w:val="00CB1F7B"/>
    <w:rsid w:val="00CB1FBA"/>
    <w:rsid w:val="00CB1FD3"/>
    <w:rsid w:val="00CB2007"/>
    <w:rsid w:val="00CB200C"/>
    <w:rsid w:val="00CB20D6"/>
    <w:rsid w:val="00CB20E0"/>
    <w:rsid w:val="00CB20EF"/>
    <w:rsid w:val="00CB220F"/>
    <w:rsid w:val="00CB22E6"/>
    <w:rsid w:val="00CB2300"/>
    <w:rsid w:val="00CB233D"/>
    <w:rsid w:val="00CB23C1"/>
    <w:rsid w:val="00CB23FF"/>
    <w:rsid w:val="00CB2457"/>
    <w:rsid w:val="00CB24B4"/>
    <w:rsid w:val="00CB24DD"/>
    <w:rsid w:val="00CB24E2"/>
    <w:rsid w:val="00CB24F8"/>
    <w:rsid w:val="00CB250E"/>
    <w:rsid w:val="00CB252A"/>
    <w:rsid w:val="00CB2554"/>
    <w:rsid w:val="00CB25FC"/>
    <w:rsid w:val="00CB2637"/>
    <w:rsid w:val="00CB2653"/>
    <w:rsid w:val="00CB2655"/>
    <w:rsid w:val="00CB26C8"/>
    <w:rsid w:val="00CB26E6"/>
    <w:rsid w:val="00CB274A"/>
    <w:rsid w:val="00CB275A"/>
    <w:rsid w:val="00CB27C0"/>
    <w:rsid w:val="00CB283B"/>
    <w:rsid w:val="00CB2854"/>
    <w:rsid w:val="00CB2880"/>
    <w:rsid w:val="00CB2881"/>
    <w:rsid w:val="00CB28C1"/>
    <w:rsid w:val="00CB28C8"/>
    <w:rsid w:val="00CB28DB"/>
    <w:rsid w:val="00CB28E9"/>
    <w:rsid w:val="00CB2915"/>
    <w:rsid w:val="00CB2936"/>
    <w:rsid w:val="00CB2995"/>
    <w:rsid w:val="00CB29D9"/>
    <w:rsid w:val="00CB29F7"/>
    <w:rsid w:val="00CB2A12"/>
    <w:rsid w:val="00CB2A4A"/>
    <w:rsid w:val="00CB2A54"/>
    <w:rsid w:val="00CB2A79"/>
    <w:rsid w:val="00CB2A91"/>
    <w:rsid w:val="00CB2B1D"/>
    <w:rsid w:val="00CB2B4A"/>
    <w:rsid w:val="00CB2BEB"/>
    <w:rsid w:val="00CB2CE4"/>
    <w:rsid w:val="00CB2CEA"/>
    <w:rsid w:val="00CB2D59"/>
    <w:rsid w:val="00CB2D70"/>
    <w:rsid w:val="00CB2DB1"/>
    <w:rsid w:val="00CB2DE5"/>
    <w:rsid w:val="00CB2DF3"/>
    <w:rsid w:val="00CB2E82"/>
    <w:rsid w:val="00CB2E9C"/>
    <w:rsid w:val="00CB2EC4"/>
    <w:rsid w:val="00CB2F9D"/>
    <w:rsid w:val="00CB2FA0"/>
    <w:rsid w:val="00CB2FFB"/>
    <w:rsid w:val="00CB303A"/>
    <w:rsid w:val="00CB304F"/>
    <w:rsid w:val="00CB3069"/>
    <w:rsid w:val="00CB3071"/>
    <w:rsid w:val="00CB30C8"/>
    <w:rsid w:val="00CB3119"/>
    <w:rsid w:val="00CB3121"/>
    <w:rsid w:val="00CB313D"/>
    <w:rsid w:val="00CB318F"/>
    <w:rsid w:val="00CB31E2"/>
    <w:rsid w:val="00CB3210"/>
    <w:rsid w:val="00CB3239"/>
    <w:rsid w:val="00CB3288"/>
    <w:rsid w:val="00CB32AB"/>
    <w:rsid w:val="00CB330A"/>
    <w:rsid w:val="00CB331D"/>
    <w:rsid w:val="00CB334E"/>
    <w:rsid w:val="00CB339B"/>
    <w:rsid w:val="00CB3411"/>
    <w:rsid w:val="00CB3423"/>
    <w:rsid w:val="00CB3446"/>
    <w:rsid w:val="00CB34C0"/>
    <w:rsid w:val="00CB34DA"/>
    <w:rsid w:val="00CB34EA"/>
    <w:rsid w:val="00CB34FC"/>
    <w:rsid w:val="00CB3558"/>
    <w:rsid w:val="00CB358F"/>
    <w:rsid w:val="00CB359E"/>
    <w:rsid w:val="00CB3623"/>
    <w:rsid w:val="00CB36CF"/>
    <w:rsid w:val="00CB36E6"/>
    <w:rsid w:val="00CB36F3"/>
    <w:rsid w:val="00CB3740"/>
    <w:rsid w:val="00CB3748"/>
    <w:rsid w:val="00CB3765"/>
    <w:rsid w:val="00CB376C"/>
    <w:rsid w:val="00CB3771"/>
    <w:rsid w:val="00CB3798"/>
    <w:rsid w:val="00CB382B"/>
    <w:rsid w:val="00CB3830"/>
    <w:rsid w:val="00CB385B"/>
    <w:rsid w:val="00CB3863"/>
    <w:rsid w:val="00CB386A"/>
    <w:rsid w:val="00CB387B"/>
    <w:rsid w:val="00CB3898"/>
    <w:rsid w:val="00CB3916"/>
    <w:rsid w:val="00CB396E"/>
    <w:rsid w:val="00CB39A0"/>
    <w:rsid w:val="00CB39CB"/>
    <w:rsid w:val="00CB3A36"/>
    <w:rsid w:val="00CB3AD7"/>
    <w:rsid w:val="00CB3B18"/>
    <w:rsid w:val="00CB3B83"/>
    <w:rsid w:val="00CB3B9C"/>
    <w:rsid w:val="00CB3C0E"/>
    <w:rsid w:val="00CB3C9A"/>
    <w:rsid w:val="00CB3CE4"/>
    <w:rsid w:val="00CB3CF7"/>
    <w:rsid w:val="00CB3D03"/>
    <w:rsid w:val="00CB3D5E"/>
    <w:rsid w:val="00CB3E0F"/>
    <w:rsid w:val="00CB3E5F"/>
    <w:rsid w:val="00CB3F0A"/>
    <w:rsid w:val="00CB3F8F"/>
    <w:rsid w:val="00CB4024"/>
    <w:rsid w:val="00CB402F"/>
    <w:rsid w:val="00CB404C"/>
    <w:rsid w:val="00CB4066"/>
    <w:rsid w:val="00CB4068"/>
    <w:rsid w:val="00CB40F3"/>
    <w:rsid w:val="00CB4127"/>
    <w:rsid w:val="00CB416C"/>
    <w:rsid w:val="00CB41C2"/>
    <w:rsid w:val="00CB41FC"/>
    <w:rsid w:val="00CB4256"/>
    <w:rsid w:val="00CB42AD"/>
    <w:rsid w:val="00CB42C4"/>
    <w:rsid w:val="00CB42EF"/>
    <w:rsid w:val="00CB4304"/>
    <w:rsid w:val="00CB4307"/>
    <w:rsid w:val="00CB4314"/>
    <w:rsid w:val="00CB435C"/>
    <w:rsid w:val="00CB43E2"/>
    <w:rsid w:val="00CB43E6"/>
    <w:rsid w:val="00CB4436"/>
    <w:rsid w:val="00CB4494"/>
    <w:rsid w:val="00CB449E"/>
    <w:rsid w:val="00CB44C1"/>
    <w:rsid w:val="00CB44F8"/>
    <w:rsid w:val="00CB451F"/>
    <w:rsid w:val="00CB452F"/>
    <w:rsid w:val="00CB458A"/>
    <w:rsid w:val="00CB458F"/>
    <w:rsid w:val="00CB4592"/>
    <w:rsid w:val="00CB45E2"/>
    <w:rsid w:val="00CB461F"/>
    <w:rsid w:val="00CB4698"/>
    <w:rsid w:val="00CB46FA"/>
    <w:rsid w:val="00CB478D"/>
    <w:rsid w:val="00CB47A7"/>
    <w:rsid w:val="00CB47C7"/>
    <w:rsid w:val="00CB47F1"/>
    <w:rsid w:val="00CB4807"/>
    <w:rsid w:val="00CB4880"/>
    <w:rsid w:val="00CB4881"/>
    <w:rsid w:val="00CB48FD"/>
    <w:rsid w:val="00CB4939"/>
    <w:rsid w:val="00CB493B"/>
    <w:rsid w:val="00CB495B"/>
    <w:rsid w:val="00CB4961"/>
    <w:rsid w:val="00CB49F5"/>
    <w:rsid w:val="00CB4A0D"/>
    <w:rsid w:val="00CB4A17"/>
    <w:rsid w:val="00CB4A64"/>
    <w:rsid w:val="00CB4A90"/>
    <w:rsid w:val="00CB4ACB"/>
    <w:rsid w:val="00CB4AE7"/>
    <w:rsid w:val="00CB4B3B"/>
    <w:rsid w:val="00CB4BB6"/>
    <w:rsid w:val="00CB4C17"/>
    <w:rsid w:val="00CB4C2E"/>
    <w:rsid w:val="00CB4C35"/>
    <w:rsid w:val="00CB4C41"/>
    <w:rsid w:val="00CB4C52"/>
    <w:rsid w:val="00CB4C87"/>
    <w:rsid w:val="00CB4CF3"/>
    <w:rsid w:val="00CB4D17"/>
    <w:rsid w:val="00CB4D2B"/>
    <w:rsid w:val="00CB4DEF"/>
    <w:rsid w:val="00CB4E3F"/>
    <w:rsid w:val="00CB4E51"/>
    <w:rsid w:val="00CB4E78"/>
    <w:rsid w:val="00CB4EE8"/>
    <w:rsid w:val="00CB4F04"/>
    <w:rsid w:val="00CB4F05"/>
    <w:rsid w:val="00CB4F8B"/>
    <w:rsid w:val="00CB4FDF"/>
    <w:rsid w:val="00CB503E"/>
    <w:rsid w:val="00CB508D"/>
    <w:rsid w:val="00CB5090"/>
    <w:rsid w:val="00CB509C"/>
    <w:rsid w:val="00CB50A4"/>
    <w:rsid w:val="00CB5104"/>
    <w:rsid w:val="00CB515C"/>
    <w:rsid w:val="00CB516A"/>
    <w:rsid w:val="00CB518F"/>
    <w:rsid w:val="00CB51AC"/>
    <w:rsid w:val="00CB51DF"/>
    <w:rsid w:val="00CB5205"/>
    <w:rsid w:val="00CB5235"/>
    <w:rsid w:val="00CB5254"/>
    <w:rsid w:val="00CB52EB"/>
    <w:rsid w:val="00CB5303"/>
    <w:rsid w:val="00CB532A"/>
    <w:rsid w:val="00CB5378"/>
    <w:rsid w:val="00CB53C7"/>
    <w:rsid w:val="00CB53D3"/>
    <w:rsid w:val="00CB540C"/>
    <w:rsid w:val="00CB5452"/>
    <w:rsid w:val="00CB5464"/>
    <w:rsid w:val="00CB5477"/>
    <w:rsid w:val="00CB54C4"/>
    <w:rsid w:val="00CB54EB"/>
    <w:rsid w:val="00CB5520"/>
    <w:rsid w:val="00CB5522"/>
    <w:rsid w:val="00CB5526"/>
    <w:rsid w:val="00CB5616"/>
    <w:rsid w:val="00CB5620"/>
    <w:rsid w:val="00CB5653"/>
    <w:rsid w:val="00CB56AC"/>
    <w:rsid w:val="00CB56DE"/>
    <w:rsid w:val="00CB56EA"/>
    <w:rsid w:val="00CB5704"/>
    <w:rsid w:val="00CB571C"/>
    <w:rsid w:val="00CB576C"/>
    <w:rsid w:val="00CB576F"/>
    <w:rsid w:val="00CB5771"/>
    <w:rsid w:val="00CB579B"/>
    <w:rsid w:val="00CB57E6"/>
    <w:rsid w:val="00CB581E"/>
    <w:rsid w:val="00CB583C"/>
    <w:rsid w:val="00CB5855"/>
    <w:rsid w:val="00CB586C"/>
    <w:rsid w:val="00CB5894"/>
    <w:rsid w:val="00CB58D8"/>
    <w:rsid w:val="00CB58E8"/>
    <w:rsid w:val="00CB590E"/>
    <w:rsid w:val="00CB597E"/>
    <w:rsid w:val="00CB59A1"/>
    <w:rsid w:val="00CB59BA"/>
    <w:rsid w:val="00CB5A1E"/>
    <w:rsid w:val="00CB5AC7"/>
    <w:rsid w:val="00CB5AFF"/>
    <w:rsid w:val="00CB5B2D"/>
    <w:rsid w:val="00CB5B7A"/>
    <w:rsid w:val="00CB5B85"/>
    <w:rsid w:val="00CB5BC5"/>
    <w:rsid w:val="00CB5BC9"/>
    <w:rsid w:val="00CB5C04"/>
    <w:rsid w:val="00CB5C06"/>
    <w:rsid w:val="00CB5C16"/>
    <w:rsid w:val="00CB5C20"/>
    <w:rsid w:val="00CB5C90"/>
    <w:rsid w:val="00CB5D21"/>
    <w:rsid w:val="00CB5D36"/>
    <w:rsid w:val="00CB5D6D"/>
    <w:rsid w:val="00CB5D88"/>
    <w:rsid w:val="00CB5DC3"/>
    <w:rsid w:val="00CB5DDF"/>
    <w:rsid w:val="00CB5DF8"/>
    <w:rsid w:val="00CB5DFF"/>
    <w:rsid w:val="00CB5E31"/>
    <w:rsid w:val="00CB5E4C"/>
    <w:rsid w:val="00CB5E5B"/>
    <w:rsid w:val="00CB5E9C"/>
    <w:rsid w:val="00CB5EFE"/>
    <w:rsid w:val="00CB5F02"/>
    <w:rsid w:val="00CB5F13"/>
    <w:rsid w:val="00CB5F1C"/>
    <w:rsid w:val="00CB5F4C"/>
    <w:rsid w:val="00CB5F68"/>
    <w:rsid w:val="00CB5F78"/>
    <w:rsid w:val="00CB5F88"/>
    <w:rsid w:val="00CB5FA8"/>
    <w:rsid w:val="00CB5FBF"/>
    <w:rsid w:val="00CB601C"/>
    <w:rsid w:val="00CB6021"/>
    <w:rsid w:val="00CB6023"/>
    <w:rsid w:val="00CB607C"/>
    <w:rsid w:val="00CB60C0"/>
    <w:rsid w:val="00CB6108"/>
    <w:rsid w:val="00CB6113"/>
    <w:rsid w:val="00CB615D"/>
    <w:rsid w:val="00CB6180"/>
    <w:rsid w:val="00CB61F4"/>
    <w:rsid w:val="00CB62C2"/>
    <w:rsid w:val="00CB6301"/>
    <w:rsid w:val="00CB630E"/>
    <w:rsid w:val="00CB6332"/>
    <w:rsid w:val="00CB6349"/>
    <w:rsid w:val="00CB6385"/>
    <w:rsid w:val="00CB63AF"/>
    <w:rsid w:val="00CB641F"/>
    <w:rsid w:val="00CB6428"/>
    <w:rsid w:val="00CB648E"/>
    <w:rsid w:val="00CB6493"/>
    <w:rsid w:val="00CB64AF"/>
    <w:rsid w:val="00CB6505"/>
    <w:rsid w:val="00CB6513"/>
    <w:rsid w:val="00CB6531"/>
    <w:rsid w:val="00CB657E"/>
    <w:rsid w:val="00CB65A2"/>
    <w:rsid w:val="00CB65E8"/>
    <w:rsid w:val="00CB65F6"/>
    <w:rsid w:val="00CB6605"/>
    <w:rsid w:val="00CB66C0"/>
    <w:rsid w:val="00CB66C1"/>
    <w:rsid w:val="00CB66D6"/>
    <w:rsid w:val="00CB66FF"/>
    <w:rsid w:val="00CB6707"/>
    <w:rsid w:val="00CB670B"/>
    <w:rsid w:val="00CB670C"/>
    <w:rsid w:val="00CB677D"/>
    <w:rsid w:val="00CB67FA"/>
    <w:rsid w:val="00CB6830"/>
    <w:rsid w:val="00CB684E"/>
    <w:rsid w:val="00CB688A"/>
    <w:rsid w:val="00CB689A"/>
    <w:rsid w:val="00CB689D"/>
    <w:rsid w:val="00CB68E1"/>
    <w:rsid w:val="00CB6913"/>
    <w:rsid w:val="00CB691E"/>
    <w:rsid w:val="00CB6972"/>
    <w:rsid w:val="00CB697E"/>
    <w:rsid w:val="00CB69AA"/>
    <w:rsid w:val="00CB69AF"/>
    <w:rsid w:val="00CB69F7"/>
    <w:rsid w:val="00CB6A90"/>
    <w:rsid w:val="00CB6AEE"/>
    <w:rsid w:val="00CB6B12"/>
    <w:rsid w:val="00CB6B58"/>
    <w:rsid w:val="00CB6B6B"/>
    <w:rsid w:val="00CB6B84"/>
    <w:rsid w:val="00CB6B9E"/>
    <w:rsid w:val="00CB6BAE"/>
    <w:rsid w:val="00CB6BD4"/>
    <w:rsid w:val="00CB6C28"/>
    <w:rsid w:val="00CB6C41"/>
    <w:rsid w:val="00CB6C7B"/>
    <w:rsid w:val="00CB6C7F"/>
    <w:rsid w:val="00CB6CB4"/>
    <w:rsid w:val="00CB6D19"/>
    <w:rsid w:val="00CB6D2E"/>
    <w:rsid w:val="00CB6D4F"/>
    <w:rsid w:val="00CB6D95"/>
    <w:rsid w:val="00CB6E06"/>
    <w:rsid w:val="00CB6E3E"/>
    <w:rsid w:val="00CB6E4D"/>
    <w:rsid w:val="00CB6EB6"/>
    <w:rsid w:val="00CB6EF9"/>
    <w:rsid w:val="00CB6F1F"/>
    <w:rsid w:val="00CB6F39"/>
    <w:rsid w:val="00CB6F68"/>
    <w:rsid w:val="00CB6F79"/>
    <w:rsid w:val="00CB6F84"/>
    <w:rsid w:val="00CB6F87"/>
    <w:rsid w:val="00CB6F93"/>
    <w:rsid w:val="00CB6FBB"/>
    <w:rsid w:val="00CB6FC6"/>
    <w:rsid w:val="00CB7006"/>
    <w:rsid w:val="00CB702B"/>
    <w:rsid w:val="00CB7074"/>
    <w:rsid w:val="00CB7082"/>
    <w:rsid w:val="00CB7119"/>
    <w:rsid w:val="00CB71CA"/>
    <w:rsid w:val="00CB71FE"/>
    <w:rsid w:val="00CB7210"/>
    <w:rsid w:val="00CB7226"/>
    <w:rsid w:val="00CB7235"/>
    <w:rsid w:val="00CB724C"/>
    <w:rsid w:val="00CB7293"/>
    <w:rsid w:val="00CB72F3"/>
    <w:rsid w:val="00CB72F5"/>
    <w:rsid w:val="00CB7472"/>
    <w:rsid w:val="00CB7498"/>
    <w:rsid w:val="00CB749B"/>
    <w:rsid w:val="00CB7504"/>
    <w:rsid w:val="00CB7617"/>
    <w:rsid w:val="00CB765F"/>
    <w:rsid w:val="00CB7685"/>
    <w:rsid w:val="00CB76EE"/>
    <w:rsid w:val="00CB77E9"/>
    <w:rsid w:val="00CB7836"/>
    <w:rsid w:val="00CB7843"/>
    <w:rsid w:val="00CB7889"/>
    <w:rsid w:val="00CB789C"/>
    <w:rsid w:val="00CB78BC"/>
    <w:rsid w:val="00CB78CF"/>
    <w:rsid w:val="00CB7906"/>
    <w:rsid w:val="00CB794E"/>
    <w:rsid w:val="00CB7985"/>
    <w:rsid w:val="00CB79A0"/>
    <w:rsid w:val="00CB79C2"/>
    <w:rsid w:val="00CB7A1F"/>
    <w:rsid w:val="00CB7A9C"/>
    <w:rsid w:val="00CB7A9F"/>
    <w:rsid w:val="00CB7BBC"/>
    <w:rsid w:val="00CB7BEC"/>
    <w:rsid w:val="00CB7C14"/>
    <w:rsid w:val="00CB7C18"/>
    <w:rsid w:val="00CB7C61"/>
    <w:rsid w:val="00CB7CF9"/>
    <w:rsid w:val="00CB7D29"/>
    <w:rsid w:val="00CB7D30"/>
    <w:rsid w:val="00CB7DA2"/>
    <w:rsid w:val="00CB7DC3"/>
    <w:rsid w:val="00CB7DF9"/>
    <w:rsid w:val="00CB7E54"/>
    <w:rsid w:val="00CB7E70"/>
    <w:rsid w:val="00CB7EBF"/>
    <w:rsid w:val="00CB7ED8"/>
    <w:rsid w:val="00CB7F04"/>
    <w:rsid w:val="00CB7F1D"/>
    <w:rsid w:val="00CB7F4E"/>
    <w:rsid w:val="00CB7F8C"/>
    <w:rsid w:val="00CC007A"/>
    <w:rsid w:val="00CC00FF"/>
    <w:rsid w:val="00CC0141"/>
    <w:rsid w:val="00CC0168"/>
    <w:rsid w:val="00CC0179"/>
    <w:rsid w:val="00CC017E"/>
    <w:rsid w:val="00CC01A6"/>
    <w:rsid w:val="00CC01FD"/>
    <w:rsid w:val="00CC02A4"/>
    <w:rsid w:val="00CC02CB"/>
    <w:rsid w:val="00CC02ED"/>
    <w:rsid w:val="00CC0301"/>
    <w:rsid w:val="00CC0310"/>
    <w:rsid w:val="00CC0315"/>
    <w:rsid w:val="00CC0324"/>
    <w:rsid w:val="00CC0348"/>
    <w:rsid w:val="00CC0368"/>
    <w:rsid w:val="00CC0374"/>
    <w:rsid w:val="00CC038E"/>
    <w:rsid w:val="00CC0398"/>
    <w:rsid w:val="00CC03B1"/>
    <w:rsid w:val="00CC0401"/>
    <w:rsid w:val="00CC042F"/>
    <w:rsid w:val="00CC043E"/>
    <w:rsid w:val="00CC0540"/>
    <w:rsid w:val="00CC0558"/>
    <w:rsid w:val="00CC056D"/>
    <w:rsid w:val="00CC0571"/>
    <w:rsid w:val="00CC05A0"/>
    <w:rsid w:val="00CC05B8"/>
    <w:rsid w:val="00CC0624"/>
    <w:rsid w:val="00CC068B"/>
    <w:rsid w:val="00CC06DD"/>
    <w:rsid w:val="00CC0751"/>
    <w:rsid w:val="00CC078B"/>
    <w:rsid w:val="00CC07CB"/>
    <w:rsid w:val="00CC07E4"/>
    <w:rsid w:val="00CC0807"/>
    <w:rsid w:val="00CC082B"/>
    <w:rsid w:val="00CC082F"/>
    <w:rsid w:val="00CC0871"/>
    <w:rsid w:val="00CC0880"/>
    <w:rsid w:val="00CC08D1"/>
    <w:rsid w:val="00CC08FC"/>
    <w:rsid w:val="00CC0926"/>
    <w:rsid w:val="00CC0928"/>
    <w:rsid w:val="00CC0973"/>
    <w:rsid w:val="00CC09DA"/>
    <w:rsid w:val="00CC0A4A"/>
    <w:rsid w:val="00CC0A5F"/>
    <w:rsid w:val="00CC0AAA"/>
    <w:rsid w:val="00CC0AE5"/>
    <w:rsid w:val="00CC0B2A"/>
    <w:rsid w:val="00CC0B44"/>
    <w:rsid w:val="00CC0B79"/>
    <w:rsid w:val="00CC0BF9"/>
    <w:rsid w:val="00CC0C05"/>
    <w:rsid w:val="00CC0C2E"/>
    <w:rsid w:val="00CC0C6B"/>
    <w:rsid w:val="00CC0CBF"/>
    <w:rsid w:val="00CC0CCD"/>
    <w:rsid w:val="00CC0D22"/>
    <w:rsid w:val="00CC0D2F"/>
    <w:rsid w:val="00CC0D4E"/>
    <w:rsid w:val="00CC0D86"/>
    <w:rsid w:val="00CC0DC8"/>
    <w:rsid w:val="00CC0DD7"/>
    <w:rsid w:val="00CC0DDE"/>
    <w:rsid w:val="00CC0E06"/>
    <w:rsid w:val="00CC0E62"/>
    <w:rsid w:val="00CC0E78"/>
    <w:rsid w:val="00CC0E93"/>
    <w:rsid w:val="00CC0EA3"/>
    <w:rsid w:val="00CC0ECC"/>
    <w:rsid w:val="00CC0EF3"/>
    <w:rsid w:val="00CC0F22"/>
    <w:rsid w:val="00CC0F2C"/>
    <w:rsid w:val="00CC0F43"/>
    <w:rsid w:val="00CC0FA6"/>
    <w:rsid w:val="00CC0FB2"/>
    <w:rsid w:val="00CC0FC8"/>
    <w:rsid w:val="00CC0FEF"/>
    <w:rsid w:val="00CC1026"/>
    <w:rsid w:val="00CC104F"/>
    <w:rsid w:val="00CC10C3"/>
    <w:rsid w:val="00CC10E1"/>
    <w:rsid w:val="00CC10F0"/>
    <w:rsid w:val="00CC113F"/>
    <w:rsid w:val="00CC1186"/>
    <w:rsid w:val="00CC11C0"/>
    <w:rsid w:val="00CC11EA"/>
    <w:rsid w:val="00CC1202"/>
    <w:rsid w:val="00CC125D"/>
    <w:rsid w:val="00CC12AB"/>
    <w:rsid w:val="00CC1302"/>
    <w:rsid w:val="00CC137E"/>
    <w:rsid w:val="00CC13D3"/>
    <w:rsid w:val="00CC13DE"/>
    <w:rsid w:val="00CC13E1"/>
    <w:rsid w:val="00CC13E4"/>
    <w:rsid w:val="00CC147D"/>
    <w:rsid w:val="00CC1485"/>
    <w:rsid w:val="00CC14EC"/>
    <w:rsid w:val="00CC152A"/>
    <w:rsid w:val="00CC1534"/>
    <w:rsid w:val="00CC1548"/>
    <w:rsid w:val="00CC156E"/>
    <w:rsid w:val="00CC1591"/>
    <w:rsid w:val="00CC15B5"/>
    <w:rsid w:val="00CC15E8"/>
    <w:rsid w:val="00CC1609"/>
    <w:rsid w:val="00CC1638"/>
    <w:rsid w:val="00CC163D"/>
    <w:rsid w:val="00CC1642"/>
    <w:rsid w:val="00CC16A1"/>
    <w:rsid w:val="00CC16EE"/>
    <w:rsid w:val="00CC1721"/>
    <w:rsid w:val="00CC1741"/>
    <w:rsid w:val="00CC178F"/>
    <w:rsid w:val="00CC1804"/>
    <w:rsid w:val="00CC1818"/>
    <w:rsid w:val="00CC1853"/>
    <w:rsid w:val="00CC1854"/>
    <w:rsid w:val="00CC1858"/>
    <w:rsid w:val="00CC1883"/>
    <w:rsid w:val="00CC1949"/>
    <w:rsid w:val="00CC197B"/>
    <w:rsid w:val="00CC197E"/>
    <w:rsid w:val="00CC19BD"/>
    <w:rsid w:val="00CC19CF"/>
    <w:rsid w:val="00CC1A1C"/>
    <w:rsid w:val="00CC1A44"/>
    <w:rsid w:val="00CC1ADB"/>
    <w:rsid w:val="00CC1AFE"/>
    <w:rsid w:val="00CC1B6B"/>
    <w:rsid w:val="00CC1B8B"/>
    <w:rsid w:val="00CC1BA7"/>
    <w:rsid w:val="00CC1BCD"/>
    <w:rsid w:val="00CC1BDF"/>
    <w:rsid w:val="00CC1BE1"/>
    <w:rsid w:val="00CC1C12"/>
    <w:rsid w:val="00CC1C38"/>
    <w:rsid w:val="00CC1C45"/>
    <w:rsid w:val="00CC1C6B"/>
    <w:rsid w:val="00CC1C95"/>
    <w:rsid w:val="00CC1C96"/>
    <w:rsid w:val="00CC1CF7"/>
    <w:rsid w:val="00CC1CFB"/>
    <w:rsid w:val="00CC1D04"/>
    <w:rsid w:val="00CC1D0D"/>
    <w:rsid w:val="00CC1D16"/>
    <w:rsid w:val="00CC1D43"/>
    <w:rsid w:val="00CC1D47"/>
    <w:rsid w:val="00CC1D4C"/>
    <w:rsid w:val="00CC1D88"/>
    <w:rsid w:val="00CC1DA1"/>
    <w:rsid w:val="00CC1E0D"/>
    <w:rsid w:val="00CC1E16"/>
    <w:rsid w:val="00CC1E6C"/>
    <w:rsid w:val="00CC1E7A"/>
    <w:rsid w:val="00CC1EA5"/>
    <w:rsid w:val="00CC1F0C"/>
    <w:rsid w:val="00CC1F24"/>
    <w:rsid w:val="00CC1F30"/>
    <w:rsid w:val="00CC1F64"/>
    <w:rsid w:val="00CC1F8B"/>
    <w:rsid w:val="00CC2013"/>
    <w:rsid w:val="00CC2041"/>
    <w:rsid w:val="00CC209E"/>
    <w:rsid w:val="00CC20FB"/>
    <w:rsid w:val="00CC2114"/>
    <w:rsid w:val="00CC2140"/>
    <w:rsid w:val="00CC215C"/>
    <w:rsid w:val="00CC216F"/>
    <w:rsid w:val="00CC21DE"/>
    <w:rsid w:val="00CC2268"/>
    <w:rsid w:val="00CC229B"/>
    <w:rsid w:val="00CC236C"/>
    <w:rsid w:val="00CC239F"/>
    <w:rsid w:val="00CC23B7"/>
    <w:rsid w:val="00CC23DE"/>
    <w:rsid w:val="00CC23E6"/>
    <w:rsid w:val="00CC243D"/>
    <w:rsid w:val="00CC2479"/>
    <w:rsid w:val="00CC2490"/>
    <w:rsid w:val="00CC249A"/>
    <w:rsid w:val="00CC2569"/>
    <w:rsid w:val="00CC25A8"/>
    <w:rsid w:val="00CC25AB"/>
    <w:rsid w:val="00CC25D5"/>
    <w:rsid w:val="00CC25E0"/>
    <w:rsid w:val="00CC261B"/>
    <w:rsid w:val="00CC263F"/>
    <w:rsid w:val="00CC2659"/>
    <w:rsid w:val="00CC26C4"/>
    <w:rsid w:val="00CC2719"/>
    <w:rsid w:val="00CC271F"/>
    <w:rsid w:val="00CC2720"/>
    <w:rsid w:val="00CC2781"/>
    <w:rsid w:val="00CC27E9"/>
    <w:rsid w:val="00CC288F"/>
    <w:rsid w:val="00CC28D8"/>
    <w:rsid w:val="00CC292E"/>
    <w:rsid w:val="00CC29C1"/>
    <w:rsid w:val="00CC29F4"/>
    <w:rsid w:val="00CC29FA"/>
    <w:rsid w:val="00CC2A2A"/>
    <w:rsid w:val="00CC2A79"/>
    <w:rsid w:val="00CC2AF9"/>
    <w:rsid w:val="00CC2B0B"/>
    <w:rsid w:val="00CC2B39"/>
    <w:rsid w:val="00CC2B62"/>
    <w:rsid w:val="00CC2B7C"/>
    <w:rsid w:val="00CC2B7D"/>
    <w:rsid w:val="00CC2BDB"/>
    <w:rsid w:val="00CC2BEE"/>
    <w:rsid w:val="00CC2C70"/>
    <w:rsid w:val="00CC2C73"/>
    <w:rsid w:val="00CC2C89"/>
    <w:rsid w:val="00CC2C8C"/>
    <w:rsid w:val="00CC2CA3"/>
    <w:rsid w:val="00CC2CA5"/>
    <w:rsid w:val="00CC2CAB"/>
    <w:rsid w:val="00CC2CBD"/>
    <w:rsid w:val="00CC2D81"/>
    <w:rsid w:val="00CC2D84"/>
    <w:rsid w:val="00CC2D95"/>
    <w:rsid w:val="00CC2DA4"/>
    <w:rsid w:val="00CC2E10"/>
    <w:rsid w:val="00CC2E24"/>
    <w:rsid w:val="00CC2E26"/>
    <w:rsid w:val="00CC2E69"/>
    <w:rsid w:val="00CC2E9B"/>
    <w:rsid w:val="00CC2EA4"/>
    <w:rsid w:val="00CC2EAF"/>
    <w:rsid w:val="00CC2EB5"/>
    <w:rsid w:val="00CC2EC0"/>
    <w:rsid w:val="00CC2ECE"/>
    <w:rsid w:val="00CC2F62"/>
    <w:rsid w:val="00CC2FD0"/>
    <w:rsid w:val="00CC3056"/>
    <w:rsid w:val="00CC305A"/>
    <w:rsid w:val="00CC305D"/>
    <w:rsid w:val="00CC3065"/>
    <w:rsid w:val="00CC30A3"/>
    <w:rsid w:val="00CC30FF"/>
    <w:rsid w:val="00CC3138"/>
    <w:rsid w:val="00CC3195"/>
    <w:rsid w:val="00CC31A1"/>
    <w:rsid w:val="00CC31C9"/>
    <w:rsid w:val="00CC31F0"/>
    <w:rsid w:val="00CC3282"/>
    <w:rsid w:val="00CC3283"/>
    <w:rsid w:val="00CC32F4"/>
    <w:rsid w:val="00CC3308"/>
    <w:rsid w:val="00CC331D"/>
    <w:rsid w:val="00CC3362"/>
    <w:rsid w:val="00CC3395"/>
    <w:rsid w:val="00CC33C8"/>
    <w:rsid w:val="00CC3460"/>
    <w:rsid w:val="00CC3477"/>
    <w:rsid w:val="00CC347D"/>
    <w:rsid w:val="00CC3551"/>
    <w:rsid w:val="00CC3582"/>
    <w:rsid w:val="00CC3657"/>
    <w:rsid w:val="00CC36E7"/>
    <w:rsid w:val="00CC374B"/>
    <w:rsid w:val="00CC37C3"/>
    <w:rsid w:val="00CC380A"/>
    <w:rsid w:val="00CC3836"/>
    <w:rsid w:val="00CC38AC"/>
    <w:rsid w:val="00CC392F"/>
    <w:rsid w:val="00CC3940"/>
    <w:rsid w:val="00CC396A"/>
    <w:rsid w:val="00CC39AD"/>
    <w:rsid w:val="00CC3A2E"/>
    <w:rsid w:val="00CC3B44"/>
    <w:rsid w:val="00CC3B60"/>
    <w:rsid w:val="00CC3B65"/>
    <w:rsid w:val="00CC3BE3"/>
    <w:rsid w:val="00CC3C00"/>
    <w:rsid w:val="00CC3C03"/>
    <w:rsid w:val="00CC3C1E"/>
    <w:rsid w:val="00CC3C4E"/>
    <w:rsid w:val="00CC3C80"/>
    <w:rsid w:val="00CC3C8D"/>
    <w:rsid w:val="00CC3C9A"/>
    <w:rsid w:val="00CC3CAE"/>
    <w:rsid w:val="00CC3D0C"/>
    <w:rsid w:val="00CC3D54"/>
    <w:rsid w:val="00CC3D6B"/>
    <w:rsid w:val="00CC3D94"/>
    <w:rsid w:val="00CC3DAC"/>
    <w:rsid w:val="00CC3DB4"/>
    <w:rsid w:val="00CC3DCE"/>
    <w:rsid w:val="00CC3DE8"/>
    <w:rsid w:val="00CC3E0D"/>
    <w:rsid w:val="00CC3E72"/>
    <w:rsid w:val="00CC3F64"/>
    <w:rsid w:val="00CC3FC8"/>
    <w:rsid w:val="00CC3FD3"/>
    <w:rsid w:val="00CC3FED"/>
    <w:rsid w:val="00CC4051"/>
    <w:rsid w:val="00CC4074"/>
    <w:rsid w:val="00CC4092"/>
    <w:rsid w:val="00CC40B8"/>
    <w:rsid w:val="00CC4153"/>
    <w:rsid w:val="00CC41E1"/>
    <w:rsid w:val="00CC4200"/>
    <w:rsid w:val="00CC4213"/>
    <w:rsid w:val="00CC4231"/>
    <w:rsid w:val="00CC4234"/>
    <w:rsid w:val="00CC4273"/>
    <w:rsid w:val="00CC42CF"/>
    <w:rsid w:val="00CC42F0"/>
    <w:rsid w:val="00CC444F"/>
    <w:rsid w:val="00CC448F"/>
    <w:rsid w:val="00CC44A7"/>
    <w:rsid w:val="00CC44E1"/>
    <w:rsid w:val="00CC4522"/>
    <w:rsid w:val="00CC452A"/>
    <w:rsid w:val="00CC4530"/>
    <w:rsid w:val="00CC453F"/>
    <w:rsid w:val="00CC458C"/>
    <w:rsid w:val="00CC45BB"/>
    <w:rsid w:val="00CC45D3"/>
    <w:rsid w:val="00CC45EF"/>
    <w:rsid w:val="00CC460A"/>
    <w:rsid w:val="00CC462A"/>
    <w:rsid w:val="00CC46B0"/>
    <w:rsid w:val="00CC46B4"/>
    <w:rsid w:val="00CC46E3"/>
    <w:rsid w:val="00CC4728"/>
    <w:rsid w:val="00CC473A"/>
    <w:rsid w:val="00CC474B"/>
    <w:rsid w:val="00CC474F"/>
    <w:rsid w:val="00CC476A"/>
    <w:rsid w:val="00CC47E7"/>
    <w:rsid w:val="00CC4830"/>
    <w:rsid w:val="00CC483A"/>
    <w:rsid w:val="00CC48E1"/>
    <w:rsid w:val="00CC492D"/>
    <w:rsid w:val="00CC4963"/>
    <w:rsid w:val="00CC49B7"/>
    <w:rsid w:val="00CC49E5"/>
    <w:rsid w:val="00CC49EC"/>
    <w:rsid w:val="00CC4A01"/>
    <w:rsid w:val="00CC4A15"/>
    <w:rsid w:val="00CC4A6A"/>
    <w:rsid w:val="00CC4A71"/>
    <w:rsid w:val="00CC4A7D"/>
    <w:rsid w:val="00CC4A8D"/>
    <w:rsid w:val="00CC4A98"/>
    <w:rsid w:val="00CC4AB0"/>
    <w:rsid w:val="00CC4ADA"/>
    <w:rsid w:val="00CC4ADC"/>
    <w:rsid w:val="00CC4AEC"/>
    <w:rsid w:val="00CC4B4C"/>
    <w:rsid w:val="00CC4BEF"/>
    <w:rsid w:val="00CC4C35"/>
    <w:rsid w:val="00CC4C5D"/>
    <w:rsid w:val="00CC4C8F"/>
    <w:rsid w:val="00CC4CA6"/>
    <w:rsid w:val="00CC4CFC"/>
    <w:rsid w:val="00CC4D48"/>
    <w:rsid w:val="00CC4D51"/>
    <w:rsid w:val="00CC4DB3"/>
    <w:rsid w:val="00CC4DCF"/>
    <w:rsid w:val="00CC4DDA"/>
    <w:rsid w:val="00CC4E10"/>
    <w:rsid w:val="00CC4E4B"/>
    <w:rsid w:val="00CC4F35"/>
    <w:rsid w:val="00CC4F46"/>
    <w:rsid w:val="00CC4F62"/>
    <w:rsid w:val="00CC502B"/>
    <w:rsid w:val="00CC5046"/>
    <w:rsid w:val="00CC5049"/>
    <w:rsid w:val="00CC5068"/>
    <w:rsid w:val="00CC5075"/>
    <w:rsid w:val="00CC5098"/>
    <w:rsid w:val="00CC50DE"/>
    <w:rsid w:val="00CC515E"/>
    <w:rsid w:val="00CC51A8"/>
    <w:rsid w:val="00CC51D8"/>
    <w:rsid w:val="00CC5238"/>
    <w:rsid w:val="00CC5274"/>
    <w:rsid w:val="00CC5275"/>
    <w:rsid w:val="00CC52A8"/>
    <w:rsid w:val="00CC52E5"/>
    <w:rsid w:val="00CC52EA"/>
    <w:rsid w:val="00CC5305"/>
    <w:rsid w:val="00CC5310"/>
    <w:rsid w:val="00CC5325"/>
    <w:rsid w:val="00CC5329"/>
    <w:rsid w:val="00CC5338"/>
    <w:rsid w:val="00CC536B"/>
    <w:rsid w:val="00CC53EB"/>
    <w:rsid w:val="00CC5424"/>
    <w:rsid w:val="00CC5436"/>
    <w:rsid w:val="00CC544E"/>
    <w:rsid w:val="00CC5471"/>
    <w:rsid w:val="00CC5476"/>
    <w:rsid w:val="00CC547B"/>
    <w:rsid w:val="00CC5489"/>
    <w:rsid w:val="00CC54C9"/>
    <w:rsid w:val="00CC54CF"/>
    <w:rsid w:val="00CC5502"/>
    <w:rsid w:val="00CC5550"/>
    <w:rsid w:val="00CC559D"/>
    <w:rsid w:val="00CC55D7"/>
    <w:rsid w:val="00CC560C"/>
    <w:rsid w:val="00CC5625"/>
    <w:rsid w:val="00CC564A"/>
    <w:rsid w:val="00CC5663"/>
    <w:rsid w:val="00CC5711"/>
    <w:rsid w:val="00CC5794"/>
    <w:rsid w:val="00CC579E"/>
    <w:rsid w:val="00CC5803"/>
    <w:rsid w:val="00CC5886"/>
    <w:rsid w:val="00CC5906"/>
    <w:rsid w:val="00CC595C"/>
    <w:rsid w:val="00CC595D"/>
    <w:rsid w:val="00CC5983"/>
    <w:rsid w:val="00CC5994"/>
    <w:rsid w:val="00CC59F8"/>
    <w:rsid w:val="00CC5A6E"/>
    <w:rsid w:val="00CC5A84"/>
    <w:rsid w:val="00CC5AAF"/>
    <w:rsid w:val="00CC5B14"/>
    <w:rsid w:val="00CC5B17"/>
    <w:rsid w:val="00CC5B27"/>
    <w:rsid w:val="00CC5B54"/>
    <w:rsid w:val="00CC5B61"/>
    <w:rsid w:val="00CC5B7B"/>
    <w:rsid w:val="00CC5BF5"/>
    <w:rsid w:val="00CC5C21"/>
    <w:rsid w:val="00CC5D0F"/>
    <w:rsid w:val="00CC5D1A"/>
    <w:rsid w:val="00CC5E58"/>
    <w:rsid w:val="00CC5E8F"/>
    <w:rsid w:val="00CC5EAC"/>
    <w:rsid w:val="00CC5EC8"/>
    <w:rsid w:val="00CC5ECD"/>
    <w:rsid w:val="00CC5F0D"/>
    <w:rsid w:val="00CC5F3A"/>
    <w:rsid w:val="00CC5F51"/>
    <w:rsid w:val="00CC5F6F"/>
    <w:rsid w:val="00CC5F7E"/>
    <w:rsid w:val="00CC5F9E"/>
    <w:rsid w:val="00CC5FA3"/>
    <w:rsid w:val="00CC6020"/>
    <w:rsid w:val="00CC6021"/>
    <w:rsid w:val="00CC605D"/>
    <w:rsid w:val="00CC6069"/>
    <w:rsid w:val="00CC608F"/>
    <w:rsid w:val="00CC60A3"/>
    <w:rsid w:val="00CC60A4"/>
    <w:rsid w:val="00CC60DC"/>
    <w:rsid w:val="00CC6107"/>
    <w:rsid w:val="00CC6113"/>
    <w:rsid w:val="00CC6145"/>
    <w:rsid w:val="00CC6168"/>
    <w:rsid w:val="00CC61AB"/>
    <w:rsid w:val="00CC6227"/>
    <w:rsid w:val="00CC6316"/>
    <w:rsid w:val="00CC6355"/>
    <w:rsid w:val="00CC63C2"/>
    <w:rsid w:val="00CC63C3"/>
    <w:rsid w:val="00CC6410"/>
    <w:rsid w:val="00CC6491"/>
    <w:rsid w:val="00CC64BC"/>
    <w:rsid w:val="00CC64F2"/>
    <w:rsid w:val="00CC6525"/>
    <w:rsid w:val="00CC65B9"/>
    <w:rsid w:val="00CC6601"/>
    <w:rsid w:val="00CC6607"/>
    <w:rsid w:val="00CC6611"/>
    <w:rsid w:val="00CC663E"/>
    <w:rsid w:val="00CC66A6"/>
    <w:rsid w:val="00CC66CF"/>
    <w:rsid w:val="00CC66D3"/>
    <w:rsid w:val="00CC6700"/>
    <w:rsid w:val="00CC6701"/>
    <w:rsid w:val="00CC6723"/>
    <w:rsid w:val="00CC676B"/>
    <w:rsid w:val="00CC67F2"/>
    <w:rsid w:val="00CC67F4"/>
    <w:rsid w:val="00CC685D"/>
    <w:rsid w:val="00CC68AB"/>
    <w:rsid w:val="00CC68CB"/>
    <w:rsid w:val="00CC68E1"/>
    <w:rsid w:val="00CC6963"/>
    <w:rsid w:val="00CC697F"/>
    <w:rsid w:val="00CC6999"/>
    <w:rsid w:val="00CC6A05"/>
    <w:rsid w:val="00CC6A49"/>
    <w:rsid w:val="00CC6AA0"/>
    <w:rsid w:val="00CC6ABC"/>
    <w:rsid w:val="00CC6B16"/>
    <w:rsid w:val="00CC6C24"/>
    <w:rsid w:val="00CC6C4C"/>
    <w:rsid w:val="00CC6C90"/>
    <w:rsid w:val="00CC6C9A"/>
    <w:rsid w:val="00CC6CAC"/>
    <w:rsid w:val="00CC6D2F"/>
    <w:rsid w:val="00CC6D36"/>
    <w:rsid w:val="00CC6D70"/>
    <w:rsid w:val="00CC6D8E"/>
    <w:rsid w:val="00CC6DEE"/>
    <w:rsid w:val="00CC6E03"/>
    <w:rsid w:val="00CC6E25"/>
    <w:rsid w:val="00CC6EB6"/>
    <w:rsid w:val="00CC6EE2"/>
    <w:rsid w:val="00CC6F35"/>
    <w:rsid w:val="00CC6F57"/>
    <w:rsid w:val="00CC6F99"/>
    <w:rsid w:val="00CC6FA4"/>
    <w:rsid w:val="00CC6FB9"/>
    <w:rsid w:val="00CC6FBE"/>
    <w:rsid w:val="00CC6FC3"/>
    <w:rsid w:val="00CC7028"/>
    <w:rsid w:val="00CC7033"/>
    <w:rsid w:val="00CC703A"/>
    <w:rsid w:val="00CC7068"/>
    <w:rsid w:val="00CC706C"/>
    <w:rsid w:val="00CC70FE"/>
    <w:rsid w:val="00CC7139"/>
    <w:rsid w:val="00CC715B"/>
    <w:rsid w:val="00CC71B8"/>
    <w:rsid w:val="00CC71D4"/>
    <w:rsid w:val="00CC71E8"/>
    <w:rsid w:val="00CC71FD"/>
    <w:rsid w:val="00CC7220"/>
    <w:rsid w:val="00CC725B"/>
    <w:rsid w:val="00CC7299"/>
    <w:rsid w:val="00CC7340"/>
    <w:rsid w:val="00CC7362"/>
    <w:rsid w:val="00CC743E"/>
    <w:rsid w:val="00CC74D0"/>
    <w:rsid w:val="00CC7585"/>
    <w:rsid w:val="00CC75A4"/>
    <w:rsid w:val="00CC75B5"/>
    <w:rsid w:val="00CC7630"/>
    <w:rsid w:val="00CC763D"/>
    <w:rsid w:val="00CC764B"/>
    <w:rsid w:val="00CC766F"/>
    <w:rsid w:val="00CC76C1"/>
    <w:rsid w:val="00CC76E9"/>
    <w:rsid w:val="00CC76EC"/>
    <w:rsid w:val="00CC7744"/>
    <w:rsid w:val="00CC77A4"/>
    <w:rsid w:val="00CC78BB"/>
    <w:rsid w:val="00CC7916"/>
    <w:rsid w:val="00CC7931"/>
    <w:rsid w:val="00CC797E"/>
    <w:rsid w:val="00CC798C"/>
    <w:rsid w:val="00CC7A0F"/>
    <w:rsid w:val="00CC7A26"/>
    <w:rsid w:val="00CC7ADF"/>
    <w:rsid w:val="00CC7AE6"/>
    <w:rsid w:val="00CC7B48"/>
    <w:rsid w:val="00CC7B8B"/>
    <w:rsid w:val="00CC7BA7"/>
    <w:rsid w:val="00CC7BAB"/>
    <w:rsid w:val="00CC7BC0"/>
    <w:rsid w:val="00CC7BDA"/>
    <w:rsid w:val="00CC7BE8"/>
    <w:rsid w:val="00CC7C26"/>
    <w:rsid w:val="00CC7C44"/>
    <w:rsid w:val="00CC7C4E"/>
    <w:rsid w:val="00CC7C60"/>
    <w:rsid w:val="00CC7C70"/>
    <w:rsid w:val="00CC7CAD"/>
    <w:rsid w:val="00CC7CBE"/>
    <w:rsid w:val="00CC7CF4"/>
    <w:rsid w:val="00CC7D23"/>
    <w:rsid w:val="00CC7D80"/>
    <w:rsid w:val="00CC7DA9"/>
    <w:rsid w:val="00CC7DB4"/>
    <w:rsid w:val="00CC7DBE"/>
    <w:rsid w:val="00CC7E61"/>
    <w:rsid w:val="00CC7E79"/>
    <w:rsid w:val="00CC7E87"/>
    <w:rsid w:val="00CC7E90"/>
    <w:rsid w:val="00CC7ED4"/>
    <w:rsid w:val="00CC7F48"/>
    <w:rsid w:val="00CD0004"/>
    <w:rsid w:val="00CD001D"/>
    <w:rsid w:val="00CD0034"/>
    <w:rsid w:val="00CD0058"/>
    <w:rsid w:val="00CD007B"/>
    <w:rsid w:val="00CD0087"/>
    <w:rsid w:val="00CD00DB"/>
    <w:rsid w:val="00CD00E3"/>
    <w:rsid w:val="00CD00F7"/>
    <w:rsid w:val="00CD0149"/>
    <w:rsid w:val="00CD016B"/>
    <w:rsid w:val="00CD01B2"/>
    <w:rsid w:val="00CD01FF"/>
    <w:rsid w:val="00CD024D"/>
    <w:rsid w:val="00CD02FA"/>
    <w:rsid w:val="00CD0385"/>
    <w:rsid w:val="00CD03CA"/>
    <w:rsid w:val="00CD03E7"/>
    <w:rsid w:val="00CD03EB"/>
    <w:rsid w:val="00CD040A"/>
    <w:rsid w:val="00CD045C"/>
    <w:rsid w:val="00CD0485"/>
    <w:rsid w:val="00CD051C"/>
    <w:rsid w:val="00CD051E"/>
    <w:rsid w:val="00CD052D"/>
    <w:rsid w:val="00CD0578"/>
    <w:rsid w:val="00CD05A7"/>
    <w:rsid w:val="00CD05F6"/>
    <w:rsid w:val="00CD062A"/>
    <w:rsid w:val="00CD0661"/>
    <w:rsid w:val="00CD06A2"/>
    <w:rsid w:val="00CD06AD"/>
    <w:rsid w:val="00CD06B0"/>
    <w:rsid w:val="00CD06B2"/>
    <w:rsid w:val="00CD0701"/>
    <w:rsid w:val="00CD075C"/>
    <w:rsid w:val="00CD07D9"/>
    <w:rsid w:val="00CD07F4"/>
    <w:rsid w:val="00CD0851"/>
    <w:rsid w:val="00CD089A"/>
    <w:rsid w:val="00CD08AD"/>
    <w:rsid w:val="00CD08DB"/>
    <w:rsid w:val="00CD08EE"/>
    <w:rsid w:val="00CD09C9"/>
    <w:rsid w:val="00CD09D5"/>
    <w:rsid w:val="00CD09FB"/>
    <w:rsid w:val="00CD0A39"/>
    <w:rsid w:val="00CD0ABA"/>
    <w:rsid w:val="00CD0B96"/>
    <w:rsid w:val="00CD0BC6"/>
    <w:rsid w:val="00CD0C08"/>
    <w:rsid w:val="00CD0C13"/>
    <w:rsid w:val="00CD0C17"/>
    <w:rsid w:val="00CD0C36"/>
    <w:rsid w:val="00CD0C5D"/>
    <w:rsid w:val="00CD0C7C"/>
    <w:rsid w:val="00CD0C80"/>
    <w:rsid w:val="00CD0C9C"/>
    <w:rsid w:val="00CD0CF4"/>
    <w:rsid w:val="00CD0CF9"/>
    <w:rsid w:val="00CD0D02"/>
    <w:rsid w:val="00CD0D5E"/>
    <w:rsid w:val="00CD0D8F"/>
    <w:rsid w:val="00CD0DD0"/>
    <w:rsid w:val="00CD0E02"/>
    <w:rsid w:val="00CD0E1E"/>
    <w:rsid w:val="00CD0E2D"/>
    <w:rsid w:val="00CD0E3E"/>
    <w:rsid w:val="00CD0E5B"/>
    <w:rsid w:val="00CD0EAD"/>
    <w:rsid w:val="00CD0EBD"/>
    <w:rsid w:val="00CD0F0B"/>
    <w:rsid w:val="00CD0F97"/>
    <w:rsid w:val="00CD0FD2"/>
    <w:rsid w:val="00CD0FD3"/>
    <w:rsid w:val="00CD0FDC"/>
    <w:rsid w:val="00CD0FED"/>
    <w:rsid w:val="00CD100A"/>
    <w:rsid w:val="00CD100F"/>
    <w:rsid w:val="00CD1040"/>
    <w:rsid w:val="00CD1065"/>
    <w:rsid w:val="00CD109A"/>
    <w:rsid w:val="00CD10C2"/>
    <w:rsid w:val="00CD10E4"/>
    <w:rsid w:val="00CD111F"/>
    <w:rsid w:val="00CD114C"/>
    <w:rsid w:val="00CD122E"/>
    <w:rsid w:val="00CD1274"/>
    <w:rsid w:val="00CD12AF"/>
    <w:rsid w:val="00CD12BC"/>
    <w:rsid w:val="00CD12F0"/>
    <w:rsid w:val="00CD12F2"/>
    <w:rsid w:val="00CD1349"/>
    <w:rsid w:val="00CD13AF"/>
    <w:rsid w:val="00CD13CF"/>
    <w:rsid w:val="00CD1458"/>
    <w:rsid w:val="00CD1539"/>
    <w:rsid w:val="00CD1583"/>
    <w:rsid w:val="00CD15BE"/>
    <w:rsid w:val="00CD15DE"/>
    <w:rsid w:val="00CD1637"/>
    <w:rsid w:val="00CD1654"/>
    <w:rsid w:val="00CD165B"/>
    <w:rsid w:val="00CD1663"/>
    <w:rsid w:val="00CD1673"/>
    <w:rsid w:val="00CD168D"/>
    <w:rsid w:val="00CD16A2"/>
    <w:rsid w:val="00CD16BF"/>
    <w:rsid w:val="00CD16E9"/>
    <w:rsid w:val="00CD173E"/>
    <w:rsid w:val="00CD17A6"/>
    <w:rsid w:val="00CD17BC"/>
    <w:rsid w:val="00CD17F3"/>
    <w:rsid w:val="00CD1835"/>
    <w:rsid w:val="00CD1879"/>
    <w:rsid w:val="00CD192E"/>
    <w:rsid w:val="00CD1967"/>
    <w:rsid w:val="00CD1988"/>
    <w:rsid w:val="00CD1A03"/>
    <w:rsid w:val="00CD1A0F"/>
    <w:rsid w:val="00CD1A4E"/>
    <w:rsid w:val="00CD1A7A"/>
    <w:rsid w:val="00CD1ABF"/>
    <w:rsid w:val="00CD1AC3"/>
    <w:rsid w:val="00CD1AE0"/>
    <w:rsid w:val="00CD1B4E"/>
    <w:rsid w:val="00CD1B8F"/>
    <w:rsid w:val="00CD1B9F"/>
    <w:rsid w:val="00CD1BB2"/>
    <w:rsid w:val="00CD1BD9"/>
    <w:rsid w:val="00CD1BF4"/>
    <w:rsid w:val="00CD1C31"/>
    <w:rsid w:val="00CD1C60"/>
    <w:rsid w:val="00CD1C67"/>
    <w:rsid w:val="00CD1C98"/>
    <w:rsid w:val="00CD1C9A"/>
    <w:rsid w:val="00CD1CD4"/>
    <w:rsid w:val="00CD1CE1"/>
    <w:rsid w:val="00CD1D03"/>
    <w:rsid w:val="00CD1D32"/>
    <w:rsid w:val="00CD1D87"/>
    <w:rsid w:val="00CD1D98"/>
    <w:rsid w:val="00CD1DAA"/>
    <w:rsid w:val="00CD1DD9"/>
    <w:rsid w:val="00CD1DDD"/>
    <w:rsid w:val="00CD1E3F"/>
    <w:rsid w:val="00CD1E96"/>
    <w:rsid w:val="00CD1ECA"/>
    <w:rsid w:val="00CD1EDD"/>
    <w:rsid w:val="00CD1EF1"/>
    <w:rsid w:val="00CD1F02"/>
    <w:rsid w:val="00CD1F25"/>
    <w:rsid w:val="00CD1F31"/>
    <w:rsid w:val="00CD1F3B"/>
    <w:rsid w:val="00CD1F5F"/>
    <w:rsid w:val="00CD202B"/>
    <w:rsid w:val="00CD2064"/>
    <w:rsid w:val="00CD2086"/>
    <w:rsid w:val="00CD20D9"/>
    <w:rsid w:val="00CD2149"/>
    <w:rsid w:val="00CD21F8"/>
    <w:rsid w:val="00CD2228"/>
    <w:rsid w:val="00CD2243"/>
    <w:rsid w:val="00CD2258"/>
    <w:rsid w:val="00CD229C"/>
    <w:rsid w:val="00CD22D4"/>
    <w:rsid w:val="00CD2304"/>
    <w:rsid w:val="00CD2309"/>
    <w:rsid w:val="00CD230B"/>
    <w:rsid w:val="00CD2360"/>
    <w:rsid w:val="00CD23B8"/>
    <w:rsid w:val="00CD2438"/>
    <w:rsid w:val="00CD243C"/>
    <w:rsid w:val="00CD247D"/>
    <w:rsid w:val="00CD2484"/>
    <w:rsid w:val="00CD24B6"/>
    <w:rsid w:val="00CD2503"/>
    <w:rsid w:val="00CD2540"/>
    <w:rsid w:val="00CD2548"/>
    <w:rsid w:val="00CD25FF"/>
    <w:rsid w:val="00CD2657"/>
    <w:rsid w:val="00CD26A6"/>
    <w:rsid w:val="00CD26B1"/>
    <w:rsid w:val="00CD26C9"/>
    <w:rsid w:val="00CD2706"/>
    <w:rsid w:val="00CD273E"/>
    <w:rsid w:val="00CD2776"/>
    <w:rsid w:val="00CD2794"/>
    <w:rsid w:val="00CD2799"/>
    <w:rsid w:val="00CD27B7"/>
    <w:rsid w:val="00CD27BE"/>
    <w:rsid w:val="00CD2835"/>
    <w:rsid w:val="00CD2861"/>
    <w:rsid w:val="00CD2873"/>
    <w:rsid w:val="00CD28BD"/>
    <w:rsid w:val="00CD290A"/>
    <w:rsid w:val="00CD2980"/>
    <w:rsid w:val="00CD29BC"/>
    <w:rsid w:val="00CD2A33"/>
    <w:rsid w:val="00CD2A5B"/>
    <w:rsid w:val="00CD2A60"/>
    <w:rsid w:val="00CD2A7A"/>
    <w:rsid w:val="00CD2ACD"/>
    <w:rsid w:val="00CD2B08"/>
    <w:rsid w:val="00CD2B13"/>
    <w:rsid w:val="00CD2B62"/>
    <w:rsid w:val="00CD2B70"/>
    <w:rsid w:val="00CD2B90"/>
    <w:rsid w:val="00CD2BE9"/>
    <w:rsid w:val="00CD2C1D"/>
    <w:rsid w:val="00CD2C34"/>
    <w:rsid w:val="00CD2C38"/>
    <w:rsid w:val="00CD2C46"/>
    <w:rsid w:val="00CD2C57"/>
    <w:rsid w:val="00CD2C7B"/>
    <w:rsid w:val="00CD2CC9"/>
    <w:rsid w:val="00CD2CD1"/>
    <w:rsid w:val="00CD2CEF"/>
    <w:rsid w:val="00CD2D05"/>
    <w:rsid w:val="00CD2D2F"/>
    <w:rsid w:val="00CD2DB0"/>
    <w:rsid w:val="00CD2E03"/>
    <w:rsid w:val="00CD2E6A"/>
    <w:rsid w:val="00CD2E75"/>
    <w:rsid w:val="00CD2E81"/>
    <w:rsid w:val="00CD2F74"/>
    <w:rsid w:val="00CD2FAC"/>
    <w:rsid w:val="00CD2FD0"/>
    <w:rsid w:val="00CD312C"/>
    <w:rsid w:val="00CD315B"/>
    <w:rsid w:val="00CD31C0"/>
    <w:rsid w:val="00CD3250"/>
    <w:rsid w:val="00CD3265"/>
    <w:rsid w:val="00CD327C"/>
    <w:rsid w:val="00CD3295"/>
    <w:rsid w:val="00CD32A9"/>
    <w:rsid w:val="00CD32C7"/>
    <w:rsid w:val="00CD32E4"/>
    <w:rsid w:val="00CD3307"/>
    <w:rsid w:val="00CD332F"/>
    <w:rsid w:val="00CD335D"/>
    <w:rsid w:val="00CD3382"/>
    <w:rsid w:val="00CD33A2"/>
    <w:rsid w:val="00CD33B0"/>
    <w:rsid w:val="00CD33BD"/>
    <w:rsid w:val="00CD33C5"/>
    <w:rsid w:val="00CD33CC"/>
    <w:rsid w:val="00CD33F1"/>
    <w:rsid w:val="00CD3455"/>
    <w:rsid w:val="00CD347A"/>
    <w:rsid w:val="00CD34A3"/>
    <w:rsid w:val="00CD34B1"/>
    <w:rsid w:val="00CD34E0"/>
    <w:rsid w:val="00CD3501"/>
    <w:rsid w:val="00CD3524"/>
    <w:rsid w:val="00CD352A"/>
    <w:rsid w:val="00CD3542"/>
    <w:rsid w:val="00CD3554"/>
    <w:rsid w:val="00CD357F"/>
    <w:rsid w:val="00CD35E4"/>
    <w:rsid w:val="00CD360F"/>
    <w:rsid w:val="00CD3674"/>
    <w:rsid w:val="00CD3694"/>
    <w:rsid w:val="00CD36AB"/>
    <w:rsid w:val="00CD3728"/>
    <w:rsid w:val="00CD378D"/>
    <w:rsid w:val="00CD378F"/>
    <w:rsid w:val="00CD37C6"/>
    <w:rsid w:val="00CD3801"/>
    <w:rsid w:val="00CD3839"/>
    <w:rsid w:val="00CD386E"/>
    <w:rsid w:val="00CD3876"/>
    <w:rsid w:val="00CD389E"/>
    <w:rsid w:val="00CD38A5"/>
    <w:rsid w:val="00CD38C6"/>
    <w:rsid w:val="00CD38CF"/>
    <w:rsid w:val="00CD38F5"/>
    <w:rsid w:val="00CD3911"/>
    <w:rsid w:val="00CD3961"/>
    <w:rsid w:val="00CD39C5"/>
    <w:rsid w:val="00CD39DC"/>
    <w:rsid w:val="00CD39E5"/>
    <w:rsid w:val="00CD39FA"/>
    <w:rsid w:val="00CD3A56"/>
    <w:rsid w:val="00CD3A68"/>
    <w:rsid w:val="00CD3ACF"/>
    <w:rsid w:val="00CD3B18"/>
    <w:rsid w:val="00CD3B24"/>
    <w:rsid w:val="00CD3BC8"/>
    <w:rsid w:val="00CD3BD3"/>
    <w:rsid w:val="00CD3C4E"/>
    <w:rsid w:val="00CD3C6B"/>
    <w:rsid w:val="00CD3C6E"/>
    <w:rsid w:val="00CD3C76"/>
    <w:rsid w:val="00CD3C85"/>
    <w:rsid w:val="00CD3C9E"/>
    <w:rsid w:val="00CD3CEA"/>
    <w:rsid w:val="00CD3D12"/>
    <w:rsid w:val="00CD3D9E"/>
    <w:rsid w:val="00CD3DB9"/>
    <w:rsid w:val="00CD3E4E"/>
    <w:rsid w:val="00CD3ECF"/>
    <w:rsid w:val="00CD3ED6"/>
    <w:rsid w:val="00CD3EF2"/>
    <w:rsid w:val="00CD3F63"/>
    <w:rsid w:val="00CD3F68"/>
    <w:rsid w:val="00CD3F92"/>
    <w:rsid w:val="00CD3FB4"/>
    <w:rsid w:val="00CD4002"/>
    <w:rsid w:val="00CD4075"/>
    <w:rsid w:val="00CD4079"/>
    <w:rsid w:val="00CD4106"/>
    <w:rsid w:val="00CD4116"/>
    <w:rsid w:val="00CD4121"/>
    <w:rsid w:val="00CD4149"/>
    <w:rsid w:val="00CD4151"/>
    <w:rsid w:val="00CD4209"/>
    <w:rsid w:val="00CD42C8"/>
    <w:rsid w:val="00CD4315"/>
    <w:rsid w:val="00CD4347"/>
    <w:rsid w:val="00CD435F"/>
    <w:rsid w:val="00CD4377"/>
    <w:rsid w:val="00CD4395"/>
    <w:rsid w:val="00CD43DB"/>
    <w:rsid w:val="00CD43FB"/>
    <w:rsid w:val="00CD4482"/>
    <w:rsid w:val="00CD44D6"/>
    <w:rsid w:val="00CD4507"/>
    <w:rsid w:val="00CD451A"/>
    <w:rsid w:val="00CD4593"/>
    <w:rsid w:val="00CD45D4"/>
    <w:rsid w:val="00CD4625"/>
    <w:rsid w:val="00CD465E"/>
    <w:rsid w:val="00CD4669"/>
    <w:rsid w:val="00CD4675"/>
    <w:rsid w:val="00CD4678"/>
    <w:rsid w:val="00CD46B0"/>
    <w:rsid w:val="00CD46C4"/>
    <w:rsid w:val="00CD4709"/>
    <w:rsid w:val="00CD473A"/>
    <w:rsid w:val="00CD474B"/>
    <w:rsid w:val="00CD478F"/>
    <w:rsid w:val="00CD480A"/>
    <w:rsid w:val="00CD4888"/>
    <w:rsid w:val="00CD48A5"/>
    <w:rsid w:val="00CD48C6"/>
    <w:rsid w:val="00CD48E5"/>
    <w:rsid w:val="00CD491C"/>
    <w:rsid w:val="00CD499C"/>
    <w:rsid w:val="00CD49E7"/>
    <w:rsid w:val="00CD49E9"/>
    <w:rsid w:val="00CD4A4D"/>
    <w:rsid w:val="00CD4A7C"/>
    <w:rsid w:val="00CD4A87"/>
    <w:rsid w:val="00CD4A91"/>
    <w:rsid w:val="00CD4AAD"/>
    <w:rsid w:val="00CD4AC6"/>
    <w:rsid w:val="00CD4AC8"/>
    <w:rsid w:val="00CD4AD2"/>
    <w:rsid w:val="00CD4C2D"/>
    <w:rsid w:val="00CD4C44"/>
    <w:rsid w:val="00CD4C6E"/>
    <w:rsid w:val="00CD4CE7"/>
    <w:rsid w:val="00CD4D72"/>
    <w:rsid w:val="00CD4DD8"/>
    <w:rsid w:val="00CD4DDD"/>
    <w:rsid w:val="00CD4E60"/>
    <w:rsid w:val="00CD4E7F"/>
    <w:rsid w:val="00CD4EF3"/>
    <w:rsid w:val="00CD4F17"/>
    <w:rsid w:val="00CD4F40"/>
    <w:rsid w:val="00CD4FBD"/>
    <w:rsid w:val="00CD4FD4"/>
    <w:rsid w:val="00CD4FD9"/>
    <w:rsid w:val="00CD4FF6"/>
    <w:rsid w:val="00CD50A1"/>
    <w:rsid w:val="00CD50F0"/>
    <w:rsid w:val="00CD5137"/>
    <w:rsid w:val="00CD5162"/>
    <w:rsid w:val="00CD517F"/>
    <w:rsid w:val="00CD5258"/>
    <w:rsid w:val="00CD531E"/>
    <w:rsid w:val="00CD5389"/>
    <w:rsid w:val="00CD5392"/>
    <w:rsid w:val="00CD5396"/>
    <w:rsid w:val="00CD53A8"/>
    <w:rsid w:val="00CD53AF"/>
    <w:rsid w:val="00CD53C3"/>
    <w:rsid w:val="00CD5417"/>
    <w:rsid w:val="00CD545E"/>
    <w:rsid w:val="00CD54CB"/>
    <w:rsid w:val="00CD5500"/>
    <w:rsid w:val="00CD5524"/>
    <w:rsid w:val="00CD5525"/>
    <w:rsid w:val="00CD5537"/>
    <w:rsid w:val="00CD55A2"/>
    <w:rsid w:val="00CD55A3"/>
    <w:rsid w:val="00CD55BF"/>
    <w:rsid w:val="00CD55D8"/>
    <w:rsid w:val="00CD5603"/>
    <w:rsid w:val="00CD5606"/>
    <w:rsid w:val="00CD5628"/>
    <w:rsid w:val="00CD5642"/>
    <w:rsid w:val="00CD5659"/>
    <w:rsid w:val="00CD5715"/>
    <w:rsid w:val="00CD572B"/>
    <w:rsid w:val="00CD5769"/>
    <w:rsid w:val="00CD5784"/>
    <w:rsid w:val="00CD57AC"/>
    <w:rsid w:val="00CD57D0"/>
    <w:rsid w:val="00CD57E5"/>
    <w:rsid w:val="00CD58E9"/>
    <w:rsid w:val="00CD5903"/>
    <w:rsid w:val="00CD593A"/>
    <w:rsid w:val="00CD59B9"/>
    <w:rsid w:val="00CD5AD4"/>
    <w:rsid w:val="00CD5AE9"/>
    <w:rsid w:val="00CD5B0B"/>
    <w:rsid w:val="00CD5B4B"/>
    <w:rsid w:val="00CD5B57"/>
    <w:rsid w:val="00CD5B7D"/>
    <w:rsid w:val="00CD5B9A"/>
    <w:rsid w:val="00CD5BBB"/>
    <w:rsid w:val="00CD5C1C"/>
    <w:rsid w:val="00CD5C3D"/>
    <w:rsid w:val="00CD5C95"/>
    <w:rsid w:val="00CD5CB1"/>
    <w:rsid w:val="00CD5CDC"/>
    <w:rsid w:val="00CD5D1E"/>
    <w:rsid w:val="00CD5D47"/>
    <w:rsid w:val="00CD5DDB"/>
    <w:rsid w:val="00CD5E7A"/>
    <w:rsid w:val="00CD5EB1"/>
    <w:rsid w:val="00CD5EDD"/>
    <w:rsid w:val="00CD5F2D"/>
    <w:rsid w:val="00CD5F40"/>
    <w:rsid w:val="00CD6022"/>
    <w:rsid w:val="00CD6038"/>
    <w:rsid w:val="00CD603E"/>
    <w:rsid w:val="00CD6045"/>
    <w:rsid w:val="00CD60D7"/>
    <w:rsid w:val="00CD60FA"/>
    <w:rsid w:val="00CD6137"/>
    <w:rsid w:val="00CD6176"/>
    <w:rsid w:val="00CD617E"/>
    <w:rsid w:val="00CD626C"/>
    <w:rsid w:val="00CD62AB"/>
    <w:rsid w:val="00CD62BD"/>
    <w:rsid w:val="00CD62C0"/>
    <w:rsid w:val="00CD62DB"/>
    <w:rsid w:val="00CD62DE"/>
    <w:rsid w:val="00CD62EC"/>
    <w:rsid w:val="00CD6355"/>
    <w:rsid w:val="00CD6378"/>
    <w:rsid w:val="00CD6390"/>
    <w:rsid w:val="00CD63A0"/>
    <w:rsid w:val="00CD63AD"/>
    <w:rsid w:val="00CD6448"/>
    <w:rsid w:val="00CD644E"/>
    <w:rsid w:val="00CD64AE"/>
    <w:rsid w:val="00CD64E7"/>
    <w:rsid w:val="00CD64F9"/>
    <w:rsid w:val="00CD64FF"/>
    <w:rsid w:val="00CD6516"/>
    <w:rsid w:val="00CD6529"/>
    <w:rsid w:val="00CD654B"/>
    <w:rsid w:val="00CD658F"/>
    <w:rsid w:val="00CD65B3"/>
    <w:rsid w:val="00CD65CF"/>
    <w:rsid w:val="00CD65E4"/>
    <w:rsid w:val="00CD65F9"/>
    <w:rsid w:val="00CD6631"/>
    <w:rsid w:val="00CD66C8"/>
    <w:rsid w:val="00CD67CF"/>
    <w:rsid w:val="00CD6830"/>
    <w:rsid w:val="00CD6834"/>
    <w:rsid w:val="00CD6857"/>
    <w:rsid w:val="00CD685A"/>
    <w:rsid w:val="00CD6869"/>
    <w:rsid w:val="00CD686E"/>
    <w:rsid w:val="00CD686F"/>
    <w:rsid w:val="00CD68AA"/>
    <w:rsid w:val="00CD68C7"/>
    <w:rsid w:val="00CD690D"/>
    <w:rsid w:val="00CD6956"/>
    <w:rsid w:val="00CD697A"/>
    <w:rsid w:val="00CD69AC"/>
    <w:rsid w:val="00CD69B1"/>
    <w:rsid w:val="00CD69CD"/>
    <w:rsid w:val="00CD69D5"/>
    <w:rsid w:val="00CD69DA"/>
    <w:rsid w:val="00CD69FF"/>
    <w:rsid w:val="00CD6AA7"/>
    <w:rsid w:val="00CD6AC1"/>
    <w:rsid w:val="00CD6AFF"/>
    <w:rsid w:val="00CD6B3C"/>
    <w:rsid w:val="00CD6B97"/>
    <w:rsid w:val="00CD6BE7"/>
    <w:rsid w:val="00CD6BF9"/>
    <w:rsid w:val="00CD6C14"/>
    <w:rsid w:val="00CD6C62"/>
    <w:rsid w:val="00CD6C93"/>
    <w:rsid w:val="00CD6CDF"/>
    <w:rsid w:val="00CD6CFD"/>
    <w:rsid w:val="00CD6D0C"/>
    <w:rsid w:val="00CD6D65"/>
    <w:rsid w:val="00CD6DC6"/>
    <w:rsid w:val="00CD6E3E"/>
    <w:rsid w:val="00CD6E51"/>
    <w:rsid w:val="00CD6EC4"/>
    <w:rsid w:val="00CD6F66"/>
    <w:rsid w:val="00CD6F98"/>
    <w:rsid w:val="00CD6FBF"/>
    <w:rsid w:val="00CD6FDC"/>
    <w:rsid w:val="00CD7019"/>
    <w:rsid w:val="00CD7049"/>
    <w:rsid w:val="00CD70A4"/>
    <w:rsid w:val="00CD70D4"/>
    <w:rsid w:val="00CD712B"/>
    <w:rsid w:val="00CD713F"/>
    <w:rsid w:val="00CD715D"/>
    <w:rsid w:val="00CD716D"/>
    <w:rsid w:val="00CD7184"/>
    <w:rsid w:val="00CD71CD"/>
    <w:rsid w:val="00CD71D4"/>
    <w:rsid w:val="00CD71D7"/>
    <w:rsid w:val="00CD7229"/>
    <w:rsid w:val="00CD7238"/>
    <w:rsid w:val="00CD7243"/>
    <w:rsid w:val="00CD727B"/>
    <w:rsid w:val="00CD72B9"/>
    <w:rsid w:val="00CD72D9"/>
    <w:rsid w:val="00CD7301"/>
    <w:rsid w:val="00CD7327"/>
    <w:rsid w:val="00CD73A6"/>
    <w:rsid w:val="00CD740A"/>
    <w:rsid w:val="00CD742E"/>
    <w:rsid w:val="00CD7438"/>
    <w:rsid w:val="00CD743D"/>
    <w:rsid w:val="00CD7448"/>
    <w:rsid w:val="00CD7475"/>
    <w:rsid w:val="00CD74C6"/>
    <w:rsid w:val="00CD74F0"/>
    <w:rsid w:val="00CD7584"/>
    <w:rsid w:val="00CD75F8"/>
    <w:rsid w:val="00CD75FC"/>
    <w:rsid w:val="00CD7621"/>
    <w:rsid w:val="00CD76A7"/>
    <w:rsid w:val="00CD770B"/>
    <w:rsid w:val="00CD7718"/>
    <w:rsid w:val="00CD771C"/>
    <w:rsid w:val="00CD7785"/>
    <w:rsid w:val="00CD7788"/>
    <w:rsid w:val="00CD77D8"/>
    <w:rsid w:val="00CD7805"/>
    <w:rsid w:val="00CD786D"/>
    <w:rsid w:val="00CD78A4"/>
    <w:rsid w:val="00CD78E0"/>
    <w:rsid w:val="00CD7964"/>
    <w:rsid w:val="00CD79D2"/>
    <w:rsid w:val="00CD7B04"/>
    <w:rsid w:val="00CD7B08"/>
    <w:rsid w:val="00CD7B49"/>
    <w:rsid w:val="00CD7B4D"/>
    <w:rsid w:val="00CD7B58"/>
    <w:rsid w:val="00CD7BD6"/>
    <w:rsid w:val="00CD7C10"/>
    <w:rsid w:val="00CD7CAC"/>
    <w:rsid w:val="00CD7CE4"/>
    <w:rsid w:val="00CD7D3A"/>
    <w:rsid w:val="00CD7D81"/>
    <w:rsid w:val="00CD7D85"/>
    <w:rsid w:val="00CD7D8B"/>
    <w:rsid w:val="00CD7DA2"/>
    <w:rsid w:val="00CD7DAA"/>
    <w:rsid w:val="00CD7DDF"/>
    <w:rsid w:val="00CD7DE4"/>
    <w:rsid w:val="00CD7E16"/>
    <w:rsid w:val="00CD7E17"/>
    <w:rsid w:val="00CD7E5D"/>
    <w:rsid w:val="00CD7EFE"/>
    <w:rsid w:val="00CD7F02"/>
    <w:rsid w:val="00CD7F34"/>
    <w:rsid w:val="00CD7F84"/>
    <w:rsid w:val="00CD7F8B"/>
    <w:rsid w:val="00CD7F92"/>
    <w:rsid w:val="00CD7F94"/>
    <w:rsid w:val="00CD7F99"/>
    <w:rsid w:val="00CD7FA0"/>
    <w:rsid w:val="00CE0012"/>
    <w:rsid w:val="00CE001B"/>
    <w:rsid w:val="00CE0068"/>
    <w:rsid w:val="00CE00E7"/>
    <w:rsid w:val="00CE0147"/>
    <w:rsid w:val="00CE0179"/>
    <w:rsid w:val="00CE01EA"/>
    <w:rsid w:val="00CE0253"/>
    <w:rsid w:val="00CE02A6"/>
    <w:rsid w:val="00CE02C5"/>
    <w:rsid w:val="00CE0317"/>
    <w:rsid w:val="00CE0358"/>
    <w:rsid w:val="00CE039D"/>
    <w:rsid w:val="00CE03B7"/>
    <w:rsid w:val="00CE03D4"/>
    <w:rsid w:val="00CE0439"/>
    <w:rsid w:val="00CE044E"/>
    <w:rsid w:val="00CE0463"/>
    <w:rsid w:val="00CE048F"/>
    <w:rsid w:val="00CE04E5"/>
    <w:rsid w:val="00CE0515"/>
    <w:rsid w:val="00CE051C"/>
    <w:rsid w:val="00CE0526"/>
    <w:rsid w:val="00CE0531"/>
    <w:rsid w:val="00CE0552"/>
    <w:rsid w:val="00CE057E"/>
    <w:rsid w:val="00CE05C4"/>
    <w:rsid w:val="00CE05CA"/>
    <w:rsid w:val="00CE05E0"/>
    <w:rsid w:val="00CE05E8"/>
    <w:rsid w:val="00CE05F9"/>
    <w:rsid w:val="00CE063C"/>
    <w:rsid w:val="00CE0654"/>
    <w:rsid w:val="00CE06F0"/>
    <w:rsid w:val="00CE0711"/>
    <w:rsid w:val="00CE0753"/>
    <w:rsid w:val="00CE07B8"/>
    <w:rsid w:val="00CE07C1"/>
    <w:rsid w:val="00CE07F1"/>
    <w:rsid w:val="00CE0807"/>
    <w:rsid w:val="00CE080B"/>
    <w:rsid w:val="00CE0816"/>
    <w:rsid w:val="00CE084E"/>
    <w:rsid w:val="00CE0852"/>
    <w:rsid w:val="00CE08AC"/>
    <w:rsid w:val="00CE0901"/>
    <w:rsid w:val="00CE091C"/>
    <w:rsid w:val="00CE0920"/>
    <w:rsid w:val="00CE0939"/>
    <w:rsid w:val="00CE09AC"/>
    <w:rsid w:val="00CE09DF"/>
    <w:rsid w:val="00CE0A11"/>
    <w:rsid w:val="00CE0A48"/>
    <w:rsid w:val="00CE0A80"/>
    <w:rsid w:val="00CE0AAD"/>
    <w:rsid w:val="00CE0AE6"/>
    <w:rsid w:val="00CE0B1F"/>
    <w:rsid w:val="00CE0B26"/>
    <w:rsid w:val="00CE0B85"/>
    <w:rsid w:val="00CE0BAA"/>
    <w:rsid w:val="00CE0BBE"/>
    <w:rsid w:val="00CE0BCF"/>
    <w:rsid w:val="00CE0C03"/>
    <w:rsid w:val="00CE0C43"/>
    <w:rsid w:val="00CE0C44"/>
    <w:rsid w:val="00CE0C6F"/>
    <w:rsid w:val="00CE0C84"/>
    <w:rsid w:val="00CE0CC2"/>
    <w:rsid w:val="00CE0DCD"/>
    <w:rsid w:val="00CE0DDF"/>
    <w:rsid w:val="00CE0E0E"/>
    <w:rsid w:val="00CE0E17"/>
    <w:rsid w:val="00CE0E69"/>
    <w:rsid w:val="00CE0E77"/>
    <w:rsid w:val="00CE0ECA"/>
    <w:rsid w:val="00CE0EFC"/>
    <w:rsid w:val="00CE0F03"/>
    <w:rsid w:val="00CE0F07"/>
    <w:rsid w:val="00CE0F30"/>
    <w:rsid w:val="00CE0FBC"/>
    <w:rsid w:val="00CE0FD3"/>
    <w:rsid w:val="00CE103A"/>
    <w:rsid w:val="00CE10CF"/>
    <w:rsid w:val="00CE10D5"/>
    <w:rsid w:val="00CE1106"/>
    <w:rsid w:val="00CE1121"/>
    <w:rsid w:val="00CE1128"/>
    <w:rsid w:val="00CE1147"/>
    <w:rsid w:val="00CE1175"/>
    <w:rsid w:val="00CE1191"/>
    <w:rsid w:val="00CE119B"/>
    <w:rsid w:val="00CE11B0"/>
    <w:rsid w:val="00CE123B"/>
    <w:rsid w:val="00CE124B"/>
    <w:rsid w:val="00CE12E4"/>
    <w:rsid w:val="00CE131D"/>
    <w:rsid w:val="00CE134B"/>
    <w:rsid w:val="00CE1385"/>
    <w:rsid w:val="00CE1398"/>
    <w:rsid w:val="00CE13A9"/>
    <w:rsid w:val="00CE13CC"/>
    <w:rsid w:val="00CE13D0"/>
    <w:rsid w:val="00CE13F2"/>
    <w:rsid w:val="00CE13F6"/>
    <w:rsid w:val="00CE1433"/>
    <w:rsid w:val="00CE145B"/>
    <w:rsid w:val="00CE14AB"/>
    <w:rsid w:val="00CE14E9"/>
    <w:rsid w:val="00CE14FE"/>
    <w:rsid w:val="00CE1530"/>
    <w:rsid w:val="00CE1551"/>
    <w:rsid w:val="00CE1576"/>
    <w:rsid w:val="00CE15A3"/>
    <w:rsid w:val="00CE15A4"/>
    <w:rsid w:val="00CE15EB"/>
    <w:rsid w:val="00CE1614"/>
    <w:rsid w:val="00CE161F"/>
    <w:rsid w:val="00CE1674"/>
    <w:rsid w:val="00CE1698"/>
    <w:rsid w:val="00CE16F3"/>
    <w:rsid w:val="00CE17A0"/>
    <w:rsid w:val="00CE17A7"/>
    <w:rsid w:val="00CE17B0"/>
    <w:rsid w:val="00CE17DC"/>
    <w:rsid w:val="00CE17FD"/>
    <w:rsid w:val="00CE185A"/>
    <w:rsid w:val="00CE187E"/>
    <w:rsid w:val="00CE187F"/>
    <w:rsid w:val="00CE18BA"/>
    <w:rsid w:val="00CE18D3"/>
    <w:rsid w:val="00CE1976"/>
    <w:rsid w:val="00CE198D"/>
    <w:rsid w:val="00CE1A21"/>
    <w:rsid w:val="00CE1A43"/>
    <w:rsid w:val="00CE1A47"/>
    <w:rsid w:val="00CE1A51"/>
    <w:rsid w:val="00CE1A78"/>
    <w:rsid w:val="00CE1AF6"/>
    <w:rsid w:val="00CE1B0F"/>
    <w:rsid w:val="00CE1B29"/>
    <w:rsid w:val="00CE1BB8"/>
    <w:rsid w:val="00CE1BE1"/>
    <w:rsid w:val="00CE1BFC"/>
    <w:rsid w:val="00CE1C2D"/>
    <w:rsid w:val="00CE1C58"/>
    <w:rsid w:val="00CE1C69"/>
    <w:rsid w:val="00CE1C6F"/>
    <w:rsid w:val="00CE1C97"/>
    <w:rsid w:val="00CE1CA3"/>
    <w:rsid w:val="00CE1CB3"/>
    <w:rsid w:val="00CE1CBF"/>
    <w:rsid w:val="00CE1CED"/>
    <w:rsid w:val="00CE1D55"/>
    <w:rsid w:val="00CE1D83"/>
    <w:rsid w:val="00CE1E4C"/>
    <w:rsid w:val="00CE1E67"/>
    <w:rsid w:val="00CE1EA9"/>
    <w:rsid w:val="00CE1EAF"/>
    <w:rsid w:val="00CE1EB1"/>
    <w:rsid w:val="00CE1EC1"/>
    <w:rsid w:val="00CE1F44"/>
    <w:rsid w:val="00CE1F8F"/>
    <w:rsid w:val="00CE1FDD"/>
    <w:rsid w:val="00CE202D"/>
    <w:rsid w:val="00CE2031"/>
    <w:rsid w:val="00CE2045"/>
    <w:rsid w:val="00CE20A5"/>
    <w:rsid w:val="00CE2126"/>
    <w:rsid w:val="00CE2190"/>
    <w:rsid w:val="00CE21AB"/>
    <w:rsid w:val="00CE21DA"/>
    <w:rsid w:val="00CE2220"/>
    <w:rsid w:val="00CE2222"/>
    <w:rsid w:val="00CE2236"/>
    <w:rsid w:val="00CE223E"/>
    <w:rsid w:val="00CE227D"/>
    <w:rsid w:val="00CE22BC"/>
    <w:rsid w:val="00CE22CD"/>
    <w:rsid w:val="00CE22F6"/>
    <w:rsid w:val="00CE231F"/>
    <w:rsid w:val="00CE2351"/>
    <w:rsid w:val="00CE2378"/>
    <w:rsid w:val="00CE2399"/>
    <w:rsid w:val="00CE23CA"/>
    <w:rsid w:val="00CE2410"/>
    <w:rsid w:val="00CE2415"/>
    <w:rsid w:val="00CE2419"/>
    <w:rsid w:val="00CE2437"/>
    <w:rsid w:val="00CE244B"/>
    <w:rsid w:val="00CE2471"/>
    <w:rsid w:val="00CE2482"/>
    <w:rsid w:val="00CE24EA"/>
    <w:rsid w:val="00CE252E"/>
    <w:rsid w:val="00CE262C"/>
    <w:rsid w:val="00CE265B"/>
    <w:rsid w:val="00CE2668"/>
    <w:rsid w:val="00CE268C"/>
    <w:rsid w:val="00CE26A1"/>
    <w:rsid w:val="00CE26F0"/>
    <w:rsid w:val="00CE26F6"/>
    <w:rsid w:val="00CE2727"/>
    <w:rsid w:val="00CE275A"/>
    <w:rsid w:val="00CE2794"/>
    <w:rsid w:val="00CE27EA"/>
    <w:rsid w:val="00CE282B"/>
    <w:rsid w:val="00CE2851"/>
    <w:rsid w:val="00CE286A"/>
    <w:rsid w:val="00CE2897"/>
    <w:rsid w:val="00CE28A4"/>
    <w:rsid w:val="00CE292A"/>
    <w:rsid w:val="00CE292D"/>
    <w:rsid w:val="00CE293A"/>
    <w:rsid w:val="00CE29A2"/>
    <w:rsid w:val="00CE29BF"/>
    <w:rsid w:val="00CE29C8"/>
    <w:rsid w:val="00CE2A13"/>
    <w:rsid w:val="00CE2AD0"/>
    <w:rsid w:val="00CE2B4F"/>
    <w:rsid w:val="00CE2BB5"/>
    <w:rsid w:val="00CE2BEE"/>
    <w:rsid w:val="00CE2BF0"/>
    <w:rsid w:val="00CE2C23"/>
    <w:rsid w:val="00CE2C86"/>
    <w:rsid w:val="00CE2CE6"/>
    <w:rsid w:val="00CE2D0E"/>
    <w:rsid w:val="00CE2D0F"/>
    <w:rsid w:val="00CE2D31"/>
    <w:rsid w:val="00CE2D79"/>
    <w:rsid w:val="00CE2D7D"/>
    <w:rsid w:val="00CE2D80"/>
    <w:rsid w:val="00CE2DD7"/>
    <w:rsid w:val="00CE2E70"/>
    <w:rsid w:val="00CE2ECD"/>
    <w:rsid w:val="00CE2F22"/>
    <w:rsid w:val="00CE2F43"/>
    <w:rsid w:val="00CE2F55"/>
    <w:rsid w:val="00CE2F5F"/>
    <w:rsid w:val="00CE2F92"/>
    <w:rsid w:val="00CE3015"/>
    <w:rsid w:val="00CE3029"/>
    <w:rsid w:val="00CE3055"/>
    <w:rsid w:val="00CE3090"/>
    <w:rsid w:val="00CE309C"/>
    <w:rsid w:val="00CE3183"/>
    <w:rsid w:val="00CE31DC"/>
    <w:rsid w:val="00CE3209"/>
    <w:rsid w:val="00CE3212"/>
    <w:rsid w:val="00CE321C"/>
    <w:rsid w:val="00CE33FC"/>
    <w:rsid w:val="00CE3401"/>
    <w:rsid w:val="00CE341F"/>
    <w:rsid w:val="00CE345C"/>
    <w:rsid w:val="00CE34A4"/>
    <w:rsid w:val="00CE34C3"/>
    <w:rsid w:val="00CE34EA"/>
    <w:rsid w:val="00CE355A"/>
    <w:rsid w:val="00CE35B2"/>
    <w:rsid w:val="00CE36A3"/>
    <w:rsid w:val="00CE36BB"/>
    <w:rsid w:val="00CE36CD"/>
    <w:rsid w:val="00CE36CE"/>
    <w:rsid w:val="00CE3752"/>
    <w:rsid w:val="00CE37B6"/>
    <w:rsid w:val="00CE37C9"/>
    <w:rsid w:val="00CE37D5"/>
    <w:rsid w:val="00CE37D6"/>
    <w:rsid w:val="00CE37D9"/>
    <w:rsid w:val="00CE37DF"/>
    <w:rsid w:val="00CE37E4"/>
    <w:rsid w:val="00CE387C"/>
    <w:rsid w:val="00CE3883"/>
    <w:rsid w:val="00CE389C"/>
    <w:rsid w:val="00CE38A4"/>
    <w:rsid w:val="00CE392E"/>
    <w:rsid w:val="00CE394B"/>
    <w:rsid w:val="00CE3951"/>
    <w:rsid w:val="00CE395C"/>
    <w:rsid w:val="00CE39D8"/>
    <w:rsid w:val="00CE39F1"/>
    <w:rsid w:val="00CE3A29"/>
    <w:rsid w:val="00CE3A4C"/>
    <w:rsid w:val="00CE3ACE"/>
    <w:rsid w:val="00CE3B69"/>
    <w:rsid w:val="00CE3BA0"/>
    <w:rsid w:val="00CE3BB4"/>
    <w:rsid w:val="00CE3BDC"/>
    <w:rsid w:val="00CE3C17"/>
    <w:rsid w:val="00CE3C22"/>
    <w:rsid w:val="00CE3C43"/>
    <w:rsid w:val="00CE3C88"/>
    <w:rsid w:val="00CE3CB8"/>
    <w:rsid w:val="00CE3D1B"/>
    <w:rsid w:val="00CE3D44"/>
    <w:rsid w:val="00CE3D4B"/>
    <w:rsid w:val="00CE3D50"/>
    <w:rsid w:val="00CE3D95"/>
    <w:rsid w:val="00CE3DA1"/>
    <w:rsid w:val="00CE3DB1"/>
    <w:rsid w:val="00CE3DBF"/>
    <w:rsid w:val="00CE3DFA"/>
    <w:rsid w:val="00CE3E61"/>
    <w:rsid w:val="00CE3E6C"/>
    <w:rsid w:val="00CE3E95"/>
    <w:rsid w:val="00CE3F22"/>
    <w:rsid w:val="00CE4089"/>
    <w:rsid w:val="00CE408C"/>
    <w:rsid w:val="00CE4091"/>
    <w:rsid w:val="00CE40C3"/>
    <w:rsid w:val="00CE40CD"/>
    <w:rsid w:val="00CE4181"/>
    <w:rsid w:val="00CE41B7"/>
    <w:rsid w:val="00CE41F5"/>
    <w:rsid w:val="00CE421F"/>
    <w:rsid w:val="00CE422B"/>
    <w:rsid w:val="00CE42AC"/>
    <w:rsid w:val="00CE4358"/>
    <w:rsid w:val="00CE4366"/>
    <w:rsid w:val="00CE43FD"/>
    <w:rsid w:val="00CE4402"/>
    <w:rsid w:val="00CE4406"/>
    <w:rsid w:val="00CE4456"/>
    <w:rsid w:val="00CE4465"/>
    <w:rsid w:val="00CE451F"/>
    <w:rsid w:val="00CE4552"/>
    <w:rsid w:val="00CE4583"/>
    <w:rsid w:val="00CE45B0"/>
    <w:rsid w:val="00CE45CF"/>
    <w:rsid w:val="00CE4601"/>
    <w:rsid w:val="00CE4627"/>
    <w:rsid w:val="00CE46C3"/>
    <w:rsid w:val="00CE4758"/>
    <w:rsid w:val="00CE4769"/>
    <w:rsid w:val="00CE47CB"/>
    <w:rsid w:val="00CE482B"/>
    <w:rsid w:val="00CE4876"/>
    <w:rsid w:val="00CE4890"/>
    <w:rsid w:val="00CE48DD"/>
    <w:rsid w:val="00CE48EA"/>
    <w:rsid w:val="00CE4906"/>
    <w:rsid w:val="00CE495B"/>
    <w:rsid w:val="00CE49A5"/>
    <w:rsid w:val="00CE49BF"/>
    <w:rsid w:val="00CE49C3"/>
    <w:rsid w:val="00CE4A0F"/>
    <w:rsid w:val="00CE4A14"/>
    <w:rsid w:val="00CE4A43"/>
    <w:rsid w:val="00CE4A45"/>
    <w:rsid w:val="00CE4A59"/>
    <w:rsid w:val="00CE4A60"/>
    <w:rsid w:val="00CE4AB7"/>
    <w:rsid w:val="00CE4ACC"/>
    <w:rsid w:val="00CE4B3A"/>
    <w:rsid w:val="00CE4B9D"/>
    <w:rsid w:val="00CE4BA9"/>
    <w:rsid w:val="00CE4BD1"/>
    <w:rsid w:val="00CE4C12"/>
    <w:rsid w:val="00CE4CB6"/>
    <w:rsid w:val="00CE4CCB"/>
    <w:rsid w:val="00CE4CDA"/>
    <w:rsid w:val="00CE4CF1"/>
    <w:rsid w:val="00CE4D42"/>
    <w:rsid w:val="00CE4D6C"/>
    <w:rsid w:val="00CE4D7D"/>
    <w:rsid w:val="00CE4DC3"/>
    <w:rsid w:val="00CE4DF8"/>
    <w:rsid w:val="00CE4E0B"/>
    <w:rsid w:val="00CE4EA3"/>
    <w:rsid w:val="00CE4ECD"/>
    <w:rsid w:val="00CE4EEC"/>
    <w:rsid w:val="00CE4F02"/>
    <w:rsid w:val="00CE4F4F"/>
    <w:rsid w:val="00CE4FAD"/>
    <w:rsid w:val="00CE5035"/>
    <w:rsid w:val="00CE5074"/>
    <w:rsid w:val="00CE514E"/>
    <w:rsid w:val="00CE51E4"/>
    <w:rsid w:val="00CE51F3"/>
    <w:rsid w:val="00CE5201"/>
    <w:rsid w:val="00CE5214"/>
    <w:rsid w:val="00CE522D"/>
    <w:rsid w:val="00CE523D"/>
    <w:rsid w:val="00CE5257"/>
    <w:rsid w:val="00CE52BB"/>
    <w:rsid w:val="00CE52D1"/>
    <w:rsid w:val="00CE5488"/>
    <w:rsid w:val="00CE5495"/>
    <w:rsid w:val="00CE549C"/>
    <w:rsid w:val="00CE54E6"/>
    <w:rsid w:val="00CE5507"/>
    <w:rsid w:val="00CE5539"/>
    <w:rsid w:val="00CE553E"/>
    <w:rsid w:val="00CE5550"/>
    <w:rsid w:val="00CE5571"/>
    <w:rsid w:val="00CE559C"/>
    <w:rsid w:val="00CE55C3"/>
    <w:rsid w:val="00CE55FC"/>
    <w:rsid w:val="00CE56A7"/>
    <w:rsid w:val="00CE56F0"/>
    <w:rsid w:val="00CE57A6"/>
    <w:rsid w:val="00CE58F9"/>
    <w:rsid w:val="00CE58FB"/>
    <w:rsid w:val="00CE593E"/>
    <w:rsid w:val="00CE596A"/>
    <w:rsid w:val="00CE59BD"/>
    <w:rsid w:val="00CE59BE"/>
    <w:rsid w:val="00CE5A01"/>
    <w:rsid w:val="00CE5A0F"/>
    <w:rsid w:val="00CE5A2C"/>
    <w:rsid w:val="00CE5B06"/>
    <w:rsid w:val="00CE5BCB"/>
    <w:rsid w:val="00CE5BEC"/>
    <w:rsid w:val="00CE5BEF"/>
    <w:rsid w:val="00CE5BFC"/>
    <w:rsid w:val="00CE5C3D"/>
    <w:rsid w:val="00CE5C61"/>
    <w:rsid w:val="00CE5C99"/>
    <w:rsid w:val="00CE5D43"/>
    <w:rsid w:val="00CE5D60"/>
    <w:rsid w:val="00CE5D73"/>
    <w:rsid w:val="00CE5DAE"/>
    <w:rsid w:val="00CE5E27"/>
    <w:rsid w:val="00CE5E54"/>
    <w:rsid w:val="00CE5E69"/>
    <w:rsid w:val="00CE5ED4"/>
    <w:rsid w:val="00CE5EF7"/>
    <w:rsid w:val="00CE5F13"/>
    <w:rsid w:val="00CE5FA1"/>
    <w:rsid w:val="00CE5FA6"/>
    <w:rsid w:val="00CE5FB2"/>
    <w:rsid w:val="00CE5FB9"/>
    <w:rsid w:val="00CE5FD1"/>
    <w:rsid w:val="00CE6060"/>
    <w:rsid w:val="00CE60D0"/>
    <w:rsid w:val="00CE60F3"/>
    <w:rsid w:val="00CE610A"/>
    <w:rsid w:val="00CE612E"/>
    <w:rsid w:val="00CE613C"/>
    <w:rsid w:val="00CE615E"/>
    <w:rsid w:val="00CE617E"/>
    <w:rsid w:val="00CE61E0"/>
    <w:rsid w:val="00CE6209"/>
    <w:rsid w:val="00CE6236"/>
    <w:rsid w:val="00CE624E"/>
    <w:rsid w:val="00CE6251"/>
    <w:rsid w:val="00CE6277"/>
    <w:rsid w:val="00CE62DA"/>
    <w:rsid w:val="00CE62FE"/>
    <w:rsid w:val="00CE6341"/>
    <w:rsid w:val="00CE6344"/>
    <w:rsid w:val="00CE6376"/>
    <w:rsid w:val="00CE6389"/>
    <w:rsid w:val="00CE6392"/>
    <w:rsid w:val="00CE63B4"/>
    <w:rsid w:val="00CE63D2"/>
    <w:rsid w:val="00CE63E5"/>
    <w:rsid w:val="00CE63E6"/>
    <w:rsid w:val="00CE641B"/>
    <w:rsid w:val="00CE6487"/>
    <w:rsid w:val="00CE648D"/>
    <w:rsid w:val="00CE6491"/>
    <w:rsid w:val="00CE64DE"/>
    <w:rsid w:val="00CE64E3"/>
    <w:rsid w:val="00CE6566"/>
    <w:rsid w:val="00CE657F"/>
    <w:rsid w:val="00CE659E"/>
    <w:rsid w:val="00CE65A7"/>
    <w:rsid w:val="00CE65AF"/>
    <w:rsid w:val="00CE65EC"/>
    <w:rsid w:val="00CE6606"/>
    <w:rsid w:val="00CE660D"/>
    <w:rsid w:val="00CE6625"/>
    <w:rsid w:val="00CE6684"/>
    <w:rsid w:val="00CE66E9"/>
    <w:rsid w:val="00CE6724"/>
    <w:rsid w:val="00CE676D"/>
    <w:rsid w:val="00CE677E"/>
    <w:rsid w:val="00CE67AF"/>
    <w:rsid w:val="00CE67EC"/>
    <w:rsid w:val="00CE6869"/>
    <w:rsid w:val="00CE686E"/>
    <w:rsid w:val="00CE688F"/>
    <w:rsid w:val="00CE6897"/>
    <w:rsid w:val="00CE68C4"/>
    <w:rsid w:val="00CE693A"/>
    <w:rsid w:val="00CE6A54"/>
    <w:rsid w:val="00CE6A67"/>
    <w:rsid w:val="00CE6A79"/>
    <w:rsid w:val="00CE6AB4"/>
    <w:rsid w:val="00CE6B32"/>
    <w:rsid w:val="00CE6B48"/>
    <w:rsid w:val="00CE6B93"/>
    <w:rsid w:val="00CE6BE3"/>
    <w:rsid w:val="00CE6BF1"/>
    <w:rsid w:val="00CE6C45"/>
    <w:rsid w:val="00CE6C70"/>
    <w:rsid w:val="00CE6CA3"/>
    <w:rsid w:val="00CE6CFA"/>
    <w:rsid w:val="00CE6D25"/>
    <w:rsid w:val="00CE6DD9"/>
    <w:rsid w:val="00CE6DE1"/>
    <w:rsid w:val="00CE6E06"/>
    <w:rsid w:val="00CE6E1E"/>
    <w:rsid w:val="00CE6E51"/>
    <w:rsid w:val="00CE6E8F"/>
    <w:rsid w:val="00CE6ED9"/>
    <w:rsid w:val="00CE6F68"/>
    <w:rsid w:val="00CE6F8E"/>
    <w:rsid w:val="00CE6FFE"/>
    <w:rsid w:val="00CE7006"/>
    <w:rsid w:val="00CE701F"/>
    <w:rsid w:val="00CE703A"/>
    <w:rsid w:val="00CE7092"/>
    <w:rsid w:val="00CE70A3"/>
    <w:rsid w:val="00CE70D6"/>
    <w:rsid w:val="00CE70EE"/>
    <w:rsid w:val="00CE7110"/>
    <w:rsid w:val="00CE711B"/>
    <w:rsid w:val="00CE7135"/>
    <w:rsid w:val="00CE7153"/>
    <w:rsid w:val="00CE716D"/>
    <w:rsid w:val="00CE7212"/>
    <w:rsid w:val="00CE7226"/>
    <w:rsid w:val="00CE729D"/>
    <w:rsid w:val="00CE735B"/>
    <w:rsid w:val="00CE739B"/>
    <w:rsid w:val="00CE73EF"/>
    <w:rsid w:val="00CE7411"/>
    <w:rsid w:val="00CE743F"/>
    <w:rsid w:val="00CE74A5"/>
    <w:rsid w:val="00CE74C4"/>
    <w:rsid w:val="00CE750B"/>
    <w:rsid w:val="00CE754C"/>
    <w:rsid w:val="00CE75D4"/>
    <w:rsid w:val="00CE75F8"/>
    <w:rsid w:val="00CE7610"/>
    <w:rsid w:val="00CE7615"/>
    <w:rsid w:val="00CE7624"/>
    <w:rsid w:val="00CE7669"/>
    <w:rsid w:val="00CE767B"/>
    <w:rsid w:val="00CE76C3"/>
    <w:rsid w:val="00CE76DD"/>
    <w:rsid w:val="00CE76E8"/>
    <w:rsid w:val="00CE76F5"/>
    <w:rsid w:val="00CE7727"/>
    <w:rsid w:val="00CE7752"/>
    <w:rsid w:val="00CE775A"/>
    <w:rsid w:val="00CE7770"/>
    <w:rsid w:val="00CE7791"/>
    <w:rsid w:val="00CE779F"/>
    <w:rsid w:val="00CE77DB"/>
    <w:rsid w:val="00CE77FD"/>
    <w:rsid w:val="00CE780F"/>
    <w:rsid w:val="00CE7897"/>
    <w:rsid w:val="00CE78F3"/>
    <w:rsid w:val="00CE78FB"/>
    <w:rsid w:val="00CE792C"/>
    <w:rsid w:val="00CE799D"/>
    <w:rsid w:val="00CE79B3"/>
    <w:rsid w:val="00CE7A2C"/>
    <w:rsid w:val="00CE7A48"/>
    <w:rsid w:val="00CE7B0A"/>
    <w:rsid w:val="00CE7B40"/>
    <w:rsid w:val="00CE7BD9"/>
    <w:rsid w:val="00CE7BFE"/>
    <w:rsid w:val="00CE7C37"/>
    <w:rsid w:val="00CE7C48"/>
    <w:rsid w:val="00CE7C4D"/>
    <w:rsid w:val="00CE7C59"/>
    <w:rsid w:val="00CE7C72"/>
    <w:rsid w:val="00CE7C85"/>
    <w:rsid w:val="00CE7C8B"/>
    <w:rsid w:val="00CE7CAC"/>
    <w:rsid w:val="00CE7CF2"/>
    <w:rsid w:val="00CE7D22"/>
    <w:rsid w:val="00CE7D5E"/>
    <w:rsid w:val="00CE7D6B"/>
    <w:rsid w:val="00CE7D84"/>
    <w:rsid w:val="00CE7E05"/>
    <w:rsid w:val="00CE7E24"/>
    <w:rsid w:val="00CE7E28"/>
    <w:rsid w:val="00CE7E2D"/>
    <w:rsid w:val="00CE7E54"/>
    <w:rsid w:val="00CE7E65"/>
    <w:rsid w:val="00CE7EFE"/>
    <w:rsid w:val="00CE7F02"/>
    <w:rsid w:val="00CE7F1D"/>
    <w:rsid w:val="00CE7FA6"/>
    <w:rsid w:val="00CE7FA8"/>
    <w:rsid w:val="00CE7FBE"/>
    <w:rsid w:val="00CF000B"/>
    <w:rsid w:val="00CF0041"/>
    <w:rsid w:val="00CF004F"/>
    <w:rsid w:val="00CF0081"/>
    <w:rsid w:val="00CF00D6"/>
    <w:rsid w:val="00CF015F"/>
    <w:rsid w:val="00CF0173"/>
    <w:rsid w:val="00CF01C5"/>
    <w:rsid w:val="00CF0225"/>
    <w:rsid w:val="00CF022A"/>
    <w:rsid w:val="00CF0234"/>
    <w:rsid w:val="00CF0242"/>
    <w:rsid w:val="00CF02A0"/>
    <w:rsid w:val="00CF0353"/>
    <w:rsid w:val="00CF038C"/>
    <w:rsid w:val="00CF0397"/>
    <w:rsid w:val="00CF03E9"/>
    <w:rsid w:val="00CF0493"/>
    <w:rsid w:val="00CF0496"/>
    <w:rsid w:val="00CF055F"/>
    <w:rsid w:val="00CF0576"/>
    <w:rsid w:val="00CF059E"/>
    <w:rsid w:val="00CF05E5"/>
    <w:rsid w:val="00CF05F5"/>
    <w:rsid w:val="00CF0612"/>
    <w:rsid w:val="00CF0619"/>
    <w:rsid w:val="00CF0685"/>
    <w:rsid w:val="00CF0687"/>
    <w:rsid w:val="00CF06BF"/>
    <w:rsid w:val="00CF06FA"/>
    <w:rsid w:val="00CF0703"/>
    <w:rsid w:val="00CF0720"/>
    <w:rsid w:val="00CF0733"/>
    <w:rsid w:val="00CF0736"/>
    <w:rsid w:val="00CF07AB"/>
    <w:rsid w:val="00CF07BF"/>
    <w:rsid w:val="00CF0843"/>
    <w:rsid w:val="00CF0851"/>
    <w:rsid w:val="00CF0887"/>
    <w:rsid w:val="00CF089B"/>
    <w:rsid w:val="00CF08F4"/>
    <w:rsid w:val="00CF091D"/>
    <w:rsid w:val="00CF0972"/>
    <w:rsid w:val="00CF098F"/>
    <w:rsid w:val="00CF09CE"/>
    <w:rsid w:val="00CF0A05"/>
    <w:rsid w:val="00CF0A64"/>
    <w:rsid w:val="00CF0A71"/>
    <w:rsid w:val="00CF0A95"/>
    <w:rsid w:val="00CF0AC9"/>
    <w:rsid w:val="00CF0C18"/>
    <w:rsid w:val="00CF0C29"/>
    <w:rsid w:val="00CF0C3B"/>
    <w:rsid w:val="00CF0C40"/>
    <w:rsid w:val="00CF0CE5"/>
    <w:rsid w:val="00CF0CF3"/>
    <w:rsid w:val="00CF0CFC"/>
    <w:rsid w:val="00CF0D51"/>
    <w:rsid w:val="00CF0D83"/>
    <w:rsid w:val="00CF0DCD"/>
    <w:rsid w:val="00CF0DE5"/>
    <w:rsid w:val="00CF0E3B"/>
    <w:rsid w:val="00CF0E6B"/>
    <w:rsid w:val="00CF0E81"/>
    <w:rsid w:val="00CF0E8E"/>
    <w:rsid w:val="00CF0E97"/>
    <w:rsid w:val="00CF0EC5"/>
    <w:rsid w:val="00CF0ED6"/>
    <w:rsid w:val="00CF0EF8"/>
    <w:rsid w:val="00CF0F13"/>
    <w:rsid w:val="00CF0F26"/>
    <w:rsid w:val="00CF0F85"/>
    <w:rsid w:val="00CF0FA1"/>
    <w:rsid w:val="00CF107D"/>
    <w:rsid w:val="00CF10B1"/>
    <w:rsid w:val="00CF10D8"/>
    <w:rsid w:val="00CF11A8"/>
    <w:rsid w:val="00CF11BA"/>
    <w:rsid w:val="00CF11BD"/>
    <w:rsid w:val="00CF11F2"/>
    <w:rsid w:val="00CF1245"/>
    <w:rsid w:val="00CF1266"/>
    <w:rsid w:val="00CF12B5"/>
    <w:rsid w:val="00CF12EF"/>
    <w:rsid w:val="00CF1432"/>
    <w:rsid w:val="00CF1438"/>
    <w:rsid w:val="00CF1467"/>
    <w:rsid w:val="00CF149B"/>
    <w:rsid w:val="00CF14ED"/>
    <w:rsid w:val="00CF15A0"/>
    <w:rsid w:val="00CF1684"/>
    <w:rsid w:val="00CF1687"/>
    <w:rsid w:val="00CF1695"/>
    <w:rsid w:val="00CF16BD"/>
    <w:rsid w:val="00CF16D6"/>
    <w:rsid w:val="00CF1733"/>
    <w:rsid w:val="00CF173B"/>
    <w:rsid w:val="00CF177E"/>
    <w:rsid w:val="00CF1806"/>
    <w:rsid w:val="00CF1829"/>
    <w:rsid w:val="00CF1863"/>
    <w:rsid w:val="00CF186E"/>
    <w:rsid w:val="00CF187A"/>
    <w:rsid w:val="00CF1883"/>
    <w:rsid w:val="00CF18C8"/>
    <w:rsid w:val="00CF18EA"/>
    <w:rsid w:val="00CF1919"/>
    <w:rsid w:val="00CF19DF"/>
    <w:rsid w:val="00CF19F4"/>
    <w:rsid w:val="00CF1A25"/>
    <w:rsid w:val="00CF1AFC"/>
    <w:rsid w:val="00CF1B54"/>
    <w:rsid w:val="00CF1B7A"/>
    <w:rsid w:val="00CF1B9E"/>
    <w:rsid w:val="00CF1BCE"/>
    <w:rsid w:val="00CF1C18"/>
    <w:rsid w:val="00CF1C22"/>
    <w:rsid w:val="00CF1D33"/>
    <w:rsid w:val="00CF1D9A"/>
    <w:rsid w:val="00CF1DD8"/>
    <w:rsid w:val="00CF1DDF"/>
    <w:rsid w:val="00CF1E05"/>
    <w:rsid w:val="00CF1E1A"/>
    <w:rsid w:val="00CF1E26"/>
    <w:rsid w:val="00CF1E3B"/>
    <w:rsid w:val="00CF1E67"/>
    <w:rsid w:val="00CF1E98"/>
    <w:rsid w:val="00CF1EE8"/>
    <w:rsid w:val="00CF1FB4"/>
    <w:rsid w:val="00CF1FB8"/>
    <w:rsid w:val="00CF1FC1"/>
    <w:rsid w:val="00CF203A"/>
    <w:rsid w:val="00CF204F"/>
    <w:rsid w:val="00CF2061"/>
    <w:rsid w:val="00CF20D1"/>
    <w:rsid w:val="00CF2154"/>
    <w:rsid w:val="00CF2191"/>
    <w:rsid w:val="00CF21AD"/>
    <w:rsid w:val="00CF21E9"/>
    <w:rsid w:val="00CF222C"/>
    <w:rsid w:val="00CF2269"/>
    <w:rsid w:val="00CF226D"/>
    <w:rsid w:val="00CF22B1"/>
    <w:rsid w:val="00CF22C9"/>
    <w:rsid w:val="00CF22F8"/>
    <w:rsid w:val="00CF230D"/>
    <w:rsid w:val="00CF230F"/>
    <w:rsid w:val="00CF23FE"/>
    <w:rsid w:val="00CF2410"/>
    <w:rsid w:val="00CF242D"/>
    <w:rsid w:val="00CF2484"/>
    <w:rsid w:val="00CF2493"/>
    <w:rsid w:val="00CF250D"/>
    <w:rsid w:val="00CF251F"/>
    <w:rsid w:val="00CF2535"/>
    <w:rsid w:val="00CF253B"/>
    <w:rsid w:val="00CF259E"/>
    <w:rsid w:val="00CF25B2"/>
    <w:rsid w:val="00CF25C3"/>
    <w:rsid w:val="00CF25D9"/>
    <w:rsid w:val="00CF262F"/>
    <w:rsid w:val="00CF2661"/>
    <w:rsid w:val="00CF2672"/>
    <w:rsid w:val="00CF267A"/>
    <w:rsid w:val="00CF26B7"/>
    <w:rsid w:val="00CF26FF"/>
    <w:rsid w:val="00CF2760"/>
    <w:rsid w:val="00CF276B"/>
    <w:rsid w:val="00CF279F"/>
    <w:rsid w:val="00CF27B6"/>
    <w:rsid w:val="00CF27CC"/>
    <w:rsid w:val="00CF28C8"/>
    <w:rsid w:val="00CF28F8"/>
    <w:rsid w:val="00CF2907"/>
    <w:rsid w:val="00CF292E"/>
    <w:rsid w:val="00CF29AB"/>
    <w:rsid w:val="00CF29E3"/>
    <w:rsid w:val="00CF29E4"/>
    <w:rsid w:val="00CF2A17"/>
    <w:rsid w:val="00CF2A81"/>
    <w:rsid w:val="00CF2A84"/>
    <w:rsid w:val="00CF2A9C"/>
    <w:rsid w:val="00CF2AC3"/>
    <w:rsid w:val="00CF2AEF"/>
    <w:rsid w:val="00CF2B82"/>
    <w:rsid w:val="00CF2BC6"/>
    <w:rsid w:val="00CF2BF5"/>
    <w:rsid w:val="00CF2C1F"/>
    <w:rsid w:val="00CF2C37"/>
    <w:rsid w:val="00CF2C68"/>
    <w:rsid w:val="00CF2CAF"/>
    <w:rsid w:val="00CF2CE3"/>
    <w:rsid w:val="00CF2D3B"/>
    <w:rsid w:val="00CF2D3D"/>
    <w:rsid w:val="00CF2D3E"/>
    <w:rsid w:val="00CF2D7A"/>
    <w:rsid w:val="00CF2D86"/>
    <w:rsid w:val="00CF2D98"/>
    <w:rsid w:val="00CF2DCA"/>
    <w:rsid w:val="00CF2DDE"/>
    <w:rsid w:val="00CF2E26"/>
    <w:rsid w:val="00CF2EC0"/>
    <w:rsid w:val="00CF2F3F"/>
    <w:rsid w:val="00CF2F41"/>
    <w:rsid w:val="00CF3006"/>
    <w:rsid w:val="00CF3074"/>
    <w:rsid w:val="00CF3092"/>
    <w:rsid w:val="00CF3125"/>
    <w:rsid w:val="00CF3174"/>
    <w:rsid w:val="00CF319B"/>
    <w:rsid w:val="00CF31C6"/>
    <w:rsid w:val="00CF31CA"/>
    <w:rsid w:val="00CF3220"/>
    <w:rsid w:val="00CF326B"/>
    <w:rsid w:val="00CF3296"/>
    <w:rsid w:val="00CF32C4"/>
    <w:rsid w:val="00CF3366"/>
    <w:rsid w:val="00CF336B"/>
    <w:rsid w:val="00CF3392"/>
    <w:rsid w:val="00CF33CA"/>
    <w:rsid w:val="00CF33E5"/>
    <w:rsid w:val="00CF3404"/>
    <w:rsid w:val="00CF3428"/>
    <w:rsid w:val="00CF342D"/>
    <w:rsid w:val="00CF3449"/>
    <w:rsid w:val="00CF34DB"/>
    <w:rsid w:val="00CF34DC"/>
    <w:rsid w:val="00CF350F"/>
    <w:rsid w:val="00CF3511"/>
    <w:rsid w:val="00CF3545"/>
    <w:rsid w:val="00CF3556"/>
    <w:rsid w:val="00CF355E"/>
    <w:rsid w:val="00CF358D"/>
    <w:rsid w:val="00CF35A5"/>
    <w:rsid w:val="00CF35A8"/>
    <w:rsid w:val="00CF35C5"/>
    <w:rsid w:val="00CF35D5"/>
    <w:rsid w:val="00CF35E8"/>
    <w:rsid w:val="00CF35F4"/>
    <w:rsid w:val="00CF3631"/>
    <w:rsid w:val="00CF3639"/>
    <w:rsid w:val="00CF3652"/>
    <w:rsid w:val="00CF3661"/>
    <w:rsid w:val="00CF367E"/>
    <w:rsid w:val="00CF36E0"/>
    <w:rsid w:val="00CF36FD"/>
    <w:rsid w:val="00CF3701"/>
    <w:rsid w:val="00CF3794"/>
    <w:rsid w:val="00CF3866"/>
    <w:rsid w:val="00CF388A"/>
    <w:rsid w:val="00CF38AF"/>
    <w:rsid w:val="00CF38E3"/>
    <w:rsid w:val="00CF38F8"/>
    <w:rsid w:val="00CF392C"/>
    <w:rsid w:val="00CF3943"/>
    <w:rsid w:val="00CF3973"/>
    <w:rsid w:val="00CF39FF"/>
    <w:rsid w:val="00CF3A08"/>
    <w:rsid w:val="00CF3A18"/>
    <w:rsid w:val="00CF3A3C"/>
    <w:rsid w:val="00CF3AF9"/>
    <w:rsid w:val="00CF3B79"/>
    <w:rsid w:val="00CF3B92"/>
    <w:rsid w:val="00CF3BDC"/>
    <w:rsid w:val="00CF3C0C"/>
    <w:rsid w:val="00CF3CAD"/>
    <w:rsid w:val="00CF3CD4"/>
    <w:rsid w:val="00CF3D02"/>
    <w:rsid w:val="00CF3D93"/>
    <w:rsid w:val="00CF3DA3"/>
    <w:rsid w:val="00CF3DBC"/>
    <w:rsid w:val="00CF3DFE"/>
    <w:rsid w:val="00CF3E1B"/>
    <w:rsid w:val="00CF3EDC"/>
    <w:rsid w:val="00CF3EF5"/>
    <w:rsid w:val="00CF3F0D"/>
    <w:rsid w:val="00CF3F3B"/>
    <w:rsid w:val="00CF3F58"/>
    <w:rsid w:val="00CF3F64"/>
    <w:rsid w:val="00CF3FDD"/>
    <w:rsid w:val="00CF402B"/>
    <w:rsid w:val="00CF4060"/>
    <w:rsid w:val="00CF4076"/>
    <w:rsid w:val="00CF40AD"/>
    <w:rsid w:val="00CF40DD"/>
    <w:rsid w:val="00CF410E"/>
    <w:rsid w:val="00CF4114"/>
    <w:rsid w:val="00CF412A"/>
    <w:rsid w:val="00CF415B"/>
    <w:rsid w:val="00CF4165"/>
    <w:rsid w:val="00CF416E"/>
    <w:rsid w:val="00CF4173"/>
    <w:rsid w:val="00CF4186"/>
    <w:rsid w:val="00CF4198"/>
    <w:rsid w:val="00CF41BD"/>
    <w:rsid w:val="00CF4259"/>
    <w:rsid w:val="00CF425B"/>
    <w:rsid w:val="00CF4278"/>
    <w:rsid w:val="00CF427A"/>
    <w:rsid w:val="00CF42B6"/>
    <w:rsid w:val="00CF42CE"/>
    <w:rsid w:val="00CF430D"/>
    <w:rsid w:val="00CF432C"/>
    <w:rsid w:val="00CF4364"/>
    <w:rsid w:val="00CF43F2"/>
    <w:rsid w:val="00CF44BE"/>
    <w:rsid w:val="00CF44DC"/>
    <w:rsid w:val="00CF4526"/>
    <w:rsid w:val="00CF457C"/>
    <w:rsid w:val="00CF45B2"/>
    <w:rsid w:val="00CF45B7"/>
    <w:rsid w:val="00CF4608"/>
    <w:rsid w:val="00CF466B"/>
    <w:rsid w:val="00CF467E"/>
    <w:rsid w:val="00CF4697"/>
    <w:rsid w:val="00CF4699"/>
    <w:rsid w:val="00CF46B8"/>
    <w:rsid w:val="00CF4732"/>
    <w:rsid w:val="00CF474C"/>
    <w:rsid w:val="00CF476A"/>
    <w:rsid w:val="00CF47C5"/>
    <w:rsid w:val="00CF480B"/>
    <w:rsid w:val="00CF4829"/>
    <w:rsid w:val="00CF485B"/>
    <w:rsid w:val="00CF488E"/>
    <w:rsid w:val="00CF48AD"/>
    <w:rsid w:val="00CF48D7"/>
    <w:rsid w:val="00CF492E"/>
    <w:rsid w:val="00CF4977"/>
    <w:rsid w:val="00CF4984"/>
    <w:rsid w:val="00CF49E2"/>
    <w:rsid w:val="00CF4A47"/>
    <w:rsid w:val="00CF4ACE"/>
    <w:rsid w:val="00CF4B14"/>
    <w:rsid w:val="00CF4B28"/>
    <w:rsid w:val="00CF4B4A"/>
    <w:rsid w:val="00CF4B62"/>
    <w:rsid w:val="00CF4BD0"/>
    <w:rsid w:val="00CF4BD1"/>
    <w:rsid w:val="00CF4BDF"/>
    <w:rsid w:val="00CF4C45"/>
    <w:rsid w:val="00CF4C49"/>
    <w:rsid w:val="00CF4C68"/>
    <w:rsid w:val="00CF4C8B"/>
    <w:rsid w:val="00CF4CD8"/>
    <w:rsid w:val="00CF4D0A"/>
    <w:rsid w:val="00CF4D2F"/>
    <w:rsid w:val="00CF4D53"/>
    <w:rsid w:val="00CF4D8A"/>
    <w:rsid w:val="00CF4DB9"/>
    <w:rsid w:val="00CF4E0A"/>
    <w:rsid w:val="00CF4E52"/>
    <w:rsid w:val="00CF4EBA"/>
    <w:rsid w:val="00CF4EC7"/>
    <w:rsid w:val="00CF4F6A"/>
    <w:rsid w:val="00CF4F83"/>
    <w:rsid w:val="00CF4F91"/>
    <w:rsid w:val="00CF5072"/>
    <w:rsid w:val="00CF50A7"/>
    <w:rsid w:val="00CF5113"/>
    <w:rsid w:val="00CF5121"/>
    <w:rsid w:val="00CF5122"/>
    <w:rsid w:val="00CF5125"/>
    <w:rsid w:val="00CF512E"/>
    <w:rsid w:val="00CF5135"/>
    <w:rsid w:val="00CF5136"/>
    <w:rsid w:val="00CF515F"/>
    <w:rsid w:val="00CF516B"/>
    <w:rsid w:val="00CF517A"/>
    <w:rsid w:val="00CF51C4"/>
    <w:rsid w:val="00CF5224"/>
    <w:rsid w:val="00CF5256"/>
    <w:rsid w:val="00CF5269"/>
    <w:rsid w:val="00CF5299"/>
    <w:rsid w:val="00CF529B"/>
    <w:rsid w:val="00CF52CF"/>
    <w:rsid w:val="00CF52ED"/>
    <w:rsid w:val="00CF5341"/>
    <w:rsid w:val="00CF5366"/>
    <w:rsid w:val="00CF5382"/>
    <w:rsid w:val="00CF53B1"/>
    <w:rsid w:val="00CF5453"/>
    <w:rsid w:val="00CF5520"/>
    <w:rsid w:val="00CF5590"/>
    <w:rsid w:val="00CF55B0"/>
    <w:rsid w:val="00CF5637"/>
    <w:rsid w:val="00CF5645"/>
    <w:rsid w:val="00CF5666"/>
    <w:rsid w:val="00CF56A0"/>
    <w:rsid w:val="00CF56B8"/>
    <w:rsid w:val="00CF56FC"/>
    <w:rsid w:val="00CF572E"/>
    <w:rsid w:val="00CF573C"/>
    <w:rsid w:val="00CF578E"/>
    <w:rsid w:val="00CF5790"/>
    <w:rsid w:val="00CF57B7"/>
    <w:rsid w:val="00CF57F1"/>
    <w:rsid w:val="00CF5825"/>
    <w:rsid w:val="00CF584C"/>
    <w:rsid w:val="00CF5889"/>
    <w:rsid w:val="00CF5898"/>
    <w:rsid w:val="00CF589B"/>
    <w:rsid w:val="00CF58C0"/>
    <w:rsid w:val="00CF58C7"/>
    <w:rsid w:val="00CF58E3"/>
    <w:rsid w:val="00CF58FD"/>
    <w:rsid w:val="00CF5936"/>
    <w:rsid w:val="00CF5941"/>
    <w:rsid w:val="00CF5986"/>
    <w:rsid w:val="00CF5988"/>
    <w:rsid w:val="00CF59B5"/>
    <w:rsid w:val="00CF59FF"/>
    <w:rsid w:val="00CF5A00"/>
    <w:rsid w:val="00CF5A7B"/>
    <w:rsid w:val="00CF5AAF"/>
    <w:rsid w:val="00CF5AEC"/>
    <w:rsid w:val="00CF5B50"/>
    <w:rsid w:val="00CF5B6E"/>
    <w:rsid w:val="00CF5BFB"/>
    <w:rsid w:val="00CF5C16"/>
    <w:rsid w:val="00CF5C28"/>
    <w:rsid w:val="00CF5C54"/>
    <w:rsid w:val="00CF5C5A"/>
    <w:rsid w:val="00CF5C9C"/>
    <w:rsid w:val="00CF5CA0"/>
    <w:rsid w:val="00CF5CB8"/>
    <w:rsid w:val="00CF5CFE"/>
    <w:rsid w:val="00CF5D67"/>
    <w:rsid w:val="00CF5D7C"/>
    <w:rsid w:val="00CF5D97"/>
    <w:rsid w:val="00CF5DC3"/>
    <w:rsid w:val="00CF5DC6"/>
    <w:rsid w:val="00CF5E02"/>
    <w:rsid w:val="00CF5E23"/>
    <w:rsid w:val="00CF5E57"/>
    <w:rsid w:val="00CF5F74"/>
    <w:rsid w:val="00CF5F83"/>
    <w:rsid w:val="00CF5F9F"/>
    <w:rsid w:val="00CF5FA2"/>
    <w:rsid w:val="00CF60A6"/>
    <w:rsid w:val="00CF612D"/>
    <w:rsid w:val="00CF614F"/>
    <w:rsid w:val="00CF6199"/>
    <w:rsid w:val="00CF61B8"/>
    <w:rsid w:val="00CF6201"/>
    <w:rsid w:val="00CF624E"/>
    <w:rsid w:val="00CF6296"/>
    <w:rsid w:val="00CF62EA"/>
    <w:rsid w:val="00CF62F6"/>
    <w:rsid w:val="00CF631D"/>
    <w:rsid w:val="00CF632C"/>
    <w:rsid w:val="00CF633E"/>
    <w:rsid w:val="00CF63B5"/>
    <w:rsid w:val="00CF63E2"/>
    <w:rsid w:val="00CF6458"/>
    <w:rsid w:val="00CF646F"/>
    <w:rsid w:val="00CF64F0"/>
    <w:rsid w:val="00CF650D"/>
    <w:rsid w:val="00CF652F"/>
    <w:rsid w:val="00CF659C"/>
    <w:rsid w:val="00CF65CA"/>
    <w:rsid w:val="00CF65E1"/>
    <w:rsid w:val="00CF6635"/>
    <w:rsid w:val="00CF6642"/>
    <w:rsid w:val="00CF6645"/>
    <w:rsid w:val="00CF670B"/>
    <w:rsid w:val="00CF6746"/>
    <w:rsid w:val="00CF6799"/>
    <w:rsid w:val="00CF67B0"/>
    <w:rsid w:val="00CF67D5"/>
    <w:rsid w:val="00CF67F0"/>
    <w:rsid w:val="00CF67FA"/>
    <w:rsid w:val="00CF6925"/>
    <w:rsid w:val="00CF6936"/>
    <w:rsid w:val="00CF695A"/>
    <w:rsid w:val="00CF6996"/>
    <w:rsid w:val="00CF69C1"/>
    <w:rsid w:val="00CF69DD"/>
    <w:rsid w:val="00CF6A33"/>
    <w:rsid w:val="00CF6A86"/>
    <w:rsid w:val="00CF6AA9"/>
    <w:rsid w:val="00CF6AC9"/>
    <w:rsid w:val="00CF6AD2"/>
    <w:rsid w:val="00CF6B04"/>
    <w:rsid w:val="00CF6B0B"/>
    <w:rsid w:val="00CF6B16"/>
    <w:rsid w:val="00CF6B1C"/>
    <w:rsid w:val="00CF6B4E"/>
    <w:rsid w:val="00CF6B5C"/>
    <w:rsid w:val="00CF6B76"/>
    <w:rsid w:val="00CF6B7D"/>
    <w:rsid w:val="00CF6BD4"/>
    <w:rsid w:val="00CF6BD5"/>
    <w:rsid w:val="00CF6BF6"/>
    <w:rsid w:val="00CF6C0C"/>
    <w:rsid w:val="00CF6C24"/>
    <w:rsid w:val="00CF6C59"/>
    <w:rsid w:val="00CF6CCD"/>
    <w:rsid w:val="00CF6CEA"/>
    <w:rsid w:val="00CF6D03"/>
    <w:rsid w:val="00CF6D21"/>
    <w:rsid w:val="00CF6D73"/>
    <w:rsid w:val="00CF6DBD"/>
    <w:rsid w:val="00CF6DE5"/>
    <w:rsid w:val="00CF6DEC"/>
    <w:rsid w:val="00CF6E61"/>
    <w:rsid w:val="00CF6E72"/>
    <w:rsid w:val="00CF6E7A"/>
    <w:rsid w:val="00CF6E7C"/>
    <w:rsid w:val="00CF6F03"/>
    <w:rsid w:val="00CF6F3C"/>
    <w:rsid w:val="00CF6F3D"/>
    <w:rsid w:val="00CF6F61"/>
    <w:rsid w:val="00CF6F68"/>
    <w:rsid w:val="00CF6F70"/>
    <w:rsid w:val="00CF701B"/>
    <w:rsid w:val="00CF7031"/>
    <w:rsid w:val="00CF705D"/>
    <w:rsid w:val="00CF7065"/>
    <w:rsid w:val="00CF7076"/>
    <w:rsid w:val="00CF70AD"/>
    <w:rsid w:val="00CF7116"/>
    <w:rsid w:val="00CF711E"/>
    <w:rsid w:val="00CF712F"/>
    <w:rsid w:val="00CF7187"/>
    <w:rsid w:val="00CF71AF"/>
    <w:rsid w:val="00CF7217"/>
    <w:rsid w:val="00CF72A3"/>
    <w:rsid w:val="00CF72BC"/>
    <w:rsid w:val="00CF72C3"/>
    <w:rsid w:val="00CF731A"/>
    <w:rsid w:val="00CF732F"/>
    <w:rsid w:val="00CF7342"/>
    <w:rsid w:val="00CF7376"/>
    <w:rsid w:val="00CF73AF"/>
    <w:rsid w:val="00CF73C5"/>
    <w:rsid w:val="00CF73CC"/>
    <w:rsid w:val="00CF73D2"/>
    <w:rsid w:val="00CF73D8"/>
    <w:rsid w:val="00CF73F7"/>
    <w:rsid w:val="00CF73FC"/>
    <w:rsid w:val="00CF73FD"/>
    <w:rsid w:val="00CF742A"/>
    <w:rsid w:val="00CF7446"/>
    <w:rsid w:val="00CF7476"/>
    <w:rsid w:val="00CF7522"/>
    <w:rsid w:val="00CF7535"/>
    <w:rsid w:val="00CF7542"/>
    <w:rsid w:val="00CF755E"/>
    <w:rsid w:val="00CF75A8"/>
    <w:rsid w:val="00CF75BE"/>
    <w:rsid w:val="00CF75DC"/>
    <w:rsid w:val="00CF762B"/>
    <w:rsid w:val="00CF762E"/>
    <w:rsid w:val="00CF7643"/>
    <w:rsid w:val="00CF76A2"/>
    <w:rsid w:val="00CF76CD"/>
    <w:rsid w:val="00CF7715"/>
    <w:rsid w:val="00CF7737"/>
    <w:rsid w:val="00CF774A"/>
    <w:rsid w:val="00CF776D"/>
    <w:rsid w:val="00CF78CC"/>
    <w:rsid w:val="00CF7931"/>
    <w:rsid w:val="00CF7940"/>
    <w:rsid w:val="00CF796A"/>
    <w:rsid w:val="00CF796E"/>
    <w:rsid w:val="00CF798E"/>
    <w:rsid w:val="00CF79A4"/>
    <w:rsid w:val="00CF79BC"/>
    <w:rsid w:val="00CF79C8"/>
    <w:rsid w:val="00CF79CB"/>
    <w:rsid w:val="00CF7A03"/>
    <w:rsid w:val="00CF7A2D"/>
    <w:rsid w:val="00CF7A5C"/>
    <w:rsid w:val="00CF7AAA"/>
    <w:rsid w:val="00CF7ABA"/>
    <w:rsid w:val="00CF7AC8"/>
    <w:rsid w:val="00CF7AC9"/>
    <w:rsid w:val="00CF7ACD"/>
    <w:rsid w:val="00CF7AD8"/>
    <w:rsid w:val="00CF7AF5"/>
    <w:rsid w:val="00CF7B0D"/>
    <w:rsid w:val="00CF7B2E"/>
    <w:rsid w:val="00CF7BF1"/>
    <w:rsid w:val="00CF7C4B"/>
    <w:rsid w:val="00CF7C5A"/>
    <w:rsid w:val="00CF7C66"/>
    <w:rsid w:val="00CF7C81"/>
    <w:rsid w:val="00CF7CBF"/>
    <w:rsid w:val="00CF7D52"/>
    <w:rsid w:val="00CF7DCB"/>
    <w:rsid w:val="00CF7E5A"/>
    <w:rsid w:val="00CF7E78"/>
    <w:rsid w:val="00CF7ECB"/>
    <w:rsid w:val="00CF7EE6"/>
    <w:rsid w:val="00CF7F7D"/>
    <w:rsid w:val="00CF7FA9"/>
    <w:rsid w:val="00CF7FDA"/>
    <w:rsid w:val="00D00035"/>
    <w:rsid w:val="00D00041"/>
    <w:rsid w:val="00D0005A"/>
    <w:rsid w:val="00D00065"/>
    <w:rsid w:val="00D00082"/>
    <w:rsid w:val="00D00094"/>
    <w:rsid w:val="00D000A9"/>
    <w:rsid w:val="00D0010C"/>
    <w:rsid w:val="00D00160"/>
    <w:rsid w:val="00D00170"/>
    <w:rsid w:val="00D00231"/>
    <w:rsid w:val="00D0026F"/>
    <w:rsid w:val="00D0029E"/>
    <w:rsid w:val="00D0037C"/>
    <w:rsid w:val="00D003A1"/>
    <w:rsid w:val="00D003A8"/>
    <w:rsid w:val="00D003AF"/>
    <w:rsid w:val="00D00411"/>
    <w:rsid w:val="00D00449"/>
    <w:rsid w:val="00D00453"/>
    <w:rsid w:val="00D005A5"/>
    <w:rsid w:val="00D005F1"/>
    <w:rsid w:val="00D00617"/>
    <w:rsid w:val="00D0066B"/>
    <w:rsid w:val="00D006C0"/>
    <w:rsid w:val="00D006DD"/>
    <w:rsid w:val="00D006DE"/>
    <w:rsid w:val="00D006E2"/>
    <w:rsid w:val="00D006EF"/>
    <w:rsid w:val="00D006FB"/>
    <w:rsid w:val="00D00738"/>
    <w:rsid w:val="00D00742"/>
    <w:rsid w:val="00D007B1"/>
    <w:rsid w:val="00D007B7"/>
    <w:rsid w:val="00D007C4"/>
    <w:rsid w:val="00D007C7"/>
    <w:rsid w:val="00D007F9"/>
    <w:rsid w:val="00D00807"/>
    <w:rsid w:val="00D0082A"/>
    <w:rsid w:val="00D0085F"/>
    <w:rsid w:val="00D008F5"/>
    <w:rsid w:val="00D00922"/>
    <w:rsid w:val="00D0093C"/>
    <w:rsid w:val="00D00966"/>
    <w:rsid w:val="00D00988"/>
    <w:rsid w:val="00D0098E"/>
    <w:rsid w:val="00D009BC"/>
    <w:rsid w:val="00D00A01"/>
    <w:rsid w:val="00D00A42"/>
    <w:rsid w:val="00D00A7C"/>
    <w:rsid w:val="00D00B6D"/>
    <w:rsid w:val="00D00BE0"/>
    <w:rsid w:val="00D00BFE"/>
    <w:rsid w:val="00D00C34"/>
    <w:rsid w:val="00D00C39"/>
    <w:rsid w:val="00D00C53"/>
    <w:rsid w:val="00D00C9D"/>
    <w:rsid w:val="00D00CD4"/>
    <w:rsid w:val="00D00CDB"/>
    <w:rsid w:val="00D00D32"/>
    <w:rsid w:val="00D00D59"/>
    <w:rsid w:val="00D00D7B"/>
    <w:rsid w:val="00D00D92"/>
    <w:rsid w:val="00D00DC6"/>
    <w:rsid w:val="00D00DED"/>
    <w:rsid w:val="00D00E21"/>
    <w:rsid w:val="00D00E2F"/>
    <w:rsid w:val="00D00E8E"/>
    <w:rsid w:val="00D00E91"/>
    <w:rsid w:val="00D00F1E"/>
    <w:rsid w:val="00D00F4C"/>
    <w:rsid w:val="00D00F68"/>
    <w:rsid w:val="00D00F81"/>
    <w:rsid w:val="00D00F85"/>
    <w:rsid w:val="00D00F8C"/>
    <w:rsid w:val="00D00FBF"/>
    <w:rsid w:val="00D00FC7"/>
    <w:rsid w:val="00D00FE0"/>
    <w:rsid w:val="00D00FFF"/>
    <w:rsid w:val="00D01097"/>
    <w:rsid w:val="00D010A9"/>
    <w:rsid w:val="00D010C2"/>
    <w:rsid w:val="00D01120"/>
    <w:rsid w:val="00D01128"/>
    <w:rsid w:val="00D0117C"/>
    <w:rsid w:val="00D011A1"/>
    <w:rsid w:val="00D01200"/>
    <w:rsid w:val="00D01210"/>
    <w:rsid w:val="00D01253"/>
    <w:rsid w:val="00D012C4"/>
    <w:rsid w:val="00D012D7"/>
    <w:rsid w:val="00D012DD"/>
    <w:rsid w:val="00D012E8"/>
    <w:rsid w:val="00D0131C"/>
    <w:rsid w:val="00D01331"/>
    <w:rsid w:val="00D01332"/>
    <w:rsid w:val="00D01339"/>
    <w:rsid w:val="00D01357"/>
    <w:rsid w:val="00D01394"/>
    <w:rsid w:val="00D01408"/>
    <w:rsid w:val="00D014A9"/>
    <w:rsid w:val="00D0152D"/>
    <w:rsid w:val="00D01538"/>
    <w:rsid w:val="00D01550"/>
    <w:rsid w:val="00D0158A"/>
    <w:rsid w:val="00D015A2"/>
    <w:rsid w:val="00D015DC"/>
    <w:rsid w:val="00D01621"/>
    <w:rsid w:val="00D01630"/>
    <w:rsid w:val="00D0164C"/>
    <w:rsid w:val="00D01653"/>
    <w:rsid w:val="00D0165B"/>
    <w:rsid w:val="00D01676"/>
    <w:rsid w:val="00D0167C"/>
    <w:rsid w:val="00D01687"/>
    <w:rsid w:val="00D016A2"/>
    <w:rsid w:val="00D016C6"/>
    <w:rsid w:val="00D016C9"/>
    <w:rsid w:val="00D01728"/>
    <w:rsid w:val="00D01734"/>
    <w:rsid w:val="00D01736"/>
    <w:rsid w:val="00D0173F"/>
    <w:rsid w:val="00D01800"/>
    <w:rsid w:val="00D0180E"/>
    <w:rsid w:val="00D0193D"/>
    <w:rsid w:val="00D01954"/>
    <w:rsid w:val="00D0195E"/>
    <w:rsid w:val="00D0197C"/>
    <w:rsid w:val="00D019B7"/>
    <w:rsid w:val="00D019E5"/>
    <w:rsid w:val="00D019FB"/>
    <w:rsid w:val="00D01A4F"/>
    <w:rsid w:val="00D01A89"/>
    <w:rsid w:val="00D01AC0"/>
    <w:rsid w:val="00D01B04"/>
    <w:rsid w:val="00D01B24"/>
    <w:rsid w:val="00D01B56"/>
    <w:rsid w:val="00D01B61"/>
    <w:rsid w:val="00D01B6F"/>
    <w:rsid w:val="00D01BC2"/>
    <w:rsid w:val="00D01C13"/>
    <w:rsid w:val="00D01C1C"/>
    <w:rsid w:val="00D01C3A"/>
    <w:rsid w:val="00D01C92"/>
    <w:rsid w:val="00D01CA2"/>
    <w:rsid w:val="00D01CB6"/>
    <w:rsid w:val="00D01CC0"/>
    <w:rsid w:val="00D01CEE"/>
    <w:rsid w:val="00D01D61"/>
    <w:rsid w:val="00D01D89"/>
    <w:rsid w:val="00D01D90"/>
    <w:rsid w:val="00D01E03"/>
    <w:rsid w:val="00D01E3E"/>
    <w:rsid w:val="00D01E6A"/>
    <w:rsid w:val="00D01E85"/>
    <w:rsid w:val="00D01EB1"/>
    <w:rsid w:val="00D01EE2"/>
    <w:rsid w:val="00D01F7F"/>
    <w:rsid w:val="00D01FC2"/>
    <w:rsid w:val="00D01FD2"/>
    <w:rsid w:val="00D01FF8"/>
    <w:rsid w:val="00D02007"/>
    <w:rsid w:val="00D02030"/>
    <w:rsid w:val="00D0204C"/>
    <w:rsid w:val="00D02051"/>
    <w:rsid w:val="00D02069"/>
    <w:rsid w:val="00D0206E"/>
    <w:rsid w:val="00D020DD"/>
    <w:rsid w:val="00D020DF"/>
    <w:rsid w:val="00D020F2"/>
    <w:rsid w:val="00D0211B"/>
    <w:rsid w:val="00D021A9"/>
    <w:rsid w:val="00D0220B"/>
    <w:rsid w:val="00D0223B"/>
    <w:rsid w:val="00D0224F"/>
    <w:rsid w:val="00D0225A"/>
    <w:rsid w:val="00D02276"/>
    <w:rsid w:val="00D02309"/>
    <w:rsid w:val="00D0231E"/>
    <w:rsid w:val="00D02377"/>
    <w:rsid w:val="00D0238F"/>
    <w:rsid w:val="00D023A0"/>
    <w:rsid w:val="00D023E2"/>
    <w:rsid w:val="00D023E5"/>
    <w:rsid w:val="00D023F0"/>
    <w:rsid w:val="00D023FF"/>
    <w:rsid w:val="00D0243D"/>
    <w:rsid w:val="00D02551"/>
    <w:rsid w:val="00D02555"/>
    <w:rsid w:val="00D02588"/>
    <w:rsid w:val="00D02631"/>
    <w:rsid w:val="00D02660"/>
    <w:rsid w:val="00D026A2"/>
    <w:rsid w:val="00D026CA"/>
    <w:rsid w:val="00D0270B"/>
    <w:rsid w:val="00D0274E"/>
    <w:rsid w:val="00D02766"/>
    <w:rsid w:val="00D0276D"/>
    <w:rsid w:val="00D0280F"/>
    <w:rsid w:val="00D0282D"/>
    <w:rsid w:val="00D02840"/>
    <w:rsid w:val="00D02842"/>
    <w:rsid w:val="00D02880"/>
    <w:rsid w:val="00D028A5"/>
    <w:rsid w:val="00D028D9"/>
    <w:rsid w:val="00D02948"/>
    <w:rsid w:val="00D02996"/>
    <w:rsid w:val="00D029A5"/>
    <w:rsid w:val="00D02A59"/>
    <w:rsid w:val="00D02A88"/>
    <w:rsid w:val="00D02A96"/>
    <w:rsid w:val="00D02ADA"/>
    <w:rsid w:val="00D02B1B"/>
    <w:rsid w:val="00D02C44"/>
    <w:rsid w:val="00D02C48"/>
    <w:rsid w:val="00D02C7F"/>
    <w:rsid w:val="00D02C8D"/>
    <w:rsid w:val="00D02C9F"/>
    <w:rsid w:val="00D02CA1"/>
    <w:rsid w:val="00D02CBB"/>
    <w:rsid w:val="00D02CDA"/>
    <w:rsid w:val="00D02D09"/>
    <w:rsid w:val="00D02D81"/>
    <w:rsid w:val="00D02DBB"/>
    <w:rsid w:val="00D02E01"/>
    <w:rsid w:val="00D02E20"/>
    <w:rsid w:val="00D02E4A"/>
    <w:rsid w:val="00D02E72"/>
    <w:rsid w:val="00D02E7A"/>
    <w:rsid w:val="00D02E83"/>
    <w:rsid w:val="00D02E87"/>
    <w:rsid w:val="00D02ECF"/>
    <w:rsid w:val="00D02ED7"/>
    <w:rsid w:val="00D02EF1"/>
    <w:rsid w:val="00D02F8F"/>
    <w:rsid w:val="00D02FA7"/>
    <w:rsid w:val="00D02FB0"/>
    <w:rsid w:val="00D02FC0"/>
    <w:rsid w:val="00D02FCF"/>
    <w:rsid w:val="00D03055"/>
    <w:rsid w:val="00D0305D"/>
    <w:rsid w:val="00D030B7"/>
    <w:rsid w:val="00D030DD"/>
    <w:rsid w:val="00D0311D"/>
    <w:rsid w:val="00D0313B"/>
    <w:rsid w:val="00D03151"/>
    <w:rsid w:val="00D031D8"/>
    <w:rsid w:val="00D031F4"/>
    <w:rsid w:val="00D03234"/>
    <w:rsid w:val="00D0328E"/>
    <w:rsid w:val="00D03292"/>
    <w:rsid w:val="00D032AE"/>
    <w:rsid w:val="00D0333A"/>
    <w:rsid w:val="00D03359"/>
    <w:rsid w:val="00D033A8"/>
    <w:rsid w:val="00D033AA"/>
    <w:rsid w:val="00D033C3"/>
    <w:rsid w:val="00D034BA"/>
    <w:rsid w:val="00D03568"/>
    <w:rsid w:val="00D035B5"/>
    <w:rsid w:val="00D035CA"/>
    <w:rsid w:val="00D03605"/>
    <w:rsid w:val="00D03608"/>
    <w:rsid w:val="00D03627"/>
    <w:rsid w:val="00D0367E"/>
    <w:rsid w:val="00D03697"/>
    <w:rsid w:val="00D036B7"/>
    <w:rsid w:val="00D036EB"/>
    <w:rsid w:val="00D036FB"/>
    <w:rsid w:val="00D03798"/>
    <w:rsid w:val="00D037B4"/>
    <w:rsid w:val="00D037F6"/>
    <w:rsid w:val="00D0380A"/>
    <w:rsid w:val="00D03830"/>
    <w:rsid w:val="00D03846"/>
    <w:rsid w:val="00D03862"/>
    <w:rsid w:val="00D0387B"/>
    <w:rsid w:val="00D038DD"/>
    <w:rsid w:val="00D038F5"/>
    <w:rsid w:val="00D03935"/>
    <w:rsid w:val="00D0396B"/>
    <w:rsid w:val="00D0398E"/>
    <w:rsid w:val="00D039AF"/>
    <w:rsid w:val="00D03A08"/>
    <w:rsid w:val="00D03A12"/>
    <w:rsid w:val="00D03A28"/>
    <w:rsid w:val="00D03A32"/>
    <w:rsid w:val="00D03A81"/>
    <w:rsid w:val="00D03A90"/>
    <w:rsid w:val="00D03AA8"/>
    <w:rsid w:val="00D03AEA"/>
    <w:rsid w:val="00D03AF7"/>
    <w:rsid w:val="00D03AFA"/>
    <w:rsid w:val="00D03B51"/>
    <w:rsid w:val="00D03B6B"/>
    <w:rsid w:val="00D03BAB"/>
    <w:rsid w:val="00D03BD3"/>
    <w:rsid w:val="00D03C17"/>
    <w:rsid w:val="00D03C26"/>
    <w:rsid w:val="00D03C45"/>
    <w:rsid w:val="00D03CB3"/>
    <w:rsid w:val="00D03CF3"/>
    <w:rsid w:val="00D03D06"/>
    <w:rsid w:val="00D03D22"/>
    <w:rsid w:val="00D03D3C"/>
    <w:rsid w:val="00D03DA1"/>
    <w:rsid w:val="00D03DA6"/>
    <w:rsid w:val="00D03DD0"/>
    <w:rsid w:val="00D03DD2"/>
    <w:rsid w:val="00D03DD7"/>
    <w:rsid w:val="00D03E64"/>
    <w:rsid w:val="00D03E6F"/>
    <w:rsid w:val="00D03EA4"/>
    <w:rsid w:val="00D03EB6"/>
    <w:rsid w:val="00D03EBA"/>
    <w:rsid w:val="00D03EFB"/>
    <w:rsid w:val="00D03F09"/>
    <w:rsid w:val="00D03F1B"/>
    <w:rsid w:val="00D03F32"/>
    <w:rsid w:val="00D03F52"/>
    <w:rsid w:val="00D03F67"/>
    <w:rsid w:val="00D03F81"/>
    <w:rsid w:val="00D03FB1"/>
    <w:rsid w:val="00D04012"/>
    <w:rsid w:val="00D04034"/>
    <w:rsid w:val="00D0404A"/>
    <w:rsid w:val="00D04063"/>
    <w:rsid w:val="00D040B5"/>
    <w:rsid w:val="00D040C1"/>
    <w:rsid w:val="00D04103"/>
    <w:rsid w:val="00D041A4"/>
    <w:rsid w:val="00D041D7"/>
    <w:rsid w:val="00D041F9"/>
    <w:rsid w:val="00D04215"/>
    <w:rsid w:val="00D0428C"/>
    <w:rsid w:val="00D042F4"/>
    <w:rsid w:val="00D0430B"/>
    <w:rsid w:val="00D04361"/>
    <w:rsid w:val="00D04363"/>
    <w:rsid w:val="00D0437B"/>
    <w:rsid w:val="00D04398"/>
    <w:rsid w:val="00D043AA"/>
    <w:rsid w:val="00D043B8"/>
    <w:rsid w:val="00D04408"/>
    <w:rsid w:val="00D0446D"/>
    <w:rsid w:val="00D04510"/>
    <w:rsid w:val="00D04524"/>
    <w:rsid w:val="00D0454B"/>
    <w:rsid w:val="00D04572"/>
    <w:rsid w:val="00D04678"/>
    <w:rsid w:val="00D0467F"/>
    <w:rsid w:val="00D0473B"/>
    <w:rsid w:val="00D04747"/>
    <w:rsid w:val="00D04751"/>
    <w:rsid w:val="00D04789"/>
    <w:rsid w:val="00D0486F"/>
    <w:rsid w:val="00D04937"/>
    <w:rsid w:val="00D04959"/>
    <w:rsid w:val="00D0497B"/>
    <w:rsid w:val="00D049A3"/>
    <w:rsid w:val="00D049A6"/>
    <w:rsid w:val="00D049F7"/>
    <w:rsid w:val="00D04A40"/>
    <w:rsid w:val="00D04A80"/>
    <w:rsid w:val="00D04AA8"/>
    <w:rsid w:val="00D04AE6"/>
    <w:rsid w:val="00D04B48"/>
    <w:rsid w:val="00D04B59"/>
    <w:rsid w:val="00D04B5B"/>
    <w:rsid w:val="00D04BF3"/>
    <w:rsid w:val="00D04C29"/>
    <w:rsid w:val="00D04C3D"/>
    <w:rsid w:val="00D04C4F"/>
    <w:rsid w:val="00D04C80"/>
    <w:rsid w:val="00D04C98"/>
    <w:rsid w:val="00D04CA0"/>
    <w:rsid w:val="00D04CCE"/>
    <w:rsid w:val="00D04CF2"/>
    <w:rsid w:val="00D04D52"/>
    <w:rsid w:val="00D04D59"/>
    <w:rsid w:val="00D04DA8"/>
    <w:rsid w:val="00D04DD3"/>
    <w:rsid w:val="00D04DD4"/>
    <w:rsid w:val="00D04E73"/>
    <w:rsid w:val="00D04ECE"/>
    <w:rsid w:val="00D04ED4"/>
    <w:rsid w:val="00D04EFC"/>
    <w:rsid w:val="00D04F01"/>
    <w:rsid w:val="00D04F24"/>
    <w:rsid w:val="00D04F83"/>
    <w:rsid w:val="00D04FA8"/>
    <w:rsid w:val="00D04FC8"/>
    <w:rsid w:val="00D05029"/>
    <w:rsid w:val="00D0502D"/>
    <w:rsid w:val="00D05062"/>
    <w:rsid w:val="00D05073"/>
    <w:rsid w:val="00D050A3"/>
    <w:rsid w:val="00D05138"/>
    <w:rsid w:val="00D051FB"/>
    <w:rsid w:val="00D05200"/>
    <w:rsid w:val="00D05268"/>
    <w:rsid w:val="00D0529E"/>
    <w:rsid w:val="00D052EF"/>
    <w:rsid w:val="00D0530F"/>
    <w:rsid w:val="00D05326"/>
    <w:rsid w:val="00D05377"/>
    <w:rsid w:val="00D053A0"/>
    <w:rsid w:val="00D053A1"/>
    <w:rsid w:val="00D053C7"/>
    <w:rsid w:val="00D053E5"/>
    <w:rsid w:val="00D05406"/>
    <w:rsid w:val="00D05491"/>
    <w:rsid w:val="00D054B9"/>
    <w:rsid w:val="00D05501"/>
    <w:rsid w:val="00D05548"/>
    <w:rsid w:val="00D05582"/>
    <w:rsid w:val="00D055B7"/>
    <w:rsid w:val="00D055BF"/>
    <w:rsid w:val="00D055F5"/>
    <w:rsid w:val="00D0560B"/>
    <w:rsid w:val="00D0570C"/>
    <w:rsid w:val="00D05720"/>
    <w:rsid w:val="00D05770"/>
    <w:rsid w:val="00D05786"/>
    <w:rsid w:val="00D057BE"/>
    <w:rsid w:val="00D057FF"/>
    <w:rsid w:val="00D0581C"/>
    <w:rsid w:val="00D05888"/>
    <w:rsid w:val="00D05890"/>
    <w:rsid w:val="00D0596E"/>
    <w:rsid w:val="00D059F8"/>
    <w:rsid w:val="00D05A1A"/>
    <w:rsid w:val="00D05A24"/>
    <w:rsid w:val="00D05A90"/>
    <w:rsid w:val="00D05AAF"/>
    <w:rsid w:val="00D05AC0"/>
    <w:rsid w:val="00D05ADB"/>
    <w:rsid w:val="00D05AFC"/>
    <w:rsid w:val="00D05B12"/>
    <w:rsid w:val="00D05B4F"/>
    <w:rsid w:val="00D05B56"/>
    <w:rsid w:val="00D05B95"/>
    <w:rsid w:val="00D05B9A"/>
    <w:rsid w:val="00D05C59"/>
    <w:rsid w:val="00D05C5C"/>
    <w:rsid w:val="00D05C9E"/>
    <w:rsid w:val="00D05CA1"/>
    <w:rsid w:val="00D05CB0"/>
    <w:rsid w:val="00D05CCB"/>
    <w:rsid w:val="00D05D38"/>
    <w:rsid w:val="00D05D7C"/>
    <w:rsid w:val="00D05D7E"/>
    <w:rsid w:val="00D05D89"/>
    <w:rsid w:val="00D05DBE"/>
    <w:rsid w:val="00D05DC3"/>
    <w:rsid w:val="00D05DD5"/>
    <w:rsid w:val="00D05DFC"/>
    <w:rsid w:val="00D05E2C"/>
    <w:rsid w:val="00D05E67"/>
    <w:rsid w:val="00D05EBE"/>
    <w:rsid w:val="00D05F32"/>
    <w:rsid w:val="00D05F66"/>
    <w:rsid w:val="00D05F67"/>
    <w:rsid w:val="00D05F8E"/>
    <w:rsid w:val="00D05F9F"/>
    <w:rsid w:val="00D05FB8"/>
    <w:rsid w:val="00D05FE5"/>
    <w:rsid w:val="00D0605E"/>
    <w:rsid w:val="00D06061"/>
    <w:rsid w:val="00D0608A"/>
    <w:rsid w:val="00D060C2"/>
    <w:rsid w:val="00D060CF"/>
    <w:rsid w:val="00D060F9"/>
    <w:rsid w:val="00D060FB"/>
    <w:rsid w:val="00D06117"/>
    <w:rsid w:val="00D06160"/>
    <w:rsid w:val="00D06193"/>
    <w:rsid w:val="00D061C5"/>
    <w:rsid w:val="00D06215"/>
    <w:rsid w:val="00D0624C"/>
    <w:rsid w:val="00D06264"/>
    <w:rsid w:val="00D062F0"/>
    <w:rsid w:val="00D06306"/>
    <w:rsid w:val="00D063AE"/>
    <w:rsid w:val="00D0647A"/>
    <w:rsid w:val="00D064E4"/>
    <w:rsid w:val="00D064E6"/>
    <w:rsid w:val="00D064F0"/>
    <w:rsid w:val="00D06593"/>
    <w:rsid w:val="00D065F1"/>
    <w:rsid w:val="00D065FC"/>
    <w:rsid w:val="00D066E9"/>
    <w:rsid w:val="00D066ED"/>
    <w:rsid w:val="00D06702"/>
    <w:rsid w:val="00D06784"/>
    <w:rsid w:val="00D067AC"/>
    <w:rsid w:val="00D067B6"/>
    <w:rsid w:val="00D06818"/>
    <w:rsid w:val="00D0683F"/>
    <w:rsid w:val="00D0689B"/>
    <w:rsid w:val="00D068A9"/>
    <w:rsid w:val="00D068E6"/>
    <w:rsid w:val="00D0690E"/>
    <w:rsid w:val="00D06923"/>
    <w:rsid w:val="00D06974"/>
    <w:rsid w:val="00D069AC"/>
    <w:rsid w:val="00D069F4"/>
    <w:rsid w:val="00D06A09"/>
    <w:rsid w:val="00D06A27"/>
    <w:rsid w:val="00D06A38"/>
    <w:rsid w:val="00D06AE9"/>
    <w:rsid w:val="00D06B06"/>
    <w:rsid w:val="00D06B0E"/>
    <w:rsid w:val="00D06B28"/>
    <w:rsid w:val="00D06B36"/>
    <w:rsid w:val="00D06B9E"/>
    <w:rsid w:val="00D06BAA"/>
    <w:rsid w:val="00D06C06"/>
    <w:rsid w:val="00D06C19"/>
    <w:rsid w:val="00D06C43"/>
    <w:rsid w:val="00D06C68"/>
    <w:rsid w:val="00D06C86"/>
    <w:rsid w:val="00D06D33"/>
    <w:rsid w:val="00D06D6F"/>
    <w:rsid w:val="00D06DE7"/>
    <w:rsid w:val="00D06DEE"/>
    <w:rsid w:val="00D06E0E"/>
    <w:rsid w:val="00D06E4D"/>
    <w:rsid w:val="00D06E53"/>
    <w:rsid w:val="00D06E8B"/>
    <w:rsid w:val="00D06E95"/>
    <w:rsid w:val="00D06EC2"/>
    <w:rsid w:val="00D06EC3"/>
    <w:rsid w:val="00D06EF6"/>
    <w:rsid w:val="00D06F13"/>
    <w:rsid w:val="00D06F41"/>
    <w:rsid w:val="00D06F72"/>
    <w:rsid w:val="00D06F80"/>
    <w:rsid w:val="00D06FF7"/>
    <w:rsid w:val="00D070A7"/>
    <w:rsid w:val="00D07101"/>
    <w:rsid w:val="00D0710D"/>
    <w:rsid w:val="00D0710F"/>
    <w:rsid w:val="00D07183"/>
    <w:rsid w:val="00D071DE"/>
    <w:rsid w:val="00D071E1"/>
    <w:rsid w:val="00D0721D"/>
    <w:rsid w:val="00D07221"/>
    <w:rsid w:val="00D0723B"/>
    <w:rsid w:val="00D07264"/>
    <w:rsid w:val="00D07372"/>
    <w:rsid w:val="00D073E1"/>
    <w:rsid w:val="00D07429"/>
    <w:rsid w:val="00D07482"/>
    <w:rsid w:val="00D074BF"/>
    <w:rsid w:val="00D074D2"/>
    <w:rsid w:val="00D074DF"/>
    <w:rsid w:val="00D074F9"/>
    <w:rsid w:val="00D07520"/>
    <w:rsid w:val="00D07523"/>
    <w:rsid w:val="00D07558"/>
    <w:rsid w:val="00D07568"/>
    <w:rsid w:val="00D07587"/>
    <w:rsid w:val="00D0758A"/>
    <w:rsid w:val="00D075A4"/>
    <w:rsid w:val="00D075B5"/>
    <w:rsid w:val="00D075B8"/>
    <w:rsid w:val="00D075D2"/>
    <w:rsid w:val="00D075D4"/>
    <w:rsid w:val="00D07631"/>
    <w:rsid w:val="00D0763D"/>
    <w:rsid w:val="00D076C9"/>
    <w:rsid w:val="00D076D4"/>
    <w:rsid w:val="00D076E1"/>
    <w:rsid w:val="00D076E8"/>
    <w:rsid w:val="00D07726"/>
    <w:rsid w:val="00D07746"/>
    <w:rsid w:val="00D0777A"/>
    <w:rsid w:val="00D07793"/>
    <w:rsid w:val="00D077DD"/>
    <w:rsid w:val="00D077F1"/>
    <w:rsid w:val="00D0780E"/>
    <w:rsid w:val="00D07871"/>
    <w:rsid w:val="00D078B2"/>
    <w:rsid w:val="00D078D6"/>
    <w:rsid w:val="00D078F9"/>
    <w:rsid w:val="00D0791C"/>
    <w:rsid w:val="00D07951"/>
    <w:rsid w:val="00D0798C"/>
    <w:rsid w:val="00D079A7"/>
    <w:rsid w:val="00D079AA"/>
    <w:rsid w:val="00D079BD"/>
    <w:rsid w:val="00D079FC"/>
    <w:rsid w:val="00D07A23"/>
    <w:rsid w:val="00D07A41"/>
    <w:rsid w:val="00D07A46"/>
    <w:rsid w:val="00D07A6F"/>
    <w:rsid w:val="00D07A8D"/>
    <w:rsid w:val="00D07AEF"/>
    <w:rsid w:val="00D07B05"/>
    <w:rsid w:val="00D07B66"/>
    <w:rsid w:val="00D07B7E"/>
    <w:rsid w:val="00D07B82"/>
    <w:rsid w:val="00D07C37"/>
    <w:rsid w:val="00D07C98"/>
    <w:rsid w:val="00D07C9D"/>
    <w:rsid w:val="00D07CA3"/>
    <w:rsid w:val="00D07CAA"/>
    <w:rsid w:val="00D07CB1"/>
    <w:rsid w:val="00D07D08"/>
    <w:rsid w:val="00D07D14"/>
    <w:rsid w:val="00D07DC2"/>
    <w:rsid w:val="00D07E07"/>
    <w:rsid w:val="00D07E18"/>
    <w:rsid w:val="00D07E2D"/>
    <w:rsid w:val="00D07E39"/>
    <w:rsid w:val="00D07E5E"/>
    <w:rsid w:val="00D07E64"/>
    <w:rsid w:val="00D07E8E"/>
    <w:rsid w:val="00D07EA8"/>
    <w:rsid w:val="00D07F74"/>
    <w:rsid w:val="00D07F7D"/>
    <w:rsid w:val="00D07FBD"/>
    <w:rsid w:val="00D07FBE"/>
    <w:rsid w:val="00D07FE2"/>
    <w:rsid w:val="00D10019"/>
    <w:rsid w:val="00D10047"/>
    <w:rsid w:val="00D10056"/>
    <w:rsid w:val="00D10074"/>
    <w:rsid w:val="00D100BD"/>
    <w:rsid w:val="00D100C4"/>
    <w:rsid w:val="00D10108"/>
    <w:rsid w:val="00D10184"/>
    <w:rsid w:val="00D10189"/>
    <w:rsid w:val="00D1018E"/>
    <w:rsid w:val="00D10192"/>
    <w:rsid w:val="00D1019B"/>
    <w:rsid w:val="00D1019F"/>
    <w:rsid w:val="00D101CC"/>
    <w:rsid w:val="00D101F7"/>
    <w:rsid w:val="00D1021F"/>
    <w:rsid w:val="00D10278"/>
    <w:rsid w:val="00D10285"/>
    <w:rsid w:val="00D10294"/>
    <w:rsid w:val="00D102D7"/>
    <w:rsid w:val="00D102DB"/>
    <w:rsid w:val="00D10348"/>
    <w:rsid w:val="00D1037B"/>
    <w:rsid w:val="00D103D8"/>
    <w:rsid w:val="00D103EF"/>
    <w:rsid w:val="00D10441"/>
    <w:rsid w:val="00D1049D"/>
    <w:rsid w:val="00D10503"/>
    <w:rsid w:val="00D10504"/>
    <w:rsid w:val="00D1051C"/>
    <w:rsid w:val="00D105AF"/>
    <w:rsid w:val="00D105BF"/>
    <w:rsid w:val="00D10646"/>
    <w:rsid w:val="00D106A6"/>
    <w:rsid w:val="00D106B8"/>
    <w:rsid w:val="00D106CE"/>
    <w:rsid w:val="00D106D8"/>
    <w:rsid w:val="00D1072B"/>
    <w:rsid w:val="00D1076D"/>
    <w:rsid w:val="00D1077E"/>
    <w:rsid w:val="00D107B4"/>
    <w:rsid w:val="00D10890"/>
    <w:rsid w:val="00D10894"/>
    <w:rsid w:val="00D1089B"/>
    <w:rsid w:val="00D1090D"/>
    <w:rsid w:val="00D1090E"/>
    <w:rsid w:val="00D10910"/>
    <w:rsid w:val="00D10919"/>
    <w:rsid w:val="00D109CA"/>
    <w:rsid w:val="00D109DA"/>
    <w:rsid w:val="00D10A38"/>
    <w:rsid w:val="00D10A42"/>
    <w:rsid w:val="00D10A4F"/>
    <w:rsid w:val="00D10A56"/>
    <w:rsid w:val="00D10A67"/>
    <w:rsid w:val="00D10A74"/>
    <w:rsid w:val="00D10A7D"/>
    <w:rsid w:val="00D10A98"/>
    <w:rsid w:val="00D10A9E"/>
    <w:rsid w:val="00D10AF3"/>
    <w:rsid w:val="00D10B02"/>
    <w:rsid w:val="00D10B2C"/>
    <w:rsid w:val="00D10B63"/>
    <w:rsid w:val="00D10B97"/>
    <w:rsid w:val="00D10BB2"/>
    <w:rsid w:val="00D10BEE"/>
    <w:rsid w:val="00D10C1F"/>
    <w:rsid w:val="00D10C32"/>
    <w:rsid w:val="00D10CA3"/>
    <w:rsid w:val="00D10CAD"/>
    <w:rsid w:val="00D10CBB"/>
    <w:rsid w:val="00D10D2B"/>
    <w:rsid w:val="00D10D8C"/>
    <w:rsid w:val="00D10D8F"/>
    <w:rsid w:val="00D10DAC"/>
    <w:rsid w:val="00D10E1F"/>
    <w:rsid w:val="00D10F9A"/>
    <w:rsid w:val="00D1105B"/>
    <w:rsid w:val="00D110C4"/>
    <w:rsid w:val="00D1111F"/>
    <w:rsid w:val="00D1112F"/>
    <w:rsid w:val="00D111CA"/>
    <w:rsid w:val="00D111E0"/>
    <w:rsid w:val="00D1129D"/>
    <w:rsid w:val="00D112CB"/>
    <w:rsid w:val="00D1130B"/>
    <w:rsid w:val="00D11353"/>
    <w:rsid w:val="00D113F3"/>
    <w:rsid w:val="00D113FF"/>
    <w:rsid w:val="00D11418"/>
    <w:rsid w:val="00D1142F"/>
    <w:rsid w:val="00D11452"/>
    <w:rsid w:val="00D1146C"/>
    <w:rsid w:val="00D11471"/>
    <w:rsid w:val="00D11493"/>
    <w:rsid w:val="00D114D4"/>
    <w:rsid w:val="00D1161F"/>
    <w:rsid w:val="00D1163E"/>
    <w:rsid w:val="00D1164C"/>
    <w:rsid w:val="00D11657"/>
    <w:rsid w:val="00D11703"/>
    <w:rsid w:val="00D1170D"/>
    <w:rsid w:val="00D1170F"/>
    <w:rsid w:val="00D11727"/>
    <w:rsid w:val="00D1175A"/>
    <w:rsid w:val="00D1177F"/>
    <w:rsid w:val="00D11839"/>
    <w:rsid w:val="00D1184D"/>
    <w:rsid w:val="00D11868"/>
    <w:rsid w:val="00D1188B"/>
    <w:rsid w:val="00D118B9"/>
    <w:rsid w:val="00D118F4"/>
    <w:rsid w:val="00D1191B"/>
    <w:rsid w:val="00D1198A"/>
    <w:rsid w:val="00D119A8"/>
    <w:rsid w:val="00D119AE"/>
    <w:rsid w:val="00D119CD"/>
    <w:rsid w:val="00D11A8A"/>
    <w:rsid w:val="00D11AB0"/>
    <w:rsid w:val="00D11AE4"/>
    <w:rsid w:val="00D11AF0"/>
    <w:rsid w:val="00D11B2E"/>
    <w:rsid w:val="00D11B3B"/>
    <w:rsid w:val="00D11B62"/>
    <w:rsid w:val="00D11B8A"/>
    <w:rsid w:val="00D11BF4"/>
    <w:rsid w:val="00D11BFD"/>
    <w:rsid w:val="00D11C1A"/>
    <w:rsid w:val="00D11C98"/>
    <w:rsid w:val="00D11CC2"/>
    <w:rsid w:val="00D11CD0"/>
    <w:rsid w:val="00D11CD1"/>
    <w:rsid w:val="00D11CD6"/>
    <w:rsid w:val="00D11CF3"/>
    <w:rsid w:val="00D11CF7"/>
    <w:rsid w:val="00D11D35"/>
    <w:rsid w:val="00D11DE8"/>
    <w:rsid w:val="00D11DEE"/>
    <w:rsid w:val="00D11E3F"/>
    <w:rsid w:val="00D11E4A"/>
    <w:rsid w:val="00D11E7F"/>
    <w:rsid w:val="00D11E8F"/>
    <w:rsid w:val="00D11ED6"/>
    <w:rsid w:val="00D11ED7"/>
    <w:rsid w:val="00D11ED9"/>
    <w:rsid w:val="00D11F4A"/>
    <w:rsid w:val="00D11F70"/>
    <w:rsid w:val="00D11F74"/>
    <w:rsid w:val="00D11F83"/>
    <w:rsid w:val="00D11FAA"/>
    <w:rsid w:val="00D12110"/>
    <w:rsid w:val="00D12122"/>
    <w:rsid w:val="00D1212B"/>
    <w:rsid w:val="00D1212E"/>
    <w:rsid w:val="00D12133"/>
    <w:rsid w:val="00D1213F"/>
    <w:rsid w:val="00D12172"/>
    <w:rsid w:val="00D12207"/>
    <w:rsid w:val="00D12243"/>
    <w:rsid w:val="00D122B0"/>
    <w:rsid w:val="00D12308"/>
    <w:rsid w:val="00D1231A"/>
    <w:rsid w:val="00D12327"/>
    <w:rsid w:val="00D123D4"/>
    <w:rsid w:val="00D1241B"/>
    <w:rsid w:val="00D1244D"/>
    <w:rsid w:val="00D12476"/>
    <w:rsid w:val="00D124C1"/>
    <w:rsid w:val="00D124C9"/>
    <w:rsid w:val="00D124DB"/>
    <w:rsid w:val="00D12517"/>
    <w:rsid w:val="00D12540"/>
    <w:rsid w:val="00D1255B"/>
    <w:rsid w:val="00D12592"/>
    <w:rsid w:val="00D125E8"/>
    <w:rsid w:val="00D1261D"/>
    <w:rsid w:val="00D12658"/>
    <w:rsid w:val="00D126A9"/>
    <w:rsid w:val="00D126BD"/>
    <w:rsid w:val="00D126D5"/>
    <w:rsid w:val="00D12708"/>
    <w:rsid w:val="00D1270E"/>
    <w:rsid w:val="00D12729"/>
    <w:rsid w:val="00D12747"/>
    <w:rsid w:val="00D1274C"/>
    <w:rsid w:val="00D1278F"/>
    <w:rsid w:val="00D12799"/>
    <w:rsid w:val="00D127FD"/>
    <w:rsid w:val="00D12824"/>
    <w:rsid w:val="00D1288F"/>
    <w:rsid w:val="00D128AC"/>
    <w:rsid w:val="00D128E9"/>
    <w:rsid w:val="00D12919"/>
    <w:rsid w:val="00D1292F"/>
    <w:rsid w:val="00D1294F"/>
    <w:rsid w:val="00D129A7"/>
    <w:rsid w:val="00D129C7"/>
    <w:rsid w:val="00D129DB"/>
    <w:rsid w:val="00D129FA"/>
    <w:rsid w:val="00D12AB0"/>
    <w:rsid w:val="00D12ADA"/>
    <w:rsid w:val="00D12B7F"/>
    <w:rsid w:val="00D12BF5"/>
    <w:rsid w:val="00D12C0B"/>
    <w:rsid w:val="00D12C2D"/>
    <w:rsid w:val="00D12C74"/>
    <w:rsid w:val="00D12C9D"/>
    <w:rsid w:val="00D12CB4"/>
    <w:rsid w:val="00D12CCB"/>
    <w:rsid w:val="00D12DE1"/>
    <w:rsid w:val="00D12E31"/>
    <w:rsid w:val="00D12E4B"/>
    <w:rsid w:val="00D12E57"/>
    <w:rsid w:val="00D12E5D"/>
    <w:rsid w:val="00D12EBE"/>
    <w:rsid w:val="00D12EC9"/>
    <w:rsid w:val="00D12EEF"/>
    <w:rsid w:val="00D12F41"/>
    <w:rsid w:val="00D12F7B"/>
    <w:rsid w:val="00D12FD1"/>
    <w:rsid w:val="00D12FD2"/>
    <w:rsid w:val="00D1300A"/>
    <w:rsid w:val="00D13053"/>
    <w:rsid w:val="00D1305F"/>
    <w:rsid w:val="00D130C3"/>
    <w:rsid w:val="00D130FC"/>
    <w:rsid w:val="00D13147"/>
    <w:rsid w:val="00D13154"/>
    <w:rsid w:val="00D131BB"/>
    <w:rsid w:val="00D131C6"/>
    <w:rsid w:val="00D13221"/>
    <w:rsid w:val="00D1323E"/>
    <w:rsid w:val="00D1324F"/>
    <w:rsid w:val="00D13272"/>
    <w:rsid w:val="00D13394"/>
    <w:rsid w:val="00D133D3"/>
    <w:rsid w:val="00D133DC"/>
    <w:rsid w:val="00D133F9"/>
    <w:rsid w:val="00D13421"/>
    <w:rsid w:val="00D1346A"/>
    <w:rsid w:val="00D134DC"/>
    <w:rsid w:val="00D134E6"/>
    <w:rsid w:val="00D134EA"/>
    <w:rsid w:val="00D13547"/>
    <w:rsid w:val="00D13599"/>
    <w:rsid w:val="00D13655"/>
    <w:rsid w:val="00D13663"/>
    <w:rsid w:val="00D136D2"/>
    <w:rsid w:val="00D136FC"/>
    <w:rsid w:val="00D13700"/>
    <w:rsid w:val="00D1371B"/>
    <w:rsid w:val="00D13730"/>
    <w:rsid w:val="00D1374D"/>
    <w:rsid w:val="00D1375B"/>
    <w:rsid w:val="00D137A3"/>
    <w:rsid w:val="00D137A7"/>
    <w:rsid w:val="00D137B3"/>
    <w:rsid w:val="00D137DB"/>
    <w:rsid w:val="00D13841"/>
    <w:rsid w:val="00D1384E"/>
    <w:rsid w:val="00D13855"/>
    <w:rsid w:val="00D13926"/>
    <w:rsid w:val="00D1393C"/>
    <w:rsid w:val="00D139F9"/>
    <w:rsid w:val="00D13AFB"/>
    <w:rsid w:val="00D13B06"/>
    <w:rsid w:val="00D13B45"/>
    <w:rsid w:val="00D13B85"/>
    <w:rsid w:val="00D13BDD"/>
    <w:rsid w:val="00D13C50"/>
    <w:rsid w:val="00D13C7A"/>
    <w:rsid w:val="00D13C83"/>
    <w:rsid w:val="00D13CAC"/>
    <w:rsid w:val="00D13CB1"/>
    <w:rsid w:val="00D13CF0"/>
    <w:rsid w:val="00D13D77"/>
    <w:rsid w:val="00D13D8E"/>
    <w:rsid w:val="00D13E34"/>
    <w:rsid w:val="00D13E77"/>
    <w:rsid w:val="00D13E91"/>
    <w:rsid w:val="00D13EB9"/>
    <w:rsid w:val="00D13F3E"/>
    <w:rsid w:val="00D13F52"/>
    <w:rsid w:val="00D13F6C"/>
    <w:rsid w:val="00D13F9B"/>
    <w:rsid w:val="00D13FF1"/>
    <w:rsid w:val="00D14000"/>
    <w:rsid w:val="00D14088"/>
    <w:rsid w:val="00D140BE"/>
    <w:rsid w:val="00D14117"/>
    <w:rsid w:val="00D1413C"/>
    <w:rsid w:val="00D14184"/>
    <w:rsid w:val="00D14197"/>
    <w:rsid w:val="00D1420E"/>
    <w:rsid w:val="00D1423B"/>
    <w:rsid w:val="00D1426E"/>
    <w:rsid w:val="00D14272"/>
    <w:rsid w:val="00D142D9"/>
    <w:rsid w:val="00D142E5"/>
    <w:rsid w:val="00D14355"/>
    <w:rsid w:val="00D143A9"/>
    <w:rsid w:val="00D143DD"/>
    <w:rsid w:val="00D14405"/>
    <w:rsid w:val="00D14475"/>
    <w:rsid w:val="00D14494"/>
    <w:rsid w:val="00D145D3"/>
    <w:rsid w:val="00D145DB"/>
    <w:rsid w:val="00D145EA"/>
    <w:rsid w:val="00D145F5"/>
    <w:rsid w:val="00D1460A"/>
    <w:rsid w:val="00D1462C"/>
    <w:rsid w:val="00D14691"/>
    <w:rsid w:val="00D146A9"/>
    <w:rsid w:val="00D146C3"/>
    <w:rsid w:val="00D146D3"/>
    <w:rsid w:val="00D146DC"/>
    <w:rsid w:val="00D14822"/>
    <w:rsid w:val="00D14848"/>
    <w:rsid w:val="00D1484E"/>
    <w:rsid w:val="00D14879"/>
    <w:rsid w:val="00D148DE"/>
    <w:rsid w:val="00D14922"/>
    <w:rsid w:val="00D14948"/>
    <w:rsid w:val="00D14952"/>
    <w:rsid w:val="00D14969"/>
    <w:rsid w:val="00D14999"/>
    <w:rsid w:val="00D149BA"/>
    <w:rsid w:val="00D149CB"/>
    <w:rsid w:val="00D14A29"/>
    <w:rsid w:val="00D14A37"/>
    <w:rsid w:val="00D14A67"/>
    <w:rsid w:val="00D14AA0"/>
    <w:rsid w:val="00D14AF7"/>
    <w:rsid w:val="00D14B00"/>
    <w:rsid w:val="00D14BD0"/>
    <w:rsid w:val="00D14BF7"/>
    <w:rsid w:val="00D14C3F"/>
    <w:rsid w:val="00D14C50"/>
    <w:rsid w:val="00D14C8E"/>
    <w:rsid w:val="00D14CB4"/>
    <w:rsid w:val="00D14E5C"/>
    <w:rsid w:val="00D14E61"/>
    <w:rsid w:val="00D14E74"/>
    <w:rsid w:val="00D14EBD"/>
    <w:rsid w:val="00D14ED6"/>
    <w:rsid w:val="00D14EF0"/>
    <w:rsid w:val="00D14F0E"/>
    <w:rsid w:val="00D14F4B"/>
    <w:rsid w:val="00D14F88"/>
    <w:rsid w:val="00D14FF5"/>
    <w:rsid w:val="00D15007"/>
    <w:rsid w:val="00D15161"/>
    <w:rsid w:val="00D15179"/>
    <w:rsid w:val="00D1518D"/>
    <w:rsid w:val="00D152D2"/>
    <w:rsid w:val="00D152EE"/>
    <w:rsid w:val="00D15303"/>
    <w:rsid w:val="00D15380"/>
    <w:rsid w:val="00D153C7"/>
    <w:rsid w:val="00D1540F"/>
    <w:rsid w:val="00D154D2"/>
    <w:rsid w:val="00D1550E"/>
    <w:rsid w:val="00D1553E"/>
    <w:rsid w:val="00D15544"/>
    <w:rsid w:val="00D1558C"/>
    <w:rsid w:val="00D155D2"/>
    <w:rsid w:val="00D1563E"/>
    <w:rsid w:val="00D15641"/>
    <w:rsid w:val="00D15701"/>
    <w:rsid w:val="00D15714"/>
    <w:rsid w:val="00D1572D"/>
    <w:rsid w:val="00D157C5"/>
    <w:rsid w:val="00D1585B"/>
    <w:rsid w:val="00D15879"/>
    <w:rsid w:val="00D158BF"/>
    <w:rsid w:val="00D158E0"/>
    <w:rsid w:val="00D15924"/>
    <w:rsid w:val="00D15936"/>
    <w:rsid w:val="00D1593E"/>
    <w:rsid w:val="00D1598D"/>
    <w:rsid w:val="00D159B0"/>
    <w:rsid w:val="00D159E4"/>
    <w:rsid w:val="00D15A36"/>
    <w:rsid w:val="00D15A7C"/>
    <w:rsid w:val="00D15A7F"/>
    <w:rsid w:val="00D15B34"/>
    <w:rsid w:val="00D15B35"/>
    <w:rsid w:val="00D15B50"/>
    <w:rsid w:val="00D15B6C"/>
    <w:rsid w:val="00D15BBB"/>
    <w:rsid w:val="00D15BBC"/>
    <w:rsid w:val="00D15BC9"/>
    <w:rsid w:val="00D15C20"/>
    <w:rsid w:val="00D15C5D"/>
    <w:rsid w:val="00D15C6E"/>
    <w:rsid w:val="00D15C96"/>
    <w:rsid w:val="00D15CDD"/>
    <w:rsid w:val="00D15CF3"/>
    <w:rsid w:val="00D15DD1"/>
    <w:rsid w:val="00D15DEF"/>
    <w:rsid w:val="00D15EA6"/>
    <w:rsid w:val="00D15ECA"/>
    <w:rsid w:val="00D15EE4"/>
    <w:rsid w:val="00D15F05"/>
    <w:rsid w:val="00D15F1C"/>
    <w:rsid w:val="00D15F5C"/>
    <w:rsid w:val="00D16002"/>
    <w:rsid w:val="00D16093"/>
    <w:rsid w:val="00D160B5"/>
    <w:rsid w:val="00D16127"/>
    <w:rsid w:val="00D161CE"/>
    <w:rsid w:val="00D162A4"/>
    <w:rsid w:val="00D162BF"/>
    <w:rsid w:val="00D162C5"/>
    <w:rsid w:val="00D1631E"/>
    <w:rsid w:val="00D16365"/>
    <w:rsid w:val="00D1637F"/>
    <w:rsid w:val="00D163B7"/>
    <w:rsid w:val="00D163C5"/>
    <w:rsid w:val="00D163D0"/>
    <w:rsid w:val="00D16407"/>
    <w:rsid w:val="00D16504"/>
    <w:rsid w:val="00D16550"/>
    <w:rsid w:val="00D165EB"/>
    <w:rsid w:val="00D16628"/>
    <w:rsid w:val="00D16665"/>
    <w:rsid w:val="00D166B4"/>
    <w:rsid w:val="00D16772"/>
    <w:rsid w:val="00D16808"/>
    <w:rsid w:val="00D16814"/>
    <w:rsid w:val="00D1682C"/>
    <w:rsid w:val="00D16867"/>
    <w:rsid w:val="00D1687B"/>
    <w:rsid w:val="00D168D9"/>
    <w:rsid w:val="00D16926"/>
    <w:rsid w:val="00D16990"/>
    <w:rsid w:val="00D16996"/>
    <w:rsid w:val="00D169AF"/>
    <w:rsid w:val="00D16A5F"/>
    <w:rsid w:val="00D16AAB"/>
    <w:rsid w:val="00D16AE8"/>
    <w:rsid w:val="00D16B36"/>
    <w:rsid w:val="00D16BB8"/>
    <w:rsid w:val="00D16BE2"/>
    <w:rsid w:val="00D16BE6"/>
    <w:rsid w:val="00D16C91"/>
    <w:rsid w:val="00D16D8E"/>
    <w:rsid w:val="00D16DB8"/>
    <w:rsid w:val="00D16DBF"/>
    <w:rsid w:val="00D16DD7"/>
    <w:rsid w:val="00D16DEC"/>
    <w:rsid w:val="00D16DFF"/>
    <w:rsid w:val="00D16E74"/>
    <w:rsid w:val="00D16E75"/>
    <w:rsid w:val="00D16E79"/>
    <w:rsid w:val="00D16E80"/>
    <w:rsid w:val="00D16E8E"/>
    <w:rsid w:val="00D16EB7"/>
    <w:rsid w:val="00D16F00"/>
    <w:rsid w:val="00D16F5E"/>
    <w:rsid w:val="00D16F90"/>
    <w:rsid w:val="00D16FAE"/>
    <w:rsid w:val="00D16FFB"/>
    <w:rsid w:val="00D17083"/>
    <w:rsid w:val="00D170A9"/>
    <w:rsid w:val="00D170D2"/>
    <w:rsid w:val="00D17124"/>
    <w:rsid w:val="00D1715C"/>
    <w:rsid w:val="00D171BC"/>
    <w:rsid w:val="00D171F3"/>
    <w:rsid w:val="00D17235"/>
    <w:rsid w:val="00D1724A"/>
    <w:rsid w:val="00D1727F"/>
    <w:rsid w:val="00D1729D"/>
    <w:rsid w:val="00D172C3"/>
    <w:rsid w:val="00D172CD"/>
    <w:rsid w:val="00D1733D"/>
    <w:rsid w:val="00D17363"/>
    <w:rsid w:val="00D173D7"/>
    <w:rsid w:val="00D173F6"/>
    <w:rsid w:val="00D173FF"/>
    <w:rsid w:val="00D1740A"/>
    <w:rsid w:val="00D17412"/>
    <w:rsid w:val="00D17494"/>
    <w:rsid w:val="00D174B6"/>
    <w:rsid w:val="00D174B8"/>
    <w:rsid w:val="00D174DF"/>
    <w:rsid w:val="00D174E6"/>
    <w:rsid w:val="00D1758D"/>
    <w:rsid w:val="00D17606"/>
    <w:rsid w:val="00D176B8"/>
    <w:rsid w:val="00D17740"/>
    <w:rsid w:val="00D17749"/>
    <w:rsid w:val="00D1787E"/>
    <w:rsid w:val="00D1789A"/>
    <w:rsid w:val="00D178D1"/>
    <w:rsid w:val="00D178D6"/>
    <w:rsid w:val="00D1790C"/>
    <w:rsid w:val="00D17913"/>
    <w:rsid w:val="00D17983"/>
    <w:rsid w:val="00D17997"/>
    <w:rsid w:val="00D17A4A"/>
    <w:rsid w:val="00D17A5B"/>
    <w:rsid w:val="00D17A64"/>
    <w:rsid w:val="00D17A95"/>
    <w:rsid w:val="00D17AB4"/>
    <w:rsid w:val="00D17B22"/>
    <w:rsid w:val="00D17B27"/>
    <w:rsid w:val="00D17B46"/>
    <w:rsid w:val="00D17B78"/>
    <w:rsid w:val="00D17BC0"/>
    <w:rsid w:val="00D17C08"/>
    <w:rsid w:val="00D17C26"/>
    <w:rsid w:val="00D17C67"/>
    <w:rsid w:val="00D17CDD"/>
    <w:rsid w:val="00D17D54"/>
    <w:rsid w:val="00D17D5A"/>
    <w:rsid w:val="00D17D5E"/>
    <w:rsid w:val="00D17DCC"/>
    <w:rsid w:val="00D17E36"/>
    <w:rsid w:val="00D17E74"/>
    <w:rsid w:val="00D17EAF"/>
    <w:rsid w:val="00D17ED8"/>
    <w:rsid w:val="00D17ED9"/>
    <w:rsid w:val="00D17EE5"/>
    <w:rsid w:val="00D17F1F"/>
    <w:rsid w:val="00D20007"/>
    <w:rsid w:val="00D2002E"/>
    <w:rsid w:val="00D2003D"/>
    <w:rsid w:val="00D20050"/>
    <w:rsid w:val="00D2007D"/>
    <w:rsid w:val="00D20114"/>
    <w:rsid w:val="00D20115"/>
    <w:rsid w:val="00D20127"/>
    <w:rsid w:val="00D20148"/>
    <w:rsid w:val="00D2015F"/>
    <w:rsid w:val="00D20199"/>
    <w:rsid w:val="00D201D8"/>
    <w:rsid w:val="00D202D9"/>
    <w:rsid w:val="00D20307"/>
    <w:rsid w:val="00D20384"/>
    <w:rsid w:val="00D2039B"/>
    <w:rsid w:val="00D20403"/>
    <w:rsid w:val="00D20455"/>
    <w:rsid w:val="00D20456"/>
    <w:rsid w:val="00D2045C"/>
    <w:rsid w:val="00D204E9"/>
    <w:rsid w:val="00D205D9"/>
    <w:rsid w:val="00D2064B"/>
    <w:rsid w:val="00D20685"/>
    <w:rsid w:val="00D2069B"/>
    <w:rsid w:val="00D206E4"/>
    <w:rsid w:val="00D20705"/>
    <w:rsid w:val="00D20743"/>
    <w:rsid w:val="00D2074C"/>
    <w:rsid w:val="00D20751"/>
    <w:rsid w:val="00D207ED"/>
    <w:rsid w:val="00D2081B"/>
    <w:rsid w:val="00D20823"/>
    <w:rsid w:val="00D2083F"/>
    <w:rsid w:val="00D20868"/>
    <w:rsid w:val="00D208B3"/>
    <w:rsid w:val="00D208D3"/>
    <w:rsid w:val="00D2095D"/>
    <w:rsid w:val="00D20A00"/>
    <w:rsid w:val="00D20A4E"/>
    <w:rsid w:val="00D20A5C"/>
    <w:rsid w:val="00D20AB0"/>
    <w:rsid w:val="00D20AD4"/>
    <w:rsid w:val="00D20B0C"/>
    <w:rsid w:val="00D20B1F"/>
    <w:rsid w:val="00D20B5F"/>
    <w:rsid w:val="00D20B82"/>
    <w:rsid w:val="00D20BCC"/>
    <w:rsid w:val="00D20BDD"/>
    <w:rsid w:val="00D20C10"/>
    <w:rsid w:val="00D20C23"/>
    <w:rsid w:val="00D20C2B"/>
    <w:rsid w:val="00D20C49"/>
    <w:rsid w:val="00D20C7D"/>
    <w:rsid w:val="00D20CC4"/>
    <w:rsid w:val="00D20CC9"/>
    <w:rsid w:val="00D20CCE"/>
    <w:rsid w:val="00D20CF0"/>
    <w:rsid w:val="00D20D58"/>
    <w:rsid w:val="00D20D6A"/>
    <w:rsid w:val="00D20DF3"/>
    <w:rsid w:val="00D20DF4"/>
    <w:rsid w:val="00D20E36"/>
    <w:rsid w:val="00D20E64"/>
    <w:rsid w:val="00D20E70"/>
    <w:rsid w:val="00D20EAF"/>
    <w:rsid w:val="00D20EBA"/>
    <w:rsid w:val="00D20EEC"/>
    <w:rsid w:val="00D20F12"/>
    <w:rsid w:val="00D20F6F"/>
    <w:rsid w:val="00D20FD2"/>
    <w:rsid w:val="00D20FF8"/>
    <w:rsid w:val="00D21054"/>
    <w:rsid w:val="00D21068"/>
    <w:rsid w:val="00D2112F"/>
    <w:rsid w:val="00D2115E"/>
    <w:rsid w:val="00D211A7"/>
    <w:rsid w:val="00D211D6"/>
    <w:rsid w:val="00D21221"/>
    <w:rsid w:val="00D2123A"/>
    <w:rsid w:val="00D21259"/>
    <w:rsid w:val="00D213B9"/>
    <w:rsid w:val="00D213DA"/>
    <w:rsid w:val="00D21406"/>
    <w:rsid w:val="00D2149A"/>
    <w:rsid w:val="00D214BF"/>
    <w:rsid w:val="00D21515"/>
    <w:rsid w:val="00D2154A"/>
    <w:rsid w:val="00D21552"/>
    <w:rsid w:val="00D21589"/>
    <w:rsid w:val="00D2158A"/>
    <w:rsid w:val="00D215D1"/>
    <w:rsid w:val="00D2162B"/>
    <w:rsid w:val="00D21646"/>
    <w:rsid w:val="00D21710"/>
    <w:rsid w:val="00D2172C"/>
    <w:rsid w:val="00D21774"/>
    <w:rsid w:val="00D21787"/>
    <w:rsid w:val="00D21816"/>
    <w:rsid w:val="00D21856"/>
    <w:rsid w:val="00D21869"/>
    <w:rsid w:val="00D21885"/>
    <w:rsid w:val="00D21930"/>
    <w:rsid w:val="00D2196F"/>
    <w:rsid w:val="00D21978"/>
    <w:rsid w:val="00D2198E"/>
    <w:rsid w:val="00D21A80"/>
    <w:rsid w:val="00D21AA8"/>
    <w:rsid w:val="00D21AA9"/>
    <w:rsid w:val="00D21AB7"/>
    <w:rsid w:val="00D21AC6"/>
    <w:rsid w:val="00D21B1F"/>
    <w:rsid w:val="00D21B89"/>
    <w:rsid w:val="00D21BAB"/>
    <w:rsid w:val="00D21BD7"/>
    <w:rsid w:val="00D21BE7"/>
    <w:rsid w:val="00D21CAC"/>
    <w:rsid w:val="00D21CC1"/>
    <w:rsid w:val="00D21CE0"/>
    <w:rsid w:val="00D21D42"/>
    <w:rsid w:val="00D21DC2"/>
    <w:rsid w:val="00D21DF5"/>
    <w:rsid w:val="00D21E54"/>
    <w:rsid w:val="00D21E61"/>
    <w:rsid w:val="00D21E68"/>
    <w:rsid w:val="00D21F5C"/>
    <w:rsid w:val="00D21F72"/>
    <w:rsid w:val="00D21FD8"/>
    <w:rsid w:val="00D21FDE"/>
    <w:rsid w:val="00D22029"/>
    <w:rsid w:val="00D2203B"/>
    <w:rsid w:val="00D2203E"/>
    <w:rsid w:val="00D22046"/>
    <w:rsid w:val="00D22061"/>
    <w:rsid w:val="00D2206F"/>
    <w:rsid w:val="00D22086"/>
    <w:rsid w:val="00D220AB"/>
    <w:rsid w:val="00D22116"/>
    <w:rsid w:val="00D22192"/>
    <w:rsid w:val="00D2219F"/>
    <w:rsid w:val="00D221C0"/>
    <w:rsid w:val="00D221CD"/>
    <w:rsid w:val="00D2223C"/>
    <w:rsid w:val="00D2224F"/>
    <w:rsid w:val="00D22268"/>
    <w:rsid w:val="00D2226E"/>
    <w:rsid w:val="00D222C6"/>
    <w:rsid w:val="00D222E2"/>
    <w:rsid w:val="00D22317"/>
    <w:rsid w:val="00D2235E"/>
    <w:rsid w:val="00D2236F"/>
    <w:rsid w:val="00D223A9"/>
    <w:rsid w:val="00D2240F"/>
    <w:rsid w:val="00D22422"/>
    <w:rsid w:val="00D22432"/>
    <w:rsid w:val="00D22438"/>
    <w:rsid w:val="00D22476"/>
    <w:rsid w:val="00D22499"/>
    <w:rsid w:val="00D224A6"/>
    <w:rsid w:val="00D224BB"/>
    <w:rsid w:val="00D224EA"/>
    <w:rsid w:val="00D2251A"/>
    <w:rsid w:val="00D225DC"/>
    <w:rsid w:val="00D225E3"/>
    <w:rsid w:val="00D225EC"/>
    <w:rsid w:val="00D225EF"/>
    <w:rsid w:val="00D2263B"/>
    <w:rsid w:val="00D2263C"/>
    <w:rsid w:val="00D2263E"/>
    <w:rsid w:val="00D2264D"/>
    <w:rsid w:val="00D2265E"/>
    <w:rsid w:val="00D226C2"/>
    <w:rsid w:val="00D226F5"/>
    <w:rsid w:val="00D227B1"/>
    <w:rsid w:val="00D227DC"/>
    <w:rsid w:val="00D227F4"/>
    <w:rsid w:val="00D22800"/>
    <w:rsid w:val="00D22893"/>
    <w:rsid w:val="00D228A8"/>
    <w:rsid w:val="00D228FB"/>
    <w:rsid w:val="00D22912"/>
    <w:rsid w:val="00D22914"/>
    <w:rsid w:val="00D22941"/>
    <w:rsid w:val="00D2297A"/>
    <w:rsid w:val="00D2297E"/>
    <w:rsid w:val="00D2299D"/>
    <w:rsid w:val="00D229D2"/>
    <w:rsid w:val="00D22A40"/>
    <w:rsid w:val="00D22A80"/>
    <w:rsid w:val="00D22AC4"/>
    <w:rsid w:val="00D22AED"/>
    <w:rsid w:val="00D22AF4"/>
    <w:rsid w:val="00D22B6A"/>
    <w:rsid w:val="00D22BE2"/>
    <w:rsid w:val="00D22BF8"/>
    <w:rsid w:val="00D22C11"/>
    <w:rsid w:val="00D22C40"/>
    <w:rsid w:val="00D22C78"/>
    <w:rsid w:val="00D22CBD"/>
    <w:rsid w:val="00D22D05"/>
    <w:rsid w:val="00D22D1B"/>
    <w:rsid w:val="00D22D34"/>
    <w:rsid w:val="00D22DB0"/>
    <w:rsid w:val="00D22E27"/>
    <w:rsid w:val="00D22E36"/>
    <w:rsid w:val="00D22E5C"/>
    <w:rsid w:val="00D22E8B"/>
    <w:rsid w:val="00D22E9E"/>
    <w:rsid w:val="00D22EBE"/>
    <w:rsid w:val="00D22ED3"/>
    <w:rsid w:val="00D22EE7"/>
    <w:rsid w:val="00D22EF2"/>
    <w:rsid w:val="00D23020"/>
    <w:rsid w:val="00D2303B"/>
    <w:rsid w:val="00D2304E"/>
    <w:rsid w:val="00D2304F"/>
    <w:rsid w:val="00D230A5"/>
    <w:rsid w:val="00D230AD"/>
    <w:rsid w:val="00D230C5"/>
    <w:rsid w:val="00D230E1"/>
    <w:rsid w:val="00D230E5"/>
    <w:rsid w:val="00D2312A"/>
    <w:rsid w:val="00D23132"/>
    <w:rsid w:val="00D23155"/>
    <w:rsid w:val="00D23156"/>
    <w:rsid w:val="00D2315F"/>
    <w:rsid w:val="00D23161"/>
    <w:rsid w:val="00D2317D"/>
    <w:rsid w:val="00D2317F"/>
    <w:rsid w:val="00D231E6"/>
    <w:rsid w:val="00D232D2"/>
    <w:rsid w:val="00D2335D"/>
    <w:rsid w:val="00D23362"/>
    <w:rsid w:val="00D2336B"/>
    <w:rsid w:val="00D23389"/>
    <w:rsid w:val="00D2340E"/>
    <w:rsid w:val="00D2341A"/>
    <w:rsid w:val="00D23430"/>
    <w:rsid w:val="00D23441"/>
    <w:rsid w:val="00D2345A"/>
    <w:rsid w:val="00D23483"/>
    <w:rsid w:val="00D234AA"/>
    <w:rsid w:val="00D234FD"/>
    <w:rsid w:val="00D234FF"/>
    <w:rsid w:val="00D2353D"/>
    <w:rsid w:val="00D2356C"/>
    <w:rsid w:val="00D235A5"/>
    <w:rsid w:val="00D235BB"/>
    <w:rsid w:val="00D23625"/>
    <w:rsid w:val="00D23672"/>
    <w:rsid w:val="00D23689"/>
    <w:rsid w:val="00D2368D"/>
    <w:rsid w:val="00D236A8"/>
    <w:rsid w:val="00D236AA"/>
    <w:rsid w:val="00D236D5"/>
    <w:rsid w:val="00D2370C"/>
    <w:rsid w:val="00D23711"/>
    <w:rsid w:val="00D23778"/>
    <w:rsid w:val="00D237DC"/>
    <w:rsid w:val="00D237F9"/>
    <w:rsid w:val="00D23833"/>
    <w:rsid w:val="00D23849"/>
    <w:rsid w:val="00D23850"/>
    <w:rsid w:val="00D2387D"/>
    <w:rsid w:val="00D238B2"/>
    <w:rsid w:val="00D238B6"/>
    <w:rsid w:val="00D238FA"/>
    <w:rsid w:val="00D23927"/>
    <w:rsid w:val="00D2393E"/>
    <w:rsid w:val="00D23941"/>
    <w:rsid w:val="00D2394E"/>
    <w:rsid w:val="00D23959"/>
    <w:rsid w:val="00D2399A"/>
    <w:rsid w:val="00D239F9"/>
    <w:rsid w:val="00D23A28"/>
    <w:rsid w:val="00D23A65"/>
    <w:rsid w:val="00D23AED"/>
    <w:rsid w:val="00D23B1D"/>
    <w:rsid w:val="00D23B37"/>
    <w:rsid w:val="00D23B39"/>
    <w:rsid w:val="00D23B3B"/>
    <w:rsid w:val="00D23B71"/>
    <w:rsid w:val="00D23B86"/>
    <w:rsid w:val="00D23C25"/>
    <w:rsid w:val="00D23C58"/>
    <w:rsid w:val="00D23CE0"/>
    <w:rsid w:val="00D23D47"/>
    <w:rsid w:val="00D23D56"/>
    <w:rsid w:val="00D23D64"/>
    <w:rsid w:val="00D23D7D"/>
    <w:rsid w:val="00D23D8D"/>
    <w:rsid w:val="00D23DC8"/>
    <w:rsid w:val="00D23DF2"/>
    <w:rsid w:val="00D23E2C"/>
    <w:rsid w:val="00D23E2D"/>
    <w:rsid w:val="00D23E35"/>
    <w:rsid w:val="00D23EB3"/>
    <w:rsid w:val="00D23ECA"/>
    <w:rsid w:val="00D23F43"/>
    <w:rsid w:val="00D24031"/>
    <w:rsid w:val="00D24051"/>
    <w:rsid w:val="00D24062"/>
    <w:rsid w:val="00D24069"/>
    <w:rsid w:val="00D240C5"/>
    <w:rsid w:val="00D240CC"/>
    <w:rsid w:val="00D24136"/>
    <w:rsid w:val="00D24157"/>
    <w:rsid w:val="00D241B1"/>
    <w:rsid w:val="00D241CB"/>
    <w:rsid w:val="00D2420C"/>
    <w:rsid w:val="00D2421D"/>
    <w:rsid w:val="00D2422A"/>
    <w:rsid w:val="00D24278"/>
    <w:rsid w:val="00D2427D"/>
    <w:rsid w:val="00D24283"/>
    <w:rsid w:val="00D242AA"/>
    <w:rsid w:val="00D242D1"/>
    <w:rsid w:val="00D242F5"/>
    <w:rsid w:val="00D24331"/>
    <w:rsid w:val="00D243D4"/>
    <w:rsid w:val="00D243F5"/>
    <w:rsid w:val="00D24439"/>
    <w:rsid w:val="00D24476"/>
    <w:rsid w:val="00D2449D"/>
    <w:rsid w:val="00D244DF"/>
    <w:rsid w:val="00D24561"/>
    <w:rsid w:val="00D245C3"/>
    <w:rsid w:val="00D245F4"/>
    <w:rsid w:val="00D2461D"/>
    <w:rsid w:val="00D2461E"/>
    <w:rsid w:val="00D2462B"/>
    <w:rsid w:val="00D24630"/>
    <w:rsid w:val="00D24677"/>
    <w:rsid w:val="00D246E9"/>
    <w:rsid w:val="00D24794"/>
    <w:rsid w:val="00D247D8"/>
    <w:rsid w:val="00D2480A"/>
    <w:rsid w:val="00D2481D"/>
    <w:rsid w:val="00D24848"/>
    <w:rsid w:val="00D24867"/>
    <w:rsid w:val="00D24892"/>
    <w:rsid w:val="00D24893"/>
    <w:rsid w:val="00D248AC"/>
    <w:rsid w:val="00D24940"/>
    <w:rsid w:val="00D2498B"/>
    <w:rsid w:val="00D24A08"/>
    <w:rsid w:val="00D24A5C"/>
    <w:rsid w:val="00D24AC7"/>
    <w:rsid w:val="00D24ADC"/>
    <w:rsid w:val="00D24B08"/>
    <w:rsid w:val="00D24B09"/>
    <w:rsid w:val="00D24B11"/>
    <w:rsid w:val="00D24B37"/>
    <w:rsid w:val="00D24B80"/>
    <w:rsid w:val="00D24B81"/>
    <w:rsid w:val="00D24B93"/>
    <w:rsid w:val="00D24BB5"/>
    <w:rsid w:val="00D24BD6"/>
    <w:rsid w:val="00D24C1E"/>
    <w:rsid w:val="00D24C79"/>
    <w:rsid w:val="00D24C7E"/>
    <w:rsid w:val="00D24CB5"/>
    <w:rsid w:val="00D24CBB"/>
    <w:rsid w:val="00D24CC6"/>
    <w:rsid w:val="00D24CDA"/>
    <w:rsid w:val="00D24D04"/>
    <w:rsid w:val="00D24D28"/>
    <w:rsid w:val="00D24D4A"/>
    <w:rsid w:val="00D24DF0"/>
    <w:rsid w:val="00D24EBF"/>
    <w:rsid w:val="00D24EC8"/>
    <w:rsid w:val="00D24F51"/>
    <w:rsid w:val="00D24F53"/>
    <w:rsid w:val="00D24F73"/>
    <w:rsid w:val="00D24FB7"/>
    <w:rsid w:val="00D24FEF"/>
    <w:rsid w:val="00D25072"/>
    <w:rsid w:val="00D2509A"/>
    <w:rsid w:val="00D250BE"/>
    <w:rsid w:val="00D250DB"/>
    <w:rsid w:val="00D25101"/>
    <w:rsid w:val="00D25108"/>
    <w:rsid w:val="00D2513E"/>
    <w:rsid w:val="00D25151"/>
    <w:rsid w:val="00D25158"/>
    <w:rsid w:val="00D2519A"/>
    <w:rsid w:val="00D2525E"/>
    <w:rsid w:val="00D2526C"/>
    <w:rsid w:val="00D25273"/>
    <w:rsid w:val="00D2529A"/>
    <w:rsid w:val="00D252DD"/>
    <w:rsid w:val="00D252E7"/>
    <w:rsid w:val="00D2532F"/>
    <w:rsid w:val="00D25379"/>
    <w:rsid w:val="00D2541A"/>
    <w:rsid w:val="00D2546A"/>
    <w:rsid w:val="00D2547E"/>
    <w:rsid w:val="00D254A6"/>
    <w:rsid w:val="00D2551B"/>
    <w:rsid w:val="00D25529"/>
    <w:rsid w:val="00D25554"/>
    <w:rsid w:val="00D2558F"/>
    <w:rsid w:val="00D25628"/>
    <w:rsid w:val="00D25634"/>
    <w:rsid w:val="00D25648"/>
    <w:rsid w:val="00D2566E"/>
    <w:rsid w:val="00D256A1"/>
    <w:rsid w:val="00D256A5"/>
    <w:rsid w:val="00D256A6"/>
    <w:rsid w:val="00D256BC"/>
    <w:rsid w:val="00D256FA"/>
    <w:rsid w:val="00D25788"/>
    <w:rsid w:val="00D257A6"/>
    <w:rsid w:val="00D25854"/>
    <w:rsid w:val="00D25869"/>
    <w:rsid w:val="00D25885"/>
    <w:rsid w:val="00D258A9"/>
    <w:rsid w:val="00D258AF"/>
    <w:rsid w:val="00D258BC"/>
    <w:rsid w:val="00D25928"/>
    <w:rsid w:val="00D259F0"/>
    <w:rsid w:val="00D25A15"/>
    <w:rsid w:val="00D25A1F"/>
    <w:rsid w:val="00D25A77"/>
    <w:rsid w:val="00D25AA9"/>
    <w:rsid w:val="00D25AB5"/>
    <w:rsid w:val="00D25AC7"/>
    <w:rsid w:val="00D25B31"/>
    <w:rsid w:val="00D25B32"/>
    <w:rsid w:val="00D25BCA"/>
    <w:rsid w:val="00D25BF8"/>
    <w:rsid w:val="00D25C7A"/>
    <w:rsid w:val="00D25C92"/>
    <w:rsid w:val="00D25D32"/>
    <w:rsid w:val="00D25D4C"/>
    <w:rsid w:val="00D25DA9"/>
    <w:rsid w:val="00D25DDC"/>
    <w:rsid w:val="00D25E19"/>
    <w:rsid w:val="00D25E4B"/>
    <w:rsid w:val="00D25E51"/>
    <w:rsid w:val="00D25ECA"/>
    <w:rsid w:val="00D25ECD"/>
    <w:rsid w:val="00D25EE0"/>
    <w:rsid w:val="00D25F00"/>
    <w:rsid w:val="00D25F8A"/>
    <w:rsid w:val="00D25F99"/>
    <w:rsid w:val="00D25FB9"/>
    <w:rsid w:val="00D25FFA"/>
    <w:rsid w:val="00D2602E"/>
    <w:rsid w:val="00D26059"/>
    <w:rsid w:val="00D260C9"/>
    <w:rsid w:val="00D260CD"/>
    <w:rsid w:val="00D260F7"/>
    <w:rsid w:val="00D2616C"/>
    <w:rsid w:val="00D2619A"/>
    <w:rsid w:val="00D261D2"/>
    <w:rsid w:val="00D261EE"/>
    <w:rsid w:val="00D26204"/>
    <w:rsid w:val="00D2623C"/>
    <w:rsid w:val="00D26293"/>
    <w:rsid w:val="00D262A8"/>
    <w:rsid w:val="00D262D3"/>
    <w:rsid w:val="00D262D7"/>
    <w:rsid w:val="00D262F6"/>
    <w:rsid w:val="00D2634C"/>
    <w:rsid w:val="00D26359"/>
    <w:rsid w:val="00D26367"/>
    <w:rsid w:val="00D26380"/>
    <w:rsid w:val="00D263D4"/>
    <w:rsid w:val="00D263FC"/>
    <w:rsid w:val="00D2646A"/>
    <w:rsid w:val="00D26504"/>
    <w:rsid w:val="00D2655D"/>
    <w:rsid w:val="00D26576"/>
    <w:rsid w:val="00D26634"/>
    <w:rsid w:val="00D26635"/>
    <w:rsid w:val="00D2664E"/>
    <w:rsid w:val="00D266BA"/>
    <w:rsid w:val="00D266F7"/>
    <w:rsid w:val="00D2671E"/>
    <w:rsid w:val="00D26741"/>
    <w:rsid w:val="00D26767"/>
    <w:rsid w:val="00D267A3"/>
    <w:rsid w:val="00D267A8"/>
    <w:rsid w:val="00D267A9"/>
    <w:rsid w:val="00D267B6"/>
    <w:rsid w:val="00D267BA"/>
    <w:rsid w:val="00D267C0"/>
    <w:rsid w:val="00D267EE"/>
    <w:rsid w:val="00D268C4"/>
    <w:rsid w:val="00D268DE"/>
    <w:rsid w:val="00D26940"/>
    <w:rsid w:val="00D2698E"/>
    <w:rsid w:val="00D269A4"/>
    <w:rsid w:val="00D269EB"/>
    <w:rsid w:val="00D269FF"/>
    <w:rsid w:val="00D26A26"/>
    <w:rsid w:val="00D26A27"/>
    <w:rsid w:val="00D26A2F"/>
    <w:rsid w:val="00D26A41"/>
    <w:rsid w:val="00D26A45"/>
    <w:rsid w:val="00D26A49"/>
    <w:rsid w:val="00D26A60"/>
    <w:rsid w:val="00D26A6D"/>
    <w:rsid w:val="00D26A78"/>
    <w:rsid w:val="00D26A81"/>
    <w:rsid w:val="00D26AA7"/>
    <w:rsid w:val="00D26AFF"/>
    <w:rsid w:val="00D26B12"/>
    <w:rsid w:val="00D26B25"/>
    <w:rsid w:val="00D26B2E"/>
    <w:rsid w:val="00D26B3F"/>
    <w:rsid w:val="00D26B97"/>
    <w:rsid w:val="00D26B9C"/>
    <w:rsid w:val="00D26BB4"/>
    <w:rsid w:val="00D26BBB"/>
    <w:rsid w:val="00D26BC8"/>
    <w:rsid w:val="00D26BD5"/>
    <w:rsid w:val="00D26BF9"/>
    <w:rsid w:val="00D26C6E"/>
    <w:rsid w:val="00D26C79"/>
    <w:rsid w:val="00D26C96"/>
    <w:rsid w:val="00D26CAF"/>
    <w:rsid w:val="00D26CC7"/>
    <w:rsid w:val="00D26CD0"/>
    <w:rsid w:val="00D26CF3"/>
    <w:rsid w:val="00D26D0C"/>
    <w:rsid w:val="00D26D98"/>
    <w:rsid w:val="00D26E5E"/>
    <w:rsid w:val="00D26EEE"/>
    <w:rsid w:val="00D26F33"/>
    <w:rsid w:val="00D26F5D"/>
    <w:rsid w:val="00D26F8D"/>
    <w:rsid w:val="00D26FD3"/>
    <w:rsid w:val="00D27086"/>
    <w:rsid w:val="00D270AF"/>
    <w:rsid w:val="00D270CB"/>
    <w:rsid w:val="00D27136"/>
    <w:rsid w:val="00D271B1"/>
    <w:rsid w:val="00D271BA"/>
    <w:rsid w:val="00D271CF"/>
    <w:rsid w:val="00D271D6"/>
    <w:rsid w:val="00D271E3"/>
    <w:rsid w:val="00D2722E"/>
    <w:rsid w:val="00D27292"/>
    <w:rsid w:val="00D27297"/>
    <w:rsid w:val="00D272FF"/>
    <w:rsid w:val="00D27355"/>
    <w:rsid w:val="00D27368"/>
    <w:rsid w:val="00D2737A"/>
    <w:rsid w:val="00D27390"/>
    <w:rsid w:val="00D273A7"/>
    <w:rsid w:val="00D273B7"/>
    <w:rsid w:val="00D2745C"/>
    <w:rsid w:val="00D27464"/>
    <w:rsid w:val="00D274B9"/>
    <w:rsid w:val="00D27510"/>
    <w:rsid w:val="00D27534"/>
    <w:rsid w:val="00D27558"/>
    <w:rsid w:val="00D27560"/>
    <w:rsid w:val="00D27561"/>
    <w:rsid w:val="00D275BB"/>
    <w:rsid w:val="00D275D1"/>
    <w:rsid w:val="00D275F4"/>
    <w:rsid w:val="00D275F7"/>
    <w:rsid w:val="00D27636"/>
    <w:rsid w:val="00D2769D"/>
    <w:rsid w:val="00D276B0"/>
    <w:rsid w:val="00D2774D"/>
    <w:rsid w:val="00D2778B"/>
    <w:rsid w:val="00D277A4"/>
    <w:rsid w:val="00D277E3"/>
    <w:rsid w:val="00D277EA"/>
    <w:rsid w:val="00D277EB"/>
    <w:rsid w:val="00D277EF"/>
    <w:rsid w:val="00D27836"/>
    <w:rsid w:val="00D2784C"/>
    <w:rsid w:val="00D278FA"/>
    <w:rsid w:val="00D2793F"/>
    <w:rsid w:val="00D2794E"/>
    <w:rsid w:val="00D2795C"/>
    <w:rsid w:val="00D27983"/>
    <w:rsid w:val="00D2798C"/>
    <w:rsid w:val="00D27A41"/>
    <w:rsid w:val="00D27A65"/>
    <w:rsid w:val="00D27ABE"/>
    <w:rsid w:val="00D27AF5"/>
    <w:rsid w:val="00D27B0E"/>
    <w:rsid w:val="00D27B37"/>
    <w:rsid w:val="00D27C99"/>
    <w:rsid w:val="00D27CC0"/>
    <w:rsid w:val="00D27D29"/>
    <w:rsid w:val="00D27D57"/>
    <w:rsid w:val="00D27DC8"/>
    <w:rsid w:val="00D27E4B"/>
    <w:rsid w:val="00D27E64"/>
    <w:rsid w:val="00D27E7B"/>
    <w:rsid w:val="00D27E7E"/>
    <w:rsid w:val="00D27E83"/>
    <w:rsid w:val="00D27EA9"/>
    <w:rsid w:val="00D27EC4"/>
    <w:rsid w:val="00D27F15"/>
    <w:rsid w:val="00D27F19"/>
    <w:rsid w:val="00D27F34"/>
    <w:rsid w:val="00D27F6A"/>
    <w:rsid w:val="00D27F9C"/>
    <w:rsid w:val="00D30017"/>
    <w:rsid w:val="00D3005D"/>
    <w:rsid w:val="00D300E0"/>
    <w:rsid w:val="00D30189"/>
    <w:rsid w:val="00D301C1"/>
    <w:rsid w:val="00D30263"/>
    <w:rsid w:val="00D302C5"/>
    <w:rsid w:val="00D302C9"/>
    <w:rsid w:val="00D302D6"/>
    <w:rsid w:val="00D3033E"/>
    <w:rsid w:val="00D3037D"/>
    <w:rsid w:val="00D303B3"/>
    <w:rsid w:val="00D303D6"/>
    <w:rsid w:val="00D303E2"/>
    <w:rsid w:val="00D30405"/>
    <w:rsid w:val="00D3041D"/>
    <w:rsid w:val="00D304E8"/>
    <w:rsid w:val="00D304F9"/>
    <w:rsid w:val="00D3051D"/>
    <w:rsid w:val="00D30573"/>
    <w:rsid w:val="00D3059A"/>
    <w:rsid w:val="00D305C1"/>
    <w:rsid w:val="00D305E0"/>
    <w:rsid w:val="00D30651"/>
    <w:rsid w:val="00D3070B"/>
    <w:rsid w:val="00D30720"/>
    <w:rsid w:val="00D30740"/>
    <w:rsid w:val="00D30751"/>
    <w:rsid w:val="00D3080C"/>
    <w:rsid w:val="00D30893"/>
    <w:rsid w:val="00D308C8"/>
    <w:rsid w:val="00D30943"/>
    <w:rsid w:val="00D30957"/>
    <w:rsid w:val="00D3096E"/>
    <w:rsid w:val="00D309E2"/>
    <w:rsid w:val="00D30A11"/>
    <w:rsid w:val="00D30A3C"/>
    <w:rsid w:val="00D30A5B"/>
    <w:rsid w:val="00D30A92"/>
    <w:rsid w:val="00D30B0B"/>
    <w:rsid w:val="00D30B37"/>
    <w:rsid w:val="00D30B3C"/>
    <w:rsid w:val="00D30B43"/>
    <w:rsid w:val="00D30B7A"/>
    <w:rsid w:val="00D30BE9"/>
    <w:rsid w:val="00D30BF2"/>
    <w:rsid w:val="00D30C32"/>
    <w:rsid w:val="00D30C68"/>
    <w:rsid w:val="00D30CC0"/>
    <w:rsid w:val="00D30CC4"/>
    <w:rsid w:val="00D30D15"/>
    <w:rsid w:val="00D30D1D"/>
    <w:rsid w:val="00D30D3B"/>
    <w:rsid w:val="00D30D4A"/>
    <w:rsid w:val="00D30DB6"/>
    <w:rsid w:val="00D30E28"/>
    <w:rsid w:val="00D30E6E"/>
    <w:rsid w:val="00D30E8A"/>
    <w:rsid w:val="00D30EE6"/>
    <w:rsid w:val="00D30EF9"/>
    <w:rsid w:val="00D30F03"/>
    <w:rsid w:val="00D30F72"/>
    <w:rsid w:val="00D30FAE"/>
    <w:rsid w:val="00D30FEF"/>
    <w:rsid w:val="00D31008"/>
    <w:rsid w:val="00D31060"/>
    <w:rsid w:val="00D31066"/>
    <w:rsid w:val="00D31081"/>
    <w:rsid w:val="00D310C6"/>
    <w:rsid w:val="00D310C9"/>
    <w:rsid w:val="00D3110C"/>
    <w:rsid w:val="00D311E8"/>
    <w:rsid w:val="00D311EE"/>
    <w:rsid w:val="00D31242"/>
    <w:rsid w:val="00D31245"/>
    <w:rsid w:val="00D312BE"/>
    <w:rsid w:val="00D312CC"/>
    <w:rsid w:val="00D312EC"/>
    <w:rsid w:val="00D312F4"/>
    <w:rsid w:val="00D31341"/>
    <w:rsid w:val="00D3134C"/>
    <w:rsid w:val="00D31351"/>
    <w:rsid w:val="00D31446"/>
    <w:rsid w:val="00D31450"/>
    <w:rsid w:val="00D31451"/>
    <w:rsid w:val="00D31472"/>
    <w:rsid w:val="00D314AF"/>
    <w:rsid w:val="00D31562"/>
    <w:rsid w:val="00D315A9"/>
    <w:rsid w:val="00D315B6"/>
    <w:rsid w:val="00D315D7"/>
    <w:rsid w:val="00D315DB"/>
    <w:rsid w:val="00D315E3"/>
    <w:rsid w:val="00D31643"/>
    <w:rsid w:val="00D316A1"/>
    <w:rsid w:val="00D316A2"/>
    <w:rsid w:val="00D316DA"/>
    <w:rsid w:val="00D316F8"/>
    <w:rsid w:val="00D3170A"/>
    <w:rsid w:val="00D3174E"/>
    <w:rsid w:val="00D3177F"/>
    <w:rsid w:val="00D317D9"/>
    <w:rsid w:val="00D317DC"/>
    <w:rsid w:val="00D317F6"/>
    <w:rsid w:val="00D31853"/>
    <w:rsid w:val="00D31866"/>
    <w:rsid w:val="00D3187B"/>
    <w:rsid w:val="00D3188D"/>
    <w:rsid w:val="00D318DC"/>
    <w:rsid w:val="00D3191F"/>
    <w:rsid w:val="00D31969"/>
    <w:rsid w:val="00D31997"/>
    <w:rsid w:val="00D319A1"/>
    <w:rsid w:val="00D31A10"/>
    <w:rsid w:val="00D31A61"/>
    <w:rsid w:val="00D31A67"/>
    <w:rsid w:val="00D31A76"/>
    <w:rsid w:val="00D31A9C"/>
    <w:rsid w:val="00D31B0B"/>
    <w:rsid w:val="00D31B9E"/>
    <w:rsid w:val="00D31BE6"/>
    <w:rsid w:val="00D31C2E"/>
    <w:rsid w:val="00D31C65"/>
    <w:rsid w:val="00D31C86"/>
    <w:rsid w:val="00D31C8D"/>
    <w:rsid w:val="00D31CA5"/>
    <w:rsid w:val="00D31CC9"/>
    <w:rsid w:val="00D31CFE"/>
    <w:rsid w:val="00D31D03"/>
    <w:rsid w:val="00D31D1D"/>
    <w:rsid w:val="00D31D4D"/>
    <w:rsid w:val="00D31D73"/>
    <w:rsid w:val="00D31DE4"/>
    <w:rsid w:val="00D31E0F"/>
    <w:rsid w:val="00D31E54"/>
    <w:rsid w:val="00D31E5D"/>
    <w:rsid w:val="00D31E67"/>
    <w:rsid w:val="00D31E68"/>
    <w:rsid w:val="00D31EC7"/>
    <w:rsid w:val="00D31ECE"/>
    <w:rsid w:val="00D31ECF"/>
    <w:rsid w:val="00D31EFB"/>
    <w:rsid w:val="00D31F34"/>
    <w:rsid w:val="00D31FE4"/>
    <w:rsid w:val="00D31FE6"/>
    <w:rsid w:val="00D32025"/>
    <w:rsid w:val="00D32092"/>
    <w:rsid w:val="00D3212C"/>
    <w:rsid w:val="00D321C6"/>
    <w:rsid w:val="00D321DB"/>
    <w:rsid w:val="00D3220C"/>
    <w:rsid w:val="00D32260"/>
    <w:rsid w:val="00D32275"/>
    <w:rsid w:val="00D3227C"/>
    <w:rsid w:val="00D32282"/>
    <w:rsid w:val="00D32292"/>
    <w:rsid w:val="00D32296"/>
    <w:rsid w:val="00D322AA"/>
    <w:rsid w:val="00D32321"/>
    <w:rsid w:val="00D32399"/>
    <w:rsid w:val="00D323CD"/>
    <w:rsid w:val="00D323D6"/>
    <w:rsid w:val="00D32474"/>
    <w:rsid w:val="00D324A3"/>
    <w:rsid w:val="00D324E9"/>
    <w:rsid w:val="00D32525"/>
    <w:rsid w:val="00D32592"/>
    <w:rsid w:val="00D325A0"/>
    <w:rsid w:val="00D325C2"/>
    <w:rsid w:val="00D325F2"/>
    <w:rsid w:val="00D32609"/>
    <w:rsid w:val="00D32620"/>
    <w:rsid w:val="00D32632"/>
    <w:rsid w:val="00D32639"/>
    <w:rsid w:val="00D32646"/>
    <w:rsid w:val="00D32670"/>
    <w:rsid w:val="00D326AD"/>
    <w:rsid w:val="00D326C0"/>
    <w:rsid w:val="00D32709"/>
    <w:rsid w:val="00D32714"/>
    <w:rsid w:val="00D3272C"/>
    <w:rsid w:val="00D32755"/>
    <w:rsid w:val="00D32759"/>
    <w:rsid w:val="00D32770"/>
    <w:rsid w:val="00D327DF"/>
    <w:rsid w:val="00D327FB"/>
    <w:rsid w:val="00D3285E"/>
    <w:rsid w:val="00D32877"/>
    <w:rsid w:val="00D3288C"/>
    <w:rsid w:val="00D328B9"/>
    <w:rsid w:val="00D328BE"/>
    <w:rsid w:val="00D328C1"/>
    <w:rsid w:val="00D328F4"/>
    <w:rsid w:val="00D3292B"/>
    <w:rsid w:val="00D3292C"/>
    <w:rsid w:val="00D32940"/>
    <w:rsid w:val="00D329C3"/>
    <w:rsid w:val="00D329F1"/>
    <w:rsid w:val="00D32A0D"/>
    <w:rsid w:val="00D32A2F"/>
    <w:rsid w:val="00D32A5D"/>
    <w:rsid w:val="00D32ABC"/>
    <w:rsid w:val="00D32AD1"/>
    <w:rsid w:val="00D32ADF"/>
    <w:rsid w:val="00D32AE4"/>
    <w:rsid w:val="00D32AFD"/>
    <w:rsid w:val="00D32B33"/>
    <w:rsid w:val="00D32B58"/>
    <w:rsid w:val="00D32BA7"/>
    <w:rsid w:val="00D32BE0"/>
    <w:rsid w:val="00D32D09"/>
    <w:rsid w:val="00D32D23"/>
    <w:rsid w:val="00D32DB7"/>
    <w:rsid w:val="00D32E15"/>
    <w:rsid w:val="00D32E1C"/>
    <w:rsid w:val="00D32E5A"/>
    <w:rsid w:val="00D32E77"/>
    <w:rsid w:val="00D32ED4"/>
    <w:rsid w:val="00D32EF8"/>
    <w:rsid w:val="00D32F66"/>
    <w:rsid w:val="00D32F9A"/>
    <w:rsid w:val="00D32FC1"/>
    <w:rsid w:val="00D32FC5"/>
    <w:rsid w:val="00D3305D"/>
    <w:rsid w:val="00D33065"/>
    <w:rsid w:val="00D33074"/>
    <w:rsid w:val="00D330B8"/>
    <w:rsid w:val="00D330C0"/>
    <w:rsid w:val="00D330CF"/>
    <w:rsid w:val="00D33136"/>
    <w:rsid w:val="00D33179"/>
    <w:rsid w:val="00D331A8"/>
    <w:rsid w:val="00D331AD"/>
    <w:rsid w:val="00D331E0"/>
    <w:rsid w:val="00D331F4"/>
    <w:rsid w:val="00D331FD"/>
    <w:rsid w:val="00D3322B"/>
    <w:rsid w:val="00D3327E"/>
    <w:rsid w:val="00D332A7"/>
    <w:rsid w:val="00D332B1"/>
    <w:rsid w:val="00D332C2"/>
    <w:rsid w:val="00D332C7"/>
    <w:rsid w:val="00D332CD"/>
    <w:rsid w:val="00D332CF"/>
    <w:rsid w:val="00D332D0"/>
    <w:rsid w:val="00D332DA"/>
    <w:rsid w:val="00D332DF"/>
    <w:rsid w:val="00D332EB"/>
    <w:rsid w:val="00D332F3"/>
    <w:rsid w:val="00D332F7"/>
    <w:rsid w:val="00D33334"/>
    <w:rsid w:val="00D33380"/>
    <w:rsid w:val="00D33394"/>
    <w:rsid w:val="00D3339D"/>
    <w:rsid w:val="00D3342C"/>
    <w:rsid w:val="00D33462"/>
    <w:rsid w:val="00D3348E"/>
    <w:rsid w:val="00D3349D"/>
    <w:rsid w:val="00D334A5"/>
    <w:rsid w:val="00D334B4"/>
    <w:rsid w:val="00D334DD"/>
    <w:rsid w:val="00D334FC"/>
    <w:rsid w:val="00D33516"/>
    <w:rsid w:val="00D33534"/>
    <w:rsid w:val="00D33538"/>
    <w:rsid w:val="00D33553"/>
    <w:rsid w:val="00D33562"/>
    <w:rsid w:val="00D33586"/>
    <w:rsid w:val="00D335D6"/>
    <w:rsid w:val="00D335FA"/>
    <w:rsid w:val="00D3366A"/>
    <w:rsid w:val="00D336B6"/>
    <w:rsid w:val="00D336D1"/>
    <w:rsid w:val="00D3370E"/>
    <w:rsid w:val="00D33757"/>
    <w:rsid w:val="00D337EC"/>
    <w:rsid w:val="00D337F3"/>
    <w:rsid w:val="00D33827"/>
    <w:rsid w:val="00D3382C"/>
    <w:rsid w:val="00D338B1"/>
    <w:rsid w:val="00D338B8"/>
    <w:rsid w:val="00D338F3"/>
    <w:rsid w:val="00D3396F"/>
    <w:rsid w:val="00D339AE"/>
    <w:rsid w:val="00D33A0E"/>
    <w:rsid w:val="00D33A27"/>
    <w:rsid w:val="00D33A9E"/>
    <w:rsid w:val="00D33B18"/>
    <w:rsid w:val="00D33B23"/>
    <w:rsid w:val="00D33B2C"/>
    <w:rsid w:val="00D33B68"/>
    <w:rsid w:val="00D33BCC"/>
    <w:rsid w:val="00D33BDE"/>
    <w:rsid w:val="00D33C45"/>
    <w:rsid w:val="00D33C75"/>
    <w:rsid w:val="00D33C9A"/>
    <w:rsid w:val="00D33CE5"/>
    <w:rsid w:val="00D33D19"/>
    <w:rsid w:val="00D33D5F"/>
    <w:rsid w:val="00D33D6B"/>
    <w:rsid w:val="00D33D74"/>
    <w:rsid w:val="00D33DBC"/>
    <w:rsid w:val="00D33DC7"/>
    <w:rsid w:val="00D33DE1"/>
    <w:rsid w:val="00D33DED"/>
    <w:rsid w:val="00D33E24"/>
    <w:rsid w:val="00D33E33"/>
    <w:rsid w:val="00D33E5A"/>
    <w:rsid w:val="00D33E77"/>
    <w:rsid w:val="00D33E80"/>
    <w:rsid w:val="00D33F0F"/>
    <w:rsid w:val="00D33F18"/>
    <w:rsid w:val="00D33F72"/>
    <w:rsid w:val="00D33F8E"/>
    <w:rsid w:val="00D33FAC"/>
    <w:rsid w:val="00D33FD7"/>
    <w:rsid w:val="00D33FE4"/>
    <w:rsid w:val="00D3400D"/>
    <w:rsid w:val="00D3401B"/>
    <w:rsid w:val="00D34023"/>
    <w:rsid w:val="00D34050"/>
    <w:rsid w:val="00D3409A"/>
    <w:rsid w:val="00D3412D"/>
    <w:rsid w:val="00D341A3"/>
    <w:rsid w:val="00D341C0"/>
    <w:rsid w:val="00D341FD"/>
    <w:rsid w:val="00D34214"/>
    <w:rsid w:val="00D34250"/>
    <w:rsid w:val="00D34257"/>
    <w:rsid w:val="00D34261"/>
    <w:rsid w:val="00D34275"/>
    <w:rsid w:val="00D342BE"/>
    <w:rsid w:val="00D342E6"/>
    <w:rsid w:val="00D3430E"/>
    <w:rsid w:val="00D34361"/>
    <w:rsid w:val="00D3436D"/>
    <w:rsid w:val="00D343F3"/>
    <w:rsid w:val="00D34434"/>
    <w:rsid w:val="00D3443C"/>
    <w:rsid w:val="00D34442"/>
    <w:rsid w:val="00D34444"/>
    <w:rsid w:val="00D3449C"/>
    <w:rsid w:val="00D344DC"/>
    <w:rsid w:val="00D3450F"/>
    <w:rsid w:val="00D34573"/>
    <w:rsid w:val="00D345E5"/>
    <w:rsid w:val="00D345F7"/>
    <w:rsid w:val="00D3460D"/>
    <w:rsid w:val="00D34646"/>
    <w:rsid w:val="00D346A6"/>
    <w:rsid w:val="00D346EC"/>
    <w:rsid w:val="00D3474E"/>
    <w:rsid w:val="00D3476A"/>
    <w:rsid w:val="00D347F1"/>
    <w:rsid w:val="00D34822"/>
    <w:rsid w:val="00D34829"/>
    <w:rsid w:val="00D34851"/>
    <w:rsid w:val="00D34859"/>
    <w:rsid w:val="00D348A7"/>
    <w:rsid w:val="00D348B7"/>
    <w:rsid w:val="00D348E7"/>
    <w:rsid w:val="00D34915"/>
    <w:rsid w:val="00D3492E"/>
    <w:rsid w:val="00D34959"/>
    <w:rsid w:val="00D3495D"/>
    <w:rsid w:val="00D34964"/>
    <w:rsid w:val="00D3497C"/>
    <w:rsid w:val="00D3499C"/>
    <w:rsid w:val="00D349BF"/>
    <w:rsid w:val="00D349ED"/>
    <w:rsid w:val="00D34A82"/>
    <w:rsid w:val="00D34AC0"/>
    <w:rsid w:val="00D34AC5"/>
    <w:rsid w:val="00D34B2B"/>
    <w:rsid w:val="00D34B47"/>
    <w:rsid w:val="00D34B62"/>
    <w:rsid w:val="00D34B90"/>
    <w:rsid w:val="00D34B96"/>
    <w:rsid w:val="00D34BA9"/>
    <w:rsid w:val="00D34BD5"/>
    <w:rsid w:val="00D34BEC"/>
    <w:rsid w:val="00D34C11"/>
    <w:rsid w:val="00D34C19"/>
    <w:rsid w:val="00D34C1B"/>
    <w:rsid w:val="00D34C21"/>
    <w:rsid w:val="00D34C45"/>
    <w:rsid w:val="00D34C48"/>
    <w:rsid w:val="00D34C57"/>
    <w:rsid w:val="00D34D06"/>
    <w:rsid w:val="00D34D0C"/>
    <w:rsid w:val="00D34DA6"/>
    <w:rsid w:val="00D34E29"/>
    <w:rsid w:val="00D34E3C"/>
    <w:rsid w:val="00D34E76"/>
    <w:rsid w:val="00D34E92"/>
    <w:rsid w:val="00D34E97"/>
    <w:rsid w:val="00D34ECD"/>
    <w:rsid w:val="00D34ED9"/>
    <w:rsid w:val="00D34F06"/>
    <w:rsid w:val="00D34F09"/>
    <w:rsid w:val="00D34F25"/>
    <w:rsid w:val="00D34F54"/>
    <w:rsid w:val="00D34FA8"/>
    <w:rsid w:val="00D34FD7"/>
    <w:rsid w:val="00D34FF9"/>
    <w:rsid w:val="00D35007"/>
    <w:rsid w:val="00D3501C"/>
    <w:rsid w:val="00D35042"/>
    <w:rsid w:val="00D350A1"/>
    <w:rsid w:val="00D350BB"/>
    <w:rsid w:val="00D35117"/>
    <w:rsid w:val="00D35181"/>
    <w:rsid w:val="00D351B1"/>
    <w:rsid w:val="00D351F6"/>
    <w:rsid w:val="00D35220"/>
    <w:rsid w:val="00D35257"/>
    <w:rsid w:val="00D352B1"/>
    <w:rsid w:val="00D352F2"/>
    <w:rsid w:val="00D35329"/>
    <w:rsid w:val="00D3534A"/>
    <w:rsid w:val="00D3535E"/>
    <w:rsid w:val="00D35367"/>
    <w:rsid w:val="00D35447"/>
    <w:rsid w:val="00D354C0"/>
    <w:rsid w:val="00D3551F"/>
    <w:rsid w:val="00D35531"/>
    <w:rsid w:val="00D35551"/>
    <w:rsid w:val="00D35562"/>
    <w:rsid w:val="00D35584"/>
    <w:rsid w:val="00D355BD"/>
    <w:rsid w:val="00D355D0"/>
    <w:rsid w:val="00D355F0"/>
    <w:rsid w:val="00D3562B"/>
    <w:rsid w:val="00D3563C"/>
    <w:rsid w:val="00D35657"/>
    <w:rsid w:val="00D35684"/>
    <w:rsid w:val="00D3569D"/>
    <w:rsid w:val="00D356C6"/>
    <w:rsid w:val="00D356D7"/>
    <w:rsid w:val="00D356FA"/>
    <w:rsid w:val="00D35709"/>
    <w:rsid w:val="00D3571B"/>
    <w:rsid w:val="00D35733"/>
    <w:rsid w:val="00D35734"/>
    <w:rsid w:val="00D3574C"/>
    <w:rsid w:val="00D3575F"/>
    <w:rsid w:val="00D35784"/>
    <w:rsid w:val="00D3581D"/>
    <w:rsid w:val="00D35830"/>
    <w:rsid w:val="00D359B2"/>
    <w:rsid w:val="00D359D5"/>
    <w:rsid w:val="00D35A1A"/>
    <w:rsid w:val="00D35A2B"/>
    <w:rsid w:val="00D35A3C"/>
    <w:rsid w:val="00D35A4F"/>
    <w:rsid w:val="00D35A7B"/>
    <w:rsid w:val="00D35AD5"/>
    <w:rsid w:val="00D35AD8"/>
    <w:rsid w:val="00D35ADB"/>
    <w:rsid w:val="00D35B63"/>
    <w:rsid w:val="00D35B72"/>
    <w:rsid w:val="00D35B9C"/>
    <w:rsid w:val="00D35BAE"/>
    <w:rsid w:val="00D35BDA"/>
    <w:rsid w:val="00D35C02"/>
    <w:rsid w:val="00D35C04"/>
    <w:rsid w:val="00D35C0D"/>
    <w:rsid w:val="00D35C39"/>
    <w:rsid w:val="00D35C74"/>
    <w:rsid w:val="00D35CA6"/>
    <w:rsid w:val="00D35CBC"/>
    <w:rsid w:val="00D35D25"/>
    <w:rsid w:val="00D35D2E"/>
    <w:rsid w:val="00D35D51"/>
    <w:rsid w:val="00D35E03"/>
    <w:rsid w:val="00D35E28"/>
    <w:rsid w:val="00D35E7F"/>
    <w:rsid w:val="00D35EAA"/>
    <w:rsid w:val="00D35EB9"/>
    <w:rsid w:val="00D35F24"/>
    <w:rsid w:val="00D35F4D"/>
    <w:rsid w:val="00D35F69"/>
    <w:rsid w:val="00D35F6B"/>
    <w:rsid w:val="00D35FB1"/>
    <w:rsid w:val="00D36018"/>
    <w:rsid w:val="00D36024"/>
    <w:rsid w:val="00D3603F"/>
    <w:rsid w:val="00D3609D"/>
    <w:rsid w:val="00D360A5"/>
    <w:rsid w:val="00D360F2"/>
    <w:rsid w:val="00D36148"/>
    <w:rsid w:val="00D36161"/>
    <w:rsid w:val="00D3619C"/>
    <w:rsid w:val="00D361C4"/>
    <w:rsid w:val="00D361CA"/>
    <w:rsid w:val="00D361FE"/>
    <w:rsid w:val="00D3623C"/>
    <w:rsid w:val="00D36241"/>
    <w:rsid w:val="00D362AA"/>
    <w:rsid w:val="00D362DF"/>
    <w:rsid w:val="00D362F9"/>
    <w:rsid w:val="00D36355"/>
    <w:rsid w:val="00D36359"/>
    <w:rsid w:val="00D36388"/>
    <w:rsid w:val="00D363BC"/>
    <w:rsid w:val="00D363BD"/>
    <w:rsid w:val="00D363D2"/>
    <w:rsid w:val="00D36441"/>
    <w:rsid w:val="00D3646A"/>
    <w:rsid w:val="00D364C8"/>
    <w:rsid w:val="00D364CA"/>
    <w:rsid w:val="00D364D5"/>
    <w:rsid w:val="00D3651F"/>
    <w:rsid w:val="00D36585"/>
    <w:rsid w:val="00D36597"/>
    <w:rsid w:val="00D365BC"/>
    <w:rsid w:val="00D36605"/>
    <w:rsid w:val="00D3664D"/>
    <w:rsid w:val="00D3666F"/>
    <w:rsid w:val="00D366A2"/>
    <w:rsid w:val="00D36729"/>
    <w:rsid w:val="00D36783"/>
    <w:rsid w:val="00D367B2"/>
    <w:rsid w:val="00D367BE"/>
    <w:rsid w:val="00D3681F"/>
    <w:rsid w:val="00D36850"/>
    <w:rsid w:val="00D36886"/>
    <w:rsid w:val="00D36899"/>
    <w:rsid w:val="00D368CC"/>
    <w:rsid w:val="00D36925"/>
    <w:rsid w:val="00D3693A"/>
    <w:rsid w:val="00D3699B"/>
    <w:rsid w:val="00D369D4"/>
    <w:rsid w:val="00D36A93"/>
    <w:rsid w:val="00D36AF4"/>
    <w:rsid w:val="00D36B44"/>
    <w:rsid w:val="00D36B55"/>
    <w:rsid w:val="00D36B78"/>
    <w:rsid w:val="00D36B88"/>
    <w:rsid w:val="00D36B8C"/>
    <w:rsid w:val="00D36B91"/>
    <w:rsid w:val="00D36C02"/>
    <w:rsid w:val="00D36C25"/>
    <w:rsid w:val="00D36C60"/>
    <w:rsid w:val="00D36C74"/>
    <w:rsid w:val="00D36CB7"/>
    <w:rsid w:val="00D36CC1"/>
    <w:rsid w:val="00D36CE7"/>
    <w:rsid w:val="00D36CEF"/>
    <w:rsid w:val="00D36D3B"/>
    <w:rsid w:val="00D36D55"/>
    <w:rsid w:val="00D36DA0"/>
    <w:rsid w:val="00D36DA1"/>
    <w:rsid w:val="00D36E06"/>
    <w:rsid w:val="00D36E0F"/>
    <w:rsid w:val="00D36E31"/>
    <w:rsid w:val="00D36E89"/>
    <w:rsid w:val="00D36E99"/>
    <w:rsid w:val="00D36EE2"/>
    <w:rsid w:val="00D36EF5"/>
    <w:rsid w:val="00D36F44"/>
    <w:rsid w:val="00D36FDC"/>
    <w:rsid w:val="00D3700F"/>
    <w:rsid w:val="00D37054"/>
    <w:rsid w:val="00D3705E"/>
    <w:rsid w:val="00D370AE"/>
    <w:rsid w:val="00D37111"/>
    <w:rsid w:val="00D3718F"/>
    <w:rsid w:val="00D37192"/>
    <w:rsid w:val="00D371A3"/>
    <w:rsid w:val="00D371AA"/>
    <w:rsid w:val="00D371E3"/>
    <w:rsid w:val="00D371F4"/>
    <w:rsid w:val="00D37223"/>
    <w:rsid w:val="00D37242"/>
    <w:rsid w:val="00D3726A"/>
    <w:rsid w:val="00D372DB"/>
    <w:rsid w:val="00D37317"/>
    <w:rsid w:val="00D37322"/>
    <w:rsid w:val="00D37327"/>
    <w:rsid w:val="00D37349"/>
    <w:rsid w:val="00D373B5"/>
    <w:rsid w:val="00D37458"/>
    <w:rsid w:val="00D374F2"/>
    <w:rsid w:val="00D37547"/>
    <w:rsid w:val="00D3758D"/>
    <w:rsid w:val="00D375C2"/>
    <w:rsid w:val="00D375FF"/>
    <w:rsid w:val="00D37612"/>
    <w:rsid w:val="00D37666"/>
    <w:rsid w:val="00D37685"/>
    <w:rsid w:val="00D376BB"/>
    <w:rsid w:val="00D376D9"/>
    <w:rsid w:val="00D376E2"/>
    <w:rsid w:val="00D377B5"/>
    <w:rsid w:val="00D377CB"/>
    <w:rsid w:val="00D377D0"/>
    <w:rsid w:val="00D377FC"/>
    <w:rsid w:val="00D3782D"/>
    <w:rsid w:val="00D37866"/>
    <w:rsid w:val="00D37879"/>
    <w:rsid w:val="00D37881"/>
    <w:rsid w:val="00D37884"/>
    <w:rsid w:val="00D37921"/>
    <w:rsid w:val="00D37937"/>
    <w:rsid w:val="00D3797C"/>
    <w:rsid w:val="00D379F1"/>
    <w:rsid w:val="00D37A45"/>
    <w:rsid w:val="00D37AB8"/>
    <w:rsid w:val="00D37AE5"/>
    <w:rsid w:val="00D37AF7"/>
    <w:rsid w:val="00D37B0D"/>
    <w:rsid w:val="00D37B39"/>
    <w:rsid w:val="00D37B43"/>
    <w:rsid w:val="00D37B57"/>
    <w:rsid w:val="00D37B7F"/>
    <w:rsid w:val="00D37BC8"/>
    <w:rsid w:val="00D37C19"/>
    <w:rsid w:val="00D37C35"/>
    <w:rsid w:val="00D37C49"/>
    <w:rsid w:val="00D37C51"/>
    <w:rsid w:val="00D37C63"/>
    <w:rsid w:val="00D37C7C"/>
    <w:rsid w:val="00D37CBE"/>
    <w:rsid w:val="00D37D69"/>
    <w:rsid w:val="00D37D91"/>
    <w:rsid w:val="00D37DAD"/>
    <w:rsid w:val="00D37DF7"/>
    <w:rsid w:val="00D37E01"/>
    <w:rsid w:val="00D37E0A"/>
    <w:rsid w:val="00D37E1D"/>
    <w:rsid w:val="00D37EBE"/>
    <w:rsid w:val="00D37EC9"/>
    <w:rsid w:val="00D37F08"/>
    <w:rsid w:val="00D37F7F"/>
    <w:rsid w:val="00D37F98"/>
    <w:rsid w:val="00D40004"/>
    <w:rsid w:val="00D40013"/>
    <w:rsid w:val="00D4002F"/>
    <w:rsid w:val="00D400A0"/>
    <w:rsid w:val="00D400C1"/>
    <w:rsid w:val="00D4010C"/>
    <w:rsid w:val="00D40163"/>
    <w:rsid w:val="00D40166"/>
    <w:rsid w:val="00D40190"/>
    <w:rsid w:val="00D40230"/>
    <w:rsid w:val="00D402FF"/>
    <w:rsid w:val="00D403AF"/>
    <w:rsid w:val="00D4040A"/>
    <w:rsid w:val="00D4041B"/>
    <w:rsid w:val="00D4048A"/>
    <w:rsid w:val="00D404BB"/>
    <w:rsid w:val="00D4054F"/>
    <w:rsid w:val="00D4059E"/>
    <w:rsid w:val="00D405D8"/>
    <w:rsid w:val="00D40602"/>
    <w:rsid w:val="00D4060A"/>
    <w:rsid w:val="00D40616"/>
    <w:rsid w:val="00D406DA"/>
    <w:rsid w:val="00D406E9"/>
    <w:rsid w:val="00D40706"/>
    <w:rsid w:val="00D4070C"/>
    <w:rsid w:val="00D40725"/>
    <w:rsid w:val="00D40730"/>
    <w:rsid w:val="00D407BF"/>
    <w:rsid w:val="00D407D7"/>
    <w:rsid w:val="00D408E7"/>
    <w:rsid w:val="00D4094D"/>
    <w:rsid w:val="00D40979"/>
    <w:rsid w:val="00D40981"/>
    <w:rsid w:val="00D4098A"/>
    <w:rsid w:val="00D40A18"/>
    <w:rsid w:val="00D40A29"/>
    <w:rsid w:val="00D40A72"/>
    <w:rsid w:val="00D40A85"/>
    <w:rsid w:val="00D40A98"/>
    <w:rsid w:val="00D40B0C"/>
    <w:rsid w:val="00D40B9A"/>
    <w:rsid w:val="00D40BCA"/>
    <w:rsid w:val="00D40C00"/>
    <w:rsid w:val="00D40C03"/>
    <w:rsid w:val="00D40C32"/>
    <w:rsid w:val="00D40C70"/>
    <w:rsid w:val="00D40CB8"/>
    <w:rsid w:val="00D40D8C"/>
    <w:rsid w:val="00D40DAB"/>
    <w:rsid w:val="00D40DC3"/>
    <w:rsid w:val="00D40E08"/>
    <w:rsid w:val="00D40E2E"/>
    <w:rsid w:val="00D40E41"/>
    <w:rsid w:val="00D40E86"/>
    <w:rsid w:val="00D40E99"/>
    <w:rsid w:val="00D40EE2"/>
    <w:rsid w:val="00D40F2A"/>
    <w:rsid w:val="00D40F3C"/>
    <w:rsid w:val="00D40F52"/>
    <w:rsid w:val="00D40F95"/>
    <w:rsid w:val="00D4100F"/>
    <w:rsid w:val="00D4101A"/>
    <w:rsid w:val="00D41030"/>
    <w:rsid w:val="00D410EA"/>
    <w:rsid w:val="00D410F8"/>
    <w:rsid w:val="00D4113E"/>
    <w:rsid w:val="00D4113F"/>
    <w:rsid w:val="00D41197"/>
    <w:rsid w:val="00D411AE"/>
    <w:rsid w:val="00D411C9"/>
    <w:rsid w:val="00D411D5"/>
    <w:rsid w:val="00D411EA"/>
    <w:rsid w:val="00D411EE"/>
    <w:rsid w:val="00D412AA"/>
    <w:rsid w:val="00D412F9"/>
    <w:rsid w:val="00D4135F"/>
    <w:rsid w:val="00D41383"/>
    <w:rsid w:val="00D41407"/>
    <w:rsid w:val="00D41418"/>
    <w:rsid w:val="00D41425"/>
    <w:rsid w:val="00D41486"/>
    <w:rsid w:val="00D414C6"/>
    <w:rsid w:val="00D414F1"/>
    <w:rsid w:val="00D414FA"/>
    <w:rsid w:val="00D41517"/>
    <w:rsid w:val="00D41525"/>
    <w:rsid w:val="00D41584"/>
    <w:rsid w:val="00D4158B"/>
    <w:rsid w:val="00D415F7"/>
    <w:rsid w:val="00D415FC"/>
    <w:rsid w:val="00D41617"/>
    <w:rsid w:val="00D41652"/>
    <w:rsid w:val="00D416A6"/>
    <w:rsid w:val="00D416BD"/>
    <w:rsid w:val="00D416F0"/>
    <w:rsid w:val="00D4172C"/>
    <w:rsid w:val="00D41732"/>
    <w:rsid w:val="00D41799"/>
    <w:rsid w:val="00D417D8"/>
    <w:rsid w:val="00D4181D"/>
    <w:rsid w:val="00D41838"/>
    <w:rsid w:val="00D41863"/>
    <w:rsid w:val="00D41877"/>
    <w:rsid w:val="00D4187C"/>
    <w:rsid w:val="00D41940"/>
    <w:rsid w:val="00D419B2"/>
    <w:rsid w:val="00D41A01"/>
    <w:rsid w:val="00D41A56"/>
    <w:rsid w:val="00D41A67"/>
    <w:rsid w:val="00D41A72"/>
    <w:rsid w:val="00D41A94"/>
    <w:rsid w:val="00D41AE8"/>
    <w:rsid w:val="00D41B44"/>
    <w:rsid w:val="00D41B71"/>
    <w:rsid w:val="00D41B7D"/>
    <w:rsid w:val="00D41C0A"/>
    <w:rsid w:val="00D41C4F"/>
    <w:rsid w:val="00D41CB6"/>
    <w:rsid w:val="00D41D1C"/>
    <w:rsid w:val="00D41D20"/>
    <w:rsid w:val="00D41D44"/>
    <w:rsid w:val="00D41D4F"/>
    <w:rsid w:val="00D41D88"/>
    <w:rsid w:val="00D41DAE"/>
    <w:rsid w:val="00D41DEF"/>
    <w:rsid w:val="00D41E4D"/>
    <w:rsid w:val="00D41E88"/>
    <w:rsid w:val="00D41EA3"/>
    <w:rsid w:val="00D41EBB"/>
    <w:rsid w:val="00D41EC7"/>
    <w:rsid w:val="00D41EE4"/>
    <w:rsid w:val="00D41F0B"/>
    <w:rsid w:val="00D41F13"/>
    <w:rsid w:val="00D41F95"/>
    <w:rsid w:val="00D41F9E"/>
    <w:rsid w:val="00D41FAD"/>
    <w:rsid w:val="00D41FEF"/>
    <w:rsid w:val="00D42019"/>
    <w:rsid w:val="00D42020"/>
    <w:rsid w:val="00D4202A"/>
    <w:rsid w:val="00D420E8"/>
    <w:rsid w:val="00D4215D"/>
    <w:rsid w:val="00D4218D"/>
    <w:rsid w:val="00D42192"/>
    <w:rsid w:val="00D421C0"/>
    <w:rsid w:val="00D421E3"/>
    <w:rsid w:val="00D42254"/>
    <w:rsid w:val="00D42292"/>
    <w:rsid w:val="00D422F8"/>
    <w:rsid w:val="00D42340"/>
    <w:rsid w:val="00D42398"/>
    <w:rsid w:val="00D423F8"/>
    <w:rsid w:val="00D42472"/>
    <w:rsid w:val="00D4247D"/>
    <w:rsid w:val="00D42500"/>
    <w:rsid w:val="00D4251F"/>
    <w:rsid w:val="00D42549"/>
    <w:rsid w:val="00D42570"/>
    <w:rsid w:val="00D425DC"/>
    <w:rsid w:val="00D4260F"/>
    <w:rsid w:val="00D4261C"/>
    <w:rsid w:val="00D426B7"/>
    <w:rsid w:val="00D426DE"/>
    <w:rsid w:val="00D42736"/>
    <w:rsid w:val="00D42796"/>
    <w:rsid w:val="00D427CE"/>
    <w:rsid w:val="00D427D0"/>
    <w:rsid w:val="00D42856"/>
    <w:rsid w:val="00D42890"/>
    <w:rsid w:val="00D428AA"/>
    <w:rsid w:val="00D428AB"/>
    <w:rsid w:val="00D428DC"/>
    <w:rsid w:val="00D428E0"/>
    <w:rsid w:val="00D428FD"/>
    <w:rsid w:val="00D4290E"/>
    <w:rsid w:val="00D42933"/>
    <w:rsid w:val="00D4293F"/>
    <w:rsid w:val="00D42959"/>
    <w:rsid w:val="00D4297B"/>
    <w:rsid w:val="00D42A51"/>
    <w:rsid w:val="00D42A6E"/>
    <w:rsid w:val="00D42A99"/>
    <w:rsid w:val="00D42AA1"/>
    <w:rsid w:val="00D42ACD"/>
    <w:rsid w:val="00D42AD5"/>
    <w:rsid w:val="00D42B4F"/>
    <w:rsid w:val="00D42BA0"/>
    <w:rsid w:val="00D42BAD"/>
    <w:rsid w:val="00D42C3A"/>
    <w:rsid w:val="00D42C3C"/>
    <w:rsid w:val="00D42C70"/>
    <w:rsid w:val="00D42CA2"/>
    <w:rsid w:val="00D42CBD"/>
    <w:rsid w:val="00D42CE1"/>
    <w:rsid w:val="00D42D1D"/>
    <w:rsid w:val="00D42DA2"/>
    <w:rsid w:val="00D42DD6"/>
    <w:rsid w:val="00D42E0F"/>
    <w:rsid w:val="00D42E62"/>
    <w:rsid w:val="00D42EB0"/>
    <w:rsid w:val="00D42EE3"/>
    <w:rsid w:val="00D42F2C"/>
    <w:rsid w:val="00D42F6C"/>
    <w:rsid w:val="00D42F73"/>
    <w:rsid w:val="00D42FA2"/>
    <w:rsid w:val="00D43008"/>
    <w:rsid w:val="00D4301A"/>
    <w:rsid w:val="00D43032"/>
    <w:rsid w:val="00D4304F"/>
    <w:rsid w:val="00D43092"/>
    <w:rsid w:val="00D430CA"/>
    <w:rsid w:val="00D430D1"/>
    <w:rsid w:val="00D430F1"/>
    <w:rsid w:val="00D430F9"/>
    <w:rsid w:val="00D43180"/>
    <w:rsid w:val="00D431A2"/>
    <w:rsid w:val="00D431A5"/>
    <w:rsid w:val="00D431A6"/>
    <w:rsid w:val="00D43213"/>
    <w:rsid w:val="00D43215"/>
    <w:rsid w:val="00D432F7"/>
    <w:rsid w:val="00D43379"/>
    <w:rsid w:val="00D433E8"/>
    <w:rsid w:val="00D433EC"/>
    <w:rsid w:val="00D43457"/>
    <w:rsid w:val="00D434B3"/>
    <w:rsid w:val="00D434BC"/>
    <w:rsid w:val="00D434C9"/>
    <w:rsid w:val="00D434DA"/>
    <w:rsid w:val="00D43521"/>
    <w:rsid w:val="00D43532"/>
    <w:rsid w:val="00D43536"/>
    <w:rsid w:val="00D435AE"/>
    <w:rsid w:val="00D435C0"/>
    <w:rsid w:val="00D435C8"/>
    <w:rsid w:val="00D435EA"/>
    <w:rsid w:val="00D4361D"/>
    <w:rsid w:val="00D4361E"/>
    <w:rsid w:val="00D43631"/>
    <w:rsid w:val="00D43667"/>
    <w:rsid w:val="00D43679"/>
    <w:rsid w:val="00D4368F"/>
    <w:rsid w:val="00D436AA"/>
    <w:rsid w:val="00D436DE"/>
    <w:rsid w:val="00D43780"/>
    <w:rsid w:val="00D43793"/>
    <w:rsid w:val="00D4379D"/>
    <w:rsid w:val="00D43814"/>
    <w:rsid w:val="00D43878"/>
    <w:rsid w:val="00D43881"/>
    <w:rsid w:val="00D438C3"/>
    <w:rsid w:val="00D438C9"/>
    <w:rsid w:val="00D4390B"/>
    <w:rsid w:val="00D4391D"/>
    <w:rsid w:val="00D43923"/>
    <w:rsid w:val="00D43937"/>
    <w:rsid w:val="00D43938"/>
    <w:rsid w:val="00D43946"/>
    <w:rsid w:val="00D4397C"/>
    <w:rsid w:val="00D43A2A"/>
    <w:rsid w:val="00D43AC1"/>
    <w:rsid w:val="00D43AC8"/>
    <w:rsid w:val="00D43B86"/>
    <w:rsid w:val="00D43BF8"/>
    <w:rsid w:val="00D43C03"/>
    <w:rsid w:val="00D43C67"/>
    <w:rsid w:val="00D43C71"/>
    <w:rsid w:val="00D43C92"/>
    <w:rsid w:val="00D43D48"/>
    <w:rsid w:val="00D43D81"/>
    <w:rsid w:val="00D43D8F"/>
    <w:rsid w:val="00D43DB4"/>
    <w:rsid w:val="00D43DDA"/>
    <w:rsid w:val="00D43DE7"/>
    <w:rsid w:val="00D43E14"/>
    <w:rsid w:val="00D43ECD"/>
    <w:rsid w:val="00D43ED1"/>
    <w:rsid w:val="00D43EFC"/>
    <w:rsid w:val="00D43F9B"/>
    <w:rsid w:val="00D43FA1"/>
    <w:rsid w:val="00D43FA6"/>
    <w:rsid w:val="00D43FB6"/>
    <w:rsid w:val="00D44031"/>
    <w:rsid w:val="00D4406A"/>
    <w:rsid w:val="00D440D3"/>
    <w:rsid w:val="00D440EA"/>
    <w:rsid w:val="00D44122"/>
    <w:rsid w:val="00D4412D"/>
    <w:rsid w:val="00D4414B"/>
    <w:rsid w:val="00D44169"/>
    <w:rsid w:val="00D4418E"/>
    <w:rsid w:val="00D4419A"/>
    <w:rsid w:val="00D44208"/>
    <w:rsid w:val="00D44221"/>
    <w:rsid w:val="00D44268"/>
    <w:rsid w:val="00D44290"/>
    <w:rsid w:val="00D442C2"/>
    <w:rsid w:val="00D442FB"/>
    <w:rsid w:val="00D44360"/>
    <w:rsid w:val="00D44364"/>
    <w:rsid w:val="00D443A6"/>
    <w:rsid w:val="00D443FE"/>
    <w:rsid w:val="00D4441C"/>
    <w:rsid w:val="00D4449A"/>
    <w:rsid w:val="00D4449B"/>
    <w:rsid w:val="00D444A4"/>
    <w:rsid w:val="00D444BB"/>
    <w:rsid w:val="00D444DE"/>
    <w:rsid w:val="00D444E6"/>
    <w:rsid w:val="00D44583"/>
    <w:rsid w:val="00D44596"/>
    <w:rsid w:val="00D445CF"/>
    <w:rsid w:val="00D445F6"/>
    <w:rsid w:val="00D44654"/>
    <w:rsid w:val="00D4469F"/>
    <w:rsid w:val="00D446AF"/>
    <w:rsid w:val="00D4472D"/>
    <w:rsid w:val="00D4477C"/>
    <w:rsid w:val="00D44785"/>
    <w:rsid w:val="00D447C3"/>
    <w:rsid w:val="00D447EF"/>
    <w:rsid w:val="00D44825"/>
    <w:rsid w:val="00D44862"/>
    <w:rsid w:val="00D448B0"/>
    <w:rsid w:val="00D448D5"/>
    <w:rsid w:val="00D44905"/>
    <w:rsid w:val="00D4494D"/>
    <w:rsid w:val="00D4497B"/>
    <w:rsid w:val="00D449D8"/>
    <w:rsid w:val="00D44A2A"/>
    <w:rsid w:val="00D44A46"/>
    <w:rsid w:val="00D44A76"/>
    <w:rsid w:val="00D44AF4"/>
    <w:rsid w:val="00D44B33"/>
    <w:rsid w:val="00D44B92"/>
    <w:rsid w:val="00D44B98"/>
    <w:rsid w:val="00D44BC7"/>
    <w:rsid w:val="00D44BD2"/>
    <w:rsid w:val="00D44C02"/>
    <w:rsid w:val="00D44C0C"/>
    <w:rsid w:val="00D44CDF"/>
    <w:rsid w:val="00D44D2E"/>
    <w:rsid w:val="00D44D96"/>
    <w:rsid w:val="00D44DF6"/>
    <w:rsid w:val="00D44DF7"/>
    <w:rsid w:val="00D44DFE"/>
    <w:rsid w:val="00D44E12"/>
    <w:rsid w:val="00D44E4B"/>
    <w:rsid w:val="00D44E5B"/>
    <w:rsid w:val="00D44E76"/>
    <w:rsid w:val="00D44E7B"/>
    <w:rsid w:val="00D44E7F"/>
    <w:rsid w:val="00D44F26"/>
    <w:rsid w:val="00D44F41"/>
    <w:rsid w:val="00D44F53"/>
    <w:rsid w:val="00D44F6E"/>
    <w:rsid w:val="00D44FC0"/>
    <w:rsid w:val="00D44FD8"/>
    <w:rsid w:val="00D44FDF"/>
    <w:rsid w:val="00D4501C"/>
    <w:rsid w:val="00D4502C"/>
    <w:rsid w:val="00D45063"/>
    <w:rsid w:val="00D450F0"/>
    <w:rsid w:val="00D45129"/>
    <w:rsid w:val="00D4513C"/>
    <w:rsid w:val="00D4519E"/>
    <w:rsid w:val="00D4519F"/>
    <w:rsid w:val="00D451A9"/>
    <w:rsid w:val="00D451F9"/>
    <w:rsid w:val="00D45203"/>
    <w:rsid w:val="00D4523D"/>
    <w:rsid w:val="00D452C9"/>
    <w:rsid w:val="00D452CF"/>
    <w:rsid w:val="00D45321"/>
    <w:rsid w:val="00D453C6"/>
    <w:rsid w:val="00D4542B"/>
    <w:rsid w:val="00D4548E"/>
    <w:rsid w:val="00D454A9"/>
    <w:rsid w:val="00D454BC"/>
    <w:rsid w:val="00D454D7"/>
    <w:rsid w:val="00D454DB"/>
    <w:rsid w:val="00D4555F"/>
    <w:rsid w:val="00D45574"/>
    <w:rsid w:val="00D4558E"/>
    <w:rsid w:val="00D4559F"/>
    <w:rsid w:val="00D455AF"/>
    <w:rsid w:val="00D455B8"/>
    <w:rsid w:val="00D455E1"/>
    <w:rsid w:val="00D45635"/>
    <w:rsid w:val="00D4566B"/>
    <w:rsid w:val="00D456D6"/>
    <w:rsid w:val="00D456E7"/>
    <w:rsid w:val="00D456FC"/>
    <w:rsid w:val="00D45745"/>
    <w:rsid w:val="00D45756"/>
    <w:rsid w:val="00D457C9"/>
    <w:rsid w:val="00D45809"/>
    <w:rsid w:val="00D45842"/>
    <w:rsid w:val="00D45854"/>
    <w:rsid w:val="00D45857"/>
    <w:rsid w:val="00D45867"/>
    <w:rsid w:val="00D458B9"/>
    <w:rsid w:val="00D458BB"/>
    <w:rsid w:val="00D458EB"/>
    <w:rsid w:val="00D458F0"/>
    <w:rsid w:val="00D4590E"/>
    <w:rsid w:val="00D4596E"/>
    <w:rsid w:val="00D45981"/>
    <w:rsid w:val="00D459C9"/>
    <w:rsid w:val="00D459DA"/>
    <w:rsid w:val="00D459ED"/>
    <w:rsid w:val="00D45A35"/>
    <w:rsid w:val="00D45A3F"/>
    <w:rsid w:val="00D45A42"/>
    <w:rsid w:val="00D45AFE"/>
    <w:rsid w:val="00D45B2B"/>
    <w:rsid w:val="00D45B65"/>
    <w:rsid w:val="00D45B70"/>
    <w:rsid w:val="00D45BF9"/>
    <w:rsid w:val="00D45C3D"/>
    <w:rsid w:val="00D45C96"/>
    <w:rsid w:val="00D45C9F"/>
    <w:rsid w:val="00D45CCB"/>
    <w:rsid w:val="00D45CFF"/>
    <w:rsid w:val="00D45D2C"/>
    <w:rsid w:val="00D45D7B"/>
    <w:rsid w:val="00D45E22"/>
    <w:rsid w:val="00D45E3A"/>
    <w:rsid w:val="00D45F1E"/>
    <w:rsid w:val="00D45F5B"/>
    <w:rsid w:val="00D45FE0"/>
    <w:rsid w:val="00D46012"/>
    <w:rsid w:val="00D46036"/>
    <w:rsid w:val="00D460CC"/>
    <w:rsid w:val="00D4614A"/>
    <w:rsid w:val="00D46191"/>
    <w:rsid w:val="00D461AF"/>
    <w:rsid w:val="00D461BF"/>
    <w:rsid w:val="00D461C4"/>
    <w:rsid w:val="00D461D5"/>
    <w:rsid w:val="00D4629A"/>
    <w:rsid w:val="00D462B5"/>
    <w:rsid w:val="00D46341"/>
    <w:rsid w:val="00D46343"/>
    <w:rsid w:val="00D46384"/>
    <w:rsid w:val="00D46398"/>
    <w:rsid w:val="00D463C3"/>
    <w:rsid w:val="00D463C6"/>
    <w:rsid w:val="00D463F7"/>
    <w:rsid w:val="00D46423"/>
    <w:rsid w:val="00D46480"/>
    <w:rsid w:val="00D464AF"/>
    <w:rsid w:val="00D464BA"/>
    <w:rsid w:val="00D464C3"/>
    <w:rsid w:val="00D46513"/>
    <w:rsid w:val="00D4652C"/>
    <w:rsid w:val="00D4653B"/>
    <w:rsid w:val="00D4655F"/>
    <w:rsid w:val="00D4659D"/>
    <w:rsid w:val="00D4659E"/>
    <w:rsid w:val="00D465BF"/>
    <w:rsid w:val="00D46610"/>
    <w:rsid w:val="00D466BF"/>
    <w:rsid w:val="00D466D7"/>
    <w:rsid w:val="00D4675A"/>
    <w:rsid w:val="00D467AB"/>
    <w:rsid w:val="00D467B1"/>
    <w:rsid w:val="00D467B4"/>
    <w:rsid w:val="00D46811"/>
    <w:rsid w:val="00D46847"/>
    <w:rsid w:val="00D46856"/>
    <w:rsid w:val="00D468DC"/>
    <w:rsid w:val="00D468FB"/>
    <w:rsid w:val="00D46998"/>
    <w:rsid w:val="00D469BA"/>
    <w:rsid w:val="00D469BF"/>
    <w:rsid w:val="00D469E4"/>
    <w:rsid w:val="00D46A0E"/>
    <w:rsid w:val="00D46A72"/>
    <w:rsid w:val="00D46A85"/>
    <w:rsid w:val="00D46AAF"/>
    <w:rsid w:val="00D46AB2"/>
    <w:rsid w:val="00D46AB6"/>
    <w:rsid w:val="00D46AC5"/>
    <w:rsid w:val="00D46B1E"/>
    <w:rsid w:val="00D46B1F"/>
    <w:rsid w:val="00D46B7B"/>
    <w:rsid w:val="00D46C04"/>
    <w:rsid w:val="00D46C7C"/>
    <w:rsid w:val="00D46C8F"/>
    <w:rsid w:val="00D46CFC"/>
    <w:rsid w:val="00D46D08"/>
    <w:rsid w:val="00D46D0A"/>
    <w:rsid w:val="00D46DB4"/>
    <w:rsid w:val="00D46E03"/>
    <w:rsid w:val="00D46E49"/>
    <w:rsid w:val="00D46E83"/>
    <w:rsid w:val="00D46EC2"/>
    <w:rsid w:val="00D46ED6"/>
    <w:rsid w:val="00D46EE8"/>
    <w:rsid w:val="00D46F0B"/>
    <w:rsid w:val="00D46F80"/>
    <w:rsid w:val="00D46F97"/>
    <w:rsid w:val="00D46FA6"/>
    <w:rsid w:val="00D47067"/>
    <w:rsid w:val="00D47072"/>
    <w:rsid w:val="00D47080"/>
    <w:rsid w:val="00D47082"/>
    <w:rsid w:val="00D470A3"/>
    <w:rsid w:val="00D470B9"/>
    <w:rsid w:val="00D470C2"/>
    <w:rsid w:val="00D470D2"/>
    <w:rsid w:val="00D470F1"/>
    <w:rsid w:val="00D4715B"/>
    <w:rsid w:val="00D471BF"/>
    <w:rsid w:val="00D471DD"/>
    <w:rsid w:val="00D471EB"/>
    <w:rsid w:val="00D47244"/>
    <w:rsid w:val="00D4724B"/>
    <w:rsid w:val="00D472D8"/>
    <w:rsid w:val="00D4730C"/>
    <w:rsid w:val="00D47310"/>
    <w:rsid w:val="00D4734F"/>
    <w:rsid w:val="00D473F6"/>
    <w:rsid w:val="00D47463"/>
    <w:rsid w:val="00D47499"/>
    <w:rsid w:val="00D474F0"/>
    <w:rsid w:val="00D47570"/>
    <w:rsid w:val="00D4757A"/>
    <w:rsid w:val="00D4759E"/>
    <w:rsid w:val="00D475A5"/>
    <w:rsid w:val="00D475AD"/>
    <w:rsid w:val="00D47607"/>
    <w:rsid w:val="00D47615"/>
    <w:rsid w:val="00D47675"/>
    <w:rsid w:val="00D476EA"/>
    <w:rsid w:val="00D47703"/>
    <w:rsid w:val="00D47722"/>
    <w:rsid w:val="00D47750"/>
    <w:rsid w:val="00D477D0"/>
    <w:rsid w:val="00D477EB"/>
    <w:rsid w:val="00D47805"/>
    <w:rsid w:val="00D4789F"/>
    <w:rsid w:val="00D478DD"/>
    <w:rsid w:val="00D478F4"/>
    <w:rsid w:val="00D4796B"/>
    <w:rsid w:val="00D479BC"/>
    <w:rsid w:val="00D479C6"/>
    <w:rsid w:val="00D47A01"/>
    <w:rsid w:val="00D47A91"/>
    <w:rsid w:val="00D47AA1"/>
    <w:rsid w:val="00D47AA8"/>
    <w:rsid w:val="00D47B46"/>
    <w:rsid w:val="00D47B63"/>
    <w:rsid w:val="00D47B6D"/>
    <w:rsid w:val="00D47B99"/>
    <w:rsid w:val="00D47BA7"/>
    <w:rsid w:val="00D47BB5"/>
    <w:rsid w:val="00D47BEA"/>
    <w:rsid w:val="00D47BFF"/>
    <w:rsid w:val="00D47C07"/>
    <w:rsid w:val="00D47C1A"/>
    <w:rsid w:val="00D47C3A"/>
    <w:rsid w:val="00D47C43"/>
    <w:rsid w:val="00D47CA3"/>
    <w:rsid w:val="00D47CC4"/>
    <w:rsid w:val="00D47CCA"/>
    <w:rsid w:val="00D47CD2"/>
    <w:rsid w:val="00D47CE3"/>
    <w:rsid w:val="00D47D07"/>
    <w:rsid w:val="00D47D39"/>
    <w:rsid w:val="00D47D75"/>
    <w:rsid w:val="00D47D8B"/>
    <w:rsid w:val="00D47DF0"/>
    <w:rsid w:val="00D47E5E"/>
    <w:rsid w:val="00D47E77"/>
    <w:rsid w:val="00D47EA6"/>
    <w:rsid w:val="00D47F08"/>
    <w:rsid w:val="00D47F09"/>
    <w:rsid w:val="00D47F1D"/>
    <w:rsid w:val="00D47F4E"/>
    <w:rsid w:val="00D47F61"/>
    <w:rsid w:val="00D5001E"/>
    <w:rsid w:val="00D50041"/>
    <w:rsid w:val="00D50094"/>
    <w:rsid w:val="00D50095"/>
    <w:rsid w:val="00D500A9"/>
    <w:rsid w:val="00D500B7"/>
    <w:rsid w:val="00D50121"/>
    <w:rsid w:val="00D501A5"/>
    <w:rsid w:val="00D50232"/>
    <w:rsid w:val="00D50269"/>
    <w:rsid w:val="00D502D4"/>
    <w:rsid w:val="00D5034B"/>
    <w:rsid w:val="00D50364"/>
    <w:rsid w:val="00D50443"/>
    <w:rsid w:val="00D5044F"/>
    <w:rsid w:val="00D5045E"/>
    <w:rsid w:val="00D504C8"/>
    <w:rsid w:val="00D504CB"/>
    <w:rsid w:val="00D504DB"/>
    <w:rsid w:val="00D50572"/>
    <w:rsid w:val="00D5058E"/>
    <w:rsid w:val="00D505C9"/>
    <w:rsid w:val="00D505EA"/>
    <w:rsid w:val="00D505EE"/>
    <w:rsid w:val="00D50602"/>
    <w:rsid w:val="00D50617"/>
    <w:rsid w:val="00D50621"/>
    <w:rsid w:val="00D50645"/>
    <w:rsid w:val="00D5065B"/>
    <w:rsid w:val="00D506B3"/>
    <w:rsid w:val="00D506CA"/>
    <w:rsid w:val="00D506ED"/>
    <w:rsid w:val="00D50715"/>
    <w:rsid w:val="00D50775"/>
    <w:rsid w:val="00D50787"/>
    <w:rsid w:val="00D50797"/>
    <w:rsid w:val="00D507C0"/>
    <w:rsid w:val="00D507DB"/>
    <w:rsid w:val="00D507DE"/>
    <w:rsid w:val="00D50810"/>
    <w:rsid w:val="00D50816"/>
    <w:rsid w:val="00D50858"/>
    <w:rsid w:val="00D50865"/>
    <w:rsid w:val="00D50879"/>
    <w:rsid w:val="00D50887"/>
    <w:rsid w:val="00D508F7"/>
    <w:rsid w:val="00D50926"/>
    <w:rsid w:val="00D5092A"/>
    <w:rsid w:val="00D5092C"/>
    <w:rsid w:val="00D50939"/>
    <w:rsid w:val="00D509A4"/>
    <w:rsid w:val="00D509D4"/>
    <w:rsid w:val="00D509DA"/>
    <w:rsid w:val="00D50A0F"/>
    <w:rsid w:val="00D50A29"/>
    <w:rsid w:val="00D50A2D"/>
    <w:rsid w:val="00D50A47"/>
    <w:rsid w:val="00D50A49"/>
    <w:rsid w:val="00D50A85"/>
    <w:rsid w:val="00D50ADC"/>
    <w:rsid w:val="00D50B97"/>
    <w:rsid w:val="00D50BBD"/>
    <w:rsid w:val="00D50BC6"/>
    <w:rsid w:val="00D50C8E"/>
    <w:rsid w:val="00D50C99"/>
    <w:rsid w:val="00D50CA8"/>
    <w:rsid w:val="00D50CDD"/>
    <w:rsid w:val="00D50D5E"/>
    <w:rsid w:val="00D50D63"/>
    <w:rsid w:val="00D50DDD"/>
    <w:rsid w:val="00D50DDE"/>
    <w:rsid w:val="00D50ED7"/>
    <w:rsid w:val="00D50EE3"/>
    <w:rsid w:val="00D50EEB"/>
    <w:rsid w:val="00D50F39"/>
    <w:rsid w:val="00D50F5B"/>
    <w:rsid w:val="00D50F8B"/>
    <w:rsid w:val="00D50F8D"/>
    <w:rsid w:val="00D50FC0"/>
    <w:rsid w:val="00D51008"/>
    <w:rsid w:val="00D51011"/>
    <w:rsid w:val="00D51060"/>
    <w:rsid w:val="00D5108F"/>
    <w:rsid w:val="00D510A5"/>
    <w:rsid w:val="00D510D6"/>
    <w:rsid w:val="00D510D7"/>
    <w:rsid w:val="00D510EC"/>
    <w:rsid w:val="00D510F9"/>
    <w:rsid w:val="00D51115"/>
    <w:rsid w:val="00D51117"/>
    <w:rsid w:val="00D51152"/>
    <w:rsid w:val="00D51182"/>
    <w:rsid w:val="00D51195"/>
    <w:rsid w:val="00D511C4"/>
    <w:rsid w:val="00D51202"/>
    <w:rsid w:val="00D51249"/>
    <w:rsid w:val="00D512E6"/>
    <w:rsid w:val="00D512F4"/>
    <w:rsid w:val="00D51310"/>
    <w:rsid w:val="00D5134C"/>
    <w:rsid w:val="00D5134D"/>
    <w:rsid w:val="00D5137D"/>
    <w:rsid w:val="00D5138B"/>
    <w:rsid w:val="00D513A7"/>
    <w:rsid w:val="00D513B7"/>
    <w:rsid w:val="00D513C2"/>
    <w:rsid w:val="00D51450"/>
    <w:rsid w:val="00D5148F"/>
    <w:rsid w:val="00D51495"/>
    <w:rsid w:val="00D5149F"/>
    <w:rsid w:val="00D514AA"/>
    <w:rsid w:val="00D514BB"/>
    <w:rsid w:val="00D514C5"/>
    <w:rsid w:val="00D514CF"/>
    <w:rsid w:val="00D5151F"/>
    <w:rsid w:val="00D51590"/>
    <w:rsid w:val="00D515CD"/>
    <w:rsid w:val="00D515F5"/>
    <w:rsid w:val="00D51610"/>
    <w:rsid w:val="00D51624"/>
    <w:rsid w:val="00D51682"/>
    <w:rsid w:val="00D51684"/>
    <w:rsid w:val="00D51691"/>
    <w:rsid w:val="00D516B8"/>
    <w:rsid w:val="00D516E6"/>
    <w:rsid w:val="00D51708"/>
    <w:rsid w:val="00D51736"/>
    <w:rsid w:val="00D51741"/>
    <w:rsid w:val="00D5177B"/>
    <w:rsid w:val="00D51792"/>
    <w:rsid w:val="00D517AA"/>
    <w:rsid w:val="00D517E9"/>
    <w:rsid w:val="00D517FB"/>
    <w:rsid w:val="00D5183B"/>
    <w:rsid w:val="00D5185C"/>
    <w:rsid w:val="00D518F7"/>
    <w:rsid w:val="00D5194F"/>
    <w:rsid w:val="00D5197E"/>
    <w:rsid w:val="00D5199C"/>
    <w:rsid w:val="00D519B0"/>
    <w:rsid w:val="00D51A0A"/>
    <w:rsid w:val="00D51A72"/>
    <w:rsid w:val="00D51A8A"/>
    <w:rsid w:val="00D51ACC"/>
    <w:rsid w:val="00D51AFA"/>
    <w:rsid w:val="00D51B23"/>
    <w:rsid w:val="00D51B2B"/>
    <w:rsid w:val="00D51B2F"/>
    <w:rsid w:val="00D51B46"/>
    <w:rsid w:val="00D51B52"/>
    <w:rsid w:val="00D51B78"/>
    <w:rsid w:val="00D51C53"/>
    <w:rsid w:val="00D51C7E"/>
    <w:rsid w:val="00D51C8C"/>
    <w:rsid w:val="00D51CE6"/>
    <w:rsid w:val="00D51D4D"/>
    <w:rsid w:val="00D51D9A"/>
    <w:rsid w:val="00D51DD6"/>
    <w:rsid w:val="00D51DE0"/>
    <w:rsid w:val="00D51E36"/>
    <w:rsid w:val="00D51E5C"/>
    <w:rsid w:val="00D51E74"/>
    <w:rsid w:val="00D51E8F"/>
    <w:rsid w:val="00D51E9E"/>
    <w:rsid w:val="00D51EAB"/>
    <w:rsid w:val="00D51EB6"/>
    <w:rsid w:val="00D51EE3"/>
    <w:rsid w:val="00D51EEC"/>
    <w:rsid w:val="00D51EF3"/>
    <w:rsid w:val="00D51F62"/>
    <w:rsid w:val="00D51F79"/>
    <w:rsid w:val="00D51F80"/>
    <w:rsid w:val="00D51FBA"/>
    <w:rsid w:val="00D51FF7"/>
    <w:rsid w:val="00D51FFE"/>
    <w:rsid w:val="00D52016"/>
    <w:rsid w:val="00D5201F"/>
    <w:rsid w:val="00D520C7"/>
    <w:rsid w:val="00D520D5"/>
    <w:rsid w:val="00D520EB"/>
    <w:rsid w:val="00D52102"/>
    <w:rsid w:val="00D52124"/>
    <w:rsid w:val="00D52130"/>
    <w:rsid w:val="00D52147"/>
    <w:rsid w:val="00D5215B"/>
    <w:rsid w:val="00D52161"/>
    <w:rsid w:val="00D5217F"/>
    <w:rsid w:val="00D521E8"/>
    <w:rsid w:val="00D521F9"/>
    <w:rsid w:val="00D52206"/>
    <w:rsid w:val="00D52209"/>
    <w:rsid w:val="00D52249"/>
    <w:rsid w:val="00D5232B"/>
    <w:rsid w:val="00D52342"/>
    <w:rsid w:val="00D52351"/>
    <w:rsid w:val="00D5235F"/>
    <w:rsid w:val="00D5237B"/>
    <w:rsid w:val="00D523B3"/>
    <w:rsid w:val="00D523DA"/>
    <w:rsid w:val="00D523DF"/>
    <w:rsid w:val="00D52414"/>
    <w:rsid w:val="00D52456"/>
    <w:rsid w:val="00D524B8"/>
    <w:rsid w:val="00D524C3"/>
    <w:rsid w:val="00D524D0"/>
    <w:rsid w:val="00D524EA"/>
    <w:rsid w:val="00D52547"/>
    <w:rsid w:val="00D5266D"/>
    <w:rsid w:val="00D5269B"/>
    <w:rsid w:val="00D52709"/>
    <w:rsid w:val="00D5274C"/>
    <w:rsid w:val="00D527F5"/>
    <w:rsid w:val="00D527F9"/>
    <w:rsid w:val="00D52819"/>
    <w:rsid w:val="00D52865"/>
    <w:rsid w:val="00D52893"/>
    <w:rsid w:val="00D528A2"/>
    <w:rsid w:val="00D52989"/>
    <w:rsid w:val="00D5298D"/>
    <w:rsid w:val="00D529A7"/>
    <w:rsid w:val="00D52A0C"/>
    <w:rsid w:val="00D52A48"/>
    <w:rsid w:val="00D52A58"/>
    <w:rsid w:val="00D52A82"/>
    <w:rsid w:val="00D52AAC"/>
    <w:rsid w:val="00D52AEA"/>
    <w:rsid w:val="00D52AF2"/>
    <w:rsid w:val="00D52B4E"/>
    <w:rsid w:val="00D52B58"/>
    <w:rsid w:val="00D52BC1"/>
    <w:rsid w:val="00D52C4D"/>
    <w:rsid w:val="00D52CA7"/>
    <w:rsid w:val="00D52CD6"/>
    <w:rsid w:val="00D52CE9"/>
    <w:rsid w:val="00D52D33"/>
    <w:rsid w:val="00D52D7E"/>
    <w:rsid w:val="00D52D99"/>
    <w:rsid w:val="00D52DAE"/>
    <w:rsid w:val="00D52DC3"/>
    <w:rsid w:val="00D52DE2"/>
    <w:rsid w:val="00D52EA9"/>
    <w:rsid w:val="00D52F18"/>
    <w:rsid w:val="00D52F27"/>
    <w:rsid w:val="00D52F64"/>
    <w:rsid w:val="00D52FDE"/>
    <w:rsid w:val="00D52FEB"/>
    <w:rsid w:val="00D53022"/>
    <w:rsid w:val="00D53074"/>
    <w:rsid w:val="00D53083"/>
    <w:rsid w:val="00D530B7"/>
    <w:rsid w:val="00D53105"/>
    <w:rsid w:val="00D5316B"/>
    <w:rsid w:val="00D531C9"/>
    <w:rsid w:val="00D53228"/>
    <w:rsid w:val="00D53257"/>
    <w:rsid w:val="00D5331C"/>
    <w:rsid w:val="00D53370"/>
    <w:rsid w:val="00D53371"/>
    <w:rsid w:val="00D53385"/>
    <w:rsid w:val="00D53396"/>
    <w:rsid w:val="00D533D0"/>
    <w:rsid w:val="00D533FC"/>
    <w:rsid w:val="00D53498"/>
    <w:rsid w:val="00D534BC"/>
    <w:rsid w:val="00D534E1"/>
    <w:rsid w:val="00D53504"/>
    <w:rsid w:val="00D5352D"/>
    <w:rsid w:val="00D53537"/>
    <w:rsid w:val="00D53541"/>
    <w:rsid w:val="00D535D6"/>
    <w:rsid w:val="00D5361C"/>
    <w:rsid w:val="00D53626"/>
    <w:rsid w:val="00D53644"/>
    <w:rsid w:val="00D53649"/>
    <w:rsid w:val="00D53661"/>
    <w:rsid w:val="00D53687"/>
    <w:rsid w:val="00D537A7"/>
    <w:rsid w:val="00D537FB"/>
    <w:rsid w:val="00D53807"/>
    <w:rsid w:val="00D53868"/>
    <w:rsid w:val="00D538A3"/>
    <w:rsid w:val="00D538A8"/>
    <w:rsid w:val="00D538B1"/>
    <w:rsid w:val="00D538FC"/>
    <w:rsid w:val="00D53930"/>
    <w:rsid w:val="00D5397E"/>
    <w:rsid w:val="00D539B7"/>
    <w:rsid w:val="00D539D3"/>
    <w:rsid w:val="00D53A71"/>
    <w:rsid w:val="00D53A8B"/>
    <w:rsid w:val="00D53AB0"/>
    <w:rsid w:val="00D53AB1"/>
    <w:rsid w:val="00D53AB5"/>
    <w:rsid w:val="00D53B31"/>
    <w:rsid w:val="00D53B73"/>
    <w:rsid w:val="00D53B7C"/>
    <w:rsid w:val="00D53BD7"/>
    <w:rsid w:val="00D53BF4"/>
    <w:rsid w:val="00D53C3F"/>
    <w:rsid w:val="00D53C44"/>
    <w:rsid w:val="00D53C5E"/>
    <w:rsid w:val="00D53C66"/>
    <w:rsid w:val="00D53CD8"/>
    <w:rsid w:val="00D53D15"/>
    <w:rsid w:val="00D53D33"/>
    <w:rsid w:val="00D53D41"/>
    <w:rsid w:val="00D53D91"/>
    <w:rsid w:val="00D53DA1"/>
    <w:rsid w:val="00D53DC3"/>
    <w:rsid w:val="00D53E21"/>
    <w:rsid w:val="00D53E22"/>
    <w:rsid w:val="00D53E25"/>
    <w:rsid w:val="00D53EA6"/>
    <w:rsid w:val="00D53EE8"/>
    <w:rsid w:val="00D53F54"/>
    <w:rsid w:val="00D53F75"/>
    <w:rsid w:val="00D53F98"/>
    <w:rsid w:val="00D53FCF"/>
    <w:rsid w:val="00D53FD6"/>
    <w:rsid w:val="00D54086"/>
    <w:rsid w:val="00D54096"/>
    <w:rsid w:val="00D540D1"/>
    <w:rsid w:val="00D540EC"/>
    <w:rsid w:val="00D54132"/>
    <w:rsid w:val="00D5415E"/>
    <w:rsid w:val="00D54194"/>
    <w:rsid w:val="00D541A9"/>
    <w:rsid w:val="00D5424B"/>
    <w:rsid w:val="00D54261"/>
    <w:rsid w:val="00D54273"/>
    <w:rsid w:val="00D542C3"/>
    <w:rsid w:val="00D54313"/>
    <w:rsid w:val="00D5434E"/>
    <w:rsid w:val="00D543B0"/>
    <w:rsid w:val="00D543FD"/>
    <w:rsid w:val="00D54423"/>
    <w:rsid w:val="00D5442E"/>
    <w:rsid w:val="00D54439"/>
    <w:rsid w:val="00D54444"/>
    <w:rsid w:val="00D54472"/>
    <w:rsid w:val="00D54484"/>
    <w:rsid w:val="00D544A5"/>
    <w:rsid w:val="00D544CE"/>
    <w:rsid w:val="00D5459A"/>
    <w:rsid w:val="00D545A7"/>
    <w:rsid w:val="00D545CB"/>
    <w:rsid w:val="00D545E7"/>
    <w:rsid w:val="00D54618"/>
    <w:rsid w:val="00D5462C"/>
    <w:rsid w:val="00D54636"/>
    <w:rsid w:val="00D54654"/>
    <w:rsid w:val="00D54664"/>
    <w:rsid w:val="00D5466E"/>
    <w:rsid w:val="00D54684"/>
    <w:rsid w:val="00D546B3"/>
    <w:rsid w:val="00D54709"/>
    <w:rsid w:val="00D5470E"/>
    <w:rsid w:val="00D5471E"/>
    <w:rsid w:val="00D5474E"/>
    <w:rsid w:val="00D54753"/>
    <w:rsid w:val="00D5479C"/>
    <w:rsid w:val="00D547E7"/>
    <w:rsid w:val="00D54856"/>
    <w:rsid w:val="00D54874"/>
    <w:rsid w:val="00D54891"/>
    <w:rsid w:val="00D548A8"/>
    <w:rsid w:val="00D548C3"/>
    <w:rsid w:val="00D54911"/>
    <w:rsid w:val="00D54950"/>
    <w:rsid w:val="00D54954"/>
    <w:rsid w:val="00D5498D"/>
    <w:rsid w:val="00D549F6"/>
    <w:rsid w:val="00D54A4D"/>
    <w:rsid w:val="00D54A9D"/>
    <w:rsid w:val="00D54AE2"/>
    <w:rsid w:val="00D54B27"/>
    <w:rsid w:val="00D54B32"/>
    <w:rsid w:val="00D54B3B"/>
    <w:rsid w:val="00D54B60"/>
    <w:rsid w:val="00D54B9A"/>
    <w:rsid w:val="00D54BD4"/>
    <w:rsid w:val="00D54BFF"/>
    <w:rsid w:val="00D54C44"/>
    <w:rsid w:val="00D54C67"/>
    <w:rsid w:val="00D54CBF"/>
    <w:rsid w:val="00D54CEE"/>
    <w:rsid w:val="00D54DAF"/>
    <w:rsid w:val="00D54DCE"/>
    <w:rsid w:val="00D54E0F"/>
    <w:rsid w:val="00D54E52"/>
    <w:rsid w:val="00D54E55"/>
    <w:rsid w:val="00D54E8C"/>
    <w:rsid w:val="00D54E90"/>
    <w:rsid w:val="00D54ECB"/>
    <w:rsid w:val="00D54EE0"/>
    <w:rsid w:val="00D54EE6"/>
    <w:rsid w:val="00D54F19"/>
    <w:rsid w:val="00D54F86"/>
    <w:rsid w:val="00D54F9E"/>
    <w:rsid w:val="00D54FBA"/>
    <w:rsid w:val="00D55004"/>
    <w:rsid w:val="00D55019"/>
    <w:rsid w:val="00D55072"/>
    <w:rsid w:val="00D550AF"/>
    <w:rsid w:val="00D550C4"/>
    <w:rsid w:val="00D550D4"/>
    <w:rsid w:val="00D550F4"/>
    <w:rsid w:val="00D55102"/>
    <w:rsid w:val="00D55112"/>
    <w:rsid w:val="00D55176"/>
    <w:rsid w:val="00D551B1"/>
    <w:rsid w:val="00D55221"/>
    <w:rsid w:val="00D5524F"/>
    <w:rsid w:val="00D55258"/>
    <w:rsid w:val="00D55279"/>
    <w:rsid w:val="00D55299"/>
    <w:rsid w:val="00D552CE"/>
    <w:rsid w:val="00D55367"/>
    <w:rsid w:val="00D553AF"/>
    <w:rsid w:val="00D553F3"/>
    <w:rsid w:val="00D55421"/>
    <w:rsid w:val="00D5545A"/>
    <w:rsid w:val="00D55480"/>
    <w:rsid w:val="00D55494"/>
    <w:rsid w:val="00D554BF"/>
    <w:rsid w:val="00D554CD"/>
    <w:rsid w:val="00D554E9"/>
    <w:rsid w:val="00D55510"/>
    <w:rsid w:val="00D55519"/>
    <w:rsid w:val="00D55529"/>
    <w:rsid w:val="00D55540"/>
    <w:rsid w:val="00D55545"/>
    <w:rsid w:val="00D55579"/>
    <w:rsid w:val="00D5559F"/>
    <w:rsid w:val="00D555A5"/>
    <w:rsid w:val="00D555B1"/>
    <w:rsid w:val="00D555B6"/>
    <w:rsid w:val="00D555DC"/>
    <w:rsid w:val="00D5560A"/>
    <w:rsid w:val="00D55625"/>
    <w:rsid w:val="00D5563D"/>
    <w:rsid w:val="00D55650"/>
    <w:rsid w:val="00D55673"/>
    <w:rsid w:val="00D55682"/>
    <w:rsid w:val="00D556BF"/>
    <w:rsid w:val="00D556DE"/>
    <w:rsid w:val="00D556F7"/>
    <w:rsid w:val="00D5573B"/>
    <w:rsid w:val="00D55784"/>
    <w:rsid w:val="00D5579C"/>
    <w:rsid w:val="00D557DD"/>
    <w:rsid w:val="00D55800"/>
    <w:rsid w:val="00D558D1"/>
    <w:rsid w:val="00D558F9"/>
    <w:rsid w:val="00D558FE"/>
    <w:rsid w:val="00D55903"/>
    <w:rsid w:val="00D55919"/>
    <w:rsid w:val="00D5593B"/>
    <w:rsid w:val="00D55971"/>
    <w:rsid w:val="00D559B5"/>
    <w:rsid w:val="00D559C6"/>
    <w:rsid w:val="00D55B02"/>
    <w:rsid w:val="00D55B26"/>
    <w:rsid w:val="00D55B2E"/>
    <w:rsid w:val="00D55B8D"/>
    <w:rsid w:val="00D55B8F"/>
    <w:rsid w:val="00D55BEF"/>
    <w:rsid w:val="00D55C27"/>
    <w:rsid w:val="00D55C2E"/>
    <w:rsid w:val="00D55C8B"/>
    <w:rsid w:val="00D55CF7"/>
    <w:rsid w:val="00D55D25"/>
    <w:rsid w:val="00D55D61"/>
    <w:rsid w:val="00D55DA2"/>
    <w:rsid w:val="00D55DA5"/>
    <w:rsid w:val="00D55DB3"/>
    <w:rsid w:val="00D55DC8"/>
    <w:rsid w:val="00D55E6F"/>
    <w:rsid w:val="00D55E86"/>
    <w:rsid w:val="00D55EBF"/>
    <w:rsid w:val="00D55EC6"/>
    <w:rsid w:val="00D55ECC"/>
    <w:rsid w:val="00D55ED9"/>
    <w:rsid w:val="00D55EE1"/>
    <w:rsid w:val="00D55EED"/>
    <w:rsid w:val="00D55EF3"/>
    <w:rsid w:val="00D55F05"/>
    <w:rsid w:val="00D55F15"/>
    <w:rsid w:val="00D55F1F"/>
    <w:rsid w:val="00D55F44"/>
    <w:rsid w:val="00D55FED"/>
    <w:rsid w:val="00D56113"/>
    <w:rsid w:val="00D56207"/>
    <w:rsid w:val="00D56235"/>
    <w:rsid w:val="00D56266"/>
    <w:rsid w:val="00D56271"/>
    <w:rsid w:val="00D56282"/>
    <w:rsid w:val="00D562B7"/>
    <w:rsid w:val="00D562BA"/>
    <w:rsid w:val="00D56329"/>
    <w:rsid w:val="00D5632A"/>
    <w:rsid w:val="00D5638C"/>
    <w:rsid w:val="00D5641E"/>
    <w:rsid w:val="00D564CC"/>
    <w:rsid w:val="00D56510"/>
    <w:rsid w:val="00D56511"/>
    <w:rsid w:val="00D5653E"/>
    <w:rsid w:val="00D56576"/>
    <w:rsid w:val="00D56583"/>
    <w:rsid w:val="00D565BE"/>
    <w:rsid w:val="00D56627"/>
    <w:rsid w:val="00D5664D"/>
    <w:rsid w:val="00D56653"/>
    <w:rsid w:val="00D56670"/>
    <w:rsid w:val="00D56671"/>
    <w:rsid w:val="00D56679"/>
    <w:rsid w:val="00D56713"/>
    <w:rsid w:val="00D5672D"/>
    <w:rsid w:val="00D56743"/>
    <w:rsid w:val="00D5675A"/>
    <w:rsid w:val="00D56778"/>
    <w:rsid w:val="00D5678B"/>
    <w:rsid w:val="00D567AD"/>
    <w:rsid w:val="00D567C7"/>
    <w:rsid w:val="00D56841"/>
    <w:rsid w:val="00D5684D"/>
    <w:rsid w:val="00D5688D"/>
    <w:rsid w:val="00D568C9"/>
    <w:rsid w:val="00D5695A"/>
    <w:rsid w:val="00D56997"/>
    <w:rsid w:val="00D569B4"/>
    <w:rsid w:val="00D569B5"/>
    <w:rsid w:val="00D569B8"/>
    <w:rsid w:val="00D569F1"/>
    <w:rsid w:val="00D56A63"/>
    <w:rsid w:val="00D56AB8"/>
    <w:rsid w:val="00D56B4A"/>
    <w:rsid w:val="00D56B5E"/>
    <w:rsid w:val="00D56BD8"/>
    <w:rsid w:val="00D56C3A"/>
    <w:rsid w:val="00D56C81"/>
    <w:rsid w:val="00D56CA7"/>
    <w:rsid w:val="00D56CBD"/>
    <w:rsid w:val="00D56CBF"/>
    <w:rsid w:val="00D56D28"/>
    <w:rsid w:val="00D56D7D"/>
    <w:rsid w:val="00D56E31"/>
    <w:rsid w:val="00D56E45"/>
    <w:rsid w:val="00D56E4A"/>
    <w:rsid w:val="00D56E6C"/>
    <w:rsid w:val="00D56E7D"/>
    <w:rsid w:val="00D56ED6"/>
    <w:rsid w:val="00D56ED7"/>
    <w:rsid w:val="00D56EFA"/>
    <w:rsid w:val="00D56F51"/>
    <w:rsid w:val="00D56F56"/>
    <w:rsid w:val="00D56F71"/>
    <w:rsid w:val="00D56FA5"/>
    <w:rsid w:val="00D56FF4"/>
    <w:rsid w:val="00D5708D"/>
    <w:rsid w:val="00D570CE"/>
    <w:rsid w:val="00D57112"/>
    <w:rsid w:val="00D57128"/>
    <w:rsid w:val="00D57188"/>
    <w:rsid w:val="00D571B2"/>
    <w:rsid w:val="00D571C1"/>
    <w:rsid w:val="00D571CE"/>
    <w:rsid w:val="00D571CF"/>
    <w:rsid w:val="00D571DC"/>
    <w:rsid w:val="00D57274"/>
    <w:rsid w:val="00D57276"/>
    <w:rsid w:val="00D57295"/>
    <w:rsid w:val="00D572A3"/>
    <w:rsid w:val="00D572E4"/>
    <w:rsid w:val="00D572FB"/>
    <w:rsid w:val="00D57385"/>
    <w:rsid w:val="00D57393"/>
    <w:rsid w:val="00D57452"/>
    <w:rsid w:val="00D57455"/>
    <w:rsid w:val="00D5745D"/>
    <w:rsid w:val="00D5747F"/>
    <w:rsid w:val="00D574B4"/>
    <w:rsid w:val="00D574C7"/>
    <w:rsid w:val="00D574E4"/>
    <w:rsid w:val="00D574F8"/>
    <w:rsid w:val="00D57517"/>
    <w:rsid w:val="00D575BB"/>
    <w:rsid w:val="00D575D5"/>
    <w:rsid w:val="00D575FE"/>
    <w:rsid w:val="00D57649"/>
    <w:rsid w:val="00D57693"/>
    <w:rsid w:val="00D5769C"/>
    <w:rsid w:val="00D57726"/>
    <w:rsid w:val="00D57739"/>
    <w:rsid w:val="00D57767"/>
    <w:rsid w:val="00D57772"/>
    <w:rsid w:val="00D57796"/>
    <w:rsid w:val="00D577E7"/>
    <w:rsid w:val="00D57814"/>
    <w:rsid w:val="00D57880"/>
    <w:rsid w:val="00D578F8"/>
    <w:rsid w:val="00D5794D"/>
    <w:rsid w:val="00D57953"/>
    <w:rsid w:val="00D57959"/>
    <w:rsid w:val="00D57980"/>
    <w:rsid w:val="00D57A19"/>
    <w:rsid w:val="00D57A83"/>
    <w:rsid w:val="00D57A9C"/>
    <w:rsid w:val="00D57B09"/>
    <w:rsid w:val="00D57B42"/>
    <w:rsid w:val="00D57B77"/>
    <w:rsid w:val="00D57B95"/>
    <w:rsid w:val="00D57BFF"/>
    <w:rsid w:val="00D57C10"/>
    <w:rsid w:val="00D57C47"/>
    <w:rsid w:val="00D57C7E"/>
    <w:rsid w:val="00D57C8D"/>
    <w:rsid w:val="00D57C8E"/>
    <w:rsid w:val="00D57D01"/>
    <w:rsid w:val="00D57D44"/>
    <w:rsid w:val="00D57DA0"/>
    <w:rsid w:val="00D57E42"/>
    <w:rsid w:val="00D57E55"/>
    <w:rsid w:val="00D57E99"/>
    <w:rsid w:val="00D57EFF"/>
    <w:rsid w:val="00D57F43"/>
    <w:rsid w:val="00D57FB7"/>
    <w:rsid w:val="00D57FCD"/>
    <w:rsid w:val="00D60021"/>
    <w:rsid w:val="00D600D3"/>
    <w:rsid w:val="00D600EF"/>
    <w:rsid w:val="00D6012B"/>
    <w:rsid w:val="00D60157"/>
    <w:rsid w:val="00D6018C"/>
    <w:rsid w:val="00D601B3"/>
    <w:rsid w:val="00D601C3"/>
    <w:rsid w:val="00D601D2"/>
    <w:rsid w:val="00D60256"/>
    <w:rsid w:val="00D60262"/>
    <w:rsid w:val="00D60368"/>
    <w:rsid w:val="00D60369"/>
    <w:rsid w:val="00D6038F"/>
    <w:rsid w:val="00D6040B"/>
    <w:rsid w:val="00D6040F"/>
    <w:rsid w:val="00D60474"/>
    <w:rsid w:val="00D6052F"/>
    <w:rsid w:val="00D60576"/>
    <w:rsid w:val="00D605C7"/>
    <w:rsid w:val="00D605DD"/>
    <w:rsid w:val="00D605E0"/>
    <w:rsid w:val="00D606AA"/>
    <w:rsid w:val="00D606D1"/>
    <w:rsid w:val="00D60703"/>
    <w:rsid w:val="00D6074B"/>
    <w:rsid w:val="00D6075B"/>
    <w:rsid w:val="00D6076C"/>
    <w:rsid w:val="00D60772"/>
    <w:rsid w:val="00D607B8"/>
    <w:rsid w:val="00D607C3"/>
    <w:rsid w:val="00D60827"/>
    <w:rsid w:val="00D60838"/>
    <w:rsid w:val="00D608B5"/>
    <w:rsid w:val="00D60944"/>
    <w:rsid w:val="00D6097B"/>
    <w:rsid w:val="00D609BE"/>
    <w:rsid w:val="00D609CF"/>
    <w:rsid w:val="00D60A18"/>
    <w:rsid w:val="00D60A42"/>
    <w:rsid w:val="00D60A8C"/>
    <w:rsid w:val="00D60B08"/>
    <w:rsid w:val="00D60B1A"/>
    <w:rsid w:val="00D60B1B"/>
    <w:rsid w:val="00D60B5F"/>
    <w:rsid w:val="00D60B70"/>
    <w:rsid w:val="00D60BBA"/>
    <w:rsid w:val="00D60BE5"/>
    <w:rsid w:val="00D60C0F"/>
    <w:rsid w:val="00D60C57"/>
    <w:rsid w:val="00D60CA1"/>
    <w:rsid w:val="00D60CAB"/>
    <w:rsid w:val="00D60CB5"/>
    <w:rsid w:val="00D60D20"/>
    <w:rsid w:val="00D60D5A"/>
    <w:rsid w:val="00D60E08"/>
    <w:rsid w:val="00D60E09"/>
    <w:rsid w:val="00D60E3B"/>
    <w:rsid w:val="00D60ED3"/>
    <w:rsid w:val="00D60F92"/>
    <w:rsid w:val="00D60FB4"/>
    <w:rsid w:val="00D60FF4"/>
    <w:rsid w:val="00D6102A"/>
    <w:rsid w:val="00D6102E"/>
    <w:rsid w:val="00D61051"/>
    <w:rsid w:val="00D61073"/>
    <w:rsid w:val="00D610A1"/>
    <w:rsid w:val="00D610A8"/>
    <w:rsid w:val="00D610B1"/>
    <w:rsid w:val="00D610F3"/>
    <w:rsid w:val="00D6111E"/>
    <w:rsid w:val="00D6113D"/>
    <w:rsid w:val="00D61172"/>
    <w:rsid w:val="00D61189"/>
    <w:rsid w:val="00D611A2"/>
    <w:rsid w:val="00D61220"/>
    <w:rsid w:val="00D61238"/>
    <w:rsid w:val="00D6123F"/>
    <w:rsid w:val="00D61244"/>
    <w:rsid w:val="00D6126B"/>
    <w:rsid w:val="00D61296"/>
    <w:rsid w:val="00D6129D"/>
    <w:rsid w:val="00D612BA"/>
    <w:rsid w:val="00D61318"/>
    <w:rsid w:val="00D61335"/>
    <w:rsid w:val="00D61341"/>
    <w:rsid w:val="00D6135A"/>
    <w:rsid w:val="00D613C6"/>
    <w:rsid w:val="00D613EF"/>
    <w:rsid w:val="00D614AD"/>
    <w:rsid w:val="00D614BB"/>
    <w:rsid w:val="00D614EF"/>
    <w:rsid w:val="00D61538"/>
    <w:rsid w:val="00D61563"/>
    <w:rsid w:val="00D6162E"/>
    <w:rsid w:val="00D6168B"/>
    <w:rsid w:val="00D616DC"/>
    <w:rsid w:val="00D6170A"/>
    <w:rsid w:val="00D6172D"/>
    <w:rsid w:val="00D61755"/>
    <w:rsid w:val="00D617C9"/>
    <w:rsid w:val="00D61833"/>
    <w:rsid w:val="00D61845"/>
    <w:rsid w:val="00D6184B"/>
    <w:rsid w:val="00D61867"/>
    <w:rsid w:val="00D6186D"/>
    <w:rsid w:val="00D61882"/>
    <w:rsid w:val="00D618BD"/>
    <w:rsid w:val="00D618FE"/>
    <w:rsid w:val="00D61927"/>
    <w:rsid w:val="00D619D3"/>
    <w:rsid w:val="00D619FF"/>
    <w:rsid w:val="00D61A1A"/>
    <w:rsid w:val="00D61A2B"/>
    <w:rsid w:val="00D61A49"/>
    <w:rsid w:val="00D61A4D"/>
    <w:rsid w:val="00D61A5E"/>
    <w:rsid w:val="00D61AA1"/>
    <w:rsid w:val="00D61AAA"/>
    <w:rsid w:val="00D61AD1"/>
    <w:rsid w:val="00D61AE9"/>
    <w:rsid w:val="00D61AEB"/>
    <w:rsid w:val="00D61AF4"/>
    <w:rsid w:val="00D61B1E"/>
    <w:rsid w:val="00D61BD3"/>
    <w:rsid w:val="00D61C24"/>
    <w:rsid w:val="00D61CC2"/>
    <w:rsid w:val="00D61D57"/>
    <w:rsid w:val="00D61D6A"/>
    <w:rsid w:val="00D61DB7"/>
    <w:rsid w:val="00D61DDC"/>
    <w:rsid w:val="00D61DE4"/>
    <w:rsid w:val="00D61DF0"/>
    <w:rsid w:val="00D61DF4"/>
    <w:rsid w:val="00D61E21"/>
    <w:rsid w:val="00D61E22"/>
    <w:rsid w:val="00D61E25"/>
    <w:rsid w:val="00D61E71"/>
    <w:rsid w:val="00D61EB8"/>
    <w:rsid w:val="00D61F26"/>
    <w:rsid w:val="00D61F56"/>
    <w:rsid w:val="00D61F86"/>
    <w:rsid w:val="00D61F8B"/>
    <w:rsid w:val="00D61F98"/>
    <w:rsid w:val="00D61FC2"/>
    <w:rsid w:val="00D61FC4"/>
    <w:rsid w:val="00D62015"/>
    <w:rsid w:val="00D62086"/>
    <w:rsid w:val="00D62180"/>
    <w:rsid w:val="00D62192"/>
    <w:rsid w:val="00D6222B"/>
    <w:rsid w:val="00D6225F"/>
    <w:rsid w:val="00D62271"/>
    <w:rsid w:val="00D6229B"/>
    <w:rsid w:val="00D622F0"/>
    <w:rsid w:val="00D62305"/>
    <w:rsid w:val="00D62309"/>
    <w:rsid w:val="00D62337"/>
    <w:rsid w:val="00D62349"/>
    <w:rsid w:val="00D62383"/>
    <w:rsid w:val="00D62394"/>
    <w:rsid w:val="00D623D4"/>
    <w:rsid w:val="00D623ED"/>
    <w:rsid w:val="00D6246F"/>
    <w:rsid w:val="00D624D3"/>
    <w:rsid w:val="00D6258E"/>
    <w:rsid w:val="00D625A3"/>
    <w:rsid w:val="00D625AE"/>
    <w:rsid w:val="00D6261B"/>
    <w:rsid w:val="00D62645"/>
    <w:rsid w:val="00D62682"/>
    <w:rsid w:val="00D626A3"/>
    <w:rsid w:val="00D626A6"/>
    <w:rsid w:val="00D626C7"/>
    <w:rsid w:val="00D62708"/>
    <w:rsid w:val="00D62724"/>
    <w:rsid w:val="00D6274A"/>
    <w:rsid w:val="00D62787"/>
    <w:rsid w:val="00D62796"/>
    <w:rsid w:val="00D627AB"/>
    <w:rsid w:val="00D627B1"/>
    <w:rsid w:val="00D627B2"/>
    <w:rsid w:val="00D627C4"/>
    <w:rsid w:val="00D62837"/>
    <w:rsid w:val="00D62889"/>
    <w:rsid w:val="00D628CB"/>
    <w:rsid w:val="00D6291D"/>
    <w:rsid w:val="00D62938"/>
    <w:rsid w:val="00D62994"/>
    <w:rsid w:val="00D629AB"/>
    <w:rsid w:val="00D62A02"/>
    <w:rsid w:val="00D62ACC"/>
    <w:rsid w:val="00D62AE3"/>
    <w:rsid w:val="00D62AF6"/>
    <w:rsid w:val="00D62B06"/>
    <w:rsid w:val="00D62B0C"/>
    <w:rsid w:val="00D62B21"/>
    <w:rsid w:val="00D62B2F"/>
    <w:rsid w:val="00D62B39"/>
    <w:rsid w:val="00D62B96"/>
    <w:rsid w:val="00D62B97"/>
    <w:rsid w:val="00D62BC0"/>
    <w:rsid w:val="00D62BDB"/>
    <w:rsid w:val="00D62C00"/>
    <w:rsid w:val="00D62C38"/>
    <w:rsid w:val="00D62C41"/>
    <w:rsid w:val="00D62C49"/>
    <w:rsid w:val="00D62C65"/>
    <w:rsid w:val="00D62C83"/>
    <w:rsid w:val="00D62CD5"/>
    <w:rsid w:val="00D62D36"/>
    <w:rsid w:val="00D62D3B"/>
    <w:rsid w:val="00D62D51"/>
    <w:rsid w:val="00D62D8B"/>
    <w:rsid w:val="00D62DA3"/>
    <w:rsid w:val="00D62E1B"/>
    <w:rsid w:val="00D62E41"/>
    <w:rsid w:val="00D62E46"/>
    <w:rsid w:val="00D62E58"/>
    <w:rsid w:val="00D62E7A"/>
    <w:rsid w:val="00D62E80"/>
    <w:rsid w:val="00D62E84"/>
    <w:rsid w:val="00D62ED3"/>
    <w:rsid w:val="00D62F03"/>
    <w:rsid w:val="00D62F4A"/>
    <w:rsid w:val="00D62F62"/>
    <w:rsid w:val="00D62F72"/>
    <w:rsid w:val="00D62F73"/>
    <w:rsid w:val="00D62F77"/>
    <w:rsid w:val="00D62F85"/>
    <w:rsid w:val="00D62FA0"/>
    <w:rsid w:val="00D62FEE"/>
    <w:rsid w:val="00D63084"/>
    <w:rsid w:val="00D6309B"/>
    <w:rsid w:val="00D630BB"/>
    <w:rsid w:val="00D63129"/>
    <w:rsid w:val="00D6316D"/>
    <w:rsid w:val="00D6319F"/>
    <w:rsid w:val="00D6323A"/>
    <w:rsid w:val="00D6326C"/>
    <w:rsid w:val="00D632AE"/>
    <w:rsid w:val="00D63326"/>
    <w:rsid w:val="00D6333A"/>
    <w:rsid w:val="00D63348"/>
    <w:rsid w:val="00D63388"/>
    <w:rsid w:val="00D633A3"/>
    <w:rsid w:val="00D633B6"/>
    <w:rsid w:val="00D633C3"/>
    <w:rsid w:val="00D633CB"/>
    <w:rsid w:val="00D633D3"/>
    <w:rsid w:val="00D633F0"/>
    <w:rsid w:val="00D63425"/>
    <w:rsid w:val="00D63441"/>
    <w:rsid w:val="00D63450"/>
    <w:rsid w:val="00D6348A"/>
    <w:rsid w:val="00D634B0"/>
    <w:rsid w:val="00D6352F"/>
    <w:rsid w:val="00D63538"/>
    <w:rsid w:val="00D63574"/>
    <w:rsid w:val="00D635A1"/>
    <w:rsid w:val="00D635A8"/>
    <w:rsid w:val="00D635CE"/>
    <w:rsid w:val="00D635DC"/>
    <w:rsid w:val="00D635FC"/>
    <w:rsid w:val="00D635FE"/>
    <w:rsid w:val="00D63633"/>
    <w:rsid w:val="00D6365D"/>
    <w:rsid w:val="00D636E1"/>
    <w:rsid w:val="00D63722"/>
    <w:rsid w:val="00D63782"/>
    <w:rsid w:val="00D6379E"/>
    <w:rsid w:val="00D637CB"/>
    <w:rsid w:val="00D637F8"/>
    <w:rsid w:val="00D6380A"/>
    <w:rsid w:val="00D63846"/>
    <w:rsid w:val="00D63882"/>
    <w:rsid w:val="00D638D2"/>
    <w:rsid w:val="00D63919"/>
    <w:rsid w:val="00D6396B"/>
    <w:rsid w:val="00D63A76"/>
    <w:rsid w:val="00D63A8F"/>
    <w:rsid w:val="00D63AA1"/>
    <w:rsid w:val="00D63ABE"/>
    <w:rsid w:val="00D63AE7"/>
    <w:rsid w:val="00D63BAF"/>
    <w:rsid w:val="00D63BDE"/>
    <w:rsid w:val="00D63BF5"/>
    <w:rsid w:val="00D63C25"/>
    <w:rsid w:val="00D63D03"/>
    <w:rsid w:val="00D63DAE"/>
    <w:rsid w:val="00D63DCD"/>
    <w:rsid w:val="00D63DEC"/>
    <w:rsid w:val="00D63E18"/>
    <w:rsid w:val="00D63E45"/>
    <w:rsid w:val="00D63E47"/>
    <w:rsid w:val="00D63E5A"/>
    <w:rsid w:val="00D63F29"/>
    <w:rsid w:val="00D64003"/>
    <w:rsid w:val="00D64012"/>
    <w:rsid w:val="00D6408F"/>
    <w:rsid w:val="00D640A3"/>
    <w:rsid w:val="00D640BB"/>
    <w:rsid w:val="00D640FE"/>
    <w:rsid w:val="00D6412F"/>
    <w:rsid w:val="00D641F6"/>
    <w:rsid w:val="00D64209"/>
    <w:rsid w:val="00D6424D"/>
    <w:rsid w:val="00D6427A"/>
    <w:rsid w:val="00D642C9"/>
    <w:rsid w:val="00D642F7"/>
    <w:rsid w:val="00D64307"/>
    <w:rsid w:val="00D64310"/>
    <w:rsid w:val="00D64332"/>
    <w:rsid w:val="00D64374"/>
    <w:rsid w:val="00D64381"/>
    <w:rsid w:val="00D6439B"/>
    <w:rsid w:val="00D643DB"/>
    <w:rsid w:val="00D643F4"/>
    <w:rsid w:val="00D64427"/>
    <w:rsid w:val="00D64453"/>
    <w:rsid w:val="00D64484"/>
    <w:rsid w:val="00D644BB"/>
    <w:rsid w:val="00D644DA"/>
    <w:rsid w:val="00D644E6"/>
    <w:rsid w:val="00D644EE"/>
    <w:rsid w:val="00D64507"/>
    <w:rsid w:val="00D6450E"/>
    <w:rsid w:val="00D6455A"/>
    <w:rsid w:val="00D64564"/>
    <w:rsid w:val="00D6457D"/>
    <w:rsid w:val="00D64588"/>
    <w:rsid w:val="00D645B3"/>
    <w:rsid w:val="00D645DF"/>
    <w:rsid w:val="00D645ED"/>
    <w:rsid w:val="00D645F1"/>
    <w:rsid w:val="00D64611"/>
    <w:rsid w:val="00D64616"/>
    <w:rsid w:val="00D64628"/>
    <w:rsid w:val="00D646EA"/>
    <w:rsid w:val="00D6470F"/>
    <w:rsid w:val="00D6472A"/>
    <w:rsid w:val="00D64750"/>
    <w:rsid w:val="00D64815"/>
    <w:rsid w:val="00D6484F"/>
    <w:rsid w:val="00D648A9"/>
    <w:rsid w:val="00D648C4"/>
    <w:rsid w:val="00D64932"/>
    <w:rsid w:val="00D6495E"/>
    <w:rsid w:val="00D64997"/>
    <w:rsid w:val="00D649D7"/>
    <w:rsid w:val="00D64A2D"/>
    <w:rsid w:val="00D64A5E"/>
    <w:rsid w:val="00D64A86"/>
    <w:rsid w:val="00D64ADD"/>
    <w:rsid w:val="00D64B13"/>
    <w:rsid w:val="00D64B59"/>
    <w:rsid w:val="00D64B73"/>
    <w:rsid w:val="00D64BAF"/>
    <w:rsid w:val="00D64BB8"/>
    <w:rsid w:val="00D64C20"/>
    <w:rsid w:val="00D64C45"/>
    <w:rsid w:val="00D64C60"/>
    <w:rsid w:val="00D64CA5"/>
    <w:rsid w:val="00D64CD4"/>
    <w:rsid w:val="00D64CEC"/>
    <w:rsid w:val="00D64CFE"/>
    <w:rsid w:val="00D64D6A"/>
    <w:rsid w:val="00D64D73"/>
    <w:rsid w:val="00D64D89"/>
    <w:rsid w:val="00D64E05"/>
    <w:rsid w:val="00D64E17"/>
    <w:rsid w:val="00D64E2A"/>
    <w:rsid w:val="00D64E42"/>
    <w:rsid w:val="00D64E47"/>
    <w:rsid w:val="00D64E85"/>
    <w:rsid w:val="00D64E8F"/>
    <w:rsid w:val="00D64EB1"/>
    <w:rsid w:val="00D64ED3"/>
    <w:rsid w:val="00D64F32"/>
    <w:rsid w:val="00D64F38"/>
    <w:rsid w:val="00D64FF4"/>
    <w:rsid w:val="00D650A2"/>
    <w:rsid w:val="00D6512F"/>
    <w:rsid w:val="00D651B7"/>
    <w:rsid w:val="00D651DC"/>
    <w:rsid w:val="00D65203"/>
    <w:rsid w:val="00D6522A"/>
    <w:rsid w:val="00D6522B"/>
    <w:rsid w:val="00D65257"/>
    <w:rsid w:val="00D65258"/>
    <w:rsid w:val="00D65283"/>
    <w:rsid w:val="00D652A2"/>
    <w:rsid w:val="00D652D8"/>
    <w:rsid w:val="00D652E8"/>
    <w:rsid w:val="00D65368"/>
    <w:rsid w:val="00D65466"/>
    <w:rsid w:val="00D6546E"/>
    <w:rsid w:val="00D65498"/>
    <w:rsid w:val="00D65548"/>
    <w:rsid w:val="00D65566"/>
    <w:rsid w:val="00D6557A"/>
    <w:rsid w:val="00D65597"/>
    <w:rsid w:val="00D65607"/>
    <w:rsid w:val="00D65641"/>
    <w:rsid w:val="00D6565B"/>
    <w:rsid w:val="00D6565E"/>
    <w:rsid w:val="00D65697"/>
    <w:rsid w:val="00D65699"/>
    <w:rsid w:val="00D65721"/>
    <w:rsid w:val="00D65736"/>
    <w:rsid w:val="00D657AD"/>
    <w:rsid w:val="00D657C7"/>
    <w:rsid w:val="00D657EC"/>
    <w:rsid w:val="00D6581B"/>
    <w:rsid w:val="00D6581E"/>
    <w:rsid w:val="00D65898"/>
    <w:rsid w:val="00D65912"/>
    <w:rsid w:val="00D65915"/>
    <w:rsid w:val="00D659B6"/>
    <w:rsid w:val="00D659BA"/>
    <w:rsid w:val="00D659CC"/>
    <w:rsid w:val="00D659F6"/>
    <w:rsid w:val="00D65A08"/>
    <w:rsid w:val="00D65A0B"/>
    <w:rsid w:val="00D65A48"/>
    <w:rsid w:val="00D65A49"/>
    <w:rsid w:val="00D65A5C"/>
    <w:rsid w:val="00D65A68"/>
    <w:rsid w:val="00D65A8E"/>
    <w:rsid w:val="00D65A93"/>
    <w:rsid w:val="00D65AA8"/>
    <w:rsid w:val="00D65AB5"/>
    <w:rsid w:val="00D65AE9"/>
    <w:rsid w:val="00D65B04"/>
    <w:rsid w:val="00D65B79"/>
    <w:rsid w:val="00D65B91"/>
    <w:rsid w:val="00D65C42"/>
    <w:rsid w:val="00D65C75"/>
    <w:rsid w:val="00D65CB1"/>
    <w:rsid w:val="00D65D54"/>
    <w:rsid w:val="00D65D74"/>
    <w:rsid w:val="00D65E1F"/>
    <w:rsid w:val="00D65E64"/>
    <w:rsid w:val="00D65E79"/>
    <w:rsid w:val="00D65E80"/>
    <w:rsid w:val="00D65EA7"/>
    <w:rsid w:val="00D65EF5"/>
    <w:rsid w:val="00D65F31"/>
    <w:rsid w:val="00D65F5A"/>
    <w:rsid w:val="00D65F60"/>
    <w:rsid w:val="00D65F62"/>
    <w:rsid w:val="00D65FEF"/>
    <w:rsid w:val="00D66007"/>
    <w:rsid w:val="00D66012"/>
    <w:rsid w:val="00D66031"/>
    <w:rsid w:val="00D6603A"/>
    <w:rsid w:val="00D6604A"/>
    <w:rsid w:val="00D66055"/>
    <w:rsid w:val="00D66076"/>
    <w:rsid w:val="00D66092"/>
    <w:rsid w:val="00D660B7"/>
    <w:rsid w:val="00D660BD"/>
    <w:rsid w:val="00D660CB"/>
    <w:rsid w:val="00D660E2"/>
    <w:rsid w:val="00D66124"/>
    <w:rsid w:val="00D66135"/>
    <w:rsid w:val="00D66186"/>
    <w:rsid w:val="00D661AD"/>
    <w:rsid w:val="00D661F3"/>
    <w:rsid w:val="00D661F9"/>
    <w:rsid w:val="00D6621B"/>
    <w:rsid w:val="00D6622A"/>
    <w:rsid w:val="00D66247"/>
    <w:rsid w:val="00D66294"/>
    <w:rsid w:val="00D662C3"/>
    <w:rsid w:val="00D66346"/>
    <w:rsid w:val="00D663B7"/>
    <w:rsid w:val="00D663F3"/>
    <w:rsid w:val="00D66410"/>
    <w:rsid w:val="00D66432"/>
    <w:rsid w:val="00D66451"/>
    <w:rsid w:val="00D66468"/>
    <w:rsid w:val="00D6647A"/>
    <w:rsid w:val="00D66539"/>
    <w:rsid w:val="00D66557"/>
    <w:rsid w:val="00D6656C"/>
    <w:rsid w:val="00D6657B"/>
    <w:rsid w:val="00D66678"/>
    <w:rsid w:val="00D6667B"/>
    <w:rsid w:val="00D6668C"/>
    <w:rsid w:val="00D666D2"/>
    <w:rsid w:val="00D666EC"/>
    <w:rsid w:val="00D66704"/>
    <w:rsid w:val="00D66707"/>
    <w:rsid w:val="00D66710"/>
    <w:rsid w:val="00D66819"/>
    <w:rsid w:val="00D66825"/>
    <w:rsid w:val="00D66826"/>
    <w:rsid w:val="00D66868"/>
    <w:rsid w:val="00D668F1"/>
    <w:rsid w:val="00D66905"/>
    <w:rsid w:val="00D6697B"/>
    <w:rsid w:val="00D66985"/>
    <w:rsid w:val="00D66988"/>
    <w:rsid w:val="00D669A1"/>
    <w:rsid w:val="00D669FA"/>
    <w:rsid w:val="00D66A2E"/>
    <w:rsid w:val="00D66A37"/>
    <w:rsid w:val="00D66A5D"/>
    <w:rsid w:val="00D66A76"/>
    <w:rsid w:val="00D66AA2"/>
    <w:rsid w:val="00D66ACA"/>
    <w:rsid w:val="00D66ADB"/>
    <w:rsid w:val="00D66B09"/>
    <w:rsid w:val="00D66B0E"/>
    <w:rsid w:val="00D66C7C"/>
    <w:rsid w:val="00D66C93"/>
    <w:rsid w:val="00D66C99"/>
    <w:rsid w:val="00D66C9E"/>
    <w:rsid w:val="00D66CD1"/>
    <w:rsid w:val="00D66D48"/>
    <w:rsid w:val="00D66D5F"/>
    <w:rsid w:val="00D66D67"/>
    <w:rsid w:val="00D66D68"/>
    <w:rsid w:val="00D66DB3"/>
    <w:rsid w:val="00D66DCB"/>
    <w:rsid w:val="00D66E56"/>
    <w:rsid w:val="00D66E59"/>
    <w:rsid w:val="00D66E63"/>
    <w:rsid w:val="00D66E7E"/>
    <w:rsid w:val="00D66E88"/>
    <w:rsid w:val="00D66E89"/>
    <w:rsid w:val="00D66EBF"/>
    <w:rsid w:val="00D66EF8"/>
    <w:rsid w:val="00D66F0E"/>
    <w:rsid w:val="00D66F89"/>
    <w:rsid w:val="00D66F8C"/>
    <w:rsid w:val="00D67009"/>
    <w:rsid w:val="00D67037"/>
    <w:rsid w:val="00D67125"/>
    <w:rsid w:val="00D67146"/>
    <w:rsid w:val="00D6715D"/>
    <w:rsid w:val="00D67173"/>
    <w:rsid w:val="00D67187"/>
    <w:rsid w:val="00D671DB"/>
    <w:rsid w:val="00D67247"/>
    <w:rsid w:val="00D67272"/>
    <w:rsid w:val="00D672A0"/>
    <w:rsid w:val="00D672AF"/>
    <w:rsid w:val="00D672F0"/>
    <w:rsid w:val="00D67358"/>
    <w:rsid w:val="00D6739B"/>
    <w:rsid w:val="00D673A4"/>
    <w:rsid w:val="00D673C9"/>
    <w:rsid w:val="00D673F9"/>
    <w:rsid w:val="00D6746E"/>
    <w:rsid w:val="00D674A6"/>
    <w:rsid w:val="00D674B9"/>
    <w:rsid w:val="00D67518"/>
    <w:rsid w:val="00D67527"/>
    <w:rsid w:val="00D675DF"/>
    <w:rsid w:val="00D67621"/>
    <w:rsid w:val="00D67634"/>
    <w:rsid w:val="00D67644"/>
    <w:rsid w:val="00D67668"/>
    <w:rsid w:val="00D676AD"/>
    <w:rsid w:val="00D676DD"/>
    <w:rsid w:val="00D676E7"/>
    <w:rsid w:val="00D67714"/>
    <w:rsid w:val="00D67735"/>
    <w:rsid w:val="00D67763"/>
    <w:rsid w:val="00D67768"/>
    <w:rsid w:val="00D67787"/>
    <w:rsid w:val="00D677B9"/>
    <w:rsid w:val="00D677C2"/>
    <w:rsid w:val="00D677C8"/>
    <w:rsid w:val="00D677E9"/>
    <w:rsid w:val="00D67802"/>
    <w:rsid w:val="00D67812"/>
    <w:rsid w:val="00D6788B"/>
    <w:rsid w:val="00D6788F"/>
    <w:rsid w:val="00D678AA"/>
    <w:rsid w:val="00D67944"/>
    <w:rsid w:val="00D6795D"/>
    <w:rsid w:val="00D67962"/>
    <w:rsid w:val="00D67968"/>
    <w:rsid w:val="00D67971"/>
    <w:rsid w:val="00D67980"/>
    <w:rsid w:val="00D679EE"/>
    <w:rsid w:val="00D67A2A"/>
    <w:rsid w:val="00D67AAA"/>
    <w:rsid w:val="00D67AAB"/>
    <w:rsid w:val="00D67ABB"/>
    <w:rsid w:val="00D67B4A"/>
    <w:rsid w:val="00D67B4D"/>
    <w:rsid w:val="00D67B5C"/>
    <w:rsid w:val="00D67BB5"/>
    <w:rsid w:val="00D67C1E"/>
    <w:rsid w:val="00D67CC3"/>
    <w:rsid w:val="00D67D82"/>
    <w:rsid w:val="00D67E2E"/>
    <w:rsid w:val="00D67E9C"/>
    <w:rsid w:val="00D67EE6"/>
    <w:rsid w:val="00D67F0F"/>
    <w:rsid w:val="00D67F2E"/>
    <w:rsid w:val="00D67F6A"/>
    <w:rsid w:val="00D67F78"/>
    <w:rsid w:val="00D67F84"/>
    <w:rsid w:val="00D67F88"/>
    <w:rsid w:val="00D67FC6"/>
    <w:rsid w:val="00D70038"/>
    <w:rsid w:val="00D70087"/>
    <w:rsid w:val="00D700FF"/>
    <w:rsid w:val="00D7010B"/>
    <w:rsid w:val="00D70175"/>
    <w:rsid w:val="00D7017B"/>
    <w:rsid w:val="00D701CD"/>
    <w:rsid w:val="00D701D8"/>
    <w:rsid w:val="00D7022B"/>
    <w:rsid w:val="00D7024A"/>
    <w:rsid w:val="00D70255"/>
    <w:rsid w:val="00D70258"/>
    <w:rsid w:val="00D702EF"/>
    <w:rsid w:val="00D70346"/>
    <w:rsid w:val="00D703AD"/>
    <w:rsid w:val="00D703C0"/>
    <w:rsid w:val="00D703D5"/>
    <w:rsid w:val="00D703E3"/>
    <w:rsid w:val="00D70418"/>
    <w:rsid w:val="00D70423"/>
    <w:rsid w:val="00D70461"/>
    <w:rsid w:val="00D704A6"/>
    <w:rsid w:val="00D704B0"/>
    <w:rsid w:val="00D704D9"/>
    <w:rsid w:val="00D704E1"/>
    <w:rsid w:val="00D7052F"/>
    <w:rsid w:val="00D7057E"/>
    <w:rsid w:val="00D70592"/>
    <w:rsid w:val="00D7059D"/>
    <w:rsid w:val="00D705D1"/>
    <w:rsid w:val="00D70627"/>
    <w:rsid w:val="00D706D0"/>
    <w:rsid w:val="00D706D1"/>
    <w:rsid w:val="00D706E9"/>
    <w:rsid w:val="00D706F9"/>
    <w:rsid w:val="00D70722"/>
    <w:rsid w:val="00D707A0"/>
    <w:rsid w:val="00D707AF"/>
    <w:rsid w:val="00D707E5"/>
    <w:rsid w:val="00D707FA"/>
    <w:rsid w:val="00D70843"/>
    <w:rsid w:val="00D7085F"/>
    <w:rsid w:val="00D708DE"/>
    <w:rsid w:val="00D708FD"/>
    <w:rsid w:val="00D708FE"/>
    <w:rsid w:val="00D7092E"/>
    <w:rsid w:val="00D70949"/>
    <w:rsid w:val="00D70A06"/>
    <w:rsid w:val="00D70A9B"/>
    <w:rsid w:val="00D70AC1"/>
    <w:rsid w:val="00D70AD9"/>
    <w:rsid w:val="00D70AF1"/>
    <w:rsid w:val="00D70AF3"/>
    <w:rsid w:val="00D70B36"/>
    <w:rsid w:val="00D70B3B"/>
    <w:rsid w:val="00D70B48"/>
    <w:rsid w:val="00D70B7B"/>
    <w:rsid w:val="00D70B7E"/>
    <w:rsid w:val="00D70B82"/>
    <w:rsid w:val="00D70B84"/>
    <w:rsid w:val="00D70BAB"/>
    <w:rsid w:val="00D70BFC"/>
    <w:rsid w:val="00D70C2C"/>
    <w:rsid w:val="00D70C59"/>
    <w:rsid w:val="00D70CA1"/>
    <w:rsid w:val="00D70CA7"/>
    <w:rsid w:val="00D70D7B"/>
    <w:rsid w:val="00D70D8E"/>
    <w:rsid w:val="00D70DB7"/>
    <w:rsid w:val="00D70DC1"/>
    <w:rsid w:val="00D70E38"/>
    <w:rsid w:val="00D70E72"/>
    <w:rsid w:val="00D70EA2"/>
    <w:rsid w:val="00D70EA8"/>
    <w:rsid w:val="00D70ED0"/>
    <w:rsid w:val="00D70FFE"/>
    <w:rsid w:val="00D7111F"/>
    <w:rsid w:val="00D71125"/>
    <w:rsid w:val="00D71132"/>
    <w:rsid w:val="00D71188"/>
    <w:rsid w:val="00D711A8"/>
    <w:rsid w:val="00D71217"/>
    <w:rsid w:val="00D7127C"/>
    <w:rsid w:val="00D712A0"/>
    <w:rsid w:val="00D712C5"/>
    <w:rsid w:val="00D712CE"/>
    <w:rsid w:val="00D712EB"/>
    <w:rsid w:val="00D712FB"/>
    <w:rsid w:val="00D713CD"/>
    <w:rsid w:val="00D71439"/>
    <w:rsid w:val="00D7149A"/>
    <w:rsid w:val="00D714E9"/>
    <w:rsid w:val="00D7151C"/>
    <w:rsid w:val="00D71551"/>
    <w:rsid w:val="00D71560"/>
    <w:rsid w:val="00D7158D"/>
    <w:rsid w:val="00D71652"/>
    <w:rsid w:val="00D71678"/>
    <w:rsid w:val="00D716AF"/>
    <w:rsid w:val="00D716EE"/>
    <w:rsid w:val="00D7173E"/>
    <w:rsid w:val="00D7176D"/>
    <w:rsid w:val="00D71780"/>
    <w:rsid w:val="00D71798"/>
    <w:rsid w:val="00D717C3"/>
    <w:rsid w:val="00D717F5"/>
    <w:rsid w:val="00D7182E"/>
    <w:rsid w:val="00D71836"/>
    <w:rsid w:val="00D7187B"/>
    <w:rsid w:val="00D71895"/>
    <w:rsid w:val="00D718B1"/>
    <w:rsid w:val="00D718C1"/>
    <w:rsid w:val="00D71931"/>
    <w:rsid w:val="00D71935"/>
    <w:rsid w:val="00D71978"/>
    <w:rsid w:val="00D719A6"/>
    <w:rsid w:val="00D719B8"/>
    <w:rsid w:val="00D719CE"/>
    <w:rsid w:val="00D71A16"/>
    <w:rsid w:val="00D71A1B"/>
    <w:rsid w:val="00D71A2A"/>
    <w:rsid w:val="00D71A5B"/>
    <w:rsid w:val="00D71A89"/>
    <w:rsid w:val="00D71AB9"/>
    <w:rsid w:val="00D71ACA"/>
    <w:rsid w:val="00D71AE6"/>
    <w:rsid w:val="00D71B29"/>
    <w:rsid w:val="00D71B2E"/>
    <w:rsid w:val="00D71B32"/>
    <w:rsid w:val="00D71B6A"/>
    <w:rsid w:val="00D71B6D"/>
    <w:rsid w:val="00D71B9C"/>
    <w:rsid w:val="00D71BD4"/>
    <w:rsid w:val="00D71BD7"/>
    <w:rsid w:val="00D71C3C"/>
    <w:rsid w:val="00D71C80"/>
    <w:rsid w:val="00D71C83"/>
    <w:rsid w:val="00D71CA8"/>
    <w:rsid w:val="00D71CC7"/>
    <w:rsid w:val="00D71D27"/>
    <w:rsid w:val="00D71D59"/>
    <w:rsid w:val="00D71D63"/>
    <w:rsid w:val="00D71D78"/>
    <w:rsid w:val="00D71D7B"/>
    <w:rsid w:val="00D71DE9"/>
    <w:rsid w:val="00D71DF7"/>
    <w:rsid w:val="00D71E01"/>
    <w:rsid w:val="00D71E16"/>
    <w:rsid w:val="00D71F83"/>
    <w:rsid w:val="00D71F86"/>
    <w:rsid w:val="00D71FF4"/>
    <w:rsid w:val="00D72040"/>
    <w:rsid w:val="00D7215A"/>
    <w:rsid w:val="00D7218E"/>
    <w:rsid w:val="00D721BB"/>
    <w:rsid w:val="00D721DD"/>
    <w:rsid w:val="00D721E6"/>
    <w:rsid w:val="00D721F7"/>
    <w:rsid w:val="00D72278"/>
    <w:rsid w:val="00D7228D"/>
    <w:rsid w:val="00D722B3"/>
    <w:rsid w:val="00D722B5"/>
    <w:rsid w:val="00D722E9"/>
    <w:rsid w:val="00D7230A"/>
    <w:rsid w:val="00D72311"/>
    <w:rsid w:val="00D7233D"/>
    <w:rsid w:val="00D72396"/>
    <w:rsid w:val="00D7241F"/>
    <w:rsid w:val="00D72436"/>
    <w:rsid w:val="00D7246A"/>
    <w:rsid w:val="00D72497"/>
    <w:rsid w:val="00D724AF"/>
    <w:rsid w:val="00D72509"/>
    <w:rsid w:val="00D72582"/>
    <w:rsid w:val="00D72596"/>
    <w:rsid w:val="00D725A1"/>
    <w:rsid w:val="00D725BB"/>
    <w:rsid w:val="00D726F8"/>
    <w:rsid w:val="00D726FF"/>
    <w:rsid w:val="00D72706"/>
    <w:rsid w:val="00D7270F"/>
    <w:rsid w:val="00D72719"/>
    <w:rsid w:val="00D72747"/>
    <w:rsid w:val="00D727FD"/>
    <w:rsid w:val="00D7281F"/>
    <w:rsid w:val="00D7282C"/>
    <w:rsid w:val="00D72832"/>
    <w:rsid w:val="00D7284D"/>
    <w:rsid w:val="00D72885"/>
    <w:rsid w:val="00D728D1"/>
    <w:rsid w:val="00D728FC"/>
    <w:rsid w:val="00D7290D"/>
    <w:rsid w:val="00D7291E"/>
    <w:rsid w:val="00D7292A"/>
    <w:rsid w:val="00D72977"/>
    <w:rsid w:val="00D729C6"/>
    <w:rsid w:val="00D729CD"/>
    <w:rsid w:val="00D729E4"/>
    <w:rsid w:val="00D729E6"/>
    <w:rsid w:val="00D72A0F"/>
    <w:rsid w:val="00D72A1F"/>
    <w:rsid w:val="00D72A4F"/>
    <w:rsid w:val="00D72A7E"/>
    <w:rsid w:val="00D72A9A"/>
    <w:rsid w:val="00D72B2B"/>
    <w:rsid w:val="00D72B31"/>
    <w:rsid w:val="00D72B64"/>
    <w:rsid w:val="00D72B80"/>
    <w:rsid w:val="00D72BBA"/>
    <w:rsid w:val="00D72BC6"/>
    <w:rsid w:val="00D72BEF"/>
    <w:rsid w:val="00D72C4A"/>
    <w:rsid w:val="00D72C91"/>
    <w:rsid w:val="00D72CCE"/>
    <w:rsid w:val="00D72CE1"/>
    <w:rsid w:val="00D72D3E"/>
    <w:rsid w:val="00D72D4E"/>
    <w:rsid w:val="00D72D78"/>
    <w:rsid w:val="00D72DCB"/>
    <w:rsid w:val="00D72DCE"/>
    <w:rsid w:val="00D72DF0"/>
    <w:rsid w:val="00D72E97"/>
    <w:rsid w:val="00D72EA2"/>
    <w:rsid w:val="00D72EC4"/>
    <w:rsid w:val="00D72F2D"/>
    <w:rsid w:val="00D72FD3"/>
    <w:rsid w:val="00D73001"/>
    <w:rsid w:val="00D7301B"/>
    <w:rsid w:val="00D73039"/>
    <w:rsid w:val="00D7305B"/>
    <w:rsid w:val="00D7305E"/>
    <w:rsid w:val="00D730AC"/>
    <w:rsid w:val="00D730CD"/>
    <w:rsid w:val="00D7315E"/>
    <w:rsid w:val="00D73175"/>
    <w:rsid w:val="00D73187"/>
    <w:rsid w:val="00D7319C"/>
    <w:rsid w:val="00D731E9"/>
    <w:rsid w:val="00D73235"/>
    <w:rsid w:val="00D7328F"/>
    <w:rsid w:val="00D732B6"/>
    <w:rsid w:val="00D732F1"/>
    <w:rsid w:val="00D73342"/>
    <w:rsid w:val="00D7335F"/>
    <w:rsid w:val="00D73383"/>
    <w:rsid w:val="00D733A5"/>
    <w:rsid w:val="00D733AD"/>
    <w:rsid w:val="00D734AE"/>
    <w:rsid w:val="00D734D1"/>
    <w:rsid w:val="00D73511"/>
    <w:rsid w:val="00D73583"/>
    <w:rsid w:val="00D735DB"/>
    <w:rsid w:val="00D7365E"/>
    <w:rsid w:val="00D73681"/>
    <w:rsid w:val="00D73688"/>
    <w:rsid w:val="00D73707"/>
    <w:rsid w:val="00D7372E"/>
    <w:rsid w:val="00D73737"/>
    <w:rsid w:val="00D73755"/>
    <w:rsid w:val="00D7382E"/>
    <w:rsid w:val="00D7383D"/>
    <w:rsid w:val="00D738AB"/>
    <w:rsid w:val="00D738E4"/>
    <w:rsid w:val="00D738F0"/>
    <w:rsid w:val="00D738FE"/>
    <w:rsid w:val="00D7392C"/>
    <w:rsid w:val="00D73977"/>
    <w:rsid w:val="00D7399E"/>
    <w:rsid w:val="00D739AA"/>
    <w:rsid w:val="00D739C0"/>
    <w:rsid w:val="00D73A02"/>
    <w:rsid w:val="00D73A29"/>
    <w:rsid w:val="00D73ACF"/>
    <w:rsid w:val="00D73BAD"/>
    <w:rsid w:val="00D73BDD"/>
    <w:rsid w:val="00D73CFD"/>
    <w:rsid w:val="00D73D17"/>
    <w:rsid w:val="00D73D9F"/>
    <w:rsid w:val="00D73DA9"/>
    <w:rsid w:val="00D73DFC"/>
    <w:rsid w:val="00D73F20"/>
    <w:rsid w:val="00D73F28"/>
    <w:rsid w:val="00D73F44"/>
    <w:rsid w:val="00D73F51"/>
    <w:rsid w:val="00D73F67"/>
    <w:rsid w:val="00D73FE4"/>
    <w:rsid w:val="00D73FFC"/>
    <w:rsid w:val="00D74073"/>
    <w:rsid w:val="00D7407F"/>
    <w:rsid w:val="00D740C0"/>
    <w:rsid w:val="00D740EA"/>
    <w:rsid w:val="00D74109"/>
    <w:rsid w:val="00D74114"/>
    <w:rsid w:val="00D74129"/>
    <w:rsid w:val="00D7418C"/>
    <w:rsid w:val="00D741EF"/>
    <w:rsid w:val="00D741FB"/>
    <w:rsid w:val="00D741FE"/>
    <w:rsid w:val="00D7425A"/>
    <w:rsid w:val="00D7427D"/>
    <w:rsid w:val="00D7428F"/>
    <w:rsid w:val="00D742C9"/>
    <w:rsid w:val="00D7431A"/>
    <w:rsid w:val="00D74346"/>
    <w:rsid w:val="00D74362"/>
    <w:rsid w:val="00D7442A"/>
    <w:rsid w:val="00D74462"/>
    <w:rsid w:val="00D74475"/>
    <w:rsid w:val="00D744DC"/>
    <w:rsid w:val="00D74557"/>
    <w:rsid w:val="00D74595"/>
    <w:rsid w:val="00D74598"/>
    <w:rsid w:val="00D745DD"/>
    <w:rsid w:val="00D745EF"/>
    <w:rsid w:val="00D74621"/>
    <w:rsid w:val="00D74700"/>
    <w:rsid w:val="00D7470D"/>
    <w:rsid w:val="00D74719"/>
    <w:rsid w:val="00D74757"/>
    <w:rsid w:val="00D7478B"/>
    <w:rsid w:val="00D747B4"/>
    <w:rsid w:val="00D747DA"/>
    <w:rsid w:val="00D747FE"/>
    <w:rsid w:val="00D7488B"/>
    <w:rsid w:val="00D748C2"/>
    <w:rsid w:val="00D748C4"/>
    <w:rsid w:val="00D748FC"/>
    <w:rsid w:val="00D7492B"/>
    <w:rsid w:val="00D7492D"/>
    <w:rsid w:val="00D749BC"/>
    <w:rsid w:val="00D749C2"/>
    <w:rsid w:val="00D74A00"/>
    <w:rsid w:val="00D74A08"/>
    <w:rsid w:val="00D74A0C"/>
    <w:rsid w:val="00D74A44"/>
    <w:rsid w:val="00D74A74"/>
    <w:rsid w:val="00D74A99"/>
    <w:rsid w:val="00D74AFF"/>
    <w:rsid w:val="00D74B1A"/>
    <w:rsid w:val="00D74B1C"/>
    <w:rsid w:val="00D74B3D"/>
    <w:rsid w:val="00D74B49"/>
    <w:rsid w:val="00D74B7A"/>
    <w:rsid w:val="00D74BF3"/>
    <w:rsid w:val="00D74C08"/>
    <w:rsid w:val="00D74C29"/>
    <w:rsid w:val="00D74C31"/>
    <w:rsid w:val="00D74C57"/>
    <w:rsid w:val="00D74C91"/>
    <w:rsid w:val="00D74C92"/>
    <w:rsid w:val="00D74CEA"/>
    <w:rsid w:val="00D74D98"/>
    <w:rsid w:val="00D74DA0"/>
    <w:rsid w:val="00D74DCA"/>
    <w:rsid w:val="00D74E0B"/>
    <w:rsid w:val="00D74E34"/>
    <w:rsid w:val="00D74E3A"/>
    <w:rsid w:val="00D74E54"/>
    <w:rsid w:val="00D74E93"/>
    <w:rsid w:val="00D74EB9"/>
    <w:rsid w:val="00D74EF4"/>
    <w:rsid w:val="00D74F15"/>
    <w:rsid w:val="00D74F7D"/>
    <w:rsid w:val="00D74FC1"/>
    <w:rsid w:val="00D74FD6"/>
    <w:rsid w:val="00D7505F"/>
    <w:rsid w:val="00D75104"/>
    <w:rsid w:val="00D75150"/>
    <w:rsid w:val="00D75172"/>
    <w:rsid w:val="00D751D1"/>
    <w:rsid w:val="00D7523F"/>
    <w:rsid w:val="00D7524B"/>
    <w:rsid w:val="00D7524F"/>
    <w:rsid w:val="00D75269"/>
    <w:rsid w:val="00D7529B"/>
    <w:rsid w:val="00D752E5"/>
    <w:rsid w:val="00D7530A"/>
    <w:rsid w:val="00D75319"/>
    <w:rsid w:val="00D75348"/>
    <w:rsid w:val="00D75397"/>
    <w:rsid w:val="00D753D1"/>
    <w:rsid w:val="00D753DC"/>
    <w:rsid w:val="00D75522"/>
    <w:rsid w:val="00D75544"/>
    <w:rsid w:val="00D755B0"/>
    <w:rsid w:val="00D755FB"/>
    <w:rsid w:val="00D75603"/>
    <w:rsid w:val="00D75610"/>
    <w:rsid w:val="00D75611"/>
    <w:rsid w:val="00D75655"/>
    <w:rsid w:val="00D756E9"/>
    <w:rsid w:val="00D7572A"/>
    <w:rsid w:val="00D75755"/>
    <w:rsid w:val="00D75780"/>
    <w:rsid w:val="00D7579B"/>
    <w:rsid w:val="00D757D9"/>
    <w:rsid w:val="00D757DC"/>
    <w:rsid w:val="00D757EF"/>
    <w:rsid w:val="00D75833"/>
    <w:rsid w:val="00D758F0"/>
    <w:rsid w:val="00D75915"/>
    <w:rsid w:val="00D759B4"/>
    <w:rsid w:val="00D759D6"/>
    <w:rsid w:val="00D759F7"/>
    <w:rsid w:val="00D75A83"/>
    <w:rsid w:val="00D75AC0"/>
    <w:rsid w:val="00D75AEC"/>
    <w:rsid w:val="00D75B19"/>
    <w:rsid w:val="00D75B2C"/>
    <w:rsid w:val="00D75B73"/>
    <w:rsid w:val="00D75B8D"/>
    <w:rsid w:val="00D75B91"/>
    <w:rsid w:val="00D75B98"/>
    <w:rsid w:val="00D75BEB"/>
    <w:rsid w:val="00D75BF6"/>
    <w:rsid w:val="00D75BF8"/>
    <w:rsid w:val="00D75C00"/>
    <w:rsid w:val="00D75CDC"/>
    <w:rsid w:val="00D75D1C"/>
    <w:rsid w:val="00D75D28"/>
    <w:rsid w:val="00D75D3C"/>
    <w:rsid w:val="00D75D64"/>
    <w:rsid w:val="00D75D88"/>
    <w:rsid w:val="00D75DC2"/>
    <w:rsid w:val="00D75DFE"/>
    <w:rsid w:val="00D75E42"/>
    <w:rsid w:val="00D75E43"/>
    <w:rsid w:val="00D75E64"/>
    <w:rsid w:val="00D75E6B"/>
    <w:rsid w:val="00D75E77"/>
    <w:rsid w:val="00D75E91"/>
    <w:rsid w:val="00D75EBA"/>
    <w:rsid w:val="00D75EBD"/>
    <w:rsid w:val="00D75EE1"/>
    <w:rsid w:val="00D75EEA"/>
    <w:rsid w:val="00D75F0B"/>
    <w:rsid w:val="00D75F50"/>
    <w:rsid w:val="00D75FD9"/>
    <w:rsid w:val="00D75FF5"/>
    <w:rsid w:val="00D7602B"/>
    <w:rsid w:val="00D76128"/>
    <w:rsid w:val="00D7624A"/>
    <w:rsid w:val="00D76260"/>
    <w:rsid w:val="00D7627E"/>
    <w:rsid w:val="00D762DA"/>
    <w:rsid w:val="00D762E7"/>
    <w:rsid w:val="00D762EB"/>
    <w:rsid w:val="00D762F8"/>
    <w:rsid w:val="00D76342"/>
    <w:rsid w:val="00D7639B"/>
    <w:rsid w:val="00D7639D"/>
    <w:rsid w:val="00D763D9"/>
    <w:rsid w:val="00D76432"/>
    <w:rsid w:val="00D7648E"/>
    <w:rsid w:val="00D764A8"/>
    <w:rsid w:val="00D764B6"/>
    <w:rsid w:val="00D76500"/>
    <w:rsid w:val="00D7650E"/>
    <w:rsid w:val="00D7651A"/>
    <w:rsid w:val="00D7653F"/>
    <w:rsid w:val="00D7654B"/>
    <w:rsid w:val="00D76596"/>
    <w:rsid w:val="00D76597"/>
    <w:rsid w:val="00D765D6"/>
    <w:rsid w:val="00D7664C"/>
    <w:rsid w:val="00D766BA"/>
    <w:rsid w:val="00D76731"/>
    <w:rsid w:val="00D76735"/>
    <w:rsid w:val="00D767B0"/>
    <w:rsid w:val="00D767F2"/>
    <w:rsid w:val="00D76823"/>
    <w:rsid w:val="00D76824"/>
    <w:rsid w:val="00D7684C"/>
    <w:rsid w:val="00D76855"/>
    <w:rsid w:val="00D76881"/>
    <w:rsid w:val="00D7688E"/>
    <w:rsid w:val="00D768CA"/>
    <w:rsid w:val="00D768E9"/>
    <w:rsid w:val="00D76904"/>
    <w:rsid w:val="00D7690A"/>
    <w:rsid w:val="00D76943"/>
    <w:rsid w:val="00D76962"/>
    <w:rsid w:val="00D7699A"/>
    <w:rsid w:val="00D769B2"/>
    <w:rsid w:val="00D76A40"/>
    <w:rsid w:val="00D76A8B"/>
    <w:rsid w:val="00D76AAC"/>
    <w:rsid w:val="00D76AB6"/>
    <w:rsid w:val="00D76ACE"/>
    <w:rsid w:val="00D76AE4"/>
    <w:rsid w:val="00D76B46"/>
    <w:rsid w:val="00D76B8A"/>
    <w:rsid w:val="00D76C27"/>
    <w:rsid w:val="00D76C68"/>
    <w:rsid w:val="00D76C7B"/>
    <w:rsid w:val="00D76CC4"/>
    <w:rsid w:val="00D76CEE"/>
    <w:rsid w:val="00D76CFB"/>
    <w:rsid w:val="00D76D4D"/>
    <w:rsid w:val="00D76D5D"/>
    <w:rsid w:val="00D76D73"/>
    <w:rsid w:val="00D76DE2"/>
    <w:rsid w:val="00D76E69"/>
    <w:rsid w:val="00D76E9B"/>
    <w:rsid w:val="00D76EC6"/>
    <w:rsid w:val="00D76EF2"/>
    <w:rsid w:val="00D76EF4"/>
    <w:rsid w:val="00D76F1A"/>
    <w:rsid w:val="00D76F5A"/>
    <w:rsid w:val="00D76FAF"/>
    <w:rsid w:val="00D76FB0"/>
    <w:rsid w:val="00D76FCD"/>
    <w:rsid w:val="00D76FD6"/>
    <w:rsid w:val="00D76FE4"/>
    <w:rsid w:val="00D76FF6"/>
    <w:rsid w:val="00D77011"/>
    <w:rsid w:val="00D7708E"/>
    <w:rsid w:val="00D770EC"/>
    <w:rsid w:val="00D7714D"/>
    <w:rsid w:val="00D771E1"/>
    <w:rsid w:val="00D771E5"/>
    <w:rsid w:val="00D7720D"/>
    <w:rsid w:val="00D772A3"/>
    <w:rsid w:val="00D772DB"/>
    <w:rsid w:val="00D77303"/>
    <w:rsid w:val="00D77365"/>
    <w:rsid w:val="00D77367"/>
    <w:rsid w:val="00D773D0"/>
    <w:rsid w:val="00D773E5"/>
    <w:rsid w:val="00D773F0"/>
    <w:rsid w:val="00D77416"/>
    <w:rsid w:val="00D7741F"/>
    <w:rsid w:val="00D77451"/>
    <w:rsid w:val="00D774BE"/>
    <w:rsid w:val="00D77543"/>
    <w:rsid w:val="00D7754C"/>
    <w:rsid w:val="00D77596"/>
    <w:rsid w:val="00D775D5"/>
    <w:rsid w:val="00D775E5"/>
    <w:rsid w:val="00D775F5"/>
    <w:rsid w:val="00D7763B"/>
    <w:rsid w:val="00D7763D"/>
    <w:rsid w:val="00D7774A"/>
    <w:rsid w:val="00D77766"/>
    <w:rsid w:val="00D77782"/>
    <w:rsid w:val="00D777D9"/>
    <w:rsid w:val="00D777F8"/>
    <w:rsid w:val="00D77809"/>
    <w:rsid w:val="00D77821"/>
    <w:rsid w:val="00D7784D"/>
    <w:rsid w:val="00D77899"/>
    <w:rsid w:val="00D778E9"/>
    <w:rsid w:val="00D7796D"/>
    <w:rsid w:val="00D77977"/>
    <w:rsid w:val="00D7797A"/>
    <w:rsid w:val="00D779C1"/>
    <w:rsid w:val="00D77A06"/>
    <w:rsid w:val="00D77A09"/>
    <w:rsid w:val="00D77A40"/>
    <w:rsid w:val="00D77A4D"/>
    <w:rsid w:val="00D77A78"/>
    <w:rsid w:val="00D77A7E"/>
    <w:rsid w:val="00D77AA6"/>
    <w:rsid w:val="00D77AAA"/>
    <w:rsid w:val="00D77B1D"/>
    <w:rsid w:val="00D77B48"/>
    <w:rsid w:val="00D77B51"/>
    <w:rsid w:val="00D77B65"/>
    <w:rsid w:val="00D77B75"/>
    <w:rsid w:val="00D77BC4"/>
    <w:rsid w:val="00D77BCF"/>
    <w:rsid w:val="00D77BE1"/>
    <w:rsid w:val="00D77BE8"/>
    <w:rsid w:val="00D77C12"/>
    <w:rsid w:val="00D77C48"/>
    <w:rsid w:val="00D77C53"/>
    <w:rsid w:val="00D77C7C"/>
    <w:rsid w:val="00D77CB7"/>
    <w:rsid w:val="00D77CB9"/>
    <w:rsid w:val="00D77CCF"/>
    <w:rsid w:val="00D77D34"/>
    <w:rsid w:val="00D77D4F"/>
    <w:rsid w:val="00D77DB5"/>
    <w:rsid w:val="00D77DEB"/>
    <w:rsid w:val="00D77E37"/>
    <w:rsid w:val="00D77E3A"/>
    <w:rsid w:val="00D77E45"/>
    <w:rsid w:val="00D77E5E"/>
    <w:rsid w:val="00D77E65"/>
    <w:rsid w:val="00D77E81"/>
    <w:rsid w:val="00D77EB0"/>
    <w:rsid w:val="00D77EBE"/>
    <w:rsid w:val="00D77EE1"/>
    <w:rsid w:val="00D77EE8"/>
    <w:rsid w:val="00D77EF4"/>
    <w:rsid w:val="00D77F06"/>
    <w:rsid w:val="00D77F3C"/>
    <w:rsid w:val="00D77F71"/>
    <w:rsid w:val="00D77F7A"/>
    <w:rsid w:val="00D77FE7"/>
    <w:rsid w:val="00D80026"/>
    <w:rsid w:val="00D8006C"/>
    <w:rsid w:val="00D80112"/>
    <w:rsid w:val="00D8016A"/>
    <w:rsid w:val="00D801E1"/>
    <w:rsid w:val="00D801F6"/>
    <w:rsid w:val="00D8027F"/>
    <w:rsid w:val="00D8028B"/>
    <w:rsid w:val="00D802A8"/>
    <w:rsid w:val="00D802AD"/>
    <w:rsid w:val="00D802E9"/>
    <w:rsid w:val="00D802F3"/>
    <w:rsid w:val="00D80312"/>
    <w:rsid w:val="00D80394"/>
    <w:rsid w:val="00D80395"/>
    <w:rsid w:val="00D803B4"/>
    <w:rsid w:val="00D803C1"/>
    <w:rsid w:val="00D803CF"/>
    <w:rsid w:val="00D803F3"/>
    <w:rsid w:val="00D80407"/>
    <w:rsid w:val="00D8040D"/>
    <w:rsid w:val="00D80435"/>
    <w:rsid w:val="00D80496"/>
    <w:rsid w:val="00D804E2"/>
    <w:rsid w:val="00D804F4"/>
    <w:rsid w:val="00D8053B"/>
    <w:rsid w:val="00D80550"/>
    <w:rsid w:val="00D805B7"/>
    <w:rsid w:val="00D805B9"/>
    <w:rsid w:val="00D80605"/>
    <w:rsid w:val="00D80648"/>
    <w:rsid w:val="00D80652"/>
    <w:rsid w:val="00D80678"/>
    <w:rsid w:val="00D8068B"/>
    <w:rsid w:val="00D806BB"/>
    <w:rsid w:val="00D806E8"/>
    <w:rsid w:val="00D80729"/>
    <w:rsid w:val="00D8078E"/>
    <w:rsid w:val="00D807DE"/>
    <w:rsid w:val="00D80831"/>
    <w:rsid w:val="00D80846"/>
    <w:rsid w:val="00D8086C"/>
    <w:rsid w:val="00D80880"/>
    <w:rsid w:val="00D808B7"/>
    <w:rsid w:val="00D808C8"/>
    <w:rsid w:val="00D808D4"/>
    <w:rsid w:val="00D808EA"/>
    <w:rsid w:val="00D808F1"/>
    <w:rsid w:val="00D808F7"/>
    <w:rsid w:val="00D8090C"/>
    <w:rsid w:val="00D80967"/>
    <w:rsid w:val="00D80A07"/>
    <w:rsid w:val="00D80A4A"/>
    <w:rsid w:val="00D80A5B"/>
    <w:rsid w:val="00D80A84"/>
    <w:rsid w:val="00D80A99"/>
    <w:rsid w:val="00D80AC1"/>
    <w:rsid w:val="00D80B38"/>
    <w:rsid w:val="00D80B5C"/>
    <w:rsid w:val="00D80C6D"/>
    <w:rsid w:val="00D80C75"/>
    <w:rsid w:val="00D80C9B"/>
    <w:rsid w:val="00D80CB4"/>
    <w:rsid w:val="00D80D17"/>
    <w:rsid w:val="00D80D97"/>
    <w:rsid w:val="00D80E07"/>
    <w:rsid w:val="00D80E20"/>
    <w:rsid w:val="00D80E5E"/>
    <w:rsid w:val="00D80E65"/>
    <w:rsid w:val="00D80E6D"/>
    <w:rsid w:val="00D80F07"/>
    <w:rsid w:val="00D80F65"/>
    <w:rsid w:val="00D80F83"/>
    <w:rsid w:val="00D80FB7"/>
    <w:rsid w:val="00D80FD9"/>
    <w:rsid w:val="00D81002"/>
    <w:rsid w:val="00D81008"/>
    <w:rsid w:val="00D81028"/>
    <w:rsid w:val="00D810DF"/>
    <w:rsid w:val="00D810F3"/>
    <w:rsid w:val="00D8111F"/>
    <w:rsid w:val="00D8114D"/>
    <w:rsid w:val="00D811C6"/>
    <w:rsid w:val="00D811D6"/>
    <w:rsid w:val="00D811F3"/>
    <w:rsid w:val="00D81206"/>
    <w:rsid w:val="00D81218"/>
    <w:rsid w:val="00D81245"/>
    <w:rsid w:val="00D81285"/>
    <w:rsid w:val="00D812D0"/>
    <w:rsid w:val="00D812F1"/>
    <w:rsid w:val="00D8135D"/>
    <w:rsid w:val="00D813A4"/>
    <w:rsid w:val="00D813E4"/>
    <w:rsid w:val="00D813F4"/>
    <w:rsid w:val="00D81491"/>
    <w:rsid w:val="00D814CC"/>
    <w:rsid w:val="00D814E3"/>
    <w:rsid w:val="00D814FB"/>
    <w:rsid w:val="00D81531"/>
    <w:rsid w:val="00D81545"/>
    <w:rsid w:val="00D815BA"/>
    <w:rsid w:val="00D81607"/>
    <w:rsid w:val="00D8160A"/>
    <w:rsid w:val="00D81645"/>
    <w:rsid w:val="00D81653"/>
    <w:rsid w:val="00D81674"/>
    <w:rsid w:val="00D816D6"/>
    <w:rsid w:val="00D8170D"/>
    <w:rsid w:val="00D81737"/>
    <w:rsid w:val="00D81743"/>
    <w:rsid w:val="00D81767"/>
    <w:rsid w:val="00D817BB"/>
    <w:rsid w:val="00D8180A"/>
    <w:rsid w:val="00D8182C"/>
    <w:rsid w:val="00D818AF"/>
    <w:rsid w:val="00D818F2"/>
    <w:rsid w:val="00D818FF"/>
    <w:rsid w:val="00D8190E"/>
    <w:rsid w:val="00D819A9"/>
    <w:rsid w:val="00D819D3"/>
    <w:rsid w:val="00D819EE"/>
    <w:rsid w:val="00D81A79"/>
    <w:rsid w:val="00D81A88"/>
    <w:rsid w:val="00D81B11"/>
    <w:rsid w:val="00D81B13"/>
    <w:rsid w:val="00D81B57"/>
    <w:rsid w:val="00D81B60"/>
    <w:rsid w:val="00D81B89"/>
    <w:rsid w:val="00D81C60"/>
    <w:rsid w:val="00D81C6C"/>
    <w:rsid w:val="00D81C79"/>
    <w:rsid w:val="00D81CBB"/>
    <w:rsid w:val="00D81DC2"/>
    <w:rsid w:val="00D81DE7"/>
    <w:rsid w:val="00D81E76"/>
    <w:rsid w:val="00D81E77"/>
    <w:rsid w:val="00D81E92"/>
    <w:rsid w:val="00D81E94"/>
    <w:rsid w:val="00D81E9D"/>
    <w:rsid w:val="00D81EDF"/>
    <w:rsid w:val="00D81EEF"/>
    <w:rsid w:val="00D81F49"/>
    <w:rsid w:val="00D81FF0"/>
    <w:rsid w:val="00D8204D"/>
    <w:rsid w:val="00D82080"/>
    <w:rsid w:val="00D82124"/>
    <w:rsid w:val="00D821A7"/>
    <w:rsid w:val="00D82234"/>
    <w:rsid w:val="00D82282"/>
    <w:rsid w:val="00D8229E"/>
    <w:rsid w:val="00D822F1"/>
    <w:rsid w:val="00D82348"/>
    <w:rsid w:val="00D8238F"/>
    <w:rsid w:val="00D823D7"/>
    <w:rsid w:val="00D823F4"/>
    <w:rsid w:val="00D82431"/>
    <w:rsid w:val="00D82460"/>
    <w:rsid w:val="00D82482"/>
    <w:rsid w:val="00D824A2"/>
    <w:rsid w:val="00D824EA"/>
    <w:rsid w:val="00D82574"/>
    <w:rsid w:val="00D8258A"/>
    <w:rsid w:val="00D8258C"/>
    <w:rsid w:val="00D82621"/>
    <w:rsid w:val="00D82687"/>
    <w:rsid w:val="00D82694"/>
    <w:rsid w:val="00D82699"/>
    <w:rsid w:val="00D8269E"/>
    <w:rsid w:val="00D826A5"/>
    <w:rsid w:val="00D8274C"/>
    <w:rsid w:val="00D82838"/>
    <w:rsid w:val="00D8283A"/>
    <w:rsid w:val="00D8285D"/>
    <w:rsid w:val="00D828AA"/>
    <w:rsid w:val="00D828AF"/>
    <w:rsid w:val="00D82902"/>
    <w:rsid w:val="00D82908"/>
    <w:rsid w:val="00D8291D"/>
    <w:rsid w:val="00D829C8"/>
    <w:rsid w:val="00D829E6"/>
    <w:rsid w:val="00D82A02"/>
    <w:rsid w:val="00D82A08"/>
    <w:rsid w:val="00D82A2B"/>
    <w:rsid w:val="00D82A6C"/>
    <w:rsid w:val="00D82A83"/>
    <w:rsid w:val="00D82AA1"/>
    <w:rsid w:val="00D82AA5"/>
    <w:rsid w:val="00D82AB9"/>
    <w:rsid w:val="00D82ACA"/>
    <w:rsid w:val="00D82AFE"/>
    <w:rsid w:val="00D82B06"/>
    <w:rsid w:val="00D82B37"/>
    <w:rsid w:val="00D82B38"/>
    <w:rsid w:val="00D82B39"/>
    <w:rsid w:val="00D82BE4"/>
    <w:rsid w:val="00D82BF3"/>
    <w:rsid w:val="00D82C98"/>
    <w:rsid w:val="00D82CAF"/>
    <w:rsid w:val="00D82CD1"/>
    <w:rsid w:val="00D82D2B"/>
    <w:rsid w:val="00D82D87"/>
    <w:rsid w:val="00D82DF2"/>
    <w:rsid w:val="00D82E5B"/>
    <w:rsid w:val="00D82EA3"/>
    <w:rsid w:val="00D82EB0"/>
    <w:rsid w:val="00D82EB1"/>
    <w:rsid w:val="00D82F1C"/>
    <w:rsid w:val="00D82F23"/>
    <w:rsid w:val="00D82F30"/>
    <w:rsid w:val="00D82F4B"/>
    <w:rsid w:val="00D82F77"/>
    <w:rsid w:val="00D82F96"/>
    <w:rsid w:val="00D82FC8"/>
    <w:rsid w:val="00D82FEB"/>
    <w:rsid w:val="00D83056"/>
    <w:rsid w:val="00D83058"/>
    <w:rsid w:val="00D830CF"/>
    <w:rsid w:val="00D830E2"/>
    <w:rsid w:val="00D830E4"/>
    <w:rsid w:val="00D830FD"/>
    <w:rsid w:val="00D83111"/>
    <w:rsid w:val="00D83139"/>
    <w:rsid w:val="00D8313B"/>
    <w:rsid w:val="00D83150"/>
    <w:rsid w:val="00D83152"/>
    <w:rsid w:val="00D831D5"/>
    <w:rsid w:val="00D83221"/>
    <w:rsid w:val="00D8322B"/>
    <w:rsid w:val="00D83235"/>
    <w:rsid w:val="00D83246"/>
    <w:rsid w:val="00D832B9"/>
    <w:rsid w:val="00D832CB"/>
    <w:rsid w:val="00D83379"/>
    <w:rsid w:val="00D8337C"/>
    <w:rsid w:val="00D83388"/>
    <w:rsid w:val="00D833A9"/>
    <w:rsid w:val="00D833D9"/>
    <w:rsid w:val="00D8340C"/>
    <w:rsid w:val="00D83446"/>
    <w:rsid w:val="00D83460"/>
    <w:rsid w:val="00D8348D"/>
    <w:rsid w:val="00D83498"/>
    <w:rsid w:val="00D834D3"/>
    <w:rsid w:val="00D8351A"/>
    <w:rsid w:val="00D83530"/>
    <w:rsid w:val="00D835FA"/>
    <w:rsid w:val="00D8368D"/>
    <w:rsid w:val="00D8368E"/>
    <w:rsid w:val="00D836E0"/>
    <w:rsid w:val="00D836E5"/>
    <w:rsid w:val="00D836F6"/>
    <w:rsid w:val="00D83726"/>
    <w:rsid w:val="00D8375C"/>
    <w:rsid w:val="00D83769"/>
    <w:rsid w:val="00D83789"/>
    <w:rsid w:val="00D837B0"/>
    <w:rsid w:val="00D837BC"/>
    <w:rsid w:val="00D8384E"/>
    <w:rsid w:val="00D838DB"/>
    <w:rsid w:val="00D838E0"/>
    <w:rsid w:val="00D83937"/>
    <w:rsid w:val="00D8394B"/>
    <w:rsid w:val="00D839A7"/>
    <w:rsid w:val="00D839B9"/>
    <w:rsid w:val="00D839C0"/>
    <w:rsid w:val="00D83A0C"/>
    <w:rsid w:val="00D83A52"/>
    <w:rsid w:val="00D83A72"/>
    <w:rsid w:val="00D83A76"/>
    <w:rsid w:val="00D83AC2"/>
    <w:rsid w:val="00D83AF2"/>
    <w:rsid w:val="00D83B23"/>
    <w:rsid w:val="00D83B29"/>
    <w:rsid w:val="00D83B40"/>
    <w:rsid w:val="00D83BA3"/>
    <w:rsid w:val="00D83BCD"/>
    <w:rsid w:val="00D83BD9"/>
    <w:rsid w:val="00D83BEC"/>
    <w:rsid w:val="00D83C0A"/>
    <w:rsid w:val="00D83C25"/>
    <w:rsid w:val="00D83D1E"/>
    <w:rsid w:val="00D83D25"/>
    <w:rsid w:val="00D83D67"/>
    <w:rsid w:val="00D83DC9"/>
    <w:rsid w:val="00D83E40"/>
    <w:rsid w:val="00D83E52"/>
    <w:rsid w:val="00D83E64"/>
    <w:rsid w:val="00D83E65"/>
    <w:rsid w:val="00D83E8C"/>
    <w:rsid w:val="00D83EA6"/>
    <w:rsid w:val="00D83EE4"/>
    <w:rsid w:val="00D83F41"/>
    <w:rsid w:val="00D83F49"/>
    <w:rsid w:val="00D84023"/>
    <w:rsid w:val="00D84080"/>
    <w:rsid w:val="00D84093"/>
    <w:rsid w:val="00D84139"/>
    <w:rsid w:val="00D8419F"/>
    <w:rsid w:val="00D841AE"/>
    <w:rsid w:val="00D841DE"/>
    <w:rsid w:val="00D8421E"/>
    <w:rsid w:val="00D8422C"/>
    <w:rsid w:val="00D84254"/>
    <w:rsid w:val="00D84274"/>
    <w:rsid w:val="00D84278"/>
    <w:rsid w:val="00D842A3"/>
    <w:rsid w:val="00D842B2"/>
    <w:rsid w:val="00D842EC"/>
    <w:rsid w:val="00D8431B"/>
    <w:rsid w:val="00D84321"/>
    <w:rsid w:val="00D8435C"/>
    <w:rsid w:val="00D84364"/>
    <w:rsid w:val="00D843D3"/>
    <w:rsid w:val="00D843DC"/>
    <w:rsid w:val="00D8442A"/>
    <w:rsid w:val="00D8448C"/>
    <w:rsid w:val="00D844A5"/>
    <w:rsid w:val="00D844E4"/>
    <w:rsid w:val="00D844F8"/>
    <w:rsid w:val="00D8453A"/>
    <w:rsid w:val="00D84550"/>
    <w:rsid w:val="00D845D7"/>
    <w:rsid w:val="00D845DD"/>
    <w:rsid w:val="00D84679"/>
    <w:rsid w:val="00D84685"/>
    <w:rsid w:val="00D84694"/>
    <w:rsid w:val="00D846B0"/>
    <w:rsid w:val="00D846BD"/>
    <w:rsid w:val="00D846DA"/>
    <w:rsid w:val="00D846EA"/>
    <w:rsid w:val="00D8476F"/>
    <w:rsid w:val="00D84793"/>
    <w:rsid w:val="00D847A2"/>
    <w:rsid w:val="00D847B3"/>
    <w:rsid w:val="00D847C1"/>
    <w:rsid w:val="00D847ED"/>
    <w:rsid w:val="00D8487B"/>
    <w:rsid w:val="00D84892"/>
    <w:rsid w:val="00D848C0"/>
    <w:rsid w:val="00D848E0"/>
    <w:rsid w:val="00D848F8"/>
    <w:rsid w:val="00D84948"/>
    <w:rsid w:val="00D849A3"/>
    <w:rsid w:val="00D849CE"/>
    <w:rsid w:val="00D849D1"/>
    <w:rsid w:val="00D849E4"/>
    <w:rsid w:val="00D849F0"/>
    <w:rsid w:val="00D84A1B"/>
    <w:rsid w:val="00D84A7E"/>
    <w:rsid w:val="00D84AFA"/>
    <w:rsid w:val="00D84B6C"/>
    <w:rsid w:val="00D84B75"/>
    <w:rsid w:val="00D84B7E"/>
    <w:rsid w:val="00D84B8E"/>
    <w:rsid w:val="00D84BA1"/>
    <w:rsid w:val="00D84C45"/>
    <w:rsid w:val="00D84CBA"/>
    <w:rsid w:val="00D84CBE"/>
    <w:rsid w:val="00D84D8A"/>
    <w:rsid w:val="00D84DB6"/>
    <w:rsid w:val="00D84DD9"/>
    <w:rsid w:val="00D84E8E"/>
    <w:rsid w:val="00D84FB9"/>
    <w:rsid w:val="00D84FC3"/>
    <w:rsid w:val="00D85010"/>
    <w:rsid w:val="00D85031"/>
    <w:rsid w:val="00D850A2"/>
    <w:rsid w:val="00D85178"/>
    <w:rsid w:val="00D8517E"/>
    <w:rsid w:val="00D8519B"/>
    <w:rsid w:val="00D851DD"/>
    <w:rsid w:val="00D851E5"/>
    <w:rsid w:val="00D85200"/>
    <w:rsid w:val="00D85216"/>
    <w:rsid w:val="00D85231"/>
    <w:rsid w:val="00D8528A"/>
    <w:rsid w:val="00D852AA"/>
    <w:rsid w:val="00D8530B"/>
    <w:rsid w:val="00D8531F"/>
    <w:rsid w:val="00D85360"/>
    <w:rsid w:val="00D8537F"/>
    <w:rsid w:val="00D85382"/>
    <w:rsid w:val="00D853C6"/>
    <w:rsid w:val="00D853D0"/>
    <w:rsid w:val="00D853E1"/>
    <w:rsid w:val="00D853F0"/>
    <w:rsid w:val="00D8540F"/>
    <w:rsid w:val="00D85417"/>
    <w:rsid w:val="00D85463"/>
    <w:rsid w:val="00D85487"/>
    <w:rsid w:val="00D8549F"/>
    <w:rsid w:val="00D854B5"/>
    <w:rsid w:val="00D854CB"/>
    <w:rsid w:val="00D854E3"/>
    <w:rsid w:val="00D854F6"/>
    <w:rsid w:val="00D85541"/>
    <w:rsid w:val="00D855BD"/>
    <w:rsid w:val="00D855CD"/>
    <w:rsid w:val="00D85605"/>
    <w:rsid w:val="00D85641"/>
    <w:rsid w:val="00D8576E"/>
    <w:rsid w:val="00D85796"/>
    <w:rsid w:val="00D857B7"/>
    <w:rsid w:val="00D857E5"/>
    <w:rsid w:val="00D857FB"/>
    <w:rsid w:val="00D8581E"/>
    <w:rsid w:val="00D85863"/>
    <w:rsid w:val="00D8587D"/>
    <w:rsid w:val="00D8595F"/>
    <w:rsid w:val="00D85990"/>
    <w:rsid w:val="00D8599B"/>
    <w:rsid w:val="00D859A1"/>
    <w:rsid w:val="00D859D6"/>
    <w:rsid w:val="00D859FC"/>
    <w:rsid w:val="00D85A0F"/>
    <w:rsid w:val="00D85A20"/>
    <w:rsid w:val="00D85A3A"/>
    <w:rsid w:val="00D85A4C"/>
    <w:rsid w:val="00D85A87"/>
    <w:rsid w:val="00D85B1E"/>
    <w:rsid w:val="00D85B6D"/>
    <w:rsid w:val="00D85C69"/>
    <w:rsid w:val="00D85C85"/>
    <w:rsid w:val="00D85C9D"/>
    <w:rsid w:val="00D85CE9"/>
    <w:rsid w:val="00D85D3C"/>
    <w:rsid w:val="00D85DA5"/>
    <w:rsid w:val="00D85DF2"/>
    <w:rsid w:val="00D85E1B"/>
    <w:rsid w:val="00D85E68"/>
    <w:rsid w:val="00D85ED7"/>
    <w:rsid w:val="00D85FD6"/>
    <w:rsid w:val="00D85FEF"/>
    <w:rsid w:val="00D85FFD"/>
    <w:rsid w:val="00D8609E"/>
    <w:rsid w:val="00D860E4"/>
    <w:rsid w:val="00D86143"/>
    <w:rsid w:val="00D8615E"/>
    <w:rsid w:val="00D861BC"/>
    <w:rsid w:val="00D861F7"/>
    <w:rsid w:val="00D86240"/>
    <w:rsid w:val="00D86266"/>
    <w:rsid w:val="00D86363"/>
    <w:rsid w:val="00D8637F"/>
    <w:rsid w:val="00D863DE"/>
    <w:rsid w:val="00D8646E"/>
    <w:rsid w:val="00D8647D"/>
    <w:rsid w:val="00D864C1"/>
    <w:rsid w:val="00D86550"/>
    <w:rsid w:val="00D8656C"/>
    <w:rsid w:val="00D8658E"/>
    <w:rsid w:val="00D86597"/>
    <w:rsid w:val="00D865B2"/>
    <w:rsid w:val="00D865DA"/>
    <w:rsid w:val="00D865F0"/>
    <w:rsid w:val="00D865F9"/>
    <w:rsid w:val="00D8661D"/>
    <w:rsid w:val="00D86625"/>
    <w:rsid w:val="00D86647"/>
    <w:rsid w:val="00D8665B"/>
    <w:rsid w:val="00D8667E"/>
    <w:rsid w:val="00D8672E"/>
    <w:rsid w:val="00D8673A"/>
    <w:rsid w:val="00D8673F"/>
    <w:rsid w:val="00D8675A"/>
    <w:rsid w:val="00D86763"/>
    <w:rsid w:val="00D86767"/>
    <w:rsid w:val="00D8678F"/>
    <w:rsid w:val="00D867B2"/>
    <w:rsid w:val="00D8682E"/>
    <w:rsid w:val="00D868BF"/>
    <w:rsid w:val="00D8690F"/>
    <w:rsid w:val="00D86927"/>
    <w:rsid w:val="00D86948"/>
    <w:rsid w:val="00D86961"/>
    <w:rsid w:val="00D86974"/>
    <w:rsid w:val="00D869ED"/>
    <w:rsid w:val="00D86A48"/>
    <w:rsid w:val="00D86A49"/>
    <w:rsid w:val="00D86A77"/>
    <w:rsid w:val="00D86A79"/>
    <w:rsid w:val="00D86AC1"/>
    <w:rsid w:val="00D86AD7"/>
    <w:rsid w:val="00D86B08"/>
    <w:rsid w:val="00D86B09"/>
    <w:rsid w:val="00D86B2D"/>
    <w:rsid w:val="00D86B33"/>
    <w:rsid w:val="00D86B3E"/>
    <w:rsid w:val="00D86B92"/>
    <w:rsid w:val="00D86BA7"/>
    <w:rsid w:val="00D86BB1"/>
    <w:rsid w:val="00D86BC3"/>
    <w:rsid w:val="00D86CF1"/>
    <w:rsid w:val="00D86D49"/>
    <w:rsid w:val="00D86D8F"/>
    <w:rsid w:val="00D86DB8"/>
    <w:rsid w:val="00D86DE6"/>
    <w:rsid w:val="00D86DF5"/>
    <w:rsid w:val="00D86E0D"/>
    <w:rsid w:val="00D86E22"/>
    <w:rsid w:val="00D86E75"/>
    <w:rsid w:val="00D86ED2"/>
    <w:rsid w:val="00D86FA7"/>
    <w:rsid w:val="00D86FC6"/>
    <w:rsid w:val="00D86FD3"/>
    <w:rsid w:val="00D87043"/>
    <w:rsid w:val="00D87087"/>
    <w:rsid w:val="00D8709F"/>
    <w:rsid w:val="00D870CA"/>
    <w:rsid w:val="00D8718E"/>
    <w:rsid w:val="00D87194"/>
    <w:rsid w:val="00D871B8"/>
    <w:rsid w:val="00D871C2"/>
    <w:rsid w:val="00D871CD"/>
    <w:rsid w:val="00D871D6"/>
    <w:rsid w:val="00D871DD"/>
    <w:rsid w:val="00D87243"/>
    <w:rsid w:val="00D8726F"/>
    <w:rsid w:val="00D8728D"/>
    <w:rsid w:val="00D872BA"/>
    <w:rsid w:val="00D872BB"/>
    <w:rsid w:val="00D872D6"/>
    <w:rsid w:val="00D87307"/>
    <w:rsid w:val="00D8736E"/>
    <w:rsid w:val="00D8739D"/>
    <w:rsid w:val="00D873D9"/>
    <w:rsid w:val="00D87469"/>
    <w:rsid w:val="00D874D7"/>
    <w:rsid w:val="00D874EC"/>
    <w:rsid w:val="00D87547"/>
    <w:rsid w:val="00D87563"/>
    <w:rsid w:val="00D875A4"/>
    <w:rsid w:val="00D875AF"/>
    <w:rsid w:val="00D875BD"/>
    <w:rsid w:val="00D875FA"/>
    <w:rsid w:val="00D87609"/>
    <w:rsid w:val="00D87663"/>
    <w:rsid w:val="00D87672"/>
    <w:rsid w:val="00D876E3"/>
    <w:rsid w:val="00D87717"/>
    <w:rsid w:val="00D87758"/>
    <w:rsid w:val="00D877C1"/>
    <w:rsid w:val="00D8783F"/>
    <w:rsid w:val="00D87842"/>
    <w:rsid w:val="00D878FC"/>
    <w:rsid w:val="00D8790E"/>
    <w:rsid w:val="00D879AD"/>
    <w:rsid w:val="00D87A09"/>
    <w:rsid w:val="00D87A27"/>
    <w:rsid w:val="00D87AD7"/>
    <w:rsid w:val="00D87AFF"/>
    <w:rsid w:val="00D87B2D"/>
    <w:rsid w:val="00D87B73"/>
    <w:rsid w:val="00D87BAD"/>
    <w:rsid w:val="00D87BF0"/>
    <w:rsid w:val="00D87C0B"/>
    <w:rsid w:val="00D87C1B"/>
    <w:rsid w:val="00D87C27"/>
    <w:rsid w:val="00D87C2B"/>
    <w:rsid w:val="00D87C3C"/>
    <w:rsid w:val="00D87C49"/>
    <w:rsid w:val="00D87C4F"/>
    <w:rsid w:val="00D87C9B"/>
    <w:rsid w:val="00D87CA0"/>
    <w:rsid w:val="00D87D23"/>
    <w:rsid w:val="00D87D90"/>
    <w:rsid w:val="00D87DB2"/>
    <w:rsid w:val="00D87DB9"/>
    <w:rsid w:val="00D87DD1"/>
    <w:rsid w:val="00D87DEA"/>
    <w:rsid w:val="00D87DFA"/>
    <w:rsid w:val="00D87E1B"/>
    <w:rsid w:val="00D87E2D"/>
    <w:rsid w:val="00D87E3E"/>
    <w:rsid w:val="00D87E91"/>
    <w:rsid w:val="00D87F96"/>
    <w:rsid w:val="00D87FD2"/>
    <w:rsid w:val="00D87FEF"/>
    <w:rsid w:val="00D90031"/>
    <w:rsid w:val="00D900A4"/>
    <w:rsid w:val="00D90130"/>
    <w:rsid w:val="00D9018B"/>
    <w:rsid w:val="00D901A3"/>
    <w:rsid w:val="00D901B9"/>
    <w:rsid w:val="00D901CD"/>
    <w:rsid w:val="00D9029F"/>
    <w:rsid w:val="00D902E2"/>
    <w:rsid w:val="00D9031B"/>
    <w:rsid w:val="00D90338"/>
    <w:rsid w:val="00D90344"/>
    <w:rsid w:val="00D90469"/>
    <w:rsid w:val="00D904AE"/>
    <w:rsid w:val="00D9050F"/>
    <w:rsid w:val="00D9055E"/>
    <w:rsid w:val="00D9056F"/>
    <w:rsid w:val="00D905BC"/>
    <w:rsid w:val="00D905CA"/>
    <w:rsid w:val="00D905D8"/>
    <w:rsid w:val="00D90619"/>
    <w:rsid w:val="00D90652"/>
    <w:rsid w:val="00D906B6"/>
    <w:rsid w:val="00D9070E"/>
    <w:rsid w:val="00D9077F"/>
    <w:rsid w:val="00D907DE"/>
    <w:rsid w:val="00D9082A"/>
    <w:rsid w:val="00D9086D"/>
    <w:rsid w:val="00D9087C"/>
    <w:rsid w:val="00D908EA"/>
    <w:rsid w:val="00D908F2"/>
    <w:rsid w:val="00D9090D"/>
    <w:rsid w:val="00D90956"/>
    <w:rsid w:val="00D90999"/>
    <w:rsid w:val="00D90A05"/>
    <w:rsid w:val="00D90A07"/>
    <w:rsid w:val="00D90A43"/>
    <w:rsid w:val="00D90A91"/>
    <w:rsid w:val="00D90AA5"/>
    <w:rsid w:val="00D90B2D"/>
    <w:rsid w:val="00D90B34"/>
    <w:rsid w:val="00D90B52"/>
    <w:rsid w:val="00D90BF8"/>
    <w:rsid w:val="00D90C27"/>
    <w:rsid w:val="00D90C75"/>
    <w:rsid w:val="00D90CB9"/>
    <w:rsid w:val="00D90DD3"/>
    <w:rsid w:val="00D90DE9"/>
    <w:rsid w:val="00D90E9C"/>
    <w:rsid w:val="00D90EEF"/>
    <w:rsid w:val="00D90F11"/>
    <w:rsid w:val="00D90F3E"/>
    <w:rsid w:val="00D90F7A"/>
    <w:rsid w:val="00D90F94"/>
    <w:rsid w:val="00D91013"/>
    <w:rsid w:val="00D91051"/>
    <w:rsid w:val="00D91113"/>
    <w:rsid w:val="00D91145"/>
    <w:rsid w:val="00D911B1"/>
    <w:rsid w:val="00D911B7"/>
    <w:rsid w:val="00D911E7"/>
    <w:rsid w:val="00D911F9"/>
    <w:rsid w:val="00D91231"/>
    <w:rsid w:val="00D91269"/>
    <w:rsid w:val="00D9129C"/>
    <w:rsid w:val="00D912AB"/>
    <w:rsid w:val="00D912B9"/>
    <w:rsid w:val="00D912DC"/>
    <w:rsid w:val="00D912E3"/>
    <w:rsid w:val="00D9138E"/>
    <w:rsid w:val="00D91393"/>
    <w:rsid w:val="00D91417"/>
    <w:rsid w:val="00D91483"/>
    <w:rsid w:val="00D914A1"/>
    <w:rsid w:val="00D914CC"/>
    <w:rsid w:val="00D9157A"/>
    <w:rsid w:val="00D9157F"/>
    <w:rsid w:val="00D915E5"/>
    <w:rsid w:val="00D915E6"/>
    <w:rsid w:val="00D91660"/>
    <w:rsid w:val="00D9169F"/>
    <w:rsid w:val="00D9170F"/>
    <w:rsid w:val="00D91733"/>
    <w:rsid w:val="00D9175E"/>
    <w:rsid w:val="00D91778"/>
    <w:rsid w:val="00D91812"/>
    <w:rsid w:val="00D91826"/>
    <w:rsid w:val="00D918C9"/>
    <w:rsid w:val="00D91904"/>
    <w:rsid w:val="00D91945"/>
    <w:rsid w:val="00D91953"/>
    <w:rsid w:val="00D91965"/>
    <w:rsid w:val="00D919B1"/>
    <w:rsid w:val="00D919F5"/>
    <w:rsid w:val="00D91A21"/>
    <w:rsid w:val="00D91A37"/>
    <w:rsid w:val="00D91A5B"/>
    <w:rsid w:val="00D91AC5"/>
    <w:rsid w:val="00D91AF4"/>
    <w:rsid w:val="00D91B5E"/>
    <w:rsid w:val="00D91BB1"/>
    <w:rsid w:val="00D91C00"/>
    <w:rsid w:val="00D91C32"/>
    <w:rsid w:val="00D91C4C"/>
    <w:rsid w:val="00D91C71"/>
    <w:rsid w:val="00D91C90"/>
    <w:rsid w:val="00D91CA5"/>
    <w:rsid w:val="00D91D04"/>
    <w:rsid w:val="00D91D86"/>
    <w:rsid w:val="00D91DBE"/>
    <w:rsid w:val="00D91DC6"/>
    <w:rsid w:val="00D91DE0"/>
    <w:rsid w:val="00D91DE4"/>
    <w:rsid w:val="00D91DEF"/>
    <w:rsid w:val="00D91E5D"/>
    <w:rsid w:val="00D91EBE"/>
    <w:rsid w:val="00D91EC6"/>
    <w:rsid w:val="00D91F60"/>
    <w:rsid w:val="00D91F75"/>
    <w:rsid w:val="00D91F86"/>
    <w:rsid w:val="00D91F94"/>
    <w:rsid w:val="00D92035"/>
    <w:rsid w:val="00D92076"/>
    <w:rsid w:val="00D920B5"/>
    <w:rsid w:val="00D920C4"/>
    <w:rsid w:val="00D920E7"/>
    <w:rsid w:val="00D920F0"/>
    <w:rsid w:val="00D92128"/>
    <w:rsid w:val="00D92143"/>
    <w:rsid w:val="00D92178"/>
    <w:rsid w:val="00D9217A"/>
    <w:rsid w:val="00D921A3"/>
    <w:rsid w:val="00D92202"/>
    <w:rsid w:val="00D92211"/>
    <w:rsid w:val="00D9222F"/>
    <w:rsid w:val="00D92241"/>
    <w:rsid w:val="00D92249"/>
    <w:rsid w:val="00D9229D"/>
    <w:rsid w:val="00D922B2"/>
    <w:rsid w:val="00D92358"/>
    <w:rsid w:val="00D9236B"/>
    <w:rsid w:val="00D92377"/>
    <w:rsid w:val="00D923E7"/>
    <w:rsid w:val="00D9240B"/>
    <w:rsid w:val="00D92432"/>
    <w:rsid w:val="00D92442"/>
    <w:rsid w:val="00D92453"/>
    <w:rsid w:val="00D92455"/>
    <w:rsid w:val="00D9246C"/>
    <w:rsid w:val="00D9249B"/>
    <w:rsid w:val="00D92556"/>
    <w:rsid w:val="00D9257A"/>
    <w:rsid w:val="00D9259C"/>
    <w:rsid w:val="00D925AE"/>
    <w:rsid w:val="00D925B7"/>
    <w:rsid w:val="00D925C7"/>
    <w:rsid w:val="00D92607"/>
    <w:rsid w:val="00D92616"/>
    <w:rsid w:val="00D92698"/>
    <w:rsid w:val="00D926D3"/>
    <w:rsid w:val="00D926F6"/>
    <w:rsid w:val="00D92769"/>
    <w:rsid w:val="00D927A3"/>
    <w:rsid w:val="00D927D3"/>
    <w:rsid w:val="00D927EB"/>
    <w:rsid w:val="00D927F9"/>
    <w:rsid w:val="00D92916"/>
    <w:rsid w:val="00D92940"/>
    <w:rsid w:val="00D929A6"/>
    <w:rsid w:val="00D929F9"/>
    <w:rsid w:val="00D929FD"/>
    <w:rsid w:val="00D92A28"/>
    <w:rsid w:val="00D92A47"/>
    <w:rsid w:val="00D92A7C"/>
    <w:rsid w:val="00D92A9C"/>
    <w:rsid w:val="00D92A9E"/>
    <w:rsid w:val="00D92AA9"/>
    <w:rsid w:val="00D92B33"/>
    <w:rsid w:val="00D92B45"/>
    <w:rsid w:val="00D92B97"/>
    <w:rsid w:val="00D92C29"/>
    <w:rsid w:val="00D92C4F"/>
    <w:rsid w:val="00D92C6A"/>
    <w:rsid w:val="00D92C80"/>
    <w:rsid w:val="00D92C91"/>
    <w:rsid w:val="00D92CA3"/>
    <w:rsid w:val="00D92CC4"/>
    <w:rsid w:val="00D92CE2"/>
    <w:rsid w:val="00D92D33"/>
    <w:rsid w:val="00D92D7A"/>
    <w:rsid w:val="00D92DE6"/>
    <w:rsid w:val="00D92E14"/>
    <w:rsid w:val="00D92E2B"/>
    <w:rsid w:val="00D92E3B"/>
    <w:rsid w:val="00D92EC5"/>
    <w:rsid w:val="00D92F07"/>
    <w:rsid w:val="00D92F0C"/>
    <w:rsid w:val="00D92FC7"/>
    <w:rsid w:val="00D9305A"/>
    <w:rsid w:val="00D93093"/>
    <w:rsid w:val="00D93121"/>
    <w:rsid w:val="00D93157"/>
    <w:rsid w:val="00D93171"/>
    <w:rsid w:val="00D93189"/>
    <w:rsid w:val="00D93190"/>
    <w:rsid w:val="00D931C6"/>
    <w:rsid w:val="00D931C7"/>
    <w:rsid w:val="00D931DB"/>
    <w:rsid w:val="00D93254"/>
    <w:rsid w:val="00D932C7"/>
    <w:rsid w:val="00D932FB"/>
    <w:rsid w:val="00D93324"/>
    <w:rsid w:val="00D9337B"/>
    <w:rsid w:val="00D9338A"/>
    <w:rsid w:val="00D9347E"/>
    <w:rsid w:val="00D93484"/>
    <w:rsid w:val="00D93499"/>
    <w:rsid w:val="00D934A7"/>
    <w:rsid w:val="00D934B6"/>
    <w:rsid w:val="00D934BE"/>
    <w:rsid w:val="00D934E0"/>
    <w:rsid w:val="00D934EA"/>
    <w:rsid w:val="00D93518"/>
    <w:rsid w:val="00D9352F"/>
    <w:rsid w:val="00D9354B"/>
    <w:rsid w:val="00D93583"/>
    <w:rsid w:val="00D9359C"/>
    <w:rsid w:val="00D935C1"/>
    <w:rsid w:val="00D935C5"/>
    <w:rsid w:val="00D93614"/>
    <w:rsid w:val="00D9361B"/>
    <w:rsid w:val="00D9364E"/>
    <w:rsid w:val="00D936AC"/>
    <w:rsid w:val="00D936AD"/>
    <w:rsid w:val="00D936C5"/>
    <w:rsid w:val="00D93752"/>
    <w:rsid w:val="00D937A1"/>
    <w:rsid w:val="00D937F0"/>
    <w:rsid w:val="00D93816"/>
    <w:rsid w:val="00D93840"/>
    <w:rsid w:val="00D9387F"/>
    <w:rsid w:val="00D93897"/>
    <w:rsid w:val="00D938A7"/>
    <w:rsid w:val="00D938B8"/>
    <w:rsid w:val="00D938BB"/>
    <w:rsid w:val="00D938C1"/>
    <w:rsid w:val="00D93923"/>
    <w:rsid w:val="00D93924"/>
    <w:rsid w:val="00D93929"/>
    <w:rsid w:val="00D93945"/>
    <w:rsid w:val="00D93972"/>
    <w:rsid w:val="00D939C7"/>
    <w:rsid w:val="00D939F9"/>
    <w:rsid w:val="00D93A0F"/>
    <w:rsid w:val="00D93A40"/>
    <w:rsid w:val="00D93A62"/>
    <w:rsid w:val="00D93A74"/>
    <w:rsid w:val="00D93A84"/>
    <w:rsid w:val="00D93AC3"/>
    <w:rsid w:val="00D93AD1"/>
    <w:rsid w:val="00D93AF4"/>
    <w:rsid w:val="00D93B14"/>
    <w:rsid w:val="00D93BAF"/>
    <w:rsid w:val="00D93BB6"/>
    <w:rsid w:val="00D93BF8"/>
    <w:rsid w:val="00D93C09"/>
    <w:rsid w:val="00D93C0A"/>
    <w:rsid w:val="00D93C4B"/>
    <w:rsid w:val="00D93C4E"/>
    <w:rsid w:val="00D93C7E"/>
    <w:rsid w:val="00D93C91"/>
    <w:rsid w:val="00D93CC8"/>
    <w:rsid w:val="00D93CD2"/>
    <w:rsid w:val="00D93D27"/>
    <w:rsid w:val="00D93D76"/>
    <w:rsid w:val="00D93DB8"/>
    <w:rsid w:val="00D93DEF"/>
    <w:rsid w:val="00D93E0E"/>
    <w:rsid w:val="00D93E23"/>
    <w:rsid w:val="00D93E72"/>
    <w:rsid w:val="00D93E81"/>
    <w:rsid w:val="00D93ED7"/>
    <w:rsid w:val="00D93EE6"/>
    <w:rsid w:val="00D93EFD"/>
    <w:rsid w:val="00D93F1A"/>
    <w:rsid w:val="00D93F33"/>
    <w:rsid w:val="00D93F3D"/>
    <w:rsid w:val="00D93F72"/>
    <w:rsid w:val="00D93FE7"/>
    <w:rsid w:val="00D94006"/>
    <w:rsid w:val="00D9400F"/>
    <w:rsid w:val="00D9404B"/>
    <w:rsid w:val="00D94059"/>
    <w:rsid w:val="00D9407B"/>
    <w:rsid w:val="00D9407D"/>
    <w:rsid w:val="00D94080"/>
    <w:rsid w:val="00D940AA"/>
    <w:rsid w:val="00D940BD"/>
    <w:rsid w:val="00D940EA"/>
    <w:rsid w:val="00D940FF"/>
    <w:rsid w:val="00D94120"/>
    <w:rsid w:val="00D9412A"/>
    <w:rsid w:val="00D9421D"/>
    <w:rsid w:val="00D9423F"/>
    <w:rsid w:val="00D94265"/>
    <w:rsid w:val="00D94281"/>
    <w:rsid w:val="00D942BF"/>
    <w:rsid w:val="00D942D2"/>
    <w:rsid w:val="00D9430E"/>
    <w:rsid w:val="00D94315"/>
    <w:rsid w:val="00D9435D"/>
    <w:rsid w:val="00D943DF"/>
    <w:rsid w:val="00D9442F"/>
    <w:rsid w:val="00D9445D"/>
    <w:rsid w:val="00D94473"/>
    <w:rsid w:val="00D94483"/>
    <w:rsid w:val="00D94489"/>
    <w:rsid w:val="00D944B3"/>
    <w:rsid w:val="00D944BD"/>
    <w:rsid w:val="00D94536"/>
    <w:rsid w:val="00D94577"/>
    <w:rsid w:val="00D9461A"/>
    <w:rsid w:val="00D94623"/>
    <w:rsid w:val="00D94639"/>
    <w:rsid w:val="00D946D4"/>
    <w:rsid w:val="00D946E1"/>
    <w:rsid w:val="00D94773"/>
    <w:rsid w:val="00D94797"/>
    <w:rsid w:val="00D94820"/>
    <w:rsid w:val="00D94821"/>
    <w:rsid w:val="00D9486E"/>
    <w:rsid w:val="00D948C4"/>
    <w:rsid w:val="00D94922"/>
    <w:rsid w:val="00D9495F"/>
    <w:rsid w:val="00D949A5"/>
    <w:rsid w:val="00D949CB"/>
    <w:rsid w:val="00D94A35"/>
    <w:rsid w:val="00D94B6C"/>
    <w:rsid w:val="00D94BA4"/>
    <w:rsid w:val="00D94C59"/>
    <w:rsid w:val="00D94C5F"/>
    <w:rsid w:val="00D94CCB"/>
    <w:rsid w:val="00D94CE3"/>
    <w:rsid w:val="00D94CF1"/>
    <w:rsid w:val="00D94D5A"/>
    <w:rsid w:val="00D94D7C"/>
    <w:rsid w:val="00D94DBE"/>
    <w:rsid w:val="00D94DCE"/>
    <w:rsid w:val="00D94DCF"/>
    <w:rsid w:val="00D94DE1"/>
    <w:rsid w:val="00D94DEC"/>
    <w:rsid w:val="00D94E0F"/>
    <w:rsid w:val="00D94E7B"/>
    <w:rsid w:val="00D94EAE"/>
    <w:rsid w:val="00D94EB3"/>
    <w:rsid w:val="00D94ECF"/>
    <w:rsid w:val="00D94F1D"/>
    <w:rsid w:val="00D94F33"/>
    <w:rsid w:val="00D94F95"/>
    <w:rsid w:val="00D94FD1"/>
    <w:rsid w:val="00D9500B"/>
    <w:rsid w:val="00D95107"/>
    <w:rsid w:val="00D95109"/>
    <w:rsid w:val="00D9511A"/>
    <w:rsid w:val="00D951B5"/>
    <w:rsid w:val="00D951BF"/>
    <w:rsid w:val="00D951C2"/>
    <w:rsid w:val="00D951CB"/>
    <w:rsid w:val="00D951DB"/>
    <w:rsid w:val="00D95280"/>
    <w:rsid w:val="00D952BE"/>
    <w:rsid w:val="00D95346"/>
    <w:rsid w:val="00D9534D"/>
    <w:rsid w:val="00D95353"/>
    <w:rsid w:val="00D9535B"/>
    <w:rsid w:val="00D95377"/>
    <w:rsid w:val="00D953DA"/>
    <w:rsid w:val="00D953EE"/>
    <w:rsid w:val="00D953F5"/>
    <w:rsid w:val="00D9546A"/>
    <w:rsid w:val="00D95498"/>
    <w:rsid w:val="00D954DF"/>
    <w:rsid w:val="00D95582"/>
    <w:rsid w:val="00D95589"/>
    <w:rsid w:val="00D955BA"/>
    <w:rsid w:val="00D955EB"/>
    <w:rsid w:val="00D956AC"/>
    <w:rsid w:val="00D956C8"/>
    <w:rsid w:val="00D956F2"/>
    <w:rsid w:val="00D95704"/>
    <w:rsid w:val="00D95718"/>
    <w:rsid w:val="00D9572B"/>
    <w:rsid w:val="00D9572F"/>
    <w:rsid w:val="00D95778"/>
    <w:rsid w:val="00D95780"/>
    <w:rsid w:val="00D95799"/>
    <w:rsid w:val="00D9579F"/>
    <w:rsid w:val="00D957A2"/>
    <w:rsid w:val="00D957DA"/>
    <w:rsid w:val="00D957EB"/>
    <w:rsid w:val="00D957EF"/>
    <w:rsid w:val="00D9587F"/>
    <w:rsid w:val="00D95887"/>
    <w:rsid w:val="00D958AC"/>
    <w:rsid w:val="00D958CF"/>
    <w:rsid w:val="00D9592D"/>
    <w:rsid w:val="00D9597B"/>
    <w:rsid w:val="00D959B6"/>
    <w:rsid w:val="00D959D2"/>
    <w:rsid w:val="00D95A40"/>
    <w:rsid w:val="00D95A8C"/>
    <w:rsid w:val="00D95ACF"/>
    <w:rsid w:val="00D95B0B"/>
    <w:rsid w:val="00D95B1B"/>
    <w:rsid w:val="00D95B38"/>
    <w:rsid w:val="00D95B60"/>
    <w:rsid w:val="00D95B77"/>
    <w:rsid w:val="00D95B97"/>
    <w:rsid w:val="00D95B9E"/>
    <w:rsid w:val="00D95BCE"/>
    <w:rsid w:val="00D95C30"/>
    <w:rsid w:val="00D95CD7"/>
    <w:rsid w:val="00D95D34"/>
    <w:rsid w:val="00D95D37"/>
    <w:rsid w:val="00D95D97"/>
    <w:rsid w:val="00D95DBE"/>
    <w:rsid w:val="00D95DD9"/>
    <w:rsid w:val="00D95DDD"/>
    <w:rsid w:val="00D95DEC"/>
    <w:rsid w:val="00D95E0A"/>
    <w:rsid w:val="00D95E30"/>
    <w:rsid w:val="00D95E9C"/>
    <w:rsid w:val="00D95EBF"/>
    <w:rsid w:val="00D95EF6"/>
    <w:rsid w:val="00D95F10"/>
    <w:rsid w:val="00D95F35"/>
    <w:rsid w:val="00D95F4D"/>
    <w:rsid w:val="00D95F6F"/>
    <w:rsid w:val="00D95F88"/>
    <w:rsid w:val="00D960C4"/>
    <w:rsid w:val="00D96195"/>
    <w:rsid w:val="00D961A1"/>
    <w:rsid w:val="00D961E4"/>
    <w:rsid w:val="00D962A7"/>
    <w:rsid w:val="00D9639A"/>
    <w:rsid w:val="00D9640C"/>
    <w:rsid w:val="00D9640E"/>
    <w:rsid w:val="00D96412"/>
    <w:rsid w:val="00D96439"/>
    <w:rsid w:val="00D9646D"/>
    <w:rsid w:val="00D96498"/>
    <w:rsid w:val="00D964D1"/>
    <w:rsid w:val="00D964DB"/>
    <w:rsid w:val="00D96542"/>
    <w:rsid w:val="00D96556"/>
    <w:rsid w:val="00D9659C"/>
    <w:rsid w:val="00D965DE"/>
    <w:rsid w:val="00D965E0"/>
    <w:rsid w:val="00D96645"/>
    <w:rsid w:val="00D966C9"/>
    <w:rsid w:val="00D9675B"/>
    <w:rsid w:val="00D9676F"/>
    <w:rsid w:val="00D967C5"/>
    <w:rsid w:val="00D9682D"/>
    <w:rsid w:val="00D96872"/>
    <w:rsid w:val="00D968A1"/>
    <w:rsid w:val="00D968BB"/>
    <w:rsid w:val="00D96946"/>
    <w:rsid w:val="00D96976"/>
    <w:rsid w:val="00D96992"/>
    <w:rsid w:val="00D9699E"/>
    <w:rsid w:val="00D969E1"/>
    <w:rsid w:val="00D969F3"/>
    <w:rsid w:val="00D96A52"/>
    <w:rsid w:val="00D96AD0"/>
    <w:rsid w:val="00D96AD6"/>
    <w:rsid w:val="00D96ADC"/>
    <w:rsid w:val="00D96AF6"/>
    <w:rsid w:val="00D96AFF"/>
    <w:rsid w:val="00D96B1E"/>
    <w:rsid w:val="00D96B3A"/>
    <w:rsid w:val="00D96B55"/>
    <w:rsid w:val="00D96B5D"/>
    <w:rsid w:val="00D96B6C"/>
    <w:rsid w:val="00D96B7B"/>
    <w:rsid w:val="00D96B93"/>
    <w:rsid w:val="00D96BAE"/>
    <w:rsid w:val="00D96C3D"/>
    <w:rsid w:val="00D96D1B"/>
    <w:rsid w:val="00D96DF1"/>
    <w:rsid w:val="00D96DF7"/>
    <w:rsid w:val="00D96E86"/>
    <w:rsid w:val="00D96E91"/>
    <w:rsid w:val="00D96E94"/>
    <w:rsid w:val="00D96E9D"/>
    <w:rsid w:val="00D96EB4"/>
    <w:rsid w:val="00D96ED1"/>
    <w:rsid w:val="00D96F34"/>
    <w:rsid w:val="00D96FBA"/>
    <w:rsid w:val="00D97009"/>
    <w:rsid w:val="00D97023"/>
    <w:rsid w:val="00D97077"/>
    <w:rsid w:val="00D970D3"/>
    <w:rsid w:val="00D970E1"/>
    <w:rsid w:val="00D970EC"/>
    <w:rsid w:val="00D97125"/>
    <w:rsid w:val="00D97140"/>
    <w:rsid w:val="00D9717A"/>
    <w:rsid w:val="00D9717C"/>
    <w:rsid w:val="00D971F0"/>
    <w:rsid w:val="00D97222"/>
    <w:rsid w:val="00D9722E"/>
    <w:rsid w:val="00D97247"/>
    <w:rsid w:val="00D97257"/>
    <w:rsid w:val="00D97269"/>
    <w:rsid w:val="00D97270"/>
    <w:rsid w:val="00D972B2"/>
    <w:rsid w:val="00D972C6"/>
    <w:rsid w:val="00D972DC"/>
    <w:rsid w:val="00D97316"/>
    <w:rsid w:val="00D97362"/>
    <w:rsid w:val="00D9736B"/>
    <w:rsid w:val="00D973A3"/>
    <w:rsid w:val="00D973A8"/>
    <w:rsid w:val="00D973FB"/>
    <w:rsid w:val="00D9745E"/>
    <w:rsid w:val="00D974AF"/>
    <w:rsid w:val="00D974D1"/>
    <w:rsid w:val="00D974E4"/>
    <w:rsid w:val="00D9753E"/>
    <w:rsid w:val="00D97570"/>
    <w:rsid w:val="00D97588"/>
    <w:rsid w:val="00D975AC"/>
    <w:rsid w:val="00D975DC"/>
    <w:rsid w:val="00D97629"/>
    <w:rsid w:val="00D9769A"/>
    <w:rsid w:val="00D976C0"/>
    <w:rsid w:val="00D976D3"/>
    <w:rsid w:val="00D976E5"/>
    <w:rsid w:val="00D976F4"/>
    <w:rsid w:val="00D97738"/>
    <w:rsid w:val="00D977A7"/>
    <w:rsid w:val="00D977D7"/>
    <w:rsid w:val="00D977E8"/>
    <w:rsid w:val="00D97808"/>
    <w:rsid w:val="00D9780C"/>
    <w:rsid w:val="00D97815"/>
    <w:rsid w:val="00D9781E"/>
    <w:rsid w:val="00D97830"/>
    <w:rsid w:val="00D978F3"/>
    <w:rsid w:val="00D97905"/>
    <w:rsid w:val="00D97975"/>
    <w:rsid w:val="00D979FD"/>
    <w:rsid w:val="00D97A2C"/>
    <w:rsid w:val="00D97A47"/>
    <w:rsid w:val="00D97A5B"/>
    <w:rsid w:val="00D97A86"/>
    <w:rsid w:val="00D97AD1"/>
    <w:rsid w:val="00D97ADD"/>
    <w:rsid w:val="00D97B06"/>
    <w:rsid w:val="00D97B33"/>
    <w:rsid w:val="00D97B35"/>
    <w:rsid w:val="00D97B80"/>
    <w:rsid w:val="00D97BC2"/>
    <w:rsid w:val="00D97BD1"/>
    <w:rsid w:val="00D97C7A"/>
    <w:rsid w:val="00D97CBD"/>
    <w:rsid w:val="00D97D2A"/>
    <w:rsid w:val="00D97D4F"/>
    <w:rsid w:val="00D97D57"/>
    <w:rsid w:val="00D97DBA"/>
    <w:rsid w:val="00D97DBC"/>
    <w:rsid w:val="00D97DC1"/>
    <w:rsid w:val="00D97E07"/>
    <w:rsid w:val="00D97E18"/>
    <w:rsid w:val="00D97EE1"/>
    <w:rsid w:val="00D97F40"/>
    <w:rsid w:val="00D97F4D"/>
    <w:rsid w:val="00D97F92"/>
    <w:rsid w:val="00D97FAA"/>
    <w:rsid w:val="00D97FB5"/>
    <w:rsid w:val="00D97FBA"/>
    <w:rsid w:val="00D97FF3"/>
    <w:rsid w:val="00DA0000"/>
    <w:rsid w:val="00DA0043"/>
    <w:rsid w:val="00DA0064"/>
    <w:rsid w:val="00DA006B"/>
    <w:rsid w:val="00DA0094"/>
    <w:rsid w:val="00DA00D4"/>
    <w:rsid w:val="00DA0139"/>
    <w:rsid w:val="00DA0243"/>
    <w:rsid w:val="00DA0244"/>
    <w:rsid w:val="00DA0281"/>
    <w:rsid w:val="00DA029B"/>
    <w:rsid w:val="00DA02DE"/>
    <w:rsid w:val="00DA02FA"/>
    <w:rsid w:val="00DA0320"/>
    <w:rsid w:val="00DA0336"/>
    <w:rsid w:val="00DA034F"/>
    <w:rsid w:val="00DA03A4"/>
    <w:rsid w:val="00DA03C8"/>
    <w:rsid w:val="00DA03D2"/>
    <w:rsid w:val="00DA03D9"/>
    <w:rsid w:val="00DA03FD"/>
    <w:rsid w:val="00DA0403"/>
    <w:rsid w:val="00DA044F"/>
    <w:rsid w:val="00DA0466"/>
    <w:rsid w:val="00DA0483"/>
    <w:rsid w:val="00DA04AD"/>
    <w:rsid w:val="00DA04C3"/>
    <w:rsid w:val="00DA0546"/>
    <w:rsid w:val="00DA0559"/>
    <w:rsid w:val="00DA056A"/>
    <w:rsid w:val="00DA0585"/>
    <w:rsid w:val="00DA05FB"/>
    <w:rsid w:val="00DA06B9"/>
    <w:rsid w:val="00DA06E5"/>
    <w:rsid w:val="00DA06E8"/>
    <w:rsid w:val="00DA0708"/>
    <w:rsid w:val="00DA070D"/>
    <w:rsid w:val="00DA0715"/>
    <w:rsid w:val="00DA0738"/>
    <w:rsid w:val="00DA079F"/>
    <w:rsid w:val="00DA07C8"/>
    <w:rsid w:val="00DA0811"/>
    <w:rsid w:val="00DA0819"/>
    <w:rsid w:val="00DA082E"/>
    <w:rsid w:val="00DA0885"/>
    <w:rsid w:val="00DA08A5"/>
    <w:rsid w:val="00DA0907"/>
    <w:rsid w:val="00DA0A58"/>
    <w:rsid w:val="00DA0A6F"/>
    <w:rsid w:val="00DA0ADF"/>
    <w:rsid w:val="00DA0AEA"/>
    <w:rsid w:val="00DA0AF6"/>
    <w:rsid w:val="00DA0B1F"/>
    <w:rsid w:val="00DA0B44"/>
    <w:rsid w:val="00DA0B92"/>
    <w:rsid w:val="00DA0BE0"/>
    <w:rsid w:val="00DA0C0E"/>
    <w:rsid w:val="00DA0C9E"/>
    <w:rsid w:val="00DA0CAB"/>
    <w:rsid w:val="00DA0CEC"/>
    <w:rsid w:val="00DA0D1C"/>
    <w:rsid w:val="00DA0D20"/>
    <w:rsid w:val="00DA0D9C"/>
    <w:rsid w:val="00DA0DB3"/>
    <w:rsid w:val="00DA0E12"/>
    <w:rsid w:val="00DA0E4B"/>
    <w:rsid w:val="00DA0E66"/>
    <w:rsid w:val="00DA0E6D"/>
    <w:rsid w:val="00DA0FCE"/>
    <w:rsid w:val="00DA1047"/>
    <w:rsid w:val="00DA1053"/>
    <w:rsid w:val="00DA1081"/>
    <w:rsid w:val="00DA10AF"/>
    <w:rsid w:val="00DA1102"/>
    <w:rsid w:val="00DA1129"/>
    <w:rsid w:val="00DA1184"/>
    <w:rsid w:val="00DA1225"/>
    <w:rsid w:val="00DA1253"/>
    <w:rsid w:val="00DA128C"/>
    <w:rsid w:val="00DA12A1"/>
    <w:rsid w:val="00DA12AC"/>
    <w:rsid w:val="00DA12E9"/>
    <w:rsid w:val="00DA12FC"/>
    <w:rsid w:val="00DA1388"/>
    <w:rsid w:val="00DA13BD"/>
    <w:rsid w:val="00DA1499"/>
    <w:rsid w:val="00DA14C6"/>
    <w:rsid w:val="00DA14EC"/>
    <w:rsid w:val="00DA14FF"/>
    <w:rsid w:val="00DA1533"/>
    <w:rsid w:val="00DA1553"/>
    <w:rsid w:val="00DA15D2"/>
    <w:rsid w:val="00DA15DF"/>
    <w:rsid w:val="00DA15EC"/>
    <w:rsid w:val="00DA15F0"/>
    <w:rsid w:val="00DA15F3"/>
    <w:rsid w:val="00DA1612"/>
    <w:rsid w:val="00DA1622"/>
    <w:rsid w:val="00DA1631"/>
    <w:rsid w:val="00DA165D"/>
    <w:rsid w:val="00DA16BF"/>
    <w:rsid w:val="00DA16CD"/>
    <w:rsid w:val="00DA16EA"/>
    <w:rsid w:val="00DA1706"/>
    <w:rsid w:val="00DA171E"/>
    <w:rsid w:val="00DA172F"/>
    <w:rsid w:val="00DA178D"/>
    <w:rsid w:val="00DA179E"/>
    <w:rsid w:val="00DA17F0"/>
    <w:rsid w:val="00DA1812"/>
    <w:rsid w:val="00DA1842"/>
    <w:rsid w:val="00DA1845"/>
    <w:rsid w:val="00DA186E"/>
    <w:rsid w:val="00DA1880"/>
    <w:rsid w:val="00DA1887"/>
    <w:rsid w:val="00DA18C2"/>
    <w:rsid w:val="00DA18C9"/>
    <w:rsid w:val="00DA18E8"/>
    <w:rsid w:val="00DA194A"/>
    <w:rsid w:val="00DA1951"/>
    <w:rsid w:val="00DA1A42"/>
    <w:rsid w:val="00DA1A65"/>
    <w:rsid w:val="00DA1A8C"/>
    <w:rsid w:val="00DA1B69"/>
    <w:rsid w:val="00DA1B9C"/>
    <w:rsid w:val="00DA1BC0"/>
    <w:rsid w:val="00DA1BD2"/>
    <w:rsid w:val="00DA1BEC"/>
    <w:rsid w:val="00DA1C21"/>
    <w:rsid w:val="00DA1C27"/>
    <w:rsid w:val="00DA1C4F"/>
    <w:rsid w:val="00DA1C69"/>
    <w:rsid w:val="00DA1CC1"/>
    <w:rsid w:val="00DA1CF4"/>
    <w:rsid w:val="00DA1D13"/>
    <w:rsid w:val="00DA1D14"/>
    <w:rsid w:val="00DA1D4B"/>
    <w:rsid w:val="00DA1D53"/>
    <w:rsid w:val="00DA1D9D"/>
    <w:rsid w:val="00DA1E1F"/>
    <w:rsid w:val="00DA1E51"/>
    <w:rsid w:val="00DA1E96"/>
    <w:rsid w:val="00DA1E9C"/>
    <w:rsid w:val="00DA1ED5"/>
    <w:rsid w:val="00DA1F16"/>
    <w:rsid w:val="00DA1F1F"/>
    <w:rsid w:val="00DA1F23"/>
    <w:rsid w:val="00DA1F29"/>
    <w:rsid w:val="00DA1F5B"/>
    <w:rsid w:val="00DA1F61"/>
    <w:rsid w:val="00DA1F69"/>
    <w:rsid w:val="00DA1FD6"/>
    <w:rsid w:val="00DA2036"/>
    <w:rsid w:val="00DA2039"/>
    <w:rsid w:val="00DA20AE"/>
    <w:rsid w:val="00DA20FF"/>
    <w:rsid w:val="00DA2129"/>
    <w:rsid w:val="00DA2186"/>
    <w:rsid w:val="00DA219B"/>
    <w:rsid w:val="00DA21C7"/>
    <w:rsid w:val="00DA21F1"/>
    <w:rsid w:val="00DA2255"/>
    <w:rsid w:val="00DA22BB"/>
    <w:rsid w:val="00DA22CB"/>
    <w:rsid w:val="00DA22FA"/>
    <w:rsid w:val="00DA230A"/>
    <w:rsid w:val="00DA2323"/>
    <w:rsid w:val="00DA2334"/>
    <w:rsid w:val="00DA233C"/>
    <w:rsid w:val="00DA2361"/>
    <w:rsid w:val="00DA2364"/>
    <w:rsid w:val="00DA23E7"/>
    <w:rsid w:val="00DA23FA"/>
    <w:rsid w:val="00DA241E"/>
    <w:rsid w:val="00DA244A"/>
    <w:rsid w:val="00DA24DE"/>
    <w:rsid w:val="00DA2525"/>
    <w:rsid w:val="00DA2534"/>
    <w:rsid w:val="00DA2567"/>
    <w:rsid w:val="00DA2596"/>
    <w:rsid w:val="00DA25AB"/>
    <w:rsid w:val="00DA25C9"/>
    <w:rsid w:val="00DA2618"/>
    <w:rsid w:val="00DA2625"/>
    <w:rsid w:val="00DA2664"/>
    <w:rsid w:val="00DA2695"/>
    <w:rsid w:val="00DA269C"/>
    <w:rsid w:val="00DA273F"/>
    <w:rsid w:val="00DA2766"/>
    <w:rsid w:val="00DA277C"/>
    <w:rsid w:val="00DA27A5"/>
    <w:rsid w:val="00DA27C3"/>
    <w:rsid w:val="00DA2803"/>
    <w:rsid w:val="00DA2841"/>
    <w:rsid w:val="00DA2855"/>
    <w:rsid w:val="00DA2864"/>
    <w:rsid w:val="00DA2871"/>
    <w:rsid w:val="00DA2894"/>
    <w:rsid w:val="00DA28BA"/>
    <w:rsid w:val="00DA295C"/>
    <w:rsid w:val="00DA2973"/>
    <w:rsid w:val="00DA2A07"/>
    <w:rsid w:val="00DA2A65"/>
    <w:rsid w:val="00DA2A75"/>
    <w:rsid w:val="00DA2A82"/>
    <w:rsid w:val="00DA2A83"/>
    <w:rsid w:val="00DA2AFF"/>
    <w:rsid w:val="00DA2B11"/>
    <w:rsid w:val="00DA2B46"/>
    <w:rsid w:val="00DA2B60"/>
    <w:rsid w:val="00DA2B77"/>
    <w:rsid w:val="00DA2BA9"/>
    <w:rsid w:val="00DA2C56"/>
    <w:rsid w:val="00DA2C9B"/>
    <w:rsid w:val="00DA2D79"/>
    <w:rsid w:val="00DA2D95"/>
    <w:rsid w:val="00DA2E8F"/>
    <w:rsid w:val="00DA2F01"/>
    <w:rsid w:val="00DA2F31"/>
    <w:rsid w:val="00DA2F99"/>
    <w:rsid w:val="00DA302B"/>
    <w:rsid w:val="00DA304A"/>
    <w:rsid w:val="00DA307E"/>
    <w:rsid w:val="00DA308B"/>
    <w:rsid w:val="00DA30A3"/>
    <w:rsid w:val="00DA30BC"/>
    <w:rsid w:val="00DA3151"/>
    <w:rsid w:val="00DA3193"/>
    <w:rsid w:val="00DA31D1"/>
    <w:rsid w:val="00DA320A"/>
    <w:rsid w:val="00DA3255"/>
    <w:rsid w:val="00DA3292"/>
    <w:rsid w:val="00DA32E2"/>
    <w:rsid w:val="00DA3323"/>
    <w:rsid w:val="00DA334B"/>
    <w:rsid w:val="00DA334D"/>
    <w:rsid w:val="00DA339A"/>
    <w:rsid w:val="00DA33D8"/>
    <w:rsid w:val="00DA3437"/>
    <w:rsid w:val="00DA3444"/>
    <w:rsid w:val="00DA346C"/>
    <w:rsid w:val="00DA34AA"/>
    <w:rsid w:val="00DA34B9"/>
    <w:rsid w:val="00DA3539"/>
    <w:rsid w:val="00DA3554"/>
    <w:rsid w:val="00DA3578"/>
    <w:rsid w:val="00DA35DA"/>
    <w:rsid w:val="00DA3610"/>
    <w:rsid w:val="00DA3649"/>
    <w:rsid w:val="00DA364B"/>
    <w:rsid w:val="00DA369C"/>
    <w:rsid w:val="00DA369E"/>
    <w:rsid w:val="00DA36EC"/>
    <w:rsid w:val="00DA37C1"/>
    <w:rsid w:val="00DA37F4"/>
    <w:rsid w:val="00DA3813"/>
    <w:rsid w:val="00DA383A"/>
    <w:rsid w:val="00DA3867"/>
    <w:rsid w:val="00DA3885"/>
    <w:rsid w:val="00DA3899"/>
    <w:rsid w:val="00DA38A4"/>
    <w:rsid w:val="00DA38AD"/>
    <w:rsid w:val="00DA38BE"/>
    <w:rsid w:val="00DA38D7"/>
    <w:rsid w:val="00DA38E2"/>
    <w:rsid w:val="00DA38E7"/>
    <w:rsid w:val="00DA3910"/>
    <w:rsid w:val="00DA3933"/>
    <w:rsid w:val="00DA3950"/>
    <w:rsid w:val="00DA3953"/>
    <w:rsid w:val="00DA395E"/>
    <w:rsid w:val="00DA3998"/>
    <w:rsid w:val="00DA39C1"/>
    <w:rsid w:val="00DA39EF"/>
    <w:rsid w:val="00DA3A6E"/>
    <w:rsid w:val="00DA3A8E"/>
    <w:rsid w:val="00DA3B52"/>
    <w:rsid w:val="00DA3B5D"/>
    <w:rsid w:val="00DA3B5F"/>
    <w:rsid w:val="00DA3B86"/>
    <w:rsid w:val="00DA3BBC"/>
    <w:rsid w:val="00DA3C14"/>
    <w:rsid w:val="00DA3C17"/>
    <w:rsid w:val="00DA3CA5"/>
    <w:rsid w:val="00DA3CFD"/>
    <w:rsid w:val="00DA3D0F"/>
    <w:rsid w:val="00DA3DB0"/>
    <w:rsid w:val="00DA3DF2"/>
    <w:rsid w:val="00DA3E37"/>
    <w:rsid w:val="00DA3E4F"/>
    <w:rsid w:val="00DA3E75"/>
    <w:rsid w:val="00DA3E7D"/>
    <w:rsid w:val="00DA3E9A"/>
    <w:rsid w:val="00DA3EED"/>
    <w:rsid w:val="00DA3EEE"/>
    <w:rsid w:val="00DA3F15"/>
    <w:rsid w:val="00DA3F2B"/>
    <w:rsid w:val="00DA3F6F"/>
    <w:rsid w:val="00DA3F7B"/>
    <w:rsid w:val="00DA3F9B"/>
    <w:rsid w:val="00DA3FE5"/>
    <w:rsid w:val="00DA3FFF"/>
    <w:rsid w:val="00DA404F"/>
    <w:rsid w:val="00DA4089"/>
    <w:rsid w:val="00DA4161"/>
    <w:rsid w:val="00DA416C"/>
    <w:rsid w:val="00DA41BB"/>
    <w:rsid w:val="00DA41BD"/>
    <w:rsid w:val="00DA41E3"/>
    <w:rsid w:val="00DA41F6"/>
    <w:rsid w:val="00DA421C"/>
    <w:rsid w:val="00DA4278"/>
    <w:rsid w:val="00DA4341"/>
    <w:rsid w:val="00DA438B"/>
    <w:rsid w:val="00DA438F"/>
    <w:rsid w:val="00DA4412"/>
    <w:rsid w:val="00DA4424"/>
    <w:rsid w:val="00DA44A0"/>
    <w:rsid w:val="00DA44EB"/>
    <w:rsid w:val="00DA4536"/>
    <w:rsid w:val="00DA4573"/>
    <w:rsid w:val="00DA45BD"/>
    <w:rsid w:val="00DA45DB"/>
    <w:rsid w:val="00DA4624"/>
    <w:rsid w:val="00DA4662"/>
    <w:rsid w:val="00DA4692"/>
    <w:rsid w:val="00DA46BB"/>
    <w:rsid w:val="00DA46C0"/>
    <w:rsid w:val="00DA46E7"/>
    <w:rsid w:val="00DA475D"/>
    <w:rsid w:val="00DA476F"/>
    <w:rsid w:val="00DA4771"/>
    <w:rsid w:val="00DA47D2"/>
    <w:rsid w:val="00DA47D8"/>
    <w:rsid w:val="00DA4829"/>
    <w:rsid w:val="00DA483A"/>
    <w:rsid w:val="00DA48B0"/>
    <w:rsid w:val="00DA48E4"/>
    <w:rsid w:val="00DA4914"/>
    <w:rsid w:val="00DA4917"/>
    <w:rsid w:val="00DA4918"/>
    <w:rsid w:val="00DA49D6"/>
    <w:rsid w:val="00DA4AD1"/>
    <w:rsid w:val="00DA4B10"/>
    <w:rsid w:val="00DA4B29"/>
    <w:rsid w:val="00DA4B6E"/>
    <w:rsid w:val="00DA4B88"/>
    <w:rsid w:val="00DA4BEE"/>
    <w:rsid w:val="00DA4BF4"/>
    <w:rsid w:val="00DA4C58"/>
    <w:rsid w:val="00DA4CEE"/>
    <w:rsid w:val="00DA4CFD"/>
    <w:rsid w:val="00DA4D39"/>
    <w:rsid w:val="00DA4D4F"/>
    <w:rsid w:val="00DA4DA2"/>
    <w:rsid w:val="00DA4DD2"/>
    <w:rsid w:val="00DA4DFA"/>
    <w:rsid w:val="00DA4E4A"/>
    <w:rsid w:val="00DA4E51"/>
    <w:rsid w:val="00DA4E6A"/>
    <w:rsid w:val="00DA4E85"/>
    <w:rsid w:val="00DA4EA0"/>
    <w:rsid w:val="00DA4F02"/>
    <w:rsid w:val="00DA4F03"/>
    <w:rsid w:val="00DA4F20"/>
    <w:rsid w:val="00DA4F39"/>
    <w:rsid w:val="00DA4FD4"/>
    <w:rsid w:val="00DA4FE6"/>
    <w:rsid w:val="00DA506A"/>
    <w:rsid w:val="00DA50A9"/>
    <w:rsid w:val="00DA50C1"/>
    <w:rsid w:val="00DA50EE"/>
    <w:rsid w:val="00DA5152"/>
    <w:rsid w:val="00DA5156"/>
    <w:rsid w:val="00DA518E"/>
    <w:rsid w:val="00DA51C1"/>
    <w:rsid w:val="00DA51C5"/>
    <w:rsid w:val="00DA51D8"/>
    <w:rsid w:val="00DA51EF"/>
    <w:rsid w:val="00DA5219"/>
    <w:rsid w:val="00DA5259"/>
    <w:rsid w:val="00DA52B6"/>
    <w:rsid w:val="00DA52F2"/>
    <w:rsid w:val="00DA5329"/>
    <w:rsid w:val="00DA532E"/>
    <w:rsid w:val="00DA5380"/>
    <w:rsid w:val="00DA53BF"/>
    <w:rsid w:val="00DA53D0"/>
    <w:rsid w:val="00DA53D1"/>
    <w:rsid w:val="00DA5499"/>
    <w:rsid w:val="00DA54AF"/>
    <w:rsid w:val="00DA54BC"/>
    <w:rsid w:val="00DA54BE"/>
    <w:rsid w:val="00DA54FF"/>
    <w:rsid w:val="00DA5508"/>
    <w:rsid w:val="00DA5598"/>
    <w:rsid w:val="00DA55BC"/>
    <w:rsid w:val="00DA55C3"/>
    <w:rsid w:val="00DA55FA"/>
    <w:rsid w:val="00DA560D"/>
    <w:rsid w:val="00DA5655"/>
    <w:rsid w:val="00DA567E"/>
    <w:rsid w:val="00DA56BB"/>
    <w:rsid w:val="00DA56D3"/>
    <w:rsid w:val="00DA56E9"/>
    <w:rsid w:val="00DA56EF"/>
    <w:rsid w:val="00DA5756"/>
    <w:rsid w:val="00DA577C"/>
    <w:rsid w:val="00DA578B"/>
    <w:rsid w:val="00DA579C"/>
    <w:rsid w:val="00DA586F"/>
    <w:rsid w:val="00DA5874"/>
    <w:rsid w:val="00DA5951"/>
    <w:rsid w:val="00DA5963"/>
    <w:rsid w:val="00DA598F"/>
    <w:rsid w:val="00DA59A1"/>
    <w:rsid w:val="00DA59AF"/>
    <w:rsid w:val="00DA5A13"/>
    <w:rsid w:val="00DA5A76"/>
    <w:rsid w:val="00DA5AAC"/>
    <w:rsid w:val="00DA5AC1"/>
    <w:rsid w:val="00DA5AC3"/>
    <w:rsid w:val="00DA5AED"/>
    <w:rsid w:val="00DA5B44"/>
    <w:rsid w:val="00DA5B51"/>
    <w:rsid w:val="00DA5BCF"/>
    <w:rsid w:val="00DA5C43"/>
    <w:rsid w:val="00DA5C5B"/>
    <w:rsid w:val="00DA5CB5"/>
    <w:rsid w:val="00DA5CD7"/>
    <w:rsid w:val="00DA5D07"/>
    <w:rsid w:val="00DA5D09"/>
    <w:rsid w:val="00DA5D50"/>
    <w:rsid w:val="00DA5D5C"/>
    <w:rsid w:val="00DA5D6B"/>
    <w:rsid w:val="00DA5DB5"/>
    <w:rsid w:val="00DA5E68"/>
    <w:rsid w:val="00DA5EA6"/>
    <w:rsid w:val="00DA5EB8"/>
    <w:rsid w:val="00DA5EE0"/>
    <w:rsid w:val="00DA5EF6"/>
    <w:rsid w:val="00DA5EF9"/>
    <w:rsid w:val="00DA5F1C"/>
    <w:rsid w:val="00DA5F3F"/>
    <w:rsid w:val="00DA5F47"/>
    <w:rsid w:val="00DA5F8D"/>
    <w:rsid w:val="00DA5F8F"/>
    <w:rsid w:val="00DA5FC0"/>
    <w:rsid w:val="00DA6011"/>
    <w:rsid w:val="00DA60A5"/>
    <w:rsid w:val="00DA60C4"/>
    <w:rsid w:val="00DA60D5"/>
    <w:rsid w:val="00DA612C"/>
    <w:rsid w:val="00DA614D"/>
    <w:rsid w:val="00DA61A5"/>
    <w:rsid w:val="00DA61F5"/>
    <w:rsid w:val="00DA6209"/>
    <w:rsid w:val="00DA6219"/>
    <w:rsid w:val="00DA6242"/>
    <w:rsid w:val="00DA6243"/>
    <w:rsid w:val="00DA6285"/>
    <w:rsid w:val="00DA629A"/>
    <w:rsid w:val="00DA62B7"/>
    <w:rsid w:val="00DA62F8"/>
    <w:rsid w:val="00DA6302"/>
    <w:rsid w:val="00DA6315"/>
    <w:rsid w:val="00DA6359"/>
    <w:rsid w:val="00DA6390"/>
    <w:rsid w:val="00DA63FC"/>
    <w:rsid w:val="00DA6408"/>
    <w:rsid w:val="00DA6458"/>
    <w:rsid w:val="00DA6496"/>
    <w:rsid w:val="00DA64DF"/>
    <w:rsid w:val="00DA64F6"/>
    <w:rsid w:val="00DA64F9"/>
    <w:rsid w:val="00DA65CB"/>
    <w:rsid w:val="00DA65FC"/>
    <w:rsid w:val="00DA661B"/>
    <w:rsid w:val="00DA6648"/>
    <w:rsid w:val="00DA6655"/>
    <w:rsid w:val="00DA6662"/>
    <w:rsid w:val="00DA6664"/>
    <w:rsid w:val="00DA6674"/>
    <w:rsid w:val="00DA66D4"/>
    <w:rsid w:val="00DA66FA"/>
    <w:rsid w:val="00DA6735"/>
    <w:rsid w:val="00DA6747"/>
    <w:rsid w:val="00DA674A"/>
    <w:rsid w:val="00DA674C"/>
    <w:rsid w:val="00DA6826"/>
    <w:rsid w:val="00DA68B7"/>
    <w:rsid w:val="00DA68BB"/>
    <w:rsid w:val="00DA68CC"/>
    <w:rsid w:val="00DA68D1"/>
    <w:rsid w:val="00DA68FF"/>
    <w:rsid w:val="00DA6906"/>
    <w:rsid w:val="00DA693A"/>
    <w:rsid w:val="00DA6946"/>
    <w:rsid w:val="00DA6965"/>
    <w:rsid w:val="00DA69AC"/>
    <w:rsid w:val="00DA6A31"/>
    <w:rsid w:val="00DA6A7C"/>
    <w:rsid w:val="00DA6A85"/>
    <w:rsid w:val="00DA6AC9"/>
    <w:rsid w:val="00DA6ACD"/>
    <w:rsid w:val="00DA6B00"/>
    <w:rsid w:val="00DA6B1E"/>
    <w:rsid w:val="00DA6B44"/>
    <w:rsid w:val="00DA6B7B"/>
    <w:rsid w:val="00DA6B91"/>
    <w:rsid w:val="00DA6BBD"/>
    <w:rsid w:val="00DA6BE7"/>
    <w:rsid w:val="00DA6C47"/>
    <w:rsid w:val="00DA6C71"/>
    <w:rsid w:val="00DA6C8A"/>
    <w:rsid w:val="00DA6D3B"/>
    <w:rsid w:val="00DA6D4A"/>
    <w:rsid w:val="00DA6D86"/>
    <w:rsid w:val="00DA700B"/>
    <w:rsid w:val="00DA7058"/>
    <w:rsid w:val="00DA7082"/>
    <w:rsid w:val="00DA70AC"/>
    <w:rsid w:val="00DA70FA"/>
    <w:rsid w:val="00DA7129"/>
    <w:rsid w:val="00DA71C3"/>
    <w:rsid w:val="00DA71F2"/>
    <w:rsid w:val="00DA7224"/>
    <w:rsid w:val="00DA7299"/>
    <w:rsid w:val="00DA72AD"/>
    <w:rsid w:val="00DA72B6"/>
    <w:rsid w:val="00DA7308"/>
    <w:rsid w:val="00DA7317"/>
    <w:rsid w:val="00DA7348"/>
    <w:rsid w:val="00DA7372"/>
    <w:rsid w:val="00DA73E1"/>
    <w:rsid w:val="00DA73FB"/>
    <w:rsid w:val="00DA74BE"/>
    <w:rsid w:val="00DA74BF"/>
    <w:rsid w:val="00DA74C5"/>
    <w:rsid w:val="00DA7588"/>
    <w:rsid w:val="00DA75A2"/>
    <w:rsid w:val="00DA75A6"/>
    <w:rsid w:val="00DA76DB"/>
    <w:rsid w:val="00DA771F"/>
    <w:rsid w:val="00DA775E"/>
    <w:rsid w:val="00DA7774"/>
    <w:rsid w:val="00DA7785"/>
    <w:rsid w:val="00DA7796"/>
    <w:rsid w:val="00DA77B1"/>
    <w:rsid w:val="00DA77E0"/>
    <w:rsid w:val="00DA77ED"/>
    <w:rsid w:val="00DA77F0"/>
    <w:rsid w:val="00DA7816"/>
    <w:rsid w:val="00DA7838"/>
    <w:rsid w:val="00DA78AB"/>
    <w:rsid w:val="00DA78BC"/>
    <w:rsid w:val="00DA78CF"/>
    <w:rsid w:val="00DA796A"/>
    <w:rsid w:val="00DA7983"/>
    <w:rsid w:val="00DA79B3"/>
    <w:rsid w:val="00DA79DF"/>
    <w:rsid w:val="00DA7A91"/>
    <w:rsid w:val="00DA7AA7"/>
    <w:rsid w:val="00DA7AC5"/>
    <w:rsid w:val="00DA7AEF"/>
    <w:rsid w:val="00DA7B70"/>
    <w:rsid w:val="00DA7BA5"/>
    <w:rsid w:val="00DA7BBF"/>
    <w:rsid w:val="00DA7C08"/>
    <w:rsid w:val="00DA7C4A"/>
    <w:rsid w:val="00DA7C8E"/>
    <w:rsid w:val="00DA7CA9"/>
    <w:rsid w:val="00DA7CC1"/>
    <w:rsid w:val="00DA7D98"/>
    <w:rsid w:val="00DA7DA6"/>
    <w:rsid w:val="00DA7E1B"/>
    <w:rsid w:val="00DA7E26"/>
    <w:rsid w:val="00DA7E2E"/>
    <w:rsid w:val="00DA7E31"/>
    <w:rsid w:val="00DA7E33"/>
    <w:rsid w:val="00DA7E69"/>
    <w:rsid w:val="00DA7E87"/>
    <w:rsid w:val="00DA7EE2"/>
    <w:rsid w:val="00DA7EEE"/>
    <w:rsid w:val="00DA7F03"/>
    <w:rsid w:val="00DA7F21"/>
    <w:rsid w:val="00DA7F92"/>
    <w:rsid w:val="00DB005E"/>
    <w:rsid w:val="00DB00AE"/>
    <w:rsid w:val="00DB00BA"/>
    <w:rsid w:val="00DB00F9"/>
    <w:rsid w:val="00DB014B"/>
    <w:rsid w:val="00DB0182"/>
    <w:rsid w:val="00DB0184"/>
    <w:rsid w:val="00DB019B"/>
    <w:rsid w:val="00DB01C1"/>
    <w:rsid w:val="00DB01CC"/>
    <w:rsid w:val="00DB01E7"/>
    <w:rsid w:val="00DB0262"/>
    <w:rsid w:val="00DB028F"/>
    <w:rsid w:val="00DB02E8"/>
    <w:rsid w:val="00DB02F2"/>
    <w:rsid w:val="00DB0330"/>
    <w:rsid w:val="00DB0332"/>
    <w:rsid w:val="00DB036F"/>
    <w:rsid w:val="00DB0370"/>
    <w:rsid w:val="00DB0377"/>
    <w:rsid w:val="00DB03DD"/>
    <w:rsid w:val="00DB03EF"/>
    <w:rsid w:val="00DB041E"/>
    <w:rsid w:val="00DB0452"/>
    <w:rsid w:val="00DB0496"/>
    <w:rsid w:val="00DB04B0"/>
    <w:rsid w:val="00DB04D0"/>
    <w:rsid w:val="00DB04E6"/>
    <w:rsid w:val="00DB0500"/>
    <w:rsid w:val="00DB053B"/>
    <w:rsid w:val="00DB05AB"/>
    <w:rsid w:val="00DB0620"/>
    <w:rsid w:val="00DB0656"/>
    <w:rsid w:val="00DB0673"/>
    <w:rsid w:val="00DB0677"/>
    <w:rsid w:val="00DB06B3"/>
    <w:rsid w:val="00DB06E3"/>
    <w:rsid w:val="00DB06FD"/>
    <w:rsid w:val="00DB06FE"/>
    <w:rsid w:val="00DB0789"/>
    <w:rsid w:val="00DB0815"/>
    <w:rsid w:val="00DB081D"/>
    <w:rsid w:val="00DB0877"/>
    <w:rsid w:val="00DB0881"/>
    <w:rsid w:val="00DB088C"/>
    <w:rsid w:val="00DB0899"/>
    <w:rsid w:val="00DB08DA"/>
    <w:rsid w:val="00DB0922"/>
    <w:rsid w:val="00DB0947"/>
    <w:rsid w:val="00DB0971"/>
    <w:rsid w:val="00DB09B1"/>
    <w:rsid w:val="00DB09BC"/>
    <w:rsid w:val="00DB09F6"/>
    <w:rsid w:val="00DB0A2E"/>
    <w:rsid w:val="00DB0A45"/>
    <w:rsid w:val="00DB0AC8"/>
    <w:rsid w:val="00DB0ACA"/>
    <w:rsid w:val="00DB0AE9"/>
    <w:rsid w:val="00DB0AF1"/>
    <w:rsid w:val="00DB0AF8"/>
    <w:rsid w:val="00DB0B0C"/>
    <w:rsid w:val="00DB0B24"/>
    <w:rsid w:val="00DB0B83"/>
    <w:rsid w:val="00DB0BA1"/>
    <w:rsid w:val="00DB0BEE"/>
    <w:rsid w:val="00DB0C00"/>
    <w:rsid w:val="00DB0C27"/>
    <w:rsid w:val="00DB0C6A"/>
    <w:rsid w:val="00DB0CB5"/>
    <w:rsid w:val="00DB0CC5"/>
    <w:rsid w:val="00DB0D19"/>
    <w:rsid w:val="00DB0D38"/>
    <w:rsid w:val="00DB0D3F"/>
    <w:rsid w:val="00DB0E22"/>
    <w:rsid w:val="00DB0E8E"/>
    <w:rsid w:val="00DB0F1B"/>
    <w:rsid w:val="00DB0F33"/>
    <w:rsid w:val="00DB0FB1"/>
    <w:rsid w:val="00DB0FD6"/>
    <w:rsid w:val="00DB0FDD"/>
    <w:rsid w:val="00DB1072"/>
    <w:rsid w:val="00DB1097"/>
    <w:rsid w:val="00DB10C3"/>
    <w:rsid w:val="00DB1180"/>
    <w:rsid w:val="00DB1214"/>
    <w:rsid w:val="00DB1281"/>
    <w:rsid w:val="00DB12B1"/>
    <w:rsid w:val="00DB12BF"/>
    <w:rsid w:val="00DB12E9"/>
    <w:rsid w:val="00DB1317"/>
    <w:rsid w:val="00DB133F"/>
    <w:rsid w:val="00DB134D"/>
    <w:rsid w:val="00DB1420"/>
    <w:rsid w:val="00DB1434"/>
    <w:rsid w:val="00DB146E"/>
    <w:rsid w:val="00DB155F"/>
    <w:rsid w:val="00DB156B"/>
    <w:rsid w:val="00DB1581"/>
    <w:rsid w:val="00DB158B"/>
    <w:rsid w:val="00DB15A5"/>
    <w:rsid w:val="00DB164C"/>
    <w:rsid w:val="00DB1651"/>
    <w:rsid w:val="00DB16CB"/>
    <w:rsid w:val="00DB16DA"/>
    <w:rsid w:val="00DB16E0"/>
    <w:rsid w:val="00DB16E5"/>
    <w:rsid w:val="00DB16F2"/>
    <w:rsid w:val="00DB172F"/>
    <w:rsid w:val="00DB176C"/>
    <w:rsid w:val="00DB1801"/>
    <w:rsid w:val="00DB1811"/>
    <w:rsid w:val="00DB1918"/>
    <w:rsid w:val="00DB1922"/>
    <w:rsid w:val="00DB1924"/>
    <w:rsid w:val="00DB193F"/>
    <w:rsid w:val="00DB195A"/>
    <w:rsid w:val="00DB198D"/>
    <w:rsid w:val="00DB1997"/>
    <w:rsid w:val="00DB1A91"/>
    <w:rsid w:val="00DB1AA8"/>
    <w:rsid w:val="00DB1AB4"/>
    <w:rsid w:val="00DB1ACE"/>
    <w:rsid w:val="00DB1B25"/>
    <w:rsid w:val="00DB1B52"/>
    <w:rsid w:val="00DB1B6E"/>
    <w:rsid w:val="00DB1BCC"/>
    <w:rsid w:val="00DB1BD2"/>
    <w:rsid w:val="00DB1C04"/>
    <w:rsid w:val="00DB1CAF"/>
    <w:rsid w:val="00DB1CEE"/>
    <w:rsid w:val="00DB1D38"/>
    <w:rsid w:val="00DB1D84"/>
    <w:rsid w:val="00DB1D99"/>
    <w:rsid w:val="00DB1DA6"/>
    <w:rsid w:val="00DB1DA7"/>
    <w:rsid w:val="00DB1DB6"/>
    <w:rsid w:val="00DB1DF5"/>
    <w:rsid w:val="00DB1EA1"/>
    <w:rsid w:val="00DB1EC9"/>
    <w:rsid w:val="00DB1EED"/>
    <w:rsid w:val="00DB1F1D"/>
    <w:rsid w:val="00DB1F1F"/>
    <w:rsid w:val="00DB1F4F"/>
    <w:rsid w:val="00DB1F73"/>
    <w:rsid w:val="00DB1F7F"/>
    <w:rsid w:val="00DB1F84"/>
    <w:rsid w:val="00DB1F8A"/>
    <w:rsid w:val="00DB1FB7"/>
    <w:rsid w:val="00DB1FF5"/>
    <w:rsid w:val="00DB202B"/>
    <w:rsid w:val="00DB2053"/>
    <w:rsid w:val="00DB209F"/>
    <w:rsid w:val="00DB20CC"/>
    <w:rsid w:val="00DB2119"/>
    <w:rsid w:val="00DB21A4"/>
    <w:rsid w:val="00DB21C3"/>
    <w:rsid w:val="00DB21D2"/>
    <w:rsid w:val="00DB21E5"/>
    <w:rsid w:val="00DB2256"/>
    <w:rsid w:val="00DB228B"/>
    <w:rsid w:val="00DB2326"/>
    <w:rsid w:val="00DB2389"/>
    <w:rsid w:val="00DB23E3"/>
    <w:rsid w:val="00DB24A3"/>
    <w:rsid w:val="00DB24AF"/>
    <w:rsid w:val="00DB255E"/>
    <w:rsid w:val="00DB2570"/>
    <w:rsid w:val="00DB25B1"/>
    <w:rsid w:val="00DB260E"/>
    <w:rsid w:val="00DB262F"/>
    <w:rsid w:val="00DB267A"/>
    <w:rsid w:val="00DB26D7"/>
    <w:rsid w:val="00DB2740"/>
    <w:rsid w:val="00DB2755"/>
    <w:rsid w:val="00DB2763"/>
    <w:rsid w:val="00DB2772"/>
    <w:rsid w:val="00DB2836"/>
    <w:rsid w:val="00DB28C3"/>
    <w:rsid w:val="00DB28EA"/>
    <w:rsid w:val="00DB2922"/>
    <w:rsid w:val="00DB294B"/>
    <w:rsid w:val="00DB2965"/>
    <w:rsid w:val="00DB2A07"/>
    <w:rsid w:val="00DB2A67"/>
    <w:rsid w:val="00DB2A89"/>
    <w:rsid w:val="00DB2AB2"/>
    <w:rsid w:val="00DB2AEA"/>
    <w:rsid w:val="00DB2AF3"/>
    <w:rsid w:val="00DB2B0B"/>
    <w:rsid w:val="00DB2B0C"/>
    <w:rsid w:val="00DB2B44"/>
    <w:rsid w:val="00DB2B72"/>
    <w:rsid w:val="00DB2B9C"/>
    <w:rsid w:val="00DB2BDA"/>
    <w:rsid w:val="00DB2C40"/>
    <w:rsid w:val="00DB2C59"/>
    <w:rsid w:val="00DB2C7F"/>
    <w:rsid w:val="00DB2DDB"/>
    <w:rsid w:val="00DB2E06"/>
    <w:rsid w:val="00DB2E49"/>
    <w:rsid w:val="00DB2E66"/>
    <w:rsid w:val="00DB2EEE"/>
    <w:rsid w:val="00DB2F26"/>
    <w:rsid w:val="00DB2F27"/>
    <w:rsid w:val="00DB2F37"/>
    <w:rsid w:val="00DB2F4F"/>
    <w:rsid w:val="00DB2F55"/>
    <w:rsid w:val="00DB2F59"/>
    <w:rsid w:val="00DB2F92"/>
    <w:rsid w:val="00DB2F9D"/>
    <w:rsid w:val="00DB2FBB"/>
    <w:rsid w:val="00DB2FFD"/>
    <w:rsid w:val="00DB3006"/>
    <w:rsid w:val="00DB3079"/>
    <w:rsid w:val="00DB30F0"/>
    <w:rsid w:val="00DB310D"/>
    <w:rsid w:val="00DB3121"/>
    <w:rsid w:val="00DB31CD"/>
    <w:rsid w:val="00DB3209"/>
    <w:rsid w:val="00DB3253"/>
    <w:rsid w:val="00DB3257"/>
    <w:rsid w:val="00DB32E2"/>
    <w:rsid w:val="00DB3338"/>
    <w:rsid w:val="00DB3354"/>
    <w:rsid w:val="00DB3360"/>
    <w:rsid w:val="00DB3372"/>
    <w:rsid w:val="00DB33A6"/>
    <w:rsid w:val="00DB33B0"/>
    <w:rsid w:val="00DB33F5"/>
    <w:rsid w:val="00DB3408"/>
    <w:rsid w:val="00DB3422"/>
    <w:rsid w:val="00DB344A"/>
    <w:rsid w:val="00DB3464"/>
    <w:rsid w:val="00DB34C4"/>
    <w:rsid w:val="00DB34D9"/>
    <w:rsid w:val="00DB34ED"/>
    <w:rsid w:val="00DB3500"/>
    <w:rsid w:val="00DB3521"/>
    <w:rsid w:val="00DB35BA"/>
    <w:rsid w:val="00DB35CC"/>
    <w:rsid w:val="00DB35FB"/>
    <w:rsid w:val="00DB3653"/>
    <w:rsid w:val="00DB36D0"/>
    <w:rsid w:val="00DB37F2"/>
    <w:rsid w:val="00DB38B5"/>
    <w:rsid w:val="00DB38EF"/>
    <w:rsid w:val="00DB3938"/>
    <w:rsid w:val="00DB396A"/>
    <w:rsid w:val="00DB3991"/>
    <w:rsid w:val="00DB39A0"/>
    <w:rsid w:val="00DB39BA"/>
    <w:rsid w:val="00DB39DE"/>
    <w:rsid w:val="00DB39FD"/>
    <w:rsid w:val="00DB3A34"/>
    <w:rsid w:val="00DB3A57"/>
    <w:rsid w:val="00DB3A7F"/>
    <w:rsid w:val="00DB3AAE"/>
    <w:rsid w:val="00DB3AB2"/>
    <w:rsid w:val="00DB3AB3"/>
    <w:rsid w:val="00DB3B29"/>
    <w:rsid w:val="00DB3B90"/>
    <w:rsid w:val="00DB3BC8"/>
    <w:rsid w:val="00DB3C08"/>
    <w:rsid w:val="00DB3CB6"/>
    <w:rsid w:val="00DB3CD9"/>
    <w:rsid w:val="00DB3CED"/>
    <w:rsid w:val="00DB3CF6"/>
    <w:rsid w:val="00DB3D0A"/>
    <w:rsid w:val="00DB3D0C"/>
    <w:rsid w:val="00DB3D30"/>
    <w:rsid w:val="00DB3D4F"/>
    <w:rsid w:val="00DB3D64"/>
    <w:rsid w:val="00DB3DCE"/>
    <w:rsid w:val="00DB3E10"/>
    <w:rsid w:val="00DB3E1E"/>
    <w:rsid w:val="00DB3E54"/>
    <w:rsid w:val="00DB3EC1"/>
    <w:rsid w:val="00DB3F76"/>
    <w:rsid w:val="00DB402D"/>
    <w:rsid w:val="00DB4034"/>
    <w:rsid w:val="00DB403D"/>
    <w:rsid w:val="00DB4058"/>
    <w:rsid w:val="00DB4063"/>
    <w:rsid w:val="00DB40B8"/>
    <w:rsid w:val="00DB40E4"/>
    <w:rsid w:val="00DB40EA"/>
    <w:rsid w:val="00DB4120"/>
    <w:rsid w:val="00DB4129"/>
    <w:rsid w:val="00DB4134"/>
    <w:rsid w:val="00DB41B9"/>
    <w:rsid w:val="00DB4219"/>
    <w:rsid w:val="00DB425F"/>
    <w:rsid w:val="00DB429E"/>
    <w:rsid w:val="00DB42B1"/>
    <w:rsid w:val="00DB42CE"/>
    <w:rsid w:val="00DB42EC"/>
    <w:rsid w:val="00DB430A"/>
    <w:rsid w:val="00DB431E"/>
    <w:rsid w:val="00DB431F"/>
    <w:rsid w:val="00DB434A"/>
    <w:rsid w:val="00DB4358"/>
    <w:rsid w:val="00DB43BC"/>
    <w:rsid w:val="00DB4493"/>
    <w:rsid w:val="00DB44BB"/>
    <w:rsid w:val="00DB456C"/>
    <w:rsid w:val="00DB45AB"/>
    <w:rsid w:val="00DB460D"/>
    <w:rsid w:val="00DB461E"/>
    <w:rsid w:val="00DB462B"/>
    <w:rsid w:val="00DB4646"/>
    <w:rsid w:val="00DB4686"/>
    <w:rsid w:val="00DB46CB"/>
    <w:rsid w:val="00DB46F1"/>
    <w:rsid w:val="00DB487A"/>
    <w:rsid w:val="00DB48A2"/>
    <w:rsid w:val="00DB48A7"/>
    <w:rsid w:val="00DB48E6"/>
    <w:rsid w:val="00DB4900"/>
    <w:rsid w:val="00DB4941"/>
    <w:rsid w:val="00DB4970"/>
    <w:rsid w:val="00DB4A1F"/>
    <w:rsid w:val="00DB4A3E"/>
    <w:rsid w:val="00DB4A75"/>
    <w:rsid w:val="00DB4A81"/>
    <w:rsid w:val="00DB4A92"/>
    <w:rsid w:val="00DB4AA0"/>
    <w:rsid w:val="00DB4B14"/>
    <w:rsid w:val="00DB4B1F"/>
    <w:rsid w:val="00DB4B2D"/>
    <w:rsid w:val="00DB4B3A"/>
    <w:rsid w:val="00DB4B3B"/>
    <w:rsid w:val="00DB4B51"/>
    <w:rsid w:val="00DB4B59"/>
    <w:rsid w:val="00DB4BA5"/>
    <w:rsid w:val="00DB4BDB"/>
    <w:rsid w:val="00DB4BE7"/>
    <w:rsid w:val="00DB4BEC"/>
    <w:rsid w:val="00DB4BEF"/>
    <w:rsid w:val="00DB4C5E"/>
    <w:rsid w:val="00DB4C74"/>
    <w:rsid w:val="00DB4CA9"/>
    <w:rsid w:val="00DB4D58"/>
    <w:rsid w:val="00DB4DB2"/>
    <w:rsid w:val="00DB4DC5"/>
    <w:rsid w:val="00DB4DCD"/>
    <w:rsid w:val="00DB4DDC"/>
    <w:rsid w:val="00DB4DDD"/>
    <w:rsid w:val="00DB4E1D"/>
    <w:rsid w:val="00DB4E21"/>
    <w:rsid w:val="00DB4E3F"/>
    <w:rsid w:val="00DB4E47"/>
    <w:rsid w:val="00DB4EA3"/>
    <w:rsid w:val="00DB4EB3"/>
    <w:rsid w:val="00DB4F43"/>
    <w:rsid w:val="00DB4F7E"/>
    <w:rsid w:val="00DB4FBF"/>
    <w:rsid w:val="00DB5021"/>
    <w:rsid w:val="00DB5085"/>
    <w:rsid w:val="00DB509C"/>
    <w:rsid w:val="00DB50D5"/>
    <w:rsid w:val="00DB50F5"/>
    <w:rsid w:val="00DB513F"/>
    <w:rsid w:val="00DB5168"/>
    <w:rsid w:val="00DB5188"/>
    <w:rsid w:val="00DB51AF"/>
    <w:rsid w:val="00DB51CA"/>
    <w:rsid w:val="00DB51FE"/>
    <w:rsid w:val="00DB5209"/>
    <w:rsid w:val="00DB5214"/>
    <w:rsid w:val="00DB527A"/>
    <w:rsid w:val="00DB5283"/>
    <w:rsid w:val="00DB528A"/>
    <w:rsid w:val="00DB52D0"/>
    <w:rsid w:val="00DB530E"/>
    <w:rsid w:val="00DB533A"/>
    <w:rsid w:val="00DB5343"/>
    <w:rsid w:val="00DB5365"/>
    <w:rsid w:val="00DB53EB"/>
    <w:rsid w:val="00DB5453"/>
    <w:rsid w:val="00DB547F"/>
    <w:rsid w:val="00DB54A0"/>
    <w:rsid w:val="00DB54C5"/>
    <w:rsid w:val="00DB54CB"/>
    <w:rsid w:val="00DB54EE"/>
    <w:rsid w:val="00DB55DD"/>
    <w:rsid w:val="00DB5648"/>
    <w:rsid w:val="00DB56F6"/>
    <w:rsid w:val="00DB57A3"/>
    <w:rsid w:val="00DB57C4"/>
    <w:rsid w:val="00DB5828"/>
    <w:rsid w:val="00DB584C"/>
    <w:rsid w:val="00DB58BD"/>
    <w:rsid w:val="00DB58C6"/>
    <w:rsid w:val="00DB5979"/>
    <w:rsid w:val="00DB5992"/>
    <w:rsid w:val="00DB59F6"/>
    <w:rsid w:val="00DB59F8"/>
    <w:rsid w:val="00DB5A29"/>
    <w:rsid w:val="00DB5A5E"/>
    <w:rsid w:val="00DB5A7F"/>
    <w:rsid w:val="00DB5A86"/>
    <w:rsid w:val="00DB5A9C"/>
    <w:rsid w:val="00DB5A9E"/>
    <w:rsid w:val="00DB5B66"/>
    <w:rsid w:val="00DB5C04"/>
    <w:rsid w:val="00DB5C2E"/>
    <w:rsid w:val="00DB5C65"/>
    <w:rsid w:val="00DB5C7E"/>
    <w:rsid w:val="00DB5CA9"/>
    <w:rsid w:val="00DB5CAC"/>
    <w:rsid w:val="00DB5CB2"/>
    <w:rsid w:val="00DB5CC3"/>
    <w:rsid w:val="00DB5CD4"/>
    <w:rsid w:val="00DB5CD6"/>
    <w:rsid w:val="00DB5D2D"/>
    <w:rsid w:val="00DB5D39"/>
    <w:rsid w:val="00DB5D3F"/>
    <w:rsid w:val="00DB5D62"/>
    <w:rsid w:val="00DB5DB0"/>
    <w:rsid w:val="00DB5DDA"/>
    <w:rsid w:val="00DB5DDC"/>
    <w:rsid w:val="00DB5E31"/>
    <w:rsid w:val="00DB5E5E"/>
    <w:rsid w:val="00DB5E62"/>
    <w:rsid w:val="00DB5E75"/>
    <w:rsid w:val="00DB5E98"/>
    <w:rsid w:val="00DB5EBD"/>
    <w:rsid w:val="00DB5F7E"/>
    <w:rsid w:val="00DB5F7F"/>
    <w:rsid w:val="00DB5F9C"/>
    <w:rsid w:val="00DB5FC1"/>
    <w:rsid w:val="00DB6044"/>
    <w:rsid w:val="00DB605B"/>
    <w:rsid w:val="00DB606C"/>
    <w:rsid w:val="00DB60A2"/>
    <w:rsid w:val="00DB60D8"/>
    <w:rsid w:val="00DB60ED"/>
    <w:rsid w:val="00DB6107"/>
    <w:rsid w:val="00DB610C"/>
    <w:rsid w:val="00DB6129"/>
    <w:rsid w:val="00DB613A"/>
    <w:rsid w:val="00DB6140"/>
    <w:rsid w:val="00DB6167"/>
    <w:rsid w:val="00DB617F"/>
    <w:rsid w:val="00DB619F"/>
    <w:rsid w:val="00DB61CE"/>
    <w:rsid w:val="00DB61D4"/>
    <w:rsid w:val="00DB622C"/>
    <w:rsid w:val="00DB624A"/>
    <w:rsid w:val="00DB6293"/>
    <w:rsid w:val="00DB62A5"/>
    <w:rsid w:val="00DB62BE"/>
    <w:rsid w:val="00DB6378"/>
    <w:rsid w:val="00DB63B1"/>
    <w:rsid w:val="00DB63C1"/>
    <w:rsid w:val="00DB6431"/>
    <w:rsid w:val="00DB6441"/>
    <w:rsid w:val="00DB648C"/>
    <w:rsid w:val="00DB64B8"/>
    <w:rsid w:val="00DB64BF"/>
    <w:rsid w:val="00DB6561"/>
    <w:rsid w:val="00DB657D"/>
    <w:rsid w:val="00DB6590"/>
    <w:rsid w:val="00DB65BC"/>
    <w:rsid w:val="00DB6625"/>
    <w:rsid w:val="00DB662A"/>
    <w:rsid w:val="00DB6645"/>
    <w:rsid w:val="00DB66C6"/>
    <w:rsid w:val="00DB6713"/>
    <w:rsid w:val="00DB6715"/>
    <w:rsid w:val="00DB6742"/>
    <w:rsid w:val="00DB6776"/>
    <w:rsid w:val="00DB682C"/>
    <w:rsid w:val="00DB6887"/>
    <w:rsid w:val="00DB68E7"/>
    <w:rsid w:val="00DB6940"/>
    <w:rsid w:val="00DB6947"/>
    <w:rsid w:val="00DB696F"/>
    <w:rsid w:val="00DB69A1"/>
    <w:rsid w:val="00DB69AF"/>
    <w:rsid w:val="00DB69D5"/>
    <w:rsid w:val="00DB6A18"/>
    <w:rsid w:val="00DB6A2B"/>
    <w:rsid w:val="00DB6A35"/>
    <w:rsid w:val="00DB6A60"/>
    <w:rsid w:val="00DB6A9B"/>
    <w:rsid w:val="00DB6AA8"/>
    <w:rsid w:val="00DB6B6F"/>
    <w:rsid w:val="00DB6B79"/>
    <w:rsid w:val="00DB6BB9"/>
    <w:rsid w:val="00DB6CD0"/>
    <w:rsid w:val="00DB6CDC"/>
    <w:rsid w:val="00DB6CE0"/>
    <w:rsid w:val="00DB6D45"/>
    <w:rsid w:val="00DB6D95"/>
    <w:rsid w:val="00DB6E64"/>
    <w:rsid w:val="00DB6E85"/>
    <w:rsid w:val="00DB6F33"/>
    <w:rsid w:val="00DB6F5D"/>
    <w:rsid w:val="00DB6FD6"/>
    <w:rsid w:val="00DB6FDE"/>
    <w:rsid w:val="00DB6FE7"/>
    <w:rsid w:val="00DB7005"/>
    <w:rsid w:val="00DB7061"/>
    <w:rsid w:val="00DB70DA"/>
    <w:rsid w:val="00DB70E8"/>
    <w:rsid w:val="00DB7112"/>
    <w:rsid w:val="00DB715B"/>
    <w:rsid w:val="00DB7176"/>
    <w:rsid w:val="00DB7185"/>
    <w:rsid w:val="00DB71A6"/>
    <w:rsid w:val="00DB7213"/>
    <w:rsid w:val="00DB7236"/>
    <w:rsid w:val="00DB7246"/>
    <w:rsid w:val="00DB725E"/>
    <w:rsid w:val="00DB7272"/>
    <w:rsid w:val="00DB7297"/>
    <w:rsid w:val="00DB7298"/>
    <w:rsid w:val="00DB72AE"/>
    <w:rsid w:val="00DB72DE"/>
    <w:rsid w:val="00DB72F9"/>
    <w:rsid w:val="00DB736F"/>
    <w:rsid w:val="00DB7373"/>
    <w:rsid w:val="00DB7395"/>
    <w:rsid w:val="00DB73E7"/>
    <w:rsid w:val="00DB7424"/>
    <w:rsid w:val="00DB7443"/>
    <w:rsid w:val="00DB7445"/>
    <w:rsid w:val="00DB7492"/>
    <w:rsid w:val="00DB74C9"/>
    <w:rsid w:val="00DB74F2"/>
    <w:rsid w:val="00DB74F8"/>
    <w:rsid w:val="00DB7515"/>
    <w:rsid w:val="00DB757A"/>
    <w:rsid w:val="00DB7595"/>
    <w:rsid w:val="00DB75D0"/>
    <w:rsid w:val="00DB75EC"/>
    <w:rsid w:val="00DB75ED"/>
    <w:rsid w:val="00DB761D"/>
    <w:rsid w:val="00DB7647"/>
    <w:rsid w:val="00DB766B"/>
    <w:rsid w:val="00DB76A1"/>
    <w:rsid w:val="00DB7755"/>
    <w:rsid w:val="00DB7757"/>
    <w:rsid w:val="00DB77AE"/>
    <w:rsid w:val="00DB77BA"/>
    <w:rsid w:val="00DB780B"/>
    <w:rsid w:val="00DB78A1"/>
    <w:rsid w:val="00DB7926"/>
    <w:rsid w:val="00DB7957"/>
    <w:rsid w:val="00DB79B8"/>
    <w:rsid w:val="00DB79C1"/>
    <w:rsid w:val="00DB7A28"/>
    <w:rsid w:val="00DB7AC5"/>
    <w:rsid w:val="00DB7B2E"/>
    <w:rsid w:val="00DB7B32"/>
    <w:rsid w:val="00DB7B8F"/>
    <w:rsid w:val="00DB7BCA"/>
    <w:rsid w:val="00DB7C69"/>
    <w:rsid w:val="00DB7CA3"/>
    <w:rsid w:val="00DB7CC7"/>
    <w:rsid w:val="00DB7CD4"/>
    <w:rsid w:val="00DB7CE6"/>
    <w:rsid w:val="00DB7D1C"/>
    <w:rsid w:val="00DB7D27"/>
    <w:rsid w:val="00DB7D91"/>
    <w:rsid w:val="00DB7DB2"/>
    <w:rsid w:val="00DB7DFB"/>
    <w:rsid w:val="00DB7E20"/>
    <w:rsid w:val="00DB7E34"/>
    <w:rsid w:val="00DB7E89"/>
    <w:rsid w:val="00DB7E8E"/>
    <w:rsid w:val="00DB7EB0"/>
    <w:rsid w:val="00DB7ECA"/>
    <w:rsid w:val="00DB7F09"/>
    <w:rsid w:val="00DB7F43"/>
    <w:rsid w:val="00DB7F88"/>
    <w:rsid w:val="00DB7F8B"/>
    <w:rsid w:val="00DB7F98"/>
    <w:rsid w:val="00DB7FF8"/>
    <w:rsid w:val="00DB7FFD"/>
    <w:rsid w:val="00DC002C"/>
    <w:rsid w:val="00DC0032"/>
    <w:rsid w:val="00DC0038"/>
    <w:rsid w:val="00DC003C"/>
    <w:rsid w:val="00DC0092"/>
    <w:rsid w:val="00DC00E8"/>
    <w:rsid w:val="00DC015A"/>
    <w:rsid w:val="00DC0167"/>
    <w:rsid w:val="00DC025B"/>
    <w:rsid w:val="00DC02D5"/>
    <w:rsid w:val="00DC034D"/>
    <w:rsid w:val="00DC0362"/>
    <w:rsid w:val="00DC0364"/>
    <w:rsid w:val="00DC03A8"/>
    <w:rsid w:val="00DC03C6"/>
    <w:rsid w:val="00DC043C"/>
    <w:rsid w:val="00DC0457"/>
    <w:rsid w:val="00DC058B"/>
    <w:rsid w:val="00DC05D4"/>
    <w:rsid w:val="00DC05EE"/>
    <w:rsid w:val="00DC062B"/>
    <w:rsid w:val="00DC0645"/>
    <w:rsid w:val="00DC064C"/>
    <w:rsid w:val="00DC0685"/>
    <w:rsid w:val="00DC0695"/>
    <w:rsid w:val="00DC06BE"/>
    <w:rsid w:val="00DC06FA"/>
    <w:rsid w:val="00DC0747"/>
    <w:rsid w:val="00DC075C"/>
    <w:rsid w:val="00DC0764"/>
    <w:rsid w:val="00DC0771"/>
    <w:rsid w:val="00DC077F"/>
    <w:rsid w:val="00DC07C1"/>
    <w:rsid w:val="00DC07E4"/>
    <w:rsid w:val="00DC07F6"/>
    <w:rsid w:val="00DC0804"/>
    <w:rsid w:val="00DC0828"/>
    <w:rsid w:val="00DC0840"/>
    <w:rsid w:val="00DC084D"/>
    <w:rsid w:val="00DC089E"/>
    <w:rsid w:val="00DC08A2"/>
    <w:rsid w:val="00DC0908"/>
    <w:rsid w:val="00DC0968"/>
    <w:rsid w:val="00DC0983"/>
    <w:rsid w:val="00DC098B"/>
    <w:rsid w:val="00DC09B3"/>
    <w:rsid w:val="00DC09FD"/>
    <w:rsid w:val="00DC0A52"/>
    <w:rsid w:val="00DC0A7F"/>
    <w:rsid w:val="00DC0B4F"/>
    <w:rsid w:val="00DC0BB5"/>
    <w:rsid w:val="00DC0BDC"/>
    <w:rsid w:val="00DC0BFF"/>
    <w:rsid w:val="00DC0C2B"/>
    <w:rsid w:val="00DC0C52"/>
    <w:rsid w:val="00DC0C5D"/>
    <w:rsid w:val="00DC0CCD"/>
    <w:rsid w:val="00DC0CFD"/>
    <w:rsid w:val="00DC0DBD"/>
    <w:rsid w:val="00DC0E02"/>
    <w:rsid w:val="00DC0E08"/>
    <w:rsid w:val="00DC0E46"/>
    <w:rsid w:val="00DC0E4C"/>
    <w:rsid w:val="00DC0E60"/>
    <w:rsid w:val="00DC0E75"/>
    <w:rsid w:val="00DC0E87"/>
    <w:rsid w:val="00DC0EDF"/>
    <w:rsid w:val="00DC0F06"/>
    <w:rsid w:val="00DC0FBA"/>
    <w:rsid w:val="00DC0FEC"/>
    <w:rsid w:val="00DC1027"/>
    <w:rsid w:val="00DC1031"/>
    <w:rsid w:val="00DC1140"/>
    <w:rsid w:val="00DC114A"/>
    <w:rsid w:val="00DC1173"/>
    <w:rsid w:val="00DC1186"/>
    <w:rsid w:val="00DC11E0"/>
    <w:rsid w:val="00DC1203"/>
    <w:rsid w:val="00DC1219"/>
    <w:rsid w:val="00DC121E"/>
    <w:rsid w:val="00DC12BC"/>
    <w:rsid w:val="00DC12EB"/>
    <w:rsid w:val="00DC130D"/>
    <w:rsid w:val="00DC1319"/>
    <w:rsid w:val="00DC131E"/>
    <w:rsid w:val="00DC13BF"/>
    <w:rsid w:val="00DC1414"/>
    <w:rsid w:val="00DC1417"/>
    <w:rsid w:val="00DC1451"/>
    <w:rsid w:val="00DC1465"/>
    <w:rsid w:val="00DC1482"/>
    <w:rsid w:val="00DC14AA"/>
    <w:rsid w:val="00DC14C7"/>
    <w:rsid w:val="00DC14E8"/>
    <w:rsid w:val="00DC14F6"/>
    <w:rsid w:val="00DC14FF"/>
    <w:rsid w:val="00DC153C"/>
    <w:rsid w:val="00DC1574"/>
    <w:rsid w:val="00DC15F8"/>
    <w:rsid w:val="00DC1651"/>
    <w:rsid w:val="00DC1655"/>
    <w:rsid w:val="00DC1672"/>
    <w:rsid w:val="00DC16C9"/>
    <w:rsid w:val="00DC16DD"/>
    <w:rsid w:val="00DC1775"/>
    <w:rsid w:val="00DC17C0"/>
    <w:rsid w:val="00DC1814"/>
    <w:rsid w:val="00DC1847"/>
    <w:rsid w:val="00DC1849"/>
    <w:rsid w:val="00DC1897"/>
    <w:rsid w:val="00DC18E8"/>
    <w:rsid w:val="00DC18F0"/>
    <w:rsid w:val="00DC1924"/>
    <w:rsid w:val="00DC193B"/>
    <w:rsid w:val="00DC19B3"/>
    <w:rsid w:val="00DC19F5"/>
    <w:rsid w:val="00DC19FD"/>
    <w:rsid w:val="00DC1A03"/>
    <w:rsid w:val="00DC1A14"/>
    <w:rsid w:val="00DC1A36"/>
    <w:rsid w:val="00DC1A77"/>
    <w:rsid w:val="00DC1AC2"/>
    <w:rsid w:val="00DC1AE2"/>
    <w:rsid w:val="00DC1BB2"/>
    <w:rsid w:val="00DC1BE1"/>
    <w:rsid w:val="00DC1C08"/>
    <w:rsid w:val="00DC1C15"/>
    <w:rsid w:val="00DC1C51"/>
    <w:rsid w:val="00DC1C56"/>
    <w:rsid w:val="00DC1C66"/>
    <w:rsid w:val="00DC1C7B"/>
    <w:rsid w:val="00DC1CEC"/>
    <w:rsid w:val="00DC1D5A"/>
    <w:rsid w:val="00DC1D83"/>
    <w:rsid w:val="00DC1D9A"/>
    <w:rsid w:val="00DC1D9C"/>
    <w:rsid w:val="00DC1DB0"/>
    <w:rsid w:val="00DC1DC1"/>
    <w:rsid w:val="00DC1F46"/>
    <w:rsid w:val="00DC1FAD"/>
    <w:rsid w:val="00DC1FB6"/>
    <w:rsid w:val="00DC1FEA"/>
    <w:rsid w:val="00DC2035"/>
    <w:rsid w:val="00DC2087"/>
    <w:rsid w:val="00DC20F2"/>
    <w:rsid w:val="00DC2132"/>
    <w:rsid w:val="00DC2143"/>
    <w:rsid w:val="00DC2150"/>
    <w:rsid w:val="00DC21F7"/>
    <w:rsid w:val="00DC2213"/>
    <w:rsid w:val="00DC2219"/>
    <w:rsid w:val="00DC2247"/>
    <w:rsid w:val="00DC2289"/>
    <w:rsid w:val="00DC2296"/>
    <w:rsid w:val="00DC22AA"/>
    <w:rsid w:val="00DC232A"/>
    <w:rsid w:val="00DC23A6"/>
    <w:rsid w:val="00DC23CA"/>
    <w:rsid w:val="00DC23E8"/>
    <w:rsid w:val="00DC2468"/>
    <w:rsid w:val="00DC248B"/>
    <w:rsid w:val="00DC24CF"/>
    <w:rsid w:val="00DC24D4"/>
    <w:rsid w:val="00DC24EF"/>
    <w:rsid w:val="00DC24F6"/>
    <w:rsid w:val="00DC2516"/>
    <w:rsid w:val="00DC2521"/>
    <w:rsid w:val="00DC25CF"/>
    <w:rsid w:val="00DC25FC"/>
    <w:rsid w:val="00DC260C"/>
    <w:rsid w:val="00DC262D"/>
    <w:rsid w:val="00DC268C"/>
    <w:rsid w:val="00DC26B1"/>
    <w:rsid w:val="00DC2711"/>
    <w:rsid w:val="00DC2733"/>
    <w:rsid w:val="00DC273D"/>
    <w:rsid w:val="00DC274C"/>
    <w:rsid w:val="00DC2760"/>
    <w:rsid w:val="00DC276A"/>
    <w:rsid w:val="00DC276E"/>
    <w:rsid w:val="00DC277B"/>
    <w:rsid w:val="00DC2786"/>
    <w:rsid w:val="00DC278C"/>
    <w:rsid w:val="00DC2791"/>
    <w:rsid w:val="00DC2832"/>
    <w:rsid w:val="00DC2833"/>
    <w:rsid w:val="00DC2837"/>
    <w:rsid w:val="00DC28BF"/>
    <w:rsid w:val="00DC2967"/>
    <w:rsid w:val="00DC29E2"/>
    <w:rsid w:val="00DC29F0"/>
    <w:rsid w:val="00DC2ABC"/>
    <w:rsid w:val="00DC2B2C"/>
    <w:rsid w:val="00DC2B2E"/>
    <w:rsid w:val="00DC2B85"/>
    <w:rsid w:val="00DC2B86"/>
    <w:rsid w:val="00DC2BB0"/>
    <w:rsid w:val="00DC2BBD"/>
    <w:rsid w:val="00DC2BD5"/>
    <w:rsid w:val="00DC2BFD"/>
    <w:rsid w:val="00DC2C4D"/>
    <w:rsid w:val="00DC2C54"/>
    <w:rsid w:val="00DC2C65"/>
    <w:rsid w:val="00DC2C86"/>
    <w:rsid w:val="00DC2D27"/>
    <w:rsid w:val="00DC2D3A"/>
    <w:rsid w:val="00DC2D9A"/>
    <w:rsid w:val="00DC2DFC"/>
    <w:rsid w:val="00DC2E0F"/>
    <w:rsid w:val="00DC2E14"/>
    <w:rsid w:val="00DC2E30"/>
    <w:rsid w:val="00DC2E42"/>
    <w:rsid w:val="00DC2E50"/>
    <w:rsid w:val="00DC2EDD"/>
    <w:rsid w:val="00DC2EF4"/>
    <w:rsid w:val="00DC2EF6"/>
    <w:rsid w:val="00DC2F29"/>
    <w:rsid w:val="00DC2F79"/>
    <w:rsid w:val="00DC2FB2"/>
    <w:rsid w:val="00DC2FDD"/>
    <w:rsid w:val="00DC304C"/>
    <w:rsid w:val="00DC3172"/>
    <w:rsid w:val="00DC3186"/>
    <w:rsid w:val="00DC31E8"/>
    <w:rsid w:val="00DC3219"/>
    <w:rsid w:val="00DC324C"/>
    <w:rsid w:val="00DC3265"/>
    <w:rsid w:val="00DC32B4"/>
    <w:rsid w:val="00DC32E8"/>
    <w:rsid w:val="00DC3311"/>
    <w:rsid w:val="00DC334C"/>
    <w:rsid w:val="00DC3368"/>
    <w:rsid w:val="00DC33AA"/>
    <w:rsid w:val="00DC340A"/>
    <w:rsid w:val="00DC341A"/>
    <w:rsid w:val="00DC350D"/>
    <w:rsid w:val="00DC351E"/>
    <w:rsid w:val="00DC3566"/>
    <w:rsid w:val="00DC3593"/>
    <w:rsid w:val="00DC35B0"/>
    <w:rsid w:val="00DC35BA"/>
    <w:rsid w:val="00DC35C6"/>
    <w:rsid w:val="00DC35F8"/>
    <w:rsid w:val="00DC3601"/>
    <w:rsid w:val="00DC3660"/>
    <w:rsid w:val="00DC3673"/>
    <w:rsid w:val="00DC3682"/>
    <w:rsid w:val="00DC36AE"/>
    <w:rsid w:val="00DC371F"/>
    <w:rsid w:val="00DC3758"/>
    <w:rsid w:val="00DC37E9"/>
    <w:rsid w:val="00DC381D"/>
    <w:rsid w:val="00DC3848"/>
    <w:rsid w:val="00DC388C"/>
    <w:rsid w:val="00DC3893"/>
    <w:rsid w:val="00DC389F"/>
    <w:rsid w:val="00DC38FA"/>
    <w:rsid w:val="00DC3937"/>
    <w:rsid w:val="00DC393C"/>
    <w:rsid w:val="00DC3956"/>
    <w:rsid w:val="00DC3983"/>
    <w:rsid w:val="00DC39CE"/>
    <w:rsid w:val="00DC3A0D"/>
    <w:rsid w:val="00DC3A43"/>
    <w:rsid w:val="00DC3A7B"/>
    <w:rsid w:val="00DC3A85"/>
    <w:rsid w:val="00DC3AF2"/>
    <w:rsid w:val="00DC3B32"/>
    <w:rsid w:val="00DC3BDF"/>
    <w:rsid w:val="00DC3C07"/>
    <w:rsid w:val="00DC3CDE"/>
    <w:rsid w:val="00DC3CEA"/>
    <w:rsid w:val="00DC3D24"/>
    <w:rsid w:val="00DC3D63"/>
    <w:rsid w:val="00DC3DA4"/>
    <w:rsid w:val="00DC3E13"/>
    <w:rsid w:val="00DC3E1F"/>
    <w:rsid w:val="00DC3E2D"/>
    <w:rsid w:val="00DC3E74"/>
    <w:rsid w:val="00DC3E77"/>
    <w:rsid w:val="00DC3E96"/>
    <w:rsid w:val="00DC3FC7"/>
    <w:rsid w:val="00DC3FF3"/>
    <w:rsid w:val="00DC405B"/>
    <w:rsid w:val="00DC4062"/>
    <w:rsid w:val="00DC40D1"/>
    <w:rsid w:val="00DC40DE"/>
    <w:rsid w:val="00DC4185"/>
    <w:rsid w:val="00DC4195"/>
    <w:rsid w:val="00DC420F"/>
    <w:rsid w:val="00DC4261"/>
    <w:rsid w:val="00DC427F"/>
    <w:rsid w:val="00DC4288"/>
    <w:rsid w:val="00DC428F"/>
    <w:rsid w:val="00DC42E5"/>
    <w:rsid w:val="00DC4328"/>
    <w:rsid w:val="00DC4364"/>
    <w:rsid w:val="00DC43BE"/>
    <w:rsid w:val="00DC4404"/>
    <w:rsid w:val="00DC4410"/>
    <w:rsid w:val="00DC441D"/>
    <w:rsid w:val="00DC441F"/>
    <w:rsid w:val="00DC4451"/>
    <w:rsid w:val="00DC4505"/>
    <w:rsid w:val="00DC4515"/>
    <w:rsid w:val="00DC453C"/>
    <w:rsid w:val="00DC455E"/>
    <w:rsid w:val="00DC45A9"/>
    <w:rsid w:val="00DC45B6"/>
    <w:rsid w:val="00DC461A"/>
    <w:rsid w:val="00DC4640"/>
    <w:rsid w:val="00DC466C"/>
    <w:rsid w:val="00DC4699"/>
    <w:rsid w:val="00DC46AC"/>
    <w:rsid w:val="00DC46E3"/>
    <w:rsid w:val="00DC4746"/>
    <w:rsid w:val="00DC4756"/>
    <w:rsid w:val="00DC4762"/>
    <w:rsid w:val="00DC4798"/>
    <w:rsid w:val="00DC47FC"/>
    <w:rsid w:val="00DC4815"/>
    <w:rsid w:val="00DC484E"/>
    <w:rsid w:val="00DC4869"/>
    <w:rsid w:val="00DC486D"/>
    <w:rsid w:val="00DC4875"/>
    <w:rsid w:val="00DC48A1"/>
    <w:rsid w:val="00DC48D9"/>
    <w:rsid w:val="00DC48DF"/>
    <w:rsid w:val="00DC48FD"/>
    <w:rsid w:val="00DC49B2"/>
    <w:rsid w:val="00DC49FF"/>
    <w:rsid w:val="00DC4A14"/>
    <w:rsid w:val="00DC4A16"/>
    <w:rsid w:val="00DC4A47"/>
    <w:rsid w:val="00DC4A60"/>
    <w:rsid w:val="00DC4A7B"/>
    <w:rsid w:val="00DC4AAB"/>
    <w:rsid w:val="00DC4ABF"/>
    <w:rsid w:val="00DC4B28"/>
    <w:rsid w:val="00DC4BB3"/>
    <w:rsid w:val="00DC4BC4"/>
    <w:rsid w:val="00DC4BC7"/>
    <w:rsid w:val="00DC4BDC"/>
    <w:rsid w:val="00DC4C17"/>
    <w:rsid w:val="00DC4C59"/>
    <w:rsid w:val="00DC4C5D"/>
    <w:rsid w:val="00DC4CAA"/>
    <w:rsid w:val="00DC4CED"/>
    <w:rsid w:val="00DC4D2F"/>
    <w:rsid w:val="00DC4D3B"/>
    <w:rsid w:val="00DC4D7C"/>
    <w:rsid w:val="00DC4E10"/>
    <w:rsid w:val="00DC4E85"/>
    <w:rsid w:val="00DC4E89"/>
    <w:rsid w:val="00DC4EBE"/>
    <w:rsid w:val="00DC4EFD"/>
    <w:rsid w:val="00DC4F2D"/>
    <w:rsid w:val="00DC4F49"/>
    <w:rsid w:val="00DC4F53"/>
    <w:rsid w:val="00DC4F66"/>
    <w:rsid w:val="00DC4F76"/>
    <w:rsid w:val="00DC4F8E"/>
    <w:rsid w:val="00DC4F90"/>
    <w:rsid w:val="00DC5038"/>
    <w:rsid w:val="00DC505F"/>
    <w:rsid w:val="00DC50AB"/>
    <w:rsid w:val="00DC51CA"/>
    <w:rsid w:val="00DC51D3"/>
    <w:rsid w:val="00DC51D8"/>
    <w:rsid w:val="00DC51F7"/>
    <w:rsid w:val="00DC523F"/>
    <w:rsid w:val="00DC524D"/>
    <w:rsid w:val="00DC524F"/>
    <w:rsid w:val="00DC525F"/>
    <w:rsid w:val="00DC526E"/>
    <w:rsid w:val="00DC52AF"/>
    <w:rsid w:val="00DC5372"/>
    <w:rsid w:val="00DC53AF"/>
    <w:rsid w:val="00DC53CF"/>
    <w:rsid w:val="00DC53D1"/>
    <w:rsid w:val="00DC53E7"/>
    <w:rsid w:val="00DC5401"/>
    <w:rsid w:val="00DC5476"/>
    <w:rsid w:val="00DC54B3"/>
    <w:rsid w:val="00DC54F3"/>
    <w:rsid w:val="00DC558F"/>
    <w:rsid w:val="00DC5593"/>
    <w:rsid w:val="00DC563B"/>
    <w:rsid w:val="00DC5644"/>
    <w:rsid w:val="00DC5648"/>
    <w:rsid w:val="00DC56AD"/>
    <w:rsid w:val="00DC56AF"/>
    <w:rsid w:val="00DC56EA"/>
    <w:rsid w:val="00DC56EB"/>
    <w:rsid w:val="00DC576B"/>
    <w:rsid w:val="00DC5830"/>
    <w:rsid w:val="00DC58B8"/>
    <w:rsid w:val="00DC592F"/>
    <w:rsid w:val="00DC5944"/>
    <w:rsid w:val="00DC594F"/>
    <w:rsid w:val="00DC597A"/>
    <w:rsid w:val="00DC5996"/>
    <w:rsid w:val="00DC59B1"/>
    <w:rsid w:val="00DC59E7"/>
    <w:rsid w:val="00DC59F3"/>
    <w:rsid w:val="00DC5A09"/>
    <w:rsid w:val="00DC5A6D"/>
    <w:rsid w:val="00DC5A9F"/>
    <w:rsid w:val="00DC5AA3"/>
    <w:rsid w:val="00DC5AB4"/>
    <w:rsid w:val="00DC5AD5"/>
    <w:rsid w:val="00DC5AD8"/>
    <w:rsid w:val="00DC5B98"/>
    <w:rsid w:val="00DC5BD5"/>
    <w:rsid w:val="00DC5C0A"/>
    <w:rsid w:val="00DC5C13"/>
    <w:rsid w:val="00DC5C52"/>
    <w:rsid w:val="00DC5C63"/>
    <w:rsid w:val="00DC5C7E"/>
    <w:rsid w:val="00DC5CA7"/>
    <w:rsid w:val="00DC5D28"/>
    <w:rsid w:val="00DC5D2F"/>
    <w:rsid w:val="00DC5D4E"/>
    <w:rsid w:val="00DC5D5B"/>
    <w:rsid w:val="00DC5D76"/>
    <w:rsid w:val="00DC5D7C"/>
    <w:rsid w:val="00DC5DAF"/>
    <w:rsid w:val="00DC5E19"/>
    <w:rsid w:val="00DC5E5A"/>
    <w:rsid w:val="00DC5E7B"/>
    <w:rsid w:val="00DC5E82"/>
    <w:rsid w:val="00DC5F03"/>
    <w:rsid w:val="00DC5F07"/>
    <w:rsid w:val="00DC5F22"/>
    <w:rsid w:val="00DC5F26"/>
    <w:rsid w:val="00DC5F66"/>
    <w:rsid w:val="00DC5F7B"/>
    <w:rsid w:val="00DC5F90"/>
    <w:rsid w:val="00DC60D2"/>
    <w:rsid w:val="00DC60F1"/>
    <w:rsid w:val="00DC6186"/>
    <w:rsid w:val="00DC618E"/>
    <w:rsid w:val="00DC6206"/>
    <w:rsid w:val="00DC6277"/>
    <w:rsid w:val="00DC629F"/>
    <w:rsid w:val="00DC62FD"/>
    <w:rsid w:val="00DC6335"/>
    <w:rsid w:val="00DC6379"/>
    <w:rsid w:val="00DC6400"/>
    <w:rsid w:val="00DC645F"/>
    <w:rsid w:val="00DC646A"/>
    <w:rsid w:val="00DC64ED"/>
    <w:rsid w:val="00DC6507"/>
    <w:rsid w:val="00DC65AE"/>
    <w:rsid w:val="00DC6640"/>
    <w:rsid w:val="00DC6698"/>
    <w:rsid w:val="00DC66A9"/>
    <w:rsid w:val="00DC670E"/>
    <w:rsid w:val="00DC6757"/>
    <w:rsid w:val="00DC67B3"/>
    <w:rsid w:val="00DC6813"/>
    <w:rsid w:val="00DC682B"/>
    <w:rsid w:val="00DC683F"/>
    <w:rsid w:val="00DC688E"/>
    <w:rsid w:val="00DC6890"/>
    <w:rsid w:val="00DC68AE"/>
    <w:rsid w:val="00DC693F"/>
    <w:rsid w:val="00DC6954"/>
    <w:rsid w:val="00DC6995"/>
    <w:rsid w:val="00DC69C4"/>
    <w:rsid w:val="00DC6A27"/>
    <w:rsid w:val="00DC6A4D"/>
    <w:rsid w:val="00DC6A6E"/>
    <w:rsid w:val="00DC6A6F"/>
    <w:rsid w:val="00DC6A72"/>
    <w:rsid w:val="00DC6A7A"/>
    <w:rsid w:val="00DC6AAD"/>
    <w:rsid w:val="00DC6ADD"/>
    <w:rsid w:val="00DC6B07"/>
    <w:rsid w:val="00DC6B2B"/>
    <w:rsid w:val="00DC6B31"/>
    <w:rsid w:val="00DC6B49"/>
    <w:rsid w:val="00DC6B9E"/>
    <w:rsid w:val="00DC6BD5"/>
    <w:rsid w:val="00DC6C02"/>
    <w:rsid w:val="00DC6C30"/>
    <w:rsid w:val="00DC6C43"/>
    <w:rsid w:val="00DC6C51"/>
    <w:rsid w:val="00DC6C89"/>
    <w:rsid w:val="00DC6CF3"/>
    <w:rsid w:val="00DC6D2D"/>
    <w:rsid w:val="00DC6D4C"/>
    <w:rsid w:val="00DC6D96"/>
    <w:rsid w:val="00DC6DB1"/>
    <w:rsid w:val="00DC6E0C"/>
    <w:rsid w:val="00DC6E0F"/>
    <w:rsid w:val="00DC6E29"/>
    <w:rsid w:val="00DC6E38"/>
    <w:rsid w:val="00DC6E46"/>
    <w:rsid w:val="00DC6E4E"/>
    <w:rsid w:val="00DC6E57"/>
    <w:rsid w:val="00DC6E5A"/>
    <w:rsid w:val="00DC6EA8"/>
    <w:rsid w:val="00DC6EE3"/>
    <w:rsid w:val="00DC6F4B"/>
    <w:rsid w:val="00DC6F5E"/>
    <w:rsid w:val="00DC6F8C"/>
    <w:rsid w:val="00DC6FAE"/>
    <w:rsid w:val="00DC700A"/>
    <w:rsid w:val="00DC70B1"/>
    <w:rsid w:val="00DC70CE"/>
    <w:rsid w:val="00DC70DA"/>
    <w:rsid w:val="00DC710C"/>
    <w:rsid w:val="00DC71CF"/>
    <w:rsid w:val="00DC71D1"/>
    <w:rsid w:val="00DC7234"/>
    <w:rsid w:val="00DC72BF"/>
    <w:rsid w:val="00DC7308"/>
    <w:rsid w:val="00DC737C"/>
    <w:rsid w:val="00DC7396"/>
    <w:rsid w:val="00DC7398"/>
    <w:rsid w:val="00DC73CA"/>
    <w:rsid w:val="00DC73D0"/>
    <w:rsid w:val="00DC73E2"/>
    <w:rsid w:val="00DC741B"/>
    <w:rsid w:val="00DC748F"/>
    <w:rsid w:val="00DC74F9"/>
    <w:rsid w:val="00DC74FA"/>
    <w:rsid w:val="00DC7557"/>
    <w:rsid w:val="00DC75A2"/>
    <w:rsid w:val="00DC764A"/>
    <w:rsid w:val="00DC7660"/>
    <w:rsid w:val="00DC7666"/>
    <w:rsid w:val="00DC76AE"/>
    <w:rsid w:val="00DC76B2"/>
    <w:rsid w:val="00DC76D4"/>
    <w:rsid w:val="00DC76DD"/>
    <w:rsid w:val="00DC770E"/>
    <w:rsid w:val="00DC7712"/>
    <w:rsid w:val="00DC7741"/>
    <w:rsid w:val="00DC7747"/>
    <w:rsid w:val="00DC7797"/>
    <w:rsid w:val="00DC77B5"/>
    <w:rsid w:val="00DC77BC"/>
    <w:rsid w:val="00DC77FA"/>
    <w:rsid w:val="00DC783A"/>
    <w:rsid w:val="00DC78C4"/>
    <w:rsid w:val="00DC78E8"/>
    <w:rsid w:val="00DC78F9"/>
    <w:rsid w:val="00DC793C"/>
    <w:rsid w:val="00DC795D"/>
    <w:rsid w:val="00DC79CE"/>
    <w:rsid w:val="00DC7A00"/>
    <w:rsid w:val="00DC7A04"/>
    <w:rsid w:val="00DC7A31"/>
    <w:rsid w:val="00DC7A7C"/>
    <w:rsid w:val="00DC7A9C"/>
    <w:rsid w:val="00DC7B2C"/>
    <w:rsid w:val="00DC7B71"/>
    <w:rsid w:val="00DC7B93"/>
    <w:rsid w:val="00DC7C1A"/>
    <w:rsid w:val="00DC7C2C"/>
    <w:rsid w:val="00DC7C98"/>
    <w:rsid w:val="00DC7CDC"/>
    <w:rsid w:val="00DC7D44"/>
    <w:rsid w:val="00DC7D8A"/>
    <w:rsid w:val="00DC7DE2"/>
    <w:rsid w:val="00DC7E0C"/>
    <w:rsid w:val="00DC7E10"/>
    <w:rsid w:val="00DC7E20"/>
    <w:rsid w:val="00DC7E37"/>
    <w:rsid w:val="00DC7E55"/>
    <w:rsid w:val="00DC7E56"/>
    <w:rsid w:val="00DC7EA3"/>
    <w:rsid w:val="00DC7ED0"/>
    <w:rsid w:val="00DC7F30"/>
    <w:rsid w:val="00DC7F50"/>
    <w:rsid w:val="00DC7F59"/>
    <w:rsid w:val="00DD0027"/>
    <w:rsid w:val="00DD0031"/>
    <w:rsid w:val="00DD0043"/>
    <w:rsid w:val="00DD006F"/>
    <w:rsid w:val="00DD008B"/>
    <w:rsid w:val="00DD00B5"/>
    <w:rsid w:val="00DD00D5"/>
    <w:rsid w:val="00DD00E1"/>
    <w:rsid w:val="00DD0128"/>
    <w:rsid w:val="00DD0145"/>
    <w:rsid w:val="00DD0147"/>
    <w:rsid w:val="00DD0216"/>
    <w:rsid w:val="00DD0221"/>
    <w:rsid w:val="00DD025F"/>
    <w:rsid w:val="00DD0270"/>
    <w:rsid w:val="00DD0287"/>
    <w:rsid w:val="00DD029A"/>
    <w:rsid w:val="00DD029C"/>
    <w:rsid w:val="00DD029D"/>
    <w:rsid w:val="00DD02C9"/>
    <w:rsid w:val="00DD0323"/>
    <w:rsid w:val="00DD0329"/>
    <w:rsid w:val="00DD0352"/>
    <w:rsid w:val="00DD0360"/>
    <w:rsid w:val="00DD0387"/>
    <w:rsid w:val="00DD038C"/>
    <w:rsid w:val="00DD03E0"/>
    <w:rsid w:val="00DD03FE"/>
    <w:rsid w:val="00DD0428"/>
    <w:rsid w:val="00DD0439"/>
    <w:rsid w:val="00DD0466"/>
    <w:rsid w:val="00DD0479"/>
    <w:rsid w:val="00DD054D"/>
    <w:rsid w:val="00DD0556"/>
    <w:rsid w:val="00DD058A"/>
    <w:rsid w:val="00DD05CA"/>
    <w:rsid w:val="00DD05EA"/>
    <w:rsid w:val="00DD0615"/>
    <w:rsid w:val="00DD0685"/>
    <w:rsid w:val="00DD07AD"/>
    <w:rsid w:val="00DD07EF"/>
    <w:rsid w:val="00DD07FD"/>
    <w:rsid w:val="00DD0829"/>
    <w:rsid w:val="00DD0834"/>
    <w:rsid w:val="00DD086D"/>
    <w:rsid w:val="00DD088D"/>
    <w:rsid w:val="00DD08AB"/>
    <w:rsid w:val="00DD08CA"/>
    <w:rsid w:val="00DD0942"/>
    <w:rsid w:val="00DD09AA"/>
    <w:rsid w:val="00DD09F5"/>
    <w:rsid w:val="00DD0A63"/>
    <w:rsid w:val="00DD0AD6"/>
    <w:rsid w:val="00DD0AD7"/>
    <w:rsid w:val="00DD0B68"/>
    <w:rsid w:val="00DD0B9A"/>
    <w:rsid w:val="00DD0BCF"/>
    <w:rsid w:val="00DD0BD3"/>
    <w:rsid w:val="00DD0BF5"/>
    <w:rsid w:val="00DD0BF8"/>
    <w:rsid w:val="00DD0BFC"/>
    <w:rsid w:val="00DD0C06"/>
    <w:rsid w:val="00DD0CA4"/>
    <w:rsid w:val="00DD0D00"/>
    <w:rsid w:val="00DD0DCA"/>
    <w:rsid w:val="00DD0E7E"/>
    <w:rsid w:val="00DD0EBD"/>
    <w:rsid w:val="00DD0EDE"/>
    <w:rsid w:val="00DD0F36"/>
    <w:rsid w:val="00DD0F4D"/>
    <w:rsid w:val="00DD0F4E"/>
    <w:rsid w:val="00DD0F64"/>
    <w:rsid w:val="00DD0F97"/>
    <w:rsid w:val="00DD0FA6"/>
    <w:rsid w:val="00DD0FC3"/>
    <w:rsid w:val="00DD0FCB"/>
    <w:rsid w:val="00DD1005"/>
    <w:rsid w:val="00DD1066"/>
    <w:rsid w:val="00DD10E3"/>
    <w:rsid w:val="00DD10E5"/>
    <w:rsid w:val="00DD1154"/>
    <w:rsid w:val="00DD118C"/>
    <w:rsid w:val="00DD11CF"/>
    <w:rsid w:val="00DD11E3"/>
    <w:rsid w:val="00DD1204"/>
    <w:rsid w:val="00DD123B"/>
    <w:rsid w:val="00DD128E"/>
    <w:rsid w:val="00DD1296"/>
    <w:rsid w:val="00DD12B2"/>
    <w:rsid w:val="00DD12D0"/>
    <w:rsid w:val="00DD12DD"/>
    <w:rsid w:val="00DD12E7"/>
    <w:rsid w:val="00DD1308"/>
    <w:rsid w:val="00DD141B"/>
    <w:rsid w:val="00DD1436"/>
    <w:rsid w:val="00DD1447"/>
    <w:rsid w:val="00DD1473"/>
    <w:rsid w:val="00DD14EE"/>
    <w:rsid w:val="00DD1541"/>
    <w:rsid w:val="00DD1605"/>
    <w:rsid w:val="00DD161B"/>
    <w:rsid w:val="00DD162C"/>
    <w:rsid w:val="00DD16D1"/>
    <w:rsid w:val="00DD16D5"/>
    <w:rsid w:val="00DD16D6"/>
    <w:rsid w:val="00DD16D8"/>
    <w:rsid w:val="00DD1748"/>
    <w:rsid w:val="00DD1776"/>
    <w:rsid w:val="00DD17C4"/>
    <w:rsid w:val="00DD1870"/>
    <w:rsid w:val="00DD189E"/>
    <w:rsid w:val="00DD18E7"/>
    <w:rsid w:val="00DD190F"/>
    <w:rsid w:val="00DD1A0C"/>
    <w:rsid w:val="00DD1A36"/>
    <w:rsid w:val="00DD1A43"/>
    <w:rsid w:val="00DD1A8D"/>
    <w:rsid w:val="00DD1AA9"/>
    <w:rsid w:val="00DD1AE9"/>
    <w:rsid w:val="00DD1BA4"/>
    <w:rsid w:val="00DD1BC8"/>
    <w:rsid w:val="00DD1C51"/>
    <w:rsid w:val="00DD1C80"/>
    <w:rsid w:val="00DD1CDE"/>
    <w:rsid w:val="00DD1D25"/>
    <w:rsid w:val="00DD1D42"/>
    <w:rsid w:val="00DD1D6A"/>
    <w:rsid w:val="00DD1E22"/>
    <w:rsid w:val="00DD1E4B"/>
    <w:rsid w:val="00DD1E79"/>
    <w:rsid w:val="00DD1E7E"/>
    <w:rsid w:val="00DD1E9D"/>
    <w:rsid w:val="00DD1EAA"/>
    <w:rsid w:val="00DD1EB0"/>
    <w:rsid w:val="00DD1EBA"/>
    <w:rsid w:val="00DD1EEC"/>
    <w:rsid w:val="00DD1F50"/>
    <w:rsid w:val="00DD1F52"/>
    <w:rsid w:val="00DD1FF0"/>
    <w:rsid w:val="00DD1FF6"/>
    <w:rsid w:val="00DD2025"/>
    <w:rsid w:val="00DD20EA"/>
    <w:rsid w:val="00DD20F0"/>
    <w:rsid w:val="00DD2113"/>
    <w:rsid w:val="00DD2169"/>
    <w:rsid w:val="00DD219A"/>
    <w:rsid w:val="00DD21A2"/>
    <w:rsid w:val="00DD21B0"/>
    <w:rsid w:val="00DD21C8"/>
    <w:rsid w:val="00DD21DB"/>
    <w:rsid w:val="00DD21EB"/>
    <w:rsid w:val="00DD2244"/>
    <w:rsid w:val="00DD2290"/>
    <w:rsid w:val="00DD22BB"/>
    <w:rsid w:val="00DD22DB"/>
    <w:rsid w:val="00DD22EF"/>
    <w:rsid w:val="00DD2309"/>
    <w:rsid w:val="00DD231B"/>
    <w:rsid w:val="00DD2328"/>
    <w:rsid w:val="00DD2372"/>
    <w:rsid w:val="00DD241A"/>
    <w:rsid w:val="00DD2443"/>
    <w:rsid w:val="00DD2465"/>
    <w:rsid w:val="00DD2506"/>
    <w:rsid w:val="00DD250F"/>
    <w:rsid w:val="00DD254B"/>
    <w:rsid w:val="00DD257C"/>
    <w:rsid w:val="00DD25A3"/>
    <w:rsid w:val="00DD25B6"/>
    <w:rsid w:val="00DD25E1"/>
    <w:rsid w:val="00DD25FB"/>
    <w:rsid w:val="00DD260F"/>
    <w:rsid w:val="00DD2617"/>
    <w:rsid w:val="00DD2627"/>
    <w:rsid w:val="00DD2633"/>
    <w:rsid w:val="00DD263F"/>
    <w:rsid w:val="00DD2653"/>
    <w:rsid w:val="00DD2660"/>
    <w:rsid w:val="00DD2667"/>
    <w:rsid w:val="00DD26AF"/>
    <w:rsid w:val="00DD26C1"/>
    <w:rsid w:val="00DD26D9"/>
    <w:rsid w:val="00DD26F2"/>
    <w:rsid w:val="00DD273B"/>
    <w:rsid w:val="00DD27CE"/>
    <w:rsid w:val="00DD28D7"/>
    <w:rsid w:val="00DD2969"/>
    <w:rsid w:val="00DD29AE"/>
    <w:rsid w:val="00DD2A39"/>
    <w:rsid w:val="00DD2A3B"/>
    <w:rsid w:val="00DD2A99"/>
    <w:rsid w:val="00DD2ACC"/>
    <w:rsid w:val="00DD2B01"/>
    <w:rsid w:val="00DD2C3A"/>
    <w:rsid w:val="00DD2C63"/>
    <w:rsid w:val="00DD2C71"/>
    <w:rsid w:val="00DD2CD6"/>
    <w:rsid w:val="00DD2D49"/>
    <w:rsid w:val="00DD2D50"/>
    <w:rsid w:val="00DD2DC7"/>
    <w:rsid w:val="00DD2E96"/>
    <w:rsid w:val="00DD2E97"/>
    <w:rsid w:val="00DD2E99"/>
    <w:rsid w:val="00DD2ED2"/>
    <w:rsid w:val="00DD2F62"/>
    <w:rsid w:val="00DD2F7A"/>
    <w:rsid w:val="00DD2F7D"/>
    <w:rsid w:val="00DD2FF6"/>
    <w:rsid w:val="00DD3010"/>
    <w:rsid w:val="00DD3014"/>
    <w:rsid w:val="00DD303F"/>
    <w:rsid w:val="00DD3056"/>
    <w:rsid w:val="00DD305B"/>
    <w:rsid w:val="00DD3092"/>
    <w:rsid w:val="00DD30AA"/>
    <w:rsid w:val="00DD30D0"/>
    <w:rsid w:val="00DD30DA"/>
    <w:rsid w:val="00DD30F0"/>
    <w:rsid w:val="00DD31C7"/>
    <w:rsid w:val="00DD3202"/>
    <w:rsid w:val="00DD323C"/>
    <w:rsid w:val="00DD3240"/>
    <w:rsid w:val="00DD336A"/>
    <w:rsid w:val="00DD3375"/>
    <w:rsid w:val="00DD33C6"/>
    <w:rsid w:val="00DD33F7"/>
    <w:rsid w:val="00DD3416"/>
    <w:rsid w:val="00DD3417"/>
    <w:rsid w:val="00DD3426"/>
    <w:rsid w:val="00DD3435"/>
    <w:rsid w:val="00DD34DF"/>
    <w:rsid w:val="00DD3529"/>
    <w:rsid w:val="00DD3589"/>
    <w:rsid w:val="00DD35AA"/>
    <w:rsid w:val="00DD35C6"/>
    <w:rsid w:val="00DD35D8"/>
    <w:rsid w:val="00DD3610"/>
    <w:rsid w:val="00DD3622"/>
    <w:rsid w:val="00DD3683"/>
    <w:rsid w:val="00DD36AF"/>
    <w:rsid w:val="00DD36F2"/>
    <w:rsid w:val="00DD372C"/>
    <w:rsid w:val="00DD3775"/>
    <w:rsid w:val="00DD3792"/>
    <w:rsid w:val="00DD3799"/>
    <w:rsid w:val="00DD3864"/>
    <w:rsid w:val="00DD38FE"/>
    <w:rsid w:val="00DD3935"/>
    <w:rsid w:val="00DD3941"/>
    <w:rsid w:val="00DD398C"/>
    <w:rsid w:val="00DD3997"/>
    <w:rsid w:val="00DD399A"/>
    <w:rsid w:val="00DD39D6"/>
    <w:rsid w:val="00DD39DB"/>
    <w:rsid w:val="00DD39EA"/>
    <w:rsid w:val="00DD3A2F"/>
    <w:rsid w:val="00DD3A91"/>
    <w:rsid w:val="00DD3A93"/>
    <w:rsid w:val="00DD3A9B"/>
    <w:rsid w:val="00DD3AC4"/>
    <w:rsid w:val="00DD3B17"/>
    <w:rsid w:val="00DD3B57"/>
    <w:rsid w:val="00DD3B6C"/>
    <w:rsid w:val="00DD3B8C"/>
    <w:rsid w:val="00DD3BDD"/>
    <w:rsid w:val="00DD3C02"/>
    <w:rsid w:val="00DD3C23"/>
    <w:rsid w:val="00DD3C32"/>
    <w:rsid w:val="00DD3C71"/>
    <w:rsid w:val="00DD3CD3"/>
    <w:rsid w:val="00DD3CEA"/>
    <w:rsid w:val="00DD3D48"/>
    <w:rsid w:val="00DD3E38"/>
    <w:rsid w:val="00DD3E95"/>
    <w:rsid w:val="00DD3EA0"/>
    <w:rsid w:val="00DD3EAE"/>
    <w:rsid w:val="00DD3EB9"/>
    <w:rsid w:val="00DD3EFE"/>
    <w:rsid w:val="00DD3F0D"/>
    <w:rsid w:val="00DD3F25"/>
    <w:rsid w:val="00DD3F7B"/>
    <w:rsid w:val="00DD3FD8"/>
    <w:rsid w:val="00DD3FDD"/>
    <w:rsid w:val="00DD3FED"/>
    <w:rsid w:val="00DD4052"/>
    <w:rsid w:val="00DD406F"/>
    <w:rsid w:val="00DD40B4"/>
    <w:rsid w:val="00DD40B8"/>
    <w:rsid w:val="00DD40F7"/>
    <w:rsid w:val="00DD40FC"/>
    <w:rsid w:val="00DD4165"/>
    <w:rsid w:val="00DD41B5"/>
    <w:rsid w:val="00DD41C8"/>
    <w:rsid w:val="00DD41CA"/>
    <w:rsid w:val="00DD41CD"/>
    <w:rsid w:val="00DD425F"/>
    <w:rsid w:val="00DD42B0"/>
    <w:rsid w:val="00DD42D7"/>
    <w:rsid w:val="00DD42E4"/>
    <w:rsid w:val="00DD432F"/>
    <w:rsid w:val="00DD433A"/>
    <w:rsid w:val="00DD4340"/>
    <w:rsid w:val="00DD4370"/>
    <w:rsid w:val="00DD43A2"/>
    <w:rsid w:val="00DD43B4"/>
    <w:rsid w:val="00DD43D0"/>
    <w:rsid w:val="00DD43D2"/>
    <w:rsid w:val="00DD43DE"/>
    <w:rsid w:val="00DD43FE"/>
    <w:rsid w:val="00DD442F"/>
    <w:rsid w:val="00DD4432"/>
    <w:rsid w:val="00DD4434"/>
    <w:rsid w:val="00DD4467"/>
    <w:rsid w:val="00DD447A"/>
    <w:rsid w:val="00DD4487"/>
    <w:rsid w:val="00DD4489"/>
    <w:rsid w:val="00DD448E"/>
    <w:rsid w:val="00DD449E"/>
    <w:rsid w:val="00DD4500"/>
    <w:rsid w:val="00DD4532"/>
    <w:rsid w:val="00DD4571"/>
    <w:rsid w:val="00DD45CC"/>
    <w:rsid w:val="00DD4635"/>
    <w:rsid w:val="00DD464A"/>
    <w:rsid w:val="00DD4693"/>
    <w:rsid w:val="00DD4697"/>
    <w:rsid w:val="00DD4731"/>
    <w:rsid w:val="00DD474C"/>
    <w:rsid w:val="00DD478D"/>
    <w:rsid w:val="00DD47DF"/>
    <w:rsid w:val="00DD47E0"/>
    <w:rsid w:val="00DD480D"/>
    <w:rsid w:val="00DD4823"/>
    <w:rsid w:val="00DD4831"/>
    <w:rsid w:val="00DD4858"/>
    <w:rsid w:val="00DD488B"/>
    <w:rsid w:val="00DD489C"/>
    <w:rsid w:val="00DD48F9"/>
    <w:rsid w:val="00DD4967"/>
    <w:rsid w:val="00DD49EE"/>
    <w:rsid w:val="00DD4A09"/>
    <w:rsid w:val="00DD4A16"/>
    <w:rsid w:val="00DD4A6E"/>
    <w:rsid w:val="00DD4BA6"/>
    <w:rsid w:val="00DD4BB5"/>
    <w:rsid w:val="00DD4BE6"/>
    <w:rsid w:val="00DD4C14"/>
    <w:rsid w:val="00DD4CED"/>
    <w:rsid w:val="00DD4D1D"/>
    <w:rsid w:val="00DD4D24"/>
    <w:rsid w:val="00DD4D38"/>
    <w:rsid w:val="00DD4D6F"/>
    <w:rsid w:val="00DD4DA4"/>
    <w:rsid w:val="00DD4DCE"/>
    <w:rsid w:val="00DD4DFC"/>
    <w:rsid w:val="00DD4E00"/>
    <w:rsid w:val="00DD4E18"/>
    <w:rsid w:val="00DD4E20"/>
    <w:rsid w:val="00DD4E21"/>
    <w:rsid w:val="00DD4E7A"/>
    <w:rsid w:val="00DD4EAE"/>
    <w:rsid w:val="00DD4EBC"/>
    <w:rsid w:val="00DD4F26"/>
    <w:rsid w:val="00DD4FC6"/>
    <w:rsid w:val="00DD5010"/>
    <w:rsid w:val="00DD507A"/>
    <w:rsid w:val="00DD5172"/>
    <w:rsid w:val="00DD5193"/>
    <w:rsid w:val="00DD51D4"/>
    <w:rsid w:val="00DD51D5"/>
    <w:rsid w:val="00DD5239"/>
    <w:rsid w:val="00DD524F"/>
    <w:rsid w:val="00DD5264"/>
    <w:rsid w:val="00DD5293"/>
    <w:rsid w:val="00DD5297"/>
    <w:rsid w:val="00DD52E0"/>
    <w:rsid w:val="00DD530D"/>
    <w:rsid w:val="00DD531A"/>
    <w:rsid w:val="00DD534B"/>
    <w:rsid w:val="00DD5372"/>
    <w:rsid w:val="00DD53C4"/>
    <w:rsid w:val="00DD53E1"/>
    <w:rsid w:val="00DD5433"/>
    <w:rsid w:val="00DD54A0"/>
    <w:rsid w:val="00DD54AA"/>
    <w:rsid w:val="00DD54BB"/>
    <w:rsid w:val="00DD54BF"/>
    <w:rsid w:val="00DD553B"/>
    <w:rsid w:val="00DD5559"/>
    <w:rsid w:val="00DD5567"/>
    <w:rsid w:val="00DD5598"/>
    <w:rsid w:val="00DD55CD"/>
    <w:rsid w:val="00DD55F0"/>
    <w:rsid w:val="00DD560C"/>
    <w:rsid w:val="00DD562E"/>
    <w:rsid w:val="00DD563D"/>
    <w:rsid w:val="00DD56A5"/>
    <w:rsid w:val="00DD5725"/>
    <w:rsid w:val="00DD5744"/>
    <w:rsid w:val="00DD5762"/>
    <w:rsid w:val="00DD5788"/>
    <w:rsid w:val="00DD579B"/>
    <w:rsid w:val="00DD57F6"/>
    <w:rsid w:val="00DD580A"/>
    <w:rsid w:val="00DD5835"/>
    <w:rsid w:val="00DD58D1"/>
    <w:rsid w:val="00DD5908"/>
    <w:rsid w:val="00DD5909"/>
    <w:rsid w:val="00DD5934"/>
    <w:rsid w:val="00DD5945"/>
    <w:rsid w:val="00DD595E"/>
    <w:rsid w:val="00DD59D6"/>
    <w:rsid w:val="00DD59DC"/>
    <w:rsid w:val="00DD59DE"/>
    <w:rsid w:val="00DD5A21"/>
    <w:rsid w:val="00DD5A26"/>
    <w:rsid w:val="00DD5A51"/>
    <w:rsid w:val="00DD5A7B"/>
    <w:rsid w:val="00DD5AE8"/>
    <w:rsid w:val="00DD5B44"/>
    <w:rsid w:val="00DD5BD3"/>
    <w:rsid w:val="00DD5C61"/>
    <w:rsid w:val="00DD5C72"/>
    <w:rsid w:val="00DD5C96"/>
    <w:rsid w:val="00DD5D3F"/>
    <w:rsid w:val="00DD5D82"/>
    <w:rsid w:val="00DD5D9A"/>
    <w:rsid w:val="00DD5DD7"/>
    <w:rsid w:val="00DD5E26"/>
    <w:rsid w:val="00DD5E60"/>
    <w:rsid w:val="00DD5E70"/>
    <w:rsid w:val="00DD5EA4"/>
    <w:rsid w:val="00DD5F5F"/>
    <w:rsid w:val="00DD5F92"/>
    <w:rsid w:val="00DD5FE9"/>
    <w:rsid w:val="00DD6017"/>
    <w:rsid w:val="00DD602C"/>
    <w:rsid w:val="00DD6080"/>
    <w:rsid w:val="00DD6092"/>
    <w:rsid w:val="00DD60A0"/>
    <w:rsid w:val="00DD60E3"/>
    <w:rsid w:val="00DD6115"/>
    <w:rsid w:val="00DD6205"/>
    <w:rsid w:val="00DD622C"/>
    <w:rsid w:val="00DD623F"/>
    <w:rsid w:val="00DD625A"/>
    <w:rsid w:val="00DD62A4"/>
    <w:rsid w:val="00DD6325"/>
    <w:rsid w:val="00DD641C"/>
    <w:rsid w:val="00DD644B"/>
    <w:rsid w:val="00DD6492"/>
    <w:rsid w:val="00DD64BC"/>
    <w:rsid w:val="00DD64EC"/>
    <w:rsid w:val="00DD6557"/>
    <w:rsid w:val="00DD655A"/>
    <w:rsid w:val="00DD6564"/>
    <w:rsid w:val="00DD6569"/>
    <w:rsid w:val="00DD65A5"/>
    <w:rsid w:val="00DD6652"/>
    <w:rsid w:val="00DD668B"/>
    <w:rsid w:val="00DD66F3"/>
    <w:rsid w:val="00DD66F6"/>
    <w:rsid w:val="00DD6708"/>
    <w:rsid w:val="00DD673E"/>
    <w:rsid w:val="00DD6748"/>
    <w:rsid w:val="00DD6812"/>
    <w:rsid w:val="00DD6872"/>
    <w:rsid w:val="00DD690A"/>
    <w:rsid w:val="00DD69A4"/>
    <w:rsid w:val="00DD6A09"/>
    <w:rsid w:val="00DD6A0D"/>
    <w:rsid w:val="00DD6B28"/>
    <w:rsid w:val="00DD6BB5"/>
    <w:rsid w:val="00DD6BDB"/>
    <w:rsid w:val="00DD6BFF"/>
    <w:rsid w:val="00DD6C1A"/>
    <w:rsid w:val="00DD6C3E"/>
    <w:rsid w:val="00DD6C5C"/>
    <w:rsid w:val="00DD6C61"/>
    <w:rsid w:val="00DD6C6B"/>
    <w:rsid w:val="00DD6C74"/>
    <w:rsid w:val="00DD6C7B"/>
    <w:rsid w:val="00DD6C8B"/>
    <w:rsid w:val="00DD6CFC"/>
    <w:rsid w:val="00DD6D1C"/>
    <w:rsid w:val="00DD6DA2"/>
    <w:rsid w:val="00DD6DAA"/>
    <w:rsid w:val="00DD6E7E"/>
    <w:rsid w:val="00DD6EA5"/>
    <w:rsid w:val="00DD6EB4"/>
    <w:rsid w:val="00DD6EBA"/>
    <w:rsid w:val="00DD6F39"/>
    <w:rsid w:val="00DD6F5A"/>
    <w:rsid w:val="00DD6F63"/>
    <w:rsid w:val="00DD6F81"/>
    <w:rsid w:val="00DD6FB1"/>
    <w:rsid w:val="00DD6FB9"/>
    <w:rsid w:val="00DD6FCA"/>
    <w:rsid w:val="00DD700E"/>
    <w:rsid w:val="00DD7045"/>
    <w:rsid w:val="00DD7053"/>
    <w:rsid w:val="00DD705B"/>
    <w:rsid w:val="00DD70BB"/>
    <w:rsid w:val="00DD7107"/>
    <w:rsid w:val="00DD7144"/>
    <w:rsid w:val="00DD71E8"/>
    <w:rsid w:val="00DD7204"/>
    <w:rsid w:val="00DD72BE"/>
    <w:rsid w:val="00DD72DF"/>
    <w:rsid w:val="00DD72E2"/>
    <w:rsid w:val="00DD7365"/>
    <w:rsid w:val="00DD73A9"/>
    <w:rsid w:val="00DD7428"/>
    <w:rsid w:val="00DD743A"/>
    <w:rsid w:val="00DD7472"/>
    <w:rsid w:val="00DD74A7"/>
    <w:rsid w:val="00DD7515"/>
    <w:rsid w:val="00DD7557"/>
    <w:rsid w:val="00DD758A"/>
    <w:rsid w:val="00DD75A7"/>
    <w:rsid w:val="00DD75C6"/>
    <w:rsid w:val="00DD75F8"/>
    <w:rsid w:val="00DD7602"/>
    <w:rsid w:val="00DD7624"/>
    <w:rsid w:val="00DD764B"/>
    <w:rsid w:val="00DD76D5"/>
    <w:rsid w:val="00DD7702"/>
    <w:rsid w:val="00DD7722"/>
    <w:rsid w:val="00DD773B"/>
    <w:rsid w:val="00DD7793"/>
    <w:rsid w:val="00DD77DE"/>
    <w:rsid w:val="00DD7800"/>
    <w:rsid w:val="00DD7828"/>
    <w:rsid w:val="00DD7854"/>
    <w:rsid w:val="00DD785E"/>
    <w:rsid w:val="00DD7864"/>
    <w:rsid w:val="00DD7971"/>
    <w:rsid w:val="00DD79E8"/>
    <w:rsid w:val="00DD7A0B"/>
    <w:rsid w:val="00DD7A7D"/>
    <w:rsid w:val="00DD7A94"/>
    <w:rsid w:val="00DD7ADE"/>
    <w:rsid w:val="00DD7B4D"/>
    <w:rsid w:val="00DD7B5C"/>
    <w:rsid w:val="00DD7B86"/>
    <w:rsid w:val="00DD7BF0"/>
    <w:rsid w:val="00DD7C28"/>
    <w:rsid w:val="00DD7C2A"/>
    <w:rsid w:val="00DD7C48"/>
    <w:rsid w:val="00DD7C87"/>
    <w:rsid w:val="00DD7CA7"/>
    <w:rsid w:val="00DD7CBB"/>
    <w:rsid w:val="00DD7D89"/>
    <w:rsid w:val="00DD7D92"/>
    <w:rsid w:val="00DD7DA8"/>
    <w:rsid w:val="00DD7DAA"/>
    <w:rsid w:val="00DD7DAE"/>
    <w:rsid w:val="00DD7E8F"/>
    <w:rsid w:val="00DD7F4B"/>
    <w:rsid w:val="00DD7F5A"/>
    <w:rsid w:val="00DD7F8E"/>
    <w:rsid w:val="00DD7FA9"/>
    <w:rsid w:val="00DD7FBD"/>
    <w:rsid w:val="00DD7FE5"/>
    <w:rsid w:val="00DE0040"/>
    <w:rsid w:val="00DE0074"/>
    <w:rsid w:val="00DE00C0"/>
    <w:rsid w:val="00DE00DF"/>
    <w:rsid w:val="00DE0114"/>
    <w:rsid w:val="00DE0185"/>
    <w:rsid w:val="00DE01A3"/>
    <w:rsid w:val="00DE0218"/>
    <w:rsid w:val="00DE023A"/>
    <w:rsid w:val="00DE027B"/>
    <w:rsid w:val="00DE0283"/>
    <w:rsid w:val="00DE028A"/>
    <w:rsid w:val="00DE02CD"/>
    <w:rsid w:val="00DE02FD"/>
    <w:rsid w:val="00DE0305"/>
    <w:rsid w:val="00DE043C"/>
    <w:rsid w:val="00DE04AE"/>
    <w:rsid w:val="00DE0502"/>
    <w:rsid w:val="00DE050B"/>
    <w:rsid w:val="00DE0548"/>
    <w:rsid w:val="00DE0588"/>
    <w:rsid w:val="00DE05AE"/>
    <w:rsid w:val="00DE05D7"/>
    <w:rsid w:val="00DE05D8"/>
    <w:rsid w:val="00DE05EC"/>
    <w:rsid w:val="00DE0604"/>
    <w:rsid w:val="00DE065B"/>
    <w:rsid w:val="00DE0686"/>
    <w:rsid w:val="00DE0687"/>
    <w:rsid w:val="00DE06A9"/>
    <w:rsid w:val="00DE070E"/>
    <w:rsid w:val="00DE0746"/>
    <w:rsid w:val="00DE0750"/>
    <w:rsid w:val="00DE0760"/>
    <w:rsid w:val="00DE0888"/>
    <w:rsid w:val="00DE08E9"/>
    <w:rsid w:val="00DE08F4"/>
    <w:rsid w:val="00DE08F5"/>
    <w:rsid w:val="00DE08FA"/>
    <w:rsid w:val="00DE0934"/>
    <w:rsid w:val="00DE0935"/>
    <w:rsid w:val="00DE0981"/>
    <w:rsid w:val="00DE0994"/>
    <w:rsid w:val="00DE09A1"/>
    <w:rsid w:val="00DE09AB"/>
    <w:rsid w:val="00DE0A96"/>
    <w:rsid w:val="00DE0A9C"/>
    <w:rsid w:val="00DE0AAB"/>
    <w:rsid w:val="00DE0AB8"/>
    <w:rsid w:val="00DE0AEC"/>
    <w:rsid w:val="00DE0B2F"/>
    <w:rsid w:val="00DE0B3A"/>
    <w:rsid w:val="00DE0B8D"/>
    <w:rsid w:val="00DE0BE2"/>
    <w:rsid w:val="00DE0C78"/>
    <w:rsid w:val="00DE0C8B"/>
    <w:rsid w:val="00DE0CB2"/>
    <w:rsid w:val="00DE0CD2"/>
    <w:rsid w:val="00DE0CDF"/>
    <w:rsid w:val="00DE0DCB"/>
    <w:rsid w:val="00DE0DF4"/>
    <w:rsid w:val="00DE0DFF"/>
    <w:rsid w:val="00DE0E44"/>
    <w:rsid w:val="00DE0E4A"/>
    <w:rsid w:val="00DE0E68"/>
    <w:rsid w:val="00DE0E6F"/>
    <w:rsid w:val="00DE0ECF"/>
    <w:rsid w:val="00DE0EEF"/>
    <w:rsid w:val="00DE0F01"/>
    <w:rsid w:val="00DE0FBB"/>
    <w:rsid w:val="00DE1030"/>
    <w:rsid w:val="00DE106B"/>
    <w:rsid w:val="00DE10AC"/>
    <w:rsid w:val="00DE110F"/>
    <w:rsid w:val="00DE1140"/>
    <w:rsid w:val="00DE11AA"/>
    <w:rsid w:val="00DE1217"/>
    <w:rsid w:val="00DE122D"/>
    <w:rsid w:val="00DE1249"/>
    <w:rsid w:val="00DE12F2"/>
    <w:rsid w:val="00DE1333"/>
    <w:rsid w:val="00DE1359"/>
    <w:rsid w:val="00DE13CB"/>
    <w:rsid w:val="00DE13E4"/>
    <w:rsid w:val="00DE1407"/>
    <w:rsid w:val="00DE1414"/>
    <w:rsid w:val="00DE1483"/>
    <w:rsid w:val="00DE1576"/>
    <w:rsid w:val="00DE1579"/>
    <w:rsid w:val="00DE15B0"/>
    <w:rsid w:val="00DE1612"/>
    <w:rsid w:val="00DE162B"/>
    <w:rsid w:val="00DE1638"/>
    <w:rsid w:val="00DE163E"/>
    <w:rsid w:val="00DE1657"/>
    <w:rsid w:val="00DE165A"/>
    <w:rsid w:val="00DE1667"/>
    <w:rsid w:val="00DE166A"/>
    <w:rsid w:val="00DE1673"/>
    <w:rsid w:val="00DE1695"/>
    <w:rsid w:val="00DE170D"/>
    <w:rsid w:val="00DE17AB"/>
    <w:rsid w:val="00DE17CC"/>
    <w:rsid w:val="00DE1834"/>
    <w:rsid w:val="00DE1842"/>
    <w:rsid w:val="00DE18F5"/>
    <w:rsid w:val="00DE191E"/>
    <w:rsid w:val="00DE192D"/>
    <w:rsid w:val="00DE1990"/>
    <w:rsid w:val="00DE19B2"/>
    <w:rsid w:val="00DE19F5"/>
    <w:rsid w:val="00DE19FD"/>
    <w:rsid w:val="00DE1A3D"/>
    <w:rsid w:val="00DE1A97"/>
    <w:rsid w:val="00DE1AAE"/>
    <w:rsid w:val="00DE1ADB"/>
    <w:rsid w:val="00DE1B1F"/>
    <w:rsid w:val="00DE1B3C"/>
    <w:rsid w:val="00DE1B5E"/>
    <w:rsid w:val="00DE1B6C"/>
    <w:rsid w:val="00DE1B6E"/>
    <w:rsid w:val="00DE1B8B"/>
    <w:rsid w:val="00DE1B92"/>
    <w:rsid w:val="00DE1BBD"/>
    <w:rsid w:val="00DE1BD3"/>
    <w:rsid w:val="00DE1BD9"/>
    <w:rsid w:val="00DE1BF3"/>
    <w:rsid w:val="00DE1C47"/>
    <w:rsid w:val="00DE1C49"/>
    <w:rsid w:val="00DE1C6F"/>
    <w:rsid w:val="00DE1C71"/>
    <w:rsid w:val="00DE1CFC"/>
    <w:rsid w:val="00DE1D4C"/>
    <w:rsid w:val="00DE1D58"/>
    <w:rsid w:val="00DE1D71"/>
    <w:rsid w:val="00DE1D9C"/>
    <w:rsid w:val="00DE1E23"/>
    <w:rsid w:val="00DE1E50"/>
    <w:rsid w:val="00DE1EA7"/>
    <w:rsid w:val="00DE202F"/>
    <w:rsid w:val="00DE20C7"/>
    <w:rsid w:val="00DE20FD"/>
    <w:rsid w:val="00DE2110"/>
    <w:rsid w:val="00DE2130"/>
    <w:rsid w:val="00DE2180"/>
    <w:rsid w:val="00DE21AC"/>
    <w:rsid w:val="00DE2210"/>
    <w:rsid w:val="00DE2211"/>
    <w:rsid w:val="00DE2241"/>
    <w:rsid w:val="00DE225F"/>
    <w:rsid w:val="00DE22C2"/>
    <w:rsid w:val="00DE22E7"/>
    <w:rsid w:val="00DE2399"/>
    <w:rsid w:val="00DE2463"/>
    <w:rsid w:val="00DE2489"/>
    <w:rsid w:val="00DE248A"/>
    <w:rsid w:val="00DE2561"/>
    <w:rsid w:val="00DE2572"/>
    <w:rsid w:val="00DE25A9"/>
    <w:rsid w:val="00DE2605"/>
    <w:rsid w:val="00DE2688"/>
    <w:rsid w:val="00DE26C7"/>
    <w:rsid w:val="00DE26D6"/>
    <w:rsid w:val="00DE2730"/>
    <w:rsid w:val="00DE2744"/>
    <w:rsid w:val="00DE2763"/>
    <w:rsid w:val="00DE27B8"/>
    <w:rsid w:val="00DE2828"/>
    <w:rsid w:val="00DE2845"/>
    <w:rsid w:val="00DE284E"/>
    <w:rsid w:val="00DE289A"/>
    <w:rsid w:val="00DE28DC"/>
    <w:rsid w:val="00DE28DD"/>
    <w:rsid w:val="00DE2915"/>
    <w:rsid w:val="00DE2920"/>
    <w:rsid w:val="00DE297F"/>
    <w:rsid w:val="00DE29B8"/>
    <w:rsid w:val="00DE29C0"/>
    <w:rsid w:val="00DE2A0F"/>
    <w:rsid w:val="00DE2A88"/>
    <w:rsid w:val="00DE2AFA"/>
    <w:rsid w:val="00DE2B06"/>
    <w:rsid w:val="00DE2B56"/>
    <w:rsid w:val="00DE2B8E"/>
    <w:rsid w:val="00DE2BC8"/>
    <w:rsid w:val="00DE2C15"/>
    <w:rsid w:val="00DE2C3D"/>
    <w:rsid w:val="00DE2C5E"/>
    <w:rsid w:val="00DE2D5C"/>
    <w:rsid w:val="00DE2D7E"/>
    <w:rsid w:val="00DE2D91"/>
    <w:rsid w:val="00DE2DA7"/>
    <w:rsid w:val="00DE2DAA"/>
    <w:rsid w:val="00DE2DEF"/>
    <w:rsid w:val="00DE2EB4"/>
    <w:rsid w:val="00DE2EC6"/>
    <w:rsid w:val="00DE2EFD"/>
    <w:rsid w:val="00DE2F09"/>
    <w:rsid w:val="00DE2F4C"/>
    <w:rsid w:val="00DE2F54"/>
    <w:rsid w:val="00DE2F5B"/>
    <w:rsid w:val="00DE2F6B"/>
    <w:rsid w:val="00DE2F7D"/>
    <w:rsid w:val="00DE2F80"/>
    <w:rsid w:val="00DE3023"/>
    <w:rsid w:val="00DE3040"/>
    <w:rsid w:val="00DE305E"/>
    <w:rsid w:val="00DE30A2"/>
    <w:rsid w:val="00DE30BC"/>
    <w:rsid w:val="00DE30BE"/>
    <w:rsid w:val="00DE30DC"/>
    <w:rsid w:val="00DE3113"/>
    <w:rsid w:val="00DE31A6"/>
    <w:rsid w:val="00DE31C1"/>
    <w:rsid w:val="00DE31CB"/>
    <w:rsid w:val="00DE31FB"/>
    <w:rsid w:val="00DE3288"/>
    <w:rsid w:val="00DE328E"/>
    <w:rsid w:val="00DE32B0"/>
    <w:rsid w:val="00DE32F8"/>
    <w:rsid w:val="00DE333F"/>
    <w:rsid w:val="00DE3358"/>
    <w:rsid w:val="00DE33CE"/>
    <w:rsid w:val="00DE3400"/>
    <w:rsid w:val="00DE3436"/>
    <w:rsid w:val="00DE343D"/>
    <w:rsid w:val="00DE3478"/>
    <w:rsid w:val="00DE3486"/>
    <w:rsid w:val="00DE34B3"/>
    <w:rsid w:val="00DE3512"/>
    <w:rsid w:val="00DE3525"/>
    <w:rsid w:val="00DE3545"/>
    <w:rsid w:val="00DE35AB"/>
    <w:rsid w:val="00DE3628"/>
    <w:rsid w:val="00DE36EB"/>
    <w:rsid w:val="00DE36EF"/>
    <w:rsid w:val="00DE3752"/>
    <w:rsid w:val="00DE37A1"/>
    <w:rsid w:val="00DE37BD"/>
    <w:rsid w:val="00DE37EA"/>
    <w:rsid w:val="00DE37F7"/>
    <w:rsid w:val="00DE37FE"/>
    <w:rsid w:val="00DE383A"/>
    <w:rsid w:val="00DE3854"/>
    <w:rsid w:val="00DE3893"/>
    <w:rsid w:val="00DE38B4"/>
    <w:rsid w:val="00DE38DF"/>
    <w:rsid w:val="00DE38E7"/>
    <w:rsid w:val="00DE38ED"/>
    <w:rsid w:val="00DE3961"/>
    <w:rsid w:val="00DE3988"/>
    <w:rsid w:val="00DE3997"/>
    <w:rsid w:val="00DE39A1"/>
    <w:rsid w:val="00DE39D6"/>
    <w:rsid w:val="00DE39DA"/>
    <w:rsid w:val="00DE3A53"/>
    <w:rsid w:val="00DE3A56"/>
    <w:rsid w:val="00DE3AAB"/>
    <w:rsid w:val="00DE3ADB"/>
    <w:rsid w:val="00DE3B03"/>
    <w:rsid w:val="00DE3B6B"/>
    <w:rsid w:val="00DE3C20"/>
    <w:rsid w:val="00DE3C22"/>
    <w:rsid w:val="00DE3C6A"/>
    <w:rsid w:val="00DE3C77"/>
    <w:rsid w:val="00DE3C8F"/>
    <w:rsid w:val="00DE3D68"/>
    <w:rsid w:val="00DE3D87"/>
    <w:rsid w:val="00DE3D9F"/>
    <w:rsid w:val="00DE3DD2"/>
    <w:rsid w:val="00DE3E42"/>
    <w:rsid w:val="00DE3E5C"/>
    <w:rsid w:val="00DE3ED1"/>
    <w:rsid w:val="00DE3F25"/>
    <w:rsid w:val="00DE3F2A"/>
    <w:rsid w:val="00DE3F98"/>
    <w:rsid w:val="00DE3FC4"/>
    <w:rsid w:val="00DE4000"/>
    <w:rsid w:val="00DE406E"/>
    <w:rsid w:val="00DE4093"/>
    <w:rsid w:val="00DE40B3"/>
    <w:rsid w:val="00DE40CC"/>
    <w:rsid w:val="00DE40EB"/>
    <w:rsid w:val="00DE40F8"/>
    <w:rsid w:val="00DE40FD"/>
    <w:rsid w:val="00DE4111"/>
    <w:rsid w:val="00DE412D"/>
    <w:rsid w:val="00DE4135"/>
    <w:rsid w:val="00DE4136"/>
    <w:rsid w:val="00DE4139"/>
    <w:rsid w:val="00DE4143"/>
    <w:rsid w:val="00DE414E"/>
    <w:rsid w:val="00DE419D"/>
    <w:rsid w:val="00DE41BC"/>
    <w:rsid w:val="00DE4222"/>
    <w:rsid w:val="00DE4240"/>
    <w:rsid w:val="00DE4347"/>
    <w:rsid w:val="00DE43A9"/>
    <w:rsid w:val="00DE43C0"/>
    <w:rsid w:val="00DE43EC"/>
    <w:rsid w:val="00DE4411"/>
    <w:rsid w:val="00DE4444"/>
    <w:rsid w:val="00DE4472"/>
    <w:rsid w:val="00DE4496"/>
    <w:rsid w:val="00DE4500"/>
    <w:rsid w:val="00DE454E"/>
    <w:rsid w:val="00DE4574"/>
    <w:rsid w:val="00DE4604"/>
    <w:rsid w:val="00DE4650"/>
    <w:rsid w:val="00DE468F"/>
    <w:rsid w:val="00DE46A5"/>
    <w:rsid w:val="00DE46F8"/>
    <w:rsid w:val="00DE47C8"/>
    <w:rsid w:val="00DE4808"/>
    <w:rsid w:val="00DE4810"/>
    <w:rsid w:val="00DE483F"/>
    <w:rsid w:val="00DE4902"/>
    <w:rsid w:val="00DE4969"/>
    <w:rsid w:val="00DE4972"/>
    <w:rsid w:val="00DE497B"/>
    <w:rsid w:val="00DE49CD"/>
    <w:rsid w:val="00DE4AB1"/>
    <w:rsid w:val="00DE4ABC"/>
    <w:rsid w:val="00DE4AD8"/>
    <w:rsid w:val="00DE4AD9"/>
    <w:rsid w:val="00DE4B0D"/>
    <w:rsid w:val="00DE4B0F"/>
    <w:rsid w:val="00DE4B6B"/>
    <w:rsid w:val="00DE4B80"/>
    <w:rsid w:val="00DE4BAE"/>
    <w:rsid w:val="00DE4BBA"/>
    <w:rsid w:val="00DE4C0F"/>
    <w:rsid w:val="00DE4C39"/>
    <w:rsid w:val="00DE4C4A"/>
    <w:rsid w:val="00DE4CDC"/>
    <w:rsid w:val="00DE4CFF"/>
    <w:rsid w:val="00DE4D4A"/>
    <w:rsid w:val="00DE4DF5"/>
    <w:rsid w:val="00DE4E11"/>
    <w:rsid w:val="00DE4E12"/>
    <w:rsid w:val="00DE4E56"/>
    <w:rsid w:val="00DE4E5B"/>
    <w:rsid w:val="00DE4E73"/>
    <w:rsid w:val="00DE4EF3"/>
    <w:rsid w:val="00DE4F24"/>
    <w:rsid w:val="00DE4F41"/>
    <w:rsid w:val="00DE4F5F"/>
    <w:rsid w:val="00DE5002"/>
    <w:rsid w:val="00DE505A"/>
    <w:rsid w:val="00DE50BA"/>
    <w:rsid w:val="00DE50E8"/>
    <w:rsid w:val="00DE5181"/>
    <w:rsid w:val="00DE51AB"/>
    <w:rsid w:val="00DE51B0"/>
    <w:rsid w:val="00DE51C9"/>
    <w:rsid w:val="00DE51F1"/>
    <w:rsid w:val="00DE522E"/>
    <w:rsid w:val="00DE5238"/>
    <w:rsid w:val="00DE525C"/>
    <w:rsid w:val="00DE5264"/>
    <w:rsid w:val="00DE52BC"/>
    <w:rsid w:val="00DE52D4"/>
    <w:rsid w:val="00DE5334"/>
    <w:rsid w:val="00DE5361"/>
    <w:rsid w:val="00DE5373"/>
    <w:rsid w:val="00DE53AC"/>
    <w:rsid w:val="00DE53DD"/>
    <w:rsid w:val="00DE53E4"/>
    <w:rsid w:val="00DE542F"/>
    <w:rsid w:val="00DE544B"/>
    <w:rsid w:val="00DE5453"/>
    <w:rsid w:val="00DE54AD"/>
    <w:rsid w:val="00DE54BF"/>
    <w:rsid w:val="00DE54EB"/>
    <w:rsid w:val="00DE558D"/>
    <w:rsid w:val="00DE55DD"/>
    <w:rsid w:val="00DE55EF"/>
    <w:rsid w:val="00DE55F8"/>
    <w:rsid w:val="00DE5642"/>
    <w:rsid w:val="00DE5669"/>
    <w:rsid w:val="00DE56F3"/>
    <w:rsid w:val="00DE5706"/>
    <w:rsid w:val="00DE5723"/>
    <w:rsid w:val="00DE5741"/>
    <w:rsid w:val="00DE574A"/>
    <w:rsid w:val="00DE576D"/>
    <w:rsid w:val="00DE57B9"/>
    <w:rsid w:val="00DE57C0"/>
    <w:rsid w:val="00DE57D7"/>
    <w:rsid w:val="00DE57D8"/>
    <w:rsid w:val="00DE57DD"/>
    <w:rsid w:val="00DE581D"/>
    <w:rsid w:val="00DE582B"/>
    <w:rsid w:val="00DE5837"/>
    <w:rsid w:val="00DE5838"/>
    <w:rsid w:val="00DE5842"/>
    <w:rsid w:val="00DE58E2"/>
    <w:rsid w:val="00DE58F1"/>
    <w:rsid w:val="00DE5986"/>
    <w:rsid w:val="00DE59DC"/>
    <w:rsid w:val="00DE5A16"/>
    <w:rsid w:val="00DE5A99"/>
    <w:rsid w:val="00DE5AA5"/>
    <w:rsid w:val="00DE5AB5"/>
    <w:rsid w:val="00DE5B40"/>
    <w:rsid w:val="00DE5BA2"/>
    <w:rsid w:val="00DE5BA4"/>
    <w:rsid w:val="00DE5C0A"/>
    <w:rsid w:val="00DE5C3E"/>
    <w:rsid w:val="00DE5C79"/>
    <w:rsid w:val="00DE5CB8"/>
    <w:rsid w:val="00DE5CC9"/>
    <w:rsid w:val="00DE5CCA"/>
    <w:rsid w:val="00DE5D18"/>
    <w:rsid w:val="00DE5D5C"/>
    <w:rsid w:val="00DE5D5E"/>
    <w:rsid w:val="00DE5D79"/>
    <w:rsid w:val="00DE5D95"/>
    <w:rsid w:val="00DE5E21"/>
    <w:rsid w:val="00DE5E39"/>
    <w:rsid w:val="00DE5E73"/>
    <w:rsid w:val="00DE5E79"/>
    <w:rsid w:val="00DE5E8E"/>
    <w:rsid w:val="00DE5EB5"/>
    <w:rsid w:val="00DE5EFF"/>
    <w:rsid w:val="00DE5F33"/>
    <w:rsid w:val="00DE5F6A"/>
    <w:rsid w:val="00DE5F6B"/>
    <w:rsid w:val="00DE5F7B"/>
    <w:rsid w:val="00DE5F80"/>
    <w:rsid w:val="00DE5F93"/>
    <w:rsid w:val="00DE602F"/>
    <w:rsid w:val="00DE6057"/>
    <w:rsid w:val="00DE6071"/>
    <w:rsid w:val="00DE6099"/>
    <w:rsid w:val="00DE60B6"/>
    <w:rsid w:val="00DE6110"/>
    <w:rsid w:val="00DE612C"/>
    <w:rsid w:val="00DE6179"/>
    <w:rsid w:val="00DE617E"/>
    <w:rsid w:val="00DE6199"/>
    <w:rsid w:val="00DE61A5"/>
    <w:rsid w:val="00DE61CD"/>
    <w:rsid w:val="00DE620C"/>
    <w:rsid w:val="00DE6239"/>
    <w:rsid w:val="00DE624C"/>
    <w:rsid w:val="00DE6291"/>
    <w:rsid w:val="00DE62B2"/>
    <w:rsid w:val="00DE62C7"/>
    <w:rsid w:val="00DE62E8"/>
    <w:rsid w:val="00DE6318"/>
    <w:rsid w:val="00DE6341"/>
    <w:rsid w:val="00DE63A5"/>
    <w:rsid w:val="00DE63BF"/>
    <w:rsid w:val="00DE63CA"/>
    <w:rsid w:val="00DE63F4"/>
    <w:rsid w:val="00DE642F"/>
    <w:rsid w:val="00DE643C"/>
    <w:rsid w:val="00DE649A"/>
    <w:rsid w:val="00DE64B5"/>
    <w:rsid w:val="00DE64BD"/>
    <w:rsid w:val="00DE64F1"/>
    <w:rsid w:val="00DE6597"/>
    <w:rsid w:val="00DE65C0"/>
    <w:rsid w:val="00DE65D0"/>
    <w:rsid w:val="00DE6607"/>
    <w:rsid w:val="00DE6630"/>
    <w:rsid w:val="00DE669B"/>
    <w:rsid w:val="00DE66A4"/>
    <w:rsid w:val="00DE6720"/>
    <w:rsid w:val="00DE6741"/>
    <w:rsid w:val="00DE6755"/>
    <w:rsid w:val="00DE679F"/>
    <w:rsid w:val="00DE67A9"/>
    <w:rsid w:val="00DE67CD"/>
    <w:rsid w:val="00DE67E0"/>
    <w:rsid w:val="00DE680C"/>
    <w:rsid w:val="00DE682E"/>
    <w:rsid w:val="00DE685B"/>
    <w:rsid w:val="00DE6860"/>
    <w:rsid w:val="00DE6865"/>
    <w:rsid w:val="00DE689E"/>
    <w:rsid w:val="00DE68AF"/>
    <w:rsid w:val="00DE68B2"/>
    <w:rsid w:val="00DE68B3"/>
    <w:rsid w:val="00DE68D9"/>
    <w:rsid w:val="00DE68DE"/>
    <w:rsid w:val="00DE68F4"/>
    <w:rsid w:val="00DE6917"/>
    <w:rsid w:val="00DE691F"/>
    <w:rsid w:val="00DE6921"/>
    <w:rsid w:val="00DE6956"/>
    <w:rsid w:val="00DE695C"/>
    <w:rsid w:val="00DE6994"/>
    <w:rsid w:val="00DE69A5"/>
    <w:rsid w:val="00DE69B0"/>
    <w:rsid w:val="00DE6A0C"/>
    <w:rsid w:val="00DE6A90"/>
    <w:rsid w:val="00DE6AC4"/>
    <w:rsid w:val="00DE6ADE"/>
    <w:rsid w:val="00DE6B56"/>
    <w:rsid w:val="00DE6B71"/>
    <w:rsid w:val="00DE6BC8"/>
    <w:rsid w:val="00DE6BE2"/>
    <w:rsid w:val="00DE6BFD"/>
    <w:rsid w:val="00DE6C6D"/>
    <w:rsid w:val="00DE6CAA"/>
    <w:rsid w:val="00DE6CED"/>
    <w:rsid w:val="00DE6CF3"/>
    <w:rsid w:val="00DE6D49"/>
    <w:rsid w:val="00DE6D83"/>
    <w:rsid w:val="00DE6DB0"/>
    <w:rsid w:val="00DE6DDB"/>
    <w:rsid w:val="00DE6DDF"/>
    <w:rsid w:val="00DE6E15"/>
    <w:rsid w:val="00DE6E17"/>
    <w:rsid w:val="00DE6E3E"/>
    <w:rsid w:val="00DE6E80"/>
    <w:rsid w:val="00DE6E9E"/>
    <w:rsid w:val="00DE6F09"/>
    <w:rsid w:val="00DE6F7C"/>
    <w:rsid w:val="00DE6FA4"/>
    <w:rsid w:val="00DE6FC9"/>
    <w:rsid w:val="00DE6FD0"/>
    <w:rsid w:val="00DE7039"/>
    <w:rsid w:val="00DE7086"/>
    <w:rsid w:val="00DE70BC"/>
    <w:rsid w:val="00DE70DA"/>
    <w:rsid w:val="00DE70E4"/>
    <w:rsid w:val="00DE70F1"/>
    <w:rsid w:val="00DE7174"/>
    <w:rsid w:val="00DE718B"/>
    <w:rsid w:val="00DE71E2"/>
    <w:rsid w:val="00DE71FB"/>
    <w:rsid w:val="00DE7208"/>
    <w:rsid w:val="00DE724E"/>
    <w:rsid w:val="00DE72B1"/>
    <w:rsid w:val="00DE72FD"/>
    <w:rsid w:val="00DE7304"/>
    <w:rsid w:val="00DE73CE"/>
    <w:rsid w:val="00DE73D4"/>
    <w:rsid w:val="00DE73E2"/>
    <w:rsid w:val="00DE7404"/>
    <w:rsid w:val="00DE7424"/>
    <w:rsid w:val="00DE746C"/>
    <w:rsid w:val="00DE7535"/>
    <w:rsid w:val="00DE7551"/>
    <w:rsid w:val="00DE7566"/>
    <w:rsid w:val="00DE7580"/>
    <w:rsid w:val="00DE7587"/>
    <w:rsid w:val="00DE75F9"/>
    <w:rsid w:val="00DE760D"/>
    <w:rsid w:val="00DE7655"/>
    <w:rsid w:val="00DE76DF"/>
    <w:rsid w:val="00DE77B7"/>
    <w:rsid w:val="00DE77F4"/>
    <w:rsid w:val="00DE780E"/>
    <w:rsid w:val="00DE7846"/>
    <w:rsid w:val="00DE784B"/>
    <w:rsid w:val="00DE78E5"/>
    <w:rsid w:val="00DE78F8"/>
    <w:rsid w:val="00DE792C"/>
    <w:rsid w:val="00DE79A6"/>
    <w:rsid w:val="00DE79A8"/>
    <w:rsid w:val="00DE79C5"/>
    <w:rsid w:val="00DE79D0"/>
    <w:rsid w:val="00DE79D6"/>
    <w:rsid w:val="00DE7A03"/>
    <w:rsid w:val="00DE7A4C"/>
    <w:rsid w:val="00DE7A4D"/>
    <w:rsid w:val="00DE7A50"/>
    <w:rsid w:val="00DE7A57"/>
    <w:rsid w:val="00DE7B33"/>
    <w:rsid w:val="00DE7B9C"/>
    <w:rsid w:val="00DE7BAD"/>
    <w:rsid w:val="00DE7BB4"/>
    <w:rsid w:val="00DE7C0E"/>
    <w:rsid w:val="00DE7C29"/>
    <w:rsid w:val="00DE7C3B"/>
    <w:rsid w:val="00DE7C4D"/>
    <w:rsid w:val="00DE7C56"/>
    <w:rsid w:val="00DE7C70"/>
    <w:rsid w:val="00DE7C8C"/>
    <w:rsid w:val="00DE7CBB"/>
    <w:rsid w:val="00DE7CCE"/>
    <w:rsid w:val="00DE7D03"/>
    <w:rsid w:val="00DE7D04"/>
    <w:rsid w:val="00DE7D28"/>
    <w:rsid w:val="00DE7D53"/>
    <w:rsid w:val="00DE7D71"/>
    <w:rsid w:val="00DE7DA5"/>
    <w:rsid w:val="00DE7DB6"/>
    <w:rsid w:val="00DE7E0D"/>
    <w:rsid w:val="00DE7E23"/>
    <w:rsid w:val="00DE7E2A"/>
    <w:rsid w:val="00DE7EAA"/>
    <w:rsid w:val="00DE7EAF"/>
    <w:rsid w:val="00DE7F0E"/>
    <w:rsid w:val="00DE7F57"/>
    <w:rsid w:val="00DE7F5A"/>
    <w:rsid w:val="00DF0042"/>
    <w:rsid w:val="00DF0047"/>
    <w:rsid w:val="00DF008D"/>
    <w:rsid w:val="00DF009E"/>
    <w:rsid w:val="00DF00A4"/>
    <w:rsid w:val="00DF00E4"/>
    <w:rsid w:val="00DF0108"/>
    <w:rsid w:val="00DF013B"/>
    <w:rsid w:val="00DF013C"/>
    <w:rsid w:val="00DF0143"/>
    <w:rsid w:val="00DF015D"/>
    <w:rsid w:val="00DF0177"/>
    <w:rsid w:val="00DF018D"/>
    <w:rsid w:val="00DF01E7"/>
    <w:rsid w:val="00DF0374"/>
    <w:rsid w:val="00DF0391"/>
    <w:rsid w:val="00DF03B0"/>
    <w:rsid w:val="00DF03D3"/>
    <w:rsid w:val="00DF0416"/>
    <w:rsid w:val="00DF0438"/>
    <w:rsid w:val="00DF0442"/>
    <w:rsid w:val="00DF047E"/>
    <w:rsid w:val="00DF0497"/>
    <w:rsid w:val="00DF04B3"/>
    <w:rsid w:val="00DF0533"/>
    <w:rsid w:val="00DF05ED"/>
    <w:rsid w:val="00DF05F8"/>
    <w:rsid w:val="00DF062F"/>
    <w:rsid w:val="00DF0670"/>
    <w:rsid w:val="00DF06B0"/>
    <w:rsid w:val="00DF06D9"/>
    <w:rsid w:val="00DF06EA"/>
    <w:rsid w:val="00DF06F3"/>
    <w:rsid w:val="00DF06FF"/>
    <w:rsid w:val="00DF073D"/>
    <w:rsid w:val="00DF075D"/>
    <w:rsid w:val="00DF0782"/>
    <w:rsid w:val="00DF07B2"/>
    <w:rsid w:val="00DF07D0"/>
    <w:rsid w:val="00DF080C"/>
    <w:rsid w:val="00DF0841"/>
    <w:rsid w:val="00DF0889"/>
    <w:rsid w:val="00DF0896"/>
    <w:rsid w:val="00DF08A3"/>
    <w:rsid w:val="00DF08B3"/>
    <w:rsid w:val="00DF08CE"/>
    <w:rsid w:val="00DF092D"/>
    <w:rsid w:val="00DF0932"/>
    <w:rsid w:val="00DF0937"/>
    <w:rsid w:val="00DF093B"/>
    <w:rsid w:val="00DF093D"/>
    <w:rsid w:val="00DF09A7"/>
    <w:rsid w:val="00DF09E3"/>
    <w:rsid w:val="00DF0A35"/>
    <w:rsid w:val="00DF0A6D"/>
    <w:rsid w:val="00DF0AB4"/>
    <w:rsid w:val="00DF0AF6"/>
    <w:rsid w:val="00DF0B65"/>
    <w:rsid w:val="00DF0B8A"/>
    <w:rsid w:val="00DF0B8C"/>
    <w:rsid w:val="00DF0BB6"/>
    <w:rsid w:val="00DF0BE7"/>
    <w:rsid w:val="00DF0CC9"/>
    <w:rsid w:val="00DF0CE6"/>
    <w:rsid w:val="00DF0D5E"/>
    <w:rsid w:val="00DF0E3F"/>
    <w:rsid w:val="00DF0E5B"/>
    <w:rsid w:val="00DF0E8C"/>
    <w:rsid w:val="00DF0F2A"/>
    <w:rsid w:val="00DF0F4B"/>
    <w:rsid w:val="00DF0F8B"/>
    <w:rsid w:val="00DF0F98"/>
    <w:rsid w:val="00DF0FCE"/>
    <w:rsid w:val="00DF0FE3"/>
    <w:rsid w:val="00DF0FF2"/>
    <w:rsid w:val="00DF1002"/>
    <w:rsid w:val="00DF1047"/>
    <w:rsid w:val="00DF104A"/>
    <w:rsid w:val="00DF10CF"/>
    <w:rsid w:val="00DF10D4"/>
    <w:rsid w:val="00DF118F"/>
    <w:rsid w:val="00DF125A"/>
    <w:rsid w:val="00DF1282"/>
    <w:rsid w:val="00DF12AD"/>
    <w:rsid w:val="00DF12BB"/>
    <w:rsid w:val="00DF135E"/>
    <w:rsid w:val="00DF1395"/>
    <w:rsid w:val="00DF13A7"/>
    <w:rsid w:val="00DF14D4"/>
    <w:rsid w:val="00DF1564"/>
    <w:rsid w:val="00DF1566"/>
    <w:rsid w:val="00DF15D2"/>
    <w:rsid w:val="00DF161F"/>
    <w:rsid w:val="00DF1645"/>
    <w:rsid w:val="00DF1677"/>
    <w:rsid w:val="00DF16C8"/>
    <w:rsid w:val="00DF1733"/>
    <w:rsid w:val="00DF176B"/>
    <w:rsid w:val="00DF17B3"/>
    <w:rsid w:val="00DF17EC"/>
    <w:rsid w:val="00DF17F8"/>
    <w:rsid w:val="00DF1807"/>
    <w:rsid w:val="00DF181A"/>
    <w:rsid w:val="00DF183C"/>
    <w:rsid w:val="00DF183D"/>
    <w:rsid w:val="00DF188D"/>
    <w:rsid w:val="00DF18A4"/>
    <w:rsid w:val="00DF18B7"/>
    <w:rsid w:val="00DF18DA"/>
    <w:rsid w:val="00DF1901"/>
    <w:rsid w:val="00DF1917"/>
    <w:rsid w:val="00DF1947"/>
    <w:rsid w:val="00DF1985"/>
    <w:rsid w:val="00DF19B8"/>
    <w:rsid w:val="00DF19C9"/>
    <w:rsid w:val="00DF19E3"/>
    <w:rsid w:val="00DF1A39"/>
    <w:rsid w:val="00DF1A80"/>
    <w:rsid w:val="00DF1AED"/>
    <w:rsid w:val="00DF1B12"/>
    <w:rsid w:val="00DF1B14"/>
    <w:rsid w:val="00DF1B59"/>
    <w:rsid w:val="00DF1B8F"/>
    <w:rsid w:val="00DF1B90"/>
    <w:rsid w:val="00DF1BB8"/>
    <w:rsid w:val="00DF1C58"/>
    <w:rsid w:val="00DF1C77"/>
    <w:rsid w:val="00DF1C95"/>
    <w:rsid w:val="00DF1CA4"/>
    <w:rsid w:val="00DF1CD0"/>
    <w:rsid w:val="00DF1CD8"/>
    <w:rsid w:val="00DF1CF1"/>
    <w:rsid w:val="00DF1D2F"/>
    <w:rsid w:val="00DF1D35"/>
    <w:rsid w:val="00DF1D54"/>
    <w:rsid w:val="00DF1D59"/>
    <w:rsid w:val="00DF1D63"/>
    <w:rsid w:val="00DF1D92"/>
    <w:rsid w:val="00DF1D9C"/>
    <w:rsid w:val="00DF1DC3"/>
    <w:rsid w:val="00DF1DC4"/>
    <w:rsid w:val="00DF1DFC"/>
    <w:rsid w:val="00DF1DFF"/>
    <w:rsid w:val="00DF1E03"/>
    <w:rsid w:val="00DF1EAC"/>
    <w:rsid w:val="00DF1EFB"/>
    <w:rsid w:val="00DF1EFC"/>
    <w:rsid w:val="00DF1F00"/>
    <w:rsid w:val="00DF1F08"/>
    <w:rsid w:val="00DF1F88"/>
    <w:rsid w:val="00DF1FC3"/>
    <w:rsid w:val="00DF1FE3"/>
    <w:rsid w:val="00DF2043"/>
    <w:rsid w:val="00DF204D"/>
    <w:rsid w:val="00DF2052"/>
    <w:rsid w:val="00DF20AE"/>
    <w:rsid w:val="00DF20D3"/>
    <w:rsid w:val="00DF20F9"/>
    <w:rsid w:val="00DF211E"/>
    <w:rsid w:val="00DF2133"/>
    <w:rsid w:val="00DF2134"/>
    <w:rsid w:val="00DF2138"/>
    <w:rsid w:val="00DF2178"/>
    <w:rsid w:val="00DF2185"/>
    <w:rsid w:val="00DF218C"/>
    <w:rsid w:val="00DF21A5"/>
    <w:rsid w:val="00DF2214"/>
    <w:rsid w:val="00DF22A8"/>
    <w:rsid w:val="00DF22C5"/>
    <w:rsid w:val="00DF2307"/>
    <w:rsid w:val="00DF2337"/>
    <w:rsid w:val="00DF238A"/>
    <w:rsid w:val="00DF239B"/>
    <w:rsid w:val="00DF23C7"/>
    <w:rsid w:val="00DF23CB"/>
    <w:rsid w:val="00DF240E"/>
    <w:rsid w:val="00DF2433"/>
    <w:rsid w:val="00DF24D7"/>
    <w:rsid w:val="00DF2504"/>
    <w:rsid w:val="00DF2505"/>
    <w:rsid w:val="00DF2510"/>
    <w:rsid w:val="00DF2568"/>
    <w:rsid w:val="00DF2576"/>
    <w:rsid w:val="00DF258D"/>
    <w:rsid w:val="00DF25E9"/>
    <w:rsid w:val="00DF25FE"/>
    <w:rsid w:val="00DF2615"/>
    <w:rsid w:val="00DF2629"/>
    <w:rsid w:val="00DF2684"/>
    <w:rsid w:val="00DF269D"/>
    <w:rsid w:val="00DF26A3"/>
    <w:rsid w:val="00DF26B7"/>
    <w:rsid w:val="00DF26EF"/>
    <w:rsid w:val="00DF2723"/>
    <w:rsid w:val="00DF2725"/>
    <w:rsid w:val="00DF275B"/>
    <w:rsid w:val="00DF2762"/>
    <w:rsid w:val="00DF2763"/>
    <w:rsid w:val="00DF2775"/>
    <w:rsid w:val="00DF278F"/>
    <w:rsid w:val="00DF279A"/>
    <w:rsid w:val="00DF279E"/>
    <w:rsid w:val="00DF27AD"/>
    <w:rsid w:val="00DF2855"/>
    <w:rsid w:val="00DF29A6"/>
    <w:rsid w:val="00DF2A42"/>
    <w:rsid w:val="00DF2AB0"/>
    <w:rsid w:val="00DF2B2C"/>
    <w:rsid w:val="00DF2B47"/>
    <w:rsid w:val="00DF2B9A"/>
    <w:rsid w:val="00DF2BDD"/>
    <w:rsid w:val="00DF2BEA"/>
    <w:rsid w:val="00DF2C10"/>
    <w:rsid w:val="00DF2C8B"/>
    <w:rsid w:val="00DF2D7C"/>
    <w:rsid w:val="00DF2D9E"/>
    <w:rsid w:val="00DF2DA7"/>
    <w:rsid w:val="00DF2DB7"/>
    <w:rsid w:val="00DF2DE0"/>
    <w:rsid w:val="00DF2E01"/>
    <w:rsid w:val="00DF2E1C"/>
    <w:rsid w:val="00DF2E1E"/>
    <w:rsid w:val="00DF2E4E"/>
    <w:rsid w:val="00DF2E59"/>
    <w:rsid w:val="00DF2E5D"/>
    <w:rsid w:val="00DF2EE1"/>
    <w:rsid w:val="00DF2F78"/>
    <w:rsid w:val="00DF2F79"/>
    <w:rsid w:val="00DF2FBE"/>
    <w:rsid w:val="00DF2FC1"/>
    <w:rsid w:val="00DF3022"/>
    <w:rsid w:val="00DF30D6"/>
    <w:rsid w:val="00DF3103"/>
    <w:rsid w:val="00DF3160"/>
    <w:rsid w:val="00DF318C"/>
    <w:rsid w:val="00DF31E9"/>
    <w:rsid w:val="00DF3214"/>
    <w:rsid w:val="00DF321B"/>
    <w:rsid w:val="00DF3259"/>
    <w:rsid w:val="00DF328A"/>
    <w:rsid w:val="00DF32BE"/>
    <w:rsid w:val="00DF32CD"/>
    <w:rsid w:val="00DF32D5"/>
    <w:rsid w:val="00DF32DC"/>
    <w:rsid w:val="00DF32E9"/>
    <w:rsid w:val="00DF330D"/>
    <w:rsid w:val="00DF3339"/>
    <w:rsid w:val="00DF3355"/>
    <w:rsid w:val="00DF33AD"/>
    <w:rsid w:val="00DF33DA"/>
    <w:rsid w:val="00DF33DE"/>
    <w:rsid w:val="00DF3412"/>
    <w:rsid w:val="00DF3417"/>
    <w:rsid w:val="00DF3424"/>
    <w:rsid w:val="00DF344D"/>
    <w:rsid w:val="00DF345A"/>
    <w:rsid w:val="00DF3499"/>
    <w:rsid w:val="00DF34AA"/>
    <w:rsid w:val="00DF355D"/>
    <w:rsid w:val="00DF35CB"/>
    <w:rsid w:val="00DF35F7"/>
    <w:rsid w:val="00DF3602"/>
    <w:rsid w:val="00DF3617"/>
    <w:rsid w:val="00DF368D"/>
    <w:rsid w:val="00DF36A5"/>
    <w:rsid w:val="00DF36B3"/>
    <w:rsid w:val="00DF36C5"/>
    <w:rsid w:val="00DF3714"/>
    <w:rsid w:val="00DF3745"/>
    <w:rsid w:val="00DF37C3"/>
    <w:rsid w:val="00DF37D0"/>
    <w:rsid w:val="00DF3808"/>
    <w:rsid w:val="00DF3839"/>
    <w:rsid w:val="00DF385E"/>
    <w:rsid w:val="00DF3878"/>
    <w:rsid w:val="00DF389C"/>
    <w:rsid w:val="00DF38A0"/>
    <w:rsid w:val="00DF38B9"/>
    <w:rsid w:val="00DF38E0"/>
    <w:rsid w:val="00DF3927"/>
    <w:rsid w:val="00DF3944"/>
    <w:rsid w:val="00DF3969"/>
    <w:rsid w:val="00DF397A"/>
    <w:rsid w:val="00DF3981"/>
    <w:rsid w:val="00DF3996"/>
    <w:rsid w:val="00DF39A3"/>
    <w:rsid w:val="00DF39B4"/>
    <w:rsid w:val="00DF39F1"/>
    <w:rsid w:val="00DF3A4C"/>
    <w:rsid w:val="00DF3AAE"/>
    <w:rsid w:val="00DF3B1F"/>
    <w:rsid w:val="00DF3B71"/>
    <w:rsid w:val="00DF3BA1"/>
    <w:rsid w:val="00DF3BE3"/>
    <w:rsid w:val="00DF3BFF"/>
    <w:rsid w:val="00DF3CD0"/>
    <w:rsid w:val="00DF3CE0"/>
    <w:rsid w:val="00DF3CF0"/>
    <w:rsid w:val="00DF3D06"/>
    <w:rsid w:val="00DF3D6B"/>
    <w:rsid w:val="00DF3DF6"/>
    <w:rsid w:val="00DF3E00"/>
    <w:rsid w:val="00DF3E0A"/>
    <w:rsid w:val="00DF3E10"/>
    <w:rsid w:val="00DF3E46"/>
    <w:rsid w:val="00DF3EC0"/>
    <w:rsid w:val="00DF3F8E"/>
    <w:rsid w:val="00DF3F99"/>
    <w:rsid w:val="00DF3F9D"/>
    <w:rsid w:val="00DF3FF7"/>
    <w:rsid w:val="00DF4023"/>
    <w:rsid w:val="00DF403F"/>
    <w:rsid w:val="00DF405C"/>
    <w:rsid w:val="00DF410B"/>
    <w:rsid w:val="00DF414A"/>
    <w:rsid w:val="00DF415E"/>
    <w:rsid w:val="00DF4169"/>
    <w:rsid w:val="00DF416F"/>
    <w:rsid w:val="00DF4259"/>
    <w:rsid w:val="00DF429A"/>
    <w:rsid w:val="00DF42D4"/>
    <w:rsid w:val="00DF42E1"/>
    <w:rsid w:val="00DF4308"/>
    <w:rsid w:val="00DF4317"/>
    <w:rsid w:val="00DF4318"/>
    <w:rsid w:val="00DF432E"/>
    <w:rsid w:val="00DF435A"/>
    <w:rsid w:val="00DF436D"/>
    <w:rsid w:val="00DF439F"/>
    <w:rsid w:val="00DF43A2"/>
    <w:rsid w:val="00DF43B4"/>
    <w:rsid w:val="00DF43B9"/>
    <w:rsid w:val="00DF43E0"/>
    <w:rsid w:val="00DF4417"/>
    <w:rsid w:val="00DF4433"/>
    <w:rsid w:val="00DF4442"/>
    <w:rsid w:val="00DF4455"/>
    <w:rsid w:val="00DF44BE"/>
    <w:rsid w:val="00DF44F7"/>
    <w:rsid w:val="00DF4506"/>
    <w:rsid w:val="00DF4522"/>
    <w:rsid w:val="00DF45B4"/>
    <w:rsid w:val="00DF4658"/>
    <w:rsid w:val="00DF466C"/>
    <w:rsid w:val="00DF4688"/>
    <w:rsid w:val="00DF46A1"/>
    <w:rsid w:val="00DF46FE"/>
    <w:rsid w:val="00DF4745"/>
    <w:rsid w:val="00DF4777"/>
    <w:rsid w:val="00DF481E"/>
    <w:rsid w:val="00DF483E"/>
    <w:rsid w:val="00DF4852"/>
    <w:rsid w:val="00DF4880"/>
    <w:rsid w:val="00DF4892"/>
    <w:rsid w:val="00DF4895"/>
    <w:rsid w:val="00DF48A1"/>
    <w:rsid w:val="00DF48CB"/>
    <w:rsid w:val="00DF48E5"/>
    <w:rsid w:val="00DF496F"/>
    <w:rsid w:val="00DF4978"/>
    <w:rsid w:val="00DF49CC"/>
    <w:rsid w:val="00DF49DF"/>
    <w:rsid w:val="00DF49FE"/>
    <w:rsid w:val="00DF4A24"/>
    <w:rsid w:val="00DF4A5A"/>
    <w:rsid w:val="00DF4AE1"/>
    <w:rsid w:val="00DF4AFC"/>
    <w:rsid w:val="00DF4B70"/>
    <w:rsid w:val="00DF4BD8"/>
    <w:rsid w:val="00DF4C13"/>
    <w:rsid w:val="00DF4C5A"/>
    <w:rsid w:val="00DF4C75"/>
    <w:rsid w:val="00DF4CA4"/>
    <w:rsid w:val="00DF4CF4"/>
    <w:rsid w:val="00DF4D06"/>
    <w:rsid w:val="00DF4D0D"/>
    <w:rsid w:val="00DF4D45"/>
    <w:rsid w:val="00DF4D46"/>
    <w:rsid w:val="00DF4D68"/>
    <w:rsid w:val="00DF4D70"/>
    <w:rsid w:val="00DF4DDE"/>
    <w:rsid w:val="00DF4E7D"/>
    <w:rsid w:val="00DF4F90"/>
    <w:rsid w:val="00DF4FA4"/>
    <w:rsid w:val="00DF4FD1"/>
    <w:rsid w:val="00DF4FE6"/>
    <w:rsid w:val="00DF5061"/>
    <w:rsid w:val="00DF5080"/>
    <w:rsid w:val="00DF50B0"/>
    <w:rsid w:val="00DF5100"/>
    <w:rsid w:val="00DF514A"/>
    <w:rsid w:val="00DF5156"/>
    <w:rsid w:val="00DF515A"/>
    <w:rsid w:val="00DF515B"/>
    <w:rsid w:val="00DF51A0"/>
    <w:rsid w:val="00DF51A9"/>
    <w:rsid w:val="00DF51C6"/>
    <w:rsid w:val="00DF5227"/>
    <w:rsid w:val="00DF5234"/>
    <w:rsid w:val="00DF5236"/>
    <w:rsid w:val="00DF5240"/>
    <w:rsid w:val="00DF5252"/>
    <w:rsid w:val="00DF526D"/>
    <w:rsid w:val="00DF5276"/>
    <w:rsid w:val="00DF530F"/>
    <w:rsid w:val="00DF534F"/>
    <w:rsid w:val="00DF5354"/>
    <w:rsid w:val="00DF5382"/>
    <w:rsid w:val="00DF538E"/>
    <w:rsid w:val="00DF53FA"/>
    <w:rsid w:val="00DF5417"/>
    <w:rsid w:val="00DF5423"/>
    <w:rsid w:val="00DF5441"/>
    <w:rsid w:val="00DF5511"/>
    <w:rsid w:val="00DF5519"/>
    <w:rsid w:val="00DF551D"/>
    <w:rsid w:val="00DF5529"/>
    <w:rsid w:val="00DF5551"/>
    <w:rsid w:val="00DF5569"/>
    <w:rsid w:val="00DF5580"/>
    <w:rsid w:val="00DF558E"/>
    <w:rsid w:val="00DF558F"/>
    <w:rsid w:val="00DF5598"/>
    <w:rsid w:val="00DF55A4"/>
    <w:rsid w:val="00DF5601"/>
    <w:rsid w:val="00DF5608"/>
    <w:rsid w:val="00DF562B"/>
    <w:rsid w:val="00DF56A6"/>
    <w:rsid w:val="00DF5733"/>
    <w:rsid w:val="00DF5734"/>
    <w:rsid w:val="00DF5761"/>
    <w:rsid w:val="00DF578A"/>
    <w:rsid w:val="00DF57DC"/>
    <w:rsid w:val="00DF5895"/>
    <w:rsid w:val="00DF589D"/>
    <w:rsid w:val="00DF58A1"/>
    <w:rsid w:val="00DF58ED"/>
    <w:rsid w:val="00DF598E"/>
    <w:rsid w:val="00DF59C3"/>
    <w:rsid w:val="00DF5A35"/>
    <w:rsid w:val="00DF5A42"/>
    <w:rsid w:val="00DF5AA0"/>
    <w:rsid w:val="00DF5ACD"/>
    <w:rsid w:val="00DF5B79"/>
    <w:rsid w:val="00DF5BAA"/>
    <w:rsid w:val="00DF5BD8"/>
    <w:rsid w:val="00DF5C03"/>
    <w:rsid w:val="00DF5C67"/>
    <w:rsid w:val="00DF5C73"/>
    <w:rsid w:val="00DF5CA2"/>
    <w:rsid w:val="00DF5CA5"/>
    <w:rsid w:val="00DF5CB2"/>
    <w:rsid w:val="00DF5D17"/>
    <w:rsid w:val="00DF5DAC"/>
    <w:rsid w:val="00DF5DBE"/>
    <w:rsid w:val="00DF5DFC"/>
    <w:rsid w:val="00DF5DFF"/>
    <w:rsid w:val="00DF5E00"/>
    <w:rsid w:val="00DF5E33"/>
    <w:rsid w:val="00DF5E6E"/>
    <w:rsid w:val="00DF5EE6"/>
    <w:rsid w:val="00DF5EEE"/>
    <w:rsid w:val="00DF5F48"/>
    <w:rsid w:val="00DF5F52"/>
    <w:rsid w:val="00DF5FF2"/>
    <w:rsid w:val="00DF5FF3"/>
    <w:rsid w:val="00DF6000"/>
    <w:rsid w:val="00DF6062"/>
    <w:rsid w:val="00DF6071"/>
    <w:rsid w:val="00DF6140"/>
    <w:rsid w:val="00DF6184"/>
    <w:rsid w:val="00DF61C7"/>
    <w:rsid w:val="00DF620D"/>
    <w:rsid w:val="00DF625D"/>
    <w:rsid w:val="00DF6292"/>
    <w:rsid w:val="00DF62CE"/>
    <w:rsid w:val="00DF6396"/>
    <w:rsid w:val="00DF641C"/>
    <w:rsid w:val="00DF6446"/>
    <w:rsid w:val="00DF6460"/>
    <w:rsid w:val="00DF64DA"/>
    <w:rsid w:val="00DF6582"/>
    <w:rsid w:val="00DF65F0"/>
    <w:rsid w:val="00DF660D"/>
    <w:rsid w:val="00DF6686"/>
    <w:rsid w:val="00DF66C8"/>
    <w:rsid w:val="00DF66CE"/>
    <w:rsid w:val="00DF674D"/>
    <w:rsid w:val="00DF6777"/>
    <w:rsid w:val="00DF679E"/>
    <w:rsid w:val="00DF6813"/>
    <w:rsid w:val="00DF6816"/>
    <w:rsid w:val="00DF6824"/>
    <w:rsid w:val="00DF68C0"/>
    <w:rsid w:val="00DF68F4"/>
    <w:rsid w:val="00DF6927"/>
    <w:rsid w:val="00DF6934"/>
    <w:rsid w:val="00DF6966"/>
    <w:rsid w:val="00DF69A2"/>
    <w:rsid w:val="00DF69B3"/>
    <w:rsid w:val="00DF6A5A"/>
    <w:rsid w:val="00DF6A93"/>
    <w:rsid w:val="00DF6AB3"/>
    <w:rsid w:val="00DF6AC4"/>
    <w:rsid w:val="00DF6AC5"/>
    <w:rsid w:val="00DF6B07"/>
    <w:rsid w:val="00DF6BEE"/>
    <w:rsid w:val="00DF6BF7"/>
    <w:rsid w:val="00DF6CBF"/>
    <w:rsid w:val="00DF6CCF"/>
    <w:rsid w:val="00DF6CE3"/>
    <w:rsid w:val="00DF6D0C"/>
    <w:rsid w:val="00DF6D2D"/>
    <w:rsid w:val="00DF6D9A"/>
    <w:rsid w:val="00DF6DA2"/>
    <w:rsid w:val="00DF6DC4"/>
    <w:rsid w:val="00DF6DC5"/>
    <w:rsid w:val="00DF6DDC"/>
    <w:rsid w:val="00DF6DFB"/>
    <w:rsid w:val="00DF6E13"/>
    <w:rsid w:val="00DF6E5D"/>
    <w:rsid w:val="00DF6E91"/>
    <w:rsid w:val="00DF6EAB"/>
    <w:rsid w:val="00DF6EB4"/>
    <w:rsid w:val="00DF6EDE"/>
    <w:rsid w:val="00DF6F03"/>
    <w:rsid w:val="00DF6F13"/>
    <w:rsid w:val="00DF6F50"/>
    <w:rsid w:val="00DF6F61"/>
    <w:rsid w:val="00DF6F87"/>
    <w:rsid w:val="00DF6FA0"/>
    <w:rsid w:val="00DF6FF3"/>
    <w:rsid w:val="00DF700F"/>
    <w:rsid w:val="00DF702B"/>
    <w:rsid w:val="00DF7045"/>
    <w:rsid w:val="00DF70B6"/>
    <w:rsid w:val="00DF7174"/>
    <w:rsid w:val="00DF7192"/>
    <w:rsid w:val="00DF7194"/>
    <w:rsid w:val="00DF71B6"/>
    <w:rsid w:val="00DF71CE"/>
    <w:rsid w:val="00DF71CF"/>
    <w:rsid w:val="00DF7225"/>
    <w:rsid w:val="00DF7334"/>
    <w:rsid w:val="00DF73D1"/>
    <w:rsid w:val="00DF73F5"/>
    <w:rsid w:val="00DF73FB"/>
    <w:rsid w:val="00DF7402"/>
    <w:rsid w:val="00DF7415"/>
    <w:rsid w:val="00DF7419"/>
    <w:rsid w:val="00DF743C"/>
    <w:rsid w:val="00DF745B"/>
    <w:rsid w:val="00DF7460"/>
    <w:rsid w:val="00DF7474"/>
    <w:rsid w:val="00DF7485"/>
    <w:rsid w:val="00DF74F4"/>
    <w:rsid w:val="00DF74FC"/>
    <w:rsid w:val="00DF7501"/>
    <w:rsid w:val="00DF7509"/>
    <w:rsid w:val="00DF7588"/>
    <w:rsid w:val="00DF75B6"/>
    <w:rsid w:val="00DF7614"/>
    <w:rsid w:val="00DF763A"/>
    <w:rsid w:val="00DF7657"/>
    <w:rsid w:val="00DF766E"/>
    <w:rsid w:val="00DF7695"/>
    <w:rsid w:val="00DF76A7"/>
    <w:rsid w:val="00DF770B"/>
    <w:rsid w:val="00DF77AC"/>
    <w:rsid w:val="00DF77C7"/>
    <w:rsid w:val="00DF787A"/>
    <w:rsid w:val="00DF791A"/>
    <w:rsid w:val="00DF794F"/>
    <w:rsid w:val="00DF797F"/>
    <w:rsid w:val="00DF79D4"/>
    <w:rsid w:val="00DF79F2"/>
    <w:rsid w:val="00DF7A04"/>
    <w:rsid w:val="00DF7A38"/>
    <w:rsid w:val="00DF7A50"/>
    <w:rsid w:val="00DF7A67"/>
    <w:rsid w:val="00DF7AE0"/>
    <w:rsid w:val="00DF7AEA"/>
    <w:rsid w:val="00DF7B3D"/>
    <w:rsid w:val="00DF7B8F"/>
    <w:rsid w:val="00DF7BC2"/>
    <w:rsid w:val="00DF7BE9"/>
    <w:rsid w:val="00DF7C7A"/>
    <w:rsid w:val="00DF7CBD"/>
    <w:rsid w:val="00DF7D10"/>
    <w:rsid w:val="00DF7DA6"/>
    <w:rsid w:val="00DF7DB4"/>
    <w:rsid w:val="00DF7E0A"/>
    <w:rsid w:val="00DF7E19"/>
    <w:rsid w:val="00DF7E4A"/>
    <w:rsid w:val="00DF7E64"/>
    <w:rsid w:val="00DF7E9C"/>
    <w:rsid w:val="00DF7EA7"/>
    <w:rsid w:val="00DF7EAF"/>
    <w:rsid w:val="00DF7F1B"/>
    <w:rsid w:val="00DF7F3D"/>
    <w:rsid w:val="00DF7F60"/>
    <w:rsid w:val="00DF7F94"/>
    <w:rsid w:val="00E00010"/>
    <w:rsid w:val="00E00027"/>
    <w:rsid w:val="00E0003F"/>
    <w:rsid w:val="00E00064"/>
    <w:rsid w:val="00E0007F"/>
    <w:rsid w:val="00E000B5"/>
    <w:rsid w:val="00E000E9"/>
    <w:rsid w:val="00E00118"/>
    <w:rsid w:val="00E0012D"/>
    <w:rsid w:val="00E00182"/>
    <w:rsid w:val="00E0019B"/>
    <w:rsid w:val="00E001A3"/>
    <w:rsid w:val="00E00254"/>
    <w:rsid w:val="00E0025C"/>
    <w:rsid w:val="00E00261"/>
    <w:rsid w:val="00E0026A"/>
    <w:rsid w:val="00E00301"/>
    <w:rsid w:val="00E00302"/>
    <w:rsid w:val="00E00381"/>
    <w:rsid w:val="00E0038B"/>
    <w:rsid w:val="00E0039A"/>
    <w:rsid w:val="00E003D0"/>
    <w:rsid w:val="00E00428"/>
    <w:rsid w:val="00E004E4"/>
    <w:rsid w:val="00E00561"/>
    <w:rsid w:val="00E0056D"/>
    <w:rsid w:val="00E00585"/>
    <w:rsid w:val="00E00586"/>
    <w:rsid w:val="00E00594"/>
    <w:rsid w:val="00E005C3"/>
    <w:rsid w:val="00E005C4"/>
    <w:rsid w:val="00E00621"/>
    <w:rsid w:val="00E00689"/>
    <w:rsid w:val="00E006DE"/>
    <w:rsid w:val="00E00776"/>
    <w:rsid w:val="00E0077D"/>
    <w:rsid w:val="00E007A0"/>
    <w:rsid w:val="00E007A9"/>
    <w:rsid w:val="00E007AD"/>
    <w:rsid w:val="00E0087C"/>
    <w:rsid w:val="00E008C1"/>
    <w:rsid w:val="00E008EC"/>
    <w:rsid w:val="00E00977"/>
    <w:rsid w:val="00E0097B"/>
    <w:rsid w:val="00E009EA"/>
    <w:rsid w:val="00E00A0F"/>
    <w:rsid w:val="00E00A6A"/>
    <w:rsid w:val="00E00AAF"/>
    <w:rsid w:val="00E00AB8"/>
    <w:rsid w:val="00E00AC7"/>
    <w:rsid w:val="00E00AE1"/>
    <w:rsid w:val="00E00B03"/>
    <w:rsid w:val="00E00B2A"/>
    <w:rsid w:val="00E00B3E"/>
    <w:rsid w:val="00E00B4A"/>
    <w:rsid w:val="00E00B78"/>
    <w:rsid w:val="00E00B96"/>
    <w:rsid w:val="00E00BAE"/>
    <w:rsid w:val="00E00BE9"/>
    <w:rsid w:val="00E00BF5"/>
    <w:rsid w:val="00E00C35"/>
    <w:rsid w:val="00E00C3A"/>
    <w:rsid w:val="00E00C49"/>
    <w:rsid w:val="00E00C77"/>
    <w:rsid w:val="00E00C9A"/>
    <w:rsid w:val="00E00CA7"/>
    <w:rsid w:val="00E00CD9"/>
    <w:rsid w:val="00E00CE4"/>
    <w:rsid w:val="00E00D08"/>
    <w:rsid w:val="00E00D14"/>
    <w:rsid w:val="00E00D33"/>
    <w:rsid w:val="00E00DFF"/>
    <w:rsid w:val="00E00E08"/>
    <w:rsid w:val="00E00E9F"/>
    <w:rsid w:val="00E00EF2"/>
    <w:rsid w:val="00E00F0B"/>
    <w:rsid w:val="00E00F1B"/>
    <w:rsid w:val="00E01022"/>
    <w:rsid w:val="00E01024"/>
    <w:rsid w:val="00E0104A"/>
    <w:rsid w:val="00E0107B"/>
    <w:rsid w:val="00E0107F"/>
    <w:rsid w:val="00E010A8"/>
    <w:rsid w:val="00E010B8"/>
    <w:rsid w:val="00E010DD"/>
    <w:rsid w:val="00E0111C"/>
    <w:rsid w:val="00E0115E"/>
    <w:rsid w:val="00E01163"/>
    <w:rsid w:val="00E011E3"/>
    <w:rsid w:val="00E0120B"/>
    <w:rsid w:val="00E01275"/>
    <w:rsid w:val="00E0128D"/>
    <w:rsid w:val="00E012A3"/>
    <w:rsid w:val="00E012AB"/>
    <w:rsid w:val="00E012CB"/>
    <w:rsid w:val="00E012CC"/>
    <w:rsid w:val="00E01309"/>
    <w:rsid w:val="00E0130E"/>
    <w:rsid w:val="00E01313"/>
    <w:rsid w:val="00E01314"/>
    <w:rsid w:val="00E01322"/>
    <w:rsid w:val="00E0134B"/>
    <w:rsid w:val="00E01368"/>
    <w:rsid w:val="00E01387"/>
    <w:rsid w:val="00E013BC"/>
    <w:rsid w:val="00E01401"/>
    <w:rsid w:val="00E01406"/>
    <w:rsid w:val="00E01475"/>
    <w:rsid w:val="00E014F3"/>
    <w:rsid w:val="00E014FC"/>
    <w:rsid w:val="00E0150D"/>
    <w:rsid w:val="00E01519"/>
    <w:rsid w:val="00E01587"/>
    <w:rsid w:val="00E01592"/>
    <w:rsid w:val="00E015C2"/>
    <w:rsid w:val="00E015D0"/>
    <w:rsid w:val="00E01622"/>
    <w:rsid w:val="00E0162C"/>
    <w:rsid w:val="00E01655"/>
    <w:rsid w:val="00E01694"/>
    <w:rsid w:val="00E01705"/>
    <w:rsid w:val="00E0170A"/>
    <w:rsid w:val="00E01720"/>
    <w:rsid w:val="00E01765"/>
    <w:rsid w:val="00E017AA"/>
    <w:rsid w:val="00E017B5"/>
    <w:rsid w:val="00E017C6"/>
    <w:rsid w:val="00E018E7"/>
    <w:rsid w:val="00E0190F"/>
    <w:rsid w:val="00E019DD"/>
    <w:rsid w:val="00E019EB"/>
    <w:rsid w:val="00E01A5E"/>
    <w:rsid w:val="00E01A64"/>
    <w:rsid w:val="00E01AC0"/>
    <w:rsid w:val="00E01B4E"/>
    <w:rsid w:val="00E01B7B"/>
    <w:rsid w:val="00E01B84"/>
    <w:rsid w:val="00E01BB5"/>
    <w:rsid w:val="00E01C49"/>
    <w:rsid w:val="00E01C6C"/>
    <w:rsid w:val="00E01C76"/>
    <w:rsid w:val="00E01C81"/>
    <w:rsid w:val="00E01CE2"/>
    <w:rsid w:val="00E01D25"/>
    <w:rsid w:val="00E01D8F"/>
    <w:rsid w:val="00E01D98"/>
    <w:rsid w:val="00E01E10"/>
    <w:rsid w:val="00E01E1E"/>
    <w:rsid w:val="00E01E90"/>
    <w:rsid w:val="00E01EDA"/>
    <w:rsid w:val="00E01F02"/>
    <w:rsid w:val="00E01F37"/>
    <w:rsid w:val="00E01F5D"/>
    <w:rsid w:val="00E01FB7"/>
    <w:rsid w:val="00E01FC5"/>
    <w:rsid w:val="00E0204F"/>
    <w:rsid w:val="00E02072"/>
    <w:rsid w:val="00E020AE"/>
    <w:rsid w:val="00E020EC"/>
    <w:rsid w:val="00E02161"/>
    <w:rsid w:val="00E0222A"/>
    <w:rsid w:val="00E0228E"/>
    <w:rsid w:val="00E022A6"/>
    <w:rsid w:val="00E022B7"/>
    <w:rsid w:val="00E02308"/>
    <w:rsid w:val="00E0231F"/>
    <w:rsid w:val="00E02337"/>
    <w:rsid w:val="00E02361"/>
    <w:rsid w:val="00E0239D"/>
    <w:rsid w:val="00E023B7"/>
    <w:rsid w:val="00E023DA"/>
    <w:rsid w:val="00E02432"/>
    <w:rsid w:val="00E0244D"/>
    <w:rsid w:val="00E02477"/>
    <w:rsid w:val="00E024A7"/>
    <w:rsid w:val="00E024D9"/>
    <w:rsid w:val="00E0251D"/>
    <w:rsid w:val="00E0252F"/>
    <w:rsid w:val="00E02555"/>
    <w:rsid w:val="00E02599"/>
    <w:rsid w:val="00E025AE"/>
    <w:rsid w:val="00E02604"/>
    <w:rsid w:val="00E0261C"/>
    <w:rsid w:val="00E0264E"/>
    <w:rsid w:val="00E02650"/>
    <w:rsid w:val="00E0266C"/>
    <w:rsid w:val="00E026AF"/>
    <w:rsid w:val="00E026B0"/>
    <w:rsid w:val="00E026BA"/>
    <w:rsid w:val="00E026D2"/>
    <w:rsid w:val="00E026D7"/>
    <w:rsid w:val="00E026F8"/>
    <w:rsid w:val="00E0273B"/>
    <w:rsid w:val="00E02770"/>
    <w:rsid w:val="00E0277C"/>
    <w:rsid w:val="00E02787"/>
    <w:rsid w:val="00E027E1"/>
    <w:rsid w:val="00E02814"/>
    <w:rsid w:val="00E02817"/>
    <w:rsid w:val="00E02866"/>
    <w:rsid w:val="00E028A0"/>
    <w:rsid w:val="00E028E5"/>
    <w:rsid w:val="00E02907"/>
    <w:rsid w:val="00E0294B"/>
    <w:rsid w:val="00E029BD"/>
    <w:rsid w:val="00E029C9"/>
    <w:rsid w:val="00E029E7"/>
    <w:rsid w:val="00E02A24"/>
    <w:rsid w:val="00E02A26"/>
    <w:rsid w:val="00E02A38"/>
    <w:rsid w:val="00E02A41"/>
    <w:rsid w:val="00E02A46"/>
    <w:rsid w:val="00E02A50"/>
    <w:rsid w:val="00E02AED"/>
    <w:rsid w:val="00E02BB3"/>
    <w:rsid w:val="00E02BBE"/>
    <w:rsid w:val="00E02C1D"/>
    <w:rsid w:val="00E02C62"/>
    <w:rsid w:val="00E02C77"/>
    <w:rsid w:val="00E02CE2"/>
    <w:rsid w:val="00E02D14"/>
    <w:rsid w:val="00E02D20"/>
    <w:rsid w:val="00E02D2A"/>
    <w:rsid w:val="00E02D5E"/>
    <w:rsid w:val="00E02E00"/>
    <w:rsid w:val="00E02E3C"/>
    <w:rsid w:val="00E02E90"/>
    <w:rsid w:val="00E02F17"/>
    <w:rsid w:val="00E02F4F"/>
    <w:rsid w:val="00E02F66"/>
    <w:rsid w:val="00E02F7D"/>
    <w:rsid w:val="00E02F83"/>
    <w:rsid w:val="00E02FEB"/>
    <w:rsid w:val="00E0305D"/>
    <w:rsid w:val="00E030C0"/>
    <w:rsid w:val="00E030C1"/>
    <w:rsid w:val="00E030F6"/>
    <w:rsid w:val="00E030F9"/>
    <w:rsid w:val="00E0313A"/>
    <w:rsid w:val="00E0315D"/>
    <w:rsid w:val="00E0316F"/>
    <w:rsid w:val="00E03179"/>
    <w:rsid w:val="00E03182"/>
    <w:rsid w:val="00E0319E"/>
    <w:rsid w:val="00E03211"/>
    <w:rsid w:val="00E03230"/>
    <w:rsid w:val="00E03266"/>
    <w:rsid w:val="00E032C6"/>
    <w:rsid w:val="00E032CA"/>
    <w:rsid w:val="00E032D7"/>
    <w:rsid w:val="00E032F3"/>
    <w:rsid w:val="00E03316"/>
    <w:rsid w:val="00E03388"/>
    <w:rsid w:val="00E033AD"/>
    <w:rsid w:val="00E033E0"/>
    <w:rsid w:val="00E033E1"/>
    <w:rsid w:val="00E033E6"/>
    <w:rsid w:val="00E034D2"/>
    <w:rsid w:val="00E034E2"/>
    <w:rsid w:val="00E03521"/>
    <w:rsid w:val="00E03573"/>
    <w:rsid w:val="00E03577"/>
    <w:rsid w:val="00E035A6"/>
    <w:rsid w:val="00E035A8"/>
    <w:rsid w:val="00E035B7"/>
    <w:rsid w:val="00E035B8"/>
    <w:rsid w:val="00E035D8"/>
    <w:rsid w:val="00E035DD"/>
    <w:rsid w:val="00E035E9"/>
    <w:rsid w:val="00E035F1"/>
    <w:rsid w:val="00E03609"/>
    <w:rsid w:val="00E03629"/>
    <w:rsid w:val="00E0369D"/>
    <w:rsid w:val="00E036BE"/>
    <w:rsid w:val="00E036CA"/>
    <w:rsid w:val="00E036E6"/>
    <w:rsid w:val="00E03716"/>
    <w:rsid w:val="00E0376D"/>
    <w:rsid w:val="00E03782"/>
    <w:rsid w:val="00E037B9"/>
    <w:rsid w:val="00E037C9"/>
    <w:rsid w:val="00E037D4"/>
    <w:rsid w:val="00E037DA"/>
    <w:rsid w:val="00E03819"/>
    <w:rsid w:val="00E03850"/>
    <w:rsid w:val="00E03856"/>
    <w:rsid w:val="00E03872"/>
    <w:rsid w:val="00E03875"/>
    <w:rsid w:val="00E038B4"/>
    <w:rsid w:val="00E038C3"/>
    <w:rsid w:val="00E038C8"/>
    <w:rsid w:val="00E038DF"/>
    <w:rsid w:val="00E038F7"/>
    <w:rsid w:val="00E0394D"/>
    <w:rsid w:val="00E03976"/>
    <w:rsid w:val="00E03A4E"/>
    <w:rsid w:val="00E03A67"/>
    <w:rsid w:val="00E03A7C"/>
    <w:rsid w:val="00E03A9B"/>
    <w:rsid w:val="00E03AC1"/>
    <w:rsid w:val="00E03B39"/>
    <w:rsid w:val="00E03B9B"/>
    <w:rsid w:val="00E03BCE"/>
    <w:rsid w:val="00E03BDE"/>
    <w:rsid w:val="00E03C09"/>
    <w:rsid w:val="00E03C13"/>
    <w:rsid w:val="00E03C36"/>
    <w:rsid w:val="00E03C3E"/>
    <w:rsid w:val="00E03C4B"/>
    <w:rsid w:val="00E03C9B"/>
    <w:rsid w:val="00E03CC4"/>
    <w:rsid w:val="00E03D2E"/>
    <w:rsid w:val="00E03D34"/>
    <w:rsid w:val="00E03D61"/>
    <w:rsid w:val="00E03D7A"/>
    <w:rsid w:val="00E03E05"/>
    <w:rsid w:val="00E03E19"/>
    <w:rsid w:val="00E03E26"/>
    <w:rsid w:val="00E03E6B"/>
    <w:rsid w:val="00E03E71"/>
    <w:rsid w:val="00E03E8E"/>
    <w:rsid w:val="00E03EBC"/>
    <w:rsid w:val="00E03ECD"/>
    <w:rsid w:val="00E03EE4"/>
    <w:rsid w:val="00E03F00"/>
    <w:rsid w:val="00E03F16"/>
    <w:rsid w:val="00E03F38"/>
    <w:rsid w:val="00E03F50"/>
    <w:rsid w:val="00E04009"/>
    <w:rsid w:val="00E04024"/>
    <w:rsid w:val="00E04052"/>
    <w:rsid w:val="00E0405E"/>
    <w:rsid w:val="00E040DC"/>
    <w:rsid w:val="00E040EB"/>
    <w:rsid w:val="00E04108"/>
    <w:rsid w:val="00E0412F"/>
    <w:rsid w:val="00E04152"/>
    <w:rsid w:val="00E0417D"/>
    <w:rsid w:val="00E04188"/>
    <w:rsid w:val="00E0418A"/>
    <w:rsid w:val="00E0418B"/>
    <w:rsid w:val="00E04196"/>
    <w:rsid w:val="00E041C6"/>
    <w:rsid w:val="00E041E5"/>
    <w:rsid w:val="00E041F2"/>
    <w:rsid w:val="00E0422E"/>
    <w:rsid w:val="00E04250"/>
    <w:rsid w:val="00E04252"/>
    <w:rsid w:val="00E04291"/>
    <w:rsid w:val="00E04295"/>
    <w:rsid w:val="00E04297"/>
    <w:rsid w:val="00E042DC"/>
    <w:rsid w:val="00E042DD"/>
    <w:rsid w:val="00E04353"/>
    <w:rsid w:val="00E04357"/>
    <w:rsid w:val="00E04359"/>
    <w:rsid w:val="00E04368"/>
    <w:rsid w:val="00E04384"/>
    <w:rsid w:val="00E043BB"/>
    <w:rsid w:val="00E043CE"/>
    <w:rsid w:val="00E0441C"/>
    <w:rsid w:val="00E04451"/>
    <w:rsid w:val="00E04465"/>
    <w:rsid w:val="00E044D2"/>
    <w:rsid w:val="00E0450A"/>
    <w:rsid w:val="00E045AC"/>
    <w:rsid w:val="00E045E5"/>
    <w:rsid w:val="00E0469E"/>
    <w:rsid w:val="00E046B2"/>
    <w:rsid w:val="00E046C7"/>
    <w:rsid w:val="00E04748"/>
    <w:rsid w:val="00E04793"/>
    <w:rsid w:val="00E047C7"/>
    <w:rsid w:val="00E047DE"/>
    <w:rsid w:val="00E047F2"/>
    <w:rsid w:val="00E0482D"/>
    <w:rsid w:val="00E048D3"/>
    <w:rsid w:val="00E04909"/>
    <w:rsid w:val="00E04917"/>
    <w:rsid w:val="00E0493E"/>
    <w:rsid w:val="00E04961"/>
    <w:rsid w:val="00E0496B"/>
    <w:rsid w:val="00E049CC"/>
    <w:rsid w:val="00E049FD"/>
    <w:rsid w:val="00E04A4A"/>
    <w:rsid w:val="00E04A9B"/>
    <w:rsid w:val="00E04ACE"/>
    <w:rsid w:val="00E04AFE"/>
    <w:rsid w:val="00E04B04"/>
    <w:rsid w:val="00E04B17"/>
    <w:rsid w:val="00E04B2E"/>
    <w:rsid w:val="00E04B66"/>
    <w:rsid w:val="00E04B88"/>
    <w:rsid w:val="00E04BA8"/>
    <w:rsid w:val="00E04BB0"/>
    <w:rsid w:val="00E04BD2"/>
    <w:rsid w:val="00E04BFE"/>
    <w:rsid w:val="00E04C05"/>
    <w:rsid w:val="00E04C22"/>
    <w:rsid w:val="00E04C57"/>
    <w:rsid w:val="00E04C5C"/>
    <w:rsid w:val="00E04C7D"/>
    <w:rsid w:val="00E04CD7"/>
    <w:rsid w:val="00E04CF7"/>
    <w:rsid w:val="00E04D8A"/>
    <w:rsid w:val="00E04E02"/>
    <w:rsid w:val="00E04E32"/>
    <w:rsid w:val="00E04E79"/>
    <w:rsid w:val="00E04EE0"/>
    <w:rsid w:val="00E04F00"/>
    <w:rsid w:val="00E04F2A"/>
    <w:rsid w:val="00E04F56"/>
    <w:rsid w:val="00E04F86"/>
    <w:rsid w:val="00E04FB9"/>
    <w:rsid w:val="00E04FEC"/>
    <w:rsid w:val="00E0509D"/>
    <w:rsid w:val="00E050EE"/>
    <w:rsid w:val="00E05149"/>
    <w:rsid w:val="00E05162"/>
    <w:rsid w:val="00E05184"/>
    <w:rsid w:val="00E051B9"/>
    <w:rsid w:val="00E05219"/>
    <w:rsid w:val="00E05230"/>
    <w:rsid w:val="00E05260"/>
    <w:rsid w:val="00E052A7"/>
    <w:rsid w:val="00E0534A"/>
    <w:rsid w:val="00E0536C"/>
    <w:rsid w:val="00E0540C"/>
    <w:rsid w:val="00E054BD"/>
    <w:rsid w:val="00E0557C"/>
    <w:rsid w:val="00E0560B"/>
    <w:rsid w:val="00E05648"/>
    <w:rsid w:val="00E05697"/>
    <w:rsid w:val="00E056AD"/>
    <w:rsid w:val="00E056D1"/>
    <w:rsid w:val="00E056FA"/>
    <w:rsid w:val="00E05730"/>
    <w:rsid w:val="00E05743"/>
    <w:rsid w:val="00E05747"/>
    <w:rsid w:val="00E05767"/>
    <w:rsid w:val="00E057DE"/>
    <w:rsid w:val="00E057F9"/>
    <w:rsid w:val="00E0584D"/>
    <w:rsid w:val="00E05870"/>
    <w:rsid w:val="00E05897"/>
    <w:rsid w:val="00E0590B"/>
    <w:rsid w:val="00E05914"/>
    <w:rsid w:val="00E05922"/>
    <w:rsid w:val="00E059E1"/>
    <w:rsid w:val="00E059FF"/>
    <w:rsid w:val="00E05A58"/>
    <w:rsid w:val="00E05ABC"/>
    <w:rsid w:val="00E05AD1"/>
    <w:rsid w:val="00E05B20"/>
    <w:rsid w:val="00E05BB4"/>
    <w:rsid w:val="00E05BBA"/>
    <w:rsid w:val="00E05BCB"/>
    <w:rsid w:val="00E05C0A"/>
    <w:rsid w:val="00E05C35"/>
    <w:rsid w:val="00E05CE3"/>
    <w:rsid w:val="00E05D21"/>
    <w:rsid w:val="00E05D52"/>
    <w:rsid w:val="00E05DBC"/>
    <w:rsid w:val="00E05DCA"/>
    <w:rsid w:val="00E05E21"/>
    <w:rsid w:val="00E05E58"/>
    <w:rsid w:val="00E05F2A"/>
    <w:rsid w:val="00E0600C"/>
    <w:rsid w:val="00E06029"/>
    <w:rsid w:val="00E0606D"/>
    <w:rsid w:val="00E060A4"/>
    <w:rsid w:val="00E06109"/>
    <w:rsid w:val="00E06113"/>
    <w:rsid w:val="00E0611C"/>
    <w:rsid w:val="00E0615F"/>
    <w:rsid w:val="00E06169"/>
    <w:rsid w:val="00E061DC"/>
    <w:rsid w:val="00E0626D"/>
    <w:rsid w:val="00E06290"/>
    <w:rsid w:val="00E062B8"/>
    <w:rsid w:val="00E062C8"/>
    <w:rsid w:val="00E062CD"/>
    <w:rsid w:val="00E062E7"/>
    <w:rsid w:val="00E062EA"/>
    <w:rsid w:val="00E063CE"/>
    <w:rsid w:val="00E06409"/>
    <w:rsid w:val="00E0640E"/>
    <w:rsid w:val="00E06419"/>
    <w:rsid w:val="00E06426"/>
    <w:rsid w:val="00E06459"/>
    <w:rsid w:val="00E064E7"/>
    <w:rsid w:val="00E064EB"/>
    <w:rsid w:val="00E06590"/>
    <w:rsid w:val="00E065D4"/>
    <w:rsid w:val="00E06681"/>
    <w:rsid w:val="00E066C5"/>
    <w:rsid w:val="00E066E0"/>
    <w:rsid w:val="00E0672C"/>
    <w:rsid w:val="00E067D7"/>
    <w:rsid w:val="00E067DD"/>
    <w:rsid w:val="00E06822"/>
    <w:rsid w:val="00E0686D"/>
    <w:rsid w:val="00E069CA"/>
    <w:rsid w:val="00E06A4A"/>
    <w:rsid w:val="00E06A4B"/>
    <w:rsid w:val="00E06A8D"/>
    <w:rsid w:val="00E06AC2"/>
    <w:rsid w:val="00E06ADA"/>
    <w:rsid w:val="00E06B1B"/>
    <w:rsid w:val="00E06B5D"/>
    <w:rsid w:val="00E06BE9"/>
    <w:rsid w:val="00E06C08"/>
    <w:rsid w:val="00E06C2A"/>
    <w:rsid w:val="00E06C2F"/>
    <w:rsid w:val="00E06C68"/>
    <w:rsid w:val="00E06C78"/>
    <w:rsid w:val="00E06CC8"/>
    <w:rsid w:val="00E06CCF"/>
    <w:rsid w:val="00E06CD0"/>
    <w:rsid w:val="00E06CE5"/>
    <w:rsid w:val="00E06D14"/>
    <w:rsid w:val="00E06D31"/>
    <w:rsid w:val="00E06D7D"/>
    <w:rsid w:val="00E06DE8"/>
    <w:rsid w:val="00E06E13"/>
    <w:rsid w:val="00E06E35"/>
    <w:rsid w:val="00E06E84"/>
    <w:rsid w:val="00E06F46"/>
    <w:rsid w:val="00E06FD9"/>
    <w:rsid w:val="00E06FE9"/>
    <w:rsid w:val="00E06FF5"/>
    <w:rsid w:val="00E07063"/>
    <w:rsid w:val="00E0707B"/>
    <w:rsid w:val="00E0707F"/>
    <w:rsid w:val="00E070B0"/>
    <w:rsid w:val="00E070D5"/>
    <w:rsid w:val="00E0711B"/>
    <w:rsid w:val="00E07132"/>
    <w:rsid w:val="00E07184"/>
    <w:rsid w:val="00E0718F"/>
    <w:rsid w:val="00E07196"/>
    <w:rsid w:val="00E071C8"/>
    <w:rsid w:val="00E07305"/>
    <w:rsid w:val="00E07323"/>
    <w:rsid w:val="00E07335"/>
    <w:rsid w:val="00E0733B"/>
    <w:rsid w:val="00E07398"/>
    <w:rsid w:val="00E07419"/>
    <w:rsid w:val="00E07437"/>
    <w:rsid w:val="00E0745B"/>
    <w:rsid w:val="00E07509"/>
    <w:rsid w:val="00E07523"/>
    <w:rsid w:val="00E07527"/>
    <w:rsid w:val="00E07547"/>
    <w:rsid w:val="00E07551"/>
    <w:rsid w:val="00E0757D"/>
    <w:rsid w:val="00E075C8"/>
    <w:rsid w:val="00E075D2"/>
    <w:rsid w:val="00E075D8"/>
    <w:rsid w:val="00E07613"/>
    <w:rsid w:val="00E0762C"/>
    <w:rsid w:val="00E07633"/>
    <w:rsid w:val="00E07651"/>
    <w:rsid w:val="00E0767F"/>
    <w:rsid w:val="00E07729"/>
    <w:rsid w:val="00E07765"/>
    <w:rsid w:val="00E077F1"/>
    <w:rsid w:val="00E07816"/>
    <w:rsid w:val="00E07836"/>
    <w:rsid w:val="00E07846"/>
    <w:rsid w:val="00E0785F"/>
    <w:rsid w:val="00E07868"/>
    <w:rsid w:val="00E078DC"/>
    <w:rsid w:val="00E07956"/>
    <w:rsid w:val="00E07994"/>
    <w:rsid w:val="00E079B0"/>
    <w:rsid w:val="00E079D4"/>
    <w:rsid w:val="00E079D5"/>
    <w:rsid w:val="00E079ED"/>
    <w:rsid w:val="00E07A0E"/>
    <w:rsid w:val="00E07A1B"/>
    <w:rsid w:val="00E07B19"/>
    <w:rsid w:val="00E07B20"/>
    <w:rsid w:val="00E07BDF"/>
    <w:rsid w:val="00E07C02"/>
    <w:rsid w:val="00E07C64"/>
    <w:rsid w:val="00E07D09"/>
    <w:rsid w:val="00E07D5D"/>
    <w:rsid w:val="00E07D9B"/>
    <w:rsid w:val="00E07E84"/>
    <w:rsid w:val="00E07EA9"/>
    <w:rsid w:val="00E07F0A"/>
    <w:rsid w:val="00E07F99"/>
    <w:rsid w:val="00E07FB6"/>
    <w:rsid w:val="00E07FE3"/>
    <w:rsid w:val="00E10012"/>
    <w:rsid w:val="00E10024"/>
    <w:rsid w:val="00E10061"/>
    <w:rsid w:val="00E10152"/>
    <w:rsid w:val="00E10198"/>
    <w:rsid w:val="00E101C6"/>
    <w:rsid w:val="00E1021D"/>
    <w:rsid w:val="00E1022D"/>
    <w:rsid w:val="00E10249"/>
    <w:rsid w:val="00E102DD"/>
    <w:rsid w:val="00E10316"/>
    <w:rsid w:val="00E1031C"/>
    <w:rsid w:val="00E1034E"/>
    <w:rsid w:val="00E103A9"/>
    <w:rsid w:val="00E103C0"/>
    <w:rsid w:val="00E103EC"/>
    <w:rsid w:val="00E1041A"/>
    <w:rsid w:val="00E10434"/>
    <w:rsid w:val="00E10455"/>
    <w:rsid w:val="00E1047C"/>
    <w:rsid w:val="00E10575"/>
    <w:rsid w:val="00E105A7"/>
    <w:rsid w:val="00E105D8"/>
    <w:rsid w:val="00E10689"/>
    <w:rsid w:val="00E106E5"/>
    <w:rsid w:val="00E106F6"/>
    <w:rsid w:val="00E10742"/>
    <w:rsid w:val="00E1075B"/>
    <w:rsid w:val="00E10777"/>
    <w:rsid w:val="00E107D3"/>
    <w:rsid w:val="00E10839"/>
    <w:rsid w:val="00E10886"/>
    <w:rsid w:val="00E108CC"/>
    <w:rsid w:val="00E108D2"/>
    <w:rsid w:val="00E10988"/>
    <w:rsid w:val="00E1098A"/>
    <w:rsid w:val="00E109CB"/>
    <w:rsid w:val="00E109E4"/>
    <w:rsid w:val="00E109F5"/>
    <w:rsid w:val="00E10A18"/>
    <w:rsid w:val="00E10A49"/>
    <w:rsid w:val="00E10AC2"/>
    <w:rsid w:val="00E10ADB"/>
    <w:rsid w:val="00E10B0D"/>
    <w:rsid w:val="00E10B5C"/>
    <w:rsid w:val="00E10B75"/>
    <w:rsid w:val="00E10B8B"/>
    <w:rsid w:val="00E10CD0"/>
    <w:rsid w:val="00E10CD8"/>
    <w:rsid w:val="00E10D0F"/>
    <w:rsid w:val="00E10D5D"/>
    <w:rsid w:val="00E10D86"/>
    <w:rsid w:val="00E10E6E"/>
    <w:rsid w:val="00E10F69"/>
    <w:rsid w:val="00E10F8B"/>
    <w:rsid w:val="00E10F8C"/>
    <w:rsid w:val="00E10FFB"/>
    <w:rsid w:val="00E11042"/>
    <w:rsid w:val="00E1105B"/>
    <w:rsid w:val="00E110A9"/>
    <w:rsid w:val="00E111AA"/>
    <w:rsid w:val="00E1123D"/>
    <w:rsid w:val="00E11251"/>
    <w:rsid w:val="00E1126E"/>
    <w:rsid w:val="00E11298"/>
    <w:rsid w:val="00E1131F"/>
    <w:rsid w:val="00E1139E"/>
    <w:rsid w:val="00E113A9"/>
    <w:rsid w:val="00E113C3"/>
    <w:rsid w:val="00E113E4"/>
    <w:rsid w:val="00E11400"/>
    <w:rsid w:val="00E11401"/>
    <w:rsid w:val="00E11429"/>
    <w:rsid w:val="00E11460"/>
    <w:rsid w:val="00E11481"/>
    <w:rsid w:val="00E11499"/>
    <w:rsid w:val="00E114A6"/>
    <w:rsid w:val="00E114E8"/>
    <w:rsid w:val="00E1150B"/>
    <w:rsid w:val="00E11511"/>
    <w:rsid w:val="00E11517"/>
    <w:rsid w:val="00E1152A"/>
    <w:rsid w:val="00E11579"/>
    <w:rsid w:val="00E11592"/>
    <w:rsid w:val="00E115BB"/>
    <w:rsid w:val="00E11604"/>
    <w:rsid w:val="00E11611"/>
    <w:rsid w:val="00E1161F"/>
    <w:rsid w:val="00E1163C"/>
    <w:rsid w:val="00E116AA"/>
    <w:rsid w:val="00E11703"/>
    <w:rsid w:val="00E11746"/>
    <w:rsid w:val="00E11761"/>
    <w:rsid w:val="00E1179C"/>
    <w:rsid w:val="00E117E1"/>
    <w:rsid w:val="00E117F4"/>
    <w:rsid w:val="00E11850"/>
    <w:rsid w:val="00E1187F"/>
    <w:rsid w:val="00E118D0"/>
    <w:rsid w:val="00E118DF"/>
    <w:rsid w:val="00E118F5"/>
    <w:rsid w:val="00E11944"/>
    <w:rsid w:val="00E119E0"/>
    <w:rsid w:val="00E11A2C"/>
    <w:rsid w:val="00E11A52"/>
    <w:rsid w:val="00E11A72"/>
    <w:rsid w:val="00E11A7C"/>
    <w:rsid w:val="00E11B01"/>
    <w:rsid w:val="00E11B03"/>
    <w:rsid w:val="00E11B38"/>
    <w:rsid w:val="00E11B3F"/>
    <w:rsid w:val="00E11BB5"/>
    <w:rsid w:val="00E11BFF"/>
    <w:rsid w:val="00E11C23"/>
    <w:rsid w:val="00E11C4B"/>
    <w:rsid w:val="00E11C63"/>
    <w:rsid w:val="00E11CE9"/>
    <w:rsid w:val="00E11D0E"/>
    <w:rsid w:val="00E11D22"/>
    <w:rsid w:val="00E11D62"/>
    <w:rsid w:val="00E11D74"/>
    <w:rsid w:val="00E11D8C"/>
    <w:rsid w:val="00E11DD2"/>
    <w:rsid w:val="00E11DDC"/>
    <w:rsid w:val="00E11E1B"/>
    <w:rsid w:val="00E11E4C"/>
    <w:rsid w:val="00E11E7C"/>
    <w:rsid w:val="00E11E7F"/>
    <w:rsid w:val="00E11F02"/>
    <w:rsid w:val="00E11F48"/>
    <w:rsid w:val="00E11F78"/>
    <w:rsid w:val="00E11F83"/>
    <w:rsid w:val="00E11F8C"/>
    <w:rsid w:val="00E11FBA"/>
    <w:rsid w:val="00E11FD2"/>
    <w:rsid w:val="00E11FF8"/>
    <w:rsid w:val="00E1203B"/>
    <w:rsid w:val="00E120D2"/>
    <w:rsid w:val="00E12104"/>
    <w:rsid w:val="00E1212F"/>
    <w:rsid w:val="00E12141"/>
    <w:rsid w:val="00E1214D"/>
    <w:rsid w:val="00E1217F"/>
    <w:rsid w:val="00E12198"/>
    <w:rsid w:val="00E121AE"/>
    <w:rsid w:val="00E121FC"/>
    <w:rsid w:val="00E12201"/>
    <w:rsid w:val="00E12260"/>
    <w:rsid w:val="00E12267"/>
    <w:rsid w:val="00E1227C"/>
    <w:rsid w:val="00E12291"/>
    <w:rsid w:val="00E122D6"/>
    <w:rsid w:val="00E12303"/>
    <w:rsid w:val="00E12307"/>
    <w:rsid w:val="00E1231F"/>
    <w:rsid w:val="00E1236A"/>
    <w:rsid w:val="00E1243A"/>
    <w:rsid w:val="00E124C8"/>
    <w:rsid w:val="00E1256C"/>
    <w:rsid w:val="00E125BA"/>
    <w:rsid w:val="00E125C8"/>
    <w:rsid w:val="00E125C9"/>
    <w:rsid w:val="00E125CA"/>
    <w:rsid w:val="00E125E6"/>
    <w:rsid w:val="00E1262C"/>
    <w:rsid w:val="00E12638"/>
    <w:rsid w:val="00E12661"/>
    <w:rsid w:val="00E1266E"/>
    <w:rsid w:val="00E12677"/>
    <w:rsid w:val="00E1267B"/>
    <w:rsid w:val="00E1267F"/>
    <w:rsid w:val="00E1268C"/>
    <w:rsid w:val="00E126B2"/>
    <w:rsid w:val="00E126B3"/>
    <w:rsid w:val="00E126C7"/>
    <w:rsid w:val="00E12749"/>
    <w:rsid w:val="00E12751"/>
    <w:rsid w:val="00E12787"/>
    <w:rsid w:val="00E127D1"/>
    <w:rsid w:val="00E127F5"/>
    <w:rsid w:val="00E127FB"/>
    <w:rsid w:val="00E12826"/>
    <w:rsid w:val="00E12864"/>
    <w:rsid w:val="00E128EC"/>
    <w:rsid w:val="00E12915"/>
    <w:rsid w:val="00E12970"/>
    <w:rsid w:val="00E129C8"/>
    <w:rsid w:val="00E129FA"/>
    <w:rsid w:val="00E12A6D"/>
    <w:rsid w:val="00E12AAF"/>
    <w:rsid w:val="00E12AEA"/>
    <w:rsid w:val="00E12B03"/>
    <w:rsid w:val="00E12B34"/>
    <w:rsid w:val="00E12B36"/>
    <w:rsid w:val="00E12B45"/>
    <w:rsid w:val="00E12BC5"/>
    <w:rsid w:val="00E12C04"/>
    <w:rsid w:val="00E12C13"/>
    <w:rsid w:val="00E12C7E"/>
    <w:rsid w:val="00E12C96"/>
    <w:rsid w:val="00E12CBC"/>
    <w:rsid w:val="00E12DB9"/>
    <w:rsid w:val="00E12E34"/>
    <w:rsid w:val="00E12E60"/>
    <w:rsid w:val="00E12E67"/>
    <w:rsid w:val="00E12E75"/>
    <w:rsid w:val="00E12F33"/>
    <w:rsid w:val="00E12F3B"/>
    <w:rsid w:val="00E12F93"/>
    <w:rsid w:val="00E12FA9"/>
    <w:rsid w:val="00E13019"/>
    <w:rsid w:val="00E13029"/>
    <w:rsid w:val="00E13114"/>
    <w:rsid w:val="00E1313D"/>
    <w:rsid w:val="00E1320B"/>
    <w:rsid w:val="00E13233"/>
    <w:rsid w:val="00E13243"/>
    <w:rsid w:val="00E1325C"/>
    <w:rsid w:val="00E1330B"/>
    <w:rsid w:val="00E13326"/>
    <w:rsid w:val="00E13350"/>
    <w:rsid w:val="00E13364"/>
    <w:rsid w:val="00E1338E"/>
    <w:rsid w:val="00E133F8"/>
    <w:rsid w:val="00E133FF"/>
    <w:rsid w:val="00E13424"/>
    <w:rsid w:val="00E13427"/>
    <w:rsid w:val="00E13448"/>
    <w:rsid w:val="00E134BB"/>
    <w:rsid w:val="00E134E9"/>
    <w:rsid w:val="00E1350B"/>
    <w:rsid w:val="00E135B8"/>
    <w:rsid w:val="00E135E3"/>
    <w:rsid w:val="00E1363A"/>
    <w:rsid w:val="00E13642"/>
    <w:rsid w:val="00E13666"/>
    <w:rsid w:val="00E13675"/>
    <w:rsid w:val="00E136C0"/>
    <w:rsid w:val="00E136EF"/>
    <w:rsid w:val="00E13777"/>
    <w:rsid w:val="00E137A4"/>
    <w:rsid w:val="00E13851"/>
    <w:rsid w:val="00E13895"/>
    <w:rsid w:val="00E138D3"/>
    <w:rsid w:val="00E13909"/>
    <w:rsid w:val="00E1392A"/>
    <w:rsid w:val="00E139C4"/>
    <w:rsid w:val="00E13A0B"/>
    <w:rsid w:val="00E13A3D"/>
    <w:rsid w:val="00E13A8D"/>
    <w:rsid w:val="00E13A99"/>
    <w:rsid w:val="00E13AA3"/>
    <w:rsid w:val="00E13ABC"/>
    <w:rsid w:val="00E13AC6"/>
    <w:rsid w:val="00E13B00"/>
    <w:rsid w:val="00E13B09"/>
    <w:rsid w:val="00E13B67"/>
    <w:rsid w:val="00E13B73"/>
    <w:rsid w:val="00E13BE6"/>
    <w:rsid w:val="00E13C01"/>
    <w:rsid w:val="00E13C08"/>
    <w:rsid w:val="00E13C59"/>
    <w:rsid w:val="00E13C80"/>
    <w:rsid w:val="00E13C85"/>
    <w:rsid w:val="00E13C8B"/>
    <w:rsid w:val="00E13CDC"/>
    <w:rsid w:val="00E13D1C"/>
    <w:rsid w:val="00E13D2D"/>
    <w:rsid w:val="00E13D45"/>
    <w:rsid w:val="00E13D80"/>
    <w:rsid w:val="00E13D9B"/>
    <w:rsid w:val="00E13DA0"/>
    <w:rsid w:val="00E13DAF"/>
    <w:rsid w:val="00E13DB7"/>
    <w:rsid w:val="00E13DD6"/>
    <w:rsid w:val="00E13E1E"/>
    <w:rsid w:val="00E13E9B"/>
    <w:rsid w:val="00E13F09"/>
    <w:rsid w:val="00E13FCE"/>
    <w:rsid w:val="00E14010"/>
    <w:rsid w:val="00E14039"/>
    <w:rsid w:val="00E1405E"/>
    <w:rsid w:val="00E140F6"/>
    <w:rsid w:val="00E14145"/>
    <w:rsid w:val="00E1415F"/>
    <w:rsid w:val="00E14180"/>
    <w:rsid w:val="00E141BD"/>
    <w:rsid w:val="00E141F5"/>
    <w:rsid w:val="00E1423A"/>
    <w:rsid w:val="00E14246"/>
    <w:rsid w:val="00E1425A"/>
    <w:rsid w:val="00E1425E"/>
    <w:rsid w:val="00E1427F"/>
    <w:rsid w:val="00E1429A"/>
    <w:rsid w:val="00E142A7"/>
    <w:rsid w:val="00E142C1"/>
    <w:rsid w:val="00E14312"/>
    <w:rsid w:val="00E14339"/>
    <w:rsid w:val="00E14349"/>
    <w:rsid w:val="00E14353"/>
    <w:rsid w:val="00E14364"/>
    <w:rsid w:val="00E14365"/>
    <w:rsid w:val="00E1436D"/>
    <w:rsid w:val="00E14374"/>
    <w:rsid w:val="00E1437D"/>
    <w:rsid w:val="00E143C3"/>
    <w:rsid w:val="00E143C6"/>
    <w:rsid w:val="00E143DA"/>
    <w:rsid w:val="00E14427"/>
    <w:rsid w:val="00E1443F"/>
    <w:rsid w:val="00E14464"/>
    <w:rsid w:val="00E144B3"/>
    <w:rsid w:val="00E145C8"/>
    <w:rsid w:val="00E145CB"/>
    <w:rsid w:val="00E145FF"/>
    <w:rsid w:val="00E14623"/>
    <w:rsid w:val="00E1462F"/>
    <w:rsid w:val="00E146A2"/>
    <w:rsid w:val="00E146BC"/>
    <w:rsid w:val="00E147CC"/>
    <w:rsid w:val="00E147E2"/>
    <w:rsid w:val="00E147EC"/>
    <w:rsid w:val="00E14805"/>
    <w:rsid w:val="00E14860"/>
    <w:rsid w:val="00E148AE"/>
    <w:rsid w:val="00E148E7"/>
    <w:rsid w:val="00E14921"/>
    <w:rsid w:val="00E1492B"/>
    <w:rsid w:val="00E14932"/>
    <w:rsid w:val="00E14942"/>
    <w:rsid w:val="00E14951"/>
    <w:rsid w:val="00E149D2"/>
    <w:rsid w:val="00E14A3C"/>
    <w:rsid w:val="00E14A9B"/>
    <w:rsid w:val="00E14AB0"/>
    <w:rsid w:val="00E14AD7"/>
    <w:rsid w:val="00E14ADA"/>
    <w:rsid w:val="00E14ADD"/>
    <w:rsid w:val="00E14AEC"/>
    <w:rsid w:val="00E14B10"/>
    <w:rsid w:val="00E14B1D"/>
    <w:rsid w:val="00E14B77"/>
    <w:rsid w:val="00E14B95"/>
    <w:rsid w:val="00E14BD4"/>
    <w:rsid w:val="00E14C00"/>
    <w:rsid w:val="00E14C15"/>
    <w:rsid w:val="00E14C1C"/>
    <w:rsid w:val="00E14C89"/>
    <w:rsid w:val="00E14C9D"/>
    <w:rsid w:val="00E14D25"/>
    <w:rsid w:val="00E14D66"/>
    <w:rsid w:val="00E14D73"/>
    <w:rsid w:val="00E14DE0"/>
    <w:rsid w:val="00E14E22"/>
    <w:rsid w:val="00E14E3A"/>
    <w:rsid w:val="00E14E4E"/>
    <w:rsid w:val="00E14E51"/>
    <w:rsid w:val="00E14E52"/>
    <w:rsid w:val="00E14E7E"/>
    <w:rsid w:val="00E14EC3"/>
    <w:rsid w:val="00E14EC9"/>
    <w:rsid w:val="00E14EEF"/>
    <w:rsid w:val="00E14FA9"/>
    <w:rsid w:val="00E14FBB"/>
    <w:rsid w:val="00E14FC1"/>
    <w:rsid w:val="00E14FF7"/>
    <w:rsid w:val="00E1501F"/>
    <w:rsid w:val="00E15033"/>
    <w:rsid w:val="00E15037"/>
    <w:rsid w:val="00E15046"/>
    <w:rsid w:val="00E1504F"/>
    <w:rsid w:val="00E1507C"/>
    <w:rsid w:val="00E150FF"/>
    <w:rsid w:val="00E1516D"/>
    <w:rsid w:val="00E15179"/>
    <w:rsid w:val="00E151C4"/>
    <w:rsid w:val="00E151F0"/>
    <w:rsid w:val="00E1521C"/>
    <w:rsid w:val="00E15257"/>
    <w:rsid w:val="00E1527C"/>
    <w:rsid w:val="00E15290"/>
    <w:rsid w:val="00E152FE"/>
    <w:rsid w:val="00E15318"/>
    <w:rsid w:val="00E15332"/>
    <w:rsid w:val="00E1533A"/>
    <w:rsid w:val="00E1536B"/>
    <w:rsid w:val="00E153ED"/>
    <w:rsid w:val="00E1540A"/>
    <w:rsid w:val="00E1540E"/>
    <w:rsid w:val="00E1548B"/>
    <w:rsid w:val="00E154A6"/>
    <w:rsid w:val="00E154BB"/>
    <w:rsid w:val="00E154F5"/>
    <w:rsid w:val="00E1551F"/>
    <w:rsid w:val="00E15524"/>
    <w:rsid w:val="00E15533"/>
    <w:rsid w:val="00E1554E"/>
    <w:rsid w:val="00E15608"/>
    <w:rsid w:val="00E1560D"/>
    <w:rsid w:val="00E15647"/>
    <w:rsid w:val="00E15663"/>
    <w:rsid w:val="00E156B3"/>
    <w:rsid w:val="00E156D2"/>
    <w:rsid w:val="00E1576A"/>
    <w:rsid w:val="00E1577E"/>
    <w:rsid w:val="00E15797"/>
    <w:rsid w:val="00E157A9"/>
    <w:rsid w:val="00E157AF"/>
    <w:rsid w:val="00E157B1"/>
    <w:rsid w:val="00E15837"/>
    <w:rsid w:val="00E15866"/>
    <w:rsid w:val="00E15886"/>
    <w:rsid w:val="00E158CD"/>
    <w:rsid w:val="00E15912"/>
    <w:rsid w:val="00E15997"/>
    <w:rsid w:val="00E159B3"/>
    <w:rsid w:val="00E15A02"/>
    <w:rsid w:val="00E15A1C"/>
    <w:rsid w:val="00E15A22"/>
    <w:rsid w:val="00E15A2E"/>
    <w:rsid w:val="00E15A39"/>
    <w:rsid w:val="00E15A67"/>
    <w:rsid w:val="00E15A7D"/>
    <w:rsid w:val="00E15A9B"/>
    <w:rsid w:val="00E15AAA"/>
    <w:rsid w:val="00E15AAE"/>
    <w:rsid w:val="00E15B03"/>
    <w:rsid w:val="00E15BC9"/>
    <w:rsid w:val="00E15C1E"/>
    <w:rsid w:val="00E15C21"/>
    <w:rsid w:val="00E15C35"/>
    <w:rsid w:val="00E15C70"/>
    <w:rsid w:val="00E15CE4"/>
    <w:rsid w:val="00E15CF0"/>
    <w:rsid w:val="00E15D13"/>
    <w:rsid w:val="00E15E24"/>
    <w:rsid w:val="00E15EEE"/>
    <w:rsid w:val="00E15F27"/>
    <w:rsid w:val="00E15F40"/>
    <w:rsid w:val="00E15F52"/>
    <w:rsid w:val="00E15F5C"/>
    <w:rsid w:val="00E15F5F"/>
    <w:rsid w:val="00E15F65"/>
    <w:rsid w:val="00E15F6F"/>
    <w:rsid w:val="00E15FAB"/>
    <w:rsid w:val="00E15FBC"/>
    <w:rsid w:val="00E15FE8"/>
    <w:rsid w:val="00E15FF9"/>
    <w:rsid w:val="00E1603B"/>
    <w:rsid w:val="00E16041"/>
    <w:rsid w:val="00E16073"/>
    <w:rsid w:val="00E16081"/>
    <w:rsid w:val="00E16085"/>
    <w:rsid w:val="00E160C0"/>
    <w:rsid w:val="00E160C2"/>
    <w:rsid w:val="00E160CC"/>
    <w:rsid w:val="00E160D1"/>
    <w:rsid w:val="00E160E4"/>
    <w:rsid w:val="00E1611B"/>
    <w:rsid w:val="00E16124"/>
    <w:rsid w:val="00E16145"/>
    <w:rsid w:val="00E16148"/>
    <w:rsid w:val="00E1614E"/>
    <w:rsid w:val="00E16169"/>
    <w:rsid w:val="00E16199"/>
    <w:rsid w:val="00E161CD"/>
    <w:rsid w:val="00E161EF"/>
    <w:rsid w:val="00E1625F"/>
    <w:rsid w:val="00E162E2"/>
    <w:rsid w:val="00E16348"/>
    <w:rsid w:val="00E163DA"/>
    <w:rsid w:val="00E1640D"/>
    <w:rsid w:val="00E1645F"/>
    <w:rsid w:val="00E1646C"/>
    <w:rsid w:val="00E164A5"/>
    <w:rsid w:val="00E164C5"/>
    <w:rsid w:val="00E164D1"/>
    <w:rsid w:val="00E16548"/>
    <w:rsid w:val="00E165EE"/>
    <w:rsid w:val="00E165FE"/>
    <w:rsid w:val="00E16602"/>
    <w:rsid w:val="00E16619"/>
    <w:rsid w:val="00E16624"/>
    <w:rsid w:val="00E1663B"/>
    <w:rsid w:val="00E16693"/>
    <w:rsid w:val="00E1674B"/>
    <w:rsid w:val="00E16766"/>
    <w:rsid w:val="00E1678D"/>
    <w:rsid w:val="00E167C9"/>
    <w:rsid w:val="00E167DE"/>
    <w:rsid w:val="00E167EF"/>
    <w:rsid w:val="00E167F6"/>
    <w:rsid w:val="00E16825"/>
    <w:rsid w:val="00E16833"/>
    <w:rsid w:val="00E1685F"/>
    <w:rsid w:val="00E16892"/>
    <w:rsid w:val="00E168A1"/>
    <w:rsid w:val="00E169C2"/>
    <w:rsid w:val="00E169CD"/>
    <w:rsid w:val="00E16A69"/>
    <w:rsid w:val="00E16B0C"/>
    <w:rsid w:val="00E16B15"/>
    <w:rsid w:val="00E16B1B"/>
    <w:rsid w:val="00E16B47"/>
    <w:rsid w:val="00E16B5F"/>
    <w:rsid w:val="00E16B6A"/>
    <w:rsid w:val="00E16B90"/>
    <w:rsid w:val="00E16BA3"/>
    <w:rsid w:val="00E16BB5"/>
    <w:rsid w:val="00E16BCB"/>
    <w:rsid w:val="00E16C03"/>
    <w:rsid w:val="00E16C07"/>
    <w:rsid w:val="00E16CC6"/>
    <w:rsid w:val="00E16CD1"/>
    <w:rsid w:val="00E16D0B"/>
    <w:rsid w:val="00E16D46"/>
    <w:rsid w:val="00E16D7A"/>
    <w:rsid w:val="00E16D8E"/>
    <w:rsid w:val="00E16DA1"/>
    <w:rsid w:val="00E16DD4"/>
    <w:rsid w:val="00E16DEC"/>
    <w:rsid w:val="00E16E5C"/>
    <w:rsid w:val="00E16E67"/>
    <w:rsid w:val="00E16E8A"/>
    <w:rsid w:val="00E16F42"/>
    <w:rsid w:val="00E16F44"/>
    <w:rsid w:val="00E16F75"/>
    <w:rsid w:val="00E16F7A"/>
    <w:rsid w:val="00E16F87"/>
    <w:rsid w:val="00E16FA5"/>
    <w:rsid w:val="00E16FAC"/>
    <w:rsid w:val="00E17026"/>
    <w:rsid w:val="00E17030"/>
    <w:rsid w:val="00E17090"/>
    <w:rsid w:val="00E170AA"/>
    <w:rsid w:val="00E17117"/>
    <w:rsid w:val="00E1711B"/>
    <w:rsid w:val="00E17141"/>
    <w:rsid w:val="00E17165"/>
    <w:rsid w:val="00E17171"/>
    <w:rsid w:val="00E1717B"/>
    <w:rsid w:val="00E171D9"/>
    <w:rsid w:val="00E17207"/>
    <w:rsid w:val="00E1727B"/>
    <w:rsid w:val="00E172B2"/>
    <w:rsid w:val="00E172BE"/>
    <w:rsid w:val="00E172CF"/>
    <w:rsid w:val="00E172E8"/>
    <w:rsid w:val="00E1731D"/>
    <w:rsid w:val="00E17338"/>
    <w:rsid w:val="00E17396"/>
    <w:rsid w:val="00E173A6"/>
    <w:rsid w:val="00E173FE"/>
    <w:rsid w:val="00E17401"/>
    <w:rsid w:val="00E17407"/>
    <w:rsid w:val="00E17419"/>
    <w:rsid w:val="00E17448"/>
    <w:rsid w:val="00E17455"/>
    <w:rsid w:val="00E17458"/>
    <w:rsid w:val="00E17468"/>
    <w:rsid w:val="00E1747A"/>
    <w:rsid w:val="00E174AE"/>
    <w:rsid w:val="00E174B2"/>
    <w:rsid w:val="00E174C4"/>
    <w:rsid w:val="00E174D4"/>
    <w:rsid w:val="00E174F6"/>
    <w:rsid w:val="00E17504"/>
    <w:rsid w:val="00E17548"/>
    <w:rsid w:val="00E175EC"/>
    <w:rsid w:val="00E17641"/>
    <w:rsid w:val="00E17643"/>
    <w:rsid w:val="00E17679"/>
    <w:rsid w:val="00E1769F"/>
    <w:rsid w:val="00E176CC"/>
    <w:rsid w:val="00E1779C"/>
    <w:rsid w:val="00E177D9"/>
    <w:rsid w:val="00E17858"/>
    <w:rsid w:val="00E1786E"/>
    <w:rsid w:val="00E17882"/>
    <w:rsid w:val="00E17892"/>
    <w:rsid w:val="00E178FD"/>
    <w:rsid w:val="00E17997"/>
    <w:rsid w:val="00E179A3"/>
    <w:rsid w:val="00E179F4"/>
    <w:rsid w:val="00E17A53"/>
    <w:rsid w:val="00E17AA8"/>
    <w:rsid w:val="00E17ADA"/>
    <w:rsid w:val="00E17B07"/>
    <w:rsid w:val="00E17B0B"/>
    <w:rsid w:val="00E17B59"/>
    <w:rsid w:val="00E17B65"/>
    <w:rsid w:val="00E17B7C"/>
    <w:rsid w:val="00E17BA8"/>
    <w:rsid w:val="00E17C3E"/>
    <w:rsid w:val="00E17C5A"/>
    <w:rsid w:val="00E17C7B"/>
    <w:rsid w:val="00E17CA9"/>
    <w:rsid w:val="00E17CD4"/>
    <w:rsid w:val="00E17CE2"/>
    <w:rsid w:val="00E17CF1"/>
    <w:rsid w:val="00E17CFE"/>
    <w:rsid w:val="00E17D21"/>
    <w:rsid w:val="00E17D85"/>
    <w:rsid w:val="00E17D9D"/>
    <w:rsid w:val="00E17DC5"/>
    <w:rsid w:val="00E17DD1"/>
    <w:rsid w:val="00E17E20"/>
    <w:rsid w:val="00E17EC7"/>
    <w:rsid w:val="00E17ECC"/>
    <w:rsid w:val="00E17F6F"/>
    <w:rsid w:val="00E17F85"/>
    <w:rsid w:val="00E17F9B"/>
    <w:rsid w:val="00E17FA4"/>
    <w:rsid w:val="00E17FB5"/>
    <w:rsid w:val="00E20034"/>
    <w:rsid w:val="00E2005B"/>
    <w:rsid w:val="00E20061"/>
    <w:rsid w:val="00E20088"/>
    <w:rsid w:val="00E2008A"/>
    <w:rsid w:val="00E2009B"/>
    <w:rsid w:val="00E200F5"/>
    <w:rsid w:val="00E20119"/>
    <w:rsid w:val="00E2013C"/>
    <w:rsid w:val="00E20149"/>
    <w:rsid w:val="00E2017A"/>
    <w:rsid w:val="00E201C2"/>
    <w:rsid w:val="00E20223"/>
    <w:rsid w:val="00E2024C"/>
    <w:rsid w:val="00E202DA"/>
    <w:rsid w:val="00E20374"/>
    <w:rsid w:val="00E20388"/>
    <w:rsid w:val="00E203A3"/>
    <w:rsid w:val="00E203AB"/>
    <w:rsid w:val="00E203C4"/>
    <w:rsid w:val="00E203E8"/>
    <w:rsid w:val="00E204C1"/>
    <w:rsid w:val="00E204EF"/>
    <w:rsid w:val="00E204FB"/>
    <w:rsid w:val="00E20510"/>
    <w:rsid w:val="00E20534"/>
    <w:rsid w:val="00E20558"/>
    <w:rsid w:val="00E2058C"/>
    <w:rsid w:val="00E205A2"/>
    <w:rsid w:val="00E20609"/>
    <w:rsid w:val="00E20619"/>
    <w:rsid w:val="00E20636"/>
    <w:rsid w:val="00E20651"/>
    <w:rsid w:val="00E20652"/>
    <w:rsid w:val="00E20669"/>
    <w:rsid w:val="00E2068C"/>
    <w:rsid w:val="00E20690"/>
    <w:rsid w:val="00E206FF"/>
    <w:rsid w:val="00E20710"/>
    <w:rsid w:val="00E20731"/>
    <w:rsid w:val="00E2073D"/>
    <w:rsid w:val="00E207A4"/>
    <w:rsid w:val="00E20810"/>
    <w:rsid w:val="00E20892"/>
    <w:rsid w:val="00E208E9"/>
    <w:rsid w:val="00E20A12"/>
    <w:rsid w:val="00E20A14"/>
    <w:rsid w:val="00E20A4B"/>
    <w:rsid w:val="00E20AEA"/>
    <w:rsid w:val="00E20AF7"/>
    <w:rsid w:val="00E20B62"/>
    <w:rsid w:val="00E20B8C"/>
    <w:rsid w:val="00E20BF4"/>
    <w:rsid w:val="00E20C7B"/>
    <w:rsid w:val="00E20D02"/>
    <w:rsid w:val="00E20D1A"/>
    <w:rsid w:val="00E20D26"/>
    <w:rsid w:val="00E20D33"/>
    <w:rsid w:val="00E20DB7"/>
    <w:rsid w:val="00E20DCC"/>
    <w:rsid w:val="00E20DCD"/>
    <w:rsid w:val="00E20DDA"/>
    <w:rsid w:val="00E20DEA"/>
    <w:rsid w:val="00E20E37"/>
    <w:rsid w:val="00E20E46"/>
    <w:rsid w:val="00E20E52"/>
    <w:rsid w:val="00E20E9D"/>
    <w:rsid w:val="00E20EFD"/>
    <w:rsid w:val="00E20F41"/>
    <w:rsid w:val="00E20F9C"/>
    <w:rsid w:val="00E20FEA"/>
    <w:rsid w:val="00E21021"/>
    <w:rsid w:val="00E21024"/>
    <w:rsid w:val="00E21030"/>
    <w:rsid w:val="00E2105D"/>
    <w:rsid w:val="00E21090"/>
    <w:rsid w:val="00E210DF"/>
    <w:rsid w:val="00E210E2"/>
    <w:rsid w:val="00E210F2"/>
    <w:rsid w:val="00E21103"/>
    <w:rsid w:val="00E2115C"/>
    <w:rsid w:val="00E2120D"/>
    <w:rsid w:val="00E2121E"/>
    <w:rsid w:val="00E21235"/>
    <w:rsid w:val="00E21246"/>
    <w:rsid w:val="00E21272"/>
    <w:rsid w:val="00E21332"/>
    <w:rsid w:val="00E2135B"/>
    <w:rsid w:val="00E2141F"/>
    <w:rsid w:val="00E21438"/>
    <w:rsid w:val="00E2146F"/>
    <w:rsid w:val="00E21489"/>
    <w:rsid w:val="00E214BC"/>
    <w:rsid w:val="00E214BE"/>
    <w:rsid w:val="00E21504"/>
    <w:rsid w:val="00E21575"/>
    <w:rsid w:val="00E21595"/>
    <w:rsid w:val="00E215D8"/>
    <w:rsid w:val="00E21683"/>
    <w:rsid w:val="00E2169E"/>
    <w:rsid w:val="00E216BF"/>
    <w:rsid w:val="00E216C1"/>
    <w:rsid w:val="00E216DF"/>
    <w:rsid w:val="00E21707"/>
    <w:rsid w:val="00E2172B"/>
    <w:rsid w:val="00E21747"/>
    <w:rsid w:val="00E2174B"/>
    <w:rsid w:val="00E21776"/>
    <w:rsid w:val="00E21796"/>
    <w:rsid w:val="00E217B8"/>
    <w:rsid w:val="00E217F2"/>
    <w:rsid w:val="00E21822"/>
    <w:rsid w:val="00E21836"/>
    <w:rsid w:val="00E21852"/>
    <w:rsid w:val="00E2187A"/>
    <w:rsid w:val="00E2188E"/>
    <w:rsid w:val="00E21897"/>
    <w:rsid w:val="00E218D3"/>
    <w:rsid w:val="00E21937"/>
    <w:rsid w:val="00E21946"/>
    <w:rsid w:val="00E21961"/>
    <w:rsid w:val="00E219C5"/>
    <w:rsid w:val="00E219EA"/>
    <w:rsid w:val="00E21AE4"/>
    <w:rsid w:val="00E21AF6"/>
    <w:rsid w:val="00E21B16"/>
    <w:rsid w:val="00E21B78"/>
    <w:rsid w:val="00E21BB8"/>
    <w:rsid w:val="00E21C07"/>
    <w:rsid w:val="00E21C59"/>
    <w:rsid w:val="00E21C8C"/>
    <w:rsid w:val="00E21CA8"/>
    <w:rsid w:val="00E21CB1"/>
    <w:rsid w:val="00E21CBF"/>
    <w:rsid w:val="00E21D3C"/>
    <w:rsid w:val="00E21DC8"/>
    <w:rsid w:val="00E21DF3"/>
    <w:rsid w:val="00E21E86"/>
    <w:rsid w:val="00E21ED8"/>
    <w:rsid w:val="00E21EFB"/>
    <w:rsid w:val="00E21F28"/>
    <w:rsid w:val="00E21F2D"/>
    <w:rsid w:val="00E21FDA"/>
    <w:rsid w:val="00E22022"/>
    <w:rsid w:val="00E22051"/>
    <w:rsid w:val="00E22058"/>
    <w:rsid w:val="00E2206D"/>
    <w:rsid w:val="00E22085"/>
    <w:rsid w:val="00E220B5"/>
    <w:rsid w:val="00E220F8"/>
    <w:rsid w:val="00E22138"/>
    <w:rsid w:val="00E22173"/>
    <w:rsid w:val="00E221AE"/>
    <w:rsid w:val="00E221B3"/>
    <w:rsid w:val="00E221CE"/>
    <w:rsid w:val="00E221CF"/>
    <w:rsid w:val="00E22223"/>
    <w:rsid w:val="00E222A2"/>
    <w:rsid w:val="00E222E4"/>
    <w:rsid w:val="00E222F8"/>
    <w:rsid w:val="00E22330"/>
    <w:rsid w:val="00E22337"/>
    <w:rsid w:val="00E2236A"/>
    <w:rsid w:val="00E223B2"/>
    <w:rsid w:val="00E223BF"/>
    <w:rsid w:val="00E223E9"/>
    <w:rsid w:val="00E22401"/>
    <w:rsid w:val="00E22404"/>
    <w:rsid w:val="00E22431"/>
    <w:rsid w:val="00E22433"/>
    <w:rsid w:val="00E224B2"/>
    <w:rsid w:val="00E224C8"/>
    <w:rsid w:val="00E224E1"/>
    <w:rsid w:val="00E2258D"/>
    <w:rsid w:val="00E225C2"/>
    <w:rsid w:val="00E225C7"/>
    <w:rsid w:val="00E2261F"/>
    <w:rsid w:val="00E22630"/>
    <w:rsid w:val="00E22638"/>
    <w:rsid w:val="00E22645"/>
    <w:rsid w:val="00E2266B"/>
    <w:rsid w:val="00E226E8"/>
    <w:rsid w:val="00E22707"/>
    <w:rsid w:val="00E22712"/>
    <w:rsid w:val="00E22750"/>
    <w:rsid w:val="00E227AE"/>
    <w:rsid w:val="00E22836"/>
    <w:rsid w:val="00E22859"/>
    <w:rsid w:val="00E228E7"/>
    <w:rsid w:val="00E22927"/>
    <w:rsid w:val="00E2294A"/>
    <w:rsid w:val="00E22953"/>
    <w:rsid w:val="00E2296C"/>
    <w:rsid w:val="00E22986"/>
    <w:rsid w:val="00E22AFD"/>
    <w:rsid w:val="00E22B55"/>
    <w:rsid w:val="00E22B58"/>
    <w:rsid w:val="00E22B72"/>
    <w:rsid w:val="00E22B8A"/>
    <w:rsid w:val="00E22B8E"/>
    <w:rsid w:val="00E22BFA"/>
    <w:rsid w:val="00E22C21"/>
    <w:rsid w:val="00E22C3E"/>
    <w:rsid w:val="00E22C63"/>
    <w:rsid w:val="00E22D1E"/>
    <w:rsid w:val="00E22D51"/>
    <w:rsid w:val="00E22D60"/>
    <w:rsid w:val="00E22DDF"/>
    <w:rsid w:val="00E22E9E"/>
    <w:rsid w:val="00E22EE1"/>
    <w:rsid w:val="00E22EE8"/>
    <w:rsid w:val="00E22F05"/>
    <w:rsid w:val="00E22F2A"/>
    <w:rsid w:val="00E22FEB"/>
    <w:rsid w:val="00E23032"/>
    <w:rsid w:val="00E230AC"/>
    <w:rsid w:val="00E230D7"/>
    <w:rsid w:val="00E231BD"/>
    <w:rsid w:val="00E23256"/>
    <w:rsid w:val="00E23327"/>
    <w:rsid w:val="00E23333"/>
    <w:rsid w:val="00E23337"/>
    <w:rsid w:val="00E2333C"/>
    <w:rsid w:val="00E23375"/>
    <w:rsid w:val="00E233A9"/>
    <w:rsid w:val="00E233C2"/>
    <w:rsid w:val="00E233F5"/>
    <w:rsid w:val="00E233F9"/>
    <w:rsid w:val="00E23415"/>
    <w:rsid w:val="00E2344A"/>
    <w:rsid w:val="00E23471"/>
    <w:rsid w:val="00E23498"/>
    <w:rsid w:val="00E23566"/>
    <w:rsid w:val="00E23573"/>
    <w:rsid w:val="00E23598"/>
    <w:rsid w:val="00E235A0"/>
    <w:rsid w:val="00E235CE"/>
    <w:rsid w:val="00E235F1"/>
    <w:rsid w:val="00E23628"/>
    <w:rsid w:val="00E23764"/>
    <w:rsid w:val="00E23772"/>
    <w:rsid w:val="00E23789"/>
    <w:rsid w:val="00E237AD"/>
    <w:rsid w:val="00E237D2"/>
    <w:rsid w:val="00E23956"/>
    <w:rsid w:val="00E2397E"/>
    <w:rsid w:val="00E239A3"/>
    <w:rsid w:val="00E239AD"/>
    <w:rsid w:val="00E23A2D"/>
    <w:rsid w:val="00E23A45"/>
    <w:rsid w:val="00E23A52"/>
    <w:rsid w:val="00E23A9D"/>
    <w:rsid w:val="00E23B11"/>
    <w:rsid w:val="00E23B2A"/>
    <w:rsid w:val="00E23B37"/>
    <w:rsid w:val="00E23B84"/>
    <w:rsid w:val="00E23BC9"/>
    <w:rsid w:val="00E23BD4"/>
    <w:rsid w:val="00E23BFC"/>
    <w:rsid w:val="00E23CEC"/>
    <w:rsid w:val="00E23CF8"/>
    <w:rsid w:val="00E23D49"/>
    <w:rsid w:val="00E23D9C"/>
    <w:rsid w:val="00E23DAA"/>
    <w:rsid w:val="00E23DCC"/>
    <w:rsid w:val="00E23E0C"/>
    <w:rsid w:val="00E23E1E"/>
    <w:rsid w:val="00E23E56"/>
    <w:rsid w:val="00E23E59"/>
    <w:rsid w:val="00E23E97"/>
    <w:rsid w:val="00E23F0E"/>
    <w:rsid w:val="00E23F1A"/>
    <w:rsid w:val="00E23F38"/>
    <w:rsid w:val="00E23F63"/>
    <w:rsid w:val="00E23FA1"/>
    <w:rsid w:val="00E23FC0"/>
    <w:rsid w:val="00E23FED"/>
    <w:rsid w:val="00E2400D"/>
    <w:rsid w:val="00E24034"/>
    <w:rsid w:val="00E24044"/>
    <w:rsid w:val="00E240F3"/>
    <w:rsid w:val="00E24166"/>
    <w:rsid w:val="00E2418B"/>
    <w:rsid w:val="00E241B3"/>
    <w:rsid w:val="00E241B5"/>
    <w:rsid w:val="00E241EB"/>
    <w:rsid w:val="00E241F4"/>
    <w:rsid w:val="00E24229"/>
    <w:rsid w:val="00E24295"/>
    <w:rsid w:val="00E242E9"/>
    <w:rsid w:val="00E24374"/>
    <w:rsid w:val="00E243BF"/>
    <w:rsid w:val="00E24430"/>
    <w:rsid w:val="00E24437"/>
    <w:rsid w:val="00E2443F"/>
    <w:rsid w:val="00E2446C"/>
    <w:rsid w:val="00E2448B"/>
    <w:rsid w:val="00E2448C"/>
    <w:rsid w:val="00E2449D"/>
    <w:rsid w:val="00E244A8"/>
    <w:rsid w:val="00E24507"/>
    <w:rsid w:val="00E2456C"/>
    <w:rsid w:val="00E24572"/>
    <w:rsid w:val="00E245A7"/>
    <w:rsid w:val="00E245EA"/>
    <w:rsid w:val="00E245F2"/>
    <w:rsid w:val="00E24630"/>
    <w:rsid w:val="00E24647"/>
    <w:rsid w:val="00E2466B"/>
    <w:rsid w:val="00E24679"/>
    <w:rsid w:val="00E2467B"/>
    <w:rsid w:val="00E2467D"/>
    <w:rsid w:val="00E24701"/>
    <w:rsid w:val="00E24779"/>
    <w:rsid w:val="00E24780"/>
    <w:rsid w:val="00E24786"/>
    <w:rsid w:val="00E247A1"/>
    <w:rsid w:val="00E247BE"/>
    <w:rsid w:val="00E247E2"/>
    <w:rsid w:val="00E24836"/>
    <w:rsid w:val="00E248B1"/>
    <w:rsid w:val="00E248C7"/>
    <w:rsid w:val="00E248E9"/>
    <w:rsid w:val="00E248F1"/>
    <w:rsid w:val="00E24908"/>
    <w:rsid w:val="00E24912"/>
    <w:rsid w:val="00E24966"/>
    <w:rsid w:val="00E24977"/>
    <w:rsid w:val="00E249E2"/>
    <w:rsid w:val="00E24A25"/>
    <w:rsid w:val="00E24B08"/>
    <w:rsid w:val="00E24B28"/>
    <w:rsid w:val="00E24B29"/>
    <w:rsid w:val="00E24B3F"/>
    <w:rsid w:val="00E24B4D"/>
    <w:rsid w:val="00E24B84"/>
    <w:rsid w:val="00E24B96"/>
    <w:rsid w:val="00E24B9D"/>
    <w:rsid w:val="00E24BE9"/>
    <w:rsid w:val="00E24BED"/>
    <w:rsid w:val="00E24BF2"/>
    <w:rsid w:val="00E24C10"/>
    <w:rsid w:val="00E24C3E"/>
    <w:rsid w:val="00E24CF1"/>
    <w:rsid w:val="00E24D42"/>
    <w:rsid w:val="00E24D4B"/>
    <w:rsid w:val="00E24DDC"/>
    <w:rsid w:val="00E24DE7"/>
    <w:rsid w:val="00E24DF0"/>
    <w:rsid w:val="00E24DFC"/>
    <w:rsid w:val="00E24E1E"/>
    <w:rsid w:val="00E24E26"/>
    <w:rsid w:val="00E24E6A"/>
    <w:rsid w:val="00E24E98"/>
    <w:rsid w:val="00E24EA3"/>
    <w:rsid w:val="00E24EDA"/>
    <w:rsid w:val="00E24EF2"/>
    <w:rsid w:val="00E24F51"/>
    <w:rsid w:val="00E24FA3"/>
    <w:rsid w:val="00E24FA6"/>
    <w:rsid w:val="00E24FBD"/>
    <w:rsid w:val="00E24FDC"/>
    <w:rsid w:val="00E25020"/>
    <w:rsid w:val="00E25021"/>
    <w:rsid w:val="00E25080"/>
    <w:rsid w:val="00E2509C"/>
    <w:rsid w:val="00E250E2"/>
    <w:rsid w:val="00E25108"/>
    <w:rsid w:val="00E25113"/>
    <w:rsid w:val="00E2514D"/>
    <w:rsid w:val="00E25208"/>
    <w:rsid w:val="00E2525F"/>
    <w:rsid w:val="00E25332"/>
    <w:rsid w:val="00E253A2"/>
    <w:rsid w:val="00E253CE"/>
    <w:rsid w:val="00E2543F"/>
    <w:rsid w:val="00E25443"/>
    <w:rsid w:val="00E2548F"/>
    <w:rsid w:val="00E2549D"/>
    <w:rsid w:val="00E254AB"/>
    <w:rsid w:val="00E254C6"/>
    <w:rsid w:val="00E25545"/>
    <w:rsid w:val="00E2559E"/>
    <w:rsid w:val="00E255B9"/>
    <w:rsid w:val="00E255F4"/>
    <w:rsid w:val="00E25620"/>
    <w:rsid w:val="00E2566C"/>
    <w:rsid w:val="00E256D9"/>
    <w:rsid w:val="00E256EF"/>
    <w:rsid w:val="00E256F3"/>
    <w:rsid w:val="00E25718"/>
    <w:rsid w:val="00E25732"/>
    <w:rsid w:val="00E25784"/>
    <w:rsid w:val="00E257A9"/>
    <w:rsid w:val="00E25832"/>
    <w:rsid w:val="00E259D6"/>
    <w:rsid w:val="00E259F4"/>
    <w:rsid w:val="00E259F6"/>
    <w:rsid w:val="00E25A4A"/>
    <w:rsid w:val="00E25A56"/>
    <w:rsid w:val="00E25A8A"/>
    <w:rsid w:val="00E25A8E"/>
    <w:rsid w:val="00E25AA3"/>
    <w:rsid w:val="00E25AC3"/>
    <w:rsid w:val="00E25AF5"/>
    <w:rsid w:val="00E25B1E"/>
    <w:rsid w:val="00E25B30"/>
    <w:rsid w:val="00E25B61"/>
    <w:rsid w:val="00E25B62"/>
    <w:rsid w:val="00E25B6B"/>
    <w:rsid w:val="00E25B83"/>
    <w:rsid w:val="00E25BA0"/>
    <w:rsid w:val="00E25C76"/>
    <w:rsid w:val="00E25D15"/>
    <w:rsid w:val="00E25D27"/>
    <w:rsid w:val="00E25D3D"/>
    <w:rsid w:val="00E25D50"/>
    <w:rsid w:val="00E25D7E"/>
    <w:rsid w:val="00E25D8B"/>
    <w:rsid w:val="00E25EB0"/>
    <w:rsid w:val="00E25F40"/>
    <w:rsid w:val="00E25F9E"/>
    <w:rsid w:val="00E25F9F"/>
    <w:rsid w:val="00E25FC1"/>
    <w:rsid w:val="00E25FC8"/>
    <w:rsid w:val="00E25FEB"/>
    <w:rsid w:val="00E26000"/>
    <w:rsid w:val="00E26033"/>
    <w:rsid w:val="00E26034"/>
    <w:rsid w:val="00E26051"/>
    <w:rsid w:val="00E26068"/>
    <w:rsid w:val="00E2606B"/>
    <w:rsid w:val="00E2607D"/>
    <w:rsid w:val="00E260EF"/>
    <w:rsid w:val="00E2611B"/>
    <w:rsid w:val="00E2612E"/>
    <w:rsid w:val="00E26140"/>
    <w:rsid w:val="00E2614D"/>
    <w:rsid w:val="00E26172"/>
    <w:rsid w:val="00E26175"/>
    <w:rsid w:val="00E2618E"/>
    <w:rsid w:val="00E261A2"/>
    <w:rsid w:val="00E261DC"/>
    <w:rsid w:val="00E261EF"/>
    <w:rsid w:val="00E26242"/>
    <w:rsid w:val="00E2624B"/>
    <w:rsid w:val="00E26277"/>
    <w:rsid w:val="00E262FA"/>
    <w:rsid w:val="00E26361"/>
    <w:rsid w:val="00E2636C"/>
    <w:rsid w:val="00E2639B"/>
    <w:rsid w:val="00E26440"/>
    <w:rsid w:val="00E26497"/>
    <w:rsid w:val="00E264FD"/>
    <w:rsid w:val="00E2652A"/>
    <w:rsid w:val="00E26533"/>
    <w:rsid w:val="00E265A3"/>
    <w:rsid w:val="00E265AA"/>
    <w:rsid w:val="00E265B3"/>
    <w:rsid w:val="00E265C8"/>
    <w:rsid w:val="00E265DA"/>
    <w:rsid w:val="00E265EF"/>
    <w:rsid w:val="00E265F4"/>
    <w:rsid w:val="00E2663E"/>
    <w:rsid w:val="00E266AF"/>
    <w:rsid w:val="00E266B3"/>
    <w:rsid w:val="00E266C3"/>
    <w:rsid w:val="00E26750"/>
    <w:rsid w:val="00E26756"/>
    <w:rsid w:val="00E26785"/>
    <w:rsid w:val="00E2678F"/>
    <w:rsid w:val="00E2679F"/>
    <w:rsid w:val="00E26839"/>
    <w:rsid w:val="00E26944"/>
    <w:rsid w:val="00E269A3"/>
    <w:rsid w:val="00E26A31"/>
    <w:rsid w:val="00E26A4C"/>
    <w:rsid w:val="00E26AA0"/>
    <w:rsid w:val="00E26AAA"/>
    <w:rsid w:val="00E26ABE"/>
    <w:rsid w:val="00E26AC2"/>
    <w:rsid w:val="00E26AF9"/>
    <w:rsid w:val="00E26B00"/>
    <w:rsid w:val="00E26B55"/>
    <w:rsid w:val="00E26B65"/>
    <w:rsid w:val="00E26B66"/>
    <w:rsid w:val="00E26BA9"/>
    <w:rsid w:val="00E26BB2"/>
    <w:rsid w:val="00E26BE2"/>
    <w:rsid w:val="00E26C09"/>
    <w:rsid w:val="00E26CAB"/>
    <w:rsid w:val="00E26D19"/>
    <w:rsid w:val="00E26D36"/>
    <w:rsid w:val="00E26D3B"/>
    <w:rsid w:val="00E26D45"/>
    <w:rsid w:val="00E26D7D"/>
    <w:rsid w:val="00E26D8F"/>
    <w:rsid w:val="00E26DA1"/>
    <w:rsid w:val="00E26E47"/>
    <w:rsid w:val="00E26EF7"/>
    <w:rsid w:val="00E26F09"/>
    <w:rsid w:val="00E26F66"/>
    <w:rsid w:val="00E26F79"/>
    <w:rsid w:val="00E26F96"/>
    <w:rsid w:val="00E26FA0"/>
    <w:rsid w:val="00E26FFD"/>
    <w:rsid w:val="00E2702A"/>
    <w:rsid w:val="00E2706C"/>
    <w:rsid w:val="00E27075"/>
    <w:rsid w:val="00E2707A"/>
    <w:rsid w:val="00E27110"/>
    <w:rsid w:val="00E2711A"/>
    <w:rsid w:val="00E27150"/>
    <w:rsid w:val="00E27164"/>
    <w:rsid w:val="00E2716F"/>
    <w:rsid w:val="00E2718F"/>
    <w:rsid w:val="00E271C4"/>
    <w:rsid w:val="00E271FC"/>
    <w:rsid w:val="00E27228"/>
    <w:rsid w:val="00E27298"/>
    <w:rsid w:val="00E2730E"/>
    <w:rsid w:val="00E27358"/>
    <w:rsid w:val="00E27394"/>
    <w:rsid w:val="00E273A7"/>
    <w:rsid w:val="00E273D4"/>
    <w:rsid w:val="00E2744F"/>
    <w:rsid w:val="00E2745D"/>
    <w:rsid w:val="00E27525"/>
    <w:rsid w:val="00E2753C"/>
    <w:rsid w:val="00E27558"/>
    <w:rsid w:val="00E27593"/>
    <w:rsid w:val="00E2759E"/>
    <w:rsid w:val="00E275A0"/>
    <w:rsid w:val="00E275A7"/>
    <w:rsid w:val="00E275B8"/>
    <w:rsid w:val="00E27615"/>
    <w:rsid w:val="00E27639"/>
    <w:rsid w:val="00E27642"/>
    <w:rsid w:val="00E2766E"/>
    <w:rsid w:val="00E2767B"/>
    <w:rsid w:val="00E276BC"/>
    <w:rsid w:val="00E276F8"/>
    <w:rsid w:val="00E277AC"/>
    <w:rsid w:val="00E277B3"/>
    <w:rsid w:val="00E278A2"/>
    <w:rsid w:val="00E27912"/>
    <w:rsid w:val="00E27924"/>
    <w:rsid w:val="00E27942"/>
    <w:rsid w:val="00E2797F"/>
    <w:rsid w:val="00E27997"/>
    <w:rsid w:val="00E27A06"/>
    <w:rsid w:val="00E27A37"/>
    <w:rsid w:val="00E27A4C"/>
    <w:rsid w:val="00E27A66"/>
    <w:rsid w:val="00E27A74"/>
    <w:rsid w:val="00E27AC5"/>
    <w:rsid w:val="00E27ACA"/>
    <w:rsid w:val="00E27ADC"/>
    <w:rsid w:val="00E27B18"/>
    <w:rsid w:val="00E27B42"/>
    <w:rsid w:val="00E27B50"/>
    <w:rsid w:val="00E27B67"/>
    <w:rsid w:val="00E27C7C"/>
    <w:rsid w:val="00E27C82"/>
    <w:rsid w:val="00E27CC8"/>
    <w:rsid w:val="00E27CDC"/>
    <w:rsid w:val="00E27CE8"/>
    <w:rsid w:val="00E27D26"/>
    <w:rsid w:val="00E27D3E"/>
    <w:rsid w:val="00E27DBD"/>
    <w:rsid w:val="00E27E3E"/>
    <w:rsid w:val="00E27E70"/>
    <w:rsid w:val="00E27EB9"/>
    <w:rsid w:val="00E27EC0"/>
    <w:rsid w:val="00E27F4A"/>
    <w:rsid w:val="00E27F52"/>
    <w:rsid w:val="00E27F7B"/>
    <w:rsid w:val="00E27F92"/>
    <w:rsid w:val="00E27F95"/>
    <w:rsid w:val="00E27FBF"/>
    <w:rsid w:val="00E27FDB"/>
    <w:rsid w:val="00E30042"/>
    <w:rsid w:val="00E3007E"/>
    <w:rsid w:val="00E300D7"/>
    <w:rsid w:val="00E300DA"/>
    <w:rsid w:val="00E300FA"/>
    <w:rsid w:val="00E30122"/>
    <w:rsid w:val="00E30175"/>
    <w:rsid w:val="00E301AF"/>
    <w:rsid w:val="00E301D7"/>
    <w:rsid w:val="00E30226"/>
    <w:rsid w:val="00E30238"/>
    <w:rsid w:val="00E3024C"/>
    <w:rsid w:val="00E30282"/>
    <w:rsid w:val="00E302AF"/>
    <w:rsid w:val="00E3034C"/>
    <w:rsid w:val="00E30351"/>
    <w:rsid w:val="00E30366"/>
    <w:rsid w:val="00E303BD"/>
    <w:rsid w:val="00E30426"/>
    <w:rsid w:val="00E30448"/>
    <w:rsid w:val="00E30453"/>
    <w:rsid w:val="00E3048B"/>
    <w:rsid w:val="00E304D1"/>
    <w:rsid w:val="00E30510"/>
    <w:rsid w:val="00E3052E"/>
    <w:rsid w:val="00E3055C"/>
    <w:rsid w:val="00E3056B"/>
    <w:rsid w:val="00E3058B"/>
    <w:rsid w:val="00E305C0"/>
    <w:rsid w:val="00E30607"/>
    <w:rsid w:val="00E3063A"/>
    <w:rsid w:val="00E30648"/>
    <w:rsid w:val="00E3065D"/>
    <w:rsid w:val="00E3076A"/>
    <w:rsid w:val="00E307AB"/>
    <w:rsid w:val="00E307AE"/>
    <w:rsid w:val="00E3080D"/>
    <w:rsid w:val="00E3084A"/>
    <w:rsid w:val="00E30897"/>
    <w:rsid w:val="00E308B2"/>
    <w:rsid w:val="00E308D2"/>
    <w:rsid w:val="00E30900"/>
    <w:rsid w:val="00E30903"/>
    <w:rsid w:val="00E30933"/>
    <w:rsid w:val="00E30951"/>
    <w:rsid w:val="00E3096B"/>
    <w:rsid w:val="00E3096E"/>
    <w:rsid w:val="00E30976"/>
    <w:rsid w:val="00E3097F"/>
    <w:rsid w:val="00E30986"/>
    <w:rsid w:val="00E30A3E"/>
    <w:rsid w:val="00E30A40"/>
    <w:rsid w:val="00E30A83"/>
    <w:rsid w:val="00E30A8B"/>
    <w:rsid w:val="00E30AA2"/>
    <w:rsid w:val="00E30B1D"/>
    <w:rsid w:val="00E30B2D"/>
    <w:rsid w:val="00E30B5C"/>
    <w:rsid w:val="00E30BB1"/>
    <w:rsid w:val="00E30BC0"/>
    <w:rsid w:val="00E30C0C"/>
    <w:rsid w:val="00E30C24"/>
    <w:rsid w:val="00E30C41"/>
    <w:rsid w:val="00E30CB4"/>
    <w:rsid w:val="00E30CB6"/>
    <w:rsid w:val="00E30CE6"/>
    <w:rsid w:val="00E30D10"/>
    <w:rsid w:val="00E30D52"/>
    <w:rsid w:val="00E30D54"/>
    <w:rsid w:val="00E30D6F"/>
    <w:rsid w:val="00E30DA1"/>
    <w:rsid w:val="00E30DDD"/>
    <w:rsid w:val="00E30DF9"/>
    <w:rsid w:val="00E30E4D"/>
    <w:rsid w:val="00E30E63"/>
    <w:rsid w:val="00E30EF0"/>
    <w:rsid w:val="00E30F1B"/>
    <w:rsid w:val="00E30F3D"/>
    <w:rsid w:val="00E30F85"/>
    <w:rsid w:val="00E30F88"/>
    <w:rsid w:val="00E30F93"/>
    <w:rsid w:val="00E30F9A"/>
    <w:rsid w:val="00E3101B"/>
    <w:rsid w:val="00E310B7"/>
    <w:rsid w:val="00E310EC"/>
    <w:rsid w:val="00E310F8"/>
    <w:rsid w:val="00E31186"/>
    <w:rsid w:val="00E311AA"/>
    <w:rsid w:val="00E311B1"/>
    <w:rsid w:val="00E311E6"/>
    <w:rsid w:val="00E311F6"/>
    <w:rsid w:val="00E31220"/>
    <w:rsid w:val="00E3124E"/>
    <w:rsid w:val="00E31250"/>
    <w:rsid w:val="00E3126C"/>
    <w:rsid w:val="00E3127E"/>
    <w:rsid w:val="00E31281"/>
    <w:rsid w:val="00E31294"/>
    <w:rsid w:val="00E312A9"/>
    <w:rsid w:val="00E312BA"/>
    <w:rsid w:val="00E312F4"/>
    <w:rsid w:val="00E31376"/>
    <w:rsid w:val="00E31398"/>
    <w:rsid w:val="00E31437"/>
    <w:rsid w:val="00E3143A"/>
    <w:rsid w:val="00E314A2"/>
    <w:rsid w:val="00E31507"/>
    <w:rsid w:val="00E3156D"/>
    <w:rsid w:val="00E31590"/>
    <w:rsid w:val="00E3159B"/>
    <w:rsid w:val="00E315CD"/>
    <w:rsid w:val="00E3160B"/>
    <w:rsid w:val="00E31636"/>
    <w:rsid w:val="00E31642"/>
    <w:rsid w:val="00E3166A"/>
    <w:rsid w:val="00E3167F"/>
    <w:rsid w:val="00E316B5"/>
    <w:rsid w:val="00E316C1"/>
    <w:rsid w:val="00E31702"/>
    <w:rsid w:val="00E31706"/>
    <w:rsid w:val="00E31707"/>
    <w:rsid w:val="00E31738"/>
    <w:rsid w:val="00E31759"/>
    <w:rsid w:val="00E317D1"/>
    <w:rsid w:val="00E317FE"/>
    <w:rsid w:val="00E31831"/>
    <w:rsid w:val="00E31895"/>
    <w:rsid w:val="00E3191A"/>
    <w:rsid w:val="00E31983"/>
    <w:rsid w:val="00E31996"/>
    <w:rsid w:val="00E31A35"/>
    <w:rsid w:val="00E31A4C"/>
    <w:rsid w:val="00E31B44"/>
    <w:rsid w:val="00E31B67"/>
    <w:rsid w:val="00E31B83"/>
    <w:rsid w:val="00E31B9B"/>
    <w:rsid w:val="00E31BEC"/>
    <w:rsid w:val="00E31C1E"/>
    <w:rsid w:val="00E31C3E"/>
    <w:rsid w:val="00E31C4A"/>
    <w:rsid w:val="00E31C81"/>
    <w:rsid w:val="00E31CDA"/>
    <w:rsid w:val="00E31D4D"/>
    <w:rsid w:val="00E31D74"/>
    <w:rsid w:val="00E31D88"/>
    <w:rsid w:val="00E31DDF"/>
    <w:rsid w:val="00E31DEC"/>
    <w:rsid w:val="00E31E8C"/>
    <w:rsid w:val="00E31EA1"/>
    <w:rsid w:val="00E31ECE"/>
    <w:rsid w:val="00E31EF1"/>
    <w:rsid w:val="00E31EF4"/>
    <w:rsid w:val="00E31F3A"/>
    <w:rsid w:val="00E31F53"/>
    <w:rsid w:val="00E31FB5"/>
    <w:rsid w:val="00E31FC7"/>
    <w:rsid w:val="00E3202A"/>
    <w:rsid w:val="00E32034"/>
    <w:rsid w:val="00E3205F"/>
    <w:rsid w:val="00E320EA"/>
    <w:rsid w:val="00E321A1"/>
    <w:rsid w:val="00E321AD"/>
    <w:rsid w:val="00E321EC"/>
    <w:rsid w:val="00E321F3"/>
    <w:rsid w:val="00E3226E"/>
    <w:rsid w:val="00E32272"/>
    <w:rsid w:val="00E322B2"/>
    <w:rsid w:val="00E322D2"/>
    <w:rsid w:val="00E322FE"/>
    <w:rsid w:val="00E3232F"/>
    <w:rsid w:val="00E3236E"/>
    <w:rsid w:val="00E32430"/>
    <w:rsid w:val="00E3247F"/>
    <w:rsid w:val="00E324B6"/>
    <w:rsid w:val="00E324D0"/>
    <w:rsid w:val="00E3251E"/>
    <w:rsid w:val="00E32558"/>
    <w:rsid w:val="00E325A0"/>
    <w:rsid w:val="00E325AD"/>
    <w:rsid w:val="00E325C1"/>
    <w:rsid w:val="00E325C7"/>
    <w:rsid w:val="00E32678"/>
    <w:rsid w:val="00E32686"/>
    <w:rsid w:val="00E326AA"/>
    <w:rsid w:val="00E326AE"/>
    <w:rsid w:val="00E326ED"/>
    <w:rsid w:val="00E326FF"/>
    <w:rsid w:val="00E32754"/>
    <w:rsid w:val="00E32761"/>
    <w:rsid w:val="00E3278C"/>
    <w:rsid w:val="00E327E6"/>
    <w:rsid w:val="00E3280D"/>
    <w:rsid w:val="00E32832"/>
    <w:rsid w:val="00E32895"/>
    <w:rsid w:val="00E328B0"/>
    <w:rsid w:val="00E32925"/>
    <w:rsid w:val="00E32942"/>
    <w:rsid w:val="00E32966"/>
    <w:rsid w:val="00E32969"/>
    <w:rsid w:val="00E3296D"/>
    <w:rsid w:val="00E329AA"/>
    <w:rsid w:val="00E329D4"/>
    <w:rsid w:val="00E32AC0"/>
    <w:rsid w:val="00E32B12"/>
    <w:rsid w:val="00E32B2F"/>
    <w:rsid w:val="00E32B43"/>
    <w:rsid w:val="00E32B7B"/>
    <w:rsid w:val="00E32BAB"/>
    <w:rsid w:val="00E32BC4"/>
    <w:rsid w:val="00E32C4E"/>
    <w:rsid w:val="00E32C6B"/>
    <w:rsid w:val="00E32C87"/>
    <w:rsid w:val="00E32CB4"/>
    <w:rsid w:val="00E32CD0"/>
    <w:rsid w:val="00E32CD5"/>
    <w:rsid w:val="00E32CE0"/>
    <w:rsid w:val="00E32D87"/>
    <w:rsid w:val="00E32E3E"/>
    <w:rsid w:val="00E32E90"/>
    <w:rsid w:val="00E32ED4"/>
    <w:rsid w:val="00E32EED"/>
    <w:rsid w:val="00E32EF1"/>
    <w:rsid w:val="00E32F8C"/>
    <w:rsid w:val="00E32FA1"/>
    <w:rsid w:val="00E32FDA"/>
    <w:rsid w:val="00E3303F"/>
    <w:rsid w:val="00E33067"/>
    <w:rsid w:val="00E33075"/>
    <w:rsid w:val="00E33079"/>
    <w:rsid w:val="00E330CF"/>
    <w:rsid w:val="00E33117"/>
    <w:rsid w:val="00E33121"/>
    <w:rsid w:val="00E33146"/>
    <w:rsid w:val="00E33161"/>
    <w:rsid w:val="00E331C0"/>
    <w:rsid w:val="00E331D3"/>
    <w:rsid w:val="00E33220"/>
    <w:rsid w:val="00E33222"/>
    <w:rsid w:val="00E33257"/>
    <w:rsid w:val="00E3328E"/>
    <w:rsid w:val="00E332AB"/>
    <w:rsid w:val="00E33351"/>
    <w:rsid w:val="00E3335C"/>
    <w:rsid w:val="00E3339D"/>
    <w:rsid w:val="00E333E5"/>
    <w:rsid w:val="00E3342F"/>
    <w:rsid w:val="00E33468"/>
    <w:rsid w:val="00E334BB"/>
    <w:rsid w:val="00E335BD"/>
    <w:rsid w:val="00E3362C"/>
    <w:rsid w:val="00E33669"/>
    <w:rsid w:val="00E336C5"/>
    <w:rsid w:val="00E336C7"/>
    <w:rsid w:val="00E337EB"/>
    <w:rsid w:val="00E3382E"/>
    <w:rsid w:val="00E3384D"/>
    <w:rsid w:val="00E33863"/>
    <w:rsid w:val="00E3387C"/>
    <w:rsid w:val="00E33899"/>
    <w:rsid w:val="00E338A0"/>
    <w:rsid w:val="00E338D7"/>
    <w:rsid w:val="00E338E1"/>
    <w:rsid w:val="00E33940"/>
    <w:rsid w:val="00E33987"/>
    <w:rsid w:val="00E3398A"/>
    <w:rsid w:val="00E33ACF"/>
    <w:rsid w:val="00E33AF6"/>
    <w:rsid w:val="00E33B04"/>
    <w:rsid w:val="00E33B9F"/>
    <w:rsid w:val="00E33BC0"/>
    <w:rsid w:val="00E33BFF"/>
    <w:rsid w:val="00E33C9C"/>
    <w:rsid w:val="00E33CA4"/>
    <w:rsid w:val="00E33D47"/>
    <w:rsid w:val="00E33D97"/>
    <w:rsid w:val="00E33DAB"/>
    <w:rsid w:val="00E33E4F"/>
    <w:rsid w:val="00E33F7D"/>
    <w:rsid w:val="00E34011"/>
    <w:rsid w:val="00E3404F"/>
    <w:rsid w:val="00E340A5"/>
    <w:rsid w:val="00E34164"/>
    <w:rsid w:val="00E34179"/>
    <w:rsid w:val="00E341EC"/>
    <w:rsid w:val="00E34209"/>
    <w:rsid w:val="00E3422E"/>
    <w:rsid w:val="00E3424D"/>
    <w:rsid w:val="00E34278"/>
    <w:rsid w:val="00E34288"/>
    <w:rsid w:val="00E34292"/>
    <w:rsid w:val="00E34297"/>
    <w:rsid w:val="00E342DD"/>
    <w:rsid w:val="00E34306"/>
    <w:rsid w:val="00E34316"/>
    <w:rsid w:val="00E3433A"/>
    <w:rsid w:val="00E3439D"/>
    <w:rsid w:val="00E343E5"/>
    <w:rsid w:val="00E343EB"/>
    <w:rsid w:val="00E34412"/>
    <w:rsid w:val="00E34421"/>
    <w:rsid w:val="00E34436"/>
    <w:rsid w:val="00E34446"/>
    <w:rsid w:val="00E3448A"/>
    <w:rsid w:val="00E344B3"/>
    <w:rsid w:val="00E344B7"/>
    <w:rsid w:val="00E34527"/>
    <w:rsid w:val="00E3453A"/>
    <w:rsid w:val="00E34547"/>
    <w:rsid w:val="00E34598"/>
    <w:rsid w:val="00E345AE"/>
    <w:rsid w:val="00E34632"/>
    <w:rsid w:val="00E346CF"/>
    <w:rsid w:val="00E346D8"/>
    <w:rsid w:val="00E346EF"/>
    <w:rsid w:val="00E34721"/>
    <w:rsid w:val="00E347BA"/>
    <w:rsid w:val="00E34819"/>
    <w:rsid w:val="00E3483E"/>
    <w:rsid w:val="00E3484E"/>
    <w:rsid w:val="00E348D0"/>
    <w:rsid w:val="00E34902"/>
    <w:rsid w:val="00E3491A"/>
    <w:rsid w:val="00E34965"/>
    <w:rsid w:val="00E34976"/>
    <w:rsid w:val="00E34988"/>
    <w:rsid w:val="00E349A7"/>
    <w:rsid w:val="00E349FA"/>
    <w:rsid w:val="00E34A55"/>
    <w:rsid w:val="00E34A66"/>
    <w:rsid w:val="00E34A7C"/>
    <w:rsid w:val="00E34A82"/>
    <w:rsid w:val="00E34A86"/>
    <w:rsid w:val="00E34AA8"/>
    <w:rsid w:val="00E34B1A"/>
    <w:rsid w:val="00E34B87"/>
    <w:rsid w:val="00E34BAB"/>
    <w:rsid w:val="00E34C0E"/>
    <w:rsid w:val="00E34C24"/>
    <w:rsid w:val="00E34C3F"/>
    <w:rsid w:val="00E34C42"/>
    <w:rsid w:val="00E34C93"/>
    <w:rsid w:val="00E34D12"/>
    <w:rsid w:val="00E34D2D"/>
    <w:rsid w:val="00E34D3E"/>
    <w:rsid w:val="00E34D6E"/>
    <w:rsid w:val="00E34DEB"/>
    <w:rsid w:val="00E34E0E"/>
    <w:rsid w:val="00E34E29"/>
    <w:rsid w:val="00E34E5F"/>
    <w:rsid w:val="00E34E88"/>
    <w:rsid w:val="00E34ECB"/>
    <w:rsid w:val="00E34ED4"/>
    <w:rsid w:val="00E34F03"/>
    <w:rsid w:val="00E34F21"/>
    <w:rsid w:val="00E34F3B"/>
    <w:rsid w:val="00E34F42"/>
    <w:rsid w:val="00E34F6D"/>
    <w:rsid w:val="00E34FC5"/>
    <w:rsid w:val="00E34FEC"/>
    <w:rsid w:val="00E3500B"/>
    <w:rsid w:val="00E3506D"/>
    <w:rsid w:val="00E3506E"/>
    <w:rsid w:val="00E35082"/>
    <w:rsid w:val="00E3510F"/>
    <w:rsid w:val="00E35121"/>
    <w:rsid w:val="00E351B7"/>
    <w:rsid w:val="00E3520A"/>
    <w:rsid w:val="00E3525D"/>
    <w:rsid w:val="00E35295"/>
    <w:rsid w:val="00E35338"/>
    <w:rsid w:val="00E35341"/>
    <w:rsid w:val="00E353BC"/>
    <w:rsid w:val="00E353D3"/>
    <w:rsid w:val="00E35410"/>
    <w:rsid w:val="00E3542B"/>
    <w:rsid w:val="00E354B7"/>
    <w:rsid w:val="00E354DC"/>
    <w:rsid w:val="00E354E8"/>
    <w:rsid w:val="00E354F9"/>
    <w:rsid w:val="00E35553"/>
    <w:rsid w:val="00E3555B"/>
    <w:rsid w:val="00E3559D"/>
    <w:rsid w:val="00E35657"/>
    <w:rsid w:val="00E3571B"/>
    <w:rsid w:val="00E35746"/>
    <w:rsid w:val="00E35752"/>
    <w:rsid w:val="00E3576E"/>
    <w:rsid w:val="00E3579A"/>
    <w:rsid w:val="00E357A4"/>
    <w:rsid w:val="00E357BC"/>
    <w:rsid w:val="00E357C7"/>
    <w:rsid w:val="00E357CE"/>
    <w:rsid w:val="00E357CF"/>
    <w:rsid w:val="00E35813"/>
    <w:rsid w:val="00E35880"/>
    <w:rsid w:val="00E358C2"/>
    <w:rsid w:val="00E358CA"/>
    <w:rsid w:val="00E35955"/>
    <w:rsid w:val="00E359B7"/>
    <w:rsid w:val="00E359DF"/>
    <w:rsid w:val="00E359E3"/>
    <w:rsid w:val="00E35A23"/>
    <w:rsid w:val="00E35A61"/>
    <w:rsid w:val="00E35A7A"/>
    <w:rsid w:val="00E35A7D"/>
    <w:rsid w:val="00E35ADA"/>
    <w:rsid w:val="00E35B13"/>
    <w:rsid w:val="00E35B89"/>
    <w:rsid w:val="00E35BA9"/>
    <w:rsid w:val="00E35BDA"/>
    <w:rsid w:val="00E35C49"/>
    <w:rsid w:val="00E35C82"/>
    <w:rsid w:val="00E35CC9"/>
    <w:rsid w:val="00E35D12"/>
    <w:rsid w:val="00E35D4E"/>
    <w:rsid w:val="00E35D66"/>
    <w:rsid w:val="00E35D88"/>
    <w:rsid w:val="00E35E4C"/>
    <w:rsid w:val="00E35ED2"/>
    <w:rsid w:val="00E35F0D"/>
    <w:rsid w:val="00E35F32"/>
    <w:rsid w:val="00E35FE1"/>
    <w:rsid w:val="00E36030"/>
    <w:rsid w:val="00E3603F"/>
    <w:rsid w:val="00E36049"/>
    <w:rsid w:val="00E36097"/>
    <w:rsid w:val="00E3609B"/>
    <w:rsid w:val="00E36112"/>
    <w:rsid w:val="00E3613A"/>
    <w:rsid w:val="00E3614F"/>
    <w:rsid w:val="00E36198"/>
    <w:rsid w:val="00E3621C"/>
    <w:rsid w:val="00E36231"/>
    <w:rsid w:val="00E3625F"/>
    <w:rsid w:val="00E362B7"/>
    <w:rsid w:val="00E36318"/>
    <w:rsid w:val="00E3632C"/>
    <w:rsid w:val="00E363AA"/>
    <w:rsid w:val="00E363D3"/>
    <w:rsid w:val="00E363F7"/>
    <w:rsid w:val="00E36422"/>
    <w:rsid w:val="00E3647B"/>
    <w:rsid w:val="00E364D9"/>
    <w:rsid w:val="00E364FB"/>
    <w:rsid w:val="00E3651C"/>
    <w:rsid w:val="00E36612"/>
    <w:rsid w:val="00E3661A"/>
    <w:rsid w:val="00E36652"/>
    <w:rsid w:val="00E366B6"/>
    <w:rsid w:val="00E366DB"/>
    <w:rsid w:val="00E366FD"/>
    <w:rsid w:val="00E36710"/>
    <w:rsid w:val="00E36747"/>
    <w:rsid w:val="00E3675A"/>
    <w:rsid w:val="00E3677C"/>
    <w:rsid w:val="00E36798"/>
    <w:rsid w:val="00E368D7"/>
    <w:rsid w:val="00E368EC"/>
    <w:rsid w:val="00E36900"/>
    <w:rsid w:val="00E3692E"/>
    <w:rsid w:val="00E36930"/>
    <w:rsid w:val="00E36943"/>
    <w:rsid w:val="00E36980"/>
    <w:rsid w:val="00E36989"/>
    <w:rsid w:val="00E36992"/>
    <w:rsid w:val="00E369C5"/>
    <w:rsid w:val="00E369E4"/>
    <w:rsid w:val="00E369F8"/>
    <w:rsid w:val="00E36A16"/>
    <w:rsid w:val="00E36A30"/>
    <w:rsid w:val="00E36AA7"/>
    <w:rsid w:val="00E36AE9"/>
    <w:rsid w:val="00E36B82"/>
    <w:rsid w:val="00E36B8F"/>
    <w:rsid w:val="00E36BA4"/>
    <w:rsid w:val="00E36BAC"/>
    <w:rsid w:val="00E36BAD"/>
    <w:rsid w:val="00E36BDC"/>
    <w:rsid w:val="00E36C02"/>
    <w:rsid w:val="00E36C0C"/>
    <w:rsid w:val="00E36C6F"/>
    <w:rsid w:val="00E36C7E"/>
    <w:rsid w:val="00E36CB6"/>
    <w:rsid w:val="00E36CC3"/>
    <w:rsid w:val="00E36CE2"/>
    <w:rsid w:val="00E36D00"/>
    <w:rsid w:val="00E36D02"/>
    <w:rsid w:val="00E36D05"/>
    <w:rsid w:val="00E36D3C"/>
    <w:rsid w:val="00E36D54"/>
    <w:rsid w:val="00E36D95"/>
    <w:rsid w:val="00E36D98"/>
    <w:rsid w:val="00E36DDF"/>
    <w:rsid w:val="00E36E06"/>
    <w:rsid w:val="00E36E22"/>
    <w:rsid w:val="00E36E3E"/>
    <w:rsid w:val="00E36E6B"/>
    <w:rsid w:val="00E36E91"/>
    <w:rsid w:val="00E36EB1"/>
    <w:rsid w:val="00E36EC4"/>
    <w:rsid w:val="00E36ED8"/>
    <w:rsid w:val="00E36EEA"/>
    <w:rsid w:val="00E36F0B"/>
    <w:rsid w:val="00E36F1E"/>
    <w:rsid w:val="00E36F34"/>
    <w:rsid w:val="00E36F6F"/>
    <w:rsid w:val="00E36FA1"/>
    <w:rsid w:val="00E36FB4"/>
    <w:rsid w:val="00E37026"/>
    <w:rsid w:val="00E37063"/>
    <w:rsid w:val="00E370B2"/>
    <w:rsid w:val="00E370E8"/>
    <w:rsid w:val="00E370FA"/>
    <w:rsid w:val="00E370FB"/>
    <w:rsid w:val="00E3710B"/>
    <w:rsid w:val="00E37117"/>
    <w:rsid w:val="00E37195"/>
    <w:rsid w:val="00E371B4"/>
    <w:rsid w:val="00E371DE"/>
    <w:rsid w:val="00E371FF"/>
    <w:rsid w:val="00E37229"/>
    <w:rsid w:val="00E37264"/>
    <w:rsid w:val="00E372C0"/>
    <w:rsid w:val="00E372DF"/>
    <w:rsid w:val="00E37308"/>
    <w:rsid w:val="00E37324"/>
    <w:rsid w:val="00E37351"/>
    <w:rsid w:val="00E37454"/>
    <w:rsid w:val="00E37484"/>
    <w:rsid w:val="00E37493"/>
    <w:rsid w:val="00E374AF"/>
    <w:rsid w:val="00E374BD"/>
    <w:rsid w:val="00E374C4"/>
    <w:rsid w:val="00E374E2"/>
    <w:rsid w:val="00E374EB"/>
    <w:rsid w:val="00E37559"/>
    <w:rsid w:val="00E3758D"/>
    <w:rsid w:val="00E375B5"/>
    <w:rsid w:val="00E375D1"/>
    <w:rsid w:val="00E375EA"/>
    <w:rsid w:val="00E375F6"/>
    <w:rsid w:val="00E37601"/>
    <w:rsid w:val="00E37607"/>
    <w:rsid w:val="00E37679"/>
    <w:rsid w:val="00E376D6"/>
    <w:rsid w:val="00E37704"/>
    <w:rsid w:val="00E37734"/>
    <w:rsid w:val="00E37762"/>
    <w:rsid w:val="00E377D6"/>
    <w:rsid w:val="00E3781F"/>
    <w:rsid w:val="00E37854"/>
    <w:rsid w:val="00E37860"/>
    <w:rsid w:val="00E378BD"/>
    <w:rsid w:val="00E378CF"/>
    <w:rsid w:val="00E378DB"/>
    <w:rsid w:val="00E3791E"/>
    <w:rsid w:val="00E37941"/>
    <w:rsid w:val="00E379A3"/>
    <w:rsid w:val="00E379AB"/>
    <w:rsid w:val="00E379B6"/>
    <w:rsid w:val="00E379C8"/>
    <w:rsid w:val="00E379FA"/>
    <w:rsid w:val="00E37A34"/>
    <w:rsid w:val="00E37A3A"/>
    <w:rsid w:val="00E37A5C"/>
    <w:rsid w:val="00E37AA1"/>
    <w:rsid w:val="00E37AE1"/>
    <w:rsid w:val="00E37B66"/>
    <w:rsid w:val="00E37BB1"/>
    <w:rsid w:val="00E37BF2"/>
    <w:rsid w:val="00E37C52"/>
    <w:rsid w:val="00E37CE3"/>
    <w:rsid w:val="00E37D1D"/>
    <w:rsid w:val="00E37D83"/>
    <w:rsid w:val="00E37D91"/>
    <w:rsid w:val="00E37DAF"/>
    <w:rsid w:val="00E37DD9"/>
    <w:rsid w:val="00E37DF7"/>
    <w:rsid w:val="00E37E0C"/>
    <w:rsid w:val="00E37E67"/>
    <w:rsid w:val="00E37E6F"/>
    <w:rsid w:val="00E37E96"/>
    <w:rsid w:val="00E37EBB"/>
    <w:rsid w:val="00E37F40"/>
    <w:rsid w:val="00E37F79"/>
    <w:rsid w:val="00E37F9A"/>
    <w:rsid w:val="00E37FA6"/>
    <w:rsid w:val="00E37FB5"/>
    <w:rsid w:val="00E37FD5"/>
    <w:rsid w:val="00E37FFD"/>
    <w:rsid w:val="00E40017"/>
    <w:rsid w:val="00E40047"/>
    <w:rsid w:val="00E40054"/>
    <w:rsid w:val="00E40058"/>
    <w:rsid w:val="00E40092"/>
    <w:rsid w:val="00E400E1"/>
    <w:rsid w:val="00E40118"/>
    <w:rsid w:val="00E40127"/>
    <w:rsid w:val="00E401AE"/>
    <w:rsid w:val="00E401CB"/>
    <w:rsid w:val="00E401D1"/>
    <w:rsid w:val="00E40262"/>
    <w:rsid w:val="00E40270"/>
    <w:rsid w:val="00E40312"/>
    <w:rsid w:val="00E40322"/>
    <w:rsid w:val="00E40346"/>
    <w:rsid w:val="00E4036D"/>
    <w:rsid w:val="00E403E5"/>
    <w:rsid w:val="00E403F9"/>
    <w:rsid w:val="00E4041F"/>
    <w:rsid w:val="00E40432"/>
    <w:rsid w:val="00E40482"/>
    <w:rsid w:val="00E404E1"/>
    <w:rsid w:val="00E40517"/>
    <w:rsid w:val="00E40564"/>
    <w:rsid w:val="00E40565"/>
    <w:rsid w:val="00E40593"/>
    <w:rsid w:val="00E405C9"/>
    <w:rsid w:val="00E405DE"/>
    <w:rsid w:val="00E40602"/>
    <w:rsid w:val="00E40604"/>
    <w:rsid w:val="00E40648"/>
    <w:rsid w:val="00E4066E"/>
    <w:rsid w:val="00E406A3"/>
    <w:rsid w:val="00E406A6"/>
    <w:rsid w:val="00E406E6"/>
    <w:rsid w:val="00E40702"/>
    <w:rsid w:val="00E40771"/>
    <w:rsid w:val="00E40799"/>
    <w:rsid w:val="00E407B3"/>
    <w:rsid w:val="00E408E4"/>
    <w:rsid w:val="00E40903"/>
    <w:rsid w:val="00E4093E"/>
    <w:rsid w:val="00E4096A"/>
    <w:rsid w:val="00E40977"/>
    <w:rsid w:val="00E40978"/>
    <w:rsid w:val="00E4098E"/>
    <w:rsid w:val="00E409F3"/>
    <w:rsid w:val="00E40A1A"/>
    <w:rsid w:val="00E40A35"/>
    <w:rsid w:val="00E40A72"/>
    <w:rsid w:val="00E40AB1"/>
    <w:rsid w:val="00E40B07"/>
    <w:rsid w:val="00E40B57"/>
    <w:rsid w:val="00E40B5E"/>
    <w:rsid w:val="00E40BFB"/>
    <w:rsid w:val="00E40C02"/>
    <w:rsid w:val="00E40C49"/>
    <w:rsid w:val="00E40C96"/>
    <w:rsid w:val="00E40CAC"/>
    <w:rsid w:val="00E40CE5"/>
    <w:rsid w:val="00E40CFA"/>
    <w:rsid w:val="00E40D13"/>
    <w:rsid w:val="00E40D1B"/>
    <w:rsid w:val="00E40D2E"/>
    <w:rsid w:val="00E40D36"/>
    <w:rsid w:val="00E40D5B"/>
    <w:rsid w:val="00E40E0F"/>
    <w:rsid w:val="00E40E18"/>
    <w:rsid w:val="00E40E6B"/>
    <w:rsid w:val="00E40E8D"/>
    <w:rsid w:val="00E40F07"/>
    <w:rsid w:val="00E40F4C"/>
    <w:rsid w:val="00E40F7C"/>
    <w:rsid w:val="00E40F83"/>
    <w:rsid w:val="00E40FDF"/>
    <w:rsid w:val="00E40FE4"/>
    <w:rsid w:val="00E41062"/>
    <w:rsid w:val="00E410BA"/>
    <w:rsid w:val="00E410E2"/>
    <w:rsid w:val="00E4110B"/>
    <w:rsid w:val="00E4129D"/>
    <w:rsid w:val="00E412D3"/>
    <w:rsid w:val="00E41303"/>
    <w:rsid w:val="00E41348"/>
    <w:rsid w:val="00E413C9"/>
    <w:rsid w:val="00E4146F"/>
    <w:rsid w:val="00E414AA"/>
    <w:rsid w:val="00E414AD"/>
    <w:rsid w:val="00E41528"/>
    <w:rsid w:val="00E415B6"/>
    <w:rsid w:val="00E415F3"/>
    <w:rsid w:val="00E41650"/>
    <w:rsid w:val="00E41681"/>
    <w:rsid w:val="00E41695"/>
    <w:rsid w:val="00E4169A"/>
    <w:rsid w:val="00E416B0"/>
    <w:rsid w:val="00E416D5"/>
    <w:rsid w:val="00E41730"/>
    <w:rsid w:val="00E41752"/>
    <w:rsid w:val="00E4179E"/>
    <w:rsid w:val="00E417F8"/>
    <w:rsid w:val="00E41817"/>
    <w:rsid w:val="00E41870"/>
    <w:rsid w:val="00E41871"/>
    <w:rsid w:val="00E41894"/>
    <w:rsid w:val="00E4189D"/>
    <w:rsid w:val="00E418A9"/>
    <w:rsid w:val="00E418B4"/>
    <w:rsid w:val="00E418D0"/>
    <w:rsid w:val="00E418F6"/>
    <w:rsid w:val="00E4192A"/>
    <w:rsid w:val="00E4192B"/>
    <w:rsid w:val="00E4193D"/>
    <w:rsid w:val="00E41940"/>
    <w:rsid w:val="00E41950"/>
    <w:rsid w:val="00E4196C"/>
    <w:rsid w:val="00E419AF"/>
    <w:rsid w:val="00E419CE"/>
    <w:rsid w:val="00E419D5"/>
    <w:rsid w:val="00E41A0F"/>
    <w:rsid w:val="00E41A2C"/>
    <w:rsid w:val="00E41A75"/>
    <w:rsid w:val="00E41A97"/>
    <w:rsid w:val="00E41AA7"/>
    <w:rsid w:val="00E41AFB"/>
    <w:rsid w:val="00E41B63"/>
    <w:rsid w:val="00E41BA3"/>
    <w:rsid w:val="00E41BCB"/>
    <w:rsid w:val="00E41BE9"/>
    <w:rsid w:val="00E41C06"/>
    <w:rsid w:val="00E41C30"/>
    <w:rsid w:val="00E41C46"/>
    <w:rsid w:val="00E41C4E"/>
    <w:rsid w:val="00E41C96"/>
    <w:rsid w:val="00E41CC9"/>
    <w:rsid w:val="00E41CE1"/>
    <w:rsid w:val="00E41D0C"/>
    <w:rsid w:val="00E41D1B"/>
    <w:rsid w:val="00E41D22"/>
    <w:rsid w:val="00E41D29"/>
    <w:rsid w:val="00E41D8A"/>
    <w:rsid w:val="00E41DA7"/>
    <w:rsid w:val="00E41DA8"/>
    <w:rsid w:val="00E41DD9"/>
    <w:rsid w:val="00E41E34"/>
    <w:rsid w:val="00E41ED7"/>
    <w:rsid w:val="00E41EE8"/>
    <w:rsid w:val="00E41EF5"/>
    <w:rsid w:val="00E41F1E"/>
    <w:rsid w:val="00E41F86"/>
    <w:rsid w:val="00E41F9A"/>
    <w:rsid w:val="00E41FA5"/>
    <w:rsid w:val="00E41FAA"/>
    <w:rsid w:val="00E42035"/>
    <w:rsid w:val="00E4203A"/>
    <w:rsid w:val="00E42077"/>
    <w:rsid w:val="00E420CC"/>
    <w:rsid w:val="00E4210D"/>
    <w:rsid w:val="00E4215D"/>
    <w:rsid w:val="00E42164"/>
    <w:rsid w:val="00E42171"/>
    <w:rsid w:val="00E421D3"/>
    <w:rsid w:val="00E4222C"/>
    <w:rsid w:val="00E42262"/>
    <w:rsid w:val="00E422A8"/>
    <w:rsid w:val="00E422FE"/>
    <w:rsid w:val="00E4235D"/>
    <w:rsid w:val="00E42368"/>
    <w:rsid w:val="00E42387"/>
    <w:rsid w:val="00E423AA"/>
    <w:rsid w:val="00E423D7"/>
    <w:rsid w:val="00E423F5"/>
    <w:rsid w:val="00E42408"/>
    <w:rsid w:val="00E4245C"/>
    <w:rsid w:val="00E42506"/>
    <w:rsid w:val="00E4255A"/>
    <w:rsid w:val="00E425B9"/>
    <w:rsid w:val="00E425BC"/>
    <w:rsid w:val="00E425C9"/>
    <w:rsid w:val="00E425E4"/>
    <w:rsid w:val="00E425E9"/>
    <w:rsid w:val="00E425EB"/>
    <w:rsid w:val="00E42604"/>
    <w:rsid w:val="00E42630"/>
    <w:rsid w:val="00E4264F"/>
    <w:rsid w:val="00E426DF"/>
    <w:rsid w:val="00E42739"/>
    <w:rsid w:val="00E427E2"/>
    <w:rsid w:val="00E4281F"/>
    <w:rsid w:val="00E42830"/>
    <w:rsid w:val="00E42855"/>
    <w:rsid w:val="00E42867"/>
    <w:rsid w:val="00E428A6"/>
    <w:rsid w:val="00E428CB"/>
    <w:rsid w:val="00E428CC"/>
    <w:rsid w:val="00E428D7"/>
    <w:rsid w:val="00E4294B"/>
    <w:rsid w:val="00E4299D"/>
    <w:rsid w:val="00E429A5"/>
    <w:rsid w:val="00E429F6"/>
    <w:rsid w:val="00E42A1D"/>
    <w:rsid w:val="00E42A20"/>
    <w:rsid w:val="00E42A6C"/>
    <w:rsid w:val="00E42A81"/>
    <w:rsid w:val="00E42AA9"/>
    <w:rsid w:val="00E42AE4"/>
    <w:rsid w:val="00E42B01"/>
    <w:rsid w:val="00E42BA5"/>
    <w:rsid w:val="00E42BE2"/>
    <w:rsid w:val="00E42C23"/>
    <w:rsid w:val="00E42C75"/>
    <w:rsid w:val="00E42CA7"/>
    <w:rsid w:val="00E42CD3"/>
    <w:rsid w:val="00E42CFD"/>
    <w:rsid w:val="00E42D96"/>
    <w:rsid w:val="00E42DB9"/>
    <w:rsid w:val="00E42DC8"/>
    <w:rsid w:val="00E42E79"/>
    <w:rsid w:val="00E42EA8"/>
    <w:rsid w:val="00E42EE5"/>
    <w:rsid w:val="00E42F70"/>
    <w:rsid w:val="00E42F92"/>
    <w:rsid w:val="00E42FD5"/>
    <w:rsid w:val="00E43063"/>
    <w:rsid w:val="00E43069"/>
    <w:rsid w:val="00E430C5"/>
    <w:rsid w:val="00E430F0"/>
    <w:rsid w:val="00E430F9"/>
    <w:rsid w:val="00E43138"/>
    <w:rsid w:val="00E43151"/>
    <w:rsid w:val="00E4315F"/>
    <w:rsid w:val="00E43161"/>
    <w:rsid w:val="00E431A3"/>
    <w:rsid w:val="00E431C5"/>
    <w:rsid w:val="00E43221"/>
    <w:rsid w:val="00E43228"/>
    <w:rsid w:val="00E43246"/>
    <w:rsid w:val="00E43279"/>
    <w:rsid w:val="00E4327C"/>
    <w:rsid w:val="00E4327E"/>
    <w:rsid w:val="00E43282"/>
    <w:rsid w:val="00E43288"/>
    <w:rsid w:val="00E432C2"/>
    <w:rsid w:val="00E432C4"/>
    <w:rsid w:val="00E432F6"/>
    <w:rsid w:val="00E43356"/>
    <w:rsid w:val="00E433A2"/>
    <w:rsid w:val="00E433C7"/>
    <w:rsid w:val="00E43402"/>
    <w:rsid w:val="00E43480"/>
    <w:rsid w:val="00E4349B"/>
    <w:rsid w:val="00E434DA"/>
    <w:rsid w:val="00E43511"/>
    <w:rsid w:val="00E4352F"/>
    <w:rsid w:val="00E4353A"/>
    <w:rsid w:val="00E4354F"/>
    <w:rsid w:val="00E43565"/>
    <w:rsid w:val="00E4356D"/>
    <w:rsid w:val="00E435AC"/>
    <w:rsid w:val="00E435C3"/>
    <w:rsid w:val="00E435CD"/>
    <w:rsid w:val="00E435DE"/>
    <w:rsid w:val="00E435E1"/>
    <w:rsid w:val="00E435FE"/>
    <w:rsid w:val="00E4360A"/>
    <w:rsid w:val="00E43641"/>
    <w:rsid w:val="00E4365B"/>
    <w:rsid w:val="00E4375C"/>
    <w:rsid w:val="00E437AA"/>
    <w:rsid w:val="00E438A2"/>
    <w:rsid w:val="00E438AB"/>
    <w:rsid w:val="00E438BF"/>
    <w:rsid w:val="00E4393B"/>
    <w:rsid w:val="00E439CA"/>
    <w:rsid w:val="00E439F6"/>
    <w:rsid w:val="00E43A59"/>
    <w:rsid w:val="00E43A5F"/>
    <w:rsid w:val="00E43A8B"/>
    <w:rsid w:val="00E43AA6"/>
    <w:rsid w:val="00E43B12"/>
    <w:rsid w:val="00E43B3D"/>
    <w:rsid w:val="00E43BFB"/>
    <w:rsid w:val="00E43C00"/>
    <w:rsid w:val="00E43C25"/>
    <w:rsid w:val="00E43C29"/>
    <w:rsid w:val="00E43C2C"/>
    <w:rsid w:val="00E43C30"/>
    <w:rsid w:val="00E43C34"/>
    <w:rsid w:val="00E43CDF"/>
    <w:rsid w:val="00E43CFB"/>
    <w:rsid w:val="00E43D43"/>
    <w:rsid w:val="00E43D6C"/>
    <w:rsid w:val="00E43D7C"/>
    <w:rsid w:val="00E43DB8"/>
    <w:rsid w:val="00E43DF5"/>
    <w:rsid w:val="00E43E43"/>
    <w:rsid w:val="00E43F44"/>
    <w:rsid w:val="00E43F6C"/>
    <w:rsid w:val="00E43FB4"/>
    <w:rsid w:val="00E4402D"/>
    <w:rsid w:val="00E44069"/>
    <w:rsid w:val="00E4410B"/>
    <w:rsid w:val="00E4411D"/>
    <w:rsid w:val="00E4412B"/>
    <w:rsid w:val="00E4414A"/>
    <w:rsid w:val="00E441D6"/>
    <w:rsid w:val="00E441F4"/>
    <w:rsid w:val="00E44251"/>
    <w:rsid w:val="00E442F3"/>
    <w:rsid w:val="00E442FF"/>
    <w:rsid w:val="00E44319"/>
    <w:rsid w:val="00E44342"/>
    <w:rsid w:val="00E44354"/>
    <w:rsid w:val="00E44378"/>
    <w:rsid w:val="00E44401"/>
    <w:rsid w:val="00E44404"/>
    <w:rsid w:val="00E4440B"/>
    <w:rsid w:val="00E4441E"/>
    <w:rsid w:val="00E44423"/>
    <w:rsid w:val="00E444D9"/>
    <w:rsid w:val="00E4450D"/>
    <w:rsid w:val="00E4450E"/>
    <w:rsid w:val="00E44522"/>
    <w:rsid w:val="00E44525"/>
    <w:rsid w:val="00E445CA"/>
    <w:rsid w:val="00E44600"/>
    <w:rsid w:val="00E44630"/>
    <w:rsid w:val="00E446DC"/>
    <w:rsid w:val="00E446FF"/>
    <w:rsid w:val="00E4479C"/>
    <w:rsid w:val="00E447F0"/>
    <w:rsid w:val="00E4480E"/>
    <w:rsid w:val="00E4483F"/>
    <w:rsid w:val="00E4485E"/>
    <w:rsid w:val="00E44875"/>
    <w:rsid w:val="00E44887"/>
    <w:rsid w:val="00E4488D"/>
    <w:rsid w:val="00E448C9"/>
    <w:rsid w:val="00E44934"/>
    <w:rsid w:val="00E44944"/>
    <w:rsid w:val="00E44951"/>
    <w:rsid w:val="00E449C0"/>
    <w:rsid w:val="00E44A0A"/>
    <w:rsid w:val="00E44A30"/>
    <w:rsid w:val="00E44A8E"/>
    <w:rsid w:val="00E44B05"/>
    <w:rsid w:val="00E44B1A"/>
    <w:rsid w:val="00E44B3D"/>
    <w:rsid w:val="00E44B49"/>
    <w:rsid w:val="00E44B89"/>
    <w:rsid w:val="00E44BB6"/>
    <w:rsid w:val="00E44BBD"/>
    <w:rsid w:val="00E44BCB"/>
    <w:rsid w:val="00E44BCD"/>
    <w:rsid w:val="00E44BD4"/>
    <w:rsid w:val="00E44BD5"/>
    <w:rsid w:val="00E44BD7"/>
    <w:rsid w:val="00E44C06"/>
    <w:rsid w:val="00E44C39"/>
    <w:rsid w:val="00E44C64"/>
    <w:rsid w:val="00E44C8E"/>
    <w:rsid w:val="00E44CB7"/>
    <w:rsid w:val="00E44CD8"/>
    <w:rsid w:val="00E44CFC"/>
    <w:rsid w:val="00E44D12"/>
    <w:rsid w:val="00E44E79"/>
    <w:rsid w:val="00E44EFE"/>
    <w:rsid w:val="00E44F11"/>
    <w:rsid w:val="00E44F23"/>
    <w:rsid w:val="00E44F30"/>
    <w:rsid w:val="00E44F5F"/>
    <w:rsid w:val="00E44F92"/>
    <w:rsid w:val="00E44FAE"/>
    <w:rsid w:val="00E45019"/>
    <w:rsid w:val="00E45027"/>
    <w:rsid w:val="00E4503F"/>
    <w:rsid w:val="00E450AF"/>
    <w:rsid w:val="00E450F7"/>
    <w:rsid w:val="00E451A4"/>
    <w:rsid w:val="00E451F4"/>
    <w:rsid w:val="00E451FF"/>
    <w:rsid w:val="00E4523F"/>
    <w:rsid w:val="00E4525D"/>
    <w:rsid w:val="00E45287"/>
    <w:rsid w:val="00E452AB"/>
    <w:rsid w:val="00E452C4"/>
    <w:rsid w:val="00E45339"/>
    <w:rsid w:val="00E4534C"/>
    <w:rsid w:val="00E4537B"/>
    <w:rsid w:val="00E453A0"/>
    <w:rsid w:val="00E453AD"/>
    <w:rsid w:val="00E4541A"/>
    <w:rsid w:val="00E4542D"/>
    <w:rsid w:val="00E4548F"/>
    <w:rsid w:val="00E454A0"/>
    <w:rsid w:val="00E454C7"/>
    <w:rsid w:val="00E454FD"/>
    <w:rsid w:val="00E4551E"/>
    <w:rsid w:val="00E45534"/>
    <w:rsid w:val="00E4557E"/>
    <w:rsid w:val="00E4559E"/>
    <w:rsid w:val="00E455B7"/>
    <w:rsid w:val="00E455C7"/>
    <w:rsid w:val="00E455C8"/>
    <w:rsid w:val="00E455E2"/>
    <w:rsid w:val="00E455F3"/>
    <w:rsid w:val="00E455F5"/>
    <w:rsid w:val="00E45611"/>
    <w:rsid w:val="00E4563A"/>
    <w:rsid w:val="00E4566A"/>
    <w:rsid w:val="00E45690"/>
    <w:rsid w:val="00E45693"/>
    <w:rsid w:val="00E456A0"/>
    <w:rsid w:val="00E45732"/>
    <w:rsid w:val="00E45740"/>
    <w:rsid w:val="00E45795"/>
    <w:rsid w:val="00E457B5"/>
    <w:rsid w:val="00E457C3"/>
    <w:rsid w:val="00E457CB"/>
    <w:rsid w:val="00E457D9"/>
    <w:rsid w:val="00E4582A"/>
    <w:rsid w:val="00E45842"/>
    <w:rsid w:val="00E4588D"/>
    <w:rsid w:val="00E45899"/>
    <w:rsid w:val="00E458B8"/>
    <w:rsid w:val="00E458EE"/>
    <w:rsid w:val="00E45919"/>
    <w:rsid w:val="00E4594E"/>
    <w:rsid w:val="00E459B0"/>
    <w:rsid w:val="00E459D9"/>
    <w:rsid w:val="00E45A45"/>
    <w:rsid w:val="00E45AAF"/>
    <w:rsid w:val="00E45ABD"/>
    <w:rsid w:val="00E45B6D"/>
    <w:rsid w:val="00E45BB6"/>
    <w:rsid w:val="00E45BC2"/>
    <w:rsid w:val="00E45BC8"/>
    <w:rsid w:val="00E45BCC"/>
    <w:rsid w:val="00E45BFF"/>
    <w:rsid w:val="00E45C06"/>
    <w:rsid w:val="00E45C09"/>
    <w:rsid w:val="00E45C2E"/>
    <w:rsid w:val="00E45C5A"/>
    <w:rsid w:val="00E45CE5"/>
    <w:rsid w:val="00E45CF2"/>
    <w:rsid w:val="00E45D03"/>
    <w:rsid w:val="00E45D05"/>
    <w:rsid w:val="00E45DB9"/>
    <w:rsid w:val="00E45DBC"/>
    <w:rsid w:val="00E45DFB"/>
    <w:rsid w:val="00E45E18"/>
    <w:rsid w:val="00E45E1A"/>
    <w:rsid w:val="00E45E4C"/>
    <w:rsid w:val="00E45E6A"/>
    <w:rsid w:val="00E45E6D"/>
    <w:rsid w:val="00E45E8C"/>
    <w:rsid w:val="00E45EAC"/>
    <w:rsid w:val="00E45ECD"/>
    <w:rsid w:val="00E45F05"/>
    <w:rsid w:val="00E45F16"/>
    <w:rsid w:val="00E45F52"/>
    <w:rsid w:val="00E4601A"/>
    <w:rsid w:val="00E46064"/>
    <w:rsid w:val="00E46073"/>
    <w:rsid w:val="00E460A0"/>
    <w:rsid w:val="00E460AC"/>
    <w:rsid w:val="00E460CC"/>
    <w:rsid w:val="00E46105"/>
    <w:rsid w:val="00E46149"/>
    <w:rsid w:val="00E46158"/>
    <w:rsid w:val="00E461C2"/>
    <w:rsid w:val="00E461E0"/>
    <w:rsid w:val="00E46210"/>
    <w:rsid w:val="00E46232"/>
    <w:rsid w:val="00E46271"/>
    <w:rsid w:val="00E46297"/>
    <w:rsid w:val="00E46298"/>
    <w:rsid w:val="00E462E8"/>
    <w:rsid w:val="00E4630F"/>
    <w:rsid w:val="00E46311"/>
    <w:rsid w:val="00E4635D"/>
    <w:rsid w:val="00E463E3"/>
    <w:rsid w:val="00E46441"/>
    <w:rsid w:val="00E464D7"/>
    <w:rsid w:val="00E464EA"/>
    <w:rsid w:val="00E4650C"/>
    <w:rsid w:val="00E46537"/>
    <w:rsid w:val="00E46569"/>
    <w:rsid w:val="00E4658D"/>
    <w:rsid w:val="00E4658E"/>
    <w:rsid w:val="00E465AB"/>
    <w:rsid w:val="00E465C8"/>
    <w:rsid w:val="00E46629"/>
    <w:rsid w:val="00E46638"/>
    <w:rsid w:val="00E4664F"/>
    <w:rsid w:val="00E46658"/>
    <w:rsid w:val="00E46688"/>
    <w:rsid w:val="00E466CA"/>
    <w:rsid w:val="00E46747"/>
    <w:rsid w:val="00E46759"/>
    <w:rsid w:val="00E46783"/>
    <w:rsid w:val="00E4679F"/>
    <w:rsid w:val="00E467A1"/>
    <w:rsid w:val="00E467CB"/>
    <w:rsid w:val="00E46804"/>
    <w:rsid w:val="00E46805"/>
    <w:rsid w:val="00E46869"/>
    <w:rsid w:val="00E4687B"/>
    <w:rsid w:val="00E468E8"/>
    <w:rsid w:val="00E468F5"/>
    <w:rsid w:val="00E46932"/>
    <w:rsid w:val="00E46970"/>
    <w:rsid w:val="00E46986"/>
    <w:rsid w:val="00E4698F"/>
    <w:rsid w:val="00E469AF"/>
    <w:rsid w:val="00E469E6"/>
    <w:rsid w:val="00E46A19"/>
    <w:rsid w:val="00E46A30"/>
    <w:rsid w:val="00E46A4F"/>
    <w:rsid w:val="00E46A5B"/>
    <w:rsid w:val="00E46AA3"/>
    <w:rsid w:val="00E46AD4"/>
    <w:rsid w:val="00E46AFC"/>
    <w:rsid w:val="00E46BA9"/>
    <w:rsid w:val="00E46BB5"/>
    <w:rsid w:val="00E46BD4"/>
    <w:rsid w:val="00E46BD6"/>
    <w:rsid w:val="00E46C5E"/>
    <w:rsid w:val="00E46C67"/>
    <w:rsid w:val="00E46CB8"/>
    <w:rsid w:val="00E46CDB"/>
    <w:rsid w:val="00E46D82"/>
    <w:rsid w:val="00E46D9B"/>
    <w:rsid w:val="00E46DB4"/>
    <w:rsid w:val="00E46DFE"/>
    <w:rsid w:val="00E46E25"/>
    <w:rsid w:val="00E46E78"/>
    <w:rsid w:val="00E46E8F"/>
    <w:rsid w:val="00E46EA1"/>
    <w:rsid w:val="00E46EA2"/>
    <w:rsid w:val="00E46F03"/>
    <w:rsid w:val="00E46FB5"/>
    <w:rsid w:val="00E46FE0"/>
    <w:rsid w:val="00E470B5"/>
    <w:rsid w:val="00E470E1"/>
    <w:rsid w:val="00E4712D"/>
    <w:rsid w:val="00E47133"/>
    <w:rsid w:val="00E4714F"/>
    <w:rsid w:val="00E4719B"/>
    <w:rsid w:val="00E471CA"/>
    <w:rsid w:val="00E4725F"/>
    <w:rsid w:val="00E47273"/>
    <w:rsid w:val="00E4727C"/>
    <w:rsid w:val="00E472CB"/>
    <w:rsid w:val="00E47347"/>
    <w:rsid w:val="00E47365"/>
    <w:rsid w:val="00E473A3"/>
    <w:rsid w:val="00E47411"/>
    <w:rsid w:val="00E47419"/>
    <w:rsid w:val="00E4742A"/>
    <w:rsid w:val="00E47443"/>
    <w:rsid w:val="00E4746E"/>
    <w:rsid w:val="00E4748F"/>
    <w:rsid w:val="00E474C5"/>
    <w:rsid w:val="00E474DD"/>
    <w:rsid w:val="00E474F1"/>
    <w:rsid w:val="00E474F6"/>
    <w:rsid w:val="00E47558"/>
    <w:rsid w:val="00E4758B"/>
    <w:rsid w:val="00E475BD"/>
    <w:rsid w:val="00E475E9"/>
    <w:rsid w:val="00E4765C"/>
    <w:rsid w:val="00E47660"/>
    <w:rsid w:val="00E476A6"/>
    <w:rsid w:val="00E476A9"/>
    <w:rsid w:val="00E476AB"/>
    <w:rsid w:val="00E476BC"/>
    <w:rsid w:val="00E476E3"/>
    <w:rsid w:val="00E4779E"/>
    <w:rsid w:val="00E477D2"/>
    <w:rsid w:val="00E477D6"/>
    <w:rsid w:val="00E4782D"/>
    <w:rsid w:val="00E47833"/>
    <w:rsid w:val="00E47843"/>
    <w:rsid w:val="00E47862"/>
    <w:rsid w:val="00E478BA"/>
    <w:rsid w:val="00E478EF"/>
    <w:rsid w:val="00E47952"/>
    <w:rsid w:val="00E479A1"/>
    <w:rsid w:val="00E479AE"/>
    <w:rsid w:val="00E47A17"/>
    <w:rsid w:val="00E47A3F"/>
    <w:rsid w:val="00E47A61"/>
    <w:rsid w:val="00E47ABC"/>
    <w:rsid w:val="00E47AC0"/>
    <w:rsid w:val="00E47ACC"/>
    <w:rsid w:val="00E47ADF"/>
    <w:rsid w:val="00E47B21"/>
    <w:rsid w:val="00E47B75"/>
    <w:rsid w:val="00E47B7C"/>
    <w:rsid w:val="00E47B8C"/>
    <w:rsid w:val="00E47B91"/>
    <w:rsid w:val="00E47BAC"/>
    <w:rsid w:val="00E47BBF"/>
    <w:rsid w:val="00E47C26"/>
    <w:rsid w:val="00E47C6F"/>
    <w:rsid w:val="00E47C7F"/>
    <w:rsid w:val="00E47CC2"/>
    <w:rsid w:val="00E47CD0"/>
    <w:rsid w:val="00E47CD6"/>
    <w:rsid w:val="00E47CF5"/>
    <w:rsid w:val="00E47D06"/>
    <w:rsid w:val="00E47D2F"/>
    <w:rsid w:val="00E47D3C"/>
    <w:rsid w:val="00E47D54"/>
    <w:rsid w:val="00E47DED"/>
    <w:rsid w:val="00E47E18"/>
    <w:rsid w:val="00E47ED2"/>
    <w:rsid w:val="00E47F79"/>
    <w:rsid w:val="00E47F8A"/>
    <w:rsid w:val="00E47FD5"/>
    <w:rsid w:val="00E5000F"/>
    <w:rsid w:val="00E5002A"/>
    <w:rsid w:val="00E50049"/>
    <w:rsid w:val="00E5006B"/>
    <w:rsid w:val="00E50082"/>
    <w:rsid w:val="00E500B9"/>
    <w:rsid w:val="00E500C0"/>
    <w:rsid w:val="00E500DD"/>
    <w:rsid w:val="00E500E8"/>
    <w:rsid w:val="00E500EF"/>
    <w:rsid w:val="00E501AD"/>
    <w:rsid w:val="00E501C8"/>
    <w:rsid w:val="00E50212"/>
    <w:rsid w:val="00E50242"/>
    <w:rsid w:val="00E50268"/>
    <w:rsid w:val="00E50272"/>
    <w:rsid w:val="00E50288"/>
    <w:rsid w:val="00E50296"/>
    <w:rsid w:val="00E50298"/>
    <w:rsid w:val="00E5029B"/>
    <w:rsid w:val="00E502C3"/>
    <w:rsid w:val="00E502CE"/>
    <w:rsid w:val="00E502E6"/>
    <w:rsid w:val="00E502F2"/>
    <w:rsid w:val="00E50321"/>
    <w:rsid w:val="00E5044E"/>
    <w:rsid w:val="00E50483"/>
    <w:rsid w:val="00E50487"/>
    <w:rsid w:val="00E50543"/>
    <w:rsid w:val="00E5055D"/>
    <w:rsid w:val="00E50574"/>
    <w:rsid w:val="00E505DE"/>
    <w:rsid w:val="00E505DF"/>
    <w:rsid w:val="00E505F5"/>
    <w:rsid w:val="00E50600"/>
    <w:rsid w:val="00E5061F"/>
    <w:rsid w:val="00E50639"/>
    <w:rsid w:val="00E50644"/>
    <w:rsid w:val="00E50654"/>
    <w:rsid w:val="00E506A5"/>
    <w:rsid w:val="00E5076B"/>
    <w:rsid w:val="00E50773"/>
    <w:rsid w:val="00E50790"/>
    <w:rsid w:val="00E507C6"/>
    <w:rsid w:val="00E507DB"/>
    <w:rsid w:val="00E507E0"/>
    <w:rsid w:val="00E507E9"/>
    <w:rsid w:val="00E507EB"/>
    <w:rsid w:val="00E507FE"/>
    <w:rsid w:val="00E50818"/>
    <w:rsid w:val="00E50834"/>
    <w:rsid w:val="00E50887"/>
    <w:rsid w:val="00E508E1"/>
    <w:rsid w:val="00E5091F"/>
    <w:rsid w:val="00E5095A"/>
    <w:rsid w:val="00E50992"/>
    <w:rsid w:val="00E509A4"/>
    <w:rsid w:val="00E509D4"/>
    <w:rsid w:val="00E509F3"/>
    <w:rsid w:val="00E50A24"/>
    <w:rsid w:val="00E50A3B"/>
    <w:rsid w:val="00E50A44"/>
    <w:rsid w:val="00E50A80"/>
    <w:rsid w:val="00E50AAD"/>
    <w:rsid w:val="00E50AF3"/>
    <w:rsid w:val="00E50AFF"/>
    <w:rsid w:val="00E50B04"/>
    <w:rsid w:val="00E50B2E"/>
    <w:rsid w:val="00E50B4F"/>
    <w:rsid w:val="00E50BC2"/>
    <w:rsid w:val="00E50BD4"/>
    <w:rsid w:val="00E50BF5"/>
    <w:rsid w:val="00E50C5E"/>
    <w:rsid w:val="00E50C7B"/>
    <w:rsid w:val="00E50CD0"/>
    <w:rsid w:val="00E50CEF"/>
    <w:rsid w:val="00E50D32"/>
    <w:rsid w:val="00E50D7F"/>
    <w:rsid w:val="00E50E1A"/>
    <w:rsid w:val="00E50E73"/>
    <w:rsid w:val="00E50E7C"/>
    <w:rsid w:val="00E50EDD"/>
    <w:rsid w:val="00E50EE2"/>
    <w:rsid w:val="00E50F23"/>
    <w:rsid w:val="00E50F4E"/>
    <w:rsid w:val="00E50F5A"/>
    <w:rsid w:val="00E50F79"/>
    <w:rsid w:val="00E50F82"/>
    <w:rsid w:val="00E50FD3"/>
    <w:rsid w:val="00E50FF4"/>
    <w:rsid w:val="00E51007"/>
    <w:rsid w:val="00E5101D"/>
    <w:rsid w:val="00E51053"/>
    <w:rsid w:val="00E5108A"/>
    <w:rsid w:val="00E510B8"/>
    <w:rsid w:val="00E51155"/>
    <w:rsid w:val="00E511C5"/>
    <w:rsid w:val="00E5120E"/>
    <w:rsid w:val="00E51214"/>
    <w:rsid w:val="00E51259"/>
    <w:rsid w:val="00E5127A"/>
    <w:rsid w:val="00E512BD"/>
    <w:rsid w:val="00E51312"/>
    <w:rsid w:val="00E5132C"/>
    <w:rsid w:val="00E513AA"/>
    <w:rsid w:val="00E513ED"/>
    <w:rsid w:val="00E513F8"/>
    <w:rsid w:val="00E51430"/>
    <w:rsid w:val="00E51433"/>
    <w:rsid w:val="00E51483"/>
    <w:rsid w:val="00E51545"/>
    <w:rsid w:val="00E515BE"/>
    <w:rsid w:val="00E515DD"/>
    <w:rsid w:val="00E5162E"/>
    <w:rsid w:val="00E5167D"/>
    <w:rsid w:val="00E5169F"/>
    <w:rsid w:val="00E516E6"/>
    <w:rsid w:val="00E5177B"/>
    <w:rsid w:val="00E517E1"/>
    <w:rsid w:val="00E51811"/>
    <w:rsid w:val="00E51846"/>
    <w:rsid w:val="00E518BB"/>
    <w:rsid w:val="00E518BF"/>
    <w:rsid w:val="00E518DB"/>
    <w:rsid w:val="00E5192B"/>
    <w:rsid w:val="00E51946"/>
    <w:rsid w:val="00E5196E"/>
    <w:rsid w:val="00E5197E"/>
    <w:rsid w:val="00E51A06"/>
    <w:rsid w:val="00E51A1A"/>
    <w:rsid w:val="00E51A49"/>
    <w:rsid w:val="00E51A80"/>
    <w:rsid w:val="00E51AB3"/>
    <w:rsid w:val="00E51AC0"/>
    <w:rsid w:val="00E51AF7"/>
    <w:rsid w:val="00E51B17"/>
    <w:rsid w:val="00E51B8A"/>
    <w:rsid w:val="00E51C0A"/>
    <w:rsid w:val="00E51C27"/>
    <w:rsid w:val="00E51C2B"/>
    <w:rsid w:val="00E51C40"/>
    <w:rsid w:val="00E51C47"/>
    <w:rsid w:val="00E51C53"/>
    <w:rsid w:val="00E51C8B"/>
    <w:rsid w:val="00E51CD3"/>
    <w:rsid w:val="00E51CFA"/>
    <w:rsid w:val="00E51D9E"/>
    <w:rsid w:val="00E51E0B"/>
    <w:rsid w:val="00E51E47"/>
    <w:rsid w:val="00E51E59"/>
    <w:rsid w:val="00E51EA5"/>
    <w:rsid w:val="00E51F01"/>
    <w:rsid w:val="00E51F38"/>
    <w:rsid w:val="00E51F9C"/>
    <w:rsid w:val="00E51FE4"/>
    <w:rsid w:val="00E52043"/>
    <w:rsid w:val="00E52055"/>
    <w:rsid w:val="00E5207A"/>
    <w:rsid w:val="00E52084"/>
    <w:rsid w:val="00E520E6"/>
    <w:rsid w:val="00E520EC"/>
    <w:rsid w:val="00E52108"/>
    <w:rsid w:val="00E52159"/>
    <w:rsid w:val="00E52166"/>
    <w:rsid w:val="00E52195"/>
    <w:rsid w:val="00E521AF"/>
    <w:rsid w:val="00E521B9"/>
    <w:rsid w:val="00E521D0"/>
    <w:rsid w:val="00E521FE"/>
    <w:rsid w:val="00E52274"/>
    <w:rsid w:val="00E52318"/>
    <w:rsid w:val="00E5234C"/>
    <w:rsid w:val="00E52378"/>
    <w:rsid w:val="00E52388"/>
    <w:rsid w:val="00E524D9"/>
    <w:rsid w:val="00E524E4"/>
    <w:rsid w:val="00E5256A"/>
    <w:rsid w:val="00E525A9"/>
    <w:rsid w:val="00E525CE"/>
    <w:rsid w:val="00E525D9"/>
    <w:rsid w:val="00E525FE"/>
    <w:rsid w:val="00E52606"/>
    <w:rsid w:val="00E52611"/>
    <w:rsid w:val="00E52621"/>
    <w:rsid w:val="00E5263F"/>
    <w:rsid w:val="00E5267E"/>
    <w:rsid w:val="00E5272C"/>
    <w:rsid w:val="00E5276B"/>
    <w:rsid w:val="00E528A4"/>
    <w:rsid w:val="00E52913"/>
    <w:rsid w:val="00E52966"/>
    <w:rsid w:val="00E529AC"/>
    <w:rsid w:val="00E529BC"/>
    <w:rsid w:val="00E529C8"/>
    <w:rsid w:val="00E52A76"/>
    <w:rsid w:val="00E52A97"/>
    <w:rsid w:val="00E52AA1"/>
    <w:rsid w:val="00E52ACC"/>
    <w:rsid w:val="00E52BA6"/>
    <w:rsid w:val="00E52BCF"/>
    <w:rsid w:val="00E52C69"/>
    <w:rsid w:val="00E52C92"/>
    <w:rsid w:val="00E52CBF"/>
    <w:rsid w:val="00E52D3C"/>
    <w:rsid w:val="00E52D81"/>
    <w:rsid w:val="00E52D85"/>
    <w:rsid w:val="00E52DA5"/>
    <w:rsid w:val="00E52E04"/>
    <w:rsid w:val="00E52ED6"/>
    <w:rsid w:val="00E52EF1"/>
    <w:rsid w:val="00E52F2A"/>
    <w:rsid w:val="00E52F3E"/>
    <w:rsid w:val="00E52F84"/>
    <w:rsid w:val="00E52F8E"/>
    <w:rsid w:val="00E5304F"/>
    <w:rsid w:val="00E5306C"/>
    <w:rsid w:val="00E530C9"/>
    <w:rsid w:val="00E530E7"/>
    <w:rsid w:val="00E53158"/>
    <w:rsid w:val="00E53182"/>
    <w:rsid w:val="00E531B3"/>
    <w:rsid w:val="00E531BB"/>
    <w:rsid w:val="00E531C6"/>
    <w:rsid w:val="00E53211"/>
    <w:rsid w:val="00E5324E"/>
    <w:rsid w:val="00E53262"/>
    <w:rsid w:val="00E53321"/>
    <w:rsid w:val="00E53361"/>
    <w:rsid w:val="00E5337A"/>
    <w:rsid w:val="00E533B8"/>
    <w:rsid w:val="00E533E5"/>
    <w:rsid w:val="00E53444"/>
    <w:rsid w:val="00E5345C"/>
    <w:rsid w:val="00E534A1"/>
    <w:rsid w:val="00E534F4"/>
    <w:rsid w:val="00E5350A"/>
    <w:rsid w:val="00E5353F"/>
    <w:rsid w:val="00E53639"/>
    <w:rsid w:val="00E536D9"/>
    <w:rsid w:val="00E53711"/>
    <w:rsid w:val="00E537D1"/>
    <w:rsid w:val="00E537D8"/>
    <w:rsid w:val="00E537ED"/>
    <w:rsid w:val="00E5380F"/>
    <w:rsid w:val="00E53813"/>
    <w:rsid w:val="00E53826"/>
    <w:rsid w:val="00E53835"/>
    <w:rsid w:val="00E53867"/>
    <w:rsid w:val="00E53897"/>
    <w:rsid w:val="00E538A2"/>
    <w:rsid w:val="00E53913"/>
    <w:rsid w:val="00E5392F"/>
    <w:rsid w:val="00E5393F"/>
    <w:rsid w:val="00E53983"/>
    <w:rsid w:val="00E53A00"/>
    <w:rsid w:val="00E53A4F"/>
    <w:rsid w:val="00E53A61"/>
    <w:rsid w:val="00E53A96"/>
    <w:rsid w:val="00E53AC1"/>
    <w:rsid w:val="00E53AD4"/>
    <w:rsid w:val="00E53ADB"/>
    <w:rsid w:val="00E53AE6"/>
    <w:rsid w:val="00E53AE7"/>
    <w:rsid w:val="00E53B58"/>
    <w:rsid w:val="00E53B59"/>
    <w:rsid w:val="00E53B7B"/>
    <w:rsid w:val="00E53BB0"/>
    <w:rsid w:val="00E53BC2"/>
    <w:rsid w:val="00E53C37"/>
    <w:rsid w:val="00E53C85"/>
    <w:rsid w:val="00E53C89"/>
    <w:rsid w:val="00E53CCA"/>
    <w:rsid w:val="00E53CDA"/>
    <w:rsid w:val="00E53D04"/>
    <w:rsid w:val="00E53DDE"/>
    <w:rsid w:val="00E53DDF"/>
    <w:rsid w:val="00E53E2A"/>
    <w:rsid w:val="00E53E86"/>
    <w:rsid w:val="00E53EB0"/>
    <w:rsid w:val="00E53EB8"/>
    <w:rsid w:val="00E53F40"/>
    <w:rsid w:val="00E53F5D"/>
    <w:rsid w:val="00E53FC9"/>
    <w:rsid w:val="00E5403D"/>
    <w:rsid w:val="00E54070"/>
    <w:rsid w:val="00E5409C"/>
    <w:rsid w:val="00E54180"/>
    <w:rsid w:val="00E54187"/>
    <w:rsid w:val="00E5418B"/>
    <w:rsid w:val="00E54196"/>
    <w:rsid w:val="00E541B8"/>
    <w:rsid w:val="00E541FA"/>
    <w:rsid w:val="00E54264"/>
    <w:rsid w:val="00E542FA"/>
    <w:rsid w:val="00E54340"/>
    <w:rsid w:val="00E5435A"/>
    <w:rsid w:val="00E543A9"/>
    <w:rsid w:val="00E54439"/>
    <w:rsid w:val="00E5443E"/>
    <w:rsid w:val="00E54440"/>
    <w:rsid w:val="00E5446C"/>
    <w:rsid w:val="00E5447B"/>
    <w:rsid w:val="00E544A0"/>
    <w:rsid w:val="00E544C6"/>
    <w:rsid w:val="00E5451E"/>
    <w:rsid w:val="00E54545"/>
    <w:rsid w:val="00E54566"/>
    <w:rsid w:val="00E54594"/>
    <w:rsid w:val="00E545B5"/>
    <w:rsid w:val="00E545DE"/>
    <w:rsid w:val="00E545DF"/>
    <w:rsid w:val="00E545EE"/>
    <w:rsid w:val="00E54627"/>
    <w:rsid w:val="00E54644"/>
    <w:rsid w:val="00E546D9"/>
    <w:rsid w:val="00E546F0"/>
    <w:rsid w:val="00E546FF"/>
    <w:rsid w:val="00E5471E"/>
    <w:rsid w:val="00E54814"/>
    <w:rsid w:val="00E5483A"/>
    <w:rsid w:val="00E54875"/>
    <w:rsid w:val="00E548C1"/>
    <w:rsid w:val="00E548CA"/>
    <w:rsid w:val="00E54918"/>
    <w:rsid w:val="00E54931"/>
    <w:rsid w:val="00E5497F"/>
    <w:rsid w:val="00E54984"/>
    <w:rsid w:val="00E549AE"/>
    <w:rsid w:val="00E549EB"/>
    <w:rsid w:val="00E54A22"/>
    <w:rsid w:val="00E54A29"/>
    <w:rsid w:val="00E54A5C"/>
    <w:rsid w:val="00E54A8D"/>
    <w:rsid w:val="00E54B5A"/>
    <w:rsid w:val="00E54B82"/>
    <w:rsid w:val="00E54BAD"/>
    <w:rsid w:val="00E54BD7"/>
    <w:rsid w:val="00E54C30"/>
    <w:rsid w:val="00E54C62"/>
    <w:rsid w:val="00E54C82"/>
    <w:rsid w:val="00E54CC8"/>
    <w:rsid w:val="00E54D33"/>
    <w:rsid w:val="00E54D5F"/>
    <w:rsid w:val="00E54D83"/>
    <w:rsid w:val="00E54D9A"/>
    <w:rsid w:val="00E54DA8"/>
    <w:rsid w:val="00E54DB3"/>
    <w:rsid w:val="00E54E61"/>
    <w:rsid w:val="00E54E80"/>
    <w:rsid w:val="00E54E85"/>
    <w:rsid w:val="00E54EB8"/>
    <w:rsid w:val="00E54EBD"/>
    <w:rsid w:val="00E54ECE"/>
    <w:rsid w:val="00E54ED2"/>
    <w:rsid w:val="00E54EF6"/>
    <w:rsid w:val="00E54F84"/>
    <w:rsid w:val="00E54F8C"/>
    <w:rsid w:val="00E54F8E"/>
    <w:rsid w:val="00E54F99"/>
    <w:rsid w:val="00E54FA7"/>
    <w:rsid w:val="00E5501B"/>
    <w:rsid w:val="00E55057"/>
    <w:rsid w:val="00E550A3"/>
    <w:rsid w:val="00E550BC"/>
    <w:rsid w:val="00E55103"/>
    <w:rsid w:val="00E55126"/>
    <w:rsid w:val="00E55129"/>
    <w:rsid w:val="00E55150"/>
    <w:rsid w:val="00E5516B"/>
    <w:rsid w:val="00E551BD"/>
    <w:rsid w:val="00E551E0"/>
    <w:rsid w:val="00E551E1"/>
    <w:rsid w:val="00E55204"/>
    <w:rsid w:val="00E55240"/>
    <w:rsid w:val="00E5527D"/>
    <w:rsid w:val="00E5527F"/>
    <w:rsid w:val="00E55289"/>
    <w:rsid w:val="00E552E2"/>
    <w:rsid w:val="00E5532D"/>
    <w:rsid w:val="00E55338"/>
    <w:rsid w:val="00E5534A"/>
    <w:rsid w:val="00E55355"/>
    <w:rsid w:val="00E55398"/>
    <w:rsid w:val="00E5539C"/>
    <w:rsid w:val="00E553B2"/>
    <w:rsid w:val="00E553DC"/>
    <w:rsid w:val="00E55466"/>
    <w:rsid w:val="00E5548E"/>
    <w:rsid w:val="00E554C8"/>
    <w:rsid w:val="00E5552C"/>
    <w:rsid w:val="00E55554"/>
    <w:rsid w:val="00E5556B"/>
    <w:rsid w:val="00E55598"/>
    <w:rsid w:val="00E555B1"/>
    <w:rsid w:val="00E555B6"/>
    <w:rsid w:val="00E555F4"/>
    <w:rsid w:val="00E555FC"/>
    <w:rsid w:val="00E55653"/>
    <w:rsid w:val="00E55667"/>
    <w:rsid w:val="00E55675"/>
    <w:rsid w:val="00E55730"/>
    <w:rsid w:val="00E55750"/>
    <w:rsid w:val="00E55763"/>
    <w:rsid w:val="00E557C8"/>
    <w:rsid w:val="00E557DD"/>
    <w:rsid w:val="00E557EA"/>
    <w:rsid w:val="00E55847"/>
    <w:rsid w:val="00E55855"/>
    <w:rsid w:val="00E55867"/>
    <w:rsid w:val="00E55879"/>
    <w:rsid w:val="00E5588F"/>
    <w:rsid w:val="00E558E1"/>
    <w:rsid w:val="00E55908"/>
    <w:rsid w:val="00E55915"/>
    <w:rsid w:val="00E55949"/>
    <w:rsid w:val="00E55977"/>
    <w:rsid w:val="00E559E2"/>
    <w:rsid w:val="00E55A10"/>
    <w:rsid w:val="00E55A12"/>
    <w:rsid w:val="00E55A2C"/>
    <w:rsid w:val="00E55AC1"/>
    <w:rsid w:val="00E55AF6"/>
    <w:rsid w:val="00E55B20"/>
    <w:rsid w:val="00E55B58"/>
    <w:rsid w:val="00E55B94"/>
    <w:rsid w:val="00E55BD2"/>
    <w:rsid w:val="00E55C67"/>
    <w:rsid w:val="00E55C77"/>
    <w:rsid w:val="00E55C84"/>
    <w:rsid w:val="00E55CA8"/>
    <w:rsid w:val="00E55CC9"/>
    <w:rsid w:val="00E55CF5"/>
    <w:rsid w:val="00E55D22"/>
    <w:rsid w:val="00E55D24"/>
    <w:rsid w:val="00E55D4E"/>
    <w:rsid w:val="00E55DAA"/>
    <w:rsid w:val="00E55DB6"/>
    <w:rsid w:val="00E55DC6"/>
    <w:rsid w:val="00E55DDF"/>
    <w:rsid w:val="00E55DFE"/>
    <w:rsid w:val="00E55E0B"/>
    <w:rsid w:val="00E55E3A"/>
    <w:rsid w:val="00E55E6D"/>
    <w:rsid w:val="00E55E89"/>
    <w:rsid w:val="00E55F2D"/>
    <w:rsid w:val="00E55F35"/>
    <w:rsid w:val="00E55F52"/>
    <w:rsid w:val="00E55FB2"/>
    <w:rsid w:val="00E55FE4"/>
    <w:rsid w:val="00E55FEB"/>
    <w:rsid w:val="00E5605A"/>
    <w:rsid w:val="00E5606D"/>
    <w:rsid w:val="00E560A6"/>
    <w:rsid w:val="00E560A7"/>
    <w:rsid w:val="00E560E9"/>
    <w:rsid w:val="00E560F3"/>
    <w:rsid w:val="00E5610E"/>
    <w:rsid w:val="00E5613F"/>
    <w:rsid w:val="00E5619B"/>
    <w:rsid w:val="00E561FE"/>
    <w:rsid w:val="00E5634E"/>
    <w:rsid w:val="00E5635B"/>
    <w:rsid w:val="00E563C8"/>
    <w:rsid w:val="00E56436"/>
    <w:rsid w:val="00E56483"/>
    <w:rsid w:val="00E564AD"/>
    <w:rsid w:val="00E56532"/>
    <w:rsid w:val="00E565A9"/>
    <w:rsid w:val="00E565B2"/>
    <w:rsid w:val="00E565B9"/>
    <w:rsid w:val="00E56606"/>
    <w:rsid w:val="00E56627"/>
    <w:rsid w:val="00E56643"/>
    <w:rsid w:val="00E56654"/>
    <w:rsid w:val="00E5667C"/>
    <w:rsid w:val="00E56685"/>
    <w:rsid w:val="00E5668D"/>
    <w:rsid w:val="00E5669A"/>
    <w:rsid w:val="00E566B6"/>
    <w:rsid w:val="00E566F5"/>
    <w:rsid w:val="00E56700"/>
    <w:rsid w:val="00E567B3"/>
    <w:rsid w:val="00E567E6"/>
    <w:rsid w:val="00E56876"/>
    <w:rsid w:val="00E5688B"/>
    <w:rsid w:val="00E568EC"/>
    <w:rsid w:val="00E56905"/>
    <w:rsid w:val="00E5694C"/>
    <w:rsid w:val="00E56965"/>
    <w:rsid w:val="00E56971"/>
    <w:rsid w:val="00E569E5"/>
    <w:rsid w:val="00E56A1E"/>
    <w:rsid w:val="00E56A21"/>
    <w:rsid w:val="00E56A4D"/>
    <w:rsid w:val="00E56AE3"/>
    <w:rsid w:val="00E56B7E"/>
    <w:rsid w:val="00E56B88"/>
    <w:rsid w:val="00E56BD0"/>
    <w:rsid w:val="00E56BFA"/>
    <w:rsid w:val="00E56C5B"/>
    <w:rsid w:val="00E56C66"/>
    <w:rsid w:val="00E56CAA"/>
    <w:rsid w:val="00E56CB0"/>
    <w:rsid w:val="00E56CD5"/>
    <w:rsid w:val="00E56CE5"/>
    <w:rsid w:val="00E56D22"/>
    <w:rsid w:val="00E56D89"/>
    <w:rsid w:val="00E56D95"/>
    <w:rsid w:val="00E56E16"/>
    <w:rsid w:val="00E56E2A"/>
    <w:rsid w:val="00E56E42"/>
    <w:rsid w:val="00E56E47"/>
    <w:rsid w:val="00E56E4B"/>
    <w:rsid w:val="00E56E72"/>
    <w:rsid w:val="00E56E97"/>
    <w:rsid w:val="00E56EA5"/>
    <w:rsid w:val="00E56EF4"/>
    <w:rsid w:val="00E56EF5"/>
    <w:rsid w:val="00E56F1A"/>
    <w:rsid w:val="00E56F59"/>
    <w:rsid w:val="00E56F8B"/>
    <w:rsid w:val="00E56FA4"/>
    <w:rsid w:val="00E57079"/>
    <w:rsid w:val="00E57088"/>
    <w:rsid w:val="00E570B7"/>
    <w:rsid w:val="00E5712E"/>
    <w:rsid w:val="00E57162"/>
    <w:rsid w:val="00E57217"/>
    <w:rsid w:val="00E57255"/>
    <w:rsid w:val="00E57281"/>
    <w:rsid w:val="00E57287"/>
    <w:rsid w:val="00E572DE"/>
    <w:rsid w:val="00E57314"/>
    <w:rsid w:val="00E57395"/>
    <w:rsid w:val="00E573A8"/>
    <w:rsid w:val="00E573ED"/>
    <w:rsid w:val="00E57405"/>
    <w:rsid w:val="00E57448"/>
    <w:rsid w:val="00E5747C"/>
    <w:rsid w:val="00E574B8"/>
    <w:rsid w:val="00E574CE"/>
    <w:rsid w:val="00E57501"/>
    <w:rsid w:val="00E5753B"/>
    <w:rsid w:val="00E57549"/>
    <w:rsid w:val="00E57573"/>
    <w:rsid w:val="00E5759C"/>
    <w:rsid w:val="00E575D5"/>
    <w:rsid w:val="00E57618"/>
    <w:rsid w:val="00E57619"/>
    <w:rsid w:val="00E57623"/>
    <w:rsid w:val="00E5763F"/>
    <w:rsid w:val="00E57680"/>
    <w:rsid w:val="00E57762"/>
    <w:rsid w:val="00E5777B"/>
    <w:rsid w:val="00E5779F"/>
    <w:rsid w:val="00E577C5"/>
    <w:rsid w:val="00E5787A"/>
    <w:rsid w:val="00E578D6"/>
    <w:rsid w:val="00E5798B"/>
    <w:rsid w:val="00E579A8"/>
    <w:rsid w:val="00E579B4"/>
    <w:rsid w:val="00E57A40"/>
    <w:rsid w:val="00E57A94"/>
    <w:rsid w:val="00E57A9E"/>
    <w:rsid w:val="00E57B0C"/>
    <w:rsid w:val="00E57B91"/>
    <w:rsid w:val="00E57B9C"/>
    <w:rsid w:val="00E57BED"/>
    <w:rsid w:val="00E57BF1"/>
    <w:rsid w:val="00E57C1C"/>
    <w:rsid w:val="00E57C6A"/>
    <w:rsid w:val="00E57C7E"/>
    <w:rsid w:val="00E57C9F"/>
    <w:rsid w:val="00E57D0A"/>
    <w:rsid w:val="00E57D65"/>
    <w:rsid w:val="00E57D90"/>
    <w:rsid w:val="00E57DB3"/>
    <w:rsid w:val="00E57DFB"/>
    <w:rsid w:val="00E57E1D"/>
    <w:rsid w:val="00E57E4C"/>
    <w:rsid w:val="00E57E51"/>
    <w:rsid w:val="00E57EA8"/>
    <w:rsid w:val="00E57EF5"/>
    <w:rsid w:val="00E57F21"/>
    <w:rsid w:val="00E57F44"/>
    <w:rsid w:val="00E57F5A"/>
    <w:rsid w:val="00E57FC7"/>
    <w:rsid w:val="00E57FD4"/>
    <w:rsid w:val="00E60042"/>
    <w:rsid w:val="00E60046"/>
    <w:rsid w:val="00E600B0"/>
    <w:rsid w:val="00E600F2"/>
    <w:rsid w:val="00E60170"/>
    <w:rsid w:val="00E601BF"/>
    <w:rsid w:val="00E601D5"/>
    <w:rsid w:val="00E601FF"/>
    <w:rsid w:val="00E60209"/>
    <w:rsid w:val="00E60239"/>
    <w:rsid w:val="00E60285"/>
    <w:rsid w:val="00E602D2"/>
    <w:rsid w:val="00E602DF"/>
    <w:rsid w:val="00E6032F"/>
    <w:rsid w:val="00E60336"/>
    <w:rsid w:val="00E6038B"/>
    <w:rsid w:val="00E60399"/>
    <w:rsid w:val="00E603B3"/>
    <w:rsid w:val="00E60441"/>
    <w:rsid w:val="00E60443"/>
    <w:rsid w:val="00E60497"/>
    <w:rsid w:val="00E604AE"/>
    <w:rsid w:val="00E60524"/>
    <w:rsid w:val="00E6054D"/>
    <w:rsid w:val="00E605A0"/>
    <w:rsid w:val="00E605BE"/>
    <w:rsid w:val="00E605DA"/>
    <w:rsid w:val="00E605F0"/>
    <w:rsid w:val="00E605F4"/>
    <w:rsid w:val="00E6060F"/>
    <w:rsid w:val="00E6069D"/>
    <w:rsid w:val="00E606B6"/>
    <w:rsid w:val="00E606D8"/>
    <w:rsid w:val="00E606DC"/>
    <w:rsid w:val="00E606DE"/>
    <w:rsid w:val="00E60739"/>
    <w:rsid w:val="00E60770"/>
    <w:rsid w:val="00E60780"/>
    <w:rsid w:val="00E607BD"/>
    <w:rsid w:val="00E6083E"/>
    <w:rsid w:val="00E6085B"/>
    <w:rsid w:val="00E60871"/>
    <w:rsid w:val="00E60902"/>
    <w:rsid w:val="00E60903"/>
    <w:rsid w:val="00E60918"/>
    <w:rsid w:val="00E6092E"/>
    <w:rsid w:val="00E6095A"/>
    <w:rsid w:val="00E60996"/>
    <w:rsid w:val="00E609A3"/>
    <w:rsid w:val="00E609D7"/>
    <w:rsid w:val="00E609E6"/>
    <w:rsid w:val="00E609E7"/>
    <w:rsid w:val="00E609EE"/>
    <w:rsid w:val="00E60A08"/>
    <w:rsid w:val="00E60A22"/>
    <w:rsid w:val="00E60A5B"/>
    <w:rsid w:val="00E60A66"/>
    <w:rsid w:val="00E60A78"/>
    <w:rsid w:val="00E60A82"/>
    <w:rsid w:val="00E60AF2"/>
    <w:rsid w:val="00E60B34"/>
    <w:rsid w:val="00E60C17"/>
    <w:rsid w:val="00E60C4C"/>
    <w:rsid w:val="00E60DA3"/>
    <w:rsid w:val="00E60DE2"/>
    <w:rsid w:val="00E60E47"/>
    <w:rsid w:val="00E60E54"/>
    <w:rsid w:val="00E60E7F"/>
    <w:rsid w:val="00E60EB6"/>
    <w:rsid w:val="00E60EBC"/>
    <w:rsid w:val="00E60F0B"/>
    <w:rsid w:val="00E60F1A"/>
    <w:rsid w:val="00E60F2D"/>
    <w:rsid w:val="00E60F47"/>
    <w:rsid w:val="00E60FB3"/>
    <w:rsid w:val="00E60FC0"/>
    <w:rsid w:val="00E60FEC"/>
    <w:rsid w:val="00E61000"/>
    <w:rsid w:val="00E61003"/>
    <w:rsid w:val="00E61028"/>
    <w:rsid w:val="00E61033"/>
    <w:rsid w:val="00E610D4"/>
    <w:rsid w:val="00E610EF"/>
    <w:rsid w:val="00E61106"/>
    <w:rsid w:val="00E61171"/>
    <w:rsid w:val="00E611D4"/>
    <w:rsid w:val="00E611EE"/>
    <w:rsid w:val="00E6121F"/>
    <w:rsid w:val="00E612ED"/>
    <w:rsid w:val="00E61325"/>
    <w:rsid w:val="00E61335"/>
    <w:rsid w:val="00E61349"/>
    <w:rsid w:val="00E613B4"/>
    <w:rsid w:val="00E613E1"/>
    <w:rsid w:val="00E6140E"/>
    <w:rsid w:val="00E6144A"/>
    <w:rsid w:val="00E61484"/>
    <w:rsid w:val="00E6148D"/>
    <w:rsid w:val="00E614B3"/>
    <w:rsid w:val="00E614D9"/>
    <w:rsid w:val="00E61512"/>
    <w:rsid w:val="00E61531"/>
    <w:rsid w:val="00E6155A"/>
    <w:rsid w:val="00E61594"/>
    <w:rsid w:val="00E6161F"/>
    <w:rsid w:val="00E61639"/>
    <w:rsid w:val="00E6165F"/>
    <w:rsid w:val="00E616C1"/>
    <w:rsid w:val="00E616F0"/>
    <w:rsid w:val="00E61712"/>
    <w:rsid w:val="00E61730"/>
    <w:rsid w:val="00E6174D"/>
    <w:rsid w:val="00E61754"/>
    <w:rsid w:val="00E617F7"/>
    <w:rsid w:val="00E61869"/>
    <w:rsid w:val="00E6187F"/>
    <w:rsid w:val="00E618B8"/>
    <w:rsid w:val="00E618CE"/>
    <w:rsid w:val="00E618DD"/>
    <w:rsid w:val="00E618FC"/>
    <w:rsid w:val="00E6191D"/>
    <w:rsid w:val="00E61923"/>
    <w:rsid w:val="00E6197A"/>
    <w:rsid w:val="00E619B6"/>
    <w:rsid w:val="00E61A08"/>
    <w:rsid w:val="00E61A2B"/>
    <w:rsid w:val="00E61B4F"/>
    <w:rsid w:val="00E61B53"/>
    <w:rsid w:val="00E61B5C"/>
    <w:rsid w:val="00E61BE4"/>
    <w:rsid w:val="00E61C5C"/>
    <w:rsid w:val="00E61C81"/>
    <w:rsid w:val="00E61CFC"/>
    <w:rsid w:val="00E61DD2"/>
    <w:rsid w:val="00E61DE3"/>
    <w:rsid w:val="00E61DF0"/>
    <w:rsid w:val="00E61E8B"/>
    <w:rsid w:val="00E61EB5"/>
    <w:rsid w:val="00E61F3C"/>
    <w:rsid w:val="00E61F44"/>
    <w:rsid w:val="00E61F6A"/>
    <w:rsid w:val="00E61F7F"/>
    <w:rsid w:val="00E61F85"/>
    <w:rsid w:val="00E61FA3"/>
    <w:rsid w:val="00E6207B"/>
    <w:rsid w:val="00E62096"/>
    <w:rsid w:val="00E620B6"/>
    <w:rsid w:val="00E62115"/>
    <w:rsid w:val="00E62147"/>
    <w:rsid w:val="00E62194"/>
    <w:rsid w:val="00E621C0"/>
    <w:rsid w:val="00E62225"/>
    <w:rsid w:val="00E6222A"/>
    <w:rsid w:val="00E622B6"/>
    <w:rsid w:val="00E622EE"/>
    <w:rsid w:val="00E6237D"/>
    <w:rsid w:val="00E6238B"/>
    <w:rsid w:val="00E623A3"/>
    <w:rsid w:val="00E623D9"/>
    <w:rsid w:val="00E62411"/>
    <w:rsid w:val="00E62454"/>
    <w:rsid w:val="00E624B9"/>
    <w:rsid w:val="00E624BE"/>
    <w:rsid w:val="00E62540"/>
    <w:rsid w:val="00E625D6"/>
    <w:rsid w:val="00E625E3"/>
    <w:rsid w:val="00E625F2"/>
    <w:rsid w:val="00E625F7"/>
    <w:rsid w:val="00E62622"/>
    <w:rsid w:val="00E6264D"/>
    <w:rsid w:val="00E62680"/>
    <w:rsid w:val="00E626D7"/>
    <w:rsid w:val="00E6271E"/>
    <w:rsid w:val="00E6274B"/>
    <w:rsid w:val="00E6279D"/>
    <w:rsid w:val="00E62864"/>
    <w:rsid w:val="00E628CC"/>
    <w:rsid w:val="00E628EA"/>
    <w:rsid w:val="00E62902"/>
    <w:rsid w:val="00E62905"/>
    <w:rsid w:val="00E629CD"/>
    <w:rsid w:val="00E62A11"/>
    <w:rsid w:val="00E62A3A"/>
    <w:rsid w:val="00E62A4E"/>
    <w:rsid w:val="00E62A57"/>
    <w:rsid w:val="00E62A79"/>
    <w:rsid w:val="00E62A98"/>
    <w:rsid w:val="00E62B0D"/>
    <w:rsid w:val="00E62B8C"/>
    <w:rsid w:val="00E62B91"/>
    <w:rsid w:val="00E62C25"/>
    <w:rsid w:val="00E62CAC"/>
    <w:rsid w:val="00E62CAE"/>
    <w:rsid w:val="00E62D0F"/>
    <w:rsid w:val="00E62D26"/>
    <w:rsid w:val="00E62D4B"/>
    <w:rsid w:val="00E62DBF"/>
    <w:rsid w:val="00E62E16"/>
    <w:rsid w:val="00E62E19"/>
    <w:rsid w:val="00E62E4A"/>
    <w:rsid w:val="00E62EEA"/>
    <w:rsid w:val="00E62F09"/>
    <w:rsid w:val="00E62F64"/>
    <w:rsid w:val="00E62F83"/>
    <w:rsid w:val="00E62FA9"/>
    <w:rsid w:val="00E63040"/>
    <w:rsid w:val="00E6308E"/>
    <w:rsid w:val="00E630AF"/>
    <w:rsid w:val="00E63124"/>
    <w:rsid w:val="00E63136"/>
    <w:rsid w:val="00E63187"/>
    <w:rsid w:val="00E6320E"/>
    <w:rsid w:val="00E6328C"/>
    <w:rsid w:val="00E632AF"/>
    <w:rsid w:val="00E632CA"/>
    <w:rsid w:val="00E6333B"/>
    <w:rsid w:val="00E6333C"/>
    <w:rsid w:val="00E63363"/>
    <w:rsid w:val="00E633E4"/>
    <w:rsid w:val="00E63434"/>
    <w:rsid w:val="00E6346D"/>
    <w:rsid w:val="00E634D7"/>
    <w:rsid w:val="00E63519"/>
    <w:rsid w:val="00E63523"/>
    <w:rsid w:val="00E63560"/>
    <w:rsid w:val="00E6356A"/>
    <w:rsid w:val="00E63573"/>
    <w:rsid w:val="00E63577"/>
    <w:rsid w:val="00E6357A"/>
    <w:rsid w:val="00E63643"/>
    <w:rsid w:val="00E6364C"/>
    <w:rsid w:val="00E63651"/>
    <w:rsid w:val="00E6365A"/>
    <w:rsid w:val="00E636E5"/>
    <w:rsid w:val="00E63713"/>
    <w:rsid w:val="00E6373D"/>
    <w:rsid w:val="00E637C1"/>
    <w:rsid w:val="00E637CE"/>
    <w:rsid w:val="00E637E0"/>
    <w:rsid w:val="00E637F6"/>
    <w:rsid w:val="00E63817"/>
    <w:rsid w:val="00E63881"/>
    <w:rsid w:val="00E638D2"/>
    <w:rsid w:val="00E639EA"/>
    <w:rsid w:val="00E639FF"/>
    <w:rsid w:val="00E63A77"/>
    <w:rsid w:val="00E63AE0"/>
    <w:rsid w:val="00E63B11"/>
    <w:rsid w:val="00E63B2F"/>
    <w:rsid w:val="00E63B53"/>
    <w:rsid w:val="00E63B6A"/>
    <w:rsid w:val="00E63B6D"/>
    <w:rsid w:val="00E63B78"/>
    <w:rsid w:val="00E63B85"/>
    <w:rsid w:val="00E63B89"/>
    <w:rsid w:val="00E63C93"/>
    <w:rsid w:val="00E63CAC"/>
    <w:rsid w:val="00E63CDC"/>
    <w:rsid w:val="00E63CF6"/>
    <w:rsid w:val="00E63D17"/>
    <w:rsid w:val="00E63D20"/>
    <w:rsid w:val="00E63D6A"/>
    <w:rsid w:val="00E63DC3"/>
    <w:rsid w:val="00E63DF9"/>
    <w:rsid w:val="00E63E06"/>
    <w:rsid w:val="00E63E31"/>
    <w:rsid w:val="00E63EE6"/>
    <w:rsid w:val="00E63F19"/>
    <w:rsid w:val="00E63F33"/>
    <w:rsid w:val="00E63F39"/>
    <w:rsid w:val="00E63F79"/>
    <w:rsid w:val="00E63F8A"/>
    <w:rsid w:val="00E63FA9"/>
    <w:rsid w:val="00E63FD3"/>
    <w:rsid w:val="00E64040"/>
    <w:rsid w:val="00E640D9"/>
    <w:rsid w:val="00E640E2"/>
    <w:rsid w:val="00E64146"/>
    <w:rsid w:val="00E6416E"/>
    <w:rsid w:val="00E64195"/>
    <w:rsid w:val="00E641C3"/>
    <w:rsid w:val="00E641E3"/>
    <w:rsid w:val="00E64289"/>
    <w:rsid w:val="00E642B1"/>
    <w:rsid w:val="00E642D2"/>
    <w:rsid w:val="00E64336"/>
    <w:rsid w:val="00E64344"/>
    <w:rsid w:val="00E64396"/>
    <w:rsid w:val="00E6439E"/>
    <w:rsid w:val="00E643AD"/>
    <w:rsid w:val="00E643B8"/>
    <w:rsid w:val="00E643E7"/>
    <w:rsid w:val="00E6448C"/>
    <w:rsid w:val="00E64496"/>
    <w:rsid w:val="00E644D3"/>
    <w:rsid w:val="00E644E3"/>
    <w:rsid w:val="00E644F5"/>
    <w:rsid w:val="00E64561"/>
    <w:rsid w:val="00E645C3"/>
    <w:rsid w:val="00E64603"/>
    <w:rsid w:val="00E64650"/>
    <w:rsid w:val="00E6475A"/>
    <w:rsid w:val="00E647AC"/>
    <w:rsid w:val="00E647B1"/>
    <w:rsid w:val="00E64802"/>
    <w:rsid w:val="00E64840"/>
    <w:rsid w:val="00E64841"/>
    <w:rsid w:val="00E64876"/>
    <w:rsid w:val="00E64883"/>
    <w:rsid w:val="00E64886"/>
    <w:rsid w:val="00E64918"/>
    <w:rsid w:val="00E64944"/>
    <w:rsid w:val="00E64962"/>
    <w:rsid w:val="00E64985"/>
    <w:rsid w:val="00E649AE"/>
    <w:rsid w:val="00E64A0C"/>
    <w:rsid w:val="00E64A73"/>
    <w:rsid w:val="00E64AFE"/>
    <w:rsid w:val="00E64B60"/>
    <w:rsid w:val="00E64BBF"/>
    <w:rsid w:val="00E64BD6"/>
    <w:rsid w:val="00E64C1C"/>
    <w:rsid w:val="00E64C34"/>
    <w:rsid w:val="00E64C6B"/>
    <w:rsid w:val="00E64CA2"/>
    <w:rsid w:val="00E64CC4"/>
    <w:rsid w:val="00E64D16"/>
    <w:rsid w:val="00E64D4C"/>
    <w:rsid w:val="00E64D89"/>
    <w:rsid w:val="00E64D8B"/>
    <w:rsid w:val="00E64DB5"/>
    <w:rsid w:val="00E64DF7"/>
    <w:rsid w:val="00E64EA6"/>
    <w:rsid w:val="00E64ED5"/>
    <w:rsid w:val="00E64EE8"/>
    <w:rsid w:val="00E65006"/>
    <w:rsid w:val="00E65035"/>
    <w:rsid w:val="00E65063"/>
    <w:rsid w:val="00E65068"/>
    <w:rsid w:val="00E650C3"/>
    <w:rsid w:val="00E6510C"/>
    <w:rsid w:val="00E65119"/>
    <w:rsid w:val="00E6511D"/>
    <w:rsid w:val="00E65178"/>
    <w:rsid w:val="00E6519E"/>
    <w:rsid w:val="00E651BD"/>
    <w:rsid w:val="00E651F3"/>
    <w:rsid w:val="00E65281"/>
    <w:rsid w:val="00E652A7"/>
    <w:rsid w:val="00E65326"/>
    <w:rsid w:val="00E65328"/>
    <w:rsid w:val="00E6537E"/>
    <w:rsid w:val="00E65386"/>
    <w:rsid w:val="00E653B7"/>
    <w:rsid w:val="00E6540C"/>
    <w:rsid w:val="00E65472"/>
    <w:rsid w:val="00E654D2"/>
    <w:rsid w:val="00E65546"/>
    <w:rsid w:val="00E65593"/>
    <w:rsid w:val="00E655C6"/>
    <w:rsid w:val="00E655F9"/>
    <w:rsid w:val="00E65609"/>
    <w:rsid w:val="00E6562B"/>
    <w:rsid w:val="00E6564A"/>
    <w:rsid w:val="00E65686"/>
    <w:rsid w:val="00E656D9"/>
    <w:rsid w:val="00E65702"/>
    <w:rsid w:val="00E6572D"/>
    <w:rsid w:val="00E65744"/>
    <w:rsid w:val="00E65755"/>
    <w:rsid w:val="00E6577F"/>
    <w:rsid w:val="00E6578A"/>
    <w:rsid w:val="00E657A0"/>
    <w:rsid w:val="00E657A9"/>
    <w:rsid w:val="00E6583B"/>
    <w:rsid w:val="00E65853"/>
    <w:rsid w:val="00E6586D"/>
    <w:rsid w:val="00E65891"/>
    <w:rsid w:val="00E658F5"/>
    <w:rsid w:val="00E65930"/>
    <w:rsid w:val="00E65958"/>
    <w:rsid w:val="00E659A5"/>
    <w:rsid w:val="00E659C8"/>
    <w:rsid w:val="00E65A10"/>
    <w:rsid w:val="00E65A14"/>
    <w:rsid w:val="00E65A18"/>
    <w:rsid w:val="00E65A1E"/>
    <w:rsid w:val="00E65A62"/>
    <w:rsid w:val="00E65A79"/>
    <w:rsid w:val="00E65A8D"/>
    <w:rsid w:val="00E65AC8"/>
    <w:rsid w:val="00E65AEC"/>
    <w:rsid w:val="00E65B04"/>
    <w:rsid w:val="00E65BD6"/>
    <w:rsid w:val="00E65C54"/>
    <w:rsid w:val="00E65CA0"/>
    <w:rsid w:val="00E65CFA"/>
    <w:rsid w:val="00E65D43"/>
    <w:rsid w:val="00E65D54"/>
    <w:rsid w:val="00E65DB5"/>
    <w:rsid w:val="00E65DCB"/>
    <w:rsid w:val="00E65DD8"/>
    <w:rsid w:val="00E65DE9"/>
    <w:rsid w:val="00E65E69"/>
    <w:rsid w:val="00E65E73"/>
    <w:rsid w:val="00E65EA8"/>
    <w:rsid w:val="00E65ED0"/>
    <w:rsid w:val="00E65FB7"/>
    <w:rsid w:val="00E65FEC"/>
    <w:rsid w:val="00E66025"/>
    <w:rsid w:val="00E660CB"/>
    <w:rsid w:val="00E660DF"/>
    <w:rsid w:val="00E660F4"/>
    <w:rsid w:val="00E660F7"/>
    <w:rsid w:val="00E66131"/>
    <w:rsid w:val="00E6613F"/>
    <w:rsid w:val="00E66169"/>
    <w:rsid w:val="00E6616C"/>
    <w:rsid w:val="00E66179"/>
    <w:rsid w:val="00E6617C"/>
    <w:rsid w:val="00E66204"/>
    <w:rsid w:val="00E66217"/>
    <w:rsid w:val="00E6622F"/>
    <w:rsid w:val="00E66250"/>
    <w:rsid w:val="00E662A5"/>
    <w:rsid w:val="00E66349"/>
    <w:rsid w:val="00E6635F"/>
    <w:rsid w:val="00E6637E"/>
    <w:rsid w:val="00E66449"/>
    <w:rsid w:val="00E6646B"/>
    <w:rsid w:val="00E664B5"/>
    <w:rsid w:val="00E66502"/>
    <w:rsid w:val="00E66539"/>
    <w:rsid w:val="00E66555"/>
    <w:rsid w:val="00E66580"/>
    <w:rsid w:val="00E665BC"/>
    <w:rsid w:val="00E66657"/>
    <w:rsid w:val="00E66696"/>
    <w:rsid w:val="00E666BC"/>
    <w:rsid w:val="00E666C8"/>
    <w:rsid w:val="00E66705"/>
    <w:rsid w:val="00E66788"/>
    <w:rsid w:val="00E66790"/>
    <w:rsid w:val="00E66889"/>
    <w:rsid w:val="00E66890"/>
    <w:rsid w:val="00E668DB"/>
    <w:rsid w:val="00E66905"/>
    <w:rsid w:val="00E6697D"/>
    <w:rsid w:val="00E669B3"/>
    <w:rsid w:val="00E669C5"/>
    <w:rsid w:val="00E669DC"/>
    <w:rsid w:val="00E66A19"/>
    <w:rsid w:val="00E66A29"/>
    <w:rsid w:val="00E66A4F"/>
    <w:rsid w:val="00E66A82"/>
    <w:rsid w:val="00E66AA3"/>
    <w:rsid w:val="00E66AC0"/>
    <w:rsid w:val="00E66AC6"/>
    <w:rsid w:val="00E66B2C"/>
    <w:rsid w:val="00E66B38"/>
    <w:rsid w:val="00E66B59"/>
    <w:rsid w:val="00E66BB5"/>
    <w:rsid w:val="00E66C38"/>
    <w:rsid w:val="00E66CB8"/>
    <w:rsid w:val="00E66CC3"/>
    <w:rsid w:val="00E66D0D"/>
    <w:rsid w:val="00E66D11"/>
    <w:rsid w:val="00E66D3B"/>
    <w:rsid w:val="00E66D40"/>
    <w:rsid w:val="00E66D46"/>
    <w:rsid w:val="00E66DC3"/>
    <w:rsid w:val="00E66DC8"/>
    <w:rsid w:val="00E66DFA"/>
    <w:rsid w:val="00E66E86"/>
    <w:rsid w:val="00E66EAC"/>
    <w:rsid w:val="00E66EC5"/>
    <w:rsid w:val="00E66F07"/>
    <w:rsid w:val="00E66F0E"/>
    <w:rsid w:val="00E66F23"/>
    <w:rsid w:val="00E66F7D"/>
    <w:rsid w:val="00E66F9F"/>
    <w:rsid w:val="00E66FDD"/>
    <w:rsid w:val="00E6700A"/>
    <w:rsid w:val="00E6700F"/>
    <w:rsid w:val="00E67033"/>
    <w:rsid w:val="00E67090"/>
    <w:rsid w:val="00E670A2"/>
    <w:rsid w:val="00E670FB"/>
    <w:rsid w:val="00E6716E"/>
    <w:rsid w:val="00E67181"/>
    <w:rsid w:val="00E6722B"/>
    <w:rsid w:val="00E6725B"/>
    <w:rsid w:val="00E67278"/>
    <w:rsid w:val="00E6729D"/>
    <w:rsid w:val="00E672C1"/>
    <w:rsid w:val="00E672D0"/>
    <w:rsid w:val="00E67323"/>
    <w:rsid w:val="00E673AD"/>
    <w:rsid w:val="00E67487"/>
    <w:rsid w:val="00E674A8"/>
    <w:rsid w:val="00E674DF"/>
    <w:rsid w:val="00E674E8"/>
    <w:rsid w:val="00E6750A"/>
    <w:rsid w:val="00E67528"/>
    <w:rsid w:val="00E67532"/>
    <w:rsid w:val="00E6753B"/>
    <w:rsid w:val="00E67552"/>
    <w:rsid w:val="00E67558"/>
    <w:rsid w:val="00E6758D"/>
    <w:rsid w:val="00E675C4"/>
    <w:rsid w:val="00E67627"/>
    <w:rsid w:val="00E67654"/>
    <w:rsid w:val="00E676C5"/>
    <w:rsid w:val="00E676C7"/>
    <w:rsid w:val="00E676E2"/>
    <w:rsid w:val="00E6778E"/>
    <w:rsid w:val="00E677AB"/>
    <w:rsid w:val="00E677D0"/>
    <w:rsid w:val="00E67803"/>
    <w:rsid w:val="00E6784B"/>
    <w:rsid w:val="00E678DF"/>
    <w:rsid w:val="00E6791D"/>
    <w:rsid w:val="00E67929"/>
    <w:rsid w:val="00E6793B"/>
    <w:rsid w:val="00E6794E"/>
    <w:rsid w:val="00E67951"/>
    <w:rsid w:val="00E679E4"/>
    <w:rsid w:val="00E67A1F"/>
    <w:rsid w:val="00E67A4C"/>
    <w:rsid w:val="00E67AE3"/>
    <w:rsid w:val="00E67B2B"/>
    <w:rsid w:val="00E67B3B"/>
    <w:rsid w:val="00E67B43"/>
    <w:rsid w:val="00E67B6C"/>
    <w:rsid w:val="00E67B9B"/>
    <w:rsid w:val="00E67C59"/>
    <w:rsid w:val="00E67CBB"/>
    <w:rsid w:val="00E67D8D"/>
    <w:rsid w:val="00E67D97"/>
    <w:rsid w:val="00E67DA0"/>
    <w:rsid w:val="00E67E80"/>
    <w:rsid w:val="00E67E8C"/>
    <w:rsid w:val="00E67E93"/>
    <w:rsid w:val="00E67EA5"/>
    <w:rsid w:val="00E67EED"/>
    <w:rsid w:val="00E67EFA"/>
    <w:rsid w:val="00E67EFC"/>
    <w:rsid w:val="00E67F8A"/>
    <w:rsid w:val="00E67FC1"/>
    <w:rsid w:val="00E67FC5"/>
    <w:rsid w:val="00E70079"/>
    <w:rsid w:val="00E7008A"/>
    <w:rsid w:val="00E700A7"/>
    <w:rsid w:val="00E700E4"/>
    <w:rsid w:val="00E70130"/>
    <w:rsid w:val="00E7017C"/>
    <w:rsid w:val="00E7018F"/>
    <w:rsid w:val="00E701D7"/>
    <w:rsid w:val="00E70233"/>
    <w:rsid w:val="00E70245"/>
    <w:rsid w:val="00E702B6"/>
    <w:rsid w:val="00E702DA"/>
    <w:rsid w:val="00E702E0"/>
    <w:rsid w:val="00E702FC"/>
    <w:rsid w:val="00E70332"/>
    <w:rsid w:val="00E70353"/>
    <w:rsid w:val="00E70356"/>
    <w:rsid w:val="00E703CF"/>
    <w:rsid w:val="00E7046C"/>
    <w:rsid w:val="00E704C0"/>
    <w:rsid w:val="00E70521"/>
    <w:rsid w:val="00E70544"/>
    <w:rsid w:val="00E7054C"/>
    <w:rsid w:val="00E70555"/>
    <w:rsid w:val="00E7055F"/>
    <w:rsid w:val="00E705D2"/>
    <w:rsid w:val="00E705ED"/>
    <w:rsid w:val="00E70600"/>
    <w:rsid w:val="00E7064A"/>
    <w:rsid w:val="00E70675"/>
    <w:rsid w:val="00E706A0"/>
    <w:rsid w:val="00E706AA"/>
    <w:rsid w:val="00E7071F"/>
    <w:rsid w:val="00E7073C"/>
    <w:rsid w:val="00E70763"/>
    <w:rsid w:val="00E7077A"/>
    <w:rsid w:val="00E70814"/>
    <w:rsid w:val="00E70902"/>
    <w:rsid w:val="00E7092D"/>
    <w:rsid w:val="00E7095A"/>
    <w:rsid w:val="00E7096C"/>
    <w:rsid w:val="00E70996"/>
    <w:rsid w:val="00E709A1"/>
    <w:rsid w:val="00E709F0"/>
    <w:rsid w:val="00E70A75"/>
    <w:rsid w:val="00E70A78"/>
    <w:rsid w:val="00E70A9E"/>
    <w:rsid w:val="00E70ADF"/>
    <w:rsid w:val="00E70B20"/>
    <w:rsid w:val="00E70B3B"/>
    <w:rsid w:val="00E70B61"/>
    <w:rsid w:val="00E70BEF"/>
    <w:rsid w:val="00E70C22"/>
    <w:rsid w:val="00E70C76"/>
    <w:rsid w:val="00E70CE3"/>
    <w:rsid w:val="00E70CE5"/>
    <w:rsid w:val="00E70CE8"/>
    <w:rsid w:val="00E70D3C"/>
    <w:rsid w:val="00E70D53"/>
    <w:rsid w:val="00E70DA5"/>
    <w:rsid w:val="00E70E1B"/>
    <w:rsid w:val="00E70E42"/>
    <w:rsid w:val="00E70EA3"/>
    <w:rsid w:val="00E70EC8"/>
    <w:rsid w:val="00E70ED4"/>
    <w:rsid w:val="00E70F4E"/>
    <w:rsid w:val="00E70F67"/>
    <w:rsid w:val="00E70F98"/>
    <w:rsid w:val="00E70FA8"/>
    <w:rsid w:val="00E70FF8"/>
    <w:rsid w:val="00E70FF9"/>
    <w:rsid w:val="00E71003"/>
    <w:rsid w:val="00E71039"/>
    <w:rsid w:val="00E7116F"/>
    <w:rsid w:val="00E711D7"/>
    <w:rsid w:val="00E711E6"/>
    <w:rsid w:val="00E711E9"/>
    <w:rsid w:val="00E71233"/>
    <w:rsid w:val="00E7126B"/>
    <w:rsid w:val="00E712FE"/>
    <w:rsid w:val="00E71332"/>
    <w:rsid w:val="00E71360"/>
    <w:rsid w:val="00E71408"/>
    <w:rsid w:val="00E7142C"/>
    <w:rsid w:val="00E7148C"/>
    <w:rsid w:val="00E71496"/>
    <w:rsid w:val="00E7150D"/>
    <w:rsid w:val="00E71578"/>
    <w:rsid w:val="00E715E5"/>
    <w:rsid w:val="00E715F5"/>
    <w:rsid w:val="00E71626"/>
    <w:rsid w:val="00E71680"/>
    <w:rsid w:val="00E71698"/>
    <w:rsid w:val="00E716A0"/>
    <w:rsid w:val="00E716AB"/>
    <w:rsid w:val="00E716B9"/>
    <w:rsid w:val="00E716E1"/>
    <w:rsid w:val="00E71716"/>
    <w:rsid w:val="00E71749"/>
    <w:rsid w:val="00E7177D"/>
    <w:rsid w:val="00E7178B"/>
    <w:rsid w:val="00E71837"/>
    <w:rsid w:val="00E7183A"/>
    <w:rsid w:val="00E7184E"/>
    <w:rsid w:val="00E71867"/>
    <w:rsid w:val="00E7186B"/>
    <w:rsid w:val="00E718F3"/>
    <w:rsid w:val="00E71964"/>
    <w:rsid w:val="00E719BE"/>
    <w:rsid w:val="00E719CD"/>
    <w:rsid w:val="00E719F6"/>
    <w:rsid w:val="00E719F8"/>
    <w:rsid w:val="00E71A10"/>
    <w:rsid w:val="00E71A2D"/>
    <w:rsid w:val="00E71A32"/>
    <w:rsid w:val="00E71A4E"/>
    <w:rsid w:val="00E71A53"/>
    <w:rsid w:val="00E71B65"/>
    <w:rsid w:val="00E71B77"/>
    <w:rsid w:val="00E71BC3"/>
    <w:rsid w:val="00E71CCB"/>
    <w:rsid w:val="00E71CCD"/>
    <w:rsid w:val="00E71CF1"/>
    <w:rsid w:val="00E71D0E"/>
    <w:rsid w:val="00E71D3C"/>
    <w:rsid w:val="00E71D43"/>
    <w:rsid w:val="00E71DC2"/>
    <w:rsid w:val="00E71E33"/>
    <w:rsid w:val="00E71E80"/>
    <w:rsid w:val="00E71E8B"/>
    <w:rsid w:val="00E71E90"/>
    <w:rsid w:val="00E71E9E"/>
    <w:rsid w:val="00E71EB1"/>
    <w:rsid w:val="00E71EB5"/>
    <w:rsid w:val="00E71EB6"/>
    <w:rsid w:val="00E71ED0"/>
    <w:rsid w:val="00E71FB2"/>
    <w:rsid w:val="00E71FD4"/>
    <w:rsid w:val="00E71FDA"/>
    <w:rsid w:val="00E72009"/>
    <w:rsid w:val="00E72015"/>
    <w:rsid w:val="00E7201F"/>
    <w:rsid w:val="00E72049"/>
    <w:rsid w:val="00E72056"/>
    <w:rsid w:val="00E72058"/>
    <w:rsid w:val="00E72078"/>
    <w:rsid w:val="00E720C7"/>
    <w:rsid w:val="00E720E9"/>
    <w:rsid w:val="00E72109"/>
    <w:rsid w:val="00E7214F"/>
    <w:rsid w:val="00E72163"/>
    <w:rsid w:val="00E72191"/>
    <w:rsid w:val="00E721AE"/>
    <w:rsid w:val="00E721C1"/>
    <w:rsid w:val="00E7220A"/>
    <w:rsid w:val="00E72243"/>
    <w:rsid w:val="00E72261"/>
    <w:rsid w:val="00E72291"/>
    <w:rsid w:val="00E722A7"/>
    <w:rsid w:val="00E722DA"/>
    <w:rsid w:val="00E722E1"/>
    <w:rsid w:val="00E722FC"/>
    <w:rsid w:val="00E7232D"/>
    <w:rsid w:val="00E72358"/>
    <w:rsid w:val="00E72376"/>
    <w:rsid w:val="00E7237C"/>
    <w:rsid w:val="00E72389"/>
    <w:rsid w:val="00E723A2"/>
    <w:rsid w:val="00E723C3"/>
    <w:rsid w:val="00E723C4"/>
    <w:rsid w:val="00E723F6"/>
    <w:rsid w:val="00E7240F"/>
    <w:rsid w:val="00E72413"/>
    <w:rsid w:val="00E72434"/>
    <w:rsid w:val="00E72496"/>
    <w:rsid w:val="00E7249D"/>
    <w:rsid w:val="00E724A4"/>
    <w:rsid w:val="00E724FE"/>
    <w:rsid w:val="00E7250B"/>
    <w:rsid w:val="00E7256B"/>
    <w:rsid w:val="00E72596"/>
    <w:rsid w:val="00E725A7"/>
    <w:rsid w:val="00E72619"/>
    <w:rsid w:val="00E72664"/>
    <w:rsid w:val="00E7271E"/>
    <w:rsid w:val="00E7272D"/>
    <w:rsid w:val="00E72739"/>
    <w:rsid w:val="00E7276A"/>
    <w:rsid w:val="00E727B6"/>
    <w:rsid w:val="00E72824"/>
    <w:rsid w:val="00E7283C"/>
    <w:rsid w:val="00E72857"/>
    <w:rsid w:val="00E7285E"/>
    <w:rsid w:val="00E72865"/>
    <w:rsid w:val="00E72866"/>
    <w:rsid w:val="00E72878"/>
    <w:rsid w:val="00E728A1"/>
    <w:rsid w:val="00E728EE"/>
    <w:rsid w:val="00E7298C"/>
    <w:rsid w:val="00E729E6"/>
    <w:rsid w:val="00E729F8"/>
    <w:rsid w:val="00E72A5E"/>
    <w:rsid w:val="00E72A89"/>
    <w:rsid w:val="00E72AF2"/>
    <w:rsid w:val="00E72B08"/>
    <w:rsid w:val="00E72B0B"/>
    <w:rsid w:val="00E72B13"/>
    <w:rsid w:val="00E72B8E"/>
    <w:rsid w:val="00E72BDC"/>
    <w:rsid w:val="00E72BEB"/>
    <w:rsid w:val="00E72C20"/>
    <w:rsid w:val="00E72C63"/>
    <w:rsid w:val="00E72CB9"/>
    <w:rsid w:val="00E72CC7"/>
    <w:rsid w:val="00E72CEE"/>
    <w:rsid w:val="00E72D21"/>
    <w:rsid w:val="00E72D39"/>
    <w:rsid w:val="00E72D54"/>
    <w:rsid w:val="00E72D73"/>
    <w:rsid w:val="00E72D7F"/>
    <w:rsid w:val="00E72D91"/>
    <w:rsid w:val="00E72DB9"/>
    <w:rsid w:val="00E72DC4"/>
    <w:rsid w:val="00E72E14"/>
    <w:rsid w:val="00E72E1E"/>
    <w:rsid w:val="00E72E28"/>
    <w:rsid w:val="00E72E30"/>
    <w:rsid w:val="00E72E39"/>
    <w:rsid w:val="00E72E77"/>
    <w:rsid w:val="00E72EAE"/>
    <w:rsid w:val="00E72F86"/>
    <w:rsid w:val="00E72FDC"/>
    <w:rsid w:val="00E72FF3"/>
    <w:rsid w:val="00E73037"/>
    <w:rsid w:val="00E730E9"/>
    <w:rsid w:val="00E73133"/>
    <w:rsid w:val="00E73139"/>
    <w:rsid w:val="00E73208"/>
    <w:rsid w:val="00E73251"/>
    <w:rsid w:val="00E73264"/>
    <w:rsid w:val="00E73267"/>
    <w:rsid w:val="00E73281"/>
    <w:rsid w:val="00E732BA"/>
    <w:rsid w:val="00E732CA"/>
    <w:rsid w:val="00E73300"/>
    <w:rsid w:val="00E73315"/>
    <w:rsid w:val="00E733A4"/>
    <w:rsid w:val="00E733E2"/>
    <w:rsid w:val="00E73406"/>
    <w:rsid w:val="00E73474"/>
    <w:rsid w:val="00E7350B"/>
    <w:rsid w:val="00E735CD"/>
    <w:rsid w:val="00E73619"/>
    <w:rsid w:val="00E73634"/>
    <w:rsid w:val="00E73784"/>
    <w:rsid w:val="00E737C2"/>
    <w:rsid w:val="00E7389B"/>
    <w:rsid w:val="00E738E0"/>
    <w:rsid w:val="00E73980"/>
    <w:rsid w:val="00E7398C"/>
    <w:rsid w:val="00E73997"/>
    <w:rsid w:val="00E739C2"/>
    <w:rsid w:val="00E739E1"/>
    <w:rsid w:val="00E73ADC"/>
    <w:rsid w:val="00E73B99"/>
    <w:rsid w:val="00E73BCB"/>
    <w:rsid w:val="00E73BF9"/>
    <w:rsid w:val="00E73C04"/>
    <w:rsid w:val="00E73C2B"/>
    <w:rsid w:val="00E73C4B"/>
    <w:rsid w:val="00E73C7E"/>
    <w:rsid w:val="00E73CA9"/>
    <w:rsid w:val="00E73D00"/>
    <w:rsid w:val="00E73D43"/>
    <w:rsid w:val="00E73D54"/>
    <w:rsid w:val="00E73E21"/>
    <w:rsid w:val="00E73E35"/>
    <w:rsid w:val="00E73E57"/>
    <w:rsid w:val="00E73EB2"/>
    <w:rsid w:val="00E73EEE"/>
    <w:rsid w:val="00E73F1F"/>
    <w:rsid w:val="00E73F3E"/>
    <w:rsid w:val="00E73F5D"/>
    <w:rsid w:val="00E73FDA"/>
    <w:rsid w:val="00E73FE0"/>
    <w:rsid w:val="00E7400B"/>
    <w:rsid w:val="00E74037"/>
    <w:rsid w:val="00E740E8"/>
    <w:rsid w:val="00E740F3"/>
    <w:rsid w:val="00E74161"/>
    <w:rsid w:val="00E741B4"/>
    <w:rsid w:val="00E741D0"/>
    <w:rsid w:val="00E741D5"/>
    <w:rsid w:val="00E74212"/>
    <w:rsid w:val="00E74235"/>
    <w:rsid w:val="00E7428A"/>
    <w:rsid w:val="00E74297"/>
    <w:rsid w:val="00E742A8"/>
    <w:rsid w:val="00E742F1"/>
    <w:rsid w:val="00E74369"/>
    <w:rsid w:val="00E74371"/>
    <w:rsid w:val="00E74406"/>
    <w:rsid w:val="00E7442D"/>
    <w:rsid w:val="00E7443B"/>
    <w:rsid w:val="00E74475"/>
    <w:rsid w:val="00E7447B"/>
    <w:rsid w:val="00E744AB"/>
    <w:rsid w:val="00E744EE"/>
    <w:rsid w:val="00E7456F"/>
    <w:rsid w:val="00E745F4"/>
    <w:rsid w:val="00E746B0"/>
    <w:rsid w:val="00E746CF"/>
    <w:rsid w:val="00E746D1"/>
    <w:rsid w:val="00E7470B"/>
    <w:rsid w:val="00E74781"/>
    <w:rsid w:val="00E74790"/>
    <w:rsid w:val="00E747A5"/>
    <w:rsid w:val="00E747B1"/>
    <w:rsid w:val="00E74811"/>
    <w:rsid w:val="00E7482B"/>
    <w:rsid w:val="00E7484A"/>
    <w:rsid w:val="00E748D1"/>
    <w:rsid w:val="00E7499F"/>
    <w:rsid w:val="00E749E0"/>
    <w:rsid w:val="00E74A23"/>
    <w:rsid w:val="00E74A5B"/>
    <w:rsid w:val="00E74A6A"/>
    <w:rsid w:val="00E74A9D"/>
    <w:rsid w:val="00E74AC4"/>
    <w:rsid w:val="00E74BD6"/>
    <w:rsid w:val="00E74C3C"/>
    <w:rsid w:val="00E74C5F"/>
    <w:rsid w:val="00E74C66"/>
    <w:rsid w:val="00E74C75"/>
    <w:rsid w:val="00E74C88"/>
    <w:rsid w:val="00E74CA1"/>
    <w:rsid w:val="00E74CAB"/>
    <w:rsid w:val="00E74CD3"/>
    <w:rsid w:val="00E74CDE"/>
    <w:rsid w:val="00E74D4F"/>
    <w:rsid w:val="00E74D84"/>
    <w:rsid w:val="00E74D97"/>
    <w:rsid w:val="00E74DD2"/>
    <w:rsid w:val="00E74E03"/>
    <w:rsid w:val="00E74E6E"/>
    <w:rsid w:val="00E74E99"/>
    <w:rsid w:val="00E74EB0"/>
    <w:rsid w:val="00E74ECE"/>
    <w:rsid w:val="00E74EDD"/>
    <w:rsid w:val="00E74EE6"/>
    <w:rsid w:val="00E74F1F"/>
    <w:rsid w:val="00E74F9C"/>
    <w:rsid w:val="00E74FA3"/>
    <w:rsid w:val="00E74FB9"/>
    <w:rsid w:val="00E74FF8"/>
    <w:rsid w:val="00E75014"/>
    <w:rsid w:val="00E75017"/>
    <w:rsid w:val="00E75039"/>
    <w:rsid w:val="00E7503F"/>
    <w:rsid w:val="00E75052"/>
    <w:rsid w:val="00E75058"/>
    <w:rsid w:val="00E75076"/>
    <w:rsid w:val="00E7507D"/>
    <w:rsid w:val="00E750E0"/>
    <w:rsid w:val="00E75133"/>
    <w:rsid w:val="00E7518B"/>
    <w:rsid w:val="00E751B9"/>
    <w:rsid w:val="00E751C6"/>
    <w:rsid w:val="00E751D5"/>
    <w:rsid w:val="00E75200"/>
    <w:rsid w:val="00E75266"/>
    <w:rsid w:val="00E7526B"/>
    <w:rsid w:val="00E752AA"/>
    <w:rsid w:val="00E752DB"/>
    <w:rsid w:val="00E75326"/>
    <w:rsid w:val="00E7535A"/>
    <w:rsid w:val="00E7536D"/>
    <w:rsid w:val="00E75370"/>
    <w:rsid w:val="00E75378"/>
    <w:rsid w:val="00E7539D"/>
    <w:rsid w:val="00E753B6"/>
    <w:rsid w:val="00E7541F"/>
    <w:rsid w:val="00E75471"/>
    <w:rsid w:val="00E7548D"/>
    <w:rsid w:val="00E754B2"/>
    <w:rsid w:val="00E754B6"/>
    <w:rsid w:val="00E75524"/>
    <w:rsid w:val="00E7556C"/>
    <w:rsid w:val="00E7557B"/>
    <w:rsid w:val="00E7559D"/>
    <w:rsid w:val="00E755C1"/>
    <w:rsid w:val="00E755C5"/>
    <w:rsid w:val="00E755D5"/>
    <w:rsid w:val="00E755FF"/>
    <w:rsid w:val="00E75609"/>
    <w:rsid w:val="00E75618"/>
    <w:rsid w:val="00E75637"/>
    <w:rsid w:val="00E7563C"/>
    <w:rsid w:val="00E75694"/>
    <w:rsid w:val="00E756A8"/>
    <w:rsid w:val="00E7570F"/>
    <w:rsid w:val="00E7574D"/>
    <w:rsid w:val="00E7579B"/>
    <w:rsid w:val="00E7579E"/>
    <w:rsid w:val="00E757F5"/>
    <w:rsid w:val="00E7582D"/>
    <w:rsid w:val="00E758DF"/>
    <w:rsid w:val="00E75924"/>
    <w:rsid w:val="00E7594D"/>
    <w:rsid w:val="00E75953"/>
    <w:rsid w:val="00E75964"/>
    <w:rsid w:val="00E75A0C"/>
    <w:rsid w:val="00E75A2B"/>
    <w:rsid w:val="00E75A35"/>
    <w:rsid w:val="00E75A84"/>
    <w:rsid w:val="00E75A94"/>
    <w:rsid w:val="00E75ACC"/>
    <w:rsid w:val="00E75AF6"/>
    <w:rsid w:val="00E75B70"/>
    <w:rsid w:val="00E75B83"/>
    <w:rsid w:val="00E75BB7"/>
    <w:rsid w:val="00E75BE2"/>
    <w:rsid w:val="00E75C0A"/>
    <w:rsid w:val="00E75C22"/>
    <w:rsid w:val="00E75C7D"/>
    <w:rsid w:val="00E75C92"/>
    <w:rsid w:val="00E75C95"/>
    <w:rsid w:val="00E75C9B"/>
    <w:rsid w:val="00E75D15"/>
    <w:rsid w:val="00E75D17"/>
    <w:rsid w:val="00E75D1E"/>
    <w:rsid w:val="00E75D95"/>
    <w:rsid w:val="00E75DD2"/>
    <w:rsid w:val="00E75E7A"/>
    <w:rsid w:val="00E75E8A"/>
    <w:rsid w:val="00E75E8F"/>
    <w:rsid w:val="00E75EB6"/>
    <w:rsid w:val="00E75F22"/>
    <w:rsid w:val="00E75F4F"/>
    <w:rsid w:val="00E75F66"/>
    <w:rsid w:val="00E7601B"/>
    <w:rsid w:val="00E760D8"/>
    <w:rsid w:val="00E7610D"/>
    <w:rsid w:val="00E7611A"/>
    <w:rsid w:val="00E76123"/>
    <w:rsid w:val="00E76151"/>
    <w:rsid w:val="00E761EC"/>
    <w:rsid w:val="00E76213"/>
    <w:rsid w:val="00E76268"/>
    <w:rsid w:val="00E7637E"/>
    <w:rsid w:val="00E763CB"/>
    <w:rsid w:val="00E7641C"/>
    <w:rsid w:val="00E76426"/>
    <w:rsid w:val="00E76436"/>
    <w:rsid w:val="00E76565"/>
    <w:rsid w:val="00E76580"/>
    <w:rsid w:val="00E7658D"/>
    <w:rsid w:val="00E76599"/>
    <w:rsid w:val="00E765A1"/>
    <w:rsid w:val="00E765DA"/>
    <w:rsid w:val="00E76649"/>
    <w:rsid w:val="00E766A7"/>
    <w:rsid w:val="00E7672F"/>
    <w:rsid w:val="00E7677B"/>
    <w:rsid w:val="00E7678D"/>
    <w:rsid w:val="00E767AA"/>
    <w:rsid w:val="00E767AF"/>
    <w:rsid w:val="00E7680E"/>
    <w:rsid w:val="00E76816"/>
    <w:rsid w:val="00E76820"/>
    <w:rsid w:val="00E76847"/>
    <w:rsid w:val="00E76894"/>
    <w:rsid w:val="00E768B1"/>
    <w:rsid w:val="00E76904"/>
    <w:rsid w:val="00E7690C"/>
    <w:rsid w:val="00E7698C"/>
    <w:rsid w:val="00E769A1"/>
    <w:rsid w:val="00E769A7"/>
    <w:rsid w:val="00E769A9"/>
    <w:rsid w:val="00E769B0"/>
    <w:rsid w:val="00E769C1"/>
    <w:rsid w:val="00E769D3"/>
    <w:rsid w:val="00E769F1"/>
    <w:rsid w:val="00E76A58"/>
    <w:rsid w:val="00E76A59"/>
    <w:rsid w:val="00E76AB4"/>
    <w:rsid w:val="00E76B2C"/>
    <w:rsid w:val="00E76B4A"/>
    <w:rsid w:val="00E76BA2"/>
    <w:rsid w:val="00E76C6B"/>
    <w:rsid w:val="00E76D01"/>
    <w:rsid w:val="00E76D33"/>
    <w:rsid w:val="00E76D3B"/>
    <w:rsid w:val="00E76D47"/>
    <w:rsid w:val="00E76D86"/>
    <w:rsid w:val="00E76D9E"/>
    <w:rsid w:val="00E76EA9"/>
    <w:rsid w:val="00E76EEC"/>
    <w:rsid w:val="00E76F07"/>
    <w:rsid w:val="00E76FA6"/>
    <w:rsid w:val="00E76FE6"/>
    <w:rsid w:val="00E7700A"/>
    <w:rsid w:val="00E77025"/>
    <w:rsid w:val="00E77051"/>
    <w:rsid w:val="00E77085"/>
    <w:rsid w:val="00E77088"/>
    <w:rsid w:val="00E770AB"/>
    <w:rsid w:val="00E770B9"/>
    <w:rsid w:val="00E770EE"/>
    <w:rsid w:val="00E771A7"/>
    <w:rsid w:val="00E771FF"/>
    <w:rsid w:val="00E77211"/>
    <w:rsid w:val="00E77226"/>
    <w:rsid w:val="00E772F0"/>
    <w:rsid w:val="00E7734A"/>
    <w:rsid w:val="00E7734E"/>
    <w:rsid w:val="00E77362"/>
    <w:rsid w:val="00E77374"/>
    <w:rsid w:val="00E77387"/>
    <w:rsid w:val="00E773DF"/>
    <w:rsid w:val="00E774CA"/>
    <w:rsid w:val="00E774E9"/>
    <w:rsid w:val="00E77524"/>
    <w:rsid w:val="00E77531"/>
    <w:rsid w:val="00E77549"/>
    <w:rsid w:val="00E77567"/>
    <w:rsid w:val="00E7763A"/>
    <w:rsid w:val="00E77647"/>
    <w:rsid w:val="00E7764B"/>
    <w:rsid w:val="00E77667"/>
    <w:rsid w:val="00E776CC"/>
    <w:rsid w:val="00E776FE"/>
    <w:rsid w:val="00E7770C"/>
    <w:rsid w:val="00E77723"/>
    <w:rsid w:val="00E77727"/>
    <w:rsid w:val="00E77783"/>
    <w:rsid w:val="00E7779B"/>
    <w:rsid w:val="00E777B5"/>
    <w:rsid w:val="00E777D4"/>
    <w:rsid w:val="00E777F6"/>
    <w:rsid w:val="00E7783B"/>
    <w:rsid w:val="00E77848"/>
    <w:rsid w:val="00E77876"/>
    <w:rsid w:val="00E77879"/>
    <w:rsid w:val="00E7789D"/>
    <w:rsid w:val="00E778AE"/>
    <w:rsid w:val="00E778D9"/>
    <w:rsid w:val="00E778F0"/>
    <w:rsid w:val="00E778F7"/>
    <w:rsid w:val="00E779C5"/>
    <w:rsid w:val="00E77A8F"/>
    <w:rsid w:val="00E77AFE"/>
    <w:rsid w:val="00E77B55"/>
    <w:rsid w:val="00E77B7F"/>
    <w:rsid w:val="00E77B87"/>
    <w:rsid w:val="00E77BDB"/>
    <w:rsid w:val="00E77BDD"/>
    <w:rsid w:val="00E77BFC"/>
    <w:rsid w:val="00E77C12"/>
    <w:rsid w:val="00E77C1F"/>
    <w:rsid w:val="00E77C3B"/>
    <w:rsid w:val="00E77C44"/>
    <w:rsid w:val="00E77C70"/>
    <w:rsid w:val="00E77C92"/>
    <w:rsid w:val="00E77C95"/>
    <w:rsid w:val="00E77CA7"/>
    <w:rsid w:val="00E77CB4"/>
    <w:rsid w:val="00E77CB8"/>
    <w:rsid w:val="00E77CE6"/>
    <w:rsid w:val="00E77D15"/>
    <w:rsid w:val="00E77D3C"/>
    <w:rsid w:val="00E77D41"/>
    <w:rsid w:val="00E77D7B"/>
    <w:rsid w:val="00E77D85"/>
    <w:rsid w:val="00E77D8A"/>
    <w:rsid w:val="00E77DD8"/>
    <w:rsid w:val="00E77DE3"/>
    <w:rsid w:val="00E77E00"/>
    <w:rsid w:val="00E77E0A"/>
    <w:rsid w:val="00E77E13"/>
    <w:rsid w:val="00E77E1B"/>
    <w:rsid w:val="00E77E80"/>
    <w:rsid w:val="00E77E94"/>
    <w:rsid w:val="00E77EF8"/>
    <w:rsid w:val="00E77F2D"/>
    <w:rsid w:val="00E77F8B"/>
    <w:rsid w:val="00E80061"/>
    <w:rsid w:val="00E80068"/>
    <w:rsid w:val="00E80084"/>
    <w:rsid w:val="00E80195"/>
    <w:rsid w:val="00E801AE"/>
    <w:rsid w:val="00E80217"/>
    <w:rsid w:val="00E8030B"/>
    <w:rsid w:val="00E80330"/>
    <w:rsid w:val="00E80344"/>
    <w:rsid w:val="00E80354"/>
    <w:rsid w:val="00E803A4"/>
    <w:rsid w:val="00E80413"/>
    <w:rsid w:val="00E80420"/>
    <w:rsid w:val="00E80437"/>
    <w:rsid w:val="00E8043B"/>
    <w:rsid w:val="00E80451"/>
    <w:rsid w:val="00E80493"/>
    <w:rsid w:val="00E80522"/>
    <w:rsid w:val="00E805AA"/>
    <w:rsid w:val="00E805AD"/>
    <w:rsid w:val="00E805E0"/>
    <w:rsid w:val="00E805F0"/>
    <w:rsid w:val="00E8062E"/>
    <w:rsid w:val="00E8062F"/>
    <w:rsid w:val="00E80640"/>
    <w:rsid w:val="00E8068A"/>
    <w:rsid w:val="00E806B9"/>
    <w:rsid w:val="00E8072B"/>
    <w:rsid w:val="00E80736"/>
    <w:rsid w:val="00E80753"/>
    <w:rsid w:val="00E80758"/>
    <w:rsid w:val="00E808DE"/>
    <w:rsid w:val="00E8092E"/>
    <w:rsid w:val="00E8098A"/>
    <w:rsid w:val="00E80995"/>
    <w:rsid w:val="00E809A5"/>
    <w:rsid w:val="00E809D7"/>
    <w:rsid w:val="00E80A03"/>
    <w:rsid w:val="00E80A1F"/>
    <w:rsid w:val="00E80A52"/>
    <w:rsid w:val="00E80A66"/>
    <w:rsid w:val="00E80A6F"/>
    <w:rsid w:val="00E80AC8"/>
    <w:rsid w:val="00E80B09"/>
    <w:rsid w:val="00E80B25"/>
    <w:rsid w:val="00E80B56"/>
    <w:rsid w:val="00E80B62"/>
    <w:rsid w:val="00E80B66"/>
    <w:rsid w:val="00E80B77"/>
    <w:rsid w:val="00E80BC6"/>
    <w:rsid w:val="00E80C0E"/>
    <w:rsid w:val="00E80C10"/>
    <w:rsid w:val="00E80C28"/>
    <w:rsid w:val="00E80C84"/>
    <w:rsid w:val="00E80C87"/>
    <w:rsid w:val="00E80C8D"/>
    <w:rsid w:val="00E80DD4"/>
    <w:rsid w:val="00E80DFE"/>
    <w:rsid w:val="00E80E0D"/>
    <w:rsid w:val="00E80E0F"/>
    <w:rsid w:val="00E80E81"/>
    <w:rsid w:val="00E80EAD"/>
    <w:rsid w:val="00E80ED5"/>
    <w:rsid w:val="00E80F1B"/>
    <w:rsid w:val="00E80F65"/>
    <w:rsid w:val="00E80F9B"/>
    <w:rsid w:val="00E80FF0"/>
    <w:rsid w:val="00E81047"/>
    <w:rsid w:val="00E81075"/>
    <w:rsid w:val="00E8107B"/>
    <w:rsid w:val="00E8109B"/>
    <w:rsid w:val="00E810A5"/>
    <w:rsid w:val="00E810B3"/>
    <w:rsid w:val="00E810BF"/>
    <w:rsid w:val="00E8111F"/>
    <w:rsid w:val="00E8112C"/>
    <w:rsid w:val="00E81194"/>
    <w:rsid w:val="00E811CA"/>
    <w:rsid w:val="00E81216"/>
    <w:rsid w:val="00E81241"/>
    <w:rsid w:val="00E81244"/>
    <w:rsid w:val="00E812BE"/>
    <w:rsid w:val="00E81335"/>
    <w:rsid w:val="00E81398"/>
    <w:rsid w:val="00E81408"/>
    <w:rsid w:val="00E8140A"/>
    <w:rsid w:val="00E8144A"/>
    <w:rsid w:val="00E8145A"/>
    <w:rsid w:val="00E814A9"/>
    <w:rsid w:val="00E814C4"/>
    <w:rsid w:val="00E814CD"/>
    <w:rsid w:val="00E814CF"/>
    <w:rsid w:val="00E81540"/>
    <w:rsid w:val="00E81599"/>
    <w:rsid w:val="00E815E1"/>
    <w:rsid w:val="00E816EE"/>
    <w:rsid w:val="00E81771"/>
    <w:rsid w:val="00E817D8"/>
    <w:rsid w:val="00E817E6"/>
    <w:rsid w:val="00E817EE"/>
    <w:rsid w:val="00E81854"/>
    <w:rsid w:val="00E81862"/>
    <w:rsid w:val="00E818A4"/>
    <w:rsid w:val="00E818C7"/>
    <w:rsid w:val="00E81920"/>
    <w:rsid w:val="00E81952"/>
    <w:rsid w:val="00E8197B"/>
    <w:rsid w:val="00E81998"/>
    <w:rsid w:val="00E819AE"/>
    <w:rsid w:val="00E819C1"/>
    <w:rsid w:val="00E819E3"/>
    <w:rsid w:val="00E81A56"/>
    <w:rsid w:val="00E81A6F"/>
    <w:rsid w:val="00E81AA3"/>
    <w:rsid w:val="00E81AB3"/>
    <w:rsid w:val="00E81ACA"/>
    <w:rsid w:val="00E81B25"/>
    <w:rsid w:val="00E81B32"/>
    <w:rsid w:val="00E81B42"/>
    <w:rsid w:val="00E81B43"/>
    <w:rsid w:val="00E81B7A"/>
    <w:rsid w:val="00E81B98"/>
    <w:rsid w:val="00E81C04"/>
    <w:rsid w:val="00E81C1D"/>
    <w:rsid w:val="00E81C57"/>
    <w:rsid w:val="00E81C7C"/>
    <w:rsid w:val="00E81C9D"/>
    <w:rsid w:val="00E81CD8"/>
    <w:rsid w:val="00E81CFF"/>
    <w:rsid w:val="00E81D29"/>
    <w:rsid w:val="00E81D2A"/>
    <w:rsid w:val="00E81D89"/>
    <w:rsid w:val="00E81DD6"/>
    <w:rsid w:val="00E81E68"/>
    <w:rsid w:val="00E81E89"/>
    <w:rsid w:val="00E81EAA"/>
    <w:rsid w:val="00E81ECD"/>
    <w:rsid w:val="00E81F29"/>
    <w:rsid w:val="00E81F2A"/>
    <w:rsid w:val="00E81F37"/>
    <w:rsid w:val="00E81F6A"/>
    <w:rsid w:val="00E82010"/>
    <w:rsid w:val="00E8201E"/>
    <w:rsid w:val="00E82114"/>
    <w:rsid w:val="00E82142"/>
    <w:rsid w:val="00E8214E"/>
    <w:rsid w:val="00E8219D"/>
    <w:rsid w:val="00E821E1"/>
    <w:rsid w:val="00E82278"/>
    <w:rsid w:val="00E8240F"/>
    <w:rsid w:val="00E82454"/>
    <w:rsid w:val="00E82457"/>
    <w:rsid w:val="00E8246D"/>
    <w:rsid w:val="00E824C7"/>
    <w:rsid w:val="00E824CA"/>
    <w:rsid w:val="00E824E5"/>
    <w:rsid w:val="00E824EB"/>
    <w:rsid w:val="00E82562"/>
    <w:rsid w:val="00E82566"/>
    <w:rsid w:val="00E82573"/>
    <w:rsid w:val="00E82579"/>
    <w:rsid w:val="00E82590"/>
    <w:rsid w:val="00E82594"/>
    <w:rsid w:val="00E82597"/>
    <w:rsid w:val="00E825B9"/>
    <w:rsid w:val="00E826AD"/>
    <w:rsid w:val="00E826C3"/>
    <w:rsid w:val="00E826DB"/>
    <w:rsid w:val="00E82710"/>
    <w:rsid w:val="00E82724"/>
    <w:rsid w:val="00E827A8"/>
    <w:rsid w:val="00E827B9"/>
    <w:rsid w:val="00E827BB"/>
    <w:rsid w:val="00E827D0"/>
    <w:rsid w:val="00E827F5"/>
    <w:rsid w:val="00E82850"/>
    <w:rsid w:val="00E828AD"/>
    <w:rsid w:val="00E828B5"/>
    <w:rsid w:val="00E828C2"/>
    <w:rsid w:val="00E828E8"/>
    <w:rsid w:val="00E82940"/>
    <w:rsid w:val="00E8297B"/>
    <w:rsid w:val="00E82A0D"/>
    <w:rsid w:val="00E82A2A"/>
    <w:rsid w:val="00E82A6E"/>
    <w:rsid w:val="00E82A89"/>
    <w:rsid w:val="00E82A9D"/>
    <w:rsid w:val="00E82ADC"/>
    <w:rsid w:val="00E82ADE"/>
    <w:rsid w:val="00E82B09"/>
    <w:rsid w:val="00E82B37"/>
    <w:rsid w:val="00E82B43"/>
    <w:rsid w:val="00E82B5B"/>
    <w:rsid w:val="00E82B63"/>
    <w:rsid w:val="00E82B90"/>
    <w:rsid w:val="00E82B9E"/>
    <w:rsid w:val="00E82BA7"/>
    <w:rsid w:val="00E82BE0"/>
    <w:rsid w:val="00E82C16"/>
    <w:rsid w:val="00E82C25"/>
    <w:rsid w:val="00E82C38"/>
    <w:rsid w:val="00E82C39"/>
    <w:rsid w:val="00E82C76"/>
    <w:rsid w:val="00E82C90"/>
    <w:rsid w:val="00E82CB6"/>
    <w:rsid w:val="00E82DB6"/>
    <w:rsid w:val="00E82DD8"/>
    <w:rsid w:val="00E82E09"/>
    <w:rsid w:val="00E82E0C"/>
    <w:rsid w:val="00E82E11"/>
    <w:rsid w:val="00E82E63"/>
    <w:rsid w:val="00E82ECE"/>
    <w:rsid w:val="00E82EEF"/>
    <w:rsid w:val="00E82F20"/>
    <w:rsid w:val="00E82F23"/>
    <w:rsid w:val="00E82F44"/>
    <w:rsid w:val="00E82F55"/>
    <w:rsid w:val="00E82F8D"/>
    <w:rsid w:val="00E82F90"/>
    <w:rsid w:val="00E8302F"/>
    <w:rsid w:val="00E83070"/>
    <w:rsid w:val="00E83077"/>
    <w:rsid w:val="00E8308B"/>
    <w:rsid w:val="00E830A0"/>
    <w:rsid w:val="00E830A5"/>
    <w:rsid w:val="00E830A7"/>
    <w:rsid w:val="00E830BC"/>
    <w:rsid w:val="00E830C2"/>
    <w:rsid w:val="00E8319E"/>
    <w:rsid w:val="00E831CB"/>
    <w:rsid w:val="00E831EE"/>
    <w:rsid w:val="00E8325F"/>
    <w:rsid w:val="00E832B2"/>
    <w:rsid w:val="00E83332"/>
    <w:rsid w:val="00E83336"/>
    <w:rsid w:val="00E83346"/>
    <w:rsid w:val="00E83357"/>
    <w:rsid w:val="00E833AA"/>
    <w:rsid w:val="00E833B5"/>
    <w:rsid w:val="00E833BE"/>
    <w:rsid w:val="00E833C9"/>
    <w:rsid w:val="00E833EF"/>
    <w:rsid w:val="00E83406"/>
    <w:rsid w:val="00E8343E"/>
    <w:rsid w:val="00E83441"/>
    <w:rsid w:val="00E834BE"/>
    <w:rsid w:val="00E834C2"/>
    <w:rsid w:val="00E834EE"/>
    <w:rsid w:val="00E834F8"/>
    <w:rsid w:val="00E83504"/>
    <w:rsid w:val="00E83587"/>
    <w:rsid w:val="00E835B3"/>
    <w:rsid w:val="00E835F4"/>
    <w:rsid w:val="00E835FD"/>
    <w:rsid w:val="00E8366F"/>
    <w:rsid w:val="00E836AB"/>
    <w:rsid w:val="00E836B3"/>
    <w:rsid w:val="00E836F5"/>
    <w:rsid w:val="00E836FD"/>
    <w:rsid w:val="00E8370C"/>
    <w:rsid w:val="00E83732"/>
    <w:rsid w:val="00E8374E"/>
    <w:rsid w:val="00E83792"/>
    <w:rsid w:val="00E837A9"/>
    <w:rsid w:val="00E837AF"/>
    <w:rsid w:val="00E837DB"/>
    <w:rsid w:val="00E837EC"/>
    <w:rsid w:val="00E837F8"/>
    <w:rsid w:val="00E8383B"/>
    <w:rsid w:val="00E83863"/>
    <w:rsid w:val="00E83873"/>
    <w:rsid w:val="00E838C6"/>
    <w:rsid w:val="00E83916"/>
    <w:rsid w:val="00E83920"/>
    <w:rsid w:val="00E8392B"/>
    <w:rsid w:val="00E8396C"/>
    <w:rsid w:val="00E839EB"/>
    <w:rsid w:val="00E83A1D"/>
    <w:rsid w:val="00E83A85"/>
    <w:rsid w:val="00E83B02"/>
    <w:rsid w:val="00E83B4E"/>
    <w:rsid w:val="00E83BD1"/>
    <w:rsid w:val="00E83C0C"/>
    <w:rsid w:val="00E83C1F"/>
    <w:rsid w:val="00E83C92"/>
    <w:rsid w:val="00E83D65"/>
    <w:rsid w:val="00E83DBB"/>
    <w:rsid w:val="00E83DC1"/>
    <w:rsid w:val="00E83E4D"/>
    <w:rsid w:val="00E83E5F"/>
    <w:rsid w:val="00E83EB3"/>
    <w:rsid w:val="00E83F0C"/>
    <w:rsid w:val="00E83F25"/>
    <w:rsid w:val="00E83F61"/>
    <w:rsid w:val="00E83F86"/>
    <w:rsid w:val="00E83FA7"/>
    <w:rsid w:val="00E83FDE"/>
    <w:rsid w:val="00E83FF4"/>
    <w:rsid w:val="00E840A5"/>
    <w:rsid w:val="00E840FF"/>
    <w:rsid w:val="00E84118"/>
    <w:rsid w:val="00E8411D"/>
    <w:rsid w:val="00E8414D"/>
    <w:rsid w:val="00E8417B"/>
    <w:rsid w:val="00E841A8"/>
    <w:rsid w:val="00E841B1"/>
    <w:rsid w:val="00E841F5"/>
    <w:rsid w:val="00E8420E"/>
    <w:rsid w:val="00E8421B"/>
    <w:rsid w:val="00E84250"/>
    <w:rsid w:val="00E84267"/>
    <w:rsid w:val="00E84288"/>
    <w:rsid w:val="00E84292"/>
    <w:rsid w:val="00E8430D"/>
    <w:rsid w:val="00E8439C"/>
    <w:rsid w:val="00E843B7"/>
    <w:rsid w:val="00E843BA"/>
    <w:rsid w:val="00E843CD"/>
    <w:rsid w:val="00E843F0"/>
    <w:rsid w:val="00E843F1"/>
    <w:rsid w:val="00E843F3"/>
    <w:rsid w:val="00E84420"/>
    <w:rsid w:val="00E84492"/>
    <w:rsid w:val="00E8449D"/>
    <w:rsid w:val="00E844CB"/>
    <w:rsid w:val="00E8451B"/>
    <w:rsid w:val="00E84523"/>
    <w:rsid w:val="00E84571"/>
    <w:rsid w:val="00E8459D"/>
    <w:rsid w:val="00E845F4"/>
    <w:rsid w:val="00E84699"/>
    <w:rsid w:val="00E846A3"/>
    <w:rsid w:val="00E846E2"/>
    <w:rsid w:val="00E84735"/>
    <w:rsid w:val="00E8476D"/>
    <w:rsid w:val="00E847E3"/>
    <w:rsid w:val="00E847F3"/>
    <w:rsid w:val="00E8484E"/>
    <w:rsid w:val="00E84858"/>
    <w:rsid w:val="00E848CA"/>
    <w:rsid w:val="00E8493A"/>
    <w:rsid w:val="00E84962"/>
    <w:rsid w:val="00E8496A"/>
    <w:rsid w:val="00E84999"/>
    <w:rsid w:val="00E849BB"/>
    <w:rsid w:val="00E849D3"/>
    <w:rsid w:val="00E84A26"/>
    <w:rsid w:val="00E84A28"/>
    <w:rsid w:val="00E84A5B"/>
    <w:rsid w:val="00E84A60"/>
    <w:rsid w:val="00E84A95"/>
    <w:rsid w:val="00E84AAB"/>
    <w:rsid w:val="00E84AF8"/>
    <w:rsid w:val="00E84B3A"/>
    <w:rsid w:val="00E84B7A"/>
    <w:rsid w:val="00E84B89"/>
    <w:rsid w:val="00E84C02"/>
    <w:rsid w:val="00E84C54"/>
    <w:rsid w:val="00E84C7B"/>
    <w:rsid w:val="00E84C9E"/>
    <w:rsid w:val="00E84CA4"/>
    <w:rsid w:val="00E84D3A"/>
    <w:rsid w:val="00E84D8D"/>
    <w:rsid w:val="00E84D9E"/>
    <w:rsid w:val="00E84E4B"/>
    <w:rsid w:val="00E84E96"/>
    <w:rsid w:val="00E84E9B"/>
    <w:rsid w:val="00E84EC0"/>
    <w:rsid w:val="00E84ECC"/>
    <w:rsid w:val="00E84F10"/>
    <w:rsid w:val="00E84F4A"/>
    <w:rsid w:val="00E84F82"/>
    <w:rsid w:val="00E84FF4"/>
    <w:rsid w:val="00E84FFF"/>
    <w:rsid w:val="00E8507E"/>
    <w:rsid w:val="00E8509A"/>
    <w:rsid w:val="00E850A8"/>
    <w:rsid w:val="00E8510D"/>
    <w:rsid w:val="00E8513F"/>
    <w:rsid w:val="00E85159"/>
    <w:rsid w:val="00E851A8"/>
    <w:rsid w:val="00E851E0"/>
    <w:rsid w:val="00E8528B"/>
    <w:rsid w:val="00E8529D"/>
    <w:rsid w:val="00E852E0"/>
    <w:rsid w:val="00E8531A"/>
    <w:rsid w:val="00E8535B"/>
    <w:rsid w:val="00E8538B"/>
    <w:rsid w:val="00E85420"/>
    <w:rsid w:val="00E85449"/>
    <w:rsid w:val="00E85484"/>
    <w:rsid w:val="00E85503"/>
    <w:rsid w:val="00E85545"/>
    <w:rsid w:val="00E85681"/>
    <w:rsid w:val="00E85696"/>
    <w:rsid w:val="00E856BC"/>
    <w:rsid w:val="00E85727"/>
    <w:rsid w:val="00E857FD"/>
    <w:rsid w:val="00E85822"/>
    <w:rsid w:val="00E85866"/>
    <w:rsid w:val="00E858BD"/>
    <w:rsid w:val="00E858BE"/>
    <w:rsid w:val="00E858E0"/>
    <w:rsid w:val="00E85905"/>
    <w:rsid w:val="00E85936"/>
    <w:rsid w:val="00E85964"/>
    <w:rsid w:val="00E85992"/>
    <w:rsid w:val="00E859DD"/>
    <w:rsid w:val="00E859EA"/>
    <w:rsid w:val="00E85A0E"/>
    <w:rsid w:val="00E85A47"/>
    <w:rsid w:val="00E85A81"/>
    <w:rsid w:val="00E85AA7"/>
    <w:rsid w:val="00E85ACC"/>
    <w:rsid w:val="00E85B0C"/>
    <w:rsid w:val="00E85B2D"/>
    <w:rsid w:val="00E85B3B"/>
    <w:rsid w:val="00E85B4A"/>
    <w:rsid w:val="00E85C14"/>
    <w:rsid w:val="00E85C5A"/>
    <w:rsid w:val="00E85C98"/>
    <w:rsid w:val="00E85D16"/>
    <w:rsid w:val="00E85D36"/>
    <w:rsid w:val="00E85D7F"/>
    <w:rsid w:val="00E85D81"/>
    <w:rsid w:val="00E85D96"/>
    <w:rsid w:val="00E85DCF"/>
    <w:rsid w:val="00E85DE5"/>
    <w:rsid w:val="00E85E1A"/>
    <w:rsid w:val="00E85EA5"/>
    <w:rsid w:val="00E85EC5"/>
    <w:rsid w:val="00E85EEE"/>
    <w:rsid w:val="00E85EF4"/>
    <w:rsid w:val="00E85FDF"/>
    <w:rsid w:val="00E8601E"/>
    <w:rsid w:val="00E86068"/>
    <w:rsid w:val="00E86099"/>
    <w:rsid w:val="00E860CA"/>
    <w:rsid w:val="00E860FA"/>
    <w:rsid w:val="00E86163"/>
    <w:rsid w:val="00E861C2"/>
    <w:rsid w:val="00E861D9"/>
    <w:rsid w:val="00E86203"/>
    <w:rsid w:val="00E86231"/>
    <w:rsid w:val="00E8623D"/>
    <w:rsid w:val="00E8625E"/>
    <w:rsid w:val="00E862A5"/>
    <w:rsid w:val="00E862E7"/>
    <w:rsid w:val="00E862E9"/>
    <w:rsid w:val="00E86350"/>
    <w:rsid w:val="00E863DD"/>
    <w:rsid w:val="00E863E7"/>
    <w:rsid w:val="00E86436"/>
    <w:rsid w:val="00E8643A"/>
    <w:rsid w:val="00E86450"/>
    <w:rsid w:val="00E86464"/>
    <w:rsid w:val="00E8646A"/>
    <w:rsid w:val="00E8646C"/>
    <w:rsid w:val="00E8649E"/>
    <w:rsid w:val="00E864DA"/>
    <w:rsid w:val="00E864E6"/>
    <w:rsid w:val="00E86534"/>
    <w:rsid w:val="00E86539"/>
    <w:rsid w:val="00E8653C"/>
    <w:rsid w:val="00E86543"/>
    <w:rsid w:val="00E86547"/>
    <w:rsid w:val="00E8655F"/>
    <w:rsid w:val="00E8656E"/>
    <w:rsid w:val="00E86632"/>
    <w:rsid w:val="00E86655"/>
    <w:rsid w:val="00E866A6"/>
    <w:rsid w:val="00E866C9"/>
    <w:rsid w:val="00E866CD"/>
    <w:rsid w:val="00E86713"/>
    <w:rsid w:val="00E8672A"/>
    <w:rsid w:val="00E86748"/>
    <w:rsid w:val="00E86763"/>
    <w:rsid w:val="00E86765"/>
    <w:rsid w:val="00E86787"/>
    <w:rsid w:val="00E867B7"/>
    <w:rsid w:val="00E867FC"/>
    <w:rsid w:val="00E86803"/>
    <w:rsid w:val="00E8682E"/>
    <w:rsid w:val="00E86863"/>
    <w:rsid w:val="00E868CB"/>
    <w:rsid w:val="00E868D7"/>
    <w:rsid w:val="00E8691A"/>
    <w:rsid w:val="00E8695B"/>
    <w:rsid w:val="00E86A03"/>
    <w:rsid w:val="00E86A2A"/>
    <w:rsid w:val="00E86A54"/>
    <w:rsid w:val="00E86AC1"/>
    <w:rsid w:val="00E86ACB"/>
    <w:rsid w:val="00E86B06"/>
    <w:rsid w:val="00E86B24"/>
    <w:rsid w:val="00E86B7F"/>
    <w:rsid w:val="00E86B83"/>
    <w:rsid w:val="00E86C4A"/>
    <w:rsid w:val="00E86C4D"/>
    <w:rsid w:val="00E86C68"/>
    <w:rsid w:val="00E86CB8"/>
    <w:rsid w:val="00E86D26"/>
    <w:rsid w:val="00E86D2A"/>
    <w:rsid w:val="00E86D39"/>
    <w:rsid w:val="00E86E4F"/>
    <w:rsid w:val="00E86EC3"/>
    <w:rsid w:val="00E86EEB"/>
    <w:rsid w:val="00E86EFA"/>
    <w:rsid w:val="00E86F05"/>
    <w:rsid w:val="00E86F21"/>
    <w:rsid w:val="00E86F46"/>
    <w:rsid w:val="00E86F4B"/>
    <w:rsid w:val="00E86F52"/>
    <w:rsid w:val="00E86FAC"/>
    <w:rsid w:val="00E87065"/>
    <w:rsid w:val="00E870D7"/>
    <w:rsid w:val="00E870E1"/>
    <w:rsid w:val="00E87113"/>
    <w:rsid w:val="00E8712B"/>
    <w:rsid w:val="00E8723B"/>
    <w:rsid w:val="00E8728A"/>
    <w:rsid w:val="00E872A6"/>
    <w:rsid w:val="00E872C2"/>
    <w:rsid w:val="00E87343"/>
    <w:rsid w:val="00E87392"/>
    <w:rsid w:val="00E8739C"/>
    <w:rsid w:val="00E873CA"/>
    <w:rsid w:val="00E87436"/>
    <w:rsid w:val="00E87437"/>
    <w:rsid w:val="00E8743B"/>
    <w:rsid w:val="00E87458"/>
    <w:rsid w:val="00E874B8"/>
    <w:rsid w:val="00E874DB"/>
    <w:rsid w:val="00E874E7"/>
    <w:rsid w:val="00E8751E"/>
    <w:rsid w:val="00E8753D"/>
    <w:rsid w:val="00E87561"/>
    <w:rsid w:val="00E8756A"/>
    <w:rsid w:val="00E875A9"/>
    <w:rsid w:val="00E875BB"/>
    <w:rsid w:val="00E875CD"/>
    <w:rsid w:val="00E875F2"/>
    <w:rsid w:val="00E87615"/>
    <w:rsid w:val="00E8763B"/>
    <w:rsid w:val="00E87668"/>
    <w:rsid w:val="00E876C6"/>
    <w:rsid w:val="00E87712"/>
    <w:rsid w:val="00E87714"/>
    <w:rsid w:val="00E87760"/>
    <w:rsid w:val="00E87779"/>
    <w:rsid w:val="00E87822"/>
    <w:rsid w:val="00E87844"/>
    <w:rsid w:val="00E87883"/>
    <w:rsid w:val="00E87895"/>
    <w:rsid w:val="00E878ED"/>
    <w:rsid w:val="00E8790C"/>
    <w:rsid w:val="00E8791B"/>
    <w:rsid w:val="00E879E2"/>
    <w:rsid w:val="00E879F2"/>
    <w:rsid w:val="00E87A93"/>
    <w:rsid w:val="00E87AE9"/>
    <w:rsid w:val="00E87B2B"/>
    <w:rsid w:val="00E87B68"/>
    <w:rsid w:val="00E87B69"/>
    <w:rsid w:val="00E87BCD"/>
    <w:rsid w:val="00E87BD9"/>
    <w:rsid w:val="00E87C07"/>
    <w:rsid w:val="00E87C19"/>
    <w:rsid w:val="00E87C38"/>
    <w:rsid w:val="00E87C40"/>
    <w:rsid w:val="00E87C59"/>
    <w:rsid w:val="00E87C87"/>
    <w:rsid w:val="00E87CC6"/>
    <w:rsid w:val="00E87CD6"/>
    <w:rsid w:val="00E87CF7"/>
    <w:rsid w:val="00E87D56"/>
    <w:rsid w:val="00E87D5D"/>
    <w:rsid w:val="00E87D77"/>
    <w:rsid w:val="00E87D87"/>
    <w:rsid w:val="00E87D95"/>
    <w:rsid w:val="00E87DE6"/>
    <w:rsid w:val="00E87DFB"/>
    <w:rsid w:val="00E87E08"/>
    <w:rsid w:val="00E87E10"/>
    <w:rsid w:val="00E87E55"/>
    <w:rsid w:val="00E87EC3"/>
    <w:rsid w:val="00E87EEF"/>
    <w:rsid w:val="00E87EF6"/>
    <w:rsid w:val="00E87F2A"/>
    <w:rsid w:val="00E87F38"/>
    <w:rsid w:val="00E87F6F"/>
    <w:rsid w:val="00E9001B"/>
    <w:rsid w:val="00E90042"/>
    <w:rsid w:val="00E90045"/>
    <w:rsid w:val="00E90072"/>
    <w:rsid w:val="00E90075"/>
    <w:rsid w:val="00E900FE"/>
    <w:rsid w:val="00E90115"/>
    <w:rsid w:val="00E9014E"/>
    <w:rsid w:val="00E90163"/>
    <w:rsid w:val="00E9017F"/>
    <w:rsid w:val="00E9018C"/>
    <w:rsid w:val="00E90199"/>
    <w:rsid w:val="00E901B0"/>
    <w:rsid w:val="00E901D9"/>
    <w:rsid w:val="00E901DF"/>
    <w:rsid w:val="00E901E9"/>
    <w:rsid w:val="00E90212"/>
    <w:rsid w:val="00E90239"/>
    <w:rsid w:val="00E90263"/>
    <w:rsid w:val="00E902B0"/>
    <w:rsid w:val="00E902B5"/>
    <w:rsid w:val="00E902D1"/>
    <w:rsid w:val="00E902E8"/>
    <w:rsid w:val="00E902F1"/>
    <w:rsid w:val="00E90309"/>
    <w:rsid w:val="00E90319"/>
    <w:rsid w:val="00E9033B"/>
    <w:rsid w:val="00E90344"/>
    <w:rsid w:val="00E9039C"/>
    <w:rsid w:val="00E903B4"/>
    <w:rsid w:val="00E90436"/>
    <w:rsid w:val="00E90450"/>
    <w:rsid w:val="00E9047F"/>
    <w:rsid w:val="00E90486"/>
    <w:rsid w:val="00E90489"/>
    <w:rsid w:val="00E9048F"/>
    <w:rsid w:val="00E904EC"/>
    <w:rsid w:val="00E904FE"/>
    <w:rsid w:val="00E90576"/>
    <w:rsid w:val="00E905B0"/>
    <w:rsid w:val="00E905D1"/>
    <w:rsid w:val="00E9062C"/>
    <w:rsid w:val="00E9062E"/>
    <w:rsid w:val="00E9063F"/>
    <w:rsid w:val="00E90679"/>
    <w:rsid w:val="00E9067F"/>
    <w:rsid w:val="00E906C2"/>
    <w:rsid w:val="00E906CC"/>
    <w:rsid w:val="00E906CD"/>
    <w:rsid w:val="00E906DB"/>
    <w:rsid w:val="00E90710"/>
    <w:rsid w:val="00E9078C"/>
    <w:rsid w:val="00E9079C"/>
    <w:rsid w:val="00E907E2"/>
    <w:rsid w:val="00E907FC"/>
    <w:rsid w:val="00E90803"/>
    <w:rsid w:val="00E90867"/>
    <w:rsid w:val="00E9086E"/>
    <w:rsid w:val="00E90871"/>
    <w:rsid w:val="00E90885"/>
    <w:rsid w:val="00E9088E"/>
    <w:rsid w:val="00E908AB"/>
    <w:rsid w:val="00E908CA"/>
    <w:rsid w:val="00E908CF"/>
    <w:rsid w:val="00E90907"/>
    <w:rsid w:val="00E90908"/>
    <w:rsid w:val="00E9091B"/>
    <w:rsid w:val="00E90926"/>
    <w:rsid w:val="00E90936"/>
    <w:rsid w:val="00E9094B"/>
    <w:rsid w:val="00E90966"/>
    <w:rsid w:val="00E90998"/>
    <w:rsid w:val="00E909A9"/>
    <w:rsid w:val="00E90A73"/>
    <w:rsid w:val="00E90A93"/>
    <w:rsid w:val="00E90AA4"/>
    <w:rsid w:val="00E90ACC"/>
    <w:rsid w:val="00E90ACD"/>
    <w:rsid w:val="00E90AED"/>
    <w:rsid w:val="00E90B10"/>
    <w:rsid w:val="00E90B9D"/>
    <w:rsid w:val="00E90BB9"/>
    <w:rsid w:val="00E90BEE"/>
    <w:rsid w:val="00E90C41"/>
    <w:rsid w:val="00E90CD4"/>
    <w:rsid w:val="00E90D4E"/>
    <w:rsid w:val="00E90D51"/>
    <w:rsid w:val="00E90DE6"/>
    <w:rsid w:val="00E90E0E"/>
    <w:rsid w:val="00E90E1A"/>
    <w:rsid w:val="00E90E83"/>
    <w:rsid w:val="00E90EBE"/>
    <w:rsid w:val="00E90EC5"/>
    <w:rsid w:val="00E90ECB"/>
    <w:rsid w:val="00E90F5C"/>
    <w:rsid w:val="00E91074"/>
    <w:rsid w:val="00E910E8"/>
    <w:rsid w:val="00E910FF"/>
    <w:rsid w:val="00E9116E"/>
    <w:rsid w:val="00E9126B"/>
    <w:rsid w:val="00E91278"/>
    <w:rsid w:val="00E9129D"/>
    <w:rsid w:val="00E912B5"/>
    <w:rsid w:val="00E912C1"/>
    <w:rsid w:val="00E91333"/>
    <w:rsid w:val="00E91352"/>
    <w:rsid w:val="00E913FF"/>
    <w:rsid w:val="00E9141A"/>
    <w:rsid w:val="00E91479"/>
    <w:rsid w:val="00E9153F"/>
    <w:rsid w:val="00E915AF"/>
    <w:rsid w:val="00E915D5"/>
    <w:rsid w:val="00E9164E"/>
    <w:rsid w:val="00E916C6"/>
    <w:rsid w:val="00E916D7"/>
    <w:rsid w:val="00E91723"/>
    <w:rsid w:val="00E91754"/>
    <w:rsid w:val="00E91824"/>
    <w:rsid w:val="00E9184D"/>
    <w:rsid w:val="00E91888"/>
    <w:rsid w:val="00E9193B"/>
    <w:rsid w:val="00E919A4"/>
    <w:rsid w:val="00E919C2"/>
    <w:rsid w:val="00E919C4"/>
    <w:rsid w:val="00E91A3E"/>
    <w:rsid w:val="00E91A65"/>
    <w:rsid w:val="00E91ABC"/>
    <w:rsid w:val="00E91ACB"/>
    <w:rsid w:val="00E91B25"/>
    <w:rsid w:val="00E91B65"/>
    <w:rsid w:val="00E91B6D"/>
    <w:rsid w:val="00E91C0C"/>
    <w:rsid w:val="00E91C18"/>
    <w:rsid w:val="00E91C5B"/>
    <w:rsid w:val="00E91CA4"/>
    <w:rsid w:val="00E91D1E"/>
    <w:rsid w:val="00E91D25"/>
    <w:rsid w:val="00E91D41"/>
    <w:rsid w:val="00E91D58"/>
    <w:rsid w:val="00E91D71"/>
    <w:rsid w:val="00E91DA8"/>
    <w:rsid w:val="00E91DB9"/>
    <w:rsid w:val="00E91DF0"/>
    <w:rsid w:val="00E91E05"/>
    <w:rsid w:val="00E91E10"/>
    <w:rsid w:val="00E91E5E"/>
    <w:rsid w:val="00E91E79"/>
    <w:rsid w:val="00E91EC9"/>
    <w:rsid w:val="00E91F06"/>
    <w:rsid w:val="00E91F40"/>
    <w:rsid w:val="00E91FC7"/>
    <w:rsid w:val="00E91FCE"/>
    <w:rsid w:val="00E92056"/>
    <w:rsid w:val="00E9206D"/>
    <w:rsid w:val="00E9209F"/>
    <w:rsid w:val="00E920B1"/>
    <w:rsid w:val="00E920CC"/>
    <w:rsid w:val="00E921BF"/>
    <w:rsid w:val="00E921C0"/>
    <w:rsid w:val="00E921E3"/>
    <w:rsid w:val="00E92208"/>
    <w:rsid w:val="00E92228"/>
    <w:rsid w:val="00E92268"/>
    <w:rsid w:val="00E922AA"/>
    <w:rsid w:val="00E922C9"/>
    <w:rsid w:val="00E922F8"/>
    <w:rsid w:val="00E92315"/>
    <w:rsid w:val="00E92326"/>
    <w:rsid w:val="00E92452"/>
    <w:rsid w:val="00E924AC"/>
    <w:rsid w:val="00E92547"/>
    <w:rsid w:val="00E92562"/>
    <w:rsid w:val="00E92566"/>
    <w:rsid w:val="00E9256A"/>
    <w:rsid w:val="00E925C0"/>
    <w:rsid w:val="00E92656"/>
    <w:rsid w:val="00E9265B"/>
    <w:rsid w:val="00E9270B"/>
    <w:rsid w:val="00E9275C"/>
    <w:rsid w:val="00E927AF"/>
    <w:rsid w:val="00E927D2"/>
    <w:rsid w:val="00E927EB"/>
    <w:rsid w:val="00E92823"/>
    <w:rsid w:val="00E92840"/>
    <w:rsid w:val="00E92888"/>
    <w:rsid w:val="00E9288D"/>
    <w:rsid w:val="00E92952"/>
    <w:rsid w:val="00E92958"/>
    <w:rsid w:val="00E9296B"/>
    <w:rsid w:val="00E9296C"/>
    <w:rsid w:val="00E92AAE"/>
    <w:rsid w:val="00E92ACE"/>
    <w:rsid w:val="00E92B09"/>
    <w:rsid w:val="00E92B44"/>
    <w:rsid w:val="00E92B63"/>
    <w:rsid w:val="00E92B79"/>
    <w:rsid w:val="00E92B93"/>
    <w:rsid w:val="00E92BC7"/>
    <w:rsid w:val="00E92BDD"/>
    <w:rsid w:val="00E92C31"/>
    <w:rsid w:val="00E92C6B"/>
    <w:rsid w:val="00E92C99"/>
    <w:rsid w:val="00E92CA6"/>
    <w:rsid w:val="00E92CAF"/>
    <w:rsid w:val="00E92D1B"/>
    <w:rsid w:val="00E92D1D"/>
    <w:rsid w:val="00E92E08"/>
    <w:rsid w:val="00E92E1B"/>
    <w:rsid w:val="00E92E2E"/>
    <w:rsid w:val="00E92E60"/>
    <w:rsid w:val="00E92E70"/>
    <w:rsid w:val="00E92EA8"/>
    <w:rsid w:val="00E92EEB"/>
    <w:rsid w:val="00E92F00"/>
    <w:rsid w:val="00E92FD9"/>
    <w:rsid w:val="00E92FF3"/>
    <w:rsid w:val="00E9303A"/>
    <w:rsid w:val="00E9304D"/>
    <w:rsid w:val="00E9305E"/>
    <w:rsid w:val="00E9305F"/>
    <w:rsid w:val="00E9308C"/>
    <w:rsid w:val="00E930BB"/>
    <w:rsid w:val="00E93133"/>
    <w:rsid w:val="00E9316C"/>
    <w:rsid w:val="00E93175"/>
    <w:rsid w:val="00E93182"/>
    <w:rsid w:val="00E931CE"/>
    <w:rsid w:val="00E931F8"/>
    <w:rsid w:val="00E9321E"/>
    <w:rsid w:val="00E93227"/>
    <w:rsid w:val="00E932C5"/>
    <w:rsid w:val="00E932DA"/>
    <w:rsid w:val="00E93310"/>
    <w:rsid w:val="00E93354"/>
    <w:rsid w:val="00E9342A"/>
    <w:rsid w:val="00E93431"/>
    <w:rsid w:val="00E9345D"/>
    <w:rsid w:val="00E9346C"/>
    <w:rsid w:val="00E934CD"/>
    <w:rsid w:val="00E934EB"/>
    <w:rsid w:val="00E93533"/>
    <w:rsid w:val="00E93570"/>
    <w:rsid w:val="00E93597"/>
    <w:rsid w:val="00E93615"/>
    <w:rsid w:val="00E936BB"/>
    <w:rsid w:val="00E936E0"/>
    <w:rsid w:val="00E9371A"/>
    <w:rsid w:val="00E937DA"/>
    <w:rsid w:val="00E937E1"/>
    <w:rsid w:val="00E93829"/>
    <w:rsid w:val="00E93836"/>
    <w:rsid w:val="00E93850"/>
    <w:rsid w:val="00E938AA"/>
    <w:rsid w:val="00E93943"/>
    <w:rsid w:val="00E939C6"/>
    <w:rsid w:val="00E939CC"/>
    <w:rsid w:val="00E939FD"/>
    <w:rsid w:val="00E93A08"/>
    <w:rsid w:val="00E93A0C"/>
    <w:rsid w:val="00E93A3C"/>
    <w:rsid w:val="00E93A60"/>
    <w:rsid w:val="00E93A6D"/>
    <w:rsid w:val="00E93B1F"/>
    <w:rsid w:val="00E93B70"/>
    <w:rsid w:val="00E93B8E"/>
    <w:rsid w:val="00E93BAC"/>
    <w:rsid w:val="00E93C1D"/>
    <w:rsid w:val="00E93C49"/>
    <w:rsid w:val="00E93C80"/>
    <w:rsid w:val="00E93CA5"/>
    <w:rsid w:val="00E93CE4"/>
    <w:rsid w:val="00E93CF6"/>
    <w:rsid w:val="00E93D4C"/>
    <w:rsid w:val="00E93D6B"/>
    <w:rsid w:val="00E93DAE"/>
    <w:rsid w:val="00E93DD3"/>
    <w:rsid w:val="00E93DE2"/>
    <w:rsid w:val="00E93E51"/>
    <w:rsid w:val="00E93E81"/>
    <w:rsid w:val="00E93E83"/>
    <w:rsid w:val="00E93EB0"/>
    <w:rsid w:val="00E93ED5"/>
    <w:rsid w:val="00E93EE2"/>
    <w:rsid w:val="00E93EEF"/>
    <w:rsid w:val="00E93F16"/>
    <w:rsid w:val="00E93F3C"/>
    <w:rsid w:val="00E93F43"/>
    <w:rsid w:val="00E93F54"/>
    <w:rsid w:val="00E93F5B"/>
    <w:rsid w:val="00E93FE5"/>
    <w:rsid w:val="00E9403A"/>
    <w:rsid w:val="00E94059"/>
    <w:rsid w:val="00E940B6"/>
    <w:rsid w:val="00E940CA"/>
    <w:rsid w:val="00E940EB"/>
    <w:rsid w:val="00E9410D"/>
    <w:rsid w:val="00E9413B"/>
    <w:rsid w:val="00E94145"/>
    <w:rsid w:val="00E941C3"/>
    <w:rsid w:val="00E9423D"/>
    <w:rsid w:val="00E94266"/>
    <w:rsid w:val="00E942B4"/>
    <w:rsid w:val="00E942C5"/>
    <w:rsid w:val="00E942FF"/>
    <w:rsid w:val="00E94319"/>
    <w:rsid w:val="00E94377"/>
    <w:rsid w:val="00E94394"/>
    <w:rsid w:val="00E943B7"/>
    <w:rsid w:val="00E94430"/>
    <w:rsid w:val="00E9445B"/>
    <w:rsid w:val="00E944DE"/>
    <w:rsid w:val="00E944F4"/>
    <w:rsid w:val="00E94514"/>
    <w:rsid w:val="00E9457C"/>
    <w:rsid w:val="00E9457D"/>
    <w:rsid w:val="00E945A8"/>
    <w:rsid w:val="00E94600"/>
    <w:rsid w:val="00E9460F"/>
    <w:rsid w:val="00E94655"/>
    <w:rsid w:val="00E94674"/>
    <w:rsid w:val="00E94764"/>
    <w:rsid w:val="00E9478A"/>
    <w:rsid w:val="00E947B2"/>
    <w:rsid w:val="00E947DE"/>
    <w:rsid w:val="00E94854"/>
    <w:rsid w:val="00E9488F"/>
    <w:rsid w:val="00E948E0"/>
    <w:rsid w:val="00E94904"/>
    <w:rsid w:val="00E94940"/>
    <w:rsid w:val="00E94948"/>
    <w:rsid w:val="00E9496C"/>
    <w:rsid w:val="00E949A1"/>
    <w:rsid w:val="00E949A8"/>
    <w:rsid w:val="00E949A9"/>
    <w:rsid w:val="00E949BA"/>
    <w:rsid w:val="00E94A58"/>
    <w:rsid w:val="00E94AAA"/>
    <w:rsid w:val="00E94AB7"/>
    <w:rsid w:val="00E94AC2"/>
    <w:rsid w:val="00E94B2E"/>
    <w:rsid w:val="00E94B32"/>
    <w:rsid w:val="00E94B5E"/>
    <w:rsid w:val="00E94B63"/>
    <w:rsid w:val="00E94B85"/>
    <w:rsid w:val="00E94B8F"/>
    <w:rsid w:val="00E94B94"/>
    <w:rsid w:val="00E94BA3"/>
    <w:rsid w:val="00E94BDC"/>
    <w:rsid w:val="00E94BE9"/>
    <w:rsid w:val="00E94C9A"/>
    <w:rsid w:val="00E94CE4"/>
    <w:rsid w:val="00E94CE6"/>
    <w:rsid w:val="00E94D90"/>
    <w:rsid w:val="00E94D91"/>
    <w:rsid w:val="00E94E2C"/>
    <w:rsid w:val="00E94E37"/>
    <w:rsid w:val="00E94E41"/>
    <w:rsid w:val="00E94E5C"/>
    <w:rsid w:val="00E94ED1"/>
    <w:rsid w:val="00E94F31"/>
    <w:rsid w:val="00E94F4B"/>
    <w:rsid w:val="00E94FC0"/>
    <w:rsid w:val="00E94FD5"/>
    <w:rsid w:val="00E94FD6"/>
    <w:rsid w:val="00E95024"/>
    <w:rsid w:val="00E95036"/>
    <w:rsid w:val="00E9509A"/>
    <w:rsid w:val="00E950D7"/>
    <w:rsid w:val="00E9511B"/>
    <w:rsid w:val="00E951B6"/>
    <w:rsid w:val="00E95255"/>
    <w:rsid w:val="00E9529B"/>
    <w:rsid w:val="00E9529D"/>
    <w:rsid w:val="00E952B5"/>
    <w:rsid w:val="00E9532E"/>
    <w:rsid w:val="00E9533E"/>
    <w:rsid w:val="00E95357"/>
    <w:rsid w:val="00E95383"/>
    <w:rsid w:val="00E953A2"/>
    <w:rsid w:val="00E95426"/>
    <w:rsid w:val="00E9545C"/>
    <w:rsid w:val="00E954BB"/>
    <w:rsid w:val="00E954F3"/>
    <w:rsid w:val="00E95528"/>
    <w:rsid w:val="00E9559F"/>
    <w:rsid w:val="00E955D5"/>
    <w:rsid w:val="00E955F0"/>
    <w:rsid w:val="00E95608"/>
    <w:rsid w:val="00E9563F"/>
    <w:rsid w:val="00E95699"/>
    <w:rsid w:val="00E956AA"/>
    <w:rsid w:val="00E95725"/>
    <w:rsid w:val="00E95738"/>
    <w:rsid w:val="00E95787"/>
    <w:rsid w:val="00E957D0"/>
    <w:rsid w:val="00E957F0"/>
    <w:rsid w:val="00E9580B"/>
    <w:rsid w:val="00E95839"/>
    <w:rsid w:val="00E95855"/>
    <w:rsid w:val="00E95856"/>
    <w:rsid w:val="00E95858"/>
    <w:rsid w:val="00E958AA"/>
    <w:rsid w:val="00E95A43"/>
    <w:rsid w:val="00E95A66"/>
    <w:rsid w:val="00E95A84"/>
    <w:rsid w:val="00E95AE8"/>
    <w:rsid w:val="00E95AEE"/>
    <w:rsid w:val="00E95B1B"/>
    <w:rsid w:val="00E95B20"/>
    <w:rsid w:val="00E95C36"/>
    <w:rsid w:val="00E95C5C"/>
    <w:rsid w:val="00E95D17"/>
    <w:rsid w:val="00E95D48"/>
    <w:rsid w:val="00E95D4C"/>
    <w:rsid w:val="00E95D69"/>
    <w:rsid w:val="00E95D88"/>
    <w:rsid w:val="00E95D96"/>
    <w:rsid w:val="00E95DAD"/>
    <w:rsid w:val="00E95E2C"/>
    <w:rsid w:val="00E95EA3"/>
    <w:rsid w:val="00E95F0E"/>
    <w:rsid w:val="00E95F59"/>
    <w:rsid w:val="00E95F6D"/>
    <w:rsid w:val="00E95F94"/>
    <w:rsid w:val="00E95F9B"/>
    <w:rsid w:val="00E95FC4"/>
    <w:rsid w:val="00E95FD1"/>
    <w:rsid w:val="00E95FEF"/>
    <w:rsid w:val="00E9602A"/>
    <w:rsid w:val="00E96073"/>
    <w:rsid w:val="00E96074"/>
    <w:rsid w:val="00E96080"/>
    <w:rsid w:val="00E960A4"/>
    <w:rsid w:val="00E960B6"/>
    <w:rsid w:val="00E960E5"/>
    <w:rsid w:val="00E961DC"/>
    <w:rsid w:val="00E961E9"/>
    <w:rsid w:val="00E961EF"/>
    <w:rsid w:val="00E961F9"/>
    <w:rsid w:val="00E96209"/>
    <w:rsid w:val="00E9621B"/>
    <w:rsid w:val="00E96220"/>
    <w:rsid w:val="00E9629E"/>
    <w:rsid w:val="00E962A7"/>
    <w:rsid w:val="00E962AB"/>
    <w:rsid w:val="00E962DE"/>
    <w:rsid w:val="00E962E1"/>
    <w:rsid w:val="00E96322"/>
    <w:rsid w:val="00E96348"/>
    <w:rsid w:val="00E96358"/>
    <w:rsid w:val="00E963C3"/>
    <w:rsid w:val="00E96423"/>
    <w:rsid w:val="00E9643B"/>
    <w:rsid w:val="00E96445"/>
    <w:rsid w:val="00E96450"/>
    <w:rsid w:val="00E96476"/>
    <w:rsid w:val="00E96568"/>
    <w:rsid w:val="00E9657F"/>
    <w:rsid w:val="00E965C5"/>
    <w:rsid w:val="00E965DF"/>
    <w:rsid w:val="00E9662D"/>
    <w:rsid w:val="00E9664A"/>
    <w:rsid w:val="00E96695"/>
    <w:rsid w:val="00E966D1"/>
    <w:rsid w:val="00E96715"/>
    <w:rsid w:val="00E9672D"/>
    <w:rsid w:val="00E96772"/>
    <w:rsid w:val="00E96780"/>
    <w:rsid w:val="00E96785"/>
    <w:rsid w:val="00E967B1"/>
    <w:rsid w:val="00E967C9"/>
    <w:rsid w:val="00E967D6"/>
    <w:rsid w:val="00E96822"/>
    <w:rsid w:val="00E96845"/>
    <w:rsid w:val="00E96849"/>
    <w:rsid w:val="00E9684D"/>
    <w:rsid w:val="00E96852"/>
    <w:rsid w:val="00E96872"/>
    <w:rsid w:val="00E96892"/>
    <w:rsid w:val="00E968A8"/>
    <w:rsid w:val="00E968B8"/>
    <w:rsid w:val="00E968BF"/>
    <w:rsid w:val="00E968CD"/>
    <w:rsid w:val="00E968D3"/>
    <w:rsid w:val="00E968F7"/>
    <w:rsid w:val="00E968FE"/>
    <w:rsid w:val="00E96900"/>
    <w:rsid w:val="00E96907"/>
    <w:rsid w:val="00E9690F"/>
    <w:rsid w:val="00E96911"/>
    <w:rsid w:val="00E96929"/>
    <w:rsid w:val="00E96960"/>
    <w:rsid w:val="00E96977"/>
    <w:rsid w:val="00E969A0"/>
    <w:rsid w:val="00E969A4"/>
    <w:rsid w:val="00E969B3"/>
    <w:rsid w:val="00E969CC"/>
    <w:rsid w:val="00E96A0F"/>
    <w:rsid w:val="00E96A15"/>
    <w:rsid w:val="00E96A20"/>
    <w:rsid w:val="00E96A34"/>
    <w:rsid w:val="00E96A73"/>
    <w:rsid w:val="00E96AAE"/>
    <w:rsid w:val="00E96ABD"/>
    <w:rsid w:val="00E96B7F"/>
    <w:rsid w:val="00E96C15"/>
    <w:rsid w:val="00E96C49"/>
    <w:rsid w:val="00E96C53"/>
    <w:rsid w:val="00E96C76"/>
    <w:rsid w:val="00E96D31"/>
    <w:rsid w:val="00E96D50"/>
    <w:rsid w:val="00E96D66"/>
    <w:rsid w:val="00E96D8B"/>
    <w:rsid w:val="00E96E06"/>
    <w:rsid w:val="00E96E8D"/>
    <w:rsid w:val="00E96E91"/>
    <w:rsid w:val="00E96EA2"/>
    <w:rsid w:val="00E96EAC"/>
    <w:rsid w:val="00E96F94"/>
    <w:rsid w:val="00E96F9D"/>
    <w:rsid w:val="00E97047"/>
    <w:rsid w:val="00E9707E"/>
    <w:rsid w:val="00E97096"/>
    <w:rsid w:val="00E970C3"/>
    <w:rsid w:val="00E970D9"/>
    <w:rsid w:val="00E970EB"/>
    <w:rsid w:val="00E970F4"/>
    <w:rsid w:val="00E97160"/>
    <w:rsid w:val="00E971B8"/>
    <w:rsid w:val="00E971E5"/>
    <w:rsid w:val="00E97257"/>
    <w:rsid w:val="00E972B4"/>
    <w:rsid w:val="00E972CE"/>
    <w:rsid w:val="00E972DE"/>
    <w:rsid w:val="00E972EA"/>
    <w:rsid w:val="00E97304"/>
    <w:rsid w:val="00E97364"/>
    <w:rsid w:val="00E9739C"/>
    <w:rsid w:val="00E973C4"/>
    <w:rsid w:val="00E9744A"/>
    <w:rsid w:val="00E9745D"/>
    <w:rsid w:val="00E9747C"/>
    <w:rsid w:val="00E974B8"/>
    <w:rsid w:val="00E974E3"/>
    <w:rsid w:val="00E97516"/>
    <w:rsid w:val="00E97533"/>
    <w:rsid w:val="00E9754F"/>
    <w:rsid w:val="00E97574"/>
    <w:rsid w:val="00E975B7"/>
    <w:rsid w:val="00E975D7"/>
    <w:rsid w:val="00E975DC"/>
    <w:rsid w:val="00E975EB"/>
    <w:rsid w:val="00E975FF"/>
    <w:rsid w:val="00E9760A"/>
    <w:rsid w:val="00E97695"/>
    <w:rsid w:val="00E9771A"/>
    <w:rsid w:val="00E97746"/>
    <w:rsid w:val="00E97776"/>
    <w:rsid w:val="00E977BD"/>
    <w:rsid w:val="00E977EE"/>
    <w:rsid w:val="00E9780E"/>
    <w:rsid w:val="00E97858"/>
    <w:rsid w:val="00E97876"/>
    <w:rsid w:val="00E978BC"/>
    <w:rsid w:val="00E978CC"/>
    <w:rsid w:val="00E978F1"/>
    <w:rsid w:val="00E978F5"/>
    <w:rsid w:val="00E978F9"/>
    <w:rsid w:val="00E97913"/>
    <w:rsid w:val="00E97949"/>
    <w:rsid w:val="00E97956"/>
    <w:rsid w:val="00E97993"/>
    <w:rsid w:val="00E979DE"/>
    <w:rsid w:val="00E97A25"/>
    <w:rsid w:val="00E97A38"/>
    <w:rsid w:val="00E97A5A"/>
    <w:rsid w:val="00E97A63"/>
    <w:rsid w:val="00E97AD8"/>
    <w:rsid w:val="00E97B3F"/>
    <w:rsid w:val="00E97B79"/>
    <w:rsid w:val="00E97B8D"/>
    <w:rsid w:val="00E97BCE"/>
    <w:rsid w:val="00E97BD8"/>
    <w:rsid w:val="00E97C02"/>
    <w:rsid w:val="00E97C19"/>
    <w:rsid w:val="00E97C25"/>
    <w:rsid w:val="00E97C45"/>
    <w:rsid w:val="00E97CE3"/>
    <w:rsid w:val="00E97CF2"/>
    <w:rsid w:val="00E97D14"/>
    <w:rsid w:val="00E97DB9"/>
    <w:rsid w:val="00E97DC5"/>
    <w:rsid w:val="00E97E2D"/>
    <w:rsid w:val="00E97E4F"/>
    <w:rsid w:val="00E97E72"/>
    <w:rsid w:val="00E97E80"/>
    <w:rsid w:val="00E97E88"/>
    <w:rsid w:val="00E97E98"/>
    <w:rsid w:val="00E97EA6"/>
    <w:rsid w:val="00E97EBD"/>
    <w:rsid w:val="00E97EC0"/>
    <w:rsid w:val="00E97ECB"/>
    <w:rsid w:val="00E97F5D"/>
    <w:rsid w:val="00E97F6D"/>
    <w:rsid w:val="00E97F92"/>
    <w:rsid w:val="00EA0062"/>
    <w:rsid w:val="00EA012C"/>
    <w:rsid w:val="00EA012D"/>
    <w:rsid w:val="00EA014B"/>
    <w:rsid w:val="00EA0164"/>
    <w:rsid w:val="00EA0196"/>
    <w:rsid w:val="00EA01A9"/>
    <w:rsid w:val="00EA01B7"/>
    <w:rsid w:val="00EA01CD"/>
    <w:rsid w:val="00EA022A"/>
    <w:rsid w:val="00EA0272"/>
    <w:rsid w:val="00EA02FC"/>
    <w:rsid w:val="00EA0328"/>
    <w:rsid w:val="00EA0411"/>
    <w:rsid w:val="00EA041E"/>
    <w:rsid w:val="00EA0434"/>
    <w:rsid w:val="00EA043E"/>
    <w:rsid w:val="00EA046A"/>
    <w:rsid w:val="00EA0472"/>
    <w:rsid w:val="00EA0483"/>
    <w:rsid w:val="00EA054A"/>
    <w:rsid w:val="00EA056A"/>
    <w:rsid w:val="00EA057C"/>
    <w:rsid w:val="00EA05BF"/>
    <w:rsid w:val="00EA05C9"/>
    <w:rsid w:val="00EA05E1"/>
    <w:rsid w:val="00EA05E7"/>
    <w:rsid w:val="00EA0602"/>
    <w:rsid w:val="00EA0605"/>
    <w:rsid w:val="00EA06CE"/>
    <w:rsid w:val="00EA06EB"/>
    <w:rsid w:val="00EA0726"/>
    <w:rsid w:val="00EA0768"/>
    <w:rsid w:val="00EA0779"/>
    <w:rsid w:val="00EA0783"/>
    <w:rsid w:val="00EA07D8"/>
    <w:rsid w:val="00EA07EF"/>
    <w:rsid w:val="00EA0821"/>
    <w:rsid w:val="00EA085C"/>
    <w:rsid w:val="00EA085E"/>
    <w:rsid w:val="00EA0893"/>
    <w:rsid w:val="00EA08B8"/>
    <w:rsid w:val="00EA096A"/>
    <w:rsid w:val="00EA098A"/>
    <w:rsid w:val="00EA09A6"/>
    <w:rsid w:val="00EA09D9"/>
    <w:rsid w:val="00EA0A9F"/>
    <w:rsid w:val="00EA0AB2"/>
    <w:rsid w:val="00EA0AF3"/>
    <w:rsid w:val="00EA0B41"/>
    <w:rsid w:val="00EA0B59"/>
    <w:rsid w:val="00EA0B69"/>
    <w:rsid w:val="00EA0B7D"/>
    <w:rsid w:val="00EA0BED"/>
    <w:rsid w:val="00EA0C43"/>
    <w:rsid w:val="00EA0C5E"/>
    <w:rsid w:val="00EA0CBB"/>
    <w:rsid w:val="00EA0CCC"/>
    <w:rsid w:val="00EA0CF3"/>
    <w:rsid w:val="00EA0D15"/>
    <w:rsid w:val="00EA0D1D"/>
    <w:rsid w:val="00EA0D86"/>
    <w:rsid w:val="00EA0DDE"/>
    <w:rsid w:val="00EA0E8C"/>
    <w:rsid w:val="00EA0E92"/>
    <w:rsid w:val="00EA0EA3"/>
    <w:rsid w:val="00EA0EBD"/>
    <w:rsid w:val="00EA0EBF"/>
    <w:rsid w:val="00EA0EF4"/>
    <w:rsid w:val="00EA0F28"/>
    <w:rsid w:val="00EA0FA0"/>
    <w:rsid w:val="00EA0FBD"/>
    <w:rsid w:val="00EA0FEF"/>
    <w:rsid w:val="00EA1047"/>
    <w:rsid w:val="00EA1098"/>
    <w:rsid w:val="00EA10B9"/>
    <w:rsid w:val="00EA111D"/>
    <w:rsid w:val="00EA1138"/>
    <w:rsid w:val="00EA1139"/>
    <w:rsid w:val="00EA1148"/>
    <w:rsid w:val="00EA116C"/>
    <w:rsid w:val="00EA1198"/>
    <w:rsid w:val="00EA11A1"/>
    <w:rsid w:val="00EA1215"/>
    <w:rsid w:val="00EA1221"/>
    <w:rsid w:val="00EA127D"/>
    <w:rsid w:val="00EA1312"/>
    <w:rsid w:val="00EA1315"/>
    <w:rsid w:val="00EA1397"/>
    <w:rsid w:val="00EA139E"/>
    <w:rsid w:val="00EA13B0"/>
    <w:rsid w:val="00EA1434"/>
    <w:rsid w:val="00EA1436"/>
    <w:rsid w:val="00EA1444"/>
    <w:rsid w:val="00EA1447"/>
    <w:rsid w:val="00EA144D"/>
    <w:rsid w:val="00EA14A3"/>
    <w:rsid w:val="00EA14E5"/>
    <w:rsid w:val="00EA14E6"/>
    <w:rsid w:val="00EA152B"/>
    <w:rsid w:val="00EA1541"/>
    <w:rsid w:val="00EA154B"/>
    <w:rsid w:val="00EA1568"/>
    <w:rsid w:val="00EA156C"/>
    <w:rsid w:val="00EA157A"/>
    <w:rsid w:val="00EA1593"/>
    <w:rsid w:val="00EA1618"/>
    <w:rsid w:val="00EA162D"/>
    <w:rsid w:val="00EA167D"/>
    <w:rsid w:val="00EA16AA"/>
    <w:rsid w:val="00EA172C"/>
    <w:rsid w:val="00EA175B"/>
    <w:rsid w:val="00EA1840"/>
    <w:rsid w:val="00EA1847"/>
    <w:rsid w:val="00EA1849"/>
    <w:rsid w:val="00EA1910"/>
    <w:rsid w:val="00EA199C"/>
    <w:rsid w:val="00EA19B3"/>
    <w:rsid w:val="00EA19CA"/>
    <w:rsid w:val="00EA1A00"/>
    <w:rsid w:val="00EA1A1E"/>
    <w:rsid w:val="00EA1A9C"/>
    <w:rsid w:val="00EA1A9D"/>
    <w:rsid w:val="00EA1B05"/>
    <w:rsid w:val="00EA1B6B"/>
    <w:rsid w:val="00EA1B7D"/>
    <w:rsid w:val="00EA1B97"/>
    <w:rsid w:val="00EA1BC7"/>
    <w:rsid w:val="00EA1BF1"/>
    <w:rsid w:val="00EA1C24"/>
    <w:rsid w:val="00EA1CA1"/>
    <w:rsid w:val="00EA1D12"/>
    <w:rsid w:val="00EA1D9A"/>
    <w:rsid w:val="00EA1DEB"/>
    <w:rsid w:val="00EA1DF3"/>
    <w:rsid w:val="00EA1E8D"/>
    <w:rsid w:val="00EA1EA7"/>
    <w:rsid w:val="00EA1EB1"/>
    <w:rsid w:val="00EA1EC0"/>
    <w:rsid w:val="00EA1ED6"/>
    <w:rsid w:val="00EA1F05"/>
    <w:rsid w:val="00EA1F19"/>
    <w:rsid w:val="00EA1F1D"/>
    <w:rsid w:val="00EA1F26"/>
    <w:rsid w:val="00EA1F36"/>
    <w:rsid w:val="00EA1F37"/>
    <w:rsid w:val="00EA1F47"/>
    <w:rsid w:val="00EA1F93"/>
    <w:rsid w:val="00EA1FB4"/>
    <w:rsid w:val="00EA2027"/>
    <w:rsid w:val="00EA206F"/>
    <w:rsid w:val="00EA20AC"/>
    <w:rsid w:val="00EA20B6"/>
    <w:rsid w:val="00EA20F7"/>
    <w:rsid w:val="00EA211A"/>
    <w:rsid w:val="00EA2140"/>
    <w:rsid w:val="00EA217A"/>
    <w:rsid w:val="00EA217E"/>
    <w:rsid w:val="00EA219B"/>
    <w:rsid w:val="00EA2208"/>
    <w:rsid w:val="00EA2269"/>
    <w:rsid w:val="00EA22AD"/>
    <w:rsid w:val="00EA22C9"/>
    <w:rsid w:val="00EA230E"/>
    <w:rsid w:val="00EA2348"/>
    <w:rsid w:val="00EA2387"/>
    <w:rsid w:val="00EA23A9"/>
    <w:rsid w:val="00EA23AC"/>
    <w:rsid w:val="00EA2406"/>
    <w:rsid w:val="00EA240D"/>
    <w:rsid w:val="00EA2418"/>
    <w:rsid w:val="00EA241E"/>
    <w:rsid w:val="00EA248A"/>
    <w:rsid w:val="00EA249C"/>
    <w:rsid w:val="00EA24EF"/>
    <w:rsid w:val="00EA2509"/>
    <w:rsid w:val="00EA2576"/>
    <w:rsid w:val="00EA266B"/>
    <w:rsid w:val="00EA2681"/>
    <w:rsid w:val="00EA26B0"/>
    <w:rsid w:val="00EA270C"/>
    <w:rsid w:val="00EA2715"/>
    <w:rsid w:val="00EA2740"/>
    <w:rsid w:val="00EA2745"/>
    <w:rsid w:val="00EA276C"/>
    <w:rsid w:val="00EA2799"/>
    <w:rsid w:val="00EA27A5"/>
    <w:rsid w:val="00EA27AC"/>
    <w:rsid w:val="00EA27DE"/>
    <w:rsid w:val="00EA28A8"/>
    <w:rsid w:val="00EA28E1"/>
    <w:rsid w:val="00EA28E5"/>
    <w:rsid w:val="00EA28EE"/>
    <w:rsid w:val="00EA28F2"/>
    <w:rsid w:val="00EA2916"/>
    <w:rsid w:val="00EA2926"/>
    <w:rsid w:val="00EA2932"/>
    <w:rsid w:val="00EA294F"/>
    <w:rsid w:val="00EA2A23"/>
    <w:rsid w:val="00EA2A34"/>
    <w:rsid w:val="00EA2A35"/>
    <w:rsid w:val="00EA2A4E"/>
    <w:rsid w:val="00EA2A6B"/>
    <w:rsid w:val="00EA2AA7"/>
    <w:rsid w:val="00EA2ABF"/>
    <w:rsid w:val="00EA2AEE"/>
    <w:rsid w:val="00EA2B26"/>
    <w:rsid w:val="00EA2BDD"/>
    <w:rsid w:val="00EA2BE5"/>
    <w:rsid w:val="00EA2BE9"/>
    <w:rsid w:val="00EA2BF2"/>
    <w:rsid w:val="00EA2BF3"/>
    <w:rsid w:val="00EA2C63"/>
    <w:rsid w:val="00EA2C69"/>
    <w:rsid w:val="00EA2C88"/>
    <w:rsid w:val="00EA2CE2"/>
    <w:rsid w:val="00EA2CE5"/>
    <w:rsid w:val="00EA2D09"/>
    <w:rsid w:val="00EA2D16"/>
    <w:rsid w:val="00EA2D73"/>
    <w:rsid w:val="00EA2DA4"/>
    <w:rsid w:val="00EA2E0E"/>
    <w:rsid w:val="00EA2E0F"/>
    <w:rsid w:val="00EA2E4E"/>
    <w:rsid w:val="00EA2EAE"/>
    <w:rsid w:val="00EA2EC8"/>
    <w:rsid w:val="00EA2F24"/>
    <w:rsid w:val="00EA2F2D"/>
    <w:rsid w:val="00EA2F54"/>
    <w:rsid w:val="00EA2F90"/>
    <w:rsid w:val="00EA2F92"/>
    <w:rsid w:val="00EA2F98"/>
    <w:rsid w:val="00EA2FBC"/>
    <w:rsid w:val="00EA301D"/>
    <w:rsid w:val="00EA303B"/>
    <w:rsid w:val="00EA309E"/>
    <w:rsid w:val="00EA30B5"/>
    <w:rsid w:val="00EA30D4"/>
    <w:rsid w:val="00EA3123"/>
    <w:rsid w:val="00EA313C"/>
    <w:rsid w:val="00EA31B5"/>
    <w:rsid w:val="00EA31B6"/>
    <w:rsid w:val="00EA31CD"/>
    <w:rsid w:val="00EA3203"/>
    <w:rsid w:val="00EA3217"/>
    <w:rsid w:val="00EA3240"/>
    <w:rsid w:val="00EA3254"/>
    <w:rsid w:val="00EA3286"/>
    <w:rsid w:val="00EA32BF"/>
    <w:rsid w:val="00EA3389"/>
    <w:rsid w:val="00EA3416"/>
    <w:rsid w:val="00EA345A"/>
    <w:rsid w:val="00EA34B1"/>
    <w:rsid w:val="00EA34DD"/>
    <w:rsid w:val="00EA34EA"/>
    <w:rsid w:val="00EA34FD"/>
    <w:rsid w:val="00EA350B"/>
    <w:rsid w:val="00EA3536"/>
    <w:rsid w:val="00EA356D"/>
    <w:rsid w:val="00EA356E"/>
    <w:rsid w:val="00EA3605"/>
    <w:rsid w:val="00EA3608"/>
    <w:rsid w:val="00EA360C"/>
    <w:rsid w:val="00EA3680"/>
    <w:rsid w:val="00EA36C3"/>
    <w:rsid w:val="00EA36D6"/>
    <w:rsid w:val="00EA3729"/>
    <w:rsid w:val="00EA3739"/>
    <w:rsid w:val="00EA3750"/>
    <w:rsid w:val="00EA377F"/>
    <w:rsid w:val="00EA37D8"/>
    <w:rsid w:val="00EA3801"/>
    <w:rsid w:val="00EA3858"/>
    <w:rsid w:val="00EA388C"/>
    <w:rsid w:val="00EA389B"/>
    <w:rsid w:val="00EA38AA"/>
    <w:rsid w:val="00EA38E9"/>
    <w:rsid w:val="00EA38F2"/>
    <w:rsid w:val="00EA398F"/>
    <w:rsid w:val="00EA39A0"/>
    <w:rsid w:val="00EA39F7"/>
    <w:rsid w:val="00EA3A11"/>
    <w:rsid w:val="00EA3AC8"/>
    <w:rsid w:val="00EA3B1C"/>
    <w:rsid w:val="00EA3BBE"/>
    <w:rsid w:val="00EA3BC7"/>
    <w:rsid w:val="00EA3BCE"/>
    <w:rsid w:val="00EA3BF1"/>
    <w:rsid w:val="00EA3C7E"/>
    <w:rsid w:val="00EA3CDA"/>
    <w:rsid w:val="00EA3D3B"/>
    <w:rsid w:val="00EA3E32"/>
    <w:rsid w:val="00EA3E34"/>
    <w:rsid w:val="00EA3E52"/>
    <w:rsid w:val="00EA3E57"/>
    <w:rsid w:val="00EA3E73"/>
    <w:rsid w:val="00EA3E74"/>
    <w:rsid w:val="00EA3E7C"/>
    <w:rsid w:val="00EA3EB6"/>
    <w:rsid w:val="00EA3ED1"/>
    <w:rsid w:val="00EA3F03"/>
    <w:rsid w:val="00EA3F28"/>
    <w:rsid w:val="00EA3F69"/>
    <w:rsid w:val="00EA3F6F"/>
    <w:rsid w:val="00EA3FC7"/>
    <w:rsid w:val="00EA4034"/>
    <w:rsid w:val="00EA4043"/>
    <w:rsid w:val="00EA4047"/>
    <w:rsid w:val="00EA406C"/>
    <w:rsid w:val="00EA4077"/>
    <w:rsid w:val="00EA4085"/>
    <w:rsid w:val="00EA4088"/>
    <w:rsid w:val="00EA408E"/>
    <w:rsid w:val="00EA4091"/>
    <w:rsid w:val="00EA40AC"/>
    <w:rsid w:val="00EA410B"/>
    <w:rsid w:val="00EA4128"/>
    <w:rsid w:val="00EA4162"/>
    <w:rsid w:val="00EA41C4"/>
    <w:rsid w:val="00EA4203"/>
    <w:rsid w:val="00EA420C"/>
    <w:rsid w:val="00EA421B"/>
    <w:rsid w:val="00EA4241"/>
    <w:rsid w:val="00EA4268"/>
    <w:rsid w:val="00EA428F"/>
    <w:rsid w:val="00EA42B1"/>
    <w:rsid w:val="00EA42D1"/>
    <w:rsid w:val="00EA42E0"/>
    <w:rsid w:val="00EA4326"/>
    <w:rsid w:val="00EA4349"/>
    <w:rsid w:val="00EA438C"/>
    <w:rsid w:val="00EA444E"/>
    <w:rsid w:val="00EA44A9"/>
    <w:rsid w:val="00EA4539"/>
    <w:rsid w:val="00EA4559"/>
    <w:rsid w:val="00EA4574"/>
    <w:rsid w:val="00EA45A1"/>
    <w:rsid w:val="00EA45CA"/>
    <w:rsid w:val="00EA4630"/>
    <w:rsid w:val="00EA4658"/>
    <w:rsid w:val="00EA46AF"/>
    <w:rsid w:val="00EA46BA"/>
    <w:rsid w:val="00EA46F3"/>
    <w:rsid w:val="00EA46FD"/>
    <w:rsid w:val="00EA4700"/>
    <w:rsid w:val="00EA4705"/>
    <w:rsid w:val="00EA4742"/>
    <w:rsid w:val="00EA475A"/>
    <w:rsid w:val="00EA47CE"/>
    <w:rsid w:val="00EA47D3"/>
    <w:rsid w:val="00EA47DA"/>
    <w:rsid w:val="00EA47E0"/>
    <w:rsid w:val="00EA48A0"/>
    <w:rsid w:val="00EA48B5"/>
    <w:rsid w:val="00EA48DD"/>
    <w:rsid w:val="00EA48E0"/>
    <w:rsid w:val="00EA4917"/>
    <w:rsid w:val="00EA49D2"/>
    <w:rsid w:val="00EA4A1A"/>
    <w:rsid w:val="00EA4A42"/>
    <w:rsid w:val="00EA4A5E"/>
    <w:rsid w:val="00EA4A67"/>
    <w:rsid w:val="00EA4AC7"/>
    <w:rsid w:val="00EA4AEB"/>
    <w:rsid w:val="00EA4B32"/>
    <w:rsid w:val="00EA4B41"/>
    <w:rsid w:val="00EA4B52"/>
    <w:rsid w:val="00EA4B93"/>
    <w:rsid w:val="00EA4BA8"/>
    <w:rsid w:val="00EA4BC2"/>
    <w:rsid w:val="00EA4BF2"/>
    <w:rsid w:val="00EA4C3F"/>
    <w:rsid w:val="00EA4C70"/>
    <w:rsid w:val="00EA4C82"/>
    <w:rsid w:val="00EA4C96"/>
    <w:rsid w:val="00EA4CFC"/>
    <w:rsid w:val="00EA4CFD"/>
    <w:rsid w:val="00EA4CFF"/>
    <w:rsid w:val="00EA4D12"/>
    <w:rsid w:val="00EA4D26"/>
    <w:rsid w:val="00EA4D59"/>
    <w:rsid w:val="00EA4DA6"/>
    <w:rsid w:val="00EA4DDB"/>
    <w:rsid w:val="00EA4E3B"/>
    <w:rsid w:val="00EA4E40"/>
    <w:rsid w:val="00EA4E66"/>
    <w:rsid w:val="00EA4E6A"/>
    <w:rsid w:val="00EA4E84"/>
    <w:rsid w:val="00EA4E8F"/>
    <w:rsid w:val="00EA4ECB"/>
    <w:rsid w:val="00EA4ED1"/>
    <w:rsid w:val="00EA4F0D"/>
    <w:rsid w:val="00EA4F25"/>
    <w:rsid w:val="00EA4F5A"/>
    <w:rsid w:val="00EA4F74"/>
    <w:rsid w:val="00EA4F75"/>
    <w:rsid w:val="00EA4F8A"/>
    <w:rsid w:val="00EA4FA0"/>
    <w:rsid w:val="00EA4FC7"/>
    <w:rsid w:val="00EA5011"/>
    <w:rsid w:val="00EA5022"/>
    <w:rsid w:val="00EA5024"/>
    <w:rsid w:val="00EA5095"/>
    <w:rsid w:val="00EA50DB"/>
    <w:rsid w:val="00EA50F5"/>
    <w:rsid w:val="00EA5120"/>
    <w:rsid w:val="00EA5145"/>
    <w:rsid w:val="00EA5153"/>
    <w:rsid w:val="00EA5166"/>
    <w:rsid w:val="00EA5173"/>
    <w:rsid w:val="00EA517E"/>
    <w:rsid w:val="00EA51BC"/>
    <w:rsid w:val="00EA5233"/>
    <w:rsid w:val="00EA52C5"/>
    <w:rsid w:val="00EA52EC"/>
    <w:rsid w:val="00EA5317"/>
    <w:rsid w:val="00EA536A"/>
    <w:rsid w:val="00EA5394"/>
    <w:rsid w:val="00EA53CF"/>
    <w:rsid w:val="00EA53E3"/>
    <w:rsid w:val="00EA53FC"/>
    <w:rsid w:val="00EA5462"/>
    <w:rsid w:val="00EA5471"/>
    <w:rsid w:val="00EA54D5"/>
    <w:rsid w:val="00EA54D8"/>
    <w:rsid w:val="00EA54E7"/>
    <w:rsid w:val="00EA54F8"/>
    <w:rsid w:val="00EA5574"/>
    <w:rsid w:val="00EA55D4"/>
    <w:rsid w:val="00EA55FC"/>
    <w:rsid w:val="00EA560F"/>
    <w:rsid w:val="00EA5633"/>
    <w:rsid w:val="00EA5655"/>
    <w:rsid w:val="00EA5658"/>
    <w:rsid w:val="00EA565F"/>
    <w:rsid w:val="00EA568C"/>
    <w:rsid w:val="00EA5697"/>
    <w:rsid w:val="00EA56B5"/>
    <w:rsid w:val="00EA56CC"/>
    <w:rsid w:val="00EA56D3"/>
    <w:rsid w:val="00EA56F1"/>
    <w:rsid w:val="00EA56F6"/>
    <w:rsid w:val="00EA5772"/>
    <w:rsid w:val="00EA577F"/>
    <w:rsid w:val="00EA5813"/>
    <w:rsid w:val="00EA5834"/>
    <w:rsid w:val="00EA5843"/>
    <w:rsid w:val="00EA5889"/>
    <w:rsid w:val="00EA58B7"/>
    <w:rsid w:val="00EA58D5"/>
    <w:rsid w:val="00EA5919"/>
    <w:rsid w:val="00EA59E3"/>
    <w:rsid w:val="00EA59EC"/>
    <w:rsid w:val="00EA5A02"/>
    <w:rsid w:val="00EA5A25"/>
    <w:rsid w:val="00EA5A39"/>
    <w:rsid w:val="00EA5A77"/>
    <w:rsid w:val="00EA5A8E"/>
    <w:rsid w:val="00EA5AAB"/>
    <w:rsid w:val="00EA5AC5"/>
    <w:rsid w:val="00EA5B19"/>
    <w:rsid w:val="00EA5B20"/>
    <w:rsid w:val="00EA5B4A"/>
    <w:rsid w:val="00EA5BD4"/>
    <w:rsid w:val="00EA5C08"/>
    <w:rsid w:val="00EA5C20"/>
    <w:rsid w:val="00EA5D5C"/>
    <w:rsid w:val="00EA5DC7"/>
    <w:rsid w:val="00EA5DF5"/>
    <w:rsid w:val="00EA5DF9"/>
    <w:rsid w:val="00EA5E22"/>
    <w:rsid w:val="00EA5E27"/>
    <w:rsid w:val="00EA5E51"/>
    <w:rsid w:val="00EA5E5C"/>
    <w:rsid w:val="00EA5E86"/>
    <w:rsid w:val="00EA5E9A"/>
    <w:rsid w:val="00EA5EF0"/>
    <w:rsid w:val="00EA5F0F"/>
    <w:rsid w:val="00EA5F85"/>
    <w:rsid w:val="00EA5FBF"/>
    <w:rsid w:val="00EA6058"/>
    <w:rsid w:val="00EA60FD"/>
    <w:rsid w:val="00EA611D"/>
    <w:rsid w:val="00EA6144"/>
    <w:rsid w:val="00EA618C"/>
    <w:rsid w:val="00EA61E9"/>
    <w:rsid w:val="00EA61FF"/>
    <w:rsid w:val="00EA6229"/>
    <w:rsid w:val="00EA6235"/>
    <w:rsid w:val="00EA6276"/>
    <w:rsid w:val="00EA6288"/>
    <w:rsid w:val="00EA6292"/>
    <w:rsid w:val="00EA62AA"/>
    <w:rsid w:val="00EA6320"/>
    <w:rsid w:val="00EA63CC"/>
    <w:rsid w:val="00EA63DE"/>
    <w:rsid w:val="00EA6400"/>
    <w:rsid w:val="00EA6445"/>
    <w:rsid w:val="00EA6448"/>
    <w:rsid w:val="00EA644A"/>
    <w:rsid w:val="00EA6464"/>
    <w:rsid w:val="00EA6473"/>
    <w:rsid w:val="00EA6474"/>
    <w:rsid w:val="00EA6531"/>
    <w:rsid w:val="00EA653B"/>
    <w:rsid w:val="00EA6586"/>
    <w:rsid w:val="00EA659B"/>
    <w:rsid w:val="00EA6671"/>
    <w:rsid w:val="00EA66CF"/>
    <w:rsid w:val="00EA677D"/>
    <w:rsid w:val="00EA678F"/>
    <w:rsid w:val="00EA67B8"/>
    <w:rsid w:val="00EA67D1"/>
    <w:rsid w:val="00EA67E5"/>
    <w:rsid w:val="00EA67F7"/>
    <w:rsid w:val="00EA6801"/>
    <w:rsid w:val="00EA6819"/>
    <w:rsid w:val="00EA6872"/>
    <w:rsid w:val="00EA68BC"/>
    <w:rsid w:val="00EA68BD"/>
    <w:rsid w:val="00EA696B"/>
    <w:rsid w:val="00EA696E"/>
    <w:rsid w:val="00EA6992"/>
    <w:rsid w:val="00EA6993"/>
    <w:rsid w:val="00EA69B8"/>
    <w:rsid w:val="00EA6A0B"/>
    <w:rsid w:val="00EA6A20"/>
    <w:rsid w:val="00EA6AD3"/>
    <w:rsid w:val="00EA6ADE"/>
    <w:rsid w:val="00EA6B0F"/>
    <w:rsid w:val="00EA6B26"/>
    <w:rsid w:val="00EA6B5E"/>
    <w:rsid w:val="00EA6B85"/>
    <w:rsid w:val="00EA6BDB"/>
    <w:rsid w:val="00EA6BE7"/>
    <w:rsid w:val="00EA6C20"/>
    <w:rsid w:val="00EA6C66"/>
    <w:rsid w:val="00EA6CAD"/>
    <w:rsid w:val="00EA6CD3"/>
    <w:rsid w:val="00EA6CEA"/>
    <w:rsid w:val="00EA6D01"/>
    <w:rsid w:val="00EA6D29"/>
    <w:rsid w:val="00EA6D5B"/>
    <w:rsid w:val="00EA6D6B"/>
    <w:rsid w:val="00EA6D7B"/>
    <w:rsid w:val="00EA6D8C"/>
    <w:rsid w:val="00EA6DC1"/>
    <w:rsid w:val="00EA6DC2"/>
    <w:rsid w:val="00EA6E29"/>
    <w:rsid w:val="00EA6E4E"/>
    <w:rsid w:val="00EA6EB8"/>
    <w:rsid w:val="00EA6EB9"/>
    <w:rsid w:val="00EA6F42"/>
    <w:rsid w:val="00EA6F63"/>
    <w:rsid w:val="00EA6F87"/>
    <w:rsid w:val="00EA6FDC"/>
    <w:rsid w:val="00EA6FFD"/>
    <w:rsid w:val="00EA6FFE"/>
    <w:rsid w:val="00EA700D"/>
    <w:rsid w:val="00EA7029"/>
    <w:rsid w:val="00EA7043"/>
    <w:rsid w:val="00EA7053"/>
    <w:rsid w:val="00EA7062"/>
    <w:rsid w:val="00EA70AB"/>
    <w:rsid w:val="00EA70DE"/>
    <w:rsid w:val="00EA70EE"/>
    <w:rsid w:val="00EA70F0"/>
    <w:rsid w:val="00EA7104"/>
    <w:rsid w:val="00EA712C"/>
    <w:rsid w:val="00EA715A"/>
    <w:rsid w:val="00EA7265"/>
    <w:rsid w:val="00EA729F"/>
    <w:rsid w:val="00EA732C"/>
    <w:rsid w:val="00EA7337"/>
    <w:rsid w:val="00EA735D"/>
    <w:rsid w:val="00EA7372"/>
    <w:rsid w:val="00EA7403"/>
    <w:rsid w:val="00EA7423"/>
    <w:rsid w:val="00EA7496"/>
    <w:rsid w:val="00EA74BF"/>
    <w:rsid w:val="00EA751B"/>
    <w:rsid w:val="00EA7541"/>
    <w:rsid w:val="00EA7551"/>
    <w:rsid w:val="00EA7567"/>
    <w:rsid w:val="00EA7584"/>
    <w:rsid w:val="00EA75B0"/>
    <w:rsid w:val="00EA75D1"/>
    <w:rsid w:val="00EA75FD"/>
    <w:rsid w:val="00EA761F"/>
    <w:rsid w:val="00EA766E"/>
    <w:rsid w:val="00EA76AA"/>
    <w:rsid w:val="00EA76C0"/>
    <w:rsid w:val="00EA76C4"/>
    <w:rsid w:val="00EA77B5"/>
    <w:rsid w:val="00EA77E1"/>
    <w:rsid w:val="00EA77EE"/>
    <w:rsid w:val="00EA780E"/>
    <w:rsid w:val="00EA7815"/>
    <w:rsid w:val="00EA78F6"/>
    <w:rsid w:val="00EA7902"/>
    <w:rsid w:val="00EA7905"/>
    <w:rsid w:val="00EA792C"/>
    <w:rsid w:val="00EA798A"/>
    <w:rsid w:val="00EA79CD"/>
    <w:rsid w:val="00EA7A08"/>
    <w:rsid w:val="00EA7A59"/>
    <w:rsid w:val="00EA7A7B"/>
    <w:rsid w:val="00EA7A87"/>
    <w:rsid w:val="00EA7A9B"/>
    <w:rsid w:val="00EA7AF5"/>
    <w:rsid w:val="00EA7B10"/>
    <w:rsid w:val="00EA7B7C"/>
    <w:rsid w:val="00EA7BF3"/>
    <w:rsid w:val="00EA7C04"/>
    <w:rsid w:val="00EA7C38"/>
    <w:rsid w:val="00EA7C3D"/>
    <w:rsid w:val="00EA7C6B"/>
    <w:rsid w:val="00EA7CBF"/>
    <w:rsid w:val="00EA7D23"/>
    <w:rsid w:val="00EA7D2A"/>
    <w:rsid w:val="00EA7DD2"/>
    <w:rsid w:val="00EA7E46"/>
    <w:rsid w:val="00EA7E66"/>
    <w:rsid w:val="00EA7E6E"/>
    <w:rsid w:val="00EA7ED6"/>
    <w:rsid w:val="00EA7F15"/>
    <w:rsid w:val="00EA7FAC"/>
    <w:rsid w:val="00EB001D"/>
    <w:rsid w:val="00EB0039"/>
    <w:rsid w:val="00EB006E"/>
    <w:rsid w:val="00EB00DD"/>
    <w:rsid w:val="00EB00EB"/>
    <w:rsid w:val="00EB0117"/>
    <w:rsid w:val="00EB017D"/>
    <w:rsid w:val="00EB018F"/>
    <w:rsid w:val="00EB01C0"/>
    <w:rsid w:val="00EB0204"/>
    <w:rsid w:val="00EB0220"/>
    <w:rsid w:val="00EB0248"/>
    <w:rsid w:val="00EB0282"/>
    <w:rsid w:val="00EB0283"/>
    <w:rsid w:val="00EB028D"/>
    <w:rsid w:val="00EB0310"/>
    <w:rsid w:val="00EB0361"/>
    <w:rsid w:val="00EB03A1"/>
    <w:rsid w:val="00EB03DE"/>
    <w:rsid w:val="00EB03F0"/>
    <w:rsid w:val="00EB03F6"/>
    <w:rsid w:val="00EB03F8"/>
    <w:rsid w:val="00EB040B"/>
    <w:rsid w:val="00EB0499"/>
    <w:rsid w:val="00EB04F4"/>
    <w:rsid w:val="00EB04F6"/>
    <w:rsid w:val="00EB0508"/>
    <w:rsid w:val="00EB052E"/>
    <w:rsid w:val="00EB0542"/>
    <w:rsid w:val="00EB0567"/>
    <w:rsid w:val="00EB056F"/>
    <w:rsid w:val="00EB057D"/>
    <w:rsid w:val="00EB0592"/>
    <w:rsid w:val="00EB05B8"/>
    <w:rsid w:val="00EB05E7"/>
    <w:rsid w:val="00EB05FE"/>
    <w:rsid w:val="00EB0612"/>
    <w:rsid w:val="00EB0637"/>
    <w:rsid w:val="00EB0721"/>
    <w:rsid w:val="00EB0722"/>
    <w:rsid w:val="00EB074F"/>
    <w:rsid w:val="00EB0829"/>
    <w:rsid w:val="00EB088C"/>
    <w:rsid w:val="00EB08D6"/>
    <w:rsid w:val="00EB08EE"/>
    <w:rsid w:val="00EB094A"/>
    <w:rsid w:val="00EB095B"/>
    <w:rsid w:val="00EB096A"/>
    <w:rsid w:val="00EB0988"/>
    <w:rsid w:val="00EB098C"/>
    <w:rsid w:val="00EB0999"/>
    <w:rsid w:val="00EB09BC"/>
    <w:rsid w:val="00EB0A39"/>
    <w:rsid w:val="00EB0A5E"/>
    <w:rsid w:val="00EB0A9B"/>
    <w:rsid w:val="00EB0AA3"/>
    <w:rsid w:val="00EB0AB3"/>
    <w:rsid w:val="00EB0AF1"/>
    <w:rsid w:val="00EB0B0E"/>
    <w:rsid w:val="00EB0B42"/>
    <w:rsid w:val="00EB0B56"/>
    <w:rsid w:val="00EB0B7B"/>
    <w:rsid w:val="00EB0BBF"/>
    <w:rsid w:val="00EB0C0A"/>
    <w:rsid w:val="00EB0C1F"/>
    <w:rsid w:val="00EB0C3E"/>
    <w:rsid w:val="00EB0C3F"/>
    <w:rsid w:val="00EB0C6D"/>
    <w:rsid w:val="00EB0C7E"/>
    <w:rsid w:val="00EB0C8C"/>
    <w:rsid w:val="00EB0D42"/>
    <w:rsid w:val="00EB0D53"/>
    <w:rsid w:val="00EB0D5E"/>
    <w:rsid w:val="00EB0DE0"/>
    <w:rsid w:val="00EB0E22"/>
    <w:rsid w:val="00EB0E41"/>
    <w:rsid w:val="00EB0E61"/>
    <w:rsid w:val="00EB0E85"/>
    <w:rsid w:val="00EB0E8B"/>
    <w:rsid w:val="00EB0E94"/>
    <w:rsid w:val="00EB0F3B"/>
    <w:rsid w:val="00EB0F71"/>
    <w:rsid w:val="00EB0F85"/>
    <w:rsid w:val="00EB0FB2"/>
    <w:rsid w:val="00EB1023"/>
    <w:rsid w:val="00EB10C1"/>
    <w:rsid w:val="00EB10CC"/>
    <w:rsid w:val="00EB10DF"/>
    <w:rsid w:val="00EB1101"/>
    <w:rsid w:val="00EB1106"/>
    <w:rsid w:val="00EB1151"/>
    <w:rsid w:val="00EB1188"/>
    <w:rsid w:val="00EB1197"/>
    <w:rsid w:val="00EB11EC"/>
    <w:rsid w:val="00EB122C"/>
    <w:rsid w:val="00EB124F"/>
    <w:rsid w:val="00EB1268"/>
    <w:rsid w:val="00EB12D1"/>
    <w:rsid w:val="00EB12FF"/>
    <w:rsid w:val="00EB143C"/>
    <w:rsid w:val="00EB1464"/>
    <w:rsid w:val="00EB1465"/>
    <w:rsid w:val="00EB146F"/>
    <w:rsid w:val="00EB1486"/>
    <w:rsid w:val="00EB1497"/>
    <w:rsid w:val="00EB14B3"/>
    <w:rsid w:val="00EB14D8"/>
    <w:rsid w:val="00EB14DE"/>
    <w:rsid w:val="00EB14EE"/>
    <w:rsid w:val="00EB153E"/>
    <w:rsid w:val="00EB1543"/>
    <w:rsid w:val="00EB15EE"/>
    <w:rsid w:val="00EB1656"/>
    <w:rsid w:val="00EB1723"/>
    <w:rsid w:val="00EB17D3"/>
    <w:rsid w:val="00EB183C"/>
    <w:rsid w:val="00EB184E"/>
    <w:rsid w:val="00EB185E"/>
    <w:rsid w:val="00EB18C5"/>
    <w:rsid w:val="00EB18EB"/>
    <w:rsid w:val="00EB1902"/>
    <w:rsid w:val="00EB190A"/>
    <w:rsid w:val="00EB1998"/>
    <w:rsid w:val="00EB19A8"/>
    <w:rsid w:val="00EB19BE"/>
    <w:rsid w:val="00EB19CE"/>
    <w:rsid w:val="00EB1A3D"/>
    <w:rsid w:val="00EB1A41"/>
    <w:rsid w:val="00EB1A85"/>
    <w:rsid w:val="00EB1A9F"/>
    <w:rsid w:val="00EB1B13"/>
    <w:rsid w:val="00EB1B9A"/>
    <w:rsid w:val="00EB1BBC"/>
    <w:rsid w:val="00EB1BE7"/>
    <w:rsid w:val="00EB1C15"/>
    <w:rsid w:val="00EB1C48"/>
    <w:rsid w:val="00EB1C65"/>
    <w:rsid w:val="00EB1C74"/>
    <w:rsid w:val="00EB1CB7"/>
    <w:rsid w:val="00EB1CFD"/>
    <w:rsid w:val="00EB1D34"/>
    <w:rsid w:val="00EB1D54"/>
    <w:rsid w:val="00EB1DF6"/>
    <w:rsid w:val="00EB1E62"/>
    <w:rsid w:val="00EB1EC5"/>
    <w:rsid w:val="00EB1F5F"/>
    <w:rsid w:val="00EB1FB1"/>
    <w:rsid w:val="00EB1FCA"/>
    <w:rsid w:val="00EB1FF4"/>
    <w:rsid w:val="00EB2051"/>
    <w:rsid w:val="00EB2092"/>
    <w:rsid w:val="00EB20C5"/>
    <w:rsid w:val="00EB20D5"/>
    <w:rsid w:val="00EB20F2"/>
    <w:rsid w:val="00EB216A"/>
    <w:rsid w:val="00EB217A"/>
    <w:rsid w:val="00EB21DE"/>
    <w:rsid w:val="00EB223B"/>
    <w:rsid w:val="00EB2240"/>
    <w:rsid w:val="00EB2285"/>
    <w:rsid w:val="00EB235B"/>
    <w:rsid w:val="00EB2374"/>
    <w:rsid w:val="00EB238D"/>
    <w:rsid w:val="00EB23A9"/>
    <w:rsid w:val="00EB23B9"/>
    <w:rsid w:val="00EB23EA"/>
    <w:rsid w:val="00EB2419"/>
    <w:rsid w:val="00EB2488"/>
    <w:rsid w:val="00EB24A5"/>
    <w:rsid w:val="00EB24D6"/>
    <w:rsid w:val="00EB2549"/>
    <w:rsid w:val="00EB2551"/>
    <w:rsid w:val="00EB25E5"/>
    <w:rsid w:val="00EB25E6"/>
    <w:rsid w:val="00EB25F3"/>
    <w:rsid w:val="00EB260A"/>
    <w:rsid w:val="00EB2653"/>
    <w:rsid w:val="00EB26C1"/>
    <w:rsid w:val="00EB26E0"/>
    <w:rsid w:val="00EB26F0"/>
    <w:rsid w:val="00EB2733"/>
    <w:rsid w:val="00EB275E"/>
    <w:rsid w:val="00EB2827"/>
    <w:rsid w:val="00EB2856"/>
    <w:rsid w:val="00EB287A"/>
    <w:rsid w:val="00EB2884"/>
    <w:rsid w:val="00EB2910"/>
    <w:rsid w:val="00EB294D"/>
    <w:rsid w:val="00EB2962"/>
    <w:rsid w:val="00EB296F"/>
    <w:rsid w:val="00EB2979"/>
    <w:rsid w:val="00EB29B2"/>
    <w:rsid w:val="00EB29CD"/>
    <w:rsid w:val="00EB29E5"/>
    <w:rsid w:val="00EB29E9"/>
    <w:rsid w:val="00EB29EC"/>
    <w:rsid w:val="00EB29EF"/>
    <w:rsid w:val="00EB2A52"/>
    <w:rsid w:val="00EB2A60"/>
    <w:rsid w:val="00EB2A7A"/>
    <w:rsid w:val="00EB2A99"/>
    <w:rsid w:val="00EB2B15"/>
    <w:rsid w:val="00EB2B52"/>
    <w:rsid w:val="00EB2BC1"/>
    <w:rsid w:val="00EB2BF7"/>
    <w:rsid w:val="00EB2C76"/>
    <w:rsid w:val="00EB2C9B"/>
    <w:rsid w:val="00EB2CBB"/>
    <w:rsid w:val="00EB2CE9"/>
    <w:rsid w:val="00EB2D03"/>
    <w:rsid w:val="00EB2D2E"/>
    <w:rsid w:val="00EB2D40"/>
    <w:rsid w:val="00EB2D73"/>
    <w:rsid w:val="00EB2D87"/>
    <w:rsid w:val="00EB2E31"/>
    <w:rsid w:val="00EB2E4A"/>
    <w:rsid w:val="00EB2EDB"/>
    <w:rsid w:val="00EB2EF4"/>
    <w:rsid w:val="00EB2F03"/>
    <w:rsid w:val="00EB2F3E"/>
    <w:rsid w:val="00EB2F43"/>
    <w:rsid w:val="00EB2FA6"/>
    <w:rsid w:val="00EB2FDE"/>
    <w:rsid w:val="00EB3010"/>
    <w:rsid w:val="00EB3091"/>
    <w:rsid w:val="00EB30AC"/>
    <w:rsid w:val="00EB30CA"/>
    <w:rsid w:val="00EB30E3"/>
    <w:rsid w:val="00EB3176"/>
    <w:rsid w:val="00EB3181"/>
    <w:rsid w:val="00EB31C9"/>
    <w:rsid w:val="00EB31F7"/>
    <w:rsid w:val="00EB3248"/>
    <w:rsid w:val="00EB325C"/>
    <w:rsid w:val="00EB3329"/>
    <w:rsid w:val="00EB332E"/>
    <w:rsid w:val="00EB3352"/>
    <w:rsid w:val="00EB336F"/>
    <w:rsid w:val="00EB3460"/>
    <w:rsid w:val="00EB3493"/>
    <w:rsid w:val="00EB34A2"/>
    <w:rsid w:val="00EB34C4"/>
    <w:rsid w:val="00EB34F5"/>
    <w:rsid w:val="00EB34FF"/>
    <w:rsid w:val="00EB354A"/>
    <w:rsid w:val="00EB3566"/>
    <w:rsid w:val="00EB3588"/>
    <w:rsid w:val="00EB3591"/>
    <w:rsid w:val="00EB35FD"/>
    <w:rsid w:val="00EB36F4"/>
    <w:rsid w:val="00EB375A"/>
    <w:rsid w:val="00EB376F"/>
    <w:rsid w:val="00EB3799"/>
    <w:rsid w:val="00EB37F6"/>
    <w:rsid w:val="00EB385D"/>
    <w:rsid w:val="00EB3866"/>
    <w:rsid w:val="00EB38B0"/>
    <w:rsid w:val="00EB38C1"/>
    <w:rsid w:val="00EB38E1"/>
    <w:rsid w:val="00EB38F5"/>
    <w:rsid w:val="00EB3963"/>
    <w:rsid w:val="00EB396B"/>
    <w:rsid w:val="00EB3982"/>
    <w:rsid w:val="00EB3994"/>
    <w:rsid w:val="00EB39C6"/>
    <w:rsid w:val="00EB39D2"/>
    <w:rsid w:val="00EB39E0"/>
    <w:rsid w:val="00EB39F3"/>
    <w:rsid w:val="00EB3A19"/>
    <w:rsid w:val="00EB3A5D"/>
    <w:rsid w:val="00EB3A74"/>
    <w:rsid w:val="00EB3A90"/>
    <w:rsid w:val="00EB3A9E"/>
    <w:rsid w:val="00EB3B3A"/>
    <w:rsid w:val="00EB3B73"/>
    <w:rsid w:val="00EB3B81"/>
    <w:rsid w:val="00EB3B90"/>
    <w:rsid w:val="00EB3BA9"/>
    <w:rsid w:val="00EB3BC2"/>
    <w:rsid w:val="00EB3BF8"/>
    <w:rsid w:val="00EB3C30"/>
    <w:rsid w:val="00EB3D42"/>
    <w:rsid w:val="00EB3DA3"/>
    <w:rsid w:val="00EB3DA9"/>
    <w:rsid w:val="00EB3DBE"/>
    <w:rsid w:val="00EB3DC3"/>
    <w:rsid w:val="00EB3DFA"/>
    <w:rsid w:val="00EB3E38"/>
    <w:rsid w:val="00EB3F37"/>
    <w:rsid w:val="00EB3F3C"/>
    <w:rsid w:val="00EB3F56"/>
    <w:rsid w:val="00EB3F5E"/>
    <w:rsid w:val="00EB3F74"/>
    <w:rsid w:val="00EB3F8E"/>
    <w:rsid w:val="00EB3F9E"/>
    <w:rsid w:val="00EB4001"/>
    <w:rsid w:val="00EB404F"/>
    <w:rsid w:val="00EB40A1"/>
    <w:rsid w:val="00EB412F"/>
    <w:rsid w:val="00EB41A8"/>
    <w:rsid w:val="00EB41AB"/>
    <w:rsid w:val="00EB41CD"/>
    <w:rsid w:val="00EB4224"/>
    <w:rsid w:val="00EB425C"/>
    <w:rsid w:val="00EB42BD"/>
    <w:rsid w:val="00EB4361"/>
    <w:rsid w:val="00EB4375"/>
    <w:rsid w:val="00EB4379"/>
    <w:rsid w:val="00EB439B"/>
    <w:rsid w:val="00EB43C2"/>
    <w:rsid w:val="00EB443B"/>
    <w:rsid w:val="00EB4457"/>
    <w:rsid w:val="00EB44A4"/>
    <w:rsid w:val="00EB44D8"/>
    <w:rsid w:val="00EB4575"/>
    <w:rsid w:val="00EB4586"/>
    <w:rsid w:val="00EB459B"/>
    <w:rsid w:val="00EB45CE"/>
    <w:rsid w:val="00EB4671"/>
    <w:rsid w:val="00EB46DF"/>
    <w:rsid w:val="00EB46EF"/>
    <w:rsid w:val="00EB472B"/>
    <w:rsid w:val="00EB472D"/>
    <w:rsid w:val="00EB4734"/>
    <w:rsid w:val="00EB4760"/>
    <w:rsid w:val="00EB47FC"/>
    <w:rsid w:val="00EB481B"/>
    <w:rsid w:val="00EB483D"/>
    <w:rsid w:val="00EB484B"/>
    <w:rsid w:val="00EB48C5"/>
    <w:rsid w:val="00EB490C"/>
    <w:rsid w:val="00EB4953"/>
    <w:rsid w:val="00EB4A64"/>
    <w:rsid w:val="00EB4AC6"/>
    <w:rsid w:val="00EB4ACB"/>
    <w:rsid w:val="00EB4AE6"/>
    <w:rsid w:val="00EB4B0B"/>
    <w:rsid w:val="00EB4BCD"/>
    <w:rsid w:val="00EB4BE5"/>
    <w:rsid w:val="00EB4C5E"/>
    <w:rsid w:val="00EB4CA7"/>
    <w:rsid w:val="00EB4D2F"/>
    <w:rsid w:val="00EB4D36"/>
    <w:rsid w:val="00EB4D3E"/>
    <w:rsid w:val="00EB4D43"/>
    <w:rsid w:val="00EB4D59"/>
    <w:rsid w:val="00EB4D60"/>
    <w:rsid w:val="00EB4D8A"/>
    <w:rsid w:val="00EB4DE5"/>
    <w:rsid w:val="00EB4DF3"/>
    <w:rsid w:val="00EB4EE5"/>
    <w:rsid w:val="00EB4F02"/>
    <w:rsid w:val="00EB4F2A"/>
    <w:rsid w:val="00EB4FC0"/>
    <w:rsid w:val="00EB4FDB"/>
    <w:rsid w:val="00EB50B2"/>
    <w:rsid w:val="00EB50B8"/>
    <w:rsid w:val="00EB50B9"/>
    <w:rsid w:val="00EB50CB"/>
    <w:rsid w:val="00EB511F"/>
    <w:rsid w:val="00EB515F"/>
    <w:rsid w:val="00EB521E"/>
    <w:rsid w:val="00EB5243"/>
    <w:rsid w:val="00EB5250"/>
    <w:rsid w:val="00EB5296"/>
    <w:rsid w:val="00EB52A6"/>
    <w:rsid w:val="00EB52B7"/>
    <w:rsid w:val="00EB52EB"/>
    <w:rsid w:val="00EB5330"/>
    <w:rsid w:val="00EB5349"/>
    <w:rsid w:val="00EB5357"/>
    <w:rsid w:val="00EB539C"/>
    <w:rsid w:val="00EB53C1"/>
    <w:rsid w:val="00EB5440"/>
    <w:rsid w:val="00EB5451"/>
    <w:rsid w:val="00EB5479"/>
    <w:rsid w:val="00EB54A2"/>
    <w:rsid w:val="00EB54A3"/>
    <w:rsid w:val="00EB5507"/>
    <w:rsid w:val="00EB55E3"/>
    <w:rsid w:val="00EB55ED"/>
    <w:rsid w:val="00EB5608"/>
    <w:rsid w:val="00EB562C"/>
    <w:rsid w:val="00EB5648"/>
    <w:rsid w:val="00EB56BB"/>
    <w:rsid w:val="00EB56DC"/>
    <w:rsid w:val="00EB56E3"/>
    <w:rsid w:val="00EB5784"/>
    <w:rsid w:val="00EB57D2"/>
    <w:rsid w:val="00EB57E6"/>
    <w:rsid w:val="00EB5818"/>
    <w:rsid w:val="00EB583B"/>
    <w:rsid w:val="00EB583F"/>
    <w:rsid w:val="00EB58A5"/>
    <w:rsid w:val="00EB58E1"/>
    <w:rsid w:val="00EB58F9"/>
    <w:rsid w:val="00EB5943"/>
    <w:rsid w:val="00EB5944"/>
    <w:rsid w:val="00EB5979"/>
    <w:rsid w:val="00EB59B2"/>
    <w:rsid w:val="00EB59D5"/>
    <w:rsid w:val="00EB5A15"/>
    <w:rsid w:val="00EB5A67"/>
    <w:rsid w:val="00EB5A76"/>
    <w:rsid w:val="00EB5A8E"/>
    <w:rsid w:val="00EB5AC0"/>
    <w:rsid w:val="00EB5ACA"/>
    <w:rsid w:val="00EB5B17"/>
    <w:rsid w:val="00EB5B77"/>
    <w:rsid w:val="00EB5BA8"/>
    <w:rsid w:val="00EB5C83"/>
    <w:rsid w:val="00EB5CB3"/>
    <w:rsid w:val="00EB5D2D"/>
    <w:rsid w:val="00EB5D59"/>
    <w:rsid w:val="00EB5DA9"/>
    <w:rsid w:val="00EB5DD3"/>
    <w:rsid w:val="00EB5E4A"/>
    <w:rsid w:val="00EB5E77"/>
    <w:rsid w:val="00EB5E87"/>
    <w:rsid w:val="00EB5F5B"/>
    <w:rsid w:val="00EB5FA3"/>
    <w:rsid w:val="00EB5FCC"/>
    <w:rsid w:val="00EB5FF5"/>
    <w:rsid w:val="00EB6032"/>
    <w:rsid w:val="00EB6034"/>
    <w:rsid w:val="00EB6050"/>
    <w:rsid w:val="00EB6079"/>
    <w:rsid w:val="00EB6080"/>
    <w:rsid w:val="00EB60F1"/>
    <w:rsid w:val="00EB6101"/>
    <w:rsid w:val="00EB6116"/>
    <w:rsid w:val="00EB612C"/>
    <w:rsid w:val="00EB6140"/>
    <w:rsid w:val="00EB61AB"/>
    <w:rsid w:val="00EB61B5"/>
    <w:rsid w:val="00EB61C2"/>
    <w:rsid w:val="00EB61C7"/>
    <w:rsid w:val="00EB61D0"/>
    <w:rsid w:val="00EB61EA"/>
    <w:rsid w:val="00EB6205"/>
    <w:rsid w:val="00EB6211"/>
    <w:rsid w:val="00EB6238"/>
    <w:rsid w:val="00EB6254"/>
    <w:rsid w:val="00EB6278"/>
    <w:rsid w:val="00EB62C5"/>
    <w:rsid w:val="00EB6341"/>
    <w:rsid w:val="00EB6383"/>
    <w:rsid w:val="00EB639F"/>
    <w:rsid w:val="00EB63AB"/>
    <w:rsid w:val="00EB63C1"/>
    <w:rsid w:val="00EB63D1"/>
    <w:rsid w:val="00EB63F1"/>
    <w:rsid w:val="00EB64B7"/>
    <w:rsid w:val="00EB64C5"/>
    <w:rsid w:val="00EB64CD"/>
    <w:rsid w:val="00EB653A"/>
    <w:rsid w:val="00EB6555"/>
    <w:rsid w:val="00EB6558"/>
    <w:rsid w:val="00EB656D"/>
    <w:rsid w:val="00EB659E"/>
    <w:rsid w:val="00EB65AE"/>
    <w:rsid w:val="00EB65F1"/>
    <w:rsid w:val="00EB660F"/>
    <w:rsid w:val="00EB662A"/>
    <w:rsid w:val="00EB665A"/>
    <w:rsid w:val="00EB6719"/>
    <w:rsid w:val="00EB6746"/>
    <w:rsid w:val="00EB679A"/>
    <w:rsid w:val="00EB682D"/>
    <w:rsid w:val="00EB6878"/>
    <w:rsid w:val="00EB689D"/>
    <w:rsid w:val="00EB68D0"/>
    <w:rsid w:val="00EB6955"/>
    <w:rsid w:val="00EB6963"/>
    <w:rsid w:val="00EB699D"/>
    <w:rsid w:val="00EB69B0"/>
    <w:rsid w:val="00EB69C4"/>
    <w:rsid w:val="00EB6A25"/>
    <w:rsid w:val="00EB6A7F"/>
    <w:rsid w:val="00EB6A85"/>
    <w:rsid w:val="00EB6AD4"/>
    <w:rsid w:val="00EB6AFC"/>
    <w:rsid w:val="00EB6B65"/>
    <w:rsid w:val="00EB6B97"/>
    <w:rsid w:val="00EB6BE9"/>
    <w:rsid w:val="00EB6BF3"/>
    <w:rsid w:val="00EB6C2B"/>
    <w:rsid w:val="00EB6C81"/>
    <w:rsid w:val="00EB6C8B"/>
    <w:rsid w:val="00EB6CA8"/>
    <w:rsid w:val="00EB6CF5"/>
    <w:rsid w:val="00EB6D65"/>
    <w:rsid w:val="00EB6D67"/>
    <w:rsid w:val="00EB6D7E"/>
    <w:rsid w:val="00EB6D8A"/>
    <w:rsid w:val="00EB6DD3"/>
    <w:rsid w:val="00EB6E12"/>
    <w:rsid w:val="00EB6E15"/>
    <w:rsid w:val="00EB6EAD"/>
    <w:rsid w:val="00EB6ECC"/>
    <w:rsid w:val="00EB6EDB"/>
    <w:rsid w:val="00EB6EEA"/>
    <w:rsid w:val="00EB6FF9"/>
    <w:rsid w:val="00EB7074"/>
    <w:rsid w:val="00EB70C9"/>
    <w:rsid w:val="00EB70EE"/>
    <w:rsid w:val="00EB7152"/>
    <w:rsid w:val="00EB7257"/>
    <w:rsid w:val="00EB7270"/>
    <w:rsid w:val="00EB727D"/>
    <w:rsid w:val="00EB7281"/>
    <w:rsid w:val="00EB72B8"/>
    <w:rsid w:val="00EB72E2"/>
    <w:rsid w:val="00EB7346"/>
    <w:rsid w:val="00EB735E"/>
    <w:rsid w:val="00EB7378"/>
    <w:rsid w:val="00EB73B3"/>
    <w:rsid w:val="00EB743A"/>
    <w:rsid w:val="00EB7476"/>
    <w:rsid w:val="00EB747C"/>
    <w:rsid w:val="00EB7487"/>
    <w:rsid w:val="00EB748F"/>
    <w:rsid w:val="00EB74A5"/>
    <w:rsid w:val="00EB7529"/>
    <w:rsid w:val="00EB7545"/>
    <w:rsid w:val="00EB7548"/>
    <w:rsid w:val="00EB7560"/>
    <w:rsid w:val="00EB7587"/>
    <w:rsid w:val="00EB758D"/>
    <w:rsid w:val="00EB75BB"/>
    <w:rsid w:val="00EB7607"/>
    <w:rsid w:val="00EB762E"/>
    <w:rsid w:val="00EB7680"/>
    <w:rsid w:val="00EB76C8"/>
    <w:rsid w:val="00EB7749"/>
    <w:rsid w:val="00EB7756"/>
    <w:rsid w:val="00EB776E"/>
    <w:rsid w:val="00EB7790"/>
    <w:rsid w:val="00EB77D5"/>
    <w:rsid w:val="00EB7808"/>
    <w:rsid w:val="00EB780B"/>
    <w:rsid w:val="00EB781B"/>
    <w:rsid w:val="00EB7828"/>
    <w:rsid w:val="00EB784B"/>
    <w:rsid w:val="00EB78B1"/>
    <w:rsid w:val="00EB78F9"/>
    <w:rsid w:val="00EB7905"/>
    <w:rsid w:val="00EB7927"/>
    <w:rsid w:val="00EB7937"/>
    <w:rsid w:val="00EB7946"/>
    <w:rsid w:val="00EB7995"/>
    <w:rsid w:val="00EB799B"/>
    <w:rsid w:val="00EB79C0"/>
    <w:rsid w:val="00EB7A0F"/>
    <w:rsid w:val="00EB7A31"/>
    <w:rsid w:val="00EB7A82"/>
    <w:rsid w:val="00EB7A90"/>
    <w:rsid w:val="00EB7B4D"/>
    <w:rsid w:val="00EB7B82"/>
    <w:rsid w:val="00EB7C3B"/>
    <w:rsid w:val="00EB7C9F"/>
    <w:rsid w:val="00EB7CC2"/>
    <w:rsid w:val="00EB7CD8"/>
    <w:rsid w:val="00EB7D21"/>
    <w:rsid w:val="00EB7D3F"/>
    <w:rsid w:val="00EB7D44"/>
    <w:rsid w:val="00EB7D46"/>
    <w:rsid w:val="00EB7D47"/>
    <w:rsid w:val="00EB7D53"/>
    <w:rsid w:val="00EB7D72"/>
    <w:rsid w:val="00EB7E8F"/>
    <w:rsid w:val="00EB7EF0"/>
    <w:rsid w:val="00EB7F05"/>
    <w:rsid w:val="00EB7F1E"/>
    <w:rsid w:val="00EB7F3B"/>
    <w:rsid w:val="00EB7F43"/>
    <w:rsid w:val="00EB7F46"/>
    <w:rsid w:val="00EB7F69"/>
    <w:rsid w:val="00EB7F9D"/>
    <w:rsid w:val="00EB7FA4"/>
    <w:rsid w:val="00EB7FD9"/>
    <w:rsid w:val="00EB7FDD"/>
    <w:rsid w:val="00EB7FF4"/>
    <w:rsid w:val="00EC0020"/>
    <w:rsid w:val="00EC00BB"/>
    <w:rsid w:val="00EC00CC"/>
    <w:rsid w:val="00EC00FC"/>
    <w:rsid w:val="00EC0102"/>
    <w:rsid w:val="00EC012A"/>
    <w:rsid w:val="00EC0146"/>
    <w:rsid w:val="00EC0192"/>
    <w:rsid w:val="00EC0194"/>
    <w:rsid w:val="00EC01C5"/>
    <w:rsid w:val="00EC01F2"/>
    <w:rsid w:val="00EC01F8"/>
    <w:rsid w:val="00EC020D"/>
    <w:rsid w:val="00EC0235"/>
    <w:rsid w:val="00EC0246"/>
    <w:rsid w:val="00EC0268"/>
    <w:rsid w:val="00EC0270"/>
    <w:rsid w:val="00EC0279"/>
    <w:rsid w:val="00EC0282"/>
    <w:rsid w:val="00EC029E"/>
    <w:rsid w:val="00EC02AC"/>
    <w:rsid w:val="00EC02B1"/>
    <w:rsid w:val="00EC02D8"/>
    <w:rsid w:val="00EC02F1"/>
    <w:rsid w:val="00EC0327"/>
    <w:rsid w:val="00EC0333"/>
    <w:rsid w:val="00EC033C"/>
    <w:rsid w:val="00EC033E"/>
    <w:rsid w:val="00EC0345"/>
    <w:rsid w:val="00EC035C"/>
    <w:rsid w:val="00EC0425"/>
    <w:rsid w:val="00EC0482"/>
    <w:rsid w:val="00EC04C3"/>
    <w:rsid w:val="00EC0516"/>
    <w:rsid w:val="00EC052D"/>
    <w:rsid w:val="00EC0568"/>
    <w:rsid w:val="00EC0580"/>
    <w:rsid w:val="00EC058F"/>
    <w:rsid w:val="00EC0619"/>
    <w:rsid w:val="00EC063A"/>
    <w:rsid w:val="00EC063B"/>
    <w:rsid w:val="00EC0678"/>
    <w:rsid w:val="00EC06AA"/>
    <w:rsid w:val="00EC06B8"/>
    <w:rsid w:val="00EC0712"/>
    <w:rsid w:val="00EC071E"/>
    <w:rsid w:val="00EC0720"/>
    <w:rsid w:val="00EC0756"/>
    <w:rsid w:val="00EC0792"/>
    <w:rsid w:val="00EC07B3"/>
    <w:rsid w:val="00EC07B8"/>
    <w:rsid w:val="00EC085B"/>
    <w:rsid w:val="00EC088F"/>
    <w:rsid w:val="00EC089D"/>
    <w:rsid w:val="00EC08E9"/>
    <w:rsid w:val="00EC0915"/>
    <w:rsid w:val="00EC0940"/>
    <w:rsid w:val="00EC0943"/>
    <w:rsid w:val="00EC09A3"/>
    <w:rsid w:val="00EC09E1"/>
    <w:rsid w:val="00EC09E9"/>
    <w:rsid w:val="00EC0A07"/>
    <w:rsid w:val="00EC0A0C"/>
    <w:rsid w:val="00EC0A6D"/>
    <w:rsid w:val="00EC0A7F"/>
    <w:rsid w:val="00EC0ACB"/>
    <w:rsid w:val="00EC0AD4"/>
    <w:rsid w:val="00EC0AE2"/>
    <w:rsid w:val="00EC0AF3"/>
    <w:rsid w:val="00EC0AFD"/>
    <w:rsid w:val="00EC0B6C"/>
    <w:rsid w:val="00EC0B7A"/>
    <w:rsid w:val="00EC0B7B"/>
    <w:rsid w:val="00EC0C27"/>
    <w:rsid w:val="00EC0C43"/>
    <w:rsid w:val="00EC0C75"/>
    <w:rsid w:val="00EC0C76"/>
    <w:rsid w:val="00EC0CCC"/>
    <w:rsid w:val="00EC0CF5"/>
    <w:rsid w:val="00EC0CF6"/>
    <w:rsid w:val="00EC0D57"/>
    <w:rsid w:val="00EC0D72"/>
    <w:rsid w:val="00EC0DF3"/>
    <w:rsid w:val="00EC0E0C"/>
    <w:rsid w:val="00EC0EB3"/>
    <w:rsid w:val="00EC0F35"/>
    <w:rsid w:val="00EC0F51"/>
    <w:rsid w:val="00EC0F65"/>
    <w:rsid w:val="00EC0F6A"/>
    <w:rsid w:val="00EC0F8F"/>
    <w:rsid w:val="00EC0FF3"/>
    <w:rsid w:val="00EC1006"/>
    <w:rsid w:val="00EC1030"/>
    <w:rsid w:val="00EC1049"/>
    <w:rsid w:val="00EC106B"/>
    <w:rsid w:val="00EC107F"/>
    <w:rsid w:val="00EC108A"/>
    <w:rsid w:val="00EC10BD"/>
    <w:rsid w:val="00EC10C4"/>
    <w:rsid w:val="00EC111E"/>
    <w:rsid w:val="00EC1122"/>
    <w:rsid w:val="00EC1143"/>
    <w:rsid w:val="00EC11BF"/>
    <w:rsid w:val="00EC11CF"/>
    <w:rsid w:val="00EC1200"/>
    <w:rsid w:val="00EC1202"/>
    <w:rsid w:val="00EC1254"/>
    <w:rsid w:val="00EC1283"/>
    <w:rsid w:val="00EC12A3"/>
    <w:rsid w:val="00EC130F"/>
    <w:rsid w:val="00EC137A"/>
    <w:rsid w:val="00EC139A"/>
    <w:rsid w:val="00EC139B"/>
    <w:rsid w:val="00EC13B7"/>
    <w:rsid w:val="00EC13CB"/>
    <w:rsid w:val="00EC13E7"/>
    <w:rsid w:val="00EC13F5"/>
    <w:rsid w:val="00EC1433"/>
    <w:rsid w:val="00EC1483"/>
    <w:rsid w:val="00EC14DC"/>
    <w:rsid w:val="00EC1509"/>
    <w:rsid w:val="00EC153C"/>
    <w:rsid w:val="00EC15B6"/>
    <w:rsid w:val="00EC15C6"/>
    <w:rsid w:val="00EC1648"/>
    <w:rsid w:val="00EC168E"/>
    <w:rsid w:val="00EC16C3"/>
    <w:rsid w:val="00EC171A"/>
    <w:rsid w:val="00EC1721"/>
    <w:rsid w:val="00EC1751"/>
    <w:rsid w:val="00EC1764"/>
    <w:rsid w:val="00EC176A"/>
    <w:rsid w:val="00EC176C"/>
    <w:rsid w:val="00EC1775"/>
    <w:rsid w:val="00EC17AE"/>
    <w:rsid w:val="00EC1819"/>
    <w:rsid w:val="00EC1864"/>
    <w:rsid w:val="00EC18A6"/>
    <w:rsid w:val="00EC18D4"/>
    <w:rsid w:val="00EC18FE"/>
    <w:rsid w:val="00EC1922"/>
    <w:rsid w:val="00EC1931"/>
    <w:rsid w:val="00EC1942"/>
    <w:rsid w:val="00EC1946"/>
    <w:rsid w:val="00EC195C"/>
    <w:rsid w:val="00EC1970"/>
    <w:rsid w:val="00EC1995"/>
    <w:rsid w:val="00EC19D7"/>
    <w:rsid w:val="00EC19F7"/>
    <w:rsid w:val="00EC19FA"/>
    <w:rsid w:val="00EC1A2B"/>
    <w:rsid w:val="00EC1A8A"/>
    <w:rsid w:val="00EC1AC0"/>
    <w:rsid w:val="00EC1B1B"/>
    <w:rsid w:val="00EC1B1E"/>
    <w:rsid w:val="00EC1B28"/>
    <w:rsid w:val="00EC1B2A"/>
    <w:rsid w:val="00EC1B59"/>
    <w:rsid w:val="00EC1B6C"/>
    <w:rsid w:val="00EC1B8D"/>
    <w:rsid w:val="00EC1BA3"/>
    <w:rsid w:val="00EC1BBB"/>
    <w:rsid w:val="00EC1C0A"/>
    <w:rsid w:val="00EC1D02"/>
    <w:rsid w:val="00EC1D4F"/>
    <w:rsid w:val="00EC1D76"/>
    <w:rsid w:val="00EC1DBD"/>
    <w:rsid w:val="00EC1DC4"/>
    <w:rsid w:val="00EC1DCF"/>
    <w:rsid w:val="00EC1E0E"/>
    <w:rsid w:val="00EC1E1B"/>
    <w:rsid w:val="00EC1E60"/>
    <w:rsid w:val="00EC1E9F"/>
    <w:rsid w:val="00EC1F07"/>
    <w:rsid w:val="00EC1FA7"/>
    <w:rsid w:val="00EC1FB7"/>
    <w:rsid w:val="00EC1FD1"/>
    <w:rsid w:val="00EC1FED"/>
    <w:rsid w:val="00EC206D"/>
    <w:rsid w:val="00EC207A"/>
    <w:rsid w:val="00EC20A7"/>
    <w:rsid w:val="00EC2118"/>
    <w:rsid w:val="00EC211B"/>
    <w:rsid w:val="00EC2147"/>
    <w:rsid w:val="00EC217D"/>
    <w:rsid w:val="00EC2183"/>
    <w:rsid w:val="00EC21DB"/>
    <w:rsid w:val="00EC21E0"/>
    <w:rsid w:val="00EC2266"/>
    <w:rsid w:val="00EC22B1"/>
    <w:rsid w:val="00EC22D5"/>
    <w:rsid w:val="00EC2307"/>
    <w:rsid w:val="00EC234A"/>
    <w:rsid w:val="00EC236D"/>
    <w:rsid w:val="00EC239A"/>
    <w:rsid w:val="00EC23E3"/>
    <w:rsid w:val="00EC2404"/>
    <w:rsid w:val="00EC243D"/>
    <w:rsid w:val="00EC24DA"/>
    <w:rsid w:val="00EC251D"/>
    <w:rsid w:val="00EC25C0"/>
    <w:rsid w:val="00EC25CD"/>
    <w:rsid w:val="00EC25E2"/>
    <w:rsid w:val="00EC26D3"/>
    <w:rsid w:val="00EC26F1"/>
    <w:rsid w:val="00EC274C"/>
    <w:rsid w:val="00EC2750"/>
    <w:rsid w:val="00EC2785"/>
    <w:rsid w:val="00EC27DA"/>
    <w:rsid w:val="00EC2832"/>
    <w:rsid w:val="00EC289C"/>
    <w:rsid w:val="00EC28EC"/>
    <w:rsid w:val="00EC28EF"/>
    <w:rsid w:val="00EC2927"/>
    <w:rsid w:val="00EC292F"/>
    <w:rsid w:val="00EC294E"/>
    <w:rsid w:val="00EC29ED"/>
    <w:rsid w:val="00EC2A57"/>
    <w:rsid w:val="00EC2A5B"/>
    <w:rsid w:val="00EC2A64"/>
    <w:rsid w:val="00EC2A68"/>
    <w:rsid w:val="00EC2A71"/>
    <w:rsid w:val="00EC2AA2"/>
    <w:rsid w:val="00EC2ACB"/>
    <w:rsid w:val="00EC2AF6"/>
    <w:rsid w:val="00EC2B06"/>
    <w:rsid w:val="00EC2B18"/>
    <w:rsid w:val="00EC2B28"/>
    <w:rsid w:val="00EC2B3D"/>
    <w:rsid w:val="00EC2B43"/>
    <w:rsid w:val="00EC2BB5"/>
    <w:rsid w:val="00EC2BC3"/>
    <w:rsid w:val="00EC2BD7"/>
    <w:rsid w:val="00EC2C0E"/>
    <w:rsid w:val="00EC2C21"/>
    <w:rsid w:val="00EC2CCE"/>
    <w:rsid w:val="00EC2CF8"/>
    <w:rsid w:val="00EC2D03"/>
    <w:rsid w:val="00EC2D43"/>
    <w:rsid w:val="00EC2DB1"/>
    <w:rsid w:val="00EC2DCE"/>
    <w:rsid w:val="00EC2E70"/>
    <w:rsid w:val="00EC2F2E"/>
    <w:rsid w:val="00EC2F49"/>
    <w:rsid w:val="00EC2F8D"/>
    <w:rsid w:val="00EC2F90"/>
    <w:rsid w:val="00EC2FAD"/>
    <w:rsid w:val="00EC2FD1"/>
    <w:rsid w:val="00EC3091"/>
    <w:rsid w:val="00EC3096"/>
    <w:rsid w:val="00EC30F8"/>
    <w:rsid w:val="00EC3100"/>
    <w:rsid w:val="00EC3119"/>
    <w:rsid w:val="00EC3163"/>
    <w:rsid w:val="00EC3174"/>
    <w:rsid w:val="00EC3182"/>
    <w:rsid w:val="00EC31A9"/>
    <w:rsid w:val="00EC31B2"/>
    <w:rsid w:val="00EC3221"/>
    <w:rsid w:val="00EC323E"/>
    <w:rsid w:val="00EC324E"/>
    <w:rsid w:val="00EC32AF"/>
    <w:rsid w:val="00EC32B3"/>
    <w:rsid w:val="00EC32CD"/>
    <w:rsid w:val="00EC32DE"/>
    <w:rsid w:val="00EC331C"/>
    <w:rsid w:val="00EC3323"/>
    <w:rsid w:val="00EC3357"/>
    <w:rsid w:val="00EC3388"/>
    <w:rsid w:val="00EC33B7"/>
    <w:rsid w:val="00EC33D3"/>
    <w:rsid w:val="00EC341B"/>
    <w:rsid w:val="00EC3458"/>
    <w:rsid w:val="00EC3474"/>
    <w:rsid w:val="00EC348A"/>
    <w:rsid w:val="00EC348B"/>
    <w:rsid w:val="00EC34B3"/>
    <w:rsid w:val="00EC3500"/>
    <w:rsid w:val="00EC35CF"/>
    <w:rsid w:val="00EC35E6"/>
    <w:rsid w:val="00EC3604"/>
    <w:rsid w:val="00EC3642"/>
    <w:rsid w:val="00EC3689"/>
    <w:rsid w:val="00EC370C"/>
    <w:rsid w:val="00EC373A"/>
    <w:rsid w:val="00EC3753"/>
    <w:rsid w:val="00EC37C8"/>
    <w:rsid w:val="00EC3811"/>
    <w:rsid w:val="00EC3862"/>
    <w:rsid w:val="00EC3872"/>
    <w:rsid w:val="00EC38D3"/>
    <w:rsid w:val="00EC3922"/>
    <w:rsid w:val="00EC393C"/>
    <w:rsid w:val="00EC3949"/>
    <w:rsid w:val="00EC394E"/>
    <w:rsid w:val="00EC396A"/>
    <w:rsid w:val="00EC39AC"/>
    <w:rsid w:val="00EC39D6"/>
    <w:rsid w:val="00EC39E5"/>
    <w:rsid w:val="00EC3A78"/>
    <w:rsid w:val="00EC3A87"/>
    <w:rsid w:val="00EC3A92"/>
    <w:rsid w:val="00EC3ACF"/>
    <w:rsid w:val="00EC3B15"/>
    <w:rsid w:val="00EC3B5B"/>
    <w:rsid w:val="00EC3BB9"/>
    <w:rsid w:val="00EC3BC4"/>
    <w:rsid w:val="00EC3C89"/>
    <w:rsid w:val="00EC3C8E"/>
    <w:rsid w:val="00EC3CC4"/>
    <w:rsid w:val="00EC3CDB"/>
    <w:rsid w:val="00EC3D45"/>
    <w:rsid w:val="00EC3D51"/>
    <w:rsid w:val="00EC3DB8"/>
    <w:rsid w:val="00EC3DF9"/>
    <w:rsid w:val="00EC3E11"/>
    <w:rsid w:val="00EC3E2F"/>
    <w:rsid w:val="00EC3EA7"/>
    <w:rsid w:val="00EC3F17"/>
    <w:rsid w:val="00EC3F9D"/>
    <w:rsid w:val="00EC3FB9"/>
    <w:rsid w:val="00EC3FBA"/>
    <w:rsid w:val="00EC3FBC"/>
    <w:rsid w:val="00EC4028"/>
    <w:rsid w:val="00EC40B4"/>
    <w:rsid w:val="00EC40BA"/>
    <w:rsid w:val="00EC40F3"/>
    <w:rsid w:val="00EC4115"/>
    <w:rsid w:val="00EC411D"/>
    <w:rsid w:val="00EC41DC"/>
    <w:rsid w:val="00EC4239"/>
    <w:rsid w:val="00EC4260"/>
    <w:rsid w:val="00EC4269"/>
    <w:rsid w:val="00EC42B2"/>
    <w:rsid w:val="00EC42E3"/>
    <w:rsid w:val="00EC42F2"/>
    <w:rsid w:val="00EC4348"/>
    <w:rsid w:val="00EC43DE"/>
    <w:rsid w:val="00EC43E1"/>
    <w:rsid w:val="00EC4407"/>
    <w:rsid w:val="00EC4444"/>
    <w:rsid w:val="00EC4452"/>
    <w:rsid w:val="00EC4497"/>
    <w:rsid w:val="00EC44B4"/>
    <w:rsid w:val="00EC4508"/>
    <w:rsid w:val="00EC451C"/>
    <w:rsid w:val="00EC453C"/>
    <w:rsid w:val="00EC4554"/>
    <w:rsid w:val="00EC4593"/>
    <w:rsid w:val="00EC4601"/>
    <w:rsid w:val="00EC4677"/>
    <w:rsid w:val="00EC468B"/>
    <w:rsid w:val="00EC4698"/>
    <w:rsid w:val="00EC46D6"/>
    <w:rsid w:val="00EC46D9"/>
    <w:rsid w:val="00EC472D"/>
    <w:rsid w:val="00EC474D"/>
    <w:rsid w:val="00EC4756"/>
    <w:rsid w:val="00EC477F"/>
    <w:rsid w:val="00EC47A2"/>
    <w:rsid w:val="00EC47BA"/>
    <w:rsid w:val="00EC47C5"/>
    <w:rsid w:val="00EC4808"/>
    <w:rsid w:val="00EC4850"/>
    <w:rsid w:val="00EC48AB"/>
    <w:rsid w:val="00EC48C1"/>
    <w:rsid w:val="00EC4974"/>
    <w:rsid w:val="00EC4990"/>
    <w:rsid w:val="00EC49B6"/>
    <w:rsid w:val="00EC4A33"/>
    <w:rsid w:val="00EC4A75"/>
    <w:rsid w:val="00EC4A8F"/>
    <w:rsid w:val="00EC4B25"/>
    <w:rsid w:val="00EC4B70"/>
    <w:rsid w:val="00EC4BD2"/>
    <w:rsid w:val="00EC4BE5"/>
    <w:rsid w:val="00EC4C0E"/>
    <w:rsid w:val="00EC4C14"/>
    <w:rsid w:val="00EC4C17"/>
    <w:rsid w:val="00EC4C41"/>
    <w:rsid w:val="00EC4C48"/>
    <w:rsid w:val="00EC4C87"/>
    <w:rsid w:val="00EC4CA2"/>
    <w:rsid w:val="00EC4CBA"/>
    <w:rsid w:val="00EC4CC7"/>
    <w:rsid w:val="00EC4D30"/>
    <w:rsid w:val="00EC4D47"/>
    <w:rsid w:val="00EC4D80"/>
    <w:rsid w:val="00EC4DC5"/>
    <w:rsid w:val="00EC4DCB"/>
    <w:rsid w:val="00EC4DFC"/>
    <w:rsid w:val="00EC4E40"/>
    <w:rsid w:val="00EC4E7E"/>
    <w:rsid w:val="00EC4E8E"/>
    <w:rsid w:val="00EC4ED0"/>
    <w:rsid w:val="00EC4EE8"/>
    <w:rsid w:val="00EC4F00"/>
    <w:rsid w:val="00EC4F07"/>
    <w:rsid w:val="00EC4F82"/>
    <w:rsid w:val="00EC4FE6"/>
    <w:rsid w:val="00EC5122"/>
    <w:rsid w:val="00EC5174"/>
    <w:rsid w:val="00EC517E"/>
    <w:rsid w:val="00EC51D8"/>
    <w:rsid w:val="00EC5200"/>
    <w:rsid w:val="00EC5216"/>
    <w:rsid w:val="00EC522A"/>
    <w:rsid w:val="00EC5255"/>
    <w:rsid w:val="00EC528F"/>
    <w:rsid w:val="00EC52B5"/>
    <w:rsid w:val="00EC5343"/>
    <w:rsid w:val="00EC5355"/>
    <w:rsid w:val="00EC53A6"/>
    <w:rsid w:val="00EC53B2"/>
    <w:rsid w:val="00EC5414"/>
    <w:rsid w:val="00EC542C"/>
    <w:rsid w:val="00EC5433"/>
    <w:rsid w:val="00EC545A"/>
    <w:rsid w:val="00EC54C7"/>
    <w:rsid w:val="00EC5528"/>
    <w:rsid w:val="00EC5540"/>
    <w:rsid w:val="00EC5549"/>
    <w:rsid w:val="00EC55A3"/>
    <w:rsid w:val="00EC5645"/>
    <w:rsid w:val="00EC566B"/>
    <w:rsid w:val="00EC56B6"/>
    <w:rsid w:val="00EC56F3"/>
    <w:rsid w:val="00EC56F7"/>
    <w:rsid w:val="00EC5761"/>
    <w:rsid w:val="00EC578C"/>
    <w:rsid w:val="00EC5829"/>
    <w:rsid w:val="00EC5853"/>
    <w:rsid w:val="00EC58AE"/>
    <w:rsid w:val="00EC5928"/>
    <w:rsid w:val="00EC5971"/>
    <w:rsid w:val="00EC597F"/>
    <w:rsid w:val="00EC5980"/>
    <w:rsid w:val="00EC59B1"/>
    <w:rsid w:val="00EC59DB"/>
    <w:rsid w:val="00EC59E7"/>
    <w:rsid w:val="00EC5A06"/>
    <w:rsid w:val="00EC5A0A"/>
    <w:rsid w:val="00EC5A6A"/>
    <w:rsid w:val="00EC5A76"/>
    <w:rsid w:val="00EC5A81"/>
    <w:rsid w:val="00EC5AA1"/>
    <w:rsid w:val="00EC5B05"/>
    <w:rsid w:val="00EC5B18"/>
    <w:rsid w:val="00EC5B51"/>
    <w:rsid w:val="00EC5B52"/>
    <w:rsid w:val="00EC5B53"/>
    <w:rsid w:val="00EC5B6E"/>
    <w:rsid w:val="00EC5B73"/>
    <w:rsid w:val="00EC5BB9"/>
    <w:rsid w:val="00EC5BBD"/>
    <w:rsid w:val="00EC5C03"/>
    <w:rsid w:val="00EC5C1E"/>
    <w:rsid w:val="00EC5C2F"/>
    <w:rsid w:val="00EC5CBE"/>
    <w:rsid w:val="00EC5CC5"/>
    <w:rsid w:val="00EC5D48"/>
    <w:rsid w:val="00EC5D92"/>
    <w:rsid w:val="00EC5DF8"/>
    <w:rsid w:val="00EC5E15"/>
    <w:rsid w:val="00EC5E20"/>
    <w:rsid w:val="00EC5E8B"/>
    <w:rsid w:val="00EC5E9F"/>
    <w:rsid w:val="00EC5F07"/>
    <w:rsid w:val="00EC5F25"/>
    <w:rsid w:val="00EC5F42"/>
    <w:rsid w:val="00EC5FAC"/>
    <w:rsid w:val="00EC6015"/>
    <w:rsid w:val="00EC6040"/>
    <w:rsid w:val="00EC6064"/>
    <w:rsid w:val="00EC6093"/>
    <w:rsid w:val="00EC6122"/>
    <w:rsid w:val="00EC612E"/>
    <w:rsid w:val="00EC6154"/>
    <w:rsid w:val="00EC615F"/>
    <w:rsid w:val="00EC6173"/>
    <w:rsid w:val="00EC618C"/>
    <w:rsid w:val="00EC6195"/>
    <w:rsid w:val="00EC61B3"/>
    <w:rsid w:val="00EC61C4"/>
    <w:rsid w:val="00EC61D3"/>
    <w:rsid w:val="00EC61EA"/>
    <w:rsid w:val="00EC6228"/>
    <w:rsid w:val="00EC6239"/>
    <w:rsid w:val="00EC6243"/>
    <w:rsid w:val="00EC6248"/>
    <w:rsid w:val="00EC626B"/>
    <w:rsid w:val="00EC628A"/>
    <w:rsid w:val="00EC62F7"/>
    <w:rsid w:val="00EC6329"/>
    <w:rsid w:val="00EC6366"/>
    <w:rsid w:val="00EC63BF"/>
    <w:rsid w:val="00EC63F6"/>
    <w:rsid w:val="00EC640F"/>
    <w:rsid w:val="00EC641D"/>
    <w:rsid w:val="00EC6453"/>
    <w:rsid w:val="00EC6469"/>
    <w:rsid w:val="00EC6473"/>
    <w:rsid w:val="00EC6481"/>
    <w:rsid w:val="00EC64AA"/>
    <w:rsid w:val="00EC64D2"/>
    <w:rsid w:val="00EC6538"/>
    <w:rsid w:val="00EC653F"/>
    <w:rsid w:val="00EC6546"/>
    <w:rsid w:val="00EC6551"/>
    <w:rsid w:val="00EC6577"/>
    <w:rsid w:val="00EC659E"/>
    <w:rsid w:val="00EC661A"/>
    <w:rsid w:val="00EC6681"/>
    <w:rsid w:val="00EC6698"/>
    <w:rsid w:val="00EC66A8"/>
    <w:rsid w:val="00EC66AA"/>
    <w:rsid w:val="00EC66C1"/>
    <w:rsid w:val="00EC66DA"/>
    <w:rsid w:val="00EC6704"/>
    <w:rsid w:val="00EC6727"/>
    <w:rsid w:val="00EC67FA"/>
    <w:rsid w:val="00EC6821"/>
    <w:rsid w:val="00EC6891"/>
    <w:rsid w:val="00EC68A5"/>
    <w:rsid w:val="00EC68DE"/>
    <w:rsid w:val="00EC68F6"/>
    <w:rsid w:val="00EC693F"/>
    <w:rsid w:val="00EC6964"/>
    <w:rsid w:val="00EC6A3E"/>
    <w:rsid w:val="00EC6A91"/>
    <w:rsid w:val="00EC6B16"/>
    <w:rsid w:val="00EC6B42"/>
    <w:rsid w:val="00EC6B47"/>
    <w:rsid w:val="00EC6B84"/>
    <w:rsid w:val="00EC6BCD"/>
    <w:rsid w:val="00EC6BFE"/>
    <w:rsid w:val="00EC6C13"/>
    <w:rsid w:val="00EC6C37"/>
    <w:rsid w:val="00EC6C55"/>
    <w:rsid w:val="00EC6CB0"/>
    <w:rsid w:val="00EC6CF5"/>
    <w:rsid w:val="00EC6DA0"/>
    <w:rsid w:val="00EC6DE4"/>
    <w:rsid w:val="00EC6DF5"/>
    <w:rsid w:val="00EC6E35"/>
    <w:rsid w:val="00EC6E9F"/>
    <w:rsid w:val="00EC6EA3"/>
    <w:rsid w:val="00EC6EE1"/>
    <w:rsid w:val="00EC6F47"/>
    <w:rsid w:val="00EC7024"/>
    <w:rsid w:val="00EC7046"/>
    <w:rsid w:val="00EC705E"/>
    <w:rsid w:val="00EC706B"/>
    <w:rsid w:val="00EC70A9"/>
    <w:rsid w:val="00EC7157"/>
    <w:rsid w:val="00EC7164"/>
    <w:rsid w:val="00EC71DC"/>
    <w:rsid w:val="00EC7235"/>
    <w:rsid w:val="00EC724D"/>
    <w:rsid w:val="00EC726F"/>
    <w:rsid w:val="00EC72AB"/>
    <w:rsid w:val="00EC72AC"/>
    <w:rsid w:val="00EC72B9"/>
    <w:rsid w:val="00EC72BF"/>
    <w:rsid w:val="00EC72C4"/>
    <w:rsid w:val="00EC72D7"/>
    <w:rsid w:val="00EC72F0"/>
    <w:rsid w:val="00EC7318"/>
    <w:rsid w:val="00EC7337"/>
    <w:rsid w:val="00EC736A"/>
    <w:rsid w:val="00EC7381"/>
    <w:rsid w:val="00EC73BB"/>
    <w:rsid w:val="00EC73F5"/>
    <w:rsid w:val="00EC742A"/>
    <w:rsid w:val="00EC7499"/>
    <w:rsid w:val="00EC74D4"/>
    <w:rsid w:val="00EC7543"/>
    <w:rsid w:val="00EC7554"/>
    <w:rsid w:val="00EC757D"/>
    <w:rsid w:val="00EC75D0"/>
    <w:rsid w:val="00EC7642"/>
    <w:rsid w:val="00EC765C"/>
    <w:rsid w:val="00EC7667"/>
    <w:rsid w:val="00EC76BE"/>
    <w:rsid w:val="00EC76F6"/>
    <w:rsid w:val="00EC7717"/>
    <w:rsid w:val="00EC7721"/>
    <w:rsid w:val="00EC7762"/>
    <w:rsid w:val="00EC7786"/>
    <w:rsid w:val="00EC7787"/>
    <w:rsid w:val="00EC77FA"/>
    <w:rsid w:val="00EC7827"/>
    <w:rsid w:val="00EC7859"/>
    <w:rsid w:val="00EC7931"/>
    <w:rsid w:val="00EC7962"/>
    <w:rsid w:val="00EC7969"/>
    <w:rsid w:val="00EC797C"/>
    <w:rsid w:val="00EC79C1"/>
    <w:rsid w:val="00EC79CF"/>
    <w:rsid w:val="00EC79E9"/>
    <w:rsid w:val="00EC79F9"/>
    <w:rsid w:val="00EC7A37"/>
    <w:rsid w:val="00EC7A7B"/>
    <w:rsid w:val="00EC7A9B"/>
    <w:rsid w:val="00EC7AA2"/>
    <w:rsid w:val="00EC7AC0"/>
    <w:rsid w:val="00EC7ACC"/>
    <w:rsid w:val="00EC7AF7"/>
    <w:rsid w:val="00EC7B36"/>
    <w:rsid w:val="00EC7B42"/>
    <w:rsid w:val="00EC7B55"/>
    <w:rsid w:val="00EC7B60"/>
    <w:rsid w:val="00EC7B73"/>
    <w:rsid w:val="00EC7BEC"/>
    <w:rsid w:val="00EC7C0D"/>
    <w:rsid w:val="00EC7C27"/>
    <w:rsid w:val="00EC7CC4"/>
    <w:rsid w:val="00EC7CD0"/>
    <w:rsid w:val="00EC7CD4"/>
    <w:rsid w:val="00EC7D32"/>
    <w:rsid w:val="00EC7D9A"/>
    <w:rsid w:val="00EC7DE2"/>
    <w:rsid w:val="00EC7DF7"/>
    <w:rsid w:val="00EC7E78"/>
    <w:rsid w:val="00EC7EA8"/>
    <w:rsid w:val="00EC7ECA"/>
    <w:rsid w:val="00EC7EF2"/>
    <w:rsid w:val="00EC7F88"/>
    <w:rsid w:val="00EC7FA2"/>
    <w:rsid w:val="00ED0023"/>
    <w:rsid w:val="00ED0062"/>
    <w:rsid w:val="00ED00F9"/>
    <w:rsid w:val="00ED00FE"/>
    <w:rsid w:val="00ED0187"/>
    <w:rsid w:val="00ED01D9"/>
    <w:rsid w:val="00ED023B"/>
    <w:rsid w:val="00ED0253"/>
    <w:rsid w:val="00ED0255"/>
    <w:rsid w:val="00ED02A7"/>
    <w:rsid w:val="00ED02F4"/>
    <w:rsid w:val="00ED0303"/>
    <w:rsid w:val="00ED030F"/>
    <w:rsid w:val="00ED0373"/>
    <w:rsid w:val="00ED037A"/>
    <w:rsid w:val="00ED0392"/>
    <w:rsid w:val="00ED03BE"/>
    <w:rsid w:val="00ED03D1"/>
    <w:rsid w:val="00ED03D7"/>
    <w:rsid w:val="00ED045C"/>
    <w:rsid w:val="00ED0474"/>
    <w:rsid w:val="00ED0479"/>
    <w:rsid w:val="00ED047C"/>
    <w:rsid w:val="00ED04CA"/>
    <w:rsid w:val="00ED051A"/>
    <w:rsid w:val="00ED0547"/>
    <w:rsid w:val="00ED056D"/>
    <w:rsid w:val="00ED059E"/>
    <w:rsid w:val="00ED05A7"/>
    <w:rsid w:val="00ED0636"/>
    <w:rsid w:val="00ED0662"/>
    <w:rsid w:val="00ED06B9"/>
    <w:rsid w:val="00ED06C2"/>
    <w:rsid w:val="00ED0725"/>
    <w:rsid w:val="00ED0737"/>
    <w:rsid w:val="00ED0745"/>
    <w:rsid w:val="00ED0750"/>
    <w:rsid w:val="00ED0797"/>
    <w:rsid w:val="00ED07A1"/>
    <w:rsid w:val="00ED07B8"/>
    <w:rsid w:val="00ED0892"/>
    <w:rsid w:val="00ED0893"/>
    <w:rsid w:val="00ED08F8"/>
    <w:rsid w:val="00ED090B"/>
    <w:rsid w:val="00ED091C"/>
    <w:rsid w:val="00ED0A6C"/>
    <w:rsid w:val="00ED0A7D"/>
    <w:rsid w:val="00ED0AB2"/>
    <w:rsid w:val="00ED0AED"/>
    <w:rsid w:val="00ED0B39"/>
    <w:rsid w:val="00ED0BB2"/>
    <w:rsid w:val="00ED0BCD"/>
    <w:rsid w:val="00ED0BD1"/>
    <w:rsid w:val="00ED0BE3"/>
    <w:rsid w:val="00ED0C08"/>
    <w:rsid w:val="00ED0C55"/>
    <w:rsid w:val="00ED0C7B"/>
    <w:rsid w:val="00ED0C96"/>
    <w:rsid w:val="00ED0CA0"/>
    <w:rsid w:val="00ED0CAA"/>
    <w:rsid w:val="00ED0CB6"/>
    <w:rsid w:val="00ED0D0D"/>
    <w:rsid w:val="00ED0D17"/>
    <w:rsid w:val="00ED0D37"/>
    <w:rsid w:val="00ED0D41"/>
    <w:rsid w:val="00ED0D67"/>
    <w:rsid w:val="00ED0DD8"/>
    <w:rsid w:val="00ED0DDA"/>
    <w:rsid w:val="00ED0DDD"/>
    <w:rsid w:val="00ED0DEC"/>
    <w:rsid w:val="00ED0E12"/>
    <w:rsid w:val="00ED0E27"/>
    <w:rsid w:val="00ED0E61"/>
    <w:rsid w:val="00ED0E9F"/>
    <w:rsid w:val="00ED0EC9"/>
    <w:rsid w:val="00ED0F03"/>
    <w:rsid w:val="00ED0F27"/>
    <w:rsid w:val="00ED0F42"/>
    <w:rsid w:val="00ED0F47"/>
    <w:rsid w:val="00ED0FA1"/>
    <w:rsid w:val="00ED0FBD"/>
    <w:rsid w:val="00ED0FC4"/>
    <w:rsid w:val="00ED1028"/>
    <w:rsid w:val="00ED108E"/>
    <w:rsid w:val="00ED1138"/>
    <w:rsid w:val="00ED1166"/>
    <w:rsid w:val="00ED11A9"/>
    <w:rsid w:val="00ED11DE"/>
    <w:rsid w:val="00ED11F8"/>
    <w:rsid w:val="00ED1224"/>
    <w:rsid w:val="00ED1297"/>
    <w:rsid w:val="00ED12FE"/>
    <w:rsid w:val="00ED1317"/>
    <w:rsid w:val="00ED1330"/>
    <w:rsid w:val="00ED1364"/>
    <w:rsid w:val="00ED1426"/>
    <w:rsid w:val="00ED1433"/>
    <w:rsid w:val="00ED143A"/>
    <w:rsid w:val="00ED145C"/>
    <w:rsid w:val="00ED1474"/>
    <w:rsid w:val="00ED149E"/>
    <w:rsid w:val="00ED14D0"/>
    <w:rsid w:val="00ED14E1"/>
    <w:rsid w:val="00ED1598"/>
    <w:rsid w:val="00ED15F7"/>
    <w:rsid w:val="00ED1619"/>
    <w:rsid w:val="00ED163B"/>
    <w:rsid w:val="00ED1653"/>
    <w:rsid w:val="00ED1677"/>
    <w:rsid w:val="00ED1684"/>
    <w:rsid w:val="00ED16A4"/>
    <w:rsid w:val="00ED16CB"/>
    <w:rsid w:val="00ED1719"/>
    <w:rsid w:val="00ED1729"/>
    <w:rsid w:val="00ED1730"/>
    <w:rsid w:val="00ED1760"/>
    <w:rsid w:val="00ED17E3"/>
    <w:rsid w:val="00ED1839"/>
    <w:rsid w:val="00ED194D"/>
    <w:rsid w:val="00ED1995"/>
    <w:rsid w:val="00ED199D"/>
    <w:rsid w:val="00ED19C8"/>
    <w:rsid w:val="00ED1A32"/>
    <w:rsid w:val="00ED1A92"/>
    <w:rsid w:val="00ED1AE8"/>
    <w:rsid w:val="00ED1B08"/>
    <w:rsid w:val="00ED1B16"/>
    <w:rsid w:val="00ED1B47"/>
    <w:rsid w:val="00ED1B7E"/>
    <w:rsid w:val="00ED1BCB"/>
    <w:rsid w:val="00ED1BE9"/>
    <w:rsid w:val="00ED1C0A"/>
    <w:rsid w:val="00ED1C75"/>
    <w:rsid w:val="00ED1C77"/>
    <w:rsid w:val="00ED1C9D"/>
    <w:rsid w:val="00ED1CD7"/>
    <w:rsid w:val="00ED1CE5"/>
    <w:rsid w:val="00ED1D04"/>
    <w:rsid w:val="00ED1D2A"/>
    <w:rsid w:val="00ED1D5D"/>
    <w:rsid w:val="00ED1D84"/>
    <w:rsid w:val="00ED1D86"/>
    <w:rsid w:val="00ED1DC3"/>
    <w:rsid w:val="00ED1DC4"/>
    <w:rsid w:val="00ED1DD1"/>
    <w:rsid w:val="00ED1E7B"/>
    <w:rsid w:val="00ED1E99"/>
    <w:rsid w:val="00ED1EDD"/>
    <w:rsid w:val="00ED1F08"/>
    <w:rsid w:val="00ED1F59"/>
    <w:rsid w:val="00ED1FB4"/>
    <w:rsid w:val="00ED1FD2"/>
    <w:rsid w:val="00ED1FDF"/>
    <w:rsid w:val="00ED204F"/>
    <w:rsid w:val="00ED20CC"/>
    <w:rsid w:val="00ED20F3"/>
    <w:rsid w:val="00ED2119"/>
    <w:rsid w:val="00ED21A7"/>
    <w:rsid w:val="00ED2226"/>
    <w:rsid w:val="00ED2272"/>
    <w:rsid w:val="00ED227F"/>
    <w:rsid w:val="00ED22D0"/>
    <w:rsid w:val="00ED22DE"/>
    <w:rsid w:val="00ED2306"/>
    <w:rsid w:val="00ED2348"/>
    <w:rsid w:val="00ED23AB"/>
    <w:rsid w:val="00ED2443"/>
    <w:rsid w:val="00ED24AB"/>
    <w:rsid w:val="00ED250E"/>
    <w:rsid w:val="00ED2526"/>
    <w:rsid w:val="00ED257A"/>
    <w:rsid w:val="00ED25CF"/>
    <w:rsid w:val="00ED2659"/>
    <w:rsid w:val="00ED2663"/>
    <w:rsid w:val="00ED26B4"/>
    <w:rsid w:val="00ED26CF"/>
    <w:rsid w:val="00ED26EF"/>
    <w:rsid w:val="00ED2719"/>
    <w:rsid w:val="00ED2742"/>
    <w:rsid w:val="00ED2749"/>
    <w:rsid w:val="00ED275E"/>
    <w:rsid w:val="00ED2768"/>
    <w:rsid w:val="00ED2787"/>
    <w:rsid w:val="00ED27AD"/>
    <w:rsid w:val="00ED27C4"/>
    <w:rsid w:val="00ED27C5"/>
    <w:rsid w:val="00ED2851"/>
    <w:rsid w:val="00ED2871"/>
    <w:rsid w:val="00ED288D"/>
    <w:rsid w:val="00ED28AD"/>
    <w:rsid w:val="00ED2914"/>
    <w:rsid w:val="00ED2919"/>
    <w:rsid w:val="00ED29D4"/>
    <w:rsid w:val="00ED29F5"/>
    <w:rsid w:val="00ED2A05"/>
    <w:rsid w:val="00ED2A27"/>
    <w:rsid w:val="00ED2A6A"/>
    <w:rsid w:val="00ED2AEB"/>
    <w:rsid w:val="00ED2B1F"/>
    <w:rsid w:val="00ED2B26"/>
    <w:rsid w:val="00ED2B43"/>
    <w:rsid w:val="00ED2B8E"/>
    <w:rsid w:val="00ED2C12"/>
    <w:rsid w:val="00ED2C70"/>
    <w:rsid w:val="00ED2CA2"/>
    <w:rsid w:val="00ED2CB7"/>
    <w:rsid w:val="00ED2D0A"/>
    <w:rsid w:val="00ED2DB9"/>
    <w:rsid w:val="00ED2DC5"/>
    <w:rsid w:val="00ED2E16"/>
    <w:rsid w:val="00ED2E29"/>
    <w:rsid w:val="00ED2E30"/>
    <w:rsid w:val="00ED2E40"/>
    <w:rsid w:val="00ED2E62"/>
    <w:rsid w:val="00ED2E8D"/>
    <w:rsid w:val="00ED2E93"/>
    <w:rsid w:val="00ED2EA8"/>
    <w:rsid w:val="00ED2F50"/>
    <w:rsid w:val="00ED2F84"/>
    <w:rsid w:val="00ED2F89"/>
    <w:rsid w:val="00ED302D"/>
    <w:rsid w:val="00ED3079"/>
    <w:rsid w:val="00ED309B"/>
    <w:rsid w:val="00ED30BD"/>
    <w:rsid w:val="00ED3109"/>
    <w:rsid w:val="00ED3183"/>
    <w:rsid w:val="00ED31B3"/>
    <w:rsid w:val="00ED31C9"/>
    <w:rsid w:val="00ED31EB"/>
    <w:rsid w:val="00ED3218"/>
    <w:rsid w:val="00ED322E"/>
    <w:rsid w:val="00ED323C"/>
    <w:rsid w:val="00ED3270"/>
    <w:rsid w:val="00ED32F3"/>
    <w:rsid w:val="00ED3365"/>
    <w:rsid w:val="00ED33BA"/>
    <w:rsid w:val="00ED33E8"/>
    <w:rsid w:val="00ED33FA"/>
    <w:rsid w:val="00ED342C"/>
    <w:rsid w:val="00ED3490"/>
    <w:rsid w:val="00ED3499"/>
    <w:rsid w:val="00ED34BC"/>
    <w:rsid w:val="00ED34EB"/>
    <w:rsid w:val="00ED34FB"/>
    <w:rsid w:val="00ED350C"/>
    <w:rsid w:val="00ED357B"/>
    <w:rsid w:val="00ED35D7"/>
    <w:rsid w:val="00ED35DA"/>
    <w:rsid w:val="00ED35F5"/>
    <w:rsid w:val="00ED3621"/>
    <w:rsid w:val="00ED3686"/>
    <w:rsid w:val="00ED36B0"/>
    <w:rsid w:val="00ED36C6"/>
    <w:rsid w:val="00ED3718"/>
    <w:rsid w:val="00ED37AC"/>
    <w:rsid w:val="00ED3840"/>
    <w:rsid w:val="00ED38D6"/>
    <w:rsid w:val="00ED38F9"/>
    <w:rsid w:val="00ED3904"/>
    <w:rsid w:val="00ED3910"/>
    <w:rsid w:val="00ED39AF"/>
    <w:rsid w:val="00ED39E0"/>
    <w:rsid w:val="00ED3A5B"/>
    <w:rsid w:val="00ED3AA2"/>
    <w:rsid w:val="00ED3AE6"/>
    <w:rsid w:val="00ED3AEB"/>
    <w:rsid w:val="00ED3B74"/>
    <w:rsid w:val="00ED3B84"/>
    <w:rsid w:val="00ED3B8A"/>
    <w:rsid w:val="00ED3B9F"/>
    <w:rsid w:val="00ED3BE7"/>
    <w:rsid w:val="00ED3C00"/>
    <w:rsid w:val="00ED3C15"/>
    <w:rsid w:val="00ED3C52"/>
    <w:rsid w:val="00ED3C6B"/>
    <w:rsid w:val="00ED3C6C"/>
    <w:rsid w:val="00ED3C96"/>
    <w:rsid w:val="00ED3CDF"/>
    <w:rsid w:val="00ED3D1D"/>
    <w:rsid w:val="00ED3D2A"/>
    <w:rsid w:val="00ED3D37"/>
    <w:rsid w:val="00ED3DEF"/>
    <w:rsid w:val="00ED3E1C"/>
    <w:rsid w:val="00ED3E6B"/>
    <w:rsid w:val="00ED3EC0"/>
    <w:rsid w:val="00ED3EEE"/>
    <w:rsid w:val="00ED3EEF"/>
    <w:rsid w:val="00ED3F64"/>
    <w:rsid w:val="00ED3F94"/>
    <w:rsid w:val="00ED3FE6"/>
    <w:rsid w:val="00ED40A3"/>
    <w:rsid w:val="00ED40D9"/>
    <w:rsid w:val="00ED40F0"/>
    <w:rsid w:val="00ED415F"/>
    <w:rsid w:val="00ED4203"/>
    <w:rsid w:val="00ED420B"/>
    <w:rsid w:val="00ED4217"/>
    <w:rsid w:val="00ED4231"/>
    <w:rsid w:val="00ED4287"/>
    <w:rsid w:val="00ED4288"/>
    <w:rsid w:val="00ED42A3"/>
    <w:rsid w:val="00ED42A5"/>
    <w:rsid w:val="00ED4315"/>
    <w:rsid w:val="00ED4394"/>
    <w:rsid w:val="00ED441B"/>
    <w:rsid w:val="00ED443A"/>
    <w:rsid w:val="00ED4455"/>
    <w:rsid w:val="00ED445C"/>
    <w:rsid w:val="00ED4460"/>
    <w:rsid w:val="00ED447E"/>
    <w:rsid w:val="00ED449A"/>
    <w:rsid w:val="00ED44BA"/>
    <w:rsid w:val="00ED4582"/>
    <w:rsid w:val="00ED4598"/>
    <w:rsid w:val="00ED45C8"/>
    <w:rsid w:val="00ED45EB"/>
    <w:rsid w:val="00ED4615"/>
    <w:rsid w:val="00ED461F"/>
    <w:rsid w:val="00ED46A5"/>
    <w:rsid w:val="00ED46B7"/>
    <w:rsid w:val="00ED4717"/>
    <w:rsid w:val="00ED471D"/>
    <w:rsid w:val="00ED472A"/>
    <w:rsid w:val="00ED475B"/>
    <w:rsid w:val="00ED4774"/>
    <w:rsid w:val="00ED47FA"/>
    <w:rsid w:val="00ED482E"/>
    <w:rsid w:val="00ED4971"/>
    <w:rsid w:val="00ED497B"/>
    <w:rsid w:val="00ED49D3"/>
    <w:rsid w:val="00ED49D7"/>
    <w:rsid w:val="00ED49DD"/>
    <w:rsid w:val="00ED4A12"/>
    <w:rsid w:val="00ED4A2D"/>
    <w:rsid w:val="00ED4A5D"/>
    <w:rsid w:val="00ED4A9F"/>
    <w:rsid w:val="00ED4B0A"/>
    <w:rsid w:val="00ED4B11"/>
    <w:rsid w:val="00ED4B24"/>
    <w:rsid w:val="00ED4B28"/>
    <w:rsid w:val="00ED4B2E"/>
    <w:rsid w:val="00ED4B5E"/>
    <w:rsid w:val="00ED4CC0"/>
    <w:rsid w:val="00ED4CCB"/>
    <w:rsid w:val="00ED4CD1"/>
    <w:rsid w:val="00ED4D39"/>
    <w:rsid w:val="00ED4D4F"/>
    <w:rsid w:val="00ED4D5A"/>
    <w:rsid w:val="00ED4DAC"/>
    <w:rsid w:val="00ED4DC6"/>
    <w:rsid w:val="00ED4DD5"/>
    <w:rsid w:val="00ED4DE7"/>
    <w:rsid w:val="00ED4E08"/>
    <w:rsid w:val="00ED4E09"/>
    <w:rsid w:val="00ED4E6B"/>
    <w:rsid w:val="00ED4E9C"/>
    <w:rsid w:val="00ED4EA1"/>
    <w:rsid w:val="00ED4EB6"/>
    <w:rsid w:val="00ED4F56"/>
    <w:rsid w:val="00ED4F82"/>
    <w:rsid w:val="00ED4FA2"/>
    <w:rsid w:val="00ED4FAB"/>
    <w:rsid w:val="00ED4FC8"/>
    <w:rsid w:val="00ED4FD3"/>
    <w:rsid w:val="00ED5060"/>
    <w:rsid w:val="00ED506B"/>
    <w:rsid w:val="00ED5090"/>
    <w:rsid w:val="00ED5100"/>
    <w:rsid w:val="00ED5137"/>
    <w:rsid w:val="00ED519C"/>
    <w:rsid w:val="00ED51B1"/>
    <w:rsid w:val="00ED5204"/>
    <w:rsid w:val="00ED521B"/>
    <w:rsid w:val="00ED5264"/>
    <w:rsid w:val="00ED5289"/>
    <w:rsid w:val="00ED52C2"/>
    <w:rsid w:val="00ED52CE"/>
    <w:rsid w:val="00ED533B"/>
    <w:rsid w:val="00ED5393"/>
    <w:rsid w:val="00ED5397"/>
    <w:rsid w:val="00ED5412"/>
    <w:rsid w:val="00ED543B"/>
    <w:rsid w:val="00ED547D"/>
    <w:rsid w:val="00ED553D"/>
    <w:rsid w:val="00ED5560"/>
    <w:rsid w:val="00ED55B3"/>
    <w:rsid w:val="00ED55F0"/>
    <w:rsid w:val="00ED561F"/>
    <w:rsid w:val="00ED5647"/>
    <w:rsid w:val="00ED565F"/>
    <w:rsid w:val="00ED5684"/>
    <w:rsid w:val="00ED56C3"/>
    <w:rsid w:val="00ED56C6"/>
    <w:rsid w:val="00ED56C9"/>
    <w:rsid w:val="00ED56DD"/>
    <w:rsid w:val="00ED5755"/>
    <w:rsid w:val="00ED578E"/>
    <w:rsid w:val="00ED5801"/>
    <w:rsid w:val="00ED580B"/>
    <w:rsid w:val="00ED5824"/>
    <w:rsid w:val="00ED586A"/>
    <w:rsid w:val="00ED58A6"/>
    <w:rsid w:val="00ED58BD"/>
    <w:rsid w:val="00ED58D9"/>
    <w:rsid w:val="00ED58E0"/>
    <w:rsid w:val="00ED58EB"/>
    <w:rsid w:val="00ED58FA"/>
    <w:rsid w:val="00ED5919"/>
    <w:rsid w:val="00ED593D"/>
    <w:rsid w:val="00ED596C"/>
    <w:rsid w:val="00ED59D7"/>
    <w:rsid w:val="00ED59F4"/>
    <w:rsid w:val="00ED5A20"/>
    <w:rsid w:val="00ED5A57"/>
    <w:rsid w:val="00ED5A5B"/>
    <w:rsid w:val="00ED5A78"/>
    <w:rsid w:val="00ED5A82"/>
    <w:rsid w:val="00ED5AB3"/>
    <w:rsid w:val="00ED5B17"/>
    <w:rsid w:val="00ED5B32"/>
    <w:rsid w:val="00ED5B44"/>
    <w:rsid w:val="00ED5B5E"/>
    <w:rsid w:val="00ED5B62"/>
    <w:rsid w:val="00ED5B80"/>
    <w:rsid w:val="00ED5BF2"/>
    <w:rsid w:val="00ED5C1D"/>
    <w:rsid w:val="00ED5CD9"/>
    <w:rsid w:val="00ED5CEB"/>
    <w:rsid w:val="00ED5CFC"/>
    <w:rsid w:val="00ED5D01"/>
    <w:rsid w:val="00ED5D35"/>
    <w:rsid w:val="00ED5D38"/>
    <w:rsid w:val="00ED5D93"/>
    <w:rsid w:val="00ED5DE9"/>
    <w:rsid w:val="00ED5DF3"/>
    <w:rsid w:val="00ED5E86"/>
    <w:rsid w:val="00ED5E9A"/>
    <w:rsid w:val="00ED5EB2"/>
    <w:rsid w:val="00ED5EB3"/>
    <w:rsid w:val="00ED5F40"/>
    <w:rsid w:val="00ED5F7A"/>
    <w:rsid w:val="00ED5F8C"/>
    <w:rsid w:val="00ED5F92"/>
    <w:rsid w:val="00ED5FEC"/>
    <w:rsid w:val="00ED602E"/>
    <w:rsid w:val="00ED6043"/>
    <w:rsid w:val="00ED6060"/>
    <w:rsid w:val="00ED60A2"/>
    <w:rsid w:val="00ED60B7"/>
    <w:rsid w:val="00ED610E"/>
    <w:rsid w:val="00ED6163"/>
    <w:rsid w:val="00ED616A"/>
    <w:rsid w:val="00ED6185"/>
    <w:rsid w:val="00ED61A3"/>
    <w:rsid w:val="00ED61E5"/>
    <w:rsid w:val="00ED61F1"/>
    <w:rsid w:val="00ED620C"/>
    <w:rsid w:val="00ED62A3"/>
    <w:rsid w:val="00ED62C2"/>
    <w:rsid w:val="00ED6369"/>
    <w:rsid w:val="00ED637B"/>
    <w:rsid w:val="00ED63A7"/>
    <w:rsid w:val="00ED63ED"/>
    <w:rsid w:val="00ED63FC"/>
    <w:rsid w:val="00ED6403"/>
    <w:rsid w:val="00ED641C"/>
    <w:rsid w:val="00ED6482"/>
    <w:rsid w:val="00ED64A7"/>
    <w:rsid w:val="00ED64E5"/>
    <w:rsid w:val="00ED6539"/>
    <w:rsid w:val="00ED657F"/>
    <w:rsid w:val="00ED65D3"/>
    <w:rsid w:val="00ED65ED"/>
    <w:rsid w:val="00ED661D"/>
    <w:rsid w:val="00ED6674"/>
    <w:rsid w:val="00ED66AF"/>
    <w:rsid w:val="00ED66E0"/>
    <w:rsid w:val="00ED6713"/>
    <w:rsid w:val="00ED6763"/>
    <w:rsid w:val="00ED6766"/>
    <w:rsid w:val="00ED67CD"/>
    <w:rsid w:val="00ED67D1"/>
    <w:rsid w:val="00ED67FE"/>
    <w:rsid w:val="00ED6835"/>
    <w:rsid w:val="00ED687F"/>
    <w:rsid w:val="00ED688F"/>
    <w:rsid w:val="00ED68FC"/>
    <w:rsid w:val="00ED6905"/>
    <w:rsid w:val="00ED6996"/>
    <w:rsid w:val="00ED69BD"/>
    <w:rsid w:val="00ED69C7"/>
    <w:rsid w:val="00ED69D1"/>
    <w:rsid w:val="00ED69F9"/>
    <w:rsid w:val="00ED6A9D"/>
    <w:rsid w:val="00ED6AB7"/>
    <w:rsid w:val="00ED6ADE"/>
    <w:rsid w:val="00ED6B0C"/>
    <w:rsid w:val="00ED6B50"/>
    <w:rsid w:val="00ED6B5C"/>
    <w:rsid w:val="00ED6B84"/>
    <w:rsid w:val="00ED6C11"/>
    <w:rsid w:val="00ED6C13"/>
    <w:rsid w:val="00ED6CAD"/>
    <w:rsid w:val="00ED6CC2"/>
    <w:rsid w:val="00ED6D5C"/>
    <w:rsid w:val="00ED6D64"/>
    <w:rsid w:val="00ED6DDA"/>
    <w:rsid w:val="00ED6E3F"/>
    <w:rsid w:val="00ED6E68"/>
    <w:rsid w:val="00ED6E83"/>
    <w:rsid w:val="00ED6EDA"/>
    <w:rsid w:val="00ED6F2A"/>
    <w:rsid w:val="00ED6F4A"/>
    <w:rsid w:val="00ED6F8F"/>
    <w:rsid w:val="00ED6FE8"/>
    <w:rsid w:val="00ED7038"/>
    <w:rsid w:val="00ED704B"/>
    <w:rsid w:val="00ED704C"/>
    <w:rsid w:val="00ED708E"/>
    <w:rsid w:val="00ED70D4"/>
    <w:rsid w:val="00ED713E"/>
    <w:rsid w:val="00ED71E0"/>
    <w:rsid w:val="00ED71FF"/>
    <w:rsid w:val="00ED7204"/>
    <w:rsid w:val="00ED7219"/>
    <w:rsid w:val="00ED721F"/>
    <w:rsid w:val="00ED724F"/>
    <w:rsid w:val="00ED72C4"/>
    <w:rsid w:val="00ED72EF"/>
    <w:rsid w:val="00ED7397"/>
    <w:rsid w:val="00ED73B0"/>
    <w:rsid w:val="00ED73F9"/>
    <w:rsid w:val="00ED7498"/>
    <w:rsid w:val="00ED74FE"/>
    <w:rsid w:val="00ED75C0"/>
    <w:rsid w:val="00ED75C8"/>
    <w:rsid w:val="00ED75DB"/>
    <w:rsid w:val="00ED761C"/>
    <w:rsid w:val="00ED7623"/>
    <w:rsid w:val="00ED7627"/>
    <w:rsid w:val="00ED765F"/>
    <w:rsid w:val="00ED76A0"/>
    <w:rsid w:val="00ED76A1"/>
    <w:rsid w:val="00ED76F7"/>
    <w:rsid w:val="00ED77B7"/>
    <w:rsid w:val="00ED77F6"/>
    <w:rsid w:val="00ED780D"/>
    <w:rsid w:val="00ED7835"/>
    <w:rsid w:val="00ED785A"/>
    <w:rsid w:val="00ED78F3"/>
    <w:rsid w:val="00ED7900"/>
    <w:rsid w:val="00ED799A"/>
    <w:rsid w:val="00ED79A1"/>
    <w:rsid w:val="00ED79A3"/>
    <w:rsid w:val="00ED79C5"/>
    <w:rsid w:val="00ED79CE"/>
    <w:rsid w:val="00ED7A2A"/>
    <w:rsid w:val="00ED7A2C"/>
    <w:rsid w:val="00ED7A45"/>
    <w:rsid w:val="00ED7A74"/>
    <w:rsid w:val="00ED7AF5"/>
    <w:rsid w:val="00ED7BC4"/>
    <w:rsid w:val="00ED7BEB"/>
    <w:rsid w:val="00ED7C45"/>
    <w:rsid w:val="00ED7C5C"/>
    <w:rsid w:val="00ED7C5D"/>
    <w:rsid w:val="00ED7CD4"/>
    <w:rsid w:val="00ED7CDB"/>
    <w:rsid w:val="00ED7D5D"/>
    <w:rsid w:val="00ED7DB5"/>
    <w:rsid w:val="00ED7DC8"/>
    <w:rsid w:val="00ED7DF1"/>
    <w:rsid w:val="00ED7E0D"/>
    <w:rsid w:val="00ED7E42"/>
    <w:rsid w:val="00ED7E75"/>
    <w:rsid w:val="00ED7E78"/>
    <w:rsid w:val="00ED7E7F"/>
    <w:rsid w:val="00ED7E91"/>
    <w:rsid w:val="00ED7EB3"/>
    <w:rsid w:val="00ED7ED7"/>
    <w:rsid w:val="00ED7F18"/>
    <w:rsid w:val="00ED7F36"/>
    <w:rsid w:val="00ED7FB9"/>
    <w:rsid w:val="00ED7FBC"/>
    <w:rsid w:val="00EE008A"/>
    <w:rsid w:val="00EE00C4"/>
    <w:rsid w:val="00EE00EF"/>
    <w:rsid w:val="00EE0154"/>
    <w:rsid w:val="00EE01B4"/>
    <w:rsid w:val="00EE01D2"/>
    <w:rsid w:val="00EE01DC"/>
    <w:rsid w:val="00EE01E9"/>
    <w:rsid w:val="00EE0202"/>
    <w:rsid w:val="00EE0315"/>
    <w:rsid w:val="00EE0332"/>
    <w:rsid w:val="00EE0356"/>
    <w:rsid w:val="00EE037A"/>
    <w:rsid w:val="00EE0387"/>
    <w:rsid w:val="00EE0392"/>
    <w:rsid w:val="00EE03A1"/>
    <w:rsid w:val="00EE03AA"/>
    <w:rsid w:val="00EE0496"/>
    <w:rsid w:val="00EE04A7"/>
    <w:rsid w:val="00EE067F"/>
    <w:rsid w:val="00EE06AC"/>
    <w:rsid w:val="00EE06E7"/>
    <w:rsid w:val="00EE0722"/>
    <w:rsid w:val="00EE072E"/>
    <w:rsid w:val="00EE074E"/>
    <w:rsid w:val="00EE076F"/>
    <w:rsid w:val="00EE07D7"/>
    <w:rsid w:val="00EE0854"/>
    <w:rsid w:val="00EE0899"/>
    <w:rsid w:val="00EE089C"/>
    <w:rsid w:val="00EE08F7"/>
    <w:rsid w:val="00EE0903"/>
    <w:rsid w:val="00EE098A"/>
    <w:rsid w:val="00EE098B"/>
    <w:rsid w:val="00EE0A15"/>
    <w:rsid w:val="00EE0A4E"/>
    <w:rsid w:val="00EE0AB7"/>
    <w:rsid w:val="00EE0B0F"/>
    <w:rsid w:val="00EE0B69"/>
    <w:rsid w:val="00EE0BEE"/>
    <w:rsid w:val="00EE0C89"/>
    <w:rsid w:val="00EE0CF1"/>
    <w:rsid w:val="00EE0D2F"/>
    <w:rsid w:val="00EE0D4D"/>
    <w:rsid w:val="00EE0D55"/>
    <w:rsid w:val="00EE0D7F"/>
    <w:rsid w:val="00EE0D85"/>
    <w:rsid w:val="00EE0D96"/>
    <w:rsid w:val="00EE0D9D"/>
    <w:rsid w:val="00EE0DB6"/>
    <w:rsid w:val="00EE0DC3"/>
    <w:rsid w:val="00EE0E4C"/>
    <w:rsid w:val="00EE0E8E"/>
    <w:rsid w:val="00EE0EB7"/>
    <w:rsid w:val="00EE0ED6"/>
    <w:rsid w:val="00EE0F7F"/>
    <w:rsid w:val="00EE0FA0"/>
    <w:rsid w:val="00EE0FBD"/>
    <w:rsid w:val="00EE0FC4"/>
    <w:rsid w:val="00EE0FCD"/>
    <w:rsid w:val="00EE0FE5"/>
    <w:rsid w:val="00EE0FF6"/>
    <w:rsid w:val="00EE1015"/>
    <w:rsid w:val="00EE10FD"/>
    <w:rsid w:val="00EE1123"/>
    <w:rsid w:val="00EE115C"/>
    <w:rsid w:val="00EE1175"/>
    <w:rsid w:val="00EE1188"/>
    <w:rsid w:val="00EE12B3"/>
    <w:rsid w:val="00EE12CE"/>
    <w:rsid w:val="00EE1367"/>
    <w:rsid w:val="00EE1368"/>
    <w:rsid w:val="00EE1386"/>
    <w:rsid w:val="00EE13B5"/>
    <w:rsid w:val="00EE13CA"/>
    <w:rsid w:val="00EE1447"/>
    <w:rsid w:val="00EE1472"/>
    <w:rsid w:val="00EE14A6"/>
    <w:rsid w:val="00EE14B2"/>
    <w:rsid w:val="00EE14B8"/>
    <w:rsid w:val="00EE14DA"/>
    <w:rsid w:val="00EE14EC"/>
    <w:rsid w:val="00EE1585"/>
    <w:rsid w:val="00EE158F"/>
    <w:rsid w:val="00EE15E6"/>
    <w:rsid w:val="00EE1631"/>
    <w:rsid w:val="00EE16C7"/>
    <w:rsid w:val="00EE1747"/>
    <w:rsid w:val="00EE175A"/>
    <w:rsid w:val="00EE175E"/>
    <w:rsid w:val="00EE17ED"/>
    <w:rsid w:val="00EE180E"/>
    <w:rsid w:val="00EE1893"/>
    <w:rsid w:val="00EE18C1"/>
    <w:rsid w:val="00EE18D8"/>
    <w:rsid w:val="00EE18F9"/>
    <w:rsid w:val="00EE19B7"/>
    <w:rsid w:val="00EE19DD"/>
    <w:rsid w:val="00EE1A32"/>
    <w:rsid w:val="00EE1A3C"/>
    <w:rsid w:val="00EE1A69"/>
    <w:rsid w:val="00EE1ACB"/>
    <w:rsid w:val="00EE1AD4"/>
    <w:rsid w:val="00EE1AF6"/>
    <w:rsid w:val="00EE1B1C"/>
    <w:rsid w:val="00EE1B63"/>
    <w:rsid w:val="00EE1B6C"/>
    <w:rsid w:val="00EE1BF1"/>
    <w:rsid w:val="00EE1C82"/>
    <w:rsid w:val="00EE1C88"/>
    <w:rsid w:val="00EE1CE0"/>
    <w:rsid w:val="00EE1D60"/>
    <w:rsid w:val="00EE1E05"/>
    <w:rsid w:val="00EE1E14"/>
    <w:rsid w:val="00EE1E28"/>
    <w:rsid w:val="00EE1E9D"/>
    <w:rsid w:val="00EE1E9F"/>
    <w:rsid w:val="00EE1EEA"/>
    <w:rsid w:val="00EE1F18"/>
    <w:rsid w:val="00EE1F22"/>
    <w:rsid w:val="00EE1F8B"/>
    <w:rsid w:val="00EE203D"/>
    <w:rsid w:val="00EE2042"/>
    <w:rsid w:val="00EE2084"/>
    <w:rsid w:val="00EE208F"/>
    <w:rsid w:val="00EE20C8"/>
    <w:rsid w:val="00EE20FD"/>
    <w:rsid w:val="00EE21B5"/>
    <w:rsid w:val="00EE21DD"/>
    <w:rsid w:val="00EE2256"/>
    <w:rsid w:val="00EE22D9"/>
    <w:rsid w:val="00EE22F0"/>
    <w:rsid w:val="00EE22F2"/>
    <w:rsid w:val="00EE2332"/>
    <w:rsid w:val="00EE2376"/>
    <w:rsid w:val="00EE238B"/>
    <w:rsid w:val="00EE2398"/>
    <w:rsid w:val="00EE23CE"/>
    <w:rsid w:val="00EE240D"/>
    <w:rsid w:val="00EE2432"/>
    <w:rsid w:val="00EE2478"/>
    <w:rsid w:val="00EE2484"/>
    <w:rsid w:val="00EE2489"/>
    <w:rsid w:val="00EE24B1"/>
    <w:rsid w:val="00EE2502"/>
    <w:rsid w:val="00EE254E"/>
    <w:rsid w:val="00EE2588"/>
    <w:rsid w:val="00EE25B0"/>
    <w:rsid w:val="00EE25CA"/>
    <w:rsid w:val="00EE25FD"/>
    <w:rsid w:val="00EE260F"/>
    <w:rsid w:val="00EE2628"/>
    <w:rsid w:val="00EE2641"/>
    <w:rsid w:val="00EE2686"/>
    <w:rsid w:val="00EE26CB"/>
    <w:rsid w:val="00EE26CD"/>
    <w:rsid w:val="00EE26CF"/>
    <w:rsid w:val="00EE274C"/>
    <w:rsid w:val="00EE276D"/>
    <w:rsid w:val="00EE2780"/>
    <w:rsid w:val="00EE27AF"/>
    <w:rsid w:val="00EE27F3"/>
    <w:rsid w:val="00EE280F"/>
    <w:rsid w:val="00EE281F"/>
    <w:rsid w:val="00EE282E"/>
    <w:rsid w:val="00EE2850"/>
    <w:rsid w:val="00EE2853"/>
    <w:rsid w:val="00EE2865"/>
    <w:rsid w:val="00EE286C"/>
    <w:rsid w:val="00EE2875"/>
    <w:rsid w:val="00EE28A8"/>
    <w:rsid w:val="00EE290E"/>
    <w:rsid w:val="00EE292B"/>
    <w:rsid w:val="00EE293C"/>
    <w:rsid w:val="00EE295A"/>
    <w:rsid w:val="00EE295E"/>
    <w:rsid w:val="00EE2976"/>
    <w:rsid w:val="00EE29AD"/>
    <w:rsid w:val="00EE29DB"/>
    <w:rsid w:val="00EE29F6"/>
    <w:rsid w:val="00EE2A09"/>
    <w:rsid w:val="00EE2A44"/>
    <w:rsid w:val="00EE2A46"/>
    <w:rsid w:val="00EE2A54"/>
    <w:rsid w:val="00EE2A56"/>
    <w:rsid w:val="00EE2AC4"/>
    <w:rsid w:val="00EE2ADD"/>
    <w:rsid w:val="00EE2AF5"/>
    <w:rsid w:val="00EE2B0B"/>
    <w:rsid w:val="00EE2B15"/>
    <w:rsid w:val="00EE2B38"/>
    <w:rsid w:val="00EE2B69"/>
    <w:rsid w:val="00EE2BAF"/>
    <w:rsid w:val="00EE2BEA"/>
    <w:rsid w:val="00EE2C1F"/>
    <w:rsid w:val="00EE2CAC"/>
    <w:rsid w:val="00EE2D8A"/>
    <w:rsid w:val="00EE2DE3"/>
    <w:rsid w:val="00EE2DEC"/>
    <w:rsid w:val="00EE2EA4"/>
    <w:rsid w:val="00EE2F00"/>
    <w:rsid w:val="00EE2F63"/>
    <w:rsid w:val="00EE2F67"/>
    <w:rsid w:val="00EE2FA8"/>
    <w:rsid w:val="00EE2FA9"/>
    <w:rsid w:val="00EE2FED"/>
    <w:rsid w:val="00EE2FF3"/>
    <w:rsid w:val="00EE3020"/>
    <w:rsid w:val="00EE3091"/>
    <w:rsid w:val="00EE30C7"/>
    <w:rsid w:val="00EE30CC"/>
    <w:rsid w:val="00EE30CD"/>
    <w:rsid w:val="00EE3178"/>
    <w:rsid w:val="00EE3195"/>
    <w:rsid w:val="00EE319F"/>
    <w:rsid w:val="00EE31C0"/>
    <w:rsid w:val="00EE31C7"/>
    <w:rsid w:val="00EE31F9"/>
    <w:rsid w:val="00EE3201"/>
    <w:rsid w:val="00EE320A"/>
    <w:rsid w:val="00EE3215"/>
    <w:rsid w:val="00EE328D"/>
    <w:rsid w:val="00EE3299"/>
    <w:rsid w:val="00EE32A1"/>
    <w:rsid w:val="00EE32E6"/>
    <w:rsid w:val="00EE3309"/>
    <w:rsid w:val="00EE330D"/>
    <w:rsid w:val="00EE3328"/>
    <w:rsid w:val="00EE3333"/>
    <w:rsid w:val="00EE334D"/>
    <w:rsid w:val="00EE33EC"/>
    <w:rsid w:val="00EE3400"/>
    <w:rsid w:val="00EE3437"/>
    <w:rsid w:val="00EE346E"/>
    <w:rsid w:val="00EE347B"/>
    <w:rsid w:val="00EE3488"/>
    <w:rsid w:val="00EE34AE"/>
    <w:rsid w:val="00EE34B8"/>
    <w:rsid w:val="00EE34BB"/>
    <w:rsid w:val="00EE34FA"/>
    <w:rsid w:val="00EE3515"/>
    <w:rsid w:val="00EE3545"/>
    <w:rsid w:val="00EE3557"/>
    <w:rsid w:val="00EE357C"/>
    <w:rsid w:val="00EE357F"/>
    <w:rsid w:val="00EE3594"/>
    <w:rsid w:val="00EE35F9"/>
    <w:rsid w:val="00EE361C"/>
    <w:rsid w:val="00EE3654"/>
    <w:rsid w:val="00EE3658"/>
    <w:rsid w:val="00EE36A1"/>
    <w:rsid w:val="00EE36B2"/>
    <w:rsid w:val="00EE36D3"/>
    <w:rsid w:val="00EE3739"/>
    <w:rsid w:val="00EE3810"/>
    <w:rsid w:val="00EE389E"/>
    <w:rsid w:val="00EE391E"/>
    <w:rsid w:val="00EE395D"/>
    <w:rsid w:val="00EE397A"/>
    <w:rsid w:val="00EE39E7"/>
    <w:rsid w:val="00EE3A01"/>
    <w:rsid w:val="00EE3A9E"/>
    <w:rsid w:val="00EE3B38"/>
    <w:rsid w:val="00EE3BA5"/>
    <w:rsid w:val="00EE3C17"/>
    <w:rsid w:val="00EE3CBC"/>
    <w:rsid w:val="00EE3CEC"/>
    <w:rsid w:val="00EE3D02"/>
    <w:rsid w:val="00EE3D86"/>
    <w:rsid w:val="00EE3E2E"/>
    <w:rsid w:val="00EE3E30"/>
    <w:rsid w:val="00EE3E72"/>
    <w:rsid w:val="00EE3E9C"/>
    <w:rsid w:val="00EE3EA6"/>
    <w:rsid w:val="00EE3EAE"/>
    <w:rsid w:val="00EE3F91"/>
    <w:rsid w:val="00EE3FC6"/>
    <w:rsid w:val="00EE3FCE"/>
    <w:rsid w:val="00EE3FF9"/>
    <w:rsid w:val="00EE3FFA"/>
    <w:rsid w:val="00EE4013"/>
    <w:rsid w:val="00EE4079"/>
    <w:rsid w:val="00EE40EB"/>
    <w:rsid w:val="00EE40FD"/>
    <w:rsid w:val="00EE411D"/>
    <w:rsid w:val="00EE4188"/>
    <w:rsid w:val="00EE41A1"/>
    <w:rsid w:val="00EE4215"/>
    <w:rsid w:val="00EE4242"/>
    <w:rsid w:val="00EE424F"/>
    <w:rsid w:val="00EE4252"/>
    <w:rsid w:val="00EE42A9"/>
    <w:rsid w:val="00EE42F1"/>
    <w:rsid w:val="00EE431A"/>
    <w:rsid w:val="00EE432F"/>
    <w:rsid w:val="00EE4359"/>
    <w:rsid w:val="00EE436D"/>
    <w:rsid w:val="00EE43CB"/>
    <w:rsid w:val="00EE4459"/>
    <w:rsid w:val="00EE4493"/>
    <w:rsid w:val="00EE449C"/>
    <w:rsid w:val="00EE44B6"/>
    <w:rsid w:val="00EE44C8"/>
    <w:rsid w:val="00EE44FB"/>
    <w:rsid w:val="00EE4506"/>
    <w:rsid w:val="00EE459F"/>
    <w:rsid w:val="00EE4610"/>
    <w:rsid w:val="00EE4622"/>
    <w:rsid w:val="00EE4646"/>
    <w:rsid w:val="00EE4654"/>
    <w:rsid w:val="00EE4675"/>
    <w:rsid w:val="00EE46B6"/>
    <w:rsid w:val="00EE472A"/>
    <w:rsid w:val="00EE473E"/>
    <w:rsid w:val="00EE475F"/>
    <w:rsid w:val="00EE47B2"/>
    <w:rsid w:val="00EE47BD"/>
    <w:rsid w:val="00EE47DD"/>
    <w:rsid w:val="00EE4837"/>
    <w:rsid w:val="00EE4864"/>
    <w:rsid w:val="00EE488F"/>
    <w:rsid w:val="00EE4897"/>
    <w:rsid w:val="00EE4949"/>
    <w:rsid w:val="00EE497C"/>
    <w:rsid w:val="00EE49D1"/>
    <w:rsid w:val="00EE4A0A"/>
    <w:rsid w:val="00EE4A1F"/>
    <w:rsid w:val="00EE4A36"/>
    <w:rsid w:val="00EE4A51"/>
    <w:rsid w:val="00EE4A95"/>
    <w:rsid w:val="00EE4B79"/>
    <w:rsid w:val="00EE4B8E"/>
    <w:rsid w:val="00EE4BA7"/>
    <w:rsid w:val="00EE4C76"/>
    <w:rsid w:val="00EE4C9F"/>
    <w:rsid w:val="00EE4CCB"/>
    <w:rsid w:val="00EE4D01"/>
    <w:rsid w:val="00EE4D20"/>
    <w:rsid w:val="00EE4D21"/>
    <w:rsid w:val="00EE4E35"/>
    <w:rsid w:val="00EE4E3D"/>
    <w:rsid w:val="00EE4E54"/>
    <w:rsid w:val="00EE4E56"/>
    <w:rsid w:val="00EE4E6F"/>
    <w:rsid w:val="00EE4EAC"/>
    <w:rsid w:val="00EE4EDA"/>
    <w:rsid w:val="00EE4EDC"/>
    <w:rsid w:val="00EE4EE6"/>
    <w:rsid w:val="00EE4EF8"/>
    <w:rsid w:val="00EE4F45"/>
    <w:rsid w:val="00EE4F83"/>
    <w:rsid w:val="00EE4F99"/>
    <w:rsid w:val="00EE502C"/>
    <w:rsid w:val="00EE504C"/>
    <w:rsid w:val="00EE5056"/>
    <w:rsid w:val="00EE50DA"/>
    <w:rsid w:val="00EE50E8"/>
    <w:rsid w:val="00EE50FD"/>
    <w:rsid w:val="00EE5135"/>
    <w:rsid w:val="00EE5165"/>
    <w:rsid w:val="00EE51AA"/>
    <w:rsid w:val="00EE51C5"/>
    <w:rsid w:val="00EE520A"/>
    <w:rsid w:val="00EE5233"/>
    <w:rsid w:val="00EE5290"/>
    <w:rsid w:val="00EE52B6"/>
    <w:rsid w:val="00EE530E"/>
    <w:rsid w:val="00EE5314"/>
    <w:rsid w:val="00EE537E"/>
    <w:rsid w:val="00EE53E1"/>
    <w:rsid w:val="00EE53F4"/>
    <w:rsid w:val="00EE5480"/>
    <w:rsid w:val="00EE5482"/>
    <w:rsid w:val="00EE54D6"/>
    <w:rsid w:val="00EE555E"/>
    <w:rsid w:val="00EE55B7"/>
    <w:rsid w:val="00EE55BF"/>
    <w:rsid w:val="00EE55EC"/>
    <w:rsid w:val="00EE55F4"/>
    <w:rsid w:val="00EE5603"/>
    <w:rsid w:val="00EE5628"/>
    <w:rsid w:val="00EE562C"/>
    <w:rsid w:val="00EE565D"/>
    <w:rsid w:val="00EE5682"/>
    <w:rsid w:val="00EE5687"/>
    <w:rsid w:val="00EE569E"/>
    <w:rsid w:val="00EE56A7"/>
    <w:rsid w:val="00EE56B7"/>
    <w:rsid w:val="00EE56BC"/>
    <w:rsid w:val="00EE56DD"/>
    <w:rsid w:val="00EE5706"/>
    <w:rsid w:val="00EE5708"/>
    <w:rsid w:val="00EE5732"/>
    <w:rsid w:val="00EE5739"/>
    <w:rsid w:val="00EE5767"/>
    <w:rsid w:val="00EE576A"/>
    <w:rsid w:val="00EE5771"/>
    <w:rsid w:val="00EE578D"/>
    <w:rsid w:val="00EE57A6"/>
    <w:rsid w:val="00EE57E7"/>
    <w:rsid w:val="00EE5806"/>
    <w:rsid w:val="00EE588A"/>
    <w:rsid w:val="00EE5890"/>
    <w:rsid w:val="00EE58E9"/>
    <w:rsid w:val="00EE58EE"/>
    <w:rsid w:val="00EE5901"/>
    <w:rsid w:val="00EE59D7"/>
    <w:rsid w:val="00EE5A10"/>
    <w:rsid w:val="00EE5A25"/>
    <w:rsid w:val="00EE5A2E"/>
    <w:rsid w:val="00EE5A4D"/>
    <w:rsid w:val="00EE5A60"/>
    <w:rsid w:val="00EE5A8F"/>
    <w:rsid w:val="00EE5ACB"/>
    <w:rsid w:val="00EE5B12"/>
    <w:rsid w:val="00EE5B36"/>
    <w:rsid w:val="00EE5B5C"/>
    <w:rsid w:val="00EE5BF7"/>
    <w:rsid w:val="00EE5C0A"/>
    <w:rsid w:val="00EE5C2C"/>
    <w:rsid w:val="00EE5C2D"/>
    <w:rsid w:val="00EE5C74"/>
    <w:rsid w:val="00EE5C9D"/>
    <w:rsid w:val="00EE5CBF"/>
    <w:rsid w:val="00EE5CE3"/>
    <w:rsid w:val="00EE5D1D"/>
    <w:rsid w:val="00EE5D41"/>
    <w:rsid w:val="00EE5D56"/>
    <w:rsid w:val="00EE5DEA"/>
    <w:rsid w:val="00EE5DF6"/>
    <w:rsid w:val="00EE5DF7"/>
    <w:rsid w:val="00EE5E0C"/>
    <w:rsid w:val="00EE5E2B"/>
    <w:rsid w:val="00EE5E34"/>
    <w:rsid w:val="00EE5E43"/>
    <w:rsid w:val="00EE5E7D"/>
    <w:rsid w:val="00EE5EDE"/>
    <w:rsid w:val="00EE5F00"/>
    <w:rsid w:val="00EE5FA2"/>
    <w:rsid w:val="00EE5FCF"/>
    <w:rsid w:val="00EE5FEE"/>
    <w:rsid w:val="00EE5FF7"/>
    <w:rsid w:val="00EE6007"/>
    <w:rsid w:val="00EE601C"/>
    <w:rsid w:val="00EE6082"/>
    <w:rsid w:val="00EE6087"/>
    <w:rsid w:val="00EE6118"/>
    <w:rsid w:val="00EE615D"/>
    <w:rsid w:val="00EE615F"/>
    <w:rsid w:val="00EE6161"/>
    <w:rsid w:val="00EE6166"/>
    <w:rsid w:val="00EE618B"/>
    <w:rsid w:val="00EE618C"/>
    <w:rsid w:val="00EE61FB"/>
    <w:rsid w:val="00EE629D"/>
    <w:rsid w:val="00EE6344"/>
    <w:rsid w:val="00EE63C6"/>
    <w:rsid w:val="00EE63E7"/>
    <w:rsid w:val="00EE642F"/>
    <w:rsid w:val="00EE6430"/>
    <w:rsid w:val="00EE644C"/>
    <w:rsid w:val="00EE6490"/>
    <w:rsid w:val="00EE64D2"/>
    <w:rsid w:val="00EE6524"/>
    <w:rsid w:val="00EE6573"/>
    <w:rsid w:val="00EE657A"/>
    <w:rsid w:val="00EE65A2"/>
    <w:rsid w:val="00EE65BB"/>
    <w:rsid w:val="00EE65CB"/>
    <w:rsid w:val="00EE65E3"/>
    <w:rsid w:val="00EE660B"/>
    <w:rsid w:val="00EE664F"/>
    <w:rsid w:val="00EE66EB"/>
    <w:rsid w:val="00EE672C"/>
    <w:rsid w:val="00EE673A"/>
    <w:rsid w:val="00EE673C"/>
    <w:rsid w:val="00EE676D"/>
    <w:rsid w:val="00EE6770"/>
    <w:rsid w:val="00EE6792"/>
    <w:rsid w:val="00EE679B"/>
    <w:rsid w:val="00EE67E9"/>
    <w:rsid w:val="00EE6865"/>
    <w:rsid w:val="00EE6874"/>
    <w:rsid w:val="00EE689F"/>
    <w:rsid w:val="00EE6924"/>
    <w:rsid w:val="00EE6969"/>
    <w:rsid w:val="00EE6976"/>
    <w:rsid w:val="00EE69A6"/>
    <w:rsid w:val="00EE69BB"/>
    <w:rsid w:val="00EE6A61"/>
    <w:rsid w:val="00EE6A73"/>
    <w:rsid w:val="00EE6AB7"/>
    <w:rsid w:val="00EE6B22"/>
    <w:rsid w:val="00EE6B5D"/>
    <w:rsid w:val="00EE6B89"/>
    <w:rsid w:val="00EE6B95"/>
    <w:rsid w:val="00EE6BD0"/>
    <w:rsid w:val="00EE6BE9"/>
    <w:rsid w:val="00EE6BFD"/>
    <w:rsid w:val="00EE6C3F"/>
    <w:rsid w:val="00EE6C44"/>
    <w:rsid w:val="00EE6C62"/>
    <w:rsid w:val="00EE6C72"/>
    <w:rsid w:val="00EE6C8F"/>
    <w:rsid w:val="00EE6CCC"/>
    <w:rsid w:val="00EE6CFE"/>
    <w:rsid w:val="00EE6D45"/>
    <w:rsid w:val="00EE6D95"/>
    <w:rsid w:val="00EE6DA1"/>
    <w:rsid w:val="00EE6DA7"/>
    <w:rsid w:val="00EE6E2D"/>
    <w:rsid w:val="00EE6EAC"/>
    <w:rsid w:val="00EE6ECD"/>
    <w:rsid w:val="00EE6EEB"/>
    <w:rsid w:val="00EE6F5A"/>
    <w:rsid w:val="00EE6F6B"/>
    <w:rsid w:val="00EE6FA4"/>
    <w:rsid w:val="00EE7054"/>
    <w:rsid w:val="00EE706A"/>
    <w:rsid w:val="00EE70D6"/>
    <w:rsid w:val="00EE713A"/>
    <w:rsid w:val="00EE713F"/>
    <w:rsid w:val="00EE7159"/>
    <w:rsid w:val="00EE71B7"/>
    <w:rsid w:val="00EE71BF"/>
    <w:rsid w:val="00EE71D0"/>
    <w:rsid w:val="00EE71F2"/>
    <w:rsid w:val="00EE7207"/>
    <w:rsid w:val="00EE7209"/>
    <w:rsid w:val="00EE72A5"/>
    <w:rsid w:val="00EE72BE"/>
    <w:rsid w:val="00EE72D0"/>
    <w:rsid w:val="00EE7315"/>
    <w:rsid w:val="00EE732B"/>
    <w:rsid w:val="00EE7333"/>
    <w:rsid w:val="00EE7351"/>
    <w:rsid w:val="00EE7371"/>
    <w:rsid w:val="00EE73D8"/>
    <w:rsid w:val="00EE73DC"/>
    <w:rsid w:val="00EE7448"/>
    <w:rsid w:val="00EE744A"/>
    <w:rsid w:val="00EE7467"/>
    <w:rsid w:val="00EE7509"/>
    <w:rsid w:val="00EE7560"/>
    <w:rsid w:val="00EE7581"/>
    <w:rsid w:val="00EE759A"/>
    <w:rsid w:val="00EE75F3"/>
    <w:rsid w:val="00EE7610"/>
    <w:rsid w:val="00EE768E"/>
    <w:rsid w:val="00EE76AB"/>
    <w:rsid w:val="00EE76C1"/>
    <w:rsid w:val="00EE76D5"/>
    <w:rsid w:val="00EE7703"/>
    <w:rsid w:val="00EE7744"/>
    <w:rsid w:val="00EE776D"/>
    <w:rsid w:val="00EE7784"/>
    <w:rsid w:val="00EE779C"/>
    <w:rsid w:val="00EE794A"/>
    <w:rsid w:val="00EE79CB"/>
    <w:rsid w:val="00EE7A0F"/>
    <w:rsid w:val="00EE7A2A"/>
    <w:rsid w:val="00EE7A43"/>
    <w:rsid w:val="00EE7A48"/>
    <w:rsid w:val="00EE7A75"/>
    <w:rsid w:val="00EE7A77"/>
    <w:rsid w:val="00EE7A7E"/>
    <w:rsid w:val="00EE7AC7"/>
    <w:rsid w:val="00EE7BCE"/>
    <w:rsid w:val="00EE7BF0"/>
    <w:rsid w:val="00EE7C42"/>
    <w:rsid w:val="00EE7C8B"/>
    <w:rsid w:val="00EE7CC5"/>
    <w:rsid w:val="00EE7CC6"/>
    <w:rsid w:val="00EE7D01"/>
    <w:rsid w:val="00EE7D41"/>
    <w:rsid w:val="00EE7D78"/>
    <w:rsid w:val="00EE7DB3"/>
    <w:rsid w:val="00EE7E50"/>
    <w:rsid w:val="00EE7EBA"/>
    <w:rsid w:val="00EE7F91"/>
    <w:rsid w:val="00EE7FB9"/>
    <w:rsid w:val="00EF0000"/>
    <w:rsid w:val="00EF006F"/>
    <w:rsid w:val="00EF0083"/>
    <w:rsid w:val="00EF00DC"/>
    <w:rsid w:val="00EF0103"/>
    <w:rsid w:val="00EF0161"/>
    <w:rsid w:val="00EF0179"/>
    <w:rsid w:val="00EF0185"/>
    <w:rsid w:val="00EF0192"/>
    <w:rsid w:val="00EF01AE"/>
    <w:rsid w:val="00EF01AF"/>
    <w:rsid w:val="00EF01BE"/>
    <w:rsid w:val="00EF0214"/>
    <w:rsid w:val="00EF0275"/>
    <w:rsid w:val="00EF0283"/>
    <w:rsid w:val="00EF028C"/>
    <w:rsid w:val="00EF0335"/>
    <w:rsid w:val="00EF0375"/>
    <w:rsid w:val="00EF0376"/>
    <w:rsid w:val="00EF03BB"/>
    <w:rsid w:val="00EF03D3"/>
    <w:rsid w:val="00EF03D4"/>
    <w:rsid w:val="00EF03E1"/>
    <w:rsid w:val="00EF042A"/>
    <w:rsid w:val="00EF0534"/>
    <w:rsid w:val="00EF05E6"/>
    <w:rsid w:val="00EF05E9"/>
    <w:rsid w:val="00EF0632"/>
    <w:rsid w:val="00EF0642"/>
    <w:rsid w:val="00EF06A5"/>
    <w:rsid w:val="00EF072F"/>
    <w:rsid w:val="00EF075F"/>
    <w:rsid w:val="00EF0780"/>
    <w:rsid w:val="00EF07C7"/>
    <w:rsid w:val="00EF07E2"/>
    <w:rsid w:val="00EF0807"/>
    <w:rsid w:val="00EF0832"/>
    <w:rsid w:val="00EF085D"/>
    <w:rsid w:val="00EF0892"/>
    <w:rsid w:val="00EF08DE"/>
    <w:rsid w:val="00EF08E7"/>
    <w:rsid w:val="00EF094E"/>
    <w:rsid w:val="00EF098D"/>
    <w:rsid w:val="00EF0A38"/>
    <w:rsid w:val="00EF0A51"/>
    <w:rsid w:val="00EF0A82"/>
    <w:rsid w:val="00EF0A8B"/>
    <w:rsid w:val="00EF0A8D"/>
    <w:rsid w:val="00EF0AAF"/>
    <w:rsid w:val="00EF0AD1"/>
    <w:rsid w:val="00EF0B50"/>
    <w:rsid w:val="00EF0BCB"/>
    <w:rsid w:val="00EF0BD8"/>
    <w:rsid w:val="00EF0BE0"/>
    <w:rsid w:val="00EF0C05"/>
    <w:rsid w:val="00EF0C45"/>
    <w:rsid w:val="00EF0D82"/>
    <w:rsid w:val="00EF0D8F"/>
    <w:rsid w:val="00EF0DC3"/>
    <w:rsid w:val="00EF0E42"/>
    <w:rsid w:val="00EF0E6F"/>
    <w:rsid w:val="00EF0F1E"/>
    <w:rsid w:val="00EF0F48"/>
    <w:rsid w:val="00EF0F87"/>
    <w:rsid w:val="00EF0FB0"/>
    <w:rsid w:val="00EF100C"/>
    <w:rsid w:val="00EF1030"/>
    <w:rsid w:val="00EF1036"/>
    <w:rsid w:val="00EF106F"/>
    <w:rsid w:val="00EF1189"/>
    <w:rsid w:val="00EF11DB"/>
    <w:rsid w:val="00EF11FB"/>
    <w:rsid w:val="00EF1242"/>
    <w:rsid w:val="00EF124A"/>
    <w:rsid w:val="00EF125E"/>
    <w:rsid w:val="00EF1295"/>
    <w:rsid w:val="00EF12C9"/>
    <w:rsid w:val="00EF12F8"/>
    <w:rsid w:val="00EF1347"/>
    <w:rsid w:val="00EF134C"/>
    <w:rsid w:val="00EF134E"/>
    <w:rsid w:val="00EF136E"/>
    <w:rsid w:val="00EF13D8"/>
    <w:rsid w:val="00EF13F1"/>
    <w:rsid w:val="00EF1407"/>
    <w:rsid w:val="00EF145E"/>
    <w:rsid w:val="00EF1481"/>
    <w:rsid w:val="00EF1483"/>
    <w:rsid w:val="00EF14C0"/>
    <w:rsid w:val="00EF14D5"/>
    <w:rsid w:val="00EF14E4"/>
    <w:rsid w:val="00EF155A"/>
    <w:rsid w:val="00EF1563"/>
    <w:rsid w:val="00EF1578"/>
    <w:rsid w:val="00EF15DF"/>
    <w:rsid w:val="00EF162B"/>
    <w:rsid w:val="00EF162F"/>
    <w:rsid w:val="00EF165B"/>
    <w:rsid w:val="00EF165E"/>
    <w:rsid w:val="00EF166B"/>
    <w:rsid w:val="00EF172C"/>
    <w:rsid w:val="00EF1734"/>
    <w:rsid w:val="00EF174D"/>
    <w:rsid w:val="00EF1795"/>
    <w:rsid w:val="00EF17DD"/>
    <w:rsid w:val="00EF17ED"/>
    <w:rsid w:val="00EF17FB"/>
    <w:rsid w:val="00EF1804"/>
    <w:rsid w:val="00EF18AF"/>
    <w:rsid w:val="00EF18C5"/>
    <w:rsid w:val="00EF18E7"/>
    <w:rsid w:val="00EF1903"/>
    <w:rsid w:val="00EF1911"/>
    <w:rsid w:val="00EF195D"/>
    <w:rsid w:val="00EF1967"/>
    <w:rsid w:val="00EF1977"/>
    <w:rsid w:val="00EF197C"/>
    <w:rsid w:val="00EF19C1"/>
    <w:rsid w:val="00EF19EC"/>
    <w:rsid w:val="00EF19EE"/>
    <w:rsid w:val="00EF1A35"/>
    <w:rsid w:val="00EF1A84"/>
    <w:rsid w:val="00EF1A8E"/>
    <w:rsid w:val="00EF1AAE"/>
    <w:rsid w:val="00EF1AEA"/>
    <w:rsid w:val="00EF1B79"/>
    <w:rsid w:val="00EF1C91"/>
    <w:rsid w:val="00EF1C97"/>
    <w:rsid w:val="00EF1CB1"/>
    <w:rsid w:val="00EF1CC1"/>
    <w:rsid w:val="00EF1CD6"/>
    <w:rsid w:val="00EF1CFC"/>
    <w:rsid w:val="00EF1D02"/>
    <w:rsid w:val="00EF1D6A"/>
    <w:rsid w:val="00EF1D7C"/>
    <w:rsid w:val="00EF1D9B"/>
    <w:rsid w:val="00EF1DA9"/>
    <w:rsid w:val="00EF1E3F"/>
    <w:rsid w:val="00EF1E5E"/>
    <w:rsid w:val="00EF1E91"/>
    <w:rsid w:val="00EF1ED0"/>
    <w:rsid w:val="00EF1EDC"/>
    <w:rsid w:val="00EF1F59"/>
    <w:rsid w:val="00EF1F5D"/>
    <w:rsid w:val="00EF1F7F"/>
    <w:rsid w:val="00EF1F80"/>
    <w:rsid w:val="00EF1FFC"/>
    <w:rsid w:val="00EF201E"/>
    <w:rsid w:val="00EF209A"/>
    <w:rsid w:val="00EF20D6"/>
    <w:rsid w:val="00EF2120"/>
    <w:rsid w:val="00EF2139"/>
    <w:rsid w:val="00EF216E"/>
    <w:rsid w:val="00EF217F"/>
    <w:rsid w:val="00EF2180"/>
    <w:rsid w:val="00EF2191"/>
    <w:rsid w:val="00EF21E9"/>
    <w:rsid w:val="00EF2201"/>
    <w:rsid w:val="00EF22B8"/>
    <w:rsid w:val="00EF22BF"/>
    <w:rsid w:val="00EF23A0"/>
    <w:rsid w:val="00EF2456"/>
    <w:rsid w:val="00EF245B"/>
    <w:rsid w:val="00EF246C"/>
    <w:rsid w:val="00EF248C"/>
    <w:rsid w:val="00EF248D"/>
    <w:rsid w:val="00EF249F"/>
    <w:rsid w:val="00EF24CE"/>
    <w:rsid w:val="00EF24E1"/>
    <w:rsid w:val="00EF254F"/>
    <w:rsid w:val="00EF257A"/>
    <w:rsid w:val="00EF25AB"/>
    <w:rsid w:val="00EF25E3"/>
    <w:rsid w:val="00EF25E6"/>
    <w:rsid w:val="00EF2603"/>
    <w:rsid w:val="00EF261E"/>
    <w:rsid w:val="00EF267B"/>
    <w:rsid w:val="00EF267D"/>
    <w:rsid w:val="00EF26CE"/>
    <w:rsid w:val="00EF26F1"/>
    <w:rsid w:val="00EF270A"/>
    <w:rsid w:val="00EF2720"/>
    <w:rsid w:val="00EF2735"/>
    <w:rsid w:val="00EF279B"/>
    <w:rsid w:val="00EF27CC"/>
    <w:rsid w:val="00EF27DE"/>
    <w:rsid w:val="00EF2807"/>
    <w:rsid w:val="00EF2814"/>
    <w:rsid w:val="00EF2888"/>
    <w:rsid w:val="00EF292F"/>
    <w:rsid w:val="00EF294E"/>
    <w:rsid w:val="00EF295E"/>
    <w:rsid w:val="00EF2966"/>
    <w:rsid w:val="00EF2988"/>
    <w:rsid w:val="00EF29A6"/>
    <w:rsid w:val="00EF29C9"/>
    <w:rsid w:val="00EF2A08"/>
    <w:rsid w:val="00EF2A25"/>
    <w:rsid w:val="00EF2A34"/>
    <w:rsid w:val="00EF2A41"/>
    <w:rsid w:val="00EF2A49"/>
    <w:rsid w:val="00EF2AC3"/>
    <w:rsid w:val="00EF2ACB"/>
    <w:rsid w:val="00EF2B19"/>
    <w:rsid w:val="00EF2B41"/>
    <w:rsid w:val="00EF2B71"/>
    <w:rsid w:val="00EF2B86"/>
    <w:rsid w:val="00EF2BA0"/>
    <w:rsid w:val="00EF2BBB"/>
    <w:rsid w:val="00EF2BD5"/>
    <w:rsid w:val="00EF2C16"/>
    <w:rsid w:val="00EF2C2D"/>
    <w:rsid w:val="00EF2C37"/>
    <w:rsid w:val="00EF2CFA"/>
    <w:rsid w:val="00EF2D14"/>
    <w:rsid w:val="00EF2D63"/>
    <w:rsid w:val="00EF2D83"/>
    <w:rsid w:val="00EF2DD4"/>
    <w:rsid w:val="00EF2DD9"/>
    <w:rsid w:val="00EF2DE5"/>
    <w:rsid w:val="00EF2E58"/>
    <w:rsid w:val="00EF2E71"/>
    <w:rsid w:val="00EF2E73"/>
    <w:rsid w:val="00EF2E8F"/>
    <w:rsid w:val="00EF2F8F"/>
    <w:rsid w:val="00EF3001"/>
    <w:rsid w:val="00EF300A"/>
    <w:rsid w:val="00EF300F"/>
    <w:rsid w:val="00EF308D"/>
    <w:rsid w:val="00EF30EB"/>
    <w:rsid w:val="00EF3103"/>
    <w:rsid w:val="00EF313C"/>
    <w:rsid w:val="00EF3168"/>
    <w:rsid w:val="00EF320A"/>
    <w:rsid w:val="00EF3233"/>
    <w:rsid w:val="00EF32D8"/>
    <w:rsid w:val="00EF32E9"/>
    <w:rsid w:val="00EF3367"/>
    <w:rsid w:val="00EF3397"/>
    <w:rsid w:val="00EF33BE"/>
    <w:rsid w:val="00EF33D2"/>
    <w:rsid w:val="00EF33E7"/>
    <w:rsid w:val="00EF3403"/>
    <w:rsid w:val="00EF3435"/>
    <w:rsid w:val="00EF3452"/>
    <w:rsid w:val="00EF3461"/>
    <w:rsid w:val="00EF3478"/>
    <w:rsid w:val="00EF3483"/>
    <w:rsid w:val="00EF348E"/>
    <w:rsid w:val="00EF34D9"/>
    <w:rsid w:val="00EF3520"/>
    <w:rsid w:val="00EF353E"/>
    <w:rsid w:val="00EF3583"/>
    <w:rsid w:val="00EF35B4"/>
    <w:rsid w:val="00EF35E5"/>
    <w:rsid w:val="00EF3630"/>
    <w:rsid w:val="00EF3694"/>
    <w:rsid w:val="00EF36B1"/>
    <w:rsid w:val="00EF371D"/>
    <w:rsid w:val="00EF3740"/>
    <w:rsid w:val="00EF3744"/>
    <w:rsid w:val="00EF3783"/>
    <w:rsid w:val="00EF380B"/>
    <w:rsid w:val="00EF384C"/>
    <w:rsid w:val="00EF385B"/>
    <w:rsid w:val="00EF3943"/>
    <w:rsid w:val="00EF397B"/>
    <w:rsid w:val="00EF3997"/>
    <w:rsid w:val="00EF39DE"/>
    <w:rsid w:val="00EF39F8"/>
    <w:rsid w:val="00EF3A12"/>
    <w:rsid w:val="00EF3A34"/>
    <w:rsid w:val="00EF3A45"/>
    <w:rsid w:val="00EF3A8B"/>
    <w:rsid w:val="00EF3A95"/>
    <w:rsid w:val="00EF3B5F"/>
    <w:rsid w:val="00EF3C0B"/>
    <w:rsid w:val="00EF3C64"/>
    <w:rsid w:val="00EF3C66"/>
    <w:rsid w:val="00EF3C78"/>
    <w:rsid w:val="00EF3D04"/>
    <w:rsid w:val="00EF3D5D"/>
    <w:rsid w:val="00EF3E25"/>
    <w:rsid w:val="00EF3EB9"/>
    <w:rsid w:val="00EF3F04"/>
    <w:rsid w:val="00EF3F1C"/>
    <w:rsid w:val="00EF3F73"/>
    <w:rsid w:val="00EF3F9C"/>
    <w:rsid w:val="00EF3FA5"/>
    <w:rsid w:val="00EF3FCB"/>
    <w:rsid w:val="00EF3FE8"/>
    <w:rsid w:val="00EF3FEF"/>
    <w:rsid w:val="00EF4000"/>
    <w:rsid w:val="00EF404A"/>
    <w:rsid w:val="00EF404E"/>
    <w:rsid w:val="00EF409D"/>
    <w:rsid w:val="00EF40DB"/>
    <w:rsid w:val="00EF40F0"/>
    <w:rsid w:val="00EF411F"/>
    <w:rsid w:val="00EF4134"/>
    <w:rsid w:val="00EF4199"/>
    <w:rsid w:val="00EF41C7"/>
    <w:rsid w:val="00EF41E9"/>
    <w:rsid w:val="00EF4214"/>
    <w:rsid w:val="00EF4234"/>
    <w:rsid w:val="00EF426E"/>
    <w:rsid w:val="00EF42B5"/>
    <w:rsid w:val="00EF4348"/>
    <w:rsid w:val="00EF43BE"/>
    <w:rsid w:val="00EF43F5"/>
    <w:rsid w:val="00EF4440"/>
    <w:rsid w:val="00EF4457"/>
    <w:rsid w:val="00EF445E"/>
    <w:rsid w:val="00EF4499"/>
    <w:rsid w:val="00EF44DB"/>
    <w:rsid w:val="00EF44DD"/>
    <w:rsid w:val="00EF44F9"/>
    <w:rsid w:val="00EF4616"/>
    <w:rsid w:val="00EF4618"/>
    <w:rsid w:val="00EF4675"/>
    <w:rsid w:val="00EF46FF"/>
    <w:rsid w:val="00EF4778"/>
    <w:rsid w:val="00EF4794"/>
    <w:rsid w:val="00EF4799"/>
    <w:rsid w:val="00EF47B4"/>
    <w:rsid w:val="00EF47C5"/>
    <w:rsid w:val="00EF482F"/>
    <w:rsid w:val="00EF485B"/>
    <w:rsid w:val="00EF48BE"/>
    <w:rsid w:val="00EF48D0"/>
    <w:rsid w:val="00EF4969"/>
    <w:rsid w:val="00EF497B"/>
    <w:rsid w:val="00EF49AA"/>
    <w:rsid w:val="00EF49CA"/>
    <w:rsid w:val="00EF49DA"/>
    <w:rsid w:val="00EF4A23"/>
    <w:rsid w:val="00EF4A57"/>
    <w:rsid w:val="00EF4A79"/>
    <w:rsid w:val="00EF4ABD"/>
    <w:rsid w:val="00EF4AC8"/>
    <w:rsid w:val="00EF4AD7"/>
    <w:rsid w:val="00EF4AEC"/>
    <w:rsid w:val="00EF4B21"/>
    <w:rsid w:val="00EF4B25"/>
    <w:rsid w:val="00EF4B35"/>
    <w:rsid w:val="00EF4B39"/>
    <w:rsid w:val="00EF4B3B"/>
    <w:rsid w:val="00EF4BCA"/>
    <w:rsid w:val="00EF4BDD"/>
    <w:rsid w:val="00EF4CC7"/>
    <w:rsid w:val="00EF4D82"/>
    <w:rsid w:val="00EF4E14"/>
    <w:rsid w:val="00EF4E32"/>
    <w:rsid w:val="00EF4E3E"/>
    <w:rsid w:val="00EF4E4C"/>
    <w:rsid w:val="00EF4EBC"/>
    <w:rsid w:val="00EF4F14"/>
    <w:rsid w:val="00EF4F2D"/>
    <w:rsid w:val="00EF4F44"/>
    <w:rsid w:val="00EF4F51"/>
    <w:rsid w:val="00EF5008"/>
    <w:rsid w:val="00EF5037"/>
    <w:rsid w:val="00EF503A"/>
    <w:rsid w:val="00EF505F"/>
    <w:rsid w:val="00EF50A0"/>
    <w:rsid w:val="00EF50CB"/>
    <w:rsid w:val="00EF5159"/>
    <w:rsid w:val="00EF51DF"/>
    <w:rsid w:val="00EF5228"/>
    <w:rsid w:val="00EF529E"/>
    <w:rsid w:val="00EF52F2"/>
    <w:rsid w:val="00EF5320"/>
    <w:rsid w:val="00EF532A"/>
    <w:rsid w:val="00EF5370"/>
    <w:rsid w:val="00EF53A7"/>
    <w:rsid w:val="00EF53AD"/>
    <w:rsid w:val="00EF53DF"/>
    <w:rsid w:val="00EF53F7"/>
    <w:rsid w:val="00EF54A9"/>
    <w:rsid w:val="00EF54C5"/>
    <w:rsid w:val="00EF54EB"/>
    <w:rsid w:val="00EF5508"/>
    <w:rsid w:val="00EF550B"/>
    <w:rsid w:val="00EF5511"/>
    <w:rsid w:val="00EF554A"/>
    <w:rsid w:val="00EF556D"/>
    <w:rsid w:val="00EF55B4"/>
    <w:rsid w:val="00EF5633"/>
    <w:rsid w:val="00EF5638"/>
    <w:rsid w:val="00EF563E"/>
    <w:rsid w:val="00EF5680"/>
    <w:rsid w:val="00EF56D8"/>
    <w:rsid w:val="00EF5706"/>
    <w:rsid w:val="00EF5745"/>
    <w:rsid w:val="00EF5748"/>
    <w:rsid w:val="00EF5767"/>
    <w:rsid w:val="00EF5770"/>
    <w:rsid w:val="00EF57A3"/>
    <w:rsid w:val="00EF5806"/>
    <w:rsid w:val="00EF581C"/>
    <w:rsid w:val="00EF586C"/>
    <w:rsid w:val="00EF58B9"/>
    <w:rsid w:val="00EF58CB"/>
    <w:rsid w:val="00EF591C"/>
    <w:rsid w:val="00EF5949"/>
    <w:rsid w:val="00EF597C"/>
    <w:rsid w:val="00EF59B8"/>
    <w:rsid w:val="00EF5A7E"/>
    <w:rsid w:val="00EF5A82"/>
    <w:rsid w:val="00EF5AFC"/>
    <w:rsid w:val="00EF5B4C"/>
    <w:rsid w:val="00EF5B5A"/>
    <w:rsid w:val="00EF5BB2"/>
    <w:rsid w:val="00EF5BB3"/>
    <w:rsid w:val="00EF5BD6"/>
    <w:rsid w:val="00EF5C01"/>
    <w:rsid w:val="00EF5C1F"/>
    <w:rsid w:val="00EF5CB4"/>
    <w:rsid w:val="00EF5CC3"/>
    <w:rsid w:val="00EF5CFA"/>
    <w:rsid w:val="00EF5D63"/>
    <w:rsid w:val="00EF5D79"/>
    <w:rsid w:val="00EF5DB6"/>
    <w:rsid w:val="00EF5E29"/>
    <w:rsid w:val="00EF5E55"/>
    <w:rsid w:val="00EF5EAF"/>
    <w:rsid w:val="00EF5EDA"/>
    <w:rsid w:val="00EF5F0A"/>
    <w:rsid w:val="00EF5F16"/>
    <w:rsid w:val="00EF5F27"/>
    <w:rsid w:val="00EF5F32"/>
    <w:rsid w:val="00EF5F6C"/>
    <w:rsid w:val="00EF6009"/>
    <w:rsid w:val="00EF600D"/>
    <w:rsid w:val="00EF6046"/>
    <w:rsid w:val="00EF6067"/>
    <w:rsid w:val="00EF6094"/>
    <w:rsid w:val="00EF6098"/>
    <w:rsid w:val="00EF60EF"/>
    <w:rsid w:val="00EF60FF"/>
    <w:rsid w:val="00EF6144"/>
    <w:rsid w:val="00EF6191"/>
    <w:rsid w:val="00EF6193"/>
    <w:rsid w:val="00EF61A5"/>
    <w:rsid w:val="00EF61B4"/>
    <w:rsid w:val="00EF6200"/>
    <w:rsid w:val="00EF623C"/>
    <w:rsid w:val="00EF6262"/>
    <w:rsid w:val="00EF6294"/>
    <w:rsid w:val="00EF6299"/>
    <w:rsid w:val="00EF62A5"/>
    <w:rsid w:val="00EF62B4"/>
    <w:rsid w:val="00EF62D1"/>
    <w:rsid w:val="00EF62D6"/>
    <w:rsid w:val="00EF62D8"/>
    <w:rsid w:val="00EF6300"/>
    <w:rsid w:val="00EF631C"/>
    <w:rsid w:val="00EF632C"/>
    <w:rsid w:val="00EF6351"/>
    <w:rsid w:val="00EF6378"/>
    <w:rsid w:val="00EF63A7"/>
    <w:rsid w:val="00EF63FB"/>
    <w:rsid w:val="00EF6485"/>
    <w:rsid w:val="00EF64A0"/>
    <w:rsid w:val="00EF64C0"/>
    <w:rsid w:val="00EF64C2"/>
    <w:rsid w:val="00EF64C6"/>
    <w:rsid w:val="00EF64DF"/>
    <w:rsid w:val="00EF64F3"/>
    <w:rsid w:val="00EF6514"/>
    <w:rsid w:val="00EF6523"/>
    <w:rsid w:val="00EF659B"/>
    <w:rsid w:val="00EF65D0"/>
    <w:rsid w:val="00EF65EA"/>
    <w:rsid w:val="00EF661D"/>
    <w:rsid w:val="00EF66A7"/>
    <w:rsid w:val="00EF66B4"/>
    <w:rsid w:val="00EF66C1"/>
    <w:rsid w:val="00EF66DF"/>
    <w:rsid w:val="00EF670A"/>
    <w:rsid w:val="00EF673F"/>
    <w:rsid w:val="00EF677D"/>
    <w:rsid w:val="00EF678B"/>
    <w:rsid w:val="00EF678E"/>
    <w:rsid w:val="00EF6798"/>
    <w:rsid w:val="00EF67AA"/>
    <w:rsid w:val="00EF67AB"/>
    <w:rsid w:val="00EF67FC"/>
    <w:rsid w:val="00EF68B0"/>
    <w:rsid w:val="00EF68D1"/>
    <w:rsid w:val="00EF68D7"/>
    <w:rsid w:val="00EF68F5"/>
    <w:rsid w:val="00EF693C"/>
    <w:rsid w:val="00EF6961"/>
    <w:rsid w:val="00EF6A10"/>
    <w:rsid w:val="00EF6A14"/>
    <w:rsid w:val="00EF6A4C"/>
    <w:rsid w:val="00EF6AA1"/>
    <w:rsid w:val="00EF6ADC"/>
    <w:rsid w:val="00EF6AF6"/>
    <w:rsid w:val="00EF6B37"/>
    <w:rsid w:val="00EF6B4C"/>
    <w:rsid w:val="00EF6B9E"/>
    <w:rsid w:val="00EF6BAD"/>
    <w:rsid w:val="00EF6BBC"/>
    <w:rsid w:val="00EF6BF5"/>
    <w:rsid w:val="00EF6BF9"/>
    <w:rsid w:val="00EF6C2F"/>
    <w:rsid w:val="00EF6CA3"/>
    <w:rsid w:val="00EF6D34"/>
    <w:rsid w:val="00EF6D9C"/>
    <w:rsid w:val="00EF6DB6"/>
    <w:rsid w:val="00EF6DED"/>
    <w:rsid w:val="00EF6E71"/>
    <w:rsid w:val="00EF6EA5"/>
    <w:rsid w:val="00EF6F4B"/>
    <w:rsid w:val="00EF6F58"/>
    <w:rsid w:val="00EF6FEE"/>
    <w:rsid w:val="00EF7037"/>
    <w:rsid w:val="00EF70BD"/>
    <w:rsid w:val="00EF70CF"/>
    <w:rsid w:val="00EF70D1"/>
    <w:rsid w:val="00EF715D"/>
    <w:rsid w:val="00EF7167"/>
    <w:rsid w:val="00EF721F"/>
    <w:rsid w:val="00EF7254"/>
    <w:rsid w:val="00EF7322"/>
    <w:rsid w:val="00EF7329"/>
    <w:rsid w:val="00EF733C"/>
    <w:rsid w:val="00EF735A"/>
    <w:rsid w:val="00EF7370"/>
    <w:rsid w:val="00EF73E9"/>
    <w:rsid w:val="00EF73F1"/>
    <w:rsid w:val="00EF7447"/>
    <w:rsid w:val="00EF751E"/>
    <w:rsid w:val="00EF7521"/>
    <w:rsid w:val="00EF753B"/>
    <w:rsid w:val="00EF7540"/>
    <w:rsid w:val="00EF755B"/>
    <w:rsid w:val="00EF7595"/>
    <w:rsid w:val="00EF7621"/>
    <w:rsid w:val="00EF7625"/>
    <w:rsid w:val="00EF763C"/>
    <w:rsid w:val="00EF7684"/>
    <w:rsid w:val="00EF7690"/>
    <w:rsid w:val="00EF76AB"/>
    <w:rsid w:val="00EF7704"/>
    <w:rsid w:val="00EF770B"/>
    <w:rsid w:val="00EF7719"/>
    <w:rsid w:val="00EF7736"/>
    <w:rsid w:val="00EF773B"/>
    <w:rsid w:val="00EF775B"/>
    <w:rsid w:val="00EF775D"/>
    <w:rsid w:val="00EF7804"/>
    <w:rsid w:val="00EF7855"/>
    <w:rsid w:val="00EF785C"/>
    <w:rsid w:val="00EF788F"/>
    <w:rsid w:val="00EF78BD"/>
    <w:rsid w:val="00EF78E6"/>
    <w:rsid w:val="00EF7931"/>
    <w:rsid w:val="00EF7944"/>
    <w:rsid w:val="00EF7985"/>
    <w:rsid w:val="00EF79C0"/>
    <w:rsid w:val="00EF79E4"/>
    <w:rsid w:val="00EF7A2A"/>
    <w:rsid w:val="00EF7A49"/>
    <w:rsid w:val="00EF7A57"/>
    <w:rsid w:val="00EF7A58"/>
    <w:rsid w:val="00EF7A90"/>
    <w:rsid w:val="00EF7AB1"/>
    <w:rsid w:val="00EF7AC2"/>
    <w:rsid w:val="00EF7B0C"/>
    <w:rsid w:val="00EF7B22"/>
    <w:rsid w:val="00EF7B93"/>
    <w:rsid w:val="00EF7B9E"/>
    <w:rsid w:val="00EF7C42"/>
    <w:rsid w:val="00EF7C5B"/>
    <w:rsid w:val="00EF7CAA"/>
    <w:rsid w:val="00EF7CB2"/>
    <w:rsid w:val="00EF7CD4"/>
    <w:rsid w:val="00EF7CEC"/>
    <w:rsid w:val="00EF7CEE"/>
    <w:rsid w:val="00EF7CFF"/>
    <w:rsid w:val="00EF7D15"/>
    <w:rsid w:val="00EF7D34"/>
    <w:rsid w:val="00EF7D7B"/>
    <w:rsid w:val="00EF7DA0"/>
    <w:rsid w:val="00EF7DA8"/>
    <w:rsid w:val="00EF7DB5"/>
    <w:rsid w:val="00EF7DC2"/>
    <w:rsid w:val="00EF7DEE"/>
    <w:rsid w:val="00EF7E39"/>
    <w:rsid w:val="00EF7E59"/>
    <w:rsid w:val="00EF7E90"/>
    <w:rsid w:val="00EF7ECB"/>
    <w:rsid w:val="00EF7EF2"/>
    <w:rsid w:val="00EF7F05"/>
    <w:rsid w:val="00EF7F2E"/>
    <w:rsid w:val="00EF7F3B"/>
    <w:rsid w:val="00EF7F3F"/>
    <w:rsid w:val="00EF7F6C"/>
    <w:rsid w:val="00EF7FC7"/>
    <w:rsid w:val="00EF7FD8"/>
    <w:rsid w:val="00F0000A"/>
    <w:rsid w:val="00F00013"/>
    <w:rsid w:val="00F0001A"/>
    <w:rsid w:val="00F00055"/>
    <w:rsid w:val="00F0007D"/>
    <w:rsid w:val="00F000D0"/>
    <w:rsid w:val="00F000E4"/>
    <w:rsid w:val="00F00100"/>
    <w:rsid w:val="00F0014B"/>
    <w:rsid w:val="00F0015F"/>
    <w:rsid w:val="00F0016A"/>
    <w:rsid w:val="00F0016E"/>
    <w:rsid w:val="00F001CB"/>
    <w:rsid w:val="00F001D9"/>
    <w:rsid w:val="00F001DA"/>
    <w:rsid w:val="00F001FE"/>
    <w:rsid w:val="00F00207"/>
    <w:rsid w:val="00F00209"/>
    <w:rsid w:val="00F00241"/>
    <w:rsid w:val="00F00299"/>
    <w:rsid w:val="00F002BF"/>
    <w:rsid w:val="00F002C1"/>
    <w:rsid w:val="00F00340"/>
    <w:rsid w:val="00F003B2"/>
    <w:rsid w:val="00F003B7"/>
    <w:rsid w:val="00F003EA"/>
    <w:rsid w:val="00F0040A"/>
    <w:rsid w:val="00F0040E"/>
    <w:rsid w:val="00F00491"/>
    <w:rsid w:val="00F004A7"/>
    <w:rsid w:val="00F004BE"/>
    <w:rsid w:val="00F004E4"/>
    <w:rsid w:val="00F00512"/>
    <w:rsid w:val="00F00524"/>
    <w:rsid w:val="00F00525"/>
    <w:rsid w:val="00F0054D"/>
    <w:rsid w:val="00F0055B"/>
    <w:rsid w:val="00F00582"/>
    <w:rsid w:val="00F0058D"/>
    <w:rsid w:val="00F005D2"/>
    <w:rsid w:val="00F00600"/>
    <w:rsid w:val="00F00614"/>
    <w:rsid w:val="00F0063E"/>
    <w:rsid w:val="00F00651"/>
    <w:rsid w:val="00F0068F"/>
    <w:rsid w:val="00F006A0"/>
    <w:rsid w:val="00F006D2"/>
    <w:rsid w:val="00F007A0"/>
    <w:rsid w:val="00F007C7"/>
    <w:rsid w:val="00F007CE"/>
    <w:rsid w:val="00F007EB"/>
    <w:rsid w:val="00F0082D"/>
    <w:rsid w:val="00F00843"/>
    <w:rsid w:val="00F0084D"/>
    <w:rsid w:val="00F00893"/>
    <w:rsid w:val="00F008C3"/>
    <w:rsid w:val="00F00950"/>
    <w:rsid w:val="00F00978"/>
    <w:rsid w:val="00F00985"/>
    <w:rsid w:val="00F009AF"/>
    <w:rsid w:val="00F00A19"/>
    <w:rsid w:val="00F00A91"/>
    <w:rsid w:val="00F00AE2"/>
    <w:rsid w:val="00F00AE3"/>
    <w:rsid w:val="00F00B00"/>
    <w:rsid w:val="00F00B0F"/>
    <w:rsid w:val="00F00B28"/>
    <w:rsid w:val="00F00B3C"/>
    <w:rsid w:val="00F00B4A"/>
    <w:rsid w:val="00F00B68"/>
    <w:rsid w:val="00F00BA8"/>
    <w:rsid w:val="00F00C2A"/>
    <w:rsid w:val="00F00C41"/>
    <w:rsid w:val="00F00C7A"/>
    <w:rsid w:val="00F00C8E"/>
    <w:rsid w:val="00F00CBD"/>
    <w:rsid w:val="00F00D59"/>
    <w:rsid w:val="00F00E61"/>
    <w:rsid w:val="00F00EC5"/>
    <w:rsid w:val="00F00EEB"/>
    <w:rsid w:val="00F00F01"/>
    <w:rsid w:val="00F00F5B"/>
    <w:rsid w:val="00F00FB7"/>
    <w:rsid w:val="00F00FDF"/>
    <w:rsid w:val="00F01040"/>
    <w:rsid w:val="00F0105F"/>
    <w:rsid w:val="00F01064"/>
    <w:rsid w:val="00F010E2"/>
    <w:rsid w:val="00F0117E"/>
    <w:rsid w:val="00F011A2"/>
    <w:rsid w:val="00F011C0"/>
    <w:rsid w:val="00F011EC"/>
    <w:rsid w:val="00F01209"/>
    <w:rsid w:val="00F01231"/>
    <w:rsid w:val="00F0127B"/>
    <w:rsid w:val="00F0129C"/>
    <w:rsid w:val="00F012BC"/>
    <w:rsid w:val="00F012CF"/>
    <w:rsid w:val="00F012D9"/>
    <w:rsid w:val="00F012DE"/>
    <w:rsid w:val="00F012F0"/>
    <w:rsid w:val="00F0136B"/>
    <w:rsid w:val="00F013BF"/>
    <w:rsid w:val="00F01496"/>
    <w:rsid w:val="00F0149D"/>
    <w:rsid w:val="00F014A4"/>
    <w:rsid w:val="00F014F2"/>
    <w:rsid w:val="00F01550"/>
    <w:rsid w:val="00F01579"/>
    <w:rsid w:val="00F015AB"/>
    <w:rsid w:val="00F0166F"/>
    <w:rsid w:val="00F01678"/>
    <w:rsid w:val="00F01681"/>
    <w:rsid w:val="00F016D5"/>
    <w:rsid w:val="00F016FA"/>
    <w:rsid w:val="00F0170B"/>
    <w:rsid w:val="00F01748"/>
    <w:rsid w:val="00F01751"/>
    <w:rsid w:val="00F017A0"/>
    <w:rsid w:val="00F017E7"/>
    <w:rsid w:val="00F01807"/>
    <w:rsid w:val="00F0186B"/>
    <w:rsid w:val="00F018DD"/>
    <w:rsid w:val="00F01917"/>
    <w:rsid w:val="00F01950"/>
    <w:rsid w:val="00F0196E"/>
    <w:rsid w:val="00F019AF"/>
    <w:rsid w:val="00F01A20"/>
    <w:rsid w:val="00F01A25"/>
    <w:rsid w:val="00F01A37"/>
    <w:rsid w:val="00F01ADB"/>
    <w:rsid w:val="00F01B35"/>
    <w:rsid w:val="00F01B4D"/>
    <w:rsid w:val="00F01B4F"/>
    <w:rsid w:val="00F01B6B"/>
    <w:rsid w:val="00F01B6E"/>
    <w:rsid w:val="00F01B7D"/>
    <w:rsid w:val="00F01BB0"/>
    <w:rsid w:val="00F01BFD"/>
    <w:rsid w:val="00F01C6D"/>
    <w:rsid w:val="00F01C73"/>
    <w:rsid w:val="00F01C8E"/>
    <w:rsid w:val="00F01C91"/>
    <w:rsid w:val="00F01CA3"/>
    <w:rsid w:val="00F01CA7"/>
    <w:rsid w:val="00F01CD5"/>
    <w:rsid w:val="00F01CDD"/>
    <w:rsid w:val="00F01CE8"/>
    <w:rsid w:val="00F01D46"/>
    <w:rsid w:val="00F01D87"/>
    <w:rsid w:val="00F01DB8"/>
    <w:rsid w:val="00F01E43"/>
    <w:rsid w:val="00F01E6C"/>
    <w:rsid w:val="00F01E6E"/>
    <w:rsid w:val="00F01E75"/>
    <w:rsid w:val="00F01E8C"/>
    <w:rsid w:val="00F01EFD"/>
    <w:rsid w:val="00F01F10"/>
    <w:rsid w:val="00F01F1F"/>
    <w:rsid w:val="00F01F90"/>
    <w:rsid w:val="00F01FA7"/>
    <w:rsid w:val="00F01FBE"/>
    <w:rsid w:val="00F01FF0"/>
    <w:rsid w:val="00F02006"/>
    <w:rsid w:val="00F02052"/>
    <w:rsid w:val="00F0205B"/>
    <w:rsid w:val="00F020D2"/>
    <w:rsid w:val="00F02103"/>
    <w:rsid w:val="00F0213E"/>
    <w:rsid w:val="00F0217D"/>
    <w:rsid w:val="00F02185"/>
    <w:rsid w:val="00F021AD"/>
    <w:rsid w:val="00F02214"/>
    <w:rsid w:val="00F0229A"/>
    <w:rsid w:val="00F022AC"/>
    <w:rsid w:val="00F022AF"/>
    <w:rsid w:val="00F022E3"/>
    <w:rsid w:val="00F0230E"/>
    <w:rsid w:val="00F0234D"/>
    <w:rsid w:val="00F023DB"/>
    <w:rsid w:val="00F02402"/>
    <w:rsid w:val="00F02446"/>
    <w:rsid w:val="00F024FC"/>
    <w:rsid w:val="00F02519"/>
    <w:rsid w:val="00F02541"/>
    <w:rsid w:val="00F0256A"/>
    <w:rsid w:val="00F02615"/>
    <w:rsid w:val="00F02643"/>
    <w:rsid w:val="00F0267A"/>
    <w:rsid w:val="00F026D5"/>
    <w:rsid w:val="00F026F1"/>
    <w:rsid w:val="00F026F6"/>
    <w:rsid w:val="00F0271B"/>
    <w:rsid w:val="00F02741"/>
    <w:rsid w:val="00F0276E"/>
    <w:rsid w:val="00F02791"/>
    <w:rsid w:val="00F02793"/>
    <w:rsid w:val="00F02796"/>
    <w:rsid w:val="00F027A1"/>
    <w:rsid w:val="00F027B8"/>
    <w:rsid w:val="00F027DD"/>
    <w:rsid w:val="00F027F1"/>
    <w:rsid w:val="00F027F6"/>
    <w:rsid w:val="00F02810"/>
    <w:rsid w:val="00F02826"/>
    <w:rsid w:val="00F0287F"/>
    <w:rsid w:val="00F02884"/>
    <w:rsid w:val="00F028F1"/>
    <w:rsid w:val="00F02904"/>
    <w:rsid w:val="00F029E9"/>
    <w:rsid w:val="00F02A1B"/>
    <w:rsid w:val="00F02A47"/>
    <w:rsid w:val="00F02ACD"/>
    <w:rsid w:val="00F02B64"/>
    <w:rsid w:val="00F02B73"/>
    <w:rsid w:val="00F02B88"/>
    <w:rsid w:val="00F02B96"/>
    <w:rsid w:val="00F02BF6"/>
    <w:rsid w:val="00F02C2C"/>
    <w:rsid w:val="00F02C35"/>
    <w:rsid w:val="00F02CE8"/>
    <w:rsid w:val="00F02CF2"/>
    <w:rsid w:val="00F02D25"/>
    <w:rsid w:val="00F02D2A"/>
    <w:rsid w:val="00F02D6F"/>
    <w:rsid w:val="00F02D7A"/>
    <w:rsid w:val="00F02DAA"/>
    <w:rsid w:val="00F02DBC"/>
    <w:rsid w:val="00F02DCE"/>
    <w:rsid w:val="00F02E02"/>
    <w:rsid w:val="00F02E88"/>
    <w:rsid w:val="00F02ED3"/>
    <w:rsid w:val="00F02F54"/>
    <w:rsid w:val="00F02F85"/>
    <w:rsid w:val="00F02FA6"/>
    <w:rsid w:val="00F02FB5"/>
    <w:rsid w:val="00F02FDA"/>
    <w:rsid w:val="00F03003"/>
    <w:rsid w:val="00F03057"/>
    <w:rsid w:val="00F0308B"/>
    <w:rsid w:val="00F030D1"/>
    <w:rsid w:val="00F0316C"/>
    <w:rsid w:val="00F03188"/>
    <w:rsid w:val="00F031AD"/>
    <w:rsid w:val="00F03296"/>
    <w:rsid w:val="00F032BD"/>
    <w:rsid w:val="00F032DC"/>
    <w:rsid w:val="00F032E0"/>
    <w:rsid w:val="00F03323"/>
    <w:rsid w:val="00F03391"/>
    <w:rsid w:val="00F033AC"/>
    <w:rsid w:val="00F033FB"/>
    <w:rsid w:val="00F03406"/>
    <w:rsid w:val="00F034BD"/>
    <w:rsid w:val="00F034CD"/>
    <w:rsid w:val="00F034EE"/>
    <w:rsid w:val="00F0357C"/>
    <w:rsid w:val="00F035C5"/>
    <w:rsid w:val="00F0367A"/>
    <w:rsid w:val="00F036AB"/>
    <w:rsid w:val="00F036AF"/>
    <w:rsid w:val="00F036B5"/>
    <w:rsid w:val="00F03703"/>
    <w:rsid w:val="00F0372A"/>
    <w:rsid w:val="00F03765"/>
    <w:rsid w:val="00F037C7"/>
    <w:rsid w:val="00F037D8"/>
    <w:rsid w:val="00F03842"/>
    <w:rsid w:val="00F03854"/>
    <w:rsid w:val="00F038F3"/>
    <w:rsid w:val="00F03924"/>
    <w:rsid w:val="00F0396C"/>
    <w:rsid w:val="00F039CC"/>
    <w:rsid w:val="00F039EA"/>
    <w:rsid w:val="00F03A3E"/>
    <w:rsid w:val="00F03ABE"/>
    <w:rsid w:val="00F03B15"/>
    <w:rsid w:val="00F03B18"/>
    <w:rsid w:val="00F03B81"/>
    <w:rsid w:val="00F03BCA"/>
    <w:rsid w:val="00F03BCE"/>
    <w:rsid w:val="00F03C4D"/>
    <w:rsid w:val="00F03C60"/>
    <w:rsid w:val="00F03CCF"/>
    <w:rsid w:val="00F03D4B"/>
    <w:rsid w:val="00F03DBA"/>
    <w:rsid w:val="00F03DCE"/>
    <w:rsid w:val="00F03E6D"/>
    <w:rsid w:val="00F03E6F"/>
    <w:rsid w:val="00F03E72"/>
    <w:rsid w:val="00F03F5E"/>
    <w:rsid w:val="00F03F69"/>
    <w:rsid w:val="00F03FFF"/>
    <w:rsid w:val="00F04002"/>
    <w:rsid w:val="00F04085"/>
    <w:rsid w:val="00F040B2"/>
    <w:rsid w:val="00F040D2"/>
    <w:rsid w:val="00F04135"/>
    <w:rsid w:val="00F04136"/>
    <w:rsid w:val="00F04179"/>
    <w:rsid w:val="00F04250"/>
    <w:rsid w:val="00F04266"/>
    <w:rsid w:val="00F0426F"/>
    <w:rsid w:val="00F04279"/>
    <w:rsid w:val="00F04280"/>
    <w:rsid w:val="00F042A9"/>
    <w:rsid w:val="00F042D2"/>
    <w:rsid w:val="00F042FD"/>
    <w:rsid w:val="00F0432A"/>
    <w:rsid w:val="00F04338"/>
    <w:rsid w:val="00F04373"/>
    <w:rsid w:val="00F043F9"/>
    <w:rsid w:val="00F04407"/>
    <w:rsid w:val="00F04454"/>
    <w:rsid w:val="00F04472"/>
    <w:rsid w:val="00F04498"/>
    <w:rsid w:val="00F04534"/>
    <w:rsid w:val="00F0453B"/>
    <w:rsid w:val="00F04593"/>
    <w:rsid w:val="00F045E0"/>
    <w:rsid w:val="00F04615"/>
    <w:rsid w:val="00F0464A"/>
    <w:rsid w:val="00F0468A"/>
    <w:rsid w:val="00F0478C"/>
    <w:rsid w:val="00F0480C"/>
    <w:rsid w:val="00F048F0"/>
    <w:rsid w:val="00F04933"/>
    <w:rsid w:val="00F04972"/>
    <w:rsid w:val="00F0497A"/>
    <w:rsid w:val="00F049B4"/>
    <w:rsid w:val="00F049CD"/>
    <w:rsid w:val="00F049E6"/>
    <w:rsid w:val="00F04A1C"/>
    <w:rsid w:val="00F04A31"/>
    <w:rsid w:val="00F04A4D"/>
    <w:rsid w:val="00F04ABA"/>
    <w:rsid w:val="00F04AC4"/>
    <w:rsid w:val="00F04B2F"/>
    <w:rsid w:val="00F04B76"/>
    <w:rsid w:val="00F04B86"/>
    <w:rsid w:val="00F04BA6"/>
    <w:rsid w:val="00F04BF0"/>
    <w:rsid w:val="00F04C48"/>
    <w:rsid w:val="00F04C5E"/>
    <w:rsid w:val="00F04C81"/>
    <w:rsid w:val="00F04C83"/>
    <w:rsid w:val="00F04CA5"/>
    <w:rsid w:val="00F04CB2"/>
    <w:rsid w:val="00F04CCA"/>
    <w:rsid w:val="00F04CEA"/>
    <w:rsid w:val="00F04D65"/>
    <w:rsid w:val="00F04DA4"/>
    <w:rsid w:val="00F04DB1"/>
    <w:rsid w:val="00F04DE2"/>
    <w:rsid w:val="00F04E3D"/>
    <w:rsid w:val="00F04E9F"/>
    <w:rsid w:val="00F04EAA"/>
    <w:rsid w:val="00F04F60"/>
    <w:rsid w:val="00F04FDB"/>
    <w:rsid w:val="00F04FEA"/>
    <w:rsid w:val="00F05081"/>
    <w:rsid w:val="00F050E9"/>
    <w:rsid w:val="00F05126"/>
    <w:rsid w:val="00F05140"/>
    <w:rsid w:val="00F0516E"/>
    <w:rsid w:val="00F0519E"/>
    <w:rsid w:val="00F051C3"/>
    <w:rsid w:val="00F051EA"/>
    <w:rsid w:val="00F051FB"/>
    <w:rsid w:val="00F05250"/>
    <w:rsid w:val="00F05256"/>
    <w:rsid w:val="00F052D4"/>
    <w:rsid w:val="00F052D8"/>
    <w:rsid w:val="00F05336"/>
    <w:rsid w:val="00F05386"/>
    <w:rsid w:val="00F05395"/>
    <w:rsid w:val="00F053A9"/>
    <w:rsid w:val="00F053B3"/>
    <w:rsid w:val="00F053B4"/>
    <w:rsid w:val="00F053F7"/>
    <w:rsid w:val="00F05402"/>
    <w:rsid w:val="00F05423"/>
    <w:rsid w:val="00F05443"/>
    <w:rsid w:val="00F05446"/>
    <w:rsid w:val="00F054C1"/>
    <w:rsid w:val="00F05502"/>
    <w:rsid w:val="00F05519"/>
    <w:rsid w:val="00F05564"/>
    <w:rsid w:val="00F05580"/>
    <w:rsid w:val="00F05597"/>
    <w:rsid w:val="00F055BF"/>
    <w:rsid w:val="00F055EC"/>
    <w:rsid w:val="00F05608"/>
    <w:rsid w:val="00F05636"/>
    <w:rsid w:val="00F056BE"/>
    <w:rsid w:val="00F056D3"/>
    <w:rsid w:val="00F056F1"/>
    <w:rsid w:val="00F0572F"/>
    <w:rsid w:val="00F05740"/>
    <w:rsid w:val="00F05779"/>
    <w:rsid w:val="00F05782"/>
    <w:rsid w:val="00F057AE"/>
    <w:rsid w:val="00F058B6"/>
    <w:rsid w:val="00F058B9"/>
    <w:rsid w:val="00F05944"/>
    <w:rsid w:val="00F05954"/>
    <w:rsid w:val="00F05957"/>
    <w:rsid w:val="00F059A3"/>
    <w:rsid w:val="00F059DF"/>
    <w:rsid w:val="00F059F9"/>
    <w:rsid w:val="00F05AA4"/>
    <w:rsid w:val="00F05AAF"/>
    <w:rsid w:val="00F05AFF"/>
    <w:rsid w:val="00F05B26"/>
    <w:rsid w:val="00F05B5E"/>
    <w:rsid w:val="00F05B63"/>
    <w:rsid w:val="00F05B93"/>
    <w:rsid w:val="00F05BA4"/>
    <w:rsid w:val="00F05BC8"/>
    <w:rsid w:val="00F05C29"/>
    <w:rsid w:val="00F05CC6"/>
    <w:rsid w:val="00F05D0B"/>
    <w:rsid w:val="00F05D16"/>
    <w:rsid w:val="00F05DA7"/>
    <w:rsid w:val="00F05DB8"/>
    <w:rsid w:val="00F05DBE"/>
    <w:rsid w:val="00F05E22"/>
    <w:rsid w:val="00F05E23"/>
    <w:rsid w:val="00F05E9C"/>
    <w:rsid w:val="00F05F2C"/>
    <w:rsid w:val="00F05F3A"/>
    <w:rsid w:val="00F05FAC"/>
    <w:rsid w:val="00F05FB8"/>
    <w:rsid w:val="00F06006"/>
    <w:rsid w:val="00F06114"/>
    <w:rsid w:val="00F06115"/>
    <w:rsid w:val="00F0618B"/>
    <w:rsid w:val="00F061B6"/>
    <w:rsid w:val="00F0622A"/>
    <w:rsid w:val="00F062A6"/>
    <w:rsid w:val="00F063C5"/>
    <w:rsid w:val="00F063CE"/>
    <w:rsid w:val="00F063E8"/>
    <w:rsid w:val="00F06401"/>
    <w:rsid w:val="00F0644F"/>
    <w:rsid w:val="00F0648F"/>
    <w:rsid w:val="00F064AD"/>
    <w:rsid w:val="00F06530"/>
    <w:rsid w:val="00F0659C"/>
    <w:rsid w:val="00F065BE"/>
    <w:rsid w:val="00F065D2"/>
    <w:rsid w:val="00F065F1"/>
    <w:rsid w:val="00F0662E"/>
    <w:rsid w:val="00F0664E"/>
    <w:rsid w:val="00F06681"/>
    <w:rsid w:val="00F0669F"/>
    <w:rsid w:val="00F066A3"/>
    <w:rsid w:val="00F0673B"/>
    <w:rsid w:val="00F0676D"/>
    <w:rsid w:val="00F067AD"/>
    <w:rsid w:val="00F067C2"/>
    <w:rsid w:val="00F067E6"/>
    <w:rsid w:val="00F067F9"/>
    <w:rsid w:val="00F0681E"/>
    <w:rsid w:val="00F06871"/>
    <w:rsid w:val="00F06875"/>
    <w:rsid w:val="00F06885"/>
    <w:rsid w:val="00F0688C"/>
    <w:rsid w:val="00F06921"/>
    <w:rsid w:val="00F06944"/>
    <w:rsid w:val="00F069B8"/>
    <w:rsid w:val="00F06A8B"/>
    <w:rsid w:val="00F06A8E"/>
    <w:rsid w:val="00F06B54"/>
    <w:rsid w:val="00F06BA8"/>
    <w:rsid w:val="00F06BB7"/>
    <w:rsid w:val="00F06C4F"/>
    <w:rsid w:val="00F06C91"/>
    <w:rsid w:val="00F06CA8"/>
    <w:rsid w:val="00F06CCA"/>
    <w:rsid w:val="00F06CF3"/>
    <w:rsid w:val="00F06D36"/>
    <w:rsid w:val="00F06D96"/>
    <w:rsid w:val="00F06E19"/>
    <w:rsid w:val="00F06E7F"/>
    <w:rsid w:val="00F06EE6"/>
    <w:rsid w:val="00F06F03"/>
    <w:rsid w:val="00F06F09"/>
    <w:rsid w:val="00F06F23"/>
    <w:rsid w:val="00F06F39"/>
    <w:rsid w:val="00F06F3A"/>
    <w:rsid w:val="00F06F76"/>
    <w:rsid w:val="00F06FA3"/>
    <w:rsid w:val="00F06FDC"/>
    <w:rsid w:val="00F06FE4"/>
    <w:rsid w:val="00F07073"/>
    <w:rsid w:val="00F0708A"/>
    <w:rsid w:val="00F070BE"/>
    <w:rsid w:val="00F070D1"/>
    <w:rsid w:val="00F07125"/>
    <w:rsid w:val="00F07132"/>
    <w:rsid w:val="00F07135"/>
    <w:rsid w:val="00F071CA"/>
    <w:rsid w:val="00F071E1"/>
    <w:rsid w:val="00F071EF"/>
    <w:rsid w:val="00F0726F"/>
    <w:rsid w:val="00F072A9"/>
    <w:rsid w:val="00F072E9"/>
    <w:rsid w:val="00F07336"/>
    <w:rsid w:val="00F0734F"/>
    <w:rsid w:val="00F073C0"/>
    <w:rsid w:val="00F073F7"/>
    <w:rsid w:val="00F07416"/>
    <w:rsid w:val="00F0741C"/>
    <w:rsid w:val="00F07479"/>
    <w:rsid w:val="00F074A2"/>
    <w:rsid w:val="00F074C5"/>
    <w:rsid w:val="00F074D3"/>
    <w:rsid w:val="00F074D6"/>
    <w:rsid w:val="00F07515"/>
    <w:rsid w:val="00F0751B"/>
    <w:rsid w:val="00F07591"/>
    <w:rsid w:val="00F075A8"/>
    <w:rsid w:val="00F075B5"/>
    <w:rsid w:val="00F075C5"/>
    <w:rsid w:val="00F075D1"/>
    <w:rsid w:val="00F07607"/>
    <w:rsid w:val="00F076B1"/>
    <w:rsid w:val="00F076C9"/>
    <w:rsid w:val="00F076FF"/>
    <w:rsid w:val="00F07737"/>
    <w:rsid w:val="00F077E4"/>
    <w:rsid w:val="00F078C8"/>
    <w:rsid w:val="00F07956"/>
    <w:rsid w:val="00F079E6"/>
    <w:rsid w:val="00F079EA"/>
    <w:rsid w:val="00F079F9"/>
    <w:rsid w:val="00F079FA"/>
    <w:rsid w:val="00F07A47"/>
    <w:rsid w:val="00F07AA9"/>
    <w:rsid w:val="00F07AD1"/>
    <w:rsid w:val="00F07B3E"/>
    <w:rsid w:val="00F07B6B"/>
    <w:rsid w:val="00F07C01"/>
    <w:rsid w:val="00F07C5B"/>
    <w:rsid w:val="00F07C90"/>
    <w:rsid w:val="00F07CB0"/>
    <w:rsid w:val="00F07D01"/>
    <w:rsid w:val="00F07D25"/>
    <w:rsid w:val="00F07D38"/>
    <w:rsid w:val="00F07D43"/>
    <w:rsid w:val="00F07D84"/>
    <w:rsid w:val="00F07DA3"/>
    <w:rsid w:val="00F07DD0"/>
    <w:rsid w:val="00F07DD9"/>
    <w:rsid w:val="00F07DEE"/>
    <w:rsid w:val="00F07E4C"/>
    <w:rsid w:val="00F07E5F"/>
    <w:rsid w:val="00F07E61"/>
    <w:rsid w:val="00F07EAE"/>
    <w:rsid w:val="00F07EC9"/>
    <w:rsid w:val="00F07EF3"/>
    <w:rsid w:val="00F07F42"/>
    <w:rsid w:val="00F07F57"/>
    <w:rsid w:val="00F1000F"/>
    <w:rsid w:val="00F10047"/>
    <w:rsid w:val="00F100D6"/>
    <w:rsid w:val="00F10107"/>
    <w:rsid w:val="00F10174"/>
    <w:rsid w:val="00F1018A"/>
    <w:rsid w:val="00F101AB"/>
    <w:rsid w:val="00F101C2"/>
    <w:rsid w:val="00F101F1"/>
    <w:rsid w:val="00F10222"/>
    <w:rsid w:val="00F10228"/>
    <w:rsid w:val="00F103A4"/>
    <w:rsid w:val="00F103BE"/>
    <w:rsid w:val="00F103E6"/>
    <w:rsid w:val="00F103EE"/>
    <w:rsid w:val="00F10419"/>
    <w:rsid w:val="00F10443"/>
    <w:rsid w:val="00F10458"/>
    <w:rsid w:val="00F10464"/>
    <w:rsid w:val="00F104D6"/>
    <w:rsid w:val="00F104E0"/>
    <w:rsid w:val="00F10528"/>
    <w:rsid w:val="00F10551"/>
    <w:rsid w:val="00F105B6"/>
    <w:rsid w:val="00F10641"/>
    <w:rsid w:val="00F1068C"/>
    <w:rsid w:val="00F106C0"/>
    <w:rsid w:val="00F106DB"/>
    <w:rsid w:val="00F106DF"/>
    <w:rsid w:val="00F106F3"/>
    <w:rsid w:val="00F10754"/>
    <w:rsid w:val="00F10756"/>
    <w:rsid w:val="00F10768"/>
    <w:rsid w:val="00F1079F"/>
    <w:rsid w:val="00F107BC"/>
    <w:rsid w:val="00F107CD"/>
    <w:rsid w:val="00F10802"/>
    <w:rsid w:val="00F1084E"/>
    <w:rsid w:val="00F108AE"/>
    <w:rsid w:val="00F108EB"/>
    <w:rsid w:val="00F108FC"/>
    <w:rsid w:val="00F10927"/>
    <w:rsid w:val="00F1094F"/>
    <w:rsid w:val="00F10987"/>
    <w:rsid w:val="00F109B4"/>
    <w:rsid w:val="00F109B5"/>
    <w:rsid w:val="00F109C5"/>
    <w:rsid w:val="00F10A1B"/>
    <w:rsid w:val="00F10A2D"/>
    <w:rsid w:val="00F10A6C"/>
    <w:rsid w:val="00F10A9E"/>
    <w:rsid w:val="00F10ABC"/>
    <w:rsid w:val="00F10ACE"/>
    <w:rsid w:val="00F10B0B"/>
    <w:rsid w:val="00F10B30"/>
    <w:rsid w:val="00F10BCD"/>
    <w:rsid w:val="00F10BF0"/>
    <w:rsid w:val="00F10BFB"/>
    <w:rsid w:val="00F10C26"/>
    <w:rsid w:val="00F10C64"/>
    <w:rsid w:val="00F10CDC"/>
    <w:rsid w:val="00F10CFB"/>
    <w:rsid w:val="00F10D32"/>
    <w:rsid w:val="00F10D7D"/>
    <w:rsid w:val="00F10DB9"/>
    <w:rsid w:val="00F10DC5"/>
    <w:rsid w:val="00F10DE9"/>
    <w:rsid w:val="00F10DF0"/>
    <w:rsid w:val="00F10E71"/>
    <w:rsid w:val="00F10E91"/>
    <w:rsid w:val="00F10EAE"/>
    <w:rsid w:val="00F10EFA"/>
    <w:rsid w:val="00F10F4D"/>
    <w:rsid w:val="00F10F8B"/>
    <w:rsid w:val="00F10FB7"/>
    <w:rsid w:val="00F10FF0"/>
    <w:rsid w:val="00F10FF7"/>
    <w:rsid w:val="00F1101F"/>
    <w:rsid w:val="00F1103C"/>
    <w:rsid w:val="00F1106F"/>
    <w:rsid w:val="00F11078"/>
    <w:rsid w:val="00F11092"/>
    <w:rsid w:val="00F110AA"/>
    <w:rsid w:val="00F110F5"/>
    <w:rsid w:val="00F110FC"/>
    <w:rsid w:val="00F11116"/>
    <w:rsid w:val="00F1111C"/>
    <w:rsid w:val="00F11179"/>
    <w:rsid w:val="00F1128C"/>
    <w:rsid w:val="00F1129E"/>
    <w:rsid w:val="00F112A6"/>
    <w:rsid w:val="00F112E3"/>
    <w:rsid w:val="00F112F8"/>
    <w:rsid w:val="00F112FF"/>
    <w:rsid w:val="00F1133D"/>
    <w:rsid w:val="00F1135E"/>
    <w:rsid w:val="00F11390"/>
    <w:rsid w:val="00F113DD"/>
    <w:rsid w:val="00F1142E"/>
    <w:rsid w:val="00F1148E"/>
    <w:rsid w:val="00F114BB"/>
    <w:rsid w:val="00F114E1"/>
    <w:rsid w:val="00F11529"/>
    <w:rsid w:val="00F11629"/>
    <w:rsid w:val="00F11638"/>
    <w:rsid w:val="00F11657"/>
    <w:rsid w:val="00F116D1"/>
    <w:rsid w:val="00F11739"/>
    <w:rsid w:val="00F1176A"/>
    <w:rsid w:val="00F11775"/>
    <w:rsid w:val="00F11783"/>
    <w:rsid w:val="00F11787"/>
    <w:rsid w:val="00F117BC"/>
    <w:rsid w:val="00F117F3"/>
    <w:rsid w:val="00F1183F"/>
    <w:rsid w:val="00F1185E"/>
    <w:rsid w:val="00F118F5"/>
    <w:rsid w:val="00F11916"/>
    <w:rsid w:val="00F11971"/>
    <w:rsid w:val="00F119B4"/>
    <w:rsid w:val="00F119E9"/>
    <w:rsid w:val="00F11A0E"/>
    <w:rsid w:val="00F11A24"/>
    <w:rsid w:val="00F11AB1"/>
    <w:rsid w:val="00F11ADD"/>
    <w:rsid w:val="00F11B20"/>
    <w:rsid w:val="00F11B34"/>
    <w:rsid w:val="00F11C2E"/>
    <w:rsid w:val="00F11C38"/>
    <w:rsid w:val="00F11C5A"/>
    <w:rsid w:val="00F11E11"/>
    <w:rsid w:val="00F11E6F"/>
    <w:rsid w:val="00F11E7A"/>
    <w:rsid w:val="00F11ECA"/>
    <w:rsid w:val="00F11F33"/>
    <w:rsid w:val="00F11F78"/>
    <w:rsid w:val="00F11FF7"/>
    <w:rsid w:val="00F12005"/>
    <w:rsid w:val="00F12008"/>
    <w:rsid w:val="00F1207C"/>
    <w:rsid w:val="00F12080"/>
    <w:rsid w:val="00F120DB"/>
    <w:rsid w:val="00F120F5"/>
    <w:rsid w:val="00F121D3"/>
    <w:rsid w:val="00F121E0"/>
    <w:rsid w:val="00F1228F"/>
    <w:rsid w:val="00F122A6"/>
    <w:rsid w:val="00F122AC"/>
    <w:rsid w:val="00F122ED"/>
    <w:rsid w:val="00F12301"/>
    <w:rsid w:val="00F1235C"/>
    <w:rsid w:val="00F12392"/>
    <w:rsid w:val="00F12428"/>
    <w:rsid w:val="00F1244D"/>
    <w:rsid w:val="00F12494"/>
    <w:rsid w:val="00F124A0"/>
    <w:rsid w:val="00F124AD"/>
    <w:rsid w:val="00F12599"/>
    <w:rsid w:val="00F125B8"/>
    <w:rsid w:val="00F125CB"/>
    <w:rsid w:val="00F1260A"/>
    <w:rsid w:val="00F12629"/>
    <w:rsid w:val="00F1262B"/>
    <w:rsid w:val="00F12643"/>
    <w:rsid w:val="00F1264D"/>
    <w:rsid w:val="00F126B0"/>
    <w:rsid w:val="00F126EA"/>
    <w:rsid w:val="00F1274A"/>
    <w:rsid w:val="00F12789"/>
    <w:rsid w:val="00F1280C"/>
    <w:rsid w:val="00F12831"/>
    <w:rsid w:val="00F1283C"/>
    <w:rsid w:val="00F1287A"/>
    <w:rsid w:val="00F1287D"/>
    <w:rsid w:val="00F128A1"/>
    <w:rsid w:val="00F128C6"/>
    <w:rsid w:val="00F1295D"/>
    <w:rsid w:val="00F12A59"/>
    <w:rsid w:val="00F12AB4"/>
    <w:rsid w:val="00F12AE2"/>
    <w:rsid w:val="00F12AEC"/>
    <w:rsid w:val="00F12AF5"/>
    <w:rsid w:val="00F12AF8"/>
    <w:rsid w:val="00F12AFB"/>
    <w:rsid w:val="00F12B9D"/>
    <w:rsid w:val="00F12C01"/>
    <w:rsid w:val="00F12CA0"/>
    <w:rsid w:val="00F12CA3"/>
    <w:rsid w:val="00F12CF2"/>
    <w:rsid w:val="00F12D15"/>
    <w:rsid w:val="00F12D4A"/>
    <w:rsid w:val="00F12D73"/>
    <w:rsid w:val="00F12DE5"/>
    <w:rsid w:val="00F12F25"/>
    <w:rsid w:val="00F12F68"/>
    <w:rsid w:val="00F12F85"/>
    <w:rsid w:val="00F12FDF"/>
    <w:rsid w:val="00F13003"/>
    <w:rsid w:val="00F1302A"/>
    <w:rsid w:val="00F1308C"/>
    <w:rsid w:val="00F1308E"/>
    <w:rsid w:val="00F130E4"/>
    <w:rsid w:val="00F13103"/>
    <w:rsid w:val="00F13172"/>
    <w:rsid w:val="00F1320A"/>
    <w:rsid w:val="00F13233"/>
    <w:rsid w:val="00F13238"/>
    <w:rsid w:val="00F13267"/>
    <w:rsid w:val="00F132AB"/>
    <w:rsid w:val="00F132B2"/>
    <w:rsid w:val="00F13348"/>
    <w:rsid w:val="00F133D2"/>
    <w:rsid w:val="00F133F1"/>
    <w:rsid w:val="00F133F9"/>
    <w:rsid w:val="00F13407"/>
    <w:rsid w:val="00F13470"/>
    <w:rsid w:val="00F1347B"/>
    <w:rsid w:val="00F13484"/>
    <w:rsid w:val="00F134A3"/>
    <w:rsid w:val="00F134AB"/>
    <w:rsid w:val="00F134C2"/>
    <w:rsid w:val="00F134D2"/>
    <w:rsid w:val="00F1357A"/>
    <w:rsid w:val="00F1358F"/>
    <w:rsid w:val="00F13592"/>
    <w:rsid w:val="00F135E8"/>
    <w:rsid w:val="00F1362C"/>
    <w:rsid w:val="00F136E0"/>
    <w:rsid w:val="00F13724"/>
    <w:rsid w:val="00F1372A"/>
    <w:rsid w:val="00F13748"/>
    <w:rsid w:val="00F13755"/>
    <w:rsid w:val="00F137A4"/>
    <w:rsid w:val="00F137EA"/>
    <w:rsid w:val="00F13812"/>
    <w:rsid w:val="00F138A6"/>
    <w:rsid w:val="00F138AC"/>
    <w:rsid w:val="00F13911"/>
    <w:rsid w:val="00F13937"/>
    <w:rsid w:val="00F13961"/>
    <w:rsid w:val="00F13991"/>
    <w:rsid w:val="00F139B1"/>
    <w:rsid w:val="00F139B9"/>
    <w:rsid w:val="00F139DA"/>
    <w:rsid w:val="00F139DB"/>
    <w:rsid w:val="00F139EF"/>
    <w:rsid w:val="00F13A0C"/>
    <w:rsid w:val="00F13A18"/>
    <w:rsid w:val="00F13A4D"/>
    <w:rsid w:val="00F13A71"/>
    <w:rsid w:val="00F13A79"/>
    <w:rsid w:val="00F13A8B"/>
    <w:rsid w:val="00F13B24"/>
    <w:rsid w:val="00F13B49"/>
    <w:rsid w:val="00F13B4D"/>
    <w:rsid w:val="00F13B58"/>
    <w:rsid w:val="00F13B77"/>
    <w:rsid w:val="00F13BA8"/>
    <w:rsid w:val="00F13BD5"/>
    <w:rsid w:val="00F13C3F"/>
    <w:rsid w:val="00F13C44"/>
    <w:rsid w:val="00F13CA1"/>
    <w:rsid w:val="00F13D25"/>
    <w:rsid w:val="00F13D31"/>
    <w:rsid w:val="00F13D32"/>
    <w:rsid w:val="00F13D35"/>
    <w:rsid w:val="00F13D84"/>
    <w:rsid w:val="00F13D8D"/>
    <w:rsid w:val="00F13DB8"/>
    <w:rsid w:val="00F13DC7"/>
    <w:rsid w:val="00F13DD6"/>
    <w:rsid w:val="00F13DF0"/>
    <w:rsid w:val="00F13EA0"/>
    <w:rsid w:val="00F13EB3"/>
    <w:rsid w:val="00F13ED4"/>
    <w:rsid w:val="00F13F08"/>
    <w:rsid w:val="00F13F30"/>
    <w:rsid w:val="00F13F3F"/>
    <w:rsid w:val="00F13F75"/>
    <w:rsid w:val="00F13F7E"/>
    <w:rsid w:val="00F13FAD"/>
    <w:rsid w:val="00F14019"/>
    <w:rsid w:val="00F140A8"/>
    <w:rsid w:val="00F14171"/>
    <w:rsid w:val="00F1417C"/>
    <w:rsid w:val="00F14182"/>
    <w:rsid w:val="00F141A0"/>
    <w:rsid w:val="00F141F3"/>
    <w:rsid w:val="00F14205"/>
    <w:rsid w:val="00F14228"/>
    <w:rsid w:val="00F14290"/>
    <w:rsid w:val="00F14303"/>
    <w:rsid w:val="00F14371"/>
    <w:rsid w:val="00F143A2"/>
    <w:rsid w:val="00F1443A"/>
    <w:rsid w:val="00F14474"/>
    <w:rsid w:val="00F14486"/>
    <w:rsid w:val="00F144A8"/>
    <w:rsid w:val="00F14514"/>
    <w:rsid w:val="00F14541"/>
    <w:rsid w:val="00F145A8"/>
    <w:rsid w:val="00F145F6"/>
    <w:rsid w:val="00F14624"/>
    <w:rsid w:val="00F1465D"/>
    <w:rsid w:val="00F1466F"/>
    <w:rsid w:val="00F14680"/>
    <w:rsid w:val="00F146E0"/>
    <w:rsid w:val="00F146E5"/>
    <w:rsid w:val="00F1476B"/>
    <w:rsid w:val="00F147CF"/>
    <w:rsid w:val="00F14831"/>
    <w:rsid w:val="00F1483E"/>
    <w:rsid w:val="00F14886"/>
    <w:rsid w:val="00F148A9"/>
    <w:rsid w:val="00F148BE"/>
    <w:rsid w:val="00F148E4"/>
    <w:rsid w:val="00F1493B"/>
    <w:rsid w:val="00F14950"/>
    <w:rsid w:val="00F14954"/>
    <w:rsid w:val="00F1495C"/>
    <w:rsid w:val="00F14969"/>
    <w:rsid w:val="00F1496D"/>
    <w:rsid w:val="00F1497B"/>
    <w:rsid w:val="00F14999"/>
    <w:rsid w:val="00F14A89"/>
    <w:rsid w:val="00F14AC3"/>
    <w:rsid w:val="00F14B78"/>
    <w:rsid w:val="00F14BB0"/>
    <w:rsid w:val="00F14BDF"/>
    <w:rsid w:val="00F14C81"/>
    <w:rsid w:val="00F14C8A"/>
    <w:rsid w:val="00F14CC1"/>
    <w:rsid w:val="00F14CEB"/>
    <w:rsid w:val="00F14D5C"/>
    <w:rsid w:val="00F14D70"/>
    <w:rsid w:val="00F14D7D"/>
    <w:rsid w:val="00F14D93"/>
    <w:rsid w:val="00F14D9F"/>
    <w:rsid w:val="00F14DCC"/>
    <w:rsid w:val="00F14DE0"/>
    <w:rsid w:val="00F14DEA"/>
    <w:rsid w:val="00F14E06"/>
    <w:rsid w:val="00F14E13"/>
    <w:rsid w:val="00F14E14"/>
    <w:rsid w:val="00F14E37"/>
    <w:rsid w:val="00F14E46"/>
    <w:rsid w:val="00F14F1D"/>
    <w:rsid w:val="00F14F25"/>
    <w:rsid w:val="00F14F2A"/>
    <w:rsid w:val="00F14F93"/>
    <w:rsid w:val="00F1502D"/>
    <w:rsid w:val="00F15190"/>
    <w:rsid w:val="00F151C1"/>
    <w:rsid w:val="00F1520B"/>
    <w:rsid w:val="00F15269"/>
    <w:rsid w:val="00F15273"/>
    <w:rsid w:val="00F152E0"/>
    <w:rsid w:val="00F15336"/>
    <w:rsid w:val="00F1533D"/>
    <w:rsid w:val="00F15397"/>
    <w:rsid w:val="00F1543F"/>
    <w:rsid w:val="00F15453"/>
    <w:rsid w:val="00F1545F"/>
    <w:rsid w:val="00F154BA"/>
    <w:rsid w:val="00F15542"/>
    <w:rsid w:val="00F15568"/>
    <w:rsid w:val="00F15584"/>
    <w:rsid w:val="00F1558B"/>
    <w:rsid w:val="00F1558C"/>
    <w:rsid w:val="00F155DE"/>
    <w:rsid w:val="00F155E6"/>
    <w:rsid w:val="00F15650"/>
    <w:rsid w:val="00F1567E"/>
    <w:rsid w:val="00F1568C"/>
    <w:rsid w:val="00F156DC"/>
    <w:rsid w:val="00F156F5"/>
    <w:rsid w:val="00F156FF"/>
    <w:rsid w:val="00F157D5"/>
    <w:rsid w:val="00F15836"/>
    <w:rsid w:val="00F15853"/>
    <w:rsid w:val="00F15886"/>
    <w:rsid w:val="00F1590E"/>
    <w:rsid w:val="00F15939"/>
    <w:rsid w:val="00F15949"/>
    <w:rsid w:val="00F1598E"/>
    <w:rsid w:val="00F159B6"/>
    <w:rsid w:val="00F159B9"/>
    <w:rsid w:val="00F159CF"/>
    <w:rsid w:val="00F159E2"/>
    <w:rsid w:val="00F15A38"/>
    <w:rsid w:val="00F15A39"/>
    <w:rsid w:val="00F15A5B"/>
    <w:rsid w:val="00F15A7D"/>
    <w:rsid w:val="00F15AA7"/>
    <w:rsid w:val="00F15AA8"/>
    <w:rsid w:val="00F15AB4"/>
    <w:rsid w:val="00F15AC6"/>
    <w:rsid w:val="00F15AD8"/>
    <w:rsid w:val="00F15AF8"/>
    <w:rsid w:val="00F15B4A"/>
    <w:rsid w:val="00F15B65"/>
    <w:rsid w:val="00F15B6A"/>
    <w:rsid w:val="00F15B6B"/>
    <w:rsid w:val="00F15B79"/>
    <w:rsid w:val="00F15BEB"/>
    <w:rsid w:val="00F15BEF"/>
    <w:rsid w:val="00F15C4B"/>
    <w:rsid w:val="00F15C61"/>
    <w:rsid w:val="00F15CA2"/>
    <w:rsid w:val="00F15CA5"/>
    <w:rsid w:val="00F15CDE"/>
    <w:rsid w:val="00F15CF8"/>
    <w:rsid w:val="00F15D16"/>
    <w:rsid w:val="00F15D69"/>
    <w:rsid w:val="00F15D6C"/>
    <w:rsid w:val="00F15D71"/>
    <w:rsid w:val="00F15E11"/>
    <w:rsid w:val="00F15E2E"/>
    <w:rsid w:val="00F15E80"/>
    <w:rsid w:val="00F15E93"/>
    <w:rsid w:val="00F15EF0"/>
    <w:rsid w:val="00F15F0E"/>
    <w:rsid w:val="00F15F36"/>
    <w:rsid w:val="00F15F40"/>
    <w:rsid w:val="00F15F45"/>
    <w:rsid w:val="00F15F73"/>
    <w:rsid w:val="00F15F7A"/>
    <w:rsid w:val="00F15F9B"/>
    <w:rsid w:val="00F16000"/>
    <w:rsid w:val="00F1602C"/>
    <w:rsid w:val="00F16038"/>
    <w:rsid w:val="00F16090"/>
    <w:rsid w:val="00F160BE"/>
    <w:rsid w:val="00F16123"/>
    <w:rsid w:val="00F16163"/>
    <w:rsid w:val="00F161A5"/>
    <w:rsid w:val="00F161DD"/>
    <w:rsid w:val="00F161DF"/>
    <w:rsid w:val="00F161EC"/>
    <w:rsid w:val="00F1623F"/>
    <w:rsid w:val="00F1624A"/>
    <w:rsid w:val="00F16250"/>
    <w:rsid w:val="00F16280"/>
    <w:rsid w:val="00F16291"/>
    <w:rsid w:val="00F1631D"/>
    <w:rsid w:val="00F163A5"/>
    <w:rsid w:val="00F163D3"/>
    <w:rsid w:val="00F163E3"/>
    <w:rsid w:val="00F16451"/>
    <w:rsid w:val="00F16461"/>
    <w:rsid w:val="00F16468"/>
    <w:rsid w:val="00F164AA"/>
    <w:rsid w:val="00F16522"/>
    <w:rsid w:val="00F165CB"/>
    <w:rsid w:val="00F165CF"/>
    <w:rsid w:val="00F16627"/>
    <w:rsid w:val="00F16670"/>
    <w:rsid w:val="00F166FE"/>
    <w:rsid w:val="00F16707"/>
    <w:rsid w:val="00F1670B"/>
    <w:rsid w:val="00F1678F"/>
    <w:rsid w:val="00F167B0"/>
    <w:rsid w:val="00F16806"/>
    <w:rsid w:val="00F16812"/>
    <w:rsid w:val="00F1682C"/>
    <w:rsid w:val="00F1682F"/>
    <w:rsid w:val="00F1683A"/>
    <w:rsid w:val="00F1688A"/>
    <w:rsid w:val="00F1688D"/>
    <w:rsid w:val="00F16899"/>
    <w:rsid w:val="00F1689B"/>
    <w:rsid w:val="00F168EB"/>
    <w:rsid w:val="00F16941"/>
    <w:rsid w:val="00F169EB"/>
    <w:rsid w:val="00F16A25"/>
    <w:rsid w:val="00F16A58"/>
    <w:rsid w:val="00F16A63"/>
    <w:rsid w:val="00F16A69"/>
    <w:rsid w:val="00F16A6D"/>
    <w:rsid w:val="00F16ABA"/>
    <w:rsid w:val="00F16B2D"/>
    <w:rsid w:val="00F16BAD"/>
    <w:rsid w:val="00F16C23"/>
    <w:rsid w:val="00F16C65"/>
    <w:rsid w:val="00F16CC8"/>
    <w:rsid w:val="00F16CFC"/>
    <w:rsid w:val="00F16D21"/>
    <w:rsid w:val="00F16D4F"/>
    <w:rsid w:val="00F16D67"/>
    <w:rsid w:val="00F16E53"/>
    <w:rsid w:val="00F16E55"/>
    <w:rsid w:val="00F16E8B"/>
    <w:rsid w:val="00F16EAF"/>
    <w:rsid w:val="00F16EEB"/>
    <w:rsid w:val="00F16F3F"/>
    <w:rsid w:val="00F16F5A"/>
    <w:rsid w:val="00F16F99"/>
    <w:rsid w:val="00F16FAE"/>
    <w:rsid w:val="00F1703B"/>
    <w:rsid w:val="00F1703C"/>
    <w:rsid w:val="00F1705E"/>
    <w:rsid w:val="00F170C2"/>
    <w:rsid w:val="00F170F4"/>
    <w:rsid w:val="00F17103"/>
    <w:rsid w:val="00F1710D"/>
    <w:rsid w:val="00F1711E"/>
    <w:rsid w:val="00F1711F"/>
    <w:rsid w:val="00F17163"/>
    <w:rsid w:val="00F17197"/>
    <w:rsid w:val="00F171FB"/>
    <w:rsid w:val="00F1723E"/>
    <w:rsid w:val="00F17247"/>
    <w:rsid w:val="00F17256"/>
    <w:rsid w:val="00F172B2"/>
    <w:rsid w:val="00F172D9"/>
    <w:rsid w:val="00F172E0"/>
    <w:rsid w:val="00F17368"/>
    <w:rsid w:val="00F1737D"/>
    <w:rsid w:val="00F17394"/>
    <w:rsid w:val="00F173AE"/>
    <w:rsid w:val="00F173B6"/>
    <w:rsid w:val="00F1740F"/>
    <w:rsid w:val="00F1741F"/>
    <w:rsid w:val="00F1746E"/>
    <w:rsid w:val="00F174AE"/>
    <w:rsid w:val="00F174BA"/>
    <w:rsid w:val="00F174CF"/>
    <w:rsid w:val="00F174D0"/>
    <w:rsid w:val="00F175B3"/>
    <w:rsid w:val="00F175DF"/>
    <w:rsid w:val="00F17606"/>
    <w:rsid w:val="00F17718"/>
    <w:rsid w:val="00F17749"/>
    <w:rsid w:val="00F1775E"/>
    <w:rsid w:val="00F177FF"/>
    <w:rsid w:val="00F1787B"/>
    <w:rsid w:val="00F178CB"/>
    <w:rsid w:val="00F178EF"/>
    <w:rsid w:val="00F17942"/>
    <w:rsid w:val="00F17963"/>
    <w:rsid w:val="00F1798A"/>
    <w:rsid w:val="00F17A05"/>
    <w:rsid w:val="00F17A8D"/>
    <w:rsid w:val="00F17A9E"/>
    <w:rsid w:val="00F17AAF"/>
    <w:rsid w:val="00F17AC9"/>
    <w:rsid w:val="00F17AEA"/>
    <w:rsid w:val="00F17B14"/>
    <w:rsid w:val="00F17B1D"/>
    <w:rsid w:val="00F17B5C"/>
    <w:rsid w:val="00F17BF3"/>
    <w:rsid w:val="00F17C7E"/>
    <w:rsid w:val="00F17C9C"/>
    <w:rsid w:val="00F17CD8"/>
    <w:rsid w:val="00F17CDE"/>
    <w:rsid w:val="00F17E0F"/>
    <w:rsid w:val="00F17E54"/>
    <w:rsid w:val="00F17EB8"/>
    <w:rsid w:val="00F17EB9"/>
    <w:rsid w:val="00F17EBE"/>
    <w:rsid w:val="00F17F39"/>
    <w:rsid w:val="00F17F68"/>
    <w:rsid w:val="00F17F75"/>
    <w:rsid w:val="00F17F96"/>
    <w:rsid w:val="00F17FB1"/>
    <w:rsid w:val="00F17FBA"/>
    <w:rsid w:val="00F17FD5"/>
    <w:rsid w:val="00F17FDC"/>
    <w:rsid w:val="00F17FE9"/>
    <w:rsid w:val="00F20019"/>
    <w:rsid w:val="00F20055"/>
    <w:rsid w:val="00F200A1"/>
    <w:rsid w:val="00F200B8"/>
    <w:rsid w:val="00F200F1"/>
    <w:rsid w:val="00F20104"/>
    <w:rsid w:val="00F20124"/>
    <w:rsid w:val="00F2015E"/>
    <w:rsid w:val="00F201C5"/>
    <w:rsid w:val="00F2024B"/>
    <w:rsid w:val="00F20251"/>
    <w:rsid w:val="00F2028E"/>
    <w:rsid w:val="00F202CD"/>
    <w:rsid w:val="00F202D9"/>
    <w:rsid w:val="00F202F4"/>
    <w:rsid w:val="00F20306"/>
    <w:rsid w:val="00F20370"/>
    <w:rsid w:val="00F2039F"/>
    <w:rsid w:val="00F203CE"/>
    <w:rsid w:val="00F2042F"/>
    <w:rsid w:val="00F2044F"/>
    <w:rsid w:val="00F20500"/>
    <w:rsid w:val="00F20549"/>
    <w:rsid w:val="00F2055F"/>
    <w:rsid w:val="00F20592"/>
    <w:rsid w:val="00F205A8"/>
    <w:rsid w:val="00F20643"/>
    <w:rsid w:val="00F20692"/>
    <w:rsid w:val="00F20714"/>
    <w:rsid w:val="00F207AC"/>
    <w:rsid w:val="00F207EE"/>
    <w:rsid w:val="00F207F9"/>
    <w:rsid w:val="00F20808"/>
    <w:rsid w:val="00F20813"/>
    <w:rsid w:val="00F2084E"/>
    <w:rsid w:val="00F208C2"/>
    <w:rsid w:val="00F208FB"/>
    <w:rsid w:val="00F20910"/>
    <w:rsid w:val="00F2091C"/>
    <w:rsid w:val="00F209FD"/>
    <w:rsid w:val="00F20A34"/>
    <w:rsid w:val="00F20A3B"/>
    <w:rsid w:val="00F20A76"/>
    <w:rsid w:val="00F20A98"/>
    <w:rsid w:val="00F20AD9"/>
    <w:rsid w:val="00F20AEE"/>
    <w:rsid w:val="00F20B05"/>
    <w:rsid w:val="00F20B6B"/>
    <w:rsid w:val="00F20C02"/>
    <w:rsid w:val="00F20C88"/>
    <w:rsid w:val="00F20CA4"/>
    <w:rsid w:val="00F20CE0"/>
    <w:rsid w:val="00F20D22"/>
    <w:rsid w:val="00F20D94"/>
    <w:rsid w:val="00F20DC7"/>
    <w:rsid w:val="00F20DD8"/>
    <w:rsid w:val="00F20E62"/>
    <w:rsid w:val="00F20EFF"/>
    <w:rsid w:val="00F20F4A"/>
    <w:rsid w:val="00F20F51"/>
    <w:rsid w:val="00F20F59"/>
    <w:rsid w:val="00F20F68"/>
    <w:rsid w:val="00F20F8A"/>
    <w:rsid w:val="00F20F8F"/>
    <w:rsid w:val="00F20FB0"/>
    <w:rsid w:val="00F20FC2"/>
    <w:rsid w:val="00F20FD0"/>
    <w:rsid w:val="00F2102A"/>
    <w:rsid w:val="00F21047"/>
    <w:rsid w:val="00F21058"/>
    <w:rsid w:val="00F2109B"/>
    <w:rsid w:val="00F210BA"/>
    <w:rsid w:val="00F21136"/>
    <w:rsid w:val="00F2115A"/>
    <w:rsid w:val="00F21177"/>
    <w:rsid w:val="00F211D7"/>
    <w:rsid w:val="00F21257"/>
    <w:rsid w:val="00F21288"/>
    <w:rsid w:val="00F21296"/>
    <w:rsid w:val="00F2129F"/>
    <w:rsid w:val="00F212A9"/>
    <w:rsid w:val="00F21373"/>
    <w:rsid w:val="00F21396"/>
    <w:rsid w:val="00F213DC"/>
    <w:rsid w:val="00F213EC"/>
    <w:rsid w:val="00F21413"/>
    <w:rsid w:val="00F21439"/>
    <w:rsid w:val="00F2143B"/>
    <w:rsid w:val="00F21448"/>
    <w:rsid w:val="00F21487"/>
    <w:rsid w:val="00F214BC"/>
    <w:rsid w:val="00F214F9"/>
    <w:rsid w:val="00F2150A"/>
    <w:rsid w:val="00F2156E"/>
    <w:rsid w:val="00F21580"/>
    <w:rsid w:val="00F215D4"/>
    <w:rsid w:val="00F215E1"/>
    <w:rsid w:val="00F2163C"/>
    <w:rsid w:val="00F21782"/>
    <w:rsid w:val="00F217A8"/>
    <w:rsid w:val="00F217AD"/>
    <w:rsid w:val="00F217D6"/>
    <w:rsid w:val="00F2181D"/>
    <w:rsid w:val="00F21821"/>
    <w:rsid w:val="00F21844"/>
    <w:rsid w:val="00F21870"/>
    <w:rsid w:val="00F21898"/>
    <w:rsid w:val="00F218DD"/>
    <w:rsid w:val="00F218E5"/>
    <w:rsid w:val="00F2191B"/>
    <w:rsid w:val="00F2195B"/>
    <w:rsid w:val="00F21984"/>
    <w:rsid w:val="00F219A7"/>
    <w:rsid w:val="00F219FC"/>
    <w:rsid w:val="00F21A37"/>
    <w:rsid w:val="00F21A70"/>
    <w:rsid w:val="00F21A8E"/>
    <w:rsid w:val="00F21AA3"/>
    <w:rsid w:val="00F21AA6"/>
    <w:rsid w:val="00F21AD1"/>
    <w:rsid w:val="00F21B1E"/>
    <w:rsid w:val="00F21B32"/>
    <w:rsid w:val="00F21B46"/>
    <w:rsid w:val="00F21BC7"/>
    <w:rsid w:val="00F21BFE"/>
    <w:rsid w:val="00F21C0F"/>
    <w:rsid w:val="00F21C21"/>
    <w:rsid w:val="00F21C34"/>
    <w:rsid w:val="00F21C61"/>
    <w:rsid w:val="00F21C6D"/>
    <w:rsid w:val="00F21C6F"/>
    <w:rsid w:val="00F21C84"/>
    <w:rsid w:val="00F21CAA"/>
    <w:rsid w:val="00F21CEC"/>
    <w:rsid w:val="00F21D02"/>
    <w:rsid w:val="00F21D20"/>
    <w:rsid w:val="00F21D34"/>
    <w:rsid w:val="00F21DB9"/>
    <w:rsid w:val="00F21E2F"/>
    <w:rsid w:val="00F21E5B"/>
    <w:rsid w:val="00F21E5D"/>
    <w:rsid w:val="00F21E94"/>
    <w:rsid w:val="00F21ED8"/>
    <w:rsid w:val="00F21EE5"/>
    <w:rsid w:val="00F21EEF"/>
    <w:rsid w:val="00F21F3A"/>
    <w:rsid w:val="00F21FE5"/>
    <w:rsid w:val="00F21FF7"/>
    <w:rsid w:val="00F220E5"/>
    <w:rsid w:val="00F2212E"/>
    <w:rsid w:val="00F221BF"/>
    <w:rsid w:val="00F22300"/>
    <w:rsid w:val="00F2231A"/>
    <w:rsid w:val="00F2231E"/>
    <w:rsid w:val="00F2233C"/>
    <w:rsid w:val="00F2233E"/>
    <w:rsid w:val="00F22345"/>
    <w:rsid w:val="00F22364"/>
    <w:rsid w:val="00F22381"/>
    <w:rsid w:val="00F2241E"/>
    <w:rsid w:val="00F2242C"/>
    <w:rsid w:val="00F22431"/>
    <w:rsid w:val="00F2244D"/>
    <w:rsid w:val="00F22496"/>
    <w:rsid w:val="00F224F5"/>
    <w:rsid w:val="00F2255D"/>
    <w:rsid w:val="00F225CD"/>
    <w:rsid w:val="00F225D1"/>
    <w:rsid w:val="00F225E6"/>
    <w:rsid w:val="00F22670"/>
    <w:rsid w:val="00F226D4"/>
    <w:rsid w:val="00F226DF"/>
    <w:rsid w:val="00F22704"/>
    <w:rsid w:val="00F22710"/>
    <w:rsid w:val="00F22753"/>
    <w:rsid w:val="00F227FE"/>
    <w:rsid w:val="00F22883"/>
    <w:rsid w:val="00F22896"/>
    <w:rsid w:val="00F228C9"/>
    <w:rsid w:val="00F22988"/>
    <w:rsid w:val="00F22A48"/>
    <w:rsid w:val="00F22A92"/>
    <w:rsid w:val="00F22A9C"/>
    <w:rsid w:val="00F22B1E"/>
    <w:rsid w:val="00F22B56"/>
    <w:rsid w:val="00F22BBF"/>
    <w:rsid w:val="00F22C48"/>
    <w:rsid w:val="00F22C76"/>
    <w:rsid w:val="00F22C8E"/>
    <w:rsid w:val="00F22C92"/>
    <w:rsid w:val="00F22CCB"/>
    <w:rsid w:val="00F22D0E"/>
    <w:rsid w:val="00F22D35"/>
    <w:rsid w:val="00F22D3C"/>
    <w:rsid w:val="00F22D49"/>
    <w:rsid w:val="00F22D5B"/>
    <w:rsid w:val="00F22D84"/>
    <w:rsid w:val="00F22D87"/>
    <w:rsid w:val="00F22D89"/>
    <w:rsid w:val="00F22DC3"/>
    <w:rsid w:val="00F22E4F"/>
    <w:rsid w:val="00F22E71"/>
    <w:rsid w:val="00F22E9A"/>
    <w:rsid w:val="00F22EE8"/>
    <w:rsid w:val="00F22F08"/>
    <w:rsid w:val="00F22F60"/>
    <w:rsid w:val="00F22F6F"/>
    <w:rsid w:val="00F22F74"/>
    <w:rsid w:val="00F22FCB"/>
    <w:rsid w:val="00F22FE6"/>
    <w:rsid w:val="00F22FE7"/>
    <w:rsid w:val="00F23001"/>
    <w:rsid w:val="00F23032"/>
    <w:rsid w:val="00F2304B"/>
    <w:rsid w:val="00F23124"/>
    <w:rsid w:val="00F2317D"/>
    <w:rsid w:val="00F23254"/>
    <w:rsid w:val="00F23295"/>
    <w:rsid w:val="00F232A0"/>
    <w:rsid w:val="00F232B2"/>
    <w:rsid w:val="00F232C0"/>
    <w:rsid w:val="00F232E6"/>
    <w:rsid w:val="00F2333F"/>
    <w:rsid w:val="00F2336F"/>
    <w:rsid w:val="00F23378"/>
    <w:rsid w:val="00F233B2"/>
    <w:rsid w:val="00F2343A"/>
    <w:rsid w:val="00F2349F"/>
    <w:rsid w:val="00F234D6"/>
    <w:rsid w:val="00F2351D"/>
    <w:rsid w:val="00F23550"/>
    <w:rsid w:val="00F23559"/>
    <w:rsid w:val="00F235A8"/>
    <w:rsid w:val="00F235B7"/>
    <w:rsid w:val="00F235C5"/>
    <w:rsid w:val="00F235E2"/>
    <w:rsid w:val="00F235E5"/>
    <w:rsid w:val="00F235FE"/>
    <w:rsid w:val="00F23610"/>
    <w:rsid w:val="00F23618"/>
    <w:rsid w:val="00F23629"/>
    <w:rsid w:val="00F2362F"/>
    <w:rsid w:val="00F23674"/>
    <w:rsid w:val="00F23691"/>
    <w:rsid w:val="00F236CB"/>
    <w:rsid w:val="00F23765"/>
    <w:rsid w:val="00F23798"/>
    <w:rsid w:val="00F237AC"/>
    <w:rsid w:val="00F237E1"/>
    <w:rsid w:val="00F23850"/>
    <w:rsid w:val="00F238AC"/>
    <w:rsid w:val="00F238D7"/>
    <w:rsid w:val="00F2392D"/>
    <w:rsid w:val="00F2393A"/>
    <w:rsid w:val="00F2395B"/>
    <w:rsid w:val="00F23985"/>
    <w:rsid w:val="00F23996"/>
    <w:rsid w:val="00F239A1"/>
    <w:rsid w:val="00F239CB"/>
    <w:rsid w:val="00F23A05"/>
    <w:rsid w:val="00F23A54"/>
    <w:rsid w:val="00F23ACE"/>
    <w:rsid w:val="00F23AE3"/>
    <w:rsid w:val="00F23B0E"/>
    <w:rsid w:val="00F23B65"/>
    <w:rsid w:val="00F23BF6"/>
    <w:rsid w:val="00F23C92"/>
    <w:rsid w:val="00F23D15"/>
    <w:rsid w:val="00F23DA8"/>
    <w:rsid w:val="00F23DE6"/>
    <w:rsid w:val="00F23EB8"/>
    <w:rsid w:val="00F23EC8"/>
    <w:rsid w:val="00F23EDE"/>
    <w:rsid w:val="00F23F33"/>
    <w:rsid w:val="00F23F38"/>
    <w:rsid w:val="00F23F5E"/>
    <w:rsid w:val="00F23F66"/>
    <w:rsid w:val="00F2400B"/>
    <w:rsid w:val="00F240AD"/>
    <w:rsid w:val="00F240D2"/>
    <w:rsid w:val="00F240D8"/>
    <w:rsid w:val="00F2410D"/>
    <w:rsid w:val="00F24113"/>
    <w:rsid w:val="00F24148"/>
    <w:rsid w:val="00F241D1"/>
    <w:rsid w:val="00F24205"/>
    <w:rsid w:val="00F24292"/>
    <w:rsid w:val="00F242A1"/>
    <w:rsid w:val="00F242D0"/>
    <w:rsid w:val="00F24338"/>
    <w:rsid w:val="00F2436E"/>
    <w:rsid w:val="00F24389"/>
    <w:rsid w:val="00F243CB"/>
    <w:rsid w:val="00F243D5"/>
    <w:rsid w:val="00F243FE"/>
    <w:rsid w:val="00F24418"/>
    <w:rsid w:val="00F24423"/>
    <w:rsid w:val="00F245BC"/>
    <w:rsid w:val="00F245CE"/>
    <w:rsid w:val="00F245D9"/>
    <w:rsid w:val="00F245E1"/>
    <w:rsid w:val="00F245F0"/>
    <w:rsid w:val="00F245F5"/>
    <w:rsid w:val="00F24669"/>
    <w:rsid w:val="00F2467C"/>
    <w:rsid w:val="00F246EA"/>
    <w:rsid w:val="00F2472C"/>
    <w:rsid w:val="00F24742"/>
    <w:rsid w:val="00F24756"/>
    <w:rsid w:val="00F24771"/>
    <w:rsid w:val="00F24776"/>
    <w:rsid w:val="00F247A6"/>
    <w:rsid w:val="00F247E3"/>
    <w:rsid w:val="00F247F0"/>
    <w:rsid w:val="00F2480E"/>
    <w:rsid w:val="00F24864"/>
    <w:rsid w:val="00F24897"/>
    <w:rsid w:val="00F248A5"/>
    <w:rsid w:val="00F24944"/>
    <w:rsid w:val="00F24A05"/>
    <w:rsid w:val="00F24A1C"/>
    <w:rsid w:val="00F24A3E"/>
    <w:rsid w:val="00F24A80"/>
    <w:rsid w:val="00F24AF1"/>
    <w:rsid w:val="00F24B12"/>
    <w:rsid w:val="00F24B27"/>
    <w:rsid w:val="00F24B98"/>
    <w:rsid w:val="00F24BA8"/>
    <w:rsid w:val="00F24BFF"/>
    <w:rsid w:val="00F24C14"/>
    <w:rsid w:val="00F24C2D"/>
    <w:rsid w:val="00F24C66"/>
    <w:rsid w:val="00F24C6A"/>
    <w:rsid w:val="00F24CAB"/>
    <w:rsid w:val="00F24CF6"/>
    <w:rsid w:val="00F24D2D"/>
    <w:rsid w:val="00F24D31"/>
    <w:rsid w:val="00F24D47"/>
    <w:rsid w:val="00F24D6B"/>
    <w:rsid w:val="00F24DFD"/>
    <w:rsid w:val="00F24E08"/>
    <w:rsid w:val="00F24E57"/>
    <w:rsid w:val="00F24F52"/>
    <w:rsid w:val="00F24F58"/>
    <w:rsid w:val="00F24F91"/>
    <w:rsid w:val="00F24FB4"/>
    <w:rsid w:val="00F24FC9"/>
    <w:rsid w:val="00F24FFA"/>
    <w:rsid w:val="00F2500B"/>
    <w:rsid w:val="00F25025"/>
    <w:rsid w:val="00F2502F"/>
    <w:rsid w:val="00F25042"/>
    <w:rsid w:val="00F25128"/>
    <w:rsid w:val="00F25143"/>
    <w:rsid w:val="00F2515F"/>
    <w:rsid w:val="00F25192"/>
    <w:rsid w:val="00F251AC"/>
    <w:rsid w:val="00F251D5"/>
    <w:rsid w:val="00F251E9"/>
    <w:rsid w:val="00F251ED"/>
    <w:rsid w:val="00F2522C"/>
    <w:rsid w:val="00F25276"/>
    <w:rsid w:val="00F25278"/>
    <w:rsid w:val="00F2528B"/>
    <w:rsid w:val="00F252FE"/>
    <w:rsid w:val="00F25335"/>
    <w:rsid w:val="00F25378"/>
    <w:rsid w:val="00F25389"/>
    <w:rsid w:val="00F2547E"/>
    <w:rsid w:val="00F2550A"/>
    <w:rsid w:val="00F25568"/>
    <w:rsid w:val="00F25589"/>
    <w:rsid w:val="00F255B6"/>
    <w:rsid w:val="00F25603"/>
    <w:rsid w:val="00F25626"/>
    <w:rsid w:val="00F25630"/>
    <w:rsid w:val="00F25675"/>
    <w:rsid w:val="00F25695"/>
    <w:rsid w:val="00F256B8"/>
    <w:rsid w:val="00F256CD"/>
    <w:rsid w:val="00F256D0"/>
    <w:rsid w:val="00F256DC"/>
    <w:rsid w:val="00F25704"/>
    <w:rsid w:val="00F25721"/>
    <w:rsid w:val="00F25744"/>
    <w:rsid w:val="00F2574A"/>
    <w:rsid w:val="00F2578F"/>
    <w:rsid w:val="00F257F0"/>
    <w:rsid w:val="00F25816"/>
    <w:rsid w:val="00F2581F"/>
    <w:rsid w:val="00F25829"/>
    <w:rsid w:val="00F2585C"/>
    <w:rsid w:val="00F2592B"/>
    <w:rsid w:val="00F2595C"/>
    <w:rsid w:val="00F25966"/>
    <w:rsid w:val="00F25979"/>
    <w:rsid w:val="00F259BF"/>
    <w:rsid w:val="00F259C2"/>
    <w:rsid w:val="00F259DA"/>
    <w:rsid w:val="00F259E5"/>
    <w:rsid w:val="00F259E9"/>
    <w:rsid w:val="00F259F0"/>
    <w:rsid w:val="00F25ABC"/>
    <w:rsid w:val="00F25ADF"/>
    <w:rsid w:val="00F25BA1"/>
    <w:rsid w:val="00F25BA5"/>
    <w:rsid w:val="00F25BC7"/>
    <w:rsid w:val="00F25BCE"/>
    <w:rsid w:val="00F25BD6"/>
    <w:rsid w:val="00F25BD7"/>
    <w:rsid w:val="00F25BF4"/>
    <w:rsid w:val="00F25C7E"/>
    <w:rsid w:val="00F25CA3"/>
    <w:rsid w:val="00F25CD0"/>
    <w:rsid w:val="00F25D18"/>
    <w:rsid w:val="00F25D47"/>
    <w:rsid w:val="00F25DFB"/>
    <w:rsid w:val="00F25E63"/>
    <w:rsid w:val="00F25E83"/>
    <w:rsid w:val="00F25EC4"/>
    <w:rsid w:val="00F25EF1"/>
    <w:rsid w:val="00F25F06"/>
    <w:rsid w:val="00F25F11"/>
    <w:rsid w:val="00F25F28"/>
    <w:rsid w:val="00F25F4C"/>
    <w:rsid w:val="00F25FA6"/>
    <w:rsid w:val="00F25FC4"/>
    <w:rsid w:val="00F25FD2"/>
    <w:rsid w:val="00F260A8"/>
    <w:rsid w:val="00F260AB"/>
    <w:rsid w:val="00F2615D"/>
    <w:rsid w:val="00F261D2"/>
    <w:rsid w:val="00F2624C"/>
    <w:rsid w:val="00F262E7"/>
    <w:rsid w:val="00F26321"/>
    <w:rsid w:val="00F2633B"/>
    <w:rsid w:val="00F2636A"/>
    <w:rsid w:val="00F2636D"/>
    <w:rsid w:val="00F263AD"/>
    <w:rsid w:val="00F2641E"/>
    <w:rsid w:val="00F2645B"/>
    <w:rsid w:val="00F26472"/>
    <w:rsid w:val="00F2648A"/>
    <w:rsid w:val="00F264CB"/>
    <w:rsid w:val="00F26502"/>
    <w:rsid w:val="00F26518"/>
    <w:rsid w:val="00F2656C"/>
    <w:rsid w:val="00F26583"/>
    <w:rsid w:val="00F265C5"/>
    <w:rsid w:val="00F265CF"/>
    <w:rsid w:val="00F26601"/>
    <w:rsid w:val="00F26664"/>
    <w:rsid w:val="00F2670A"/>
    <w:rsid w:val="00F267CB"/>
    <w:rsid w:val="00F26841"/>
    <w:rsid w:val="00F26857"/>
    <w:rsid w:val="00F268DE"/>
    <w:rsid w:val="00F26901"/>
    <w:rsid w:val="00F26908"/>
    <w:rsid w:val="00F26924"/>
    <w:rsid w:val="00F2692E"/>
    <w:rsid w:val="00F2693C"/>
    <w:rsid w:val="00F2695F"/>
    <w:rsid w:val="00F26970"/>
    <w:rsid w:val="00F2699A"/>
    <w:rsid w:val="00F269BB"/>
    <w:rsid w:val="00F269D4"/>
    <w:rsid w:val="00F26A3F"/>
    <w:rsid w:val="00F26A59"/>
    <w:rsid w:val="00F26B39"/>
    <w:rsid w:val="00F26B6A"/>
    <w:rsid w:val="00F26B83"/>
    <w:rsid w:val="00F26BA6"/>
    <w:rsid w:val="00F26BE8"/>
    <w:rsid w:val="00F26C1A"/>
    <w:rsid w:val="00F26C3C"/>
    <w:rsid w:val="00F26C55"/>
    <w:rsid w:val="00F26D21"/>
    <w:rsid w:val="00F26D45"/>
    <w:rsid w:val="00F26D6B"/>
    <w:rsid w:val="00F26D73"/>
    <w:rsid w:val="00F26D7D"/>
    <w:rsid w:val="00F26D7F"/>
    <w:rsid w:val="00F26DE5"/>
    <w:rsid w:val="00F26E0E"/>
    <w:rsid w:val="00F26E1E"/>
    <w:rsid w:val="00F26E4F"/>
    <w:rsid w:val="00F26E60"/>
    <w:rsid w:val="00F26E6A"/>
    <w:rsid w:val="00F26E6D"/>
    <w:rsid w:val="00F26EB5"/>
    <w:rsid w:val="00F26EF5"/>
    <w:rsid w:val="00F26F71"/>
    <w:rsid w:val="00F26F73"/>
    <w:rsid w:val="00F26F83"/>
    <w:rsid w:val="00F26F85"/>
    <w:rsid w:val="00F26F94"/>
    <w:rsid w:val="00F26FB0"/>
    <w:rsid w:val="00F26FB1"/>
    <w:rsid w:val="00F26FD2"/>
    <w:rsid w:val="00F27006"/>
    <w:rsid w:val="00F270DE"/>
    <w:rsid w:val="00F270FF"/>
    <w:rsid w:val="00F27105"/>
    <w:rsid w:val="00F27186"/>
    <w:rsid w:val="00F271A6"/>
    <w:rsid w:val="00F271AF"/>
    <w:rsid w:val="00F271E7"/>
    <w:rsid w:val="00F2720A"/>
    <w:rsid w:val="00F27236"/>
    <w:rsid w:val="00F27241"/>
    <w:rsid w:val="00F2724A"/>
    <w:rsid w:val="00F27257"/>
    <w:rsid w:val="00F27271"/>
    <w:rsid w:val="00F2728D"/>
    <w:rsid w:val="00F272A9"/>
    <w:rsid w:val="00F272F5"/>
    <w:rsid w:val="00F272FD"/>
    <w:rsid w:val="00F2731E"/>
    <w:rsid w:val="00F273AB"/>
    <w:rsid w:val="00F273E2"/>
    <w:rsid w:val="00F273FB"/>
    <w:rsid w:val="00F2740C"/>
    <w:rsid w:val="00F2740D"/>
    <w:rsid w:val="00F27414"/>
    <w:rsid w:val="00F27442"/>
    <w:rsid w:val="00F27498"/>
    <w:rsid w:val="00F274FD"/>
    <w:rsid w:val="00F2753B"/>
    <w:rsid w:val="00F2754D"/>
    <w:rsid w:val="00F27585"/>
    <w:rsid w:val="00F275C2"/>
    <w:rsid w:val="00F275DE"/>
    <w:rsid w:val="00F27636"/>
    <w:rsid w:val="00F27694"/>
    <w:rsid w:val="00F276DF"/>
    <w:rsid w:val="00F276EF"/>
    <w:rsid w:val="00F2773B"/>
    <w:rsid w:val="00F2773D"/>
    <w:rsid w:val="00F27787"/>
    <w:rsid w:val="00F2781C"/>
    <w:rsid w:val="00F278B5"/>
    <w:rsid w:val="00F278EA"/>
    <w:rsid w:val="00F27904"/>
    <w:rsid w:val="00F2791E"/>
    <w:rsid w:val="00F2794E"/>
    <w:rsid w:val="00F2795A"/>
    <w:rsid w:val="00F279DF"/>
    <w:rsid w:val="00F279E8"/>
    <w:rsid w:val="00F27A1F"/>
    <w:rsid w:val="00F27A70"/>
    <w:rsid w:val="00F27A72"/>
    <w:rsid w:val="00F27A93"/>
    <w:rsid w:val="00F27AAB"/>
    <w:rsid w:val="00F27ABA"/>
    <w:rsid w:val="00F27AE3"/>
    <w:rsid w:val="00F27B04"/>
    <w:rsid w:val="00F27B27"/>
    <w:rsid w:val="00F27B4B"/>
    <w:rsid w:val="00F27B6E"/>
    <w:rsid w:val="00F27B90"/>
    <w:rsid w:val="00F27BC5"/>
    <w:rsid w:val="00F27BCA"/>
    <w:rsid w:val="00F27BD7"/>
    <w:rsid w:val="00F27C1D"/>
    <w:rsid w:val="00F27C58"/>
    <w:rsid w:val="00F27CB4"/>
    <w:rsid w:val="00F27CF3"/>
    <w:rsid w:val="00F27DEB"/>
    <w:rsid w:val="00F27E25"/>
    <w:rsid w:val="00F27E44"/>
    <w:rsid w:val="00F27E9E"/>
    <w:rsid w:val="00F27EAD"/>
    <w:rsid w:val="00F27F46"/>
    <w:rsid w:val="00F27FA4"/>
    <w:rsid w:val="00F27FAA"/>
    <w:rsid w:val="00F27FB0"/>
    <w:rsid w:val="00F3003C"/>
    <w:rsid w:val="00F300B9"/>
    <w:rsid w:val="00F300F8"/>
    <w:rsid w:val="00F3011E"/>
    <w:rsid w:val="00F30140"/>
    <w:rsid w:val="00F30149"/>
    <w:rsid w:val="00F30182"/>
    <w:rsid w:val="00F30185"/>
    <w:rsid w:val="00F301A5"/>
    <w:rsid w:val="00F30236"/>
    <w:rsid w:val="00F3024A"/>
    <w:rsid w:val="00F30251"/>
    <w:rsid w:val="00F3037B"/>
    <w:rsid w:val="00F30410"/>
    <w:rsid w:val="00F3043B"/>
    <w:rsid w:val="00F30476"/>
    <w:rsid w:val="00F30486"/>
    <w:rsid w:val="00F30494"/>
    <w:rsid w:val="00F304A4"/>
    <w:rsid w:val="00F304F8"/>
    <w:rsid w:val="00F30589"/>
    <w:rsid w:val="00F305CA"/>
    <w:rsid w:val="00F305D0"/>
    <w:rsid w:val="00F305EF"/>
    <w:rsid w:val="00F3063C"/>
    <w:rsid w:val="00F30656"/>
    <w:rsid w:val="00F3065F"/>
    <w:rsid w:val="00F30699"/>
    <w:rsid w:val="00F306A8"/>
    <w:rsid w:val="00F306F7"/>
    <w:rsid w:val="00F306FE"/>
    <w:rsid w:val="00F30783"/>
    <w:rsid w:val="00F307A7"/>
    <w:rsid w:val="00F307B2"/>
    <w:rsid w:val="00F307ED"/>
    <w:rsid w:val="00F30807"/>
    <w:rsid w:val="00F30824"/>
    <w:rsid w:val="00F30849"/>
    <w:rsid w:val="00F308CB"/>
    <w:rsid w:val="00F30912"/>
    <w:rsid w:val="00F30958"/>
    <w:rsid w:val="00F30975"/>
    <w:rsid w:val="00F30989"/>
    <w:rsid w:val="00F3099F"/>
    <w:rsid w:val="00F309F5"/>
    <w:rsid w:val="00F30A92"/>
    <w:rsid w:val="00F30AE3"/>
    <w:rsid w:val="00F30AE5"/>
    <w:rsid w:val="00F30B24"/>
    <w:rsid w:val="00F30B37"/>
    <w:rsid w:val="00F30B38"/>
    <w:rsid w:val="00F30B5D"/>
    <w:rsid w:val="00F30B8F"/>
    <w:rsid w:val="00F30BC2"/>
    <w:rsid w:val="00F30C27"/>
    <w:rsid w:val="00F30C51"/>
    <w:rsid w:val="00F30CCB"/>
    <w:rsid w:val="00F30CFE"/>
    <w:rsid w:val="00F30D28"/>
    <w:rsid w:val="00F30D57"/>
    <w:rsid w:val="00F30D8A"/>
    <w:rsid w:val="00F30D94"/>
    <w:rsid w:val="00F30DF8"/>
    <w:rsid w:val="00F30E25"/>
    <w:rsid w:val="00F30EA2"/>
    <w:rsid w:val="00F30F54"/>
    <w:rsid w:val="00F30FFE"/>
    <w:rsid w:val="00F31036"/>
    <w:rsid w:val="00F3103B"/>
    <w:rsid w:val="00F3105A"/>
    <w:rsid w:val="00F3105E"/>
    <w:rsid w:val="00F31068"/>
    <w:rsid w:val="00F310A2"/>
    <w:rsid w:val="00F310D0"/>
    <w:rsid w:val="00F31148"/>
    <w:rsid w:val="00F311BE"/>
    <w:rsid w:val="00F311CD"/>
    <w:rsid w:val="00F311DD"/>
    <w:rsid w:val="00F311F2"/>
    <w:rsid w:val="00F311FE"/>
    <w:rsid w:val="00F31222"/>
    <w:rsid w:val="00F312C2"/>
    <w:rsid w:val="00F312EE"/>
    <w:rsid w:val="00F31318"/>
    <w:rsid w:val="00F31339"/>
    <w:rsid w:val="00F313C3"/>
    <w:rsid w:val="00F313CA"/>
    <w:rsid w:val="00F31451"/>
    <w:rsid w:val="00F31495"/>
    <w:rsid w:val="00F314B8"/>
    <w:rsid w:val="00F314FE"/>
    <w:rsid w:val="00F31510"/>
    <w:rsid w:val="00F31516"/>
    <w:rsid w:val="00F31548"/>
    <w:rsid w:val="00F31599"/>
    <w:rsid w:val="00F31630"/>
    <w:rsid w:val="00F31654"/>
    <w:rsid w:val="00F31655"/>
    <w:rsid w:val="00F316AB"/>
    <w:rsid w:val="00F316C2"/>
    <w:rsid w:val="00F316D6"/>
    <w:rsid w:val="00F31702"/>
    <w:rsid w:val="00F31740"/>
    <w:rsid w:val="00F31749"/>
    <w:rsid w:val="00F31770"/>
    <w:rsid w:val="00F31786"/>
    <w:rsid w:val="00F317D4"/>
    <w:rsid w:val="00F31844"/>
    <w:rsid w:val="00F31852"/>
    <w:rsid w:val="00F31901"/>
    <w:rsid w:val="00F3190C"/>
    <w:rsid w:val="00F31923"/>
    <w:rsid w:val="00F31934"/>
    <w:rsid w:val="00F3194D"/>
    <w:rsid w:val="00F31950"/>
    <w:rsid w:val="00F3197B"/>
    <w:rsid w:val="00F3199C"/>
    <w:rsid w:val="00F319AA"/>
    <w:rsid w:val="00F319CD"/>
    <w:rsid w:val="00F31A10"/>
    <w:rsid w:val="00F31A51"/>
    <w:rsid w:val="00F31A9D"/>
    <w:rsid w:val="00F31ABA"/>
    <w:rsid w:val="00F31AE3"/>
    <w:rsid w:val="00F31BDB"/>
    <w:rsid w:val="00F31CDE"/>
    <w:rsid w:val="00F31D0C"/>
    <w:rsid w:val="00F31D25"/>
    <w:rsid w:val="00F31D41"/>
    <w:rsid w:val="00F31D9F"/>
    <w:rsid w:val="00F31DB3"/>
    <w:rsid w:val="00F31DF4"/>
    <w:rsid w:val="00F31E4D"/>
    <w:rsid w:val="00F31EB6"/>
    <w:rsid w:val="00F31EF9"/>
    <w:rsid w:val="00F31F51"/>
    <w:rsid w:val="00F31F9F"/>
    <w:rsid w:val="00F31FA4"/>
    <w:rsid w:val="00F31FC5"/>
    <w:rsid w:val="00F32017"/>
    <w:rsid w:val="00F3208D"/>
    <w:rsid w:val="00F32091"/>
    <w:rsid w:val="00F320D7"/>
    <w:rsid w:val="00F320EC"/>
    <w:rsid w:val="00F321E6"/>
    <w:rsid w:val="00F3224A"/>
    <w:rsid w:val="00F32253"/>
    <w:rsid w:val="00F3226D"/>
    <w:rsid w:val="00F3228A"/>
    <w:rsid w:val="00F322BF"/>
    <w:rsid w:val="00F322CA"/>
    <w:rsid w:val="00F322D6"/>
    <w:rsid w:val="00F32320"/>
    <w:rsid w:val="00F32325"/>
    <w:rsid w:val="00F32336"/>
    <w:rsid w:val="00F3234B"/>
    <w:rsid w:val="00F32356"/>
    <w:rsid w:val="00F3237E"/>
    <w:rsid w:val="00F323A8"/>
    <w:rsid w:val="00F323D6"/>
    <w:rsid w:val="00F323ED"/>
    <w:rsid w:val="00F32407"/>
    <w:rsid w:val="00F32509"/>
    <w:rsid w:val="00F32534"/>
    <w:rsid w:val="00F32542"/>
    <w:rsid w:val="00F32563"/>
    <w:rsid w:val="00F3257F"/>
    <w:rsid w:val="00F325AE"/>
    <w:rsid w:val="00F325B9"/>
    <w:rsid w:val="00F325C0"/>
    <w:rsid w:val="00F325E0"/>
    <w:rsid w:val="00F32633"/>
    <w:rsid w:val="00F3264C"/>
    <w:rsid w:val="00F32669"/>
    <w:rsid w:val="00F32686"/>
    <w:rsid w:val="00F32703"/>
    <w:rsid w:val="00F3271D"/>
    <w:rsid w:val="00F327AC"/>
    <w:rsid w:val="00F32865"/>
    <w:rsid w:val="00F3289F"/>
    <w:rsid w:val="00F328DD"/>
    <w:rsid w:val="00F328F1"/>
    <w:rsid w:val="00F328F3"/>
    <w:rsid w:val="00F3291C"/>
    <w:rsid w:val="00F3291D"/>
    <w:rsid w:val="00F32937"/>
    <w:rsid w:val="00F32974"/>
    <w:rsid w:val="00F32984"/>
    <w:rsid w:val="00F329D1"/>
    <w:rsid w:val="00F329F7"/>
    <w:rsid w:val="00F32A1F"/>
    <w:rsid w:val="00F32A39"/>
    <w:rsid w:val="00F32ABF"/>
    <w:rsid w:val="00F32AF7"/>
    <w:rsid w:val="00F32AFC"/>
    <w:rsid w:val="00F32B0E"/>
    <w:rsid w:val="00F32B33"/>
    <w:rsid w:val="00F32B46"/>
    <w:rsid w:val="00F32B4B"/>
    <w:rsid w:val="00F32B6C"/>
    <w:rsid w:val="00F32B74"/>
    <w:rsid w:val="00F32B88"/>
    <w:rsid w:val="00F32C07"/>
    <w:rsid w:val="00F32C4F"/>
    <w:rsid w:val="00F32C55"/>
    <w:rsid w:val="00F32D05"/>
    <w:rsid w:val="00F32D24"/>
    <w:rsid w:val="00F32D6D"/>
    <w:rsid w:val="00F32D72"/>
    <w:rsid w:val="00F32D7E"/>
    <w:rsid w:val="00F32D8D"/>
    <w:rsid w:val="00F32DFD"/>
    <w:rsid w:val="00F32E3F"/>
    <w:rsid w:val="00F32E4C"/>
    <w:rsid w:val="00F32EAD"/>
    <w:rsid w:val="00F32EC7"/>
    <w:rsid w:val="00F32EDA"/>
    <w:rsid w:val="00F32EF2"/>
    <w:rsid w:val="00F32F03"/>
    <w:rsid w:val="00F32F81"/>
    <w:rsid w:val="00F32FB2"/>
    <w:rsid w:val="00F32FF0"/>
    <w:rsid w:val="00F33048"/>
    <w:rsid w:val="00F33066"/>
    <w:rsid w:val="00F33098"/>
    <w:rsid w:val="00F330BC"/>
    <w:rsid w:val="00F330E3"/>
    <w:rsid w:val="00F33114"/>
    <w:rsid w:val="00F33166"/>
    <w:rsid w:val="00F331A7"/>
    <w:rsid w:val="00F331B7"/>
    <w:rsid w:val="00F331CF"/>
    <w:rsid w:val="00F33269"/>
    <w:rsid w:val="00F3326F"/>
    <w:rsid w:val="00F332D2"/>
    <w:rsid w:val="00F332E2"/>
    <w:rsid w:val="00F332E7"/>
    <w:rsid w:val="00F3332D"/>
    <w:rsid w:val="00F3336F"/>
    <w:rsid w:val="00F33380"/>
    <w:rsid w:val="00F3338A"/>
    <w:rsid w:val="00F333C8"/>
    <w:rsid w:val="00F333D2"/>
    <w:rsid w:val="00F333E9"/>
    <w:rsid w:val="00F333F4"/>
    <w:rsid w:val="00F3344D"/>
    <w:rsid w:val="00F3344F"/>
    <w:rsid w:val="00F3347B"/>
    <w:rsid w:val="00F334C8"/>
    <w:rsid w:val="00F3353C"/>
    <w:rsid w:val="00F33557"/>
    <w:rsid w:val="00F33562"/>
    <w:rsid w:val="00F3356B"/>
    <w:rsid w:val="00F3357B"/>
    <w:rsid w:val="00F33580"/>
    <w:rsid w:val="00F335B3"/>
    <w:rsid w:val="00F335DC"/>
    <w:rsid w:val="00F33601"/>
    <w:rsid w:val="00F33640"/>
    <w:rsid w:val="00F33699"/>
    <w:rsid w:val="00F336F8"/>
    <w:rsid w:val="00F33758"/>
    <w:rsid w:val="00F337DB"/>
    <w:rsid w:val="00F337DE"/>
    <w:rsid w:val="00F3381E"/>
    <w:rsid w:val="00F3383B"/>
    <w:rsid w:val="00F3385A"/>
    <w:rsid w:val="00F3386B"/>
    <w:rsid w:val="00F3386E"/>
    <w:rsid w:val="00F338FB"/>
    <w:rsid w:val="00F33907"/>
    <w:rsid w:val="00F33921"/>
    <w:rsid w:val="00F3394F"/>
    <w:rsid w:val="00F33954"/>
    <w:rsid w:val="00F339D3"/>
    <w:rsid w:val="00F339D8"/>
    <w:rsid w:val="00F33A4D"/>
    <w:rsid w:val="00F33A65"/>
    <w:rsid w:val="00F33A70"/>
    <w:rsid w:val="00F33A98"/>
    <w:rsid w:val="00F33AA8"/>
    <w:rsid w:val="00F33AB2"/>
    <w:rsid w:val="00F33AE7"/>
    <w:rsid w:val="00F33B0D"/>
    <w:rsid w:val="00F33B10"/>
    <w:rsid w:val="00F33B5C"/>
    <w:rsid w:val="00F33B6A"/>
    <w:rsid w:val="00F33C17"/>
    <w:rsid w:val="00F33C5B"/>
    <w:rsid w:val="00F33C88"/>
    <w:rsid w:val="00F33D11"/>
    <w:rsid w:val="00F33D2F"/>
    <w:rsid w:val="00F33D90"/>
    <w:rsid w:val="00F33DB8"/>
    <w:rsid w:val="00F33DCD"/>
    <w:rsid w:val="00F33E36"/>
    <w:rsid w:val="00F33E7C"/>
    <w:rsid w:val="00F33EA4"/>
    <w:rsid w:val="00F33EB0"/>
    <w:rsid w:val="00F33F05"/>
    <w:rsid w:val="00F33F43"/>
    <w:rsid w:val="00F33F6A"/>
    <w:rsid w:val="00F33F9E"/>
    <w:rsid w:val="00F33FB8"/>
    <w:rsid w:val="00F34000"/>
    <w:rsid w:val="00F34018"/>
    <w:rsid w:val="00F3401F"/>
    <w:rsid w:val="00F3402E"/>
    <w:rsid w:val="00F340AC"/>
    <w:rsid w:val="00F340E2"/>
    <w:rsid w:val="00F34157"/>
    <w:rsid w:val="00F34162"/>
    <w:rsid w:val="00F34167"/>
    <w:rsid w:val="00F34171"/>
    <w:rsid w:val="00F341A2"/>
    <w:rsid w:val="00F34205"/>
    <w:rsid w:val="00F3429E"/>
    <w:rsid w:val="00F342B5"/>
    <w:rsid w:val="00F34343"/>
    <w:rsid w:val="00F34373"/>
    <w:rsid w:val="00F343AE"/>
    <w:rsid w:val="00F343C3"/>
    <w:rsid w:val="00F343FC"/>
    <w:rsid w:val="00F34400"/>
    <w:rsid w:val="00F34469"/>
    <w:rsid w:val="00F344A2"/>
    <w:rsid w:val="00F344C1"/>
    <w:rsid w:val="00F34515"/>
    <w:rsid w:val="00F3458B"/>
    <w:rsid w:val="00F3458E"/>
    <w:rsid w:val="00F345BD"/>
    <w:rsid w:val="00F345CA"/>
    <w:rsid w:val="00F345D2"/>
    <w:rsid w:val="00F345E3"/>
    <w:rsid w:val="00F345F2"/>
    <w:rsid w:val="00F3469F"/>
    <w:rsid w:val="00F347A2"/>
    <w:rsid w:val="00F34848"/>
    <w:rsid w:val="00F348EF"/>
    <w:rsid w:val="00F348FC"/>
    <w:rsid w:val="00F34915"/>
    <w:rsid w:val="00F3495B"/>
    <w:rsid w:val="00F34A1A"/>
    <w:rsid w:val="00F34A2A"/>
    <w:rsid w:val="00F34A4F"/>
    <w:rsid w:val="00F34A9F"/>
    <w:rsid w:val="00F34AD7"/>
    <w:rsid w:val="00F34B01"/>
    <w:rsid w:val="00F34B12"/>
    <w:rsid w:val="00F34B43"/>
    <w:rsid w:val="00F34B82"/>
    <w:rsid w:val="00F34BA8"/>
    <w:rsid w:val="00F34BC6"/>
    <w:rsid w:val="00F34BF9"/>
    <w:rsid w:val="00F34C76"/>
    <w:rsid w:val="00F34C78"/>
    <w:rsid w:val="00F34C84"/>
    <w:rsid w:val="00F34DA5"/>
    <w:rsid w:val="00F34DAD"/>
    <w:rsid w:val="00F34DD2"/>
    <w:rsid w:val="00F34E67"/>
    <w:rsid w:val="00F34EC6"/>
    <w:rsid w:val="00F34EE7"/>
    <w:rsid w:val="00F34F7A"/>
    <w:rsid w:val="00F34F99"/>
    <w:rsid w:val="00F34FFD"/>
    <w:rsid w:val="00F35082"/>
    <w:rsid w:val="00F350A5"/>
    <w:rsid w:val="00F350B0"/>
    <w:rsid w:val="00F350B3"/>
    <w:rsid w:val="00F350D6"/>
    <w:rsid w:val="00F350FB"/>
    <w:rsid w:val="00F3519A"/>
    <w:rsid w:val="00F351AA"/>
    <w:rsid w:val="00F351AD"/>
    <w:rsid w:val="00F351BA"/>
    <w:rsid w:val="00F351C0"/>
    <w:rsid w:val="00F351F7"/>
    <w:rsid w:val="00F35250"/>
    <w:rsid w:val="00F35262"/>
    <w:rsid w:val="00F35296"/>
    <w:rsid w:val="00F352CA"/>
    <w:rsid w:val="00F352FE"/>
    <w:rsid w:val="00F3530D"/>
    <w:rsid w:val="00F3532D"/>
    <w:rsid w:val="00F3539F"/>
    <w:rsid w:val="00F353C0"/>
    <w:rsid w:val="00F353C2"/>
    <w:rsid w:val="00F353CB"/>
    <w:rsid w:val="00F35415"/>
    <w:rsid w:val="00F35432"/>
    <w:rsid w:val="00F3546F"/>
    <w:rsid w:val="00F35476"/>
    <w:rsid w:val="00F35477"/>
    <w:rsid w:val="00F35481"/>
    <w:rsid w:val="00F35494"/>
    <w:rsid w:val="00F354A9"/>
    <w:rsid w:val="00F35536"/>
    <w:rsid w:val="00F355B2"/>
    <w:rsid w:val="00F355D7"/>
    <w:rsid w:val="00F355F0"/>
    <w:rsid w:val="00F35610"/>
    <w:rsid w:val="00F35637"/>
    <w:rsid w:val="00F356D7"/>
    <w:rsid w:val="00F356DF"/>
    <w:rsid w:val="00F35714"/>
    <w:rsid w:val="00F3575F"/>
    <w:rsid w:val="00F35772"/>
    <w:rsid w:val="00F35793"/>
    <w:rsid w:val="00F357F3"/>
    <w:rsid w:val="00F357F9"/>
    <w:rsid w:val="00F3584F"/>
    <w:rsid w:val="00F3585D"/>
    <w:rsid w:val="00F358E5"/>
    <w:rsid w:val="00F3598F"/>
    <w:rsid w:val="00F359C4"/>
    <w:rsid w:val="00F359E3"/>
    <w:rsid w:val="00F35A9D"/>
    <w:rsid w:val="00F35AF1"/>
    <w:rsid w:val="00F35B0E"/>
    <w:rsid w:val="00F35B3E"/>
    <w:rsid w:val="00F35B40"/>
    <w:rsid w:val="00F35B5F"/>
    <w:rsid w:val="00F35B7E"/>
    <w:rsid w:val="00F35BF9"/>
    <w:rsid w:val="00F35C42"/>
    <w:rsid w:val="00F35C85"/>
    <w:rsid w:val="00F35C8E"/>
    <w:rsid w:val="00F35CEA"/>
    <w:rsid w:val="00F35D32"/>
    <w:rsid w:val="00F35D36"/>
    <w:rsid w:val="00F35D42"/>
    <w:rsid w:val="00F35D47"/>
    <w:rsid w:val="00F35D5D"/>
    <w:rsid w:val="00F35D82"/>
    <w:rsid w:val="00F35D91"/>
    <w:rsid w:val="00F35D99"/>
    <w:rsid w:val="00F35DB2"/>
    <w:rsid w:val="00F35E75"/>
    <w:rsid w:val="00F35EEB"/>
    <w:rsid w:val="00F35F44"/>
    <w:rsid w:val="00F35FB1"/>
    <w:rsid w:val="00F35FBA"/>
    <w:rsid w:val="00F3608A"/>
    <w:rsid w:val="00F3609B"/>
    <w:rsid w:val="00F360E4"/>
    <w:rsid w:val="00F3612A"/>
    <w:rsid w:val="00F36156"/>
    <w:rsid w:val="00F36192"/>
    <w:rsid w:val="00F36220"/>
    <w:rsid w:val="00F36249"/>
    <w:rsid w:val="00F36262"/>
    <w:rsid w:val="00F362A9"/>
    <w:rsid w:val="00F362D9"/>
    <w:rsid w:val="00F36346"/>
    <w:rsid w:val="00F3634E"/>
    <w:rsid w:val="00F3640A"/>
    <w:rsid w:val="00F3643E"/>
    <w:rsid w:val="00F3647C"/>
    <w:rsid w:val="00F36518"/>
    <w:rsid w:val="00F3656A"/>
    <w:rsid w:val="00F36594"/>
    <w:rsid w:val="00F365FA"/>
    <w:rsid w:val="00F3663A"/>
    <w:rsid w:val="00F3666D"/>
    <w:rsid w:val="00F36700"/>
    <w:rsid w:val="00F36724"/>
    <w:rsid w:val="00F36764"/>
    <w:rsid w:val="00F3678B"/>
    <w:rsid w:val="00F3679D"/>
    <w:rsid w:val="00F367C2"/>
    <w:rsid w:val="00F36819"/>
    <w:rsid w:val="00F36821"/>
    <w:rsid w:val="00F36851"/>
    <w:rsid w:val="00F368A8"/>
    <w:rsid w:val="00F368D9"/>
    <w:rsid w:val="00F3696D"/>
    <w:rsid w:val="00F36989"/>
    <w:rsid w:val="00F369DC"/>
    <w:rsid w:val="00F369FA"/>
    <w:rsid w:val="00F36A20"/>
    <w:rsid w:val="00F36A31"/>
    <w:rsid w:val="00F36A39"/>
    <w:rsid w:val="00F36A4A"/>
    <w:rsid w:val="00F36A90"/>
    <w:rsid w:val="00F36ABF"/>
    <w:rsid w:val="00F36AC5"/>
    <w:rsid w:val="00F36AEA"/>
    <w:rsid w:val="00F36B2E"/>
    <w:rsid w:val="00F36B4C"/>
    <w:rsid w:val="00F36B88"/>
    <w:rsid w:val="00F36B90"/>
    <w:rsid w:val="00F36B99"/>
    <w:rsid w:val="00F36BC4"/>
    <w:rsid w:val="00F36C67"/>
    <w:rsid w:val="00F36C95"/>
    <w:rsid w:val="00F36CB0"/>
    <w:rsid w:val="00F36CB1"/>
    <w:rsid w:val="00F36CD1"/>
    <w:rsid w:val="00F36CF9"/>
    <w:rsid w:val="00F36D00"/>
    <w:rsid w:val="00F36D2D"/>
    <w:rsid w:val="00F36D8A"/>
    <w:rsid w:val="00F36DC7"/>
    <w:rsid w:val="00F36DD8"/>
    <w:rsid w:val="00F36E14"/>
    <w:rsid w:val="00F36E27"/>
    <w:rsid w:val="00F36E33"/>
    <w:rsid w:val="00F36E59"/>
    <w:rsid w:val="00F36EA7"/>
    <w:rsid w:val="00F36F02"/>
    <w:rsid w:val="00F36F03"/>
    <w:rsid w:val="00F36F04"/>
    <w:rsid w:val="00F36F13"/>
    <w:rsid w:val="00F36F1D"/>
    <w:rsid w:val="00F36F4D"/>
    <w:rsid w:val="00F36F5A"/>
    <w:rsid w:val="00F36F9E"/>
    <w:rsid w:val="00F36FAE"/>
    <w:rsid w:val="00F36FBB"/>
    <w:rsid w:val="00F3703A"/>
    <w:rsid w:val="00F3704A"/>
    <w:rsid w:val="00F3704D"/>
    <w:rsid w:val="00F3705B"/>
    <w:rsid w:val="00F37078"/>
    <w:rsid w:val="00F370AD"/>
    <w:rsid w:val="00F37143"/>
    <w:rsid w:val="00F3714C"/>
    <w:rsid w:val="00F3715A"/>
    <w:rsid w:val="00F3716E"/>
    <w:rsid w:val="00F371B8"/>
    <w:rsid w:val="00F371D6"/>
    <w:rsid w:val="00F371F2"/>
    <w:rsid w:val="00F37280"/>
    <w:rsid w:val="00F37288"/>
    <w:rsid w:val="00F372A5"/>
    <w:rsid w:val="00F372AA"/>
    <w:rsid w:val="00F37300"/>
    <w:rsid w:val="00F3738E"/>
    <w:rsid w:val="00F373A7"/>
    <w:rsid w:val="00F373B1"/>
    <w:rsid w:val="00F373EE"/>
    <w:rsid w:val="00F37436"/>
    <w:rsid w:val="00F37471"/>
    <w:rsid w:val="00F37493"/>
    <w:rsid w:val="00F374A1"/>
    <w:rsid w:val="00F374D6"/>
    <w:rsid w:val="00F37530"/>
    <w:rsid w:val="00F3754F"/>
    <w:rsid w:val="00F375B4"/>
    <w:rsid w:val="00F375C0"/>
    <w:rsid w:val="00F37613"/>
    <w:rsid w:val="00F37684"/>
    <w:rsid w:val="00F376DA"/>
    <w:rsid w:val="00F376F7"/>
    <w:rsid w:val="00F37715"/>
    <w:rsid w:val="00F37768"/>
    <w:rsid w:val="00F377C3"/>
    <w:rsid w:val="00F3789A"/>
    <w:rsid w:val="00F378A4"/>
    <w:rsid w:val="00F37910"/>
    <w:rsid w:val="00F3799E"/>
    <w:rsid w:val="00F37A18"/>
    <w:rsid w:val="00F37A3E"/>
    <w:rsid w:val="00F37AE0"/>
    <w:rsid w:val="00F37B46"/>
    <w:rsid w:val="00F37B5B"/>
    <w:rsid w:val="00F37B63"/>
    <w:rsid w:val="00F37B66"/>
    <w:rsid w:val="00F37B8B"/>
    <w:rsid w:val="00F37BF3"/>
    <w:rsid w:val="00F37C04"/>
    <w:rsid w:val="00F37C0F"/>
    <w:rsid w:val="00F37C20"/>
    <w:rsid w:val="00F37C68"/>
    <w:rsid w:val="00F37CB7"/>
    <w:rsid w:val="00F37CC6"/>
    <w:rsid w:val="00F37D00"/>
    <w:rsid w:val="00F37D01"/>
    <w:rsid w:val="00F37D1A"/>
    <w:rsid w:val="00F37E09"/>
    <w:rsid w:val="00F37E0B"/>
    <w:rsid w:val="00F37E2A"/>
    <w:rsid w:val="00F37E6E"/>
    <w:rsid w:val="00F37ECD"/>
    <w:rsid w:val="00F37EFB"/>
    <w:rsid w:val="00F37F13"/>
    <w:rsid w:val="00F37FCB"/>
    <w:rsid w:val="00F400A9"/>
    <w:rsid w:val="00F4010A"/>
    <w:rsid w:val="00F4013E"/>
    <w:rsid w:val="00F40149"/>
    <w:rsid w:val="00F40163"/>
    <w:rsid w:val="00F4016F"/>
    <w:rsid w:val="00F40171"/>
    <w:rsid w:val="00F401DC"/>
    <w:rsid w:val="00F401FB"/>
    <w:rsid w:val="00F40259"/>
    <w:rsid w:val="00F402A7"/>
    <w:rsid w:val="00F402D7"/>
    <w:rsid w:val="00F402DA"/>
    <w:rsid w:val="00F402E2"/>
    <w:rsid w:val="00F402EB"/>
    <w:rsid w:val="00F40326"/>
    <w:rsid w:val="00F40341"/>
    <w:rsid w:val="00F4037B"/>
    <w:rsid w:val="00F40393"/>
    <w:rsid w:val="00F4039C"/>
    <w:rsid w:val="00F403BA"/>
    <w:rsid w:val="00F403BB"/>
    <w:rsid w:val="00F40461"/>
    <w:rsid w:val="00F40483"/>
    <w:rsid w:val="00F4048D"/>
    <w:rsid w:val="00F404D6"/>
    <w:rsid w:val="00F40540"/>
    <w:rsid w:val="00F40570"/>
    <w:rsid w:val="00F40580"/>
    <w:rsid w:val="00F405CF"/>
    <w:rsid w:val="00F405F4"/>
    <w:rsid w:val="00F405FD"/>
    <w:rsid w:val="00F40624"/>
    <w:rsid w:val="00F40635"/>
    <w:rsid w:val="00F4064F"/>
    <w:rsid w:val="00F4069B"/>
    <w:rsid w:val="00F406B7"/>
    <w:rsid w:val="00F4070D"/>
    <w:rsid w:val="00F4071A"/>
    <w:rsid w:val="00F40734"/>
    <w:rsid w:val="00F407E2"/>
    <w:rsid w:val="00F4083B"/>
    <w:rsid w:val="00F4085A"/>
    <w:rsid w:val="00F40877"/>
    <w:rsid w:val="00F408DD"/>
    <w:rsid w:val="00F408F4"/>
    <w:rsid w:val="00F40914"/>
    <w:rsid w:val="00F4094F"/>
    <w:rsid w:val="00F40A08"/>
    <w:rsid w:val="00F40A32"/>
    <w:rsid w:val="00F40A46"/>
    <w:rsid w:val="00F40A73"/>
    <w:rsid w:val="00F40ACB"/>
    <w:rsid w:val="00F40AD8"/>
    <w:rsid w:val="00F40AF4"/>
    <w:rsid w:val="00F40AF5"/>
    <w:rsid w:val="00F40B3F"/>
    <w:rsid w:val="00F40B44"/>
    <w:rsid w:val="00F40BEA"/>
    <w:rsid w:val="00F40C07"/>
    <w:rsid w:val="00F40C46"/>
    <w:rsid w:val="00F40D06"/>
    <w:rsid w:val="00F40D0E"/>
    <w:rsid w:val="00F40D6E"/>
    <w:rsid w:val="00F40D74"/>
    <w:rsid w:val="00F40D83"/>
    <w:rsid w:val="00F40DB9"/>
    <w:rsid w:val="00F40DC8"/>
    <w:rsid w:val="00F40DD4"/>
    <w:rsid w:val="00F40DDF"/>
    <w:rsid w:val="00F40E20"/>
    <w:rsid w:val="00F40E49"/>
    <w:rsid w:val="00F40E7E"/>
    <w:rsid w:val="00F40ED2"/>
    <w:rsid w:val="00F40EE6"/>
    <w:rsid w:val="00F40F2E"/>
    <w:rsid w:val="00F40F5E"/>
    <w:rsid w:val="00F40F60"/>
    <w:rsid w:val="00F40FBC"/>
    <w:rsid w:val="00F40FC2"/>
    <w:rsid w:val="00F40FE9"/>
    <w:rsid w:val="00F41013"/>
    <w:rsid w:val="00F410AA"/>
    <w:rsid w:val="00F411B0"/>
    <w:rsid w:val="00F411E7"/>
    <w:rsid w:val="00F411EB"/>
    <w:rsid w:val="00F4121D"/>
    <w:rsid w:val="00F41228"/>
    <w:rsid w:val="00F412AD"/>
    <w:rsid w:val="00F412CD"/>
    <w:rsid w:val="00F412D5"/>
    <w:rsid w:val="00F41334"/>
    <w:rsid w:val="00F41361"/>
    <w:rsid w:val="00F4139D"/>
    <w:rsid w:val="00F413EE"/>
    <w:rsid w:val="00F41434"/>
    <w:rsid w:val="00F4144B"/>
    <w:rsid w:val="00F41452"/>
    <w:rsid w:val="00F4145D"/>
    <w:rsid w:val="00F41491"/>
    <w:rsid w:val="00F41498"/>
    <w:rsid w:val="00F414C7"/>
    <w:rsid w:val="00F414F5"/>
    <w:rsid w:val="00F41516"/>
    <w:rsid w:val="00F4155D"/>
    <w:rsid w:val="00F41578"/>
    <w:rsid w:val="00F4157B"/>
    <w:rsid w:val="00F4158D"/>
    <w:rsid w:val="00F415DC"/>
    <w:rsid w:val="00F415FB"/>
    <w:rsid w:val="00F41634"/>
    <w:rsid w:val="00F41645"/>
    <w:rsid w:val="00F416D6"/>
    <w:rsid w:val="00F41716"/>
    <w:rsid w:val="00F41754"/>
    <w:rsid w:val="00F41769"/>
    <w:rsid w:val="00F4177E"/>
    <w:rsid w:val="00F41782"/>
    <w:rsid w:val="00F417CA"/>
    <w:rsid w:val="00F41801"/>
    <w:rsid w:val="00F4182A"/>
    <w:rsid w:val="00F4193C"/>
    <w:rsid w:val="00F41963"/>
    <w:rsid w:val="00F41972"/>
    <w:rsid w:val="00F419AE"/>
    <w:rsid w:val="00F419CA"/>
    <w:rsid w:val="00F419D4"/>
    <w:rsid w:val="00F41A09"/>
    <w:rsid w:val="00F41A24"/>
    <w:rsid w:val="00F41A44"/>
    <w:rsid w:val="00F41A87"/>
    <w:rsid w:val="00F41ACE"/>
    <w:rsid w:val="00F41B33"/>
    <w:rsid w:val="00F41B5A"/>
    <w:rsid w:val="00F41B94"/>
    <w:rsid w:val="00F41BB4"/>
    <w:rsid w:val="00F41BD3"/>
    <w:rsid w:val="00F41BEC"/>
    <w:rsid w:val="00F41C47"/>
    <w:rsid w:val="00F41CB4"/>
    <w:rsid w:val="00F41D01"/>
    <w:rsid w:val="00F41D21"/>
    <w:rsid w:val="00F41D32"/>
    <w:rsid w:val="00F41E7D"/>
    <w:rsid w:val="00F41E81"/>
    <w:rsid w:val="00F41EB2"/>
    <w:rsid w:val="00F41EDE"/>
    <w:rsid w:val="00F41EEA"/>
    <w:rsid w:val="00F41F66"/>
    <w:rsid w:val="00F41F6C"/>
    <w:rsid w:val="00F41F83"/>
    <w:rsid w:val="00F41F84"/>
    <w:rsid w:val="00F41FA9"/>
    <w:rsid w:val="00F41FAE"/>
    <w:rsid w:val="00F41FE7"/>
    <w:rsid w:val="00F41FEA"/>
    <w:rsid w:val="00F4201E"/>
    <w:rsid w:val="00F42022"/>
    <w:rsid w:val="00F4205E"/>
    <w:rsid w:val="00F42068"/>
    <w:rsid w:val="00F42075"/>
    <w:rsid w:val="00F4208E"/>
    <w:rsid w:val="00F420AF"/>
    <w:rsid w:val="00F420D9"/>
    <w:rsid w:val="00F42120"/>
    <w:rsid w:val="00F42128"/>
    <w:rsid w:val="00F4218C"/>
    <w:rsid w:val="00F421B0"/>
    <w:rsid w:val="00F421DD"/>
    <w:rsid w:val="00F42212"/>
    <w:rsid w:val="00F42252"/>
    <w:rsid w:val="00F42279"/>
    <w:rsid w:val="00F42285"/>
    <w:rsid w:val="00F422A7"/>
    <w:rsid w:val="00F42346"/>
    <w:rsid w:val="00F42462"/>
    <w:rsid w:val="00F42490"/>
    <w:rsid w:val="00F42492"/>
    <w:rsid w:val="00F424A9"/>
    <w:rsid w:val="00F424B3"/>
    <w:rsid w:val="00F424EF"/>
    <w:rsid w:val="00F4252E"/>
    <w:rsid w:val="00F42556"/>
    <w:rsid w:val="00F4255E"/>
    <w:rsid w:val="00F4256C"/>
    <w:rsid w:val="00F425A3"/>
    <w:rsid w:val="00F425AD"/>
    <w:rsid w:val="00F425D8"/>
    <w:rsid w:val="00F425E3"/>
    <w:rsid w:val="00F425FF"/>
    <w:rsid w:val="00F4263D"/>
    <w:rsid w:val="00F42665"/>
    <w:rsid w:val="00F42679"/>
    <w:rsid w:val="00F42680"/>
    <w:rsid w:val="00F4268A"/>
    <w:rsid w:val="00F42713"/>
    <w:rsid w:val="00F42726"/>
    <w:rsid w:val="00F4275A"/>
    <w:rsid w:val="00F4277D"/>
    <w:rsid w:val="00F42806"/>
    <w:rsid w:val="00F4281B"/>
    <w:rsid w:val="00F42837"/>
    <w:rsid w:val="00F4283C"/>
    <w:rsid w:val="00F4284A"/>
    <w:rsid w:val="00F42858"/>
    <w:rsid w:val="00F42870"/>
    <w:rsid w:val="00F42884"/>
    <w:rsid w:val="00F42959"/>
    <w:rsid w:val="00F4296E"/>
    <w:rsid w:val="00F4297C"/>
    <w:rsid w:val="00F42A22"/>
    <w:rsid w:val="00F42A77"/>
    <w:rsid w:val="00F42AC5"/>
    <w:rsid w:val="00F42ACC"/>
    <w:rsid w:val="00F42AFC"/>
    <w:rsid w:val="00F42B6C"/>
    <w:rsid w:val="00F42B86"/>
    <w:rsid w:val="00F42B9B"/>
    <w:rsid w:val="00F42BD1"/>
    <w:rsid w:val="00F42BEB"/>
    <w:rsid w:val="00F42BF7"/>
    <w:rsid w:val="00F42C07"/>
    <w:rsid w:val="00F42C4D"/>
    <w:rsid w:val="00F42C66"/>
    <w:rsid w:val="00F42C8B"/>
    <w:rsid w:val="00F42CC1"/>
    <w:rsid w:val="00F42CC8"/>
    <w:rsid w:val="00F42D55"/>
    <w:rsid w:val="00F42D75"/>
    <w:rsid w:val="00F42D7B"/>
    <w:rsid w:val="00F42D80"/>
    <w:rsid w:val="00F42E02"/>
    <w:rsid w:val="00F42E18"/>
    <w:rsid w:val="00F42E34"/>
    <w:rsid w:val="00F42E40"/>
    <w:rsid w:val="00F42E52"/>
    <w:rsid w:val="00F42E68"/>
    <w:rsid w:val="00F42EFA"/>
    <w:rsid w:val="00F42F08"/>
    <w:rsid w:val="00F42F20"/>
    <w:rsid w:val="00F42F6E"/>
    <w:rsid w:val="00F42F7C"/>
    <w:rsid w:val="00F42FB1"/>
    <w:rsid w:val="00F42FBA"/>
    <w:rsid w:val="00F42FD0"/>
    <w:rsid w:val="00F43067"/>
    <w:rsid w:val="00F43071"/>
    <w:rsid w:val="00F4307F"/>
    <w:rsid w:val="00F43095"/>
    <w:rsid w:val="00F430DA"/>
    <w:rsid w:val="00F430DE"/>
    <w:rsid w:val="00F43135"/>
    <w:rsid w:val="00F43149"/>
    <w:rsid w:val="00F4315D"/>
    <w:rsid w:val="00F4319E"/>
    <w:rsid w:val="00F431B1"/>
    <w:rsid w:val="00F432E1"/>
    <w:rsid w:val="00F43307"/>
    <w:rsid w:val="00F43328"/>
    <w:rsid w:val="00F4332C"/>
    <w:rsid w:val="00F43332"/>
    <w:rsid w:val="00F4333D"/>
    <w:rsid w:val="00F43367"/>
    <w:rsid w:val="00F433B0"/>
    <w:rsid w:val="00F433C4"/>
    <w:rsid w:val="00F4341C"/>
    <w:rsid w:val="00F4341F"/>
    <w:rsid w:val="00F43458"/>
    <w:rsid w:val="00F4349C"/>
    <w:rsid w:val="00F434E1"/>
    <w:rsid w:val="00F434E8"/>
    <w:rsid w:val="00F43567"/>
    <w:rsid w:val="00F435FA"/>
    <w:rsid w:val="00F4365B"/>
    <w:rsid w:val="00F43669"/>
    <w:rsid w:val="00F43672"/>
    <w:rsid w:val="00F4367A"/>
    <w:rsid w:val="00F4369C"/>
    <w:rsid w:val="00F436EF"/>
    <w:rsid w:val="00F43718"/>
    <w:rsid w:val="00F4376C"/>
    <w:rsid w:val="00F437AC"/>
    <w:rsid w:val="00F437F3"/>
    <w:rsid w:val="00F43848"/>
    <w:rsid w:val="00F4384C"/>
    <w:rsid w:val="00F43855"/>
    <w:rsid w:val="00F43872"/>
    <w:rsid w:val="00F438F0"/>
    <w:rsid w:val="00F4391A"/>
    <w:rsid w:val="00F43927"/>
    <w:rsid w:val="00F43943"/>
    <w:rsid w:val="00F43965"/>
    <w:rsid w:val="00F439CC"/>
    <w:rsid w:val="00F43A44"/>
    <w:rsid w:val="00F43A4B"/>
    <w:rsid w:val="00F43A7F"/>
    <w:rsid w:val="00F43A88"/>
    <w:rsid w:val="00F43A89"/>
    <w:rsid w:val="00F43AF6"/>
    <w:rsid w:val="00F43B01"/>
    <w:rsid w:val="00F43B0C"/>
    <w:rsid w:val="00F43B2C"/>
    <w:rsid w:val="00F43B7C"/>
    <w:rsid w:val="00F43B9B"/>
    <w:rsid w:val="00F43BB8"/>
    <w:rsid w:val="00F43BDB"/>
    <w:rsid w:val="00F43C09"/>
    <w:rsid w:val="00F43C2E"/>
    <w:rsid w:val="00F43C36"/>
    <w:rsid w:val="00F43C50"/>
    <w:rsid w:val="00F43C51"/>
    <w:rsid w:val="00F43D00"/>
    <w:rsid w:val="00F43D10"/>
    <w:rsid w:val="00F43D1E"/>
    <w:rsid w:val="00F43D72"/>
    <w:rsid w:val="00F43DCD"/>
    <w:rsid w:val="00F43E11"/>
    <w:rsid w:val="00F43E15"/>
    <w:rsid w:val="00F43E4F"/>
    <w:rsid w:val="00F43EE1"/>
    <w:rsid w:val="00F43EE6"/>
    <w:rsid w:val="00F43EFB"/>
    <w:rsid w:val="00F43F01"/>
    <w:rsid w:val="00F43F37"/>
    <w:rsid w:val="00F43F38"/>
    <w:rsid w:val="00F43FBD"/>
    <w:rsid w:val="00F43FC2"/>
    <w:rsid w:val="00F43FE8"/>
    <w:rsid w:val="00F43FF1"/>
    <w:rsid w:val="00F44030"/>
    <w:rsid w:val="00F4408E"/>
    <w:rsid w:val="00F440B6"/>
    <w:rsid w:val="00F440BA"/>
    <w:rsid w:val="00F44141"/>
    <w:rsid w:val="00F441EE"/>
    <w:rsid w:val="00F44203"/>
    <w:rsid w:val="00F44222"/>
    <w:rsid w:val="00F4431C"/>
    <w:rsid w:val="00F44336"/>
    <w:rsid w:val="00F44342"/>
    <w:rsid w:val="00F44356"/>
    <w:rsid w:val="00F44385"/>
    <w:rsid w:val="00F443A0"/>
    <w:rsid w:val="00F4448E"/>
    <w:rsid w:val="00F444AC"/>
    <w:rsid w:val="00F444B9"/>
    <w:rsid w:val="00F44501"/>
    <w:rsid w:val="00F4452F"/>
    <w:rsid w:val="00F445A2"/>
    <w:rsid w:val="00F445CF"/>
    <w:rsid w:val="00F445EB"/>
    <w:rsid w:val="00F445F4"/>
    <w:rsid w:val="00F445F7"/>
    <w:rsid w:val="00F4461F"/>
    <w:rsid w:val="00F44622"/>
    <w:rsid w:val="00F4463B"/>
    <w:rsid w:val="00F44662"/>
    <w:rsid w:val="00F44688"/>
    <w:rsid w:val="00F446C3"/>
    <w:rsid w:val="00F446C7"/>
    <w:rsid w:val="00F446E8"/>
    <w:rsid w:val="00F44794"/>
    <w:rsid w:val="00F447A5"/>
    <w:rsid w:val="00F447A9"/>
    <w:rsid w:val="00F447AC"/>
    <w:rsid w:val="00F447E0"/>
    <w:rsid w:val="00F44840"/>
    <w:rsid w:val="00F4485E"/>
    <w:rsid w:val="00F44865"/>
    <w:rsid w:val="00F44877"/>
    <w:rsid w:val="00F44879"/>
    <w:rsid w:val="00F4492F"/>
    <w:rsid w:val="00F44932"/>
    <w:rsid w:val="00F44944"/>
    <w:rsid w:val="00F44953"/>
    <w:rsid w:val="00F4495C"/>
    <w:rsid w:val="00F449A7"/>
    <w:rsid w:val="00F449C5"/>
    <w:rsid w:val="00F44A35"/>
    <w:rsid w:val="00F44A36"/>
    <w:rsid w:val="00F44A8C"/>
    <w:rsid w:val="00F44AB4"/>
    <w:rsid w:val="00F44AB9"/>
    <w:rsid w:val="00F44AD0"/>
    <w:rsid w:val="00F44AD5"/>
    <w:rsid w:val="00F44B14"/>
    <w:rsid w:val="00F44B18"/>
    <w:rsid w:val="00F44B1F"/>
    <w:rsid w:val="00F44B33"/>
    <w:rsid w:val="00F44B34"/>
    <w:rsid w:val="00F44B39"/>
    <w:rsid w:val="00F44B66"/>
    <w:rsid w:val="00F44BDB"/>
    <w:rsid w:val="00F44BF1"/>
    <w:rsid w:val="00F44BFC"/>
    <w:rsid w:val="00F44C24"/>
    <w:rsid w:val="00F44C36"/>
    <w:rsid w:val="00F44C9F"/>
    <w:rsid w:val="00F44CB3"/>
    <w:rsid w:val="00F44CB7"/>
    <w:rsid w:val="00F44CBA"/>
    <w:rsid w:val="00F44CC4"/>
    <w:rsid w:val="00F44D04"/>
    <w:rsid w:val="00F44D14"/>
    <w:rsid w:val="00F44D1D"/>
    <w:rsid w:val="00F44D7C"/>
    <w:rsid w:val="00F44DA2"/>
    <w:rsid w:val="00F44DC8"/>
    <w:rsid w:val="00F44DF7"/>
    <w:rsid w:val="00F44E12"/>
    <w:rsid w:val="00F44E8B"/>
    <w:rsid w:val="00F44E91"/>
    <w:rsid w:val="00F44F16"/>
    <w:rsid w:val="00F44FBE"/>
    <w:rsid w:val="00F44FE0"/>
    <w:rsid w:val="00F450A1"/>
    <w:rsid w:val="00F450B7"/>
    <w:rsid w:val="00F450E4"/>
    <w:rsid w:val="00F450F2"/>
    <w:rsid w:val="00F4510C"/>
    <w:rsid w:val="00F45113"/>
    <w:rsid w:val="00F45151"/>
    <w:rsid w:val="00F45152"/>
    <w:rsid w:val="00F45177"/>
    <w:rsid w:val="00F451C3"/>
    <w:rsid w:val="00F451DE"/>
    <w:rsid w:val="00F4522F"/>
    <w:rsid w:val="00F45232"/>
    <w:rsid w:val="00F45234"/>
    <w:rsid w:val="00F45250"/>
    <w:rsid w:val="00F45277"/>
    <w:rsid w:val="00F45292"/>
    <w:rsid w:val="00F452AA"/>
    <w:rsid w:val="00F452B4"/>
    <w:rsid w:val="00F45323"/>
    <w:rsid w:val="00F45399"/>
    <w:rsid w:val="00F45496"/>
    <w:rsid w:val="00F454DD"/>
    <w:rsid w:val="00F45510"/>
    <w:rsid w:val="00F4551B"/>
    <w:rsid w:val="00F4554D"/>
    <w:rsid w:val="00F455A3"/>
    <w:rsid w:val="00F455E3"/>
    <w:rsid w:val="00F456A8"/>
    <w:rsid w:val="00F45708"/>
    <w:rsid w:val="00F457A1"/>
    <w:rsid w:val="00F457D4"/>
    <w:rsid w:val="00F457EC"/>
    <w:rsid w:val="00F45841"/>
    <w:rsid w:val="00F45861"/>
    <w:rsid w:val="00F4588E"/>
    <w:rsid w:val="00F45895"/>
    <w:rsid w:val="00F458C4"/>
    <w:rsid w:val="00F458C5"/>
    <w:rsid w:val="00F458D8"/>
    <w:rsid w:val="00F458E9"/>
    <w:rsid w:val="00F45909"/>
    <w:rsid w:val="00F4591E"/>
    <w:rsid w:val="00F4594E"/>
    <w:rsid w:val="00F459BB"/>
    <w:rsid w:val="00F459C3"/>
    <w:rsid w:val="00F459F6"/>
    <w:rsid w:val="00F45A20"/>
    <w:rsid w:val="00F45A3C"/>
    <w:rsid w:val="00F45A95"/>
    <w:rsid w:val="00F45AAD"/>
    <w:rsid w:val="00F45AEF"/>
    <w:rsid w:val="00F45B2A"/>
    <w:rsid w:val="00F45B91"/>
    <w:rsid w:val="00F45B98"/>
    <w:rsid w:val="00F45BB4"/>
    <w:rsid w:val="00F45BD4"/>
    <w:rsid w:val="00F45C27"/>
    <w:rsid w:val="00F45C4E"/>
    <w:rsid w:val="00F45C68"/>
    <w:rsid w:val="00F45C84"/>
    <w:rsid w:val="00F45CE2"/>
    <w:rsid w:val="00F45D22"/>
    <w:rsid w:val="00F45D68"/>
    <w:rsid w:val="00F45DAD"/>
    <w:rsid w:val="00F45E14"/>
    <w:rsid w:val="00F45E60"/>
    <w:rsid w:val="00F45E7E"/>
    <w:rsid w:val="00F45F3A"/>
    <w:rsid w:val="00F45FF1"/>
    <w:rsid w:val="00F46029"/>
    <w:rsid w:val="00F46031"/>
    <w:rsid w:val="00F46032"/>
    <w:rsid w:val="00F4603D"/>
    <w:rsid w:val="00F4612D"/>
    <w:rsid w:val="00F46144"/>
    <w:rsid w:val="00F461D4"/>
    <w:rsid w:val="00F46210"/>
    <w:rsid w:val="00F46325"/>
    <w:rsid w:val="00F4632B"/>
    <w:rsid w:val="00F46357"/>
    <w:rsid w:val="00F46399"/>
    <w:rsid w:val="00F463DB"/>
    <w:rsid w:val="00F4641F"/>
    <w:rsid w:val="00F46441"/>
    <w:rsid w:val="00F46483"/>
    <w:rsid w:val="00F46495"/>
    <w:rsid w:val="00F464A6"/>
    <w:rsid w:val="00F464B7"/>
    <w:rsid w:val="00F46542"/>
    <w:rsid w:val="00F465AB"/>
    <w:rsid w:val="00F465B0"/>
    <w:rsid w:val="00F465EF"/>
    <w:rsid w:val="00F4668D"/>
    <w:rsid w:val="00F466D6"/>
    <w:rsid w:val="00F466E6"/>
    <w:rsid w:val="00F4674F"/>
    <w:rsid w:val="00F46756"/>
    <w:rsid w:val="00F467D9"/>
    <w:rsid w:val="00F467DA"/>
    <w:rsid w:val="00F467DF"/>
    <w:rsid w:val="00F4682C"/>
    <w:rsid w:val="00F46889"/>
    <w:rsid w:val="00F468AE"/>
    <w:rsid w:val="00F468BB"/>
    <w:rsid w:val="00F468E4"/>
    <w:rsid w:val="00F4690C"/>
    <w:rsid w:val="00F46958"/>
    <w:rsid w:val="00F4697B"/>
    <w:rsid w:val="00F46A0A"/>
    <w:rsid w:val="00F46A48"/>
    <w:rsid w:val="00F46A5A"/>
    <w:rsid w:val="00F46AD2"/>
    <w:rsid w:val="00F46AF5"/>
    <w:rsid w:val="00F46B6A"/>
    <w:rsid w:val="00F46B9D"/>
    <w:rsid w:val="00F46BAF"/>
    <w:rsid w:val="00F46C1D"/>
    <w:rsid w:val="00F46C2C"/>
    <w:rsid w:val="00F46D0F"/>
    <w:rsid w:val="00F46D35"/>
    <w:rsid w:val="00F46D74"/>
    <w:rsid w:val="00F46DA6"/>
    <w:rsid w:val="00F46DCD"/>
    <w:rsid w:val="00F46E35"/>
    <w:rsid w:val="00F46E82"/>
    <w:rsid w:val="00F46E8C"/>
    <w:rsid w:val="00F46E97"/>
    <w:rsid w:val="00F46ECC"/>
    <w:rsid w:val="00F46EFC"/>
    <w:rsid w:val="00F46F06"/>
    <w:rsid w:val="00F46F0A"/>
    <w:rsid w:val="00F46F2C"/>
    <w:rsid w:val="00F46F5C"/>
    <w:rsid w:val="00F46FB9"/>
    <w:rsid w:val="00F47039"/>
    <w:rsid w:val="00F47045"/>
    <w:rsid w:val="00F47085"/>
    <w:rsid w:val="00F470A0"/>
    <w:rsid w:val="00F470D3"/>
    <w:rsid w:val="00F470D9"/>
    <w:rsid w:val="00F470FF"/>
    <w:rsid w:val="00F47151"/>
    <w:rsid w:val="00F471AF"/>
    <w:rsid w:val="00F471EE"/>
    <w:rsid w:val="00F47247"/>
    <w:rsid w:val="00F47307"/>
    <w:rsid w:val="00F4731B"/>
    <w:rsid w:val="00F47338"/>
    <w:rsid w:val="00F4733F"/>
    <w:rsid w:val="00F47375"/>
    <w:rsid w:val="00F47387"/>
    <w:rsid w:val="00F473BF"/>
    <w:rsid w:val="00F473C2"/>
    <w:rsid w:val="00F473CC"/>
    <w:rsid w:val="00F473EC"/>
    <w:rsid w:val="00F47404"/>
    <w:rsid w:val="00F47493"/>
    <w:rsid w:val="00F474C3"/>
    <w:rsid w:val="00F47566"/>
    <w:rsid w:val="00F47599"/>
    <w:rsid w:val="00F475C8"/>
    <w:rsid w:val="00F475EA"/>
    <w:rsid w:val="00F475ED"/>
    <w:rsid w:val="00F47658"/>
    <w:rsid w:val="00F47683"/>
    <w:rsid w:val="00F47686"/>
    <w:rsid w:val="00F4777B"/>
    <w:rsid w:val="00F4784F"/>
    <w:rsid w:val="00F47862"/>
    <w:rsid w:val="00F4786F"/>
    <w:rsid w:val="00F478CD"/>
    <w:rsid w:val="00F478EB"/>
    <w:rsid w:val="00F478F1"/>
    <w:rsid w:val="00F47971"/>
    <w:rsid w:val="00F479B2"/>
    <w:rsid w:val="00F479BE"/>
    <w:rsid w:val="00F479D3"/>
    <w:rsid w:val="00F479DD"/>
    <w:rsid w:val="00F47A39"/>
    <w:rsid w:val="00F47A40"/>
    <w:rsid w:val="00F47A5C"/>
    <w:rsid w:val="00F47AEE"/>
    <w:rsid w:val="00F47AFA"/>
    <w:rsid w:val="00F47B36"/>
    <w:rsid w:val="00F47BB8"/>
    <w:rsid w:val="00F47BC0"/>
    <w:rsid w:val="00F47BC4"/>
    <w:rsid w:val="00F47CC3"/>
    <w:rsid w:val="00F47CDB"/>
    <w:rsid w:val="00F47CEC"/>
    <w:rsid w:val="00F47D2D"/>
    <w:rsid w:val="00F47D3C"/>
    <w:rsid w:val="00F47D49"/>
    <w:rsid w:val="00F47D64"/>
    <w:rsid w:val="00F47D83"/>
    <w:rsid w:val="00F47DE4"/>
    <w:rsid w:val="00F47E38"/>
    <w:rsid w:val="00F47E7F"/>
    <w:rsid w:val="00F47E8C"/>
    <w:rsid w:val="00F47ED5"/>
    <w:rsid w:val="00F47ED7"/>
    <w:rsid w:val="00F47F72"/>
    <w:rsid w:val="00F47F7F"/>
    <w:rsid w:val="00F47F9D"/>
    <w:rsid w:val="00F5004C"/>
    <w:rsid w:val="00F5008D"/>
    <w:rsid w:val="00F500F8"/>
    <w:rsid w:val="00F5010E"/>
    <w:rsid w:val="00F50116"/>
    <w:rsid w:val="00F50131"/>
    <w:rsid w:val="00F5016F"/>
    <w:rsid w:val="00F50190"/>
    <w:rsid w:val="00F501B2"/>
    <w:rsid w:val="00F501C8"/>
    <w:rsid w:val="00F5021E"/>
    <w:rsid w:val="00F50260"/>
    <w:rsid w:val="00F50266"/>
    <w:rsid w:val="00F502A2"/>
    <w:rsid w:val="00F502B3"/>
    <w:rsid w:val="00F50334"/>
    <w:rsid w:val="00F5036B"/>
    <w:rsid w:val="00F503A6"/>
    <w:rsid w:val="00F503D6"/>
    <w:rsid w:val="00F503E9"/>
    <w:rsid w:val="00F503F1"/>
    <w:rsid w:val="00F5046D"/>
    <w:rsid w:val="00F504AE"/>
    <w:rsid w:val="00F504D3"/>
    <w:rsid w:val="00F504D9"/>
    <w:rsid w:val="00F504E8"/>
    <w:rsid w:val="00F50534"/>
    <w:rsid w:val="00F50539"/>
    <w:rsid w:val="00F50555"/>
    <w:rsid w:val="00F50565"/>
    <w:rsid w:val="00F506EB"/>
    <w:rsid w:val="00F5073F"/>
    <w:rsid w:val="00F50784"/>
    <w:rsid w:val="00F50785"/>
    <w:rsid w:val="00F507A4"/>
    <w:rsid w:val="00F507B1"/>
    <w:rsid w:val="00F507D6"/>
    <w:rsid w:val="00F507DF"/>
    <w:rsid w:val="00F5080E"/>
    <w:rsid w:val="00F508E0"/>
    <w:rsid w:val="00F5092E"/>
    <w:rsid w:val="00F5094E"/>
    <w:rsid w:val="00F509D4"/>
    <w:rsid w:val="00F509F7"/>
    <w:rsid w:val="00F50A5B"/>
    <w:rsid w:val="00F50AA9"/>
    <w:rsid w:val="00F50ADC"/>
    <w:rsid w:val="00F50BBA"/>
    <w:rsid w:val="00F50BD3"/>
    <w:rsid w:val="00F50BE5"/>
    <w:rsid w:val="00F50C35"/>
    <w:rsid w:val="00F50C3D"/>
    <w:rsid w:val="00F50C5A"/>
    <w:rsid w:val="00F50D83"/>
    <w:rsid w:val="00F50DA6"/>
    <w:rsid w:val="00F50DC5"/>
    <w:rsid w:val="00F50DD8"/>
    <w:rsid w:val="00F50E3A"/>
    <w:rsid w:val="00F50E89"/>
    <w:rsid w:val="00F50F08"/>
    <w:rsid w:val="00F50F0D"/>
    <w:rsid w:val="00F50F24"/>
    <w:rsid w:val="00F50F3A"/>
    <w:rsid w:val="00F50F7D"/>
    <w:rsid w:val="00F50FB1"/>
    <w:rsid w:val="00F50FE5"/>
    <w:rsid w:val="00F51006"/>
    <w:rsid w:val="00F5104F"/>
    <w:rsid w:val="00F510C6"/>
    <w:rsid w:val="00F510FF"/>
    <w:rsid w:val="00F51125"/>
    <w:rsid w:val="00F511DD"/>
    <w:rsid w:val="00F51212"/>
    <w:rsid w:val="00F51226"/>
    <w:rsid w:val="00F5122C"/>
    <w:rsid w:val="00F5125C"/>
    <w:rsid w:val="00F512BA"/>
    <w:rsid w:val="00F51318"/>
    <w:rsid w:val="00F51343"/>
    <w:rsid w:val="00F51369"/>
    <w:rsid w:val="00F51397"/>
    <w:rsid w:val="00F514D7"/>
    <w:rsid w:val="00F51540"/>
    <w:rsid w:val="00F5155D"/>
    <w:rsid w:val="00F515F5"/>
    <w:rsid w:val="00F5162A"/>
    <w:rsid w:val="00F516AE"/>
    <w:rsid w:val="00F516E7"/>
    <w:rsid w:val="00F51746"/>
    <w:rsid w:val="00F517B3"/>
    <w:rsid w:val="00F517C5"/>
    <w:rsid w:val="00F517D7"/>
    <w:rsid w:val="00F517F4"/>
    <w:rsid w:val="00F51818"/>
    <w:rsid w:val="00F5181D"/>
    <w:rsid w:val="00F5189D"/>
    <w:rsid w:val="00F518F4"/>
    <w:rsid w:val="00F5190B"/>
    <w:rsid w:val="00F5192A"/>
    <w:rsid w:val="00F5193C"/>
    <w:rsid w:val="00F5197A"/>
    <w:rsid w:val="00F51995"/>
    <w:rsid w:val="00F51997"/>
    <w:rsid w:val="00F519AF"/>
    <w:rsid w:val="00F519D6"/>
    <w:rsid w:val="00F519FC"/>
    <w:rsid w:val="00F51A34"/>
    <w:rsid w:val="00F51A77"/>
    <w:rsid w:val="00F51AA4"/>
    <w:rsid w:val="00F51AD0"/>
    <w:rsid w:val="00F51AF6"/>
    <w:rsid w:val="00F51B0F"/>
    <w:rsid w:val="00F51B15"/>
    <w:rsid w:val="00F51B26"/>
    <w:rsid w:val="00F51B38"/>
    <w:rsid w:val="00F51BE9"/>
    <w:rsid w:val="00F51C72"/>
    <w:rsid w:val="00F51CF8"/>
    <w:rsid w:val="00F51D42"/>
    <w:rsid w:val="00F51D64"/>
    <w:rsid w:val="00F51D65"/>
    <w:rsid w:val="00F51D7F"/>
    <w:rsid w:val="00F51D82"/>
    <w:rsid w:val="00F51DB7"/>
    <w:rsid w:val="00F51DB8"/>
    <w:rsid w:val="00F51DB9"/>
    <w:rsid w:val="00F51DEA"/>
    <w:rsid w:val="00F51E1B"/>
    <w:rsid w:val="00F51E27"/>
    <w:rsid w:val="00F51E8C"/>
    <w:rsid w:val="00F51EAB"/>
    <w:rsid w:val="00F51F34"/>
    <w:rsid w:val="00F51F5C"/>
    <w:rsid w:val="00F51F91"/>
    <w:rsid w:val="00F51F9A"/>
    <w:rsid w:val="00F5201C"/>
    <w:rsid w:val="00F5202A"/>
    <w:rsid w:val="00F520D3"/>
    <w:rsid w:val="00F520DA"/>
    <w:rsid w:val="00F52167"/>
    <w:rsid w:val="00F5219F"/>
    <w:rsid w:val="00F521DB"/>
    <w:rsid w:val="00F5222B"/>
    <w:rsid w:val="00F5226C"/>
    <w:rsid w:val="00F522A0"/>
    <w:rsid w:val="00F522A2"/>
    <w:rsid w:val="00F522C6"/>
    <w:rsid w:val="00F522ED"/>
    <w:rsid w:val="00F522F9"/>
    <w:rsid w:val="00F52308"/>
    <w:rsid w:val="00F5230C"/>
    <w:rsid w:val="00F5233F"/>
    <w:rsid w:val="00F523CD"/>
    <w:rsid w:val="00F5248D"/>
    <w:rsid w:val="00F52522"/>
    <w:rsid w:val="00F52524"/>
    <w:rsid w:val="00F5252E"/>
    <w:rsid w:val="00F5256C"/>
    <w:rsid w:val="00F525AE"/>
    <w:rsid w:val="00F525EC"/>
    <w:rsid w:val="00F525EF"/>
    <w:rsid w:val="00F52611"/>
    <w:rsid w:val="00F52691"/>
    <w:rsid w:val="00F526DF"/>
    <w:rsid w:val="00F52707"/>
    <w:rsid w:val="00F5270F"/>
    <w:rsid w:val="00F527E6"/>
    <w:rsid w:val="00F527F7"/>
    <w:rsid w:val="00F52864"/>
    <w:rsid w:val="00F52892"/>
    <w:rsid w:val="00F528CC"/>
    <w:rsid w:val="00F528CD"/>
    <w:rsid w:val="00F528F0"/>
    <w:rsid w:val="00F52968"/>
    <w:rsid w:val="00F5297E"/>
    <w:rsid w:val="00F529C4"/>
    <w:rsid w:val="00F529DD"/>
    <w:rsid w:val="00F52A4C"/>
    <w:rsid w:val="00F52A4D"/>
    <w:rsid w:val="00F52A6E"/>
    <w:rsid w:val="00F52A8F"/>
    <w:rsid w:val="00F52AAC"/>
    <w:rsid w:val="00F52ADA"/>
    <w:rsid w:val="00F52AF5"/>
    <w:rsid w:val="00F52B02"/>
    <w:rsid w:val="00F52B3C"/>
    <w:rsid w:val="00F52B8F"/>
    <w:rsid w:val="00F52BA1"/>
    <w:rsid w:val="00F52BD0"/>
    <w:rsid w:val="00F52BE8"/>
    <w:rsid w:val="00F52C0E"/>
    <w:rsid w:val="00F52C14"/>
    <w:rsid w:val="00F52CB7"/>
    <w:rsid w:val="00F52CED"/>
    <w:rsid w:val="00F52D34"/>
    <w:rsid w:val="00F52D86"/>
    <w:rsid w:val="00F52DF0"/>
    <w:rsid w:val="00F52E43"/>
    <w:rsid w:val="00F52E6B"/>
    <w:rsid w:val="00F52E8A"/>
    <w:rsid w:val="00F52ECC"/>
    <w:rsid w:val="00F52ED0"/>
    <w:rsid w:val="00F52ED3"/>
    <w:rsid w:val="00F52EF3"/>
    <w:rsid w:val="00F52F22"/>
    <w:rsid w:val="00F52F33"/>
    <w:rsid w:val="00F52F3E"/>
    <w:rsid w:val="00F52F47"/>
    <w:rsid w:val="00F52FF1"/>
    <w:rsid w:val="00F52FFF"/>
    <w:rsid w:val="00F53038"/>
    <w:rsid w:val="00F53056"/>
    <w:rsid w:val="00F5305C"/>
    <w:rsid w:val="00F53062"/>
    <w:rsid w:val="00F53071"/>
    <w:rsid w:val="00F5307F"/>
    <w:rsid w:val="00F5308D"/>
    <w:rsid w:val="00F530CE"/>
    <w:rsid w:val="00F530F4"/>
    <w:rsid w:val="00F53118"/>
    <w:rsid w:val="00F531C5"/>
    <w:rsid w:val="00F53209"/>
    <w:rsid w:val="00F5321F"/>
    <w:rsid w:val="00F53232"/>
    <w:rsid w:val="00F5323E"/>
    <w:rsid w:val="00F532B9"/>
    <w:rsid w:val="00F532E9"/>
    <w:rsid w:val="00F5337E"/>
    <w:rsid w:val="00F5338A"/>
    <w:rsid w:val="00F53393"/>
    <w:rsid w:val="00F533BC"/>
    <w:rsid w:val="00F53488"/>
    <w:rsid w:val="00F53495"/>
    <w:rsid w:val="00F534DB"/>
    <w:rsid w:val="00F53530"/>
    <w:rsid w:val="00F53531"/>
    <w:rsid w:val="00F5355E"/>
    <w:rsid w:val="00F5356A"/>
    <w:rsid w:val="00F535F7"/>
    <w:rsid w:val="00F5361F"/>
    <w:rsid w:val="00F53623"/>
    <w:rsid w:val="00F53650"/>
    <w:rsid w:val="00F5365A"/>
    <w:rsid w:val="00F5370E"/>
    <w:rsid w:val="00F53730"/>
    <w:rsid w:val="00F5373C"/>
    <w:rsid w:val="00F53754"/>
    <w:rsid w:val="00F53773"/>
    <w:rsid w:val="00F537C0"/>
    <w:rsid w:val="00F53872"/>
    <w:rsid w:val="00F538AC"/>
    <w:rsid w:val="00F538B7"/>
    <w:rsid w:val="00F538CC"/>
    <w:rsid w:val="00F538D7"/>
    <w:rsid w:val="00F538DD"/>
    <w:rsid w:val="00F538F5"/>
    <w:rsid w:val="00F538FC"/>
    <w:rsid w:val="00F53954"/>
    <w:rsid w:val="00F5399A"/>
    <w:rsid w:val="00F539CB"/>
    <w:rsid w:val="00F539CD"/>
    <w:rsid w:val="00F539F6"/>
    <w:rsid w:val="00F53A08"/>
    <w:rsid w:val="00F53A33"/>
    <w:rsid w:val="00F53AE0"/>
    <w:rsid w:val="00F53AE8"/>
    <w:rsid w:val="00F53B20"/>
    <w:rsid w:val="00F53B84"/>
    <w:rsid w:val="00F53BFE"/>
    <w:rsid w:val="00F53C76"/>
    <w:rsid w:val="00F53D04"/>
    <w:rsid w:val="00F53D23"/>
    <w:rsid w:val="00F53D24"/>
    <w:rsid w:val="00F53D30"/>
    <w:rsid w:val="00F53D33"/>
    <w:rsid w:val="00F53D4C"/>
    <w:rsid w:val="00F53D84"/>
    <w:rsid w:val="00F53D87"/>
    <w:rsid w:val="00F53D91"/>
    <w:rsid w:val="00F53DA9"/>
    <w:rsid w:val="00F53DCF"/>
    <w:rsid w:val="00F53DFC"/>
    <w:rsid w:val="00F53E9B"/>
    <w:rsid w:val="00F53EE4"/>
    <w:rsid w:val="00F53EF3"/>
    <w:rsid w:val="00F53EFE"/>
    <w:rsid w:val="00F53F20"/>
    <w:rsid w:val="00F53F68"/>
    <w:rsid w:val="00F53F81"/>
    <w:rsid w:val="00F53FD3"/>
    <w:rsid w:val="00F53FDF"/>
    <w:rsid w:val="00F53FE2"/>
    <w:rsid w:val="00F53FED"/>
    <w:rsid w:val="00F54021"/>
    <w:rsid w:val="00F54032"/>
    <w:rsid w:val="00F5403A"/>
    <w:rsid w:val="00F540A3"/>
    <w:rsid w:val="00F5410F"/>
    <w:rsid w:val="00F54125"/>
    <w:rsid w:val="00F5412B"/>
    <w:rsid w:val="00F5413D"/>
    <w:rsid w:val="00F54140"/>
    <w:rsid w:val="00F54145"/>
    <w:rsid w:val="00F54149"/>
    <w:rsid w:val="00F541D0"/>
    <w:rsid w:val="00F54248"/>
    <w:rsid w:val="00F54275"/>
    <w:rsid w:val="00F542A2"/>
    <w:rsid w:val="00F542AE"/>
    <w:rsid w:val="00F542CD"/>
    <w:rsid w:val="00F542EB"/>
    <w:rsid w:val="00F543AC"/>
    <w:rsid w:val="00F543E0"/>
    <w:rsid w:val="00F5441D"/>
    <w:rsid w:val="00F54430"/>
    <w:rsid w:val="00F54472"/>
    <w:rsid w:val="00F544A4"/>
    <w:rsid w:val="00F5454D"/>
    <w:rsid w:val="00F54550"/>
    <w:rsid w:val="00F54575"/>
    <w:rsid w:val="00F5459E"/>
    <w:rsid w:val="00F545B8"/>
    <w:rsid w:val="00F545C5"/>
    <w:rsid w:val="00F545EC"/>
    <w:rsid w:val="00F54617"/>
    <w:rsid w:val="00F5467F"/>
    <w:rsid w:val="00F546AE"/>
    <w:rsid w:val="00F546EF"/>
    <w:rsid w:val="00F54761"/>
    <w:rsid w:val="00F54798"/>
    <w:rsid w:val="00F547AA"/>
    <w:rsid w:val="00F547C8"/>
    <w:rsid w:val="00F547D6"/>
    <w:rsid w:val="00F547DC"/>
    <w:rsid w:val="00F547E1"/>
    <w:rsid w:val="00F547FD"/>
    <w:rsid w:val="00F54817"/>
    <w:rsid w:val="00F54843"/>
    <w:rsid w:val="00F5485B"/>
    <w:rsid w:val="00F54866"/>
    <w:rsid w:val="00F548CC"/>
    <w:rsid w:val="00F548DA"/>
    <w:rsid w:val="00F548EF"/>
    <w:rsid w:val="00F548F6"/>
    <w:rsid w:val="00F54910"/>
    <w:rsid w:val="00F54974"/>
    <w:rsid w:val="00F5497F"/>
    <w:rsid w:val="00F549E6"/>
    <w:rsid w:val="00F54A36"/>
    <w:rsid w:val="00F54A5C"/>
    <w:rsid w:val="00F54A5F"/>
    <w:rsid w:val="00F54A96"/>
    <w:rsid w:val="00F54AA1"/>
    <w:rsid w:val="00F54AA7"/>
    <w:rsid w:val="00F54B0C"/>
    <w:rsid w:val="00F54B21"/>
    <w:rsid w:val="00F54B67"/>
    <w:rsid w:val="00F54BAC"/>
    <w:rsid w:val="00F54BB9"/>
    <w:rsid w:val="00F54C0D"/>
    <w:rsid w:val="00F54C14"/>
    <w:rsid w:val="00F54C16"/>
    <w:rsid w:val="00F54C4A"/>
    <w:rsid w:val="00F54C7B"/>
    <w:rsid w:val="00F54C82"/>
    <w:rsid w:val="00F54C88"/>
    <w:rsid w:val="00F54CB0"/>
    <w:rsid w:val="00F54CBB"/>
    <w:rsid w:val="00F54D19"/>
    <w:rsid w:val="00F54D2F"/>
    <w:rsid w:val="00F54DEE"/>
    <w:rsid w:val="00F54E0D"/>
    <w:rsid w:val="00F54E67"/>
    <w:rsid w:val="00F54E87"/>
    <w:rsid w:val="00F54ED5"/>
    <w:rsid w:val="00F54F18"/>
    <w:rsid w:val="00F54FA6"/>
    <w:rsid w:val="00F54FF4"/>
    <w:rsid w:val="00F55041"/>
    <w:rsid w:val="00F550B3"/>
    <w:rsid w:val="00F550D6"/>
    <w:rsid w:val="00F55100"/>
    <w:rsid w:val="00F55119"/>
    <w:rsid w:val="00F55151"/>
    <w:rsid w:val="00F551EA"/>
    <w:rsid w:val="00F551FB"/>
    <w:rsid w:val="00F55205"/>
    <w:rsid w:val="00F55229"/>
    <w:rsid w:val="00F55299"/>
    <w:rsid w:val="00F552EA"/>
    <w:rsid w:val="00F55317"/>
    <w:rsid w:val="00F5532D"/>
    <w:rsid w:val="00F5539E"/>
    <w:rsid w:val="00F5542E"/>
    <w:rsid w:val="00F5547D"/>
    <w:rsid w:val="00F55513"/>
    <w:rsid w:val="00F55527"/>
    <w:rsid w:val="00F5556E"/>
    <w:rsid w:val="00F555CD"/>
    <w:rsid w:val="00F55620"/>
    <w:rsid w:val="00F55651"/>
    <w:rsid w:val="00F55657"/>
    <w:rsid w:val="00F55663"/>
    <w:rsid w:val="00F55681"/>
    <w:rsid w:val="00F55691"/>
    <w:rsid w:val="00F556EA"/>
    <w:rsid w:val="00F556FD"/>
    <w:rsid w:val="00F556FE"/>
    <w:rsid w:val="00F55709"/>
    <w:rsid w:val="00F55762"/>
    <w:rsid w:val="00F5579F"/>
    <w:rsid w:val="00F557C2"/>
    <w:rsid w:val="00F55821"/>
    <w:rsid w:val="00F5589D"/>
    <w:rsid w:val="00F558B8"/>
    <w:rsid w:val="00F5590E"/>
    <w:rsid w:val="00F5599C"/>
    <w:rsid w:val="00F559C0"/>
    <w:rsid w:val="00F55A57"/>
    <w:rsid w:val="00F55AD1"/>
    <w:rsid w:val="00F55B45"/>
    <w:rsid w:val="00F55B60"/>
    <w:rsid w:val="00F55BF8"/>
    <w:rsid w:val="00F55C0E"/>
    <w:rsid w:val="00F55C17"/>
    <w:rsid w:val="00F55C1D"/>
    <w:rsid w:val="00F55C42"/>
    <w:rsid w:val="00F55C5C"/>
    <w:rsid w:val="00F55C86"/>
    <w:rsid w:val="00F55C92"/>
    <w:rsid w:val="00F55CE8"/>
    <w:rsid w:val="00F55D3B"/>
    <w:rsid w:val="00F55D50"/>
    <w:rsid w:val="00F55D5B"/>
    <w:rsid w:val="00F55D63"/>
    <w:rsid w:val="00F55D88"/>
    <w:rsid w:val="00F55DD6"/>
    <w:rsid w:val="00F55E27"/>
    <w:rsid w:val="00F55E76"/>
    <w:rsid w:val="00F55EA5"/>
    <w:rsid w:val="00F55ED3"/>
    <w:rsid w:val="00F55F2A"/>
    <w:rsid w:val="00F55F57"/>
    <w:rsid w:val="00F55F69"/>
    <w:rsid w:val="00F55F6A"/>
    <w:rsid w:val="00F55F92"/>
    <w:rsid w:val="00F55FB6"/>
    <w:rsid w:val="00F55FF3"/>
    <w:rsid w:val="00F5604E"/>
    <w:rsid w:val="00F56068"/>
    <w:rsid w:val="00F56085"/>
    <w:rsid w:val="00F56130"/>
    <w:rsid w:val="00F561D1"/>
    <w:rsid w:val="00F561DD"/>
    <w:rsid w:val="00F5623C"/>
    <w:rsid w:val="00F56252"/>
    <w:rsid w:val="00F56255"/>
    <w:rsid w:val="00F562BF"/>
    <w:rsid w:val="00F5630B"/>
    <w:rsid w:val="00F56310"/>
    <w:rsid w:val="00F56315"/>
    <w:rsid w:val="00F563B4"/>
    <w:rsid w:val="00F5640E"/>
    <w:rsid w:val="00F5641F"/>
    <w:rsid w:val="00F56491"/>
    <w:rsid w:val="00F564D7"/>
    <w:rsid w:val="00F564DE"/>
    <w:rsid w:val="00F56550"/>
    <w:rsid w:val="00F56553"/>
    <w:rsid w:val="00F565A8"/>
    <w:rsid w:val="00F565EE"/>
    <w:rsid w:val="00F5663E"/>
    <w:rsid w:val="00F56646"/>
    <w:rsid w:val="00F5664C"/>
    <w:rsid w:val="00F56697"/>
    <w:rsid w:val="00F566B3"/>
    <w:rsid w:val="00F56772"/>
    <w:rsid w:val="00F56775"/>
    <w:rsid w:val="00F56786"/>
    <w:rsid w:val="00F567DF"/>
    <w:rsid w:val="00F5682A"/>
    <w:rsid w:val="00F56834"/>
    <w:rsid w:val="00F56855"/>
    <w:rsid w:val="00F5687B"/>
    <w:rsid w:val="00F568D3"/>
    <w:rsid w:val="00F568DA"/>
    <w:rsid w:val="00F56913"/>
    <w:rsid w:val="00F5692C"/>
    <w:rsid w:val="00F569BC"/>
    <w:rsid w:val="00F569CE"/>
    <w:rsid w:val="00F569FE"/>
    <w:rsid w:val="00F56A0C"/>
    <w:rsid w:val="00F56A13"/>
    <w:rsid w:val="00F56A81"/>
    <w:rsid w:val="00F56A82"/>
    <w:rsid w:val="00F56A8B"/>
    <w:rsid w:val="00F56AB4"/>
    <w:rsid w:val="00F56B2E"/>
    <w:rsid w:val="00F56B80"/>
    <w:rsid w:val="00F56B86"/>
    <w:rsid w:val="00F56BA1"/>
    <w:rsid w:val="00F56BC0"/>
    <w:rsid w:val="00F56BE3"/>
    <w:rsid w:val="00F56BE7"/>
    <w:rsid w:val="00F56C1D"/>
    <w:rsid w:val="00F56C23"/>
    <w:rsid w:val="00F56C29"/>
    <w:rsid w:val="00F56C84"/>
    <w:rsid w:val="00F56CA7"/>
    <w:rsid w:val="00F56CBB"/>
    <w:rsid w:val="00F56CC6"/>
    <w:rsid w:val="00F56D28"/>
    <w:rsid w:val="00F56D3C"/>
    <w:rsid w:val="00F56D56"/>
    <w:rsid w:val="00F56DA3"/>
    <w:rsid w:val="00F56DCB"/>
    <w:rsid w:val="00F56E20"/>
    <w:rsid w:val="00F56E92"/>
    <w:rsid w:val="00F56EE6"/>
    <w:rsid w:val="00F56EEA"/>
    <w:rsid w:val="00F56F09"/>
    <w:rsid w:val="00F56F2A"/>
    <w:rsid w:val="00F56FB6"/>
    <w:rsid w:val="00F56FC2"/>
    <w:rsid w:val="00F5701A"/>
    <w:rsid w:val="00F570BA"/>
    <w:rsid w:val="00F57111"/>
    <w:rsid w:val="00F571B6"/>
    <w:rsid w:val="00F571BA"/>
    <w:rsid w:val="00F571CC"/>
    <w:rsid w:val="00F571D7"/>
    <w:rsid w:val="00F571E2"/>
    <w:rsid w:val="00F571E3"/>
    <w:rsid w:val="00F571EB"/>
    <w:rsid w:val="00F571FD"/>
    <w:rsid w:val="00F5721C"/>
    <w:rsid w:val="00F57278"/>
    <w:rsid w:val="00F5728A"/>
    <w:rsid w:val="00F57291"/>
    <w:rsid w:val="00F57309"/>
    <w:rsid w:val="00F57324"/>
    <w:rsid w:val="00F5736B"/>
    <w:rsid w:val="00F57370"/>
    <w:rsid w:val="00F57384"/>
    <w:rsid w:val="00F57392"/>
    <w:rsid w:val="00F573AD"/>
    <w:rsid w:val="00F573CC"/>
    <w:rsid w:val="00F573F7"/>
    <w:rsid w:val="00F57416"/>
    <w:rsid w:val="00F57418"/>
    <w:rsid w:val="00F57430"/>
    <w:rsid w:val="00F5743D"/>
    <w:rsid w:val="00F57466"/>
    <w:rsid w:val="00F5746F"/>
    <w:rsid w:val="00F57472"/>
    <w:rsid w:val="00F5747D"/>
    <w:rsid w:val="00F5747F"/>
    <w:rsid w:val="00F574E1"/>
    <w:rsid w:val="00F574E2"/>
    <w:rsid w:val="00F5752D"/>
    <w:rsid w:val="00F57579"/>
    <w:rsid w:val="00F575B2"/>
    <w:rsid w:val="00F575B4"/>
    <w:rsid w:val="00F57616"/>
    <w:rsid w:val="00F5763A"/>
    <w:rsid w:val="00F576FF"/>
    <w:rsid w:val="00F57716"/>
    <w:rsid w:val="00F57728"/>
    <w:rsid w:val="00F57760"/>
    <w:rsid w:val="00F577A0"/>
    <w:rsid w:val="00F577DA"/>
    <w:rsid w:val="00F577FC"/>
    <w:rsid w:val="00F57822"/>
    <w:rsid w:val="00F5785C"/>
    <w:rsid w:val="00F5788C"/>
    <w:rsid w:val="00F5789C"/>
    <w:rsid w:val="00F57923"/>
    <w:rsid w:val="00F57948"/>
    <w:rsid w:val="00F57968"/>
    <w:rsid w:val="00F57984"/>
    <w:rsid w:val="00F5799C"/>
    <w:rsid w:val="00F57A2B"/>
    <w:rsid w:val="00F57A63"/>
    <w:rsid w:val="00F57ACC"/>
    <w:rsid w:val="00F57AD0"/>
    <w:rsid w:val="00F57AF8"/>
    <w:rsid w:val="00F57B1B"/>
    <w:rsid w:val="00F57B8B"/>
    <w:rsid w:val="00F57BED"/>
    <w:rsid w:val="00F57C07"/>
    <w:rsid w:val="00F57C0A"/>
    <w:rsid w:val="00F57C19"/>
    <w:rsid w:val="00F57C46"/>
    <w:rsid w:val="00F57C61"/>
    <w:rsid w:val="00F57CC9"/>
    <w:rsid w:val="00F57CDD"/>
    <w:rsid w:val="00F57CE9"/>
    <w:rsid w:val="00F57CF4"/>
    <w:rsid w:val="00F57CF6"/>
    <w:rsid w:val="00F57D0D"/>
    <w:rsid w:val="00F57D40"/>
    <w:rsid w:val="00F57D56"/>
    <w:rsid w:val="00F57D92"/>
    <w:rsid w:val="00F57E0B"/>
    <w:rsid w:val="00F57E8F"/>
    <w:rsid w:val="00F57E94"/>
    <w:rsid w:val="00F57EAF"/>
    <w:rsid w:val="00F57F05"/>
    <w:rsid w:val="00F60122"/>
    <w:rsid w:val="00F60148"/>
    <w:rsid w:val="00F60198"/>
    <w:rsid w:val="00F601A7"/>
    <w:rsid w:val="00F60206"/>
    <w:rsid w:val="00F60265"/>
    <w:rsid w:val="00F60338"/>
    <w:rsid w:val="00F60370"/>
    <w:rsid w:val="00F6037B"/>
    <w:rsid w:val="00F60443"/>
    <w:rsid w:val="00F604C4"/>
    <w:rsid w:val="00F604DB"/>
    <w:rsid w:val="00F604F0"/>
    <w:rsid w:val="00F60539"/>
    <w:rsid w:val="00F60545"/>
    <w:rsid w:val="00F60557"/>
    <w:rsid w:val="00F60580"/>
    <w:rsid w:val="00F605C5"/>
    <w:rsid w:val="00F6065B"/>
    <w:rsid w:val="00F60673"/>
    <w:rsid w:val="00F606A4"/>
    <w:rsid w:val="00F606DD"/>
    <w:rsid w:val="00F6075C"/>
    <w:rsid w:val="00F607CB"/>
    <w:rsid w:val="00F607D3"/>
    <w:rsid w:val="00F60854"/>
    <w:rsid w:val="00F60868"/>
    <w:rsid w:val="00F6088B"/>
    <w:rsid w:val="00F60893"/>
    <w:rsid w:val="00F6089A"/>
    <w:rsid w:val="00F60902"/>
    <w:rsid w:val="00F60910"/>
    <w:rsid w:val="00F60926"/>
    <w:rsid w:val="00F6093B"/>
    <w:rsid w:val="00F60986"/>
    <w:rsid w:val="00F609A3"/>
    <w:rsid w:val="00F609B0"/>
    <w:rsid w:val="00F60A5F"/>
    <w:rsid w:val="00F60AC3"/>
    <w:rsid w:val="00F60ADE"/>
    <w:rsid w:val="00F60AE0"/>
    <w:rsid w:val="00F60B57"/>
    <w:rsid w:val="00F60BAE"/>
    <w:rsid w:val="00F60BBA"/>
    <w:rsid w:val="00F60BFD"/>
    <w:rsid w:val="00F60CBF"/>
    <w:rsid w:val="00F60CE4"/>
    <w:rsid w:val="00F60D40"/>
    <w:rsid w:val="00F60D4A"/>
    <w:rsid w:val="00F60D54"/>
    <w:rsid w:val="00F60D86"/>
    <w:rsid w:val="00F60DE4"/>
    <w:rsid w:val="00F60E0B"/>
    <w:rsid w:val="00F60E0E"/>
    <w:rsid w:val="00F60E2C"/>
    <w:rsid w:val="00F60E3F"/>
    <w:rsid w:val="00F60EC7"/>
    <w:rsid w:val="00F60EFA"/>
    <w:rsid w:val="00F60F0E"/>
    <w:rsid w:val="00F60F1D"/>
    <w:rsid w:val="00F60F2B"/>
    <w:rsid w:val="00F60F2D"/>
    <w:rsid w:val="00F60F39"/>
    <w:rsid w:val="00F60F5F"/>
    <w:rsid w:val="00F60FBE"/>
    <w:rsid w:val="00F60FCC"/>
    <w:rsid w:val="00F6101A"/>
    <w:rsid w:val="00F61037"/>
    <w:rsid w:val="00F61059"/>
    <w:rsid w:val="00F61073"/>
    <w:rsid w:val="00F61170"/>
    <w:rsid w:val="00F611BB"/>
    <w:rsid w:val="00F611F0"/>
    <w:rsid w:val="00F611F5"/>
    <w:rsid w:val="00F6120C"/>
    <w:rsid w:val="00F61263"/>
    <w:rsid w:val="00F612A5"/>
    <w:rsid w:val="00F612D9"/>
    <w:rsid w:val="00F612DA"/>
    <w:rsid w:val="00F61359"/>
    <w:rsid w:val="00F6138C"/>
    <w:rsid w:val="00F6138E"/>
    <w:rsid w:val="00F613B7"/>
    <w:rsid w:val="00F6140C"/>
    <w:rsid w:val="00F614A6"/>
    <w:rsid w:val="00F614A7"/>
    <w:rsid w:val="00F614AD"/>
    <w:rsid w:val="00F61516"/>
    <w:rsid w:val="00F61560"/>
    <w:rsid w:val="00F61594"/>
    <w:rsid w:val="00F615D2"/>
    <w:rsid w:val="00F615EF"/>
    <w:rsid w:val="00F6162B"/>
    <w:rsid w:val="00F61650"/>
    <w:rsid w:val="00F61754"/>
    <w:rsid w:val="00F61779"/>
    <w:rsid w:val="00F617C3"/>
    <w:rsid w:val="00F617ED"/>
    <w:rsid w:val="00F61817"/>
    <w:rsid w:val="00F6183C"/>
    <w:rsid w:val="00F61914"/>
    <w:rsid w:val="00F61923"/>
    <w:rsid w:val="00F6192D"/>
    <w:rsid w:val="00F619AF"/>
    <w:rsid w:val="00F619B7"/>
    <w:rsid w:val="00F619BA"/>
    <w:rsid w:val="00F619D4"/>
    <w:rsid w:val="00F61A20"/>
    <w:rsid w:val="00F61A27"/>
    <w:rsid w:val="00F61A3A"/>
    <w:rsid w:val="00F61A55"/>
    <w:rsid w:val="00F61A82"/>
    <w:rsid w:val="00F61AEB"/>
    <w:rsid w:val="00F61B4B"/>
    <w:rsid w:val="00F61B6D"/>
    <w:rsid w:val="00F61B8F"/>
    <w:rsid w:val="00F61BC3"/>
    <w:rsid w:val="00F61C35"/>
    <w:rsid w:val="00F61C37"/>
    <w:rsid w:val="00F61CA7"/>
    <w:rsid w:val="00F61CAB"/>
    <w:rsid w:val="00F61CB7"/>
    <w:rsid w:val="00F61CB9"/>
    <w:rsid w:val="00F61D7B"/>
    <w:rsid w:val="00F61DFE"/>
    <w:rsid w:val="00F61E3F"/>
    <w:rsid w:val="00F61E5B"/>
    <w:rsid w:val="00F61E81"/>
    <w:rsid w:val="00F61E8A"/>
    <w:rsid w:val="00F61EEC"/>
    <w:rsid w:val="00F61F16"/>
    <w:rsid w:val="00F61F57"/>
    <w:rsid w:val="00F61FD8"/>
    <w:rsid w:val="00F61FF7"/>
    <w:rsid w:val="00F62014"/>
    <w:rsid w:val="00F62090"/>
    <w:rsid w:val="00F6209E"/>
    <w:rsid w:val="00F620BD"/>
    <w:rsid w:val="00F620EF"/>
    <w:rsid w:val="00F62171"/>
    <w:rsid w:val="00F6219C"/>
    <w:rsid w:val="00F621EA"/>
    <w:rsid w:val="00F62250"/>
    <w:rsid w:val="00F62252"/>
    <w:rsid w:val="00F62254"/>
    <w:rsid w:val="00F62311"/>
    <w:rsid w:val="00F62324"/>
    <w:rsid w:val="00F6232E"/>
    <w:rsid w:val="00F62363"/>
    <w:rsid w:val="00F62398"/>
    <w:rsid w:val="00F623C7"/>
    <w:rsid w:val="00F623F8"/>
    <w:rsid w:val="00F62441"/>
    <w:rsid w:val="00F6244C"/>
    <w:rsid w:val="00F6245B"/>
    <w:rsid w:val="00F62467"/>
    <w:rsid w:val="00F6247D"/>
    <w:rsid w:val="00F624DB"/>
    <w:rsid w:val="00F624E9"/>
    <w:rsid w:val="00F624EA"/>
    <w:rsid w:val="00F624F8"/>
    <w:rsid w:val="00F6251B"/>
    <w:rsid w:val="00F62597"/>
    <w:rsid w:val="00F62608"/>
    <w:rsid w:val="00F62640"/>
    <w:rsid w:val="00F626A4"/>
    <w:rsid w:val="00F626A5"/>
    <w:rsid w:val="00F62700"/>
    <w:rsid w:val="00F62702"/>
    <w:rsid w:val="00F6270B"/>
    <w:rsid w:val="00F62721"/>
    <w:rsid w:val="00F62764"/>
    <w:rsid w:val="00F6276A"/>
    <w:rsid w:val="00F6276C"/>
    <w:rsid w:val="00F627CD"/>
    <w:rsid w:val="00F6281F"/>
    <w:rsid w:val="00F62834"/>
    <w:rsid w:val="00F62841"/>
    <w:rsid w:val="00F6285B"/>
    <w:rsid w:val="00F62878"/>
    <w:rsid w:val="00F62897"/>
    <w:rsid w:val="00F6289E"/>
    <w:rsid w:val="00F62923"/>
    <w:rsid w:val="00F62943"/>
    <w:rsid w:val="00F62947"/>
    <w:rsid w:val="00F6295D"/>
    <w:rsid w:val="00F62989"/>
    <w:rsid w:val="00F629A1"/>
    <w:rsid w:val="00F62A02"/>
    <w:rsid w:val="00F62A3C"/>
    <w:rsid w:val="00F62A71"/>
    <w:rsid w:val="00F62A90"/>
    <w:rsid w:val="00F62A98"/>
    <w:rsid w:val="00F62AA3"/>
    <w:rsid w:val="00F62AB8"/>
    <w:rsid w:val="00F62AC9"/>
    <w:rsid w:val="00F62AD7"/>
    <w:rsid w:val="00F62AE2"/>
    <w:rsid w:val="00F62B20"/>
    <w:rsid w:val="00F62BE9"/>
    <w:rsid w:val="00F62BEC"/>
    <w:rsid w:val="00F62C42"/>
    <w:rsid w:val="00F62D28"/>
    <w:rsid w:val="00F62D81"/>
    <w:rsid w:val="00F62D93"/>
    <w:rsid w:val="00F62DA4"/>
    <w:rsid w:val="00F62DD2"/>
    <w:rsid w:val="00F62DD5"/>
    <w:rsid w:val="00F62DF5"/>
    <w:rsid w:val="00F62DF9"/>
    <w:rsid w:val="00F62E46"/>
    <w:rsid w:val="00F62E6B"/>
    <w:rsid w:val="00F62E99"/>
    <w:rsid w:val="00F62E9B"/>
    <w:rsid w:val="00F62EAA"/>
    <w:rsid w:val="00F62EAD"/>
    <w:rsid w:val="00F62ECB"/>
    <w:rsid w:val="00F62EED"/>
    <w:rsid w:val="00F62F1C"/>
    <w:rsid w:val="00F62F2A"/>
    <w:rsid w:val="00F62F49"/>
    <w:rsid w:val="00F62F78"/>
    <w:rsid w:val="00F62F90"/>
    <w:rsid w:val="00F6301C"/>
    <w:rsid w:val="00F6304A"/>
    <w:rsid w:val="00F63073"/>
    <w:rsid w:val="00F6310E"/>
    <w:rsid w:val="00F63128"/>
    <w:rsid w:val="00F63149"/>
    <w:rsid w:val="00F6316A"/>
    <w:rsid w:val="00F63176"/>
    <w:rsid w:val="00F6317E"/>
    <w:rsid w:val="00F6318A"/>
    <w:rsid w:val="00F631AF"/>
    <w:rsid w:val="00F63251"/>
    <w:rsid w:val="00F632ED"/>
    <w:rsid w:val="00F6332C"/>
    <w:rsid w:val="00F63393"/>
    <w:rsid w:val="00F633A0"/>
    <w:rsid w:val="00F633AD"/>
    <w:rsid w:val="00F63493"/>
    <w:rsid w:val="00F63499"/>
    <w:rsid w:val="00F634A3"/>
    <w:rsid w:val="00F634BF"/>
    <w:rsid w:val="00F634D9"/>
    <w:rsid w:val="00F634F7"/>
    <w:rsid w:val="00F63534"/>
    <w:rsid w:val="00F63592"/>
    <w:rsid w:val="00F635B7"/>
    <w:rsid w:val="00F63630"/>
    <w:rsid w:val="00F63650"/>
    <w:rsid w:val="00F63651"/>
    <w:rsid w:val="00F6365C"/>
    <w:rsid w:val="00F636D3"/>
    <w:rsid w:val="00F636E4"/>
    <w:rsid w:val="00F6372D"/>
    <w:rsid w:val="00F63745"/>
    <w:rsid w:val="00F637E9"/>
    <w:rsid w:val="00F63807"/>
    <w:rsid w:val="00F63845"/>
    <w:rsid w:val="00F6392D"/>
    <w:rsid w:val="00F63978"/>
    <w:rsid w:val="00F639B0"/>
    <w:rsid w:val="00F639E8"/>
    <w:rsid w:val="00F63A02"/>
    <w:rsid w:val="00F63A20"/>
    <w:rsid w:val="00F63A31"/>
    <w:rsid w:val="00F63A3F"/>
    <w:rsid w:val="00F63AAA"/>
    <w:rsid w:val="00F63AAE"/>
    <w:rsid w:val="00F63AB2"/>
    <w:rsid w:val="00F63AD8"/>
    <w:rsid w:val="00F63AF3"/>
    <w:rsid w:val="00F63B1D"/>
    <w:rsid w:val="00F63B7C"/>
    <w:rsid w:val="00F63BA4"/>
    <w:rsid w:val="00F63C1E"/>
    <w:rsid w:val="00F63C73"/>
    <w:rsid w:val="00F63C9C"/>
    <w:rsid w:val="00F63D1A"/>
    <w:rsid w:val="00F63D95"/>
    <w:rsid w:val="00F63DB5"/>
    <w:rsid w:val="00F63DD1"/>
    <w:rsid w:val="00F63DDB"/>
    <w:rsid w:val="00F63DF4"/>
    <w:rsid w:val="00F63DFE"/>
    <w:rsid w:val="00F63E12"/>
    <w:rsid w:val="00F63E16"/>
    <w:rsid w:val="00F63E48"/>
    <w:rsid w:val="00F63E6F"/>
    <w:rsid w:val="00F63E74"/>
    <w:rsid w:val="00F63EB6"/>
    <w:rsid w:val="00F63F8D"/>
    <w:rsid w:val="00F63FBF"/>
    <w:rsid w:val="00F64008"/>
    <w:rsid w:val="00F64016"/>
    <w:rsid w:val="00F64097"/>
    <w:rsid w:val="00F64103"/>
    <w:rsid w:val="00F64114"/>
    <w:rsid w:val="00F64195"/>
    <w:rsid w:val="00F641C8"/>
    <w:rsid w:val="00F641CB"/>
    <w:rsid w:val="00F6422C"/>
    <w:rsid w:val="00F6425D"/>
    <w:rsid w:val="00F64281"/>
    <w:rsid w:val="00F64287"/>
    <w:rsid w:val="00F642BC"/>
    <w:rsid w:val="00F6437B"/>
    <w:rsid w:val="00F643A9"/>
    <w:rsid w:val="00F643EC"/>
    <w:rsid w:val="00F64424"/>
    <w:rsid w:val="00F644D4"/>
    <w:rsid w:val="00F64506"/>
    <w:rsid w:val="00F64512"/>
    <w:rsid w:val="00F6454B"/>
    <w:rsid w:val="00F64595"/>
    <w:rsid w:val="00F645CB"/>
    <w:rsid w:val="00F645DC"/>
    <w:rsid w:val="00F645EB"/>
    <w:rsid w:val="00F6463E"/>
    <w:rsid w:val="00F64667"/>
    <w:rsid w:val="00F6468F"/>
    <w:rsid w:val="00F646A9"/>
    <w:rsid w:val="00F64728"/>
    <w:rsid w:val="00F64747"/>
    <w:rsid w:val="00F64782"/>
    <w:rsid w:val="00F64811"/>
    <w:rsid w:val="00F6484E"/>
    <w:rsid w:val="00F64862"/>
    <w:rsid w:val="00F64875"/>
    <w:rsid w:val="00F648B0"/>
    <w:rsid w:val="00F648B7"/>
    <w:rsid w:val="00F648DD"/>
    <w:rsid w:val="00F64954"/>
    <w:rsid w:val="00F6496C"/>
    <w:rsid w:val="00F649DB"/>
    <w:rsid w:val="00F64A7B"/>
    <w:rsid w:val="00F64A82"/>
    <w:rsid w:val="00F64A95"/>
    <w:rsid w:val="00F64AC2"/>
    <w:rsid w:val="00F64B6C"/>
    <w:rsid w:val="00F64B72"/>
    <w:rsid w:val="00F64B7E"/>
    <w:rsid w:val="00F64C3D"/>
    <w:rsid w:val="00F64C51"/>
    <w:rsid w:val="00F64C61"/>
    <w:rsid w:val="00F64C64"/>
    <w:rsid w:val="00F64D7C"/>
    <w:rsid w:val="00F64DE0"/>
    <w:rsid w:val="00F64E53"/>
    <w:rsid w:val="00F64E70"/>
    <w:rsid w:val="00F64F65"/>
    <w:rsid w:val="00F64FB5"/>
    <w:rsid w:val="00F64FE3"/>
    <w:rsid w:val="00F65036"/>
    <w:rsid w:val="00F65081"/>
    <w:rsid w:val="00F65098"/>
    <w:rsid w:val="00F650B6"/>
    <w:rsid w:val="00F650E3"/>
    <w:rsid w:val="00F650F8"/>
    <w:rsid w:val="00F65105"/>
    <w:rsid w:val="00F65119"/>
    <w:rsid w:val="00F6516D"/>
    <w:rsid w:val="00F651B1"/>
    <w:rsid w:val="00F651E8"/>
    <w:rsid w:val="00F65217"/>
    <w:rsid w:val="00F6523F"/>
    <w:rsid w:val="00F65250"/>
    <w:rsid w:val="00F65259"/>
    <w:rsid w:val="00F65280"/>
    <w:rsid w:val="00F652CD"/>
    <w:rsid w:val="00F652F8"/>
    <w:rsid w:val="00F6531C"/>
    <w:rsid w:val="00F65326"/>
    <w:rsid w:val="00F65333"/>
    <w:rsid w:val="00F6539B"/>
    <w:rsid w:val="00F653C1"/>
    <w:rsid w:val="00F65403"/>
    <w:rsid w:val="00F65405"/>
    <w:rsid w:val="00F65441"/>
    <w:rsid w:val="00F65471"/>
    <w:rsid w:val="00F654B1"/>
    <w:rsid w:val="00F654B2"/>
    <w:rsid w:val="00F654EF"/>
    <w:rsid w:val="00F6550D"/>
    <w:rsid w:val="00F65511"/>
    <w:rsid w:val="00F65597"/>
    <w:rsid w:val="00F6559C"/>
    <w:rsid w:val="00F655D6"/>
    <w:rsid w:val="00F6560B"/>
    <w:rsid w:val="00F65624"/>
    <w:rsid w:val="00F6562B"/>
    <w:rsid w:val="00F6566A"/>
    <w:rsid w:val="00F6566C"/>
    <w:rsid w:val="00F65674"/>
    <w:rsid w:val="00F6568A"/>
    <w:rsid w:val="00F656AB"/>
    <w:rsid w:val="00F6577C"/>
    <w:rsid w:val="00F65795"/>
    <w:rsid w:val="00F657C8"/>
    <w:rsid w:val="00F6580F"/>
    <w:rsid w:val="00F65828"/>
    <w:rsid w:val="00F6588D"/>
    <w:rsid w:val="00F65899"/>
    <w:rsid w:val="00F65966"/>
    <w:rsid w:val="00F6597D"/>
    <w:rsid w:val="00F659E5"/>
    <w:rsid w:val="00F659F1"/>
    <w:rsid w:val="00F65A02"/>
    <w:rsid w:val="00F65A85"/>
    <w:rsid w:val="00F65A93"/>
    <w:rsid w:val="00F65ADE"/>
    <w:rsid w:val="00F65B0D"/>
    <w:rsid w:val="00F65B29"/>
    <w:rsid w:val="00F65BD1"/>
    <w:rsid w:val="00F65C10"/>
    <w:rsid w:val="00F65C30"/>
    <w:rsid w:val="00F65CB2"/>
    <w:rsid w:val="00F65CEA"/>
    <w:rsid w:val="00F65D32"/>
    <w:rsid w:val="00F65D48"/>
    <w:rsid w:val="00F65D75"/>
    <w:rsid w:val="00F65D84"/>
    <w:rsid w:val="00F65DD5"/>
    <w:rsid w:val="00F65E18"/>
    <w:rsid w:val="00F65E1A"/>
    <w:rsid w:val="00F65EC8"/>
    <w:rsid w:val="00F65ECE"/>
    <w:rsid w:val="00F65EE1"/>
    <w:rsid w:val="00F65F84"/>
    <w:rsid w:val="00F6602A"/>
    <w:rsid w:val="00F660C0"/>
    <w:rsid w:val="00F66124"/>
    <w:rsid w:val="00F6613E"/>
    <w:rsid w:val="00F66157"/>
    <w:rsid w:val="00F661BB"/>
    <w:rsid w:val="00F661D2"/>
    <w:rsid w:val="00F661E5"/>
    <w:rsid w:val="00F661F3"/>
    <w:rsid w:val="00F662A0"/>
    <w:rsid w:val="00F662FB"/>
    <w:rsid w:val="00F6632E"/>
    <w:rsid w:val="00F66394"/>
    <w:rsid w:val="00F663F3"/>
    <w:rsid w:val="00F66406"/>
    <w:rsid w:val="00F66414"/>
    <w:rsid w:val="00F66416"/>
    <w:rsid w:val="00F6642E"/>
    <w:rsid w:val="00F66448"/>
    <w:rsid w:val="00F6644F"/>
    <w:rsid w:val="00F66455"/>
    <w:rsid w:val="00F66491"/>
    <w:rsid w:val="00F664A3"/>
    <w:rsid w:val="00F664CC"/>
    <w:rsid w:val="00F664E7"/>
    <w:rsid w:val="00F664ED"/>
    <w:rsid w:val="00F66517"/>
    <w:rsid w:val="00F66588"/>
    <w:rsid w:val="00F665AB"/>
    <w:rsid w:val="00F665D8"/>
    <w:rsid w:val="00F66603"/>
    <w:rsid w:val="00F6660F"/>
    <w:rsid w:val="00F66620"/>
    <w:rsid w:val="00F6662B"/>
    <w:rsid w:val="00F6663B"/>
    <w:rsid w:val="00F66672"/>
    <w:rsid w:val="00F6668F"/>
    <w:rsid w:val="00F666BB"/>
    <w:rsid w:val="00F6675B"/>
    <w:rsid w:val="00F66864"/>
    <w:rsid w:val="00F66865"/>
    <w:rsid w:val="00F66867"/>
    <w:rsid w:val="00F66875"/>
    <w:rsid w:val="00F6687F"/>
    <w:rsid w:val="00F668BF"/>
    <w:rsid w:val="00F66914"/>
    <w:rsid w:val="00F6694F"/>
    <w:rsid w:val="00F66966"/>
    <w:rsid w:val="00F66986"/>
    <w:rsid w:val="00F66991"/>
    <w:rsid w:val="00F669CD"/>
    <w:rsid w:val="00F669E7"/>
    <w:rsid w:val="00F66A28"/>
    <w:rsid w:val="00F66A34"/>
    <w:rsid w:val="00F66A43"/>
    <w:rsid w:val="00F66A7E"/>
    <w:rsid w:val="00F66A81"/>
    <w:rsid w:val="00F66ABF"/>
    <w:rsid w:val="00F66AEB"/>
    <w:rsid w:val="00F66B5C"/>
    <w:rsid w:val="00F66B87"/>
    <w:rsid w:val="00F66B8B"/>
    <w:rsid w:val="00F66BA9"/>
    <w:rsid w:val="00F66C8B"/>
    <w:rsid w:val="00F66CBD"/>
    <w:rsid w:val="00F66CD4"/>
    <w:rsid w:val="00F66CD7"/>
    <w:rsid w:val="00F66D13"/>
    <w:rsid w:val="00F66D4B"/>
    <w:rsid w:val="00F66D86"/>
    <w:rsid w:val="00F66E05"/>
    <w:rsid w:val="00F66E19"/>
    <w:rsid w:val="00F66E39"/>
    <w:rsid w:val="00F66E41"/>
    <w:rsid w:val="00F66E4D"/>
    <w:rsid w:val="00F66E70"/>
    <w:rsid w:val="00F66E87"/>
    <w:rsid w:val="00F66E8E"/>
    <w:rsid w:val="00F66ED9"/>
    <w:rsid w:val="00F66EDB"/>
    <w:rsid w:val="00F66EF9"/>
    <w:rsid w:val="00F66F0B"/>
    <w:rsid w:val="00F66F15"/>
    <w:rsid w:val="00F66F52"/>
    <w:rsid w:val="00F66FB0"/>
    <w:rsid w:val="00F66FF5"/>
    <w:rsid w:val="00F6705A"/>
    <w:rsid w:val="00F6705C"/>
    <w:rsid w:val="00F67095"/>
    <w:rsid w:val="00F67144"/>
    <w:rsid w:val="00F67146"/>
    <w:rsid w:val="00F67192"/>
    <w:rsid w:val="00F671D4"/>
    <w:rsid w:val="00F671ED"/>
    <w:rsid w:val="00F6721D"/>
    <w:rsid w:val="00F67280"/>
    <w:rsid w:val="00F672B5"/>
    <w:rsid w:val="00F672D1"/>
    <w:rsid w:val="00F67308"/>
    <w:rsid w:val="00F6733A"/>
    <w:rsid w:val="00F67370"/>
    <w:rsid w:val="00F67395"/>
    <w:rsid w:val="00F673EB"/>
    <w:rsid w:val="00F674BD"/>
    <w:rsid w:val="00F674C5"/>
    <w:rsid w:val="00F674D1"/>
    <w:rsid w:val="00F6753D"/>
    <w:rsid w:val="00F6756A"/>
    <w:rsid w:val="00F675B7"/>
    <w:rsid w:val="00F675DB"/>
    <w:rsid w:val="00F67653"/>
    <w:rsid w:val="00F67685"/>
    <w:rsid w:val="00F67694"/>
    <w:rsid w:val="00F676E0"/>
    <w:rsid w:val="00F67845"/>
    <w:rsid w:val="00F67878"/>
    <w:rsid w:val="00F6787E"/>
    <w:rsid w:val="00F6788D"/>
    <w:rsid w:val="00F67905"/>
    <w:rsid w:val="00F6795D"/>
    <w:rsid w:val="00F67A10"/>
    <w:rsid w:val="00F67A20"/>
    <w:rsid w:val="00F67A33"/>
    <w:rsid w:val="00F67A37"/>
    <w:rsid w:val="00F67AA9"/>
    <w:rsid w:val="00F67AAC"/>
    <w:rsid w:val="00F67AF1"/>
    <w:rsid w:val="00F67B0E"/>
    <w:rsid w:val="00F67B30"/>
    <w:rsid w:val="00F67B33"/>
    <w:rsid w:val="00F67BA7"/>
    <w:rsid w:val="00F67BB9"/>
    <w:rsid w:val="00F67BC8"/>
    <w:rsid w:val="00F67BEE"/>
    <w:rsid w:val="00F67BFC"/>
    <w:rsid w:val="00F67C62"/>
    <w:rsid w:val="00F67CAA"/>
    <w:rsid w:val="00F67CC4"/>
    <w:rsid w:val="00F67D93"/>
    <w:rsid w:val="00F67E3A"/>
    <w:rsid w:val="00F67E3B"/>
    <w:rsid w:val="00F67EDB"/>
    <w:rsid w:val="00F67EE5"/>
    <w:rsid w:val="00F67F45"/>
    <w:rsid w:val="00F67F78"/>
    <w:rsid w:val="00F67FC0"/>
    <w:rsid w:val="00F7001C"/>
    <w:rsid w:val="00F7001E"/>
    <w:rsid w:val="00F70036"/>
    <w:rsid w:val="00F70042"/>
    <w:rsid w:val="00F7007C"/>
    <w:rsid w:val="00F7012C"/>
    <w:rsid w:val="00F7012D"/>
    <w:rsid w:val="00F7013C"/>
    <w:rsid w:val="00F701C9"/>
    <w:rsid w:val="00F701D6"/>
    <w:rsid w:val="00F701DA"/>
    <w:rsid w:val="00F701DE"/>
    <w:rsid w:val="00F701E4"/>
    <w:rsid w:val="00F7020A"/>
    <w:rsid w:val="00F70260"/>
    <w:rsid w:val="00F70279"/>
    <w:rsid w:val="00F702CC"/>
    <w:rsid w:val="00F702DF"/>
    <w:rsid w:val="00F7034E"/>
    <w:rsid w:val="00F70375"/>
    <w:rsid w:val="00F703A8"/>
    <w:rsid w:val="00F703CE"/>
    <w:rsid w:val="00F703D1"/>
    <w:rsid w:val="00F703DA"/>
    <w:rsid w:val="00F703F3"/>
    <w:rsid w:val="00F703FA"/>
    <w:rsid w:val="00F704D1"/>
    <w:rsid w:val="00F70531"/>
    <w:rsid w:val="00F70562"/>
    <w:rsid w:val="00F7056E"/>
    <w:rsid w:val="00F70578"/>
    <w:rsid w:val="00F705AA"/>
    <w:rsid w:val="00F705BC"/>
    <w:rsid w:val="00F705E2"/>
    <w:rsid w:val="00F705F5"/>
    <w:rsid w:val="00F7061D"/>
    <w:rsid w:val="00F70654"/>
    <w:rsid w:val="00F706BA"/>
    <w:rsid w:val="00F706D1"/>
    <w:rsid w:val="00F70747"/>
    <w:rsid w:val="00F7074F"/>
    <w:rsid w:val="00F70811"/>
    <w:rsid w:val="00F708AD"/>
    <w:rsid w:val="00F70909"/>
    <w:rsid w:val="00F70913"/>
    <w:rsid w:val="00F70915"/>
    <w:rsid w:val="00F7092C"/>
    <w:rsid w:val="00F70946"/>
    <w:rsid w:val="00F7094E"/>
    <w:rsid w:val="00F7097D"/>
    <w:rsid w:val="00F709A0"/>
    <w:rsid w:val="00F709DD"/>
    <w:rsid w:val="00F709E3"/>
    <w:rsid w:val="00F70A1E"/>
    <w:rsid w:val="00F70A23"/>
    <w:rsid w:val="00F70A84"/>
    <w:rsid w:val="00F70A95"/>
    <w:rsid w:val="00F70B4C"/>
    <w:rsid w:val="00F70B7F"/>
    <w:rsid w:val="00F70B83"/>
    <w:rsid w:val="00F70BBB"/>
    <w:rsid w:val="00F70BC5"/>
    <w:rsid w:val="00F70C95"/>
    <w:rsid w:val="00F70CFE"/>
    <w:rsid w:val="00F70D21"/>
    <w:rsid w:val="00F70D9E"/>
    <w:rsid w:val="00F70DD1"/>
    <w:rsid w:val="00F70DD3"/>
    <w:rsid w:val="00F70DD6"/>
    <w:rsid w:val="00F70DF5"/>
    <w:rsid w:val="00F70E37"/>
    <w:rsid w:val="00F70E49"/>
    <w:rsid w:val="00F70E5B"/>
    <w:rsid w:val="00F70E5C"/>
    <w:rsid w:val="00F70E73"/>
    <w:rsid w:val="00F70E8E"/>
    <w:rsid w:val="00F70EDE"/>
    <w:rsid w:val="00F70F26"/>
    <w:rsid w:val="00F70F3A"/>
    <w:rsid w:val="00F70FA8"/>
    <w:rsid w:val="00F70FBB"/>
    <w:rsid w:val="00F70FC6"/>
    <w:rsid w:val="00F71005"/>
    <w:rsid w:val="00F71037"/>
    <w:rsid w:val="00F71046"/>
    <w:rsid w:val="00F71053"/>
    <w:rsid w:val="00F71066"/>
    <w:rsid w:val="00F7106A"/>
    <w:rsid w:val="00F71093"/>
    <w:rsid w:val="00F71106"/>
    <w:rsid w:val="00F7110E"/>
    <w:rsid w:val="00F71125"/>
    <w:rsid w:val="00F7114D"/>
    <w:rsid w:val="00F71166"/>
    <w:rsid w:val="00F7116A"/>
    <w:rsid w:val="00F7119C"/>
    <w:rsid w:val="00F711CC"/>
    <w:rsid w:val="00F711E0"/>
    <w:rsid w:val="00F7121A"/>
    <w:rsid w:val="00F71248"/>
    <w:rsid w:val="00F7125B"/>
    <w:rsid w:val="00F71282"/>
    <w:rsid w:val="00F712AE"/>
    <w:rsid w:val="00F712F2"/>
    <w:rsid w:val="00F712FD"/>
    <w:rsid w:val="00F7130B"/>
    <w:rsid w:val="00F713B4"/>
    <w:rsid w:val="00F713D1"/>
    <w:rsid w:val="00F713D5"/>
    <w:rsid w:val="00F713DA"/>
    <w:rsid w:val="00F713E2"/>
    <w:rsid w:val="00F714AC"/>
    <w:rsid w:val="00F7151F"/>
    <w:rsid w:val="00F71579"/>
    <w:rsid w:val="00F715DE"/>
    <w:rsid w:val="00F71650"/>
    <w:rsid w:val="00F71660"/>
    <w:rsid w:val="00F71675"/>
    <w:rsid w:val="00F716CB"/>
    <w:rsid w:val="00F71731"/>
    <w:rsid w:val="00F71764"/>
    <w:rsid w:val="00F71777"/>
    <w:rsid w:val="00F7177F"/>
    <w:rsid w:val="00F717B1"/>
    <w:rsid w:val="00F71810"/>
    <w:rsid w:val="00F71840"/>
    <w:rsid w:val="00F71865"/>
    <w:rsid w:val="00F71871"/>
    <w:rsid w:val="00F71898"/>
    <w:rsid w:val="00F718A2"/>
    <w:rsid w:val="00F718F0"/>
    <w:rsid w:val="00F718F3"/>
    <w:rsid w:val="00F71907"/>
    <w:rsid w:val="00F7197E"/>
    <w:rsid w:val="00F71990"/>
    <w:rsid w:val="00F719F9"/>
    <w:rsid w:val="00F719FB"/>
    <w:rsid w:val="00F71A50"/>
    <w:rsid w:val="00F71A68"/>
    <w:rsid w:val="00F71AB0"/>
    <w:rsid w:val="00F71AB1"/>
    <w:rsid w:val="00F71B1A"/>
    <w:rsid w:val="00F71B21"/>
    <w:rsid w:val="00F71B22"/>
    <w:rsid w:val="00F71B23"/>
    <w:rsid w:val="00F71BB7"/>
    <w:rsid w:val="00F71C22"/>
    <w:rsid w:val="00F71C6C"/>
    <w:rsid w:val="00F71C7B"/>
    <w:rsid w:val="00F71C96"/>
    <w:rsid w:val="00F71CB8"/>
    <w:rsid w:val="00F71CFC"/>
    <w:rsid w:val="00F71D1F"/>
    <w:rsid w:val="00F71D21"/>
    <w:rsid w:val="00F71D4A"/>
    <w:rsid w:val="00F71D4C"/>
    <w:rsid w:val="00F71D7D"/>
    <w:rsid w:val="00F71DA0"/>
    <w:rsid w:val="00F71DB4"/>
    <w:rsid w:val="00F71E52"/>
    <w:rsid w:val="00F71E9D"/>
    <w:rsid w:val="00F71F87"/>
    <w:rsid w:val="00F71F8F"/>
    <w:rsid w:val="00F72062"/>
    <w:rsid w:val="00F720AC"/>
    <w:rsid w:val="00F720D4"/>
    <w:rsid w:val="00F72177"/>
    <w:rsid w:val="00F721A4"/>
    <w:rsid w:val="00F721CB"/>
    <w:rsid w:val="00F721FE"/>
    <w:rsid w:val="00F72207"/>
    <w:rsid w:val="00F72228"/>
    <w:rsid w:val="00F7225C"/>
    <w:rsid w:val="00F7228E"/>
    <w:rsid w:val="00F72298"/>
    <w:rsid w:val="00F7229A"/>
    <w:rsid w:val="00F722AE"/>
    <w:rsid w:val="00F722D4"/>
    <w:rsid w:val="00F722FC"/>
    <w:rsid w:val="00F72324"/>
    <w:rsid w:val="00F72333"/>
    <w:rsid w:val="00F72379"/>
    <w:rsid w:val="00F72381"/>
    <w:rsid w:val="00F723AD"/>
    <w:rsid w:val="00F723D4"/>
    <w:rsid w:val="00F723F3"/>
    <w:rsid w:val="00F72423"/>
    <w:rsid w:val="00F72431"/>
    <w:rsid w:val="00F72438"/>
    <w:rsid w:val="00F72445"/>
    <w:rsid w:val="00F7246A"/>
    <w:rsid w:val="00F724EA"/>
    <w:rsid w:val="00F724F4"/>
    <w:rsid w:val="00F72506"/>
    <w:rsid w:val="00F72524"/>
    <w:rsid w:val="00F72585"/>
    <w:rsid w:val="00F7260F"/>
    <w:rsid w:val="00F72612"/>
    <w:rsid w:val="00F72621"/>
    <w:rsid w:val="00F7265A"/>
    <w:rsid w:val="00F72689"/>
    <w:rsid w:val="00F72690"/>
    <w:rsid w:val="00F72695"/>
    <w:rsid w:val="00F726B8"/>
    <w:rsid w:val="00F726DF"/>
    <w:rsid w:val="00F72720"/>
    <w:rsid w:val="00F72748"/>
    <w:rsid w:val="00F727D4"/>
    <w:rsid w:val="00F727D6"/>
    <w:rsid w:val="00F727E6"/>
    <w:rsid w:val="00F72835"/>
    <w:rsid w:val="00F7287E"/>
    <w:rsid w:val="00F7291A"/>
    <w:rsid w:val="00F7293E"/>
    <w:rsid w:val="00F729AA"/>
    <w:rsid w:val="00F729D1"/>
    <w:rsid w:val="00F729FF"/>
    <w:rsid w:val="00F72A3D"/>
    <w:rsid w:val="00F72A7E"/>
    <w:rsid w:val="00F72AAF"/>
    <w:rsid w:val="00F72AFB"/>
    <w:rsid w:val="00F72B83"/>
    <w:rsid w:val="00F72B92"/>
    <w:rsid w:val="00F72B98"/>
    <w:rsid w:val="00F72BB6"/>
    <w:rsid w:val="00F72BDC"/>
    <w:rsid w:val="00F72C8D"/>
    <w:rsid w:val="00F72CAB"/>
    <w:rsid w:val="00F72CC4"/>
    <w:rsid w:val="00F72CE6"/>
    <w:rsid w:val="00F72D3D"/>
    <w:rsid w:val="00F72D66"/>
    <w:rsid w:val="00F72DA8"/>
    <w:rsid w:val="00F72DE9"/>
    <w:rsid w:val="00F72DF5"/>
    <w:rsid w:val="00F72DFF"/>
    <w:rsid w:val="00F72E02"/>
    <w:rsid w:val="00F72E19"/>
    <w:rsid w:val="00F72E55"/>
    <w:rsid w:val="00F72E97"/>
    <w:rsid w:val="00F72EB9"/>
    <w:rsid w:val="00F72ED1"/>
    <w:rsid w:val="00F72F14"/>
    <w:rsid w:val="00F72F3C"/>
    <w:rsid w:val="00F72F4D"/>
    <w:rsid w:val="00F72F76"/>
    <w:rsid w:val="00F72F83"/>
    <w:rsid w:val="00F72FAE"/>
    <w:rsid w:val="00F72FB4"/>
    <w:rsid w:val="00F72FCF"/>
    <w:rsid w:val="00F73015"/>
    <w:rsid w:val="00F730B1"/>
    <w:rsid w:val="00F730BA"/>
    <w:rsid w:val="00F730D1"/>
    <w:rsid w:val="00F73116"/>
    <w:rsid w:val="00F7316B"/>
    <w:rsid w:val="00F731A6"/>
    <w:rsid w:val="00F731C7"/>
    <w:rsid w:val="00F731CE"/>
    <w:rsid w:val="00F73248"/>
    <w:rsid w:val="00F73317"/>
    <w:rsid w:val="00F7332C"/>
    <w:rsid w:val="00F73384"/>
    <w:rsid w:val="00F73390"/>
    <w:rsid w:val="00F7345D"/>
    <w:rsid w:val="00F73486"/>
    <w:rsid w:val="00F734A9"/>
    <w:rsid w:val="00F734C0"/>
    <w:rsid w:val="00F734EE"/>
    <w:rsid w:val="00F73562"/>
    <w:rsid w:val="00F7358D"/>
    <w:rsid w:val="00F735AB"/>
    <w:rsid w:val="00F735B1"/>
    <w:rsid w:val="00F735EB"/>
    <w:rsid w:val="00F735F4"/>
    <w:rsid w:val="00F73653"/>
    <w:rsid w:val="00F736D1"/>
    <w:rsid w:val="00F736F9"/>
    <w:rsid w:val="00F737A1"/>
    <w:rsid w:val="00F737AE"/>
    <w:rsid w:val="00F737DB"/>
    <w:rsid w:val="00F73818"/>
    <w:rsid w:val="00F73833"/>
    <w:rsid w:val="00F73883"/>
    <w:rsid w:val="00F73887"/>
    <w:rsid w:val="00F738CC"/>
    <w:rsid w:val="00F738F1"/>
    <w:rsid w:val="00F73928"/>
    <w:rsid w:val="00F73981"/>
    <w:rsid w:val="00F739A7"/>
    <w:rsid w:val="00F73AC2"/>
    <w:rsid w:val="00F73B1B"/>
    <w:rsid w:val="00F73B83"/>
    <w:rsid w:val="00F73B85"/>
    <w:rsid w:val="00F73B9D"/>
    <w:rsid w:val="00F73BB4"/>
    <w:rsid w:val="00F73BBC"/>
    <w:rsid w:val="00F73C4D"/>
    <w:rsid w:val="00F73CF1"/>
    <w:rsid w:val="00F73CF8"/>
    <w:rsid w:val="00F73D23"/>
    <w:rsid w:val="00F73D2B"/>
    <w:rsid w:val="00F73D51"/>
    <w:rsid w:val="00F73D60"/>
    <w:rsid w:val="00F73D65"/>
    <w:rsid w:val="00F73D97"/>
    <w:rsid w:val="00F73DD6"/>
    <w:rsid w:val="00F73E05"/>
    <w:rsid w:val="00F73E06"/>
    <w:rsid w:val="00F73E35"/>
    <w:rsid w:val="00F73E5B"/>
    <w:rsid w:val="00F73E60"/>
    <w:rsid w:val="00F73EBE"/>
    <w:rsid w:val="00F73F76"/>
    <w:rsid w:val="00F73F9D"/>
    <w:rsid w:val="00F73FA7"/>
    <w:rsid w:val="00F73FFD"/>
    <w:rsid w:val="00F74032"/>
    <w:rsid w:val="00F74064"/>
    <w:rsid w:val="00F74088"/>
    <w:rsid w:val="00F740B5"/>
    <w:rsid w:val="00F740DD"/>
    <w:rsid w:val="00F740F4"/>
    <w:rsid w:val="00F740F8"/>
    <w:rsid w:val="00F7411B"/>
    <w:rsid w:val="00F74131"/>
    <w:rsid w:val="00F741A6"/>
    <w:rsid w:val="00F741D7"/>
    <w:rsid w:val="00F7422B"/>
    <w:rsid w:val="00F74297"/>
    <w:rsid w:val="00F74336"/>
    <w:rsid w:val="00F743A6"/>
    <w:rsid w:val="00F743F1"/>
    <w:rsid w:val="00F74405"/>
    <w:rsid w:val="00F7441E"/>
    <w:rsid w:val="00F74498"/>
    <w:rsid w:val="00F7449C"/>
    <w:rsid w:val="00F7449F"/>
    <w:rsid w:val="00F744C9"/>
    <w:rsid w:val="00F744E8"/>
    <w:rsid w:val="00F744ED"/>
    <w:rsid w:val="00F7450E"/>
    <w:rsid w:val="00F74527"/>
    <w:rsid w:val="00F74532"/>
    <w:rsid w:val="00F74534"/>
    <w:rsid w:val="00F74543"/>
    <w:rsid w:val="00F74580"/>
    <w:rsid w:val="00F74582"/>
    <w:rsid w:val="00F745CC"/>
    <w:rsid w:val="00F745F4"/>
    <w:rsid w:val="00F74618"/>
    <w:rsid w:val="00F74650"/>
    <w:rsid w:val="00F74684"/>
    <w:rsid w:val="00F7469A"/>
    <w:rsid w:val="00F74722"/>
    <w:rsid w:val="00F7474C"/>
    <w:rsid w:val="00F7476C"/>
    <w:rsid w:val="00F74784"/>
    <w:rsid w:val="00F747D1"/>
    <w:rsid w:val="00F747D2"/>
    <w:rsid w:val="00F74805"/>
    <w:rsid w:val="00F7482E"/>
    <w:rsid w:val="00F7484E"/>
    <w:rsid w:val="00F74880"/>
    <w:rsid w:val="00F748D6"/>
    <w:rsid w:val="00F74911"/>
    <w:rsid w:val="00F74915"/>
    <w:rsid w:val="00F74937"/>
    <w:rsid w:val="00F7495A"/>
    <w:rsid w:val="00F74988"/>
    <w:rsid w:val="00F7499E"/>
    <w:rsid w:val="00F74A9E"/>
    <w:rsid w:val="00F74AB0"/>
    <w:rsid w:val="00F74AD4"/>
    <w:rsid w:val="00F74B41"/>
    <w:rsid w:val="00F74BAF"/>
    <w:rsid w:val="00F74BF3"/>
    <w:rsid w:val="00F74C3E"/>
    <w:rsid w:val="00F74C95"/>
    <w:rsid w:val="00F74CAC"/>
    <w:rsid w:val="00F74CDC"/>
    <w:rsid w:val="00F74CF5"/>
    <w:rsid w:val="00F74D04"/>
    <w:rsid w:val="00F74D08"/>
    <w:rsid w:val="00F74D96"/>
    <w:rsid w:val="00F74D99"/>
    <w:rsid w:val="00F74DB2"/>
    <w:rsid w:val="00F74E11"/>
    <w:rsid w:val="00F74E7A"/>
    <w:rsid w:val="00F74E96"/>
    <w:rsid w:val="00F74ED6"/>
    <w:rsid w:val="00F74F41"/>
    <w:rsid w:val="00F74F4B"/>
    <w:rsid w:val="00F74F53"/>
    <w:rsid w:val="00F74F7C"/>
    <w:rsid w:val="00F74FAC"/>
    <w:rsid w:val="00F75013"/>
    <w:rsid w:val="00F750C3"/>
    <w:rsid w:val="00F750D8"/>
    <w:rsid w:val="00F7515D"/>
    <w:rsid w:val="00F7516E"/>
    <w:rsid w:val="00F75171"/>
    <w:rsid w:val="00F7518F"/>
    <w:rsid w:val="00F751D0"/>
    <w:rsid w:val="00F751D8"/>
    <w:rsid w:val="00F751ED"/>
    <w:rsid w:val="00F75230"/>
    <w:rsid w:val="00F752BD"/>
    <w:rsid w:val="00F752E6"/>
    <w:rsid w:val="00F75339"/>
    <w:rsid w:val="00F7534B"/>
    <w:rsid w:val="00F7539D"/>
    <w:rsid w:val="00F753CE"/>
    <w:rsid w:val="00F7545A"/>
    <w:rsid w:val="00F7545E"/>
    <w:rsid w:val="00F754C4"/>
    <w:rsid w:val="00F75507"/>
    <w:rsid w:val="00F7553B"/>
    <w:rsid w:val="00F75582"/>
    <w:rsid w:val="00F755CC"/>
    <w:rsid w:val="00F75626"/>
    <w:rsid w:val="00F75646"/>
    <w:rsid w:val="00F75649"/>
    <w:rsid w:val="00F75691"/>
    <w:rsid w:val="00F756C9"/>
    <w:rsid w:val="00F756E6"/>
    <w:rsid w:val="00F75721"/>
    <w:rsid w:val="00F75729"/>
    <w:rsid w:val="00F75746"/>
    <w:rsid w:val="00F75752"/>
    <w:rsid w:val="00F757DA"/>
    <w:rsid w:val="00F7587D"/>
    <w:rsid w:val="00F758CA"/>
    <w:rsid w:val="00F75903"/>
    <w:rsid w:val="00F75913"/>
    <w:rsid w:val="00F75A31"/>
    <w:rsid w:val="00F75A45"/>
    <w:rsid w:val="00F75A62"/>
    <w:rsid w:val="00F75A87"/>
    <w:rsid w:val="00F75ACB"/>
    <w:rsid w:val="00F75B1C"/>
    <w:rsid w:val="00F75B79"/>
    <w:rsid w:val="00F75BCF"/>
    <w:rsid w:val="00F75BD4"/>
    <w:rsid w:val="00F75BDF"/>
    <w:rsid w:val="00F75C06"/>
    <w:rsid w:val="00F75C3F"/>
    <w:rsid w:val="00F75C69"/>
    <w:rsid w:val="00F75C99"/>
    <w:rsid w:val="00F75CA3"/>
    <w:rsid w:val="00F75CBD"/>
    <w:rsid w:val="00F75CC5"/>
    <w:rsid w:val="00F75CD3"/>
    <w:rsid w:val="00F75CF8"/>
    <w:rsid w:val="00F75D1C"/>
    <w:rsid w:val="00F75D1E"/>
    <w:rsid w:val="00F75D41"/>
    <w:rsid w:val="00F75DED"/>
    <w:rsid w:val="00F75DFE"/>
    <w:rsid w:val="00F75E39"/>
    <w:rsid w:val="00F75E60"/>
    <w:rsid w:val="00F75EE6"/>
    <w:rsid w:val="00F75EFF"/>
    <w:rsid w:val="00F75F14"/>
    <w:rsid w:val="00F75FF1"/>
    <w:rsid w:val="00F76035"/>
    <w:rsid w:val="00F76082"/>
    <w:rsid w:val="00F76088"/>
    <w:rsid w:val="00F76122"/>
    <w:rsid w:val="00F7613A"/>
    <w:rsid w:val="00F7615F"/>
    <w:rsid w:val="00F76173"/>
    <w:rsid w:val="00F761AF"/>
    <w:rsid w:val="00F761B0"/>
    <w:rsid w:val="00F761CE"/>
    <w:rsid w:val="00F761DB"/>
    <w:rsid w:val="00F76248"/>
    <w:rsid w:val="00F762A5"/>
    <w:rsid w:val="00F76476"/>
    <w:rsid w:val="00F7649A"/>
    <w:rsid w:val="00F764B6"/>
    <w:rsid w:val="00F764BF"/>
    <w:rsid w:val="00F764C8"/>
    <w:rsid w:val="00F76570"/>
    <w:rsid w:val="00F76596"/>
    <w:rsid w:val="00F765B1"/>
    <w:rsid w:val="00F765B6"/>
    <w:rsid w:val="00F765F4"/>
    <w:rsid w:val="00F76637"/>
    <w:rsid w:val="00F7667E"/>
    <w:rsid w:val="00F76696"/>
    <w:rsid w:val="00F766B4"/>
    <w:rsid w:val="00F76722"/>
    <w:rsid w:val="00F7678A"/>
    <w:rsid w:val="00F767AA"/>
    <w:rsid w:val="00F76868"/>
    <w:rsid w:val="00F7687B"/>
    <w:rsid w:val="00F768E4"/>
    <w:rsid w:val="00F76927"/>
    <w:rsid w:val="00F76963"/>
    <w:rsid w:val="00F76965"/>
    <w:rsid w:val="00F76972"/>
    <w:rsid w:val="00F7697E"/>
    <w:rsid w:val="00F76999"/>
    <w:rsid w:val="00F769C0"/>
    <w:rsid w:val="00F76A3B"/>
    <w:rsid w:val="00F76A3D"/>
    <w:rsid w:val="00F76A84"/>
    <w:rsid w:val="00F76A90"/>
    <w:rsid w:val="00F76AA7"/>
    <w:rsid w:val="00F76AB9"/>
    <w:rsid w:val="00F76ABB"/>
    <w:rsid w:val="00F76AC9"/>
    <w:rsid w:val="00F76AD0"/>
    <w:rsid w:val="00F76AEF"/>
    <w:rsid w:val="00F76AF0"/>
    <w:rsid w:val="00F76B46"/>
    <w:rsid w:val="00F76B5A"/>
    <w:rsid w:val="00F76B72"/>
    <w:rsid w:val="00F76BAC"/>
    <w:rsid w:val="00F76BE3"/>
    <w:rsid w:val="00F76CA8"/>
    <w:rsid w:val="00F76CAF"/>
    <w:rsid w:val="00F76D22"/>
    <w:rsid w:val="00F76D73"/>
    <w:rsid w:val="00F76DA0"/>
    <w:rsid w:val="00F76E22"/>
    <w:rsid w:val="00F76E93"/>
    <w:rsid w:val="00F76EA2"/>
    <w:rsid w:val="00F76EE1"/>
    <w:rsid w:val="00F76EE6"/>
    <w:rsid w:val="00F76EED"/>
    <w:rsid w:val="00F76F16"/>
    <w:rsid w:val="00F76F25"/>
    <w:rsid w:val="00F76F2D"/>
    <w:rsid w:val="00F76F39"/>
    <w:rsid w:val="00F76F3A"/>
    <w:rsid w:val="00F76F9E"/>
    <w:rsid w:val="00F76FA0"/>
    <w:rsid w:val="00F77013"/>
    <w:rsid w:val="00F77016"/>
    <w:rsid w:val="00F77038"/>
    <w:rsid w:val="00F7703E"/>
    <w:rsid w:val="00F77047"/>
    <w:rsid w:val="00F77070"/>
    <w:rsid w:val="00F77080"/>
    <w:rsid w:val="00F770C7"/>
    <w:rsid w:val="00F77135"/>
    <w:rsid w:val="00F7717D"/>
    <w:rsid w:val="00F7718C"/>
    <w:rsid w:val="00F7718E"/>
    <w:rsid w:val="00F771BA"/>
    <w:rsid w:val="00F77207"/>
    <w:rsid w:val="00F772DE"/>
    <w:rsid w:val="00F77333"/>
    <w:rsid w:val="00F77362"/>
    <w:rsid w:val="00F773C9"/>
    <w:rsid w:val="00F773D0"/>
    <w:rsid w:val="00F77417"/>
    <w:rsid w:val="00F77418"/>
    <w:rsid w:val="00F77480"/>
    <w:rsid w:val="00F774A5"/>
    <w:rsid w:val="00F77519"/>
    <w:rsid w:val="00F7751D"/>
    <w:rsid w:val="00F77522"/>
    <w:rsid w:val="00F775CC"/>
    <w:rsid w:val="00F775E6"/>
    <w:rsid w:val="00F775EA"/>
    <w:rsid w:val="00F775F4"/>
    <w:rsid w:val="00F7767D"/>
    <w:rsid w:val="00F77692"/>
    <w:rsid w:val="00F776F7"/>
    <w:rsid w:val="00F77707"/>
    <w:rsid w:val="00F77750"/>
    <w:rsid w:val="00F77773"/>
    <w:rsid w:val="00F77885"/>
    <w:rsid w:val="00F778D3"/>
    <w:rsid w:val="00F778F2"/>
    <w:rsid w:val="00F77906"/>
    <w:rsid w:val="00F7794F"/>
    <w:rsid w:val="00F77961"/>
    <w:rsid w:val="00F7797A"/>
    <w:rsid w:val="00F7799A"/>
    <w:rsid w:val="00F779D4"/>
    <w:rsid w:val="00F77A05"/>
    <w:rsid w:val="00F77A08"/>
    <w:rsid w:val="00F77A54"/>
    <w:rsid w:val="00F77A66"/>
    <w:rsid w:val="00F77A7E"/>
    <w:rsid w:val="00F77A86"/>
    <w:rsid w:val="00F77AF4"/>
    <w:rsid w:val="00F77B10"/>
    <w:rsid w:val="00F77B37"/>
    <w:rsid w:val="00F77B3E"/>
    <w:rsid w:val="00F77B57"/>
    <w:rsid w:val="00F77B61"/>
    <w:rsid w:val="00F77BCF"/>
    <w:rsid w:val="00F77C03"/>
    <w:rsid w:val="00F77C13"/>
    <w:rsid w:val="00F77CC5"/>
    <w:rsid w:val="00F77DA7"/>
    <w:rsid w:val="00F77E19"/>
    <w:rsid w:val="00F77E2A"/>
    <w:rsid w:val="00F77E63"/>
    <w:rsid w:val="00F77E9D"/>
    <w:rsid w:val="00F77EA9"/>
    <w:rsid w:val="00F77ED1"/>
    <w:rsid w:val="00F77F56"/>
    <w:rsid w:val="00F77F67"/>
    <w:rsid w:val="00F77FE2"/>
    <w:rsid w:val="00F80028"/>
    <w:rsid w:val="00F80029"/>
    <w:rsid w:val="00F8006B"/>
    <w:rsid w:val="00F8008E"/>
    <w:rsid w:val="00F800E4"/>
    <w:rsid w:val="00F800E9"/>
    <w:rsid w:val="00F800F8"/>
    <w:rsid w:val="00F80106"/>
    <w:rsid w:val="00F80134"/>
    <w:rsid w:val="00F801EE"/>
    <w:rsid w:val="00F80239"/>
    <w:rsid w:val="00F8023A"/>
    <w:rsid w:val="00F80252"/>
    <w:rsid w:val="00F8025D"/>
    <w:rsid w:val="00F80289"/>
    <w:rsid w:val="00F802EA"/>
    <w:rsid w:val="00F802F4"/>
    <w:rsid w:val="00F8034F"/>
    <w:rsid w:val="00F80363"/>
    <w:rsid w:val="00F8041D"/>
    <w:rsid w:val="00F804CB"/>
    <w:rsid w:val="00F80529"/>
    <w:rsid w:val="00F80560"/>
    <w:rsid w:val="00F8057F"/>
    <w:rsid w:val="00F8058E"/>
    <w:rsid w:val="00F80593"/>
    <w:rsid w:val="00F805F9"/>
    <w:rsid w:val="00F805FA"/>
    <w:rsid w:val="00F80606"/>
    <w:rsid w:val="00F8067A"/>
    <w:rsid w:val="00F8069B"/>
    <w:rsid w:val="00F80701"/>
    <w:rsid w:val="00F80764"/>
    <w:rsid w:val="00F80780"/>
    <w:rsid w:val="00F80788"/>
    <w:rsid w:val="00F807E3"/>
    <w:rsid w:val="00F80827"/>
    <w:rsid w:val="00F8083E"/>
    <w:rsid w:val="00F80864"/>
    <w:rsid w:val="00F80874"/>
    <w:rsid w:val="00F8099C"/>
    <w:rsid w:val="00F809C0"/>
    <w:rsid w:val="00F809F2"/>
    <w:rsid w:val="00F80A3E"/>
    <w:rsid w:val="00F80AB4"/>
    <w:rsid w:val="00F80AF9"/>
    <w:rsid w:val="00F80B3D"/>
    <w:rsid w:val="00F80B44"/>
    <w:rsid w:val="00F80B4D"/>
    <w:rsid w:val="00F80B56"/>
    <w:rsid w:val="00F80C70"/>
    <w:rsid w:val="00F80C9E"/>
    <w:rsid w:val="00F80CC5"/>
    <w:rsid w:val="00F80E9F"/>
    <w:rsid w:val="00F80ECC"/>
    <w:rsid w:val="00F80F01"/>
    <w:rsid w:val="00F80F24"/>
    <w:rsid w:val="00F80F68"/>
    <w:rsid w:val="00F80F6C"/>
    <w:rsid w:val="00F80F8C"/>
    <w:rsid w:val="00F80FB5"/>
    <w:rsid w:val="00F80FD6"/>
    <w:rsid w:val="00F810CC"/>
    <w:rsid w:val="00F810F0"/>
    <w:rsid w:val="00F81178"/>
    <w:rsid w:val="00F81193"/>
    <w:rsid w:val="00F811AC"/>
    <w:rsid w:val="00F811E4"/>
    <w:rsid w:val="00F811F2"/>
    <w:rsid w:val="00F8123E"/>
    <w:rsid w:val="00F81274"/>
    <w:rsid w:val="00F81326"/>
    <w:rsid w:val="00F81386"/>
    <w:rsid w:val="00F813A8"/>
    <w:rsid w:val="00F813E0"/>
    <w:rsid w:val="00F8145C"/>
    <w:rsid w:val="00F81479"/>
    <w:rsid w:val="00F81498"/>
    <w:rsid w:val="00F81499"/>
    <w:rsid w:val="00F814C0"/>
    <w:rsid w:val="00F81553"/>
    <w:rsid w:val="00F8155B"/>
    <w:rsid w:val="00F81589"/>
    <w:rsid w:val="00F815A8"/>
    <w:rsid w:val="00F815BA"/>
    <w:rsid w:val="00F815D0"/>
    <w:rsid w:val="00F815D3"/>
    <w:rsid w:val="00F815DB"/>
    <w:rsid w:val="00F81628"/>
    <w:rsid w:val="00F8169F"/>
    <w:rsid w:val="00F816B1"/>
    <w:rsid w:val="00F81702"/>
    <w:rsid w:val="00F8170F"/>
    <w:rsid w:val="00F8174E"/>
    <w:rsid w:val="00F81750"/>
    <w:rsid w:val="00F817DF"/>
    <w:rsid w:val="00F81833"/>
    <w:rsid w:val="00F8183A"/>
    <w:rsid w:val="00F8185C"/>
    <w:rsid w:val="00F81881"/>
    <w:rsid w:val="00F81898"/>
    <w:rsid w:val="00F8192A"/>
    <w:rsid w:val="00F81933"/>
    <w:rsid w:val="00F81962"/>
    <w:rsid w:val="00F8196B"/>
    <w:rsid w:val="00F819AA"/>
    <w:rsid w:val="00F81A07"/>
    <w:rsid w:val="00F81A0F"/>
    <w:rsid w:val="00F81A21"/>
    <w:rsid w:val="00F81A56"/>
    <w:rsid w:val="00F81B22"/>
    <w:rsid w:val="00F81BB6"/>
    <w:rsid w:val="00F81BE1"/>
    <w:rsid w:val="00F81C3D"/>
    <w:rsid w:val="00F81C53"/>
    <w:rsid w:val="00F81C55"/>
    <w:rsid w:val="00F81D08"/>
    <w:rsid w:val="00F81D5E"/>
    <w:rsid w:val="00F81DF4"/>
    <w:rsid w:val="00F81E60"/>
    <w:rsid w:val="00F81E65"/>
    <w:rsid w:val="00F81E73"/>
    <w:rsid w:val="00F81E82"/>
    <w:rsid w:val="00F81EA7"/>
    <w:rsid w:val="00F81EFA"/>
    <w:rsid w:val="00F81F1E"/>
    <w:rsid w:val="00F81F2A"/>
    <w:rsid w:val="00F81F2F"/>
    <w:rsid w:val="00F81F4C"/>
    <w:rsid w:val="00F81F83"/>
    <w:rsid w:val="00F81FBD"/>
    <w:rsid w:val="00F81FD2"/>
    <w:rsid w:val="00F81FD7"/>
    <w:rsid w:val="00F81FDA"/>
    <w:rsid w:val="00F81FEF"/>
    <w:rsid w:val="00F81FF0"/>
    <w:rsid w:val="00F8203B"/>
    <w:rsid w:val="00F8204E"/>
    <w:rsid w:val="00F8209E"/>
    <w:rsid w:val="00F821DB"/>
    <w:rsid w:val="00F8220B"/>
    <w:rsid w:val="00F82231"/>
    <w:rsid w:val="00F82255"/>
    <w:rsid w:val="00F82314"/>
    <w:rsid w:val="00F82328"/>
    <w:rsid w:val="00F823B5"/>
    <w:rsid w:val="00F823EE"/>
    <w:rsid w:val="00F823F0"/>
    <w:rsid w:val="00F82406"/>
    <w:rsid w:val="00F82422"/>
    <w:rsid w:val="00F8242A"/>
    <w:rsid w:val="00F82466"/>
    <w:rsid w:val="00F82492"/>
    <w:rsid w:val="00F82495"/>
    <w:rsid w:val="00F82496"/>
    <w:rsid w:val="00F824F1"/>
    <w:rsid w:val="00F82524"/>
    <w:rsid w:val="00F8254F"/>
    <w:rsid w:val="00F825AA"/>
    <w:rsid w:val="00F825C3"/>
    <w:rsid w:val="00F825C8"/>
    <w:rsid w:val="00F82607"/>
    <w:rsid w:val="00F8263E"/>
    <w:rsid w:val="00F8267D"/>
    <w:rsid w:val="00F8270C"/>
    <w:rsid w:val="00F82718"/>
    <w:rsid w:val="00F8272A"/>
    <w:rsid w:val="00F82740"/>
    <w:rsid w:val="00F82746"/>
    <w:rsid w:val="00F82770"/>
    <w:rsid w:val="00F8282C"/>
    <w:rsid w:val="00F82841"/>
    <w:rsid w:val="00F8286A"/>
    <w:rsid w:val="00F82879"/>
    <w:rsid w:val="00F828A2"/>
    <w:rsid w:val="00F828A7"/>
    <w:rsid w:val="00F828C1"/>
    <w:rsid w:val="00F82942"/>
    <w:rsid w:val="00F82982"/>
    <w:rsid w:val="00F82995"/>
    <w:rsid w:val="00F829A4"/>
    <w:rsid w:val="00F82A7E"/>
    <w:rsid w:val="00F82ABF"/>
    <w:rsid w:val="00F82AC4"/>
    <w:rsid w:val="00F82C09"/>
    <w:rsid w:val="00F82C1F"/>
    <w:rsid w:val="00F82D24"/>
    <w:rsid w:val="00F82D7F"/>
    <w:rsid w:val="00F82D89"/>
    <w:rsid w:val="00F82E2E"/>
    <w:rsid w:val="00F82E51"/>
    <w:rsid w:val="00F82F17"/>
    <w:rsid w:val="00F82F1F"/>
    <w:rsid w:val="00F82F5A"/>
    <w:rsid w:val="00F82FCE"/>
    <w:rsid w:val="00F83017"/>
    <w:rsid w:val="00F83047"/>
    <w:rsid w:val="00F83071"/>
    <w:rsid w:val="00F830E7"/>
    <w:rsid w:val="00F8316A"/>
    <w:rsid w:val="00F83175"/>
    <w:rsid w:val="00F83192"/>
    <w:rsid w:val="00F831D4"/>
    <w:rsid w:val="00F831DA"/>
    <w:rsid w:val="00F83203"/>
    <w:rsid w:val="00F8323E"/>
    <w:rsid w:val="00F8324B"/>
    <w:rsid w:val="00F83250"/>
    <w:rsid w:val="00F8325C"/>
    <w:rsid w:val="00F83295"/>
    <w:rsid w:val="00F832B0"/>
    <w:rsid w:val="00F83332"/>
    <w:rsid w:val="00F83353"/>
    <w:rsid w:val="00F8339D"/>
    <w:rsid w:val="00F833A0"/>
    <w:rsid w:val="00F833C9"/>
    <w:rsid w:val="00F833D2"/>
    <w:rsid w:val="00F83448"/>
    <w:rsid w:val="00F834BC"/>
    <w:rsid w:val="00F834FA"/>
    <w:rsid w:val="00F8350D"/>
    <w:rsid w:val="00F8352C"/>
    <w:rsid w:val="00F83564"/>
    <w:rsid w:val="00F835F6"/>
    <w:rsid w:val="00F835FA"/>
    <w:rsid w:val="00F8362A"/>
    <w:rsid w:val="00F83652"/>
    <w:rsid w:val="00F83660"/>
    <w:rsid w:val="00F83666"/>
    <w:rsid w:val="00F83672"/>
    <w:rsid w:val="00F836E4"/>
    <w:rsid w:val="00F836F9"/>
    <w:rsid w:val="00F83721"/>
    <w:rsid w:val="00F83728"/>
    <w:rsid w:val="00F8372F"/>
    <w:rsid w:val="00F83744"/>
    <w:rsid w:val="00F83781"/>
    <w:rsid w:val="00F83795"/>
    <w:rsid w:val="00F837A2"/>
    <w:rsid w:val="00F837F1"/>
    <w:rsid w:val="00F8382B"/>
    <w:rsid w:val="00F83837"/>
    <w:rsid w:val="00F8383F"/>
    <w:rsid w:val="00F8387B"/>
    <w:rsid w:val="00F83883"/>
    <w:rsid w:val="00F838AF"/>
    <w:rsid w:val="00F838B1"/>
    <w:rsid w:val="00F838DE"/>
    <w:rsid w:val="00F838FA"/>
    <w:rsid w:val="00F83911"/>
    <w:rsid w:val="00F8391C"/>
    <w:rsid w:val="00F8395F"/>
    <w:rsid w:val="00F83980"/>
    <w:rsid w:val="00F839B4"/>
    <w:rsid w:val="00F83ABE"/>
    <w:rsid w:val="00F83ACD"/>
    <w:rsid w:val="00F83B1C"/>
    <w:rsid w:val="00F83C0E"/>
    <w:rsid w:val="00F83C22"/>
    <w:rsid w:val="00F83C66"/>
    <w:rsid w:val="00F83CB2"/>
    <w:rsid w:val="00F83CB7"/>
    <w:rsid w:val="00F83CD3"/>
    <w:rsid w:val="00F83CDE"/>
    <w:rsid w:val="00F83D0B"/>
    <w:rsid w:val="00F83D84"/>
    <w:rsid w:val="00F83E36"/>
    <w:rsid w:val="00F83F23"/>
    <w:rsid w:val="00F83F35"/>
    <w:rsid w:val="00F83F81"/>
    <w:rsid w:val="00F8402B"/>
    <w:rsid w:val="00F84085"/>
    <w:rsid w:val="00F840A3"/>
    <w:rsid w:val="00F840C7"/>
    <w:rsid w:val="00F84101"/>
    <w:rsid w:val="00F8417A"/>
    <w:rsid w:val="00F84190"/>
    <w:rsid w:val="00F841DC"/>
    <w:rsid w:val="00F84207"/>
    <w:rsid w:val="00F8422A"/>
    <w:rsid w:val="00F84258"/>
    <w:rsid w:val="00F84289"/>
    <w:rsid w:val="00F842C6"/>
    <w:rsid w:val="00F842F3"/>
    <w:rsid w:val="00F84319"/>
    <w:rsid w:val="00F8432E"/>
    <w:rsid w:val="00F8438D"/>
    <w:rsid w:val="00F843D6"/>
    <w:rsid w:val="00F84431"/>
    <w:rsid w:val="00F8448C"/>
    <w:rsid w:val="00F844F4"/>
    <w:rsid w:val="00F8451C"/>
    <w:rsid w:val="00F84541"/>
    <w:rsid w:val="00F84562"/>
    <w:rsid w:val="00F8459F"/>
    <w:rsid w:val="00F845D5"/>
    <w:rsid w:val="00F845D7"/>
    <w:rsid w:val="00F845E9"/>
    <w:rsid w:val="00F845F6"/>
    <w:rsid w:val="00F84612"/>
    <w:rsid w:val="00F84691"/>
    <w:rsid w:val="00F846A1"/>
    <w:rsid w:val="00F846F0"/>
    <w:rsid w:val="00F8471A"/>
    <w:rsid w:val="00F84724"/>
    <w:rsid w:val="00F8476D"/>
    <w:rsid w:val="00F84786"/>
    <w:rsid w:val="00F847DA"/>
    <w:rsid w:val="00F847E7"/>
    <w:rsid w:val="00F84801"/>
    <w:rsid w:val="00F84873"/>
    <w:rsid w:val="00F84979"/>
    <w:rsid w:val="00F84990"/>
    <w:rsid w:val="00F84993"/>
    <w:rsid w:val="00F849A5"/>
    <w:rsid w:val="00F849C3"/>
    <w:rsid w:val="00F84A25"/>
    <w:rsid w:val="00F84ADD"/>
    <w:rsid w:val="00F84ADE"/>
    <w:rsid w:val="00F84AF1"/>
    <w:rsid w:val="00F84AF5"/>
    <w:rsid w:val="00F84BA1"/>
    <w:rsid w:val="00F84C5F"/>
    <w:rsid w:val="00F84C61"/>
    <w:rsid w:val="00F84CB9"/>
    <w:rsid w:val="00F84CF4"/>
    <w:rsid w:val="00F84D6E"/>
    <w:rsid w:val="00F84D70"/>
    <w:rsid w:val="00F84D72"/>
    <w:rsid w:val="00F84DA9"/>
    <w:rsid w:val="00F84DB9"/>
    <w:rsid w:val="00F84DD9"/>
    <w:rsid w:val="00F84DE7"/>
    <w:rsid w:val="00F84E0C"/>
    <w:rsid w:val="00F84E13"/>
    <w:rsid w:val="00F84E25"/>
    <w:rsid w:val="00F84E39"/>
    <w:rsid w:val="00F84E4D"/>
    <w:rsid w:val="00F84E82"/>
    <w:rsid w:val="00F84E98"/>
    <w:rsid w:val="00F84EA9"/>
    <w:rsid w:val="00F84EDD"/>
    <w:rsid w:val="00F84F28"/>
    <w:rsid w:val="00F84F99"/>
    <w:rsid w:val="00F84FB1"/>
    <w:rsid w:val="00F84FFD"/>
    <w:rsid w:val="00F85004"/>
    <w:rsid w:val="00F85019"/>
    <w:rsid w:val="00F8502E"/>
    <w:rsid w:val="00F8507D"/>
    <w:rsid w:val="00F85087"/>
    <w:rsid w:val="00F85091"/>
    <w:rsid w:val="00F850A2"/>
    <w:rsid w:val="00F852DE"/>
    <w:rsid w:val="00F852E4"/>
    <w:rsid w:val="00F85304"/>
    <w:rsid w:val="00F85326"/>
    <w:rsid w:val="00F85342"/>
    <w:rsid w:val="00F8534B"/>
    <w:rsid w:val="00F8535F"/>
    <w:rsid w:val="00F85368"/>
    <w:rsid w:val="00F853A5"/>
    <w:rsid w:val="00F853F5"/>
    <w:rsid w:val="00F853FC"/>
    <w:rsid w:val="00F8540D"/>
    <w:rsid w:val="00F8541D"/>
    <w:rsid w:val="00F85478"/>
    <w:rsid w:val="00F854A1"/>
    <w:rsid w:val="00F854A4"/>
    <w:rsid w:val="00F8550F"/>
    <w:rsid w:val="00F85565"/>
    <w:rsid w:val="00F855B9"/>
    <w:rsid w:val="00F855C8"/>
    <w:rsid w:val="00F855FD"/>
    <w:rsid w:val="00F85670"/>
    <w:rsid w:val="00F856BE"/>
    <w:rsid w:val="00F856FB"/>
    <w:rsid w:val="00F85704"/>
    <w:rsid w:val="00F8578A"/>
    <w:rsid w:val="00F857DE"/>
    <w:rsid w:val="00F857F2"/>
    <w:rsid w:val="00F8580C"/>
    <w:rsid w:val="00F8580E"/>
    <w:rsid w:val="00F85814"/>
    <w:rsid w:val="00F858BE"/>
    <w:rsid w:val="00F858C6"/>
    <w:rsid w:val="00F858D6"/>
    <w:rsid w:val="00F8593A"/>
    <w:rsid w:val="00F85957"/>
    <w:rsid w:val="00F85961"/>
    <w:rsid w:val="00F85998"/>
    <w:rsid w:val="00F8599C"/>
    <w:rsid w:val="00F85A15"/>
    <w:rsid w:val="00F85A19"/>
    <w:rsid w:val="00F85A9D"/>
    <w:rsid w:val="00F85AC0"/>
    <w:rsid w:val="00F85AC9"/>
    <w:rsid w:val="00F85AE5"/>
    <w:rsid w:val="00F85B00"/>
    <w:rsid w:val="00F85B60"/>
    <w:rsid w:val="00F85B7A"/>
    <w:rsid w:val="00F85B80"/>
    <w:rsid w:val="00F85BA8"/>
    <w:rsid w:val="00F85BC6"/>
    <w:rsid w:val="00F85BF3"/>
    <w:rsid w:val="00F85C22"/>
    <w:rsid w:val="00F85C40"/>
    <w:rsid w:val="00F85C89"/>
    <w:rsid w:val="00F85CB6"/>
    <w:rsid w:val="00F85CE5"/>
    <w:rsid w:val="00F85D3B"/>
    <w:rsid w:val="00F85D4F"/>
    <w:rsid w:val="00F85D71"/>
    <w:rsid w:val="00F85EB4"/>
    <w:rsid w:val="00F85F1C"/>
    <w:rsid w:val="00F85F2D"/>
    <w:rsid w:val="00F85F30"/>
    <w:rsid w:val="00F85F43"/>
    <w:rsid w:val="00F85F82"/>
    <w:rsid w:val="00F85FB7"/>
    <w:rsid w:val="00F85FD3"/>
    <w:rsid w:val="00F86026"/>
    <w:rsid w:val="00F86096"/>
    <w:rsid w:val="00F860AB"/>
    <w:rsid w:val="00F860B0"/>
    <w:rsid w:val="00F8616F"/>
    <w:rsid w:val="00F86184"/>
    <w:rsid w:val="00F861BA"/>
    <w:rsid w:val="00F8624D"/>
    <w:rsid w:val="00F8629A"/>
    <w:rsid w:val="00F862C1"/>
    <w:rsid w:val="00F862D6"/>
    <w:rsid w:val="00F862F4"/>
    <w:rsid w:val="00F8633F"/>
    <w:rsid w:val="00F8635B"/>
    <w:rsid w:val="00F8637B"/>
    <w:rsid w:val="00F863C2"/>
    <w:rsid w:val="00F8643D"/>
    <w:rsid w:val="00F86470"/>
    <w:rsid w:val="00F864B2"/>
    <w:rsid w:val="00F86529"/>
    <w:rsid w:val="00F86546"/>
    <w:rsid w:val="00F8656D"/>
    <w:rsid w:val="00F86584"/>
    <w:rsid w:val="00F8658D"/>
    <w:rsid w:val="00F8659A"/>
    <w:rsid w:val="00F865A0"/>
    <w:rsid w:val="00F865C7"/>
    <w:rsid w:val="00F865DC"/>
    <w:rsid w:val="00F865F9"/>
    <w:rsid w:val="00F86606"/>
    <w:rsid w:val="00F86611"/>
    <w:rsid w:val="00F86633"/>
    <w:rsid w:val="00F866B0"/>
    <w:rsid w:val="00F866E6"/>
    <w:rsid w:val="00F866EC"/>
    <w:rsid w:val="00F867E2"/>
    <w:rsid w:val="00F8687A"/>
    <w:rsid w:val="00F868C6"/>
    <w:rsid w:val="00F868E3"/>
    <w:rsid w:val="00F868F4"/>
    <w:rsid w:val="00F86938"/>
    <w:rsid w:val="00F86964"/>
    <w:rsid w:val="00F869BD"/>
    <w:rsid w:val="00F869CC"/>
    <w:rsid w:val="00F869D3"/>
    <w:rsid w:val="00F86A32"/>
    <w:rsid w:val="00F86A67"/>
    <w:rsid w:val="00F86B03"/>
    <w:rsid w:val="00F86B1B"/>
    <w:rsid w:val="00F86B3A"/>
    <w:rsid w:val="00F86B7D"/>
    <w:rsid w:val="00F86BB6"/>
    <w:rsid w:val="00F86BF3"/>
    <w:rsid w:val="00F86C86"/>
    <w:rsid w:val="00F86CC1"/>
    <w:rsid w:val="00F86CDF"/>
    <w:rsid w:val="00F86CE0"/>
    <w:rsid w:val="00F86CF1"/>
    <w:rsid w:val="00F86D2A"/>
    <w:rsid w:val="00F86D57"/>
    <w:rsid w:val="00F86D58"/>
    <w:rsid w:val="00F86D62"/>
    <w:rsid w:val="00F86E08"/>
    <w:rsid w:val="00F86E3A"/>
    <w:rsid w:val="00F86E81"/>
    <w:rsid w:val="00F86F23"/>
    <w:rsid w:val="00F86F4E"/>
    <w:rsid w:val="00F86F63"/>
    <w:rsid w:val="00F86F67"/>
    <w:rsid w:val="00F86F6F"/>
    <w:rsid w:val="00F86F91"/>
    <w:rsid w:val="00F87055"/>
    <w:rsid w:val="00F87092"/>
    <w:rsid w:val="00F87093"/>
    <w:rsid w:val="00F87097"/>
    <w:rsid w:val="00F870B2"/>
    <w:rsid w:val="00F870F3"/>
    <w:rsid w:val="00F870F8"/>
    <w:rsid w:val="00F87155"/>
    <w:rsid w:val="00F87181"/>
    <w:rsid w:val="00F871C4"/>
    <w:rsid w:val="00F8725D"/>
    <w:rsid w:val="00F87274"/>
    <w:rsid w:val="00F8727A"/>
    <w:rsid w:val="00F872AE"/>
    <w:rsid w:val="00F872B3"/>
    <w:rsid w:val="00F8749D"/>
    <w:rsid w:val="00F87575"/>
    <w:rsid w:val="00F87590"/>
    <w:rsid w:val="00F875AA"/>
    <w:rsid w:val="00F875C9"/>
    <w:rsid w:val="00F875E9"/>
    <w:rsid w:val="00F87624"/>
    <w:rsid w:val="00F87640"/>
    <w:rsid w:val="00F87649"/>
    <w:rsid w:val="00F8765A"/>
    <w:rsid w:val="00F8767F"/>
    <w:rsid w:val="00F876C5"/>
    <w:rsid w:val="00F87717"/>
    <w:rsid w:val="00F87722"/>
    <w:rsid w:val="00F87751"/>
    <w:rsid w:val="00F87752"/>
    <w:rsid w:val="00F87753"/>
    <w:rsid w:val="00F87798"/>
    <w:rsid w:val="00F877A3"/>
    <w:rsid w:val="00F877EB"/>
    <w:rsid w:val="00F8781C"/>
    <w:rsid w:val="00F87833"/>
    <w:rsid w:val="00F87898"/>
    <w:rsid w:val="00F878C1"/>
    <w:rsid w:val="00F878D9"/>
    <w:rsid w:val="00F8791B"/>
    <w:rsid w:val="00F87923"/>
    <w:rsid w:val="00F8792B"/>
    <w:rsid w:val="00F87930"/>
    <w:rsid w:val="00F87952"/>
    <w:rsid w:val="00F87A11"/>
    <w:rsid w:val="00F87A5F"/>
    <w:rsid w:val="00F87AAE"/>
    <w:rsid w:val="00F87ABE"/>
    <w:rsid w:val="00F87AF6"/>
    <w:rsid w:val="00F87AFE"/>
    <w:rsid w:val="00F87B0E"/>
    <w:rsid w:val="00F87B13"/>
    <w:rsid w:val="00F87B63"/>
    <w:rsid w:val="00F87BA8"/>
    <w:rsid w:val="00F87BF7"/>
    <w:rsid w:val="00F87C0F"/>
    <w:rsid w:val="00F87C28"/>
    <w:rsid w:val="00F87C4F"/>
    <w:rsid w:val="00F87C54"/>
    <w:rsid w:val="00F87C69"/>
    <w:rsid w:val="00F87C8E"/>
    <w:rsid w:val="00F87CF6"/>
    <w:rsid w:val="00F87D17"/>
    <w:rsid w:val="00F87D35"/>
    <w:rsid w:val="00F87D3B"/>
    <w:rsid w:val="00F87DAE"/>
    <w:rsid w:val="00F87DB8"/>
    <w:rsid w:val="00F87DC2"/>
    <w:rsid w:val="00F87DC3"/>
    <w:rsid w:val="00F87DED"/>
    <w:rsid w:val="00F87EC2"/>
    <w:rsid w:val="00F87ED7"/>
    <w:rsid w:val="00F87EE2"/>
    <w:rsid w:val="00F87EFC"/>
    <w:rsid w:val="00F87EFD"/>
    <w:rsid w:val="00F87F2D"/>
    <w:rsid w:val="00F87F35"/>
    <w:rsid w:val="00F87F70"/>
    <w:rsid w:val="00F87FC0"/>
    <w:rsid w:val="00F87FE5"/>
    <w:rsid w:val="00F87FF8"/>
    <w:rsid w:val="00F90082"/>
    <w:rsid w:val="00F90169"/>
    <w:rsid w:val="00F901D3"/>
    <w:rsid w:val="00F90212"/>
    <w:rsid w:val="00F90268"/>
    <w:rsid w:val="00F902A7"/>
    <w:rsid w:val="00F902F8"/>
    <w:rsid w:val="00F90308"/>
    <w:rsid w:val="00F90364"/>
    <w:rsid w:val="00F9036A"/>
    <w:rsid w:val="00F9036B"/>
    <w:rsid w:val="00F90373"/>
    <w:rsid w:val="00F903A1"/>
    <w:rsid w:val="00F903D3"/>
    <w:rsid w:val="00F90428"/>
    <w:rsid w:val="00F90474"/>
    <w:rsid w:val="00F904B2"/>
    <w:rsid w:val="00F90541"/>
    <w:rsid w:val="00F9054A"/>
    <w:rsid w:val="00F9057B"/>
    <w:rsid w:val="00F90584"/>
    <w:rsid w:val="00F905B5"/>
    <w:rsid w:val="00F905DD"/>
    <w:rsid w:val="00F90623"/>
    <w:rsid w:val="00F90653"/>
    <w:rsid w:val="00F906E3"/>
    <w:rsid w:val="00F906FA"/>
    <w:rsid w:val="00F90745"/>
    <w:rsid w:val="00F9074C"/>
    <w:rsid w:val="00F9077A"/>
    <w:rsid w:val="00F907AE"/>
    <w:rsid w:val="00F907BB"/>
    <w:rsid w:val="00F907EA"/>
    <w:rsid w:val="00F9080F"/>
    <w:rsid w:val="00F9084E"/>
    <w:rsid w:val="00F90884"/>
    <w:rsid w:val="00F908AC"/>
    <w:rsid w:val="00F908D3"/>
    <w:rsid w:val="00F908D5"/>
    <w:rsid w:val="00F908D8"/>
    <w:rsid w:val="00F90922"/>
    <w:rsid w:val="00F90979"/>
    <w:rsid w:val="00F9097F"/>
    <w:rsid w:val="00F90984"/>
    <w:rsid w:val="00F9098C"/>
    <w:rsid w:val="00F9099A"/>
    <w:rsid w:val="00F909E0"/>
    <w:rsid w:val="00F90A87"/>
    <w:rsid w:val="00F90AD4"/>
    <w:rsid w:val="00F90ADD"/>
    <w:rsid w:val="00F90B81"/>
    <w:rsid w:val="00F90B8C"/>
    <w:rsid w:val="00F90BC1"/>
    <w:rsid w:val="00F90BD7"/>
    <w:rsid w:val="00F90C1A"/>
    <w:rsid w:val="00F90C33"/>
    <w:rsid w:val="00F90C50"/>
    <w:rsid w:val="00F90C68"/>
    <w:rsid w:val="00F90CC6"/>
    <w:rsid w:val="00F90CDF"/>
    <w:rsid w:val="00F90D16"/>
    <w:rsid w:val="00F90D2F"/>
    <w:rsid w:val="00F90DB0"/>
    <w:rsid w:val="00F90DE7"/>
    <w:rsid w:val="00F90DE9"/>
    <w:rsid w:val="00F90DF8"/>
    <w:rsid w:val="00F90E33"/>
    <w:rsid w:val="00F90E3B"/>
    <w:rsid w:val="00F90E71"/>
    <w:rsid w:val="00F90EE4"/>
    <w:rsid w:val="00F90F2A"/>
    <w:rsid w:val="00F90F45"/>
    <w:rsid w:val="00F90F54"/>
    <w:rsid w:val="00F90F64"/>
    <w:rsid w:val="00F90F90"/>
    <w:rsid w:val="00F90FB9"/>
    <w:rsid w:val="00F90FBE"/>
    <w:rsid w:val="00F90FC5"/>
    <w:rsid w:val="00F90FC6"/>
    <w:rsid w:val="00F90FCA"/>
    <w:rsid w:val="00F90FCF"/>
    <w:rsid w:val="00F90FD8"/>
    <w:rsid w:val="00F90FE0"/>
    <w:rsid w:val="00F90FE4"/>
    <w:rsid w:val="00F91045"/>
    <w:rsid w:val="00F91070"/>
    <w:rsid w:val="00F91098"/>
    <w:rsid w:val="00F910A0"/>
    <w:rsid w:val="00F910B0"/>
    <w:rsid w:val="00F910EE"/>
    <w:rsid w:val="00F91181"/>
    <w:rsid w:val="00F91187"/>
    <w:rsid w:val="00F911E5"/>
    <w:rsid w:val="00F911F8"/>
    <w:rsid w:val="00F91224"/>
    <w:rsid w:val="00F91233"/>
    <w:rsid w:val="00F9124D"/>
    <w:rsid w:val="00F912C5"/>
    <w:rsid w:val="00F9137D"/>
    <w:rsid w:val="00F91386"/>
    <w:rsid w:val="00F91391"/>
    <w:rsid w:val="00F91428"/>
    <w:rsid w:val="00F91463"/>
    <w:rsid w:val="00F91467"/>
    <w:rsid w:val="00F91483"/>
    <w:rsid w:val="00F914C1"/>
    <w:rsid w:val="00F914C5"/>
    <w:rsid w:val="00F914DE"/>
    <w:rsid w:val="00F914EB"/>
    <w:rsid w:val="00F9150F"/>
    <w:rsid w:val="00F91560"/>
    <w:rsid w:val="00F9156E"/>
    <w:rsid w:val="00F9157F"/>
    <w:rsid w:val="00F9159E"/>
    <w:rsid w:val="00F915AA"/>
    <w:rsid w:val="00F915F5"/>
    <w:rsid w:val="00F91636"/>
    <w:rsid w:val="00F91656"/>
    <w:rsid w:val="00F916AF"/>
    <w:rsid w:val="00F9175C"/>
    <w:rsid w:val="00F9179A"/>
    <w:rsid w:val="00F917DF"/>
    <w:rsid w:val="00F917F2"/>
    <w:rsid w:val="00F9185D"/>
    <w:rsid w:val="00F91897"/>
    <w:rsid w:val="00F9192F"/>
    <w:rsid w:val="00F9193F"/>
    <w:rsid w:val="00F9199B"/>
    <w:rsid w:val="00F919A0"/>
    <w:rsid w:val="00F919AB"/>
    <w:rsid w:val="00F91A18"/>
    <w:rsid w:val="00F91A38"/>
    <w:rsid w:val="00F91A71"/>
    <w:rsid w:val="00F91ABB"/>
    <w:rsid w:val="00F91AEB"/>
    <w:rsid w:val="00F91AFC"/>
    <w:rsid w:val="00F91B0D"/>
    <w:rsid w:val="00F91B78"/>
    <w:rsid w:val="00F91BE7"/>
    <w:rsid w:val="00F91BE9"/>
    <w:rsid w:val="00F91BF4"/>
    <w:rsid w:val="00F91C09"/>
    <w:rsid w:val="00F91C2B"/>
    <w:rsid w:val="00F91C74"/>
    <w:rsid w:val="00F91CFD"/>
    <w:rsid w:val="00F91D51"/>
    <w:rsid w:val="00F91D5C"/>
    <w:rsid w:val="00F91DA4"/>
    <w:rsid w:val="00F91E53"/>
    <w:rsid w:val="00F91EBF"/>
    <w:rsid w:val="00F91F32"/>
    <w:rsid w:val="00F91F59"/>
    <w:rsid w:val="00F91F69"/>
    <w:rsid w:val="00F91F81"/>
    <w:rsid w:val="00F91F8D"/>
    <w:rsid w:val="00F91FCA"/>
    <w:rsid w:val="00F92010"/>
    <w:rsid w:val="00F92023"/>
    <w:rsid w:val="00F92074"/>
    <w:rsid w:val="00F920A5"/>
    <w:rsid w:val="00F9211B"/>
    <w:rsid w:val="00F92128"/>
    <w:rsid w:val="00F92181"/>
    <w:rsid w:val="00F92183"/>
    <w:rsid w:val="00F92195"/>
    <w:rsid w:val="00F921B7"/>
    <w:rsid w:val="00F921CF"/>
    <w:rsid w:val="00F9221E"/>
    <w:rsid w:val="00F92279"/>
    <w:rsid w:val="00F92286"/>
    <w:rsid w:val="00F92288"/>
    <w:rsid w:val="00F922A0"/>
    <w:rsid w:val="00F922A5"/>
    <w:rsid w:val="00F922BA"/>
    <w:rsid w:val="00F92332"/>
    <w:rsid w:val="00F92339"/>
    <w:rsid w:val="00F92347"/>
    <w:rsid w:val="00F9236A"/>
    <w:rsid w:val="00F923A9"/>
    <w:rsid w:val="00F923B7"/>
    <w:rsid w:val="00F923B8"/>
    <w:rsid w:val="00F9242D"/>
    <w:rsid w:val="00F9245E"/>
    <w:rsid w:val="00F924A9"/>
    <w:rsid w:val="00F924C9"/>
    <w:rsid w:val="00F92501"/>
    <w:rsid w:val="00F92516"/>
    <w:rsid w:val="00F92565"/>
    <w:rsid w:val="00F925AC"/>
    <w:rsid w:val="00F925BE"/>
    <w:rsid w:val="00F925FC"/>
    <w:rsid w:val="00F9264B"/>
    <w:rsid w:val="00F9264F"/>
    <w:rsid w:val="00F92658"/>
    <w:rsid w:val="00F92668"/>
    <w:rsid w:val="00F92710"/>
    <w:rsid w:val="00F92732"/>
    <w:rsid w:val="00F927B2"/>
    <w:rsid w:val="00F927FE"/>
    <w:rsid w:val="00F92832"/>
    <w:rsid w:val="00F92848"/>
    <w:rsid w:val="00F92885"/>
    <w:rsid w:val="00F928B0"/>
    <w:rsid w:val="00F928EA"/>
    <w:rsid w:val="00F928F5"/>
    <w:rsid w:val="00F9290B"/>
    <w:rsid w:val="00F9290F"/>
    <w:rsid w:val="00F92962"/>
    <w:rsid w:val="00F929BA"/>
    <w:rsid w:val="00F929C8"/>
    <w:rsid w:val="00F929FC"/>
    <w:rsid w:val="00F92A4E"/>
    <w:rsid w:val="00F92AB9"/>
    <w:rsid w:val="00F92B32"/>
    <w:rsid w:val="00F92BD7"/>
    <w:rsid w:val="00F92BF6"/>
    <w:rsid w:val="00F92C0C"/>
    <w:rsid w:val="00F92C16"/>
    <w:rsid w:val="00F92C1B"/>
    <w:rsid w:val="00F92D99"/>
    <w:rsid w:val="00F92DC9"/>
    <w:rsid w:val="00F92DF7"/>
    <w:rsid w:val="00F92E21"/>
    <w:rsid w:val="00F92E33"/>
    <w:rsid w:val="00F92E59"/>
    <w:rsid w:val="00F92E62"/>
    <w:rsid w:val="00F92E6A"/>
    <w:rsid w:val="00F92E99"/>
    <w:rsid w:val="00F92EAD"/>
    <w:rsid w:val="00F92ED2"/>
    <w:rsid w:val="00F92ED3"/>
    <w:rsid w:val="00F92EEA"/>
    <w:rsid w:val="00F92EED"/>
    <w:rsid w:val="00F92F1A"/>
    <w:rsid w:val="00F92F2E"/>
    <w:rsid w:val="00F92F3C"/>
    <w:rsid w:val="00F92F4F"/>
    <w:rsid w:val="00F92F7C"/>
    <w:rsid w:val="00F92FAD"/>
    <w:rsid w:val="00F92FF8"/>
    <w:rsid w:val="00F93062"/>
    <w:rsid w:val="00F930B3"/>
    <w:rsid w:val="00F930CD"/>
    <w:rsid w:val="00F93103"/>
    <w:rsid w:val="00F93199"/>
    <w:rsid w:val="00F931E2"/>
    <w:rsid w:val="00F9325E"/>
    <w:rsid w:val="00F932A2"/>
    <w:rsid w:val="00F932DF"/>
    <w:rsid w:val="00F93335"/>
    <w:rsid w:val="00F93356"/>
    <w:rsid w:val="00F9338D"/>
    <w:rsid w:val="00F93398"/>
    <w:rsid w:val="00F933DD"/>
    <w:rsid w:val="00F933FF"/>
    <w:rsid w:val="00F9340A"/>
    <w:rsid w:val="00F93420"/>
    <w:rsid w:val="00F93499"/>
    <w:rsid w:val="00F9351C"/>
    <w:rsid w:val="00F9353E"/>
    <w:rsid w:val="00F93549"/>
    <w:rsid w:val="00F9356C"/>
    <w:rsid w:val="00F93571"/>
    <w:rsid w:val="00F93590"/>
    <w:rsid w:val="00F935DE"/>
    <w:rsid w:val="00F93668"/>
    <w:rsid w:val="00F9366D"/>
    <w:rsid w:val="00F936AE"/>
    <w:rsid w:val="00F936CD"/>
    <w:rsid w:val="00F93714"/>
    <w:rsid w:val="00F93736"/>
    <w:rsid w:val="00F9375C"/>
    <w:rsid w:val="00F93786"/>
    <w:rsid w:val="00F937A0"/>
    <w:rsid w:val="00F9380F"/>
    <w:rsid w:val="00F9383A"/>
    <w:rsid w:val="00F9383D"/>
    <w:rsid w:val="00F93848"/>
    <w:rsid w:val="00F93852"/>
    <w:rsid w:val="00F93853"/>
    <w:rsid w:val="00F938AB"/>
    <w:rsid w:val="00F938F2"/>
    <w:rsid w:val="00F939A4"/>
    <w:rsid w:val="00F939B5"/>
    <w:rsid w:val="00F939F6"/>
    <w:rsid w:val="00F93A0E"/>
    <w:rsid w:val="00F93A84"/>
    <w:rsid w:val="00F93AAC"/>
    <w:rsid w:val="00F93B11"/>
    <w:rsid w:val="00F93B4D"/>
    <w:rsid w:val="00F93B69"/>
    <w:rsid w:val="00F93B76"/>
    <w:rsid w:val="00F93BE6"/>
    <w:rsid w:val="00F93BFB"/>
    <w:rsid w:val="00F93C3A"/>
    <w:rsid w:val="00F93C5A"/>
    <w:rsid w:val="00F93C7F"/>
    <w:rsid w:val="00F93C8B"/>
    <w:rsid w:val="00F93CAF"/>
    <w:rsid w:val="00F93D17"/>
    <w:rsid w:val="00F93D28"/>
    <w:rsid w:val="00F93D4D"/>
    <w:rsid w:val="00F93D62"/>
    <w:rsid w:val="00F93D8C"/>
    <w:rsid w:val="00F93EFE"/>
    <w:rsid w:val="00F93F15"/>
    <w:rsid w:val="00F93F28"/>
    <w:rsid w:val="00F93F2D"/>
    <w:rsid w:val="00F93FB9"/>
    <w:rsid w:val="00F93FDB"/>
    <w:rsid w:val="00F94072"/>
    <w:rsid w:val="00F940B5"/>
    <w:rsid w:val="00F940CE"/>
    <w:rsid w:val="00F94148"/>
    <w:rsid w:val="00F94256"/>
    <w:rsid w:val="00F942F0"/>
    <w:rsid w:val="00F94328"/>
    <w:rsid w:val="00F9432A"/>
    <w:rsid w:val="00F94396"/>
    <w:rsid w:val="00F9439C"/>
    <w:rsid w:val="00F943E8"/>
    <w:rsid w:val="00F9441D"/>
    <w:rsid w:val="00F9442C"/>
    <w:rsid w:val="00F944F9"/>
    <w:rsid w:val="00F94525"/>
    <w:rsid w:val="00F94541"/>
    <w:rsid w:val="00F9455F"/>
    <w:rsid w:val="00F945F6"/>
    <w:rsid w:val="00F94628"/>
    <w:rsid w:val="00F9463E"/>
    <w:rsid w:val="00F9466B"/>
    <w:rsid w:val="00F94678"/>
    <w:rsid w:val="00F94698"/>
    <w:rsid w:val="00F94770"/>
    <w:rsid w:val="00F94785"/>
    <w:rsid w:val="00F94809"/>
    <w:rsid w:val="00F94816"/>
    <w:rsid w:val="00F9483E"/>
    <w:rsid w:val="00F948A6"/>
    <w:rsid w:val="00F948FA"/>
    <w:rsid w:val="00F94932"/>
    <w:rsid w:val="00F94957"/>
    <w:rsid w:val="00F94960"/>
    <w:rsid w:val="00F94975"/>
    <w:rsid w:val="00F94984"/>
    <w:rsid w:val="00F949A3"/>
    <w:rsid w:val="00F94A14"/>
    <w:rsid w:val="00F94A2F"/>
    <w:rsid w:val="00F94AA6"/>
    <w:rsid w:val="00F94AE9"/>
    <w:rsid w:val="00F94B5F"/>
    <w:rsid w:val="00F94B82"/>
    <w:rsid w:val="00F94C39"/>
    <w:rsid w:val="00F94C87"/>
    <w:rsid w:val="00F94C9A"/>
    <w:rsid w:val="00F94CCF"/>
    <w:rsid w:val="00F94CE4"/>
    <w:rsid w:val="00F94D0D"/>
    <w:rsid w:val="00F94D1F"/>
    <w:rsid w:val="00F94D45"/>
    <w:rsid w:val="00F94D4C"/>
    <w:rsid w:val="00F94D64"/>
    <w:rsid w:val="00F94DC3"/>
    <w:rsid w:val="00F94DF4"/>
    <w:rsid w:val="00F94E11"/>
    <w:rsid w:val="00F94EB5"/>
    <w:rsid w:val="00F94EEF"/>
    <w:rsid w:val="00F94F25"/>
    <w:rsid w:val="00F94F47"/>
    <w:rsid w:val="00F94F6C"/>
    <w:rsid w:val="00F94FA9"/>
    <w:rsid w:val="00F94FCE"/>
    <w:rsid w:val="00F94FD6"/>
    <w:rsid w:val="00F95009"/>
    <w:rsid w:val="00F95030"/>
    <w:rsid w:val="00F9504C"/>
    <w:rsid w:val="00F9506F"/>
    <w:rsid w:val="00F950A1"/>
    <w:rsid w:val="00F950E4"/>
    <w:rsid w:val="00F9510D"/>
    <w:rsid w:val="00F95135"/>
    <w:rsid w:val="00F9513B"/>
    <w:rsid w:val="00F9521E"/>
    <w:rsid w:val="00F952A2"/>
    <w:rsid w:val="00F952AA"/>
    <w:rsid w:val="00F952FC"/>
    <w:rsid w:val="00F9531F"/>
    <w:rsid w:val="00F95323"/>
    <w:rsid w:val="00F9532E"/>
    <w:rsid w:val="00F9535B"/>
    <w:rsid w:val="00F9535F"/>
    <w:rsid w:val="00F953C0"/>
    <w:rsid w:val="00F9542D"/>
    <w:rsid w:val="00F95449"/>
    <w:rsid w:val="00F954F7"/>
    <w:rsid w:val="00F95565"/>
    <w:rsid w:val="00F95576"/>
    <w:rsid w:val="00F95577"/>
    <w:rsid w:val="00F95599"/>
    <w:rsid w:val="00F955B0"/>
    <w:rsid w:val="00F95648"/>
    <w:rsid w:val="00F956C4"/>
    <w:rsid w:val="00F956E3"/>
    <w:rsid w:val="00F956E7"/>
    <w:rsid w:val="00F9570F"/>
    <w:rsid w:val="00F95711"/>
    <w:rsid w:val="00F9572B"/>
    <w:rsid w:val="00F9573E"/>
    <w:rsid w:val="00F95778"/>
    <w:rsid w:val="00F957BD"/>
    <w:rsid w:val="00F957E1"/>
    <w:rsid w:val="00F9582A"/>
    <w:rsid w:val="00F95870"/>
    <w:rsid w:val="00F95887"/>
    <w:rsid w:val="00F9588A"/>
    <w:rsid w:val="00F9588B"/>
    <w:rsid w:val="00F958BD"/>
    <w:rsid w:val="00F958C9"/>
    <w:rsid w:val="00F958FD"/>
    <w:rsid w:val="00F958FF"/>
    <w:rsid w:val="00F9598A"/>
    <w:rsid w:val="00F959A8"/>
    <w:rsid w:val="00F95A12"/>
    <w:rsid w:val="00F95A24"/>
    <w:rsid w:val="00F95A89"/>
    <w:rsid w:val="00F95B40"/>
    <w:rsid w:val="00F95C49"/>
    <w:rsid w:val="00F95C53"/>
    <w:rsid w:val="00F95C55"/>
    <w:rsid w:val="00F95C60"/>
    <w:rsid w:val="00F95CA4"/>
    <w:rsid w:val="00F95CC5"/>
    <w:rsid w:val="00F95D05"/>
    <w:rsid w:val="00F95D4A"/>
    <w:rsid w:val="00F95D60"/>
    <w:rsid w:val="00F95D82"/>
    <w:rsid w:val="00F95D86"/>
    <w:rsid w:val="00F95DB3"/>
    <w:rsid w:val="00F95DE6"/>
    <w:rsid w:val="00F95E7A"/>
    <w:rsid w:val="00F95EC5"/>
    <w:rsid w:val="00F95EE3"/>
    <w:rsid w:val="00F95EF9"/>
    <w:rsid w:val="00F95EFA"/>
    <w:rsid w:val="00F95F09"/>
    <w:rsid w:val="00F95F2B"/>
    <w:rsid w:val="00F95F67"/>
    <w:rsid w:val="00F9602A"/>
    <w:rsid w:val="00F9603D"/>
    <w:rsid w:val="00F9607A"/>
    <w:rsid w:val="00F9609F"/>
    <w:rsid w:val="00F960C1"/>
    <w:rsid w:val="00F960DA"/>
    <w:rsid w:val="00F9610F"/>
    <w:rsid w:val="00F9612F"/>
    <w:rsid w:val="00F96157"/>
    <w:rsid w:val="00F96180"/>
    <w:rsid w:val="00F9618B"/>
    <w:rsid w:val="00F9618C"/>
    <w:rsid w:val="00F961FC"/>
    <w:rsid w:val="00F96217"/>
    <w:rsid w:val="00F96246"/>
    <w:rsid w:val="00F96282"/>
    <w:rsid w:val="00F9636B"/>
    <w:rsid w:val="00F96378"/>
    <w:rsid w:val="00F963AB"/>
    <w:rsid w:val="00F96419"/>
    <w:rsid w:val="00F9647A"/>
    <w:rsid w:val="00F964D9"/>
    <w:rsid w:val="00F96524"/>
    <w:rsid w:val="00F96560"/>
    <w:rsid w:val="00F965C7"/>
    <w:rsid w:val="00F965CC"/>
    <w:rsid w:val="00F965DB"/>
    <w:rsid w:val="00F965E0"/>
    <w:rsid w:val="00F96604"/>
    <w:rsid w:val="00F9664C"/>
    <w:rsid w:val="00F96655"/>
    <w:rsid w:val="00F96675"/>
    <w:rsid w:val="00F966AF"/>
    <w:rsid w:val="00F966D5"/>
    <w:rsid w:val="00F9672D"/>
    <w:rsid w:val="00F967F5"/>
    <w:rsid w:val="00F96805"/>
    <w:rsid w:val="00F96867"/>
    <w:rsid w:val="00F9686B"/>
    <w:rsid w:val="00F96873"/>
    <w:rsid w:val="00F9688F"/>
    <w:rsid w:val="00F96897"/>
    <w:rsid w:val="00F968FF"/>
    <w:rsid w:val="00F96901"/>
    <w:rsid w:val="00F9693F"/>
    <w:rsid w:val="00F9698A"/>
    <w:rsid w:val="00F969B5"/>
    <w:rsid w:val="00F96A0A"/>
    <w:rsid w:val="00F96A36"/>
    <w:rsid w:val="00F96A3A"/>
    <w:rsid w:val="00F96A79"/>
    <w:rsid w:val="00F96AD0"/>
    <w:rsid w:val="00F96AED"/>
    <w:rsid w:val="00F96AF6"/>
    <w:rsid w:val="00F96B02"/>
    <w:rsid w:val="00F96B0C"/>
    <w:rsid w:val="00F96B54"/>
    <w:rsid w:val="00F96B5D"/>
    <w:rsid w:val="00F96BC1"/>
    <w:rsid w:val="00F96BC3"/>
    <w:rsid w:val="00F96BD4"/>
    <w:rsid w:val="00F96BE5"/>
    <w:rsid w:val="00F96C3C"/>
    <w:rsid w:val="00F96C53"/>
    <w:rsid w:val="00F96CB1"/>
    <w:rsid w:val="00F96D34"/>
    <w:rsid w:val="00F96D50"/>
    <w:rsid w:val="00F96D61"/>
    <w:rsid w:val="00F96D97"/>
    <w:rsid w:val="00F96DF8"/>
    <w:rsid w:val="00F96E1D"/>
    <w:rsid w:val="00F96E77"/>
    <w:rsid w:val="00F96E79"/>
    <w:rsid w:val="00F96E7C"/>
    <w:rsid w:val="00F96ED9"/>
    <w:rsid w:val="00F96EFA"/>
    <w:rsid w:val="00F96EFD"/>
    <w:rsid w:val="00F96F49"/>
    <w:rsid w:val="00F96F92"/>
    <w:rsid w:val="00F96FAE"/>
    <w:rsid w:val="00F97008"/>
    <w:rsid w:val="00F97016"/>
    <w:rsid w:val="00F970C0"/>
    <w:rsid w:val="00F970F8"/>
    <w:rsid w:val="00F97143"/>
    <w:rsid w:val="00F971B9"/>
    <w:rsid w:val="00F971D3"/>
    <w:rsid w:val="00F971DD"/>
    <w:rsid w:val="00F97225"/>
    <w:rsid w:val="00F9722F"/>
    <w:rsid w:val="00F97247"/>
    <w:rsid w:val="00F97294"/>
    <w:rsid w:val="00F9729E"/>
    <w:rsid w:val="00F972C1"/>
    <w:rsid w:val="00F972C5"/>
    <w:rsid w:val="00F972E4"/>
    <w:rsid w:val="00F97328"/>
    <w:rsid w:val="00F9733F"/>
    <w:rsid w:val="00F9735B"/>
    <w:rsid w:val="00F9737E"/>
    <w:rsid w:val="00F973C7"/>
    <w:rsid w:val="00F973FD"/>
    <w:rsid w:val="00F97454"/>
    <w:rsid w:val="00F9747F"/>
    <w:rsid w:val="00F974DB"/>
    <w:rsid w:val="00F974F0"/>
    <w:rsid w:val="00F97539"/>
    <w:rsid w:val="00F97587"/>
    <w:rsid w:val="00F9759F"/>
    <w:rsid w:val="00F97616"/>
    <w:rsid w:val="00F97644"/>
    <w:rsid w:val="00F9765B"/>
    <w:rsid w:val="00F97661"/>
    <w:rsid w:val="00F9768B"/>
    <w:rsid w:val="00F9769C"/>
    <w:rsid w:val="00F976E0"/>
    <w:rsid w:val="00F976E5"/>
    <w:rsid w:val="00F976E6"/>
    <w:rsid w:val="00F976EE"/>
    <w:rsid w:val="00F9771A"/>
    <w:rsid w:val="00F97730"/>
    <w:rsid w:val="00F9775D"/>
    <w:rsid w:val="00F97778"/>
    <w:rsid w:val="00F977C5"/>
    <w:rsid w:val="00F977C9"/>
    <w:rsid w:val="00F977F8"/>
    <w:rsid w:val="00F97813"/>
    <w:rsid w:val="00F97818"/>
    <w:rsid w:val="00F9782E"/>
    <w:rsid w:val="00F97839"/>
    <w:rsid w:val="00F97844"/>
    <w:rsid w:val="00F978AB"/>
    <w:rsid w:val="00F978B5"/>
    <w:rsid w:val="00F978F6"/>
    <w:rsid w:val="00F9790B"/>
    <w:rsid w:val="00F97918"/>
    <w:rsid w:val="00F9793B"/>
    <w:rsid w:val="00F97960"/>
    <w:rsid w:val="00F9799C"/>
    <w:rsid w:val="00F979C3"/>
    <w:rsid w:val="00F979E6"/>
    <w:rsid w:val="00F97A0E"/>
    <w:rsid w:val="00F97A20"/>
    <w:rsid w:val="00F97A2F"/>
    <w:rsid w:val="00F97A97"/>
    <w:rsid w:val="00F97AEE"/>
    <w:rsid w:val="00F97B30"/>
    <w:rsid w:val="00F97B9F"/>
    <w:rsid w:val="00F97BA0"/>
    <w:rsid w:val="00F97BBF"/>
    <w:rsid w:val="00F97BEE"/>
    <w:rsid w:val="00F97C13"/>
    <w:rsid w:val="00F97C48"/>
    <w:rsid w:val="00F97C67"/>
    <w:rsid w:val="00F97C76"/>
    <w:rsid w:val="00F97C9F"/>
    <w:rsid w:val="00F97CA8"/>
    <w:rsid w:val="00F97CE8"/>
    <w:rsid w:val="00F97D32"/>
    <w:rsid w:val="00F97D58"/>
    <w:rsid w:val="00F97D6A"/>
    <w:rsid w:val="00F97DC8"/>
    <w:rsid w:val="00F97DCE"/>
    <w:rsid w:val="00F97DF5"/>
    <w:rsid w:val="00F97E11"/>
    <w:rsid w:val="00F97E3D"/>
    <w:rsid w:val="00F97E77"/>
    <w:rsid w:val="00F97E81"/>
    <w:rsid w:val="00F97E84"/>
    <w:rsid w:val="00F97FBB"/>
    <w:rsid w:val="00F97FD3"/>
    <w:rsid w:val="00FA005D"/>
    <w:rsid w:val="00FA007D"/>
    <w:rsid w:val="00FA0095"/>
    <w:rsid w:val="00FA00CB"/>
    <w:rsid w:val="00FA0122"/>
    <w:rsid w:val="00FA0143"/>
    <w:rsid w:val="00FA0157"/>
    <w:rsid w:val="00FA0163"/>
    <w:rsid w:val="00FA0178"/>
    <w:rsid w:val="00FA01D5"/>
    <w:rsid w:val="00FA01F5"/>
    <w:rsid w:val="00FA02E0"/>
    <w:rsid w:val="00FA02EA"/>
    <w:rsid w:val="00FA0337"/>
    <w:rsid w:val="00FA0371"/>
    <w:rsid w:val="00FA03C0"/>
    <w:rsid w:val="00FA03C2"/>
    <w:rsid w:val="00FA03D0"/>
    <w:rsid w:val="00FA03F8"/>
    <w:rsid w:val="00FA041E"/>
    <w:rsid w:val="00FA044D"/>
    <w:rsid w:val="00FA0496"/>
    <w:rsid w:val="00FA049B"/>
    <w:rsid w:val="00FA04FF"/>
    <w:rsid w:val="00FA0517"/>
    <w:rsid w:val="00FA0539"/>
    <w:rsid w:val="00FA0561"/>
    <w:rsid w:val="00FA058A"/>
    <w:rsid w:val="00FA05BB"/>
    <w:rsid w:val="00FA05C4"/>
    <w:rsid w:val="00FA05C5"/>
    <w:rsid w:val="00FA0626"/>
    <w:rsid w:val="00FA065A"/>
    <w:rsid w:val="00FA068D"/>
    <w:rsid w:val="00FA06D1"/>
    <w:rsid w:val="00FA075F"/>
    <w:rsid w:val="00FA076F"/>
    <w:rsid w:val="00FA0773"/>
    <w:rsid w:val="00FA077A"/>
    <w:rsid w:val="00FA078D"/>
    <w:rsid w:val="00FA079B"/>
    <w:rsid w:val="00FA07D8"/>
    <w:rsid w:val="00FA0893"/>
    <w:rsid w:val="00FA08CF"/>
    <w:rsid w:val="00FA08ED"/>
    <w:rsid w:val="00FA08F6"/>
    <w:rsid w:val="00FA0900"/>
    <w:rsid w:val="00FA092A"/>
    <w:rsid w:val="00FA096F"/>
    <w:rsid w:val="00FA097B"/>
    <w:rsid w:val="00FA09A7"/>
    <w:rsid w:val="00FA09AC"/>
    <w:rsid w:val="00FA09B3"/>
    <w:rsid w:val="00FA09B7"/>
    <w:rsid w:val="00FA0A35"/>
    <w:rsid w:val="00FA0A3C"/>
    <w:rsid w:val="00FA0A66"/>
    <w:rsid w:val="00FA0A75"/>
    <w:rsid w:val="00FA0A9F"/>
    <w:rsid w:val="00FA0B10"/>
    <w:rsid w:val="00FA0B3B"/>
    <w:rsid w:val="00FA0B57"/>
    <w:rsid w:val="00FA0BFA"/>
    <w:rsid w:val="00FA0C58"/>
    <w:rsid w:val="00FA0CB1"/>
    <w:rsid w:val="00FA0D33"/>
    <w:rsid w:val="00FA0D45"/>
    <w:rsid w:val="00FA0DC7"/>
    <w:rsid w:val="00FA0E30"/>
    <w:rsid w:val="00FA0E4F"/>
    <w:rsid w:val="00FA0E63"/>
    <w:rsid w:val="00FA0EC6"/>
    <w:rsid w:val="00FA0EF8"/>
    <w:rsid w:val="00FA0F67"/>
    <w:rsid w:val="00FA0F7A"/>
    <w:rsid w:val="00FA0F85"/>
    <w:rsid w:val="00FA0F92"/>
    <w:rsid w:val="00FA0FB5"/>
    <w:rsid w:val="00FA100B"/>
    <w:rsid w:val="00FA102F"/>
    <w:rsid w:val="00FA103F"/>
    <w:rsid w:val="00FA109B"/>
    <w:rsid w:val="00FA109E"/>
    <w:rsid w:val="00FA10D4"/>
    <w:rsid w:val="00FA111C"/>
    <w:rsid w:val="00FA1145"/>
    <w:rsid w:val="00FA1157"/>
    <w:rsid w:val="00FA11CA"/>
    <w:rsid w:val="00FA11F3"/>
    <w:rsid w:val="00FA1204"/>
    <w:rsid w:val="00FA12CA"/>
    <w:rsid w:val="00FA1330"/>
    <w:rsid w:val="00FA1359"/>
    <w:rsid w:val="00FA138F"/>
    <w:rsid w:val="00FA1433"/>
    <w:rsid w:val="00FA144A"/>
    <w:rsid w:val="00FA148B"/>
    <w:rsid w:val="00FA14E2"/>
    <w:rsid w:val="00FA152D"/>
    <w:rsid w:val="00FA154F"/>
    <w:rsid w:val="00FA1579"/>
    <w:rsid w:val="00FA1599"/>
    <w:rsid w:val="00FA15CB"/>
    <w:rsid w:val="00FA160D"/>
    <w:rsid w:val="00FA161D"/>
    <w:rsid w:val="00FA164A"/>
    <w:rsid w:val="00FA1669"/>
    <w:rsid w:val="00FA167F"/>
    <w:rsid w:val="00FA1681"/>
    <w:rsid w:val="00FA16DF"/>
    <w:rsid w:val="00FA1722"/>
    <w:rsid w:val="00FA1757"/>
    <w:rsid w:val="00FA1771"/>
    <w:rsid w:val="00FA177E"/>
    <w:rsid w:val="00FA1782"/>
    <w:rsid w:val="00FA1787"/>
    <w:rsid w:val="00FA17E4"/>
    <w:rsid w:val="00FA17F2"/>
    <w:rsid w:val="00FA1841"/>
    <w:rsid w:val="00FA1851"/>
    <w:rsid w:val="00FA1881"/>
    <w:rsid w:val="00FA188D"/>
    <w:rsid w:val="00FA188F"/>
    <w:rsid w:val="00FA18E8"/>
    <w:rsid w:val="00FA1931"/>
    <w:rsid w:val="00FA1937"/>
    <w:rsid w:val="00FA1973"/>
    <w:rsid w:val="00FA197E"/>
    <w:rsid w:val="00FA198B"/>
    <w:rsid w:val="00FA19BE"/>
    <w:rsid w:val="00FA19E3"/>
    <w:rsid w:val="00FA1A6C"/>
    <w:rsid w:val="00FA1A7E"/>
    <w:rsid w:val="00FA1A9F"/>
    <w:rsid w:val="00FA1B1F"/>
    <w:rsid w:val="00FA1B39"/>
    <w:rsid w:val="00FA1B45"/>
    <w:rsid w:val="00FA1B7C"/>
    <w:rsid w:val="00FA1BAA"/>
    <w:rsid w:val="00FA1BC7"/>
    <w:rsid w:val="00FA1C19"/>
    <w:rsid w:val="00FA1C51"/>
    <w:rsid w:val="00FA1C73"/>
    <w:rsid w:val="00FA1C7A"/>
    <w:rsid w:val="00FA1C92"/>
    <w:rsid w:val="00FA1CC8"/>
    <w:rsid w:val="00FA1D0B"/>
    <w:rsid w:val="00FA1D2B"/>
    <w:rsid w:val="00FA1D88"/>
    <w:rsid w:val="00FA1D8D"/>
    <w:rsid w:val="00FA1D9C"/>
    <w:rsid w:val="00FA1DB6"/>
    <w:rsid w:val="00FA1E03"/>
    <w:rsid w:val="00FA1E11"/>
    <w:rsid w:val="00FA1E28"/>
    <w:rsid w:val="00FA1E2F"/>
    <w:rsid w:val="00FA1E33"/>
    <w:rsid w:val="00FA1E5C"/>
    <w:rsid w:val="00FA1E6C"/>
    <w:rsid w:val="00FA1F40"/>
    <w:rsid w:val="00FA1F44"/>
    <w:rsid w:val="00FA1FAE"/>
    <w:rsid w:val="00FA1FDC"/>
    <w:rsid w:val="00FA1FF9"/>
    <w:rsid w:val="00FA205F"/>
    <w:rsid w:val="00FA206B"/>
    <w:rsid w:val="00FA2078"/>
    <w:rsid w:val="00FA2082"/>
    <w:rsid w:val="00FA2083"/>
    <w:rsid w:val="00FA20BE"/>
    <w:rsid w:val="00FA20C1"/>
    <w:rsid w:val="00FA213B"/>
    <w:rsid w:val="00FA2177"/>
    <w:rsid w:val="00FA2180"/>
    <w:rsid w:val="00FA2282"/>
    <w:rsid w:val="00FA22B3"/>
    <w:rsid w:val="00FA235E"/>
    <w:rsid w:val="00FA2389"/>
    <w:rsid w:val="00FA23FB"/>
    <w:rsid w:val="00FA240A"/>
    <w:rsid w:val="00FA241B"/>
    <w:rsid w:val="00FA2496"/>
    <w:rsid w:val="00FA24F8"/>
    <w:rsid w:val="00FA2539"/>
    <w:rsid w:val="00FA2563"/>
    <w:rsid w:val="00FA2593"/>
    <w:rsid w:val="00FA25AC"/>
    <w:rsid w:val="00FA260A"/>
    <w:rsid w:val="00FA2688"/>
    <w:rsid w:val="00FA26ED"/>
    <w:rsid w:val="00FA2721"/>
    <w:rsid w:val="00FA2797"/>
    <w:rsid w:val="00FA27BA"/>
    <w:rsid w:val="00FA27CF"/>
    <w:rsid w:val="00FA27DA"/>
    <w:rsid w:val="00FA27E4"/>
    <w:rsid w:val="00FA2802"/>
    <w:rsid w:val="00FA284A"/>
    <w:rsid w:val="00FA2884"/>
    <w:rsid w:val="00FA2896"/>
    <w:rsid w:val="00FA2906"/>
    <w:rsid w:val="00FA2931"/>
    <w:rsid w:val="00FA2965"/>
    <w:rsid w:val="00FA2994"/>
    <w:rsid w:val="00FA29C2"/>
    <w:rsid w:val="00FA29C5"/>
    <w:rsid w:val="00FA2A2B"/>
    <w:rsid w:val="00FA2A3C"/>
    <w:rsid w:val="00FA2A4D"/>
    <w:rsid w:val="00FA2A6E"/>
    <w:rsid w:val="00FA2AC8"/>
    <w:rsid w:val="00FA2ADF"/>
    <w:rsid w:val="00FA2B16"/>
    <w:rsid w:val="00FA2B30"/>
    <w:rsid w:val="00FA2B4A"/>
    <w:rsid w:val="00FA2BBD"/>
    <w:rsid w:val="00FA2C21"/>
    <w:rsid w:val="00FA2C37"/>
    <w:rsid w:val="00FA2C48"/>
    <w:rsid w:val="00FA2C59"/>
    <w:rsid w:val="00FA2C5E"/>
    <w:rsid w:val="00FA2CA0"/>
    <w:rsid w:val="00FA2CA6"/>
    <w:rsid w:val="00FA2D53"/>
    <w:rsid w:val="00FA2D5B"/>
    <w:rsid w:val="00FA2D5D"/>
    <w:rsid w:val="00FA2D84"/>
    <w:rsid w:val="00FA2D85"/>
    <w:rsid w:val="00FA2D96"/>
    <w:rsid w:val="00FA2DB8"/>
    <w:rsid w:val="00FA2DCA"/>
    <w:rsid w:val="00FA2E9B"/>
    <w:rsid w:val="00FA2EC6"/>
    <w:rsid w:val="00FA2EDA"/>
    <w:rsid w:val="00FA2F61"/>
    <w:rsid w:val="00FA2F6A"/>
    <w:rsid w:val="00FA2F86"/>
    <w:rsid w:val="00FA2FA5"/>
    <w:rsid w:val="00FA2FC6"/>
    <w:rsid w:val="00FA303A"/>
    <w:rsid w:val="00FA306B"/>
    <w:rsid w:val="00FA3091"/>
    <w:rsid w:val="00FA30AA"/>
    <w:rsid w:val="00FA30C7"/>
    <w:rsid w:val="00FA30D8"/>
    <w:rsid w:val="00FA30E4"/>
    <w:rsid w:val="00FA3130"/>
    <w:rsid w:val="00FA314D"/>
    <w:rsid w:val="00FA3179"/>
    <w:rsid w:val="00FA3187"/>
    <w:rsid w:val="00FA31A7"/>
    <w:rsid w:val="00FA31A8"/>
    <w:rsid w:val="00FA31CF"/>
    <w:rsid w:val="00FA31DA"/>
    <w:rsid w:val="00FA3219"/>
    <w:rsid w:val="00FA322A"/>
    <w:rsid w:val="00FA3293"/>
    <w:rsid w:val="00FA3294"/>
    <w:rsid w:val="00FA3296"/>
    <w:rsid w:val="00FA329A"/>
    <w:rsid w:val="00FA32BB"/>
    <w:rsid w:val="00FA32E2"/>
    <w:rsid w:val="00FA336C"/>
    <w:rsid w:val="00FA3386"/>
    <w:rsid w:val="00FA34D0"/>
    <w:rsid w:val="00FA34EE"/>
    <w:rsid w:val="00FA3587"/>
    <w:rsid w:val="00FA35E4"/>
    <w:rsid w:val="00FA360C"/>
    <w:rsid w:val="00FA3635"/>
    <w:rsid w:val="00FA365E"/>
    <w:rsid w:val="00FA3693"/>
    <w:rsid w:val="00FA36AD"/>
    <w:rsid w:val="00FA36D8"/>
    <w:rsid w:val="00FA372C"/>
    <w:rsid w:val="00FA3751"/>
    <w:rsid w:val="00FA379B"/>
    <w:rsid w:val="00FA37B4"/>
    <w:rsid w:val="00FA37B9"/>
    <w:rsid w:val="00FA37CB"/>
    <w:rsid w:val="00FA37D1"/>
    <w:rsid w:val="00FA37E9"/>
    <w:rsid w:val="00FA3808"/>
    <w:rsid w:val="00FA380D"/>
    <w:rsid w:val="00FA3829"/>
    <w:rsid w:val="00FA3836"/>
    <w:rsid w:val="00FA3859"/>
    <w:rsid w:val="00FA387B"/>
    <w:rsid w:val="00FA38F5"/>
    <w:rsid w:val="00FA391B"/>
    <w:rsid w:val="00FA3970"/>
    <w:rsid w:val="00FA39B7"/>
    <w:rsid w:val="00FA3A62"/>
    <w:rsid w:val="00FA3AD7"/>
    <w:rsid w:val="00FA3B9B"/>
    <w:rsid w:val="00FA3BA7"/>
    <w:rsid w:val="00FA3BAF"/>
    <w:rsid w:val="00FA3BBB"/>
    <w:rsid w:val="00FA3BDA"/>
    <w:rsid w:val="00FA3C59"/>
    <w:rsid w:val="00FA3CBB"/>
    <w:rsid w:val="00FA3CBD"/>
    <w:rsid w:val="00FA3D4D"/>
    <w:rsid w:val="00FA3D55"/>
    <w:rsid w:val="00FA3D78"/>
    <w:rsid w:val="00FA3DBE"/>
    <w:rsid w:val="00FA3DCD"/>
    <w:rsid w:val="00FA3E29"/>
    <w:rsid w:val="00FA3E44"/>
    <w:rsid w:val="00FA3E81"/>
    <w:rsid w:val="00FA3EB7"/>
    <w:rsid w:val="00FA3EFC"/>
    <w:rsid w:val="00FA3F55"/>
    <w:rsid w:val="00FA3F71"/>
    <w:rsid w:val="00FA3F78"/>
    <w:rsid w:val="00FA3F93"/>
    <w:rsid w:val="00FA3FAA"/>
    <w:rsid w:val="00FA3FF2"/>
    <w:rsid w:val="00FA4005"/>
    <w:rsid w:val="00FA40D6"/>
    <w:rsid w:val="00FA40E0"/>
    <w:rsid w:val="00FA40E6"/>
    <w:rsid w:val="00FA40F9"/>
    <w:rsid w:val="00FA4195"/>
    <w:rsid w:val="00FA41A8"/>
    <w:rsid w:val="00FA41B3"/>
    <w:rsid w:val="00FA4230"/>
    <w:rsid w:val="00FA423C"/>
    <w:rsid w:val="00FA4254"/>
    <w:rsid w:val="00FA425F"/>
    <w:rsid w:val="00FA4282"/>
    <w:rsid w:val="00FA4286"/>
    <w:rsid w:val="00FA4363"/>
    <w:rsid w:val="00FA4386"/>
    <w:rsid w:val="00FA4388"/>
    <w:rsid w:val="00FA43D9"/>
    <w:rsid w:val="00FA43DA"/>
    <w:rsid w:val="00FA440A"/>
    <w:rsid w:val="00FA4421"/>
    <w:rsid w:val="00FA4424"/>
    <w:rsid w:val="00FA4484"/>
    <w:rsid w:val="00FA4494"/>
    <w:rsid w:val="00FA44C0"/>
    <w:rsid w:val="00FA44FD"/>
    <w:rsid w:val="00FA450F"/>
    <w:rsid w:val="00FA4525"/>
    <w:rsid w:val="00FA4557"/>
    <w:rsid w:val="00FA458A"/>
    <w:rsid w:val="00FA45A5"/>
    <w:rsid w:val="00FA45B0"/>
    <w:rsid w:val="00FA45EB"/>
    <w:rsid w:val="00FA45FC"/>
    <w:rsid w:val="00FA4624"/>
    <w:rsid w:val="00FA4646"/>
    <w:rsid w:val="00FA46C6"/>
    <w:rsid w:val="00FA470E"/>
    <w:rsid w:val="00FA4725"/>
    <w:rsid w:val="00FA4729"/>
    <w:rsid w:val="00FA473A"/>
    <w:rsid w:val="00FA475A"/>
    <w:rsid w:val="00FA4892"/>
    <w:rsid w:val="00FA48FD"/>
    <w:rsid w:val="00FA492D"/>
    <w:rsid w:val="00FA4976"/>
    <w:rsid w:val="00FA49A7"/>
    <w:rsid w:val="00FA4A19"/>
    <w:rsid w:val="00FA4AA1"/>
    <w:rsid w:val="00FA4AF6"/>
    <w:rsid w:val="00FA4B36"/>
    <w:rsid w:val="00FA4B98"/>
    <w:rsid w:val="00FA4B9D"/>
    <w:rsid w:val="00FA4C00"/>
    <w:rsid w:val="00FA4C18"/>
    <w:rsid w:val="00FA4C25"/>
    <w:rsid w:val="00FA4C34"/>
    <w:rsid w:val="00FA4C52"/>
    <w:rsid w:val="00FA4C60"/>
    <w:rsid w:val="00FA4C6B"/>
    <w:rsid w:val="00FA4CE0"/>
    <w:rsid w:val="00FA4D24"/>
    <w:rsid w:val="00FA4D46"/>
    <w:rsid w:val="00FA4D4B"/>
    <w:rsid w:val="00FA4D74"/>
    <w:rsid w:val="00FA4D92"/>
    <w:rsid w:val="00FA4E19"/>
    <w:rsid w:val="00FA4E21"/>
    <w:rsid w:val="00FA4E4B"/>
    <w:rsid w:val="00FA4ED6"/>
    <w:rsid w:val="00FA4EF7"/>
    <w:rsid w:val="00FA4F38"/>
    <w:rsid w:val="00FA4F67"/>
    <w:rsid w:val="00FA4FAB"/>
    <w:rsid w:val="00FA4FDA"/>
    <w:rsid w:val="00FA5040"/>
    <w:rsid w:val="00FA5058"/>
    <w:rsid w:val="00FA505B"/>
    <w:rsid w:val="00FA50A7"/>
    <w:rsid w:val="00FA50C3"/>
    <w:rsid w:val="00FA50F8"/>
    <w:rsid w:val="00FA51C3"/>
    <w:rsid w:val="00FA51F5"/>
    <w:rsid w:val="00FA5223"/>
    <w:rsid w:val="00FA5282"/>
    <w:rsid w:val="00FA52B9"/>
    <w:rsid w:val="00FA52F8"/>
    <w:rsid w:val="00FA52FB"/>
    <w:rsid w:val="00FA5334"/>
    <w:rsid w:val="00FA53A9"/>
    <w:rsid w:val="00FA5474"/>
    <w:rsid w:val="00FA54C5"/>
    <w:rsid w:val="00FA54C6"/>
    <w:rsid w:val="00FA5530"/>
    <w:rsid w:val="00FA559A"/>
    <w:rsid w:val="00FA560C"/>
    <w:rsid w:val="00FA5668"/>
    <w:rsid w:val="00FA5729"/>
    <w:rsid w:val="00FA5791"/>
    <w:rsid w:val="00FA581F"/>
    <w:rsid w:val="00FA5846"/>
    <w:rsid w:val="00FA5868"/>
    <w:rsid w:val="00FA58A8"/>
    <w:rsid w:val="00FA58F3"/>
    <w:rsid w:val="00FA590C"/>
    <w:rsid w:val="00FA593E"/>
    <w:rsid w:val="00FA5975"/>
    <w:rsid w:val="00FA59D3"/>
    <w:rsid w:val="00FA59D5"/>
    <w:rsid w:val="00FA59ED"/>
    <w:rsid w:val="00FA5A46"/>
    <w:rsid w:val="00FA5A53"/>
    <w:rsid w:val="00FA5A63"/>
    <w:rsid w:val="00FA5A9D"/>
    <w:rsid w:val="00FA5B25"/>
    <w:rsid w:val="00FA5B94"/>
    <w:rsid w:val="00FA5BCF"/>
    <w:rsid w:val="00FA5BE1"/>
    <w:rsid w:val="00FA5C05"/>
    <w:rsid w:val="00FA5C2F"/>
    <w:rsid w:val="00FA5C84"/>
    <w:rsid w:val="00FA5CA0"/>
    <w:rsid w:val="00FA5CEC"/>
    <w:rsid w:val="00FA5D09"/>
    <w:rsid w:val="00FA5D76"/>
    <w:rsid w:val="00FA5DC8"/>
    <w:rsid w:val="00FA5FB0"/>
    <w:rsid w:val="00FA6099"/>
    <w:rsid w:val="00FA60C9"/>
    <w:rsid w:val="00FA6100"/>
    <w:rsid w:val="00FA6119"/>
    <w:rsid w:val="00FA61DE"/>
    <w:rsid w:val="00FA624B"/>
    <w:rsid w:val="00FA6250"/>
    <w:rsid w:val="00FA6275"/>
    <w:rsid w:val="00FA62AD"/>
    <w:rsid w:val="00FA62E8"/>
    <w:rsid w:val="00FA62FC"/>
    <w:rsid w:val="00FA632F"/>
    <w:rsid w:val="00FA6385"/>
    <w:rsid w:val="00FA63CC"/>
    <w:rsid w:val="00FA63D6"/>
    <w:rsid w:val="00FA641A"/>
    <w:rsid w:val="00FA6485"/>
    <w:rsid w:val="00FA64B6"/>
    <w:rsid w:val="00FA6532"/>
    <w:rsid w:val="00FA653C"/>
    <w:rsid w:val="00FA653D"/>
    <w:rsid w:val="00FA654C"/>
    <w:rsid w:val="00FA656A"/>
    <w:rsid w:val="00FA65B7"/>
    <w:rsid w:val="00FA65C0"/>
    <w:rsid w:val="00FA6632"/>
    <w:rsid w:val="00FA6640"/>
    <w:rsid w:val="00FA664C"/>
    <w:rsid w:val="00FA66D1"/>
    <w:rsid w:val="00FA6756"/>
    <w:rsid w:val="00FA6798"/>
    <w:rsid w:val="00FA680D"/>
    <w:rsid w:val="00FA684C"/>
    <w:rsid w:val="00FA6889"/>
    <w:rsid w:val="00FA6894"/>
    <w:rsid w:val="00FA689C"/>
    <w:rsid w:val="00FA68C7"/>
    <w:rsid w:val="00FA68DC"/>
    <w:rsid w:val="00FA6950"/>
    <w:rsid w:val="00FA695C"/>
    <w:rsid w:val="00FA6962"/>
    <w:rsid w:val="00FA6994"/>
    <w:rsid w:val="00FA69CE"/>
    <w:rsid w:val="00FA6A13"/>
    <w:rsid w:val="00FA6A2E"/>
    <w:rsid w:val="00FA6A50"/>
    <w:rsid w:val="00FA6A5A"/>
    <w:rsid w:val="00FA6A69"/>
    <w:rsid w:val="00FA6AB6"/>
    <w:rsid w:val="00FA6ABC"/>
    <w:rsid w:val="00FA6AEF"/>
    <w:rsid w:val="00FA6B44"/>
    <w:rsid w:val="00FA6B48"/>
    <w:rsid w:val="00FA6B92"/>
    <w:rsid w:val="00FA6BAC"/>
    <w:rsid w:val="00FA6BB0"/>
    <w:rsid w:val="00FA6BC1"/>
    <w:rsid w:val="00FA6C33"/>
    <w:rsid w:val="00FA6C61"/>
    <w:rsid w:val="00FA6C63"/>
    <w:rsid w:val="00FA6C73"/>
    <w:rsid w:val="00FA6C94"/>
    <w:rsid w:val="00FA6CC6"/>
    <w:rsid w:val="00FA6D8B"/>
    <w:rsid w:val="00FA6D99"/>
    <w:rsid w:val="00FA6DFE"/>
    <w:rsid w:val="00FA6E11"/>
    <w:rsid w:val="00FA6E53"/>
    <w:rsid w:val="00FA6E9D"/>
    <w:rsid w:val="00FA6EA4"/>
    <w:rsid w:val="00FA6EC7"/>
    <w:rsid w:val="00FA6ED8"/>
    <w:rsid w:val="00FA6ED9"/>
    <w:rsid w:val="00FA6F13"/>
    <w:rsid w:val="00FA6F32"/>
    <w:rsid w:val="00FA6F3E"/>
    <w:rsid w:val="00FA6FEA"/>
    <w:rsid w:val="00FA7001"/>
    <w:rsid w:val="00FA7002"/>
    <w:rsid w:val="00FA7003"/>
    <w:rsid w:val="00FA700D"/>
    <w:rsid w:val="00FA7023"/>
    <w:rsid w:val="00FA7024"/>
    <w:rsid w:val="00FA703B"/>
    <w:rsid w:val="00FA7057"/>
    <w:rsid w:val="00FA7063"/>
    <w:rsid w:val="00FA706D"/>
    <w:rsid w:val="00FA714E"/>
    <w:rsid w:val="00FA715E"/>
    <w:rsid w:val="00FA717E"/>
    <w:rsid w:val="00FA71BC"/>
    <w:rsid w:val="00FA7219"/>
    <w:rsid w:val="00FA7236"/>
    <w:rsid w:val="00FA729F"/>
    <w:rsid w:val="00FA72AD"/>
    <w:rsid w:val="00FA730D"/>
    <w:rsid w:val="00FA735D"/>
    <w:rsid w:val="00FA7396"/>
    <w:rsid w:val="00FA741A"/>
    <w:rsid w:val="00FA7473"/>
    <w:rsid w:val="00FA74EE"/>
    <w:rsid w:val="00FA7521"/>
    <w:rsid w:val="00FA7531"/>
    <w:rsid w:val="00FA7532"/>
    <w:rsid w:val="00FA7548"/>
    <w:rsid w:val="00FA755E"/>
    <w:rsid w:val="00FA7574"/>
    <w:rsid w:val="00FA758F"/>
    <w:rsid w:val="00FA764C"/>
    <w:rsid w:val="00FA7654"/>
    <w:rsid w:val="00FA76BE"/>
    <w:rsid w:val="00FA76E2"/>
    <w:rsid w:val="00FA7749"/>
    <w:rsid w:val="00FA774D"/>
    <w:rsid w:val="00FA77C7"/>
    <w:rsid w:val="00FA77EF"/>
    <w:rsid w:val="00FA77FA"/>
    <w:rsid w:val="00FA787A"/>
    <w:rsid w:val="00FA7891"/>
    <w:rsid w:val="00FA78A1"/>
    <w:rsid w:val="00FA78CE"/>
    <w:rsid w:val="00FA790C"/>
    <w:rsid w:val="00FA7914"/>
    <w:rsid w:val="00FA7954"/>
    <w:rsid w:val="00FA7962"/>
    <w:rsid w:val="00FA798B"/>
    <w:rsid w:val="00FA7A08"/>
    <w:rsid w:val="00FA7A41"/>
    <w:rsid w:val="00FA7BA0"/>
    <w:rsid w:val="00FA7BB5"/>
    <w:rsid w:val="00FA7BDB"/>
    <w:rsid w:val="00FA7C18"/>
    <w:rsid w:val="00FA7C19"/>
    <w:rsid w:val="00FA7C31"/>
    <w:rsid w:val="00FA7CC2"/>
    <w:rsid w:val="00FA7CFB"/>
    <w:rsid w:val="00FA7DA8"/>
    <w:rsid w:val="00FA7DD1"/>
    <w:rsid w:val="00FA7E11"/>
    <w:rsid w:val="00FA7E8F"/>
    <w:rsid w:val="00FA7EEC"/>
    <w:rsid w:val="00FA7F44"/>
    <w:rsid w:val="00FA7F50"/>
    <w:rsid w:val="00FB0081"/>
    <w:rsid w:val="00FB00AD"/>
    <w:rsid w:val="00FB00C2"/>
    <w:rsid w:val="00FB0162"/>
    <w:rsid w:val="00FB016A"/>
    <w:rsid w:val="00FB01AA"/>
    <w:rsid w:val="00FB01AB"/>
    <w:rsid w:val="00FB01B2"/>
    <w:rsid w:val="00FB01C5"/>
    <w:rsid w:val="00FB01FD"/>
    <w:rsid w:val="00FB0262"/>
    <w:rsid w:val="00FB026B"/>
    <w:rsid w:val="00FB0293"/>
    <w:rsid w:val="00FB02A7"/>
    <w:rsid w:val="00FB02CC"/>
    <w:rsid w:val="00FB0370"/>
    <w:rsid w:val="00FB0377"/>
    <w:rsid w:val="00FB038F"/>
    <w:rsid w:val="00FB03B2"/>
    <w:rsid w:val="00FB03B9"/>
    <w:rsid w:val="00FB03C5"/>
    <w:rsid w:val="00FB03CE"/>
    <w:rsid w:val="00FB03FB"/>
    <w:rsid w:val="00FB0480"/>
    <w:rsid w:val="00FB04C9"/>
    <w:rsid w:val="00FB0546"/>
    <w:rsid w:val="00FB05B3"/>
    <w:rsid w:val="00FB062F"/>
    <w:rsid w:val="00FB065D"/>
    <w:rsid w:val="00FB0667"/>
    <w:rsid w:val="00FB06CE"/>
    <w:rsid w:val="00FB0738"/>
    <w:rsid w:val="00FB077B"/>
    <w:rsid w:val="00FB080F"/>
    <w:rsid w:val="00FB084A"/>
    <w:rsid w:val="00FB088D"/>
    <w:rsid w:val="00FB089F"/>
    <w:rsid w:val="00FB0928"/>
    <w:rsid w:val="00FB0956"/>
    <w:rsid w:val="00FB09C1"/>
    <w:rsid w:val="00FB0A6A"/>
    <w:rsid w:val="00FB0A82"/>
    <w:rsid w:val="00FB0A96"/>
    <w:rsid w:val="00FB0AFB"/>
    <w:rsid w:val="00FB0B40"/>
    <w:rsid w:val="00FB0B4C"/>
    <w:rsid w:val="00FB0B8A"/>
    <w:rsid w:val="00FB0B95"/>
    <w:rsid w:val="00FB0BA9"/>
    <w:rsid w:val="00FB0BD3"/>
    <w:rsid w:val="00FB0BD6"/>
    <w:rsid w:val="00FB0C75"/>
    <w:rsid w:val="00FB0CD9"/>
    <w:rsid w:val="00FB0CF3"/>
    <w:rsid w:val="00FB0D96"/>
    <w:rsid w:val="00FB0DA8"/>
    <w:rsid w:val="00FB0DB0"/>
    <w:rsid w:val="00FB0DC3"/>
    <w:rsid w:val="00FB0E01"/>
    <w:rsid w:val="00FB0E4A"/>
    <w:rsid w:val="00FB0E80"/>
    <w:rsid w:val="00FB0E8B"/>
    <w:rsid w:val="00FB0EAD"/>
    <w:rsid w:val="00FB0EC6"/>
    <w:rsid w:val="00FB0ED0"/>
    <w:rsid w:val="00FB0ED8"/>
    <w:rsid w:val="00FB0EE7"/>
    <w:rsid w:val="00FB0F39"/>
    <w:rsid w:val="00FB0FD1"/>
    <w:rsid w:val="00FB1036"/>
    <w:rsid w:val="00FB1067"/>
    <w:rsid w:val="00FB107B"/>
    <w:rsid w:val="00FB1081"/>
    <w:rsid w:val="00FB10F7"/>
    <w:rsid w:val="00FB10FB"/>
    <w:rsid w:val="00FB110E"/>
    <w:rsid w:val="00FB1130"/>
    <w:rsid w:val="00FB122C"/>
    <w:rsid w:val="00FB123D"/>
    <w:rsid w:val="00FB1242"/>
    <w:rsid w:val="00FB12F0"/>
    <w:rsid w:val="00FB1319"/>
    <w:rsid w:val="00FB13D0"/>
    <w:rsid w:val="00FB1410"/>
    <w:rsid w:val="00FB1443"/>
    <w:rsid w:val="00FB144D"/>
    <w:rsid w:val="00FB14D2"/>
    <w:rsid w:val="00FB1528"/>
    <w:rsid w:val="00FB1559"/>
    <w:rsid w:val="00FB1564"/>
    <w:rsid w:val="00FB1583"/>
    <w:rsid w:val="00FB15D3"/>
    <w:rsid w:val="00FB15E8"/>
    <w:rsid w:val="00FB1604"/>
    <w:rsid w:val="00FB1636"/>
    <w:rsid w:val="00FB164A"/>
    <w:rsid w:val="00FB16B4"/>
    <w:rsid w:val="00FB16BA"/>
    <w:rsid w:val="00FB16E1"/>
    <w:rsid w:val="00FB16FF"/>
    <w:rsid w:val="00FB172B"/>
    <w:rsid w:val="00FB186B"/>
    <w:rsid w:val="00FB188D"/>
    <w:rsid w:val="00FB18A2"/>
    <w:rsid w:val="00FB18BA"/>
    <w:rsid w:val="00FB1927"/>
    <w:rsid w:val="00FB1970"/>
    <w:rsid w:val="00FB19D2"/>
    <w:rsid w:val="00FB19FB"/>
    <w:rsid w:val="00FB1A39"/>
    <w:rsid w:val="00FB1A4F"/>
    <w:rsid w:val="00FB1AB5"/>
    <w:rsid w:val="00FB1B66"/>
    <w:rsid w:val="00FB1B74"/>
    <w:rsid w:val="00FB1B85"/>
    <w:rsid w:val="00FB1B89"/>
    <w:rsid w:val="00FB1B99"/>
    <w:rsid w:val="00FB1BC9"/>
    <w:rsid w:val="00FB1C15"/>
    <w:rsid w:val="00FB1C18"/>
    <w:rsid w:val="00FB1C2F"/>
    <w:rsid w:val="00FB1C84"/>
    <w:rsid w:val="00FB1C9E"/>
    <w:rsid w:val="00FB1D85"/>
    <w:rsid w:val="00FB1D9B"/>
    <w:rsid w:val="00FB1DA1"/>
    <w:rsid w:val="00FB1DC6"/>
    <w:rsid w:val="00FB1DD7"/>
    <w:rsid w:val="00FB1DDD"/>
    <w:rsid w:val="00FB1E09"/>
    <w:rsid w:val="00FB1EC4"/>
    <w:rsid w:val="00FB1ED8"/>
    <w:rsid w:val="00FB1EF2"/>
    <w:rsid w:val="00FB1F2C"/>
    <w:rsid w:val="00FB1F76"/>
    <w:rsid w:val="00FB1FAF"/>
    <w:rsid w:val="00FB1FE1"/>
    <w:rsid w:val="00FB2011"/>
    <w:rsid w:val="00FB2083"/>
    <w:rsid w:val="00FB20A4"/>
    <w:rsid w:val="00FB20BD"/>
    <w:rsid w:val="00FB20D2"/>
    <w:rsid w:val="00FB20E5"/>
    <w:rsid w:val="00FB2114"/>
    <w:rsid w:val="00FB2172"/>
    <w:rsid w:val="00FB2182"/>
    <w:rsid w:val="00FB2194"/>
    <w:rsid w:val="00FB21D8"/>
    <w:rsid w:val="00FB21DC"/>
    <w:rsid w:val="00FB21EC"/>
    <w:rsid w:val="00FB21EF"/>
    <w:rsid w:val="00FB21F0"/>
    <w:rsid w:val="00FB2205"/>
    <w:rsid w:val="00FB2222"/>
    <w:rsid w:val="00FB227A"/>
    <w:rsid w:val="00FB228A"/>
    <w:rsid w:val="00FB22C2"/>
    <w:rsid w:val="00FB2304"/>
    <w:rsid w:val="00FB2361"/>
    <w:rsid w:val="00FB2364"/>
    <w:rsid w:val="00FB236F"/>
    <w:rsid w:val="00FB2385"/>
    <w:rsid w:val="00FB239A"/>
    <w:rsid w:val="00FB240C"/>
    <w:rsid w:val="00FB247E"/>
    <w:rsid w:val="00FB2483"/>
    <w:rsid w:val="00FB24D0"/>
    <w:rsid w:val="00FB24E4"/>
    <w:rsid w:val="00FB2559"/>
    <w:rsid w:val="00FB25BC"/>
    <w:rsid w:val="00FB25C5"/>
    <w:rsid w:val="00FB25D5"/>
    <w:rsid w:val="00FB25E1"/>
    <w:rsid w:val="00FB2612"/>
    <w:rsid w:val="00FB2666"/>
    <w:rsid w:val="00FB2690"/>
    <w:rsid w:val="00FB26B0"/>
    <w:rsid w:val="00FB272B"/>
    <w:rsid w:val="00FB2740"/>
    <w:rsid w:val="00FB275E"/>
    <w:rsid w:val="00FB2788"/>
    <w:rsid w:val="00FB27A0"/>
    <w:rsid w:val="00FB27A7"/>
    <w:rsid w:val="00FB280E"/>
    <w:rsid w:val="00FB2824"/>
    <w:rsid w:val="00FB2845"/>
    <w:rsid w:val="00FB2884"/>
    <w:rsid w:val="00FB2929"/>
    <w:rsid w:val="00FB293F"/>
    <w:rsid w:val="00FB2971"/>
    <w:rsid w:val="00FB2980"/>
    <w:rsid w:val="00FB2991"/>
    <w:rsid w:val="00FB2A06"/>
    <w:rsid w:val="00FB2A10"/>
    <w:rsid w:val="00FB2A2E"/>
    <w:rsid w:val="00FB2A5F"/>
    <w:rsid w:val="00FB2AB0"/>
    <w:rsid w:val="00FB2AFB"/>
    <w:rsid w:val="00FB2B70"/>
    <w:rsid w:val="00FB2BF0"/>
    <w:rsid w:val="00FB2BF5"/>
    <w:rsid w:val="00FB2BFB"/>
    <w:rsid w:val="00FB2C11"/>
    <w:rsid w:val="00FB2C4A"/>
    <w:rsid w:val="00FB2C8B"/>
    <w:rsid w:val="00FB2CDB"/>
    <w:rsid w:val="00FB2D23"/>
    <w:rsid w:val="00FB2D58"/>
    <w:rsid w:val="00FB2DFC"/>
    <w:rsid w:val="00FB2E4C"/>
    <w:rsid w:val="00FB2E6F"/>
    <w:rsid w:val="00FB2E8C"/>
    <w:rsid w:val="00FB2E95"/>
    <w:rsid w:val="00FB2EB0"/>
    <w:rsid w:val="00FB2ED3"/>
    <w:rsid w:val="00FB2EE9"/>
    <w:rsid w:val="00FB2F18"/>
    <w:rsid w:val="00FB2F1D"/>
    <w:rsid w:val="00FB2F7A"/>
    <w:rsid w:val="00FB2F8F"/>
    <w:rsid w:val="00FB2FC7"/>
    <w:rsid w:val="00FB3007"/>
    <w:rsid w:val="00FB301D"/>
    <w:rsid w:val="00FB3042"/>
    <w:rsid w:val="00FB3051"/>
    <w:rsid w:val="00FB30C7"/>
    <w:rsid w:val="00FB3101"/>
    <w:rsid w:val="00FB310D"/>
    <w:rsid w:val="00FB312F"/>
    <w:rsid w:val="00FB3147"/>
    <w:rsid w:val="00FB3170"/>
    <w:rsid w:val="00FB3219"/>
    <w:rsid w:val="00FB321E"/>
    <w:rsid w:val="00FB3239"/>
    <w:rsid w:val="00FB323A"/>
    <w:rsid w:val="00FB3254"/>
    <w:rsid w:val="00FB326E"/>
    <w:rsid w:val="00FB3316"/>
    <w:rsid w:val="00FB3355"/>
    <w:rsid w:val="00FB33C8"/>
    <w:rsid w:val="00FB342C"/>
    <w:rsid w:val="00FB342E"/>
    <w:rsid w:val="00FB3486"/>
    <w:rsid w:val="00FB3491"/>
    <w:rsid w:val="00FB3495"/>
    <w:rsid w:val="00FB34F2"/>
    <w:rsid w:val="00FB351C"/>
    <w:rsid w:val="00FB3555"/>
    <w:rsid w:val="00FB3569"/>
    <w:rsid w:val="00FB356D"/>
    <w:rsid w:val="00FB35A0"/>
    <w:rsid w:val="00FB35AD"/>
    <w:rsid w:val="00FB360D"/>
    <w:rsid w:val="00FB3630"/>
    <w:rsid w:val="00FB3672"/>
    <w:rsid w:val="00FB36EC"/>
    <w:rsid w:val="00FB3745"/>
    <w:rsid w:val="00FB376F"/>
    <w:rsid w:val="00FB37EA"/>
    <w:rsid w:val="00FB37F2"/>
    <w:rsid w:val="00FB37FE"/>
    <w:rsid w:val="00FB383E"/>
    <w:rsid w:val="00FB3886"/>
    <w:rsid w:val="00FB389A"/>
    <w:rsid w:val="00FB38F9"/>
    <w:rsid w:val="00FB3908"/>
    <w:rsid w:val="00FB3932"/>
    <w:rsid w:val="00FB395C"/>
    <w:rsid w:val="00FB3988"/>
    <w:rsid w:val="00FB39A4"/>
    <w:rsid w:val="00FB39A7"/>
    <w:rsid w:val="00FB3A26"/>
    <w:rsid w:val="00FB3A6C"/>
    <w:rsid w:val="00FB3A8A"/>
    <w:rsid w:val="00FB3AF2"/>
    <w:rsid w:val="00FB3B08"/>
    <w:rsid w:val="00FB3B19"/>
    <w:rsid w:val="00FB3BA0"/>
    <w:rsid w:val="00FB3C14"/>
    <w:rsid w:val="00FB3C31"/>
    <w:rsid w:val="00FB3C48"/>
    <w:rsid w:val="00FB3C62"/>
    <w:rsid w:val="00FB3C76"/>
    <w:rsid w:val="00FB3C77"/>
    <w:rsid w:val="00FB3C7D"/>
    <w:rsid w:val="00FB3CA4"/>
    <w:rsid w:val="00FB3CFC"/>
    <w:rsid w:val="00FB3D4D"/>
    <w:rsid w:val="00FB3D71"/>
    <w:rsid w:val="00FB3D96"/>
    <w:rsid w:val="00FB3DC5"/>
    <w:rsid w:val="00FB3DE2"/>
    <w:rsid w:val="00FB3DFB"/>
    <w:rsid w:val="00FB3F21"/>
    <w:rsid w:val="00FB3F2B"/>
    <w:rsid w:val="00FB3F57"/>
    <w:rsid w:val="00FB3F59"/>
    <w:rsid w:val="00FB3F65"/>
    <w:rsid w:val="00FB3F87"/>
    <w:rsid w:val="00FB3FE2"/>
    <w:rsid w:val="00FB3FE6"/>
    <w:rsid w:val="00FB3FE9"/>
    <w:rsid w:val="00FB3FEF"/>
    <w:rsid w:val="00FB3FF2"/>
    <w:rsid w:val="00FB4011"/>
    <w:rsid w:val="00FB401A"/>
    <w:rsid w:val="00FB4088"/>
    <w:rsid w:val="00FB40BC"/>
    <w:rsid w:val="00FB4151"/>
    <w:rsid w:val="00FB41AE"/>
    <w:rsid w:val="00FB41BD"/>
    <w:rsid w:val="00FB41FD"/>
    <w:rsid w:val="00FB4209"/>
    <w:rsid w:val="00FB42A2"/>
    <w:rsid w:val="00FB42C4"/>
    <w:rsid w:val="00FB42C7"/>
    <w:rsid w:val="00FB42E9"/>
    <w:rsid w:val="00FB4320"/>
    <w:rsid w:val="00FB4343"/>
    <w:rsid w:val="00FB438D"/>
    <w:rsid w:val="00FB4397"/>
    <w:rsid w:val="00FB43F4"/>
    <w:rsid w:val="00FB43F7"/>
    <w:rsid w:val="00FB4411"/>
    <w:rsid w:val="00FB4417"/>
    <w:rsid w:val="00FB4446"/>
    <w:rsid w:val="00FB4451"/>
    <w:rsid w:val="00FB4453"/>
    <w:rsid w:val="00FB448F"/>
    <w:rsid w:val="00FB4499"/>
    <w:rsid w:val="00FB4565"/>
    <w:rsid w:val="00FB4566"/>
    <w:rsid w:val="00FB459D"/>
    <w:rsid w:val="00FB4635"/>
    <w:rsid w:val="00FB4641"/>
    <w:rsid w:val="00FB464D"/>
    <w:rsid w:val="00FB46D2"/>
    <w:rsid w:val="00FB46D4"/>
    <w:rsid w:val="00FB4705"/>
    <w:rsid w:val="00FB477F"/>
    <w:rsid w:val="00FB4783"/>
    <w:rsid w:val="00FB4785"/>
    <w:rsid w:val="00FB47DB"/>
    <w:rsid w:val="00FB482C"/>
    <w:rsid w:val="00FB484D"/>
    <w:rsid w:val="00FB48D6"/>
    <w:rsid w:val="00FB48E9"/>
    <w:rsid w:val="00FB490F"/>
    <w:rsid w:val="00FB496B"/>
    <w:rsid w:val="00FB4974"/>
    <w:rsid w:val="00FB49A5"/>
    <w:rsid w:val="00FB49CB"/>
    <w:rsid w:val="00FB4A04"/>
    <w:rsid w:val="00FB4A3A"/>
    <w:rsid w:val="00FB4A5D"/>
    <w:rsid w:val="00FB4A70"/>
    <w:rsid w:val="00FB4A96"/>
    <w:rsid w:val="00FB4AA6"/>
    <w:rsid w:val="00FB4AFA"/>
    <w:rsid w:val="00FB4AFD"/>
    <w:rsid w:val="00FB4B01"/>
    <w:rsid w:val="00FB4BEA"/>
    <w:rsid w:val="00FB4C17"/>
    <w:rsid w:val="00FB4C2F"/>
    <w:rsid w:val="00FB4CA8"/>
    <w:rsid w:val="00FB4CB5"/>
    <w:rsid w:val="00FB4D03"/>
    <w:rsid w:val="00FB4D21"/>
    <w:rsid w:val="00FB4D4C"/>
    <w:rsid w:val="00FB4D86"/>
    <w:rsid w:val="00FB4DA9"/>
    <w:rsid w:val="00FB4E0C"/>
    <w:rsid w:val="00FB4E10"/>
    <w:rsid w:val="00FB4E8A"/>
    <w:rsid w:val="00FB4EA3"/>
    <w:rsid w:val="00FB4EB6"/>
    <w:rsid w:val="00FB4F24"/>
    <w:rsid w:val="00FB4F43"/>
    <w:rsid w:val="00FB4F80"/>
    <w:rsid w:val="00FB4FCB"/>
    <w:rsid w:val="00FB4FEF"/>
    <w:rsid w:val="00FB4FF4"/>
    <w:rsid w:val="00FB4FFA"/>
    <w:rsid w:val="00FB4FFC"/>
    <w:rsid w:val="00FB505E"/>
    <w:rsid w:val="00FB507A"/>
    <w:rsid w:val="00FB50B0"/>
    <w:rsid w:val="00FB50FB"/>
    <w:rsid w:val="00FB5101"/>
    <w:rsid w:val="00FB510D"/>
    <w:rsid w:val="00FB5135"/>
    <w:rsid w:val="00FB5161"/>
    <w:rsid w:val="00FB519B"/>
    <w:rsid w:val="00FB51B2"/>
    <w:rsid w:val="00FB51F5"/>
    <w:rsid w:val="00FB5212"/>
    <w:rsid w:val="00FB521F"/>
    <w:rsid w:val="00FB523E"/>
    <w:rsid w:val="00FB524D"/>
    <w:rsid w:val="00FB525D"/>
    <w:rsid w:val="00FB52CE"/>
    <w:rsid w:val="00FB52E9"/>
    <w:rsid w:val="00FB5328"/>
    <w:rsid w:val="00FB5329"/>
    <w:rsid w:val="00FB5363"/>
    <w:rsid w:val="00FB53CE"/>
    <w:rsid w:val="00FB5443"/>
    <w:rsid w:val="00FB54A4"/>
    <w:rsid w:val="00FB54BF"/>
    <w:rsid w:val="00FB5511"/>
    <w:rsid w:val="00FB5530"/>
    <w:rsid w:val="00FB5553"/>
    <w:rsid w:val="00FB55B8"/>
    <w:rsid w:val="00FB55FF"/>
    <w:rsid w:val="00FB5624"/>
    <w:rsid w:val="00FB562A"/>
    <w:rsid w:val="00FB563A"/>
    <w:rsid w:val="00FB5659"/>
    <w:rsid w:val="00FB56B8"/>
    <w:rsid w:val="00FB56C9"/>
    <w:rsid w:val="00FB56DA"/>
    <w:rsid w:val="00FB56E3"/>
    <w:rsid w:val="00FB5700"/>
    <w:rsid w:val="00FB5730"/>
    <w:rsid w:val="00FB57D6"/>
    <w:rsid w:val="00FB5873"/>
    <w:rsid w:val="00FB58BA"/>
    <w:rsid w:val="00FB5949"/>
    <w:rsid w:val="00FB59A6"/>
    <w:rsid w:val="00FB59E7"/>
    <w:rsid w:val="00FB5A32"/>
    <w:rsid w:val="00FB5A3F"/>
    <w:rsid w:val="00FB5ABA"/>
    <w:rsid w:val="00FB5AEB"/>
    <w:rsid w:val="00FB5AF1"/>
    <w:rsid w:val="00FB5B69"/>
    <w:rsid w:val="00FB5B95"/>
    <w:rsid w:val="00FB5BCD"/>
    <w:rsid w:val="00FB5BF6"/>
    <w:rsid w:val="00FB5C37"/>
    <w:rsid w:val="00FB5D3B"/>
    <w:rsid w:val="00FB5D3D"/>
    <w:rsid w:val="00FB5DA7"/>
    <w:rsid w:val="00FB5DC5"/>
    <w:rsid w:val="00FB5DC6"/>
    <w:rsid w:val="00FB5DCF"/>
    <w:rsid w:val="00FB5DD0"/>
    <w:rsid w:val="00FB5E47"/>
    <w:rsid w:val="00FB5E6B"/>
    <w:rsid w:val="00FB5F04"/>
    <w:rsid w:val="00FB5F18"/>
    <w:rsid w:val="00FB5F45"/>
    <w:rsid w:val="00FB5F90"/>
    <w:rsid w:val="00FB5FA8"/>
    <w:rsid w:val="00FB5FB8"/>
    <w:rsid w:val="00FB6004"/>
    <w:rsid w:val="00FB6012"/>
    <w:rsid w:val="00FB6034"/>
    <w:rsid w:val="00FB6059"/>
    <w:rsid w:val="00FB606F"/>
    <w:rsid w:val="00FB609B"/>
    <w:rsid w:val="00FB60A5"/>
    <w:rsid w:val="00FB60CC"/>
    <w:rsid w:val="00FB60F3"/>
    <w:rsid w:val="00FB6102"/>
    <w:rsid w:val="00FB612F"/>
    <w:rsid w:val="00FB6163"/>
    <w:rsid w:val="00FB618F"/>
    <w:rsid w:val="00FB61A8"/>
    <w:rsid w:val="00FB61B2"/>
    <w:rsid w:val="00FB61D1"/>
    <w:rsid w:val="00FB61E8"/>
    <w:rsid w:val="00FB620F"/>
    <w:rsid w:val="00FB624A"/>
    <w:rsid w:val="00FB6277"/>
    <w:rsid w:val="00FB62AE"/>
    <w:rsid w:val="00FB62D0"/>
    <w:rsid w:val="00FB62D1"/>
    <w:rsid w:val="00FB62E5"/>
    <w:rsid w:val="00FB6325"/>
    <w:rsid w:val="00FB634A"/>
    <w:rsid w:val="00FB635F"/>
    <w:rsid w:val="00FB6390"/>
    <w:rsid w:val="00FB6397"/>
    <w:rsid w:val="00FB63A2"/>
    <w:rsid w:val="00FB63A7"/>
    <w:rsid w:val="00FB63AC"/>
    <w:rsid w:val="00FB63CA"/>
    <w:rsid w:val="00FB6477"/>
    <w:rsid w:val="00FB6491"/>
    <w:rsid w:val="00FB64CD"/>
    <w:rsid w:val="00FB64D8"/>
    <w:rsid w:val="00FB64E9"/>
    <w:rsid w:val="00FB64EF"/>
    <w:rsid w:val="00FB64F2"/>
    <w:rsid w:val="00FB64F7"/>
    <w:rsid w:val="00FB6548"/>
    <w:rsid w:val="00FB6557"/>
    <w:rsid w:val="00FB6559"/>
    <w:rsid w:val="00FB657F"/>
    <w:rsid w:val="00FB6593"/>
    <w:rsid w:val="00FB65AD"/>
    <w:rsid w:val="00FB65B8"/>
    <w:rsid w:val="00FB65BF"/>
    <w:rsid w:val="00FB65C6"/>
    <w:rsid w:val="00FB65E5"/>
    <w:rsid w:val="00FB65E6"/>
    <w:rsid w:val="00FB65F3"/>
    <w:rsid w:val="00FB660A"/>
    <w:rsid w:val="00FB6644"/>
    <w:rsid w:val="00FB6654"/>
    <w:rsid w:val="00FB674E"/>
    <w:rsid w:val="00FB67A6"/>
    <w:rsid w:val="00FB67B6"/>
    <w:rsid w:val="00FB67D1"/>
    <w:rsid w:val="00FB67D8"/>
    <w:rsid w:val="00FB6821"/>
    <w:rsid w:val="00FB6826"/>
    <w:rsid w:val="00FB6886"/>
    <w:rsid w:val="00FB68BE"/>
    <w:rsid w:val="00FB68D1"/>
    <w:rsid w:val="00FB68E4"/>
    <w:rsid w:val="00FB68EA"/>
    <w:rsid w:val="00FB6919"/>
    <w:rsid w:val="00FB6934"/>
    <w:rsid w:val="00FB693A"/>
    <w:rsid w:val="00FB697E"/>
    <w:rsid w:val="00FB69EC"/>
    <w:rsid w:val="00FB69FD"/>
    <w:rsid w:val="00FB6A3B"/>
    <w:rsid w:val="00FB6A59"/>
    <w:rsid w:val="00FB6A67"/>
    <w:rsid w:val="00FB6A96"/>
    <w:rsid w:val="00FB6AA8"/>
    <w:rsid w:val="00FB6AB0"/>
    <w:rsid w:val="00FB6B3A"/>
    <w:rsid w:val="00FB6B75"/>
    <w:rsid w:val="00FB6B98"/>
    <w:rsid w:val="00FB6BC5"/>
    <w:rsid w:val="00FB6BEA"/>
    <w:rsid w:val="00FB6BF6"/>
    <w:rsid w:val="00FB6C3A"/>
    <w:rsid w:val="00FB6C3B"/>
    <w:rsid w:val="00FB6C3F"/>
    <w:rsid w:val="00FB6C81"/>
    <w:rsid w:val="00FB6CC1"/>
    <w:rsid w:val="00FB6CE6"/>
    <w:rsid w:val="00FB6CE7"/>
    <w:rsid w:val="00FB6D0B"/>
    <w:rsid w:val="00FB6D41"/>
    <w:rsid w:val="00FB6D44"/>
    <w:rsid w:val="00FB6DCF"/>
    <w:rsid w:val="00FB6DD4"/>
    <w:rsid w:val="00FB6E25"/>
    <w:rsid w:val="00FB6E39"/>
    <w:rsid w:val="00FB6E4B"/>
    <w:rsid w:val="00FB6E78"/>
    <w:rsid w:val="00FB6ECE"/>
    <w:rsid w:val="00FB6ED5"/>
    <w:rsid w:val="00FB6ED7"/>
    <w:rsid w:val="00FB6F6F"/>
    <w:rsid w:val="00FB6FB8"/>
    <w:rsid w:val="00FB6FBC"/>
    <w:rsid w:val="00FB7002"/>
    <w:rsid w:val="00FB700E"/>
    <w:rsid w:val="00FB7018"/>
    <w:rsid w:val="00FB7047"/>
    <w:rsid w:val="00FB704F"/>
    <w:rsid w:val="00FB7095"/>
    <w:rsid w:val="00FB70B4"/>
    <w:rsid w:val="00FB7155"/>
    <w:rsid w:val="00FB7189"/>
    <w:rsid w:val="00FB71BA"/>
    <w:rsid w:val="00FB71D2"/>
    <w:rsid w:val="00FB728B"/>
    <w:rsid w:val="00FB7290"/>
    <w:rsid w:val="00FB7319"/>
    <w:rsid w:val="00FB7337"/>
    <w:rsid w:val="00FB734A"/>
    <w:rsid w:val="00FB7355"/>
    <w:rsid w:val="00FB7365"/>
    <w:rsid w:val="00FB737A"/>
    <w:rsid w:val="00FB73BC"/>
    <w:rsid w:val="00FB73E7"/>
    <w:rsid w:val="00FB740D"/>
    <w:rsid w:val="00FB747A"/>
    <w:rsid w:val="00FB74F7"/>
    <w:rsid w:val="00FB7566"/>
    <w:rsid w:val="00FB7591"/>
    <w:rsid w:val="00FB762B"/>
    <w:rsid w:val="00FB765B"/>
    <w:rsid w:val="00FB765F"/>
    <w:rsid w:val="00FB7690"/>
    <w:rsid w:val="00FB76AB"/>
    <w:rsid w:val="00FB76DD"/>
    <w:rsid w:val="00FB76EA"/>
    <w:rsid w:val="00FB7756"/>
    <w:rsid w:val="00FB7777"/>
    <w:rsid w:val="00FB77AD"/>
    <w:rsid w:val="00FB77B2"/>
    <w:rsid w:val="00FB77BB"/>
    <w:rsid w:val="00FB77FF"/>
    <w:rsid w:val="00FB7814"/>
    <w:rsid w:val="00FB7850"/>
    <w:rsid w:val="00FB78A7"/>
    <w:rsid w:val="00FB78B2"/>
    <w:rsid w:val="00FB78C6"/>
    <w:rsid w:val="00FB78FF"/>
    <w:rsid w:val="00FB7927"/>
    <w:rsid w:val="00FB793D"/>
    <w:rsid w:val="00FB794A"/>
    <w:rsid w:val="00FB7961"/>
    <w:rsid w:val="00FB797A"/>
    <w:rsid w:val="00FB797F"/>
    <w:rsid w:val="00FB798C"/>
    <w:rsid w:val="00FB79A4"/>
    <w:rsid w:val="00FB79C5"/>
    <w:rsid w:val="00FB7A05"/>
    <w:rsid w:val="00FB7A2E"/>
    <w:rsid w:val="00FB7B05"/>
    <w:rsid w:val="00FB7B3C"/>
    <w:rsid w:val="00FB7B4E"/>
    <w:rsid w:val="00FB7BB0"/>
    <w:rsid w:val="00FB7BC2"/>
    <w:rsid w:val="00FB7BE9"/>
    <w:rsid w:val="00FB7C3E"/>
    <w:rsid w:val="00FB7C53"/>
    <w:rsid w:val="00FB7C6A"/>
    <w:rsid w:val="00FB7C71"/>
    <w:rsid w:val="00FB7C81"/>
    <w:rsid w:val="00FB7C90"/>
    <w:rsid w:val="00FB7CB9"/>
    <w:rsid w:val="00FB7CD2"/>
    <w:rsid w:val="00FB7D13"/>
    <w:rsid w:val="00FB7D5F"/>
    <w:rsid w:val="00FB7D86"/>
    <w:rsid w:val="00FB7E32"/>
    <w:rsid w:val="00FB7EAB"/>
    <w:rsid w:val="00FB7F1F"/>
    <w:rsid w:val="00FB7F46"/>
    <w:rsid w:val="00FB7F78"/>
    <w:rsid w:val="00FB7F94"/>
    <w:rsid w:val="00FB7FE3"/>
    <w:rsid w:val="00FB7FE4"/>
    <w:rsid w:val="00FC001F"/>
    <w:rsid w:val="00FC004D"/>
    <w:rsid w:val="00FC0051"/>
    <w:rsid w:val="00FC00B9"/>
    <w:rsid w:val="00FC00D6"/>
    <w:rsid w:val="00FC017C"/>
    <w:rsid w:val="00FC019A"/>
    <w:rsid w:val="00FC01DF"/>
    <w:rsid w:val="00FC01E6"/>
    <w:rsid w:val="00FC01EE"/>
    <w:rsid w:val="00FC01FF"/>
    <w:rsid w:val="00FC021D"/>
    <w:rsid w:val="00FC023C"/>
    <w:rsid w:val="00FC023D"/>
    <w:rsid w:val="00FC024E"/>
    <w:rsid w:val="00FC0289"/>
    <w:rsid w:val="00FC0297"/>
    <w:rsid w:val="00FC02E3"/>
    <w:rsid w:val="00FC0333"/>
    <w:rsid w:val="00FC0347"/>
    <w:rsid w:val="00FC036D"/>
    <w:rsid w:val="00FC03B3"/>
    <w:rsid w:val="00FC03DD"/>
    <w:rsid w:val="00FC03F4"/>
    <w:rsid w:val="00FC040D"/>
    <w:rsid w:val="00FC041A"/>
    <w:rsid w:val="00FC0432"/>
    <w:rsid w:val="00FC0443"/>
    <w:rsid w:val="00FC0458"/>
    <w:rsid w:val="00FC0461"/>
    <w:rsid w:val="00FC04D0"/>
    <w:rsid w:val="00FC04E6"/>
    <w:rsid w:val="00FC0518"/>
    <w:rsid w:val="00FC054B"/>
    <w:rsid w:val="00FC0563"/>
    <w:rsid w:val="00FC0597"/>
    <w:rsid w:val="00FC05F2"/>
    <w:rsid w:val="00FC05F3"/>
    <w:rsid w:val="00FC060B"/>
    <w:rsid w:val="00FC0623"/>
    <w:rsid w:val="00FC066E"/>
    <w:rsid w:val="00FC0687"/>
    <w:rsid w:val="00FC06C3"/>
    <w:rsid w:val="00FC06EE"/>
    <w:rsid w:val="00FC06F6"/>
    <w:rsid w:val="00FC0759"/>
    <w:rsid w:val="00FC0773"/>
    <w:rsid w:val="00FC0826"/>
    <w:rsid w:val="00FC083F"/>
    <w:rsid w:val="00FC0842"/>
    <w:rsid w:val="00FC08B9"/>
    <w:rsid w:val="00FC08EF"/>
    <w:rsid w:val="00FC0919"/>
    <w:rsid w:val="00FC093C"/>
    <w:rsid w:val="00FC0950"/>
    <w:rsid w:val="00FC0957"/>
    <w:rsid w:val="00FC09B1"/>
    <w:rsid w:val="00FC09C5"/>
    <w:rsid w:val="00FC09CD"/>
    <w:rsid w:val="00FC0A0A"/>
    <w:rsid w:val="00FC0A2B"/>
    <w:rsid w:val="00FC0AA3"/>
    <w:rsid w:val="00FC0B02"/>
    <w:rsid w:val="00FC0B3A"/>
    <w:rsid w:val="00FC0B7D"/>
    <w:rsid w:val="00FC0BB4"/>
    <w:rsid w:val="00FC0C27"/>
    <w:rsid w:val="00FC0C41"/>
    <w:rsid w:val="00FC0C63"/>
    <w:rsid w:val="00FC0CD6"/>
    <w:rsid w:val="00FC0D34"/>
    <w:rsid w:val="00FC0D78"/>
    <w:rsid w:val="00FC0D7E"/>
    <w:rsid w:val="00FC0D9A"/>
    <w:rsid w:val="00FC0DA4"/>
    <w:rsid w:val="00FC0E24"/>
    <w:rsid w:val="00FC0E58"/>
    <w:rsid w:val="00FC0E9D"/>
    <w:rsid w:val="00FC0EE1"/>
    <w:rsid w:val="00FC0EF7"/>
    <w:rsid w:val="00FC0F13"/>
    <w:rsid w:val="00FC0F3A"/>
    <w:rsid w:val="00FC0F6B"/>
    <w:rsid w:val="00FC0F6C"/>
    <w:rsid w:val="00FC0F78"/>
    <w:rsid w:val="00FC0F9D"/>
    <w:rsid w:val="00FC0FDA"/>
    <w:rsid w:val="00FC0FE3"/>
    <w:rsid w:val="00FC1015"/>
    <w:rsid w:val="00FC1047"/>
    <w:rsid w:val="00FC108A"/>
    <w:rsid w:val="00FC10E8"/>
    <w:rsid w:val="00FC1107"/>
    <w:rsid w:val="00FC111A"/>
    <w:rsid w:val="00FC1160"/>
    <w:rsid w:val="00FC11C8"/>
    <w:rsid w:val="00FC11F3"/>
    <w:rsid w:val="00FC1241"/>
    <w:rsid w:val="00FC1269"/>
    <w:rsid w:val="00FC1292"/>
    <w:rsid w:val="00FC129D"/>
    <w:rsid w:val="00FC12A8"/>
    <w:rsid w:val="00FC1308"/>
    <w:rsid w:val="00FC130A"/>
    <w:rsid w:val="00FC130F"/>
    <w:rsid w:val="00FC1321"/>
    <w:rsid w:val="00FC1327"/>
    <w:rsid w:val="00FC132A"/>
    <w:rsid w:val="00FC137A"/>
    <w:rsid w:val="00FC1388"/>
    <w:rsid w:val="00FC1425"/>
    <w:rsid w:val="00FC1449"/>
    <w:rsid w:val="00FC1549"/>
    <w:rsid w:val="00FC1585"/>
    <w:rsid w:val="00FC15D3"/>
    <w:rsid w:val="00FC1603"/>
    <w:rsid w:val="00FC1647"/>
    <w:rsid w:val="00FC1659"/>
    <w:rsid w:val="00FC167C"/>
    <w:rsid w:val="00FC16E7"/>
    <w:rsid w:val="00FC1780"/>
    <w:rsid w:val="00FC1894"/>
    <w:rsid w:val="00FC18E6"/>
    <w:rsid w:val="00FC18F8"/>
    <w:rsid w:val="00FC1950"/>
    <w:rsid w:val="00FC195E"/>
    <w:rsid w:val="00FC1978"/>
    <w:rsid w:val="00FC1987"/>
    <w:rsid w:val="00FC19C3"/>
    <w:rsid w:val="00FC19C8"/>
    <w:rsid w:val="00FC19E4"/>
    <w:rsid w:val="00FC1A68"/>
    <w:rsid w:val="00FC1A78"/>
    <w:rsid w:val="00FC1AA7"/>
    <w:rsid w:val="00FC1AB8"/>
    <w:rsid w:val="00FC1AC1"/>
    <w:rsid w:val="00FC1ACA"/>
    <w:rsid w:val="00FC1B6A"/>
    <w:rsid w:val="00FC1B6D"/>
    <w:rsid w:val="00FC1B93"/>
    <w:rsid w:val="00FC1BFD"/>
    <w:rsid w:val="00FC1C39"/>
    <w:rsid w:val="00FC1C60"/>
    <w:rsid w:val="00FC1D05"/>
    <w:rsid w:val="00FC1D1C"/>
    <w:rsid w:val="00FC1D30"/>
    <w:rsid w:val="00FC1DB3"/>
    <w:rsid w:val="00FC1DD0"/>
    <w:rsid w:val="00FC1EAD"/>
    <w:rsid w:val="00FC1EB0"/>
    <w:rsid w:val="00FC1F5F"/>
    <w:rsid w:val="00FC1F63"/>
    <w:rsid w:val="00FC1F94"/>
    <w:rsid w:val="00FC1F9F"/>
    <w:rsid w:val="00FC1FE8"/>
    <w:rsid w:val="00FC2033"/>
    <w:rsid w:val="00FC203E"/>
    <w:rsid w:val="00FC2094"/>
    <w:rsid w:val="00FC2097"/>
    <w:rsid w:val="00FC209D"/>
    <w:rsid w:val="00FC20AB"/>
    <w:rsid w:val="00FC2119"/>
    <w:rsid w:val="00FC215D"/>
    <w:rsid w:val="00FC2176"/>
    <w:rsid w:val="00FC2177"/>
    <w:rsid w:val="00FC21AC"/>
    <w:rsid w:val="00FC21D0"/>
    <w:rsid w:val="00FC2249"/>
    <w:rsid w:val="00FC226C"/>
    <w:rsid w:val="00FC22AA"/>
    <w:rsid w:val="00FC2303"/>
    <w:rsid w:val="00FC2306"/>
    <w:rsid w:val="00FC2310"/>
    <w:rsid w:val="00FC233F"/>
    <w:rsid w:val="00FC23DC"/>
    <w:rsid w:val="00FC23DE"/>
    <w:rsid w:val="00FC2422"/>
    <w:rsid w:val="00FC2468"/>
    <w:rsid w:val="00FC24BA"/>
    <w:rsid w:val="00FC24E7"/>
    <w:rsid w:val="00FC250F"/>
    <w:rsid w:val="00FC2574"/>
    <w:rsid w:val="00FC25C6"/>
    <w:rsid w:val="00FC25CD"/>
    <w:rsid w:val="00FC25EB"/>
    <w:rsid w:val="00FC27BD"/>
    <w:rsid w:val="00FC27CC"/>
    <w:rsid w:val="00FC27F4"/>
    <w:rsid w:val="00FC282E"/>
    <w:rsid w:val="00FC285D"/>
    <w:rsid w:val="00FC2897"/>
    <w:rsid w:val="00FC28F4"/>
    <w:rsid w:val="00FC293C"/>
    <w:rsid w:val="00FC295D"/>
    <w:rsid w:val="00FC295E"/>
    <w:rsid w:val="00FC297F"/>
    <w:rsid w:val="00FC2A03"/>
    <w:rsid w:val="00FC2A0C"/>
    <w:rsid w:val="00FC2A4C"/>
    <w:rsid w:val="00FC2A57"/>
    <w:rsid w:val="00FC2A61"/>
    <w:rsid w:val="00FC2A68"/>
    <w:rsid w:val="00FC2B75"/>
    <w:rsid w:val="00FC2B95"/>
    <w:rsid w:val="00FC2C2D"/>
    <w:rsid w:val="00FC2C3E"/>
    <w:rsid w:val="00FC2CA3"/>
    <w:rsid w:val="00FC2CC0"/>
    <w:rsid w:val="00FC2CC5"/>
    <w:rsid w:val="00FC2D37"/>
    <w:rsid w:val="00FC2D49"/>
    <w:rsid w:val="00FC2D57"/>
    <w:rsid w:val="00FC2E3B"/>
    <w:rsid w:val="00FC2E9A"/>
    <w:rsid w:val="00FC2ECB"/>
    <w:rsid w:val="00FC2ECF"/>
    <w:rsid w:val="00FC2EE3"/>
    <w:rsid w:val="00FC2F49"/>
    <w:rsid w:val="00FC2F85"/>
    <w:rsid w:val="00FC2FD8"/>
    <w:rsid w:val="00FC3034"/>
    <w:rsid w:val="00FC3047"/>
    <w:rsid w:val="00FC3053"/>
    <w:rsid w:val="00FC3087"/>
    <w:rsid w:val="00FC309B"/>
    <w:rsid w:val="00FC30A0"/>
    <w:rsid w:val="00FC30BD"/>
    <w:rsid w:val="00FC3115"/>
    <w:rsid w:val="00FC3141"/>
    <w:rsid w:val="00FC317C"/>
    <w:rsid w:val="00FC31A3"/>
    <w:rsid w:val="00FC31AD"/>
    <w:rsid w:val="00FC324B"/>
    <w:rsid w:val="00FC3256"/>
    <w:rsid w:val="00FC3281"/>
    <w:rsid w:val="00FC3294"/>
    <w:rsid w:val="00FC32C6"/>
    <w:rsid w:val="00FC3300"/>
    <w:rsid w:val="00FC3375"/>
    <w:rsid w:val="00FC338D"/>
    <w:rsid w:val="00FC338F"/>
    <w:rsid w:val="00FC33B2"/>
    <w:rsid w:val="00FC33E6"/>
    <w:rsid w:val="00FC3480"/>
    <w:rsid w:val="00FC34B9"/>
    <w:rsid w:val="00FC34CB"/>
    <w:rsid w:val="00FC34D3"/>
    <w:rsid w:val="00FC3533"/>
    <w:rsid w:val="00FC361E"/>
    <w:rsid w:val="00FC36B3"/>
    <w:rsid w:val="00FC3702"/>
    <w:rsid w:val="00FC3746"/>
    <w:rsid w:val="00FC3760"/>
    <w:rsid w:val="00FC379B"/>
    <w:rsid w:val="00FC37D5"/>
    <w:rsid w:val="00FC384C"/>
    <w:rsid w:val="00FC387A"/>
    <w:rsid w:val="00FC3894"/>
    <w:rsid w:val="00FC3899"/>
    <w:rsid w:val="00FC3977"/>
    <w:rsid w:val="00FC39B6"/>
    <w:rsid w:val="00FC39FB"/>
    <w:rsid w:val="00FC3A24"/>
    <w:rsid w:val="00FC3A47"/>
    <w:rsid w:val="00FC3A48"/>
    <w:rsid w:val="00FC3B1A"/>
    <w:rsid w:val="00FC3B6B"/>
    <w:rsid w:val="00FC3B9D"/>
    <w:rsid w:val="00FC3BA5"/>
    <w:rsid w:val="00FC3BAD"/>
    <w:rsid w:val="00FC3BDE"/>
    <w:rsid w:val="00FC3BEA"/>
    <w:rsid w:val="00FC3BFC"/>
    <w:rsid w:val="00FC3C8C"/>
    <w:rsid w:val="00FC3CA1"/>
    <w:rsid w:val="00FC3CE3"/>
    <w:rsid w:val="00FC3CE9"/>
    <w:rsid w:val="00FC3D04"/>
    <w:rsid w:val="00FC3D18"/>
    <w:rsid w:val="00FC3D29"/>
    <w:rsid w:val="00FC3D34"/>
    <w:rsid w:val="00FC3D4F"/>
    <w:rsid w:val="00FC3D9B"/>
    <w:rsid w:val="00FC3DBF"/>
    <w:rsid w:val="00FC3E13"/>
    <w:rsid w:val="00FC3E14"/>
    <w:rsid w:val="00FC3E18"/>
    <w:rsid w:val="00FC3E22"/>
    <w:rsid w:val="00FC3E29"/>
    <w:rsid w:val="00FC3E2D"/>
    <w:rsid w:val="00FC3E3B"/>
    <w:rsid w:val="00FC3ECF"/>
    <w:rsid w:val="00FC3EFF"/>
    <w:rsid w:val="00FC3F08"/>
    <w:rsid w:val="00FC3F18"/>
    <w:rsid w:val="00FC3F5E"/>
    <w:rsid w:val="00FC3F8F"/>
    <w:rsid w:val="00FC3FC5"/>
    <w:rsid w:val="00FC3FFB"/>
    <w:rsid w:val="00FC3FFD"/>
    <w:rsid w:val="00FC400E"/>
    <w:rsid w:val="00FC405D"/>
    <w:rsid w:val="00FC4068"/>
    <w:rsid w:val="00FC40AA"/>
    <w:rsid w:val="00FC40BE"/>
    <w:rsid w:val="00FC4134"/>
    <w:rsid w:val="00FC414A"/>
    <w:rsid w:val="00FC414F"/>
    <w:rsid w:val="00FC4166"/>
    <w:rsid w:val="00FC4237"/>
    <w:rsid w:val="00FC424D"/>
    <w:rsid w:val="00FC42D5"/>
    <w:rsid w:val="00FC42EF"/>
    <w:rsid w:val="00FC4305"/>
    <w:rsid w:val="00FC4314"/>
    <w:rsid w:val="00FC4349"/>
    <w:rsid w:val="00FC43A6"/>
    <w:rsid w:val="00FC4403"/>
    <w:rsid w:val="00FC441A"/>
    <w:rsid w:val="00FC4440"/>
    <w:rsid w:val="00FC4445"/>
    <w:rsid w:val="00FC444B"/>
    <w:rsid w:val="00FC4486"/>
    <w:rsid w:val="00FC44F8"/>
    <w:rsid w:val="00FC456E"/>
    <w:rsid w:val="00FC457D"/>
    <w:rsid w:val="00FC45AA"/>
    <w:rsid w:val="00FC45D9"/>
    <w:rsid w:val="00FC45E7"/>
    <w:rsid w:val="00FC4605"/>
    <w:rsid w:val="00FC4633"/>
    <w:rsid w:val="00FC4640"/>
    <w:rsid w:val="00FC46A1"/>
    <w:rsid w:val="00FC46D3"/>
    <w:rsid w:val="00FC475E"/>
    <w:rsid w:val="00FC477A"/>
    <w:rsid w:val="00FC478F"/>
    <w:rsid w:val="00FC47CB"/>
    <w:rsid w:val="00FC4863"/>
    <w:rsid w:val="00FC48E4"/>
    <w:rsid w:val="00FC48EE"/>
    <w:rsid w:val="00FC4940"/>
    <w:rsid w:val="00FC497D"/>
    <w:rsid w:val="00FC49C9"/>
    <w:rsid w:val="00FC49E0"/>
    <w:rsid w:val="00FC4A1A"/>
    <w:rsid w:val="00FC4A37"/>
    <w:rsid w:val="00FC4A59"/>
    <w:rsid w:val="00FC4AF8"/>
    <w:rsid w:val="00FC4B13"/>
    <w:rsid w:val="00FC4B4B"/>
    <w:rsid w:val="00FC4C5F"/>
    <w:rsid w:val="00FC4C8E"/>
    <w:rsid w:val="00FC4CD6"/>
    <w:rsid w:val="00FC4CFC"/>
    <w:rsid w:val="00FC4D2D"/>
    <w:rsid w:val="00FC4D77"/>
    <w:rsid w:val="00FC4E00"/>
    <w:rsid w:val="00FC4E0D"/>
    <w:rsid w:val="00FC4E2A"/>
    <w:rsid w:val="00FC4E50"/>
    <w:rsid w:val="00FC4E54"/>
    <w:rsid w:val="00FC4EE7"/>
    <w:rsid w:val="00FC4F36"/>
    <w:rsid w:val="00FC4F6A"/>
    <w:rsid w:val="00FC4F75"/>
    <w:rsid w:val="00FC4FA0"/>
    <w:rsid w:val="00FC4FA9"/>
    <w:rsid w:val="00FC4FBC"/>
    <w:rsid w:val="00FC5033"/>
    <w:rsid w:val="00FC50BE"/>
    <w:rsid w:val="00FC50E4"/>
    <w:rsid w:val="00FC5130"/>
    <w:rsid w:val="00FC5133"/>
    <w:rsid w:val="00FC5144"/>
    <w:rsid w:val="00FC51AC"/>
    <w:rsid w:val="00FC51EA"/>
    <w:rsid w:val="00FC524F"/>
    <w:rsid w:val="00FC5262"/>
    <w:rsid w:val="00FC5263"/>
    <w:rsid w:val="00FC526D"/>
    <w:rsid w:val="00FC52E9"/>
    <w:rsid w:val="00FC531D"/>
    <w:rsid w:val="00FC534E"/>
    <w:rsid w:val="00FC5364"/>
    <w:rsid w:val="00FC53A6"/>
    <w:rsid w:val="00FC53B2"/>
    <w:rsid w:val="00FC53CD"/>
    <w:rsid w:val="00FC540A"/>
    <w:rsid w:val="00FC542F"/>
    <w:rsid w:val="00FC5448"/>
    <w:rsid w:val="00FC5451"/>
    <w:rsid w:val="00FC5467"/>
    <w:rsid w:val="00FC547C"/>
    <w:rsid w:val="00FC5483"/>
    <w:rsid w:val="00FC549A"/>
    <w:rsid w:val="00FC54E5"/>
    <w:rsid w:val="00FC5513"/>
    <w:rsid w:val="00FC55E4"/>
    <w:rsid w:val="00FC55EA"/>
    <w:rsid w:val="00FC55EC"/>
    <w:rsid w:val="00FC5613"/>
    <w:rsid w:val="00FC5664"/>
    <w:rsid w:val="00FC568A"/>
    <w:rsid w:val="00FC569C"/>
    <w:rsid w:val="00FC570D"/>
    <w:rsid w:val="00FC5710"/>
    <w:rsid w:val="00FC5746"/>
    <w:rsid w:val="00FC5757"/>
    <w:rsid w:val="00FC575E"/>
    <w:rsid w:val="00FC57AF"/>
    <w:rsid w:val="00FC593D"/>
    <w:rsid w:val="00FC5967"/>
    <w:rsid w:val="00FC5978"/>
    <w:rsid w:val="00FC597A"/>
    <w:rsid w:val="00FC5A12"/>
    <w:rsid w:val="00FC5A2C"/>
    <w:rsid w:val="00FC5A49"/>
    <w:rsid w:val="00FC5A6D"/>
    <w:rsid w:val="00FC5ACF"/>
    <w:rsid w:val="00FC5AE3"/>
    <w:rsid w:val="00FC5B3A"/>
    <w:rsid w:val="00FC5B4B"/>
    <w:rsid w:val="00FC5BA4"/>
    <w:rsid w:val="00FC5BE0"/>
    <w:rsid w:val="00FC5C1E"/>
    <w:rsid w:val="00FC5C60"/>
    <w:rsid w:val="00FC5CB4"/>
    <w:rsid w:val="00FC5CC7"/>
    <w:rsid w:val="00FC5CD2"/>
    <w:rsid w:val="00FC5D08"/>
    <w:rsid w:val="00FC5D9A"/>
    <w:rsid w:val="00FC5DA9"/>
    <w:rsid w:val="00FC5DD0"/>
    <w:rsid w:val="00FC5E02"/>
    <w:rsid w:val="00FC5E84"/>
    <w:rsid w:val="00FC5E8E"/>
    <w:rsid w:val="00FC5F7C"/>
    <w:rsid w:val="00FC5FBA"/>
    <w:rsid w:val="00FC6055"/>
    <w:rsid w:val="00FC607A"/>
    <w:rsid w:val="00FC60F1"/>
    <w:rsid w:val="00FC60F9"/>
    <w:rsid w:val="00FC6106"/>
    <w:rsid w:val="00FC6108"/>
    <w:rsid w:val="00FC6140"/>
    <w:rsid w:val="00FC61DB"/>
    <w:rsid w:val="00FC6224"/>
    <w:rsid w:val="00FC6282"/>
    <w:rsid w:val="00FC631F"/>
    <w:rsid w:val="00FC632E"/>
    <w:rsid w:val="00FC638B"/>
    <w:rsid w:val="00FC63BD"/>
    <w:rsid w:val="00FC63D3"/>
    <w:rsid w:val="00FC642B"/>
    <w:rsid w:val="00FC6471"/>
    <w:rsid w:val="00FC64DC"/>
    <w:rsid w:val="00FC64FF"/>
    <w:rsid w:val="00FC651F"/>
    <w:rsid w:val="00FC6541"/>
    <w:rsid w:val="00FC655A"/>
    <w:rsid w:val="00FC65DD"/>
    <w:rsid w:val="00FC66D2"/>
    <w:rsid w:val="00FC673E"/>
    <w:rsid w:val="00FC6787"/>
    <w:rsid w:val="00FC67DB"/>
    <w:rsid w:val="00FC684C"/>
    <w:rsid w:val="00FC6885"/>
    <w:rsid w:val="00FC6896"/>
    <w:rsid w:val="00FC689C"/>
    <w:rsid w:val="00FC68BC"/>
    <w:rsid w:val="00FC6914"/>
    <w:rsid w:val="00FC692A"/>
    <w:rsid w:val="00FC697E"/>
    <w:rsid w:val="00FC69BC"/>
    <w:rsid w:val="00FC6A4B"/>
    <w:rsid w:val="00FC6A6A"/>
    <w:rsid w:val="00FC6ADA"/>
    <w:rsid w:val="00FC6B21"/>
    <w:rsid w:val="00FC6B95"/>
    <w:rsid w:val="00FC6BDA"/>
    <w:rsid w:val="00FC6BDC"/>
    <w:rsid w:val="00FC6BF7"/>
    <w:rsid w:val="00FC6C11"/>
    <w:rsid w:val="00FC6C1A"/>
    <w:rsid w:val="00FC6C2A"/>
    <w:rsid w:val="00FC6C92"/>
    <w:rsid w:val="00FC6CB4"/>
    <w:rsid w:val="00FC6CBC"/>
    <w:rsid w:val="00FC6CEE"/>
    <w:rsid w:val="00FC6D3A"/>
    <w:rsid w:val="00FC6D79"/>
    <w:rsid w:val="00FC6DEF"/>
    <w:rsid w:val="00FC6EE5"/>
    <w:rsid w:val="00FC6F88"/>
    <w:rsid w:val="00FC6FC4"/>
    <w:rsid w:val="00FC7009"/>
    <w:rsid w:val="00FC701E"/>
    <w:rsid w:val="00FC706B"/>
    <w:rsid w:val="00FC709A"/>
    <w:rsid w:val="00FC70C5"/>
    <w:rsid w:val="00FC711B"/>
    <w:rsid w:val="00FC71A1"/>
    <w:rsid w:val="00FC7284"/>
    <w:rsid w:val="00FC729E"/>
    <w:rsid w:val="00FC72AA"/>
    <w:rsid w:val="00FC72C7"/>
    <w:rsid w:val="00FC72CC"/>
    <w:rsid w:val="00FC7334"/>
    <w:rsid w:val="00FC7344"/>
    <w:rsid w:val="00FC7351"/>
    <w:rsid w:val="00FC737F"/>
    <w:rsid w:val="00FC741A"/>
    <w:rsid w:val="00FC7461"/>
    <w:rsid w:val="00FC7491"/>
    <w:rsid w:val="00FC74B8"/>
    <w:rsid w:val="00FC74D7"/>
    <w:rsid w:val="00FC7545"/>
    <w:rsid w:val="00FC7582"/>
    <w:rsid w:val="00FC75D9"/>
    <w:rsid w:val="00FC75F5"/>
    <w:rsid w:val="00FC7636"/>
    <w:rsid w:val="00FC767E"/>
    <w:rsid w:val="00FC7686"/>
    <w:rsid w:val="00FC7693"/>
    <w:rsid w:val="00FC76BD"/>
    <w:rsid w:val="00FC76EF"/>
    <w:rsid w:val="00FC7729"/>
    <w:rsid w:val="00FC7732"/>
    <w:rsid w:val="00FC7745"/>
    <w:rsid w:val="00FC7793"/>
    <w:rsid w:val="00FC77AB"/>
    <w:rsid w:val="00FC77BC"/>
    <w:rsid w:val="00FC77C6"/>
    <w:rsid w:val="00FC77E6"/>
    <w:rsid w:val="00FC784E"/>
    <w:rsid w:val="00FC7887"/>
    <w:rsid w:val="00FC78D1"/>
    <w:rsid w:val="00FC78EC"/>
    <w:rsid w:val="00FC7908"/>
    <w:rsid w:val="00FC792E"/>
    <w:rsid w:val="00FC7935"/>
    <w:rsid w:val="00FC794D"/>
    <w:rsid w:val="00FC7953"/>
    <w:rsid w:val="00FC79A7"/>
    <w:rsid w:val="00FC79CB"/>
    <w:rsid w:val="00FC79DD"/>
    <w:rsid w:val="00FC79E8"/>
    <w:rsid w:val="00FC79F1"/>
    <w:rsid w:val="00FC7A1E"/>
    <w:rsid w:val="00FC7A51"/>
    <w:rsid w:val="00FC7A85"/>
    <w:rsid w:val="00FC7AA3"/>
    <w:rsid w:val="00FC7ACF"/>
    <w:rsid w:val="00FC7AE4"/>
    <w:rsid w:val="00FC7B6B"/>
    <w:rsid w:val="00FC7BED"/>
    <w:rsid w:val="00FC7C1E"/>
    <w:rsid w:val="00FC7C43"/>
    <w:rsid w:val="00FC7C4C"/>
    <w:rsid w:val="00FC7C93"/>
    <w:rsid w:val="00FC7CAB"/>
    <w:rsid w:val="00FC7CDC"/>
    <w:rsid w:val="00FC7CF9"/>
    <w:rsid w:val="00FC7D39"/>
    <w:rsid w:val="00FC7D43"/>
    <w:rsid w:val="00FC7D8E"/>
    <w:rsid w:val="00FC7DA2"/>
    <w:rsid w:val="00FC7DA7"/>
    <w:rsid w:val="00FC7DBF"/>
    <w:rsid w:val="00FC7E60"/>
    <w:rsid w:val="00FC7E85"/>
    <w:rsid w:val="00FC7ECC"/>
    <w:rsid w:val="00FC7EF9"/>
    <w:rsid w:val="00FC7F2B"/>
    <w:rsid w:val="00FC7FB4"/>
    <w:rsid w:val="00FD0083"/>
    <w:rsid w:val="00FD00DF"/>
    <w:rsid w:val="00FD00E2"/>
    <w:rsid w:val="00FD00E6"/>
    <w:rsid w:val="00FD0102"/>
    <w:rsid w:val="00FD0127"/>
    <w:rsid w:val="00FD0181"/>
    <w:rsid w:val="00FD0191"/>
    <w:rsid w:val="00FD0198"/>
    <w:rsid w:val="00FD01B1"/>
    <w:rsid w:val="00FD0212"/>
    <w:rsid w:val="00FD0229"/>
    <w:rsid w:val="00FD02A2"/>
    <w:rsid w:val="00FD0308"/>
    <w:rsid w:val="00FD031D"/>
    <w:rsid w:val="00FD032D"/>
    <w:rsid w:val="00FD037E"/>
    <w:rsid w:val="00FD03A7"/>
    <w:rsid w:val="00FD0426"/>
    <w:rsid w:val="00FD0428"/>
    <w:rsid w:val="00FD044A"/>
    <w:rsid w:val="00FD046F"/>
    <w:rsid w:val="00FD04C8"/>
    <w:rsid w:val="00FD04EF"/>
    <w:rsid w:val="00FD0521"/>
    <w:rsid w:val="00FD052F"/>
    <w:rsid w:val="00FD0547"/>
    <w:rsid w:val="00FD0583"/>
    <w:rsid w:val="00FD05AF"/>
    <w:rsid w:val="00FD05C7"/>
    <w:rsid w:val="00FD0669"/>
    <w:rsid w:val="00FD068E"/>
    <w:rsid w:val="00FD06A4"/>
    <w:rsid w:val="00FD06A6"/>
    <w:rsid w:val="00FD06DE"/>
    <w:rsid w:val="00FD06E2"/>
    <w:rsid w:val="00FD0711"/>
    <w:rsid w:val="00FD072C"/>
    <w:rsid w:val="00FD0756"/>
    <w:rsid w:val="00FD0757"/>
    <w:rsid w:val="00FD0804"/>
    <w:rsid w:val="00FD0807"/>
    <w:rsid w:val="00FD0842"/>
    <w:rsid w:val="00FD0863"/>
    <w:rsid w:val="00FD0864"/>
    <w:rsid w:val="00FD08B9"/>
    <w:rsid w:val="00FD08DC"/>
    <w:rsid w:val="00FD08FF"/>
    <w:rsid w:val="00FD092F"/>
    <w:rsid w:val="00FD0990"/>
    <w:rsid w:val="00FD0A26"/>
    <w:rsid w:val="00FD0A48"/>
    <w:rsid w:val="00FD0A50"/>
    <w:rsid w:val="00FD0A67"/>
    <w:rsid w:val="00FD0ADB"/>
    <w:rsid w:val="00FD0ADC"/>
    <w:rsid w:val="00FD0B01"/>
    <w:rsid w:val="00FD0B1B"/>
    <w:rsid w:val="00FD0B72"/>
    <w:rsid w:val="00FD0BA0"/>
    <w:rsid w:val="00FD0BBC"/>
    <w:rsid w:val="00FD0BC5"/>
    <w:rsid w:val="00FD0BD5"/>
    <w:rsid w:val="00FD0BE1"/>
    <w:rsid w:val="00FD0C21"/>
    <w:rsid w:val="00FD0C7D"/>
    <w:rsid w:val="00FD0C8F"/>
    <w:rsid w:val="00FD0CFC"/>
    <w:rsid w:val="00FD0D0F"/>
    <w:rsid w:val="00FD0D43"/>
    <w:rsid w:val="00FD0E0C"/>
    <w:rsid w:val="00FD0E40"/>
    <w:rsid w:val="00FD0E4B"/>
    <w:rsid w:val="00FD0E5B"/>
    <w:rsid w:val="00FD0EB9"/>
    <w:rsid w:val="00FD0EF7"/>
    <w:rsid w:val="00FD0EFE"/>
    <w:rsid w:val="00FD0F2D"/>
    <w:rsid w:val="00FD0F4A"/>
    <w:rsid w:val="00FD0F54"/>
    <w:rsid w:val="00FD0F68"/>
    <w:rsid w:val="00FD1038"/>
    <w:rsid w:val="00FD1084"/>
    <w:rsid w:val="00FD1085"/>
    <w:rsid w:val="00FD10A8"/>
    <w:rsid w:val="00FD10F2"/>
    <w:rsid w:val="00FD1107"/>
    <w:rsid w:val="00FD1117"/>
    <w:rsid w:val="00FD112C"/>
    <w:rsid w:val="00FD1162"/>
    <w:rsid w:val="00FD126E"/>
    <w:rsid w:val="00FD12AE"/>
    <w:rsid w:val="00FD12FD"/>
    <w:rsid w:val="00FD1303"/>
    <w:rsid w:val="00FD1313"/>
    <w:rsid w:val="00FD134C"/>
    <w:rsid w:val="00FD1355"/>
    <w:rsid w:val="00FD1368"/>
    <w:rsid w:val="00FD136F"/>
    <w:rsid w:val="00FD1386"/>
    <w:rsid w:val="00FD138B"/>
    <w:rsid w:val="00FD13C0"/>
    <w:rsid w:val="00FD13F0"/>
    <w:rsid w:val="00FD144D"/>
    <w:rsid w:val="00FD1472"/>
    <w:rsid w:val="00FD1475"/>
    <w:rsid w:val="00FD1488"/>
    <w:rsid w:val="00FD14DB"/>
    <w:rsid w:val="00FD14F4"/>
    <w:rsid w:val="00FD1583"/>
    <w:rsid w:val="00FD15AB"/>
    <w:rsid w:val="00FD15C1"/>
    <w:rsid w:val="00FD15E4"/>
    <w:rsid w:val="00FD161B"/>
    <w:rsid w:val="00FD1622"/>
    <w:rsid w:val="00FD162D"/>
    <w:rsid w:val="00FD164E"/>
    <w:rsid w:val="00FD1660"/>
    <w:rsid w:val="00FD1676"/>
    <w:rsid w:val="00FD1689"/>
    <w:rsid w:val="00FD16BA"/>
    <w:rsid w:val="00FD16E6"/>
    <w:rsid w:val="00FD16F0"/>
    <w:rsid w:val="00FD180D"/>
    <w:rsid w:val="00FD189D"/>
    <w:rsid w:val="00FD18DE"/>
    <w:rsid w:val="00FD191B"/>
    <w:rsid w:val="00FD1950"/>
    <w:rsid w:val="00FD19AE"/>
    <w:rsid w:val="00FD19BC"/>
    <w:rsid w:val="00FD1ABC"/>
    <w:rsid w:val="00FD1AF7"/>
    <w:rsid w:val="00FD1B05"/>
    <w:rsid w:val="00FD1B21"/>
    <w:rsid w:val="00FD1B54"/>
    <w:rsid w:val="00FD1B5A"/>
    <w:rsid w:val="00FD1BB0"/>
    <w:rsid w:val="00FD1BC8"/>
    <w:rsid w:val="00FD1BFE"/>
    <w:rsid w:val="00FD1C43"/>
    <w:rsid w:val="00FD1C68"/>
    <w:rsid w:val="00FD1C9B"/>
    <w:rsid w:val="00FD1C9C"/>
    <w:rsid w:val="00FD1CB3"/>
    <w:rsid w:val="00FD1CCB"/>
    <w:rsid w:val="00FD1CF6"/>
    <w:rsid w:val="00FD1D1C"/>
    <w:rsid w:val="00FD1D83"/>
    <w:rsid w:val="00FD1DB4"/>
    <w:rsid w:val="00FD1DE5"/>
    <w:rsid w:val="00FD1DF8"/>
    <w:rsid w:val="00FD1E3B"/>
    <w:rsid w:val="00FD1E90"/>
    <w:rsid w:val="00FD1E9F"/>
    <w:rsid w:val="00FD1EDD"/>
    <w:rsid w:val="00FD1EE0"/>
    <w:rsid w:val="00FD1EE9"/>
    <w:rsid w:val="00FD1F34"/>
    <w:rsid w:val="00FD1F91"/>
    <w:rsid w:val="00FD1FD3"/>
    <w:rsid w:val="00FD2061"/>
    <w:rsid w:val="00FD2097"/>
    <w:rsid w:val="00FD2105"/>
    <w:rsid w:val="00FD211F"/>
    <w:rsid w:val="00FD2121"/>
    <w:rsid w:val="00FD2141"/>
    <w:rsid w:val="00FD2187"/>
    <w:rsid w:val="00FD21FB"/>
    <w:rsid w:val="00FD2201"/>
    <w:rsid w:val="00FD226D"/>
    <w:rsid w:val="00FD228F"/>
    <w:rsid w:val="00FD22DA"/>
    <w:rsid w:val="00FD22FD"/>
    <w:rsid w:val="00FD2344"/>
    <w:rsid w:val="00FD238C"/>
    <w:rsid w:val="00FD23B6"/>
    <w:rsid w:val="00FD23BD"/>
    <w:rsid w:val="00FD23CE"/>
    <w:rsid w:val="00FD2410"/>
    <w:rsid w:val="00FD2478"/>
    <w:rsid w:val="00FD2497"/>
    <w:rsid w:val="00FD24C0"/>
    <w:rsid w:val="00FD24C5"/>
    <w:rsid w:val="00FD2500"/>
    <w:rsid w:val="00FD2506"/>
    <w:rsid w:val="00FD2547"/>
    <w:rsid w:val="00FD2558"/>
    <w:rsid w:val="00FD2578"/>
    <w:rsid w:val="00FD2589"/>
    <w:rsid w:val="00FD25CB"/>
    <w:rsid w:val="00FD25EB"/>
    <w:rsid w:val="00FD25F2"/>
    <w:rsid w:val="00FD2651"/>
    <w:rsid w:val="00FD26AF"/>
    <w:rsid w:val="00FD26D7"/>
    <w:rsid w:val="00FD2710"/>
    <w:rsid w:val="00FD2738"/>
    <w:rsid w:val="00FD2748"/>
    <w:rsid w:val="00FD2794"/>
    <w:rsid w:val="00FD27C6"/>
    <w:rsid w:val="00FD281D"/>
    <w:rsid w:val="00FD2847"/>
    <w:rsid w:val="00FD2861"/>
    <w:rsid w:val="00FD289C"/>
    <w:rsid w:val="00FD28B4"/>
    <w:rsid w:val="00FD28F6"/>
    <w:rsid w:val="00FD2903"/>
    <w:rsid w:val="00FD2925"/>
    <w:rsid w:val="00FD296C"/>
    <w:rsid w:val="00FD29D2"/>
    <w:rsid w:val="00FD29FD"/>
    <w:rsid w:val="00FD2A03"/>
    <w:rsid w:val="00FD2A0B"/>
    <w:rsid w:val="00FD2A13"/>
    <w:rsid w:val="00FD2A46"/>
    <w:rsid w:val="00FD2A74"/>
    <w:rsid w:val="00FD2A7A"/>
    <w:rsid w:val="00FD2AA7"/>
    <w:rsid w:val="00FD2AB6"/>
    <w:rsid w:val="00FD2AC1"/>
    <w:rsid w:val="00FD2B09"/>
    <w:rsid w:val="00FD2B10"/>
    <w:rsid w:val="00FD2B1A"/>
    <w:rsid w:val="00FD2B68"/>
    <w:rsid w:val="00FD2B7D"/>
    <w:rsid w:val="00FD2BBD"/>
    <w:rsid w:val="00FD2BFA"/>
    <w:rsid w:val="00FD2C47"/>
    <w:rsid w:val="00FD2C9B"/>
    <w:rsid w:val="00FD2D1C"/>
    <w:rsid w:val="00FD2D53"/>
    <w:rsid w:val="00FD2D76"/>
    <w:rsid w:val="00FD2D84"/>
    <w:rsid w:val="00FD2D94"/>
    <w:rsid w:val="00FD2DD0"/>
    <w:rsid w:val="00FD2E5F"/>
    <w:rsid w:val="00FD2EAC"/>
    <w:rsid w:val="00FD2F03"/>
    <w:rsid w:val="00FD2F0D"/>
    <w:rsid w:val="00FD2F21"/>
    <w:rsid w:val="00FD2F28"/>
    <w:rsid w:val="00FD2F4A"/>
    <w:rsid w:val="00FD2F5B"/>
    <w:rsid w:val="00FD2F79"/>
    <w:rsid w:val="00FD3099"/>
    <w:rsid w:val="00FD30AA"/>
    <w:rsid w:val="00FD30ED"/>
    <w:rsid w:val="00FD3104"/>
    <w:rsid w:val="00FD310D"/>
    <w:rsid w:val="00FD318A"/>
    <w:rsid w:val="00FD31E8"/>
    <w:rsid w:val="00FD31F0"/>
    <w:rsid w:val="00FD31F2"/>
    <w:rsid w:val="00FD321F"/>
    <w:rsid w:val="00FD3256"/>
    <w:rsid w:val="00FD327F"/>
    <w:rsid w:val="00FD32CA"/>
    <w:rsid w:val="00FD32D2"/>
    <w:rsid w:val="00FD3328"/>
    <w:rsid w:val="00FD3340"/>
    <w:rsid w:val="00FD3367"/>
    <w:rsid w:val="00FD33BF"/>
    <w:rsid w:val="00FD33C8"/>
    <w:rsid w:val="00FD33D9"/>
    <w:rsid w:val="00FD3422"/>
    <w:rsid w:val="00FD3519"/>
    <w:rsid w:val="00FD3540"/>
    <w:rsid w:val="00FD35E4"/>
    <w:rsid w:val="00FD35F8"/>
    <w:rsid w:val="00FD35FE"/>
    <w:rsid w:val="00FD3605"/>
    <w:rsid w:val="00FD3611"/>
    <w:rsid w:val="00FD369F"/>
    <w:rsid w:val="00FD375D"/>
    <w:rsid w:val="00FD3852"/>
    <w:rsid w:val="00FD38E4"/>
    <w:rsid w:val="00FD390E"/>
    <w:rsid w:val="00FD3916"/>
    <w:rsid w:val="00FD3966"/>
    <w:rsid w:val="00FD3968"/>
    <w:rsid w:val="00FD39A3"/>
    <w:rsid w:val="00FD39F7"/>
    <w:rsid w:val="00FD3A8D"/>
    <w:rsid w:val="00FD3AA4"/>
    <w:rsid w:val="00FD3AD0"/>
    <w:rsid w:val="00FD3AF0"/>
    <w:rsid w:val="00FD3AF2"/>
    <w:rsid w:val="00FD3B3C"/>
    <w:rsid w:val="00FD3B47"/>
    <w:rsid w:val="00FD3B94"/>
    <w:rsid w:val="00FD3C12"/>
    <w:rsid w:val="00FD3CA4"/>
    <w:rsid w:val="00FD3CDF"/>
    <w:rsid w:val="00FD3CEE"/>
    <w:rsid w:val="00FD3D41"/>
    <w:rsid w:val="00FD3D60"/>
    <w:rsid w:val="00FD3D87"/>
    <w:rsid w:val="00FD3D8B"/>
    <w:rsid w:val="00FD3D9B"/>
    <w:rsid w:val="00FD3DC6"/>
    <w:rsid w:val="00FD3DCB"/>
    <w:rsid w:val="00FD3EBC"/>
    <w:rsid w:val="00FD3EE5"/>
    <w:rsid w:val="00FD3F16"/>
    <w:rsid w:val="00FD3F58"/>
    <w:rsid w:val="00FD3F85"/>
    <w:rsid w:val="00FD3F9A"/>
    <w:rsid w:val="00FD3FC6"/>
    <w:rsid w:val="00FD3FE7"/>
    <w:rsid w:val="00FD3FF9"/>
    <w:rsid w:val="00FD4022"/>
    <w:rsid w:val="00FD4055"/>
    <w:rsid w:val="00FD414F"/>
    <w:rsid w:val="00FD417D"/>
    <w:rsid w:val="00FD4215"/>
    <w:rsid w:val="00FD4226"/>
    <w:rsid w:val="00FD422F"/>
    <w:rsid w:val="00FD429F"/>
    <w:rsid w:val="00FD42C1"/>
    <w:rsid w:val="00FD42E8"/>
    <w:rsid w:val="00FD42EC"/>
    <w:rsid w:val="00FD42EF"/>
    <w:rsid w:val="00FD4304"/>
    <w:rsid w:val="00FD440E"/>
    <w:rsid w:val="00FD441D"/>
    <w:rsid w:val="00FD4427"/>
    <w:rsid w:val="00FD44C3"/>
    <w:rsid w:val="00FD44C9"/>
    <w:rsid w:val="00FD455E"/>
    <w:rsid w:val="00FD4582"/>
    <w:rsid w:val="00FD4620"/>
    <w:rsid w:val="00FD466A"/>
    <w:rsid w:val="00FD469F"/>
    <w:rsid w:val="00FD4743"/>
    <w:rsid w:val="00FD479D"/>
    <w:rsid w:val="00FD47DA"/>
    <w:rsid w:val="00FD47DF"/>
    <w:rsid w:val="00FD48E1"/>
    <w:rsid w:val="00FD48EE"/>
    <w:rsid w:val="00FD4947"/>
    <w:rsid w:val="00FD4974"/>
    <w:rsid w:val="00FD4A07"/>
    <w:rsid w:val="00FD4AC6"/>
    <w:rsid w:val="00FD4BB2"/>
    <w:rsid w:val="00FD4BB9"/>
    <w:rsid w:val="00FD4BC9"/>
    <w:rsid w:val="00FD4BDD"/>
    <w:rsid w:val="00FD4BDE"/>
    <w:rsid w:val="00FD4BE3"/>
    <w:rsid w:val="00FD4BE4"/>
    <w:rsid w:val="00FD4BE5"/>
    <w:rsid w:val="00FD4CA4"/>
    <w:rsid w:val="00FD4CA5"/>
    <w:rsid w:val="00FD4CB9"/>
    <w:rsid w:val="00FD4CE5"/>
    <w:rsid w:val="00FD4D37"/>
    <w:rsid w:val="00FD4E74"/>
    <w:rsid w:val="00FD4E80"/>
    <w:rsid w:val="00FD4E99"/>
    <w:rsid w:val="00FD4ED4"/>
    <w:rsid w:val="00FD4EE2"/>
    <w:rsid w:val="00FD4F0A"/>
    <w:rsid w:val="00FD4F2D"/>
    <w:rsid w:val="00FD4F41"/>
    <w:rsid w:val="00FD4F6B"/>
    <w:rsid w:val="00FD4F96"/>
    <w:rsid w:val="00FD4FA2"/>
    <w:rsid w:val="00FD5025"/>
    <w:rsid w:val="00FD5042"/>
    <w:rsid w:val="00FD5049"/>
    <w:rsid w:val="00FD5063"/>
    <w:rsid w:val="00FD507F"/>
    <w:rsid w:val="00FD508B"/>
    <w:rsid w:val="00FD50F1"/>
    <w:rsid w:val="00FD514A"/>
    <w:rsid w:val="00FD517B"/>
    <w:rsid w:val="00FD51B4"/>
    <w:rsid w:val="00FD51B5"/>
    <w:rsid w:val="00FD51D6"/>
    <w:rsid w:val="00FD51EB"/>
    <w:rsid w:val="00FD51F3"/>
    <w:rsid w:val="00FD51FB"/>
    <w:rsid w:val="00FD5207"/>
    <w:rsid w:val="00FD522C"/>
    <w:rsid w:val="00FD529B"/>
    <w:rsid w:val="00FD52A3"/>
    <w:rsid w:val="00FD52DF"/>
    <w:rsid w:val="00FD52EC"/>
    <w:rsid w:val="00FD52F4"/>
    <w:rsid w:val="00FD535E"/>
    <w:rsid w:val="00FD536E"/>
    <w:rsid w:val="00FD53B9"/>
    <w:rsid w:val="00FD53CE"/>
    <w:rsid w:val="00FD5401"/>
    <w:rsid w:val="00FD5453"/>
    <w:rsid w:val="00FD5503"/>
    <w:rsid w:val="00FD550E"/>
    <w:rsid w:val="00FD5529"/>
    <w:rsid w:val="00FD5539"/>
    <w:rsid w:val="00FD555B"/>
    <w:rsid w:val="00FD5587"/>
    <w:rsid w:val="00FD5609"/>
    <w:rsid w:val="00FD5619"/>
    <w:rsid w:val="00FD5626"/>
    <w:rsid w:val="00FD5642"/>
    <w:rsid w:val="00FD568C"/>
    <w:rsid w:val="00FD56BA"/>
    <w:rsid w:val="00FD56F3"/>
    <w:rsid w:val="00FD570A"/>
    <w:rsid w:val="00FD570B"/>
    <w:rsid w:val="00FD5784"/>
    <w:rsid w:val="00FD5833"/>
    <w:rsid w:val="00FD5870"/>
    <w:rsid w:val="00FD58DD"/>
    <w:rsid w:val="00FD58EF"/>
    <w:rsid w:val="00FD5948"/>
    <w:rsid w:val="00FD596A"/>
    <w:rsid w:val="00FD5989"/>
    <w:rsid w:val="00FD598B"/>
    <w:rsid w:val="00FD59AC"/>
    <w:rsid w:val="00FD59CD"/>
    <w:rsid w:val="00FD59E6"/>
    <w:rsid w:val="00FD5A03"/>
    <w:rsid w:val="00FD5A09"/>
    <w:rsid w:val="00FD5A28"/>
    <w:rsid w:val="00FD5A30"/>
    <w:rsid w:val="00FD5A4C"/>
    <w:rsid w:val="00FD5AA0"/>
    <w:rsid w:val="00FD5AD3"/>
    <w:rsid w:val="00FD5AF3"/>
    <w:rsid w:val="00FD5B1A"/>
    <w:rsid w:val="00FD5B1F"/>
    <w:rsid w:val="00FD5B21"/>
    <w:rsid w:val="00FD5B85"/>
    <w:rsid w:val="00FD5BB3"/>
    <w:rsid w:val="00FD5BFE"/>
    <w:rsid w:val="00FD5C27"/>
    <w:rsid w:val="00FD5C47"/>
    <w:rsid w:val="00FD5C53"/>
    <w:rsid w:val="00FD5C72"/>
    <w:rsid w:val="00FD5C79"/>
    <w:rsid w:val="00FD5D3F"/>
    <w:rsid w:val="00FD5D54"/>
    <w:rsid w:val="00FD5D7A"/>
    <w:rsid w:val="00FD5D95"/>
    <w:rsid w:val="00FD5DFC"/>
    <w:rsid w:val="00FD5E2C"/>
    <w:rsid w:val="00FD5E59"/>
    <w:rsid w:val="00FD5E71"/>
    <w:rsid w:val="00FD5F04"/>
    <w:rsid w:val="00FD5F82"/>
    <w:rsid w:val="00FD5FD6"/>
    <w:rsid w:val="00FD608B"/>
    <w:rsid w:val="00FD60F4"/>
    <w:rsid w:val="00FD612A"/>
    <w:rsid w:val="00FD61A3"/>
    <w:rsid w:val="00FD625C"/>
    <w:rsid w:val="00FD6283"/>
    <w:rsid w:val="00FD62A8"/>
    <w:rsid w:val="00FD62B0"/>
    <w:rsid w:val="00FD62D3"/>
    <w:rsid w:val="00FD62FE"/>
    <w:rsid w:val="00FD6319"/>
    <w:rsid w:val="00FD632C"/>
    <w:rsid w:val="00FD638D"/>
    <w:rsid w:val="00FD6391"/>
    <w:rsid w:val="00FD63B0"/>
    <w:rsid w:val="00FD63CA"/>
    <w:rsid w:val="00FD63E0"/>
    <w:rsid w:val="00FD63F0"/>
    <w:rsid w:val="00FD63F3"/>
    <w:rsid w:val="00FD6422"/>
    <w:rsid w:val="00FD643A"/>
    <w:rsid w:val="00FD64BC"/>
    <w:rsid w:val="00FD64D8"/>
    <w:rsid w:val="00FD64E1"/>
    <w:rsid w:val="00FD64F8"/>
    <w:rsid w:val="00FD64FB"/>
    <w:rsid w:val="00FD6552"/>
    <w:rsid w:val="00FD6592"/>
    <w:rsid w:val="00FD6598"/>
    <w:rsid w:val="00FD65B5"/>
    <w:rsid w:val="00FD65C8"/>
    <w:rsid w:val="00FD65D4"/>
    <w:rsid w:val="00FD6602"/>
    <w:rsid w:val="00FD6636"/>
    <w:rsid w:val="00FD6641"/>
    <w:rsid w:val="00FD6642"/>
    <w:rsid w:val="00FD66E8"/>
    <w:rsid w:val="00FD6731"/>
    <w:rsid w:val="00FD673A"/>
    <w:rsid w:val="00FD6751"/>
    <w:rsid w:val="00FD67C0"/>
    <w:rsid w:val="00FD6811"/>
    <w:rsid w:val="00FD6819"/>
    <w:rsid w:val="00FD6835"/>
    <w:rsid w:val="00FD6854"/>
    <w:rsid w:val="00FD6899"/>
    <w:rsid w:val="00FD68C7"/>
    <w:rsid w:val="00FD68E3"/>
    <w:rsid w:val="00FD68F5"/>
    <w:rsid w:val="00FD6973"/>
    <w:rsid w:val="00FD697A"/>
    <w:rsid w:val="00FD69C8"/>
    <w:rsid w:val="00FD69F5"/>
    <w:rsid w:val="00FD6A20"/>
    <w:rsid w:val="00FD6A3A"/>
    <w:rsid w:val="00FD6A3E"/>
    <w:rsid w:val="00FD6A81"/>
    <w:rsid w:val="00FD6AA6"/>
    <w:rsid w:val="00FD6AB1"/>
    <w:rsid w:val="00FD6AB9"/>
    <w:rsid w:val="00FD6B04"/>
    <w:rsid w:val="00FD6BFA"/>
    <w:rsid w:val="00FD6C55"/>
    <w:rsid w:val="00FD6CBE"/>
    <w:rsid w:val="00FD6CE8"/>
    <w:rsid w:val="00FD6D2D"/>
    <w:rsid w:val="00FD6D55"/>
    <w:rsid w:val="00FD6D72"/>
    <w:rsid w:val="00FD6D8E"/>
    <w:rsid w:val="00FD6DB3"/>
    <w:rsid w:val="00FD6DC0"/>
    <w:rsid w:val="00FD6DC1"/>
    <w:rsid w:val="00FD6E28"/>
    <w:rsid w:val="00FD6F45"/>
    <w:rsid w:val="00FD6F48"/>
    <w:rsid w:val="00FD6F9F"/>
    <w:rsid w:val="00FD6FA8"/>
    <w:rsid w:val="00FD705D"/>
    <w:rsid w:val="00FD706D"/>
    <w:rsid w:val="00FD70DA"/>
    <w:rsid w:val="00FD70EE"/>
    <w:rsid w:val="00FD715D"/>
    <w:rsid w:val="00FD716A"/>
    <w:rsid w:val="00FD7198"/>
    <w:rsid w:val="00FD7200"/>
    <w:rsid w:val="00FD7201"/>
    <w:rsid w:val="00FD7227"/>
    <w:rsid w:val="00FD723E"/>
    <w:rsid w:val="00FD7243"/>
    <w:rsid w:val="00FD7249"/>
    <w:rsid w:val="00FD7253"/>
    <w:rsid w:val="00FD7257"/>
    <w:rsid w:val="00FD7263"/>
    <w:rsid w:val="00FD72AA"/>
    <w:rsid w:val="00FD72BB"/>
    <w:rsid w:val="00FD7304"/>
    <w:rsid w:val="00FD7331"/>
    <w:rsid w:val="00FD7346"/>
    <w:rsid w:val="00FD735D"/>
    <w:rsid w:val="00FD7382"/>
    <w:rsid w:val="00FD73A0"/>
    <w:rsid w:val="00FD73D9"/>
    <w:rsid w:val="00FD73F3"/>
    <w:rsid w:val="00FD73FD"/>
    <w:rsid w:val="00FD7409"/>
    <w:rsid w:val="00FD7446"/>
    <w:rsid w:val="00FD7501"/>
    <w:rsid w:val="00FD7503"/>
    <w:rsid w:val="00FD750A"/>
    <w:rsid w:val="00FD752D"/>
    <w:rsid w:val="00FD7583"/>
    <w:rsid w:val="00FD7586"/>
    <w:rsid w:val="00FD758D"/>
    <w:rsid w:val="00FD764D"/>
    <w:rsid w:val="00FD7690"/>
    <w:rsid w:val="00FD76A4"/>
    <w:rsid w:val="00FD76FD"/>
    <w:rsid w:val="00FD7712"/>
    <w:rsid w:val="00FD776C"/>
    <w:rsid w:val="00FD782F"/>
    <w:rsid w:val="00FD783B"/>
    <w:rsid w:val="00FD7862"/>
    <w:rsid w:val="00FD788B"/>
    <w:rsid w:val="00FD789B"/>
    <w:rsid w:val="00FD78C0"/>
    <w:rsid w:val="00FD78E5"/>
    <w:rsid w:val="00FD7912"/>
    <w:rsid w:val="00FD7926"/>
    <w:rsid w:val="00FD799C"/>
    <w:rsid w:val="00FD7A03"/>
    <w:rsid w:val="00FD7A08"/>
    <w:rsid w:val="00FD7A0E"/>
    <w:rsid w:val="00FD7AD1"/>
    <w:rsid w:val="00FD7AF3"/>
    <w:rsid w:val="00FD7B05"/>
    <w:rsid w:val="00FD7B16"/>
    <w:rsid w:val="00FD7B71"/>
    <w:rsid w:val="00FD7B8C"/>
    <w:rsid w:val="00FD7C8E"/>
    <w:rsid w:val="00FD7CC6"/>
    <w:rsid w:val="00FD7CE3"/>
    <w:rsid w:val="00FD7D1A"/>
    <w:rsid w:val="00FD7D49"/>
    <w:rsid w:val="00FD7DA2"/>
    <w:rsid w:val="00FD7DB8"/>
    <w:rsid w:val="00FD7DCB"/>
    <w:rsid w:val="00FD7E05"/>
    <w:rsid w:val="00FD7E15"/>
    <w:rsid w:val="00FD7E50"/>
    <w:rsid w:val="00FD7E73"/>
    <w:rsid w:val="00FD7FC5"/>
    <w:rsid w:val="00FD7FCA"/>
    <w:rsid w:val="00FD7FE8"/>
    <w:rsid w:val="00FE0062"/>
    <w:rsid w:val="00FE012E"/>
    <w:rsid w:val="00FE0130"/>
    <w:rsid w:val="00FE016D"/>
    <w:rsid w:val="00FE01BE"/>
    <w:rsid w:val="00FE01C9"/>
    <w:rsid w:val="00FE021F"/>
    <w:rsid w:val="00FE0338"/>
    <w:rsid w:val="00FE03AC"/>
    <w:rsid w:val="00FE03AE"/>
    <w:rsid w:val="00FE03D4"/>
    <w:rsid w:val="00FE0407"/>
    <w:rsid w:val="00FE045D"/>
    <w:rsid w:val="00FE0499"/>
    <w:rsid w:val="00FE04A1"/>
    <w:rsid w:val="00FE04E0"/>
    <w:rsid w:val="00FE0518"/>
    <w:rsid w:val="00FE05A3"/>
    <w:rsid w:val="00FE05D2"/>
    <w:rsid w:val="00FE05DD"/>
    <w:rsid w:val="00FE06D8"/>
    <w:rsid w:val="00FE0714"/>
    <w:rsid w:val="00FE071A"/>
    <w:rsid w:val="00FE072B"/>
    <w:rsid w:val="00FE0761"/>
    <w:rsid w:val="00FE080E"/>
    <w:rsid w:val="00FE0866"/>
    <w:rsid w:val="00FE087F"/>
    <w:rsid w:val="00FE08AC"/>
    <w:rsid w:val="00FE08DE"/>
    <w:rsid w:val="00FE090B"/>
    <w:rsid w:val="00FE095B"/>
    <w:rsid w:val="00FE096F"/>
    <w:rsid w:val="00FE09C4"/>
    <w:rsid w:val="00FE0A32"/>
    <w:rsid w:val="00FE0A41"/>
    <w:rsid w:val="00FE0A4B"/>
    <w:rsid w:val="00FE0A71"/>
    <w:rsid w:val="00FE0A9F"/>
    <w:rsid w:val="00FE0AA1"/>
    <w:rsid w:val="00FE0AC8"/>
    <w:rsid w:val="00FE0AD9"/>
    <w:rsid w:val="00FE0B2D"/>
    <w:rsid w:val="00FE0BA6"/>
    <w:rsid w:val="00FE0BC7"/>
    <w:rsid w:val="00FE0C4A"/>
    <w:rsid w:val="00FE0C57"/>
    <w:rsid w:val="00FE0C6B"/>
    <w:rsid w:val="00FE0C8B"/>
    <w:rsid w:val="00FE0CE1"/>
    <w:rsid w:val="00FE0D71"/>
    <w:rsid w:val="00FE0D74"/>
    <w:rsid w:val="00FE0DA0"/>
    <w:rsid w:val="00FE0DDC"/>
    <w:rsid w:val="00FE0E01"/>
    <w:rsid w:val="00FE0E27"/>
    <w:rsid w:val="00FE0E4C"/>
    <w:rsid w:val="00FE0E7F"/>
    <w:rsid w:val="00FE0E86"/>
    <w:rsid w:val="00FE0E9A"/>
    <w:rsid w:val="00FE0EA7"/>
    <w:rsid w:val="00FE0EDC"/>
    <w:rsid w:val="00FE0EF0"/>
    <w:rsid w:val="00FE0EFF"/>
    <w:rsid w:val="00FE0F99"/>
    <w:rsid w:val="00FE0FFC"/>
    <w:rsid w:val="00FE1009"/>
    <w:rsid w:val="00FE1073"/>
    <w:rsid w:val="00FE10B7"/>
    <w:rsid w:val="00FE10C5"/>
    <w:rsid w:val="00FE1108"/>
    <w:rsid w:val="00FE110C"/>
    <w:rsid w:val="00FE11B4"/>
    <w:rsid w:val="00FE11D3"/>
    <w:rsid w:val="00FE11D7"/>
    <w:rsid w:val="00FE1202"/>
    <w:rsid w:val="00FE1208"/>
    <w:rsid w:val="00FE121A"/>
    <w:rsid w:val="00FE1221"/>
    <w:rsid w:val="00FE122A"/>
    <w:rsid w:val="00FE127B"/>
    <w:rsid w:val="00FE12CC"/>
    <w:rsid w:val="00FE132A"/>
    <w:rsid w:val="00FE1359"/>
    <w:rsid w:val="00FE1363"/>
    <w:rsid w:val="00FE137E"/>
    <w:rsid w:val="00FE13D6"/>
    <w:rsid w:val="00FE14A2"/>
    <w:rsid w:val="00FE1583"/>
    <w:rsid w:val="00FE1591"/>
    <w:rsid w:val="00FE15AF"/>
    <w:rsid w:val="00FE15D0"/>
    <w:rsid w:val="00FE15DD"/>
    <w:rsid w:val="00FE15E3"/>
    <w:rsid w:val="00FE1610"/>
    <w:rsid w:val="00FE161C"/>
    <w:rsid w:val="00FE1637"/>
    <w:rsid w:val="00FE1644"/>
    <w:rsid w:val="00FE1662"/>
    <w:rsid w:val="00FE16D5"/>
    <w:rsid w:val="00FE1719"/>
    <w:rsid w:val="00FE1723"/>
    <w:rsid w:val="00FE1728"/>
    <w:rsid w:val="00FE1734"/>
    <w:rsid w:val="00FE173D"/>
    <w:rsid w:val="00FE1766"/>
    <w:rsid w:val="00FE1774"/>
    <w:rsid w:val="00FE17E9"/>
    <w:rsid w:val="00FE17EA"/>
    <w:rsid w:val="00FE1808"/>
    <w:rsid w:val="00FE1860"/>
    <w:rsid w:val="00FE1915"/>
    <w:rsid w:val="00FE1934"/>
    <w:rsid w:val="00FE19B0"/>
    <w:rsid w:val="00FE1A2E"/>
    <w:rsid w:val="00FE1A38"/>
    <w:rsid w:val="00FE1AA7"/>
    <w:rsid w:val="00FE1AB9"/>
    <w:rsid w:val="00FE1AE9"/>
    <w:rsid w:val="00FE1B39"/>
    <w:rsid w:val="00FE1B4C"/>
    <w:rsid w:val="00FE1BA6"/>
    <w:rsid w:val="00FE1BAA"/>
    <w:rsid w:val="00FE1BFC"/>
    <w:rsid w:val="00FE1C2F"/>
    <w:rsid w:val="00FE1C33"/>
    <w:rsid w:val="00FE1C6E"/>
    <w:rsid w:val="00FE1C7B"/>
    <w:rsid w:val="00FE1CD4"/>
    <w:rsid w:val="00FE1D04"/>
    <w:rsid w:val="00FE1D3A"/>
    <w:rsid w:val="00FE1D88"/>
    <w:rsid w:val="00FE1D8F"/>
    <w:rsid w:val="00FE1DBF"/>
    <w:rsid w:val="00FE1DCC"/>
    <w:rsid w:val="00FE1E13"/>
    <w:rsid w:val="00FE1E25"/>
    <w:rsid w:val="00FE1E34"/>
    <w:rsid w:val="00FE1E41"/>
    <w:rsid w:val="00FE1F03"/>
    <w:rsid w:val="00FE1F3A"/>
    <w:rsid w:val="00FE1F43"/>
    <w:rsid w:val="00FE1F79"/>
    <w:rsid w:val="00FE1FA6"/>
    <w:rsid w:val="00FE20BA"/>
    <w:rsid w:val="00FE20E7"/>
    <w:rsid w:val="00FE2170"/>
    <w:rsid w:val="00FE21AF"/>
    <w:rsid w:val="00FE21D6"/>
    <w:rsid w:val="00FE2204"/>
    <w:rsid w:val="00FE223D"/>
    <w:rsid w:val="00FE229B"/>
    <w:rsid w:val="00FE229D"/>
    <w:rsid w:val="00FE22B0"/>
    <w:rsid w:val="00FE22B2"/>
    <w:rsid w:val="00FE22D5"/>
    <w:rsid w:val="00FE22E5"/>
    <w:rsid w:val="00FE233D"/>
    <w:rsid w:val="00FE234F"/>
    <w:rsid w:val="00FE23DF"/>
    <w:rsid w:val="00FE2460"/>
    <w:rsid w:val="00FE24A3"/>
    <w:rsid w:val="00FE24B8"/>
    <w:rsid w:val="00FE24C3"/>
    <w:rsid w:val="00FE254A"/>
    <w:rsid w:val="00FE255E"/>
    <w:rsid w:val="00FE25A8"/>
    <w:rsid w:val="00FE25E5"/>
    <w:rsid w:val="00FE2607"/>
    <w:rsid w:val="00FE2615"/>
    <w:rsid w:val="00FE2629"/>
    <w:rsid w:val="00FE26BB"/>
    <w:rsid w:val="00FE26C1"/>
    <w:rsid w:val="00FE26D6"/>
    <w:rsid w:val="00FE26EB"/>
    <w:rsid w:val="00FE2744"/>
    <w:rsid w:val="00FE275E"/>
    <w:rsid w:val="00FE2789"/>
    <w:rsid w:val="00FE27B1"/>
    <w:rsid w:val="00FE27B2"/>
    <w:rsid w:val="00FE27C5"/>
    <w:rsid w:val="00FE2832"/>
    <w:rsid w:val="00FE2873"/>
    <w:rsid w:val="00FE289B"/>
    <w:rsid w:val="00FE28B8"/>
    <w:rsid w:val="00FE28B9"/>
    <w:rsid w:val="00FE28F0"/>
    <w:rsid w:val="00FE2906"/>
    <w:rsid w:val="00FE292B"/>
    <w:rsid w:val="00FE2955"/>
    <w:rsid w:val="00FE2980"/>
    <w:rsid w:val="00FE29A0"/>
    <w:rsid w:val="00FE29B3"/>
    <w:rsid w:val="00FE29F2"/>
    <w:rsid w:val="00FE2A23"/>
    <w:rsid w:val="00FE2A5E"/>
    <w:rsid w:val="00FE2A64"/>
    <w:rsid w:val="00FE2A8D"/>
    <w:rsid w:val="00FE2A9B"/>
    <w:rsid w:val="00FE2A9C"/>
    <w:rsid w:val="00FE2B68"/>
    <w:rsid w:val="00FE2B82"/>
    <w:rsid w:val="00FE2B8C"/>
    <w:rsid w:val="00FE2B94"/>
    <w:rsid w:val="00FE2BC5"/>
    <w:rsid w:val="00FE2C0C"/>
    <w:rsid w:val="00FE2C2B"/>
    <w:rsid w:val="00FE2C63"/>
    <w:rsid w:val="00FE2CD6"/>
    <w:rsid w:val="00FE2CF9"/>
    <w:rsid w:val="00FE2D25"/>
    <w:rsid w:val="00FE2D6D"/>
    <w:rsid w:val="00FE2DA5"/>
    <w:rsid w:val="00FE2DE5"/>
    <w:rsid w:val="00FE2E01"/>
    <w:rsid w:val="00FE2E49"/>
    <w:rsid w:val="00FE2E5C"/>
    <w:rsid w:val="00FE2E78"/>
    <w:rsid w:val="00FE2E7B"/>
    <w:rsid w:val="00FE2EBF"/>
    <w:rsid w:val="00FE2EEE"/>
    <w:rsid w:val="00FE2EF1"/>
    <w:rsid w:val="00FE2F02"/>
    <w:rsid w:val="00FE2F05"/>
    <w:rsid w:val="00FE2F9B"/>
    <w:rsid w:val="00FE2FB4"/>
    <w:rsid w:val="00FE2FDB"/>
    <w:rsid w:val="00FE2FDF"/>
    <w:rsid w:val="00FE2FF1"/>
    <w:rsid w:val="00FE2FF4"/>
    <w:rsid w:val="00FE304E"/>
    <w:rsid w:val="00FE30A3"/>
    <w:rsid w:val="00FE30AB"/>
    <w:rsid w:val="00FE30C4"/>
    <w:rsid w:val="00FE3119"/>
    <w:rsid w:val="00FE3155"/>
    <w:rsid w:val="00FE31C3"/>
    <w:rsid w:val="00FE31CB"/>
    <w:rsid w:val="00FE31D5"/>
    <w:rsid w:val="00FE3233"/>
    <w:rsid w:val="00FE3353"/>
    <w:rsid w:val="00FE3359"/>
    <w:rsid w:val="00FE3365"/>
    <w:rsid w:val="00FE3380"/>
    <w:rsid w:val="00FE346E"/>
    <w:rsid w:val="00FE349A"/>
    <w:rsid w:val="00FE34FD"/>
    <w:rsid w:val="00FE3541"/>
    <w:rsid w:val="00FE354E"/>
    <w:rsid w:val="00FE3558"/>
    <w:rsid w:val="00FE3594"/>
    <w:rsid w:val="00FE35A4"/>
    <w:rsid w:val="00FE3606"/>
    <w:rsid w:val="00FE3660"/>
    <w:rsid w:val="00FE368D"/>
    <w:rsid w:val="00FE3732"/>
    <w:rsid w:val="00FE375C"/>
    <w:rsid w:val="00FE3768"/>
    <w:rsid w:val="00FE381B"/>
    <w:rsid w:val="00FE382B"/>
    <w:rsid w:val="00FE3869"/>
    <w:rsid w:val="00FE388E"/>
    <w:rsid w:val="00FE38BB"/>
    <w:rsid w:val="00FE38FB"/>
    <w:rsid w:val="00FE3924"/>
    <w:rsid w:val="00FE3970"/>
    <w:rsid w:val="00FE39A8"/>
    <w:rsid w:val="00FE3A10"/>
    <w:rsid w:val="00FE3A58"/>
    <w:rsid w:val="00FE3A8C"/>
    <w:rsid w:val="00FE3A99"/>
    <w:rsid w:val="00FE3AB5"/>
    <w:rsid w:val="00FE3B1F"/>
    <w:rsid w:val="00FE3B85"/>
    <w:rsid w:val="00FE3B90"/>
    <w:rsid w:val="00FE3BB4"/>
    <w:rsid w:val="00FE3C02"/>
    <w:rsid w:val="00FE3C30"/>
    <w:rsid w:val="00FE3C7F"/>
    <w:rsid w:val="00FE3CE4"/>
    <w:rsid w:val="00FE3D0F"/>
    <w:rsid w:val="00FE3D14"/>
    <w:rsid w:val="00FE3D58"/>
    <w:rsid w:val="00FE3D63"/>
    <w:rsid w:val="00FE3DCF"/>
    <w:rsid w:val="00FE3E62"/>
    <w:rsid w:val="00FE3E68"/>
    <w:rsid w:val="00FE3E91"/>
    <w:rsid w:val="00FE3EA1"/>
    <w:rsid w:val="00FE3F0D"/>
    <w:rsid w:val="00FE3F28"/>
    <w:rsid w:val="00FE3F48"/>
    <w:rsid w:val="00FE3F5A"/>
    <w:rsid w:val="00FE3FA7"/>
    <w:rsid w:val="00FE3FC6"/>
    <w:rsid w:val="00FE3FF1"/>
    <w:rsid w:val="00FE401E"/>
    <w:rsid w:val="00FE403B"/>
    <w:rsid w:val="00FE4048"/>
    <w:rsid w:val="00FE4052"/>
    <w:rsid w:val="00FE40B6"/>
    <w:rsid w:val="00FE40F9"/>
    <w:rsid w:val="00FE4106"/>
    <w:rsid w:val="00FE4192"/>
    <w:rsid w:val="00FE419B"/>
    <w:rsid w:val="00FE41A8"/>
    <w:rsid w:val="00FE41A9"/>
    <w:rsid w:val="00FE41BB"/>
    <w:rsid w:val="00FE4202"/>
    <w:rsid w:val="00FE420B"/>
    <w:rsid w:val="00FE424F"/>
    <w:rsid w:val="00FE42A1"/>
    <w:rsid w:val="00FE42E9"/>
    <w:rsid w:val="00FE4315"/>
    <w:rsid w:val="00FE431B"/>
    <w:rsid w:val="00FE43B8"/>
    <w:rsid w:val="00FE43E5"/>
    <w:rsid w:val="00FE440C"/>
    <w:rsid w:val="00FE4481"/>
    <w:rsid w:val="00FE4513"/>
    <w:rsid w:val="00FE453C"/>
    <w:rsid w:val="00FE454B"/>
    <w:rsid w:val="00FE4583"/>
    <w:rsid w:val="00FE4588"/>
    <w:rsid w:val="00FE4610"/>
    <w:rsid w:val="00FE4654"/>
    <w:rsid w:val="00FE4687"/>
    <w:rsid w:val="00FE4701"/>
    <w:rsid w:val="00FE4716"/>
    <w:rsid w:val="00FE471A"/>
    <w:rsid w:val="00FE4778"/>
    <w:rsid w:val="00FE477C"/>
    <w:rsid w:val="00FE47B8"/>
    <w:rsid w:val="00FE47C6"/>
    <w:rsid w:val="00FE47ED"/>
    <w:rsid w:val="00FE47FF"/>
    <w:rsid w:val="00FE481D"/>
    <w:rsid w:val="00FE484C"/>
    <w:rsid w:val="00FE48CA"/>
    <w:rsid w:val="00FE48DC"/>
    <w:rsid w:val="00FE4908"/>
    <w:rsid w:val="00FE4926"/>
    <w:rsid w:val="00FE493D"/>
    <w:rsid w:val="00FE4A00"/>
    <w:rsid w:val="00FE4A39"/>
    <w:rsid w:val="00FE4A5B"/>
    <w:rsid w:val="00FE4AB2"/>
    <w:rsid w:val="00FE4AB8"/>
    <w:rsid w:val="00FE4B10"/>
    <w:rsid w:val="00FE4B39"/>
    <w:rsid w:val="00FE4B6F"/>
    <w:rsid w:val="00FE4B92"/>
    <w:rsid w:val="00FE4BB0"/>
    <w:rsid w:val="00FE4C06"/>
    <w:rsid w:val="00FE4C2E"/>
    <w:rsid w:val="00FE4C62"/>
    <w:rsid w:val="00FE4CAC"/>
    <w:rsid w:val="00FE4CDC"/>
    <w:rsid w:val="00FE4D15"/>
    <w:rsid w:val="00FE4D25"/>
    <w:rsid w:val="00FE4E02"/>
    <w:rsid w:val="00FE4E78"/>
    <w:rsid w:val="00FE4ED9"/>
    <w:rsid w:val="00FE4F2F"/>
    <w:rsid w:val="00FE4F5B"/>
    <w:rsid w:val="00FE4F70"/>
    <w:rsid w:val="00FE4F79"/>
    <w:rsid w:val="00FE4FF4"/>
    <w:rsid w:val="00FE4FF6"/>
    <w:rsid w:val="00FE4FFB"/>
    <w:rsid w:val="00FE5017"/>
    <w:rsid w:val="00FE5024"/>
    <w:rsid w:val="00FE509F"/>
    <w:rsid w:val="00FE50A4"/>
    <w:rsid w:val="00FE50A5"/>
    <w:rsid w:val="00FE51EC"/>
    <w:rsid w:val="00FE5205"/>
    <w:rsid w:val="00FE5215"/>
    <w:rsid w:val="00FE522E"/>
    <w:rsid w:val="00FE5244"/>
    <w:rsid w:val="00FE527C"/>
    <w:rsid w:val="00FE5293"/>
    <w:rsid w:val="00FE52BF"/>
    <w:rsid w:val="00FE52E1"/>
    <w:rsid w:val="00FE52FF"/>
    <w:rsid w:val="00FE5349"/>
    <w:rsid w:val="00FE537D"/>
    <w:rsid w:val="00FE5392"/>
    <w:rsid w:val="00FE53A6"/>
    <w:rsid w:val="00FE5475"/>
    <w:rsid w:val="00FE5497"/>
    <w:rsid w:val="00FE54E4"/>
    <w:rsid w:val="00FE5572"/>
    <w:rsid w:val="00FE55F0"/>
    <w:rsid w:val="00FE566E"/>
    <w:rsid w:val="00FE567E"/>
    <w:rsid w:val="00FE56B6"/>
    <w:rsid w:val="00FE5700"/>
    <w:rsid w:val="00FE5701"/>
    <w:rsid w:val="00FE570F"/>
    <w:rsid w:val="00FE571E"/>
    <w:rsid w:val="00FE5723"/>
    <w:rsid w:val="00FE5740"/>
    <w:rsid w:val="00FE57A7"/>
    <w:rsid w:val="00FE57B4"/>
    <w:rsid w:val="00FE57DC"/>
    <w:rsid w:val="00FE582D"/>
    <w:rsid w:val="00FE5843"/>
    <w:rsid w:val="00FE5847"/>
    <w:rsid w:val="00FE5856"/>
    <w:rsid w:val="00FE5878"/>
    <w:rsid w:val="00FE58BB"/>
    <w:rsid w:val="00FE58E2"/>
    <w:rsid w:val="00FE5907"/>
    <w:rsid w:val="00FE590D"/>
    <w:rsid w:val="00FE5936"/>
    <w:rsid w:val="00FE595E"/>
    <w:rsid w:val="00FE598F"/>
    <w:rsid w:val="00FE59A8"/>
    <w:rsid w:val="00FE59D4"/>
    <w:rsid w:val="00FE59FB"/>
    <w:rsid w:val="00FE5A4F"/>
    <w:rsid w:val="00FE5AA0"/>
    <w:rsid w:val="00FE5AD6"/>
    <w:rsid w:val="00FE5B00"/>
    <w:rsid w:val="00FE5B24"/>
    <w:rsid w:val="00FE5B36"/>
    <w:rsid w:val="00FE5B4F"/>
    <w:rsid w:val="00FE5B85"/>
    <w:rsid w:val="00FE5BB0"/>
    <w:rsid w:val="00FE5BE4"/>
    <w:rsid w:val="00FE5C1D"/>
    <w:rsid w:val="00FE5C64"/>
    <w:rsid w:val="00FE5C8B"/>
    <w:rsid w:val="00FE5CDF"/>
    <w:rsid w:val="00FE5D47"/>
    <w:rsid w:val="00FE5DA8"/>
    <w:rsid w:val="00FE5DD6"/>
    <w:rsid w:val="00FE5E04"/>
    <w:rsid w:val="00FE5F78"/>
    <w:rsid w:val="00FE5FA6"/>
    <w:rsid w:val="00FE6024"/>
    <w:rsid w:val="00FE602F"/>
    <w:rsid w:val="00FE605B"/>
    <w:rsid w:val="00FE608D"/>
    <w:rsid w:val="00FE60D7"/>
    <w:rsid w:val="00FE6121"/>
    <w:rsid w:val="00FE614D"/>
    <w:rsid w:val="00FE6161"/>
    <w:rsid w:val="00FE6189"/>
    <w:rsid w:val="00FE61B6"/>
    <w:rsid w:val="00FE6249"/>
    <w:rsid w:val="00FE6288"/>
    <w:rsid w:val="00FE62C9"/>
    <w:rsid w:val="00FE6379"/>
    <w:rsid w:val="00FE637A"/>
    <w:rsid w:val="00FE642D"/>
    <w:rsid w:val="00FE642E"/>
    <w:rsid w:val="00FE645D"/>
    <w:rsid w:val="00FE649D"/>
    <w:rsid w:val="00FE6540"/>
    <w:rsid w:val="00FE6593"/>
    <w:rsid w:val="00FE659D"/>
    <w:rsid w:val="00FE65A4"/>
    <w:rsid w:val="00FE65D3"/>
    <w:rsid w:val="00FE665C"/>
    <w:rsid w:val="00FE6683"/>
    <w:rsid w:val="00FE66C8"/>
    <w:rsid w:val="00FE66FF"/>
    <w:rsid w:val="00FE670C"/>
    <w:rsid w:val="00FE6756"/>
    <w:rsid w:val="00FE6788"/>
    <w:rsid w:val="00FE679A"/>
    <w:rsid w:val="00FE67EE"/>
    <w:rsid w:val="00FE6800"/>
    <w:rsid w:val="00FE681D"/>
    <w:rsid w:val="00FE681E"/>
    <w:rsid w:val="00FE685E"/>
    <w:rsid w:val="00FE6876"/>
    <w:rsid w:val="00FE68A8"/>
    <w:rsid w:val="00FE699D"/>
    <w:rsid w:val="00FE69AD"/>
    <w:rsid w:val="00FE69C2"/>
    <w:rsid w:val="00FE6A14"/>
    <w:rsid w:val="00FE6A3F"/>
    <w:rsid w:val="00FE6A6F"/>
    <w:rsid w:val="00FE6A96"/>
    <w:rsid w:val="00FE6B6D"/>
    <w:rsid w:val="00FE6B6E"/>
    <w:rsid w:val="00FE6B84"/>
    <w:rsid w:val="00FE6BAF"/>
    <w:rsid w:val="00FE6BB7"/>
    <w:rsid w:val="00FE6BC0"/>
    <w:rsid w:val="00FE6BDC"/>
    <w:rsid w:val="00FE6C9C"/>
    <w:rsid w:val="00FE6CF4"/>
    <w:rsid w:val="00FE6D48"/>
    <w:rsid w:val="00FE6D59"/>
    <w:rsid w:val="00FE6D65"/>
    <w:rsid w:val="00FE6D72"/>
    <w:rsid w:val="00FE6DD1"/>
    <w:rsid w:val="00FE6E4D"/>
    <w:rsid w:val="00FE6E83"/>
    <w:rsid w:val="00FE6ECF"/>
    <w:rsid w:val="00FE6FC3"/>
    <w:rsid w:val="00FE701F"/>
    <w:rsid w:val="00FE702C"/>
    <w:rsid w:val="00FE7036"/>
    <w:rsid w:val="00FE7048"/>
    <w:rsid w:val="00FE707E"/>
    <w:rsid w:val="00FE70BA"/>
    <w:rsid w:val="00FE70DD"/>
    <w:rsid w:val="00FE70EE"/>
    <w:rsid w:val="00FE70EF"/>
    <w:rsid w:val="00FE7106"/>
    <w:rsid w:val="00FE7163"/>
    <w:rsid w:val="00FE7187"/>
    <w:rsid w:val="00FE71A5"/>
    <w:rsid w:val="00FE7233"/>
    <w:rsid w:val="00FE7272"/>
    <w:rsid w:val="00FE728C"/>
    <w:rsid w:val="00FE72E7"/>
    <w:rsid w:val="00FE731E"/>
    <w:rsid w:val="00FE7377"/>
    <w:rsid w:val="00FE73D4"/>
    <w:rsid w:val="00FE742E"/>
    <w:rsid w:val="00FE7486"/>
    <w:rsid w:val="00FE74D1"/>
    <w:rsid w:val="00FE754C"/>
    <w:rsid w:val="00FE7588"/>
    <w:rsid w:val="00FE759B"/>
    <w:rsid w:val="00FE75B7"/>
    <w:rsid w:val="00FE75E4"/>
    <w:rsid w:val="00FE7665"/>
    <w:rsid w:val="00FE76D4"/>
    <w:rsid w:val="00FE7715"/>
    <w:rsid w:val="00FE7730"/>
    <w:rsid w:val="00FE7741"/>
    <w:rsid w:val="00FE7745"/>
    <w:rsid w:val="00FE777C"/>
    <w:rsid w:val="00FE778D"/>
    <w:rsid w:val="00FE7797"/>
    <w:rsid w:val="00FE77C7"/>
    <w:rsid w:val="00FE7819"/>
    <w:rsid w:val="00FE7848"/>
    <w:rsid w:val="00FE7889"/>
    <w:rsid w:val="00FE789E"/>
    <w:rsid w:val="00FE7921"/>
    <w:rsid w:val="00FE7998"/>
    <w:rsid w:val="00FE79D2"/>
    <w:rsid w:val="00FE79F8"/>
    <w:rsid w:val="00FE7A43"/>
    <w:rsid w:val="00FE7ACF"/>
    <w:rsid w:val="00FE7AE0"/>
    <w:rsid w:val="00FE7AEE"/>
    <w:rsid w:val="00FE7AF3"/>
    <w:rsid w:val="00FE7AF6"/>
    <w:rsid w:val="00FE7B0D"/>
    <w:rsid w:val="00FE7B4D"/>
    <w:rsid w:val="00FE7B86"/>
    <w:rsid w:val="00FE7B8F"/>
    <w:rsid w:val="00FE7BCF"/>
    <w:rsid w:val="00FE7C28"/>
    <w:rsid w:val="00FE7C41"/>
    <w:rsid w:val="00FE7C48"/>
    <w:rsid w:val="00FE7CA1"/>
    <w:rsid w:val="00FE7CA7"/>
    <w:rsid w:val="00FE7CFA"/>
    <w:rsid w:val="00FE7D02"/>
    <w:rsid w:val="00FE7D3F"/>
    <w:rsid w:val="00FE7D5C"/>
    <w:rsid w:val="00FE7D5D"/>
    <w:rsid w:val="00FE7D71"/>
    <w:rsid w:val="00FE7D84"/>
    <w:rsid w:val="00FE7DB1"/>
    <w:rsid w:val="00FE7E33"/>
    <w:rsid w:val="00FE7E54"/>
    <w:rsid w:val="00FE7EB0"/>
    <w:rsid w:val="00FE7EB4"/>
    <w:rsid w:val="00FE7EB6"/>
    <w:rsid w:val="00FE7EBE"/>
    <w:rsid w:val="00FE7FD0"/>
    <w:rsid w:val="00FE7FD3"/>
    <w:rsid w:val="00FE7FE4"/>
    <w:rsid w:val="00FF00B8"/>
    <w:rsid w:val="00FF00D4"/>
    <w:rsid w:val="00FF00EE"/>
    <w:rsid w:val="00FF0114"/>
    <w:rsid w:val="00FF011D"/>
    <w:rsid w:val="00FF012C"/>
    <w:rsid w:val="00FF0234"/>
    <w:rsid w:val="00FF02BD"/>
    <w:rsid w:val="00FF02D1"/>
    <w:rsid w:val="00FF02EB"/>
    <w:rsid w:val="00FF02ED"/>
    <w:rsid w:val="00FF0305"/>
    <w:rsid w:val="00FF031A"/>
    <w:rsid w:val="00FF031C"/>
    <w:rsid w:val="00FF0339"/>
    <w:rsid w:val="00FF039A"/>
    <w:rsid w:val="00FF03B5"/>
    <w:rsid w:val="00FF0416"/>
    <w:rsid w:val="00FF04A4"/>
    <w:rsid w:val="00FF0506"/>
    <w:rsid w:val="00FF052D"/>
    <w:rsid w:val="00FF054F"/>
    <w:rsid w:val="00FF055D"/>
    <w:rsid w:val="00FF0585"/>
    <w:rsid w:val="00FF05A3"/>
    <w:rsid w:val="00FF061D"/>
    <w:rsid w:val="00FF0627"/>
    <w:rsid w:val="00FF0641"/>
    <w:rsid w:val="00FF064A"/>
    <w:rsid w:val="00FF066E"/>
    <w:rsid w:val="00FF0676"/>
    <w:rsid w:val="00FF06AF"/>
    <w:rsid w:val="00FF074D"/>
    <w:rsid w:val="00FF0753"/>
    <w:rsid w:val="00FF07F0"/>
    <w:rsid w:val="00FF083C"/>
    <w:rsid w:val="00FF087D"/>
    <w:rsid w:val="00FF0883"/>
    <w:rsid w:val="00FF0886"/>
    <w:rsid w:val="00FF08D9"/>
    <w:rsid w:val="00FF08DD"/>
    <w:rsid w:val="00FF0918"/>
    <w:rsid w:val="00FF096C"/>
    <w:rsid w:val="00FF0974"/>
    <w:rsid w:val="00FF09A9"/>
    <w:rsid w:val="00FF09ED"/>
    <w:rsid w:val="00FF0A32"/>
    <w:rsid w:val="00FF0A34"/>
    <w:rsid w:val="00FF0A41"/>
    <w:rsid w:val="00FF0A73"/>
    <w:rsid w:val="00FF0AC8"/>
    <w:rsid w:val="00FF0B69"/>
    <w:rsid w:val="00FF0B77"/>
    <w:rsid w:val="00FF0BCD"/>
    <w:rsid w:val="00FF0BFC"/>
    <w:rsid w:val="00FF0BFE"/>
    <w:rsid w:val="00FF0C5B"/>
    <w:rsid w:val="00FF0D1B"/>
    <w:rsid w:val="00FF0D2E"/>
    <w:rsid w:val="00FF0D33"/>
    <w:rsid w:val="00FF0D45"/>
    <w:rsid w:val="00FF0D5F"/>
    <w:rsid w:val="00FF0DBC"/>
    <w:rsid w:val="00FF0DC4"/>
    <w:rsid w:val="00FF0E9F"/>
    <w:rsid w:val="00FF0ECD"/>
    <w:rsid w:val="00FF0EDC"/>
    <w:rsid w:val="00FF0EDD"/>
    <w:rsid w:val="00FF0F49"/>
    <w:rsid w:val="00FF0FED"/>
    <w:rsid w:val="00FF1012"/>
    <w:rsid w:val="00FF1019"/>
    <w:rsid w:val="00FF10C2"/>
    <w:rsid w:val="00FF10C9"/>
    <w:rsid w:val="00FF10CF"/>
    <w:rsid w:val="00FF10E0"/>
    <w:rsid w:val="00FF1144"/>
    <w:rsid w:val="00FF116D"/>
    <w:rsid w:val="00FF1197"/>
    <w:rsid w:val="00FF1211"/>
    <w:rsid w:val="00FF1238"/>
    <w:rsid w:val="00FF1248"/>
    <w:rsid w:val="00FF127D"/>
    <w:rsid w:val="00FF12AC"/>
    <w:rsid w:val="00FF12DB"/>
    <w:rsid w:val="00FF12F1"/>
    <w:rsid w:val="00FF1332"/>
    <w:rsid w:val="00FF1362"/>
    <w:rsid w:val="00FF137F"/>
    <w:rsid w:val="00FF13AB"/>
    <w:rsid w:val="00FF13CC"/>
    <w:rsid w:val="00FF1505"/>
    <w:rsid w:val="00FF1515"/>
    <w:rsid w:val="00FF1541"/>
    <w:rsid w:val="00FF1587"/>
    <w:rsid w:val="00FF1588"/>
    <w:rsid w:val="00FF1597"/>
    <w:rsid w:val="00FF159A"/>
    <w:rsid w:val="00FF15A6"/>
    <w:rsid w:val="00FF1618"/>
    <w:rsid w:val="00FF163E"/>
    <w:rsid w:val="00FF1699"/>
    <w:rsid w:val="00FF16A5"/>
    <w:rsid w:val="00FF16B7"/>
    <w:rsid w:val="00FF1711"/>
    <w:rsid w:val="00FF1747"/>
    <w:rsid w:val="00FF1785"/>
    <w:rsid w:val="00FF185C"/>
    <w:rsid w:val="00FF188F"/>
    <w:rsid w:val="00FF18AE"/>
    <w:rsid w:val="00FF18FD"/>
    <w:rsid w:val="00FF1944"/>
    <w:rsid w:val="00FF197D"/>
    <w:rsid w:val="00FF1989"/>
    <w:rsid w:val="00FF1995"/>
    <w:rsid w:val="00FF19AF"/>
    <w:rsid w:val="00FF19DD"/>
    <w:rsid w:val="00FF1A2B"/>
    <w:rsid w:val="00FF1A61"/>
    <w:rsid w:val="00FF1AC4"/>
    <w:rsid w:val="00FF1AE2"/>
    <w:rsid w:val="00FF1B99"/>
    <w:rsid w:val="00FF1C07"/>
    <w:rsid w:val="00FF1C17"/>
    <w:rsid w:val="00FF1C2F"/>
    <w:rsid w:val="00FF1C34"/>
    <w:rsid w:val="00FF1C43"/>
    <w:rsid w:val="00FF1C71"/>
    <w:rsid w:val="00FF1D09"/>
    <w:rsid w:val="00FF1D58"/>
    <w:rsid w:val="00FF1D66"/>
    <w:rsid w:val="00FF1DF0"/>
    <w:rsid w:val="00FF1DF6"/>
    <w:rsid w:val="00FF1E22"/>
    <w:rsid w:val="00FF1E53"/>
    <w:rsid w:val="00FF1EE7"/>
    <w:rsid w:val="00FF1F21"/>
    <w:rsid w:val="00FF1F3E"/>
    <w:rsid w:val="00FF1F67"/>
    <w:rsid w:val="00FF1F82"/>
    <w:rsid w:val="00FF1F95"/>
    <w:rsid w:val="00FF1FEF"/>
    <w:rsid w:val="00FF1FF4"/>
    <w:rsid w:val="00FF20C3"/>
    <w:rsid w:val="00FF20D2"/>
    <w:rsid w:val="00FF213C"/>
    <w:rsid w:val="00FF2174"/>
    <w:rsid w:val="00FF218D"/>
    <w:rsid w:val="00FF2194"/>
    <w:rsid w:val="00FF2206"/>
    <w:rsid w:val="00FF2227"/>
    <w:rsid w:val="00FF2235"/>
    <w:rsid w:val="00FF223D"/>
    <w:rsid w:val="00FF226B"/>
    <w:rsid w:val="00FF2286"/>
    <w:rsid w:val="00FF22B0"/>
    <w:rsid w:val="00FF22C7"/>
    <w:rsid w:val="00FF22DE"/>
    <w:rsid w:val="00FF23EC"/>
    <w:rsid w:val="00FF2428"/>
    <w:rsid w:val="00FF243D"/>
    <w:rsid w:val="00FF2548"/>
    <w:rsid w:val="00FF254F"/>
    <w:rsid w:val="00FF2557"/>
    <w:rsid w:val="00FF2564"/>
    <w:rsid w:val="00FF25D1"/>
    <w:rsid w:val="00FF260E"/>
    <w:rsid w:val="00FF2610"/>
    <w:rsid w:val="00FF2670"/>
    <w:rsid w:val="00FF2723"/>
    <w:rsid w:val="00FF27D2"/>
    <w:rsid w:val="00FF27EF"/>
    <w:rsid w:val="00FF27F9"/>
    <w:rsid w:val="00FF27FB"/>
    <w:rsid w:val="00FF28B1"/>
    <w:rsid w:val="00FF28CE"/>
    <w:rsid w:val="00FF28D0"/>
    <w:rsid w:val="00FF2934"/>
    <w:rsid w:val="00FF298C"/>
    <w:rsid w:val="00FF29CA"/>
    <w:rsid w:val="00FF2A07"/>
    <w:rsid w:val="00FF2A2E"/>
    <w:rsid w:val="00FF2A6D"/>
    <w:rsid w:val="00FF2A71"/>
    <w:rsid w:val="00FF2AA9"/>
    <w:rsid w:val="00FF2AD6"/>
    <w:rsid w:val="00FF2AE1"/>
    <w:rsid w:val="00FF2B20"/>
    <w:rsid w:val="00FF2B5E"/>
    <w:rsid w:val="00FF2BE9"/>
    <w:rsid w:val="00FF2BFA"/>
    <w:rsid w:val="00FF2C0D"/>
    <w:rsid w:val="00FF2C37"/>
    <w:rsid w:val="00FF2D06"/>
    <w:rsid w:val="00FF2D64"/>
    <w:rsid w:val="00FF2D98"/>
    <w:rsid w:val="00FF2DA9"/>
    <w:rsid w:val="00FF2E24"/>
    <w:rsid w:val="00FF2E83"/>
    <w:rsid w:val="00FF2EB6"/>
    <w:rsid w:val="00FF2F0A"/>
    <w:rsid w:val="00FF2F75"/>
    <w:rsid w:val="00FF2F77"/>
    <w:rsid w:val="00FF3043"/>
    <w:rsid w:val="00FF30AE"/>
    <w:rsid w:val="00FF3122"/>
    <w:rsid w:val="00FF31AE"/>
    <w:rsid w:val="00FF31B6"/>
    <w:rsid w:val="00FF31B9"/>
    <w:rsid w:val="00FF31C4"/>
    <w:rsid w:val="00FF31D0"/>
    <w:rsid w:val="00FF31DC"/>
    <w:rsid w:val="00FF324A"/>
    <w:rsid w:val="00FF32A9"/>
    <w:rsid w:val="00FF3326"/>
    <w:rsid w:val="00FF3394"/>
    <w:rsid w:val="00FF33FC"/>
    <w:rsid w:val="00FF346C"/>
    <w:rsid w:val="00FF34B3"/>
    <w:rsid w:val="00FF3512"/>
    <w:rsid w:val="00FF3526"/>
    <w:rsid w:val="00FF356A"/>
    <w:rsid w:val="00FF3598"/>
    <w:rsid w:val="00FF35A9"/>
    <w:rsid w:val="00FF35BE"/>
    <w:rsid w:val="00FF35EC"/>
    <w:rsid w:val="00FF369E"/>
    <w:rsid w:val="00FF36BA"/>
    <w:rsid w:val="00FF36CA"/>
    <w:rsid w:val="00FF36E1"/>
    <w:rsid w:val="00FF36F3"/>
    <w:rsid w:val="00FF3742"/>
    <w:rsid w:val="00FF3764"/>
    <w:rsid w:val="00FF3767"/>
    <w:rsid w:val="00FF3777"/>
    <w:rsid w:val="00FF3792"/>
    <w:rsid w:val="00FF3806"/>
    <w:rsid w:val="00FF386C"/>
    <w:rsid w:val="00FF388B"/>
    <w:rsid w:val="00FF38A6"/>
    <w:rsid w:val="00FF394E"/>
    <w:rsid w:val="00FF3983"/>
    <w:rsid w:val="00FF39A8"/>
    <w:rsid w:val="00FF39AE"/>
    <w:rsid w:val="00FF39F0"/>
    <w:rsid w:val="00FF3A4D"/>
    <w:rsid w:val="00FF3A92"/>
    <w:rsid w:val="00FF3AD4"/>
    <w:rsid w:val="00FF3AD8"/>
    <w:rsid w:val="00FF3B02"/>
    <w:rsid w:val="00FF3B3F"/>
    <w:rsid w:val="00FF3B4A"/>
    <w:rsid w:val="00FF3B51"/>
    <w:rsid w:val="00FF3BA4"/>
    <w:rsid w:val="00FF3C78"/>
    <w:rsid w:val="00FF3D33"/>
    <w:rsid w:val="00FF3DA3"/>
    <w:rsid w:val="00FF3E19"/>
    <w:rsid w:val="00FF3E71"/>
    <w:rsid w:val="00FF3E73"/>
    <w:rsid w:val="00FF3EB7"/>
    <w:rsid w:val="00FF3ED0"/>
    <w:rsid w:val="00FF3ED6"/>
    <w:rsid w:val="00FF3EF2"/>
    <w:rsid w:val="00FF3F6B"/>
    <w:rsid w:val="00FF3FE0"/>
    <w:rsid w:val="00FF4015"/>
    <w:rsid w:val="00FF4020"/>
    <w:rsid w:val="00FF4027"/>
    <w:rsid w:val="00FF4028"/>
    <w:rsid w:val="00FF402C"/>
    <w:rsid w:val="00FF4051"/>
    <w:rsid w:val="00FF40A8"/>
    <w:rsid w:val="00FF40F7"/>
    <w:rsid w:val="00FF4152"/>
    <w:rsid w:val="00FF415E"/>
    <w:rsid w:val="00FF41C3"/>
    <w:rsid w:val="00FF41CA"/>
    <w:rsid w:val="00FF41D9"/>
    <w:rsid w:val="00FF4248"/>
    <w:rsid w:val="00FF424D"/>
    <w:rsid w:val="00FF4250"/>
    <w:rsid w:val="00FF4271"/>
    <w:rsid w:val="00FF4327"/>
    <w:rsid w:val="00FF4328"/>
    <w:rsid w:val="00FF4352"/>
    <w:rsid w:val="00FF4359"/>
    <w:rsid w:val="00FF436A"/>
    <w:rsid w:val="00FF438A"/>
    <w:rsid w:val="00FF43BC"/>
    <w:rsid w:val="00FF43CE"/>
    <w:rsid w:val="00FF43E7"/>
    <w:rsid w:val="00FF43EC"/>
    <w:rsid w:val="00FF43FC"/>
    <w:rsid w:val="00FF4402"/>
    <w:rsid w:val="00FF440B"/>
    <w:rsid w:val="00FF4410"/>
    <w:rsid w:val="00FF4411"/>
    <w:rsid w:val="00FF4440"/>
    <w:rsid w:val="00FF4443"/>
    <w:rsid w:val="00FF4489"/>
    <w:rsid w:val="00FF44B5"/>
    <w:rsid w:val="00FF44C8"/>
    <w:rsid w:val="00FF455B"/>
    <w:rsid w:val="00FF45B1"/>
    <w:rsid w:val="00FF45D6"/>
    <w:rsid w:val="00FF4639"/>
    <w:rsid w:val="00FF4666"/>
    <w:rsid w:val="00FF4715"/>
    <w:rsid w:val="00FF476F"/>
    <w:rsid w:val="00FF4791"/>
    <w:rsid w:val="00FF4792"/>
    <w:rsid w:val="00FF4796"/>
    <w:rsid w:val="00FF4816"/>
    <w:rsid w:val="00FF486E"/>
    <w:rsid w:val="00FF4876"/>
    <w:rsid w:val="00FF4888"/>
    <w:rsid w:val="00FF48B6"/>
    <w:rsid w:val="00FF48CC"/>
    <w:rsid w:val="00FF48F8"/>
    <w:rsid w:val="00FF4921"/>
    <w:rsid w:val="00FF4945"/>
    <w:rsid w:val="00FF4986"/>
    <w:rsid w:val="00FF498A"/>
    <w:rsid w:val="00FF49D0"/>
    <w:rsid w:val="00FF49E8"/>
    <w:rsid w:val="00FF49F3"/>
    <w:rsid w:val="00FF4A15"/>
    <w:rsid w:val="00FF4A4E"/>
    <w:rsid w:val="00FF4A84"/>
    <w:rsid w:val="00FF4A9A"/>
    <w:rsid w:val="00FF4AAD"/>
    <w:rsid w:val="00FF4AB2"/>
    <w:rsid w:val="00FF4ADE"/>
    <w:rsid w:val="00FF4B51"/>
    <w:rsid w:val="00FF4B5F"/>
    <w:rsid w:val="00FF4B82"/>
    <w:rsid w:val="00FF4C00"/>
    <w:rsid w:val="00FF4C0F"/>
    <w:rsid w:val="00FF4C29"/>
    <w:rsid w:val="00FF4C80"/>
    <w:rsid w:val="00FF4CC5"/>
    <w:rsid w:val="00FF4D34"/>
    <w:rsid w:val="00FF4D3C"/>
    <w:rsid w:val="00FF4D94"/>
    <w:rsid w:val="00FF4DB7"/>
    <w:rsid w:val="00FF4DDC"/>
    <w:rsid w:val="00FF4E47"/>
    <w:rsid w:val="00FF4EA2"/>
    <w:rsid w:val="00FF4EB8"/>
    <w:rsid w:val="00FF4ED2"/>
    <w:rsid w:val="00FF4EDF"/>
    <w:rsid w:val="00FF4EEE"/>
    <w:rsid w:val="00FF4F38"/>
    <w:rsid w:val="00FF4F64"/>
    <w:rsid w:val="00FF4F85"/>
    <w:rsid w:val="00FF4F95"/>
    <w:rsid w:val="00FF4FD0"/>
    <w:rsid w:val="00FF4FD6"/>
    <w:rsid w:val="00FF4FF8"/>
    <w:rsid w:val="00FF5010"/>
    <w:rsid w:val="00FF5040"/>
    <w:rsid w:val="00FF504E"/>
    <w:rsid w:val="00FF505E"/>
    <w:rsid w:val="00FF509B"/>
    <w:rsid w:val="00FF50C7"/>
    <w:rsid w:val="00FF511E"/>
    <w:rsid w:val="00FF5168"/>
    <w:rsid w:val="00FF517F"/>
    <w:rsid w:val="00FF51AB"/>
    <w:rsid w:val="00FF51AF"/>
    <w:rsid w:val="00FF51DE"/>
    <w:rsid w:val="00FF51F2"/>
    <w:rsid w:val="00FF5229"/>
    <w:rsid w:val="00FF5233"/>
    <w:rsid w:val="00FF5283"/>
    <w:rsid w:val="00FF52BD"/>
    <w:rsid w:val="00FF52C4"/>
    <w:rsid w:val="00FF52D1"/>
    <w:rsid w:val="00FF5301"/>
    <w:rsid w:val="00FF5309"/>
    <w:rsid w:val="00FF5356"/>
    <w:rsid w:val="00FF5359"/>
    <w:rsid w:val="00FF5365"/>
    <w:rsid w:val="00FF537E"/>
    <w:rsid w:val="00FF53C0"/>
    <w:rsid w:val="00FF53CF"/>
    <w:rsid w:val="00FF53D9"/>
    <w:rsid w:val="00FF545D"/>
    <w:rsid w:val="00FF5472"/>
    <w:rsid w:val="00FF54B5"/>
    <w:rsid w:val="00FF54C5"/>
    <w:rsid w:val="00FF54C8"/>
    <w:rsid w:val="00FF54D2"/>
    <w:rsid w:val="00FF54E9"/>
    <w:rsid w:val="00FF5516"/>
    <w:rsid w:val="00FF5526"/>
    <w:rsid w:val="00FF5536"/>
    <w:rsid w:val="00FF5560"/>
    <w:rsid w:val="00FF5585"/>
    <w:rsid w:val="00FF55B6"/>
    <w:rsid w:val="00FF5603"/>
    <w:rsid w:val="00FF564B"/>
    <w:rsid w:val="00FF568D"/>
    <w:rsid w:val="00FF56A4"/>
    <w:rsid w:val="00FF56EB"/>
    <w:rsid w:val="00FF5701"/>
    <w:rsid w:val="00FF570C"/>
    <w:rsid w:val="00FF571E"/>
    <w:rsid w:val="00FF572A"/>
    <w:rsid w:val="00FF575F"/>
    <w:rsid w:val="00FF57A6"/>
    <w:rsid w:val="00FF57CD"/>
    <w:rsid w:val="00FF5916"/>
    <w:rsid w:val="00FF5A31"/>
    <w:rsid w:val="00FF5A7E"/>
    <w:rsid w:val="00FF5B23"/>
    <w:rsid w:val="00FF5B29"/>
    <w:rsid w:val="00FF5B78"/>
    <w:rsid w:val="00FF5B81"/>
    <w:rsid w:val="00FF5B9B"/>
    <w:rsid w:val="00FF5BAE"/>
    <w:rsid w:val="00FF5C06"/>
    <w:rsid w:val="00FF5CE9"/>
    <w:rsid w:val="00FF5D55"/>
    <w:rsid w:val="00FF5DB7"/>
    <w:rsid w:val="00FF5E26"/>
    <w:rsid w:val="00FF5E5B"/>
    <w:rsid w:val="00FF5E6E"/>
    <w:rsid w:val="00FF5E7C"/>
    <w:rsid w:val="00FF5F0F"/>
    <w:rsid w:val="00FF5F61"/>
    <w:rsid w:val="00FF5FF4"/>
    <w:rsid w:val="00FF6016"/>
    <w:rsid w:val="00FF602C"/>
    <w:rsid w:val="00FF6037"/>
    <w:rsid w:val="00FF60AD"/>
    <w:rsid w:val="00FF60B8"/>
    <w:rsid w:val="00FF60BE"/>
    <w:rsid w:val="00FF6106"/>
    <w:rsid w:val="00FF6152"/>
    <w:rsid w:val="00FF61D1"/>
    <w:rsid w:val="00FF6204"/>
    <w:rsid w:val="00FF6233"/>
    <w:rsid w:val="00FF626B"/>
    <w:rsid w:val="00FF6381"/>
    <w:rsid w:val="00FF63C9"/>
    <w:rsid w:val="00FF640C"/>
    <w:rsid w:val="00FF642A"/>
    <w:rsid w:val="00FF645A"/>
    <w:rsid w:val="00FF646F"/>
    <w:rsid w:val="00FF6494"/>
    <w:rsid w:val="00FF64CE"/>
    <w:rsid w:val="00FF6503"/>
    <w:rsid w:val="00FF6539"/>
    <w:rsid w:val="00FF6572"/>
    <w:rsid w:val="00FF6590"/>
    <w:rsid w:val="00FF65C4"/>
    <w:rsid w:val="00FF65D9"/>
    <w:rsid w:val="00FF65E8"/>
    <w:rsid w:val="00FF6682"/>
    <w:rsid w:val="00FF66B4"/>
    <w:rsid w:val="00FF66BA"/>
    <w:rsid w:val="00FF6771"/>
    <w:rsid w:val="00FF67E7"/>
    <w:rsid w:val="00FF67EB"/>
    <w:rsid w:val="00FF6832"/>
    <w:rsid w:val="00FF6841"/>
    <w:rsid w:val="00FF6850"/>
    <w:rsid w:val="00FF685D"/>
    <w:rsid w:val="00FF691D"/>
    <w:rsid w:val="00FF692D"/>
    <w:rsid w:val="00FF697F"/>
    <w:rsid w:val="00FF6987"/>
    <w:rsid w:val="00FF6996"/>
    <w:rsid w:val="00FF69E0"/>
    <w:rsid w:val="00FF69F0"/>
    <w:rsid w:val="00FF6A26"/>
    <w:rsid w:val="00FF6A58"/>
    <w:rsid w:val="00FF6A94"/>
    <w:rsid w:val="00FF6AAE"/>
    <w:rsid w:val="00FF6AB9"/>
    <w:rsid w:val="00FF6B51"/>
    <w:rsid w:val="00FF6B5E"/>
    <w:rsid w:val="00FF6B5F"/>
    <w:rsid w:val="00FF6B9A"/>
    <w:rsid w:val="00FF6BED"/>
    <w:rsid w:val="00FF6BEE"/>
    <w:rsid w:val="00FF6BF8"/>
    <w:rsid w:val="00FF6C17"/>
    <w:rsid w:val="00FF6C41"/>
    <w:rsid w:val="00FF6C71"/>
    <w:rsid w:val="00FF6CAD"/>
    <w:rsid w:val="00FF6CB8"/>
    <w:rsid w:val="00FF6D19"/>
    <w:rsid w:val="00FF6D43"/>
    <w:rsid w:val="00FF6DA2"/>
    <w:rsid w:val="00FF6DB0"/>
    <w:rsid w:val="00FF6DB8"/>
    <w:rsid w:val="00FF6DC2"/>
    <w:rsid w:val="00FF6DD3"/>
    <w:rsid w:val="00FF6E72"/>
    <w:rsid w:val="00FF6E91"/>
    <w:rsid w:val="00FF6EE2"/>
    <w:rsid w:val="00FF6F0D"/>
    <w:rsid w:val="00FF6F20"/>
    <w:rsid w:val="00FF6F37"/>
    <w:rsid w:val="00FF6F64"/>
    <w:rsid w:val="00FF6F67"/>
    <w:rsid w:val="00FF6F87"/>
    <w:rsid w:val="00FF6F92"/>
    <w:rsid w:val="00FF6FAD"/>
    <w:rsid w:val="00FF7025"/>
    <w:rsid w:val="00FF7040"/>
    <w:rsid w:val="00FF705A"/>
    <w:rsid w:val="00FF7074"/>
    <w:rsid w:val="00FF70B5"/>
    <w:rsid w:val="00FF70C1"/>
    <w:rsid w:val="00FF70E4"/>
    <w:rsid w:val="00FF70EE"/>
    <w:rsid w:val="00FF7119"/>
    <w:rsid w:val="00FF71BE"/>
    <w:rsid w:val="00FF71C5"/>
    <w:rsid w:val="00FF71EC"/>
    <w:rsid w:val="00FF7208"/>
    <w:rsid w:val="00FF7281"/>
    <w:rsid w:val="00FF72E2"/>
    <w:rsid w:val="00FF72F1"/>
    <w:rsid w:val="00FF7302"/>
    <w:rsid w:val="00FF731A"/>
    <w:rsid w:val="00FF7331"/>
    <w:rsid w:val="00FF7359"/>
    <w:rsid w:val="00FF73CC"/>
    <w:rsid w:val="00FF73FB"/>
    <w:rsid w:val="00FF7451"/>
    <w:rsid w:val="00FF7452"/>
    <w:rsid w:val="00FF745F"/>
    <w:rsid w:val="00FF747F"/>
    <w:rsid w:val="00FF748F"/>
    <w:rsid w:val="00FF74E4"/>
    <w:rsid w:val="00FF75A3"/>
    <w:rsid w:val="00FF75AF"/>
    <w:rsid w:val="00FF75B4"/>
    <w:rsid w:val="00FF75C8"/>
    <w:rsid w:val="00FF75E6"/>
    <w:rsid w:val="00FF7606"/>
    <w:rsid w:val="00FF760D"/>
    <w:rsid w:val="00FF7640"/>
    <w:rsid w:val="00FF7670"/>
    <w:rsid w:val="00FF7684"/>
    <w:rsid w:val="00FF770F"/>
    <w:rsid w:val="00FF7717"/>
    <w:rsid w:val="00FF7734"/>
    <w:rsid w:val="00FF7749"/>
    <w:rsid w:val="00FF775F"/>
    <w:rsid w:val="00FF77A2"/>
    <w:rsid w:val="00FF7804"/>
    <w:rsid w:val="00FF780B"/>
    <w:rsid w:val="00FF7819"/>
    <w:rsid w:val="00FF7827"/>
    <w:rsid w:val="00FF7849"/>
    <w:rsid w:val="00FF78E0"/>
    <w:rsid w:val="00FF78ED"/>
    <w:rsid w:val="00FF7913"/>
    <w:rsid w:val="00FF791E"/>
    <w:rsid w:val="00FF7952"/>
    <w:rsid w:val="00FF797C"/>
    <w:rsid w:val="00FF79A8"/>
    <w:rsid w:val="00FF79A9"/>
    <w:rsid w:val="00FF7A1F"/>
    <w:rsid w:val="00FF7A74"/>
    <w:rsid w:val="00FF7A9E"/>
    <w:rsid w:val="00FF7AA4"/>
    <w:rsid w:val="00FF7AA9"/>
    <w:rsid w:val="00FF7B07"/>
    <w:rsid w:val="00FF7B1A"/>
    <w:rsid w:val="00FF7BB5"/>
    <w:rsid w:val="00FF7BE6"/>
    <w:rsid w:val="00FF7C4A"/>
    <w:rsid w:val="00FF7C9E"/>
    <w:rsid w:val="00FF7CAB"/>
    <w:rsid w:val="00FF7CE2"/>
    <w:rsid w:val="00FF7D1B"/>
    <w:rsid w:val="00FF7D28"/>
    <w:rsid w:val="00FF7D43"/>
    <w:rsid w:val="00FF7D52"/>
    <w:rsid w:val="00FF7D61"/>
    <w:rsid w:val="00FF7D68"/>
    <w:rsid w:val="00FF7D86"/>
    <w:rsid w:val="00FF7D93"/>
    <w:rsid w:val="00FF7D98"/>
    <w:rsid w:val="00FF7DA2"/>
    <w:rsid w:val="00FF7DDF"/>
    <w:rsid w:val="00FF7E75"/>
    <w:rsid w:val="00FF7EE7"/>
    <w:rsid w:val="00FF7F4A"/>
    <w:rsid w:val="00FF7F74"/>
    <w:rsid w:val="00FF7F80"/>
    <w:rsid w:val="00FF7FD8"/>
    <w:rsid w:val="097A9B7C"/>
    <w:rsid w:val="0F7BD2FC"/>
    <w:rsid w:val="1012CE54"/>
    <w:rsid w:val="165D4A84"/>
    <w:rsid w:val="1A56E314"/>
    <w:rsid w:val="1DB57C1E"/>
    <w:rsid w:val="2BE828B1"/>
    <w:rsid w:val="3AA314C7"/>
    <w:rsid w:val="3FB9CCF9"/>
    <w:rsid w:val="48DC18AF"/>
    <w:rsid w:val="511ED636"/>
    <w:rsid w:val="6050D375"/>
    <w:rsid w:val="6A9E1B1A"/>
    <w:rsid w:val="6B0CB6CE"/>
    <w:rsid w:val="771239C8"/>
    <w:rsid w:val="7CD6FA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D76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132"/>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4F5132"/>
    <w:pPr>
      <w:spacing w:before="600" w:line="460" w:lineRule="exact"/>
      <w:outlineLvl w:val="0"/>
    </w:pPr>
    <w:rPr>
      <w:b/>
      <w:bCs w:val="0"/>
      <w:color w:val="5D779D" w:themeColor="accent3"/>
      <w:sz w:val="44"/>
    </w:rPr>
  </w:style>
  <w:style w:type="paragraph" w:styleId="Heading2">
    <w:name w:val="heading 2"/>
    <w:basedOn w:val="HeadingBase"/>
    <w:next w:val="Normal"/>
    <w:link w:val="Heading2Char"/>
    <w:qFormat/>
    <w:rsid w:val="004F5132"/>
    <w:pPr>
      <w:spacing w:before="360" w:line="460" w:lineRule="exact"/>
      <w:outlineLvl w:val="1"/>
    </w:pPr>
    <w:rPr>
      <w:bCs w:val="0"/>
      <w:iCs/>
      <w:color w:val="2C384A" w:themeColor="accent1"/>
      <w:sz w:val="36"/>
      <w:szCs w:val="28"/>
    </w:rPr>
  </w:style>
  <w:style w:type="paragraph" w:styleId="Heading3">
    <w:name w:val="heading 3"/>
    <w:basedOn w:val="HeadingBase"/>
    <w:next w:val="Normal"/>
    <w:link w:val="Heading3Char"/>
    <w:qFormat/>
    <w:rsid w:val="004F5132"/>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4F5132"/>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4F5132"/>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4F5132"/>
    <w:pPr>
      <w:spacing w:before="120" w:after="0" w:line="276" w:lineRule="auto"/>
      <w:outlineLvl w:val="5"/>
    </w:pPr>
    <w:rPr>
      <w:rFonts w:ascii="Calibri Light" w:hAnsi="Calibri Light"/>
      <w:bCs w:val="0"/>
      <w:color w:val="000000" w:themeColor="text1"/>
      <w:sz w:val="22"/>
      <w:szCs w:val="22"/>
    </w:rPr>
  </w:style>
  <w:style w:type="paragraph" w:styleId="Heading7">
    <w:name w:val="heading 7"/>
    <w:basedOn w:val="Normal"/>
    <w:next w:val="Normal"/>
    <w:link w:val="Heading7Char"/>
    <w:uiPriority w:val="9"/>
    <w:semiHidden/>
    <w:unhideWhenUsed/>
    <w:qFormat/>
    <w:rsid w:val="00101C46"/>
    <w:pPr>
      <w:keepNext/>
      <w:keepLines/>
      <w:numPr>
        <w:ilvl w:val="6"/>
        <w:numId w:val="11"/>
      </w:numPr>
      <w:spacing w:before="40" w:after="0"/>
      <w:outlineLvl w:val="6"/>
    </w:pPr>
    <w:rPr>
      <w:rFonts w:asciiTheme="majorHAnsi" w:eastAsiaTheme="majorEastAsia" w:hAnsiTheme="majorHAnsi" w:cstheme="majorBidi"/>
      <w:i/>
      <w:iCs/>
      <w:color w:val="161B24" w:themeColor="accent1" w:themeShade="7F"/>
    </w:rPr>
  </w:style>
  <w:style w:type="paragraph" w:styleId="Heading8">
    <w:name w:val="heading 8"/>
    <w:basedOn w:val="Normal"/>
    <w:next w:val="Normal"/>
    <w:link w:val="Heading8Char"/>
    <w:uiPriority w:val="9"/>
    <w:semiHidden/>
    <w:unhideWhenUsed/>
    <w:qFormat/>
    <w:rsid w:val="00101C46"/>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01C46"/>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5132"/>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rsid w:val="004F5132"/>
    <w:rPr>
      <w:rFonts w:ascii="Calibri" w:eastAsia="Times New Roman" w:hAnsi="Calibri" w:cs="Arial"/>
      <w:iCs/>
      <w:color w:val="2C384A" w:themeColor="accent1"/>
      <w:kern w:val="32"/>
      <w:sz w:val="36"/>
      <w:szCs w:val="28"/>
      <w:lang w:eastAsia="en-AU"/>
    </w:rPr>
  </w:style>
  <w:style w:type="character" w:customStyle="1" w:styleId="Heading3Char">
    <w:name w:val="Heading 3 Char"/>
    <w:basedOn w:val="DefaultParagraphFont"/>
    <w:link w:val="Heading3"/>
    <w:rsid w:val="004F5132"/>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4F5132"/>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4F5132"/>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4F5132"/>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78672A"/>
    <w:pPr>
      <w:keepNext/>
      <w:spacing w:after="0"/>
      <w:jc w:val="center"/>
    </w:pPr>
    <w:rPr>
      <w:noProof/>
      <w:color w:val="004A7F"/>
      <w:sz w:val="20"/>
    </w:rPr>
  </w:style>
  <w:style w:type="paragraph" w:customStyle="1" w:styleId="AlphaParagraph">
    <w:name w:val="Alpha Paragraph"/>
    <w:basedOn w:val="Normal"/>
    <w:qFormat/>
    <w:rsid w:val="004F5132"/>
    <w:pPr>
      <w:numPr>
        <w:ilvl w:val="1"/>
        <w:numId w:val="7"/>
      </w:numPr>
      <w:spacing w:before="0"/>
    </w:pPr>
  </w:style>
  <w:style w:type="character" w:customStyle="1" w:styleId="DashChar">
    <w:name w:val="Dash Char"/>
    <w:basedOn w:val="DefaultParagraphFont"/>
    <w:link w:val="Dash"/>
    <w:uiPriority w:val="99"/>
    <w:locked/>
    <w:rsid w:val="004F5132"/>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uiPriority w:val="99"/>
    <w:locked/>
    <w:rsid w:val="004F5132"/>
    <w:rPr>
      <w:rFonts w:ascii="Calibri Light" w:eastAsia="Times New Roman" w:hAnsi="Calibri Light" w:cs="Times New Roman"/>
      <w:szCs w:val="20"/>
      <w:lang w:eastAsia="en-AU"/>
    </w:rPr>
  </w:style>
  <w:style w:type="character" w:customStyle="1" w:styleId="BulletChar">
    <w:name w:val="Bullet Char"/>
    <w:aliases w:val="Body Char,BodyNum Char,Bullet + line Char,Bullet Char1 Char,Bullet Char1 Char Char Char Char1,Bullet Char1 Char Char Char Char Char1,Bullet Char1 Char Char Char Char Char Char,b Char,b + line Char,b1 Char,b1 Char Char Char Char,bulleted Char"/>
    <w:basedOn w:val="DefaultParagraphFont"/>
    <w:link w:val="Bullet"/>
    <w:locked/>
    <w:rsid w:val="004F5132"/>
    <w:rPr>
      <w:rFonts w:ascii="Calibri Light" w:eastAsia="Times New Roman" w:hAnsi="Calibri Light" w:cs="Times New Roman"/>
      <w:szCs w:val="20"/>
      <w:lang w:eastAsia="en-AU"/>
    </w:rPr>
  </w:style>
  <w:style w:type="paragraph" w:customStyle="1" w:styleId="BoxHeading">
    <w:name w:val="Box Heading"/>
    <w:basedOn w:val="Normal"/>
    <w:next w:val="Normal"/>
    <w:rsid w:val="00110D67"/>
    <w:pPr>
      <w:keepNext/>
      <w:spacing w:before="200"/>
    </w:pPr>
    <w:rPr>
      <w:b/>
      <w:bCs/>
      <w:color w:val="2C384A" w:themeColor="accent1"/>
      <w:sz w:val="26"/>
      <w:szCs w:val="26"/>
    </w:rPr>
  </w:style>
  <w:style w:type="paragraph" w:customStyle="1" w:styleId="BoxText">
    <w:name w:val="Box Text"/>
    <w:basedOn w:val="Normal"/>
    <w:link w:val="BoxTextChar"/>
    <w:rsid w:val="0078672A"/>
    <w:rPr>
      <w:color w:val="000000" w:themeColor="text1"/>
      <w:sz w:val="20"/>
    </w:rPr>
  </w:style>
  <w:style w:type="paragraph" w:customStyle="1" w:styleId="Bullet">
    <w:name w:val="Bullet"/>
    <w:aliases w:val="Body,BodyNum,Bullet + line,Bullet Char1,Bullet Char1 Char Char Char,Bullet Char1 Char Char Char Char,Bullet Char1 Char Char Char Char Char,b,b + line,b1,b1 Char Char Char,bulleted,level 1"/>
    <w:basedOn w:val="Normal"/>
    <w:link w:val="BulletChar"/>
    <w:qFormat/>
    <w:rsid w:val="004F5132"/>
    <w:pPr>
      <w:numPr>
        <w:numId w:val="9"/>
      </w:numPr>
      <w:tabs>
        <w:tab w:val="left" w:pos="720"/>
      </w:tabs>
      <w:spacing w:before="0" w:line="276" w:lineRule="auto"/>
    </w:pPr>
  </w:style>
  <w:style w:type="paragraph" w:customStyle="1" w:styleId="ChartandTableFootnoteAlpha">
    <w:name w:val="Chart and Table Footnote Alpha"/>
    <w:rsid w:val="004F5132"/>
    <w:pPr>
      <w:numPr>
        <w:numId w:val="8"/>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0E24B2"/>
    <w:pPr>
      <w:jc w:val="center"/>
    </w:pPr>
  </w:style>
  <w:style w:type="paragraph" w:customStyle="1" w:styleId="ChartorTableNote">
    <w:name w:val="Chart or Table Note"/>
    <w:next w:val="Normal"/>
    <w:rsid w:val="00110D67"/>
    <w:pPr>
      <w:spacing w:after="240" w:line="240" w:lineRule="auto"/>
      <w:ind w:left="720" w:hanging="720"/>
      <w:contextualSpacing/>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4F5132"/>
    <w:pPr>
      <w:jc w:val="center"/>
    </w:pPr>
    <w:rPr>
      <w:b w:val="0"/>
      <w:bCs/>
    </w:rPr>
  </w:style>
  <w:style w:type="paragraph" w:customStyle="1" w:styleId="ReportDate">
    <w:name w:val="Report Date"/>
    <w:basedOn w:val="Normal"/>
    <w:link w:val="ReportDateChar"/>
    <w:rsid w:val="00851F7E"/>
    <w:pPr>
      <w:keepNext/>
      <w:spacing w:before="0" w:after="360"/>
    </w:pPr>
    <w:rPr>
      <w:color w:val="5F5F5F" w:themeColor="text2"/>
      <w:sz w:val="32"/>
    </w:rPr>
  </w:style>
  <w:style w:type="paragraph" w:customStyle="1" w:styleId="Dash">
    <w:name w:val="Dash"/>
    <w:basedOn w:val="Normal"/>
    <w:link w:val="DashChar"/>
    <w:uiPriority w:val="99"/>
    <w:qFormat/>
    <w:rsid w:val="004F5132"/>
    <w:pPr>
      <w:numPr>
        <w:ilvl w:val="1"/>
        <w:numId w:val="9"/>
      </w:numPr>
      <w:spacing w:before="0"/>
    </w:pPr>
  </w:style>
  <w:style w:type="paragraph" w:customStyle="1" w:styleId="DoubleDot">
    <w:name w:val="Double Dot"/>
    <w:basedOn w:val="Normal"/>
    <w:link w:val="DoubleDotChar"/>
    <w:uiPriority w:val="99"/>
    <w:qFormat/>
    <w:rsid w:val="004F5132"/>
    <w:pPr>
      <w:numPr>
        <w:ilvl w:val="2"/>
        <w:numId w:val="9"/>
      </w:numPr>
      <w:spacing w:before="0"/>
    </w:pPr>
  </w:style>
  <w:style w:type="paragraph" w:customStyle="1" w:styleId="TableMainHeading">
    <w:name w:val="Table Main Heading"/>
    <w:basedOn w:val="Heading3"/>
    <w:next w:val="Normal"/>
    <w:rsid w:val="000E24B2"/>
    <w:pPr>
      <w:spacing w:before="120" w:line="240" w:lineRule="auto"/>
      <w:outlineLvl w:val="9"/>
    </w:pPr>
    <w:rPr>
      <w:b w:val="0"/>
      <w:sz w:val="26"/>
    </w:rPr>
  </w:style>
  <w:style w:type="paragraph" w:customStyle="1" w:styleId="FooterEven">
    <w:name w:val="Footer Even"/>
    <w:basedOn w:val="Footer"/>
    <w:rsid w:val="004F5132"/>
    <w:pPr>
      <w:keepNext/>
      <w:tabs>
        <w:tab w:val="clear" w:pos="4513"/>
        <w:tab w:val="clear" w:pos="9026"/>
        <w:tab w:val="right" w:pos="9072"/>
      </w:tabs>
      <w:jc w:val="left"/>
    </w:pPr>
    <w:rPr>
      <w:noProof/>
      <w:color w:val="2C384A" w:themeColor="accent1"/>
    </w:rPr>
  </w:style>
  <w:style w:type="paragraph" w:customStyle="1" w:styleId="FooterOdd">
    <w:name w:val="Footer Odd"/>
    <w:basedOn w:val="Footer"/>
    <w:rsid w:val="004F5132"/>
    <w:pPr>
      <w:keepNext/>
      <w:tabs>
        <w:tab w:val="clear" w:pos="4513"/>
        <w:tab w:val="clear" w:pos="9026"/>
        <w:tab w:val="right" w:pos="9072"/>
      </w:tabs>
      <w:jc w:val="right"/>
    </w:pPr>
    <w:rPr>
      <w:color w:val="2C384A" w:themeColor="accent1"/>
    </w:rPr>
  </w:style>
  <w:style w:type="character" w:styleId="Hyperlink">
    <w:name w:val="Hyperlink"/>
    <w:basedOn w:val="DefaultParagraphFont"/>
    <w:uiPriority w:val="99"/>
    <w:rsid w:val="004F5132"/>
    <w:rPr>
      <w:color w:val="3A6FAF"/>
      <w:u w:val="none"/>
    </w:rPr>
  </w:style>
  <w:style w:type="paragraph" w:customStyle="1" w:styleId="OutlineNumbered1">
    <w:name w:val="Outline Numbered 1"/>
    <w:basedOn w:val="Normal"/>
    <w:rsid w:val="004F5132"/>
    <w:pPr>
      <w:numPr>
        <w:numId w:val="5"/>
      </w:numPr>
      <w:spacing w:before="0"/>
    </w:pPr>
  </w:style>
  <w:style w:type="paragraph" w:customStyle="1" w:styleId="OutlineNumbered2">
    <w:name w:val="Outline Numbered 2"/>
    <w:basedOn w:val="Normal"/>
    <w:rsid w:val="004F5132"/>
    <w:pPr>
      <w:numPr>
        <w:ilvl w:val="1"/>
        <w:numId w:val="5"/>
      </w:numPr>
      <w:spacing w:before="0"/>
    </w:pPr>
  </w:style>
  <w:style w:type="paragraph" w:customStyle="1" w:styleId="OutlineNumbered3">
    <w:name w:val="Outline Numbered 3"/>
    <w:basedOn w:val="Normal"/>
    <w:rsid w:val="004F5132"/>
    <w:pPr>
      <w:numPr>
        <w:ilvl w:val="2"/>
        <w:numId w:val="5"/>
      </w:numPr>
      <w:spacing w:before="0"/>
    </w:pPr>
  </w:style>
  <w:style w:type="paragraph" w:customStyle="1" w:styleId="SingleParagraph">
    <w:name w:val="Single Paragraph"/>
    <w:basedOn w:val="Normal"/>
    <w:next w:val="Normal"/>
    <w:link w:val="SingleParagraphChar"/>
    <w:rsid w:val="004F5132"/>
    <w:pPr>
      <w:spacing w:before="0" w:after="0"/>
    </w:pPr>
  </w:style>
  <w:style w:type="paragraph" w:customStyle="1" w:styleId="TableSecondHeading">
    <w:name w:val="Table Second Heading"/>
    <w:basedOn w:val="Normal"/>
    <w:next w:val="Normal"/>
    <w:rsid w:val="004F5132"/>
    <w:pPr>
      <w:keepNext/>
      <w:spacing w:before="0" w:after="20"/>
    </w:pPr>
    <w:rPr>
      <w:b/>
      <w:color w:val="004A7F"/>
    </w:rPr>
  </w:style>
  <w:style w:type="paragraph" w:customStyle="1" w:styleId="TableColumnHeadingCentred">
    <w:name w:val="Table Column Heading Centred"/>
    <w:basedOn w:val="TableTextLeft"/>
    <w:rsid w:val="004F5132"/>
    <w:pPr>
      <w:jc w:val="center"/>
    </w:pPr>
    <w:rPr>
      <w:b/>
      <w:color w:val="2C384A" w:themeColor="accent1"/>
      <w:sz w:val="20"/>
    </w:rPr>
  </w:style>
  <w:style w:type="paragraph" w:customStyle="1" w:styleId="TableColumnHeadingLeft">
    <w:name w:val="Table Column Heading Left"/>
    <w:basedOn w:val="TableTextLeft"/>
    <w:rsid w:val="004F5132"/>
    <w:rPr>
      <w:b/>
      <w:color w:val="2C384A" w:themeColor="accent1"/>
      <w:sz w:val="20"/>
    </w:rPr>
  </w:style>
  <w:style w:type="paragraph" w:customStyle="1" w:styleId="TableColumnHeadingRight">
    <w:name w:val="Table Column Heading Right"/>
    <w:basedOn w:val="TableTextLeft"/>
    <w:rsid w:val="004F5132"/>
    <w:pPr>
      <w:jc w:val="right"/>
    </w:pPr>
    <w:rPr>
      <w:b/>
      <w:color w:val="2C384A" w:themeColor="accent1"/>
      <w:sz w:val="20"/>
    </w:rPr>
  </w:style>
  <w:style w:type="table" w:styleId="TableGrid">
    <w:name w:val="Table Grid"/>
    <w:basedOn w:val="TableNormal"/>
    <w:rsid w:val="0078672A"/>
    <w:pPr>
      <w:spacing w:before="40" w:after="40" w:line="240" w:lineRule="auto"/>
    </w:pPr>
    <w:rPr>
      <w:rFonts w:ascii="Calibri Light" w:eastAsia="Times New Roman" w:hAnsi="Calibri Light" w:cs="Times New Roman"/>
      <w:sz w:val="20"/>
      <w:szCs w:val="20"/>
      <w:lang w:eastAsia="en-AU"/>
    </w:rPr>
    <w:tblPr>
      <w:tblStyleRowBandSize w:val="1"/>
    </w:tblPr>
    <w:tcPr>
      <w:shd w:val="clear" w:color="auto" w:fill="auto"/>
    </w:tcPr>
    <w:tblStylePr w:type="firstRow">
      <w:pPr>
        <w:wordWrap/>
        <w:spacing w:beforeLines="0" w:before="40" w:beforeAutospacing="0" w:afterLines="0" w:after="40" w:afterAutospacing="0"/>
        <w:jc w:val="left"/>
      </w:pPr>
      <w:rPr>
        <w:rFonts w:ascii="Calibri Light" w:hAnsi="Calibri Light"/>
        <w:b w:val="0"/>
        <w:color w:val="2C384A" w:themeColor="accent1"/>
        <w:sz w:val="20"/>
      </w:rPr>
      <w:tblPr/>
      <w:tcPr>
        <w:shd w:val="clear" w:color="auto" w:fill="EEEEEE" w:themeFill="background2"/>
      </w:tcPr>
    </w:tblStylePr>
    <w:tblStylePr w:type="band1Horz">
      <w:rPr>
        <w:sz w:val="20"/>
      </w:rPr>
    </w:tblStylePr>
    <w:tblStylePr w:type="band2Horz">
      <w:rPr>
        <w:sz w:val="20"/>
      </w:rPr>
    </w:tblStylePr>
  </w:style>
  <w:style w:type="paragraph" w:customStyle="1" w:styleId="TableTextCentered">
    <w:name w:val="Table Text Centered"/>
    <w:basedOn w:val="TableTextRight"/>
    <w:rsid w:val="004F5132"/>
    <w:pPr>
      <w:jc w:val="center"/>
    </w:pPr>
  </w:style>
  <w:style w:type="paragraph" w:customStyle="1" w:styleId="TableTextLeft">
    <w:name w:val="Table Text Left"/>
    <w:basedOn w:val="TableTextRight"/>
    <w:rsid w:val="004F5132"/>
    <w:pPr>
      <w:jc w:val="left"/>
    </w:pPr>
  </w:style>
  <w:style w:type="paragraph" w:customStyle="1" w:styleId="TableTextRight">
    <w:name w:val="Table Text Right"/>
    <w:basedOn w:val="Normal"/>
    <w:rsid w:val="004F5132"/>
    <w:pPr>
      <w:spacing w:before="40" w:after="40"/>
      <w:jc w:val="right"/>
    </w:pPr>
    <w:rPr>
      <w:color w:val="000000"/>
      <w:sz w:val="18"/>
    </w:rPr>
  </w:style>
  <w:style w:type="paragraph" w:styleId="TOC1">
    <w:name w:val="toc 1"/>
    <w:basedOn w:val="Normal"/>
    <w:next w:val="Normal"/>
    <w:uiPriority w:val="39"/>
    <w:rsid w:val="004F5132"/>
    <w:pPr>
      <w:keepNext/>
      <w:tabs>
        <w:tab w:val="right" w:leader="dot" w:pos="9072"/>
      </w:tabs>
      <w:spacing w:before="180" w:after="0"/>
      <w:ind w:right="-2"/>
    </w:pPr>
    <w:rPr>
      <w:b/>
      <w:noProof/>
      <w:color w:val="2C384A" w:themeColor="accent1"/>
      <w:szCs w:val="22"/>
    </w:rPr>
  </w:style>
  <w:style w:type="paragraph" w:styleId="TOC2">
    <w:name w:val="toc 2"/>
    <w:basedOn w:val="Normal"/>
    <w:next w:val="Normal"/>
    <w:uiPriority w:val="39"/>
    <w:rsid w:val="004F5132"/>
    <w:pPr>
      <w:keepNext/>
      <w:tabs>
        <w:tab w:val="right" w:leader="dot" w:pos="9072"/>
      </w:tabs>
      <w:spacing w:before="40" w:after="20"/>
      <w:ind w:right="-2"/>
    </w:pPr>
    <w:rPr>
      <w:noProof/>
      <w:color w:val="5D779D" w:themeColor="accent3"/>
    </w:rPr>
  </w:style>
  <w:style w:type="paragraph" w:styleId="TOC3">
    <w:name w:val="toc 3"/>
    <w:basedOn w:val="Normal"/>
    <w:next w:val="Normal"/>
    <w:uiPriority w:val="39"/>
    <w:rsid w:val="004F5132"/>
    <w:pPr>
      <w:tabs>
        <w:tab w:val="right" w:leader="dot" w:pos="9072"/>
      </w:tabs>
      <w:spacing w:before="20" w:after="0"/>
      <w:ind w:left="284" w:right="-2"/>
    </w:pPr>
    <w:rPr>
      <w:rFonts w:cs="Calibri"/>
      <w:noProof/>
    </w:rPr>
  </w:style>
  <w:style w:type="numbering" w:customStyle="1" w:styleId="OutlineList">
    <w:name w:val="OutlineList"/>
    <w:uiPriority w:val="99"/>
    <w:rsid w:val="004F5132"/>
    <w:pPr>
      <w:numPr>
        <w:numId w:val="4"/>
      </w:numPr>
    </w:pPr>
  </w:style>
  <w:style w:type="numbering" w:customStyle="1" w:styleId="BulletedList">
    <w:name w:val="Bulleted List"/>
    <w:uiPriority w:val="99"/>
    <w:rsid w:val="004F5132"/>
    <w:pPr>
      <w:numPr>
        <w:numId w:val="1"/>
      </w:numPr>
    </w:pPr>
  </w:style>
  <w:style w:type="numbering" w:customStyle="1" w:styleId="BoxBulletedList">
    <w:name w:val="Box Bulleted List"/>
    <w:uiPriority w:val="99"/>
    <w:rsid w:val="004F5132"/>
    <w:pPr>
      <w:numPr>
        <w:numId w:val="2"/>
      </w:numPr>
    </w:pPr>
  </w:style>
  <w:style w:type="numbering" w:customStyle="1" w:styleId="OneLevelList">
    <w:name w:val="OneLevelList"/>
    <w:uiPriority w:val="99"/>
    <w:rsid w:val="004F5132"/>
    <w:pPr>
      <w:numPr>
        <w:numId w:val="3"/>
      </w:numPr>
    </w:pPr>
  </w:style>
  <w:style w:type="numbering" w:customStyle="1" w:styleId="ChartandTableFootnoteAlphaList">
    <w:name w:val="ChartandTableFootnoteAlphaList"/>
    <w:uiPriority w:val="99"/>
    <w:rsid w:val="004F5132"/>
    <w:pPr>
      <w:numPr>
        <w:numId w:val="8"/>
      </w:numPr>
    </w:pPr>
  </w:style>
  <w:style w:type="paragraph" w:customStyle="1" w:styleId="Heading1Numbered">
    <w:name w:val="Heading 1 Numbered"/>
    <w:basedOn w:val="Heading1"/>
    <w:next w:val="Normal"/>
    <w:rsid w:val="00A6726C"/>
    <w:pPr>
      <w:numPr>
        <w:numId w:val="6"/>
      </w:numPr>
      <w:ind w:left="0" w:firstLine="0"/>
    </w:pPr>
  </w:style>
  <w:style w:type="character" w:customStyle="1" w:styleId="SingleParagraphChar">
    <w:name w:val="Single Paragraph Char"/>
    <w:basedOn w:val="DefaultParagraphFont"/>
    <w:link w:val="SingleParagraph"/>
    <w:rsid w:val="004F5132"/>
    <w:rPr>
      <w:rFonts w:ascii="Calibri Light" w:eastAsia="Times New Roman" w:hAnsi="Calibri Light" w:cs="Times New Roman"/>
      <w:szCs w:val="20"/>
      <w:lang w:eastAsia="en-AU"/>
    </w:rPr>
  </w:style>
  <w:style w:type="paragraph" w:customStyle="1" w:styleId="Heading2Numbered">
    <w:name w:val="Heading 2 Numbered"/>
    <w:basedOn w:val="Heading2"/>
    <w:next w:val="Normal"/>
    <w:rsid w:val="004F5132"/>
    <w:pPr>
      <w:numPr>
        <w:ilvl w:val="1"/>
        <w:numId w:val="6"/>
      </w:numPr>
      <w:ind w:left="284" w:hanging="284"/>
    </w:pPr>
  </w:style>
  <w:style w:type="paragraph" w:customStyle="1" w:styleId="Heading3Numbered">
    <w:name w:val="Heading 3 Numbered"/>
    <w:basedOn w:val="Heading3"/>
    <w:rsid w:val="004F5132"/>
    <w:pPr>
      <w:numPr>
        <w:ilvl w:val="2"/>
        <w:numId w:val="6"/>
      </w:numPr>
      <w:ind w:left="284" w:hanging="284"/>
    </w:pPr>
  </w:style>
  <w:style w:type="paragraph" w:styleId="Title">
    <w:name w:val="Title"/>
    <w:basedOn w:val="Normal"/>
    <w:next w:val="Normal"/>
    <w:link w:val="TitleChar"/>
    <w:uiPriority w:val="10"/>
    <w:rsid w:val="003E2249"/>
    <w:pPr>
      <w:tabs>
        <w:tab w:val="left" w:pos="6379"/>
      </w:tabs>
      <w:spacing w:before="1800" w:line="720" w:lineRule="exact"/>
      <w:ind w:right="1985"/>
      <w:contextualSpacing/>
    </w:pPr>
    <w:rPr>
      <w:rFonts w:eastAsiaTheme="majorEastAsia" w:cstheme="majorBidi"/>
      <w:b/>
      <w:noProof/>
      <w:color w:val="2C384A" w:themeColor="accent1"/>
      <w:spacing w:val="5"/>
      <w:kern w:val="28"/>
      <w:sz w:val="69"/>
      <w:szCs w:val="69"/>
    </w:rPr>
  </w:style>
  <w:style w:type="character" w:customStyle="1" w:styleId="TitleChar">
    <w:name w:val="Title Char"/>
    <w:basedOn w:val="DefaultParagraphFont"/>
    <w:link w:val="Title"/>
    <w:uiPriority w:val="10"/>
    <w:rsid w:val="003E2249"/>
    <w:rPr>
      <w:rFonts w:ascii="Calibri Light" w:eastAsiaTheme="majorEastAsia" w:hAnsi="Calibri Light" w:cstheme="majorBidi"/>
      <w:b/>
      <w:noProof/>
      <w:color w:val="2C384A" w:themeColor="accent1"/>
      <w:spacing w:val="5"/>
      <w:kern w:val="28"/>
      <w:sz w:val="69"/>
      <w:szCs w:val="69"/>
      <w:lang w:eastAsia="en-AU"/>
    </w:rPr>
  </w:style>
  <w:style w:type="paragraph" w:styleId="Subtitle">
    <w:name w:val="Subtitle"/>
    <w:basedOn w:val="Title"/>
    <w:next w:val="Normal"/>
    <w:link w:val="SubtitleChar"/>
    <w:uiPriority w:val="11"/>
    <w:rsid w:val="003E2249"/>
    <w:pPr>
      <w:spacing w:before="0"/>
      <w:ind w:right="1982"/>
    </w:pPr>
    <w:rPr>
      <w:b w:val="0"/>
      <w:color w:val="5D779D" w:themeColor="accent3"/>
      <w:sz w:val="42"/>
      <w:szCs w:val="42"/>
    </w:rPr>
  </w:style>
  <w:style w:type="character" w:customStyle="1" w:styleId="SubtitleChar">
    <w:name w:val="Subtitle Char"/>
    <w:basedOn w:val="DefaultParagraphFont"/>
    <w:link w:val="Subtitle"/>
    <w:uiPriority w:val="11"/>
    <w:rsid w:val="003E2249"/>
    <w:rPr>
      <w:rFonts w:ascii="Calibri Light" w:eastAsiaTheme="majorEastAsia" w:hAnsi="Calibri Light" w:cstheme="majorBidi"/>
      <w:noProof/>
      <w:color w:val="5D779D" w:themeColor="accent3"/>
      <w:spacing w:val="5"/>
      <w:kern w:val="28"/>
      <w:sz w:val="42"/>
      <w:szCs w:val="42"/>
      <w:lang w:eastAsia="en-AU"/>
    </w:rPr>
  </w:style>
  <w:style w:type="character" w:styleId="SubtleEmphasis">
    <w:name w:val="Subtle Emphasis"/>
    <w:basedOn w:val="DefaultParagraphFont"/>
    <w:uiPriority w:val="19"/>
    <w:rsid w:val="004F5132"/>
    <w:rPr>
      <w:i/>
      <w:iCs/>
      <w:color w:val="808080" w:themeColor="text1" w:themeTint="7F"/>
    </w:rPr>
  </w:style>
  <w:style w:type="paragraph" w:styleId="Footer">
    <w:name w:val="footer"/>
    <w:basedOn w:val="Normal"/>
    <w:link w:val="FooterChar"/>
    <w:unhideWhenUsed/>
    <w:rsid w:val="004F5132"/>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4F5132"/>
    <w:rPr>
      <w:rFonts w:ascii="Calibri Light" w:eastAsia="Times New Roman" w:hAnsi="Calibri Light" w:cs="Times New Roman"/>
      <w:color w:val="002C47"/>
      <w:sz w:val="20"/>
      <w:szCs w:val="20"/>
      <w:lang w:eastAsia="en-AU"/>
    </w:rPr>
  </w:style>
  <w:style w:type="paragraph" w:styleId="Header">
    <w:name w:val="header"/>
    <w:basedOn w:val="Normal"/>
    <w:link w:val="HeaderChar"/>
    <w:uiPriority w:val="99"/>
    <w:unhideWhenUsed/>
    <w:rsid w:val="004F5132"/>
    <w:pPr>
      <w:keepNext/>
      <w:spacing w:before="0" w:after="0"/>
      <w:jc w:val="right"/>
    </w:pPr>
    <w:rPr>
      <w:color w:val="004A7F"/>
      <w:sz w:val="20"/>
    </w:rPr>
  </w:style>
  <w:style w:type="character" w:customStyle="1" w:styleId="HeaderChar">
    <w:name w:val="Header Char"/>
    <w:basedOn w:val="DefaultParagraphFont"/>
    <w:link w:val="Header"/>
    <w:uiPriority w:val="99"/>
    <w:rsid w:val="004F5132"/>
    <w:rPr>
      <w:rFonts w:ascii="Calibri Light" w:eastAsia="Times New Roman" w:hAnsi="Calibri Light" w:cs="Times New Roman"/>
      <w:color w:val="004A7F"/>
      <w:sz w:val="20"/>
      <w:szCs w:val="20"/>
      <w:lang w:eastAsia="en-AU"/>
    </w:rPr>
  </w:style>
  <w:style w:type="character" w:styleId="PlaceholderText">
    <w:name w:val="Placeholder Text"/>
    <w:basedOn w:val="DefaultParagraphFont"/>
    <w:uiPriority w:val="99"/>
    <w:semiHidden/>
    <w:rsid w:val="004F5132"/>
    <w:rPr>
      <w:color w:val="808080"/>
    </w:rPr>
  </w:style>
  <w:style w:type="paragraph" w:customStyle="1" w:styleId="AppendixHeading">
    <w:name w:val="Appendix Heading"/>
    <w:basedOn w:val="Heading1"/>
    <w:next w:val="Normal"/>
    <w:rsid w:val="004F5132"/>
  </w:style>
  <w:style w:type="paragraph" w:customStyle="1" w:styleId="HeadingBase">
    <w:name w:val="Heading Base"/>
    <w:rsid w:val="004F5132"/>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851F7E"/>
    <w:rPr>
      <w:rFonts w:ascii="Calibri Light" w:eastAsia="Times New Roman" w:hAnsi="Calibri Light" w:cs="Times New Roman"/>
      <w:color w:val="5F5F5F" w:themeColor="text2"/>
      <w:sz w:val="32"/>
      <w:szCs w:val="20"/>
      <w:lang w:eastAsia="en-AU"/>
    </w:rPr>
  </w:style>
  <w:style w:type="paragraph" w:customStyle="1" w:styleId="NotesHeading">
    <w:name w:val="Notes Heading"/>
    <w:basedOn w:val="Normal"/>
    <w:rsid w:val="004F5132"/>
    <w:pPr>
      <w:keepNext/>
      <w:spacing w:before="240" w:after="360"/>
      <w:jc w:val="center"/>
    </w:pPr>
    <w:rPr>
      <w:rFonts w:ascii="Century Gothic" w:hAnsi="Century Gothic"/>
      <w:smallCaps/>
      <w:color w:val="5F5F5F" w:themeColor="text2"/>
      <w:sz w:val="36"/>
      <w:szCs w:val="36"/>
    </w:rPr>
  </w:style>
  <w:style w:type="paragraph" w:styleId="ListParagraph">
    <w:name w:val="List Paragraph"/>
    <w:basedOn w:val="Normal"/>
    <w:uiPriority w:val="34"/>
    <w:rsid w:val="004F5132"/>
    <w:pPr>
      <w:ind w:left="720"/>
      <w:contextualSpacing/>
    </w:pPr>
  </w:style>
  <w:style w:type="paragraph" w:customStyle="1" w:styleId="TableTextIndented">
    <w:name w:val="Table Text Indented"/>
    <w:basedOn w:val="TableTextLeft"/>
    <w:rsid w:val="004F5132"/>
    <w:pPr>
      <w:ind w:left="284"/>
    </w:pPr>
  </w:style>
  <w:style w:type="paragraph" w:customStyle="1" w:styleId="TableHeadingContinued">
    <w:name w:val="Table Heading Continued"/>
    <w:basedOn w:val="TableMainHeading"/>
    <w:next w:val="TableGraphic"/>
    <w:rsid w:val="004F5132"/>
  </w:style>
  <w:style w:type="paragraph" w:customStyle="1" w:styleId="TableGraphic">
    <w:name w:val="Table Graphic"/>
    <w:basedOn w:val="HeadingBase"/>
    <w:next w:val="Normal"/>
    <w:rsid w:val="004F5132"/>
    <w:pPr>
      <w:spacing w:after="0"/>
    </w:pPr>
  </w:style>
  <w:style w:type="paragraph" w:customStyle="1" w:styleId="HeaderEven">
    <w:name w:val="Header Even"/>
    <w:basedOn w:val="Header"/>
    <w:qFormat/>
    <w:rsid w:val="004F5132"/>
    <w:pPr>
      <w:jc w:val="left"/>
    </w:pPr>
    <w:rPr>
      <w:color w:val="002C47"/>
    </w:rPr>
  </w:style>
  <w:style w:type="paragraph" w:customStyle="1" w:styleId="HeaderOdd">
    <w:name w:val="Header Odd"/>
    <w:basedOn w:val="Header"/>
    <w:qFormat/>
    <w:rsid w:val="004F5132"/>
    <w:rPr>
      <w:color w:val="002C47"/>
    </w:rPr>
  </w:style>
  <w:style w:type="paragraph" w:styleId="FootnoteText">
    <w:name w:val="footnote text"/>
    <w:basedOn w:val="Normal"/>
    <w:link w:val="FootnoteTextChar"/>
    <w:uiPriority w:val="99"/>
    <w:rsid w:val="004F5132"/>
    <w:pPr>
      <w:spacing w:before="0" w:after="0"/>
      <w:ind w:left="397" w:hanging="397"/>
    </w:pPr>
    <w:rPr>
      <w:sz w:val="20"/>
    </w:rPr>
  </w:style>
  <w:style w:type="character" w:customStyle="1" w:styleId="FootnoteTextChar">
    <w:name w:val="Footnote Text Char"/>
    <w:basedOn w:val="DefaultParagraphFont"/>
    <w:link w:val="FootnoteText"/>
    <w:uiPriority w:val="99"/>
    <w:rsid w:val="004F5132"/>
    <w:rPr>
      <w:rFonts w:ascii="Calibri Light" w:eastAsia="Times New Roman" w:hAnsi="Calibri Light" w:cs="Times New Roman"/>
      <w:sz w:val="20"/>
      <w:szCs w:val="20"/>
      <w:lang w:eastAsia="en-AU"/>
    </w:rPr>
  </w:style>
  <w:style w:type="character" w:styleId="FootnoteReference">
    <w:name w:val="footnote reference"/>
    <w:basedOn w:val="superscript"/>
    <w:uiPriority w:val="99"/>
    <w:rsid w:val="00F11B20"/>
    <w:rPr>
      <w:szCs w:val="24"/>
      <w:vertAlign w:val="superscript"/>
    </w:rPr>
  </w:style>
  <w:style w:type="paragraph" w:styleId="BalloonText">
    <w:name w:val="Balloon Text"/>
    <w:basedOn w:val="Normal"/>
    <w:link w:val="BalloonTextChar"/>
    <w:uiPriority w:val="99"/>
    <w:semiHidden/>
    <w:unhideWhenUsed/>
    <w:rsid w:val="004F513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132"/>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78672A"/>
    <w:rPr>
      <w:rFonts w:ascii="Calibri Light" w:eastAsia="Times New Roman" w:hAnsi="Calibri Light" w:cs="Times New Roman"/>
      <w:color w:val="000000" w:themeColor="text1"/>
      <w:sz w:val="20"/>
      <w:szCs w:val="20"/>
      <w:lang w:eastAsia="en-AU"/>
    </w:rPr>
  </w:style>
  <w:style w:type="paragraph" w:customStyle="1" w:styleId="Boxbullet">
    <w:name w:val="Box bullet"/>
    <w:basedOn w:val="Bullet"/>
    <w:rsid w:val="0078672A"/>
    <w:pPr>
      <w:numPr>
        <w:numId w:val="10"/>
      </w:numPr>
      <w:tabs>
        <w:tab w:val="clear" w:pos="283"/>
        <w:tab w:val="num" w:pos="284"/>
        <w:tab w:val="num" w:pos="520"/>
      </w:tabs>
      <w:spacing w:before="60"/>
    </w:pPr>
    <w:rPr>
      <w:color w:val="0D0D0D" w:themeColor="text1" w:themeTint="F2"/>
      <w:sz w:val="20"/>
    </w:rPr>
  </w:style>
  <w:style w:type="paragraph" w:customStyle="1" w:styleId="Boxdash">
    <w:name w:val="Box dash"/>
    <w:basedOn w:val="Dash"/>
    <w:rsid w:val="0078672A"/>
    <w:pPr>
      <w:numPr>
        <w:numId w:val="10"/>
      </w:numPr>
      <w:tabs>
        <w:tab w:val="clear" w:pos="567"/>
        <w:tab w:val="num" w:pos="1040"/>
      </w:tabs>
      <w:spacing w:before="60" w:after="0" w:line="276" w:lineRule="auto"/>
    </w:pPr>
    <w:rPr>
      <w:rFonts w:eastAsiaTheme="minorHAnsi"/>
      <w:color w:val="0D0D0D" w:themeColor="text1" w:themeTint="F2"/>
      <w:sz w:val="20"/>
      <w:lang w:eastAsia="en-US"/>
    </w:rPr>
  </w:style>
  <w:style w:type="paragraph" w:customStyle="1" w:styleId="Boxdoubledot">
    <w:name w:val="Box double dot"/>
    <w:basedOn w:val="DoubleDot"/>
    <w:rsid w:val="0078672A"/>
    <w:pPr>
      <w:numPr>
        <w:numId w:val="10"/>
      </w:numPr>
      <w:tabs>
        <w:tab w:val="clear" w:pos="851"/>
        <w:tab w:val="left" w:pos="567"/>
        <w:tab w:val="num" w:pos="1560"/>
      </w:tabs>
      <w:spacing w:before="60" w:after="0" w:line="276" w:lineRule="auto"/>
    </w:pPr>
    <w:rPr>
      <w:rFonts w:eastAsiaTheme="minorHAnsi"/>
      <w:color w:val="0D0D0D" w:themeColor="text1" w:themeTint="F2"/>
      <w:sz w:val="20"/>
      <w:lang w:eastAsia="en-US"/>
    </w:rPr>
  </w:style>
  <w:style w:type="paragraph" w:customStyle="1" w:styleId="Instructions">
    <w:name w:val="Instructions"/>
    <w:basedOn w:val="Normal"/>
    <w:uiPriority w:val="1"/>
    <w:qFormat/>
    <w:rsid w:val="004F5132"/>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semiHidden/>
    <w:unhideWhenUsed/>
    <w:rsid w:val="004F5132"/>
    <w:rPr>
      <w:sz w:val="16"/>
      <w:szCs w:val="16"/>
    </w:rPr>
  </w:style>
  <w:style w:type="paragraph" w:styleId="CommentText">
    <w:name w:val="annotation text"/>
    <w:basedOn w:val="Normal"/>
    <w:link w:val="CommentTextChar"/>
    <w:uiPriority w:val="99"/>
    <w:unhideWhenUsed/>
    <w:rsid w:val="004F5132"/>
    <w:rPr>
      <w:rFonts w:ascii="Calibri" w:hAnsi="Calibri"/>
      <w:sz w:val="20"/>
    </w:rPr>
  </w:style>
  <w:style w:type="character" w:customStyle="1" w:styleId="CommentTextChar">
    <w:name w:val="Comment Text Char"/>
    <w:basedOn w:val="DefaultParagraphFont"/>
    <w:link w:val="CommentText"/>
    <w:uiPriority w:val="99"/>
    <w:rsid w:val="004F5132"/>
    <w:rPr>
      <w:rFonts w:ascii="Calibri" w:eastAsia="Times New Roman" w:hAnsi="Calibri" w:cs="Times New Roman"/>
      <w:sz w:val="20"/>
      <w:szCs w:val="20"/>
      <w:lang w:eastAsia="en-AU"/>
    </w:rPr>
  </w:style>
  <w:style w:type="paragraph" w:customStyle="1" w:styleId="SecurityClassificationHeader">
    <w:name w:val="Security Classification Header"/>
    <w:link w:val="SecurityClassificationHeaderChar"/>
    <w:rsid w:val="004F5132"/>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4F5132"/>
    <w:rPr>
      <w:rFonts w:ascii="Calibri" w:eastAsia="Times New Roman" w:hAnsi="Calibri" w:cs="Calibri"/>
      <w:b/>
      <w:color w:val="FF0000"/>
      <w:sz w:val="24"/>
      <w:szCs w:val="20"/>
      <w:lang w:eastAsia="en-AU"/>
    </w:rPr>
  </w:style>
  <w:style w:type="paragraph" w:customStyle="1" w:styleId="SecurityClassificationFooter">
    <w:name w:val="Security Classification Footer"/>
    <w:link w:val="SecurityClassificationFooterChar"/>
    <w:rsid w:val="004F5132"/>
    <w:pPr>
      <w:spacing w:before="36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4F5132"/>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4F5132"/>
    <w:pPr>
      <w:spacing w:before="60" w:after="24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HeaderChar"/>
    <w:link w:val="DLMSecurityHeader"/>
    <w:rsid w:val="004F5132"/>
    <w:rPr>
      <w:rFonts w:ascii="Calibri" w:eastAsia="Times New Roman" w:hAnsi="Calibri" w:cs="Calibri"/>
      <w:b/>
      <w:color w:val="FF0000"/>
      <w:sz w:val="24"/>
      <w:szCs w:val="20"/>
      <w:lang w:eastAsia="en-AU"/>
    </w:rPr>
  </w:style>
  <w:style w:type="paragraph" w:customStyle="1" w:styleId="DLMSecurityFooter">
    <w:name w:val="DLM Security Footer"/>
    <w:link w:val="DLMSecurityFooterChar"/>
    <w:rsid w:val="004F5132"/>
    <w:pPr>
      <w:spacing w:before="24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HeaderChar"/>
    <w:link w:val="DLMSecurityFooter"/>
    <w:rsid w:val="004F5132"/>
    <w:rPr>
      <w:rFonts w:ascii="Calibri" w:eastAsia="Times New Roman" w:hAnsi="Calibri" w:cs="Calibri"/>
      <w:b/>
      <w:color w:val="FF0000"/>
      <w:sz w:val="24"/>
      <w:szCs w:val="20"/>
      <w:lang w:eastAsia="en-AU"/>
    </w:rPr>
  </w:style>
  <w:style w:type="character" w:styleId="Emphasis">
    <w:name w:val="Emphasis"/>
    <w:basedOn w:val="DefaultParagraphFont"/>
    <w:uiPriority w:val="20"/>
    <w:rsid w:val="004F5132"/>
    <w:rPr>
      <w:i/>
      <w:iCs/>
    </w:rPr>
  </w:style>
  <w:style w:type="character" w:styleId="Strong">
    <w:name w:val="Strong"/>
    <w:basedOn w:val="DefaultParagraphFont"/>
    <w:qFormat/>
    <w:rsid w:val="004F5132"/>
    <w:rPr>
      <w:b/>
      <w:bCs/>
    </w:rPr>
  </w:style>
  <w:style w:type="paragraph" w:styleId="CommentSubject">
    <w:name w:val="annotation subject"/>
    <w:basedOn w:val="CommentText"/>
    <w:next w:val="CommentText"/>
    <w:link w:val="CommentSubjectChar"/>
    <w:uiPriority w:val="99"/>
    <w:semiHidden/>
    <w:unhideWhenUsed/>
    <w:rsid w:val="00B90A56"/>
    <w:rPr>
      <w:rFonts w:ascii="Calibri Light" w:hAnsi="Calibri Light"/>
      <w:b/>
      <w:bCs/>
    </w:rPr>
  </w:style>
  <w:style w:type="character" w:customStyle="1" w:styleId="CommentSubjectChar">
    <w:name w:val="Comment Subject Char"/>
    <w:basedOn w:val="CommentTextChar"/>
    <w:link w:val="CommentSubject"/>
    <w:uiPriority w:val="99"/>
    <w:semiHidden/>
    <w:rsid w:val="00B90A56"/>
    <w:rPr>
      <w:rFonts w:ascii="Calibri Light" w:eastAsia="Times New Roman" w:hAnsi="Calibri Light" w:cs="Times New Roman"/>
      <w:b/>
      <w:bCs/>
      <w:sz w:val="20"/>
      <w:szCs w:val="20"/>
      <w:lang w:eastAsia="en-AU"/>
    </w:rPr>
  </w:style>
  <w:style w:type="character" w:styleId="UnresolvedMention">
    <w:name w:val="Unresolved Mention"/>
    <w:basedOn w:val="DefaultParagraphFont"/>
    <w:uiPriority w:val="99"/>
    <w:unhideWhenUsed/>
    <w:rsid w:val="00B90A56"/>
    <w:rPr>
      <w:color w:val="605E5C"/>
      <w:shd w:val="clear" w:color="auto" w:fill="E1DFDD"/>
    </w:rPr>
  </w:style>
  <w:style w:type="paragraph" w:styleId="TOC4">
    <w:name w:val="toc 4"/>
    <w:basedOn w:val="Normal"/>
    <w:next w:val="Normal"/>
    <w:autoRedefine/>
    <w:uiPriority w:val="39"/>
    <w:unhideWhenUsed/>
    <w:rsid w:val="00167C45"/>
    <w:pPr>
      <w:spacing w:after="100"/>
      <w:ind w:left="660"/>
    </w:pPr>
  </w:style>
  <w:style w:type="paragraph" w:styleId="NoSpacing">
    <w:name w:val="No Spacing"/>
    <w:link w:val="NoSpacingChar"/>
    <w:uiPriority w:val="1"/>
    <w:qFormat/>
    <w:rsid w:val="00167C45"/>
    <w:pPr>
      <w:spacing w:after="0" w:line="240" w:lineRule="auto"/>
    </w:pPr>
    <w:rPr>
      <w:rFonts w:ascii="Calibri Light" w:eastAsia="Times New Roman" w:hAnsi="Calibri Light" w:cs="Times New Roman"/>
      <w:szCs w:val="20"/>
      <w:lang w:eastAsia="en-AU"/>
    </w:rPr>
  </w:style>
  <w:style w:type="paragraph" w:styleId="TOCHeading">
    <w:name w:val="TOC Heading"/>
    <w:basedOn w:val="Heading1"/>
    <w:next w:val="Normal"/>
    <w:uiPriority w:val="39"/>
    <w:unhideWhenUsed/>
    <w:qFormat/>
    <w:rsid w:val="00D606D1"/>
    <w:pPr>
      <w:keepLines/>
      <w:spacing w:before="240" w:after="0" w:line="259" w:lineRule="auto"/>
      <w:outlineLvl w:val="9"/>
    </w:pPr>
    <w:rPr>
      <w:rFonts w:asciiTheme="majorHAnsi" w:eastAsiaTheme="majorEastAsia" w:hAnsiTheme="majorHAnsi" w:cstheme="majorBidi"/>
      <w:b w:val="0"/>
      <w:color w:val="212937" w:themeColor="accent1" w:themeShade="BF"/>
      <w:kern w:val="0"/>
      <w:sz w:val="32"/>
      <w:szCs w:val="32"/>
      <w:lang w:val="en-US" w:eastAsia="en-US"/>
    </w:rPr>
  </w:style>
  <w:style w:type="paragraph" w:styleId="Revision">
    <w:name w:val="Revision"/>
    <w:hidden/>
    <w:uiPriority w:val="99"/>
    <w:semiHidden/>
    <w:rsid w:val="00B556F4"/>
    <w:pPr>
      <w:spacing w:after="0" w:line="240" w:lineRule="auto"/>
    </w:pPr>
    <w:rPr>
      <w:rFonts w:ascii="Calibri Light" w:eastAsia="Times New Roman" w:hAnsi="Calibri Light" w:cs="Times New Roman"/>
      <w:szCs w:val="20"/>
      <w:lang w:eastAsia="en-AU"/>
    </w:rPr>
  </w:style>
  <w:style w:type="paragraph" w:customStyle="1" w:styleId="pf0">
    <w:name w:val="pf0"/>
    <w:basedOn w:val="Normal"/>
    <w:rsid w:val="002F53C2"/>
    <w:pPr>
      <w:spacing w:before="100" w:beforeAutospacing="1" w:after="100" w:afterAutospacing="1"/>
    </w:pPr>
    <w:rPr>
      <w:rFonts w:ascii="Times New Roman" w:hAnsi="Times New Roman"/>
      <w:sz w:val="24"/>
      <w:szCs w:val="24"/>
    </w:rPr>
  </w:style>
  <w:style w:type="character" w:customStyle="1" w:styleId="cf01">
    <w:name w:val="cf01"/>
    <w:basedOn w:val="DefaultParagraphFont"/>
    <w:rsid w:val="002F53C2"/>
    <w:rPr>
      <w:rFonts w:ascii="Segoe UI" w:hAnsi="Segoe UI" w:cs="Segoe UI" w:hint="default"/>
      <w:sz w:val="18"/>
      <w:szCs w:val="18"/>
      <w:shd w:val="clear" w:color="auto" w:fill="FF00FF"/>
    </w:rPr>
  </w:style>
  <w:style w:type="paragraph" w:customStyle="1" w:styleId="paragraph">
    <w:name w:val="paragraph"/>
    <w:basedOn w:val="Normal"/>
    <w:rsid w:val="0037732B"/>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37732B"/>
  </w:style>
  <w:style w:type="character" w:customStyle="1" w:styleId="superscript">
    <w:name w:val="superscript"/>
    <w:basedOn w:val="DefaultParagraphFont"/>
    <w:rsid w:val="0037732B"/>
  </w:style>
  <w:style w:type="character" w:styleId="FollowedHyperlink">
    <w:name w:val="FollowedHyperlink"/>
    <w:basedOn w:val="DefaultParagraphFont"/>
    <w:uiPriority w:val="99"/>
    <w:semiHidden/>
    <w:unhideWhenUsed/>
    <w:rsid w:val="00C6052A"/>
    <w:rPr>
      <w:color w:val="844D9E" w:themeColor="followedHyperlink"/>
      <w:u w:val="single"/>
    </w:rPr>
  </w:style>
  <w:style w:type="character" w:styleId="Mention">
    <w:name w:val="Mention"/>
    <w:basedOn w:val="DefaultParagraphFont"/>
    <w:uiPriority w:val="99"/>
    <w:unhideWhenUsed/>
    <w:rsid w:val="00A06AAF"/>
    <w:rPr>
      <w:color w:val="2B579A"/>
      <w:shd w:val="clear" w:color="auto" w:fill="E1DFDD"/>
    </w:rPr>
  </w:style>
  <w:style w:type="paragraph" w:styleId="NormalWeb">
    <w:name w:val="Normal (Web)"/>
    <w:basedOn w:val="Normal"/>
    <w:uiPriority w:val="99"/>
    <w:semiHidden/>
    <w:unhideWhenUsed/>
    <w:rsid w:val="007F4D92"/>
    <w:rPr>
      <w:rFonts w:ascii="Times New Roman" w:hAnsi="Times New Roman"/>
      <w:sz w:val="24"/>
      <w:szCs w:val="24"/>
    </w:rPr>
  </w:style>
  <w:style w:type="character" w:customStyle="1" w:styleId="Heading7Char">
    <w:name w:val="Heading 7 Char"/>
    <w:basedOn w:val="DefaultParagraphFont"/>
    <w:link w:val="Heading7"/>
    <w:uiPriority w:val="9"/>
    <w:semiHidden/>
    <w:rsid w:val="00AA7AEC"/>
    <w:rPr>
      <w:rFonts w:asciiTheme="majorHAnsi" w:eastAsiaTheme="majorEastAsia" w:hAnsiTheme="majorHAnsi" w:cstheme="majorBidi"/>
      <w:i/>
      <w:iCs/>
      <w:color w:val="161B24" w:themeColor="accent1" w:themeShade="7F"/>
      <w:szCs w:val="20"/>
      <w:lang w:eastAsia="en-AU"/>
    </w:rPr>
  </w:style>
  <w:style w:type="character" w:customStyle="1" w:styleId="Heading8Char">
    <w:name w:val="Heading 8 Char"/>
    <w:basedOn w:val="DefaultParagraphFont"/>
    <w:link w:val="Heading8"/>
    <w:uiPriority w:val="9"/>
    <w:semiHidden/>
    <w:rsid w:val="00AA7AEC"/>
    <w:rPr>
      <w:rFonts w:asciiTheme="majorHAnsi" w:eastAsiaTheme="majorEastAsia" w:hAnsiTheme="majorHAnsi" w:cstheme="majorBidi"/>
      <w:color w:val="272727" w:themeColor="text1" w:themeTint="D8"/>
      <w:sz w:val="21"/>
      <w:szCs w:val="21"/>
      <w:lang w:eastAsia="en-AU"/>
    </w:rPr>
  </w:style>
  <w:style w:type="character" w:customStyle="1" w:styleId="Heading9Char">
    <w:name w:val="Heading 9 Char"/>
    <w:basedOn w:val="DefaultParagraphFont"/>
    <w:link w:val="Heading9"/>
    <w:uiPriority w:val="9"/>
    <w:semiHidden/>
    <w:rsid w:val="00AA7AEC"/>
    <w:rPr>
      <w:rFonts w:asciiTheme="majorHAnsi" w:eastAsiaTheme="majorEastAsia" w:hAnsiTheme="majorHAnsi" w:cstheme="majorBidi"/>
      <w:i/>
      <w:iCs/>
      <w:color w:val="272727" w:themeColor="text1" w:themeTint="D8"/>
      <w:sz w:val="21"/>
      <w:szCs w:val="21"/>
      <w:lang w:eastAsia="en-AU"/>
    </w:rPr>
  </w:style>
  <w:style w:type="character" w:customStyle="1" w:styleId="NoSpacingChar">
    <w:name w:val="No Spacing Char"/>
    <w:basedOn w:val="DefaultParagraphFont"/>
    <w:link w:val="NoSpacing"/>
    <w:uiPriority w:val="1"/>
    <w:rsid w:val="00AA7AEC"/>
    <w:rPr>
      <w:rFonts w:ascii="Calibri Light" w:eastAsia="Times New Roman" w:hAnsi="Calibri Light" w:cs="Times New Roman"/>
      <w:szCs w:val="20"/>
      <w:lang w:eastAsia="en-AU"/>
    </w:rPr>
  </w:style>
  <w:style w:type="table" w:styleId="GridTable4-Accent5">
    <w:name w:val="Grid Table 4 Accent 5"/>
    <w:basedOn w:val="TableNormal"/>
    <w:uiPriority w:val="49"/>
    <w:rsid w:val="000E7614"/>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4-Accent3">
    <w:name w:val="Grid Table 4 Accent 3"/>
    <w:basedOn w:val="TableNormal"/>
    <w:uiPriority w:val="49"/>
    <w:rsid w:val="000E7614"/>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TableGridLight">
    <w:name w:val="Grid Table Light"/>
    <w:basedOn w:val="TableNormal"/>
    <w:uiPriority w:val="40"/>
    <w:rsid w:val="00511BAE"/>
    <w:pPr>
      <w:spacing w:after="0" w:line="240" w:lineRule="auto"/>
    </w:pPr>
    <w:tblPr/>
  </w:style>
  <w:style w:type="paragraph" w:customStyle="1" w:styleId="Default">
    <w:name w:val="Default"/>
    <w:rsid w:val="00562016"/>
    <w:pPr>
      <w:autoSpaceDE w:val="0"/>
      <w:autoSpaceDN w:val="0"/>
      <w:adjustRightInd w:val="0"/>
      <w:spacing w:after="0" w:line="240" w:lineRule="auto"/>
    </w:pPr>
    <w:rPr>
      <w:rFonts w:ascii="Symbol" w:hAnsi="Symbol" w:cs="Symbol"/>
      <w:color w:val="000000"/>
      <w:sz w:val="24"/>
      <w:szCs w:val="24"/>
      <w14:ligatures w14:val="standardContextual"/>
    </w:rPr>
  </w:style>
  <w:style w:type="paragraph" w:styleId="EndnoteText">
    <w:name w:val="endnote text"/>
    <w:basedOn w:val="Normal"/>
    <w:link w:val="EndnoteTextChar"/>
    <w:uiPriority w:val="99"/>
    <w:semiHidden/>
    <w:unhideWhenUsed/>
    <w:rsid w:val="000B1302"/>
    <w:pPr>
      <w:spacing w:before="0" w:after="0"/>
    </w:pPr>
    <w:rPr>
      <w:sz w:val="20"/>
    </w:rPr>
  </w:style>
  <w:style w:type="character" w:customStyle="1" w:styleId="EndnoteTextChar">
    <w:name w:val="Endnote Text Char"/>
    <w:basedOn w:val="DefaultParagraphFont"/>
    <w:link w:val="EndnoteText"/>
    <w:uiPriority w:val="99"/>
    <w:semiHidden/>
    <w:rsid w:val="000B1302"/>
    <w:rPr>
      <w:rFonts w:ascii="Calibri Light" w:eastAsia="Times New Roman" w:hAnsi="Calibri Light" w:cs="Times New Roman"/>
      <w:sz w:val="20"/>
      <w:szCs w:val="20"/>
      <w:lang w:eastAsia="en-AU"/>
    </w:rPr>
  </w:style>
  <w:style w:type="character" w:styleId="EndnoteReference">
    <w:name w:val="endnote reference"/>
    <w:basedOn w:val="DefaultParagraphFont"/>
    <w:uiPriority w:val="99"/>
    <w:semiHidden/>
    <w:unhideWhenUsed/>
    <w:rsid w:val="000B1302"/>
    <w:rPr>
      <w:vertAlign w:val="superscript"/>
    </w:rPr>
  </w:style>
  <w:style w:type="paragraph" w:customStyle="1" w:styleId="FigureMainHeading">
    <w:name w:val="Figure Main Heading"/>
    <w:basedOn w:val="TableMainHeading"/>
    <w:qFormat/>
    <w:rsid w:val="00B85192"/>
  </w:style>
  <w:style w:type="paragraph" w:customStyle="1" w:styleId="BoxAlpha">
    <w:name w:val="Box Alpha"/>
    <w:qFormat/>
    <w:rsid w:val="0078672A"/>
    <w:pPr>
      <w:numPr>
        <w:numId w:val="12"/>
      </w:numPr>
      <w:spacing w:after="120"/>
    </w:pPr>
    <w:rPr>
      <w:rFonts w:ascii="Calibri Light" w:eastAsia="Times New Roman" w:hAnsi="Calibri Light" w:cs="Times New Roman"/>
      <w:bCs/>
      <w:color w:val="0D0D0D" w:themeColor="text1" w:themeTint="F2"/>
      <w:sz w:val="20"/>
      <w:szCs w:val="20"/>
      <w:lang w:eastAsia="en-AU"/>
    </w:rPr>
  </w:style>
  <w:style w:type="paragraph" w:customStyle="1" w:styleId="PullQuote">
    <w:name w:val="Pull Quote"/>
    <w:basedOn w:val="Normal"/>
    <w:qFormat/>
    <w:rsid w:val="00AA27CF"/>
    <w:pPr>
      <w:pBdr>
        <w:left w:val="single" w:sz="4" w:space="4" w:color="auto"/>
      </w:pBdr>
      <w:tabs>
        <w:tab w:val="left" w:pos="567"/>
      </w:tabs>
      <w:ind w:left="567"/>
    </w:pPr>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3768">
      <w:bodyDiv w:val="1"/>
      <w:marLeft w:val="0"/>
      <w:marRight w:val="0"/>
      <w:marTop w:val="0"/>
      <w:marBottom w:val="0"/>
      <w:divBdr>
        <w:top w:val="none" w:sz="0" w:space="0" w:color="auto"/>
        <w:left w:val="none" w:sz="0" w:space="0" w:color="auto"/>
        <w:bottom w:val="none" w:sz="0" w:space="0" w:color="auto"/>
        <w:right w:val="none" w:sz="0" w:space="0" w:color="auto"/>
      </w:divBdr>
    </w:div>
    <w:div w:id="22292444">
      <w:bodyDiv w:val="1"/>
      <w:marLeft w:val="0"/>
      <w:marRight w:val="0"/>
      <w:marTop w:val="0"/>
      <w:marBottom w:val="0"/>
      <w:divBdr>
        <w:top w:val="none" w:sz="0" w:space="0" w:color="auto"/>
        <w:left w:val="none" w:sz="0" w:space="0" w:color="auto"/>
        <w:bottom w:val="none" w:sz="0" w:space="0" w:color="auto"/>
        <w:right w:val="none" w:sz="0" w:space="0" w:color="auto"/>
      </w:divBdr>
      <w:divsChild>
        <w:div w:id="1609779222">
          <w:marLeft w:val="0"/>
          <w:marRight w:val="0"/>
          <w:marTop w:val="0"/>
          <w:marBottom w:val="0"/>
          <w:divBdr>
            <w:top w:val="none" w:sz="0" w:space="0" w:color="auto"/>
            <w:left w:val="none" w:sz="0" w:space="0" w:color="auto"/>
            <w:bottom w:val="none" w:sz="0" w:space="0" w:color="auto"/>
            <w:right w:val="none" w:sz="0" w:space="0" w:color="auto"/>
          </w:divBdr>
        </w:div>
      </w:divsChild>
    </w:div>
    <w:div w:id="63067256">
      <w:bodyDiv w:val="1"/>
      <w:marLeft w:val="0"/>
      <w:marRight w:val="0"/>
      <w:marTop w:val="0"/>
      <w:marBottom w:val="0"/>
      <w:divBdr>
        <w:top w:val="none" w:sz="0" w:space="0" w:color="auto"/>
        <w:left w:val="none" w:sz="0" w:space="0" w:color="auto"/>
        <w:bottom w:val="none" w:sz="0" w:space="0" w:color="auto"/>
        <w:right w:val="none" w:sz="0" w:space="0" w:color="auto"/>
      </w:divBdr>
    </w:div>
    <w:div w:id="66584944">
      <w:bodyDiv w:val="1"/>
      <w:marLeft w:val="0"/>
      <w:marRight w:val="0"/>
      <w:marTop w:val="0"/>
      <w:marBottom w:val="0"/>
      <w:divBdr>
        <w:top w:val="none" w:sz="0" w:space="0" w:color="auto"/>
        <w:left w:val="none" w:sz="0" w:space="0" w:color="auto"/>
        <w:bottom w:val="none" w:sz="0" w:space="0" w:color="auto"/>
        <w:right w:val="none" w:sz="0" w:space="0" w:color="auto"/>
      </w:divBdr>
    </w:div>
    <w:div w:id="125198235">
      <w:bodyDiv w:val="1"/>
      <w:marLeft w:val="0"/>
      <w:marRight w:val="0"/>
      <w:marTop w:val="0"/>
      <w:marBottom w:val="0"/>
      <w:divBdr>
        <w:top w:val="none" w:sz="0" w:space="0" w:color="auto"/>
        <w:left w:val="none" w:sz="0" w:space="0" w:color="auto"/>
        <w:bottom w:val="none" w:sz="0" w:space="0" w:color="auto"/>
        <w:right w:val="none" w:sz="0" w:space="0" w:color="auto"/>
      </w:divBdr>
    </w:div>
    <w:div w:id="163396097">
      <w:bodyDiv w:val="1"/>
      <w:marLeft w:val="0"/>
      <w:marRight w:val="0"/>
      <w:marTop w:val="0"/>
      <w:marBottom w:val="0"/>
      <w:divBdr>
        <w:top w:val="none" w:sz="0" w:space="0" w:color="auto"/>
        <w:left w:val="none" w:sz="0" w:space="0" w:color="auto"/>
        <w:bottom w:val="none" w:sz="0" w:space="0" w:color="auto"/>
        <w:right w:val="none" w:sz="0" w:space="0" w:color="auto"/>
      </w:divBdr>
      <w:divsChild>
        <w:div w:id="1384019579">
          <w:marLeft w:val="0"/>
          <w:marRight w:val="0"/>
          <w:marTop w:val="0"/>
          <w:marBottom w:val="0"/>
          <w:divBdr>
            <w:top w:val="none" w:sz="0" w:space="0" w:color="auto"/>
            <w:left w:val="none" w:sz="0" w:space="0" w:color="auto"/>
            <w:bottom w:val="none" w:sz="0" w:space="0" w:color="auto"/>
            <w:right w:val="none" w:sz="0" w:space="0" w:color="auto"/>
          </w:divBdr>
        </w:div>
      </w:divsChild>
    </w:div>
    <w:div w:id="171069700">
      <w:bodyDiv w:val="1"/>
      <w:marLeft w:val="0"/>
      <w:marRight w:val="0"/>
      <w:marTop w:val="0"/>
      <w:marBottom w:val="0"/>
      <w:divBdr>
        <w:top w:val="none" w:sz="0" w:space="0" w:color="auto"/>
        <w:left w:val="none" w:sz="0" w:space="0" w:color="auto"/>
        <w:bottom w:val="none" w:sz="0" w:space="0" w:color="auto"/>
        <w:right w:val="none" w:sz="0" w:space="0" w:color="auto"/>
      </w:divBdr>
      <w:divsChild>
        <w:div w:id="710568640">
          <w:marLeft w:val="0"/>
          <w:marRight w:val="0"/>
          <w:marTop w:val="0"/>
          <w:marBottom w:val="0"/>
          <w:divBdr>
            <w:top w:val="none" w:sz="0" w:space="0" w:color="auto"/>
            <w:left w:val="none" w:sz="0" w:space="0" w:color="auto"/>
            <w:bottom w:val="none" w:sz="0" w:space="0" w:color="auto"/>
            <w:right w:val="none" w:sz="0" w:space="0" w:color="auto"/>
          </w:divBdr>
        </w:div>
        <w:div w:id="1822649362">
          <w:marLeft w:val="0"/>
          <w:marRight w:val="0"/>
          <w:marTop w:val="0"/>
          <w:marBottom w:val="0"/>
          <w:divBdr>
            <w:top w:val="none" w:sz="0" w:space="0" w:color="auto"/>
            <w:left w:val="none" w:sz="0" w:space="0" w:color="auto"/>
            <w:bottom w:val="none" w:sz="0" w:space="0" w:color="auto"/>
            <w:right w:val="none" w:sz="0" w:space="0" w:color="auto"/>
          </w:divBdr>
        </w:div>
      </w:divsChild>
    </w:div>
    <w:div w:id="215969544">
      <w:bodyDiv w:val="1"/>
      <w:marLeft w:val="0"/>
      <w:marRight w:val="0"/>
      <w:marTop w:val="0"/>
      <w:marBottom w:val="0"/>
      <w:divBdr>
        <w:top w:val="none" w:sz="0" w:space="0" w:color="auto"/>
        <w:left w:val="none" w:sz="0" w:space="0" w:color="auto"/>
        <w:bottom w:val="none" w:sz="0" w:space="0" w:color="auto"/>
        <w:right w:val="none" w:sz="0" w:space="0" w:color="auto"/>
      </w:divBdr>
    </w:div>
    <w:div w:id="224340256">
      <w:bodyDiv w:val="1"/>
      <w:marLeft w:val="0"/>
      <w:marRight w:val="0"/>
      <w:marTop w:val="0"/>
      <w:marBottom w:val="0"/>
      <w:divBdr>
        <w:top w:val="none" w:sz="0" w:space="0" w:color="auto"/>
        <w:left w:val="none" w:sz="0" w:space="0" w:color="auto"/>
        <w:bottom w:val="none" w:sz="0" w:space="0" w:color="auto"/>
        <w:right w:val="none" w:sz="0" w:space="0" w:color="auto"/>
      </w:divBdr>
      <w:divsChild>
        <w:div w:id="1254360602">
          <w:marLeft w:val="0"/>
          <w:marRight w:val="0"/>
          <w:marTop w:val="0"/>
          <w:marBottom w:val="0"/>
          <w:divBdr>
            <w:top w:val="none" w:sz="0" w:space="0" w:color="auto"/>
            <w:left w:val="none" w:sz="0" w:space="0" w:color="auto"/>
            <w:bottom w:val="none" w:sz="0" w:space="0" w:color="auto"/>
            <w:right w:val="none" w:sz="0" w:space="0" w:color="auto"/>
          </w:divBdr>
        </w:div>
        <w:div w:id="1905602742">
          <w:marLeft w:val="0"/>
          <w:marRight w:val="0"/>
          <w:marTop w:val="0"/>
          <w:marBottom w:val="0"/>
          <w:divBdr>
            <w:top w:val="none" w:sz="0" w:space="0" w:color="auto"/>
            <w:left w:val="none" w:sz="0" w:space="0" w:color="auto"/>
            <w:bottom w:val="none" w:sz="0" w:space="0" w:color="auto"/>
            <w:right w:val="none" w:sz="0" w:space="0" w:color="auto"/>
          </w:divBdr>
        </w:div>
      </w:divsChild>
    </w:div>
    <w:div w:id="234704314">
      <w:bodyDiv w:val="1"/>
      <w:marLeft w:val="0"/>
      <w:marRight w:val="0"/>
      <w:marTop w:val="0"/>
      <w:marBottom w:val="0"/>
      <w:divBdr>
        <w:top w:val="none" w:sz="0" w:space="0" w:color="auto"/>
        <w:left w:val="none" w:sz="0" w:space="0" w:color="auto"/>
        <w:bottom w:val="none" w:sz="0" w:space="0" w:color="auto"/>
        <w:right w:val="none" w:sz="0" w:space="0" w:color="auto"/>
      </w:divBdr>
    </w:div>
    <w:div w:id="245530570">
      <w:bodyDiv w:val="1"/>
      <w:marLeft w:val="0"/>
      <w:marRight w:val="0"/>
      <w:marTop w:val="0"/>
      <w:marBottom w:val="0"/>
      <w:divBdr>
        <w:top w:val="none" w:sz="0" w:space="0" w:color="auto"/>
        <w:left w:val="none" w:sz="0" w:space="0" w:color="auto"/>
        <w:bottom w:val="none" w:sz="0" w:space="0" w:color="auto"/>
        <w:right w:val="none" w:sz="0" w:space="0" w:color="auto"/>
      </w:divBdr>
    </w:div>
    <w:div w:id="271939052">
      <w:bodyDiv w:val="1"/>
      <w:marLeft w:val="0"/>
      <w:marRight w:val="0"/>
      <w:marTop w:val="0"/>
      <w:marBottom w:val="0"/>
      <w:divBdr>
        <w:top w:val="none" w:sz="0" w:space="0" w:color="auto"/>
        <w:left w:val="none" w:sz="0" w:space="0" w:color="auto"/>
        <w:bottom w:val="none" w:sz="0" w:space="0" w:color="auto"/>
        <w:right w:val="none" w:sz="0" w:space="0" w:color="auto"/>
      </w:divBdr>
      <w:divsChild>
        <w:div w:id="85032110">
          <w:marLeft w:val="0"/>
          <w:marRight w:val="0"/>
          <w:marTop w:val="0"/>
          <w:marBottom w:val="0"/>
          <w:divBdr>
            <w:top w:val="none" w:sz="0" w:space="0" w:color="auto"/>
            <w:left w:val="none" w:sz="0" w:space="0" w:color="auto"/>
            <w:bottom w:val="none" w:sz="0" w:space="0" w:color="auto"/>
            <w:right w:val="none" w:sz="0" w:space="0" w:color="auto"/>
          </w:divBdr>
        </w:div>
        <w:div w:id="1392846801">
          <w:marLeft w:val="0"/>
          <w:marRight w:val="0"/>
          <w:marTop w:val="0"/>
          <w:marBottom w:val="0"/>
          <w:divBdr>
            <w:top w:val="none" w:sz="0" w:space="0" w:color="auto"/>
            <w:left w:val="none" w:sz="0" w:space="0" w:color="auto"/>
            <w:bottom w:val="none" w:sz="0" w:space="0" w:color="auto"/>
            <w:right w:val="none" w:sz="0" w:space="0" w:color="auto"/>
          </w:divBdr>
        </w:div>
      </w:divsChild>
    </w:div>
    <w:div w:id="328751986">
      <w:bodyDiv w:val="1"/>
      <w:marLeft w:val="0"/>
      <w:marRight w:val="0"/>
      <w:marTop w:val="0"/>
      <w:marBottom w:val="0"/>
      <w:divBdr>
        <w:top w:val="none" w:sz="0" w:space="0" w:color="auto"/>
        <w:left w:val="none" w:sz="0" w:space="0" w:color="auto"/>
        <w:bottom w:val="none" w:sz="0" w:space="0" w:color="auto"/>
        <w:right w:val="none" w:sz="0" w:space="0" w:color="auto"/>
      </w:divBdr>
    </w:div>
    <w:div w:id="370813596">
      <w:bodyDiv w:val="1"/>
      <w:marLeft w:val="0"/>
      <w:marRight w:val="0"/>
      <w:marTop w:val="0"/>
      <w:marBottom w:val="0"/>
      <w:divBdr>
        <w:top w:val="none" w:sz="0" w:space="0" w:color="auto"/>
        <w:left w:val="none" w:sz="0" w:space="0" w:color="auto"/>
        <w:bottom w:val="none" w:sz="0" w:space="0" w:color="auto"/>
        <w:right w:val="none" w:sz="0" w:space="0" w:color="auto"/>
      </w:divBdr>
      <w:divsChild>
        <w:div w:id="202597779">
          <w:marLeft w:val="0"/>
          <w:marRight w:val="0"/>
          <w:marTop w:val="0"/>
          <w:marBottom w:val="0"/>
          <w:divBdr>
            <w:top w:val="none" w:sz="0" w:space="0" w:color="auto"/>
            <w:left w:val="none" w:sz="0" w:space="0" w:color="auto"/>
            <w:bottom w:val="none" w:sz="0" w:space="0" w:color="auto"/>
            <w:right w:val="none" w:sz="0" w:space="0" w:color="auto"/>
          </w:divBdr>
        </w:div>
        <w:div w:id="1799756359">
          <w:marLeft w:val="0"/>
          <w:marRight w:val="0"/>
          <w:marTop w:val="0"/>
          <w:marBottom w:val="0"/>
          <w:divBdr>
            <w:top w:val="none" w:sz="0" w:space="0" w:color="auto"/>
            <w:left w:val="none" w:sz="0" w:space="0" w:color="auto"/>
            <w:bottom w:val="none" w:sz="0" w:space="0" w:color="auto"/>
            <w:right w:val="none" w:sz="0" w:space="0" w:color="auto"/>
          </w:divBdr>
        </w:div>
      </w:divsChild>
    </w:div>
    <w:div w:id="410660579">
      <w:bodyDiv w:val="1"/>
      <w:marLeft w:val="0"/>
      <w:marRight w:val="0"/>
      <w:marTop w:val="0"/>
      <w:marBottom w:val="0"/>
      <w:divBdr>
        <w:top w:val="none" w:sz="0" w:space="0" w:color="auto"/>
        <w:left w:val="none" w:sz="0" w:space="0" w:color="auto"/>
        <w:bottom w:val="none" w:sz="0" w:space="0" w:color="auto"/>
        <w:right w:val="none" w:sz="0" w:space="0" w:color="auto"/>
      </w:divBdr>
      <w:divsChild>
        <w:div w:id="1673987650">
          <w:marLeft w:val="0"/>
          <w:marRight w:val="0"/>
          <w:marTop w:val="0"/>
          <w:marBottom w:val="0"/>
          <w:divBdr>
            <w:top w:val="none" w:sz="0" w:space="0" w:color="auto"/>
            <w:left w:val="none" w:sz="0" w:space="0" w:color="auto"/>
            <w:bottom w:val="none" w:sz="0" w:space="0" w:color="auto"/>
            <w:right w:val="none" w:sz="0" w:space="0" w:color="auto"/>
          </w:divBdr>
        </w:div>
      </w:divsChild>
    </w:div>
    <w:div w:id="414598747">
      <w:bodyDiv w:val="1"/>
      <w:marLeft w:val="0"/>
      <w:marRight w:val="0"/>
      <w:marTop w:val="0"/>
      <w:marBottom w:val="0"/>
      <w:divBdr>
        <w:top w:val="none" w:sz="0" w:space="0" w:color="auto"/>
        <w:left w:val="none" w:sz="0" w:space="0" w:color="auto"/>
        <w:bottom w:val="none" w:sz="0" w:space="0" w:color="auto"/>
        <w:right w:val="none" w:sz="0" w:space="0" w:color="auto"/>
      </w:divBdr>
      <w:divsChild>
        <w:div w:id="704645321">
          <w:marLeft w:val="0"/>
          <w:marRight w:val="0"/>
          <w:marTop w:val="0"/>
          <w:marBottom w:val="0"/>
          <w:divBdr>
            <w:top w:val="none" w:sz="0" w:space="0" w:color="auto"/>
            <w:left w:val="none" w:sz="0" w:space="0" w:color="auto"/>
            <w:bottom w:val="none" w:sz="0" w:space="0" w:color="auto"/>
            <w:right w:val="none" w:sz="0" w:space="0" w:color="auto"/>
          </w:divBdr>
        </w:div>
        <w:div w:id="717313708">
          <w:marLeft w:val="0"/>
          <w:marRight w:val="0"/>
          <w:marTop w:val="0"/>
          <w:marBottom w:val="0"/>
          <w:divBdr>
            <w:top w:val="none" w:sz="0" w:space="0" w:color="auto"/>
            <w:left w:val="none" w:sz="0" w:space="0" w:color="auto"/>
            <w:bottom w:val="none" w:sz="0" w:space="0" w:color="auto"/>
            <w:right w:val="none" w:sz="0" w:space="0" w:color="auto"/>
          </w:divBdr>
        </w:div>
        <w:div w:id="942877567">
          <w:marLeft w:val="0"/>
          <w:marRight w:val="0"/>
          <w:marTop w:val="0"/>
          <w:marBottom w:val="0"/>
          <w:divBdr>
            <w:top w:val="none" w:sz="0" w:space="0" w:color="auto"/>
            <w:left w:val="none" w:sz="0" w:space="0" w:color="auto"/>
            <w:bottom w:val="none" w:sz="0" w:space="0" w:color="auto"/>
            <w:right w:val="none" w:sz="0" w:space="0" w:color="auto"/>
          </w:divBdr>
        </w:div>
        <w:div w:id="1066340787">
          <w:marLeft w:val="0"/>
          <w:marRight w:val="0"/>
          <w:marTop w:val="0"/>
          <w:marBottom w:val="0"/>
          <w:divBdr>
            <w:top w:val="none" w:sz="0" w:space="0" w:color="auto"/>
            <w:left w:val="none" w:sz="0" w:space="0" w:color="auto"/>
            <w:bottom w:val="none" w:sz="0" w:space="0" w:color="auto"/>
            <w:right w:val="none" w:sz="0" w:space="0" w:color="auto"/>
          </w:divBdr>
        </w:div>
        <w:div w:id="1244141033">
          <w:marLeft w:val="0"/>
          <w:marRight w:val="0"/>
          <w:marTop w:val="0"/>
          <w:marBottom w:val="0"/>
          <w:divBdr>
            <w:top w:val="none" w:sz="0" w:space="0" w:color="auto"/>
            <w:left w:val="none" w:sz="0" w:space="0" w:color="auto"/>
            <w:bottom w:val="none" w:sz="0" w:space="0" w:color="auto"/>
            <w:right w:val="none" w:sz="0" w:space="0" w:color="auto"/>
          </w:divBdr>
        </w:div>
        <w:div w:id="1415392774">
          <w:marLeft w:val="0"/>
          <w:marRight w:val="0"/>
          <w:marTop w:val="0"/>
          <w:marBottom w:val="0"/>
          <w:divBdr>
            <w:top w:val="none" w:sz="0" w:space="0" w:color="auto"/>
            <w:left w:val="none" w:sz="0" w:space="0" w:color="auto"/>
            <w:bottom w:val="none" w:sz="0" w:space="0" w:color="auto"/>
            <w:right w:val="none" w:sz="0" w:space="0" w:color="auto"/>
          </w:divBdr>
        </w:div>
        <w:div w:id="1440759472">
          <w:marLeft w:val="0"/>
          <w:marRight w:val="0"/>
          <w:marTop w:val="0"/>
          <w:marBottom w:val="0"/>
          <w:divBdr>
            <w:top w:val="none" w:sz="0" w:space="0" w:color="auto"/>
            <w:left w:val="none" w:sz="0" w:space="0" w:color="auto"/>
            <w:bottom w:val="none" w:sz="0" w:space="0" w:color="auto"/>
            <w:right w:val="none" w:sz="0" w:space="0" w:color="auto"/>
          </w:divBdr>
        </w:div>
        <w:div w:id="1520045082">
          <w:marLeft w:val="0"/>
          <w:marRight w:val="0"/>
          <w:marTop w:val="0"/>
          <w:marBottom w:val="0"/>
          <w:divBdr>
            <w:top w:val="none" w:sz="0" w:space="0" w:color="auto"/>
            <w:left w:val="none" w:sz="0" w:space="0" w:color="auto"/>
            <w:bottom w:val="none" w:sz="0" w:space="0" w:color="auto"/>
            <w:right w:val="none" w:sz="0" w:space="0" w:color="auto"/>
          </w:divBdr>
        </w:div>
        <w:div w:id="1836529834">
          <w:marLeft w:val="0"/>
          <w:marRight w:val="0"/>
          <w:marTop w:val="0"/>
          <w:marBottom w:val="0"/>
          <w:divBdr>
            <w:top w:val="none" w:sz="0" w:space="0" w:color="auto"/>
            <w:left w:val="none" w:sz="0" w:space="0" w:color="auto"/>
            <w:bottom w:val="none" w:sz="0" w:space="0" w:color="auto"/>
            <w:right w:val="none" w:sz="0" w:space="0" w:color="auto"/>
          </w:divBdr>
        </w:div>
      </w:divsChild>
    </w:div>
    <w:div w:id="431701545">
      <w:bodyDiv w:val="1"/>
      <w:marLeft w:val="0"/>
      <w:marRight w:val="0"/>
      <w:marTop w:val="0"/>
      <w:marBottom w:val="0"/>
      <w:divBdr>
        <w:top w:val="none" w:sz="0" w:space="0" w:color="auto"/>
        <w:left w:val="none" w:sz="0" w:space="0" w:color="auto"/>
        <w:bottom w:val="none" w:sz="0" w:space="0" w:color="auto"/>
        <w:right w:val="none" w:sz="0" w:space="0" w:color="auto"/>
      </w:divBdr>
      <w:divsChild>
        <w:div w:id="1191725375">
          <w:marLeft w:val="0"/>
          <w:marRight w:val="0"/>
          <w:marTop w:val="0"/>
          <w:marBottom w:val="0"/>
          <w:divBdr>
            <w:top w:val="none" w:sz="0" w:space="0" w:color="auto"/>
            <w:left w:val="none" w:sz="0" w:space="0" w:color="auto"/>
            <w:bottom w:val="none" w:sz="0" w:space="0" w:color="auto"/>
            <w:right w:val="none" w:sz="0" w:space="0" w:color="auto"/>
          </w:divBdr>
        </w:div>
      </w:divsChild>
    </w:div>
    <w:div w:id="433093434">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57839288">
      <w:bodyDiv w:val="1"/>
      <w:marLeft w:val="0"/>
      <w:marRight w:val="0"/>
      <w:marTop w:val="0"/>
      <w:marBottom w:val="0"/>
      <w:divBdr>
        <w:top w:val="none" w:sz="0" w:space="0" w:color="auto"/>
        <w:left w:val="none" w:sz="0" w:space="0" w:color="auto"/>
        <w:bottom w:val="none" w:sz="0" w:space="0" w:color="auto"/>
        <w:right w:val="none" w:sz="0" w:space="0" w:color="auto"/>
      </w:divBdr>
      <w:divsChild>
        <w:div w:id="715541152">
          <w:marLeft w:val="0"/>
          <w:marRight w:val="0"/>
          <w:marTop w:val="0"/>
          <w:marBottom w:val="0"/>
          <w:divBdr>
            <w:top w:val="none" w:sz="0" w:space="0" w:color="auto"/>
            <w:left w:val="none" w:sz="0" w:space="0" w:color="auto"/>
            <w:bottom w:val="none" w:sz="0" w:space="0" w:color="auto"/>
            <w:right w:val="none" w:sz="0" w:space="0" w:color="auto"/>
          </w:divBdr>
        </w:div>
        <w:div w:id="865948775">
          <w:marLeft w:val="0"/>
          <w:marRight w:val="0"/>
          <w:marTop w:val="0"/>
          <w:marBottom w:val="0"/>
          <w:divBdr>
            <w:top w:val="none" w:sz="0" w:space="0" w:color="auto"/>
            <w:left w:val="none" w:sz="0" w:space="0" w:color="auto"/>
            <w:bottom w:val="none" w:sz="0" w:space="0" w:color="auto"/>
            <w:right w:val="none" w:sz="0" w:space="0" w:color="auto"/>
          </w:divBdr>
        </w:div>
        <w:div w:id="908543568">
          <w:marLeft w:val="0"/>
          <w:marRight w:val="0"/>
          <w:marTop w:val="0"/>
          <w:marBottom w:val="0"/>
          <w:divBdr>
            <w:top w:val="none" w:sz="0" w:space="0" w:color="auto"/>
            <w:left w:val="none" w:sz="0" w:space="0" w:color="auto"/>
            <w:bottom w:val="none" w:sz="0" w:space="0" w:color="auto"/>
            <w:right w:val="none" w:sz="0" w:space="0" w:color="auto"/>
          </w:divBdr>
        </w:div>
        <w:div w:id="958686092">
          <w:marLeft w:val="0"/>
          <w:marRight w:val="0"/>
          <w:marTop w:val="0"/>
          <w:marBottom w:val="0"/>
          <w:divBdr>
            <w:top w:val="none" w:sz="0" w:space="0" w:color="auto"/>
            <w:left w:val="none" w:sz="0" w:space="0" w:color="auto"/>
            <w:bottom w:val="none" w:sz="0" w:space="0" w:color="auto"/>
            <w:right w:val="none" w:sz="0" w:space="0" w:color="auto"/>
          </w:divBdr>
        </w:div>
        <w:div w:id="965743294">
          <w:marLeft w:val="0"/>
          <w:marRight w:val="0"/>
          <w:marTop w:val="0"/>
          <w:marBottom w:val="0"/>
          <w:divBdr>
            <w:top w:val="none" w:sz="0" w:space="0" w:color="auto"/>
            <w:left w:val="none" w:sz="0" w:space="0" w:color="auto"/>
            <w:bottom w:val="none" w:sz="0" w:space="0" w:color="auto"/>
            <w:right w:val="none" w:sz="0" w:space="0" w:color="auto"/>
          </w:divBdr>
        </w:div>
        <w:div w:id="1144392062">
          <w:marLeft w:val="0"/>
          <w:marRight w:val="0"/>
          <w:marTop w:val="0"/>
          <w:marBottom w:val="0"/>
          <w:divBdr>
            <w:top w:val="none" w:sz="0" w:space="0" w:color="auto"/>
            <w:left w:val="none" w:sz="0" w:space="0" w:color="auto"/>
            <w:bottom w:val="none" w:sz="0" w:space="0" w:color="auto"/>
            <w:right w:val="none" w:sz="0" w:space="0" w:color="auto"/>
          </w:divBdr>
        </w:div>
        <w:div w:id="1316303652">
          <w:marLeft w:val="0"/>
          <w:marRight w:val="0"/>
          <w:marTop w:val="0"/>
          <w:marBottom w:val="0"/>
          <w:divBdr>
            <w:top w:val="none" w:sz="0" w:space="0" w:color="auto"/>
            <w:left w:val="none" w:sz="0" w:space="0" w:color="auto"/>
            <w:bottom w:val="none" w:sz="0" w:space="0" w:color="auto"/>
            <w:right w:val="none" w:sz="0" w:space="0" w:color="auto"/>
          </w:divBdr>
        </w:div>
        <w:div w:id="1606960270">
          <w:marLeft w:val="0"/>
          <w:marRight w:val="0"/>
          <w:marTop w:val="0"/>
          <w:marBottom w:val="0"/>
          <w:divBdr>
            <w:top w:val="none" w:sz="0" w:space="0" w:color="auto"/>
            <w:left w:val="none" w:sz="0" w:space="0" w:color="auto"/>
            <w:bottom w:val="none" w:sz="0" w:space="0" w:color="auto"/>
            <w:right w:val="none" w:sz="0" w:space="0" w:color="auto"/>
          </w:divBdr>
        </w:div>
        <w:div w:id="1889996420">
          <w:marLeft w:val="0"/>
          <w:marRight w:val="0"/>
          <w:marTop w:val="0"/>
          <w:marBottom w:val="0"/>
          <w:divBdr>
            <w:top w:val="none" w:sz="0" w:space="0" w:color="auto"/>
            <w:left w:val="none" w:sz="0" w:space="0" w:color="auto"/>
            <w:bottom w:val="none" w:sz="0" w:space="0" w:color="auto"/>
            <w:right w:val="none" w:sz="0" w:space="0" w:color="auto"/>
          </w:divBdr>
        </w:div>
      </w:divsChild>
    </w:div>
    <w:div w:id="464784152">
      <w:bodyDiv w:val="1"/>
      <w:marLeft w:val="0"/>
      <w:marRight w:val="0"/>
      <w:marTop w:val="0"/>
      <w:marBottom w:val="0"/>
      <w:divBdr>
        <w:top w:val="none" w:sz="0" w:space="0" w:color="auto"/>
        <w:left w:val="none" w:sz="0" w:space="0" w:color="auto"/>
        <w:bottom w:val="none" w:sz="0" w:space="0" w:color="auto"/>
        <w:right w:val="none" w:sz="0" w:space="0" w:color="auto"/>
      </w:divBdr>
    </w:div>
    <w:div w:id="468283885">
      <w:bodyDiv w:val="1"/>
      <w:marLeft w:val="0"/>
      <w:marRight w:val="0"/>
      <w:marTop w:val="0"/>
      <w:marBottom w:val="0"/>
      <w:divBdr>
        <w:top w:val="none" w:sz="0" w:space="0" w:color="auto"/>
        <w:left w:val="none" w:sz="0" w:space="0" w:color="auto"/>
        <w:bottom w:val="none" w:sz="0" w:space="0" w:color="auto"/>
        <w:right w:val="none" w:sz="0" w:space="0" w:color="auto"/>
      </w:divBdr>
    </w:div>
    <w:div w:id="478693262">
      <w:bodyDiv w:val="1"/>
      <w:marLeft w:val="0"/>
      <w:marRight w:val="0"/>
      <w:marTop w:val="0"/>
      <w:marBottom w:val="0"/>
      <w:divBdr>
        <w:top w:val="none" w:sz="0" w:space="0" w:color="auto"/>
        <w:left w:val="none" w:sz="0" w:space="0" w:color="auto"/>
        <w:bottom w:val="none" w:sz="0" w:space="0" w:color="auto"/>
        <w:right w:val="none" w:sz="0" w:space="0" w:color="auto"/>
      </w:divBdr>
    </w:div>
    <w:div w:id="506099488">
      <w:bodyDiv w:val="1"/>
      <w:marLeft w:val="0"/>
      <w:marRight w:val="0"/>
      <w:marTop w:val="0"/>
      <w:marBottom w:val="0"/>
      <w:divBdr>
        <w:top w:val="none" w:sz="0" w:space="0" w:color="auto"/>
        <w:left w:val="none" w:sz="0" w:space="0" w:color="auto"/>
        <w:bottom w:val="none" w:sz="0" w:space="0" w:color="auto"/>
        <w:right w:val="none" w:sz="0" w:space="0" w:color="auto"/>
      </w:divBdr>
    </w:div>
    <w:div w:id="564222468">
      <w:bodyDiv w:val="1"/>
      <w:marLeft w:val="0"/>
      <w:marRight w:val="0"/>
      <w:marTop w:val="0"/>
      <w:marBottom w:val="0"/>
      <w:divBdr>
        <w:top w:val="none" w:sz="0" w:space="0" w:color="auto"/>
        <w:left w:val="none" w:sz="0" w:space="0" w:color="auto"/>
        <w:bottom w:val="none" w:sz="0" w:space="0" w:color="auto"/>
        <w:right w:val="none" w:sz="0" w:space="0" w:color="auto"/>
      </w:divBdr>
      <w:divsChild>
        <w:div w:id="310670408">
          <w:marLeft w:val="0"/>
          <w:marRight w:val="0"/>
          <w:marTop w:val="0"/>
          <w:marBottom w:val="0"/>
          <w:divBdr>
            <w:top w:val="none" w:sz="0" w:space="0" w:color="auto"/>
            <w:left w:val="none" w:sz="0" w:space="0" w:color="auto"/>
            <w:bottom w:val="none" w:sz="0" w:space="0" w:color="auto"/>
            <w:right w:val="none" w:sz="0" w:space="0" w:color="auto"/>
          </w:divBdr>
        </w:div>
        <w:div w:id="316110018">
          <w:marLeft w:val="0"/>
          <w:marRight w:val="0"/>
          <w:marTop w:val="0"/>
          <w:marBottom w:val="0"/>
          <w:divBdr>
            <w:top w:val="none" w:sz="0" w:space="0" w:color="auto"/>
            <w:left w:val="none" w:sz="0" w:space="0" w:color="auto"/>
            <w:bottom w:val="none" w:sz="0" w:space="0" w:color="auto"/>
            <w:right w:val="none" w:sz="0" w:space="0" w:color="auto"/>
          </w:divBdr>
        </w:div>
        <w:div w:id="675618118">
          <w:marLeft w:val="0"/>
          <w:marRight w:val="0"/>
          <w:marTop w:val="0"/>
          <w:marBottom w:val="0"/>
          <w:divBdr>
            <w:top w:val="none" w:sz="0" w:space="0" w:color="auto"/>
            <w:left w:val="none" w:sz="0" w:space="0" w:color="auto"/>
            <w:bottom w:val="none" w:sz="0" w:space="0" w:color="auto"/>
            <w:right w:val="none" w:sz="0" w:space="0" w:color="auto"/>
          </w:divBdr>
        </w:div>
        <w:div w:id="768696839">
          <w:marLeft w:val="0"/>
          <w:marRight w:val="0"/>
          <w:marTop w:val="0"/>
          <w:marBottom w:val="0"/>
          <w:divBdr>
            <w:top w:val="none" w:sz="0" w:space="0" w:color="auto"/>
            <w:left w:val="none" w:sz="0" w:space="0" w:color="auto"/>
            <w:bottom w:val="none" w:sz="0" w:space="0" w:color="auto"/>
            <w:right w:val="none" w:sz="0" w:space="0" w:color="auto"/>
          </w:divBdr>
        </w:div>
        <w:div w:id="889269527">
          <w:marLeft w:val="0"/>
          <w:marRight w:val="0"/>
          <w:marTop w:val="0"/>
          <w:marBottom w:val="0"/>
          <w:divBdr>
            <w:top w:val="none" w:sz="0" w:space="0" w:color="auto"/>
            <w:left w:val="none" w:sz="0" w:space="0" w:color="auto"/>
            <w:bottom w:val="none" w:sz="0" w:space="0" w:color="auto"/>
            <w:right w:val="none" w:sz="0" w:space="0" w:color="auto"/>
          </w:divBdr>
        </w:div>
        <w:div w:id="1346588788">
          <w:marLeft w:val="0"/>
          <w:marRight w:val="0"/>
          <w:marTop w:val="0"/>
          <w:marBottom w:val="0"/>
          <w:divBdr>
            <w:top w:val="none" w:sz="0" w:space="0" w:color="auto"/>
            <w:left w:val="none" w:sz="0" w:space="0" w:color="auto"/>
            <w:bottom w:val="none" w:sz="0" w:space="0" w:color="auto"/>
            <w:right w:val="none" w:sz="0" w:space="0" w:color="auto"/>
          </w:divBdr>
        </w:div>
      </w:divsChild>
    </w:div>
    <w:div w:id="600334034">
      <w:bodyDiv w:val="1"/>
      <w:marLeft w:val="0"/>
      <w:marRight w:val="0"/>
      <w:marTop w:val="0"/>
      <w:marBottom w:val="0"/>
      <w:divBdr>
        <w:top w:val="none" w:sz="0" w:space="0" w:color="auto"/>
        <w:left w:val="none" w:sz="0" w:space="0" w:color="auto"/>
        <w:bottom w:val="none" w:sz="0" w:space="0" w:color="auto"/>
        <w:right w:val="none" w:sz="0" w:space="0" w:color="auto"/>
      </w:divBdr>
    </w:div>
    <w:div w:id="614561986">
      <w:bodyDiv w:val="1"/>
      <w:marLeft w:val="0"/>
      <w:marRight w:val="0"/>
      <w:marTop w:val="0"/>
      <w:marBottom w:val="0"/>
      <w:divBdr>
        <w:top w:val="none" w:sz="0" w:space="0" w:color="auto"/>
        <w:left w:val="none" w:sz="0" w:space="0" w:color="auto"/>
        <w:bottom w:val="none" w:sz="0" w:space="0" w:color="auto"/>
        <w:right w:val="none" w:sz="0" w:space="0" w:color="auto"/>
      </w:divBdr>
    </w:div>
    <w:div w:id="715356356">
      <w:bodyDiv w:val="1"/>
      <w:marLeft w:val="0"/>
      <w:marRight w:val="0"/>
      <w:marTop w:val="0"/>
      <w:marBottom w:val="0"/>
      <w:divBdr>
        <w:top w:val="none" w:sz="0" w:space="0" w:color="auto"/>
        <w:left w:val="none" w:sz="0" w:space="0" w:color="auto"/>
        <w:bottom w:val="none" w:sz="0" w:space="0" w:color="auto"/>
        <w:right w:val="none" w:sz="0" w:space="0" w:color="auto"/>
      </w:divBdr>
      <w:divsChild>
        <w:div w:id="1295596663">
          <w:marLeft w:val="0"/>
          <w:marRight w:val="0"/>
          <w:marTop w:val="0"/>
          <w:marBottom w:val="0"/>
          <w:divBdr>
            <w:top w:val="none" w:sz="0" w:space="0" w:color="auto"/>
            <w:left w:val="none" w:sz="0" w:space="0" w:color="auto"/>
            <w:bottom w:val="none" w:sz="0" w:space="0" w:color="auto"/>
            <w:right w:val="none" w:sz="0" w:space="0" w:color="auto"/>
          </w:divBdr>
        </w:div>
        <w:div w:id="1733918704">
          <w:marLeft w:val="0"/>
          <w:marRight w:val="0"/>
          <w:marTop w:val="0"/>
          <w:marBottom w:val="0"/>
          <w:divBdr>
            <w:top w:val="none" w:sz="0" w:space="0" w:color="auto"/>
            <w:left w:val="none" w:sz="0" w:space="0" w:color="auto"/>
            <w:bottom w:val="none" w:sz="0" w:space="0" w:color="auto"/>
            <w:right w:val="none" w:sz="0" w:space="0" w:color="auto"/>
          </w:divBdr>
        </w:div>
      </w:divsChild>
    </w:div>
    <w:div w:id="780148761">
      <w:bodyDiv w:val="1"/>
      <w:marLeft w:val="0"/>
      <w:marRight w:val="0"/>
      <w:marTop w:val="0"/>
      <w:marBottom w:val="0"/>
      <w:divBdr>
        <w:top w:val="none" w:sz="0" w:space="0" w:color="auto"/>
        <w:left w:val="none" w:sz="0" w:space="0" w:color="auto"/>
        <w:bottom w:val="none" w:sz="0" w:space="0" w:color="auto"/>
        <w:right w:val="none" w:sz="0" w:space="0" w:color="auto"/>
      </w:divBdr>
    </w:div>
    <w:div w:id="791093230">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37112403">
      <w:bodyDiv w:val="1"/>
      <w:marLeft w:val="0"/>
      <w:marRight w:val="0"/>
      <w:marTop w:val="0"/>
      <w:marBottom w:val="0"/>
      <w:divBdr>
        <w:top w:val="none" w:sz="0" w:space="0" w:color="auto"/>
        <w:left w:val="none" w:sz="0" w:space="0" w:color="auto"/>
        <w:bottom w:val="none" w:sz="0" w:space="0" w:color="auto"/>
        <w:right w:val="none" w:sz="0" w:space="0" w:color="auto"/>
      </w:divBdr>
    </w:div>
    <w:div w:id="839008506">
      <w:bodyDiv w:val="1"/>
      <w:marLeft w:val="0"/>
      <w:marRight w:val="0"/>
      <w:marTop w:val="0"/>
      <w:marBottom w:val="0"/>
      <w:divBdr>
        <w:top w:val="none" w:sz="0" w:space="0" w:color="auto"/>
        <w:left w:val="none" w:sz="0" w:space="0" w:color="auto"/>
        <w:bottom w:val="none" w:sz="0" w:space="0" w:color="auto"/>
        <w:right w:val="none" w:sz="0" w:space="0" w:color="auto"/>
      </w:divBdr>
    </w:div>
    <w:div w:id="841048850">
      <w:bodyDiv w:val="1"/>
      <w:marLeft w:val="0"/>
      <w:marRight w:val="0"/>
      <w:marTop w:val="0"/>
      <w:marBottom w:val="0"/>
      <w:divBdr>
        <w:top w:val="none" w:sz="0" w:space="0" w:color="auto"/>
        <w:left w:val="none" w:sz="0" w:space="0" w:color="auto"/>
        <w:bottom w:val="none" w:sz="0" w:space="0" w:color="auto"/>
        <w:right w:val="none" w:sz="0" w:space="0" w:color="auto"/>
      </w:divBdr>
      <w:divsChild>
        <w:div w:id="150948849">
          <w:marLeft w:val="0"/>
          <w:marRight w:val="0"/>
          <w:marTop w:val="0"/>
          <w:marBottom w:val="0"/>
          <w:divBdr>
            <w:top w:val="none" w:sz="0" w:space="0" w:color="auto"/>
            <w:left w:val="none" w:sz="0" w:space="0" w:color="auto"/>
            <w:bottom w:val="none" w:sz="0" w:space="0" w:color="auto"/>
            <w:right w:val="none" w:sz="0" w:space="0" w:color="auto"/>
          </w:divBdr>
        </w:div>
        <w:div w:id="173039009">
          <w:marLeft w:val="0"/>
          <w:marRight w:val="0"/>
          <w:marTop w:val="0"/>
          <w:marBottom w:val="0"/>
          <w:divBdr>
            <w:top w:val="none" w:sz="0" w:space="0" w:color="auto"/>
            <w:left w:val="none" w:sz="0" w:space="0" w:color="auto"/>
            <w:bottom w:val="none" w:sz="0" w:space="0" w:color="auto"/>
            <w:right w:val="none" w:sz="0" w:space="0" w:color="auto"/>
          </w:divBdr>
        </w:div>
        <w:div w:id="189344572">
          <w:marLeft w:val="0"/>
          <w:marRight w:val="0"/>
          <w:marTop w:val="0"/>
          <w:marBottom w:val="0"/>
          <w:divBdr>
            <w:top w:val="none" w:sz="0" w:space="0" w:color="auto"/>
            <w:left w:val="none" w:sz="0" w:space="0" w:color="auto"/>
            <w:bottom w:val="none" w:sz="0" w:space="0" w:color="auto"/>
            <w:right w:val="none" w:sz="0" w:space="0" w:color="auto"/>
          </w:divBdr>
        </w:div>
        <w:div w:id="258759474">
          <w:marLeft w:val="0"/>
          <w:marRight w:val="0"/>
          <w:marTop w:val="0"/>
          <w:marBottom w:val="0"/>
          <w:divBdr>
            <w:top w:val="none" w:sz="0" w:space="0" w:color="auto"/>
            <w:left w:val="none" w:sz="0" w:space="0" w:color="auto"/>
            <w:bottom w:val="none" w:sz="0" w:space="0" w:color="auto"/>
            <w:right w:val="none" w:sz="0" w:space="0" w:color="auto"/>
          </w:divBdr>
        </w:div>
        <w:div w:id="351685854">
          <w:marLeft w:val="0"/>
          <w:marRight w:val="0"/>
          <w:marTop w:val="0"/>
          <w:marBottom w:val="0"/>
          <w:divBdr>
            <w:top w:val="none" w:sz="0" w:space="0" w:color="auto"/>
            <w:left w:val="none" w:sz="0" w:space="0" w:color="auto"/>
            <w:bottom w:val="none" w:sz="0" w:space="0" w:color="auto"/>
            <w:right w:val="none" w:sz="0" w:space="0" w:color="auto"/>
          </w:divBdr>
        </w:div>
        <w:div w:id="458306285">
          <w:marLeft w:val="0"/>
          <w:marRight w:val="0"/>
          <w:marTop w:val="0"/>
          <w:marBottom w:val="0"/>
          <w:divBdr>
            <w:top w:val="none" w:sz="0" w:space="0" w:color="auto"/>
            <w:left w:val="none" w:sz="0" w:space="0" w:color="auto"/>
            <w:bottom w:val="none" w:sz="0" w:space="0" w:color="auto"/>
            <w:right w:val="none" w:sz="0" w:space="0" w:color="auto"/>
          </w:divBdr>
        </w:div>
        <w:div w:id="512304583">
          <w:marLeft w:val="0"/>
          <w:marRight w:val="0"/>
          <w:marTop w:val="0"/>
          <w:marBottom w:val="0"/>
          <w:divBdr>
            <w:top w:val="none" w:sz="0" w:space="0" w:color="auto"/>
            <w:left w:val="none" w:sz="0" w:space="0" w:color="auto"/>
            <w:bottom w:val="none" w:sz="0" w:space="0" w:color="auto"/>
            <w:right w:val="none" w:sz="0" w:space="0" w:color="auto"/>
          </w:divBdr>
        </w:div>
        <w:div w:id="699432099">
          <w:marLeft w:val="0"/>
          <w:marRight w:val="0"/>
          <w:marTop w:val="0"/>
          <w:marBottom w:val="0"/>
          <w:divBdr>
            <w:top w:val="none" w:sz="0" w:space="0" w:color="auto"/>
            <w:left w:val="none" w:sz="0" w:space="0" w:color="auto"/>
            <w:bottom w:val="none" w:sz="0" w:space="0" w:color="auto"/>
            <w:right w:val="none" w:sz="0" w:space="0" w:color="auto"/>
          </w:divBdr>
        </w:div>
        <w:div w:id="1050105443">
          <w:marLeft w:val="0"/>
          <w:marRight w:val="0"/>
          <w:marTop w:val="0"/>
          <w:marBottom w:val="0"/>
          <w:divBdr>
            <w:top w:val="none" w:sz="0" w:space="0" w:color="auto"/>
            <w:left w:val="none" w:sz="0" w:space="0" w:color="auto"/>
            <w:bottom w:val="none" w:sz="0" w:space="0" w:color="auto"/>
            <w:right w:val="none" w:sz="0" w:space="0" w:color="auto"/>
          </w:divBdr>
        </w:div>
        <w:div w:id="1196195597">
          <w:marLeft w:val="0"/>
          <w:marRight w:val="0"/>
          <w:marTop w:val="0"/>
          <w:marBottom w:val="0"/>
          <w:divBdr>
            <w:top w:val="none" w:sz="0" w:space="0" w:color="auto"/>
            <w:left w:val="none" w:sz="0" w:space="0" w:color="auto"/>
            <w:bottom w:val="none" w:sz="0" w:space="0" w:color="auto"/>
            <w:right w:val="none" w:sz="0" w:space="0" w:color="auto"/>
          </w:divBdr>
        </w:div>
        <w:div w:id="1228342198">
          <w:marLeft w:val="0"/>
          <w:marRight w:val="0"/>
          <w:marTop w:val="0"/>
          <w:marBottom w:val="0"/>
          <w:divBdr>
            <w:top w:val="none" w:sz="0" w:space="0" w:color="auto"/>
            <w:left w:val="none" w:sz="0" w:space="0" w:color="auto"/>
            <w:bottom w:val="none" w:sz="0" w:space="0" w:color="auto"/>
            <w:right w:val="none" w:sz="0" w:space="0" w:color="auto"/>
          </w:divBdr>
        </w:div>
        <w:div w:id="1480221964">
          <w:marLeft w:val="0"/>
          <w:marRight w:val="0"/>
          <w:marTop w:val="0"/>
          <w:marBottom w:val="0"/>
          <w:divBdr>
            <w:top w:val="none" w:sz="0" w:space="0" w:color="auto"/>
            <w:left w:val="none" w:sz="0" w:space="0" w:color="auto"/>
            <w:bottom w:val="none" w:sz="0" w:space="0" w:color="auto"/>
            <w:right w:val="none" w:sz="0" w:space="0" w:color="auto"/>
          </w:divBdr>
        </w:div>
        <w:div w:id="1990481430">
          <w:marLeft w:val="0"/>
          <w:marRight w:val="0"/>
          <w:marTop w:val="0"/>
          <w:marBottom w:val="0"/>
          <w:divBdr>
            <w:top w:val="none" w:sz="0" w:space="0" w:color="auto"/>
            <w:left w:val="none" w:sz="0" w:space="0" w:color="auto"/>
            <w:bottom w:val="none" w:sz="0" w:space="0" w:color="auto"/>
            <w:right w:val="none" w:sz="0" w:space="0" w:color="auto"/>
          </w:divBdr>
        </w:div>
        <w:div w:id="2066906862">
          <w:marLeft w:val="0"/>
          <w:marRight w:val="0"/>
          <w:marTop w:val="0"/>
          <w:marBottom w:val="0"/>
          <w:divBdr>
            <w:top w:val="none" w:sz="0" w:space="0" w:color="auto"/>
            <w:left w:val="none" w:sz="0" w:space="0" w:color="auto"/>
            <w:bottom w:val="none" w:sz="0" w:space="0" w:color="auto"/>
            <w:right w:val="none" w:sz="0" w:space="0" w:color="auto"/>
          </w:divBdr>
        </w:div>
      </w:divsChild>
    </w:div>
    <w:div w:id="845168030">
      <w:bodyDiv w:val="1"/>
      <w:marLeft w:val="0"/>
      <w:marRight w:val="0"/>
      <w:marTop w:val="0"/>
      <w:marBottom w:val="0"/>
      <w:divBdr>
        <w:top w:val="none" w:sz="0" w:space="0" w:color="auto"/>
        <w:left w:val="none" w:sz="0" w:space="0" w:color="auto"/>
        <w:bottom w:val="none" w:sz="0" w:space="0" w:color="auto"/>
        <w:right w:val="none" w:sz="0" w:space="0" w:color="auto"/>
      </w:divBdr>
    </w:div>
    <w:div w:id="845368923">
      <w:bodyDiv w:val="1"/>
      <w:marLeft w:val="0"/>
      <w:marRight w:val="0"/>
      <w:marTop w:val="0"/>
      <w:marBottom w:val="0"/>
      <w:divBdr>
        <w:top w:val="none" w:sz="0" w:space="0" w:color="auto"/>
        <w:left w:val="none" w:sz="0" w:space="0" w:color="auto"/>
        <w:bottom w:val="none" w:sz="0" w:space="0" w:color="auto"/>
        <w:right w:val="none" w:sz="0" w:space="0" w:color="auto"/>
      </w:divBdr>
    </w:div>
    <w:div w:id="849560369">
      <w:bodyDiv w:val="1"/>
      <w:marLeft w:val="0"/>
      <w:marRight w:val="0"/>
      <w:marTop w:val="0"/>
      <w:marBottom w:val="0"/>
      <w:divBdr>
        <w:top w:val="none" w:sz="0" w:space="0" w:color="auto"/>
        <w:left w:val="none" w:sz="0" w:space="0" w:color="auto"/>
        <w:bottom w:val="none" w:sz="0" w:space="0" w:color="auto"/>
        <w:right w:val="none" w:sz="0" w:space="0" w:color="auto"/>
      </w:divBdr>
    </w:div>
    <w:div w:id="868835708">
      <w:bodyDiv w:val="1"/>
      <w:marLeft w:val="0"/>
      <w:marRight w:val="0"/>
      <w:marTop w:val="0"/>
      <w:marBottom w:val="0"/>
      <w:divBdr>
        <w:top w:val="none" w:sz="0" w:space="0" w:color="auto"/>
        <w:left w:val="none" w:sz="0" w:space="0" w:color="auto"/>
        <w:bottom w:val="none" w:sz="0" w:space="0" w:color="auto"/>
        <w:right w:val="none" w:sz="0" w:space="0" w:color="auto"/>
      </w:divBdr>
    </w:div>
    <w:div w:id="869294593">
      <w:bodyDiv w:val="1"/>
      <w:marLeft w:val="0"/>
      <w:marRight w:val="0"/>
      <w:marTop w:val="0"/>
      <w:marBottom w:val="0"/>
      <w:divBdr>
        <w:top w:val="none" w:sz="0" w:space="0" w:color="auto"/>
        <w:left w:val="none" w:sz="0" w:space="0" w:color="auto"/>
        <w:bottom w:val="none" w:sz="0" w:space="0" w:color="auto"/>
        <w:right w:val="none" w:sz="0" w:space="0" w:color="auto"/>
      </w:divBdr>
    </w:div>
    <w:div w:id="880172217">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890654115">
      <w:bodyDiv w:val="1"/>
      <w:marLeft w:val="0"/>
      <w:marRight w:val="0"/>
      <w:marTop w:val="0"/>
      <w:marBottom w:val="0"/>
      <w:divBdr>
        <w:top w:val="none" w:sz="0" w:space="0" w:color="auto"/>
        <w:left w:val="none" w:sz="0" w:space="0" w:color="auto"/>
        <w:bottom w:val="none" w:sz="0" w:space="0" w:color="auto"/>
        <w:right w:val="none" w:sz="0" w:space="0" w:color="auto"/>
      </w:divBdr>
    </w:div>
    <w:div w:id="893850958">
      <w:bodyDiv w:val="1"/>
      <w:marLeft w:val="0"/>
      <w:marRight w:val="0"/>
      <w:marTop w:val="0"/>
      <w:marBottom w:val="0"/>
      <w:divBdr>
        <w:top w:val="none" w:sz="0" w:space="0" w:color="auto"/>
        <w:left w:val="none" w:sz="0" w:space="0" w:color="auto"/>
        <w:bottom w:val="none" w:sz="0" w:space="0" w:color="auto"/>
        <w:right w:val="none" w:sz="0" w:space="0" w:color="auto"/>
      </w:divBdr>
    </w:div>
    <w:div w:id="896010352">
      <w:bodyDiv w:val="1"/>
      <w:marLeft w:val="0"/>
      <w:marRight w:val="0"/>
      <w:marTop w:val="0"/>
      <w:marBottom w:val="0"/>
      <w:divBdr>
        <w:top w:val="none" w:sz="0" w:space="0" w:color="auto"/>
        <w:left w:val="none" w:sz="0" w:space="0" w:color="auto"/>
        <w:bottom w:val="none" w:sz="0" w:space="0" w:color="auto"/>
        <w:right w:val="none" w:sz="0" w:space="0" w:color="auto"/>
      </w:divBdr>
    </w:div>
    <w:div w:id="962809720">
      <w:bodyDiv w:val="1"/>
      <w:marLeft w:val="0"/>
      <w:marRight w:val="0"/>
      <w:marTop w:val="0"/>
      <w:marBottom w:val="0"/>
      <w:divBdr>
        <w:top w:val="none" w:sz="0" w:space="0" w:color="auto"/>
        <w:left w:val="none" w:sz="0" w:space="0" w:color="auto"/>
        <w:bottom w:val="none" w:sz="0" w:space="0" w:color="auto"/>
        <w:right w:val="none" w:sz="0" w:space="0" w:color="auto"/>
      </w:divBdr>
    </w:div>
    <w:div w:id="972562102">
      <w:bodyDiv w:val="1"/>
      <w:marLeft w:val="0"/>
      <w:marRight w:val="0"/>
      <w:marTop w:val="0"/>
      <w:marBottom w:val="0"/>
      <w:divBdr>
        <w:top w:val="none" w:sz="0" w:space="0" w:color="auto"/>
        <w:left w:val="none" w:sz="0" w:space="0" w:color="auto"/>
        <w:bottom w:val="none" w:sz="0" w:space="0" w:color="auto"/>
        <w:right w:val="none" w:sz="0" w:space="0" w:color="auto"/>
      </w:divBdr>
    </w:div>
    <w:div w:id="973025555">
      <w:bodyDiv w:val="1"/>
      <w:marLeft w:val="0"/>
      <w:marRight w:val="0"/>
      <w:marTop w:val="0"/>
      <w:marBottom w:val="0"/>
      <w:divBdr>
        <w:top w:val="none" w:sz="0" w:space="0" w:color="auto"/>
        <w:left w:val="none" w:sz="0" w:space="0" w:color="auto"/>
        <w:bottom w:val="none" w:sz="0" w:space="0" w:color="auto"/>
        <w:right w:val="none" w:sz="0" w:space="0" w:color="auto"/>
      </w:divBdr>
      <w:divsChild>
        <w:div w:id="398333021">
          <w:marLeft w:val="0"/>
          <w:marRight w:val="0"/>
          <w:marTop w:val="0"/>
          <w:marBottom w:val="0"/>
          <w:divBdr>
            <w:top w:val="none" w:sz="0" w:space="0" w:color="auto"/>
            <w:left w:val="none" w:sz="0" w:space="0" w:color="auto"/>
            <w:bottom w:val="none" w:sz="0" w:space="0" w:color="auto"/>
            <w:right w:val="none" w:sz="0" w:space="0" w:color="auto"/>
          </w:divBdr>
        </w:div>
        <w:div w:id="1381129731">
          <w:marLeft w:val="0"/>
          <w:marRight w:val="0"/>
          <w:marTop w:val="0"/>
          <w:marBottom w:val="0"/>
          <w:divBdr>
            <w:top w:val="none" w:sz="0" w:space="0" w:color="auto"/>
            <w:left w:val="none" w:sz="0" w:space="0" w:color="auto"/>
            <w:bottom w:val="none" w:sz="0" w:space="0" w:color="auto"/>
            <w:right w:val="none" w:sz="0" w:space="0" w:color="auto"/>
          </w:divBdr>
        </w:div>
      </w:divsChild>
    </w:div>
    <w:div w:id="975649818">
      <w:bodyDiv w:val="1"/>
      <w:marLeft w:val="0"/>
      <w:marRight w:val="0"/>
      <w:marTop w:val="0"/>
      <w:marBottom w:val="0"/>
      <w:divBdr>
        <w:top w:val="none" w:sz="0" w:space="0" w:color="auto"/>
        <w:left w:val="none" w:sz="0" w:space="0" w:color="auto"/>
        <w:bottom w:val="none" w:sz="0" w:space="0" w:color="auto"/>
        <w:right w:val="none" w:sz="0" w:space="0" w:color="auto"/>
      </w:divBdr>
      <w:divsChild>
        <w:div w:id="181015746">
          <w:marLeft w:val="0"/>
          <w:marRight w:val="0"/>
          <w:marTop w:val="0"/>
          <w:marBottom w:val="0"/>
          <w:divBdr>
            <w:top w:val="none" w:sz="0" w:space="0" w:color="auto"/>
            <w:left w:val="none" w:sz="0" w:space="0" w:color="auto"/>
            <w:bottom w:val="none" w:sz="0" w:space="0" w:color="auto"/>
            <w:right w:val="none" w:sz="0" w:space="0" w:color="auto"/>
          </w:divBdr>
        </w:div>
        <w:div w:id="315377011">
          <w:marLeft w:val="0"/>
          <w:marRight w:val="0"/>
          <w:marTop w:val="0"/>
          <w:marBottom w:val="0"/>
          <w:divBdr>
            <w:top w:val="none" w:sz="0" w:space="0" w:color="auto"/>
            <w:left w:val="none" w:sz="0" w:space="0" w:color="auto"/>
            <w:bottom w:val="none" w:sz="0" w:space="0" w:color="auto"/>
            <w:right w:val="none" w:sz="0" w:space="0" w:color="auto"/>
          </w:divBdr>
        </w:div>
        <w:div w:id="361177150">
          <w:marLeft w:val="0"/>
          <w:marRight w:val="0"/>
          <w:marTop w:val="0"/>
          <w:marBottom w:val="0"/>
          <w:divBdr>
            <w:top w:val="none" w:sz="0" w:space="0" w:color="auto"/>
            <w:left w:val="none" w:sz="0" w:space="0" w:color="auto"/>
            <w:bottom w:val="none" w:sz="0" w:space="0" w:color="auto"/>
            <w:right w:val="none" w:sz="0" w:space="0" w:color="auto"/>
          </w:divBdr>
        </w:div>
        <w:div w:id="758059094">
          <w:marLeft w:val="0"/>
          <w:marRight w:val="0"/>
          <w:marTop w:val="0"/>
          <w:marBottom w:val="0"/>
          <w:divBdr>
            <w:top w:val="none" w:sz="0" w:space="0" w:color="auto"/>
            <w:left w:val="none" w:sz="0" w:space="0" w:color="auto"/>
            <w:bottom w:val="none" w:sz="0" w:space="0" w:color="auto"/>
            <w:right w:val="none" w:sz="0" w:space="0" w:color="auto"/>
          </w:divBdr>
        </w:div>
        <w:div w:id="1016691993">
          <w:marLeft w:val="0"/>
          <w:marRight w:val="0"/>
          <w:marTop w:val="0"/>
          <w:marBottom w:val="0"/>
          <w:divBdr>
            <w:top w:val="none" w:sz="0" w:space="0" w:color="auto"/>
            <w:left w:val="none" w:sz="0" w:space="0" w:color="auto"/>
            <w:bottom w:val="none" w:sz="0" w:space="0" w:color="auto"/>
            <w:right w:val="none" w:sz="0" w:space="0" w:color="auto"/>
          </w:divBdr>
        </w:div>
        <w:div w:id="1846507226">
          <w:marLeft w:val="0"/>
          <w:marRight w:val="0"/>
          <w:marTop w:val="0"/>
          <w:marBottom w:val="0"/>
          <w:divBdr>
            <w:top w:val="none" w:sz="0" w:space="0" w:color="auto"/>
            <w:left w:val="none" w:sz="0" w:space="0" w:color="auto"/>
            <w:bottom w:val="none" w:sz="0" w:space="0" w:color="auto"/>
            <w:right w:val="none" w:sz="0" w:space="0" w:color="auto"/>
          </w:divBdr>
        </w:div>
      </w:divsChild>
    </w:div>
    <w:div w:id="979381536">
      <w:bodyDiv w:val="1"/>
      <w:marLeft w:val="0"/>
      <w:marRight w:val="0"/>
      <w:marTop w:val="0"/>
      <w:marBottom w:val="0"/>
      <w:divBdr>
        <w:top w:val="none" w:sz="0" w:space="0" w:color="auto"/>
        <w:left w:val="none" w:sz="0" w:space="0" w:color="auto"/>
        <w:bottom w:val="none" w:sz="0" w:space="0" w:color="auto"/>
        <w:right w:val="none" w:sz="0" w:space="0" w:color="auto"/>
      </w:divBdr>
    </w:div>
    <w:div w:id="990867192">
      <w:bodyDiv w:val="1"/>
      <w:marLeft w:val="0"/>
      <w:marRight w:val="0"/>
      <w:marTop w:val="0"/>
      <w:marBottom w:val="0"/>
      <w:divBdr>
        <w:top w:val="none" w:sz="0" w:space="0" w:color="auto"/>
        <w:left w:val="none" w:sz="0" w:space="0" w:color="auto"/>
        <w:bottom w:val="none" w:sz="0" w:space="0" w:color="auto"/>
        <w:right w:val="none" w:sz="0" w:space="0" w:color="auto"/>
      </w:divBdr>
    </w:div>
    <w:div w:id="1021471858">
      <w:bodyDiv w:val="1"/>
      <w:marLeft w:val="0"/>
      <w:marRight w:val="0"/>
      <w:marTop w:val="0"/>
      <w:marBottom w:val="0"/>
      <w:divBdr>
        <w:top w:val="none" w:sz="0" w:space="0" w:color="auto"/>
        <w:left w:val="none" w:sz="0" w:space="0" w:color="auto"/>
        <w:bottom w:val="none" w:sz="0" w:space="0" w:color="auto"/>
        <w:right w:val="none" w:sz="0" w:space="0" w:color="auto"/>
      </w:divBdr>
    </w:div>
    <w:div w:id="1053701191">
      <w:bodyDiv w:val="1"/>
      <w:marLeft w:val="0"/>
      <w:marRight w:val="0"/>
      <w:marTop w:val="0"/>
      <w:marBottom w:val="0"/>
      <w:divBdr>
        <w:top w:val="none" w:sz="0" w:space="0" w:color="auto"/>
        <w:left w:val="none" w:sz="0" w:space="0" w:color="auto"/>
        <w:bottom w:val="none" w:sz="0" w:space="0" w:color="auto"/>
        <w:right w:val="none" w:sz="0" w:space="0" w:color="auto"/>
      </w:divBdr>
      <w:divsChild>
        <w:div w:id="189997977">
          <w:marLeft w:val="0"/>
          <w:marRight w:val="0"/>
          <w:marTop w:val="0"/>
          <w:marBottom w:val="0"/>
          <w:divBdr>
            <w:top w:val="none" w:sz="0" w:space="0" w:color="auto"/>
            <w:left w:val="none" w:sz="0" w:space="0" w:color="auto"/>
            <w:bottom w:val="none" w:sz="0" w:space="0" w:color="auto"/>
            <w:right w:val="none" w:sz="0" w:space="0" w:color="auto"/>
          </w:divBdr>
          <w:divsChild>
            <w:div w:id="706760967">
              <w:marLeft w:val="0"/>
              <w:marRight w:val="0"/>
              <w:marTop w:val="0"/>
              <w:marBottom w:val="0"/>
              <w:divBdr>
                <w:top w:val="none" w:sz="0" w:space="0" w:color="auto"/>
                <w:left w:val="none" w:sz="0" w:space="0" w:color="auto"/>
                <w:bottom w:val="none" w:sz="0" w:space="0" w:color="auto"/>
                <w:right w:val="none" w:sz="0" w:space="0" w:color="auto"/>
              </w:divBdr>
            </w:div>
            <w:div w:id="1653564336">
              <w:marLeft w:val="0"/>
              <w:marRight w:val="0"/>
              <w:marTop w:val="0"/>
              <w:marBottom w:val="0"/>
              <w:divBdr>
                <w:top w:val="none" w:sz="0" w:space="0" w:color="auto"/>
                <w:left w:val="none" w:sz="0" w:space="0" w:color="auto"/>
                <w:bottom w:val="none" w:sz="0" w:space="0" w:color="auto"/>
                <w:right w:val="none" w:sz="0" w:space="0" w:color="auto"/>
              </w:divBdr>
            </w:div>
            <w:div w:id="1899709424">
              <w:marLeft w:val="0"/>
              <w:marRight w:val="0"/>
              <w:marTop w:val="0"/>
              <w:marBottom w:val="0"/>
              <w:divBdr>
                <w:top w:val="none" w:sz="0" w:space="0" w:color="auto"/>
                <w:left w:val="none" w:sz="0" w:space="0" w:color="auto"/>
                <w:bottom w:val="none" w:sz="0" w:space="0" w:color="auto"/>
                <w:right w:val="none" w:sz="0" w:space="0" w:color="auto"/>
              </w:divBdr>
            </w:div>
            <w:div w:id="1941715806">
              <w:marLeft w:val="0"/>
              <w:marRight w:val="0"/>
              <w:marTop w:val="0"/>
              <w:marBottom w:val="0"/>
              <w:divBdr>
                <w:top w:val="none" w:sz="0" w:space="0" w:color="auto"/>
                <w:left w:val="none" w:sz="0" w:space="0" w:color="auto"/>
                <w:bottom w:val="none" w:sz="0" w:space="0" w:color="auto"/>
                <w:right w:val="none" w:sz="0" w:space="0" w:color="auto"/>
              </w:divBdr>
            </w:div>
            <w:div w:id="2120484484">
              <w:marLeft w:val="0"/>
              <w:marRight w:val="0"/>
              <w:marTop w:val="0"/>
              <w:marBottom w:val="0"/>
              <w:divBdr>
                <w:top w:val="none" w:sz="0" w:space="0" w:color="auto"/>
                <w:left w:val="none" w:sz="0" w:space="0" w:color="auto"/>
                <w:bottom w:val="none" w:sz="0" w:space="0" w:color="auto"/>
                <w:right w:val="none" w:sz="0" w:space="0" w:color="auto"/>
              </w:divBdr>
            </w:div>
            <w:div w:id="2121216418">
              <w:marLeft w:val="0"/>
              <w:marRight w:val="0"/>
              <w:marTop w:val="0"/>
              <w:marBottom w:val="0"/>
              <w:divBdr>
                <w:top w:val="none" w:sz="0" w:space="0" w:color="auto"/>
                <w:left w:val="none" w:sz="0" w:space="0" w:color="auto"/>
                <w:bottom w:val="none" w:sz="0" w:space="0" w:color="auto"/>
                <w:right w:val="none" w:sz="0" w:space="0" w:color="auto"/>
              </w:divBdr>
            </w:div>
          </w:divsChild>
        </w:div>
        <w:div w:id="422263215">
          <w:marLeft w:val="0"/>
          <w:marRight w:val="0"/>
          <w:marTop w:val="0"/>
          <w:marBottom w:val="0"/>
          <w:divBdr>
            <w:top w:val="none" w:sz="0" w:space="0" w:color="auto"/>
            <w:left w:val="none" w:sz="0" w:space="0" w:color="auto"/>
            <w:bottom w:val="none" w:sz="0" w:space="0" w:color="auto"/>
            <w:right w:val="none" w:sz="0" w:space="0" w:color="auto"/>
          </w:divBdr>
          <w:divsChild>
            <w:div w:id="135491795">
              <w:marLeft w:val="0"/>
              <w:marRight w:val="0"/>
              <w:marTop w:val="0"/>
              <w:marBottom w:val="0"/>
              <w:divBdr>
                <w:top w:val="none" w:sz="0" w:space="0" w:color="auto"/>
                <w:left w:val="none" w:sz="0" w:space="0" w:color="auto"/>
                <w:bottom w:val="none" w:sz="0" w:space="0" w:color="auto"/>
                <w:right w:val="none" w:sz="0" w:space="0" w:color="auto"/>
              </w:divBdr>
            </w:div>
            <w:div w:id="636035435">
              <w:marLeft w:val="0"/>
              <w:marRight w:val="0"/>
              <w:marTop w:val="0"/>
              <w:marBottom w:val="0"/>
              <w:divBdr>
                <w:top w:val="none" w:sz="0" w:space="0" w:color="auto"/>
                <w:left w:val="none" w:sz="0" w:space="0" w:color="auto"/>
                <w:bottom w:val="none" w:sz="0" w:space="0" w:color="auto"/>
                <w:right w:val="none" w:sz="0" w:space="0" w:color="auto"/>
              </w:divBdr>
            </w:div>
            <w:div w:id="674772999">
              <w:marLeft w:val="0"/>
              <w:marRight w:val="0"/>
              <w:marTop w:val="0"/>
              <w:marBottom w:val="0"/>
              <w:divBdr>
                <w:top w:val="none" w:sz="0" w:space="0" w:color="auto"/>
                <w:left w:val="none" w:sz="0" w:space="0" w:color="auto"/>
                <w:bottom w:val="none" w:sz="0" w:space="0" w:color="auto"/>
                <w:right w:val="none" w:sz="0" w:space="0" w:color="auto"/>
              </w:divBdr>
            </w:div>
            <w:div w:id="950161714">
              <w:marLeft w:val="0"/>
              <w:marRight w:val="0"/>
              <w:marTop w:val="0"/>
              <w:marBottom w:val="0"/>
              <w:divBdr>
                <w:top w:val="none" w:sz="0" w:space="0" w:color="auto"/>
                <w:left w:val="none" w:sz="0" w:space="0" w:color="auto"/>
                <w:bottom w:val="none" w:sz="0" w:space="0" w:color="auto"/>
                <w:right w:val="none" w:sz="0" w:space="0" w:color="auto"/>
              </w:divBdr>
            </w:div>
            <w:div w:id="18212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74446">
      <w:bodyDiv w:val="1"/>
      <w:marLeft w:val="0"/>
      <w:marRight w:val="0"/>
      <w:marTop w:val="0"/>
      <w:marBottom w:val="0"/>
      <w:divBdr>
        <w:top w:val="none" w:sz="0" w:space="0" w:color="auto"/>
        <w:left w:val="none" w:sz="0" w:space="0" w:color="auto"/>
        <w:bottom w:val="none" w:sz="0" w:space="0" w:color="auto"/>
        <w:right w:val="none" w:sz="0" w:space="0" w:color="auto"/>
      </w:divBdr>
    </w:div>
    <w:div w:id="1110080923">
      <w:bodyDiv w:val="1"/>
      <w:marLeft w:val="0"/>
      <w:marRight w:val="0"/>
      <w:marTop w:val="0"/>
      <w:marBottom w:val="0"/>
      <w:divBdr>
        <w:top w:val="none" w:sz="0" w:space="0" w:color="auto"/>
        <w:left w:val="none" w:sz="0" w:space="0" w:color="auto"/>
        <w:bottom w:val="none" w:sz="0" w:space="0" w:color="auto"/>
        <w:right w:val="none" w:sz="0" w:space="0" w:color="auto"/>
      </w:divBdr>
    </w:div>
    <w:div w:id="1115976638">
      <w:bodyDiv w:val="1"/>
      <w:marLeft w:val="0"/>
      <w:marRight w:val="0"/>
      <w:marTop w:val="0"/>
      <w:marBottom w:val="0"/>
      <w:divBdr>
        <w:top w:val="none" w:sz="0" w:space="0" w:color="auto"/>
        <w:left w:val="none" w:sz="0" w:space="0" w:color="auto"/>
        <w:bottom w:val="none" w:sz="0" w:space="0" w:color="auto"/>
        <w:right w:val="none" w:sz="0" w:space="0" w:color="auto"/>
      </w:divBdr>
    </w:div>
    <w:div w:id="1116874171">
      <w:bodyDiv w:val="1"/>
      <w:marLeft w:val="0"/>
      <w:marRight w:val="0"/>
      <w:marTop w:val="0"/>
      <w:marBottom w:val="0"/>
      <w:divBdr>
        <w:top w:val="none" w:sz="0" w:space="0" w:color="auto"/>
        <w:left w:val="none" w:sz="0" w:space="0" w:color="auto"/>
        <w:bottom w:val="none" w:sz="0" w:space="0" w:color="auto"/>
        <w:right w:val="none" w:sz="0" w:space="0" w:color="auto"/>
      </w:divBdr>
    </w:div>
    <w:div w:id="1118068469">
      <w:bodyDiv w:val="1"/>
      <w:marLeft w:val="0"/>
      <w:marRight w:val="0"/>
      <w:marTop w:val="0"/>
      <w:marBottom w:val="0"/>
      <w:divBdr>
        <w:top w:val="none" w:sz="0" w:space="0" w:color="auto"/>
        <w:left w:val="none" w:sz="0" w:space="0" w:color="auto"/>
        <w:bottom w:val="none" w:sz="0" w:space="0" w:color="auto"/>
        <w:right w:val="none" w:sz="0" w:space="0" w:color="auto"/>
      </w:divBdr>
      <w:divsChild>
        <w:div w:id="127405667">
          <w:marLeft w:val="0"/>
          <w:marRight w:val="0"/>
          <w:marTop w:val="0"/>
          <w:marBottom w:val="0"/>
          <w:divBdr>
            <w:top w:val="none" w:sz="0" w:space="0" w:color="auto"/>
            <w:left w:val="none" w:sz="0" w:space="0" w:color="auto"/>
            <w:bottom w:val="none" w:sz="0" w:space="0" w:color="auto"/>
            <w:right w:val="none" w:sz="0" w:space="0" w:color="auto"/>
          </w:divBdr>
        </w:div>
        <w:div w:id="222065297">
          <w:marLeft w:val="0"/>
          <w:marRight w:val="0"/>
          <w:marTop w:val="0"/>
          <w:marBottom w:val="0"/>
          <w:divBdr>
            <w:top w:val="none" w:sz="0" w:space="0" w:color="auto"/>
            <w:left w:val="none" w:sz="0" w:space="0" w:color="auto"/>
            <w:bottom w:val="none" w:sz="0" w:space="0" w:color="auto"/>
            <w:right w:val="none" w:sz="0" w:space="0" w:color="auto"/>
          </w:divBdr>
        </w:div>
        <w:div w:id="249461345">
          <w:marLeft w:val="0"/>
          <w:marRight w:val="0"/>
          <w:marTop w:val="0"/>
          <w:marBottom w:val="0"/>
          <w:divBdr>
            <w:top w:val="none" w:sz="0" w:space="0" w:color="auto"/>
            <w:left w:val="none" w:sz="0" w:space="0" w:color="auto"/>
            <w:bottom w:val="none" w:sz="0" w:space="0" w:color="auto"/>
            <w:right w:val="none" w:sz="0" w:space="0" w:color="auto"/>
          </w:divBdr>
        </w:div>
        <w:div w:id="280579095">
          <w:marLeft w:val="0"/>
          <w:marRight w:val="0"/>
          <w:marTop w:val="0"/>
          <w:marBottom w:val="0"/>
          <w:divBdr>
            <w:top w:val="none" w:sz="0" w:space="0" w:color="auto"/>
            <w:left w:val="none" w:sz="0" w:space="0" w:color="auto"/>
            <w:bottom w:val="none" w:sz="0" w:space="0" w:color="auto"/>
            <w:right w:val="none" w:sz="0" w:space="0" w:color="auto"/>
          </w:divBdr>
        </w:div>
        <w:div w:id="322396667">
          <w:marLeft w:val="0"/>
          <w:marRight w:val="0"/>
          <w:marTop w:val="0"/>
          <w:marBottom w:val="0"/>
          <w:divBdr>
            <w:top w:val="none" w:sz="0" w:space="0" w:color="auto"/>
            <w:left w:val="none" w:sz="0" w:space="0" w:color="auto"/>
            <w:bottom w:val="none" w:sz="0" w:space="0" w:color="auto"/>
            <w:right w:val="none" w:sz="0" w:space="0" w:color="auto"/>
          </w:divBdr>
        </w:div>
        <w:div w:id="475538293">
          <w:marLeft w:val="0"/>
          <w:marRight w:val="0"/>
          <w:marTop w:val="0"/>
          <w:marBottom w:val="0"/>
          <w:divBdr>
            <w:top w:val="none" w:sz="0" w:space="0" w:color="auto"/>
            <w:left w:val="none" w:sz="0" w:space="0" w:color="auto"/>
            <w:bottom w:val="none" w:sz="0" w:space="0" w:color="auto"/>
            <w:right w:val="none" w:sz="0" w:space="0" w:color="auto"/>
          </w:divBdr>
        </w:div>
        <w:div w:id="605041192">
          <w:marLeft w:val="0"/>
          <w:marRight w:val="0"/>
          <w:marTop w:val="0"/>
          <w:marBottom w:val="0"/>
          <w:divBdr>
            <w:top w:val="none" w:sz="0" w:space="0" w:color="auto"/>
            <w:left w:val="none" w:sz="0" w:space="0" w:color="auto"/>
            <w:bottom w:val="none" w:sz="0" w:space="0" w:color="auto"/>
            <w:right w:val="none" w:sz="0" w:space="0" w:color="auto"/>
          </w:divBdr>
        </w:div>
        <w:div w:id="869997344">
          <w:marLeft w:val="0"/>
          <w:marRight w:val="0"/>
          <w:marTop w:val="0"/>
          <w:marBottom w:val="0"/>
          <w:divBdr>
            <w:top w:val="none" w:sz="0" w:space="0" w:color="auto"/>
            <w:left w:val="none" w:sz="0" w:space="0" w:color="auto"/>
            <w:bottom w:val="none" w:sz="0" w:space="0" w:color="auto"/>
            <w:right w:val="none" w:sz="0" w:space="0" w:color="auto"/>
          </w:divBdr>
        </w:div>
        <w:div w:id="1109010974">
          <w:marLeft w:val="0"/>
          <w:marRight w:val="0"/>
          <w:marTop w:val="0"/>
          <w:marBottom w:val="0"/>
          <w:divBdr>
            <w:top w:val="none" w:sz="0" w:space="0" w:color="auto"/>
            <w:left w:val="none" w:sz="0" w:space="0" w:color="auto"/>
            <w:bottom w:val="none" w:sz="0" w:space="0" w:color="auto"/>
            <w:right w:val="none" w:sz="0" w:space="0" w:color="auto"/>
          </w:divBdr>
        </w:div>
        <w:div w:id="1162115603">
          <w:marLeft w:val="0"/>
          <w:marRight w:val="0"/>
          <w:marTop w:val="0"/>
          <w:marBottom w:val="0"/>
          <w:divBdr>
            <w:top w:val="none" w:sz="0" w:space="0" w:color="auto"/>
            <w:left w:val="none" w:sz="0" w:space="0" w:color="auto"/>
            <w:bottom w:val="none" w:sz="0" w:space="0" w:color="auto"/>
            <w:right w:val="none" w:sz="0" w:space="0" w:color="auto"/>
          </w:divBdr>
        </w:div>
        <w:div w:id="1285577773">
          <w:marLeft w:val="0"/>
          <w:marRight w:val="0"/>
          <w:marTop w:val="0"/>
          <w:marBottom w:val="0"/>
          <w:divBdr>
            <w:top w:val="none" w:sz="0" w:space="0" w:color="auto"/>
            <w:left w:val="none" w:sz="0" w:space="0" w:color="auto"/>
            <w:bottom w:val="none" w:sz="0" w:space="0" w:color="auto"/>
            <w:right w:val="none" w:sz="0" w:space="0" w:color="auto"/>
          </w:divBdr>
        </w:div>
        <w:div w:id="1286698645">
          <w:marLeft w:val="0"/>
          <w:marRight w:val="0"/>
          <w:marTop w:val="0"/>
          <w:marBottom w:val="0"/>
          <w:divBdr>
            <w:top w:val="none" w:sz="0" w:space="0" w:color="auto"/>
            <w:left w:val="none" w:sz="0" w:space="0" w:color="auto"/>
            <w:bottom w:val="none" w:sz="0" w:space="0" w:color="auto"/>
            <w:right w:val="none" w:sz="0" w:space="0" w:color="auto"/>
          </w:divBdr>
        </w:div>
        <w:div w:id="1484664371">
          <w:marLeft w:val="0"/>
          <w:marRight w:val="0"/>
          <w:marTop w:val="0"/>
          <w:marBottom w:val="0"/>
          <w:divBdr>
            <w:top w:val="none" w:sz="0" w:space="0" w:color="auto"/>
            <w:left w:val="none" w:sz="0" w:space="0" w:color="auto"/>
            <w:bottom w:val="none" w:sz="0" w:space="0" w:color="auto"/>
            <w:right w:val="none" w:sz="0" w:space="0" w:color="auto"/>
          </w:divBdr>
        </w:div>
        <w:div w:id="1564103600">
          <w:marLeft w:val="0"/>
          <w:marRight w:val="0"/>
          <w:marTop w:val="0"/>
          <w:marBottom w:val="0"/>
          <w:divBdr>
            <w:top w:val="none" w:sz="0" w:space="0" w:color="auto"/>
            <w:left w:val="none" w:sz="0" w:space="0" w:color="auto"/>
            <w:bottom w:val="none" w:sz="0" w:space="0" w:color="auto"/>
            <w:right w:val="none" w:sz="0" w:space="0" w:color="auto"/>
          </w:divBdr>
        </w:div>
        <w:div w:id="1652100369">
          <w:marLeft w:val="0"/>
          <w:marRight w:val="0"/>
          <w:marTop w:val="0"/>
          <w:marBottom w:val="0"/>
          <w:divBdr>
            <w:top w:val="none" w:sz="0" w:space="0" w:color="auto"/>
            <w:left w:val="none" w:sz="0" w:space="0" w:color="auto"/>
            <w:bottom w:val="none" w:sz="0" w:space="0" w:color="auto"/>
            <w:right w:val="none" w:sz="0" w:space="0" w:color="auto"/>
          </w:divBdr>
        </w:div>
        <w:div w:id="1733038441">
          <w:marLeft w:val="0"/>
          <w:marRight w:val="0"/>
          <w:marTop w:val="0"/>
          <w:marBottom w:val="0"/>
          <w:divBdr>
            <w:top w:val="none" w:sz="0" w:space="0" w:color="auto"/>
            <w:left w:val="none" w:sz="0" w:space="0" w:color="auto"/>
            <w:bottom w:val="none" w:sz="0" w:space="0" w:color="auto"/>
            <w:right w:val="none" w:sz="0" w:space="0" w:color="auto"/>
          </w:divBdr>
        </w:div>
        <w:div w:id="1799105634">
          <w:marLeft w:val="0"/>
          <w:marRight w:val="0"/>
          <w:marTop w:val="0"/>
          <w:marBottom w:val="0"/>
          <w:divBdr>
            <w:top w:val="none" w:sz="0" w:space="0" w:color="auto"/>
            <w:left w:val="none" w:sz="0" w:space="0" w:color="auto"/>
            <w:bottom w:val="none" w:sz="0" w:space="0" w:color="auto"/>
            <w:right w:val="none" w:sz="0" w:space="0" w:color="auto"/>
          </w:divBdr>
        </w:div>
        <w:div w:id="1861703542">
          <w:marLeft w:val="0"/>
          <w:marRight w:val="0"/>
          <w:marTop w:val="0"/>
          <w:marBottom w:val="0"/>
          <w:divBdr>
            <w:top w:val="none" w:sz="0" w:space="0" w:color="auto"/>
            <w:left w:val="none" w:sz="0" w:space="0" w:color="auto"/>
            <w:bottom w:val="none" w:sz="0" w:space="0" w:color="auto"/>
            <w:right w:val="none" w:sz="0" w:space="0" w:color="auto"/>
          </w:divBdr>
        </w:div>
      </w:divsChild>
    </w:div>
    <w:div w:id="1149174483">
      <w:bodyDiv w:val="1"/>
      <w:marLeft w:val="0"/>
      <w:marRight w:val="0"/>
      <w:marTop w:val="0"/>
      <w:marBottom w:val="0"/>
      <w:divBdr>
        <w:top w:val="none" w:sz="0" w:space="0" w:color="auto"/>
        <w:left w:val="none" w:sz="0" w:space="0" w:color="auto"/>
        <w:bottom w:val="none" w:sz="0" w:space="0" w:color="auto"/>
        <w:right w:val="none" w:sz="0" w:space="0" w:color="auto"/>
      </w:divBdr>
    </w:div>
    <w:div w:id="1157770853">
      <w:bodyDiv w:val="1"/>
      <w:marLeft w:val="0"/>
      <w:marRight w:val="0"/>
      <w:marTop w:val="0"/>
      <w:marBottom w:val="0"/>
      <w:divBdr>
        <w:top w:val="none" w:sz="0" w:space="0" w:color="auto"/>
        <w:left w:val="none" w:sz="0" w:space="0" w:color="auto"/>
        <w:bottom w:val="none" w:sz="0" w:space="0" w:color="auto"/>
        <w:right w:val="none" w:sz="0" w:space="0" w:color="auto"/>
      </w:divBdr>
    </w:div>
    <w:div w:id="1165900285">
      <w:bodyDiv w:val="1"/>
      <w:marLeft w:val="0"/>
      <w:marRight w:val="0"/>
      <w:marTop w:val="0"/>
      <w:marBottom w:val="0"/>
      <w:divBdr>
        <w:top w:val="none" w:sz="0" w:space="0" w:color="auto"/>
        <w:left w:val="none" w:sz="0" w:space="0" w:color="auto"/>
        <w:bottom w:val="none" w:sz="0" w:space="0" w:color="auto"/>
        <w:right w:val="none" w:sz="0" w:space="0" w:color="auto"/>
      </w:divBdr>
      <w:divsChild>
        <w:div w:id="769854530">
          <w:marLeft w:val="0"/>
          <w:marRight w:val="0"/>
          <w:marTop w:val="0"/>
          <w:marBottom w:val="0"/>
          <w:divBdr>
            <w:top w:val="none" w:sz="0" w:space="0" w:color="auto"/>
            <w:left w:val="none" w:sz="0" w:space="0" w:color="auto"/>
            <w:bottom w:val="none" w:sz="0" w:space="0" w:color="auto"/>
            <w:right w:val="none" w:sz="0" w:space="0" w:color="auto"/>
          </w:divBdr>
        </w:div>
        <w:div w:id="1287077443">
          <w:marLeft w:val="0"/>
          <w:marRight w:val="0"/>
          <w:marTop w:val="0"/>
          <w:marBottom w:val="0"/>
          <w:divBdr>
            <w:top w:val="none" w:sz="0" w:space="0" w:color="auto"/>
            <w:left w:val="none" w:sz="0" w:space="0" w:color="auto"/>
            <w:bottom w:val="none" w:sz="0" w:space="0" w:color="auto"/>
            <w:right w:val="none" w:sz="0" w:space="0" w:color="auto"/>
          </w:divBdr>
        </w:div>
      </w:divsChild>
    </w:div>
    <w:div w:id="1168788331">
      <w:bodyDiv w:val="1"/>
      <w:marLeft w:val="0"/>
      <w:marRight w:val="0"/>
      <w:marTop w:val="0"/>
      <w:marBottom w:val="0"/>
      <w:divBdr>
        <w:top w:val="none" w:sz="0" w:space="0" w:color="auto"/>
        <w:left w:val="none" w:sz="0" w:space="0" w:color="auto"/>
        <w:bottom w:val="none" w:sz="0" w:space="0" w:color="auto"/>
        <w:right w:val="none" w:sz="0" w:space="0" w:color="auto"/>
      </w:divBdr>
      <w:divsChild>
        <w:div w:id="1487623634">
          <w:marLeft w:val="0"/>
          <w:marRight w:val="0"/>
          <w:marTop w:val="0"/>
          <w:marBottom w:val="0"/>
          <w:divBdr>
            <w:top w:val="single" w:sz="2" w:space="0" w:color="E5E7EB"/>
            <w:left w:val="single" w:sz="2" w:space="0" w:color="E5E7EB"/>
            <w:bottom w:val="single" w:sz="2" w:space="0" w:color="E5E7EB"/>
            <w:right w:val="single" w:sz="2" w:space="0" w:color="E5E7EB"/>
          </w:divBdr>
          <w:divsChild>
            <w:div w:id="2107651902">
              <w:marLeft w:val="0"/>
              <w:marRight w:val="0"/>
              <w:marTop w:val="0"/>
              <w:marBottom w:val="0"/>
              <w:divBdr>
                <w:top w:val="single" w:sz="6" w:space="0" w:color="E5E7EB"/>
                <w:left w:val="single" w:sz="2" w:space="0" w:color="E5E7EB"/>
                <w:bottom w:val="single" w:sz="2" w:space="0" w:color="E5E7EB"/>
                <w:right w:val="single" w:sz="2" w:space="0" w:color="E5E7EB"/>
              </w:divBdr>
              <w:divsChild>
                <w:div w:id="1136068685">
                  <w:marLeft w:val="0"/>
                  <w:marRight w:val="0"/>
                  <w:marTop w:val="0"/>
                  <w:marBottom w:val="0"/>
                  <w:divBdr>
                    <w:top w:val="single" w:sz="6" w:space="0" w:color="E5E7EB"/>
                    <w:left w:val="single" w:sz="2" w:space="0" w:color="E5E7EB"/>
                    <w:bottom w:val="single" w:sz="2" w:space="0" w:color="E5E7EB"/>
                    <w:right w:val="single" w:sz="2" w:space="0" w:color="E5E7EB"/>
                  </w:divBdr>
                </w:div>
              </w:divsChild>
            </w:div>
          </w:divsChild>
        </w:div>
      </w:divsChild>
    </w:div>
    <w:div w:id="1175074955">
      <w:bodyDiv w:val="1"/>
      <w:marLeft w:val="0"/>
      <w:marRight w:val="0"/>
      <w:marTop w:val="0"/>
      <w:marBottom w:val="0"/>
      <w:divBdr>
        <w:top w:val="none" w:sz="0" w:space="0" w:color="auto"/>
        <w:left w:val="none" w:sz="0" w:space="0" w:color="auto"/>
        <w:bottom w:val="none" w:sz="0" w:space="0" w:color="auto"/>
        <w:right w:val="none" w:sz="0" w:space="0" w:color="auto"/>
      </w:divBdr>
    </w:div>
    <w:div w:id="1183283157">
      <w:bodyDiv w:val="1"/>
      <w:marLeft w:val="0"/>
      <w:marRight w:val="0"/>
      <w:marTop w:val="0"/>
      <w:marBottom w:val="0"/>
      <w:divBdr>
        <w:top w:val="none" w:sz="0" w:space="0" w:color="auto"/>
        <w:left w:val="none" w:sz="0" w:space="0" w:color="auto"/>
        <w:bottom w:val="none" w:sz="0" w:space="0" w:color="auto"/>
        <w:right w:val="none" w:sz="0" w:space="0" w:color="auto"/>
      </w:divBdr>
      <w:divsChild>
        <w:div w:id="48575667">
          <w:marLeft w:val="0"/>
          <w:marRight w:val="0"/>
          <w:marTop w:val="0"/>
          <w:marBottom w:val="0"/>
          <w:divBdr>
            <w:top w:val="none" w:sz="0" w:space="0" w:color="auto"/>
            <w:left w:val="none" w:sz="0" w:space="0" w:color="auto"/>
            <w:bottom w:val="none" w:sz="0" w:space="0" w:color="auto"/>
            <w:right w:val="none" w:sz="0" w:space="0" w:color="auto"/>
          </w:divBdr>
        </w:div>
        <w:div w:id="357849730">
          <w:marLeft w:val="0"/>
          <w:marRight w:val="0"/>
          <w:marTop w:val="0"/>
          <w:marBottom w:val="0"/>
          <w:divBdr>
            <w:top w:val="none" w:sz="0" w:space="0" w:color="auto"/>
            <w:left w:val="none" w:sz="0" w:space="0" w:color="auto"/>
            <w:bottom w:val="none" w:sz="0" w:space="0" w:color="auto"/>
            <w:right w:val="none" w:sz="0" w:space="0" w:color="auto"/>
          </w:divBdr>
        </w:div>
        <w:div w:id="862939821">
          <w:marLeft w:val="0"/>
          <w:marRight w:val="0"/>
          <w:marTop w:val="0"/>
          <w:marBottom w:val="0"/>
          <w:divBdr>
            <w:top w:val="none" w:sz="0" w:space="0" w:color="auto"/>
            <w:left w:val="none" w:sz="0" w:space="0" w:color="auto"/>
            <w:bottom w:val="none" w:sz="0" w:space="0" w:color="auto"/>
            <w:right w:val="none" w:sz="0" w:space="0" w:color="auto"/>
          </w:divBdr>
        </w:div>
        <w:div w:id="1007250461">
          <w:marLeft w:val="0"/>
          <w:marRight w:val="0"/>
          <w:marTop w:val="0"/>
          <w:marBottom w:val="0"/>
          <w:divBdr>
            <w:top w:val="none" w:sz="0" w:space="0" w:color="auto"/>
            <w:left w:val="none" w:sz="0" w:space="0" w:color="auto"/>
            <w:bottom w:val="none" w:sz="0" w:space="0" w:color="auto"/>
            <w:right w:val="none" w:sz="0" w:space="0" w:color="auto"/>
          </w:divBdr>
        </w:div>
        <w:div w:id="1648316300">
          <w:marLeft w:val="0"/>
          <w:marRight w:val="0"/>
          <w:marTop w:val="0"/>
          <w:marBottom w:val="0"/>
          <w:divBdr>
            <w:top w:val="none" w:sz="0" w:space="0" w:color="auto"/>
            <w:left w:val="none" w:sz="0" w:space="0" w:color="auto"/>
            <w:bottom w:val="none" w:sz="0" w:space="0" w:color="auto"/>
            <w:right w:val="none" w:sz="0" w:space="0" w:color="auto"/>
          </w:divBdr>
        </w:div>
        <w:div w:id="1908032870">
          <w:marLeft w:val="0"/>
          <w:marRight w:val="0"/>
          <w:marTop w:val="0"/>
          <w:marBottom w:val="0"/>
          <w:divBdr>
            <w:top w:val="none" w:sz="0" w:space="0" w:color="auto"/>
            <w:left w:val="none" w:sz="0" w:space="0" w:color="auto"/>
            <w:bottom w:val="none" w:sz="0" w:space="0" w:color="auto"/>
            <w:right w:val="none" w:sz="0" w:space="0" w:color="auto"/>
          </w:divBdr>
        </w:div>
      </w:divsChild>
    </w:div>
    <w:div w:id="1184323761">
      <w:bodyDiv w:val="1"/>
      <w:marLeft w:val="0"/>
      <w:marRight w:val="0"/>
      <w:marTop w:val="0"/>
      <w:marBottom w:val="0"/>
      <w:divBdr>
        <w:top w:val="none" w:sz="0" w:space="0" w:color="auto"/>
        <w:left w:val="none" w:sz="0" w:space="0" w:color="auto"/>
        <w:bottom w:val="none" w:sz="0" w:space="0" w:color="auto"/>
        <w:right w:val="none" w:sz="0" w:space="0" w:color="auto"/>
      </w:divBdr>
      <w:divsChild>
        <w:div w:id="78252842">
          <w:marLeft w:val="0"/>
          <w:marRight w:val="0"/>
          <w:marTop w:val="0"/>
          <w:marBottom w:val="0"/>
          <w:divBdr>
            <w:top w:val="none" w:sz="0" w:space="0" w:color="auto"/>
            <w:left w:val="none" w:sz="0" w:space="0" w:color="auto"/>
            <w:bottom w:val="none" w:sz="0" w:space="0" w:color="auto"/>
            <w:right w:val="none" w:sz="0" w:space="0" w:color="auto"/>
          </w:divBdr>
        </w:div>
      </w:divsChild>
    </w:div>
    <w:div w:id="1191145919">
      <w:bodyDiv w:val="1"/>
      <w:marLeft w:val="0"/>
      <w:marRight w:val="0"/>
      <w:marTop w:val="0"/>
      <w:marBottom w:val="0"/>
      <w:divBdr>
        <w:top w:val="none" w:sz="0" w:space="0" w:color="auto"/>
        <w:left w:val="none" w:sz="0" w:space="0" w:color="auto"/>
        <w:bottom w:val="none" w:sz="0" w:space="0" w:color="auto"/>
        <w:right w:val="none" w:sz="0" w:space="0" w:color="auto"/>
      </w:divBdr>
    </w:div>
    <w:div w:id="1212772023">
      <w:bodyDiv w:val="1"/>
      <w:marLeft w:val="0"/>
      <w:marRight w:val="0"/>
      <w:marTop w:val="0"/>
      <w:marBottom w:val="0"/>
      <w:divBdr>
        <w:top w:val="none" w:sz="0" w:space="0" w:color="auto"/>
        <w:left w:val="none" w:sz="0" w:space="0" w:color="auto"/>
        <w:bottom w:val="none" w:sz="0" w:space="0" w:color="auto"/>
        <w:right w:val="none" w:sz="0" w:space="0" w:color="auto"/>
      </w:divBdr>
    </w:div>
    <w:div w:id="1254513438">
      <w:bodyDiv w:val="1"/>
      <w:marLeft w:val="0"/>
      <w:marRight w:val="0"/>
      <w:marTop w:val="0"/>
      <w:marBottom w:val="0"/>
      <w:divBdr>
        <w:top w:val="none" w:sz="0" w:space="0" w:color="auto"/>
        <w:left w:val="none" w:sz="0" w:space="0" w:color="auto"/>
        <w:bottom w:val="none" w:sz="0" w:space="0" w:color="auto"/>
        <w:right w:val="none" w:sz="0" w:space="0" w:color="auto"/>
      </w:divBdr>
    </w:div>
    <w:div w:id="1265501454">
      <w:bodyDiv w:val="1"/>
      <w:marLeft w:val="0"/>
      <w:marRight w:val="0"/>
      <w:marTop w:val="0"/>
      <w:marBottom w:val="0"/>
      <w:divBdr>
        <w:top w:val="none" w:sz="0" w:space="0" w:color="auto"/>
        <w:left w:val="none" w:sz="0" w:space="0" w:color="auto"/>
        <w:bottom w:val="none" w:sz="0" w:space="0" w:color="auto"/>
        <w:right w:val="none" w:sz="0" w:space="0" w:color="auto"/>
      </w:divBdr>
    </w:div>
    <w:div w:id="1277326258">
      <w:bodyDiv w:val="1"/>
      <w:marLeft w:val="0"/>
      <w:marRight w:val="0"/>
      <w:marTop w:val="0"/>
      <w:marBottom w:val="0"/>
      <w:divBdr>
        <w:top w:val="none" w:sz="0" w:space="0" w:color="auto"/>
        <w:left w:val="none" w:sz="0" w:space="0" w:color="auto"/>
        <w:bottom w:val="none" w:sz="0" w:space="0" w:color="auto"/>
        <w:right w:val="none" w:sz="0" w:space="0" w:color="auto"/>
      </w:divBdr>
    </w:div>
    <w:div w:id="1296448168">
      <w:bodyDiv w:val="1"/>
      <w:marLeft w:val="0"/>
      <w:marRight w:val="0"/>
      <w:marTop w:val="0"/>
      <w:marBottom w:val="0"/>
      <w:divBdr>
        <w:top w:val="none" w:sz="0" w:space="0" w:color="auto"/>
        <w:left w:val="none" w:sz="0" w:space="0" w:color="auto"/>
        <w:bottom w:val="none" w:sz="0" w:space="0" w:color="auto"/>
        <w:right w:val="none" w:sz="0" w:space="0" w:color="auto"/>
      </w:divBdr>
    </w:div>
    <w:div w:id="1370378736">
      <w:bodyDiv w:val="1"/>
      <w:marLeft w:val="0"/>
      <w:marRight w:val="0"/>
      <w:marTop w:val="0"/>
      <w:marBottom w:val="0"/>
      <w:divBdr>
        <w:top w:val="none" w:sz="0" w:space="0" w:color="auto"/>
        <w:left w:val="none" w:sz="0" w:space="0" w:color="auto"/>
        <w:bottom w:val="none" w:sz="0" w:space="0" w:color="auto"/>
        <w:right w:val="none" w:sz="0" w:space="0" w:color="auto"/>
      </w:divBdr>
    </w:div>
    <w:div w:id="1382170371">
      <w:bodyDiv w:val="1"/>
      <w:marLeft w:val="0"/>
      <w:marRight w:val="0"/>
      <w:marTop w:val="0"/>
      <w:marBottom w:val="0"/>
      <w:divBdr>
        <w:top w:val="none" w:sz="0" w:space="0" w:color="auto"/>
        <w:left w:val="none" w:sz="0" w:space="0" w:color="auto"/>
        <w:bottom w:val="none" w:sz="0" w:space="0" w:color="auto"/>
        <w:right w:val="none" w:sz="0" w:space="0" w:color="auto"/>
      </w:divBdr>
      <w:divsChild>
        <w:div w:id="724719517">
          <w:marLeft w:val="0"/>
          <w:marRight w:val="0"/>
          <w:marTop w:val="0"/>
          <w:marBottom w:val="0"/>
          <w:divBdr>
            <w:top w:val="none" w:sz="0" w:space="0" w:color="auto"/>
            <w:left w:val="none" w:sz="0" w:space="0" w:color="auto"/>
            <w:bottom w:val="none" w:sz="0" w:space="0" w:color="auto"/>
            <w:right w:val="none" w:sz="0" w:space="0" w:color="auto"/>
          </w:divBdr>
        </w:div>
        <w:div w:id="1803646268">
          <w:marLeft w:val="0"/>
          <w:marRight w:val="0"/>
          <w:marTop w:val="0"/>
          <w:marBottom w:val="0"/>
          <w:divBdr>
            <w:top w:val="none" w:sz="0" w:space="0" w:color="auto"/>
            <w:left w:val="none" w:sz="0" w:space="0" w:color="auto"/>
            <w:bottom w:val="none" w:sz="0" w:space="0" w:color="auto"/>
            <w:right w:val="none" w:sz="0" w:space="0" w:color="auto"/>
          </w:divBdr>
        </w:div>
      </w:divsChild>
    </w:div>
    <w:div w:id="1447191178">
      <w:bodyDiv w:val="1"/>
      <w:marLeft w:val="0"/>
      <w:marRight w:val="0"/>
      <w:marTop w:val="0"/>
      <w:marBottom w:val="0"/>
      <w:divBdr>
        <w:top w:val="none" w:sz="0" w:space="0" w:color="auto"/>
        <w:left w:val="none" w:sz="0" w:space="0" w:color="auto"/>
        <w:bottom w:val="none" w:sz="0" w:space="0" w:color="auto"/>
        <w:right w:val="none" w:sz="0" w:space="0" w:color="auto"/>
      </w:divBdr>
    </w:div>
    <w:div w:id="1499618498">
      <w:bodyDiv w:val="1"/>
      <w:marLeft w:val="0"/>
      <w:marRight w:val="0"/>
      <w:marTop w:val="0"/>
      <w:marBottom w:val="0"/>
      <w:divBdr>
        <w:top w:val="none" w:sz="0" w:space="0" w:color="auto"/>
        <w:left w:val="none" w:sz="0" w:space="0" w:color="auto"/>
        <w:bottom w:val="none" w:sz="0" w:space="0" w:color="auto"/>
        <w:right w:val="none" w:sz="0" w:space="0" w:color="auto"/>
      </w:divBdr>
      <w:divsChild>
        <w:div w:id="267546519">
          <w:marLeft w:val="0"/>
          <w:marRight w:val="0"/>
          <w:marTop w:val="0"/>
          <w:marBottom w:val="0"/>
          <w:divBdr>
            <w:top w:val="none" w:sz="0" w:space="0" w:color="auto"/>
            <w:left w:val="none" w:sz="0" w:space="0" w:color="auto"/>
            <w:bottom w:val="none" w:sz="0" w:space="0" w:color="auto"/>
            <w:right w:val="none" w:sz="0" w:space="0" w:color="auto"/>
          </w:divBdr>
          <w:divsChild>
            <w:div w:id="49159905">
              <w:marLeft w:val="0"/>
              <w:marRight w:val="0"/>
              <w:marTop w:val="0"/>
              <w:marBottom w:val="0"/>
              <w:divBdr>
                <w:top w:val="none" w:sz="0" w:space="0" w:color="auto"/>
                <w:left w:val="none" w:sz="0" w:space="0" w:color="auto"/>
                <w:bottom w:val="none" w:sz="0" w:space="0" w:color="auto"/>
                <w:right w:val="none" w:sz="0" w:space="0" w:color="auto"/>
              </w:divBdr>
            </w:div>
            <w:div w:id="311831343">
              <w:marLeft w:val="0"/>
              <w:marRight w:val="0"/>
              <w:marTop w:val="0"/>
              <w:marBottom w:val="0"/>
              <w:divBdr>
                <w:top w:val="none" w:sz="0" w:space="0" w:color="auto"/>
                <w:left w:val="none" w:sz="0" w:space="0" w:color="auto"/>
                <w:bottom w:val="none" w:sz="0" w:space="0" w:color="auto"/>
                <w:right w:val="none" w:sz="0" w:space="0" w:color="auto"/>
              </w:divBdr>
            </w:div>
            <w:div w:id="643966225">
              <w:marLeft w:val="0"/>
              <w:marRight w:val="0"/>
              <w:marTop w:val="0"/>
              <w:marBottom w:val="0"/>
              <w:divBdr>
                <w:top w:val="none" w:sz="0" w:space="0" w:color="auto"/>
                <w:left w:val="none" w:sz="0" w:space="0" w:color="auto"/>
                <w:bottom w:val="none" w:sz="0" w:space="0" w:color="auto"/>
                <w:right w:val="none" w:sz="0" w:space="0" w:color="auto"/>
              </w:divBdr>
            </w:div>
            <w:div w:id="843545554">
              <w:marLeft w:val="0"/>
              <w:marRight w:val="0"/>
              <w:marTop w:val="0"/>
              <w:marBottom w:val="0"/>
              <w:divBdr>
                <w:top w:val="none" w:sz="0" w:space="0" w:color="auto"/>
                <w:left w:val="none" w:sz="0" w:space="0" w:color="auto"/>
                <w:bottom w:val="none" w:sz="0" w:space="0" w:color="auto"/>
                <w:right w:val="none" w:sz="0" w:space="0" w:color="auto"/>
              </w:divBdr>
            </w:div>
            <w:div w:id="1514537678">
              <w:marLeft w:val="0"/>
              <w:marRight w:val="0"/>
              <w:marTop w:val="0"/>
              <w:marBottom w:val="0"/>
              <w:divBdr>
                <w:top w:val="none" w:sz="0" w:space="0" w:color="auto"/>
                <w:left w:val="none" w:sz="0" w:space="0" w:color="auto"/>
                <w:bottom w:val="none" w:sz="0" w:space="0" w:color="auto"/>
                <w:right w:val="none" w:sz="0" w:space="0" w:color="auto"/>
              </w:divBdr>
            </w:div>
            <w:div w:id="1555964719">
              <w:marLeft w:val="0"/>
              <w:marRight w:val="0"/>
              <w:marTop w:val="0"/>
              <w:marBottom w:val="0"/>
              <w:divBdr>
                <w:top w:val="none" w:sz="0" w:space="0" w:color="auto"/>
                <w:left w:val="none" w:sz="0" w:space="0" w:color="auto"/>
                <w:bottom w:val="none" w:sz="0" w:space="0" w:color="auto"/>
                <w:right w:val="none" w:sz="0" w:space="0" w:color="auto"/>
              </w:divBdr>
            </w:div>
          </w:divsChild>
        </w:div>
        <w:div w:id="1384675380">
          <w:marLeft w:val="0"/>
          <w:marRight w:val="0"/>
          <w:marTop w:val="0"/>
          <w:marBottom w:val="0"/>
          <w:divBdr>
            <w:top w:val="none" w:sz="0" w:space="0" w:color="auto"/>
            <w:left w:val="none" w:sz="0" w:space="0" w:color="auto"/>
            <w:bottom w:val="none" w:sz="0" w:space="0" w:color="auto"/>
            <w:right w:val="none" w:sz="0" w:space="0" w:color="auto"/>
          </w:divBdr>
          <w:divsChild>
            <w:div w:id="259797503">
              <w:marLeft w:val="0"/>
              <w:marRight w:val="0"/>
              <w:marTop w:val="0"/>
              <w:marBottom w:val="0"/>
              <w:divBdr>
                <w:top w:val="none" w:sz="0" w:space="0" w:color="auto"/>
                <w:left w:val="none" w:sz="0" w:space="0" w:color="auto"/>
                <w:bottom w:val="none" w:sz="0" w:space="0" w:color="auto"/>
                <w:right w:val="none" w:sz="0" w:space="0" w:color="auto"/>
              </w:divBdr>
            </w:div>
            <w:div w:id="411438726">
              <w:marLeft w:val="0"/>
              <w:marRight w:val="0"/>
              <w:marTop w:val="0"/>
              <w:marBottom w:val="0"/>
              <w:divBdr>
                <w:top w:val="none" w:sz="0" w:space="0" w:color="auto"/>
                <w:left w:val="none" w:sz="0" w:space="0" w:color="auto"/>
                <w:bottom w:val="none" w:sz="0" w:space="0" w:color="auto"/>
                <w:right w:val="none" w:sz="0" w:space="0" w:color="auto"/>
              </w:divBdr>
            </w:div>
            <w:div w:id="431359271">
              <w:marLeft w:val="0"/>
              <w:marRight w:val="0"/>
              <w:marTop w:val="0"/>
              <w:marBottom w:val="0"/>
              <w:divBdr>
                <w:top w:val="none" w:sz="0" w:space="0" w:color="auto"/>
                <w:left w:val="none" w:sz="0" w:space="0" w:color="auto"/>
                <w:bottom w:val="none" w:sz="0" w:space="0" w:color="auto"/>
                <w:right w:val="none" w:sz="0" w:space="0" w:color="auto"/>
              </w:divBdr>
            </w:div>
            <w:div w:id="469444022">
              <w:marLeft w:val="0"/>
              <w:marRight w:val="0"/>
              <w:marTop w:val="0"/>
              <w:marBottom w:val="0"/>
              <w:divBdr>
                <w:top w:val="none" w:sz="0" w:space="0" w:color="auto"/>
                <w:left w:val="none" w:sz="0" w:space="0" w:color="auto"/>
                <w:bottom w:val="none" w:sz="0" w:space="0" w:color="auto"/>
                <w:right w:val="none" w:sz="0" w:space="0" w:color="auto"/>
              </w:divBdr>
            </w:div>
            <w:div w:id="106838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497435">
      <w:bodyDiv w:val="1"/>
      <w:marLeft w:val="0"/>
      <w:marRight w:val="0"/>
      <w:marTop w:val="0"/>
      <w:marBottom w:val="0"/>
      <w:divBdr>
        <w:top w:val="none" w:sz="0" w:space="0" w:color="auto"/>
        <w:left w:val="none" w:sz="0" w:space="0" w:color="auto"/>
        <w:bottom w:val="none" w:sz="0" w:space="0" w:color="auto"/>
        <w:right w:val="none" w:sz="0" w:space="0" w:color="auto"/>
      </w:divBdr>
    </w:div>
    <w:div w:id="1577780255">
      <w:bodyDiv w:val="1"/>
      <w:marLeft w:val="0"/>
      <w:marRight w:val="0"/>
      <w:marTop w:val="0"/>
      <w:marBottom w:val="0"/>
      <w:divBdr>
        <w:top w:val="none" w:sz="0" w:space="0" w:color="auto"/>
        <w:left w:val="none" w:sz="0" w:space="0" w:color="auto"/>
        <w:bottom w:val="none" w:sz="0" w:space="0" w:color="auto"/>
        <w:right w:val="none" w:sz="0" w:space="0" w:color="auto"/>
      </w:divBdr>
    </w:div>
    <w:div w:id="1591743773">
      <w:bodyDiv w:val="1"/>
      <w:marLeft w:val="0"/>
      <w:marRight w:val="0"/>
      <w:marTop w:val="0"/>
      <w:marBottom w:val="0"/>
      <w:divBdr>
        <w:top w:val="none" w:sz="0" w:space="0" w:color="auto"/>
        <w:left w:val="none" w:sz="0" w:space="0" w:color="auto"/>
        <w:bottom w:val="none" w:sz="0" w:space="0" w:color="auto"/>
        <w:right w:val="none" w:sz="0" w:space="0" w:color="auto"/>
      </w:divBdr>
    </w:div>
    <w:div w:id="1617129138">
      <w:bodyDiv w:val="1"/>
      <w:marLeft w:val="0"/>
      <w:marRight w:val="0"/>
      <w:marTop w:val="0"/>
      <w:marBottom w:val="0"/>
      <w:divBdr>
        <w:top w:val="none" w:sz="0" w:space="0" w:color="auto"/>
        <w:left w:val="none" w:sz="0" w:space="0" w:color="auto"/>
        <w:bottom w:val="none" w:sz="0" w:space="0" w:color="auto"/>
        <w:right w:val="none" w:sz="0" w:space="0" w:color="auto"/>
      </w:divBdr>
    </w:div>
    <w:div w:id="1626541035">
      <w:bodyDiv w:val="1"/>
      <w:marLeft w:val="0"/>
      <w:marRight w:val="0"/>
      <w:marTop w:val="0"/>
      <w:marBottom w:val="0"/>
      <w:divBdr>
        <w:top w:val="none" w:sz="0" w:space="0" w:color="auto"/>
        <w:left w:val="none" w:sz="0" w:space="0" w:color="auto"/>
        <w:bottom w:val="none" w:sz="0" w:space="0" w:color="auto"/>
        <w:right w:val="none" w:sz="0" w:space="0" w:color="auto"/>
      </w:divBdr>
    </w:div>
    <w:div w:id="1643465911">
      <w:bodyDiv w:val="1"/>
      <w:marLeft w:val="0"/>
      <w:marRight w:val="0"/>
      <w:marTop w:val="0"/>
      <w:marBottom w:val="0"/>
      <w:divBdr>
        <w:top w:val="none" w:sz="0" w:space="0" w:color="auto"/>
        <w:left w:val="none" w:sz="0" w:space="0" w:color="auto"/>
        <w:bottom w:val="none" w:sz="0" w:space="0" w:color="auto"/>
        <w:right w:val="none" w:sz="0" w:space="0" w:color="auto"/>
      </w:divBdr>
    </w:div>
    <w:div w:id="1649898019">
      <w:bodyDiv w:val="1"/>
      <w:marLeft w:val="0"/>
      <w:marRight w:val="0"/>
      <w:marTop w:val="0"/>
      <w:marBottom w:val="0"/>
      <w:divBdr>
        <w:top w:val="none" w:sz="0" w:space="0" w:color="auto"/>
        <w:left w:val="none" w:sz="0" w:space="0" w:color="auto"/>
        <w:bottom w:val="none" w:sz="0" w:space="0" w:color="auto"/>
        <w:right w:val="none" w:sz="0" w:space="0" w:color="auto"/>
      </w:divBdr>
    </w:div>
    <w:div w:id="1758165157">
      <w:bodyDiv w:val="1"/>
      <w:marLeft w:val="0"/>
      <w:marRight w:val="0"/>
      <w:marTop w:val="0"/>
      <w:marBottom w:val="0"/>
      <w:divBdr>
        <w:top w:val="none" w:sz="0" w:space="0" w:color="auto"/>
        <w:left w:val="none" w:sz="0" w:space="0" w:color="auto"/>
        <w:bottom w:val="none" w:sz="0" w:space="0" w:color="auto"/>
        <w:right w:val="none" w:sz="0" w:space="0" w:color="auto"/>
      </w:divBdr>
    </w:div>
    <w:div w:id="1767000586">
      <w:bodyDiv w:val="1"/>
      <w:marLeft w:val="0"/>
      <w:marRight w:val="0"/>
      <w:marTop w:val="0"/>
      <w:marBottom w:val="0"/>
      <w:divBdr>
        <w:top w:val="none" w:sz="0" w:space="0" w:color="auto"/>
        <w:left w:val="none" w:sz="0" w:space="0" w:color="auto"/>
        <w:bottom w:val="none" w:sz="0" w:space="0" w:color="auto"/>
        <w:right w:val="none" w:sz="0" w:space="0" w:color="auto"/>
      </w:divBdr>
    </w:div>
    <w:div w:id="1837453734">
      <w:bodyDiv w:val="1"/>
      <w:marLeft w:val="0"/>
      <w:marRight w:val="0"/>
      <w:marTop w:val="0"/>
      <w:marBottom w:val="0"/>
      <w:divBdr>
        <w:top w:val="none" w:sz="0" w:space="0" w:color="auto"/>
        <w:left w:val="none" w:sz="0" w:space="0" w:color="auto"/>
        <w:bottom w:val="none" w:sz="0" w:space="0" w:color="auto"/>
        <w:right w:val="none" w:sz="0" w:space="0" w:color="auto"/>
      </w:divBdr>
      <w:divsChild>
        <w:div w:id="118687092">
          <w:marLeft w:val="0"/>
          <w:marRight w:val="0"/>
          <w:marTop w:val="0"/>
          <w:marBottom w:val="0"/>
          <w:divBdr>
            <w:top w:val="single" w:sz="2" w:space="0" w:color="E5E7EB"/>
            <w:left w:val="single" w:sz="2" w:space="0" w:color="E5E7EB"/>
            <w:bottom w:val="single" w:sz="2" w:space="0" w:color="E5E7EB"/>
            <w:right w:val="single" w:sz="2" w:space="0" w:color="E5E7EB"/>
          </w:divBdr>
          <w:divsChild>
            <w:div w:id="369308115">
              <w:marLeft w:val="0"/>
              <w:marRight w:val="0"/>
              <w:marTop w:val="0"/>
              <w:marBottom w:val="0"/>
              <w:divBdr>
                <w:top w:val="single" w:sz="6" w:space="0" w:color="E5E7EB"/>
                <w:left w:val="single" w:sz="2" w:space="0" w:color="E5E7EB"/>
                <w:bottom w:val="single" w:sz="2" w:space="0" w:color="E5E7EB"/>
                <w:right w:val="single" w:sz="2" w:space="0" w:color="E5E7EB"/>
              </w:divBdr>
              <w:divsChild>
                <w:div w:id="1039740581">
                  <w:marLeft w:val="0"/>
                  <w:marRight w:val="0"/>
                  <w:marTop w:val="0"/>
                  <w:marBottom w:val="0"/>
                  <w:divBdr>
                    <w:top w:val="single" w:sz="6" w:space="0" w:color="E5E7EB"/>
                    <w:left w:val="single" w:sz="2" w:space="0" w:color="E5E7EB"/>
                    <w:bottom w:val="single" w:sz="2" w:space="0" w:color="E5E7EB"/>
                    <w:right w:val="single" w:sz="2" w:space="0" w:color="E5E7EB"/>
                  </w:divBdr>
                </w:div>
              </w:divsChild>
            </w:div>
          </w:divsChild>
        </w:div>
      </w:divsChild>
    </w:div>
    <w:div w:id="1860391958">
      <w:bodyDiv w:val="1"/>
      <w:marLeft w:val="0"/>
      <w:marRight w:val="0"/>
      <w:marTop w:val="0"/>
      <w:marBottom w:val="0"/>
      <w:divBdr>
        <w:top w:val="none" w:sz="0" w:space="0" w:color="auto"/>
        <w:left w:val="none" w:sz="0" w:space="0" w:color="auto"/>
        <w:bottom w:val="none" w:sz="0" w:space="0" w:color="auto"/>
        <w:right w:val="none" w:sz="0" w:space="0" w:color="auto"/>
      </w:divBdr>
      <w:divsChild>
        <w:div w:id="1173571492">
          <w:marLeft w:val="0"/>
          <w:marRight w:val="0"/>
          <w:marTop w:val="0"/>
          <w:marBottom w:val="0"/>
          <w:divBdr>
            <w:top w:val="none" w:sz="0" w:space="0" w:color="auto"/>
            <w:left w:val="none" w:sz="0" w:space="0" w:color="auto"/>
            <w:bottom w:val="none" w:sz="0" w:space="0" w:color="auto"/>
            <w:right w:val="none" w:sz="0" w:space="0" w:color="auto"/>
          </w:divBdr>
        </w:div>
      </w:divsChild>
    </w:div>
    <w:div w:id="1864978959">
      <w:bodyDiv w:val="1"/>
      <w:marLeft w:val="0"/>
      <w:marRight w:val="0"/>
      <w:marTop w:val="0"/>
      <w:marBottom w:val="0"/>
      <w:divBdr>
        <w:top w:val="none" w:sz="0" w:space="0" w:color="auto"/>
        <w:left w:val="none" w:sz="0" w:space="0" w:color="auto"/>
        <w:bottom w:val="none" w:sz="0" w:space="0" w:color="auto"/>
        <w:right w:val="none" w:sz="0" w:space="0" w:color="auto"/>
      </w:divBdr>
    </w:div>
    <w:div w:id="1911963708">
      <w:bodyDiv w:val="1"/>
      <w:marLeft w:val="0"/>
      <w:marRight w:val="0"/>
      <w:marTop w:val="0"/>
      <w:marBottom w:val="0"/>
      <w:divBdr>
        <w:top w:val="none" w:sz="0" w:space="0" w:color="auto"/>
        <w:left w:val="none" w:sz="0" w:space="0" w:color="auto"/>
        <w:bottom w:val="none" w:sz="0" w:space="0" w:color="auto"/>
        <w:right w:val="none" w:sz="0" w:space="0" w:color="auto"/>
      </w:divBdr>
    </w:div>
    <w:div w:id="1918320125">
      <w:bodyDiv w:val="1"/>
      <w:marLeft w:val="0"/>
      <w:marRight w:val="0"/>
      <w:marTop w:val="0"/>
      <w:marBottom w:val="0"/>
      <w:divBdr>
        <w:top w:val="none" w:sz="0" w:space="0" w:color="auto"/>
        <w:left w:val="none" w:sz="0" w:space="0" w:color="auto"/>
        <w:bottom w:val="none" w:sz="0" w:space="0" w:color="auto"/>
        <w:right w:val="none" w:sz="0" w:space="0" w:color="auto"/>
      </w:divBdr>
    </w:div>
    <w:div w:id="1946695634">
      <w:bodyDiv w:val="1"/>
      <w:marLeft w:val="0"/>
      <w:marRight w:val="0"/>
      <w:marTop w:val="0"/>
      <w:marBottom w:val="0"/>
      <w:divBdr>
        <w:top w:val="none" w:sz="0" w:space="0" w:color="auto"/>
        <w:left w:val="none" w:sz="0" w:space="0" w:color="auto"/>
        <w:bottom w:val="none" w:sz="0" w:space="0" w:color="auto"/>
        <w:right w:val="none" w:sz="0" w:space="0" w:color="auto"/>
      </w:divBdr>
    </w:div>
    <w:div w:id="1958296604">
      <w:bodyDiv w:val="1"/>
      <w:marLeft w:val="0"/>
      <w:marRight w:val="0"/>
      <w:marTop w:val="0"/>
      <w:marBottom w:val="0"/>
      <w:divBdr>
        <w:top w:val="none" w:sz="0" w:space="0" w:color="auto"/>
        <w:left w:val="none" w:sz="0" w:space="0" w:color="auto"/>
        <w:bottom w:val="none" w:sz="0" w:space="0" w:color="auto"/>
        <w:right w:val="none" w:sz="0" w:space="0" w:color="auto"/>
      </w:divBdr>
    </w:div>
    <w:div w:id="1965769583">
      <w:bodyDiv w:val="1"/>
      <w:marLeft w:val="0"/>
      <w:marRight w:val="0"/>
      <w:marTop w:val="0"/>
      <w:marBottom w:val="0"/>
      <w:divBdr>
        <w:top w:val="none" w:sz="0" w:space="0" w:color="auto"/>
        <w:left w:val="none" w:sz="0" w:space="0" w:color="auto"/>
        <w:bottom w:val="none" w:sz="0" w:space="0" w:color="auto"/>
        <w:right w:val="none" w:sz="0" w:space="0" w:color="auto"/>
      </w:divBdr>
      <w:divsChild>
        <w:div w:id="49110250">
          <w:marLeft w:val="0"/>
          <w:marRight w:val="0"/>
          <w:marTop w:val="0"/>
          <w:marBottom w:val="0"/>
          <w:divBdr>
            <w:top w:val="none" w:sz="0" w:space="0" w:color="auto"/>
            <w:left w:val="none" w:sz="0" w:space="0" w:color="auto"/>
            <w:bottom w:val="none" w:sz="0" w:space="0" w:color="auto"/>
            <w:right w:val="none" w:sz="0" w:space="0" w:color="auto"/>
          </w:divBdr>
        </w:div>
        <w:div w:id="161505822">
          <w:marLeft w:val="0"/>
          <w:marRight w:val="0"/>
          <w:marTop w:val="0"/>
          <w:marBottom w:val="0"/>
          <w:divBdr>
            <w:top w:val="none" w:sz="0" w:space="0" w:color="auto"/>
            <w:left w:val="none" w:sz="0" w:space="0" w:color="auto"/>
            <w:bottom w:val="none" w:sz="0" w:space="0" w:color="auto"/>
            <w:right w:val="none" w:sz="0" w:space="0" w:color="auto"/>
          </w:divBdr>
        </w:div>
        <w:div w:id="194659958">
          <w:marLeft w:val="0"/>
          <w:marRight w:val="0"/>
          <w:marTop w:val="0"/>
          <w:marBottom w:val="0"/>
          <w:divBdr>
            <w:top w:val="none" w:sz="0" w:space="0" w:color="auto"/>
            <w:left w:val="none" w:sz="0" w:space="0" w:color="auto"/>
            <w:bottom w:val="none" w:sz="0" w:space="0" w:color="auto"/>
            <w:right w:val="none" w:sz="0" w:space="0" w:color="auto"/>
          </w:divBdr>
        </w:div>
        <w:div w:id="364867929">
          <w:marLeft w:val="0"/>
          <w:marRight w:val="0"/>
          <w:marTop w:val="0"/>
          <w:marBottom w:val="0"/>
          <w:divBdr>
            <w:top w:val="none" w:sz="0" w:space="0" w:color="auto"/>
            <w:left w:val="none" w:sz="0" w:space="0" w:color="auto"/>
            <w:bottom w:val="none" w:sz="0" w:space="0" w:color="auto"/>
            <w:right w:val="none" w:sz="0" w:space="0" w:color="auto"/>
          </w:divBdr>
        </w:div>
        <w:div w:id="425078103">
          <w:marLeft w:val="0"/>
          <w:marRight w:val="0"/>
          <w:marTop w:val="0"/>
          <w:marBottom w:val="0"/>
          <w:divBdr>
            <w:top w:val="none" w:sz="0" w:space="0" w:color="auto"/>
            <w:left w:val="none" w:sz="0" w:space="0" w:color="auto"/>
            <w:bottom w:val="none" w:sz="0" w:space="0" w:color="auto"/>
            <w:right w:val="none" w:sz="0" w:space="0" w:color="auto"/>
          </w:divBdr>
        </w:div>
        <w:div w:id="443698988">
          <w:marLeft w:val="0"/>
          <w:marRight w:val="0"/>
          <w:marTop w:val="0"/>
          <w:marBottom w:val="0"/>
          <w:divBdr>
            <w:top w:val="none" w:sz="0" w:space="0" w:color="auto"/>
            <w:left w:val="none" w:sz="0" w:space="0" w:color="auto"/>
            <w:bottom w:val="none" w:sz="0" w:space="0" w:color="auto"/>
            <w:right w:val="none" w:sz="0" w:space="0" w:color="auto"/>
          </w:divBdr>
        </w:div>
        <w:div w:id="850535543">
          <w:marLeft w:val="0"/>
          <w:marRight w:val="0"/>
          <w:marTop w:val="0"/>
          <w:marBottom w:val="0"/>
          <w:divBdr>
            <w:top w:val="none" w:sz="0" w:space="0" w:color="auto"/>
            <w:left w:val="none" w:sz="0" w:space="0" w:color="auto"/>
            <w:bottom w:val="none" w:sz="0" w:space="0" w:color="auto"/>
            <w:right w:val="none" w:sz="0" w:space="0" w:color="auto"/>
          </w:divBdr>
        </w:div>
        <w:div w:id="1085493291">
          <w:marLeft w:val="0"/>
          <w:marRight w:val="0"/>
          <w:marTop w:val="0"/>
          <w:marBottom w:val="0"/>
          <w:divBdr>
            <w:top w:val="none" w:sz="0" w:space="0" w:color="auto"/>
            <w:left w:val="none" w:sz="0" w:space="0" w:color="auto"/>
            <w:bottom w:val="none" w:sz="0" w:space="0" w:color="auto"/>
            <w:right w:val="none" w:sz="0" w:space="0" w:color="auto"/>
          </w:divBdr>
        </w:div>
        <w:div w:id="1104153834">
          <w:marLeft w:val="0"/>
          <w:marRight w:val="0"/>
          <w:marTop w:val="0"/>
          <w:marBottom w:val="0"/>
          <w:divBdr>
            <w:top w:val="none" w:sz="0" w:space="0" w:color="auto"/>
            <w:left w:val="none" w:sz="0" w:space="0" w:color="auto"/>
            <w:bottom w:val="none" w:sz="0" w:space="0" w:color="auto"/>
            <w:right w:val="none" w:sz="0" w:space="0" w:color="auto"/>
          </w:divBdr>
        </w:div>
        <w:div w:id="1105148625">
          <w:marLeft w:val="0"/>
          <w:marRight w:val="0"/>
          <w:marTop w:val="0"/>
          <w:marBottom w:val="0"/>
          <w:divBdr>
            <w:top w:val="none" w:sz="0" w:space="0" w:color="auto"/>
            <w:left w:val="none" w:sz="0" w:space="0" w:color="auto"/>
            <w:bottom w:val="none" w:sz="0" w:space="0" w:color="auto"/>
            <w:right w:val="none" w:sz="0" w:space="0" w:color="auto"/>
          </w:divBdr>
        </w:div>
        <w:div w:id="1462072526">
          <w:marLeft w:val="0"/>
          <w:marRight w:val="0"/>
          <w:marTop w:val="0"/>
          <w:marBottom w:val="0"/>
          <w:divBdr>
            <w:top w:val="none" w:sz="0" w:space="0" w:color="auto"/>
            <w:left w:val="none" w:sz="0" w:space="0" w:color="auto"/>
            <w:bottom w:val="none" w:sz="0" w:space="0" w:color="auto"/>
            <w:right w:val="none" w:sz="0" w:space="0" w:color="auto"/>
          </w:divBdr>
        </w:div>
        <w:div w:id="1851488476">
          <w:marLeft w:val="0"/>
          <w:marRight w:val="0"/>
          <w:marTop w:val="0"/>
          <w:marBottom w:val="0"/>
          <w:divBdr>
            <w:top w:val="none" w:sz="0" w:space="0" w:color="auto"/>
            <w:left w:val="none" w:sz="0" w:space="0" w:color="auto"/>
            <w:bottom w:val="none" w:sz="0" w:space="0" w:color="auto"/>
            <w:right w:val="none" w:sz="0" w:space="0" w:color="auto"/>
          </w:divBdr>
        </w:div>
        <w:div w:id="1941524919">
          <w:marLeft w:val="0"/>
          <w:marRight w:val="0"/>
          <w:marTop w:val="0"/>
          <w:marBottom w:val="0"/>
          <w:divBdr>
            <w:top w:val="none" w:sz="0" w:space="0" w:color="auto"/>
            <w:left w:val="none" w:sz="0" w:space="0" w:color="auto"/>
            <w:bottom w:val="none" w:sz="0" w:space="0" w:color="auto"/>
            <w:right w:val="none" w:sz="0" w:space="0" w:color="auto"/>
          </w:divBdr>
        </w:div>
        <w:div w:id="1943682104">
          <w:marLeft w:val="0"/>
          <w:marRight w:val="0"/>
          <w:marTop w:val="0"/>
          <w:marBottom w:val="0"/>
          <w:divBdr>
            <w:top w:val="none" w:sz="0" w:space="0" w:color="auto"/>
            <w:left w:val="none" w:sz="0" w:space="0" w:color="auto"/>
            <w:bottom w:val="none" w:sz="0" w:space="0" w:color="auto"/>
            <w:right w:val="none" w:sz="0" w:space="0" w:color="auto"/>
          </w:divBdr>
        </w:div>
        <w:div w:id="2008744933">
          <w:marLeft w:val="0"/>
          <w:marRight w:val="0"/>
          <w:marTop w:val="0"/>
          <w:marBottom w:val="0"/>
          <w:divBdr>
            <w:top w:val="none" w:sz="0" w:space="0" w:color="auto"/>
            <w:left w:val="none" w:sz="0" w:space="0" w:color="auto"/>
            <w:bottom w:val="none" w:sz="0" w:space="0" w:color="auto"/>
            <w:right w:val="none" w:sz="0" w:space="0" w:color="auto"/>
          </w:divBdr>
        </w:div>
        <w:div w:id="2063944090">
          <w:marLeft w:val="0"/>
          <w:marRight w:val="0"/>
          <w:marTop w:val="0"/>
          <w:marBottom w:val="0"/>
          <w:divBdr>
            <w:top w:val="none" w:sz="0" w:space="0" w:color="auto"/>
            <w:left w:val="none" w:sz="0" w:space="0" w:color="auto"/>
            <w:bottom w:val="none" w:sz="0" w:space="0" w:color="auto"/>
            <w:right w:val="none" w:sz="0" w:space="0" w:color="auto"/>
          </w:divBdr>
        </w:div>
        <w:div w:id="2065984666">
          <w:marLeft w:val="0"/>
          <w:marRight w:val="0"/>
          <w:marTop w:val="0"/>
          <w:marBottom w:val="0"/>
          <w:divBdr>
            <w:top w:val="none" w:sz="0" w:space="0" w:color="auto"/>
            <w:left w:val="none" w:sz="0" w:space="0" w:color="auto"/>
            <w:bottom w:val="none" w:sz="0" w:space="0" w:color="auto"/>
            <w:right w:val="none" w:sz="0" w:space="0" w:color="auto"/>
          </w:divBdr>
        </w:div>
        <w:div w:id="2071348157">
          <w:marLeft w:val="0"/>
          <w:marRight w:val="0"/>
          <w:marTop w:val="0"/>
          <w:marBottom w:val="0"/>
          <w:divBdr>
            <w:top w:val="none" w:sz="0" w:space="0" w:color="auto"/>
            <w:left w:val="none" w:sz="0" w:space="0" w:color="auto"/>
            <w:bottom w:val="none" w:sz="0" w:space="0" w:color="auto"/>
            <w:right w:val="none" w:sz="0" w:space="0" w:color="auto"/>
          </w:divBdr>
        </w:div>
      </w:divsChild>
    </w:div>
    <w:div w:id="1968243865">
      <w:bodyDiv w:val="1"/>
      <w:marLeft w:val="0"/>
      <w:marRight w:val="0"/>
      <w:marTop w:val="0"/>
      <w:marBottom w:val="0"/>
      <w:divBdr>
        <w:top w:val="none" w:sz="0" w:space="0" w:color="auto"/>
        <w:left w:val="none" w:sz="0" w:space="0" w:color="auto"/>
        <w:bottom w:val="none" w:sz="0" w:space="0" w:color="auto"/>
        <w:right w:val="none" w:sz="0" w:space="0" w:color="auto"/>
      </w:divBdr>
    </w:div>
    <w:div w:id="1970934171">
      <w:bodyDiv w:val="1"/>
      <w:marLeft w:val="0"/>
      <w:marRight w:val="0"/>
      <w:marTop w:val="0"/>
      <w:marBottom w:val="0"/>
      <w:divBdr>
        <w:top w:val="none" w:sz="0" w:space="0" w:color="auto"/>
        <w:left w:val="none" w:sz="0" w:space="0" w:color="auto"/>
        <w:bottom w:val="none" w:sz="0" w:space="0" w:color="auto"/>
        <w:right w:val="none" w:sz="0" w:space="0" w:color="auto"/>
      </w:divBdr>
    </w:div>
    <w:div w:id="1976376584">
      <w:bodyDiv w:val="1"/>
      <w:marLeft w:val="0"/>
      <w:marRight w:val="0"/>
      <w:marTop w:val="0"/>
      <w:marBottom w:val="0"/>
      <w:divBdr>
        <w:top w:val="none" w:sz="0" w:space="0" w:color="auto"/>
        <w:left w:val="none" w:sz="0" w:space="0" w:color="auto"/>
        <w:bottom w:val="none" w:sz="0" w:space="0" w:color="auto"/>
        <w:right w:val="none" w:sz="0" w:space="0" w:color="auto"/>
      </w:divBdr>
    </w:div>
    <w:div w:id="1986080890">
      <w:bodyDiv w:val="1"/>
      <w:marLeft w:val="0"/>
      <w:marRight w:val="0"/>
      <w:marTop w:val="0"/>
      <w:marBottom w:val="0"/>
      <w:divBdr>
        <w:top w:val="none" w:sz="0" w:space="0" w:color="auto"/>
        <w:left w:val="none" w:sz="0" w:space="0" w:color="auto"/>
        <w:bottom w:val="none" w:sz="0" w:space="0" w:color="auto"/>
        <w:right w:val="none" w:sz="0" w:space="0" w:color="auto"/>
      </w:divBdr>
    </w:div>
    <w:div w:id="2036729870">
      <w:bodyDiv w:val="1"/>
      <w:marLeft w:val="0"/>
      <w:marRight w:val="0"/>
      <w:marTop w:val="0"/>
      <w:marBottom w:val="0"/>
      <w:divBdr>
        <w:top w:val="none" w:sz="0" w:space="0" w:color="auto"/>
        <w:left w:val="none" w:sz="0" w:space="0" w:color="auto"/>
        <w:bottom w:val="none" w:sz="0" w:space="0" w:color="auto"/>
        <w:right w:val="none" w:sz="0" w:space="0" w:color="auto"/>
      </w:divBdr>
    </w:div>
    <w:div w:id="2118284460">
      <w:bodyDiv w:val="1"/>
      <w:marLeft w:val="0"/>
      <w:marRight w:val="0"/>
      <w:marTop w:val="0"/>
      <w:marBottom w:val="0"/>
      <w:divBdr>
        <w:top w:val="none" w:sz="0" w:space="0" w:color="auto"/>
        <w:left w:val="none" w:sz="0" w:space="0" w:color="auto"/>
        <w:bottom w:val="none" w:sz="0" w:space="0" w:color="auto"/>
        <w:right w:val="none" w:sz="0" w:space="0" w:color="auto"/>
      </w:divBdr>
      <w:divsChild>
        <w:div w:id="117527403">
          <w:marLeft w:val="0"/>
          <w:marRight w:val="0"/>
          <w:marTop w:val="0"/>
          <w:marBottom w:val="0"/>
          <w:divBdr>
            <w:top w:val="none" w:sz="0" w:space="0" w:color="auto"/>
            <w:left w:val="none" w:sz="0" w:space="0" w:color="auto"/>
            <w:bottom w:val="none" w:sz="0" w:space="0" w:color="auto"/>
            <w:right w:val="none" w:sz="0" w:space="0" w:color="auto"/>
          </w:divBdr>
        </w:div>
        <w:div w:id="260721689">
          <w:marLeft w:val="0"/>
          <w:marRight w:val="0"/>
          <w:marTop w:val="0"/>
          <w:marBottom w:val="0"/>
          <w:divBdr>
            <w:top w:val="none" w:sz="0" w:space="0" w:color="auto"/>
            <w:left w:val="none" w:sz="0" w:space="0" w:color="auto"/>
            <w:bottom w:val="none" w:sz="0" w:space="0" w:color="auto"/>
            <w:right w:val="none" w:sz="0" w:space="0" w:color="auto"/>
          </w:divBdr>
        </w:div>
        <w:div w:id="355815018">
          <w:marLeft w:val="0"/>
          <w:marRight w:val="0"/>
          <w:marTop w:val="0"/>
          <w:marBottom w:val="0"/>
          <w:divBdr>
            <w:top w:val="none" w:sz="0" w:space="0" w:color="auto"/>
            <w:left w:val="none" w:sz="0" w:space="0" w:color="auto"/>
            <w:bottom w:val="none" w:sz="0" w:space="0" w:color="auto"/>
            <w:right w:val="none" w:sz="0" w:space="0" w:color="auto"/>
          </w:divBdr>
        </w:div>
        <w:div w:id="479351049">
          <w:marLeft w:val="0"/>
          <w:marRight w:val="0"/>
          <w:marTop w:val="0"/>
          <w:marBottom w:val="0"/>
          <w:divBdr>
            <w:top w:val="none" w:sz="0" w:space="0" w:color="auto"/>
            <w:left w:val="none" w:sz="0" w:space="0" w:color="auto"/>
            <w:bottom w:val="none" w:sz="0" w:space="0" w:color="auto"/>
            <w:right w:val="none" w:sz="0" w:space="0" w:color="auto"/>
          </w:divBdr>
        </w:div>
        <w:div w:id="1158425086">
          <w:marLeft w:val="0"/>
          <w:marRight w:val="0"/>
          <w:marTop w:val="0"/>
          <w:marBottom w:val="0"/>
          <w:divBdr>
            <w:top w:val="none" w:sz="0" w:space="0" w:color="auto"/>
            <w:left w:val="none" w:sz="0" w:space="0" w:color="auto"/>
            <w:bottom w:val="none" w:sz="0" w:space="0" w:color="auto"/>
            <w:right w:val="none" w:sz="0" w:space="0" w:color="auto"/>
          </w:divBdr>
        </w:div>
        <w:div w:id="18533706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eader" Target="header3.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header" Target="header6.xml"/><Relationship Id="rId68" Type="http://schemas.openxmlformats.org/officeDocument/2006/relationships/header" Target="header9.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1.png"/><Relationship Id="rId11" Type="http://schemas.openxmlformats.org/officeDocument/2006/relationships/hyperlink" Target="https://creativecommons.org/licenses/by/4.0/"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hyperlink" Target="https://aasra.com.au/?page_id=344" TargetMode="External"/><Relationship Id="rId40" Type="http://schemas.openxmlformats.org/officeDocument/2006/relationships/hyperlink" Target="https://aasra.com.au/?page_id=344" TargetMode="External"/><Relationship Id="rId45" Type="http://schemas.openxmlformats.org/officeDocument/2006/relationships/image" Target="media/image25.png"/><Relationship Id="rId53" Type="http://schemas.openxmlformats.org/officeDocument/2006/relationships/hyperlink" Target="https://www.ntc.gov.au/sites/default/files/assets/files/NTC%20Policy%20Paper%20-%20regulatory%20framework%20for%20automated%20vehicles%20in%20Australia.pdf" TargetMode="External"/><Relationship Id="rId58" Type="http://schemas.openxmlformats.org/officeDocument/2006/relationships/image" Target="media/image37.svg"/><Relationship Id="rId66" Type="http://schemas.openxmlformats.org/officeDocument/2006/relationships/header" Target="header8.xml"/><Relationship Id="rId5" Type="http://schemas.openxmlformats.org/officeDocument/2006/relationships/footnotes" Target="footnotes.xml"/><Relationship Id="rId61" Type="http://schemas.openxmlformats.org/officeDocument/2006/relationships/header" Target="header5.xml"/><Relationship Id="rId19" Type="http://schemas.openxmlformats.org/officeDocument/2006/relationships/header" Target="header2.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image" Target="media/image10.sv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3.svg"/><Relationship Id="rId48" Type="http://schemas.openxmlformats.org/officeDocument/2006/relationships/image" Target="media/image28.svg"/><Relationship Id="rId56" Type="http://schemas.openxmlformats.org/officeDocument/2006/relationships/image" Target="media/image35.png"/><Relationship Id="rId64" Type="http://schemas.openxmlformats.org/officeDocument/2006/relationships/header" Target="header7.xml"/><Relationship Id="rId69" Type="http://schemas.openxmlformats.org/officeDocument/2006/relationships/footer" Target="footer10.xml"/><Relationship Id="rId8" Type="http://schemas.openxmlformats.org/officeDocument/2006/relationships/hyperlink" Target="https://creativecommons.org/licenses/by/4.0/" TargetMode="External"/><Relationship Id="rId51" Type="http://schemas.openxmlformats.org/officeDocument/2006/relationships/image" Target="media/image31.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pmc.gov.au/government/commonwealth-coat-arms" TargetMode="External"/><Relationship Id="rId17" Type="http://schemas.openxmlformats.org/officeDocument/2006/relationships/footer" Target="footer4.xml"/><Relationship Id="rId25" Type="http://schemas.openxmlformats.org/officeDocument/2006/relationships/image" Target="media/image8.sv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6.svg"/><Relationship Id="rId59" Type="http://schemas.openxmlformats.org/officeDocument/2006/relationships/footer" Target="footer7.xml"/><Relationship Id="rId67" Type="http://schemas.openxmlformats.org/officeDocument/2006/relationships/hyperlink" Target="https://www.autosinnovate.org/about/advocacy/right-to-repair/2014%20R2R%20MOU%20as%20signed.pdf" TargetMode="External"/><Relationship Id="rId20" Type="http://schemas.openxmlformats.org/officeDocument/2006/relationships/footer" Target="footer5.xml"/><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footer" Target="footer8.xml"/><Relationship Id="rId70"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yperlink" Target="https://treasury.gov.au/review/competition-review-2023" TargetMode="External"/><Relationship Id="rId36" Type="http://schemas.openxmlformats.org/officeDocument/2006/relationships/image" Target="media/image18.svg"/><Relationship Id="rId49" Type="http://schemas.openxmlformats.org/officeDocument/2006/relationships/image" Target="media/image29.png"/><Relationship Id="rId57" Type="http://schemas.openxmlformats.org/officeDocument/2006/relationships/image" Target="media/image36.png"/><Relationship Id="rId10" Type="http://schemas.openxmlformats.org/officeDocument/2006/relationships/image" Target="media/image2.wmf"/><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2.svg"/><Relationship Id="rId60" Type="http://schemas.openxmlformats.org/officeDocument/2006/relationships/header" Target="header4.xml"/><Relationship Id="rId65" Type="http://schemas.openxmlformats.org/officeDocument/2006/relationships/footer" Target="footer9.xm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reativecommons.org/licenses/by/4.0/legalcode" TargetMode="External"/><Relationship Id="rId13" Type="http://schemas.openxmlformats.org/officeDocument/2006/relationships/hyperlink" Target="mailto:media@treasury.gov.au" TargetMode="External"/><Relationship Id="rId18" Type="http://schemas.openxmlformats.org/officeDocument/2006/relationships/header" Target="header1.xml"/><Relationship Id="rId39" Type="http://schemas.openxmlformats.org/officeDocument/2006/relationships/image" Target="media/image20.png"/><Relationship Id="rId34" Type="http://schemas.openxmlformats.org/officeDocument/2006/relationships/image" Target="media/image16.png"/><Relationship Id="rId50" Type="http://schemas.openxmlformats.org/officeDocument/2006/relationships/image" Target="media/image30.svg"/><Relationship Id="rId55" Type="http://schemas.openxmlformats.org/officeDocument/2006/relationships/image" Target="media/image34.svg"/><Relationship Id="rId7" Type="http://schemas.openxmlformats.org/officeDocument/2006/relationships/image" Target="media/image1.png"/><Relationship Id="rId71" Type="http://schemas.openxmlformats.org/officeDocument/2006/relationships/footer" Target="footer1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3" Type="http://schemas.openxmlformats.org/officeDocument/2006/relationships/hyperlink" Target="https://www.iso.org/standard/77810.html" TargetMode="External"/><Relationship Id="rId18" Type="http://schemas.openxmlformats.org/officeDocument/2006/relationships/hyperlink" Target="https://www.carexpert.com.au/car-news/vfacts-2024-new-vehicle-sales-hit-record-high-but-slump-expected-soon" TargetMode="External"/><Relationship Id="rId26" Type="http://schemas.openxmlformats.org/officeDocument/2006/relationships/hyperlink" Target="https://www.pc.gov.au/inquiries-and-research/data-digital/interim/" TargetMode="External"/><Relationship Id="rId39" Type="http://schemas.openxmlformats.org/officeDocument/2006/relationships/hyperlink" Target="https://legislature.maine.gov/bills/getPDF.asp?paper=IB0003&amp;item=1&amp;snum=131" TargetMode="External"/><Relationship Id="rId21" Type="http://schemas.openxmlformats.org/officeDocument/2006/relationships/hyperlink" Target="https://www.aaaa.com.au/news/aaaa-news/aaaa-says-government-should-act-on-hidden-telematics-and-consumers-agree/" TargetMode="External"/><Relationship Id="rId34" Type="http://schemas.openxmlformats.org/officeDocument/2006/relationships/hyperlink" Target="https://www.accc.gov.au/media-release/honda-pays-penalty-for-alleged-breach-of-car-service-and-repair-information-sharing-scheme" TargetMode="External"/><Relationship Id="rId7" Type="http://schemas.openxmlformats.org/officeDocument/2006/relationships/hyperlink" Target="https://www.accc.gov.au/by-industry/cars-and-vehicles/new-car-retailing-industry-market-study/accc-commissioned-research" TargetMode="External"/><Relationship Id="rId2" Type="http://schemas.openxmlformats.org/officeDocument/2006/relationships/hyperlink" Target="https://www.aaaa.com.au/news/automotive-aftermarket-industry-thriving/" TargetMode="External"/><Relationship Id="rId16" Type="http://schemas.openxmlformats.org/officeDocument/2006/relationships/hyperlink" Target="https://assets.pc.gov.au/2025-09/adaptable-workforce-interim.pdf?VersionId=peXud2Q4g0dYWhUkNFsVHtwWJ0WL6QAu" TargetMode="External"/><Relationship Id="rId20" Type="http://schemas.openxmlformats.org/officeDocument/2006/relationships/hyperlink" Target="https://www.oaic.gov.au/news/speeches/unsw-privacy-and-security-regulation-for-connected-cars-workshop" TargetMode="External"/><Relationship Id="rId29" Type="http://schemas.openxmlformats.org/officeDocument/2006/relationships/hyperlink" Target="https://www.bitre.gov.au/publications/2021/forecasting-uptake-driver-assistance-technologies-australia" TargetMode="External"/><Relationship Id="rId41" Type="http://schemas.openxmlformats.org/officeDocument/2006/relationships/hyperlink" Target="https://www.congress.gov/bill/118th-congress/house-bill/906/text" TargetMode="External"/><Relationship Id="rId1" Type="http://schemas.openxmlformats.org/officeDocument/2006/relationships/hyperlink" Target="https://treasury.gov.au/publication/p2025-691644" TargetMode="External"/><Relationship Id="rId6" Type="http://schemas.openxmlformats.org/officeDocument/2006/relationships/hyperlink" Target="https://cprc.org.au/wp-content/uploads/2023/10/CPRC_Detours_Roadblocks_Report_FINAL_compressed.pdf" TargetMode="External"/><Relationship Id="rId11" Type="http://schemas.openxmlformats.org/officeDocument/2006/relationships/hyperlink" Target="https://unece.org/transport/documents/2021/03/standards/un-regulation-no-155-cyber-security-and-cyber-security" TargetMode="External"/><Relationship Id="rId24" Type="http://schemas.openxmlformats.org/officeDocument/2006/relationships/hyperlink" Target="https://www.autosinnovate.org/about/advocacy/right-to-repair/1%20-%20National%20Automotive%20Repair%20Data%20Sharing%20Commitment%20July%202023.pdf" TargetMode="External"/><Relationship Id="rId32" Type="http://schemas.openxmlformats.org/officeDocument/2006/relationships/hyperlink" Target="https://www.bitre.gov.au/sites/default/files/documents/BITRE-Road-vehicles-Australia-January-2025--september2025--pdf.pdf" TargetMode="External"/><Relationship Id="rId37" Type="http://schemas.openxmlformats.org/officeDocument/2006/relationships/hyperlink" Target="https://www.parl.ca/DocumentViewer/en/44-1/bill/C-59/royal-assent" TargetMode="External"/><Relationship Id="rId40" Type="http://schemas.openxmlformats.org/officeDocument/2006/relationships/hyperlink" Target="https://malegislature.gov/Bills/187/H4362" TargetMode="External"/><Relationship Id="rId5" Type="http://schemas.openxmlformats.org/officeDocument/2006/relationships/hyperlink" Target="https://www.accc.gov.au/by-industry/cars-and-vehicles/new-car-retailing-industry-market-study-2016-17" TargetMode="External"/><Relationship Id="rId15" Type="http://schemas.openxmlformats.org/officeDocument/2006/relationships/hyperlink" Target="https://www.aaaa.com.au/wp-content/uploads/2024/10/AAAA-State-of-the-Industry-Summary-2024-NON-MEMBER-SUMMARY-REPORT.pdf" TargetMode="External"/><Relationship Id="rId23" Type="http://schemas.openxmlformats.org/officeDocument/2006/relationships/hyperlink" Target="https://transport.ec.europa.eu/system/files/2017-08/2017-05-access-to-in-vehicle-data-and-resources.pdf" TargetMode="External"/><Relationship Id="rId28" Type="http://schemas.openxmlformats.org/officeDocument/2006/relationships/hyperlink" Target="https://www.ntc.gov.au/sites/default/files/assets/files/Automated%20vehicle%20safety%20reforms%20April%202024.pdf" TargetMode="External"/><Relationship Id="rId36" Type="http://schemas.openxmlformats.org/officeDocument/2006/relationships/hyperlink" Target="https://www.itf-oecd.org/used-vehicles-dashboard" TargetMode="External"/><Relationship Id="rId10" Type="http://schemas.openxmlformats.org/officeDocument/2006/relationships/hyperlink" Target="https://www.accc.gov.au/about-us/publications/guidance-on-the-motor-vehicle-service-and-repair-information-sharing-scheme-for-data-providers" TargetMode="External"/><Relationship Id="rId19" Type="http://schemas.openxmlformats.org/officeDocument/2006/relationships/hyperlink" Target="https://tca.gov.au/national-telematics-framework/" TargetMode="External"/><Relationship Id="rId31" Type="http://schemas.openxmlformats.org/officeDocument/2006/relationships/hyperlink" Target="https://insurancecouncil.com.au/resource/insurance-industry-releases-motor-insurance-roadmap/" TargetMode="External"/><Relationship Id="rId4" Type="http://schemas.openxmlformats.org/officeDocument/2006/relationships/hyperlink" Target="https://www.pc.gov.au/inquiries-and-research/repair/" TargetMode="External"/><Relationship Id="rId9" Type="http://schemas.openxmlformats.org/officeDocument/2006/relationships/hyperlink" Target="https://www.bitre.gov.au/sites/default/files/documents/BITRE-Road-vehicles-Australia-January-2025--september2025--pdf.pdf" TargetMode="External"/><Relationship Id="rId14" Type="http://schemas.openxmlformats.org/officeDocument/2006/relationships/hyperlink" Target="https://www.ncver.edu.au/research-and-statistics/data/databuilder" TargetMode="External"/><Relationship Id="rId22" Type="http://schemas.openxmlformats.org/officeDocument/2006/relationships/hyperlink" Target="https://www.mckinsey.com/~/media/mckinsey/industries/automotive%20and%20assembly/our%20insights/mapping%20the%20automotive%20software%20and%20electronics%20landscape%20through%202030/outlook%20on%20the%20automotive%20software%20and%20electronics%20market%20through%202030/automotive-software-and-electronics-2030-full-report.pdf" TargetMode="External"/><Relationship Id="rId27" Type="http://schemas.openxmlformats.org/officeDocument/2006/relationships/hyperlink" Target="https://www.ntc.gov.au/sites/default/files/assets/files/What%20is%20an%20AV%20April%202024.pdf" TargetMode="External"/><Relationship Id="rId30" Type="http://schemas.openxmlformats.org/officeDocument/2006/relationships/hyperlink" Target="file:///C:\Users\usa\AppData\Roaming\Microsoft\Windows\Network%20Shortcuts\Country%20and%20commodity%20pivot%20table%202006%20to%202024" TargetMode="External"/><Relationship Id="rId35" Type="http://schemas.openxmlformats.org/officeDocument/2006/relationships/hyperlink" Target="https://www.accc.gov.au/system/files/Infringement%20notices%20-%20Guidelines%20on%20the%20use%20of%20infringement%20notices%20-%20July%202020.pdf" TargetMode="External"/><Relationship Id="rId8" Type="http://schemas.openxmlformats.org/officeDocument/2006/relationships/hyperlink" Target="https://www.abs.gov.au/ausstats/abs@.nsf/mf/6461.0" TargetMode="External"/><Relationship Id="rId3" Type="http://schemas.openxmlformats.org/officeDocument/2006/relationships/hyperlink" Target="https://www.pc.gov.au/inquiries-and-research/repair/" TargetMode="External"/><Relationship Id="rId12" Type="http://schemas.openxmlformats.org/officeDocument/2006/relationships/hyperlink" Target="https://www.sae.org/standards/j2534-1_5_00-recommended-practice-pass-thru-vehicle-programming" TargetMode="External"/><Relationship Id="rId17" Type="http://schemas.openxmlformats.org/officeDocument/2006/relationships/hyperlink" Target="https://www.fcai.com.au/about-fcai" TargetMode="External"/><Relationship Id="rId25" Type="http://schemas.openxmlformats.org/officeDocument/2006/relationships/hyperlink" Target="https://www.ntc.gov.au/vehicle-generated-data" TargetMode="External"/><Relationship Id="rId33" Type="http://schemas.openxmlformats.org/officeDocument/2006/relationships/hyperlink" Target="https://aasra.com.au/?page_id=842" TargetMode="External"/><Relationship Id="rId38" Type="http://schemas.openxmlformats.org/officeDocument/2006/relationships/hyperlink" Target="https://eur-lex.europa.eu/eli/reg/2007/715/oj/e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94</Pages>
  <Words>35649</Words>
  <Characters>205875</Characters>
  <Application>Microsoft Office Word</Application>
  <DocSecurity>0</DocSecurity>
  <Lines>4340</Lines>
  <Paragraphs>2079</Paragraphs>
  <ScaleCrop>false</ScaleCrop>
  <HeadingPairs>
    <vt:vector size="2" baseType="variant">
      <vt:variant>
        <vt:lpstr>Title</vt:lpstr>
      </vt:variant>
      <vt:variant>
        <vt:i4>1</vt:i4>
      </vt:variant>
    </vt:vector>
  </HeadingPairs>
  <TitlesOfParts>
    <vt:vector size="1" baseType="lpstr">
      <vt:lpstr>Review of the Motor Vehicle Service and Repair Information Sharing Scheme – Final Report</vt:lpstr>
    </vt:vector>
  </TitlesOfParts>
  <Company/>
  <LinksUpToDate>false</LinksUpToDate>
  <CharactersWithSpaces>240046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Motor Vehicle Service and Repair Information Sharing Scheme – Final Report</dc:title>
  <dc:subject/>
  <dc:creator>Treasury</dc:creator>
  <cp:keywords/>
  <dc:description/>
  <cp:lastModifiedBy/>
  <cp:revision>1</cp:revision>
  <dcterms:created xsi:type="dcterms:W3CDTF">2026-02-06T00:38:00Z</dcterms:created>
  <dcterms:modified xsi:type="dcterms:W3CDTF">2026-02-06T00:39:00Z</dcterms:modified>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2026-02-06T00:38:57Z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54da8310-cdfa-418a-93a8-3eff0de55774</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