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B07E" w14:textId="32C89867" w:rsidR="00406CD0" w:rsidRDefault="000E2CA2" w:rsidP="00406CD0">
      <w:pPr>
        <w:pStyle w:val="CoverTitleMain"/>
        <w:jc w:val="left"/>
      </w:pPr>
      <w:r>
        <w:rPr>
          <w:b/>
          <w:bCs/>
        </w:rPr>
        <w:t xml:space="preserve">                                                                         </w:t>
      </w:r>
      <w:r w:rsidR="00DE5A74">
        <w:rPr>
          <w:b/>
          <w:bCs/>
        </w:rPr>
        <w:t>Decision Regulation Impact Statement</w:t>
      </w:r>
      <w:r w:rsidR="00406CD0">
        <w:br/>
        <w:t>Protecting consumers from unfair trading practices</w:t>
      </w:r>
      <w:r>
        <w:t xml:space="preserve">                                                                                                                                                         </w:t>
      </w:r>
    </w:p>
    <w:p w14:paraId="61A3EAC6" w14:textId="127588B8" w:rsidR="00406CD0" w:rsidRDefault="00864227" w:rsidP="00406CD0">
      <w:pPr>
        <w:pStyle w:val="CoverDate"/>
        <w:jc w:val="left"/>
        <w:rPr>
          <w:rStyle w:val="ReportDateChar"/>
        </w:rPr>
        <w:sectPr w:rsidR="00406CD0" w:rsidSect="00406CD0">
          <w:headerReference w:type="default" r:id="rId7"/>
          <w:footerReference w:type="default" r:id="rId8"/>
          <w:headerReference w:type="first" r:id="rId9"/>
          <w:footerReference w:type="first" r:id="rId10"/>
          <w:pgSz w:w="11906" w:h="16838"/>
          <w:pgMar w:top="1418" w:right="1418" w:bottom="1418" w:left="1418" w:header="709" w:footer="709" w:gutter="0"/>
          <w:pgNumType w:fmt="lowerRoman"/>
          <w:cols w:space="708"/>
          <w:titlePg/>
          <w:docGrid w:linePitch="360"/>
        </w:sectPr>
      </w:pPr>
      <w:r>
        <w:rPr>
          <w:rStyle w:val="ReportDateChar"/>
        </w:rPr>
        <w:t xml:space="preserve">December </w:t>
      </w:r>
      <w:r w:rsidR="00FF526A">
        <w:rPr>
          <w:rStyle w:val="ReportDateChar"/>
        </w:rPr>
        <w:t>2025</w:t>
      </w:r>
    </w:p>
    <w:p w14:paraId="68729135" w14:textId="6CC1F975" w:rsidR="00406CD0" w:rsidRDefault="00406CD0" w:rsidP="00406CD0">
      <w:pPr>
        <w:spacing w:before="0" w:after="160" w:line="259" w:lineRule="auto"/>
      </w:pPr>
      <w:r w:rsidRPr="00661BF0">
        <w:lastRenderedPageBreak/>
        <w:t xml:space="preserve">© Commonwealth of Australia </w:t>
      </w:r>
      <w:r w:rsidRPr="00C10672">
        <w:t>20</w:t>
      </w:r>
      <w:r w:rsidR="00BA42E9" w:rsidRPr="00C10672">
        <w:t>25</w:t>
      </w:r>
    </w:p>
    <w:p w14:paraId="0E3991F2" w14:textId="7CFD9A61" w:rsidR="00406CD0" w:rsidRPr="00086F82" w:rsidRDefault="00406CD0" w:rsidP="00406CD0">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1"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2" w:history="1">
        <w:r w:rsidRPr="00694C7E">
          <w:rPr>
            <w:rStyle w:val="Hyperlink"/>
            <w:rFonts w:cstheme="minorHAnsi"/>
            <w:szCs w:val="22"/>
          </w:rPr>
          <w:t>creativecommons.org/licenses/by/4.0/</w:t>
        </w:r>
        <w:proofErr w:type="spellStart"/>
        <w:r w:rsidRPr="00694C7E">
          <w:rPr>
            <w:rStyle w:val="Hyperlink"/>
            <w:rFonts w:cstheme="minorHAnsi"/>
            <w:szCs w:val="22"/>
          </w:rPr>
          <w:t>legalcode</w:t>
        </w:r>
        <w:proofErr w:type="spellEnd"/>
      </w:hyperlink>
      <w:r w:rsidRPr="00694C7E">
        <w:t>.</w:t>
      </w:r>
    </w:p>
    <w:p w14:paraId="51A0B5C6" w14:textId="77777777" w:rsidR="00406CD0" w:rsidRDefault="00406CD0" w:rsidP="00406CD0">
      <w:pPr>
        <w:pStyle w:val="ChartGraphic"/>
        <w:jc w:val="left"/>
      </w:pPr>
      <w:r w:rsidRPr="00E56DFB">
        <w:rPr>
          <w:noProof/>
        </w:rPr>
        <w:drawing>
          <wp:inline distT="0" distB="0" distL="0" distR="0" wp14:anchorId="70514500" wp14:editId="78D109A2">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D6A4400" w14:textId="4F97A089" w:rsidR="00406CD0" w:rsidRPr="006627B4" w:rsidRDefault="00406CD0" w:rsidP="00406CD0">
      <w:pPr>
        <w:tabs>
          <w:tab w:val="left" w:pos="1650"/>
        </w:tabs>
        <w:spacing w:before="240"/>
      </w:pPr>
      <w:r w:rsidRPr="006627B4">
        <w:t>Use of Treasury material under a</w:t>
      </w:r>
      <w:r w:rsidRPr="00476F09">
        <w:rPr>
          <w:rFonts w:cstheme="minorHAnsi"/>
          <w:sz w:val="24"/>
          <w:szCs w:val="24"/>
        </w:rPr>
        <w:t xml:space="preserve"> </w:t>
      </w:r>
      <w:hyperlink r:id="rId14" w:history="1">
        <w:r>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0BF6A07" w14:textId="77777777" w:rsidR="00406CD0" w:rsidRPr="00694C7E" w:rsidRDefault="00406CD0" w:rsidP="00406CD0">
      <w:pPr>
        <w:spacing w:before="240"/>
        <w:rPr>
          <w:rStyle w:val="Strong"/>
        </w:rPr>
      </w:pPr>
      <w:r w:rsidRPr="00694C7E">
        <w:rPr>
          <w:rStyle w:val="Strong"/>
        </w:rPr>
        <w:t>Treasury material used ‘as supplied’</w:t>
      </w:r>
    </w:p>
    <w:p w14:paraId="1A534099" w14:textId="77777777" w:rsidR="00406CD0" w:rsidRPr="00476F09" w:rsidRDefault="00406CD0" w:rsidP="00406CD0">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6E1EDF3" w14:textId="77777777" w:rsidR="00406CD0" w:rsidRPr="00A13A11" w:rsidRDefault="00406CD0" w:rsidP="00406CD0">
      <w:pPr>
        <w:ind w:firstLine="720"/>
      </w:pPr>
      <w:r w:rsidRPr="00E17231">
        <w:rPr>
          <w:iCs/>
        </w:rPr>
        <w:t>Source:</w:t>
      </w:r>
      <w:r w:rsidRPr="002F1BC2">
        <w:rPr>
          <w:i/>
        </w:rPr>
        <w:t xml:space="preserve"> </w:t>
      </w:r>
      <w:r w:rsidRPr="00AC2B70">
        <w:rPr>
          <w:rStyle w:val="Emphasis"/>
        </w:rPr>
        <w:t>The Commonwealth of Australia.</w:t>
      </w:r>
    </w:p>
    <w:p w14:paraId="247237E1" w14:textId="77777777" w:rsidR="00406CD0" w:rsidRPr="00694C7E" w:rsidRDefault="00406CD0" w:rsidP="00406CD0">
      <w:pPr>
        <w:spacing w:before="240"/>
        <w:rPr>
          <w:rStyle w:val="Strong"/>
        </w:rPr>
      </w:pPr>
      <w:r w:rsidRPr="00694C7E">
        <w:rPr>
          <w:rStyle w:val="Strong"/>
        </w:rPr>
        <w:t>Derivative material</w:t>
      </w:r>
    </w:p>
    <w:p w14:paraId="4CD679D8" w14:textId="77777777" w:rsidR="00406CD0" w:rsidRPr="006627B4" w:rsidRDefault="00406CD0" w:rsidP="00406CD0">
      <w:r w:rsidRPr="006627B4">
        <w:t xml:space="preserve">If you have modified or transformed Treasury material, or derived new material from those of the Treasury in any way, then Treasury prefers the following attribution: </w:t>
      </w:r>
    </w:p>
    <w:p w14:paraId="5B0D3BC5" w14:textId="77777777" w:rsidR="00406CD0" w:rsidRPr="00AC2B70" w:rsidRDefault="00406CD0" w:rsidP="00406CD0">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5BAC86A" w14:textId="77777777" w:rsidR="00406CD0" w:rsidRPr="00694C7E" w:rsidRDefault="00406CD0" w:rsidP="00406CD0">
      <w:pPr>
        <w:spacing w:before="240"/>
        <w:rPr>
          <w:rStyle w:val="Strong"/>
        </w:rPr>
      </w:pPr>
      <w:r w:rsidRPr="00694C7E">
        <w:rPr>
          <w:rStyle w:val="Strong"/>
        </w:rPr>
        <w:t>Use of the Coat of Arms</w:t>
      </w:r>
    </w:p>
    <w:p w14:paraId="09A747CE" w14:textId="3CAE4EA0" w:rsidR="00406CD0" w:rsidRPr="005C503A" w:rsidRDefault="00406CD0" w:rsidP="00406CD0">
      <w:pPr>
        <w:spacing w:before="240"/>
      </w:pPr>
      <w:r w:rsidRPr="005C503A">
        <w:t xml:space="preserve">The terms under which the Coat of Arms can be used are set out on the Department of the Prime Minister and Cabinet website (see </w:t>
      </w:r>
      <w:hyperlink r:id="rId15" w:history="1">
        <w:r>
          <w:rPr>
            <w:rStyle w:val="Hyperlink"/>
          </w:rPr>
          <w:t>www.pmc.gov.au/government/commonwealth-coat-arms</w:t>
        </w:r>
      </w:hyperlink>
      <w:r w:rsidRPr="005C503A">
        <w:t>).</w:t>
      </w:r>
    </w:p>
    <w:p w14:paraId="717A4D46" w14:textId="77777777" w:rsidR="00406CD0" w:rsidRPr="00694C7E" w:rsidRDefault="00406CD0" w:rsidP="00406CD0">
      <w:pPr>
        <w:spacing w:before="240"/>
        <w:rPr>
          <w:rStyle w:val="Strong"/>
        </w:rPr>
      </w:pPr>
      <w:r w:rsidRPr="00694C7E">
        <w:rPr>
          <w:rStyle w:val="Strong"/>
        </w:rPr>
        <w:t>Other uses</w:t>
      </w:r>
    </w:p>
    <w:p w14:paraId="7BF37368" w14:textId="77777777" w:rsidR="00406CD0" w:rsidRPr="006627B4" w:rsidRDefault="00406CD0" w:rsidP="00406CD0">
      <w:r>
        <w:t>E</w:t>
      </w:r>
      <w:r w:rsidRPr="006627B4">
        <w:t>nquiries regarding this licence and any other use of this document are welcome at:</w:t>
      </w:r>
    </w:p>
    <w:p w14:paraId="459F5C16" w14:textId="743EE6F2" w:rsidR="00406CD0" w:rsidRPr="002F1BC2" w:rsidRDefault="00406CD0" w:rsidP="00406CD0">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6">
        <w:r w:rsidRPr="661293F8">
          <w:rPr>
            <w:rStyle w:val="Hyperlink"/>
          </w:rPr>
          <w:t>media@treasury.gov.au</w:t>
        </w:r>
      </w:hyperlink>
    </w:p>
    <w:p w14:paraId="0D9C82D9" w14:textId="77777777" w:rsidR="00406CD0" w:rsidRPr="00DF5368" w:rsidRDefault="00406CD0" w:rsidP="00406CD0">
      <w:pPr>
        <w:rPr>
          <w:color w:val="FF0000"/>
        </w:rPr>
      </w:pPr>
    </w:p>
    <w:p w14:paraId="485483EA" w14:textId="77777777" w:rsidR="00406CD0" w:rsidRPr="00694C7E" w:rsidRDefault="00406CD0" w:rsidP="00406CD0">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6D5593FA" w14:textId="77777777" w:rsidR="00406CD0" w:rsidRDefault="00406CD0" w:rsidP="00406CD0">
      <w:pPr>
        <w:rPr>
          <w:rStyle w:val="ReportDateChar"/>
        </w:rPr>
        <w:sectPr w:rsidR="00406CD0" w:rsidSect="00406CD0">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fmt="lowerRoman"/>
          <w:cols w:space="708"/>
          <w:titlePg/>
          <w:docGrid w:linePitch="360"/>
        </w:sectPr>
      </w:pPr>
    </w:p>
    <w:sdt>
      <w:sdtPr>
        <w:rPr>
          <w:rFonts w:ascii="Calibri Light" w:eastAsiaTheme="minorEastAsia" w:hAnsi="Calibri Light" w:cs="Times New Roman"/>
          <w:b w:val="0"/>
          <w:color w:val="2C384A" w:themeColor="accent1"/>
          <w:kern w:val="0"/>
          <w:sz w:val="32"/>
          <w:szCs w:val="32"/>
          <w:lang w:val="en-AU" w:eastAsia="en-AU"/>
        </w:rPr>
        <w:id w:val="1410278635"/>
        <w:docPartObj>
          <w:docPartGallery w:val="Table of Contents"/>
          <w:docPartUnique/>
        </w:docPartObj>
      </w:sdtPr>
      <w:sdtEndPr>
        <w:rPr>
          <w:color w:val="auto"/>
          <w:sz w:val="22"/>
          <w:szCs w:val="22"/>
        </w:rPr>
      </w:sdtEndPr>
      <w:sdtContent>
        <w:p w14:paraId="071AD436" w14:textId="77777777" w:rsidR="00406CD0" w:rsidRDefault="00406CD0">
          <w:pPr>
            <w:pStyle w:val="TOCHeading"/>
          </w:pPr>
          <w:r>
            <w:t>Contents</w:t>
          </w:r>
        </w:p>
        <w:p w14:paraId="448D4C46" w14:textId="21C31E69" w:rsidR="0011326C" w:rsidRDefault="00810E8C">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06422504" w:history="1">
            <w:r w:rsidR="0011326C" w:rsidRPr="002250FC">
              <w:rPr>
                <w:rStyle w:val="Hyperlink"/>
              </w:rPr>
              <w:t>Executive Summary</w:t>
            </w:r>
            <w:r w:rsidR="0011326C">
              <w:rPr>
                <w:webHidden/>
              </w:rPr>
              <w:tab/>
            </w:r>
            <w:r w:rsidR="0011326C">
              <w:rPr>
                <w:webHidden/>
              </w:rPr>
              <w:fldChar w:fldCharType="begin"/>
            </w:r>
            <w:r w:rsidR="0011326C">
              <w:rPr>
                <w:webHidden/>
              </w:rPr>
              <w:instrText xml:space="preserve"> PAGEREF _Toc206422504 \h </w:instrText>
            </w:r>
            <w:r w:rsidR="0011326C">
              <w:rPr>
                <w:webHidden/>
              </w:rPr>
            </w:r>
            <w:r w:rsidR="0011326C">
              <w:rPr>
                <w:webHidden/>
              </w:rPr>
              <w:fldChar w:fldCharType="separate"/>
            </w:r>
            <w:r w:rsidR="008E7785">
              <w:rPr>
                <w:webHidden/>
              </w:rPr>
              <w:t>1</w:t>
            </w:r>
            <w:r w:rsidR="0011326C">
              <w:rPr>
                <w:webHidden/>
              </w:rPr>
              <w:fldChar w:fldCharType="end"/>
            </w:r>
          </w:hyperlink>
        </w:p>
        <w:p w14:paraId="7BB3EC26" w14:textId="6004DA5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05" w:history="1">
            <w:r w:rsidRPr="002250FC">
              <w:rPr>
                <w:rStyle w:val="Hyperlink"/>
              </w:rPr>
              <w:t>Background</w:t>
            </w:r>
            <w:r>
              <w:rPr>
                <w:webHidden/>
              </w:rPr>
              <w:tab/>
            </w:r>
            <w:r>
              <w:rPr>
                <w:webHidden/>
              </w:rPr>
              <w:fldChar w:fldCharType="begin"/>
            </w:r>
            <w:r>
              <w:rPr>
                <w:webHidden/>
              </w:rPr>
              <w:instrText xml:space="preserve"> PAGEREF _Toc206422505 \h </w:instrText>
            </w:r>
            <w:r>
              <w:rPr>
                <w:webHidden/>
              </w:rPr>
            </w:r>
            <w:r>
              <w:rPr>
                <w:webHidden/>
              </w:rPr>
              <w:fldChar w:fldCharType="separate"/>
            </w:r>
            <w:r w:rsidR="008E7785">
              <w:rPr>
                <w:webHidden/>
              </w:rPr>
              <w:t>3</w:t>
            </w:r>
            <w:r>
              <w:rPr>
                <w:webHidden/>
              </w:rPr>
              <w:fldChar w:fldCharType="end"/>
            </w:r>
          </w:hyperlink>
        </w:p>
        <w:p w14:paraId="40775C06" w14:textId="4890E8D5"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06" w:history="1">
            <w:r w:rsidRPr="002250FC">
              <w:rPr>
                <w:rStyle w:val="Hyperlink"/>
              </w:rPr>
              <w:t>Consultation Regulation Impact Statement</w:t>
            </w:r>
            <w:r>
              <w:rPr>
                <w:webHidden/>
              </w:rPr>
              <w:tab/>
            </w:r>
            <w:r>
              <w:rPr>
                <w:webHidden/>
              </w:rPr>
              <w:fldChar w:fldCharType="begin"/>
            </w:r>
            <w:r>
              <w:rPr>
                <w:webHidden/>
              </w:rPr>
              <w:instrText xml:space="preserve"> PAGEREF _Toc206422506 \h </w:instrText>
            </w:r>
            <w:r>
              <w:rPr>
                <w:webHidden/>
              </w:rPr>
            </w:r>
            <w:r>
              <w:rPr>
                <w:webHidden/>
              </w:rPr>
              <w:fldChar w:fldCharType="separate"/>
            </w:r>
            <w:r w:rsidR="008E7785">
              <w:rPr>
                <w:webHidden/>
              </w:rPr>
              <w:t>3</w:t>
            </w:r>
            <w:r>
              <w:rPr>
                <w:webHidden/>
              </w:rPr>
              <w:fldChar w:fldCharType="end"/>
            </w:r>
          </w:hyperlink>
        </w:p>
        <w:p w14:paraId="3E123383" w14:textId="2A29AB99"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07" w:history="1">
            <w:r w:rsidRPr="002250FC">
              <w:rPr>
                <w:rStyle w:val="Hyperlink"/>
              </w:rPr>
              <w:t>Supplementary Consultation</w:t>
            </w:r>
            <w:r>
              <w:rPr>
                <w:webHidden/>
              </w:rPr>
              <w:tab/>
            </w:r>
            <w:r>
              <w:rPr>
                <w:webHidden/>
              </w:rPr>
              <w:fldChar w:fldCharType="begin"/>
            </w:r>
            <w:r>
              <w:rPr>
                <w:webHidden/>
              </w:rPr>
              <w:instrText xml:space="preserve"> PAGEREF _Toc206422507 \h </w:instrText>
            </w:r>
            <w:r>
              <w:rPr>
                <w:webHidden/>
              </w:rPr>
            </w:r>
            <w:r>
              <w:rPr>
                <w:webHidden/>
              </w:rPr>
              <w:fldChar w:fldCharType="separate"/>
            </w:r>
            <w:r w:rsidR="008E7785">
              <w:rPr>
                <w:webHidden/>
              </w:rPr>
              <w:t>4</w:t>
            </w:r>
            <w:r>
              <w:rPr>
                <w:webHidden/>
              </w:rPr>
              <w:fldChar w:fldCharType="end"/>
            </w:r>
          </w:hyperlink>
        </w:p>
        <w:p w14:paraId="5B4F008E" w14:textId="380FE0C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08" w:history="1">
            <w:r w:rsidRPr="002250FC">
              <w:rPr>
                <w:rStyle w:val="Hyperlink"/>
              </w:rPr>
              <w:t>The problem</w:t>
            </w:r>
            <w:r>
              <w:rPr>
                <w:webHidden/>
              </w:rPr>
              <w:tab/>
            </w:r>
            <w:r>
              <w:rPr>
                <w:webHidden/>
              </w:rPr>
              <w:fldChar w:fldCharType="begin"/>
            </w:r>
            <w:r>
              <w:rPr>
                <w:webHidden/>
              </w:rPr>
              <w:instrText xml:space="preserve"> PAGEREF _Toc206422508 \h </w:instrText>
            </w:r>
            <w:r>
              <w:rPr>
                <w:webHidden/>
              </w:rPr>
            </w:r>
            <w:r>
              <w:rPr>
                <w:webHidden/>
              </w:rPr>
              <w:fldChar w:fldCharType="separate"/>
            </w:r>
            <w:r w:rsidR="008E7785">
              <w:rPr>
                <w:webHidden/>
              </w:rPr>
              <w:t>6</w:t>
            </w:r>
            <w:r>
              <w:rPr>
                <w:webHidden/>
              </w:rPr>
              <w:fldChar w:fldCharType="end"/>
            </w:r>
          </w:hyperlink>
        </w:p>
        <w:p w14:paraId="00D52ADF" w14:textId="085EDFBB" w:rsidR="0011326C" w:rsidRDefault="0011326C">
          <w:pPr>
            <w:pStyle w:val="TOC3"/>
            <w:rPr>
              <w:rFonts w:asciiTheme="minorHAnsi" w:eastAsiaTheme="minorEastAsia" w:hAnsiTheme="minorHAnsi" w:cstheme="minorBidi"/>
              <w:kern w:val="2"/>
              <w:sz w:val="24"/>
              <w:szCs w:val="24"/>
              <w14:ligatures w14:val="standardContextual"/>
            </w:rPr>
          </w:pPr>
          <w:hyperlink w:anchor="_Toc206422509" w:history="1">
            <w:r w:rsidRPr="002250FC">
              <w:rPr>
                <w:rStyle w:val="Hyperlink"/>
              </w:rPr>
              <w:t>Manipulative conduct</w:t>
            </w:r>
            <w:r>
              <w:rPr>
                <w:webHidden/>
              </w:rPr>
              <w:tab/>
            </w:r>
            <w:r>
              <w:rPr>
                <w:webHidden/>
              </w:rPr>
              <w:fldChar w:fldCharType="begin"/>
            </w:r>
            <w:r>
              <w:rPr>
                <w:webHidden/>
              </w:rPr>
              <w:instrText xml:space="preserve"> PAGEREF _Toc206422509 \h </w:instrText>
            </w:r>
            <w:r>
              <w:rPr>
                <w:webHidden/>
              </w:rPr>
            </w:r>
            <w:r>
              <w:rPr>
                <w:webHidden/>
              </w:rPr>
              <w:fldChar w:fldCharType="separate"/>
            </w:r>
            <w:r w:rsidR="008E7785">
              <w:rPr>
                <w:webHidden/>
              </w:rPr>
              <w:t>6</w:t>
            </w:r>
            <w:r>
              <w:rPr>
                <w:webHidden/>
              </w:rPr>
              <w:fldChar w:fldCharType="end"/>
            </w:r>
          </w:hyperlink>
        </w:p>
        <w:p w14:paraId="0CDA53FA" w14:textId="043885E7" w:rsidR="0011326C" w:rsidRDefault="0011326C">
          <w:pPr>
            <w:pStyle w:val="TOC3"/>
            <w:rPr>
              <w:rFonts w:asciiTheme="minorHAnsi" w:eastAsiaTheme="minorEastAsia" w:hAnsiTheme="minorHAnsi" w:cstheme="minorBidi"/>
              <w:kern w:val="2"/>
              <w:sz w:val="24"/>
              <w:szCs w:val="24"/>
              <w14:ligatures w14:val="standardContextual"/>
            </w:rPr>
          </w:pPr>
          <w:hyperlink w:anchor="_Toc206422510" w:history="1">
            <w:r w:rsidRPr="002250FC">
              <w:rPr>
                <w:rStyle w:val="Hyperlink"/>
              </w:rPr>
              <w:t>Subscription practices</w:t>
            </w:r>
            <w:r>
              <w:rPr>
                <w:webHidden/>
              </w:rPr>
              <w:tab/>
            </w:r>
            <w:r>
              <w:rPr>
                <w:webHidden/>
              </w:rPr>
              <w:fldChar w:fldCharType="begin"/>
            </w:r>
            <w:r>
              <w:rPr>
                <w:webHidden/>
              </w:rPr>
              <w:instrText xml:space="preserve"> PAGEREF _Toc206422510 \h </w:instrText>
            </w:r>
            <w:r>
              <w:rPr>
                <w:webHidden/>
              </w:rPr>
            </w:r>
            <w:r>
              <w:rPr>
                <w:webHidden/>
              </w:rPr>
              <w:fldChar w:fldCharType="separate"/>
            </w:r>
            <w:r w:rsidR="008E7785">
              <w:rPr>
                <w:webHidden/>
              </w:rPr>
              <w:t>10</w:t>
            </w:r>
            <w:r>
              <w:rPr>
                <w:webHidden/>
              </w:rPr>
              <w:fldChar w:fldCharType="end"/>
            </w:r>
          </w:hyperlink>
        </w:p>
        <w:p w14:paraId="2ED462AF" w14:textId="497330E0" w:rsidR="0011326C" w:rsidRDefault="0011326C">
          <w:pPr>
            <w:pStyle w:val="TOC3"/>
            <w:rPr>
              <w:rFonts w:asciiTheme="minorHAnsi" w:eastAsiaTheme="minorEastAsia" w:hAnsiTheme="minorHAnsi" w:cstheme="minorBidi"/>
              <w:kern w:val="2"/>
              <w:sz w:val="24"/>
              <w:szCs w:val="24"/>
              <w14:ligatures w14:val="standardContextual"/>
            </w:rPr>
          </w:pPr>
          <w:hyperlink w:anchor="_Toc206422511" w:history="1">
            <w:r w:rsidRPr="002250FC">
              <w:rPr>
                <w:rStyle w:val="Hyperlink"/>
              </w:rPr>
              <w:t>Pricing-related practices</w:t>
            </w:r>
            <w:r>
              <w:rPr>
                <w:webHidden/>
              </w:rPr>
              <w:tab/>
            </w:r>
            <w:r>
              <w:rPr>
                <w:webHidden/>
              </w:rPr>
              <w:fldChar w:fldCharType="begin"/>
            </w:r>
            <w:r>
              <w:rPr>
                <w:webHidden/>
              </w:rPr>
              <w:instrText xml:space="preserve"> PAGEREF _Toc206422511 \h </w:instrText>
            </w:r>
            <w:r>
              <w:rPr>
                <w:webHidden/>
              </w:rPr>
            </w:r>
            <w:r>
              <w:rPr>
                <w:webHidden/>
              </w:rPr>
              <w:fldChar w:fldCharType="separate"/>
            </w:r>
            <w:r w:rsidR="008E7785">
              <w:rPr>
                <w:webHidden/>
              </w:rPr>
              <w:t>12</w:t>
            </w:r>
            <w:r>
              <w:rPr>
                <w:webHidden/>
              </w:rPr>
              <w:fldChar w:fldCharType="end"/>
            </w:r>
          </w:hyperlink>
        </w:p>
        <w:p w14:paraId="24DA8FC8" w14:textId="678EBDCD" w:rsidR="0011326C" w:rsidRDefault="0011326C">
          <w:pPr>
            <w:pStyle w:val="TOC3"/>
            <w:rPr>
              <w:rFonts w:asciiTheme="minorHAnsi" w:eastAsiaTheme="minorEastAsia" w:hAnsiTheme="minorHAnsi" w:cstheme="minorBidi"/>
              <w:kern w:val="2"/>
              <w:sz w:val="24"/>
              <w:szCs w:val="24"/>
              <w14:ligatures w14:val="standardContextual"/>
            </w:rPr>
          </w:pPr>
          <w:hyperlink w:anchor="_Toc206422512" w:history="1">
            <w:r w:rsidRPr="002250FC">
              <w:rPr>
                <w:rStyle w:val="Hyperlink"/>
              </w:rPr>
              <w:t>Other practices</w:t>
            </w:r>
            <w:r>
              <w:rPr>
                <w:webHidden/>
              </w:rPr>
              <w:tab/>
            </w:r>
            <w:r>
              <w:rPr>
                <w:webHidden/>
              </w:rPr>
              <w:fldChar w:fldCharType="begin"/>
            </w:r>
            <w:r>
              <w:rPr>
                <w:webHidden/>
              </w:rPr>
              <w:instrText xml:space="preserve"> PAGEREF _Toc206422512 \h </w:instrText>
            </w:r>
            <w:r>
              <w:rPr>
                <w:webHidden/>
              </w:rPr>
            </w:r>
            <w:r>
              <w:rPr>
                <w:webHidden/>
              </w:rPr>
              <w:fldChar w:fldCharType="separate"/>
            </w:r>
            <w:r w:rsidR="008E7785">
              <w:rPr>
                <w:webHidden/>
              </w:rPr>
              <w:t>14</w:t>
            </w:r>
            <w:r>
              <w:rPr>
                <w:webHidden/>
              </w:rPr>
              <w:fldChar w:fldCharType="end"/>
            </w:r>
          </w:hyperlink>
        </w:p>
        <w:p w14:paraId="6FCAB053" w14:textId="293F0F2E"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13" w:history="1">
            <w:r w:rsidRPr="002250FC">
              <w:rPr>
                <w:rStyle w:val="Hyperlink"/>
              </w:rPr>
              <w:t>Case for government action and the objective of reform</w:t>
            </w:r>
            <w:r>
              <w:rPr>
                <w:webHidden/>
              </w:rPr>
              <w:tab/>
            </w:r>
            <w:r>
              <w:rPr>
                <w:webHidden/>
              </w:rPr>
              <w:fldChar w:fldCharType="begin"/>
            </w:r>
            <w:r>
              <w:rPr>
                <w:webHidden/>
              </w:rPr>
              <w:instrText xml:space="preserve"> PAGEREF _Toc206422513 \h </w:instrText>
            </w:r>
            <w:r>
              <w:rPr>
                <w:webHidden/>
              </w:rPr>
            </w:r>
            <w:r>
              <w:rPr>
                <w:webHidden/>
              </w:rPr>
              <w:fldChar w:fldCharType="separate"/>
            </w:r>
            <w:r w:rsidR="008E7785">
              <w:rPr>
                <w:webHidden/>
              </w:rPr>
              <w:t>15</w:t>
            </w:r>
            <w:r>
              <w:rPr>
                <w:webHidden/>
              </w:rPr>
              <w:fldChar w:fldCharType="end"/>
            </w:r>
          </w:hyperlink>
        </w:p>
        <w:p w14:paraId="4DDB5F58" w14:textId="7D29AD2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14" w:history="1">
            <w:r w:rsidRPr="002250FC">
              <w:rPr>
                <w:rStyle w:val="Hyperlink"/>
              </w:rPr>
              <w:t>Policy options and impact analysis</w:t>
            </w:r>
            <w:r>
              <w:rPr>
                <w:webHidden/>
              </w:rPr>
              <w:tab/>
            </w:r>
            <w:r>
              <w:rPr>
                <w:webHidden/>
              </w:rPr>
              <w:fldChar w:fldCharType="begin"/>
            </w:r>
            <w:r>
              <w:rPr>
                <w:webHidden/>
              </w:rPr>
              <w:instrText xml:space="preserve"> PAGEREF _Toc206422514 \h </w:instrText>
            </w:r>
            <w:r>
              <w:rPr>
                <w:webHidden/>
              </w:rPr>
            </w:r>
            <w:r>
              <w:rPr>
                <w:webHidden/>
              </w:rPr>
              <w:fldChar w:fldCharType="separate"/>
            </w:r>
            <w:r w:rsidR="008E7785">
              <w:rPr>
                <w:webHidden/>
              </w:rPr>
              <w:t>17</w:t>
            </w:r>
            <w:r>
              <w:rPr>
                <w:webHidden/>
              </w:rPr>
              <w:fldChar w:fldCharType="end"/>
            </w:r>
          </w:hyperlink>
        </w:p>
        <w:p w14:paraId="73E58683" w14:textId="5DD3B476"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15" w:history="1">
            <w:r w:rsidRPr="002250FC">
              <w:rPr>
                <w:rStyle w:val="Hyperlink"/>
              </w:rPr>
              <w:t>Option 1 – Maintain the status quo</w:t>
            </w:r>
            <w:r>
              <w:rPr>
                <w:webHidden/>
              </w:rPr>
              <w:tab/>
            </w:r>
            <w:r>
              <w:rPr>
                <w:webHidden/>
              </w:rPr>
              <w:fldChar w:fldCharType="begin"/>
            </w:r>
            <w:r>
              <w:rPr>
                <w:webHidden/>
              </w:rPr>
              <w:instrText xml:space="preserve"> PAGEREF _Toc206422515 \h </w:instrText>
            </w:r>
            <w:r>
              <w:rPr>
                <w:webHidden/>
              </w:rPr>
            </w:r>
            <w:r>
              <w:rPr>
                <w:webHidden/>
              </w:rPr>
              <w:fldChar w:fldCharType="separate"/>
            </w:r>
            <w:r w:rsidR="008E7785">
              <w:rPr>
                <w:webHidden/>
              </w:rPr>
              <w:t>18</w:t>
            </w:r>
            <w:r>
              <w:rPr>
                <w:webHidden/>
              </w:rPr>
              <w:fldChar w:fldCharType="end"/>
            </w:r>
          </w:hyperlink>
        </w:p>
        <w:p w14:paraId="47663DBC" w14:textId="4038512D" w:rsidR="0011326C" w:rsidRDefault="0011326C">
          <w:pPr>
            <w:pStyle w:val="TOC3"/>
            <w:rPr>
              <w:rFonts w:asciiTheme="minorHAnsi" w:eastAsiaTheme="minorEastAsia" w:hAnsiTheme="minorHAnsi" w:cstheme="minorBidi"/>
              <w:kern w:val="2"/>
              <w:sz w:val="24"/>
              <w:szCs w:val="24"/>
              <w14:ligatures w14:val="standardContextual"/>
            </w:rPr>
          </w:pPr>
          <w:hyperlink w:anchor="_Toc206422516" w:history="1">
            <w:r w:rsidRPr="002250FC">
              <w:rPr>
                <w:rStyle w:val="Hyperlink"/>
              </w:rPr>
              <w:t>Consultation outcomes</w:t>
            </w:r>
            <w:r>
              <w:rPr>
                <w:webHidden/>
              </w:rPr>
              <w:tab/>
            </w:r>
            <w:r>
              <w:rPr>
                <w:webHidden/>
              </w:rPr>
              <w:fldChar w:fldCharType="begin"/>
            </w:r>
            <w:r>
              <w:rPr>
                <w:webHidden/>
              </w:rPr>
              <w:instrText xml:space="preserve"> PAGEREF _Toc206422516 \h </w:instrText>
            </w:r>
            <w:r>
              <w:rPr>
                <w:webHidden/>
              </w:rPr>
            </w:r>
            <w:r>
              <w:rPr>
                <w:webHidden/>
              </w:rPr>
              <w:fldChar w:fldCharType="separate"/>
            </w:r>
            <w:r w:rsidR="008E7785">
              <w:rPr>
                <w:webHidden/>
              </w:rPr>
              <w:t>18</w:t>
            </w:r>
            <w:r>
              <w:rPr>
                <w:webHidden/>
              </w:rPr>
              <w:fldChar w:fldCharType="end"/>
            </w:r>
          </w:hyperlink>
        </w:p>
        <w:p w14:paraId="385B2FBC" w14:textId="495F2D41" w:rsidR="0011326C" w:rsidRDefault="0011326C">
          <w:pPr>
            <w:pStyle w:val="TOC3"/>
            <w:rPr>
              <w:rFonts w:asciiTheme="minorHAnsi" w:eastAsiaTheme="minorEastAsia" w:hAnsiTheme="minorHAnsi" w:cstheme="minorBidi"/>
              <w:kern w:val="2"/>
              <w:sz w:val="24"/>
              <w:szCs w:val="24"/>
              <w14:ligatures w14:val="standardContextual"/>
            </w:rPr>
          </w:pPr>
          <w:hyperlink w:anchor="_Toc206422517" w:history="1">
            <w:r w:rsidRPr="002250FC">
              <w:rPr>
                <w:rStyle w:val="Hyperlink"/>
              </w:rPr>
              <w:t>Potential Benefits</w:t>
            </w:r>
            <w:r>
              <w:rPr>
                <w:webHidden/>
              </w:rPr>
              <w:tab/>
            </w:r>
            <w:r>
              <w:rPr>
                <w:webHidden/>
              </w:rPr>
              <w:fldChar w:fldCharType="begin"/>
            </w:r>
            <w:r>
              <w:rPr>
                <w:webHidden/>
              </w:rPr>
              <w:instrText xml:space="preserve"> PAGEREF _Toc206422517 \h </w:instrText>
            </w:r>
            <w:r>
              <w:rPr>
                <w:webHidden/>
              </w:rPr>
            </w:r>
            <w:r>
              <w:rPr>
                <w:webHidden/>
              </w:rPr>
              <w:fldChar w:fldCharType="separate"/>
            </w:r>
            <w:r w:rsidR="008E7785">
              <w:rPr>
                <w:webHidden/>
              </w:rPr>
              <w:t>18</w:t>
            </w:r>
            <w:r>
              <w:rPr>
                <w:webHidden/>
              </w:rPr>
              <w:fldChar w:fldCharType="end"/>
            </w:r>
          </w:hyperlink>
        </w:p>
        <w:p w14:paraId="1D43225B" w14:textId="41627049" w:rsidR="0011326C" w:rsidRDefault="0011326C">
          <w:pPr>
            <w:pStyle w:val="TOC3"/>
            <w:rPr>
              <w:rFonts w:asciiTheme="minorHAnsi" w:eastAsiaTheme="minorEastAsia" w:hAnsiTheme="minorHAnsi" w:cstheme="minorBidi"/>
              <w:kern w:val="2"/>
              <w:sz w:val="24"/>
              <w:szCs w:val="24"/>
              <w14:ligatures w14:val="standardContextual"/>
            </w:rPr>
          </w:pPr>
          <w:hyperlink w:anchor="_Toc206422518" w:history="1">
            <w:r w:rsidRPr="002250FC">
              <w:rPr>
                <w:rStyle w:val="Hyperlink"/>
              </w:rPr>
              <w:t>Potential Costs</w:t>
            </w:r>
            <w:r>
              <w:rPr>
                <w:webHidden/>
              </w:rPr>
              <w:tab/>
            </w:r>
            <w:r>
              <w:rPr>
                <w:webHidden/>
              </w:rPr>
              <w:fldChar w:fldCharType="begin"/>
            </w:r>
            <w:r>
              <w:rPr>
                <w:webHidden/>
              </w:rPr>
              <w:instrText xml:space="preserve"> PAGEREF _Toc206422518 \h </w:instrText>
            </w:r>
            <w:r>
              <w:rPr>
                <w:webHidden/>
              </w:rPr>
            </w:r>
            <w:r>
              <w:rPr>
                <w:webHidden/>
              </w:rPr>
              <w:fldChar w:fldCharType="separate"/>
            </w:r>
            <w:r w:rsidR="008E7785">
              <w:rPr>
                <w:webHidden/>
              </w:rPr>
              <w:t>18</w:t>
            </w:r>
            <w:r>
              <w:rPr>
                <w:webHidden/>
              </w:rPr>
              <w:fldChar w:fldCharType="end"/>
            </w:r>
          </w:hyperlink>
        </w:p>
        <w:p w14:paraId="3389B57B" w14:textId="0C5EDC7D"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19" w:history="1">
            <w:r w:rsidRPr="002250FC">
              <w:rPr>
                <w:rStyle w:val="Hyperlink"/>
              </w:rPr>
              <w:t>Option 2 (no longer for consideration) – Amend statutory unconscionable conduct</w:t>
            </w:r>
            <w:r>
              <w:rPr>
                <w:webHidden/>
              </w:rPr>
              <w:tab/>
            </w:r>
            <w:r>
              <w:rPr>
                <w:webHidden/>
              </w:rPr>
              <w:fldChar w:fldCharType="begin"/>
            </w:r>
            <w:r>
              <w:rPr>
                <w:webHidden/>
              </w:rPr>
              <w:instrText xml:space="preserve"> PAGEREF _Toc206422519 \h </w:instrText>
            </w:r>
            <w:r>
              <w:rPr>
                <w:webHidden/>
              </w:rPr>
            </w:r>
            <w:r>
              <w:rPr>
                <w:webHidden/>
              </w:rPr>
              <w:fldChar w:fldCharType="separate"/>
            </w:r>
            <w:r w:rsidR="008E7785">
              <w:rPr>
                <w:webHidden/>
              </w:rPr>
              <w:t>20</w:t>
            </w:r>
            <w:r>
              <w:rPr>
                <w:webHidden/>
              </w:rPr>
              <w:fldChar w:fldCharType="end"/>
            </w:r>
          </w:hyperlink>
        </w:p>
        <w:p w14:paraId="450400E8" w14:textId="01871725" w:rsidR="0011326C" w:rsidRDefault="0011326C">
          <w:pPr>
            <w:pStyle w:val="TOC3"/>
            <w:rPr>
              <w:rFonts w:asciiTheme="minorHAnsi" w:eastAsiaTheme="minorEastAsia" w:hAnsiTheme="minorHAnsi" w:cstheme="minorBidi"/>
              <w:kern w:val="2"/>
              <w:sz w:val="24"/>
              <w:szCs w:val="24"/>
              <w14:ligatures w14:val="standardContextual"/>
            </w:rPr>
          </w:pPr>
          <w:hyperlink w:anchor="_Toc206422520" w:history="1">
            <w:r w:rsidRPr="002250FC">
              <w:rPr>
                <w:rStyle w:val="Hyperlink"/>
              </w:rPr>
              <w:t>Consultation outcomes</w:t>
            </w:r>
            <w:r>
              <w:rPr>
                <w:webHidden/>
              </w:rPr>
              <w:tab/>
            </w:r>
            <w:r>
              <w:rPr>
                <w:webHidden/>
              </w:rPr>
              <w:fldChar w:fldCharType="begin"/>
            </w:r>
            <w:r>
              <w:rPr>
                <w:webHidden/>
              </w:rPr>
              <w:instrText xml:space="preserve"> PAGEREF _Toc206422520 \h </w:instrText>
            </w:r>
            <w:r>
              <w:rPr>
                <w:webHidden/>
              </w:rPr>
            </w:r>
            <w:r>
              <w:rPr>
                <w:webHidden/>
              </w:rPr>
              <w:fldChar w:fldCharType="separate"/>
            </w:r>
            <w:r w:rsidR="008E7785">
              <w:rPr>
                <w:webHidden/>
              </w:rPr>
              <w:t>20</w:t>
            </w:r>
            <w:r>
              <w:rPr>
                <w:webHidden/>
              </w:rPr>
              <w:fldChar w:fldCharType="end"/>
            </w:r>
          </w:hyperlink>
        </w:p>
        <w:p w14:paraId="45A39A39" w14:textId="3AE60284"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21" w:history="1">
            <w:r w:rsidRPr="002250FC">
              <w:rPr>
                <w:rStyle w:val="Hyperlink"/>
              </w:rPr>
              <w:t>Option 3 – Introduce a general prohibition on unfair trading practices</w:t>
            </w:r>
            <w:r>
              <w:rPr>
                <w:webHidden/>
              </w:rPr>
              <w:tab/>
            </w:r>
            <w:r>
              <w:rPr>
                <w:webHidden/>
              </w:rPr>
              <w:fldChar w:fldCharType="begin"/>
            </w:r>
            <w:r>
              <w:rPr>
                <w:webHidden/>
              </w:rPr>
              <w:instrText xml:space="preserve"> PAGEREF _Toc206422521 \h </w:instrText>
            </w:r>
            <w:r>
              <w:rPr>
                <w:webHidden/>
              </w:rPr>
            </w:r>
            <w:r>
              <w:rPr>
                <w:webHidden/>
              </w:rPr>
              <w:fldChar w:fldCharType="separate"/>
            </w:r>
            <w:r w:rsidR="008E7785">
              <w:rPr>
                <w:webHidden/>
              </w:rPr>
              <w:t>22</w:t>
            </w:r>
            <w:r>
              <w:rPr>
                <w:webHidden/>
              </w:rPr>
              <w:fldChar w:fldCharType="end"/>
            </w:r>
          </w:hyperlink>
        </w:p>
        <w:p w14:paraId="306063A9" w14:textId="57934839" w:rsidR="0011326C" w:rsidRDefault="0011326C">
          <w:pPr>
            <w:pStyle w:val="TOC3"/>
            <w:rPr>
              <w:rFonts w:asciiTheme="minorHAnsi" w:eastAsiaTheme="minorEastAsia" w:hAnsiTheme="minorHAnsi" w:cstheme="minorBidi"/>
              <w:kern w:val="2"/>
              <w:sz w:val="24"/>
              <w:szCs w:val="24"/>
              <w14:ligatures w14:val="standardContextual"/>
            </w:rPr>
          </w:pPr>
          <w:hyperlink w:anchor="_Toc206422522" w:history="1">
            <w:r w:rsidRPr="002250FC">
              <w:rPr>
                <w:rStyle w:val="Hyperlink"/>
              </w:rPr>
              <w:t>Policy context</w:t>
            </w:r>
            <w:r>
              <w:rPr>
                <w:webHidden/>
              </w:rPr>
              <w:tab/>
            </w:r>
            <w:r>
              <w:rPr>
                <w:webHidden/>
              </w:rPr>
              <w:fldChar w:fldCharType="begin"/>
            </w:r>
            <w:r>
              <w:rPr>
                <w:webHidden/>
              </w:rPr>
              <w:instrText xml:space="preserve"> PAGEREF _Toc206422522 \h </w:instrText>
            </w:r>
            <w:r>
              <w:rPr>
                <w:webHidden/>
              </w:rPr>
            </w:r>
            <w:r>
              <w:rPr>
                <w:webHidden/>
              </w:rPr>
              <w:fldChar w:fldCharType="separate"/>
            </w:r>
            <w:r w:rsidR="008E7785">
              <w:rPr>
                <w:webHidden/>
              </w:rPr>
              <w:t>22</w:t>
            </w:r>
            <w:r>
              <w:rPr>
                <w:webHidden/>
              </w:rPr>
              <w:fldChar w:fldCharType="end"/>
            </w:r>
          </w:hyperlink>
        </w:p>
        <w:p w14:paraId="7CDC13E5" w14:textId="560642F8" w:rsidR="0011326C" w:rsidRDefault="0011326C">
          <w:pPr>
            <w:pStyle w:val="TOC3"/>
            <w:rPr>
              <w:rFonts w:asciiTheme="minorHAnsi" w:eastAsiaTheme="minorEastAsia" w:hAnsiTheme="minorHAnsi" w:cstheme="minorBidi"/>
              <w:kern w:val="2"/>
              <w:sz w:val="24"/>
              <w:szCs w:val="24"/>
              <w14:ligatures w14:val="standardContextual"/>
            </w:rPr>
          </w:pPr>
          <w:hyperlink w:anchor="_Toc206422523" w:history="1">
            <w:r w:rsidRPr="002250FC">
              <w:rPr>
                <w:rStyle w:val="Hyperlink"/>
              </w:rPr>
              <w:t>Consultation Outcomes</w:t>
            </w:r>
            <w:r>
              <w:rPr>
                <w:webHidden/>
              </w:rPr>
              <w:tab/>
            </w:r>
            <w:r>
              <w:rPr>
                <w:webHidden/>
              </w:rPr>
              <w:fldChar w:fldCharType="begin"/>
            </w:r>
            <w:r>
              <w:rPr>
                <w:webHidden/>
              </w:rPr>
              <w:instrText xml:space="preserve"> PAGEREF _Toc206422523 \h </w:instrText>
            </w:r>
            <w:r>
              <w:rPr>
                <w:webHidden/>
              </w:rPr>
            </w:r>
            <w:r>
              <w:rPr>
                <w:webHidden/>
              </w:rPr>
              <w:fldChar w:fldCharType="separate"/>
            </w:r>
            <w:r w:rsidR="008E7785">
              <w:rPr>
                <w:webHidden/>
              </w:rPr>
              <w:t>23</w:t>
            </w:r>
            <w:r>
              <w:rPr>
                <w:webHidden/>
              </w:rPr>
              <w:fldChar w:fldCharType="end"/>
            </w:r>
          </w:hyperlink>
        </w:p>
        <w:p w14:paraId="21F43FAA" w14:textId="5290D30D" w:rsidR="0011326C" w:rsidRDefault="0011326C">
          <w:pPr>
            <w:pStyle w:val="TOC3"/>
            <w:rPr>
              <w:rFonts w:asciiTheme="minorHAnsi" w:eastAsiaTheme="minorEastAsia" w:hAnsiTheme="minorHAnsi" w:cstheme="minorBidi"/>
              <w:kern w:val="2"/>
              <w:sz w:val="24"/>
              <w:szCs w:val="24"/>
              <w14:ligatures w14:val="standardContextual"/>
            </w:rPr>
          </w:pPr>
          <w:hyperlink w:anchor="_Toc206422524" w:history="1">
            <w:r w:rsidRPr="002250FC">
              <w:rPr>
                <w:rStyle w:val="Hyperlink"/>
              </w:rPr>
              <w:t>Policy proposal</w:t>
            </w:r>
            <w:r>
              <w:rPr>
                <w:webHidden/>
              </w:rPr>
              <w:tab/>
            </w:r>
            <w:r>
              <w:rPr>
                <w:webHidden/>
              </w:rPr>
              <w:fldChar w:fldCharType="begin"/>
            </w:r>
            <w:r>
              <w:rPr>
                <w:webHidden/>
              </w:rPr>
              <w:instrText xml:space="preserve"> PAGEREF _Toc206422524 \h </w:instrText>
            </w:r>
            <w:r>
              <w:rPr>
                <w:webHidden/>
              </w:rPr>
            </w:r>
            <w:r>
              <w:rPr>
                <w:webHidden/>
              </w:rPr>
              <w:fldChar w:fldCharType="separate"/>
            </w:r>
            <w:r w:rsidR="008E7785">
              <w:rPr>
                <w:webHidden/>
              </w:rPr>
              <w:t>27</w:t>
            </w:r>
            <w:r>
              <w:rPr>
                <w:webHidden/>
              </w:rPr>
              <w:fldChar w:fldCharType="end"/>
            </w:r>
          </w:hyperlink>
        </w:p>
        <w:p w14:paraId="323B1FD2" w14:textId="52381F97" w:rsidR="0011326C" w:rsidRDefault="0011326C">
          <w:pPr>
            <w:pStyle w:val="TOC3"/>
            <w:rPr>
              <w:rFonts w:asciiTheme="minorHAnsi" w:eastAsiaTheme="minorEastAsia" w:hAnsiTheme="minorHAnsi" w:cstheme="minorBidi"/>
              <w:kern w:val="2"/>
              <w:sz w:val="24"/>
              <w:szCs w:val="24"/>
              <w14:ligatures w14:val="standardContextual"/>
            </w:rPr>
          </w:pPr>
          <w:hyperlink w:anchor="_Toc206422525" w:history="1">
            <w:r w:rsidRPr="002250FC">
              <w:rPr>
                <w:rStyle w:val="Hyperlink"/>
              </w:rPr>
              <w:t>Potential Benefits</w:t>
            </w:r>
            <w:r>
              <w:rPr>
                <w:webHidden/>
              </w:rPr>
              <w:tab/>
            </w:r>
            <w:r>
              <w:rPr>
                <w:webHidden/>
              </w:rPr>
              <w:fldChar w:fldCharType="begin"/>
            </w:r>
            <w:r>
              <w:rPr>
                <w:webHidden/>
              </w:rPr>
              <w:instrText xml:space="preserve"> PAGEREF _Toc206422525 \h </w:instrText>
            </w:r>
            <w:r>
              <w:rPr>
                <w:webHidden/>
              </w:rPr>
            </w:r>
            <w:r>
              <w:rPr>
                <w:webHidden/>
              </w:rPr>
              <w:fldChar w:fldCharType="separate"/>
            </w:r>
            <w:r w:rsidR="008E7785">
              <w:rPr>
                <w:webHidden/>
              </w:rPr>
              <w:t>29</w:t>
            </w:r>
            <w:r>
              <w:rPr>
                <w:webHidden/>
              </w:rPr>
              <w:fldChar w:fldCharType="end"/>
            </w:r>
          </w:hyperlink>
        </w:p>
        <w:p w14:paraId="21408492" w14:textId="5ABAF495" w:rsidR="0011326C" w:rsidRDefault="0011326C">
          <w:pPr>
            <w:pStyle w:val="TOC3"/>
            <w:rPr>
              <w:rFonts w:asciiTheme="minorHAnsi" w:eastAsiaTheme="minorEastAsia" w:hAnsiTheme="minorHAnsi" w:cstheme="minorBidi"/>
              <w:kern w:val="2"/>
              <w:sz w:val="24"/>
              <w:szCs w:val="24"/>
              <w14:ligatures w14:val="standardContextual"/>
            </w:rPr>
          </w:pPr>
          <w:hyperlink w:anchor="_Toc206422526" w:history="1">
            <w:r w:rsidRPr="002250FC">
              <w:rPr>
                <w:rStyle w:val="Hyperlink"/>
              </w:rPr>
              <w:t>Regulation impact summary</w:t>
            </w:r>
            <w:r>
              <w:rPr>
                <w:webHidden/>
              </w:rPr>
              <w:tab/>
            </w:r>
            <w:r>
              <w:rPr>
                <w:webHidden/>
              </w:rPr>
              <w:fldChar w:fldCharType="begin"/>
            </w:r>
            <w:r>
              <w:rPr>
                <w:webHidden/>
              </w:rPr>
              <w:instrText xml:space="preserve"> PAGEREF _Toc206422526 \h </w:instrText>
            </w:r>
            <w:r>
              <w:rPr>
                <w:webHidden/>
              </w:rPr>
            </w:r>
            <w:r>
              <w:rPr>
                <w:webHidden/>
              </w:rPr>
              <w:fldChar w:fldCharType="separate"/>
            </w:r>
            <w:r w:rsidR="008E7785">
              <w:rPr>
                <w:webHidden/>
              </w:rPr>
              <w:t>30</w:t>
            </w:r>
            <w:r>
              <w:rPr>
                <w:webHidden/>
              </w:rPr>
              <w:fldChar w:fldCharType="end"/>
            </w:r>
          </w:hyperlink>
        </w:p>
        <w:p w14:paraId="432AA13E" w14:textId="00F36D7B" w:rsidR="0011326C" w:rsidRDefault="0011326C">
          <w:pPr>
            <w:pStyle w:val="TOC3"/>
            <w:rPr>
              <w:rFonts w:asciiTheme="minorHAnsi" w:eastAsiaTheme="minorEastAsia" w:hAnsiTheme="minorHAnsi" w:cstheme="minorBidi"/>
              <w:kern w:val="2"/>
              <w:sz w:val="24"/>
              <w:szCs w:val="24"/>
              <w14:ligatures w14:val="standardContextual"/>
            </w:rPr>
          </w:pPr>
          <w:hyperlink w:anchor="_Toc206422527" w:history="1">
            <w:r w:rsidRPr="002250FC">
              <w:rPr>
                <w:rStyle w:val="Hyperlink"/>
              </w:rPr>
              <w:t>Option 3: regulation impact summary</w:t>
            </w:r>
            <w:r>
              <w:rPr>
                <w:webHidden/>
              </w:rPr>
              <w:tab/>
            </w:r>
            <w:r>
              <w:rPr>
                <w:webHidden/>
              </w:rPr>
              <w:fldChar w:fldCharType="begin"/>
            </w:r>
            <w:r>
              <w:rPr>
                <w:webHidden/>
              </w:rPr>
              <w:instrText xml:space="preserve"> PAGEREF _Toc206422527 \h </w:instrText>
            </w:r>
            <w:r>
              <w:rPr>
                <w:webHidden/>
              </w:rPr>
            </w:r>
            <w:r>
              <w:rPr>
                <w:webHidden/>
              </w:rPr>
              <w:fldChar w:fldCharType="separate"/>
            </w:r>
            <w:r w:rsidR="008E7785">
              <w:rPr>
                <w:webHidden/>
              </w:rPr>
              <w:t>31</w:t>
            </w:r>
            <w:r>
              <w:rPr>
                <w:webHidden/>
              </w:rPr>
              <w:fldChar w:fldCharType="end"/>
            </w:r>
          </w:hyperlink>
        </w:p>
        <w:p w14:paraId="557896F2" w14:textId="5FE2303A"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28" w:history="1">
            <w:r w:rsidRPr="002250FC">
              <w:rPr>
                <w:rStyle w:val="Hyperlink"/>
              </w:rPr>
              <w:t>Option 4 – Introduce a combination of general and specific prohibitions on unfair trading practices</w:t>
            </w:r>
            <w:r>
              <w:rPr>
                <w:webHidden/>
              </w:rPr>
              <w:tab/>
            </w:r>
            <w:r>
              <w:rPr>
                <w:webHidden/>
              </w:rPr>
              <w:fldChar w:fldCharType="begin"/>
            </w:r>
            <w:r>
              <w:rPr>
                <w:webHidden/>
              </w:rPr>
              <w:instrText xml:space="preserve"> PAGEREF _Toc206422528 \h </w:instrText>
            </w:r>
            <w:r>
              <w:rPr>
                <w:webHidden/>
              </w:rPr>
            </w:r>
            <w:r>
              <w:rPr>
                <w:webHidden/>
              </w:rPr>
              <w:fldChar w:fldCharType="separate"/>
            </w:r>
            <w:r w:rsidR="008E7785">
              <w:rPr>
                <w:webHidden/>
              </w:rPr>
              <w:t>33</w:t>
            </w:r>
            <w:r>
              <w:rPr>
                <w:webHidden/>
              </w:rPr>
              <w:fldChar w:fldCharType="end"/>
            </w:r>
          </w:hyperlink>
        </w:p>
        <w:p w14:paraId="0E43B070" w14:textId="3DC3D8F8" w:rsidR="0011326C" w:rsidRDefault="0011326C">
          <w:pPr>
            <w:pStyle w:val="TOC3"/>
            <w:rPr>
              <w:rFonts w:asciiTheme="minorHAnsi" w:eastAsiaTheme="minorEastAsia" w:hAnsiTheme="minorHAnsi" w:cstheme="minorBidi"/>
              <w:kern w:val="2"/>
              <w:sz w:val="24"/>
              <w:szCs w:val="24"/>
              <w14:ligatures w14:val="standardContextual"/>
            </w:rPr>
          </w:pPr>
          <w:hyperlink w:anchor="_Toc206422529" w:history="1">
            <w:r w:rsidRPr="002250FC">
              <w:rPr>
                <w:rStyle w:val="Hyperlink"/>
              </w:rPr>
              <w:t>Policy context</w:t>
            </w:r>
            <w:r>
              <w:rPr>
                <w:webHidden/>
              </w:rPr>
              <w:tab/>
            </w:r>
            <w:r>
              <w:rPr>
                <w:webHidden/>
              </w:rPr>
              <w:fldChar w:fldCharType="begin"/>
            </w:r>
            <w:r>
              <w:rPr>
                <w:webHidden/>
              </w:rPr>
              <w:instrText xml:space="preserve"> PAGEREF _Toc206422529 \h </w:instrText>
            </w:r>
            <w:r>
              <w:rPr>
                <w:webHidden/>
              </w:rPr>
            </w:r>
            <w:r>
              <w:rPr>
                <w:webHidden/>
              </w:rPr>
              <w:fldChar w:fldCharType="separate"/>
            </w:r>
            <w:r w:rsidR="008E7785">
              <w:rPr>
                <w:webHidden/>
              </w:rPr>
              <w:t>33</w:t>
            </w:r>
            <w:r>
              <w:rPr>
                <w:webHidden/>
              </w:rPr>
              <w:fldChar w:fldCharType="end"/>
            </w:r>
          </w:hyperlink>
        </w:p>
        <w:p w14:paraId="55D46917" w14:textId="258057B5" w:rsidR="0011326C" w:rsidRDefault="0011326C">
          <w:pPr>
            <w:pStyle w:val="TOC3"/>
            <w:rPr>
              <w:rFonts w:asciiTheme="minorHAnsi" w:eastAsiaTheme="minorEastAsia" w:hAnsiTheme="minorHAnsi" w:cstheme="minorBidi"/>
              <w:kern w:val="2"/>
              <w:sz w:val="24"/>
              <w:szCs w:val="24"/>
              <w14:ligatures w14:val="standardContextual"/>
            </w:rPr>
          </w:pPr>
          <w:hyperlink w:anchor="_Toc206422530" w:history="1">
            <w:r w:rsidRPr="002250FC">
              <w:rPr>
                <w:rStyle w:val="Hyperlink"/>
              </w:rPr>
              <w:t>Subscriptions</w:t>
            </w:r>
            <w:r>
              <w:rPr>
                <w:webHidden/>
              </w:rPr>
              <w:tab/>
            </w:r>
            <w:r>
              <w:rPr>
                <w:webHidden/>
              </w:rPr>
              <w:fldChar w:fldCharType="begin"/>
            </w:r>
            <w:r>
              <w:rPr>
                <w:webHidden/>
              </w:rPr>
              <w:instrText xml:space="preserve"> PAGEREF _Toc206422530 \h </w:instrText>
            </w:r>
            <w:r>
              <w:rPr>
                <w:webHidden/>
              </w:rPr>
            </w:r>
            <w:r>
              <w:rPr>
                <w:webHidden/>
              </w:rPr>
              <w:fldChar w:fldCharType="separate"/>
            </w:r>
            <w:r w:rsidR="008E7785">
              <w:rPr>
                <w:webHidden/>
              </w:rPr>
              <w:t>33</w:t>
            </w:r>
            <w:r>
              <w:rPr>
                <w:webHidden/>
              </w:rPr>
              <w:fldChar w:fldCharType="end"/>
            </w:r>
          </w:hyperlink>
        </w:p>
        <w:p w14:paraId="50D07E3B" w14:textId="7DB35588" w:rsidR="0011326C" w:rsidRDefault="0011326C">
          <w:pPr>
            <w:pStyle w:val="TOC3"/>
            <w:rPr>
              <w:rFonts w:asciiTheme="minorHAnsi" w:eastAsiaTheme="minorEastAsia" w:hAnsiTheme="minorHAnsi" w:cstheme="minorBidi"/>
              <w:kern w:val="2"/>
              <w:sz w:val="24"/>
              <w:szCs w:val="24"/>
              <w14:ligatures w14:val="standardContextual"/>
            </w:rPr>
          </w:pPr>
          <w:hyperlink w:anchor="_Toc206422531" w:history="1">
            <w:r w:rsidRPr="002250FC">
              <w:rPr>
                <w:rStyle w:val="Hyperlink"/>
              </w:rPr>
              <w:t>Subscription policy proposal</w:t>
            </w:r>
            <w:r>
              <w:rPr>
                <w:webHidden/>
              </w:rPr>
              <w:tab/>
            </w:r>
            <w:r>
              <w:rPr>
                <w:webHidden/>
              </w:rPr>
              <w:fldChar w:fldCharType="begin"/>
            </w:r>
            <w:r>
              <w:rPr>
                <w:webHidden/>
              </w:rPr>
              <w:instrText xml:space="preserve"> PAGEREF _Toc206422531 \h </w:instrText>
            </w:r>
            <w:r>
              <w:rPr>
                <w:webHidden/>
              </w:rPr>
            </w:r>
            <w:r>
              <w:rPr>
                <w:webHidden/>
              </w:rPr>
              <w:fldChar w:fldCharType="separate"/>
            </w:r>
            <w:r w:rsidR="008E7785">
              <w:rPr>
                <w:webHidden/>
              </w:rPr>
              <w:t>36</w:t>
            </w:r>
            <w:r>
              <w:rPr>
                <w:webHidden/>
              </w:rPr>
              <w:fldChar w:fldCharType="end"/>
            </w:r>
          </w:hyperlink>
        </w:p>
        <w:p w14:paraId="69878655" w14:textId="6D72A9D4" w:rsidR="0011326C" w:rsidRDefault="0011326C">
          <w:pPr>
            <w:pStyle w:val="TOC3"/>
            <w:rPr>
              <w:rFonts w:asciiTheme="minorHAnsi" w:eastAsiaTheme="minorEastAsia" w:hAnsiTheme="minorHAnsi" w:cstheme="minorBidi"/>
              <w:kern w:val="2"/>
              <w:sz w:val="24"/>
              <w:szCs w:val="24"/>
              <w14:ligatures w14:val="standardContextual"/>
            </w:rPr>
          </w:pPr>
          <w:hyperlink w:anchor="_Toc206422532" w:history="1">
            <w:r w:rsidRPr="002250FC">
              <w:rPr>
                <w:rStyle w:val="Hyperlink"/>
              </w:rPr>
              <w:t>Drip Pricing</w:t>
            </w:r>
            <w:r>
              <w:rPr>
                <w:webHidden/>
              </w:rPr>
              <w:tab/>
            </w:r>
            <w:r>
              <w:rPr>
                <w:webHidden/>
              </w:rPr>
              <w:fldChar w:fldCharType="begin"/>
            </w:r>
            <w:r>
              <w:rPr>
                <w:webHidden/>
              </w:rPr>
              <w:instrText xml:space="preserve"> PAGEREF _Toc206422532 \h </w:instrText>
            </w:r>
            <w:r>
              <w:rPr>
                <w:webHidden/>
              </w:rPr>
            </w:r>
            <w:r>
              <w:rPr>
                <w:webHidden/>
              </w:rPr>
              <w:fldChar w:fldCharType="separate"/>
            </w:r>
            <w:r w:rsidR="008E7785">
              <w:rPr>
                <w:webHidden/>
              </w:rPr>
              <w:t>40</w:t>
            </w:r>
            <w:r>
              <w:rPr>
                <w:webHidden/>
              </w:rPr>
              <w:fldChar w:fldCharType="end"/>
            </w:r>
          </w:hyperlink>
        </w:p>
        <w:p w14:paraId="0F39501C" w14:textId="4C8216BE" w:rsidR="0011326C" w:rsidRDefault="0011326C">
          <w:pPr>
            <w:pStyle w:val="TOC3"/>
            <w:rPr>
              <w:rFonts w:asciiTheme="minorHAnsi" w:eastAsiaTheme="minorEastAsia" w:hAnsiTheme="minorHAnsi" w:cstheme="minorBidi"/>
              <w:kern w:val="2"/>
              <w:sz w:val="24"/>
              <w:szCs w:val="24"/>
              <w14:ligatures w14:val="standardContextual"/>
            </w:rPr>
          </w:pPr>
          <w:hyperlink w:anchor="_Toc206422533" w:history="1">
            <w:r w:rsidRPr="002250FC">
              <w:rPr>
                <w:rStyle w:val="Hyperlink"/>
              </w:rPr>
              <w:t>Other specific conduct</w:t>
            </w:r>
            <w:r>
              <w:rPr>
                <w:webHidden/>
              </w:rPr>
              <w:tab/>
            </w:r>
            <w:r>
              <w:rPr>
                <w:webHidden/>
              </w:rPr>
              <w:fldChar w:fldCharType="begin"/>
            </w:r>
            <w:r>
              <w:rPr>
                <w:webHidden/>
              </w:rPr>
              <w:instrText xml:space="preserve"> PAGEREF _Toc206422533 \h </w:instrText>
            </w:r>
            <w:r>
              <w:rPr>
                <w:webHidden/>
              </w:rPr>
            </w:r>
            <w:r>
              <w:rPr>
                <w:webHidden/>
              </w:rPr>
              <w:fldChar w:fldCharType="separate"/>
            </w:r>
            <w:r w:rsidR="008E7785">
              <w:rPr>
                <w:webHidden/>
              </w:rPr>
              <w:t>43</w:t>
            </w:r>
            <w:r>
              <w:rPr>
                <w:webHidden/>
              </w:rPr>
              <w:fldChar w:fldCharType="end"/>
            </w:r>
          </w:hyperlink>
        </w:p>
        <w:p w14:paraId="24C304DC" w14:textId="22B814B5" w:rsidR="0011326C" w:rsidRDefault="0011326C">
          <w:pPr>
            <w:pStyle w:val="TOC3"/>
            <w:rPr>
              <w:rFonts w:asciiTheme="minorHAnsi" w:eastAsiaTheme="minorEastAsia" w:hAnsiTheme="minorHAnsi" w:cstheme="minorBidi"/>
              <w:kern w:val="2"/>
              <w:sz w:val="24"/>
              <w:szCs w:val="24"/>
              <w14:ligatures w14:val="standardContextual"/>
            </w:rPr>
          </w:pPr>
          <w:hyperlink w:anchor="_Toc206422534" w:history="1">
            <w:r w:rsidRPr="002250FC">
              <w:rPr>
                <w:rStyle w:val="Hyperlink"/>
              </w:rPr>
              <w:t>Option 4: Regulation impact summary</w:t>
            </w:r>
            <w:r>
              <w:rPr>
                <w:webHidden/>
              </w:rPr>
              <w:tab/>
            </w:r>
            <w:r>
              <w:rPr>
                <w:webHidden/>
              </w:rPr>
              <w:fldChar w:fldCharType="begin"/>
            </w:r>
            <w:r>
              <w:rPr>
                <w:webHidden/>
              </w:rPr>
              <w:instrText xml:space="preserve"> PAGEREF _Toc206422534 \h </w:instrText>
            </w:r>
            <w:r>
              <w:rPr>
                <w:webHidden/>
              </w:rPr>
            </w:r>
            <w:r>
              <w:rPr>
                <w:webHidden/>
              </w:rPr>
              <w:fldChar w:fldCharType="separate"/>
            </w:r>
            <w:r w:rsidR="008E7785">
              <w:rPr>
                <w:webHidden/>
              </w:rPr>
              <w:t>45</w:t>
            </w:r>
            <w:r>
              <w:rPr>
                <w:webHidden/>
              </w:rPr>
              <w:fldChar w:fldCharType="end"/>
            </w:r>
          </w:hyperlink>
        </w:p>
        <w:p w14:paraId="689E38B9" w14:textId="7ADCB98E"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5" w:history="1">
            <w:r w:rsidRPr="002250FC">
              <w:rPr>
                <w:rStyle w:val="Hyperlink"/>
              </w:rPr>
              <w:t>Recommended Policy Option</w:t>
            </w:r>
            <w:r>
              <w:rPr>
                <w:webHidden/>
              </w:rPr>
              <w:tab/>
            </w:r>
            <w:r>
              <w:rPr>
                <w:webHidden/>
              </w:rPr>
              <w:fldChar w:fldCharType="begin"/>
            </w:r>
            <w:r>
              <w:rPr>
                <w:webHidden/>
              </w:rPr>
              <w:instrText xml:space="preserve"> PAGEREF _Toc206422535 \h </w:instrText>
            </w:r>
            <w:r>
              <w:rPr>
                <w:webHidden/>
              </w:rPr>
            </w:r>
            <w:r>
              <w:rPr>
                <w:webHidden/>
              </w:rPr>
              <w:fldChar w:fldCharType="separate"/>
            </w:r>
            <w:r w:rsidR="008E7785">
              <w:rPr>
                <w:webHidden/>
              </w:rPr>
              <w:t>46</w:t>
            </w:r>
            <w:r>
              <w:rPr>
                <w:webHidden/>
              </w:rPr>
              <w:fldChar w:fldCharType="end"/>
            </w:r>
          </w:hyperlink>
        </w:p>
        <w:p w14:paraId="18F2F204" w14:textId="7E02DA9C" w:rsidR="0011326C" w:rsidRDefault="0011326C">
          <w:pPr>
            <w:pStyle w:val="TOC3"/>
            <w:rPr>
              <w:rFonts w:asciiTheme="minorHAnsi" w:eastAsiaTheme="minorEastAsia" w:hAnsiTheme="minorHAnsi" w:cstheme="minorBidi"/>
              <w:kern w:val="2"/>
              <w:sz w:val="24"/>
              <w:szCs w:val="24"/>
              <w14:ligatures w14:val="standardContextual"/>
            </w:rPr>
          </w:pPr>
          <w:hyperlink w:anchor="_Toc206422536" w:history="1">
            <w:r w:rsidRPr="002250FC">
              <w:rPr>
                <w:rStyle w:val="Hyperlink"/>
              </w:rPr>
              <w:t>Implementation of option 4</w:t>
            </w:r>
            <w:r>
              <w:rPr>
                <w:webHidden/>
              </w:rPr>
              <w:tab/>
            </w:r>
            <w:r>
              <w:rPr>
                <w:webHidden/>
              </w:rPr>
              <w:fldChar w:fldCharType="begin"/>
            </w:r>
            <w:r>
              <w:rPr>
                <w:webHidden/>
              </w:rPr>
              <w:instrText xml:space="preserve"> PAGEREF _Toc206422536 \h </w:instrText>
            </w:r>
            <w:r>
              <w:rPr>
                <w:webHidden/>
              </w:rPr>
            </w:r>
            <w:r>
              <w:rPr>
                <w:webHidden/>
              </w:rPr>
              <w:fldChar w:fldCharType="separate"/>
            </w:r>
            <w:r w:rsidR="008E7785">
              <w:rPr>
                <w:webHidden/>
              </w:rPr>
              <w:t>48</w:t>
            </w:r>
            <w:r>
              <w:rPr>
                <w:webHidden/>
              </w:rPr>
              <w:fldChar w:fldCharType="end"/>
            </w:r>
          </w:hyperlink>
        </w:p>
        <w:p w14:paraId="3B3B5101" w14:textId="0DA6A62B" w:rsidR="0011326C" w:rsidRDefault="0011326C">
          <w:pPr>
            <w:pStyle w:val="TOC3"/>
            <w:rPr>
              <w:rFonts w:asciiTheme="minorHAnsi" w:eastAsiaTheme="minorEastAsia" w:hAnsiTheme="minorHAnsi" w:cstheme="minorBidi"/>
              <w:kern w:val="2"/>
              <w:sz w:val="24"/>
              <w:szCs w:val="24"/>
              <w14:ligatures w14:val="standardContextual"/>
            </w:rPr>
          </w:pPr>
          <w:hyperlink w:anchor="_Toc206422537" w:history="1">
            <w:r w:rsidRPr="002250FC">
              <w:rPr>
                <w:rStyle w:val="Hyperlink"/>
              </w:rPr>
              <w:t>Enforcement tools and penalties</w:t>
            </w:r>
            <w:r>
              <w:rPr>
                <w:webHidden/>
              </w:rPr>
              <w:tab/>
            </w:r>
            <w:r>
              <w:rPr>
                <w:webHidden/>
              </w:rPr>
              <w:fldChar w:fldCharType="begin"/>
            </w:r>
            <w:r>
              <w:rPr>
                <w:webHidden/>
              </w:rPr>
              <w:instrText xml:space="preserve"> PAGEREF _Toc206422537 \h </w:instrText>
            </w:r>
            <w:r>
              <w:rPr>
                <w:webHidden/>
              </w:rPr>
            </w:r>
            <w:r>
              <w:rPr>
                <w:webHidden/>
              </w:rPr>
              <w:fldChar w:fldCharType="separate"/>
            </w:r>
            <w:r w:rsidR="008E7785">
              <w:rPr>
                <w:webHidden/>
              </w:rPr>
              <w:t>49</w:t>
            </w:r>
            <w:r>
              <w:rPr>
                <w:webHidden/>
              </w:rPr>
              <w:fldChar w:fldCharType="end"/>
            </w:r>
          </w:hyperlink>
        </w:p>
        <w:p w14:paraId="6D9F6D20" w14:textId="644AE7D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8" w:history="1">
            <w:r w:rsidRPr="002250FC">
              <w:rPr>
                <w:rStyle w:val="Hyperlink"/>
              </w:rPr>
              <w:t>Evaluation</w:t>
            </w:r>
            <w:r>
              <w:rPr>
                <w:webHidden/>
              </w:rPr>
              <w:tab/>
            </w:r>
            <w:r>
              <w:rPr>
                <w:webHidden/>
              </w:rPr>
              <w:fldChar w:fldCharType="begin"/>
            </w:r>
            <w:r>
              <w:rPr>
                <w:webHidden/>
              </w:rPr>
              <w:instrText xml:space="preserve"> PAGEREF _Toc206422538 \h </w:instrText>
            </w:r>
            <w:r>
              <w:rPr>
                <w:webHidden/>
              </w:rPr>
            </w:r>
            <w:r>
              <w:rPr>
                <w:webHidden/>
              </w:rPr>
              <w:fldChar w:fldCharType="separate"/>
            </w:r>
            <w:r w:rsidR="008E7785">
              <w:rPr>
                <w:webHidden/>
              </w:rPr>
              <w:t>51</w:t>
            </w:r>
            <w:r>
              <w:rPr>
                <w:webHidden/>
              </w:rPr>
              <w:fldChar w:fldCharType="end"/>
            </w:r>
          </w:hyperlink>
        </w:p>
        <w:p w14:paraId="182A55B2" w14:textId="19A58C08"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39" w:history="1">
            <w:r w:rsidRPr="002250FC">
              <w:rPr>
                <w:rStyle w:val="Hyperlink"/>
              </w:rPr>
              <w:t>Appendix A – existing relevant ACL protections</w:t>
            </w:r>
            <w:r>
              <w:rPr>
                <w:webHidden/>
              </w:rPr>
              <w:tab/>
            </w:r>
            <w:r>
              <w:rPr>
                <w:webHidden/>
              </w:rPr>
              <w:fldChar w:fldCharType="begin"/>
            </w:r>
            <w:r>
              <w:rPr>
                <w:webHidden/>
              </w:rPr>
              <w:instrText xml:space="preserve"> PAGEREF _Toc206422539 \h </w:instrText>
            </w:r>
            <w:r>
              <w:rPr>
                <w:webHidden/>
              </w:rPr>
            </w:r>
            <w:r>
              <w:rPr>
                <w:webHidden/>
              </w:rPr>
              <w:fldChar w:fldCharType="separate"/>
            </w:r>
            <w:r w:rsidR="008E7785">
              <w:rPr>
                <w:webHidden/>
              </w:rPr>
              <w:t>53</w:t>
            </w:r>
            <w:r>
              <w:rPr>
                <w:webHidden/>
              </w:rPr>
              <w:fldChar w:fldCharType="end"/>
            </w:r>
          </w:hyperlink>
        </w:p>
        <w:p w14:paraId="2B2644E3" w14:textId="509A04A4" w:rsidR="0011326C" w:rsidRDefault="0011326C">
          <w:pPr>
            <w:pStyle w:val="TOC3"/>
            <w:rPr>
              <w:rFonts w:asciiTheme="minorHAnsi" w:eastAsiaTheme="minorEastAsia" w:hAnsiTheme="minorHAnsi" w:cstheme="minorBidi"/>
              <w:kern w:val="2"/>
              <w:sz w:val="24"/>
              <w:szCs w:val="24"/>
              <w14:ligatures w14:val="standardContextual"/>
            </w:rPr>
          </w:pPr>
          <w:hyperlink w:anchor="_Toc206422540" w:history="1">
            <w:r w:rsidRPr="002250FC">
              <w:rPr>
                <w:rStyle w:val="Hyperlink"/>
              </w:rPr>
              <w:t>Misleading or deceptive conduct</w:t>
            </w:r>
            <w:r>
              <w:rPr>
                <w:webHidden/>
              </w:rPr>
              <w:tab/>
            </w:r>
            <w:r>
              <w:rPr>
                <w:webHidden/>
              </w:rPr>
              <w:fldChar w:fldCharType="begin"/>
            </w:r>
            <w:r>
              <w:rPr>
                <w:webHidden/>
              </w:rPr>
              <w:instrText xml:space="preserve"> PAGEREF _Toc206422540 \h </w:instrText>
            </w:r>
            <w:r>
              <w:rPr>
                <w:webHidden/>
              </w:rPr>
            </w:r>
            <w:r>
              <w:rPr>
                <w:webHidden/>
              </w:rPr>
              <w:fldChar w:fldCharType="separate"/>
            </w:r>
            <w:r w:rsidR="008E7785">
              <w:rPr>
                <w:webHidden/>
              </w:rPr>
              <w:t>53</w:t>
            </w:r>
            <w:r>
              <w:rPr>
                <w:webHidden/>
              </w:rPr>
              <w:fldChar w:fldCharType="end"/>
            </w:r>
          </w:hyperlink>
        </w:p>
        <w:p w14:paraId="762D8D48" w14:textId="00DE4AE0" w:rsidR="0011326C" w:rsidRDefault="0011326C">
          <w:pPr>
            <w:pStyle w:val="TOC3"/>
            <w:rPr>
              <w:rFonts w:asciiTheme="minorHAnsi" w:eastAsiaTheme="minorEastAsia" w:hAnsiTheme="minorHAnsi" w:cstheme="minorBidi"/>
              <w:kern w:val="2"/>
              <w:sz w:val="24"/>
              <w:szCs w:val="24"/>
              <w14:ligatures w14:val="standardContextual"/>
            </w:rPr>
          </w:pPr>
          <w:hyperlink w:anchor="_Toc206422541" w:history="1">
            <w:r w:rsidRPr="002250FC">
              <w:rPr>
                <w:rStyle w:val="Hyperlink"/>
              </w:rPr>
              <w:t>Unconscionable Conduct</w:t>
            </w:r>
            <w:r>
              <w:rPr>
                <w:webHidden/>
              </w:rPr>
              <w:tab/>
            </w:r>
            <w:r>
              <w:rPr>
                <w:webHidden/>
              </w:rPr>
              <w:fldChar w:fldCharType="begin"/>
            </w:r>
            <w:r>
              <w:rPr>
                <w:webHidden/>
              </w:rPr>
              <w:instrText xml:space="preserve"> PAGEREF _Toc206422541 \h </w:instrText>
            </w:r>
            <w:r>
              <w:rPr>
                <w:webHidden/>
              </w:rPr>
            </w:r>
            <w:r>
              <w:rPr>
                <w:webHidden/>
              </w:rPr>
              <w:fldChar w:fldCharType="separate"/>
            </w:r>
            <w:r w:rsidR="008E7785">
              <w:rPr>
                <w:webHidden/>
              </w:rPr>
              <w:t>53</w:t>
            </w:r>
            <w:r>
              <w:rPr>
                <w:webHidden/>
              </w:rPr>
              <w:fldChar w:fldCharType="end"/>
            </w:r>
          </w:hyperlink>
        </w:p>
        <w:p w14:paraId="4C91F4AC" w14:textId="5724EE90" w:rsidR="0011326C" w:rsidRDefault="0011326C">
          <w:pPr>
            <w:pStyle w:val="TOC3"/>
            <w:rPr>
              <w:rFonts w:asciiTheme="minorHAnsi" w:eastAsiaTheme="minorEastAsia" w:hAnsiTheme="minorHAnsi" w:cstheme="minorBidi"/>
              <w:kern w:val="2"/>
              <w:sz w:val="24"/>
              <w:szCs w:val="24"/>
              <w14:ligatures w14:val="standardContextual"/>
            </w:rPr>
          </w:pPr>
          <w:hyperlink w:anchor="_Toc206422542" w:history="1">
            <w:r w:rsidRPr="002250FC">
              <w:rPr>
                <w:rStyle w:val="Hyperlink"/>
              </w:rPr>
              <w:t>Unfair contract terms</w:t>
            </w:r>
            <w:r>
              <w:rPr>
                <w:webHidden/>
              </w:rPr>
              <w:tab/>
            </w:r>
            <w:r>
              <w:rPr>
                <w:webHidden/>
              </w:rPr>
              <w:fldChar w:fldCharType="begin"/>
            </w:r>
            <w:r>
              <w:rPr>
                <w:webHidden/>
              </w:rPr>
              <w:instrText xml:space="preserve"> PAGEREF _Toc206422542 \h </w:instrText>
            </w:r>
            <w:r>
              <w:rPr>
                <w:webHidden/>
              </w:rPr>
            </w:r>
            <w:r>
              <w:rPr>
                <w:webHidden/>
              </w:rPr>
              <w:fldChar w:fldCharType="separate"/>
            </w:r>
            <w:r w:rsidR="008E7785">
              <w:rPr>
                <w:webHidden/>
              </w:rPr>
              <w:t>54</w:t>
            </w:r>
            <w:r>
              <w:rPr>
                <w:webHidden/>
              </w:rPr>
              <w:fldChar w:fldCharType="end"/>
            </w:r>
          </w:hyperlink>
        </w:p>
        <w:p w14:paraId="16644B85" w14:textId="544181FA" w:rsidR="0011326C" w:rsidRDefault="0011326C">
          <w:pPr>
            <w:pStyle w:val="TOC3"/>
            <w:rPr>
              <w:rFonts w:asciiTheme="minorHAnsi" w:eastAsiaTheme="minorEastAsia" w:hAnsiTheme="minorHAnsi" w:cstheme="minorBidi"/>
              <w:kern w:val="2"/>
              <w:sz w:val="24"/>
              <w:szCs w:val="24"/>
              <w14:ligatures w14:val="standardContextual"/>
            </w:rPr>
          </w:pPr>
          <w:hyperlink w:anchor="_Toc206422543" w:history="1">
            <w:r w:rsidRPr="002250FC">
              <w:rPr>
                <w:rStyle w:val="Hyperlink"/>
              </w:rPr>
              <w:t>Specific Prohibited Practices</w:t>
            </w:r>
            <w:r>
              <w:rPr>
                <w:webHidden/>
              </w:rPr>
              <w:tab/>
            </w:r>
            <w:r>
              <w:rPr>
                <w:webHidden/>
              </w:rPr>
              <w:fldChar w:fldCharType="begin"/>
            </w:r>
            <w:r>
              <w:rPr>
                <w:webHidden/>
              </w:rPr>
              <w:instrText xml:space="preserve"> PAGEREF _Toc206422543 \h </w:instrText>
            </w:r>
            <w:r>
              <w:rPr>
                <w:webHidden/>
              </w:rPr>
            </w:r>
            <w:r>
              <w:rPr>
                <w:webHidden/>
              </w:rPr>
              <w:fldChar w:fldCharType="separate"/>
            </w:r>
            <w:r w:rsidR="008E7785">
              <w:rPr>
                <w:webHidden/>
              </w:rPr>
              <w:t>54</w:t>
            </w:r>
            <w:r>
              <w:rPr>
                <w:webHidden/>
              </w:rPr>
              <w:fldChar w:fldCharType="end"/>
            </w:r>
          </w:hyperlink>
        </w:p>
        <w:p w14:paraId="20B1E969" w14:textId="396B21E0" w:rsidR="0011326C" w:rsidRDefault="0011326C">
          <w:pPr>
            <w:pStyle w:val="TOC3"/>
            <w:rPr>
              <w:rFonts w:asciiTheme="minorHAnsi" w:eastAsiaTheme="minorEastAsia" w:hAnsiTheme="minorHAnsi" w:cstheme="minorBidi"/>
              <w:kern w:val="2"/>
              <w:sz w:val="24"/>
              <w:szCs w:val="24"/>
              <w14:ligatures w14:val="standardContextual"/>
            </w:rPr>
          </w:pPr>
          <w:hyperlink w:anchor="_Toc206422544" w:history="1">
            <w:r w:rsidRPr="002250FC">
              <w:rPr>
                <w:rStyle w:val="Hyperlink"/>
              </w:rPr>
              <w:t>Bait advertising</w:t>
            </w:r>
            <w:r>
              <w:rPr>
                <w:webHidden/>
              </w:rPr>
              <w:tab/>
            </w:r>
            <w:r>
              <w:rPr>
                <w:webHidden/>
              </w:rPr>
              <w:fldChar w:fldCharType="begin"/>
            </w:r>
            <w:r>
              <w:rPr>
                <w:webHidden/>
              </w:rPr>
              <w:instrText xml:space="preserve"> PAGEREF _Toc206422544 \h </w:instrText>
            </w:r>
            <w:r>
              <w:rPr>
                <w:webHidden/>
              </w:rPr>
            </w:r>
            <w:r>
              <w:rPr>
                <w:webHidden/>
              </w:rPr>
              <w:fldChar w:fldCharType="separate"/>
            </w:r>
            <w:r w:rsidR="008E7785">
              <w:rPr>
                <w:webHidden/>
              </w:rPr>
              <w:t>54</w:t>
            </w:r>
            <w:r>
              <w:rPr>
                <w:webHidden/>
              </w:rPr>
              <w:fldChar w:fldCharType="end"/>
            </w:r>
          </w:hyperlink>
        </w:p>
        <w:p w14:paraId="64542E8B" w14:textId="27D5741B" w:rsidR="0011326C" w:rsidRDefault="0011326C">
          <w:pPr>
            <w:pStyle w:val="TOC3"/>
            <w:rPr>
              <w:rFonts w:asciiTheme="minorHAnsi" w:eastAsiaTheme="minorEastAsia" w:hAnsiTheme="minorHAnsi" w:cstheme="minorBidi"/>
              <w:kern w:val="2"/>
              <w:sz w:val="24"/>
              <w:szCs w:val="24"/>
              <w14:ligatures w14:val="standardContextual"/>
            </w:rPr>
          </w:pPr>
          <w:hyperlink w:anchor="_Toc206422545" w:history="1">
            <w:r w:rsidRPr="002250FC">
              <w:rPr>
                <w:rStyle w:val="Hyperlink"/>
              </w:rPr>
              <w:t>Provisions relevant to drip pricing</w:t>
            </w:r>
            <w:r>
              <w:rPr>
                <w:webHidden/>
              </w:rPr>
              <w:tab/>
            </w:r>
            <w:r>
              <w:rPr>
                <w:webHidden/>
              </w:rPr>
              <w:fldChar w:fldCharType="begin"/>
            </w:r>
            <w:r>
              <w:rPr>
                <w:webHidden/>
              </w:rPr>
              <w:instrText xml:space="preserve"> PAGEREF _Toc206422545 \h </w:instrText>
            </w:r>
            <w:r>
              <w:rPr>
                <w:webHidden/>
              </w:rPr>
            </w:r>
            <w:r>
              <w:rPr>
                <w:webHidden/>
              </w:rPr>
              <w:fldChar w:fldCharType="separate"/>
            </w:r>
            <w:r w:rsidR="008E7785">
              <w:rPr>
                <w:webHidden/>
              </w:rPr>
              <w:t>54</w:t>
            </w:r>
            <w:r>
              <w:rPr>
                <w:webHidden/>
              </w:rPr>
              <w:fldChar w:fldCharType="end"/>
            </w:r>
          </w:hyperlink>
        </w:p>
        <w:p w14:paraId="0C8A7CB1" w14:textId="59555011" w:rsidR="0011326C" w:rsidRDefault="0011326C">
          <w:pPr>
            <w:pStyle w:val="TOC1"/>
            <w:rPr>
              <w:rFonts w:asciiTheme="minorHAnsi" w:eastAsiaTheme="minorEastAsia" w:hAnsiTheme="minorHAnsi" w:cstheme="minorBidi"/>
              <w:b w:val="0"/>
              <w:color w:val="auto"/>
              <w:kern w:val="2"/>
              <w:sz w:val="24"/>
              <w:szCs w:val="24"/>
              <w14:ligatures w14:val="standardContextual"/>
            </w:rPr>
          </w:pPr>
          <w:hyperlink w:anchor="_Toc206422546" w:history="1">
            <w:r w:rsidRPr="002250FC">
              <w:rPr>
                <w:rStyle w:val="Hyperlink"/>
              </w:rPr>
              <w:t>Appendix B – regulatory burden estimate</w:t>
            </w:r>
            <w:r>
              <w:rPr>
                <w:webHidden/>
              </w:rPr>
              <w:tab/>
            </w:r>
            <w:r>
              <w:rPr>
                <w:webHidden/>
              </w:rPr>
              <w:fldChar w:fldCharType="begin"/>
            </w:r>
            <w:r>
              <w:rPr>
                <w:webHidden/>
              </w:rPr>
              <w:instrText xml:space="preserve"> PAGEREF _Toc206422546 \h </w:instrText>
            </w:r>
            <w:r>
              <w:rPr>
                <w:webHidden/>
              </w:rPr>
            </w:r>
            <w:r>
              <w:rPr>
                <w:webHidden/>
              </w:rPr>
              <w:fldChar w:fldCharType="separate"/>
            </w:r>
            <w:r w:rsidR="008E7785">
              <w:rPr>
                <w:webHidden/>
              </w:rPr>
              <w:t>55</w:t>
            </w:r>
            <w:r>
              <w:rPr>
                <w:webHidden/>
              </w:rPr>
              <w:fldChar w:fldCharType="end"/>
            </w:r>
          </w:hyperlink>
        </w:p>
        <w:p w14:paraId="37DE3EE2" w14:textId="07D85482"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47" w:history="1">
            <w:r w:rsidRPr="002250FC">
              <w:rPr>
                <w:rStyle w:val="Hyperlink"/>
              </w:rPr>
              <w:t>Option 3 - General Prohibition</w:t>
            </w:r>
            <w:r>
              <w:rPr>
                <w:webHidden/>
              </w:rPr>
              <w:tab/>
            </w:r>
            <w:r>
              <w:rPr>
                <w:webHidden/>
              </w:rPr>
              <w:fldChar w:fldCharType="begin"/>
            </w:r>
            <w:r>
              <w:rPr>
                <w:webHidden/>
              </w:rPr>
              <w:instrText xml:space="preserve"> PAGEREF _Toc206422547 \h </w:instrText>
            </w:r>
            <w:r>
              <w:rPr>
                <w:webHidden/>
              </w:rPr>
            </w:r>
            <w:r>
              <w:rPr>
                <w:webHidden/>
              </w:rPr>
              <w:fldChar w:fldCharType="separate"/>
            </w:r>
            <w:r w:rsidR="008E7785">
              <w:rPr>
                <w:webHidden/>
              </w:rPr>
              <w:t>55</w:t>
            </w:r>
            <w:r>
              <w:rPr>
                <w:webHidden/>
              </w:rPr>
              <w:fldChar w:fldCharType="end"/>
            </w:r>
          </w:hyperlink>
        </w:p>
        <w:p w14:paraId="641F40DC" w14:textId="4A1417D6" w:rsidR="0011326C" w:rsidRDefault="0011326C">
          <w:pPr>
            <w:pStyle w:val="TOC2"/>
            <w:rPr>
              <w:rFonts w:asciiTheme="minorHAnsi" w:eastAsiaTheme="minorEastAsia" w:hAnsiTheme="minorHAnsi" w:cstheme="minorBidi"/>
              <w:color w:val="auto"/>
              <w:kern w:val="2"/>
              <w:sz w:val="24"/>
              <w:szCs w:val="24"/>
              <w14:ligatures w14:val="standardContextual"/>
            </w:rPr>
          </w:pPr>
          <w:hyperlink w:anchor="_Toc206422548" w:history="1">
            <w:r w:rsidRPr="002250FC">
              <w:rPr>
                <w:rStyle w:val="Hyperlink"/>
              </w:rPr>
              <w:t>Option 4 – Combined Specific and General Prohibition</w:t>
            </w:r>
            <w:r>
              <w:rPr>
                <w:webHidden/>
              </w:rPr>
              <w:tab/>
            </w:r>
            <w:r>
              <w:rPr>
                <w:webHidden/>
              </w:rPr>
              <w:fldChar w:fldCharType="begin"/>
            </w:r>
            <w:r>
              <w:rPr>
                <w:webHidden/>
              </w:rPr>
              <w:instrText xml:space="preserve"> PAGEREF _Toc206422548 \h </w:instrText>
            </w:r>
            <w:r>
              <w:rPr>
                <w:webHidden/>
              </w:rPr>
            </w:r>
            <w:r>
              <w:rPr>
                <w:webHidden/>
              </w:rPr>
              <w:fldChar w:fldCharType="separate"/>
            </w:r>
            <w:r w:rsidR="008E7785">
              <w:rPr>
                <w:webHidden/>
              </w:rPr>
              <w:t>56</w:t>
            </w:r>
            <w:r>
              <w:rPr>
                <w:webHidden/>
              </w:rPr>
              <w:fldChar w:fldCharType="end"/>
            </w:r>
          </w:hyperlink>
        </w:p>
        <w:p w14:paraId="1E08332E" w14:textId="4B6E26F1" w:rsidR="0011326C" w:rsidRDefault="0011326C">
          <w:pPr>
            <w:pStyle w:val="TOC3"/>
            <w:rPr>
              <w:rFonts w:asciiTheme="minorHAnsi" w:eastAsiaTheme="minorEastAsia" w:hAnsiTheme="minorHAnsi" w:cstheme="minorBidi"/>
              <w:kern w:val="2"/>
              <w:sz w:val="24"/>
              <w:szCs w:val="24"/>
              <w14:ligatures w14:val="standardContextual"/>
            </w:rPr>
          </w:pPr>
          <w:hyperlink w:anchor="_Toc206422549" w:history="1">
            <w:r w:rsidRPr="002250FC">
              <w:rPr>
                <w:rStyle w:val="Hyperlink"/>
              </w:rPr>
              <w:t>Subscription Proposal</w:t>
            </w:r>
            <w:r>
              <w:rPr>
                <w:webHidden/>
              </w:rPr>
              <w:tab/>
            </w:r>
            <w:r>
              <w:rPr>
                <w:webHidden/>
              </w:rPr>
              <w:fldChar w:fldCharType="begin"/>
            </w:r>
            <w:r>
              <w:rPr>
                <w:webHidden/>
              </w:rPr>
              <w:instrText xml:space="preserve"> PAGEREF _Toc206422549 \h </w:instrText>
            </w:r>
            <w:r>
              <w:rPr>
                <w:webHidden/>
              </w:rPr>
            </w:r>
            <w:r>
              <w:rPr>
                <w:webHidden/>
              </w:rPr>
              <w:fldChar w:fldCharType="separate"/>
            </w:r>
            <w:r w:rsidR="008E7785">
              <w:rPr>
                <w:webHidden/>
              </w:rPr>
              <w:t>56</w:t>
            </w:r>
            <w:r>
              <w:rPr>
                <w:webHidden/>
              </w:rPr>
              <w:fldChar w:fldCharType="end"/>
            </w:r>
          </w:hyperlink>
        </w:p>
        <w:p w14:paraId="3BA03DD5" w14:textId="2578663F" w:rsidR="0011326C" w:rsidRDefault="0011326C">
          <w:pPr>
            <w:pStyle w:val="TOC3"/>
            <w:rPr>
              <w:rFonts w:asciiTheme="minorHAnsi" w:eastAsiaTheme="minorEastAsia" w:hAnsiTheme="minorHAnsi" w:cstheme="minorBidi"/>
              <w:kern w:val="2"/>
              <w:sz w:val="24"/>
              <w:szCs w:val="24"/>
              <w14:ligatures w14:val="standardContextual"/>
            </w:rPr>
          </w:pPr>
          <w:hyperlink w:anchor="_Toc206422550" w:history="1">
            <w:r w:rsidRPr="002250FC">
              <w:rPr>
                <w:rStyle w:val="Hyperlink"/>
                <w:rFonts w:eastAsia="Calibri Light"/>
              </w:rPr>
              <w:t>Drip Pricing Proposal</w:t>
            </w:r>
            <w:r>
              <w:rPr>
                <w:webHidden/>
              </w:rPr>
              <w:tab/>
            </w:r>
            <w:r>
              <w:rPr>
                <w:webHidden/>
              </w:rPr>
              <w:fldChar w:fldCharType="begin"/>
            </w:r>
            <w:r>
              <w:rPr>
                <w:webHidden/>
              </w:rPr>
              <w:instrText xml:space="preserve"> PAGEREF _Toc206422550 \h </w:instrText>
            </w:r>
            <w:r>
              <w:rPr>
                <w:webHidden/>
              </w:rPr>
            </w:r>
            <w:r>
              <w:rPr>
                <w:webHidden/>
              </w:rPr>
              <w:fldChar w:fldCharType="separate"/>
            </w:r>
            <w:r w:rsidR="008E7785">
              <w:rPr>
                <w:webHidden/>
              </w:rPr>
              <w:t>62</w:t>
            </w:r>
            <w:r>
              <w:rPr>
                <w:webHidden/>
              </w:rPr>
              <w:fldChar w:fldCharType="end"/>
            </w:r>
          </w:hyperlink>
        </w:p>
        <w:p w14:paraId="3F01E845" w14:textId="1C7C228F" w:rsidR="00810E8C" w:rsidRDefault="00810E8C">
          <w:r>
            <w:rPr>
              <w:b/>
              <w:bCs/>
              <w:noProof/>
            </w:rPr>
            <w:fldChar w:fldCharType="end"/>
          </w:r>
        </w:p>
      </w:sdtContent>
    </w:sdt>
    <w:p w14:paraId="3573B549" w14:textId="77777777" w:rsidR="003E0B79" w:rsidRDefault="003E0B79" w:rsidP="00810E8C">
      <w:pPr>
        <w:sectPr w:rsidR="003E0B79" w:rsidSect="00CE4FB7">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20"/>
          <w:docGrid w:linePitch="299"/>
        </w:sectPr>
      </w:pPr>
    </w:p>
    <w:p w14:paraId="751D7CF2" w14:textId="77777777" w:rsidR="00406CD0" w:rsidRDefault="00406CD0" w:rsidP="00406CD0">
      <w:pPr>
        <w:pStyle w:val="Heading1"/>
      </w:pPr>
      <w:bookmarkStart w:id="0" w:name="_Toc202971501"/>
      <w:bookmarkStart w:id="1" w:name="_Toc206422504"/>
      <w:r>
        <w:lastRenderedPageBreak/>
        <w:t>Executive Summary</w:t>
      </w:r>
      <w:bookmarkEnd w:id="0"/>
      <w:bookmarkEnd w:id="1"/>
    </w:p>
    <w:p w14:paraId="074F4B1A" w14:textId="2E881686" w:rsidR="00406CD0" w:rsidRDefault="00406CD0" w:rsidP="00406CD0">
      <w:r>
        <w:t>The Commonwealth Government, in agreement with Australian Consumer Ministers, is pursuing reforms to address unfair trading practices. Public consultations in August 2023 and November 2024 identified examples of unfair business practices causing harm that are not currently prohibited</w:t>
      </w:r>
      <w:r w:rsidR="00D752BA">
        <w:t xml:space="preserve"> </w:t>
      </w:r>
      <w:r w:rsidR="000C5348">
        <w:t xml:space="preserve">or adequately addressed </w:t>
      </w:r>
      <w:r>
        <w:t xml:space="preserve">under the Australian Consumer Law (ACL). These examples include, but are not limited to, manipulative or distortive conduct particularly in an online context, </w:t>
      </w:r>
      <w:r w:rsidR="00D93B67">
        <w:t xml:space="preserve">unfair </w:t>
      </w:r>
      <w:r>
        <w:t>subscription</w:t>
      </w:r>
      <w:r w:rsidR="006E7044">
        <w:t xml:space="preserve"> </w:t>
      </w:r>
      <w:r w:rsidR="00193FBA">
        <w:t xml:space="preserve">practices </w:t>
      </w:r>
      <w:r>
        <w:t>and drip pricing</w:t>
      </w:r>
      <w:r w:rsidR="0CB6B315">
        <w:t xml:space="preserve"> practices</w:t>
      </w:r>
      <w:r>
        <w:t xml:space="preserve">. </w:t>
      </w:r>
    </w:p>
    <w:p w14:paraId="0800C93D" w14:textId="4EBA837F" w:rsidR="00406CD0" w:rsidRDefault="00406CD0" w:rsidP="00406CD0">
      <w:r>
        <w:t>Stakeholders noted that businesses are increasingly using manipulative or distortive practices that fall into gaps in the ACL to unfairly influence consumer behaviour or decision-making. These practices can occur in both offline and online settings, although stakeholders frequently cited business</w:t>
      </w:r>
      <w:r w:rsidR="00331B54">
        <w:t>es</w:t>
      </w:r>
      <w:r>
        <w:t xml:space="preserve">’ use of ‘dark patterns’ in </w:t>
      </w:r>
      <w:r w:rsidR="00DC7164">
        <w:t>some</w:t>
      </w:r>
      <w:r w:rsidR="005E2D21">
        <w:t xml:space="preserve"> digital interfaces</w:t>
      </w:r>
      <w:r>
        <w:t xml:space="preserve"> as a</w:t>
      </w:r>
      <w:r w:rsidR="0037502E">
        <w:t>n</w:t>
      </w:r>
      <w:r>
        <w:t xml:space="preserve"> example of unreasonable manipulation </w:t>
      </w:r>
      <w:r w:rsidR="007E7BFF">
        <w:t xml:space="preserve">that could </w:t>
      </w:r>
      <w:r>
        <w:t>caus</w:t>
      </w:r>
      <w:r w:rsidR="007E7BFF">
        <w:t>e</w:t>
      </w:r>
      <w:r>
        <w:t xml:space="preserve"> harm. </w:t>
      </w:r>
    </w:p>
    <w:p w14:paraId="2134E3C2" w14:textId="32234949" w:rsidR="00406CD0" w:rsidRDefault="00406CD0" w:rsidP="00406CD0">
      <w:r>
        <w:t>Stakeholders also raised concerns about</w:t>
      </w:r>
      <w:r w:rsidRPr="009A6B72">
        <w:t xml:space="preserve"> a range of subscription practices which can cause consumer</w:t>
      </w:r>
      <w:r>
        <w:t xml:space="preserve"> and small business</w:t>
      </w:r>
      <w:r w:rsidRPr="009A6B72">
        <w:t xml:space="preserve"> harm</w:t>
      </w:r>
      <w:r>
        <w:t>. These</w:t>
      </w:r>
      <w:r w:rsidRPr="009A6B72">
        <w:t xml:space="preserve"> </w:t>
      </w:r>
      <w:r>
        <w:t xml:space="preserve">include businesses not providing consumers with material information they need to make informed decisions about a subscription and practices which make cancelling a subscription difficult. Feedback was also provided by stakeholders on unfair drip pricing practices that </w:t>
      </w:r>
      <w:r w:rsidR="00E30346">
        <w:t xml:space="preserve">may not be adequately addressed by existing provisions of </w:t>
      </w:r>
      <w:r>
        <w:t>the ACL. The most cited example involves businesses disclosing late in a purchasing process</w:t>
      </w:r>
      <w:r w:rsidR="00AB07A1">
        <w:t xml:space="preserve"> any mandatory </w:t>
      </w:r>
      <w:r>
        <w:t>fees</w:t>
      </w:r>
      <w:r w:rsidR="00AB07A1">
        <w:t xml:space="preserve"> that are applied on a per transaction basis (‘per transaction’ fees).</w:t>
      </w:r>
      <w:r>
        <w:t xml:space="preserve"> </w:t>
      </w:r>
    </w:p>
    <w:p w14:paraId="05123E9B" w14:textId="65147553" w:rsidR="00406CD0" w:rsidRDefault="00406CD0" w:rsidP="00406CD0">
      <w:r>
        <w:t xml:space="preserve">The </w:t>
      </w:r>
      <w:r w:rsidR="009B6726">
        <w:t>G</w:t>
      </w:r>
      <w:r>
        <w:t>overnment considered 4 options to address unfair trading practices:</w:t>
      </w:r>
    </w:p>
    <w:p w14:paraId="27F86B78" w14:textId="77777777" w:rsidR="00406CD0" w:rsidRPr="00CF7728" w:rsidRDefault="00406CD0" w:rsidP="00406CD0">
      <w:pPr>
        <w:pStyle w:val="Bullet"/>
      </w:pPr>
      <w:r w:rsidRPr="00CF7728">
        <w:t xml:space="preserve">Option 1: Status quo (no change) </w:t>
      </w:r>
    </w:p>
    <w:p w14:paraId="003FA60D" w14:textId="77777777" w:rsidR="00406CD0" w:rsidRPr="00CF7728" w:rsidRDefault="00406CD0" w:rsidP="00406CD0">
      <w:pPr>
        <w:pStyle w:val="Bullet"/>
      </w:pPr>
      <w:r w:rsidRPr="00CF7728">
        <w:t>Option 2: Amend statutory unconscionable conduct (not progressed)</w:t>
      </w:r>
    </w:p>
    <w:p w14:paraId="24D1F0D4" w14:textId="77777777" w:rsidR="00406CD0" w:rsidRPr="00CF7728" w:rsidRDefault="00406CD0" w:rsidP="00406CD0">
      <w:pPr>
        <w:pStyle w:val="Bullet"/>
      </w:pPr>
      <w:r w:rsidRPr="00CF7728">
        <w:t xml:space="preserve">Option 3: Amend the ACL to introduce a general prohibition on unfair trading practices </w:t>
      </w:r>
    </w:p>
    <w:p w14:paraId="2510C006" w14:textId="77777777" w:rsidR="00406CD0" w:rsidRPr="00CF7728" w:rsidRDefault="00406CD0" w:rsidP="00406CD0">
      <w:pPr>
        <w:pStyle w:val="Bullet"/>
      </w:pPr>
      <w:r w:rsidRPr="00CF7728">
        <w:t>Option 4: Amend the ACL to introduce a combination of general and specific prohibitions on unfair trading practices.</w:t>
      </w:r>
    </w:p>
    <w:p w14:paraId="0EA3613A" w14:textId="7484529A" w:rsidR="00406CD0" w:rsidRDefault="00406CD0" w:rsidP="00406CD0">
      <w:r>
        <w:t xml:space="preserve">This </w:t>
      </w:r>
      <w:r w:rsidR="00687148">
        <w:t>Decision Regulation Impact Statement (RIS)</w:t>
      </w:r>
      <w:r>
        <w:t xml:space="preserve"> assesses the regulatory impact of the policy options with the exception of Option 2 (amend statutory unconscionable conduct) which was not progressed following the outcomes of, and feedback to, the </w:t>
      </w:r>
      <w:r w:rsidR="000D12A0">
        <w:t>August 2023</w:t>
      </w:r>
      <w:r>
        <w:t xml:space="preserve"> Consultation Regulation Impact Statement. </w:t>
      </w:r>
    </w:p>
    <w:p w14:paraId="2CD5A6A5" w14:textId="01CAEC75" w:rsidR="00406CD0" w:rsidRDefault="00406CD0" w:rsidP="00406CD0">
      <w:r>
        <w:t>Treasury analysed the proposals and feedback from stakeholders and recommends Option 4 as the preferred policy option. This option proposes the introduction of a general principles-based prohibition on unfair trading practice</w:t>
      </w:r>
      <w:r w:rsidR="00E13974">
        <w:t>s</w:t>
      </w:r>
      <w:r>
        <w:t xml:space="preserve"> into the ACL, and additional reforms to the ACL to address unfair subscription practices and drip pricing. </w:t>
      </w:r>
    </w:p>
    <w:p w14:paraId="1B66C0BD" w14:textId="7971C3D9" w:rsidR="00406CD0" w:rsidRDefault="00406CD0" w:rsidP="00406CD0">
      <w:r>
        <w:t>The proposed general prohibition would t</w:t>
      </w:r>
      <w:r w:rsidRPr="00F0453E">
        <w:t>arget unreasonable business conduct which manipulates or distorts a consumer’s behaviour and causes detriment</w:t>
      </w:r>
      <w:r w:rsidRPr="00DB1EDC">
        <w:t xml:space="preserve">. </w:t>
      </w:r>
      <w:r>
        <w:t>E</w:t>
      </w:r>
      <w:r w:rsidRPr="00997665">
        <w:t xml:space="preserve">xamples </w:t>
      </w:r>
      <w:r>
        <w:t xml:space="preserve">may </w:t>
      </w:r>
      <w:r w:rsidRPr="00997665">
        <w:t xml:space="preserve">include omitting key information or providing </w:t>
      </w:r>
      <w:r w:rsidR="009009EA">
        <w:t xml:space="preserve">overly </w:t>
      </w:r>
      <w:r w:rsidRPr="00997665">
        <w:t>complex disclosures to a customer</w:t>
      </w:r>
      <w:r w:rsidR="009009EA">
        <w:t xml:space="preserve"> that impedes their ability to make informed decisions</w:t>
      </w:r>
      <w:r w:rsidRPr="00997665">
        <w:t>, using high-pressure sales tactics</w:t>
      </w:r>
      <w:r w:rsidR="009009EA">
        <w:t xml:space="preserve"> that may not be outright misleading or unconscionable</w:t>
      </w:r>
      <w:r w:rsidRPr="00997665">
        <w:t xml:space="preserve">, and dissuading consumers from exercising their </w:t>
      </w:r>
      <w:r w:rsidR="009009EA">
        <w:t>contractual or other legal</w:t>
      </w:r>
      <w:r w:rsidRPr="00997665">
        <w:t xml:space="preserve"> rights. </w:t>
      </w:r>
      <w:r>
        <w:t xml:space="preserve">The proposed general prohibition </w:t>
      </w:r>
      <w:r w:rsidRPr="00997665">
        <w:t xml:space="preserve">also seeks to address </w:t>
      </w:r>
      <w:r>
        <w:t>‘</w:t>
      </w:r>
      <w:r w:rsidRPr="00997665">
        <w:t>dark patterns</w:t>
      </w:r>
      <w:r>
        <w:t>’</w:t>
      </w:r>
      <w:r w:rsidRPr="00997665">
        <w:t xml:space="preserve"> which manipulate or undermine consumers’ decisions </w:t>
      </w:r>
      <w:r w:rsidR="0073334C">
        <w:t>primarily</w:t>
      </w:r>
      <w:r w:rsidRPr="00997665">
        <w:t xml:space="preserve"> in digital interfaces. </w:t>
      </w:r>
    </w:p>
    <w:p w14:paraId="4FFCE05C" w14:textId="3E31CF8C" w:rsidR="00406CD0" w:rsidRDefault="00406CD0" w:rsidP="00406CD0">
      <w:r w:rsidRPr="009B7F1F">
        <w:lastRenderedPageBreak/>
        <w:t>The</w:t>
      </w:r>
      <w:r>
        <w:t xml:space="preserve"> proposed</w:t>
      </w:r>
      <w:r w:rsidRPr="009B7F1F">
        <w:t xml:space="preserve"> prohibition </w:t>
      </w:r>
      <w:r>
        <w:t>would be principles-based and is intended to be</w:t>
      </w:r>
      <w:r w:rsidRPr="009B7F1F">
        <w:t xml:space="preserve"> flexible to address new and emerging </w:t>
      </w:r>
      <w:r>
        <w:t>unfair trading practices that harm consumers. To</w:t>
      </w:r>
      <w:r w:rsidRPr="00F0453E">
        <w:t xml:space="preserve"> provide guidance on interpretation to businesses</w:t>
      </w:r>
      <w:r w:rsidR="00535DBF">
        <w:t xml:space="preserve">, </w:t>
      </w:r>
      <w:r w:rsidRPr="00F0453E">
        <w:t>regulators</w:t>
      </w:r>
      <w:r w:rsidR="00AA197F">
        <w:t xml:space="preserve"> and consumers</w:t>
      </w:r>
      <w:r>
        <w:t>, it is proposed that it be</w:t>
      </w:r>
      <w:r w:rsidRPr="00F0453E">
        <w:t xml:space="preserve"> accompanied by examples of conduct that </w:t>
      </w:r>
      <w:r>
        <w:t>may, depending on the circumstances, breach the general prohibition</w:t>
      </w:r>
      <w:r w:rsidRPr="00F0453E">
        <w:t>​.</w:t>
      </w:r>
    </w:p>
    <w:p w14:paraId="33381120" w14:textId="2E48EF9E" w:rsidR="00406CD0" w:rsidRPr="00CF7728" w:rsidRDefault="00406CD0" w:rsidP="00406CD0">
      <w:pPr>
        <w:rPr>
          <w:bCs/>
        </w:rPr>
      </w:pPr>
      <w:r>
        <w:t>The</w:t>
      </w:r>
      <w:r w:rsidR="003D46A3">
        <w:t xml:space="preserve"> unfair</w:t>
      </w:r>
      <w:r>
        <w:t xml:space="preserve"> subscription</w:t>
      </w:r>
      <w:r w:rsidR="00650CE2">
        <w:t xml:space="preserve"> </w:t>
      </w:r>
      <w:r w:rsidR="00105F6C">
        <w:t>practices</w:t>
      </w:r>
      <w:r>
        <w:t xml:space="preserve"> reform proposal would require businesses to prominently display</w:t>
      </w:r>
      <w:r w:rsidRPr="00B849B6">
        <w:t xml:space="preserve"> key information about a subscription at the point of sale</w:t>
      </w:r>
      <w:r>
        <w:t xml:space="preserve">, </w:t>
      </w:r>
      <w:r w:rsidRPr="00B849B6">
        <w:t>​notify consumers at key points in a subscription contract</w:t>
      </w:r>
      <w:r>
        <w:t xml:space="preserve"> and </w:t>
      </w:r>
      <w:r w:rsidRPr="00B849B6">
        <w:t>remove barriers to cancelling subscriptions.</w:t>
      </w:r>
      <w:r>
        <w:t xml:space="preserve"> </w:t>
      </w:r>
      <w:r w:rsidRPr="00446855">
        <w:rPr>
          <w:bCs/>
        </w:rPr>
        <w:t>Specific reform</w:t>
      </w:r>
      <w:r>
        <w:rPr>
          <w:bCs/>
        </w:rPr>
        <w:t xml:space="preserve"> is also proposed</w:t>
      </w:r>
      <w:r w:rsidRPr="00446855">
        <w:rPr>
          <w:bCs/>
        </w:rPr>
        <w:t xml:space="preserve"> to </w:t>
      </w:r>
      <w:r w:rsidR="00105F6C">
        <w:rPr>
          <w:bCs/>
        </w:rPr>
        <w:t>better</w:t>
      </w:r>
      <w:r w:rsidRPr="00446855">
        <w:rPr>
          <w:bCs/>
        </w:rPr>
        <w:t xml:space="preserve"> address </w:t>
      </w:r>
      <w:r w:rsidRPr="006F0003">
        <w:t>drip pricing practices</w:t>
      </w:r>
      <w:r>
        <w:t>, so that</w:t>
      </w:r>
      <w:r w:rsidRPr="00446855">
        <w:rPr>
          <w:bCs/>
        </w:rPr>
        <w:t xml:space="preserve"> businesses </w:t>
      </w:r>
      <w:r>
        <w:rPr>
          <w:bCs/>
        </w:rPr>
        <w:t xml:space="preserve">are required </w:t>
      </w:r>
      <w:r w:rsidRPr="00446855">
        <w:rPr>
          <w:bCs/>
        </w:rPr>
        <w:t xml:space="preserve">to disclose any mandatory per transaction fees </w:t>
      </w:r>
      <w:r>
        <w:t>prominently and upfront.</w:t>
      </w:r>
    </w:p>
    <w:p w14:paraId="08F5BB17" w14:textId="77777777" w:rsidR="00406CD0" w:rsidRDefault="00406CD0" w:rsidP="00406CD0">
      <w:r>
        <w:t xml:space="preserve">The following specific reform options were consulted on but do not form part of the policy proposal: </w:t>
      </w:r>
    </w:p>
    <w:p w14:paraId="56171940" w14:textId="77777777" w:rsidR="00406CD0" w:rsidRPr="00997CC7" w:rsidRDefault="00406CD0" w:rsidP="00406CD0">
      <w:pPr>
        <w:pStyle w:val="Bullet"/>
      </w:pPr>
      <w:r w:rsidRPr="00E40B90">
        <w:t>Dynamic pricing</w:t>
      </w:r>
      <w:r w:rsidRPr="00997CC7">
        <w:t xml:space="preserve"> where the price increases during the purchasing process</w:t>
      </w:r>
      <w:r>
        <w:t xml:space="preserve"> in response to factors such as demand.</w:t>
      </w:r>
      <w:r w:rsidRPr="00997CC7">
        <w:t xml:space="preserve"> </w:t>
      </w:r>
      <w:r>
        <w:t>S</w:t>
      </w:r>
      <w:r w:rsidRPr="00997CC7">
        <w:t>pecific reform is not proposed because the conduct is likely already sufficiently addressed by the ACL.</w:t>
      </w:r>
    </w:p>
    <w:p w14:paraId="4F30996B" w14:textId="1BF511CD" w:rsidR="00406CD0" w:rsidRPr="00997CC7" w:rsidRDefault="00406CD0" w:rsidP="00406CD0">
      <w:pPr>
        <w:pStyle w:val="Bullet"/>
      </w:pPr>
      <w:r w:rsidRPr="00E40B90">
        <w:t>Barriers to accessing customer service</w:t>
      </w:r>
      <w:r>
        <w:t>.</w:t>
      </w:r>
      <w:r w:rsidRPr="00997CC7">
        <w:t xml:space="preserve"> </w:t>
      </w:r>
      <w:r>
        <w:t>R</w:t>
      </w:r>
      <w:r w:rsidRPr="00997CC7">
        <w:t>eform which mandate</w:t>
      </w:r>
      <w:r>
        <w:t>s</w:t>
      </w:r>
      <w:r w:rsidRPr="00997CC7">
        <w:t xml:space="preserve"> </w:t>
      </w:r>
      <w:r>
        <w:t xml:space="preserve">particular sorts of </w:t>
      </w:r>
      <w:r w:rsidRPr="00997CC7">
        <w:t xml:space="preserve">customer </w:t>
      </w:r>
      <w:r w:rsidR="00D4624C" w:rsidRPr="00997CC7">
        <w:t>s</w:t>
      </w:r>
      <w:r w:rsidR="00D4624C">
        <w:t xml:space="preserve">upport </w:t>
      </w:r>
      <w:r w:rsidRPr="00997CC7">
        <w:t>requirements could result in significant regulatory burden for businesses. It is instead proposed to address unfair post</w:t>
      </w:r>
      <w:r>
        <w:t>-</w:t>
      </w:r>
      <w:r w:rsidRPr="00997CC7">
        <w:t>sale conduct through the general prohibition.</w:t>
      </w:r>
    </w:p>
    <w:p w14:paraId="167A90AA" w14:textId="77777777" w:rsidR="00406CD0" w:rsidRPr="00997CC7" w:rsidRDefault="00406CD0" w:rsidP="00406CD0">
      <w:pPr>
        <w:pStyle w:val="Bullet"/>
      </w:pPr>
      <w:r w:rsidRPr="00E40B90">
        <w:t>Requirement to create an online account to make a purchase</w:t>
      </w:r>
      <w:r>
        <w:t>. T</w:t>
      </w:r>
      <w:r w:rsidRPr="00997CC7">
        <w:t xml:space="preserve">here was a lack of stakeholder support for specific </w:t>
      </w:r>
      <w:r>
        <w:t xml:space="preserve">ACL </w:t>
      </w:r>
      <w:r w:rsidRPr="00997CC7">
        <w:t xml:space="preserve">reform, </w:t>
      </w:r>
      <w:r>
        <w:t xml:space="preserve">with </w:t>
      </w:r>
      <w:r w:rsidRPr="00997CC7">
        <w:t>stakeholders view</w:t>
      </w:r>
      <w:r>
        <w:t>ing</w:t>
      </w:r>
      <w:r w:rsidRPr="00997CC7">
        <w:t xml:space="preserve"> </w:t>
      </w:r>
      <w:r>
        <w:t xml:space="preserve">the </w:t>
      </w:r>
      <w:r w:rsidRPr="00997CC7">
        <w:t>issue as primarily privacy</w:t>
      </w:r>
      <w:r>
        <w:t>-</w:t>
      </w:r>
      <w:r w:rsidRPr="00997CC7">
        <w:t>related (specifically, the collection and use of personal information).</w:t>
      </w:r>
    </w:p>
    <w:p w14:paraId="770C87B8" w14:textId="7050D310" w:rsidR="00406CD0" w:rsidRDefault="004C78EB" w:rsidP="00406CD0">
      <w:r>
        <w:t>Option 4</w:t>
      </w:r>
      <w:r w:rsidR="00406CD0">
        <w:t xml:space="preserve"> has been assessed as the most effective reform to reduce instances of consumer harm arising from unfair trading practices, without disproportionate associated costs. Implementation of this option is expected to benefit consumers by increasing their confidence in making purchasing decisions due to strengthened protections against manipulative or distortive practices. </w:t>
      </w:r>
    </w:p>
    <w:p w14:paraId="36BFA65D" w14:textId="66F6497B" w:rsidR="00406CD0" w:rsidRDefault="00406CD0" w:rsidP="00406CD0">
      <w:r>
        <w:t xml:space="preserve">It is also expected that this option will promote fair trading among businesses, as consumer demand is redirected to businesses with competitive goods and services, rather than those businesses that are most proficient at manipulating or distorting consumer choice to </w:t>
      </w:r>
      <w:r w:rsidR="00F14DC4">
        <w:t>attract and retain customers</w:t>
      </w:r>
      <w:r>
        <w:t>.</w:t>
      </w:r>
      <w:r w:rsidR="00093BD5">
        <w:t xml:space="preserve"> </w:t>
      </w:r>
      <w:r w:rsidR="00D57EBD">
        <w:t>In turn, this can</w:t>
      </w:r>
      <w:r w:rsidR="00F60247">
        <w:t xml:space="preserve"> promote well-functioning markets, </w:t>
      </w:r>
      <w:r w:rsidR="00BE5DF6">
        <w:t xml:space="preserve">improve </w:t>
      </w:r>
      <w:r w:rsidR="005F3D69">
        <w:t>economic efficiency and encourage innovation and productivity growth across sectors.</w:t>
      </w:r>
      <w:r>
        <w:t xml:space="preserve"> The potential costs to business from this option have also been assessed and are considered in this paper.   </w:t>
      </w:r>
    </w:p>
    <w:p w14:paraId="715E15D3" w14:textId="56440EE4" w:rsidR="00406CD0" w:rsidRPr="006F0003" w:rsidRDefault="00406CD0" w:rsidP="00406CD0">
      <w:pPr>
        <w:spacing w:after="0"/>
      </w:pPr>
      <w:r w:rsidRPr="00997CC7">
        <w:t xml:space="preserve">Implementation of this proposal </w:t>
      </w:r>
      <w:r>
        <w:t>would</w:t>
      </w:r>
      <w:r w:rsidRPr="00997CC7">
        <w:t xml:space="preserve"> require legislative amendments to the ACL</w:t>
      </w:r>
      <w:r>
        <w:t xml:space="preserve">, </w:t>
      </w:r>
      <w:r w:rsidRPr="00997CC7">
        <w:t>which w</w:t>
      </w:r>
      <w:r>
        <w:t>ould</w:t>
      </w:r>
      <w:r w:rsidRPr="00997CC7">
        <w:t xml:space="preserve"> be agreed with states and territories </w:t>
      </w:r>
      <w:r>
        <w:t xml:space="preserve">under </w:t>
      </w:r>
      <w:r w:rsidRPr="00997CC7">
        <w:t xml:space="preserve">the </w:t>
      </w:r>
      <w:r w:rsidRPr="00BD7E89">
        <w:rPr>
          <w:i/>
          <w:iCs/>
        </w:rPr>
        <w:t>Intergovernmental Agreement for the Australian Consumer Law</w:t>
      </w:r>
      <w:r w:rsidR="008D7754">
        <w:t xml:space="preserve"> (the IGA)</w:t>
      </w:r>
      <w:r w:rsidRPr="00BD7E89">
        <w:rPr>
          <w:i/>
          <w:iCs/>
        </w:rPr>
        <w:t>.</w:t>
      </w:r>
    </w:p>
    <w:p w14:paraId="0AD7C900" w14:textId="41D3211C" w:rsidR="00536C5B" w:rsidRDefault="00536C5B" w:rsidP="00536C5B">
      <w:pPr>
        <w:spacing w:after="0"/>
      </w:pPr>
    </w:p>
    <w:p w14:paraId="6424ED5E" w14:textId="77777777" w:rsidR="00AE5FF9" w:rsidRPr="00777AE4" w:rsidRDefault="00AE5FF9" w:rsidP="00536C5B">
      <w:pPr>
        <w:spacing w:after="0"/>
      </w:pPr>
    </w:p>
    <w:p w14:paraId="571BE1E2"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417829E7" w14:textId="78E73742" w:rsidR="00406CD0" w:rsidRDefault="00406CD0" w:rsidP="00406CD0">
      <w:pPr>
        <w:pStyle w:val="Heading1"/>
      </w:pPr>
      <w:bookmarkStart w:id="2" w:name="_Toc202971502"/>
      <w:bookmarkStart w:id="3" w:name="_Toc206422505"/>
      <w:r>
        <w:lastRenderedPageBreak/>
        <w:t>Background</w:t>
      </w:r>
      <w:bookmarkEnd w:id="2"/>
      <w:bookmarkEnd w:id="3"/>
    </w:p>
    <w:p w14:paraId="39EC4C46" w14:textId="675C43B3" w:rsidR="00406CD0" w:rsidRDefault="00406CD0" w:rsidP="00406CD0">
      <w:r w:rsidRPr="00721F54">
        <w:t xml:space="preserve">This </w:t>
      </w:r>
      <w:r w:rsidR="00B179EF">
        <w:t>Decision RIS</w:t>
      </w:r>
      <w:r w:rsidRPr="00721F54">
        <w:t xml:space="preserve"> </w:t>
      </w:r>
      <w:r>
        <w:t>presents an analysis of the costs and benefits of a proposal to reform the ACL to protect consumers from unfair trading practices (UTPs).</w:t>
      </w:r>
    </w:p>
    <w:p w14:paraId="3936EC9A" w14:textId="23CF0EC0" w:rsidR="00406CD0" w:rsidRDefault="00406CD0" w:rsidP="00406CD0">
      <w:r>
        <w:t>In</w:t>
      </w:r>
      <w:r w:rsidRPr="00792134">
        <w:t xml:space="preserve"> the</w:t>
      </w:r>
      <w:r>
        <w:t>ir</w:t>
      </w:r>
      <w:r w:rsidRPr="00792134">
        <w:t xml:space="preserve"> 6 November 2020</w:t>
      </w:r>
      <w:r>
        <w:t xml:space="preserve"> meeting,</w:t>
      </w:r>
      <w:r w:rsidRPr="00792134">
        <w:t xml:space="preserve"> Commonwealth, State</w:t>
      </w:r>
      <w:r>
        <w:t xml:space="preserve"> and</w:t>
      </w:r>
      <w:r w:rsidRPr="00792134">
        <w:t xml:space="preserve"> Territory Consumer Affairs Ministers agreed that unfair trading issues warrant</w:t>
      </w:r>
      <w:r w:rsidR="00557954">
        <w:t>ed</w:t>
      </w:r>
      <w:r w:rsidRPr="00792134">
        <w:t xml:space="preserve"> further exploration through a regulation impact assessment process</w:t>
      </w:r>
      <w:r>
        <w:t>.</w:t>
      </w:r>
      <w:r w:rsidRPr="00CF0577">
        <w:rPr>
          <w:rStyle w:val="FootnoteReference"/>
          <w:rFonts w:eastAsiaTheme="majorEastAsia"/>
        </w:rPr>
        <w:footnoteReference w:id="2"/>
      </w:r>
      <w:r>
        <w:t xml:space="preserve"> This decision followed the release of the final report of the Australian Consumer Law Review in 2017, which found there was significant stakeholder interest in the introduction of a general prohibition against unfair trading. The report committed to exploring how an unfair trading prohibition could be adopted within the Australian context to address potentially unfair business practices.</w:t>
      </w:r>
      <w:r w:rsidRPr="00970845">
        <w:rPr>
          <w:rStyle w:val="FootnoteReference"/>
          <w:rFonts w:eastAsiaTheme="majorEastAsia"/>
        </w:rPr>
        <w:footnoteReference w:id="3"/>
      </w:r>
    </w:p>
    <w:p w14:paraId="0B1F9B40" w14:textId="003B1C17" w:rsidR="00406CD0" w:rsidRDefault="00406CD0" w:rsidP="00406CD0">
      <w:r>
        <w:t xml:space="preserve">In September 2022, Commonwealth, State and Territory Consumer Ministers agreed that the Commonwealth would lead a public consultation on options to address UTPs in the ACL on behalf of all jurisdictions. This resulted in </w:t>
      </w:r>
      <w:r w:rsidR="00922E8D">
        <w:t xml:space="preserve">2 </w:t>
      </w:r>
      <w:r>
        <w:t>consultations:</w:t>
      </w:r>
    </w:p>
    <w:p w14:paraId="5693AEC8" w14:textId="77777777" w:rsidR="00406CD0" w:rsidRPr="002711FF" w:rsidRDefault="00406CD0" w:rsidP="00406CD0">
      <w:pPr>
        <w:pStyle w:val="Bullet"/>
      </w:pPr>
      <w:r w:rsidRPr="002711FF">
        <w:t>Consultation Regulation Impact Statement</w:t>
      </w:r>
      <w:r w:rsidRPr="006B424B">
        <w:rPr>
          <w:rFonts w:eastAsiaTheme="majorEastAsia"/>
          <w:vertAlign w:val="superscript"/>
        </w:rPr>
        <w:footnoteReference w:id="4"/>
      </w:r>
      <w:r w:rsidRPr="00D7355D">
        <w:t xml:space="preserve"> </w:t>
      </w:r>
      <w:r w:rsidRPr="002711FF">
        <w:t xml:space="preserve">(August 2023) (Consultation RIS) </w:t>
      </w:r>
    </w:p>
    <w:p w14:paraId="7AA501E6" w14:textId="77777777" w:rsidR="00406CD0" w:rsidRDefault="00406CD0" w:rsidP="00406CD0">
      <w:pPr>
        <w:pStyle w:val="Bullet"/>
      </w:pPr>
      <w:r w:rsidRPr="002711FF">
        <w:t>Unfair trading practices - Consultation on the design of proposed general and specific prohibitions</w:t>
      </w:r>
      <w:r w:rsidRPr="006B424B">
        <w:rPr>
          <w:rFonts w:eastAsiaTheme="majorEastAsia"/>
          <w:vertAlign w:val="superscript"/>
        </w:rPr>
        <w:footnoteReference w:id="5"/>
      </w:r>
      <w:r w:rsidRPr="006B424B">
        <w:rPr>
          <w:vertAlign w:val="superscript"/>
        </w:rPr>
        <w:t xml:space="preserve"> </w:t>
      </w:r>
      <w:r w:rsidRPr="002711FF">
        <w:t>(November 2024) (the Supplementary Consultation).</w:t>
      </w:r>
    </w:p>
    <w:p w14:paraId="13F819E8" w14:textId="3CA90C3D" w:rsidR="00FA41C3" w:rsidRDefault="000746D3" w:rsidP="005A4072">
      <w:pPr>
        <w:pStyle w:val="Bullet"/>
        <w:numPr>
          <w:ilvl w:val="0"/>
          <w:numId w:val="0"/>
        </w:numPr>
        <w:spacing w:line="240" w:lineRule="auto"/>
      </w:pPr>
      <w:r>
        <w:t xml:space="preserve">In </w:t>
      </w:r>
      <w:r w:rsidR="00AA2DF3">
        <w:t xml:space="preserve">March 2025, the </w:t>
      </w:r>
      <w:r w:rsidR="001B2867">
        <w:t>Australian</w:t>
      </w:r>
      <w:r w:rsidR="00AA2DF3">
        <w:t xml:space="preserve"> </w:t>
      </w:r>
      <w:r w:rsidR="001B2867">
        <w:t>G</w:t>
      </w:r>
      <w:r w:rsidR="00E80126">
        <w:t xml:space="preserve">overnment </w:t>
      </w:r>
      <w:r w:rsidR="003D6379">
        <w:t>announced it would</w:t>
      </w:r>
      <w:r w:rsidR="005527FF">
        <w:t xml:space="preserve"> separately</w:t>
      </w:r>
      <w:r w:rsidR="003D6379">
        <w:t xml:space="preserve"> consult</w:t>
      </w:r>
      <w:r w:rsidR="0090306F">
        <w:t xml:space="preserve"> </w:t>
      </w:r>
      <w:r w:rsidR="00895120">
        <w:t xml:space="preserve">later in 2025 </w:t>
      </w:r>
      <w:r w:rsidR="0090306F">
        <w:t>on extending unfair trading practices protections to small businesses</w:t>
      </w:r>
      <w:r w:rsidR="002640EB">
        <w:t>.</w:t>
      </w:r>
      <w:r w:rsidR="00AC74F0">
        <w:rPr>
          <w:rStyle w:val="FootnoteReference"/>
        </w:rPr>
        <w:footnoteReference w:id="6"/>
      </w:r>
      <w:r w:rsidR="003D6379">
        <w:t xml:space="preserve"> </w:t>
      </w:r>
    </w:p>
    <w:p w14:paraId="2746CD31" w14:textId="77777777" w:rsidR="00406CD0" w:rsidRDefault="00406CD0" w:rsidP="00406CD0">
      <w:pPr>
        <w:pStyle w:val="Heading2"/>
      </w:pPr>
      <w:bookmarkStart w:id="4" w:name="_Toc202971503"/>
      <w:bookmarkStart w:id="5" w:name="_Toc206422506"/>
      <w:r w:rsidRPr="00AC6556">
        <w:t>Consultation R</w:t>
      </w:r>
      <w:r>
        <w:t xml:space="preserve">egulation </w:t>
      </w:r>
      <w:r w:rsidRPr="00AC6556">
        <w:t>I</w:t>
      </w:r>
      <w:r>
        <w:t xml:space="preserve">mpact </w:t>
      </w:r>
      <w:r w:rsidRPr="00AC6556">
        <w:t>S</w:t>
      </w:r>
      <w:r>
        <w:t>tatement</w:t>
      </w:r>
      <w:bookmarkEnd w:id="4"/>
      <w:bookmarkEnd w:id="5"/>
      <w:r w:rsidRPr="00AC6556">
        <w:t xml:space="preserve"> </w:t>
      </w:r>
    </w:p>
    <w:p w14:paraId="623A955C" w14:textId="77777777" w:rsidR="00406CD0" w:rsidRDefault="00406CD0" w:rsidP="00406CD0">
      <w:r w:rsidRPr="00AC6556">
        <w:t>The</w:t>
      </w:r>
      <w:r>
        <w:t xml:space="preserve"> August 2023</w:t>
      </w:r>
      <w:r w:rsidRPr="00AC6556">
        <w:t xml:space="preserve"> </w:t>
      </w:r>
      <w:r w:rsidRPr="00AC6556" w:rsidDel="009609E9">
        <w:t xml:space="preserve">Consultation </w:t>
      </w:r>
      <w:r>
        <w:t>RIS</w:t>
      </w:r>
      <w:r w:rsidRPr="00AC6556">
        <w:t xml:space="preserve"> sought evidence on the nature and extent of </w:t>
      </w:r>
      <w:r>
        <w:t>UTPs</w:t>
      </w:r>
      <w:r w:rsidRPr="00AC6556">
        <w:t xml:space="preserve">, and the extent of any consumer and small business harm arising from potential gaps in the ACL. </w:t>
      </w:r>
    </w:p>
    <w:p w14:paraId="7C80CBFA" w14:textId="7E6BA695" w:rsidR="00406CD0" w:rsidRDefault="00406CD0" w:rsidP="00406CD0">
      <w:r w:rsidRPr="00AC6556">
        <w:t xml:space="preserve">Four policy options were presented for consideration: </w:t>
      </w:r>
    </w:p>
    <w:p w14:paraId="741E22B0" w14:textId="77777777" w:rsidR="00406CD0" w:rsidRPr="00CF7728" w:rsidRDefault="00406CD0" w:rsidP="00406CD0">
      <w:pPr>
        <w:pStyle w:val="Bullet"/>
      </w:pPr>
      <w:r w:rsidRPr="00CF7728">
        <w:t xml:space="preserve">Option 1: Status quo (no change) </w:t>
      </w:r>
    </w:p>
    <w:p w14:paraId="4325B74B" w14:textId="77777777" w:rsidR="00406CD0" w:rsidRPr="00CF7728" w:rsidRDefault="00406CD0" w:rsidP="00406CD0">
      <w:pPr>
        <w:pStyle w:val="Bullet"/>
      </w:pPr>
      <w:r w:rsidRPr="00CF7728">
        <w:t>Option 2: Amend statutory unconscionable conduct (not progressed)</w:t>
      </w:r>
    </w:p>
    <w:p w14:paraId="18F58DBE" w14:textId="77777777" w:rsidR="00406CD0" w:rsidRPr="00CF7728" w:rsidRDefault="00406CD0" w:rsidP="00406CD0">
      <w:pPr>
        <w:pStyle w:val="Bullet"/>
      </w:pPr>
      <w:r w:rsidRPr="00CF7728">
        <w:t xml:space="preserve">Option 3: Amend the ACL to introduce a general prohibition on unfair trading practices </w:t>
      </w:r>
    </w:p>
    <w:p w14:paraId="1F4B6F2B" w14:textId="77777777" w:rsidR="00406CD0" w:rsidRPr="00DF5368" w:rsidRDefault="00406CD0" w:rsidP="00406CD0">
      <w:pPr>
        <w:pStyle w:val="Bullet"/>
      </w:pPr>
      <w:r w:rsidRPr="00CF7728">
        <w:t>Option 4: Amend the ACL to introduce a combination of general and specific prohibitions on unfair trading practices.</w:t>
      </w:r>
    </w:p>
    <w:p w14:paraId="2BF4807E" w14:textId="03F815C2" w:rsidR="00406CD0" w:rsidRDefault="00406CD0" w:rsidP="00406CD0">
      <w:r w:rsidRPr="00DE5B47">
        <w:t>Treasury received 79 submissions from a wide range of stakeholders and held bilateral meetings and roundtables attended by consumer and industry groups, academics and government stakeholders.</w:t>
      </w:r>
      <w:r>
        <w:t xml:space="preserve"> Stakeholder views varied on the existence and extent of gaps in the ACL. A range of stakeholders submitted that there is conduct or practices of concern which are unlikely to be captured by existing </w:t>
      </w:r>
      <w:r>
        <w:lastRenderedPageBreak/>
        <w:t>protections in the ACL. Other stakeholders considered that practices of concern could be addressed through the existing ACL protections.</w:t>
      </w:r>
    </w:p>
    <w:p w14:paraId="5DF21A45" w14:textId="097A6556" w:rsidR="00406CD0" w:rsidRDefault="00406CD0" w:rsidP="00406CD0">
      <w:r>
        <w:t xml:space="preserve">Option 4, which proposed combining a general and specific prohibitions, received the most stakeholder support. Proponents of Option 4 considered </w:t>
      </w:r>
      <w:r w:rsidR="00F965B8">
        <w:t xml:space="preserve">that </w:t>
      </w:r>
      <w:r>
        <w:t xml:space="preserve">the combination would provide the most comprehensive regulation of UTPs, while also providing clarity around compliance obligations. Option 2 received the least support. </w:t>
      </w:r>
    </w:p>
    <w:p w14:paraId="2BE6A142" w14:textId="77777777" w:rsidR="00406CD0" w:rsidRDefault="00406CD0" w:rsidP="00406CD0">
      <w:pPr>
        <w:pStyle w:val="Heading2"/>
      </w:pPr>
      <w:bookmarkStart w:id="6" w:name="_Toc202971504"/>
      <w:bookmarkStart w:id="7" w:name="_Toc206422507"/>
      <w:r>
        <w:t>Supplementary Consultation</w:t>
      </w:r>
      <w:bookmarkEnd w:id="6"/>
      <w:bookmarkEnd w:id="7"/>
      <w:r>
        <w:t xml:space="preserve"> </w:t>
      </w:r>
    </w:p>
    <w:p w14:paraId="49C532CC" w14:textId="5EE7CF44" w:rsidR="00406CD0" w:rsidRPr="000D08CC" w:rsidRDefault="003F7FE4" w:rsidP="00406CD0">
      <w:r>
        <w:t>The Supplementary Consultation</w:t>
      </w:r>
      <w:r w:rsidR="001E7179">
        <w:t xml:space="preserve"> sought feedback</w:t>
      </w:r>
      <w:r w:rsidR="00406CD0" w:rsidRPr="000D08CC">
        <w:t xml:space="preserve"> on the design of a principles-based general prohibition to address </w:t>
      </w:r>
      <w:r w:rsidR="00406CD0">
        <w:t>UTPs</w:t>
      </w:r>
      <w:r w:rsidR="00406CD0" w:rsidRPr="000D08CC">
        <w:t xml:space="preserve">, as well as on whether particular </w:t>
      </w:r>
      <w:r w:rsidR="00406CD0">
        <w:t>UTPs</w:t>
      </w:r>
      <w:r w:rsidR="00406CD0" w:rsidRPr="000D08CC">
        <w:t xml:space="preserve"> could be addressed by introducing specific prohibitions or by reform to existing provisions of the ACL.</w:t>
      </w:r>
      <w:r w:rsidR="002035F8" w:rsidRPr="00970845">
        <w:rPr>
          <w:rStyle w:val="FootnoteReference"/>
          <w:rFonts w:eastAsiaTheme="majorEastAsia"/>
        </w:rPr>
        <w:footnoteReference w:id="7"/>
      </w:r>
    </w:p>
    <w:p w14:paraId="2D3AA370" w14:textId="0FEDE5DC" w:rsidR="00406CD0" w:rsidRPr="000D08CC" w:rsidRDefault="00406CD0" w:rsidP="00406CD0">
      <w:r w:rsidRPr="000D08CC">
        <w:t xml:space="preserve">The </w:t>
      </w:r>
      <w:r>
        <w:t>Supplementary C</w:t>
      </w:r>
      <w:r w:rsidRPr="000D08CC">
        <w:t xml:space="preserve">onsultation </w:t>
      </w:r>
      <w:r w:rsidR="00686A29">
        <w:t xml:space="preserve">focussed on a range of practices </w:t>
      </w:r>
      <w:r w:rsidR="00E409A5">
        <w:t xml:space="preserve">potentially </w:t>
      </w:r>
      <w:r w:rsidR="00686A29">
        <w:t>causing consumer harm</w:t>
      </w:r>
      <w:r w:rsidR="00CE3620">
        <w:t>:</w:t>
      </w:r>
    </w:p>
    <w:p w14:paraId="3D9CC5AC" w14:textId="334B2FE6" w:rsidR="00406CD0" w:rsidRPr="002711FF" w:rsidRDefault="00406CD0" w:rsidP="00406CD0">
      <w:pPr>
        <w:pStyle w:val="Bullet"/>
      </w:pPr>
      <w:r w:rsidRPr="002711FF">
        <w:t>Business conduct that unreasonably distorts or manipulates the economic decision-making or behaviour of a consumer </w:t>
      </w:r>
    </w:p>
    <w:p w14:paraId="4A6965D8" w14:textId="121FE948" w:rsidR="00406CD0" w:rsidRDefault="00406CD0" w:rsidP="00406CD0">
      <w:pPr>
        <w:pStyle w:val="Bullet"/>
      </w:pPr>
      <w:r w:rsidRPr="002711FF">
        <w:t>Unfair subscription practices, including practices which make cancelling a subscription difficult </w:t>
      </w:r>
    </w:p>
    <w:p w14:paraId="4874ED81" w14:textId="30ED93C0" w:rsidR="00406CD0" w:rsidRPr="002711FF" w:rsidRDefault="00406CD0" w:rsidP="00406CD0">
      <w:pPr>
        <w:pStyle w:val="Bullet"/>
      </w:pPr>
      <w:r>
        <w:t>T</w:t>
      </w:r>
      <w:r w:rsidRPr="0056573B">
        <w:t xml:space="preserve">he use of </w:t>
      </w:r>
      <w:r>
        <w:t>‘</w:t>
      </w:r>
      <w:r w:rsidRPr="0056573B">
        <w:t>dark patterns</w:t>
      </w:r>
      <w:r w:rsidR="00EB3361">
        <w:t>’</w:t>
      </w:r>
      <w:r w:rsidRPr="0056573B">
        <w:t xml:space="preserve"> </w:t>
      </w:r>
      <w:r>
        <w:t>which</w:t>
      </w:r>
      <w:r w:rsidRPr="0056573B">
        <w:t xml:space="preserve"> manipulate or undermine consumers’ decision-making in </w:t>
      </w:r>
      <w:r w:rsidR="00F11583">
        <w:t xml:space="preserve">primarily </w:t>
      </w:r>
      <w:r w:rsidRPr="0056573B">
        <w:t>digital interfaces</w:t>
      </w:r>
    </w:p>
    <w:p w14:paraId="48C84621" w14:textId="77777777" w:rsidR="00406CD0" w:rsidRPr="002711FF" w:rsidRDefault="00406CD0" w:rsidP="00406CD0">
      <w:pPr>
        <w:pStyle w:val="Bullet"/>
      </w:pPr>
      <w:r w:rsidRPr="002711FF">
        <w:t>‘Drip pricing’ practices, where fees are hidden or added through the stages of a purchase  </w:t>
      </w:r>
    </w:p>
    <w:p w14:paraId="463738C7" w14:textId="42BABFEF" w:rsidR="00406CD0" w:rsidRPr="002711FF" w:rsidRDefault="00406CD0" w:rsidP="00406CD0">
      <w:pPr>
        <w:pStyle w:val="Bullet"/>
      </w:pPr>
      <w:r w:rsidRPr="002711FF">
        <w:t>Dynamic pricing</w:t>
      </w:r>
      <w:r w:rsidR="0077012A">
        <w:t>,</w:t>
      </w:r>
      <w:r w:rsidRPr="002711FF">
        <w:t xml:space="preserve"> where a product’s price changes during the purchasing process </w:t>
      </w:r>
      <w:r>
        <w:t>in response to factors such as demand</w:t>
      </w:r>
      <w:r w:rsidRPr="002711FF">
        <w:t> </w:t>
      </w:r>
    </w:p>
    <w:p w14:paraId="4F8A0D7F" w14:textId="77777777" w:rsidR="00406CD0" w:rsidRPr="002711FF" w:rsidRDefault="00406CD0" w:rsidP="00406CD0">
      <w:pPr>
        <w:pStyle w:val="Bullet"/>
      </w:pPr>
      <w:r w:rsidRPr="002711FF">
        <w:t>Requiring consumers to set up an account to make an online purchase  </w:t>
      </w:r>
    </w:p>
    <w:p w14:paraId="7E34ADDB" w14:textId="77777777" w:rsidR="00406CD0" w:rsidRPr="000D08CC" w:rsidRDefault="00406CD0" w:rsidP="00406CD0">
      <w:pPr>
        <w:pStyle w:val="Bullet"/>
      </w:pPr>
      <w:r w:rsidRPr="002711FF">
        <w:t xml:space="preserve">Where a business makes it difficult for a consumer to access customer </w:t>
      </w:r>
      <w:r>
        <w:t>support</w:t>
      </w:r>
      <w:r w:rsidRPr="002711FF">
        <w:t>.</w:t>
      </w:r>
      <w:r w:rsidRPr="000D08CC">
        <w:t> </w:t>
      </w:r>
    </w:p>
    <w:p w14:paraId="45FE99E7" w14:textId="77777777" w:rsidR="00406CD0" w:rsidRDefault="00406CD0" w:rsidP="00406CD0">
      <w:r w:rsidRPr="000D08CC">
        <w:t>The consultation also sought further information on the likely benefits to consumers and costs for businesses associated with the proposal. </w:t>
      </w:r>
    </w:p>
    <w:p w14:paraId="536309C2" w14:textId="77777777" w:rsidR="00406CD0" w:rsidRDefault="00406CD0" w:rsidP="00406CD0">
      <w:r>
        <w:t xml:space="preserve">Treasury received 59 stakeholder submissions </w:t>
      </w:r>
      <w:r w:rsidRPr="00DE5B47">
        <w:t xml:space="preserve">and held bilateral meetings and roundtables attended by consumer and </w:t>
      </w:r>
      <w:r>
        <w:t xml:space="preserve">legal </w:t>
      </w:r>
      <w:r w:rsidRPr="00DE5B47">
        <w:t xml:space="preserve">groups, </w:t>
      </w:r>
      <w:r>
        <w:t>industry associations and</w:t>
      </w:r>
      <w:r w:rsidRPr="00DE5B47">
        <w:t xml:space="preserve"> academics.</w:t>
      </w:r>
      <w:r>
        <w:rPr>
          <w:rStyle w:val="FootnoteReference"/>
        </w:rPr>
        <w:footnoteReference w:id="8"/>
      </w:r>
      <w:r>
        <w:t xml:space="preserve"> Stakeholder feedback on the proposed general prohibition was mixed. Stakeholders who supported a general prohibition on UTPs were largely in favour of a principles-based prohibition, although some suggested amendments to the formulation of the prohibition presented in the Supplementary Consultation. Stakeholders who did not support a general prohibition raised concerns that it may create uncertainty for businesses and increase the cost of providing services to consumers. </w:t>
      </w:r>
    </w:p>
    <w:p w14:paraId="197A4553" w14:textId="77777777" w:rsidR="00406CD0" w:rsidRDefault="00406CD0" w:rsidP="00406CD0">
      <w:r>
        <w:t xml:space="preserve">Stakeholders were generally supportive of using a ‘grey list’ of examples to provide greater certainty and guidance to businesses and regulators on the types of conduct that may be captured by the general prohibition. </w:t>
      </w:r>
    </w:p>
    <w:p w14:paraId="02C23F92" w14:textId="4E2DE1C4" w:rsidR="00406CD0" w:rsidRDefault="00406CD0" w:rsidP="00406CD0">
      <w:r>
        <w:t xml:space="preserve">Stakeholder feedback was mixed on whether the general prohibition should apply to protect small businesses as well as consumers. </w:t>
      </w:r>
    </w:p>
    <w:p w14:paraId="710D8347" w14:textId="42343A24" w:rsidR="00406CD0" w:rsidRPr="00F12FAA" w:rsidRDefault="00406CD0" w:rsidP="00406CD0">
      <w:pPr>
        <w:rPr>
          <w:rFonts w:eastAsia="Calibri"/>
        </w:rPr>
      </w:pPr>
      <w:r>
        <w:lastRenderedPageBreak/>
        <w:t>There was broad stakeholder support for reform addressing unfair subscription practices, which would provide consumers with sufficient information to make an informed choice about entering into (or continuing with) a subscription and remove unnecessary barriers to cancellation.</w:t>
      </w:r>
      <w:r w:rsidR="00424C7B">
        <w:t xml:space="preserve"> </w:t>
      </w:r>
      <w:r>
        <w:t xml:space="preserve">Views were mixed on specific reform to address drip pricing practices, the requirement for customers to create accounts to make online purchases, and barriers to obtaining customer support. Proponents of strengthening protections against drip pricing supported requiring businesses to disclose any ‘per transaction’ fees prominently and upfront. Most stakeholders opposed specific reform targeting dynamic pricing </w:t>
      </w:r>
      <w:r w:rsidR="003D2134">
        <w:t>as defined in the paper</w:t>
      </w:r>
      <w:r>
        <w:t xml:space="preserve"> on the basis that it is not occurring in Australia, and the ACL would already address potential consumer harm associated with this conduct.</w:t>
      </w:r>
      <w:r w:rsidRPr="00970845">
        <w:rPr>
          <w:rStyle w:val="FootnoteReference"/>
          <w:rFonts w:eastAsiaTheme="majorEastAsia"/>
        </w:rPr>
        <w:footnoteReference w:id="9"/>
      </w:r>
      <w:r>
        <w:t xml:space="preserve"> </w:t>
      </w:r>
    </w:p>
    <w:p w14:paraId="2E722053" w14:textId="77777777" w:rsidR="00406CD0" w:rsidRDefault="00406CD0" w:rsidP="00406CD0">
      <w:pPr>
        <w:rPr>
          <w:rFonts w:ascii="Calibri" w:hAnsi="Calibri" w:cs="Arial"/>
          <w:b/>
          <w:color w:val="5D779D" w:themeColor="accent3"/>
          <w:kern w:val="32"/>
          <w:sz w:val="44"/>
          <w:szCs w:val="36"/>
        </w:rPr>
      </w:pPr>
      <w:r>
        <w:t>Stakeholder responses to the Supplementary Consultation are discussed in further detail throughout this Impact Analysis.</w:t>
      </w:r>
    </w:p>
    <w:p w14:paraId="4EC4D51C"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6B4EDF59" w14:textId="2C98B811" w:rsidR="00406CD0" w:rsidRPr="007835B0" w:rsidRDefault="00406CD0" w:rsidP="00406CD0">
      <w:pPr>
        <w:pStyle w:val="Heading1"/>
      </w:pPr>
      <w:bookmarkStart w:id="8" w:name="_Toc202971505"/>
      <w:bookmarkStart w:id="9" w:name="_Toc206422508"/>
      <w:r w:rsidRPr="007835B0">
        <w:lastRenderedPageBreak/>
        <w:t>The problem</w:t>
      </w:r>
      <w:bookmarkEnd w:id="8"/>
      <w:bookmarkEnd w:id="9"/>
    </w:p>
    <w:p w14:paraId="4BDB594F" w14:textId="77777777" w:rsidR="00406CD0" w:rsidRDefault="00406CD0" w:rsidP="00406CD0">
      <w:r>
        <w:t>The Consultation RIS sets out in detail the problems that this reform process seeks to address, and the Supplementary Consultation further expanded on this with details of specific practices of concern.</w:t>
      </w:r>
    </w:p>
    <w:p w14:paraId="38FE0ED5" w14:textId="618F82D0" w:rsidR="00406CD0" w:rsidRPr="00CA6662" w:rsidRDefault="00406CD0" w:rsidP="00406CD0">
      <w:r>
        <w:t xml:space="preserve">In summary, during these consultation processes </w:t>
      </w:r>
      <w:r w:rsidR="00556824">
        <w:t xml:space="preserve">a range of </w:t>
      </w:r>
      <w:r>
        <w:t>stakeholders have identified that the existing provisions of the ACL are inadequate to protect consumers against harm, or potential harm, arising from certain types of UTPs that fall into gaps or ‘grey areas’ in the law.</w:t>
      </w:r>
      <w:r w:rsidRPr="00216756">
        <w:rPr>
          <w:rStyle w:val="FootnoteReference"/>
          <w:rFonts w:eastAsiaTheme="majorEastAsia"/>
        </w:rPr>
        <w:footnoteReference w:id="10"/>
      </w:r>
    </w:p>
    <w:p w14:paraId="058BC0C6" w14:textId="5FD1C73F" w:rsidR="00406CD0" w:rsidRPr="00CA6662" w:rsidRDefault="00406CD0" w:rsidP="00406CD0">
      <w:r w:rsidRPr="30964083">
        <w:rPr>
          <w:rFonts w:eastAsiaTheme="minorEastAsia"/>
        </w:rPr>
        <w:t xml:space="preserve">Although the ACL provides </w:t>
      </w:r>
      <w:r w:rsidR="009D637A" w:rsidRPr="30964083">
        <w:rPr>
          <w:rFonts w:eastAsiaTheme="minorEastAsia"/>
        </w:rPr>
        <w:t xml:space="preserve">various </w:t>
      </w:r>
      <w:r w:rsidRPr="30964083">
        <w:rPr>
          <w:rFonts w:eastAsiaTheme="minorEastAsia"/>
        </w:rPr>
        <w:t>protections against unfair practices (outlined in Appendix A),</w:t>
      </w:r>
      <w:r>
        <w:t xml:space="preserve"> stakeholders noted that these provisions are outdated in some respects and therefore may be ill</w:t>
      </w:r>
      <w:r w:rsidR="1A4FBD07">
        <w:t>-</w:t>
      </w:r>
      <w:r>
        <w:t>equipped to address newer, emerging forms of misconduct. For example, the emergence of ‘dark patterns</w:t>
      </w:r>
      <w:r w:rsidRPr="00341729">
        <w:t>’</w:t>
      </w:r>
      <w:r w:rsidR="003A3FCF">
        <w:rPr>
          <w:rStyle w:val="FootnoteReference"/>
        </w:rPr>
        <w:footnoteReference w:id="11"/>
      </w:r>
      <w:r>
        <w:t xml:space="preserve"> in online transactions that distort or manipulate consumer choice. Although these practices can cause substantial harm to consumers by unduly influencing, obstructing or impeding choice in decision-making, the subtlety of such manipulation can make it difficult to establish a breach of the misleading or deceptive conduct provisions of the ACL given the lack of overt misleading conduct</w:t>
      </w:r>
      <w:r w:rsidR="006717A6">
        <w:t xml:space="preserve"> involved in some ‘dark patter</w:t>
      </w:r>
      <w:r w:rsidR="005C601D">
        <w:t>n</w:t>
      </w:r>
      <w:r w:rsidR="006A621A">
        <w:t>’ conduct</w:t>
      </w:r>
      <w:r>
        <w:t xml:space="preserve">. </w:t>
      </w:r>
    </w:p>
    <w:p w14:paraId="5D6F12AB" w14:textId="6770CBA9" w:rsidR="00406CD0" w:rsidRDefault="00406CD0" w:rsidP="00406CD0">
      <w:r w:rsidRPr="00CA6662">
        <w:t>Australia faces similar challenges to other countries in terms of adapting consumer protection laws in the context of technological change. Other international jurisdictions, such as the United Kingdom, the European Union and the United States have</w:t>
      </w:r>
      <w:r w:rsidRPr="00CA6662" w:rsidDel="00474A4A">
        <w:t xml:space="preserve"> </w:t>
      </w:r>
      <w:r w:rsidRPr="00CA6662">
        <w:t xml:space="preserve">a general prohibition on </w:t>
      </w:r>
      <w:r>
        <w:t>UTPs</w:t>
      </w:r>
      <w:r w:rsidR="00B83003">
        <w:t xml:space="preserve">, although these provisions include some similar protections to those </w:t>
      </w:r>
      <w:r w:rsidR="003C64E3">
        <w:t>available under the existing ACL (such as protections against misleading or deceptive conduct)</w:t>
      </w:r>
      <w:r>
        <w:t>.</w:t>
      </w:r>
      <w:r w:rsidRPr="00CA6662">
        <w:t xml:space="preserve"> </w:t>
      </w:r>
      <w:r>
        <w:t xml:space="preserve">These legislative </w:t>
      </w:r>
      <w:r w:rsidR="00253EA5">
        <w:t>provisions</w:t>
      </w:r>
      <w:r>
        <w:t xml:space="preserve"> in overseas jurisdictions have resulted in some stakeholders advocating for </w:t>
      </w:r>
      <w:r w:rsidR="006802C2">
        <w:t xml:space="preserve">UTP </w:t>
      </w:r>
      <w:r>
        <w:t xml:space="preserve">reforms in an Australian context to combat problems that are particularly prevalent in, but not limited to, online commerce.    </w:t>
      </w:r>
    </w:p>
    <w:p w14:paraId="092C0071" w14:textId="77777777" w:rsidR="00406CD0" w:rsidRPr="001A7C00" w:rsidRDefault="00406CD0" w:rsidP="00406CD0">
      <w:r w:rsidRPr="001A7C00">
        <w:t xml:space="preserve">Examples of potential </w:t>
      </w:r>
      <w:r>
        <w:t>UTPs</w:t>
      </w:r>
      <w:r w:rsidRPr="001A7C00">
        <w:t xml:space="preserve"> that </w:t>
      </w:r>
      <w:r>
        <w:t>exist</w:t>
      </w:r>
      <w:r w:rsidRPr="001A7C00">
        <w:t xml:space="preserve"> in gaps or grey areas of the ACL impacting consumers</w:t>
      </w:r>
      <w:r>
        <w:t>,</w:t>
      </w:r>
      <w:r w:rsidRPr="001A7C00">
        <w:t xml:space="preserve"> identified during consultation and in </w:t>
      </w:r>
      <w:proofErr w:type="gramStart"/>
      <w:r w:rsidRPr="001A7C00">
        <w:t>other</w:t>
      </w:r>
      <w:proofErr w:type="gramEnd"/>
      <w:r w:rsidRPr="001A7C00">
        <w:t xml:space="preserve"> research</w:t>
      </w:r>
      <w:r>
        <w:t>,</w:t>
      </w:r>
      <w:r w:rsidRPr="001A7C00">
        <w:t xml:space="preserve"> can be broadly categorised as follows:</w:t>
      </w:r>
    </w:p>
    <w:p w14:paraId="7819AC1D" w14:textId="77777777" w:rsidR="00406CD0" w:rsidRPr="008B4C79" w:rsidRDefault="00406CD0" w:rsidP="00906B8B">
      <w:pPr>
        <w:pStyle w:val="Bullet"/>
        <w:numPr>
          <w:ilvl w:val="0"/>
          <w:numId w:val="13"/>
        </w:numPr>
        <w:ind w:left="522" w:hanging="522"/>
      </w:pPr>
      <w:r w:rsidRPr="008B4C79">
        <w:t>Conduct that distorts,</w:t>
      </w:r>
      <w:r w:rsidRPr="008B4C79" w:rsidDel="0022005F">
        <w:t xml:space="preserve"> </w:t>
      </w:r>
      <w:r w:rsidRPr="008B4C79">
        <w:t>manipulates or undermines consumer choice</w:t>
      </w:r>
    </w:p>
    <w:p w14:paraId="0BECD62A" w14:textId="6B5A5C22" w:rsidR="00406CD0" w:rsidRPr="008B4C79" w:rsidRDefault="001C07F7" w:rsidP="05B6EC7E">
      <w:pPr>
        <w:pStyle w:val="Bullet"/>
        <w:ind w:left="522" w:hanging="522"/>
      </w:pPr>
      <w:r>
        <w:t>Unfair s</w:t>
      </w:r>
      <w:r w:rsidR="00406CD0">
        <w:t>ubscription</w:t>
      </w:r>
      <w:r w:rsidR="00690E80">
        <w:t xml:space="preserve"> </w:t>
      </w:r>
      <w:r w:rsidR="00406CD0">
        <w:t>practices</w:t>
      </w:r>
      <w:r w:rsidR="00406CD0" w:rsidRPr="008B4C79">
        <w:t>, including practices which make it difficult for consumers to cancel a subscription</w:t>
      </w:r>
    </w:p>
    <w:p w14:paraId="17E0C607" w14:textId="77777777" w:rsidR="00406CD0" w:rsidRPr="008B4C79" w:rsidRDefault="00406CD0" w:rsidP="00906B8B">
      <w:pPr>
        <w:pStyle w:val="Bullet"/>
        <w:numPr>
          <w:ilvl w:val="0"/>
          <w:numId w:val="13"/>
        </w:numPr>
        <w:ind w:left="522" w:hanging="522"/>
      </w:pPr>
      <w:r w:rsidRPr="008B4C79">
        <w:t xml:space="preserve">Pricing-related practices, including drip pricing and dynamic pricing </w:t>
      </w:r>
    </w:p>
    <w:p w14:paraId="2519B9EF" w14:textId="05C66B69" w:rsidR="00406CD0" w:rsidRPr="008B4C79" w:rsidRDefault="00406CD0" w:rsidP="00906B8B">
      <w:pPr>
        <w:pStyle w:val="Bullet"/>
        <w:numPr>
          <w:ilvl w:val="0"/>
          <w:numId w:val="13"/>
        </w:numPr>
        <w:ind w:left="522" w:hanging="522"/>
      </w:pPr>
      <w:r w:rsidRPr="008B4C79">
        <w:t>Post-sale practices, including imposing unreasonable barriers to accessing customer support.</w:t>
      </w:r>
    </w:p>
    <w:p w14:paraId="66FED2EC" w14:textId="77777777" w:rsidR="00406CD0" w:rsidRDefault="00406CD0" w:rsidP="00406CD0">
      <w:pPr>
        <w:pStyle w:val="Heading3"/>
      </w:pPr>
      <w:bookmarkStart w:id="10" w:name="_Toc202971506"/>
      <w:bookmarkStart w:id="11" w:name="_Toc206422509"/>
      <w:r>
        <w:t>Manipulative conduct</w:t>
      </w:r>
      <w:bookmarkEnd w:id="10"/>
      <w:bookmarkEnd w:id="11"/>
    </w:p>
    <w:p w14:paraId="58EEA46A" w14:textId="68D2E38D" w:rsidR="00406CD0" w:rsidRDefault="00406CD0" w:rsidP="00406CD0">
      <w:r>
        <w:t>Many UTPs that operate within ACL gaps or grey areas involve some form of manipulation of consumers, or manipulation or distortion of their decision-making</w:t>
      </w:r>
      <w:r w:rsidR="006802C2">
        <w:t xml:space="preserve"> or </w:t>
      </w:r>
      <w:r w:rsidR="00D402CC">
        <w:t>behaviour</w:t>
      </w:r>
      <w:r>
        <w:t xml:space="preserve">, resulting in harms and costs to consumers’ finances, time and/or broader wellbeing. </w:t>
      </w:r>
    </w:p>
    <w:p w14:paraId="562659F0" w14:textId="0CBBF371" w:rsidR="00406CD0" w:rsidRDefault="00406CD0" w:rsidP="00406CD0">
      <w:r>
        <w:t>Such manipulation or distortion can occur in both offline and online environments. For example,</w:t>
      </w:r>
      <w:r w:rsidDel="00DB2A5B">
        <w:t xml:space="preserve"> a </w:t>
      </w:r>
      <w:r>
        <w:t xml:space="preserve">business may entice consumers into buying an item in-store by omitting or obscuring key information about the product or service offered for sale. By the time the consumer realises the item does not match their expectations, high-pressure sales tactics may </w:t>
      </w:r>
      <w:r w:rsidR="00C54E3B">
        <w:t xml:space="preserve">have </w:t>
      </w:r>
      <w:r>
        <w:t>be</w:t>
      </w:r>
      <w:r w:rsidR="00C54E3B">
        <w:t>en</w:t>
      </w:r>
      <w:r>
        <w:t xml:space="preserve"> applied by staff to manipulate the consumer into making a purchase they do not want or that costs more than they intended to pay. </w:t>
      </w:r>
      <w:r>
        <w:lastRenderedPageBreak/>
        <w:t xml:space="preserve">Depending on the circumstances, the business’s conduct in this instance may not amount to a breach of the ACL despite harm being caused to the consumer. </w:t>
      </w:r>
    </w:p>
    <w:p w14:paraId="04B6CC72" w14:textId="77777777" w:rsidR="00406CD0" w:rsidRDefault="00406CD0" w:rsidP="00406CD0">
      <w:r>
        <w:t>Other examples of manipulative practices that occur in both online and offline environments, but which may fall into gaps in the ACL, include business practices that:</w:t>
      </w:r>
    </w:p>
    <w:p w14:paraId="15D749C3" w14:textId="6D02BF39" w:rsidR="00406CD0" w:rsidRDefault="00406CD0" w:rsidP="00406CD0">
      <w:pPr>
        <w:pStyle w:val="Bullet"/>
      </w:pPr>
      <w:r>
        <w:t xml:space="preserve">dissuade a consumer from exercising their contractual or other legal rights </w:t>
      </w:r>
    </w:p>
    <w:p w14:paraId="7F356F4A" w14:textId="77777777" w:rsidR="00406CD0" w:rsidRDefault="00406CD0" w:rsidP="00406CD0">
      <w:pPr>
        <w:pStyle w:val="Bullet"/>
      </w:pPr>
      <w:r>
        <w:t>provide ineffective and/or complex disclosure of key information when obtaining consent or agreement to enter into contracts</w:t>
      </w:r>
    </w:p>
    <w:p w14:paraId="3FFB6597" w14:textId="77777777" w:rsidR="00406CD0" w:rsidRDefault="00406CD0" w:rsidP="00406CD0">
      <w:pPr>
        <w:pStyle w:val="Bullet"/>
      </w:pPr>
      <w:r>
        <w:t>exploit or ignore the behavioural vulnerabilities of consumers that are present in the ‘choice architecture’ of products or services (digital or otherwise).</w:t>
      </w:r>
      <w:r w:rsidRPr="00970845" w:rsidDel="001C35D3">
        <w:rPr>
          <w:rStyle w:val="FootnoteReference"/>
          <w:rFonts w:eastAsiaTheme="majorEastAsia"/>
        </w:rPr>
        <w:footnoteReference w:id="12"/>
      </w:r>
      <w:r>
        <w:t xml:space="preserve"> </w:t>
      </w:r>
    </w:p>
    <w:p w14:paraId="2A752780" w14:textId="39688A92" w:rsidR="00406CD0" w:rsidRPr="00083CE4" w:rsidRDefault="00406CD0" w:rsidP="00406CD0">
      <w:r>
        <w:t>Since its introduction, the ACL has been generally effective at responding to evolving consumer harms caused by changes in technology and the economy, however it is important to ensure it continues to appropriat</w:t>
      </w:r>
      <w:r w:rsidR="00D25EBC">
        <w:t>e</w:t>
      </w:r>
      <w:r>
        <w:t xml:space="preserve">ly respond to </w:t>
      </w:r>
      <w:r w:rsidR="007B4DBB">
        <w:t>such</w:t>
      </w:r>
      <w:r>
        <w:t xml:space="preserve"> changes. As consumers are increasingly exposed to new</w:t>
      </w:r>
      <w:r w:rsidRPr="00083CE4">
        <w:t xml:space="preserve"> technology </w:t>
      </w:r>
      <w:r>
        <w:t xml:space="preserve">they are also exposed to new vulnerabilities and challenges. For example, in purchasing a new </w:t>
      </w:r>
      <w:r w:rsidR="004819A8">
        <w:t xml:space="preserve">product or </w:t>
      </w:r>
      <w:r>
        <w:t>service consumers may be presented with</w:t>
      </w:r>
      <w:r w:rsidRPr="00083CE4">
        <w:t xml:space="preserve"> </w:t>
      </w:r>
      <w:r>
        <w:t>large</w:t>
      </w:r>
      <w:r w:rsidRPr="00083CE4">
        <w:t xml:space="preserve"> volumes of information</w:t>
      </w:r>
      <w:r>
        <w:t xml:space="preserve">, </w:t>
      </w:r>
      <w:r w:rsidRPr="00083CE4">
        <w:t xml:space="preserve">from </w:t>
      </w:r>
      <w:r w:rsidR="000426BD">
        <w:t xml:space="preserve">contractual </w:t>
      </w:r>
      <w:r w:rsidRPr="00083CE4">
        <w:t>terms to ongoing payment obligations f</w:t>
      </w:r>
      <w:r>
        <w:t>or</w:t>
      </w:r>
      <w:r w:rsidRPr="00083CE4">
        <w:t xml:space="preserve"> multiple service providers. </w:t>
      </w:r>
      <w:r>
        <w:t>It can be difficult and time-consuming for consumers to understand and assess the quality of the information that is being provided to them.</w:t>
      </w:r>
      <w:r w:rsidRPr="00970845">
        <w:rPr>
          <w:rStyle w:val="FootnoteReference"/>
          <w:rFonts w:eastAsiaTheme="majorEastAsia"/>
        </w:rPr>
        <w:footnoteReference w:id="13"/>
      </w:r>
      <w:r>
        <w:t xml:space="preserve">  </w:t>
      </w:r>
    </w:p>
    <w:p w14:paraId="6B792493" w14:textId="448CED69" w:rsidR="00406CD0" w:rsidRDefault="00406CD0" w:rsidP="00406CD0">
      <w:r>
        <w:t>At the same time, the increased sophistication of digital marketplace</w:t>
      </w:r>
      <w:r w:rsidR="007A1E78">
        <w:t>s</w:t>
      </w:r>
      <w:r>
        <w:t xml:space="preserve"> can present advantages for consumers that may increase </w:t>
      </w:r>
      <w:r w:rsidR="006802C2">
        <w:t xml:space="preserve">their </w:t>
      </w:r>
      <w:r>
        <w:t xml:space="preserve">confidence </w:t>
      </w:r>
      <w:r w:rsidR="006802C2">
        <w:t>in purchasing</w:t>
      </w:r>
      <w:r>
        <w:t xml:space="preserve"> and provide other benefits</w:t>
      </w:r>
      <w:r w:rsidR="006C2620">
        <w:t>,</w:t>
      </w:r>
      <w:r>
        <w:t xml:space="preserve"> such as convenience or access to valuable information. For example, comparator or review sites provide tools and information </w:t>
      </w:r>
      <w:r w:rsidR="008942FF">
        <w:t xml:space="preserve">that enable consumers </w:t>
      </w:r>
      <w:r>
        <w:t xml:space="preserve">to more easily compare product or service offerings online to determine good value for money. Consumers may also benefit from being actively offered products or services that are targeted and relevant to their needs (such as ads on items similar to past purchases). However, when these benefits are counteracted by the </w:t>
      </w:r>
      <w:r w:rsidR="00910E3E">
        <w:t xml:space="preserve">use of unfair </w:t>
      </w:r>
      <w:r w:rsidR="00E3152F">
        <w:t>practices</w:t>
      </w:r>
      <w:r>
        <w:t xml:space="preserve"> in any individual situation, consumers may be harmed. For example, where consumer decision-making is impaired by information overwhelm or distortion, including through the use of dark patterns.</w:t>
      </w:r>
    </w:p>
    <w:p w14:paraId="62AE1F2F" w14:textId="262FBDA6" w:rsidR="00F76F57" w:rsidRPr="001B7194" w:rsidRDefault="00406CD0" w:rsidP="00406CD0">
      <w:pPr>
        <w:rPr>
          <w:vertAlign w:val="superscript"/>
        </w:rPr>
      </w:pPr>
      <w:r>
        <w:t>Digital trends including the r</w:t>
      </w:r>
      <w:r w:rsidRPr="00944127">
        <w:t>apid uptake of e</w:t>
      </w:r>
      <w:r w:rsidR="00550243">
        <w:t>-</w:t>
      </w:r>
      <w:r w:rsidRPr="00944127">
        <w:t>commerce, increasing complexity of online transactions,</w:t>
      </w:r>
      <w:r>
        <w:t xml:space="preserve"> and</w:t>
      </w:r>
      <w:r w:rsidRPr="00944127">
        <w:t xml:space="preserve"> proliferation of </w:t>
      </w:r>
      <w:r>
        <w:t>‘</w:t>
      </w:r>
      <w:r w:rsidRPr="00944127">
        <w:t>dark patterns</w:t>
      </w:r>
      <w:r>
        <w:t>’ all have the capacity to present vulnerabilities for consumers.</w:t>
      </w:r>
      <w:r w:rsidRPr="00B403C8">
        <w:rPr>
          <w:rStyle w:val="FootnoteReference"/>
          <w:rFonts w:eastAsiaTheme="majorEastAsia"/>
        </w:rPr>
        <w:footnoteReference w:id="14"/>
      </w:r>
      <w:r w:rsidR="004E2918">
        <w:rPr>
          <w:vertAlign w:val="superscript"/>
        </w:rPr>
        <w:t xml:space="preserve"> </w:t>
      </w:r>
      <w:r>
        <w:t>It has been observed and argued that consumer vulnerability now extends to a wider cohort then what is traditionally considered</w:t>
      </w:r>
      <w:r w:rsidR="00273699">
        <w:t xml:space="preserve">, where </w:t>
      </w:r>
      <w:r w:rsidR="00290BA9">
        <w:t xml:space="preserve">certain </w:t>
      </w:r>
      <w:r w:rsidR="00BC5163">
        <w:t xml:space="preserve">groups were regarded as </w:t>
      </w:r>
      <w:r w:rsidR="00745D8D">
        <w:t>inherently</w:t>
      </w:r>
      <w:r w:rsidR="00BC5163">
        <w:t xml:space="preserve"> </w:t>
      </w:r>
      <w:r w:rsidR="00745D8D">
        <w:t>vulnerable</w:t>
      </w:r>
      <w:r w:rsidR="00860AA8">
        <w:t xml:space="preserve"> </w:t>
      </w:r>
      <w:r w:rsidR="00CD6CF1">
        <w:t>because of</w:t>
      </w:r>
      <w:r w:rsidR="00860AA8">
        <w:t xml:space="preserve"> </w:t>
      </w:r>
      <w:r w:rsidR="00290BA9">
        <w:t>specific</w:t>
      </w:r>
      <w:r w:rsidR="00860AA8">
        <w:t xml:space="preserve"> </w:t>
      </w:r>
      <w:r w:rsidR="00745D8D">
        <w:t>characteristics</w:t>
      </w:r>
      <w:r w:rsidR="00860AA8">
        <w:t xml:space="preserve">. </w:t>
      </w:r>
      <w:r w:rsidR="0008237D">
        <w:t>New</w:t>
      </w:r>
      <w:r w:rsidR="00435BBE">
        <w:t xml:space="preserve"> emerging practices</w:t>
      </w:r>
      <w:r w:rsidR="00860AA8">
        <w:t xml:space="preserve"> </w:t>
      </w:r>
      <w:r w:rsidR="00BA68FB">
        <w:t>in the digital age</w:t>
      </w:r>
      <w:r w:rsidR="0008237D">
        <w:t xml:space="preserve"> has expanded</w:t>
      </w:r>
      <w:r w:rsidR="00BC5163">
        <w:t xml:space="preserve"> </w:t>
      </w:r>
      <w:r w:rsidR="0018492D">
        <w:t xml:space="preserve">the </w:t>
      </w:r>
      <w:r w:rsidR="003E33AE">
        <w:t>scope</w:t>
      </w:r>
      <w:r>
        <w:t xml:space="preserve"> of consumers</w:t>
      </w:r>
      <w:r w:rsidR="00C53304">
        <w:t xml:space="preserve"> </w:t>
      </w:r>
      <w:r w:rsidR="003E33AE">
        <w:t>that</w:t>
      </w:r>
      <w:r w:rsidR="00C53304">
        <w:t xml:space="preserve"> may be </w:t>
      </w:r>
      <w:r w:rsidR="00CB75EF">
        <w:t>vulnerable</w:t>
      </w:r>
      <w:r w:rsidR="00F02167">
        <w:t xml:space="preserve"> </w:t>
      </w:r>
      <w:r w:rsidR="00CB75EF">
        <w:t>to harm</w:t>
      </w:r>
      <w:r>
        <w:t>.</w:t>
      </w:r>
      <w:r w:rsidRPr="00DA050C">
        <w:rPr>
          <w:rStyle w:val="FootnoteReference"/>
          <w:rFonts w:eastAsiaTheme="majorEastAsia"/>
        </w:rPr>
        <w:footnoteReference w:id="15"/>
      </w:r>
      <w:r>
        <w:t xml:space="preserve"> </w:t>
      </w:r>
    </w:p>
    <w:p w14:paraId="579E9ACC" w14:textId="4E4AB32C" w:rsidR="00406CD0" w:rsidRDefault="00406CD0" w:rsidP="00406CD0">
      <w:r>
        <w:t>The dangers of manipulative practices</w:t>
      </w:r>
      <w:r w:rsidR="00300BF7">
        <w:t>, particularly</w:t>
      </w:r>
      <w:r>
        <w:t xml:space="preserve"> in an online context have also been well-documented in research and consultation focusing on ‘dark </w:t>
      </w:r>
      <w:proofErr w:type="gramStart"/>
      <w:r>
        <w:t>patterns’</w:t>
      </w:r>
      <w:proofErr w:type="gramEnd"/>
      <w:r>
        <w:t>.</w:t>
      </w:r>
      <w:r>
        <w:rPr>
          <w:rStyle w:val="FootnoteReference"/>
        </w:rPr>
        <w:footnoteReference w:id="16"/>
      </w:r>
      <w:r>
        <w:t xml:space="preserve"> </w:t>
      </w:r>
    </w:p>
    <w:p w14:paraId="7AA55C39" w14:textId="77777777" w:rsidR="00406CD0" w:rsidRDefault="00406CD0" w:rsidP="00406CD0"/>
    <w:p w14:paraId="34CFE7ED" w14:textId="722FBBB0" w:rsidR="00406CD0" w:rsidRDefault="00406CD0" w:rsidP="00406CD0">
      <w:r>
        <w:rPr>
          <w:noProof/>
        </w:rPr>
        <w:lastRenderedPageBreak/>
        <mc:AlternateContent>
          <mc:Choice Requires="wps">
            <w:drawing>
              <wp:inline distT="0" distB="0" distL="0" distR="0" wp14:anchorId="066B76C7" wp14:editId="63B86B8F">
                <wp:extent cx="4382137" cy="5723572"/>
                <wp:effectExtent l="0" t="3810" r="0" b="0"/>
                <wp:docPr id="30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4382137" cy="5723572"/>
                        </a:xfrm>
                        <a:prstGeom prst="roundRect">
                          <a:avLst>
                            <a:gd name="adj" fmla="val 13032"/>
                          </a:avLst>
                        </a:prstGeom>
                        <a:solidFill>
                          <a:schemeClr val="accent1"/>
                        </a:solidFill>
                      </wps:spPr>
                      <wps:txbx>
                        <w:txbxContent>
                          <w:p w14:paraId="7ACBB5AF" w14:textId="77777777" w:rsidR="00406CD0" w:rsidRPr="00083CE4" w:rsidRDefault="00406CD0" w:rsidP="00406CD0">
                            <w:r w:rsidRPr="00EB7EC6">
                              <w:rPr>
                                <w:b/>
                                <w:bCs/>
                              </w:rPr>
                              <w:t>Dark patterns</w:t>
                            </w:r>
                            <w:r w:rsidRPr="00083CE4">
                              <w:t xml:space="preserve">, also known as </w:t>
                            </w:r>
                            <w:r w:rsidRPr="004A041F">
                              <w:rPr>
                                <w:b/>
                              </w:rPr>
                              <w:t>deceptive patterns</w:t>
                            </w:r>
                            <w:r w:rsidRPr="00083CE4">
                              <w:t>, refer to design elements used in consumer</w:t>
                            </w:r>
                            <w:r>
                              <w:noBreakHyphen/>
                            </w:r>
                            <w:r w:rsidRPr="00083CE4">
                              <w:t xml:space="preserve">facing digital interfaces (such as websites and apps) to manipulate user decisions. </w:t>
                            </w:r>
                          </w:p>
                          <w:p w14:paraId="740605F0" w14:textId="40E15569" w:rsidR="00406CD0" w:rsidRPr="00083CE4" w:rsidRDefault="00406CD0" w:rsidP="00406CD0">
                            <w:r w:rsidRPr="00083CE4">
                              <w:t>Some patterns impose obstacles and complexity which frustrate and exhaust consumers</w:t>
                            </w:r>
                            <w:r>
                              <w:t>, for example</w:t>
                            </w:r>
                            <w:r w:rsidRPr="00083CE4">
                              <w:t xml:space="preserve"> confusing </w:t>
                            </w:r>
                            <w:r>
                              <w:t>or</w:t>
                            </w:r>
                            <w:r w:rsidRPr="00083CE4">
                              <w:t xml:space="preserve"> complex menus </w:t>
                            </w:r>
                            <w:r>
                              <w:t>with</w:t>
                            </w:r>
                            <w:r w:rsidRPr="00083CE4">
                              <w:t xml:space="preserve"> pre-selected checkboxes</w:t>
                            </w:r>
                            <w:r>
                              <w:t xml:space="preserve">. These patterns </w:t>
                            </w:r>
                            <w:r w:rsidRPr="00083CE4">
                              <w:t>can make it easy for consumers to confirm business-favoured choices, while other options (like rejecting third</w:t>
                            </w:r>
                            <w:r>
                              <w:noBreakHyphen/>
                            </w:r>
                            <w:r w:rsidRPr="00083CE4">
                              <w:t xml:space="preserve">party cookies or finding an option to cancel a subscription) may be difficult for consumers to access. In some cases, businesses may force consumers </w:t>
                            </w:r>
                            <w:r w:rsidR="00110F4B">
                              <w:t>into</w:t>
                            </w:r>
                            <w:r w:rsidRPr="00083CE4">
                              <w:t xml:space="preserve"> a particular action by not providing alternatives, or by omitting or obfuscating material information. These obstructive tactics require consumers to work to overcome obstacles to reach their preferred outcome which may differ from the business’s preferred outcome.</w:t>
                            </w:r>
                          </w:p>
                          <w:p w14:paraId="261EC2B2" w14:textId="77777777" w:rsidR="00406CD0" w:rsidRPr="00083CE4" w:rsidRDefault="00406CD0" w:rsidP="00406CD0">
                            <w:r w:rsidRPr="00083CE4">
                              <w:t xml:space="preserve">Another group of dark patterns of concern are those designed to exert unreasonable pressure on consumers during a purchase. Examples of these practices include </w:t>
                            </w:r>
                            <w:r>
                              <w:t>the</w:t>
                            </w:r>
                            <w:r w:rsidRPr="00083CE4">
                              <w:t xml:space="preserve"> display </w:t>
                            </w:r>
                            <w:r>
                              <w:t xml:space="preserve">of </w:t>
                            </w:r>
                            <w:r w:rsidRPr="00083CE4">
                              <w:t>countdown timers or low stock notifications</w:t>
                            </w:r>
                            <w:r>
                              <w:t>.</w:t>
                            </w:r>
                            <w:r w:rsidRPr="00083CE4">
                              <w:t xml:space="preserve"> </w:t>
                            </w:r>
                            <w:r>
                              <w:t>B</w:t>
                            </w:r>
                            <w:r w:rsidRPr="00083CE4">
                              <w:t xml:space="preserve">usinesses use </w:t>
                            </w:r>
                            <w:r>
                              <w:t>these methods</w:t>
                            </w:r>
                            <w:r w:rsidRPr="00083CE4">
                              <w:t xml:space="preserve"> to create a heightened sense of urgency and scarcity, for the purposes of provoking more impulsive consumer action</w:t>
                            </w:r>
                            <w:r>
                              <w:t>. Another example is</w:t>
                            </w:r>
                            <w:r w:rsidRPr="00083CE4">
                              <w:t xml:space="preserve"> ‘confirmshaming’ where a consumer is unfairly made to feel bad about a choice (including stoking guilt).</w:t>
                            </w:r>
                          </w:p>
                          <w:p w14:paraId="051FFFE8" w14:textId="77777777" w:rsidR="00406CD0" w:rsidRPr="00083CE4" w:rsidRDefault="00406CD0" w:rsidP="00406CD0">
                            <w:r w:rsidRPr="00083CE4">
                              <w:t>The use of a single dark pattern may not, on its own, unreasonably distort consumer choice or result in material consumer detriment. However, when businesses combine multiple dark patterns to confuse, shame, direct</w:t>
                            </w:r>
                            <w:r>
                              <w:t>, obstruct</w:t>
                            </w:r>
                            <w:r w:rsidRPr="00083CE4">
                              <w:t xml:space="preserve"> or frustrate consumers into making </w:t>
                            </w:r>
                            <w:r>
                              <w:t>(or not making)</w:t>
                            </w:r>
                            <w:r w:rsidRPr="00083CE4">
                              <w:t xml:space="preserve"> a particular decision when transacting online, it can be much more difficult for the consumer to identify and/or resist these techniques to avoid harm.</w:t>
                            </w:r>
                          </w:p>
                          <w:p w14:paraId="37A92792" w14:textId="77777777" w:rsidR="00406CD0" w:rsidRPr="00EB7EC6" w:rsidRDefault="00406CD0" w:rsidP="00406CD0">
                            <w:pPr>
                              <w:jc w:val="center"/>
                              <w:rPr>
                                <w:rFonts w:asciiTheme="majorHAnsi" w:eastAsiaTheme="majorEastAsia" w:hAnsiTheme="majorHAnsi" w:cstheme="majorBid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6B76C7" id="AutoShape 2" o:spid="_x0000_s1026" style="width:345.05pt;height:450.6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" fillcolor="#2c384a [3204]" stroked="f">
                <o:lock v:ext="edit" aspectratio="t"/>
                <v:textbox>
                  <w:txbxContent>
                    <w:p w14:paraId="7ACBB5AF" w14:textId="77777777" w:rsidR="00406CD0" w:rsidRPr="00083CE4" w:rsidRDefault="00406CD0" w:rsidP="00406CD0">
                      <w:r w:rsidRPr="00EB7EC6">
                        <w:rPr>
                          <w:b/>
                          <w:bCs/>
                        </w:rPr>
                        <w:t>Dark patterns</w:t>
                      </w:r>
                      <w:r w:rsidRPr="00083CE4">
                        <w:t xml:space="preserve">, also known as </w:t>
                      </w:r>
                      <w:r w:rsidRPr="004A041F">
                        <w:rPr>
                          <w:b/>
                        </w:rPr>
                        <w:t>deceptive patterns</w:t>
                      </w:r>
                      <w:r w:rsidRPr="00083CE4">
                        <w:t>, refer to design elements used in consumer</w:t>
                      </w:r>
                      <w:r>
                        <w:noBreakHyphen/>
                      </w:r>
                      <w:r w:rsidRPr="00083CE4">
                        <w:t xml:space="preserve">facing digital interfaces (such as websites and apps) to manipulate user decisions. </w:t>
                      </w:r>
                    </w:p>
                    <w:p w14:paraId="740605F0" w14:textId="40E15569" w:rsidR="00406CD0" w:rsidRPr="00083CE4" w:rsidRDefault="00406CD0" w:rsidP="00406CD0">
                      <w:r w:rsidRPr="00083CE4">
                        <w:t>Some patterns impose obstacles and complexity which frustrate and exhaust consumers</w:t>
                      </w:r>
                      <w:r>
                        <w:t>, for example</w:t>
                      </w:r>
                      <w:r w:rsidRPr="00083CE4">
                        <w:t xml:space="preserve"> confusing </w:t>
                      </w:r>
                      <w:r>
                        <w:t>or</w:t>
                      </w:r>
                      <w:r w:rsidRPr="00083CE4">
                        <w:t xml:space="preserve"> complex menus </w:t>
                      </w:r>
                      <w:r>
                        <w:t>with</w:t>
                      </w:r>
                      <w:r w:rsidRPr="00083CE4">
                        <w:t xml:space="preserve"> pre-selected checkboxes</w:t>
                      </w:r>
                      <w:r>
                        <w:t xml:space="preserve">. These patterns </w:t>
                      </w:r>
                      <w:r w:rsidRPr="00083CE4">
                        <w:t>can make it easy for consumers to confirm business-favoured choices, while other options (like rejecting third</w:t>
                      </w:r>
                      <w:r>
                        <w:noBreakHyphen/>
                      </w:r>
                      <w:r w:rsidRPr="00083CE4">
                        <w:t xml:space="preserve">party cookies or finding an option to cancel a subscription) may be difficult for consumers to access. In some cases, businesses may force consumers </w:t>
                      </w:r>
                      <w:r w:rsidR="00110F4B">
                        <w:t>into</w:t>
                      </w:r>
                      <w:r w:rsidRPr="00083CE4">
                        <w:t xml:space="preserve"> a particular action by not providing alternatives, or by omitting or obfuscating material information. These obstructive tactics require consumers to work to overcome obstacles to reach their preferred outcome which may differ from the business’s preferred outcome.</w:t>
                      </w:r>
                    </w:p>
                    <w:p w14:paraId="261EC2B2" w14:textId="77777777" w:rsidR="00406CD0" w:rsidRPr="00083CE4" w:rsidRDefault="00406CD0" w:rsidP="00406CD0">
                      <w:r w:rsidRPr="00083CE4">
                        <w:t xml:space="preserve">Another group of dark patterns of concern are those designed to exert unreasonable pressure on consumers during a purchase. Examples of these practices include </w:t>
                      </w:r>
                      <w:r>
                        <w:t>the</w:t>
                      </w:r>
                      <w:r w:rsidRPr="00083CE4">
                        <w:t xml:space="preserve"> display </w:t>
                      </w:r>
                      <w:r>
                        <w:t xml:space="preserve">of </w:t>
                      </w:r>
                      <w:r w:rsidRPr="00083CE4">
                        <w:t>countdown timers or low stock notifications</w:t>
                      </w:r>
                      <w:r>
                        <w:t>.</w:t>
                      </w:r>
                      <w:r w:rsidRPr="00083CE4">
                        <w:t xml:space="preserve"> </w:t>
                      </w:r>
                      <w:r>
                        <w:t>B</w:t>
                      </w:r>
                      <w:r w:rsidRPr="00083CE4">
                        <w:t xml:space="preserve">usinesses use </w:t>
                      </w:r>
                      <w:r>
                        <w:t>these methods</w:t>
                      </w:r>
                      <w:r w:rsidRPr="00083CE4">
                        <w:t xml:space="preserve"> to create a heightened sense of urgency and scarcity, for the purposes of provoking more impulsive consumer action</w:t>
                      </w:r>
                      <w:r>
                        <w:t>. Another example is</w:t>
                      </w:r>
                      <w:r w:rsidRPr="00083CE4">
                        <w:t xml:space="preserve"> ‘confirmshaming’ where a consumer is unfairly made to feel bad about a choice (including stoking guilt).</w:t>
                      </w:r>
                    </w:p>
                    <w:p w14:paraId="051FFFE8" w14:textId="77777777" w:rsidR="00406CD0" w:rsidRPr="00083CE4" w:rsidRDefault="00406CD0" w:rsidP="00406CD0">
                      <w:r w:rsidRPr="00083CE4">
                        <w:t>The use of a single dark pattern may not, on its own, unreasonably distort consumer choice or result in material consumer detriment. However, when businesses combine multiple dark patterns to confuse, shame, direct</w:t>
                      </w:r>
                      <w:r>
                        <w:t>, obstruct</w:t>
                      </w:r>
                      <w:r w:rsidRPr="00083CE4">
                        <w:t xml:space="preserve"> or frustrate consumers into making </w:t>
                      </w:r>
                      <w:r>
                        <w:t>(or not making)</w:t>
                      </w:r>
                      <w:r w:rsidRPr="00083CE4">
                        <w:t xml:space="preserve"> a particular decision when transacting online, it can be much more difficult for the consumer to identify and/or resist these techniques to avoid harm.</w:t>
                      </w:r>
                    </w:p>
                    <w:p w14:paraId="37A92792" w14:textId="77777777" w:rsidR="00406CD0" w:rsidRPr="00EB7EC6" w:rsidRDefault="00406CD0" w:rsidP="00406CD0">
                      <w:pPr>
                        <w:jc w:val="center"/>
                        <w:rPr>
                          <w:rFonts w:asciiTheme="majorHAnsi" w:eastAsiaTheme="majorEastAsia" w:hAnsiTheme="majorHAnsi" w:cstheme="majorBidi"/>
                          <w:color w:val="FFFFFF" w:themeColor="background1"/>
                          <w:sz w:val="28"/>
                          <w:szCs w:val="28"/>
                        </w:rPr>
                      </w:pPr>
                    </w:p>
                  </w:txbxContent>
                </v:textbox>
                <w10:anchorlock/>
              </v:roundrect>
            </w:pict>
          </mc:Fallback>
        </mc:AlternateContent>
      </w:r>
    </w:p>
    <w:p w14:paraId="27013442" w14:textId="77777777" w:rsidR="00406CD0" w:rsidRPr="00083CE4" w:rsidRDefault="00406CD0" w:rsidP="00406CD0"/>
    <w:p w14:paraId="743E948D" w14:textId="5629721E" w:rsidR="00406CD0" w:rsidRPr="00083CE4" w:rsidRDefault="00406CD0" w:rsidP="00406CD0">
      <w:r>
        <w:t>Dark patterns</w:t>
      </w:r>
      <w:r w:rsidRPr="00083CE4">
        <w:t xml:space="preserve"> can exploit cognitive and behavioural biases, influencing consumer behaviour without their full awareness.</w:t>
      </w:r>
      <w:r w:rsidR="00615BD4">
        <w:t xml:space="preserve"> </w:t>
      </w:r>
      <w:r w:rsidR="00615BD4" w:rsidRPr="76621889">
        <w:t>They are sometimes described as ‘tricks’ used in websites and apps to get people to do things they otherwise would not do</w:t>
      </w:r>
      <w:r w:rsidR="007255EA">
        <w:t>.</w:t>
      </w:r>
      <w:r w:rsidR="001146AB">
        <w:rPr>
          <w:rStyle w:val="FootnoteReference"/>
        </w:rPr>
        <w:footnoteReference w:id="17"/>
      </w:r>
      <w:r w:rsidRPr="00083CE4">
        <w:t xml:space="preserve"> Th</w:t>
      </w:r>
      <w:r>
        <w:t>e</w:t>
      </w:r>
      <w:r w:rsidRPr="00083CE4">
        <w:t>s</w:t>
      </w:r>
      <w:r>
        <w:t>e</w:t>
      </w:r>
      <w:r w:rsidRPr="00083CE4">
        <w:t xml:space="preserve"> </w:t>
      </w:r>
      <w:r>
        <w:t>patterns are typically</w:t>
      </w:r>
      <w:r w:rsidRPr="00083CE4">
        <w:t xml:space="preserve"> aimed at benefiting the business, often by nudging or pressuring consumers into actions they might not intend or usually </w:t>
      </w:r>
      <w:r>
        <w:t>take</w:t>
      </w:r>
      <w:r w:rsidR="00C679DF">
        <w:t xml:space="preserve">, </w:t>
      </w:r>
      <w:r w:rsidR="00AC520B">
        <w:t xml:space="preserve">as opposed to </w:t>
      </w:r>
      <w:r w:rsidR="00D8610D">
        <w:t>‘</w:t>
      </w:r>
      <w:r w:rsidR="00085E8B">
        <w:t>b</w:t>
      </w:r>
      <w:r w:rsidR="00AC520B">
        <w:t>right patterns</w:t>
      </w:r>
      <w:r w:rsidR="00D8610D">
        <w:t xml:space="preserve">’ which use design choices </w:t>
      </w:r>
      <w:r w:rsidR="0088534C">
        <w:t>to prioritise consumer wellbeing</w:t>
      </w:r>
      <w:r w:rsidRPr="00083CE4">
        <w:t>.</w:t>
      </w:r>
      <w:r w:rsidR="00AC520B">
        <w:rPr>
          <w:rStyle w:val="FootnoteReference"/>
        </w:rPr>
        <w:footnoteReference w:id="18"/>
      </w:r>
      <w:r w:rsidRPr="00083CE4">
        <w:t xml:space="preserve"> Many dark patterns also intersect with other potentially unfair practices highlighted in this paper</w:t>
      </w:r>
      <w:r>
        <w:t xml:space="preserve">, </w:t>
      </w:r>
      <w:r w:rsidRPr="00083CE4">
        <w:t xml:space="preserve">including </w:t>
      </w:r>
      <w:r w:rsidR="0038420C">
        <w:t>unfair</w:t>
      </w:r>
      <w:r w:rsidRPr="00083CE4">
        <w:t xml:space="preserve"> subscriptio</w:t>
      </w:r>
      <w:r w:rsidR="00174A0A">
        <w:t>n</w:t>
      </w:r>
      <w:r w:rsidRPr="00083CE4">
        <w:t xml:space="preserve"> </w:t>
      </w:r>
      <w:r w:rsidR="00174A0A">
        <w:t xml:space="preserve">and pricing-related </w:t>
      </w:r>
      <w:r w:rsidRPr="00083CE4">
        <w:t>practices.</w:t>
      </w:r>
    </w:p>
    <w:p w14:paraId="1FD5D77E" w14:textId="62747094" w:rsidR="00406CD0" w:rsidRPr="00083CE4" w:rsidRDefault="00263A68" w:rsidP="00406CD0">
      <w:r>
        <w:t>D</w:t>
      </w:r>
      <w:r w:rsidR="00406CD0">
        <w:t xml:space="preserve">ark patterns </w:t>
      </w:r>
      <w:r w:rsidR="00000903">
        <w:t xml:space="preserve">can result in a </w:t>
      </w:r>
      <w:r w:rsidR="00406CD0" w:rsidRPr="00083CE4">
        <w:t xml:space="preserve">range of </w:t>
      </w:r>
      <w:r w:rsidR="00000903">
        <w:t xml:space="preserve">consumer </w:t>
      </w:r>
      <w:r w:rsidR="00406CD0" w:rsidRPr="00083CE4">
        <w:t>harm</w:t>
      </w:r>
      <w:r w:rsidR="00406CD0">
        <w:t>s</w:t>
      </w:r>
      <w:r w:rsidR="00C92732">
        <w:t xml:space="preserve">, </w:t>
      </w:r>
      <w:r w:rsidR="00406CD0">
        <w:t>including</w:t>
      </w:r>
      <w:r w:rsidR="00406CD0" w:rsidRPr="00083CE4">
        <w:t xml:space="preserve"> financial</w:t>
      </w:r>
      <w:r w:rsidR="00406CD0" w:rsidDel="000B4E0C">
        <w:t xml:space="preserve"> </w:t>
      </w:r>
      <w:r w:rsidR="00406CD0">
        <w:t xml:space="preserve">detriment </w:t>
      </w:r>
      <w:r w:rsidR="00000903">
        <w:t xml:space="preserve">arising from </w:t>
      </w:r>
      <w:r w:rsidR="00406CD0" w:rsidRPr="00083CE4">
        <w:t>additional purchases and recurring payments</w:t>
      </w:r>
      <w:r w:rsidR="00406CD0">
        <w:t xml:space="preserve"> </w:t>
      </w:r>
      <w:r w:rsidR="00332808">
        <w:t xml:space="preserve">that </w:t>
      </w:r>
      <w:r w:rsidR="00406CD0">
        <w:t xml:space="preserve">the consumer did not </w:t>
      </w:r>
      <w:r w:rsidR="001D0170">
        <w:t>initially</w:t>
      </w:r>
      <w:r w:rsidR="00406CD0">
        <w:t xml:space="preserve"> intend to </w:t>
      </w:r>
      <w:r w:rsidR="00332808">
        <w:t xml:space="preserve">make or </w:t>
      </w:r>
      <w:r w:rsidR="00406CD0">
        <w:t>sign up for</w:t>
      </w:r>
      <w:r w:rsidR="00C92732">
        <w:t>. Other</w:t>
      </w:r>
      <w:r w:rsidR="00406CD0">
        <w:t xml:space="preserve"> harm</w:t>
      </w:r>
      <w:r w:rsidR="00C92732">
        <w:t>s</w:t>
      </w:r>
      <w:r w:rsidR="00406CD0">
        <w:t xml:space="preserve"> could be caused by the loss of </w:t>
      </w:r>
      <w:r w:rsidR="00406CD0" w:rsidRPr="00083CE4">
        <w:t>personal time</w:t>
      </w:r>
      <w:r w:rsidR="00406CD0">
        <w:t>, the emotional toll of these tactics</w:t>
      </w:r>
      <w:r w:rsidR="00406CD0" w:rsidRPr="00083CE4">
        <w:t xml:space="preserve"> and cognitive load</w:t>
      </w:r>
      <w:r w:rsidR="00406CD0">
        <w:t xml:space="preserve"> it takes to avoid them</w:t>
      </w:r>
      <w:r w:rsidR="00406CD0" w:rsidRPr="00083CE4">
        <w:t>.</w:t>
      </w:r>
    </w:p>
    <w:p w14:paraId="69B8B066" w14:textId="1DB14D0A" w:rsidR="00406CD0" w:rsidRDefault="00406CD0" w:rsidP="00406CD0">
      <w:r>
        <w:t>The</w:t>
      </w:r>
      <w:r w:rsidRPr="00661907">
        <w:t xml:space="preserve"> 2023 Australian Consumer Survey</w:t>
      </w:r>
      <w:r>
        <w:t xml:space="preserve"> asked respondents to consider their experiences over the last </w:t>
      </w:r>
      <w:r w:rsidR="00B95C0F">
        <w:t xml:space="preserve">2 </w:t>
      </w:r>
      <w:r>
        <w:t xml:space="preserve">years including with purchases made online. The findings of this survey revealed the prevalence of a range of conduct types resembling dark patterns that consumers reported encountering. Over half of the problems respondents raised were from online purchases (51 per cent), and in the preceding </w:t>
      </w:r>
      <w:r w:rsidR="00B95C0F">
        <w:t xml:space="preserve">2 </w:t>
      </w:r>
      <w:r>
        <w:t>years</w:t>
      </w:r>
      <w:r w:rsidR="00794F69">
        <w:t>,</w:t>
      </w:r>
      <w:r>
        <w:t xml:space="preserve"> 68 per cent of consumers experienced one or more issues when making online purchases </w:t>
      </w:r>
      <w:r>
        <w:lastRenderedPageBreak/>
        <w:t xml:space="preserve">(noting 28 per cent reporting none of the issues listed when purchasing online and 4 per cent having not made any online purchases). Ten per cent of respondents reported that they felt their choices had been manipulated. </w:t>
      </w:r>
    </w:p>
    <w:p w14:paraId="6D5418A9" w14:textId="77777777" w:rsidR="00406CD0" w:rsidRDefault="00406CD0" w:rsidP="00406CD0"/>
    <w:tbl>
      <w:tblPr>
        <w:tblStyle w:val="TableGrid"/>
        <w:tblW w:w="0" w:type="auto"/>
        <w:tblLook w:val="04A0" w:firstRow="1" w:lastRow="0" w:firstColumn="1" w:lastColumn="0" w:noHBand="0" w:noVBand="1"/>
      </w:tblPr>
      <w:tblGrid>
        <w:gridCol w:w="7655"/>
        <w:gridCol w:w="1415"/>
      </w:tblGrid>
      <w:tr w:rsidR="00ED7888" w14:paraId="744A818E" w14:textId="77777777">
        <w:trPr>
          <w:cnfStyle w:val="100000000000" w:firstRow="1" w:lastRow="0" w:firstColumn="0" w:lastColumn="0" w:oddVBand="0" w:evenVBand="0" w:oddHBand="0" w:evenHBand="0" w:firstRowFirstColumn="0" w:firstRowLastColumn="0" w:lastRowFirstColumn="0" w:lastRowLastColumn="0"/>
        </w:trPr>
        <w:tc>
          <w:tcPr>
            <w:tcW w:w="0" w:type="dxa"/>
          </w:tcPr>
          <w:p w14:paraId="4E4302E8" w14:textId="77777777" w:rsidR="00406CD0" w:rsidRDefault="00406CD0">
            <w:pPr>
              <w:spacing w:before="96" w:after="96"/>
            </w:pPr>
            <w:r>
              <w:t>Australian Consumer Survey Finding</w:t>
            </w:r>
            <w:r>
              <w:rPr>
                <w:rStyle w:val="FootnoteReference"/>
              </w:rPr>
              <w:footnoteReference w:id="19"/>
            </w:r>
          </w:p>
        </w:tc>
        <w:tc>
          <w:tcPr>
            <w:tcW w:w="0" w:type="dxa"/>
          </w:tcPr>
          <w:p w14:paraId="7BD34D54" w14:textId="77777777" w:rsidR="00406CD0" w:rsidRDefault="00406CD0">
            <w:pPr>
              <w:spacing w:before="96" w:after="96"/>
            </w:pPr>
            <w:r>
              <w:t>Response</w:t>
            </w:r>
          </w:p>
        </w:tc>
      </w:tr>
      <w:tr w:rsidR="00406CD0" w14:paraId="5DCA4786" w14:textId="77777777">
        <w:tc>
          <w:tcPr>
            <w:tcW w:w="7655" w:type="dxa"/>
          </w:tcPr>
          <w:p w14:paraId="6959101B" w14:textId="77777777" w:rsidR="00406CD0" w:rsidRDefault="00406CD0">
            <w:r>
              <w:t>Online provider manipulated my choices</w:t>
            </w:r>
          </w:p>
        </w:tc>
        <w:tc>
          <w:tcPr>
            <w:tcW w:w="1415" w:type="dxa"/>
          </w:tcPr>
          <w:p w14:paraId="18CBCED4" w14:textId="77777777" w:rsidR="00406CD0" w:rsidRDefault="00406CD0">
            <w:r>
              <w:t>10%</w:t>
            </w:r>
          </w:p>
        </w:tc>
      </w:tr>
      <w:tr w:rsidR="00406CD0" w14:paraId="1F941135" w14:textId="77777777">
        <w:tc>
          <w:tcPr>
            <w:tcW w:w="7655" w:type="dxa"/>
          </w:tcPr>
          <w:p w14:paraId="3426B579" w14:textId="77777777" w:rsidR="00406CD0" w:rsidRDefault="00406CD0">
            <w:r w:rsidRPr="00B904F0">
              <w:t>Found it difficult to tell if I was purchasing a product from overseas</w:t>
            </w:r>
          </w:p>
        </w:tc>
        <w:tc>
          <w:tcPr>
            <w:tcW w:w="1415" w:type="dxa"/>
          </w:tcPr>
          <w:p w14:paraId="4C0CBBF9" w14:textId="77777777" w:rsidR="00406CD0" w:rsidRDefault="00406CD0">
            <w:r>
              <w:t>33%</w:t>
            </w:r>
          </w:p>
        </w:tc>
      </w:tr>
      <w:tr w:rsidR="00406CD0" w14:paraId="2D474430" w14:textId="77777777">
        <w:tc>
          <w:tcPr>
            <w:tcW w:w="7655" w:type="dxa"/>
          </w:tcPr>
          <w:p w14:paraId="0E64D840" w14:textId="77777777" w:rsidR="00406CD0" w:rsidRDefault="00406CD0">
            <w:r w:rsidRPr="00A04C6A">
              <w:t>Charges added during a transaction that weren’t disclosed at the start</w:t>
            </w:r>
          </w:p>
        </w:tc>
        <w:tc>
          <w:tcPr>
            <w:tcW w:w="1415" w:type="dxa"/>
          </w:tcPr>
          <w:p w14:paraId="4DC8D95B" w14:textId="77777777" w:rsidR="00406CD0" w:rsidRDefault="00406CD0">
            <w:r>
              <w:t>26%</w:t>
            </w:r>
          </w:p>
        </w:tc>
      </w:tr>
      <w:tr w:rsidR="00406CD0" w14:paraId="5D922FFC" w14:textId="77777777">
        <w:tc>
          <w:tcPr>
            <w:tcW w:w="7655" w:type="dxa"/>
          </w:tcPr>
          <w:p w14:paraId="220FADE5" w14:textId="77777777" w:rsidR="00406CD0" w:rsidRDefault="00406CD0">
            <w:r w:rsidRPr="00AF6218">
              <w:t>Time limits used to motivate fast choices</w:t>
            </w:r>
          </w:p>
        </w:tc>
        <w:tc>
          <w:tcPr>
            <w:tcW w:w="1415" w:type="dxa"/>
          </w:tcPr>
          <w:p w14:paraId="4E8EF678" w14:textId="77777777" w:rsidR="00406CD0" w:rsidRDefault="00406CD0">
            <w:r>
              <w:t>23%</w:t>
            </w:r>
          </w:p>
        </w:tc>
      </w:tr>
      <w:tr w:rsidR="00406CD0" w14:paraId="62FD8B70" w14:textId="77777777">
        <w:tc>
          <w:tcPr>
            <w:tcW w:w="7655" w:type="dxa"/>
          </w:tcPr>
          <w:p w14:paraId="4C47C0F2" w14:textId="77777777" w:rsidR="00406CD0" w:rsidRPr="00AF6218" w:rsidRDefault="00406CD0">
            <w:pPr>
              <w:spacing w:before="96" w:after="96"/>
            </w:pPr>
            <w:r w:rsidRPr="000C636C">
              <w:t>Ineffective or complex information in terms and conditions or contracts</w:t>
            </w:r>
          </w:p>
        </w:tc>
        <w:tc>
          <w:tcPr>
            <w:tcW w:w="1415" w:type="dxa"/>
          </w:tcPr>
          <w:p w14:paraId="77C1DB0D" w14:textId="77777777" w:rsidR="00406CD0" w:rsidRDefault="00406CD0">
            <w:pPr>
              <w:spacing w:before="96" w:after="96"/>
            </w:pPr>
            <w:r>
              <w:t>17%</w:t>
            </w:r>
          </w:p>
        </w:tc>
      </w:tr>
    </w:tbl>
    <w:tbl>
      <w:tblPr>
        <w:tblW w:w="0" w:type="auto"/>
        <w:tblLook w:val="04A0" w:firstRow="1" w:lastRow="0" w:firstColumn="1" w:lastColumn="0" w:noHBand="0" w:noVBand="1"/>
      </w:tblPr>
      <w:tblGrid>
        <w:gridCol w:w="7655"/>
        <w:gridCol w:w="1415"/>
      </w:tblGrid>
      <w:tr w:rsidR="00406CD0" w14:paraId="04618AC4" w14:textId="77777777">
        <w:tc>
          <w:tcPr>
            <w:tcW w:w="7655" w:type="dxa"/>
          </w:tcPr>
          <w:p w14:paraId="33DB427F" w14:textId="77777777" w:rsidR="00406CD0" w:rsidRPr="00DA5449" w:rsidRDefault="00406CD0">
            <w:pPr>
              <w:rPr>
                <w:sz w:val="20"/>
              </w:rPr>
            </w:pPr>
            <w:r w:rsidRPr="00DA5449">
              <w:rPr>
                <w:sz w:val="20"/>
              </w:rPr>
              <w:t>Information provided was too lengthy or complex</w:t>
            </w:r>
          </w:p>
        </w:tc>
        <w:tc>
          <w:tcPr>
            <w:tcW w:w="1415" w:type="dxa"/>
          </w:tcPr>
          <w:p w14:paraId="7D92D0CF" w14:textId="77777777" w:rsidR="00406CD0" w:rsidRPr="00DA5449" w:rsidRDefault="00406CD0">
            <w:pPr>
              <w:rPr>
                <w:sz w:val="20"/>
              </w:rPr>
            </w:pPr>
            <w:r w:rsidRPr="00DA5449">
              <w:rPr>
                <w:sz w:val="20"/>
              </w:rPr>
              <w:t>15%</w:t>
            </w:r>
          </w:p>
        </w:tc>
      </w:tr>
      <w:tr w:rsidR="00406CD0" w14:paraId="3AA48BB6" w14:textId="77777777">
        <w:tc>
          <w:tcPr>
            <w:tcW w:w="7655" w:type="dxa"/>
          </w:tcPr>
          <w:p w14:paraId="2D153488" w14:textId="77777777" w:rsidR="00406CD0" w:rsidRPr="00DA5449" w:rsidRDefault="00406CD0">
            <w:pPr>
              <w:rPr>
                <w:sz w:val="20"/>
              </w:rPr>
            </w:pPr>
            <w:r w:rsidRPr="00DA5449">
              <w:rPr>
                <w:sz w:val="20"/>
              </w:rPr>
              <w:t>Items that were added to my cart without my consent</w:t>
            </w:r>
          </w:p>
        </w:tc>
        <w:tc>
          <w:tcPr>
            <w:tcW w:w="1415" w:type="dxa"/>
          </w:tcPr>
          <w:p w14:paraId="218D0925" w14:textId="77777777" w:rsidR="00406CD0" w:rsidRPr="00DA5449" w:rsidRDefault="00406CD0">
            <w:pPr>
              <w:rPr>
                <w:sz w:val="20"/>
              </w:rPr>
            </w:pPr>
            <w:r w:rsidRPr="00DA5449">
              <w:rPr>
                <w:sz w:val="20"/>
              </w:rPr>
              <w:t>6%</w:t>
            </w:r>
          </w:p>
        </w:tc>
      </w:tr>
    </w:tbl>
    <w:p w14:paraId="55909298" w14:textId="2A6E5A09" w:rsidR="00406CD0" w:rsidRDefault="00406CD0" w:rsidP="00406CD0">
      <w:r>
        <w:t>The International Consumer Protection and Enforcement Network coordinated with the Global Privacy Enforcement Network to conduct a global internet sweep in 2024 of websites and mobile apps and their use of dark patterns in the marketing of subscription services.</w:t>
      </w:r>
      <w:r w:rsidRPr="00970845">
        <w:rPr>
          <w:rStyle w:val="FootnoteReference"/>
          <w:rFonts w:eastAsiaTheme="majorEastAsia"/>
        </w:rPr>
        <w:footnoteReference w:id="20"/>
      </w:r>
      <w:r>
        <w:t xml:space="preserve"> Consumer protection agencies across 26 nations </w:t>
      </w:r>
      <w:r w:rsidRPr="00417CBD">
        <w:t>including Australia</w:t>
      </w:r>
      <w:r>
        <w:t xml:space="preserve"> participated in the sweep and found that of 642 traders swept, 75.7 per cent made use of at least one dark pattern and 66.8 per cent made use of multiple dark patterns when marketing their subscriptions (using the </w:t>
      </w:r>
      <w:r w:rsidRPr="00E013C8">
        <w:t>Organisation for Economic Co-operation and Development</w:t>
      </w:r>
      <w:r>
        <w:t xml:space="preserve"> (OECD) taxonomy</w:t>
      </w:r>
      <w:r w:rsidRPr="00970845">
        <w:rPr>
          <w:rStyle w:val="FootnoteReference"/>
          <w:rFonts w:eastAsiaTheme="majorEastAsia"/>
        </w:rPr>
        <w:footnoteReference w:id="21"/>
      </w:r>
      <w:r>
        <w:t xml:space="preserve"> of dark commercial patterns). The sweep found that potential sneaking practices</w:t>
      </w:r>
      <w:r w:rsidR="006E56B7">
        <w:t>,</w:t>
      </w:r>
      <w:r>
        <w:t xml:space="preserve"> such as the inability for a consumer to turn off auto-renewal of a subscription service within the purchase flow</w:t>
      </w:r>
      <w:r w:rsidR="00AA081A">
        <w:t xml:space="preserve"> (</w:t>
      </w:r>
      <w:r>
        <w:t>found in 81 per cent of the traders swept who provide subscriptions that renew automatically)</w:t>
      </w:r>
      <w:r w:rsidR="005C243C">
        <w:t>,</w:t>
      </w:r>
      <w:r>
        <w:t xml:space="preserve"> and interface interference</w:t>
      </w:r>
      <w:r w:rsidR="00E03159">
        <w:t>,</w:t>
      </w:r>
      <w:r>
        <w:t xml:space="preserve"> such as presenting a false hierarchy to more prominently place subscriptions advantageous to the trader</w:t>
      </w:r>
      <w:r w:rsidR="004F0739">
        <w:t xml:space="preserve"> (</w:t>
      </w:r>
      <w:r>
        <w:t>found in 38.3 per cent of traders swept who offer subscriptions that do not start as a free trial)</w:t>
      </w:r>
      <w:r w:rsidR="004F0739">
        <w:t>,</w:t>
      </w:r>
      <w:r>
        <w:t xml:space="preserve"> were encountered especially frequently. </w:t>
      </w:r>
    </w:p>
    <w:p w14:paraId="3EF388FB" w14:textId="0F0BC5BD" w:rsidR="00562984" w:rsidRDefault="00406CD0" w:rsidP="00406CD0">
      <w:r>
        <w:t>Other reports and publications including from the OECD,</w:t>
      </w:r>
      <w:r>
        <w:rPr>
          <w:rStyle w:val="FootnoteReference"/>
        </w:rPr>
        <w:footnoteReference w:id="22"/>
      </w:r>
      <w:r>
        <w:t xml:space="preserve"> European Commission,</w:t>
      </w:r>
      <w:r>
        <w:rPr>
          <w:rStyle w:val="FootnoteReference"/>
        </w:rPr>
        <w:footnoteReference w:id="23"/>
      </w:r>
      <w:r>
        <w:t xml:space="preserve"> the Consumer Policy Research Centre (CPRC) </w:t>
      </w:r>
      <w:r w:rsidR="00265157">
        <w:t>and the Australian Competition and Consumer Commission (ACCC)</w:t>
      </w:r>
      <w:r>
        <w:t xml:space="preserve"> highlight dark pattern prevalence and capacity for harm. The CPRC found in their survey of 2,000 Australians that 20</w:t>
      </w:r>
      <w:r w:rsidRPr="00AD0E7F">
        <w:t xml:space="preserve"> </w:t>
      </w:r>
      <w:r>
        <w:t>per cent have spent more than they intended, 17</w:t>
      </w:r>
      <w:r w:rsidRPr="00AD0E7F">
        <w:t xml:space="preserve"> </w:t>
      </w:r>
      <w:r>
        <w:t>per cent felt pressured into buying something and 9</w:t>
      </w:r>
      <w:r w:rsidRPr="00AD0E7F">
        <w:t xml:space="preserve"> </w:t>
      </w:r>
      <w:r>
        <w:t>per cent had accidentally bought something, all in connection with a range of apparent dark patterns.</w:t>
      </w:r>
      <w:r>
        <w:rPr>
          <w:rStyle w:val="FootnoteReference"/>
        </w:rPr>
        <w:footnoteReference w:id="24"/>
      </w:r>
      <w:r w:rsidR="008C4344">
        <w:t xml:space="preserve"> </w:t>
      </w:r>
      <w:r w:rsidR="002F0423">
        <w:t xml:space="preserve">A </w:t>
      </w:r>
      <w:r w:rsidR="004749E9">
        <w:t>consumer survey research report</w:t>
      </w:r>
      <w:r w:rsidR="001F54CE">
        <w:t xml:space="preserve"> commissioned by the ACCC in 2025</w:t>
      </w:r>
      <w:r w:rsidR="004749E9">
        <w:t xml:space="preserve"> found that </w:t>
      </w:r>
      <w:r w:rsidR="008022CC">
        <w:t xml:space="preserve">72 </w:t>
      </w:r>
      <w:r w:rsidR="003A6999">
        <w:t>per cent</w:t>
      </w:r>
      <w:r w:rsidR="008022CC">
        <w:t xml:space="preserve"> of online marketplace shoppers</w:t>
      </w:r>
      <w:r w:rsidR="3A4B32B3">
        <w:t xml:space="preserve"> </w:t>
      </w:r>
      <w:r w:rsidR="00823750">
        <w:t xml:space="preserve">had </w:t>
      </w:r>
      <w:r w:rsidR="00D12E6B">
        <w:t>encountered</w:t>
      </w:r>
      <w:r w:rsidR="00823750">
        <w:t xml:space="preserve"> a </w:t>
      </w:r>
      <w:r w:rsidR="00D12E6B">
        <w:t>potentially</w:t>
      </w:r>
      <w:r w:rsidR="00823750">
        <w:t xml:space="preserve"> unfair </w:t>
      </w:r>
      <w:r w:rsidR="004D5424">
        <w:t xml:space="preserve">practice </w:t>
      </w:r>
      <w:r w:rsidR="004D5424">
        <w:lastRenderedPageBreak/>
        <w:t xml:space="preserve">in the last </w:t>
      </w:r>
      <w:r w:rsidR="00D12E6B">
        <w:t>12 months, for ex</w:t>
      </w:r>
      <w:r w:rsidR="0072339A">
        <w:t>ample,</w:t>
      </w:r>
      <w:r w:rsidR="3A4B32B3">
        <w:t xml:space="preserve"> </w:t>
      </w:r>
      <w:r w:rsidR="0081299B">
        <w:t>discovering fees or charges at the checkout that were</w:t>
      </w:r>
      <w:r w:rsidR="00CA44B6">
        <w:t xml:space="preserve"> </w:t>
      </w:r>
      <w:r w:rsidR="0081299B">
        <w:t>n</w:t>
      </w:r>
      <w:r w:rsidR="00CA44B6">
        <w:t>o</w:t>
      </w:r>
      <w:r w:rsidR="0081299B">
        <w:t>t disclosed beforehand (including delivery fees</w:t>
      </w:r>
      <w:r w:rsidR="00562984">
        <w:t>).</w:t>
      </w:r>
      <w:r w:rsidR="00562984">
        <w:rPr>
          <w:rStyle w:val="FootnoteReference"/>
        </w:rPr>
        <w:footnoteReference w:id="25"/>
      </w:r>
    </w:p>
    <w:p w14:paraId="1824FC48" w14:textId="58930E92" w:rsidR="00406CD0" w:rsidRDefault="00406CD0" w:rsidP="00406CD0">
      <w:r>
        <w:t>Stakeholders highlighting harms from dark patterns to Treasury’s consultations have included consumer advocates, consumer and other regulators, and academics.</w:t>
      </w:r>
      <w:r>
        <w:rPr>
          <w:rStyle w:val="FootnoteReference"/>
        </w:rPr>
        <w:footnoteReference w:id="26"/>
      </w:r>
      <w:r>
        <w:t xml:space="preserve"> In its submission to the Supplementary Consultation, the Telecommunications Industry Ombudsman (TIO) highlighted how telecommunication providers can make it difficult to find information about low-cost plans and have a tendency to refer consumers to use their apps which contain less information than on the provider’s website. Academics from the Centre for Artificial Intelligence and Digital Ethics at the University of Melbourne in their submission highlighted the impacts of various dark pattern types including false hierarchies</w:t>
      </w:r>
      <w:r w:rsidDel="00F230D7">
        <w:t>,</w:t>
      </w:r>
      <w:r w:rsidR="00A24C6C">
        <w:t xml:space="preserve"> </w:t>
      </w:r>
      <w:r w:rsidR="00781A21">
        <w:t>and the use of</w:t>
      </w:r>
      <w:r w:rsidR="00743ABA">
        <w:t xml:space="preserve"> </w:t>
      </w:r>
      <w:r>
        <w:t>visual prominence and obstructive interfaces</w:t>
      </w:r>
      <w:r w:rsidR="00A24C6C">
        <w:t xml:space="preserve"> </w:t>
      </w:r>
      <w:r>
        <w:t xml:space="preserve">to pressure consumers, redirect their attention, and </w:t>
      </w:r>
      <w:r w:rsidR="00E47274">
        <w:t>ultimately</w:t>
      </w:r>
      <w:r>
        <w:t xml:space="preserve"> favour business-advantageous selections</w:t>
      </w:r>
      <w:r w:rsidR="005E7A81">
        <w:t xml:space="preserve"> </w:t>
      </w:r>
      <w:r w:rsidR="00743ABA">
        <w:t>rather than</w:t>
      </w:r>
      <w:r w:rsidR="000627E4">
        <w:t xml:space="preserve"> options that are in the best interests of the consumer</w:t>
      </w:r>
      <w:r>
        <w:t>.</w:t>
      </w:r>
    </w:p>
    <w:p w14:paraId="5DEF0CED" w14:textId="43037B49" w:rsidR="00406CD0" w:rsidRDefault="00406CD0" w:rsidP="00406CD0">
      <w:r>
        <w:t xml:space="preserve">Stakeholders that expressed caution or contested the extent or likelihood of harm were generally from industry. In their submissions to the </w:t>
      </w:r>
      <w:r w:rsidR="005D3E74">
        <w:t>Supplementary</w:t>
      </w:r>
      <w:r>
        <w:t xml:space="preserve"> </w:t>
      </w:r>
      <w:r w:rsidR="005D3E74">
        <w:t>Consultation</w:t>
      </w:r>
      <w:r>
        <w:t>, the Australian Chamber of Commerce and Industry and Live Performance Australia both raised scarcity cues like low stock counters and countdown timers</w:t>
      </w:r>
      <w:r w:rsidR="00117575">
        <w:t>,</w:t>
      </w:r>
      <w:r w:rsidR="00A5280B">
        <w:t xml:space="preserve"> noting</w:t>
      </w:r>
      <w:r>
        <w:t xml:space="preserve"> that these tools can provide useful information to reflect situations such as stock being reserved or on hold for the consumer</w:t>
      </w:r>
      <w:r w:rsidR="00FA10C4">
        <w:t>,</w:t>
      </w:r>
      <w:r>
        <w:t xml:space="preserve"> or can be used for managing inventory.</w:t>
      </w:r>
      <w:r>
        <w:rPr>
          <w:rStyle w:val="FootnoteReference"/>
        </w:rPr>
        <w:footnoteReference w:id="27"/>
      </w:r>
      <w:r>
        <w:t xml:space="preserve"> Retail Drinks Australia in its submission cautioned that some reasonable customer guidance such as customers’ voluntarily shared tastes and preferences for wine should not be conflated with dark patterns.</w:t>
      </w:r>
    </w:p>
    <w:p w14:paraId="494A4389" w14:textId="05A9312A" w:rsidR="00406CD0" w:rsidRDefault="00406CD0" w:rsidP="00406CD0">
      <w:pPr>
        <w:pStyle w:val="Heading3"/>
      </w:pPr>
      <w:bookmarkStart w:id="12" w:name="_Toc202971507"/>
      <w:bookmarkStart w:id="13" w:name="_Toc206422510"/>
      <w:r>
        <w:t>Subscription practices</w:t>
      </w:r>
      <w:bookmarkEnd w:id="12"/>
      <w:bookmarkEnd w:id="13"/>
      <w:r>
        <w:t xml:space="preserve"> </w:t>
      </w:r>
    </w:p>
    <w:p w14:paraId="410DB41D" w14:textId="4768DE19" w:rsidR="00406CD0" w:rsidRDefault="00406CD0" w:rsidP="00406CD0">
      <w:r w:rsidRPr="009A6B72">
        <w:t xml:space="preserve">Subscription contracts are common for digital services such </w:t>
      </w:r>
      <w:r>
        <w:t>as</w:t>
      </w:r>
      <w:r w:rsidRPr="009A6B72">
        <w:t xml:space="preserve"> online publications, </w:t>
      </w:r>
      <w:r>
        <w:t xml:space="preserve">digital content, </w:t>
      </w:r>
      <w:r w:rsidRPr="009A6B72">
        <w:t xml:space="preserve">streaming services, and </w:t>
      </w:r>
      <w:r>
        <w:t>software-as-service products</w:t>
      </w:r>
      <w:r w:rsidRPr="009A6B72">
        <w:t xml:space="preserve">. Some offline products and services, such as gym memberships, meal delivery and beauty treatment subscriptions, operate on a similar model. </w:t>
      </w:r>
      <w:r>
        <w:t xml:space="preserve">A common feature of a subscription contract </w:t>
      </w:r>
      <w:r>
        <w:rPr>
          <w:rFonts w:cstheme="minorBidi"/>
        </w:rPr>
        <w:t>is</w:t>
      </w:r>
      <w:r w:rsidRPr="5E979900">
        <w:rPr>
          <w:rFonts w:cstheme="minorBidi"/>
        </w:rPr>
        <w:t xml:space="preserve"> a provision enabling business</w:t>
      </w:r>
      <w:r>
        <w:rPr>
          <w:rFonts w:cstheme="minorBidi"/>
        </w:rPr>
        <w:t>es</w:t>
      </w:r>
      <w:r w:rsidRPr="5E979900">
        <w:rPr>
          <w:rFonts w:cstheme="minorBidi"/>
        </w:rPr>
        <w:t xml:space="preserve"> to continue to charge for products and services unless the consumer takes affirmative action to cancel the contract.</w:t>
      </w:r>
      <w:r w:rsidRPr="5E979900">
        <w:rPr>
          <w:rStyle w:val="FootnoteReference"/>
          <w:rFonts w:eastAsiaTheme="majorEastAsia" w:cstheme="minorBidi"/>
        </w:rPr>
        <w:footnoteReference w:id="28"/>
      </w:r>
      <w:r w:rsidRPr="5E979900">
        <w:rPr>
          <w:rFonts w:cstheme="minorBidi"/>
          <w:vertAlign w:val="superscript"/>
        </w:rPr>
        <w:t xml:space="preserve"> </w:t>
      </w:r>
      <w:r w:rsidRPr="009A6B72">
        <w:t>For many consumers subscription contracts can be a convenient and efficient way to purchase products or services, while businesses offering subscription products and services benefit from a</w:t>
      </w:r>
      <w:r>
        <w:t>n ongoing</w:t>
      </w:r>
      <w:r w:rsidRPr="009A6B72">
        <w:t xml:space="preserve"> revenue stream. However, </w:t>
      </w:r>
      <w:r>
        <w:t>consultation</w:t>
      </w:r>
      <w:r w:rsidRPr="009A6B72">
        <w:t xml:space="preserve"> identified a range of subscription practices which can cause consumer harm, including:</w:t>
      </w:r>
    </w:p>
    <w:p w14:paraId="45C3921A" w14:textId="546F0BB3" w:rsidR="00406CD0" w:rsidRPr="00D73EB5" w:rsidRDefault="00406CD0" w:rsidP="00406CD0">
      <w:pPr>
        <w:pStyle w:val="Bullet"/>
      </w:pPr>
      <w:r w:rsidRPr="00D73EB5">
        <w:t>Businesses not providing customers with the material information they need to make informed decisions about a subscription. For example, not providing key information about the subscription contract at the point of sale</w:t>
      </w:r>
      <w:r>
        <w:t>.</w:t>
      </w:r>
    </w:p>
    <w:p w14:paraId="7AC8D9EA" w14:textId="77777777" w:rsidR="00406CD0" w:rsidRPr="00D73EB5" w:rsidRDefault="00406CD0" w:rsidP="00406CD0">
      <w:pPr>
        <w:pStyle w:val="Bullet"/>
      </w:pPr>
      <w:r w:rsidRPr="00D73EB5">
        <w:t>Practices which make it difficult for customers to cancel their subscription. This can include cancellation processes that are difficult to navigate</w:t>
      </w:r>
      <w:r>
        <w:t>,</w:t>
      </w:r>
      <w:r w:rsidRPr="00D73EB5">
        <w:t xml:space="preserve"> overly complex, or which require cancellation through a particular channel (such as in person)</w:t>
      </w:r>
      <w:r>
        <w:t>.</w:t>
      </w:r>
    </w:p>
    <w:p w14:paraId="065CEA7C" w14:textId="77777777" w:rsidR="00406CD0" w:rsidRPr="00D73EB5" w:rsidRDefault="00406CD0" w:rsidP="00406CD0">
      <w:pPr>
        <w:pStyle w:val="Bullet"/>
      </w:pPr>
      <w:r w:rsidRPr="00D73EB5">
        <w:lastRenderedPageBreak/>
        <w:t>Subscription contracts which renew or automatically rollover from a free trial or promotional period to a paid or full price subscription, without the customer’s awareness</w:t>
      </w:r>
      <w:r>
        <w:t>.</w:t>
      </w:r>
    </w:p>
    <w:p w14:paraId="359C4FEB" w14:textId="113D6E85" w:rsidR="00406CD0" w:rsidRDefault="00406CD0" w:rsidP="00406CD0">
      <w:r>
        <w:t xml:space="preserve">The </w:t>
      </w:r>
      <w:r w:rsidR="008F2782">
        <w:t>ACCC</w:t>
      </w:r>
      <w:r w:rsidRPr="00970845">
        <w:rPr>
          <w:rStyle w:val="FootnoteReference"/>
          <w:rFonts w:eastAsiaTheme="majorEastAsia"/>
        </w:rPr>
        <w:footnoteReference w:id="29"/>
      </w:r>
      <w:r>
        <w:t xml:space="preserve"> and</w:t>
      </w:r>
      <w:r w:rsidR="00E30D92">
        <w:t xml:space="preserve"> Consumer Advocates</w:t>
      </w:r>
      <w:r w:rsidR="00B0375D">
        <w:t xml:space="preserve"> jointly</w:t>
      </w:r>
      <w:r w:rsidRPr="00970845">
        <w:rPr>
          <w:rStyle w:val="FootnoteReference"/>
          <w:rFonts w:eastAsiaTheme="majorEastAsia"/>
        </w:rPr>
        <w:footnoteReference w:id="30"/>
      </w:r>
      <w:r w:rsidRPr="003F0AF9">
        <w:rPr>
          <w:vertAlign w:val="superscript"/>
        </w:rPr>
        <w:t xml:space="preserve"> </w:t>
      </w:r>
      <w:r w:rsidRPr="005363A9">
        <w:t xml:space="preserve">submitted </w:t>
      </w:r>
      <w:r>
        <w:t>that</w:t>
      </w:r>
      <w:r w:rsidRPr="005363A9">
        <w:t xml:space="preserve"> these subscription-related practices can distort consumer choice</w:t>
      </w:r>
      <w:r>
        <w:t>s</w:t>
      </w:r>
      <w:r w:rsidRPr="005363A9">
        <w:t xml:space="preserve"> and </w:t>
      </w:r>
      <w:r>
        <w:t>result in</w:t>
      </w:r>
      <w:r w:rsidRPr="005363A9">
        <w:t xml:space="preserve"> </w:t>
      </w:r>
      <w:r>
        <w:t xml:space="preserve">consumers paying for </w:t>
      </w:r>
      <w:r w:rsidRPr="005363A9">
        <w:t>subscriptions they do</w:t>
      </w:r>
      <w:r>
        <w:t xml:space="preserve"> </w:t>
      </w:r>
      <w:r w:rsidRPr="005363A9">
        <w:t>n</w:t>
      </w:r>
      <w:r>
        <w:t>o</w:t>
      </w:r>
      <w:r w:rsidRPr="005363A9">
        <w:t>t want or no longer use</w:t>
      </w:r>
      <w:r>
        <w:t xml:space="preserve">. </w:t>
      </w:r>
    </w:p>
    <w:p w14:paraId="48B2BF0A" w14:textId="15C03F48" w:rsidR="00406CD0" w:rsidRPr="00680409" w:rsidRDefault="00406CD0" w:rsidP="00406CD0">
      <w:r>
        <w:t>The ACCC noted in its submission to the Supplementary Consultation that while subscriptions can offer genuine benefits, it has received many complaints from consumers and small businesses about the issues outlined above.</w:t>
      </w:r>
      <w:r w:rsidRPr="00C12B62">
        <w:rPr>
          <w:rStyle w:val="FootnoteReference"/>
          <w:rFonts w:eastAsiaTheme="majorEastAsia"/>
        </w:rPr>
        <w:footnoteReference w:id="31"/>
      </w:r>
      <w:r w:rsidRPr="00C12B62">
        <w:rPr>
          <w:vertAlign w:val="superscript"/>
        </w:rPr>
        <w:t xml:space="preserve"> </w:t>
      </w:r>
      <w:r w:rsidRPr="00CF0863">
        <w:t>Similarly</w:t>
      </w:r>
      <w:r>
        <w:t>,</w:t>
      </w:r>
      <w:r w:rsidRPr="00CF0863">
        <w:t xml:space="preserve"> </w:t>
      </w:r>
      <w:r>
        <w:t xml:space="preserve">the </w:t>
      </w:r>
      <w:r w:rsidR="001340C0">
        <w:t>TIO</w:t>
      </w:r>
      <w:r>
        <w:t xml:space="preserve"> submitted that it has received complaints from consumers experiencing difficulties cancelling a subscription, including where their provider would not accept their cancellation request unless the cancellation was done in a specific way, and where a provider did not cancel services despite receiving a cancellation request.</w:t>
      </w:r>
      <w:r w:rsidRPr="0076656C">
        <w:rPr>
          <w:rStyle w:val="FootnoteReference"/>
          <w:rFonts w:eastAsiaTheme="majorEastAsia"/>
        </w:rPr>
        <w:footnoteReference w:id="32"/>
      </w:r>
    </w:p>
    <w:p w14:paraId="0C57C637" w14:textId="2208CA1B" w:rsidR="00406CD0" w:rsidRDefault="00406CD0" w:rsidP="00406CD0">
      <w:r w:rsidRPr="00661907">
        <w:t>In the 2023 Australian Consumer Survey, 25 per cent of respondents reported difficulty cancelling subscriptions</w:t>
      </w:r>
      <w:r>
        <w:t>.</w:t>
      </w:r>
      <w:r w:rsidRPr="001D3A20">
        <w:rPr>
          <w:rStyle w:val="FootnoteReference"/>
          <w:rFonts w:eastAsiaTheme="majorEastAsia"/>
        </w:rPr>
        <w:footnoteReference w:id="33"/>
      </w:r>
      <w:r w:rsidRPr="001D3A20">
        <w:rPr>
          <w:vertAlign w:val="superscript"/>
        </w:rPr>
        <w:t xml:space="preserve"> </w:t>
      </w:r>
      <w:r w:rsidRPr="00661907">
        <w:t>A survey conducted by the CPRC in 2024 found that 75 per cent of Australians with subscriptions have had a negative experience when trying to cancel a subscription.</w:t>
      </w:r>
      <w:r w:rsidRPr="00FB2656">
        <w:rPr>
          <w:rStyle w:val="FootnoteReference"/>
          <w:rFonts w:eastAsiaTheme="majorEastAsia"/>
        </w:rPr>
        <w:t xml:space="preserve"> </w:t>
      </w:r>
      <w:r w:rsidRPr="00C12B62">
        <w:rPr>
          <w:rStyle w:val="FootnoteReference"/>
          <w:rFonts w:eastAsiaTheme="majorEastAsia"/>
        </w:rPr>
        <w:footnoteReference w:id="34"/>
      </w:r>
      <w:r>
        <w:t xml:space="preserve"> </w:t>
      </w:r>
      <w:r w:rsidRPr="00661907">
        <w:t>The CPRC survey also found that 48 per cent of Australians with subscriptions have spent more time than intended trying to cancel a subscription, and 32 per cent have felt pressured into keeping a subscription they wanted to cancel.</w:t>
      </w:r>
      <w:r>
        <w:rPr>
          <w:rStyle w:val="FootnoteReference"/>
          <w:rFonts w:eastAsiaTheme="majorEastAsia"/>
        </w:rPr>
        <w:footnoteReference w:id="35"/>
      </w:r>
      <w:r>
        <w:t xml:space="preserve"> </w:t>
      </w:r>
    </w:p>
    <w:p w14:paraId="0A962B14" w14:textId="77777777" w:rsidR="008966BE" w:rsidRDefault="00406CD0" w:rsidP="00406CD0">
      <w:r w:rsidRPr="007A6336">
        <w:t>In the ACCC</w:t>
      </w:r>
      <w:r>
        <w:t xml:space="preserve"> 2025 DPSI Consumer Survey Research Report</w:t>
      </w:r>
      <w:r w:rsidRPr="007A6336">
        <w:t>, 26% of consumers who had spent money on games in the past 2 years said they had thought they made a one-off gaming purchase that turned out to be a paid subscription, while the same proportion (26%) had paid subscriptions for games which they no longer use because they forgot to cancel them</w:t>
      </w:r>
      <w:r>
        <w:t>.</w:t>
      </w:r>
      <w:r>
        <w:rPr>
          <w:rStyle w:val="FootnoteReference"/>
        </w:rPr>
        <w:footnoteReference w:id="36"/>
      </w:r>
      <w:r>
        <w:t xml:space="preserve"> </w:t>
      </w:r>
      <w:r w:rsidRPr="00151E2E">
        <w:t>In relation to optional paid subscriptions for online market places, 41% of those who used or considered using these subscriptions believed online marketplaces should do more to make the costs and benefits of the subscriptions clearer.</w:t>
      </w:r>
      <w:r>
        <w:rPr>
          <w:rStyle w:val="FootnoteReference"/>
        </w:rPr>
        <w:footnoteReference w:id="37"/>
      </w:r>
      <w:r w:rsidR="000910A6">
        <w:t xml:space="preserve"> </w:t>
      </w:r>
    </w:p>
    <w:p w14:paraId="1E5BEED2" w14:textId="16769FBA" w:rsidR="00406CD0" w:rsidRDefault="00406CD0" w:rsidP="00406CD0">
      <w:r>
        <w:t>Research Commissioned by the UK’s Competition and Markets Authority (CMA) in 2022 found that 7 out of 10 UK adults had experienced misleading online practices, with 83 per cent of these adults reporting their biggest concern was about subscription traps.</w:t>
      </w:r>
      <w:r w:rsidRPr="009B7BE2">
        <w:rPr>
          <w:rStyle w:val="FootnoteReference"/>
          <w:rFonts w:eastAsiaTheme="majorEastAsia"/>
        </w:rPr>
        <w:footnoteReference w:id="38"/>
      </w:r>
      <w:r w:rsidRPr="009B7BE2">
        <w:rPr>
          <w:vertAlign w:val="superscript"/>
        </w:rPr>
        <w:t xml:space="preserve"> </w:t>
      </w:r>
      <w:r>
        <w:t>2024 r</w:t>
      </w:r>
      <w:r w:rsidRPr="0077323F">
        <w:t>esearch from</w:t>
      </w:r>
      <w:r>
        <w:t xml:space="preserve"> UK Charity</w:t>
      </w:r>
      <w:r w:rsidRPr="0077323F">
        <w:t xml:space="preserve"> Citizens Advice found that over 13 million people (26</w:t>
      </w:r>
      <w:r>
        <w:t xml:space="preserve"> per cent</w:t>
      </w:r>
      <w:r w:rsidRPr="0077323F">
        <w:t xml:space="preserve"> of UK adults) ha</w:t>
      </w:r>
      <w:r>
        <w:t xml:space="preserve">d </w:t>
      </w:r>
      <w:r w:rsidRPr="0077323F">
        <w:t xml:space="preserve">accidentally taken out a subscription in the last 12 months. </w:t>
      </w:r>
      <w:r w:rsidRPr="00964A5B">
        <w:t>Of those who ended up with an accidental subscription</w:t>
      </w:r>
      <w:r w:rsidR="006F549A">
        <w:t>,</w:t>
      </w:r>
      <w:r w:rsidRPr="00964A5B">
        <w:t xml:space="preserve"> the most common reason was because it </w:t>
      </w:r>
      <w:proofErr w:type="gramStart"/>
      <w:r w:rsidRPr="00964A5B">
        <w:t>auto-renewed</w:t>
      </w:r>
      <w:proofErr w:type="gramEnd"/>
      <w:r w:rsidRPr="00964A5B">
        <w:t xml:space="preserve"> without their knowledge (40</w:t>
      </w:r>
      <w:r>
        <w:t xml:space="preserve"> per cent</w:t>
      </w:r>
      <w:r w:rsidRPr="00964A5B">
        <w:t xml:space="preserve">). This </w:t>
      </w:r>
      <w:r w:rsidR="009145CC">
        <w:t>was</w:t>
      </w:r>
      <w:r w:rsidRPr="00964A5B">
        <w:t xml:space="preserve"> followed by people who took out a subscription for a free trial but forgot to cancel later (39</w:t>
      </w:r>
      <w:r>
        <w:t xml:space="preserve"> per cent</w:t>
      </w:r>
      <w:r w:rsidRPr="00964A5B">
        <w:t xml:space="preserve">). </w:t>
      </w:r>
      <w:r w:rsidRPr="00964A5B">
        <w:lastRenderedPageBreak/>
        <w:t>24</w:t>
      </w:r>
      <w:r>
        <w:t xml:space="preserve"> per cent of </w:t>
      </w:r>
      <w:r w:rsidRPr="00964A5B">
        <w:t xml:space="preserve">people </w:t>
      </w:r>
      <w:r>
        <w:t xml:space="preserve">who </w:t>
      </w:r>
      <w:r w:rsidRPr="00964A5B">
        <w:t>ended up in an accidental subscription thought they were making a one-off purchase.</w:t>
      </w:r>
      <w:r w:rsidRPr="00A67B80">
        <w:rPr>
          <w:rStyle w:val="FootnoteReference"/>
          <w:rFonts w:eastAsiaTheme="majorEastAsia"/>
        </w:rPr>
        <w:footnoteReference w:id="39"/>
      </w:r>
    </w:p>
    <w:p w14:paraId="47E5A2AA" w14:textId="77777777" w:rsidR="00406CD0" w:rsidRDefault="00406CD0" w:rsidP="00406CD0">
      <w:r>
        <w:t>Research commissioned by ING Australia in 2022 found that Australians could save an average of $1,261 a year by cutting back on subscriptions and other regular outgoings they have forgotten about or don’t use.</w:t>
      </w:r>
      <w:r w:rsidRPr="00AB5AA7">
        <w:rPr>
          <w:rStyle w:val="FootnoteReference"/>
          <w:rFonts w:eastAsiaTheme="majorEastAsia"/>
        </w:rPr>
        <w:footnoteReference w:id="40"/>
      </w:r>
    </w:p>
    <w:p w14:paraId="6CA259EC" w14:textId="5DC137E1" w:rsidR="00404BD4" w:rsidRDefault="00406CD0" w:rsidP="00406CD0">
      <w:r>
        <w:t xml:space="preserve">The UK Government’s 2023 Impact Assessment for the </w:t>
      </w:r>
      <w:r w:rsidRPr="00F6245B">
        <w:rPr>
          <w:i/>
        </w:rPr>
        <w:t xml:space="preserve">Digital Markets, Competition and Consumer Act </w:t>
      </w:r>
      <w:r w:rsidRPr="00F6245B">
        <w:rPr>
          <w:i/>
          <w:iCs/>
        </w:rPr>
        <w:t>2024</w:t>
      </w:r>
      <w:r>
        <w:t xml:space="preserve"> estimated 8.4 million subscription contracts are unwanted in the UK, costing consumers around </w:t>
      </w:r>
      <w:r w:rsidRPr="00FE022F">
        <w:t>£1.6 billion a year</w:t>
      </w:r>
      <w:r>
        <w:t>.</w:t>
      </w:r>
      <w:r w:rsidRPr="00EC3CAB">
        <w:rPr>
          <w:rStyle w:val="FootnoteReference"/>
          <w:rFonts w:eastAsiaTheme="majorEastAsia"/>
        </w:rPr>
        <w:footnoteReference w:id="41"/>
      </w:r>
      <w:r w:rsidRPr="00506A9F">
        <w:rPr>
          <w:rFonts w:ascii="Segoe UI" w:hAnsi="Segoe UI" w:cs="Segoe UI"/>
          <w:sz w:val="18"/>
          <w:szCs w:val="18"/>
        </w:rPr>
        <w:t xml:space="preserve"> </w:t>
      </w:r>
      <w:r w:rsidRPr="00506A9F">
        <w:t xml:space="preserve">While such analysis </w:t>
      </w:r>
      <w:r>
        <w:t>is not available</w:t>
      </w:r>
      <w:r w:rsidRPr="00506A9F">
        <w:t xml:space="preserve"> for Australia, the scale of the problem as a proportion of the consumer base is </w:t>
      </w:r>
      <w:r w:rsidR="00242ABF">
        <w:t>assumed</w:t>
      </w:r>
      <w:r w:rsidR="00242ABF" w:rsidRPr="00506A9F">
        <w:t xml:space="preserve"> </w:t>
      </w:r>
      <w:r w:rsidRPr="00506A9F">
        <w:t>to be similar</w:t>
      </w:r>
      <w:r>
        <w:t>, perhaps even greater given continued growth in the subscription products and services since 2023.</w:t>
      </w:r>
      <w:r w:rsidRPr="00970845">
        <w:rPr>
          <w:rStyle w:val="FootnoteReference"/>
          <w:rFonts w:eastAsiaTheme="majorEastAsia"/>
        </w:rPr>
        <w:footnoteReference w:id="42"/>
      </w:r>
    </w:p>
    <w:p w14:paraId="4BAF6946" w14:textId="77777777" w:rsidR="001B3525" w:rsidRDefault="001B3525" w:rsidP="001B3525">
      <w:pPr>
        <w:pStyle w:val="Heading3"/>
      </w:pPr>
      <w:bookmarkStart w:id="14" w:name="_Toc202971508"/>
      <w:bookmarkStart w:id="15" w:name="_Toc206422511"/>
      <w:r>
        <w:t>Pricing-related practices</w:t>
      </w:r>
      <w:bookmarkEnd w:id="14"/>
      <w:bookmarkEnd w:id="15"/>
    </w:p>
    <w:p w14:paraId="23668975" w14:textId="34A17A86" w:rsidR="001B3525" w:rsidRDefault="001B3525" w:rsidP="001B3525">
      <w:pPr>
        <w:rPr>
          <w:rFonts w:eastAsia="Calibri"/>
        </w:rPr>
      </w:pPr>
      <w:r>
        <w:t xml:space="preserve">Stakeholders have also raised concerns about pricing practices that obscure the true cost of goods or services, but which may </w:t>
      </w:r>
      <w:r w:rsidR="0011477B">
        <w:t xml:space="preserve">not be adequately addressed </w:t>
      </w:r>
      <w:r>
        <w:t xml:space="preserve">in the ACL. </w:t>
      </w:r>
      <w:r>
        <w:rPr>
          <w:rFonts w:eastAsia="Calibri"/>
        </w:rPr>
        <w:t>One such example is drip pricing practices, where businesses gradually add fees during the purchasing process. Under the ACL,</w:t>
      </w:r>
      <w:r w:rsidRPr="3B38F253">
        <w:rPr>
          <w:rFonts w:eastAsia="Calibri"/>
        </w:rPr>
        <w:t xml:space="preserve"> </w:t>
      </w:r>
      <w:r w:rsidR="00912E3E">
        <w:rPr>
          <w:rFonts w:eastAsia="Calibri"/>
        </w:rPr>
        <w:t>while there are requirements that businesses must not engage in misleading con</w:t>
      </w:r>
      <w:r w:rsidR="00BC676B">
        <w:rPr>
          <w:rFonts w:eastAsia="Calibri"/>
        </w:rPr>
        <w:t xml:space="preserve">duct </w:t>
      </w:r>
      <w:r w:rsidR="001E2202">
        <w:rPr>
          <w:rFonts w:eastAsia="Calibri"/>
        </w:rPr>
        <w:t xml:space="preserve">or misleading representations about </w:t>
      </w:r>
      <w:r w:rsidR="004574A6">
        <w:rPr>
          <w:rFonts w:eastAsia="Calibri"/>
        </w:rPr>
        <w:t xml:space="preserve">prices, </w:t>
      </w:r>
      <w:r w:rsidR="00537107">
        <w:rPr>
          <w:rFonts w:eastAsia="Calibri"/>
        </w:rPr>
        <w:t xml:space="preserve">there is no specific </w:t>
      </w:r>
      <w:r w:rsidR="00B956C8">
        <w:rPr>
          <w:rFonts w:eastAsia="Calibri"/>
        </w:rPr>
        <w:t xml:space="preserve">requirement for </w:t>
      </w:r>
      <w:r w:rsidRPr="3B38F253">
        <w:rPr>
          <w:rFonts w:eastAsia="Calibri"/>
        </w:rPr>
        <w:t xml:space="preserve">businesses to disclose </w:t>
      </w:r>
      <w:r w:rsidR="00537448">
        <w:rPr>
          <w:rFonts w:eastAsia="Calibri"/>
        </w:rPr>
        <w:t>mandatory fees charged on a</w:t>
      </w:r>
      <w:r w:rsidRPr="3B38F253">
        <w:rPr>
          <w:rFonts w:eastAsia="Calibri"/>
        </w:rPr>
        <w:t xml:space="preserve"> ‘per transaction’ </w:t>
      </w:r>
      <w:r w:rsidR="00537448">
        <w:rPr>
          <w:rFonts w:eastAsia="Calibri"/>
        </w:rPr>
        <w:t xml:space="preserve">basis </w:t>
      </w:r>
      <w:r w:rsidRPr="3B38F253">
        <w:rPr>
          <w:rFonts w:eastAsia="Calibri"/>
        </w:rPr>
        <w:t>prominently and upfront. This means that, provided businesses are not misleading consumers regarding prices or otherwise engaging in a breach of the ACL,</w:t>
      </w:r>
      <w:r w:rsidR="00F61A29">
        <w:rPr>
          <w:rStyle w:val="FootnoteReference"/>
          <w:rFonts w:eastAsia="Calibri"/>
        </w:rPr>
        <w:footnoteReference w:id="43"/>
      </w:r>
      <w:r w:rsidRPr="3B38F253">
        <w:rPr>
          <w:rFonts w:eastAsia="Calibri"/>
        </w:rPr>
        <w:t xml:space="preserve"> businesses can choose to display per transaction fees later in the purchasing process. </w:t>
      </w:r>
    </w:p>
    <w:p w14:paraId="2FB41DFA" w14:textId="3F67282F" w:rsidR="001B3525" w:rsidRPr="006D31FE" w:rsidRDefault="001B3525" w:rsidP="001B3525">
      <w:pPr>
        <w:rPr>
          <w:rFonts w:cs="Calibri Light"/>
          <w:vertAlign w:val="superscript"/>
        </w:rPr>
      </w:pPr>
      <w:r w:rsidRPr="3B38F253">
        <w:rPr>
          <w:rFonts w:eastAsia="Calibri"/>
        </w:rPr>
        <w:t xml:space="preserve">Stakeholders have submitted that where per transaction fees are ‘dripped’ in this way, as opposed to being disclosed upfront, </w:t>
      </w:r>
      <w:r w:rsidRPr="3B38F253">
        <w:rPr>
          <w:rFonts w:eastAsia="Calibri Light" w:cs="Calibri Light"/>
        </w:rPr>
        <w:t xml:space="preserve">consumers </w:t>
      </w:r>
      <w:r>
        <w:rPr>
          <w:rFonts w:eastAsia="Calibri Light" w:cs="Calibri Light"/>
        </w:rPr>
        <w:t>are</w:t>
      </w:r>
      <w:r w:rsidRPr="3B38F253">
        <w:rPr>
          <w:rFonts w:eastAsia="Calibri Light" w:cs="Calibri Light"/>
        </w:rPr>
        <w:t xml:space="preserve"> more likely to proceed with a purchase </w:t>
      </w:r>
      <w:r>
        <w:rPr>
          <w:rFonts w:eastAsia="Calibri Light" w:cs="Calibri Light"/>
        </w:rPr>
        <w:t>given</w:t>
      </w:r>
      <w:r w:rsidRPr="3B38F253">
        <w:rPr>
          <w:rFonts w:eastAsia="Calibri Light" w:cs="Calibri Light"/>
        </w:rPr>
        <w:t xml:space="preserve"> the time and effort already invested in the purchasing process. </w:t>
      </w:r>
      <w:r w:rsidRPr="006D31FE">
        <w:rPr>
          <w:rFonts w:cs="Calibri Light"/>
        </w:rPr>
        <w:t>I</w:t>
      </w:r>
      <w:r w:rsidRPr="006D31FE">
        <w:rPr>
          <w:rFonts w:eastAsiaTheme="minorEastAsia" w:cs="Calibri Light"/>
        </w:rPr>
        <w:t xml:space="preserve">n its submission, the ACCC noted that once a consumer selects an advertised product or service and begins the payment process, the behavioural economic theory of </w:t>
      </w:r>
      <w:r>
        <w:rPr>
          <w:rFonts w:eastAsiaTheme="minorEastAsia" w:cs="Calibri Light"/>
        </w:rPr>
        <w:t>‘</w:t>
      </w:r>
      <w:r w:rsidRPr="006D31FE">
        <w:rPr>
          <w:rFonts w:eastAsiaTheme="minorEastAsia" w:cs="Calibri Light"/>
        </w:rPr>
        <w:t>loss aversion</w:t>
      </w:r>
      <w:r>
        <w:rPr>
          <w:rFonts w:eastAsiaTheme="minorEastAsia" w:cs="Calibri Light"/>
        </w:rPr>
        <w:t>’</w:t>
      </w:r>
      <w:r w:rsidRPr="006D31FE">
        <w:rPr>
          <w:rFonts w:eastAsiaTheme="minorEastAsia" w:cs="Calibri Light"/>
        </w:rPr>
        <w:t xml:space="preserve"> suggests that consumers form an expectation and attachment to the idea that the purchase will be completed.</w:t>
      </w:r>
      <w:r w:rsidRPr="006D31FE">
        <w:rPr>
          <w:rStyle w:val="FootnoteReference"/>
          <w:rFonts w:eastAsiaTheme="minorEastAsia" w:cs="Calibri Light"/>
          <w:sz w:val="22"/>
          <w:szCs w:val="22"/>
        </w:rPr>
        <w:footnoteReference w:id="44"/>
      </w:r>
      <w:r w:rsidRPr="006D31FE">
        <w:rPr>
          <w:rFonts w:eastAsiaTheme="minorEastAsia" w:cs="Calibri Light"/>
        </w:rPr>
        <w:t xml:space="preserve"> By the point that non-optional prices are </w:t>
      </w:r>
      <w:r>
        <w:rPr>
          <w:rFonts w:eastAsiaTheme="minorEastAsia" w:cs="Calibri Light"/>
        </w:rPr>
        <w:t>’</w:t>
      </w:r>
      <w:r w:rsidRPr="006D31FE">
        <w:rPr>
          <w:rFonts w:eastAsiaTheme="minorEastAsia" w:cs="Calibri Light"/>
        </w:rPr>
        <w:t>dripped</w:t>
      </w:r>
      <w:r>
        <w:rPr>
          <w:rFonts w:eastAsiaTheme="minorEastAsia" w:cs="Calibri Light"/>
        </w:rPr>
        <w:t>’</w:t>
      </w:r>
      <w:r w:rsidRPr="006D31FE">
        <w:rPr>
          <w:rFonts w:eastAsiaTheme="minorEastAsia" w:cs="Calibri Light"/>
        </w:rPr>
        <w:t xml:space="preserve">, and the consumer realises the product or service is more expensive than advertised, terminating the transaction can feel like a </w:t>
      </w:r>
      <w:r>
        <w:rPr>
          <w:rFonts w:eastAsiaTheme="minorEastAsia" w:cs="Calibri Light"/>
        </w:rPr>
        <w:t>‘</w:t>
      </w:r>
      <w:r w:rsidRPr="006D31FE">
        <w:rPr>
          <w:rFonts w:eastAsiaTheme="minorEastAsia" w:cs="Calibri Light"/>
        </w:rPr>
        <w:t>loss</w:t>
      </w:r>
      <w:r>
        <w:rPr>
          <w:rFonts w:eastAsiaTheme="minorEastAsia" w:cs="Calibri Light"/>
        </w:rPr>
        <w:t>’</w:t>
      </w:r>
      <w:r w:rsidRPr="006D31FE">
        <w:rPr>
          <w:rFonts w:eastAsiaTheme="minorEastAsia" w:cs="Calibri Light"/>
        </w:rPr>
        <w:t>.</w:t>
      </w:r>
      <w:r w:rsidRPr="006D31FE">
        <w:rPr>
          <w:rStyle w:val="FootnoteReference"/>
          <w:rFonts w:eastAsiaTheme="majorEastAsia" w:cs="Calibri Light"/>
        </w:rPr>
        <w:footnoteReference w:id="45"/>
      </w:r>
      <w:r w:rsidRPr="006D31FE">
        <w:rPr>
          <w:rFonts w:cs="Calibri Light"/>
          <w:vertAlign w:val="superscript"/>
        </w:rPr>
        <w:t xml:space="preserve"> </w:t>
      </w:r>
    </w:p>
    <w:p w14:paraId="2BEEDCCF" w14:textId="77777777" w:rsidR="001B3525" w:rsidRPr="006D31FE" w:rsidRDefault="001B3525" w:rsidP="001B3525">
      <w:pPr>
        <w:spacing w:after="200"/>
        <w:rPr>
          <w:rFonts w:eastAsia="Calibri" w:cs="Calibri Light"/>
        </w:rPr>
      </w:pPr>
      <w:r w:rsidRPr="006D31FE">
        <w:rPr>
          <w:rFonts w:eastAsia="Calibri" w:cs="Calibri Light"/>
        </w:rPr>
        <w:t>Stakeholders also considered that this type of drip pricing impairs the consumer</w:t>
      </w:r>
      <w:r>
        <w:rPr>
          <w:rFonts w:eastAsia="Calibri" w:cs="Calibri Light"/>
        </w:rPr>
        <w:t>’</w:t>
      </w:r>
      <w:r w:rsidRPr="006D31FE">
        <w:rPr>
          <w:rFonts w:eastAsia="Calibri" w:cs="Calibri Light"/>
        </w:rPr>
        <w:t xml:space="preserve">s ability to make informed purchasing decisions prior to entering </w:t>
      </w:r>
      <w:r>
        <w:rPr>
          <w:rFonts w:eastAsia="Calibri" w:cs="Calibri Light"/>
        </w:rPr>
        <w:t>the</w:t>
      </w:r>
      <w:r w:rsidRPr="006D31FE">
        <w:rPr>
          <w:rFonts w:eastAsia="Calibri" w:cs="Calibri Light"/>
        </w:rPr>
        <w:t xml:space="preserve"> transaction</w:t>
      </w:r>
      <w:r>
        <w:rPr>
          <w:rFonts w:eastAsia="Calibri" w:cs="Calibri Light"/>
        </w:rPr>
        <w:t xml:space="preserve"> process</w:t>
      </w:r>
      <w:r w:rsidRPr="006D31FE">
        <w:rPr>
          <w:rFonts w:eastAsia="Calibri" w:cs="Calibri Light"/>
        </w:rPr>
        <w:t xml:space="preserve">. Without full pricing information at their disposal, consumers are less likely to shop around for a better price or assess their </w:t>
      </w:r>
      <w:r w:rsidRPr="006D31FE">
        <w:rPr>
          <w:rFonts w:eastAsia="Calibri" w:cs="Calibri Light"/>
        </w:rPr>
        <w:lastRenderedPageBreak/>
        <w:t xml:space="preserve">willingness to pay additional transaction fees in a neutral setting devoid of the psychological pressures outlined above. </w:t>
      </w:r>
    </w:p>
    <w:p w14:paraId="67F8E695" w14:textId="1B356D80" w:rsidR="00341B46" w:rsidRDefault="001B3525" w:rsidP="001B3525">
      <w:pPr>
        <w:rPr>
          <w:rFonts w:eastAsiaTheme="minorEastAsia" w:cs="Calibri Light"/>
        </w:rPr>
      </w:pPr>
      <w:r>
        <w:rPr>
          <w:rFonts w:cs="Calibri Light"/>
        </w:rPr>
        <w:t>Findings from</w:t>
      </w:r>
      <w:r w:rsidRPr="006D31FE">
        <w:rPr>
          <w:rFonts w:cs="Calibri Light"/>
        </w:rPr>
        <w:t xml:space="preserve"> the 2023 Australian Consumer Surve</w:t>
      </w:r>
      <w:r w:rsidRPr="006D31FE">
        <w:rPr>
          <w:rFonts w:eastAsiaTheme="minorEastAsia" w:cs="Calibri Light"/>
        </w:rPr>
        <w:t>y</w:t>
      </w:r>
      <w:r>
        <w:rPr>
          <w:rFonts w:eastAsiaTheme="minorEastAsia" w:cs="Calibri Light"/>
        </w:rPr>
        <w:t xml:space="preserve"> showed that 68 per cent of Australian consumers experienced problems when making online purchases in the last </w:t>
      </w:r>
      <w:r w:rsidR="00B95C0F">
        <w:rPr>
          <w:rFonts w:eastAsiaTheme="minorEastAsia" w:cs="Calibri Light"/>
        </w:rPr>
        <w:t xml:space="preserve">2 </w:t>
      </w:r>
      <w:r>
        <w:rPr>
          <w:rFonts w:eastAsiaTheme="minorEastAsia" w:cs="Calibri Light"/>
        </w:rPr>
        <w:t>years. Of those consumers,</w:t>
      </w:r>
      <w:r w:rsidRPr="006D31FE">
        <w:rPr>
          <w:rFonts w:eastAsiaTheme="minorEastAsia" w:cs="Calibri Light"/>
        </w:rPr>
        <w:t xml:space="preserve"> 26</w:t>
      </w:r>
      <w:r>
        <w:rPr>
          <w:rFonts w:eastAsiaTheme="minorEastAsia" w:cs="Calibri Light"/>
        </w:rPr>
        <w:t xml:space="preserve"> per cent</w:t>
      </w:r>
      <w:r w:rsidRPr="006D31FE">
        <w:rPr>
          <w:rFonts w:eastAsiaTheme="minorEastAsia" w:cs="Calibri Light"/>
        </w:rPr>
        <w:t xml:space="preserve"> of consumers</w:t>
      </w:r>
      <w:r>
        <w:rPr>
          <w:rFonts w:eastAsiaTheme="minorEastAsia" w:cs="Calibri Light"/>
        </w:rPr>
        <w:t xml:space="preserve"> said they had</w:t>
      </w:r>
      <w:r w:rsidRPr="006D31FE">
        <w:rPr>
          <w:rFonts w:eastAsiaTheme="minorEastAsia" w:cs="Calibri Light"/>
        </w:rPr>
        <w:t xml:space="preserve"> experienced undisclosed charges being added during a transaction</w:t>
      </w:r>
      <w:r w:rsidRPr="064B935B">
        <w:rPr>
          <w:rFonts w:eastAsiaTheme="minorEastAsia" w:cs="Calibri Light"/>
        </w:rPr>
        <w:t>.</w:t>
      </w:r>
      <w:r w:rsidRPr="064B935B">
        <w:rPr>
          <w:rStyle w:val="FootnoteReference"/>
          <w:rFonts w:eastAsiaTheme="minorEastAsia" w:cs="Calibri Light"/>
          <w:sz w:val="22"/>
          <w:szCs w:val="22"/>
        </w:rPr>
        <w:footnoteReference w:id="46"/>
      </w:r>
      <w:r w:rsidRPr="064B935B">
        <w:rPr>
          <w:rFonts w:eastAsiaTheme="minorEastAsia" w:cs="Calibri Light"/>
          <w:lang w:val="en-GB"/>
        </w:rPr>
        <w:t xml:space="preserve"> A 2022</w:t>
      </w:r>
      <w:r w:rsidRPr="006D31FE">
        <w:rPr>
          <w:rFonts w:eastAsiaTheme="minorEastAsia" w:cs="Calibri Light"/>
          <w:lang w:val="en-GB"/>
        </w:rPr>
        <w:t xml:space="preserve"> UK CMA report stated that drip pricing has been shown in several experimental, theoretical and real-world scenarios to lead consumers to buy more, overspend, underestim</w:t>
      </w:r>
      <w:r w:rsidRPr="006D31FE" w:rsidDel="100E220C">
        <w:rPr>
          <w:rFonts w:eastAsiaTheme="minorEastAsia" w:cs="Calibri Light"/>
          <w:lang w:val="en-GB"/>
        </w:rPr>
        <w:t>a</w:t>
      </w:r>
      <w:r w:rsidRPr="006D31FE">
        <w:rPr>
          <w:rFonts w:eastAsiaTheme="minorEastAsia" w:cs="Calibri Light"/>
          <w:lang w:val="en-GB"/>
        </w:rPr>
        <w:t>te the total price, make mistakes when searching, and be less happy with their purchases.</w:t>
      </w:r>
      <w:r w:rsidRPr="006D31FE">
        <w:rPr>
          <w:rStyle w:val="FootnoteReference"/>
          <w:rFonts w:eastAsiaTheme="minorEastAsia" w:cs="Calibri Light"/>
          <w:sz w:val="22"/>
          <w:szCs w:val="22"/>
          <w:lang w:val="en-GB"/>
        </w:rPr>
        <w:footnoteReference w:id="47"/>
      </w:r>
      <w:r w:rsidR="0017247E">
        <w:rPr>
          <w:rStyle w:val="CommentReference"/>
          <w:rFonts w:ascii="Calibri" w:eastAsiaTheme="minorEastAsia" w:hAnsi="Calibri"/>
        </w:rPr>
        <w:t xml:space="preserve"> </w:t>
      </w:r>
      <w:r w:rsidR="00AB2FDF">
        <w:rPr>
          <w:rFonts w:eastAsiaTheme="minorEastAsia" w:cs="Calibri Light"/>
        </w:rPr>
        <w:t>For example, analysis</w:t>
      </w:r>
      <w:r w:rsidR="00EB144A">
        <w:rPr>
          <w:rFonts w:eastAsiaTheme="minorEastAsia" w:cs="Calibri Light"/>
        </w:rPr>
        <w:t xml:space="preserve"> </w:t>
      </w:r>
      <w:r w:rsidR="00257655">
        <w:rPr>
          <w:rFonts w:eastAsiaTheme="minorEastAsia" w:cs="Calibri Light"/>
        </w:rPr>
        <w:t>of</w:t>
      </w:r>
      <w:r w:rsidR="00EB144A">
        <w:rPr>
          <w:rFonts w:eastAsiaTheme="minorEastAsia" w:cs="Calibri Light"/>
        </w:rPr>
        <w:t xml:space="preserve"> the effects of</w:t>
      </w:r>
      <w:r w:rsidR="00A147B9">
        <w:rPr>
          <w:rFonts w:eastAsiaTheme="minorEastAsia" w:cs="Calibri Light"/>
        </w:rPr>
        <w:t xml:space="preserve"> </w:t>
      </w:r>
      <w:r w:rsidR="005846B3">
        <w:rPr>
          <w:rFonts w:eastAsiaTheme="minorEastAsia" w:cs="Calibri Light"/>
        </w:rPr>
        <w:t>displaying</w:t>
      </w:r>
      <w:r w:rsidR="006C36F9">
        <w:rPr>
          <w:rFonts w:eastAsiaTheme="minorEastAsia" w:cs="Calibri Light"/>
        </w:rPr>
        <w:t xml:space="preserve"> fees </w:t>
      </w:r>
      <w:r w:rsidR="00567C6E">
        <w:rPr>
          <w:rFonts w:eastAsiaTheme="minorEastAsia" w:cs="Calibri Light"/>
        </w:rPr>
        <w:t>at different points in</w:t>
      </w:r>
      <w:r w:rsidR="00EB144A">
        <w:rPr>
          <w:rFonts w:eastAsiaTheme="minorEastAsia" w:cs="Calibri Light"/>
        </w:rPr>
        <w:t xml:space="preserve"> the transaction process</w:t>
      </w:r>
      <w:r w:rsidR="006268F3">
        <w:rPr>
          <w:rFonts w:eastAsiaTheme="minorEastAsia" w:cs="Calibri Light"/>
        </w:rPr>
        <w:t xml:space="preserve"> suggested</w:t>
      </w:r>
      <w:r w:rsidR="00567C6E">
        <w:rPr>
          <w:rFonts w:eastAsiaTheme="minorEastAsia" w:cs="Calibri Light"/>
        </w:rPr>
        <w:t xml:space="preserve"> that </w:t>
      </w:r>
      <w:r w:rsidR="00E7118C">
        <w:rPr>
          <w:rFonts w:eastAsiaTheme="minorEastAsia" w:cs="Calibri Light"/>
        </w:rPr>
        <w:t xml:space="preserve">fees shown at the end </w:t>
      </w:r>
      <w:r w:rsidR="006268F3">
        <w:rPr>
          <w:rFonts w:eastAsiaTheme="minorEastAsia" w:cs="Calibri Light"/>
        </w:rPr>
        <w:t>o</w:t>
      </w:r>
      <w:r w:rsidR="00E7118C">
        <w:rPr>
          <w:rFonts w:eastAsiaTheme="minorEastAsia" w:cs="Calibri Light"/>
        </w:rPr>
        <w:t xml:space="preserve">f </w:t>
      </w:r>
      <w:r w:rsidR="00257655">
        <w:rPr>
          <w:rFonts w:eastAsiaTheme="minorEastAsia" w:cs="Calibri Light"/>
        </w:rPr>
        <w:t>a</w:t>
      </w:r>
      <w:r w:rsidR="00E7118C">
        <w:rPr>
          <w:rFonts w:eastAsiaTheme="minorEastAsia" w:cs="Calibri Light"/>
        </w:rPr>
        <w:t xml:space="preserve"> </w:t>
      </w:r>
      <w:r w:rsidR="00EA19ED">
        <w:rPr>
          <w:rFonts w:eastAsiaTheme="minorEastAsia" w:cs="Calibri Light"/>
        </w:rPr>
        <w:t>transaction</w:t>
      </w:r>
      <w:r w:rsidR="00E7118C">
        <w:rPr>
          <w:rFonts w:eastAsiaTheme="minorEastAsia" w:cs="Calibri Light"/>
        </w:rPr>
        <w:t xml:space="preserve"> process makes price comparisons more difficult for consumers.</w:t>
      </w:r>
      <w:r w:rsidR="006268F3">
        <w:rPr>
          <w:rStyle w:val="FootnoteReference"/>
          <w:rFonts w:eastAsiaTheme="minorEastAsia" w:cs="Calibri Light"/>
        </w:rPr>
        <w:footnoteReference w:id="48"/>
      </w:r>
      <w:r w:rsidR="00E7118C">
        <w:rPr>
          <w:rFonts w:eastAsiaTheme="minorEastAsia" w:cs="Calibri Light"/>
        </w:rPr>
        <w:t xml:space="preserve"> </w:t>
      </w:r>
    </w:p>
    <w:p w14:paraId="74B396F8" w14:textId="7E37EB2D" w:rsidR="001B3525" w:rsidRPr="006D31FE" w:rsidRDefault="001B3525" w:rsidP="001B3525">
      <w:pPr>
        <w:rPr>
          <w:rStyle w:val="FootnoteReference"/>
          <w:rFonts w:eastAsiaTheme="minorEastAsia" w:cs="Calibri Light"/>
          <w:sz w:val="22"/>
          <w:szCs w:val="22"/>
          <w:lang w:val="en-GB"/>
        </w:rPr>
      </w:pPr>
      <w:r>
        <w:rPr>
          <w:rFonts w:eastAsiaTheme="minorEastAsia" w:cs="Calibri Light"/>
          <w:lang w:val="en-GB"/>
        </w:rPr>
        <w:t>Further, in research estimating the prevalence and impact of online drip pricing commissioned by the UK Department for Business and Trade, analysis of the purchasing process of a sample of online providers identified that service fees (fees charged to receive or purchase a service, such as booking or processing fees) tend to consistently meet multiple criteria of harm.</w:t>
      </w:r>
      <w:r w:rsidRPr="006A24AA">
        <w:rPr>
          <w:rStyle w:val="FootnoteReference"/>
          <w:rFonts w:eastAsiaTheme="minorEastAsia" w:cs="Calibri Light"/>
          <w:sz w:val="22"/>
          <w:szCs w:val="22"/>
          <w:lang w:val="en-GB"/>
        </w:rPr>
        <w:footnoteReference w:id="49"/>
      </w:r>
      <w:r w:rsidRPr="006A24AA">
        <w:rPr>
          <w:rStyle w:val="FootnoteReference"/>
          <w:rFonts w:eastAsiaTheme="majorEastAsia"/>
          <w:sz w:val="22"/>
          <w:szCs w:val="22"/>
        </w:rPr>
        <w:t xml:space="preserve"> </w:t>
      </w:r>
      <w:r>
        <w:rPr>
          <w:rFonts w:eastAsiaTheme="minorEastAsia" w:cs="Calibri Light"/>
          <w:lang w:val="en-GB"/>
        </w:rPr>
        <w:t xml:space="preserve">This conclusion was formed on the basis that service fees are the most likely fee type to be mandatory (99 per cent of the sample) </w:t>
      </w:r>
      <w:r>
        <w:rPr>
          <w:rFonts w:eastAsiaTheme="minorEastAsia" w:cs="Calibri Light"/>
        </w:rPr>
        <w:t>with</w:t>
      </w:r>
      <w:r w:rsidRPr="00A5249D">
        <w:rPr>
          <w:rFonts w:eastAsiaTheme="minorEastAsia" w:cs="Calibri Light"/>
        </w:rPr>
        <w:t xml:space="preserve"> </w:t>
      </w:r>
      <w:r>
        <w:rPr>
          <w:rFonts w:eastAsiaTheme="minorEastAsia" w:cs="Calibri Light"/>
        </w:rPr>
        <w:t>74 per cent of these fees</w:t>
      </w:r>
      <w:r w:rsidRPr="00A5249D">
        <w:rPr>
          <w:rFonts w:eastAsiaTheme="minorEastAsia" w:cs="Calibri Light"/>
        </w:rPr>
        <w:t xml:space="preserve"> presented </w:t>
      </w:r>
      <w:r>
        <w:rPr>
          <w:rFonts w:eastAsiaTheme="minorEastAsia" w:cs="Calibri Light"/>
        </w:rPr>
        <w:t>late in the</w:t>
      </w:r>
      <w:r w:rsidRPr="00A5249D">
        <w:rPr>
          <w:rFonts w:eastAsiaTheme="minorEastAsia" w:cs="Calibri Light"/>
        </w:rPr>
        <w:t xml:space="preserve"> checkout process.</w:t>
      </w:r>
      <w:r w:rsidRPr="006A24AA">
        <w:rPr>
          <w:rStyle w:val="FootnoteReference"/>
          <w:rFonts w:eastAsiaTheme="minorEastAsia" w:cs="Calibri Light"/>
          <w:sz w:val="22"/>
          <w:szCs w:val="22"/>
          <w:lang w:val="en-GB"/>
        </w:rPr>
        <w:footnoteReference w:id="50"/>
      </w:r>
    </w:p>
    <w:p w14:paraId="045EB830" w14:textId="2C33EA5F" w:rsidR="002C6131" w:rsidRPr="001A5AA5" w:rsidRDefault="001B3525" w:rsidP="001B3525">
      <w:r>
        <w:t xml:space="preserve">Dynamic pricing, where a business increases the price of a good or service during the purchasing process based on factors such as demand, is another practice that can harm consumers. </w:t>
      </w:r>
      <w:r w:rsidRPr="00062834">
        <w:t xml:space="preserve">Dynamic pricing </w:t>
      </w:r>
      <w:r w:rsidR="00A138D3" w:rsidRPr="001A5AA5">
        <w:t xml:space="preserve">as defined in this paper is distinct from surge pricing, where a business may change the price of a good or service in response to factors such as demand, but the price is agreed to and set before the transaction commences. </w:t>
      </w:r>
    </w:p>
    <w:p w14:paraId="28B3AC6B" w14:textId="598EE84D" w:rsidR="001B3525" w:rsidRDefault="001B3525" w:rsidP="001B3525">
      <w:r w:rsidDel="00D815F9">
        <w:t>D</w:t>
      </w:r>
      <w:r>
        <w:t>ynamic pricing</w:t>
      </w:r>
      <w:r w:rsidR="00003FB6">
        <w:t xml:space="preserve"> (</w:t>
      </w:r>
      <w:r w:rsidR="00C25BD1">
        <w:t xml:space="preserve">as </w:t>
      </w:r>
      <w:r w:rsidR="00003FB6">
        <w:t xml:space="preserve">defined </w:t>
      </w:r>
      <w:r w:rsidR="00B951FF">
        <w:t>above</w:t>
      </w:r>
      <w:r w:rsidR="002A3374">
        <w:t>)</w:t>
      </w:r>
      <w:r w:rsidR="004D70B4">
        <w:t xml:space="preserve"> involves</w:t>
      </w:r>
      <w:r>
        <w:t xml:space="preserve"> </w:t>
      </w:r>
      <w:r w:rsidR="00003FB6">
        <w:t xml:space="preserve">a business </w:t>
      </w:r>
      <w:r>
        <w:t>increas</w:t>
      </w:r>
      <w:r w:rsidR="009817F0">
        <w:t>ing</w:t>
      </w:r>
      <w:r>
        <w:t xml:space="preserve"> the purchase price over a short period of time, often far beyond the price initially displayed for that item, with the final price not being revealed until close to, or at, the point of purchase. Where the true price of the item is masked in this way until late in the transaction, consumers can feel trapped into continuing with the purchase at the increased price out of pressure or fear of missing out, particularly if some time has been spent waiting to purchase and/or the product or service on offer is in limited supply. This can distort consumer choice so that consumers end up spending more than they initially intended. </w:t>
      </w:r>
    </w:p>
    <w:p w14:paraId="6179433B" w14:textId="51AD9929" w:rsidR="00404BD4" w:rsidRDefault="001B3525" w:rsidP="00406CD0">
      <w:r>
        <w:t xml:space="preserve">While consultation and research </w:t>
      </w:r>
      <w:r w:rsidR="003E442B">
        <w:t xml:space="preserve">did not </w:t>
      </w:r>
      <w:r>
        <w:t>reveal</w:t>
      </w:r>
      <w:r w:rsidDel="003E442B">
        <w:t xml:space="preserve"> </w:t>
      </w:r>
      <w:r>
        <w:t xml:space="preserve">evidence of </w:t>
      </w:r>
      <w:r w:rsidR="00610A2B">
        <w:t xml:space="preserve">this kind of </w:t>
      </w:r>
      <w:r>
        <w:t xml:space="preserve">dynamic pricing being used in an Australian context, concerns around dynamic pricing practices have arisen in overseas markets particularly within online ticketing transactions. Some stakeholders have therefore raised concerns about the potential for this practice to be applied in Australia.  </w:t>
      </w:r>
    </w:p>
    <w:p w14:paraId="6619ACDD" w14:textId="20A7C285" w:rsidR="001B3525" w:rsidRDefault="001B3525" w:rsidP="001B3525">
      <w:pPr>
        <w:pStyle w:val="Heading3"/>
      </w:pPr>
      <w:bookmarkStart w:id="16" w:name="_Toc202971509"/>
      <w:bookmarkStart w:id="17" w:name="_Toc206422512"/>
      <w:r>
        <w:lastRenderedPageBreak/>
        <w:t>Other practices</w:t>
      </w:r>
      <w:bookmarkEnd w:id="16"/>
      <w:bookmarkEnd w:id="17"/>
    </w:p>
    <w:p w14:paraId="17B02F49" w14:textId="77777777" w:rsidR="00B150C8" w:rsidRDefault="001B3525" w:rsidP="001B3525">
      <w:r w:rsidRPr="000363C0">
        <w:t xml:space="preserve">Some online retailers may provide consumers with the option to make an online purchase as a ‘guest’, but for other retailers, setting up an account (with login) and providing personal information is a prerequisite for making a purchase. This can result in consumers being required to disclose more personal information than is reasonably necessary to purchase the product or service. </w:t>
      </w:r>
    </w:p>
    <w:p w14:paraId="02099206" w14:textId="34DE1801" w:rsidR="001B3525" w:rsidRDefault="001B3525" w:rsidP="001B3525">
      <w:r w:rsidRPr="000363C0">
        <w:t>The Supplementary Consultation sought feedback on whether specific reform is needed to address potential harm for consumers arising from mandatory account creation for online purchases. It als</w:t>
      </w:r>
      <w:r w:rsidRPr="00C929E0">
        <w:rPr>
          <w:rFonts w:eastAsiaTheme="minorEastAsia"/>
        </w:rPr>
        <w:t xml:space="preserve">o sought feedback on potential reform options, such as requiring retailers to provide a guest check-out option. </w:t>
      </w:r>
    </w:p>
    <w:p w14:paraId="4433ADB2" w14:textId="4CEC4D33" w:rsidR="001B3525" w:rsidRDefault="00B150C8" w:rsidP="001B3525">
      <w:r>
        <w:t xml:space="preserve">Feedback was </w:t>
      </w:r>
      <w:r w:rsidR="001B3525">
        <w:t xml:space="preserve">also sought </w:t>
      </w:r>
      <w:r w:rsidR="00043A9E">
        <w:t>on</w:t>
      </w:r>
      <w:r w:rsidR="001B3525">
        <w:t xml:space="preserve"> </w:t>
      </w:r>
      <w:r>
        <w:t xml:space="preserve">whether </w:t>
      </w:r>
      <w:r w:rsidR="001B3525">
        <w:t xml:space="preserve">specific reform is needed to address barriers to </w:t>
      </w:r>
      <w:r w:rsidR="004D62D3">
        <w:t xml:space="preserve">consumers </w:t>
      </w:r>
      <w:r w:rsidR="001B3525">
        <w:t>accessing customer support, including if businesses should be required to provide a specific point of contact or respond adequately to genera</w:t>
      </w:r>
      <w:r w:rsidR="0076263A">
        <w:t>l</w:t>
      </w:r>
      <w:r w:rsidR="001B3525">
        <w:t xml:space="preserve"> consumer queries</w:t>
      </w:r>
      <w:r w:rsidR="001B3525" w:rsidDel="00F018DF">
        <w:t>.</w:t>
      </w:r>
      <w:r w:rsidR="001B3525">
        <w:t xml:space="preserve"> Concerns raised include post-sale practices employed by businesses which seek to impede consumers’ access to customer support when they have a problem with a good or service.</w:t>
      </w:r>
      <w:r w:rsidR="001F139B">
        <w:rPr>
          <w:rStyle w:val="FootnoteReference"/>
        </w:rPr>
        <w:footnoteReference w:id="51"/>
      </w:r>
      <w:r w:rsidR="001B3525">
        <w:t xml:space="preserve"> Examples include designing customer service systems in a manner which makes it difficult for consumers to contact a business (such as not providing a point of contact for consumers or requiring consumers to use a particular service channel, like a chat bot), requiring consumers to provide unnecessary information in order to access benefits or obtain a remedy, and unreasonably long delays in providing customer service. While businesses are not specifically prohibited from failing to provide a direct point of contact, businesses must meet certain obligations under the ACL when a consumer requests a remedy for a faulty good or service under the</w:t>
      </w:r>
      <w:r w:rsidR="0049621E">
        <w:t xml:space="preserve"> </w:t>
      </w:r>
      <w:r w:rsidR="001B3525">
        <w:t>consumer guarantee</w:t>
      </w:r>
      <w:r w:rsidR="00341E4A">
        <w:t xml:space="preserve"> </w:t>
      </w:r>
      <w:r w:rsidR="0049621E">
        <w:t>provisions of the ACL</w:t>
      </w:r>
      <w:r w:rsidR="001B3525">
        <w:t>.</w:t>
      </w:r>
      <w:r w:rsidR="00B4769A" w:rsidRPr="76621889">
        <w:rPr>
          <w:rStyle w:val="FootnoteReference"/>
          <w:rFonts w:eastAsiaTheme="majorEastAsia"/>
        </w:rPr>
        <w:footnoteReference w:id="52"/>
      </w:r>
      <w:r w:rsidR="00DA18AC" w:rsidRPr="00DA18AC">
        <w:rPr>
          <w:rFonts w:eastAsiaTheme="majorEastAsia"/>
        </w:rPr>
        <w:t xml:space="preserve"> </w:t>
      </w:r>
    </w:p>
    <w:p w14:paraId="6CCB7830" w14:textId="77777777" w:rsidR="00382677" w:rsidRDefault="00382677">
      <w:pPr>
        <w:spacing w:before="0" w:after="160" w:line="259" w:lineRule="auto"/>
        <w:rPr>
          <w:rFonts w:ascii="Calibri" w:hAnsi="Calibri" w:cs="Arial"/>
          <w:b/>
          <w:color w:val="5D779D" w:themeColor="accent3"/>
          <w:kern w:val="32"/>
          <w:sz w:val="44"/>
          <w:szCs w:val="36"/>
        </w:rPr>
      </w:pPr>
      <w:bookmarkStart w:id="18" w:name="_Toc202971510"/>
      <w:r>
        <w:br w:type="page"/>
      </w:r>
    </w:p>
    <w:p w14:paraId="02173A75" w14:textId="4C9E88CD" w:rsidR="00406CD0" w:rsidRDefault="00406CD0" w:rsidP="00406CD0">
      <w:pPr>
        <w:pStyle w:val="Heading1"/>
      </w:pPr>
      <w:bookmarkStart w:id="19" w:name="_Toc206422513"/>
      <w:r>
        <w:lastRenderedPageBreak/>
        <w:t>Case for government action and the objective of reform</w:t>
      </w:r>
      <w:bookmarkEnd w:id="18"/>
      <w:bookmarkEnd w:id="19"/>
    </w:p>
    <w:p w14:paraId="502A46DC" w14:textId="77777777" w:rsidR="00406CD0" w:rsidRDefault="00406CD0" w:rsidP="00406CD0">
      <w:r>
        <w:t xml:space="preserve">Government action is required to ensure a whole-of-economy response to address consumer harm from UTPs. Without government intervention, consumers will continue to bear the financial and non-financial costs of UTPs. </w:t>
      </w:r>
    </w:p>
    <w:p w14:paraId="00ED5426" w14:textId="47A969BA" w:rsidR="00406CD0" w:rsidRDefault="00406CD0" w:rsidP="00406CD0">
      <w:r>
        <w:t xml:space="preserve">The ACL is the established framework for whole-of-economy regulations for unfair behaviour and conduct in the Australian context. The ACL has been instrumental in supporting and protecting consumers from different forms of unfair, high pressure and exploitative conduct. </w:t>
      </w:r>
      <w:r w:rsidR="00683E17">
        <w:t>Practices specifically target</w:t>
      </w:r>
      <w:r w:rsidR="00E568A5">
        <w:t>ed</w:t>
      </w:r>
      <w:r>
        <w:t xml:space="preserve"> through the ACL range from the use of bait advertising </w:t>
      </w:r>
      <w:r w:rsidR="00BE1EE3">
        <w:t>to</w:t>
      </w:r>
      <w:r>
        <w:t xml:space="preserve"> unsolicited consumer agreements, and the promotion of pyramid schemes</w:t>
      </w:r>
      <w:r w:rsidR="00D401AD">
        <w:t>.</w:t>
      </w:r>
      <w:r>
        <w:t xml:space="preserve"> </w:t>
      </w:r>
      <w:r w:rsidR="00F93FF6">
        <w:t xml:space="preserve">However, these provisions currently either do not prohibit, or inadequately address all harmful practices. </w:t>
      </w:r>
    </w:p>
    <w:p w14:paraId="7748AF34" w14:textId="19F76BD4" w:rsidR="00AD759C" w:rsidRDefault="00406CD0" w:rsidP="00406CD0">
      <w:r>
        <w:t>UTPs that cause (or are likely to cause) consumer harm have been found to occur across a range of sectors throughout the economy. UTPs are often targeted at exploiting consumers’</w:t>
      </w:r>
      <w:r w:rsidRPr="00F07CE6">
        <w:t xml:space="preserve"> </w:t>
      </w:r>
      <w:r>
        <w:t>cognitive and behavioural biases or distorting consumer understanding</w:t>
      </w:r>
      <w:r w:rsidR="007C2871">
        <w:t>.</w:t>
      </w:r>
      <w:r>
        <w:t xml:space="preserve"> </w:t>
      </w:r>
      <w:r w:rsidR="007C2871">
        <w:t>F</w:t>
      </w:r>
      <w:r>
        <w:t>or example</w:t>
      </w:r>
      <w:r w:rsidR="00752831">
        <w:t>,</w:t>
      </w:r>
      <w:r>
        <w:t xml:space="preserve"> by</w:t>
      </w:r>
      <w:r w:rsidDel="00275DEF">
        <w:t xml:space="preserve"> </w:t>
      </w:r>
      <w:r>
        <w:t>omitting material information which makes it difficult for consumers to make informed decisions</w:t>
      </w:r>
      <w:r>
        <w:rPr>
          <w:rStyle w:val="FootnoteReference"/>
        </w:rPr>
        <w:footnoteReference w:id="53"/>
      </w:r>
      <w:r>
        <w:t xml:space="preserve"> </w:t>
      </w:r>
      <w:r w:rsidR="00EF168D">
        <w:t xml:space="preserve">or </w:t>
      </w:r>
      <w:r w:rsidR="00C14D89">
        <w:t xml:space="preserve">creating </w:t>
      </w:r>
      <w:r w:rsidR="00880300">
        <w:t xml:space="preserve">unreasonable </w:t>
      </w:r>
      <w:r w:rsidR="00C14D89">
        <w:t xml:space="preserve">barriers to cancelling subscriptions, </w:t>
      </w:r>
      <w:r w:rsidR="00181FEA">
        <w:t>exploiting</w:t>
      </w:r>
      <w:r w:rsidR="00C14D89">
        <w:t xml:space="preserve"> consumers’ myopia.</w:t>
      </w:r>
      <w:r w:rsidR="009A21E8">
        <w:rPr>
          <w:rStyle w:val="FootnoteReference"/>
        </w:rPr>
        <w:footnoteReference w:id="54"/>
      </w:r>
      <w:r w:rsidR="00C14D89">
        <w:t xml:space="preserve"> </w:t>
      </w:r>
      <w:r>
        <w:t xml:space="preserve"> </w:t>
      </w:r>
    </w:p>
    <w:p w14:paraId="47EE8E8A" w14:textId="03C8C613" w:rsidR="00406CD0" w:rsidRDefault="00406CD0" w:rsidP="00406CD0">
      <w:r>
        <w:t>A consistent theme that presented across the consultation process is the difficulty for</w:t>
      </w:r>
      <w:r w:rsidDel="006064B5">
        <w:t xml:space="preserve"> </w:t>
      </w:r>
      <w:r>
        <w:t>industry</w:t>
      </w:r>
      <w:r w:rsidDel="006064B5">
        <w:t xml:space="preserve">-led mechanisms </w:t>
      </w:r>
      <w:r w:rsidR="00F950A0">
        <w:t>alone</w:t>
      </w:r>
      <w:r w:rsidDel="006064B5">
        <w:t xml:space="preserve"> </w:t>
      </w:r>
      <w:r>
        <w:t>to</w:t>
      </w:r>
      <w:r w:rsidDel="006064B5">
        <w:t xml:space="preserve"> </w:t>
      </w:r>
      <w:r>
        <w:t>effectively</w:t>
      </w:r>
      <w:r w:rsidDel="006064B5">
        <w:t xml:space="preserve"> </w:t>
      </w:r>
      <w:r>
        <w:t>address such a wide range of conduct</w:t>
      </w:r>
      <w:r w:rsidDel="006064B5">
        <w:t xml:space="preserve"> at scale </w:t>
      </w:r>
      <w:r>
        <w:t>that is occurring across the economy.</w:t>
      </w:r>
      <w:r w:rsidDel="006064B5">
        <w:t xml:space="preserve"> </w:t>
      </w:r>
      <w:r w:rsidR="00DE26B5">
        <w:t>Some</w:t>
      </w:r>
      <w:r w:rsidR="00DE26B5" w:rsidRPr="00DE26B5">
        <w:t xml:space="preserve"> industries have used differe</w:t>
      </w:r>
      <w:r w:rsidR="007143C8">
        <w:t>nt</w:t>
      </w:r>
      <w:r w:rsidR="00DE26B5" w:rsidRPr="00DE26B5">
        <w:t xml:space="preserve"> mechanisms such as guidance and voluntary regulations or standards to encourage best practice</w:t>
      </w:r>
      <w:r w:rsidR="00DE26B5">
        <w:t xml:space="preserve"> and reduce the occurrence of</w:t>
      </w:r>
      <w:r w:rsidR="00DE26B5" w:rsidRPr="00DE26B5">
        <w:t xml:space="preserve"> unfair practices</w:t>
      </w:r>
      <w:r>
        <w:t>.</w:t>
      </w:r>
      <w:r w:rsidR="00C86F41">
        <w:rPr>
          <w:rStyle w:val="FootnoteReference"/>
        </w:rPr>
        <w:footnoteReference w:id="55"/>
      </w:r>
      <w:r w:rsidDel="00DB61D7">
        <w:t xml:space="preserve"> </w:t>
      </w:r>
      <w:r w:rsidR="0078110D">
        <w:t>However</w:t>
      </w:r>
      <w:r w:rsidR="00753907">
        <w:t xml:space="preserve">, </w:t>
      </w:r>
      <w:r w:rsidR="007138F1">
        <w:t>these sector</w:t>
      </w:r>
      <w:r w:rsidR="00AD759C">
        <w:t>-</w:t>
      </w:r>
      <w:r w:rsidR="007138F1">
        <w:t xml:space="preserve">specific responses do not require compliance and </w:t>
      </w:r>
      <w:r w:rsidR="00E13FAB">
        <w:t xml:space="preserve">are limited </w:t>
      </w:r>
      <w:r w:rsidR="00EE0337">
        <w:t>in ability to effect change across</w:t>
      </w:r>
      <w:r w:rsidR="00D20FE8">
        <w:t xml:space="preserve"> </w:t>
      </w:r>
      <w:r w:rsidR="001E1C4C">
        <w:t xml:space="preserve">the </w:t>
      </w:r>
      <w:r w:rsidR="007138F1">
        <w:t xml:space="preserve">economy. </w:t>
      </w:r>
      <w:r w:rsidR="00E44BB6">
        <w:t xml:space="preserve">It is unlikely that without government intervention those unfair practices operating in ACL gaps will resolve, leaving consumers exposed to harms. The nature of human vulnerabilities </w:t>
      </w:r>
      <w:r w:rsidR="00587211">
        <w:t xml:space="preserve">and </w:t>
      </w:r>
      <w:r w:rsidR="00682B75">
        <w:t>range of</w:t>
      </w:r>
      <w:r w:rsidR="00E44BB6">
        <w:t xml:space="preserve"> unfair practices identified</w:t>
      </w:r>
      <w:r w:rsidR="00682B75">
        <w:t>,</w:t>
      </w:r>
      <w:r w:rsidR="00E44BB6">
        <w:t xml:space="preserve"> suggest </w:t>
      </w:r>
      <w:r w:rsidR="00BF5EB2">
        <w:t>that</w:t>
      </w:r>
      <w:r w:rsidR="00E44BB6">
        <w:t xml:space="preserve"> a </w:t>
      </w:r>
      <w:r w:rsidR="00A746B2">
        <w:t xml:space="preserve">principles-based </w:t>
      </w:r>
      <w:r w:rsidR="00E44BB6">
        <w:t>and adaptive response would be appropriate.</w:t>
      </w:r>
    </w:p>
    <w:p w14:paraId="25DF1180" w14:textId="47E87BCB" w:rsidR="00406CD0" w:rsidRDefault="00406CD0" w:rsidP="00406CD0">
      <w:r>
        <w:t xml:space="preserve">Consumer-friendly design and user interfaces </w:t>
      </w:r>
      <w:r w:rsidR="000C5EA2">
        <w:t>are available to businesses</w:t>
      </w:r>
      <w:r w:rsidR="000E02DE">
        <w:t>,</w:t>
      </w:r>
      <w:r w:rsidR="00F1560D">
        <w:t xml:space="preserve"> as are convenient options for</w:t>
      </w:r>
      <w:r w:rsidR="000C5EA2" w:rsidDel="00CE3772">
        <w:t xml:space="preserve"> </w:t>
      </w:r>
      <w:r>
        <w:t>subscription management</w:t>
      </w:r>
      <w:r w:rsidR="000E02DE">
        <w:t>. Their use</w:t>
      </w:r>
      <w:r w:rsidR="00646944">
        <w:t xml:space="preserve"> can enable </w:t>
      </w:r>
      <w:r>
        <w:t>competitive differentiation between providers</w:t>
      </w:r>
      <w:r w:rsidR="00767B81">
        <w:t xml:space="preserve"> of goods and services</w:t>
      </w:r>
      <w:r>
        <w:t xml:space="preserve">. However, </w:t>
      </w:r>
      <w:r w:rsidR="00E803A0">
        <w:t>some</w:t>
      </w:r>
      <w:r>
        <w:t xml:space="preserve"> businesses are incentivised to implement more obstructive practices that snare </w:t>
      </w:r>
      <w:r w:rsidR="0013064A">
        <w:t xml:space="preserve">or </w:t>
      </w:r>
      <w:r w:rsidR="006A0748">
        <w:t xml:space="preserve">disadvantage </w:t>
      </w:r>
      <w:r>
        <w:t xml:space="preserve">consumers </w:t>
      </w:r>
      <w:r w:rsidR="006A0748">
        <w:t>and frustrate their</w:t>
      </w:r>
      <w:r>
        <w:t xml:space="preserve"> attempts to </w:t>
      </w:r>
      <w:r w:rsidR="006A0748">
        <w:t xml:space="preserve">remove </w:t>
      </w:r>
      <w:r>
        <w:t xml:space="preserve">themselves from unwanted services. </w:t>
      </w:r>
      <w:r w:rsidR="00CE6856">
        <w:t>For e</w:t>
      </w:r>
      <w:r w:rsidR="00124EEB">
        <w:t>xample</w:t>
      </w:r>
      <w:r w:rsidR="008F708C">
        <w:t>,</w:t>
      </w:r>
      <w:r w:rsidR="00442A92">
        <w:t xml:space="preserve"> businesses</w:t>
      </w:r>
      <w:r w:rsidR="008B7AFD">
        <w:t xml:space="preserve"> that provide</w:t>
      </w:r>
      <w:r w:rsidR="00CD2597">
        <w:t xml:space="preserve"> inadequate information disclosure</w:t>
      </w:r>
      <w:r w:rsidR="00763A67">
        <w:t xml:space="preserve"> to customers</w:t>
      </w:r>
      <w:r w:rsidR="002456C0">
        <w:t xml:space="preserve"> about their </w:t>
      </w:r>
      <w:r w:rsidR="00A7320A">
        <w:t>subscription</w:t>
      </w:r>
      <w:r w:rsidR="00A848F0">
        <w:t xml:space="preserve"> may charge higher fees than customers expect, while those that</w:t>
      </w:r>
      <w:r w:rsidR="00763A67">
        <w:t xml:space="preserve"> </w:t>
      </w:r>
      <w:r w:rsidR="000E69FC">
        <w:t>utilise</w:t>
      </w:r>
      <w:r w:rsidR="00442A92">
        <w:t xml:space="preserve"> </w:t>
      </w:r>
      <w:r w:rsidR="0055504D">
        <w:t>unnecessarily</w:t>
      </w:r>
      <w:r w:rsidR="00442A92">
        <w:t xml:space="preserve"> </w:t>
      </w:r>
      <w:r w:rsidR="009D76E5">
        <w:t>complex cancellation pro</w:t>
      </w:r>
      <w:r w:rsidR="004D6BAC">
        <w:t xml:space="preserve">cesses </w:t>
      </w:r>
      <w:r w:rsidR="00D44B7E">
        <w:t xml:space="preserve">may reduce customer churn, </w:t>
      </w:r>
      <w:r w:rsidR="00B759F8">
        <w:t>obtaining more revenue than they otherwise would</w:t>
      </w:r>
      <w:r w:rsidR="000A41F8">
        <w:t xml:space="preserve">. </w:t>
      </w:r>
      <w:r w:rsidR="00E2215E">
        <w:t xml:space="preserve"> </w:t>
      </w:r>
    </w:p>
    <w:p w14:paraId="4C207B84" w14:textId="62E2C0FA" w:rsidR="00406CD0" w:rsidRDefault="00D90259" w:rsidP="00406CD0">
      <w:r>
        <w:lastRenderedPageBreak/>
        <w:t xml:space="preserve">Reforms to the ACL to address unfair trading practices </w:t>
      </w:r>
      <w:r w:rsidR="00BC5F83">
        <w:t>would impose</w:t>
      </w:r>
      <w:r w:rsidR="000B73BF">
        <w:t xml:space="preserve"> new</w:t>
      </w:r>
      <w:r w:rsidR="00406CD0">
        <w:t xml:space="preserve"> obligations</w:t>
      </w:r>
      <w:r w:rsidR="00B82AAA">
        <w:t xml:space="preserve"> on</w:t>
      </w:r>
      <w:r w:rsidR="00406CD0">
        <w:t xml:space="preserve"> affected businesses</w:t>
      </w:r>
      <w:r w:rsidR="00866BD0">
        <w:t xml:space="preserve">, </w:t>
      </w:r>
      <w:r w:rsidR="00BC252D">
        <w:t>which they</w:t>
      </w:r>
      <w:r w:rsidR="00406CD0" w:rsidDel="00B82AAA">
        <w:t xml:space="preserve"> will need to factor into their processes</w:t>
      </w:r>
      <w:r w:rsidR="00406CD0">
        <w:t xml:space="preserve">. Potential costs and other impacts from new </w:t>
      </w:r>
      <w:r w:rsidR="009E6F03">
        <w:t>requirements</w:t>
      </w:r>
      <w:r w:rsidR="00406CD0">
        <w:t xml:space="preserve"> have been explicit considerations through this consultation process, and proposals have been updated given stakeholders’ concerns regarding compliance and uncertainty. Most notably, proposals for principles-based prohibitions have been clarified to target manipulative or distortive conduct – which is a major theme of highlighted practices of concern.</w:t>
      </w:r>
    </w:p>
    <w:p w14:paraId="152F64BA" w14:textId="52473137" w:rsidR="00406CD0" w:rsidRDefault="00406CD0" w:rsidP="00406CD0">
      <w:r>
        <w:t xml:space="preserve">The ACCC and other ACL regulators have emphasised that under current settings, consumers remain at risk of exploitation both at present and potentially increasingly into the future </w:t>
      </w:r>
      <w:r w:rsidR="007200F3">
        <w:t xml:space="preserve">due to </w:t>
      </w:r>
      <w:r w:rsidR="009F6C79">
        <w:t xml:space="preserve">increasingly </w:t>
      </w:r>
      <w:r>
        <w:t xml:space="preserve">sophisticated technology and business practices. While some stakeholders have advocated for regulators to increase their efforts to address these problems, such as through issuing additional guidance material or taking targeted enforcement action, this will not be effective if there are gaps in the law. Regulators are only capable of taking action when the necessary legislative framework is in place to empower them to address </w:t>
      </w:r>
      <w:r w:rsidR="00734466">
        <w:t>the relevan</w:t>
      </w:r>
      <w:r w:rsidR="00AD2549">
        <w:t>t</w:t>
      </w:r>
      <w:r>
        <w:t xml:space="preserve"> harms</w:t>
      </w:r>
      <w:r w:rsidR="0068498F">
        <w:t>.</w:t>
      </w:r>
      <w:r>
        <w:t xml:space="preserve"> </w:t>
      </w:r>
    </w:p>
    <w:p w14:paraId="5637EB04" w14:textId="06BB7E3D" w:rsidR="00406CD0" w:rsidRDefault="00406CD0" w:rsidP="00406CD0">
      <w:r>
        <w:t xml:space="preserve">In their submissions, consumer </w:t>
      </w:r>
      <w:r w:rsidRPr="001657F9">
        <w:t xml:space="preserve">advocates </w:t>
      </w:r>
      <w:r w:rsidRPr="00F42C94">
        <w:t>have also provided case studies and examples of business practices causing harm to consumers that are not sufficiently addressed by the ACL</w:t>
      </w:r>
      <w:r w:rsidRPr="001657F9">
        <w:t>. These</w:t>
      </w:r>
      <w:r>
        <w:t xml:space="preserve"> advocates</w:t>
      </w:r>
      <w:r w:rsidR="009A6A17">
        <w:t xml:space="preserve"> support</w:t>
      </w:r>
      <w:r>
        <w:t xml:space="preserve"> UTP reform to bolster the ACL to ensure it remains fit</w:t>
      </w:r>
      <w:r>
        <w:noBreakHyphen/>
        <w:t>for</w:t>
      </w:r>
      <w:r>
        <w:noBreakHyphen/>
        <w:t>purpose and capable of protecting a broad spectrum of consumers from manipulative or distortive practices. Additionally, Australia’s Consumer Ministers have collectively affirmed support for reform to address UTPs.</w:t>
      </w:r>
      <w:r>
        <w:rPr>
          <w:rStyle w:val="FootnoteReference"/>
        </w:rPr>
        <w:footnoteReference w:id="56"/>
      </w:r>
    </w:p>
    <w:p w14:paraId="0C756FA8" w14:textId="3741A7EA" w:rsidR="0024206A" w:rsidRDefault="005E5DFF" w:rsidP="00406CD0">
      <w:r>
        <w:t>While</w:t>
      </w:r>
      <w:r w:rsidR="008E05B6">
        <w:t xml:space="preserve"> government intervention</w:t>
      </w:r>
      <w:r>
        <w:t xml:space="preserve"> </w:t>
      </w:r>
      <w:r w:rsidR="00FF65A1">
        <w:t xml:space="preserve">has been </w:t>
      </w:r>
      <w:r w:rsidR="003624F5">
        <w:t>identified</w:t>
      </w:r>
      <w:r w:rsidR="00FF65A1">
        <w:t xml:space="preserve"> as</w:t>
      </w:r>
      <w:r w:rsidR="00CC6DF4">
        <w:t xml:space="preserve"> </w:t>
      </w:r>
      <w:r w:rsidR="005521DD">
        <w:t xml:space="preserve">appropriate for </w:t>
      </w:r>
      <w:r w:rsidR="00A14B77">
        <w:t>UTPs</w:t>
      </w:r>
      <w:r w:rsidR="00AF5D55">
        <w:t xml:space="preserve">, </w:t>
      </w:r>
      <w:r w:rsidR="00347B24">
        <w:t>environmental factors</w:t>
      </w:r>
      <w:r w:rsidR="00E23399">
        <w:t xml:space="preserve"> may </w:t>
      </w:r>
      <w:r w:rsidR="00FD247F">
        <w:t>challenge</w:t>
      </w:r>
      <w:r w:rsidR="000D19D1">
        <w:t xml:space="preserve"> or constrain</w:t>
      </w:r>
      <w:r w:rsidR="00161B4F">
        <w:t xml:space="preserve"> government</w:t>
      </w:r>
      <w:r w:rsidR="007315B0">
        <w:t xml:space="preserve"> and regulator</w:t>
      </w:r>
      <w:r w:rsidR="009218E7">
        <w:t xml:space="preserve"> capacity to respond</w:t>
      </w:r>
      <w:r w:rsidR="00424665">
        <w:t xml:space="preserve">. This </w:t>
      </w:r>
      <w:r w:rsidR="00347B24">
        <w:t>includ</w:t>
      </w:r>
      <w:r w:rsidR="00424665">
        <w:t>es</w:t>
      </w:r>
      <w:r w:rsidR="00AF5D55">
        <w:t xml:space="preserve"> the </w:t>
      </w:r>
      <w:r w:rsidR="001850E2">
        <w:t xml:space="preserve">increasing complexity and </w:t>
      </w:r>
      <w:r w:rsidR="0057787C">
        <w:t>emergence of</w:t>
      </w:r>
      <w:r w:rsidR="005957D8">
        <w:t xml:space="preserve"> new service delivery</w:t>
      </w:r>
      <w:r w:rsidR="000D7EAF">
        <w:t xml:space="preserve"> and business models</w:t>
      </w:r>
      <w:r w:rsidR="006F68C5">
        <w:t xml:space="preserve">, </w:t>
      </w:r>
      <w:r w:rsidR="00206258">
        <w:t xml:space="preserve">the </w:t>
      </w:r>
      <w:r w:rsidR="00557448">
        <w:t xml:space="preserve">increasing </w:t>
      </w:r>
      <w:r w:rsidR="006F68C5">
        <w:t>use of intermediary services</w:t>
      </w:r>
      <w:r w:rsidR="0004610C">
        <w:t>, and where traders are based</w:t>
      </w:r>
      <w:r w:rsidR="00680F12">
        <w:t xml:space="preserve"> online and/or</w:t>
      </w:r>
      <w:r w:rsidR="0004610C">
        <w:t xml:space="preserve"> outside Australia.</w:t>
      </w:r>
      <w:r w:rsidR="009E22AA">
        <w:t xml:space="preserve"> </w:t>
      </w:r>
      <w:r w:rsidR="00646562">
        <w:t xml:space="preserve">While a principles-based </w:t>
      </w:r>
      <w:r w:rsidR="00BB79BE">
        <w:t xml:space="preserve">prohibition </w:t>
      </w:r>
      <w:r w:rsidR="00FD68EF">
        <w:t xml:space="preserve">has been </w:t>
      </w:r>
      <w:r w:rsidR="00A71859">
        <w:t>assessed</w:t>
      </w:r>
      <w:r w:rsidR="00FD68EF">
        <w:t xml:space="preserve"> as</w:t>
      </w:r>
      <w:r w:rsidR="00C17F0F">
        <w:t xml:space="preserve"> appropriate, </w:t>
      </w:r>
      <w:r w:rsidR="00DB0DA8">
        <w:t>there may be emerg</w:t>
      </w:r>
      <w:r w:rsidR="00E01BE1">
        <w:t>ing</w:t>
      </w:r>
      <w:r w:rsidR="00DB0DA8">
        <w:t xml:space="preserve"> specific </w:t>
      </w:r>
      <w:r w:rsidR="00850857">
        <w:t>types</w:t>
      </w:r>
      <w:r w:rsidR="008F01D5">
        <w:t xml:space="preserve"> of</w:t>
      </w:r>
      <w:r w:rsidR="00850857">
        <w:t xml:space="preserve"> </w:t>
      </w:r>
      <w:r w:rsidR="00DB0DA8">
        <w:t>conduct</w:t>
      </w:r>
      <w:r w:rsidR="0032312D">
        <w:t xml:space="preserve"> </w:t>
      </w:r>
      <w:r w:rsidR="005B506B">
        <w:t>that</w:t>
      </w:r>
      <w:r w:rsidR="0032312D">
        <w:t xml:space="preserve"> </w:t>
      </w:r>
      <w:r w:rsidR="00214029">
        <w:t>are</w:t>
      </w:r>
      <w:r w:rsidR="0032312D">
        <w:t xml:space="preserve"> yet to be observed</w:t>
      </w:r>
      <w:r w:rsidR="0035532A">
        <w:t xml:space="preserve"> or identified as harmful</w:t>
      </w:r>
      <w:r w:rsidR="00A71859">
        <w:t xml:space="preserve"> and </w:t>
      </w:r>
      <w:r w:rsidR="005B506B">
        <w:t xml:space="preserve">which </w:t>
      </w:r>
      <w:r w:rsidR="0006474E">
        <w:t>c</w:t>
      </w:r>
      <w:r w:rsidR="00A71859">
        <w:t xml:space="preserve">ould fall outside </w:t>
      </w:r>
      <w:r w:rsidR="00DA1186">
        <w:t xml:space="preserve">existing or </w:t>
      </w:r>
      <w:r w:rsidR="0006474E">
        <w:t xml:space="preserve">proposed </w:t>
      </w:r>
      <w:r w:rsidR="00A71859">
        <w:t>ACL settings</w:t>
      </w:r>
      <w:r w:rsidR="00DA33F0">
        <w:t xml:space="preserve">, demonstrating the need for ongoing </w:t>
      </w:r>
      <w:r w:rsidR="0010486A">
        <w:t>and active monitoring</w:t>
      </w:r>
      <w:r w:rsidR="003851F8">
        <w:t xml:space="preserve"> of </w:t>
      </w:r>
      <w:r w:rsidR="00707A6B">
        <w:t>market</w:t>
      </w:r>
      <w:r w:rsidR="0040690C">
        <w:t xml:space="preserve"> conduct</w:t>
      </w:r>
      <w:r w:rsidR="005D6F81">
        <w:t>.</w:t>
      </w:r>
      <w:r w:rsidR="0010486A" w:rsidRPr="0010486A">
        <w:t xml:space="preserve"> </w:t>
      </w:r>
    </w:p>
    <w:p w14:paraId="3A3FE22D" w14:textId="1CBE6A45" w:rsidR="00406CD0" w:rsidRPr="000539AF" w:rsidRDefault="00406CD0" w:rsidP="00406CD0">
      <w:r>
        <w:t xml:space="preserve">The aim for government action would be a response that addresses </w:t>
      </w:r>
      <w:r w:rsidR="003C67F9">
        <w:t xml:space="preserve">Australian </w:t>
      </w:r>
      <w:r>
        <w:t xml:space="preserve">consumer harm from </w:t>
      </w:r>
      <w:r w:rsidR="00570A77">
        <w:t>unfair</w:t>
      </w:r>
      <w:r>
        <w:t xml:space="preserve"> distortive or manipulative business conduct</w:t>
      </w:r>
      <w:r w:rsidR="00570A77">
        <w:t xml:space="preserve"> across the economy</w:t>
      </w:r>
      <w:r>
        <w:t xml:space="preserve">. </w:t>
      </w:r>
      <w:r w:rsidR="00E35878">
        <w:t>Government reform</w:t>
      </w:r>
      <w:r w:rsidR="00AD7191">
        <w:t xml:space="preserve"> targeting unfair subscription and drip pricing practices</w:t>
      </w:r>
      <w:r>
        <w:t xml:space="preserve"> would reduce the amount that consumers spend on unwanted subscriptions and improve pricing transparency so that consumers can make </w:t>
      </w:r>
      <w:r w:rsidR="003E1F73">
        <w:t xml:space="preserve">more </w:t>
      </w:r>
      <w:r>
        <w:t>informed purchasing decisions. These outcomes should be observable in various measures including a likely reduction in associated consumer complaints and harms</w:t>
      </w:r>
      <w:r w:rsidR="003E1F73">
        <w:t xml:space="preserve"> in the</w:t>
      </w:r>
      <w:r w:rsidR="000D542F">
        <w:t xml:space="preserve"> medium</w:t>
      </w:r>
      <w:r w:rsidR="00C956EE">
        <w:t xml:space="preserve"> to</w:t>
      </w:r>
      <w:r w:rsidR="003E1F73">
        <w:t xml:space="preserve"> long</w:t>
      </w:r>
      <w:r w:rsidR="00A306E8">
        <w:t>-</w:t>
      </w:r>
      <w:r w:rsidR="003E1F73">
        <w:t>term</w:t>
      </w:r>
      <w:r>
        <w:t>,</w:t>
      </w:r>
      <w:r w:rsidR="003E1F73">
        <w:t xml:space="preserve"> including</w:t>
      </w:r>
      <w:r>
        <w:t xml:space="preserve"> reduced numbers of consumers reporting unwanted subscriptions, and improved capacity for ACL regulators to bring enforcement actions against conduct of this type.</w:t>
      </w:r>
    </w:p>
    <w:p w14:paraId="3FD4BD80" w14:textId="18C31623" w:rsidR="00406CD0" w:rsidRPr="00A013E8" w:rsidRDefault="00406CD0" w:rsidP="00406CD0">
      <w:r>
        <w:t xml:space="preserve">The benefits to consumers </w:t>
      </w:r>
      <w:r w:rsidR="00CF11D8">
        <w:t>would</w:t>
      </w:r>
      <w:r>
        <w:t xml:space="preserve"> also </w:t>
      </w:r>
      <w:r w:rsidR="009205D5">
        <w:t>be expected to</w:t>
      </w:r>
      <w:r>
        <w:t xml:space="preserve"> flow into greater confidence in, and higher engagement with, service providers that do not use unfair practices and tactics, rewarding those businesses whose processes are more consumer</w:t>
      </w:r>
      <w:r>
        <w:noBreakHyphen/>
        <w:t>centric and consumer</w:t>
      </w:r>
      <w:r>
        <w:noBreakHyphen/>
        <w:t>friendly.</w:t>
      </w:r>
    </w:p>
    <w:p w14:paraId="096F4A2C"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5F76B994" w14:textId="0F34F178" w:rsidR="00406CD0" w:rsidRDefault="00406CD0" w:rsidP="00406CD0">
      <w:pPr>
        <w:pStyle w:val="Heading1"/>
      </w:pPr>
      <w:bookmarkStart w:id="20" w:name="_Toc202971511"/>
      <w:bookmarkStart w:id="21" w:name="_Toc206422514"/>
      <w:r>
        <w:lastRenderedPageBreak/>
        <w:t>Policy options and impact analysis</w:t>
      </w:r>
      <w:bookmarkEnd w:id="20"/>
      <w:bookmarkEnd w:id="21"/>
    </w:p>
    <w:p w14:paraId="501D8528" w14:textId="0EFAD8CD" w:rsidR="00406CD0" w:rsidRDefault="001A592A" w:rsidP="00406CD0">
      <w:r>
        <w:t>This paper</w:t>
      </w:r>
      <w:r w:rsidR="00406CD0">
        <w:t xml:space="preserve"> evaluates the expected relative costs and benefits of the </w:t>
      </w:r>
      <w:r w:rsidR="0041043E">
        <w:t xml:space="preserve">policy </w:t>
      </w:r>
      <w:r w:rsidR="00406CD0">
        <w:t>options, and how well each option might address the policy problem. Costs and benefits are assessed against the status quo.</w:t>
      </w:r>
    </w:p>
    <w:p w14:paraId="178A209B" w14:textId="5ADE7629" w:rsidR="00406CD0" w:rsidRDefault="00052772" w:rsidP="00406CD0">
      <w:r>
        <w:t>The</w:t>
      </w:r>
      <w:r w:rsidR="00406CD0">
        <w:t xml:space="preserve"> Consultation RIS</w:t>
      </w:r>
      <w:r w:rsidR="00132F90">
        <w:t xml:space="preserve"> </w:t>
      </w:r>
      <w:r w:rsidR="005968E8">
        <w:t xml:space="preserve">set out </w:t>
      </w:r>
      <w:r w:rsidR="003F7B5D">
        <w:t>4</w:t>
      </w:r>
      <w:r w:rsidR="00406CD0">
        <w:t xml:space="preserve"> policy options: </w:t>
      </w:r>
    </w:p>
    <w:p w14:paraId="2911A251" w14:textId="77777777" w:rsidR="00406CD0" w:rsidRDefault="00406CD0" w:rsidP="00406CD0">
      <w:r w:rsidRPr="00E34DFB">
        <w:rPr>
          <w:b/>
        </w:rPr>
        <w:t>Option 1</w:t>
      </w:r>
      <w:r>
        <w:t>: Maintain the status quo</w:t>
      </w:r>
    </w:p>
    <w:p w14:paraId="248CC642" w14:textId="77777777" w:rsidR="00406CD0" w:rsidRPr="00D81AC8" w:rsidRDefault="00406CD0" w:rsidP="00406CD0">
      <w:r w:rsidRPr="00D9199F">
        <w:rPr>
          <w:b/>
        </w:rPr>
        <w:t>Option 2</w:t>
      </w:r>
      <w:r>
        <w:rPr>
          <w:b/>
        </w:rPr>
        <w:t xml:space="preserve"> (no longer for consideration)</w:t>
      </w:r>
      <w:r>
        <w:t>: Amend statutory unconscionable conduct</w:t>
      </w:r>
    </w:p>
    <w:p w14:paraId="479E9ABB" w14:textId="77777777" w:rsidR="00406CD0" w:rsidRDefault="00406CD0" w:rsidP="00406CD0">
      <w:r w:rsidRPr="00E34DFB">
        <w:rPr>
          <w:b/>
        </w:rPr>
        <w:t>Option 3</w:t>
      </w:r>
      <w:r>
        <w:t>: Introduce a general prohibition on UTPs</w:t>
      </w:r>
    </w:p>
    <w:p w14:paraId="2AA2E016" w14:textId="43F89307" w:rsidR="00406CD0" w:rsidRDefault="00406CD0" w:rsidP="00406CD0">
      <w:r w:rsidRPr="00E34DFB">
        <w:rPr>
          <w:b/>
        </w:rPr>
        <w:t>Option 4</w:t>
      </w:r>
      <w:r>
        <w:t xml:space="preserve">: </w:t>
      </w:r>
      <w:r w:rsidRPr="00C76B49">
        <w:t xml:space="preserve">Introduce a combination of general and specific prohibitions on </w:t>
      </w:r>
      <w:r>
        <w:t>UTPs</w:t>
      </w:r>
      <w:r w:rsidR="00DE60AC">
        <w:t>.</w:t>
      </w:r>
    </w:p>
    <w:p w14:paraId="457B71E6" w14:textId="041656AD" w:rsidR="00406CD0" w:rsidRDefault="00406CD0" w:rsidP="00406CD0">
      <w:r>
        <w:t xml:space="preserve">The insights and feedback from the Consultation RIS and Supplementary Consultation and analysis have informed the preferred policy options in this Impact Analysis. This paper presents impact analysis </w:t>
      </w:r>
      <w:r w:rsidR="0047296F">
        <w:t xml:space="preserve">and consultation outcomes </w:t>
      </w:r>
      <w:r>
        <w:t xml:space="preserve">on </w:t>
      </w:r>
      <w:r w:rsidRPr="004A041F">
        <w:rPr>
          <w:b/>
        </w:rPr>
        <w:t>Options 1, 3 and 4</w:t>
      </w:r>
      <w:r>
        <w:t xml:space="preserve">. </w:t>
      </w:r>
    </w:p>
    <w:p w14:paraId="2BCD7074" w14:textId="35A5237D" w:rsidR="00406CD0" w:rsidRDefault="00406CD0" w:rsidP="00406CD0">
      <w:r>
        <w:t xml:space="preserve">Option 2 was </w:t>
      </w:r>
      <w:r w:rsidRPr="009230F8">
        <w:t xml:space="preserve">not considered viable or </w:t>
      </w:r>
      <w:r w:rsidR="000D5575">
        <w:t>likely to be effective</w:t>
      </w:r>
      <w:r w:rsidR="000C7B52">
        <w:t xml:space="preserve"> in</w:t>
      </w:r>
      <w:r w:rsidRPr="009230F8">
        <w:t xml:space="preserve"> addressing </w:t>
      </w:r>
      <w:r>
        <w:t>UTPs</w:t>
      </w:r>
      <w:r w:rsidRPr="009230F8">
        <w:t xml:space="preserve"> and no impact analysis is presented below</w:t>
      </w:r>
      <w:r>
        <w:t xml:space="preserve">, </w:t>
      </w:r>
      <w:r w:rsidR="005F4730">
        <w:t>al</w:t>
      </w:r>
      <w:r>
        <w:t>though stakeholder feedback is summarised.</w:t>
      </w:r>
      <w:r w:rsidRPr="009230F8" w:rsidDel="009230F8">
        <w:t xml:space="preserve"> </w:t>
      </w:r>
    </w:p>
    <w:p w14:paraId="035FDB33" w14:textId="77777777" w:rsidR="00406CD0" w:rsidRDefault="00406CD0" w:rsidP="00406CD0">
      <w:pPr>
        <w:spacing w:before="0" w:after="200" w:line="276" w:lineRule="auto"/>
        <w:rPr>
          <w:rFonts w:ascii="Calibri" w:hAnsi="Calibri" w:cs="Arial"/>
          <w:iCs/>
          <w:color w:val="2C384A"/>
          <w:kern w:val="32"/>
          <w:sz w:val="36"/>
          <w:szCs w:val="28"/>
        </w:rPr>
      </w:pPr>
      <w:r>
        <w:br w:type="page"/>
      </w:r>
    </w:p>
    <w:p w14:paraId="0F68EAD4" w14:textId="77777777" w:rsidR="00406CD0" w:rsidRDefault="00406CD0" w:rsidP="00406CD0">
      <w:pPr>
        <w:pStyle w:val="Heading2"/>
      </w:pPr>
      <w:bookmarkStart w:id="22" w:name="_Toc202971512"/>
      <w:bookmarkStart w:id="23" w:name="_Toc206422515"/>
      <w:r>
        <w:lastRenderedPageBreak/>
        <w:t>Option 1 – Maintain the status quo</w:t>
      </w:r>
      <w:bookmarkEnd w:id="22"/>
      <w:bookmarkEnd w:id="23"/>
    </w:p>
    <w:p w14:paraId="47057C70" w14:textId="4D5DC2AD" w:rsidR="00406CD0" w:rsidRDefault="00406CD0" w:rsidP="00406CD0">
      <w:r w:rsidRPr="00641BAB">
        <w:t xml:space="preserve">This option proposes no change to the existing legislative framework. The ACL would continue to protect consumers against misleading or deceptive conduct, unconscionable conduct, unfair contract terms, and specific </w:t>
      </w:r>
      <w:r w:rsidR="006C2D8B">
        <w:t>unfair practices</w:t>
      </w:r>
      <w:r w:rsidRPr="00641BAB">
        <w:t xml:space="preserve"> that are prohibited by Part 3–1 of the ACL (for example, pyramid selling</w:t>
      </w:r>
      <w:r w:rsidR="008934A4">
        <w:t xml:space="preserve"> and</w:t>
      </w:r>
      <w:r w:rsidRPr="00641BAB">
        <w:t xml:space="preserve"> bait advertising). </w:t>
      </w:r>
      <w:r>
        <w:t>ACL r</w:t>
      </w:r>
      <w:r w:rsidRPr="00641BAB">
        <w:t xml:space="preserve">egulators would continue to monitor and enforce the existing consumer protection policy framework and case law on the </w:t>
      </w:r>
      <w:r w:rsidR="002001F5">
        <w:t xml:space="preserve">statutory </w:t>
      </w:r>
      <w:r w:rsidRPr="00641BAB">
        <w:t xml:space="preserve">unconscionable conduct prohibition would continue to develop gradually. However, </w:t>
      </w:r>
      <w:r>
        <w:t>any gaps in the ACL would persist, and</w:t>
      </w:r>
      <w:r w:rsidRPr="00641BAB">
        <w:t xml:space="preserve"> regulators would be limited in their ability to respond to </w:t>
      </w:r>
      <w:r>
        <w:t>UTPs</w:t>
      </w:r>
      <w:r w:rsidRPr="00641BAB">
        <w:t xml:space="preserve">, as identified </w:t>
      </w:r>
      <w:r w:rsidRPr="004C5C4D">
        <w:t>in the Problem section.</w:t>
      </w:r>
    </w:p>
    <w:p w14:paraId="3883C215" w14:textId="77777777" w:rsidR="00406CD0" w:rsidRPr="000A5BC8" w:rsidRDefault="00406CD0" w:rsidP="00406CD0">
      <w:pPr>
        <w:pStyle w:val="Heading3"/>
      </w:pPr>
      <w:bookmarkStart w:id="24" w:name="_Toc202971513"/>
      <w:bookmarkStart w:id="25" w:name="_Toc206422516"/>
      <w:r w:rsidRPr="000A5BC8">
        <w:t>Consultation outcomes</w:t>
      </w:r>
      <w:bookmarkEnd w:id="24"/>
      <w:bookmarkEnd w:id="25"/>
    </w:p>
    <w:p w14:paraId="31B980F6" w14:textId="4C98743E" w:rsidR="00406CD0" w:rsidRDefault="00406CD0" w:rsidP="00406CD0">
      <w:r>
        <w:t>A number of stakeholders advocated for this option in response to the 2023 Consultation RIS.</w:t>
      </w:r>
      <w:r>
        <w:rPr>
          <w:rStyle w:val="FootnoteReference"/>
        </w:rPr>
        <w:footnoteReference w:id="57"/>
      </w:r>
      <w:r>
        <w:t xml:space="preserve"> Some stakeholders, including </w:t>
      </w:r>
      <w:r w:rsidRPr="00C87CEA">
        <w:t>Digital Industry Group Inc.</w:t>
      </w:r>
      <w:r>
        <w:rPr>
          <w:rStyle w:val="FootnoteReference"/>
        </w:rPr>
        <w:footnoteReference w:id="58"/>
      </w:r>
      <w:r>
        <w:t xml:space="preserve"> and the Law Council of Australia’s Competition &amp; Consumer Committee,</w:t>
      </w:r>
      <w:r>
        <w:rPr>
          <w:rStyle w:val="FootnoteReference"/>
        </w:rPr>
        <w:footnoteReference w:id="59"/>
      </w:r>
      <w:r w:rsidDel="0048069E">
        <w:t xml:space="preserve"> </w:t>
      </w:r>
      <w:r w:rsidRPr="000A5BC8">
        <w:t xml:space="preserve">considered that practices of concern could be addressed through the existing ACL protections (including misleading or deceptive conduct) and industry-specific regulation (such as existing industry codes) and through reform to the </w:t>
      </w:r>
      <w:r w:rsidRPr="002B3A2C">
        <w:rPr>
          <w:rFonts w:eastAsiaTheme="minorEastAsia"/>
          <w:i/>
        </w:rPr>
        <w:t>Privacy Act</w:t>
      </w:r>
      <w:r w:rsidR="00A30C2D" w:rsidRPr="002B3A2C">
        <w:rPr>
          <w:rFonts w:eastAsiaTheme="minorEastAsia"/>
          <w:i/>
          <w:iCs/>
        </w:rPr>
        <w:t xml:space="preserve"> 1988</w:t>
      </w:r>
      <w:r w:rsidR="00A30C2D">
        <w:rPr>
          <w:rFonts w:eastAsiaTheme="minorEastAsia"/>
        </w:rPr>
        <w:t xml:space="preserve"> (Cth) (the Privacy Act).</w:t>
      </w:r>
      <w:r w:rsidR="00A30C2D">
        <w:t xml:space="preserve"> </w:t>
      </w:r>
      <w:r>
        <w:t xml:space="preserve">Those </w:t>
      </w:r>
      <w:r w:rsidR="007D538C">
        <w:t>that supported</w:t>
      </w:r>
      <w:r>
        <w:t xml:space="preserve"> maintaining</w:t>
      </w:r>
      <w:r w:rsidDel="00940CE0">
        <w:t xml:space="preserve"> </w:t>
      </w:r>
      <w:r>
        <w:t>the status quo also generally contended that new prohibitions represented a high compliance burden that would undermine business certainty.</w:t>
      </w:r>
    </w:p>
    <w:p w14:paraId="34953556" w14:textId="77777777" w:rsidR="00406CD0" w:rsidRDefault="00406CD0" w:rsidP="00406CD0">
      <w:r>
        <w:t>The 2024 Supplementary Consultation sought additional feedback on more specific conduct and on proposals for unfair trading prohibitions. Stakeholders who did not support the introduction of new provisions were largely business and industry groups, reiterating the view that the existing ACL protections are sufficient and that new provisions represented new compliance burdens and uncertainty. Other business and industry groups however did support government action, as discussed for Options 3 and 4.</w:t>
      </w:r>
    </w:p>
    <w:p w14:paraId="5B2BE128" w14:textId="77777777" w:rsidR="00406CD0" w:rsidRPr="009A5DC9" w:rsidRDefault="00406CD0" w:rsidP="00406CD0">
      <w:pPr>
        <w:pStyle w:val="Heading3"/>
      </w:pPr>
      <w:bookmarkStart w:id="26" w:name="_Toc202971514"/>
      <w:bookmarkStart w:id="27" w:name="_Toc206422517"/>
      <w:r w:rsidRPr="009A5DC9">
        <w:t>Potential Benefits</w:t>
      </w:r>
      <w:bookmarkEnd w:id="26"/>
      <w:bookmarkEnd w:id="27"/>
    </w:p>
    <w:p w14:paraId="3D69AF39" w14:textId="77777777" w:rsidR="00406CD0" w:rsidRDefault="00406CD0" w:rsidP="00406CD0">
      <w:r>
        <w:t xml:space="preserve">The primary set of benefits in maintaining the status quo are that the conditions are well-known, particularly in terms of compliance and enforcement. The existing set of standards-based and specific provisions would continue regulating business behaviour and protecting consumers. </w:t>
      </w:r>
    </w:p>
    <w:p w14:paraId="1A73E292" w14:textId="3EEDD8E3" w:rsidR="00406CD0" w:rsidRDefault="00406CD0" w:rsidP="00406CD0">
      <w:r>
        <w:t xml:space="preserve">Maintaining existing protections under the ACL </w:t>
      </w:r>
      <w:r w:rsidR="00182039">
        <w:t>would provide</w:t>
      </w:r>
      <w:r>
        <w:t xml:space="preserve"> certainty for businesses. Businesses </w:t>
      </w:r>
      <w:r w:rsidR="00AA532C">
        <w:t>would</w:t>
      </w:r>
      <w:r>
        <w:t xml:space="preserve"> not need to consider and potentially obtain legal advice </w:t>
      </w:r>
      <w:r w:rsidR="00FB2B27">
        <w:t xml:space="preserve">for compliance purposes </w:t>
      </w:r>
      <w:r>
        <w:t xml:space="preserve">in respect of new obligations that would arise from the introduction of additional prohibitions </w:t>
      </w:r>
      <w:r w:rsidR="009D2365">
        <w:t>targeting unfair trading practices</w:t>
      </w:r>
      <w:r>
        <w:t xml:space="preserve">. </w:t>
      </w:r>
    </w:p>
    <w:p w14:paraId="6AC7ABBD" w14:textId="77777777" w:rsidR="00406CD0" w:rsidRPr="009A5DC9" w:rsidRDefault="00406CD0" w:rsidP="00406CD0">
      <w:pPr>
        <w:pStyle w:val="Heading3"/>
      </w:pPr>
      <w:bookmarkStart w:id="28" w:name="_Toc202971515"/>
      <w:bookmarkStart w:id="29" w:name="_Toc206422518"/>
      <w:r w:rsidRPr="009A5DC9">
        <w:t>Potential Costs</w:t>
      </w:r>
      <w:bookmarkEnd w:id="28"/>
      <w:bookmarkEnd w:id="29"/>
    </w:p>
    <w:p w14:paraId="0914746A" w14:textId="3BED767B" w:rsidR="00406CD0" w:rsidRDefault="00DE5CFA" w:rsidP="00406CD0">
      <w:r>
        <w:t>M</w:t>
      </w:r>
      <w:r w:rsidR="00406CD0">
        <w:t>aintaining the status quo would also maintain a range of ongoing costs primarily borne by consumers. This extends beyond potential financial detriments to include time-based and cognitive costs from conduct not presently prohibited under existing ACL regulations.</w:t>
      </w:r>
    </w:p>
    <w:p w14:paraId="70C2B8A2" w14:textId="4A3B9DCD" w:rsidR="00406CD0" w:rsidRDefault="00406CD0" w:rsidP="00406CD0">
      <w:r>
        <w:t xml:space="preserve">The extent of costs would vary between consumers, however all consumer cohorts are anticipated to encounter </w:t>
      </w:r>
      <w:r w:rsidR="00B21EDE">
        <w:t xml:space="preserve">greater </w:t>
      </w:r>
      <w:r>
        <w:t xml:space="preserve">exposure to service channels and business models with </w:t>
      </w:r>
      <w:r w:rsidR="00B21EDE">
        <w:t xml:space="preserve">increasing </w:t>
      </w:r>
      <w:r w:rsidR="000A254D">
        <w:t>complexity and</w:t>
      </w:r>
      <w:r>
        <w:t xml:space="preserve"> </w:t>
      </w:r>
      <w:r>
        <w:lastRenderedPageBreak/>
        <w:t>the capacity to overwhelm and confuse.</w:t>
      </w:r>
      <w:r w:rsidR="00940480">
        <w:rPr>
          <w:rStyle w:val="FootnoteReference"/>
        </w:rPr>
        <w:footnoteReference w:id="60"/>
      </w:r>
      <w:r>
        <w:t xml:space="preserve"> </w:t>
      </w:r>
      <w:r w:rsidR="00512F75">
        <w:t>C</w:t>
      </w:r>
      <w:r>
        <w:t xml:space="preserve">onsumers would </w:t>
      </w:r>
      <w:r w:rsidR="00512F75">
        <w:t xml:space="preserve">also, for example, </w:t>
      </w:r>
      <w:r>
        <w:t xml:space="preserve">continue to </w:t>
      </w:r>
      <w:r w:rsidR="00512F75">
        <w:t xml:space="preserve">experience harm from a range of unfair subscription practices, including </w:t>
      </w:r>
      <w:r w:rsidR="00FB6A7A">
        <w:t>p</w:t>
      </w:r>
      <w:r w:rsidR="00FB6A7A" w:rsidRPr="00D73EB5">
        <w:t xml:space="preserve">ractices </w:t>
      </w:r>
      <w:r w:rsidR="00FB6A7A">
        <w:t>that</w:t>
      </w:r>
      <w:r w:rsidR="00FB6A7A" w:rsidRPr="00D73EB5">
        <w:t xml:space="preserve"> make it difficult for c</w:t>
      </w:r>
      <w:r w:rsidR="007F6D9F">
        <w:t>onsumer</w:t>
      </w:r>
      <w:r w:rsidR="00FB6A7A" w:rsidRPr="00D73EB5">
        <w:t xml:space="preserve">s to cancel their subscription. </w:t>
      </w:r>
      <w:r w:rsidR="00512F75">
        <w:t xml:space="preserve"> </w:t>
      </w:r>
    </w:p>
    <w:p w14:paraId="79320C8B" w14:textId="77777777" w:rsidR="00406CD0" w:rsidRDefault="00406CD0" w:rsidP="00406CD0">
      <w:pPr>
        <w:spacing w:before="0" w:after="200" w:line="276" w:lineRule="auto"/>
      </w:pPr>
      <w:r>
        <w:br w:type="page"/>
      </w:r>
    </w:p>
    <w:p w14:paraId="10182DB4" w14:textId="77777777" w:rsidR="00406CD0" w:rsidRDefault="00406CD0" w:rsidP="00406CD0">
      <w:pPr>
        <w:pStyle w:val="Heading2"/>
      </w:pPr>
      <w:bookmarkStart w:id="30" w:name="_Toc202971516"/>
      <w:bookmarkStart w:id="31" w:name="_Toc206422519"/>
      <w:r>
        <w:lastRenderedPageBreak/>
        <w:t>Option 2 (no longer for consideration) – Amend statutory unconscionable conduct</w:t>
      </w:r>
      <w:bookmarkEnd w:id="30"/>
      <w:bookmarkEnd w:id="31"/>
    </w:p>
    <w:p w14:paraId="6C8A3F91" w14:textId="77777777" w:rsidR="002E3908" w:rsidRDefault="00406CD0" w:rsidP="00406CD0">
      <w:r w:rsidRPr="00C06927">
        <w:t xml:space="preserve">Statutory unconscionable conduct under section 21 of the ACL </w:t>
      </w:r>
      <w:r>
        <w:t xml:space="preserve">prohibits </w:t>
      </w:r>
      <w:r w:rsidR="00F73979">
        <w:t xml:space="preserve">a person from </w:t>
      </w:r>
      <w:r w:rsidR="00BD6E3A">
        <w:t xml:space="preserve">engaging in </w:t>
      </w:r>
      <w:r>
        <w:t xml:space="preserve">conduct that is unconscionable in ‘all the </w:t>
      </w:r>
      <w:proofErr w:type="gramStart"/>
      <w:r>
        <w:t>circumstances’</w:t>
      </w:r>
      <w:proofErr w:type="gramEnd"/>
      <w:r>
        <w:t>. The ACL does not define unconscionable conduct, although s</w:t>
      </w:r>
      <w:r w:rsidRPr="00650496">
        <w:t>ection 22 of the ACL contains a list of matters or factors that a court may have regard to when determining whether conduct was unconscionable</w:t>
      </w:r>
      <w:r>
        <w:t xml:space="preserve">. </w:t>
      </w:r>
    </w:p>
    <w:p w14:paraId="0A9E19F3" w14:textId="075F4297" w:rsidR="00406CD0" w:rsidRDefault="00406CD0" w:rsidP="00406CD0">
      <w:r>
        <w:t xml:space="preserve">Generally, to be considered unconscionable the conduct must be against </w:t>
      </w:r>
      <w:r w:rsidRPr="00D16116">
        <w:t>good</w:t>
      </w:r>
      <w:r>
        <w:t xml:space="preserve"> conscience as judged against the norms of society. In determining whether the conduct breaches section 21, courts may have regard to a broader range of considerations than those traditionally applied by courts under the equitable doctrine of unconscionability.   </w:t>
      </w:r>
    </w:p>
    <w:p w14:paraId="6E5644A9" w14:textId="77777777" w:rsidR="00406CD0" w:rsidRDefault="00406CD0" w:rsidP="00406CD0">
      <w:r w:rsidRPr="00A94A41">
        <w:t xml:space="preserve">Courts have consistently interpreted </w:t>
      </w:r>
      <w:r>
        <w:t xml:space="preserve">statutory </w:t>
      </w:r>
      <w:r w:rsidRPr="00A94A41">
        <w:t>unconscionable conduct as requiring a very high threshold of misconduct</w:t>
      </w:r>
      <w:r>
        <w:t>. Generally, the courts have held that conduct that is objectively harsh, unfair, unjust or wrong is not enough to establish unconscionable conduct.</w:t>
      </w:r>
      <w:r w:rsidRPr="00970845">
        <w:rPr>
          <w:rStyle w:val="FootnoteReference"/>
          <w:rFonts w:eastAsiaTheme="majorEastAsia"/>
        </w:rPr>
        <w:footnoteReference w:id="61"/>
      </w:r>
      <w:r>
        <w:t xml:space="preserve"> This can make it difficult for consumers and regulators to pursue businesses for harmful conduct.</w:t>
      </w:r>
      <w:r>
        <w:rPr>
          <w:rStyle w:val="FootnoteReference"/>
        </w:rPr>
        <w:footnoteReference w:id="62"/>
      </w:r>
    </w:p>
    <w:p w14:paraId="7E94E8DF" w14:textId="77777777" w:rsidR="00406CD0" w:rsidRPr="00123B67" w:rsidRDefault="00406CD0" w:rsidP="00406CD0">
      <w:r>
        <w:t>To overcome these issues, Option 2 proposed to broaden the scope of the statutory prohibition to address unfair conduct that results in consumer detriment but falls short of the threshold for unconscionability.</w:t>
      </w:r>
      <w:r w:rsidRPr="00123B67">
        <w:t xml:space="preserve"> </w:t>
      </w:r>
    </w:p>
    <w:p w14:paraId="31B6BF5B" w14:textId="77777777" w:rsidR="00406CD0" w:rsidRDefault="00406CD0" w:rsidP="00406CD0">
      <w:r>
        <w:t xml:space="preserve">Under this option, it was proposed that </w:t>
      </w:r>
      <w:r w:rsidRPr="00060E5D">
        <w:t xml:space="preserve">the core prohibition on unconscionable conduct </w:t>
      </w:r>
      <w:r>
        <w:t>would be retained</w:t>
      </w:r>
      <w:r w:rsidRPr="00060E5D">
        <w:t xml:space="preserve"> but </w:t>
      </w:r>
      <w:r>
        <w:t>‘</w:t>
      </w:r>
      <w:r w:rsidRPr="00060E5D">
        <w:t>unfair conduct</w:t>
      </w:r>
      <w:r>
        <w:t>’</w:t>
      </w:r>
      <w:r w:rsidRPr="00060E5D">
        <w:t xml:space="preserve"> </w:t>
      </w:r>
      <w:r>
        <w:t xml:space="preserve">must be assessed </w:t>
      </w:r>
      <w:r w:rsidRPr="00060E5D">
        <w:t>in determining whether conduct is unconscionable in connection with the supply or acquisition of goods or services (</w:t>
      </w:r>
      <w:r>
        <w:t>c</w:t>
      </w:r>
      <w:r w:rsidRPr="00060E5D">
        <w:t xml:space="preserve">urrently, the courts </w:t>
      </w:r>
      <w:r w:rsidRPr="004A041F">
        <w:rPr>
          <w:i/>
        </w:rPr>
        <w:t>may</w:t>
      </w:r>
      <w:r w:rsidRPr="00060E5D">
        <w:t xml:space="preserve"> consider</w:t>
      </w:r>
      <w:r>
        <w:t xml:space="preserve"> it</w:t>
      </w:r>
      <w:r w:rsidRPr="00060E5D">
        <w:t>)</w:t>
      </w:r>
      <w:r>
        <w:t>.</w:t>
      </w:r>
      <w:r w:rsidRPr="00060E5D">
        <w:t xml:space="preserve"> An alternative</w:t>
      </w:r>
      <w:r w:rsidRPr="00060E5D" w:rsidDel="000F5696">
        <w:t xml:space="preserve"> </w:t>
      </w:r>
      <w:r>
        <w:t>proposal was</w:t>
      </w:r>
      <w:r w:rsidRPr="00060E5D">
        <w:t xml:space="preserve"> to add the concept of unfairness to the unconscionable conduct provision itself. </w:t>
      </w:r>
    </w:p>
    <w:p w14:paraId="4AD7C1C7" w14:textId="77777777" w:rsidR="00406CD0" w:rsidRDefault="00406CD0" w:rsidP="00406CD0">
      <w:pPr>
        <w:pStyle w:val="Heading3"/>
      </w:pPr>
      <w:bookmarkStart w:id="32" w:name="_Toc202971517"/>
      <w:bookmarkStart w:id="33" w:name="_Toc206422520"/>
      <w:r w:rsidRPr="001C4BF9">
        <w:rPr>
          <w:rStyle w:val="Heading3Char"/>
          <w:b/>
        </w:rPr>
        <w:t>Consultation outcomes</w:t>
      </w:r>
      <w:bookmarkEnd w:id="32"/>
      <w:bookmarkEnd w:id="33"/>
      <w:r>
        <w:t xml:space="preserve"> </w:t>
      </w:r>
    </w:p>
    <w:p w14:paraId="5231C037" w14:textId="77777777" w:rsidR="00406CD0" w:rsidRPr="00CC3945" w:rsidRDefault="00406CD0" w:rsidP="00406CD0">
      <w:r w:rsidRPr="00060E5D">
        <w:t>This policy option</w:t>
      </w:r>
      <w:r>
        <w:t xml:space="preserve"> received the least support among stakeholders in submissions responding to the Consultation RIS. </w:t>
      </w:r>
    </w:p>
    <w:p w14:paraId="59A7DE69" w14:textId="605D4AC8" w:rsidR="00406CD0" w:rsidRPr="00BB627C" w:rsidRDefault="00406CD0" w:rsidP="00406CD0">
      <w:r>
        <w:t>The few s</w:t>
      </w:r>
      <w:r w:rsidRPr="00BB627C">
        <w:t xml:space="preserve">takeholders in favour of amending statutory unconscionable conduct suggested that </w:t>
      </w:r>
      <w:r w:rsidR="004E6C25">
        <w:t>O</w:t>
      </w:r>
      <w:r w:rsidRPr="00BB627C">
        <w:t>ption</w:t>
      </w:r>
      <w:r>
        <w:t> </w:t>
      </w:r>
      <w:r w:rsidRPr="00BB627C">
        <w:t xml:space="preserve">2 would be a reasonable and proportional approach to address unfair business conduct, targeting evolved community expectations about what should be considered unconscionable behaviour. Some stakeholders were of the view that this option would allow unfair conduct to be addressed </w:t>
      </w:r>
      <w:r>
        <w:t>under a legal mechanism</w:t>
      </w:r>
      <w:r w:rsidRPr="00BB627C">
        <w:t xml:space="preserve"> that industry is already familiar with.</w:t>
      </w:r>
      <w:r w:rsidR="0025407C">
        <w:rPr>
          <w:rStyle w:val="FootnoteReference"/>
        </w:rPr>
        <w:footnoteReference w:id="63"/>
      </w:r>
      <w:r w:rsidRPr="00BB627C">
        <w:t xml:space="preserve"> </w:t>
      </w:r>
    </w:p>
    <w:p w14:paraId="180C5995" w14:textId="325669B0" w:rsidR="00406CD0" w:rsidRPr="001168D9" w:rsidRDefault="00406CD0" w:rsidP="00406CD0">
      <w:r w:rsidRPr="00BB627C">
        <w:t xml:space="preserve">Those who were against amending statutory unconscionable conduct did so for numerous reasons including that: there is no deficiency in the law and there are recent examples where unconscionable allegations have been proved; the proposed amendments would risk the integrity of the framework for statutory unconscionability; and there have been past efforts to expand the scope of unconscionable conduct which have not had the effect of addressing unfair conduct in line with </w:t>
      </w:r>
      <w:r w:rsidRPr="00BB627C">
        <w:lastRenderedPageBreak/>
        <w:t>modern community expectations</w:t>
      </w:r>
      <w:r>
        <w:t xml:space="preserve"> and the outcomes this reform process seeks to address</w:t>
      </w:r>
      <w:r w:rsidRPr="00BB627C">
        <w:t>.</w:t>
      </w:r>
      <w:r w:rsidR="008F06C0">
        <w:rPr>
          <w:rStyle w:val="FootnoteReference"/>
        </w:rPr>
        <w:footnoteReference w:id="64"/>
      </w:r>
      <w:r w:rsidRPr="00BB627C">
        <w:t xml:space="preserve"> Accordingly, these stakeholders</w:t>
      </w:r>
      <w:r>
        <w:t xml:space="preserve"> expressed doubts that this option would achieve the desired policy outcome, and</w:t>
      </w:r>
      <w:r w:rsidRPr="00BB627C">
        <w:t xml:space="preserve"> </w:t>
      </w:r>
      <w:r>
        <w:t>argued</w:t>
      </w:r>
      <w:r w:rsidRPr="00BB627C">
        <w:t xml:space="preserve"> that amending the threshold would involve substantial cost without achieving </w:t>
      </w:r>
      <w:r w:rsidR="00EA3482">
        <w:t xml:space="preserve">the intended </w:t>
      </w:r>
      <w:r w:rsidRPr="00BB627C">
        <w:t>benefits</w:t>
      </w:r>
      <w:r>
        <w:t>.</w:t>
      </w:r>
    </w:p>
    <w:p w14:paraId="2CD57123" w14:textId="77777777" w:rsidR="00406CD0" w:rsidRDefault="00406CD0" w:rsidP="00406CD0">
      <w:pPr>
        <w:spacing w:before="0" w:after="200" w:line="276" w:lineRule="auto"/>
        <w:rPr>
          <w:rFonts w:ascii="Calibri" w:hAnsi="Calibri" w:cs="Arial"/>
          <w:iCs/>
          <w:color w:val="2C384A"/>
          <w:kern w:val="32"/>
          <w:sz w:val="36"/>
          <w:szCs w:val="28"/>
        </w:rPr>
      </w:pPr>
      <w:r>
        <w:t>In</w:t>
      </w:r>
      <w:r w:rsidDel="00B14A31">
        <w:t xml:space="preserve"> </w:t>
      </w:r>
      <w:r>
        <w:t xml:space="preserve">agreement with most stakeholder feedback, Treasury considers it likely that the costs would outweigh the benefits if this approach were implemented and so </w:t>
      </w:r>
      <w:r w:rsidRPr="004A041F">
        <w:rPr>
          <w:b/>
          <w:bCs/>
        </w:rPr>
        <w:t>this proposal is not being progressed as an option for consideration</w:t>
      </w:r>
      <w:r>
        <w:t>.</w:t>
      </w:r>
      <w:r>
        <w:br w:type="page"/>
      </w:r>
    </w:p>
    <w:p w14:paraId="1362148C" w14:textId="77777777" w:rsidR="00406CD0" w:rsidRDefault="00406CD0" w:rsidP="00406CD0">
      <w:pPr>
        <w:pStyle w:val="Heading2"/>
      </w:pPr>
      <w:bookmarkStart w:id="34" w:name="_Toc202971518"/>
      <w:bookmarkStart w:id="35" w:name="_Toc206422521"/>
      <w:r w:rsidRPr="000A5D21">
        <w:lastRenderedPageBreak/>
        <w:t xml:space="preserve">Option </w:t>
      </w:r>
      <w:r>
        <w:t>3</w:t>
      </w:r>
      <w:r w:rsidRPr="000A5D21">
        <w:t xml:space="preserve"> – </w:t>
      </w:r>
      <w:r>
        <w:t xml:space="preserve">Introduce a </w:t>
      </w:r>
      <w:r w:rsidRPr="000A5D21">
        <w:t>general prohibition</w:t>
      </w:r>
      <w:r>
        <w:t xml:space="preserve"> on unfair trading practices</w:t>
      </w:r>
      <w:bookmarkEnd w:id="34"/>
      <w:bookmarkEnd w:id="35"/>
      <w:r w:rsidRPr="000A5D21">
        <w:t xml:space="preserve"> </w:t>
      </w:r>
    </w:p>
    <w:p w14:paraId="34BB079E" w14:textId="2499F187" w:rsidR="00406CD0" w:rsidRDefault="00406CD0" w:rsidP="00406CD0">
      <w:pPr>
        <w:rPr>
          <w:bCs/>
        </w:rPr>
      </w:pPr>
      <w:r w:rsidRPr="008F46F2">
        <w:t xml:space="preserve">A new general prohibition in the ACL on </w:t>
      </w:r>
      <w:r>
        <w:t>UTPs</w:t>
      </w:r>
      <w:r w:rsidRPr="008F46F2">
        <w:t xml:space="preserve"> would apply to businesses across </w:t>
      </w:r>
      <w:r>
        <w:t>the economy</w:t>
      </w:r>
      <w:r w:rsidRPr="008F46F2">
        <w:t xml:space="preserve"> </w:t>
      </w:r>
      <w:r>
        <w:t>and be</w:t>
      </w:r>
      <w:r w:rsidRPr="008F46F2">
        <w:t xml:space="preserve"> </w:t>
      </w:r>
      <w:r w:rsidR="00D5453A">
        <w:t xml:space="preserve">a </w:t>
      </w:r>
      <w:r w:rsidRPr="008F46F2">
        <w:t>flexible</w:t>
      </w:r>
      <w:r>
        <w:t>,</w:t>
      </w:r>
      <w:r w:rsidRPr="008F46F2">
        <w:t xml:space="preserve"> principles-based intervention. This would align with the largely principles-based nature of the ACL, ensuring the provision stays robust as new practices emerge, and addressing a range of gaps in the current ACL protections. </w:t>
      </w:r>
    </w:p>
    <w:p w14:paraId="061FFA30" w14:textId="620FCC41" w:rsidR="00406CD0" w:rsidRPr="00455B65" w:rsidRDefault="00050052" w:rsidP="00406CD0">
      <w:pPr>
        <w:rPr>
          <w:rFonts w:cstheme="minorHAnsi"/>
          <w:szCs w:val="22"/>
        </w:rPr>
      </w:pPr>
      <w:r>
        <w:t>At this time, i</w:t>
      </w:r>
      <w:r w:rsidR="00406CD0" w:rsidRPr="008F46F2">
        <w:t xml:space="preserve">t is not proposed that the general prohibition </w:t>
      </w:r>
      <w:r w:rsidR="001074A7">
        <w:t xml:space="preserve">would </w:t>
      </w:r>
      <w:r w:rsidR="00406CD0" w:rsidRPr="008F46F2">
        <w:t xml:space="preserve">be mirrored in the </w:t>
      </w:r>
      <w:r w:rsidR="00406CD0" w:rsidRPr="00DA5449">
        <w:rPr>
          <w:i/>
        </w:rPr>
        <w:t>A</w:t>
      </w:r>
      <w:r w:rsidR="00C16771" w:rsidRPr="00DA5449">
        <w:rPr>
          <w:i/>
        </w:rPr>
        <w:t xml:space="preserve">ustralian </w:t>
      </w:r>
      <w:r w:rsidR="00406CD0" w:rsidRPr="00DA5449">
        <w:rPr>
          <w:i/>
        </w:rPr>
        <w:t>S</w:t>
      </w:r>
      <w:r w:rsidR="000D52E5" w:rsidRPr="00DA5449">
        <w:rPr>
          <w:i/>
        </w:rPr>
        <w:t xml:space="preserve">ecurities and </w:t>
      </w:r>
      <w:r w:rsidR="00406CD0" w:rsidRPr="00DA5449">
        <w:rPr>
          <w:i/>
        </w:rPr>
        <w:t>I</w:t>
      </w:r>
      <w:r w:rsidR="000D52E5" w:rsidRPr="00DA5449">
        <w:rPr>
          <w:i/>
        </w:rPr>
        <w:t xml:space="preserve">nvestment </w:t>
      </w:r>
      <w:r w:rsidR="00406CD0" w:rsidRPr="00DA5449">
        <w:rPr>
          <w:i/>
        </w:rPr>
        <w:t>C</w:t>
      </w:r>
      <w:r w:rsidR="000D52E5" w:rsidRPr="00DA5449">
        <w:rPr>
          <w:i/>
        </w:rPr>
        <w:t>ommission</w:t>
      </w:r>
      <w:r w:rsidR="00406CD0" w:rsidRPr="00DA5449">
        <w:rPr>
          <w:i/>
        </w:rPr>
        <w:t xml:space="preserve"> Act </w:t>
      </w:r>
      <w:r w:rsidR="00A56A9C" w:rsidRPr="00DA5449">
        <w:rPr>
          <w:i/>
        </w:rPr>
        <w:t>2001</w:t>
      </w:r>
      <w:r w:rsidR="00A56A9C">
        <w:rPr>
          <w:iCs/>
        </w:rPr>
        <w:t xml:space="preserve"> (Cth</w:t>
      </w:r>
      <w:proofErr w:type="gramStart"/>
      <w:r w:rsidR="00A56A9C">
        <w:rPr>
          <w:iCs/>
        </w:rPr>
        <w:t>)</w:t>
      </w:r>
      <w:r w:rsidR="003F6ABB">
        <w:rPr>
          <w:iCs/>
        </w:rPr>
        <w:t>(</w:t>
      </w:r>
      <w:proofErr w:type="gramEnd"/>
      <w:r w:rsidR="003F6ABB">
        <w:rPr>
          <w:iCs/>
        </w:rPr>
        <w:t>ASIC Act</w:t>
      </w:r>
      <w:r w:rsidR="00A56A9C">
        <w:rPr>
          <w:iCs/>
        </w:rPr>
        <w:t>)</w:t>
      </w:r>
      <w:r w:rsidR="00406CD0" w:rsidRPr="008F46F2">
        <w:t>. As outlined in the Supplementary Consultation paper, there are important differences between the ACL and financial services law in Australia which mean</w:t>
      </w:r>
      <w:r w:rsidR="00EB4444">
        <w:t>s</w:t>
      </w:r>
      <w:r w:rsidR="00406CD0" w:rsidRPr="008F46F2">
        <w:t xml:space="preserve"> that mirroring any </w:t>
      </w:r>
      <w:r w:rsidR="008D1069">
        <w:t>unfair trading prohibition</w:t>
      </w:r>
      <w:r w:rsidR="00406CD0" w:rsidRPr="008F46F2">
        <w:t xml:space="preserve"> requires careful consideration. Once options to amend the ACL have been considered and agreed in consultation with States and Territories, </w:t>
      </w:r>
      <w:r w:rsidR="00406CD0">
        <w:t>consideration will be given to</w:t>
      </w:r>
      <w:r w:rsidR="00406CD0" w:rsidRPr="008F46F2">
        <w:t xml:space="preserve"> </w:t>
      </w:r>
      <w:r w:rsidR="00B621E3">
        <w:t>wh</w:t>
      </w:r>
      <w:r w:rsidR="00E95FC4">
        <w:t xml:space="preserve">at </w:t>
      </w:r>
      <w:r w:rsidR="00406CD0" w:rsidRPr="00CC0D5E">
        <w:t>changes</w:t>
      </w:r>
      <w:r w:rsidR="00E95FC4">
        <w:t>, if any,</w:t>
      </w:r>
      <w:r w:rsidR="00406CD0" w:rsidRPr="008F46F2">
        <w:t xml:space="preserve"> </w:t>
      </w:r>
      <w:r w:rsidR="00E95FC4">
        <w:t>are</w:t>
      </w:r>
      <w:r w:rsidR="00406CD0" w:rsidRPr="008F46F2">
        <w:t xml:space="preserve"> required </w:t>
      </w:r>
      <w:r w:rsidR="00406CD0">
        <w:t xml:space="preserve">in respect of </w:t>
      </w:r>
      <w:r w:rsidR="00406CD0" w:rsidRPr="008F46F2">
        <w:t>financial services regulated by the ASIC Act to ensure appropriate alignment</w:t>
      </w:r>
      <w:r w:rsidR="00406CD0" w:rsidRPr="008F46F2">
        <w:rPr>
          <w:rFonts w:cstheme="minorHAnsi"/>
          <w:szCs w:val="22"/>
        </w:rPr>
        <w:t>.</w:t>
      </w:r>
    </w:p>
    <w:p w14:paraId="13CDC959" w14:textId="77777777" w:rsidR="00406CD0" w:rsidRDefault="00406CD0" w:rsidP="00406CD0">
      <w:pPr>
        <w:pStyle w:val="Heading3"/>
      </w:pPr>
      <w:bookmarkStart w:id="36" w:name="_Toc202971519"/>
      <w:bookmarkStart w:id="37" w:name="_Toc206422522"/>
      <w:r>
        <w:t>Policy context</w:t>
      </w:r>
      <w:bookmarkEnd w:id="36"/>
      <w:bookmarkEnd w:id="37"/>
    </w:p>
    <w:p w14:paraId="58B220DD" w14:textId="614DEE5C" w:rsidR="00406CD0" w:rsidRDefault="00406CD0" w:rsidP="00406CD0">
      <w:r>
        <w:t xml:space="preserve">The most common theme among problematic UTPs not presently </w:t>
      </w:r>
      <w:r w:rsidR="00C0619A">
        <w:t>adequately</w:t>
      </w:r>
      <w:r>
        <w:t xml:space="preserve"> covered by ACL provisions</w:t>
      </w:r>
      <w:r w:rsidR="00F403F5">
        <w:t xml:space="preserve"> is </w:t>
      </w:r>
      <w:r>
        <w:t>that they involve the manipulation of consumers or distortion of consumer choice, causing them detriment or harm.</w:t>
      </w:r>
    </w:p>
    <w:p w14:paraId="44A3ADB4" w14:textId="1ABEC94D" w:rsidR="00406CD0" w:rsidRDefault="00406CD0" w:rsidP="00406CD0">
      <w:r>
        <w:t xml:space="preserve">While businesses will always attempt to influence consumers to promote and sell products and services, the tactics used on consumers can stray </w:t>
      </w:r>
      <w:r w:rsidR="00F403F5">
        <w:t>beyond traditional advertising and marketing practices</w:t>
      </w:r>
      <w:r>
        <w:t xml:space="preserve"> into harsher behaviour</w:t>
      </w:r>
      <w:r w:rsidR="00990F82">
        <w:t xml:space="preserve"> </w:t>
      </w:r>
      <w:r w:rsidR="004A290D">
        <w:t>that is unreasonably manipulative and unfair</w:t>
      </w:r>
      <w:r>
        <w:t>. The ACL already provides consumers protections against certain unfair behaviour</w:t>
      </w:r>
      <w:r w:rsidR="000D68D8">
        <w:t>s</w:t>
      </w:r>
      <w:r>
        <w:t xml:space="preserve"> by businesses in a range of contexts, however as commercial practices change and develop, new ways of interacting with consumers, often digitally, have become more prevalent. Increasing complexity and sophistication of digital </w:t>
      </w:r>
      <w:r w:rsidR="00875055">
        <w:t xml:space="preserve">products, services and </w:t>
      </w:r>
      <w:r>
        <w:t>marketplaces and associated technologies provide new opportunities for businesses to influence consumer decision</w:t>
      </w:r>
      <w:r>
        <w:noBreakHyphen/>
        <w:t xml:space="preserve">making. </w:t>
      </w:r>
    </w:p>
    <w:p w14:paraId="564BB00D" w14:textId="64771704" w:rsidR="00406CD0" w:rsidRDefault="00406CD0" w:rsidP="00406CD0">
      <w:r>
        <w:t>Modern consumers are subjected to unprecedented volumes of</w:t>
      </w:r>
      <w:r w:rsidR="000C70C9">
        <w:t>,</w:t>
      </w:r>
      <w:r>
        <w:t xml:space="preserve"> and channels for</w:t>
      </w:r>
      <w:r w:rsidR="000C70C9">
        <w:t>,</w:t>
      </w:r>
      <w:r>
        <w:t xml:space="preserve"> commercial interactions and are more susceptible to being steered, confused, and overwhelmed</w:t>
      </w:r>
      <w:r w:rsidR="00DA1EB1">
        <w:t xml:space="preserve"> which</w:t>
      </w:r>
      <w:r>
        <w:t xml:space="preserve"> provid</w:t>
      </w:r>
      <w:r w:rsidR="00DA1EB1">
        <w:t>es</w:t>
      </w:r>
      <w:r>
        <w:t xml:space="preserve"> opportunity for exploitation. Manipulative and distortive conduct exploits inherent human biases and heuristics – the mental shortcuts people use when making decisions and solving problems. Consumers’ reliance on these shortcuts can increase when they are under stress or pressure, resulting in more impulsive decisions. Potential harms observed can range from financial to other </w:t>
      </w:r>
      <w:r w:rsidR="00B82526">
        <w:t>loss</w:t>
      </w:r>
      <w:r w:rsidR="00875055">
        <w:t>es</w:t>
      </w:r>
      <w:r w:rsidR="00B82526">
        <w:t xml:space="preserve"> </w:t>
      </w:r>
      <w:r>
        <w:t>like time</w:t>
      </w:r>
      <w:r w:rsidR="00A237DC">
        <w:t>,</w:t>
      </w:r>
      <w:r>
        <w:t xml:space="preserve"> mental work and exertion. </w:t>
      </w:r>
    </w:p>
    <w:p w14:paraId="30ADBE83" w14:textId="2FB4BACA" w:rsidR="00406CD0" w:rsidRDefault="00406CD0" w:rsidP="00406CD0">
      <w:r>
        <w:t xml:space="preserve">While </w:t>
      </w:r>
      <w:r w:rsidR="00C03D54">
        <w:t xml:space="preserve">the types of conduct </w:t>
      </w:r>
      <w:r w:rsidR="00E323F5">
        <w:t>businesses engage in</w:t>
      </w:r>
      <w:r>
        <w:t xml:space="preserve"> </w:t>
      </w:r>
      <w:r w:rsidR="00B250A6">
        <w:t>differ</w:t>
      </w:r>
      <w:r w:rsidR="00054564">
        <w:t xml:space="preserve"> </w:t>
      </w:r>
      <w:r>
        <w:t>based on the</w:t>
      </w:r>
      <w:r w:rsidR="00A217F6">
        <w:t>ir individual</w:t>
      </w:r>
      <w:r>
        <w:t xml:space="preserve"> business models, channels and technologies, principles-based interventions </w:t>
      </w:r>
      <w:r w:rsidR="009F5EDB">
        <w:t xml:space="preserve">set </w:t>
      </w:r>
      <w:r>
        <w:t xml:space="preserve">a behavioural standard that </w:t>
      </w:r>
      <w:r w:rsidR="00FE1AF6">
        <w:t>p</w:t>
      </w:r>
      <w:r w:rsidR="0079409E">
        <w:t>rotect</w:t>
      </w:r>
      <w:r w:rsidR="000A5402">
        <w:t>s</w:t>
      </w:r>
      <w:r>
        <w:t xml:space="preserve"> </w:t>
      </w:r>
      <w:r w:rsidR="00E03612">
        <w:t>consumers</w:t>
      </w:r>
      <w:r>
        <w:t xml:space="preserve"> regardless of how </w:t>
      </w:r>
      <w:r w:rsidR="005026DD">
        <w:t xml:space="preserve">technologies and business </w:t>
      </w:r>
      <w:r>
        <w:t xml:space="preserve">practices evolve </w:t>
      </w:r>
      <w:r w:rsidR="00FF4C2F">
        <w:t>over time</w:t>
      </w:r>
      <w:r>
        <w:t xml:space="preserve">. </w:t>
      </w:r>
    </w:p>
    <w:p w14:paraId="14726EA0" w14:textId="3F147AE8" w:rsidR="00406CD0" w:rsidRDefault="00406CD0" w:rsidP="00406CD0">
      <w:r>
        <w:t xml:space="preserve">The general protections contained in Chapter 2 of the ACL are principles-based provisions regulating behaviours across </w:t>
      </w:r>
      <w:r w:rsidR="007750BA">
        <w:t>different</w:t>
      </w:r>
      <w:r>
        <w:t xml:space="preserve"> circumstances and industries. These provisions, including against misleading or deceptive conduct, and unconscionable conduct, have proven to offer enduring protections as commercial practices evolve. </w:t>
      </w:r>
    </w:p>
    <w:p w14:paraId="050AAB19" w14:textId="156E808F" w:rsidR="00406CD0" w:rsidRDefault="00406CD0" w:rsidP="00406CD0">
      <w:pPr>
        <w:pStyle w:val="Heading4"/>
        <w:rPr>
          <w:bCs/>
        </w:rPr>
      </w:pPr>
      <w:r w:rsidRPr="00BF1A18">
        <w:t>Dark patterns</w:t>
      </w:r>
    </w:p>
    <w:p w14:paraId="4B5F0FDB" w14:textId="4ABDFE49" w:rsidR="00406CD0" w:rsidRPr="00D04CA4" w:rsidRDefault="00406CD0" w:rsidP="00406CD0">
      <w:pPr>
        <w:rPr>
          <w:bCs/>
        </w:rPr>
      </w:pPr>
      <w:r w:rsidRPr="00D04CA4">
        <w:rPr>
          <w:bCs/>
        </w:rPr>
        <w:t>D</w:t>
      </w:r>
      <w:r w:rsidRPr="00D04CA4">
        <w:t>ark patterns</w:t>
      </w:r>
      <w:r w:rsidR="00531C46">
        <w:t>, as described above in the Problem section,</w:t>
      </w:r>
      <w:r w:rsidRPr="00D04CA4">
        <w:rPr>
          <w:bCs/>
        </w:rPr>
        <w:t xml:space="preserve"> provide businesses with the opportunity for quick and highly targeted interactions with consumers. They can be deployed on a large scale using </w:t>
      </w:r>
      <w:r w:rsidRPr="00D04CA4">
        <w:rPr>
          <w:bCs/>
        </w:rPr>
        <w:lastRenderedPageBreak/>
        <w:t xml:space="preserve">modern technology and digital interfaces. This unprecedented speed and scale, and </w:t>
      </w:r>
      <w:r w:rsidRPr="001F7398">
        <w:t>opportunities for targeting</w:t>
      </w:r>
      <w:r w:rsidRPr="00D04CA4">
        <w:rPr>
          <w:bCs/>
        </w:rPr>
        <w:t xml:space="preserve"> </w:t>
      </w:r>
      <w:r w:rsidR="00517FE2">
        <w:rPr>
          <w:bCs/>
        </w:rPr>
        <w:t xml:space="preserve">individual preferences and behaviours, </w:t>
      </w:r>
      <w:r w:rsidRPr="00D04CA4">
        <w:rPr>
          <w:bCs/>
        </w:rPr>
        <w:t>distinguish dark patterns and their impacts from more conventional marketing practices.</w:t>
      </w:r>
      <w:r>
        <w:rPr>
          <w:bCs/>
        </w:rPr>
        <w:t xml:space="preserve"> Exploitation can be subtle and highly contextual to take advantage of perceptual and comprehension vulnerabilities </w:t>
      </w:r>
      <w:r w:rsidR="00DC2DEE">
        <w:rPr>
          <w:bCs/>
        </w:rPr>
        <w:t>of consumers</w:t>
      </w:r>
      <w:r w:rsidR="00A85329">
        <w:rPr>
          <w:bCs/>
        </w:rPr>
        <w:t>.</w:t>
      </w:r>
      <w:r w:rsidR="00DC2DEE">
        <w:rPr>
          <w:bCs/>
        </w:rPr>
        <w:t xml:space="preserve"> This</w:t>
      </w:r>
      <w:r w:rsidDel="00DC2DEE">
        <w:rPr>
          <w:bCs/>
        </w:rPr>
        <w:t xml:space="preserve"> </w:t>
      </w:r>
      <w:r w:rsidR="00A85329">
        <w:rPr>
          <w:bCs/>
        </w:rPr>
        <w:t xml:space="preserve">can </w:t>
      </w:r>
      <w:r>
        <w:rPr>
          <w:bCs/>
        </w:rPr>
        <w:t>shift</w:t>
      </w:r>
      <w:r w:rsidDel="00A7022D">
        <w:rPr>
          <w:bCs/>
        </w:rPr>
        <w:t xml:space="preserve"> </w:t>
      </w:r>
      <w:r>
        <w:rPr>
          <w:bCs/>
        </w:rPr>
        <w:t>the function of marketing and the user journey away from persuasion to</w:t>
      </w:r>
      <w:r w:rsidR="002C02CB">
        <w:rPr>
          <w:bCs/>
        </w:rPr>
        <w:t>wards</w:t>
      </w:r>
      <w:r>
        <w:rPr>
          <w:bCs/>
        </w:rPr>
        <w:t xml:space="preserve"> manipulation, often at the expense of transparency and consumer autonomy. The automation of updates to user experiences and interfaces (such as through iterative A/B testing)</w:t>
      </w:r>
      <w:r w:rsidR="00681BC4">
        <w:rPr>
          <w:rStyle w:val="FootnoteReference"/>
          <w:bCs/>
        </w:rPr>
        <w:footnoteReference w:id="65"/>
      </w:r>
      <w:r>
        <w:rPr>
          <w:bCs/>
        </w:rPr>
        <w:t xml:space="preserve"> means that dark pattern occurrences may not always be intentional but </w:t>
      </w:r>
      <w:r w:rsidR="002110E4">
        <w:rPr>
          <w:bCs/>
        </w:rPr>
        <w:t xml:space="preserve">when </w:t>
      </w:r>
      <w:r>
        <w:rPr>
          <w:bCs/>
        </w:rPr>
        <w:t xml:space="preserve">left unchecked they </w:t>
      </w:r>
      <w:r w:rsidR="002110E4">
        <w:rPr>
          <w:bCs/>
        </w:rPr>
        <w:t xml:space="preserve">can </w:t>
      </w:r>
      <w:r w:rsidR="00F507B4">
        <w:rPr>
          <w:bCs/>
        </w:rPr>
        <w:t>have a sign</w:t>
      </w:r>
      <w:r w:rsidR="0048369C">
        <w:rPr>
          <w:bCs/>
        </w:rPr>
        <w:t xml:space="preserve">ificant </w:t>
      </w:r>
      <w:r>
        <w:rPr>
          <w:bCs/>
        </w:rPr>
        <w:t>impact on consumer</w:t>
      </w:r>
      <w:r w:rsidR="00490CF3">
        <w:rPr>
          <w:bCs/>
        </w:rPr>
        <w:t xml:space="preserve"> </w:t>
      </w:r>
      <w:r w:rsidR="000C3968">
        <w:rPr>
          <w:bCs/>
        </w:rPr>
        <w:t>behaviour</w:t>
      </w:r>
      <w:r w:rsidR="00490CF3">
        <w:rPr>
          <w:bCs/>
        </w:rPr>
        <w:t xml:space="preserve"> or decision-making</w:t>
      </w:r>
      <w:r>
        <w:rPr>
          <w:bCs/>
        </w:rPr>
        <w:t xml:space="preserve"> i.e. they can be profitable </w:t>
      </w:r>
      <w:r w:rsidR="00BD05FA">
        <w:rPr>
          <w:bCs/>
        </w:rPr>
        <w:t>‘</w:t>
      </w:r>
      <w:r>
        <w:rPr>
          <w:bCs/>
        </w:rPr>
        <w:t>accidents</w:t>
      </w:r>
      <w:r w:rsidR="00BD05FA">
        <w:rPr>
          <w:bCs/>
        </w:rPr>
        <w:t>’</w:t>
      </w:r>
      <w:r>
        <w:rPr>
          <w:bCs/>
        </w:rPr>
        <w:t xml:space="preserve"> for a business. Additionally, </w:t>
      </w:r>
      <w:r w:rsidR="00CA2422">
        <w:rPr>
          <w:bCs/>
        </w:rPr>
        <w:t>while</w:t>
      </w:r>
      <w:r>
        <w:rPr>
          <w:bCs/>
        </w:rPr>
        <w:t xml:space="preserve"> i</w:t>
      </w:r>
      <w:r w:rsidRPr="00C56259">
        <w:rPr>
          <w:bCs/>
        </w:rPr>
        <w:t>ndividual dark patterns can be harmful</w:t>
      </w:r>
      <w:r w:rsidR="00F76004">
        <w:rPr>
          <w:bCs/>
        </w:rPr>
        <w:t>,</w:t>
      </w:r>
      <w:r w:rsidRPr="00C56259">
        <w:rPr>
          <w:bCs/>
        </w:rPr>
        <w:t xml:space="preserve"> often it is the cumulative effect of these patterns that </w:t>
      </w:r>
      <w:r w:rsidR="00450E88">
        <w:rPr>
          <w:bCs/>
        </w:rPr>
        <w:t xml:space="preserve">has the largest impact </w:t>
      </w:r>
      <w:r w:rsidR="00DA1F44">
        <w:rPr>
          <w:bCs/>
        </w:rPr>
        <w:t xml:space="preserve">to </w:t>
      </w:r>
      <w:r w:rsidRPr="00C56259">
        <w:rPr>
          <w:bCs/>
        </w:rPr>
        <w:t>manipulat</w:t>
      </w:r>
      <w:r w:rsidR="00DA1F44">
        <w:rPr>
          <w:bCs/>
        </w:rPr>
        <w:t>e</w:t>
      </w:r>
      <w:r w:rsidRPr="00C56259">
        <w:rPr>
          <w:bCs/>
        </w:rPr>
        <w:t xml:space="preserve"> or distort consumer choices and behaviours</w:t>
      </w:r>
      <w:r w:rsidR="006021C0">
        <w:rPr>
          <w:bCs/>
        </w:rPr>
        <w:t xml:space="preserve"> and cause harm</w:t>
      </w:r>
      <w:r w:rsidRPr="00C56259">
        <w:rPr>
          <w:bCs/>
        </w:rPr>
        <w:t>.</w:t>
      </w:r>
    </w:p>
    <w:p w14:paraId="18F011E3" w14:textId="77777777" w:rsidR="00406CD0" w:rsidRDefault="00406CD0" w:rsidP="00406CD0">
      <w:pPr>
        <w:pStyle w:val="Heading3"/>
      </w:pPr>
      <w:bookmarkStart w:id="38" w:name="_Toc202971520"/>
      <w:bookmarkStart w:id="39" w:name="_Toc206422523"/>
      <w:r>
        <w:t>Consultation Outcomes</w:t>
      </w:r>
      <w:bookmarkEnd w:id="38"/>
      <w:bookmarkEnd w:id="39"/>
    </w:p>
    <w:p w14:paraId="4CEAF653" w14:textId="77777777" w:rsidR="00406CD0" w:rsidRDefault="00406CD0" w:rsidP="00406CD0">
      <w:r>
        <w:t>Overall, there was support for a principles-based prohibition on UTPs. Most stakeholders suggested amendments to the proposed formulation to better achieve the policy objectives, however there was significant variance in the suggestions. Support was strongest from government, consumer advocates and academic stakeholders. Industry stakeholders generally did not support a general prohibition, arguing that:</w:t>
      </w:r>
    </w:p>
    <w:p w14:paraId="6CF8A537" w14:textId="77777777" w:rsidR="00406CD0" w:rsidRPr="00D73EB5" w:rsidRDefault="00406CD0" w:rsidP="008954E6">
      <w:pPr>
        <w:pStyle w:val="Bullet"/>
        <w:spacing w:line="240" w:lineRule="auto"/>
        <w:ind w:left="522" w:hanging="522"/>
      </w:pPr>
      <w:r w:rsidRPr="00D73EB5">
        <w:t xml:space="preserve">practices identified by Treasury as examples of </w:t>
      </w:r>
      <w:r>
        <w:t>UTPs</w:t>
      </w:r>
      <w:r w:rsidRPr="00D73EB5">
        <w:t xml:space="preserve"> are already effectively addressed by existing protections in the ACL </w:t>
      </w:r>
    </w:p>
    <w:p w14:paraId="19E731BC" w14:textId="77777777" w:rsidR="00406CD0" w:rsidRPr="00D73EB5" w:rsidRDefault="00406CD0" w:rsidP="008954E6">
      <w:pPr>
        <w:pStyle w:val="Bullet"/>
        <w:spacing w:line="240" w:lineRule="auto"/>
        <w:ind w:left="522" w:hanging="522"/>
      </w:pPr>
      <w:r w:rsidRPr="00D73EB5">
        <w:t xml:space="preserve">the proposed prohibition creates uncertainty for businesses which will increase the cost and complexity of providing services and products to consumers </w:t>
      </w:r>
    </w:p>
    <w:p w14:paraId="556BAB6C" w14:textId="77777777" w:rsidR="00406CD0" w:rsidRPr="00D73EB5" w:rsidRDefault="00406CD0" w:rsidP="008954E6">
      <w:pPr>
        <w:pStyle w:val="Bullet"/>
        <w:spacing w:line="240" w:lineRule="auto"/>
        <w:ind w:left="522" w:hanging="522"/>
      </w:pPr>
      <w:r w:rsidRPr="00D73EB5">
        <w:t>the problematic issues identified are primarily in the digital space and should be addressed through sector-specific or targeted reform, such as regulation of digital platforms.</w:t>
      </w:r>
    </w:p>
    <w:p w14:paraId="1E9C3BEF" w14:textId="77777777" w:rsidR="00406CD0" w:rsidRDefault="00406CD0" w:rsidP="00406CD0">
      <w:pPr>
        <w:pStyle w:val="Heading4"/>
      </w:pPr>
      <w:r>
        <w:t>Design of a general prohibition</w:t>
      </w:r>
    </w:p>
    <w:p w14:paraId="6AB3F04D" w14:textId="77777777" w:rsidR="00406CD0" w:rsidRPr="001C53F0" w:rsidRDefault="00406CD0" w:rsidP="00406CD0">
      <w:r>
        <w:t xml:space="preserve">The Supplementary Consultation paper proposed the general prohibition capture a business’s conduct where it: </w:t>
      </w:r>
    </w:p>
    <w:p w14:paraId="1416A7D2" w14:textId="77777777" w:rsidR="00406CD0" w:rsidRPr="00455B65" w:rsidRDefault="00406CD0" w:rsidP="008954E6">
      <w:pPr>
        <w:pStyle w:val="Bullet"/>
        <w:spacing w:line="240" w:lineRule="auto"/>
        <w:ind w:left="522" w:hanging="522"/>
      </w:pPr>
      <w:r w:rsidRPr="00455B65">
        <w:t>unreasonably distorts or manipulates, or is likely to unreasonably distort or manipulate, the economic decision-making or behaviour of a consumer and</w:t>
      </w:r>
    </w:p>
    <w:p w14:paraId="4430E1B4" w14:textId="77777777" w:rsidR="00406CD0" w:rsidRPr="00455B65" w:rsidRDefault="00406CD0" w:rsidP="0041457B">
      <w:pPr>
        <w:pStyle w:val="Bullet"/>
        <w:spacing w:line="240" w:lineRule="auto"/>
        <w:ind w:left="522" w:hanging="522"/>
      </w:pPr>
      <w:r w:rsidRPr="00455B65">
        <w:t>causes, or is likely to cause, material detriment (financial or otherwise) to the consumer.</w:t>
      </w:r>
    </w:p>
    <w:p w14:paraId="224F9BFF" w14:textId="77777777" w:rsidR="00406CD0" w:rsidRDefault="00406CD0" w:rsidP="00406CD0">
      <w:r>
        <w:t xml:space="preserve">There was no clear consensus from stakeholders on the most appropriate concepts to incorporate into the general prohibition. </w:t>
      </w:r>
      <w:r w:rsidRPr="00BE0D6F">
        <w:t xml:space="preserve">In particular, </w:t>
      </w:r>
      <w:r>
        <w:t>there were mixed views</w:t>
      </w:r>
      <w:r w:rsidRPr="00BE0D6F">
        <w:t xml:space="preserve"> on proposed design elements including use of the</w:t>
      </w:r>
      <w:r>
        <w:t xml:space="preserve"> concepts of</w:t>
      </w:r>
      <w:r w:rsidRPr="00BE0D6F">
        <w:t xml:space="preserve"> ‘</w:t>
      </w:r>
      <w:r w:rsidRPr="00531D5E">
        <w:t>unreasonably’, ‘distorts’</w:t>
      </w:r>
      <w:r>
        <w:t>, ‘consumer’ and</w:t>
      </w:r>
      <w:r w:rsidRPr="00531D5E">
        <w:t xml:space="preserve"> ‘manipulates’</w:t>
      </w:r>
      <w:r>
        <w:t xml:space="preserve">, and the requirement for ‘material detriment’. </w:t>
      </w:r>
    </w:p>
    <w:p w14:paraId="632044CD" w14:textId="3AD037CB" w:rsidR="00406CD0" w:rsidRDefault="00406CD0" w:rsidP="00406CD0">
      <w:pPr>
        <w:rPr>
          <w:b/>
        </w:rPr>
      </w:pPr>
      <w:r w:rsidRPr="004163C1">
        <w:t xml:space="preserve">The Law Council of Australia and the Shopping Centre Council of Australia submitted </w:t>
      </w:r>
      <w:r>
        <w:t>that requiring conduct to be ‘unreasonable’</w:t>
      </w:r>
      <w:r w:rsidRPr="004163C1">
        <w:t xml:space="preserve"> introduces a</w:t>
      </w:r>
      <w:r w:rsidR="0ECA6593" w:rsidRPr="004163C1">
        <w:t>n</w:t>
      </w:r>
      <w:r w:rsidRPr="004163C1">
        <w:t xml:space="preserve"> objective standard </w:t>
      </w:r>
      <w:r w:rsidR="1C91227A" w:rsidRPr="004163C1">
        <w:t xml:space="preserve">and </w:t>
      </w:r>
      <w:r w:rsidRPr="004163C1">
        <w:t>an assessment of the relevant facts and circumstances,</w:t>
      </w:r>
      <w:r w:rsidRPr="4D74D57C">
        <w:rPr>
          <w:rStyle w:val="FootnoteReference"/>
        </w:rPr>
        <w:footnoteReference w:id="66"/>
      </w:r>
      <w:r w:rsidDel="00406CD0">
        <w:t xml:space="preserve"> </w:t>
      </w:r>
      <w:r w:rsidRPr="004163C1">
        <w:t xml:space="preserve">and </w:t>
      </w:r>
      <w:r w:rsidR="56E162A0">
        <w:t xml:space="preserve">consideration of </w:t>
      </w:r>
      <w:r w:rsidR="1D88B643">
        <w:t>the</w:t>
      </w:r>
      <w:r w:rsidRPr="004163C1">
        <w:t xml:space="preserve"> regular practices of an industry.</w:t>
      </w:r>
      <w:r w:rsidRPr="01B389AB">
        <w:rPr>
          <w:rStyle w:val="FootnoteReference"/>
          <w:rFonts w:eastAsiaTheme="majorEastAsia" w:cstheme="minorBidi"/>
        </w:rPr>
        <w:footnoteReference w:id="67"/>
      </w:r>
      <w:r w:rsidRPr="00EF256F">
        <w:rPr>
          <w:vertAlign w:val="superscript"/>
        </w:rPr>
        <w:t xml:space="preserve"> </w:t>
      </w:r>
      <w:r w:rsidRPr="00872AD9">
        <w:t xml:space="preserve">Dr Benjamin Hopper considered that the notion of </w:t>
      </w:r>
      <w:r w:rsidR="65399CBE" w:rsidRPr="00872AD9">
        <w:t xml:space="preserve">‘unreasonableness’ </w:t>
      </w:r>
      <w:r w:rsidRPr="00872AD9">
        <w:t xml:space="preserve"> is unnecessarily vague in the context of the </w:t>
      </w:r>
      <w:r w:rsidRPr="00872AD9">
        <w:lastRenderedPageBreak/>
        <w:t>ACL, making it difficult for businesses and consumers to determine when conduct breaches the proposed prohibition.</w:t>
      </w:r>
      <w:r w:rsidRPr="00D72535">
        <w:rPr>
          <w:rStyle w:val="FootnoteReference"/>
          <w:rFonts w:eastAsiaTheme="majorEastAsia" w:cstheme="minorBidi"/>
        </w:rPr>
        <w:footnoteReference w:id="68"/>
      </w:r>
      <w:r w:rsidRPr="002D1D0F">
        <w:rPr>
          <w:vertAlign w:val="superscript"/>
        </w:rPr>
        <w:t xml:space="preserve"> </w:t>
      </w:r>
    </w:p>
    <w:p w14:paraId="67FC4B08" w14:textId="2E0320E0" w:rsidR="00406CD0" w:rsidRDefault="00406CD0" w:rsidP="00406CD0">
      <w:pPr>
        <w:rPr>
          <w:b/>
        </w:rPr>
      </w:pPr>
      <w:r>
        <w:t xml:space="preserve">The Business Council of Australia (BCA) </w:t>
      </w:r>
      <w:r w:rsidR="007A01F1">
        <w:t>instead</w:t>
      </w:r>
      <w:r>
        <w:t xml:space="preserve"> supported </w:t>
      </w:r>
      <w:r w:rsidRPr="00720F1A">
        <w:t xml:space="preserve">incorporating a </w:t>
      </w:r>
      <w:r>
        <w:t>‘</w:t>
      </w:r>
      <w:r w:rsidRPr="00720F1A">
        <w:t xml:space="preserve">legitimate </w:t>
      </w:r>
      <w:r>
        <w:t xml:space="preserve">business </w:t>
      </w:r>
      <w:r w:rsidRPr="00720F1A">
        <w:t>interest</w:t>
      </w:r>
      <w:r>
        <w:t>’</w:t>
      </w:r>
      <w:r w:rsidRPr="00720F1A">
        <w:t xml:space="preserve"> element</w:t>
      </w:r>
      <w:r>
        <w:t xml:space="preserve"> (importantly, not phrased as a rebuttable presumption), submitting that </w:t>
      </w:r>
      <w:r w:rsidR="06A0024F">
        <w:t xml:space="preserve">it is </w:t>
      </w:r>
      <w:r>
        <w:t xml:space="preserve">already used in respect of the </w:t>
      </w:r>
      <w:r w:rsidR="220CCAB2">
        <w:t>ACL’s</w:t>
      </w:r>
      <w:r>
        <w:t xml:space="preserve"> unfair contract terms prohibition</w:t>
      </w:r>
      <w:r w:rsidR="101740A1">
        <w:t xml:space="preserve"> and </w:t>
      </w:r>
      <w:r>
        <w:t>will lead to greater certainty than ‘unreasonable’.</w:t>
      </w:r>
      <w:r w:rsidRPr="01B389AB">
        <w:rPr>
          <w:rStyle w:val="FootnoteReference"/>
          <w:rFonts w:eastAsiaTheme="majorEastAsia" w:cstheme="minorBidi"/>
        </w:rPr>
        <w:footnoteReference w:id="69"/>
      </w:r>
      <w:r w:rsidRPr="0089412F">
        <w:rPr>
          <w:vertAlign w:val="superscript"/>
        </w:rPr>
        <w:t xml:space="preserve"> </w:t>
      </w:r>
      <w:r>
        <w:t xml:space="preserve">Other stakeholders, including </w:t>
      </w:r>
      <w:r w:rsidRPr="00720F1A">
        <w:t xml:space="preserve">National Legal Aid </w:t>
      </w:r>
      <w:r>
        <w:t xml:space="preserve">and </w:t>
      </w:r>
      <w:r w:rsidR="005E45EF">
        <w:t>the</w:t>
      </w:r>
      <w:r>
        <w:t xml:space="preserve"> </w:t>
      </w:r>
      <w:r w:rsidR="005E45EF">
        <w:t>Joint Consumer Advocates</w:t>
      </w:r>
      <w:r>
        <w:t>,</w:t>
      </w:r>
      <w:r w:rsidRPr="00720F1A">
        <w:t xml:space="preserve"> opposed </w:t>
      </w:r>
      <w:r>
        <w:t>this approach</w:t>
      </w:r>
      <w:r w:rsidRPr="00720F1A">
        <w:t xml:space="preserve"> arguing </w:t>
      </w:r>
      <w:r>
        <w:t>it focuses</w:t>
      </w:r>
      <w:r w:rsidRPr="00720F1A">
        <w:t xml:space="preserve"> on the intentions of the business rather than the impact on the consumer</w:t>
      </w:r>
      <w:r>
        <w:t>, and does not sufficiently protect consumers</w:t>
      </w:r>
      <w:r w:rsidRPr="00720F1A">
        <w:t>.</w:t>
      </w:r>
      <w:r w:rsidRPr="01B389AB">
        <w:rPr>
          <w:rStyle w:val="FootnoteReference"/>
          <w:rFonts w:eastAsiaTheme="majorEastAsia"/>
        </w:rPr>
        <w:footnoteReference w:id="70"/>
      </w:r>
    </w:p>
    <w:p w14:paraId="54D75496" w14:textId="2AD34C05" w:rsidR="00406CD0" w:rsidRPr="008B05E3" w:rsidRDefault="00406CD0" w:rsidP="00406CD0">
      <w:pPr>
        <w:rPr>
          <w:b/>
          <w:vertAlign w:val="superscript"/>
        </w:rPr>
      </w:pPr>
      <w:r>
        <w:t>The Centre for Artificial Intelligence and Digital Ethics (the University of Melbourne) submitted that conduct that ‘distorts’ the economic decision-making or behaviour of consumers encompasses all the kinds of behaviours and practices raised in the Supplementary Consultation paper</w:t>
      </w:r>
      <w:r w:rsidRPr="004163C1">
        <w:t>.</w:t>
      </w:r>
      <w:r w:rsidRPr="01B389AB">
        <w:rPr>
          <w:rStyle w:val="FootnoteReference"/>
          <w:rFonts w:eastAsiaTheme="majorEastAsia" w:cstheme="minorBidi"/>
        </w:rPr>
        <w:footnoteReference w:id="71"/>
      </w:r>
      <w:r>
        <w:t xml:space="preserve"> The Australian Chamber of Commerce and Industry (ACCI) submitted that the terms ‘unreasonably distorts or manipulates’ is very subjective and their inclusion will lead to greater uncertainty for businesses.</w:t>
      </w:r>
      <w:r w:rsidRPr="01B389AB">
        <w:rPr>
          <w:rStyle w:val="FootnoteReference"/>
          <w:rFonts w:eastAsiaTheme="majorEastAsia" w:cstheme="minorBidi"/>
        </w:rPr>
        <w:footnoteReference w:id="72"/>
      </w:r>
      <w:r w:rsidRPr="00135E27">
        <w:rPr>
          <w:vertAlign w:val="superscript"/>
        </w:rPr>
        <w:t xml:space="preserve"> </w:t>
      </w:r>
      <w:r>
        <w:t>A few stakeholders</w:t>
      </w:r>
      <w:r w:rsidRPr="004163C1">
        <w:t xml:space="preserve"> raised concerns that targeting conduct that ‘</w:t>
      </w:r>
      <w:r>
        <w:t xml:space="preserve">unreasonably </w:t>
      </w:r>
      <w:r w:rsidRPr="004163C1">
        <w:t>manipulates’ may unintentionally capture legitimate design and marketing conduct, as marketing is intended to influence consumer behaviour.</w:t>
      </w:r>
    </w:p>
    <w:p w14:paraId="63D4E0CC" w14:textId="03F948D1" w:rsidR="00406CD0" w:rsidRDefault="00AD5B21" w:rsidP="00406CD0">
      <w:pPr>
        <w:rPr>
          <w:rFonts w:cstheme="minorBidi"/>
        </w:rPr>
      </w:pPr>
      <w:r>
        <w:rPr>
          <w:rFonts w:cstheme="minorBidi"/>
        </w:rPr>
        <w:t>Dr</w:t>
      </w:r>
      <w:r w:rsidR="00406CD0">
        <w:rPr>
          <w:rFonts w:cstheme="minorBidi"/>
        </w:rPr>
        <w:t xml:space="preserve"> </w:t>
      </w:r>
      <w:r w:rsidR="00406CD0" w:rsidRPr="01B389AB">
        <w:rPr>
          <w:rFonts w:cstheme="minorBidi"/>
        </w:rPr>
        <w:t>Luke Nottage and the C</w:t>
      </w:r>
      <w:r w:rsidR="00406CD0">
        <w:rPr>
          <w:rFonts w:cstheme="minorBidi"/>
        </w:rPr>
        <w:t xml:space="preserve">ompetition </w:t>
      </w:r>
      <w:r w:rsidR="00406CD0" w:rsidRPr="01B389AB">
        <w:rPr>
          <w:rFonts w:cstheme="minorBidi"/>
        </w:rPr>
        <w:t>&amp;</w:t>
      </w:r>
      <w:r w:rsidR="00406CD0">
        <w:rPr>
          <w:rFonts w:cstheme="minorBidi"/>
        </w:rPr>
        <w:t xml:space="preserve"> </w:t>
      </w:r>
      <w:r w:rsidR="00406CD0" w:rsidRPr="01B389AB">
        <w:rPr>
          <w:rFonts w:cstheme="minorBidi"/>
        </w:rPr>
        <w:t>C</w:t>
      </w:r>
      <w:r w:rsidR="00406CD0">
        <w:rPr>
          <w:rFonts w:cstheme="minorBidi"/>
        </w:rPr>
        <w:t>onsumer</w:t>
      </w:r>
      <w:r w:rsidR="00406CD0" w:rsidRPr="01B389AB">
        <w:rPr>
          <w:rFonts w:cstheme="minorBidi"/>
        </w:rPr>
        <w:t xml:space="preserve"> Committee of the Law Council considered that the use of ‘decision making’ is </w:t>
      </w:r>
      <w:r w:rsidR="00406CD0">
        <w:rPr>
          <w:rFonts w:cstheme="minorBidi"/>
        </w:rPr>
        <w:t>duplicative</w:t>
      </w:r>
      <w:r w:rsidR="00406CD0" w:rsidRPr="01B389AB">
        <w:rPr>
          <w:rFonts w:cstheme="minorBidi"/>
        </w:rPr>
        <w:t xml:space="preserve"> as a decision is a kind of behaviour.</w:t>
      </w:r>
      <w:r w:rsidR="00406CD0" w:rsidRPr="01B389AB">
        <w:rPr>
          <w:rStyle w:val="FootnoteReference"/>
          <w:rFonts w:eastAsiaTheme="majorEastAsia" w:cstheme="minorBidi"/>
        </w:rPr>
        <w:footnoteReference w:id="73"/>
      </w:r>
    </w:p>
    <w:p w14:paraId="78C0D7EF" w14:textId="55C3DAC8" w:rsidR="00406CD0" w:rsidRDefault="00406CD0" w:rsidP="00406CD0">
      <w:pPr>
        <w:rPr>
          <w:rFonts w:cstheme="minorBidi"/>
        </w:rPr>
      </w:pPr>
      <w:r w:rsidRPr="002F3869">
        <w:rPr>
          <w:rFonts w:cstheme="minorBidi"/>
        </w:rPr>
        <w:t>The BCA submitted that there is uncertainty as to who is ‘a consumer’ and recommended the prohibition clarify the test is an average consumer.</w:t>
      </w:r>
      <w:r w:rsidRPr="00C027A1">
        <w:rPr>
          <w:rStyle w:val="FootnoteReference"/>
          <w:rFonts w:eastAsiaTheme="majorEastAsia"/>
        </w:rPr>
        <w:footnoteReference w:id="74"/>
      </w:r>
      <w:r w:rsidRPr="002F3869">
        <w:rPr>
          <w:rFonts w:cstheme="minorBidi"/>
        </w:rPr>
        <w:t xml:space="preserve"> Other stakeholders cautioned against limiting protection to the average consumer, stating this standard could disadvantage vulnerable consumers. The </w:t>
      </w:r>
      <w:r w:rsidR="00F058BA">
        <w:rPr>
          <w:rFonts w:cstheme="minorBidi"/>
        </w:rPr>
        <w:t>University of Melbourne</w:t>
      </w:r>
      <w:r w:rsidRPr="002F3869">
        <w:rPr>
          <w:rFonts w:cstheme="minorBidi"/>
        </w:rPr>
        <w:t xml:space="preserve"> considered an average consumer standard ignores the reality that consumers are a heterogenous group, experiencing and engaging with information and the marketplace in varying ways (especially given rapid developments in information provision and the digital marketplace).</w:t>
      </w:r>
      <w:r w:rsidRPr="00EC0843">
        <w:rPr>
          <w:rStyle w:val="FootnoteReference"/>
          <w:rFonts w:eastAsiaTheme="majorEastAsia"/>
        </w:rPr>
        <w:footnoteReference w:id="75"/>
      </w:r>
    </w:p>
    <w:p w14:paraId="1928E642" w14:textId="4A2B6FFF" w:rsidR="00406CD0" w:rsidRDefault="00406CD0" w:rsidP="00406CD0">
      <w:pPr>
        <w:rPr>
          <w:b/>
        </w:rPr>
      </w:pPr>
      <w:r>
        <w:t>A number of industry stakeholders, including the</w:t>
      </w:r>
      <w:r w:rsidRPr="004163C1">
        <w:t xml:space="preserve"> BCA</w:t>
      </w:r>
      <w:r>
        <w:t xml:space="preserve"> </w:t>
      </w:r>
      <w:r w:rsidR="00AA7B9A">
        <w:t>and the Tech Council</w:t>
      </w:r>
      <w:r w:rsidR="00917B09">
        <w:t xml:space="preserve"> of Australia</w:t>
      </w:r>
      <w:r w:rsidR="00AA7B9A">
        <w:t>,</w:t>
      </w:r>
      <w:r w:rsidR="009E3520" w:rsidRPr="01B389AB">
        <w:rPr>
          <w:rStyle w:val="FootnoteReference"/>
          <w:rFonts w:eastAsiaTheme="majorEastAsia" w:cstheme="minorBidi"/>
        </w:rPr>
        <w:footnoteReference w:id="76"/>
      </w:r>
      <w:r w:rsidR="009E3520">
        <w:t xml:space="preserve"> </w:t>
      </w:r>
      <w:r w:rsidRPr="004163C1">
        <w:t>supported</w:t>
      </w:r>
      <w:r>
        <w:t xml:space="preserve"> a requirement for detriment to be material</w:t>
      </w:r>
      <w:r w:rsidR="00AA7B9A">
        <w:t xml:space="preserve">. The Tech </w:t>
      </w:r>
      <w:r w:rsidR="00917B09">
        <w:t>C</w:t>
      </w:r>
      <w:r w:rsidR="00AA7B9A">
        <w:t>ouncil</w:t>
      </w:r>
      <w:r w:rsidR="00894323">
        <w:t xml:space="preserve"> of Australia </w:t>
      </w:r>
      <w:r w:rsidRPr="004163C1">
        <w:t>argu</w:t>
      </w:r>
      <w:r w:rsidR="00AA7B9A">
        <w:t>ed</w:t>
      </w:r>
      <w:r w:rsidRPr="004163C1" w:rsidDel="00CF3894">
        <w:t xml:space="preserve"> </w:t>
      </w:r>
      <w:r w:rsidR="00CF3894">
        <w:t>a general prohibition should focus on material detriment to consumers rather than on cases where it is unclear</w:t>
      </w:r>
      <w:r w:rsidRPr="004163C1">
        <w:t xml:space="preserve"> </w:t>
      </w:r>
      <w:r w:rsidR="006B2257">
        <w:t>if there has been detriment at all.</w:t>
      </w:r>
      <w:r w:rsidR="00B477F8">
        <w:rPr>
          <w:rStyle w:val="FootnoteReference"/>
        </w:rPr>
        <w:footnoteReference w:id="77"/>
      </w:r>
      <w:r w:rsidRPr="004163C1">
        <w:t xml:space="preserve"> </w:t>
      </w:r>
      <w:r>
        <w:t>Other stakeholders argued</w:t>
      </w:r>
      <w:r w:rsidRPr="004163C1">
        <w:t xml:space="preserve"> it raises the </w:t>
      </w:r>
      <w:r>
        <w:t>statutory threshold</w:t>
      </w:r>
      <w:r w:rsidRPr="004163C1">
        <w:t xml:space="preserve"> too high </w:t>
      </w:r>
      <w:r>
        <w:t xml:space="preserve">and </w:t>
      </w:r>
      <w:r w:rsidRPr="004163C1">
        <w:t>is inconsistent with the UCT provisions</w:t>
      </w:r>
      <w:r>
        <w:t>,</w:t>
      </w:r>
      <w:r w:rsidRPr="004163C1">
        <w:t xml:space="preserve"> which can cause confusion for businesses and courts.</w:t>
      </w:r>
      <w:r w:rsidR="001E7920">
        <w:rPr>
          <w:rStyle w:val="FootnoteReference"/>
        </w:rPr>
        <w:footnoteReference w:id="78"/>
      </w:r>
      <w:r>
        <w:t xml:space="preserve"> T</w:t>
      </w:r>
      <w:r w:rsidRPr="00720F1A">
        <w:t>he Law Council</w:t>
      </w:r>
      <w:r>
        <w:t xml:space="preserve"> of Australia considered limiting the prohibition to only those cases where detriment is material may fail to address potentially harmful practices that affect consumers in subtle, long-term or collective ways.</w:t>
      </w:r>
      <w:r w:rsidRPr="01B389AB">
        <w:rPr>
          <w:rStyle w:val="FootnoteReference"/>
          <w:rFonts w:eastAsiaTheme="majorEastAsia" w:cstheme="minorBidi"/>
        </w:rPr>
        <w:footnoteReference w:id="79"/>
      </w:r>
      <w:r>
        <w:t xml:space="preserve"> Concerns were also raised</w:t>
      </w:r>
      <w:r w:rsidRPr="004163C1">
        <w:t xml:space="preserve"> </w:t>
      </w:r>
      <w:r>
        <w:t xml:space="preserve">about the combination of </w:t>
      </w:r>
      <w:r w:rsidR="0071058B">
        <w:t xml:space="preserve">the </w:t>
      </w:r>
      <w:r w:rsidRPr="004163C1">
        <w:t>‘unreasonableness’</w:t>
      </w:r>
      <w:r>
        <w:t xml:space="preserve"> </w:t>
      </w:r>
      <w:r>
        <w:lastRenderedPageBreak/>
        <w:t>requirement</w:t>
      </w:r>
      <w:r w:rsidRPr="004163C1">
        <w:t xml:space="preserve"> </w:t>
      </w:r>
      <w:r>
        <w:t>in the</w:t>
      </w:r>
      <w:r w:rsidRPr="004163C1">
        <w:t xml:space="preserve"> conduct element</w:t>
      </w:r>
      <w:r>
        <w:t xml:space="preserve"> and the material</w:t>
      </w:r>
      <w:r w:rsidRPr="004163C1">
        <w:t xml:space="preserve"> detriment</w:t>
      </w:r>
      <w:r>
        <w:t xml:space="preserve"> requirement in the detriment</w:t>
      </w:r>
      <w:r w:rsidRPr="004163C1">
        <w:t xml:space="preserve"> </w:t>
      </w:r>
      <w:r>
        <w:t>limb</w:t>
      </w:r>
      <w:r w:rsidR="00BB5219">
        <w:t>,</w:t>
      </w:r>
      <w:r>
        <w:t xml:space="preserve"> potentially </w:t>
      </w:r>
      <w:r w:rsidRPr="004163C1">
        <w:t>creat</w:t>
      </w:r>
      <w:r>
        <w:t>ing</w:t>
      </w:r>
      <w:r w:rsidRPr="004163C1">
        <w:t xml:space="preserve"> too high a statutory threshold.</w:t>
      </w:r>
    </w:p>
    <w:p w14:paraId="51164452" w14:textId="6C60F046" w:rsidR="00406CD0" w:rsidRDefault="00406CD0" w:rsidP="00406CD0">
      <w:r>
        <w:t>The ACCC</w:t>
      </w:r>
      <w:r w:rsidRPr="00EB02CA">
        <w:t xml:space="preserve"> supported including reference to detriment other than financial loss</w:t>
      </w:r>
      <w:r>
        <w:t>.</w:t>
      </w:r>
      <w:r w:rsidRPr="00AA679A">
        <w:rPr>
          <w:rStyle w:val="FootnoteReference"/>
          <w:rFonts w:eastAsiaTheme="majorEastAsia"/>
        </w:rPr>
        <w:footnoteReference w:id="80"/>
      </w:r>
      <w:r>
        <w:t xml:space="preserve"> The Law Council of Australia submitted the</w:t>
      </w:r>
      <w:r w:rsidRPr="004E364C">
        <w:t xml:space="preserve"> definition of detriment could be expanded to include psychological, emotional, and trust-based harms</w:t>
      </w:r>
      <w:r>
        <w:t>, arguing</w:t>
      </w:r>
      <w:r w:rsidRPr="004E364C">
        <w:t xml:space="preserve"> </w:t>
      </w:r>
      <w:r>
        <w:t>many</w:t>
      </w:r>
      <w:r w:rsidRPr="004E364C">
        <w:t xml:space="preserve"> unfair practices</w:t>
      </w:r>
      <w:r>
        <w:t xml:space="preserve"> </w:t>
      </w:r>
      <w:r w:rsidRPr="004E364C">
        <w:t>may not lead to immediate or large financial losses but can cause significant harm to consumers' trust, decision</w:t>
      </w:r>
      <w:r>
        <w:t>-</w:t>
      </w:r>
      <w:r w:rsidRPr="004E364C">
        <w:t>making, and long-term well-being.</w:t>
      </w:r>
      <w:r w:rsidRPr="00802DA5">
        <w:rPr>
          <w:rStyle w:val="FootnoteReference"/>
          <w:rFonts w:eastAsiaTheme="majorEastAsia"/>
        </w:rPr>
        <w:footnoteReference w:id="81"/>
      </w:r>
      <w:r w:rsidRPr="004E364C">
        <w:t xml:space="preserve"> </w:t>
      </w:r>
      <w:r>
        <w:t>Consult Australia and the Tech Council argued detriment should be limited to financial detriment only, rather than subjective concepts of detriment including emotional detriment.</w:t>
      </w:r>
      <w:r w:rsidRPr="01B389AB">
        <w:rPr>
          <w:rStyle w:val="FootnoteReference"/>
          <w:rFonts w:eastAsiaTheme="majorEastAsia" w:cstheme="minorBidi"/>
        </w:rPr>
        <w:footnoteReference w:id="82"/>
      </w:r>
    </w:p>
    <w:p w14:paraId="5E47EF87" w14:textId="77777777" w:rsidR="00406CD0" w:rsidRDefault="00406CD0" w:rsidP="00406CD0">
      <w:pPr>
        <w:pStyle w:val="Heading4"/>
      </w:pPr>
      <w:r>
        <w:t>Grey list</w:t>
      </w:r>
    </w:p>
    <w:p w14:paraId="08BD03E9" w14:textId="0D6B1EDE" w:rsidR="00406CD0" w:rsidRDefault="00406CD0" w:rsidP="00406CD0">
      <w:r>
        <w:t>The Supplementary Consultation also proposed that the ACL specify a non-exhaustive and illustrative list of examples of conduct (‘grey list’) which may, depending on the circumstances, meet this test</w:t>
      </w:r>
      <w:r w:rsidR="00C65C60">
        <w:t xml:space="preserve"> to provide guidance</w:t>
      </w:r>
      <w:r>
        <w:t xml:space="preserve">. The suggested grey list items to support the prohibition include:  </w:t>
      </w:r>
    </w:p>
    <w:p w14:paraId="564BAA68" w14:textId="77777777" w:rsidR="00406CD0" w:rsidRPr="00455B65" w:rsidRDefault="00406CD0" w:rsidP="00406CD0">
      <w:pPr>
        <w:pStyle w:val="Bullet"/>
      </w:pPr>
      <w:r w:rsidRPr="00455B65">
        <w:t>The omission of material information​</w:t>
      </w:r>
    </w:p>
    <w:p w14:paraId="2FD52A6E" w14:textId="77777777" w:rsidR="00406CD0" w:rsidRPr="00455B65" w:rsidRDefault="00406CD0" w:rsidP="00406CD0">
      <w:pPr>
        <w:pStyle w:val="Bullet"/>
      </w:pPr>
      <w:r w:rsidRPr="00455B65">
        <w:t>The provision of material information to a consumer in an unclear, unintelligible, ambiguous or untimely manner, that overwhelms, or is likely to overwhelm, a consumer ​</w:t>
      </w:r>
    </w:p>
    <w:p w14:paraId="1FC97EDA" w14:textId="77777777" w:rsidR="00406CD0" w:rsidRPr="00455B65" w:rsidRDefault="00406CD0" w:rsidP="00406CD0">
      <w:pPr>
        <w:pStyle w:val="Bullet"/>
      </w:pPr>
      <w:r w:rsidRPr="00455B65">
        <w:t>Impeding the ability of a consumer to exercise their contractual or other legal rights, or ​</w:t>
      </w:r>
    </w:p>
    <w:p w14:paraId="10143037" w14:textId="77777777" w:rsidR="00406CD0" w:rsidRPr="00455B65" w:rsidRDefault="00406CD0" w:rsidP="00406CD0">
      <w:pPr>
        <w:pStyle w:val="Bullet"/>
      </w:pPr>
      <w:r w:rsidRPr="00455B65">
        <w:t>Use of design elements in online consumer interfaces that unduly pressure, obstruct or undermine a consumer in making an economic decision.</w:t>
      </w:r>
    </w:p>
    <w:p w14:paraId="718A583D" w14:textId="63CEE80D" w:rsidR="00406CD0" w:rsidRDefault="00406CD0" w:rsidP="00406CD0">
      <w:r w:rsidRPr="00AE0C07">
        <w:t xml:space="preserve">Stakeholders were generally supportive of the grey list approach, submitting that its inclusion would provide greater certainty and guidance to businesses and regulators on how the prohibition will be interpreted. </w:t>
      </w:r>
      <w:r w:rsidR="006F1282">
        <w:t>Consumer Advocates</w:t>
      </w:r>
      <w:r w:rsidRPr="00AE0C07">
        <w:t xml:space="preserve"> </w:t>
      </w:r>
      <w:r w:rsidR="004E154B">
        <w:t>jointly</w:t>
      </w:r>
      <w:r w:rsidR="00CD15C5">
        <w:t xml:space="preserve"> </w:t>
      </w:r>
      <w:r w:rsidRPr="00AE0C07">
        <w:t>considered</w:t>
      </w:r>
      <w:r w:rsidR="001105E8">
        <w:t xml:space="preserve"> that</w:t>
      </w:r>
      <w:r w:rsidRPr="00AE0C07">
        <w:t xml:space="preserve"> it balances the benefits of a principles-</w:t>
      </w:r>
      <w:r>
        <w:t>based law to stop unfair business practices with the benefits of clarifying key matters to make the law easier to apply.</w:t>
      </w:r>
      <w:r w:rsidRPr="0041457B">
        <w:rPr>
          <w:rStyle w:val="FootnoteReference"/>
          <w:rFonts w:eastAsiaTheme="majorEastAsia"/>
        </w:rPr>
        <w:footnoteReference w:id="83"/>
      </w:r>
      <w:r>
        <w:t xml:space="preserve"> Consult Australia submitted that the grey list is too open-ended, too vague and seemingly can apply to any conduct.</w:t>
      </w:r>
      <w:r w:rsidRPr="0041457B">
        <w:rPr>
          <w:rStyle w:val="FootnoteReference"/>
          <w:rFonts w:eastAsiaTheme="majorEastAsia"/>
        </w:rPr>
        <w:footnoteReference w:id="84"/>
      </w:r>
      <w:r w:rsidRPr="00666CA5">
        <w:rPr>
          <w:vertAlign w:val="superscript"/>
        </w:rPr>
        <w:t xml:space="preserve"> </w:t>
      </w:r>
      <w:r w:rsidRPr="01B389AB">
        <w:rPr>
          <w:rFonts w:cstheme="minorBidi"/>
        </w:rPr>
        <w:t xml:space="preserve">BCA was concerned the grey list in practice will become a </w:t>
      </w:r>
      <w:r>
        <w:rPr>
          <w:rFonts w:cstheme="minorBidi"/>
        </w:rPr>
        <w:t>‘</w:t>
      </w:r>
      <w:r w:rsidRPr="01B389AB">
        <w:rPr>
          <w:rFonts w:cstheme="minorBidi"/>
        </w:rPr>
        <w:t>black list</w:t>
      </w:r>
      <w:r>
        <w:rPr>
          <w:rFonts w:cstheme="minorBidi"/>
        </w:rPr>
        <w:t>’ – i.e. interpreted by some stakeholders as a comprehensive list of prohibited conduct –</w:t>
      </w:r>
      <w:r w:rsidRPr="01B389AB" w:rsidDel="008F4C58">
        <w:rPr>
          <w:rFonts w:cstheme="minorBidi"/>
        </w:rPr>
        <w:t xml:space="preserve"> and </w:t>
      </w:r>
      <w:r w:rsidRPr="01B389AB">
        <w:rPr>
          <w:rFonts w:cstheme="minorBidi"/>
        </w:rPr>
        <w:t>recommended items be incorporated in the explanatory memorandum rather than the legislation itself.</w:t>
      </w:r>
      <w:r w:rsidRPr="004A041F">
        <w:rPr>
          <w:rStyle w:val="FootnoteReference"/>
          <w:rFonts w:eastAsiaTheme="majorEastAsia" w:cstheme="minorBidi"/>
        </w:rPr>
        <w:footnoteReference w:id="85"/>
      </w:r>
    </w:p>
    <w:p w14:paraId="63680715" w14:textId="77777777" w:rsidR="00406CD0" w:rsidRPr="00F60C87" w:rsidRDefault="00406CD0" w:rsidP="00406CD0">
      <w:pPr>
        <w:rPr>
          <w:rFonts w:cstheme="minorHAnsi"/>
          <w:b/>
          <w:szCs w:val="22"/>
        </w:rPr>
      </w:pPr>
      <w:r>
        <w:t xml:space="preserve">Some </w:t>
      </w:r>
      <w:r w:rsidRPr="004163C1">
        <w:t xml:space="preserve">stakeholders suggested additions to </w:t>
      </w:r>
      <w:r>
        <w:t>a</w:t>
      </w:r>
      <w:r w:rsidRPr="004163C1">
        <w:t xml:space="preserve"> grey list, such as:</w:t>
      </w:r>
    </w:p>
    <w:p w14:paraId="28E49243" w14:textId="618BF32D" w:rsidR="00406CD0" w:rsidRPr="00455B65" w:rsidRDefault="00406CD0" w:rsidP="00406CD0">
      <w:pPr>
        <w:pStyle w:val="Bullet"/>
      </w:pPr>
      <w:r w:rsidRPr="00455B65">
        <w:t>Post-sale practices and failing to provide an accessible and effective point of customer service support</w:t>
      </w:r>
      <w:r w:rsidRPr="00F42C94">
        <w:rPr>
          <w:sz w:val="18"/>
          <w:szCs w:val="18"/>
        </w:rPr>
        <w:t>.</w:t>
      </w:r>
      <w:r w:rsidRPr="00F42C94">
        <w:rPr>
          <w:rStyle w:val="SubtitleChar"/>
          <w:color w:val="auto"/>
          <w:sz w:val="18"/>
          <w:szCs w:val="18"/>
          <w:vertAlign w:val="superscript"/>
        </w:rPr>
        <w:footnoteReference w:id="86"/>
      </w:r>
    </w:p>
    <w:p w14:paraId="63CBE1D0" w14:textId="6347732D" w:rsidR="00406CD0" w:rsidRPr="00455B65" w:rsidRDefault="00406CD0" w:rsidP="00406CD0">
      <w:pPr>
        <w:pStyle w:val="Bullet"/>
      </w:pPr>
      <w:r w:rsidRPr="00455B65">
        <w:t>Specific practices such as misleading countdown timers, pre-ticked boxes or preselection, default opt-in subscriptions,</w:t>
      </w:r>
      <w:r w:rsidRPr="00F42C94">
        <w:rPr>
          <w:rStyle w:val="SubtitleChar"/>
          <w:color w:val="auto"/>
          <w:sz w:val="18"/>
          <w:szCs w:val="18"/>
          <w:vertAlign w:val="superscript"/>
        </w:rPr>
        <w:footnoteReference w:id="87"/>
      </w:r>
      <w:r w:rsidRPr="00455B65">
        <w:t xml:space="preserve"> false hierarchy,</w:t>
      </w:r>
      <w:r w:rsidR="00305018">
        <w:t xml:space="preserve"> and</w:t>
      </w:r>
      <w:r w:rsidRPr="00455B65">
        <w:t xml:space="preserve"> confirmshaming.</w:t>
      </w:r>
      <w:r w:rsidRPr="00F42C94">
        <w:rPr>
          <w:rStyle w:val="SubtitleChar"/>
          <w:color w:val="auto"/>
          <w:sz w:val="18"/>
          <w:szCs w:val="18"/>
          <w:vertAlign w:val="superscript"/>
        </w:rPr>
        <w:footnoteReference w:id="88"/>
      </w:r>
    </w:p>
    <w:p w14:paraId="1FA2E1B9" w14:textId="77777777" w:rsidR="00406CD0" w:rsidRDefault="00406CD0" w:rsidP="00406CD0">
      <w:pPr>
        <w:pStyle w:val="Heading4"/>
      </w:pPr>
      <w:r>
        <w:lastRenderedPageBreak/>
        <w:t>Dark patterns</w:t>
      </w:r>
    </w:p>
    <w:p w14:paraId="46BA4508" w14:textId="6E9A3D23" w:rsidR="00406CD0" w:rsidRPr="00BE0F28" w:rsidRDefault="00406CD0" w:rsidP="00406CD0">
      <w:r>
        <w:t xml:space="preserve">The Supplementary Consultation sought feedback on dark patterns, including if the proposed general prohibition would meaningfully address the </w:t>
      </w:r>
      <w:r w:rsidR="009871B0">
        <w:t xml:space="preserve">various </w:t>
      </w:r>
      <w:r>
        <w:t xml:space="preserve">types of </w:t>
      </w:r>
      <w:r w:rsidR="00F64BC3">
        <w:t xml:space="preserve">dark </w:t>
      </w:r>
      <w:r>
        <w:t xml:space="preserve">patterns and their </w:t>
      </w:r>
      <w:r w:rsidR="00931940">
        <w:t xml:space="preserve">use </w:t>
      </w:r>
      <w:r>
        <w:t>across</w:t>
      </w:r>
      <w:r w:rsidR="00931940">
        <w:t xml:space="preserve"> different</w:t>
      </w:r>
      <w:r>
        <w:t xml:space="preserve"> sectors, applications and channels.</w:t>
      </w:r>
    </w:p>
    <w:p w14:paraId="72F7210A" w14:textId="78F4BF1A" w:rsidR="00406CD0" w:rsidRPr="00AC4CD9" w:rsidRDefault="00406CD0" w:rsidP="00406CD0">
      <w:pPr>
        <w:rPr>
          <w:szCs w:val="18"/>
        </w:rPr>
      </w:pPr>
      <w:bookmarkStart w:id="40" w:name="_Hlk188372163"/>
      <w:r w:rsidRPr="004163C1">
        <w:t xml:space="preserve">Many stakeholders </w:t>
      </w:r>
      <w:r w:rsidR="00BD601F">
        <w:t>wer</w:t>
      </w:r>
      <w:r w:rsidR="004C1519">
        <w:t>e</w:t>
      </w:r>
      <w:r w:rsidRPr="004163C1">
        <w:t xml:space="preserve"> supportive of </w:t>
      </w:r>
      <w:r>
        <w:t>the</w:t>
      </w:r>
      <w:r w:rsidRPr="004163C1">
        <w:t xml:space="preserve"> </w:t>
      </w:r>
      <w:r>
        <w:t>proposed</w:t>
      </w:r>
      <w:r w:rsidRPr="004163C1">
        <w:t xml:space="preserve"> general prohibition</w:t>
      </w:r>
      <w:r>
        <w:t>’s</w:t>
      </w:r>
      <w:r w:rsidRPr="004163C1">
        <w:t xml:space="preserve"> </w:t>
      </w:r>
      <w:r>
        <w:t>capacity to address</w:t>
      </w:r>
      <w:r w:rsidRPr="004163C1">
        <w:t xml:space="preserve"> dark patterns. The </w:t>
      </w:r>
      <w:r w:rsidRPr="00DF79BC">
        <w:t>ACCC</w:t>
      </w:r>
      <w:r w:rsidRPr="004163C1">
        <w:t xml:space="preserve"> </w:t>
      </w:r>
      <w:r w:rsidR="00ED5F9A">
        <w:t xml:space="preserve">considered </w:t>
      </w:r>
      <w:r w:rsidR="007942EA">
        <w:t xml:space="preserve">that a general prohibition should capture </w:t>
      </w:r>
      <w:r w:rsidR="006C3BA8">
        <w:t xml:space="preserve">dark pattern conduct that falls outside the existing ACL </w:t>
      </w:r>
      <w:r w:rsidR="008D5FDE">
        <w:t>protections</w:t>
      </w:r>
      <w:r w:rsidR="002549F4">
        <w:t>,</w:t>
      </w:r>
      <w:r w:rsidR="001C6F49">
        <w:rPr>
          <w:rStyle w:val="FootnoteReference"/>
        </w:rPr>
        <w:footnoteReference w:id="89"/>
      </w:r>
      <w:r w:rsidR="002549F4">
        <w:t xml:space="preserve"> while </w:t>
      </w:r>
      <w:r w:rsidRPr="00DF79BC">
        <w:t>ASIC</w:t>
      </w:r>
      <w:r w:rsidRPr="004163C1">
        <w:t xml:space="preserve"> </w:t>
      </w:r>
      <w:r w:rsidR="001D3F62">
        <w:t xml:space="preserve">considered that </w:t>
      </w:r>
      <w:r w:rsidRPr="004163C1">
        <w:t xml:space="preserve">a </w:t>
      </w:r>
      <w:r w:rsidR="00284D35">
        <w:t xml:space="preserve">broad </w:t>
      </w:r>
      <w:r w:rsidRPr="004163C1">
        <w:t xml:space="preserve">prohibition </w:t>
      </w:r>
      <w:r w:rsidR="00B335D0">
        <w:t xml:space="preserve">is likely to be </w:t>
      </w:r>
      <w:r w:rsidRPr="004163C1">
        <w:t xml:space="preserve">responsive to future needs </w:t>
      </w:r>
      <w:r w:rsidRPr="004163C1" w:rsidDel="00250895">
        <w:t xml:space="preserve">and </w:t>
      </w:r>
      <w:r w:rsidRPr="004163C1">
        <w:t>exploitative digital choice architecture.</w:t>
      </w:r>
      <w:r w:rsidR="0021152F">
        <w:rPr>
          <w:rStyle w:val="FootnoteReference"/>
        </w:rPr>
        <w:footnoteReference w:id="90"/>
      </w:r>
      <w:r w:rsidRPr="005C33C9">
        <w:t xml:space="preserve"> </w:t>
      </w:r>
      <w:r w:rsidRPr="004163C1">
        <w:t xml:space="preserve">Consumer advocacy groups and academics also expressed support, </w:t>
      </w:r>
      <w:r w:rsidR="00D25D23">
        <w:t>some with</w:t>
      </w:r>
      <w:r w:rsidRPr="004163C1">
        <w:t xml:space="preserve"> suggestions around changes to coverage and definitions.</w:t>
      </w:r>
      <w:r>
        <w:t xml:space="preserve"> For example, </w:t>
      </w:r>
      <w:r w:rsidR="006F1282">
        <w:t>Consumer Advocates</w:t>
      </w:r>
      <w:r w:rsidRPr="4D74D57C">
        <w:t xml:space="preserve"> </w:t>
      </w:r>
      <w:r w:rsidR="00821F73">
        <w:t>jointly</w:t>
      </w:r>
      <w:r w:rsidRPr="4D74D57C">
        <w:t xml:space="preserve"> advocate</w:t>
      </w:r>
      <w:r w:rsidR="00101A04" w:rsidRPr="4D74D57C">
        <w:t>d</w:t>
      </w:r>
      <w:r w:rsidR="004E48AD" w:rsidRPr="4D74D57C">
        <w:t xml:space="preserve"> for</w:t>
      </w:r>
      <w:r w:rsidRPr="4D74D57C">
        <w:t xml:space="preserve"> bans to cover certain data extractive and subscription-related dark patterns,</w:t>
      </w:r>
      <w:r w:rsidR="00BF77B2">
        <w:rPr>
          <w:rStyle w:val="FootnoteReference"/>
        </w:rPr>
        <w:footnoteReference w:id="91"/>
      </w:r>
      <w:r w:rsidRPr="4D74D57C">
        <w:t xml:space="preserve"> while some academics </w:t>
      </w:r>
      <w:r w:rsidR="00EE0192" w:rsidRPr="4D74D57C">
        <w:t>considered</w:t>
      </w:r>
      <w:r w:rsidRPr="4D74D57C">
        <w:t xml:space="preserve"> that the use of false hierarchies, </w:t>
      </w:r>
      <w:r>
        <w:rPr>
          <w:szCs w:val="18"/>
        </w:rPr>
        <w:t>‘</w:t>
      </w:r>
      <w:r w:rsidRPr="4D74D57C">
        <w:t>confirmshaming</w:t>
      </w:r>
      <w:r>
        <w:rPr>
          <w:szCs w:val="18"/>
        </w:rPr>
        <w:t>’</w:t>
      </w:r>
      <w:r w:rsidRPr="4D74D57C">
        <w:t>, and pre</w:t>
      </w:r>
      <w:r>
        <w:rPr>
          <w:szCs w:val="18"/>
        </w:rPr>
        <w:noBreakHyphen/>
      </w:r>
      <w:r w:rsidRPr="4D74D57C">
        <w:t>selections should be included on any grey list.</w:t>
      </w:r>
      <w:r w:rsidR="004744B5">
        <w:rPr>
          <w:rStyle w:val="FootnoteReference"/>
        </w:rPr>
        <w:footnoteReference w:id="92"/>
      </w:r>
      <w:r>
        <w:rPr>
          <w:szCs w:val="18"/>
        </w:rPr>
        <w:t xml:space="preserve"> </w:t>
      </w:r>
      <w:r w:rsidR="00014AFD" w:rsidRPr="4D74D57C">
        <w:t>S</w:t>
      </w:r>
      <w:r w:rsidRPr="4D74D57C">
        <w:t xml:space="preserve">pecific patterns of concern would be </w:t>
      </w:r>
      <w:r w:rsidR="00014AFD" w:rsidRPr="4D74D57C">
        <w:t>considered</w:t>
      </w:r>
      <w:r w:rsidRPr="4D74D57C">
        <w:t xml:space="preserve"> in developing any grey list.</w:t>
      </w:r>
    </w:p>
    <w:p w14:paraId="0DBB745F" w14:textId="1AC7C202" w:rsidR="00406CD0" w:rsidRPr="00180BBC" w:rsidRDefault="00406CD0" w:rsidP="00406CD0">
      <w:r w:rsidRPr="00863F67">
        <w:t xml:space="preserve">The </w:t>
      </w:r>
      <w:r w:rsidRPr="00DF79BC">
        <w:t>Internet Association of Australia</w:t>
      </w:r>
      <w:r w:rsidR="008D15E0">
        <w:t xml:space="preserve"> </w:t>
      </w:r>
      <w:r w:rsidR="00651EE7">
        <w:t>argued that</w:t>
      </w:r>
      <w:r w:rsidR="00E046FD">
        <w:t xml:space="preserve"> specific </w:t>
      </w:r>
      <w:r w:rsidR="006A11CF">
        <w:t>prohibitions</w:t>
      </w:r>
      <w:r w:rsidR="00E046FD">
        <w:t xml:space="preserve"> </w:t>
      </w:r>
      <w:r w:rsidR="00E613C5">
        <w:t>or an industry code applying to digital platforms</w:t>
      </w:r>
      <w:r w:rsidR="00E046FD">
        <w:t xml:space="preserve"> could be introduced </w:t>
      </w:r>
      <w:r w:rsidR="00E613C5">
        <w:t xml:space="preserve">to address </w:t>
      </w:r>
      <w:r w:rsidR="00017ACE">
        <w:t xml:space="preserve">the </w:t>
      </w:r>
      <w:r w:rsidR="00E613C5">
        <w:t>use of dark patterns</w:t>
      </w:r>
      <w:r w:rsidR="00724308">
        <w:t>, whilst the</w:t>
      </w:r>
      <w:r w:rsidRPr="00863F67">
        <w:t xml:space="preserve"> </w:t>
      </w:r>
      <w:r w:rsidRPr="00DF79BC">
        <w:t>Australian Retailers Association</w:t>
      </w:r>
      <w:r w:rsidR="00724308">
        <w:t xml:space="preserve"> </w:t>
      </w:r>
      <w:r w:rsidR="00651EE7">
        <w:t xml:space="preserve">suggested </w:t>
      </w:r>
      <w:r w:rsidR="00A0318A">
        <w:t xml:space="preserve">they </w:t>
      </w:r>
      <w:r w:rsidR="007D0EFD">
        <w:t xml:space="preserve">could </w:t>
      </w:r>
      <w:r w:rsidR="00A0318A">
        <w:t>be addressed</w:t>
      </w:r>
      <w:r w:rsidR="00651EE7">
        <w:t xml:space="preserve"> through a specific amendment.</w:t>
      </w:r>
      <w:r w:rsidR="00651EE7">
        <w:rPr>
          <w:rStyle w:val="FootnoteReference"/>
        </w:rPr>
        <w:footnoteReference w:id="93"/>
      </w:r>
      <w:r w:rsidR="00651EE7">
        <w:t xml:space="preserve"> </w:t>
      </w:r>
      <w:r w:rsidR="004418A2">
        <w:t>The</w:t>
      </w:r>
      <w:r w:rsidRPr="00DF79BC">
        <w:t xml:space="preserve"> Federal Chamber of Automotive Industries</w:t>
      </w:r>
      <w:r w:rsidRPr="00863F67">
        <w:t xml:space="preserve"> </w:t>
      </w:r>
      <w:r>
        <w:t>argued</w:t>
      </w:r>
      <w:r w:rsidRPr="005C33C9">
        <w:t xml:space="preserve"> that a general </w:t>
      </w:r>
      <w:r>
        <w:t>UTP</w:t>
      </w:r>
      <w:r w:rsidRPr="005C33C9">
        <w:t xml:space="preserve"> prohibition</w:t>
      </w:r>
      <w:r>
        <w:t xml:space="preserve"> would introduce additional regulatory requirements </w:t>
      </w:r>
      <w:r w:rsidR="00D60B01">
        <w:t xml:space="preserve">that </w:t>
      </w:r>
      <w:r w:rsidR="00803CEF">
        <w:t>may result in increased compliance costs</w:t>
      </w:r>
      <w:r w:rsidR="006268CC">
        <w:t>.</w:t>
      </w:r>
      <w:r w:rsidR="00C821C6">
        <w:rPr>
          <w:rStyle w:val="FootnoteReference"/>
        </w:rPr>
        <w:footnoteReference w:id="94"/>
      </w:r>
    </w:p>
    <w:p w14:paraId="6B6C1E2D" w14:textId="44407033" w:rsidR="00406CD0" w:rsidRPr="00322988" w:rsidRDefault="00406CD0" w:rsidP="00406CD0">
      <w:r w:rsidRPr="00322988">
        <w:t xml:space="preserve">Other </w:t>
      </w:r>
      <w:r>
        <w:t>mostly industry-based</w:t>
      </w:r>
      <w:r w:rsidRPr="00322988">
        <w:t xml:space="preserve"> stakeholders </w:t>
      </w:r>
      <w:r>
        <w:t>were unsupportive or</w:t>
      </w:r>
      <w:r w:rsidRPr="00322988">
        <w:t xml:space="preserve"> expressed caution on </w:t>
      </w:r>
      <w:r w:rsidR="007B4DDD">
        <w:t>reform</w:t>
      </w:r>
      <w:r w:rsidR="007B4DDD" w:rsidRPr="00322988">
        <w:t xml:space="preserve"> </w:t>
      </w:r>
      <w:r w:rsidRPr="00322988">
        <w:t>targeting dark patterns</w:t>
      </w:r>
      <w:r>
        <w:t xml:space="preserve">. Their concerns and feedback largely centred on </w:t>
      </w:r>
      <w:r w:rsidR="00B95C0F">
        <w:t xml:space="preserve">3 </w:t>
      </w:r>
      <w:r>
        <w:t>issues.</w:t>
      </w:r>
    </w:p>
    <w:p w14:paraId="2DCE90FF" w14:textId="2B269E8D" w:rsidR="00406CD0" w:rsidRDefault="001856CA" w:rsidP="006C4DD5">
      <w:pPr>
        <w:pStyle w:val="Bullet"/>
        <w:spacing w:line="240" w:lineRule="auto"/>
        <w:ind w:left="522" w:hanging="522"/>
      </w:pPr>
      <w:r>
        <w:t xml:space="preserve">Stakeholders, including the Law </w:t>
      </w:r>
      <w:r w:rsidR="00F14CE6">
        <w:t>C</w:t>
      </w:r>
      <w:r>
        <w:t xml:space="preserve">ouncil, argued that the </w:t>
      </w:r>
      <w:r w:rsidR="00406CD0">
        <w:t>existing ACL protections, particularly against misleading or deceptive conduct, are sufficient to address problematic dark patterns</w:t>
      </w:r>
      <w:r w:rsidR="002737B9">
        <w:t>.</w:t>
      </w:r>
      <w:r w:rsidR="009F5A20">
        <w:rPr>
          <w:rStyle w:val="FootnoteReference"/>
        </w:rPr>
        <w:footnoteReference w:id="95"/>
      </w:r>
      <w:r w:rsidR="00406CD0">
        <w:t xml:space="preserve"> </w:t>
      </w:r>
    </w:p>
    <w:p w14:paraId="689D48CC" w14:textId="77555931" w:rsidR="00406CD0" w:rsidRDefault="00406CD0" w:rsidP="006C4DD5">
      <w:pPr>
        <w:pStyle w:val="Bullet"/>
        <w:spacing w:line="240" w:lineRule="auto"/>
        <w:ind w:left="522" w:hanging="522"/>
      </w:pPr>
      <w:r>
        <w:t>Secondly, there is a view that new interventions may result in overreach into established or normalised marketing and notification practices. The ACCI, the Retail Drinks Association and the Tech Council of Australia submitted that certain behaviours that may be labelled as dark patterns may instead be of benefit to consumers.</w:t>
      </w:r>
      <w:r w:rsidR="00A01540">
        <w:rPr>
          <w:rStyle w:val="FootnoteReference"/>
        </w:rPr>
        <w:footnoteReference w:id="96"/>
      </w:r>
      <w:r>
        <w:t xml:space="preserve"> This includes interface design choices that represent helpful behavioural cues, or marketing practices not unlike those deployed in physical stores and contexts.</w:t>
      </w:r>
      <w:r w:rsidR="0030107A">
        <w:rPr>
          <w:rStyle w:val="FootnoteReference"/>
        </w:rPr>
        <w:footnoteReference w:id="97"/>
      </w:r>
      <w:r>
        <w:t xml:space="preserve"> Digital Industry Group Inc (DIGI) submitted that new prohibitions would have a potential to disadvantage e</w:t>
      </w:r>
      <w:r w:rsidR="00550243">
        <w:t>-</w:t>
      </w:r>
      <w:r>
        <w:t>commerce over analogue retail.</w:t>
      </w:r>
      <w:r w:rsidR="00DA3E4F">
        <w:rPr>
          <w:rStyle w:val="FootnoteReference"/>
        </w:rPr>
        <w:footnoteReference w:id="98"/>
      </w:r>
    </w:p>
    <w:p w14:paraId="67BAA936" w14:textId="4C1CE3D8" w:rsidR="00406CD0" w:rsidRPr="00322988" w:rsidRDefault="00406CD0" w:rsidP="006C4DD5">
      <w:pPr>
        <w:pStyle w:val="Bullet"/>
        <w:spacing w:line="240" w:lineRule="auto"/>
        <w:ind w:left="522" w:hanging="522"/>
      </w:pPr>
      <w:r w:rsidRPr="00681BCB">
        <w:t>Finally</w:t>
      </w:r>
      <w:r>
        <w:t>, caution was expressed on the potential for regulations to duplicate or be out of step with the requirements of the Privacy Act and oversight of the Office of the Australian Information Commissioner (OAIC). As many dark patterns can involve the collection and handling of personal information, stakeholders including DIGI and the Insurance Council of Australia expressed that these are and should remain the domain of the privacy regulatory framework.</w:t>
      </w:r>
      <w:r w:rsidR="00DA3E4F">
        <w:rPr>
          <w:rStyle w:val="FootnoteReference"/>
        </w:rPr>
        <w:footnoteReference w:id="99"/>
      </w:r>
      <w:r>
        <w:t xml:space="preserve"> </w:t>
      </w:r>
      <w:r w:rsidR="001F5B18">
        <w:br/>
      </w:r>
      <w:r>
        <w:lastRenderedPageBreak/>
        <w:t>Treasury notes that m</w:t>
      </w:r>
      <w:r w:rsidRPr="00C46FCE">
        <w:t xml:space="preserve">atters relating to the handling and collection of </w:t>
      </w:r>
      <w:r w:rsidR="00644050">
        <w:t xml:space="preserve">personal </w:t>
      </w:r>
      <w:r w:rsidRPr="00C46FCE">
        <w:t>information remain the remit of the Privacy Act and OAIC.</w:t>
      </w:r>
      <w:r>
        <w:t xml:space="preserve"> </w:t>
      </w:r>
    </w:p>
    <w:p w14:paraId="7EFA6DFB" w14:textId="77777777" w:rsidR="00406CD0" w:rsidRDefault="00406CD0" w:rsidP="00406CD0">
      <w:pPr>
        <w:pStyle w:val="Heading3"/>
      </w:pPr>
      <w:bookmarkStart w:id="41" w:name="_Toc202971521"/>
      <w:bookmarkStart w:id="42" w:name="_Toc206422524"/>
      <w:bookmarkEnd w:id="40"/>
      <w:r>
        <w:t>Policy proposal</w:t>
      </w:r>
      <w:bookmarkEnd w:id="41"/>
      <w:bookmarkEnd w:id="42"/>
    </w:p>
    <w:p w14:paraId="685A2F91" w14:textId="2D417320" w:rsidR="00406CD0" w:rsidRDefault="00406CD0" w:rsidP="00406CD0">
      <w:r>
        <w:t>The policy proposal is reform to the ACL to introduce a general, principles-based prohibition on UTPs. While the exact wording and elements of the prohibition will be finalised during the legislative drafting process, it is proposed that the prohibition target business conduct that:</w:t>
      </w:r>
    </w:p>
    <w:p w14:paraId="66DFB167" w14:textId="723445BD" w:rsidR="00406CD0" w:rsidRPr="0061679D" w:rsidRDefault="00406CD0" w:rsidP="002A304C">
      <w:pPr>
        <w:pStyle w:val="Bullet"/>
        <w:spacing w:line="240" w:lineRule="auto"/>
      </w:pPr>
      <w:r w:rsidRPr="0069375C">
        <w:rPr>
          <w:b/>
        </w:rPr>
        <w:t>Is unreasonable</w:t>
      </w:r>
      <w:r>
        <w:t xml:space="preserve"> </w:t>
      </w:r>
      <w:r>
        <w:br/>
        <w:t>This requirement sets</w:t>
      </w:r>
      <w:r w:rsidRPr="004163C1">
        <w:t xml:space="preserve"> an appropriate</w:t>
      </w:r>
      <w:r>
        <w:t xml:space="preserve"> threshold to capture a range of UTPs which cause consumer harm, </w:t>
      </w:r>
      <w:r w:rsidRPr="004163C1">
        <w:t xml:space="preserve">ensuring the prohibition is targeted at sufficiently serious conduct without capturing </w:t>
      </w:r>
      <w:r>
        <w:t>fair</w:t>
      </w:r>
      <w:r w:rsidRPr="004163C1">
        <w:t xml:space="preserve"> business conduct (such as legitimate marketing and advertising </w:t>
      </w:r>
      <w:r>
        <w:t>practices</w:t>
      </w:r>
      <w:r w:rsidRPr="004163C1">
        <w:t xml:space="preserve">). </w:t>
      </w:r>
      <w:r w:rsidR="004A7153">
        <w:t xml:space="preserve">What is unreasonable would depend on the </w:t>
      </w:r>
      <w:r w:rsidR="0015289E">
        <w:t xml:space="preserve">relevant </w:t>
      </w:r>
      <w:r w:rsidR="004A7153">
        <w:t>circumstances</w:t>
      </w:r>
      <w:r w:rsidR="00A81279">
        <w:t>, including the nature of the</w:t>
      </w:r>
      <w:r w:rsidR="00532292">
        <w:t xml:space="preserve"> </w:t>
      </w:r>
      <w:r w:rsidR="00A81279">
        <w:t>product or serv</w:t>
      </w:r>
      <w:r w:rsidR="00483591">
        <w:t>ice</w:t>
      </w:r>
      <w:r w:rsidR="00547ECB">
        <w:t xml:space="preserve"> and industry. </w:t>
      </w:r>
      <w:r w:rsidRPr="00C30F9D">
        <w:t xml:space="preserve">The alternative of </w:t>
      </w:r>
      <w:r w:rsidR="000D5247">
        <w:t xml:space="preserve">introducing </w:t>
      </w:r>
      <w:r w:rsidRPr="00C30F9D">
        <w:t xml:space="preserve">a ‘legitimate business interest’ </w:t>
      </w:r>
      <w:r w:rsidR="000D5247">
        <w:t xml:space="preserve">element </w:t>
      </w:r>
      <w:r w:rsidRPr="00C30F9D">
        <w:t xml:space="preserve">would not be appropriate, </w:t>
      </w:r>
      <w:r>
        <w:t>with stakeholder</w:t>
      </w:r>
      <w:r w:rsidRPr="00C30F9D">
        <w:t xml:space="preserve"> feedback </w:t>
      </w:r>
      <w:r>
        <w:t>demonstrating that</w:t>
      </w:r>
      <w:r w:rsidRPr="00C30F9D">
        <w:t xml:space="preserve"> </w:t>
      </w:r>
      <w:r>
        <w:t>such a</w:t>
      </w:r>
      <w:r w:rsidRPr="00C30F9D">
        <w:t xml:space="preserve"> test</w:t>
      </w:r>
      <w:r>
        <w:t xml:space="preserve"> could allow</w:t>
      </w:r>
      <w:r w:rsidRPr="00C30F9D">
        <w:t xml:space="preserve"> </w:t>
      </w:r>
      <w:r w:rsidRPr="00320E96">
        <w:t>certain harmful practices to continue if they have been proven necessary for the particular business model in question</w:t>
      </w:r>
      <w:r>
        <w:t>.</w:t>
      </w:r>
    </w:p>
    <w:p w14:paraId="2EA5B38E" w14:textId="651556AD" w:rsidR="00406CD0" w:rsidRPr="0061679D" w:rsidRDefault="00406CD0" w:rsidP="002A304C">
      <w:pPr>
        <w:pStyle w:val="Bullet"/>
        <w:spacing w:line="240" w:lineRule="auto"/>
        <w:ind w:left="522" w:hanging="522"/>
      </w:pPr>
      <w:r w:rsidRPr="76621889">
        <w:rPr>
          <w:b/>
          <w:bCs/>
        </w:rPr>
        <w:t xml:space="preserve">Distorts or manipulates consumer decision-making or behaviour (or is likely to) </w:t>
      </w:r>
      <w:r>
        <w:rPr>
          <w:b/>
        </w:rPr>
        <w:br/>
      </w:r>
      <w:r>
        <w:t>There was stakeholder support for a general prohibition to target conduct that distorts</w:t>
      </w:r>
      <w:r w:rsidR="00C5659B">
        <w:t>,</w:t>
      </w:r>
      <w:r>
        <w:t xml:space="preserve"> as it covers the range of unfair practices canvassed in the Supplementary Consultation and aligns with the wording</w:t>
      </w:r>
      <w:r w:rsidRPr="00A42FAF">
        <w:t xml:space="preserve"> of the</w:t>
      </w:r>
      <w:r>
        <w:t xml:space="preserve"> </w:t>
      </w:r>
      <w:r w:rsidRPr="008B30D5">
        <w:t>EU</w:t>
      </w:r>
      <w:r w:rsidRPr="004163C1">
        <w:t xml:space="preserve"> </w:t>
      </w:r>
      <w:r>
        <w:t>Unfair Commercial Practices Directive (the EU Directive)</w:t>
      </w:r>
      <w:r w:rsidRPr="00D435C0">
        <w:t>.</w:t>
      </w:r>
      <w:r w:rsidRPr="00D435C0">
        <w:rPr>
          <w:rStyle w:val="FootnoteReference"/>
          <w:rFonts w:eastAsiaTheme="majorEastAsia"/>
        </w:rPr>
        <w:footnoteReference w:id="100"/>
      </w:r>
      <w:r>
        <w:t xml:space="preserve"> Targeting conduct that manipulates ensures that the scope of the prohibition </w:t>
      </w:r>
      <w:r w:rsidR="002E46C7">
        <w:t xml:space="preserve">includes </w:t>
      </w:r>
      <w:r w:rsidR="007818AF">
        <w:t xml:space="preserve">practices that </w:t>
      </w:r>
      <w:r w:rsidR="00543548">
        <w:t>lead</w:t>
      </w:r>
      <w:r w:rsidR="008C092F">
        <w:t xml:space="preserve"> consumers </w:t>
      </w:r>
      <w:r w:rsidR="00756DA0">
        <w:t>into decisions</w:t>
      </w:r>
      <w:r w:rsidR="00DB7118">
        <w:t xml:space="preserve"> they would not otherwise make</w:t>
      </w:r>
      <w:r>
        <w:t xml:space="preserve">, and is anticipated to also address dark patterns that have </w:t>
      </w:r>
      <w:r w:rsidRPr="004163C1">
        <w:t>the</w:t>
      </w:r>
      <w:r>
        <w:t xml:space="preserve"> </w:t>
      </w:r>
      <w:r w:rsidRPr="004163C1">
        <w:t xml:space="preserve">greatest capacity for causing </w:t>
      </w:r>
      <w:r>
        <w:t>consumer</w:t>
      </w:r>
      <w:r w:rsidRPr="004163C1">
        <w:t xml:space="preserve"> harm</w:t>
      </w:r>
      <w:r>
        <w:t>. When drafting any legislation, further consideration</w:t>
      </w:r>
      <w:r w:rsidDel="00F503C1">
        <w:t xml:space="preserve"> </w:t>
      </w:r>
      <w:r>
        <w:t xml:space="preserve">would be given to whether the general prohibition </w:t>
      </w:r>
      <w:r w:rsidR="003A4957">
        <w:t>should</w:t>
      </w:r>
      <w:r>
        <w:t xml:space="preserve"> include reference to both the ‘decision-making’ </w:t>
      </w:r>
      <w:r w:rsidRPr="00327ABB">
        <w:t xml:space="preserve">and </w:t>
      </w:r>
      <w:r>
        <w:t xml:space="preserve">‘behaviour’ of a consumer. For example, referencing ‘economic behaviour’ only would mirror the </w:t>
      </w:r>
      <w:r w:rsidRPr="00226DE6">
        <w:t>language</w:t>
      </w:r>
      <w:r>
        <w:t xml:space="preserve"> of the </w:t>
      </w:r>
      <w:r w:rsidRPr="004163C1">
        <w:t xml:space="preserve">EU </w:t>
      </w:r>
      <w:r>
        <w:t xml:space="preserve">Directive. </w:t>
      </w:r>
    </w:p>
    <w:p w14:paraId="25E62115" w14:textId="5C0A4FA1" w:rsidR="00406CD0" w:rsidRDefault="00406CD0" w:rsidP="002A304C">
      <w:pPr>
        <w:pStyle w:val="Bullet"/>
        <w:spacing w:line="240" w:lineRule="auto"/>
        <w:ind w:left="522" w:hanging="522"/>
      </w:pPr>
      <w:r w:rsidRPr="0069375C">
        <w:rPr>
          <w:b/>
        </w:rPr>
        <w:t>Causes detriment (or is likely to)</w:t>
      </w:r>
      <w:r>
        <w:rPr>
          <w:b/>
        </w:rPr>
        <w:t xml:space="preserve"> </w:t>
      </w:r>
      <w:r>
        <w:rPr>
          <w:b/>
        </w:rPr>
        <w:br/>
      </w:r>
      <w:r>
        <w:t xml:space="preserve">The Supplementary Consultation proposed </w:t>
      </w:r>
      <w:r w:rsidR="0038380C">
        <w:t>the</w:t>
      </w:r>
      <w:r>
        <w:t xml:space="preserve"> prohibition incorporate a requirement that the conduct cause material harm to the consumer. Acknowledging stakeholder concerns that material harm creates a high statutory threshold and may fail to address UTPs which cause cumulative harm (both in terms of </w:t>
      </w:r>
      <w:r w:rsidR="0008560D">
        <w:t xml:space="preserve">multiple </w:t>
      </w:r>
      <w:r w:rsidR="00F27A4C">
        <w:t>or repeated</w:t>
      </w:r>
      <w:r w:rsidR="00CB1FC7">
        <w:t xml:space="preserve"> </w:t>
      </w:r>
      <w:r>
        <w:t xml:space="preserve">impacts on </w:t>
      </w:r>
      <w:r w:rsidR="0038528F">
        <w:t>a particular</w:t>
      </w:r>
      <w:r>
        <w:t xml:space="preserve"> individual and in terms of aggregate impacts across many consumers or cohorts), it is proposed that only detriment</w:t>
      </w:r>
      <w:r w:rsidR="00911920">
        <w:t>, rather than ‘</w:t>
      </w:r>
      <w:r w:rsidR="00B97114">
        <w:t>material detriment’</w:t>
      </w:r>
      <w:r w:rsidR="000D0B95">
        <w:t>,</w:t>
      </w:r>
      <w:r>
        <w:t xml:space="preserve"> must be established to satisfy the test. The ‘unreasonable’ requirement, together with the requirement for detriment, will ensure that</w:t>
      </w:r>
      <w:r w:rsidRPr="004163C1">
        <w:t xml:space="preserve"> the prohibition </w:t>
      </w:r>
      <w:r>
        <w:t xml:space="preserve">only captures significant or serious conduct. There is also benefit in </w:t>
      </w:r>
      <w:r w:rsidRPr="004163C1">
        <w:t>align</w:t>
      </w:r>
      <w:r>
        <w:t>ing</w:t>
      </w:r>
      <w:r w:rsidRPr="004163C1">
        <w:t xml:space="preserve"> the prohibition</w:t>
      </w:r>
      <w:r>
        <w:t xml:space="preserve"> more closely</w:t>
      </w:r>
      <w:r w:rsidRPr="004163C1">
        <w:t xml:space="preserve"> with the</w:t>
      </w:r>
      <w:r>
        <w:t xml:space="preserve"> EU Directive and the</w:t>
      </w:r>
      <w:r w:rsidRPr="004163C1">
        <w:t xml:space="preserve"> unfair contract terms provision </w:t>
      </w:r>
      <w:r>
        <w:t>in the ACL, as existing jurisprudence can provide guidance and more certainty for businesses and regulators. It is proposed that the general prohibition target non-financial detriment as well as financial detriment to consumers. This reflects that consumers may experience harms outside of economic detriment from UTPs.</w:t>
      </w:r>
    </w:p>
    <w:p w14:paraId="088FFBF2" w14:textId="07CC2A58" w:rsidR="00406CD0" w:rsidDel="003F4102" w:rsidRDefault="00406CD0" w:rsidP="00A37A65">
      <w:pPr>
        <w:pStyle w:val="Bullet"/>
        <w:ind w:left="522" w:hanging="522"/>
      </w:pPr>
      <w:r w:rsidRPr="0069375C">
        <w:rPr>
          <w:b/>
        </w:rPr>
        <w:t>Impacts ‘a consumer’</w:t>
      </w:r>
      <w:r>
        <w:rPr>
          <w:b/>
        </w:rPr>
        <w:t xml:space="preserve"> </w:t>
      </w:r>
      <w:r>
        <w:rPr>
          <w:b/>
        </w:rPr>
        <w:br/>
      </w:r>
      <w:r>
        <w:t>T</w:t>
      </w:r>
      <w:r w:rsidRPr="007C613B" w:rsidDel="00403BC6">
        <w:t xml:space="preserve">he inclusion of ‘a consumer’ limits the application of the prohibition to </w:t>
      </w:r>
      <w:r>
        <w:t xml:space="preserve">conduct that impacts </w:t>
      </w:r>
      <w:r w:rsidRPr="007C613B" w:rsidDel="00403BC6">
        <w:t>consumers and not businesses or other entities.</w:t>
      </w:r>
      <w:r w:rsidDel="00403BC6">
        <w:t xml:space="preserve"> </w:t>
      </w:r>
    </w:p>
    <w:p w14:paraId="16C13A2C" w14:textId="770E5C8E" w:rsidR="00406CD0" w:rsidRDefault="00406CD0" w:rsidP="00406CD0">
      <w:r>
        <w:lastRenderedPageBreak/>
        <w:t>The</w:t>
      </w:r>
      <w:r w:rsidRPr="003F4102">
        <w:t xml:space="preserve"> proposed general prohibition is </w:t>
      </w:r>
      <w:r w:rsidR="008C5DA0">
        <w:t xml:space="preserve">principles-based </w:t>
      </w:r>
      <w:r>
        <w:t>and</w:t>
      </w:r>
      <w:r w:rsidRPr="003F4102">
        <w:t xml:space="preserve"> intended to capture a range of conduct. During the legislative drafting process, options will be explored </w:t>
      </w:r>
      <w:r w:rsidR="00812434">
        <w:t>to ensure</w:t>
      </w:r>
      <w:r w:rsidRPr="003F4102">
        <w:t xml:space="preserve"> it appropriately captures specific conduct of concern and that businesses and consumers can understand its effect. This could be through the ‘grey list’</w:t>
      </w:r>
      <w:r w:rsidR="00583965">
        <w:t>, which</w:t>
      </w:r>
      <w:r w:rsidRPr="003F4102">
        <w:t xml:space="preserve"> may be included in </w:t>
      </w:r>
      <w:r w:rsidR="007F4165">
        <w:t xml:space="preserve">the </w:t>
      </w:r>
      <w:r w:rsidRPr="003F4102">
        <w:t xml:space="preserve">legislation itself, the Explanatory Statement or regulatory guidance as examples of conduct that will breach the general prohibition. In addition to the examples of specific conduct </w:t>
      </w:r>
      <w:r w:rsidR="00BA2CA3">
        <w:t>listed</w:t>
      </w:r>
      <w:r w:rsidR="005F5BA4">
        <w:t xml:space="preserve"> </w:t>
      </w:r>
      <w:r w:rsidRPr="003F4102">
        <w:t xml:space="preserve">in the Supplementary Consultation, </w:t>
      </w:r>
      <w:r w:rsidR="00426AF6">
        <w:t xml:space="preserve">consideration will also be given to </w:t>
      </w:r>
      <w:r w:rsidR="009717EB">
        <w:t>whether</w:t>
      </w:r>
      <w:r w:rsidRPr="003F4102">
        <w:t xml:space="preserve"> post-sale conduct of concern (such as inhibiting access to, or enjoyment of, a good or service already purchased) </w:t>
      </w:r>
      <w:r w:rsidR="009717EB">
        <w:t xml:space="preserve">or other practices should </w:t>
      </w:r>
      <w:r w:rsidRPr="003F4102">
        <w:t xml:space="preserve">be </w:t>
      </w:r>
      <w:r w:rsidR="009717EB">
        <w:t>included</w:t>
      </w:r>
      <w:r w:rsidRPr="003F4102">
        <w:t xml:space="preserve">. </w:t>
      </w:r>
    </w:p>
    <w:p w14:paraId="0DE179DC" w14:textId="77777777" w:rsidR="00406CD0" w:rsidRPr="002C42B7" w:rsidRDefault="00406CD0" w:rsidP="00406CD0">
      <w:pPr>
        <w:pStyle w:val="Heading4"/>
      </w:pPr>
      <w:r w:rsidRPr="002C42B7">
        <w:t>Policy considerations from consultation</w:t>
      </w:r>
      <w:r>
        <w:t xml:space="preserve"> and analysis</w:t>
      </w:r>
    </w:p>
    <w:p w14:paraId="1E0CB887" w14:textId="25CBC32F" w:rsidR="00406CD0" w:rsidRDefault="00406CD0" w:rsidP="00406CD0">
      <w:r>
        <w:t>The feedback provided through consultation w</w:t>
      </w:r>
      <w:r w:rsidR="00EA6A90">
        <w:t>as</w:t>
      </w:r>
      <w:r>
        <w:t xml:space="preserve"> important in </w:t>
      </w:r>
      <w:r w:rsidR="00CC2AD3">
        <w:t xml:space="preserve">assessing and </w:t>
      </w:r>
      <w:r w:rsidR="00B3322B">
        <w:t xml:space="preserve">refining </w:t>
      </w:r>
      <w:r>
        <w:t xml:space="preserve">the policy proposal. As discussed above, </w:t>
      </w:r>
      <w:r w:rsidR="00CC2AD3">
        <w:t xml:space="preserve">some </w:t>
      </w:r>
      <w:r>
        <w:t xml:space="preserve">stakeholders </w:t>
      </w:r>
      <w:r w:rsidR="00872DB4">
        <w:t xml:space="preserve">suggested </w:t>
      </w:r>
      <w:r>
        <w:t>intervention</w:t>
      </w:r>
      <w:r w:rsidR="00872DB4">
        <w:t xml:space="preserve"> should be restricted </w:t>
      </w:r>
      <w:r>
        <w:t xml:space="preserve">to target dark patterns </w:t>
      </w:r>
      <w:proofErr w:type="gramStart"/>
      <w:r>
        <w:t xml:space="preserve">only, </w:t>
      </w:r>
      <w:r w:rsidR="00444D78">
        <w:t>or</w:t>
      </w:r>
      <w:proofErr w:type="gramEnd"/>
      <w:r w:rsidR="00444D78">
        <w:t xml:space="preserve"> highlighted</w:t>
      </w:r>
      <w:r>
        <w:t xml:space="preserve"> the efficacy of existing </w:t>
      </w:r>
      <w:r w:rsidR="00CD1278">
        <w:t xml:space="preserve">ACL protections </w:t>
      </w:r>
      <w:r>
        <w:t xml:space="preserve">against misleading or deceptive conduct, and the potential for regulatory scope overreach. </w:t>
      </w:r>
      <w:r w:rsidR="000E59BD">
        <w:t>In respect of dynamic pricing, s</w:t>
      </w:r>
      <w:r>
        <w:t xml:space="preserve">ome stakeholders </w:t>
      </w:r>
      <w:r w:rsidR="005C5B15">
        <w:t>queried</w:t>
      </w:r>
      <w:r>
        <w:t xml:space="preserve"> the extent to which dynamic pricing is being used in Australia, or might be used in the future, and whether the ACL would already sufficiently address this conduct. </w:t>
      </w:r>
    </w:p>
    <w:p w14:paraId="690FD115" w14:textId="6EFE05D4" w:rsidR="00406CD0" w:rsidRDefault="00406CD0" w:rsidP="00406CD0">
      <w:r>
        <w:t xml:space="preserve">While a specific dark patterns prohibition </w:t>
      </w:r>
      <w:r w:rsidR="00DA11B4">
        <w:t>may</w:t>
      </w:r>
      <w:r>
        <w:t xml:space="preserve"> seem like a more focused regulatory option, the use of dark patterns is not limited to any single industr</w:t>
      </w:r>
      <w:r w:rsidR="00E850C0">
        <w:t>y</w:t>
      </w:r>
      <w:r>
        <w:t xml:space="preserve"> and any proposals directed towards them would still need to apply broadly across the economy. The volume, variety and evolving forms of dark patterns also make categorising and classifying conduct challenging. </w:t>
      </w:r>
      <w:r w:rsidR="005F759C">
        <w:t>M</w:t>
      </w:r>
      <w:r>
        <w:t xml:space="preserve">ore </w:t>
      </w:r>
      <w:r w:rsidR="00A32856">
        <w:t>targeted</w:t>
      </w:r>
      <w:r>
        <w:t xml:space="preserve"> intervention which </w:t>
      </w:r>
      <w:r w:rsidR="00AF6682">
        <w:t>only</w:t>
      </w:r>
      <w:r w:rsidR="006156DA">
        <w:t xml:space="preserve"> seek</w:t>
      </w:r>
      <w:r w:rsidR="001E26A5">
        <w:t>s</w:t>
      </w:r>
      <w:r w:rsidR="006156DA">
        <w:t xml:space="preserve"> to</w:t>
      </w:r>
      <w:r>
        <w:t xml:space="preserve"> </w:t>
      </w:r>
      <w:r w:rsidR="00FD34D1">
        <w:t xml:space="preserve">address </w:t>
      </w:r>
      <w:r w:rsidR="00B75627">
        <w:t xml:space="preserve">these practices in </w:t>
      </w:r>
      <w:r w:rsidR="00306E35">
        <w:t>specific</w:t>
      </w:r>
      <w:r w:rsidR="00B75627">
        <w:t xml:space="preserve"> </w:t>
      </w:r>
      <w:r w:rsidR="001C1A83">
        <w:t>context</w:t>
      </w:r>
      <w:r w:rsidR="00306E35">
        <w:t>s</w:t>
      </w:r>
      <w:r w:rsidR="001C1A83">
        <w:t xml:space="preserve"> </w:t>
      </w:r>
      <w:r>
        <w:t>risk</w:t>
      </w:r>
      <w:r w:rsidR="00013F4E">
        <w:t>s</w:t>
      </w:r>
      <w:r>
        <w:t xml:space="preserve"> being overtaken as the modalities</w:t>
      </w:r>
      <w:r w:rsidRPr="004F0911">
        <w:rPr>
          <w:rStyle w:val="FootnoteReference"/>
          <w:rFonts w:eastAsiaTheme="majorEastAsia"/>
        </w:rPr>
        <w:footnoteReference w:id="101"/>
      </w:r>
      <w:r>
        <w:t xml:space="preserve"> </w:t>
      </w:r>
      <w:r w:rsidR="006B0DFF">
        <w:t>–</w:t>
      </w:r>
      <w:r w:rsidR="003749C6">
        <w:t xml:space="preserve"> </w:t>
      </w:r>
      <w:r w:rsidR="00AF15D3">
        <w:t xml:space="preserve">the </w:t>
      </w:r>
      <w:r>
        <w:t>different ways or methods through which users interact with systems and devices</w:t>
      </w:r>
      <w:r w:rsidR="00AF15D3">
        <w:t xml:space="preserve"> –</w:t>
      </w:r>
      <w:r w:rsidR="006B0DFF">
        <w:t xml:space="preserve"> </w:t>
      </w:r>
      <w:r>
        <w:t>and interface types between businesses and consumers evolve. For example, consultation revealed concerns about the increasing prospect of internet-connected devices which can initiate purchases through voice interactions. With this in mind, the proposal targets the underlying conduct of manipulation or distortion of consumers underpinning especially harmful patterns, regardless of medium or modality.</w:t>
      </w:r>
    </w:p>
    <w:p w14:paraId="1ED4FBC1" w14:textId="347AEFF9" w:rsidR="00406CD0" w:rsidRDefault="00406CD0" w:rsidP="00406CD0">
      <w:r>
        <w:t>Some stakeholders observed that existing general prohibitions in the ACL, for example against misleading or deceptive conduct, already offer strong protections against misconduct and have been the basis for enforcement action against businesses including digital platforms.</w:t>
      </w:r>
      <w:r w:rsidRPr="00FA3B92">
        <w:rPr>
          <w:rStyle w:val="FootnoteReference"/>
          <w:rFonts w:eastAsiaTheme="majorEastAsia"/>
        </w:rPr>
        <w:footnoteReference w:id="102"/>
      </w:r>
      <w:r>
        <w:t xml:space="preserve"> However as outlined in the Problem section above, there remain</w:t>
      </w:r>
      <w:r w:rsidR="00204554">
        <w:t>s</w:t>
      </w:r>
      <w:r>
        <w:t xml:space="preserve"> some unfair business practices that go beyond the scope of current ACL protections, which are the </w:t>
      </w:r>
      <w:r w:rsidR="00E424C9">
        <w:t>focus</w:t>
      </w:r>
      <w:r>
        <w:t xml:space="preserve"> of this proposal. Where business conduct falls into these gaps </w:t>
      </w:r>
      <w:r w:rsidR="00E424C9">
        <w:t xml:space="preserve">or grey areas </w:t>
      </w:r>
      <w:r>
        <w:t>in the ACL, regulators are limited in their ability to take enforcement action.</w:t>
      </w:r>
    </w:p>
    <w:p w14:paraId="6BCAEEE1" w14:textId="166949D6" w:rsidR="00406CD0" w:rsidRDefault="00406CD0" w:rsidP="00406CD0">
      <w:r>
        <w:t xml:space="preserve">Consistent with the broader policy intent of the </w:t>
      </w:r>
      <w:r w:rsidRPr="009162FA">
        <w:t>ACL</w:t>
      </w:r>
      <w:r>
        <w:t>, this proposal</w:t>
      </w:r>
      <w:r w:rsidRPr="009162FA">
        <w:t xml:space="preserve"> </w:t>
      </w:r>
      <w:r>
        <w:t>is</w:t>
      </w:r>
      <w:r w:rsidRPr="009162FA">
        <w:t xml:space="preserve"> not intended to stifle </w:t>
      </w:r>
      <w:r>
        <w:t xml:space="preserve">or impede businesses from engaging in </w:t>
      </w:r>
      <w:r w:rsidRPr="009162FA">
        <w:t xml:space="preserve">legitimate marketing activities. </w:t>
      </w:r>
      <w:r>
        <w:t xml:space="preserve">The proposed general prohibition against UTPs seeks to capture conduct that unreasonably manipulates or distorts consumer decision-making or behaviour. This </w:t>
      </w:r>
      <w:r w:rsidRPr="009162FA">
        <w:t xml:space="preserve">is </w:t>
      </w:r>
      <w:r>
        <w:t xml:space="preserve">intended to draw </w:t>
      </w:r>
      <w:r w:rsidRPr="009162FA">
        <w:t xml:space="preserve">a distinction </w:t>
      </w:r>
      <w:r>
        <w:t>from</w:t>
      </w:r>
      <w:r w:rsidRPr="009162FA">
        <w:t xml:space="preserve"> responsible marketing behaviour and conduct</w:t>
      </w:r>
      <w:r>
        <w:t xml:space="preserve">, which may influence consumer behaviour without going so far as </w:t>
      </w:r>
      <w:r w:rsidRPr="009162FA">
        <w:t xml:space="preserve">to </w:t>
      </w:r>
      <w:r>
        <w:t xml:space="preserve">unreasonably </w:t>
      </w:r>
      <w:r w:rsidRPr="009162FA">
        <w:t xml:space="preserve">manipulate </w:t>
      </w:r>
      <w:r>
        <w:t>or distort. T</w:t>
      </w:r>
      <w:r w:rsidRPr="009162FA">
        <w:t xml:space="preserve">he ACL </w:t>
      </w:r>
      <w:r>
        <w:t>already contains a number of provisions which protect</w:t>
      </w:r>
      <w:r w:rsidR="00C518B7">
        <w:t>s</w:t>
      </w:r>
      <w:r>
        <w:t xml:space="preserve"> consumers against certain types of</w:t>
      </w:r>
      <w:r w:rsidRPr="009162FA">
        <w:t xml:space="preserve"> potentially</w:t>
      </w:r>
      <w:r>
        <w:t xml:space="preserve"> </w:t>
      </w:r>
      <w:r w:rsidRPr="009162FA">
        <w:t>invasive marketing practices</w:t>
      </w:r>
      <w:r>
        <w:t>. For example, the prohibitions</w:t>
      </w:r>
      <w:r w:rsidRPr="009162FA">
        <w:t xml:space="preserve"> </w:t>
      </w:r>
      <w:r w:rsidR="0094181A">
        <w:t>relating to</w:t>
      </w:r>
      <w:r w:rsidRPr="009162FA">
        <w:t xml:space="preserve"> unsolicited consumer agreements</w:t>
      </w:r>
      <w:r w:rsidR="008C4BD8">
        <w:rPr>
          <w:rStyle w:val="FootnoteReference"/>
        </w:rPr>
        <w:footnoteReference w:id="103"/>
      </w:r>
      <w:r w:rsidRPr="009162FA">
        <w:t xml:space="preserve"> (such as door</w:t>
      </w:r>
      <w:r>
        <w:t xml:space="preserve"> to door sales) and undue harassment or </w:t>
      </w:r>
      <w:r>
        <w:lastRenderedPageBreak/>
        <w:t>coercion.</w:t>
      </w:r>
      <w:r w:rsidR="00795892">
        <w:rPr>
          <w:rStyle w:val="FootnoteReference"/>
        </w:rPr>
        <w:footnoteReference w:id="104"/>
      </w:r>
      <w:r>
        <w:t xml:space="preserve"> This proposal would similarly seek to address manipulative behaviours identified in this paper</w:t>
      </w:r>
      <w:r w:rsidRPr="009162FA">
        <w:t>.</w:t>
      </w:r>
    </w:p>
    <w:p w14:paraId="70CB8361" w14:textId="77613846" w:rsidR="00406CD0" w:rsidRDefault="00406CD0" w:rsidP="00406CD0">
      <w:pPr>
        <w:pStyle w:val="Heading3"/>
      </w:pPr>
      <w:bookmarkStart w:id="43" w:name="_Toc202971522"/>
      <w:bookmarkStart w:id="44" w:name="_Toc206422525"/>
      <w:r>
        <w:t>Potential Benefits</w:t>
      </w:r>
      <w:bookmarkEnd w:id="43"/>
      <w:bookmarkEnd w:id="44"/>
    </w:p>
    <w:p w14:paraId="4A7C23D0" w14:textId="2DC02E9E" w:rsidR="00406CD0" w:rsidRPr="00435326" w:rsidRDefault="00406CD0" w:rsidP="00406CD0">
      <w:pPr>
        <w:rPr>
          <w:iCs/>
        </w:rPr>
      </w:pPr>
      <w:r>
        <w:rPr>
          <w:iCs/>
        </w:rPr>
        <w:t xml:space="preserve">The benefits of this proposal are primarily tied to enduring and enhanced consumer protection against UTPs that are not already prohibited under the ACL. The normative and behavioural benefits include sending a strong signal to businesses to encourage competition and marketing through consumer-centric and consumer-friendly practices in the Australian market. </w:t>
      </w:r>
      <w:r w:rsidR="00645D00">
        <w:rPr>
          <w:iCs/>
        </w:rPr>
        <w:t>Identified</w:t>
      </w:r>
      <w:r>
        <w:rPr>
          <w:iCs/>
        </w:rPr>
        <w:t xml:space="preserve"> benefits are outlined below.</w:t>
      </w:r>
    </w:p>
    <w:p w14:paraId="1776BAE8" w14:textId="77777777" w:rsidR="00406CD0" w:rsidRPr="005F6EC0" w:rsidRDefault="00406CD0" w:rsidP="00406CD0">
      <w:pPr>
        <w:rPr>
          <w:i/>
        </w:rPr>
      </w:pPr>
      <w:r w:rsidRPr="005F6EC0">
        <w:rPr>
          <w:i/>
        </w:rPr>
        <w:t>Cost savings and enhanced consumer protections</w:t>
      </w:r>
    </w:p>
    <w:p w14:paraId="40ED0FAD" w14:textId="40C927F5" w:rsidR="00406CD0" w:rsidRDefault="00406CD0" w:rsidP="00406CD0">
      <w:r>
        <w:t xml:space="preserve">Reduced risk and incidence of consumers making unwanted purchases, purchases that are not in their interests, or spending more than they otherwise would have because of manipulative or distortive business practices. </w:t>
      </w:r>
    </w:p>
    <w:p w14:paraId="617F3EEE" w14:textId="77777777" w:rsidR="00406CD0" w:rsidRPr="005F6EC0" w:rsidRDefault="00406CD0" w:rsidP="00406CD0">
      <w:pPr>
        <w:rPr>
          <w:i/>
        </w:rPr>
      </w:pPr>
      <w:r w:rsidRPr="005F6EC0">
        <w:rPr>
          <w:i/>
        </w:rPr>
        <w:t xml:space="preserve">Enhanced consumer choice and autonomy </w:t>
      </w:r>
    </w:p>
    <w:p w14:paraId="699E1D8E" w14:textId="3C4D159F" w:rsidR="00406CD0" w:rsidRDefault="00406CD0" w:rsidP="00406CD0">
      <w:r>
        <w:t>A general prohibition will target manipulative and distortive business practices that can impact a consumer’s ability to make informed decisions about which products and services best suit their needs</w:t>
      </w:r>
      <w:r w:rsidR="00AF4E4D">
        <w:t xml:space="preserve">, </w:t>
      </w:r>
      <w:r w:rsidR="00B4149C">
        <w:t>enhancing consumer</w:t>
      </w:r>
      <w:r w:rsidR="00C60F35">
        <w:t xml:space="preserve"> choice and autonomy</w:t>
      </w:r>
      <w:r>
        <w:t xml:space="preserve">. </w:t>
      </w:r>
    </w:p>
    <w:p w14:paraId="71E0BC68" w14:textId="77777777" w:rsidR="00406CD0" w:rsidRPr="005F6EC0" w:rsidRDefault="00406CD0" w:rsidP="00406CD0">
      <w:pPr>
        <w:rPr>
          <w:i/>
        </w:rPr>
      </w:pPr>
      <w:r w:rsidRPr="005F6EC0">
        <w:rPr>
          <w:i/>
        </w:rPr>
        <w:t xml:space="preserve">Enhanced and enduring consumer protection against a wider range of current and emerging harmful business conduct </w:t>
      </w:r>
    </w:p>
    <w:p w14:paraId="55A8CA3B" w14:textId="7A64C45A" w:rsidR="00406CD0" w:rsidRDefault="00406CD0" w:rsidP="00406CD0">
      <w:r>
        <w:t xml:space="preserve">A principles-based general prohibition will enable the law to have sufficient flexibility to combat both current and emerging UTPs. Business practices and the products and services available to consumers are constantly evolving in response to new technology, global commerce and changes in consumer behaviour. A general prohibition is the most effective way to future proof UTP protections and to regulate business behaviour across circumstances and sectors. </w:t>
      </w:r>
    </w:p>
    <w:p w14:paraId="47631B5D" w14:textId="4EB7703E" w:rsidR="00406CD0" w:rsidRPr="005F6EC0" w:rsidRDefault="00406CD0" w:rsidP="00406CD0">
      <w:pPr>
        <w:rPr>
          <w:i/>
        </w:rPr>
      </w:pPr>
      <w:r>
        <w:rPr>
          <w:i/>
        </w:rPr>
        <w:t>Higher demand for higher quality products</w:t>
      </w:r>
      <w:r w:rsidR="00DE774B">
        <w:rPr>
          <w:i/>
        </w:rPr>
        <w:t xml:space="preserve"> and services</w:t>
      </w:r>
    </w:p>
    <w:p w14:paraId="401DA822" w14:textId="73FEFD6A" w:rsidR="00406CD0" w:rsidRDefault="00406CD0" w:rsidP="00406CD0">
      <w:r>
        <w:t>A general</w:t>
      </w:r>
      <w:r w:rsidRPr="00DA45D1">
        <w:t xml:space="preserve"> prohibition will help establish a normative standard of conduct that requires businesses to compete more on merit</w:t>
      </w:r>
      <w:r>
        <w:t xml:space="preserve"> and the quality of their products </w:t>
      </w:r>
      <w:r w:rsidR="00DE774B">
        <w:t>and services</w:t>
      </w:r>
      <w:r w:rsidR="003966FB">
        <w:t>, rather</w:t>
      </w:r>
      <w:r w:rsidR="00DE774B">
        <w:t xml:space="preserve"> </w:t>
      </w:r>
      <w:r>
        <w:t>than their ability to manipulate consumers</w:t>
      </w:r>
      <w:r w:rsidRPr="00DA45D1">
        <w:t>. This will drive economic efficiencies</w:t>
      </w:r>
      <w:r>
        <w:t xml:space="preserve"> and</w:t>
      </w:r>
      <w:r w:rsidRPr="00DA45D1">
        <w:t xml:space="preserve"> innovation. </w:t>
      </w:r>
    </w:p>
    <w:p w14:paraId="4CC80907" w14:textId="77777777" w:rsidR="00406CD0" w:rsidRPr="005F6EC0" w:rsidRDefault="00406CD0" w:rsidP="00406CD0">
      <w:pPr>
        <w:rPr>
          <w:i/>
        </w:rPr>
      </w:pPr>
      <w:r w:rsidRPr="005F6EC0">
        <w:rPr>
          <w:i/>
        </w:rPr>
        <w:t xml:space="preserve">Improved trust in the market </w:t>
      </w:r>
    </w:p>
    <w:p w14:paraId="310F21DE" w14:textId="77777777" w:rsidR="00406CD0" w:rsidRDefault="00406CD0" w:rsidP="00406CD0">
      <w:r w:rsidRPr="00CF26F1">
        <w:t xml:space="preserve">Trust and confidence underpin effective, well-functioning markets. </w:t>
      </w:r>
      <w:r>
        <w:t xml:space="preserve">Consumers who perceive markets as unfair or populated by businesses engaging in tactics which attempt to distort their purchasing decisions may be discouraged from transacting. A general prohibition which targets distortive and manipulative business practices could give increased confidence to consumers to engage in markets, promoting greater overall demand. </w:t>
      </w:r>
    </w:p>
    <w:p w14:paraId="2C9310B3" w14:textId="77777777" w:rsidR="00406CD0" w:rsidRPr="005F6EC0" w:rsidRDefault="00406CD0" w:rsidP="00406CD0">
      <w:pPr>
        <w:rPr>
          <w:i/>
        </w:rPr>
      </w:pPr>
      <w:r w:rsidRPr="005F6EC0">
        <w:rPr>
          <w:i/>
        </w:rPr>
        <w:t>Ensuring regulatory consistency</w:t>
      </w:r>
    </w:p>
    <w:p w14:paraId="20F46EB5" w14:textId="77777777" w:rsidR="00406CD0" w:rsidRDefault="00406CD0" w:rsidP="00406CD0">
      <w:r w:rsidRPr="005A55A9">
        <w:t xml:space="preserve">Introducing a general prohibition will reduce the likelihood that states or territories introduce new, but </w:t>
      </w:r>
      <w:r>
        <w:t>potentially</w:t>
      </w:r>
      <w:r w:rsidRPr="005A55A9">
        <w:t xml:space="preserve"> inconsistent, state-based legislation targeted at unfair practices that fall into gaps in the ACL. </w:t>
      </w:r>
      <w:r>
        <w:t>For example, t</w:t>
      </w:r>
      <w:r w:rsidRPr="005A55A9">
        <w:t>he ACCC</w:t>
      </w:r>
      <w:r>
        <w:t xml:space="preserve"> has</w:t>
      </w:r>
      <w:r w:rsidRPr="005A55A9">
        <w:t xml:space="preserve"> </w:t>
      </w:r>
      <w:r>
        <w:t xml:space="preserve">observed an increase in state-based legislation and regulations </w:t>
      </w:r>
      <w:r w:rsidRPr="005A55A9">
        <w:t>aimed</w:t>
      </w:r>
      <w:r>
        <w:t xml:space="preserve"> at </w:t>
      </w:r>
      <w:r w:rsidRPr="005A55A9">
        <w:t xml:space="preserve">requiring upfront disclosure of pricing and terms and conditions in various </w:t>
      </w:r>
      <w:proofErr w:type="gramStart"/>
      <w:r w:rsidRPr="005A55A9">
        <w:t>sectors</w:t>
      </w:r>
      <w:r>
        <w:t>, and</w:t>
      </w:r>
      <w:proofErr w:type="gramEnd"/>
      <w:r>
        <w:t xml:space="preserve"> noted that this </w:t>
      </w:r>
      <w:r w:rsidRPr="005A55A9">
        <w:t>would l</w:t>
      </w:r>
      <w:r>
        <w:t>i</w:t>
      </w:r>
      <w:r w:rsidRPr="005A55A9">
        <w:t xml:space="preserve">kely be unnecessary if there was a prohibition on </w:t>
      </w:r>
      <w:r>
        <w:t>UTPs</w:t>
      </w:r>
      <w:r w:rsidRPr="005A55A9">
        <w:t>.</w:t>
      </w:r>
      <w:r w:rsidRPr="4D74D57C">
        <w:rPr>
          <w:rStyle w:val="FootnoteReference"/>
          <w:rFonts w:eastAsiaTheme="majorEastAsia"/>
        </w:rPr>
        <w:footnoteReference w:id="105"/>
      </w:r>
      <w:r w:rsidRPr="71A6DC09">
        <w:rPr>
          <w:sz w:val="24"/>
          <w:szCs w:val="24"/>
          <w:vertAlign w:val="superscript"/>
        </w:rPr>
        <w:t xml:space="preserve"> </w:t>
      </w:r>
    </w:p>
    <w:p w14:paraId="5C47DAC3" w14:textId="77777777" w:rsidR="00406CD0" w:rsidRPr="005A55A9" w:rsidRDefault="00406CD0" w:rsidP="00406CD0">
      <w:r w:rsidRPr="005A55A9">
        <w:lastRenderedPageBreak/>
        <w:t xml:space="preserve">A general prohibition is the best way to ensure </w:t>
      </w:r>
      <w:r>
        <w:t xml:space="preserve">a nationally consistent approach to regulating UTPs. This will also </w:t>
      </w:r>
      <w:r w:rsidRPr="005A55A9">
        <w:t xml:space="preserve">reduce regulatory burden for businesses by avoiding </w:t>
      </w:r>
      <w:r>
        <w:t>inconsistency</w:t>
      </w:r>
      <w:r w:rsidRPr="005A55A9">
        <w:t xml:space="preserve"> or overlap in laws at </w:t>
      </w:r>
      <w:r>
        <w:t xml:space="preserve">both </w:t>
      </w:r>
      <w:r w:rsidRPr="005A55A9">
        <w:t>the federal and state level</w:t>
      </w:r>
      <w:r>
        <w:t>s</w:t>
      </w:r>
      <w:r w:rsidRPr="005A55A9">
        <w:t xml:space="preserve">.  </w:t>
      </w:r>
    </w:p>
    <w:p w14:paraId="4BA04FD8" w14:textId="77777777" w:rsidR="00406CD0" w:rsidRDefault="00406CD0" w:rsidP="00406CD0">
      <w:pPr>
        <w:pStyle w:val="Heading3"/>
      </w:pPr>
      <w:bookmarkStart w:id="45" w:name="_Toc202971523"/>
      <w:bookmarkStart w:id="46" w:name="_Toc206422526"/>
      <w:r>
        <w:t>Regulation impact summary</w:t>
      </w:r>
      <w:bookmarkEnd w:id="45"/>
      <w:bookmarkEnd w:id="46"/>
    </w:p>
    <w:p w14:paraId="6023E59D" w14:textId="2E699049" w:rsidR="00406CD0" w:rsidRPr="00C779EE" w:rsidRDefault="00406CD0" w:rsidP="00406CD0">
      <w:r>
        <w:t>This proposal is not expected to result in any costs to consumers or to community groups. The affected stakeholder</w:t>
      </w:r>
      <w:r w:rsidR="00B13215">
        <w:t>s</w:t>
      </w:r>
      <w:r>
        <w:t xml:space="preserve"> </w:t>
      </w:r>
      <w:r w:rsidR="00B13215">
        <w:t>are</w:t>
      </w:r>
      <w:r>
        <w:t xml:space="preserve"> consumer-facing business</w:t>
      </w:r>
      <w:r w:rsidR="00486F3F">
        <w:t>es</w:t>
      </w:r>
      <w:r>
        <w:t xml:space="preserve"> </w:t>
      </w:r>
      <w:r w:rsidR="008B2B6B">
        <w:t xml:space="preserve">that </w:t>
      </w:r>
      <w:r>
        <w:t xml:space="preserve">will need to update their </w:t>
      </w:r>
      <w:r w:rsidR="00CC2A80">
        <w:t xml:space="preserve">practices </w:t>
      </w:r>
      <w:r w:rsidR="009E071F">
        <w:t>in order to comply with the new regulations</w:t>
      </w:r>
      <w:r>
        <w:t xml:space="preserve">. </w:t>
      </w:r>
    </w:p>
    <w:p w14:paraId="5C2C9133" w14:textId="77777777" w:rsidR="00406CD0" w:rsidRPr="00BA5490" w:rsidRDefault="00406CD0" w:rsidP="00406CD0">
      <w:pPr>
        <w:pStyle w:val="Heading4"/>
      </w:pPr>
      <w:r w:rsidRPr="00BA5490">
        <w:t>Implementation costs to businesses</w:t>
      </w:r>
    </w:p>
    <w:p w14:paraId="34CB3136" w14:textId="77777777" w:rsidR="00406CD0" w:rsidRDefault="00406CD0" w:rsidP="00406CD0">
      <w:r w:rsidRPr="00347826">
        <w:rPr>
          <w:i/>
        </w:rPr>
        <w:t>Legal and compliance costs</w:t>
      </w:r>
    </w:p>
    <w:p w14:paraId="722BBCBB" w14:textId="07AC65C1" w:rsidR="00406CD0" w:rsidRPr="00347826" w:rsidRDefault="00406CD0" w:rsidP="00406CD0">
      <w:pPr>
        <w:rPr>
          <w:i/>
        </w:rPr>
      </w:pPr>
      <w:r>
        <w:t xml:space="preserve">Businesses will need to invest time and resources to understand the new prohibition. Some businesses may incur costs for legal advice to interpret the legislation and understand the impacts for their operations. The </w:t>
      </w:r>
      <w:r w:rsidR="00F50B1D">
        <w:t>potential</w:t>
      </w:r>
      <w:r>
        <w:t xml:space="preserve"> need for legal advice arises from the uncertainty of how a new general prohibition will operate, particularly before there has been an opportunity for judicial consideration, and the increased compliance risk to businesses as a result. </w:t>
      </w:r>
      <w:r w:rsidR="00B418E7" w:rsidRPr="000402F3">
        <w:t xml:space="preserve">Regulators </w:t>
      </w:r>
      <w:r w:rsidR="00B418E7">
        <w:t>will</w:t>
      </w:r>
      <w:r w:rsidR="00B418E7" w:rsidRPr="000402F3">
        <w:t xml:space="preserve"> undertake</w:t>
      </w:r>
      <w:r w:rsidR="00B418E7" w:rsidRPr="000402F3" w:rsidDel="001B25A0">
        <w:t xml:space="preserve"> </w:t>
      </w:r>
      <w:r w:rsidR="00B418E7">
        <w:t>outreach</w:t>
      </w:r>
      <w:r w:rsidR="00B418E7" w:rsidRPr="000402F3">
        <w:t xml:space="preserve"> to inform businesses of the changes to the law and provide guidance material</w:t>
      </w:r>
      <w:r w:rsidR="00B418E7">
        <w:t>s</w:t>
      </w:r>
      <w:r w:rsidR="00B418E7" w:rsidRPr="000402F3">
        <w:t>.</w:t>
      </w:r>
      <w:r w:rsidR="00B418E7">
        <w:t xml:space="preserve"> This may, in some cases, reduce potential compliance costs by making it easier for businesses to understand and comply with their obligations. </w:t>
      </w:r>
    </w:p>
    <w:p w14:paraId="12F44327" w14:textId="77777777" w:rsidR="00406CD0" w:rsidRDefault="00406CD0" w:rsidP="00406CD0">
      <w:r w:rsidRPr="002A5627">
        <w:rPr>
          <w:i/>
          <w:iCs/>
        </w:rPr>
        <w:t>Staff training</w:t>
      </w:r>
    </w:p>
    <w:p w14:paraId="3FC0F454" w14:textId="11DBAA57" w:rsidR="00406CD0" w:rsidRDefault="00406CD0" w:rsidP="00406CD0">
      <w:r>
        <w:t xml:space="preserve">Businesses may as part of their regular induction and training revise how they educate their staff on the operation of the new prohibition and any new obligations. Training programs </w:t>
      </w:r>
      <w:r w:rsidR="00533A55">
        <w:t xml:space="preserve">will be </w:t>
      </w:r>
      <w:r>
        <w:t xml:space="preserve">particularly relevant for employees in sales, marketing and customer service. </w:t>
      </w:r>
    </w:p>
    <w:p w14:paraId="686A0717" w14:textId="77777777" w:rsidR="00406CD0" w:rsidRDefault="00406CD0" w:rsidP="00406CD0">
      <w:pPr>
        <w:rPr>
          <w:i/>
        </w:rPr>
      </w:pPr>
      <w:r w:rsidRPr="002A5627">
        <w:rPr>
          <w:i/>
        </w:rPr>
        <w:t>Reviewing and modifying business practices</w:t>
      </w:r>
    </w:p>
    <w:p w14:paraId="469EEF9F" w14:textId="77777777" w:rsidR="00406CD0" w:rsidRDefault="00406CD0" w:rsidP="00406CD0">
      <w:r>
        <w:rPr>
          <w:iCs/>
        </w:rPr>
        <w:t>B</w:t>
      </w:r>
      <w:r>
        <w:t>usinesses may need to audit their existing practices (such as digital interfaces, marketing strategies and customer engagement) to ensure compliance with the new prohibition. This could necessitate some businesses to make changes or updates to their operational processes or to implement oversight systems.</w:t>
      </w:r>
    </w:p>
    <w:p w14:paraId="5A5B80AD" w14:textId="77777777" w:rsidR="00406CD0" w:rsidRDefault="00406CD0" w:rsidP="00406CD0">
      <w:pPr>
        <w:rPr>
          <w:i/>
        </w:rPr>
      </w:pPr>
      <w:r w:rsidRPr="002A5627">
        <w:rPr>
          <w:i/>
        </w:rPr>
        <w:t>IT costs and system enhancement</w:t>
      </w:r>
    </w:p>
    <w:p w14:paraId="0364457E" w14:textId="77777777" w:rsidR="00406CD0" w:rsidRDefault="00406CD0" w:rsidP="00406CD0">
      <w:r>
        <w:t>D</w:t>
      </w:r>
      <w:r w:rsidRPr="00140259">
        <w:t>epending on the nature of their business,</w:t>
      </w:r>
      <w:r>
        <w:t xml:space="preserve"> businesses may need to update their websites and apps to ensure compliance with the new prohibition.</w:t>
      </w:r>
    </w:p>
    <w:p w14:paraId="38CAA1AE" w14:textId="717813F1" w:rsidR="00406CD0" w:rsidRDefault="00406CD0" w:rsidP="00406CD0">
      <w:pPr>
        <w:rPr>
          <w:i/>
        </w:rPr>
      </w:pPr>
      <w:r w:rsidRPr="002A5627">
        <w:rPr>
          <w:i/>
        </w:rPr>
        <w:t>E</w:t>
      </w:r>
      <w:r w:rsidR="000179B3">
        <w:rPr>
          <w:i/>
        </w:rPr>
        <w:t>-</w:t>
      </w:r>
      <w:r w:rsidRPr="002A5627">
        <w:rPr>
          <w:i/>
        </w:rPr>
        <w:t>commerce and shopping cart platforms</w:t>
      </w:r>
    </w:p>
    <w:p w14:paraId="50A95ECF" w14:textId="52B49D32" w:rsidR="00406CD0" w:rsidRDefault="00406CD0" w:rsidP="00406CD0">
      <w:r>
        <w:t>M</w:t>
      </w:r>
      <w:r w:rsidRPr="0018772E">
        <w:t>any businesses use third-party tools and platforms to design and manage their online presence. E</w:t>
      </w:r>
      <w:r w:rsidR="000179B3">
        <w:t>-</w:t>
      </w:r>
      <w:r w:rsidRPr="0018772E">
        <w:t xml:space="preserve">commerce platforms, shopping cart software, </w:t>
      </w:r>
      <w:r w:rsidR="00203EA3">
        <w:t xml:space="preserve">and </w:t>
      </w:r>
      <w:r w:rsidR="00B27EEE">
        <w:t>user experience (</w:t>
      </w:r>
      <w:r w:rsidRPr="0018772E">
        <w:t>UX</w:t>
      </w:r>
      <w:r w:rsidR="00B27EEE">
        <w:t>)</w:t>
      </w:r>
      <w:r w:rsidRPr="0018772E">
        <w:t>/</w:t>
      </w:r>
      <w:r w:rsidR="00B27EEE">
        <w:t>user interface (</w:t>
      </w:r>
      <w:r w:rsidRPr="0018772E">
        <w:t>UI</w:t>
      </w:r>
      <w:r w:rsidR="00B27EEE">
        <w:t>)</w:t>
      </w:r>
      <w:r w:rsidRPr="0018772E">
        <w:t xml:space="preserve"> design software all provide services that facilitate businesses to run their sites, including how they market and present goods and services, account options and settings, and payment handling. Interface design resources, design app stores and plug-ins enable businesses to deliver targeted marketing, promote upselling and cross-selling, implement countdown timers and other functions directly into their consumer-facing interfaces.</w:t>
      </w:r>
    </w:p>
    <w:p w14:paraId="0CA719CC" w14:textId="69F81BDC" w:rsidR="00406CD0" w:rsidRPr="00506D5C" w:rsidRDefault="00406CD0" w:rsidP="00406CD0">
      <w:r>
        <w:t>Because of their prominent role hosting, encouraging and fulfilling commercial transactions, e</w:t>
      </w:r>
      <w:r w:rsidR="000179B3">
        <w:t>-</w:t>
      </w:r>
      <w:r>
        <w:t>commerce platforms through their usual business may need to review their internal service and marketing offerings.</w:t>
      </w:r>
    </w:p>
    <w:p w14:paraId="01955E7C" w14:textId="77777777" w:rsidR="00406CD0" w:rsidRPr="00E638E5" w:rsidRDefault="00406CD0" w:rsidP="00406CD0">
      <w:pPr>
        <w:pStyle w:val="Heading4"/>
      </w:pPr>
      <w:r w:rsidRPr="00E638E5">
        <w:lastRenderedPageBreak/>
        <w:t xml:space="preserve">Ongoing costs </w:t>
      </w:r>
      <w:r>
        <w:t>to businesses</w:t>
      </w:r>
    </w:p>
    <w:p w14:paraId="5A567770" w14:textId="0306D5BB" w:rsidR="00406CD0" w:rsidRPr="00E46F91" w:rsidRDefault="00406CD0" w:rsidP="00406CD0">
      <w:r>
        <w:t>Following a transitional period,</w:t>
      </w:r>
      <w:r w:rsidRPr="00E46F91">
        <w:t xml:space="preserve"> </w:t>
      </w:r>
      <w:r>
        <w:t xml:space="preserve">compliance is not anticipated to impose material ongoing costs. </w:t>
      </w:r>
      <w:r w:rsidR="00687966">
        <w:t>B</w:t>
      </w:r>
      <w:r w:rsidRPr="00A53B65">
        <w:t xml:space="preserve">usiness operators would </w:t>
      </w:r>
      <w:r w:rsidR="002B4D28" w:rsidRPr="001E60AC">
        <w:t>be al</w:t>
      </w:r>
      <w:r w:rsidR="00390E4A" w:rsidRPr="001E60AC">
        <w:t>ive</w:t>
      </w:r>
      <w:r w:rsidR="002B4D28" w:rsidRPr="001E60AC">
        <w:t xml:space="preserve"> to th</w:t>
      </w:r>
      <w:r w:rsidR="00E14AA0">
        <w:t>is</w:t>
      </w:r>
      <w:r w:rsidR="002B4D28" w:rsidRPr="001E60AC">
        <w:t xml:space="preserve"> </w:t>
      </w:r>
      <w:r w:rsidRPr="00A53B65">
        <w:t xml:space="preserve">behavioural standard in the same way they routinely uphold </w:t>
      </w:r>
      <w:r w:rsidR="00234936">
        <w:t xml:space="preserve">ACL </w:t>
      </w:r>
      <w:r w:rsidR="00315284" w:rsidRPr="001E60AC">
        <w:t xml:space="preserve">requirements </w:t>
      </w:r>
      <w:r w:rsidRPr="00A53B65">
        <w:t xml:space="preserve">not </w:t>
      </w:r>
      <w:r w:rsidR="00315284" w:rsidRPr="001E60AC">
        <w:t xml:space="preserve">to </w:t>
      </w:r>
      <w:r w:rsidR="00D16A25" w:rsidRPr="001E60AC">
        <w:t xml:space="preserve">engage in </w:t>
      </w:r>
      <w:r w:rsidRPr="00A53B65">
        <w:t>misleading, deceptive or unconscionable</w:t>
      </w:r>
      <w:r w:rsidR="00D16A25" w:rsidRPr="001E60AC">
        <w:t xml:space="preserve"> conduct</w:t>
      </w:r>
      <w:r w:rsidRPr="00A53B65">
        <w:t>.</w:t>
      </w:r>
      <w:r>
        <w:t xml:space="preserve"> </w:t>
      </w:r>
      <w:r w:rsidR="002D21E8">
        <w:t>However,</w:t>
      </w:r>
      <w:r>
        <w:t xml:space="preserve"> </w:t>
      </w:r>
      <w:r w:rsidR="0080282A">
        <w:t>beyond any formal compliance transitional periods,</w:t>
      </w:r>
      <w:r>
        <w:t xml:space="preserve"> it may take some time for judicial precedents to be established.</w:t>
      </w:r>
    </w:p>
    <w:p w14:paraId="4230ECF7" w14:textId="7F89E963" w:rsidR="00406CD0" w:rsidRDefault="00406CD0" w:rsidP="00406CD0">
      <w:r>
        <w:t xml:space="preserve">Compliance and legal costs </w:t>
      </w:r>
      <w:r w:rsidR="003449DC">
        <w:t xml:space="preserve">are </w:t>
      </w:r>
      <w:r>
        <w:t xml:space="preserve">also </w:t>
      </w:r>
      <w:r w:rsidR="00E665D4">
        <w:t>likely to</w:t>
      </w:r>
      <w:r>
        <w:t xml:space="preserve"> reduce once the law is more established and has been interpreted by the courts, providing businesses with greater certainty on the law’s scope and operation (noting however that the speed at which this will occur is uncertain).</w:t>
      </w:r>
    </w:p>
    <w:p w14:paraId="69FF8689" w14:textId="185FE1E0" w:rsidR="00406CD0" w:rsidRDefault="00406CD0" w:rsidP="00406CD0">
      <w:r>
        <w:t xml:space="preserve">While not a regulatory cost, the changes may result in a redistribution of customers between businesses, as </w:t>
      </w:r>
      <w:r w:rsidR="000A298F">
        <w:t xml:space="preserve">businesses that </w:t>
      </w:r>
      <w:r w:rsidR="000A5BC5">
        <w:t xml:space="preserve">currently </w:t>
      </w:r>
      <w:r w:rsidR="005E17C4">
        <w:t xml:space="preserve">employ </w:t>
      </w:r>
      <w:r w:rsidR="004541A8">
        <w:t>manipulative</w:t>
      </w:r>
      <w:r w:rsidR="00157343">
        <w:t xml:space="preserve"> practices</w:t>
      </w:r>
      <w:r w:rsidR="007B3635">
        <w:t xml:space="preserve"> are </w:t>
      </w:r>
      <w:r w:rsidR="005E17C4">
        <w:t xml:space="preserve">forced to </w:t>
      </w:r>
      <w:r>
        <w:t>compet</w:t>
      </w:r>
      <w:r w:rsidR="005E17C4">
        <w:t>e</w:t>
      </w:r>
      <w:r>
        <w:t xml:space="preserve"> on </w:t>
      </w:r>
      <w:r w:rsidR="00C25DB8">
        <w:t xml:space="preserve">their merits (for example on the basis of </w:t>
      </w:r>
      <w:r>
        <w:t xml:space="preserve">quality </w:t>
      </w:r>
      <w:r w:rsidR="00A1375C">
        <w:t xml:space="preserve">and price </w:t>
      </w:r>
      <w:r>
        <w:t>of products</w:t>
      </w:r>
      <w:r w:rsidR="00C25DB8">
        <w:t>)</w:t>
      </w:r>
      <w:r>
        <w:t xml:space="preserve">. </w:t>
      </w:r>
    </w:p>
    <w:p w14:paraId="0AD92890" w14:textId="77777777" w:rsidR="00406CD0" w:rsidRDefault="00406CD0" w:rsidP="00406CD0">
      <w:pPr>
        <w:pStyle w:val="Heading4"/>
      </w:pPr>
      <w:r>
        <w:t>Costs to government</w:t>
      </w:r>
    </w:p>
    <w:p w14:paraId="47F5DA47" w14:textId="1D09E1AF" w:rsidR="00406CD0" w:rsidRDefault="00406CD0" w:rsidP="00406CD0">
      <w:pPr>
        <w:spacing w:before="0" w:after="200"/>
      </w:pPr>
      <w:r>
        <w:t xml:space="preserve">Regulators will initially incur costs associated with developing and issuing guidance </w:t>
      </w:r>
      <w:proofErr w:type="gramStart"/>
      <w:r>
        <w:t>materials, and</w:t>
      </w:r>
      <w:proofErr w:type="gramEnd"/>
      <w:r>
        <w:t xml:space="preserve"> working with businesses to understand their compliance obligations. Regulators will also incur costs </w:t>
      </w:r>
      <w:r w:rsidR="00380214">
        <w:t xml:space="preserve">in </w:t>
      </w:r>
      <w:r w:rsidR="00EC6955">
        <w:t>seeking</w:t>
      </w:r>
      <w:r w:rsidR="00380214">
        <w:t xml:space="preserve"> </w:t>
      </w:r>
      <w:r>
        <w:t xml:space="preserve">compliance </w:t>
      </w:r>
      <w:r w:rsidR="00EC6955">
        <w:t xml:space="preserve">with, </w:t>
      </w:r>
      <w:r>
        <w:t xml:space="preserve">and </w:t>
      </w:r>
      <w:r w:rsidR="00EC6955">
        <w:t xml:space="preserve">pursuing </w:t>
      </w:r>
      <w:r>
        <w:t>enforcement of</w:t>
      </w:r>
      <w:r w:rsidR="00EC6955">
        <w:t>,</w:t>
      </w:r>
      <w:r>
        <w:t xml:space="preserve"> the new prohibition in their business-as-usual work. </w:t>
      </w:r>
    </w:p>
    <w:p w14:paraId="3DC3B7F3" w14:textId="77777777" w:rsidR="00406CD0" w:rsidRDefault="00406CD0" w:rsidP="00406CD0">
      <w:pPr>
        <w:pStyle w:val="Heading3"/>
      </w:pPr>
      <w:bookmarkStart w:id="47" w:name="_Toc202971524"/>
      <w:bookmarkStart w:id="48" w:name="_Toc206422527"/>
      <w:r>
        <w:t>Option 3: r</w:t>
      </w:r>
      <w:r w:rsidRPr="00833064">
        <w:t>egulation impact summary</w:t>
      </w:r>
      <w:bookmarkEnd w:id="47"/>
      <w:bookmarkEnd w:id="48"/>
      <w:r>
        <w:t xml:space="preserve"> </w:t>
      </w:r>
    </w:p>
    <w:p w14:paraId="1874BD2C" w14:textId="77777777" w:rsidR="00406CD0" w:rsidRPr="0044511C" w:rsidRDefault="00406CD0" w:rsidP="00406CD0">
      <w:pPr>
        <w:rPr>
          <w:b/>
        </w:rPr>
      </w:pPr>
      <w:r w:rsidRPr="0044511C">
        <w:rPr>
          <w:b/>
        </w:rPr>
        <w:t>Costs</w:t>
      </w:r>
    </w:p>
    <w:p w14:paraId="5189F6EF" w14:textId="77777777" w:rsidR="00406CD0" w:rsidRDefault="00406CD0" w:rsidP="00406CD0">
      <w:r>
        <w:t>No costs are forecast for consumers (the primary beneficiaries of this proposal) or for community organisations under this proposal.</w:t>
      </w:r>
    </w:p>
    <w:p w14:paraId="34D30046" w14:textId="3B4FB580" w:rsidR="00406CD0" w:rsidRPr="00B5264E" w:rsidRDefault="00406CD0" w:rsidP="00406CD0">
      <w:r>
        <w:t xml:space="preserve">Treasury estimates an annual regulatory burden of $93.82 million in change in costs to businesses over </w:t>
      </w:r>
      <w:r w:rsidR="00277804">
        <w:t xml:space="preserve">10 </w:t>
      </w:r>
      <w:r>
        <w:t xml:space="preserve">years. Further information is at </w:t>
      </w:r>
      <w:r w:rsidRPr="004A041F">
        <w:t>Appendix B</w:t>
      </w:r>
      <w:r w:rsidR="0061003A">
        <w:t xml:space="preserve">, </w:t>
      </w:r>
      <w:r w:rsidR="005D409D">
        <w:t xml:space="preserve">which outlines the costs </w:t>
      </w:r>
      <w:r w:rsidR="005D409D">
        <w:rPr>
          <w:szCs w:val="22"/>
        </w:rPr>
        <w:t>a</w:t>
      </w:r>
      <w:r w:rsidR="005D409D" w:rsidRPr="330AD495">
        <w:rPr>
          <w:szCs w:val="22"/>
        </w:rPr>
        <w:t xml:space="preserve">ffected businesses </w:t>
      </w:r>
      <w:r w:rsidR="0025636C">
        <w:rPr>
          <w:szCs w:val="22"/>
        </w:rPr>
        <w:t>are likely to</w:t>
      </w:r>
      <w:r w:rsidR="005D409D" w:rsidRPr="330AD495">
        <w:rPr>
          <w:szCs w:val="22"/>
        </w:rPr>
        <w:t xml:space="preserve"> incur to understand and familiarise themselves with</w:t>
      </w:r>
      <w:r w:rsidR="005D409D">
        <w:rPr>
          <w:szCs w:val="22"/>
        </w:rPr>
        <w:t xml:space="preserve"> the</w:t>
      </w:r>
      <w:r w:rsidR="005D409D" w:rsidRPr="330AD495">
        <w:rPr>
          <w:szCs w:val="22"/>
        </w:rPr>
        <w:t xml:space="preserve"> reforms</w:t>
      </w:r>
      <w:r w:rsidR="005D409D">
        <w:rPr>
          <w:szCs w:val="22"/>
        </w:rPr>
        <w:t xml:space="preserve">, and the costs some </w:t>
      </w:r>
      <w:r w:rsidR="00F26DE8">
        <w:rPr>
          <w:szCs w:val="22"/>
        </w:rPr>
        <w:t>businesses</w:t>
      </w:r>
      <w:r w:rsidR="005D409D">
        <w:rPr>
          <w:szCs w:val="22"/>
        </w:rPr>
        <w:t xml:space="preserve"> </w:t>
      </w:r>
      <w:r w:rsidR="0025636C">
        <w:rPr>
          <w:szCs w:val="22"/>
        </w:rPr>
        <w:t>are likely to</w:t>
      </w:r>
      <w:r w:rsidR="005D409D">
        <w:rPr>
          <w:szCs w:val="22"/>
        </w:rPr>
        <w:t xml:space="preserve"> incur </w:t>
      </w:r>
      <w:r w:rsidR="005D409D" w:rsidRPr="330AD495">
        <w:rPr>
          <w:szCs w:val="22"/>
        </w:rPr>
        <w:t>to adjust their business practices to comply with the reforms and/or seek legal advice.</w:t>
      </w:r>
    </w:p>
    <w:p w14:paraId="1DBE41EB" w14:textId="77777777" w:rsidR="00406CD0" w:rsidRPr="0044511C" w:rsidRDefault="00406CD0" w:rsidP="00406CD0">
      <w:pPr>
        <w:rPr>
          <w:b/>
          <w:bCs/>
        </w:rPr>
      </w:pPr>
      <w:r>
        <w:rPr>
          <w:b/>
          <w:bCs/>
        </w:rPr>
        <w:t>Table 1: Regulation Burden Estimate Option 3</w:t>
      </w:r>
    </w:p>
    <w:tbl>
      <w:tblPr>
        <w:tblStyle w:val="TableGrid"/>
        <w:tblW w:w="0" w:type="auto"/>
        <w:tblLook w:val="04A0" w:firstRow="1" w:lastRow="0" w:firstColumn="1" w:lastColumn="0" w:noHBand="0" w:noVBand="1"/>
      </w:tblPr>
      <w:tblGrid>
        <w:gridCol w:w="1811"/>
        <w:gridCol w:w="1816"/>
        <w:gridCol w:w="1816"/>
        <w:gridCol w:w="1816"/>
        <w:gridCol w:w="1811"/>
      </w:tblGrid>
      <w:tr w:rsidR="00524414" w:rsidRPr="00D54A65" w14:paraId="0710B1F8" w14:textId="77777777">
        <w:trPr>
          <w:cnfStyle w:val="100000000000" w:firstRow="1" w:lastRow="0" w:firstColumn="0" w:lastColumn="0" w:oddVBand="0" w:evenVBand="0" w:oddHBand="0" w:evenHBand="0" w:firstRowFirstColumn="0" w:firstRowLastColumn="0" w:lastRowFirstColumn="0" w:lastRowLastColumn="0"/>
          <w:trHeight w:val="300"/>
        </w:trPr>
        <w:tc>
          <w:tcPr>
            <w:tcW w:w="1811" w:type="dxa"/>
            <w:noWrap/>
            <w:hideMark/>
          </w:tcPr>
          <w:p w14:paraId="26F38899" w14:textId="77777777" w:rsidR="00406CD0" w:rsidRPr="00D54A65" w:rsidRDefault="00406CD0">
            <w:pPr>
              <w:spacing w:before="96" w:after="96"/>
              <w:rPr>
                <w:bCs/>
              </w:rPr>
            </w:pPr>
            <w:r w:rsidRPr="00D54A65">
              <w:rPr>
                <w:bCs/>
              </w:rPr>
              <w:t xml:space="preserve">Change in costs </w:t>
            </w:r>
            <w:r>
              <w:rPr>
                <w:bCs/>
              </w:rPr>
              <w:br/>
            </w:r>
            <w:r w:rsidRPr="00D54A65">
              <w:rPr>
                <w:bCs/>
              </w:rPr>
              <w:t>($ million)</w:t>
            </w:r>
          </w:p>
        </w:tc>
        <w:tc>
          <w:tcPr>
            <w:tcW w:w="1816" w:type="dxa"/>
            <w:noWrap/>
            <w:hideMark/>
          </w:tcPr>
          <w:p w14:paraId="67CC2035" w14:textId="77777777" w:rsidR="00406CD0" w:rsidRPr="00D54A65" w:rsidRDefault="00406CD0">
            <w:pPr>
              <w:spacing w:before="96" w:after="96"/>
              <w:rPr>
                <w:bCs/>
              </w:rPr>
            </w:pPr>
            <w:r w:rsidRPr="00D54A65">
              <w:rPr>
                <w:bCs/>
              </w:rPr>
              <w:t>Business</w:t>
            </w:r>
          </w:p>
        </w:tc>
        <w:tc>
          <w:tcPr>
            <w:tcW w:w="1816" w:type="dxa"/>
            <w:noWrap/>
            <w:hideMark/>
          </w:tcPr>
          <w:p w14:paraId="1CFC8E29" w14:textId="77777777" w:rsidR="00406CD0" w:rsidRPr="00D54A65" w:rsidRDefault="00406CD0">
            <w:pPr>
              <w:spacing w:before="96" w:after="96"/>
              <w:rPr>
                <w:bCs/>
              </w:rPr>
            </w:pPr>
            <w:r w:rsidRPr="00D54A65">
              <w:rPr>
                <w:bCs/>
              </w:rPr>
              <w:t>Community organisations</w:t>
            </w:r>
          </w:p>
        </w:tc>
        <w:tc>
          <w:tcPr>
            <w:tcW w:w="1816" w:type="dxa"/>
            <w:noWrap/>
            <w:hideMark/>
          </w:tcPr>
          <w:p w14:paraId="1FE68CDE" w14:textId="77777777" w:rsidR="00406CD0" w:rsidRPr="00D54A65" w:rsidRDefault="00406CD0">
            <w:pPr>
              <w:spacing w:before="96" w:after="96"/>
              <w:rPr>
                <w:bCs/>
              </w:rPr>
            </w:pPr>
            <w:r w:rsidRPr="00D54A65">
              <w:rPr>
                <w:bCs/>
              </w:rPr>
              <w:t>Individuals</w:t>
            </w:r>
          </w:p>
        </w:tc>
        <w:tc>
          <w:tcPr>
            <w:tcW w:w="1811" w:type="dxa"/>
            <w:noWrap/>
            <w:hideMark/>
          </w:tcPr>
          <w:p w14:paraId="6AB6EF8C" w14:textId="77777777" w:rsidR="00406CD0" w:rsidRPr="00D54A65" w:rsidRDefault="00406CD0">
            <w:pPr>
              <w:spacing w:before="96" w:after="96"/>
              <w:rPr>
                <w:bCs/>
              </w:rPr>
            </w:pPr>
            <w:r w:rsidRPr="00D54A65">
              <w:rPr>
                <w:bCs/>
              </w:rPr>
              <w:t>Total change in costs</w:t>
            </w:r>
          </w:p>
        </w:tc>
      </w:tr>
      <w:tr w:rsidR="00406CD0" w:rsidRPr="00D54A65" w14:paraId="06CEADE4" w14:textId="77777777">
        <w:trPr>
          <w:trHeight w:val="915"/>
        </w:trPr>
        <w:tc>
          <w:tcPr>
            <w:tcW w:w="1811" w:type="dxa"/>
            <w:noWrap/>
            <w:hideMark/>
          </w:tcPr>
          <w:p w14:paraId="26881DFC" w14:textId="77777777" w:rsidR="00406CD0" w:rsidRPr="003F450B" w:rsidRDefault="00406CD0">
            <w:pPr>
              <w:rPr>
                <w:b/>
                <w:bCs/>
              </w:rPr>
            </w:pPr>
            <w:r w:rsidRPr="003F450B">
              <w:rPr>
                <w:b/>
                <w:bCs/>
              </w:rPr>
              <w:t>Total, by sector</w:t>
            </w:r>
          </w:p>
        </w:tc>
        <w:tc>
          <w:tcPr>
            <w:tcW w:w="1816" w:type="dxa"/>
            <w:noWrap/>
            <w:hideMark/>
          </w:tcPr>
          <w:p w14:paraId="4EF30A70" w14:textId="77777777" w:rsidR="00406CD0" w:rsidRPr="003F450B" w:rsidRDefault="00406CD0">
            <w:pPr>
              <w:rPr>
                <w:b/>
                <w:bCs/>
              </w:rPr>
            </w:pPr>
            <w:r w:rsidRPr="003F450B">
              <w:rPr>
                <w:b/>
                <w:bCs/>
              </w:rPr>
              <w:t xml:space="preserve"> $ 93.82                                  </w:t>
            </w:r>
          </w:p>
        </w:tc>
        <w:tc>
          <w:tcPr>
            <w:tcW w:w="1816" w:type="dxa"/>
            <w:noWrap/>
            <w:hideMark/>
          </w:tcPr>
          <w:p w14:paraId="5CE445E0" w14:textId="0D409EF5" w:rsidR="00406CD0" w:rsidRPr="003F450B" w:rsidRDefault="00406CD0">
            <w:pPr>
              <w:rPr>
                <w:b/>
                <w:bCs/>
              </w:rPr>
            </w:pPr>
            <w:r w:rsidRPr="003F450B">
              <w:rPr>
                <w:b/>
                <w:bCs/>
              </w:rPr>
              <w:t xml:space="preserve"> $ </w:t>
            </w:r>
            <w:r w:rsidR="00944160">
              <w:rPr>
                <w:b/>
                <w:bCs/>
              </w:rPr>
              <w:t>-</w:t>
            </w:r>
            <w:r w:rsidRPr="003F450B">
              <w:rPr>
                <w:b/>
                <w:bCs/>
              </w:rPr>
              <w:t xml:space="preserve">                                     </w:t>
            </w:r>
          </w:p>
        </w:tc>
        <w:tc>
          <w:tcPr>
            <w:tcW w:w="1816" w:type="dxa"/>
            <w:noWrap/>
            <w:hideMark/>
          </w:tcPr>
          <w:p w14:paraId="3C597E63" w14:textId="3F5C4905" w:rsidR="00406CD0" w:rsidRPr="003F450B" w:rsidRDefault="00406CD0">
            <w:pPr>
              <w:rPr>
                <w:b/>
                <w:bCs/>
              </w:rPr>
            </w:pPr>
            <w:r w:rsidRPr="003F450B">
              <w:rPr>
                <w:b/>
                <w:bCs/>
              </w:rPr>
              <w:t xml:space="preserve"> $ </w:t>
            </w:r>
            <w:r w:rsidR="00944160">
              <w:rPr>
                <w:b/>
                <w:bCs/>
              </w:rPr>
              <w:t xml:space="preserve">- </w:t>
            </w:r>
            <w:r w:rsidRPr="003F450B">
              <w:rPr>
                <w:b/>
                <w:bCs/>
              </w:rPr>
              <w:t xml:space="preserve">                                          </w:t>
            </w:r>
          </w:p>
        </w:tc>
        <w:tc>
          <w:tcPr>
            <w:tcW w:w="1811" w:type="dxa"/>
            <w:noWrap/>
            <w:hideMark/>
          </w:tcPr>
          <w:p w14:paraId="505277E7" w14:textId="77777777" w:rsidR="00406CD0" w:rsidRPr="003F450B" w:rsidRDefault="00406CD0">
            <w:pPr>
              <w:rPr>
                <w:b/>
              </w:rPr>
            </w:pPr>
            <w:r w:rsidRPr="003F450B">
              <w:rPr>
                <w:b/>
                <w:bCs/>
              </w:rPr>
              <w:t xml:space="preserve"> $ 93.82                      </w:t>
            </w:r>
          </w:p>
        </w:tc>
      </w:tr>
    </w:tbl>
    <w:p w14:paraId="41F1B68E" w14:textId="77777777" w:rsidR="00406CD0" w:rsidRPr="0044511C" w:rsidRDefault="00406CD0" w:rsidP="00406CD0">
      <w:pPr>
        <w:spacing w:before="0"/>
        <w:rPr>
          <w:b/>
        </w:rPr>
      </w:pPr>
      <w:r w:rsidRPr="0044511C">
        <w:rPr>
          <w:b/>
        </w:rPr>
        <w:t>Benefits</w:t>
      </w:r>
    </w:p>
    <w:p w14:paraId="55E5CD8F" w14:textId="2B08F4A2" w:rsidR="00406CD0" w:rsidRDefault="00406CD0" w:rsidP="00406CD0">
      <w:pPr>
        <w:spacing w:before="0" w:after="200"/>
        <w:rPr>
          <w:rFonts w:ascii="Calibri" w:hAnsi="Calibri" w:cs="Arial"/>
          <w:iCs/>
          <w:color w:val="2C384A"/>
          <w:kern w:val="32"/>
          <w:sz w:val="36"/>
          <w:szCs w:val="28"/>
        </w:rPr>
      </w:pPr>
      <w:r>
        <w:t xml:space="preserve">A general prohibition is likely to enhance competition, consumer protection and consumer choice </w:t>
      </w:r>
      <w:r w:rsidR="008957C4">
        <w:t>which will</w:t>
      </w:r>
      <w:r>
        <w:t xml:space="preserve"> result in cost savings for consumers. These benefits have not been quantified as there is no reliable data available on the benefits accruing to consumers from comparable economy wide and principle</w:t>
      </w:r>
      <w:r w:rsidR="00D37CC5">
        <w:t>s</w:t>
      </w:r>
      <w:r>
        <w:t xml:space="preserve"> based general prohibitions (such as misleading or deceptive/unconscionable conduct prohibitions in the ACL or comparable provisions in other jurisdictions).</w:t>
      </w:r>
      <w:r>
        <w:rPr>
          <w:rStyle w:val="FootnoteReference"/>
        </w:rPr>
        <w:footnoteReference w:id="106"/>
      </w:r>
      <w:r>
        <w:t xml:space="preserve"> However, in order </w:t>
      </w:r>
      <w:r w:rsidR="00A61733">
        <w:t xml:space="preserve">for this </w:t>
      </w:r>
      <w:r w:rsidR="00A61733">
        <w:lastRenderedPageBreak/>
        <w:t>consumer</w:t>
      </w:r>
      <w:r>
        <w:t xml:space="preserve"> benefit </w:t>
      </w:r>
      <w:r w:rsidR="00A61733">
        <w:t>to exceed the costs to business</w:t>
      </w:r>
      <w:r>
        <w:t xml:space="preserve">, each consumer </w:t>
      </w:r>
      <w:r w:rsidR="004136A9">
        <w:t>aged 16 and over</w:t>
      </w:r>
      <w:r>
        <w:t xml:space="preserve"> in Australia</w:t>
      </w:r>
      <w:r w:rsidR="003565A9">
        <w:rPr>
          <w:rStyle w:val="FootnoteReference"/>
        </w:rPr>
        <w:footnoteReference w:id="107"/>
      </w:r>
      <w:r w:rsidR="008A1112">
        <w:t xml:space="preserve"> </w:t>
      </w:r>
      <w:r>
        <w:t xml:space="preserve">would </w:t>
      </w:r>
      <w:r w:rsidR="00B40631">
        <w:t xml:space="preserve">only </w:t>
      </w:r>
      <w:r>
        <w:t xml:space="preserve">need to benefit $42.52 (for example, in cost and time savings) over 10 years to outweigh the estimated costs of Option 3. </w:t>
      </w:r>
      <w:r w:rsidR="005E1ACB">
        <w:t xml:space="preserve">Given the prevalence of </w:t>
      </w:r>
      <w:r w:rsidR="006B049F">
        <w:t xml:space="preserve">manipulative and/or distortive conduct that will be prevented by the prohibition, </w:t>
      </w:r>
      <w:r w:rsidR="00EF5888">
        <w:t>it is expected that the benefit will exceed the costs</w:t>
      </w:r>
      <w:r w:rsidR="007F226E">
        <w:t xml:space="preserve">, </w:t>
      </w:r>
      <w:r w:rsidR="00034D28">
        <w:t>likely</w:t>
      </w:r>
      <w:r w:rsidR="007F226E">
        <w:t xml:space="preserve"> sign</w:t>
      </w:r>
      <w:r w:rsidR="00865F6B">
        <w:t>i</w:t>
      </w:r>
      <w:r w:rsidR="007F226E">
        <w:t>ficantly</w:t>
      </w:r>
      <w:r w:rsidR="00EF5888">
        <w:t>.</w:t>
      </w:r>
      <w:r>
        <w:t xml:space="preserve"> </w:t>
      </w:r>
      <w:r>
        <w:br w:type="page"/>
      </w:r>
    </w:p>
    <w:p w14:paraId="6C0BBD0A" w14:textId="77777777" w:rsidR="00406CD0" w:rsidRDefault="00406CD0" w:rsidP="00406CD0">
      <w:pPr>
        <w:pStyle w:val="Heading2"/>
      </w:pPr>
      <w:bookmarkStart w:id="49" w:name="_Toc202971525"/>
      <w:bookmarkStart w:id="50" w:name="_Toc206422528"/>
      <w:r>
        <w:lastRenderedPageBreak/>
        <w:t>Option 4 – Introduce a combination of general and specific prohibitions on unfair trading practices</w:t>
      </w:r>
      <w:bookmarkEnd w:id="49"/>
      <w:bookmarkEnd w:id="50"/>
      <w:r>
        <w:t xml:space="preserve"> </w:t>
      </w:r>
    </w:p>
    <w:p w14:paraId="19601D86" w14:textId="77777777" w:rsidR="00406CD0" w:rsidRDefault="00406CD0" w:rsidP="00406CD0">
      <w:r>
        <w:t xml:space="preserve">Option 4 combines the general prohibition outlined above for Option 3 with specific reform to the ACL targeted at particular unfair business conduct. </w:t>
      </w:r>
    </w:p>
    <w:p w14:paraId="17595EF2" w14:textId="77777777" w:rsidR="00406CD0" w:rsidRDefault="00406CD0" w:rsidP="00406CD0">
      <w:pPr>
        <w:pStyle w:val="Heading3"/>
      </w:pPr>
      <w:bookmarkStart w:id="51" w:name="_Toc202971526"/>
      <w:bookmarkStart w:id="52" w:name="_Toc206422529"/>
      <w:r>
        <w:t>Policy context</w:t>
      </w:r>
      <w:bookmarkEnd w:id="51"/>
      <w:bookmarkEnd w:id="52"/>
    </w:p>
    <w:p w14:paraId="3353E92A" w14:textId="449EEFBD" w:rsidR="00406CD0" w:rsidRPr="005636F4" w:rsidRDefault="00406CD0" w:rsidP="00406CD0">
      <w:pPr>
        <w:rPr>
          <w:rFonts w:eastAsiaTheme="minorEastAsia"/>
          <w:b/>
        </w:rPr>
      </w:pPr>
      <w:r w:rsidRPr="00EE7460">
        <w:t xml:space="preserve">While the ACL </w:t>
      </w:r>
      <w:r w:rsidR="00A23674">
        <w:t>contains</w:t>
      </w:r>
      <w:r w:rsidR="00D8680A">
        <w:t xml:space="preserve"> general</w:t>
      </w:r>
      <w:r w:rsidRPr="00EE7460">
        <w:t xml:space="preserve"> principles-based </w:t>
      </w:r>
      <w:r w:rsidR="00D8680A">
        <w:t>provisions</w:t>
      </w:r>
      <w:r w:rsidR="006926E1">
        <w:t>, such as the prohibition on misleading and deceptive conduct,</w:t>
      </w:r>
      <w:r w:rsidR="000405C8">
        <w:t xml:space="preserve"> </w:t>
      </w:r>
      <w:r w:rsidR="00B618CC">
        <w:t xml:space="preserve">which </w:t>
      </w:r>
      <w:r w:rsidRPr="00EE7460">
        <w:t xml:space="preserve">capture a wide possible range of conduct, it also has a number of </w:t>
      </w:r>
      <w:r w:rsidR="00442EEF">
        <w:t>provisions</w:t>
      </w:r>
      <w:r w:rsidRPr="00EE7460">
        <w:t xml:space="preserve"> targeting specific conduct</w:t>
      </w:r>
      <w:r w:rsidRPr="00D70B8E">
        <w:rPr>
          <w:rFonts w:eastAsiaTheme="minorEastAsia"/>
        </w:rPr>
        <w:t xml:space="preserve">. </w:t>
      </w:r>
      <w:r w:rsidR="00344D01">
        <w:rPr>
          <w:rFonts w:eastAsiaTheme="minorEastAsia"/>
        </w:rPr>
        <w:t xml:space="preserve">For example, </w:t>
      </w:r>
      <w:r w:rsidRPr="00D70B8E">
        <w:rPr>
          <w:rFonts w:eastAsiaTheme="minorEastAsia"/>
        </w:rPr>
        <w:t xml:space="preserve">Part </w:t>
      </w:r>
      <w:r w:rsidR="00F26045">
        <w:rPr>
          <w:rFonts w:eastAsiaTheme="minorEastAsia"/>
        </w:rPr>
        <w:t>3-</w:t>
      </w:r>
      <w:r w:rsidRPr="00D70B8E">
        <w:rPr>
          <w:rFonts w:eastAsiaTheme="minorEastAsia"/>
        </w:rPr>
        <w:t>1 of Chapter 3 of the ACL sets out specific protections against certain defined business practices</w:t>
      </w:r>
      <w:r w:rsidR="00344D01">
        <w:rPr>
          <w:rFonts w:eastAsiaTheme="minorEastAsia"/>
        </w:rPr>
        <w:t>,</w:t>
      </w:r>
      <w:r w:rsidR="00344D01" w:rsidRPr="00344D01">
        <w:rPr>
          <w:rFonts w:eastAsiaTheme="minorEastAsia"/>
        </w:rPr>
        <w:t xml:space="preserve"> </w:t>
      </w:r>
      <w:r w:rsidR="00A12350">
        <w:rPr>
          <w:rFonts w:eastAsiaTheme="minorEastAsia"/>
        </w:rPr>
        <w:t xml:space="preserve">including </w:t>
      </w:r>
      <w:r w:rsidR="00585841">
        <w:rPr>
          <w:rFonts w:eastAsiaTheme="minorEastAsia"/>
        </w:rPr>
        <w:t xml:space="preserve">offering </w:t>
      </w:r>
      <w:r w:rsidR="00344D01" w:rsidRPr="00D70B8E">
        <w:rPr>
          <w:rFonts w:eastAsiaTheme="minorEastAsia"/>
        </w:rPr>
        <w:t>gifts and prizes</w:t>
      </w:r>
      <w:r w:rsidR="008858ED">
        <w:rPr>
          <w:rFonts w:eastAsiaTheme="minorEastAsia"/>
        </w:rPr>
        <w:t xml:space="preserve"> with no intention to supply them</w:t>
      </w:r>
      <w:r w:rsidR="00344D01" w:rsidRPr="00D70B8E">
        <w:rPr>
          <w:rFonts w:eastAsiaTheme="minorEastAsia"/>
        </w:rPr>
        <w:t>, or not supply them as offered; bait advertising and pyramid selling schemes</w:t>
      </w:r>
      <w:r w:rsidR="007A35DF">
        <w:rPr>
          <w:rFonts w:eastAsiaTheme="minorEastAsia"/>
        </w:rPr>
        <w:t xml:space="preserve">. These provisions </w:t>
      </w:r>
      <w:r w:rsidRPr="00D70B8E">
        <w:rPr>
          <w:rFonts w:eastAsiaTheme="minorEastAsia"/>
        </w:rPr>
        <w:t>apply generally to all businesses.</w:t>
      </w:r>
    </w:p>
    <w:p w14:paraId="3524B6B1" w14:textId="245FF94E" w:rsidR="00406CD0" w:rsidRPr="00A36948" w:rsidRDefault="00406CD0" w:rsidP="00406CD0">
      <w:r>
        <w:t xml:space="preserve">As previously noted, the Supplementary Consultation sought feedback on specific problematic </w:t>
      </w:r>
      <w:r w:rsidR="00827556">
        <w:t xml:space="preserve">unfair trading practices </w:t>
      </w:r>
      <w:r>
        <w:t>which could be addressed by enacting specific prohibitions in</w:t>
      </w:r>
      <w:r w:rsidR="00765827">
        <w:t xml:space="preserve"> (</w:t>
      </w:r>
      <w:r w:rsidR="00827556">
        <w:t xml:space="preserve">or </w:t>
      </w:r>
      <w:r w:rsidR="007C2887">
        <w:t xml:space="preserve">reforming </w:t>
      </w:r>
      <w:r w:rsidR="00827556">
        <w:t>existing</w:t>
      </w:r>
      <w:r>
        <w:t xml:space="preserve"> </w:t>
      </w:r>
      <w:r w:rsidR="007C2887">
        <w:t>provisions of</w:t>
      </w:r>
      <w:r w:rsidR="00765827">
        <w:t xml:space="preserve">) </w:t>
      </w:r>
      <w:r>
        <w:t xml:space="preserve">the ACL. Following that consultation, consideration has been given to specific reforms to target </w:t>
      </w:r>
      <w:r w:rsidR="00845B44">
        <w:t>unfair sub</w:t>
      </w:r>
      <w:r w:rsidR="00D413E4">
        <w:t>scription</w:t>
      </w:r>
      <w:r w:rsidR="00D03C78">
        <w:t xml:space="preserve"> practices and </w:t>
      </w:r>
      <w:r w:rsidR="00D86EB6">
        <w:t xml:space="preserve">strengthen protections against </w:t>
      </w:r>
      <w:r>
        <w:t xml:space="preserve">drip pricing. </w:t>
      </w:r>
    </w:p>
    <w:p w14:paraId="36F08FA8" w14:textId="60CA67DD" w:rsidR="00406CD0" w:rsidRPr="00EB7516" w:rsidRDefault="00406CD0" w:rsidP="00406CD0">
      <w:pPr>
        <w:pStyle w:val="Heading3"/>
      </w:pPr>
      <w:bookmarkStart w:id="53" w:name="_Toc202971527"/>
      <w:bookmarkStart w:id="54" w:name="_Toc206422530"/>
      <w:r w:rsidRPr="00EB7516">
        <w:t>Subscriptions</w:t>
      </w:r>
      <w:bookmarkEnd w:id="53"/>
      <w:bookmarkEnd w:id="54"/>
    </w:p>
    <w:p w14:paraId="45C40436" w14:textId="77777777" w:rsidR="00406CD0" w:rsidRDefault="00406CD0" w:rsidP="00406CD0">
      <w:pPr>
        <w:pStyle w:val="Heading4"/>
        <w:spacing w:before="0"/>
      </w:pPr>
      <w:r>
        <w:t>Consultation Outcomes</w:t>
      </w:r>
    </w:p>
    <w:p w14:paraId="0BE25FD7" w14:textId="3361A764" w:rsidR="00406CD0" w:rsidRDefault="00406CD0" w:rsidP="00406CD0">
      <w:r>
        <w:t xml:space="preserve">The Supplementary Consultation consulted on </w:t>
      </w:r>
      <w:r w:rsidR="003F7B5D">
        <w:t>4</w:t>
      </w:r>
      <w:r>
        <w:t xml:space="preserve"> non-exclusive options to address unfair subscription practices:</w:t>
      </w:r>
    </w:p>
    <w:p w14:paraId="068374E1" w14:textId="77777777" w:rsidR="00406CD0" w:rsidRPr="00E22174" w:rsidRDefault="00406CD0" w:rsidP="00406CD0">
      <w:pPr>
        <w:pStyle w:val="Bullet"/>
      </w:pPr>
      <w:r w:rsidRPr="00E22174">
        <w:t xml:space="preserve">Option 1 – requiring businesses to disclose certain material information about a subscription contract prior to the consumer signing up for the subscription </w:t>
      </w:r>
    </w:p>
    <w:p w14:paraId="7C2790EF" w14:textId="77777777" w:rsidR="00406CD0" w:rsidRPr="00E22174" w:rsidRDefault="00406CD0" w:rsidP="00406CD0">
      <w:pPr>
        <w:pStyle w:val="Bullet"/>
      </w:pPr>
      <w:r w:rsidRPr="00E22174">
        <w:t>Option 2 – requiring businesses to notify customers at key points of the subscription process</w:t>
      </w:r>
    </w:p>
    <w:p w14:paraId="14F01FAE" w14:textId="77777777" w:rsidR="00406CD0" w:rsidRPr="00E22174" w:rsidRDefault="00406CD0" w:rsidP="00406CD0">
      <w:pPr>
        <w:pStyle w:val="Bullet"/>
      </w:pPr>
      <w:r w:rsidRPr="00E22174">
        <w:t>Option 3 – requiring businesses to seek express consent from consumers before the end of any free trial or promotional period to continue on to a full priced subscription</w:t>
      </w:r>
    </w:p>
    <w:p w14:paraId="5AFC1D9E" w14:textId="77777777" w:rsidR="00406CD0" w:rsidRPr="00E22174" w:rsidRDefault="00406CD0" w:rsidP="00892F40">
      <w:pPr>
        <w:pStyle w:val="Bullet"/>
      </w:pPr>
      <w:r w:rsidRPr="00E22174">
        <w:t xml:space="preserve">Option 4 – removing barriers to cancelling a subscription.  </w:t>
      </w:r>
    </w:p>
    <w:p w14:paraId="15091436" w14:textId="47AB4DD6" w:rsidR="00406CD0" w:rsidRDefault="00406CD0" w:rsidP="00406CD0">
      <w:pPr>
        <w:rPr>
          <w:b/>
        </w:rPr>
      </w:pPr>
      <w:r>
        <w:t xml:space="preserve">There was general stakeholder support for reform to the ACL to specifically address unfair subscription practices. Many stakeholders were in favour of adopting a combination of the proposed options to address issues occurring at different stages of the subscription process. </w:t>
      </w:r>
    </w:p>
    <w:p w14:paraId="18591EFB" w14:textId="3EA6B719" w:rsidR="00406CD0" w:rsidRPr="00EB7516" w:rsidRDefault="00406CD0" w:rsidP="00406CD0">
      <w:pPr>
        <w:rPr>
          <w:u w:val="single"/>
        </w:rPr>
      </w:pPr>
      <w:r w:rsidRPr="00EB7516">
        <w:rPr>
          <w:u w:val="single"/>
        </w:rPr>
        <w:t xml:space="preserve">Option 1 – pre-sale disclosure of material information </w:t>
      </w:r>
    </w:p>
    <w:p w14:paraId="2E0641FA" w14:textId="1CCDF577" w:rsidR="00406CD0" w:rsidRPr="004876FF" w:rsidRDefault="00406CD0" w:rsidP="00406CD0">
      <w:r>
        <w:t>A</w:t>
      </w:r>
      <w:r w:rsidRPr="004163C1">
        <w:t xml:space="preserve"> number of stakeholders</w:t>
      </w:r>
      <w:r>
        <w:t xml:space="preserve">, including the ACCC, </w:t>
      </w:r>
      <w:r w:rsidR="006F1282">
        <w:t>the Joint Consumer Advocates</w:t>
      </w:r>
      <w:r>
        <w:t>, DIGI and the Tech Council,</w:t>
      </w:r>
      <w:r w:rsidRPr="004163C1">
        <w:t xml:space="preserve"> were supportive of requiring businesses to disclose material information at the pre-sale stage</w:t>
      </w:r>
      <w:r>
        <w:t>.</w:t>
      </w:r>
      <w:r w:rsidRPr="00972E40">
        <w:t xml:space="preserve"> </w:t>
      </w:r>
      <w:r>
        <w:t>The BCA noted there have been many lengthy debates about the effectiveness of consumer disclosure requirements which have been subject to detailed design.</w:t>
      </w:r>
      <w:r w:rsidRPr="00C07E18">
        <w:rPr>
          <w:rStyle w:val="FootnoteReference"/>
          <w:rFonts w:eastAsiaTheme="majorEastAsia"/>
        </w:rPr>
        <w:footnoteReference w:id="108"/>
      </w:r>
      <w:r w:rsidRPr="00C07E18">
        <w:rPr>
          <w:vertAlign w:val="superscript"/>
        </w:rPr>
        <w:t xml:space="preserve"> </w:t>
      </w:r>
    </w:p>
    <w:p w14:paraId="411DCF8A" w14:textId="77777777" w:rsidR="00406CD0" w:rsidRDefault="00406CD0" w:rsidP="00406CD0">
      <w:pPr>
        <w:rPr>
          <w:b/>
        </w:rPr>
      </w:pPr>
      <w:r>
        <w:t>Stakeholders supported confining disclosure to essential facts about subscription, such as:</w:t>
      </w:r>
    </w:p>
    <w:p w14:paraId="2FAFB20F" w14:textId="77777777" w:rsidR="00406CD0" w:rsidRPr="00E22174" w:rsidRDefault="00406CD0" w:rsidP="00406CD0">
      <w:pPr>
        <w:pStyle w:val="Bullet"/>
      </w:pPr>
      <w:r w:rsidRPr="00E22174">
        <w:t xml:space="preserve">The fact that the consumer is entering, or will enter after the end of a free trial/promotional period, a subscription contract </w:t>
      </w:r>
    </w:p>
    <w:p w14:paraId="024EA386" w14:textId="77777777" w:rsidR="00406CD0" w:rsidRPr="00E22174" w:rsidRDefault="00406CD0" w:rsidP="00406CD0">
      <w:pPr>
        <w:pStyle w:val="Bullet"/>
      </w:pPr>
      <w:r w:rsidRPr="00E22174">
        <w:lastRenderedPageBreak/>
        <w:t>The price and term of the subscription</w:t>
      </w:r>
    </w:p>
    <w:p w14:paraId="1DE3F664" w14:textId="77777777" w:rsidR="00406CD0" w:rsidRPr="00E22174" w:rsidRDefault="00406CD0" w:rsidP="00406CD0">
      <w:pPr>
        <w:pStyle w:val="Bullet"/>
      </w:pPr>
      <w:r w:rsidRPr="00E22174">
        <w:t>The renewal period (including any cancellation notice requirements)</w:t>
      </w:r>
    </w:p>
    <w:p w14:paraId="4D702256" w14:textId="77777777" w:rsidR="00406CD0" w:rsidRPr="00E22174" w:rsidRDefault="00406CD0" w:rsidP="00406CD0">
      <w:pPr>
        <w:pStyle w:val="Bullet"/>
      </w:pPr>
      <w:r w:rsidRPr="00E22174">
        <w:t xml:space="preserve">Information on how to cancel the subscription. </w:t>
      </w:r>
    </w:p>
    <w:p w14:paraId="61E21D13" w14:textId="0F6B9C3D" w:rsidR="00406CD0" w:rsidRPr="00043447" w:rsidRDefault="00406CD0" w:rsidP="00406CD0">
      <w:pPr>
        <w:rPr>
          <w:rFonts w:cstheme="minorHAnsi"/>
          <w:szCs w:val="22"/>
        </w:rPr>
      </w:pPr>
      <w:r>
        <w:rPr>
          <w:rFonts w:cstheme="minorBidi"/>
        </w:rPr>
        <w:t xml:space="preserve">The </w:t>
      </w:r>
      <w:r w:rsidRPr="01B389AB">
        <w:rPr>
          <w:rFonts w:cstheme="minorBidi"/>
        </w:rPr>
        <w:t xml:space="preserve">Tech Council did not support the inclusion of prescriptive lists of specific information that must be disclosed to consumers signing up to a subscription, </w:t>
      </w:r>
      <w:r w:rsidR="00BE0BE3">
        <w:rPr>
          <w:rFonts w:cstheme="minorBidi"/>
        </w:rPr>
        <w:t>submitting that</w:t>
      </w:r>
      <w:r w:rsidR="00BE0BE3" w:rsidRPr="01B389AB">
        <w:rPr>
          <w:rFonts w:cstheme="minorBidi"/>
        </w:rPr>
        <w:t xml:space="preserve"> </w:t>
      </w:r>
      <w:r w:rsidRPr="01B389AB">
        <w:rPr>
          <w:rFonts w:cstheme="minorBidi"/>
        </w:rPr>
        <w:t xml:space="preserve">this approach can lead to large blocks of text that are less likely to be read and understood by consumers. The Tech Council also </w:t>
      </w:r>
      <w:r w:rsidR="00982418">
        <w:rPr>
          <w:rFonts w:cstheme="minorBidi"/>
        </w:rPr>
        <w:t>considered</w:t>
      </w:r>
      <w:r w:rsidRPr="01B389AB">
        <w:rPr>
          <w:rFonts w:cstheme="minorBidi"/>
        </w:rPr>
        <w:t xml:space="preserve"> a requirement for material information to be provided in a specific form would be difficult to implement across different platforms and services.</w:t>
      </w:r>
      <w:r w:rsidRPr="01B389AB">
        <w:rPr>
          <w:rStyle w:val="FootnoteReference"/>
          <w:rFonts w:eastAsiaTheme="majorEastAsia" w:cstheme="minorBidi"/>
        </w:rPr>
        <w:footnoteReference w:id="109"/>
      </w:r>
    </w:p>
    <w:p w14:paraId="3A8247F5" w14:textId="77777777" w:rsidR="00406CD0" w:rsidRDefault="00406CD0" w:rsidP="00406CD0">
      <w:r>
        <w:t>Stakeholders cautioned that</w:t>
      </w:r>
      <w:r w:rsidRPr="00B53D2B">
        <w:t xml:space="preserve"> greater disclosure of information alone will not reduce consumer harm and </w:t>
      </w:r>
      <w:r>
        <w:t>recommended this option</w:t>
      </w:r>
      <w:r w:rsidRPr="00B53D2B">
        <w:t xml:space="preserve"> be introduced alongside other options</w:t>
      </w:r>
      <w:r>
        <w:t xml:space="preserve">. </w:t>
      </w:r>
      <w:r w:rsidRPr="00C15EC7">
        <w:t xml:space="preserve">The ACCC noted that disclosure </w:t>
      </w:r>
      <w:r>
        <w:t xml:space="preserve">of this information will be </w:t>
      </w:r>
      <w:r w:rsidRPr="00C15EC7">
        <w:t>compet</w:t>
      </w:r>
      <w:r>
        <w:t>ing</w:t>
      </w:r>
      <w:r w:rsidRPr="00C15EC7">
        <w:t xml:space="preserve"> with other strategies used by businesses for customer attention</w:t>
      </w:r>
      <w:r>
        <w:t xml:space="preserve"> at the pre-sale stage</w:t>
      </w:r>
      <w:r w:rsidRPr="00C15EC7">
        <w:t xml:space="preserve">, and </w:t>
      </w:r>
      <w:r>
        <w:t xml:space="preserve">that further information </w:t>
      </w:r>
      <w:r w:rsidRPr="00C15EC7">
        <w:t>has an immaterial impact whe</w:t>
      </w:r>
      <w:r>
        <w:t>n</w:t>
      </w:r>
      <w:r w:rsidRPr="00C15EC7">
        <w:t xml:space="preserve"> customers feel they have no choice but to purchase</w:t>
      </w:r>
      <w:r>
        <w:t xml:space="preserve"> regardless.</w:t>
      </w:r>
      <w:r w:rsidRPr="00690807">
        <w:rPr>
          <w:rStyle w:val="FootnoteReference"/>
          <w:rFonts w:eastAsiaTheme="majorEastAsia"/>
        </w:rPr>
        <w:footnoteReference w:id="110"/>
      </w:r>
    </w:p>
    <w:p w14:paraId="330F449E" w14:textId="77777777" w:rsidR="00406CD0" w:rsidRPr="00614644" w:rsidRDefault="00406CD0" w:rsidP="00406CD0">
      <w:pPr>
        <w:rPr>
          <w:u w:val="single"/>
        </w:rPr>
      </w:pPr>
      <w:r w:rsidRPr="00614644">
        <w:rPr>
          <w:u w:val="single"/>
        </w:rPr>
        <w:t>Option 2 – notification requirement</w:t>
      </w:r>
    </w:p>
    <w:p w14:paraId="6BC8273B" w14:textId="696F79C2" w:rsidR="00406CD0" w:rsidRPr="00787DD9" w:rsidRDefault="00406CD0" w:rsidP="00406CD0">
      <w:pPr>
        <w:rPr>
          <w:rStyle w:val="normaltextrun"/>
        </w:rPr>
      </w:pPr>
      <w:r>
        <w:rPr>
          <w:rStyle w:val="normaltextrun"/>
          <w:rFonts w:cstheme="minorBidi"/>
        </w:rPr>
        <w:t xml:space="preserve">The </w:t>
      </w:r>
      <w:r w:rsidRPr="01B389AB">
        <w:rPr>
          <w:rStyle w:val="normaltextrun"/>
          <w:rFonts w:cstheme="minorBidi"/>
        </w:rPr>
        <w:t>ACCC considered notification requirements would assist consumers to make informed decisions about cancelling or continuing a subscription but highlighted the need for it to be implemented in conjunction with other options because often customers are time poor and could miss a notification.</w:t>
      </w:r>
      <w:r w:rsidRPr="01B389AB">
        <w:rPr>
          <w:rStyle w:val="FootnoteReference"/>
          <w:rFonts w:eastAsiaTheme="majorEastAsia" w:cstheme="minorBidi"/>
        </w:rPr>
        <w:footnoteReference w:id="111"/>
      </w:r>
      <w:r w:rsidRPr="01B389AB">
        <w:rPr>
          <w:rStyle w:val="normaltextrun"/>
          <w:rFonts w:cstheme="minorBidi"/>
          <w:vertAlign w:val="superscript"/>
        </w:rPr>
        <w:t xml:space="preserve"> </w:t>
      </w:r>
      <w:r w:rsidR="00A84613">
        <w:t>Consumer Advocates</w:t>
      </w:r>
      <w:r w:rsidRPr="01B389AB">
        <w:rPr>
          <w:rStyle w:val="normaltextrun"/>
          <w:rFonts w:cstheme="minorBidi"/>
        </w:rPr>
        <w:t xml:space="preserve"> </w:t>
      </w:r>
      <w:r w:rsidR="0056704B">
        <w:rPr>
          <w:rStyle w:val="normaltextrun"/>
          <w:rFonts w:cstheme="minorBidi"/>
        </w:rPr>
        <w:t xml:space="preserve">jointly </w:t>
      </w:r>
      <w:r w:rsidRPr="01B389AB">
        <w:rPr>
          <w:rStyle w:val="normaltextrun"/>
          <w:rFonts w:cstheme="minorBidi"/>
        </w:rPr>
        <w:t>submitted the requirement would provide clear information about when a charge is coming, allowing people to consider costs and act.</w:t>
      </w:r>
      <w:r w:rsidRPr="01B389AB">
        <w:rPr>
          <w:rStyle w:val="FootnoteReference"/>
          <w:rFonts w:eastAsiaTheme="majorEastAsia" w:cstheme="minorBidi"/>
        </w:rPr>
        <w:footnoteReference w:id="112"/>
      </w:r>
      <w:r w:rsidRPr="01B389AB">
        <w:rPr>
          <w:rStyle w:val="normaltextrun"/>
          <w:rFonts w:cstheme="minorBidi"/>
          <w:vertAlign w:val="superscript"/>
        </w:rPr>
        <w:t xml:space="preserve"> </w:t>
      </w:r>
    </w:p>
    <w:p w14:paraId="7895E75C" w14:textId="77777777" w:rsidR="00406CD0" w:rsidRDefault="00406CD0" w:rsidP="00406CD0">
      <w:pPr>
        <w:rPr>
          <w:rStyle w:val="normaltextrun"/>
          <w:rFonts w:cstheme="minorBidi"/>
          <w:b/>
          <w:bCs/>
        </w:rPr>
      </w:pPr>
      <w:r w:rsidRPr="17E174A0">
        <w:rPr>
          <w:rStyle w:val="normaltextrun"/>
          <w:rFonts w:cstheme="minorBidi"/>
        </w:rPr>
        <w:t xml:space="preserve">Some stakeholders were concerned that multiple reminders and emails on a repetitive basis may be a nuisance to consumers and may give rise to notification information fatigue. Suppliers of </w:t>
      </w:r>
      <w:r w:rsidRPr="00B92780">
        <w:t>subscriptions for physical</w:t>
      </w:r>
      <w:r>
        <w:t xml:space="preserve"> </w:t>
      </w:r>
      <w:r w:rsidRPr="00B92780">
        <w:t>goods</w:t>
      </w:r>
      <w:r w:rsidRPr="17E174A0">
        <w:rPr>
          <w:rStyle w:val="normaltextrun"/>
          <w:rFonts w:cstheme="minorBidi"/>
        </w:rPr>
        <w:t xml:space="preserve"> submitted that notification requirements may be unnecessary in certain circumstances, such as where there is a delivery of physical goods on subscription which, in and of itself, serves as a reminder to the customer.</w:t>
      </w:r>
    </w:p>
    <w:p w14:paraId="29D9A80A" w14:textId="15F85579" w:rsidR="00406CD0" w:rsidRPr="00E230CB" w:rsidRDefault="00406CD0" w:rsidP="00406CD0">
      <w:r>
        <w:rPr>
          <w:rStyle w:val="normaltextrun"/>
          <w:rFonts w:cs="Calibri"/>
        </w:rPr>
        <w:t>A</w:t>
      </w:r>
      <w:r w:rsidRPr="00B92780">
        <w:rPr>
          <w:rStyle w:val="normaltextrun"/>
          <w:rFonts w:cs="Calibri"/>
        </w:rPr>
        <w:t xml:space="preserve"> </w:t>
      </w:r>
      <w:r>
        <w:rPr>
          <w:rStyle w:val="normaltextrun"/>
          <w:rFonts w:cs="Calibri"/>
        </w:rPr>
        <w:t xml:space="preserve">couple of </w:t>
      </w:r>
      <w:r w:rsidRPr="00B92780">
        <w:rPr>
          <w:rStyle w:val="normaltextrun"/>
          <w:rFonts w:cs="Calibri"/>
        </w:rPr>
        <w:t xml:space="preserve">stakeholders who supported </w:t>
      </w:r>
      <w:r>
        <w:rPr>
          <w:rStyle w:val="normaltextrun"/>
          <w:rFonts w:cs="Calibri"/>
        </w:rPr>
        <w:t>Option 2</w:t>
      </w:r>
      <w:r w:rsidRPr="00B92780">
        <w:rPr>
          <w:rStyle w:val="normaltextrun"/>
          <w:rFonts w:cs="Calibri"/>
        </w:rPr>
        <w:t xml:space="preserve"> suggest</w:t>
      </w:r>
      <w:r>
        <w:rPr>
          <w:rStyle w:val="normaltextrun"/>
          <w:rFonts w:cs="Calibri"/>
        </w:rPr>
        <w:t xml:space="preserve">ed </w:t>
      </w:r>
      <w:r w:rsidRPr="00B92780">
        <w:rPr>
          <w:rStyle w:val="normaltextrun"/>
          <w:rFonts w:cs="Calibri"/>
        </w:rPr>
        <w:t>the types of information that should be</w:t>
      </w:r>
      <w:r>
        <w:rPr>
          <w:rStyle w:val="normaltextrun"/>
          <w:rFonts w:cs="Calibri"/>
        </w:rPr>
        <w:t xml:space="preserve"> required to be</w:t>
      </w:r>
      <w:r w:rsidRPr="00B92780">
        <w:rPr>
          <w:rStyle w:val="normaltextrun"/>
          <w:rFonts w:cs="Calibri"/>
        </w:rPr>
        <w:t xml:space="preserve"> provided in the notification, such as </w:t>
      </w:r>
      <w:r w:rsidR="00D25EBE">
        <w:rPr>
          <w:rStyle w:val="normaltextrun"/>
          <w:rFonts w:cs="Calibri"/>
        </w:rPr>
        <w:t>the</w:t>
      </w:r>
      <w:r w:rsidRPr="00B92780">
        <w:rPr>
          <w:rStyle w:val="normaltextrun"/>
          <w:rFonts w:cs="Calibri"/>
        </w:rPr>
        <w:t xml:space="preserve"> minimum subscription renewal term, the minimum total cost for renewing the subscription and information about how to cancel a subscription.</w:t>
      </w:r>
      <w:r w:rsidRPr="00B92780">
        <w:rPr>
          <w:rStyle w:val="eop"/>
          <w:rFonts w:cs="Calibri"/>
        </w:rPr>
        <w:t> </w:t>
      </w:r>
    </w:p>
    <w:p w14:paraId="1E10459A" w14:textId="77777777" w:rsidR="00406CD0" w:rsidRPr="00614644" w:rsidRDefault="00406CD0" w:rsidP="00406CD0">
      <w:pPr>
        <w:rPr>
          <w:u w:val="single"/>
        </w:rPr>
      </w:pPr>
      <w:r w:rsidRPr="00614644">
        <w:rPr>
          <w:u w:val="single"/>
        </w:rPr>
        <w:t>Option 3 – opt-in requirement</w:t>
      </w:r>
    </w:p>
    <w:p w14:paraId="714AE0BC" w14:textId="56D367DF" w:rsidR="00406CD0" w:rsidRPr="00441058" w:rsidRDefault="00406CD0" w:rsidP="00406CD0">
      <w:pPr>
        <w:rPr>
          <w:rStyle w:val="normaltextrun"/>
          <w:b/>
          <w:bCs/>
        </w:rPr>
      </w:pPr>
      <w:r w:rsidRPr="01B389AB">
        <w:rPr>
          <w:rStyle w:val="normaltextrun"/>
          <w:rFonts w:cstheme="minorBidi"/>
        </w:rPr>
        <w:t xml:space="preserve">The ACCC considered </w:t>
      </w:r>
      <w:r>
        <w:rPr>
          <w:rStyle w:val="normaltextrun"/>
          <w:rFonts w:cstheme="minorBidi"/>
        </w:rPr>
        <w:t>that</w:t>
      </w:r>
      <w:r w:rsidRPr="01B389AB">
        <w:rPr>
          <w:rStyle w:val="normaltextrun"/>
          <w:rFonts w:cstheme="minorBidi"/>
        </w:rPr>
        <w:t xml:space="preserve"> an active opt-in requirement would ensure that consumers have genuine choice as to whether they wish to enter into a paid subscription after a free trial or introductory offer.</w:t>
      </w:r>
      <w:r w:rsidRPr="01B389AB">
        <w:rPr>
          <w:rStyle w:val="FootnoteReference"/>
          <w:rFonts w:eastAsiaTheme="majorEastAsia" w:cstheme="minorBidi"/>
        </w:rPr>
        <w:footnoteReference w:id="113"/>
      </w:r>
      <w:r w:rsidR="00373A5F">
        <w:t xml:space="preserve"> </w:t>
      </w:r>
      <w:r w:rsidR="00A84613">
        <w:t>Consumer Advocates</w:t>
      </w:r>
      <w:r w:rsidRPr="01B389AB">
        <w:rPr>
          <w:rStyle w:val="normaltextrun"/>
          <w:rFonts w:cstheme="minorBidi"/>
        </w:rPr>
        <w:t xml:space="preserve"> </w:t>
      </w:r>
      <w:r w:rsidR="0056704B">
        <w:rPr>
          <w:rStyle w:val="normaltextrun"/>
          <w:rFonts w:cstheme="minorBidi"/>
        </w:rPr>
        <w:t>jointly</w:t>
      </w:r>
      <w:r w:rsidRPr="01B389AB">
        <w:rPr>
          <w:rStyle w:val="normaltextrun"/>
          <w:rFonts w:cstheme="minorBidi"/>
        </w:rPr>
        <w:t xml:space="preserve"> submitted Option 3 would address the specific harmful practice of free trials that result in surprise charges.</w:t>
      </w:r>
      <w:r w:rsidRPr="01B389AB">
        <w:rPr>
          <w:rStyle w:val="FootnoteReference"/>
          <w:rFonts w:eastAsiaTheme="majorEastAsia" w:cstheme="minorBidi"/>
        </w:rPr>
        <w:footnoteReference w:id="114"/>
      </w:r>
      <w:r w:rsidRPr="01B389AB">
        <w:rPr>
          <w:rStyle w:val="normaltextrun"/>
          <w:rFonts w:cstheme="minorBidi"/>
        </w:rPr>
        <w:t xml:space="preserve"> </w:t>
      </w:r>
    </w:p>
    <w:p w14:paraId="609C8A8D" w14:textId="77777777" w:rsidR="00406CD0" w:rsidRPr="00017B82" w:rsidRDefault="00406CD0" w:rsidP="00406CD0">
      <w:pPr>
        <w:rPr>
          <w:rStyle w:val="normaltextrun"/>
          <w:b/>
          <w:bCs/>
        </w:rPr>
      </w:pPr>
      <w:r w:rsidRPr="01B389AB">
        <w:rPr>
          <w:rStyle w:val="normaltextrun"/>
          <w:rFonts w:cstheme="minorBidi"/>
        </w:rPr>
        <w:t>A number of industry stakeholders argued against progressing Option 3, with many raising concerns about the likely regulatory impact for businesses of complying with an opt-in requirement. ACCI considered requiring the customer to re-sign for the product at the end of the trial period is an unnecessary administrative burden on both the business and customer.</w:t>
      </w:r>
      <w:r w:rsidRPr="01B389AB">
        <w:rPr>
          <w:rStyle w:val="FootnoteReference"/>
          <w:rFonts w:eastAsiaTheme="majorEastAsia" w:cstheme="minorBidi"/>
        </w:rPr>
        <w:footnoteReference w:id="115"/>
      </w:r>
      <w:r w:rsidRPr="01B389AB">
        <w:rPr>
          <w:rStyle w:val="normaltextrun"/>
          <w:rFonts w:cstheme="minorBidi"/>
        </w:rPr>
        <w:t xml:space="preserve"> </w:t>
      </w:r>
      <w:r w:rsidRPr="003E20B6">
        <w:t xml:space="preserve">The Tech Council </w:t>
      </w:r>
      <w:r>
        <w:t>submitted</w:t>
      </w:r>
      <w:r w:rsidRPr="003E20B6">
        <w:t xml:space="preserve"> </w:t>
      </w:r>
      <w:r w:rsidRPr="003E20B6">
        <w:lastRenderedPageBreak/>
        <w:t xml:space="preserve">an opt in requirement </w:t>
      </w:r>
      <w:r>
        <w:t xml:space="preserve">may </w:t>
      </w:r>
      <w:r w:rsidRPr="003E20B6">
        <w:t>encourage abuse of trial periods, with businesses potentially responding by limiting free trials.</w:t>
      </w:r>
      <w:r w:rsidRPr="01B389AB">
        <w:rPr>
          <w:rStyle w:val="FootnoteReference"/>
          <w:rFonts w:eastAsiaTheme="majorEastAsia"/>
        </w:rPr>
        <w:footnoteReference w:id="116"/>
      </w:r>
    </w:p>
    <w:p w14:paraId="707C1F9B" w14:textId="77777777" w:rsidR="00406CD0" w:rsidRPr="00D35511" w:rsidRDefault="00406CD0" w:rsidP="00406CD0">
      <w:pPr>
        <w:rPr>
          <w:u w:val="single"/>
        </w:rPr>
      </w:pPr>
      <w:r w:rsidRPr="00D35511">
        <w:rPr>
          <w:u w:val="single"/>
        </w:rPr>
        <w:t>Option 4 - remove barriers to cancelling subscriptions</w:t>
      </w:r>
    </w:p>
    <w:p w14:paraId="64D57C16" w14:textId="77777777" w:rsidR="00406CD0" w:rsidRDefault="00406CD0" w:rsidP="00406CD0">
      <w:pPr>
        <w:rPr>
          <w:rStyle w:val="normaltextrun"/>
          <w:rFonts w:cstheme="minorBidi"/>
          <w:bCs/>
        </w:rPr>
      </w:pPr>
      <w:r w:rsidRPr="17E174A0">
        <w:rPr>
          <w:rStyle w:val="normaltextrun"/>
        </w:rPr>
        <w:t>Option 4</w:t>
      </w:r>
      <w:r w:rsidRPr="17E174A0">
        <w:rPr>
          <w:rStyle w:val="normaltextrun"/>
          <w:rFonts w:cstheme="minorBidi"/>
        </w:rPr>
        <w:t xml:space="preserve"> received the most support from a broad range of stakeholders, including the ACCC, consumer advocates and </w:t>
      </w:r>
      <w:r w:rsidRPr="17E174A0">
        <w:rPr>
          <w:rStyle w:val="normaltextrun"/>
        </w:rPr>
        <w:t>some industry stakeholders</w:t>
      </w:r>
      <w:r w:rsidRPr="17E174A0">
        <w:rPr>
          <w:rStyle w:val="normaltextrun"/>
          <w:rFonts w:cstheme="minorBidi"/>
        </w:rPr>
        <w:t>. There was clear support for requiring businesses to provide customers with an easy to find, clear and accessible cancellation process and for requiring businesses to make the process for terminating a subscription as straightforward and easy as the process for subscribing. </w:t>
      </w:r>
    </w:p>
    <w:p w14:paraId="6D063EB7" w14:textId="6BF2475D" w:rsidR="00406CD0" w:rsidRPr="00721773" w:rsidRDefault="00406CD0" w:rsidP="00406CD0">
      <w:pPr>
        <w:rPr>
          <w:rStyle w:val="normaltextrun"/>
        </w:rPr>
      </w:pPr>
      <w:r w:rsidRPr="007154EB">
        <w:t>Of the options provided, the C</w:t>
      </w:r>
      <w:r>
        <w:t xml:space="preserve">ompetition </w:t>
      </w:r>
      <w:r w:rsidRPr="007154EB">
        <w:t>&amp;</w:t>
      </w:r>
      <w:r>
        <w:t xml:space="preserve"> </w:t>
      </w:r>
      <w:r w:rsidRPr="007154EB">
        <w:t>C</w:t>
      </w:r>
      <w:r>
        <w:t>onsumer</w:t>
      </w:r>
      <w:r w:rsidRPr="007154EB">
        <w:t xml:space="preserve"> Committee</w:t>
      </w:r>
      <w:r>
        <w:t xml:space="preserve"> of the Law Council</w:t>
      </w:r>
      <w:r w:rsidRPr="007154EB">
        <w:t xml:space="preserve"> consider</w:t>
      </w:r>
      <w:r>
        <w:t>ed</w:t>
      </w:r>
      <w:r w:rsidRPr="007154EB">
        <w:t xml:space="preserve"> Option 4 to be the most likely to achieve stronger consumer-focused outcomes, ensure clarity of operation of the new provision, and minimise implementation costs to businesses.</w:t>
      </w:r>
      <w:r w:rsidRPr="00CF6236">
        <w:rPr>
          <w:rStyle w:val="FootnoteReference"/>
          <w:rFonts w:eastAsiaTheme="majorEastAsia"/>
        </w:rPr>
        <w:footnoteReference w:id="117"/>
      </w:r>
      <w:r>
        <w:t xml:space="preserve"> The </w:t>
      </w:r>
      <w:r w:rsidRPr="003C17B8">
        <w:t>Business Council for Sustainable Development Australia</w:t>
      </w:r>
      <w:r>
        <w:t xml:space="preserve"> considered </w:t>
      </w:r>
      <w:r w:rsidR="00D25EBE">
        <w:t xml:space="preserve">that </w:t>
      </w:r>
      <w:r>
        <w:t>this approach addresses unfair practices that trap consumers in unwanted services, promotes transparency, and enhances trust in the marketplace.</w:t>
      </w:r>
      <w:r w:rsidRPr="00F028B7">
        <w:rPr>
          <w:rStyle w:val="FootnoteReference"/>
          <w:rFonts w:eastAsiaTheme="majorEastAsia"/>
        </w:rPr>
        <w:footnoteReference w:id="118"/>
      </w:r>
    </w:p>
    <w:p w14:paraId="23A0F3CF" w14:textId="77777777" w:rsidR="00406CD0" w:rsidRPr="00D35511" w:rsidRDefault="00406CD0" w:rsidP="00406CD0">
      <w:pPr>
        <w:rPr>
          <w:rStyle w:val="normaltextrun"/>
          <w:u w:val="single"/>
        </w:rPr>
      </w:pPr>
      <w:r w:rsidRPr="00D35511">
        <w:rPr>
          <w:rStyle w:val="normaltextrun"/>
          <w:u w:val="single"/>
        </w:rPr>
        <w:t>Scope of proposed reforms</w:t>
      </w:r>
    </w:p>
    <w:p w14:paraId="70B61374" w14:textId="0CC8816F" w:rsidR="00406CD0" w:rsidRPr="004163C1" w:rsidRDefault="00406CD0" w:rsidP="00406CD0">
      <w:r w:rsidRPr="17E174A0">
        <w:t xml:space="preserve">Some stakeholders </w:t>
      </w:r>
      <w:r>
        <w:t>expressed</w:t>
      </w:r>
      <w:r w:rsidRPr="17E174A0">
        <w:t xml:space="preserve"> concerns about the potential for a broad definition of </w:t>
      </w:r>
      <w:r w:rsidR="00C51B39">
        <w:t>‘</w:t>
      </w:r>
      <w:r w:rsidRPr="17E174A0">
        <w:t>subscription products and services</w:t>
      </w:r>
      <w:r w:rsidR="00C51B39">
        <w:t>’</w:t>
      </w:r>
      <w:r w:rsidRPr="17E174A0">
        <w:t xml:space="preserve"> to capture unintended products and services, such as retail leases/rental agreements.</w:t>
      </w:r>
    </w:p>
    <w:p w14:paraId="14153F61" w14:textId="478CB3CF" w:rsidR="00406CD0" w:rsidRPr="00EB5AFE" w:rsidRDefault="00406CD0" w:rsidP="00406CD0">
      <w:r>
        <w:t>Certain industry stakeholders</w:t>
      </w:r>
      <w:r w:rsidRPr="17E174A0">
        <w:t xml:space="preserve"> advocated for businesses already covered by relevant sector specific regulation, such as the telecommunications sector</w:t>
      </w:r>
      <w:r>
        <w:t>,</w:t>
      </w:r>
      <w:r w:rsidRPr="17E174A0">
        <w:t xml:space="preserve"> to be exempted from</w:t>
      </w:r>
      <w:r>
        <w:t xml:space="preserve"> scope of any subscription reforms</w:t>
      </w:r>
      <w:r w:rsidRPr="17E174A0">
        <w:t>, citing concerns about the potential for overlap or conflict with existing industry consumer protections.</w:t>
      </w:r>
      <w:r w:rsidR="006A0BF0">
        <w:rPr>
          <w:rStyle w:val="FootnoteReference"/>
        </w:rPr>
        <w:footnoteReference w:id="119"/>
      </w:r>
      <w:r w:rsidRPr="17E174A0">
        <w:t xml:space="preserve"> </w:t>
      </w:r>
      <w:r>
        <w:t>Other stakeholders, including the</w:t>
      </w:r>
      <w:r w:rsidRPr="17E174A0">
        <w:t xml:space="preserve"> </w:t>
      </w:r>
      <w:r>
        <w:t>TIO</w:t>
      </w:r>
      <w:r w:rsidRPr="17E174A0">
        <w:t xml:space="preserve"> and National Legal Aid</w:t>
      </w:r>
      <w:r>
        <w:t>,</w:t>
      </w:r>
      <w:r w:rsidRPr="17E174A0">
        <w:t xml:space="preserve"> supported any subscription reforms applying economy wide, arguing it is important </w:t>
      </w:r>
      <w:r w:rsidR="00BC0157">
        <w:t xml:space="preserve">that </w:t>
      </w:r>
      <w:r w:rsidRPr="17E174A0">
        <w:t xml:space="preserve">there </w:t>
      </w:r>
      <w:r w:rsidR="00BC0157">
        <w:t>are</w:t>
      </w:r>
      <w:r w:rsidRPr="17E174A0">
        <w:t xml:space="preserve"> consistent consumer protections across all industries.</w:t>
      </w:r>
      <w:r w:rsidRPr="01B389AB">
        <w:rPr>
          <w:rStyle w:val="FootnoteReference"/>
          <w:rFonts w:eastAsiaTheme="majorEastAsia" w:cstheme="minorBidi"/>
        </w:rPr>
        <w:footnoteReference w:id="120"/>
      </w:r>
      <w:r>
        <w:t xml:space="preserve"> The ACCC considered</w:t>
      </w:r>
      <w:r w:rsidRPr="17E174A0">
        <w:t xml:space="preserve"> </w:t>
      </w:r>
      <w:r>
        <w:t>e</w:t>
      </w:r>
      <w:r w:rsidRPr="00EB5AFE">
        <w:t xml:space="preserve">xemptions for certain sectors would risk creating gaps in the law and would likely create confusion for consumers and small </w:t>
      </w:r>
      <w:r w:rsidRPr="01B389AB">
        <w:rPr>
          <w:rFonts w:cstheme="minorBidi"/>
        </w:rPr>
        <w:t>business about the protections they have with any specific subscription.</w:t>
      </w:r>
      <w:r w:rsidRPr="01B389AB">
        <w:rPr>
          <w:rStyle w:val="FootnoteReference"/>
          <w:rFonts w:eastAsiaTheme="majorEastAsia" w:cstheme="minorBidi"/>
        </w:rPr>
        <w:footnoteReference w:id="121"/>
      </w:r>
    </w:p>
    <w:p w14:paraId="0E2D37FF" w14:textId="06A3EC14" w:rsidR="00406CD0" w:rsidRDefault="00406CD0" w:rsidP="00406CD0">
      <w:r>
        <w:t xml:space="preserve">There was also stakeholder support for the reforms to apply to subscription contracts where the customer is a small business, with stakeholders noting small businesses often experience the same issues as individual consumers with respect to subscriptions. </w:t>
      </w:r>
    </w:p>
    <w:p w14:paraId="77C9D73F" w14:textId="77777777" w:rsidR="00406CD0" w:rsidRDefault="00406CD0" w:rsidP="00406CD0">
      <w:pPr>
        <w:pStyle w:val="Heading4"/>
      </w:pPr>
      <w:r>
        <w:t>International subscription reform</w:t>
      </w:r>
    </w:p>
    <w:p w14:paraId="15539323" w14:textId="3ACEB2D3" w:rsidR="00406CD0" w:rsidRPr="00893BED" w:rsidRDefault="00406CD0" w:rsidP="00406CD0">
      <w:r w:rsidRPr="004310AE">
        <w:t xml:space="preserve">Other international jurisdictions have pursued specific regulation to address unfair subscription practices. </w:t>
      </w:r>
      <w:r w:rsidRPr="00893BED">
        <w:t>The</w:t>
      </w:r>
      <w:r>
        <w:t xml:space="preserve"> UK’s</w:t>
      </w:r>
      <w:r w:rsidRPr="00893BED">
        <w:t xml:space="preserve"> </w:t>
      </w:r>
      <w:r w:rsidRPr="000E1398">
        <w:rPr>
          <w:i/>
          <w:iCs/>
        </w:rPr>
        <w:t>Digital Markets</w:t>
      </w:r>
      <w:r w:rsidR="007E6F34">
        <w:rPr>
          <w:i/>
          <w:iCs/>
        </w:rPr>
        <w:t>, Competition and Consumers</w:t>
      </w:r>
      <w:r w:rsidRPr="000E1398">
        <w:rPr>
          <w:i/>
          <w:iCs/>
        </w:rPr>
        <w:t xml:space="preserve"> Act</w:t>
      </w:r>
      <w:r w:rsidRPr="00893BED">
        <w:t xml:space="preserve"> </w:t>
      </w:r>
      <w:r w:rsidRPr="0023350E">
        <w:rPr>
          <w:i/>
        </w:rPr>
        <w:t>2024</w:t>
      </w:r>
      <w:r>
        <w:t xml:space="preserve"> </w:t>
      </w:r>
      <w:r w:rsidRPr="00893BED">
        <w:t>places obligations on businesses to provide clear pre-contractual information to consumers before entering subscription contracts; send reminder notices at key points throughout their contract and provide consumers with easy exit options and access to cooling-off periods.</w:t>
      </w:r>
      <w:r>
        <w:t xml:space="preserve"> </w:t>
      </w:r>
      <w:r w:rsidRPr="00893BED">
        <w:t xml:space="preserve">The </w:t>
      </w:r>
      <w:r>
        <w:t>g</w:t>
      </w:r>
      <w:r w:rsidRPr="00893BED">
        <w:t>overnment consult</w:t>
      </w:r>
      <w:r>
        <w:t>ed</w:t>
      </w:r>
      <w:r w:rsidRPr="00893BED">
        <w:t xml:space="preserve"> on its implementation in February 2025</w:t>
      </w:r>
      <w:r>
        <w:t>, but the</w:t>
      </w:r>
      <w:r w:rsidRPr="00893BED">
        <w:t xml:space="preserve"> provisions relating to the subscription regime are not yet in force.</w:t>
      </w:r>
    </w:p>
    <w:p w14:paraId="424053F2" w14:textId="3EECDEEF" w:rsidR="00406CD0" w:rsidRDefault="00406CD0" w:rsidP="00406CD0">
      <w:r w:rsidRPr="00893BED">
        <w:t xml:space="preserve">In October 2024, the U.S Federal Trade Commission (FTC) adopted a final ‘click-to-cancel’ rule requiring businesses to make cancelling a subscription as easy as signing up. The FTC </w:t>
      </w:r>
      <w:r w:rsidR="00E56A66">
        <w:t>rule</w:t>
      </w:r>
      <w:r w:rsidRPr="00893BED">
        <w:t xml:space="preserve"> also require</w:t>
      </w:r>
      <w:r w:rsidR="004E4CB5">
        <w:t>d</w:t>
      </w:r>
      <w:r w:rsidRPr="00893BED">
        <w:t xml:space="preserve"> </w:t>
      </w:r>
      <w:r w:rsidRPr="00893BED">
        <w:lastRenderedPageBreak/>
        <w:t xml:space="preserve">businesses to provide important information about the terms of their subscription and obtain consumers’ express informed consent before charging them. </w:t>
      </w:r>
      <w:r w:rsidR="00CD7CA3">
        <w:t xml:space="preserve">Businesses </w:t>
      </w:r>
      <w:r w:rsidR="00107350">
        <w:t>ha</w:t>
      </w:r>
      <w:r w:rsidR="000A0EC5">
        <w:t>d</w:t>
      </w:r>
      <w:r w:rsidR="00107350">
        <w:t xml:space="preserve"> until 14 July 2025 to comply </w:t>
      </w:r>
      <w:r w:rsidR="00CD7CA3">
        <w:t>with t</w:t>
      </w:r>
      <w:r w:rsidR="00C93E14">
        <w:t>he rule</w:t>
      </w:r>
      <w:r w:rsidR="00A94C24">
        <w:t>’s requirements</w:t>
      </w:r>
      <w:r w:rsidR="000B4118">
        <w:t xml:space="preserve">, however </w:t>
      </w:r>
      <w:r w:rsidR="000C5187">
        <w:t>prior to that date</w:t>
      </w:r>
      <w:r w:rsidR="008E0A1C">
        <w:t xml:space="preserve"> </w:t>
      </w:r>
      <w:r w:rsidR="00392E4A">
        <w:t>the rule</w:t>
      </w:r>
      <w:r w:rsidR="00C93E14">
        <w:t xml:space="preserve"> was vacated by a</w:t>
      </w:r>
      <w:r w:rsidR="0014104C">
        <w:t xml:space="preserve"> </w:t>
      </w:r>
      <w:r w:rsidR="006F3DCB">
        <w:t>federal appeals</w:t>
      </w:r>
      <w:r w:rsidR="0014104C">
        <w:t xml:space="preserve"> court </w:t>
      </w:r>
      <w:r w:rsidR="00C42E92">
        <w:t>on</w:t>
      </w:r>
      <w:r w:rsidR="0014104C">
        <w:t xml:space="preserve"> procedural </w:t>
      </w:r>
      <w:r w:rsidR="00C42E92">
        <w:t>grounds</w:t>
      </w:r>
      <w:r w:rsidR="0014104C">
        <w:t>.</w:t>
      </w:r>
      <w:r w:rsidR="00C56E36">
        <w:rPr>
          <w:rStyle w:val="FootnoteReference"/>
        </w:rPr>
        <w:footnoteReference w:id="122"/>
      </w:r>
      <w:r w:rsidRPr="00893BED">
        <w:t xml:space="preserve"> </w:t>
      </w:r>
      <w:r w:rsidR="0023635E">
        <w:t>Many US states</w:t>
      </w:r>
      <w:r w:rsidRPr="00893BED">
        <w:t xml:space="preserve"> have their own automatic renewal laws</w:t>
      </w:r>
      <w:r w:rsidR="00D84F83">
        <w:t>.</w:t>
      </w:r>
      <w:r w:rsidRPr="00893BED">
        <w:t xml:space="preserve"> </w:t>
      </w:r>
    </w:p>
    <w:p w14:paraId="38E14787" w14:textId="1A0FC94F" w:rsidR="00406CD0" w:rsidRDefault="00406CD0" w:rsidP="00406CD0">
      <w:r w:rsidRPr="00BC4230">
        <w:t xml:space="preserve">Germany’s </w:t>
      </w:r>
      <w:r w:rsidRPr="00AA2332">
        <w:rPr>
          <w:i/>
          <w:iCs/>
        </w:rPr>
        <w:t>Fair Consumer Contracts Act 2022</w:t>
      </w:r>
      <w:r w:rsidRPr="00BC4230">
        <w:t xml:space="preserve"> mandates </w:t>
      </w:r>
      <w:r>
        <w:t xml:space="preserve">that businesses enable consumers to terminate their subscription within </w:t>
      </w:r>
      <w:r w:rsidR="00E70E9C">
        <w:t>‘</w:t>
      </w:r>
      <w:r>
        <w:t>2 clicks</w:t>
      </w:r>
      <w:r w:rsidR="00E70E9C">
        <w:t>’</w:t>
      </w:r>
      <w:r>
        <w:t xml:space="preserve">. </w:t>
      </w:r>
    </w:p>
    <w:p w14:paraId="3581CD00" w14:textId="6F99F963" w:rsidR="00406CD0" w:rsidRPr="00392520" w:rsidRDefault="00406CD0" w:rsidP="00406CD0">
      <w:pPr>
        <w:pStyle w:val="Heading3"/>
      </w:pPr>
      <w:bookmarkStart w:id="55" w:name="_Toc202971528"/>
      <w:bookmarkStart w:id="56" w:name="_Toc206422531"/>
      <w:r>
        <w:t>Subscription policy proposal</w:t>
      </w:r>
      <w:bookmarkEnd w:id="55"/>
      <w:bookmarkEnd w:id="56"/>
    </w:p>
    <w:p w14:paraId="4FA2535D" w14:textId="61EB4409" w:rsidR="00406CD0" w:rsidRPr="003B1AC0" w:rsidRDefault="00406CD0" w:rsidP="00406CD0">
      <w:r>
        <w:t>The subscription policy proposal is specific reform to the ACL to introduce positive obligations on businesses to address the detriment caused by unfair subscription practices. It is proposed this reform adopt a combination of subscription</w:t>
      </w:r>
      <w:r w:rsidRPr="007752DE">
        <w:t xml:space="preserve"> Options 1, 2 and 4</w:t>
      </w:r>
      <w:r>
        <w:t xml:space="preserve"> set out above</w:t>
      </w:r>
      <w:r w:rsidR="004F3F69">
        <w:t xml:space="preserve">, with the </w:t>
      </w:r>
      <w:r w:rsidR="00E42572">
        <w:t xml:space="preserve">approach and </w:t>
      </w:r>
      <w:r w:rsidR="00787B07">
        <w:t>formulation</w:t>
      </w:r>
      <w:r w:rsidR="00000E87">
        <w:t xml:space="preserve"> </w:t>
      </w:r>
      <w:r w:rsidR="00DA7FC1">
        <w:t>of each option to be finalised</w:t>
      </w:r>
      <w:r w:rsidR="007C1777">
        <w:t xml:space="preserve"> in the legislative drafting process</w:t>
      </w:r>
      <w:r w:rsidRPr="007752DE">
        <w:t>.</w:t>
      </w:r>
      <w:r w:rsidRPr="01B389AB">
        <w:rPr>
          <w:rFonts w:cstheme="minorBidi"/>
        </w:rPr>
        <w:t xml:space="preserve"> This approach broadly aligns with the approaches taken to subscription reform in the United Kingdom and the United States</w:t>
      </w:r>
      <w:r w:rsidR="00914849">
        <w:rPr>
          <w:rFonts w:cstheme="minorBidi"/>
        </w:rPr>
        <w:t>.</w:t>
      </w:r>
      <w:r>
        <w:rPr>
          <w:rFonts w:cstheme="minorBidi"/>
        </w:rPr>
        <w:t xml:space="preserve"> </w:t>
      </w:r>
      <w:r w:rsidR="00914849">
        <w:rPr>
          <w:rFonts w:cstheme="minorBidi"/>
        </w:rPr>
        <w:t>B</w:t>
      </w:r>
      <w:r>
        <w:rPr>
          <w:rFonts w:cstheme="minorBidi"/>
        </w:rPr>
        <w:t xml:space="preserve">oth jurisdictions developed their reforms in response to stakeholder feedback and industry research. </w:t>
      </w:r>
      <w:r w:rsidRPr="003B1AC0">
        <w:t xml:space="preserve"> </w:t>
      </w:r>
    </w:p>
    <w:p w14:paraId="2164F2E0" w14:textId="77777777" w:rsidR="00406CD0" w:rsidRDefault="00406CD0" w:rsidP="00406CD0">
      <w:pPr>
        <w:rPr>
          <w:szCs w:val="22"/>
        </w:rPr>
      </w:pPr>
      <w:r>
        <w:rPr>
          <w:rFonts w:cstheme="minorHAnsi"/>
          <w:bCs/>
          <w:szCs w:val="22"/>
        </w:rPr>
        <w:t>This proposal would</w:t>
      </w:r>
      <w:r w:rsidRPr="00260E2F">
        <w:rPr>
          <w:rFonts w:cstheme="minorHAnsi"/>
          <w:bCs/>
          <w:szCs w:val="22"/>
        </w:rPr>
        <w:t xml:space="preserve"> requir</w:t>
      </w:r>
      <w:r>
        <w:rPr>
          <w:rFonts w:cstheme="minorHAnsi"/>
          <w:bCs/>
          <w:szCs w:val="22"/>
        </w:rPr>
        <w:t>e</w:t>
      </w:r>
      <w:r w:rsidRPr="00260E2F">
        <w:rPr>
          <w:rFonts w:cstheme="minorHAnsi"/>
          <w:bCs/>
          <w:szCs w:val="22"/>
        </w:rPr>
        <w:t xml:space="preserve"> businesses to disclose material information clearly and prominently prior to the customer signing up for a subscription contract</w:t>
      </w:r>
      <w:r>
        <w:rPr>
          <w:rFonts w:cstheme="minorHAnsi"/>
          <w:bCs/>
          <w:szCs w:val="22"/>
        </w:rPr>
        <w:t xml:space="preserve"> (Option 1)</w:t>
      </w:r>
      <w:r w:rsidRPr="00260E2F">
        <w:rPr>
          <w:rFonts w:cstheme="minorHAnsi"/>
          <w:bCs/>
          <w:szCs w:val="22"/>
        </w:rPr>
        <w:t>.</w:t>
      </w:r>
      <w:r w:rsidRPr="007A1C23">
        <w:rPr>
          <w:rFonts w:cstheme="minorHAnsi"/>
          <w:b/>
          <w:szCs w:val="22"/>
        </w:rPr>
        <w:t xml:space="preserve"> </w:t>
      </w:r>
      <w:r>
        <w:rPr>
          <w:rFonts w:cstheme="minorHAnsi"/>
          <w:szCs w:val="22"/>
        </w:rPr>
        <w:t xml:space="preserve">Material information will include pricing information, the renewal period (including any cancellation notice requirements) and details on how to cancel. This approach will ensure consumers are provided with the material information needed to make informed decisions about a subscription and are aware that they are signing up for an ongoing subscription contract before they enter into one. </w:t>
      </w:r>
      <w:r>
        <w:rPr>
          <w:szCs w:val="22"/>
        </w:rPr>
        <w:t xml:space="preserve"> </w:t>
      </w:r>
    </w:p>
    <w:p w14:paraId="38C637EB" w14:textId="77777777" w:rsidR="00406CD0" w:rsidRPr="00626768" w:rsidRDefault="00406CD0" w:rsidP="00406CD0">
      <w:pPr>
        <w:rPr>
          <w:rStyle w:val="normaltextrun"/>
          <w:bCs/>
          <w:szCs w:val="22"/>
        </w:rPr>
      </w:pPr>
      <w:r>
        <w:rPr>
          <w:rStyle w:val="normaltextrun"/>
          <w:bCs/>
          <w:szCs w:val="22"/>
        </w:rPr>
        <w:t>This proposal also would</w:t>
      </w:r>
      <w:r w:rsidRPr="00626768">
        <w:rPr>
          <w:rStyle w:val="normaltextrun"/>
          <w:bCs/>
          <w:szCs w:val="22"/>
        </w:rPr>
        <w:t xml:space="preserve"> requir</w:t>
      </w:r>
      <w:r>
        <w:rPr>
          <w:rStyle w:val="normaltextrun"/>
          <w:bCs/>
          <w:szCs w:val="22"/>
        </w:rPr>
        <w:t>e</w:t>
      </w:r>
      <w:r w:rsidRPr="00626768">
        <w:rPr>
          <w:rStyle w:val="normaltextrun"/>
          <w:bCs/>
          <w:szCs w:val="22"/>
        </w:rPr>
        <w:t xml:space="preserve"> businesses to notify customers</w:t>
      </w:r>
      <w:r>
        <w:rPr>
          <w:rStyle w:val="normaltextrun"/>
          <w:bCs/>
          <w:szCs w:val="22"/>
        </w:rPr>
        <w:t xml:space="preserve"> </w:t>
      </w:r>
      <w:r w:rsidRPr="00626768">
        <w:rPr>
          <w:rStyle w:val="normaltextrun"/>
          <w:bCs/>
          <w:szCs w:val="22"/>
        </w:rPr>
        <w:t>(Option 2)</w:t>
      </w:r>
      <w:r>
        <w:rPr>
          <w:rStyle w:val="normaltextrun"/>
          <w:bCs/>
          <w:szCs w:val="22"/>
        </w:rPr>
        <w:t>:</w:t>
      </w:r>
    </w:p>
    <w:p w14:paraId="275C0338" w14:textId="77777777" w:rsidR="00406CD0" w:rsidRPr="003C4B67" w:rsidRDefault="00406CD0" w:rsidP="00752E72">
      <w:pPr>
        <w:pStyle w:val="Bullet"/>
        <w:spacing w:line="240" w:lineRule="auto"/>
        <w:ind w:left="522" w:hanging="522"/>
        <w:rPr>
          <w:rStyle w:val="CommentSubjectChar"/>
          <w:b w:val="0"/>
          <w:bCs w:val="0"/>
          <w:sz w:val="22"/>
          <w:szCs w:val="22"/>
        </w:rPr>
      </w:pPr>
      <w:r w:rsidRPr="003C4B67">
        <w:rPr>
          <w:rStyle w:val="CommentSubjectChar"/>
          <w:b w:val="0"/>
          <w:bCs w:val="0"/>
          <w:sz w:val="22"/>
          <w:szCs w:val="22"/>
        </w:rPr>
        <w:t>Before the end of a long-term contract if the contract will automatically renew unless cancelled and before</w:t>
      </w:r>
      <w:r w:rsidRPr="003C4B67">
        <w:t xml:space="preserve"> the end of a free trial or promotional period if</w:t>
      </w:r>
      <w:r w:rsidRPr="003C4B67">
        <w:rPr>
          <w:rStyle w:val="CommentSubjectChar"/>
          <w:b w:val="0"/>
          <w:bCs w:val="0"/>
          <w:sz w:val="22"/>
          <w:szCs w:val="22"/>
        </w:rPr>
        <w:t xml:space="preserve"> the consumer will become subject to an ongoing subscription unless cancelled.</w:t>
      </w:r>
    </w:p>
    <w:p w14:paraId="0FF454D0" w14:textId="77777777" w:rsidR="00406CD0" w:rsidRPr="003C4B67" w:rsidRDefault="00406CD0" w:rsidP="00752E72">
      <w:pPr>
        <w:pStyle w:val="Bullet"/>
        <w:spacing w:line="240" w:lineRule="auto"/>
        <w:ind w:left="522" w:hanging="522"/>
      </w:pPr>
      <w:r w:rsidRPr="003C4B67">
        <w:rPr>
          <w:rStyle w:val="CommentSubjectChar"/>
          <w:b w:val="0"/>
          <w:bCs w:val="0"/>
          <w:sz w:val="22"/>
          <w:szCs w:val="22"/>
        </w:rPr>
        <w:t xml:space="preserve">The notification will remind consumers that they are in a subscription contract, alert them that they are about to become liable for a payment and provide a cancellation mechanism. </w:t>
      </w:r>
      <w:r w:rsidRPr="003C4B67">
        <w:t>Businesses will be required to provide these notifications a reasonable period ahead of each renewal/end of a trial/promotional period, to ensure consumers are given adequate time to complete a cancellation before they are charged.</w:t>
      </w:r>
    </w:p>
    <w:p w14:paraId="2B665E65" w14:textId="0E1E9E09" w:rsidR="00406CD0" w:rsidRPr="003C4B67" w:rsidRDefault="00406CD0" w:rsidP="00752E72">
      <w:pPr>
        <w:pStyle w:val="Bullet"/>
        <w:spacing w:line="240" w:lineRule="auto"/>
        <w:ind w:left="522" w:hanging="522"/>
      </w:pPr>
      <w:r w:rsidRPr="003C4B67">
        <w:rPr>
          <w:rStyle w:val="CommentSubjectChar"/>
          <w:b w:val="0"/>
          <w:bCs w:val="0"/>
          <w:sz w:val="22"/>
          <w:szCs w:val="22"/>
        </w:rPr>
        <w:t xml:space="preserve">For rolling monthly contracts, every </w:t>
      </w:r>
      <w:r w:rsidR="004009E8">
        <w:rPr>
          <w:rStyle w:val="CommentSubjectChar"/>
          <w:b w:val="0"/>
          <w:bCs w:val="0"/>
          <w:sz w:val="22"/>
          <w:szCs w:val="22"/>
        </w:rPr>
        <w:t>6</w:t>
      </w:r>
      <w:r w:rsidRPr="003C4B67">
        <w:rPr>
          <w:rStyle w:val="CommentSubjectChar"/>
          <w:b w:val="0"/>
          <w:bCs w:val="0"/>
          <w:sz w:val="22"/>
          <w:szCs w:val="22"/>
        </w:rPr>
        <w:t xml:space="preserve"> months. </w:t>
      </w:r>
      <w:r w:rsidRPr="003C4B67">
        <w:rPr>
          <w:rStyle w:val="normaltextrun"/>
        </w:rPr>
        <w:t>To</w:t>
      </w:r>
      <w:r w:rsidRPr="003C4B67">
        <w:t xml:space="preserve"> address stakeholders concerns regarding notifications becoming a nuisance to the consumer or resulting in notification fatigue, it is not proposed that businesses be required to notify consumers ahead of every payment (i.e. each month). Instead, the proposal requires notifications at the frequency outlined above which ensures consumers are receiving useful information about their subscription, without being bombarded or overwhelmed by notifications.</w:t>
      </w:r>
    </w:p>
    <w:p w14:paraId="11401053" w14:textId="22622D5F" w:rsidR="00406CD0" w:rsidRDefault="00406CD0" w:rsidP="00406CD0">
      <w:pPr>
        <w:rPr>
          <w:rFonts w:cstheme="minorBidi"/>
        </w:rPr>
      </w:pPr>
      <w:r>
        <w:rPr>
          <w:rFonts w:cstheme="minorBidi"/>
        </w:rPr>
        <w:t>This proposal does not include an opt-in requirement (Option 3).</w:t>
      </w:r>
      <w:r w:rsidRPr="17E174A0">
        <w:rPr>
          <w:rFonts w:cstheme="minorBidi"/>
          <w:b/>
        </w:rPr>
        <w:t xml:space="preserve"> </w:t>
      </w:r>
      <w:r w:rsidRPr="009A6128">
        <w:rPr>
          <w:rFonts w:cstheme="minorBidi"/>
          <w:bCs/>
        </w:rPr>
        <w:t>While</w:t>
      </w:r>
      <w:r>
        <w:rPr>
          <w:rFonts w:cstheme="minorBidi"/>
          <w:bCs/>
        </w:rPr>
        <w:t xml:space="preserve"> an </w:t>
      </w:r>
      <w:r>
        <w:rPr>
          <w:rStyle w:val="normaltextrun"/>
          <w:rFonts w:cstheme="minorHAnsi"/>
          <w:szCs w:val="22"/>
        </w:rPr>
        <w:t xml:space="preserve">active </w:t>
      </w:r>
      <w:r w:rsidRPr="00B52B53">
        <w:rPr>
          <w:rStyle w:val="normaltextrun"/>
          <w:rFonts w:cstheme="minorHAnsi"/>
          <w:szCs w:val="22"/>
        </w:rPr>
        <w:t>opt-in requirement</w:t>
      </w:r>
      <w:r w:rsidRPr="004163C1">
        <w:rPr>
          <w:rStyle w:val="normaltextrun"/>
          <w:rFonts w:cstheme="minorHAnsi"/>
          <w:szCs w:val="22"/>
        </w:rPr>
        <w:t xml:space="preserve"> </w:t>
      </w:r>
      <w:r>
        <w:rPr>
          <w:rStyle w:val="normaltextrun"/>
          <w:rFonts w:cstheme="minorHAnsi"/>
          <w:szCs w:val="22"/>
        </w:rPr>
        <w:t xml:space="preserve">could reduce instances of consumers being rolled on to an ongoing subscription at the end of a free trial without their awareness, </w:t>
      </w:r>
      <w:r>
        <w:rPr>
          <w:rFonts w:cstheme="minorBidi"/>
          <w:bCs/>
        </w:rPr>
        <w:t xml:space="preserve">consultation feedback was this option could result in a high regulatory burden on </w:t>
      </w:r>
      <w:proofErr w:type="gramStart"/>
      <w:r>
        <w:rPr>
          <w:rFonts w:cstheme="minorBidi"/>
          <w:bCs/>
        </w:rPr>
        <w:t>businesses, and</w:t>
      </w:r>
      <w:proofErr w:type="gramEnd"/>
      <w:r>
        <w:rPr>
          <w:rFonts w:cstheme="minorBidi"/>
          <w:bCs/>
        </w:rPr>
        <w:t xml:space="preserve"> could consequently lead to businesses deciding to stop offering free trials. </w:t>
      </w:r>
      <w:r>
        <w:rPr>
          <w:rFonts w:cstheme="minorBidi"/>
        </w:rPr>
        <w:t>The subscription policy proposal,</w:t>
      </w:r>
      <w:r w:rsidRPr="0050091C">
        <w:rPr>
          <w:rFonts w:cstheme="minorBidi"/>
        </w:rPr>
        <w:t xml:space="preserve"> </w:t>
      </w:r>
      <w:r>
        <w:rPr>
          <w:rFonts w:cstheme="minorBidi"/>
        </w:rPr>
        <w:t xml:space="preserve">specifically the requirement for notifications </w:t>
      </w:r>
      <w:r w:rsidR="005254D8">
        <w:rPr>
          <w:rFonts w:cstheme="minorBidi"/>
        </w:rPr>
        <w:t xml:space="preserve">before </w:t>
      </w:r>
      <w:r>
        <w:rPr>
          <w:rFonts w:cstheme="minorBidi"/>
        </w:rPr>
        <w:t>the end of a free trial or promotional period,</w:t>
      </w:r>
      <w:r w:rsidRPr="17E174A0">
        <w:rPr>
          <w:rFonts w:cstheme="minorBidi"/>
        </w:rPr>
        <w:t xml:space="preserve"> </w:t>
      </w:r>
      <w:r>
        <w:rPr>
          <w:rFonts w:cstheme="minorBidi"/>
        </w:rPr>
        <w:t xml:space="preserve">will </w:t>
      </w:r>
      <w:r w:rsidRPr="17E174A0">
        <w:rPr>
          <w:rFonts w:cstheme="minorBidi"/>
        </w:rPr>
        <w:t xml:space="preserve">sufficiently address </w:t>
      </w:r>
      <w:r>
        <w:rPr>
          <w:rFonts w:cstheme="minorBidi"/>
        </w:rPr>
        <w:t xml:space="preserve">consumer detriment arising from unwanted </w:t>
      </w:r>
      <w:r>
        <w:rPr>
          <w:rFonts w:cstheme="minorBidi"/>
        </w:rPr>
        <w:lastRenderedPageBreak/>
        <w:t>subscriptions rolling over to an ongoing</w:t>
      </w:r>
      <w:r w:rsidR="00CF0777">
        <w:rPr>
          <w:rFonts w:cstheme="minorBidi"/>
        </w:rPr>
        <w:t xml:space="preserve"> </w:t>
      </w:r>
      <w:r>
        <w:rPr>
          <w:rFonts w:cstheme="minorBidi"/>
        </w:rPr>
        <w:t xml:space="preserve">subscription after a free trial, </w:t>
      </w:r>
      <w:r w:rsidRPr="17E174A0">
        <w:rPr>
          <w:rFonts w:cstheme="minorBidi"/>
        </w:rPr>
        <w:t>without the need for a specific opt-in requirement.</w:t>
      </w:r>
    </w:p>
    <w:p w14:paraId="61BF0C81" w14:textId="77777777" w:rsidR="00406CD0" w:rsidRDefault="00406CD0" w:rsidP="00406CD0">
      <w:pPr>
        <w:rPr>
          <w:rFonts w:cstheme="minorBidi"/>
        </w:rPr>
      </w:pPr>
      <w:r>
        <w:rPr>
          <w:rFonts w:cstheme="minorBidi"/>
        </w:rPr>
        <w:t>This proposal will also require businesses to ensure (Option 4):</w:t>
      </w:r>
    </w:p>
    <w:p w14:paraId="794F8E39" w14:textId="77777777" w:rsidR="00406CD0" w:rsidRPr="008A08C4" w:rsidRDefault="00406CD0" w:rsidP="008A38E0">
      <w:pPr>
        <w:pStyle w:val="Bullet"/>
        <w:spacing w:line="240" w:lineRule="auto"/>
        <w:ind w:left="522" w:hanging="522"/>
      </w:pPr>
      <w:r w:rsidRPr="008A08C4">
        <w:t>there is a straightforward method by which a consumer can exit their subscription contract</w:t>
      </w:r>
    </w:p>
    <w:p w14:paraId="7C1006FB" w14:textId="77777777" w:rsidR="00406CD0" w:rsidRPr="008A08C4" w:rsidRDefault="00406CD0" w:rsidP="008A38E0">
      <w:pPr>
        <w:pStyle w:val="Bullet"/>
        <w:spacing w:line="240" w:lineRule="auto"/>
        <w:ind w:left="522" w:hanging="522"/>
      </w:pPr>
      <w:r w:rsidRPr="008A08C4">
        <w:t>that customers must not have to take steps that are not reasonably necessary to exit their contract</w:t>
      </w:r>
    </w:p>
    <w:p w14:paraId="0DE8C924" w14:textId="02613DAB" w:rsidR="00406CD0" w:rsidRPr="008A08C4" w:rsidRDefault="00406CD0" w:rsidP="008A38E0">
      <w:pPr>
        <w:pStyle w:val="Bullet"/>
        <w:spacing w:line="240" w:lineRule="auto"/>
        <w:ind w:left="522" w:hanging="522"/>
      </w:pPr>
      <w:r w:rsidRPr="008A08C4">
        <w:t xml:space="preserve">that consumers who enter their subscription contracts online are able to exit online. </w:t>
      </w:r>
    </w:p>
    <w:p w14:paraId="36792A98" w14:textId="77777777" w:rsidR="00406CD0" w:rsidRPr="00A35F4D" w:rsidRDefault="00406CD0" w:rsidP="00406CD0">
      <w:r>
        <w:t xml:space="preserve">A principles-based approach to subscription Option 4, which aligns with key elements of the UK’s approach to addressing subscription traps, is the best mechanism to address the range of issues faced by consumers cancelling subscriptions. What are ‘reasonably necessary’ steps will depend on the nature of the subscription product/service and the relevant industry. This approach seeks to address concerns raised during consultation about inadvertent cancellation resulting in consumer detriment (for example, being cut off from important services or lapses in policy coverage). It is expected that certain sectors will still require multi step cancellation processes and/or the provision of particular information to sufficiently protect the interests of their customers and for this reason, a ‘one click’ cancellation approach is not proposed.  </w:t>
      </w:r>
    </w:p>
    <w:p w14:paraId="6163CBC1" w14:textId="77777777" w:rsidR="00406CD0" w:rsidRPr="00CC1719" w:rsidRDefault="00406CD0" w:rsidP="00406CD0">
      <w:pPr>
        <w:pStyle w:val="Heading4"/>
      </w:pPr>
      <w:r w:rsidRPr="00CC1719">
        <w:t>Scope</w:t>
      </w:r>
    </w:p>
    <w:p w14:paraId="4C8C9057" w14:textId="5DE44772" w:rsidR="00406CD0" w:rsidRPr="00684795" w:rsidRDefault="00406CD0" w:rsidP="00406CD0">
      <w:pPr>
        <w:rPr>
          <w:rFonts w:cstheme="minorBidi"/>
        </w:rPr>
      </w:pPr>
      <w:r w:rsidRPr="5E979900">
        <w:rPr>
          <w:rFonts w:cstheme="minorBidi"/>
        </w:rPr>
        <w:t>This proposal is intended to apply economy</w:t>
      </w:r>
      <w:r>
        <w:rPr>
          <w:rFonts w:cstheme="minorBidi"/>
        </w:rPr>
        <w:t>-</w:t>
      </w:r>
      <w:r w:rsidRPr="5E979900">
        <w:rPr>
          <w:rFonts w:cstheme="minorBidi"/>
        </w:rPr>
        <w:t>wide, to subscription contracts</w:t>
      </w:r>
      <w:r w:rsidR="0091562C">
        <w:rPr>
          <w:rFonts w:cstheme="minorBidi"/>
        </w:rPr>
        <w:t>. While the precise definition of a ‘subscription contract’ will be determined during the legislative drafting process</w:t>
      </w:r>
      <w:r w:rsidR="005E3935">
        <w:rPr>
          <w:rFonts w:cstheme="minorBidi"/>
        </w:rPr>
        <w:t>,</w:t>
      </w:r>
      <w:r w:rsidRPr="5E979900">
        <w:rPr>
          <w:rFonts w:cstheme="minorBidi"/>
        </w:rPr>
        <w:t xml:space="preserve"> </w:t>
      </w:r>
      <w:r w:rsidR="005E3935">
        <w:rPr>
          <w:rFonts w:cstheme="minorBidi"/>
        </w:rPr>
        <w:t xml:space="preserve">they generally involve </w:t>
      </w:r>
      <w:r w:rsidR="00493010">
        <w:rPr>
          <w:rFonts w:cstheme="minorBidi"/>
        </w:rPr>
        <w:t xml:space="preserve">the </w:t>
      </w:r>
      <w:r w:rsidRPr="5E979900">
        <w:rPr>
          <w:rFonts w:cstheme="minorBidi"/>
        </w:rPr>
        <w:t xml:space="preserve">offer </w:t>
      </w:r>
      <w:r w:rsidR="00493010">
        <w:rPr>
          <w:rFonts w:cstheme="minorBidi"/>
        </w:rPr>
        <w:t xml:space="preserve">of </w:t>
      </w:r>
      <w:r w:rsidRPr="5E979900">
        <w:rPr>
          <w:rFonts w:cstheme="minorBidi"/>
        </w:rPr>
        <w:t>products and services on an ongoing basis</w:t>
      </w:r>
      <w:r w:rsidR="005520C5">
        <w:rPr>
          <w:rFonts w:cstheme="minorBidi"/>
        </w:rPr>
        <w:t>,</w:t>
      </w:r>
      <w:r w:rsidRPr="5E979900">
        <w:rPr>
          <w:rFonts w:cstheme="minorBidi"/>
        </w:rPr>
        <w:t xml:space="preserve"> </w:t>
      </w:r>
      <w:r w:rsidR="00354E61">
        <w:rPr>
          <w:rFonts w:cstheme="minorBidi"/>
        </w:rPr>
        <w:t xml:space="preserve">and </w:t>
      </w:r>
      <w:r w:rsidRPr="5E979900">
        <w:rPr>
          <w:rFonts w:cstheme="minorBidi"/>
        </w:rPr>
        <w:t>contain provision</w:t>
      </w:r>
      <w:r w:rsidR="00354E61">
        <w:rPr>
          <w:rFonts w:cstheme="minorBidi"/>
        </w:rPr>
        <w:t>s</w:t>
      </w:r>
      <w:r w:rsidRPr="5E979900">
        <w:rPr>
          <w:rFonts w:cstheme="minorBidi"/>
        </w:rPr>
        <w:t xml:space="preserve"> enabling the business to continue to charge for the products and services unless the consumer takes affirmative action to cancel</w:t>
      </w:r>
      <w:r>
        <w:rPr>
          <w:rFonts w:cstheme="minorBidi"/>
        </w:rPr>
        <w:t xml:space="preserve">. </w:t>
      </w:r>
    </w:p>
    <w:p w14:paraId="478A42A8" w14:textId="75183BB9" w:rsidR="00406CD0" w:rsidRDefault="00FA64FB" w:rsidP="00406CD0">
      <w:r>
        <w:rPr>
          <w:rFonts w:cstheme="minorBidi"/>
        </w:rPr>
        <w:t>Some specific subscription contracts will be excluded</w:t>
      </w:r>
      <w:r w:rsidR="00E057E2">
        <w:rPr>
          <w:rFonts w:cstheme="minorBidi"/>
        </w:rPr>
        <w:t xml:space="preserve">, </w:t>
      </w:r>
      <w:r w:rsidR="00EE614E">
        <w:t xml:space="preserve">with </w:t>
      </w:r>
      <w:r w:rsidR="00BF43ED">
        <w:t>any sector specific exclusions</w:t>
      </w:r>
      <w:r w:rsidR="00406CD0" w:rsidRPr="5E979900">
        <w:t xml:space="preserve"> </w:t>
      </w:r>
      <w:r w:rsidR="00EE614E">
        <w:t xml:space="preserve">to </w:t>
      </w:r>
      <w:r w:rsidR="00406CD0" w:rsidRPr="5E979900">
        <w:t>be determined during the legislative drafting process. Examples of subscriptions that are intended to be in scope are subscriptions for physical products such as magazines or food, digital streaming services, gym memberships, digital content</w:t>
      </w:r>
      <w:r w:rsidR="00406CD0">
        <w:t xml:space="preserve">, telecommunications </w:t>
      </w:r>
      <w:r w:rsidR="00BD3DAC">
        <w:t xml:space="preserve">products </w:t>
      </w:r>
      <w:r w:rsidR="00A340E8">
        <w:t xml:space="preserve">and </w:t>
      </w:r>
      <w:r w:rsidR="00406CD0">
        <w:t>services</w:t>
      </w:r>
      <w:r w:rsidR="00406CD0" w:rsidRPr="5E979900">
        <w:t xml:space="preserve"> and software-as-service products. </w:t>
      </w:r>
    </w:p>
    <w:p w14:paraId="1E2BF3D6" w14:textId="7E288C70" w:rsidR="00406CD0" w:rsidRPr="00A43E07" w:rsidRDefault="00406CD0" w:rsidP="00406CD0">
      <w:pPr>
        <w:rPr>
          <w:rFonts w:cstheme="minorHAnsi"/>
          <w:szCs w:val="22"/>
        </w:rPr>
      </w:pPr>
      <w:r w:rsidRPr="5E979900">
        <w:rPr>
          <w:rFonts w:cstheme="minorBidi"/>
        </w:rPr>
        <w:t>However</w:t>
      </w:r>
      <w:r w:rsidR="00143070" w:rsidRPr="5E979900">
        <w:rPr>
          <w:rFonts w:cstheme="minorBidi"/>
        </w:rPr>
        <w:t>,</w:t>
      </w:r>
      <w:r w:rsidRPr="5E979900">
        <w:rPr>
          <w:rFonts w:cstheme="minorBidi"/>
        </w:rPr>
        <w:t xml:space="preserve"> while it is preferable for the proposed subscription reform to apply broadly in order to provide consumers with consistent consumer protections across all sectors and industries, </w:t>
      </w:r>
      <w:r w:rsidRPr="5E979900">
        <w:t>there is potential for a broad application to capture unintended products and services</w:t>
      </w:r>
      <w:r>
        <w:rPr>
          <w:szCs w:val="22"/>
        </w:rPr>
        <w:t xml:space="preserve">. </w:t>
      </w:r>
      <w:r w:rsidRPr="5E979900">
        <w:rPr>
          <w:rFonts w:cstheme="minorBidi"/>
        </w:rPr>
        <w:t>The policy intent is</w:t>
      </w:r>
      <w:r w:rsidRPr="5E979900">
        <w:t xml:space="preserve"> that certain subscription contracts that would otherwise be within scope of the proposed reforms will be excluded either because:</w:t>
      </w:r>
    </w:p>
    <w:p w14:paraId="17361330" w14:textId="77777777" w:rsidR="00406CD0" w:rsidRPr="008A08C4" w:rsidRDefault="00406CD0" w:rsidP="00B80ED1">
      <w:pPr>
        <w:pStyle w:val="Bullet"/>
        <w:spacing w:line="240" w:lineRule="auto"/>
        <w:ind w:left="522" w:hanging="522"/>
      </w:pPr>
      <w:r w:rsidRPr="008A08C4">
        <w:t xml:space="preserve">there are existing regulations that apply to these contracts which provide appropriate consumer </w:t>
      </w:r>
      <w:proofErr w:type="gramStart"/>
      <w:r w:rsidRPr="008A08C4">
        <w:t>protection</w:t>
      </w:r>
      <w:proofErr w:type="gramEnd"/>
      <w:r w:rsidRPr="008A08C4">
        <w:t xml:space="preserve"> and the application of additional ACL protections would interfere with that appropriate protection, or</w:t>
      </w:r>
    </w:p>
    <w:p w14:paraId="108AE5FE" w14:textId="77777777" w:rsidR="00406CD0" w:rsidRPr="008A08C4" w:rsidRDefault="00406CD0" w:rsidP="00B80ED1">
      <w:pPr>
        <w:pStyle w:val="Bullet"/>
        <w:spacing w:line="240" w:lineRule="auto"/>
        <w:ind w:left="522" w:hanging="522"/>
      </w:pPr>
      <w:r w:rsidRPr="008A08C4">
        <w:t xml:space="preserve">the nature of the subscription products/services is such that the reform requirements would not be appropriate. For example, because a product or service is an essential service or because the product or service is charged exclusively on a usage basis.   </w:t>
      </w:r>
    </w:p>
    <w:p w14:paraId="3BA5F4AD" w14:textId="77777777" w:rsidR="00406CD0" w:rsidRDefault="00406CD0" w:rsidP="00406CD0">
      <w:r w:rsidRPr="0037128F">
        <w:t>Based</w:t>
      </w:r>
      <w:r>
        <w:t xml:space="preserve"> on the above criteria, it is proposed that the following subscription contracts be excluded from scope: </w:t>
      </w:r>
    </w:p>
    <w:p w14:paraId="68A85B8D" w14:textId="77777777" w:rsidR="00406CD0" w:rsidRPr="008A08C4" w:rsidRDefault="00406CD0" w:rsidP="00406CD0">
      <w:pPr>
        <w:pStyle w:val="Bullet"/>
        <w:spacing w:line="240" w:lineRule="auto"/>
        <w:ind w:left="522" w:hanging="522"/>
      </w:pPr>
      <w:r w:rsidRPr="008A08C4">
        <w:t>A contract for the supply of regulated utilities (electricity, gas, water)</w:t>
      </w:r>
    </w:p>
    <w:p w14:paraId="1DCD0DBC" w14:textId="77777777" w:rsidR="00406CD0" w:rsidRPr="008A08C4" w:rsidRDefault="00406CD0" w:rsidP="00406CD0">
      <w:pPr>
        <w:pStyle w:val="Bullet"/>
        <w:spacing w:line="240" w:lineRule="auto"/>
        <w:ind w:left="522" w:hanging="522"/>
      </w:pPr>
      <w:r w:rsidRPr="008A08C4">
        <w:t>A residential or commercial lease agreement</w:t>
      </w:r>
    </w:p>
    <w:p w14:paraId="5E94B325" w14:textId="77777777" w:rsidR="00406CD0" w:rsidRPr="008A08C4" w:rsidRDefault="00406CD0" w:rsidP="00406CD0">
      <w:pPr>
        <w:pStyle w:val="Bullet"/>
        <w:spacing w:line="240" w:lineRule="auto"/>
        <w:ind w:left="522" w:hanging="522"/>
      </w:pPr>
      <w:r w:rsidRPr="008A08C4">
        <w:t xml:space="preserve">A contract for hire purchases or payments in instalments </w:t>
      </w:r>
    </w:p>
    <w:p w14:paraId="09A98815" w14:textId="77777777" w:rsidR="00406CD0" w:rsidRPr="008A08C4" w:rsidRDefault="00406CD0" w:rsidP="00406CD0">
      <w:pPr>
        <w:pStyle w:val="Bullet"/>
        <w:spacing w:line="240" w:lineRule="auto"/>
        <w:ind w:left="522" w:hanging="522"/>
      </w:pPr>
      <w:r w:rsidRPr="008A08C4">
        <w:lastRenderedPageBreak/>
        <w:t>A contract for the supply of prescription healthcare products, and</w:t>
      </w:r>
    </w:p>
    <w:p w14:paraId="47D647D9" w14:textId="77777777" w:rsidR="00406CD0" w:rsidRPr="008A08C4" w:rsidRDefault="00406CD0" w:rsidP="00406CD0">
      <w:pPr>
        <w:pStyle w:val="Bullet"/>
        <w:spacing w:line="240" w:lineRule="auto"/>
        <w:ind w:left="522" w:hanging="522"/>
      </w:pPr>
      <w:r w:rsidRPr="008A08C4">
        <w:t>A contract for the supply of childcare or school education.</w:t>
      </w:r>
    </w:p>
    <w:p w14:paraId="2EF27087" w14:textId="4322A25E" w:rsidR="00986BA9" w:rsidRDefault="00382E70" w:rsidP="00406CD0">
      <w:pPr>
        <w:rPr>
          <w:rFonts w:cstheme="minorHAnsi"/>
          <w:szCs w:val="22"/>
        </w:rPr>
      </w:pPr>
      <w:r>
        <w:rPr>
          <w:rFonts w:cstheme="minorHAnsi"/>
          <w:szCs w:val="22"/>
        </w:rPr>
        <w:t xml:space="preserve">Further consideration will be given at the drafting stage to the application of </w:t>
      </w:r>
      <w:r w:rsidR="007B20B1">
        <w:rPr>
          <w:rFonts w:cstheme="minorHAnsi"/>
          <w:szCs w:val="22"/>
        </w:rPr>
        <w:t xml:space="preserve">the subscription proposal </w:t>
      </w:r>
      <w:r w:rsidR="00563333">
        <w:rPr>
          <w:rFonts w:cstheme="minorHAnsi"/>
          <w:szCs w:val="22"/>
        </w:rPr>
        <w:t xml:space="preserve">to </w:t>
      </w:r>
      <w:r w:rsidR="00543E17">
        <w:rPr>
          <w:rFonts w:cstheme="minorHAnsi"/>
          <w:szCs w:val="22"/>
        </w:rPr>
        <w:t>recurring</w:t>
      </w:r>
      <w:r w:rsidR="00563333">
        <w:rPr>
          <w:rFonts w:cstheme="minorHAnsi"/>
          <w:szCs w:val="22"/>
        </w:rPr>
        <w:t xml:space="preserve"> payments made to </w:t>
      </w:r>
      <w:r w:rsidR="00986BA9">
        <w:rPr>
          <w:rFonts w:cstheme="minorHAnsi"/>
          <w:szCs w:val="22"/>
        </w:rPr>
        <w:t xml:space="preserve">charities and not for profit organisations. However, </w:t>
      </w:r>
      <w:r w:rsidR="008E2223">
        <w:rPr>
          <w:rFonts w:cstheme="minorHAnsi"/>
          <w:szCs w:val="22"/>
        </w:rPr>
        <w:t xml:space="preserve">the policy intent is </w:t>
      </w:r>
      <w:r w:rsidR="00091AB5">
        <w:rPr>
          <w:rFonts w:cstheme="minorHAnsi"/>
          <w:szCs w:val="22"/>
        </w:rPr>
        <w:t xml:space="preserve">that </w:t>
      </w:r>
      <w:r w:rsidR="00543E17">
        <w:rPr>
          <w:rFonts w:cstheme="minorHAnsi"/>
          <w:szCs w:val="22"/>
        </w:rPr>
        <w:t>recurring</w:t>
      </w:r>
      <w:r w:rsidR="00091AB5">
        <w:rPr>
          <w:rFonts w:cstheme="minorHAnsi"/>
          <w:szCs w:val="22"/>
        </w:rPr>
        <w:t xml:space="preserve"> donations</w:t>
      </w:r>
      <w:r w:rsidR="000D787B">
        <w:rPr>
          <w:rFonts w:cstheme="minorHAnsi"/>
          <w:szCs w:val="22"/>
        </w:rPr>
        <w:t xml:space="preserve"> not provided in exchange for a product or service</w:t>
      </w:r>
      <w:r w:rsidR="002759F2">
        <w:rPr>
          <w:rFonts w:cstheme="minorHAnsi"/>
          <w:szCs w:val="22"/>
        </w:rPr>
        <w:t xml:space="preserve"> will not be in scope. </w:t>
      </w:r>
    </w:p>
    <w:p w14:paraId="028F2ED8" w14:textId="7759C66D" w:rsidR="00406CD0" w:rsidRPr="00EC10F2" w:rsidRDefault="00406CD0" w:rsidP="00406CD0">
      <w:pPr>
        <w:rPr>
          <w:rFonts w:cstheme="minorBidi"/>
        </w:rPr>
      </w:pPr>
      <w:r>
        <w:rPr>
          <w:rFonts w:cstheme="minorHAnsi"/>
          <w:szCs w:val="22"/>
        </w:rPr>
        <w:t xml:space="preserve">The subscription policy proposal applies to </w:t>
      </w:r>
      <w:r w:rsidR="00896C06">
        <w:rPr>
          <w:rFonts w:cstheme="minorHAnsi"/>
          <w:szCs w:val="22"/>
        </w:rPr>
        <w:t>standard form</w:t>
      </w:r>
      <w:r>
        <w:rPr>
          <w:rFonts w:cstheme="minorHAnsi"/>
          <w:szCs w:val="22"/>
        </w:rPr>
        <w:t xml:space="preserve"> subscription contracts entered into by small businesses, as well as consumers. The most effective mechanism for extending protections to small businesses will be determined during the legislative drafting process. </w:t>
      </w:r>
    </w:p>
    <w:p w14:paraId="4A04D43C" w14:textId="77777777" w:rsidR="00406CD0" w:rsidRPr="00EC10F2" w:rsidRDefault="00406CD0" w:rsidP="00406CD0">
      <w:pPr>
        <w:pStyle w:val="Heading4"/>
      </w:pPr>
      <w:r>
        <w:t>Potential Benefits</w:t>
      </w:r>
    </w:p>
    <w:p w14:paraId="364ECB61" w14:textId="06BEEF19" w:rsidR="00406CD0" w:rsidRPr="00E068F4" w:rsidRDefault="00406CD0" w:rsidP="00406CD0">
      <w:pPr>
        <w:rPr>
          <w:i/>
          <w:iCs/>
        </w:rPr>
      </w:pPr>
      <w:r w:rsidRPr="00E068F4">
        <w:rPr>
          <w:i/>
        </w:rPr>
        <w:t>Reduced costs</w:t>
      </w:r>
      <w:r w:rsidR="00E32CBA">
        <w:rPr>
          <w:i/>
        </w:rPr>
        <w:t xml:space="preserve"> of unwanted subscriptions</w:t>
      </w:r>
      <w:r w:rsidRPr="00E068F4">
        <w:rPr>
          <w:i/>
        </w:rPr>
        <w:t xml:space="preserve"> </w:t>
      </w:r>
    </w:p>
    <w:p w14:paraId="07DD20F5" w14:textId="77777777" w:rsidR="00406CD0" w:rsidRPr="002804AB" w:rsidDel="007D2745" w:rsidRDefault="00406CD0" w:rsidP="00406CD0">
      <w:r>
        <w:t>T</w:t>
      </w:r>
      <w:r w:rsidRPr="002E0474">
        <w:t>his</w:t>
      </w:r>
      <w:r>
        <w:t xml:space="preserve"> proposal is likely to reduce costs for consumers associated with unwanted subscriptions, by making it easier for them to cancel subscriptions they no longer want or use. Notifications which alert consumers to the end of a free trial or promotional period can also reduce instances of consumers being auto renewed or rolled over on to an ongoing full price contract without their knowledge. </w:t>
      </w:r>
      <w:r w:rsidRPr="002804AB">
        <w:t xml:space="preserve"> </w:t>
      </w:r>
    </w:p>
    <w:p w14:paraId="49460CE1" w14:textId="77777777" w:rsidR="00406CD0" w:rsidRPr="00E068F4" w:rsidRDefault="00406CD0" w:rsidP="00406CD0">
      <w:pPr>
        <w:rPr>
          <w:i/>
          <w:iCs/>
        </w:rPr>
      </w:pPr>
      <w:r w:rsidRPr="00E068F4">
        <w:rPr>
          <w:i/>
        </w:rPr>
        <w:t xml:space="preserve">Time burden for consumers </w:t>
      </w:r>
    </w:p>
    <w:p w14:paraId="1F68DE38" w14:textId="68B45E65" w:rsidR="00406CD0" w:rsidRPr="00A46C73" w:rsidRDefault="00406CD0" w:rsidP="00406CD0">
      <w:r>
        <w:t xml:space="preserve">Consumers can spend significant time and effort navigating overly complex and complicated cancellation processes and dealing with customer service hurdles </w:t>
      </w:r>
      <w:r w:rsidR="008D70AA">
        <w:t xml:space="preserve">– for </w:t>
      </w:r>
      <w:r>
        <w:t xml:space="preserve">example, where a business requires a customer to cancel in person, even though the customer signed up for the subscription online. This proposal can save consumers time and money by requiring businesses to simplify their cancellation processes and ensuring </w:t>
      </w:r>
      <w:r w:rsidRPr="00F60334">
        <w:t xml:space="preserve">that consumers who enter their subscription contracts online are able to exit online. </w:t>
      </w:r>
    </w:p>
    <w:p w14:paraId="1521D2F4" w14:textId="77777777" w:rsidR="00406CD0" w:rsidRPr="00E068F4" w:rsidRDefault="00406CD0" w:rsidP="00406CD0">
      <w:pPr>
        <w:rPr>
          <w:i/>
          <w:iCs/>
        </w:rPr>
      </w:pPr>
      <w:r w:rsidRPr="00E068F4">
        <w:rPr>
          <w:i/>
        </w:rPr>
        <w:t xml:space="preserve">More informed consumer decision-making </w:t>
      </w:r>
    </w:p>
    <w:p w14:paraId="4DA68E7E" w14:textId="4986C89F" w:rsidR="00406CD0" w:rsidRDefault="00406CD0" w:rsidP="00406CD0">
      <w:r>
        <w:t>By requiring businesses to disclose material information in a clear and prominent manner,</w:t>
      </w:r>
      <w:r w:rsidRPr="00AE2538">
        <w:t xml:space="preserve"> businesses</w:t>
      </w:r>
      <w:r>
        <w:t xml:space="preserve"> will </w:t>
      </w:r>
      <w:r w:rsidR="000A21F7">
        <w:t xml:space="preserve">be </w:t>
      </w:r>
      <w:r w:rsidR="00C67659">
        <w:t xml:space="preserve">clear about their obligations not </w:t>
      </w:r>
      <w:r>
        <w:t xml:space="preserve">to </w:t>
      </w:r>
      <w:r w:rsidR="00526048">
        <w:t xml:space="preserve">have </w:t>
      </w:r>
      <w:r>
        <w:t>essential</w:t>
      </w:r>
      <w:r w:rsidRPr="00AE2538">
        <w:t xml:space="preserve"> information</w:t>
      </w:r>
      <w:r>
        <w:t xml:space="preserve"> about a subscription contract</w:t>
      </w:r>
      <w:r w:rsidRPr="00AE2538">
        <w:t xml:space="preserve"> </w:t>
      </w:r>
      <w:r w:rsidR="00526048">
        <w:t xml:space="preserve">buried </w:t>
      </w:r>
      <w:r w:rsidRPr="00AE2538">
        <w:t>in long and complex terms and conditions</w:t>
      </w:r>
      <w:r>
        <w:t xml:space="preserve">. This can increase the engagement of consumers with key information about their subscription, which can reduce the likelihood of consumers signing up for an unwanted subscription or not comprehending the full implications of entering a subscription contract. </w:t>
      </w:r>
    </w:p>
    <w:p w14:paraId="09B545ED" w14:textId="77777777" w:rsidR="00406CD0" w:rsidRPr="00E068F4" w:rsidRDefault="00406CD0" w:rsidP="00406CD0">
      <w:pPr>
        <w:rPr>
          <w:i/>
          <w:iCs/>
        </w:rPr>
      </w:pPr>
      <w:r w:rsidRPr="00E068F4">
        <w:rPr>
          <w:i/>
        </w:rPr>
        <w:t xml:space="preserve">Increased switching and competition </w:t>
      </w:r>
    </w:p>
    <w:p w14:paraId="0A4859E3" w14:textId="3905D6AD" w:rsidR="00406CD0" w:rsidRDefault="00406CD0" w:rsidP="00406CD0">
      <w:r>
        <w:t>Barriers for a customer to cancel a subscription contract</w:t>
      </w:r>
      <w:r w:rsidRPr="00684332">
        <w:t xml:space="preserve"> may prevent or inhibit customers from switching from one provider to another.</w:t>
      </w:r>
      <w:r>
        <w:t xml:space="preserve"> </w:t>
      </w:r>
      <w:r w:rsidRPr="004906E5">
        <w:t xml:space="preserve">This may weaken incentives </w:t>
      </w:r>
      <w:r>
        <w:t>for businesses to</w:t>
      </w:r>
      <w:r w:rsidRPr="004906E5">
        <w:t xml:space="preserve"> innovate</w:t>
      </w:r>
      <w:r>
        <w:t xml:space="preserve"> and competitively </w:t>
      </w:r>
      <w:proofErr w:type="gramStart"/>
      <w:r>
        <w:t>price,</w:t>
      </w:r>
      <w:r w:rsidRPr="004906E5">
        <w:t xml:space="preserve"> and</w:t>
      </w:r>
      <w:proofErr w:type="gramEnd"/>
      <w:r w:rsidRPr="004906E5">
        <w:t xml:space="preserve"> make it more difficult for new entrants to </w:t>
      </w:r>
      <w:r>
        <w:t>win market share</w:t>
      </w:r>
      <w:r w:rsidRPr="004906E5">
        <w:t xml:space="preserve">. </w:t>
      </w:r>
      <w:r w:rsidRPr="00684332">
        <w:t>T</w:t>
      </w:r>
      <w:r>
        <w:t>his proposal will prevent businesses from imposing unreasonable barriers which trap consumers into subscription contracts, making it easier for</w:t>
      </w:r>
      <w:r w:rsidR="00921E92">
        <w:t xml:space="preserve"> them </w:t>
      </w:r>
      <w:r>
        <w:t>to switch providers</w:t>
      </w:r>
      <w:r w:rsidR="00D163E6">
        <w:t xml:space="preserve"> </w:t>
      </w:r>
      <w:r w:rsidR="00B1384F">
        <w:t>and promoting greater</w:t>
      </w:r>
      <w:r w:rsidR="00D163E6">
        <w:t xml:space="preserve"> competition</w:t>
      </w:r>
      <w:r>
        <w:t xml:space="preserve">. As a result, businesses </w:t>
      </w:r>
      <w:r w:rsidR="00BF36B2">
        <w:t>which</w:t>
      </w:r>
      <w:r>
        <w:t xml:space="preserve"> compete on quality, pricing and customer service </w:t>
      </w:r>
      <w:r w:rsidR="00BF36B2">
        <w:t xml:space="preserve">will be more rewarded </w:t>
      </w:r>
      <w:r>
        <w:t xml:space="preserve">than </w:t>
      </w:r>
      <w:r w:rsidR="00BF36B2">
        <w:t xml:space="preserve">those </w:t>
      </w:r>
      <w:r>
        <w:t>relying on difficult and confusing cancellation processes to retain customers.</w:t>
      </w:r>
    </w:p>
    <w:p w14:paraId="14AD0334" w14:textId="77777777" w:rsidR="00406CD0" w:rsidRPr="00E068F4" w:rsidRDefault="00406CD0" w:rsidP="00406CD0">
      <w:pPr>
        <w:rPr>
          <w:i/>
          <w:iCs/>
        </w:rPr>
      </w:pPr>
      <w:r w:rsidRPr="00E068F4">
        <w:rPr>
          <w:i/>
        </w:rPr>
        <w:t xml:space="preserve">Improved consumer confidence in the subscription market </w:t>
      </w:r>
    </w:p>
    <w:p w14:paraId="4C609C09" w14:textId="77777777" w:rsidR="00406CD0" w:rsidRPr="00A46C73" w:rsidRDefault="00406CD0" w:rsidP="00406CD0">
      <w:r>
        <w:t xml:space="preserve">Consumers may be deterred from entering into subscription contracts because of the perceived risks of being locked into an unwanted subscription. This proposal will empower consumers with key information about their subscriptions and enhance the ability of consumers to manage their subscriptions, which may encourage greater participation in the subscription market. </w:t>
      </w:r>
    </w:p>
    <w:p w14:paraId="314EDD50" w14:textId="77777777" w:rsidR="00406CD0" w:rsidRDefault="00406CD0" w:rsidP="00406CD0">
      <w:pPr>
        <w:pStyle w:val="Heading4"/>
      </w:pPr>
      <w:r>
        <w:lastRenderedPageBreak/>
        <w:t>Potential Costs</w:t>
      </w:r>
    </w:p>
    <w:p w14:paraId="398D09F3" w14:textId="77777777" w:rsidR="00406CD0" w:rsidRPr="00827349" w:rsidRDefault="00406CD0" w:rsidP="00406CD0">
      <w:pPr>
        <w:rPr>
          <w:b/>
          <w:bCs/>
        </w:rPr>
      </w:pPr>
      <w:r w:rsidRPr="00827349">
        <w:rPr>
          <w:b/>
          <w:bCs/>
        </w:rPr>
        <w:t>Subscriptions</w:t>
      </w:r>
    </w:p>
    <w:p w14:paraId="72C3787B" w14:textId="77777777" w:rsidR="00406CD0" w:rsidRPr="0065339D" w:rsidRDefault="00406CD0" w:rsidP="00406CD0">
      <w:pPr>
        <w:rPr>
          <w:i/>
          <w:iCs/>
        </w:rPr>
      </w:pPr>
      <w:bookmarkStart w:id="57" w:name="_Hlk193271419"/>
      <w:r w:rsidRPr="0065339D">
        <w:rPr>
          <w:i/>
          <w:iCs/>
        </w:rPr>
        <w:t>Fixed implementation costs</w:t>
      </w:r>
    </w:p>
    <w:p w14:paraId="4FF1F248" w14:textId="020CC6E7" w:rsidR="00406CD0" w:rsidRDefault="00406CD0" w:rsidP="00406CD0">
      <w:r w:rsidRPr="001A6EDF">
        <w:t>Understanding and implementing new requirements</w:t>
      </w:r>
      <w:r>
        <w:t xml:space="preserve">: Businesses will need to invest time and resources to understand </w:t>
      </w:r>
      <w:r w:rsidR="00160B33">
        <w:t xml:space="preserve">and comply with </w:t>
      </w:r>
      <w:r>
        <w:t xml:space="preserve">the new regulatory requirements. </w:t>
      </w:r>
      <w:r w:rsidR="00026B21">
        <w:t>Some b</w:t>
      </w:r>
      <w:r>
        <w:t xml:space="preserve">usinesses are likely to incur costs for legal advice to interpret legislation and understand the implications for their operations. Businesses may also need to conduct staff training programs to ensure compliance with the new regulatory requirements, for example to ensure new subscription products and services are launched with </w:t>
      </w:r>
      <w:r w:rsidR="00783099">
        <w:t xml:space="preserve">compliant </w:t>
      </w:r>
      <w:r>
        <w:t xml:space="preserve">disclosures. </w:t>
      </w:r>
    </w:p>
    <w:p w14:paraId="0FE887B4" w14:textId="5AFE640C" w:rsidR="00406CD0" w:rsidRDefault="00406CD0" w:rsidP="00406CD0">
      <w:r w:rsidRPr="001A6EDF">
        <w:t>IT costs and system enhancements</w:t>
      </w:r>
      <w:r>
        <w:t xml:space="preserve">: Implementing automated notification systems to alert consumers before renewals or trial expirations may require investment in software or third-party services. Websites and apps will need to be updated to include the information mandated by this proposal at the point of sale. Websites and apps will also need to be updated to incorporate simplified cancellation procedures. </w:t>
      </w:r>
    </w:p>
    <w:p w14:paraId="66AACC2B" w14:textId="77777777" w:rsidR="00406CD0" w:rsidRDefault="00406CD0" w:rsidP="00406CD0">
      <w:r>
        <w:t>Updating internal guidance and protocols: Businesses will likely incur costs associated with making changes to subscription terms and conditions, and internal guidance and documentation, for example where customer service protocols need to be revised to comply with easier cancellation requirements.</w:t>
      </w:r>
    </w:p>
    <w:p w14:paraId="41678E46" w14:textId="77777777" w:rsidR="00406CD0" w:rsidRPr="008B122F" w:rsidRDefault="00406CD0" w:rsidP="00406CD0">
      <w:pPr>
        <w:rPr>
          <w:i/>
          <w:iCs/>
        </w:rPr>
      </w:pPr>
      <w:r w:rsidRPr="008F1687">
        <w:rPr>
          <w:i/>
          <w:iCs/>
        </w:rPr>
        <w:t xml:space="preserve">Potential reduction in revenue </w:t>
      </w:r>
      <w:r w:rsidRPr="008B122F">
        <w:rPr>
          <w:i/>
          <w:iCs/>
        </w:rPr>
        <w:t>for some businesses</w:t>
      </w:r>
    </w:p>
    <w:p w14:paraId="3CC9E88C" w14:textId="604F40A0" w:rsidR="00406CD0" w:rsidRDefault="00406CD0" w:rsidP="00406CD0">
      <w:r>
        <w:t xml:space="preserve">Easier cancellation processes may result in higher customer churn rates which could lead to a reduction in revenue for </w:t>
      </w:r>
      <w:r w:rsidR="0016229E">
        <w:t xml:space="preserve">some </w:t>
      </w:r>
      <w:r>
        <w:t xml:space="preserve">businesses. The notification requirement could also result in fewer conversions of consumers from free trials to ongoing subscriptions, or more cancellations ahead of subscription renewal. However, firms that offer superior products </w:t>
      </w:r>
      <w:r w:rsidR="009F1B6F">
        <w:t xml:space="preserve">or services </w:t>
      </w:r>
      <w:r>
        <w:t xml:space="preserve">may benefit from higher revenue if it is easier for customers to switch to their </w:t>
      </w:r>
      <w:r w:rsidR="009F1B6F">
        <w:t xml:space="preserve">products or </w:t>
      </w:r>
      <w:r>
        <w:t>services</w:t>
      </w:r>
      <w:bookmarkEnd w:id="57"/>
      <w:r w:rsidR="009F1B6F">
        <w:t>.</w:t>
      </w:r>
    </w:p>
    <w:p w14:paraId="28EB29E3" w14:textId="77777777" w:rsidR="00406CD0" w:rsidRDefault="00406CD0" w:rsidP="00406CD0">
      <w:pPr>
        <w:rPr>
          <w:i/>
          <w:iCs/>
        </w:rPr>
      </w:pPr>
      <w:r>
        <w:rPr>
          <w:i/>
          <w:iCs/>
        </w:rPr>
        <w:t>Ongoing costs</w:t>
      </w:r>
    </w:p>
    <w:p w14:paraId="60B2B9F0" w14:textId="60F542C1" w:rsidR="00406CD0" w:rsidRPr="008F0166" w:rsidRDefault="00406CD0" w:rsidP="00406CD0">
      <w:r>
        <w:rPr>
          <w:szCs w:val="22"/>
        </w:rPr>
        <w:t>B</w:t>
      </w:r>
      <w:r w:rsidRPr="00991D79">
        <w:rPr>
          <w:szCs w:val="22"/>
        </w:rPr>
        <w:t>usinesses may incur ongoing costs to maintain system</w:t>
      </w:r>
      <w:r w:rsidR="006970C9">
        <w:rPr>
          <w:szCs w:val="22"/>
        </w:rPr>
        <w:t>s</w:t>
      </w:r>
      <w:r w:rsidRPr="00991D79">
        <w:rPr>
          <w:szCs w:val="22"/>
        </w:rPr>
        <w:t xml:space="preserve"> required to comply </w:t>
      </w:r>
      <w:r>
        <w:rPr>
          <w:szCs w:val="22"/>
        </w:rPr>
        <w:t>with the subscription proposal</w:t>
      </w:r>
      <w:r w:rsidRPr="00991D79">
        <w:rPr>
          <w:szCs w:val="22"/>
        </w:rPr>
        <w:t xml:space="preserve">, </w:t>
      </w:r>
      <w:r>
        <w:rPr>
          <w:szCs w:val="22"/>
        </w:rPr>
        <w:t xml:space="preserve">however </w:t>
      </w:r>
      <w:r w:rsidRPr="00991D79">
        <w:rPr>
          <w:szCs w:val="22"/>
        </w:rPr>
        <w:t>the size of these costs is unknown and is likely dependent on each individual</w:t>
      </w:r>
      <w:r>
        <w:rPr>
          <w:szCs w:val="22"/>
        </w:rPr>
        <w:t xml:space="preserve"> </w:t>
      </w:r>
      <w:r w:rsidRPr="00991D79">
        <w:rPr>
          <w:szCs w:val="22"/>
        </w:rPr>
        <w:t>business</w:t>
      </w:r>
      <w:r>
        <w:rPr>
          <w:szCs w:val="22"/>
        </w:rPr>
        <w:t>’</w:t>
      </w:r>
      <w:r w:rsidR="008F6C4E">
        <w:rPr>
          <w:szCs w:val="22"/>
        </w:rPr>
        <w:t>s</w:t>
      </w:r>
      <w:r w:rsidR="009F1B6F">
        <w:rPr>
          <w:szCs w:val="22"/>
        </w:rPr>
        <w:t xml:space="preserve"> internal processes</w:t>
      </w:r>
      <w:r w:rsidRPr="00991D79">
        <w:rPr>
          <w:szCs w:val="22"/>
        </w:rPr>
        <w:t>.</w:t>
      </w:r>
    </w:p>
    <w:p w14:paraId="4394092C" w14:textId="77777777" w:rsidR="00406CD0" w:rsidRPr="00833064" w:rsidRDefault="00406CD0" w:rsidP="00406CD0">
      <w:pPr>
        <w:pStyle w:val="Heading4"/>
      </w:pPr>
      <w:r w:rsidRPr="00833064">
        <w:t>Regulation impact summary</w:t>
      </w:r>
      <w:r>
        <w:t xml:space="preserve"> (subscription proposal)</w:t>
      </w:r>
    </w:p>
    <w:p w14:paraId="2130C6C9" w14:textId="77777777" w:rsidR="00406CD0" w:rsidRPr="0044511C" w:rsidRDefault="00406CD0" w:rsidP="00406CD0">
      <w:pPr>
        <w:rPr>
          <w:b/>
        </w:rPr>
      </w:pPr>
      <w:r w:rsidRPr="0044511C">
        <w:rPr>
          <w:b/>
        </w:rPr>
        <w:t>Costs</w:t>
      </w:r>
    </w:p>
    <w:p w14:paraId="1752499A" w14:textId="1CCB1F76" w:rsidR="00FD3871" w:rsidRDefault="00406CD0" w:rsidP="00406CD0">
      <w:r w:rsidRPr="001C7169">
        <w:t>Treasury estimates that businesses offering subscription contracts will</w:t>
      </w:r>
      <w:r w:rsidR="00F14F50">
        <w:t xml:space="preserve"> collectively</w:t>
      </w:r>
      <w:r w:rsidRPr="001C7169">
        <w:t xml:space="preserve"> incur implement</w:t>
      </w:r>
      <w:r w:rsidRPr="00D53971">
        <w:t>ation</w:t>
      </w:r>
      <w:r w:rsidRPr="001C7169">
        <w:t xml:space="preserve"> costs of $19.57 million annually, over 10 years.</w:t>
      </w:r>
      <w:r w:rsidDel="00164210">
        <w:t xml:space="preserve"> </w:t>
      </w:r>
    </w:p>
    <w:p w14:paraId="1956639E" w14:textId="78ADB7F3" w:rsidR="00FD3871" w:rsidRDefault="00FD3871" w:rsidP="00FD3871">
      <w:pPr>
        <w:rPr>
          <w:b/>
        </w:rPr>
      </w:pPr>
      <w:r w:rsidRPr="779D0450">
        <w:t>Ongoing compliance costs have not been estimated because the size of these costs</w:t>
      </w:r>
      <w:r>
        <w:rPr>
          <w:szCs w:val="22"/>
        </w:rPr>
        <w:t xml:space="preserve"> </w:t>
      </w:r>
      <w:proofErr w:type="gramStart"/>
      <w:r w:rsidRPr="779D0450">
        <w:t>are</w:t>
      </w:r>
      <w:proofErr w:type="gramEnd"/>
      <w:r w:rsidRPr="779D0450">
        <w:t xml:space="preserve"> likely small in comparison to the </w:t>
      </w:r>
      <w:r w:rsidR="00E7583C">
        <w:t>initial</w:t>
      </w:r>
      <w:r w:rsidRPr="779D0450">
        <w:t xml:space="preserve"> costs.</w:t>
      </w:r>
      <w:r w:rsidRPr="779D0450">
        <w:rPr>
          <w:rStyle w:val="FootnoteReference"/>
          <w:rFonts w:eastAsiaTheme="majorEastAsia"/>
        </w:rPr>
        <w:footnoteReference w:id="123"/>
      </w:r>
    </w:p>
    <w:p w14:paraId="6746D2C7" w14:textId="3B76EE06" w:rsidR="00406CD0" w:rsidRDefault="00FD3871" w:rsidP="00406CD0">
      <w:r>
        <w:t>Some b</w:t>
      </w:r>
      <w:r w:rsidR="00406CD0">
        <w:t>usinesses may also experience a reduction in revenue as a result of higher customer churn rates</w:t>
      </w:r>
      <w:r>
        <w:t>.</w:t>
      </w:r>
      <w:r w:rsidR="00406CD0">
        <w:t xml:space="preserve"> </w:t>
      </w:r>
      <w:r>
        <w:t>T</w:t>
      </w:r>
      <w:r w:rsidR="00406CD0">
        <w:t xml:space="preserve">he effect of this reduction has not been estimated. However, consumers </w:t>
      </w:r>
      <w:r w:rsidR="00776B93">
        <w:t xml:space="preserve">are likely to </w:t>
      </w:r>
      <w:r w:rsidR="00406CD0">
        <w:t xml:space="preserve">spend </w:t>
      </w:r>
      <w:r w:rsidR="007967FF">
        <w:t>much of</w:t>
      </w:r>
      <w:r w:rsidR="00406CD0">
        <w:t xml:space="preserve"> these savings on other</w:t>
      </w:r>
      <w:r w:rsidR="00F51FD0">
        <w:t xml:space="preserve"> </w:t>
      </w:r>
      <w:r w:rsidR="00406CD0">
        <w:t xml:space="preserve">products and services, reducing this </w:t>
      </w:r>
      <w:r w:rsidR="00776B93">
        <w:t xml:space="preserve">as a </w:t>
      </w:r>
      <w:r w:rsidR="00406CD0">
        <w:t>cost to businesses</w:t>
      </w:r>
      <w:r w:rsidR="00776B93">
        <w:t xml:space="preserve"> overall</w:t>
      </w:r>
      <w:r w:rsidR="00406CD0">
        <w:t xml:space="preserve">. </w:t>
      </w:r>
    </w:p>
    <w:p w14:paraId="4090E3DF" w14:textId="28A0F26A" w:rsidR="006124C3" w:rsidRDefault="00654D42" w:rsidP="00406CD0">
      <w:r>
        <w:lastRenderedPageBreak/>
        <w:t>S</w:t>
      </w:r>
      <w:r w:rsidR="00DA4324">
        <w:t>ubscription management</w:t>
      </w:r>
      <w:r w:rsidR="00CF4574">
        <w:t xml:space="preserve"> tools </w:t>
      </w:r>
      <w:r w:rsidR="00C4679D">
        <w:t>offered</w:t>
      </w:r>
      <w:r w:rsidR="00CF4574">
        <w:t xml:space="preserve"> by e</w:t>
      </w:r>
      <w:r w:rsidR="00550243">
        <w:t>-</w:t>
      </w:r>
      <w:r w:rsidR="00CF4574">
        <w:t>commerce platforms or payment processors may</w:t>
      </w:r>
      <w:r w:rsidR="00E817A2">
        <w:t xml:space="preserve"> also</w:t>
      </w:r>
      <w:r w:rsidR="00CF4574">
        <w:t xml:space="preserve"> lower the regulatory burden for small and medium sized businesses</w:t>
      </w:r>
      <w:r w:rsidR="00E82F7E">
        <w:t>. These</w:t>
      </w:r>
      <w:r w:rsidR="001B2292">
        <w:t xml:space="preserve"> tools can</w:t>
      </w:r>
      <w:r w:rsidR="00E817A2">
        <w:t xml:space="preserve"> </w:t>
      </w:r>
      <w:r w:rsidR="00B12F71">
        <w:t>reduce costs for businesses by</w:t>
      </w:r>
      <w:r w:rsidR="00E817A2">
        <w:t xml:space="preserve"> </w:t>
      </w:r>
      <w:r w:rsidR="000C448C">
        <w:t>streamlin</w:t>
      </w:r>
      <w:r w:rsidR="00B12F71">
        <w:t>ing</w:t>
      </w:r>
      <w:r w:rsidR="008777B1">
        <w:t xml:space="preserve"> and automat</w:t>
      </w:r>
      <w:r w:rsidR="00B12F71">
        <w:t>ing</w:t>
      </w:r>
      <w:r w:rsidR="00551E41">
        <w:t xml:space="preserve"> aspects of the customer experience</w:t>
      </w:r>
      <w:r w:rsidR="00D239F3">
        <w:t xml:space="preserve"> </w:t>
      </w:r>
      <w:r w:rsidR="0033112E">
        <w:t>for subscription products and services</w:t>
      </w:r>
      <w:r w:rsidR="00551E41">
        <w:t xml:space="preserve">, </w:t>
      </w:r>
      <w:r w:rsidR="00BF3F2C">
        <w:t>such as</w:t>
      </w:r>
      <w:r w:rsidR="00551E41">
        <w:t xml:space="preserve"> account cancellation</w:t>
      </w:r>
      <w:r w:rsidR="00005B0C">
        <w:t xml:space="preserve"> and customer communication</w:t>
      </w:r>
      <w:r w:rsidR="00CF4574">
        <w:t xml:space="preserve"> </w:t>
      </w:r>
      <w:r w:rsidR="00C4679D">
        <w:t xml:space="preserve">(see Appendix </w:t>
      </w:r>
      <w:r w:rsidR="002028BA">
        <w:t>B for further explanation).</w:t>
      </w:r>
    </w:p>
    <w:p w14:paraId="5D5D60E9" w14:textId="77777777" w:rsidR="00406CD0" w:rsidRPr="0044511C" w:rsidRDefault="00406CD0" w:rsidP="00B35D7C">
      <w:pPr>
        <w:keepNext/>
        <w:widowControl w:val="0"/>
        <w:rPr>
          <w:b/>
        </w:rPr>
      </w:pPr>
      <w:r w:rsidRPr="0044511C">
        <w:rPr>
          <w:b/>
        </w:rPr>
        <w:t>Benefits</w:t>
      </w:r>
    </w:p>
    <w:p w14:paraId="275AB3A3" w14:textId="107B3B14" w:rsidR="00B56DE4" w:rsidRDefault="00406CD0" w:rsidP="00406CD0">
      <w:r>
        <w:t xml:space="preserve">The estimated annual consumer detriment from spending on unwanted subscriptions </w:t>
      </w:r>
      <w:r w:rsidR="00C043EE">
        <w:t xml:space="preserve">by consumers </w:t>
      </w:r>
      <w:r w:rsidR="00C34F7A">
        <w:t>aged</w:t>
      </w:r>
      <w:r w:rsidR="00C043EE">
        <w:t xml:space="preserve"> 16 and above </w:t>
      </w:r>
      <w:r>
        <w:t>is $971 million.</w:t>
      </w:r>
      <w:r w:rsidR="00D37F25">
        <w:rPr>
          <w:rStyle w:val="FootnoteReference"/>
        </w:rPr>
        <w:footnoteReference w:id="124"/>
      </w:r>
      <w:r>
        <w:t xml:space="preserve"> It is </w:t>
      </w:r>
      <w:r w:rsidR="00B56DE4" w:rsidRPr="00B56DE4">
        <w:t>estimate</w:t>
      </w:r>
      <w:r w:rsidR="004C7EB9">
        <w:t>d</w:t>
      </w:r>
      <w:r w:rsidR="00B56DE4" w:rsidRPr="00B56DE4">
        <w:t xml:space="preserve"> that the average</w:t>
      </w:r>
      <w:r w:rsidR="00446233">
        <w:t xml:space="preserve"> Australian</w:t>
      </w:r>
      <w:r w:rsidR="005654F8">
        <w:t xml:space="preserve"> over the age of 16</w:t>
      </w:r>
      <w:r w:rsidR="00B56DE4" w:rsidRPr="00B56DE4">
        <w:t xml:space="preserve"> has 2.9 subscriptions (excl telecommunications) and 5% of these are unwanted</w:t>
      </w:r>
      <w:r w:rsidR="00B56DE4">
        <w:t xml:space="preserve">, with the </w:t>
      </w:r>
      <w:r w:rsidR="00772D66">
        <w:t xml:space="preserve">average monthly cost of a subscription estimated at $25.29 per month. </w:t>
      </w:r>
      <w:r w:rsidR="00B1669B">
        <w:t xml:space="preserve">See Appendix B for further detail. </w:t>
      </w:r>
    </w:p>
    <w:p w14:paraId="625BA78E" w14:textId="6E865D62" w:rsidR="00406CD0" w:rsidRDefault="00406CD0" w:rsidP="00406CD0">
      <w:r>
        <w:t>It is expected that consumers will reduce their spending on unwanted subscription contracts as a result of the subscription proposal</w:t>
      </w:r>
      <w:r w:rsidR="00A02A20">
        <w:t xml:space="preserve">, but </w:t>
      </w:r>
      <w:r w:rsidR="006F5973">
        <w:t xml:space="preserve">it has not been quantified </w:t>
      </w:r>
      <w:r w:rsidR="00F71232">
        <w:t xml:space="preserve">just how many of these unwanted subscriptions will be </w:t>
      </w:r>
      <w:r w:rsidR="00B00982">
        <w:t xml:space="preserve">reduced </w:t>
      </w:r>
      <w:r w:rsidR="00CC7139">
        <w:t>as a result</w:t>
      </w:r>
      <w:r w:rsidR="009343A7">
        <w:t>.</w:t>
      </w:r>
      <w:r>
        <w:t xml:space="preserve"> </w:t>
      </w:r>
      <w:r w:rsidR="00CC7139">
        <w:t>However</w:t>
      </w:r>
      <w:r>
        <w:t>, to outweigh the estimated regulatory cost</w:t>
      </w:r>
      <w:r w:rsidR="00CC7139">
        <w:t xml:space="preserve"> of $19.57</w:t>
      </w:r>
      <w:r w:rsidR="003C79AC">
        <w:t xml:space="preserve"> million annually over 10 years</w:t>
      </w:r>
      <w:r>
        <w:t xml:space="preserve">, the </w:t>
      </w:r>
      <w:r w:rsidR="00510137">
        <w:t>consumer spending on unwanted subscriptions</w:t>
      </w:r>
      <w:r w:rsidR="00710CA8">
        <w:t xml:space="preserve"> by subscription holders</w:t>
      </w:r>
      <w:r w:rsidR="004A553D">
        <w:rPr>
          <w:rStyle w:val="FootnoteReference"/>
        </w:rPr>
        <w:footnoteReference w:id="125"/>
      </w:r>
      <w:r w:rsidR="00510137">
        <w:t xml:space="preserve"> </w:t>
      </w:r>
      <w:r>
        <w:t>would need to decrease by 2.02%</w:t>
      </w:r>
      <w:r w:rsidR="00C149DC">
        <w:t>,</w:t>
      </w:r>
      <w:r>
        <w:rPr>
          <w:rStyle w:val="FootnoteReference"/>
        </w:rPr>
        <w:footnoteReference w:id="126"/>
      </w:r>
      <w:r w:rsidRPr="00C460EF">
        <w:rPr>
          <w:rStyle w:val="FootnoteReference"/>
        </w:rPr>
        <w:t xml:space="preserve"> </w:t>
      </w:r>
      <w:r>
        <w:t>which is a likely outcome</w:t>
      </w:r>
      <w:r w:rsidR="00860239">
        <w:t xml:space="preserve"> of these reforms</w:t>
      </w:r>
      <w:r>
        <w:t xml:space="preserve">. </w:t>
      </w:r>
    </w:p>
    <w:p w14:paraId="7137D56A" w14:textId="77777777" w:rsidR="00406CD0" w:rsidRDefault="00406CD0" w:rsidP="00406CD0">
      <w:r>
        <w:t xml:space="preserve">Reducing barriers to cancelling subscription contracts and providing consumers with greater information to manage subscriptions could enhance competition and result in more informed consumer decision making. These effects have not been estimated. </w:t>
      </w:r>
    </w:p>
    <w:p w14:paraId="1563D52D" w14:textId="7DE90809" w:rsidR="00BF048E" w:rsidRDefault="00406CD0" w:rsidP="00DA5449">
      <w:r w:rsidRPr="009C7478">
        <w:t>Small businesses often</w:t>
      </w:r>
      <w:r w:rsidRPr="009C7478" w:rsidDel="007B11EB">
        <w:t xml:space="preserve"> </w:t>
      </w:r>
      <w:r w:rsidR="007B11EB">
        <w:t>pay for</w:t>
      </w:r>
      <w:r w:rsidRPr="009C7478">
        <w:t xml:space="preserve"> subscription services and products to streamline operations, for example accounting software or design programs. However, although the proposal also benefits small businesses that use subscription products and services, the benefit to small businesses from the proposal has not been quantified due to a lack of data on business subscription use.</w:t>
      </w:r>
      <w:r>
        <w:t xml:space="preserve"> </w:t>
      </w:r>
      <w:r w:rsidRPr="001640DB">
        <w:t>Accordingly, the assessment underestimates the total spending on unwanted subscriptions in Australia</w:t>
      </w:r>
      <w:r w:rsidR="006C5EE7">
        <w:t xml:space="preserve"> and the total potential benefit of </w:t>
      </w:r>
      <w:r w:rsidR="00E46183">
        <w:t>subscription reform proposal</w:t>
      </w:r>
      <w:r w:rsidR="006C5EE7">
        <w:t xml:space="preserve"> reforms</w:t>
      </w:r>
      <w:r w:rsidRPr="001640DB">
        <w:t>.</w:t>
      </w:r>
    </w:p>
    <w:p w14:paraId="4A7FFD36" w14:textId="0FED15A3" w:rsidR="00B918CD" w:rsidRPr="00D70B8E" w:rsidRDefault="00B918CD" w:rsidP="00B918CD">
      <w:pPr>
        <w:pStyle w:val="Heading3"/>
      </w:pPr>
      <w:bookmarkStart w:id="58" w:name="_Toc202971529"/>
      <w:bookmarkStart w:id="59" w:name="_Toc206422532"/>
      <w:r w:rsidRPr="00A36948">
        <w:t xml:space="preserve">Drip </w:t>
      </w:r>
      <w:r w:rsidRPr="005636F4">
        <w:t>Pricing</w:t>
      </w:r>
      <w:bookmarkEnd w:id="58"/>
      <w:bookmarkEnd w:id="59"/>
    </w:p>
    <w:p w14:paraId="2B21CD58" w14:textId="77777777" w:rsidR="00B918CD" w:rsidRDefault="00B918CD" w:rsidP="00B918CD">
      <w:pPr>
        <w:pStyle w:val="Heading4"/>
        <w:spacing w:before="0"/>
      </w:pPr>
      <w:r>
        <w:t>Consultation Outcomes</w:t>
      </w:r>
    </w:p>
    <w:p w14:paraId="4ACF82CF" w14:textId="175CEA2F" w:rsidR="00B918CD" w:rsidRDefault="00B918CD" w:rsidP="00B918CD">
      <w:pPr>
        <w:rPr>
          <w:rFonts w:eastAsiaTheme="minorEastAsia"/>
        </w:rPr>
      </w:pPr>
      <w:r>
        <w:t>Overall, there was support among</w:t>
      </w:r>
      <w:r w:rsidRPr="438DAB30">
        <w:rPr>
          <w:rFonts w:eastAsiaTheme="minorEastAsia"/>
        </w:rPr>
        <w:t xml:space="preserve"> </w:t>
      </w:r>
      <w:r w:rsidRPr="191161A9">
        <w:rPr>
          <w:rFonts w:eastAsiaTheme="minorEastAsia"/>
        </w:rPr>
        <w:t>government</w:t>
      </w:r>
      <w:r w:rsidRPr="438DAB30">
        <w:rPr>
          <w:rFonts w:eastAsiaTheme="minorEastAsia"/>
        </w:rPr>
        <w:t>,</w:t>
      </w:r>
      <w:r w:rsidRPr="66F46ED6">
        <w:rPr>
          <w:rFonts w:eastAsiaTheme="minorEastAsia"/>
        </w:rPr>
        <w:t xml:space="preserve"> </w:t>
      </w:r>
      <w:r>
        <w:t xml:space="preserve">consumer and legal stakeholders </w:t>
      </w:r>
      <w:r w:rsidRPr="7AB4A866">
        <w:rPr>
          <w:rFonts w:eastAsiaTheme="minorEastAsia"/>
        </w:rPr>
        <w:t>for</w:t>
      </w:r>
      <w:r>
        <w:rPr>
          <w:rFonts w:eastAsiaTheme="minorEastAsia"/>
        </w:rPr>
        <w:t xml:space="preserve"> amending the ACL to further strengthen existing protections against drip pricing. </w:t>
      </w:r>
      <w:r>
        <w:t>Of the reform options available,</w:t>
      </w:r>
      <w:r w:rsidRPr="074BA96C">
        <w:rPr>
          <w:rFonts w:eastAsiaTheme="minorEastAsia"/>
        </w:rPr>
        <w:t xml:space="preserve"> strongest</w:t>
      </w:r>
      <w:r>
        <w:rPr>
          <w:rFonts w:eastAsiaTheme="minorEastAsia"/>
        </w:rPr>
        <w:t xml:space="preserve"> support </w:t>
      </w:r>
      <w:r>
        <w:t>was shown for requiring</w:t>
      </w:r>
      <w:r>
        <w:rPr>
          <w:rFonts w:eastAsiaTheme="minorEastAsia"/>
        </w:rPr>
        <w:t xml:space="preserve"> businesses to disclose prominently and upfront any mandatory ‘per </w:t>
      </w:r>
      <w:r>
        <w:t>transaction’</w:t>
      </w:r>
      <w:r>
        <w:rPr>
          <w:rFonts w:eastAsiaTheme="minorEastAsia"/>
        </w:rPr>
        <w:t xml:space="preserve"> fees to be applied during a purchasing process. The ACCC, </w:t>
      </w:r>
      <w:r w:rsidR="00F34120">
        <w:rPr>
          <w:rFonts w:eastAsiaTheme="minorEastAsia"/>
        </w:rPr>
        <w:t xml:space="preserve">the </w:t>
      </w:r>
      <w:r w:rsidR="00F34120">
        <w:t>Joint Consumer Advocates</w:t>
      </w:r>
      <w:r>
        <w:rPr>
          <w:rFonts w:eastAsiaTheme="minorEastAsia"/>
        </w:rPr>
        <w:t xml:space="preserve">, Music Australia, National Legal Aid and the Australian Live Music Business Council </w:t>
      </w:r>
      <w:r w:rsidR="00852F2D">
        <w:rPr>
          <w:rFonts w:eastAsiaTheme="minorEastAsia"/>
        </w:rPr>
        <w:t>(ALMBC)</w:t>
      </w:r>
      <w:r>
        <w:rPr>
          <w:rFonts w:eastAsiaTheme="minorEastAsia"/>
        </w:rPr>
        <w:t xml:space="preserve"> all supported this option.  </w:t>
      </w:r>
    </w:p>
    <w:p w14:paraId="15DA10E0" w14:textId="77777777" w:rsidR="00B918CD" w:rsidRPr="006B3719" w:rsidRDefault="00B918CD" w:rsidP="00B918CD">
      <w:r>
        <w:t xml:space="preserve">However, some industry stakeholders including ACCI, BCA, DIGI and Live Performance Australia opposed reform on the basis that the existing provisions in the ACL which protect against drip pricing, misleading or deceptive conduct and false or misleading representations, are sufficient to protect consumers. These stakeholders also considered that there is no evidence of harm to warrant reform. </w:t>
      </w:r>
    </w:p>
    <w:p w14:paraId="69C61466" w14:textId="77777777" w:rsidR="00B918CD" w:rsidRDefault="00B918CD" w:rsidP="00B918CD">
      <w:pPr>
        <w:pStyle w:val="Heading4"/>
      </w:pPr>
      <w:r>
        <w:lastRenderedPageBreak/>
        <w:t>Proposal</w:t>
      </w:r>
    </w:p>
    <w:p w14:paraId="6F0981A4" w14:textId="77777777" w:rsidR="00B918CD" w:rsidRDefault="00B918CD" w:rsidP="00B918CD">
      <w:pPr>
        <w:rPr>
          <w:rFonts w:eastAsiaTheme="minorEastAsia"/>
        </w:rPr>
      </w:pPr>
      <w:r>
        <w:t>The drip pricing policy proposal is a specific reform to the ACL to require busi</w:t>
      </w:r>
      <w:r w:rsidRPr="4C6378D3">
        <w:rPr>
          <w:rFonts w:eastAsiaTheme="minorEastAsia"/>
        </w:rPr>
        <w:t>nesses to disclose prominently and upfront any mandatory ‘per transaction’ fees to be applied during a purchasing process. ‘Per transaction’ fees are those which are quantified and applied on a per transaction rather than a ‘per item’ basis</w:t>
      </w:r>
      <w:r>
        <w:rPr>
          <w:rFonts w:eastAsiaTheme="minorEastAsia"/>
        </w:rPr>
        <w:t xml:space="preserve"> – for </w:t>
      </w:r>
      <w:r w:rsidRPr="4C6378D3">
        <w:rPr>
          <w:rFonts w:eastAsia="Calibri"/>
        </w:rPr>
        <w:t>example, mandatory handling fees that are applied per transaction regardless of the number of items that are purchased by the consumer.</w:t>
      </w:r>
    </w:p>
    <w:p w14:paraId="5ABF62B1" w14:textId="77777777" w:rsidR="00B918CD" w:rsidRDefault="00B918CD" w:rsidP="00B918CD">
      <w:pPr>
        <w:rPr>
          <w:rFonts w:eastAsia="Calibri"/>
        </w:rPr>
      </w:pPr>
      <w:r w:rsidRPr="4C6378D3">
        <w:rPr>
          <w:rFonts w:eastAsia="Calibri"/>
        </w:rPr>
        <w:t xml:space="preserve">The policy proposal would require businesses to: </w:t>
      </w:r>
    </w:p>
    <w:p w14:paraId="7B3A12B7" w14:textId="77777777" w:rsidR="00B918CD" w:rsidRDefault="00B918CD" w:rsidP="00B918CD">
      <w:pPr>
        <w:pStyle w:val="Bullet"/>
        <w:rPr>
          <w:rFonts w:eastAsia="Calibri"/>
        </w:rPr>
      </w:pPr>
      <w:r w:rsidRPr="2814ED4D">
        <w:rPr>
          <w:rFonts w:eastAsia="Calibri"/>
        </w:rPr>
        <w:t>Disclose that per transaction fees will be charged, and the amount to be charged</w:t>
      </w:r>
    </w:p>
    <w:p w14:paraId="7DECDE54" w14:textId="77777777" w:rsidR="00B918CD" w:rsidRDefault="00B918CD" w:rsidP="00B918CD">
      <w:pPr>
        <w:pStyle w:val="Bullet"/>
        <w:rPr>
          <w:rFonts w:eastAsia="Calibri"/>
        </w:rPr>
      </w:pPr>
      <w:r w:rsidRPr="0031C1D8">
        <w:rPr>
          <w:rFonts w:eastAsia="Calibri"/>
        </w:rPr>
        <w:t xml:space="preserve">Make this disclosure upfront – as early as possible in the purchasing process when the business is first able to quantify the transaction fee </w:t>
      </w:r>
    </w:p>
    <w:p w14:paraId="031A336E" w14:textId="77777777" w:rsidR="00B918CD" w:rsidRDefault="00B918CD" w:rsidP="00B918CD">
      <w:pPr>
        <w:pStyle w:val="Bullet"/>
        <w:rPr>
          <w:rFonts w:eastAsia="Calibri"/>
        </w:rPr>
      </w:pPr>
      <w:r w:rsidRPr="6C55C772">
        <w:rPr>
          <w:rFonts w:eastAsia="Calibri"/>
        </w:rPr>
        <w:t xml:space="preserve">Make this disclosure prominently – for example, not in fine print and not obscuring this information by requiring consumers to visit another webpage or pop-up etc. </w:t>
      </w:r>
    </w:p>
    <w:p w14:paraId="1F33C0A1" w14:textId="4A9DF8AA" w:rsidR="00B918CD" w:rsidRPr="001739D0" w:rsidRDefault="00B918CD" w:rsidP="00B918CD">
      <w:pPr>
        <w:rPr>
          <w:rFonts w:eastAsia="Calibri"/>
        </w:rPr>
      </w:pPr>
      <w:r w:rsidRPr="0015715A">
        <w:rPr>
          <w:rFonts w:eastAsiaTheme="minorEastAsia"/>
        </w:rPr>
        <w:t xml:space="preserve">It is intended that the above policy proposal would not impact the existing obligation under the ACL for businesses to </w:t>
      </w:r>
      <w:r>
        <w:rPr>
          <w:rFonts w:eastAsiaTheme="minorEastAsia"/>
        </w:rPr>
        <w:t>not represent part of the price for goods or services without also disclosing the minimum quantifiable price (also known as the ‘single price’)</w:t>
      </w:r>
      <w:r w:rsidR="00747D73">
        <w:rPr>
          <w:rFonts w:eastAsiaTheme="minorEastAsia"/>
        </w:rPr>
        <w:t xml:space="preserve"> at least as prominently</w:t>
      </w:r>
      <w:r>
        <w:rPr>
          <w:rFonts w:eastAsiaTheme="minorEastAsia"/>
        </w:rPr>
        <w:t>.</w:t>
      </w:r>
      <w:r>
        <w:rPr>
          <w:rStyle w:val="FootnoteReference"/>
          <w:rFonts w:eastAsiaTheme="minorEastAsia"/>
        </w:rPr>
        <w:footnoteReference w:id="127"/>
      </w:r>
      <w:r w:rsidR="00044CA2">
        <w:rPr>
          <w:rFonts w:eastAsiaTheme="minorEastAsia"/>
        </w:rPr>
        <w:t xml:space="preserve"> </w:t>
      </w:r>
      <w:r w:rsidR="00403200">
        <w:rPr>
          <w:rFonts w:eastAsiaTheme="minorEastAsia"/>
        </w:rPr>
        <w:t>The exact formulation and approach of this reform will</w:t>
      </w:r>
      <w:r w:rsidR="00403200" w:rsidRPr="00403200">
        <w:rPr>
          <w:rFonts w:eastAsiaTheme="minorEastAsia"/>
        </w:rPr>
        <w:t xml:space="preserve"> be finalised in the legislative drafting process</w:t>
      </w:r>
      <w:r w:rsidR="00403200">
        <w:rPr>
          <w:rFonts w:eastAsiaTheme="minorEastAsia"/>
        </w:rPr>
        <w:t>.</w:t>
      </w:r>
    </w:p>
    <w:p w14:paraId="1F71A6C7" w14:textId="77777777" w:rsidR="00B918CD" w:rsidRDefault="00B918CD" w:rsidP="00B918CD">
      <w:pPr>
        <w:pStyle w:val="Heading4"/>
      </w:pPr>
      <w:r>
        <w:t>Potential Benefits</w:t>
      </w:r>
    </w:p>
    <w:p w14:paraId="6617D2F1" w14:textId="77777777" w:rsidR="00B918CD" w:rsidRDefault="00B918CD" w:rsidP="00B918CD">
      <w:pPr>
        <w:spacing w:after="0"/>
        <w:rPr>
          <w:i/>
        </w:rPr>
      </w:pPr>
      <w:r w:rsidRPr="00132A1A">
        <w:rPr>
          <w:i/>
        </w:rPr>
        <w:t>More informed consumer decision-making</w:t>
      </w:r>
    </w:p>
    <w:p w14:paraId="3B045FA9" w14:textId="77777777" w:rsidR="00B918CD" w:rsidRPr="00377AE6" w:rsidRDefault="00B918CD" w:rsidP="00B918CD">
      <w:r>
        <w:t xml:space="preserve">Disclosing ‘per transaction’ fees early in the purchasing process will enable consumers to make more informed purchasing decisions. They will be more aware of the total price that they will ultimately pay to purchase a good or service at an earlier stage in the purchasing process when they may feel more able to ‘quit’ that transaction if they object to the total price that will be charged. Increased access to pricing information is also likely to result in consumers more easily shopping around and comparing prices among businesses for a better deal, which can save them money. </w:t>
      </w:r>
    </w:p>
    <w:p w14:paraId="31D6B6C1" w14:textId="77777777" w:rsidR="00B918CD" w:rsidRPr="00132A1A" w:rsidRDefault="00B918CD" w:rsidP="00B918CD">
      <w:pPr>
        <w:spacing w:after="0"/>
        <w:rPr>
          <w:i/>
        </w:rPr>
      </w:pPr>
      <w:r w:rsidRPr="00132A1A">
        <w:rPr>
          <w:i/>
        </w:rPr>
        <w:t>Consistency with existing provisions in the ACL regulating drip pricing</w:t>
      </w:r>
    </w:p>
    <w:p w14:paraId="152DD438" w14:textId="5838F2FE" w:rsidR="00B918CD" w:rsidRDefault="00B918CD" w:rsidP="00B918CD">
      <w:r>
        <w:t xml:space="preserve">There are several provisions of the ACL that regulate drip pricing (see Appendix A for more detail). The policy intent behind these provisions, which protect consumers from paying more than they initially intended or expected to in a transaction, applies equally to ‘per transaction’ fees </w:t>
      </w:r>
      <w:r w:rsidR="00DC116A">
        <w:t xml:space="preserve">for </w:t>
      </w:r>
      <w:r>
        <w:t xml:space="preserve">which </w:t>
      </w:r>
      <w:r w:rsidR="001F74E2">
        <w:t>there is</w:t>
      </w:r>
      <w:r>
        <w:t xml:space="preserve"> currently </w:t>
      </w:r>
      <w:r w:rsidR="001F74E2">
        <w:t xml:space="preserve">no express requirement </w:t>
      </w:r>
      <w:r>
        <w:t xml:space="preserve">to be disclosed upfront despite representing an important part of the total price to be paid by the consumer. </w:t>
      </w:r>
    </w:p>
    <w:p w14:paraId="1A333479" w14:textId="77777777" w:rsidR="00B918CD" w:rsidRPr="00132A1A" w:rsidRDefault="00B918CD" w:rsidP="00B918CD">
      <w:pPr>
        <w:rPr>
          <w:i/>
        </w:rPr>
      </w:pPr>
      <w:r w:rsidRPr="00132A1A">
        <w:rPr>
          <w:i/>
        </w:rPr>
        <w:t xml:space="preserve">Ensuring businesses compete fairly </w:t>
      </w:r>
    </w:p>
    <w:p w14:paraId="3970CE6A" w14:textId="77777777" w:rsidR="00B918CD" w:rsidRDefault="00B918CD" w:rsidP="00B918CD">
      <w:r>
        <w:t xml:space="preserve">Currently there is inconsistency in how and when businesses choose to disclose mandatory per transaction fees during a purchasing process. While some businesses may highlight this information upfront to bring the fees to the full attention of the consumer, other businesses may delay advising consumers of these fees until much later in the transaction. This gives businesses who are less upfront with information a competitive advantage over businesses that provide the full pricing information upfront, as consumers may be inclined to choose the business with the seemingly lower price point when in reality that business’s final price inclusive of transaction fees may end up being higher. </w:t>
      </w:r>
    </w:p>
    <w:p w14:paraId="37AB84C9" w14:textId="77777777" w:rsidR="00B918CD" w:rsidRDefault="00B918CD" w:rsidP="00B918CD">
      <w:pPr>
        <w:pStyle w:val="Heading4"/>
      </w:pPr>
      <w:r>
        <w:lastRenderedPageBreak/>
        <w:t>Potential Costs</w:t>
      </w:r>
    </w:p>
    <w:p w14:paraId="4A11E969" w14:textId="77777777" w:rsidR="00B918CD" w:rsidRDefault="00B918CD" w:rsidP="00B918CD">
      <w:pPr>
        <w:pStyle w:val="Heading4"/>
        <w:rPr>
          <w:i/>
          <w:szCs w:val="20"/>
        </w:rPr>
      </w:pPr>
      <w:r w:rsidRPr="004A041F">
        <w:rPr>
          <w:i/>
          <w:szCs w:val="20"/>
        </w:rPr>
        <w:t>Implementation costs</w:t>
      </w:r>
    </w:p>
    <w:p w14:paraId="2C344B8B" w14:textId="77777777" w:rsidR="00B918CD" w:rsidRDefault="00B918CD" w:rsidP="00B918CD">
      <w:r>
        <w:t>There are likely to be financial and non-financial costs (such as a time and resource impost) for businesses in understanding and ensuring their compliance with new regulatory requirements. These costs may include, for example, fees for legal advice on the application of the new requirement and IT costs to implement that advice.</w:t>
      </w:r>
    </w:p>
    <w:p w14:paraId="6D42EAA3" w14:textId="784F7A27" w:rsidR="00B918CD" w:rsidRDefault="00B918CD" w:rsidP="00B918CD">
      <w:r>
        <w:t xml:space="preserve">IT-related costs may include the cost of making system changes to display transaction fees upfront and prominently for goods and services online, with potential complexity for businesses with multiple goods or services that attract different transaction fees. </w:t>
      </w:r>
      <w:r w:rsidR="000A656C">
        <w:t>However, these</w:t>
      </w:r>
      <w:r w:rsidR="00142037">
        <w:t xml:space="preserve"> costs may be reduced </w:t>
      </w:r>
      <w:r>
        <w:t>where businesses use third-party e</w:t>
      </w:r>
      <w:r w:rsidR="00550243">
        <w:t>-</w:t>
      </w:r>
      <w:r>
        <w:t>commerce platforms that provide tools for amending these settings with relative ease. E</w:t>
      </w:r>
      <w:r w:rsidR="00550243">
        <w:t>-</w:t>
      </w:r>
      <w:r>
        <w:t xml:space="preserve">commerce platforms will </w:t>
      </w:r>
      <w:r w:rsidR="0017746F">
        <w:t xml:space="preserve">also </w:t>
      </w:r>
      <w:r>
        <w:t>likely update marketplace hosting policies and their own service offerings to be compliant.</w:t>
      </w:r>
    </w:p>
    <w:p w14:paraId="3B305292" w14:textId="77777777" w:rsidR="00B918CD" w:rsidRDefault="00B918CD" w:rsidP="00B918CD">
      <w:pPr>
        <w:pStyle w:val="Heading4"/>
      </w:pPr>
      <w:r>
        <w:t>Regulation impact summary (drip pricing)</w:t>
      </w:r>
    </w:p>
    <w:p w14:paraId="47DC7F7C" w14:textId="77777777" w:rsidR="00B918CD" w:rsidRDefault="00B918CD" w:rsidP="00B918CD">
      <w:pPr>
        <w:rPr>
          <w:b/>
          <w:bCs/>
        </w:rPr>
      </w:pPr>
      <w:r w:rsidRPr="1BDE08AE">
        <w:rPr>
          <w:b/>
          <w:bCs/>
        </w:rPr>
        <w:t>Costs</w:t>
      </w:r>
    </w:p>
    <w:p w14:paraId="711386B8" w14:textId="7D42BEF5" w:rsidR="00B918CD" w:rsidRDefault="00B918CD" w:rsidP="00B918CD">
      <w:r>
        <w:t xml:space="preserve">Treasury estimates that affected businesses will </w:t>
      </w:r>
      <w:r w:rsidR="00896CDE">
        <w:t>collectively</w:t>
      </w:r>
      <w:r>
        <w:t xml:space="preserve"> incur implementation costs of $9.8</w:t>
      </w:r>
      <w:r w:rsidR="009A5F63">
        <w:t>2</w:t>
      </w:r>
      <w:r>
        <w:t xml:space="preserve"> million annually, over a 10 year period</w:t>
      </w:r>
      <w:r w:rsidR="00666863">
        <w:t xml:space="preserve"> (as outlined in Appendix B)</w:t>
      </w:r>
      <w:r>
        <w:t xml:space="preserve">. </w:t>
      </w:r>
    </w:p>
    <w:p w14:paraId="15243669" w14:textId="77777777" w:rsidR="00B918CD" w:rsidRDefault="00B918CD" w:rsidP="00B918CD">
      <w:pPr>
        <w:rPr>
          <w:b/>
          <w:bCs/>
        </w:rPr>
      </w:pPr>
      <w:r w:rsidRPr="20539587">
        <w:rPr>
          <w:b/>
          <w:bCs/>
        </w:rPr>
        <w:t>Benefits</w:t>
      </w:r>
    </w:p>
    <w:p w14:paraId="29480D79" w14:textId="76EE5E74" w:rsidR="00B918CD" w:rsidRDefault="00B918CD" w:rsidP="00B918CD">
      <w:r w:rsidRPr="00D81DDD">
        <w:t>The benefits of this proposal have not been quantified</w:t>
      </w:r>
      <w:r>
        <w:t xml:space="preserve"> due to a lack of Australian specific data on how much </w:t>
      </w:r>
      <w:r w:rsidR="0017746F">
        <w:t>extra</w:t>
      </w:r>
      <w:r>
        <w:t xml:space="preserve"> time </w:t>
      </w:r>
      <w:r w:rsidR="0017746F">
        <w:t xml:space="preserve">and money consumers </w:t>
      </w:r>
      <w:r>
        <w:t xml:space="preserve">spend </w:t>
      </w:r>
      <w:r w:rsidR="00EC214B">
        <w:t xml:space="preserve">on transactions as a result of </w:t>
      </w:r>
      <w:r>
        <w:t xml:space="preserve">drip pricing practices. </w:t>
      </w:r>
    </w:p>
    <w:p w14:paraId="4C399EB1" w14:textId="77777777" w:rsidR="00B918CD" w:rsidRDefault="00B918CD" w:rsidP="00B918CD">
      <w:r>
        <w:t xml:space="preserve">Overseas jurisdictions have quantified the consumer detriment and benefits of drip pricing reforms. For example, the UK Department of Business and Trade conducted a study on the prevalence of drip pricing, which estimated that UK consumers spend an additional </w:t>
      </w:r>
      <w:r>
        <w:rPr>
          <w:rFonts w:cs="Calibri Light"/>
        </w:rPr>
        <w:t>£</w:t>
      </w:r>
      <w:r>
        <w:t>595 million ($1.24 billion AUD) due to dripped fees.</w:t>
      </w:r>
      <w:r>
        <w:rPr>
          <w:rStyle w:val="FootnoteReference"/>
        </w:rPr>
        <w:footnoteReference w:id="128"/>
      </w:r>
      <w:r>
        <w:t xml:space="preserve"> The FTC also conducted a benefits analysis that estimated that U.S. consumers would save between $26.3 million and $350.6 million USD (between $40.41 and $538.66 million AUD) annually from time savings as a result of drip pricing reforms being implemented with respect to the live ticketing industry.</w:t>
      </w:r>
      <w:r>
        <w:rPr>
          <w:rStyle w:val="FootnoteReference"/>
        </w:rPr>
        <w:footnoteReference w:id="129"/>
      </w:r>
      <w:r>
        <w:t xml:space="preserve"> </w:t>
      </w:r>
    </w:p>
    <w:p w14:paraId="5989CDEE" w14:textId="77777777" w:rsidR="00B918CD" w:rsidRDefault="00B918CD" w:rsidP="00B918CD">
      <w:r>
        <w:t xml:space="preserve">The U.K. and U.S. benefit assessments are not applicable to the Australian context, however, as both jurisdictions have fewer existing legislative protections in place against drip pricing practices compared to those that exist under the ACL. To rely on overseas data or methodology would therefore risk overstating the benefits of the reform proposal. </w:t>
      </w:r>
    </w:p>
    <w:p w14:paraId="2F2EC36D" w14:textId="2A8C1581" w:rsidR="00DC1284" w:rsidRDefault="00B918CD" w:rsidP="00BB6B39">
      <w:r w:rsidRPr="00BE20E1">
        <w:t xml:space="preserve">For </w:t>
      </w:r>
      <w:r>
        <w:t>the consumer benefit to exceed the estimated cost to businesses</w:t>
      </w:r>
      <w:r w:rsidRPr="00BE20E1">
        <w:t xml:space="preserve">, it is estimated that each Australian consumer </w:t>
      </w:r>
      <w:r w:rsidR="00434050">
        <w:t xml:space="preserve">of </w:t>
      </w:r>
      <w:r w:rsidR="00E45262">
        <w:t xml:space="preserve">the age of </w:t>
      </w:r>
      <w:r w:rsidR="002D5279">
        <w:t xml:space="preserve">16 and </w:t>
      </w:r>
      <w:r w:rsidR="00C92973">
        <w:t>over</w:t>
      </w:r>
      <w:r w:rsidR="00237A8D">
        <w:rPr>
          <w:rStyle w:val="FootnoteReference"/>
        </w:rPr>
        <w:footnoteReference w:id="130"/>
      </w:r>
      <w:r w:rsidRPr="00BE20E1">
        <w:t xml:space="preserve"> would need to save $4.45 over a 10-year period</w:t>
      </w:r>
      <w:r w:rsidR="00492ABD">
        <w:t>, which is a likely outcome of these reforms</w:t>
      </w:r>
      <w:r w:rsidRPr="00BE20E1">
        <w:t>.</w:t>
      </w:r>
      <w:r w:rsidR="00B72997">
        <w:rPr>
          <w:rStyle w:val="FootnoteReference"/>
        </w:rPr>
        <w:footnoteReference w:id="131"/>
      </w:r>
      <w:r w:rsidR="00917D57">
        <w:t xml:space="preserve"> </w:t>
      </w:r>
    </w:p>
    <w:p w14:paraId="43E52A7C" w14:textId="3540B515" w:rsidR="00406CD0" w:rsidRDefault="00406CD0" w:rsidP="00406CD0">
      <w:pPr>
        <w:pStyle w:val="Heading3"/>
      </w:pPr>
      <w:bookmarkStart w:id="60" w:name="_Toc202971530"/>
      <w:bookmarkStart w:id="61" w:name="_Toc206422533"/>
      <w:r>
        <w:lastRenderedPageBreak/>
        <w:t>Other specific conduct</w:t>
      </w:r>
      <w:bookmarkEnd w:id="60"/>
      <w:bookmarkEnd w:id="61"/>
    </w:p>
    <w:p w14:paraId="499BB9CD" w14:textId="32D1F009" w:rsidR="00406CD0" w:rsidRDefault="00406CD0" w:rsidP="00406CD0">
      <w:r>
        <w:t>The Supplementary Consultation sought stakeholder feedback on whether specific prohibitions were needed to address other potential examples of unfair trading: dynamic pricing, online account requirement</w:t>
      </w:r>
      <w:r w:rsidR="00C40A64">
        <w:t>s</w:t>
      </w:r>
      <w:r>
        <w:t xml:space="preserve"> and barriers to accessing customer support. While these practices are still of concern, existing ACL</w:t>
      </w:r>
      <w:r w:rsidR="004E52F8">
        <w:t xml:space="preserve"> protections</w:t>
      </w:r>
      <w:r>
        <w:t xml:space="preserve">, the protective umbrella of the general prohibition, and other Government reform processes mean specific </w:t>
      </w:r>
      <w:r w:rsidR="004461CC">
        <w:t>reform to the ACL is</w:t>
      </w:r>
      <w:r>
        <w:t xml:space="preserve"> not required at this stage.</w:t>
      </w:r>
    </w:p>
    <w:p w14:paraId="7633D6BE" w14:textId="77777777" w:rsidR="00406CD0" w:rsidRPr="009C5964" w:rsidRDefault="00406CD0" w:rsidP="00406CD0">
      <w:pPr>
        <w:pStyle w:val="Heading4"/>
      </w:pPr>
      <w:r>
        <w:t>Dynamic Pricing</w:t>
      </w:r>
    </w:p>
    <w:p w14:paraId="3DC23F18" w14:textId="0DC43257" w:rsidR="00406CD0" w:rsidRPr="00134889" w:rsidRDefault="00406CD0" w:rsidP="00406CD0">
      <w:r>
        <w:t xml:space="preserve">The Supplementary Consultation consulted on the need for reform to address </w:t>
      </w:r>
      <w:r w:rsidRPr="00134889">
        <w:t>‘</w:t>
      </w:r>
      <w:r>
        <w:t>d</w:t>
      </w:r>
      <w:r w:rsidRPr="00134889">
        <w:t>ynamic pricing’</w:t>
      </w:r>
      <w:r>
        <w:t xml:space="preserve"> where the business increases the </w:t>
      </w:r>
      <w:r w:rsidRPr="00134889">
        <w:t>price of a good or service during the purchasing process</w:t>
      </w:r>
      <w:r>
        <w:t xml:space="preserve"> in response to factors such as demand</w:t>
      </w:r>
      <w:r w:rsidRPr="00134889">
        <w:t>.</w:t>
      </w:r>
      <w:r w:rsidR="00495104">
        <w:t xml:space="preserve"> </w:t>
      </w:r>
      <w:r w:rsidRPr="00134889">
        <w:t xml:space="preserve">Feedback was sought on whether the existing protections </w:t>
      </w:r>
      <w:r w:rsidR="00D41F12">
        <w:t>in</w:t>
      </w:r>
      <w:r w:rsidRPr="00134889">
        <w:t xml:space="preserve"> the ACL were sufficient to address the conduct, and whether the use of dynamic pricing should be specifically prohibited under the ACL. </w:t>
      </w:r>
    </w:p>
    <w:p w14:paraId="7F3726C1" w14:textId="31EDCB35" w:rsidR="000C5451" w:rsidRPr="00134889" w:rsidRDefault="000C5451" w:rsidP="00406CD0">
      <w:r w:rsidRPr="003061EA">
        <w:rPr>
          <w:rFonts w:cstheme="minorBidi"/>
        </w:rPr>
        <w:t>The Australian Live Music Business Council (</w:t>
      </w:r>
      <w:r>
        <w:t>ALMBC)</w:t>
      </w:r>
      <w:r w:rsidRPr="001C2EA0">
        <w:t xml:space="preserve">, </w:t>
      </w:r>
      <w:r w:rsidR="00F34120">
        <w:t>the Joint Consumer Advocates</w:t>
      </w:r>
      <w:r w:rsidRPr="003061EA">
        <w:rPr>
          <w:rFonts w:cstheme="minorBidi"/>
        </w:rPr>
        <w:t xml:space="preserve"> and Music Australia supported </w:t>
      </w:r>
      <w:r>
        <w:t>specific reform to prohibit dynamic pricing</w:t>
      </w:r>
      <w:r w:rsidRPr="76621889">
        <w:rPr>
          <w:rFonts w:cstheme="minorBidi"/>
        </w:rPr>
        <w:t>.</w:t>
      </w:r>
      <w:r w:rsidRPr="76621889">
        <w:rPr>
          <w:rStyle w:val="FootnoteReference"/>
          <w:rFonts w:cstheme="minorBidi"/>
        </w:rPr>
        <w:footnoteReference w:id="132"/>
      </w:r>
      <w:r w:rsidR="00F34120">
        <w:t xml:space="preserve"> Consumer Advocates</w:t>
      </w:r>
      <w:r w:rsidRPr="003061EA">
        <w:rPr>
          <w:rFonts w:cstheme="minorBidi"/>
        </w:rPr>
        <w:t xml:space="preserve"> </w:t>
      </w:r>
      <w:r w:rsidR="0070428F">
        <w:t>jointly</w:t>
      </w:r>
      <w:r w:rsidRPr="003061EA">
        <w:rPr>
          <w:rFonts w:cstheme="minorBidi"/>
        </w:rPr>
        <w:t xml:space="preserve"> noted that clearly banning the practice of adjusting prices after a consumer has commenced the purchasing process will send a clear signal that new technology needs to be applied fairly in Australian markets.</w:t>
      </w:r>
      <w:r w:rsidRPr="76621889">
        <w:rPr>
          <w:rStyle w:val="FootnoteReference"/>
          <w:rFonts w:cstheme="minorBidi"/>
        </w:rPr>
        <w:footnoteReference w:id="133"/>
      </w:r>
      <w:r w:rsidRPr="003061EA">
        <w:rPr>
          <w:rFonts w:cstheme="minorBidi"/>
        </w:rPr>
        <w:t xml:space="preserve"> The ALMBC and CPRC also considered the need for increased disclosure requirements around the use of dynamic pricing, either as an addition or alternative to a specific prohibition against the practice.</w:t>
      </w:r>
      <w:r w:rsidRPr="76621889">
        <w:rPr>
          <w:rStyle w:val="FootnoteReference"/>
          <w:rFonts w:cstheme="minorBidi"/>
        </w:rPr>
        <w:footnoteReference w:id="134"/>
      </w:r>
    </w:p>
    <w:p w14:paraId="2121B1D5" w14:textId="512DB542" w:rsidR="00761207" w:rsidRDefault="00C41F35" w:rsidP="00F44CA2">
      <w:pPr>
        <w:rPr>
          <w:rFonts w:cstheme="minorBidi"/>
        </w:rPr>
      </w:pPr>
      <w:r>
        <w:rPr>
          <w:rFonts w:eastAsia="Calibri"/>
        </w:rPr>
        <w:t>However, c</w:t>
      </w:r>
      <w:r w:rsidR="00406CD0" w:rsidRPr="00134889">
        <w:rPr>
          <w:rFonts w:eastAsia="Calibri"/>
        </w:rPr>
        <w:t>onsultation feedback indicated that most stakeholders, including the ACCC</w:t>
      </w:r>
      <w:r w:rsidR="00406CD0">
        <w:rPr>
          <w:rFonts w:eastAsia="Calibri"/>
        </w:rPr>
        <w:t>,</w:t>
      </w:r>
      <w:r w:rsidR="00406CD0" w:rsidRPr="00134889">
        <w:rPr>
          <w:rFonts w:eastAsia="Calibri"/>
        </w:rPr>
        <w:t xml:space="preserve"> </w:t>
      </w:r>
      <w:r w:rsidR="00406CD0">
        <w:rPr>
          <w:rFonts w:eastAsia="Calibri"/>
        </w:rPr>
        <w:t>ACCI, the Competition &amp; Consumer Committee of the Law Council and Live Performance Australia</w:t>
      </w:r>
      <w:r w:rsidR="00406CD0" w:rsidRPr="00134889">
        <w:rPr>
          <w:rFonts w:eastAsia="Calibri"/>
        </w:rPr>
        <w:t xml:space="preserve"> did not support specific reform to address dynamic pricing practices</w:t>
      </w:r>
      <w:r w:rsidR="00406CD0">
        <w:rPr>
          <w:rFonts w:eastAsia="Calibri"/>
        </w:rPr>
        <w:t>. These stakeholders generally considered</w:t>
      </w:r>
      <w:r w:rsidR="00406CD0" w:rsidRPr="00134889">
        <w:rPr>
          <w:rFonts w:eastAsia="Calibri"/>
        </w:rPr>
        <w:t xml:space="preserve"> that </w:t>
      </w:r>
      <w:r w:rsidR="00406CD0">
        <w:rPr>
          <w:rFonts w:eastAsia="Calibri"/>
        </w:rPr>
        <w:t xml:space="preserve">specific reform is not needed as </w:t>
      </w:r>
      <w:r w:rsidR="00406CD0" w:rsidRPr="00134889">
        <w:rPr>
          <w:rFonts w:eastAsia="Calibri"/>
        </w:rPr>
        <w:t xml:space="preserve">there is </w:t>
      </w:r>
      <w:r w:rsidR="00406CD0">
        <w:rPr>
          <w:rFonts w:eastAsia="Calibri"/>
        </w:rPr>
        <w:t>no</w:t>
      </w:r>
      <w:r w:rsidR="00406CD0" w:rsidRPr="00134889">
        <w:rPr>
          <w:rFonts w:eastAsia="Calibri"/>
        </w:rPr>
        <w:t xml:space="preserve"> evidence </w:t>
      </w:r>
      <w:r w:rsidR="00F96B82">
        <w:rPr>
          <w:rFonts w:eastAsia="Calibri"/>
        </w:rPr>
        <w:t>in Australia</w:t>
      </w:r>
      <w:r w:rsidR="00406CD0" w:rsidRPr="00134889">
        <w:rPr>
          <w:rFonts w:eastAsia="Calibri"/>
        </w:rPr>
        <w:t xml:space="preserve"> of </w:t>
      </w:r>
      <w:r w:rsidR="00F96B82">
        <w:rPr>
          <w:rFonts w:eastAsia="Calibri"/>
        </w:rPr>
        <w:t>dynamic pric</w:t>
      </w:r>
      <w:r w:rsidR="00856C5A">
        <w:rPr>
          <w:rFonts w:eastAsia="Calibri"/>
        </w:rPr>
        <w:t>ing</w:t>
      </w:r>
      <w:r w:rsidR="00F96B82">
        <w:rPr>
          <w:rFonts w:eastAsia="Calibri"/>
        </w:rPr>
        <w:t xml:space="preserve"> as defined in this paper</w:t>
      </w:r>
      <w:r w:rsidR="00406CD0" w:rsidRPr="00134889">
        <w:rPr>
          <w:rFonts w:eastAsia="Calibri"/>
        </w:rPr>
        <w:t xml:space="preserve">, and </w:t>
      </w:r>
      <w:r w:rsidR="00FB0B52">
        <w:rPr>
          <w:rFonts w:eastAsia="Calibri"/>
        </w:rPr>
        <w:t xml:space="preserve">if this </w:t>
      </w:r>
      <w:r w:rsidR="0045710A">
        <w:rPr>
          <w:rFonts w:eastAsia="Calibri"/>
        </w:rPr>
        <w:t xml:space="preserve">conduct were to </w:t>
      </w:r>
      <w:r w:rsidR="009B2320">
        <w:rPr>
          <w:rFonts w:eastAsia="Calibri"/>
        </w:rPr>
        <w:t>occur in Australia,</w:t>
      </w:r>
      <w:r w:rsidR="00406CD0" w:rsidRPr="00134889">
        <w:rPr>
          <w:rFonts w:eastAsia="Calibri"/>
        </w:rPr>
        <w:t xml:space="preserve"> the existing provisions of the ACL </w:t>
      </w:r>
      <w:r w:rsidR="0094001D">
        <w:rPr>
          <w:rFonts w:eastAsia="Calibri"/>
        </w:rPr>
        <w:t xml:space="preserve">could be relied upon </w:t>
      </w:r>
      <w:r w:rsidR="00205A9E">
        <w:rPr>
          <w:rFonts w:eastAsia="Calibri"/>
        </w:rPr>
        <w:t>in</w:t>
      </w:r>
      <w:r w:rsidR="0094001D">
        <w:rPr>
          <w:rFonts w:eastAsia="Calibri"/>
        </w:rPr>
        <w:t xml:space="preserve"> bring</w:t>
      </w:r>
      <w:r w:rsidR="00205A9E">
        <w:rPr>
          <w:rFonts w:eastAsia="Calibri"/>
        </w:rPr>
        <w:t>ing</w:t>
      </w:r>
      <w:r w:rsidR="0094001D">
        <w:rPr>
          <w:rFonts w:eastAsia="Calibri"/>
        </w:rPr>
        <w:t xml:space="preserve"> enforcement action</w:t>
      </w:r>
      <w:r w:rsidR="00406CD0" w:rsidRPr="00134889">
        <w:rPr>
          <w:rFonts w:eastAsia="Calibri"/>
        </w:rPr>
        <w:t xml:space="preserve">. For example, the prohibitions against misleading or deceptive conduct, and false or misleading representations as to price. </w:t>
      </w:r>
    </w:p>
    <w:p w14:paraId="473F29EF" w14:textId="3D8BFDF7" w:rsidR="00406CD0" w:rsidRDefault="00A93255" w:rsidP="008803B1">
      <w:pPr>
        <w:rPr>
          <w:rFonts w:cstheme="minorBidi"/>
        </w:rPr>
      </w:pPr>
      <w:r>
        <w:rPr>
          <w:rFonts w:cstheme="minorBidi"/>
        </w:rPr>
        <w:t>Accordingly, g</w:t>
      </w:r>
      <w:r w:rsidR="6B14D86A" w:rsidRPr="003061EA">
        <w:rPr>
          <w:rFonts w:cstheme="minorBidi"/>
        </w:rPr>
        <w:t xml:space="preserve">iven stakeholder feedback </w:t>
      </w:r>
      <w:r w:rsidR="6B14D86A" w:rsidRPr="20B6AEF9">
        <w:rPr>
          <w:rFonts w:cstheme="minorBidi"/>
        </w:rPr>
        <w:t xml:space="preserve">that </w:t>
      </w:r>
      <w:r w:rsidR="004268A7">
        <w:rPr>
          <w:rFonts w:cstheme="minorBidi"/>
        </w:rPr>
        <w:t xml:space="preserve">dynamic pricing, where </w:t>
      </w:r>
      <w:r w:rsidR="007861C0">
        <w:rPr>
          <w:rFonts w:cstheme="minorBidi"/>
        </w:rPr>
        <w:t>business</w:t>
      </w:r>
      <w:r w:rsidR="00231AD7">
        <w:rPr>
          <w:rFonts w:cstheme="minorBidi"/>
        </w:rPr>
        <w:t>es</w:t>
      </w:r>
      <w:r w:rsidR="004268A7">
        <w:rPr>
          <w:rFonts w:cstheme="minorBidi"/>
        </w:rPr>
        <w:t xml:space="preserve"> increase the price of a good and service during the </w:t>
      </w:r>
      <w:r w:rsidR="007861C0">
        <w:rPr>
          <w:rFonts w:cstheme="minorBidi"/>
        </w:rPr>
        <w:t>purchasing process,</w:t>
      </w:r>
      <w:r w:rsidRPr="00A93255">
        <w:rPr>
          <w:rFonts w:cstheme="minorBidi"/>
        </w:rPr>
        <w:t xml:space="preserve"> is </w:t>
      </w:r>
      <w:r w:rsidRPr="76621889">
        <w:rPr>
          <w:rFonts w:cstheme="minorBidi"/>
        </w:rPr>
        <w:t>likely already</w:t>
      </w:r>
      <w:r w:rsidRPr="00A93255">
        <w:rPr>
          <w:rFonts w:cstheme="minorBidi"/>
        </w:rPr>
        <w:t xml:space="preserve"> </w:t>
      </w:r>
      <w:r w:rsidR="001936D3">
        <w:rPr>
          <w:rFonts w:cstheme="minorBidi"/>
        </w:rPr>
        <w:t>prohibited</w:t>
      </w:r>
      <w:r w:rsidRPr="00A93255">
        <w:rPr>
          <w:rFonts w:cstheme="minorBidi"/>
        </w:rPr>
        <w:t xml:space="preserve"> by the ACL</w:t>
      </w:r>
      <w:r w:rsidR="00277FDC">
        <w:rPr>
          <w:rFonts w:cstheme="minorBidi"/>
        </w:rPr>
        <w:t>, s</w:t>
      </w:r>
      <w:r w:rsidR="00277FDC" w:rsidRPr="00A93255">
        <w:rPr>
          <w:rFonts w:cstheme="minorBidi"/>
        </w:rPr>
        <w:t>pecific reform is not proposed</w:t>
      </w:r>
      <w:r w:rsidR="00277FDC">
        <w:rPr>
          <w:rFonts w:cstheme="minorBidi"/>
        </w:rPr>
        <w:t>.</w:t>
      </w:r>
    </w:p>
    <w:p w14:paraId="5D388506" w14:textId="77777777" w:rsidR="00406CD0" w:rsidRPr="00F553BA" w:rsidRDefault="00406CD0" w:rsidP="00406CD0">
      <w:pPr>
        <w:pStyle w:val="Heading4"/>
      </w:pPr>
      <w:r>
        <w:t>Online account requirement</w:t>
      </w:r>
    </w:p>
    <w:p w14:paraId="23DC628D" w14:textId="04D74CB9" w:rsidR="002D4BA1" w:rsidRDefault="00406CD0" w:rsidP="00406CD0">
      <w:pPr>
        <w:rPr>
          <w:rFonts w:eastAsia="Calibri"/>
        </w:rPr>
      </w:pPr>
      <w:r w:rsidRPr="00F134A0">
        <w:rPr>
          <w:rFonts w:eastAsiaTheme="minorEastAsia"/>
        </w:rPr>
        <w:t>The Supplementary Consultation sought feedback on whether specific reform is needed to address potential harm arising from</w:t>
      </w:r>
      <w:r>
        <w:rPr>
          <w:rFonts w:eastAsiaTheme="minorEastAsia"/>
        </w:rPr>
        <w:t xml:space="preserve"> businesses requiring consumers to create an online account in order to make a</w:t>
      </w:r>
      <w:r w:rsidRPr="00F134A0">
        <w:rPr>
          <w:rFonts w:eastAsiaTheme="minorEastAsia"/>
        </w:rPr>
        <w:t xml:space="preserve"> </w:t>
      </w:r>
      <w:r>
        <w:rPr>
          <w:rFonts w:eastAsiaTheme="minorEastAsia"/>
        </w:rPr>
        <w:t>purchase</w:t>
      </w:r>
      <w:r w:rsidRPr="00F134A0">
        <w:rPr>
          <w:rFonts w:eastAsiaTheme="minorEastAsia"/>
        </w:rPr>
        <w:t>.</w:t>
      </w:r>
      <w:r>
        <w:rPr>
          <w:rFonts w:eastAsiaTheme="minorEastAsia"/>
        </w:rPr>
        <w:t xml:space="preserve"> </w:t>
      </w:r>
      <w:r>
        <w:rPr>
          <w:rFonts w:eastAsia="Calibri"/>
        </w:rPr>
        <w:t xml:space="preserve">Concerns were raised </w:t>
      </w:r>
      <w:r w:rsidRPr="00C8184B">
        <w:rPr>
          <w:rFonts w:eastAsia="Calibri"/>
        </w:rPr>
        <w:t>about consumers being required to disclose more personal information than is reasonably necessary in order to make a purchase, and the risk of this information being inappropriately managed or used.</w:t>
      </w:r>
      <w:r>
        <w:rPr>
          <w:rFonts w:eastAsia="Calibri"/>
        </w:rPr>
        <w:t xml:space="preserve"> </w:t>
      </w:r>
      <w:r w:rsidR="009128DA">
        <w:rPr>
          <w:rFonts w:eastAsiaTheme="minorEastAsia"/>
        </w:rPr>
        <w:t>There was some support for requiring business</w:t>
      </w:r>
      <w:r w:rsidR="002B444C">
        <w:rPr>
          <w:rFonts w:eastAsiaTheme="minorEastAsia"/>
        </w:rPr>
        <w:t>es</w:t>
      </w:r>
      <w:r w:rsidR="009128DA">
        <w:rPr>
          <w:rFonts w:eastAsiaTheme="minorEastAsia"/>
        </w:rPr>
        <w:t xml:space="preserve"> to provide a guest checkout option</w:t>
      </w:r>
      <w:r w:rsidR="009C2487">
        <w:rPr>
          <w:rFonts w:eastAsiaTheme="minorEastAsia"/>
        </w:rPr>
        <w:t xml:space="preserve"> to address this issue. </w:t>
      </w:r>
      <w:r w:rsidR="00672CBF">
        <w:rPr>
          <w:rFonts w:eastAsiaTheme="minorEastAsia"/>
        </w:rPr>
        <w:t>Consumer Advocates</w:t>
      </w:r>
      <w:r w:rsidR="00240A65">
        <w:rPr>
          <w:rFonts w:eastAsiaTheme="minorEastAsia"/>
        </w:rPr>
        <w:t xml:space="preserve"> consider</w:t>
      </w:r>
      <w:r w:rsidR="00EA518A">
        <w:rPr>
          <w:rFonts w:eastAsiaTheme="minorEastAsia"/>
        </w:rPr>
        <w:t>ed</w:t>
      </w:r>
      <w:r w:rsidR="00E068D3">
        <w:rPr>
          <w:rFonts w:eastAsiaTheme="minorEastAsia"/>
        </w:rPr>
        <w:t xml:space="preserve"> </w:t>
      </w:r>
      <w:r w:rsidR="0030078C">
        <w:rPr>
          <w:rFonts w:eastAsiaTheme="minorEastAsia"/>
        </w:rPr>
        <w:t>such a requirement</w:t>
      </w:r>
      <w:r w:rsidR="00E068D3">
        <w:rPr>
          <w:rFonts w:eastAsiaTheme="minorEastAsia"/>
        </w:rPr>
        <w:t xml:space="preserve"> </w:t>
      </w:r>
      <w:r w:rsidR="008E4B84">
        <w:rPr>
          <w:rFonts w:eastAsiaTheme="minorEastAsia"/>
        </w:rPr>
        <w:t xml:space="preserve">would </w:t>
      </w:r>
      <w:r w:rsidR="00F6310D">
        <w:rPr>
          <w:rFonts w:eastAsiaTheme="minorEastAsia"/>
        </w:rPr>
        <w:t xml:space="preserve">help address the </w:t>
      </w:r>
      <w:r w:rsidR="00C21138">
        <w:rPr>
          <w:rFonts w:eastAsiaTheme="minorEastAsia"/>
        </w:rPr>
        <w:t>‘</w:t>
      </w:r>
      <w:r w:rsidR="00F6310D">
        <w:rPr>
          <w:rFonts w:eastAsiaTheme="minorEastAsia"/>
        </w:rPr>
        <w:t>data grab</w:t>
      </w:r>
      <w:r w:rsidR="00C21138">
        <w:rPr>
          <w:rFonts w:eastAsiaTheme="minorEastAsia"/>
        </w:rPr>
        <w:t>’</w:t>
      </w:r>
      <w:r w:rsidR="00F6310D">
        <w:rPr>
          <w:rFonts w:eastAsiaTheme="minorEastAsia"/>
        </w:rPr>
        <w:t xml:space="preserve"> dark pattern, where consumers are </w:t>
      </w:r>
      <w:r w:rsidR="0029406C">
        <w:rPr>
          <w:rFonts w:eastAsiaTheme="minorEastAsia"/>
        </w:rPr>
        <w:t xml:space="preserve">asked for more information about themselves than what was </w:t>
      </w:r>
      <w:r w:rsidR="00EA518A">
        <w:rPr>
          <w:rFonts w:eastAsiaTheme="minorEastAsia"/>
        </w:rPr>
        <w:t>needed to access a product of service.</w:t>
      </w:r>
      <w:r w:rsidR="00EA518A">
        <w:rPr>
          <w:rStyle w:val="FootnoteReference"/>
          <w:rFonts w:eastAsiaTheme="minorEastAsia"/>
        </w:rPr>
        <w:footnoteReference w:id="135"/>
      </w:r>
      <w:r w:rsidR="00EA518A">
        <w:rPr>
          <w:rFonts w:eastAsiaTheme="minorEastAsia"/>
        </w:rPr>
        <w:t xml:space="preserve"> </w:t>
      </w:r>
      <w:r w:rsidR="00F72443">
        <w:rPr>
          <w:rFonts w:eastAsiaTheme="minorEastAsia"/>
        </w:rPr>
        <w:t>The ALMBC assert</w:t>
      </w:r>
      <w:r w:rsidR="00BF600D">
        <w:rPr>
          <w:rFonts w:eastAsiaTheme="minorEastAsia"/>
        </w:rPr>
        <w:t>ed</w:t>
      </w:r>
      <w:r w:rsidR="00F72443">
        <w:rPr>
          <w:rFonts w:eastAsiaTheme="minorEastAsia"/>
        </w:rPr>
        <w:t xml:space="preserve"> there </w:t>
      </w:r>
      <w:r w:rsidR="00F72443">
        <w:rPr>
          <w:rFonts w:eastAsiaTheme="minorEastAsia"/>
        </w:rPr>
        <w:lastRenderedPageBreak/>
        <w:t xml:space="preserve">should always be a guest check out option, </w:t>
      </w:r>
      <w:r w:rsidR="00EF1352">
        <w:rPr>
          <w:rFonts w:eastAsiaTheme="minorEastAsia"/>
        </w:rPr>
        <w:t>noting</w:t>
      </w:r>
      <w:r w:rsidR="005800AA">
        <w:rPr>
          <w:rFonts w:eastAsiaTheme="minorEastAsia"/>
        </w:rPr>
        <w:t xml:space="preserve"> </w:t>
      </w:r>
      <w:r w:rsidR="00F72443">
        <w:rPr>
          <w:rFonts w:eastAsiaTheme="minorEastAsia"/>
        </w:rPr>
        <w:t>that businesses</w:t>
      </w:r>
      <w:r w:rsidR="00BC5497">
        <w:rPr>
          <w:rFonts w:eastAsiaTheme="minorEastAsia"/>
        </w:rPr>
        <w:t xml:space="preserve"> </w:t>
      </w:r>
      <w:r w:rsidR="002C133F">
        <w:rPr>
          <w:rFonts w:eastAsiaTheme="minorEastAsia"/>
        </w:rPr>
        <w:t>that have</w:t>
      </w:r>
      <w:r w:rsidR="00047B2A">
        <w:rPr>
          <w:rFonts w:eastAsiaTheme="minorEastAsia"/>
        </w:rPr>
        <w:t xml:space="preserve"> </w:t>
      </w:r>
      <w:r w:rsidR="00831B27">
        <w:rPr>
          <w:rFonts w:eastAsiaTheme="minorEastAsia"/>
        </w:rPr>
        <w:t xml:space="preserve">contact </w:t>
      </w:r>
      <w:r w:rsidR="00C02292">
        <w:rPr>
          <w:rFonts w:eastAsiaTheme="minorEastAsia"/>
        </w:rPr>
        <w:t xml:space="preserve">details </w:t>
      </w:r>
      <w:r w:rsidR="004E6ED8">
        <w:rPr>
          <w:rFonts w:eastAsiaTheme="minorEastAsia"/>
        </w:rPr>
        <w:t xml:space="preserve">of customers </w:t>
      </w:r>
      <w:r w:rsidR="00882324">
        <w:rPr>
          <w:rFonts w:eastAsiaTheme="minorEastAsia"/>
        </w:rPr>
        <w:t>ca</w:t>
      </w:r>
      <w:r w:rsidR="003A33F1">
        <w:rPr>
          <w:rFonts w:eastAsiaTheme="minorEastAsia"/>
        </w:rPr>
        <w:t xml:space="preserve">n </w:t>
      </w:r>
      <w:r w:rsidR="000D5C92">
        <w:rPr>
          <w:rFonts w:eastAsiaTheme="minorEastAsia"/>
        </w:rPr>
        <w:t>then</w:t>
      </w:r>
      <w:r w:rsidR="00C02292">
        <w:rPr>
          <w:rFonts w:eastAsiaTheme="minorEastAsia"/>
        </w:rPr>
        <w:t xml:space="preserve"> directly market to </w:t>
      </w:r>
      <w:r w:rsidR="004E6ED8">
        <w:rPr>
          <w:rFonts w:eastAsiaTheme="minorEastAsia"/>
        </w:rPr>
        <w:t>them</w:t>
      </w:r>
      <w:r w:rsidR="00C02292">
        <w:rPr>
          <w:rFonts w:eastAsiaTheme="minorEastAsia"/>
        </w:rPr>
        <w:t>.</w:t>
      </w:r>
      <w:r w:rsidR="00A8462C">
        <w:rPr>
          <w:rStyle w:val="FootnoteReference"/>
          <w:rFonts w:eastAsiaTheme="minorEastAsia"/>
        </w:rPr>
        <w:footnoteReference w:id="136"/>
      </w:r>
      <w:r w:rsidR="00C02292">
        <w:rPr>
          <w:rFonts w:eastAsiaTheme="minorEastAsia"/>
        </w:rPr>
        <w:t xml:space="preserve"> </w:t>
      </w:r>
    </w:p>
    <w:p w14:paraId="5C5410CB" w14:textId="5EFF1285" w:rsidR="00406CD0" w:rsidRPr="00297722" w:rsidRDefault="00406CD0" w:rsidP="00406CD0">
      <w:pPr>
        <w:rPr>
          <w:rFonts w:eastAsia="Calibri"/>
        </w:rPr>
      </w:pPr>
      <w:r>
        <w:rPr>
          <w:rFonts w:eastAsia="Calibri"/>
        </w:rPr>
        <w:t>Stakeholders</w:t>
      </w:r>
      <w:r w:rsidRPr="00297722">
        <w:rPr>
          <w:rFonts w:eastAsia="Calibri"/>
        </w:rPr>
        <w:t xml:space="preserve">, including the BCA and the </w:t>
      </w:r>
      <w:r>
        <w:rPr>
          <w:rFonts w:eastAsia="Calibri"/>
        </w:rPr>
        <w:t xml:space="preserve">Competition &amp; Consumer </w:t>
      </w:r>
      <w:r w:rsidRPr="00297722">
        <w:rPr>
          <w:rFonts w:eastAsia="Calibri"/>
        </w:rPr>
        <w:t>Committee of the Law Council, considered</w:t>
      </w:r>
      <w:r>
        <w:rPr>
          <w:rFonts w:eastAsia="Calibri"/>
        </w:rPr>
        <w:t xml:space="preserve"> however</w:t>
      </w:r>
      <w:r w:rsidRPr="00297722">
        <w:rPr>
          <w:rFonts w:eastAsia="Calibri"/>
        </w:rPr>
        <w:t xml:space="preserve"> that as these concerns relate to the collection and use of personal information, they are</w:t>
      </w:r>
      <w:r>
        <w:rPr>
          <w:rFonts w:eastAsia="Calibri"/>
        </w:rPr>
        <w:t xml:space="preserve"> primarily privacy related issues and therefore</w:t>
      </w:r>
      <w:r w:rsidRPr="00297722">
        <w:rPr>
          <w:rFonts w:eastAsia="Calibri"/>
        </w:rPr>
        <w:t xml:space="preserve"> best addressed by the proposed Privacy Act reforms (specifically the </w:t>
      </w:r>
      <w:r w:rsidR="0038784F">
        <w:rPr>
          <w:rFonts w:eastAsia="Calibri"/>
        </w:rPr>
        <w:t>requirement for the collection, use and disclosure of personal information to be</w:t>
      </w:r>
      <w:r w:rsidRPr="00297722">
        <w:rPr>
          <w:rFonts w:eastAsia="Calibri"/>
        </w:rPr>
        <w:t xml:space="preserve"> ‘fair and reasonable’ </w:t>
      </w:r>
      <w:r w:rsidR="0038784F">
        <w:rPr>
          <w:rFonts w:eastAsia="Calibri"/>
        </w:rPr>
        <w:t>in the circu</w:t>
      </w:r>
      <w:r w:rsidR="00223625">
        <w:rPr>
          <w:rFonts w:eastAsia="Calibri"/>
        </w:rPr>
        <w:t>mstances</w:t>
      </w:r>
      <w:r w:rsidRPr="00297722">
        <w:rPr>
          <w:rFonts w:eastAsia="Calibri"/>
        </w:rPr>
        <w:t>)</w:t>
      </w:r>
      <w:r>
        <w:rPr>
          <w:rFonts w:eastAsia="Calibri"/>
        </w:rPr>
        <w:t>.</w:t>
      </w:r>
      <w:r>
        <w:rPr>
          <w:rStyle w:val="FootnoteReference"/>
          <w:rFonts w:eastAsia="Calibri"/>
        </w:rPr>
        <w:footnoteReference w:id="137"/>
      </w:r>
      <w:r w:rsidRPr="00297722">
        <w:rPr>
          <w:rFonts w:eastAsia="Calibri"/>
        </w:rPr>
        <w:t> </w:t>
      </w:r>
    </w:p>
    <w:p w14:paraId="4BB5DD60" w14:textId="399B2904" w:rsidR="00CB63C0" w:rsidRPr="00297722" w:rsidRDefault="00752F09" w:rsidP="00406CD0">
      <w:pPr>
        <w:rPr>
          <w:rFonts w:eastAsia="Calibri"/>
        </w:rPr>
      </w:pPr>
      <w:r>
        <w:rPr>
          <w:rFonts w:eastAsiaTheme="minorEastAsia"/>
        </w:rPr>
        <w:t xml:space="preserve">Further, </w:t>
      </w:r>
      <w:r w:rsidR="00604ACE">
        <w:rPr>
          <w:rFonts w:eastAsiaTheme="minorEastAsia"/>
        </w:rPr>
        <w:t>some stakeholders</w:t>
      </w:r>
      <w:r>
        <w:rPr>
          <w:rFonts w:eastAsiaTheme="minorEastAsia"/>
        </w:rPr>
        <w:t xml:space="preserve"> </w:t>
      </w:r>
      <w:r w:rsidR="003006D3">
        <w:rPr>
          <w:rFonts w:eastAsiaTheme="minorEastAsia"/>
        </w:rPr>
        <w:t xml:space="preserve">argued </w:t>
      </w:r>
      <w:r w:rsidR="00897405">
        <w:rPr>
          <w:rFonts w:eastAsiaTheme="minorEastAsia"/>
        </w:rPr>
        <w:t>that</w:t>
      </w:r>
      <w:r w:rsidR="00CB63C0">
        <w:rPr>
          <w:rFonts w:eastAsiaTheme="minorEastAsia"/>
        </w:rPr>
        <w:t xml:space="preserve"> there are often </w:t>
      </w:r>
      <w:r w:rsidR="00CB63C0" w:rsidRPr="00C929E0">
        <w:rPr>
          <w:rFonts w:eastAsiaTheme="minorEastAsia"/>
        </w:rPr>
        <w:t xml:space="preserve">legitimate reasons </w:t>
      </w:r>
      <w:r w:rsidR="00CB63C0">
        <w:rPr>
          <w:rFonts w:eastAsiaTheme="minorEastAsia"/>
        </w:rPr>
        <w:t xml:space="preserve">why </w:t>
      </w:r>
      <w:r w:rsidR="00296384">
        <w:rPr>
          <w:rFonts w:eastAsiaTheme="minorEastAsia"/>
        </w:rPr>
        <w:t>businesses would</w:t>
      </w:r>
      <w:r w:rsidR="00CB63C0">
        <w:rPr>
          <w:rFonts w:eastAsiaTheme="minorEastAsia"/>
        </w:rPr>
        <w:t xml:space="preserve"> require </w:t>
      </w:r>
      <w:r w:rsidR="00296384">
        <w:rPr>
          <w:rFonts w:eastAsiaTheme="minorEastAsia"/>
        </w:rPr>
        <w:t xml:space="preserve">a </w:t>
      </w:r>
      <w:r w:rsidR="00CB63C0">
        <w:rPr>
          <w:rFonts w:eastAsiaTheme="minorEastAsia"/>
        </w:rPr>
        <w:t>consumer to create an account (even for a one-off purchase)</w:t>
      </w:r>
      <w:r w:rsidR="00CB63C0">
        <w:rPr>
          <w:rStyle w:val="FootnoteReference"/>
          <w:rFonts w:eastAsiaTheme="minorEastAsia"/>
        </w:rPr>
        <w:footnoteReference w:id="138"/>
      </w:r>
      <w:r w:rsidR="00CB63C0">
        <w:rPr>
          <w:rFonts w:eastAsiaTheme="minorEastAsia"/>
        </w:rPr>
        <w:t xml:space="preserve"> and </w:t>
      </w:r>
      <w:r w:rsidR="00064D91">
        <w:rPr>
          <w:rFonts w:eastAsiaTheme="minorEastAsia"/>
        </w:rPr>
        <w:t>cautioned that</w:t>
      </w:r>
      <w:r w:rsidR="00CB63C0">
        <w:rPr>
          <w:rFonts w:eastAsiaTheme="minorEastAsia"/>
        </w:rPr>
        <w:t xml:space="preserve"> </w:t>
      </w:r>
      <w:r w:rsidR="00064D91">
        <w:rPr>
          <w:rFonts w:eastAsiaTheme="minorEastAsia"/>
        </w:rPr>
        <w:t xml:space="preserve">prohibiting </w:t>
      </w:r>
      <w:r w:rsidR="00296384">
        <w:rPr>
          <w:rFonts w:eastAsiaTheme="minorEastAsia"/>
        </w:rPr>
        <w:t>mandatory account creation</w:t>
      </w:r>
      <w:r w:rsidR="00CB63C0">
        <w:rPr>
          <w:rFonts w:eastAsiaTheme="minorEastAsia"/>
        </w:rPr>
        <w:t xml:space="preserve"> could have unintended consequences. </w:t>
      </w:r>
      <w:r w:rsidR="00604ACE">
        <w:rPr>
          <w:rFonts w:eastAsiaTheme="minorEastAsia"/>
        </w:rPr>
        <w:t>Submissions e</w:t>
      </w:r>
      <w:r w:rsidR="00CB63C0">
        <w:rPr>
          <w:rFonts w:eastAsiaTheme="minorEastAsia"/>
        </w:rPr>
        <w:t>mphasised</w:t>
      </w:r>
      <w:r w:rsidR="00CB63C0" w:rsidRPr="00C929E0">
        <w:rPr>
          <w:rFonts w:eastAsiaTheme="minorEastAsia"/>
        </w:rPr>
        <w:t xml:space="preserve"> that</w:t>
      </w:r>
      <w:r w:rsidR="00CB63C0">
        <w:rPr>
          <w:rFonts w:eastAsiaTheme="minorEastAsia"/>
        </w:rPr>
        <w:t xml:space="preserve"> most</w:t>
      </w:r>
      <w:r w:rsidR="00CB63C0" w:rsidRPr="00C929E0">
        <w:rPr>
          <w:rFonts w:eastAsiaTheme="minorEastAsia"/>
        </w:rPr>
        <w:t xml:space="preserve"> </w:t>
      </w:r>
      <w:r w:rsidR="00CB63C0">
        <w:rPr>
          <w:rFonts w:eastAsiaTheme="minorEastAsia"/>
        </w:rPr>
        <w:t>businesses</w:t>
      </w:r>
      <w:r w:rsidR="00CB63C0" w:rsidRPr="00C929E0">
        <w:rPr>
          <w:rFonts w:eastAsiaTheme="minorEastAsia"/>
        </w:rPr>
        <w:t xml:space="preserve"> </w:t>
      </w:r>
      <w:r w:rsidR="00CB63C0">
        <w:rPr>
          <w:rFonts w:eastAsiaTheme="minorEastAsia"/>
        </w:rPr>
        <w:t>that can offer a</w:t>
      </w:r>
      <w:r w:rsidR="00CB63C0" w:rsidRPr="00C929E0">
        <w:rPr>
          <w:rFonts w:eastAsiaTheme="minorEastAsia"/>
        </w:rPr>
        <w:t xml:space="preserve"> guest checkout option</w:t>
      </w:r>
      <w:r w:rsidR="005E7F35">
        <w:rPr>
          <w:rFonts w:eastAsiaTheme="minorEastAsia"/>
        </w:rPr>
        <w:t>,</w:t>
      </w:r>
      <w:r w:rsidR="00CB63C0" w:rsidRPr="00C929E0">
        <w:rPr>
          <w:rFonts w:eastAsiaTheme="minorEastAsia"/>
        </w:rPr>
        <w:t xml:space="preserve"> </w:t>
      </w:r>
      <w:r w:rsidR="00CB63C0">
        <w:rPr>
          <w:rFonts w:eastAsiaTheme="minorEastAsia"/>
        </w:rPr>
        <w:t>already do so.</w:t>
      </w:r>
    </w:p>
    <w:p w14:paraId="20151EE1" w14:textId="309F2AEE" w:rsidR="00406CD0" w:rsidRPr="007108E3" w:rsidRDefault="00406CD0" w:rsidP="00406CD0">
      <w:pPr>
        <w:rPr>
          <w:rFonts w:eastAsia="Calibri"/>
        </w:rPr>
      </w:pPr>
      <w:r>
        <w:rPr>
          <w:rFonts w:eastAsiaTheme="minorEastAsia"/>
        </w:rPr>
        <w:t>Issues related to the collection and use of personal information as well as unsolicited marketing communications are regulated by frameworks outside of the ACL (specifically the Privacy Act and the Spam Act</w:t>
      </w:r>
      <w:r>
        <w:rPr>
          <w:rStyle w:val="FootnoteReference"/>
          <w:rFonts w:eastAsiaTheme="minorEastAsia"/>
        </w:rPr>
        <w:footnoteReference w:id="139"/>
      </w:r>
      <w:r>
        <w:rPr>
          <w:rFonts w:eastAsiaTheme="minorEastAsia"/>
        </w:rPr>
        <w:t xml:space="preserve">). </w:t>
      </w:r>
      <w:r w:rsidR="00B152E4">
        <w:rPr>
          <w:rFonts w:eastAsiaTheme="minorEastAsia"/>
        </w:rPr>
        <w:t>Accordingly,</w:t>
      </w:r>
      <w:r>
        <w:rPr>
          <w:rFonts w:eastAsiaTheme="minorEastAsia"/>
        </w:rPr>
        <w:t xml:space="preserve"> specific reform to the ACL to prevent businesses from requiring consumers to create an online account to make a purchase</w:t>
      </w:r>
      <w:r w:rsidR="00B152E4">
        <w:rPr>
          <w:rFonts w:eastAsiaTheme="minorEastAsia"/>
        </w:rPr>
        <w:t xml:space="preserve"> </w:t>
      </w:r>
      <w:r w:rsidR="00086937">
        <w:rPr>
          <w:rFonts w:eastAsiaTheme="minorEastAsia"/>
        </w:rPr>
        <w:t>or requiring businesses to offer a guest checkout option</w:t>
      </w:r>
      <w:r w:rsidR="00B152E4">
        <w:rPr>
          <w:rFonts w:eastAsiaTheme="minorEastAsia"/>
        </w:rPr>
        <w:t xml:space="preserve"> is not proposed.</w:t>
      </w:r>
    </w:p>
    <w:p w14:paraId="654E5D20" w14:textId="77777777" w:rsidR="00406CD0" w:rsidRPr="00657BC7" w:rsidRDefault="00406CD0" w:rsidP="00406CD0">
      <w:pPr>
        <w:pStyle w:val="Heading4"/>
      </w:pPr>
      <w:r w:rsidRPr="00657BC7">
        <w:t>Barriers to accessing customer support</w:t>
      </w:r>
    </w:p>
    <w:p w14:paraId="0A578818" w14:textId="47D212A1" w:rsidR="00406CD0" w:rsidRDefault="00406CD0" w:rsidP="00406CD0">
      <w:r w:rsidRPr="00CB625D">
        <w:t>Many examples</w:t>
      </w:r>
      <w:r>
        <w:t xml:space="preserve"> of harms suffered by consumers as a result of barriers to accessing customer support</w:t>
      </w:r>
      <w:r w:rsidRPr="00CB625D">
        <w:t xml:space="preserve"> raised</w:t>
      </w:r>
      <w:r>
        <w:t xml:space="preserve"> in consultation</w:t>
      </w:r>
      <w:r w:rsidRPr="00CB625D">
        <w:t xml:space="preserve"> were in relation to online sales and to subscription services</w:t>
      </w:r>
      <w:r>
        <w:t xml:space="preserve">. Submissions noted </w:t>
      </w:r>
      <w:r w:rsidRPr="00CB625D">
        <w:t>consumers can experience difficulties cancelling a subscription because they have been unable to contact a business.</w:t>
      </w:r>
      <w:r>
        <w:t xml:space="preserve"> There was s</w:t>
      </w:r>
      <w:r w:rsidRPr="00AB23A5">
        <w:t>ome</w:t>
      </w:r>
      <w:r>
        <w:t xml:space="preserve"> stakeholder</w:t>
      </w:r>
      <w:r w:rsidRPr="00AB23A5">
        <w:t xml:space="preserve"> support for a specific </w:t>
      </w:r>
      <w:r w:rsidR="00DC5B6E">
        <w:t xml:space="preserve">legislative requirement on </w:t>
      </w:r>
      <w:r w:rsidRPr="00AB23A5">
        <w:t>businesses to provide a direct contact point for customer service (such as an email or phone number). </w:t>
      </w:r>
      <w:r w:rsidRPr="003935CD">
        <w:t>A number of stakeholders</w:t>
      </w:r>
      <w:r w:rsidR="00B96839">
        <w:t>, while supportive of access to customer support,</w:t>
      </w:r>
      <w:r w:rsidRPr="003935CD">
        <w:t xml:space="preserve"> advocated against a specific </w:t>
      </w:r>
      <w:r w:rsidR="002D3446">
        <w:t xml:space="preserve">law </w:t>
      </w:r>
      <w:r w:rsidRPr="003935CD">
        <w:t xml:space="preserve">which mandates a particular level or method of customer support, arguing </w:t>
      </w:r>
      <w:r w:rsidR="002D3446">
        <w:t xml:space="preserve">that </w:t>
      </w:r>
      <w:r w:rsidRPr="003935CD">
        <w:t>what is ‘adequate’ customer service will differ depending on the scale and type of the relevant business, and the nature of the good</w:t>
      </w:r>
      <w:r w:rsidR="00F242ED">
        <w:t>s</w:t>
      </w:r>
      <w:r w:rsidR="004C6F7D">
        <w:t xml:space="preserve"> or </w:t>
      </w:r>
      <w:r w:rsidRPr="003935CD">
        <w:t>service</w:t>
      </w:r>
      <w:r w:rsidR="00F242ED">
        <w:t>s</w:t>
      </w:r>
      <w:r w:rsidRPr="003935CD">
        <w:t xml:space="preserve"> being sold.</w:t>
      </w:r>
      <w:r w:rsidR="00F858C1">
        <w:rPr>
          <w:rStyle w:val="FootnoteReference"/>
        </w:rPr>
        <w:footnoteReference w:id="140"/>
      </w:r>
      <w:r w:rsidRPr="003935CD">
        <w:t> </w:t>
      </w:r>
      <w:r w:rsidRPr="00CA416C">
        <w:t>Certain stakeholders noted that requiring businesses to provide in person support or call centre options would increase the cost of doing business, with small businesses being disproportionately impacted.</w:t>
      </w:r>
      <w:r w:rsidR="00F858C1">
        <w:rPr>
          <w:rStyle w:val="FootnoteReference"/>
        </w:rPr>
        <w:footnoteReference w:id="141"/>
      </w:r>
      <w:r w:rsidRPr="00CA416C">
        <w:t>  </w:t>
      </w:r>
    </w:p>
    <w:p w14:paraId="10E299EB" w14:textId="5A2D4E87" w:rsidR="00406CD0" w:rsidRDefault="00406CD0" w:rsidP="00DA5449">
      <w:pPr>
        <w:spacing w:before="0" w:after="200"/>
      </w:pPr>
      <w:r>
        <w:t>The</w:t>
      </w:r>
      <w:r w:rsidRPr="00CB625D">
        <w:t> </w:t>
      </w:r>
      <w:r w:rsidRPr="000E1483">
        <w:t>ACC</w:t>
      </w:r>
      <w:r>
        <w:t>C and</w:t>
      </w:r>
      <w:r w:rsidRPr="000E1483">
        <w:t xml:space="preserve"> CPRC considered a general prohibition</w:t>
      </w:r>
      <w:r>
        <w:t>, and an item on the grey list which covers post sale conduct,</w:t>
      </w:r>
      <w:r w:rsidRPr="000E1483">
        <w:t xml:space="preserve"> would be an appropriate </w:t>
      </w:r>
      <w:r>
        <w:t>m</w:t>
      </w:r>
      <w:r w:rsidRPr="000E1483">
        <w:t>eans to address consumer harm arising from businesses failing to provide adequate access to customer support</w:t>
      </w:r>
      <w:r>
        <w:t>.</w:t>
      </w:r>
      <w:r>
        <w:rPr>
          <w:rStyle w:val="FootnoteReference"/>
        </w:rPr>
        <w:footnoteReference w:id="142"/>
      </w:r>
      <w:r w:rsidR="00F76B4A">
        <w:t xml:space="preserve"> </w:t>
      </w:r>
      <w:r w:rsidR="000574F8">
        <w:t>During the legislative drafting process, consideration will be given to addressing unfair post-sale conduct through</w:t>
      </w:r>
      <w:r w:rsidR="0050578A">
        <w:t xml:space="preserve"> the general prohibition</w:t>
      </w:r>
      <w:r w:rsidR="00ED6F9D">
        <w:t>.</w:t>
      </w:r>
      <w:r w:rsidR="0050578A">
        <w:t xml:space="preserve"> </w:t>
      </w:r>
    </w:p>
    <w:p w14:paraId="60378145" w14:textId="77777777" w:rsidR="00406CD0" w:rsidRDefault="00406CD0" w:rsidP="00406CD0">
      <w:pPr>
        <w:pStyle w:val="Heading3"/>
      </w:pPr>
      <w:bookmarkStart w:id="62" w:name="_Toc202971531"/>
      <w:bookmarkStart w:id="63" w:name="_Toc206422534"/>
      <w:r>
        <w:lastRenderedPageBreak/>
        <w:t xml:space="preserve">Option 4: </w:t>
      </w:r>
      <w:r w:rsidRPr="00833064">
        <w:t>Regulation impact summary</w:t>
      </w:r>
      <w:bookmarkEnd w:id="62"/>
      <w:bookmarkEnd w:id="63"/>
    </w:p>
    <w:p w14:paraId="4C67170C" w14:textId="77777777" w:rsidR="00406CD0" w:rsidRDefault="00406CD0" w:rsidP="00406CD0">
      <w:pPr>
        <w:pStyle w:val="Heading4"/>
      </w:pPr>
      <w:r>
        <w:t>Costs</w:t>
      </w:r>
    </w:p>
    <w:p w14:paraId="29EBFF2D" w14:textId="01393607" w:rsidR="00406CD0" w:rsidRDefault="00406CD0" w:rsidP="00406CD0">
      <w:r>
        <w:t xml:space="preserve">Table </w:t>
      </w:r>
      <w:r w:rsidR="00053ABD">
        <w:t>2</w:t>
      </w:r>
      <w:r>
        <w:t xml:space="preserve"> outlines the estimated regulatory costs expected to be imposed by Option 4 (the combined general prohibition, subscriptions and drip pricing proposals) on business, community organisations and individuals. Treasury estimates that business will incur $123.2</w:t>
      </w:r>
      <w:r w:rsidR="00740E1A">
        <w:t>0</w:t>
      </w:r>
      <w:r>
        <w:t xml:space="preserve"> million in annual regulatory costs, over 10 years. Individuals and community organisations are not expected to incur any regulatory costs. </w:t>
      </w:r>
      <w:r w:rsidR="00007B7B">
        <w:t xml:space="preserve">As outlined </w:t>
      </w:r>
      <w:r w:rsidR="00786E0C">
        <w:t>in the subscription section</w:t>
      </w:r>
      <w:r w:rsidR="00786E0C">
        <w:rPr>
          <w:rFonts w:cstheme="minorHAnsi"/>
          <w:szCs w:val="22"/>
        </w:rPr>
        <w:t xml:space="preserve">, </w:t>
      </w:r>
      <w:r w:rsidR="00CA429C">
        <w:rPr>
          <w:rFonts w:cstheme="minorHAnsi"/>
          <w:szCs w:val="22"/>
        </w:rPr>
        <w:t>recurring</w:t>
      </w:r>
      <w:r w:rsidR="00786E0C">
        <w:rPr>
          <w:rFonts w:cstheme="minorHAnsi"/>
          <w:szCs w:val="22"/>
        </w:rPr>
        <w:t xml:space="preserve"> donations</w:t>
      </w:r>
      <w:r w:rsidR="00A72910">
        <w:rPr>
          <w:rFonts w:cstheme="minorHAnsi"/>
          <w:szCs w:val="22"/>
        </w:rPr>
        <w:t xml:space="preserve"> </w:t>
      </w:r>
      <w:r w:rsidR="00222DF7">
        <w:rPr>
          <w:rFonts w:cstheme="minorHAnsi"/>
          <w:szCs w:val="22"/>
        </w:rPr>
        <w:t>made to</w:t>
      </w:r>
      <w:r w:rsidR="00A72910">
        <w:rPr>
          <w:rFonts w:cstheme="minorHAnsi"/>
          <w:szCs w:val="22"/>
        </w:rPr>
        <w:t xml:space="preserve"> charities and not</w:t>
      </w:r>
      <w:r w:rsidR="00624217">
        <w:rPr>
          <w:rFonts w:cstheme="minorHAnsi"/>
          <w:szCs w:val="22"/>
        </w:rPr>
        <w:t>-</w:t>
      </w:r>
      <w:r w:rsidR="00A72910">
        <w:rPr>
          <w:rFonts w:cstheme="minorHAnsi"/>
          <w:szCs w:val="22"/>
        </w:rPr>
        <w:t>for</w:t>
      </w:r>
      <w:r w:rsidR="00624217">
        <w:rPr>
          <w:rFonts w:cstheme="minorHAnsi"/>
          <w:szCs w:val="22"/>
        </w:rPr>
        <w:t>-</w:t>
      </w:r>
      <w:r w:rsidR="00A72910">
        <w:rPr>
          <w:rFonts w:cstheme="minorHAnsi"/>
          <w:szCs w:val="22"/>
        </w:rPr>
        <w:t>profit organisations</w:t>
      </w:r>
      <w:r w:rsidR="00786E0C">
        <w:rPr>
          <w:rFonts w:cstheme="minorHAnsi"/>
          <w:szCs w:val="22"/>
        </w:rPr>
        <w:t xml:space="preserve"> not provided in exchange for a product or service </w:t>
      </w:r>
      <w:r w:rsidR="00A72910">
        <w:rPr>
          <w:rFonts w:cstheme="minorHAnsi"/>
          <w:szCs w:val="22"/>
        </w:rPr>
        <w:t>are</w:t>
      </w:r>
      <w:r w:rsidR="00F850F3">
        <w:rPr>
          <w:rFonts w:cstheme="minorHAnsi"/>
          <w:szCs w:val="22"/>
        </w:rPr>
        <w:t xml:space="preserve"> not</w:t>
      </w:r>
      <w:r w:rsidR="00A72910">
        <w:rPr>
          <w:rFonts w:cstheme="minorHAnsi"/>
          <w:szCs w:val="22"/>
        </w:rPr>
        <w:t xml:space="preserve"> intended to be in</w:t>
      </w:r>
      <w:r w:rsidR="00786E0C">
        <w:rPr>
          <w:rFonts w:cstheme="minorHAnsi"/>
          <w:szCs w:val="22"/>
        </w:rPr>
        <w:t xml:space="preserve"> scope</w:t>
      </w:r>
      <w:r w:rsidR="00211D31">
        <w:rPr>
          <w:rFonts w:cstheme="minorHAnsi"/>
          <w:szCs w:val="22"/>
        </w:rPr>
        <w:t xml:space="preserve"> </w:t>
      </w:r>
      <w:r w:rsidR="00F850F3">
        <w:rPr>
          <w:rFonts w:cstheme="minorHAnsi"/>
          <w:szCs w:val="22"/>
        </w:rPr>
        <w:t>o</w:t>
      </w:r>
      <w:r w:rsidR="00211D31">
        <w:rPr>
          <w:rFonts w:cstheme="minorHAnsi"/>
          <w:szCs w:val="22"/>
        </w:rPr>
        <w:t>f the subscription reforms</w:t>
      </w:r>
      <w:r w:rsidR="00786E0C">
        <w:rPr>
          <w:rFonts w:cstheme="minorHAnsi"/>
          <w:szCs w:val="22"/>
        </w:rPr>
        <w:t xml:space="preserve">. </w:t>
      </w:r>
    </w:p>
    <w:p w14:paraId="3FA3F9DF" w14:textId="408BF3EB" w:rsidR="00406CD0" w:rsidRDefault="00406CD0" w:rsidP="00406CD0">
      <w:r>
        <w:t>More detail is available at Appendix B.</w:t>
      </w:r>
    </w:p>
    <w:p w14:paraId="5A0A80D9" w14:textId="77777777" w:rsidR="002C4F2A" w:rsidRDefault="002C4F2A" w:rsidP="00406CD0"/>
    <w:p w14:paraId="4714440C" w14:textId="1077C98C" w:rsidR="004D0602" w:rsidRPr="0044511C" w:rsidRDefault="0075581A" w:rsidP="00406CD0">
      <w:pPr>
        <w:rPr>
          <w:b/>
          <w:bCs/>
        </w:rPr>
      </w:pPr>
      <w:r w:rsidRPr="00053ABD">
        <w:rPr>
          <w:b/>
          <w:bCs/>
        </w:rPr>
        <w:t>Table</w:t>
      </w:r>
      <w:r w:rsidR="00053ABD" w:rsidRPr="00053ABD">
        <w:rPr>
          <w:b/>
          <w:bCs/>
        </w:rPr>
        <w:t xml:space="preserve"> 2</w:t>
      </w:r>
      <w:r w:rsidRPr="00053ABD">
        <w:rPr>
          <w:b/>
          <w:bCs/>
        </w:rPr>
        <w:t>:</w:t>
      </w:r>
      <w:r>
        <w:rPr>
          <w:b/>
          <w:bCs/>
        </w:rPr>
        <w:t xml:space="preserve"> Regulation Burden Estimate Option 4</w:t>
      </w:r>
    </w:p>
    <w:tbl>
      <w:tblPr>
        <w:tblStyle w:val="TableGrid"/>
        <w:tblW w:w="9171" w:type="dxa"/>
        <w:tblLook w:val="04A0" w:firstRow="1" w:lastRow="0" w:firstColumn="1" w:lastColumn="0" w:noHBand="0" w:noVBand="1"/>
      </w:tblPr>
      <w:tblGrid>
        <w:gridCol w:w="2835"/>
        <w:gridCol w:w="1495"/>
        <w:gridCol w:w="1307"/>
        <w:gridCol w:w="1309"/>
        <w:gridCol w:w="2225"/>
      </w:tblGrid>
      <w:tr w:rsidR="00524414" w:rsidRPr="00CB45FF" w14:paraId="726950F4" w14:textId="77777777" w:rsidTr="006120DA">
        <w:trPr>
          <w:cnfStyle w:val="100000000000" w:firstRow="1" w:lastRow="0" w:firstColumn="0" w:lastColumn="0" w:oddVBand="0" w:evenVBand="0" w:oddHBand="0" w:evenHBand="0" w:firstRowFirstColumn="0" w:firstRowLastColumn="0" w:lastRowFirstColumn="0" w:lastRowLastColumn="0"/>
          <w:trHeight w:val="252"/>
        </w:trPr>
        <w:tc>
          <w:tcPr>
            <w:tcW w:w="2835" w:type="dxa"/>
            <w:noWrap/>
            <w:hideMark/>
          </w:tcPr>
          <w:p w14:paraId="10B5A420" w14:textId="77777777" w:rsidR="00406CD0" w:rsidRPr="00CB45FF" w:rsidRDefault="00406CD0">
            <w:pPr>
              <w:spacing w:before="96" w:after="96"/>
              <w:rPr>
                <w:bCs/>
              </w:rPr>
            </w:pPr>
            <w:r w:rsidRPr="00CB45FF">
              <w:rPr>
                <w:bCs/>
              </w:rPr>
              <w:t xml:space="preserve">Change in costs </w:t>
            </w:r>
            <w:r w:rsidRPr="00CB45FF">
              <w:rPr>
                <w:bCs/>
              </w:rPr>
              <w:br/>
              <w:t>($ million)</w:t>
            </w:r>
          </w:p>
        </w:tc>
        <w:tc>
          <w:tcPr>
            <w:tcW w:w="1495" w:type="dxa"/>
            <w:noWrap/>
            <w:hideMark/>
          </w:tcPr>
          <w:p w14:paraId="23661760" w14:textId="77777777" w:rsidR="00406CD0" w:rsidRPr="00CB45FF" w:rsidRDefault="00406CD0">
            <w:pPr>
              <w:spacing w:before="96" w:after="96"/>
              <w:rPr>
                <w:bCs/>
              </w:rPr>
            </w:pPr>
            <w:r w:rsidRPr="00CB45FF">
              <w:rPr>
                <w:bCs/>
              </w:rPr>
              <w:t>Business</w:t>
            </w:r>
          </w:p>
        </w:tc>
        <w:tc>
          <w:tcPr>
            <w:tcW w:w="1307" w:type="dxa"/>
            <w:noWrap/>
            <w:hideMark/>
          </w:tcPr>
          <w:p w14:paraId="1E9B76BF" w14:textId="458726EC" w:rsidR="00406CD0" w:rsidRPr="00CB45FF" w:rsidRDefault="00406CD0">
            <w:pPr>
              <w:spacing w:before="96" w:after="96"/>
              <w:rPr>
                <w:bCs/>
              </w:rPr>
            </w:pPr>
            <w:r w:rsidRPr="00CB45FF">
              <w:rPr>
                <w:bCs/>
              </w:rPr>
              <w:t>Community organisations</w:t>
            </w:r>
          </w:p>
        </w:tc>
        <w:tc>
          <w:tcPr>
            <w:tcW w:w="1309" w:type="dxa"/>
            <w:noWrap/>
            <w:hideMark/>
          </w:tcPr>
          <w:p w14:paraId="4D27520E" w14:textId="77777777" w:rsidR="00406CD0" w:rsidRPr="00CB45FF" w:rsidRDefault="00406CD0">
            <w:pPr>
              <w:spacing w:before="96" w:after="96"/>
              <w:rPr>
                <w:bCs/>
              </w:rPr>
            </w:pPr>
            <w:r w:rsidRPr="00CB45FF">
              <w:rPr>
                <w:bCs/>
              </w:rPr>
              <w:t>Individuals</w:t>
            </w:r>
          </w:p>
        </w:tc>
        <w:tc>
          <w:tcPr>
            <w:tcW w:w="2225" w:type="dxa"/>
            <w:noWrap/>
            <w:hideMark/>
          </w:tcPr>
          <w:p w14:paraId="7883C6AA" w14:textId="16639D90" w:rsidR="00406CD0" w:rsidRPr="00CB45FF" w:rsidRDefault="00406CD0">
            <w:pPr>
              <w:spacing w:before="96" w:after="96"/>
              <w:rPr>
                <w:bCs/>
              </w:rPr>
            </w:pPr>
            <w:r w:rsidRPr="00CB45FF">
              <w:rPr>
                <w:bCs/>
              </w:rPr>
              <w:t>Total change in costs</w:t>
            </w:r>
          </w:p>
        </w:tc>
      </w:tr>
      <w:tr w:rsidR="00406CD0" w:rsidRPr="00CB45FF" w14:paraId="354E7B15" w14:textId="77777777" w:rsidTr="006120DA">
        <w:trPr>
          <w:trHeight w:val="567"/>
        </w:trPr>
        <w:tc>
          <w:tcPr>
            <w:tcW w:w="2835" w:type="dxa"/>
            <w:noWrap/>
            <w:hideMark/>
          </w:tcPr>
          <w:p w14:paraId="765A4C24" w14:textId="4F62741E" w:rsidR="00406CD0" w:rsidRPr="00CB45FF" w:rsidRDefault="006120DA">
            <w:pPr>
              <w:rPr>
                <w:b/>
                <w:bCs/>
              </w:rPr>
            </w:pPr>
            <w:r w:rsidRPr="00053ABD">
              <w:rPr>
                <w:b/>
                <w:bCs/>
              </w:rPr>
              <w:t xml:space="preserve">Option 3 – General Prohibition </w:t>
            </w:r>
          </w:p>
        </w:tc>
        <w:tc>
          <w:tcPr>
            <w:tcW w:w="1495" w:type="dxa"/>
            <w:noWrap/>
            <w:hideMark/>
          </w:tcPr>
          <w:p w14:paraId="043FEDE6" w14:textId="147FA470" w:rsidR="00406CD0" w:rsidRPr="00CB45FF" w:rsidRDefault="006120DA">
            <w:pPr>
              <w:rPr>
                <w:b/>
                <w:bCs/>
              </w:rPr>
            </w:pPr>
            <w:r w:rsidRPr="00CB45FF">
              <w:rPr>
                <w:b/>
                <w:bCs/>
              </w:rPr>
              <w:t>$ 93.82</w:t>
            </w:r>
          </w:p>
        </w:tc>
        <w:tc>
          <w:tcPr>
            <w:tcW w:w="1307" w:type="dxa"/>
            <w:noWrap/>
            <w:hideMark/>
          </w:tcPr>
          <w:p w14:paraId="23964ADA" w14:textId="061825F3" w:rsidR="00406CD0" w:rsidRPr="00CB45FF" w:rsidRDefault="00406CD0">
            <w:pPr>
              <w:rPr>
                <w:b/>
                <w:bCs/>
              </w:rPr>
            </w:pPr>
            <w:r w:rsidRPr="00CB45FF">
              <w:rPr>
                <w:b/>
                <w:bCs/>
              </w:rPr>
              <w:t xml:space="preserve">$  -   </w:t>
            </w:r>
          </w:p>
        </w:tc>
        <w:tc>
          <w:tcPr>
            <w:tcW w:w="1309" w:type="dxa"/>
            <w:noWrap/>
            <w:hideMark/>
          </w:tcPr>
          <w:p w14:paraId="57C24CCF" w14:textId="7EA9475E" w:rsidR="00406CD0" w:rsidRPr="00CB45FF" w:rsidRDefault="00406CD0">
            <w:pPr>
              <w:rPr>
                <w:b/>
                <w:bCs/>
              </w:rPr>
            </w:pPr>
            <w:r w:rsidRPr="00CB45FF">
              <w:rPr>
                <w:b/>
                <w:bCs/>
              </w:rPr>
              <w:t xml:space="preserve">$  -   </w:t>
            </w:r>
          </w:p>
        </w:tc>
        <w:tc>
          <w:tcPr>
            <w:tcW w:w="2225" w:type="dxa"/>
            <w:noWrap/>
            <w:hideMark/>
          </w:tcPr>
          <w:p w14:paraId="2B3898E6" w14:textId="5CABE0E9" w:rsidR="00406CD0" w:rsidRPr="00CB45FF" w:rsidRDefault="006120DA">
            <w:pPr>
              <w:rPr>
                <w:b/>
                <w:bCs/>
              </w:rPr>
            </w:pPr>
            <w:r w:rsidRPr="00CB45FF">
              <w:rPr>
                <w:b/>
                <w:bCs/>
              </w:rPr>
              <w:t>$ 93.82</w:t>
            </w:r>
          </w:p>
        </w:tc>
      </w:tr>
      <w:tr w:rsidR="006120DA" w:rsidRPr="00CB45FF" w14:paraId="7EA335A2" w14:textId="77777777" w:rsidTr="006120DA">
        <w:trPr>
          <w:trHeight w:val="567"/>
        </w:trPr>
        <w:tc>
          <w:tcPr>
            <w:tcW w:w="2835" w:type="dxa"/>
            <w:shd w:val="clear" w:color="auto" w:fill="EEEEEE" w:themeFill="background2"/>
            <w:noWrap/>
          </w:tcPr>
          <w:p w14:paraId="0481E524" w14:textId="59E75A97" w:rsidR="006120DA" w:rsidRPr="00053ABD" w:rsidRDefault="006120DA" w:rsidP="006120DA">
            <w:pPr>
              <w:rPr>
                <w:b/>
                <w:bCs/>
              </w:rPr>
            </w:pPr>
            <w:r w:rsidRPr="00053ABD">
              <w:rPr>
                <w:b/>
                <w:bCs/>
              </w:rPr>
              <w:t xml:space="preserve">Subscriptions proposal </w:t>
            </w:r>
          </w:p>
        </w:tc>
        <w:tc>
          <w:tcPr>
            <w:tcW w:w="1495" w:type="dxa"/>
            <w:shd w:val="clear" w:color="auto" w:fill="EEEEEE" w:themeFill="background2"/>
            <w:noWrap/>
          </w:tcPr>
          <w:p w14:paraId="06405120" w14:textId="448F223A" w:rsidR="006120DA" w:rsidRPr="00CB45FF" w:rsidRDefault="006120DA" w:rsidP="006120DA">
            <w:pPr>
              <w:rPr>
                <w:b/>
                <w:bCs/>
              </w:rPr>
            </w:pPr>
            <w:r w:rsidRPr="00CB45FF">
              <w:rPr>
                <w:b/>
                <w:bCs/>
              </w:rPr>
              <w:t>$ 19.57</w:t>
            </w:r>
          </w:p>
        </w:tc>
        <w:tc>
          <w:tcPr>
            <w:tcW w:w="1307" w:type="dxa"/>
            <w:shd w:val="clear" w:color="auto" w:fill="EEEEEE" w:themeFill="background2"/>
            <w:noWrap/>
          </w:tcPr>
          <w:p w14:paraId="6C74F132" w14:textId="00570EB6" w:rsidR="006120DA" w:rsidRPr="00CB45FF" w:rsidRDefault="006120DA" w:rsidP="006120DA">
            <w:pPr>
              <w:rPr>
                <w:b/>
                <w:bCs/>
              </w:rPr>
            </w:pPr>
            <w:r w:rsidRPr="00CB45FF">
              <w:rPr>
                <w:b/>
                <w:bCs/>
              </w:rPr>
              <w:t xml:space="preserve">$  -   </w:t>
            </w:r>
          </w:p>
        </w:tc>
        <w:tc>
          <w:tcPr>
            <w:tcW w:w="1309" w:type="dxa"/>
            <w:shd w:val="clear" w:color="auto" w:fill="EEEEEE" w:themeFill="background2"/>
            <w:noWrap/>
          </w:tcPr>
          <w:p w14:paraId="5D55EA52" w14:textId="64A51C80" w:rsidR="006120DA" w:rsidRPr="00CB45FF" w:rsidRDefault="006120DA" w:rsidP="006120DA">
            <w:pPr>
              <w:rPr>
                <w:b/>
                <w:bCs/>
              </w:rPr>
            </w:pPr>
            <w:r w:rsidRPr="00CB45FF">
              <w:rPr>
                <w:b/>
                <w:bCs/>
              </w:rPr>
              <w:t xml:space="preserve">$  -   </w:t>
            </w:r>
          </w:p>
        </w:tc>
        <w:tc>
          <w:tcPr>
            <w:tcW w:w="2225" w:type="dxa"/>
            <w:shd w:val="clear" w:color="auto" w:fill="EEEEEE" w:themeFill="background2"/>
            <w:noWrap/>
          </w:tcPr>
          <w:p w14:paraId="440B4001" w14:textId="099178DF" w:rsidR="006120DA" w:rsidRPr="00CB45FF" w:rsidRDefault="006120DA" w:rsidP="006120DA">
            <w:pPr>
              <w:rPr>
                <w:b/>
                <w:bCs/>
              </w:rPr>
            </w:pPr>
            <w:r w:rsidRPr="00CB45FF">
              <w:rPr>
                <w:b/>
                <w:bCs/>
              </w:rPr>
              <w:t>$ 19.57</w:t>
            </w:r>
          </w:p>
        </w:tc>
      </w:tr>
      <w:tr w:rsidR="006120DA" w:rsidRPr="00CB45FF" w14:paraId="5F39817B" w14:textId="77777777" w:rsidTr="006120DA">
        <w:trPr>
          <w:trHeight w:val="567"/>
        </w:trPr>
        <w:tc>
          <w:tcPr>
            <w:tcW w:w="2835" w:type="dxa"/>
            <w:noWrap/>
          </w:tcPr>
          <w:p w14:paraId="646CB9E8" w14:textId="449F4585" w:rsidR="006120DA" w:rsidRPr="00053ABD" w:rsidRDefault="006120DA" w:rsidP="006120DA">
            <w:pPr>
              <w:rPr>
                <w:b/>
                <w:bCs/>
              </w:rPr>
            </w:pPr>
            <w:r w:rsidRPr="00053ABD">
              <w:rPr>
                <w:b/>
                <w:bCs/>
              </w:rPr>
              <w:t xml:space="preserve">Drip pricing proposal </w:t>
            </w:r>
          </w:p>
        </w:tc>
        <w:tc>
          <w:tcPr>
            <w:tcW w:w="1495" w:type="dxa"/>
            <w:noWrap/>
          </w:tcPr>
          <w:p w14:paraId="3A24D36C" w14:textId="47C8ECC3" w:rsidR="006120DA" w:rsidRPr="00CB45FF" w:rsidRDefault="006120DA" w:rsidP="006120DA">
            <w:pPr>
              <w:rPr>
                <w:b/>
                <w:bCs/>
              </w:rPr>
            </w:pPr>
            <w:r w:rsidRPr="00CB45FF">
              <w:rPr>
                <w:b/>
                <w:bCs/>
              </w:rPr>
              <w:t>$ 9.82</w:t>
            </w:r>
          </w:p>
        </w:tc>
        <w:tc>
          <w:tcPr>
            <w:tcW w:w="1307" w:type="dxa"/>
            <w:noWrap/>
          </w:tcPr>
          <w:p w14:paraId="31CF9D6B" w14:textId="7D49EFB3" w:rsidR="006120DA" w:rsidRPr="00CB45FF" w:rsidRDefault="006120DA" w:rsidP="006120DA">
            <w:pPr>
              <w:rPr>
                <w:b/>
                <w:bCs/>
              </w:rPr>
            </w:pPr>
            <w:r w:rsidRPr="00CB45FF">
              <w:rPr>
                <w:b/>
                <w:bCs/>
              </w:rPr>
              <w:t xml:space="preserve">$  -   </w:t>
            </w:r>
          </w:p>
        </w:tc>
        <w:tc>
          <w:tcPr>
            <w:tcW w:w="1309" w:type="dxa"/>
            <w:noWrap/>
          </w:tcPr>
          <w:p w14:paraId="04D6DAC8" w14:textId="28FFDB6F" w:rsidR="006120DA" w:rsidRPr="00CB45FF" w:rsidRDefault="006120DA" w:rsidP="006120DA">
            <w:pPr>
              <w:rPr>
                <w:b/>
                <w:bCs/>
              </w:rPr>
            </w:pPr>
            <w:r w:rsidRPr="00CB45FF">
              <w:rPr>
                <w:b/>
                <w:bCs/>
              </w:rPr>
              <w:t xml:space="preserve">$  -   </w:t>
            </w:r>
          </w:p>
        </w:tc>
        <w:tc>
          <w:tcPr>
            <w:tcW w:w="2225" w:type="dxa"/>
            <w:noWrap/>
          </w:tcPr>
          <w:p w14:paraId="4193D404" w14:textId="4C11667A" w:rsidR="006120DA" w:rsidRPr="00CB45FF" w:rsidRDefault="006120DA" w:rsidP="006120DA">
            <w:pPr>
              <w:rPr>
                <w:b/>
                <w:bCs/>
              </w:rPr>
            </w:pPr>
            <w:r w:rsidRPr="00CB45FF">
              <w:rPr>
                <w:b/>
                <w:bCs/>
              </w:rPr>
              <w:t>$ 9.82</w:t>
            </w:r>
          </w:p>
        </w:tc>
      </w:tr>
      <w:tr w:rsidR="006120DA" w:rsidRPr="00CB45FF" w14:paraId="08BFC3AD" w14:textId="77777777" w:rsidTr="006120DA">
        <w:trPr>
          <w:trHeight w:val="567"/>
        </w:trPr>
        <w:tc>
          <w:tcPr>
            <w:tcW w:w="2835" w:type="dxa"/>
            <w:shd w:val="clear" w:color="auto" w:fill="EEEEEE" w:themeFill="background2"/>
            <w:noWrap/>
          </w:tcPr>
          <w:p w14:paraId="4CDC8315" w14:textId="3E64E4DB" w:rsidR="006120DA" w:rsidRPr="00053ABD" w:rsidRDefault="006120DA" w:rsidP="006120DA">
            <w:pPr>
              <w:rPr>
                <w:b/>
                <w:bCs/>
              </w:rPr>
            </w:pPr>
            <w:r w:rsidRPr="00053ABD">
              <w:rPr>
                <w:b/>
                <w:bCs/>
              </w:rPr>
              <w:t>Total</w:t>
            </w:r>
            <w:r w:rsidR="00944160" w:rsidRPr="00053ABD">
              <w:rPr>
                <w:b/>
                <w:bCs/>
              </w:rPr>
              <w:t>, by sector</w:t>
            </w:r>
          </w:p>
        </w:tc>
        <w:tc>
          <w:tcPr>
            <w:tcW w:w="1495" w:type="dxa"/>
            <w:shd w:val="clear" w:color="auto" w:fill="EEEEEE" w:themeFill="background2"/>
            <w:noWrap/>
          </w:tcPr>
          <w:p w14:paraId="429D902D" w14:textId="4F2F76DF" w:rsidR="006120DA" w:rsidRPr="00CB45FF" w:rsidRDefault="006120DA" w:rsidP="006120DA">
            <w:pPr>
              <w:rPr>
                <w:b/>
                <w:bCs/>
              </w:rPr>
            </w:pPr>
            <w:r w:rsidRPr="00CB45FF">
              <w:rPr>
                <w:b/>
                <w:bCs/>
              </w:rPr>
              <w:t>$ 123.20</w:t>
            </w:r>
          </w:p>
        </w:tc>
        <w:tc>
          <w:tcPr>
            <w:tcW w:w="1307" w:type="dxa"/>
            <w:shd w:val="clear" w:color="auto" w:fill="EEEEEE" w:themeFill="background2"/>
            <w:noWrap/>
          </w:tcPr>
          <w:p w14:paraId="31B0D621" w14:textId="199E150F" w:rsidR="006120DA" w:rsidRPr="00CB45FF" w:rsidRDefault="006120DA" w:rsidP="006120DA">
            <w:pPr>
              <w:rPr>
                <w:b/>
                <w:bCs/>
              </w:rPr>
            </w:pPr>
            <w:r w:rsidRPr="00CB45FF">
              <w:rPr>
                <w:b/>
                <w:bCs/>
              </w:rPr>
              <w:t xml:space="preserve">$  -   </w:t>
            </w:r>
          </w:p>
        </w:tc>
        <w:tc>
          <w:tcPr>
            <w:tcW w:w="1309" w:type="dxa"/>
            <w:shd w:val="clear" w:color="auto" w:fill="EEEEEE" w:themeFill="background2"/>
            <w:noWrap/>
          </w:tcPr>
          <w:p w14:paraId="68138A46" w14:textId="27F29CB3" w:rsidR="006120DA" w:rsidRPr="00CB45FF" w:rsidRDefault="006120DA" w:rsidP="006120DA">
            <w:pPr>
              <w:rPr>
                <w:b/>
                <w:bCs/>
              </w:rPr>
            </w:pPr>
            <w:r w:rsidRPr="00CB45FF">
              <w:rPr>
                <w:b/>
                <w:bCs/>
              </w:rPr>
              <w:t xml:space="preserve">$  -   </w:t>
            </w:r>
          </w:p>
        </w:tc>
        <w:tc>
          <w:tcPr>
            <w:tcW w:w="2225" w:type="dxa"/>
            <w:shd w:val="clear" w:color="auto" w:fill="EEEEEE" w:themeFill="background2"/>
            <w:noWrap/>
          </w:tcPr>
          <w:p w14:paraId="50AC9AE9" w14:textId="3707F984" w:rsidR="006120DA" w:rsidRPr="00CB45FF" w:rsidRDefault="006120DA" w:rsidP="006120DA">
            <w:pPr>
              <w:rPr>
                <w:b/>
                <w:bCs/>
              </w:rPr>
            </w:pPr>
            <w:r w:rsidRPr="00CB45FF">
              <w:rPr>
                <w:b/>
                <w:bCs/>
              </w:rPr>
              <w:t>$ 123.20</w:t>
            </w:r>
          </w:p>
        </w:tc>
      </w:tr>
    </w:tbl>
    <w:p w14:paraId="60BFFD0E" w14:textId="77777777" w:rsidR="00406CD0" w:rsidRDefault="00406CD0" w:rsidP="00406CD0">
      <w:pPr>
        <w:pStyle w:val="Heading4"/>
      </w:pPr>
      <w:r>
        <w:t>Benefits</w:t>
      </w:r>
    </w:p>
    <w:p w14:paraId="793F149A" w14:textId="2B5D7882" w:rsidR="00144E5D" w:rsidRDefault="00406CD0" w:rsidP="00052795">
      <w:pPr>
        <w:rPr>
          <w:rFonts w:ascii="Calibri" w:hAnsi="Calibri" w:cs="Arial"/>
          <w:b/>
          <w:color w:val="5D779D" w:themeColor="accent3"/>
          <w:kern w:val="32"/>
          <w:sz w:val="44"/>
          <w:szCs w:val="36"/>
        </w:rPr>
      </w:pPr>
      <w:r>
        <w:t xml:space="preserve">The combined benefits of Option 4 have not been quantified. </w:t>
      </w:r>
      <w:r w:rsidR="00560B25">
        <w:t>Additional</w:t>
      </w:r>
      <w:r>
        <w:t xml:space="preserve"> cost-benefits analysis of each proposal is discussed in Appendix B. </w:t>
      </w:r>
      <w:bookmarkStart w:id="64" w:name="_Toc202971532"/>
      <w:r w:rsidR="00144E5D">
        <w:br w:type="page"/>
      </w:r>
    </w:p>
    <w:p w14:paraId="23D96DAE" w14:textId="7CF710F9" w:rsidR="00406CD0" w:rsidRPr="006E7A88" w:rsidRDefault="00406CD0" w:rsidP="00C84B73">
      <w:pPr>
        <w:pStyle w:val="Heading1"/>
      </w:pPr>
      <w:bookmarkStart w:id="65" w:name="_Toc206422535"/>
      <w:r>
        <w:lastRenderedPageBreak/>
        <w:t>Recommended Policy Option</w:t>
      </w:r>
      <w:bookmarkEnd w:id="64"/>
      <w:bookmarkEnd w:id="65"/>
    </w:p>
    <w:p w14:paraId="67516860" w14:textId="77777777" w:rsidR="00406CD0" w:rsidRDefault="00406CD0" w:rsidP="00406CD0">
      <w:pPr>
        <w:pStyle w:val="Heading4"/>
      </w:pPr>
      <w:r>
        <w:t>Option 1 – Maintain the status quo (not recommended)</w:t>
      </w:r>
    </w:p>
    <w:p w14:paraId="391E259C" w14:textId="307A60BE" w:rsidR="00406CD0" w:rsidRDefault="00406CD0" w:rsidP="00406CD0">
      <w:r>
        <w:t xml:space="preserve">As outlined in the ‘problem’ section, the consultation process has identified that the existing provisions of the ACL are not effective in protecting consumers against a number of harms including manipulative conduct, dark patterns in online transactions, </w:t>
      </w:r>
      <w:r w:rsidR="003B1E48">
        <w:t xml:space="preserve">unfair </w:t>
      </w:r>
      <w:r>
        <w:t xml:space="preserve">subscription practices, and </w:t>
      </w:r>
      <w:r w:rsidR="00866911">
        <w:t>some</w:t>
      </w:r>
      <w:r>
        <w:t xml:space="preserve"> drip pricing</w:t>
      </w:r>
      <w:r w:rsidR="00866911">
        <w:t xml:space="preserve"> practices</w:t>
      </w:r>
      <w:r>
        <w:t>. The harm experienced by consumers as a result is multi</w:t>
      </w:r>
      <w:r>
        <w:noBreakHyphen/>
        <w:t>faceted, impacting consumer finances</w:t>
      </w:r>
      <w:r w:rsidR="00E21F58">
        <w:t>, time</w:t>
      </w:r>
      <w:r>
        <w:t xml:space="preserve"> and wellbeing.  </w:t>
      </w:r>
    </w:p>
    <w:p w14:paraId="54959961" w14:textId="5DC73745" w:rsidR="00406CD0" w:rsidRPr="00410CB9" w:rsidRDefault="00406CD0" w:rsidP="00406CD0">
      <w:r w:rsidRPr="00410CB9">
        <w:t>Digital trends</w:t>
      </w:r>
      <w:r>
        <w:t xml:space="preserve"> including dark patterns have been shown to undermine consumer autonomy by encouraging consumers to make decisions that they would not normally make, often through an appeal to certain psychological or behavioural biases.</w:t>
      </w:r>
      <w:r w:rsidR="0042528D">
        <w:rPr>
          <w:rStyle w:val="FootnoteReference"/>
        </w:rPr>
        <w:footnoteReference w:id="143"/>
      </w:r>
      <w:r>
        <w:t xml:space="preserve"> </w:t>
      </w:r>
    </w:p>
    <w:p w14:paraId="0A29F190" w14:textId="146BC344" w:rsidR="00406CD0" w:rsidRDefault="00D74B21" w:rsidP="00406CD0">
      <w:r>
        <w:t>Unfair s</w:t>
      </w:r>
      <w:r w:rsidR="00406CD0">
        <w:t xml:space="preserve">ubscription practices identified in consultation include </w:t>
      </w:r>
      <w:r w:rsidR="00314A5E">
        <w:t xml:space="preserve">businesses </w:t>
      </w:r>
      <w:r w:rsidR="00314A5E" w:rsidRPr="00A723E2">
        <w:t>not provid</w:t>
      </w:r>
      <w:r w:rsidR="00570A7A">
        <w:t>ing</w:t>
      </w:r>
      <w:r w:rsidR="00314A5E" w:rsidRPr="00A723E2">
        <w:t xml:space="preserve"> customers with material information they need to make informed decisions about a </w:t>
      </w:r>
      <w:proofErr w:type="gramStart"/>
      <w:r w:rsidR="00314A5E" w:rsidRPr="00A723E2">
        <w:t>subscription</w:t>
      </w:r>
      <w:r w:rsidR="00314A5E">
        <w:t>, or</w:t>
      </w:r>
      <w:proofErr w:type="gramEnd"/>
      <w:r w:rsidR="00314A5E">
        <w:t xml:space="preserve"> making</w:t>
      </w:r>
      <w:r w:rsidR="00406CD0" w:rsidRPr="00A723E2">
        <w:t xml:space="preserve"> it difficult for customers to cancel their subscription</w:t>
      </w:r>
      <w:r w:rsidR="00406CD0">
        <w:t xml:space="preserve">. These practices distort </w:t>
      </w:r>
      <w:r w:rsidR="00406CD0" w:rsidRPr="007A025B">
        <w:t xml:space="preserve">consumer choices and result in consumers paying for </w:t>
      </w:r>
      <w:r w:rsidR="00406CD0">
        <w:t xml:space="preserve">some </w:t>
      </w:r>
      <w:r w:rsidR="00406CD0" w:rsidRPr="007A025B">
        <w:t>subscriptions they do</w:t>
      </w:r>
      <w:r w:rsidR="00B264CA">
        <w:t xml:space="preserve"> </w:t>
      </w:r>
      <w:r w:rsidR="00406CD0" w:rsidRPr="007A025B">
        <w:t>n</w:t>
      </w:r>
      <w:r w:rsidR="00B264CA">
        <w:t>o</w:t>
      </w:r>
      <w:r w:rsidR="00406CD0" w:rsidRPr="007A025B">
        <w:t>t want or no longer use</w:t>
      </w:r>
      <w:r w:rsidR="00406CD0">
        <w:t xml:space="preserve">. </w:t>
      </w:r>
    </w:p>
    <w:p w14:paraId="0624D431" w14:textId="6DB59B09" w:rsidR="00406CD0" w:rsidRPr="00844894" w:rsidRDefault="00406CD0" w:rsidP="00406CD0">
      <w:r>
        <w:t xml:space="preserve">Consultation shows that pricing related practices including drip pricing </w:t>
      </w:r>
      <w:r w:rsidRPr="005F0010">
        <w:t xml:space="preserve">impair the consumer’s ability to make informed purchasing decisions </w:t>
      </w:r>
      <w:r>
        <w:t xml:space="preserve">by obscuring the true price of a product, </w:t>
      </w:r>
      <w:r w:rsidR="005C0DF9">
        <w:t xml:space="preserve">which </w:t>
      </w:r>
      <w:r>
        <w:t>often prevent</w:t>
      </w:r>
      <w:r w:rsidR="005C0DF9">
        <w:t>s</w:t>
      </w:r>
      <w:r w:rsidDel="00AA5328">
        <w:t xml:space="preserve"> </w:t>
      </w:r>
      <w:r w:rsidR="005643A3">
        <w:t xml:space="preserve">or impedes </w:t>
      </w:r>
      <w:r>
        <w:t xml:space="preserve">a consumer from comparing prices among businesses and finding a better deal. </w:t>
      </w:r>
    </w:p>
    <w:p w14:paraId="4DED1C17" w14:textId="77777777" w:rsidR="00406CD0" w:rsidRDefault="00406CD0" w:rsidP="00406CD0">
      <w:r>
        <w:t>Option 1 is not recommended as consumers would continue to bear the</w:t>
      </w:r>
      <w:r w:rsidRPr="00CA6130">
        <w:t xml:space="preserve"> financial and non-financial costs of</w:t>
      </w:r>
      <w:r>
        <w:t xml:space="preserve"> these</w:t>
      </w:r>
      <w:r w:rsidRPr="00CA6130">
        <w:t xml:space="preserve"> </w:t>
      </w:r>
      <w:r>
        <w:t>UTPs,</w:t>
      </w:r>
      <w:r w:rsidRPr="00CA6130">
        <w:t xml:space="preserve"> with</w:t>
      </w:r>
      <w:r>
        <w:t xml:space="preserve"> regulators limited in their ability to respond to practices which result in consumer harm. </w:t>
      </w:r>
    </w:p>
    <w:p w14:paraId="1C5B725A" w14:textId="77777777" w:rsidR="00406CD0" w:rsidRDefault="00406CD0" w:rsidP="00406CD0">
      <w:pPr>
        <w:pStyle w:val="Heading4"/>
      </w:pPr>
      <w:r>
        <w:t>Option 3 – Introduce a general prohibition only on unfair trading practices (not recommended)</w:t>
      </w:r>
    </w:p>
    <w:p w14:paraId="7B3EB1EC" w14:textId="77777777" w:rsidR="00406CD0" w:rsidRDefault="00406CD0" w:rsidP="00406CD0">
      <w:r>
        <w:t xml:space="preserve">Introducing a general prohibition on UTPs would address a range of gaps in the current ACL protections. As a </w:t>
      </w:r>
      <w:r w:rsidRPr="00A24DB6">
        <w:t>broad and flexible principles-based intervention</w:t>
      </w:r>
      <w:r>
        <w:t xml:space="preserve">, it is expected to stay robust and adapt as new practices emerge. </w:t>
      </w:r>
    </w:p>
    <w:p w14:paraId="2F3C92A9" w14:textId="4ECB17A4" w:rsidR="00406CD0" w:rsidRDefault="00406CD0" w:rsidP="00406CD0">
      <w:r>
        <w:t xml:space="preserve">The general prohibition would be effective in addressing and preventing consumer harm arising from UTPs not currently </w:t>
      </w:r>
      <w:r w:rsidR="009B4C3B">
        <w:t xml:space="preserve">(or not </w:t>
      </w:r>
      <w:r w:rsidR="000925EC">
        <w:t>adequately</w:t>
      </w:r>
      <w:r w:rsidR="009B4C3B">
        <w:t>)</w:t>
      </w:r>
      <w:r w:rsidR="000925EC">
        <w:t xml:space="preserve"> </w:t>
      </w:r>
      <w:r>
        <w:t xml:space="preserve">covered by the ACL, such as </w:t>
      </w:r>
      <w:r w:rsidR="00320C58">
        <w:t xml:space="preserve">some </w:t>
      </w:r>
      <w:r>
        <w:t>dark patter</w:t>
      </w:r>
      <w:r w:rsidR="00320C58">
        <w:t>n</w:t>
      </w:r>
      <w:r>
        <w:t xml:space="preserve">s in online transactions. As discussed in the </w:t>
      </w:r>
      <w:r w:rsidR="002057E0">
        <w:t>P</w:t>
      </w:r>
      <w:r>
        <w:t>roblem section, the increasing complexity of online transactions has meant that consumers can experience a range of harm</w:t>
      </w:r>
      <w:r w:rsidR="00985074">
        <w:t>s</w:t>
      </w:r>
      <w:r>
        <w:t xml:space="preserve"> from </w:t>
      </w:r>
      <w:r w:rsidR="00D7437F">
        <w:t xml:space="preserve">the </w:t>
      </w:r>
      <w:r>
        <w:t>manipulation o</w:t>
      </w:r>
      <w:r w:rsidR="00D7437F">
        <w:t>f</w:t>
      </w:r>
      <w:r>
        <w:t xml:space="preserve"> decision making, including </w:t>
      </w:r>
      <w:r w:rsidR="00F656DF">
        <w:t>from</w:t>
      </w:r>
      <w:r>
        <w:t xml:space="preserve"> subtle </w:t>
      </w:r>
      <w:r w:rsidR="00F656DF">
        <w:t xml:space="preserve">forms of </w:t>
      </w:r>
      <w:r>
        <w:t>manipulation</w:t>
      </w:r>
      <w:r w:rsidR="003B59FB">
        <w:t xml:space="preserve"> which</w:t>
      </w:r>
      <w:r w:rsidR="00E77343">
        <w:t>, particularly when</w:t>
      </w:r>
      <w:r w:rsidR="003B59FB">
        <w:t xml:space="preserve"> </w:t>
      </w:r>
      <w:r w:rsidR="00C032EE">
        <w:t>combined</w:t>
      </w:r>
      <w:r w:rsidR="00E77343">
        <w:t>,</w:t>
      </w:r>
      <w:r w:rsidR="00C032EE">
        <w:t xml:space="preserve"> </w:t>
      </w:r>
      <w:r w:rsidR="00B82EFA">
        <w:t xml:space="preserve">can </w:t>
      </w:r>
      <w:r w:rsidR="00F90511">
        <w:t xml:space="preserve">lead </w:t>
      </w:r>
      <w:r w:rsidR="0058359B">
        <w:t xml:space="preserve">to </w:t>
      </w:r>
      <w:r w:rsidR="00F90511">
        <w:t>consumers mak</w:t>
      </w:r>
      <w:r w:rsidR="006805CB">
        <w:t xml:space="preserve">ing </w:t>
      </w:r>
      <w:r w:rsidR="009E0496">
        <w:t>purchases they do not want</w:t>
      </w:r>
      <w:r w:rsidR="00325688">
        <w:t xml:space="preserve"> or</w:t>
      </w:r>
      <w:r w:rsidR="00C032EE">
        <w:t xml:space="preserve"> that </w:t>
      </w:r>
      <w:r w:rsidR="00325688">
        <w:t>cost more than they intended to pay</w:t>
      </w:r>
      <w:r>
        <w:t>. The prohibition would provide effective protection to consumers from harm arising from these more subtle forms of conduct that are</w:t>
      </w:r>
      <w:r w:rsidR="002057E0">
        <w:t xml:space="preserve"> </w:t>
      </w:r>
      <w:r>
        <w:t>n</w:t>
      </w:r>
      <w:r w:rsidR="002057E0">
        <w:t>o</w:t>
      </w:r>
      <w:r>
        <w:t>t prohibited under</w:t>
      </w:r>
      <w:r w:rsidR="00D67683">
        <w:t>, or adequately addressed by,</w:t>
      </w:r>
      <w:r>
        <w:t xml:space="preserve"> existing ACL provisions such as misleading and deceptive conduct. </w:t>
      </w:r>
    </w:p>
    <w:p w14:paraId="41D334D6" w14:textId="07013CFF" w:rsidR="00406CD0" w:rsidRDefault="00406CD0" w:rsidP="00406CD0">
      <w:r>
        <w:t xml:space="preserve">The principles-based </w:t>
      </w:r>
      <w:r w:rsidR="00A26EEF">
        <w:t xml:space="preserve">nature of the </w:t>
      </w:r>
      <w:r>
        <w:t xml:space="preserve">prohibition </w:t>
      </w:r>
      <w:r w:rsidR="00FB3C57">
        <w:t xml:space="preserve">is intended to </w:t>
      </w:r>
      <w:r>
        <w:t xml:space="preserve">ensure that it will be responsive to evolving commercial practices and fast-paced digitalisation. A grey list (a </w:t>
      </w:r>
      <w:r w:rsidRPr="005F73AC">
        <w:t>non-exhaustive and illustrative list of examples of conduct</w:t>
      </w:r>
      <w:r>
        <w:t xml:space="preserve">) would provide clarity and guidance to businesses and consumers about certain types of conduct which </w:t>
      </w:r>
      <w:r w:rsidR="000F405F">
        <w:t>may</w:t>
      </w:r>
      <w:r>
        <w:t xml:space="preserve"> be considered</w:t>
      </w:r>
      <w:r w:rsidR="005E7CA0">
        <w:t>, depending on the circumstances, as meeting the criteria of the</w:t>
      </w:r>
      <w:r w:rsidDel="005E7CA0">
        <w:t xml:space="preserve"> </w:t>
      </w:r>
      <w:r w:rsidR="005E7CA0">
        <w:t xml:space="preserve">UTP </w:t>
      </w:r>
      <w:r>
        <w:t xml:space="preserve">general prohibition. </w:t>
      </w:r>
    </w:p>
    <w:p w14:paraId="5E9ECE9B" w14:textId="5EC2E2C5" w:rsidR="00406CD0" w:rsidRPr="004A041F" w:rsidRDefault="00406CD0" w:rsidP="00406CD0">
      <w:r>
        <w:lastRenderedPageBreak/>
        <w:t xml:space="preserve">The prohibition would </w:t>
      </w:r>
      <w:r w:rsidR="006A5475">
        <w:t>be located in th</w:t>
      </w:r>
      <w:r w:rsidR="00283269">
        <w:t>e</w:t>
      </w:r>
      <w:r w:rsidR="006A5475">
        <w:t xml:space="preserve"> </w:t>
      </w:r>
      <w:r w:rsidR="00283269">
        <w:t>ACL</w:t>
      </w:r>
      <w:r>
        <w:t xml:space="preserve">, ensuring a </w:t>
      </w:r>
      <w:r w:rsidR="00973012">
        <w:t xml:space="preserve">baseline </w:t>
      </w:r>
      <w:r>
        <w:t xml:space="preserve">standard of behaviour </w:t>
      </w:r>
      <w:r w:rsidR="000A29A3">
        <w:t xml:space="preserve">towards consumers </w:t>
      </w:r>
      <w:r>
        <w:t>that applies across all sectors.</w:t>
      </w:r>
      <w:r w:rsidR="001E4CF9">
        <w:rPr>
          <w:rStyle w:val="FootnoteReference"/>
        </w:rPr>
        <w:footnoteReference w:id="144"/>
      </w:r>
      <w:r>
        <w:t xml:space="preserve"> </w:t>
      </w:r>
      <w:r w:rsidR="00973012">
        <w:t>This has</w:t>
      </w:r>
      <w:r>
        <w:t xml:space="preserve"> advantages as it enables consumers to be familiar with their rights</w:t>
      </w:r>
      <w:r w:rsidR="00BA49D0">
        <w:t>,</w:t>
      </w:r>
      <w:r>
        <w:t xml:space="preserve"> while also protecting consumers from </w:t>
      </w:r>
      <w:r w:rsidR="00AE6E6E">
        <w:t xml:space="preserve">unfair </w:t>
      </w:r>
      <w:r>
        <w:t xml:space="preserve">conduct relating to new products and services. </w:t>
      </w:r>
    </w:p>
    <w:p w14:paraId="46FB5649" w14:textId="78416206" w:rsidR="00CE1C03" w:rsidRDefault="00F8362F" w:rsidP="000A30C8">
      <w:r>
        <w:t>Costs</w:t>
      </w:r>
      <w:r w:rsidR="00EC4BC7">
        <w:t xml:space="preserve"> identified </w:t>
      </w:r>
      <w:r w:rsidR="0042608C">
        <w:t xml:space="preserve">with this option </w:t>
      </w:r>
      <w:r w:rsidR="008D2002">
        <w:t xml:space="preserve">are </w:t>
      </w:r>
      <w:r w:rsidR="00563D5B">
        <w:t>concentrated</w:t>
      </w:r>
      <w:r w:rsidR="008D2002">
        <w:t xml:space="preserve"> in the initial stages of familiarisation and process adjustments to meet the new</w:t>
      </w:r>
      <w:r w:rsidR="0042608C">
        <w:t xml:space="preserve"> behavioural standard</w:t>
      </w:r>
      <w:r w:rsidR="00BB20B2">
        <w:t>. Treasury estimates this to</w:t>
      </w:r>
      <w:r w:rsidR="00892049">
        <w:t xml:space="preserve"> </w:t>
      </w:r>
      <w:r w:rsidR="00CC4CBF">
        <w:t>equate to</w:t>
      </w:r>
      <w:r w:rsidR="00BB20B2">
        <w:t xml:space="preserve"> $93.82</w:t>
      </w:r>
      <w:r w:rsidR="00CC4CBF">
        <w:t> </w:t>
      </w:r>
      <w:r w:rsidR="009C16B3">
        <w:t>million per year</w:t>
      </w:r>
      <w:r w:rsidR="00892049">
        <w:t xml:space="preserve"> </w:t>
      </w:r>
      <w:r w:rsidR="00CC4CBF">
        <w:t>for affected businesses</w:t>
      </w:r>
      <w:r w:rsidR="00995EB0">
        <w:t xml:space="preserve"> over </w:t>
      </w:r>
      <w:r w:rsidR="00277804">
        <w:t xml:space="preserve">10 </w:t>
      </w:r>
      <w:r w:rsidR="00995EB0">
        <w:t>years</w:t>
      </w:r>
      <w:r w:rsidR="00D15EA9">
        <w:t>,</w:t>
      </w:r>
      <w:r w:rsidR="00963EA8">
        <w:t xml:space="preserve"> that </w:t>
      </w:r>
      <w:r w:rsidR="002F6917">
        <w:t xml:space="preserve">is expected to be </w:t>
      </w:r>
      <w:r w:rsidR="0052641A">
        <w:t>outweighed</w:t>
      </w:r>
      <w:r w:rsidR="009A0262">
        <w:t xml:space="preserve"> by the benefits of</w:t>
      </w:r>
      <w:r w:rsidR="002F6917">
        <w:t xml:space="preserve"> raise</w:t>
      </w:r>
      <w:r w:rsidR="009A0262">
        <w:t>d</w:t>
      </w:r>
      <w:r w:rsidR="002F6917">
        <w:t xml:space="preserve"> business standards</w:t>
      </w:r>
      <w:r w:rsidR="00EC16BA">
        <w:t>, improved market conduct</w:t>
      </w:r>
      <w:r w:rsidR="002F6917">
        <w:t xml:space="preserve"> and </w:t>
      </w:r>
      <w:r w:rsidR="009244BE">
        <w:t xml:space="preserve">reduction of </w:t>
      </w:r>
      <w:r w:rsidR="006159BC">
        <w:t>consumer harm</w:t>
      </w:r>
      <w:r w:rsidR="00EC7512">
        <w:t xml:space="preserve">. </w:t>
      </w:r>
      <w:r w:rsidR="00A35C62" w:rsidRPr="00A35C62">
        <w:t xml:space="preserve">These benefits have not been quantified. However, for </w:t>
      </w:r>
      <w:r w:rsidR="008454EE">
        <w:t>the</w:t>
      </w:r>
      <w:r w:rsidR="00A35C62" w:rsidRPr="00A35C62">
        <w:t xml:space="preserve"> consumer benefit to exceed the costs to business</w:t>
      </w:r>
      <w:r w:rsidR="008454EE">
        <w:t>es</w:t>
      </w:r>
      <w:r w:rsidR="00A35C62" w:rsidRPr="00A35C62">
        <w:t xml:space="preserve">, each consumer </w:t>
      </w:r>
      <w:r w:rsidR="00F65459">
        <w:t>aged</w:t>
      </w:r>
      <w:r w:rsidR="00A35C62" w:rsidRPr="00A35C62">
        <w:t xml:space="preserve"> </w:t>
      </w:r>
      <w:r w:rsidR="005F0A0C">
        <w:t>16 and above</w:t>
      </w:r>
      <w:r w:rsidR="00A35C62" w:rsidRPr="00A35C62">
        <w:t xml:space="preserve"> in Australia would </w:t>
      </w:r>
      <w:r w:rsidR="0070152C">
        <w:t>only</w:t>
      </w:r>
      <w:r w:rsidR="00A35C62" w:rsidRPr="00A35C62">
        <w:t xml:space="preserve"> need to benefit $42.52 </w:t>
      </w:r>
      <w:r w:rsidR="0070152C">
        <w:t>(</w:t>
      </w:r>
      <w:r w:rsidR="00074BD0">
        <w:t>for example, in cost and time savings)</w:t>
      </w:r>
      <w:r w:rsidR="00A35C62" w:rsidRPr="00A35C62">
        <w:t xml:space="preserve"> over 10 year</w:t>
      </w:r>
      <w:r w:rsidR="003B0FCF">
        <w:t>s</w:t>
      </w:r>
      <w:r w:rsidR="00FA2361">
        <w:t>.</w:t>
      </w:r>
      <w:r w:rsidR="00EB4C31">
        <w:t xml:space="preserve"> This proposal also assures better regulatory consistency across state and federal jurisdictions for addressing a range of emergent conduct.</w:t>
      </w:r>
    </w:p>
    <w:p w14:paraId="2408F0CB" w14:textId="77FA6013" w:rsidR="00E359E8" w:rsidRPr="00956A42" w:rsidRDefault="007B2501" w:rsidP="00406CD0">
      <w:pPr>
        <w:rPr>
          <w:i/>
        </w:rPr>
      </w:pPr>
      <w:r>
        <w:t xml:space="preserve">This option achieves the aims </w:t>
      </w:r>
      <w:r w:rsidR="00E93FF3">
        <w:t xml:space="preserve">for government action </w:t>
      </w:r>
      <w:r w:rsidR="008C49B4">
        <w:t>of</w:t>
      </w:r>
      <w:r w:rsidR="00E93FF3">
        <w:t xml:space="preserve"> a response that addresses consumer harm from unfair distortive or manipulative business conduct across the economy</w:t>
      </w:r>
      <w:r w:rsidR="00CE1C03">
        <w:t xml:space="preserve">, </w:t>
      </w:r>
      <w:proofErr w:type="gramStart"/>
      <w:r w:rsidR="00CE1C03">
        <w:t>however</w:t>
      </w:r>
      <w:proofErr w:type="gramEnd"/>
      <w:r w:rsidR="00CE1C03">
        <w:t xml:space="preserve"> is not the recommended </w:t>
      </w:r>
      <w:r w:rsidR="009D61BE">
        <w:t xml:space="preserve">policy </w:t>
      </w:r>
      <w:r w:rsidR="00CE1C03">
        <w:t>option of this impact analysis</w:t>
      </w:r>
      <w:r w:rsidR="00E93FF3">
        <w:t>.</w:t>
      </w:r>
    </w:p>
    <w:p w14:paraId="0D68FA7C" w14:textId="59FEE940" w:rsidR="00406CD0" w:rsidRDefault="00406CD0" w:rsidP="00406CD0">
      <w:pPr>
        <w:pStyle w:val="Heading4"/>
      </w:pPr>
      <w:r>
        <w:t xml:space="preserve">Option 4 </w:t>
      </w:r>
      <w:r w:rsidR="009D61BE">
        <w:t>–</w:t>
      </w:r>
      <w:r>
        <w:t xml:space="preserve"> </w:t>
      </w:r>
      <w:r w:rsidRPr="003F65DC">
        <w:t xml:space="preserve">Introduce a combination of general and specific prohibitions on </w:t>
      </w:r>
      <w:r>
        <w:t>unfair trading practices (recommended)</w:t>
      </w:r>
    </w:p>
    <w:p w14:paraId="0F5E2949" w14:textId="599C0E7D" w:rsidR="00406CD0" w:rsidRDefault="00406CD0" w:rsidP="00406CD0">
      <w:r>
        <w:t xml:space="preserve">Option 4, a combination of general and specific prohibitions to address UTPs, is the recommended policy option. It has been assessed as the most effective option to reduce instances of consumer harm experienced as a result of UTPs, without disproportionate associated costs. </w:t>
      </w:r>
      <w:r w:rsidRPr="007C3C23">
        <w:t>In addition to decreasing instances of consumer harm and exploitation, implementation of Option 4 is expected to result in growth in consumer confidence</w:t>
      </w:r>
      <w:r w:rsidR="00A24E63">
        <w:t>,</w:t>
      </w:r>
      <w:r w:rsidRPr="007C3C23">
        <w:t xml:space="preserve"> due to increased protections from manipulative and distortive practices when consumers </w:t>
      </w:r>
      <w:r w:rsidR="007E21E8">
        <w:t>engage with</w:t>
      </w:r>
      <w:r w:rsidR="00EE069B">
        <w:t>,</w:t>
      </w:r>
      <w:r w:rsidRPr="007C3C23">
        <w:t xml:space="preserve"> and purchase products and services</w:t>
      </w:r>
      <w:r w:rsidR="00EE069B">
        <w:t xml:space="preserve"> from, businesses</w:t>
      </w:r>
      <w:r w:rsidRPr="007C3C23">
        <w:t>.</w:t>
      </w:r>
      <w:r>
        <w:t xml:space="preserve"> It </w:t>
      </w:r>
      <w:r w:rsidR="00DE17B0">
        <w:t>is</w:t>
      </w:r>
      <w:r w:rsidDel="004C6DA1">
        <w:t xml:space="preserve"> </w:t>
      </w:r>
      <w:r>
        <w:t xml:space="preserve">also </w:t>
      </w:r>
      <w:r w:rsidR="009F3042">
        <w:t>expected to</w:t>
      </w:r>
      <w:r>
        <w:t xml:space="preserve"> redirect </w:t>
      </w:r>
      <w:r w:rsidR="00207E67">
        <w:t>some</w:t>
      </w:r>
      <w:r>
        <w:t xml:space="preserve"> consumer demand to businesses that compet</w:t>
      </w:r>
      <w:r w:rsidR="00D36EBF">
        <w:t>e on the quality and price of the</w:t>
      </w:r>
      <w:r w:rsidR="00F265E7">
        <w:t>ir</w:t>
      </w:r>
      <w:r>
        <w:t xml:space="preserve"> </w:t>
      </w:r>
      <w:r w:rsidR="00D36EBF">
        <w:t>goods</w:t>
      </w:r>
      <w:r>
        <w:t xml:space="preserve"> and services</w:t>
      </w:r>
      <w:r w:rsidR="005C6352">
        <w:t xml:space="preserve"> they supply</w:t>
      </w:r>
      <w:r>
        <w:t xml:space="preserve">, rather than those that </w:t>
      </w:r>
      <w:r w:rsidR="0092575A">
        <w:t xml:space="preserve">use tactics </w:t>
      </w:r>
      <w:r w:rsidR="007F6BB6">
        <w:t>that</w:t>
      </w:r>
      <w:r w:rsidR="0092575A">
        <w:t xml:space="preserve"> </w:t>
      </w:r>
      <w:r w:rsidR="001A1B33">
        <w:t xml:space="preserve">unreasonably </w:t>
      </w:r>
      <w:r>
        <w:t xml:space="preserve">manipulate or distort consumer decision-making. </w:t>
      </w:r>
    </w:p>
    <w:p w14:paraId="2A629EE0" w14:textId="7960427D" w:rsidR="00406CD0" w:rsidRDefault="00406CD0" w:rsidP="00406CD0">
      <w:r>
        <w:t xml:space="preserve">The benefit of Option 4 is that it combines the flexible, principles-based general prohibition proposed in Option 3 with specific reform to the ACL so that it can address a range of gaps in the ACL, including newer emerging practices, as well as targeting </w:t>
      </w:r>
      <w:r w:rsidR="00234BB3">
        <w:t xml:space="preserve">unfair subscription </w:t>
      </w:r>
      <w:r>
        <w:t xml:space="preserve">practices </w:t>
      </w:r>
      <w:r w:rsidR="00234BB3">
        <w:t>and strengthening protections against</w:t>
      </w:r>
      <w:r>
        <w:t xml:space="preserve"> drip pricing. </w:t>
      </w:r>
    </w:p>
    <w:p w14:paraId="2475CA8C" w14:textId="4353315F" w:rsidR="00406CD0" w:rsidRDefault="00BC7174" w:rsidP="00406CD0">
      <w:r>
        <w:t>U</w:t>
      </w:r>
      <w:r w:rsidR="00406CD0">
        <w:t>nfair subscription practices</w:t>
      </w:r>
      <w:r>
        <w:t xml:space="preserve"> and drip pricing</w:t>
      </w:r>
      <w:r w:rsidR="00406CD0">
        <w:t xml:space="preserve"> can effectively be addressed by specific prohibitions because they can be clearly identified and targeted. </w:t>
      </w:r>
      <w:r w:rsidR="00406CD0" w:rsidDel="006E0849">
        <w:t>Specific reform to the ACL provide</w:t>
      </w:r>
      <w:r w:rsidR="00406CD0">
        <w:t>s</w:t>
      </w:r>
      <w:r w:rsidR="00406CD0" w:rsidDel="006E0849">
        <w:t xml:space="preserve"> consumers and small businesses with protection while precedent and guidance on the general prohibition develops.</w:t>
      </w:r>
      <w:r w:rsidR="00406CD0">
        <w:t xml:space="preserve"> </w:t>
      </w:r>
    </w:p>
    <w:p w14:paraId="55E82829" w14:textId="79924E29" w:rsidR="00406CD0" w:rsidRDefault="00406CD0" w:rsidP="00406CD0">
      <w:r>
        <w:t xml:space="preserve">The benefits of introducing targeted positive obligations on businesses to address unfair subscription practices include reduced costs and time spent for consumers associated with unwanted subscriptions, increased consumer confidence in subscription </w:t>
      </w:r>
      <w:r w:rsidRPr="00B37FB0">
        <w:t xml:space="preserve">models and </w:t>
      </w:r>
      <w:r w:rsidR="00CD4849" w:rsidRPr="00B37FB0">
        <w:t>re</w:t>
      </w:r>
      <w:r w:rsidR="001D2BDC" w:rsidRPr="00B37FB0">
        <w:t xml:space="preserve">duced </w:t>
      </w:r>
      <w:r w:rsidR="00CD4849" w:rsidRPr="00B37FB0">
        <w:t>barriers to switching</w:t>
      </w:r>
      <w:r w:rsidRPr="00B37FB0">
        <w:t>. As</w:t>
      </w:r>
      <w:r>
        <w:t xml:space="preserve"> noted above, the targeted approach also ensures that certain sectors are able to be excluded from the scope of its application. </w:t>
      </w:r>
      <w:r w:rsidR="009F15B4" w:rsidRPr="009F15B4">
        <w:t>Treasury estimates that businesses offering subscription contracts will collectively incur costs of $19.57 million annually, over 10 years. The estimated annual consumer detriment from spending on unwanted subscriptions by consumers aged 16 and above is $971 million. To outweigh th</w:t>
      </w:r>
      <w:r w:rsidR="003B0FCF">
        <w:t>e</w:t>
      </w:r>
      <w:r w:rsidR="009F15B4" w:rsidRPr="009F15B4">
        <w:t xml:space="preserve"> cost</w:t>
      </w:r>
      <w:r w:rsidR="003B0FCF">
        <w:t xml:space="preserve"> to business</w:t>
      </w:r>
      <w:r w:rsidR="00EF091A">
        <w:t>es</w:t>
      </w:r>
      <w:r w:rsidR="009F15B4" w:rsidRPr="009F15B4">
        <w:t>, the consumer spending on unwanted subscriptions by subscription holders would need to decrease by 2.02%,</w:t>
      </w:r>
      <w:r w:rsidR="009F15B4" w:rsidRPr="009F15B4">
        <w:rPr>
          <w:vertAlign w:val="superscript"/>
        </w:rPr>
        <w:t xml:space="preserve"> </w:t>
      </w:r>
      <w:r w:rsidR="009F15B4" w:rsidRPr="009F15B4">
        <w:t xml:space="preserve">which is a likely outcome of these reforms. </w:t>
      </w:r>
    </w:p>
    <w:p w14:paraId="46599BCA" w14:textId="28701C14" w:rsidR="00406CD0" w:rsidRDefault="00406CD0" w:rsidP="00406CD0">
      <w:r>
        <w:lastRenderedPageBreak/>
        <w:t xml:space="preserve">In relation to drip pricing, the proposed reform will benefit consumers by enabling them to more easily compare the </w:t>
      </w:r>
      <w:r w:rsidR="00DC591F">
        <w:t xml:space="preserve">total </w:t>
      </w:r>
      <w:r>
        <w:t xml:space="preserve">price </w:t>
      </w:r>
      <w:r w:rsidR="004E1999">
        <w:t>they would pay to obtain</w:t>
      </w:r>
      <w:r>
        <w:t xml:space="preserve"> goods and services to make more informed purchasing decisions. This is likely to result in a time and cost saving for consumers, as well as providing benefits for businesses by ensuring they are on a level playing field in how they present pricing information. </w:t>
      </w:r>
      <w:r w:rsidR="0015503B" w:rsidRPr="0015503B">
        <w:t>Treasury estimates that businesses</w:t>
      </w:r>
      <w:r w:rsidR="007F2B77">
        <w:t xml:space="preserve"> affected by the drip pricing proposal</w:t>
      </w:r>
      <w:r w:rsidR="0015503B" w:rsidRPr="0015503B">
        <w:t xml:space="preserve"> will collectively incur implementation costs of $9.8</w:t>
      </w:r>
      <w:r w:rsidR="00BC4C38">
        <w:t>2</w:t>
      </w:r>
      <w:r w:rsidR="0015503B" w:rsidRPr="0015503B">
        <w:t xml:space="preserve"> million annually, over a </w:t>
      </w:r>
      <w:r w:rsidR="0085099B" w:rsidRPr="0015503B">
        <w:t>10-year</w:t>
      </w:r>
      <w:r w:rsidR="0015503B" w:rsidRPr="0015503B">
        <w:t xml:space="preserve"> period. The benefits of this proposal have not been quantified. </w:t>
      </w:r>
      <w:r w:rsidR="007F2B77">
        <w:t>However, for</w:t>
      </w:r>
      <w:r w:rsidR="0015503B" w:rsidRPr="0015503B">
        <w:t xml:space="preserve"> the consumer benefit to exceed the estimated cost to businesses, it is estimated that each Australian consumer </w:t>
      </w:r>
      <w:r w:rsidR="001914BD">
        <w:t>aged</w:t>
      </w:r>
      <w:r w:rsidR="0015503B" w:rsidRPr="0015503B">
        <w:t xml:space="preserve"> </w:t>
      </w:r>
      <w:r w:rsidR="007E74B9">
        <w:t>16 and above</w:t>
      </w:r>
      <w:r w:rsidR="0015503B" w:rsidRPr="0015503B">
        <w:t xml:space="preserve"> would need to save $4.45 over a 10-year period</w:t>
      </w:r>
      <w:r w:rsidR="00D10423">
        <w:t>, which is a likely outcome of th</w:t>
      </w:r>
      <w:r w:rsidR="00CA2058">
        <w:t xml:space="preserve">is </w:t>
      </w:r>
      <w:r w:rsidR="00D10423">
        <w:t>reform</w:t>
      </w:r>
      <w:r w:rsidR="0015503B" w:rsidRPr="0015503B">
        <w:t>.</w:t>
      </w:r>
    </w:p>
    <w:p w14:paraId="3BEADAE9" w14:textId="3759C870" w:rsidR="00416C1E" w:rsidRDefault="007F2B77" w:rsidP="00406CD0">
      <w:r>
        <w:t>Overall, c</w:t>
      </w:r>
      <w:r w:rsidR="00416C1E">
        <w:t xml:space="preserve">osts identified with </w:t>
      </w:r>
      <w:r w:rsidR="00403830">
        <w:t>Option 4</w:t>
      </w:r>
      <w:r w:rsidR="00416C1E">
        <w:t xml:space="preserve"> are concentrated in the initial stages of familiarisation and process adjustments</w:t>
      </w:r>
      <w:r w:rsidR="00AC6276">
        <w:t>.</w:t>
      </w:r>
      <w:r w:rsidR="00416C1E">
        <w:t xml:space="preserve"> Treasury estimates this to equate to $</w:t>
      </w:r>
      <w:r w:rsidR="00C90D6D">
        <w:t>123.2</w:t>
      </w:r>
      <w:r w:rsidR="00740E1A">
        <w:t>0</w:t>
      </w:r>
      <w:r w:rsidR="00C90D6D">
        <w:t xml:space="preserve"> </w:t>
      </w:r>
      <w:r w:rsidR="00416C1E">
        <w:t xml:space="preserve">million </w:t>
      </w:r>
      <w:r w:rsidR="00C90D6D">
        <w:t>in annual regulatory costs, over 10 years</w:t>
      </w:r>
      <w:r w:rsidR="00416C1E">
        <w:t>, that is expected to be outweighed by the benefits</w:t>
      </w:r>
      <w:r w:rsidR="00C90D6D">
        <w:t>.</w:t>
      </w:r>
    </w:p>
    <w:p w14:paraId="2E989C99" w14:textId="3070F97E" w:rsidR="00622CBB" w:rsidRDefault="00622CBB" w:rsidP="00406CD0">
      <w:r>
        <w:t>As with Option 3, this option a</w:t>
      </w:r>
      <w:r w:rsidR="00033F9E">
        <w:t>chi</w:t>
      </w:r>
      <w:r w:rsidR="006823DE">
        <w:t>e</w:t>
      </w:r>
      <w:r w:rsidR="00033F9E">
        <w:t>ves the aim</w:t>
      </w:r>
      <w:r>
        <w:t xml:space="preserve"> for government action </w:t>
      </w:r>
      <w:r w:rsidR="006823DE">
        <w:t>of</w:t>
      </w:r>
      <w:r>
        <w:t xml:space="preserve"> a response that addresses consumer harm from unfair distortive or manipulative business conduct across the economy</w:t>
      </w:r>
      <w:r w:rsidR="00033F9E">
        <w:t xml:space="preserve">, with the </w:t>
      </w:r>
      <w:r w:rsidR="006823DE">
        <w:t>additional</w:t>
      </w:r>
      <w:r w:rsidR="00033F9E">
        <w:t xml:space="preserve"> benefit</w:t>
      </w:r>
      <w:r w:rsidR="006823DE">
        <w:t>s</w:t>
      </w:r>
      <w:r w:rsidR="00033F9E">
        <w:t xml:space="preserve"> of targeted responses for</w:t>
      </w:r>
      <w:r w:rsidR="006823DE">
        <w:t xml:space="preserve"> </w:t>
      </w:r>
      <w:r w:rsidR="002A356B">
        <w:t xml:space="preserve">unfair subscription and drip pricing practices. </w:t>
      </w:r>
    </w:p>
    <w:p w14:paraId="76BA67A0" w14:textId="0200FC14" w:rsidR="00406CD0" w:rsidRDefault="00406CD0" w:rsidP="00406CD0">
      <w:pPr>
        <w:pStyle w:val="Heading3"/>
      </w:pPr>
      <w:bookmarkStart w:id="66" w:name="_Toc202971533"/>
      <w:bookmarkStart w:id="67" w:name="_Toc206422536"/>
      <w:r>
        <w:t>Implementation of option 4</w:t>
      </w:r>
      <w:bookmarkEnd w:id="66"/>
      <w:bookmarkEnd w:id="67"/>
    </w:p>
    <w:p w14:paraId="683BD626" w14:textId="32EB996C" w:rsidR="007716A9" w:rsidRDefault="00B0573D" w:rsidP="00406CD0">
      <w:r>
        <w:t>Implementation of this proposal w</w:t>
      </w:r>
      <w:r w:rsidR="009114CD">
        <w:t>ould</w:t>
      </w:r>
      <w:r>
        <w:t xml:space="preserve"> require legislative amendments to the ACL. </w:t>
      </w:r>
      <w:r w:rsidR="005618DD">
        <w:t xml:space="preserve">Legislation amending the ACL </w:t>
      </w:r>
      <w:r w:rsidR="00C548D0">
        <w:t>needs</w:t>
      </w:r>
      <w:r w:rsidR="005618DD">
        <w:t xml:space="preserve"> to be passed by the Australian parliament and there may also be </w:t>
      </w:r>
      <w:r w:rsidR="00651F15">
        <w:t xml:space="preserve">a need for </w:t>
      </w:r>
      <w:r w:rsidR="005618DD">
        <w:t xml:space="preserve">subordinate legislative instruments made under the ACL. </w:t>
      </w:r>
      <w:r w:rsidR="00DA2A25">
        <w:t>Under the IGA,</w:t>
      </w:r>
      <w:r w:rsidR="00DA2A25">
        <w:rPr>
          <w:rStyle w:val="FootnoteReference"/>
        </w:rPr>
        <w:footnoteReference w:id="145"/>
      </w:r>
      <w:r w:rsidR="00BC0E19">
        <w:t xml:space="preserve"> </w:t>
      </w:r>
      <w:r w:rsidR="00F52577">
        <w:t xml:space="preserve">following consultation with the states and territories on a proposal, </w:t>
      </w:r>
      <w:r w:rsidR="00BC0E19">
        <w:t xml:space="preserve">the </w:t>
      </w:r>
      <w:proofErr w:type="gramStart"/>
      <w:r w:rsidR="00BC0E19">
        <w:t>Commonwealth</w:t>
      </w:r>
      <w:r w:rsidR="00807E84">
        <w:t xml:space="preserve"> </w:t>
      </w:r>
      <w:r w:rsidR="00BC0E19">
        <w:t>Minister</w:t>
      </w:r>
      <w:proofErr w:type="gramEnd"/>
      <w:r w:rsidR="00BC0E19">
        <w:t xml:space="preserve"> must </w:t>
      </w:r>
      <w:r w:rsidR="00AB1B6E">
        <w:t>call a vote of</w:t>
      </w:r>
      <w:r w:rsidR="00BC0E19">
        <w:t xml:space="preserve"> states and territories on the proposal and secure the agreement of at least four other jurisdictions (including three states) before introducing legislation.</w:t>
      </w:r>
      <w:r w:rsidR="00133F7C">
        <w:t xml:space="preserve"> </w:t>
      </w:r>
    </w:p>
    <w:p w14:paraId="68265DC2" w14:textId="378C003E" w:rsidR="00406CD0" w:rsidRDefault="005618DD" w:rsidP="00406CD0">
      <w:r>
        <w:t xml:space="preserve">If there is an affirmative vote, </w:t>
      </w:r>
      <w:r w:rsidR="00C1648D">
        <w:t xml:space="preserve">the </w:t>
      </w:r>
      <w:r w:rsidR="006F4FEB">
        <w:t xml:space="preserve">Commonwealth </w:t>
      </w:r>
      <w:r w:rsidR="00E8502D">
        <w:t>G</w:t>
      </w:r>
      <w:r w:rsidR="00C1648D">
        <w:t xml:space="preserve">overnment </w:t>
      </w:r>
      <w:r w:rsidR="000E722C">
        <w:t>will devel</w:t>
      </w:r>
      <w:r w:rsidR="008B4DDD">
        <w:t>op</w:t>
      </w:r>
      <w:r w:rsidR="000E722C">
        <w:t xml:space="preserve"> </w:t>
      </w:r>
      <w:r w:rsidR="00C1648D">
        <w:t xml:space="preserve">legislation </w:t>
      </w:r>
      <w:r w:rsidR="00522394">
        <w:t xml:space="preserve">(and subordinate legislative instruments, if required) </w:t>
      </w:r>
      <w:r w:rsidR="000E722C">
        <w:t xml:space="preserve">in consultation with stakeholders, </w:t>
      </w:r>
      <w:r w:rsidR="00294AE0">
        <w:t xml:space="preserve">including </w:t>
      </w:r>
      <w:r w:rsidR="00663819">
        <w:t>state</w:t>
      </w:r>
      <w:r w:rsidR="0075436B">
        <w:t>s</w:t>
      </w:r>
      <w:r w:rsidR="00663819">
        <w:t xml:space="preserve"> and territories.</w:t>
      </w:r>
      <w:r w:rsidR="00133F7C">
        <w:t xml:space="preserve"> </w:t>
      </w:r>
      <w:r w:rsidR="002D40CA">
        <w:t>In drafting legislation</w:t>
      </w:r>
      <w:r w:rsidR="000446CA">
        <w:t>,</w:t>
      </w:r>
      <w:r w:rsidR="00CE73AF">
        <w:t xml:space="preserve"> </w:t>
      </w:r>
      <w:r w:rsidR="00AE1DC0">
        <w:t>consideration</w:t>
      </w:r>
      <w:r w:rsidR="00183465">
        <w:t xml:space="preserve"> will be given to the</w:t>
      </w:r>
      <w:r w:rsidR="00AE1DC0">
        <w:t xml:space="preserve"> </w:t>
      </w:r>
      <w:r w:rsidR="00C233C4">
        <w:t xml:space="preserve">interactions </w:t>
      </w:r>
      <w:r w:rsidR="009D3FB2">
        <w:t>with existing</w:t>
      </w:r>
      <w:r w:rsidR="001A54BD">
        <w:t xml:space="preserve"> </w:t>
      </w:r>
      <w:r w:rsidR="000F33F4">
        <w:t>regula</w:t>
      </w:r>
      <w:r w:rsidR="005F6733">
        <w:t xml:space="preserve">tory frameworks, as well as </w:t>
      </w:r>
      <w:r w:rsidR="00AE1DC0">
        <w:t>other</w:t>
      </w:r>
      <w:r w:rsidR="001A54BD">
        <w:t xml:space="preserve"> </w:t>
      </w:r>
      <w:r w:rsidR="00DC0228">
        <w:t>legislative reforms</w:t>
      </w:r>
      <w:r w:rsidR="0059525A">
        <w:t xml:space="preserve"> (</w:t>
      </w:r>
      <w:r w:rsidR="00D87B59">
        <w:t>including thos</w:t>
      </w:r>
      <w:r w:rsidR="00FB09CF">
        <w:t xml:space="preserve">e </w:t>
      </w:r>
      <w:r w:rsidR="00802360">
        <w:t>proposed</w:t>
      </w:r>
      <w:r w:rsidR="00DC0228">
        <w:t xml:space="preserve"> for the Privacy Act).</w:t>
      </w:r>
      <w:r w:rsidR="00406CD0">
        <w:t xml:space="preserve"> </w:t>
      </w:r>
      <w:r w:rsidR="00F84332">
        <w:t xml:space="preserve">The precise timing </w:t>
      </w:r>
      <w:r w:rsidR="00262171">
        <w:t>for the introduction of any</w:t>
      </w:r>
      <w:r w:rsidR="00F84332">
        <w:t xml:space="preserve"> legislation</w:t>
      </w:r>
      <w:r w:rsidR="00262171">
        <w:t xml:space="preserve"> into the Australian parliament</w:t>
      </w:r>
      <w:r w:rsidR="00F84332">
        <w:t xml:space="preserve"> </w:t>
      </w:r>
      <w:r w:rsidR="00F272F7">
        <w:t>is</w:t>
      </w:r>
      <w:r w:rsidR="00F84332">
        <w:t xml:space="preserve"> determined </w:t>
      </w:r>
      <w:r w:rsidR="0017439B">
        <w:t xml:space="preserve">by government, subject to </w:t>
      </w:r>
      <w:r w:rsidR="00F84332">
        <w:t>legislative priorities.</w:t>
      </w:r>
      <w:r w:rsidR="00D33E03">
        <w:t xml:space="preserve"> States and territories</w:t>
      </w:r>
      <w:r w:rsidR="00E94C34">
        <w:t xml:space="preserve"> </w:t>
      </w:r>
      <w:r w:rsidR="00D33E03">
        <w:t>apply the ACL in their jurisdictions through application legislation</w:t>
      </w:r>
      <w:r w:rsidR="005B1645">
        <w:t>.</w:t>
      </w:r>
    </w:p>
    <w:p w14:paraId="22E7C667" w14:textId="610BFF98" w:rsidR="00406CD0" w:rsidRDefault="00406CD0" w:rsidP="00406CD0">
      <w:r>
        <w:t xml:space="preserve">ACL regulators </w:t>
      </w:r>
      <w:r w:rsidR="00D37803">
        <w:t>(</w:t>
      </w:r>
      <w:r w:rsidR="00226264">
        <w:t>the ACCC and state and territory consumer protection agencies)</w:t>
      </w:r>
      <w:r>
        <w:t xml:space="preserve"> w</w:t>
      </w:r>
      <w:r w:rsidR="0071023E">
        <w:t>ould</w:t>
      </w:r>
      <w:r>
        <w:t xml:space="preserve"> enforce the new protection</w:t>
      </w:r>
      <w:r w:rsidR="00556D68">
        <w:t>s</w:t>
      </w:r>
      <w:r w:rsidR="0001033A">
        <w:t xml:space="preserve">, as they do </w:t>
      </w:r>
      <w:r w:rsidR="00B414F5">
        <w:t xml:space="preserve">with other </w:t>
      </w:r>
      <w:r w:rsidR="0001033A">
        <w:t>existing ACL protection</w:t>
      </w:r>
      <w:r>
        <w:t>s</w:t>
      </w:r>
      <w:r w:rsidR="00816725">
        <w:t>.</w:t>
      </w:r>
      <w:r w:rsidR="00226264">
        <w:t xml:space="preserve"> </w:t>
      </w:r>
      <w:r w:rsidR="00CB4879">
        <w:t xml:space="preserve">The ACCC </w:t>
      </w:r>
      <w:r w:rsidR="007E08EA">
        <w:t xml:space="preserve">takes action in </w:t>
      </w:r>
      <w:r w:rsidR="00E97FB5">
        <w:t xml:space="preserve">respect </w:t>
      </w:r>
      <w:r w:rsidR="007E08EA">
        <w:t>of</w:t>
      </w:r>
      <w:r w:rsidR="00E97FB5">
        <w:t xml:space="preserve"> </w:t>
      </w:r>
      <w:r w:rsidR="00BD5864">
        <w:t>systemic conduct in trade and commerce at a national level</w:t>
      </w:r>
      <w:r w:rsidR="00F366E4">
        <w:t xml:space="preserve">, </w:t>
      </w:r>
      <w:r w:rsidR="00CB4879">
        <w:t>and state and territory consumer p</w:t>
      </w:r>
      <w:r w:rsidR="00FE00AF">
        <w:t>ro</w:t>
      </w:r>
      <w:r w:rsidR="00CB4879">
        <w:t xml:space="preserve">tection agencies </w:t>
      </w:r>
      <w:r w:rsidR="007E08EA">
        <w:t>focus on</w:t>
      </w:r>
      <w:r w:rsidR="00F366E4">
        <w:t xml:space="preserve"> conduct engaged in </w:t>
      </w:r>
      <w:r w:rsidR="00011581">
        <w:t xml:space="preserve">by </w:t>
      </w:r>
      <w:r w:rsidR="00F366E4">
        <w:t xml:space="preserve">businesses </w:t>
      </w:r>
      <w:r w:rsidR="00CB4879">
        <w:t xml:space="preserve">that operate within their own state </w:t>
      </w:r>
      <w:r w:rsidR="0079136D">
        <w:t>or</w:t>
      </w:r>
      <w:r w:rsidR="00CB4879">
        <w:t xml:space="preserve"> territory.</w:t>
      </w:r>
      <w:r>
        <w:t xml:space="preserve"> ACL regulators will continue to co-ordinate their activity in enforcing ACL protections, overseeing compliance and supporting the operational objectives of the </w:t>
      </w:r>
      <w:r w:rsidR="009A051F">
        <w:t>IGA.</w:t>
      </w:r>
      <w:r>
        <w:t xml:space="preserve"> These objectives include: to prevent practices that are unfair, to provide accessible and timely redress where consumer detriment has occurred, and to promote proportionate, risk-based enforcement.</w:t>
      </w:r>
    </w:p>
    <w:p w14:paraId="7442F985" w14:textId="7EB938A2" w:rsidR="00D1252A" w:rsidRDefault="00001762" w:rsidP="00406CD0">
      <w:r>
        <w:t>Consistent with</w:t>
      </w:r>
      <w:r w:rsidR="009A051F">
        <w:t xml:space="preserve"> the IGA, </w:t>
      </w:r>
      <w:r w:rsidR="0095461C">
        <w:t>ACL regulators</w:t>
      </w:r>
      <w:r w:rsidR="00C81F64" w:rsidRPr="00C81F64">
        <w:t xml:space="preserve"> develop and publish common national guidance for businesses and consumers on the application, enforcement and administration of the provisions of the </w:t>
      </w:r>
      <w:r w:rsidR="0095461C">
        <w:t>ACL</w:t>
      </w:r>
      <w:r w:rsidR="00234166">
        <w:t>.</w:t>
      </w:r>
      <w:r w:rsidR="0072316D">
        <w:t xml:space="preserve"> </w:t>
      </w:r>
      <w:r w:rsidR="00406CD0">
        <w:t xml:space="preserve">It is expected that ACL regulators would issue guidance on the implementation of new legal requirements and work with businesses and consumer groups to make them aware of the changes, including through enhancing education and awareness raising activities. In the short term, this is likely to lead to an increase in unfair trading related complaints and queries to regulators. However, as the operation </w:t>
      </w:r>
      <w:r w:rsidR="00406CD0">
        <w:lastRenderedPageBreak/>
        <w:t>of the law becomes clearer and businesses better understand how to comply, the increased demand on</w:t>
      </w:r>
      <w:r w:rsidR="000834AE">
        <w:t xml:space="preserve"> ACL</w:t>
      </w:r>
      <w:r w:rsidR="00406CD0">
        <w:t xml:space="preserve"> regulators in implementing the new requirements is expected to level off.</w:t>
      </w:r>
      <w:r w:rsidR="00183E52">
        <w:t xml:space="preserve"> </w:t>
      </w:r>
      <w:r w:rsidR="00406CD0">
        <w:t>Transitional arrangements will be put in place to give businesses time to amend their business practices, and regulators time to develop further guidance and conduct education and awareness raising activities.</w:t>
      </w:r>
      <w:r w:rsidR="00A65BEF">
        <w:t xml:space="preserve"> It is also expected that industry associations and business organisations</w:t>
      </w:r>
      <w:r w:rsidR="00CB41F1">
        <w:t>, and</w:t>
      </w:r>
      <w:r w:rsidR="00F804A6">
        <w:t xml:space="preserve"> </w:t>
      </w:r>
      <w:r w:rsidR="00D754F7">
        <w:t>organisations like</w:t>
      </w:r>
      <w:r w:rsidR="00F804A6">
        <w:t xml:space="preserve"> </w:t>
      </w:r>
      <w:r w:rsidR="00464DE8">
        <w:t xml:space="preserve">the </w:t>
      </w:r>
      <w:r w:rsidR="00F804A6">
        <w:t>A</w:t>
      </w:r>
      <w:r w:rsidR="007D2823">
        <w:t xml:space="preserve">ustralian </w:t>
      </w:r>
      <w:r w:rsidR="00F804A6">
        <w:t>S</w:t>
      </w:r>
      <w:r w:rsidR="00361536">
        <w:t xml:space="preserve">mall </w:t>
      </w:r>
      <w:r w:rsidR="00F804A6">
        <w:t>B</w:t>
      </w:r>
      <w:r w:rsidR="00361536">
        <w:t xml:space="preserve">usiness and </w:t>
      </w:r>
      <w:r w:rsidR="00C93518">
        <w:t>F</w:t>
      </w:r>
      <w:r w:rsidR="00361536">
        <w:t xml:space="preserve">amily </w:t>
      </w:r>
      <w:r w:rsidR="00C93518">
        <w:t>E</w:t>
      </w:r>
      <w:r w:rsidR="00361536">
        <w:t xml:space="preserve">nterprise </w:t>
      </w:r>
      <w:r w:rsidR="00C93518">
        <w:t>O</w:t>
      </w:r>
      <w:r w:rsidR="00361536">
        <w:t>mbudsman (ABSFEO)</w:t>
      </w:r>
      <w:r w:rsidR="00D754F7">
        <w:t>,</w:t>
      </w:r>
      <w:r w:rsidR="00A65BEF">
        <w:t xml:space="preserve"> </w:t>
      </w:r>
      <w:r w:rsidR="00D754F7">
        <w:t>would</w:t>
      </w:r>
      <w:r w:rsidR="00A65BEF">
        <w:t xml:space="preserve"> </w:t>
      </w:r>
      <w:r w:rsidR="008B2DE0">
        <w:t>also</w:t>
      </w:r>
      <w:r w:rsidR="00A65BEF">
        <w:t xml:space="preserve"> play a role in </w:t>
      </w:r>
      <w:r w:rsidR="000E6915">
        <w:t>distributing</w:t>
      </w:r>
      <w:r w:rsidR="009C4F19">
        <w:t xml:space="preserve"> resources</w:t>
      </w:r>
      <w:r w:rsidR="008A5B58">
        <w:t xml:space="preserve"> and guidance</w:t>
      </w:r>
      <w:r w:rsidR="002025FD">
        <w:t xml:space="preserve">. </w:t>
      </w:r>
    </w:p>
    <w:p w14:paraId="61C4058A" w14:textId="06C673DF" w:rsidR="00406CD0" w:rsidRDefault="00616A6E" w:rsidP="00406CD0">
      <w:r>
        <w:t>T</w:t>
      </w:r>
      <w:r w:rsidR="00525BA6">
        <w:t>h</w:t>
      </w:r>
      <w:r w:rsidR="00231542">
        <w:t>e</w:t>
      </w:r>
      <w:r w:rsidR="00525BA6">
        <w:t xml:space="preserve"> </w:t>
      </w:r>
      <w:r w:rsidR="00F93936">
        <w:t>multi-regulator model</w:t>
      </w:r>
      <w:r w:rsidR="00755572">
        <w:t xml:space="preserve"> of enforcement</w:t>
      </w:r>
      <w:r w:rsidR="009C18A6">
        <w:t xml:space="preserve"> and compliance</w:t>
      </w:r>
      <w:r w:rsidR="00755572">
        <w:t xml:space="preserve"> under the IGA</w:t>
      </w:r>
      <w:r w:rsidR="00F93936">
        <w:t xml:space="preserve"> </w:t>
      </w:r>
      <w:r>
        <w:t>ensures that</w:t>
      </w:r>
      <w:r w:rsidR="00525BA6">
        <w:t xml:space="preserve"> information related to </w:t>
      </w:r>
      <w:r w:rsidR="007C7290">
        <w:t xml:space="preserve">educating consumers, </w:t>
      </w:r>
      <w:r w:rsidR="00036508">
        <w:t>monitoring and compliance</w:t>
      </w:r>
      <w:r w:rsidR="00FB737C">
        <w:t xml:space="preserve">, </w:t>
      </w:r>
      <w:r w:rsidR="00EA2A40">
        <w:t>enforcement</w:t>
      </w:r>
      <w:r w:rsidR="00036508">
        <w:t xml:space="preserve"> </w:t>
      </w:r>
      <w:r w:rsidR="001E1392">
        <w:t>and other administrative functions</w:t>
      </w:r>
      <w:r w:rsidR="00C15D24">
        <w:t xml:space="preserve"> can be shared</w:t>
      </w:r>
      <w:r w:rsidR="001E1392">
        <w:t xml:space="preserve">. </w:t>
      </w:r>
      <w:r w:rsidR="00B369FB">
        <w:t>Th</w:t>
      </w:r>
      <w:r w:rsidR="00FB737C">
        <w:t>is</w:t>
      </w:r>
      <w:r w:rsidR="00B369FB">
        <w:t xml:space="preserve"> cooperative approach to communication will en</w:t>
      </w:r>
      <w:r w:rsidR="005F68F6">
        <w:t>able</w:t>
      </w:r>
      <w:r w:rsidR="00B369FB">
        <w:t xml:space="preserve"> </w:t>
      </w:r>
      <w:r w:rsidR="00D05834">
        <w:t xml:space="preserve">the different regulators to bring forward </w:t>
      </w:r>
      <w:r w:rsidR="00995B3C">
        <w:t xml:space="preserve">any </w:t>
      </w:r>
      <w:r w:rsidR="00D05834">
        <w:t>concern</w:t>
      </w:r>
      <w:r w:rsidR="00D067E6">
        <w:t>s</w:t>
      </w:r>
      <w:r w:rsidR="00995B3C">
        <w:t xml:space="preserve"> </w:t>
      </w:r>
      <w:r w:rsidR="00CF6C06">
        <w:t>regarding th</w:t>
      </w:r>
      <w:r w:rsidR="00512B66">
        <w:t xml:space="preserve">e implementation </w:t>
      </w:r>
      <w:r w:rsidR="00FD675A">
        <w:t xml:space="preserve">of the proposal </w:t>
      </w:r>
      <w:r w:rsidR="007B353F">
        <w:t xml:space="preserve">and levels </w:t>
      </w:r>
      <w:r w:rsidR="00512B66">
        <w:t xml:space="preserve">of </w:t>
      </w:r>
      <w:r w:rsidR="007B353F">
        <w:t>compliance</w:t>
      </w:r>
      <w:r w:rsidR="00CF6C06">
        <w:t xml:space="preserve"> </w:t>
      </w:r>
      <w:r w:rsidR="00E75CD2">
        <w:t xml:space="preserve">through existing </w:t>
      </w:r>
      <w:r w:rsidR="00C557C4">
        <w:t xml:space="preserve">inter-agency and national committees which </w:t>
      </w:r>
      <w:r w:rsidR="008752FF">
        <w:t>coordinate</w:t>
      </w:r>
      <w:r w:rsidR="00B04006">
        <w:t xml:space="preserve"> consumer law initiatives across jurisdictions</w:t>
      </w:r>
      <w:r w:rsidR="009611E8">
        <w:t>.</w:t>
      </w:r>
      <w:r w:rsidR="005A24A9">
        <w:rPr>
          <w:rStyle w:val="FootnoteReference"/>
        </w:rPr>
        <w:footnoteReference w:id="146"/>
      </w:r>
      <w:r w:rsidR="00CF6C06">
        <w:t xml:space="preserve"> </w:t>
      </w:r>
      <w:r w:rsidR="003501C0">
        <w:t>In addition</w:t>
      </w:r>
      <w:r w:rsidR="00873D4E">
        <w:t>,</w:t>
      </w:r>
      <w:r w:rsidR="008735D9">
        <w:t xml:space="preserve"> there are other avenues for </w:t>
      </w:r>
      <w:r w:rsidR="003501C0">
        <w:t>state</w:t>
      </w:r>
      <w:r w:rsidR="00A63788">
        <w:t>s</w:t>
      </w:r>
      <w:r w:rsidR="003501C0">
        <w:t xml:space="preserve"> or territor</w:t>
      </w:r>
      <w:r w:rsidR="00A63788">
        <w:t>ies</w:t>
      </w:r>
      <w:r w:rsidR="003501C0">
        <w:t xml:space="preserve"> </w:t>
      </w:r>
      <w:r w:rsidR="008735D9">
        <w:t>to raise any issues</w:t>
      </w:r>
      <w:r w:rsidR="007B669B">
        <w:t>, such as bringing</w:t>
      </w:r>
      <w:r w:rsidR="003501C0">
        <w:t xml:space="preserve"> forward a </w:t>
      </w:r>
      <w:r w:rsidR="007B669B">
        <w:t xml:space="preserve">valid </w:t>
      </w:r>
      <w:r w:rsidR="003501C0">
        <w:t>proposal for reform</w:t>
      </w:r>
      <w:r w:rsidR="00A5026D">
        <w:t xml:space="preserve"> to the ACL</w:t>
      </w:r>
      <w:r w:rsidR="007B669B">
        <w:t xml:space="preserve"> under</w:t>
      </w:r>
      <w:r w:rsidR="003501C0">
        <w:t xml:space="preserve"> the IGA</w:t>
      </w:r>
      <w:r w:rsidR="00FB0134">
        <w:t xml:space="preserve">. </w:t>
      </w:r>
      <w:r w:rsidR="00B54DCF">
        <w:t>The</w:t>
      </w:r>
      <w:r w:rsidR="00992D10">
        <w:t xml:space="preserve"> existence of these</w:t>
      </w:r>
      <w:r w:rsidR="00E937DB">
        <w:t xml:space="preserve"> networks </w:t>
      </w:r>
      <w:r w:rsidR="00992D10">
        <w:t xml:space="preserve">will </w:t>
      </w:r>
      <w:r w:rsidR="0054161F">
        <w:t>help to</w:t>
      </w:r>
      <w:r w:rsidR="00992D10">
        <w:t xml:space="preserve"> </w:t>
      </w:r>
      <w:r w:rsidR="00817255">
        <w:t xml:space="preserve">ensure any implementation issues can be identified and that the proposed </w:t>
      </w:r>
      <w:r w:rsidR="008B286A">
        <w:t xml:space="preserve">provisions </w:t>
      </w:r>
      <w:r w:rsidR="00086A88">
        <w:t xml:space="preserve">are, and </w:t>
      </w:r>
      <w:r w:rsidR="008B286A">
        <w:t>remain</w:t>
      </w:r>
      <w:r w:rsidR="00086A88">
        <w:t>,</w:t>
      </w:r>
      <w:r w:rsidR="008B286A">
        <w:t xml:space="preserve"> fit-for-purpose.</w:t>
      </w:r>
      <w:r w:rsidR="00A1776F">
        <w:t xml:space="preserve"> </w:t>
      </w:r>
    </w:p>
    <w:p w14:paraId="38157C6A" w14:textId="77777777" w:rsidR="00406CD0" w:rsidRDefault="00406CD0" w:rsidP="00406CD0">
      <w:pPr>
        <w:pStyle w:val="Heading3"/>
      </w:pPr>
      <w:bookmarkStart w:id="68" w:name="_Toc202971534"/>
      <w:bookmarkStart w:id="69" w:name="_Toc206422537"/>
      <w:r>
        <w:t>Enforcement tools and penalties</w:t>
      </w:r>
      <w:bookmarkEnd w:id="68"/>
      <w:bookmarkEnd w:id="69"/>
    </w:p>
    <w:p w14:paraId="2B52BCF6" w14:textId="77777777" w:rsidR="00406CD0" w:rsidRDefault="00406CD0" w:rsidP="00406CD0">
      <w:pPr>
        <w:pStyle w:val="Heading4"/>
        <w:rPr>
          <w:color w:val="auto"/>
          <w:kern w:val="0"/>
          <w:sz w:val="22"/>
        </w:rPr>
      </w:pPr>
      <w:r>
        <w:t>Consultation outcomes</w:t>
      </w:r>
    </w:p>
    <w:p w14:paraId="2027E3AA" w14:textId="2EB1DB26" w:rsidR="00406CD0" w:rsidRDefault="00406CD0" w:rsidP="00406CD0">
      <w:r w:rsidRPr="00FB145B">
        <w:t>The ACCC consider</w:t>
      </w:r>
      <w:r>
        <w:t>ed</w:t>
      </w:r>
      <w:r w:rsidRPr="00FB145B">
        <w:t xml:space="preserve"> ACL regulators should be empowered to employ the full range of their existing enforcement powers and compliance actions to address contraventions of the proposed</w:t>
      </w:r>
      <w:r w:rsidR="00624463">
        <w:t xml:space="preserve"> general</w:t>
      </w:r>
      <w:r w:rsidRPr="00FB145B">
        <w:t xml:space="preserve"> unfair trading prohibition. These include court action, infringement notices, court enforceable undertakings, administrative resolutions, guidance and education, cautions to businesses to change their conduct and public warnings or other public statements</w:t>
      </w:r>
      <w:r>
        <w:t>.</w:t>
      </w:r>
      <w:r w:rsidRPr="00911D60">
        <w:rPr>
          <w:rStyle w:val="FootnoteReference"/>
          <w:rFonts w:eastAsiaTheme="majorEastAsia"/>
        </w:rPr>
        <w:footnoteReference w:id="147"/>
      </w:r>
      <w:r w:rsidRPr="00881ED3">
        <w:rPr>
          <w:vertAlign w:val="superscript"/>
        </w:rPr>
        <w:t xml:space="preserve"> </w:t>
      </w:r>
      <w:r w:rsidRPr="004163C1">
        <w:t>Most stakeholders were supportive of civil penalties applying to a bre</w:t>
      </w:r>
      <w:r>
        <w:t>ac</w:t>
      </w:r>
      <w:r w:rsidRPr="004163C1">
        <w:t>h of a general prohibition</w:t>
      </w:r>
      <w:r>
        <w:t>, and there was also</w:t>
      </w:r>
      <w:r w:rsidRPr="00AE761D">
        <w:t xml:space="preserve"> </w:t>
      </w:r>
      <w:r>
        <w:t>stakeholder support for</w:t>
      </w:r>
      <w:r w:rsidRPr="004163C1">
        <w:t xml:space="preserve"> maximum penalties for breaches to align with the current pecuniary penalty regime for existing key general protections under the ACL</w:t>
      </w:r>
      <w:r>
        <w:t>. The ACCC</w:t>
      </w:r>
      <w:r w:rsidRPr="004163C1">
        <w:t xml:space="preserve"> argu</w:t>
      </w:r>
      <w:r>
        <w:t>ed</w:t>
      </w:r>
      <w:r w:rsidRPr="004163C1">
        <w:t xml:space="preserve"> penalties must be set at a level that is sufficient to act a</w:t>
      </w:r>
      <w:r>
        <w:t>s a</w:t>
      </w:r>
      <w:r w:rsidRPr="004163C1">
        <w:t xml:space="preserve"> genuine deterrent for noncompliance.</w:t>
      </w:r>
      <w:r w:rsidRPr="00353DCE">
        <w:rPr>
          <w:rStyle w:val="FootnoteReference"/>
          <w:rFonts w:eastAsiaTheme="majorEastAsia"/>
        </w:rPr>
        <w:footnoteReference w:id="148"/>
      </w:r>
      <w:r w:rsidRPr="00353DCE">
        <w:rPr>
          <w:vertAlign w:val="superscript"/>
        </w:rPr>
        <w:t xml:space="preserve"> </w:t>
      </w:r>
    </w:p>
    <w:p w14:paraId="3555B05F" w14:textId="00870345" w:rsidR="00406CD0" w:rsidRPr="004163C1" w:rsidRDefault="00406CD0" w:rsidP="00406CD0">
      <w:r w:rsidRPr="004163C1">
        <w:t xml:space="preserve">The BCA </w:t>
      </w:r>
      <w:r>
        <w:t>submitted</w:t>
      </w:r>
      <w:r w:rsidRPr="004163C1">
        <w:t xml:space="preserve"> </w:t>
      </w:r>
      <w:r w:rsidR="00506F5B">
        <w:t xml:space="preserve">any </w:t>
      </w:r>
      <w:r>
        <w:t xml:space="preserve">proposal to </w:t>
      </w:r>
      <w:r w:rsidR="0007327F">
        <w:t>implement</w:t>
      </w:r>
      <w:r>
        <w:t xml:space="preserve"> the maximum penalties available under the ACL </w:t>
      </w:r>
      <w:r w:rsidR="00506F5B">
        <w:t>would be</w:t>
      </w:r>
      <w:r>
        <w:t xml:space="preserve"> concerning given the inevitable uncertainty associated with</w:t>
      </w:r>
      <w:r w:rsidRPr="004163C1">
        <w:t xml:space="preserve"> the proposed </w:t>
      </w:r>
      <w:r>
        <w:t>prohibitions.</w:t>
      </w:r>
      <w:r w:rsidRPr="001C7E4F">
        <w:rPr>
          <w:rStyle w:val="FootnoteReference"/>
          <w:rFonts w:eastAsiaTheme="majorEastAsia"/>
        </w:rPr>
        <w:footnoteReference w:id="149"/>
      </w:r>
      <w:r w:rsidRPr="004163C1">
        <w:t xml:space="preserve"> </w:t>
      </w:r>
      <w:r>
        <w:t>ACCI opposed the application of penalties</w:t>
      </w:r>
      <w:r w:rsidR="0007327F">
        <w:t xml:space="preserve"> in line with the current maximum penalties for existing key ACL provisions</w:t>
      </w:r>
      <w:r>
        <w:t>, arguing</w:t>
      </w:r>
      <w:r w:rsidRPr="004163C1">
        <w:t xml:space="preserve"> penalties this large would be excessive and </w:t>
      </w:r>
      <w:r>
        <w:t xml:space="preserve">grossly </w:t>
      </w:r>
      <w:r w:rsidRPr="004163C1">
        <w:t xml:space="preserve">disproportionate to the action </w:t>
      </w:r>
      <w:r>
        <w:t xml:space="preserve">of the business </w:t>
      </w:r>
      <w:r w:rsidRPr="004163C1">
        <w:t>and detriment to the consumer.</w:t>
      </w:r>
      <w:r w:rsidRPr="00D75F69">
        <w:rPr>
          <w:rStyle w:val="FootnoteReference"/>
          <w:rFonts w:eastAsiaTheme="majorEastAsia"/>
        </w:rPr>
        <w:footnoteReference w:id="150"/>
      </w:r>
    </w:p>
    <w:p w14:paraId="71BB4E0D" w14:textId="1DD666C9" w:rsidR="00267C18" w:rsidRPr="004163C1" w:rsidRDefault="00267C18" w:rsidP="00406CD0">
      <w:r>
        <w:t>However</w:t>
      </w:r>
      <w:r w:rsidR="00522E59">
        <w:t>,</w:t>
      </w:r>
      <w:r>
        <w:t xml:space="preserve"> the ACCC noted that the maximum </w:t>
      </w:r>
      <w:r w:rsidR="00F9349F">
        <w:t>penalty</w:t>
      </w:r>
      <w:r>
        <w:t xml:space="preserve"> amount does not automatically apply for any </w:t>
      </w:r>
      <w:r w:rsidR="00F9349F">
        <w:t>particular</w:t>
      </w:r>
      <w:r>
        <w:t xml:space="preserve"> contravention, with the courts being well-practiced at determining the </w:t>
      </w:r>
      <w:r w:rsidR="00F9349F">
        <w:t>appropriate</w:t>
      </w:r>
      <w:r>
        <w:t xml:space="preserve"> penalty amount in any given case, up to the per contravention maximum set in the ACL.</w:t>
      </w:r>
      <w:r>
        <w:rPr>
          <w:rStyle w:val="FootnoteReference"/>
        </w:rPr>
        <w:footnoteReference w:id="151"/>
      </w:r>
    </w:p>
    <w:p w14:paraId="335C0E85" w14:textId="163394D2" w:rsidR="00406CD0" w:rsidRPr="00105963" w:rsidRDefault="00406CD0" w:rsidP="00406CD0">
      <w:pPr>
        <w:rPr>
          <w:b/>
          <w:szCs w:val="22"/>
          <w:vertAlign w:val="superscript"/>
        </w:rPr>
      </w:pPr>
      <w:r>
        <w:t>Stakeholders</w:t>
      </w:r>
      <w:r w:rsidRPr="004163C1">
        <w:t xml:space="preserve"> </w:t>
      </w:r>
      <w:r>
        <w:t xml:space="preserve">generally </w:t>
      </w:r>
      <w:r w:rsidRPr="004163C1">
        <w:t xml:space="preserve">supported a transition period if penalties were to apply, with </w:t>
      </w:r>
      <w:r w:rsidR="00B95C0F">
        <w:t>2</w:t>
      </w:r>
      <w:r w:rsidRPr="004163C1">
        <w:t xml:space="preserve"> years </w:t>
      </w:r>
      <w:r w:rsidRPr="00223931" w:rsidDel="00953D82">
        <w:t xml:space="preserve">generally </w:t>
      </w:r>
      <w:r w:rsidRPr="00223931">
        <w:t>considered to be appropriate.</w:t>
      </w:r>
      <w:r>
        <w:t xml:space="preserve"> </w:t>
      </w:r>
      <w:r w:rsidRPr="5E979900">
        <w:t xml:space="preserve">National Legal Aid supported a similar transition period to that which </w:t>
      </w:r>
      <w:r w:rsidRPr="5E979900">
        <w:lastRenderedPageBreak/>
        <w:t>occurred for the unfair contract terms regime which gave the ACCC the opportunity to work with businesses to improve their practices</w:t>
      </w:r>
      <w:r w:rsidRPr="003E20B6">
        <w:rPr>
          <w:szCs w:val="22"/>
        </w:rPr>
        <w:t>.</w:t>
      </w:r>
      <w:r w:rsidRPr="5E979900">
        <w:rPr>
          <w:rStyle w:val="FootnoteReference"/>
          <w:rFonts w:eastAsiaTheme="majorEastAsia"/>
        </w:rPr>
        <w:footnoteReference w:id="152"/>
      </w:r>
      <w:r w:rsidRPr="5E979900">
        <w:rPr>
          <w:vertAlign w:val="superscript"/>
        </w:rPr>
        <w:t xml:space="preserve"> </w:t>
      </w:r>
    </w:p>
    <w:p w14:paraId="6DA5CE45" w14:textId="77777777" w:rsidR="00406CD0" w:rsidRDefault="00406CD0" w:rsidP="00406CD0">
      <w:pPr>
        <w:pStyle w:val="Heading4"/>
        <w:rPr>
          <w:b/>
        </w:rPr>
      </w:pPr>
      <w:r>
        <w:rPr>
          <w:szCs w:val="22"/>
        </w:rPr>
        <w:t>Policy proposal</w:t>
      </w:r>
    </w:p>
    <w:p w14:paraId="0CE711A0" w14:textId="28C7D75B" w:rsidR="00406CD0" w:rsidRDefault="00406CD0" w:rsidP="00406CD0">
      <w:r w:rsidRPr="00105963">
        <w:t xml:space="preserve">It is intended that the </w:t>
      </w:r>
      <w:r w:rsidRPr="00105963">
        <w:rPr>
          <w:rFonts w:cstheme="minorHAnsi"/>
          <w:szCs w:val="22"/>
        </w:rPr>
        <w:t>full range of remedies, including civil penalties, will be available for breaches of the general prohibition</w:t>
      </w:r>
      <w:r>
        <w:rPr>
          <w:rFonts w:cstheme="minorHAnsi"/>
          <w:szCs w:val="22"/>
        </w:rPr>
        <w:t xml:space="preserve"> and any specific prohibitions</w:t>
      </w:r>
      <w:r w:rsidRPr="00105963">
        <w:rPr>
          <w:rFonts w:cstheme="minorHAnsi"/>
          <w:szCs w:val="22"/>
        </w:rPr>
        <w:t xml:space="preserve">, and that a transition/compliance period </w:t>
      </w:r>
      <w:r>
        <w:rPr>
          <w:rFonts w:cstheme="minorHAnsi"/>
          <w:szCs w:val="22"/>
        </w:rPr>
        <w:t xml:space="preserve">will </w:t>
      </w:r>
      <w:r w:rsidR="00D4496D">
        <w:rPr>
          <w:rFonts w:cstheme="minorHAnsi"/>
          <w:szCs w:val="22"/>
        </w:rPr>
        <w:t xml:space="preserve">occur </w:t>
      </w:r>
      <w:r w:rsidRPr="00105963">
        <w:rPr>
          <w:szCs w:val="22"/>
        </w:rPr>
        <w:t>before penalties apply.</w:t>
      </w:r>
      <w:r>
        <w:rPr>
          <w:szCs w:val="22"/>
        </w:rPr>
        <w:t xml:space="preserve"> </w:t>
      </w:r>
      <w:r w:rsidRPr="00105963">
        <w:rPr>
          <w:szCs w:val="22"/>
        </w:rPr>
        <w:t xml:space="preserve">This </w:t>
      </w:r>
      <w:r>
        <w:rPr>
          <w:szCs w:val="22"/>
        </w:rPr>
        <w:t xml:space="preserve">approach </w:t>
      </w:r>
      <w:r w:rsidRPr="00105963">
        <w:rPr>
          <w:szCs w:val="22"/>
        </w:rPr>
        <w:t>ensure</w:t>
      </w:r>
      <w:r>
        <w:rPr>
          <w:szCs w:val="22"/>
        </w:rPr>
        <w:t>s</w:t>
      </w:r>
      <w:r w:rsidRPr="00105963">
        <w:rPr>
          <w:szCs w:val="22"/>
        </w:rPr>
        <w:t xml:space="preserve"> businesses have time to comply with the new law, while ensuring the prohibition will have a true deterrent effect.</w:t>
      </w:r>
      <w:r>
        <w:rPr>
          <w:szCs w:val="22"/>
        </w:rPr>
        <w:t xml:space="preserve"> </w:t>
      </w:r>
      <w:r w:rsidR="00AB1CAA">
        <w:rPr>
          <w:szCs w:val="22"/>
        </w:rPr>
        <w:t>This also provides regulators with the opportunity to p</w:t>
      </w:r>
      <w:r w:rsidR="009E1158">
        <w:rPr>
          <w:szCs w:val="22"/>
        </w:rPr>
        <w:t>roduce</w:t>
      </w:r>
      <w:r w:rsidR="00AB1CAA">
        <w:rPr>
          <w:szCs w:val="22"/>
        </w:rPr>
        <w:t xml:space="preserve"> guidance</w:t>
      </w:r>
      <w:r w:rsidR="002B12A0">
        <w:rPr>
          <w:szCs w:val="22"/>
        </w:rPr>
        <w:t xml:space="preserve"> material to support businesses in transitioning</w:t>
      </w:r>
      <w:r w:rsidR="005B3319">
        <w:rPr>
          <w:szCs w:val="22"/>
        </w:rPr>
        <w:t xml:space="preserve"> their practices.</w:t>
      </w:r>
    </w:p>
    <w:p w14:paraId="6820ED61" w14:textId="77777777" w:rsidR="00BC561E" w:rsidRDefault="00BC561E">
      <w:pPr>
        <w:spacing w:before="0" w:after="160" w:line="259" w:lineRule="auto"/>
        <w:rPr>
          <w:rFonts w:ascii="Calibri" w:hAnsi="Calibri" w:cs="Arial"/>
          <w:b/>
          <w:color w:val="5D779D" w:themeColor="accent3"/>
          <w:kern w:val="32"/>
          <w:sz w:val="44"/>
          <w:szCs w:val="36"/>
        </w:rPr>
      </w:pPr>
      <w:r>
        <w:br w:type="page"/>
      </w:r>
    </w:p>
    <w:p w14:paraId="179BD19D" w14:textId="6CECF40A" w:rsidR="00406CD0" w:rsidRPr="00EA5697" w:rsidRDefault="00406CD0" w:rsidP="00406CD0">
      <w:pPr>
        <w:pStyle w:val="Heading1"/>
      </w:pPr>
      <w:bookmarkStart w:id="70" w:name="_Toc202971535"/>
      <w:bookmarkStart w:id="71" w:name="_Toc206422538"/>
      <w:r>
        <w:lastRenderedPageBreak/>
        <w:t>Evaluation</w:t>
      </w:r>
      <w:bookmarkEnd w:id="70"/>
      <w:bookmarkEnd w:id="71"/>
    </w:p>
    <w:p w14:paraId="4FC52723" w14:textId="5499A6CC" w:rsidR="00406CD0" w:rsidRPr="001F04F5" w:rsidRDefault="0088203A" w:rsidP="00406CD0">
      <w:r>
        <w:t>T</w:t>
      </w:r>
      <w:r w:rsidR="00406CD0" w:rsidRPr="001F04F5">
        <w:t xml:space="preserve">he objectives </w:t>
      </w:r>
      <w:r w:rsidR="00406CD0">
        <w:t xml:space="preserve">of the proposal </w:t>
      </w:r>
      <w:r w:rsidR="0018177B">
        <w:t xml:space="preserve">include </w:t>
      </w:r>
      <w:r w:rsidR="00406CD0">
        <w:t>to:</w:t>
      </w:r>
    </w:p>
    <w:p w14:paraId="597B3EE8" w14:textId="77777777" w:rsidR="00406CD0" w:rsidRPr="001F3817" w:rsidRDefault="00406CD0" w:rsidP="00B82F17">
      <w:pPr>
        <w:pStyle w:val="Bullet"/>
        <w:spacing w:line="240" w:lineRule="auto"/>
        <w:ind w:left="522" w:hanging="522"/>
      </w:pPr>
      <w:r w:rsidRPr="001F3817">
        <w:t>Reduce consumer harm from distortive and manipulative business conduct</w:t>
      </w:r>
    </w:p>
    <w:p w14:paraId="68293846" w14:textId="25A0B24F" w:rsidR="00406CD0" w:rsidRPr="001F3817" w:rsidRDefault="00406CD0" w:rsidP="00B82F17">
      <w:pPr>
        <w:pStyle w:val="Bullet"/>
        <w:spacing w:line="240" w:lineRule="auto"/>
        <w:ind w:left="522" w:hanging="522"/>
      </w:pPr>
      <w:r w:rsidRPr="001F3817">
        <w:t xml:space="preserve">Reduce the </w:t>
      </w:r>
      <w:r w:rsidR="002675AB">
        <w:t xml:space="preserve">risk </w:t>
      </w:r>
      <w:r w:rsidR="007F2FB7">
        <w:t xml:space="preserve">of </w:t>
      </w:r>
      <w:r w:rsidR="0020735C">
        <w:t xml:space="preserve">consumers being signed up </w:t>
      </w:r>
      <w:r w:rsidR="000222BA">
        <w:t>to</w:t>
      </w:r>
      <w:r w:rsidR="00ED2DEC">
        <w:t xml:space="preserve"> unwanted subscriptions, and </w:t>
      </w:r>
      <w:r w:rsidRPr="001F3817">
        <w:t xml:space="preserve">the amount consumers spend on unwanted subscriptions </w:t>
      </w:r>
    </w:p>
    <w:p w14:paraId="1060C826" w14:textId="5CFF6D5C" w:rsidR="00406CD0" w:rsidRDefault="00406CD0" w:rsidP="00B82F17">
      <w:pPr>
        <w:pStyle w:val="Bullet"/>
        <w:spacing w:line="240" w:lineRule="auto"/>
        <w:ind w:left="522" w:hanging="522"/>
      </w:pPr>
      <w:r w:rsidRPr="001F3817">
        <w:t xml:space="preserve">Improve pricing transparency </w:t>
      </w:r>
      <w:r w:rsidR="00327549">
        <w:t xml:space="preserve">around </w:t>
      </w:r>
      <w:r w:rsidR="00113D0A" w:rsidRPr="00446855">
        <w:rPr>
          <w:bCs/>
        </w:rPr>
        <w:t>transaction fees</w:t>
      </w:r>
      <w:r w:rsidR="009F6E73">
        <w:t xml:space="preserve">, </w:t>
      </w:r>
      <w:r w:rsidRPr="001F3817">
        <w:t>so consumers can make informed purchasing decisions</w:t>
      </w:r>
      <w:r w:rsidR="00773932">
        <w:t xml:space="preserve"> and price comparisons</w:t>
      </w:r>
      <w:r w:rsidR="00620B97">
        <w:t>.</w:t>
      </w:r>
    </w:p>
    <w:p w14:paraId="29D59358" w14:textId="00D5DFB4" w:rsidR="00406CD0" w:rsidRPr="001F04F5" w:rsidRDefault="004E3651" w:rsidP="00406CD0">
      <w:r>
        <w:t xml:space="preserve">Evaluation of the </w:t>
      </w:r>
      <w:r w:rsidR="00406CD0">
        <w:t xml:space="preserve">general and specific unfair trading reforms </w:t>
      </w:r>
      <w:r>
        <w:t>w</w:t>
      </w:r>
      <w:r w:rsidR="002A69B1">
        <w:t>ould</w:t>
      </w:r>
      <w:r>
        <w:t xml:space="preserve"> be measured through the consideration and analysis of:</w:t>
      </w:r>
    </w:p>
    <w:p w14:paraId="21723D70" w14:textId="5E90A6C6" w:rsidR="00630A7F" w:rsidRDefault="009B1E6C" w:rsidP="00DB77DB">
      <w:pPr>
        <w:pStyle w:val="Bullet"/>
        <w:spacing w:line="240" w:lineRule="auto"/>
        <w:ind w:hanging="522"/>
      </w:pPr>
      <w:r>
        <w:t>Q</w:t>
      </w:r>
      <w:r w:rsidR="00C06142">
        <w:t xml:space="preserve">uantitative and qualitative data relating to UTP complaints and contacts received by ACL regulators. This data will be used to assess whether the reforms have had a positive </w:t>
      </w:r>
      <w:r w:rsidR="00F70BC1">
        <w:t xml:space="preserve">effect on consumer and business outcomes through </w:t>
      </w:r>
      <w:r w:rsidR="003D372B">
        <w:t>key metrics such as:</w:t>
      </w:r>
    </w:p>
    <w:p w14:paraId="588314BA" w14:textId="1A1602AB" w:rsidR="00CA394B" w:rsidRDefault="00CA394B" w:rsidP="00CA394B">
      <w:pPr>
        <w:pStyle w:val="Bullet"/>
        <w:numPr>
          <w:ilvl w:val="1"/>
          <w:numId w:val="6"/>
        </w:numPr>
        <w:spacing w:line="240" w:lineRule="auto"/>
      </w:pPr>
      <w:r>
        <w:t>volume and nature of UTP related complaints and queries</w:t>
      </w:r>
    </w:p>
    <w:p w14:paraId="32D9F848" w14:textId="6E072358" w:rsidR="00CD6383" w:rsidRDefault="00CD6383" w:rsidP="00DD4CF2">
      <w:pPr>
        <w:pStyle w:val="Dash"/>
        <w:numPr>
          <w:ilvl w:val="1"/>
          <w:numId w:val="6"/>
        </w:numPr>
        <w:spacing w:before="120"/>
        <w:ind w:left="1044" w:hanging="522"/>
      </w:pPr>
      <w:r>
        <w:t xml:space="preserve">the levels of awareness and knowledge of the consumer rights and business obligations under the </w:t>
      </w:r>
      <w:r w:rsidR="007834D9">
        <w:t>UTP framework</w:t>
      </w:r>
    </w:p>
    <w:p w14:paraId="5294EC68" w14:textId="1930C3D0" w:rsidR="007D73BA" w:rsidRDefault="003C1CE1" w:rsidP="00DD4CF2">
      <w:pPr>
        <w:pStyle w:val="Bullet"/>
        <w:numPr>
          <w:ilvl w:val="1"/>
          <w:numId w:val="6"/>
        </w:numPr>
        <w:spacing w:line="240" w:lineRule="auto"/>
      </w:pPr>
      <w:r>
        <w:t xml:space="preserve">ability to take enforcement and compliance action </w:t>
      </w:r>
      <w:r w:rsidR="005241BF">
        <w:t>in response to UTP</w:t>
      </w:r>
      <w:r w:rsidR="008076E9">
        <w:t xml:space="preserve"> conduct</w:t>
      </w:r>
    </w:p>
    <w:p w14:paraId="01825769" w14:textId="1E4B14F5" w:rsidR="00406CD0" w:rsidRDefault="00C41376" w:rsidP="00DD4CF2">
      <w:pPr>
        <w:pStyle w:val="Bullet"/>
        <w:spacing w:line="240" w:lineRule="auto"/>
        <w:ind w:left="522" w:hanging="522"/>
      </w:pPr>
      <w:r>
        <w:t>Results</w:t>
      </w:r>
      <w:r w:rsidRPr="008A08C4">
        <w:t xml:space="preserve"> </w:t>
      </w:r>
      <w:r w:rsidR="00406CD0" w:rsidRPr="008A08C4">
        <w:t xml:space="preserve">from </w:t>
      </w:r>
      <w:r w:rsidR="00B4007A">
        <w:t xml:space="preserve">any </w:t>
      </w:r>
      <w:r w:rsidR="00442597">
        <w:t xml:space="preserve">relevant </w:t>
      </w:r>
      <w:r w:rsidR="00A92F59">
        <w:t>consumer survey</w:t>
      </w:r>
      <w:r w:rsidR="005A358C">
        <w:t xml:space="preserve">, such as the Australian Consumer Survey </w:t>
      </w:r>
      <w:r w:rsidR="00E41095">
        <w:t xml:space="preserve">last </w:t>
      </w:r>
      <w:r w:rsidR="00785A05">
        <w:t xml:space="preserve">commissioned on behalf of Consumer Ministers </w:t>
      </w:r>
      <w:r w:rsidR="005A358C">
        <w:t>in 2023</w:t>
      </w:r>
      <w:r w:rsidR="00AB3C52">
        <w:t xml:space="preserve">. </w:t>
      </w:r>
      <w:r w:rsidR="00AA6E4B">
        <w:t>Sample e</w:t>
      </w:r>
      <w:r w:rsidR="00D15311">
        <w:t xml:space="preserve">valuation questions </w:t>
      </w:r>
      <w:r w:rsidR="00AA6E4B">
        <w:t xml:space="preserve">are </w:t>
      </w:r>
      <w:r w:rsidR="007C40E8">
        <w:t xml:space="preserve">outlined </w:t>
      </w:r>
      <w:r w:rsidR="00AA6E4B">
        <w:t xml:space="preserve">in the table </w:t>
      </w:r>
      <w:r w:rsidR="007C40E8">
        <w:t>below.</w:t>
      </w:r>
    </w:p>
    <w:p w14:paraId="54C11D1E" w14:textId="0A4D3813" w:rsidR="000E3786" w:rsidRDefault="004367F4" w:rsidP="00DD4CF2">
      <w:pPr>
        <w:pStyle w:val="Bullet"/>
        <w:tabs>
          <w:tab w:val="left" w:pos="720"/>
        </w:tabs>
        <w:ind w:left="522"/>
        <w:rPr>
          <w:szCs w:val="22"/>
        </w:rPr>
      </w:pPr>
      <w:r>
        <w:t>C</w:t>
      </w:r>
      <w:r w:rsidR="000E3786">
        <w:t>ourt actions taken by ACL regulators</w:t>
      </w:r>
      <w:r w:rsidR="00F32306">
        <w:t>,</w:t>
      </w:r>
      <w:r w:rsidR="000E3786">
        <w:t xml:space="preserve"> to </w:t>
      </w:r>
      <w:r w:rsidR="00065A8C">
        <w:t>see</w:t>
      </w:r>
      <w:r w:rsidR="000E3786">
        <w:t xml:space="preserve"> how the</w:t>
      </w:r>
      <w:r w:rsidR="0050277C">
        <w:t xml:space="preserve"> UTP reforms</w:t>
      </w:r>
      <w:r w:rsidR="000E3786">
        <w:t xml:space="preserve"> are being interpreted and applied by the courts </w:t>
      </w:r>
    </w:p>
    <w:p w14:paraId="68AA3A96" w14:textId="62C6FAD3" w:rsidR="00406CD0" w:rsidRPr="008A08C4" w:rsidRDefault="00E26B1C" w:rsidP="00CA5991">
      <w:pPr>
        <w:pStyle w:val="Bullet"/>
        <w:spacing w:line="240" w:lineRule="auto"/>
        <w:ind w:hanging="522"/>
      </w:pPr>
      <w:r>
        <w:t>Feedback</w:t>
      </w:r>
      <w:r w:rsidR="00406CD0" w:rsidRPr="008A08C4">
        <w:t xml:space="preserve"> from </w:t>
      </w:r>
      <w:r w:rsidR="002726EE">
        <w:t>industry</w:t>
      </w:r>
      <w:r w:rsidR="002726EE" w:rsidRPr="008A08C4">
        <w:t xml:space="preserve"> </w:t>
      </w:r>
      <w:r w:rsidR="00406CD0">
        <w:t>to Treasury</w:t>
      </w:r>
      <w:r w:rsidR="00406CD0" w:rsidRPr="008A08C4">
        <w:t xml:space="preserve"> </w:t>
      </w:r>
      <w:r w:rsidR="002726EE">
        <w:t xml:space="preserve">on the impact of the reforms and compliance costs incurred </w:t>
      </w:r>
      <w:r w:rsidR="006E734F">
        <w:t xml:space="preserve">by businesses </w:t>
      </w:r>
    </w:p>
    <w:p w14:paraId="4947E3FA" w14:textId="06915117" w:rsidR="004367F4" w:rsidRDefault="004367F4">
      <w:pPr>
        <w:pStyle w:val="Bullet"/>
        <w:spacing w:after="100" w:afterAutospacing="1" w:line="240" w:lineRule="auto"/>
        <w:ind w:left="522" w:hanging="522"/>
      </w:pPr>
      <w:r w:rsidRPr="008A08C4">
        <w:t xml:space="preserve">Research and </w:t>
      </w:r>
      <w:r>
        <w:t xml:space="preserve">results of </w:t>
      </w:r>
      <w:r w:rsidRPr="008A08C4">
        <w:t>survey</w:t>
      </w:r>
      <w:r>
        <w:t>s</w:t>
      </w:r>
      <w:r w:rsidRPr="008A08C4">
        <w:t xml:space="preserve"> conducted by consumer advocacy groups</w:t>
      </w:r>
      <w:r w:rsidRPr="779D0450">
        <w:rPr>
          <w:rStyle w:val="FootnoteReference"/>
          <w:rFonts w:eastAsiaTheme="majorEastAsia"/>
          <w:sz w:val="22"/>
          <w:szCs w:val="22"/>
        </w:rPr>
        <w:footnoteReference w:id="153"/>
      </w:r>
    </w:p>
    <w:p w14:paraId="7A2BC2B2" w14:textId="31B1E347" w:rsidR="00997CF0" w:rsidRPr="008A08C4" w:rsidRDefault="00997CF0" w:rsidP="0071016F">
      <w:pPr>
        <w:pStyle w:val="Bullet"/>
        <w:spacing w:after="100" w:afterAutospacing="1" w:line="240" w:lineRule="auto"/>
        <w:ind w:left="522" w:hanging="522"/>
      </w:pPr>
      <w:r>
        <w:t>Ongoing liaison with various stakeholders, including industry, government and consumer advocates, to evaluate the effectiveness of the reforms and their impact on consumers and markets more broadly</w:t>
      </w:r>
      <w:r w:rsidR="00E475B0">
        <w:t>.</w:t>
      </w:r>
    </w:p>
    <w:p w14:paraId="6E30F1BE" w14:textId="2E01EBE0" w:rsidR="00CC4C60" w:rsidRDefault="00796D9C" w:rsidP="0071016F">
      <w:pPr>
        <w:pStyle w:val="Bullet"/>
        <w:numPr>
          <w:ilvl w:val="0"/>
          <w:numId w:val="0"/>
        </w:numPr>
        <w:spacing w:line="240" w:lineRule="auto"/>
      </w:pPr>
      <w:r>
        <w:t xml:space="preserve">The Government should </w:t>
      </w:r>
      <w:r w:rsidR="00FC1F39">
        <w:t xml:space="preserve">consider </w:t>
      </w:r>
      <w:r w:rsidR="00637D22">
        <w:t>undertaking</w:t>
      </w:r>
      <w:r w:rsidR="00FC1F39">
        <w:t xml:space="preserve"> </w:t>
      </w:r>
      <w:r w:rsidR="00154811">
        <w:t>a</w:t>
      </w:r>
      <w:r w:rsidR="00CC4C60">
        <w:t>n implementation review</w:t>
      </w:r>
      <w:r w:rsidR="00FE02B9">
        <w:t xml:space="preserve"> to </w:t>
      </w:r>
      <w:r w:rsidR="00B1526D">
        <w:t>evaluate</w:t>
      </w:r>
      <w:r w:rsidR="00644830">
        <w:t xml:space="preserve"> the</w:t>
      </w:r>
      <w:r w:rsidR="003917A5">
        <w:t xml:space="preserve"> outcomes of</w:t>
      </w:r>
      <w:r w:rsidR="00BE2D22">
        <w:t xml:space="preserve"> </w:t>
      </w:r>
      <w:r w:rsidR="00E4645E">
        <w:t>the implemented reform proposal</w:t>
      </w:r>
      <w:r w:rsidR="0047130F">
        <w:t>.</w:t>
      </w:r>
      <w:r w:rsidR="00976D98">
        <w:t xml:space="preserve"> Any review </w:t>
      </w:r>
      <w:r w:rsidR="0060266C">
        <w:t xml:space="preserve">should </w:t>
      </w:r>
      <w:r w:rsidR="00976D98">
        <w:t xml:space="preserve">occur at least </w:t>
      </w:r>
      <w:r w:rsidR="00346476">
        <w:t xml:space="preserve">3 to </w:t>
      </w:r>
      <w:r w:rsidR="00976D98">
        <w:t xml:space="preserve">5 years </w:t>
      </w:r>
      <w:r w:rsidR="00F4728F">
        <w:t xml:space="preserve">after </w:t>
      </w:r>
      <w:r w:rsidR="00976D98">
        <w:t xml:space="preserve">implementation </w:t>
      </w:r>
      <w:r w:rsidR="008045B9">
        <w:t xml:space="preserve">to allow </w:t>
      </w:r>
      <w:r w:rsidR="00AB1E5E">
        <w:t xml:space="preserve">time </w:t>
      </w:r>
      <w:r w:rsidR="008045B9">
        <w:t xml:space="preserve">for judicial consideration of the </w:t>
      </w:r>
      <w:r w:rsidR="00B75924">
        <w:t xml:space="preserve">new </w:t>
      </w:r>
      <w:r w:rsidR="008045B9">
        <w:t>law</w:t>
      </w:r>
      <w:r w:rsidR="00CC5FDB">
        <w:t xml:space="preserve">, to </w:t>
      </w:r>
      <w:r w:rsidR="00BD5EF7">
        <w:t>properly</w:t>
      </w:r>
      <w:r w:rsidR="00CC5FDB">
        <w:t xml:space="preserve"> </w:t>
      </w:r>
      <w:r w:rsidR="00BD5EF7">
        <w:t>observe</w:t>
      </w:r>
      <w:r w:rsidR="00CC5FDB">
        <w:t xml:space="preserve"> how the revised settings are functioning</w:t>
      </w:r>
      <w:r w:rsidR="008045B9">
        <w:t xml:space="preserve">. </w:t>
      </w:r>
      <w:r w:rsidR="00D77A54" w:rsidRPr="00D77A54">
        <w:t xml:space="preserve">Treasury </w:t>
      </w:r>
      <w:r w:rsidR="0060266C">
        <w:t>would be</w:t>
      </w:r>
      <w:r w:rsidR="00D77A54" w:rsidRPr="00D77A54">
        <w:t xml:space="preserve"> best placed to undertake </w:t>
      </w:r>
      <w:r w:rsidR="003C277F">
        <w:t>such a</w:t>
      </w:r>
      <w:r w:rsidR="00D77A54" w:rsidRPr="00D77A54">
        <w:t xml:space="preserve"> review</w:t>
      </w:r>
      <w:r w:rsidR="0043403E">
        <w:t xml:space="preserve">, </w:t>
      </w:r>
      <w:r w:rsidR="009E6AB6">
        <w:t xml:space="preserve">in consultation with ACL regulators. </w:t>
      </w:r>
      <w:r w:rsidR="00E81DB9">
        <w:t xml:space="preserve">States and Territories </w:t>
      </w:r>
      <w:r w:rsidR="00785D22">
        <w:t xml:space="preserve">have their own </w:t>
      </w:r>
      <w:r w:rsidR="00145632">
        <w:t xml:space="preserve">operational </w:t>
      </w:r>
      <w:r w:rsidR="003A6363">
        <w:t>and monitoring</w:t>
      </w:r>
      <w:r w:rsidR="00145632">
        <w:t xml:space="preserve"> processes which</w:t>
      </w:r>
      <w:r w:rsidR="001D549C" w:rsidDel="00785D22">
        <w:t xml:space="preserve"> </w:t>
      </w:r>
      <w:r w:rsidR="003A6363">
        <w:t xml:space="preserve">would </w:t>
      </w:r>
      <w:r w:rsidR="005A4C19">
        <w:t>complement</w:t>
      </w:r>
      <w:r w:rsidR="001D549C" w:rsidDel="00785D22">
        <w:t xml:space="preserve"> </w:t>
      </w:r>
      <w:r w:rsidR="00637D22">
        <w:t>the Commonwealth’s evaluation activities.</w:t>
      </w:r>
      <w:r w:rsidR="001D549C" w:rsidDel="00785D22">
        <w:t xml:space="preserve"> </w:t>
      </w:r>
      <w:r w:rsidR="00772BE0">
        <w:t xml:space="preserve">The </w:t>
      </w:r>
      <w:r w:rsidR="00401C63">
        <w:t>Consumer Ministers Network</w:t>
      </w:r>
      <w:r w:rsidR="007F269A">
        <w:t xml:space="preserve"> </w:t>
      </w:r>
      <w:r w:rsidR="00927985">
        <w:t>also</w:t>
      </w:r>
      <w:r w:rsidR="007F269A">
        <w:t xml:space="preserve"> offers an additional forum to coordinate evaluation</w:t>
      </w:r>
      <w:r w:rsidR="008045B9">
        <w:t>.</w:t>
      </w:r>
    </w:p>
    <w:p w14:paraId="6596887F" w14:textId="3CADAF75" w:rsidR="00406CD0" w:rsidRDefault="00406CD0" w:rsidP="00406CD0">
      <w:pPr>
        <w:pStyle w:val="Bullet"/>
        <w:numPr>
          <w:ilvl w:val="0"/>
          <w:numId w:val="0"/>
        </w:numPr>
        <w:spacing w:before="240" w:line="259" w:lineRule="auto"/>
        <w:ind w:left="520" w:hanging="520"/>
      </w:pPr>
      <w:r>
        <w:t>Metrics for evaluating success include:</w:t>
      </w:r>
    </w:p>
    <w:p w14:paraId="5AFF6194" w14:textId="027D7BB6" w:rsidR="00406CD0" w:rsidRDefault="00406CD0" w:rsidP="007E31E5">
      <w:pPr>
        <w:pStyle w:val="Bullet"/>
        <w:spacing w:line="240" w:lineRule="auto"/>
        <w:ind w:left="522" w:hanging="522"/>
      </w:pPr>
      <w:r>
        <w:t xml:space="preserve">Reduction in the </w:t>
      </w:r>
      <w:proofErr w:type="gramStart"/>
      <w:r>
        <w:t>amount</w:t>
      </w:r>
      <w:proofErr w:type="gramEnd"/>
      <w:r>
        <w:t xml:space="preserve"> </w:t>
      </w:r>
      <w:r w:rsidR="0085305E">
        <w:t>of</w:t>
      </w:r>
      <w:r>
        <w:t xml:space="preserve"> consumers</w:t>
      </w:r>
      <w:r w:rsidR="0085305E">
        <w:t xml:space="preserve"> being signed up for unwanted subscriptions and the amount </w:t>
      </w:r>
      <w:r>
        <w:t>consumers spend on</w:t>
      </w:r>
      <w:r w:rsidRPr="00B24823">
        <w:t xml:space="preserve"> unwanted</w:t>
      </w:r>
      <w:r>
        <w:t xml:space="preserve"> subscriptions</w:t>
      </w:r>
    </w:p>
    <w:p w14:paraId="124F44C2" w14:textId="77777777" w:rsidR="00406CD0" w:rsidRDefault="00406CD0" w:rsidP="007E31E5">
      <w:pPr>
        <w:pStyle w:val="Bullet"/>
        <w:spacing w:line="240" w:lineRule="auto"/>
        <w:ind w:left="522" w:hanging="522"/>
      </w:pPr>
      <w:r>
        <w:t>Reduction in reported consumer harm from distortive and manipulative business conduct</w:t>
      </w:r>
    </w:p>
    <w:p w14:paraId="060D7FBA" w14:textId="1AC2CE1D" w:rsidR="00406CD0" w:rsidRDefault="00406CD0" w:rsidP="007E31E5">
      <w:pPr>
        <w:pStyle w:val="Bullet"/>
        <w:spacing w:line="240" w:lineRule="auto"/>
        <w:ind w:left="522" w:hanging="522"/>
      </w:pPr>
      <w:r>
        <w:lastRenderedPageBreak/>
        <w:t xml:space="preserve">Increased reported consumer confidence in subscription and </w:t>
      </w:r>
      <w:r w:rsidR="003761AA">
        <w:t>online purchasing</w:t>
      </w:r>
    </w:p>
    <w:p w14:paraId="4EE9AD5B" w14:textId="77777777" w:rsidR="00406CD0" w:rsidRDefault="00406CD0" w:rsidP="007E31E5">
      <w:pPr>
        <w:pStyle w:val="Bullet"/>
        <w:spacing w:line="240" w:lineRule="auto"/>
        <w:ind w:left="522" w:hanging="522"/>
      </w:pPr>
      <w:r>
        <w:t xml:space="preserve">Estimated level of business compliance with the reform </w:t>
      </w:r>
      <w:r w:rsidRPr="000C502B">
        <w:t>proposal</w:t>
      </w:r>
    </w:p>
    <w:p w14:paraId="75AC4B08" w14:textId="02880105" w:rsidR="00406CD0" w:rsidRDefault="00406CD0" w:rsidP="007E31E5">
      <w:pPr>
        <w:pStyle w:val="Bullet"/>
        <w:spacing w:line="240" w:lineRule="auto"/>
        <w:ind w:left="522" w:hanging="522"/>
      </w:pPr>
      <w:r w:rsidRPr="000C502B">
        <w:t>Level</w:t>
      </w:r>
      <w:r>
        <w:t xml:space="preserve"> of direct and indirect costs to business associated with implementation of the reform proposal</w:t>
      </w:r>
      <w:r w:rsidR="00AD32A4">
        <w:t>,</w:t>
      </w:r>
      <w:r w:rsidR="00642D5C">
        <w:t xml:space="preserve"> and</w:t>
      </w:r>
    </w:p>
    <w:p w14:paraId="60966A7D" w14:textId="7F9CA6B1" w:rsidR="00AA79EF" w:rsidRDefault="00AA79EF" w:rsidP="00401B51">
      <w:pPr>
        <w:pStyle w:val="Bullet"/>
        <w:spacing w:line="240" w:lineRule="auto"/>
        <w:ind w:left="522" w:hanging="522"/>
      </w:pPr>
      <w:r>
        <w:t xml:space="preserve">Stakeholder perceptions on the effectiveness of the </w:t>
      </w:r>
      <w:r w:rsidR="00642D5C">
        <w:t>reforms.</w:t>
      </w:r>
    </w:p>
    <w:p w14:paraId="2E65F77C" w14:textId="77777777" w:rsidR="00BB0AD8" w:rsidRDefault="00BB0AD8" w:rsidP="00BB0AD8">
      <w:pPr>
        <w:pStyle w:val="Bullet"/>
        <w:numPr>
          <w:ilvl w:val="0"/>
          <w:numId w:val="0"/>
        </w:numPr>
        <w:spacing w:line="240" w:lineRule="auto"/>
      </w:pPr>
    </w:p>
    <w:tbl>
      <w:tblPr>
        <w:tblStyle w:val="TableGridLight"/>
        <w:tblW w:w="10206" w:type="dxa"/>
        <w:tblInd w:w="-572" w:type="dxa"/>
        <w:tblLook w:val="04A0" w:firstRow="1" w:lastRow="0" w:firstColumn="1" w:lastColumn="0" w:noHBand="0" w:noVBand="1"/>
      </w:tblPr>
      <w:tblGrid>
        <w:gridCol w:w="2721"/>
        <w:gridCol w:w="7485"/>
      </w:tblGrid>
      <w:tr w:rsidR="00E332BE" w14:paraId="7595B8C1" w14:textId="77777777" w:rsidTr="00B4393D">
        <w:tc>
          <w:tcPr>
            <w:tcW w:w="2721" w:type="dxa"/>
            <w:shd w:val="clear" w:color="auto" w:fill="002060"/>
          </w:tcPr>
          <w:p w14:paraId="2ED51A8A" w14:textId="02D835C2" w:rsidR="00575CC3" w:rsidRPr="0071016F" w:rsidRDefault="00575CC3" w:rsidP="00BB0AD8">
            <w:pPr>
              <w:pStyle w:val="Bullet"/>
              <w:numPr>
                <w:ilvl w:val="0"/>
                <w:numId w:val="0"/>
              </w:numPr>
              <w:spacing w:before="96" w:after="96" w:line="240" w:lineRule="auto"/>
              <w:rPr>
                <w:b/>
                <w:bCs/>
              </w:rPr>
            </w:pPr>
            <w:r w:rsidRPr="0071016F">
              <w:rPr>
                <w:b/>
                <w:bCs/>
              </w:rPr>
              <w:t>Objectives of the proposal</w:t>
            </w:r>
          </w:p>
        </w:tc>
        <w:tc>
          <w:tcPr>
            <w:tcW w:w="7485" w:type="dxa"/>
            <w:shd w:val="clear" w:color="auto" w:fill="002060"/>
          </w:tcPr>
          <w:p w14:paraId="4067EB96" w14:textId="0EC89183" w:rsidR="00575CC3" w:rsidRPr="0071016F" w:rsidRDefault="008076E9" w:rsidP="00BB0AD8">
            <w:pPr>
              <w:pStyle w:val="Bullet"/>
              <w:numPr>
                <w:ilvl w:val="0"/>
                <w:numId w:val="0"/>
              </w:numPr>
              <w:spacing w:before="96" w:after="96" w:line="240" w:lineRule="auto"/>
              <w:rPr>
                <w:b/>
                <w:bCs/>
              </w:rPr>
            </w:pPr>
            <w:r>
              <w:rPr>
                <w:b/>
                <w:bCs/>
              </w:rPr>
              <w:t>Sample e</w:t>
            </w:r>
            <w:r w:rsidR="00575CC3" w:rsidRPr="0071016F">
              <w:rPr>
                <w:b/>
                <w:bCs/>
              </w:rPr>
              <w:t xml:space="preserve">valuation questions </w:t>
            </w:r>
          </w:p>
        </w:tc>
      </w:tr>
      <w:tr w:rsidR="003C499C" w14:paraId="3E0981E6" w14:textId="77777777" w:rsidTr="00B4393D">
        <w:tc>
          <w:tcPr>
            <w:tcW w:w="2716" w:type="dxa"/>
          </w:tcPr>
          <w:p w14:paraId="6ADD61A6" w14:textId="77777777" w:rsidR="00453178" w:rsidRPr="0071016F" w:rsidRDefault="00453178" w:rsidP="0071016F">
            <w:pPr>
              <w:pStyle w:val="Bullet"/>
              <w:numPr>
                <w:ilvl w:val="0"/>
                <w:numId w:val="0"/>
              </w:numPr>
              <w:spacing w:line="240" w:lineRule="auto"/>
              <w:rPr>
                <w:sz w:val="20"/>
              </w:rPr>
            </w:pPr>
            <w:r w:rsidRPr="0071016F">
              <w:rPr>
                <w:sz w:val="20"/>
              </w:rPr>
              <w:t>Reduce consumer harm from distortive and manipulative business conduct</w:t>
            </w:r>
          </w:p>
          <w:p w14:paraId="61F731D0" w14:textId="77777777" w:rsidR="00453178" w:rsidRPr="0071016F" w:rsidRDefault="00453178" w:rsidP="009C7BCD">
            <w:pPr>
              <w:pStyle w:val="Bullet"/>
              <w:numPr>
                <w:ilvl w:val="0"/>
                <w:numId w:val="0"/>
              </w:numPr>
              <w:spacing w:line="240" w:lineRule="auto"/>
              <w:rPr>
                <w:sz w:val="20"/>
              </w:rPr>
            </w:pPr>
          </w:p>
        </w:tc>
        <w:tc>
          <w:tcPr>
            <w:tcW w:w="7485" w:type="dxa"/>
          </w:tcPr>
          <w:p w14:paraId="4FFF4986" w14:textId="215716EA" w:rsidR="00453178" w:rsidRPr="0071016F" w:rsidRDefault="009E59B5" w:rsidP="0071016F">
            <w:pPr>
              <w:pStyle w:val="Bullet"/>
              <w:spacing w:line="240" w:lineRule="auto"/>
              <w:rPr>
                <w:sz w:val="20"/>
              </w:rPr>
            </w:pPr>
            <w:r w:rsidRPr="0071016F">
              <w:rPr>
                <w:sz w:val="20"/>
              </w:rPr>
              <w:t>Has there been a reduction in consumer</w:t>
            </w:r>
            <w:r w:rsidR="00842338" w:rsidRPr="0071016F">
              <w:rPr>
                <w:sz w:val="20"/>
              </w:rPr>
              <w:t>s</w:t>
            </w:r>
            <w:r w:rsidRPr="0071016F">
              <w:rPr>
                <w:sz w:val="20"/>
              </w:rPr>
              <w:t xml:space="preserve"> </w:t>
            </w:r>
            <w:r w:rsidR="00962FED" w:rsidRPr="0071016F">
              <w:rPr>
                <w:sz w:val="20"/>
              </w:rPr>
              <w:t xml:space="preserve">reporting </w:t>
            </w:r>
            <w:r w:rsidR="002A55BA" w:rsidRPr="0071016F">
              <w:rPr>
                <w:sz w:val="20"/>
              </w:rPr>
              <w:t xml:space="preserve">harm caused by </w:t>
            </w:r>
            <w:r w:rsidR="00C12C07" w:rsidRPr="0071016F">
              <w:rPr>
                <w:sz w:val="20"/>
              </w:rPr>
              <w:t>distortive and manipulative business conduct</w:t>
            </w:r>
            <w:r w:rsidR="004E482B" w:rsidRPr="0071016F">
              <w:rPr>
                <w:sz w:val="20"/>
              </w:rPr>
              <w:t xml:space="preserve"> since the general prohibition came into force</w:t>
            </w:r>
            <w:r w:rsidR="00B23B7F" w:rsidRPr="0071016F">
              <w:rPr>
                <w:sz w:val="20"/>
              </w:rPr>
              <w:t>?</w:t>
            </w:r>
          </w:p>
          <w:p w14:paraId="3B6ACB5B" w14:textId="31D4C334" w:rsidR="002056BB" w:rsidRPr="001F331E" w:rsidRDefault="004B4416" w:rsidP="0071016F">
            <w:pPr>
              <w:pStyle w:val="Bullet"/>
              <w:spacing w:line="240" w:lineRule="auto"/>
              <w:rPr>
                <w:sz w:val="20"/>
              </w:rPr>
            </w:pPr>
            <w:r w:rsidRPr="0071016F">
              <w:rPr>
                <w:sz w:val="20"/>
              </w:rPr>
              <w:t xml:space="preserve">Are consumers experiencing harm from </w:t>
            </w:r>
            <w:r w:rsidR="00276B89">
              <w:rPr>
                <w:sz w:val="20"/>
              </w:rPr>
              <w:t>distortive</w:t>
            </w:r>
            <w:r w:rsidRPr="00346713">
              <w:rPr>
                <w:sz w:val="20"/>
              </w:rPr>
              <w:t xml:space="preserve"> or manipulative </w:t>
            </w:r>
            <w:r w:rsidR="00946F42" w:rsidRPr="00346713">
              <w:rPr>
                <w:sz w:val="20"/>
              </w:rPr>
              <w:t>practices</w:t>
            </w:r>
            <w:r w:rsidR="004864C2" w:rsidRPr="00346713">
              <w:rPr>
                <w:sz w:val="20"/>
              </w:rPr>
              <w:t xml:space="preserve"> </w:t>
            </w:r>
            <w:r w:rsidR="00DC2257" w:rsidRPr="00346713">
              <w:rPr>
                <w:sz w:val="20"/>
              </w:rPr>
              <w:t>which are</w:t>
            </w:r>
            <w:r w:rsidR="004864C2" w:rsidRPr="00346713">
              <w:rPr>
                <w:sz w:val="20"/>
              </w:rPr>
              <w:t xml:space="preserve"> not adequately </w:t>
            </w:r>
            <w:r w:rsidR="00E47127" w:rsidRPr="00346713">
              <w:rPr>
                <w:sz w:val="20"/>
              </w:rPr>
              <w:t>address</w:t>
            </w:r>
            <w:r w:rsidR="00E86EAA" w:rsidRPr="00346713">
              <w:rPr>
                <w:sz w:val="20"/>
              </w:rPr>
              <w:t xml:space="preserve">ed by the general prohibition or other </w:t>
            </w:r>
            <w:r w:rsidR="0011458E" w:rsidRPr="00346713">
              <w:rPr>
                <w:sz w:val="20"/>
              </w:rPr>
              <w:t>provisions of the ACL</w:t>
            </w:r>
            <w:r w:rsidR="00820639">
              <w:rPr>
                <w:sz w:val="20"/>
              </w:rPr>
              <w:t>?</w:t>
            </w:r>
          </w:p>
          <w:p w14:paraId="3CEBFF60" w14:textId="77261ED2" w:rsidR="004B4416" w:rsidRPr="0071016F" w:rsidRDefault="002056BB" w:rsidP="0071016F">
            <w:pPr>
              <w:pStyle w:val="Bullet"/>
              <w:spacing w:line="240" w:lineRule="auto"/>
              <w:rPr>
                <w:sz w:val="20"/>
              </w:rPr>
            </w:pPr>
            <w:r w:rsidRPr="001F331E">
              <w:rPr>
                <w:sz w:val="20"/>
              </w:rPr>
              <w:t xml:space="preserve">Are businesses complying with the general prohibition? </w:t>
            </w:r>
            <w:r w:rsidR="003E0E2D">
              <w:rPr>
                <w:sz w:val="20"/>
              </w:rPr>
              <w:t>Have businesses had to adjust their practices to</w:t>
            </w:r>
            <w:r>
              <w:rPr>
                <w:sz w:val="20"/>
              </w:rPr>
              <w:t xml:space="preserve"> </w:t>
            </w:r>
            <w:r w:rsidR="00311F45">
              <w:rPr>
                <w:sz w:val="20"/>
              </w:rPr>
              <w:t>comply</w:t>
            </w:r>
            <w:r>
              <w:rPr>
                <w:sz w:val="20"/>
              </w:rPr>
              <w:t xml:space="preserve"> with</w:t>
            </w:r>
            <w:r w:rsidR="003E0E2D">
              <w:rPr>
                <w:sz w:val="20"/>
              </w:rPr>
              <w:t xml:space="preserve"> the reforms</w:t>
            </w:r>
            <w:r w:rsidRPr="0071016F">
              <w:rPr>
                <w:sz w:val="20"/>
              </w:rPr>
              <w:t>, and what costs have they incurred?</w:t>
            </w:r>
          </w:p>
          <w:p w14:paraId="633EDA58" w14:textId="472B6E67" w:rsidR="00537F4E" w:rsidRPr="0071016F" w:rsidRDefault="00B23B7F" w:rsidP="0071016F">
            <w:pPr>
              <w:pStyle w:val="Bullet"/>
              <w:spacing w:line="240" w:lineRule="auto"/>
              <w:rPr>
                <w:sz w:val="20"/>
              </w:rPr>
            </w:pPr>
            <w:r w:rsidRPr="0071016F">
              <w:rPr>
                <w:sz w:val="20"/>
              </w:rPr>
              <w:t xml:space="preserve">Has there been any market or technological developments that are likely to challenge the effectiveness of the general prohibition in the future? </w:t>
            </w:r>
          </w:p>
        </w:tc>
      </w:tr>
      <w:tr w:rsidR="003C499C" w14:paraId="759DF2A5" w14:textId="77777777" w:rsidTr="00B4393D">
        <w:tc>
          <w:tcPr>
            <w:tcW w:w="2716" w:type="dxa"/>
          </w:tcPr>
          <w:p w14:paraId="26CB6D9B" w14:textId="77777777" w:rsidR="00575CC3" w:rsidRPr="0071016F" w:rsidRDefault="00575CC3" w:rsidP="0071016F">
            <w:pPr>
              <w:pStyle w:val="Bullet"/>
              <w:numPr>
                <w:ilvl w:val="0"/>
                <w:numId w:val="0"/>
              </w:numPr>
              <w:spacing w:line="240" w:lineRule="auto"/>
              <w:rPr>
                <w:sz w:val="20"/>
              </w:rPr>
            </w:pPr>
            <w:r w:rsidRPr="0071016F">
              <w:rPr>
                <w:sz w:val="20"/>
              </w:rPr>
              <w:t xml:space="preserve">Reduce the risk of consumers being signed up to unwanted subscriptions, and the amount consumers spend on unwanted subscriptions </w:t>
            </w:r>
          </w:p>
          <w:p w14:paraId="0E7E7E9C" w14:textId="77777777" w:rsidR="00575CC3" w:rsidRPr="0071016F" w:rsidRDefault="00575CC3" w:rsidP="00BB0AD8">
            <w:pPr>
              <w:pStyle w:val="Bullet"/>
              <w:numPr>
                <w:ilvl w:val="0"/>
                <w:numId w:val="0"/>
              </w:numPr>
              <w:spacing w:line="240" w:lineRule="auto"/>
              <w:rPr>
                <w:sz w:val="20"/>
              </w:rPr>
            </w:pPr>
          </w:p>
        </w:tc>
        <w:tc>
          <w:tcPr>
            <w:tcW w:w="7485" w:type="dxa"/>
          </w:tcPr>
          <w:p w14:paraId="00DDAF9F" w14:textId="3DFA8C83" w:rsidR="00575CC3" w:rsidRPr="0071016F" w:rsidRDefault="00575CC3" w:rsidP="0071016F">
            <w:pPr>
              <w:pStyle w:val="Bullet"/>
              <w:spacing w:line="240" w:lineRule="auto"/>
              <w:rPr>
                <w:sz w:val="20"/>
              </w:rPr>
            </w:pPr>
            <w:r w:rsidRPr="0071016F">
              <w:rPr>
                <w:sz w:val="20"/>
              </w:rPr>
              <w:t xml:space="preserve">How </w:t>
            </w:r>
            <w:r w:rsidR="00FF4E5D" w:rsidRPr="0071016F">
              <w:rPr>
                <w:sz w:val="20"/>
              </w:rPr>
              <w:t xml:space="preserve">many subscriptions </w:t>
            </w:r>
            <w:r w:rsidR="00DE2B51">
              <w:rPr>
                <w:sz w:val="20"/>
              </w:rPr>
              <w:t>do</w:t>
            </w:r>
            <w:r w:rsidR="005B13E8" w:rsidRPr="0071016F">
              <w:rPr>
                <w:sz w:val="20"/>
              </w:rPr>
              <w:t xml:space="preserve"> consumer</w:t>
            </w:r>
            <w:r w:rsidR="00DE2B51">
              <w:rPr>
                <w:sz w:val="20"/>
              </w:rPr>
              <w:t>s</w:t>
            </w:r>
            <w:r w:rsidR="00FF4E5D" w:rsidRPr="0071016F">
              <w:rPr>
                <w:sz w:val="20"/>
              </w:rPr>
              <w:t xml:space="preserve"> hold? How many are unwanted? </w:t>
            </w:r>
            <w:r w:rsidR="005B5AF3" w:rsidRPr="0071016F">
              <w:rPr>
                <w:sz w:val="20"/>
              </w:rPr>
              <w:t xml:space="preserve">How much </w:t>
            </w:r>
            <w:r w:rsidR="00DE2B51">
              <w:rPr>
                <w:sz w:val="20"/>
              </w:rPr>
              <w:t>do</w:t>
            </w:r>
            <w:r w:rsidR="005B13E8" w:rsidRPr="0071016F">
              <w:rPr>
                <w:sz w:val="20"/>
              </w:rPr>
              <w:t xml:space="preserve"> consumer</w:t>
            </w:r>
            <w:r w:rsidR="00DE2B51">
              <w:rPr>
                <w:sz w:val="20"/>
              </w:rPr>
              <w:t>s</w:t>
            </w:r>
            <w:r w:rsidR="00073B38" w:rsidRPr="0071016F">
              <w:rPr>
                <w:sz w:val="20"/>
              </w:rPr>
              <w:t xml:space="preserve"> spend on subscriptions</w:t>
            </w:r>
            <w:r w:rsidR="00962D23">
              <w:rPr>
                <w:sz w:val="20"/>
              </w:rPr>
              <w:t xml:space="preserve"> per month</w:t>
            </w:r>
            <w:r w:rsidR="00073B38" w:rsidRPr="0071016F">
              <w:rPr>
                <w:sz w:val="20"/>
              </w:rPr>
              <w:t>?</w:t>
            </w:r>
            <w:r w:rsidR="005E364F" w:rsidRPr="0071016F">
              <w:rPr>
                <w:sz w:val="20"/>
              </w:rPr>
              <w:t xml:space="preserve"> </w:t>
            </w:r>
          </w:p>
          <w:p w14:paraId="0F577FBB" w14:textId="08B83AE6" w:rsidR="00587873" w:rsidRPr="0071016F" w:rsidRDefault="00425219" w:rsidP="0071016F">
            <w:pPr>
              <w:pStyle w:val="Bullet"/>
              <w:spacing w:line="240" w:lineRule="auto"/>
              <w:rPr>
                <w:sz w:val="20"/>
              </w:rPr>
            </w:pPr>
            <w:r w:rsidRPr="0071016F">
              <w:rPr>
                <w:sz w:val="20"/>
              </w:rPr>
              <w:t>Do consumers hold fewer unwanted subscriptions than they held prior to the subscription reforms coming into force?</w:t>
            </w:r>
          </w:p>
          <w:p w14:paraId="057CD977" w14:textId="77777777" w:rsidR="00C75932" w:rsidRPr="0071016F" w:rsidRDefault="00A5499B" w:rsidP="0071016F">
            <w:pPr>
              <w:pStyle w:val="Bullet"/>
              <w:spacing w:line="240" w:lineRule="auto"/>
              <w:rPr>
                <w:sz w:val="20"/>
              </w:rPr>
            </w:pPr>
            <w:r w:rsidRPr="0071016F">
              <w:rPr>
                <w:sz w:val="20"/>
              </w:rPr>
              <w:t xml:space="preserve">Are </w:t>
            </w:r>
            <w:r w:rsidR="004A3D40" w:rsidRPr="0071016F">
              <w:rPr>
                <w:sz w:val="20"/>
              </w:rPr>
              <w:t>consumers</w:t>
            </w:r>
            <w:r w:rsidRPr="0071016F">
              <w:rPr>
                <w:sz w:val="20"/>
              </w:rPr>
              <w:t xml:space="preserve"> encountering difficulties cancelling a subscription</w:t>
            </w:r>
            <w:r w:rsidR="00F93C21" w:rsidRPr="0071016F">
              <w:rPr>
                <w:sz w:val="20"/>
              </w:rPr>
              <w:t xml:space="preserve">? </w:t>
            </w:r>
            <w:r w:rsidR="00F76CF3" w:rsidRPr="0071016F">
              <w:rPr>
                <w:sz w:val="20"/>
              </w:rPr>
              <w:t xml:space="preserve">Are consumers </w:t>
            </w:r>
            <w:r w:rsidR="00A637A6" w:rsidRPr="0071016F">
              <w:rPr>
                <w:sz w:val="20"/>
              </w:rPr>
              <w:t>signing up for</w:t>
            </w:r>
            <w:r w:rsidR="00160429" w:rsidRPr="0071016F">
              <w:rPr>
                <w:sz w:val="20"/>
              </w:rPr>
              <w:t xml:space="preserve"> products and services without realising they are</w:t>
            </w:r>
            <w:r w:rsidR="00051928" w:rsidRPr="0071016F">
              <w:rPr>
                <w:sz w:val="20"/>
              </w:rPr>
              <w:t xml:space="preserve"> subscriptions?</w:t>
            </w:r>
          </w:p>
          <w:p w14:paraId="62F60DF9" w14:textId="48FA9BD9" w:rsidR="00257D2D" w:rsidRPr="0071016F" w:rsidRDefault="00C75932" w:rsidP="0071016F">
            <w:pPr>
              <w:pStyle w:val="Bullet"/>
              <w:spacing w:line="240" w:lineRule="auto"/>
              <w:rPr>
                <w:sz w:val="20"/>
              </w:rPr>
            </w:pPr>
            <w:r w:rsidRPr="0071016F">
              <w:rPr>
                <w:sz w:val="20"/>
              </w:rPr>
              <w:t>Are businesses complying with the subscription reforms?</w:t>
            </w:r>
            <w:r w:rsidR="005C0FD0" w:rsidRPr="0071016F">
              <w:rPr>
                <w:sz w:val="20"/>
              </w:rPr>
              <w:t xml:space="preserve"> </w:t>
            </w:r>
            <w:r w:rsidR="00D16AD1" w:rsidRPr="0071016F">
              <w:rPr>
                <w:sz w:val="20"/>
              </w:rPr>
              <w:t xml:space="preserve">What costs </w:t>
            </w:r>
            <w:r w:rsidR="00014591" w:rsidRPr="0071016F">
              <w:rPr>
                <w:sz w:val="20"/>
              </w:rPr>
              <w:t>have</w:t>
            </w:r>
            <w:r w:rsidR="00D16AD1" w:rsidRPr="0071016F">
              <w:rPr>
                <w:sz w:val="20"/>
              </w:rPr>
              <w:t xml:space="preserve"> businesses incur</w:t>
            </w:r>
            <w:r w:rsidR="00B50311">
              <w:rPr>
                <w:sz w:val="20"/>
              </w:rPr>
              <w:t>red</w:t>
            </w:r>
            <w:r w:rsidR="00D16AD1" w:rsidRPr="0071016F">
              <w:rPr>
                <w:sz w:val="20"/>
              </w:rPr>
              <w:t xml:space="preserve"> to comply with the subscription reforms?</w:t>
            </w:r>
          </w:p>
          <w:p w14:paraId="25CBEB02" w14:textId="0CF5123B" w:rsidR="008533B3" w:rsidRPr="0071016F" w:rsidRDefault="00A35743" w:rsidP="0071016F">
            <w:pPr>
              <w:pStyle w:val="Bullet"/>
              <w:spacing w:line="240" w:lineRule="auto"/>
              <w:rPr>
                <w:sz w:val="20"/>
              </w:rPr>
            </w:pPr>
            <w:r w:rsidRPr="0071016F">
              <w:rPr>
                <w:sz w:val="20"/>
              </w:rPr>
              <w:t>Are</w:t>
            </w:r>
            <w:r w:rsidR="001C0191" w:rsidRPr="0071016F">
              <w:rPr>
                <w:sz w:val="20"/>
              </w:rPr>
              <w:t xml:space="preserve"> consumers experiencing harm from unfair subscription practices</w:t>
            </w:r>
            <w:r w:rsidR="00E779D9" w:rsidRPr="0071016F">
              <w:rPr>
                <w:sz w:val="20"/>
              </w:rPr>
              <w:t xml:space="preserve"> which are not</w:t>
            </w:r>
            <w:r w:rsidR="00DD59CE" w:rsidRPr="0071016F">
              <w:rPr>
                <w:sz w:val="20"/>
              </w:rPr>
              <w:t xml:space="preserve"> sufficiently addressed by the subscription reforms</w:t>
            </w:r>
            <w:r w:rsidR="0087632D" w:rsidRPr="0071016F">
              <w:rPr>
                <w:sz w:val="20"/>
              </w:rPr>
              <w:t xml:space="preserve"> or</w:t>
            </w:r>
            <w:r w:rsidR="002A41F3" w:rsidRPr="0071016F">
              <w:rPr>
                <w:sz w:val="20"/>
              </w:rPr>
              <w:t xml:space="preserve"> other provisions of the ACL?</w:t>
            </w:r>
          </w:p>
        </w:tc>
      </w:tr>
      <w:tr w:rsidR="003C499C" w14:paraId="084E653E" w14:textId="77777777" w:rsidTr="00B4393D">
        <w:tc>
          <w:tcPr>
            <w:tcW w:w="2716" w:type="dxa"/>
          </w:tcPr>
          <w:p w14:paraId="3646A3CC" w14:textId="77777777" w:rsidR="001655AB" w:rsidRPr="00DD4CF2" w:rsidRDefault="001655AB" w:rsidP="00DD4CF2">
            <w:pPr>
              <w:pStyle w:val="Bullet"/>
              <w:numPr>
                <w:ilvl w:val="0"/>
                <w:numId w:val="0"/>
              </w:numPr>
              <w:spacing w:line="240" w:lineRule="auto"/>
              <w:rPr>
                <w:sz w:val="20"/>
              </w:rPr>
            </w:pPr>
            <w:r w:rsidRPr="00DD4CF2">
              <w:rPr>
                <w:sz w:val="20"/>
              </w:rPr>
              <w:t>Improve pricing transparency around transaction fees, so consumers can make informed purchasing decisions and price comparisons</w:t>
            </w:r>
          </w:p>
          <w:p w14:paraId="50FAABF7" w14:textId="77777777" w:rsidR="00575CC3" w:rsidRPr="00DD4CF2" w:rsidRDefault="00575CC3" w:rsidP="00BB0AD8">
            <w:pPr>
              <w:pStyle w:val="Bullet"/>
              <w:numPr>
                <w:ilvl w:val="0"/>
                <w:numId w:val="0"/>
              </w:numPr>
              <w:spacing w:line="240" w:lineRule="auto"/>
              <w:rPr>
                <w:sz w:val="20"/>
              </w:rPr>
            </w:pPr>
          </w:p>
        </w:tc>
        <w:tc>
          <w:tcPr>
            <w:tcW w:w="7485" w:type="dxa"/>
          </w:tcPr>
          <w:p w14:paraId="0329E265" w14:textId="22CA5A55" w:rsidR="00575CC3" w:rsidRDefault="008F7B1C" w:rsidP="00DD4CF2">
            <w:pPr>
              <w:pStyle w:val="Bullet"/>
              <w:spacing w:line="240" w:lineRule="auto"/>
              <w:rPr>
                <w:sz w:val="20"/>
              </w:rPr>
            </w:pPr>
            <w:r w:rsidRPr="00DD4CF2">
              <w:rPr>
                <w:sz w:val="20"/>
              </w:rPr>
              <w:t xml:space="preserve">Have </w:t>
            </w:r>
            <w:r w:rsidR="0059773F" w:rsidRPr="00DD4CF2">
              <w:rPr>
                <w:sz w:val="20"/>
              </w:rPr>
              <w:t>consumers</w:t>
            </w:r>
            <w:r w:rsidRPr="00DD4CF2">
              <w:rPr>
                <w:sz w:val="20"/>
              </w:rPr>
              <w:t xml:space="preserve"> experienced </w:t>
            </w:r>
            <w:r w:rsidR="0059773F" w:rsidRPr="00DD4CF2">
              <w:rPr>
                <w:sz w:val="20"/>
              </w:rPr>
              <w:t xml:space="preserve">improved transparency </w:t>
            </w:r>
            <w:r w:rsidR="00C55EFE" w:rsidRPr="00DD4CF2">
              <w:rPr>
                <w:sz w:val="20"/>
              </w:rPr>
              <w:t>aroun</w:t>
            </w:r>
            <w:r w:rsidR="00816F88" w:rsidRPr="00DD4CF2">
              <w:rPr>
                <w:sz w:val="20"/>
              </w:rPr>
              <w:t>d transaction fees for online purchases</w:t>
            </w:r>
            <w:r w:rsidR="000C1097">
              <w:rPr>
                <w:sz w:val="20"/>
              </w:rPr>
              <w:t xml:space="preserve"> since the drip pricing reforms came into force</w:t>
            </w:r>
            <w:r w:rsidR="00816F88" w:rsidRPr="00DD4CF2">
              <w:rPr>
                <w:sz w:val="20"/>
              </w:rPr>
              <w:t>?</w:t>
            </w:r>
          </w:p>
          <w:p w14:paraId="51E761D8" w14:textId="4C8CD607" w:rsidR="00C958AE" w:rsidRDefault="00C958AE" w:rsidP="001006F5">
            <w:pPr>
              <w:pStyle w:val="Bullet"/>
              <w:spacing w:line="240" w:lineRule="auto"/>
              <w:rPr>
                <w:sz w:val="20"/>
              </w:rPr>
            </w:pPr>
            <w:r w:rsidRPr="00F45C90">
              <w:rPr>
                <w:sz w:val="20"/>
              </w:rPr>
              <w:t>Are businesses complying with the</w:t>
            </w:r>
            <w:r>
              <w:rPr>
                <w:sz w:val="20"/>
              </w:rPr>
              <w:t xml:space="preserve"> </w:t>
            </w:r>
            <w:r w:rsidR="000D6860">
              <w:rPr>
                <w:sz w:val="20"/>
              </w:rPr>
              <w:t>drip</w:t>
            </w:r>
            <w:r>
              <w:rPr>
                <w:sz w:val="20"/>
              </w:rPr>
              <w:t xml:space="preserve"> pr</w:t>
            </w:r>
            <w:r w:rsidR="0051028C">
              <w:rPr>
                <w:sz w:val="20"/>
              </w:rPr>
              <w:t>icing</w:t>
            </w:r>
            <w:r w:rsidRPr="00F45C90">
              <w:rPr>
                <w:sz w:val="20"/>
              </w:rPr>
              <w:t xml:space="preserve"> reforms? What costs have businesses incur</w:t>
            </w:r>
            <w:r w:rsidR="00B72F19">
              <w:rPr>
                <w:sz w:val="20"/>
              </w:rPr>
              <w:t>red</w:t>
            </w:r>
            <w:r w:rsidRPr="00F45C90">
              <w:rPr>
                <w:sz w:val="20"/>
              </w:rPr>
              <w:t xml:space="preserve"> to comply with the</w:t>
            </w:r>
            <w:r w:rsidR="00AE2F30">
              <w:rPr>
                <w:sz w:val="20"/>
              </w:rPr>
              <w:t xml:space="preserve"> pricing </w:t>
            </w:r>
            <w:r w:rsidRPr="00F45C90">
              <w:rPr>
                <w:sz w:val="20"/>
              </w:rPr>
              <w:t>reforms?</w:t>
            </w:r>
          </w:p>
          <w:p w14:paraId="56DE46F8" w14:textId="13EA621A" w:rsidR="000D6860" w:rsidRPr="001006F5" w:rsidRDefault="00DC06C4" w:rsidP="00DD4CF2">
            <w:pPr>
              <w:pStyle w:val="Bullet"/>
              <w:spacing w:line="240" w:lineRule="auto"/>
              <w:rPr>
                <w:sz w:val="20"/>
              </w:rPr>
            </w:pPr>
            <w:r w:rsidRPr="00F45C90">
              <w:rPr>
                <w:sz w:val="20"/>
              </w:rPr>
              <w:t>Do consumers feel more confident</w:t>
            </w:r>
            <w:r>
              <w:rPr>
                <w:sz w:val="20"/>
              </w:rPr>
              <w:t xml:space="preserve"> and informed</w:t>
            </w:r>
            <w:r w:rsidRPr="00F45C90">
              <w:rPr>
                <w:sz w:val="20"/>
              </w:rPr>
              <w:t xml:space="preserve"> </w:t>
            </w:r>
            <w:r w:rsidR="00271856">
              <w:rPr>
                <w:sz w:val="20"/>
              </w:rPr>
              <w:t>a</w:t>
            </w:r>
            <w:r w:rsidR="00107BC5">
              <w:rPr>
                <w:sz w:val="20"/>
              </w:rPr>
              <w:t>bout</w:t>
            </w:r>
            <w:r w:rsidR="009628B6">
              <w:rPr>
                <w:sz w:val="20"/>
              </w:rPr>
              <w:t xml:space="preserve"> </w:t>
            </w:r>
            <w:r w:rsidR="00D5696F">
              <w:rPr>
                <w:sz w:val="20"/>
              </w:rPr>
              <w:t>transaction fees</w:t>
            </w:r>
            <w:r w:rsidR="009628B6">
              <w:rPr>
                <w:sz w:val="20"/>
              </w:rPr>
              <w:t xml:space="preserve"> when </w:t>
            </w:r>
            <w:r w:rsidR="0036235A">
              <w:rPr>
                <w:sz w:val="20"/>
              </w:rPr>
              <w:t xml:space="preserve">engaging </w:t>
            </w:r>
            <w:r w:rsidR="00D7735C">
              <w:rPr>
                <w:sz w:val="20"/>
              </w:rPr>
              <w:t>in</w:t>
            </w:r>
            <w:r w:rsidR="0036235A">
              <w:rPr>
                <w:sz w:val="20"/>
              </w:rPr>
              <w:t xml:space="preserve"> online transactions?</w:t>
            </w:r>
          </w:p>
          <w:p w14:paraId="3BA3FBD2" w14:textId="61D38456" w:rsidR="00575CC3" w:rsidRPr="00DD4CF2" w:rsidRDefault="009465FA" w:rsidP="00DD4CF2">
            <w:pPr>
              <w:pStyle w:val="Bullet"/>
              <w:spacing w:line="240" w:lineRule="auto"/>
              <w:rPr>
                <w:sz w:val="20"/>
              </w:rPr>
            </w:pPr>
            <w:r>
              <w:rPr>
                <w:sz w:val="20"/>
              </w:rPr>
              <w:t>Are</w:t>
            </w:r>
            <w:r w:rsidR="00304689">
              <w:rPr>
                <w:sz w:val="20"/>
              </w:rPr>
              <w:t xml:space="preserve"> consumers experiencing harm from unfair drip pricing practices which are not sufficiently addressed by the drip pricing reforms or other provisions of the ACL?</w:t>
            </w:r>
          </w:p>
        </w:tc>
      </w:tr>
    </w:tbl>
    <w:p w14:paraId="6DC75CFA" w14:textId="77777777" w:rsidR="00406CD0" w:rsidRDefault="00406CD0" w:rsidP="007E31E5">
      <w:pPr>
        <w:pStyle w:val="Dash"/>
        <w:numPr>
          <w:ilvl w:val="0"/>
          <w:numId w:val="0"/>
        </w:numPr>
        <w:ind w:left="567" w:hanging="284"/>
        <w:rPr>
          <w:rFonts w:ascii="Calibri" w:hAnsi="Calibri" w:cs="Arial"/>
          <w:b/>
          <w:color w:val="5D779D" w:themeColor="accent3"/>
          <w:kern w:val="32"/>
          <w:sz w:val="44"/>
          <w:szCs w:val="36"/>
        </w:rPr>
      </w:pPr>
      <w:r>
        <w:br w:type="page"/>
      </w:r>
    </w:p>
    <w:p w14:paraId="1446D264" w14:textId="77777777" w:rsidR="00406CD0" w:rsidRDefault="00406CD0" w:rsidP="00406CD0">
      <w:pPr>
        <w:pStyle w:val="Heading1"/>
      </w:pPr>
      <w:bookmarkStart w:id="72" w:name="_Toc202971536"/>
      <w:bookmarkStart w:id="73" w:name="_Toc206422539"/>
      <w:r>
        <w:lastRenderedPageBreak/>
        <w:t>Appendix A – existing relevant ACL protections</w:t>
      </w:r>
      <w:bookmarkEnd w:id="72"/>
      <w:bookmarkEnd w:id="73"/>
    </w:p>
    <w:p w14:paraId="7C020BA2" w14:textId="77777777" w:rsidR="00406CD0" w:rsidRDefault="00406CD0" w:rsidP="00406CD0">
      <w:pPr>
        <w:pStyle w:val="Heading3"/>
      </w:pPr>
      <w:bookmarkStart w:id="74" w:name="_Toc202971537"/>
      <w:bookmarkStart w:id="75" w:name="_Toc206422540"/>
      <w:r>
        <w:t>Misleading or deceptive conduct</w:t>
      </w:r>
      <w:bookmarkEnd w:id="74"/>
      <w:bookmarkEnd w:id="75"/>
      <w:r>
        <w:t xml:space="preserve">  </w:t>
      </w:r>
    </w:p>
    <w:p w14:paraId="758546BA" w14:textId="2A3792B4" w:rsidR="00406CD0" w:rsidRDefault="00406CD0" w:rsidP="00406CD0">
      <w:r>
        <w:t xml:space="preserve">Section 18 of the ACL prohibits businesses from engaging in conduct which is misleading or deceptive or is likely to mislead or deceive. The prohibition in its current form was first introduced in 1974 in the </w:t>
      </w:r>
      <w:r w:rsidRPr="004554E5">
        <w:rPr>
          <w:i/>
        </w:rPr>
        <w:t>Trade Practices Act 1974</w:t>
      </w:r>
      <w:r>
        <w:t xml:space="preserve"> (Cth). It applies even if the intention was not to mislead or deceive. Misleading or deceptive conduct is assessed against whether an ‘ordinary’ or ‘reasonable’ member of the relevant class of people to whom the conduct was directed </w:t>
      </w:r>
      <w:r w:rsidR="009F7CCD">
        <w:t>is</w:t>
      </w:r>
      <w:r>
        <w:t xml:space="preserve"> likely to be misled. A substantial body of case law has developed since the introduction of the prohibition, and it is now generally well understood by both consumers and business, and a well-accepted tenet of consumer laws in Australia. Misleading omissions are not expressly covered by this provision although silence may be considered misleading when there is a reasonable expectation that a fact, if it exists, will be disclosed.  </w:t>
      </w:r>
    </w:p>
    <w:p w14:paraId="14F73799" w14:textId="1F9EA6C1" w:rsidR="00406CD0" w:rsidRDefault="00406CD0" w:rsidP="00406CD0">
      <w:pPr>
        <w:pStyle w:val="Heading3"/>
      </w:pPr>
      <w:bookmarkStart w:id="76" w:name="_Toc202971538"/>
      <w:bookmarkStart w:id="77" w:name="_Toc206422541"/>
      <w:r>
        <w:t>Unconscionable Conduct</w:t>
      </w:r>
      <w:bookmarkEnd w:id="76"/>
      <w:bookmarkEnd w:id="77"/>
      <w:r>
        <w:t xml:space="preserve"> </w:t>
      </w:r>
    </w:p>
    <w:p w14:paraId="6B1C9CF4" w14:textId="53E0F589" w:rsidR="00406CD0" w:rsidRDefault="00406CD0" w:rsidP="00406CD0">
      <w:r>
        <w:t xml:space="preserve">The ACL contains </w:t>
      </w:r>
      <w:r w:rsidR="00B95C0F">
        <w:t xml:space="preserve">2 </w:t>
      </w:r>
      <w:r>
        <w:t xml:space="preserve">protections against unconscionable conduct:  </w:t>
      </w:r>
    </w:p>
    <w:p w14:paraId="43BE3B92" w14:textId="77777777" w:rsidR="00406CD0" w:rsidRPr="000E5AA7" w:rsidRDefault="00406CD0" w:rsidP="00406CD0">
      <w:pPr>
        <w:pStyle w:val="Bullet"/>
      </w:pPr>
      <w:r w:rsidRPr="000E5AA7">
        <w:t>Equitable unconscionable conduct, a concept from the courts of equity which prohibits conduct that is unconscionable ‘within the meaning of the unwritten law’ (section 20). This applies where one party takes unconscientious advantage of a special disadvantage of another.</w:t>
      </w:r>
      <w:r>
        <w:rPr>
          <w:rStyle w:val="FootnoteReference"/>
          <w:rFonts w:eastAsiaTheme="majorEastAsia"/>
        </w:rPr>
        <w:footnoteReference w:id="154"/>
      </w:r>
    </w:p>
    <w:p w14:paraId="74001E7C" w14:textId="08FFE9BE" w:rsidR="00406CD0" w:rsidRDefault="00406CD0" w:rsidP="00406CD0">
      <w:pPr>
        <w:pStyle w:val="Bullet"/>
      </w:pPr>
      <w:r w:rsidRPr="000E5AA7">
        <w:t>A prohibition on unconscionable conduct in connection with goods or services (section 21)</w:t>
      </w:r>
      <w:r w:rsidR="00AF3B13">
        <w:t>, referred to above as statutory unconscionable conduct</w:t>
      </w:r>
      <w:r w:rsidRPr="000E5AA7">
        <w:t>. This is designed to address a broader range of conduct than equitable unconscionable conduct.</w:t>
      </w:r>
      <w:r w:rsidRPr="779D0450">
        <w:rPr>
          <w:rStyle w:val="FootnoteReference"/>
          <w:rFonts w:eastAsiaTheme="majorEastAsia"/>
          <w:sz w:val="22"/>
          <w:szCs w:val="22"/>
        </w:rPr>
        <w:footnoteReference w:id="155"/>
      </w:r>
      <w:r w:rsidRPr="000C502B">
        <w:rPr>
          <w:vertAlign w:val="superscript"/>
        </w:rPr>
        <w:t xml:space="preserve"> </w:t>
      </w:r>
    </w:p>
    <w:p w14:paraId="439E8211" w14:textId="77777777" w:rsidR="00406CD0" w:rsidRDefault="00406CD0" w:rsidP="00406CD0">
      <w:r>
        <w:t xml:space="preserve">Unconscionable conduct under section 21 of the ACL prohibits conduct which is particularly harsh or oppressive. To be considered unconscionable, the conduct must be against good conscience as judged against the norms of society. There are several matters the court may consider in determining whether conduct, or a system of conduct or pattern of behaviour, is unconscionable, including:  </w:t>
      </w:r>
    </w:p>
    <w:p w14:paraId="32F0AC4E" w14:textId="77777777" w:rsidR="00406CD0" w:rsidRDefault="00406CD0" w:rsidP="00406CD0">
      <w:pPr>
        <w:pStyle w:val="Bullet"/>
      </w:pPr>
      <w:r>
        <w:t xml:space="preserve">the use of undue influence, pressure or unfair tactics by the stronger party </w:t>
      </w:r>
    </w:p>
    <w:p w14:paraId="560EF5EA" w14:textId="77777777" w:rsidR="00406CD0" w:rsidRPr="004F4C5A" w:rsidRDefault="00406CD0" w:rsidP="00406CD0">
      <w:pPr>
        <w:pStyle w:val="Bullet"/>
      </w:pPr>
      <w:r>
        <w:t xml:space="preserve">the price or other terms on which the weaker party could have got the same or similar products or services from another business </w:t>
      </w:r>
    </w:p>
    <w:p w14:paraId="4A14465A" w14:textId="77777777" w:rsidR="008502FE" w:rsidRDefault="00406CD0" w:rsidP="00406CD0">
      <w:pPr>
        <w:pStyle w:val="Bullet"/>
      </w:pPr>
      <w:r>
        <w:t xml:space="preserve">whether the stronger party acted unreasonably in not informing the weaker party about key risks that the stronger party should have known the weaker party was not aware of </w:t>
      </w:r>
    </w:p>
    <w:p w14:paraId="16FCFA16" w14:textId="038CC2A8" w:rsidR="00406CD0" w:rsidRDefault="00406CD0" w:rsidP="00406CD0">
      <w:pPr>
        <w:pStyle w:val="Bullet"/>
      </w:pPr>
      <w:r>
        <w:t>whether the parties acted in good faith.</w:t>
      </w:r>
      <w:r w:rsidRPr="779D0450">
        <w:rPr>
          <w:rStyle w:val="FootnoteReference"/>
          <w:rFonts w:eastAsiaTheme="majorEastAsia"/>
          <w:sz w:val="22"/>
          <w:szCs w:val="22"/>
        </w:rPr>
        <w:footnoteReference w:id="156"/>
      </w:r>
      <w:r w:rsidRPr="000C502B">
        <w:rPr>
          <w:vertAlign w:val="superscript"/>
        </w:rPr>
        <w:t xml:space="preserve">  </w:t>
      </w:r>
    </w:p>
    <w:p w14:paraId="0212DCF0" w14:textId="77777777" w:rsidR="00406CD0" w:rsidRDefault="00406CD0" w:rsidP="00406CD0">
      <w:r>
        <w:t>Section 22 of the ACL contains a list of matters or factors that a court may have regard to when determining whether conduct was unconscionable.</w:t>
      </w:r>
      <w:r>
        <w:rPr>
          <w:rStyle w:val="FootnoteReference"/>
          <w:rFonts w:eastAsiaTheme="majorEastAsia"/>
        </w:rPr>
        <w:footnoteReference w:id="157"/>
      </w:r>
      <w:r>
        <w:t xml:space="preserve"> Generally, one factor is not itself sufficient to meet the threshold.  </w:t>
      </w:r>
    </w:p>
    <w:p w14:paraId="28B2867B" w14:textId="77777777" w:rsidR="00406CD0" w:rsidRDefault="00406CD0" w:rsidP="00406CD0">
      <w:pPr>
        <w:pStyle w:val="Heading3"/>
      </w:pPr>
      <w:bookmarkStart w:id="78" w:name="_Toc202971539"/>
      <w:bookmarkStart w:id="79" w:name="_Toc206422542"/>
      <w:r>
        <w:lastRenderedPageBreak/>
        <w:t>Unfair contract terms</w:t>
      </w:r>
      <w:bookmarkEnd w:id="78"/>
      <w:bookmarkEnd w:id="79"/>
      <w:r>
        <w:t xml:space="preserve">  </w:t>
      </w:r>
    </w:p>
    <w:p w14:paraId="63DDE55D" w14:textId="756A27BB" w:rsidR="00406CD0" w:rsidRDefault="00406CD0" w:rsidP="00406CD0">
      <w:r>
        <w:t xml:space="preserve">This protection provides courts with the ability to declare contract terms in standard form consumer and small business contracts unfair and impose significant penalties. </w:t>
      </w:r>
      <w:r w:rsidR="00512B3D">
        <w:t>Under</w:t>
      </w:r>
      <w:r>
        <w:t xml:space="preserve"> Part 2</w:t>
      </w:r>
      <w:r w:rsidR="00512B3D">
        <w:t>-</w:t>
      </w:r>
      <w:r>
        <w:t xml:space="preserve">3 of the ACL, a term of a contract is unfair if it:  </w:t>
      </w:r>
    </w:p>
    <w:p w14:paraId="52B518F8" w14:textId="77777777" w:rsidR="00406CD0" w:rsidRDefault="00406CD0" w:rsidP="00406CD0">
      <w:pPr>
        <w:pStyle w:val="Bullet"/>
      </w:pPr>
      <w:r>
        <w:t xml:space="preserve">causes a significant imbalance in the parties’ rights and obligations  </w:t>
      </w:r>
    </w:p>
    <w:p w14:paraId="088BC96C" w14:textId="04832740" w:rsidR="00406CD0" w:rsidRDefault="00406CD0" w:rsidP="00406CD0">
      <w:pPr>
        <w:pStyle w:val="Bullet"/>
      </w:pPr>
      <w:r>
        <w:t xml:space="preserve">is not reasonably necessary to protect the legitimate interests of the </w:t>
      </w:r>
      <w:r w:rsidR="00AA0B46">
        <w:t>party who would be advantaged by the term</w:t>
      </w:r>
      <w:r>
        <w:t xml:space="preserve"> </w:t>
      </w:r>
    </w:p>
    <w:p w14:paraId="75BAFA37" w14:textId="77777777" w:rsidR="00406CD0" w:rsidRDefault="00406CD0" w:rsidP="00406CD0">
      <w:pPr>
        <w:pStyle w:val="Bullet"/>
      </w:pPr>
      <w:r>
        <w:t xml:space="preserve">would cause significant financial or non-financial detriment to a party. </w:t>
      </w:r>
    </w:p>
    <w:p w14:paraId="211E02D9" w14:textId="30E3C5F4" w:rsidR="00406CD0" w:rsidRDefault="00B8008B" w:rsidP="00406CD0">
      <w:pPr>
        <w:pStyle w:val="Heading3"/>
      </w:pPr>
      <w:bookmarkStart w:id="80" w:name="_Toc202971540"/>
      <w:bookmarkStart w:id="81" w:name="_Toc206422543"/>
      <w:r>
        <w:t>Specific Prohibited</w:t>
      </w:r>
      <w:r w:rsidR="00406CD0">
        <w:t xml:space="preserve"> Practices</w:t>
      </w:r>
      <w:bookmarkEnd w:id="80"/>
      <w:bookmarkEnd w:id="81"/>
      <w:r w:rsidR="00406CD0">
        <w:t xml:space="preserve">  </w:t>
      </w:r>
    </w:p>
    <w:p w14:paraId="176003D8" w14:textId="77777777" w:rsidR="00406CD0" w:rsidRDefault="00406CD0" w:rsidP="00406CD0">
      <w:r>
        <w:t xml:space="preserve">Some specific trading practices are unlawful under Part 3-1 of the ACL. Examples of existing ACL specific protections include false or misleading representations about, for example, the price of goods, availability of repair facilities, or the existence of warranties. They also include protections against bait advertising (discussed further below), accepting payment without intending to supply goods or services, certain practices in the unsolicited supply of goods or services, participating in or persuading someone to participate in a pyramid scheme, coercion, undue harassment or physical force in connection with the supply or possible supply of goods or services, or the payment for them.  </w:t>
      </w:r>
    </w:p>
    <w:p w14:paraId="5980341C" w14:textId="77777777" w:rsidR="00406CD0" w:rsidRDefault="00406CD0" w:rsidP="00406CD0">
      <w:pPr>
        <w:pStyle w:val="Heading3"/>
      </w:pPr>
      <w:bookmarkStart w:id="82" w:name="_Toc202971541"/>
      <w:bookmarkStart w:id="83" w:name="_Toc206422544"/>
      <w:r>
        <w:t>Bait advertising</w:t>
      </w:r>
      <w:bookmarkEnd w:id="82"/>
      <w:bookmarkEnd w:id="83"/>
      <w:r>
        <w:t xml:space="preserve"> </w:t>
      </w:r>
    </w:p>
    <w:p w14:paraId="265BEA51" w14:textId="632EA2B4" w:rsidR="00406CD0" w:rsidRDefault="00406CD0" w:rsidP="00406CD0">
      <w:r>
        <w:t xml:space="preserve">Section 35 of the ACL prohibits businesses from engaging in bait advertising. Bait advertising is when a business advertises goods or services at a specified price, and there are reasonable grounds for believing that the business will not be able to supply the advertised goods or services at the advertised price for a reasonable period or in reasonable quantities, having regard to the nature of the market and the advertisement.  </w:t>
      </w:r>
    </w:p>
    <w:p w14:paraId="2F38FE98" w14:textId="77777777" w:rsidR="00406CD0" w:rsidRDefault="00406CD0" w:rsidP="00406CD0">
      <w:pPr>
        <w:pStyle w:val="Heading3"/>
      </w:pPr>
      <w:bookmarkStart w:id="84" w:name="_Toc202971542"/>
      <w:bookmarkStart w:id="85" w:name="_Toc206422545"/>
      <w:r>
        <w:t>Provisions relevant to drip pricing</w:t>
      </w:r>
      <w:bookmarkEnd w:id="84"/>
      <w:bookmarkEnd w:id="85"/>
      <w:r>
        <w:t xml:space="preserve">  </w:t>
      </w:r>
    </w:p>
    <w:p w14:paraId="388BC68A" w14:textId="5D971EE4" w:rsidR="00406CD0" w:rsidRDefault="00406CD0" w:rsidP="00406CD0">
      <w:r>
        <w:t xml:space="preserve">Section 48 of the ACL prohibits businesses from disclosing part of the price for a good or service without also disclosing the minimum quantifiable price (as a single figure), at least as prominently as the part price. The single price must include any tax, duty, fee, levy or other additional charges (such as GST or airport tax). It should also include any optional fees or charges pre-selected for the consumer during the purchasing process unless and until they are de-selected by the consumer. The requirement under section 48 has some exceptions, including:  </w:t>
      </w:r>
    </w:p>
    <w:p w14:paraId="654C743F" w14:textId="77777777" w:rsidR="00406CD0" w:rsidRPr="008A08C4" w:rsidRDefault="00406CD0" w:rsidP="00406CD0">
      <w:pPr>
        <w:pStyle w:val="Bullet"/>
      </w:pPr>
      <w:r w:rsidRPr="008A08C4">
        <w:t xml:space="preserve">optional charges or extras that cannot be quantified at the time of making the representation  </w:t>
      </w:r>
    </w:p>
    <w:p w14:paraId="4114861B" w14:textId="77777777" w:rsidR="00406CD0" w:rsidRPr="008A08C4" w:rsidRDefault="00406CD0" w:rsidP="00406CD0">
      <w:pPr>
        <w:pStyle w:val="Bullet"/>
      </w:pPr>
      <w:r w:rsidRPr="008A08C4">
        <w:t>price representations made by a business exclusively to a body corporate (i.e. another business)</w:t>
      </w:r>
      <w:r>
        <w:t>.</w:t>
      </w:r>
      <w:r w:rsidRPr="008A08C4">
        <w:t xml:space="preserve"> </w:t>
      </w:r>
    </w:p>
    <w:p w14:paraId="4B697EE4" w14:textId="77777777" w:rsidR="00406CD0" w:rsidRDefault="00406CD0" w:rsidP="00406CD0">
      <w:pPr>
        <w:spacing w:before="100" w:beforeAutospacing="1" w:after="100" w:afterAutospacing="1"/>
      </w:pPr>
    </w:p>
    <w:p w14:paraId="2935DCCD" w14:textId="77777777" w:rsidR="00406CD0" w:rsidRDefault="00406CD0" w:rsidP="00406CD0">
      <w:pPr>
        <w:spacing w:before="100" w:beforeAutospacing="1" w:after="100" w:afterAutospacing="1"/>
      </w:pPr>
      <w:r>
        <w:br w:type="page"/>
      </w:r>
    </w:p>
    <w:p w14:paraId="12647480" w14:textId="77777777" w:rsidR="00406CD0" w:rsidRDefault="00406CD0" w:rsidP="00406CD0">
      <w:pPr>
        <w:pStyle w:val="Heading1"/>
      </w:pPr>
      <w:bookmarkStart w:id="86" w:name="_Toc202971543"/>
      <w:bookmarkStart w:id="87" w:name="_Toc206422546"/>
      <w:r>
        <w:lastRenderedPageBreak/>
        <w:t>Appendix B – regulatory burden estimate</w:t>
      </w:r>
      <w:bookmarkEnd w:id="86"/>
      <w:bookmarkEnd w:id="87"/>
    </w:p>
    <w:p w14:paraId="32D605AD" w14:textId="77777777" w:rsidR="00406CD0" w:rsidRDefault="00406CD0" w:rsidP="00406CD0">
      <w:pPr>
        <w:pStyle w:val="Heading2"/>
        <w:rPr>
          <w:color w:val="4D7861" w:themeColor="accent2"/>
        </w:rPr>
      </w:pPr>
      <w:bookmarkStart w:id="88" w:name="_Toc202971544"/>
      <w:bookmarkStart w:id="89" w:name="_Toc206422547"/>
      <w:r>
        <w:t>Option 3 - General Prohibition</w:t>
      </w:r>
      <w:bookmarkEnd w:id="88"/>
      <w:bookmarkEnd w:id="89"/>
      <w:r>
        <w:t xml:space="preserve"> </w:t>
      </w:r>
    </w:p>
    <w:p w14:paraId="57A49A02" w14:textId="77777777" w:rsidR="00406CD0" w:rsidRDefault="00406CD0" w:rsidP="00406CD0">
      <w:r>
        <w:t xml:space="preserve">No costs are forecast for consumers (the primary beneficiaries of this proposal) or for community </w:t>
      </w:r>
      <w:r w:rsidRPr="004C5C4D">
        <w:t>organisations under this proposal.</w:t>
      </w:r>
    </w:p>
    <w:p w14:paraId="58B7634A" w14:textId="76165D9F" w:rsidR="00053ABD" w:rsidRPr="003068CD" w:rsidRDefault="00053ABD" w:rsidP="00406CD0">
      <w:pPr>
        <w:rPr>
          <w:sz w:val="24"/>
          <w:szCs w:val="24"/>
        </w:rPr>
      </w:pPr>
      <w:r w:rsidRPr="003068CD">
        <w:rPr>
          <w:sz w:val="24"/>
          <w:szCs w:val="24"/>
        </w:rPr>
        <w:t>Table 3</w:t>
      </w:r>
      <w:r w:rsidR="009B6B65" w:rsidRPr="003068CD">
        <w:rPr>
          <w:sz w:val="24"/>
          <w:szCs w:val="24"/>
        </w:rPr>
        <w:t xml:space="preserve">: General Prohibition </w:t>
      </w:r>
      <w:r w:rsidR="002633C2" w:rsidRPr="003068CD">
        <w:rPr>
          <w:sz w:val="24"/>
          <w:szCs w:val="24"/>
        </w:rPr>
        <w:t xml:space="preserve">- </w:t>
      </w:r>
      <w:r w:rsidR="00A9293C" w:rsidRPr="003068CD">
        <w:rPr>
          <w:sz w:val="24"/>
          <w:szCs w:val="24"/>
        </w:rPr>
        <w:t>Estimated Cost</w:t>
      </w:r>
      <w:r w:rsidR="004648AF" w:rsidRPr="003068CD">
        <w:rPr>
          <w:sz w:val="24"/>
          <w:szCs w:val="24"/>
        </w:rPr>
        <w:t>s</w:t>
      </w:r>
      <w:r w:rsidR="00A9293C" w:rsidRPr="003068CD">
        <w:rPr>
          <w:sz w:val="24"/>
          <w:szCs w:val="24"/>
        </w:rPr>
        <w:t xml:space="preserve"> to</w:t>
      </w:r>
      <w:r w:rsidR="00892447" w:rsidRPr="003068CD">
        <w:rPr>
          <w:sz w:val="24"/>
          <w:szCs w:val="24"/>
        </w:rPr>
        <w:t xml:space="preserve"> Business</w:t>
      </w:r>
      <w:r w:rsidR="0050300A" w:rsidRPr="003068CD">
        <w:rPr>
          <w:sz w:val="24"/>
          <w:szCs w:val="24"/>
        </w:rPr>
        <w:t>es</w:t>
      </w:r>
    </w:p>
    <w:tbl>
      <w:tblPr>
        <w:tblStyle w:val="ListTable3-Accent3"/>
        <w:tblW w:w="0" w:type="auto"/>
        <w:tblLook w:val="04A0" w:firstRow="1" w:lastRow="0" w:firstColumn="1" w:lastColumn="0" w:noHBand="0" w:noVBand="1"/>
      </w:tblPr>
      <w:tblGrid>
        <w:gridCol w:w="1812"/>
        <w:gridCol w:w="1812"/>
        <w:gridCol w:w="1812"/>
        <w:gridCol w:w="1812"/>
        <w:gridCol w:w="1812"/>
      </w:tblGrid>
      <w:tr w:rsidR="00797E0D" w:rsidRPr="00E66A6B" w14:paraId="5565205C" w14:textId="3E5F1B58" w:rsidTr="0086579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812" w:type="dxa"/>
            <w:shd w:val="clear" w:color="auto" w:fill="002060"/>
          </w:tcPr>
          <w:p w14:paraId="01C3D419" w14:textId="77777777" w:rsidR="00E52D26" w:rsidRPr="00481677" w:rsidRDefault="00E52D26" w:rsidP="00406CD0">
            <w:pPr>
              <w:spacing w:before="96" w:after="96"/>
              <w:rPr>
                <w:sz w:val="18"/>
                <w:szCs w:val="18"/>
              </w:rPr>
            </w:pPr>
          </w:p>
        </w:tc>
        <w:tc>
          <w:tcPr>
            <w:tcW w:w="1812" w:type="dxa"/>
            <w:shd w:val="clear" w:color="auto" w:fill="002060"/>
          </w:tcPr>
          <w:p w14:paraId="50AC7DD3" w14:textId="6F987745"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Small business</w:t>
            </w:r>
            <w:r w:rsidR="00F413C1" w:rsidRPr="00481677">
              <w:rPr>
                <w:sz w:val="18"/>
                <w:szCs w:val="18"/>
              </w:rPr>
              <w:t>es</w:t>
            </w:r>
            <w:r w:rsidRPr="00481677">
              <w:rPr>
                <w:sz w:val="18"/>
                <w:szCs w:val="18"/>
              </w:rPr>
              <w:t xml:space="preserve"> </w:t>
            </w:r>
            <w:r w:rsidR="00F413C1" w:rsidRPr="00481677">
              <w:rPr>
                <w:sz w:val="18"/>
                <w:szCs w:val="18"/>
              </w:rPr>
              <w:br/>
            </w:r>
            <w:r w:rsidRPr="00481677">
              <w:rPr>
                <w:sz w:val="18"/>
                <w:szCs w:val="18"/>
              </w:rPr>
              <w:t>(0-19 employees)</w:t>
            </w:r>
          </w:p>
        </w:tc>
        <w:tc>
          <w:tcPr>
            <w:tcW w:w="1812" w:type="dxa"/>
            <w:shd w:val="clear" w:color="auto" w:fill="002060"/>
          </w:tcPr>
          <w:p w14:paraId="0463F115" w14:textId="707DA7A8"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Medium</w:t>
            </w:r>
            <w:r w:rsidR="00F413C1" w:rsidRPr="00481677">
              <w:rPr>
                <w:sz w:val="18"/>
                <w:szCs w:val="18"/>
              </w:rPr>
              <w:t>-sized</w:t>
            </w:r>
            <w:r w:rsidRPr="00481677">
              <w:rPr>
                <w:sz w:val="18"/>
                <w:szCs w:val="18"/>
              </w:rPr>
              <w:t xml:space="preserve"> business</w:t>
            </w:r>
            <w:r w:rsidR="00F413C1" w:rsidRPr="00481677">
              <w:rPr>
                <w:sz w:val="18"/>
                <w:szCs w:val="18"/>
              </w:rPr>
              <w:t>es</w:t>
            </w:r>
            <w:r w:rsidRPr="00481677">
              <w:rPr>
                <w:sz w:val="18"/>
                <w:szCs w:val="18"/>
              </w:rPr>
              <w:t xml:space="preserve"> (20-199 employees)</w:t>
            </w:r>
          </w:p>
        </w:tc>
        <w:tc>
          <w:tcPr>
            <w:tcW w:w="1812" w:type="dxa"/>
            <w:shd w:val="clear" w:color="auto" w:fill="002060"/>
          </w:tcPr>
          <w:p w14:paraId="09246C8D" w14:textId="5FD236DD"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Large business</w:t>
            </w:r>
            <w:r w:rsidR="00F413C1" w:rsidRPr="00481677">
              <w:rPr>
                <w:sz w:val="18"/>
                <w:szCs w:val="18"/>
              </w:rPr>
              <w:t>es</w:t>
            </w:r>
            <w:r w:rsidRPr="00481677">
              <w:rPr>
                <w:sz w:val="18"/>
                <w:szCs w:val="18"/>
              </w:rPr>
              <w:t xml:space="preserve"> (200+ employees)</w:t>
            </w:r>
          </w:p>
        </w:tc>
        <w:tc>
          <w:tcPr>
            <w:tcW w:w="1812" w:type="dxa"/>
            <w:shd w:val="clear" w:color="auto" w:fill="002060"/>
          </w:tcPr>
          <w:p w14:paraId="61A8E58B" w14:textId="66D7954A" w:rsidR="00E52D26" w:rsidRPr="00481677" w:rsidRDefault="00E52D26" w:rsidP="00406CD0">
            <w:pPr>
              <w:spacing w:before="96" w:after="96"/>
              <w:cnfStyle w:val="100000000000" w:firstRow="1" w:lastRow="0" w:firstColumn="0" w:lastColumn="0" w:oddVBand="0" w:evenVBand="0" w:oddHBand="0" w:evenHBand="0" w:firstRowFirstColumn="0" w:firstRowLastColumn="0" w:lastRowFirstColumn="0" w:lastRowLastColumn="0"/>
              <w:rPr>
                <w:sz w:val="18"/>
                <w:szCs w:val="18"/>
              </w:rPr>
            </w:pPr>
            <w:r w:rsidRPr="00481677">
              <w:rPr>
                <w:sz w:val="18"/>
                <w:szCs w:val="18"/>
              </w:rPr>
              <w:t>Total</w:t>
            </w:r>
          </w:p>
        </w:tc>
      </w:tr>
      <w:tr w:rsidR="003538D7" w:rsidRPr="00E66A6B" w14:paraId="0C595E0A" w14:textId="3F25721D" w:rsidTr="00422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239739AC" w14:textId="79E1F795" w:rsidR="00E52D26" w:rsidRPr="00D066BB" w:rsidRDefault="00E52D26" w:rsidP="007313B8">
            <w:pPr>
              <w:rPr>
                <w:b w:val="0"/>
                <w:sz w:val="18"/>
                <w:szCs w:val="18"/>
              </w:rPr>
            </w:pPr>
            <w:r w:rsidRPr="00D066BB">
              <w:rPr>
                <w:b w:val="0"/>
                <w:sz w:val="18"/>
                <w:szCs w:val="18"/>
              </w:rPr>
              <w:t>Number of affected businesses</w:t>
            </w:r>
          </w:p>
        </w:tc>
        <w:tc>
          <w:tcPr>
            <w:tcW w:w="1812" w:type="dxa"/>
            <w:tcBorders>
              <w:left w:val="single" w:sz="4" w:space="0" w:color="9CACC4" w:themeColor="accent1" w:themeTint="66"/>
              <w:right w:val="single" w:sz="4" w:space="0" w:color="9CACC4" w:themeColor="accent1" w:themeTint="66"/>
            </w:tcBorders>
          </w:tcPr>
          <w:p w14:paraId="7B8C4390" w14:textId="6CE419AB"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1,510,937</w:t>
            </w:r>
          </w:p>
        </w:tc>
        <w:tc>
          <w:tcPr>
            <w:tcW w:w="1812" w:type="dxa"/>
            <w:tcBorders>
              <w:left w:val="single" w:sz="4" w:space="0" w:color="9CACC4" w:themeColor="accent1" w:themeTint="66"/>
              <w:right w:val="single" w:sz="4" w:space="0" w:color="9CACC4" w:themeColor="accent1" w:themeTint="66"/>
            </w:tcBorders>
          </w:tcPr>
          <w:p w14:paraId="4F08E179" w14:textId="05B9AFC8"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40,239</w:t>
            </w:r>
          </w:p>
        </w:tc>
        <w:tc>
          <w:tcPr>
            <w:tcW w:w="1812" w:type="dxa"/>
            <w:tcBorders>
              <w:left w:val="single" w:sz="4" w:space="0" w:color="9CACC4" w:themeColor="accent1" w:themeTint="66"/>
              <w:right w:val="single" w:sz="4" w:space="0" w:color="9CACC4" w:themeColor="accent1" w:themeTint="66"/>
            </w:tcBorders>
          </w:tcPr>
          <w:p w14:paraId="22BECA08" w14:textId="3F994C78"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2,742</w:t>
            </w:r>
          </w:p>
        </w:tc>
        <w:tc>
          <w:tcPr>
            <w:tcW w:w="1812" w:type="dxa"/>
            <w:tcBorders>
              <w:left w:val="single" w:sz="4" w:space="0" w:color="9CACC4" w:themeColor="accent1" w:themeTint="66"/>
            </w:tcBorders>
          </w:tcPr>
          <w:p w14:paraId="1A979D6D" w14:textId="05259469" w:rsidR="00E52D26" w:rsidRPr="00865792" w:rsidRDefault="00320310"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1,553,917</w:t>
            </w:r>
          </w:p>
        </w:tc>
      </w:tr>
      <w:tr w:rsidR="009813A4" w:rsidRPr="00E66A6B" w14:paraId="2D3977B2" w14:textId="5E9AAC50" w:rsidTr="004A4E29">
        <w:trPr>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5B7963E6" w14:textId="72230C3B" w:rsidR="00E52D26" w:rsidRPr="00865792" w:rsidRDefault="00E52D26" w:rsidP="00406CD0">
            <w:pPr>
              <w:rPr>
                <w:sz w:val="18"/>
                <w:szCs w:val="18"/>
              </w:rPr>
            </w:pPr>
            <w:r w:rsidRPr="00865792">
              <w:rPr>
                <w:sz w:val="18"/>
                <w:szCs w:val="18"/>
              </w:rPr>
              <w:t>Labour costs</w:t>
            </w:r>
            <w:r w:rsidR="00C35B87" w:rsidRPr="00865792">
              <w:rPr>
                <w:sz w:val="18"/>
                <w:szCs w:val="18"/>
              </w:rPr>
              <w:t xml:space="preserve"> ($)</w:t>
            </w:r>
          </w:p>
        </w:tc>
        <w:tc>
          <w:tcPr>
            <w:tcW w:w="1812" w:type="dxa"/>
            <w:tcBorders>
              <w:left w:val="single" w:sz="4" w:space="0" w:color="9CACC4" w:themeColor="accent1" w:themeTint="66"/>
            </w:tcBorders>
            <w:shd w:val="clear" w:color="auto" w:fill="D2E1F9" w:themeFill="accent5" w:themeFillTint="66"/>
          </w:tcPr>
          <w:p w14:paraId="5AFA4638"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shd w:val="clear" w:color="auto" w:fill="D2E1F9" w:themeFill="accent5" w:themeFillTint="66"/>
          </w:tcPr>
          <w:p w14:paraId="4E64C01D"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right w:val="single" w:sz="4" w:space="0" w:color="9CACC4" w:themeColor="accent1" w:themeTint="66"/>
            </w:tcBorders>
            <w:shd w:val="clear" w:color="auto" w:fill="D2E1F9" w:themeFill="accent5" w:themeFillTint="66"/>
          </w:tcPr>
          <w:p w14:paraId="0A2AF659"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left w:val="single" w:sz="4" w:space="0" w:color="9CACC4" w:themeColor="accent1" w:themeTint="66"/>
              <w:bottom w:val="single" w:sz="4" w:space="0" w:color="5D779D" w:themeColor="accent3"/>
            </w:tcBorders>
            <w:shd w:val="clear" w:color="auto" w:fill="D2E1F9" w:themeFill="accent5" w:themeFillTint="66"/>
          </w:tcPr>
          <w:p w14:paraId="6ED1603C" w14:textId="4B26E2C0" w:rsidR="00E52D26" w:rsidRPr="00865792" w:rsidRDefault="0007629E" w:rsidP="00406CD0">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531,00</w:t>
            </w:r>
            <w:r w:rsidR="0006289A" w:rsidRPr="00865792">
              <w:rPr>
                <w:sz w:val="18"/>
                <w:szCs w:val="18"/>
              </w:rPr>
              <w:t>2</w:t>
            </w:r>
            <w:r w:rsidRPr="00865792">
              <w:rPr>
                <w:sz w:val="18"/>
                <w:szCs w:val="18"/>
              </w:rPr>
              <w:t>,</w:t>
            </w:r>
            <w:r w:rsidR="0006289A" w:rsidRPr="00865792">
              <w:rPr>
                <w:sz w:val="18"/>
                <w:szCs w:val="18"/>
              </w:rPr>
              <w:t>000</w:t>
            </w:r>
          </w:p>
        </w:tc>
      </w:tr>
      <w:tr w:rsidR="00524414" w:rsidRPr="00E66A6B" w14:paraId="761E7BCE" w14:textId="7C7D1647" w:rsidTr="004A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10B1A675" w14:textId="24ADDB4C" w:rsidR="00E52D26" w:rsidRPr="00865792" w:rsidRDefault="00E52D26" w:rsidP="007313B8">
            <w:pPr>
              <w:rPr>
                <w:b w:val="0"/>
                <w:sz w:val="18"/>
                <w:szCs w:val="18"/>
              </w:rPr>
            </w:pPr>
            <w:r w:rsidRPr="00446E69">
              <w:rPr>
                <w:b w:val="0"/>
                <w:sz w:val="18"/>
                <w:szCs w:val="18"/>
              </w:rPr>
              <w:t>Familiarisation costs</w:t>
            </w:r>
          </w:p>
        </w:tc>
        <w:tc>
          <w:tcPr>
            <w:tcW w:w="1812" w:type="dxa"/>
            <w:tcBorders>
              <w:left w:val="single" w:sz="4" w:space="0" w:color="9CACC4" w:themeColor="accent1" w:themeTint="66"/>
              <w:right w:val="single" w:sz="4" w:space="0" w:color="9CACC4" w:themeColor="accent1" w:themeTint="66"/>
            </w:tcBorders>
          </w:tcPr>
          <w:p w14:paraId="0A4B923A" w14:textId="3CC2C09C"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386,059,000</w:t>
            </w:r>
          </w:p>
        </w:tc>
        <w:tc>
          <w:tcPr>
            <w:tcW w:w="1812" w:type="dxa"/>
            <w:tcBorders>
              <w:left w:val="single" w:sz="4" w:space="0" w:color="9CACC4" w:themeColor="accent1" w:themeTint="66"/>
              <w:right w:val="single" w:sz="4" w:space="0" w:color="9CACC4" w:themeColor="accent1" w:themeTint="66"/>
            </w:tcBorders>
          </w:tcPr>
          <w:p w14:paraId="103565A2" w14:textId="1663FDE3"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27,417,000</w:t>
            </w:r>
          </w:p>
        </w:tc>
        <w:tc>
          <w:tcPr>
            <w:tcW w:w="1812" w:type="dxa"/>
            <w:tcBorders>
              <w:left w:val="single" w:sz="4" w:space="0" w:color="9CACC4" w:themeColor="accent1" w:themeTint="66"/>
              <w:right w:val="single" w:sz="4" w:space="0" w:color="9CACC4" w:themeColor="accent1" w:themeTint="66"/>
            </w:tcBorders>
          </w:tcPr>
          <w:p w14:paraId="6B88B1EB" w14:textId="150F9F72"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5,604,000</w:t>
            </w:r>
          </w:p>
        </w:tc>
        <w:tc>
          <w:tcPr>
            <w:tcW w:w="1812" w:type="dxa"/>
            <w:tcBorders>
              <w:left w:val="single" w:sz="4" w:space="0" w:color="9CACC4" w:themeColor="accent1" w:themeTint="66"/>
              <w:bottom w:val="nil"/>
            </w:tcBorders>
          </w:tcPr>
          <w:p w14:paraId="65CC8DEA" w14:textId="77777777" w:rsidR="00E52D26" w:rsidRPr="00865792" w:rsidRDefault="00E52D26" w:rsidP="007313B8">
            <w:pPr>
              <w:cnfStyle w:val="000000100000" w:firstRow="0" w:lastRow="0" w:firstColumn="0" w:lastColumn="0" w:oddVBand="0" w:evenVBand="0" w:oddHBand="1" w:evenHBand="0" w:firstRowFirstColumn="0" w:firstRowLastColumn="0" w:lastRowFirstColumn="0" w:lastRowLastColumn="0"/>
              <w:rPr>
                <w:sz w:val="18"/>
                <w:szCs w:val="18"/>
              </w:rPr>
            </w:pPr>
          </w:p>
        </w:tc>
      </w:tr>
      <w:tr w:rsidR="001E5BDD" w:rsidRPr="00E66A6B" w14:paraId="09B9CFBA" w14:textId="254B1148" w:rsidTr="004A4E29">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0A807C5C" w14:textId="136491D0" w:rsidR="00E52D26" w:rsidRPr="00865792" w:rsidRDefault="00E52D26" w:rsidP="007313B8">
            <w:pPr>
              <w:rPr>
                <w:b w:val="0"/>
                <w:sz w:val="18"/>
                <w:szCs w:val="18"/>
              </w:rPr>
            </w:pPr>
            <w:r w:rsidRPr="00446E69">
              <w:rPr>
                <w:b w:val="0"/>
                <w:sz w:val="18"/>
                <w:szCs w:val="18"/>
              </w:rPr>
              <w:t>Adjustment costs</w:t>
            </w:r>
          </w:p>
        </w:tc>
        <w:tc>
          <w:tcPr>
            <w:tcW w:w="1812" w:type="dxa"/>
            <w:tcBorders>
              <w:left w:val="single" w:sz="4" w:space="0" w:color="9CACC4" w:themeColor="accent1" w:themeTint="66"/>
              <w:right w:val="single" w:sz="4" w:space="0" w:color="9CACC4" w:themeColor="accent1" w:themeTint="66"/>
            </w:tcBorders>
          </w:tcPr>
          <w:p w14:paraId="7E2F85E6" w14:textId="143A9149"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102,949,000</w:t>
            </w:r>
          </w:p>
        </w:tc>
        <w:tc>
          <w:tcPr>
            <w:tcW w:w="1812" w:type="dxa"/>
            <w:tcBorders>
              <w:left w:val="single" w:sz="4" w:space="0" w:color="9CACC4" w:themeColor="accent1" w:themeTint="66"/>
              <w:right w:val="single" w:sz="4" w:space="0" w:color="9CACC4" w:themeColor="accent1" w:themeTint="66"/>
            </w:tcBorders>
          </w:tcPr>
          <w:p w14:paraId="0030B667" w14:textId="25E46441"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8,225,000</w:t>
            </w:r>
          </w:p>
        </w:tc>
        <w:tc>
          <w:tcPr>
            <w:tcW w:w="1812" w:type="dxa"/>
            <w:tcBorders>
              <w:left w:val="single" w:sz="4" w:space="0" w:color="9CACC4" w:themeColor="accent1" w:themeTint="66"/>
              <w:right w:val="single" w:sz="4" w:space="0" w:color="9CACC4" w:themeColor="accent1" w:themeTint="66"/>
            </w:tcBorders>
          </w:tcPr>
          <w:p w14:paraId="67D24BFB" w14:textId="45E6D712"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747,000</w:t>
            </w:r>
          </w:p>
        </w:tc>
        <w:tc>
          <w:tcPr>
            <w:tcW w:w="1812" w:type="dxa"/>
            <w:tcBorders>
              <w:top w:val="nil"/>
              <w:left w:val="single" w:sz="4" w:space="0" w:color="9CACC4" w:themeColor="accent1" w:themeTint="66"/>
              <w:bottom w:val="single" w:sz="4" w:space="0" w:color="5D779D" w:themeColor="accent3"/>
            </w:tcBorders>
          </w:tcPr>
          <w:p w14:paraId="4BE2C1EF" w14:textId="77777777"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p>
        </w:tc>
      </w:tr>
      <w:tr w:rsidR="009813A4" w:rsidRPr="00E66A6B" w14:paraId="77AF0C50" w14:textId="24248FD4" w:rsidTr="008657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3862D7E1" w14:textId="63B8B72C" w:rsidR="00E52D26" w:rsidRPr="00865792" w:rsidRDefault="00E52D26" w:rsidP="00406CD0">
            <w:pPr>
              <w:rPr>
                <w:sz w:val="18"/>
                <w:szCs w:val="18"/>
              </w:rPr>
            </w:pPr>
            <w:r w:rsidRPr="00865792">
              <w:rPr>
                <w:sz w:val="18"/>
                <w:szCs w:val="18"/>
              </w:rPr>
              <w:t>Purchase costs</w:t>
            </w:r>
            <w:r w:rsidR="00C35B87" w:rsidRPr="00865792">
              <w:rPr>
                <w:sz w:val="18"/>
                <w:szCs w:val="18"/>
              </w:rPr>
              <w:t xml:space="preserve"> ($)</w:t>
            </w:r>
          </w:p>
        </w:tc>
        <w:tc>
          <w:tcPr>
            <w:tcW w:w="1812" w:type="dxa"/>
            <w:tcBorders>
              <w:left w:val="single" w:sz="4" w:space="0" w:color="9CACC4" w:themeColor="accent1" w:themeTint="66"/>
            </w:tcBorders>
            <w:shd w:val="clear" w:color="auto" w:fill="D2E1F9" w:themeFill="accent5" w:themeFillTint="66"/>
          </w:tcPr>
          <w:p w14:paraId="4300AD40"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shd w:val="clear" w:color="auto" w:fill="D2E1F9" w:themeFill="accent5" w:themeFillTint="66"/>
          </w:tcPr>
          <w:p w14:paraId="0C035A47"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tcBorders>
              <w:right w:val="single" w:sz="4" w:space="0" w:color="9CACC4" w:themeColor="accent1" w:themeTint="66"/>
            </w:tcBorders>
            <w:shd w:val="clear" w:color="auto" w:fill="D2E1F9" w:themeFill="accent5" w:themeFillTint="66"/>
          </w:tcPr>
          <w:p w14:paraId="77AB0A17" w14:textId="77777777" w:rsidR="00E52D26" w:rsidRPr="00865792" w:rsidRDefault="00E52D26" w:rsidP="00406CD0">
            <w:pPr>
              <w:cnfStyle w:val="000000100000" w:firstRow="0" w:lastRow="0" w:firstColumn="0" w:lastColumn="0" w:oddVBand="0" w:evenVBand="0" w:oddHBand="1" w:evenHBand="0" w:firstRowFirstColumn="0" w:firstRowLastColumn="0" w:lastRowFirstColumn="0" w:lastRowLastColumn="0"/>
              <w:rPr>
                <w:sz w:val="18"/>
                <w:szCs w:val="18"/>
              </w:rPr>
            </w:pPr>
          </w:p>
        </w:tc>
        <w:tc>
          <w:tcPr>
            <w:tcW w:w="1812" w:type="dxa"/>
            <w:tcBorders>
              <w:left w:val="single" w:sz="4" w:space="0" w:color="9CACC4" w:themeColor="accent1" w:themeTint="66"/>
            </w:tcBorders>
            <w:shd w:val="clear" w:color="auto" w:fill="D2E1F9" w:themeFill="accent5" w:themeFillTint="66"/>
          </w:tcPr>
          <w:p w14:paraId="29AE6EB7" w14:textId="37F74048" w:rsidR="00E52D26" w:rsidRPr="00865792" w:rsidRDefault="00E1468B" w:rsidP="00406CD0">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407,175,</w:t>
            </w:r>
            <w:r w:rsidR="00CB025B" w:rsidRPr="00865792">
              <w:rPr>
                <w:sz w:val="18"/>
                <w:szCs w:val="18"/>
              </w:rPr>
              <w:t>000</w:t>
            </w:r>
          </w:p>
        </w:tc>
      </w:tr>
      <w:tr w:rsidR="003538D7" w:rsidRPr="00E66A6B" w14:paraId="73B96940" w14:textId="793B3DC7" w:rsidTr="00422C0F">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117851ED" w14:textId="2DA43C45" w:rsidR="00E52D26" w:rsidRPr="00865792" w:rsidRDefault="00E52D26" w:rsidP="007313B8">
            <w:pPr>
              <w:rPr>
                <w:b w:val="0"/>
                <w:sz w:val="18"/>
                <w:szCs w:val="18"/>
              </w:rPr>
            </w:pPr>
            <w:r w:rsidRPr="00446E69">
              <w:rPr>
                <w:b w:val="0"/>
                <w:sz w:val="18"/>
                <w:szCs w:val="18"/>
              </w:rPr>
              <w:t xml:space="preserve">Obtain external legal advice </w:t>
            </w:r>
          </w:p>
        </w:tc>
        <w:tc>
          <w:tcPr>
            <w:tcW w:w="1812" w:type="dxa"/>
            <w:tcBorders>
              <w:left w:val="single" w:sz="4" w:space="0" w:color="9CACC4" w:themeColor="accent1" w:themeTint="66"/>
              <w:right w:val="single" w:sz="4" w:space="0" w:color="9CACC4" w:themeColor="accent1" w:themeTint="66"/>
            </w:tcBorders>
          </w:tcPr>
          <w:p w14:paraId="4FEBA420" w14:textId="1AE2B5B9"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362,625,000</w:t>
            </w:r>
          </w:p>
        </w:tc>
        <w:tc>
          <w:tcPr>
            <w:tcW w:w="1812" w:type="dxa"/>
            <w:tcBorders>
              <w:left w:val="single" w:sz="4" w:space="0" w:color="9CACC4" w:themeColor="accent1" w:themeTint="66"/>
              <w:right w:val="single" w:sz="4" w:space="0" w:color="9CACC4" w:themeColor="accent1" w:themeTint="66"/>
            </w:tcBorders>
          </w:tcPr>
          <w:p w14:paraId="1E042DDA" w14:textId="0662412B"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38,629,000</w:t>
            </w:r>
          </w:p>
        </w:tc>
        <w:tc>
          <w:tcPr>
            <w:tcW w:w="1812" w:type="dxa"/>
            <w:tcBorders>
              <w:left w:val="single" w:sz="4" w:space="0" w:color="9CACC4" w:themeColor="accent1" w:themeTint="66"/>
              <w:right w:val="single" w:sz="4" w:space="0" w:color="9CACC4" w:themeColor="accent1" w:themeTint="66"/>
            </w:tcBorders>
          </w:tcPr>
          <w:p w14:paraId="215FCFF3" w14:textId="026AC2A0"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5,922,000</w:t>
            </w:r>
          </w:p>
        </w:tc>
        <w:tc>
          <w:tcPr>
            <w:tcW w:w="1812" w:type="dxa"/>
            <w:tcBorders>
              <w:left w:val="single" w:sz="4" w:space="0" w:color="9CACC4" w:themeColor="accent1" w:themeTint="66"/>
            </w:tcBorders>
          </w:tcPr>
          <w:p w14:paraId="70BDEF6E" w14:textId="77777777" w:rsidR="00E52D26" w:rsidRPr="00865792" w:rsidRDefault="00E52D26" w:rsidP="007313B8">
            <w:pPr>
              <w:cnfStyle w:val="000000000000" w:firstRow="0" w:lastRow="0" w:firstColumn="0" w:lastColumn="0" w:oddVBand="0" w:evenVBand="0" w:oddHBand="0" w:evenHBand="0" w:firstRowFirstColumn="0" w:firstRowLastColumn="0" w:lastRowFirstColumn="0" w:lastRowLastColumn="0"/>
              <w:rPr>
                <w:sz w:val="18"/>
                <w:szCs w:val="18"/>
              </w:rPr>
            </w:pPr>
          </w:p>
        </w:tc>
      </w:tr>
      <w:tr w:rsidR="009813A4" w:rsidRPr="00E66A6B" w14:paraId="79533A49" w14:textId="7D9CA015" w:rsidTr="0086579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shd w:val="clear" w:color="auto" w:fill="D2E1F9" w:themeFill="accent5" w:themeFillTint="66"/>
          </w:tcPr>
          <w:p w14:paraId="2B07C37F" w14:textId="7DBE2C67" w:rsidR="002E60FD" w:rsidRPr="00865792" w:rsidRDefault="002E60FD" w:rsidP="002E60FD">
            <w:pPr>
              <w:rPr>
                <w:b w:val="0"/>
                <w:sz w:val="18"/>
                <w:szCs w:val="18"/>
              </w:rPr>
            </w:pPr>
            <w:r w:rsidRPr="00865792">
              <w:rPr>
                <w:sz w:val="18"/>
                <w:szCs w:val="18"/>
              </w:rPr>
              <w:t>Total cost</w:t>
            </w:r>
            <w:r w:rsidR="00573118" w:rsidRPr="00865792">
              <w:rPr>
                <w:sz w:val="18"/>
                <w:szCs w:val="18"/>
              </w:rPr>
              <w:t xml:space="preserve"> (labour + purchase) ($)</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63E3B3BB" w14:textId="7D7ABA3C"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 xml:space="preserve">851,633,000 </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3172E98C" w14:textId="684783EF"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74,271,000</w:t>
            </w:r>
          </w:p>
        </w:tc>
        <w:tc>
          <w:tcPr>
            <w:tcW w:w="1812" w:type="dxa"/>
            <w:tcBorders>
              <w:left w:val="single" w:sz="4" w:space="0" w:color="9CACC4" w:themeColor="accent1" w:themeTint="66"/>
              <w:right w:val="single" w:sz="4" w:space="0" w:color="9CACC4" w:themeColor="accent1" w:themeTint="66"/>
            </w:tcBorders>
            <w:shd w:val="clear" w:color="auto" w:fill="D2E1F9" w:themeFill="accent5" w:themeFillTint="66"/>
          </w:tcPr>
          <w:p w14:paraId="207666D2" w14:textId="1A9D56A5"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12,273,000</w:t>
            </w:r>
          </w:p>
        </w:tc>
        <w:tc>
          <w:tcPr>
            <w:tcW w:w="1812" w:type="dxa"/>
            <w:tcBorders>
              <w:left w:val="single" w:sz="4" w:space="0" w:color="9CACC4" w:themeColor="accent1" w:themeTint="66"/>
            </w:tcBorders>
            <w:shd w:val="clear" w:color="auto" w:fill="D2E1F9" w:themeFill="accent5" w:themeFillTint="66"/>
          </w:tcPr>
          <w:p w14:paraId="7CB65244" w14:textId="5D1DEFC8" w:rsidR="002E60FD" w:rsidRPr="00865792" w:rsidRDefault="002E60FD" w:rsidP="002E60FD">
            <w:pPr>
              <w:cnfStyle w:val="000000100000" w:firstRow="0" w:lastRow="0" w:firstColumn="0" w:lastColumn="0" w:oddVBand="0" w:evenVBand="0" w:oddHBand="1" w:evenHBand="0" w:firstRowFirstColumn="0" w:firstRowLastColumn="0" w:lastRowFirstColumn="0" w:lastRowLastColumn="0"/>
              <w:rPr>
                <w:sz w:val="18"/>
                <w:szCs w:val="18"/>
              </w:rPr>
            </w:pPr>
            <w:r w:rsidRPr="00865792">
              <w:rPr>
                <w:sz w:val="18"/>
                <w:szCs w:val="18"/>
              </w:rPr>
              <w:t>938,177,000</w:t>
            </w:r>
          </w:p>
        </w:tc>
      </w:tr>
      <w:tr w:rsidR="00524414" w:rsidRPr="00E66A6B" w14:paraId="53248401" w14:textId="489F4C41" w:rsidTr="00827C8F">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9CACC4" w:themeColor="accent1" w:themeTint="66"/>
            </w:tcBorders>
          </w:tcPr>
          <w:p w14:paraId="08F004F9" w14:textId="11FB4348" w:rsidR="00E52D26" w:rsidRPr="00865792" w:rsidRDefault="0048379D" w:rsidP="00406CD0">
            <w:pPr>
              <w:rPr>
                <w:b w:val="0"/>
                <w:sz w:val="18"/>
                <w:szCs w:val="18"/>
              </w:rPr>
            </w:pPr>
            <w:r w:rsidRPr="00446E69">
              <w:rPr>
                <w:b w:val="0"/>
                <w:sz w:val="18"/>
                <w:szCs w:val="18"/>
              </w:rPr>
              <w:t>Annual</w:t>
            </w:r>
            <w:r w:rsidR="005B62D7" w:rsidRPr="00446E69">
              <w:rPr>
                <w:b w:val="0"/>
                <w:sz w:val="18"/>
                <w:szCs w:val="18"/>
              </w:rPr>
              <w:t xml:space="preserve"> total</w:t>
            </w:r>
            <w:r w:rsidRPr="00446E69">
              <w:rPr>
                <w:b w:val="0"/>
                <w:sz w:val="18"/>
                <w:szCs w:val="18"/>
              </w:rPr>
              <w:t xml:space="preserve"> cost (</w:t>
            </w:r>
            <w:r w:rsidR="00E177E7">
              <w:rPr>
                <w:b w:val="0"/>
                <w:sz w:val="18"/>
                <w:szCs w:val="18"/>
              </w:rPr>
              <w:t xml:space="preserve">over </w:t>
            </w:r>
            <w:r w:rsidRPr="00446E69">
              <w:rPr>
                <w:b w:val="0"/>
                <w:sz w:val="18"/>
                <w:szCs w:val="18"/>
              </w:rPr>
              <w:t>10 years)</w:t>
            </w:r>
            <w:r w:rsidR="005F1C40" w:rsidRPr="00446E69">
              <w:rPr>
                <w:b w:val="0"/>
                <w:sz w:val="18"/>
                <w:szCs w:val="18"/>
              </w:rPr>
              <w:t xml:space="preserve"> ($)</w:t>
            </w:r>
          </w:p>
        </w:tc>
        <w:tc>
          <w:tcPr>
            <w:tcW w:w="1812" w:type="dxa"/>
            <w:tcBorders>
              <w:left w:val="single" w:sz="4" w:space="0" w:color="9CACC4" w:themeColor="accent1" w:themeTint="66"/>
            </w:tcBorders>
          </w:tcPr>
          <w:p w14:paraId="7AFB8112"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Pr>
          <w:p w14:paraId="1D938DB9"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right w:val="single" w:sz="4" w:space="0" w:color="9CACC4" w:themeColor="accent1" w:themeTint="66"/>
            </w:tcBorders>
          </w:tcPr>
          <w:p w14:paraId="40B0A130" w14:textId="77777777" w:rsidR="00E52D26" w:rsidRPr="00865792" w:rsidRDefault="00E52D26" w:rsidP="00406CD0">
            <w:pPr>
              <w:cnfStyle w:val="000000000000" w:firstRow="0" w:lastRow="0" w:firstColumn="0" w:lastColumn="0" w:oddVBand="0" w:evenVBand="0" w:oddHBand="0" w:evenHBand="0" w:firstRowFirstColumn="0" w:firstRowLastColumn="0" w:lastRowFirstColumn="0" w:lastRowLastColumn="0"/>
              <w:rPr>
                <w:sz w:val="18"/>
                <w:szCs w:val="18"/>
              </w:rPr>
            </w:pPr>
          </w:p>
        </w:tc>
        <w:tc>
          <w:tcPr>
            <w:tcW w:w="1812" w:type="dxa"/>
            <w:tcBorders>
              <w:left w:val="single" w:sz="4" w:space="0" w:color="9CACC4" w:themeColor="accent1" w:themeTint="66"/>
            </w:tcBorders>
          </w:tcPr>
          <w:p w14:paraId="223D45D0" w14:textId="542B6E31" w:rsidR="00E52D26" w:rsidRPr="00865792" w:rsidRDefault="00CB128E" w:rsidP="00406CD0">
            <w:pPr>
              <w:cnfStyle w:val="000000000000" w:firstRow="0" w:lastRow="0" w:firstColumn="0" w:lastColumn="0" w:oddVBand="0" w:evenVBand="0" w:oddHBand="0" w:evenHBand="0" w:firstRowFirstColumn="0" w:firstRowLastColumn="0" w:lastRowFirstColumn="0" w:lastRowLastColumn="0"/>
              <w:rPr>
                <w:sz w:val="18"/>
                <w:szCs w:val="18"/>
              </w:rPr>
            </w:pPr>
            <w:r w:rsidRPr="00865792">
              <w:rPr>
                <w:sz w:val="18"/>
                <w:szCs w:val="18"/>
              </w:rPr>
              <w:t>93,818,000</w:t>
            </w:r>
          </w:p>
        </w:tc>
      </w:tr>
    </w:tbl>
    <w:p w14:paraId="074EEB56" w14:textId="0085F2D5" w:rsidR="00120C7D" w:rsidRPr="00A13CCA" w:rsidRDefault="00AB40C2" w:rsidP="00406CD0">
      <w:pPr>
        <w:rPr>
          <w:i/>
          <w:sz w:val="18"/>
          <w:szCs w:val="16"/>
        </w:rPr>
      </w:pPr>
      <w:r w:rsidRPr="00A13CCA">
        <w:rPr>
          <w:i/>
          <w:sz w:val="18"/>
          <w:szCs w:val="16"/>
        </w:rPr>
        <w:t>Note: sums may not add to totals due to rounding adjustments.</w:t>
      </w:r>
    </w:p>
    <w:p w14:paraId="71882281" w14:textId="77777777" w:rsidR="00406CD0" w:rsidRDefault="00406CD0" w:rsidP="00406CD0">
      <w:pPr>
        <w:pStyle w:val="Heading4"/>
      </w:pPr>
      <w:r w:rsidRPr="00350347">
        <w:t xml:space="preserve">Methodology and </w:t>
      </w:r>
      <w:r>
        <w:t>assumptions</w:t>
      </w:r>
    </w:p>
    <w:p w14:paraId="0EA0900C" w14:textId="77777777" w:rsidR="00406CD0" w:rsidRDefault="00406CD0" w:rsidP="00406CD0">
      <w:pPr>
        <w:pStyle w:val="Heading5"/>
      </w:pPr>
      <w:r>
        <w:t>Affected businesses</w:t>
      </w:r>
    </w:p>
    <w:p w14:paraId="40C2E677" w14:textId="1CC27F06" w:rsidR="00406CD0" w:rsidRPr="0032044C" w:rsidRDefault="00406CD0" w:rsidP="00406CD0">
      <w:pPr>
        <w:rPr>
          <w:b/>
          <w:bCs/>
        </w:rPr>
      </w:pPr>
      <w:r>
        <w:t xml:space="preserve">In terms of impacted cohort, Treasury has taken a high-level estimate, favouring a higher assumption of </w:t>
      </w:r>
      <w:r w:rsidR="000C7367">
        <w:t xml:space="preserve">the </w:t>
      </w:r>
      <w:r>
        <w:t>number of affected consumer-facing businesses</w:t>
      </w:r>
      <w:r w:rsidR="00FF7450">
        <w:t xml:space="preserve">; </w:t>
      </w:r>
      <w:r>
        <w:t xml:space="preserve">approximately </w:t>
      </w:r>
      <w:r w:rsidRPr="004A041F">
        <w:t>61.4</w:t>
      </w:r>
      <w:r>
        <w:t xml:space="preserve"> per cent of businesses based on industrial sector classification from the ABS Counts of Australian Businesses, including Entries and Exits dataset (data as </w:t>
      </w:r>
      <w:proofErr w:type="gramStart"/>
      <w:r>
        <w:t>at</w:t>
      </w:r>
      <w:proofErr w:type="gramEnd"/>
      <w:r>
        <w:t xml:space="preserve"> June 2024).</w:t>
      </w:r>
      <w:r>
        <w:rPr>
          <w:rStyle w:val="FootnoteReference"/>
        </w:rPr>
        <w:footnoteReference w:id="158"/>
      </w:r>
    </w:p>
    <w:p w14:paraId="10102F5C" w14:textId="49E69869" w:rsidR="00406CD0" w:rsidRDefault="00406CD0" w:rsidP="00406CD0">
      <w:pPr>
        <w:pStyle w:val="Heading5"/>
      </w:pPr>
      <w:r>
        <w:t>Cost estima</w:t>
      </w:r>
      <w:r w:rsidR="000F061A">
        <w:t>tes</w:t>
      </w:r>
    </w:p>
    <w:p w14:paraId="57F5A4E0" w14:textId="4F278539" w:rsidR="00406CD0" w:rsidRDefault="00406CD0" w:rsidP="00406CD0">
      <w:r w:rsidRPr="00196124">
        <w:rPr>
          <w:i/>
        </w:rPr>
        <w:t>Labour costs:</w:t>
      </w:r>
      <w:r>
        <w:t xml:space="preserve"> Affected businesses are anticipated to have an initial cost incurred to familiarise with the new requirements, and potentially seeking advice and internal auditing by those businesses offering </w:t>
      </w:r>
      <w:r>
        <w:lastRenderedPageBreak/>
        <w:t>more complex service offerings or with more elaborate organisational considerations. Treasury estimates this familiarisation exercise would take:</w:t>
      </w:r>
    </w:p>
    <w:p w14:paraId="05C31805" w14:textId="77777777" w:rsidR="00406CD0" w:rsidRPr="004C5C4D" w:rsidRDefault="00406CD0" w:rsidP="00406CD0">
      <w:pPr>
        <w:pStyle w:val="Bullet"/>
        <w:spacing w:line="240" w:lineRule="auto"/>
        <w:ind w:left="522" w:hanging="522"/>
      </w:pPr>
      <w:r w:rsidRPr="004C5C4D">
        <w:t>Small businesses: 3 hours of work for 1 person</w:t>
      </w:r>
    </w:p>
    <w:p w14:paraId="287D27D9" w14:textId="6B75FCD0" w:rsidR="00406CD0" w:rsidRPr="004C5C4D" w:rsidRDefault="00406CD0" w:rsidP="00406CD0">
      <w:pPr>
        <w:pStyle w:val="Bullet"/>
        <w:spacing w:line="240" w:lineRule="auto"/>
        <w:ind w:left="522" w:hanging="522"/>
      </w:pPr>
      <w:r w:rsidRPr="004C5C4D">
        <w:t xml:space="preserve">Medium businesses: 4 hours of work </w:t>
      </w:r>
      <w:r w:rsidR="00242671">
        <w:t>each</w:t>
      </w:r>
      <w:r w:rsidRPr="004C5C4D">
        <w:t xml:space="preserve"> for 2 people </w:t>
      </w:r>
    </w:p>
    <w:p w14:paraId="646E73DD" w14:textId="002B378E" w:rsidR="00406CD0" w:rsidRPr="004C5C4D" w:rsidRDefault="00406CD0" w:rsidP="00406CD0">
      <w:pPr>
        <w:pStyle w:val="Bullet"/>
        <w:spacing w:line="240" w:lineRule="auto"/>
        <w:ind w:left="522" w:hanging="522"/>
        <w:rPr>
          <w:szCs w:val="22"/>
        </w:rPr>
      </w:pPr>
      <w:r w:rsidRPr="4D74D57C">
        <w:t>Large businesses: 6 hours</w:t>
      </w:r>
      <w:r>
        <w:t xml:space="preserve"> </w:t>
      </w:r>
      <w:r w:rsidR="00BC419E">
        <w:t>of work</w:t>
      </w:r>
      <w:r w:rsidR="00BC419E" w:rsidRPr="4D74D57C">
        <w:t xml:space="preserve"> </w:t>
      </w:r>
      <w:r w:rsidR="00762159">
        <w:t>each</w:t>
      </w:r>
      <w:r w:rsidR="00BC419E" w:rsidRPr="4D74D57C">
        <w:t xml:space="preserve"> </w:t>
      </w:r>
      <w:r w:rsidRPr="4D74D57C">
        <w:t>for 4 people</w:t>
      </w:r>
    </w:p>
    <w:p w14:paraId="7C5FE2C9" w14:textId="5D967E20" w:rsidR="00406CD0" w:rsidRPr="004C5C4D" w:rsidRDefault="00406CD0" w:rsidP="00406CD0">
      <w:pPr>
        <w:rPr>
          <w:szCs w:val="22"/>
        </w:rPr>
      </w:pPr>
      <w:r w:rsidRPr="4D74D57C">
        <w:t>Treasury estimates that 10</w:t>
      </w:r>
      <w:r w:rsidR="004A1336" w:rsidRPr="4D74D57C">
        <w:t xml:space="preserve"> perce</w:t>
      </w:r>
      <w:r w:rsidR="00523FF6" w:rsidRPr="4D74D57C">
        <w:t>nt</w:t>
      </w:r>
      <w:r w:rsidRPr="4D74D57C">
        <w:t xml:space="preserve"> of businesses</w:t>
      </w:r>
      <w:r w:rsidRPr="004C5C4D">
        <w:rPr>
          <w:rStyle w:val="FootnoteReference"/>
          <w:sz w:val="22"/>
          <w:szCs w:val="22"/>
        </w:rPr>
        <w:footnoteReference w:id="159"/>
      </w:r>
      <w:r w:rsidRPr="4D74D57C">
        <w:t xml:space="preserve"> will also incur adjustment costs from having to redesign processes or websites to ensure compliance. Adjustment costs are based on businesses spending the following hours on adjustment practices:</w:t>
      </w:r>
    </w:p>
    <w:p w14:paraId="058C42BE" w14:textId="77777777" w:rsidR="00406CD0" w:rsidRPr="004C5C4D" w:rsidRDefault="00406CD0" w:rsidP="00406CD0">
      <w:pPr>
        <w:pStyle w:val="Bullet"/>
        <w:spacing w:line="240" w:lineRule="auto"/>
        <w:ind w:left="522" w:hanging="522"/>
        <w:rPr>
          <w:szCs w:val="22"/>
        </w:rPr>
      </w:pPr>
      <w:r w:rsidRPr="004C5C4D">
        <w:rPr>
          <w:szCs w:val="22"/>
        </w:rPr>
        <w:t>Small businesses: 8 hours of work for 1 person</w:t>
      </w:r>
    </w:p>
    <w:p w14:paraId="70E9211A" w14:textId="3993409F" w:rsidR="00406CD0" w:rsidRPr="004C5C4D" w:rsidRDefault="00406CD0" w:rsidP="00406CD0">
      <w:pPr>
        <w:pStyle w:val="Bullet"/>
        <w:spacing w:line="240" w:lineRule="auto"/>
        <w:ind w:left="522" w:hanging="522"/>
        <w:rPr>
          <w:szCs w:val="22"/>
        </w:rPr>
      </w:pPr>
      <w:r w:rsidRPr="004C5C4D">
        <w:rPr>
          <w:szCs w:val="22"/>
        </w:rPr>
        <w:t xml:space="preserve">Medium businesses: 8 hours of work </w:t>
      </w:r>
      <w:r w:rsidR="00242671">
        <w:rPr>
          <w:szCs w:val="22"/>
        </w:rPr>
        <w:t>each</w:t>
      </w:r>
      <w:r w:rsidRPr="004C5C4D">
        <w:rPr>
          <w:szCs w:val="22"/>
        </w:rPr>
        <w:t xml:space="preserve"> for 3 people</w:t>
      </w:r>
    </w:p>
    <w:p w14:paraId="3AA7D77C" w14:textId="6EF2D8EF" w:rsidR="00406CD0" w:rsidRPr="004C5C4D" w:rsidRDefault="00406CD0" w:rsidP="00406CD0">
      <w:pPr>
        <w:pStyle w:val="Bullet"/>
        <w:spacing w:line="240" w:lineRule="auto"/>
        <w:ind w:left="522" w:hanging="522"/>
        <w:rPr>
          <w:szCs w:val="22"/>
        </w:rPr>
      </w:pPr>
      <w:r w:rsidRPr="004C5C4D">
        <w:rPr>
          <w:szCs w:val="22"/>
        </w:rPr>
        <w:t xml:space="preserve">Large businesses: 8 hours of work </w:t>
      </w:r>
      <w:r w:rsidR="00242671">
        <w:rPr>
          <w:szCs w:val="22"/>
        </w:rPr>
        <w:t>each</w:t>
      </w:r>
      <w:r w:rsidRPr="004C5C4D">
        <w:rPr>
          <w:szCs w:val="22"/>
        </w:rPr>
        <w:t xml:space="preserve"> for 4 people</w:t>
      </w:r>
    </w:p>
    <w:p w14:paraId="54027F65" w14:textId="77777777" w:rsidR="00406CD0" w:rsidRPr="004C5C4D" w:rsidRDefault="00406CD0" w:rsidP="00406CD0">
      <w:pPr>
        <w:rPr>
          <w:szCs w:val="22"/>
        </w:rPr>
      </w:pPr>
      <w:r w:rsidRPr="4D74D57C">
        <w:t>Treasury has used a $85.17 hourly rate, the default labour cost provided by the Office of Impact Analysis, for all labour costs in Annexure B.</w:t>
      </w:r>
      <w:r w:rsidRPr="004C5C4D">
        <w:rPr>
          <w:rStyle w:val="FootnoteReference"/>
          <w:sz w:val="22"/>
          <w:szCs w:val="22"/>
        </w:rPr>
        <w:footnoteReference w:id="160"/>
      </w:r>
    </w:p>
    <w:p w14:paraId="2C7A7E6A" w14:textId="5D199328" w:rsidR="00406CD0" w:rsidRDefault="00406CD0" w:rsidP="00406CD0">
      <w:r w:rsidRPr="76621889">
        <w:rPr>
          <w:i/>
          <w:iCs/>
        </w:rPr>
        <w:t>Purchase costs:</w:t>
      </w:r>
      <w:r w:rsidRPr="4D74D57C">
        <w:t xml:space="preserve"> Treasury assumes that 24 per cent of businesses</w:t>
      </w:r>
      <w:r w:rsidRPr="00DC5EB9">
        <w:t xml:space="preserve"> </w:t>
      </w:r>
      <w:r>
        <w:t>will also</w:t>
      </w:r>
      <w:r w:rsidRPr="00DC5EB9">
        <w:t xml:space="preserve"> seek external legal advic</w:t>
      </w:r>
      <w:r>
        <w:t>e in relation to the operation of the general prohibition.</w:t>
      </w:r>
      <w:r>
        <w:rPr>
          <w:rStyle w:val="FootnoteReference"/>
        </w:rPr>
        <w:footnoteReference w:id="161"/>
      </w:r>
      <w:r>
        <w:t xml:space="preserve"> Treasury estimates the hours of advice required will vary according to business size:</w:t>
      </w:r>
      <w:r w:rsidRPr="00DC5EB9">
        <w:t xml:space="preserve"> </w:t>
      </w:r>
    </w:p>
    <w:p w14:paraId="725068B8" w14:textId="77777777" w:rsidR="00406CD0" w:rsidRPr="004C5C4D" w:rsidRDefault="00406CD0" w:rsidP="00406CD0">
      <w:pPr>
        <w:pStyle w:val="Bullet"/>
        <w:spacing w:line="240" w:lineRule="auto"/>
        <w:ind w:left="522" w:hanging="522"/>
        <w:rPr>
          <w:szCs w:val="22"/>
        </w:rPr>
      </w:pPr>
      <w:r w:rsidRPr="004C5C4D">
        <w:t xml:space="preserve">Small businesses: 2 hours of work for 1 person </w:t>
      </w:r>
    </w:p>
    <w:p w14:paraId="11CE4E3D" w14:textId="543E2853" w:rsidR="00406CD0" w:rsidRPr="004C5C4D" w:rsidRDefault="00406CD0" w:rsidP="00406CD0">
      <w:pPr>
        <w:pStyle w:val="Bullet"/>
        <w:spacing w:line="240" w:lineRule="auto"/>
        <w:ind w:left="522" w:hanging="522"/>
        <w:rPr>
          <w:szCs w:val="22"/>
        </w:rPr>
      </w:pPr>
      <w:r w:rsidRPr="004C5C4D">
        <w:t xml:space="preserve">Medium businesses: 4 hours of work </w:t>
      </w:r>
      <w:r w:rsidR="00182F95">
        <w:t>each</w:t>
      </w:r>
      <w:r w:rsidRPr="004C5C4D">
        <w:t xml:space="preserve"> for 2 people </w:t>
      </w:r>
    </w:p>
    <w:p w14:paraId="329C2326" w14:textId="796C2249" w:rsidR="00406CD0" w:rsidRPr="004C5C4D" w:rsidRDefault="00406CD0" w:rsidP="00406CD0">
      <w:pPr>
        <w:pStyle w:val="Bullet"/>
        <w:spacing w:line="240" w:lineRule="auto"/>
        <w:ind w:left="522" w:hanging="522"/>
        <w:rPr>
          <w:szCs w:val="22"/>
        </w:rPr>
      </w:pPr>
      <w:r w:rsidRPr="004C5C4D">
        <w:t xml:space="preserve">Large businesses: 6 hours of work </w:t>
      </w:r>
      <w:r w:rsidR="00182F95">
        <w:t>each</w:t>
      </w:r>
      <w:r w:rsidRPr="004C5C4D">
        <w:t xml:space="preserve"> for 3 people</w:t>
      </w:r>
    </w:p>
    <w:p w14:paraId="2AFD29FE" w14:textId="133AF8CC" w:rsidR="00406CD0" w:rsidRDefault="00406CD0" w:rsidP="00406CD0">
      <w:pPr>
        <w:pStyle w:val="Bullet"/>
        <w:numPr>
          <w:ilvl w:val="0"/>
          <w:numId w:val="0"/>
        </w:numPr>
        <w:spacing w:line="240" w:lineRule="auto"/>
      </w:pPr>
      <w:r>
        <w:t>Treasury estimate</w:t>
      </w:r>
      <w:r w:rsidR="00D25FCA">
        <w:t>s</w:t>
      </w:r>
      <w:r>
        <w:t xml:space="preserve"> a $500 hourly rate for legal costs to calculate all purchase costs in </w:t>
      </w:r>
      <w:r w:rsidR="00B97CAC">
        <w:t xml:space="preserve">Appendix </w:t>
      </w:r>
      <w:r>
        <w:t xml:space="preserve">B. </w:t>
      </w:r>
    </w:p>
    <w:p w14:paraId="4D40D029" w14:textId="77777777" w:rsidR="00406CD0" w:rsidRDefault="00406CD0" w:rsidP="00406CD0">
      <w:pPr>
        <w:pStyle w:val="Heading2"/>
      </w:pPr>
      <w:bookmarkStart w:id="90" w:name="_Toc202971545"/>
      <w:bookmarkStart w:id="91" w:name="_Toc206422548"/>
      <w:r>
        <w:t>Option 4 – Combined Specific and General Prohibition</w:t>
      </w:r>
      <w:bookmarkEnd w:id="90"/>
      <w:bookmarkEnd w:id="91"/>
    </w:p>
    <w:p w14:paraId="4A7E9B65" w14:textId="46F766FE" w:rsidR="00406CD0" w:rsidRPr="00B25CE3" w:rsidRDefault="00406CD0" w:rsidP="00406CD0">
      <w:r>
        <w:t xml:space="preserve">The total Regulatory Burden Estimate comprises the costs noted for Option 3, with the addition of costs of </w:t>
      </w:r>
      <w:r w:rsidR="05BB73BB">
        <w:t xml:space="preserve">the subscription and drip pricing </w:t>
      </w:r>
      <w:r>
        <w:t>proposals</w:t>
      </w:r>
      <w:r w:rsidR="33DD1315">
        <w:t>.</w:t>
      </w:r>
    </w:p>
    <w:p w14:paraId="761C5E1C" w14:textId="51B52A2D" w:rsidR="00406CD0" w:rsidRDefault="00406CD0" w:rsidP="00406CD0">
      <w:pPr>
        <w:pStyle w:val="Heading3"/>
      </w:pPr>
      <w:bookmarkStart w:id="92" w:name="_Toc202971546"/>
      <w:bookmarkStart w:id="93" w:name="_Toc206422549"/>
      <w:r w:rsidRPr="00A32BB8">
        <w:t xml:space="preserve">Subscription </w:t>
      </w:r>
      <w:r w:rsidR="006B24D1">
        <w:t>P</w:t>
      </w:r>
      <w:r w:rsidRPr="00A32BB8">
        <w:t>roposal</w:t>
      </w:r>
      <w:bookmarkEnd w:id="92"/>
      <w:bookmarkEnd w:id="93"/>
    </w:p>
    <w:p w14:paraId="39535202" w14:textId="77777777" w:rsidR="00406CD0" w:rsidRDefault="00406CD0" w:rsidP="00406CD0">
      <w:pPr>
        <w:pStyle w:val="Heading4"/>
        <w:spacing w:before="120"/>
      </w:pPr>
      <w:r w:rsidRPr="001125C5">
        <w:t>Annual spend by consumers on unwanted subscriptions</w:t>
      </w:r>
    </w:p>
    <w:p w14:paraId="4A95CFB0" w14:textId="4BFB8406" w:rsidR="007F7664" w:rsidRDefault="00406CD0" w:rsidP="00406CD0">
      <w:r w:rsidRPr="0025047F">
        <w:t>This assessment adopts the same approach and formula used to calculate annual spending on unwanted subscriptions in the regulation impact assessment conducted by the Department of Business and Trade (UK) in 2023 on the Digital Markets Competition and Cons</w:t>
      </w:r>
      <w:r w:rsidR="00DA7F1E">
        <w:t>u</w:t>
      </w:r>
      <w:r w:rsidRPr="0025047F">
        <w:t xml:space="preserve">mers Bill: Subscriptions </w:t>
      </w:r>
      <w:r w:rsidRPr="0025047F">
        <w:lastRenderedPageBreak/>
        <w:t>Measures (the UK IA).</w:t>
      </w:r>
      <w:r w:rsidRPr="76621889">
        <w:rPr>
          <w:rStyle w:val="FootnoteReference"/>
          <w:rFonts w:eastAsiaTheme="majorEastAsia"/>
          <w:sz w:val="20"/>
        </w:rPr>
        <w:footnoteReference w:id="162"/>
      </w:r>
      <w:r w:rsidR="0002076C">
        <w:t xml:space="preserve"> </w:t>
      </w:r>
      <w:r>
        <w:t>T</w:t>
      </w:r>
      <w:r w:rsidRPr="00FD701F">
        <w:t xml:space="preserve">he subscription reform proposal broadly aligns with the proposed </w:t>
      </w:r>
      <w:r>
        <w:t>subscription</w:t>
      </w:r>
      <w:r w:rsidRPr="00FD701F">
        <w:t xml:space="preserve"> reforms assessed in the UK IA</w:t>
      </w:r>
      <w:r w:rsidR="001B7780">
        <w:t>, as</w:t>
      </w:r>
      <w:r>
        <w:t xml:space="preserve"> </w:t>
      </w:r>
      <w:r w:rsidR="000A64BC">
        <w:t>both</w:t>
      </w:r>
      <w:r>
        <w:t xml:space="preserve"> proposals include information disclosure, notification and easy cancellation requirements.</w:t>
      </w:r>
      <w:r w:rsidRPr="00FD701F">
        <w:t xml:space="preserve"> </w:t>
      </w:r>
    </w:p>
    <w:p w14:paraId="4C7DD7B0" w14:textId="683817BF" w:rsidR="00406CD0" w:rsidRDefault="00406CD0" w:rsidP="00406CD0">
      <w:r w:rsidRPr="00FD701F">
        <w:t>The FTC’s</w:t>
      </w:r>
      <w:r>
        <w:t xml:space="preserve"> 2024</w:t>
      </w:r>
      <w:r w:rsidRPr="00FD701F">
        <w:t xml:space="preserve"> </w:t>
      </w:r>
      <w:r>
        <w:t>Final Rule Concerning Subscriptions and Other Negative Option Plans</w:t>
      </w:r>
      <w:r>
        <w:rPr>
          <w:rStyle w:val="FootnoteReference"/>
        </w:rPr>
        <w:footnoteReference w:id="163"/>
      </w:r>
      <w:r w:rsidRPr="00FD701F">
        <w:t xml:space="preserve"> </w:t>
      </w:r>
      <w:r w:rsidR="004F6CD1">
        <w:t>which</w:t>
      </w:r>
      <w:r w:rsidR="00D2444E">
        <w:t xml:space="preserve"> </w:t>
      </w:r>
      <w:r w:rsidR="00262952">
        <w:t>sought to</w:t>
      </w:r>
      <w:r w:rsidR="00D2444E">
        <w:t xml:space="preserve"> </w:t>
      </w:r>
      <w:r w:rsidR="007603CA">
        <w:t>impose</w:t>
      </w:r>
      <w:r>
        <w:t xml:space="preserve"> disclosure</w:t>
      </w:r>
      <w:r w:rsidRPr="00FD701F">
        <w:t xml:space="preserve"> requirement</w:t>
      </w:r>
      <w:r w:rsidR="007F7664">
        <w:t>s</w:t>
      </w:r>
      <w:r w:rsidRPr="00FD701F">
        <w:t xml:space="preserve"> and </w:t>
      </w:r>
      <w:r w:rsidR="007F7664">
        <w:t>a</w:t>
      </w:r>
      <w:r w:rsidRPr="00FD701F">
        <w:t xml:space="preserve"> click-to cancel requirement</w:t>
      </w:r>
      <w:r>
        <w:t xml:space="preserve"> for negative option marketing</w:t>
      </w:r>
      <w:r w:rsidR="007603CA">
        <w:t>,</w:t>
      </w:r>
      <w:r>
        <w:rPr>
          <w:rStyle w:val="FootnoteReference"/>
        </w:rPr>
        <w:footnoteReference w:id="164"/>
      </w:r>
      <w:r w:rsidR="00DA7F1E">
        <w:t xml:space="preserve"> </w:t>
      </w:r>
      <w:r w:rsidR="008359A2">
        <w:t xml:space="preserve">also </w:t>
      </w:r>
      <w:r w:rsidR="00986C81">
        <w:t>contained</w:t>
      </w:r>
      <w:r w:rsidR="008359A2">
        <w:t xml:space="preserve"> regulatory impact analysis.</w:t>
      </w:r>
      <w:r w:rsidR="00444370">
        <w:rPr>
          <w:rStyle w:val="FootnoteReference"/>
        </w:rPr>
        <w:footnoteReference w:id="165"/>
      </w:r>
      <w:r w:rsidR="00986C81">
        <w:t xml:space="preserve"> </w:t>
      </w:r>
      <w:r>
        <w:t xml:space="preserve">Treasury </w:t>
      </w:r>
      <w:r w:rsidR="00D24EE2">
        <w:t xml:space="preserve">sought </w:t>
      </w:r>
      <w:r>
        <w:t>quantitative information on the likely costs and benefits associated with the subscription reform proposal through consultation</w:t>
      </w:r>
      <w:r w:rsidR="00D24EE2">
        <w:t xml:space="preserve">, but </w:t>
      </w:r>
      <w:r w:rsidR="00302A6A">
        <w:t xml:space="preserve">respondents did not provide </w:t>
      </w:r>
      <w:r w:rsidR="00FF51A6">
        <w:t>many estimates or evidence</w:t>
      </w:r>
      <w:r>
        <w:t xml:space="preserve">. </w:t>
      </w:r>
      <w:r w:rsidR="00D348D8" w:rsidRPr="00DA5449">
        <w:t>Where</w:t>
      </w:r>
      <w:r w:rsidR="0085680B">
        <w:t xml:space="preserve"> </w:t>
      </w:r>
      <w:r w:rsidR="00D348D8">
        <w:t>Treasury</w:t>
      </w:r>
      <w:r w:rsidR="00D348D8" w:rsidRPr="00DA5449">
        <w:t xml:space="preserve"> did not have access to Australian data, Treasury applied some of the findings of these regulatory impact assessments to Australian data on businesses and consumers to calculate estimated costs and benefits</w:t>
      </w:r>
      <w:r w:rsidR="00D348D8" w:rsidRPr="00D348D8">
        <w:rPr>
          <w:i/>
          <w:iCs/>
        </w:rPr>
        <w:t>.</w:t>
      </w:r>
    </w:p>
    <w:p w14:paraId="12C86749" w14:textId="2492A153" w:rsidR="00406CD0" w:rsidRPr="005D67D9" w:rsidRDefault="00A226DD" w:rsidP="00406CD0">
      <w:pPr>
        <w:rPr>
          <w:sz w:val="24"/>
          <w:szCs w:val="24"/>
        </w:rPr>
      </w:pPr>
      <w:r w:rsidRPr="005D67D9">
        <w:rPr>
          <w:sz w:val="24"/>
          <w:szCs w:val="24"/>
        </w:rPr>
        <w:t xml:space="preserve">Table 4: </w:t>
      </w:r>
      <w:r w:rsidR="008B0989" w:rsidRPr="005D67D9">
        <w:rPr>
          <w:sz w:val="24"/>
          <w:szCs w:val="24"/>
        </w:rPr>
        <w:t>Estimated a</w:t>
      </w:r>
      <w:r w:rsidR="00125116" w:rsidRPr="005D67D9">
        <w:rPr>
          <w:sz w:val="24"/>
          <w:szCs w:val="24"/>
        </w:rPr>
        <w:t>nnual spend by Australian consumers on unwanted subscriptions</w:t>
      </w:r>
    </w:p>
    <w:tbl>
      <w:tblPr>
        <w:tblStyle w:val="ListTable3-Accent3"/>
        <w:tblpPr w:leftFromText="180" w:rightFromText="180" w:vertAnchor="text" w:tblpY="1"/>
        <w:tblW w:w="4769" w:type="pct"/>
        <w:tblBorders>
          <w:insideH w:val="single" w:sz="4" w:space="0" w:color="5D779D" w:themeColor="accent3"/>
          <w:insideV w:val="single" w:sz="4" w:space="0" w:color="5D779D" w:themeColor="accent3"/>
        </w:tblBorders>
        <w:tblLook w:val="05A0" w:firstRow="1" w:lastRow="0" w:firstColumn="1" w:lastColumn="1" w:noHBand="0" w:noVBand="1"/>
      </w:tblPr>
      <w:tblGrid>
        <w:gridCol w:w="2446"/>
        <w:gridCol w:w="1918"/>
        <w:gridCol w:w="1918"/>
        <w:gridCol w:w="2359"/>
      </w:tblGrid>
      <w:tr w:rsidR="00406CD0" w14:paraId="60012320" w14:textId="77777777" w:rsidTr="0096272E">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415" w:type="pct"/>
            <w:shd w:val="clear" w:color="auto" w:fill="002060"/>
          </w:tcPr>
          <w:p w14:paraId="2D2F2806" w14:textId="77777777" w:rsidR="00406CD0" w:rsidRPr="001C3FCA" w:rsidRDefault="00406CD0">
            <w:pPr>
              <w:pStyle w:val="TableTextLeft"/>
              <w:rPr>
                <w:color w:val="FFFFFF" w:themeColor="background1"/>
              </w:rPr>
            </w:pPr>
          </w:p>
        </w:tc>
        <w:tc>
          <w:tcPr>
            <w:tcW w:w="1110" w:type="pct"/>
            <w:tcBorders>
              <w:left w:val="nil"/>
              <w:right w:val="nil"/>
            </w:tcBorders>
            <w:shd w:val="clear" w:color="auto" w:fill="002060"/>
          </w:tcPr>
          <w:p w14:paraId="051F331E" w14:textId="77777777" w:rsidR="00406CD0" w:rsidRPr="001C3FCA" w:rsidRDefault="00406CD0">
            <w:pPr>
              <w:pStyle w:val="TableTextLeft"/>
              <w:cnfStyle w:val="100000000000" w:firstRow="1" w:lastRow="0" w:firstColumn="0" w:lastColumn="0" w:oddVBand="0" w:evenVBand="0" w:oddHBand="0" w:evenHBand="0" w:firstRowFirstColumn="0" w:firstRowLastColumn="0" w:lastRowFirstColumn="0" w:lastRowLastColumn="0"/>
              <w:rPr>
                <w:color w:val="FFFFFF" w:themeColor="background1"/>
              </w:rPr>
            </w:pPr>
            <w:r w:rsidRPr="001C3FCA">
              <w:rPr>
                <w:color w:val="FFFFFF" w:themeColor="background1"/>
              </w:rPr>
              <w:t>Lower bound</w:t>
            </w:r>
            <w:r w:rsidRPr="001C3FCA">
              <w:rPr>
                <w:rStyle w:val="FootnoteReference"/>
                <w:rFonts w:eastAsiaTheme="majorEastAsia"/>
                <w:color w:val="FFFFFF" w:themeColor="background1"/>
              </w:rPr>
              <w:footnoteReference w:id="166"/>
            </w:r>
          </w:p>
        </w:tc>
        <w:tc>
          <w:tcPr>
            <w:tcW w:w="1110" w:type="pct"/>
            <w:tcBorders>
              <w:left w:val="nil"/>
              <w:right w:val="nil"/>
            </w:tcBorders>
            <w:shd w:val="clear" w:color="auto" w:fill="002060"/>
          </w:tcPr>
          <w:p w14:paraId="18F8BD93" w14:textId="77777777" w:rsidR="00406CD0" w:rsidRPr="001C3FCA" w:rsidRDefault="00406CD0">
            <w:pPr>
              <w:pStyle w:val="TableTextLeft"/>
              <w:cnfStyle w:val="100000000000" w:firstRow="1" w:lastRow="0" w:firstColumn="0" w:lastColumn="0" w:oddVBand="0" w:evenVBand="0" w:oddHBand="0" w:evenHBand="0" w:firstRowFirstColumn="0" w:firstRowLastColumn="0" w:lastRowFirstColumn="0" w:lastRowLastColumn="0"/>
              <w:rPr>
                <w:color w:val="FFFFFF" w:themeColor="background1"/>
              </w:rPr>
            </w:pPr>
            <w:r w:rsidRPr="001C3FCA">
              <w:rPr>
                <w:color w:val="FFFFFF" w:themeColor="background1"/>
              </w:rPr>
              <w:t>Central estimate</w:t>
            </w:r>
          </w:p>
        </w:tc>
        <w:tc>
          <w:tcPr>
            <w:cnfStyle w:val="000100001000" w:firstRow="0" w:lastRow="0" w:firstColumn="0" w:lastColumn="1" w:oddVBand="0" w:evenVBand="0" w:oddHBand="0" w:evenHBand="0" w:firstRowFirstColumn="0" w:firstRowLastColumn="1" w:lastRowFirstColumn="0" w:lastRowLastColumn="0"/>
            <w:tcW w:w="1366" w:type="pct"/>
            <w:shd w:val="clear" w:color="auto" w:fill="002060"/>
          </w:tcPr>
          <w:p w14:paraId="198D624F" w14:textId="77777777" w:rsidR="00406CD0" w:rsidRPr="001C3FCA" w:rsidRDefault="00406CD0">
            <w:pPr>
              <w:pStyle w:val="TableTextLeft"/>
              <w:rPr>
                <w:color w:val="FFFFFF" w:themeColor="background1"/>
              </w:rPr>
            </w:pPr>
            <w:r w:rsidRPr="001C3FCA">
              <w:rPr>
                <w:color w:val="FFFFFF" w:themeColor="background1"/>
              </w:rPr>
              <w:t>Upper bound</w:t>
            </w:r>
          </w:p>
        </w:tc>
      </w:tr>
      <w:tr w:rsidR="00DD36D6" w14:paraId="22F9D5FA"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26AD65D5" w14:textId="21AC20E4" w:rsidR="00406CD0" w:rsidRPr="00577A14" w:rsidRDefault="00406CD0">
            <w:pPr>
              <w:pStyle w:val="TableTextLeft"/>
            </w:pPr>
            <w:r w:rsidRPr="00577A14">
              <w:t xml:space="preserve">Population </w:t>
            </w:r>
            <w:r w:rsidR="00D30B36">
              <w:t>(</w:t>
            </w:r>
            <w:r w:rsidRPr="00577A14">
              <w:t>16 and over</w:t>
            </w:r>
            <w:r w:rsidR="00D30B36">
              <w:t>)</w:t>
            </w:r>
            <w:r w:rsidRPr="00BE248E">
              <w:rPr>
                <w:rStyle w:val="FootnoteReference"/>
                <w:rFonts w:eastAsiaTheme="majorEastAsia"/>
                <w:sz w:val="20"/>
              </w:rPr>
              <w:footnoteReference w:id="167"/>
            </w:r>
          </w:p>
        </w:tc>
        <w:tc>
          <w:tcPr>
            <w:tcW w:w="1110" w:type="pct"/>
          </w:tcPr>
          <w:p w14:paraId="652862BC" w14:textId="77777777"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w:t>
            </w:r>
          </w:p>
        </w:tc>
        <w:tc>
          <w:tcPr>
            <w:tcW w:w="1110" w:type="pct"/>
          </w:tcPr>
          <w:p w14:paraId="5960B5A4" w14:textId="64076B65"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22,066,664</w:t>
            </w:r>
          </w:p>
        </w:tc>
        <w:tc>
          <w:tcPr>
            <w:cnfStyle w:val="000100000000" w:firstRow="0" w:lastRow="0" w:firstColumn="0" w:lastColumn="1" w:oddVBand="0" w:evenVBand="0" w:oddHBand="0" w:evenHBand="0" w:firstRowFirstColumn="0" w:firstRowLastColumn="0" w:lastRowFirstColumn="0" w:lastRowLastColumn="0"/>
            <w:tcW w:w="1366" w:type="pct"/>
          </w:tcPr>
          <w:p w14:paraId="6E252B45" w14:textId="77777777" w:rsidR="00406CD0" w:rsidRPr="00A32BB8" w:rsidRDefault="00406CD0">
            <w:pPr>
              <w:pStyle w:val="TableTextLeft"/>
              <w:rPr>
                <w:b w:val="0"/>
              </w:rPr>
            </w:pPr>
            <w:r w:rsidRPr="00577A14">
              <w:rPr>
                <w:b w:val="0"/>
              </w:rPr>
              <w:t>-</w:t>
            </w:r>
          </w:p>
        </w:tc>
      </w:tr>
      <w:tr w:rsidR="00DD36D6" w14:paraId="535AFA35"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65929E7A" w14:textId="77777777" w:rsidR="00406CD0" w:rsidRPr="00E1376C" w:rsidRDefault="00406CD0">
            <w:pPr>
              <w:pStyle w:val="TableTextLeft"/>
              <w:rPr>
                <w:rFonts w:cs="Calibri Light"/>
              </w:rPr>
            </w:pPr>
            <w:r w:rsidRPr="00E1376C">
              <w:rPr>
                <w:rFonts w:cs="Calibri Light"/>
              </w:rPr>
              <w:t>Average number of subscriptions per adult, excl. telecommunications</w:t>
            </w:r>
          </w:p>
        </w:tc>
        <w:tc>
          <w:tcPr>
            <w:tcW w:w="1110" w:type="pct"/>
          </w:tcPr>
          <w:p w14:paraId="44D6932C"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2.18</w:t>
            </w:r>
          </w:p>
        </w:tc>
        <w:tc>
          <w:tcPr>
            <w:tcW w:w="1110" w:type="pct"/>
          </w:tcPr>
          <w:p w14:paraId="76D8EB8D"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2.9</w:t>
            </w:r>
          </w:p>
        </w:tc>
        <w:tc>
          <w:tcPr>
            <w:cnfStyle w:val="000100000000" w:firstRow="0" w:lastRow="0" w:firstColumn="0" w:lastColumn="1" w:oddVBand="0" w:evenVBand="0" w:oddHBand="0" w:evenHBand="0" w:firstRowFirstColumn="0" w:firstRowLastColumn="0" w:lastRowFirstColumn="0" w:lastRowLastColumn="0"/>
            <w:tcW w:w="1366" w:type="pct"/>
          </w:tcPr>
          <w:p w14:paraId="7AD187FD" w14:textId="77777777" w:rsidR="00406CD0" w:rsidRPr="00A32BB8" w:rsidRDefault="00406CD0">
            <w:pPr>
              <w:pStyle w:val="TableTextLeft"/>
              <w:rPr>
                <w:b w:val="0"/>
              </w:rPr>
            </w:pPr>
            <w:r w:rsidRPr="00577A14">
              <w:rPr>
                <w:b w:val="0"/>
              </w:rPr>
              <w:t>3.63</w:t>
            </w:r>
          </w:p>
        </w:tc>
      </w:tr>
      <w:tr w:rsidR="00DD36D6" w14:paraId="0D12C9DD"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643DA27C" w14:textId="22863B4F" w:rsidR="00406CD0" w:rsidRPr="00E1376C" w:rsidRDefault="00406CD0">
            <w:pPr>
              <w:pStyle w:val="TableTextLeft"/>
              <w:rPr>
                <w:rFonts w:cs="Calibri Light"/>
              </w:rPr>
            </w:pPr>
            <w:r w:rsidRPr="00E1376C">
              <w:rPr>
                <w:rFonts w:cs="Calibri Light"/>
              </w:rPr>
              <w:t xml:space="preserve">Number of non-telecommunications subscriptions </w:t>
            </w:r>
          </w:p>
        </w:tc>
        <w:tc>
          <w:tcPr>
            <w:tcW w:w="1110" w:type="pct"/>
          </w:tcPr>
          <w:p w14:paraId="2B8F6A15" w14:textId="0569A862"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t>47,99</w:t>
            </w:r>
            <w:r w:rsidR="279559DA">
              <w:t>5,000</w:t>
            </w:r>
          </w:p>
        </w:tc>
        <w:tc>
          <w:tcPr>
            <w:tcW w:w="1110" w:type="pct"/>
          </w:tcPr>
          <w:p w14:paraId="37E564D9" w14:textId="6A628366" w:rsidR="00406CD0" w:rsidRPr="00577A14" w:rsidRDefault="00406CD0">
            <w:pPr>
              <w:pStyle w:val="TableTextLeft"/>
              <w:cnfStyle w:val="000000100000" w:firstRow="0" w:lastRow="0" w:firstColumn="0" w:lastColumn="0" w:oddVBand="0" w:evenVBand="0" w:oddHBand="1" w:evenHBand="0" w:firstRowFirstColumn="0" w:firstRowLastColumn="0" w:lastRowFirstColumn="0" w:lastRowLastColumn="0"/>
            </w:pPr>
            <w:r w:rsidRPr="00577A14">
              <w:t>63,993,</w:t>
            </w:r>
            <w:r w:rsidR="16ED028B">
              <w:t>000</w:t>
            </w:r>
          </w:p>
        </w:tc>
        <w:tc>
          <w:tcPr>
            <w:cnfStyle w:val="000100000000" w:firstRow="0" w:lastRow="0" w:firstColumn="0" w:lastColumn="1" w:oddVBand="0" w:evenVBand="0" w:oddHBand="0" w:evenHBand="0" w:firstRowFirstColumn="0" w:firstRowLastColumn="0" w:lastRowFirstColumn="0" w:lastRowLastColumn="0"/>
            <w:tcW w:w="1366" w:type="pct"/>
          </w:tcPr>
          <w:p w14:paraId="765A9BAA" w14:textId="4255D090" w:rsidR="00406CD0" w:rsidRPr="00A32BB8" w:rsidRDefault="00406CD0">
            <w:pPr>
              <w:pStyle w:val="TableTextLeft"/>
              <w:rPr>
                <w:b w:val="0"/>
              </w:rPr>
            </w:pPr>
            <w:r>
              <w:rPr>
                <w:b w:val="0"/>
                <w:bCs w:val="0"/>
              </w:rPr>
              <w:t>79,99</w:t>
            </w:r>
            <w:r w:rsidR="2C8D2C1C">
              <w:rPr>
                <w:b w:val="0"/>
                <w:bCs w:val="0"/>
              </w:rPr>
              <w:t>2,000</w:t>
            </w:r>
          </w:p>
        </w:tc>
      </w:tr>
      <w:tr w:rsidR="00DD36D6" w14:paraId="3BF4A2FE"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24D6D590" w14:textId="77777777" w:rsidR="00406CD0" w:rsidRPr="00E1376C" w:rsidRDefault="00406CD0">
            <w:pPr>
              <w:pStyle w:val="TableTextLeft"/>
              <w:rPr>
                <w:rFonts w:cs="Calibri Light"/>
              </w:rPr>
            </w:pPr>
            <w:r w:rsidRPr="00E1376C">
              <w:rPr>
                <w:rFonts w:cs="Calibri Light"/>
              </w:rPr>
              <w:t xml:space="preserve">Share of unwanted subscriptions </w:t>
            </w:r>
          </w:p>
        </w:tc>
        <w:tc>
          <w:tcPr>
            <w:tcW w:w="1110" w:type="pct"/>
          </w:tcPr>
          <w:p w14:paraId="60CBCA94"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2%</w:t>
            </w:r>
          </w:p>
        </w:tc>
        <w:tc>
          <w:tcPr>
            <w:tcW w:w="1110" w:type="pct"/>
          </w:tcPr>
          <w:p w14:paraId="052784BC" w14:textId="77777777" w:rsidR="00406CD0" w:rsidRPr="00577A14" w:rsidRDefault="00406CD0">
            <w:pPr>
              <w:pStyle w:val="TableTextLeft"/>
              <w:cnfStyle w:val="000000000000" w:firstRow="0" w:lastRow="0" w:firstColumn="0" w:lastColumn="0" w:oddVBand="0" w:evenVBand="0" w:oddHBand="0" w:evenHBand="0" w:firstRowFirstColumn="0" w:firstRowLastColumn="0" w:lastRowFirstColumn="0" w:lastRowLastColumn="0"/>
            </w:pPr>
            <w:r w:rsidRPr="00577A14">
              <w:t>5%</w:t>
            </w:r>
          </w:p>
        </w:tc>
        <w:tc>
          <w:tcPr>
            <w:cnfStyle w:val="000100000000" w:firstRow="0" w:lastRow="0" w:firstColumn="0" w:lastColumn="1" w:oddVBand="0" w:evenVBand="0" w:oddHBand="0" w:evenHBand="0" w:firstRowFirstColumn="0" w:firstRowLastColumn="0" w:lastRowFirstColumn="0" w:lastRowLastColumn="0"/>
            <w:tcW w:w="1366" w:type="pct"/>
          </w:tcPr>
          <w:p w14:paraId="581BC22A" w14:textId="77777777" w:rsidR="00406CD0" w:rsidRPr="00A32BB8" w:rsidRDefault="00406CD0">
            <w:pPr>
              <w:pStyle w:val="TableTextLeft"/>
              <w:rPr>
                <w:b w:val="0"/>
              </w:rPr>
            </w:pPr>
            <w:r w:rsidRPr="00577A14">
              <w:rPr>
                <w:b w:val="0"/>
              </w:rPr>
              <w:t>10%</w:t>
            </w:r>
          </w:p>
        </w:tc>
      </w:tr>
      <w:tr w:rsidR="00DD36D6" w14:paraId="346D3249" w14:textId="77777777" w:rsidTr="009627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331DCD08" w14:textId="77777777" w:rsidR="00406CD0" w:rsidRPr="00E1376C" w:rsidRDefault="00406CD0">
            <w:pPr>
              <w:pStyle w:val="TableTextLeft"/>
              <w:rPr>
                <w:rFonts w:cs="Calibri Light"/>
                <w:szCs w:val="18"/>
              </w:rPr>
            </w:pPr>
            <w:r w:rsidRPr="00E1376C">
              <w:rPr>
                <w:rFonts w:cs="Calibri Light"/>
              </w:rPr>
              <w:t>Number of unwanted subscriptions</w:t>
            </w:r>
            <w:r w:rsidRPr="00E1376C">
              <w:rPr>
                <w:rStyle w:val="FootnoteReference"/>
                <w:rFonts w:eastAsiaTheme="majorEastAsia" w:cs="Calibri Light"/>
              </w:rPr>
              <w:footnoteReference w:id="168"/>
            </w:r>
            <w:r w:rsidRPr="00E1376C">
              <w:rPr>
                <w:rFonts w:cs="Calibri Light"/>
              </w:rPr>
              <w:t xml:space="preserve"> </w:t>
            </w:r>
          </w:p>
        </w:tc>
        <w:tc>
          <w:tcPr>
            <w:tcW w:w="1110" w:type="pct"/>
          </w:tcPr>
          <w:p w14:paraId="194F6ED2" w14:textId="0E1462A6" w:rsidR="00406CD0" w:rsidRPr="00DA5449" w:rsidRDefault="00406CD0">
            <w:pPr>
              <w:pStyle w:val="TableTextLeft"/>
              <w:cnfStyle w:val="000000100000" w:firstRow="0" w:lastRow="0" w:firstColumn="0" w:lastColumn="0" w:oddVBand="0" w:evenVBand="0" w:oddHBand="1" w:evenHBand="0" w:firstRowFirstColumn="0" w:firstRowLastColumn="0" w:lastRowFirstColumn="0" w:lastRowLastColumn="0"/>
              <w:rPr>
                <w:rFonts w:cs="Calibri Light"/>
              </w:rPr>
            </w:pPr>
            <w:r w:rsidRPr="00DA5449">
              <w:rPr>
                <w:rFonts w:cs="Calibri Light"/>
              </w:rPr>
              <w:t>95</w:t>
            </w:r>
            <w:r w:rsidR="041764F1" w:rsidRPr="00DA5449">
              <w:rPr>
                <w:rFonts w:cs="Calibri Light"/>
              </w:rPr>
              <w:t>6,</w:t>
            </w:r>
            <w:r w:rsidRPr="00DA5449">
              <w:rPr>
                <w:rFonts w:cs="Calibri Light"/>
              </w:rPr>
              <w:t>00</w:t>
            </w:r>
            <w:r w:rsidR="041764F1" w:rsidRPr="00DA5449">
              <w:rPr>
                <w:rFonts w:cs="Calibri Light"/>
              </w:rPr>
              <w:t>0</w:t>
            </w:r>
          </w:p>
        </w:tc>
        <w:tc>
          <w:tcPr>
            <w:tcW w:w="1110" w:type="pct"/>
          </w:tcPr>
          <w:p w14:paraId="175B29A3" w14:textId="243BF79D" w:rsidR="00406CD0" w:rsidRPr="00DA5449" w:rsidRDefault="00406CD0">
            <w:pPr>
              <w:pStyle w:val="TableTextLeft"/>
              <w:cnfStyle w:val="000000100000" w:firstRow="0" w:lastRow="0" w:firstColumn="0" w:lastColumn="0" w:oddVBand="0" w:evenVBand="0" w:oddHBand="1" w:evenHBand="0" w:firstRowFirstColumn="0" w:firstRowLastColumn="0" w:lastRowFirstColumn="0" w:lastRowLastColumn="0"/>
              <w:rPr>
                <w:rFonts w:cs="Calibri Light"/>
              </w:rPr>
            </w:pPr>
            <w:r w:rsidRPr="00DA5449">
              <w:rPr>
                <w:rFonts w:cs="Calibri Light"/>
              </w:rPr>
              <w:t>3,</w:t>
            </w:r>
            <w:r w:rsidR="1B3FA210" w:rsidRPr="00DA5449">
              <w:rPr>
                <w:rFonts w:cs="Calibri Light"/>
              </w:rPr>
              <w:t>200,000</w:t>
            </w:r>
          </w:p>
        </w:tc>
        <w:tc>
          <w:tcPr>
            <w:cnfStyle w:val="000100000000" w:firstRow="0" w:lastRow="0" w:firstColumn="0" w:lastColumn="1" w:oddVBand="0" w:evenVBand="0" w:oddHBand="0" w:evenHBand="0" w:firstRowFirstColumn="0" w:firstRowLastColumn="0" w:lastRowFirstColumn="0" w:lastRowLastColumn="0"/>
            <w:tcW w:w="1366" w:type="pct"/>
          </w:tcPr>
          <w:p w14:paraId="1F59004C" w14:textId="7BEF4E3D" w:rsidR="00406CD0" w:rsidRPr="00DA5449" w:rsidRDefault="00406CD0">
            <w:pPr>
              <w:pStyle w:val="TableTextLeft"/>
              <w:rPr>
                <w:rFonts w:cs="Calibri Light"/>
                <w:b w:val="0"/>
              </w:rPr>
            </w:pPr>
            <w:r w:rsidRPr="00DA6265">
              <w:rPr>
                <w:rFonts w:cs="Calibri Light"/>
                <w:b w:val="0"/>
              </w:rPr>
              <w:t>7,999,</w:t>
            </w:r>
            <w:r w:rsidR="201B6C69" w:rsidRPr="00DA6265">
              <w:rPr>
                <w:rFonts w:cs="Calibri Light"/>
                <w:b w:val="0"/>
              </w:rPr>
              <w:t>000</w:t>
            </w:r>
          </w:p>
        </w:tc>
      </w:tr>
      <w:tr w:rsidR="00DD36D6" w14:paraId="73435B68"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5C2EE9B8" w14:textId="40AC835F" w:rsidR="00406CD0" w:rsidRPr="00E1376C" w:rsidRDefault="00406CD0">
            <w:pPr>
              <w:pStyle w:val="TableTextLeft"/>
              <w:rPr>
                <w:rFonts w:cs="Calibri Light"/>
                <w:szCs w:val="18"/>
              </w:rPr>
            </w:pPr>
            <w:r w:rsidRPr="00E1376C">
              <w:rPr>
                <w:rFonts w:cs="Calibri Light"/>
                <w:szCs w:val="18"/>
              </w:rPr>
              <w:t xml:space="preserve">Mean monthly cost of a single subscription </w:t>
            </w:r>
          </w:p>
        </w:tc>
        <w:tc>
          <w:tcPr>
            <w:tcW w:w="1110" w:type="pct"/>
          </w:tcPr>
          <w:p w14:paraId="0EC91176" w14:textId="0D02ABCC" w:rsidR="00406CD0" w:rsidRPr="00DA5449" w:rsidRDefault="0091385B">
            <w:pPr>
              <w:pStyle w:val="TableTextLeft"/>
              <w:cnfStyle w:val="000000000000" w:firstRow="0" w:lastRow="0" w:firstColumn="0" w:lastColumn="0" w:oddVBand="0" w:evenVBand="0" w:oddHBand="0" w:evenHBand="0" w:firstRowFirstColumn="0" w:firstRowLastColumn="0" w:lastRowFirstColumn="0" w:lastRowLastColumn="0"/>
              <w:rPr>
                <w:rFonts w:cs="Calibri Light"/>
                <w:szCs w:val="18"/>
              </w:rPr>
            </w:pPr>
            <w:r w:rsidRPr="00E1376C">
              <w:rPr>
                <w:rFonts w:cs="Calibri Light"/>
                <w:szCs w:val="18"/>
              </w:rPr>
              <w:t>$</w:t>
            </w:r>
            <w:r w:rsidR="00406CD0" w:rsidRPr="00DA5449">
              <w:rPr>
                <w:rFonts w:cs="Calibri Light"/>
                <w:szCs w:val="18"/>
              </w:rPr>
              <w:t>18.97</w:t>
            </w:r>
          </w:p>
        </w:tc>
        <w:tc>
          <w:tcPr>
            <w:tcW w:w="1110" w:type="pct"/>
          </w:tcPr>
          <w:p w14:paraId="52AF98A2" w14:textId="53C97752" w:rsidR="00406CD0" w:rsidRPr="00DA5449" w:rsidRDefault="0091385B">
            <w:pPr>
              <w:pStyle w:val="TableTextLeft"/>
              <w:cnfStyle w:val="000000000000" w:firstRow="0" w:lastRow="0" w:firstColumn="0" w:lastColumn="0" w:oddVBand="0" w:evenVBand="0" w:oddHBand="0" w:evenHBand="0" w:firstRowFirstColumn="0" w:firstRowLastColumn="0" w:lastRowFirstColumn="0" w:lastRowLastColumn="0"/>
              <w:rPr>
                <w:rFonts w:cs="Calibri Light"/>
                <w:szCs w:val="18"/>
              </w:rPr>
            </w:pPr>
            <w:r w:rsidRPr="00E1376C">
              <w:rPr>
                <w:rFonts w:cs="Calibri Light"/>
                <w:szCs w:val="18"/>
              </w:rPr>
              <w:t>$</w:t>
            </w:r>
            <w:r w:rsidR="00406CD0" w:rsidRPr="00DA5449">
              <w:rPr>
                <w:rFonts w:cs="Calibri Light"/>
                <w:szCs w:val="18"/>
              </w:rPr>
              <w:t>25.29</w:t>
            </w:r>
          </w:p>
        </w:tc>
        <w:tc>
          <w:tcPr>
            <w:cnfStyle w:val="000100000000" w:firstRow="0" w:lastRow="0" w:firstColumn="0" w:lastColumn="1" w:oddVBand="0" w:evenVBand="0" w:oddHBand="0" w:evenHBand="0" w:firstRowFirstColumn="0" w:firstRowLastColumn="0" w:lastRowFirstColumn="0" w:lastRowLastColumn="0"/>
            <w:tcW w:w="1366" w:type="pct"/>
          </w:tcPr>
          <w:p w14:paraId="357F649B" w14:textId="4E58A524" w:rsidR="00406CD0" w:rsidRPr="00DA5449" w:rsidRDefault="0091385B">
            <w:pPr>
              <w:pStyle w:val="TableTextLeft"/>
              <w:rPr>
                <w:rFonts w:cs="Calibri Light"/>
                <w:b w:val="0"/>
                <w:szCs w:val="18"/>
              </w:rPr>
            </w:pPr>
            <w:r w:rsidRPr="00E1376C">
              <w:rPr>
                <w:rFonts w:cs="Calibri Light"/>
                <w:b w:val="0"/>
                <w:szCs w:val="18"/>
              </w:rPr>
              <w:t>$</w:t>
            </w:r>
            <w:r w:rsidR="00406CD0" w:rsidRPr="00DA6265">
              <w:rPr>
                <w:rFonts w:cs="Calibri Light"/>
                <w:b w:val="0"/>
                <w:szCs w:val="18"/>
              </w:rPr>
              <w:t>31.61</w:t>
            </w:r>
          </w:p>
        </w:tc>
      </w:tr>
      <w:tr w:rsidR="00DD36D6" w14:paraId="72D374F6" w14:textId="77777777" w:rsidTr="00D87F1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5" w:type="pct"/>
          </w:tcPr>
          <w:p w14:paraId="7A16A175" w14:textId="77777777" w:rsidR="00406CD0" w:rsidRPr="00E1376C" w:rsidRDefault="00406CD0">
            <w:pPr>
              <w:pStyle w:val="TableTextLeft"/>
              <w:rPr>
                <w:rFonts w:cs="Calibri Light"/>
                <w:szCs w:val="18"/>
              </w:rPr>
            </w:pPr>
            <w:r w:rsidRPr="00E1376C">
              <w:rPr>
                <w:rFonts w:cs="Calibri Light"/>
                <w:szCs w:val="18"/>
              </w:rPr>
              <w:t xml:space="preserve">Annual spending on unwanted subscriptions </w:t>
            </w:r>
          </w:p>
        </w:tc>
        <w:tc>
          <w:tcPr>
            <w:tcW w:w="1110" w:type="pct"/>
          </w:tcPr>
          <w:p w14:paraId="2E80B1F3" w14:textId="4B276E98" w:rsidR="00406CD0" w:rsidRPr="008F2D31" w:rsidRDefault="00406CD0">
            <w:pPr>
              <w:cnfStyle w:val="000000100000" w:firstRow="0" w:lastRow="0" w:firstColumn="0" w:lastColumn="0" w:oddVBand="0" w:evenVBand="0" w:oddHBand="1" w:evenHBand="0" w:firstRowFirstColumn="0" w:firstRowLastColumn="0" w:lastRowFirstColumn="0" w:lastRowLastColumn="0"/>
              <w:rPr>
                <w:szCs w:val="18"/>
              </w:rPr>
            </w:pPr>
            <w:r w:rsidRPr="00B40D99">
              <w:rPr>
                <w:sz w:val="18"/>
                <w:szCs w:val="18"/>
              </w:rPr>
              <w:t>$218,</w:t>
            </w:r>
            <w:r w:rsidRPr="68DBE52B">
              <w:rPr>
                <w:sz w:val="18"/>
                <w:szCs w:val="18"/>
              </w:rPr>
              <w:t>48</w:t>
            </w:r>
            <w:r w:rsidR="34645E66" w:rsidRPr="68DBE52B">
              <w:rPr>
                <w:sz w:val="18"/>
                <w:szCs w:val="18"/>
              </w:rPr>
              <w:t>3,000</w:t>
            </w:r>
          </w:p>
        </w:tc>
        <w:tc>
          <w:tcPr>
            <w:tcW w:w="1110" w:type="pct"/>
          </w:tcPr>
          <w:p w14:paraId="1A377ADE" w14:textId="4B69AD09" w:rsidR="00406CD0" w:rsidRPr="008F2D31" w:rsidRDefault="00406CD0">
            <w:pPr>
              <w:cnfStyle w:val="000000100000" w:firstRow="0" w:lastRow="0" w:firstColumn="0" w:lastColumn="0" w:oddVBand="0" w:evenVBand="0" w:oddHBand="1" w:evenHBand="0" w:firstRowFirstColumn="0" w:firstRowLastColumn="0" w:lastRowFirstColumn="0" w:lastRowLastColumn="0"/>
              <w:rPr>
                <w:sz w:val="18"/>
                <w:szCs w:val="18"/>
              </w:rPr>
            </w:pPr>
            <w:r w:rsidRPr="00B40D99">
              <w:rPr>
                <w:sz w:val="18"/>
                <w:szCs w:val="18"/>
              </w:rPr>
              <w:t>$971,</w:t>
            </w:r>
            <w:r w:rsidRPr="1F961262">
              <w:rPr>
                <w:sz w:val="18"/>
                <w:szCs w:val="18"/>
              </w:rPr>
              <w:t>0</w:t>
            </w:r>
            <w:r w:rsidR="5C1A89B6" w:rsidRPr="1F961262">
              <w:rPr>
                <w:sz w:val="18"/>
                <w:szCs w:val="18"/>
              </w:rPr>
              <w:t>35</w:t>
            </w:r>
            <w:r w:rsidR="5C1A89B6" w:rsidRPr="107636DC">
              <w:rPr>
                <w:sz w:val="18"/>
                <w:szCs w:val="18"/>
              </w:rPr>
              <w:t>,000</w:t>
            </w:r>
          </w:p>
        </w:tc>
        <w:tc>
          <w:tcPr>
            <w:cnfStyle w:val="000100000000" w:firstRow="0" w:lastRow="0" w:firstColumn="0" w:lastColumn="1" w:oddVBand="0" w:evenVBand="0" w:oddHBand="0" w:evenHBand="0" w:firstRowFirstColumn="0" w:firstRowLastColumn="0" w:lastRowFirstColumn="0" w:lastRowLastColumn="0"/>
            <w:tcW w:w="1366" w:type="pct"/>
          </w:tcPr>
          <w:p w14:paraId="5D49C9E6" w14:textId="14324DF5" w:rsidR="00406CD0" w:rsidRPr="008F2D31" w:rsidRDefault="00406CD0">
            <w:pPr>
              <w:rPr>
                <w:szCs w:val="18"/>
              </w:rPr>
            </w:pPr>
            <w:r w:rsidRPr="00B40D99">
              <w:rPr>
                <w:rFonts w:cstheme="minorBidi"/>
                <w:b w:val="0"/>
                <w:bCs w:val="0"/>
                <w:sz w:val="18"/>
                <w:szCs w:val="18"/>
              </w:rPr>
              <w:t>$3,034,</w:t>
            </w:r>
            <w:r w:rsidRPr="1F961262">
              <w:rPr>
                <w:rFonts w:cstheme="minorBidi"/>
                <w:b w:val="0"/>
                <w:bCs w:val="0"/>
                <w:sz w:val="18"/>
                <w:szCs w:val="18"/>
              </w:rPr>
              <w:t>48</w:t>
            </w:r>
            <w:r w:rsidR="20788289" w:rsidRPr="1F961262">
              <w:rPr>
                <w:rFonts w:cstheme="minorBidi"/>
                <w:b w:val="0"/>
                <w:bCs w:val="0"/>
                <w:sz w:val="18"/>
                <w:szCs w:val="18"/>
              </w:rPr>
              <w:t>4</w:t>
            </w:r>
            <w:r w:rsidR="20788289" w:rsidRPr="07CA669B">
              <w:rPr>
                <w:rFonts w:cstheme="minorBidi"/>
                <w:b w:val="0"/>
                <w:bCs w:val="0"/>
                <w:sz w:val="18"/>
                <w:szCs w:val="18"/>
              </w:rPr>
              <w:t>,000</w:t>
            </w:r>
          </w:p>
        </w:tc>
      </w:tr>
      <w:tr w:rsidR="00DD36D6" w14:paraId="25AE5EBE" w14:textId="77777777" w:rsidTr="0096272E">
        <w:trPr>
          <w:trHeight w:val="270"/>
        </w:trPr>
        <w:tc>
          <w:tcPr>
            <w:cnfStyle w:val="001000000000" w:firstRow="0" w:lastRow="0" w:firstColumn="1" w:lastColumn="0" w:oddVBand="0" w:evenVBand="0" w:oddHBand="0" w:evenHBand="0" w:firstRowFirstColumn="0" w:firstRowLastColumn="0" w:lastRowFirstColumn="0" w:lastRowLastColumn="0"/>
            <w:tcW w:w="1415" w:type="pct"/>
          </w:tcPr>
          <w:p w14:paraId="353AFD99" w14:textId="25B2D614" w:rsidR="00406CD0" w:rsidRPr="00577A14" w:rsidRDefault="00406CD0">
            <w:pPr>
              <w:pStyle w:val="TableTextLeft"/>
            </w:pPr>
            <w:r w:rsidRPr="00577A14">
              <w:t xml:space="preserve">Annual spending </w:t>
            </w:r>
            <w:r w:rsidR="008E4F09">
              <w:t xml:space="preserve">on </w:t>
            </w:r>
            <w:r w:rsidRPr="00577A14">
              <w:t>unwanted subscriptions, per consumer</w:t>
            </w:r>
            <w:r w:rsidRPr="00577A14">
              <w:rPr>
                <w:rStyle w:val="FootnoteReference"/>
                <w:rFonts w:eastAsiaTheme="majorEastAsia"/>
              </w:rPr>
              <w:footnoteReference w:id="169"/>
            </w:r>
          </w:p>
        </w:tc>
        <w:tc>
          <w:tcPr>
            <w:tcW w:w="1110" w:type="pct"/>
          </w:tcPr>
          <w:p w14:paraId="331FB6B7" w14:textId="77777777" w:rsidR="00406CD0" w:rsidRPr="00846600" w:rsidRDefault="00406CD0">
            <w:pPr>
              <w:pStyle w:val="TableTextLeft"/>
              <w:cnfStyle w:val="000000000000" w:firstRow="0" w:lastRow="0" w:firstColumn="0" w:lastColumn="0" w:oddVBand="0" w:evenVBand="0" w:oddHBand="0" w:evenHBand="0" w:firstRowFirstColumn="0" w:firstRowLastColumn="0" w:lastRowFirstColumn="0" w:lastRowLastColumn="0"/>
              <w:rPr>
                <w:b/>
              </w:rPr>
            </w:pPr>
            <w:r w:rsidRPr="00846600">
              <w:t>$9.90</w:t>
            </w:r>
          </w:p>
        </w:tc>
        <w:tc>
          <w:tcPr>
            <w:tcW w:w="1110" w:type="pct"/>
          </w:tcPr>
          <w:p w14:paraId="62B1660B" w14:textId="77777777" w:rsidR="00406CD0" w:rsidRPr="00846600" w:rsidRDefault="00406CD0">
            <w:pPr>
              <w:pStyle w:val="TableTextLeft"/>
              <w:cnfStyle w:val="000000000000" w:firstRow="0" w:lastRow="0" w:firstColumn="0" w:lastColumn="0" w:oddVBand="0" w:evenVBand="0" w:oddHBand="0" w:evenHBand="0" w:firstRowFirstColumn="0" w:firstRowLastColumn="0" w:lastRowFirstColumn="0" w:lastRowLastColumn="0"/>
              <w:rPr>
                <w:b/>
              </w:rPr>
            </w:pPr>
            <w:r w:rsidRPr="00846600">
              <w:t>$44.0</w:t>
            </w:r>
          </w:p>
        </w:tc>
        <w:tc>
          <w:tcPr>
            <w:cnfStyle w:val="000100000000" w:firstRow="0" w:lastRow="0" w:firstColumn="0" w:lastColumn="1" w:oddVBand="0" w:evenVBand="0" w:oddHBand="0" w:evenHBand="0" w:firstRowFirstColumn="0" w:firstRowLastColumn="0" w:lastRowFirstColumn="0" w:lastRowLastColumn="0"/>
            <w:tcW w:w="1366" w:type="pct"/>
          </w:tcPr>
          <w:p w14:paraId="4AA48C7C" w14:textId="77777777" w:rsidR="00406CD0" w:rsidRPr="00A32BB8" w:rsidRDefault="00406CD0">
            <w:pPr>
              <w:pStyle w:val="TableTextLeft"/>
              <w:rPr>
                <w:b w:val="0"/>
              </w:rPr>
            </w:pPr>
            <w:r w:rsidRPr="00577A14">
              <w:rPr>
                <w:b w:val="0"/>
              </w:rPr>
              <w:t>$137.51</w:t>
            </w:r>
          </w:p>
        </w:tc>
      </w:tr>
    </w:tbl>
    <w:p w14:paraId="2D7575DE" w14:textId="5CB523B6" w:rsidR="00406CD0" w:rsidRPr="00271593" w:rsidRDefault="00271593" w:rsidP="00406CD0">
      <w:pPr>
        <w:rPr>
          <w:b/>
          <w:sz w:val="20"/>
        </w:rPr>
      </w:pPr>
      <w:r w:rsidRPr="0029348E">
        <w:rPr>
          <w:rFonts w:eastAsiaTheme="minorEastAsia"/>
          <w:noProof/>
        </w:rPr>
        <w:lastRenderedPageBreak/>
        <mc:AlternateContent>
          <mc:Choice Requires="wps">
            <w:drawing>
              <wp:anchor distT="45720" distB="45720" distL="114300" distR="114300" simplePos="0" relativeHeight="251658240" behindDoc="1" locked="0" layoutInCell="1" allowOverlap="1" wp14:anchorId="350340CA" wp14:editId="29461087">
                <wp:simplePos x="0" y="0"/>
                <wp:positionH relativeFrom="margin">
                  <wp:align>left</wp:align>
                </wp:positionH>
                <wp:positionV relativeFrom="page">
                  <wp:posOffset>1442313</wp:posOffset>
                </wp:positionV>
                <wp:extent cx="5695950" cy="3190875"/>
                <wp:effectExtent l="0" t="0" r="19050" b="28575"/>
                <wp:wrapTight wrapText="bothSides">
                  <wp:wrapPolygon edited="0">
                    <wp:start x="0" y="0"/>
                    <wp:lineTo x="0" y="21664"/>
                    <wp:lineTo x="21600" y="21664"/>
                    <wp:lineTo x="21600" y="0"/>
                    <wp:lineTo x="0" y="0"/>
                  </wp:wrapPolygon>
                </wp:wrapTight>
                <wp:docPr id="1900844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1908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41E40F" w14:textId="77777777" w:rsidR="00406CD0" w:rsidRPr="000B3B0F" w:rsidRDefault="00406CD0" w:rsidP="00406CD0">
                            <w:pPr>
                              <w:rPr>
                                <w:sz w:val="20"/>
                              </w:rPr>
                            </w:pPr>
                            <w:r w:rsidRPr="000B3B0F">
                              <w:rPr>
                                <w:sz w:val="20"/>
                              </w:rPr>
                              <w:t>No. of subscriptions X % of subscriptions that are unwanted X Monthly cost of subscriptions X 12</w:t>
                            </w:r>
                          </w:p>
                          <w:p w14:paraId="71D7112D" w14:textId="77777777" w:rsidR="00406CD0" w:rsidRPr="000B3B0F" w:rsidRDefault="00406CD0" w:rsidP="00406CD0">
                            <w:pPr>
                              <w:rPr>
                                <w:rFonts w:eastAsiaTheme="minorEastAsia"/>
                                <w:sz w:val="20"/>
                              </w:rPr>
                            </w:pPr>
                            <w:r w:rsidRPr="000B3B0F">
                              <w:rPr>
                                <w:rFonts w:eastAsiaTheme="minorEastAsia"/>
                                <w:sz w:val="20"/>
                              </w:rPr>
                              <w:t xml:space="preserve">No. of unwanted subscriptions  </w:t>
                            </w:r>
                            <m:oMath>
                              <m:r>
                                <w:rPr>
                                  <w:rFonts w:ascii="Cambria Math" w:eastAsiaTheme="minorEastAsia" w:hAnsi="Cambria Math"/>
                                  <w:sz w:val="20"/>
                                </w:rPr>
                                <m:t>t=</m:t>
                              </m:r>
                              <m:r>
                                <w:rPr>
                                  <w:rFonts w:ascii="Cambria Math" w:hAnsi="Cambria Math"/>
                                  <w:sz w:val="20"/>
                                </w:rPr>
                                <m:t>n ×s×u</m:t>
                              </m:r>
                            </m:oMath>
                          </w:p>
                          <w:p w14:paraId="62BAE39B" w14:textId="77777777" w:rsidR="00406CD0" w:rsidRPr="000B3B0F" w:rsidRDefault="00406CD0" w:rsidP="00406CD0">
                            <w:pPr>
                              <w:rPr>
                                <w:rFonts w:eastAsiaTheme="minorEastAsia"/>
                                <w:sz w:val="20"/>
                              </w:rPr>
                            </w:pPr>
                            <w:r w:rsidRPr="000B3B0F">
                              <w:rPr>
                                <w:rFonts w:eastAsiaTheme="minorEastAsia"/>
                                <w:sz w:val="20"/>
                              </w:rPr>
                              <w:t xml:space="preserve">Where: </w:t>
                            </w:r>
                          </w:p>
                          <w:p w14:paraId="36BA9FAE" w14:textId="77777777" w:rsidR="00406CD0" w:rsidRPr="000B3B0F" w:rsidRDefault="00406CD0" w:rsidP="00406CD0">
                            <w:pPr>
                              <w:rPr>
                                <w:rFonts w:eastAsiaTheme="minorEastAsia"/>
                                <w:sz w:val="20"/>
                              </w:rPr>
                            </w:pPr>
                            <w:r w:rsidRPr="000B3B0F">
                              <w:rPr>
                                <w:rFonts w:eastAsiaTheme="minorEastAsia"/>
                                <w:sz w:val="20"/>
                              </w:rPr>
                              <w:t xml:space="preserve">Total Annual Consumer Detriment: </w:t>
                            </w:r>
                          </w:p>
                          <w:p w14:paraId="308C9F0B" w14:textId="284F9D9C" w:rsidR="00406CD0" w:rsidRPr="004A041F" w:rsidRDefault="00A12341" w:rsidP="00406CD0">
                            <w:pPr>
                              <w:pStyle w:val="Bullet"/>
                              <w:spacing w:before="240" w:line="259" w:lineRule="auto"/>
                              <w:ind w:left="720" w:hanging="360"/>
                              <w:rPr>
                                <w:rFonts w:eastAsiaTheme="minorEastAsia"/>
                                <w:i/>
                                <w:sz w:val="20"/>
                              </w:rPr>
                            </w:pPr>
                            <m:oMath>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r>
                                    <m:rPr>
                                      <m:sty m:val="bi"/>
                                    </m:rPr>
                                    <w:rPr>
                                      <w:rFonts w:ascii="Cambria Math" w:hAnsi="Cambria Math"/>
                                      <w:sz w:val="20"/>
                                    </w:rPr>
                                    <m:t>p</m:t>
                                  </m:r>
                                </m:den>
                              </m:f>
                              <m:r>
                                <w:rPr>
                                  <w:rFonts w:ascii="Cambria Math" w:hAnsi="Cambria Math"/>
                                  <w:sz w:val="20"/>
                                </w:rPr>
                                <m:t>=</m:t>
                              </m:r>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f>
                                    <m:fPr>
                                      <m:ctrlPr>
                                        <w:rPr>
                                          <w:rFonts w:ascii="Cambria Math" w:hAnsi="Cambria Math"/>
                                          <w:i/>
                                          <w:iCs/>
                                          <w:sz w:val="20"/>
                                        </w:rPr>
                                      </m:ctrlPr>
                                    </m:fPr>
                                    <m:num>
                                      <m:r>
                                        <m:rPr>
                                          <m:sty m:val="bi"/>
                                        </m:rPr>
                                        <w:rPr>
                                          <w:rFonts w:ascii="Cambria Math" w:hAnsi="Cambria Math"/>
                                          <w:sz w:val="20"/>
                                        </w:rPr>
                                        <m:t>l</m:t>
                                      </m:r>
                                    </m:num>
                                    <m:den>
                                      <m:r>
                                        <m:rPr>
                                          <m:sty m:val="bi"/>
                                        </m:rPr>
                                        <w:rPr>
                                          <w:rFonts w:ascii="Cambria Math" w:hAnsi="Cambria Math"/>
                                          <w:sz w:val="20"/>
                                        </w:rPr>
                                        <m:t>12</m:t>
                                      </m:r>
                                    </m:den>
                                  </m:f>
                                </m:den>
                              </m:f>
                              <m:r>
                                <w:rPr>
                                  <w:rFonts w:ascii="Cambria Math" w:hAnsi="Cambria Math"/>
                                  <w:sz w:val="20"/>
                                </w:rPr>
                                <m:t>=(</m:t>
                              </m:r>
                              <m:r>
                                <m:rPr>
                                  <m:sty m:val="bi"/>
                                </m:rPr>
                                <w:rPr>
                                  <w:rFonts w:ascii="Cambria Math" w:hAnsi="Cambria Math"/>
                                  <w:sz w:val="20"/>
                                </w:rPr>
                                <m:t>t</m:t>
                              </m:r>
                              <m:r>
                                <w:rPr>
                                  <w:rFonts w:ascii="Cambria Math" w:hAnsi="Cambria Math"/>
                                  <w:sz w:val="20"/>
                                </w:rPr>
                                <m:t xml:space="preserve"> ×</m:t>
                              </m:r>
                              <m:r>
                                <m:rPr>
                                  <m:sty m:val="bi"/>
                                </m:rPr>
                                <w:rPr>
                                  <w:rFonts w:ascii="Cambria Math" w:hAnsi="Cambria Math"/>
                                  <w:sz w:val="20"/>
                                </w:rPr>
                                <m:t>c</m:t>
                              </m:r>
                              <m:r>
                                <w:rPr>
                                  <w:rFonts w:ascii="Cambria Math" w:hAnsi="Cambria Math"/>
                                  <w:sz w:val="20"/>
                                </w:rPr>
                                <m:t xml:space="preserve"> ×</m:t>
                              </m:r>
                              <m:r>
                                <m:rPr>
                                  <m:sty m:val="bi"/>
                                </m:rPr>
                                <w:rPr>
                                  <w:rFonts w:ascii="Cambria Math" w:hAnsi="Cambria Math"/>
                                  <w:sz w:val="20"/>
                                </w:rPr>
                                <m:t>u</m:t>
                              </m:r>
                              <m:r>
                                <w:rPr>
                                  <w:rFonts w:ascii="Cambria Math" w:hAnsi="Cambria Math"/>
                                  <w:sz w:val="20"/>
                                </w:rPr>
                                <m:t>)×</m:t>
                              </m:r>
                              <m:r>
                                <m:rPr>
                                  <m:sty m:val="bi"/>
                                </m:rPr>
                                <w:rPr>
                                  <w:rFonts w:ascii="Cambria Math" w:hAnsi="Cambria Math"/>
                                  <w:sz w:val="20"/>
                                </w:rPr>
                                <m:t>12</m:t>
                              </m:r>
                              <m:r>
                                <w:rPr>
                                  <w:rFonts w:ascii="Cambria Math" w:hAnsi="Cambria Math"/>
                                  <w:sz w:val="20"/>
                                </w:rPr>
                                <m:t xml:space="preserve"> </m:t>
                              </m:r>
                            </m:oMath>
                          </w:p>
                          <w:p w14:paraId="1DBE31C1" w14:textId="77777777" w:rsidR="00406CD0" w:rsidRPr="004A041F" w:rsidRDefault="00406CD0" w:rsidP="00406CD0">
                            <w:pPr>
                              <w:pStyle w:val="Bullet"/>
                              <w:spacing w:before="240" w:line="259" w:lineRule="auto"/>
                              <w:ind w:left="720" w:hanging="360"/>
                              <w:rPr>
                                <w:rFonts w:eastAsiaTheme="minorEastAsia"/>
                                <w:sz w:val="20"/>
                              </w:rPr>
                            </w:pPr>
                            <w:r w:rsidRPr="004A041F">
                              <w:rPr>
                                <w:rFonts w:eastAsiaTheme="minorEastAsia"/>
                                <w:sz w:val="20"/>
                              </w:rPr>
                              <w:t xml:space="preserve">Where: </w:t>
                            </w:r>
                          </w:p>
                          <w:p w14:paraId="24877AE7" w14:textId="77777777"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t = number of subscriptions </w:t>
                            </w:r>
                          </w:p>
                          <w:p w14:paraId="7C82B5D3" w14:textId="115E4191"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u = </w:t>
                            </w:r>
                            <w:r w:rsidR="008328BE">
                              <w:rPr>
                                <w:rFonts w:eastAsiaTheme="minorEastAsia"/>
                                <w:sz w:val="20"/>
                              </w:rPr>
                              <w:t>s</w:t>
                            </w:r>
                            <w:r w:rsidRPr="000B3B0F">
                              <w:rPr>
                                <w:rFonts w:eastAsiaTheme="minorEastAsia"/>
                                <w:sz w:val="20"/>
                              </w:rPr>
                              <w:t xml:space="preserve">hare of unwanted subscriptions </w:t>
                            </w:r>
                          </w:p>
                          <w:p w14:paraId="3D864B8D" w14:textId="1DB6EEDD"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l = average length of time consumers pay for an unwanted subscription</w:t>
                            </w:r>
                            <w:r w:rsidR="00CA39CE">
                              <w:rPr>
                                <w:rFonts w:eastAsiaTheme="minorEastAsia"/>
                                <w:sz w:val="20"/>
                              </w:rPr>
                              <w:t xml:space="preserve"> </w:t>
                            </w:r>
                            <w:r w:rsidRPr="000B3B0F">
                              <w:rPr>
                                <w:rFonts w:eastAsiaTheme="minorEastAsia"/>
                                <w:sz w:val="20"/>
                              </w:rPr>
                              <w:t xml:space="preserve"> </w:t>
                            </w:r>
                          </w:p>
                          <w:p w14:paraId="640D2947" w14:textId="77777777"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 xml:space="preserve">c = the mean monthly cost of a subscription </w:t>
                            </w:r>
                          </w:p>
                          <w:p w14:paraId="67F56674" w14:textId="68060D9F"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p =</w:t>
                            </w:r>
                            <w:r w:rsidR="008328BE">
                              <w:rPr>
                                <w:rFonts w:eastAsiaTheme="minorEastAsia"/>
                                <w:sz w:val="20"/>
                              </w:rPr>
                              <w:t xml:space="preserve"> </w:t>
                            </w:r>
                            <w:r w:rsidRPr="000B3B0F">
                              <w:rPr>
                                <w:rFonts w:eastAsiaTheme="minorEastAsia"/>
                                <w:iCs/>
                                <w:sz w:val="20"/>
                              </w:rPr>
                              <w:t>the share of annual unwanted subscriptions (note as above, we use p = l/12. Which is 2.4/12 =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340CA" id="_x0000_t202" coordsize="21600,21600" o:spt="202" path="m,l,21600r21600,l21600,xe">
                <v:stroke joinstyle="miter"/>
                <v:path gradientshapeok="t" o:connecttype="rect"/>
              </v:shapetype>
              <v:shape id="Text Box 2" o:spid="_x0000_s1027" type="#_x0000_t202" style="position:absolute;margin-left:0;margin-top:113.55pt;width:448.5pt;height:25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" fillcolor="white [3201]" strokecolor="black [3200]" strokeweight="2pt">
                <v:textbox>
                  <w:txbxContent>
                    <w:p w14:paraId="6341E40F" w14:textId="77777777" w:rsidR="00406CD0" w:rsidRPr="000B3B0F" w:rsidRDefault="00406CD0" w:rsidP="00406CD0">
                      <w:pPr>
                        <w:rPr>
                          <w:sz w:val="20"/>
                        </w:rPr>
                      </w:pPr>
                      <w:r w:rsidRPr="000B3B0F">
                        <w:rPr>
                          <w:sz w:val="20"/>
                        </w:rPr>
                        <w:t>No. of subscriptions X % of subscriptions that are unwanted X Monthly cost of subscriptions X 12</w:t>
                      </w:r>
                    </w:p>
                    <w:p w14:paraId="71D7112D" w14:textId="77777777" w:rsidR="00406CD0" w:rsidRPr="000B3B0F" w:rsidRDefault="00406CD0" w:rsidP="00406CD0">
                      <w:pPr>
                        <w:rPr>
                          <w:rFonts w:eastAsiaTheme="minorEastAsia"/>
                          <w:sz w:val="20"/>
                        </w:rPr>
                      </w:pPr>
                      <w:r w:rsidRPr="000B3B0F">
                        <w:rPr>
                          <w:rFonts w:eastAsiaTheme="minorEastAsia"/>
                          <w:sz w:val="20"/>
                        </w:rPr>
                        <w:t xml:space="preserve">No. of unwanted subscriptions  </w:t>
                      </w:r>
                      <m:oMath>
                        <m:r>
                          <w:rPr>
                            <w:rFonts w:ascii="Cambria Math" w:eastAsiaTheme="minorEastAsia" w:hAnsi="Cambria Math"/>
                            <w:sz w:val="20"/>
                          </w:rPr>
                          <m:t>t=</m:t>
                        </m:r>
                        <m:r>
                          <w:rPr>
                            <w:rFonts w:ascii="Cambria Math" w:hAnsi="Cambria Math"/>
                            <w:sz w:val="20"/>
                          </w:rPr>
                          <m:t>n ×s×u</m:t>
                        </m:r>
                      </m:oMath>
                    </w:p>
                    <w:p w14:paraId="62BAE39B" w14:textId="77777777" w:rsidR="00406CD0" w:rsidRPr="000B3B0F" w:rsidRDefault="00406CD0" w:rsidP="00406CD0">
                      <w:pPr>
                        <w:rPr>
                          <w:rFonts w:eastAsiaTheme="minorEastAsia"/>
                          <w:sz w:val="20"/>
                        </w:rPr>
                      </w:pPr>
                      <w:r w:rsidRPr="000B3B0F">
                        <w:rPr>
                          <w:rFonts w:eastAsiaTheme="minorEastAsia"/>
                          <w:sz w:val="20"/>
                        </w:rPr>
                        <w:t xml:space="preserve">Where: </w:t>
                      </w:r>
                    </w:p>
                    <w:p w14:paraId="36BA9FAE" w14:textId="77777777" w:rsidR="00406CD0" w:rsidRPr="000B3B0F" w:rsidRDefault="00406CD0" w:rsidP="00406CD0">
                      <w:pPr>
                        <w:rPr>
                          <w:rFonts w:eastAsiaTheme="minorEastAsia"/>
                          <w:sz w:val="20"/>
                        </w:rPr>
                      </w:pPr>
                      <w:r w:rsidRPr="000B3B0F">
                        <w:rPr>
                          <w:rFonts w:eastAsiaTheme="minorEastAsia"/>
                          <w:sz w:val="20"/>
                        </w:rPr>
                        <w:t xml:space="preserve">Total Annual Consumer Detriment: </w:t>
                      </w:r>
                    </w:p>
                    <w:p w14:paraId="308C9F0B" w14:textId="284F9D9C" w:rsidR="00406CD0" w:rsidRPr="004A041F" w:rsidRDefault="00A12341" w:rsidP="00406CD0">
                      <w:pPr>
                        <w:pStyle w:val="Bullet"/>
                        <w:spacing w:before="240" w:line="259" w:lineRule="auto"/>
                        <w:ind w:left="720" w:hanging="360"/>
                        <w:rPr>
                          <w:rFonts w:eastAsiaTheme="minorEastAsia"/>
                          <w:i/>
                          <w:sz w:val="20"/>
                        </w:rPr>
                      </w:pPr>
                      <m:oMath>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r>
                              <m:rPr>
                                <m:sty m:val="bi"/>
                              </m:rPr>
                              <w:rPr>
                                <w:rFonts w:ascii="Cambria Math" w:hAnsi="Cambria Math"/>
                                <w:sz w:val="20"/>
                              </w:rPr>
                              <m:t>p</m:t>
                            </m:r>
                          </m:den>
                        </m:f>
                        <m:r>
                          <w:rPr>
                            <w:rFonts w:ascii="Cambria Math" w:hAnsi="Cambria Math"/>
                            <w:sz w:val="20"/>
                          </w:rPr>
                          <m:t>=</m:t>
                        </m:r>
                        <m:f>
                          <m:fPr>
                            <m:ctrlPr>
                              <w:rPr>
                                <w:rFonts w:ascii="Cambria Math" w:hAnsi="Cambria Math"/>
                                <w:i/>
                                <w:iCs/>
                                <w:sz w:val="20"/>
                              </w:rPr>
                            </m:ctrlPr>
                          </m:fPr>
                          <m:num>
                            <m:r>
                              <m:rPr>
                                <m:sty m:val="bi"/>
                              </m:rPr>
                              <w:rPr>
                                <w:rFonts w:ascii="Cambria Math" w:hAnsi="Cambria Math"/>
                                <w:sz w:val="20"/>
                              </w:rPr>
                              <m:t>t</m:t>
                            </m:r>
                            <m:r>
                              <w:rPr>
                                <w:rFonts w:ascii="Cambria Math" w:hAnsi="Cambria Math"/>
                                <w:sz w:val="20"/>
                              </w:rPr>
                              <m:t>×</m:t>
                            </m:r>
                            <m:r>
                              <m:rPr>
                                <m:sty m:val="bi"/>
                              </m:rPr>
                              <w:rPr>
                                <w:rFonts w:ascii="Cambria Math" w:hAnsi="Cambria Math"/>
                                <w:sz w:val="20"/>
                              </w:rPr>
                              <m:t>u</m:t>
                            </m:r>
                            <m:r>
                              <w:rPr>
                                <w:rFonts w:ascii="Cambria Math" w:hAnsi="Cambria Math"/>
                                <w:sz w:val="20"/>
                              </w:rPr>
                              <m:t>×</m:t>
                            </m:r>
                            <m:r>
                              <m:rPr>
                                <m:sty m:val="bi"/>
                              </m:rPr>
                              <w:rPr>
                                <w:rFonts w:ascii="Cambria Math" w:hAnsi="Cambria Math"/>
                                <w:sz w:val="20"/>
                              </w:rPr>
                              <m:t>l</m:t>
                            </m:r>
                            <m:r>
                              <w:rPr>
                                <w:rFonts w:ascii="Cambria Math" w:hAnsi="Cambria Math"/>
                                <w:sz w:val="20"/>
                              </w:rPr>
                              <m:t>×</m:t>
                            </m:r>
                            <m:r>
                              <m:rPr>
                                <m:sty m:val="bi"/>
                              </m:rPr>
                              <w:rPr>
                                <w:rFonts w:ascii="Cambria Math" w:hAnsi="Cambria Math"/>
                                <w:sz w:val="20"/>
                              </w:rPr>
                              <m:t>c</m:t>
                            </m:r>
                          </m:num>
                          <m:den>
                            <m:f>
                              <m:fPr>
                                <m:ctrlPr>
                                  <w:rPr>
                                    <w:rFonts w:ascii="Cambria Math" w:hAnsi="Cambria Math"/>
                                    <w:i/>
                                    <w:iCs/>
                                    <w:sz w:val="20"/>
                                  </w:rPr>
                                </m:ctrlPr>
                              </m:fPr>
                              <m:num>
                                <m:r>
                                  <m:rPr>
                                    <m:sty m:val="bi"/>
                                  </m:rPr>
                                  <w:rPr>
                                    <w:rFonts w:ascii="Cambria Math" w:hAnsi="Cambria Math"/>
                                    <w:sz w:val="20"/>
                                  </w:rPr>
                                  <m:t>l</m:t>
                                </m:r>
                              </m:num>
                              <m:den>
                                <m:r>
                                  <m:rPr>
                                    <m:sty m:val="bi"/>
                                  </m:rPr>
                                  <w:rPr>
                                    <w:rFonts w:ascii="Cambria Math" w:hAnsi="Cambria Math"/>
                                    <w:sz w:val="20"/>
                                  </w:rPr>
                                  <m:t>12</m:t>
                                </m:r>
                              </m:den>
                            </m:f>
                          </m:den>
                        </m:f>
                        <m:r>
                          <w:rPr>
                            <w:rFonts w:ascii="Cambria Math" w:hAnsi="Cambria Math"/>
                            <w:sz w:val="20"/>
                          </w:rPr>
                          <m:t>=(</m:t>
                        </m:r>
                        <m:r>
                          <m:rPr>
                            <m:sty m:val="bi"/>
                          </m:rPr>
                          <w:rPr>
                            <w:rFonts w:ascii="Cambria Math" w:hAnsi="Cambria Math"/>
                            <w:sz w:val="20"/>
                          </w:rPr>
                          <m:t>t</m:t>
                        </m:r>
                        <m:r>
                          <w:rPr>
                            <w:rFonts w:ascii="Cambria Math" w:hAnsi="Cambria Math"/>
                            <w:sz w:val="20"/>
                          </w:rPr>
                          <m:t xml:space="preserve"> ×</m:t>
                        </m:r>
                        <m:r>
                          <m:rPr>
                            <m:sty m:val="bi"/>
                          </m:rPr>
                          <w:rPr>
                            <w:rFonts w:ascii="Cambria Math" w:hAnsi="Cambria Math"/>
                            <w:sz w:val="20"/>
                          </w:rPr>
                          <m:t>c</m:t>
                        </m:r>
                        <m:r>
                          <w:rPr>
                            <w:rFonts w:ascii="Cambria Math" w:hAnsi="Cambria Math"/>
                            <w:sz w:val="20"/>
                          </w:rPr>
                          <m:t xml:space="preserve"> ×</m:t>
                        </m:r>
                        <m:r>
                          <m:rPr>
                            <m:sty m:val="bi"/>
                          </m:rPr>
                          <w:rPr>
                            <w:rFonts w:ascii="Cambria Math" w:hAnsi="Cambria Math"/>
                            <w:sz w:val="20"/>
                          </w:rPr>
                          <m:t>u</m:t>
                        </m:r>
                        <m:r>
                          <w:rPr>
                            <w:rFonts w:ascii="Cambria Math" w:hAnsi="Cambria Math"/>
                            <w:sz w:val="20"/>
                          </w:rPr>
                          <m:t>)×</m:t>
                        </m:r>
                        <m:r>
                          <m:rPr>
                            <m:sty m:val="bi"/>
                          </m:rPr>
                          <w:rPr>
                            <w:rFonts w:ascii="Cambria Math" w:hAnsi="Cambria Math"/>
                            <w:sz w:val="20"/>
                          </w:rPr>
                          <m:t>12</m:t>
                        </m:r>
                        <m:r>
                          <w:rPr>
                            <w:rFonts w:ascii="Cambria Math" w:hAnsi="Cambria Math"/>
                            <w:sz w:val="20"/>
                          </w:rPr>
                          <m:t xml:space="preserve"> </m:t>
                        </m:r>
                      </m:oMath>
                    </w:p>
                    <w:p w14:paraId="1DBE31C1" w14:textId="77777777" w:rsidR="00406CD0" w:rsidRPr="004A041F" w:rsidRDefault="00406CD0" w:rsidP="00406CD0">
                      <w:pPr>
                        <w:pStyle w:val="Bullet"/>
                        <w:spacing w:before="240" w:line="259" w:lineRule="auto"/>
                        <w:ind w:left="720" w:hanging="360"/>
                        <w:rPr>
                          <w:rFonts w:eastAsiaTheme="minorEastAsia"/>
                          <w:sz w:val="20"/>
                        </w:rPr>
                      </w:pPr>
                      <w:r w:rsidRPr="004A041F">
                        <w:rPr>
                          <w:rFonts w:eastAsiaTheme="minorEastAsia"/>
                          <w:sz w:val="20"/>
                        </w:rPr>
                        <w:t xml:space="preserve">Where: </w:t>
                      </w:r>
                    </w:p>
                    <w:p w14:paraId="24877AE7" w14:textId="77777777"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t = number of subscriptions </w:t>
                      </w:r>
                    </w:p>
                    <w:p w14:paraId="7C82B5D3" w14:textId="115E4191" w:rsidR="00406CD0" w:rsidRPr="000B3B0F" w:rsidRDefault="00406CD0" w:rsidP="002F3F71">
                      <w:pPr>
                        <w:pStyle w:val="ListParagraph"/>
                        <w:numPr>
                          <w:ilvl w:val="0"/>
                          <w:numId w:val="14"/>
                        </w:numPr>
                        <w:spacing w:before="0" w:after="160" w:line="259" w:lineRule="auto"/>
                        <w:rPr>
                          <w:rFonts w:eastAsiaTheme="minorEastAsia"/>
                          <w:sz w:val="20"/>
                        </w:rPr>
                      </w:pPr>
                      <w:r w:rsidRPr="000B3B0F">
                        <w:rPr>
                          <w:rFonts w:eastAsiaTheme="minorEastAsia"/>
                          <w:sz w:val="20"/>
                        </w:rPr>
                        <w:t xml:space="preserve">u = </w:t>
                      </w:r>
                      <w:r w:rsidR="008328BE">
                        <w:rPr>
                          <w:rFonts w:eastAsiaTheme="minorEastAsia"/>
                          <w:sz w:val="20"/>
                        </w:rPr>
                        <w:t>s</w:t>
                      </w:r>
                      <w:r w:rsidRPr="000B3B0F">
                        <w:rPr>
                          <w:rFonts w:eastAsiaTheme="minorEastAsia"/>
                          <w:sz w:val="20"/>
                        </w:rPr>
                        <w:t xml:space="preserve">hare of unwanted subscriptions </w:t>
                      </w:r>
                    </w:p>
                    <w:p w14:paraId="3D864B8D" w14:textId="1DB6EEDD"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l = average length of time consumers pay for an unwanted subscription</w:t>
                      </w:r>
                      <w:r w:rsidR="00CA39CE">
                        <w:rPr>
                          <w:rFonts w:eastAsiaTheme="minorEastAsia"/>
                          <w:sz w:val="20"/>
                        </w:rPr>
                        <w:t xml:space="preserve"> </w:t>
                      </w:r>
                      <w:r w:rsidRPr="000B3B0F">
                        <w:rPr>
                          <w:rFonts w:eastAsiaTheme="minorEastAsia"/>
                          <w:sz w:val="20"/>
                        </w:rPr>
                        <w:t xml:space="preserve"> </w:t>
                      </w:r>
                    </w:p>
                    <w:p w14:paraId="640D2947" w14:textId="77777777"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 xml:space="preserve">c = the mean monthly cost of a subscription </w:t>
                      </w:r>
                    </w:p>
                    <w:p w14:paraId="67F56674" w14:textId="68060D9F" w:rsidR="00406CD0" w:rsidRPr="000B3B0F" w:rsidRDefault="00406CD0" w:rsidP="002F3F71">
                      <w:pPr>
                        <w:pStyle w:val="ListParagraph"/>
                        <w:numPr>
                          <w:ilvl w:val="0"/>
                          <w:numId w:val="14"/>
                        </w:numPr>
                        <w:spacing w:before="0" w:after="160" w:line="259" w:lineRule="auto"/>
                        <w:rPr>
                          <w:rFonts w:eastAsiaTheme="minorEastAsia"/>
                          <w:i/>
                          <w:sz w:val="20"/>
                        </w:rPr>
                      </w:pPr>
                      <w:r w:rsidRPr="000B3B0F">
                        <w:rPr>
                          <w:rFonts w:eastAsiaTheme="minorEastAsia"/>
                          <w:sz w:val="20"/>
                        </w:rPr>
                        <w:t>p =</w:t>
                      </w:r>
                      <w:r w:rsidR="008328BE">
                        <w:rPr>
                          <w:rFonts w:eastAsiaTheme="minorEastAsia"/>
                          <w:sz w:val="20"/>
                        </w:rPr>
                        <w:t xml:space="preserve"> </w:t>
                      </w:r>
                      <w:r w:rsidRPr="000B3B0F">
                        <w:rPr>
                          <w:rFonts w:eastAsiaTheme="minorEastAsia"/>
                          <w:iCs/>
                          <w:sz w:val="20"/>
                        </w:rPr>
                        <w:t>the share of annual unwanted subscriptions (note as above, we use p = l/12. Which is 2.4/12 = 20%)</w:t>
                      </w:r>
                    </w:p>
                  </w:txbxContent>
                </v:textbox>
                <w10:wrap type="tight" anchorx="margin" anchory="page"/>
              </v:shape>
            </w:pict>
          </mc:Fallback>
        </mc:AlternateContent>
      </w:r>
      <w:r w:rsidRPr="000B3B0F">
        <w:rPr>
          <w:b/>
          <w:bCs/>
          <w:sz w:val="20"/>
        </w:rPr>
        <w:t>Formul</w:t>
      </w:r>
      <w:r>
        <w:rPr>
          <w:b/>
          <w:bCs/>
          <w:sz w:val="20"/>
        </w:rPr>
        <w:t>a:</w:t>
      </w:r>
      <w:r>
        <w:rPr>
          <w:rStyle w:val="FootnoteReference"/>
          <w:b/>
          <w:bCs/>
        </w:rPr>
        <w:footnoteReference w:id="170"/>
      </w:r>
    </w:p>
    <w:p w14:paraId="0E378D22" w14:textId="37B7F11B" w:rsidR="00406CD0" w:rsidRPr="00A94CD7" w:rsidRDefault="00406CD0" w:rsidP="00433124">
      <w:pPr>
        <w:pStyle w:val="Heading4"/>
        <w:rPr>
          <w:szCs w:val="22"/>
        </w:rPr>
      </w:pPr>
      <w:r w:rsidRPr="00A94CD7">
        <w:t xml:space="preserve">Methodology and </w:t>
      </w:r>
      <w:r w:rsidRPr="007367C7">
        <w:rPr>
          <w:szCs w:val="22"/>
        </w:rPr>
        <w:t>assumptions</w:t>
      </w:r>
    </w:p>
    <w:p w14:paraId="042E0FC5" w14:textId="7B5B1342" w:rsidR="00406CD0" w:rsidRPr="00A60751" w:rsidRDefault="00406CD0" w:rsidP="00406CD0">
      <w:r w:rsidRPr="00A60751">
        <w:t xml:space="preserve">The exact subscription contracts in scope will be determined during the legislative drafting process, however it is intended to apply </w:t>
      </w:r>
      <w:r w:rsidR="0010478D">
        <w:t>broadly</w:t>
      </w:r>
      <w:r w:rsidRPr="00A60751">
        <w:t xml:space="preserve">, with </w:t>
      </w:r>
      <w:r w:rsidR="0010478D">
        <w:t>limited</w:t>
      </w:r>
      <w:r w:rsidR="0010478D" w:rsidRPr="00A60751">
        <w:t xml:space="preserve"> </w:t>
      </w:r>
      <w:r w:rsidRPr="00A60751">
        <w:t>exceptions</w:t>
      </w:r>
      <w:r>
        <w:t>.</w:t>
      </w:r>
      <w:r w:rsidRPr="00A60751">
        <w:t xml:space="preserve"> The </w:t>
      </w:r>
      <w:r>
        <w:t>estimated annual</w:t>
      </w:r>
      <w:r w:rsidRPr="00A60751">
        <w:t xml:space="preserve"> spending on subscription contracts will change depending on the exact scope. </w:t>
      </w:r>
      <w:r>
        <w:t>As outlined above, i</w:t>
      </w:r>
      <w:r w:rsidRPr="00A60751">
        <w:t>t is expected that the scope of the subscription reform proposal will broadly align with the scope of the UK’s subscription reforms as outlined in the UK IA.</w:t>
      </w:r>
      <w:r w:rsidRPr="779D0450">
        <w:rPr>
          <w:rStyle w:val="FootnoteReference"/>
          <w:rFonts w:eastAsiaTheme="majorEastAsia"/>
          <w:sz w:val="22"/>
          <w:szCs w:val="22"/>
        </w:rPr>
        <w:footnoteReference w:id="171"/>
      </w:r>
      <w:r w:rsidRPr="00A60751" w:rsidDel="0015222F">
        <w:t xml:space="preserve"> </w:t>
      </w:r>
      <w:r w:rsidRPr="00A60751">
        <w:t>Importantly, UK’s IA excludes regulated telecommunications products and service</w:t>
      </w:r>
      <w:r w:rsidR="00853F79">
        <w:t>s</w:t>
      </w:r>
      <w:r w:rsidRPr="00A60751">
        <w:t xml:space="preserve"> from scope, while these products and services are proposed to be within scope of the subscription proposal. </w:t>
      </w:r>
      <w:r>
        <w:t xml:space="preserve">Treasury </w:t>
      </w:r>
      <w:r w:rsidR="00F830F0">
        <w:t xml:space="preserve">has </w:t>
      </w:r>
      <w:r>
        <w:t>also excluded telecommunications products and services from this assessment to ensure consistency.</w:t>
      </w:r>
      <w:r w:rsidRPr="00A60751">
        <w:t xml:space="preserve"> Accordingly, the estimated size of spending on subscription contracts is likely underestimated, as it is estimated that the average Australian adult has at least one telecommunication contract.</w:t>
      </w:r>
      <w:r w:rsidRPr="779D0450">
        <w:rPr>
          <w:rStyle w:val="FootnoteReference"/>
          <w:rFonts w:eastAsiaTheme="majorEastAsia"/>
          <w:sz w:val="22"/>
          <w:szCs w:val="22"/>
        </w:rPr>
        <w:footnoteReference w:id="172"/>
      </w:r>
      <w:r w:rsidRPr="00A60751">
        <w:t xml:space="preserve"> </w:t>
      </w:r>
    </w:p>
    <w:p w14:paraId="761FB7CE" w14:textId="7ECEC12D" w:rsidR="00406CD0" w:rsidRPr="006F7FCE" w:rsidRDefault="00406CD0" w:rsidP="00406CD0">
      <w:r w:rsidRPr="006F7FCE">
        <w:t>There is a lack of reliable Australian data on:</w:t>
      </w:r>
    </w:p>
    <w:p w14:paraId="39DB3F5D" w14:textId="249BB83E" w:rsidR="00406CD0" w:rsidRPr="0029348E" w:rsidRDefault="00406CD0" w:rsidP="00406CD0">
      <w:pPr>
        <w:pStyle w:val="Bullet"/>
        <w:spacing w:line="240" w:lineRule="auto"/>
        <w:ind w:left="522" w:hanging="522"/>
      </w:pPr>
      <w:r>
        <w:t>T</w:t>
      </w:r>
      <w:r w:rsidRPr="0029348E">
        <w:t>he average number of subscriptions per adult. Input used in this assessment has been drawn from the UK</w:t>
      </w:r>
      <w:r>
        <w:t xml:space="preserve"> </w:t>
      </w:r>
      <w:r w:rsidRPr="0029348E">
        <w:t>IA</w:t>
      </w:r>
      <w:r>
        <w:t>,</w:t>
      </w:r>
      <w:r>
        <w:rPr>
          <w:rStyle w:val="FootnoteReference"/>
        </w:rPr>
        <w:footnoteReference w:id="173"/>
      </w:r>
      <w:r w:rsidRPr="0029348E">
        <w:t xml:space="preserve"> which was estimated using the combined output of multiple UK consumer surveys. The FTC estimated the total number of subscriptions (including telecommunications) </w:t>
      </w:r>
      <w:r w:rsidRPr="0029348E">
        <w:lastRenderedPageBreak/>
        <w:t>held by US consumers at 4.5.</w:t>
      </w:r>
      <w:r w:rsidRPr="008479EA">
        <w:rPr>
          <w:rFonts w:eastAsiaTheme="majorEastAsia"/>
          <w:vertAlign w:val="superscript"/>
        </w:rPr>
        <w:footnoteReference w:id="174"/>
      </w:r>
      <w:r w:rsidRPr="008479EA">
        <w:rPr>
          <w:vertAlign w:val="superscript"/>
        </w:rPr>
        <w:t xml:space="preserve"> </w:t>
      </w:r>
      <w:r w:rsidRPr="0029348E">
        <w:t xml:space="preserve">Both the UK’s IA and the FTC’s Final Rule acknowledge there is uncertainty in these estimates since subscriptions may be held by households of multiple individuals. </w:t>
      </w:r>
    </w:p>
    <w:p w14:paraId="2B1AB16C" w14:textId="32DB175C" w:rsidR="00406CD0" w:rsidRPr="0029348E" w:rsidRDefault="00406CD0" w:rsidP="00406CD0">
      <w:pPr>
        <w:pStyle w:val="Bullet"/>
        <w:spacing w:line="240" w:lineRule="auto"/>
        <w:ind w:left="522" w:hanging="522"/>
      </w:pPr>
      <w:r>
        <w:t>T</w:t>
      </w:r>
      <w:r w:rsidRPr="0029348E">
        <w:t xml:space="preserve">he average cost of a monthly subscription in Australia. </w:t>
      </w:r>
      <w:r w:rsidR="00966FD7">
        <w:t xml:space="preserve">Treasury undertook desktop research </w:t>
      </w:r>
      <w:r w:rsidR="0027659F">
        <w:t>across several popular types of subscriptions to estimate this figure.</w:t>
      </w:r>
      <w:r w:rsidRPr="0029348E">
        <w:t xml:space="preserve"> </w:t>
      </w:r>
    </w:p>
    <w:p w14:paraId="3A153F85" w14:textId="0E8FE877" w:rsidR="00406CD0" w:rsidRDefault="00406CD0" w:rsidP="00406CD0">
      <w:pPr>
        <w:pStyle w:val="Bullet"/>
        <w:spacing w:line="240" w:lineRule="auto"/>
        <w:ind w:left="522" w:hanging="522"/>
      </w:pPr>
      <w:r>
        <w:t>T</w:t>
      </w:r>
      <w:r w:rsidRPr="0029348E">
        <w:t>he share of unwanted subscriptions that Australians hold</w:t>
      </w:r>
      <w:r w:rsidR="00D44EE4">
        <w:t>.</w:t>
      </w:r>
      <w:r w:rsidRPr="0029348E">
        <w:t xml:space="preserve"> </w:t>
      </w:r>
      <w:r w:rsidR="00D44EE4">
        <w:t>T</w:t>
      </w:r>
      <w:r w:rsidRPr="0029348E">
        <w:t>he input used in this assessment has been drawn from the UK IA.</w:t>
      </w:r>
      <w:r>
        <w:rPr>
          <w:rStyle w:val="FootnoteReference"/>
        </w:rPr>
        <w:footnoteReference w:id="175"/>
      </w:r>
      <w:r w:rsidRPr="0029348E">
        <w:t xml:space="preserve"> </w:t>
      </w:r>
    </w:p>
    <w:p w14:paraId="5C32AF80" w14:textId="77777777" w:rsidR="00406CD0" w:rsidRPr="007C6773" w:rsidRDefault="00406CD0" w:rsidP="00406CD0">
      <w:pPr>
        <w:pStyle w:val="Bullet"/>
        <w:numPr>
          <w:ilvl w:val="0"/>
          <w:numId w:val="0"/>
        </w:numPr>
        <w:spacing w:line="240" w:lineRule="auto"/>
        <w:rPr>
          <w:vertAlign w:val="superscript"/>
        </w:rPr>
      </w:pPr>
      <w:r w:rsidRPr="0029348E">
        <w:t>This approach makes no accounting for growth or decline in the subscription market. There is evidence to suggest that consumer spending by Australians on subscriptions has grown in recent years and will continue to grow.</w:t>
      </w:r>
      <w:r w:rsidRPr="779D0450">
        <w:rPr>
          <w:rStyle w:val="FootnoteReference"/>
          <w:rFonts w:eastAsiaTheme="majorEastAsia"/>
          <w:sz w:val="22"/>
          <w:szCs w:val="22"/>
        </w:rPr>
        <w:footnoteReference w:id="176"/>
      </w:r>
      <w:r w:rsidRPr="0077321D">
        <w:rPr>
          <w:vertAlign w:val="superscript"/>
        </w:rPr>
        <w:t xml:space="preserve"> </w:t>
      </w:r>
    </w:p>
    <w:p w14:paraId="1F83A7B4" w14:textId="77777777" w:rsidR="00406CD0" w:rsidRDefault="00406CD0" w:rsidP="00406CD0">
      <w:pPr>
        <w:pStyle w:val="Heading4"/>
      </w:pPr>
      <w:r>
        <w:t>Regulatory burden estimate</w:t>
      </w:r>
    </w:p>
    <w:p w14:paraId="18C574F1" w14:textId="41D5E862" w:rsidR="00406CD0" w:rsidRDefault="00406CD0" w:rsidP="00406CD0">
      <w:pPr>
        <w:spacing w:before="0" w:after="160" w:line="276" w:lineRule="auto"/>
      </w:pPr>
      <w:r>
        <w:t>No costs are forecast for consumers or for community organisations under this proposal.</w:t>
      </w:r>
    </w:p>
    <w:p w14:paraId="4FAC0199" w14:textId="77777777" w:rsidR="00F67211" w:rsidRDefault="00F67211" w:rsidP="00406CD0">
      <w:pPr>
        <w:spacing w:before="0" w:after="160" w:line="276" w:lineRule="auto"/>
        <w:rPr>
          <w:sz w:val="24"/>
        </w:rPr>
      </w:pPr>
    </w:p>
    <w:p w14:paraId="10AF5210" w14:textId="77777777" w:rsidR="00F67211" w:rsidRDefault="00F67211" w:rsidP="00406CD0">
      <w:pPr>
        <w:spacing w:before="0" w:after="160" w:line="276" w:lineRule="auto"/>
        <w:rPr>
          <w:sz w:val="24"/>
        </w:rPr>
      </w:pPr>
    </w:p>
    <w:p w14:paraId="6813362B" w14:textId="77777777" w:rsidR="00F67211" w:rsidRDefault="00F67211" w:rsidP="00406CD0">
      <w:pPr>
        <w:spacing w:before="0" w:after="160" w:line="276" w:lineRule="auto"/>
        <w:rPr>
          <w:sz w:val="24"/>
        </w:rPr>
      </w:pPr>
    </w:p>
    <w:p w14:paraId="01BCBCEF" w14:textId="77777777" w:rsidR="00F67211" w:rsidRDefault="00F67211" w:rsidP="00406CD0">
      <w:pPr>
        <w:spacing w:before="0" w:after="160" w:line="276" w:lineRule="auto"/>
        <w:rPr>
          <w:sz w:val="24"/>
        </w:rPr>
      </w:pPr>
    </w:p>
    <w:p w14:paraId="28C75A94" w14:textId="77777777" w:rsidR="00F67211" w:rsidRDefault="00F67211" w:rsidP="00406CD0">
      <w:pPr>
        <w:spacing w:before="0" w:after="160" w:line="276" w:lineRule="auto"/>
        <w:rPr>
          <w:sz w:val="24"/>
        </w:rPr>
      </w:pPr>
    </w:p>
    <w:p w14:paraId="7E78482A" w14:textId="77777777" w:rsidR="00F67211" w:rsidRDefault="00F67211" w:rsidP="00406CD0">
      <w:pPr>
        <w:spacing w:before="0" w:after="160" w:line="276" w:lineRule="auto"/>
        <w:rPr>
          <w:sz w:val="24"/>
        </w:rPr>
      </w:pPr>
    </w:p>
    <w:p w14:paraId="1D321D45" w14:textId="77777777" w:rsidR="00F67211" w:rsidRDefault="00F67211" w:rsidP="00406CD0">
      <w:pPr>
        <w:spacing w:before="0" w:after="160" w:line="276" w:lineRule="auto"/>
        <w:rPr>
          <w:sz w:val="24"/>
        </w:rPr>
      </w:pPr>
    </w:p>
    <w:p w14:paraId="6EFFD32C" w14:textId="77777777" w:rsidR="00F67211" w:rsidRDefault="00F67211" w:rsidP="00406CD0">
      <w:pPr>
        <w:spacing w:before="0" w:after="160" w:line="276" w:lineRule="auto"/>
        <w:rPr>
          <w:sz w:val="24"/>
        </w:rPr>
      </w:pPr>
    </w:p>
    <w:p w14:paraId="48EDAE38" w14:textId="77777777" w:rsidR="00F67211" w:rsidRDefault="00F67211" w:rsidP="00406CD0">
      <w:pPr>
        <w:spacing w:before="0" w:after="160" w:line="276" w:lineRule="auto"/>
        <w:rPr>
          <w:sz w:val="24"/>
        </w:rPr>
      </w:pPr>
    </w:p>
    <w:p w14:paraId="2A34FCAA" w14:textId="77777777" w:rsidR="00F67211" w:rsidRDefault="00F67211" w:rsidP="00406CD0">
      <w:pPr>
        <w:spacing w:before="0" w:after="160" w:line="276" w:lineRule="auto"/>
        <w:rPr>
          <w:sz w:val="24"/>
        </w:rPr>
      </w:pPr>
    </w:p>
    <w:p w14:paraId="6E21A116" w14:textId="77777777" w:rsidR="00F67211" w:rsidRDefault="00F67211" w:rsidP="00406CD0">
      <w:pPr>
        <w:spacing w:before="0" w:after="160" w:line="276" w:lineRule="auto"/>
        <w:rPr>
          <w:sz w:val="24"/>
        </w:rPr>
      </w:pPr>
    </w:p>
    <w:p w14:paraId="46ABF390" w14:textId="77777777" w:rsidR="00F67211" w:rsidRDefault="00F67211" w:rsidP="00406CD0">
      <w:pPr>
        <w:spacing w:before="0" w:after="160" w:line="276" w:lineRule="auto"/>
        <w:rPr>
          <w:sz w:val="24"/>
        </w:rPr>
      </w:pPr>
    </w:p>
    <w:p w14:paraId="504B7F96" w14:textId="77777777" w:rsidR="00F67211" w:rsidRDefault="00F67211" w:rsidP="00406CD0">
      <w:pPr>
        <w:spacing w:before="0" w:after="160" w:line="276" w:lineRule="auto"/>
        <w:rPr>
          <w:sz w:val="24"/>
        </w:rPr>
      </w:pPr>
    </w:p>
    <w:p w14:paraId="7430B8B8" w14:textId="784A9119" w:rsidR="00A226DD" w:rsidRPr="007C6773" w:rsidRDefault="00A226DD" w:rsidP="00406CD0">
      <w:pPr>
        <w:spacing w:before="0" w:after="160" w:line="276" w:lineRule="auto"/>
        <w:rPr>
          <w:sz w:val="24"/>
          <w:szCs w:val="22"/>
        </w:rPr>
      </w:pPr>
      <w:r>
        <w:rPr>
          <w:sz w:val="24"/>
        </w:rPr>
        <w:lastRenderedPageBreak/>
        <w:t>Table 5</w:t>
      </w:r>
      <w:r w:rsidRPr="00D066BB">
        <w:rPr>
          <w:sz w:val="24"/>
        </w:rPr>
        <w:t xml:space="preserve">: </w:t>
      </w:r>
      <w:r w:rsidR="00A9293C">
        <w:rPr>
          <w:sz w:val="24"/>
        </w:rPr>
        <w:t xml:space="preserve">Subscription Proposal - </w:t>
      </w:r>
      <w:r w:rsidR="008B0989">
        <w:rPr>
          <w:sz w:val="24"/>
        </w:rPr>
        <w:t xml:space="preserve">Estimated </w:t>
      </w:r>
      <w:r w:rsidR="00493872">
        <w:rPr>
          <w:sz w:val="24"/>
        </w:rPr>
        <w:t>cost</w:t>
      </w:r>
      <w:r w:rsidR="0096272E">
        <w:rPr>
          <w:sz w:val="24"/>
        </w:rPr>
        <w:t>s</w:t>
      </w:r>
      <w:r w:rsidR="00493872">
        <w:rPr>
          <w:sz w:val="24"/>
        </w:rPr>
        <w:t xml:space="preserve"> to businesses</w:t>
      </w:r>
    </w:p>
    <w:tbl>
      <w:tblPr>
        <w:tblStyle w:val="GridTable1Light-Accent1"/>
        <w:tblW w:w="0" w:type="auto"/>
        <w:tblBorders>
          <w:top w:val="single" w:sz="4" w:space="0" w:color="5D779D" w:themeColor="accent3"/>
          <w:left w:val="single" w:sz="4" w:space="0" w:color="5D779D" w:themeColor="accent3"/>
          <w:bottom w:val="single" w:sz="4" w:space="0" w:color="5D779D" w:themeColor="accent3"/>
          <w:right w:val="single" w:sz="4" w:space="0" w:color="5D779D" w:themeColor="accent3"/>
          <w:insideH w:val="single" w:sz="4" w:space="0" w:color="5D779D" w:themeColor="accent3"/>
          <w:insideV w:val="single" w:sz="4" w:space="0" w:color="5D779D" w:themeColor="accent3"/>
        </w:tblBorders>
        <w:tblLook w:val="06A0" w:firstRow="1" w:lastRow="0" w:firstColumn="1" w:lastColumn="0" w:noHBand="1" w:noVBand="1"/>
      </w:tblPr>
      <w:tblGrid>
        <w:gridCol w:w="2122"/>
        <w:gridCol w:w="1275"/>
        <w:gridCol w:w="1418"/>
        <w:gridCol w:w="1559"/>
        <w:gridCol w:w="1359"/>
        <w:gridCol w:w="1327"/>
      </w:tblGrid>
      <w:tr w:rsidR="00406CD0" w:rsidRPr="00E23FFA" w14:paraId="0BB8B128" w14:textId="4B8BC840" w:rsidTr="00DB55D5">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122" w:type="dxa"/>
            <w:tcBorders>
              <w:right w:val="nil"/>
            </w:tcBorders>
            <w:shd w:val="clear" w:color="auto" w:fill="002060"/>
          </w:tcPr>
          <w:p w14:paraId="6A23FF24" w14:textId="77777777" w:rsidR="00406CD0" w:rsidRPr="00926664" w:rsidRDefault="00406CD0" w:rsidP="00F67211">
            <w:pPr>
              <w:keepNext/>
              <w:spacing w:before="100" w:beforeAutospacing="1" w:after="100" w:afterAutospacing="1"/>
              <w:rPr>
                <w:rFonts w:cs="Calibri Light"/>
                <w:sz w:val="18"/>
                <w:szCs w:val="18"/>
              </w:rPr>
            </w:pPr>
          </w:p>
        </w:tc>
        <w:tc>
          <w:tcPr>
            <w:tcW w:w="1275" w:type="dxa"/>
            <w:tcBorders>
              <w:left w:val="nil"/>
              <w:right w:val="nil"/>
            </w:tcBorders>
            <w:shd w:val="clear" w:color="auto" w:fill="002060"/>
          </w:tcPr>
          <w:p w14:paraId="01FFEDC3" w14:textId="3263E43D" w:rsidR="00406CD0" w:rsidRPr="00926664" w:rsidRDefault="00406CD0"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Non</w:t>
            </w:r>
            <w:r w:rsidR="003E3A8F" w:rsidRPr="00926664">
              <w:rPr>
                <w:rFonts w:cs="Calibri Light"/>
                <w:sz w:val="18"/>
                <w:szCs w:val="18"/>
              </w:rPr>
              <w:t>-</w:t>
            </w:r>
            <w:r w:rsidRPr="00926664">
              <w:rPr>
                <w:rFonts w:cs="Calibri Light"/>
                <w:sz w:val="18"/>
                <w:szCs w:val="18"/>
              </w:rPr>
              <w:t xml:space="preserve">Employing </w:t>
            </w:r>
          </w:p>
        </w:tc>
        <w:tc>
          <w:tcPr>
            <w:tcW w:w="1418" w:type="dxa"/>
            <w:tcBorders>
              <w:left w:val="nil"/>
              <w:right w:val="nil"/>
            </w:tcBorders>
            <w:shd w:val="clear" w:color="auto" w:fill="002060"/>
          </w:tcPr>
          <w:p w14:paraId="5250F19C" w14:textId="62DF4414" w:rsidR="00406CD0" w:rsidRPr="00DB55D5" w:rsidRDefault="00406CD0"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b w:val="0"/>
                <w:sz w:val="18"/>
                <w:szCs w:val="18"/>
              </w:rPr>
            </w:pPr>
            <w:r w:rsidRPr="00926664">
              <w:rPr>
                <w:rFonts w:cs="Calibri Light"/>
                <w:sz w:val="18"/>
                <w:szCs w:val="18"/>
              </w:rPr>
              <w:t xml:space="preserve">Small </w:t>
            </w:r>
            <w:r w:rsidR="003E3A8F" w:rsidRPr="00926664">
              <w:rPr>
                <w:rFonts w:cs="Calibri Light"/>
                <w:sz w:val="18"/>
                <w:szCs w:val="18"/>
              </w:rPr>
              <w:t>Businesses</w:t>
            </w:r>
            <w:r w:rsidR="00DB55D5">
              <w:rPr>
                <w:rFonts w:cs="Calibri Light"/>
                <w:sz w:val="18"/>
                <w:szCs w:val="18"/>
              </w:rPr>
              <w:t xml:space="preserve">  </w:t>
            </w:r>
            <w:r w:rsidR="00230A72">
              <w:rPr>
                <w:rFonts w:cs="Calibri Light"/>
                <w:sz w:val="18"/>
                <w:szCs w:val="18"/>
              </w:rPr>
              <w:br/>
            </w:r>
            <w:r w:rsidR="00B56D27">
              <w:rPr>
                <w:rFonts w:cs="Calibri Light"/>
                <w:sz w:val="18"/>
                <w:szCs w:val="18"/>
              </w:rPr>
              <w:t>(</w:t>
            </w:r>
            <w:r w:rsidR="00230A72">
              <w:rPr>
                <w:rFonts w:cs="Calibri Light"/>
                <w:sz w:val="18"/>
                <w:szCs w:val="18"/>
              </w:rPr>
              <w:t>1</w:t>
            </w:r>
            <w:r w:rsidR="00B56D27">
              <w:rPr>
                <w:rFonts w:cs="Calibri Light"/>
                <w:sz w:val="18"/>
                <w:szCs w:val="18"/>
              </w:rPr>
              <w:t>-19 employees)</w:t>
            </w:r>
          </w:p>
        </w:tc>
        <w:tc>
          <w:tcPr>
            <w:tcW w:w="1559" w:type="dxa"/>
            <w:tcBorders>
              <w:left w:val="nil"/>
              <w:right w:val="nil"/>
            </w:tcBorders>
            <w:shd w:val="clear" w:color="auto" w:fill="002060"/>
          </w:tcPr>
          <w:p w14:paraId="0651C81E" w14:textId="3C43B244" w:rsidR="00406CD0" w:rsidRPr="00926664" w:rsidRDefault="00B56D27"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481677">
              <w:rPr>
                <w:sz w:val="18"/>
                <w:szCs w:val="18"/>
              </w:rPr>
              <w:t xml:space="preserve">Medium-sized businesses </w:t>
            </w:r>
            <w:r w:rsidR="00230A72">
              <w:rPr>
                <w:sz w:val="18"/>
                <w:szCs w:val="18"/>
              </w:rPr>
              <w:br/>
            </w:r>
            <w:r w:rsidRPr="00481677">
              <w:rPr>
                <w:sz w:val="18"/>
                <w:szCs w:val="18"/>
              </w:rPr>
              <w:t>(20-199 employees)</w:t>
            </w:r>
          </w:p>
        </w:tc>
        <w:tc>
          <w:tcPr>
            <w:tcW w:w="1359" w:type="dxa"/>
            <w:tcBorders>
              <w:left w:val="nil"/>
              <w:right w:val="nil"/>
            </w:tcBorders>
            <w:shd w:val="clear" w:color="auto" w:fill="002060"/>
          </w:tcPr>
          <w:p w14:paraId="0A76D43C" w14:textId="7F7FD42B" w:rsidR="00406CD0" w:rsidRPr="00926664" w:rsidRDefault="00B56D27"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481677">
              <w:rPr>
                <w:sz w:val="18"/>
                <w:szCs w:val="18"/>
              </w:rPr>
              <w:t>Large businesses (200+ employees)</w:t>
            </w:r>
          </w:p>
        </w:tc>
        <w:tc>
          <w:tcPr>
            <w:tcW w:w="1327" w:type="dxa"/>
            <w:tcBorders>
              <w:left w:val="nil"/>
            </w:tcBorders>
            <w:shd w:val="clear" w:color="auto" w:fill="002060"/>
          </w:tcPr>
          <w:p w14:paraId="5E9F563E" w14:textId="0DE20986" w:rsidR="003E3A8F" w:rsidRPr="00926664" w:rsidRDefault="003E3A8F" w:rsidP="00F67211">
            <w:pPr>
              <w:keepNext/>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Total</w:t>
            </w:r>
          </w:p>
        </w:tc>
      </w:tr>
      <w:tr w:rsidR="00406CD0" w:rsidRPr="00E23FFA" w14:paraId="680E53A9" w14:textId="3BB3475E"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4770F737"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 xml:space="preserve">Number of businesses in Australia offering subscriptions </w:t>
            </w:r>
          </w:p>
        </w:tc>
        <w:tc>
          <w:tcPr>
            <w:tcW w:w="1275" w:type="dxa"/>
            <w:tcBorders>
              <w:bottom w:val="single" w:sz="4" w:space="0" w:color="5D779D" w:themeColor="accent3"/>
            </w:tcBorders>
          </w:tcPr>
          <w:p w14:paraId="53C8CED9"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5,500</w:t>
            </w:r>
          </w:p>
        </w:tc>
        <w:tc>
          <w:tcPr>
            <w:tcW w:w="1418" w:type="dxa"/>
            <w:tcBorders>
              <w:bottom w:val="single" w:sz="4" w:space="0" w:color="5D779D" w:themeColor="accent3"/>
            </w:tcBorders>
          </w:tcPr>
          <w:p w14:paraId="59B43AD0"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18,406</w:t>
            </w:r>
          </w:p>
        </w:tc>
        <w:tc>
          <w:tcPr>
            <w:tcW w:w="1559" w:type="dxa"/>
            <w:tcBorders>
              <w:bottom w:val="single" w:sz="4" w:space="0" w:color="5D779D" w:themeColor="accent3"/>
            </w:tcBorders>
          </w:tcPr>
          <w:p w14:paraId="7241318C"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6,244</w:t>
            </w:r>
          </w:p>
        </w:tc>
        <w:tc>
          <w:tcPr>
            <w:tcW w:w="1359" w:type="dxa"/>
            <w:tcBorders>
              <w:bottom w:val="single" w:sz="4" w:space="0" w:color="5D779D" w:themeColor="accent3"/>
            </w:tcBorders>
          </w:tcPr>
          <w:p w14:paraId="4A16CEF4" w14:textId="77777777"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449</w:t>
            </w:r>
          </w:p>
        </w:tc>
        <w:tc>
          <w:tcPr>
            <w:tcW w:w="1327" w:type="dxa"/>
          </w:tcPr>
          <w:p w14:paraId="4830C0EE" w14:textId="4C0158EA" w:rsidR="003E3A8F" w:rsidRPr="00926664" w:rsidRDefault="00E970B8"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30,</w:t>
            </w:r>
            <w:r w:rsidR="00F32D19" w:rsidRPr="00926664">
              <w:rPr>
                <w:rFonts w:cs="Calibri Light"/>
                <w:sz w:val="18"/>
                <w:szCs w:val="18"/>
              </w:rPr>
              <w:t>600</w:t>
            </w:r>
          </w:p>
        </w:tc>
      </w:tr>
      <w:tr w:rsidR="00B56D27" w:rsidRPr="00926664" w14:paraId="68C928C1" w14:textId="7777777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0E5C2801" w14:textId="1D273C6D" w:rsidR="00B56D27" w:rsidRPr="00926664" w:rsidRDefault="00B56D27" w:rsidP="00F67211">
            <w:pPr>
              <w:keepNext/>
              <w:spacing w:before="100" w:beforeAutospacing="1" w:after="100" w:afterAutospacing="1"/>
              <w:rPr>
                <w:rFonts w:cs="Calibri Light"/>
                <w:sz w:val="18"/>
                <w:szCs w:val="18"/>
              </w:rPr>
            </w:pPr>
            <w:r w:rsidRPr="00926664">
              <w:rPr>
                <w:rFonts w:cs="Calibri Light"/>
                <w:sz w:val="18"/>
                <w:szCs w:val="18"/>
              </w:rPr>
              <w:t>Labour cost ($)</w:t>
            </w:r>
            <w:r w:rsidRPr="00926664">
              <w:rPr>
                <w:rStyle w:val="FootnoteReference"/>
                <w:rFonts w:cs="Calibri Light"/>
                <w:szCs w:val="18"/>
              </w:rPr>
              <w:footnoteReference w:id="177"/>
            </w:r>
            <w:r w:rsidRPr="00926664">
              <w:rPr>
                <w:rFonts w:cs="Calibri Light"/>
                <w:sz w:val="18"/>
                <w:szCs w:val="18"/>
              </w:rPr>
              <w:t xml:space="preserve"> </w:t>
            </w:r>
            <w:r w:rsidRPr="00926664">
              <w:rPr>
                <w:rFonts w:cs="Calibri Light"/>
                <w:sz w:val="18"/>
                <w:szCs w:val="18"/>
              </w:rPr>
              <w:tab/>
            </w:r>
          </w:p>
        </w:tc>
        <w:tc>
          <w:tcPr>
            <w:tcW w:w="1275" w:type="dxa"/>
            <w:tcBorders>
              <w:right w:val="nil"/>
            </w:tcBorders>
            <w:shd w:val="clear" w:color="auto" w:fill="D2E1F9" w:themeFill="accent5" w:themeFillTint="66"/>
          </w:tcPr>
          <w:p w14:paraId="00776703" w14:textId="4E7A6F38"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418" w:type="dxa"/>
            <w:tcBorders>
              <w:left w:val="nil"/>
              <w:right w:val="nil"/>
            </w:tcBorders>
            <w:shd w:val="clear" w:color="auto" w:fill="D2E1F9" w:themeFill="accent5" w:themeFillTint="66"/>
          </w:tcPr>
          <w:p w14:paraId="7FB79DDA"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559" w:type="dxa"/>
            <w:tcBorders>
              <w:left w:val="nil"/>
              <w:right w:val="nil"/>
            </w:tcBorders>
            <w:shd w:val="clear" w:color="auto" w:fill="D2E1F9" w:themeFill="accent5" w:themeFillTint="66"/>
          </w:tcPr>
          <w:p w14:paraId="422FA424"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59" w:type="dxa"/>
            <w:tcBorders>
              <w:left w:val="nil"/>
            </w:tcBorders>
            <w:shd w:val="clear" w:color="auto" w:fill="D2E1F9" w:themeFill="accent5" w:themeFillTint="66"/>
          </w:tcPr>
          <w:p w14:paraId="38B8C654"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27" w:type="dxa"/>
            <w:tcBorders>
              <w:bottom w:val="single" w:sz="4" w:space="0" w:color="5D779D" w:themeColor="accent3"/>
            </w:tcBorders>
            <w:shd w:val="clear" w:color="auto" w:fill="D2E1F9" w:themeFill="accent5" w:themeFillTint="66"/>
          </w:tcPr>
          <w:p w14:paraId="239D68C6" w14:textId="33D204D8"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177,337,000</w:t>
            </w:r>
          </w:p>
        </w:tc>
      </w:tr>
      <w:tr w:rsidR="00406CD0" w:rsidRPr="00E23FFA" w14:paraId="1211E608" w14:textId="55143680"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3685C9E9"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Disclosure requirement</w:t>
            </w:r>
          </w:p>
        </w:tc>
        <w:tc>
          <w:tcPr>
            <w:tcW w:w="1275" w:type="dxa"/>
          </w:tcPr>
          <w:p w14:paraId="459FCE94" w14:textId="3AE2F58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4,87</w:t>
            </w:r>
            <w:r w:rsidR="138CC8F8" w:rsidRPr="00926664">
              <w:rPr>
                <w:rFonts w:cs="Calibri Light"/>
                <w:sz w:val="18"/>
                <w:szCs w:val="18"/>
              </w:rPr>
              <w:t>2,000</w:t>
            </w:r>
          </w:p>
        </w:tc>
        <w:tc>
          <w:tcPr>
            <w:tcW w:w="1418" w:type="dxa"/>
          </w:tcPr>
          <w:p w14:paraId="1EC4E2ED" w14:textId="53B52396"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22,574,</w:t>
            </w:r>
            <w:r w:rsidR="237F065F" w:rsidRPr="00926664">
              <w:rPr>
                <w:rFonts w:cs="Calibri Light"/>
                <w:sz w:val="18"/>
                <w:szCs w:val="18"/>
              </w:rPr>
              <w:t>000</w:t>
            </w:r>
          </w:p>
        </w:tc>
        <w:tc>
          <w:tcPr>
            <w:tcW w:w="1559" w:type="dxa"/>
          </w:tcPr>
          <w:p w14:paraId="02426BCD" w14:textId="384992C8"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28,932,0</w:t>
            </w:r>
            <w:r w:rsidR="08D7E8C1" w:rsidRPr="00926664">
              <w:rPr>
                <w:rFonts w:cs="Calibri Light"/>
                <w:sz w:val="18"/>
                <w:szCs w:val="18"/>
              </w:rPr>
              <w:t>00</w:t>
            </w:r>
          </w:p>
        </w:tc>
        <w:tc>
          <w:tcPr>
            <w:tcW w:w="1359" w:type="dxa"/>
          </w:tcPr>
          <w:p w14:paraId="492E58CF" w14:textId="6A6DBF6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3,91</w:t>
            </w:r>
            <w:r w:rsidR="5DACC0C4" w:rsidRPr="00926664">
              <w:rPr>
                <w:rFonts w:cs="Calibri Light"/>
                <w:sz w:val="18"/>
                <w:szCs w:val="18"/>
              </w:rPr>
              <w:t>6,000</w:t>
            </w:r>
          </w:p>
        </w:tc>
        <w:tc>
          <w:tcPr>
            <w:tcW w:w="1327" w:type="dxa"/>
            <w:tcBorders>
              <w:bottom w:val="nil"/>
            </w:tcBorders>
          </w:tcPr>
          <w:p w14:paraId="5B745355" w14:textId="25284645"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406CD0" w:rsidRPr="00E23FFA" w14:paraId="0799ED49" w14:textId="4BF73266"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53B26971"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Notification requirements</w:t>
            </w:r>
          </w:p>
        </w:tc>
        <w:tc>
          <w:tcPr>
            <w:tcW w:w="1275" w:type="dxa"/>
          </w:tcPr>
          <w:p w14:paraId="7E83F827" w14:textId="1E94C330"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4,87</w:t>
            </w:r>
            <w:r w:rsidR="33B11EDC" w:rsidRPr="00926664">
              <w:rPr>
                <w:rFonts w:cs="Calibri Light"/>
                <w:sz w:val="18"/>
                <w:szCs w:val="18"/>
              </w:rPr>
              <w:t>2,000</w:t>
            </w:r>
          </w:p>
        </w:tc>
        <w:tc>
          <w:tcPr>
            <w:tcW w:w="1418" w:type="dxa"/>
          </w:tcPr>
          <w:p w14:paraId="27D3E3C9" w14:textId="30D704EF"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22,574,</w:t>
            </w:r>
            <w:r w:rsidR="498F8A10" w:rsidRPr="00926664">
              <w:rPr>
                <w:rFonts w:cs="Calibri Light"/>
                <w:sz w:val="18"/>
                <w:szCs w:val="18"/>
              </w:rPr>
              <w:t>000</w:t>
            </w:r>
          </w:p>
        </w:tc>
        <w:tc>
          <w:tcPr>
            <w:tcW w:w="1559" w:type="dxa"/>
          </w:tcPr>
          <w:p w14:paraId="06D653FD" w14:textId="42D2DB55"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28,932,0</w:t>
            </w:r>
            <w:r w:rsidR="701F54FC" w:rsidRPr="00926664">
              <w:rPr>
                <w:rFonts w:cs="Calibri Light"/>
                <w:sz w:val="18"/>
                <w:szCs w:val="18"/>
              </w:rPr>
              <w:t>00</w:t>
            </w:r>
          </w:p>
        </w:tc>
        <w:tc>
          <w:tcPr>
            <w:tcW w:w="1359" w:type="dxa"/>
          </w:tcPr>
          <w:p w14:paraId="6760CCB3" w14:textId="321080C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3,91</w:t>
            </w:r>
            <w:r w:rsidR="7AEBCA9F" w:rsidRPr="00926664">
              <w:rPr>
                <w:rFonts w:cs="Calibri Light"/>
                <w:sz w:val="18"/>
                <w:szCs w:val="18"/>
              </w:rPr>
              <w:t>6,000</w:t>
            </w:r>
          </w:p>
        </w:tc>
        <w:tc>
          <w:tcPr>
            <w:tcW w:w="1327" w:type="dxa"/>
            <w:tcBorders>
              <w:top w:val="nil"/>
              <w:bottom w:val="nil"/>
            </w:tcBorders>
          </w:tcPr>
          <w:p w14:paraId="58C1E41A" w14:textId="5532C60E"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406CD0" w:rsidRPr="00E23FFA" w14:paraId="49C6D0FE" w14:textId="095191A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tcPr>
          <w:p w14:paraId="3730BF78" w14:textId="77777777" w:rsidR="00406CD0" w:rsidRPr="00D066BB" w:rsidRDefault="00406CD0" w:rsidP="00F67211">
            <w:pPr>
              <w:keepNext/>
              <w:spacing w:before="100" w:beforeAutospacing="1" w:after="100" w:afterAutospacing="1"/>
              <w:rPr>
                <w:rFonts w:cs="Calibri Light"/>
                <w:b w:val="0"/>
                <w:sz w:val="18"/>
                <w:szCs w:val="18"/>
              </w:rPr>
            </w:pPr>
            <w:r w:rsidRPr="00D066BB">
              <w:rPr>
                <w:rFonts w:cs="Calibri Light"/>
                <w:b w:val="0"/>
                <w:sz w:val="18"/>
                <w:szCs w:val="18"/>
              </w:rPr>
              <w:t>Easy cancellation requirement</w:t>
            </w:r>
          </w:p>
        </w:tc>
        <w:tc>
          <w:tcPr>
            <w:tcW w:w="1275" w:type="dxa"/>
            <w:tcBorders>
              <w:bottom w:val="single" w:sz="4" w:space="0" w:color="5D779D" w:themeColor="accent3"/>
            </w:tcBorders>
          </w:tcPr>
          <w:p w14:paraId="642E300A" w14:textId="0398FE3C"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4,23</w:t>
            </w:r>
            <w:r w:rsidR="35DF1385" w:rsidRPr="00926664">
              <w:rPr>
                <w:rFonts w:cs="Calibri Light"/>
                <w:sz w:val="18"/>
                <w:szCs w:val="18"/>
              </w:rPr>
              <w:t>5,000</w:t>
            </w:r>
          </w:p>
        </w:tc>
        <w:tc>
          <w:tcPr>
            <w:tcW w:w="1418" w:type="dxa"/>
            <w:tcBorders>
              <w:bottom w:val="single" w:sz="4" w:space="0" w:color="5D779D" w:themeColor="accent3"/>
            </w:tcBorders>
          </w:tcPr>
          <w:p w14:paraId="5AF5DA7B" w14:textId="23A8F13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20,442,</w:t>
            </w:r>
            <w:r w:rsidR="71E06923" w:rsidRPr="00926664">
              <w:rPr>
                <w:rFonts w:cs="Calibri Light"/>
                <w:sz w:val="18"/>
                <w:szCs w:val="18"/>
              </w:rPr>
              <w:t>000</w:t>
            </w:r>
          </w:p>
        </w:tc>
        <w:tc>
          <w:tcPr>
            <w:tcW w:w="1559" w:type="dxa"/>
            <w:tcBorders>
              <w:bottom w:val="single" w:sz="4" w:space="0" w:color="5D779D" w:themeColor="accent3"/>
            </w:tcBorders>
          </w:tcPr>
          <w:p w14:paraId="24CB7B46" w14:textId="7E12FFCD"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28,20</w:t>
            </w:r>
            <w:r w:rsidR="478384B5" w:rsidRPr="00926664">
              <w:rPr>
                <w:rFonts w:cs="Calibri Light"/>
                <w:sz w:val="18"/>
                <w:szCs w:val="18"/>
              </w:rPr>
              <w:t>9,000</w:t>
            </w:r>
          </w:p>
        </w:tc>
        <w:tc>
          <w:tcPr>
            <w:tcW w:w="1359" w:type="dxa"/>
            <w:tcBorders>
              <w:bottom w:val="single" w:sz="4" w:space="0" w:color="5D779D" w:themeColor="accent3"/>
            </w:tcBorders>
          </w:tcPr>
          <w:p w14:paraId="2D44F70F" w14:textId="671DAAE9"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3,86</w:t>
            </w:r>
            <w:r w:rsidR="28F18325" w:rsidRPr="00926664">
              <w:rPr>
                <w:rFonts w:cs="Calibri Light"/>
                <w:sz w:val="18"/>
                <w:szCs w:val="18"/>
              </w:rPr>
              <w:t>4,000</w:t>
            </w:r>
          </w:p>
        </w:tc>
        <w:tc>
          <w:tcPr>
            <w:tcW w:w="1327" w:type="dxa"/>
            <w:tcBorders>
              <w:top w:val="nil"/>
            </w:tcBorders>
          </w:tcPr>
          <w:p w14:paraId="616971D0" w14:textId="3FB45637"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DB55D5" w:rsidRPr="00926664" w14:paraId="70B919F8" w14:textId="77777777" w:rsidTr="00DB55D5">
        <w:trPr>
          <w:trHeight w:val="589"/>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358D75AF" w14:textId="434CC3B1" w:rsidR="00B56D27" w:rsidRPr="00926664" w:rsidRDefault="00B56D27" w:rsidP="00F67211">
            <w:pPr>
              <w:keepNext/>
              <w:spacing w:before="100" w:beforeAutospacing="1" w:after="100" w:afterAutospacing="1"/>
              <w:rPr>
                <w:rFonts w:cs="Calibri Light"/>
                <w:sz w:val="18"/>
                <w:szCs w:val="18"/>
              </w:rPr>
            </w:pPr>
            <w:r w:rsidRPr="00757785">
              <w:rPr>
                <w:sz w:val="18"/>
                <w:szCs w:val="18"/>
              </w:rPr>
              <w:t>Purchase costs ($)</w:t>
            </w:r>
          </w:p>
        </w:tc>
        <w:tc>
          <w:tcPr>
            <w:tcW w:w="1275" w:type="dxa"/>
            <w:tcBorders>
              <w:right w:val="nil"/>
            </w:tcBorders>
            <w:shd w:val="clear" w:color="auto" w:fill="D2E1F9" w:themeFill="accent5" w:themeFillTint="66"/>
          </w:tcPr>
          <w:p w14:paraId="0EE877B8"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418" w:type="dxa"/>
            <w:tcBorders>
              <w:left w:val="nil"/>
              <w:right w:val="nil"/>
            </w:tcBorders>
            <w:shd w:val="clear" w:color="auto" w:fill="D2E1F9" w:themeFill="accent5" w:themeFillTint="66"/>
          </w:tcPr>
          <w:p w14:paraId="074589B7"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559" w:type="dxa"/>
            <w:tcBorders>
              <w:left w:val="nil"/>
              <w:right w:val="nil"/>
            </w:tcBorders>
            <w:shd w:val="clear" w:color="auto" w:fill="D2E1F9" w:themeFill="accent5" w:themeFillTint="66"/>
          </w:tcPr>
          <w:p w14:paraId="11C0E9FB"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59" w:type="dxa"/>
            <w:tcBorders>
              <w:left w:val="nil"/>
            </w:tcBorders>
            <w:shd w:val="clear" w:color="auto" w:fill="D2E1F9" w:themeFill="accent5" w:themeFillTint="66"/>
          </w:tcPr>
          <w:p w14:paraId="30DCF403" w14:textId="7777777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tcW w:w="1327" w:type="dxa"/>
            <w:shd w:val="clear" w:color="auto" w:fill="D2E1F9" w:themeFill="accent5" w:themeFillTint="66"/>
          </w:tcPr>
          <w:p w14:paraId="2789E8EA" w14:textId="7B3F0ADE"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18,360,000</w:t>
            </w:r>
          </w:p>
        </w:tc>
      </w:tr>
      <w:tr w:rsidR="00406CD0" w:rsidRPr="00E23FFA" w14:paraId="327CEDCF" w14:textId="65A3D5F1"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tcPr>
          <w:p w14:paraId="33458231" w14:textId="016E5BEC" w:rsidR="00406CD0" w:rsidRPr="00D066BB" w:rsidRDefault="00B56D27" w:rsidP="00F67211">
            <w:pPr>
              <w:keepNext/>
              <w:spacing w:before="100" w:beforeAutospacing="1" w:after="100" w:afterAutospacing="1"/>
              <w:rPr>
                <w:rFonts w:cs="Calibri Light"/>
                <w:b w:val="0"/>
                <w:sz w:val="18"/>
                <w:szCs w:val="18"/>
              </w:rPr>
            </w:pPr>
            <w:r w:rsidRPr="00D066BB">
              <w:rPr>
                <w:rFonts w:cs="Calibri Light"/>
                <w:b w:val="0"/>
                <w:bCs w:val="0"/>
                <w:sz w:val="18"/>
                <w:szCs w:val="18"/>
              </w:rPr>
              <w:t>Obtain external legal advice</w:t>
            </w:r>
          </w:p>
        </w:tc>
        <w:tc>
          <w:tcPr>
            <w:tcW w:w="1275" w:type="dxa"/>
          </w:tcPr>
          <w:p w14:paraId="0CA068F2" w14:textId="58779740"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w:t>
            </w:r>
            <w:r w:rsidR="12FAE315" w:rsidRPr="00926664">
              <w:rPr>
                <w:rFonts w:cs="Calibri Light"/>
                <w:sz w:val="18"/>
                <w:szCs w:val="18"/>
              </w:rPr>
              <w:t>3</w:t>
            </w:r>
            <w:r w:rsidRPr="00926664">
              <w:rPr>
                <w:rFonts w:cs="Calibri Light"/>
                <w:sz w:val="18"/>
                <w:szCs w:val="18"/>
              </w:rPr>
              <w:t>00</w:t>
            </w:r>
            <w:r w:rsidR="4DAB0CEF" w:rsidRPr="00926664">
              <w:rPr>
                <w:rFonts w:cs="Calibri Light"/>
                <w:sz w:val="18"/>
                <w:szCs w:val="18"/>
              </w:rPr>
              <w:t>,000</w:t>
            </w:r>
          </w:p>
        </w:tc>
        <w:tc>
          <w:tcPr>
            <w:tcW w:w="1418" w:type="dxa"/>
          </w:tcPr>
          <w:p w14:paraId="00E6C8E9" w14:textId="0D26A08B"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11,04</w:t>
            </w:r>
            <w:r w:rsidR="3564A496" w:rsidRPr="00926664">
              <w:rPr>
                <w:rFonts w:cs="Calibri Light"/>
                <w:sz w:val="18"/>
                <w:szCs w:val="18"/>
              </w:rPr>
              <w:t>4,000</w:t>
            </w:r>
          </w:p>
        </w:tc>
        <w:tc>
          <w:tcPr>
            <w:tcW w:w="1559" w:type="dxa"/>
          </w:tcPr>
          <w:p w14:paraId="30B64094" w14:textId="68D8EB8E"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3,74</w:t>
            </w:r>
            <w:r w:rsidR="61BA05C5" w:rsidRPr="00926664">
              <w:rPr>
                <w:rFonts w:cs="Calibri Light"/>
                <w:sz w:val="18"/>
                <w:szCs w:val="18"/>
              </w:rPr>
              <w:t>7,000</w:t>
            </w:r>
          </w:p>
        </w:tc>
        <w:tc>
          <w:tcPr>
            <w:tcW w:w="1359" w:type="dxa"/>
          </w:tcPr>
          <w:p w14:paraId="5AD82E81" w14:textId="60BCDB54" w:rsidR="00406CD0" w:rsidRPr="00926664" w:rsidRDefault="00406CD0"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26664">
              <w:rPr>
                <w:rFonts w:cs="Calibri Light"/>
                <w:sz w:val="18"/>
                <w:szCs w:val="18"/>
              </w:rPr>
              <w:t>269,</w:t>
            </w:r>
            <w:r w:rsidR="51C567AA" w:rsidRPr="00926664">
              <w:rPr>
                <w:rFonts w:cs="Calibri Light"/>
                <w:sz w:val="18"/>
                <w:szCs w:val="18"/>
              </w:rPr>
              <w:t>000</w:t>
            </w:r>
          </w:p>
        </w:tc>
        <w:tc>
          <w:tcPr>
            <w:tcW w:w="1327" w:type="dxa"/>
          </w:tcPr>
          <w:p w14:paraId="049E917B" w14:textId="26C29703" w:rsidR="003E3A8F" w:rsidRPr="00926664" w:rsidRDefault="003E3A8F"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B56D27" w:rsidRPr="00926664" w14:paraId="22820AE3" w14:textId="77777777"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shd w:val="clear" w:color="auto" w:fill="D2E1F9" w:themeFill="accent5" w:themeFillTint="66"/>
          </w:tcPr>
          <w:p w14:paraId="325D0EB5" w14:textId="197A04E4" w:rsidR="00B56D27" w:rsidRPr="00757785" w:rsidRDefault="00B56D27" w:rsidP="00F67211">
            <w:pPr>
              <w:keepNext/>
              <w:spacing w:before="100" w:beforeAutospacing="1" w:after="100" w:afterAutospacing="1"/>
              <w:rPr>
                <w:b w:val="0"/>
                <w:sz w:val="18"/>
                <w:szCs w:val="18"/>
              </w:rPr>
            </w:pPr>
            <w:r w:rsidRPr="00757785">
              <w:rPr>
                <w:sz w:val="18"/>
                <w:szCs w:val="18"/>
              </w:rPr>
              <w:t>Total cost (labour + purchase) ($)</w:t>
            </w:r>
          </w:p>
        </w:tc>
        <w:tc>
          <w:tcPr>
            <w:tcW w:w="1275" w:type="dxa"/>
            <w:tcBorders>
              <w:bottom w:val="single" w:sz="4" w:space="0" w:color="5D779D" w:themeColor="accent3"/>
            </w:tcBorders>
            <w:shd w:val="clear" w:color="auto" w:fill="D2E1F9" w:themeFill="accent5" w:themeFillTint="66"/>
          </w:tcPr>
          <w:p w14:paraId="370A05DA" w14:textId="24B8189B"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17,278,000</w:t>
            </w:r>
          </w:p>
        </w:tc>
        <w:tc>
          <w:tcPr>
            <w:tcW w:w="1418" w:type="dxa"/>
            <w:tcBorders>
              <w:bottom w:val="single" w:sz="4" w:space="0" w:color="5D779D" w:themeColor="accent3"/>
            </w:tcBorders>
            <w:shd w:val="clear" w:color="auto" w:fill="D2E1F9" w:themeFill="accent5" w:themeFillTint="66"/>
          </w:tcPr>
          <w:p w14:paraId="168F5CB5" w14:textId="4594C99A"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76,635,000</w:t>
            </w:r>
          </w:p>
        </w:tc>
        <w:tc>
          <w:tcPr>
            <w:tcW w:w="1559" w:type="dxa"/>
            <w:tcBorders>
              <w:bottom w:val="single" w:sz="4" w:space="0" w:color="5D779D" w:themeColor="accent3"/>
            </w:tcBorders>
            <w:shd w:val="clear" w:color="auto" w:fill="D2E1F9" w:themeFill="accent5" w:themeFillTint="66"/>
          </w:tcPr>
          <w:p w14:paraId="14E43D6F" w14:textId="7806E3DF"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89,819,000</w:t>
            </w:r>
          </w:p>
        </w:tc>
        <w:tc>
          <w:tcPr>
            <w:tcW w:w="1359" w:type="dxa"/>
            <w:tcBorders>
              <w:bottom w:val="single" w:sz="4" w:space="0" w:color="5D779D" w:themeColor="accent3"/>
            </w:tcBorders>
            <w:shd w:val="clear" w:color="auto" w:fill="D2E1F9" w:themeFill="accent5" w:themeFillTint="66"/>
          </w:tcPr>
          <w:p w14:paraId="13158F36" w14:textId="3B60D46E"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11,964,000</w:t>
            </w:r>
          </w:p>
        </w:tc>
        <w:tc>
          <w:tcPr>
            <w:tcW w:w="1327" w:type="dxa"/>
            <w:shd w:val="clear" w:color="auto" w:fill="D2E1F9" w:themeFill="accent5" w:themeFillTint="66"/>
          </w:tcPr>
          <w:p w14:paraId="3D23D3D3" w14:textId="0CC24187" w:rsidR="00B56D27" w:rsidRPr="00926664"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57785">
              <w:rPr>
                <w:sz w:val="18"/>
                <w:szCs w:val="18"/>
              </w:rPr>
              <w:t xml:space="preserve">195,697,000 </w:t>
            </w:r>
          </w:p>
        </w:tc>
      </w:tr>
      <w:tr w:rsidR="00B56D27" w:rsidRPr="00926664" w14:paraId="66E091D3" w14:textId="77777777" w:rsidTr="00DB55D5">
        <w:trPr>
          <w:trHeight w:val="743"/>
        </w:trPr>
        <w:tc>
          <w:tcPr>
            <w:cnfStyle w:val="001000000000" w:firstRow="0" w:lastRow="0" w:firstColumn="1" w:lastColumn="0" w:oddVBand="0" w:evenVBand="0" w:oddHBand="0" w:evenHBand="0" w:firstRowFirstColumn="0" w:firstRowLastColumn="0" w:lastRowFirstColumn="0" w:lastRowLastColumn="0"/>
            <w:tcW w:w="2122" w:type="dxa"/>
          </w:tcPr>
          <w:p w14:paraId="4F98BA27" w14:textId="3CB6050B" w:rsidR="00B56D27" w:rsidRPr="00D066BB" w:rsidRDefault="00B56D27" w:rsidP="00F67211">
            <w:pPr>
              <w:keepNext/>
              <w:spacing w:before="100" w:beforeAutospacing="1" w:after="100" w:afterAutospacing="1"/>
              <w:rPr>
                <w:b w:val="0"/>
                <w:bCs w:val="0"/>
                <w:sz w:val="18"/>
                <w:szCs w:val="18"/>
              </w:rPr>
            </w:pPr>
            <w:r w:rsidRPr="00446E69">
              <w:rPr>
                <w:b w:val="0"/>
                <w:sz w:val="18"/>
                <w:szCs w:val="18"/>
              </w:rPr>
              <w:t>Annual total cost (</w:t>
            </w:r>
            <w:r>
              <w:rPr>
                <w:b w:val="0"/>
                <w:sz w:val="18"/>
                <w:szCs w:val="18"/>
              </w:rPr>
              <w:t xml:space="preserve">over </w:t>
            </w:r>
            <w:r w:rsidRPr="00446E69">
              <w:rPr>
                <w:b w:val="0"/>
                <w:sz w:val="18"/>
                <w:szCs w:val="18"/>
              </w:rPr>
              <w:t>10 years) ($)</w:t>
            </w:r>
          </w:p>
        </w:tc>
        <w:tc>
          <w:tcPr>
            <w:tcW w:w="1275" w:type="dxa"/>
            <w:tcBorders>
              <w:right w:val="nil"/>
            </w:tcBorders>
          </w:tcPr>
          <w:p w14:paraId="312A3805"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418" w:type="dxa"/>
            <w:tcBorders>
              <w:left w:val="nil"/>
              <w:right w:val="nil"/>
            </w:tcBorders>
          </w:tcPr>
          <w:p w14:paraId="3BB3E717"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559" w:type="dxa"/>
            <w:tcBorders>
              <w:left w:val="nil"/>
              <w:right w:val="nil"/>
            </w:tcBorders>
          </w:tcPr>
          <w:p w14:paraId="7FB53DEF"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359" w:type="dxa"/>
            <w:tcBorders>
              <w:left w:val="nil"/>
            </w:tcBorders>
          </w:tcPr>
          <w:p w14:paraId="6715FF32" w14:textId="77777777"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tcPr>
          <w:p w14:paraId="51EC074A" w14:textId="04DBDF51" w:rsidR="00B56D27" w:rsidRPr="00757785" w:rsidRDefault="00B56D27" w:rsidP="00F67211">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szCs w:val="18"/>
              </w:rPr>
            </w:pPr>
            <w:r w:rsidRPr="00926664">
              <w:rPr>
                <w:rFonts w:cs="Calibri Light"/>
                <w:sz w:val="18"/>
                <w:szCs w:val="18"/>
              </w:rPr>
              <w:t>19,570,000</w:t>
            </w:r>
          </w:p>
        </w:tc>
      </w:tr>
    </w:tbl>
    <w:p w14:paraId="55308927" w14:textId="15ED0731" w:rsidR="00E33B59" w:rsidRPr="00446B8C" w:rsidRDefault="00446B8C" w:rsidP="00406CD0">
      <w:pPr>
        <w:rPr>
          <w:rFonts w:eastAsia="Aptos"/>
          <w:i/>
          <w:sz w:val="18"/>
          <w:szCs w:val="16"/>
        </w:rPr>
      </w:pPr>
      <w:r w:rsidRPr="00A13CCA">
        <w:rPr>
          <w:rFonts w:eastAsia="Aptos"/>
          <w:i/>
          <w:sz w:val="18"/>
          <w:szCs w:val="16"/>
        </w:rPr>
        <w:t xml:space="preserve">Note: sums may not add </w:t>
      </w:r>
      <w:r w:rsidR="00757785">
        <w:rPr>
          <w:rFonts w:eastAsia="Aptos"/>
          <w:i/>
          <w:sz w:val="18"/>
          <w:szCs w:val="16"/>
        </w:rPr>
        <w:t xml:space="preserve">to </w:t>
      </w:r>
      <w:r w:rsidRPr="00A13CCA">
        <w:rPr>
          <w:rFonts w:eastAsia="Aptos"/>
          <w:i/>
          <w:sz w:val="18"/>
          <w:szCs w:val="16"/>
        </w:rPr>
        <w:t>totals due to rounding adjustments.</w:t>
      </w:r>
    </w:p>
    <w:p w14:paraId="388D5AAA" w14:textId="24BC61FE" w:rsidR="00406CD0" w:rsidRDefault="00406CD0" w:rsidP="00433124">
      <w:pPr>
        <w:pStyle w:val="Heading4"/>
      </w:pPr>
      <w:r w:rsidRPr="00350347">
        <w:t xml:space="preserve">Methodology and </w:t>
      </w:r>
      <w:r w:rsidR="00433124">
        <w:t>assumptions</w:t>
      </w:r>
    </w:p>
    <w:p w14:paraId="21DBF2B8" w14:textId="77777777" w:rsidR="00406CD0" w:rsidRPr="00991D79" w:rsidRDefault="00406CD0" w:rsidP="00406CD0">
      <w:pPr>
        <w:rPr>
          <w:b/>
          <w:bCs/>
        </w:rPr>
      </w:pPr>
      <w:r w:rsidRPr="00350347">
        <w:rPr>
          <w:i/>
          <w:iCs/>
        </w:rPr>
        <w:t xml:space="preserve">Businesses offering subscription </w:t>
      </w:r>
      <w:r>
        <w:rPr>
          <w:i/>
          <w:iCs/>
        </w:rPr>
        <w:t>products and services</w:t>
      </w:r>
      <w:r w:rsidRPr="00350347">
        <w:rPr>
          <w:i/>
          <w:iCs/>
        </w:rPr>
        <w:t xml:space="preserve"> to consumers in Australia</w:t>
      </w:r>
    </w:p>
    <w:p w14:paraId="0DFB30D9" w14:textId="098387E0" w:rsidR="00406CD0" w:rsidRDefault="00406CD0" w:rsidP="00406CD0">
      <w:r w:rsidRPr="00EF47C6">
        <w:t xml:space="preserve">The share of businesses </w:t>
      </w:r>
      <w:r>
        <w:t>in Australia</w:t>
      </w:r>
      <w:r w:rsidRPr="00EF47C6">
        <w:t xml:space="preserve"> that offer subscription contracts is unknown. </w:t>
      </w:r>
      <w:r>
        <w:t>Based on industrial sector classification from the ABS Counts of Australian Businesses, including Entries and Exits dataset (data as at June 2024), Treasury identified 8 sectors in which businesses are likely to offer consumer or small business facing subscriptions.</w:t>
      </w:r>
      <w:r>
        <w:rPr>
          <w:rStyle w:val="FootnoteReference"/>
        </w:rPr>
        <w:footnoteReference w:id="178"/>
      </w:r>
      <w:r>
        <w:t xml:space="preserve"> Given the broad nature of these sectors, it is assumed</w:t>
      </w:r>
      <w:r w:rsidRPr="000012BC">
        <w:t xml:space="preserve"> that only a fraction of the total businesses in these sectors offer subscription </w:t>
      </w:r>
      <w:r>
        <w:t>contracts. To estimate this number, Treasury employed data estimated by the UK IA regarding the proportion of businesses that offer subscriptions</w:t>
      </w:r>
      <w:r w:rsidR="00DF71D9">
        <w:t xml:space="preserve"> at each level of business size.</w:t>
      </w:r>
      <w:r w:rsidR="00905C92">
        <w:rPr>
          <w:rStyle w:val="FootnoteReference"/>
        </w:rPr>
        <w:footnoteReference w:id="179"/>
      </w:r>
      <w:r>
        <w:t xml:space="preserve"> </w:t>
      </w:r>
    </w:p>
    <w:p w14:paraId="788DAA8D" w14:textId="77777777" w:rsidR="00406CD0" w:rsidRDefault="00406CD0" w:rsidP="00406CD0">
      <w:pPr>
        <w:pStyle w:val="Heading5"/>
      </w:pPr>
      <w:r>
        <w:lastRenderedPageBreak/>
        <w:t>Cost estimation</w:t>
      </w:r>
    </w:p>
    <w:p w14:paraId="6DD4EC7D" w14:textId="7533A77D" w:rsidR="00406CD0" w:rsidRDefault="00406CD0" w:rsidP="00406CD0">
      <w:r w:rsidRPr="007C6773">
        <w:rPr>
          <w:i/>
        </w:rPr>
        <w:t>Labour costs:</w:t>
      </w:r>
      <w:r>
        <w:t xml:space="preserve"> It is expected that all businesses offering subscriptions will incur familiarisation costs (cost associated with understanding the new regulatory requirements and how these will apply to their businesses</w:t>
      </w:r>
      <w:proofErr w:type="gramStart"/>
      <w:r>
        <w:t>)</w:t>
      </w:r>
      <w:proofErr w:type="gramEnd"/>
      <w:r>
        <w:t xml:space="preserve"> and some will also incur adjustment costs (including IT costs to make changes to websites and customer communications). </w:t>
      </w:r>
      <w:r w:rsidR="00861B0D">
        <w:t xml:space="preserve">In the absence </w:t>
      </w:r>
      <w:r w:rsidR="00DF3388">
        <w:t>of relevant Australian data, t</w:t>
      </w:r>
      <w:r>
        <w:t xml:space="preserve">he </w:t>
      </w:r>
      <w:r w:rsidR="00681976">
        <w:t>number</w:t>
      </w:r>
      <w:r>
        <w:t xml:space="preserve"> of hours required to perform these tasks has been drawn from the UK IA</w:t>
      </w:r>
      <w:r w:rsidR="00DF3388">
        <w:t xml:space="preserve">, on the assumption that UK and Australian firms </w:t>
      </w:r>
      <w:r w:rsidR="00FB5562">
        <w:t>will require the same timeframes</w:t>
      </w:r>
      <w:r w:rsidR="00FB5562" w:rsidRPr="00FB5562">
        <w:t xml:space="preserve"> </w:t>
      </w:r>
      <w:r w:rsidR="00FB5562">
        <w:t>to gain familiarity with the subscription reforms and to perform adjustment tasks</w:t>
      </w:r>
      <w:r>
        <w:t xml:space="preserve">. </w:t>
      </w:r>
      <w:r w:rsidR="00AE0B40">
        <w:t xml:space="preserve"> </w:t>
      </w:r>
    </w:p>
    <w:p w14:paraId="1C816EA0" w14:textId="01F40668" w:rsidR="00406CD0" w:rsidRDefault="00406CD0" w:rsidP="00406CD0">
      <w:r>
        <w:t>Treasury assumes that the number of staff that will have to familiarise themselves with the regulatory requirements will vary according to business size.</w:t>
      </w:r>
      <w:r>
        <w:rPr>
          <w:rStyle w:val="FootnoteReference"/>
        </w:rPr>
        <w:footnoteReference w:id="180"/>
      </w:r>
      <w:r>
        <w:t xml:space="preserve"> The estimated time </w:t>
      </w:r>
      <w:r w:rsidR="009339E9">
        <w:t xml:space="preserve">businesses will devote </w:t>
      </w:r>
      <w:r>
        <w:t>to familiarisation tasks for each business size is as follows:</w:t>
      </w:r>
    </w:p>
    <w:p w14:paraId="2C7DA34D" w14:textId="77777777" w:rsidR="00406CD0" w:rsidRPr="00945C3E" w:rsidRDefault="00406CD0" w:rsidP="00406CD0">
      <w:pPr>
        <w:pStyle w:val="Bullet"/>
        <w:spacing w:line="240" w:lineRule="auto"/>
        <w:ind w:left="522" w:hanging="522"/>
      </w:pPr>
      <w:r w:rsidRPr="00945C3E">
        <w:t>Non-employing: 4 hours of 1 person’s time</w:t>
      </w:r>
    </w:p>
    <w:p w14:paraId="6AEE9D22" w14:textId="77777777" w:rsidR="00406CD0" w:rsidRPr="00945C3E" w:rsidRDefault="00406CD0" w:rsidP="00406CD0">
      <w:pPr>
        <w:pStyle w:val="Bullet"/>
        <w:spacing w:line="240" w:lineRule="auto"/>
        <w:ind w:left="522" w:hanging="522"/>
      </w:pPr>
      <w:r w:rsidRPr="00945C3E">
        <w:t xml:space="preserve">Small businesses: 4 hours of 2 people’s time </w:t>
      </w:r>
    </w:p>
    <w:p w14:paraId="5F0F0B39" w14:textId="77777777" w:rsidR="00406CD0" w:rsidRPr="00945C3E" w:rsidRDefault="00406CD0" w:rsidP="00406CD0">
      <w:pPr>
        <w:pStyle w:val="Bullet"/>
        <w:spacing w:line="240" w:lineRule="auto"/>
        <w:ind w:left="522" w:hanging="522"/>
      </w:pPr>
      <w:r w:rsidRPr="00945C3E">
        <w:t>Medium businesses: 8 hours of 6 people’s time</w:t>
      </w:r>
    </w:p>
    <w:p w14:paraId="5F2E7CDF" w14:textId="77777777" w:rsidR="00406CD0" w:rsidRPr="00945C3E" w:rsidRDefault="00406CD0" w:rsidP="00406CD0">
      <w:pPr>
        <w:pStyle w:val="Bullet"/>
        <w:spacing w:line="240" w:lineRule="auto"/>
        <w:ind w:left="522" w:hanging="522"/>
      </w:pPr>
      <w:r w:rsidRPr="00945C3E">
        <w:t>Large businesses: 8 hours of 12 people’s time</w:t>
      </w:r>
    </w:p>
    <w:p w14:paraId="17AA86FA" w14:textId="3593C544" w:rsidR="00CA4E24" w:rsidRDefault="00406CD0" w:rsidP="00406CD0">
      <w:r>
        <w:t>I</w:t>
      </w:r>
      <w:r w:rsidRPr="00471845">
        <w:t xml:space="preserve">t is assumed that a number of Australian businesses </w:t>
      </w:r>
      <w:r>
        <w:t>offering subscription contracts</w:t>
      </w:r>
      <w:r w:rsidRPr="00471845">
        <w:t xml:space="preserve"> already comply with the proposal’s requirements, and </w:t>
      </w:r>
      <w:r>
        <w:t>as a result, these businesses will not incur adjustment fees</w:t>
      </w:r>
      <w:r w:rsidRPr="00471845">
        <w:t>.</w:t>
      </w:r>
      <w:r>
        <w:rPr>
          <w:rStyle w:val="FootnoteReference"/>
        </w:rPr>
        <w:footnoteReference w:id="181"/>
      </w:r>
      <w:r w:rsidRPr="00471845">
        <w:t xml:space="preserve"> </w:t>
      </w:r>
      <w:r>
        <w:t>This</w:t>
      </w:r>
      <w:r w:rsidRPr="00471845">
        <w:t xml:space="preserve"> assessment </w:t>
      </w:r>
      <w:r>
        <w:t>uses</w:t>
      </w:r>
      <w:r w:rsidRPr="002039B1">
        <w:t xml:space="preserve"> </w:t>
      </w:r>
      <w:r>
        <w:t>the</w:t>
      </w:r>
      <w:r w:rsidRPr="002039B1">
        <w:t xml:space="preserve"> UK</w:t>
      </w:r>
      <w:r w:rsidR="006627DD">
        <w:t>’s</w:t>
      </w:r>
      <w:r w:rsidRPr="002039B1">
        <w:t xml:space="preserve"> and FTC’s regulatory impact assessment estimations as the basis for our assumptions about the number of Australian businesses already complying with </w:t>
      </w:r>
      <w:r>
        <w:t xml:space="preserve">each of the </w:t>
      </w:r>
      <w:r w:rsidR="00B95C0F">
        <w:t xml:space="preserve">3 </w:t>
      </w:r>
      <w:r>
        <w:t>proposed requirements which make up the subscription proposal</w:t>
      </w:r>
      <w:r w:rsidR="00DE08CA">
        <w:t>, on the assumption</w:t>
      </w:r>
      <w:r>
        <w:t xml:space="preserve"> that similarities between UK, US and Australian firms are such that levels of existing compliance are likely to be similar.</w:t>
      </w:r>
      <w:r w:rsidR="00E1362C">
        <w:t xml:space="preserve"> </w:t>
      </w:r>
      <w:r w:rsidR="00A16463">
        <w:t>The e</w:t>
      </w:r>
      <w:r w:rsidR="00E1362C">
        <w:t>stimate</w:t>
      </w:r>
      <w:r w:rsidR="00A16463">
        <w:t>s</w:t>
      </w:r>
      <w:r w:rsidR="00E1362C">
        <w:t xml:space="preserve"> </w:t>
      </w:r>
      <w:r w:rsidR="00A16463">
        <w:t>we have used for</w:t>
      </w:r>
      <w:r w:rsidR="00E1362C">
        <w:t xml:space="preserve"> existing compliance rates</w:t>
      </w:r>
      <w:r w:rsidR="00A16463">
        <w:t xml:space="preserve"> are therefore</w:t>
      </w:r>
      <w:r w:rsidR="00E1362C">
        <w:t xml:space="preserve"> 20% for disclosure and notification requirements, and 37% for easy cancellation.</w:t>
      </w:r>
    </w:p>
    <w:p w14:paraId="0E8CD45E" w14:textId="1F8CAE1F" w:rsidR="00406CD0" w:rsidRPr="007C6773" w:rsidRDefault="00406CD0" w:rsidP="00406CD0">
      <w:pPr>
        <w:pStyle w:val="Bullet"/>
        <w:numPr>
          <w:ilvl w:val="0"/>
          <w:numId w:val="0"/>
        </w:numPr>
        <w:spacing w:line="240" w:lineRule="auto"/>
      </w:pPr>
      <w:r>
        <w:t xml:space="preserve">It is assumed non-compliant businesses will spend </w:t>
      </w:r>
      <w:r w:rsidRPr="00945C3E">
        <w:t>8 hours</w:t>
      </w:r>
      <w:r>
        <w:t xml:space="preserve"> on adjustment tasks.</w:t>
      </w:r>
      <w:r>
        <w:rPr>
          <w:rStyle w:val="FootnoteReference"/>
        </w:rPr>
        <w:footnoteReference w:id="182"/>
      </w:r>
      <w:r>
        <w:t xml:space="preserve"> For online businesses that use subscription management and tools offered by hosting platform</w:t>
      </w:r>
      <w:r w:rsidR="00B15938">
        <w:t>s</w:t>
      </w:r>
      <w:r>
        <w:t xml:space="preserve"> or payment processors</w:t>
      </w:r>
      <w:r w:rsidR="00BA0495">
        <w:t>,</w:t>
      </w:r>
      <w:r>
        <w:t xml:space="preserve"> these adjustment figures are likely to be an overestimation. This is because these platforms typically allow businesses to integrate easy cancellation processes into their websites and to send notifications to consumers at little to no additional cost</w:t>
      </w:r>
      <w:r w:rsidRPr="00945C3E">
        <w:t>.</w:t>
      </w:r>
      <w:r w:rsidRPr="007B6486">
        <w:rPr>
          <w:rStyle w:val="FootnoteReference"/>
          <w:rFonts w:eastAsiaTheme="majorEastAsia"/>
          <w:i/>
          <w:iCs/>
        </w:rPr>
        <w:footnoteReference w:id="183"/>
      </w:r>
      <w:r w:rsidRPr="00C80EF9">
        <w:rPr>
          <w:i/>
          <w:iCs/>
          <w:vertAlign w:val="superscript"/>
        </w:rPr>
        <w:t xml:space="preserve"> </w:t>
      </w:r>
      <w:r w:rsidRPr="00C80EF9">
        <w:rPr>
          <w:vertAlign w:val="superscript"/>
        </w:rPr>
        <w:t xml:space="preserve"> </w:t>
      </w:r>
      <w:r>
        <w:t xml:space="preserve"> </w:t>
      </w:r>
    </w:p>
    <w:p w14:paraId="4BBBDCD6" w14:textId="29A79E90" w:rsidR="00406CD0" w:rsidRDefault="00406CD0" w:rsidP="00406CD0">
      <w:pPr>
        <w:rPr>
          <w:rFonts w:eastAsia="Aptos"/>
        </w:rPr>
      </w:pPr>
      <w:r w:rsidRPr="76621889">
        <w:rPr>
          <w:i/>
          <w:iCs/>
        </w:rPr>
        <w:t>Purchase costs:</w:t>
      </w:r>
      <w:r w:rsidRPr="00991D79">
        <w:rPr>
          <w:szCs w:val="22"/>
        </w:rPr>
        <w:t xml:space="preserve"> </w:t>
      </w:r>
      <w:r w:rsidRPr="779D0450">
        <w:t xml:space="preserve">Treasury estimates that </w:t>
      </w:r>
      <w:r w:rsidRPr="00DC5EB9">
        <w:t>24 per cent of businesses</w:t>
      </w:r>
      <w:r>
        <w:t xml:space="preserve"> offering subscriptions</w:t>
      </w:r>
      <w:r w:rsidRPr="00DC5EB9">
        <w:t xml:space="preserve"> </w:t>
      </w:r>
      <w:r>
        <w:t>will also</w:t>
      </w:r>
      <w:r w:rsidRPr="00DC5EB9">
        <w:t xml:space="preserve"> seek external legal advic</w:t>
      </w:r>
      <w:r>
        <w:t>e to comply with the regulatory requirements (including seeking advice to verify internal processes to make changes to subscription terms and conditions).</w:t>
      </w:r>
      <w:r w:rsidR="004263E8">
        <w:t xml:space="preserve"> This is based on </w:t>
      </w:r>
      <w:r w:rsidR="00365C09">
        <w:t xml:space="preserve">a survey of how businesses </w:t>
      </w:r>
      <w:r w:rsidR="0053720B">
        <w:t>get advice in response</w:t>
      </w:r>
      <w:r w:rsidR="00FA46C8">
        <w:t xml:space="preserve"> to changes in the Australian Consumer Law.</w:t>
      </w:r>
      <w:r>
        <w:rPr>
          <w:rStyle w:val="FootnoteReference"/>
        </w:rPr>
        <w:footnoteReference w:id="184"/>
      </w:r>
      <w:r>
        <w:t xml:space="preserve"> Treasury estimates </w:t>
      </w:r>
      <w:r w:rsidR="00A91037">
        <w:t>an average of</w:t>
      </w:r>
      <w:r w:rsidRPr="00945C3E">
        <w:t xml:space="preserve"> 5 hours</w:t>
      </w:r>
      <w:r>
        <w:t xml:space="preserve"> of time </w:t>
      </w:r>
      <w:r w:rsidR="00914F77">
        <w:t xml:space="preserve">per business </w:t>
      </w:r>
      <w:r>
        <w:t>will be required.</w:t>
      </w:r>
    </w:p>
    <w:p w14:paraId="0113D60D" w14:textId="5A696176" w:rsidR="00406CD0" w:rsidRDefault="00406CD0" w:rsidP="00406CD0">
      <w:pPr>
        <w:pStyle w:val="Heading3"/>
        <w:rPr>
          <w:rFonts w:eastAsia="Calibri Light"/>
        </w:rPr>
      </w:pPr>
      <w:bookmarkStart w:id="94" w:name="_Toc202971547"/>
      <w:bookmarkStart w:id="95" w:name="_Toc206422550"/>
      <w:r w:rsidRPr="006F33D5">
        <w:rPr>
          <w:rFonts w:eastAsia="Calibri Light"/>
        </w:rPr>
        <w:lastRenderedPageBreak/>
        <w:t>Drip Pricing Proposal</w:t>
      </w:r>
      <w:bookmarkEnd w:id="94"/>
      <w:bookmarkEnd w:id="95"/>
      <w:r w:rsidRPr="006F33D5">
        <w:rPr>
          <w:rFonts w:eastAsia="Calibri Light"/>
        </w:rPr>
        <w:t xml:space="preserve"> </w:t>
      </w:r>
    </w:p>
    <w:p w14:paraId="7107537D" w14:textId="77777777" w:rsidR="00406CD0" w:rsidRPr="001D1395" w:rsidRDefault="00406CD0" w:rsidP="00406CD0">
      <w:pPr>
        <w:pStyle w:val="Heading4"/>
        <w:rPr>
          <w:rFonts w:eastAsia="Aptos"/>
        </w:rPr>
      </w:pPr>
      <w:r>
        <w:rPr>
          <w:rFonts w:eastAsia="Aptos"/>
        </w:rPr>
        <w:t>Regulatory burden estimate</w:t>
      </w:r>
    </w:p>
    <w:p w14:paraId="411AC70A" w14:textId="3A5BF120" w:rsidR="00406CD0" w:rsidRPr="00D2052E" w:rsidRDefault="00406CD0" w:rsidP="00004DB6">
      <w:pPr>
        <w:spacing w:before="240" w:after="160" w:line="276" w:lineRule="auto"/>
        <w:rPr>
          <w:rFonts w:eastAsia="Calibri Light" w:cs="Calibri Light"/>
          <w:szCs w:val="22"/>
        </w:rPr>
      </w:pPr>
      <w:r w:rsidRPr="00846619">
        <w:rPr>
          <w:rFonts w:eastAsia="Calibri Light" w:cs="Calibri Light"/>
          <w:szCs w:val="22"/>
        </w:rPr>
        <w:t xml:space="preserve">No costs are forecast for consumers or for community organisations under this proposal.  </w:t>
      </w:r>
    </w:p>
    <w:p w14:paraId="1EB29E0C" w14:textId="74827960" w:rsidR="00A226DD" w:rsidRPr="00D2052E" w:rsidRDefault="00A226DD" w:rsidP="00406CD0">
      <w:pPr>
        <w:spacing w:before="0" w:after="160" w:line="276" w:lineRule="auto"/>
        <w:rPr>
          <w:rFonts w:eastAsia="Calibri Light" w:cs="Calibri Light"/>
          <w:szCs w:val="22"/>
        </w:rPr>
      </w:pPr>
      <w:r>
        <w:rPr>
          <w:rFonts w:eastAsia="Calibri Light" w:cs="Calibri Light"/>
          <w:szCs w:val="22"/>
        </w:rPr>
        <w:t>Table 6:</w:t>
      </w:r>
      <w:r w:rsidR="007E01BC">
        <w:rPr>
          <w:rFonts w:eastAsia="Calibri Light" w:cs="Calibri Light"/>
          <w:szCs w:val="22"/>
        </w:rPr>
        <w:t xml:space="preserve"> </w:t>
      </w:r>
      <w:r w:rsidR="004837F1">
        <w:rPr>
          <w:rFonts w:eastAsia="Calibri Light" w:cs="Calibri Light"/>
          <w:szCs w:val="22"/>
        </w:rPr>
        <w:t xml:space="preserve">Drip Pricing Proposal </w:t>
      </w:r>
      <w:r w:rsidR="004D7092">
        <w:rPr>
          <w:rFonts w:eastAsia="Calibri Light" w:cs="Calibri Light"/>
          <w:szCs w:val="22"/>
        </w:rPr>
        <w:t>–</w:t>
      </w:r>
      <w:r w:rsidR="004837F1">
        <w:rPr>
          <w:rFonts w:eastAsia="Calibri Light" w:cs="Calibri Light"/>
          <w:szCs w:val="22"/>
        </w:rPr>
        <w:t xml:space="preserve"> </w:t>
      </w:r>
      <w:r w:rsidR="007E01BC">
        <w:rPr>
          <w:rFonts w:eastAsia="Calibri Light" w:cs="Calibri Light"/>
          <w:szCs w:val="22"/>
        </w:rPr>
        <w:t>Es</w:t>
      </w:r>
      <w:r w:rsidR="004837F1">
        <w:rPr>
          <w:rFonts w:eastAsia="Calibri Light" w:cs="Calibri Light"/>
          <w:szCs w:val="22"/>
        </w:rPr>
        <w:t>timated cost to business</w:t>
      </w:r>
      <w:r w:rsidR="004D7092">
        <w:rPr>
          <w:rFonts w:eastAsia="Calibri Light" w:cs="Calibri Light"/>
          <w:szCs w:val="22"/>
        </w:rPr>
        <w:t>es</w:t>
      </w:r>
      <w:r w:rsidR="004837F1">
        <w:rPr>
          <w:rFonts w:eastAsia="Calibri Light" w:cs="Calibri Light"/>
          <w:szCs w:val="22"/>
        </w:rPr>
        <w:t xml:space="preserve"> </w:t>
      </w:r>
    </w:p>
    <w:tbl>
      <w:tblPr>
        <w:tblpPr w:leftFromText="180" w:rightFromText="180" w:vertAnchor="text" w:horzAnchor="margin" w:tblpY="2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95"/>
        <w:gridCol w:w="236"/>
        <w:gridCol w:w="1366"/>
        <w:gridCol w:w="1866"/>
        <w:gridCol w:w="1262"/>
        <w:gridCol w:w="1262"/>
        <w:gridCol w:w="1273"/>
      </w:tblGrid>
      <w:tr w:rsidR="00B63866" w14:paraId="0D806D21" w14:textId="5069BF55"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nil"/>
            </w:tcBorders>
            <w:shd w:val="clear" w:color="auto" w:fill="002060"/>
          </w:tcPr>
          <w:p w14:paraId="3B52ADEA" w14:textId="1587973F" w:rsidR="00406CD0" w:rsidRPr="00822854" w:rsidRDefault="00406CD0">
            <w:pPr>
              <w:spacing w:before="0" w:after="160" w:line="276" w:lineRule="auto"/>
              <w:rPr>
                <w:sz w:val="18"/>
                <w:szCs w:val="18"/>
              </w:rPr>
            </w:pPr>
          </w:p>
        </w:tc>
        <w:tc>
          <w:tcPr>
            <w:tcW w:w="1602" w:type="dxa"/>
            <w:gridSpan w:val="2"/>
            <w:tcBorders>
              <w:top w:val="single" w:sz="4" w:space="0" w:color="5D779D" w:themeColor="accent3"/>
              <w:left w:val="nil"/>
              <w:bottom w:val="single" w:sz="4" w:space="0" w:color="5D779D" w:themeColor="accent3"/>
              <w:right w:val="nil"/>
            </w:tcBorders>
            <w:shd w:val="clear" w:color="auto" w:fill="002060"/>
          </w:tcPr>
          <w:p w14:paraId="6DE6B755"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0-4 Employees </w:t>
            </w:r>
          </w:p>
        </w:tc>
        <w:tc>
          <w:tcPr>
            <w:tcW w:w="1866" w:type="dxa"/>
            <w:tcBorders>
              <w:top w:val="single" w:sz="4" w:space="0" w:color="5D779D" w:themeColor="accent3"/>
              <w:left w:val="nil"/>
              <w:bottom w:val="single" w:sz="4" w:space="0" w:color="5D779D" w:themeColor="accent3"/>
              <w:right w:val="nil"/>
            </w:tcBorders>
            <w:shd w:val="clear" w:color="auto" w:fill="002060"/>
          </w:tcPr>
          <w:p w14:paraId="4714231A"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5-19 Employees </w:t>
            </w:r>
          </w:p>
        </w:tc>
        <w:tc>
          <w:tcPr>
            <w:tcW w:w="1262" w:type="dxa"/>
            <w:tcBorders>
              <w:top w:val="single" w:sz="4" w:space="0" w:color="5D779D" w:themeColor="accent3"/>
              <w:left w:val="nil"/>
              <w:bottom w:val="single" w:sz="4" w:space="0" w:color="5D779D" w:themeColor="accent3"/>
              <w:right w:val="nil"/>
            </w:tcBorders>
            <w:shd w:val="clear" w:color="auto" w:fill="002060"/>
          </w:tcPr>
          <w:p w14:paraId="6A937396"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20-199 Employees </w:t>
            </w:r>
          </w:p>
        </w:tc>
        <w:tc>
          <w:tcPr>
            <w:tcW w:w="1262" w:type="dxa"/>
            <w:tcBorders>
              <w:top w:val="single" w:sz="4" w:space="0" w:color="5D779D" w:themeColor="accent3"/>
              <w:left w:val="nil"/>
              <w:bottom w:val="single" w:sz="4" w:space="0" w:color="5D779D" w:themeColor="accent3"/>
              <w:right w:val="nil"/>
            </w:tcBorders>
            <w:shd w:val="clear" w:color="auto" w:fill="002060"/>
          </w:tcPr>
          <w:p w14:paraId="35C624D9" w14:textId="77777777" w:rsidR="00406CD0" w:rsidRPr="00822854" w:rsidRDefault="00406CD0">
            <w:pPr>
              <w:spacing w:before="0" w:after="160" w:line="276" w:lineRule="auto"/>
              <w:rPr>
                <w:sz w:val="18"/>
                <w:szCs w:val="18"/>
              </w:rPr>
            </w:pPr>
            <w:r w:rsidRPr="00D066BB">
              <w:rPr>
                <w:rFonts w:eastAsia="Calibri Light" w:cs="Calibri Light"/>
                <w:b/>
                <w:color w:val="FFFFFF" w:themeColor="background1"/>
                <w:sz w:val="18"/>
                <w:szCs w:val="18"/>
              </w:rPr>
              <w:t xml:space="preserve">200+ Employees </w:t>
            </w:r>
          </w:p>
        </w:tc>
        <w:tc>
          <w:tcPr>
            <w:tcW w:w="1273" w:type="dxa"/>
            <w:tcBorders>
              <w:top w:val="single" w:sz="4" w:space="0" w:color="5D779D" w:themeColor="accent3"/>
              <w:left w:val="nil"/>
              <w:bottom w:val="single" w:sz="4" w:space="0" w:color="5D779D" w:themeColor="accent3"/>
              <w:right w:val="single" w:sz="4" w:space="0" w:color="5D779D" w:themeColor="accent3"/>
            </w:tcBorders>
            <w:shd w:val="clear" w:color="auto" w:fill="002060"/>
          </w:tcPr>
          <w:p w14:paraId="086CB93C" w14:textId="50EFA4DA" w:rsidR="005E03D8" w:rsidRDefault="005E03D8">
            <w:pPr>
              <w:spacing w:before="0" w:after="160" w:line="276" w:lineRule="auto"/>
              <w:rPr>
                <w:rFonts w:eastAsia="Calibri Light" w:cs="Calibri Light"/>
                <w:b/>
                <w:color w:val="FFFFFF" w:themeColor="background1"/>
                <w:sz w:val="18"/>
                <w:szCs w:val="18"/>
              </w:rPr>
            </w:pPr>
            <w:r>
              <w:rPr>
                <w:rFonts w:eastAsia="Calibri Light" w:cs="Calibri Light"/>
                <w:b/>
                <w:color w:val="FFFFFF" w:themeColor="background1"/>
                <w:sz w:val="18"/>
                <w:szCs w:val="18"/>
              </w:rPr>
              <w:t>Total</w:t>
            </w:r>
          </w:p>
        </w:tc>
      </w:tr>
      <w:tr w:rsidR="00406CD0" w14:paraId="69E66F9C" w14:textId="57296F8D"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2E74BBB" w14:textId="77777777" w:rsidR="00406CD0" w:rsidRPr="00822854" w:rsidRDefault="00406CD0">
            <w:pPr>
              <w:spacing w:before="0" w:after="160" w:line="276" w:lineRule="auto"/>
              <w:rPr>
                <w:b/>
                <w:sz w:val="18"/>
                <w:szCs w:val="18"/>
              </w:rPr>
            </w:pPr>
            <w:r w:rsidRPr="00D066BB">
              <w:rPr>
                <w:rFonts w:eastAsia="Calibri Light" w:cs="Calibri Light"/>
                <w:b/>
                <w:sz w:val="18"/>
                <w:szCs w:val="18"/>
              </w:rPr>
              <w:t xml:space="preserve">Number of affected businesses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4E50F603" w14:textId="259374FC" w:rsidR="00406CD0" w:rsidRPr="00822854" w:rsidRDefault="00406CD0">
            <w:pPr>
              <w:spacing w:before="0" w:after="160" w:line="276" w:lineRule="auto"/>
              <w:rPr>
                <w:sz w:val="18"/>
                <w:szCs w:val="18"/>
              </w:rPr>
            </w:pPr>
            <w:r w:rsidRPr="00D066BB">
              <w:rPr>
                <w:rFonts w:eastAsia="Calibri Light" w:cs="Calibri Light"/>
                <w:sz w:val="18"/>
                <w:szCs w:val="18"/>
              </w:rPr>
              <w:t>272,11</w:t>
            </w:r>
            <w:r w:rsidR="5EEA43B6" w:rsidRPr="00D066BB">
              <w:rPr>
                <w:rFonts w:eastAsia="Calibri Light" w:cs="Calibri Light"/>
                <w:sz w:val="18"/>
                <w:szCs w:val="18"/>
              </w:rPr>
              <w:t>3</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2FAA9F5" w14:textId="2839CB03" w:rsidR="00406CD0" w:rsidRPr="00822854" w:rsidRDefault="00406CD0">
            <w:pPr>
              <w:spacing w:before="0" w:after="160" w:line="276" w:lineRule="auto"/>
              <w:rPr>
                <w:sz w:val="18"/>
                <w:szCs w:val="18"/>
              </w:rPr>
            </w:pPr>
            <w:r w:rsidRPr="00D066BB">
              <w:rPr>
                <w:rFonts w:eastAsia="Calibri Light" w:cs="Calibri Light"/>
                <w:sz w:val="18"/>
                <w:szCs w:val="18"/>
              </w:rPr>
              <w:t>39,18</w:t>
            </w:r>
            <w:r w:rsidR="6324EE78" w:rsidRPr="00D066BB">
              <w:rPr>
                <w:rFonts w:eastAsia="Calibri Light" w:cs="Calibri Light"/>
                <w:sz w:val="18"/>
                <w:szCs w:val="18"/>
              </w:rPr>
              <w:t>7</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556DFD1" w14:textId="2F79403C" w:rsidR="00406CD0" w:rsidRPr="00822854" w:rsidRDefault="00406CD0">
            <w:pPr>
              <w:spacing w:before="0" w:after="160" w:line="276" w:lineRule="auto"/>
              <w:rPr>
                <w:sz w:val="18"/>
                <w:szCs w:val="18"/>
              </w:rPr>
            </w:pPr>
            <w:r w:rsidRPr="00D066BB">
              <w:rPr>
                <w:rFonts w:eastAsia="Calibri Light" w:cs="Calibri Light"/>
                <w:sz w:val="18"/>
                <w:szCs w:val="18"/>
              </w:rPr>
              <w:t>14,36</w:t>
            </w:r>
            <w:r w:rsidR="5BCE58FD" w:rsidRPr="00D066BB">
              <w:rPr>
                <w:rFonts w:eastAsia="Calibri Light" w:cs="Calibri Light"/>
                <w:sz w:val="18"/>
                <w:szCs w:val="18"/>
              </w:rPr>
              <w:t>6</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0D51729" w14:textId="50085B53" w:rsidR="00406CD0" w:rsidRPr="00822854" w:rsidRDefault="00406CD0">
            <w:pPr>
              <w:spacing w:before="0" w:after="160" w:line="276" w:lineRule="auto"/>
              <w:rPr>
                <w:sz w:val="18"/>
                <w:szCs w:val="18"/>
              </w:rPr>
            </w:pPr>
            <w:r w:rsidRPr="00D066BB">
              <w:rPr>
                <w:rFonts w:eastAsia="Calibri Light" w:cs="Calibri Light"/>
                <w:sz w:val="18"/>
                <w:szCs w:val="18"/>
              </w:rPr>
              <w:t>1,071</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637FCD0" w14:textId="1879DB68" w:rsidR="00753862" w:rsidRDefault="00753862">
            <w:pPr>
              <w:spacing w:before="0" w:after="160" w:line="276" w:lineRule="auto"/>
              <w:rPr>
                <w:rFonts w:eastAsia="Calibri Light" w:cs="Calibri Light"/>
                <w:sz w:val="18"/>
                <w:szCs w:val="18"/>
              </w:rPr>
            </w:pPr>
            <w:r>
              <w:rPr>
                <w:rFonts w:eastAsia="Calibri Light" w:cs="Calibri Light"/>
                <w:sz w:val="18"/>
                <w:szCs w:val="18"/>
              </w:rPr>
              <w:t>326,737</w:t>
            </w:r>
          </w:p>
        </w:tc>
      </w:tr>
      <w:tr w:rsidR="00B63866" w14:paraId="4FB21C87"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129FA71" w14:textId="0DFBFFA1" w:rsidR="00962EEF" w:rsidRPr="00D066BB" w:rsidRDefault="00962EEF">
            <w:pPr>
              <w:spacing w:before="0" w:after="160" w:line="276" w:lineRule="auto"/>
              <w:rPr>
                <w:rFonts w:eastAsia="Calibri Light" w:cs="Calibri Light"/>
                <w:b/>
                <w:sz w:val="18"/>
                <w:szCs w:val="18"/>
              </w:rPr>
            </w:pPr>
            <w:r w:rsidRPr="00D066BB">
              <w:rPr>
                <w:rFonts w:eastAsia="Calibri Light" w:cs="Calibri Light"/>
                <w:b/>
                <w:color w:val="000000" w:themeColor="text1"/>
                <w:sz w:val="18"/>
                <w:szCs w:val="18"/>
              </w:rPr>
              <w:t>Labour cost</w:t>
            </w:r>
            <w:r w:rsidRPr="00D066BB">
              <w:rPr>
                <w:rStyle w:val="FootnoteReference"/>
                <w:rFonts w:eastAsia="Calibri Light" w:cs="Calibri Light"/>
                <w:b/>
                <w:color w:val="000000" w:themeColor="text1"/>
              </w:rPr>
              <w:footnoteReference w:id="185"/>
            </w:r>
            <w:r w:rsidRPr="00D066BB">
              <w:rPr>
                <w:rFonts w:eastAsia="Calibri Light" w:cs="Calibri Light"/>
                <w:b/>
                <w:color w:val="000000" w:themeColor="text1"/>
                <w:sz w:val="18"/>
                <w:szCs w:val="18"/>
              </w:rPr>
              <w:t xml:space="preserve"> ($)</w:t>
            </w:r>
          </w:p>
        </w:tc>
        <w:tc>
          <w:tcPr>
            <w:tcW w:w="1602" w:type="dxa"/>
            <w:gridSpan w:val="2"/>
            <w:tcBorders>
              <w:top w:val="single" w:sz="4" w:space="0" w:color="5D779D" w:themeColor="accent3"/>
              <w:left w:val="single" w:sz="4" w:space="0" w:color="5D779D" w:themeColor="accent3"/>
              <w:bottom w:val="single" w:sz="4" w:space="0" w:color="5D779D" w:themeColor="accent3"/>
              <w:right w:val="nil"/>
            </w:tcBorders>
            <w:shd w:val="clear" w:color="auto" w:fill="D2E1F9" w:themeFill="accent5" w:themeFillTint="66"/>
          </w:tcPr>
          <w:p w14:paraId="12797B33" w14:textId="77777777" w:rsidR="00962EEF" w:rsidRPr="00D066BB" w:rsidRDefault="00962EEF">
            <w:pPr>
              <w:spacing w:before="0" w:after="160" w:line="276" w:lineRule="auto"/>
              <w:rPr>
                <w:rFonts w:eastAsia="Calibri Light" w:cs="Calibri Light"/>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D2E1F9" w:themeFill="accent5" w:themeFillTint="66"/>
          </w:tcPr>
          <w:p w14:paraId="59780534" w14:textId="77777777" w:rsidR="00962EEF" w:rsidRPr="00D066BB" w:rsidRDefault="00962EEF">
            <w:pPr>
              <w:spacing w:before="0" w:after="160" w:line="276" w:lineRule="auto"/>
              <w:rPr>
                <w:rFonts w:eastAsia="Calibri Light" w:cs="Calibri Light"/>
                <w:sz w:val="18"/>
                <w:szCs w:val="18"/>
              </w:rPr>
            </w:pPr>
          </w:p>
        </w:tc>
        <w:tc>
          <w:tcPr>
            <w:tcW w:w="1262" w:type="dxa"/>
            <w:tcBorders>
              <w:top w:val="single" w:sz="4" w:space="0" w:color="5D779D" w:themeColor="accent3"/>
              <w:left w:val="nil"/>
              <w:bottom w:val="single" w:sz="4" w:space="0" w:color="5D779D" w:themeColor="accent3"/>
              <w:right w:val="nil"/>
            </w:tcBorders>
            <w:shd w:val="clear" w:color="auto" w:fill="D2E1F9" w:themeFill="accent5" w:themeFillTint="66"/>
          </w:tcPr>
          <w:p w14:paraId="6C6C8623" w14:textId="77777777" w:rsidR="00962EEF" w:rsidRPr="00D066BB" w:rsidRDefault="00962EEF">
            <w:pPr>
              <w:spacing w:before="0" w:after="160" w:line="276" w:lineRule="auto"/>
              <w:rPr>
                <w:rFonts w:eastAsia="Calibri Light" w:cs="Calibri Light"/>
                <w:sz w:val="18"/>
                <w:szCs w:val="18"/>
              </w:rPr>
            </w:pPr>
          </w:p>
        </w:tc>
        <w:tc>
          <w:tcPr>
            <w:tcW w:w="1262" w:type="dxa"/>
            <w:tcBorders>
              <w:top w:val="single" w:sz="4" w:space="0" w:color="5D779D" w:themeColor="accent3"/>
              <w:left w:val="nil"/>
              <w:bottom w:val="single" w:sz="4" w:space="0" w:color="5D779D" w:themeColor="accent3"/>
              <w:right w:val="single" w:sz="4" w:space="0" w:color="5D779D" w:themeColor="accent3"/>
            </w:tcBorders>
            <w:shd w:val="clear" w:color="auto" w:fill="D2E1F9" w:themeFill="accent5" w:themeFillTint="66"/>
          </w:tcPr>
          <w:p w14:paraId="1A62DC49" w14:textId="77777777" w:rsidR="00962EEF" w:rsidRPr="00D066BB" w:rsidRDefault="00962EEF">
            <w:pPr>
              <w:spacing w:before="0" w:after="160" w:line="276" w:lineRule="auto"/>
              <w:rPr>
                <w:rFonts w:eastAsia="Calibri Light" w:cs="Calibri Light"/>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5DA9A1D4" w14:textId="34188603" w:rsidR="00962EEF" w:rsidRPr="009B32E4" w:rsidRDefault="00962EEF">
            <w:pPr>
              <w:spacing w:before="0" w:after="160" w:line="276" w:lineRule="auto"/>
              <w:rPr>
                <w:rFonts w:eastAsia="Calibri Light" w:cs="Calibri Light"/>
                <w:sz w:val="18"/>
                <w:szCs w:val="18"/>
              </w:rPr>
            </w:pPr>
            <w:r w:rsidRPr="00D066BB">
              <w:rPr>
                <w:rFonts w:eastAsia="Calibri Light" w:cs="Calibri Light"/>
                <w:sz w:val="18"/>
                <w:szCs w:val="18"/>
              </w:rPr>
              <w:t>65,490,000</w:t>
            </w:r>
          </w:p>
        </w:tc>
      </w:tr>
      <w:tr w:rsidR="00406CD0" w14:paraId="23F1F0A0" w14:textId="5D2AE488"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6C7577A" w14:textId="77777777" w:rsidR="00406CD0" w:rsidRPr="00D066BB" w:rsidRDefault="00406CD0">
            <w:pPr>
              <w:spacing w:before="0" w:after="160" w:line="276" w:lineRule="auto"/>
              <w:rPr>
                <w:rFonts w:cs="Calibri Light"/>
                <w:sz w:val="18"/>
                <w:szCs w:val="18"/>
              </w:rPr>
            </w:pPr>
            <w:r w:rsidRPr="00D066BB">
              <w:rPr>
                <w:rFonts w:eastAsia="Calibri Light" w:cs="Calibri Light"/>
                <w:sz w:val="18"/>
                <w:szCs w:val="18"/>
              </w:rPr>
              <w:t xml:space="preserve">Total familiarisation costs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873DCEF" w14:textId="3F44710B"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46,35</w:t>
            </w:r>
            <w:r w:rsidR="59F3BB31" w:rsidRPr="00D066BB">
              <w:rPr>
                <w:rFonts w:eastAsia="Calibri Light" w:cs="Calibri Light"/>
                <w:sz w:val="18"/>
                <w:szCs w:val="18"/>
              </w:rPr>
              <w:t>2,000</w:t>
            </w:r>
            <w:r w:rsidRPr="00D066BB">
              <w:rPr>
                <w:rFonts w:eastAsia="Calibri Light" w:cs="Calibri Light"/>
                <w:sz w:val="18"/>
                <w:szCs w:val="18"/>
              </w:rPr>
              <w:t xml:space="preserve"> </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FEF68BB" w14:textId="055F3F8A" w:rsidR="00406CD0" w:rsidRPr="00822854" w:rsidRDefault="00406CD0">
            <w:pPr>
              <w:spacing w:before="0" w:after="160" w:line="276" w:lineRule="auto"/>
              <w:rPr>
                <w:sz w:val="18"/>
                <w:szCs w:val="18"/>
              </w:rPr>
            </w:pPr>
            <w:r w:rsidRPr="00D066BB">
              <w:rPr>
                <w:rFonts w:eastAsia="Calibri Light" w:cs="Calibri Light"/>
                <w:sz w:val="18"/>
                <w:szCs w:val="18"/>
              </w:rPr>
              <w:t>6,675,0</w:t>
            </w:r>
            <w:r w:rsidR="5696EFD5" w:rsidRPr="00D066BB">
              <w:rPr>
                <w:rFonts w:eastAsia="Calibri Light" w:cs="Calibri Light"/>
                <w:sz w:val="18"/>
                <w:szCs w:val="18"/>
              </w:rPr>
              <w:t>00</w:t>
            </w:r>
            <w:r w:rsidRPr="00D066BB">
              <w:rPr>
                <w:rFonts w:eastAsia="Calibri Light" w:cs="Calibri Light"/>
                <w:sz w:val="18"/>
                <w:szCs w:val="18"/>
              </w:rPr>
              <w:t xml:space="preserve"> </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7E91B8B4" w14:textId="69CB0B8D" w:rsidR="00406CD0" w:rsidRPr="00822854" w:rsidRDefault="00406CD0">
            <w:pPr>
              <w:spacing w:before="0" w:after="160" w:line="276" w:lineRule="auto"/>
              <w:rPr>
                <w:sz w:val="18"/>
                <w:szCs w:val="18"/>
              </w:rPr>
            </w:pPr>
            <w:r w:rsidRPr="00D066BB">
              <w:rPr>
                <w:rFonts w:eastAsia="Calibri Light" w:cs="Calibri Light"/>
                <w:sz w:val="18"/>
                <w:szCs w:val="18"/>
              </w:rPr>
              <w:t>4,894,0</w:t>
            </w:r>
            <w:r w:rsidR="50086991" w:rsidRPr="00D066BB">
              <w:rPr>
                <w:rFonts w:eastAsia="Calibri Light" w:cs="Calibri Light"/>
                <w:sz w:val="18"/>
                <w:szCs w:val="18"/>
              </w:rPr>
              <w:t>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767CB60" w14:textId="4E1A826C" w:rsidR="00406CD0" w:rsidRPr="00822854" w:rsidRDefault="00406CD0">
            <w:pPr>
              <w:spacing w:before="0" w:after="160" w:line="276" w:lineRule="auto"/>
              <w:rPr>
                <w:sz w:val="18"/>
                <w:szCs w:val="18"/>
              </w:rPr>
            </w:pPr>
            <w:r w:rsidRPr="00D066BB">
              <w:rPr>
                <w:rFonts w:eastAsia="Calibri Light" w:cs="Calibri Light"/>
                <w:sz w:val="18"/>
                <w:szCs w:val="18"/>
              </w:rPr>
              <w:t>547,</w:t>
            </w:r>
            <w:r w:rsidR="594D2BF3" w:rsidRPr="00D066BB">
              <w:rPr>
                <w:rFonts w:eastAsia="Calibri Light" w:cs="Calibri Light"/>
                <w:sz w:val="18"/>
                <w:szCs w:val="18"/>
              </w:rPr>
              <w:t>000</w:t>
            </w:r>
          </w:p>
        </w:tc>
        <w:tc>
          <w:tcPr>
            <w:tcW w:w="1273" w:type="dxa"/>
            <w:tcBorders>
              <w:top w:val="single" w:sz="4" w:space="0" w:color="5D779D" w:themeColor="accent3"/>
              <w:left w:val="single" w:sz="4" w:space="0" w:color="5D779D" w:themeColor="accent3"/>
              <w:bottom w:val="nil"/>
              <w:right w:val="single" w:sz="4" w:space="0" w:color="5D779D" w:themeColor="accent3"/>
            </w:tcBorders>
          </w:tcPr>
          <w:p w14:paraId="65636733" w14:textId="36C85408" w:rsidR="009B32E4" w:rsidRPr="009B32E4" w:rsidRDefault="009B32E4">
            <w:pPr>
              <w:spacing w:before="0" w:after="160" w:line="276" w:lineRule="auto"/>
              <w:rPr>
                <w:rFonts w:eastAsia="Calibri Light" w:cs="Calibri Light"/>
                <w:sz w:val="18"/>
                <w:szCs w:val="18"/>
              </w:rPr>
            </w:pPr>
          </w:p>
        </w:tc>
      </w:tr>
      <w:tr w:rsidR="00406CD0" w14:paraId="3D0D3668" w14:textId="250C0DEB"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3A9004C" w14:textId="77777777" w:rsidR="00406CD0" w:rsidRPr="00D066BB" w:rsidRDefault="00406CD0">
            <w:pPr>
              <w:spacing w:before="0" w:after="160" w:line="276" w:lineRule="auto"/>
              <w:rPr>
                <w:rFonts w:cs="Calibri Light"/>
                <w:sz w:val="18"/>
                <w:szCs w:val="18"/>
              </w:rPr>
            </w:pPr>
            <w:r w:rsidRPr="00D066BB">
              <w:rPr>
                <w:rFonts w:eastAsia="Calibri Light" w:cs="Calibri Light"/>
                <w:sz w:val="18"/>
                <w:szCs w:val="18"/>
              </w:rPr>
              <w:t xml:space="preserve">Total adjustment costs  </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57D12BD" w14:textId="29F3E05F"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4,635,</w:t>
            </w:r>
            <w:r w:rsidR="2B616D09" w:rsidRPr="00D066BB">
              <w:rPr>
                <w:rFonts w:eastAsia="Calibri Light" w:cs="Calibri Light"/>
                <w:sz w:val="18"/>
                <w:szCs w:val="18"/>
              </w:rPr>
              <w:t>000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3A44C02A" w14:textId="59C8B8E6"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1,335,0</w:t>
            </w:r>
            <w:r w:rsidR="660CCAC9" w:rsidRPr="00D066BB">
              <w:rPr>
                <w:rFonts w:eastAsia="Calibri Light" w:cs="Calibri Light"/>
                <w:sz w:val="18"/>
                <w:szCs w:val="18"/>
              </w:rPr>
              <w:t>00</w:t>
            </w:r>
            <w:r w:rsidRPr="00D066BB">
              <w:rPr>
                <w:rFonts w:eastAsia="Calibri Light" w:cs="Calibri Light"/>
                <w:sz w:val="18"/>
                <w:szCs w:val="18"/>
              </w:rPr>
              <w:t xml:space="preserve"> </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7A8CED7C" w14:textId="4605D92E" w:rsidR="00406CD0" w:rsidRPr="00822854" w:rsidRDefault="00406CD0">
            <w:pPr>
              <w:spacing w:before="0" w:after="160" w:line="276" w:lineRule="auto"/>
              <w:rPr>
                <w:sz w:val="18"/>
                <w:szCs w:val="18"/>
              </w:rPr>
            </w:pPr>
            <w:r w:rsidRPr="00D066BB">
              <w:rPr>
                <w:rFonts w:eastAsia="Calibri Light" w:cs="Calibri Light"/>
                <w:sz w:val="18"/>
                <w:szCs w:val="18"/>
              </w:rPr>
              <w:t>97</w:t>
            </w:r>
            <w:r w:rsidR="5A2F8DFE" w:rsidRPr="00D066BB">
              <w:rPr>
                <w:rFonts w:eastAsia="Calibri Light" w:cs="Calibri Light"/>
                <w:sz w:val="18"/>
                <w:szCs w:val="18"/>
              </w:rPr>
              <w:t>9,000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B7FB346" w14:textId="646C8A18" w:rsidR="00406CD0" w:rsidRPr="00D066BB" w:rsidRDefault="00406CD0">
            <w:pPr>
              <w:spacing w:before="0" w:after="160" w:line="276" w:lineRule="auto"/>
              <w:rPr>
                <w:rFonts w:eastAsia="Calibri Light" w:cs="Calibri Light"/>
                <w:sz w:val="18"/>
                <w:szCs w:val="18"/>
              </w:rPr>
            </w:pPr>
            <w:r w:rsidRPr="00D066BB">
              <w:rPr>
                <w:rFonts w:eastAsia="Calibri Light" w:cs="Calibri Light"/>
                <w:sz w:val="18"/>
                <w:szCs w:val="18"/>
              </w:rPr>
              <w:t>7</w:t>
            </w:r>
            <w:r w:rsidR="670F25B7" w:rsidRPr="00D066BB">
              <w:rPr>
                <w:rFonts w:eastAsia="Calibri Light" w:cs="Calibri Light"/>
                <w:sz w:val="18"/>
                <w:szCs w:val="18"/>
              </w:rPr>
              <w:t>3,000</w:t>
            </w:r>
          </w:p>
        </w:tc>
        <w:tc>
          <w:tcPr>
            <w:tcW w:w="1273" w:type="dxa"/>
            <w:tcBorders>
              <w:top w:val="nil"/>
              <w:left w:val="single" w:sz="4" w:space="0" w:color="5D779D" w:themeColor="accent3"/>
              <w:bottom w:val="single" w:sz="4" w:space="0" w:color="5D779D" w:themeColor="accent3"/>
              <w:right w:val="single" w:sz="4" w:space="0" w:color="5D779D" w:themeColor="accent3"/>
            </w:tcBorders>
          </w:tcPr>
          <w:p w14:paraId="41873549" w14:textId="47871A9F" w:rsidR="00E92DCB" w:rsidRPr="009B32E4" w:rsidRDefault="00E92DCB">
            <w:pPr>
              <w:spacing w:before="0" w:after="160" w:line="276" w:lineRule="auto"/>
              <w:rPr>
                <w:rFonts w:eastAsia="Calibri Light" w:cs="Calibri Light"/>
                <w:sz w:val="18"/>
                <w:szCs w:val="18"/>
              </w:rPr>
            </w:pPr>
          </w:p>
        </w:tc>
      </w:tr>
      <w:tr w:rsidR="00B63866" w:rsidRPr="009B32E4" w14:paraId="0E378BFA"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08C4E443" w14:textId="45820505" w:rsidR="00822854" w:rsidRPr="00D066BB" w:rsidRDefault="00822854">
            <w:pPr>
              <w:spacing w:before="0" w:after="160" w:line="276" w:lineRule="auto"/>
              <w:rPr>
                <w:rFonts w:eastAsia="Calibri Light" w:cs="Calibri Light"/>
                <w:b/>
                <w:sz w:val="18"/>
                <w:szCs w:val="18"/>
              </w:rPr>
            </w:pPr>
            <w:r w:rsidRPr="00D066BB">
              <w:rPr>
                <w:rFonts w:eastAsia="Calibri Light" w:cs="Calibri Light"/>
                <w:b/>
                <w:color w:val="000000" w:themeColor="text1"/>
                <w:sz w:val="18"/>
                <w:szCs w:val="18"/>
              </w:rPr>
              <w:t>Purchase cost ($)</w:t>
            </w:r>
          </w:p>
        </w:tc>
        <w:tc>
          <w:tcPr>
            <w:tcW w:w="236" w:type="dxa"/>
            <w:tcBorders>
              <w:top w:val="single" w:sz="4" w:space="0" w:color="5D779D" w:themeColor="accent3"/>
              <w:left w:val="single" w:sz="4" w:space="0" w:color="5D779D" w:themeColor="accent3"/>
              <w:bottom w:val="single" w:sz="4" w:space="0" w:color="5D779D" w:themeColor="accent3"/>
              <w:right w:val="nil"/>
            </w:tcBorders>
            <w:shd w:val="clear" w:color="auto" w:fill="D2E1F9" w:themeFill="accent5" w:themeFillTint="66"/>
          </w:tcPr>
          <w:p w14:paraId="0475A30E" w14:textId="77777777" w:rsidR="00822854" w:rsidRPr="00D066BB" w:rsidRDefault="00822854">
            <w:pPr>
              <w:spacing w:before="0" w:after="160" w:line="276" w:lineRule="auto"/>
              <w:rPr>
                <w:rFonts w:eastAsia="Calibri Light" w:cs="Calibri Light"/>
                <w:sz w:val="18"/>
                <w:szCs w:val="18"/>
              </w:rPr>
            </w:pPr>
          </w:p>
        </w:tc>
        <w:tc>
          <w:tcPr>
            <w:tcW w:w="1366" w:type="dxa"/>
            <w:tcBorders>
              <w:top w:val="single" w:sz="4" w:space="0" w:color="5D779D" w:themeColor="accent3"/>
              <w:left w:val="nil"/>
              <w:bottom w:val="single" w:sz="4" w:space="0" w:color="5D779D" w:themeColor="accent3"/>
              <w:right w:val="nil"/>
            </w:tcBorders>
            <w:shd w:val="clear" w:color="auto" w:fill="D2E1F9" w:themeFill="accent5" w:themeFillTint="66"/>
          </w:tcPr>
          <w:p w14:paraId="2FFCF2DB" w14:textId="77777777" w:rsidR="00822854" w:rsidRPr="00D066BB" w:rsidRDefault="00822854">
            <w:pPr>
              <w:spacing w:before="0" w:after="160" w:line="276" w:lineRule="auto"/>
              <w:rPr>
                <w:rFonts w:eastAsia="Calibri Light" w:cs="Calibri Light"/>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D2E1F9" w:themeFill="accent5" w:themeFillTint="66"/>
          </w:tcPr>
          <w:p w14:paraId="15FD79D4" w14:textId="77777777" w:rsidR="00822854" w:rsidRPr="00D066BB" w:rsidRDefault="00822854">
            <w:pPr>
              <w:spacing w:before="0" w:after="160" w:line="276" w:lineRule="auto"/>
              <w:rPr>
                <w:rFonts w:eastAsia="Calibri Light" w:cs="Calibri Light"/>
                <w:sz w:val="18"/>
                <w:szCs w:val="18"/>
              </w:rPr>
            </w:pPr>
          </w:p>
        </w:tc>
        <w:tc>
          <w:tcPr>
            <w:tcW w:w="2524" w:type="dxa"/>
            <w:gridSpan w:val="2"/>
            <w:tcBorders>
              <w:top w:val="single" w:sz="4" w:space="0" w:color="5D779D" w:themeColor="accent3"/>
              <w:left w:val="nil"/>
              <w:bottom w:val="single" w:sz="4" w:space="0" w:color="5D779D" w:themeColor="accent3"/>
              <w:right w:val="single" w:sz="4" w:space="0" w:color="5D779D" w:themeColor="accent3"/>
            </w:tcBorders>
            <w:shd w:val="clear" w:color="auto" w:fill="D2E1F9" w:themeFill="accent5" w:themeFillTint="66"/>
          </w:tcPr>
          <w:p w14:paraId="38376B52" w14:textId="77777777" w:rsidR="00822854" w:rsidRPr="00D066BB" w:rsidRDefault="00822854">
            <w:pPr>
              <w:spacing w:before="0" w:after="160" w:line="276" w:lineRule="auto"/>
              <w:rPr>
                <w:rFonts w:eastAsia="Calibri Light" w:cs="Calibri Light"/>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411CF032" w14:textId="1F54297A" w:rsidR="00822854" w:rsidRPr="00D066BB" w:rsidRDefault="00822854">
            <w:pPr>
              <w:spacing w:before="0" w:after="160" w:line="276" w:lineRule="auto"/>
              <w:rPr>
                <w:rFonts w:eastAsia="Calibri Light" w:cs="Calibri Light"/>
                <w:sz w:val="18"/>
                <w:szCs w:val="18"/>
              </w:rPr>
            </w:pPr>
            <w:r w:rsidRPr="00D066BB">
              <w:rPr>
                <w:rFonts w:eastAsia="Calibri Light" w:cs="Calibri Light"/>
                <w:sz w:val="18"/>
                <w:szCs w:val="18"/>
              </w:rPr>
              <w:t>32,674,000</w:t>
            </w:r>
          </w:p>
        </w:tc>
      </w:tr>
      <w:tr w:rsidR="00406CD0" w14:paraId="16F047FF" w14:textId="510282CB"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E739E22" w14:textId="7DE70BCE" w:rsidR="00406CD0" w:rsidRPr="00D066BB" w:rsidRDefault="006C138F">
            <w:pPr>
              <w:spacing w:before="0" w:after="160" w:line="276" w:lineRule="auto"/>
              <w:rPr>
                <w:rFonts w:cs="Calibri Light"/>
                <w:sz w:val="18"/>
                <w:szCs w:val="18"/>
              </w:rPr>
            </w:pPr>
            <w:r w:rsidRPr="006C138F">
              <w:rPr>
                <w:rFonts w:eastAsia="Calibri Light" w:cs="Calibri Light"/>
                <w:bCs/>
                <w:sz w:val="18"/>
                <w:szCs w:val="18"/>
              </w:rPr>
              <w:t>Obtain external legal advice</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1486709F" w14:textId="34876501" w:rsidR="00406CD0" w:rsidRPr="00822854" w:rsidRDefault="00406CD0">
            <w:pPr>
              <w:spacing w:before="0" w:after="160" w:line="276" w:lineRule="auto"/>
              <w:rPr>
                <w:sz w:val="18"/>
                <w:szCs w:val="18"/>
              </w:rPr>
            </w:pPr>
            <w:r w:rsidRPr="00D066BB">
              <w:rPr>
                <w:rFonts w:eastAsia="Calibri Light" w:cs="Calibri Light"/>
                <w:sz w:val="18"/>
                <w:szCs w:val="18"/>
              </w:rPr>
              <w:t>27,211,</w:t>
            </w:r>
            <w:r w:rsidR="5534CE61" w:rsidRPr="00D066BB">
              <w:rPr>
                <w:rFonts w:eastAsia="Calibri Light" w:cs="Calibri Light"/>
                <w:sz w:val="18"/>
                <w:szCs w:val="18"/>
              </w:rPr>
              <w:t>00</w:t>
            </w:r>
            <w:r w:rsidRPr="00D066BB">
              <w:rPr>
                <w:rFonts w:eastAsia="Calibri Light" w:cs="Calibri Light"/>
                <w:sz w:val="18"/>
                <w:szCs w:val="18"/>
              </w:rPr>
              <w:t>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049B3751" w14:textId="2EA212F7" w:rsidR="00406CD0" w:rsidRPr="00822854" w:rsidRDefault="00406CD0">
            <w:pPr>
              <w:spacing w:before="0" w:after="160" w:line="276" w:lineRule="auto"/>
              <w:rPr>
                <w:sz w:val="18"/>
                <w:szCs w:val="18"/>
              </w:rPr>
            </w:pPr>
            <w:r w:rsidRPr="00D066BB">
              <w:rPr>
                <w:rFonts w:eastAsia="Calibri Light" w:cs="Calibri Light"/>
                <w:sz w:val="18"/>
                <w:szCs w:val="18"/>
              </w:rPr>
              <w:t>3,91</w:t>
            </w:r>
            <w:r w:rsidR="075C74E3" w:rsidRPr="00D066BB">
              <w:rPr>
                <w:rFonts w:eastAsia="Calibri Light" w:cs="Calibri Light"/>
                <w:sz w:val="18"/>
                <w:szCs w:val="18"/>
              </w:rPr>
              <w:t>9,00</w:t>
            </w:r>
            <w:r w:rsidRPr="00D066BB">
              <w:rPr>
                <w:rFonts w:eastAsia="Calibri Light" w:cs="Calibri Light"/>
                <w:sz w:val="18"/>
                <w:szCs w:val="18"/>
              </w:rPr>
              <w:t>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1A5D0B4" w14:textId="497F7978" w:rsidR="00406CD0" w:rsidRPr="00822854" w:rsidRDefault="00406CD0">
            <w:pPr>
              <w:spacing w:before="0" w:after="160" w:line="276" w:lineRule="auto"/>
              <w:rPr>
                <w:sz w:val="18"/>
                <w:szCs w:val="18"/>
              </w:rPr>
            </w:pPr>
            <w:r w:rsidRPr="00D066BB">
              <w:rPr>
                <w:rFonts w:eastAsia="Calibri Light" w:cs="Calibri Light"/>
                <w:sz w:val="18"/>
                <w:szCs w:val="18"/>
              </w:rPr>
              <w:t>1,43</w:t>
            </w:r>
            <w:r w:rsidR="0D9E662E" w:rsidRPr="00D066BB">
              <w:rPr>
                <w:rFonts w:eastAsia="Calibri Light" w:cs="Calibri Light"/>
                <w:sz w:val="18"/>
                <w:szCs w:val="18"/>
              </w:rPr>
              <w:t>7,000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61445EA8" w14:textId="34C46645" w:rsidR="00406CD0" w:rsidRPr="00822854" w:rsidRDefault="00406CD0">
            <w:pPr>
              <w:spacing w:before="0" w:after="160" w:line="276" w:lineRule="auto"/>
              <w:rPr>
                <w:sz w:val="18"/>
                <w:szCs w:val="18"/>
              </w:rPr>
            </w:pPr>
            <w:r w:rsidRPr="00D066BB">
              <w:rPr>
                <w:rFonts w:eastAsia="Calibri Light" w:cs="Calibri Light"/>
                <w:sz w:val="18"/>
                <w:szCs w:val="18"/>
              </w:rPr>
              <w:t>107,</w:t>
            </w:r>
            <w:r w:rsidR="48394233" w:rsidRPr="00D066BB">
              <w:rPr>
                <w:rFonts w:eastAsia="Calibri Light" w:cs="Calibri Light"/>
                <w:sz w:val="18"/>
                <w:szCs w:val="18"/>
              </w:rPr>
              <w:t>00</w:t>
            </w:r>
            <w:r w:rsidRPr="00D066BB">
              <w:rPr>
                <w:rFonts w:eastAsia="Calibri Light" w:cs="Calibri Light"/>
                <w:sz w:val="18"/>
                <w:szCs w:val="18"/>
              </w:rPr>
              <w:t>0</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tcPr>
          <w:p w14:paraId="5C7A8125" w14:textId="3A490BBD" w:rsidR="00F00E87" w:rsidRPr="009B32E4" w:rsidRDefault="00F00E87">
            <w:pPr>
              <w:spacing w:before="0" w:after="160" w:line="276" w:lineRule="auto"/>
              <w:rPr>
                <w:rFonts w:eastAsia="Calibri Light" w:cs="Calibri Light"/>
                <w:sz w:val="18"/>
                <w:szCs w:val="18"/>
              </w:rPr>
            </w:pPr>
          </w:p>
        </w:tc>
      </w:tr>
      <w:tr w:rsidR="001E5BDD" w14:paraId="797C25B7" w14:textId="3E1F3468" w:rsidTr="0001744F">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B06C9DF" w14:textId="65E574CD" w:rsidR="00406CD0" w:rsidRPr="00822854" w:rsidRDefault="00406CD0">
            <w:pPr>
              <w:spacing w:before="0" w:after="160" w:line="276" w:lineRule="auto"/>
              <w:rPr>
                <w:b/>
                <w:sz w:val="18"/>
                <w:szCs w:val="18"/>
              </w:rPr>
            </w:pPr>
            <w:r w:rsidRPr="00D066BB">
              <w:rPr>
                <w:rFonts w:eastAsia="Calibri Light" w:cs="Calibri Light"/>
                <w:b/>
                <w:color w:val="000000" w:themeColor="text1"/>
                <w:sz w:val="18"/>
                <w:szCs w:val="18"/>
              </w:rPr>
              <w:t>Total cost (labour + purchase</w:t>
            </w:r>
            <w:r w:rsidR="000F31A3" w:rsidRPr="00D066BB">
              <w:rPr>
                <w:rFonts w:eastAsia="Calibri Light" w:cs="Calibri Light"/>
                <w:b/>
                <w:color w:val="000000" w:themeColor="text1"/>
                <w:sz w:val="18"/>
                <w:szCs w:val="18"/>
              </w:rPr>
              <w:t xml:space="preserve">) </w:t>
            </w:r>
            <w:r w:rsidR="002C6437" w:rsidRPr="00D066BB">
              <w:rPr>
                <w:rFonts w:eastAsia="Calibri Light" w:cs="Calibri Light"/>
                <w:b/>
                <w:color w:val="000000" w:themeColor="text1"/>
                <w:sz w:val="18"/>
                <w:szCs w:val="18"/>
              </w:rPr>
              <w:t>($)</w:t>
            </w:r>
          </w:p>
        </w:tc>
        <w:tc>
          <w:tcPr>
            <w:tcW w:w="1602" w:type="dxa"/>
            <w:gridSpan w:val="2"/>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6E7B2762" w14:textId="508A69AD"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78,198,</w:t>
            </w:r>
            <w:r w:rsidR="7A09BAFC" w:rsidRPr="00D066BB">
              <w:rPr>
                <w:rFonts w:eastAsia="Calibri Light" w:cs="Calibri Light"/>
                <w:color w:val="000000" w:themeColor="text1"/>
                <w:sz w:val="18"/>
                <w:szCs w:val="18"/>
              </w:rPr>
              <w:t>000</w:t>
            </w:r>
          </w:p>
        </w:tc>
        <w:tc>
          <w:tcPr>
            <w:tcW w:w="1866"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05A2BD5C" w14:textId="6354B62A" w:rsidR="00406CD0" w:rsidRPr="00D066BB" w:rsidRDefault="00406CD0">
            <w:pPr>
              <w:spacing w:before="0" w:after="160" w:line="276" w:lineRule="auto"/>
              <w:rPr>
                <w:rFonts w:eastAsia="Calibri Light" w:cs="Calibri Light"/>
                <w:color w:val="000000" w:themeColor="text1"/>
                <w:sz w:val="18"/>
                <w:szCs w:val="18"/>
              </w:rPr>
            </w:pPr>
            <w:r w:rsidRPr="00D066BB">
              <w:rPr>
                <w:rFonts w:eastAsia="Calibri Light" w:cs="Calibri Light"/>
                <w:color w:val="000000" w:themeColor="text1"/>
                <w:sz w:val="18"/>
                <w:szCs w:val="18"/>
              </w:rPr>
              <w:t>11,929</w:t>
            </w:r>
            <w:r w:rsidR="50A6A706" w:rsidRPr="00D066BB">
              <w:rPr>
                <w:rFonts w:eastAsia="Calibri Light" w:cs="Calibri Light"/>
                <w:color w:val="000000" w:themeColor="text1"/>
                <w:sz w:val="18"/>
                <w:szCs w:val="18"/>
              </w:rPr>
              <w:t>,000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4F47357B" w14:textId="2A2F9B09"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7,309,</w:t>
            </w:r>
            <w:r w:rsidR="560CF240" w:rsidRPr="00D066BB">
              <w:rPr>
                <w:rFonts w:eastAsia="Calibri Light" w:cs="Calibri Light"/>
                <w:color w:val="000000" w:themeColor="text1"/>
                <w:sz w:val="18"/>
                <w:szCs w:val="18"/>
              </w:rPr>
              <w:t>000</w:t>
            </w:r>
          </w:p>
        </w:tc>
        <w:tc>
          <w:tcPr>
            <w:tcW w:w="1262"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79DB9F53" w14:textId="1027D982" w:rsidR="00406CD0" w:rsidRPr="00822854" w:rsidRDefault="00406CD0">
            <w:pPr>
              <w:spacing w:before="0" w:after="160" w:line="276" w:lineRule="auto"/>
              <w:rPr>
                <w:sz w:val="18"/>
                <w:szCs w:val="18"/>
              </w:rPr>
            </w:pPr>
            <w:r w:rsidRPr="00D066BB">
              <w:rPr>
                <w:rFonts w:eastAsia="Calibri Light" w:cs="Calibri Light"/>
                <w:color w:val="000000" w:themeColor="text1"/>
                <w:sz w:val="18"/>
                <w:szCs w:val="18"/>
              </w:rPr>
              <w:t>72</w:t>
            </w:r>
            <w:r w:rsidR="03D06DE2" w:rsidRPr="00D066BB">
              <w:rPr>
                <w:rFonts w:eastAsia="Calibri Light" w:cs="Calibri Light"/>
                <w:color w:val="000000" w:themeColor="text1"/>
                <w:sz w:val="18"/>
                <w:szCs w:val="18"/>
              </w:rPr>
              <w:t>8,000</w:t>
            </w: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D2E1F9" w:themeFill="accent5" w:themeFillTint="66"/>
          </w:tcPr>
          <w:p w14:paraId="136F752E" w14:textId="0E133706" w:rsidR="000F31A3" w:rsidRPr="0079702D" w:rsidRDefault="000F31A3">
            <w:pPr>
              <w:spacing w:before="0" w:after="160" w:line="276" w:lineRule="auto"/>
              <w:rPr>
                <w:rFonts w:eastAsia="Calibri Light" w:cs="Calibri Light"/>
                <w:sz w:val="18"/>
                <w:szCs w:val="18"/>
              </w:rPr>
            </w:pPr>
            <w:r w:rsidRPr="00D066BB">
              <w:rPr>
                <w:rFonts w:eastAsia="Calibri Light" w:cs="Calibri Light"/>
                <w:sz w:val="18"/>
                <w:szCs w:val="18"/>
              </w:rPr>
              <w:t>98,164,000</w:t>
            </w:r>
          </w:p>
        </w:tc>
      </w:tr>
      <w:tr w:rsidR="00B63866" w14:paraId="7EEF8E62" w14:textId="77777777" w:rsidTr="006A2C83">
        <w:trPr>
          <w:trHeight w:val="285"/>
        </w:trPr>
        <w:tc>
          <w:tcPr>
            <w:tcW w:w="1795"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FFFFFF" w:themeFill="background1"/>
          </w:tcPr>
          <w:p w14:paraId="2A06980B" w14:textId="0FC5FA29" w:rsidR="005225D1" w:rsidRPr="00D066BB" w:rsidRDefault="005225D1">
            <w:pPr>
              <w:spacing w:before="0" w:after="160" w:line="276" w:lineRule="auto"/>
              <w:rPr>
                <w:rFonts w:eastAsia="Calibri Light" w:cs="Calibri Light"/>
                <w:b/>
                <w:color w:val="000000" w:themeColor="text1"/>
                <w:sz w:val="18"/>
                <w:szCs w:val="18"/>
              </w:rPr>
            </w:pPr>
            <w:r w:rsidRPr="005225D1">
              <w:rPr>
                <w:rFonts w:eastAsia="Calibri Light" w:cs="Calibri Light"/>
                <w:b/>
                <w:color w:val="000000" w:themeColor="text1"/>
                <w:sz w:val="18"/>
                <w:szCs w:val="18"/>
              </w:rPr>
              <w:t>Annual total cost (over 10 years) ($)</w:t>
            </w:r>
          </w:p>
        </w:tc>
        <w:tc>
          <w:tcPr>
            <w:tcW w:w="1602" w:type="dxa"/>
            <w:gridSpan w:val="2"/>
            <w:tcBorders>
              <w:top w:val="single" w:sz="4" w:space="0" w:color="5D779D" w:themeColor="accent3"/>
              <w:left w:val="single" w:sz="4" w:space="0" w:color="5D779D" w:themeColor="accent3"/>
              <w:bottom w:val="single" w:sz="4" w:space="0" w:color="5D779D" w:themeColor="accent3"/>
              <w:right w:val="nil"/>
            </w:tcBorders>
            <w:shd w:val="clear" w:color="auto" w:fill="FFFFFF" w:themeFill="background1"/>
          </w:tcPr>
          <w:p w14:paraId="5A03AEC4" w14:textId="77777777" w:rsidR="005225D1" w:rsidRPr="005225D1" w:rsidRDefault="005225D1">
            <w:pPr>
              <w:spacing w:before="0" w:after="160" w:line="276" w:lineRule="auto"/>
              <w:rPr>
                <w:rFonts w:eastAsia="Calibri Light" w:cs="Calibri Light"/>
                <w:b/>
                <w:color w:val="000000" w:themeColor="text1"/>
                <w:sz w:val="18"/>
                <w:szCs w:val="18"/>
              </w:rPr>
            </w:pPr>
          </w:p>
        </w:tc>
        <w:tc>
          <w:tcPr>
            <w:tcW w:w="1866" w:type="dxa"/>
            <w:tcBorders>
              <w:top w:val="single" w:sz="4" w:space="0" w:color="5D779D" w:themeColor="accent3"/>
              <w:left w:val="nil"/>
              <w:bottom w:val="single" w:sz="4" w:space="0" w:color="5D779D" w:themeColor="accent3"/>
              <w:right w:val="nil"/>
            </w:tcBorders>
            <w:shd w:val="clear" w:color="auto" w:fill="FFFFFF" w:themeFill="background1"/>
          </w:tcPr>
          <w:p w14:paraId="5A548E10"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62" w:type="dxa"/>
            <w:tcBorders>
              <w:top w:val="single" w:sz="4" w:space="0" w:color="5D779D" w:themeColor="accent3"/>
              <w:left w:val="nil"/>
              <w:bottom w:val="single" w:sz="4" w:space="0" w:color="5D779D" w:themeColor="accent3"/>
              <w:right w:val="nil"/>
            </w:tcBorders>
            <w:shd w:val="clear" w:color="auto" w:fill="FFFFFF" w:themeFill="background1"/>
          </w:tcPr>
          <w:p w14:paraId="78DAD520"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62" w:type="dxa"/>
            <w:tcBorders>
              <w:top w:val="single" w:sz="4" w:space="0" w:color="5D779D" w:themeColor="accent3"/>
              <w:left w:val="nil"/>
              <w:bottom w:val="single" w:sz="4" w:space="0" w:color="5D779D" w:themeColor="accent3"/>
              <w:right w:val="single" w:sz="4" w:space="0" w:color="5D779D" w:themeColor="accent3"/>
            </w:tcBorders>
            <w:shd w:val="clear" w:color="auto" w:fill="FFFFFF" w:themeFill="background1"/>
          </w:tcPr>
          <w:p w14:paraId="7E2F1A3E" w14:textId="77777777" w:rsidR="005225D1" w:rsidRPr="005225D1" w:rsidRDefault="005225D1">
            <w:pPr>
              <w:spacing w:before="0" w:after="160" w:line="276" w:lineRule="auto"/>
              <w:rPr>
                <w:rFonts w:eastAsia="Calibri Light" w:cs="Calibri Light"/>
                <w:b/>
                <w:color w:val="000000" w:themeColor="text1"/>
                <w:sz w:val="18"/>
                <w:szCs w:val="18"/>
              </w:rPr>
            </w:pPr>
          </w:p>
        </w:tc>
        <w:tc>
          <w:tcPr>
            <w:tcW w:w="1273" w:type="dxa"/>
            <w:tcBorders>
              <w:top w:val="single" w:sz="4" w:space="0" w:color="5D779D" w:themeColor="accent3"/>
              <w:left w:val="single" w:sz="4" w:space="0" w:color="5D779D" w:themeColor="accent3"/>
              <w:bottom w:val="single" w:sz="4" w:space="0" w:color="5D779D" w:themeColor="accent3"/>
              <w:right w:val="single" w:sz="4" w:space="0" w:color="5D779D" w:themeColor="accent3"/>
            </w:tcBorders>
            <w:shd w:val="clear" w:color="auto" w:fill="FFFFFF" w:themeFill="background1"/>
          </w:tcPr>
          <w:p w14:paraId="700EB2D5" w14:textId="58C345F5" w:rsidR="005225D1" w:rsidRPr="0001744F" w:rsidRDefault="005225D1" w:rsidP="000F31A3">
            <w:pPr>
              <w:spacing w:before="0" w:after="160" w:line="276" w:lineRule="auto"/>
              <w:rPr>
                <w:rFonts w:eastAsia="Calibri Light" w:cs="Calibri Light"/>
                <w:color w:val="000000" w:themeColor="text1"/>
                <w:sz w:val="18"/>
                <w:szCs w:val="18"/>
              </w:rPr>
            </w:pPr>
            <w:r w:rsidRPr="0001744F">
              <w:rPr>
                <w:rFonts w:eastAsia="Calibri Light" w:cs="Calibri Light"/>
                <w:color w:val="000000" w:themeColor="text1"/>
                <w:sz w:val="18"/>
                <w:szCs w:val="18"/>
              </w:rPr>
              <w:t>9,816,000</w:t>
            </w:r>
          </w:p>
        </w:tc>
      </w:tr>
    </w:tbl>
    <w:p w14:paraId="5DE9A61B" w14:textId="3F39A6EC" w:rsidR="009B32E4" w:rsidRPr="00A13CCA" w:rsidRDefault="009B32E4" w:rsidP="009B32E4">
      <w:pPr>
        <w:rPr>
          <w:rFonts w:eastAsia="Aptos"/>
          <w:i/>
          <w:iCs/>
          <w:sz w:val="18"/>
          <w:szCs w:val="16"/>
        </w:rPr>
      </w:pPr>
      <w:r w:rsidRPr="00A13CCA">
        <w:rPr>
          <w:rFonts w:eastAsia="Aptos"/>
          <w:i/>
          <w:iCs/>
          <w:sz w:val="18"/>
          <w:szCs w:val="16"/>
        </w:rPr>
        <w:t xml:space="preserve">Note: sums may not add </w:t>
      </w:r>
      <w:r w:rsidR="00926664">
        <w:rPr>
          <w:rFonts w:eastAsia="Aptos"/>
          <w:i/>
          <w:iCs/>
          <w:sz w:val="18"/>
          <w:szCs w:val="16"/>
        </w:rPr>
        <w:t>to</w:t>
      </w:r>
      <w:r w:rsidRPr="00A13CCA">
        <w:rPr>
          <w:rFonts w:eastAsia="Aptos"/>
          <w:i/>
          <w:iCs/>
          <w:sz w:val="18"/>
          <w:szCs w:val="16"/>
        </w:rPr>
        <w:t xml:space="preserve"> totals due to rounding adjustments.</w:t>
      </w:r>
    </w:p>
    <w:p w14:paraId="2A585BEC" w14:textId="77777777" w:rsidR="00406CD0" w:rsidRPr="00B724FF" w:rsidRDefault="00406CD0" w:rsidP="00406CD0">
      <w:pPr>
        <w:pStyle w:val="Heading4"/>
        <w:rPr>
          <w:rFonts w:eastAsia="Aptos"/>
          <w:szCs w:val="22"/>
        </w:rPr>
      </w:pPr>
      <w:r w:rsidRPr="00846619">
        <w:rPr>
          <w:rFonts w:eastAsia="Aptos"/>
          <w:sz w:val="22"/>
          <w:szCs w:val="22"/>
        </w:rPr>
        <w:t>Methodology</w:t>
      </w:r>
      <w:r w:rsidRPr="00FA4A92">
        <w:rPr>
          <w:rFonts w:eastAsia="Calibri Light" w:cs="Calibri Light"/>
          <w:sz w:val="22"/>
          <w:szCs w:val="22"/>
        </w:rPr>
        <w:t xml:space="preserve"> </w:t>
      </w:r>
      <w:r w:rsidRPr="00846619">
        <w:rPr>
          <w:rFonts w:eastAsia="Aptos"/>
          <w:sz w:val="22"/>
          <w:szCs w:val="22"/>
        </w:rPr>
        <w:t>and assumptions</w:t>
      </w:r>
    </w:p>
    <w:p w14:paraId="1ACB3C16" w14:textId="03247AB7" w:rsidR="00406CD0" w:rsidRPr="00846619" w:rsidRDefault="00FF51A6" w:rsidP="00406CD0">
      <w:pPr>
        <w:spacing w:before="0" w:after="160"/>
        <w:rPr>
          <w:sz w:val="24"/>
          <w:szCs w:val="22"/>
        </w:rPr>
      </w:pPr>
      <w:r>
        <w:t xml:space="preserve">Treasury sought quantitative information on the likely costs and benefits associated with </w:t>
      </w:r>
      <w:r w:rsidR="00015015">
        <w:t xml:space="preserve">drip pricing </w:t>
      </w:r>
      <w:r>
        <w:t>reform through consultation, but respondents did not provide many estimates or evidence.</w:t>
      </w:r>
      <w:r w:rsidR="00406CD0">
        <w:rPr>
          <w:rFonts w:eastAsia="Calibri Light"/>
        </w:rPr>
        <w:t xml:space="preserve"> </w:t>
      </w:r>
      <w:r w:rsidR="00406CD0" w:rsidRPr="779D0450">
        <w:rPr>
          <w:rFonts w:eastAsia="Calibri Light" w:cs="Calibri Light"/>
        </w:rPr>
        <w:t>Accordingly, our analysis relies on publicly available data from the ABS, the US FTC</w:t>
      </w:r>
      <w:r w:rsidR="00406CD0" w:rsidRPr="779D0450">
        <w:rPr>
          <w:rStyle w:val="FootnoteReference"/>
          <w:rFonts w:eastAsia="Calibri Light" w:cs="Calibri Light"/>
        </w:rPr>
        <w:footnoteReference w:id="186"/>
      </w:r>
      <w:r w:rsidR="00406CD0" w:rsidRPr="779D0450">
        <w:rPr>
          <w:rFonts w:eastAsia="Calibri Light" w:cs="Calibri Light"/>
        </w:rPr>
        <w:t xml:space="preserve"> and UK Department for Business and Trade</w:t>
      </w:r>
      <w:r w:rsidR="00805B75">
        <w:rPr>
          <w:rFonts w:eastAsia="Calibri Light" w:cs="Calibri Light"/>
        </w:rPr>
        <w:t>,</w:t>
      </w:r>
      <w:r w:rsidR="00406CD0" w:rsidRPr="779D0450">
        <w:rPr>
          <w:rStyle w:val="FootnoteReference"/>
          <w:rFonts w:eastAsia="Calibri Light" w:cs="Calibri Light"/>
        </w:rPr>
        <w:footnoteReference w:id="187"/>
      </w:r>
      <w:r w:rsidR="00406CD0" w:rsidRPr="779D0450">
        <w:rPr>
          <w:rFonts w:eastAsia="Calibri Light" w:cs="Calibri Light"/>
        </w:rPr>
        <w:t xml:space="preserve"> </w:t>
      </w:r>
      <w:r w:rsidR="007361A1">
        <w:rPr>
          <w:rFonts w:eastAsia="Calibri Light" w:cs="Calibri Light"/>
        </w:rPr>
        <w:t>supported by Treasury</w:t>
      </w:r>
      <w:r w:rsidR="00406CD0" w:rsidRPr="779D0450">
        <w:rPr>
          <w:rFonts w:eastAsia="Calibri Light" w:cs="Calibri Light"/>
        </w:rPr>
        <w:t xml:space="preserve"> estimates and assumptions.  </w:t>
      </w:r>
    </w:p>
    <w:p w14:paraId="01CCD92F" w14:textId="77777777" w:rsidR="00406CD0" w:rsidRPr="00846619" w:rsidRDefault="00406CD0" w:rsidP="00433124">
      <w:pPr>
        <w:pStyle w:val="Heading5"/>
        <w:rPr>
          <w:sz w:val="24"/>
          <w:szCs w:val="22"/>
        </w:rPr>
      </w:pPr>
      <w:r>
        <w:rPr>
          <w:rFonts w:eastAsia="Calibri Light"/>
        </w:rPr>
        <w:t>Affected businesses</w:t>
      </w:r>
    </w:p>
    <w:p w14:paraId="2AB4949A" w14:textId="7992C932" w:rsidR="00406CD0" w:rsidRDefault="00406CD0" w:rsidP="00406CD0">
      <w:pPr>
        <w:spacing w:before="0" w:after="160"/>
        <w:rPr>
          <w:rFonts w:eastAsia="Calibri Light" w:cs="Calibri Light"/>
        </w:rPr>
      </w:pPr>
      <w:r w:rsidRPr="779D0450">
        <w:rPr>
          <w:rFonts w:eastAsia="Calibri Light" w:cs="Calibri Light"/>
        </w:rPr>
        <w:t xml:space="preserve">In determining the number of businesses that are likely to be affected by the proposal, </w:t>
      </w:r>
      <w:r w:rsidRPr="1D6B27F7">
        <w:rPr>
          <w:rFonts w:eastAsia="Calibri Light"/>
        </w:rPr>
        <w:t xml:space="preserve">Treasury </w:t>
      </w:r>
      <w:r>
        <w:rPr>
          <w:rFonts w:eastAsia="Calibri Light"/>
        </w:rPr>
        <w:t>has taken a</w:t>
      </w:r>
      <w:r w:rsidRPr="1D6B27F7">
        <w:rPr>
          <w:rFonts w:eastAsia="Calibri Light"/>
        </w:rPr>
        <w:t xml:space="preserve"> high-level estimate by only including </w:t>
      </w:r>
      <w:r>
        <w:rPr>
          <w:rFonts w:eastAsia="Calibri Light"/>
        </w:rPr>
        <w:t xml:space="preserve">those </w:t>
      </w:r>
      <w:r w:rsidRPr="1D6B27F7">
        <w:rPr>
          <w:rFonts w:eastAsia="Calibri Light"/>
        </w:rPr>
        <w:t xml:space="preserve">industry sectors that </w:t>
      </w:r>
      <w:r>
        <w:rPr>
          <w:rFonts w:eastAsia="Calibri Light"/>
        </w:rPr>
        <w:t>are consumer facing</w:t>
      </w:r>
      <w:r w:rsidRPr="04284E19">
        <w:rPr>
          <w:rFonts w:eastAsia="Calibri Light"/>
        </w:rPr>
        <w:t>.</w:t>
      </w:r>
      <w:r w:rsidRPr="04284E19">
        <w:rPr>
          <w:rStyle w:val="FootnoteReference"/>
          <w:rFonts w:eastAsia="Calibri Light" w:cs="Calibri Light"/>
          <w:sz w:val="20"/>
        </w:rPr>
        <w:footnoteReference w:id="188"/>
      </w:r>
      <w:r w:rsidRPr="1D6B27F7">
        <w:rPr>
          <w:rFonts w:eastAsia="Calibri Light"/>
        </w:rPr>
        <w:t xml:space="preserve"> </w:t>
      </w:r>
      <w:r>
        <w:rPr>
          <w:rFonts w:eastAsia="Calibri Light"/>
        </w:rPr>
        <w:t xml:space="preserve">Of these sectors, only those businesses that receive orders online were counted as likely to be affected. This filter is applied based on Treasury’s assumption that drip pricing practices are primarily used in </w:t>
      </w:r>
      <w:r>
        <w:rPr>
          <w:rFonts w:eastAsia="Calibri Light"/>
        </w:rPr>
        <w:lastRenderedPageBreak/>
        <w:t>online, rather than instore retail transactions. The ABS has publicly available data on the proportion of Australian businesses that receive orders via the internet</w:t>
      </w:r>
      <w:r w:rsidRPr="00581330">
        <w:rPr>
          <w:rFonts w:eastAsia="Calibri Light"/>
        </w:rPr>
        <w:t xml:space="preserve"> </w:t>
      </w:r>
      <w:r>
        <w:rPr>
          <w:rFonts w:eastAsia="Calibri Light"/>
        </w:rPr>
        <w:t>categorised</w:t>
      </w:r>
      <w:r w:rsidRPr="3C4C8B03">
        <w:rPr>
          <w:rFonts w:eastAsia="Calibri Light"/>
        </w:rPr>
        <w:t xml:space="preserve"> by employment size.</w:t>
      </w:r>
      <w:r w:rsidRPr="3C4C8B03">
        <w:rPr>
          <w:rStyle w:val="FootnoteReference"/>
          <w:rFonts w:eastAsia="Calibri Light" w:cs="Calibri Light"/>
          <w:sz w:val="20"/>
        </w:rPr>
        <w:footnoteReference w:id="189"/>
      </w:r>
      <w:r w:rsidRPr="779D0450">
        <w:rPr>
          <w:rFonts w:eastAsia="Calibri Light" w:cs="Calibri Light"/>
        </w:rPr>
        <w:t xml:space="preserve"> In applying these datasets, Treasury estimates that the total number of affected businesses is 326,737. </w:t>
      </w:r>
    </w:p>
    <w:p w14:paraId="258FEC79" w14:textId="77B2EF42" w:rsidR="00A226DD" w:rsidRPr="002D5DDF" w:rsidRDefault="00A226DD" w:rsidP="00406CD0">
      <w:pPr>
        <w:spacing w:before="0" w:after="160"/>
        <w:rPr>
          <w:rFonts w:eastAsia="Calibri Light"/>
          <w:b/>
        </w:rPr>
      </w:pPr>
      <w:r>
        <w:rPr>
          <w:rFonts w:eastAsia="Calibri Light" w:cs="Calibri Light"/>
        </w:rPr>
        <w:t>Table 7:</w:t>
      </w:r>
      <w:r w:rsidR="00AE4CD5">
        <w:rPr>
          <w:rFonts w:eastAsia="Calibri Light" w:cs="Calibri Light"/>
        </w:rPr>
        <w:t xml:space="preserve"> Proportion of businesses that receive online orders</w:t>
      </w:r>
    </w:p>
    <w:tbl>
      <w:tblPr>
        <w:tblStyle w:val="ListTable3"/>
        <w:tblW w:w="0" w:type="auto"/>
        <w:tblLayout w:type="fixed"/>
        <w:tblLook w:val="04A0" w:firstRow="1" w:lastRow="0" w:firstColumn="1" w:lastColumn="0" w:noHBand="0" w:noVBand="1"/>
      </w:tblPr>
      <w:tblGrid>
        <w:gridCol w:w="4508"/>
        <w:gridCol w:w="4508"/>
      </w:tblGrid>
      <w:tr w:rsidR="00406CD0" w14:paraId="29D020A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08" w:type="dxa"/>
            <w:tcBorders>
              <w:top w:val="single" w:sz="8" w:space="0" w:color="000000" w:themeColor="text1"/>
              <w:left w:val="single" w:sz="8" w:space="0" w:color="000000" w:themeColor="text1"/>
            </w:tcBorders>
            <w:shd w:val="clear" w:color="auto" w:fill="002060"/>
            <w:tcMar>
              <w:left w:w="108" w:type="dxa"/>
              <w:right w:w="108" w:type="dxa"/>
            </w:tcMar>
          </w:tcPr>
          <w:p w14:paraId="6CB59815" w14:textId="77777777" w:rsidR="00406CD0" w:rsidRDefault="00406CD0">
            <w:pPr>
              <w:spacing w:before="0" w:after="0"/>
            </w:pPr>
            <w:r w:rsidRPr="327D55ED">
              <w:rPr>
                <w:rFonts w:eastAsia="Calibri Light" w:cs="Calibri Light"/>
                <w:sz w:val="20"/>
              </w:rPr>
              <w:t xml:space="preserve">Business Size </w:t>
            </w:r>
          </w:p>
        </w:tc>
        <w:tc>
          <w:tcPr>
            <w:tcW w:w="4508" w:type="dxa"/>
            <w:tcBorders>
              <w:top w:val="single" w:sz="8" w:space="0" w:color="000000" w:themeColor="text1"/>
              <w:left w:val="nil"/>
              <w:bottom w:val="nil"/>
              <w:right w:val="single" w:sz="8" w:space="0" w:color="000000" w:themeColor="text1"/>
            </w:tcBorders>
            <w:shd w:val="clear" w:color="auto" w:fill="002060"/>
            <w:tcMar>
              <w:left w:w="108" w:type="dxa"/>
              <w:right w:w="108" w:type="dxa"/>
            </w:tcMar>
          </w:tcPr>
          <w:p w14:paraId="0D98610E" w14:textId="77777777" w:rsidR="00406CD0" w:rsidRDefault="00406CD0">
            <w:pPr>
              <w:spacing w:before="0" w:after="0"/>
              <w:cnfStyle w:val="100000000000" w:firstRow="1" w:lastRow="0" w:firstColumn="0" w:lastColumn="0" w:oddVBand="0" w:evenVBand="0" w:oddHBand="0" w:evenHBand="0" w:firstRowFirstColumn="0" w:firstRowLastColumn="0" w:lastRowFirstColumn="0" w:lastRowLastColumn="0"/>
            </w:pPr>
            <w:r w:rsidRPr="1D6B27F7">
              <w:rPr>
                <w:rFonts w:eastAsia="Calibri Light" w:cs="Calibri Light"/>
                <w:b w:val="0"/>
                <w:sz w:val="20"/>
              </w:rPr>
              <w:t xml:space="preserve">Proportion of businesses that receive orders online </w:t>
            </w:r>
          </w:p>
        </w:tc>
      </w:tr>
      <w:tr w:rsidR="001E5BDD" w14:paraId="483669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30810327" w14:textId="77777777" w:rsidR="00406CD0" w:rsidRDefault="00406CD0">
            <w:pPr>
              <w:spacing w:before="0" w:after="0"/>
            </w:pPr>
            <w:r w:rsidRPr="1D6B27F7">
              <w:rPr>
                <w:rFonts w:eastAsia="Calibri Light" w:cs="Calibri Light"/>
                <w:color w:val="000000" w:themeColor="text1"/>
                <w:sz w:val="20"/>
              </w:rPr>
              <w:t xml:space="preserve">0-4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062C542" w14:textId="77777777" w:rsidR="00406CD0" w:rsidRDefault="00406CD0">
            <w:pPr>
              <w:spacing w:before="0" w:after="0"/>
              <w:cnfStyle w:val="000000100000" w:firstRow="0" w:lastRow="0" w:firstColumn="0" w:lastColumn="0" w:oddVBand="0" w:evenVBand="0" w:oddHBand="1" w:evenHBand="0" w:firstRowFirstColumn="0" w:firstRowLastColumn="0" w:lastRowFirstColumn="0" w:lastRowLastColumn="0"/>
            </w:pPr>
            <w:r w:rsidRPr="1D6B27F7">
              <w:rPr>
                <w:rFonts w:eastAsia="Calibri Light" w:cs="Calibri Light"/>
                <w:sz w:val="20"/>
              </w:rPr>
              <w:t>26.6%</w:t>
            </w:r>
          </w:p>
        </w:tc>
      </w:tr>
      <w:tr w:rsidR="001E5BDD" w14:paraId="15B026E2"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nil"/>
            </w:tcBorders>
            <w:tcMar>
              <w:left w:w="108" w:type="dxa"/>
              <w:right w:w="108" w:type="dxa"/>
            </w:tcMar>
          </w:tcPr>
          <w:p w14:paraId="6A882AE9" w14:textId="77777777" w:rsidR="00406CD0" w:rsidRDefault="00406CD0">
            <w:pPr>
              <w:spacing w:before="0" w:after="0"/>
            </w:pPr>
            <w:r w:rsidRPr="1D6B27F7">
              <w:rPr>
                <w:rFonts w:eastAsia="Calibri Light" w:cs="Calibri Light"/>
                <w:color w:val="000000" w:themeColor="text1"/>
                <w:sz w:val="20"/>
              </w:rPr>
              <w:t>5-19 Employees</w:t>
            </w:r>
          </w:p>
        </w:tc>
        <w:tc>
          <w:tcPr>
            <w:tcW w:w="4508" w:type="dxa"/>
            <w:tcBorders>
              <w:top w:val="single" w:sz="8" w:space="0" w:color="000000" w:themeColor="text1"/>
              <w:left w:val="nil"/>
              <w:bottom w:val="nil"/>
              <w:right w:val="single" w:sz="8" w:space="0" w:color="000000" w:themeColor="text1"/>
            </w:tcBorders>
            <w:tcMar>
              <w:left w:w="108" w:type="dxa"/>
              <w:right w:w="108" w:type="dxa"/>
            </w:tcMar>
          </w:tcPr>
          <w:p w14:paraId="04E30E81" w14:textId="77777777" w:rsidR="00406CD0" w:rsidRDefault="00406CD0">
            <w:pPr>
              <w:spacing w:before="0" w:after="0"/>
              <w:cnfStyle w:val="000000000000" w:firstRow="0" w:lastRow="0" w:firstColumn="0" w:lastColumn="0" w:oddVBand="0" w:evenVBand="0" w:oddHBand="0" w:evenHBand="0" w:firstRowFirstColumn="0" w:firstRowLastColumn="0" w:lastRowFirstColumn="0" w:lastRowLastColumn="0"/>
            </w:pPr>
            <w:r w:rsidRPr="1D6B27F7">
              <w:rPr>
                <w:rFonts w:eastAsia="Calibri Light" w:cs="Calibri Light"/>
                <w:sz w:val="20"/>
              </w:rPr>
              <w:t>36.20%</w:t>
            </w:r>
          </w:p>
        </w:tc>
      </w:tr>
      <w:tr w:rsidR="001E5BDD" w14:paraId="680282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21D07289" w14:textId="77777777" w:rsidR="00406CD0" w:rsidRDefault="00406CD0">
            <w:pPr>
              <w:spacing w:before="0" w:after="0"/>
            </w:pPr>
            <w:r w:rsidRPr="1D6B27F7">
              <w:rPr>
                <w:rFonts w:eastAsia="Calibri Light" w:cs="Calibri Light"/>
                <w:color w:val="000000" w:themeColor="text1"/>
                <w:sz w:val="20"/>
              </w:rPr>
              <w:t xml:space="preserve">20-199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4C6C1B8" w14:textId="77777777" w:rsidR="00406CD0" w:rsidRDefault="00406CD0">
            <w:pPr>
              <w:spacing w:before="0" w:after="0"/>
              <w:cnfStyle w:val="000000100000" w:firstRow="0" w:lastRow="0" w:firstColumn="0" w:lastColumn="0" w:oddVBand="0" w:evenVBand="0" w:oddHBand="1" w:evenHBand="0" w:firstRowFirstColumn="0" w:firstRowLastColumn="0" w:lastRowFirstColumn="0" w:lastRowLastColumn="0"/>
            </w:pPr>
            <w:r w:rsidRPr="1D6B27F7">
              <w:rPr>
                <w:rFonts w:eastAsia="Calibri Light" w:cs="Calibri Light"/>
                <w:sz w:val="20"/>
              </w:rPr>
              <w:t>45.30%</w:t>
            </w:r>
          </w:p>
        </w:tc>
      </w:tr>
      <w:tr w:rsidR="001E5BDD" w14:paraId="491D4059"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000000" w:themeColor="text1"/>
              <w:left w:val="single" w:sz="8" w:space="0" w:color="000000" w:themeColor="text1"/>
              <w:bottom w:val="single" w:sz="8" w:space="0" w:color="000000" w:themeColor="text1"/>
            </w:tcBorders>
            <w:tcMar>
              <w:left w:w="108" w:type="dxa"/>
              <w:right w:w="108" w:type="dxa"/>
            </w:tcMar>
          </w:tcPr>
          <w:p w14:paraId="4351FCCA" w14:textId="77777777" w:rsidR="00406CD0" w:rsidRDefault="00406CD0">
            <w:pPr>
              <w:spacing w:before="0" w:after="0"/>
            </w:pPr>
            <w:r w:rsidRPr="1D6B27F7">
              <w:rPr>
                <w:rFonts w:eastAsia="Calibri Light" w:cs="Calibri Light"/>
                <w:color w:val="000000" w:themeColor="text1"/>
                <w:sz w:val="20"/>
              </w:rPr>
              <w:t xml:space="preserve">200+ Employees </w:t>
            </w:r>
          </w:p>
        </w:tc>
        <w:tc>
          <w:tcPr>
            <w:tcW w:w="450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B5BBAE2" w14:textId="77777777" w:rsidR="00406CD0" w:rsidRDefault="00406CD0">
            <w:pPr>
              <w:spacing w:before="0" w:after="0"/>
              <w:cnfStyle w:val="000000000000" w:firstRow="0" w:lastRow="0" w:firstColumn="0" w:lastColumn="0" w:oddVBand="0" w:evenVBand="0" w:oddHBand="0" w:evenHBand="0" w:firstRowFirstColumn="0" w:firstRowLastColumn="0" w:lastRowFirstColumn="0" w:lastRowLastColumn="0"/>
            </w:pPr>
            <w:r w:rsidRPr="1D6B27F7">
              <w:rPr>
                <w:rFonts w:eastAsia="Calibri Light" w:cs="Calibri Light"/>
                <w:sz w:val="20"/>
              </w:rPr>
              <w:t>42.90%</w:t>
            </w:r>
          </w:p>
        </w:tc>
      </w:tr>
    </w:tbl>
    <w:p w14:paraId="6C953285" w14:textId="69F1BE01" w:rsidR="6B71163A" w:rsidRDefault="6B71163A" w:rsidP="6B71163A">
      <w:pPr>
        <w:spacing w:before="0" w:after="160" w:line="276" w:lineRule="auto"/>
        <w:rPr>
          <w:rFonts w:eastAsia="Calibri Light" w:cs="Calibri Light"/>
          <w:sz w:val="20"/>
        </w:rPr>
      </w:pPr>
    </w:p>
    <w:p w14:paraId="40EBBEB7" w14:textId="5A397F76" w:rsidR="00433124" w:rsidRDefault="00406CD0" w:rsidP="2E573F7B">
      <w:pPr>
        <w:pStyle w:val="Heading5"/>
        <w:spacing w:before="0" w:after="160"/>
        <w:rPr>
          <w:rFonts w:eastAsia="Calibri Light"/>
        </w:rPr>
      </w:pPr>
      <w:r>
        <w:t>Cost estimation</w:t>
      </w:r>
    </w:p>
    <w:p w14:paraId="1DA43C7D" w14:textId="26A91DDF" w:rsidR="00433124" w:rsidRDefault="00406CD0" w:rsidP="00406CD0">
      <w:pPr>
        <w:spacing w:before="0" w:after="160"/>
        <w:rPr>
          <w:rFonts w:eastAsia="Calibri Light" w:cs="Calibri Light"/>
          <w:i/>
          <w:szCs w:val="22"/>
        </w:rPr>
      </w:pPr>
      <w:r w:rsidRPr="002D5DDF">
        <w:rPr>
          <w:rFonts w:eastAsia="Calibri Light" w:cs="Calibri Light"/>
          <w:i/>
          <w:szCs w:val="22"/>
        </w:rPr>
        <w:t>Labour Costs</w:t>
      </w:r>
    </w:p>
    <w:p w14:paraId="3CFEDB5B" w14:textId="1EDCF4B3" w:rsidR="00406CD0" w:rsidRPr="00A0220A" w:rsidRDefault="00406CD0" w:rsidP="00406CD0">
      <w:pPr>
        <w:spacing w:before="0" w:after="160"/>
        <w:rPr>
          <w:rFonts w:eastAsia="Calibri Light"/>
        </w:rPr>
      </w:pPr>
      <w:r>
        <w:rPr>
          <w:rFonts w:eastAsia="Calibri Light" w:cs="Calibri Light"/>
          <w:szCs w:val="22"/>
        </w:rPr>
        <w:t xml:space="preserve">It is assumed that all affected </w:t>
      </w:r>
      <w:r w:rsidRPr="002D5DDF">
        <w:rPr>
          <w:rFonts w:eastAsia="Calibri Light" w:cs="Calibri Light"/>
          <w:szCs w:val="22"/>
        </w:rPr>
        <w:t xml:space="preserve">businesses </w:t>
      </w:r>
      <w:r>
        <w:rPr>
          <w:rFonts w:eastAsia="Calibri Light" w:cs="Calibri Light"/>
          <w:szCs w:val="22"/>
        </w:rPr>
        <w:t>will incur initial costs</w:t>
      </w:r>
      <w:r w:rsidRPr="002D5DDF">
        <w:rPr>
          <w:rFonts w:eastAsia="Calibri Light" w:cs="Calibri Light"/>
          <w:szCs w:val="22"/>
        </w:rPr>
        <w:t xml:space="preserve"> to familiarise</w:t>
      </w:r>
      <w:r>
        <w:rPr>
          <w:rFonts w:eastAsia="Calibri Light" w:cs="Calibri Light"/>
          <w:szCs w:val="22"/>
        </w:rPr>
        <w:t xml:space="preserve"> themselves</w:t>
      </w:r>
      <w:r w:rsidRPr="002D5DDF">
        <w:rPr>
          <w:rFonts w:eastAsia="Calibri Light" w:cs="Calibri Light"/>
          <w:szCs w:val="22"/>
        </w:rPr>
        <w:t xml:space="preserve"> with the new </w:t>
      </w:r>
      <w:r>
        <w:rPr>
          <w:rFonts w:eastAsia="Calibri Light" w:cs="Calibri Light"/>
          <w:szCs w:val="22"/>
        </w:rPr>
        <w:t xml:space="preserve">regulatory </w:t>
      </w:r>
      <w:r w:rsidRPr="002D5DDF">
        <w:rPr>
          <w:rFonts w:eastAsia="Calibri Light" w:cs="Calibri Light"/>
          <w:szCs w:val="22"/>
        </w:rPr>
        <w:t xml:space="preserve">requirements, seek advice </w:t>
      </w:r>
      <w:r>
        <w:rPr>
          <w:rFonts w:eastAsia="Calibri Light" w:cs="Calibri Light"/>
          <w:szCs w:val="22"/>
        </w:rPr>
        <w:t>and/</w:t>
      </w:r>
      <w:r w:rsidRPr="002D5DDF">
        <w:rPr>
          <w:rFonts w:eastAsia="Calibri Light" w:cs="Calibri Light"/>
          <w:szCs w:val="22"/>
        </w:rPr>
        <w:t>or handl</w:t>
      </w:r>
      <w:r>
        <w:rPr>
          <w:rFonts w:eastAsia="Calibri Light" w:cs="Calibri Light"/>
          <w:szCs w:val="22"/>
        </w:rPr>
        <w:t>e</w:t>
      </w:r>
      <w:r w:rsidRPr="002D5DDF">
        <w:rPr>
          <w:rFonts w:eastAsia="Calibri Light" w:cs="Calibri Light"/>
          <w:szCs w:val="22"/>
        </w:rPr>
        <w:t xml:space="preserve"> more elaborate organisational considerations.</w:t>
      </w:r>
      <w:r>
        <w:rPr>
          <w:rFonts w:eastAsia="Calibri Light" w:cs="Calibri Light"/>
          <w:szCs w:val="22"/>
        </w:rPr>
        <w:t xml:space="preserve"> Treasury estimates </w:t>
      </w:r>
      <w:r>
        <w:rPr>
          <w:rFonts w:eastAsia="Calibri Light"/>
        </w:rPr>
        <w:t>the</w:t>
      </w:r>
      <w:r w:rsidRPr="1D6B27F7">
        <w:rPr>
          <w:rFonts w:eastAsia="Calibri Light"/>
        </w:rPr>
        <w:t xml:space="preserve"> </w:t>
      </w:r>
      <w:r>
        <w:rPr>
          <w:rFonts w:eastAsia="Calibri Light"/>
        </w:rPr>
        <w:t>number of hours</w:t>
      </w:r>
      <w:r w:rsidRPr="1D6B27F7">
        <w:rPr>
          <w:rFonts w:eastAsia="Calibri Light"/>
        </w:rPr>
        <w:t xml:space="preserve"> </w:t>
      </w:r>
      <w:r w:rsidR="00450C3B">
        <w:rPr>
          <w:rFonts w:eastAsia="Calibri Light"/>
        </w:rPr>
        <w:t>businesses will devote to</w:t>
      </w:r>
      <w:r w:rsidRPr="1D6B27F7">
        <w:rPr>
          <w:rFonts w:eastAsia="Calibri Light"/>
        </w:rPr>
        <w:t xml:space="preserve"> </w:t>
      </w:r>
      <w:r>
        <w:rPr>
          <w:rFonts w:eastAsia="Calibri Light"/>
        </w:rPr>
        <w:t xml:space="preserve">these </w:t>
      </w:r>
      <w:r w:rsidRPr="1D6B27F7">
        <w:rPr>
          <w:rFonts w:eastAsia="Calibri Light"/>
        </w:rPr>
        <w:t xml:space="preserve">familiarisation tasks </w:t>
      </w:r>
      <w:r w:rsidR="00450C3B">
        <w:rPr>
          <w:rFonts w:eastAsia="Calibri Light"/>
        </w:rPr>
        <w:t xml:space="preserve">is </w:t>
      </w:r>
      <w:r w:rsidRPr="1D6B27F7">
        <w:rPr>
          <w:rFonts w:eastAsia="Calibri Light"/>
        </w:rPr>
        <w:t xml:space="preserve">as follows: </w:t>
      </w:r>
    </w:p>
    <w:p w14:paraId="18320B3A"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0-4 employees: 2 hours of work total</w:t>
      </w:r>
    </w:p>
    <w:p w14:paraId="52E56964"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5-19 employees: 2 hours of work total</w:t>
      </w:r>
    </w:p>
    <w:p w14:paraId="4608F972"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For businesses with 20-199 employees: 4 hours of work total</w:t>
      </w:r>
    </w:p>
    <w:p w14:paraId="61565544" w14:textId="77777777" w:rsidR="00406CD0" w:rsidRPr="00945C3E" w:rsidRDefault="00406CD0" w:rsidP="002F3F71">
      <w:pPr>
        <w:pStyle w:val="ListParagraph"/>
        <w:numPr>
          <w:ilvl w:val="0"/>
          <w:numId w:val="15"/>
        </w:numPr>
        <w:spacing w:before="0" w:after="0" w:line="276" w:lineRule="auto"/>
        <w:rPr>
          <w:rFonts w:eastAsia="Calibri Light" w:cs="Calibri Light"/>
          <w:szCs w:val="22"/>
        </w:rPr>
      </w:pPr>
      <w:r w:rsidRPr="00945C3E">
        <w:rPr>
          <w:rFonts w:eastAsia="Calibri Light" w:cs="Calibri Light"/>
          <w:szCs w:val="22"/>
        </w:rPr>
        <w:t xml:space="preserve">For businesses with 200+ employees: 6 hours of work total </w:t>
      </w:r>
    </w:p>
    <w:p w14:paraId="4811FD26" w14:textId="45D15FBA" w:rsidR="00406CD0" w:rsidRPr="00CA1C18" w:rsidRDefault="00406CD0" w:rsidP="00406CD0">
      <w:pPr>
        <w:pStyle w:val="Bullet"/>
        <w:numPr>
          <w:ilvl w:val="0"/>
          <w:numId w:val="0"/>
        </w:numPr>
        <w:spacing w:line="240" w:lineRule="auto"/>
        <w:rPr>
          <w:rFonts w:eastAsia="Calibri Light"/>
        </w:rPr>
      </w:pPr>
      <w:r>
        <w:rPr>
          <w:rFonts w:eastAsia="Calibri Light"/>
        </w:rPr>
        <w:t>In calculating the above estimate, Treasury has assumed that familiarisation with the drip pricing proposal will require less labour than for the general prohibition proposal and subscription proposal. This assumption is based on the understanding that there are already several provisions in the ACL that regulate drip pricing, and the proposed reform will therefore only represent a relatively minor addition to a business’</w:t>
      </w:r>
      <w:r w:rsidR="00875289">
        <w:rPr>
          <w:rFonts w:eastAsia="Calibri Light"/>
        </w:rPr>
        <w:t>s</w:t>
      </w:r>
      <w:r>
        <w:rPr>
          <w:rFonts w:eastAsia="Calibri Light"/>
        </w:rPr>
        <w:t xml:space="preserve"> current obligations in respect of drip pricing. </w:t>
      </w:r>
    </w:p>
    <w:p w14:paraId="752986C6" w14:textId="77777777" w:rsidR="00406CD0" w:rsidRPr="007B571C" w:rsidRDefault="00406CD0" w:rsidP="00406CD0">
      <w:pPr>
        <w:spacing w:after="160"/>
        <w:rPr>
          <w:rFonts w:eastAsia="Calibri Light"/>
          <w:sz w:val="24"/>
          <w:szCs w:val="24"/>
        </w:rPr>
      </w:pPr>
      <w:r w:rsidRPr="779D0450">
        <w:rPr>
          <w:rFonts w:eastAsia="Calibri Light" w:cs="Calibri Light"/>
        </w:rPr>
        <w:t>Treasury estimates that approximately 10 per cent of businesses will incur adjustment costs from having to change their online pricing displays to comply with the reform. These adjustment costs will primarily include IT costs incurred by businesses to redesign processes or websites to ensure compliance. The estimated proportion of businesses that are likely to incur adjustment costs has been drawn from methodology used by the US FTC in its Trade Regulation Rule on Unfair or Deceptive Fees.</w:t>
      </w:r>
      <w:r w:rsidRPr="779D0450">
        <w:rPr>
          <w:rStyle w:val="FootnoteReference"/>
          <w:rFonts w:eastAsia="Calibri Light" w:cs="Calibri Light"/>
        </w:rPr>
        <w:footnoteReference w:id="190"/>
      </w:r>
      <w:r w:rsidRPr="779D0450">
        <w:rPr>
          <w:rFonts w:eastAsia="Calibri Light" w:cs="Calibri Light"/>
        </w:rPr>
        <w:t xml:space="preserve"> Adjustment costs are based on businesses spending the following hours on adjustment practices: </w:t>
      </w:r>
    </w:p>
    <w:p w14:paraId="55245051"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0-4 employees: 2 hours of work </w:t>
      </w:r>
    </w:p>
    <w:p w14:paraId="6D2A0CF6"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5-19 employees: 4 hours of work </w:t>
      </w:r>
    </w:p>
    <w:p w14:paraId="01403BE5"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For businesses with 20-199 employees: 8 hours of work</w:t>
      </w:r>
    </w:p>
    <w:p w14:paraId="184683DB" w14:textId="77777777" w:rsidR="00406CD0" w:rsidRPr="00945C3E" w:rsidRDefault="00406CD0" w:rsidP="002F3F71">
      <w:pPr>
        <w:pStyle w:val="ListParagraph"/>
        <w:numPr>
          <w:ilvl w:val="0"/>
          <w:numId w:val="16"/>
        </w:numPr>
        <w:spacing w:before="0" w:after="0" w:line="276" w:lineRule="auto"/>
        <w:rPr>
          <w:rFonts w:eastAsia="Calibri Light" w:cs="Calibri Light"/>
          <w:szCs w:val="22"/>
        </w:rPr>
      </w:pPr>
      <w:r w:rsidRPr="00945C3E">
        <w:rPr>
          <w:rFonts w:eastAsia="Calibri Light" w:cs="Calibri Light"/>
          <w:szCs w:val="22"/>
        </w:rPr>
        <w:t xml:space="preserve">For businesses with 200+ employees: 8 hours of work </w:t>
      </w:r>
    </w:p>
    <w:p w14:paraId="643D1CDC" w14:textId="77777777" w:rsidR="00406CD0" w:rsidRPr="00820F0C" w:rsidRDefault="00406CD0" w:rsidP="00406CD0">
      <w:pPr>
        <w:pStyle w:val="ListParagraph"/>
        <w:spacing w:before="0" w:after="0" w:line="276" w:lineRule="auto"/>
        <w:rPr>
          <w:rFonts w:eastAsia="Calibri Light" w:cs="Calibri Light"/>
          <w:szCs w:val="22"/>
        </w:rPr>
      </w:pPr>
    </w:p>
    <w:p w14:paraId="17890106" w14:textId="5192D143" w:rsidR="00406CD0" w:rsidRDefault="00406CD0" w:rsidP="00406CD0">
      <w:pPr>
        <w:spacing w:before="0" w:after="160"/>
        <w:rPr>
          <w:rFonts w:eastAsia="Calibri Light" w:cs="Calibri Light"/>
        </w:rPr>
      </w:pPr>
      <w:r w:rsidRPr="304417E9">
        <w:rPr>
          <w:rFonts w:eastAsia="Calibri Light" w:cs="Calibri Light"/>
        </w:rPr>
        <w:lastRenderedPageBreak/>
        <w:t xml:space="preserve">Treasury has taken a high-level estimate in calculating adjustment costs, and notes that its methodology may overestimate costs for adjustment practices. For example, there are some businesses that do not charge ‘per transaction’ fees to consumers and are therefore outside the scope of the reform. There are also </w:t>
      </w:r>
      <w:r w:rsidR="001B1E8C">
        <w:rPr>
          <w:rFonts w:eastAsia="Calibri Light" w:cs="Calibri Light"/>
        </w:rPr>
        <w:t>some</w:t>
      </w:r>
      <w:r w:rsidRPr="304417E9">
        <w:rPr>
          <w:rFonts w:eastAsia="Calibri Light" w:cs="Calibri Light"/>
        </w:rPr>
        <w:t xml:space="preserve"> businesses that charge ‘per transaction’ fees but would already be compliant with the reform and would not need to adjust their practices. </w:t>
      </w:r>
    </w:p>
    <w:p w14:paraId="7DF8FDEC" w14:textId="77777777" w:rsidR="00406CD0" w:rsidRDefault="00406CD0" w:rsidP="00406CD0">
      <w:pPr>
        <w:spacing w:before="0" w:after="160"/>
        <w:rPr>
          <w:rFonts w:eastAsia="Calibri Light" w:cs="Calibri Light"/>
          <w:szCs w:val="22"/>
        </w:rPr>
      </w:pPr>
      <w:r>
        <w:rPr>
          <w:rFonts w:eastAsia="Calibri Light" w:cs="Calibri Light"/>
          <w:szCs w:val="22"/>
        </w:rPr>
        <w:t xml:space="preserve">Further, there are many online retailers that use e-commerce platforms to design and maintain their websites. Where this occurs, businesses can often change pricing displays on their website with relative ease. This may reduce adjustment costs for businesses using these platforms. </w:t>
      </w:r>
    </w:p>
    <w:p w14:paraId="54323028" w14:textId="77777777" w:rsidR="00406CD0" w:rsidRPr="00A95ECD" w:rsidRDefault="00406CD0" w:rsidP="00406CD0">
      <w:pPr>
        <w:spacing w:before="0" w:after="160" w:line="276" w:lineRule="auto"/>
        <w:rPr>
          <w:rFonts w:eastAsia="Calibri Light" w:cs="Calibri Light"/>
          <w:szCs w:val="22"/>
        </w:rPr>
      </w:pPr>
      <w:r w:rsidRPr="00A95ECD">
        <w:rPr>
          <w:rFonts w:eastAsia="Calibri Light" w:cs="Calibri Light"/>
          <w:i/>
          <w:szCs w:val="22"/>
        </w:rPr>
        <w:t>Purchase costs</w:t>
      </w:r>
      <w:r w:rsidRPr="00A95ECD">
        <w:rPr>
          <w:rFonts w:eastAsia="Calibri Light" w:cs="Calibri Light"/>
          <w:szCs w:val="22"/>
        </w:rPr>
        <w:t xml:space="preserve"> </w:t>
      </w:r>
    </w:p>
    <w:p w14:paraId="5F6C273F" w14:textId="0F70CEA4" w:rsidR="00082FC2" w:rsidRDefault="00406CD0" w:rsidP="00D46425">
      <w:pPr>
        <w:rPr>
          <w:rFonts w:eastAsia="Aptos"/>
        </w:rPr>
      </w:pPr>
      <w:r w:rsidRPr="0AFE2211">
        <w:rPr>
          <w:rFonts w:eastAsia="Calibri Light" w:cs="Calibri Light"/>
        </w:rPr>
        <w:t xml:space="preserve">Treasury assumes that approximately 10 per cent of businesses will also seek external legal advice in relation to compliance with the drip pricing proposal. This aligns with the above 10 per cent assumption used in relation to adjustment costs drawn from the US FTC </w:t>
      </w:r>
      <w:r w:rsidR="00DF0D6A" w:rsidRPr="0AFE2211">
        <w:rPr>
          <w:rFonts w:eastAsia="Calibri Light" w:cs="Calibri Light"/>
        </w:rPr>
        <w:t>assessment</w:t>
      </w:r>
      <w:r w:rsidRPr="0AFE2211">
        <w:rPr>
          <w:rFonts w:eastAsia="Calibri Light" w:cs="Calibri Light"/>
        </w:rPr>
        <w:t xml:space="preserve">. </w:t>
      </w:r>
      <w:r w:rsidRPr="3B57D21B">
        <w:rPr>
          <w:rFonts w:eastAsia="Calibri Light" w:cs="Calibri Light"/>
        </w:rPr>
        <w:t>Treasury estimates</w:t>
      </w:r>
      <w:r w:rsidR="2EFA35DA" w:rsidRPr="3B57D21B">
        <w:rPr>
          <w:rFonts w:eastAsia="Calibri Light" w:cs="Calibri Light"/>
        </w:rPr>
        <w:t xml:space="preserve"> </w:t>
      </w:r>
      <w:r w:rsidR="00E37CA6">
        <w:rPr>
          <w:rFonts w:eastAsia="Calibri Light" w:cs="Calibri Light"/>
        </w:rPr>
        <w:t xml:space="preserve">an average of </w:t>
      </w:r>
      <w:r w:rsidR="2EFA35DA" w:rsidRPr="3B57D21B">
        <w:rPr>
          <w:rFonts w:eastAsia="Calibri Light" w:cs="Calibri Light"/>
        </w:rPr>
        <w:t>2</w:t>
      </w:r>
      <w:r w:rsidR="2EFA35DA">
        <w:t xml:space="preserve"> hours of time will be required.</w:t>
      </w:r>
    </w:p>
    <w:sectPr w:rsidR="00082FC2" w:rsidSect="00CE4FB7">
      <w:headerReference w:type="even" r:id="rId29"/>
      <w:headerReference w:type="default" r:id="rId30"/>
      <w:footerReference w:type="even" r:id="rId31"/>
      <w:footerReference w:type="default" r:id="rId32"/>
      <w:headerReference w:type="first" r:id="rId33"/>
      <w:footerReference w:type="first" r:id="rId34"/>
      <w:pgSz w:w="11906" w:h="16838" w:code="9"/>
      <w:pgMar w:top="1843"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29C3" w14:textId="77777777" w:rsidR="00E7323F" w:rsidRDefault="00E7323F">
      <w:pPr>
        <w:spacing w:before="0" w:after="0"/>
      </w:pPr>
      <w:r>
        <w:separator/>
      </w:r>
    </w:p>
  </w:endnote>
  <w:endnote w:type="continuationSeparator" w:id="0">
    <w:p w14:paraId="41D28C3A" w14:textId="77777777" w:rsidR="00E7323F" w:rsidRDefault="00E7323F">
      <w:pPr>
        <w:spacing w:before="0" w:after="0"/>
      </w:pPr>
      <w:r>
        <w:continuationSeparator/>
      </w:r>
    </w:p>
  </w:endnote>
  <w:endnote w:type="continuationNotice" w:id="1">
    <w:p w14:paraId="3636A0D2" w14:textId="77777777" w:rsidR="00E7323F" w:rsidRDefault="00E732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78EF" w14:textId="1EB501EF" w:rsidR="00E26703" w:rsidRDefault="00E26703">
    <w:pPr>
      <w:pStyle w:val="Header"/>
      <w:ind w:left="-115"/>
      <w:jc w:val="left"/>
      <w:rPr>
        <w:noProof/>
      </w:rPr>
    </w:pPr>
  </w:p>
  <w:p w14:paraId="479CB9A9" w14:textId="77777777" w:rsidR="00E26703" w:rsidRDefault="00E26703">
    <w:pPr>
      <w:pStyle w:val="Header"/>
      <w:ind w:left="-115"/>
      <w:jc w:val="left"/>
      <w:rPr>
        <w:noProof/>
      </w:rPr>
    </w:pPr>
  </w:p>
  <w:tbl>
    <w:tblPr>
      <w:tblW w:w="0" w:type="auto"/>
      <w:tblLayout w:type="fixed"/>
      <w:tblLook w:val="06A0" w:firstRow="1" w:lastRow="0" w:firstColumn="1" w:lastColumn="0" w:noHBand="1" w:noVBand="1"/>
    </w:tblPr>
    <w:tblGrid>
      <w:gridCol w:w="3020"/>
      <w:gridCol w:w="3020"/>
      <w:gridCol w:w="3020"/>
    </w:tblGrid>
    <w:tr w:rsidR="00406CD0" w14:paraId="619FA993" w14:textId="77777777">
      <w:trPr>
        <w:trHeight w:val="300"/>
      </w:trPr>
      <w:tc>
        <w:tcPr>
          <w:tcW w:w="3020" w:type="dxa"/>
        </w:tcPr>
        <w:p w14:paraId="0615F75C" w14:textId="618A5E30" w:rsidR="00406CD0" w:rsidRDefault="00406CD0">
          <w:pPr>
            <w:pStyle w:val="Header"/>
            <w:ind w:left="-115"/>
            <w:jc w:val="left"/>
          </w:pPr>
        </w:p>
      </w:tc>
      <w:tc>
        <w:tcPr>
          <w:tcW w:w="3020" w:type="dxa"/>
        </w:tcPr>
        <w:p w14:paraId="13BF2552" w14:textId="77777777" w:rsidR="00406CD0" w:rsidRDefault="00406CD0">
          <w:pPr>
            <w:pStyle w:val="Header"/>
            <w:jc w:val="center"/>
          </w:pPr>
        </w:p>
      </w:tc>
      <w:tc>
        <w:tcPr>
          <w:tcW w:w="3020" w:type="dxa"/>
        </w:tcPr>
        <w:p w14:paraId="2707644D" w14:textId="4AE817B4" w:rsidR="00406CD0" w:rsidRDefault="00406CD0">
          <w:pPr>
            <w:pStyle w:val="Header"/>
            <w:ind w:right="-115"/>
          </w:pPr>
          <w:r>
            <w:fldChar w:fldCharType="begin"/>
          </w:r>
          <w:r>
            <w:instrText>PAGE</w:instrText>
          </w:r>
          <w:r>
            <w:fldChar w:fldCharType="separate"/>
          </w:r>
          <w:r>
            <w:fldChar w:fldCharType="end"/>
          </w:r>
        </w:p>
      </w:tc>
    </w:tr>
  </w:tbl>
  <w:p w14:paraId="453950CE" w14:textId="77777777" w:rsidR="00406CD0" w:rsidRDefault="00406C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260927"/>
      <w:docPartObj>
        <w:docPartGallery w:val="Page Numbers (Bottom of Page)"/>
        <w:docPartUnique/>
      </w:docPartObj>
    </w:sdtPr>
    <w:sdtEndPr>
      <w:rPr>
        <w:noProof/>
      </w:rPr>
    </w:sdtEndPr>
    <w:sdtContent>
      <w:p w14:paraId="2E17FC0B" w14:textId="7068D16E" w:rsidR="00406D00" w:rsidRDefault="00406D00">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422E2586" w14:textId="084DDCB0" w:rsidR="00E81A40" w:rsidRPr="00E13E90" w:rsidRDefault="00E81A40" w:rsidP="00A67B6E">
    <w:pPr>
      <w:pStyle w:val="Footer"/>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19AE" w14:textId="5E53C3C4" w:rsidR="00B6741C" w:rsidRDefault="00B6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3859" w14:textId="2B881C99" w:rsidR="00406CD0" w:rsidRDefault="00406CD0">
    <w:pPr>
      <w:pStyle w:val="FooterEven"/>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EE22" w14:textId="58CBD2B8" w:rsidR="00B6741C" w:rsidRDefault="00B674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E430" w14:textId="2117FF80" w:rsidR="00E26703" w:rsidRDefault="00E26703">
    <w:pPr>
      <w:pStyle w:val="Header"/>
      <w:ind w:left="-115"/>
      <w:jc w:val="left"/>
      <w:rPr>
        <w:noProof/>
      </w:rPr>
    </w:pPr>
  </w:p>
  <w:p w14:paraId="232371D1" w14:textId="77777777" w:rsidR="00E26703" w:rsidRDefault="00E26703">
    <w:pPr>
      <w:pStyle w:val="Header"/>
      <w:ind w:left="-115"/>
      <w:jc w:val="left"/>
      <w:rPr>
        <w:noProof/>
      </w:rPr>
    </w:pPr>
  </w:p>
  <w:tbl>
    <w:tblPr>
      <w:tblW w:w="0" w:type="auto"/>
      <w:tblLayout w:type="fixed"/>
      <w:tblLook w:val="06A0" w:firstRow="1" w:lastRow="0" w:firstColumn="1" w:lastColumn="0" w:noHBand="1" w:noVBand="1"/>
    </w:tblPr>
    <w:tblGrid>
      <w:gridCol w:w="3020"/>
      <w:gridCol w:w="3020"/>
      <w:gridCol w:w="3020"/>
    </w:tblGrid>
    <w:tr w:rsidR="00406CD0" w14:paraId="7A083571" w14:textId="77777777">
      <w:trPr>
        <w:trHeight w:val="300"/>
      </w:trPr>
      <w:tc>
        <w:tcPr>
          <w:tcW w:w="3020" w:type="dxa"/>
        </w:tcPr>
        <w:p w14:paraId="39BCA814" w14:textId="2D277913" w:rsidR="00406CD0" w:rsidRDefault="00406CD0">
          <w:pPr>
            <w:pStyle w:val="Header"/>
            <w:ind w:left="-115"/>
            <w:jc w:val="left"/>
          </w:pPr>
        </w:p>
      </w:tc>
      <w:tc>
        <w:tcPr>
          <w:tcW w:w="3020" w:type="dxa"/>
        </w:tcPr>
        <w:p w14:paraId="1588D951" w14:textId="77777777" w:rsidR="00406CD0" w:rsidRDefault="00406CD0">
          <w:pPr>
            <w:pStyle w:val="Header"/>
            <w:jc w:val="center"/>
          </w:pPr>
        </w:p>
      </w:tc>
      <w:tc>
        <w:tcPr>
          <w:tcW w:w="3020" w:type="dxa"/>
        </w:tcPr>
        <w:p w14:paraId="3E05A7EE" w14:textId="3E33F9FD" w:rsidR="00406CD0" w:rsidRDefault="00406CD0">
          <w:pPr>
            <w:pStyle w:val="Header"/>
            <w:ind w:right="-115"/>
          </w:pPr>
          <w:r>
            <w:fldChar w:fldCharType="begin"/>
          </w:r>
          <w:r>
            <w:instrText>PAGE</w:instrText>
          </w:r>
          <w:r>
            <w:fldChar w:fldCharType="separate"/>
          </w:r>
          <w:r w:rsidR="00CE2F8D">
            <w:rPr>
              <w:noProof/>
            </w:rPr>
            <w:t>1</w:t>
          </w:r>
          <w:r>
            <w:fldChar w:fldCharType="end"/>
          </w:r>
        </w:p>
      </w:tc>
    </w:tr>
  </w:tbl>
  <w:p w14:paraId="27F7240B" w14:textId="77777777" w:rsidR="00406CD0" w:rsidRDefault="00406C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B99E" w14:textId="52C6F59C" w:rsidR="00406CD0" w:rsidRDefault="00810E8C">
    <w:pPr>
      <w:pStyle w:val="FooterEven"/>
      <w:jc w:val="right"/>
    </w:pPr>
    <w:r>
      <w:drawing>
        <wp:anchor distT="0" distB="0" distL="114300" distR="114300" simplePos="0" relativeHeight="251658241" behindDoc="1" locked="0" layoutInCell="1" allowOverlap="0" wp14:anchorId="7D60FE45" wp14:editId="29CA8B1F">
          <wp:simplePos x="0" y="0"/>
          <wp:positionH relativeFrom="margin">
            <wp:align>left</wp:align>
          </wp:positionH>
          <wp:positionV relativeFrom="page">
            <wp:posOffset>10126606</wp:posOffset>
          </wp:positionV>
          <wp:extent cx="1324800" cy="201600"/>
          <wp:effectExtent l="0" t="0" r="0" b="8255"/>
          <wp:wrapTight wrapText="bothSides">
            <wp:wrapPolygon edited="0">
              <wp:start x="0" y="0"/>
              <wp:lineTo x="0" y="18397"/>
              <wp:lineTo x="1553" y="20442"/>
              <wp:lineTo x="9630" y="20442"/>
              <wp:lineTo x="13979" y="20442"/>
              <wp:lineTo x="21124" y="20442"/>
              <wp:lineTo x="20813" y="4088"/>
              <wp:lineTo x="1553" y="0"/>
              <wp:lineTo x="0" y="0"/>
            </wp:wrapPolygon>
          </wp:wrapTight>
          <wp:docPr id="2110144034" name="Picture 21101440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4034" name="Picture 2110144034" descr="Logo"/>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B7F1" w14:textId="5A7A672B"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CD9E" w14:textId="434C7EF9" w:rsidR="00E81A40" w:rsidRPr="00E13E90" w:rsidRDefault="00E81A40" w:rsidP="00A67B6E">
    <w:pPr>
      <w:pStyle w:val="Footer"/>
      <w:jc w:val="left"/>
    </w:pPr>
    <w:r w:rsidRPr="00742366">
      <w:drawing>
        <wp:anchor distT="0" distB="0" distL="114300" distR="114300" simplePos="0" relativeHeight="251658242" behindDoc="1" locked="1" layoutInCell="1" allowOverlap="1" wp14:anchorId="0A9FA20F" wp14:editId="42F64684">
          <wp:simplePos x="0" y="0"/>
          <wp:positionH relativeFrom="margin">
            <wp:posOffset>5459095</wp:posOffset>
          </wp:positionH>
          <wp:positionV relativeFrom="page">
            <wp:posOffset>3280410</wp:posOffset>
          </wp:positionV>
          <wp:extent cx="7574280" cy="1043940"/>
          <wp:effectExtent l="7620" t="0" r="0" b="0"/>
          <wp:wrapNone/>
          <wp:docPr id="459699594" name="Picture 459699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99594" name="Picture 4596995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33FF" w14:textId="3D49C01D" w:rsidR="00E81A40" w:rsidRDefault="00E81A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24B3" w14:textId="48A7E931" w:rsidR="00B6741C" w:rsidRDefault="00B6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26E9" w14:textId="77777777" w:rsidR="00E7323F" w:rsidRDefault="00E7323F">
      <w:pPr>
        <w:spacing w:before="0" w:after="0"/>
      </w:pPr>
      <w:r>
        <w:separator/>
      </w:r>
    </w:p>
  </w:footnote>
  <w:footnote w:type="continuationSeparator" w:id="0">
    <w:p w14:paraId="51342B58" w14:textId="77777777" w:rsidR="00E7323F" w:rsidRDefault="00E7323F">
      <w:pPr>
        <w:spacing w:before="0" w:after="0"/>
      </w:pPr>
      <w:r>
        <w:continuationSeparator/>
      </w:r>
    </w:p>
  </w:footnote>
  <w:footnote w:type="continuationNotice" w:id="1">
    <w:p w14:paraId="2B5882A0" w14:textId="77777777" w:rsidR="00E7323F" w:rsidRDefault="00E7323F">
      <w:pPr>
        <w:spacing w:before="0" w:after="0"/>
      </w:pPr>
    </w:p>
  </w:footnote>
  <w:footnote w:id="2">
    <w:p w14:paraId="7FAF719F"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6 November 2020, Meeting of Ministers for Consumer Affairs Communique.</w:t>
      </w:r>
    </w:p>
  </w:footnote>
  <w:footnote w:id="3">
    <w:p w14:paraId="08A6CBB0" w14:textId="49BFA1B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Consumer Affairs Australia and New Zealand</w:t>
      </w:r>
      <w:r w:rsidR="00A369B1">
        <w:rPr>
          <w:sz w:val="18"/>
          <w:szCs w:val="18"/>
        </w:rPr>
        <w:t>,</w:t>
      </w:r>
      <w:r w:rsidRPr="00D13672">
        <w:rPr>
          <w:sz w:val="18"/>
          <w:szCs w:val="18"/>
        </w:rPr>
        <w:t xml:space="preserve"> </w:t>
      </w:r>
      <w:hyperlink r:id="rId1" w:history="1">
        <w:r w:rsidRPr="00D13672">
          <w:rPr>
            <w:rStyle w:val="Hyperlink"/>
            <w:i/>
            <w:sz w:val="18"/>
            <w:szCs w:val="18"/>
          </w:rPr>
          <w:t>Australian Consumer Law Review - Final Report</w:t>
        </w:r>
      </w:hyperlink>
      <w:r w:rsidR="00EF210E">
        <w:rPr>
          <w:i/>
          <w:iCs/>
          <w:sz w:val="18"/>
          <w:szCs w:val="18"/>
        </w:rPr>
        <w:t xml:space="preserve">, </w:t>
      </w:r>
      <w:r w:rsidR="00EF210E">
        <w:rPr>
          <w:sz w:val="18"/>
          <w:szCs w:val="18"/>
        </w:rPr>
        <w:t xml:space="preserve">Australian Government, 2017. </w:t>
      </w:r>
    </w:p>
  </w:footnote>
  <w:footnote w:id="4">
    <w:p w14:paraId="01E0DA36" w14:textId="7010E3B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Department of Treasury (August 2023) </w:t>
      </w:r>
      <w:hyperlink r:id="rId2" w:history="1">
        <w:r w:rsidR="000E1803">
          <w:rPr>
            <w:rStyle w:val="Hyperlink"/>
            <w:sz w:val="18"/>
            <w:szCs w:val="18"/>
          </w:rPr>
          <w:t>Unfair trading practices - Consultation Regulation Impact Statement</w:t>
        </w:r>
      </w:hyperlink>
      <w:r w:rsidR="000E1803" w:rsidRPr="007D75CD">
        <w:rPr>
          <w:sz w:val="18"/>
          <w:szCs w:val="18"/>
        </w:rPr>
        <w:t>,</w:t>
      </w:r>
      <w:r w:rsidR="00EF210E">
        <w:t xml:space="preserve"> </w:t>
      </w:r>
      <w:r w:rsidR="00EF210E">
        <w:rPr>
          <w:sz w:val="18"/>
          <w:szCs w:val="18"/>
        </w:rPr>
        <w:t xml:space="preserve">Australian Government, 2023. </w:t>
      </w:r>
    </w:p>
  </w:footnote>
  <w:footnote w:id="5">
    <w:p w14:paraId="2A1FF0BB" w14:textId="188AB56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Department of Treasury (November 2024) </w:t>
      </w:r>
      <w:hyperlink r:id="rId3" w:history="1">
        <w:r w:rsidRPr="00D13672">
          <w:rPr>
            <w:rStyle w:val="Hyperlink"/>
            <w:i/>
            <w:sz w:val="18"/>
            <w:szCs w:val="18"/>
          </w:rPr>
          <w:t>Unfair trading practices – supplementary consultation paper</w:t>
        </w:r>
      </w:hyperlink>
      <w:r w:rsidR="00EF210E">
        <w:t xml:space="preserve">, </w:t>
      </w:r>
      <w:r w:rsidR="00EF210E">
        <w:rPr>
          <w:sz w:val="18"/>
          <w:szCs w:val="18"/>
        </w:rPr>
        <w:t xml:space="preserve">Australian Government, 2024. </w:t>
      </w:r>
    </w:p>
  </w:footnote>
  <w:footnote w:id="6">
    <w:p w14:paraId="115BA4D9" w14:textId="163A9143" w:rsidR="00AC74F0" w:rsidRPr="007D75CD" w:rsidRDefault="00AC74F0" w:rsidP="008B2D75">
      <w:pPr>
        <w:pStyle w:val="FootnoteText"/>
        <w:ind w:left="113" w:hanging="113"/>
        <w:rPr>
          <w:sz w:val="18"/>
          <w:szCs w:val="18"/>
        </w:rPr>
      </w:pPr>
      <w:r>
        <w:rPr>
          <w:rStyle w:val="FootnoteReference"/>
        </w:rPr>
        <w:footnoteRef/>
      </w:r>
      <w:r>
        <w:t xml:space="preserve"> </w:t>
      </w:r>
      <w:r w:rsidR="00F0078B">
        <w:t xml:space="preserve"> </w:t>
      </w:r>
      <w:r w:rsidR="00F0078B" w:rsidRPr="007D75CD">
        <w:rPr>
          <w:sz w:val="18"/>
          <w:szCs w:val="18"/>
        </w:rPr>
        <w:t xml:space="preserve">See: </w:t>
      </w:r>
      <w:r w:rsidRPr="00F0078B">
        <w:rPr>
          <w:sz w:val="18"/>
          <w:szCs w:val="18"/>
        </w:rPr>
        <w:t xml:space="preserve">The Hon. Julie Collins MP, </w:t>
      </w:r>
      <w:hyperlink r:id="rId4" w:history="1">
        <w:r w:rsidR="0093400D" w:rsidRPr="00F0078B">
          <w:rPr>
            <w:rStyle w:val="Hyperlink"/>
            <w:i/>
            <w:iCs/>
            <w:sz w:val="18"/>
            <w:szCs w:val="18"/>
          </w:rPr>
          <w:t>Albanese Labor Government to extend unfair trading practice protections to small businesses</w:t>
        </w:r>
      </w:hyperlink>
      <w:r w:rsidRPr="00F0078B">
        <w:rPr>
          <w:sz w:val="18"/>
          <w:szCs w:val="18"/>
        </w:rPr>
        <w:t xml:space="preserve"> [media release]</w:t>
      </w:r>
      <w:r w:rsidR="003249C9" w:rsidRPr="00F0078B">
        <w:rPr>
          <w:sz w:val="18"/>
          <w:szCs w:val="18"/>
        </w:rPr>
        <w:t>,</w:t>
      </w:r>
      <w:r w:rsidRPr="00F0078B">
        <w:rPr>
          <w:sz w:val="18"/>
          <w:szCs w:val="18"/>
        </w:rPr>
        <w:t xml:space="preserve"> Commonwealth Government</w:t>
      </w:r>
      <w:r w:rsidRPr="00F0078B" w:rsidDel="00D83504">
        <w:rPr>
          <w:sz w:val="18"/>
          <w:szCs w:val="18"/>
        </w:rPr>
        <w:t>,</w:t>
      </w:r>
      <w:r w:rsidRPr="00F0078B">
        <w:rPr>
          <w:sz w:val="18"/>
          <w:szCs w:val="18"/>
        </w:rPr>
        <w:t xml:space="preserve"> </w:t>
      </w:r>
      <w:r w:rsidR="00881C43" w:rsidRPr="00F0078B">
        <w:rPr>
          <w:sz w:val="18"/>
          <w:szCs w:val="18"/>
        </w:rPr>
        <w:t>14 March</w:t>
      </w:r>
      <w:r w:rsidRPr="00F0078B">
        <w:rPr>
          <w:sz w:val="18"/>
          <w:szCs w:val="18"/>
        </w:rPr>
        <w:t xml:space="preserve"> 202</w:t>
      </w:r>
      <w:r w:rsidR="00881C43" w:rsidRPr="00F0078B">
        <w:rPr>
          <w:sz w:val="18"/>
          <w:szCs w:val="18"/>
        </w:rPr>
        <w:t>5</w:t>
      </w:r>
      <w:r w:rsidRPr="00F0078B">
        <w:rPr>
          <w:sz w:val="18"/>
          <w:szCs w:val="18"/>
        </w:rPr>
        <w:t xml:space="preserve">, accessed </w:t>
      </w:r>
      <w:r w:rsidR="00881C43" w:rsidRPr="00F0078B">
        <w:rPr>
          <w:sz w:val="18"/>
          <w:szCs w:val="18"/>
        </w:rPr>
        <w:t>4 August 2025</w:t>
      </w:r>
      <w:r w:rsidR="000C1BE6" w:rsidRPr="00F0078B">
        <w:rPr>
          <w:sz w:val="18"/>
          <w:szCs w:val="18"/>
        </w:rPr>
        <w:t>.</w:t>
      </w:r>
    </w:p>
  </w:footnote>
  <w:footnote w:id="7">
    <w:p w14:paraId="652BE047" w14:textId="197E7B32" w:rsidR="002035F8" w:rsidRPr="00D13672" w:rsidRDefault="002035F8" w:rsidP="002035F8">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4D70A9">
        <w:rPr>
          <w:sz w:val="18"/>
          <w:szCs w:val="18"/>
        </w:rPr>
        <w:t xml:space="preserve">See: </w:t>
      </w:r>
      <w:r w:rsidRPr="00D13672">
        <w:rPr>
          <w:sz w:val="18"/>
          <w:szCs w:val="18"/>
        </w:rPr>
        <w:t>The Hon. Stephen Jones MP</w:t>
      </w:r>
      <w:r>
        <w:rPr>
          <w:sz w:val="18"/>
          <w:szCs w:val="18"/>
        </w:rPr>
        <w:t>,</w:t>
      </w:r>
      <w:r w:rsidRPr="00D13672">
        <w:rPr>
          <w:sz w:val="18"/>
          <w:szCs w:val="18"/>
        </w:rPr>
        <w:t xml:space="preserve"> </w:t>
      </w:r>
      <w:hyperlink r:id="rId5" w:history="1">
        <w:r w:rsidRPr="00D13672">
          <w:rPr>
            <w:rStyle w:val="Hyperlink"/>
            <w:i/>
            <w:sz w:val="18"/>
            <w:szCs w:val="18"/>
          </w:rPr>
          <w:t>Consultation underway to ban business practices ripping off</w:t>
        </w:r>
        <w:r w:rsidRPr="00D13672">
          <w:rPr>
            <w:rStyle w:val="Hyperlink"/>
            <w:i/>
            <w:iCs/>
            <w:sz w:val="18"/>
            <w:szCs w:val="18"/>
          </w:rPr>
          <w:t xml:space="preserve"> Australians</w:t>
        </w:r>
      </w:hyperlink>
      <w:r w:rsidRPr="00D13672">
        <w:rPr>
          <w:sz w:val="18"/>
          <w:szCs w:val="18"/>
        </w:rPr>
        <w:t xml:space="preserve"> [media release], Commonwealth Government</w:t>
      </w:r>
      <w:r w:rsidRPr="00D13672" w:rsidDel="00D83504">
        <w:rPr>
          <w:sz w:val="18"/>
          <w:szCs w:val="18"/>
        </w:rPr>
        <w:t>,</w:t>
      </w:r>
      <w:r w:rsidRPr="00D13672">
        <w:rPr>
          <w:sz w:val="18"/>
          <w:szCs w:val="18"/>
        </w:rPr>
        <w:t xml:space="preserve"> </w:t>
      </w:r>
      <w:r>
        <w:rPr>
          <w:sz w:val="18"/>
          <w:szCs w:val="18"/>
        </w:rPr>
        <w:t xml:space="preserve">15 November 2024, </w:t>
      </w:r>
      <w:r w:rsidRPr="00D13672">
        <w:rPr>
          <w:sz w:val="18"/>
          <w:szCs w:val="18"/>
        </w:rPr>
        <w:t xml:space="preserve">accessed 1 May 2025. </w:t>
      </w:r>
    </w:p>
  </w:footnote>
  <w:footnote w:id="8">
    <w:p w14:paraId="4052D3C3" w14:textId="77777777"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Treasury received a total of 59 stakeholder submissions, including 6 confidential submissions. </w:t>
      </w:r>
    </w:p>
  </w:footnote>
  <w:footnote w:id="9">
    <w:p w14:paraId="4492B3E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Stakeholders who opposed specific reform to address dynamic pricing included the Australian Competition and Consumer Commission, Australian Chamber of Commerce and Industry, the </w:t>
      </w:r>
      <w:r w:rsidRPr="00D13672">
        <w:rPr>
          <w:rFonts w:eastAsia="Calibri"/>
          <w:sz w:val="18"/>
          <w:szCs w:val="18"/>
        </w:rPr>
        <w:t>Competition &amp; Consumer</w:t>
      </w:r>
      <w:r w:rsidRPr="00D13672">
        <w:rPr>
          <w:sz w:val="18"/>
          <w:szCs w:val="18"/>
        </w:rPr>
        <w:t xml:space="preserve"> Committee of the Law Council and Live Performance Australia. A small number of stakeholders supported specific reform, including the Australian Live Music Business Council, Consumer Policy Research Centre and Music Australia. </w:t>
      </w:r>
    </w:p>
  </w:footnote>
  <w:footnote w:id="10">
    <w:p w14:paraId="4B0CC3D7" w14:textId="2D68E1A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In September 2022, Commonwealth, State and Territory Consumer Ministers agreed that the Commonwealth would lead a public consultation on options to address UTPs in the</w:t>
      </w:r>
      <w:r w:rsidR="002C2AA2">
        <w:rPr>
          <w:sz w:val="18"/>
          <w:szCs w:val="18"/>
        </w:rPr>
        <w:t xml:space="preserve"> ACL </w:t>
      </w:r>
      <w:r w:rsidRPr="00D13672">
        <w:rPr>
          <w:sz w:val="18"/>
          <w:szCs w:val="18"/>
        </w:rPr>
        <w:t>on behalf of all jurisdictions. This resulted in the consultation processes referred to in this paper.</w:t>
      </w:r>
    </w:p>
  </w:footnote>
  <w:footnote w:id="11">
    <w:p w14:paraId="1A323ADE" w14:textId="7B5B0054" w:rsidR="003A3FCF" w:rsidRDefault="003A3FCF">
      <w:pPr>
        <w:pStyle w:val="FootnoteText"/>
      </w:pPr>
      <w:r>
        <w:rPr>
          <w:rStyle w:val="FootnoteReference"/>
        </w:rPr>
        <w:footnoteRef/>
      </w:r>
      <w:r>
        <w:t xml:space="preserve"> </w:t>
      </w:r>
      <w:r w:rsidR="008D426A" w:rsidRPr="008D426A">
        <w:rPr>
          <w:sz w:val="18"/>
          <w:szCs w:val="18"/>
        </w:rPr>
        <w:t>Dark patte</w:t>
      </w:r>
      <w:r w:rsidR="008D426A">
        <w:rPr>
          <w:sz w:val="18"/>
          <w:szCs w:val="18"/>
        </w:rPr>
        <w:t xml:space="preserve">rns are further discussed </w:t>
      </w:r>
      <w:r w:rsidR="008D426A" w:rsidRPr="00CA3B68">
        <w:rPr>
          <w:sz w:val="18"/>
          <w:szCs w:val="18"/>
        </w:rPr>
        <w:t>at page 8 and</w:t>
      </w:r>
      <w:r w:rsidR="00DE07B1" w:rsidRPr="00CA3B68">
        <w:rPr>
          <w:sz w:val="18"/>
          <w:szCs w:val="18"/>
        </w:rPr>
        <w:t xml:space="preserve"> </w:t>
      </w:r>
      <w:r w:rsidR="006F7875" w:rsidRPr="00CA3B68">
        <w:rPr>
          <w:sz w:val="18"/>
          <w:szCs w:val="18"/>
        </w:rPr>
        <w:t xml:space="preserve">in the </w:t>
      </w:r>
      <w:r w:rsidR="00CB73A2" w:rsidRPr="00CA3B68">
        <w:rPr>
          <w:sz w:val="18"/>
          <w:szCs w:val="18"/>
        </w:rPr>
        <w:t>p</w:t>
      </w:r>
      <w:r w:rsidR="006F7875" w:rsidRPr="00CA3B68">
        <w:rPr>
          <w:sz w:val="18"/>
          <w:szCs w:val="18"/>
        </w:rPr>
        <w:t>olicy Option 3</w:t>
      </w:r>
      <w:r w:rsidR="00A408D1" w:rsidRPr="00CA3B68">
        <w:rPr>
          <w:sz w:val="18"/>
          <w:szCs w:val="18"/>
        </w:rPr>
        <w:t xml:space="preserve"> </w:t>
      </w:r>
      <w:r w:rsidR="00152043" w:rsidRPr="00CA3B68">
        <w:rPr>
          <w:sz w:val="18"/>
          <w:szCs w:val="18"/>
        </w:rPr>
        <w:t>section</w:t>
      </w:r>
      <w:r w:rsidR="00A408D1" w:rsidRPr="00CA3B68">
        <w:rPr>
          <w:sz w:val="18"/>
          <w:szCs w:val="18"/>
        </w:rPr>
        <w:t xml:space="preserve"> from page 22.</w:t>
      </w:r>
    </w:p>
  </w:footnote>
  <w:footnote w:id="12">
    <w:p w14:paraId="43C1F2E9" w14:textId="0C26C22C" w:rsidR="00406CD0" w:rsidRPr="00D13672" w:rsidDel="001C35D3" w:rsidRDefault="00406CD0" w:rsidP="00406CD0">
      <w:pPr>
        <w:pStyle w:val="FootnoteText"/>
        <w:ind w:left="170" w:hanging="170"/>
        <w:rPr>
          <w:sz w:val="18"/>
          <w:szCs w:val="18"/>
        </w:rPr>
      </w:pPr>
      <w:r w:rsidRPr="00CF3B71">
        <w:rPr>
          <w:rStyle w:val="FootnoteReference"/>
          <w:rFonts w:eastAsiaTheme="majorEastAsia"/>
        </w:rPr>
        <w:t>9</w:t>
      </w:r>
      <w:r w:rsidRPr="00D13672" w:rsidDel="001C35D3">
        <w:rPr>
          <w:sz w:val="18"/>
          <w:szCs w:val="18"/>
        </w:rPr>
        <w:t xml:space="preserve">   ACCC </w:t>
      </w:r>
      <w:r w:rsidR="00905291">
        <w:rPr>
          <w:sz w:val="18"/>
          <w:szCs w:val="18"/>
        </w:rPr>
        <w:t>(Australian Competition and Consumer Commission)</w:t>
      </w:r>
      <w:r w:rsidRPr="00D13672" w:rsidDel="001C35D3">
        <w:rPr>
          <w:sz w:val="18"/>
          <w:szCs w:val="18"/>
        </w:rPr>
        <w:t xml:space="preserve"> submission to the </w:t>
      </w:r>
      <w:r w:rsidRPr="00D13672">
        <w:rPr>
          <w:sz w:val="18"/>
          <w:szCs w:val="18"/>
        </w:rPr>
        <w:t>UTPs</w:t>
      </w:r>
      <w:r w:rsidRPr="00D13672" w:rsidDel="001C35D3">
        <w:rPr>
          <w:sz w:val="18"/>
          <w:szCs w:val="18"/>
        </w:rPr>
        <w:t xml:space="preserve"> Consultation R</w:t>
      </w:r>
      <w:r w:rsidR="00905291">
        <w:rPr>
          <w:sz w:val="18"/>
          <w:szCs w:val="18"/>
        </w:rPr>
        <w:t>egulation Impact Statement</w:t>
      </w:r>
      <w:r w:rsidRPr="00D13672" w:rsidDel="001C35D3">
        <w:rPr>
          <w:sz w:val="18"/>
          <w:szCs w:val="18"/>
        </w:rPr>
        <w:t xml:space="preserve">, </w:t>
      </w:r>
      <w:r w:rsidR="13D5D545" w:rsidRPr="13D5D545">
        <w:rPr>
          <w:sz w:val="18"/>
          <w:szCs w:val="18"/>
        </w:rPr>
        <w:t>p.</w:t>
      </w:r>
      <w:r w:rsidR="00327616">
        <w:rPr>
          <w:sz w:val="18"/>
          <w:szCs w:val="18"/>
        </w:rPr>
        <w:t xml:space="preserve"> </w:t>
      </w:r>
      <w:r w:rsidR="13D5D545" w:rsidRPr="13D5D545">
        <w:rPr>
          <w:sz w:val="18"/>
          <w:szCs w:val="18"/>
        </w:rPr>
        <w:t>9</w:t>
      </w:r>
      <w:r w:rsidRPr="00D13672">
        <w:rPr>
          <w:sz w:val="18"/>
          <w:szCs w:val="18"/>
        </w:rPr>
        <w:t>.</w:t>
      </w:r>
    </w:p>
  </w:footnote>
  <w:footnote w:id="13">
    <w:p w14:paraId="0290AC64" w14:textId="6B787B7A"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3B1902">
        <w:rPr>
          <w:sz w:val="18"/>
          <w:szCs w:val="18"/>
        </w:rPr>
        <w:t>CPRC (</w:t>
      </w:r>
      <w:r w:rsidRPr="00D13672">
        <w:rPr>
          <w:sz w:val="18"/>
          <w:szCs w:val="18"/>
        </w:rPr>
        <w:t>Consumer Policy Research Centre</w:t>
      </w:r>
      <w:r w:rsidR="003B1902">
        <w:rPr>
          <w:sz w:val="18"/>
          <w:szCs w:val="18"/>
        </w:rPr>
        <w:t>)</w:t>
      </w:r>
      <w:r w:rsidR="00E71251">
        <w:rPr>
          <w:sz w:val="18"/>
          <w:szCs w:val="18"/>
        </w:rPr>
        <w:t>,</w:t>
      </w:r>
      <w:r w:rsidRPr="00D13672">
        <w:rPr>
          <w:sz w:val="18"/>
          <w:szCs w:val="18"/>
        </w:rPr>
        <w:t xml:space="preserve"> </w:t>
      </w:r>
      <w:hyperlink r:id="rId6" w:history="1">
        <w:r w:rsidRPr="00D13672">
          <w:rPr>
            <w:rStyle w:val="Hyperlink"/>
            <w:i/>
            <w:iCs/>
            <w:sz w:val="18"/>
            <w:szCs w:val="18"/>
          </w:rPr>
          <w:t>The Digital Checkout</w:t>
        </w:r>
      </w:hyperlink>
      <w:r w:rsidRPr="00D13672">
        <w:rPr>
          <w:i/>
          <w:iCs/>
          <w:sz w:val="18"/>
          <w:szCs w:val="18"/>
        </w:rPr>
        <w:t xml:space="preserve">, </w:t>
      </w:r>
      <w:r w:rsidR="005E5F6D">
        <w:rPr>
          <w:sz w:val="18"/>
          <w:szCs w:val="18"/>
        </w:rPr>
        <w:t xml:space="preserve">CPRC, 2021, </w:t>
      </w:r>
      <w:r w:rsidRPr="00D13672">
        <w:rPr>
          <w:sz w:val="18"/>
          <w:szCs w:val="18"/>
        </w:rPr>
        <w:t>pp. 16-17, accessed 1 May 2025.</w:t>
      </w:r>
    </w:p>
  </w:footnote>
  <w:footnote w:id="14">
    <w:p w14:paraId="03322058" w14:textId="1715E8F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r>
      <w:r w:rsidR="003E33AE" w:rsidRPr="00D13672">
        <w:rPr>
          <w:sz w:val="18"/>
          <w:szCs w:val="18"/>
        </w:rPr>
        <w:t>OECD (</w:t>
      </w:r>
      <w:r w:rsidR="003E33AE" w:rsidRPr="00AE4AED">
        <w:rPr>
          <w:sz w:val="18"/>
          <w:szCs w:val="18"/>
        </w:rPr>
        <w:t>Organisation for Economic Co-operation and Development</w:t>
      </w:r>
      <w:r w:rsidR="003E33AE" w:rsidRPr="00D13672">
        <w:rPr>
          <w:sz w:val="18"/>
          <w:szCs w:val="18"/>
        </w:rPr>
        <w:t>), ‘</w:t>
      </w:r>
      <w:hyperlink r:id="rId7" w:history="1">
        <w:r w:rsidR="003E33AE" w:rsidRPr="00D13672">
          <w:rPr>
            <w:rStyle w:val="Hyperlink"/>
            <w:sz w:val="18"/>
            <w:szCs w:val="18"/>
          </w:rPr>
          <w:t>Consumer Vulnerability in the Digital Age</w:t>
        </w:r>
      </w:hyperlink>
      <w:r w:rsidR="003E33AE" w:rsidRPr="00D13672">
        <w:rPr>
          <w:sz w:val="18"/>
          <w:szCs w:val="18"/>
        </w:rPr>
        <w:t xml:space="preserve">’, </w:t>
      </w:r>
      <w:r w:rsidR="003E33AE" w:rsidRPr="00D13672">
        <w:rPr>
          <w:i/>
          <w:iCs/>
          <w:sz w:val="18"/>
          <w:szCs w:val="18"/>
        </w:rPr>
        <w:t>Digital Economy Papers,</w:t>
      </w:r>
      <w:r w:rsidR="003E33AE" w:rsidRPr="00D13672">
        <w:rPr>
          <w:sz w:val="18"/>
          <w:szCs w:val="18"/>
        </w:rPr>
        <w:t xml:space="preserve"> </w:t>
      </w:r>
      <w:r w:rsidR="003E33AE">
        <w:rPr>
          <w:sz w:val="18"/>
          <w:szCs w:val="18"/>
        </w:rPr>
        <w:t>OECD, 2023, p</w:t>
      </w:r>
      <w:r w:rsidR="003E33AE" w:rsidRPr="00D13672">
        <w:rPr>
          <w:sz w:val="18"/>
          <w:szCs w:val="18"/>
        </w:rPr>
        <w:t xml:space="preserve">p. </w:t>
      </w:r>
      <w:r w:rsidRPr="00D13672">
        <w:rPr>
          <w:sz w:val="18"/>
          <w:szCs w:val="18"/>
        </w:rPr>
        <w:t xml:space="preserve">14-15, referencing Helberger, N. et al. (2021), ‘Choice Architectures in the Digital Economy: Towards a New Understanding of Digital Vulnerability’, </w:t>
      </w:r>
      <w:r w:rsidRPr="00D13672">
        <w:rPr>
          <w:i/>
          <w:iCs/>
          <w:sz w:val="18"/>
          <w:szCs w:val="18"/>
        </w:rPr>
        <w:t>Journal of Consumer Policy 2021</w:t>
      </w:r>
      <w:r w:rsidRPr="00D13672">
        <w:rPr>
          <w:sz w:val="18"/>
          <w:szCs w:val="18"/>
        </w:rPr>
        <w:t>, pp. 1-26.</w:t>
      </w:r>
    </w:p>
  </w:footnote>
  <w:footnote w:id="15">
    <w:p w14:paraId="2CB35143" w14:textId="648D7198" w:rsidR="00406CD0" w:rsidRPr="00D13672" w:rsidDel="00C0116F" w:rsidRDefault="00406CD0" w:rsidP="00406CD0">
      <w:pPr>
        <w:pStyle w:val="FootnoteText"/>
        <w:ind w:left="170" w:hanging="170"/>
        <w:rPr>
          <w:sz w:val="18"/>
          <w:szCs w:val="18"/>
        </w:rPr>
      </w:pPr>
      <w:r w:rsidRPr="00D13672" w:rsidDel="00C0116F">
        <w:rPr>
          <w:rStyle w:val="FootnoteReference"/>
          <w:rFonts w:eastAsiaTheme="majorEastAsia"/>
          <w:szCs w:val="18"/>
        </w:rPr>
        <w:footnoteRef/>
      </w:r>
      <w:r w:rsidRPr="00D13672" w:rsidDel="00C0116F">
        <w:rPr>
          <w:sz w:val="18"/>
          <w:szCs w:val="18"/>
        </w:rPr>
        <w:t xml:space="preserve"> </w:t>
      </w:r>
      <w:r w:rsidRPr="00D13672" w:rsidDel="00C0116F">
        <w:rPr>
          <w:sz w:val="18"/>
          <w:szCs w:val="18"/>
        </w:rPr>
        <w:tab/>
        <w:t>OECD</w:t>
      </w:r>
      <w:r w:rsidR="003E33AE">
        <w:rPr>
          <w:sz w:val="18"/>
          <w:szCs w:val="18"/>
        </w:rPr>
        <w:t xml:space="preserve">, </w:t>
      </w:r>
      <w:r w:rsidRPr="00D13672" w:rsidDel="00C0116F">
        <w:rPr>
          <w:sz w:val="18"/>
          <w:szCs w:val="18"/>
        </w:rPr>
        <w:t>‘</w:t>
      </w:r>
      <w:hyperlink r:id="rId8" w:history="1">
        <w:r w:rsidRPr="00D13672" w:rsidDel="00C0116F">
          <w:rPr>
            <w:rStyle w:val="Hyperlink"/>
            <w:sz w:val="18"/>
            <w:szCs w:val="18"/>
          </w:rPr>
          <w:t>Consumer Vulnerability in the Digital Age</w:t>
        </w:r>
      </w:hyperlink>
      <w:r w:rsidR="00B05C8D" w:rsidDel="00C0116F">
        <w:rPr>
          <w:sz w:val="18"/>
          <w:szCs w:val="18"/>
        </w:rPr>
        <w:t>,</w:t>
      </w:r>
      <w:r w:rsidR="003B1902" w:rsidDel="00C0116F">
        <w:rPr>
          <w:sz w:val="18"/>
          <w:szCs w:val="18"/>
        </w:rPr>
        <w:t xml:space="preserve"> </w:t>
      </w:r>
      <w:r w:rsidRPr="00D13672" w:rsidDel="00C0116F">
        <w:rPr>
          <w:sz w:val="18"/>
          <w:szCs w:val="18"/>
        </w:rPr>
        <w:t>p. 5.</w:t>
      </w:r>
    </w:p>
  </w:footnote>
  <w:footnote w:id="16">
    <w:p w14:paraId="2F2CD558" w14:textId="705C9F20" w:rsidR="00406CD0" w:rsidRPr="00D13672" w:rsidRDefault="00406CD0" w:rsidP="00406CD0">
      <w:pPr>
        <w:pStyle w:val="FootnoteText"/>
        <w:ind w:left="170" w:hanging="170"/>
        <w:rPr>
          <w:sz w:val="18"/>
          <w:szCs w:val="18"/>
        </w:rPr>
      </w:pPr>
      <w:r w:rsidRPr="00D13672">
        <w:rPr>
          <w:rStyle w:val="FootnoteReference"/>
          <w:szCs w:val="18"/>
        </w:rPr>
        <w:footnoteRef/>
      </w:r>
      <w:r>
        <w:rPr>
          <w:sz w:val="18"/>
          <w:szCs w:val="18"/>
        </w:rPr>
        <w:t xml:space="preserve">  See for example </w:t>
      </w:r>
      <w:r w:rsidRPr="00AA5034">
        <w:rPr>
          <w:sz w:val="18"/>
          <w:szCs w:val="18"/>
        </w:rPr>
        <w:t xml:space="preserve">OECD, </w:t>
      </w:r>
      <w:r>
        <w:rPr>
          <w:sz w:val="18"/>
          <w:szCs w:val="18"/>
        </w:rPr>
        <w:t>‘</w:t>
      </w:r>
      <w:hyperlink r:id="rId9" w:history="1">
        <w:r w:rsidRPr="009D1318">
          <w:rPr>
            <w:rStyle w:val="Hyperlink"/>
            <w:sz w:val="18"/>
            <w:szCs w:val="18"/>
          </w:rPr>
          <w:t>Dark commercial patterns</w:t>
        </w:r>
      </w:hyperlink>
      <w:r>
        <w:rPr>
          <w:sz w:val="18"/>
          <w:szCs w:val="18"/>
        </w:rPr>
        <w:t>’</w:t>
      </w:r>
      <w:r w:rsidRPr="00C00989">
        <w:rPr>
          <w:sz w:val="18"/>
          <w:szCs w:val="18"/>
        </w:rPr>
        <w:t>,</w:t>
      </w:r>
      <w:r w:rsidRPr="00AA5034">
        <w:rPr>
          <w:sz w:val="18"/>
          <w:szCs w:val="18"/>
        </w:rPr>
        <w:t> </w:t>
      </w:r>
      <w:r w:rsidRPr="00AA5034">
        <w:rPr>
          <w:i/>
          <w:iCs/>
          <w:sz w:val="18"/>
          <w:szCs w:val="18"/>
        </w:rPr>
        <w:t>Digital Economy Papers</w:t>
      </w:r>
      <w:r w:rsidRPr="00AA5034">
        <w:rPr>
          <w:sz w:val="18"/>
          <w:szCs w:val="18"/>
        </w:rPr>
        <w:t xml:space="preserve">, </w:t>
      </w:r>
      <w:r w:rsidR="00AE4AED">
        <w:rPr>
          <w:sz w:val="18"/>
          <w:szCs w:val="18"/>
        </w:rPr>
        <w:t xml:space="preserve">OECD, 2022, </w:t>
      </w:r>
      <w:r w:rsidRPr="00AA5034">
        <w:rPr>
          <w:sz w:val="18"/>
          <w:szCs w:val="18"/>
        </w:rPr>
        <w:t>No. 336</w:t>
      </w:r>
      <w:r w:rsidR="00AE4AED">
        <w:rPr>
          <w:sz w:val="18"/>
          <w:szCs w:val="18"/>
        </w:rPr>
        <w:t xml:space="preserve">; </w:t>
      </w:r>
      <w:r w:rsidRPr="009F4EEE">
        <w:rPr>
          <w:sz w:val="18"/>
          <w:szCs w:val="18"/>
        </w:rPr>
        <w:t>C</w:t>
      </w:r>
      <w:r w:rsidR="003B1902">
        <w:rPr>
          <w:sz w:val="18"/>
          <w:szCs w:val="18"/>
        </w:rPr>
        <w:t>PRC</w:t>
      </w:r>
      <w:r w:rsidRPr="009F4EEE">
        <w:rPr>
          <w:sz w:val="18"/>
          <w:szCs w:val="18"/>
        </w:rPr>
        <w:t xml:space="preserve">, </w:t>
      </w:r>
      <w:hyperlink r:id="rId10" w:history="1">
        <w:r w:rsidRPr="00766D30">
          <w:rPr>
            <w:rStyle w:val="Hyperlink"/>
            <w:i/>
            <w:iCs/>
            <w:sz w:val="18"/>
            <w:szCs w:val="18"/>
          </w:rPr>
          <w:t xml:space="preserve">Duped by design – manipulative online design: dark patterns in </w:t>
        </w:r>
        <w:r w:rsidR="00766D30" w:rsidRPr="00766D30">
          <w:rPr>
            <w:rStyle w:val="Hyperlink"/>
            <w:i/>
            <w:iCs/>
            <w:sz w:val="18"/>
            <w:szCs w:val="18"/>
          </w:rPr>
          <w:t>Australia</w:t>
        </w:r>
      </w:hyperlink>
      <w:r w:rsidRPr="009F4EEE">
        <w:rPr>
          <w:sz w:val="18"/>
          <w:szCs w:val="18"/>
        </w:rPr>
        <w:t>,</w:t>
      </w:r>
      <w:r>
        <w:rPr>
          <w:sz w:val="18"/>
          <w:szCs w:val="18"/>
        </w:rPr>
        <w:t xml:space="preserve"> </w:t>
      </w:r>
      <w:r w:rsidR="006B715B">
        <w:rPr>
          <w:sz w:val="18"/>
          <w:szCs w:val="18"/>
        </w:rPr>
        <w:t xml:space="preserve">CPRC, 2022; </w:t>
      </w:r>
      <w:r w:rsidR="003B1902">
        <w:rPr>
          <w:sz w:val="18"/>
          <w:szCs w:val="18"/>
        </w:rPr>
        <w:t>CPRC</w:t>
      </w:r>
      <w:r>
        <w:rPr>
          <w:sz w:val="18"/>
          <w:szCs w:val="18"/>
        </w:rPr>
        <w:t>,</w:t>
      </w:r>
      <w:r w:rsidRPr="00A54977">
        <w:t xml:space="preserve"> </w:t>
      </w:r>
      <w:hyperlink r:id="rId11" w:history="1">
        <w:r w:rsidRPr="00766D30">
          <w:rPr>
            <w:rStyle w:val="Hyperlink"/>
            <w:i/>
            <w:iCs/>
            <w:sz w:val="18"/>
            <w:szCs w:val="18"/>
          </w:rPr>
          <w:t>Made to Manipulate: The impact of deceptive online design practices on wellbeing and strategies to mitigate harm</w:t>
        </w:r>
      </w:hyperlink>
      <w:r w:rsidRPr="00A54977">
        <w:rPr>
          <w:sz w:val="18"/>
          <w:szCs w:val="18"/>
        </w:rPr>
        <w:t xml:space="preserve">, </w:t>
      </w:r>
      <w:r w:rsidR="00CD446A">
        <w:rPr>
          <w:sz w:val="18"/>
          <w:szCs w:val="18"/>
        </w:rPr>
        <w:t>CPRC, 2025;</w:t>
      </w:r>
      <w:r w:rsidRPr="00A54977">
        <w:rPr>
          <w:sz w:val="18"/>
          <w:szCs w:val="18"/>
        </w:rPr>
        <w:t xml:space="preserve"> </w:t>
      </w:r>
      <w:r w:rsidRPr="00FA3407">
        <w:rPr>
          <w:sz w:val="18"/>
          <w:szCs w:val="18"/>
        </w:rPr>
        <w:t xml:space="preserve">United States </w:t>
      </w:r>
      <w:r w:rsidR="00CD446A">
        <w:rPr>
          <w:sz w:val="18"/>
          <w:szCs w:val="18"/>
        </w:rPr>
        <w:t>FTC (</w:t>
      </w:r>
      <w:r w:rsidRPr="00FA3407">
        <w:rPr>
          <w:sz w:val="18"/>
          <w:szCs w:val="18"/>
        </w:rPr>
        <w:t>Federal Trade Commission),</w:t>
      </w:r>
      <w:r w:rsidRPr="00124768">
        <w:rPr>
          <w:rStyle w:val="Hyperlink"/>
          <w:sz w:val="18"/>
          <w:szCs w:val="18"/>
        </w:rPr>
        <w:t xml:space="preserve"> </w:t>
      </w:r>
      <w:hyperlink r:id="rId12" w:history="1">
        <w:r w:rsidRPr="00766D30">
          <w:rPr>
            <w:rStyle w:val="Hyperlink"/>
            <w:i/>
            <w:iCs/>
            <w:sz w:val="18"/>
            <w:szCs w:val="18"/>
          </w:rPr>
          <w:t xml:space="preserve">Bringing Dark Patterns to </w:t>
        </w:r>
        <w:r w:rsidR="00766D30" w:rsidRPr="00766D30">
          <w:rPr>
            <w:rStyle w:val="Hyperlink"/>
            <w:i/>
            <w:iCs/>
            <w:sz w:val="18"/>
            <w:szCs w:val="18"/>
          </w:rPr>
          <w:t>Light</w:t>
        </w:r>
      </w:hyperlink>
      <w:r w:rsidRPr="00FA3407">
        <w:t>,</w:t>
      </w:r>
      <w:r w:rsidRPr="00FA3407">
        <w:rPr>
          <w:sz w:val="18"/>
          <w:szCs w:val="18"/>
        </w:rPr>
        <w:t xml:space="preserve"> </w:t>
      </w:r>
      <w:r w:rsidR="00CD446A">
        <w:rPr>
          <w:sz w:val="18"/>
          <w:szCs w:val="18"/>
        </w:rPr>
        <w:t>US FTC, 2022;</w:t>
      </w:r>
      <w:r w:rsidR="00810A7B">
        <w:rPr>
          <w:sz w:val="18"/>
          <w:szCs w:val="18"/>
        </w:rPr>
        <w:t xml:space="preserve"> CMA</w:t>
      </w:r>
      <w:r w:rsidR="00CD446A">
        <w:rPr>
          <w:sz w:val="18"/>
          <w:szCs w:val="18"/>
        </w:rPr>
        <w:t xml:space="preserve"> </w:t>
      </w:r>
      <w:r w:rsidR="00810A7B">
        <w:rPr>
          <w:sz w:val="18"/>
          <w:szCs w:val="18"/>
        </w:rPr>
        <w:t>(Competition</w:t>
      </w:r>
      <w:r w:rsidR="00766D30">
        <w:rPr>
          <w:sz w:val="18"/>
          <w:szCs w:val="18"/>
        </w:rPr>
        <w:t xml:space="preserve"> </w:t>
      </w:r>
      <w:r w:rsidR="00DD5B17">
        <w:rPr>
          <w:sz w:val="18"/>
          <w:szCs w:val="18"/>
        </w:rPr>
        <w:t xml:space="preserve">and Markets </w:t>
      </w:r>
      <w:r w:rsidR="00810A7B">
        <w:rPr>
          <w:sz w:val="18"/>
          <w:szCs w:val="18"/>
        </w:rPr>
        <w:t>Authority)</w:t>
      </w:r>
      <w:r w:rsidR="00DD5B17">
        <w:rPr>
          <w:sz w:val="18"/>
          <w:szCs w:val="18"/>
        </w:rPr>
        <w:t>,</w:t>
      </w:r>
      <w:r w:rsidRPr="00FA3407">
        <w:rPr>
          <w:sz w:val="18"/>
          <w:szCs w:val="18"/>
        </w:rPr>
        <w:t xml:space="preserve"> </w:t>
      </w:r>
      <w:hyperlink r:id="rId13" w:history="1">
        <w:r w:rsidRPr="00810A7B">
          <w:rPr>
            <w:rStyle w:val="Hyperlink"/>
            <w:i/>
            <w:iCs/>
            <w:sz w:val="18"/>
            <w:szCs w:val="18"/>
          </w:rPr>
          <w:t xml:space="preserve">Online choice architecture: how digital design can harm competition and consumers – discussion </w:t>
        </w:r>
        <w:r w:rsidR="00766D30" w:rsidRPr="00810A7B">
          <w:rPr>
            <w:rStyle w:val="Hyperlink"/>
            <w:i/>
            <w:iCs/>
            <w:sz w:val="18"/>
            <w:szCs w:val="18"/>
          </w:rPr>
          <w:t>paper</w:t>
        </w:r>
      </w:hyperlink>
      <w:r w:rsidR="00DD5B17">
        <w:t xml:space="preserve">, </w:t>
      </w:r>
      <w:r w:rsidR="00DD5B17">
        <w:rPr>
          <w:sz w:val="18"/>
          <w:szCs w:val="18"/>
        </w:rPr>
        <w:t xml:space="preserve">UK Government, </w:t>
      </w:r>
      <w:r w:rsidR="00810A7B">
        <w:rPr>
          <w:sz w:val="18"/>
          <w:szCs w:val="18"/>
        </w:rPr>
        <w:t xml:space="preserve">2022. </w:t>
      </w:r>
    </w:p>
  </w:footnote>
  <w:footnote w:id="17">
    <w:p w14:paraId="56C319C2" w14:textId="02FB4715" w:rsidR="001146AB" w:rsidRDefault="001146AB" w:rsidP="00542A26">
      <w:pPr>
        <w:pStyle w:val="FootnoteText"/>
        <w:ind w:left="170" w:hanging="170"/>
      </w:pPr>
      <w:r>
        <w:rPr>
          <w:rStyle w:val="FootnoteReference"/>
        </w:rPr>
        <w:footnoteRef/>
      </w:r>
      <w:r>
        <w:t xml:space="preserve"> </w:t>
      </w:r>
      <w:r w:rsidRPr="00D13672">
        <w:rPr>
          <w:sz w:val="18"/>
          <w:szCs w:val="18"/>
        </w:rPr>
        <w:t xml:space="preserve">H Brignull, M Leiser, C Santos, and K Doshi, </w:t>
      </w:r>
      <w:hyperlink r:id="rId14" w:history="1">
        <w:r w:rsidRPr="00C47449">
          <w:rPr>
            <w:rStyle w:val="Hyperlink"/>
            <w:i/>
            <w:iCs/>
            <w:sz w:val="18"/>
            <w:szCs w:val="18"/>
          </w:rPr>
          <w:t>Deceptive patterns – user interfaces designed to trick you</w:t>
        </w:r>
      </w:hyperlink>
      <w:r w:rsidRPr="00C47449">
        <w:rPr>
          <w:i/>
          <w:iCs/>
          <w:sz w:val="18"/>
          <w:szCs w:val="18"/>
        </w:rPr>
        <w:t>,</w:t>
      </w:r>
      <w:r>
        <w:rPr>
          <w:sz w:val="18"/>
          <w:szCs w:val="18"/>
        </w:rPr>
        <w:t xml:space="preserve"> Deceptive Patterns, n.d., accessed 11 July 2025.</w:t>
      </w:r>
    </w:p>
  </w:footnote>
  <w:footnote w:id="18">
    <w:p w14:paraId="3BAFF4C0" w14:textId="7D881CE6" w:rsidR="00AC520B" w:rsidRPr="00DA5449" w:rsidRDefault="00AC520B" w:rsidP="00DA5449">
      <w:pPr>
        <w:pStyle w:val="FootnoteText"/>
        <w:ind w:left="170" w:hanging="170"/>
        <w:rPr>
          <w:sz w:val="18"/>
          <w:szCs w:val="18"/>
        </w:rPr>
      </w:pPr>
      <w:r>
        <w:rPr>
          <w:rStyle w:val="FootnoteReference"/>
        </w:rPr>
        <w:footnoteRef/>
      </w:r>
      <w:r>
        <w:t xml:space="preserve"> </w:t>
      </w:r>
      <w:r w:rsidRPr="00D13672">
        <w:rPr>
          <w:sz w:val="18"/>
          <w:szCs w:val="18"/>
        </w:rPr>
        <w:t>The opposing concept to dark patterns, bright patterns refer to design choices that prioritise user goals and wellbeing ahead of organisation/business goals. For example, this may be in the form of displaying greater contextual transparency for pricing, clearer explanations of complex terms to improve consumer understanding, and straightforward pathways for consumers to update preferences and settings, including for cancelling a subscription.</w:t>
      </w:r>
    </w:p>
  </w:footnote>
  <w:footnote w:id="19">
    <w:p w14:paraId="660161E4" w14:textId="668C8727"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t xml:space="preserve">Kantar Public, </w:t>
      </w:r>
      <w:hyperlink r:id="rId15" w:history="1">
        <w:r w:rsidRPr="00D13672">
          <w:rPr>
            <w:rStyle w:val="Hyperlink"/>
            <w:i/>
            <w:sz w:val="18"/>
            <w:szCs w:val="18"/>
          </w:rPr>
          <w:t>Australian Consumer Survey 2023 - Final Report</w:t>
        </w:r>
      </w:hyperlink>
      <w:r w:rsidRPr="00D13672">
        <w:rPr>
          <w:sz w:val="18"/>
          <w:szCs w:val="18"/>
        </w:rPr>
        <w:t xml:space="preserve">, report to the Department of Treasury, </w:t>
      </w:r>
      <w:r w:rsidR="006848B3">
        <w:rPr>
          <w:sz w:val="18"/>
          <w:szCs w:val="18"/>
        </w:rPr>
        <w:t xml:space="preserve">2023, </w:t>
      </w:r>
      <w:r w:rsidRPr="00D13672">
        <w:rPr>
          <w:sz w:val="18"/>
          <w:szCs w:val="18"/>
        </w:rPr>
        <w:t>pp</w:t>
      </w:r>
      <w:r w:rsidR="00B23C02">
        <w:rPr>
          <w:sz w:val="18"/>
          <w:szCs w:val="18"/>
        </w:rPr>
        <w:t xml:space="preserve">. </w:t>
      </w:r>
      <w:r w:rsidRPr="00D13672">
        <w:rPr>
          <w:sz w:val="18"/>
          <w:szCs w:val="18"/>
        </w:rPr>
        <w:t xml:space="preserve">79-80. </w:t>
      </w:r>
    </w:p>
  </w:footnote>
  <w:footnote w:id="20">
    <w:p w14:paraId="5E154842" w14:textId="1D5373CE"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 xml:space="preserve">International Consumer Protection and Enforcement Network, </w:t>
      </w:r>
      <w:hyperlink r:id="rId16" w:history="1">
        <w:r w:rsidRPr="00D13672">
          <w:rPr>
            <w:rStyle w:val="Hyperlink"/>
            <w:i/>
            <w:iCs/>
            <w:sz w:val="18"/>
            <w:szCs w:val="18"/>
          </w:rPr>
          <w:t>ICPEN Dark Patterns in Subscription Services Sweep Public Report</w:t>
        </w:r>
      </w:hyperlink>
      <w:r w:rsidR="00B23C02">
        <w:rPr>
          <w:sz w:val="18"/>
          <w:szCs w:val="18"/>
        </w:rPr>
        <w:t xml:space="preserve">, </w:t>
      </w:r>
      <w:r w:rsidR="00A64370">
        <w:rPr>
          <w:sz w:val="18"/>
          <w:szCs w:val="18"/>
        </w:rPr>
        <w:t>ICPEN, 2024</w:t>
      </w:r>
      <w:r w:rsidR="00A367C8">
        <w:rPr>
          <w:sz w:val="18"/>
          <w:szCs w:val="18"/>
        </w:rPr>
        <w:t xml:space="preserve">. </w:t>
      </w:r>
    </w:p>
  </w:footnote>
  <w:footnote w:id="21">
    <w:p w14:paraId="71820369" w14:textId="19731D9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sz w:val="18"/>
          <w:szCs w:val="18"/>
        </w:rPr>
        <w:tab/>
        <w:t>OECD</w:t>
      </w:r>
      <w:r w:rsidR="00810A7B">
        <w:rPr>
          <w:sz w:val="18"/>
          <w:szCs w:val="18"/>
        </w:rPr>
        <w:t xml:space="preserve">, </w:t>
      </w:r>
      <w:r w:rsidR="001B0574">
        <w:rPr>
          <w:sz w:val="18"/>
          <w:szCs w:val="18"/>
        </w:rPr>
        <w:t>‘</w:t>
      </w:r>
      <w:r w:rsidR="00810A7B" w:rsidRPr="00810A7B">
        <w:rPr>
          <w:sz w:val="18"/>
          <w:szCs w:val="18"/>
        </w:rPr>
        <w:t>Dark commercial patterns</w:t>
      </w:r>
      <w:r w:rsidR="001B0574">
        <w:rPr>
          <w:sz w:val="18"/>
          <w:szCs w:val="18"/>
        </w:rPr>
        <w:t>’</w:t>
      </w:r>
      <w:r w:rsidR="00810A7B">
        <w:t xml:space="preserve">. </w:t>
      </w:r>
    </w:p>
  </w:footnote>
  <w:footnote w:id="22">
    <w:p w14:paraId="23C9C184" w14:textId="43D659B5"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810A7B" w:rsidRPr="00D13672">
        <w:rPr>
          <w:sz w:val="18"/>
          <w:szCs w:val="18"/>
        </w:rPr>
        <w:t>OECD</w:t>
      </w:r>
      <w:r w:rsidR="00810A7B">
        <w:rPr>
          <w:sz w:val="18"/>
          <w:szCs w:val="18"/>
        </w:rPr>
        <w:t xml:space="preserve">, </w:t>
      </w:r>
      <w:r w:rsidR="001B0574">
        <w:rPr>
          <w:sz w:val="18"/>
          <w:szCs w:val="18"/>
        </w:rPr>
        <w:t>‘</w:t>
      </w:r>
      <w:r w:rsidR="00810A7B" w:rsidRPr="00810A7B">
        <w:rPr>
          <w:sz w:val="18"/>
          <w:szCs w:val="18"/>
        </w:rPr>
        <w:t>Dark commercial patterns</w:t>
      </w:r>
      <w:r w:rsidR="001B0574">
        <w:rPr>
          <w:sz w:val="18"/>
          <w:szCs w:val="18"/>
        </w:rPr>
        <w:t>’</w:t>
      </w:r>
      <w:r w:rsidR="00810A7B">
        <w:t xml:space="preserve">. </w:t>
      </w:r>
    </w:p>
  </w:footnote>
  <w:footnote w:id="23">
    <w:p w14:paraId="0E11ADDD" w14:textId="477A36BF"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3A5385">
        <w:rPr>
          <w:sz w:val="18"/>
          <w:szCs w:val="18"/>
        </w:rPr>
        <w:t>F</w:t>
      </w:r>
      <w:r w:rsidRPr="00D13672">
        <w:rPr>
          <w:sz w:val="18"/>
          <w:szCs w:val="18"/>
        </w:rPr>
        <w:t xml:space="preserve"> Lupiáñez-Villanueva, </w:t>
      </w:r>
      <w:r w:rsidR="003A5385">
        <w:rPr>
          <w:sz w:val="18"/>
          <w:szCs w:val="18"/>
        </w:rPr>
        <w:t>A</w:t>
      </w:r>
      <w:r w:rsidRPr="00D13672">
        <w:rPr>
          <w:sz w:val="18"/>
          <w:szCs w:val="18"/>
        </w:rPr>
        <w:t xml:space="preserve"> Boluda, </w:t>
      </w:r>
      <w:r w:rsidR="00E00DC9">
        <w:rPr>
          <w:sz w:val="18"/>
          <w:szCs w:val="18"/>
        </w:rPr>
        <w:t>F</w:t>
      </w:r>
      <w:r w:rsidRPr="00D13672">
        <w:rPr>
          <w:sz w:val="18"/>
          <w:szCs w:val="18"/>
        </w:rPr>
        <w:t xml:space="preserve"> Bogliacino, </w:t>
      </w:r>
      <w:r w:rsidR="00E00DC9">
        <w:rPr>
          <w:sz w:val="18"/>
          <w:szCs w:val="18"/>
        </w:rPr>
        <w:t>G</w:t>
      </w:r>
      <w:r w:rsidRPr="00D13672">
        <w:rPr>
          <w:sz w:val="18"/>
          <w:szCs w:val="18"/>
        </w:rPr>
        <w:t xml:space="preserve"> Liva, et al.</w:t>
      </w:r>
      <w:r w:rsidR="006F10D6">
        <w:rPr>
          <w:sz w:val="18"/>
          <w:szCs w:val="18"/>
        </w:rPr>
        <w:t xml:space="preserve">, </w:t>
      </w:r>
      <w:hyperlink r:id="rId17" w:history="1">
        <w:r w:rsidRPr="00A34565">
          <w:rPr>
            <w:rStyle w:val="Hyperlink"/>
            <w:i/>
            <w:iCs/>
            <w:sz w:val="18"/>
            <w:szCs w:val="18"/>
          </w:rPr>
          <w:t>Behavioural study on unfair commercial practices in the digital environment – Dark patterns and manipulative personalisation – Final report</w:t>
        </w:r>
      </w:hyperlink>
      <w:r w:rsidRPr="00D13672">
        <w:rPr>
          <w:sz w:val="18"/>
          <w:szCs w:val="18"/>
        </w:rPr>
        <w:t>, Publications Office of the European Union</w:t>
      </w:r>
      <w:r w:rsidR="006F10D6">
        <w:rPr>
          <w:sz w:val="18"/>
          <w:szCs w:val="18"/>
        </w:rPr>
        <w:t xml:space="preserve">, 2022. </w:t>
      </w:r>
    </w:p>
  </w:footnote>
  <w:footnote w:id="24">
    <w:p w14:paraId="5747A0A5" w14:textId="191521CA"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r>
      <w:r w:rsidR="006C08B6">
        <w:rPr>
          <w:sz w:val="18"/>
          <w:szCs w:val="18"/>
        </w:rPr>
        <w:t>CPRC,</w:t>
      </w:r>
      <w:r w:rsidR="006C08B6" w:rsidRPr="00D13672">
        <w:rPr>
          <w:sz w:val="18"/>
          <w:szCs w:val="18"/>
        </w:rPr>
        <w:t xml:space="preserve"> </w:t>
      </w:r>
      <w:hyperlink r:id="rId18" w:history="1">
        <w:r w:rsidR="006C08B6" w:rsidRPr="00422DB8">
          <w:rPr>
            <w:rStyle w:val="Hyperlink"/>
            <w:sz w:val="18"/>
            <w:szCs w:val="18"/>
          </w:rPr>
          <w:t>Duped by</w:t>
        </w:r>
        <w:r w:rsidR="001F67D3" w:rsidRPr="00422DB8">
          <w:rPr>
            <w:rStyle w:val="Hyperlink"/>
            <w:sz w:val="18"/>
            <w:szCs w:val="18"/>
          </w:rPr>
          <w:t xml:space="preserve"> design – Manipulative online design: Dark patterns in Australia</w:t>
        </w:r>
      </w:hyperlink>
      <w:hyperlink r:id="rId19" w:history="1">
        <w:r>
          <w:rPr>
            <w:rStyle w:val="Hyperlink"/>
          </w:rPr>
          <w:t>https://cprc.org.au/report/the-digital-checkout/</w:t>
        </w:r>
      </w:hyperlink>
      <w:r w:rsidR="006C08B6" w:rsidRPr="00D13672">
        <w:rPr>
          <w:i/>
          <w:iCs/>
          <w:sz w:val="18"/>
          <w:szCs w:val="18"/>
        </w:rPr>
        <w:t xml:space="preserve">, </w:t>
      </w:r>
      <w:r w:rsidR="006C08B6">
        <w:rPr>
          <w:sz w:val="18"/>
          <w:szCs w:val="18"/>
        </w:rPr>
        <w:t>CPRC, 202</w:t>
      </w:r>
      <w:r w:rsidR="001F67D3">
        <w:rPr>
          <w:sz w:val="18"/>
          <w:szCs w:val="18"/>
        </w:rPr>
        <w:t>2</w:t>
      </w:r>
      <w:r w:rsidR="006C08B6">
        <w:rPr>
          <w:sz w:val="18"/>
          <w:szCs w:val="18"/>
        </w:rPr>
        <w:t xml:space="preserve">, </w:t>
      </w:r>
      <w:r w:rsidR="006C08B6" w:rsidRPr="00D13672">
        <w:rPr>
          <w:sz w:val="18"/>
          <w:szCs w:val="18"/>
        </w:rPr>
        <w:t xml:space="preserve">p. </w:t>
      </w:r>
      <w:r w:rsidR="0071043F">
        <w:rPr>
          <w:sz w:val="18"/>
          <w:szCs w:val="18"/>
        </w:rPr>
        <w:t>27</w:t>
      </w:r>
      <w:r w:rsidR="006C08B6" w:rsidRPr="00D13672">
        <w:rPr>
          <w:sz w:val="18"/>
          <w:szCs w:val="18"/>
        </w:rPr>
        <w:t>, accessed 1 May 2025.</w:t>
      </w:r>
    </w:p>
  </w:footnote>
  <w:footnote w:id="25">
    <w:p w14:paraId="2A047D65" w14:textId="51F4E311" w:rsidR="00562984" w:rsidRPr="002C18B8" w:rsidRDefault="00562984">
      <w:pPr>
        <w:pStyle w:val="FootnoteText"/>
        <w:rPr>
          <w:sz w:val="18"/>
          <w:szCs w:val="18"/>
        </w:rPr>
      </w:pPr>
      <w:r>
        <w:rPr>
          <w:rStyle w:val="FootnoteReference"/>
        </w:rPr>
        <w:footnoteRef/>
      </w:r>
      <w:r w:rsidRPr="002C18B8">
        <w:rPr>
          <w:sz w:val="18"/>
          <w:szCs w:val="18"/>
        </w:rPr>
        <w:t xml:space="preserve"> </w:t>
      </w:r>
      <w:r w:rsidR="003F5674" w:rsidRPr="002C18B8">
        <w:rPr>
          <w:sz w:val="18"/>
          <w:szCs w:val="18"/>
        </w:rPr>
        <w:t xml:space="preserve">ACCC, </w:t>
      </w:r>
      <w:hyperlink r:id="rId20" w:history="1">
        <w:r w:rsidR="003F5674" w:rsidRPr="002C18B8">
          <w:rPr>
            <w:rStyle w:val="Hyperlink"/>
            <w:sz w:val="18"/>
            <w:szCs w:val="18"/>
          </w:rPr>
          <w:t>Digital platform service inquiry – Final Report</w:t>
        </w:r>
      </w:hyperlink>
      <w:r w:rsidR="003F5674" w:rsidRPr="002C18B8">
        <w:rPr>
          <w:sz w:val="18"/>
          <w:szCs w:val="18"/>
        </w:rPr>
        <w:t xml:space="preserve">, ACCC, 2025, </w:t>
      </w:r>
      <w:r w:rsidR="002A5C57" w:rsidRPr="002C18B8">
        <w:rPr>
          <w:sz w:val="18"/>
          <w:szCs w:val="18"/>
        </w:rPr>
        <w:t>p.</w:t>
      </w:r>
      <w:r w:rsidR="00B067EC">
        <w:rPr>
          <w:sz w:val="18"/>
          <w:szCs w:val="18"/>
        </w:rPr>
        <w:t xml:space="preserve"> </w:t>
      </w:r>
      <w:r w:rsidR="002A5C57" w:rsidRPr="002C18B8">
        <w:rPr>
          <w:sz w:val="18"/>
          <w:szCs w:val="18"/>
        </w:rPr>
        <w:t>5</w:t>
      </w:r>
      <w:r w:rsidR="00AC405F" w:rsidRPr="002C18B8">
        <w:rPr>
          <w:sz w:val="18"/>
          <w:szCs w:val="18"/>
        </w:rPr>
        <w:t xml:space="preserve">. </w:t>
      </w:r>
      <w:r w:rsidR="00232A98" w:rsidRPr="002C18B8">
        <w:rPr>
          <w:sz w:val="18"/>
          <w:szCs w:val="18"/>
        </w:rPr>
        <w:t xml:space="preserve"> </w:t>
      </w:r>
    </w:p>
  </w:footnote>
  <w:footnote w:id="26">
    <w:p w14:paraId="71EABDF8" w14:textId="115DDA4E"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009A4538">
        <w:rPr>
          <w:sz w:val="18"/>
          <w:szCs w:val="18"/>
        </w:rPr>
        <w:t>Joint Consumer Advocates</w:t>
      </w:r>
      <w:r w:rsidRPr="00D13672">
        <w:rPr>
          <w:sz w:val="18"/>
          <w:szCs w:val="18"/>
        </w:rPr>
        <w:t xml:space="preserve">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pp. 17-19; Centre for Artificial Intelligence and Digital Ethics, The University of Melbourne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Telecommunications Industry Ombudsman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B067EC">
        <w:rPr>
          <w:sz w:val="18"/>
          <w:szCs w:val="18"/>
        </w:rPr>
        <w:t xml:space="preserve"> </w:t>
      </w:r>
      <w:r w:rsidRPr="00D13672">
        <w:rPr>
          <w:sz w:val="18"/>
          <w:szCs w:val="18"/>
        </w:rPr>
        <w:t>4.</w:t>
      </w:r>
    </w:p>
  </w:footnote>
  <w:footnote w:id="27">
    <w:p w14:paraId="5586BFBD" w14:textId="23A297B0" w:rsidR="00406CD0" w:rsidRPr="00D13672" w:rsidRDefault="00406CD0" w:rsidP="00406CD0">
      <w:pPr>
        <w:pStyle w:val="FootnoteText"/>
        <w:ind w:left="170" w:hanging="170"/>
        <w:rPr>
          <w:sz w:val="18"/>
          <w:szCs w:val="18"/>
        </w:rPr>
      </w:pPr>
      <w:r w:rsidRPr="49E01456">
        <w:rPr>
          <w:rStyle w:val="FootnoteReference"/>
        </w:rPr>
        <w:footnoteRef/>
      </w:r>
      <w:r w:rsidRPr="00D13672">
        <w:rPr>
          <w:sz w:val="18"/>
          <w:szCs w:val="18"/>
        </w:rPr>
        <w:t xml:space="preserve"> Australian Chamber of Commerce and Industry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F33075">
        <w:rPr>
          <w:sz w:val="18"/>
          <w:szCs w:val="18"/>
        </w:rPr>
        <w:t xml:space="preserve"> </w:t>
      </w:r>
      <w:r w:rsidRPr="00D13672">
        <w:rPr>
          <w:sz w:val="18"/>
          <w:szCs w:val="18"/>
        </w:rPr>
        <w:t xml:space="preserve">3; Australian Live Performance Australia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 xml:space="preserve">onsultation, pp. 5-6; Retail Drinks Australia submission to the </w:t>
      </w:r>
      <w:r w:rsidR="00692724">
        <w:rPr>
          <w:sz w:val="18"/>
          <w:szCs w:val="18"/>
        </w:rPr>
        <w:t>S</w:t>
      </w:r>
      <w:r w:rsidRPr="00D13672">
        <w:rPr>
          <w:sz w:val="18"/>
          <w:szCs w:val="18"/>
        </w:rPr>
        <w:t xml:space="preserve">upplementary </w:t>
      </w:r>
      <w:r w:rsidR="00692724">
        <w:rPr>
          <w:sz w:val="18"/>
          <w:szCs w:val="18"/>
        </w:rPr>
        <w:t>C</w:t>
      </w:r>
      <w:r w:rsidRPr="00D13672">
        <w:rPr>
          <w:sz w:val="18"/>
          <w:szCs w:val="18"/>
        </w:rPr>
        <w:t>onsultation, p.</w:t>
      </w:r>
      <w:r w:rsidR="00F33075">
        <w:rPr>
          <w:sz w:val="18"/>
          <w:szCs w:val="18"/>
        </w:rPr>
        <w:t xml:space="preserve"> </w:t>
      </w:r>
      <w:r w:rsidRPr="00D13672">
        <w:rPr>
          <w:sz w:val="18"/>
          <w:szCs w:val="18"/>
        </w:rPr>
        <w:t>2.</w:t>
      </w:r>
    </w:p>
  </w:footnote>
  <w:footnote w:id="28">
    <w:p w14:paraId="1951D42C" w14:textId="64063141"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The US Federal Trade Commission’s 2024 ‘Click-to Cancel Rule’</w:t>
      </w:r>
      <w:r w:rsidR="004556A5">
        <w:rPr>
          <w:sz w:val="18"/>
          <w:szCs w:val="18"/>
        </w:rPr>
        <w:t xml:space="preserve"> </w:t>
      </w:r>
      <w:r w:rsidRPr="00D13672">
        <w:rPr>
          <w:sz w:val="18"/>
          <w:szCs w:val="18"/>
        </w:rPr>
        <w:t>applie</w:t>
      </w:r>
      <w:r w:rsidR="008310AC">
        <w:rPr>
          <w:sz w:val="18"/>
          <w:szCs w:val="18"/>
        </w:rPr>
        <w:t>d</w:t>
      </w:r>
      <w:r w:rsidRPr="00D13672">
        <w:rPr>
          <w:sz w:val="18"/>
          <w:szCs w:val="18"/>
        </w:rPr>
        <w:t xml:space="preserve"> to negative option programs. The rule defines a negative option feature as a term or condition that allows a seller to interpret a customer’s silence or failure to take an affirmative action as acceptance. </w:t>
      </w:r>
    </w:p>
  </w:footnote>
  <w:footnote w:id="29">
    <w:p w14:paraId="73455D3E" w14:textId="4149B49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3716FE">
        <w:rPr>
          <w:sz w:val="18"/>
          <w:szCs w:val="18"/>
        </w:rPr>
        <w:t xml:space="preserve"> </w:t>
      </w:r>
      <w:r w:rsidRPr="00D13672">
        <w:rPr>
          <w:sz w:val="18"/>
          <w:szCs w:val="18"/>
        </w:rPr>
        <w:t>15.</w:t>
      </w:r>
    </w:p>
  </w:footnote>
  <w:footnote w:id="30">
    <w:p w14:paraId="47171BBE" w14:textId="6D7BEC2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17044D">
        <w:rPr>
          <w:sz w:val="18"/>
          <w:szCs w:val="18"/>
        </w:rPr>
        <w:t xml:space="preserve">Joint </w:t>
      </w:r>
      <w:r w:rsidR="00E30D92">
        <w:rPr>
          <w:sz w:val="18"/>
          <w:szCs w:val="18"/>
        </w:rPr>
        <w:t>C</w:t>
      </w:r>
      <w:r w:rsidR="0017044D">
        <w:rPr>
          <w:sz w:val="18"/>
          <w:szCs w:val="18"/>
        </w:rPr>
        <w:t xml:space="preserve">onsumer </w:t>
      </w:r>
      <w:r w:rsidR="00E30D92">
        <w:rPr>
          <w:sz w:val="18"/>
          <w:szCs w:val="18"/>
        </w:rPr>
        <w:t>A</w:t>
      </w:r>
      <w:r w:rsidR="0017044D">
        <w:rPr>
          <w:sz w:val="18"/>
          <w:szCs w:val="18"/>
        </w:rPr>
        <w:t>dvocates</w:t>
      </w:r>
      <w:r w:rsidR="00AA3D86">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23.</w:t>
      </w:r>
      <w:r w:rsidR="00962108">
        <w:rPr>
          <w:sz w:val="18"/>
          <w:szCs w:val="18"/>
        </w:rPr>
        <w:t xml:space="preserve"> </w:t>
      </w:r>
      <w:r w:rsidR="0031120C">
        <w:rPr>
          <w:sz w:val="18"/>
          <w:szCs w:val="18"/>
        </w:rPr>
        <w:t>Sub</w:t>
      </w:r>
      <w:r w:rsidR="0005084A">
        <w:rPr>
          <w:sz w:val="18"/>
          <w:szCs w:val="18"/>
        </w:rPr>
        <w:t xml:space="preserve">mission made jointly by </w:t>
      </w:r>
      <w:r w:rsidR="00962108" w:rsidRPr="00962108">
        <w:rPr>
          <w:sz w:val="18"/>
          <w:szCs w:val="18"/>
        </w:rPr>
        <w:t>Consumer Policy Research Centre</w:t>
      </w:r>
      <w:r w:rsidR="00962108">
        <w:rPr>
          <w:sz w:val="18"/>
          <w:szCs w:val="18"/>
        </w:rPr>
        <w:t>,</w:t>
      </w:r>
      <w:r w:rsidR="0005084A">
        <w:rPr>
          <w:sz w:val="18"/>
          <w:szCs w:val="18"/>
        </w:rPr>
        <w:t xml:space="preserve"> and the following: </w:t>
      </w:r>
      <w:r w:rsidR="00210B5B">
        <w:rPr>
          <w:sz w:val="18"/>
          <w:szCs w:val="18"/>
        </w:rPr>
        <w:t>AMES Australia, Australian Communications C</w:t>
      </w:r>
      <w:r w:rsidR="0057472C">
        <w:rPr>
          <w:sz w:val="18"/>
          <w:szCs w:val="18"/>
        </w:rPr>
        <w:t>onsumer Action Network, Care</w:t>
      </w:r>
      <w:r w:rsidR="000A2B2C">
        <w:rPr>
          <w:sz w:val="18"/>
          <w:szCs w:val="18"/>
        </w:rPr>
        <w:t>,</w:t>
      </w:r>
      <w:r w:rsidR="00962108">
        <w:rPr>
          <w:sz w:val="18"/>
          <w:szCs w:val="18"/>
        </w:rPr>
        <w:t xml:space="preserve"> </w:t>
      </w:r>
      <w:r w:rsidR="00962108" w:rsidRPr="00962108">
        <w:rPr>
          <w:sz w:val="18"/>
          <w:szCs w:val="18"/>
        </w:rPr>
        <w:t>CHOICE,</w:t>
      </w:r>
      <w:r w:rsidR="000A2B2C">
        <w:rPr>
          <w:sz w:val="18"/>
          <w:szCs w:val="18"/>
        </w:rPr>
        <w:t xml:space="preserve"> </w:t>
      </w:r>
      <w:r w:rsidR="000A2B2C" w:rsidRPr="00962108">
        <w:rPr>
          <w:sz w:val="18"/>
          <w:szCs w:val="18"/>
        </w:rPr>
        <w:t>Consumer Credit Legal Service (WA)</w:t>
      </w:r>
      <w:r w:rsidR="000A2B2C">
        <w:rPr>
          <w:sz w:val="18"/>
          <w:szCs w:val="18"/>
        </w:rPr>
        <w:t>/</w:t>
      </w:r>
      <w:r w:rsidR="000A2B2C" w:rsidRPr="00962108">
        <w:rPr>
          <w:sz w:val="18"/>
          <w:szCs w:val="18"/>
        </w:rPr>
        <w:t>WA Consumer Advocacy Network</w:t>
      </w:r>
      <w:r w:rsidR="000A2B2C">
        <w:rPr>
          <w:sz w:val="18"/>
          <w:szCs w:val="18"/>
        </w:rPr>
        <w:t>, Consumers’ Federation of Australia,</w:t>
      </w:r>
      <w:r w:rsidR="00310160">
        <w:rPr>
          <w:sz w:val="18"/>
          <w:szCs w:val="18"/>
        </w:rPr>
        <w:t xml:space="preserve"> Energy Consumers Australia,</w:t>
      </w:r>
      <w:r w:rsidR="00874D19">
        <w:rPr>
          <w:sz w:val="18"/>
          <w:szCs w:val="18"/>
        </w:rPr>
        <w:t xml:space="preserve"> Financial Counselling Australia,</w:t>
      </w:r>
      <w:r w:rsidR="00C30A64">
        <w:rPr>
          <w:sz w:val="18"/>
          <w:szCs w:val="18"/>
        </w:rPr>
        <w:t xml:space="preserve"> Financial Rights Legal Centre, Mob Strong Debt Help, Mortgage Street Victoria, QLD Consumers Association, </w:t>
      </w:r>
      <w:r w:rsidR="008378AC">
        <w:rPr>
          <w:sz w:val="18"/>
          <w:szCs w:val="18"/>
        </w:rPr>
        <w:t>Redfern Legal Centre, Super</w:t>
      </w:r>
      <w:r w:rsidR="00CA2FDE">
        <w:rPr>
          <w:sz w:val="18"/>
          <w:szCs w:val="18"/>
        </w:rPr>
        <w:t xml:space="preserve"> Consumers,</w:t>
      </w:r>
      <w:r w:rsidR="00962108" w:rsidRPr="00962108">
        <w:rPr>
          <w:sz w:val="18"/>
          <w:szCs w:val="18"/>
        </w:rPr>
        <w:t xml:space="preserve"> Westjustice</w:t>
      </w:r>
      <w:r w:rsidR="009C1424">
        <w:rPr>
          <w:sz w:val="18"/>
          <w:szCs w:val="18"/>
        </w:rPr>
        <w:t>.</w:t>
      </w:r>
      <w:r w:rsidR="00962108" w:rsidRPr="00962108">
        <w:rPr>
          <w:sz w:val="18"/>
          <w:szCs w:val="18"/>
        </w:rPr>
        <w:t xml:space="preserve"> </w:t>
      </w:r>
    </w:p>
  </w:footnote>
  <w:footnote w:id="31">
    <w:p w14:paraId="5C902A8D"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15.</w:t>
      </w:r>
    </w:p>
  </w:footnote>
  <w:footnote w:id="32">
    <w:p w14:paraId="21BD5DF5"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Telecommunications Industry Ombudsman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5. </w:t>
      </w:r>
    </w:p>
  </w:footnote>
  <w:footnote w:id="33">
    <w:p w14:paraId="78CA47B5" w14:textId="037FD6D1"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sidRPr="00D13672">
        <w:rPr>
          <w:sz w:val="18"/>
          <w:szCs w:val="18"/>
        </w:rPr>
        <w:t xml:space="preserve">Kantar Public, </w:t>
      </w:r>
      <w:r w:rsidRPr="006045E2">
        <w:rPr>
          <w:i/>
          <w:sz w:val="18"/>
          <w:szCs w:val="18"/>
        </w:rPr>
        <w:t>Australian Consumer Survey 2023 - Final Report</w:t>
      </w:r>
      <w:r w:rsidR="00061523">
        <w:rPr>
          <w:sz w:val="18"/>
          <w:szCs w:val="18"/>
        </w:rPr>
        <w:t>,</w:t>
      </w:r>
      <w:r>
        <w:rPr>
          <w:sz w:val="18"/>
          <w:szCs w:val="18"/>
        </w:rPr>
        <w:t xml:space="preserve"> p. 79.</w:t>
      </w:r>
    </w:p>
  </w:footnote>
  <w:footnote w:id="34">
    <w:p w14:paraId="032DE471" w14:textId="2EF1511A"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Pr>
          <w:sz w:val="18"/>
          <w:szCs w:val="18"/>
        </w:rPr>
        <w:t>Consumer Policy Research Centre</w:t>
      </w:r>
      <w:r w:rsidR="00061523">
        <w:rPr>
          <w:sz w:val="18"/>
          <w:szCs w:val="18"/>
        </w:rPr>
        <w:t>,</w:t>
      </w:r>
      <w:r w:rsidRPr="0081728B">
        <w:rPr>
          <w:sz w:val="18"/>
          <w:szCs w:val="18"/>
        </w:rPr>
        <w:t xml:space="preserve"> </w:t>
      </w:r>
      <w:hyperlink r:id="rId21" w:history="1">
        <w:r w:rsidRPr="002E742D">
          <w:rPr>
            <w:rStyle w:val="Hyperlink"/>
            <w:i/>
            <w:sz w:val="18"/>
            <w:szCs w:val="18"/>
          </w:rPr>
          <w:t>Let me out - Subscription trap practices in Australia</w:t>
        </w:r>
      </w:hyperlink>
      <w:r w:rsidRPr="0081728B">
        <w:rPr>
          <w:sz w:val="18"/>
          <w:szCs w:val="18"/>
        </w:rPr>
        <w:t xml:space="preserve">, </w:t>
      </w:r>
      <w:r w:rsidR="00061523">
        <w:rPr>
          <w:sz w:val="18"/>
          <w:szCs w:val="18"/>
        </w:rPr>
        <w:t xml:space="preserve">CPRC, </w:t>
      </w:r>
      <w:r w:rsidR="00C84C3A">
        <w:rPr>
          <w:sz w:val="18"/>
          <w:szCs w:val="18"/>
        </w:rPr>
        <w:t>2024,</w:t>
      </w:r>
      <w:r w:rsidRPr="0081728B">
        <w:rPr>
          <w:sz w:val="18"/>
          <w:szCs w:val="18"/>
        </w:rPr>
        <w:t xml:space="preserve"> </w:t>
      </w:r>
      <w:r>
        <w:rPr>
          <w:sz w:val="18"/>
          <w:szCs w:val="18"/>
        </w:rPr>
        <w:t>p. 4.</w:t>
      </w:r>
    </w:p>
  </w:footnote>
  <w:footnote w:id="35">
    <w:p w14:paraId="12A175EE" w14:textId="3F03FD27" w:rsidR="00406CD0" w:rsidRDefault="00406CD0" w:rsidP="00406CD0">
      <w:pPr>
        <w:pStyle w:val="FootnoteText"/>
      </w:pPr>
      <w:r>
        <w:rPr>
          <w:rStyle w:val="FootnoteReference"/>
          <w:rFonts w:eastAsiaTheme="majorEastAsia"/>
        </w:rPr>
        <w:footnoteRef/>
      </w:r>
      <w:r>
        <w:t xml:space="preserve"> </w:t>
      </w:r>
      <w:r w:rsidR="00C84C3A">
        <w:rPr>
          <w:sz w:val="18"/>
          <w:szCs w:val="18"/>
        </w:rPr>
        <w:t>CPRC,</w:t>
      </w:r>
      <w:r w:rsidR="00921617">
        <w:rPr>
          <w:sz w:val="18"/>
          <w:szCs w:val="18"/>
        </w:rPr>
        <w:t xml:space="preserve"> </w:t>
      </w:r>
      <w:r w:rsidR="00921617" w:rsidRPr="00921617">
        <w:rPr>
          <w:i/>
          <w:iCs/>
          <w:sz w:val="18"/>
          <w:szCs w:val="18"/>
        </w:rPr>
        <w:t>Let me out – Subscription trap practices in Australia</w:t>
      </w:r>
      <w:r w:rsidRPr="002E742D">
        <w:rPr>
          <w:sz w:val="18"/>
          <w:szCs w:val="18"/>
        </w:rPr>
        <w:t>, p.</w:t>
      </w:r>
      <w:r w:rsidR="00DF69BB">
        <w:rPr>
          <w:sz w:val="18"/>
          <w:szCs w:val="18"/>
        </w:rPr>
        <w:t xml:space="preserve"> </w:t>
      </w:r>
      <w:r w:rsidRPr="002E742D">
        <w:rPr>
          <w:sz w:val="18"/>
          <w:szCs w:val="18"/>
        </w:rPr>
        <w:t>6.</w:t>
      </w:r>
    </w:p>
  </w:footnote>
  <w:footnote w:id="36">
    <w:p w14:paraId="5735EBC0" w14:textId="4942F56C" w:rsidR="00406CD0" w:rsidRPr="00EC076C" w:rsidRDefault="00406CD0" w:rsidP="00406CD0">
      <w:pPr>
        <w:pStyle w:val="FootnoteText"/>
        <w:rPr>
          <w:sz w:val="18"/>
          <w:szCs w:val="18"/>
        </w:rPr>
      </w:pPr>
      <w:r>
        <w:rPr>
          <w:rStyle w:val="FootnoteReference"/>
        </w:rPr>
        <w:footnoteRef/>
      </w:r>
      <w:r w:rsidRPr="00EC076C">
        <w:rPr>
          <w:sz w:val="18"/>
          <w:szCs w:val="18"/>
        </w:rPr>
        <w:t xml:space="preserve"> Lonergan Research</w:t>
      </w:r>
      <w:r w:rsidR="00265DB1">
        <w:rPr>
          <w:sz w:val="18"/>
          <w:szCs w:val="18"/>
        </w:rPr>
        <w:t>,</w:t>
      </w:r>
      <w:r w:rsidRPr="00EC076C">
        <w:rPr>
          <w:sz w:val="18"/>
          <w:szCs w:val="18"/>
        </w:rPr>
        <w:t xml:space="preserve"> </w:t>
      </w:r>
      <w:hyperlink r:id="rId22" w:history="1">
        <w:r w:rsidRPr="002E742D">
          <w:rPr>
            <w:rStyle w:val="Hyperlink"/>
            <w:i/>
            <w:sz w:val="18"/>
            <w:szCs w:val="18"/>
          </w:rPr>
          <w:t>ACCC DPSI Consumer Survey Research Report</w:t>
        </w:r>
        <w:r w:rsidR="006213D6">
          <w:rPr>
            <w:rStyle w:val="Hyperlink"/>
            <w:i/>
            <w:sz w:val="18"/>
            <w:szCs w:val="18"/>
          </w:rPr>
          <w:t xml:space="preserve"> [PDF]</w:t>
        </w:r>
      </w:hyperlink>
      <w:r w:rsidRPr="00EC076C">
        <w:rPr>
          <w:sz w:val="18"/>
          <w:szCs w:val="18"/>
        </w:rPr>
        <w:t xml:space="preserve">, </w:t>
      </w:r>
      <w:r w:rsidR="00390ACB" w:rsidRPr="00D13672">
        <w:rPr>
          <w:sz w:val="18"/>
          <w:szCs w:val="18"/>
        </w:rPr>
        <w:t>report to the</w:t>
      </w:r>
      <w:r w:rsidR="00390ACB">
        <w:rPr>
          <w:sz w:val="18"/>
          <w:szCs w:val="18"/>
        </w:rPr>
        <w:t xml:space="preserve"> ACCC, </w:t>
      </w:r>
      <w:r w:rsidR="00265DB1">
        <w:rPr>
          <w:sz w:val="18"/>
          <w:szCs w:val="18"/>
        </w:rPr>
        <w:t xml:space="preserve">2025, </w:t>
      </w:r>
      <w:r w:rsidRPr="00EC076C">
        <w:rPr>
          <w:sz w:val="18"/>
          <w:szCs w:val="18"/>
        </w:rPr>
        <w:t>p. 57</w:t>
      </w:r>
      <w:r>
        <w:rPr>
          <w:sz w:val="18"/>
          <w:szCs w:val="18"/>
        </w:rPr>
        <w:t>.</w:t>
      </w:r>
    </w:p>
  </w:footnote>
  <w:footnote w:id="37">
    <w:p w14:paraId="4AA20FBF" w14:textId="34874FB7" w:rsidR="00406CD0" w:rsidRPr="00EC076C" w:rsidRDefault="00406CD0" w:rsidP="00406CD0">
      <w:pPr>
        <w:pStyle w:val="FootnoteText"/>
        <w:rPr>
          <w:sz w:val="18"/>
          <w:szCs w:val="18"/>
        </w:rPr>
      </w:pPr>
      <w:r>
        <w:rPr>
          <w:rStyle w:val="FootnoteReference"/>
        </w:rPr>
        <w:footnoteRef/>
      </w:r>
      <w:r w:rsidRPr="00EC076C">
        <w:rPr>
          <w:sz w:val="18"/>
          <w:szCs w:val="18"/>
        </w:rPr>
        <w:t xml:space="preserve"> </w:t>
      </w:r>
      <w:r w:rsidR="00390ACB" w:rsidRPr="00EC076C">
        <w:rPr>
          <w:sz w:val="18"/>
          <w:szCs w:val="18"/>
        </w:rPr>
        <w:t>Lonergan Research</w:t>
      </w:r>
      <w:r w:rsidR="00390ACB">
        <w:rPr>
          <w:sz w:val="18"/>
          <w:szCs w:val="18"/>
        </w:rPr>
        <w:t xml:space="preserve">, </w:t>
      </w:r>
      <w:r w:rsidR="00390ACB">
        <w:rPr>
          <w:i/>
          <w:iCs/>
          <w:sz w:val="18"/>
          <w:szCs w:val="18"/>
        </w:rPr>
        <w:t>ACCC DPSI Consumer Survey Research Report</w:t>
      </w:r>
      <w:r w:rsidRPr="00EC076C">
        <w:rPr>
          <w:sz w:val="18"/>
          <w:szCs w:val="18"/>
        </w:rPr>
        <w:t>, p.</w:t>
      </w:r>
      <w:r w:rsidR="00DF69BB">
        <w:rPr>
          <w:sz w:val="18"/>
          <w:szCs w:val="18"/>
        </w:rPr>
        <w:t xml:space="preserve"> </w:t>
      </w:r>
      <w:r w:rsidRPr="00EC076C">
        <w:rPr>
          <w:sz w:val="18"/>
          <w:szCs w:val="18"/>
        </w:rPr>
        <w:t>83.</w:t>
      </w:r>
    </w:p>
  </w:footnote>
  <w:footnote w:id="38">
    <w:p w14:paraId="4642FAE9" w14:textId="0CA40934"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Pr>
          <w:sz w:val="18"/>
          <w:szCs w:val="18"/>
        </w:rPr>
        <w:t>Competition and Markets Authority</w:t>
      </w:r>
      <w:r w:rsidRPr="0081728B">
        <w:rPr>
          <w:sz w:val="18"/>
          <w:szCs w:val="18"/>
        </w:rPr>
        <w:t xml:space="preserve">, </w:t>
      </w:r>
      <w:hyperlink r:id="rId23" w:history="1">
        <w:r w:rsidRPr="007D21E8">
          <w:rPr>
            <w:rStyle w:val="Hyperlink"/>
            <w:i/>
            <w:iCs/>
            <w:sz w:val="18"/>
            <w:szCs w:val="18"/>
          </w:rPr>
          <w:t>7 out of 10 people have experienced potential rip-offs online, worrying new CMA research reveals</w:t>
        </w:r>
      </w:hyperlink>
      <w:r w:rsidR="00DF69BB">
        <w:rPr>
          <w:i/>
          <w:iCs/>
          <w:sz w:val="18"/>
          <w:szCs w:val="18"/>
        </w:rPr>
        <w:t xml:space="preserve"> </w:t>
      </w:r>
      <w:r>
        <w:rPr>
          <w:sz w:val="18"/>
          <w:szCs w:val="18"/>
        </w:rPr>
        <w:t>[press release], UK Government</w:t>
      </w:r>
      <w:r w:rsidR="00077FA3">
        <w:rPr>
          <w:sz w:val="18"/>
          <w:szCs w:val="18"/>
        </w:rPr>
        <w:t xml:space="preserve">, 9 </w:t>
      </w:r>
      <w:r w:rsidR="00FE6A8F">
        <w:rPr>
          <w:sz w:val="18"/>
          <w:szCs w:val="18"/>
        </w:rPr>
        <w:t>February</w:t>
      </w:r>
      <w:r w:rsidR="00077FA3">
        <w:rPr>
          <w:sz w:val="18"/>
          <w:szCs w:val="18"/>
        </w:rPr>
        <w:t xml:space="preserve"> 2022, accessed </w:t>
      </w:r>
      <w:r w:rsidR="00C92294">
        <w:rPr>
          <w:sz w:val="18"/>
          <w:szCs w:val="18"/>
        </w:rPr>
        <w:t>11 July 202</w:t>
      </w:r>
      <w:r w:rsidR="00FE6A8F">
        <w:rPr>
          <w:sz w:val="18"/>
          <w:szCs w:val="18"/>
        </w:rPr>
        <w:t>25</w:t>
      </w:r>
      <w:r w:rsidRPr="0081728B">
        <w:rPr>
          <w:sz w:val="18"/>
          <w:szCs w:val="18"/>
        </w:rPr>
        <w:t xml:space="preserve">. In this </w:t>
      </w:r>
      <w:r>
        <w:rPr>
          <w:sz w:val="18"/>
          <w:szCs w:val="18"/>
        </w:rPr>
        <w:t>press release</w:t>
      </w:r>
      <w:r w:rsidRPr="0081728B">
        <w:rPr>
          <w:sz w:val="18"/>
          <w:szCs w:val="18"/>
        </w:rPr>
        <w:t>,</w:t>
      </w:r>
      <w:r w:rsidRPr="0081728B">
        <w:rPr>
          <w:i/>
          <w:iCs/>
          <w:sz w:val="18"/>
          <w:szCs w:val="18"/>
        </w:rPr>
        <w:t xml:space="preserve"> “</w:t>
      </w:r>
      <w:r w:rsidRPr="0081728B">
        <w:rPr>
          <w:sz w:val="18"/>
          <w:szCs w:val="18"/>
        </w:rPr>
        <w:t>subscription trap” was defined as misleading a customer into signing up to, and paying for, an unwanted subscription that can be difficult to cancel.</w:t>
      </w:r>
    </w:p>
  </w:footnote>
  <w:footnote w:id="39">
    <w:p w14:paraId="12A0A566" w14:textId="5CA5729B"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Citizens Advice, </w:t>
      </w:r>
      <w:hyperlink r:id="rId24" w:anchor=":~:text=New%20research%20from%20Citizens%20Advice,pet%20food%20to%20magazine%20subscriptions." w:history="1">
        <w:r w:rsidRPr="0081728B">
          <w:rPr>
            <w:rStyle w:val="Hyperlink"/>
            <w:i/>
            <w:iCs/>
            <w:sz w:val="18"/>
            <w:szCs w:val="18"/>
          </w:rPr>
          <w:t>Consumers spend £688 million on unused subscriptions in the last year</w:t>
        </w:r>
      </w:hyperlink>
      <w:r w:rsidR="007139DF">
        <w:t xml:space="preserve">, </w:t>
      </w:r>
      <w:r w:rsidR="007139DF">
        <w:rPr>
          <w:sz w:val="18"/>
          <w:szCs w:val="18"/>
        </w:rPr>
        <w:t xml:space="preserve">Citizens Advice, </w:t>
      </w:r>
      <w:r w:rsidR="00D65EC6">
        <w:rPr>
          <w:sz w:val="18"/>
          <w:szCs w:val="18"/>
        </w:rPr>
        <w:t xml:space="preserve">8 March </w:t>
      </w:r>
      <w:r w:rsidR="00F646F8">
        <w:rPr>
          <w:sz w:val="18"/>
          <w:szCs w:val="18"/>
        </w:rPr>
        <w:t xml:space="preserve">2024, </w:t>
      </w:r>
      <w:r w:rsidR="00D65EC6">
        <w:rPr>
          <w:sz w:val="18"/>
          <w:szCs w:val="18"/>
        </w:rPr>
        <w:t xml:space="preserve">accessed 11 July 2025. </w:t>
      </w:r>
    </w:p>
  </w:footnote>
  <w:footnote w:id="40">
    <w:p w14:paraId="37F5EAFC" w14:textId="4603E46D"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ING Australia</w:t>
      </w:r>
      <w:r>
        <w:rPr>
          <w:sz w:val="18"/>
          <w:szCs w:val="18"/>
        </w:rPr>
        <w:t>,</w:t>
      </w:r>
      <w:r w:rsidRPr="0081728B">
        <w:rPr>
          <w:sz w:val="18"/>
          <w:szCs w:val="18"/>
        </w:rPr>
        <w:t xml:space="preserve"> </w:t>
      </w:r>
      <w:hyperlink r:id="rId25" w:history="1">
        <w:r w:rsidRPr="0081728B">
          <w:rPr>
            <w:rStyle w:val="Hyperlink"/>
            <w:i/>
            <w:iCs/>
            <w:sz w:val="18"/>
            <w:szCs w:val="18"/>
          </w:rPr>
          <w:t>Unused subscriptions and forgotten outgoings could cost each Aussie up to $1,261 a year</w:t>
        </w:r>
      </w:hyperlink>
      <w:r w:rsidRPr="0081728B">
        <w:rPr>
          <w:sz w:val="18"/>
          <w:szCs w:val="18"/>
        </w:rPr>
        <w:t xml:space="preserve">, </w:t>
      </w:r>
      <w:r>
        <w:rPr>
          <w:sz w:val="18"/>
          <w:szCs w:val="18"/>
        </w:rPr>
        <w:t>ING Newsroom</w:t>
      </w:r>
      <w:r w:rsidR="00AB6705">
        <w:rPr>
          <w:sz w:val="18"/>
          <w:szCs w:val="18"/>
        </w:rPr>
        <w:t>, 30 January 2023, accessed 11 July 2025</w:t>
      </w:r>
      <w:r>
        <w:rPr>
          <w:sz w:val="18"/>
          <w:szCs w:val="18"/>
        </w:rPr>
        <w:t>.</w:t>
      </w:r>
      <w:r w:rsidRPr="0081728B">
        <w:rPr>
          <w:sz w:val="18"/>
          <w:szCs w:val="18"/>
        </w:rPr>
        <w:t xml:space="preserve"> Total sample size was 1</w:t>
      </w:r>
      <w:r w:rsidR="00DF69BB">
        <w:rPr>
          <w:sz w:val="18"/>
          <w:szCs w:val="18"/>
        </w:rPr>
        <w:t>,</w:t>
      </w:r>
      <w:r w:rsidRPr="0081728B">
        <w:rPr>
          <w:sz w:val="18"/>
          <w:szCs w:val="18"/>
        </w:rPr>
        <w:t>075 Australians over the age of 18. Research based on ‘scheduled outgoing payments’ which is likely to be a broader category of products and services than subscription contract proposed to be in scope of the subscriptions.</w:t>
      </w:r>
    </w:p>
  </w:footnote>
  <w:footnote w:id="41">
    <w:p w14:paraId="70449079" w14:textId="7783E5E2" w:rsidR="00406CD0" w:rsidRPr="0081728B"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w:t>
      </w:r>
      <w:r w:rsidR="00094316">
        <w:rPr>
          <w:sz w:val="18"/>
          <w:szCs w:val="18"/>
        </w:rPr>
        <w:t>Department for Business and Trade</w:t>
      </w:r>
      <w:r w:rsidR="00E41057">
        <w:rPr>
          <w:sz w:val="18"/>
          <w:szCs w:val="18"/>
        </w:rPr>
        <w:t xml:space="preserve"> (U</w:t>
      </w:r>
      <w:r w:rsidR="00A01BDA">
        <w:rPr>
          <w:sz w:val="18"/>
          <w:szCs w:val="18"/>
        </w:rPr>
        <w:t>nited Kingdom</w:t>
      </w:r>
      <w:r w:rsidR="00E41057">
        <w:rPr>
          <w:sz w:val="18"/>
          <w:szCs w:val="18"/>
        </w:rPr>
        <w:t>) (DBT UK)</w:t>
      </w:r>
      <w:r w:rsidRPr="0081728B">
        <w:rPr>
          <w:sz w:val="18"/>
          <w:szCs w:val="18"/>
        </w:rPr>
        <w:t xml:space="preserve">, </w:t>
      </w:r>
      <w:hyperlink r:id="rId26" w:history="1">
        <w:r w:rsidRPr="00A178D0">
          <w:rPr>
            <w:rStyle w:val="Hyperlink"/>
            <w:i/>
            <w:sz w:val="18"/>
            <w:szCs w:val="18"/>
          </w:rPr>
          <w:t>Impact Assessment for the Digital Markets, Competition and Consumers Act</w:t>
        </w:r>
        <w:r w:rsidRPr="00A178D0">
          <w:rPr>
            <w:rStyle w:val="Hyperlink"/>
            <w:i/>
            <w:iCs/>
            <w:sz w:val="18"/>
            <w:szCs w:val="18"/>
          </w:rPr>
          <w:t>: Subscription traps: annex 2 impact assessment</w:t>
        </w:r>
      </w:hyperlink>
      <w:r>
        <w:rPr>
          <w:sz w:val="18"/>
          <w:szCs w:val="18"/>
        </w:rPr>
        <w:t xml:space="preserve">, </w:t>
      </w:r>
      <w:r w:rsidR="000C39DE">
        <w:rPr>
          <w:sz w:val="18"/>
          <w:szCs w:val="18"/>
        </w:rPr>
        <w:t>UK Government</w:t>
      </w:r>
      <w:r>
        <w:rPr>
          <w:sz w:val="18"/>
          <w:szCs w:val="18"/>
        </w:rPr>
        <w:t xml:space="preserve">, </w:t>
      </w:r>
      <w:r w:rsidR="00FD3223">
        <w:rPr>
          <w:sz w:val="18"/>
          <w:szCs w:val="18"/>
        </w:rPr>
        <w:t>2023</w:t>
      </w:r>
      <w:r>
        <w:rPr>
          <w:sz w:val="18"/>
          <w:szCs w:val="18"/>
        </w:rPr>
        <w:t>, p.</w:t>
      </w:r>
      <w:r w:rsidR="00C01393">
        <w:rPr>
          <w:sz w:val="18"/>
          <w:szCs w:val="18"/>
        </w:rPr>
        <w:t xml:space="preserve"> </w:t>
      </w:r>
      <w:r>
        <w:rPr>
          <w:sz w:val="18"/>
          <w:szCs w:val="18"/>
        </w:rPr>
        <w:t>20.</w:t>
      </w:r>
    </w:p>
  </w:footnote>
  <w:footnote w:id="42">
    <w:p w14:paraId="11676460" w14:textId="14523951" w:rsidR="00406CD0" w:rsidRPr="00D13672" w:rsidRDefault="00406CD0" w:rsidP="00406CD0">
      <w:pPr>
        <w:pStyle w:val="FootnoteText"/>
        <w:ind w:left="170" w:hanging="170"/>
        <w:rPr>
          <w:sz w:val="18"/>
          <w:szCs w:val="18"/>
        </w:rPr>
      </w:pPr>
      <w:r w:rsidRPr="0081728B">
        <w:rPr>
          <w:rStyle w:val="FootnoteReference"/>
          <w:rFonts w:eastAsiaTheme="majorEastAsia"/>
          <w:szCs w:val="18"/>
        </w:rPr>
        <w:footnoteRef/>
      </w:r>
      <w:r w:rsidRPr="0081728B">
        <w:rPr>
          <w:sz w:val="18"/>
          <w:szCs w:val="18"/>
        </w:rPr>
        <w:t xml:space="preserve"> ING</w:t>
      </w:r>
      <w:r w:rsidR="00FD3223">
        <w:rPr>
          <w:sz w:val="18"/>
          <w:szCs w:val="18"/>
        </w:rPr>
        <w:t xml:space="preserve"> Australia, </w:t>
      </w:r>
      <w:r w:rsidR="00FD3223" w:rsidRPr="00FD3223">
        <w:rPr>
          <w:i/>
          <w:iCs/>
          <w:sz w:val="18"/>
          <w:szCs w:val="18"/>
        </w:rPr>
        <w:t>Unused subscriptions and forgotten outgoings could cost each Aussie up to $1,261 a year</w:t>
      </w:r>
      <w:r w:rsidR="00FD3223">
        <w:rPr>
          <w:i/>
          <w:iCs/>
          <w:sz w:val="18"/>
          <w:szCs w:val="18"/>
        </w:rPr>
        <w:t xml:space="preserve">. </w:t>
      </w:r>
      <w:r w:rsidR="00FD3223">
        <w:rPr>
          <w:sz w:val="18"/>
          <w:szCs w:val="18"/>
        </w:rPr>
        <w:t>The</w:t>
      </w:r>
      <w:r w:rsidRPr="0081728B">
        <w:rPr>
          <w:sz w:val="18"/>
          <w:szCs w:val="18"/>
        </w:rPr>
        <w:t xml:space="preserve"> research cited above found 56% of respondents with outgoing payments continue to sign up to new subscriptions, spending an additional $48 per month on average in 2022.</w:t>
      </w:r>
    </w:p>
  </w:footnote>
  <w:footnote w:id="43">
    <w:p w14:paraId="6D9C24F0" w14:textId="458C329B" w:rsidR="00F61A29" w:rsidRPr="00DA5449" w:rsidRDefault="00F61A29" w:rsidP="00CC3462">
      <w:pPr>
        <w:pStyle w:val="FootnoteText"/>
        <w:ind w:left="170" w:hanging="170"/>
        <w:rPr>
          <w:sz w:val="18"/>
          <w:szCs w:val="18"/>
        </w:rPr>
      </w:pPr>
      <w:r>
        <w:rPr>
          <w:rStyle w:val="FootnoteReference"/>
        </w:rPr>
        <w:footnoteRef/>
      </w:r>
      <w:r>
        <w:t xml:space="preserve"> </w:t>
      </w:r>
      <w:r w:rsidR="008A2635" w:rsidRPr="00DA5449">
        <w:rPr>
          <w:sz w:val="18"/>
          <w:szCs w:val="18"/>
        </w:rPr>
        <w:t xml:space="preserve">Such as </w:t>
      </w:r>
      <w:r w:rsidR="004725D1" w:rsidRPr="00DA5449">
        <w:rPr>
          <w:sz w:val="18"/>
          <w:szCs w:val="18"/>
        </w:rPr>
        <w:t xml:space="preserve">the requirement in </w:t>
      </w:r>
      <w:r w:rsidR="008A2635" w:rsidRPr="00DA5449">
        <w:rPr>
          <w:sz w:val="18"/>
          <w:szCs w:val="18"/>
        </w:rPr>
        <w:t xml:space="preserve">section 48 of the ACL </w:t>
      </w:r>
      <w:r w:rsidR="004725D1" w:rsidRPr="00DA5449">
        <w:rPr>
          <w:sz w:val="18"/>
          <w:szCs w:val="18"/>
        </w:rPr>
        <w:t xml:space="preserve">that a </w:t>
      </w:r>
      <w:r w:rsidR="00971354" w:rsidRPr="00DA5449">
        <w:rPr>
          <w:sz w:val="18"/>
          <w:szCs w:val="18"/>
        </w:rPr>
        <w:t xml:space="preserve">business </w:t>
      </w:r>
      <w:r w:rsidR="004725D1" w:rsidRPr="00DA5449">
        <w:rPr>
          <w:sz w:val="18"/>
          <w:szCs w:val="18"/>
        </w:rPr>
        <w:t xml:space="preserve">not </w:t>
      </w:r>
      <w:r w:rsidR="007C086A" w:rsidRPr="00DA5449">
        <w:rPr>
          <w:sz w:val="18"/>
          <w:szCs w:val="18"/>
        </w:rPr>
        <w:t xml:space="preserve">represent </w:t>
      </w:r>
      <w:r w:rsidR="00971354" w:rsidRPr="00DA5449">
        <w:rPr>
          <w:sz w:val="18"/>
          <w:szCs w:val="18"/>
        </w:rPr>
        <w:t>part of the price for a good or service without also disclosing the minimum quantifiable price, at least as prominently.</w:t>
      </w:r>
    </w:p>
  </w:footnote>
  <w:footnote w:id="44">
    <w:p w14:paraId="7EFB5B86" w14:textId="240C8C96" w:rsidR="001B3525" w:rsidRPr="00D13672" w:rsidRDefault="001B3525" w:rsidP="001B3525">
      <w:pPr>
        <w:spacing w:before="0" w:after="0"/>
        <w:ind w:left="170" w:hanging="170"/>
        <w:rPr>
          <w:sz w:val="18"/>
          <w:szCs w:val="18"/>
        </w:rPr>
      </w:pPr>
      <w:r w:rsidRPr="00D13672">
        <w:rPr>
          <w:rStyle w:val="FootnoteReference"/>
          <w:rFonts w:eastAsia="Calibri Light" w:cs="Calibri Light"/>
          <w:szCs w:val="18"/>
        </w:rPr>
        <w:footnoteRef/>
      </w:r>
      <w:r w:rsidRPr="00D13672">
        <w:rPr>
          <w:rFonts w:eastAsia="Calibri Light" w:cs="Calibri Light"/>
          <w:sz w:val="18"/>
          <w:szCs w:val="18"/>
        </w:rPr>
        <w:t xml:space="preserve"> ACCC submission to the </w:t>
      </w:r>
      <w:r>
        <w:rPr>
          <w:rFonts w:eastAsia="Calibri Light" w:cs="Calibri Light"/>
          <w:sz w:val="18"/>
          <w:szCs w:val="18"/>
        </w:rPr>
        <w:t>S</w:t>
      </w:r>
      <w:r w:rsidRPr="00D13672">
        <w:rPr>
          <w:rFonts w:eastAsia="Calibri Light" w:cs="Calibri Light"/>
          <w:sz w:val="18"/>
          <w:szCs w:val="18"/>
        </w:rPr>
        <w:t xml:space="preserve">upplementary </w:t>
      </w:r>
      <w:r>
        <w:rPr>
          <w:rFonts w:eastAsia="Calibri Light" w:cs="Calibri Light"/>
          <w:sz w:val="18"/>
          <w:szCs w:val="18"/>
        </w:rPr>
        <w:t>C</w:t>
      </w:r>
      <w:r w:rsidRPr="00D13672">
        <w:rPr>
          <w:rFonts w:eastAsia="Calibri Light" w:cs="Calibri Light"/>
          <w:sz w:val="18"/>
          <w:szCs w:val="18"/>
        </w:rPr>
        <w:t>onsultation, p.</w:t>
      </w:r>
      <w:r w:rsidR="004121ED">
        <w:rPr>
          <w:rFonts w:eastAsia="Calibri Light" w:cs="Calibri Light"/>
          <w:sz w:val="18"/>
          <w:szCs w:val="18"/>
        </w:rPr>
        <w:t xml:space="preserve"> </w:t>
      </w:r>
      <w:r w:rsidRPr="00D13672">
        <w:rPr>
          <w:rFonts w:eastAsia="Calibri Light" w:cs="Calibri Light"/>
          <w:sz w:val="18"/>
          <w:szCs w:val="18"/>
        </w:rPr>
        <w:t>20; referencing Daniel Kahneman and Amos Tversky, ‘Prospect theory: analysis of decision under risk’</w:t>
      </w:r>
      <w:r w:rsidR="001C12FE">
        <w:rPr>
          <w:rFonts w:eastAsia="Calibri Light" w:cs="Calibri Light"/>
          <w:sz w:val="18"/>
          <w:szCs w:val="18"/>
        </w:rPr>
        <w:t>,</w:t>
      </w:r>
      <w:r w:rsidRPr="00D13672">
        <w:rPr>
          <w:rFonts w:eastAsia="Calibri Light" w:cs="Calibri Light"/>
          <w:sz w:val="18"/>
          <w:szCs w:val="18"/>
        </w:rPr>
        <w:t xml:space="preserve"> </w:t>
      </w:r>
      <w:r w:rsidRPr="00D13672">
        <w:rPr>
          <w:rFonts w:eastAsia="Calibri Light" w:cs="Calibri Light"/>
          <w:i/>
          <w:sz w:val="18"/>
          <w:szCs w:val="18"/>
        </w:rPr>
        <w:t>Econometrica</w:t>
      </w:r>
      <w:r w:rsidR="001C12FE">
        <w:rPr>
          <w:rFonts w:eastAsia="Calibri Light" w:cs="Calibri Light"/>
          <w:i/>
          <w:sz w:val="18"/>
          <w:szCs w:val="18"/>
        </w:rPr>
        <w:t xml:space="preserve">, </w:t>
      </w:r>
      <w:r w:rsidR="001C12FE">
        <w:rPr>
          <w:rFonts w:eastAsia="Calibri Light" w:cs="Calibri Light"/>
          <w:iCs/>
          <w:sz w:val="18"/>
          <w:szCs w:val="18"/>
        </w:rPr>
        <w:t>1979</w:t>
      </w:r>
      <w:r w:rsidRPr="00D13672">
        <w:rPr>
          <w:rFonts w:eastAsia="Calibri Light" w:cs="Calibri Light"/>
          <w:sz w:val="18"/>
          <w:szCs w:val="18"/>
        </w:rPr>
        <w:t>; Brendan Markey-Towler, ‘Explainer: what is loss aversion and is it real?’</w:t>
      </w:r>
      <w:r w:rsidR="00F957FA">
        <w:rPr>
          <w:rFonts w:eastAsia="Calibri Light" w:cs="Calibri Light"/>
          <w:sz w:val="18"/>
          <w:szCs w:val="18"/>
        </w:rPr>
        <w:t>,</w:t>
      </w:r>
      <w:r w:rsidRPr="00D13672">
        <w:rPr>
          <w:rFonts w:eastAsia="Calibri Light" w:cs="Calibri Light"/>
          <w:sz w:val="18"/>
          <w:szCs w:val="18"/>
        </w:rPr>
        <w:t xml:space="preserve"> </w:t>
      </w:r>
      <w:r w:rsidRPr="00D13672">
        <w:rPr>
          <w:rFonts w:eastAsia="Calibri Light" w:cs="Calibri Light"/>
          <w:i/>
          <w:sz w:val="18"/>
          <w:szCs w:val="18"/>
        </w:rPr>
        <w:t>The Conversation</w:t>
      </w:r>
      <w:r w:rsidR="008E3902">
        <w:rPr>
          <w:rFonts w:eastAsia="Calibri Light" w:cs="Calibri Light"/>
          <w:i/>
          <w:sz w:val="18"/>
          <w:szCs w:val="18"/>
        </w:rPr>
        <w:t xml:space="preserve">, </w:t>
      </w:r>
      <w:r w:rsidR="006848B3" w:rsidRPr="006848B3">
        <w:rPr>
          <w:rFonts w:eastAsia="Calibri Light" w:cs="Calibri Light"/>
          <w:iCs/>
          <w:sz w:val="18"/>
          <w:szCs w:val="18"/>
        </w:rPr>
        <w:t>21 August 2018</w:t>
      </w:r>
      <w:r w:rsidRPr="00D13672">
        <w:rPr>
          <w:rFonts w:eastAsia="Calibri Light" w:cs="Calibri Light"/>
          <w:sz w:val="18"/>
          <w:szCs w:val="18"/>
        </w:rPr>
        <w:t>.</w:t>
      </w:r>
    </w:p>
  </w:footnote>
  <w:footnote w:id="45">
    <w:p w14:paraId="0BF32E4D" w14:textId="51A6B880" w:rsidR="001B3525" w:rsidRPr="00D13672" w:rsidRDefault="001B3525" w:rsidP="001B3525">
      <w:pPr>
        <w:spacing w:before="0" w:after="0"/>
        <w:ind w:left="170" w:hanging="170"/>
        <w:rPr>
          <w:sz w:val="18"/>
          <w:szCs w:val="18"/>
        </w:rPr>
      </w:pPr>
      <w:r w:rsidRPr="00D13672">
        <w:rPr>
          <w:rStyle w:val="FootnoteReference"/>
          <w:rFonts w:eastAsia="Calibri Light" w:cs="Calibri Light"/>
          <w:szCs w:val="18"/>
        </w:rPr>
        <w:footnoteRef/>
      </w:r>
      <w:r w:rsidRPr="00D13672">
        <w:rPr>
          <w:rFonts w:eastAsia="Calibri Light" w:cs="Calibri Light"/>
          <w:sz w:val="18"/>
          <w:szCs w:val="18"/>
        </w:rPr>
        <w:t xml:space="preserve"> ACCC submission to the </w:t>
      </w:r>
      <w:r>
        <w:rPr>
          <w:rFonts w:eastAsia="Calibri Light" w:cs="Calibri Light"/>
          <w:sz w:val="18"/>
          <w:szCs w:val="18"/>
        </w:rPr>
        <w:t>S</w:t>
      </w:r>
      <w:r w:rsidRPr="00D13672">
        <w:rPr>
          <w:rFonts w:eastAsia="Calibri Light" w:cs="Calibri Light"/>
          <w:sz w:val="18"/>
          <w:szCs w:val="18"/>
        </w:rPr>
        <w:t xml:space="preserve">upplementary </w:t>
      </w:r>
      <w:r>
        <w:rPr>
          <w:rFonts w:eastAsia="Calibri Light" w:cs="Calibri Light"/>
          <w:sz w:val="18"/>
          <w:szCs w:val="18"/>
        </w:rPr>
        <w:t>C</w:t>
      </w:r>
      <w:r w:rsidRPr="00D13672">
        <w:rPr>
          <w:rFonts w:eastAsia="Calibri Light" w:cs="Calibri Light"/>
          <w:sz w:val="18"/>
          <w:szCs w:val="18"/>
        </w:rPr>
        <w:t>onsultation, p.</w:t>
      </w:r>
      <w:r w:rsidR="004121ED">
        <w:rPr>
          <w:rFonts w:eastAsia="Calibri Light" w:cs="Calibri Light"/>
          <w:sz w:val="18"/>
          <w:szCs w:val="18"/>
        </w:rPr>
        <w:t xml:space="preserve"> </w:t>
      </w:r>
      <w:r w:rsidRPr="00D13672">
        <w:rPr>
          <w:rFonts w:eastAsia="Calibri Light" w:cs="Calibri Light"/>
          <w:sz w:val="18"/>
          <w:szCs w:val="18"/>
        </w:rPr>
        <w:t>20; referencing Ralf Steinhauser</w:t>
      </w:r>
      <w:r w:rsidR="006848B3">
        <w:rPr>
          <w:rFonts w:eastAsia="Calibri Light" w:cs="Calibri Light"/>
          <w:sz w:val="18"/>
          <w:szCs w:val="18"/>
        </w:rPr>
        <w:t>,</w:t>
      </w:r>
      <w:r w:rsidRPr="00D13672">
        <w:rPr>
          <w:rFonts w:eastAsia="Calibri Light" w:cs="Calibri Light"/>
          <w:sz w:val="18"/>
          <w:szCs w:val="18"/>
        </w:rPr>
        <w:t xml:space="preserve"> ‘Junk fees and drip pricing: underhanded tactics we hate yet still fall for’, </w:t>
      </w:r>
      <w:r w:rsidRPr="00D13672">
        <w:rPr>
          <w:rFonts w:eastAsia="Calibri Light" w:cs="Calibri Light"/>
          <w:i/>
          <w:sz w:val="18"/>
          <w:szCs w:val="18"/>
        </w:rPr>
        <w:t>The Conversation</w:t>
      </w:r>
      <w:r w:rsidR="006848B3">
        <w:rPr>
          <w:rFonts w:eastAsia="Calibri Light" w:cs="Calibri Light"/>
          <w:i/>
          <w:sz w:val="18"/>
          <w:szCs w:val="18"/>
        </w:rPr>
        <w:t xml:space="preserve">, </w:t>
      </w:r>
      <w:r w:rsidR="006848B3" w:rsidRPr="00D13672">
        <w:rPr>
          <w:rFonts w:eastAsia="Calibri Light" w:cs="Calibri Light"/>
          <w:sz w:val="18"/>
          <w:szCs w:val="18"/>
        </w:rPr>
        <w:t>2023</w:t>
      </w:r>
      <w:r w:rsidRPr="00D13672">
        <w:rPr>
          <w:rFonts w:eastAsia="Calibri Light" w:cs="Calibri Light"/>
          <w:sz w:val="18"/>
          <w:szCs w:val="18"/>
        </w:rPr>
        <w:t>.</w:t>
      </w:r>
    </w:p>
  </w:footnote>
  <w:footnote w:id="46">
    <w:p w14:paraId="0B43F4F3" w14:textId="7EA94684" w:rsidR="001B3525" w:rsidRPr="00D13672" w:rsidRDefault="001B3525" w:rsidP="001B3525">
      <w:pPr>
        <w:spacing w:before="0" w:after="0"/>
        <w:ind w:left="170" w:hanging="170"/>
        <w:rPr>
          <w:sz w:val="18"/>
          <w:szCs w:val="18"/>
        </w:rPr>
      </w:pPr>
      <w:r w:rsidRPr="00D13672">
        <w:rPr>
          <w:rStyle w:val="FootnoteReference"/>
          <w:rFonts w:eastAsiaTheme="majorEastAsia"/>
          <w:szCs w:val="18"/>
        </w:rPr>
        <w:footnoteRef/>
      </w:r>
      <w:r w:rsidRPr="00D13672">
        <w:rPr>
          <w:sz w:val="18"/>
          <w:szCs w:val="18"/>
        </w:rPr>
        <w:t xml:space="preserve"> Kantar Public</w:t>
      </w:r>
      <w:r w:rsidR="006848B3">
        <w:rPr>
          <w:sz w:val="18"/>
          <w:szCs w:val="18"/>
        </w:rPr>
        <w:t>,</w:t>
      </w:r>
      <w:r w:rsidRPr="00D13672">
        <w:rPr>
          <w:sz w:val="18"/>
          <w:szCs w:val="18"/>
        </w:rPr>
        <w:t xml:space="preserve"> </w:t>
      </w:r>
      <w:r w:rsidRPr="006848B3">
        <w:rPr>
          <w:i/>
          <w:sz w:val="18"/>
          <w:szCs w:val="18"/>
        </w:rPr>
        <w:t>Australian Consumer Survey 2023 - Final Report</w:t>
      </w:r>
      <w:r w:rsidRPr="00D13672">
        <w:rPr>
          <w:sz w:val="18"/>
          <w:szCs w:val="18"/>
        </w:rPr>
        <w:t>, p.</w:t>
      </w:r>
      <w:r w:rsidR="004121ED">
        <w:rPr>
          <w:sz w:val="18"/>
          <w:szCs w:val="18"/>
        </w:rPr>
        <w:t xml:space="preserve"> </w:t>
      </w:r>
      <w:r w:rsidRPr="00D13672">
        <w:rPr>
          <w:sz w:val="18"/>
          <w:szCs w:val="18"/>
        </w:rPr>
        <w:t xml:space="preserve">79. </w:t>
      </w:r>
    </w:p>
  </w:footnote>
  <w:footnote w:id="47">
    <w:p w14:paraId="4918D1DD" w14:textId="03D38A00" w:rsidR="001B3525" w:rsidRPr="00D13672" w:rsidRDefault="001B3525" w:rsidP="001B3525">
      <w:pPr>
        <w:spacing w:before="0" w:after="0"/>
        <w:ind w:left="170" w:hanging="170"/>
        <w:rPr>
          <w:sz w:val="18"/>
          <w:szCs w:val="18"/>
        </w:rPr>
      </w:pPr>
      <w:r w:rsidRPr="00D13672">
        <w:rPr>
          <w:rStyle w:val="FootnoteReference"/>
          <w:rFonts w:eastAsiaTheme="majorEastAsia"/>
          <w:szCs w:val="18"/>
        </w:rPr>
        <w:footnoteRef/>
      </w:r>
      <w:r w:rsidRPr="00D13672">
        <w:rPr>
          <w:rStyle w:val="FootnoteReference"/>
          <w:rFonts w:eastAsiaTheme="majorEastAsia"/>
          <w:szCs w:val="18"/>
        </w:rPr>
        <w:t xml:space="preserve"> </w:t>
      </w:r>
      <w:r w:rsidR="006848B3">
        <w:rPr>
          <w:rFonts w:eastAsiaTheme="majorEastAsia"/>
          <w:szCs w:val="18"/>
        </w:rPr>
        <w:t xml:space="preserve"> </w:t>
      </w:r>
      <w:r w:rsidRPr="00D13672">
        <w:rPr>
          <w:sz w:val="18"/>
          <w:szCs w:val="18"/>
        </w:rPr>
        <w:t xml:space="preserve">CMA, </w:t>
      </w:r>
      <w:hyperlink r:id="rId27" w:history="1">
        <w:r w:rsidRPr="00D13672">
          <w:rPr>
            <w:rStyle w:val="Hyperlink"/>
            <w:i/>
            <w:sz w:val="18"/>
            <w:szCs w:val="18"/>
          </w:rPr>
          <w:t>Online Choice Architecture: how digital design can harm competition and consumers - Discussion Paper,</w:t>
        </w:r>
      </w:hyperlink>
      <w:r w:rsidRPr="00D13672">
        <w:rPr>
          <w:i/>
          <w:sz w:val="18"/>
          <w:szCs w:val="18"/>
        </w:rPr>
        <w:t xml:space="preserve"> </w:t>
      </w:r>
      <w:r w:rsidR="00BC125B" w:rsidRPr="00BC125B">
        <w:rPr>
          <w:iCs/>
          <w:sz w:val="18"/>
          <w:szCs w:val="18"/>
        </w:rPr>
        <w:t xml:space="preserve">UK Government, </w:t>
      </w:r>
      <w:r w:rsidR="00BC125B" w:rsidRPr="00D13672">
        <w:rPr>
          <w:sz w:val="18"/>
          <w:szCs w:val="18"/>
        </w:rPr>
        <w:t>2022</w:t>
      </w:r>
      <w:r w:rsidR="00BC125B">
        <w:rPr>
          <w:sz w:val="18"/>
          <w:szCs w:val="18"/>
        </w:rPr>
        <w:t xml:space="preserve">, </w:t>
      </w:r>
      <w:r w:rsidRPr="00D13672">
        <w:rPr>
          <w:iCs/>
          <w:sz w:val="18"/>
          <w:szCs w:val="18"/>
        </w:rPr>
        <w:t>p.</w:t>
      </w:r>
      <w:r w:rsidR="00760BCB">
        <w:rPr>
          <w:iCs/>
          <w:sz w:val="18"/>
          <w:szCs w:val="18"/>
        </w:rPr>
        <w:t xml:space="preserve"> </w:t>
      </w:r>
      <w:r w:rsidRPr="00D13672">
        <w:rPr>
          <w:iCs/>
          <w:sz w:val="18"/>
          <w:szCs w:val="18"/>
        </w:rPr>
        <w:t>30; referencing Tom Blake, Sarah Moshary, Kane Sweeney and Steve Tadelis, ‘Price salience and product choice’</w:t>
      </w:r>
      <w:r w:rsidR="00BC125B">
        <w:rPr>
          <w:iCs/>
          <w:sz w:val="18"/>
          <w:szCs w:val="18"/>
        </w:rPr>
        <w:t>,</w:t>
      </w:r>
      <w:r w:rsidRPr="00D13672">
        <w:rPr>
          <w:iCs/>
          <w:sz w:val="18"/>
          <w:szCs w:val="18"/>
        </w:rPr>
        <w:t xml:space="preserve"> </w:t>
      </w:r>
      <w:r w:rsidRPr="00D13672">
        <w:rPr>
          <w:i/>
          <w:sz w:val="18"/>
          <w:szCs w:val="18"/>
        </w:rPr>
        <w:t>Marketing Science</w:t>
      </w:r>
      <w:r w:rsidR="00BC125B">
        <w:rPr>
          <w:i/>
          <w:sz w:val="18"/>
          <w:szCs w:val="18"/>
        </w:rPr>
        <w:t xml:space="preserve">, </w:t>
      </w:r>
      <w:r w:rsidR="00BC125B">
        <w:rPr>
          <w:iCs/>
          <w:sz w:val="18"/>
          <w:szCs w:val="18"/>
        </w:rPr>
        <w:t>2021</w:t>
      </w:r>
      <w:r w:rsidRPr="00D13672">
        <w:rPr>
          <w:iCs/>
          <w:sz w:val="18"/>
          <w:szCs w:val="18"/>
        </w:rPr>
        <w:t>; Marckus Dertwinkel-Kalt, Mats K</w:t>
      </w:r>
      <w:r w:rsidRPr="00D13672">
        <w:rPr>
          <w:rFonts w:cs="Calibri Light"/>
          <w:iCs/>
          <w:sz w:val="18"/>
          <w:szCs w:val="18"/>
        </w:rPr>
        <w:t>öster, Matthias Sutter, ‘</w:t>
      </w:r>
      <w:r w:rsidRPr="00B83874">
        <w:rPr>
          <w:rFonts w:cs="Calibri Light"/>
          <w:i/>
          <w:sz w:val="18"/>
          <w:szCs w:val="18"/>
        </w:rPr>
        <w:t>To buy or not to buy? Shrouding and partitioning of prices in an online shopping field experiment</w:t>
      </w:r>
      <w:r w:rsidR="003E784A">
        <w:rPr>
          <w:rFonts w:cs="Calibri Light"/>
          <w:i/>
          <w:sz w:val="18"/>
          <w:szCs w:val="18"/>
        </w:rPr>
        <w:t>’</w:t>
      </w:r>
      <w:r w:rsidR="00BC125B">
        <w:rPr>
          <w:rFonts w:cs="Calibri Light"/>
          <w:iCs/>
          <w:sz w:val="18"/>
          <w:szCs w:val="18"/>
        </w:rPr>
        <w:t xml:space="preserve">, </w:t>
      </w:r>
      <w:r w:rsidR="003E784A" w:rsidRPr="003E784A">
        <w:rPr>
          <w:rFonts w:cs="Calibri Light"/>
          <w:i/>
          <w:sz w:val="18"/>
          <w:szCs w:val="18"/>
        </w:rPr>
        <w:t>CESifo Working Paper 7475</w:t>
      </w:r>
      <w:r w:rsidR="003E784A">
        <w:rPr>
          <w:rFonts w:cs="Calibri Light"/>
          <w:iCs/>
          <w:sz w:val="18"/>
          <w:szCs w:val="18"/>
        </w:rPr>
        <w:t xml:space="preserve">, </w:t>
      </w:r>
      <w:r w:rsidR="00BC125B" w:rsidRPr="00D13672">
        <w:rPr>
          <w:rFonts w:cs="Calibri Light"/>
          <w:iCs/>
          <w:sz w:val="18"/>
          <w:szCs w:val="18"/>
        </w:rPr>
        <w:t>(2019)</w:t>
      </w:r>
      <w:r w:rsidRPr="00D13672">
        <w:rPr>
          <w:rFonts w:cs="Calibri Light"/>
          <w:iCs/>
          <w:sz w:val="18"/>
          <w:szCs w:val="18"/>
        </w:rPr>
        <w:t>; Steffen Huck and Brian Wallace</w:t>
      </w:r>
      <w:r w:rsidR="003E784A">
        <w:rPr>
          <w:rFonts w:cs="Calibri Light"/>
          <w:iCs/>
          <w:sz w:val="18"/>
          <w:szCs w:val="18"/>
        </w:rPr>
        <w:t>,</w:t>
      </w:r>
      <w:r w:rsidRPr="00D13672">
        <w:rPr>
          <w:rFonts w:cs="Calibri Light"/>
          <w:iCs/>
          <w:sz w:val="18"/>
          <w:szCs w:val="18"/>
        </w:rPr>
        <w:t xml:space="preserve"> ‘The impact of price frames on consumer decision making: experimental evidence’, </w:t>
      </w:r>
      <w:r w:rsidRPr="00D13672">
        <w:rPr>
          <w:rFonts w:cs="Calibri Light"/>
          <w:i/>
          <w:sz w:val="18"/>
          <w:szCs w:val="18"/>
        </w:rPr>
        <w:t>Experimental evidence</w:t>
      </w:r>
      <w:r w:rsidR="003E784A">
        <w:rPr>
          <w:rFonts w:cs="Calibri Light"/>
          <w:i/>
          <w:sz w:val="18"/>
          <w:szCs w:val="18"/>
        </w:rPr>
        <w:t xml:space="preserve">, </w:t>
      </w:r>
      <w:r w:rsidR="003E784A" w:rsidRPr="00D13672">
        <w:rPr>
          <w:rFonts w:cs="Calibri Light"/>
          <w:iCs/>
          <w:sz w:val="18"/>
          <w:szCs w:val="18"/>
        </w:rPr>
        <w:t>2015</w:t>
      </w:r>
      <w:r w:rsidRPr="00D13672">
        <w:rPr>
          <w:rFonts w:cs="Calibri Light"/>
          <w:iCs/>
          <w:sz w:val="18"/>
          <w:szCs w:val="18"/>
        </w:rPr>
        <w:t xml:space="preserve">; Thomas Robbert and Stefan Roth, ‘The flip side of drip pricing’, </w:t>
      </w:r>
      <w:r w:rsidRPr="00D13672">
        <w:rPr>
          <w:rFonts w:cs="Calibri Light"/>
          <w:i/>
          <w:sz w:val="18"/>
          <w:szCs w:val="18"/>
        </w:rPr>
        <w:t>Journal of Product &amp; Brand Management</w:t>
      </w:r>
      <w:r w:rsidR="000E1525">
        <w:rPr>
          <w:rFonts w:cs="Calibri Light"/>
          <w:i/>
          <w:sz w:val="18"/>
          <w:szCs w:val="18"/>
        </w:rPr>
        <w:t xml:space="preserve">, </w:t>
      </w:r>
      <w:r w:rsidR="000E1525" w:rsidRPr="00D13672">
        <w:rPr>
          <w:rFonts w:cs="Calibri Light"/>
          <w:iCs/>
          <w:sz w:val="18"/>
          <w:szCs w:val="18"/>
        </w:rPr>
        <w:t>2014</w:t>
      </w:r>
      <w:r w:rsidRPr="00D13672">
        <w:rPr>
          <w:rFonts w:cs="Calibri Light"/>
          <w:iCs/>
          <w:sz w:val="18"/>
          <w:szCs w:val="18"/>
        </w:rPr>
        <w:t xml:space="preserve">. </w:t>
      </w:r>
    </w:p>
  </w:footnote>
  <w:footnote w:id="48">
    <w:p w14:paraId="76ACBBB7" w14:textId="29766655" w:rsidR="006268F3" w:rsidRPr="00835162" w:rsidRDefault="006268F3">
      <w:pPr>
        <w:pStyle w:val="FootnoteText"/>
        <w:rPr>
          <w:sz w:val="18"/>
          <w:szCs w:val="18"/>
        </w:rPr>
      </w:pPr>
      <w:r>
        <w:rPr>
          <w:rStyle w:val="FootnoteReference"/>
        </w:rPr>
        <w:footnoteRef/>
      </w:r>
      <w:r>
        <w:t xml:space="preserve"> </w:t>
      </w:r>
      <w:r w:rsidR="00D83B8C">
        <w:rPr>
          <w:sz w:val="18"/>
          <w:szCs w:val="18"/>
        </w:rPr>
        <w:t xml:space="preserve">Blake et. al., </w:t>
      </w:r>
      <w:hyperlink r:id="rId28" w:history="1">
        <w:r w:rsidR="00F36960" w:rsidRPr="00835162">
          <w:rPr>
            <w:rStyle w:val="Hyperlink"/>
            <w:i/>
            <w:sz w:val="18"/>
            <w:szCs w:val="18"/>
          </w:rPr>
          <w:t>Price Salience and Product Choice</w:t>
        </w:r>
      </w:hyperlink>
      <w:r w:rsidR="00F36960">
        <w:rPr>
          <w:sz w:val="18"/>
          <w:szCs w:val="18"/>
        </w:rPr>
        <w:t xml:space="preserve">, Marketing Science, </w:t>
      </w:r>
      <w:r w:rsidR="000D11E1">
        <w:rPr>
          <w:sz w:val="18"/>
          <w:szCs w:val="18"/>
        </w:rPr>
        <w:t xml:space="preserve">2021, </w:t>
      </w:r>
      <w:r w:rsidR="000C67F4">
        <w:rPr>
          <w:sz w:val="18"/>
          <w:szCs w:val="18"/>
        </w:rPr>
        <w:t>40(</w:t>
      </w:r>
      <w:r w:rsidR="007163FE">
        <w:rPr>
          <w:sz w:val="18"/>
          <w:szCs w:val="18"/>
        </w:rPr>
        <w:t>4):</w:t>
      </w:r>
      <w:r w:rsidR="00DB4083">
        <w:rPr>
          <w:sz w:val="18"/>
          <w:szCs w:val="18"/>
        </w:rPr>
        <w:t>619-</w:t>
      </w:r>
      <w:r w:rsidR="00EC70E3">
        <w:rPr>
          <w:sz w:val="18"/>
          <w:szCs w:val="18"/>
        </w:rPr>
        <w:t>636</w:t>
      </w:r>
      <w:r w:rsidR="00C01097">
        <w:rPr>
          <w:sz w:val="18"/>
          <w:szCs w:val="18"/>
        </w:rPr>
        <w:t>,</w:t>
      </w:r>
      <w:r w:rsidR="000D11E1">
        <w:rPr>
          <w:sz w:val="18"/>
          <w:szCs w:val="18"/>
        </w:rPr>
        <w:t xml:space="preserve"> p. 620. </w:t>
      </w:r>
    </w:p>
  </w:footnote>
  <w:footnote w:id="49">
    <w:p w14:paraId="5837DEFB" w14:textId="329B4BA1" w:rsidR="001B3525" w:rsidRPr="00D13672" w:rsidRDefault="001B3525" w:rsidP="001B3525">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Alma Economics</w:t>
      </w:r>
      <w:r w:rsidR="000E1525">
        <w:rPr>
          <w:sz w:val="18"/>
          <w:szCs w:val="18"/>
        </w:rPr>
        <w:t>,</w:t>
      </w:r>
      <w:r w:rsidRPr="00D13672">
        <w:rPr>
          <w:sz w:val="18"/>
          <w:szCs w:val="18"/>
        </w:rPr>
        <w:t xml:space="preserve"> </w:t>
      </w:r>
      <w:hyperlink r:id="rId29" w:history="1">
        <w:r w:rsidRPr="00D13672">
          <w:rPr>
            <w:rStyle w:val="Hyperlink"/>
            <w:i/>
            <w:sz w:val="18"/>
            <w:szCs w:val="18"/>
          </w:rPr>
          <w:t>Estimating the prevalence and impact of online drip pricing</w:t>
        </w:r>
      </w:hyperlink>
      <w:r w:rsidRPr="00D13672">
        <w:rPr>
          <w:sz w:val="18"/>
          <w:szCs w:val="18"/>
        </w:rPr>
        <w:t xml:space="preserve">, report prepared for UK Department for Business and Trade, </w:t>
      </w:r>
      <w:r w:rsidR="000E1525" w:rsidRPr="00D13672">
        <w:rPr>
          <w:sz w:val="18"/>
          <w:szCs w:val="18"/>
        </w:rPr>
        <w:t>2023</w:t>
      </w:r>
      <w:r w:rsidR="000E1525">
        <w:rPr>
          <w:sz w:val="18"/>
          <w:szCs w:val="18"/>
        </w:rPr>
        <w:t xml:space="preserve">, </w:t>
      </w:r>
      <w:r w:rsidRPr="00D13672">
        <w:rPr>
          <w:sz w:val="18"/>
          <w:szCs w:val="18"/>
        </w:rPr>
        <w:t>p</w:t>
      </w:r>
      <w:r w:rsidR="0099032A">
        <w:rPr>
          <w:sz w:val="18"/>
          <w:szCs w:val="18"/>
        </w:rPr>
        <w:t>p</w:t>
      </w:r>
      <w:r w:rsidRPr="00D13672">
        <w:rPr>
          <w:sz w:val="18"/>
          <w:szCs w:val="18"/>
        </w:rPr>
        <w:t>.</w:t>
      </w:r>
      <w:r w:rsidR="00DA53C1">
        <w:rPr>
          <w:sz w:val="18"/>
          <w:szCs w:val="18"/>
        </w:rPr>
        <w:t xml:space="preserve"> </w:t>
      </w:r>
      <w:r w:rsidRPr="00D13672">
        <w:rPr>
          <w:sz w:val="18"/>
          <w:szCs w:val="18"/>
        </w:rPr>
        <w:t>8</w:t>
      </w:r>
      <w:r>
        <w:rPr>
          <w:sz w:val="18"/>
          <w:szCs w:val="18"/>
        </w:rPr>
        <w:t>-9</w:t>
      </w:r>
      <w:r w:rsidRPr="00D13672">
        <w:rPr>
          <w:sz w:val="18"/>
          <w:szCs w:val="18"/>
        </w:rPr>
        <w:t xml:space="preserve">. </w:t>
      </w:r>
      <w:r w:rsidR="000E1525" w:rsidRPr="00D13672">
        <w:rPr>
          <w:sz w:val="18"/>
          <w:szCs w:val="18"/>
        </w:rPr>
        <w:t>Th</w:t>
      </w:r>
      <w:r w:rsidR="00D16FAD">
        <w:rPr>
          <w:sz w:val="18"/>
          <w:szCs w:val="18"/>
        </w:rPr>
        <w:t>e sample in the report</w:t>
      </w:r>
      <w:r w:rsidR="000E1525" w:rsidRPr="00D13672">
        <w:rPr>
          <w:sz w:val="18"/>
          <w:szCs w:val="18"/>
        </w:rPr>
        <w:t xml:space="preserve"> included 525 online and mobile app providers across the entertainment, hospitality, retail, transport and communication sectors</w:t>
      </w:r>
      <w:r w:rsidR="00D16FAD">
        <w:rPr>
          <w:sz w:val="18"/>
          <w:szCs w:val="18"/>
        </w:rPr>
        <w:t xml:space="preserve">. </w:t>
      </w:r>
    </w:p>
  </w:footnote>
  <w:footnote w:id="50">
    <w:p w14:paraId="727218E6" w14:textId="6FE37AEE" w:rsidR="001B3525" w:rsidRPr="00D13672" w:rsidRDefault="001B3525" w:rsidP="001B3525">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D16FAD">
        <w:rPr>
          <w:sz w:val="18"/>
          <w:szCs w:val="18"/>
        </w:rPr>
        <w:t xml:space="preserve">Alma Economics, </w:t>
      </w:r>
      <w:r w:rsidR="00D16FAD" w:rsidRPr="00D16FAD">
        <w:rPr>
          <w:i/>
          <w:iCs/>
          <w:sz w:val="18"/>
          <w:szCs w:val="18"/>
        </w:rPr>
        <w:t>Estimating the prevalence and impact of online drip pricing,</w:t>
      </w:r>
      <w:r w:rsidR="00D16FAD">
        <w:rPr>
          <w:sz w:val="18"/>
          <w:szCs w:val="18"/>
        </w:rPr>
        <w:t xml:space="preserve"> </w:t>
      </w:r>
      <w:r w:rsidRPr="00D13672">
        <w:rPr>
          <w:sz w:val="18"/>
          <w:szCs w:val="18"/>
        </w:rPr>
        <w:t>p.</w:t>
      </w:r>
      <w:r w:rsidR="00DA53C1">
        <w:rPr>
          <w:sz w:val="18"/>
          <w:szCs w:val="18"/>
        </w:rPr>
        <w:t xml:space="preserve"> </w:t>
      </w:r>
      <w:r w:rsidRPr="00D13672">
        <w:rPr>
          <w:sz w:val="18"/>
          <w:szCs w:val="18"/>
        </w:rPr>
        <w:t xml:space="preserve">34. </w:t>
      </w:r>
    </w:p>
  </w:footnote>
  <w:footnote w:id="51">
    <w:p w14:paraId="3F387E3C" w14:textId="7AC680D6" w:rsidR="001F139B" w:rsidRPr="00C8056D" w:rsidRDefault="001F139B" w:rsidP="00C8056D">
      <w:pPr>
        <w:pStyle w:val="FootnoteText"/>
        <w:ind w:left="170" w:hanging="170"/>
        <w:rPr>
          <w:sz w:val="18"/>
          <w:szCs w:val="18"/>
        </w:rPr>
      </w:pPr>
      <w:r>
        <w:rPr>
          <w:rStyle w:val="FootnoteReference"/>
        </w:rPr>
        <w:footnoteRef/>
      </w:r>
      <w:r w:rsidR="76621889">
        <w:t xml:space="preserve"> </w:t>
      </w:r>
      <w:r w:rsidR="76621889" w:rsidRPr="00456BF2">
        <w:rPr>
          <w:sz w:val="18"/>
          <w:szCs w:val="18"/>
        </w:rPr>
        <w:t>ACCC submi</w:t>
      </w:r>
      <w:r w:rsidR="76621889">
        <w:rPr>
          <w:sz w:val="18"/>
          <w:szCs w:val="18"/>
        </w:rPr>
        <w:t>ssion to the Supplementary Consultation, p.</w:t>
      </w:r>
      <w:r w:rsidR="00AF261B">
        <w:rPr>
          <w:sz w:val="18"/>
          <w:szCs w:val="18"/>
        </w:rPr>
        <w:t xml:space="preserve"> </w:t>
      </w:r>
      <w:r w:rsidR="76621889">
        <w:rPr>
          <w:sz w:val="18"/>
          <w:szCs w:val="18"/>
        </w:rPr>
        <w:t>22; Consumer Policy Research Centre submission to the Supplementary Consultation, p.</w:t>
      </w:r>
      <w:r w:rsidR="00AF261B">
        <w:rPr>
          <w:sz w:val="18"/>
          <w:szCs w:val="18"/>
        </w:rPr>
        <w:t xml:space="preserve"> </w:t>
      </w:r>
      <w:r w:rsidR="76621889">
        <w:rPr>
          <w:sz w:val="18"/>
          <w:szCs w:val="18"/>
        </w:rPr>
        <w:t>29.</w:t>
      </w:r>
    </w:p>
  </w:footnote>
  <w:footnote w:id="52">
    <w:p w14:paraId="41AE4D06" w14:textId="49EC9640" w:rsidR="00B4769A" w:rsidRPr="00363970" w:rsidRDefault="00B4769A" w:rsidP="00C8056D">
      <w:pPr>
        <w:pStyle w:val="FootnoteText"/>
        <w:ind w:left="170" w:hanging="170"/>
        <w:rPr>
          <w:sz w:val="18"/>
          <w:szCs w:val="18"/>
        </w:rPr>
      </w:pPr>
      <w:r>
        <w:rPr>
          <w:rStyle w:val="FootnoteReference"/>
        </w:rPr>
        <w:footnoteRef/>
      </w:r>
      <w:r w:rsidR="76621889">
        <w:t xml:space="preserve"> </w:t>
      </w:r>
      <w:r w:rsidR="00F85364" w:rsidRPr="009E2F5C">
        <w:rPr>
          <w:sz w:val="18"/>
          <w:szCs w:val="18"/>
        </w:rPr>
        <w:t>Division 1 of Part 3-2</w:t>
      </w:r>
      <w:r w:rsidR="007F29BE" w:rsidRPr="009E2F5C">
        <w:rPr>
          <w:sz w:val="18"/>
          <w:szCs w:val="18"/>
        </w:rPr>
        <w:t xml:space="preserve"> </w:t>
      </w:r>
      <w:r w:rsidR="76621889">
        <w:rPr>
          <w:sz w:val="18"/>
          <w:szCs w:val="18"/>
        </w:rPr>
        <w:t xml:space="preserve">of ACL. </w:t>
      </w:r>
    </w:p>
  </w:footnote>
  <w:footnote w:id="53">
    <w:p w14:paraId="46827870" w14:textId="772A7693" w:rsidR="00406CD0" w:rsidRDefault="00406CD0" w:rsidP="00406CD0">
      <w:pPr>
        <w:pStyle w:val="FootnoteText"/>
        <w:ind w:left="170" w:hanging="170"/>
      </w:pPr>
      <w:r>
        <w:t xml:space="preserve"> </w:t>
      </w:r>
      <w:r>
        <w:rPr>
          <w:rStyle w:val="FootnoteReference"/>
        </w:rPr>
        <w:footnoteRef/>
      </w:r>
      <w:r>
        <w:t xml:space="preserve"> </w:t>
      </w:r>
      <w:r w:rsidRPr="00AA168C">
        <w:rPr>
          <w:sz w:val="18"/>
          <w:szCs w:val="18"/>
        </w:rPr>
        <w:t xml:space="preserve">Examples of these cognitive biases </w:t>
      </w:r>
      <w:r>
        <w:rPr>
          <w:sz w:val="18"/>
          <w:szCs w:val="18"/>
        </w:rPr>
        <w:t xml:space="preserve">may </w:t>
      </w:r>
      <w:r w:rsidRPr="00AA168C">
        <w:rPr>
          <w:sz w:val="18"/>
          <w:szCs w:val="18"/>
        </w:rPr>
        <w:t>include default bias (a preference to maintain the status quo), the scarcity heuristic (the tendency for individuals to place higher value on goods or services that are rare), social proof bias (the tendency for individuals to be influenced by others and to conform) or framing effects (the bias toward picking an option viewed as a gain</w:t>
      </w:r>
      <w:r>
        <w:rPr>
          <w:sz w:val="18"/>
          <w:szCs w:val="18"/>
        </w:rPr>
        <w:t xml:space="preserve"> over one that is viewed as a loss, even if both options would lead to the same result)</w:t>
      </w:r>
      <w:r w:rsidR="00363970">
        <w:rPr>
          <w:sz w:val="18"/>
          <w:szCs w:val="18"/>
        </w:rPr>
        <w:t>:</w:t>
      </w:r>
      <w:r>
        <w:rPr>
          <w:sz w:val="18"/>
          <w:szCs w:val="18"/>
        </w:rPr>
        <w:t xml:space="preserve"> OECD</w:t>
      </w:r>
      <w:r w:rsidR="003A39DF">
        <w:rPr>
          <w:sz w:val="18"/>
          <w:szCs w:val="18"/>
        </w:rPr>
        <w:t>, ‘</w:t>
      </w:r>
      <w:r w:rsidR="003A39DF" w:rsidRPr="003A39DF">
        <w:rPr>
          <w:sz w:val="18"/>
          <w:szCs w:val="18"/>
        </w:rPr>
        <w:t>Dark commercial patterns</w:t>
      </w:r>
      <w:r w:rsidR="003A39DF">
        <w:rPr>
          <w:sz w:val="18"/>
          <w:szCs w:val="18"/>
        </w:rPr>
        <w:t>’</w:t>
      </w:r>
      <w:r>
        <w:rPr>
          <w:sz w:val="18"/>
          <w:szCs w:val="18"/>
        </w:rPr>
        <w:t>, p.</w:t>
      </w:r>
      <w:r w:rsidR="00BE7924">
        <w:rPr>
          <w:sz w:val="18"/>
          <w:szCs w:val="18"/>
        </w:rPr>
        <w:t xml:space="preserve"> </w:t>
      </w:r>
      <w:r>
        <w:rPr>
          <w:sz w:val="18"/>
          <w:szCs w:val="18"/>
        </w:rPr>
        <w:t>8.</w:t>
      </w:r>
    </w:p>
  </w:footnote>
  <w:footnote w:id="54">
    <w:p w14:paraId="706643DF" w14:textId="3B64797A" w:rsidR="009A21E8" w:rsidRDefault="009A21E8" w:rsidP="00DA5449">
      <w:pPr>
        <w:pStyle w:val="FootnoteText"/>
        <w:ind w:left="170" w:hanging="170"/>
      </w:pPr>
      <w:r>
        <w:rPr>
          <w:rStyle w:val="FootnoteReference"/>
        </w:rPr>
        <w:footnoteRef/>
      </w:r>
      <w:r>
        <w:t xml:space="preserve"> </w:t>
      </w:r>
      <w:r w:rsidR="00D11C09">
        <w:rPr>
          <w:sz w:val="18"/>
          <w:szCs w:val="18"/>
        </w:rPr>
        <w:t>C</w:t>
      </w:r>
      <w:r w:rsidR="00D11C09" w:rsidRPr="00DA5449">
        <w:rPr>
          <w:sz w:val="18"/>
          <w:szCs w:val="18"/>
        </w:rPr>
        <w:t>onsumer preferences can be biased towards the present at the expense of future implications of their choice (myopia). When applying that to subscriptions, consumers may only be able to see the present benefits of subscriptions and the cost in time of cancelling and not consider their value or the value of money saved in the future</w:t>
      </w:r>
      <w:r w:rsidR="00363970">
        <w:rPr>
          <w:sz w:val="18"/>
          <w:szCs w:val="18"/>
        </w:rPr>
        <w:t xml:space="preserve">: </w:t>
      </w:r>
      <w:r w:rsidR="00054648">
        <w:rPr>
          <w:sz w:val="18"/>
          <w:szCs w:val="18"/>
        </w:rPr>
        <w:t>Department for Business and Trade (UK)</w:t>
      </w:r>
      <w:r w:rsidR="00054648" w:rsidRPr="0081728B">
        <w:rPr>
          <w:sz w:val="18"/>
          <w:szCs w:val="18"/>
        </w:rPr>
        <w:t xml:space="preserve">, </w:t>
      </w:r>
      <w:hyperlink r:id="rId30" w:history="1">
        <w:r w:rsidR="00054648" w:rsidRPr="00A178D0">
          <w:rPr>
            <w:rStyle w:val="Hyperlink"/>
            <w:i/>
            <w:sz w:val="18"/>
            <w:szCs w:val="18"/>
          </w:rPr>
          <w:t>Impact Assessment for the Digital Markets, Competition and Consumers Act</w:t>
        </w:r>
        <w:r w:rsidR="00054648" w:rsidRPr="00A178D0">
          <w:rPr>
            <w:rStyle w:val="Hyperlink"/>
            <w:i/>
            <w:iCs/>
            <w:sz w:val="18"/>
            <w:szCs w:val="18"/>
          </w:rPr>
          <w:t>: Subscription traps: annex 2 impact assessment</w:t>
        </w:r>
      </w:hyperlink>
      <w:r w:rsidR="00054648">
        <w:rPr>
          <w:sz w:val="18"/>
          <w:szCs w:val="18"/>
        </w:rPr>
        <w:t>, UK Government, 2023, p.</w:t>
      </w:r>
      <w:r w:rsidR="00BE7924">
        <w:rPr>
          <w:sz w:val="18"/>
          <w:szCs w:val="18"/>
        </w:rPr>
        <w:t xml:space="preserve"> </w:t>
      </w:r>
      <w:r w:rsidR="00054648">
        <w:rPr>
          <w:sz w:val="18"/>
          <w:szCs w:val="18"/>
        </w:rPr>
        <w:t>20.</w:t>
      </w:r>
      <w:r w:rsidR="003A39DF">
        <w:t>,</w:t>
      </w:r>
      <w:r w:rsidR="00336882">
        <w:t xml:space="preserve"> </w:t>
      </w:r>
      <w:r w:rsidR="00336882" w:rsidRPr="00BB44A4">
        <w:rPr>
          <w:sz w:val="18"/>
          <w:szCs w:val="18"/>
        </w:rPr>
        <w:t>p.</w:t>
      </w:r>
      <w:r w:rsidR="00BE7924">
        <w:rPr>
          <w:sz w:val="18"/>
          <w:szCs w:val="18"/>
        </w:rPr>
        <w:t xml:space="preserve"> </w:t>
      </w:r>
      <w:r w:rsidR="00336882" w:rsidRPr="00BB44A4">
        <w:rPr>
          <w:sz w:val="18"/>
          <w:szCs w:val="18"/>
        </w:rPr>
        <w:t>9.</w:t>
      </w:r>
    </w:p>
  </w:footnote>
  <w:footnote w:id="55">
    <w:p w14:paraId="398AFAA2" w14:textId="7133E8D6" w:rsidR="00C86F41" w:rsidRPr="00106D2F" w:rsidRDefault="00C86F41" w:rsidP="00DA5449">
      <w:pPr>
        <w:pStyle w:val="FootnoteText"/>
        <w:ind w:left="170" w:hanging="170"/>
        <w:rPr>
          <w:sz w:val="18"/>
          <w:szCs w:val="18"/>
        </w:rPr>
      </w:pPr>
      <w:r>
        <w:rPr>
          <w:rStyle w:val="FootnoteReference"/>
        </w:rPr>
        <w:footnoteRef/>
      </w:r>
      <w:r>
        <w:t xml:space="preserve"> </w:t>
      </w:r>
      <w:r w:rsidRPr="00106D2F">
        <w:rPr>
          <w:sz w:val="18"/>
          <w:szCs w:val="18"/>
        </w:rPr>
        <w:t>For example, voluntary industry-led codes have been developed to provide a standard for Australian influencer businesses and advertisers on disclosure of advertising. These codes include the Australian Association of National Advertisers (AANA) Code of Ethics, which is administered by Ad Standards, and the Australian Influencer Marketing Council (AiMCO) Influencer Marketing Code of Practice.</w:t>
      </w:r>
    </w:p>
  </w:footnote>
  <w:footnote w:id="56">
    <w:p w14:paraId="119A42FC" w14:textId="6451CCD6"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Pr="00D13672">
        <w:rPr>
          <w:sz w:val="18"/>
          <w:szCs w:val="18"/>
        </w:rPr>
        <w:tab/>
        <w:t xml:space="preserve">The Hon. Stephen Jones MP </w:t>
      </w:r>
      <w:hyperlink r:id="rId31" w:history="1">
        <w:r w:rsidRPr="00D13672">
          <w:rPr>
            <w:rStyle w:val="Hyperlink"/>
            <w:i/>
            <w:iCs/>
            <w:sz w:val="18"/>
            <w:szCs w:val="18"/>
          </w:rPr>
          <w:t>Consumer Affairs Ministers renew commitment to protecting consumers, with an ambitious agenda for 2025</w:t>
        </w:r>
      </w:hyperlink>
      <w:r w:rsidRPr="00D13672">
        <w:rPr>
          <w:sz w:val="18"/>
          <w:szCs w:val="18"/>
        </w:rPr>
        <w:t xml:space="preserve"> [media release], Commonwealth Government, </w:t>
      </w:r>
      <w:r w:rsidR="007F23A9">
        <w:rPr>
          <w:sz w:val="18"/>
          <w:szCs w:val="18"/>
        </w:rPr>
        <w:t>10 December 2024,</w:t>
      </w:r>
      <w:r w:rsidRPr="00D13672">
        <w:rPr>
          <w:sz w:val="18"/>
          <w:szCs w:val="18"/>
        </w:rPr>
        <w:t xml:space="preserve"> accessed 12 June 2025.</w:t>
      </w:r>
    </w:p>
  </w:footnote>
  <w:footnote w:id="57">
    <w:p w14:paraId="6608857A" w14:textId="4DFEFBFA" w:rsidR="00406CD0" w:rsidRPr="0042680E" w:rsidRDefault="00406CD0" w:rsidP="00DA5449">
      <w:pPr>
        <w:pStyle w:val="FootnoteText"/>
        <w:ind w:left="170" w:hanging="170"/>
        <w:rPr>
          <w:sz w:val="18"/>
          <w:szCs w:val="18"/>
        </w:rPr>
      </w:pPr>
      <w:r w:rsidRPr="0042680E">
        <w:rPr>
          <w:rStyle w:val="FootnoteReference"/>
          <w:szCs w:val="18"/>
        </w:rPr>
        <w:footnoteRef/>
      </w:r>
      <w:r w:rsidRPr="0042680E">
        <w:rPr>
          <w:sz w:val="18"/>
          <w:szCs w:val="18"/>
        </w:rPr>
        <w:t xml:space="preserve"> Stakeholders who advocated for option 1 include </w:t>
      </w:r>
      <w:r w:rsidR="00C47449">
        <w:rPr>
          <w:sz w:val="18"/>
          <w:szCs w:val="18"/>
        </w:rPr>
        <w:t>BCA (</w:t>
      </w:r>
      <w:r w:rsidRPr="0042680E">
        <w:rPr>
          <w:sz w:val="18"/>
          <w:szCs w:val="18"/>
        </w:rPr>
        <w:t>Business Council of Australia</w:t>
      </w:r>
      <w:r w:rsidR="00C47449">
        <w:rPr>
          <w:sz w:val="18"/>
          <w:szCs w:val="18"/>
        </w:rPr>
        <w:t>)</w:t>
      </w:r>
      <w:r w:rsidRPr="0042680E">
        <w:rPr>
          <w:sz w:val="18"/>
          <w:szCs w:val="18"/>
        </w:rPr>
        <w:t>, Australian Banking Association, Australian</w:t>
      </w:r>
      <w:r>
        <w:rPr>
          <w:sz w:val="18"/>
          <w:szCs w:val="18"/>
        </w:rPr>
        <w:t xml:space="preserve"> </w:t>
      </w:r>
      <w:r w:rsidRPr="0042680E">
        <w:rPr>
          <w:sz w:val="18"/>
          <w:szCs w:val="18"/>
        </w:rPr>
        <w:t>Retailers Association, Digital Industry Group Inc., Tech Council of Australia and the Insurance Council of Australia.</w:t>
      </w:r>
    </w:p>
  </w:footnote>
  <w:footnote w:id="58">
    <w:p w14:paraId="6FF5818B" w14:textId="42957485" w:rsidR="00406CD0" w:rsidRPr="0042680E" w:rsidRDefault="00406CD0" w:rsidP="00DA5449">
      <w:pPr>
        <w:pStyle w:val="FootnoteText"/>
        <w:ind w:left="170" w:hanging="170"/>
        <w:rPr>
          <w:sz w:val="18"/>
          <w:szCs w:val="18"/>
        </w:rPr>
      </w:pPr>
      <w:r w:rsidRPr="0042680E">
        <w:rPr>
          <w:rStyle w:val="FootnoteReference"/>
          <w:szCs w:val="18"/>
        </w:rPr>
        <w:footnoteRef/>
      </w:r>
      <w:r w:rsidRPr="0042680E">
        <w:rPr>
          <w:sz w:val="18"/>
          <w:szCs w:val="18"/>
        </w:rPr>
        <w:t xml:space="preserve"> Digital Industry Group Inc. submission to the Consultation RIS</w:t>
      </w:r>
      <w:r w:rsidR="00C47449">
        <w:rPr>
          <w:sz w:val="18"/>
          <w:szCs w:val="18"/>
        </w:rPr>
        <w:t xml:space="preserve"> (</w:t>
      </w:r>
      <w:r w:rsidRPr="0042680E">
        <w:rPr>
          <w:sz w:val="18"/>
          <w:szCs w:val="18"/>
        </w:rPr>
        <w:t>R</w:t>
      </w:r>
      <w:r w:rsidR="00C47449">
        <w:rPr>
          <w:sz w:val="18"/>
          <w:szCs w:val="18"/>
        </w:rPr>
        <w:t>egulation Impact Statement)</w:t>
      </w:r>
      <w:r w:rsidRPr="0042680E">
        <w:rPr>
          <w:sz w:val="18"/>
          <w:szCs w:val="18"/>
        </w:rPr>
        <w:t>, pp. 4-12, 21-22.</w:t>
      </w:r>
    </w:p>
  </w:footnote>
  <w:footnote w:id="59">
    <w:p w14:paraId="3877A4BD" w14:textId="1B63F932" w:rsidR="00406CD0" w:rsidRDefault="00406CD0" w:rsidP="00DA5449">
      <w:pPr>
        <w:pStyle w:val="FootnoteText"/>
        <w:ind w:left="170" w:hanging="170"/>
      </w:pPr>
      <w:r w:rsidRPr="0042680E">
        <w:rPr>
          <w:rStyle w:val="FootnoteReference"/>
          <w:szCs w:val="18"/>
        </w:rPr>
        <w:footnoteRef/>
      </w:r>
      <w:r w:rsidRPr="0042680E">
        <w:rPr>
          <w:sz w:val="18"/>
          <w:szCs w:val="18"/>
        </w:rPr>
        <w:t xml:space="preserve"> </w:t>
      </w:r>
      <w:r w:rsidR="00C47449">
        <w:rPr>
          <w:sz w:val="18"/>
          <w:szCs w:val="18"/>
        </w:rPr>
        <w:t>LCA (</w:t>
      </w:r>
      <w:r w:rsidRPr="0042680E">
        <w:rPr>
          <w:sz w:val="18"/>
          <w:szCs w:val="18"/>
        </w:rPr>
        <w:t>Law Council of Australia</w:t>
      </w:r>
      <w:r w:rsidR="00C47449">
        <w:rPr>
          <w:sz w:val="18"/>
          <w:szCs w:val="18"/>
        </w:rPr>
        <w:t>)</w:t>
      </w:r>
      <w:r w:rsidRPr="0042680E">
        <w:rPr>
          <w:sz w:val="18"/>
          <w:szCs w:val="18"/>
        </w:rPr>
        <w:t xml:space="preserve"> submission to the Consultation RIS, pp. 18-28.</w:t>
      </w:r>
    </w:p>
  </w:footnote>
  <w:footnote w:id="60">
    <w:p w14:paraId="64E01B8B" w14:textId="642DA3C1" w:rsidR="00940480" w:rsidRPr="00DA5449" w:rsidRDefault="00940480">
      <w:pPr>
        <w:pStyle w:val="FootnoteText"/>
        <w:rPr>
          <w:sz w:val="18"/>
          <w:szCs w:val="18"/>
        </w:rPr>
      </w:pPr>
      <w:r>
        <w:rPr>
          <w:rStyle w:val="FootnoteReference"/>
        </w:rPr>
        <w:footnoteRef/>
      </w:r>
      <w:r>
        <w:t xml:space="preserve"> </w:t>
      </w:r>
      <w:r w:rsidR="00027FA7" w:rsidRPr="00D13672">
        <w:rPr>
          <w:sz w:val="18"/>
          <w:szCs w:val="18"/>
        </w:rPr>
        <w:t>OECD, ‘</w:t>
      </w:r>
      <w:hyperlink r:id="rId32" w:history="1">
        <w:r w:rsidR="00027FA7" w:rsidRPr="00D13672">
          <w:rPr>
            <w:rStyle w:val="Hyperlink"/>
            <w:sz w:val="18"/>
            <w:szCs w:val="18"/>
          </w:rPr>
          <w:t>Consumer Vulnerability in the Digital Age</w:t>
        </w:r>
      </w:hyperlink>
      <w:r w:rsidR="00027FA7" w:rsidRPr="00D13672">
        <w:rPr>
          <w:sz w:val="18"/>
          <w:szCs w:val="18"/>
        </w:rPr>
        <w:t xml:space="preserve">’, </w:t>
      </w:r>
      <w:r w:rsidR="00027FA7" w:rsidRPr="00D13672">
        <w:rPr>
          <w:i/>
          <w:iCs/>
          <w:sz w:val="18"/>
          <w:szCs w:val="18"/>
        </w:rPr>
        <w:t>OECD Digital Economy Papers,</w:t>
      </w:r>
      <w:r w:rsidR="00027FA7" w:rsidRPr="00D13672">
        <w:rPr>
          <w:sz w:val="18"/>
          <w:szCs w:val="18"/>
        </w:rPr>
        <w:t xml:space="preserve"> </w:t>
      </w:r>
      <w:r w:rsidR="00C47449">
        <w:rPr>
          <w:sz w:val="18"/>
          <w:szCs w:val="18"/>
        </w:rPr>
        <w:t xml:space="preserve">2023, </w:t>
      </w:r>
      <w:r w:rsidR="00027FA7" w:rsidRPr="00D13672">
        <w:rPr>
          <w:sz w:val="18"/>
          <w:szCs w:val="18"/>
        </w:rPr>
        <w:t xml:space="preserve">p. </w:t>
      </w:r>
      <w:r w:rsidR="00E731E3">
        <w:rPr>
          <w:sz w:val="18"/>
          <w:szCs w:val="18"/>
        </w:rPr>
        <w:t>16</w:t>
      </w:r>
      <w:r w:rsidR="00027FA7" w:rsidRPr="00D13672">
        <w:rPr>
          <w:sz w:val="18"/>
          <w:szCs w:val="18"/>
        </w:rPr>
        <w:t>.</w:t>
      </w:r>
    </w:p>
  </w:footnote>
  <w:footnote w:id="61">
    <w:p w14:paraId="60F7A83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For example, Australian Competition and Consumer Commission v LG Electronics Australia Pty Ltd [2019] FCA 1456; Australian Competition and Consumer Commission v Medibank Private Limited [2018] FCAFC 235. </w:t>
      </w:r>
    </w:p>
  </w:footnote>
  <w:footnote w:id="62">
    <w:p w14:paraId="17FD6A14" w14:textId="7AA17C5F"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In its submission, the ACCC noted that it has discontinued investigations into businesses where it considered conduct caused significant harm to consumers or small businesses, but was unlikely to meet the threshold of unconscionable, and otherwise was not misleading or deceptive: ACCC submission</w:t>
      </w:r>
      <w:r>
        <w:rPr>
          <w:sz w:val="18"/>
          <w:szCs w:val="18"/>
        </w:rPr>
        <w:t xml:space="preserve"> to the Supplementary Consultation</w:t>
      </w:r>
      <w:r w:rsidRPr="00D13672">
        <w:rPr>
          <w:sz w:val="18"/>
          <w:szCs w:val="18"/>
        </w:rPr>
        <w:t>, p.</w:t>
      </w:r>
      <w:r w:rsidR="0054578F">
        <w:rPr>
          <w:sz w:val="18"/>
          <w:szCs w:val="18"/>
        </w:rPr>
        <w:t xml:space="preserve"> </w:t>
      </w:r>
      <w:r w:rsidRPr="00D13672">
        <w:rPr>
          <w:sz w:val="18"/>
          <w:szCs w:val="18"/>
        </w:rPr>
        <w:t>26.</w:t>
      </w:r>
    </w:p>
  </w:footnote>
  <w:footnote w:id="63">
    <w:p w14:paraId="46EF52FE" w14:textId="4DB56A08" w:rsidR="0025407C" w:rsidRDefault="0025407C" w:rsidP="00DA5449">
      <w:pPr>
        <w:pStyle w:val="FootnoteText"/>
        <w:ind w:left="170" w:hanging="170"/>
      </w:pPr>
      <w:r>
        <w:rPr>
          <w:rStyle w:val="FootnoteReference"/>
        </w:rPr>
        <w:footnoteRef/>
      </w:r>
      <w:r>
        <w:t xml:space="preserve"> </w:t>
      </w:r>
      <w:r w:rsidR="00774345" w:rsidRPr="00DA5449">
        <w:rPr>
          <w:sz w:val="18"/>
          <w:szCs w:val="18"/>
        </w:rPr>
        <w:t>Stakeholders who supported option 2 include the</w:t>
      </w:r>
      <w:r w:rsidRPr="00DA5449">
        <w:rPr>
          <w:sz w:val="18"/>
          <w:szCs w:val="18"/>
        </w:rPr>
        <w:t xml:space="preserve"> </w:t>
      </w:r>
      <w:r w:rsidR="00191556" w:rsidRPr="00DA5449">
        <w:rPr>
          <w:sz w:val="18"/>
          <w:szCs w:val="18"/>
        </w:rPr>
        <w:t>Australian Automotive Dealer Association,</w:t>
      </w:r>
      <w:r w:rsidRPr="00DA5449">
        <w:rPr>
          <w:sz w:val="18"/>
          <w:szCs w:val="18"/>
        </w:rPr>
        <w:t xml:space="preserve"> </w:t>
      </w:r>
      <w:r w:rsidR="00627624" w:rsidRPr="00DA5449">
        <w:rPr>
          <w:sz w:val="18"/>
          <w:szCs w:val="18"/>
        </w:rPr>
        <w:t>Caravan Industry Association</w:t>
      </w:r>
      <w:r w:rsidR="00627624">
        <w:rPr>
          <w:sz w:val="18"/>
          <w:szCs w:val="18"/>
        </w:rPr>
        <w:t xml:space="preserve"> </w:t>
      </w:r>
      <w:r w:rsidR="00627624" w:rsidRPr="00DA5449">
        <w:rPr>
          <w:sz w:val="18"/>
          <w:szCs w:val="18"/>
        </w:rPr>
        <w:t>of Australia</w:t>
      </w:r>
      <w:r w:rsidR="00774345" w:rsidRPr="00DA5449">
        <w:rPr>
          <w:sz w:val="18"/>
          <w:szCs w:val="18"/>
        </w:rPr>
        <w:t xml:space="preserve"> and</w:t>
      </w:r>
      <w:r w:rsidR="00627624" w:rsidRPr="00DA5449">
        <w:rPr>
          <w:sz w:val="18"/>
          <w:szCs w:val="18"/>
        </w:rPr>
        <w:t xml:space="preserve"> </w:t>
      </w:r>
      <w:r w:rsidRPr="00DA5449">
        <w:rPr>
          <w:sz w:val="18"/>
          <w:szCs w:val="18"/>
        </w:rPr>
        <w:t>Telstra</w:t>
      </w:r>
      <w:r w:rsidR="00774345" w:rsidRPr="00DA5449">
        <w:rPr>
          <w:sz w:val="18"/>
          <w:szCs w:val="18"/>
        </w:rPr>
        <w:t>.</w:t>
      </w:r>
    </w:p>
  </w:footnote>
  <w:footnote w:id="64">
    <w:p w14:paraId="3821526A" w14:textId="3C1FE6D3" w:rsidR="008F06C0" w:rsidRDefault="008F06C0" w:rsidP="00DA5449">
      <w:pPr>
        <w:pStyle w:val="FootnoteText"/>
        <w:ind w:left="170" w:hanging="170"/>
      </w:pPr>
      <w:r>
        <w:rPr>
          <w:rStyle w:val="FootnoteReference"/>
        </w:rPr>
        <w:footnoteRef/>
      </w:r>
      <w:r w:rsidR="00571C48">
        <w:t xml:space="preserve"> </w:t>
      </w:r>
      <w:r w:rsidR="002A0D8A" w:rsidRPr="00DA5449">
        <w:rPr>
          <w:sz w:val="18"/>
          <w:szCs w:val="18"/>
        </w:rPr>
        <w:t>Stakeholders who did not support option 2 include Professor</w:t>
      </w:r>
      <w:r w:rsidRPr="00DA5449">
        <w:rPr>
          <w:sz w:val="18"/>
          <w:szCs w:val="18"/>
        </w:rPr>
        <w:t xml:space="preserve"> Bryan Horrigan,</w:t>
      </w:r>
      <w:r w:rsidR="00EB2EE9" w:rsidRPr="00DA5449">
        <w:rPr>
          <w:sz w:val="18"/>
          <w:szCs w:val="18"/>
        </w:rPr>
        <w:t xml:space="preserve"> Dr Luke Nottage</w:t>
      </w:r>
      <w:r w:rsidR="002A0D8A">
        <w:rPr>
          <w:sz w:val="18"/>
          <w:szCs w:val="18"/>
        </w:rPr>
        <w:t>,</w:t>
      </w:r>
      <w:r w:rsidR="00F977A5" w:rsidRPr="00DA5449">
        <w:rPr>
          <w:sz w:val="18"/>
          <w:szCs w:val="18"/>
        </w:rPr>
        <w:t xml:space="preserve"> and </w:t>
      </w:r>
      <w:r w:rsidR="00FC0D3F" w:rsidRPr="00DA5449">
        <w:rPr>
          <w:sz w:val="18"/>
          <w:szCs w:val="18"/>
        </w:rPr>
        <w:t>Swetha Meenal Ananthapadmanaban and Jeannie Marie Paterson</w:t>
      </w:r>
      <w:r w:rsidR="000D3E44" w:rsidRPr="00DA5449">
        <w:rPr>
          <w:sz w:val="18"/>
          <w:szCs w:val="18"/>
        </w:rPr>
        <w:t xml:space="preserve"> of the</w:t>
      </w:r>
      <w:r w:rsidR="00FC0D3F" w:rsidRPr="00DA5449">
        <w:rPr>
          <w:sz w:val="18"/>
          <w:szCs w:val="18"/>
        </w:rPr>
        <w:t xml:space="preserve"> Centre for AI and Digital Ethics</w:t>
      </w:r>
      <w:r w:rsidR="000D3E44" w:rsidRPr="00DA5449">
        <w:rPr>
          <w:sz w:val="18"/>
          <w:szCs w:val="18"/>
        </w:rPr>
        <w:t xml:space="preserve"> at</w:t>
      </w:r>
      <w:r w:rsidR="00FC0D3F" w:rsidRPr="00DA5449">
        <w:rPr>
          <w:sz w:val="18"/>
          <w:szCs w:val="18"/>
        </w:rPr>
        <w:t xml:space="preserve"> The University of Melbourne</w:t>
      </w:r>
      <w:r w:rsidR="002A0D8A">
        <w:rPr>
          <w:sz w:val="18"/>
          <w:szCs w:val="18"/>
        </w:rPr>
        <w:t>.</w:t>
      </w:r>
    </w:p>
  </w:footnote>
  <w:footnote w:id="65">
    <w:p w14:paraId="7B83A921" w14:textId="18ED162D" w:rsidR="00681BC4" w:rsidRDefault="00681BC4" w:rsidP="0041457B">
      <w:pPr>
        <w:pStyle w:val="FootnoteText"/>
        <w:ind w:left="170" w:hanging="170"/>
      </w:pPr>
      <w:r>
        <w:rPr>
          <w:rStyle w:val="FootnoteReference"/>
        </w:rPr>
        <w:footnoteRef/>
      </w:r>
      <w:r>
        <w:t xml:space="preserve"> </w:t>
      </w:r>
      <w:r w:rsidR="00FD4DA7" w:rsidRPr="007B5127">
        <w:rPr>
          <w:sz w:val="18"/>
          <w:szCs w:val="18"/>
        </w:rPr>
        <w:t>In user interface</w:t>
      </w:r>
      <w:r w:rsidR="000F1257" w:rsidRPr="007B5127">
        <w:rPr>
          <w:sz w:val="18"/>
          <w:szCs w:val="18"/>
        </w:rPr>
        <w:t xml:space="preserve"> contexts,</w:t>
      </w:r>
      <w:r w:rsidRPr="007B5127">
        <w:rPr>
          <w:sz w:val="18"/>
          <w:szCs w:val="18"/>
        </w:rPr>
        <w:t xml:space="preserve"> </w:t>
      </w:r>
      <w:r w:rsidR="00EC3620" w:rsidRPr="007B5127">
        <w:rPr>
          <w:sz w:val="18"/>
          <w:szCs w:val="18"/>
        </w:rPr>
        <w:t>A/B testing refers to a user research method where</w:t>
      </w:r>
      <w:r w:rsidR="00FD4DA7" w:rsidRPr="007B5127">
        <w:rPr>
          <w:sz w:val="18"/>
          <w:szCs w:val="18"/>
        </w:rPr>
        <w:t xml:space="preserve"> two</w:t>
      </w:r>
      <w:r w:rsidR="007F265C" w:rsidRPr="007B5127">
        <w:rPr>
          <w:sz w:val="18"/>
          <w:szCs w:val="18"/>
        </w:rPr>
        <w:t xml:space="preserve"> versions </w:t>
      </w:r>
      <w:r w:rsidR="00567594">
        <w:rPr>
          <w:sz w:val="18"/>
          <w:szCs w:val="18"/>
        </w:rPr>
        <w:t>(version A and version B)</w:t>
      </w:r>
      <w:r w:rsidR="00A8447B" w:rsidRPr="007B5127">
        <w:rPr>
          <w:sz w:val="18"/>
          <w:szCs w:val="18"/>
        </w:rPr>
        <w:t xml:space="preserve"> </w:t>
      </w:r>
      <w:r w:rsidR="007F265C" w:rsidRPr="007B5127">
        <w:rPr>
          <w:sz w:val="18"/>
          <w:szCs w:val="18"/>
        </w:rPr>
        <w:t>of</w:t>
      </w:r>
      <w:r w:rsidR="00B714D1" w:rsidRPr="007B5127">
        <w:rPr>
          <w:sz w:val="18"/>
          <w:szCs w:val="18"/>
        </w:rPr>
        <w:t xml:space="preserve"> a design </w:t>
      </w:r>
      <w:r w:rsidR="000A0104" w:rsidRPr="007B5127">
        <w:rPr>
          <w:sz w:val="18"/>
          <w:szCs w:val="18"/>
        </w:rPr>
        <w:t xml:space="preserve">(such as in a website or </w:t>
      </w:r>
      <w:r w:rsidR="008A3042" w:rsidRPr="007B5127">
        <w:rPr>
          <w:sz w:val="18"/>
          <w:szCs w:val="18"/>
        </w:rPr>
        <w:t>application)</w:t>
      </w:r>
      <w:r w:rsidR="00B714D1" w:rsidRPr="007B5127">
        <w:rPr>
          <w:sz w:val="18"/>
          <w:szCs w:val="18"/>
        </w:rPr>
        <w:t xml:space="preserve"> are presented to users</w:t>
      </w:r>
      <w:r w:rsidR="00CB2030" w:rsidRPr="007B5127">
        <w:rPr>
          <w:sz w:val="18"/>
          <w:szCs w:val="18"/>
        </w:rPr>
        <w:t xml:space="preserve"> </w:t>
      </w:r>
      <w:r w:rsidR="0060377E" w:rsidRPr="007B5127">
        <w:rPr>
          <w:sz w:val="18"/>
          <w:szCs w:val="18"/>
        </w:rPr>
        <w:t>to test what</w:t>
      </w:r>
      <w:r w:rsidR="00324BAD" w:rsidRPr="007B5127">
        <w:rPr>
          <w:sz w:val="18"/>
          <w:szCs w:val="18"/>
        </w:rPr>
        <w:t xml:space="preserve"> performs b</w:t>
      </w:r>
      <w:r w:rsidR="00C11E17" w:rsidRPr="007B5127">
        <w:rPr>
          <w:sz w:val="18"/>
          <w:szCs w:val="18"/>
        </w:rPr>
        <w:t>etter. This could take the form of minor layout</w:t>
      </w:r>
      <w:r w:rsidR="00164964" w:rsidRPr="007B5127">
        <w:rPr>
          <w:sz w:val="18"/>
          <w:szCs w:val="18"/>
        </w:rPr>
        <w:t xml:space="preserve"> variations</w:t>
      </w:r>
      <w:r w:rsidR="00C07FAA" w:rsidRPr="007B5127">
        <w:rPr>
          <w:sz w:val="18"/>
          <w:szCs w:val="18"/>
        </w:rPr>
        <w:t xml:space="preserve"> including changes</w:t>
      </w:r>
      <w:r w:rsidR="00075CFC" w:rsidRPr="007B5127">
        <w:rPr>
          <w:sz w:val="18"/>
          <w:szCs w:val="18"/>
        </w:rPr>
        <w:t xml:space="preserve"> to </w:t>
      </w:r>
      <w:r w:rsidR="009265FA" w:rsidRPr="007B5127">
        <w:rPr>
          <w:sz w:val="18"/>
          <w:szCs w:val="18"/>
        </w:rPr>
        <w:t>language, colours, sizes and other interface elements.</w:t>
      </w:r>
      <w:r w:rsidR="0039667B">
        <w:rPr>
          <w:sz w:val="18"/>
          <w:szCs w:val="18"/>
        </w:rPr>
        <w:t xml:space="preserve"> Performance can relate to higher user engagement, click-through, and sale conversion rates, for example.</w:t>
      </w:r>
    </w:p>
  </w:footnote>
  <w:footnote w:id="66">
    <w:p w14:paraId="09CFA4CE" w14:textId="55A2F284" w:rsidR="4D74D57C" w:rsidRDefault="4D74D57C" w:rsidP="00DA5449">
      <w:pPr>
        <w:pStyle w:val="FootnoteText"/>
        <w:rPr>
          <w:sz w:val="18"/>
          <w:szCs w:val="18"/>
        </w:rPr>
      </w:pPr>
      <w:r w:rsidRPr="4D74D57C">
        <w:rPr>
          <w:rStyle w:val="FootnoteReference"/>
        </w:rPr>
        <w:footnoteRef/>
      </w:r>
      <w:r w:rsidR="4707F093">
        <w:t xml:space="preserve"> </w:t>
      </w:r>
      <w:r w:rsidR="4707F093" w:rsidRPr="4707F093">
        <w:rPr>
          <w:sz w:val="18"/>
          <w:szCs w:val="18"/>
        </w:rPr>
        <w:t xml:space="preserve">Law Council of Australia submission to the Supplementary Consultation, </w:t>
      </w:r>
      <w:r w:rsidR="1CB4AD98" w:rsidRPr="4707F093">
        <w:rPr>
          <w:sz w:val="18"/>
          <w:szCs w:val="18"/>
        </w:rPr>
        <w:t>p</w:t>
      </w:r>
      <w:r w:rsidR="1E52809C" w:rsidRPr="4707F093">
        <w:rPr>
          <w:sz w:val="18"/>
          <w:szCs w:val="18"/>
        </w:rPr>
        <w:t>.</w:t>
      </w:r>
      <w:r w:rsidR="4707F093" w:rsidRPr="4707F093">
        <w:rPr>
          <w:sz w:val="18"/>
          <w:szCs w:val="18"/>
        </w:rPr>
        <w:t>10</w:t>
      </w:r>
      <w:r w:rsidR="1CB4AD98" w:rsidRPr="1E52809C">
        <w:rPr>
          <w:sz w:val="18"/>
          <w:szCs w:val="18"/>
        </w:rPr>
        <w:t>.</w:t>
      </w:r>
    </w:p>
  </w:footnote>
  <w:footnote w:id="67">
    <w:p w14:paraId="657B63A4" w14:textId="4F8D1D60" w:rsidR="00406CD0" w:rsidRPr="00D13672" w:rsidRDefault="00406CD0" w:rsidP="00406CD0">
      <w:pPr>
        <w:pStyle w:val="FootnoteText"/>
        <w:ind w:left="170" w:hanging="170"/>
        <w:rPr>
          <w:sz w:val="18"/>
          <w:szCs w:val="18"/>
        </w:rPr>
      </w:pPr>
      <w:r w:rsidRPr="3C190854">
        <w:rPr>
          <w:rStyle w:val="FootnoteReference"/>
          <w:rFonts w:eastAsiaTheme="majorEastAsia"/>
        </w:rPr>
        <w:footnoteRef/>
      </w:r>
      <w:r w:rsidRPr="00D13672">
        <w:rPr>
          <w:sz w:val="18"/>
          <w:szCs w:val="18"/>
        </w:rPr>
        <w:t xml:space="preserve"> Shopping Centre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1CA5081C" w:rsidRPr="00D13672">
        <w:rPr>
          <w:sz w:val="18"/>
          <w:szCs w:val="18"/>
        </w:rPr>
        <w:t>p.</w:t>
      </w:r>
      <w:r w:rsidRPr="00D13672">
        <w:rPr>
          <w:sz w:val="18"/>
          <w:szCs w:val="18"/>
        </w:rPr>
        <w:t>4.</w:t>
      </w:r>
    </w:p>
  </w:footnote>
  <w:footnote w:id="68">
    <w:p w14:paraId="49AA7DD1" w14:textId="5D3C2E3D" w:rsidR="00406CD0" w:rsidRPr="00D13672" w:rsidRDefault="00406CD0" w:rsidP="00406CD0">
      <w:pPr>
        <w:pStyle w:val="FootnoteText"/>
        <w:ind w:left="170" w:hanging="170"/>
        <w:rPr>
          <w:sz w:val="18"/>
          <w:szCs w:val="18"/>
        </w:rPr>
      </w:pPr>
      <w:r w:rsidRPr="08E5E493">
        <w:rPr>
          <w:rStyle w:val="FootnoteReference"/>
          <w:rFonts w:eastAsiaTheme="majorEastAsia"/>
        </w:rPr>
        <w:footnoteRef/>
      </w:r>
      <w:r w:rsidRPr="00D13672">
        <w:rPr>
          <w:sz w:val="18"/>
          <w:szCs w:val="18"/>
        </w:rPr>
        <w:t xml:space="preserve"> Dr Benjamin Hopper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1C19B5B7" w:rsidRPr="00D13672">
        <w:rPr>
          <w:sz w:val="18"/>
          <w:szCs w:val="18"/>
        </w:rPr>
        <w:t>p.</w:t>
      </w:r>
      <w:r w:rsidR="006E57B8">
        <w:rPr>
          <w:sz w:val="18"/>
          <w:szCs w:val="18"/>
        </w:rPr>
        <w:t xml:space="preserve"> </w:t>
      </w:r>
      <w:r w:rsidRPr="00D13672">
        <w:rPr>
          <w:sz w:val="18"/>
          <w:szCs w:val="18"/>
        </w:rPr>
        <w:t xml:space="preserve">2. </w:t>
      </w:r>
    </w:p>
  </w:footnote>
  <w:footnote w:id="69">
    <w:p w14:paraId="2CA9A2B4" w14:textId="5ACF399D" w:rsidR="00406CD0" w:rsidRPr="00D13672" w:rsidRDefault="00406CD0" w:rsidP="00406CD0">
      <w:pPr>
        <w:pStyle w:val="FootnoteText"/>
        <w:ind w:left="170" w:hanging="170"/>
        <w:rPr>
          <w:sz w:val="18"/>
          <w:szCs w:val="18"/>
        </w:rPr>
      </w:pPr>
      <w:r w:rsidRPr="7AF96B38">
        <w:rPr>
          <w:rStyle w:val="FootnoteReference"/>
          <w:rFonts w:eastAsiaTheme="majorEastAsia"/>
        </w:rPr>
        <w:footnoteRef/>
      </w:r>
      <w:r w:rsidRPr="00D13672">
        <w:rPr>
          <w:sz w:val="18"/>
          <w:szCs w:val="18"/>
        </w:rPr>
        <w:t xml:space="preserve"> </w:t>
      </w:r>
      <w:r w:rsidR="00DA184C">
        <w:rPr>
          <w:sz w:val="18"/>
          <w:szCs w:val="18"/>
        </w:rPr>
        <w:t>BCA</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7AF96B38" w:rsidRPr="00D13672">
        <w:rPr>
          <w:sz w:val="18"/>
          <w:szCs w:val="18"/>
        </w:rPr>
        <w:t>pp.</w:t>
      </w:r>
      <w:r w:rsidRPr="00D13672">
        <w:rPr>
          <w:sz w:val="18"/>
          <w:szCs w:val="18"/>
        </w:rPr>
        <w:t xml:space="preserve"> 7-8.</w:t>
      </w:r>
    </w:p>
  </w:footnote>
  <w:footnote w:id="70">
    <w:p w14:paraId="02D39CD3" w14:textId="17F24DD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CF2F9F" w:rsidRPr="0041457B">
        <w:rPr>
          <w:sz w:val="18"/>
          <w:szCs w:val="18"/>
        </w:rPr>
        <w:t>Joint Consumer Advocates</w:t>
      </w:r>
      <w:r w:rsidR="00DA184C">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E57B8">
        <w:rPr>
          <w:sz w:val="18"/>
          <w:szCs w:val="18"/>
        </w:rPr>
        <w:t>p.</w:t>
      </w:r>
      <w:r w:rsidR="006E57B8" w:rsidRPr="00D13672">
        <w:rPr>
          <w:sz w:val="18"/>
          <w:szCs w:val="18"/>
        </w:rPr>
        <w:t xml:space="preserve"> </w:t>
      </w:r>
      <w:r w:rsidRPr="00D13672">
        <w:rPr>
          <w:sz w:val="18"/>
          <w:szCs w:val="18"/>
        </w:rPr>
        <w:t>9</w:t>
      </w:r>
      <w:r w:rsidR="00D3274B">
        <w:rPr>
          <w:sz w:val="18"/>
          <w:szCs w:val="18"/>
        </w:rPr>
        <w:t>;</w:t>
      </w:r>
      <w:r w:rsidRPr="00D13672">
        <w:rPr>
          <w:sz w:val="18"/>
          <w:szCs w:val="18"/>
        </w:rPr>
        <w:t xml:space="preserve"> National Legal Aid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E57B8">
        <w:rPr>
          <w:sz w:val="18"/>
          <w:szCs w:val="18"/>
        </w:rPr>
        <w:t>p.</w:t>
      </w:r>
      <w:r w:rsidR="006E57B8" w:rsidRPr="00D13672">
        <w:rPr>
          <w:sz w:val="18"/>
          <w:szCs w:val="18"/>
        </w:rPr>
        <w:t xml:space="preserve"> </w:t>
      </w:r>
      <w:r w:rsidRPr="00D13672">
        <w:rPr>
          <w:sz w:val="18"/>
          <w:szCs w:val="18"/>
        </w:rPr>
        <w:t>3.</w:t>
      </w:r>
    </w:p>
  </w:footnote>
  <w:footnote w:id="71">
    <w:p w14:paraId="0B33FE6E" w14:textId="5964C97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onsultation, p</w:t>
      </w:r>
      <w:r w:rsidR="002B1062">
        <w:rPr>
          <w:rFonts w:cstheme="minorHAnsi"/>
          <w:sz w:val="18"/>
          <w:szCs w:val="18"/>
        </w:rPr>
        <w:t>.</w:t>
      </w:r>
      <w:r w:rsidRPr="00D13672">
        <w:rPr>
          <w:rFonts w:cstheme="minorHAnsi"/>
          <w:sz w:val="18"/>
          <w:szCs w:val="18"/>
        </w:rPr>
        <w:t xml:space="preserve"> </w:t>
      </w:r>
      <w:r w:rsidR="00E14493">
        <w:rPr>
          <w:rFonts w:cstheme="minorHAnsi"/>
          <w:sz w:val="18"/>
          <w:szCs w:val="18"/>
        </w:rPr>
        <w:t>2</w:t>
      </w:r>
      <w:r w:rsidRPr="00D13672">
        <w:rPr>
          <w:rFonts w:cstheme="minorHAnsi"/>
          <w:sz w:val="18"/>
          <w:szCs w:val="18"/>
        </w:rPr>
        <w:t>.</w:t>
      </w:r>
    </w:p>
  </w:footnote>
  <w:footnote w:id="72">
    <w:p w14:paraId="64B48925" w14:textId="22E3AE6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Australian Chamber of Commerce and Industry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D16E4A">
        <w:rPr>
          <w:sz w:val="18"/>
          <w:szCs w:val="18"/>
        </w:rPr>
        <w:t>p.</w:t>
      </w:r>
      <w:r w:rsidR="00765569">
        <w:rPr>
          <w:sz w:val="18"/>
          <w:szCs w:val="18"/>
        </w:rPr>
        <w:t xml:space="preserve"> </w:t>
      </w:r>
      <w:r w:rsidRPr="00D13672">
        <w:rPr>
          <w:sz w:val="18"/>
          <w:szCs w:val="18"/>
        </w:rPr>
        <w:t xml:space="preserve">2. </w:t>
      </w:r>
    </w:p>
  </w:footnote>
  <w:footnote w:id="73">
    <w:p w14:paraId="7CFE3056" w14:textId="4C87CBE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B2EE9">
        <w:rPr>
          <w:sz w:val="18"/>
          <w:szCs w:val="18"/>
        </w:rPr>
        <w:t>Dr</w:t>
      </w:r>
      <w:r w:rsidRPr="00D13672">
        <w:rPr>
          <w:sz w:val="18"/>
          <w:szCs w:val="18"/>
        </w:rPr>
        <w:t xml:space="preserve"> Luke Nottage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F6880">
        <w:rPr>
          <w:sz w:val="18"/>
          <w:szCs w:val="18"/>
        </w:rPr>
        <w:t>.</w:t>
      </w:r>
      <w:r w:rsidR="00765569">
        <w:rPr>
          <w:sz w:val="18"/>
          <w:szCs w:val="18"/>
        </w:rPr>
        <w:t xml:space="preserve"> </w:t>
      </w:r>
      <w:r w:rsidRPr="00D13672">
        <w:rPr>
          <w:sz w:val="18"/>
          <w:szCs w:val="18"/>
        </w:rPr>
        <w:t>2</w:t>
      </w:r>
      <w:r w:rsidR="00D3274B">
        <w:rPr>
          <w:sz w:val="18"/>
          <w:szCs w:val="18"/>
        </w:rPr>
        <w:t>;</w:t>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F6880">
        <w:rPr>
          <w:sz w:val="18"/>
          <w:szCs w:val="18"/>
        </w:rPr>
        <w:t>.</w:t>
      </w:r>
      <w:r w:rsidRPr="00D13672">
        <w:rPr>
          <w:sz w:val="18"/>
          <w:szCs w:val="18"/>
        </w:rPr>
        <w:t xml:space="preserve"> 12.</w:t>
      </w:r>
    </w:p>
  </w:footnote>
  <w:footnote w:id="74">
    <w:p w14:paraId="3E915757" w14:textId="6D33E52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DA184C">
        <w:rPr>
          <w:sz w:val="18"/>
          <w:szCs w:val="18"/>
        </w:rPr>
        <w:t>BCA</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35FA2">
        <w:rPr>
          <w:sz w:val="18"/>
          <w:szCs w:val="18"/>
        </w:rPr>
        <w:t>.</w:t>
      </w:r>
      <w:r w:rsidR="00765569">
        <w:rPr>
          <w:sz w:val="18"/>
          <w:szCs w:val="18"/>
        </w:rPr>
        <w:t xml:space="preserve"> </w:t>
      </w:r>
      <w:r w:rsidRPr="00D13672">
        <w:rPr>
          <w:sz w:val="18"/>
          <w:szCs w:val="18"/>
        </w:rPr>
        <w:t>8.</w:t>
      </w:r>
    </w:p>
  </w:footnote>
  <w:footnote w:id="75">
    <w:p w14:paraId="68D0876F" w14:textId="52773FD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onsultation, p</w:t>
      </w:r>
      <w:r w:rsidR="00AE0D66">
        <w:rPr>
          <w:rFonts w:cstheme="minorHAnsi"/>
          <w:sz w:val="18"/>
          <w:szCs w:val="18"/>
        </w:rPr>
        <w:t>p. 3-</w:t>
      </w:r>
      <w:r w:rsidRPr="00D13672">
        <w:rPr>
          <w:rFonts w:cstheme="minorHAnsi"/>
          <w:sz w:val="18"/>
          <w:szCs w:val="18"/>
        </w:rPr>
        <w:t>4.</w:t>
      </w:r>
    </w:p>
  </w:footnote>
  <w:footnote w:id="76">
    <w:p w14:paraId="10E61039" w14:textId="4B60EF0D" w:rsidR="009E3520" w:rsidRPr="00D13672" w:rsidRDefault="009E3520" w:rsidP="009E352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Pr="00D13672">
        <w:rPr>
          <w:sz w:val="18"/>
          <w:szCs w:val="18"/>
        </w:rPr>
        <w:t xml:space="preserve"> 8</w:t>
      </w:r>
      <w:r w:rsidR="00D3274B">
        <w:rPr>
          <w:sz w:val="18"/>
          <w:szCs w:val="18"/>
        </w:rPr>
        <w:t>;</w:t>
      </w:r>
      <w:r>
        <w:rPr>
          <w:sz w:val="18"/>
          <w:szCs w:val="18"/>
        </w:rPr>
        <w:t xml:space="preserve"> the Tech Council of Australia submission to the Supplementary Consultation, p. 5. </w:t>
      </w:r>
    </w:p>
  </w:footnote>
  <w:footnote w:id="77">
    <w:p w14:paraId="613CAA3A" w14:textId="43D92426" w:rsidR="00B477F8" w:rsidRDefault="00B477F8">
      <w:pPr>
        <w:pStyle w:val="FootnoteText"/>
      </w:pPr>
      <w:r>
        <w:rPr>
          <w:rStyle w:val="FootnoteReference"/>
        </w:rPr>
        <w:footnoteRef/>
      </w:r>
      <w:r>
        <w:t xml:space="preserve"> </w:t>
      </w:r>
      <w:r w:rsidR="00CA559D">
        <w:rPr>
          <w:sz w:val="18"/>
          <w:szCs w:val="18"/>
        </w:rPr>
        <w:t>T</w:t>
      </w:r>
      <w:r>
        <w:rPr>
          <w:sz w:val="18"/>
          <w:szCs w:val="18"/>
        </w:rPr>
        <w:t>he Tech Council of Australia submission to the Supplementary Consultation, p. 5.</w:t>
      </w:r>
    </w:p>
  </w:footnote>
  <w:footnote w:id="78">
    <w:p w14:paraId="7BED1AEF" w14:textId="7E79B673" w:rsidR="001E7920" w:rsidRDefault="001E7920" w:rsidP="0098640F">
      <w:pPr>
        <w:pStyle w:val="FootnoteText"/>
        <w:ind w:left="170" w:hanging="170"/>
      </w:pPr>
      <w:r>
        <w:rPr>
          <w:rStyle w:val="FootnoteReference"/>
        </w:rPr>
        <w:footnoteRef/>
      </w:r>
      <w:r>
        <w:t xml:space="preserve"> </w:t>
      </w:r>
      <w:r w:rsidR="0013374D">
        <w:rPr>
          <w:sz w:val="18"/>
          <w:szCs w:val="18"/>
        </w:rPr>
        <w:t>ACCC submission to the Supplementary Consultation</w:t>
      </w:r>
      <w:r w:rsidRPr="00D13672">
        <w:rPr>
          <w:sz w:val="18"/>
          <w:szCs w:val="18"/>
        </w:rPr>
        <w:t>, p</w:t>
      </w:r>
      <w:r>
        <w:rPr>
          <w:sz w:val="18"/>
          <w:szCs w:val="18"/>
        </w:rPr>
        <w:t>.</w:t>
      </w:r>
      <w:r w:rsidRPr="00D13672">
        <w:rPr>
          <w:sz w:val="18"/>
          <w:szCs w:val="18"/>
        </w:rPr>
        <w:t xml:space="preserve"> 1</w:t>
      </w:r>
      <w:r>
        <w:rPr>
          <w:sz w:val="18"/>
          <w:szCs w:val="18"/>
        </w:rPr>
        <w:t>0</w:t>
      </w:r>
      <w:r w:rsidR="00D3274B">
        <w:rPr>
          <w:sz w:val="18"/>
          <w:szCs w:val="18"/>
        </w:rPr>
        <w:t>;</w:t>
      </w:r>
      <w:r>
        <w:rPr>
          <w:sz w:val="18"/>
          <w:szCs w:val="18"/>
        </w:rPr>
        <w:t xml:space="preserve"> </w:t>
      </w:r>
      <w:r w:rsidR="00324708">
        <w:rPr>
          <w:sz w:val="18"/>
          <w:szCs w:val="18"/>
        </w:rPr>
        <w:t xml:space="preserve">Dr Mark </w:t>
      </w:r>
      <w:r w:rsidR="00BA46E1">
        <w:rPr>
          <w:sz w:val="18"/>
          <w:szCs w:val="18"/>
        </w:rPr>
        <w:t>Giancaspro submission to the Supplementary Consultation, p</w:t>
      </w:r>
      <w:r w:rsidR="004277F6">
        <w:rPr>
          <w:sz w:val="18"/>
          <w:szCs w:val="18"/>
        </w:rPr>
        <w:t>p. 3-4.</w:t>
      </w:r>
      <w:r w:rsidR="00BA46E1">
        <w:rPr>
          <w:sz w:val="18"/>
          <w:szCs w:val="18"/>
        </w:rPr>
        <w:t xml:space="preserve"> </w:t>
      </w:r>
    </w:p>
  </w:footnote>
  <w:footnote w:id="79">
    <w:p w14:paraId="50F1A143" w14:textId="11B85C1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3374D">
        <w:rPr>
          <w:sz w:val="18"/>
          <w:szCs w:val="18"/>
        </w:rPr>
        <w:t>.</w:t>
      </w:r>
      <w:r w:rsidR="0004716C">
        <w:rPr>
          <w:sz w:val="18"/>
          <w:szCs w:val="18"/>
        </w:rPr>
        <w:t xml:space="preserve"> </w:t>
      </w:r>
      <w:r w:rsidRPr="00D13672">
        <w:rPr>
          <w:sz w:val="18"/>
          <w:szCs w:val="18"/>
        </w:rPr>
        <w:t>13.</w:t>
      </w:r>
    </w:p>
  </w:footnote>
  <w:footnote w:id="80">
    <w:p w14:paraId="60C45C28" w14:textId="69791C3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F7317C">
        <w:rPr>
          <w:sz w:val="18"/>
          <w:szCs w:val="18"/>
        </w:rPr>
        <w:t>CCC</w:t>
      </w:r>
      <w:r w:rsidR="00CA559D">
        <w:rPr>
          <w:sz w:val="18"/>
          <w:szCs w:val="18"/>
        </w:rPr>
        <w:t xml:space="preserve"> submission to the Supplementary Consultation</w:t>
      </w:r>
      <w:r w:rsidRPr="00D13672">
        <w:rPr>
          <w:sz w:val="18"/>
          <w:szCs w:val="18"/>
        </w:rPr>
        <w:t>, p</w:t>
      </w:r>
      <w:r w:rsidR="008B4535">
        <w:rPr>
          <w:sz w:val="18"/>
          <w:szCs w:val="18"/>
        </w:rPr>
        <w:t>.</w:t>
      </w:r>
      <w:r w:rsidR="0004716C">
        <w:rPr>
          <w:sz w:val="18"/>
          <w:szCs w:val="18"/>
        </w:rPr>
        <w:t xml:space="preserve"> </w:t>
      </w:r>
      <w:r w:rsidRPr="00D13672">
        <w:rPr>
          <w:sz w:val="18"/>
          <w:szCs w:val="18"/>
        </w:rPr>
        <w:t>11.</w:t>
      </w:r>
    </w:p>
  </w:footnote>
  <w:footnote w:id="81">
    <w:p w14:paraId="68105C0C" w14:textId="06B72EB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CA559D">
        <w:rPr>
          <w:sz w:val="18"/>
          <w:szCs w:val="18"/>
        </w:rPr>
        <w:t>.</w:t>
      </w:r>
      <w:r w:rsidR="0004716C">
        <w:rPr>
          <w:sz w:val="18"/>
          <w:szCs w:val="18"/>
        </w:rPr>
        <w:t xml:space="preserve"> </w:t>
      </w:r>
      <w:r w:rsidRPr="00D13672">
        <w:rPr>
          <w:sz w:val="18"/>
          <w:szCs w:val="18"/>
        </w:rPr>
        <w:t>13.</w:t>
      </w:r>
    </w:p>
  </w:footnote>
  <w:footnote w:id="82">
    <w:p w14:paraId="56A81951" w14:textId="1542411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Consult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DA184C">
        <w:rPr>
          <w:sz w:val="18"/>
          <w:szCs w:val="18"/>
        </w:rPr>
        <w:t>.</w:t>
      </w:r>
      <w:r w:rsidRPr="00D13672">
        <w:rPr>
          <w:sz w:val="18"/>
          <w:szCs w:val="18"/>
        </w:rPr>
        <w:t xml:space="preserve"> 5; Tech Council of Australia submission</w:t>
      </w:r>
      <w:r w:rsidR="00A93493">
        <w:rPr>
          <w:sz w:val="18"/>
          <w:szCs w:val="18"/>
        </w:rPr>
        <w:t xml:space="preserve"> to</w:t>
      </w:r>
      <w:r w:rsidRPr="00D13672">
        <w:rPr>
          <w:sz w:val="18"/>
          <w:szCs w:val="18"/>
        </w:rPr>
        <w:t xml:space="preserve">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DA184C">
        <w:rPr>
          <w:sz w:val="18"/>
          <w:szCs w:val="18"/>
        </w:rPr>
        <w:t>.</w:t>
      </w:r>
      <w:r w:rsidR="0004716C">
        <w:rPr>
          <w:sz w:val="18"/>
          <w:szCs w:val="18"/>
        </w:rPr>
        <w:t xml:space="preserve"> </w:t>
      </w:r>
      <w:r w:rsidRPr="00D13672">
        <w:rPr>
          <w:sz w:val="18"/>
          <w:szCs w:val="18"/>
        </w:rPr>
        <w:t>5.</w:t>
      </w:r>
    </w:p>
  </w:footnote>
  <w:footnote w:id="83">
    <w:p w14:paraId="09E013EB" w14:textId="3157CEE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CF2F9F" w:rsidRPr="00CF2F9F">
        <w:rPr>
          <w:sz w:val="18"/>
          <w:szCs w:val="18"/>
        </w:rPr>
        <w:t>Joint Consumer Advocates</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0318F">
        <w:rPr>
          <w:sz w:val="18"/>
          <w:szCs w:val="18"/>
        </w:rPr>
        <w:t>.</w:t>
      </w:r>
      <w:r w:rsidR="0004716C">
        <w:rPr>
          <w:sz w:val="18"/>
          <w:szCs w:val="18"/>
        </w:rPr>
        <w:t xml:space="preserve"> </w:t>
      </w:r>
      <w:r w:rsidRPr="00D13672">
        <w:rPr>
          <w:sz w:val="18"/>
          <w:szCs w:val="18"/>
        </w:rPr>
        <w:t>10.</w:t>
      </w:r>
    </w:p>
  </w:footnote>
  <w:footnote w:id="84">
    <w:p w14:paraId="7468C987" w14:textId="4B16344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Consult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692881" w:rsidRPr="00D13672">
        <w:rPr>
          <w:sz w:val="18"/>
          <w:szCs w:val="18"/>
        </w:rPr>
        <w:t>p</w:t>
      </w:r>
      <w:r w:rsidR="00692881">
        <w:rPr>
          <w:sz w:val="18"/>
          <w:szCs w:val="18"/>
        </w:rPr>
        <w:t>.</w:t>
      </w:r>
      <w:r w:rsidR="0004716C">
        <w:rPr>
          <w:sz w:val="18"/>
          <w:szCs w:val="18"/>
        </w:rPr>
        <w:t xml:space="preserve"> </w:t>
      </w:r>
      <w:r w:rsidRPr="00D13672">
        <w:rPr>
          <w:sz w:val="18"/>
          <w:szCs w:val="18"/>
        </w:rPr>
        <w:t>4.</w:t>
      </w:r>
    </w:p>
  </w:footnote>
  <w:footnote w:id="85">
    <w:p w14:paraId="730831DB" w14:textId="6BD5743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976820">
        <w:rPr>
          <w:sz w:val="18"/>
          <w:szCs w:val="18"/>
        </w:rPr>
        <w:t>p.</w:t>
      </w:r>
      <w:r w:rsidRPr="00D13672">
        <w:rPr>
          <w:sz w:val="18"/>
          <w:szCs w:val="18"/>
        </w:rPr>
        <w:t xml:space="preserve"> 5-6.</w:t>
      </w:r>
    </w:p>
  </w:footnote>
  <w:footnote w:id="86">
    <w:p w14:paraId="1C6D9B77" w14:textId="05393E49"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4E1972">
        <w:rPr>
          <w:sz w:val="18"/>
          <w:szCs w:val="18"/>
        </w:rPr>
        <w:t>ACCC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04716C">
        <w:rPr>
          <w:sz w:val="18"/>
          <w:szCs w:val="18"/>
        </w:rPr>
        <w:t>p.</w:t>
      </w:r>
      <w:r w:rsidR="0004716C" w:rsidRPr="00D13672">
        <w:rPr>
          <w:sz w:val="18"/>
          <w:szCs w:val="18"/>
        </w:rPr>
        <w:t xml:space="preserve"> </w:t>
      </w:r>
      <w:r w:rsidRPr="00D13672">
        <w:rPr>
          <w:sz w:val="18"/>
          <w:szCs w:val="18"/>
        </w:rPr>
        <w:t>13.</w:t>
      </w:r>
    </w:p>
  </w:footnote>
  <w:footnote w:id="87">
    <w:p w14:paraId="33F1F647" w14:textId="55CB83EE"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E1972">
        <w:rPr>
          <w:sz w:val="18"/>
          <w:szCs w:val="18"/>
        </w:rPr>
        <w:t>.</w:t>
      </w:r>
      <w:r w:rsidR="0004716C">
        <w:rPr>
          <w:sz w:val="18"/>
          <w:szCs w:val="18"/>
        </w:rPr>
        <w:t xml:space="preserve"> </w:t>
      </w:r>
      <w:r w:rsidRPr="00D13672">
        <w:rPr>
          <w:sz w:val="18"/>
          <w:szCs w:val="18"/>
        </w:rPr>
        <w:t>14.</w:t>
      </w:r>
    </w:p>
  </w:footnote>
  <w:footnote w:id="88">
    <w:p w14:paraId="6481D7A9" w14:textId="74A4321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Pr="00D13672">
        <w:rPr>
          <w:rFonts w:cstheme="minorHAnsi"/>
          <w:sz w:val="18"/>
          <w:szCs w:val="18"/>
        </w:rPr>
        <w:t xml:space="preserve">Centre for Artificial Intelligence and Digital Ethics submission to the </w:t>
      </w:r>
      <w:r>
        <w:rPr>
          <w:rFonts w:cstheme="minorHAnsi"/>
          <w:sz w:val="18"/>
          <w:szCs w:val="18"/>
        </w:rPr>
        <w:t>S</w:t>
      </w:r>
      <w:r w:rsidRPr="00D13672">
        <w:rPr>
          <w:rFonts w:cstheme="minorHAnsi"/>
          <w:sz w:val="18"/>
          <w:szCs w:val="18"/>
        </w:rPr>
        <w:t xml:space="preserve">upplementary </w:t>
      </w:r>
      <w:r>
        <w:rPr>
          <w:rFonts w:cstheme="minorHAnsi"/>
          <w:sz w:val="18"/>
          <w:szCs w:val="18"/>
        </w:rPr>
        <w:t>C</w:t>
      </w:r>
      <w:r w:rsidRPr="00D13672">
        <w:rPr>
          <w:rFonts w:cstheme="minorHAnsi"/>
          <w:sz w:val="18"/>
          <w:szCs w:val="18"/>
        </w:rPr>
        <w:t xml:space="preserve">onsultation, </w:t>
      </w:r>
      <w:r w:rsidR="004E1972">
        <w:rPr>
          <w:rFonts w:cstheme="minorHAnsi"/>
          <w:sz w:val="18"/>
          <w:szCs w:val="18"/>
        </w:rPr>
        <w:t>p.</w:t>
      </w:r>
      <w:r w:rsidRPr="00D13672">
        <w:rPr>
          <w:rFonts w:cstheme="minorHAnsi"/>
          <w:sz w:val="18"/>
          <w:szCs w:val="18"/>
        </w:rPr>
        <w:t xml:space="preserve"> 7.</w:t>
      </w:r>
    </w:p>
  </w:footnote>
  <w:footnote w:id="89">
    <w:p w14:paraId="13DE5A12" w14:textId="5A22547A" w:rsidR="001C6F49" w:rsidRPr="00DA5449" w:rsidRDefault="001C6F49">
      <w:pPr>
        <w:pStyle w:val="FootnoteText"/>
        <w:rPr>
          <w:sz w:val="18"/>
          <w:szCs w:val="18"/>
        </w:rPr>
      </w:pPr>
      <w:r w:rsidRPr="001C6F49">
        <w:rPr>
          <w:rStyle w:val="FootnoteReference"/>
          <w:szCs w:val="18"/>
        </w:rPr>
        <w:footnoteRef/>
      </w:r>
      <w:r w:rsidRPr="00DA5449">
        <w:rPr>
          <w:sz w:val="18"/>
          <w:szCs w:val="18"/>
        </w:rPr>
        <w:t xml:space="preserve"> ACCC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2774E">
        <w:rPr>
          <w:sz w:val="18"/>
          <w:szCs w:val="18"/>
        </w:rPr>
        <w:t>.</w:t>
      </w:r>
      <w:r w:rsidR="008D1F39">
        <w:rPr>
          <w:sz w:val="18"/>
          <w:szCs w:val="18"/>
        </w:rPr>
        <w:t xml:space="preserve"> </w:t>
      </w:r>
      <w:r w:rsidR="0021152F">
        <w:rPr>
          <w:sz w:val="18"/>
          <w:szCs w:val="18"/>
        </w:rPr>
        <w:t>13</w:t>
      </w:r>
      <w:r w:rsidR="00952618">
        <w:rPr>
          <w:sz w:val="18"/>
          <w:szCs w:val="18"/>
        </w:rPr>
        <w:t>.</w:t>
      </w:r>
    </w:p>
  </w:footnote>
  <w:footnote w:id="90">
    <w:p w14:paraId="263D92E1" w14:textId="720FA81B" w:rsidR="0021152F" w:rsidRPr="00DA5449" w:rsidRDefault="0021152F">
      <w:pPr>
        <w:pStyle w:val="FootnoteText"/>
        <w:rPr>
          <w:sz w:val="18"/>
          <w:szCs w:val="18"/>
        </w:rPr>
      </w:pPr>
      <w:r>
        <w:rPr>
          <w:rStyle w:val="FootnoteReference"/>
        </w:rPr>
        <w:footnoteRef/>
      </w:r>
      <w:r>
        <w:t xml:space="preserve"> </w:t>
      </w:r>
      <w:r>
        <w:rPr>
          <w:sz w:val="18"/>
          <w:szCs w:val="18"/>
        </w:rPr>
        <w:t xml:space="preserve">ASIC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AA0421">
        <w:rPr>
          <w:sz w:val="18"/>
          <w:szCs w:val="18"/>
        </w:rPr>
        <w:t>p.</w:t>
      </w:r>
      <w:r w:rsidR="00A668ED">
        <w:rPr>
          <w:sz w:val="18"/>
          <w:szCs w:val="18"/>
        </w:rPr>
        <w:t xml:space="preserve"> </w:t>
      </w:r>
      <w:r w:rsidR="001F23C5">
        <w:rPr>
          <w:sz w:val="18"/>
          <w:szCs w:val="18"/>
        </w:rPr>
        <w:t>9</w:t>
      </w:r>
      <w:r w:rsidR="00952618">
        <w:rPr>
          <w:sz w:val="18"/>
          <w:szCs w:val="18"/>
        </w:rPr>
        <w:t>.</w:t>
      </w:r>
    </w:p>
  </w:footnote>
  <w:footnote w:id="91">
    <w:p w14:paraId="685BFD4B" w14:textId="53BEE8DF" w:rsidR="00BF77B2" w:rsidRPr="00DA5449" w:rsidRDefault="00BF77B2">
      <w:pPr>
        <w:pStyle w:val="FootnoteText"/>
        <w:rPr>
          <w:sz w:val="18"/>
          <w:szCs w:val="18"/>
        </w:rPr>
      </w:pPr>
      <w:r>
        <w:rPr>
          <w:rStyle w:val="FootnoteReference"/>
        </w:rPr>
        <w:footnoteRef/>
      </w:r>
      <w:r>
        <w:t xml:space="preserve"> </w:t>
      </w:r>
      <w:r w:rsidR="00CF2F9F" w:rsidRPr="00CF2F9F">
        <w:rPr>
          <w:sz w:val="18"/>
          <w:szCs w:val="18"/>
        </w:rPr>
        <w:t>Joint Consumer Advocates</w:t>
      </w:r>
      <w:r>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582D7D">
        <w:rPr>
          <w:sz w:val="18"/>
          <w:szCs w:val="18"/>
        </w:rPr>
        <w:t>.</w:t>
      </w:r>
      <w:r>
        <w:rPr>
          <w:sz w:val="18"/>
          <w:szCs w:val="18"/>
        </w:rPr>
        <w:t xml:space="preserve"> </w:t>
      </w:r>
      <w:r w:rsidR="006F26D9">
        <w:rPr>
          <w:sz w:val="18"/>
          <w:szCs w:val="18"/>
        </w:rPr>
        <w:t>18</w:t>
      </w:r>
      <w:r w:rsidR="00952618">
        <w:rPr>
          <w:sz w:val="18"/>
          <w:szCs w:val="18"/>
        </w:rPr>
        <w:t>.</w:t>
      </w:r>
    </w:p>
  </w:footnote>
  <w:footnote w:id="92">
    <w:p w14:paraId="682EA0E3" w14:textId="29AC4D14" w:rsidR="004744B5" w:rsidRDefault="004744B5">
      <w:pPr>
        <w:pStyle w:val="FootnoteText"/>
      </w:pPr>
      <w:r>
        <w:rPr>
          <w:rStyle w:val="FootnoteReference"/>
        </w:rPr>
        <w:footnoteRef/>
      </w:r>
      <w:r>
        <w:t xml:space="preserve"> </w:t>
      </w:r>
      <w:r w:rsidRPr="007D493A">
        <w:rPr>
          <w:sz w:val="18"/>
          <w:szCs w:val="18"/>
        </w:rPr>
        <w:t>Centre for Artificial Intelligence and Digital Ethics</w:t>
      </w:r>
      <w:r>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0D2312">
        <w:rPr>
          <w:sz w:val="18"/>
          <w:szCs w:val="18"/>
        </w:rPr>
        <w:t xml:space="preserve"> </w:t>
      </w:r>
      <w:r>
        <w:rPr>
          <w:sz w:val="18"/>
          <w:szCs w:val="18"/>
        </w:rPr>
        <w:t>7.</w:t>
      </w:r>
    </w:p>
  </w:footnote>
  <w:footnote w:id="93">
    <w:p w14:paraId="09C1E3F9" w14:textId="705B7CBB" w:rsidR="00651EE7" w:rsidRPr="004418A2" w:rsidRDefault="00651EE7" w:rsidP="002451FC">
      <w:pPr>
        <w:pStyle w:val="FootnoteText"/>
        <w:ind w:left="0" w:firstLine="0"/>
      </w:pPr>
      <w:r>
        <w:rPr>
          <w:rStyle w:val="FootnoteReference"/>
        </w:rPr>
        <w:footnoteRef/>
      </w:r>
      <w:r w:rsidR="00F51917">
        <w:t xml:space="preserve"> </w:t>
      </w:r>
      <w:r>
        <w:rPr>
          <w:sz w:val="18"/>
          <w:szCs w:val="18"/>
        </w:rPr>
        <w:t xml:space="preserve">Internet Association of Australia submission to the Supplementary Consultation, p. 3; </w:t>
      </w:r>
      <w:r w:rsidRPr="0027760B">
        <w:rPr>
          <w:sz w:val="18"/>
          <w:szCs w:val="18"/>
        </w:rPr>
        <w:t>Australian Retailers Association</w:t>
      </w:r>
      <w:r w:rsidR="00F51917">
        <w:rPr>
          <w:sz w:val="18"/>
          <w:szCs w:val="18"/>
        </w:rPr>
        <w:t xml:space="preserve"> </w:t>
      </w:r>
      <w:r w:rsidR="00696C07">
        <w:rPr>
          <w:sz w:val="18"/>
          <w:szCs w:val="18"/>
        </w:rPr>
        <w:t xml:space="preserve">     </w:t>
      </w:r>
      <w:r w:rsidR="00F51917">
        <w:rPr>
          <w:sz w:val="18"/>
          <w:szCs w:val="18"/>
        </w:rPr>
        <w:t>submission to the Supplementary Consultation</w:t>
      </w:r>
      <w:r w:rsidRPr="0027760B">
        <w:rPr>
          <w:sz w:val="18"/>
          <w:szCs w:val="18"/>
        </w:rPr>
        <w:t>, p.</w:t>
      </w:r>
      <w:r w:rsidR="000D2312">
        <w:rPr>
          <w:sz w:val="18"/>
          <w:szCs w:val="18"/>
        </w:rPr>
        <w:t xml:space="preserve"> </w:t>
      </w:r>
      <w:r>
        <w:rPr>
          <w:sz w:val="18"/>
          <w:szCs w:val="18"/>
        </w:rPr>
        <w:t>8.</w:t>
      </w:r>
    </w:p>
  </w:footnote>
  <w:footnote w:id="94">
    <w:p w14:paraId="7CF6869F" w14:textId="6F0B3335" w:rsidR="00C821C6" w:rsidRDefault="00C821C6">
      <w:pPr>
        <w:pStyle w:val="FootnoteText"/>
      </w:pPr>
      <w:r>
        <w:rPr>
          <w:rStyle w:val="FootnoteReference"/>
        </w:rPr>
        <w:footnoteRef/>
      </w:r>
      <w:r>
        <w:t xml:space="preserve"> </w:t>
      </w:r>
      <w:r w:rsidR="0096258A" w:rsidRPr="0041457B">
        <w:rPr>
          <w:sz w:val="18"/>
          <w:szCs w:val="18"/>
        </w:rPr>
        <w:t xml:space="preserve">Federal Chamber of Automative Industries submission to the </w:t>
      </w:r>
      <w:r w:rsidR="00391774" w:rsidRPr="0041457B">
        <w:rPr>
          <w:sz w:val="18"/>
          <w:szCs w:val="18"/>
        </w:rPr>
        <w:t>Supplementary</w:t>
      </w:r>
      <w:r w:rsidR="0096258A" w:rsidRPr="0041457B">
        <w:rPr>
          <w:sz w:val="18"/>
          <w:szCs w:val="18"/>
        </w:rPr>
        <w:t xml:space="preserve"> </w:t>
      </w:r>
      <w:r w:rsidR="00391774" w:rsidRPr="0041457B">
        <w:rPr>
          <w:sz w:val="18"/>
          <w:szCs w:val="18"/>
        </w:rPr>
        <w:t>Consultation</w:t>
      </w:r>
      <w:r w:rsidR="0096258A" w:rsidRPr="0041457B">
        <w:rPr>
          <w:sz w:val="18"/>
          <w:szCs w:val="18"/>
        </w:rPr>
        <w:t>, p.</w:t>
      </w:r>
      <w:r w:rsidR="00305C01">
        <w:rPr>
          <w:sz w:val="18"/>
          <w:szCs w:val="18"/>
        </w:rPr>
        <w:t xml:space="preserve"> </w:t>
      </w:r>
      <w:r w:rsidR="0096258A" w:rsidRPr="0041457B">
        <w:rPr>
          <w:sz w:val="18"/>
          <w:szCs w:val="18"/>
        </w:rPr>
        <w:t>4</w:t>
      </w:r>
      <w:r w:rsidR="00B91249">
        <w:rPr>
          <w:sz w:val="18"/>
          <w:szCs w:val="18"/>
        </w:rPr>
        <w:t>.</w:t>
      </w:r>
    </w:p>
  </w:footnote>
  <w:footnote w:id="95">
    <w:p w14:paraId="79CA9E42" w14:textId="59580A2B" w:rsidR="009F5A20" w:rsidRPr="0041457B" w:rsidRDefault="009F5A20" w:rsidP="0041457B">
      <w:pPr>
        <w:pStyle w:val="FootnoteText"/>
        <w:ind w:left="170" w:hanging="170"/>
        <w:rPr>
          <w:sz w:val="18"/>
          <w:szCs w:val="18"/>
        </w:rPr>
      </w:pPr>
      <w:r>
        <w:rPr>
          <w:rStyle w:val="FootnoteReference"/>
        </w:rPr>
        <w:footnoteRef/>
      </w:r>
      <w:r>
        <w:t xml:space="preserve"> </w:t>
      </w:r>
      <w:r w:rsidRPr="00D13672">
        <w:rPr>
          <w:sz w:val="18"/>
          <w:szCs w:val="18"/>
        </w:rPr>
        <w:t xml:space="preserve">Law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Pr>
          <w:sz w:val="18"/>
          <w:szCs w:val="18"/>
        </w:rPr>
        <w:t>.</w:t>
      </w:r>
      <w:r w:rsidR="00305C01">
        <w:rPr>
          <w:sz w:val="18"/>
          <w:szCs w:val="18"/>
        </w:rPr>
        <w:t xml:space="preserve"> </w:t>
      </w:r>
      <w:r>
        <w:rPr>
          <w:sz w:val="18"/>
          <w:szCs w:val="18"/>
        </w:rPr>
        <w:t>7</w:t>
      </w:r>
      <w:r w:rsidR="00DF5454">
        <w:rPr>
          <w:sz w:val="18"/>
          <w:szCs w:val="18"/>
        </w:rPr>
        <w:t xml:space="preserve">. </w:t>
      </w:r>
      <w:r>
        <w:rPr>
          <w:sz w:val="18"/>
          <w:szCs w:val="18"/>
        </w:rPr>
        <w:t xml:space="preserve"> </w:t>
      </w:r>
    </w:p>
  </w:footnote>
  <w:footnote w:id="96">
    <w:p w14:paraId="289CF6AD" w14:textId="17BD5BF4" w:rsidR="00A01540" w:rsidRDefault="00A01540" w:rsidP="0068079D">
      <w:pPr>
        <w:pStyle w:val="FootnoteText"/>
        <w:ind w:left="170" w:hanging="170"/>
      </w:pPr>
      <w:r>
        <w:rPr>
          <w:rStyle w:val="FootnoteReference"/>
        </w:rPr>
        <w:footnoteRef/>
      </w:r>
      <w:r>
        <w:t xml:space="preserve"> </w:t>
      </w:r>
      <w:r w:rsidRPr="0068079D">
        <w:rPr>
          <w:sz w:val="18"/>
          <w:szCs w:val="18"/>
        </w:rPr>
        <w:t xml:space="preserve">The ACCI submission to </w:t>
      </w:r>
      <w:r w:rsidR="007226B8" w:rsidRPr="0068079D">
        <w:rPr>
          <w:sz w:val="18"/>
          <w:szCs w:val="18"/>
        </w:rPr>
        <w:t xml:space="preserve">the Supplementary Consultation, </w:t>
      </w:r>
      <w:r w:rsidR="007226B8">
        <w:rPr>
          <w:sz w:val="18"/>
          <w:szCs w:val="18"/>
        </w:rPr>
        <w:t>p.</w:t>
      </w:r>
      <w:r w:rsidR="00D42FAF">
        <w:rPr>
          <w:sz w:val="18"/>
          <w:szCs w:val="18"/>
        </w:rPr>
        <w:t xml:space="preserve"> </w:t>
      </w:r>
      <w:r w:rsidR="007226B8">
        <w:rPr>
          <w:sz w:val="18"/>
          <w:szCs w:val="18"/>
        </w:rPr>
        <w:t>3</w:t>
      </w:r>
      <w:r w:rsidR="00512794">
        <w:rPr>
          <w:sz w:val="18"/>
          <w:szCs w:val="18"/>
        </w:rPr>
        <w:t>;</w:t>
      </w:r>
      <w:r w:rsidR="007226B8">
        <w:rPr>
          <w:sz w:val="18"/>
          <w:szCs w:val="18"/>
        </w:rPr>
        <w:t xml:space="preserve"> </w:t>
      </w:r>
      <w:r w:rsidR="00EA1F90">
        <w:rPr>
          <w:sz w:val="18"/>
          <w:szCs w:val="18"/>
        </w:rPr>
        <w:t xml:space="preserve">Retail Drinks Australia submission to the </w:t>
      </w:r>
      <w:r w:rsidR="00512794">
        <w:rPr>
          <w:sz w:val="18"/>
          <w:szCs w:val="18"/>
        </w:rPr>
        <w:t>Supplementary</w:t>
      </w:r>
      <w:r w:rsidR="00EA1F90">
        <w:rPr>
          <w:sz w:val="18"/>
          <w:szCs w:val="18"/>
        </w:rPr>
        <w:t xml:space="preserve"> </w:t>
      </w:r>
      <w:r w:rsidR="00512794">
        <w:rPr>
          <w:sz w:val="18"/>
          <w:szCs w:val="18"/>
        </w:rPr>
        <w:t xml:space="preserve">Consultation, p. </w:t>
      </w:r>
      <w:r w:rsidR="007E1717">
        <w:rPr>
          <w:sz w:val="18"/>
          <w:szCs w:val="18"/>
        </w:rPr>
        <w:t>2</w:t>
      </w:r>
      <w:r w:rsidR="00DE0B67">
        <w:rPr>
          <w:sz w:val="18"/>
          <w:szCs w:val="18"/>
        </w:rPr>
        <w:t>.</w:t>
      </w:r>
    </w:p>
  </w:footnote>
  <w:footnote w:id="97">
    <w:p w14:paraId="1DCF9365" w14:textId="5C9619BF" w:rsidR="0030107A" w:rsidRDefault="0030107A">
      <w:pPr>
        <w:pStyle w:val="FootnoteText"/>
      </w:pPr>
      <w:r>
        <w:rPr>
          <w:rStyle w:val="FootnoteReference"/>
        </w:rPr>
        <w:footnoteRef/>
      </w:r>
      <w:r>
        <w:t xml:space="preserve"> </w:t>
      </w:r>
      <w:r w:rsidR="00E504C8" w:rsidRPr="0068079D">
        <w:rPr>
          <w:sz w:val="18"/>
          <w:szCs w:val="18"/>
        </w:rPr>
        <w:t>The Tech Council submission to the Supplementary Consultation, p</w:t>
      </w:r>
      <w:r w:rsidR="00D42FAF">
        <w:rPr>
          <w:sz w:val="18"/>
          <w:szCs w:val="18"/>
        </w:rPr>
        <w:t>p</w:t>
      </w:r>
      <w:r w:rsidR="00E504C8" w:rsidRPr="0068079D">
        <w:rPr>
          <w:sz w:val="18"/>
          <w:szCs w:val="18"/>
        </w:rPr>
        <w:t xml:space="preserve">. 6-7. </w:t>
      </w:r>
    </w:p>
  </w:footnote>
  <w:footnote w:id="98">
    <w:p w14:paraId="47B0DC14" w14:textId="1711C01E" w:rsidR="00DA3E4F" w:rsidRDefault="00DA3E4F">
      <w:pPr>
        <w:pStyle w:val="FootnoteText"/>
      </w:pPr>
      <w:r>
        <w:rPr>
          <w:rStyle w:val="FootnoteReference"/>
        </w:rPr>
        <w:footnoteRef/>
      </w:r>
      <w:r>
        <w:t xml:space="preserve"> </w:t>
      </w:r>
      <w:r w:rsidRPr="0068079D">
        <w:rPr>
          <w:sz w:val="18"/>
          <w:szCs w:val="18"/>
        </w:rPr>
        <w:t>DIGI submission to the Supplementary Consultation, p.</w:t>
      </w:r>
      <w:r w:rsidR="00D42FAF">
        <w:rPr>
          <w:sz w:val="18"/>
          <w:szCs w:val="18"/>
        </w:rPr>
        <w:t xml:space="preserve"> </w:t>
      </w:r>
      <w:r w:rsidR="004D2070">
        <w:rPr>
          <w:sz w:val="18"/>
          <w:szCs w:val="18"/>
        </w:rPr>
        <w:t>5</w:t>
      </w:r>
      <w:r w:rsidRPr="0068079D">
        <w:rPr>
          <w:sz w:val="18"/>
          <w:szCs w:val="18"/>
        </w:rPr>
        <w:t xml:space="preserve">. </w:t>
      </w:r>
    </w:p>
  </w:footnote>
  <w:footnote w:id="99">
    <w:p w14:paraId="0B5DA978" w14:textId="7F1857A5" w:rsidR="00DA3E4F" w:rsidRDefault="00DA3E4F" w:rsidP="0068079D">
      <w:pPr>
        <w:pStyle w:val="FootnoteText"/>
        <w:ind w:left="227" w:hanging="227"/>
      </w:pPr>
      <w:r>
        <w:rPr>
          <w:rStyle w:val="FootnoteReference"/>
        </w:rPr>
        <w:footnoteRef/>
      </w:r>
      <w:r>
        <w:t xml:space="preserve"> </w:t>
      </w:r>
      <w:r w:rsidRPr="00510DB7">
        <w:rPr>
          <w:sz w:val="18"/>
          <w:szCs w:val="18"/>
        </w:rPr>
        <w:t>DIGI submission to the Supplementary Consultation, p</w:t>
      </w:r>
      <w:r w:rsidR="00A2668F">
        <w:rPr>
          <w:sz w:val="18"/>
          <w:szCs w:val="18"/>
        </w:rPr>
        <w:t>p. 9-10</w:t>
      </w:r>
      <w:r>
        <w:rPr>
          <w:sz w:val="18"/>
          <w:szCs w:val="18"/>
        </w:rPr>
        <w:t xml:space="preserve">; </w:t>
      </w:r>
      <w:r w:rsidR="002B70B7">
        <w:rPr>
          <w:sz w:val="18"/>
          <w:szCs w:val="18"/>
        </w:rPr>
        <w:t>Insurance Council of Australia submission to the Supplementary Consultation, p.</w:t>
      </w:r>
      <w:r w:rsidR="001D2548">
        <w:rPr>
          <w:sz w:val="18"/>
          <w:szCs w:val="18"/>
        </w:rPr>
        <w:t xml:space="preserve"> </w:t>
      </w:r>
      <w:r w:rsidR="002B70B7">
        <w:rPr>
          <w:sz w:val="18"/>
          <w:szCs w:val="18"/>
        </w:rPr>
        <w:t xml:space="preserve">7. </w:t>
      </w:r>
    </w:p>
  </w:footnote>
  <w:footnote w:id="100">
    <w:p w14:paraId="643B4E60" w14:textId="7A0F9B6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82A8B" w:rsidRPr="00D13672">
        <w:rPr>
          <w:sz w:val="18"/>
          <w:szCs w:val="18"/>
        </w:rPr>
        <w:t>E</w:t>
      </w:r>
      <w:r w:rsidR="00E82A8B">
        <w:rPr>
          <w:sz w:val="18"/>
          <w:szCs w:val="18"/>
        </w:rPr>
        <w:t>uropean</w:t>
      </w:r>
      <w:r w:rsidR="00BF7DAA">
        <w:rPr>
          <w:sz w:val="18"/>
          <w:szCs w:val="18"/>
        </w:rPr>
        <w:t xml:space="preserve"> Union </w:t>
      </w:r>
      <w:r w:rsidR="00500E85">
        <w:rPr>
          <w:sz w:val="18"/>
          <w:szCs w:val="18"/>
        </w:rPr>
        <w:t xml:space="preserve">, </w:t>
      </w:r>
      <w:hyperlink r:id="rId33" w:history="1">
        <w:r w:rsidR="005B2ADA" w:rsidRPr="005B2ADA">
          <w:rPr>
            <w:rStyle w:val="Hyperlink"/>
            <w:i/>
            <w:iCs/>
            <w:sz w:val="18"/>
            <w:szCs w:val="18"/>
          </w:rPr>
          <w:t>Unfair Commercial Practices Directive</w:t>
        </w:r>
      </w:hyperlink>
      <w:r w:rsidR="000468EC">
        <w:rPr>
          <w:sz w:val="18"/>
          <w:szCs w:val="18"/>
        </w:rPr>
        <w:t xml:space="preserve">, </w:t>
      </w:r>
      <w:r w:rsidR="004241FA">
        <w:rPr>
          <w:sz w:val="18"/>
          <w:szCs w:val="18"/>
        </w:rPr>
        <w:t xml:space="preserve">European Union, </w:t>
      </w:r>
      <w:r w:rsidR="00500E85">
        <w:rPr>
          <w:sz w:val="18"/>
          <w:szCs w:val="18"/>
        </w:rPr>
        <w:t xml:space="preserve">2022, </w:t>
      </w:r>
      <w:r w:rsidR="000468EC">
        <w:rPr>
          <w:sz w:val="18"/>
          <w:szCs w:val="18"/>
        </w:rPr>
        <w:t xml:space="preserve">accessed </w:t>
      </w:r>
      <w:r w:rsidR="00EE0DAC">
        <w:rPr>
          <w:sz w:val="18"/>
          <w:szCs w:val="18"/>
        </w:rPr>
        <w:t xml:space="preserve">9 July </w:t>
      </w:r>
      <w:r w:rsidR="00951904">
        <w:rPr>
          <w:sz w:val="18"/>
          <w:szCs w:val="18"/>
        </w:rPr>
        <w:t xml:space="preserve">2025. </w:t>
      </w:r>
    </w:p>
  </w:footnote>
  <w:footnote w:id="101">
    <w:p w14:paraId="523AACDD" w14:textId="4C89B369" w:rsidR="00406CD0" w:rsidRPr="00D13672" w:rsidRDefault="00406CD0" w:rsidP="007E1DD6">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Other example modalities for interaction can include touch (as with smartphone or tablet touchscreens), visual (what is visible on a screen, such as buttons and icons), gestural (interaction with physical gestures as is common in virtual reality and motion sensing devices) or tactile (feedback that can be felt like phone vibrations or haptic feedback from a controller).</w:t>
      </w:r>
    </w:p>
  </w:footnote>
  <w:footnote w:id="102">
    <w:p w14:paraId="30067B05" w14:textId="104FE38A" w:rsidR="00406CD0" w:rsidRPr="00D13672" w:rsidRDefault="00406CD0" w:rsidP="007E1DD6">
      <w:pPr>
        <w:pStyle w:val="FooterOdd"/>
        <w:ind w:left="227" w:hanging="227"/>
        <w:jc w:val="left"/>
        <w:rPr>
          <w:sz w:val="18"/>
          <w:szCs w:val="18"/>
        </w:rPr>
      </w:pPr>
      <w:r w:rsidRPr="00D13672">
        <w:rPr>
          <w:rStyle w:val="FootnoteReference"/>
          <w:rFonts w:eastAsiaTheme="majorEastAsia"/>
          <w:szCs w:val="18"/>
        </w:rPr>
        <w:footnoteRef/>
      </w:r>
      <w:r w:rsidRPr="00D13672">
        <w:rPr>
          <w:sz w:val="18"/>
          <w:szCs w:val="18"/>
        </w:rPr>
        <w:t xml:space="preserve"> </w:t>
      </w:r>
      <w:r w:rsidR="00D3274B">
        <w:rPr>
          <w:sz w:val="18"/>
          <w:szCs w:val="18"/>
        </w:rPr>
        <w:t xml:space="preserve">See examples: </w:t>
      </w:r>
      <w:r w:rsidR="0071029A">
        <w:rPr>
          <w:sz w:val="18"/>
          <w:szCs w:val="18"/>
        </w:rPr>
        <w:t>ACCC</w:t>
      </w:r>
      <w:r w:rsidR="00247135">
        <w:rPr>
          <w:sz w:val="18"/>
          <w:szCs w:val="18"/>
        </w:rPr>
        <w:t xml:space="preserve"> </w:t>
      </w:r>
      <w:hyperlink r:id="rId34" w:history="1">
        <w:r w:rsidR="00DD3988" w:rsidRPr="00B51FBA">
          <w:rPr>
            <w:rStyle w:val="Hyperlink"/>
            <w:i/>
            <w:iCs/>
            <w:sz w:val="18"/>
            <w:szCs w:val="18"/>
          </w:rPr>
          <w:t>$</w:t>
        </w:r>
        <w:r w:rsidRPr="00B51FBA">
          <w:rPr>
            <w:rStyle w:val="Hyperlink"/>
            <w:i/>
            <w:iCs/>
            <w:sz w:val="18"/>
            <w:szCs w:val="18"/>
          </w:rPr>
          <w:t>20m</w:t>
        </w:r>
        <w:r w:rsidR="00DD3988" w:rsidRPr="00B51FBA">
          <w:rPr>
            <w:rStyle w:val="Hyperlink"/>
            <w:i/>
            <w:iCs/>
            <w:sz w:val="18"/>
            <w:szCs w:val="18"/>
          </w:rPr>
          <w:t xml:space="preserve"> </w:t>
        </w:r>
        <w:r w:rsidRPr="00B51FBA">
          <w:rPr>
            <w:rStyle w:val="Hyperlink"/>
            <w:i/>
            <w:iCs/>
            <w:sz w:val="18"/>
            <w:szCs w:val="18"/>
          </w:rPr>
          <w:t>penalty</w:t>
        </w:r>
        <w:r w:rsidR="00DD3988" w:rsidRPr="00B51FBA">
          <w:rPr>
            <w:rStyle w:val="Hyperlink"/>
            <w:i/>
            <w:iCs/>
            <w:sz w:val="18"/>
            <w:szCs w:val="18"/>
          </w:rPr>
          <w:t xml:space="preserve"> </w:t>
        </w:r>
        <w:r w:rsidRPr="00B51FBA">
          <w:rPr>
            <w:rStyle w:val="Hyperlink"/>
            <w:i/>
            <w:iCs/>
            <w:sz w:val="18"/>
            <w:szCs w:val="18"/>
          </w:rPr>
          <w:t>for</w:t>
        </w:r>
        <w:r w:rsidR="00DD3988" w:rsidRPr="00B51FBA">
          <w:rPr>
            <w:rStyle w:val="Hyperlink"/>
            <w:i/>
            <w:iCs/>
            <w:sz w:val="18"/>
            <w:szCs w:val="18"/>
          </w:rPr>
          <w:t xml:space="preserve"> Meta </w:t>
        </w:r>
        <w:r w:rsidRPr="00B51FBA">
          <w:rPr>
            <w:rStyle w:val="Hyperlink"/>
            <w:i/>
            <w:iCs/>
            <w:sz w:val="18"/>
            <w:szCs w:val="18"/>
          </w:rPr>
          <w:t>companies</w:t>
        </w:r>
        <w:r w:rsidR="00DD3988" w:rsidRPr="00B51FBA">
          <w:rPr>
            <w:rStyle w:val="Hyperlink"/>
            <w:i/>
            <w:iCs/>
            <w:sz w:val="18"/>
            <w:szCs w:val="18"/>
          </w:rPr>
          <w:t xml:space="preserve"> </w:t>
        </w:r>
        <w:r w:rsidRPr="00B51FBA">
          <w:rPr>
            <w:rStyle w:val="Hyperlink"/>
            <w:i/>
            <w:iCs/>
            <w:sz w:val="18"/>
            <w:szCs w:val="18"/>
          </w:rPr>
          <w:t>for</w:t>
        </w:r>
        <w:r w:rsidR="00DD3988" w:rsidRPr="00B51FBA">
          <w:rPr>
            <w:rStyle w:val="Hyperlink"/>
            <w:i/>
            <w:iCs/>
            <w:sz w:val="18"/>
            <w:szCs w:val="18"/>
          </w:rPr>
          <w:t xml:space="preserve"> </w:t>
        </w:r>
        <w:r w:rsidRPr="00B51FBA">
          <w:rPr>
            <w:rStyle w:val="Hyperlink"/>
            <w:i/>
            <w:iCs/>
            <w:sz w:val="18"/>
            <w:szCs w:val="18"/>
          </w:rPr>
          <w:t>conduct</w:t>
        </w:r>
        <w:r w:rsidR="00DD3988" w:rsidRPr="00B51FBA">
          <w:rPr>
            <w:rStyle w:val="Hyperlink"/>
            <w:i/>
            <w:iCs/>
            <w:sz w:val="18"/>
            <w:szCs w:val="18"/>
          </w:rPr>
          <w:t xml:space="preserve"> </w:t>
        </w:r>
        <w:r w:rsidRPr="00B51FBA">
          <w:rPr>
            <w:rStyle w:val="Hyperlink"/>
            <w:i/>
            <w:iCs/>
            <w:sz w:val="18"/>
            <w:szCs w:val="18"/>
          </w:rPr>
          <w:t>liable</w:t>
        </w:r>
        <w:r w:rsidR="00DD3988" w:rsidRPr="00B51FBA">
          <w:rPr>
            <w:rStyle w:val="Hyperlink"/>
            <w:i/>
            <w:iCs/>
            <w:sz w:val="18"/>
            <w:szCs w:val="18"/>
          </w:rPr>
          <w:t xml:space="preserve"> </w:t>
        </w:r>
        <w:r w:rsidRPr="00B51FBA">
          <w:rPr>
            <w:rStyle w:val="Hyperlink"/>
            <w:i/>
            <w:iCs/>
            <w:sz w:val="18"/>
            <w:szCs w:val="18"/>
          </w:rPr>
          <w:t>to</w:t>
        </w:r>
        <w:r w:rsidR="00DD3988" w:rsidRPr="00B51FBA">
          <w:rPr>
            <w:rStyle w:val="Hyperlink"/>
            <w:i/>
            <w:iCs/>
            <w:sz w:val="18"/>
            <w:szCs w:val="18"/>
          </w:rPr>
          <w:t xml:space="preserve"> </w:t>
        </w:r>
        <w:r w:rsidRPr="00B51FBA">
          <w:rPr>
            <w:rStyle w:val="Hyperlink"/>
            <w:i/>
            <w:iCs/>
            <w:sz w:val="18"/>
            <w:szCs w:val="18"/>
          </w:rPr>
          <w:t>mislead</w:t>
        </w:r>
        <w:r w:rsidR="00DD3988" w:rsidRPr="00B51FBA">
          <w:rPr>
            <w:rStyle w:val="Hyperlink"/>
            <w:i/>
            <w:iCs/>
            <w:sz w:val="18"/>
            <w:szCs w:val="18"/>
          </w:rPr>
          <w:t xml:space="preserve"> </w:t>
        </w:r>
        <w:r w:rsidRPr="00B51FBA">
          <w:rPr>
            <w:rStyle w:val="Hyperlink"/>
            <w:i/>
            <w:iCs/>
            <w:sz w:val="18"/>
            <w:szCs w:val="18"/>
          </w:rPr>
          <w:t>consumers</w:t>
        </w:r>
        <w:r w:rsidR="00DD3988" w:rsidRPr="00B51FBA">
          <w:rPr>
            <w:rStyle w:val="Hyperlink"/>
            <w:i/>
            <w:iCs/>
            <w:sz w:val="18"/>
            <w:szCs w:val="18"/>
          </w:rPr>
          <w:t xml:space="preserve"> </w:t>
        </w:r>
        <w:r w:rsidRPr="00B51FBA">
          <w:rPr>
            <w:rStyle w:val="Hyperlink"/>
            <w:i/>
            <w:iCs/>
            <w:sz w:val="18"/>
            <w:szCs w:val="18"/>
          </w:rPr>
          <w:t>about</w:t>
        </w:r>
        <w:r w:rsidR="00DD3988" w:rsidRPr="00B51FBA">
          <w:rPr>
            <w:rStyle w:val="Hyperlink"/>
            <w:i/>
            <w:iCs/>
            <w:sz w:val="18"/>
            <w:szCs w:val="18"/>
          </w:rPr>
          <w:t xml:space="preserve"> </w:t>
        </w:r>
        <w:r w:rsidRPr="00B51FBA">
          <w:rPr>
            <w:rStyle w:val="Hyperlink"/>
            <w:i/>
            <w:iCs/>
            <w:sz w:val="18"/>
            <w:szCs w:val="18"/>
          </w:rPr>
          <w:t>their</w:t>
        </w:r>
        <w:r w:rsidR="00DD3988" w:rsidRPr="00B51FBA">
          <w:rPr>
            <w:rStyle w:val="Hyperlink"/>
            <w:i/>
            <w:iCs/>
            <w:sz w:val="18"/>
            <w:szCs w:val="18"/>
          </w:rPr>
          <w:t xml:space="preserve"> use of </w:t>
        </w:r>
        <w:r w:rsidRPr="00B51FBA">
          <w:rPr>
            <w:rStyle w:val="Hyperlink"/>
            <w:i/>
            <w:iCs/>
            <w:sz w:val="18"/>
            <w:szCs w:val="18"/>
          </w:rPr>
          <w:t>data</w:t>
        </w:r>
      </w:hyperlink>
      <w:r w:rsidR="00DD3988">
        <w:rPr>
          <w:i/>
          <w:iCs/>
          <w:sz w:val="18"/>
          <w:szCs w:val="18"/>
        </w:rPr>
        <w:t xml:space="preserve"> </w:t>
      </w:r>
      <w:r w:rsidR="00DD3988" w:rsidRPr="00366A5B">
        <w:rPr>
          <w:sz w:val="18"/>
          <w:szCs w:val="18"/>
        </w:rPr>
        <w:t>[media release], ACC</w:t>
      </w:r>
      <w:r w:rsidR="00DD0C3A" w:rsidRPr="00366A5B">
        <w:rPr>
          <w:sz w:val="18"/>
          <w:szCs w:val="18"/>
        </w:rPr>
        <w:t>C</w:t>
      </w:r>
      <w:r w:rsidR="004E3157">
        <w:rPr>
          <w:sz w:val="18"/>
          <w:szCs w:val="18"/>
        </w:rPr>
        <w:t>,</w:t>
      </w:r>
      <w:r w:rsidR="00DD0C3A" w:rsidRPr="00366A5B">
        <w:rPr>
          <w:sz w:val="18"/>
          <w:szCs w:val="18"/>
        </w:rPr>
        <w:t xml:space="preserve"> </w:t>
      </w:r>
      <w:r w:rsidR="007D16FF">
        <w:rPr>
          <w:sz w:val="18"/>
          <w:szCs w:val="18"/>
        </w:rPr>
        <w:t>26 July 2023,</w:t>
      </w:r>
      <w:r w:rsidR="00D94BBC">
        <w:rPr>
          <w:sz w:val="18"/>
          <w:szCs w:val="18"/>
        </w:rPr>
        <w:t xml:space="preserve"> </w:t>
      </w:r>
      <w:r w:rsidR="00DD0C3A" w:rsidRPr="00366A5B">
        <w:rPr>
          <w:sz w:val="18"/>
          <w:szCs w:val="18"/>
        </w:rPr>
        <w:t xml:space="preserve">accessed </w:t>
      </w:r>
      <w:r w:rsidR="00D3274B" w:rsidRPr="00366A5B">
        <w:rPr>
          <w:sz w:val="18"/>
          <w:szCs w:val="18"/>
        </w:rPr>
        <w:t>9 July 2025</w:t>
      </w:r>
      <w:r w:rsidR="00D3274B">
        <w:rPr>
          <w:i/>
          <w:iCs/>
          <w:sz w:val="18"/>
          <w:szCs w:val="18"/>
        </w:rPr>
        <w:t xml:space="preserve">; </w:t>
      </w:r>
      <w:r w:rsidR="00F80ADC">
        <w:rPr>
          <w:sz w:val="18"/>
          <w:szCs w:val="18"/>
        </w:rPr>
        <w:t>ACCC</w:t>
      </w:r>
      <w:r w:rsidR="007D16FF">
        <w:rPr>
          <w:sz w:val="18"/>
          <w:szCs w:val="18"/>
        </w:rPr>
        <w:t>,</w:t>
      </w:r>
      <w:r w:rsidR="00D010B8">
        <w:rPr>
          <w:sz w:val="18"/>
          <w:szCs w:val="18"/>
        </w:rPr>
        <w:t xml:space="preserve"> </w:t>
      </w:r>
      <w:hyperlink r:id="rId35" w:history="1">
        <w:r w:rsidR="00765570" w:rsidRPr="0049576F">
          <w:rPr>
            <w:rStyle w:val="Hyperlink"/>
            <w:i/>
            <w:iCs/>
            <w:sz w:val="18"/>
            <w:szCs w:val="18"/>
          </w:rPr>
          <w:t xml:space="preserve">Google LLC to pay </w:t>
        </w:r>
        <w:r w:rsidR="007A0C1F" w:rsidRPr="0049576F">
          <w:rPr>
            <w:rStyle w:val="Hyperlink"/>
            <w:i/>
            <w:iCs/>
            <w:sz w:val="18"/>
            <w:szCs w:val="18"/>
          </w:rPr>
          <w:t>$60 million for misleading representations</w:t>
        </w:r>
      </w:hyperlink>
      <w:r w:rsidR="007A0C1F" w:rsidRPr="0049576F">
        <w:rPr>
          <w:i/>
          <w:iCs/>
          <w:sz w:val="18"/>
          <w:szCs w:val="18"/>
        </w:rPr>
        <w:t xml:space="preserve"> </w:t>
      </w:r>
      <w:r w:rsidR="00FB665F">
        <w:rPr>
          <w:sz w:val="18"/>
          <w:szCs w:val="18"/>
        </w:rPr>
        <w:t xml:space="preserve">[media release], ACCC, </w:t>
      </w:r>
      <w:r w:rsidR="007D16FF">
        <w:rPr>
          <w:sz w:val="18"/>
          <w:szCs w:val="18"/>
        </w:rPr>
        <w:t xml:space="preserve">12 August 2022, </w:t>
      </w:r>
      <w:r w:rsidR="00FB665F">
        <w:rPr>
          <w:sz w:val="18"/>
          <w:szCs w:val="18"/>
        </w:rPr>
        <w:t>accessed 9 July 2025</w:t>
      </w:r>
      <w:r w:rsidR="00366A5B">
        <w:rPr>
          <w:sz w:val="18"/>
          <w:szCs w:val="18"/>
        </w:rPr>
        <w:t xml:space="preserve">. </w:t>
      </w:r>
    </w:p>
  </w:footnote>
  <w:footnote w:id="103">
    <w:p w14:paraId="527F575B" w14:textId="59B4B14A" w:rsidR="008C4BD8" w:rsidRDefault="008C4BD8">
      <w:pPr>
        <w:pStyle w:val="FootnoteText"/>
      </w:pPr>
      <w:r>
        <w:rPr>
          <w:rStyle w:val="FootnoteReference"/>
        </w:rPr>
        <w:footnoteRef/>
      </w:r>
      <w:r>
        <w:t xml:space="preserve"> </w:t>
      </w:r>
      <w:r w:rsidR="002B3A7C" w:rsidRPr="0049576F">
        <w:rPr>
          <w:sz w:val="18"/>
          <w:szCs w:val="18"/>
        </w:rPr>
        <w:t xml:space="preserve">Section 69 of the </w:t>
      </w:r>
      <w:r w:rsidR="00795892" w:rsidRPr="00DA5449">
        <w:rPr>
          <w:sz w:val="18"/>
          <w:szCs w:val="18"/>
        </w:rPr>
        <w:t>ACL</w:t>
      </w:r>
      <w:r w:rsidR="002B3A7C">
        <w:rPr>
          <w:sz w:val="18"/>
          <w:szCs w:val="18"/>
        </w:rPr>
        <w:t>.</w:t>
      </w:r>
      <w:r w:rsidR="00795892" w:rsidRPr="00DA5449">
        <w:rPr>
          <w:sz w:val="18"/>
          <w:szCs w:val="18"/>
        </w:rPr>
        <w:t xml:space="preserve"> </w:t>
      </w:r>
    </w:p>
  </w:footnote>
  <w:footnote w:id="104">
    <w:p w14:paraId="2FBFC98F" w14:textId="57E686B6" w:rsidR="00795892" w:rsidRPr="00DA5449" w:rsidRDefault="00795892">
      <w:pPr>
        <w:pStyle w:val="FootnoteText"/>
        <w:rPr>
          <w:sz w:val="18"/>
          <w:szCs w:val="18"/>
        </w:rPr>
      </w:pPr>
      <w:r>
        <w:rPr>
          <w:rStyle w:val="FootnoteReference"/>
        </w:rPr>
        <w:footnoteRef/>
      </w:r>
      <w:r>
        <w:t xml:space="preserve"> </w:t>
      </w:r>
      <w:r w:rsidR="00DB442D">
        <w:rPr>
          <w:sz w:val="18"/>
          <w:szCs w:val="18"/>
        </w:rPr>
        <w:t xml:space="preserve">Section 50 of the </w:t>
      </w:r>
      <w:r>
        <w:rPr>
          <w:sz w:val="18"/>
          <w:szCs w:val="18"/>
        </w:rPr>
        <w:t>ACL</w:t>
      </w:r>
      <w:r w:rsidR="00DB442D">
        <w:rPr>
          <w:sz w:val="18"/>
          <w:szCs w:val="18"/>
        </w:rPr>
        <w:t>.</w:t>
      </w:r>
    </w:p>
  </w:footnote>
  <w:footnote w:id="105">
    <w:p w14:paraId="33CF67F1" w14:textId="44F4EA5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ACCC submission</w:t>
      </w:r>
      <w:r w:rsidR="00020C44">
        <w:rPr>
          <w:sz w:val="18"/>
          <w:szCs w:val="18"/>
        </w:rPr>
        <w:t xml:space="preserve"> to the</w:t>
      </w:r>
      <w:r w:rsidRPr="00D13672">
        <w:rPr>
          <w:sz w:val="18"/>
          <w:szCs w:val="18"/>
        </w:rPr>
        <w:t xml:space="preserve"> Productivity Commission Inquiry into Australia’s productivity performance</w:t>
      </w:r>
      <w:r w:rsidR="002958C2">
        <w:rPr>
          <w:sz w:val="18"/>
          <w:szCs w:val="18"/>
        </w:rPr>
        <w:t xml:space="preserve"> (</w:t>
      </w:r>
      <w:r w:rsidRPr="00D13672">
        <w:rPr>
          <w:sz w:val="18"/>
          <w:szCs w:val="18"/>
        </w:rPr>
        <w:t>April 2022</w:t>
      </w:r>
      <w:r w:rsidR="002958C2">
        <w:rPr>
          <w:sz w:val="18"/>
          <w:szCs w:val="18"/>
        </w:rPr>
        <w:t>)</w:t>
      </w:r>
      <w:r w:rsidRPr="00D13672">
        <w:rPr>
          <w:sz w:val="18"/>
          <w:szCs w:val="18"/>
        </w:rPr>
        <w:t>, p.</w:t>
      </w:r>
      <w:r w:rsidR="00D94BBC">
        <w:rPr>
          <w:sz w:val="18"/>
          <w:szCs w:val="18"/>
        </w:rPr>
        <w:t xml:space="preserve"> </w:t>
      </w:r>
      <w:r w:rsidRPr="00D13672">
        <w:rPr>
          <w:sz w:val="18"/>
          <w:szCs w:val="18"/>
        </w:rPr>
        <w:t>9</w:t>
      </w:r>
      <w:r w:rsidR="002958C2">
        <w:rPr>
          <w:sz w:val="18"/>
          <w:szCs w:val="18"/>
        </w:rPr>
        <w:t xml:space="preserve">. </w:t>
      </w:r>
    </w:p>
  </w:footnote>
  <w:footnote w:id="106">
    <w:p w14:paraId="641F62C5" w14:textId="7FDB0F45" w:rsidR="00406CD0" w:rsidRPr="00D13672" w:rsidRDefault="00406CD0" w:rsidP="00C32954">
      <w:pPr>
        <w:pStyle w:val="FootnoteText"/>
        <w:keepNext/>
        <w:ind w:left="227" w:hanging="227"/>
        <w:rPr>
          <w:sz w:val="18"/>
          <w:szCs w:val="18"/>
        </w:rPr>
      </w:pPr>
      <w:r w:rsidRPr="00D13672">
        <w:rPr>
          <w:rStyle w:val="FootnoteReference"/>
          <w:szCs w:val="18"/>
        </w:rPr>
        <w:footnoteRef/>
      </w:r>
      <w:r w:rsidR="004D05A7">
        <w:rPr>
          <w:sz w:val="18"/>
          <w:szCs w:val="18"/>
        </w:rPr>
        <w:t xml:space="preserve"> </w:t>
      </w:r>
      <w:r w:rsidRPr="00D13672">
        <w:rPr>
          <w:sz w:val="18"/>
          <w:szCs w:val="18"/>
        </w:rPr>
        <w:t xml:space="preserve">In 2024, the European Commission conducted a </w:t>
      </w:r>
      <w:r w:rsidRPr="00345C93">
        <w:rPr>
          <w:sz w:val="18"/>
          <w:szCs w:val="18"/>
        </w:rPr>
        <w:t>fitness check of EU consumer law on digital fairness</w:t>
      </w:r>
      <w:r>
        <w:rPr>
          <w:sz w:val="18"/>
          <w:szCs w:val="18"/>
        </w:rPr>
        <w:t>, which</w:t>
      </w:r>
      <w:r w:rsidRPr="00D13672">
        <w:rPr>
          <w:sz w:val="18"/>
          <w:szCs w:val="18"/>
        </w:rPr>
        <w:t xml:space="preserve"> focused on </w:t>
      </w:r>
      <w:r w:rsidR="00B95C0F">
        <w:rPr>
          <w:sz w:val="18"/>
          <w:szCs w:val="18"/>
        </w:rPr>
        <w:t xml:space="preserve">3 </w:t>
      </w:r>
      <w:r w:rsidRPr="00D13672">
        <w:rPr>
          <w:sz w:val="18"/>
          <w:szCs w:val="18"/>
        </w:rPr>
        <w:t>key directives: the Unfair Commercial Practices Directive (which contains a general prohibition of unfair commercial</w:t>
      </w:r>
      <w:r w:rsidR="0066259B">
        <w:rPr>
          <w:sz w:val="18"/>
          <w:szCs w:val="18"/>
        </w:rPr>
        <w:t>.</w:t>
      </w:r>
      <w:r w:rsidRPr="00D13672">
        <w:rPr>
          <w:sz w:val="18"/>
          <w:szCs w:val="18"/>
        </w:rPr>
        <w:t xml:space="preserve"> practices), the Consumer Rights Directive and the Unfair Contract Terms Directive. The review estimated that the online practices these directives target cost EU consumers €7.9 billion each year, with the cost to businesses to comply with these laws not exceeding €737 million per year. However, the review did not quantify the benefits from the Unfair Commercial Practices Directive alone and only analyses the impact of online practices. </w:t>
      </w:r>
      <w:r w:rsidR="00BB44A4">
        <w:rPr>
          <w:sz w:val="18"/>
          <w:szCs w:val="18"/>
        </w:rPr>
        <w:t xml:space="preserve">European </w:t>
      </w:r>
      <w:r w:rsidR="007D16FF">
        <w:rPr>
          <w:sz w:val="18"/>
          <w:szCs w:val="18"/>
        </w:rPr>
        <w:t>Commission</w:t>
      </w:r>
      <w:hyperlink r:id="rId36" w:history="1">
        <w:r w:rsidR="007B58A5" w:rsidRPr="007D16FF">
          <w:rPr>
            <w:i/>
            <w:iCs/>
          </w:rPr>
          <w:t xml:space="preserve">, </w:t>
        </w:r>
        <w:r w:rsidR="00BB44A4" w:rsidRPr="007D16FF">
          <w:rPr>
            <w:rStyle w:val="Hyperlink"/>
            <w:i/>
            <w:iCs/>
            <w:sz w:val="18"/>
            <w:szCs w:val="18"/>
          </w:rPr>
          <w:t>Fitness Check of EU consumer law on digital fairness</w:t>
        </w:r>
      </w:hyperlink>
      <w:r w:rsidR="007D16FF">
        <w:rPr>
          <w:sz w:val="18"/>
          <w:szCs w:val="18"/>
        </w:rPr>
        <w:t xml:space="preserve">, </w:t>
      </w:r>
      <w:r w:rsidR="00BB44A4">
        <w:rPr>
          <w:sz w:val="18"/>
          <w:szCs w:val="18"/>
        </w:rPr>
        <w:t xml:space="preserve">European Commission, </w:t>
      </w:r>
      <w:r w:rsidR="007D16FF">
        <w:rPr>
          <w:sz w:val="18"/>
          <w:szCs w:val="18"/>
        </w:rPr>
        <w:t xml:space="preserve">2022, </w:t>
      </w:r>
      <w:r w:rsidR="00BB44A4">
        <w:rPr>
          <w:sz w:val="18"/>
          <w:szCs w:val="18"/>
        </w:rPr>
        <w:t>accessed 9 July 2025</w:t>
      </w:r>
      <w:r w:rsidR="00D35075">
        <w:rPr>
          <w:sz w:val="18"/>
          <w:szCs w:val="18"/>
        </w:rPr>
        <w:t xml:space="preserve">. </w:t>
      </w:r>
    </w:p>
  </w:footnote>
  <w:footnote w:id="107">
    <w:p w14:paraId="09ADE44D" w14:textId="11E5C3FA" w:rsidR="003565A9" w:rsidRDefault="003565A9" w:rsidP="000945A5">
      <w:pPr>
        <w:pStyle w:val="FootnoteText"/>
        <w:ind w:left="227" w:hanging="227"/>
      </w:pPr>
      <w:r>
        <w:rPr>
          <w:rStyle w:val="FootnoteReference"/>
        </w:rPr>
        <w:footnoteRef/>
      </w:r>
      <w:r>
        <w:t xml:space="preserve"> </w:t>
      </w:r>
      <w:r w:rsidR="008B4CAD" w:rsidRPr="00032652">
        <w:rPr>
          <w:sz w:val="18"/>
          <w:szCs w:val="18"/>
        </w:rPr>
        <w:t xml:space="preserve">This assessment assumes </w:t>
      </w:r>
      <w:r w:rsidR="003C1DDF">
        <w:rPr>
          <w:sz w:val="18"/>
          <w:szCs w:val="18"/>
        </w:rPr>
        <w:t>the entire</w:t>
      </w:r>
      <w:r w:rsidR="003C1DDF" w:rsidRPr="00032652">
        <w:rPr>
          <w:sz w:val="18"/>
          <w:szCs w:val="18"/>
        </w:rPr>
        <w:t xml:space="preserve"> </w:t>
      </w:r>
      <w:r w:rsidR="000A5C3D" w:rsidRPr="00032652">
        <w:rPr>
          <w:sz w:val="18"/>
          <w:szCs w:val="18"/>
        </w:rPr>
        <w:t xml:space="preserve">Australian </w:t>
      </w:r>
      <w:r w:rsidR="008C7E5D" w:rsidRPr="00032652">
        <w:rPr>
          <w:sz w:val="18"/>
          <w:szCs w:val="18"/>
        </w:rPr>
        <w:t xml:space="preserve">population </w:t>
      </w:r>
      <w:r w:rsidR="005917E0" w:rsidRPr="00032652">
        <w:rPr>
          <w:sz w:val="18"/>
          <w:szCs w:val="18"/>
        </w:rPr>
        <w:t>(16 and over)</w:t>
      </w:r>
      <w:r w:rsidR="008C7E5D" w:rsidRPr="00032652">
        <w:rPr>
          <w:sz w:val="18"/>
          <w:szCs w:val="18"/>
        </w:rPr>
        <w:t xml:space="preserve"> will be impacted by the proposed general pro</w:t>
      </w:r>
      <w:r w:rsidR="006E4FA1" w:rsidRPr="00032652">
        <w:rPr>
          <w:sz w:val="18"/>
          <w:szCs w:val="18"/>
        </w:rPr>
        <w:t xml:space="preserve">hibition as it is an economy wide reform. </w:t>
      </w:r>
    </w:p>
  </w:footnote>
  <w:footnote w:id="108">
    <w:p w14:paraId="149761F4" w14:textId="20A1EC5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of Australia</w:t>
      </w:r>
      <w:r w:rsidR="00EB488F">
        <w:rPr>
          <w:sz w:val="18"/>
          <w:szCs w:val="18"/>
        </w:rPr>
        <w:t xml:space="preserve"> submission to the Supplementary Consultation</w:t>
      </w:r>
      <w:r w:rsidRPr="00D13672">
        <w:rPr>
          <w:sz w:val="18"/>
          <w:szCs w:val="18"/>
        </w:rPr>
        <w:t xml:space="preserve">, </w:t>
      </w:r>
      <w:r w:rsidR="00EB488F" w:rsidRPr="00D13672">
        <w:rPr>
          <w:sz w:val="18"/>
          <w:szCs w:val="18"/>
        </w:rPr>
        <w:t>p</w:t>
      </w:r>
      <w:r w:rsidR="00EB488F">
        <w:rPr>
          <w:sz w:val="18"/>
          <w:szCs w:val="18"/>
        </w:rPr>
        <w:t>.</w:t>
      </w:r>
      <w:r w:rsidRPr="00D13672">
        <w:rPr>
          <w:sz w:val="18"/>
          <w:szCs w:val="18"/>
        </w:rPr>
        <w:t xml:space="preserve"> 10.</w:t>
      </w:r>
    </w:p>
  </w:footnote>
  <w:footnote w:id="109">
    <w:p w14:paraId="0E95841E" w14:textId="253C9F2B"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Tech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036344" w:rsidRPr="00D13672">
        <w:rPr>
          <w:sz w:val="18"/>
          <w:szCs w:val="18"/>
        </w:rPr>
        <w:t>p</w:t>
      </w:r>
      <w:r w:rsidR="00036344">
        <w:rPr>
          <w:sz w:val="18"/>
          <w:szCs w:val="18"/>
        </w:rPr>
        <w:t>p.</w:t>
      </w:r>
      <w:r w:rsidR="003C1DDF">
        <w:rPr>
          <w:sz w:val="18"/>
          <w:szCs w:val="18"/>
        </w:rPr>
        <w:t xml:space="preserve"> </w:t>
      </w:r>
      <w:r w:rsidRPr="00D13672">
        <w:rPr>
          <w:sz w:val="18"/>
          <w:szCs w:val="18"/>
        </w:rPr>
        <w:t>7</w:t>
      </w:r>
      <w:r w:rsidR="00036344">
        <w:rPr>
          <w:sz w:val="18"/>
          <w:szCs w:val="18"/>
        </w:rPr>
        <w:t>-</w:t>
      </w:r>
      <w:r w:rsidRPr="00D13672">
        <w:rPr>
          <w:sz w:val="18"/>
          <w:szCs w:val="18"/>
        </w:rPr>
        <w:t xml:space="preserve">8. </w:t>
      </w:r>
    </w:p>
  </w:footnote>
  <w:footnote w:id="110">
    <w:p w14:paraId="18FA2866" w14:textId="55F75AF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D86B8B">
        <w:rPr>
          <w:sz w:val="18"/>
          <w:szCs w:val="18"/>
        </w:rPr>
        <w:t>CCC</w:t>
      </w:r>
      <w:r w:rsidR="00FD7047">
        <w:rPr>
          <w:sz w:val="18"/>
          <w:szCs w:val="18"/>
        </w:rPr>
        <w:t xml:space="preserve"> </w:t>
      </w:r>
      <w:r w:rsidRPr="00D13672">
        <w:rPr>
          <w:sz w:val="18"/>
          <w:szCs w:val="18"/>
        </w:rPr>
        <w:t xml:space="preserve">submission to the </w:t>
      </w:r>
      <w:r>
        <w:rPr>
          <w:sz w:val="18"/>
          <w:szCs w:val="18"/>
        </w:rPr>
        <w:t>S</w:t>
      </w:r>
      <w:r w:rsidRPr="00D13672">
        <w:rPr>
          <w:sz w:val="18"/>
          <w:szCs w:val="18"/>
        </w:rPr>
        <w:t xml:space="preserve">upplementary </w:t>
      </w:r>
      <w:r>
        <w:rPr>
          <w:sz w:val="18"/>
          <w:szCs w:val="18"/>
        </w:rPr>
        <w:t>C</w:t>
      </w:r>
      <w:r w:rsidRPr="00D13672">
        <w:rPr>
          <w:sz w:val="18"/>
          <w:szCs w:val="18"/>
        </w:rPr>
        <w:t>onsultation</w:t>
      </w:r>
      <w:r w:rsidR="00386E10">
        <w:rPr>
          <w:sz w:val="18"/>
          <w:szCs w:val="18"/>
        </w:rPr>
        <w:t xml:space="preserve">, </w:t>
      </w:r>
      <w:r w:rsidRPr="00D13672">
        <w:rPr>
          <w:sz w:val="18"/>
          <w:szCs w:val="18"/>
        </w:rPr>
        <w:t>p</w:t>
      </w:r>
      <w:r w:rsidR="00B65DDF">
        <w:rPr>
          <w:sz w:val="18"/>
          <w:szCs w:val="18"/>
        </w:rPr>
        <w:t>.</w:t>
      </w:r>
      <w:r w:rsidRPr="00D13672">
        <w:rPr>
          <w:sz w:val="18"/>
          <w:szCs w:val="18"/>
        </w:rPr>
        <w:t xml:space="preserve"> 17. </w:t>
      </w:r>
    </w:p>
  </w:footnote>
  <w:footnote w:id="111">
    <w:p w14:paraId="4FEC9F0E" w14:textId="4FC9D8C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FD7047">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FD7047" w:rsidRPr="00D13672">
        <w:rPr>
          <w:sz w:val="18"/>
          <w:szCs w:val="18"/>
        </w:rPr>
        <w:t>p</w:t>
      </w:r>
      <w:r w:rsidR="00FD7047">
        <w:rPr>
          <w:sz w:val="18"/>
          <w:szCs w:val="18"/>
        </w:rPr>
        <w:t>.</w:t>
      </w:r>
      <w:r w:rsidR="009C4F22">
        <w:rPr>
          <w:sz w:val="18"/>
          <w:szCs w:val="18"/>
        </w:rPr>
        <w:t xml:space="preserve"> </w:t>
      </w:r>
      <w:r w:rsidRPr="00D13672">
        <w:rPr>
          <w:sz w:val="18"/>
          <w:szCs w:val="18"/>
        </w:rPr>
        <w:t>17.</w:t>
      </w:r>
    </w:p>
  </w:footnote>
  <w:footnote w:id="112">
    <w:p w14:paraId="439EB94C" w14:textId="075116C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B96821" w:rsidRPr="000212E3">
        <w:rPr>
          <w:sz w:val="18"/>
          <w:szCs w:val="18"/>
        </w:rPr>
        <w:t>Joint Consumer Advocates</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C2512E">
        <w:rPr>
          <w:sz w:val="18"/>
          <w:szCs w:val="18"/>
        </w:rPr>
        <w:t>.</w:t>
      </w:r>
      <w:r w:rsidR="009C4F22">
        <w:rPr>
          <w:sz w:val="18"/>
          <w:szCs w:val="18"/>
        </w:rPr>
        <w:t xml:space="preserve"> </w:t>
      </w:r>
      <w:r w:rsidRPr="00D13672">
        <w:rPr>
          <w:sz w:val="18"/>
          <w:szCs w:val="18"/>
        </w:rPr>
        <w:t xml:space="preserve">25. </w:t>
      </w:r>
    </w:p>
  </w:footnote>
  <w:footnote w:id="113">
    <w:p w14:paraId="3B3770F3" w14:textId="5C77FEB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C2512E">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A353B6">
        <w:rPr>
          <w:sz w:val="18"/>
          <w:szCs w:val="18"/>
        </w:rPr>
        <w:t>.</w:t>
      </w:r>
      <w:r w:rsidRPr="00D13672">
        <w:rPr>
          <w:sz w:val="18"/>
          <w:szCs w:val="18"/>
        </w:rPr>
        <w:t xml:space="preserve"> 17.</w:t>
      </w:r>
    </w:p>
  </w:footnote>
  <w:footnote w:id="114">
    <w:p w14:paraId="58F4FA09" w14:textId="41D27F9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B96821" w:rsidRPr="000212E3">
        <w:rPr>
          <w:sz w:val="18"/>
          <w:szCs w:val="18"/>
        </w:rPr>
        <w:t>Joint Consumer Advocates</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624DFD">
        <w:rPr>
          <w:sz w:val="18"/>
          <w:szCs w:val="18"/>
        </w:rPr>
        <w:t>.</w:t>
      </w:r>
      <w:r w:rsidRPr="00D13672">
        <w:rPr>
          <w:sz w:val="18"/>
          <w:szCs w:val="18"/>
        </w:rPr>
        <w:t xml:space="preserve"> 25.</w:t>
      </w:r>
    </w:p>
  </w:footnote>
  <w:footnote w:id="115">
    <w:p w14:paraId="49290A5A" w14:textId="11D554F8"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624DFD">
        <w:rPr>
          <w:sz w:val="18"/>
          <w:szCs w:val="18"/>
        </w:rPr>
        <w:t>CCI</w:t>
      </w:r>
      <w:r w:rsidRPr="00D13672">
        <w:rPr>
          <w:sz w:val="18"/>
          <w:szCs w:val="18"/>
        </w:rPr>
        <w:t xml:space="preserv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7C26A0">
        <w:rPr>
          <w:sz w:val="18"/>
          <w:szCs w:val="18"/>
        </w:rPr>
        <w:t>.</w:t>
      </w:r>
      <w:r w:rsidRPr="00D13672">
        <w:rPr>
          <w:sz w:val="18"/>
          <w:szCs w:val="18"/>
        </w:rPr>
        <w:t xml:space="preserve"> 4.</w:t>
      </w:r>
    </w:p>
  </w:footnote>
  <w:footnote w:id="116">
    <w:p w14:paraId="467F0BCA" w14:textId="443BB14A"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Tech Council of Australia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340F75">
        <w:rPr>
          <w:sz w:val="18"/>
          <w:szCs w:val="18"/>
        </w:rPr>
        <w:t>.</w:t>
      </w:r>
      <w:r w:rsidR="009C4F22">
        <w:rPr>
          <w:sz w:val="18"/>
          <w:szCs w:val="18"/>
        </w:rPr>
        <w:t xml:space="preserve"> </w:t>
      </w:r>
      <w:r w:rsidRPr="00D13672">
        <w:rPr>
          <w:sz w:val="18"/>
          <w:szCs w:val="18"/>
        </w:rPr>
        <w:t>7.</w:t>
      </w:r>
    </w:p>
  </w:footnote>
  <w:footnote w:id="117">
    <w:p w14:paraId="12F43035" w14:textId="7CB7D20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Law Council of Australia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B2188D">
        <w:rPr>
          <w:sz w:val="18"/>
          <w:szCs w:val="18"/>
        </w:rPr>
        <w:t>.</w:t>
      </w:r>
      <w:r w:rsidRPr="00D13672">
        <w:rPr>
          <w:sz w:val="18"/>
          <w:szCs w:val="18"/>
        </w:rPr>
        <w:t xml:space="preserve"> 23. </w:t>
      </w:r>
    </w:p>
  </w:footnote>
  <w:footnote w:id="118">
    <w:p w14:paraId="3CEA2357" w14:textId="6144FA8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Business Council for Sustainable Development Australia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101DBA" w:rsidRPr="00D13672">
        <w:rPr>
          <w:sz w:val="18"/>
          <w:szCs w:val="18"/>
        </w:rPr>
        <w:t>p</w:t>
      </w:r>
      <w:r w:rsidR="00101DBA">
        <w:rPr>
          <w:sz w:val="18"/>
          <w:szCs w:val="18"/>
        </w:rPr>
        <w:t>.</w:t>
      </w:r>
      <w:r w:rsidRPr="00D13672">
        <w:rPr>
          <w:sz w:val="18"/>
          <w:szCs w:val="18"/>
        </w:rPr>
        <w:t xml:space="preserve"> 34.</w:t>
      </w:r>
    </w:p>
  </w:footnote>
  <w:footnote w:id="119">
    <w:p w14:paraId="355B43F5" w14:textId="5E7B341D" w:rsidR="006A0BF0" w:rsidRDefault="006A0BF0">
      <w:pPr>
        <w:pStyle w:val="FootnoteText"/>
      </w:pPr>
      <w:r>
        <w:rPr>
          <w:rStyle w:val="FootnoteReference"/>
        </w:rPr>
        <w:footnoteRef/>
      </w:r>
      <w:r>
        <w:t xml:space="preserve"> </w:t>
      </w:r>
      <w:r w:rsidRPr="00D13672">
        <w:rPr>
          <w:sz w:val="18"/>
          <w:szCs w:val="18"/>
        </w:rPr>
        <w:t>Communications Alliance submission to</w:t>
      </w:r>
      <w:r w:rsidR="00336F1F">
        <w:rPr>
          <w:sz w:val="18"/>
          <w:szCs w:val="18"/>
        </w:rPr>
        <w:t xml:space="preserve"> the</w:t>
      </w:r>
      <w:r w:rsidRPr="00D13672">
        <w:rPr>
          <w:sz w:val="18"/>
          <w:szCs w:val="18"/>
        </w:rPr>
        <w:t xml:space="preserve"> </w:t>
      </w:r>
      <w:r>
        <w:rPr>
          <w:sz w:val="18"/>
          <w:szCs w:val="18"/>
        </w:rPr>
        <w:t>S</w:t>
      </w:r>
      <w:r w:rsidRPr="00D13672">
        <w:rPr>
          <w:sz w:val="18"/>
          <w:szCs w:val="18"/>
        </w:rPr>
        <w:t xml:space="preserve">upplementary </w:t>
      </w:r>
      <w:r>
        <w:rPr>
          <w:sz w:val="18"/>
          <w:szCs w:val="18"/>
        </w:rPr>
        <w:t>C</w:t>
      </w:r>
      <w:r w:rsidRPr="00D13672">
        <w:rPr>
          <w:sz w:val="18"/>
          <w:szCs w:val="18"/>
        </w:rPr>
        <w:t>onsultation, p</w:t>
      </w:r>
      <w:r w:rsidR="004008B5">
        <w:rPr>
          <w:sz w:val="18"/>
          <w:szCs w:val="18"/>
        </w:rPr>
        <w:t>.</w:t>
      </w:r>
      <w:r w:rsidR="009C4F22">
        <w:rPr>
          <w:sz w:val="18"/>
          <w:szCs w:val="18"/>
        </w:rPr>
        <w:t xml:space="preserve"> </w:t>
      </w:r>
      <w:r w:rsidRPr="00D13672">
        <w:rPr>
          <w:sz w:val="18"/>
          <w:szCs w:val="18"/>
        </w:rPr>
        <w:t>3.</w:t>
      </w:r>
    </w:p>
  </w:footnote>
  <w:footnote w:id="120">
    <w:p w14:paraId="19148B61" w14:textId="462A8495" w:rsidR="00406CD0" w:rsidRPr="00D13672" w:rsidRDefault="00406CD0" w:rsidP="000945A5">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w:t>
      </w:r>
      <w:r w:rsidR="00322A8E">
        <w:rPr>
          <w:sz w:val="18"/>
          <w:szCs w:val="18"/>
        </w:rPr>
        <w:t>Telecommunications Industry Ombudsman submission to</w:t>
      </w:r>
      <w:r w:rsidR="00336F1F">
        <w:rPr>
          <w:sz w:val="18"/>
          <w:szCs w:val="18"/>
        </w:rPr>
        <w:t xml:space="preserve"> the</w:t>
      </w:r>
      <w:r w:rsidR="00322A8E">
        <w:rPr>
          <w:sz w:val="18"/>
          <w:szCs w:val="18"/>
        </w:rPr>
        <w:t xml:space="preserve"> Supplementary </w:t>
      </w:r>
      <w:r w:rsidR="004008B5">
        <w:rPr>
          <w:sz w:val="18"/>
          <w:szCs w:val="18"/>
        </w:rPr>
        <w:t>Consultation</w:t>
      </w:r>
      <w:r w:rsidR="00322A8E">
        <w:rPr>
          <w:sz w:val="18"/>
          <w:szCs w:val="18"/>
        </w:rPr>
        <w:t>,</w:t>
      </w:r>
      <w:r w:rsidR="004008B5">
        <w:rPr>
          <w:sz w:val="18"/>
          <w:szCs w:val="18"/>
        </w:rPr>
        <w:t xml:space="preserve"> p.</w:t>
      </w:r>
      <w:r w:rsidR="009C4F22">
        <w:rPr>
          <w:sz w:val="18"/>
          <w:szCs w:val="18"/>
        </w:rPr>
        <w:t xml:space="preserve"> </w:t>
      </w:r>
      <w:r w:rsidR="004008B5">
        <w:rPr>
          <w:sz w:val="18"/>
          <w:szCs w:val="18"/>
        </w:rPr>
        <w:t>6;</w:t>
      </w:r>
      <w:r w:rsidRPr="00D13672">
        <w:rPr>
          <w:sz w:val="18"/>
          <w:szCs w:val="18"/>
        </w:rPr>
        <w:t xml:space="preserve"> National Legal Aid submission</w:t>
      </w:r>
      <w:r w:rsidR="00BA08AC">
        <w:rPr>
          <w:sz w:val="18"/>
          <w:szCs w:val="18"/>
        </w:rPr>
        <w:t xml:space="preserve"> </w:t>
      </w:r>
      <w:r w:rsidRPr="00D13672">
        <w:rPr>
          <w:sz w:val="18"/>
          <w:szCs w:val="18"/>
        </w:rPr>
        <w:t xml:space="preserve">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4008B5">
        <w:rPr>
          <w:sz w:val="18"/>
          <w:szCs w:val="18"/>
        </w:rPr>
        <w:t>.</w:t>
      </w:r>
      <w:r w:rsidR="009C4F22">
        <w:rPr>
          <w:sz w:val="18"/>
          <w:szCs w:val="18"/>
        </w:rPr>
        <w:t xml:space="preserve"> </w:t>
      </w:r>
      <w:r w:rsidRPr="00D13672">
        <w:rPr>
          <w:sz w:val="18"/>
          <w:szCs w:val="18"/>
        </w:rPr>
        <w:t>6</w:t>
      </w:r>
      <w:r w:rsidR="007D16FF">
        <w:rPr>
          <w:sz w:val="18"/>
          <w:szCs w:val="18"/>
        </w:rPr>
        <w:t>.</w:t>
      </w:r>
      <w:r w:rsidRPr="00D13672">
        <w:rPr>
          <w:sz w:val="18"/>
          <w:szCs w:val="18"/>
        </w:rPr>
        <w:t xml:space="preserve"> </w:t>
      </w:r>
    </w:p>
  </w:footnote>
  <w:footnote w:id="121">
    <w:p w14:paraId="4433D2CB" w14:textId="0C7DD973"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4008B5">
        <w:rPr>
          <w:sz w:val="18"/>
          <w:szCs w:val="18"/>
        </w:rPr>
        <w:t>CCC</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 xml:space="preserve">onsultation, </w:t>
      </w:r>
      <w:r w:rsidR="001D541F" w:rsidRPr="00D13672">
        <w:rPr>
          <w:sz w:val="18"/>
          <w:szCs w:val="18"/>
        </w:rPr>
        <w:t>p</w:t>
      </w:r>
      <w:r w:rsidR="001D541F">
        <w:rPr>
          <w:sz w:val="18"/>
          <w:szCs w:val="18"/>
        </w:rPr>
        <w:t>p.</w:t>
      </w:r>
      <w:r w:rsidRPr="00D13672">
        <w:rPr>
          <w:sz w:val="18"/>
          <w:szCs w:val="18"/>
        </w:rPr>
        <w:t xml:space="preserve"> 17</w:t>
      </w:r>
      <w:r w:rsidR="001D541F">
        <w:rPr>
          <w:sz w:val="18"/>
          <w:szCs w:val="18"/>
        </w:rPr>
        <w:t>-18</w:t>
      </w:r>
      <w:r w:rsidRPr="00D13672">
        <w:rPr>
          <w:sz w:val="18"/>
          <w:szCs w:val="18"/>
        </w:rPr>
        <w:t>.</w:t>
      </w:r>
    </w:p>
  </w:footnote>
  <w:footnote w:id="122">
    <w:p w14:paraId="4777BF22" w14:textId="32D734A3" w:rsidR="00C56E36" w:rsidRDefault="00C56E36" w:rsidP="000945A5">
      <w:pPr>
        <w:pStyle w:val="FootnoteText"/>
        <w:ind w:left="227" w:hanging="227"/>
      </w:pPr>
      <w:r>
        <w:rPr>
          <w:rStyle w:val="FootnoteReference"/>
        </w:rPr>
        <w:footnoteRef/>
      </w:r>
      <w:r>
        <w:t xml:space="preserve"> </w:t>
      </w:r>
      <w:r w:rsidR="00044C71" w:rsidRPr="007D16FF">
        <w:rPr>
          <w:sz w:val="18"/>
          <w:szCs w:val="18"/>
        </w:rPr>
        <w:t>The</w:t>
      </w:r>
      <w:r w:rsidR="008B7131">
        <w:rPr>
          <w:sz w:val="18"/>
          <w:szCs w:val="18"/>
        </w:rPr>
        <w:t xml:space="preserve"> United States Court of Appeals for the</w:t>
      </w:r>
      <w:r w:rsidR="00044C71" w:rsidRPr="007D16FF">
        <w:rPr>
          <w:sz w:val="18"/>
          <w:szCs w:val="18"/>
        </w:rPr>
        <w:t xml:space="preserve"> Eighth Circuit </w:t>
      </w:r>
      <w:r w:rsidR="00857FD7">
        <w:rPr>
          <w:sz w:val="18"/>
          <w:szCs w:val="18"/>
        </w:rPr>
        <w:t>vacated th</w:t>
      </w:r>
      <w:r w:rsidR="001152C6">
        <w:rPr>
          <w:sz w:val="18"/>
          <w:szCs w:val="18"/>
        </w:rPr>
        <w:t>e</w:t>
      </w:r>
      <w:r w:rsidR="00857FD7">
        <w:rPr>
          <w:sz w:val="18"/>
          <w:szCs w:val="18"/>
        </w:rPr>
        <w:t xml:space="preserve"> Rule</w:t>
      </w:r>
      <w:r w:rsidR="00044C71" w:rsidRPr="007D16FF">
        <w:rPr>
          <w:sz w:val="18"/>
          <w:szCs w:val="18"/>
        </w:rPr>
        <w:t xml:space="preserve"> </w:t>
      </w:r>
      <w:r w:rsidR="00466726">
        <w:rPr>
          <w:sz w:val="18"/>
          <w:szCs w:val="18"/>
        </w:rPr>
        <w:t xml:space="preserve">on </w:t>
      </w:r>
      <w:r w:rsidR="00CD524F" w:rsidRPr="007D16FF">
        <w:rPr>
          <w:sz w:val="18"/>
          <w:szCs w:val="18"/>
        </w:rPr>
        <w:t xml:space="preserve">procedural </w:t>
      </w:r>
      <w:r w:rsidR="00CE3BF8">
        <w:rPr>
          <w:sz w:val="18"/>
          <w:szCs w:val="18"/>
        </w:rPr>
        <w:t>grounds</w:t>
      </w:r>
      <w:r w:rsidR="006D156A" w:rsidRPr="007D16FF">
        <w:rPr>
          <w:sz w:val="18"/>
          <w:szCs w:val="18"/>
        </w:rPr>
        <w:t>.</w:t>
      </w:r>
      <w:r w:rsidR="006D3A61" w:rsidRPr="007D16FF">
        <w:rPr>
          <w:sz w:val="18"/>
          <w:szCs w:val="18"/>
        </w:rPr>
        <w:t xml:space="preserve"> </w:t>
      </w:r>
      <w:r w:rsidRPr="00022CF4">
        <w:rPr>
          <w:sz w:val="18"/>
          <w:szCs w:val="18"/>
        </w:rPr>
        <w:t>United States Court of Appeals for the Eighth Circuit, No.</w:t>
      </w:r>
      <w:r w:rsidRPr="007D16FF">
        <w:rPr>
          <w:sz w:val="18"/>
          <w:szCs w:val="18"/>
        </w:rPr>
        <w:t>​ 24-3469, </w:t>
      </w:r>
      <w:r w:rsidRPr="007D16FF">
        <w:rPr>
          <w:i/>
          <w:iCs/>
          <w:sz w:val="18"/>
          <w:szCs w:val="18"/>
        </w:rPr>
        <w:t>Custom Communications, Inc. et al. ​ v. Federal Trade Commission</w:t>
      </w:r>
      <w:r w:rsidRPr="007D16FF">
        <w:rPr>
          <w:sz w:val="18"/>
          <w:szCs w:val="18"/>
        </w:rPr>
        <w:t>, July 8, 2025. </w:t>
      </w:r>
    </w:p>
  </w:footnote>
  <w:footnote w:id="123">
    <w:p w14:paraId="2238551B" w14:textId="0CAB5980" w:rsidR="00FD3871" w:rsidRPr="000373D0" w:rsidRDefault="00FD3871" w:rsidP="000945A5">
      <w:pPr>
        <w:pStyle w:val="FootnoteText"/>
        <w:ind w:left="227" w:hanging="227"/>
        <w:rPr>
          <w:sz w:val="18"/>
          <w:szCs w:val="18"/>
        </w:rPr>
      </w:pPr>
      <w:r w:rsidRPr="000373D0">
        <w:rPr>
          <w:rStyle w:val="FootnoteReference"/>
          <w:szCs w:val="18"/>
        </w:rPr>
        <w:footnoteRef/>
      </w:r>
      <w:r w:rsidRPr="000373D0">
        <w:rPr>
          <w:sz w:val="18"/>
          <w:szCs w:val="18"/>
        </w:rPr>
        <w:t xml:space="preserve"> The UK I</w:t>
      </w:r>
      <w:r w:rsidR="00AF708B">
        <w:rPr>
          <w:sz w:val="18"/>
          <w:szCs w:val="18"/>
        </w:rPr>
        <w:t>mpact Assessment</w:t>
      </w:r>
      <w:r w:rsidRPr="000373D0">
        <w:rPr>
          <w:sz w:val="18"/>
          <w:szCs w:val="18"/>
        </w:rPr>
        <w:t xml:space="preserve"> cited a report that found that on-going costs were meaningful only in relation to sending reminders to consumers about their subscriptions, and only for firms that used postal mail delivery and not electronically delivered reminders. The number of businesses that offer subscription services and exclusively communicate with their customers via postal delivery in Australia in unknown, however Treasury estimates it would be very small</w:t>
      </w:r>
      <w:r w:rsidR="00AF708B">
        <w:rPr>
          <w:sz w:val="18"/>
          <w:szCs w:val="18"/>
        </w:rPr>
        <w:t>:</w:t>
      </w:r>
      <w:r w:rsidR="00C2366F" w:rsidRPr="00C2366F">
        <w:rPr>
          <w:sz w:val="18"/>
          <w:szCs w:val="18"/>
        </w:rPr>
        <w:t xml:space="preserve"> </w:t>
      </w:r>
      <w:r w:rsidR="00C2366F">
        <w:rPr>
          <w:sz w:val="18"/>
          <w:szCs w:val="18"/>
        </w:rPr>
        <w:t>DBT (UK)</w:t>
      </w:r>
      <w:r w:rsidR="00C2366F" w:rsidRPr="0081728B">
        <w:rPr>
          <w:sz w:val="18"/>
          <w:szCs w:val="18"/>
        </w:rPr>
        <w:t xml:space="preserve">, </w:t>
      </w:r>
      <w:hyperlink r:id="rId37" w:history="1">
        <w:r w:rsidR="00C2366F" w:rsidRPr="00A178D0">
          <w:rPr>
            <w:rStyle w:val="Hyperlink"/>
            <w:i/>
            <w:sz w:val="18"/>
            <w:szCs w:val="18"/>
          </w:rPr>
          <w:t>Impact Assessment for the Digital Markets, Competition and Consumers Act</w:t>
        </w:r>
        <w:r w:rsidR="00C2366F" w:rsidRPr="00A178D0">
          <w:rPr>
            <w:rStyle w:val="Hyperlink"/>
            <w:i/>
            <w:iCs/>
            <w:sz w:val="18"/>
            <w:szCs w:val="18"/>
          </w:rPr>
          <w:t>: Subscription traps: annex 2 impact assessment</w:t>
        </w:r>
      </w:hyperlink>
      <w:r w:rsidR="00C2366F">
        <w:rPr>
          <w:sz w:val="18"/>
          <w:szCs w:val="18"/>
        </w:rPr>
        <w:t>, UK Government, 2023, p.</w:t>
      </w:r>
      <w:r w:rsidR="007641E4">
        <w:rPr>
          <w:sz w:val="18"/>
          <w:szCs w:val="18"/>
        </w:rPr>
        <w:t xml:space="preserve"> </w:t>
      </w:r>
      <w:r w:rsidR="00C2366F">
        <w:rPr>
          <w:sz w:val="18"/>
          <w:szCs w:val="18"/>
        </w:rPr>
        <w:t>30.</w:t>
      </w:r>
      <w:r w:rsidR="00AF708B">
        <w:rPr>
          <w:sz w:val="18"/>
          <w:szCs w:val="18"/>
        </w:rPr>
        <w:t xml:space="preserve"> </w:t>
      </w:r>
    </w:p>
  </w:footnote>
  <w:footnote w:id="124">
    <w:p w14:paraId="4FEF03E5" w14:textId="0EA01758" w:rsidR="00D37F25" w:rsidRDefault="00D37F25" w:rsidP="00044DBE">
      <w:pPr>
        <w:pStyle w:val="FootnoteText"/>
        <w:ind w:left="170" w:hanging="170"/>
      </w:pPr>
      <w:r>
        <w:rPr>
          <w:rStyle w:val="FootnoteReference"/>
        </w:rPr>
        <w:footnoteRef/>
      </w:r>
      <w:r>
        <w:rPr>
          <w:sz w:val="18"/>
          <w:szCs w:val="18"/>
        </w:rPr>
        <w:t xml:space="preserve"> </w:t>
      </w:r>
      <w:r w:rsidR="00C043EE">
        <w:rPr>
          <w:sz w:val="18"/>
          <w:szCs w:val="18"/>
        </w:rPr>
        <w:t>It</w:t>
      </w:r>
      <w:r w:rsidR="00583D88">
        <w:rPr>
          <w:sz w:val="18"/>
          <w:szCs w:val="18"/>
        </w:rPr>
        <w:t xml:space="preserve"> i</w:t>
      </w:r>
      <w:r w:rsidR="00C043EE">
        <w:rPr>
          <w:sz w:val="18"/>
          <w:szCs w:val="18"/>
        </w:rPr>
        <w:t>s assumed that</w:t>
      </w:r>
      <w:r w:rsidR="00FD4CB9" w:rsidRPr="00044DBE">
        <w:rPr>
          <w:sz w:val="18"/>
          <w:szCs w:val="18"/>
        </w:rPr>
        <w:t xml:space="preserve"> </w:t>
      </w:r>
      <w:r w:rsidR="00C5464F">
        <w:rPr>
          <w:sz w:val="18"/>
          <w:szCs w:val="18"/>
        </w:rPr>
        <w:t>Australians under the age of 16 are less likely to directly hold</w:t>
      </w:r>
      <w:r w:rsidR="004D3838" w:rsidRPr="00044DBE">
        <w:rPr>
          <w:sz w:val="18"/>
          <w:szCs w:val="18"/>
        </w:rPr>
        <w:t xml:space="preserve"> subscription contract</w:t>
      </w:r>
      <w:r w:rsidR="00C5464F">
        <w:rPr>
          <w:sz w:val="18"/>
          <w:szCs w:val="18"/>
        </w:rPr>
        <w:t>s</w:t>
      </w:r>
      <w:r w:rsidR="004D3838" w:rsidRPr="00044DBE">
        <w:rPr>
          <w:sz w:val="18"/>
          <w:szCs w:val="18"/>
        </w:rPr>
        <w:t xml:space="preserve">. </w:t>
      </w:r>
    </w:p>
  </w:footnote>
  <w:footnote w:id="125">
    <w:p w14:paraId="738EBDD8" w14:textId="79434D9B" w:rsidR="004A553D" w:rsidRDefault="004A553D" w:rsidP="000945A5">
      <w:pPr>
        <w:pStyle w:val="FootnoteText"/>
        <w:ind w:left="227" w:hanging="227"/>
      </w:pPr>
      <w:r>
        <w:rPr>
          <w:rStyle w:val="FootnoteReference"/>
        </w:rPr>
        <w:footnoteRef/>
      </w:r>
      <w:r>
        <w:t xml:space="preserve"> </w:t>
      </w:r>
      <w:r w:rsidR="003A28EE" w:rsidRPr="00044DBE">
        <w:rPr>
          <w:sz w:val="18"/>
          <w:szCs w:val="18"/>
        </w:rPr>
        <w:t xml:space="preserve">There is no data available on specific cohorts </w:t>
      </w:r>
      <w:r w:rsidR="00D63893" w:rsidRPr="00044DBE">
        <w:rPr>
          <w:sz w:val="18"/>
          <w:szCs w:val="18"/>
        </w:rPr>
        <w:t>that</w:t>
      </w:r>
      <w:r w:rsidR="003A28EE" w:rsidRPr="00044DBE">
        <w:rPr>
          <w:sz w:val="18"/>
          <w:szCs w:val="18"/>
        </w:rPr>
        <w:t xml:space="preserve"> are more likely to hold </w:t>
      </w:r>
      <w:r w:rsidR="000D0E3A" w:rsidRPr="00044DBE">
        <w:rPr>
          <w:sz w:val="18"/>
          <w:szCs w:val="18"/>
        </w:rPr>
        <w:t>unwanted</w:t>
      </w:r>
      <w:r w:rsidR="003A28EE" w:rsidRPr="00044DBE">
        <w:rPr>
          <w:sz w:val="18"/>
          <w:szCs w:val="18"/>
        </w:rPr>
        <w:t xml:space="preserve"> subscriptions</w:t>
      </w:r>
      <w:r w:rsidR="001F5D12">
        <w:rPr>
          <w:sz w:val="18"/>
          <w:szCs w:val="18"/>
        </w:rPr>
        <w:t xml:space="preserve">. </w:t>
      </w:r>
      <w:r w:rsidR="00D450B4">
        <w:rPr>
          <w:sz w:val="18"/>
          <w:szCs w:val="18"/>
        </w:rPr>
        <w:t>A</w:t>
      </w:r>
      <w:r w:rsidR="00D450B4" w:rsidRPr="00044DBE">
        <w:rPr>
          <w:sz w:val="18"/>
          <w:szCs w:val="18"/>
        </w:rPr>
        <w:t>ccordingly,</w:t>
      </w:r>
      <w:r w:rsidR="003A28EE" w:rsidRPr="00044DBE">
        <w:rPr>
          <w:sz w:val="18"/>
          <w:szCs w:val="18"/>
        </w:rPr>
        <w:t xml:space="preserve"> it is assumed that </w:t>
      </w:r>
      <w:r w:rsidR="00BE436A">
        <w:rPr>
          <w:sz w:val="18"/>
          <w:szCs w:val="18"/>
        </w:rPr>
        <w:t>the entire</w:t>
      </w:r>
      <w:r w:rsidR="00611229">
        <w:rPr>
          <w:sz w:val="18"/>
          <w:szCs w:val="18"/>
        </w:rPr>
        <w:t xml:space="preserve"> </w:t>
      </w:r>
      <w:r w:rsidR="002C74DC">
        <w:rPr>
          <w:sz w:val="18"/>
          <w:szCs w:val="18"/>
        </w:rPr>
        <w:t>Australian population</w:t>
      </w:r>
      <w:r w:rsidR="003A28EE" w:rsidRPr="00044DBE">
        <w:rPr>
          <w:sz w:val="18"/>
          <w:szCs w:val="18"/>
        </w:rPr>
        <w:t xml:space="preserve"> </w:t>
      </w:r>
      <w:r w:rsidR="00EC23E1">
        <w:rPr>
          <w:sz w:val="18"/>
          <w:szCs w:val="18"/>
        </w:rPr>
        <w:t>(</w:t>
      </w:r>
      <w:r w:rsidR="003A28EE" w:rsidRPr="00044DBE">
        <w:rPr>
          <w:sz w:val="18"/>
          <w:szCs w:val="18"/>
        </w:rPr>
        <w:t>16</w:t>
      </w:r>
      <w:r w:rsidR="00EC23E1">
        <w:rPr>
          <w:sz w:val="18"/>
          <w:szCs w:val="18"/>
        </w:rPr>
        <w:t xml:space="preserve"> and over)</w:t>
      </w:r>
      <w:r w:rsidR="003A28EE" w:rsidRPr="00044DBE">
        <w:rPr>
          <w:sz w:val="18"/>
          <w:szCs w:val="18"/>
        </w:rPr>
        <w:t xml:space="preserve"> are subscription holders (with an average of 2.9</w:t>
      </w:r>
      <w:r w:rsidR="00230811">
        <w:rPr>
          <w:sz w:val="18"/>
          <w:szCs w:val="18"/>
        </w:rPr>
        <w:t xml:space="preserve"> </w:t>
      </w:r>
      <w:r w:rsidR="007F0DE9">
        <w:rPr>
          <w:sz w:val="18"/>
          <w:szCs w:val="18"/>
        </w:rPr>
        <w:t>subscriptions</w:t>
      </w:r>
      <w:r w:rsidR="003A28EE" w:rsidRPr="00044DBE">
        <w:rPr>
          <w:sz w:val="18"/>
          <w:szCs w:val="18"/>
        </w:rPr>
        <w:t xml:space="preserve"> per person, 5 per cent of which are unwanted, see Appendix B)</w:t>
      </w:r>
      <w:r w:rsidR="0056494E" w:rsidRPr="00044DBE">
        <w:rPr>
          <w:sz w:val="18"/>
          <w:szCs w:val="18"/>
        </w:rPr>
        <w:t>.</w:t>
      </w:r>
      <w:r w:rsidR="00611229">
        <w:rPr>
          <w:sz w:val="18"/>
          <w:szCs w:val="18"/>
        </w:rPr>
        <w:t xml:space="preserve"> </w:t>
      </w:r>
    </w:p>
  </w:footnote>
  <w:footnote w:id="126">
    <w:p w14:paraId="597C5CA0" w14:textId="72386C33" w:rsidR="00406CD0" w:rsidRDefault="00406CD0" w:rsidP="000945A5">
      <w:pPr>
        <w:pStyle w:val="FootnoteText"/>
        <w:ind w:left="227" w:hanging="227"/>
      </w:pPr>
      <w:r w:rsidRPr="000373D0">
        <w:rPr>
          <w:rStyle w:val="FootnoteReference"/>
          <w:szCs w:val="18"/>
        </w:rPr>
        <w:footnoteRef/>
      </w:r>
      <w:r w:rsidRPr="000373D0">
        <w:rPr>
          <w:sz w:val="18"/>
          <w:szCs w:val="18"/>
        </w:rPr>
        <w:t xml:space="preserve"> Reduction in </w:t>
      </w:r>
      <w:r w:rsidR="004D34BD">
        <w:rPr>
          <w:sz w:val="18"/>
          <w:szCs w:val="18"/>
        </w:rPr>
        <w:t>spending on unwanted subscriptions</w:t>
      </w:r>
      <w:r w:rsidRPr="000373D0">
        <w:rPr>
          <w:sz w:val="18"/>
          <w:szCs w:val="18"/>
        </w:rPr>
        <w:t xml:space="preserve"> </w:t>
      </w:r>
      <w:r w:rsidR="008B4829">
        <w:rPr>
          <w:sz w:val="18"/>
          <w:szCs w:val="18"/>
        </w:rPr>
        <w:t>equals (</w:t>
      </w:r>
      <w:r w:rsidR="00C0479B">
        <w:rPr>
          <w:sz w:val="18"/>
          <w:szCs w:val="18"/>
        </w:rPr>
        <w:t>estimated annual costs</w:t>
      </w:r>
      <w:r w:rsidR="008B4829">
        <w:rPr>
          <w:sz w:val="18"/>
          <w:szCs w:val="18"/>
        </w:rPr>
        <w:t>) divided by (</w:t>
      </w:r>
      <w:r w:rsidR="000E7B11">
        <w:rPr>
          <w:sz w:val="18"/>
          <w:szCs w:val="18"/>
        </w:rPr>
        <w:t>estimated annual consumer detriment</w:t>
      </w:r>
      <w:r w:rsidR="008B4829">
        <w:rPr>
          <w:sz w:val="18"/>
          <w:szCs w:val="18"/>
        </w:rPr>
        <w:t>)</w:t>
      </w:r>
      <w:r w:rsidR="00C268B3">
        <w:rPr>
          <w:sz w:val="18"/>
          <w:szCs w:val="18"/>
        </w:rPr>
        <w:t xml:space="preserve">. </w:t>
      </w:r>
    </w:p>
  </w:footnote>
  <w:footnote w:id="127">
    <w:p w14:paraId="64C1EB8C" w14:textId="77777777" w:rsidR="00B918CD" w:rsidRDefault="00B918CD" w:rsidP="00B918CD">
      <w:pPr>
        <w:pStyle w:val="FootnoteText"/>
      </w:pPr>
      <w:r>
        <w:rPr>
          <w:rStyle w:val="FootnoteReference"/>
        </w:rPr>
        <w:footnoteRef/>
      </w:r>
      <w:r>
        <w:t xml:space="preserve"> </w:t>
      </w:r>
      <w:r w:rsidRPr="002F6F58">
        <w:rPr>
          <w:sz w:val="18"/>
          <w:szCs w:val="18"/>
        </w:rPr>
        <w:t>Section 48(1) of the ACL.</w:t>
      </w:r>
    </w:p>
  </w:footnote>
  <w:footnote w:id="128">
    <w:p w14:paraId="7E764F91" w14:textId="6BC44410" w:rsidR="00B918CD" w:rsidRDefault="00B918CD" w:rsidP="00B918CD">
      <w:pPr>
        <w:pStyle w:val="FootnoteText"/>
        <w:ind w:left="170" w:hanging="170"/>
      </w:pPr>
      <w:r>
        <w:rPr>
          <w:rStyle w:val="FootnoteReference"/>
        </w:rPr>
        <w:footnoteRef/>
      </w:r>
      <w:r>
        <w:t xml:space="preserve"> </w:t>
      </w:r>
      <w:r w:rsidR="00AF708B">
        <w:rPr>
          <w:sz w:val="18"/>
          <w:szCs w:val="18"/>
        </w:rPr>
        <w:t>Alma Economics,</w:t>
      </w:r>
      <w:r>
        <w:rPr>
          <w:sz w:val="18"/>
          <w:szCs w:val="18"/>
        </w:rPr>
        <w:t xml:space="preserve"> </w:t>
      </w:r>
      <w:r w:rsidRPr="00D16FAD">
        <w:rPr>
          <w:i/>
          <w:iCs/>
          <w:sz w:val="18"/>
          <w:szCs w:val="18"/>
        </w:rPr>
        <w:t>Estimating the prevalence and impact of online drip pricing,</w:t>
      </w:r>
      <w:r>
        <w:rPr>
          <w:sz w:val="18"/>
          <w:szCs w:val="18"/>
        </w:rPr>
        <w:t xml:space="preserve"> </w:t>
      </w:r>
      <w:r w:rsidRPr="005E4E32">
        <w:rPr>
          <w:sz w:val="18"/>
          <w:szCs w:val="18"/>
        </w:rPr>
        <w:t>p.</w:t>
      </w:r>
      <w:r w:rsidR="00BE436A">
        <w:rPr>
          <w:sz w:val="18"/>
          <w:szCs w:val="18"/>
        </w:rPr>
        <w:t xml:space="preserve"> </w:t>
      </w:r>
      <w:r w:rsidRPr="005E4E32">
        <w:rPr>
          <w:sz w:val="18"/>
          <w:szCs w:val="18"/>
        </w:rPr>
        <w:t>9</w:t>
      </w:r>
      <w:r>
        <w:rPr>
          <w:sz w:val="18"/>
          <w:szCs w:val="18"/>
        </w:rPr>
        <w:t>.</w:t>
      </w:r>
      <w:r w:rsidRPr="005E4E32">
        <w:rPr>
          <w:sz w:val="18"/>
          <w:szCs w:val="18"/>
        </w:rPr>
        <w:t xml:space="preserve"> </w:t>
      </w:r>
    </w:p>
  </w:footnote>
  <w:footnote w:id="129">
    <w:p w14:paraId="1BD77B98" w14:textId="20AEAE3B" w:rsidR="00B918CD" w:rsidRDefault="00B918CD" w:rsidP="00B918CD">
      <w:pPr>
        <w:pStyle w:val="FootnoteText"/>
        <w:ind w:left="170" w:hanging="170"/>
      </w:pPr>
      <w:r>
        <w:rPr>
          <w:rStyle w:val="FootnoteReference"/>
        </w:rPr>
        <w:footnoteRef/>
      </w:r>
      <w:r>
        <w:t xml:space="preserve"> </w:t>
      </w:r>
      <w:r w:rsidR="000D69F4">
        <w:rPr>
          <w:sz w:val="18"/>
          <w:szCs w:val="18"/>
        </w:rPr>
        <w:t>Fair Trade Commission (United States) (FTC US)</w:t>
      </w:r>
      <w:r w:rsidR="005E4E32" w:rsidRPr="005E4E32">
        <w:rPr>
          <w:sz w:val="18"/>
          <w:szCs w:val="18"/>
        </w:rPr>
        <w:t xml:space="preserve">, </w:t>
      </w:r>
      <w:hyperlink r:id="rId38" w:history="1">
        <w:r w:rsidRPr="00FB5FC6">
          <w:rPr>
            <w:rStyle w:val="Hyperlink"/>
            <w:i/>
            <w:sz w:val="18"/>
            <w:szCs w:val="18"/>
          </w:rPr>
          <w:t>The Trade Regulation Rule on Unfair or Deceptive Fees</w:t>
        </w:r>
      </w:hyperlink>
      <w:r w:rsidR="005E4E32" w:rsidRPr="005E4E32">
        <w:rPr>
          <w:sz w:val="18"/>
          <w:szCs w:val="18"/>
        </w:rPr>
        <w:t xml:space="preserve">, </w:t>
      </w:r>
      <w:r w:rsidRPr="005E4E32">
        <w:rPr>
          <w:sz w:val="18"/>
          <w:szCs w:val="18"/>
        </w:rPr>
        <w:t xml:space="preserve">US </w:t>
      </w:r>
      <w:r w:rsidR="00E706C7" w:rsidRPr="005E4E32">
        <w:rPr>
          <w:sz w:val="18"/>
          <w:szCs w:val="18"/>
        </w:rPr>
        <w:t>FTC</w:t>
      </w:r>
      <w:r w:rsidRPr="005E4E32">
        <w:rPr>
          <w:sz w:val="18"/>
          <w:szCs w:val="18"/>
        </w:rPr>
        <w:t>,</w:t>
      </w:r>
      <w:r w:rsidR="00DC0E85">
        <w:rPr>
          <w:sz w:val="18"/>
          <w:szCs w:val="18"/>
        </w:rPr>
        <w:t xml:space="preserve"> 2025,</w:t>
      </w:r>
      <w:r w:rsidR="005E4E32" w:rsidRPr="005E4E32">
        <w:rPr>
          <w:sz w:val="18"/>
          <w:szCs w:val="18"/>
        </w:rPr>
        <w:t xml:space="preserve"> </w:t>
      </w:r>
      <w:r w:rsidRPr="005E4E32">
        <w:rPr>
          <w:sz w:val="18"/>
          <w:szCs w:val="18"/>
        </w:rPr>
        <w:t>p.</w:t>
      </w:r>
      <w:r w:rsidR="00773F47">
        <w:rPr>
          <w:sz w:val="18"/>
          <w:szCs w:val="18"/>
        </w:rPr>
        <w:t xml:space="preserve"> </w:t>
      </w:r>
      <w:r w:rsidR="003E7E00">
        <w:rPr>
          <w:sz w:val="18"/>
          <w:szCs w:val="18"/>
        </w:rPr>
        <w:t>2141</w:t>
      </w:r>
      <w:r w:rsidR="005E4E32">
        <w:t>.</w:t>
      </w:r>
    </w:p>
  </w:footnote>
  <w:footnote w:id="130">
    <w:p w14:paraId="00881768" w14:textId="5AC36F3E" w:rsidR="00237A8D" w:rsidRDefault="00237A8D" w:rsidP="00FB5FC6">
      <w:pPr>
        <w:pStyle w:val="FootnoteText"/>
        <w:ind w:left="170" w:hanging="170"/>
      </w:pPr>
      <w:r>
        <w:rPr>
          <w:rStyle w:val="FootnoteReference"/>
        </w:rPr>
        <w:footnoteRef/>
      </w:r>
      <w:r>
        <w:t xml:space="preserve"> </w:t>
      </w:r>
      <w:r w:rsidR="00AF6CFD" w:rsidRPr="00044DBE">
        <w:rPr>
          <w:sz w:val="18"/>
          <w:szCs w:val="18"/>
        </w:rPr>
        <w:t>This estimate</w:t>
      </w:r>
      <w:r w:rsidR="003F49B0">
        <w:rPr>
          <w:sz w:val="18"/>
          <w:szCs w:val="18"/>
        </w:rPr>
        <w:t xml:space="preserve"> assumes that</w:t>
      </w:r>
      <w:r w:rsidR="000223B5">
        <w:rPr>
          <w:sz w:val="18"/>
          <w:szCs w:val="18"/>
        </w:rPr>
        <w:t xml:space="preserve"> Australians under the age of 16 are </w:t>
      </w:r>
      <w:r w:rsidR="00A133D4">
        <w:rPr>
          <w:sz w:val="18"/>
          <w:szCs w:val="18"/>
        </w:rPr>
        <w:t>less likely to directly</w:t>
      </w:r>
      <w:r w:rsidR="0017094A">
        <w:rPr>
          <w:sz w:val="18"/>
          <w:szCs w:val="18"/>
        </w:rPr>
        <w:t xml:space="preserve"> </w:t>
      </w:r>
      <w:r w:rsidR="007118C2">
        <w:rPr>
          <w:sz w:val="18"/>
          <w:szCs w:val="18"/>
        </w:rPr>
        <w:t xml:space="preserve">be </w:t>
      </w:r>
      <w:r w:rsidR="0017094A">
        <w:rPr>
          <w:sz w:val="18"/>
          <w:szCs w:val="18"/>
        </w:rPr>
        <w:t xml:space="preserve">making </w:t>
      </w:r>
      <w:r w:rsidR="001A7ACF">
        <w:rPr>
          <w:sz w:val="18"/>
          <w:szCs w:val="18"/>
        </w:rPr>
        <w:t xml:space="preserve">purchasing decisions. </w:t>
      </w:r>
    </w:p>
  </w:footnote>
  <w:footnote w:id="131">
    <w:p w14:paraId="13475F12" w14:textId="4D9FB67F" w:rsidR="00B72997" w:rsidRDefault="00B72997" w:rsidP="000945A5">
      <w:pPr>
        <w:pStyle w:val="FootnoteText"/>
        <w:ind w:left="227" w:hanging="227"/>
      </w:pPr>
      <w:r>
        <w:rPr>
          <w:rStyle w:val="FootnoteReference"/>
        </w:rPr>
        <w:footnoteRef/>
      </w:r>
      <w:r>
        <w:t xml:space="preserve"> </w:t>
      </w:r>
      <w:r w:rsidR="007023C9">
        <w:rPr>
          <w:sz w:val="18"/>
          <w:szCs w:val="18"/>
        </w:rPr>
        <w:t xml:space="preserve">In the absence of </w:t>
      </w:r>
      <w:r w:rsidR="00A73543" w:rsidRPr="00FB5FC6">
        <w:rPr>
          <w:sz w:val="18"/>
          <w:szCs w:val="18"/>
        </w:rPr>
        <w:t xml:space="preserve">data on which specific cohorts of consumers would be impacted by </w:t>
      </w:r>
      <w:r w:rsidR="008B0CBE" w:rsidRPr="00FB5FC6">
        <w:rPr>
          <w:sz w:val="18"/>
          <w:szCs w:val="18"/>
        </w:rPr>
        <w:t>the proposed</w:t>
      </w:r>
      <w:r w:rsidR="00A73543" w:rsidRPr="00FB5FC6">
        <w:rPr>
          <w:sz w:val="18"/>
          <w:szCs w:val="18"/>
        </w:rPr>
        <w:t xml:space="preserve"> drip pricing</w:t>
      </w:r>
      <w:r w:rsidR="008B0CBE" w:rsidRPr="00FB5FC6">
        <w:rPr>
          <w:sz w:val="18"/>
          <w:szCs w:val="18"/>
        </w:rPr>
        <w:t xml:space="preserve"> reforms</w:t>
      </w:r>
      <w:r w:rsidR="004B2695" w:rsidRPr="00FB5FC6">
        <w:rPr>
          <w:sz w:val="18"/>
          <w:szCs w:val="18"/>
        </w:rPr>
        <w:t xml:space="preserve">, </w:t>
      </w:r>
      <w:r w:rsidR="00BA13FC" w:rsidRPr="00FB5FC6">
        <w:rPr>
          <w:sz w:val="18"/>
          <w:szCs w:val="18"/>
        </w:rPr>
        <w:t xml:space="preserve">this assessment </w:t>
      </w:r>
      <w:r w:rsidR="0089262F" w:rsidRPr="00FB5FC6">
        <w:rPr>
          <w:sz w:val="18"/>
          <w:szCs w:val="18"/>
        </w:rPr>
        <w:t xml:space="preserve">assumes </w:t>
      </w:r>
      <w:r w:rsidR="008C64B1">
        <w:rPr>
          <w:sz w:val="18"/>
          <w:szCs w:val="18"/>
        </w:rPr>
        <w:t>the</w:t>
      </w:r>
      <w:r w:rsidR="00794AE7">
        <w:rPr>
          <w:sz w:val="18"/>
          <w:szCs w:val="18"/>
        </w:rPr>
        <w:t xml:space="preserve"> entire</w:t>
      </w:r>
      <w:r w:rsidR="008C64B1">
        <w:rPr>
          <w:sz w:val="18"/>
          <w:szCs w:val="18"/>
        </w:rPr>
        <w:t xml:space="preserve"> Australian population (16 and over)</w:t>
      </w:r>
      <w:r w:rsidR="0089262F">
        <w:rPr>
          <w:sz w:val="18"/>
          <w:szCs w:val="18"/>
        </w:rPr>
        <w:t xml:space="preserve"> </w:t>
      </w:r>
      <w:r w:rsidR="0089262F" w:rsidRPr="00FB5FC6">
        <w:rPr>
          <w:sz w:val="18"/>
          <w:szCs w:val="18"/>
        </w:rPr>
        <w:t xml:space="preserve">will be impacted. </w:t>
      </w:r>
      <w:r w:rsidR="001943FA" w:rsidRPr="00FB5FC6">
        <w:rPr>
          <w:sz w:val="18"/>
          <w:szCs w:val="18"/>
        </w:rPr>
        <w:t>However, t</w:t>
      </w:r>
      <w:r w:rsidR="003B6D00" w:rsidRPr="00FB5FC6">
        <w:rPr>
          <w:sz w:val="18"/>
          <w:szCs w:val="18"/>
        </w:rPr>
        <w:t xml:space="preserve">his is likely an overestimation, given the conduct </w:t>
      </w:r>
      <w:r w:rsidR="00CA75DE" w:rsidRPr="00FB5FC6">
        <w:rPr>
          <w:sz w:val="18"/>
          <w:szCs w:val="18"/>
        </w:rPr>
        <w:t xml:space="preserve">is only </w:t>
      </w:r>
      <w:r w:rsidR="001943FA" w:rsidRPr="00FB5FC6">
        <w:rPr>
          <w:sz w:val="18"/>
          <w:szCs w:val="18"/>
        </w:rPr>
        <w:t>occurring in</w:t>
      </w:r>
      <w:r w:rsidR="000C4CBF" w:rsidRPr="00FB5FC6">
        <w:rPr>
          <w:sz w:val="18"/>
          <w:szCs w:val="18"/>
        </w:rPr>
        <w:t xml:space="preserve"> particular sectors</w:t>
      </w:r>
      <w:r w:rsidR="00241B6C" w:rsidRPr="00FB5FC6">
        <w:rPr>
          <w:sz w:val="18"/>
          <w:szCs w:val="18"/>
        </w:rPr>
        <w:t>.</w:t>
      </w:r>
      <w:r w:rsidR="00E12C3E">
        <w:rPr>
          <w:sz w:val="18"/>
          <w:szCs w:val="18"/>
        </w:rPr>
        <w:t xml:space="preserve"> </w:t>
      </w:r>
    </w:p>
  </w:footnote>
  <w:footnote w:id="132">
    <w:p w14:paraId="4C52A501" w14:textId="72C17E01" w:rsidR="000C5451" w:rsidRPr="00BB44A4" w:rsidRDefault="000C5451" w:rsidP="000945A5">
      <w:pPr>
        <w:pStyle w:val="FootnoteText"/>
        <w:ind w:left="227" w:hanging="227"/>
        <w:rPr>
          <w:sz w:val="18"/>
          <w:szCs w:val="18"/>
        </w:rPr>
      </w:pPr>
      <w:r>
        <w:rPr>
          <w:rStyle w:val="FootnoteReference"/>
        </w:rPr>
        <w:footnoteRef/>
      </w:r>
      <w:r w:rsidRPr="00BE3BF1">
        <w:rPr>
          <w:sz w:val="18"/>
          <w:szCs w:val="18"/>
        </w:rPr>
        <w:t xml:space="preserve"> </w:t>
      </w:r>
      <w:r w:rsidRPr="00BB44A4">
        <w:rPr>
          <w:rFonts w:cstheme="minorHAnsi"/>
          <w:sz w:val="18"/>
          <w:szCs w:val="18"/>
        </w:rPr>
        <w:t xml:space="preserve">The Australian Live Music Business Council submission to the Supplementary Consultation, p. 4; </w:t>
      </w:r>
      <w:r w:rsidR="00F34120" w:rsidRPr="00F34120">
        <w:rPr>
          <w:sz w:val="18"/>
          <w:szCs w:val="18"/>
        </w:rPr>
        <w:t>Joint</w:t>
      </w:r>
      <w:r w:rsidR="00F34120" w:rsidRPr="00BB44A4">
        <w:rPr>
          <w:rFonts w:cstheme="minorHAnsi"/>
          <w:sz w:val="18"/>
          <w:szCs w:val="18"/>
        </w:rPr>
        <w:t xml:space="preserve"> </w:t>
      </w:r>
      <w:r w:rsidR="00F34120" w:rsidRPr="00F34120">
        <w:rPr>
          <w:sz w:val="18"/>
          <w:szCs w:val="18"/>
        </w:rPr>
        <w:t>Consumer Advocates</w:t>
      </w:r>
      <w:r w:rsidR="00F34120" w:rsidRPr="00BB44A4">
        <w:rPr>
          <w:rFonts w:cstheme="minorHAnsi"/>
          <w:sz w:val="18"/>
          <w:szCs w:val="18"/>
        </w:rPr>
        <w:t xml:space="preserve"> </w:t>
      </w:r>
      <w:r w:rsidRPr="00BB44A4">
        <w:rPr>
          <w:rFonts w:cstheme="minorHAnsi"/>
          <w:sz w:val="18"/>
          <w:szCs w:val="18"/>
        </w:rPr>
        <w:t>submission to the Supplementary Consultation, p.</w:t>
      </w:r>
      <w:r w:rsidR="00794AE7">
        <w:rPr>
          <w:rFonts w:cstheme="minorHAnsi"/>
          <w:sz w:val="18"/>
          <w:szCs w:val="18"/>
        </w:rPr>
        <w:t xml:space="preserve"> </w:t>
      </w:r>
      <w:r w:rsidRPr="00BB44A4">
        <w:rPr>
          <w:rFonts w:cstheme="minorHAnsi"/>
          <w:sz w:val="18"/>
          <w:szCs w:val="18"/>
        </w:rPr>
        <w:t>27;</w:t>
      </w:r>
      <w:r w:rsidR="001B1A32">
        <w:rPr>
          <w:rFonts w:cstheme="minorHAnsi"/>
          <w:sz w:val="18"/>
          <w:szCs w:val="18"/>
        </w:rPr>
        <w:t xml:space="preserve"> </w:t>
      </w:r>
      <w:r w:rsidRPr="00BB44A4">
        <w:rPr>
          <w:rFonts w:cstheme="minorHAnsi"/>
          <w:sz w:val="18"/>
          <w:szCs w:val="18"/>
        </w:rPr>
        <w:t>Music Australia submission to the Supplementary Consultation, pp.</w:t>
      </w:r>
      <w:r w:rsidR="00794AE7">
        <w:rPr>
          <w:rFonts w:cstheme="minorHAnsi"/>
          <w:sz w:val="18"/>
          <w:szCs w:val="18"/>
        </w:rPr>
        <w:t xml:space="preserve"> </w:t>
      </w:r>
      <w:r w:rsidRPr="00BB44A4">
        <w:rPr>
          <w:rFonts w:cstheme="minorHAnsi"/>
          <w:sz w:val="18"/>
          <w:szCs w:val="18"/>
        </w:rPr>
        <w:t xml:space="preserve">1-2.  </w:t>
      </w:r>
    </w:p>
  </w:footnote>
  <w:footnote w:id="133">
    <w:p w14:paraId="1990F480" w14:textId="1CD349C6" w:rsidR="000C5451" w:rsidRPr="00BB44A4" w:rsidRDefault="000C5451" w:rsidP="000C5451">
      <w:pPr>
        <w:pStyle w:val="FootnoteText"/>
        <w:ind w:left="170" w:hanging="170"/>
        <w:rPr>
          <w:sz w:val="18"/>
          <w:szCs w:val="18"/>
        </w:rPr>
      </w:pPr>
      <w:r>
        <w:rPr>
          <w:rStyle w:val="FootnoteReference"/>
        </w:rPr>
        <w:footnoteRef/>
      </w:r>
      <w:r w:rsidRPr="00BB44A4">
        <w:rPr>
          <w:sz w:val="18"/>
          <w:szCs w:val="18"/>
        </w:rPr>
        <w:t xml:space="preserve"> </w:t>
      </w:r>
      <w:r w:rsidR="00F34120" w:rsidRPr="00C61106">
        <w:rPr>
          <w:sz w:val="18"/>
          <w:szCs w:val="18"/>
        </w:rPr>
        <w:t>Joint Consumer Advocates</w:t>
      </w:r>
      <w:r w:rsidRPr="00BB44A4">
        <w:rPr>
          <w:rFonts w:cstheme="minorHAnsi"/>
          <w:sz w:val="18"/>
          <w:szCs w:val="18"/>
        </w:rPr>
        <w:t xml:space="preserve"> submission to the Supplementary Consultation, p.</w:t>
      </w:r>
      <w:r w:rsidR="00E017C5">
        <w:rPr>
          <w:rFonts w:cstheme="minorHAnsi"/>
          <w:sz w:val="18"/>
          <w:szCs w:val="18"/>
        </w:rPr>
        <w:t xml:space="preserve"> </w:t>
      </w:r>
      <w:r w:rsidRPr="00BB44A4">
        <w:rPr>
          <w:rFonts w:cstheme="minorHAnsi"/>
          <w:sz w:val="18"/>
          <w:szCs w:val="18"/>
        </w:rPr>
        <w:t xml:space="preserve">27. </w:t>
      </w:r>
    </w:p>
  </w:footnote>
  <w:footnote w:id="134">
    <w:p w14:paraId="6900A3DF" w14:textId="3E037362" w:rsidR="000C5451" w:rsidRPr="00BB44A4" w:rsidRDefault="000C5451" w:rsidP="000945A5">
      <w:pPr>
        <w:pStyle w:val="FootnoteText"/>
        <w:ind w:left="227" w:hanging="227"/>
        <w:rPr>
          <w:sz w:val="18"/>
          <w:szCs w:val="18"/>
        </w:rPr>
      </w:pPr>
      <w:r>
        <w:rPr>
          <w:rStyle w:val="FootnoteReference"/>
        </w:rPr>
        <w:footnoteRef/>
      </w:r>
      <w:r w:rsidRPr="00BB44A4">
        <w:rPr>
          <w:sz w:val="18"/>
          <w:szCs w:val="18"/>
        </w:rPr>
        <w:t xml:space="preserve"> </w:t>
      </w:r>
      <w:r w:rsidRPr="00BB44A4">
        <w:rPr>
          <w:rFonts w:cstheme="minorHAnsi"/>
          <w:sz w:val="18"/>
          <w:szCs w:val="18"/>
        </w:rPr>
        <w:t>The Australian Live Music Business Council submission to the Supplementary Consultation, pp. 3-4;</w:t>
      </w:r>
      <w:r>
        <w:rPr>
          <w:rFonts w:cstheme="minorHAnsi"/>
          <w:sz w:val="18"/>
          <w:szCs w:val="18"/>
        </w:rPr>
        <w:t xml:space="preserve"> </w:t>
      </w:r>
      <w:r w:rsidRPr="00BB44A4">
        <w:rPr>
          <w:sz w:val="18"/>
          <w:szCs w:val="18"/>
        </w:rPr>
        <w:t>Consumer Policy Research Centre</w:t>
      </w:r>
      <w:r w:rsidRPr="00BB44A4">
        <w:rPr>
          <w:rFonts w:cstheme="minorHAnsi"/>
          <w:sz w:val="18"/>
          <w:szCs w:val="18"/>
        </w:rPr>
        <w:t xml:space="preserve"> submission to the Supplementary Consultation, p.</w:t>
      </w:r>
      <w:r w:rsidR="00E017C5">
        <w:rPr>
          <w:rFonts w:cstheme="minorHAnsi"/>
          <w:sz w:val="18"/>
          <w:szCs w:val="18"/>
        </w:rPr>
        <w:t xml:space="preserve"> </w:t>
      </w:r>
      <w:r w:rsidRPr="00BB44A4">
        <w:rPr>
          <w:rFonts w:cstheme="minorHAnsi"/>
          <w:sz w:val="18"/>
          <w:szCs w:val="18"/>
        </w:rPr>
        <w:t>27.</w:t>
      </w:r>
    </w:p>
  </w:footnote>
  <w:footnote w:id="135">
    <w:p w14:paraId="675DCB62" w14:textId="6E7B6EB5" w:rsidR="00EA518A" w:rsidRPr="00AB5FFD" w:rsidRDefault="00EA518A">
      <w:pPr>
        <w:pStyle w:val="FootnoteText"/>
        <w:rPr>
          <w:sz w:val="18"/>
          <w:szCs w:val="18"/>
        </w:rPr>
      </w:pPr>
      <w:r>
        <w:rPr>
          <w:rStyle w:val="FootnoteReference"/>
        </w:rPr>
        <w:footnoteRef/>
      </w:r>
      <w:r w:rsidRPr="00AB5FFD">
        <w:rPr>
          <w:sz w:val="18"/>
          <w:szCs w:val="18"/>
        </w:rPr>
        <w:t xml:space="preserve"> </w:t>
      </w:r>
      <w:r w:rsidR="00F34120" w:rsidRPr="00AB5FFD">
        <w:rPr>
          <w:sz w:val="18"/>
          <w:szCs w:val="18"/>
        </w:rPr>
        <w:t>Joint Consumer Advocates</w:t>
      </w:r>
      <w:r w:rsidR="0030078C" w:rsidRPr="00AB5FFD">
        <w:rPr>
          <w:sz w:val="18"/>
          <w:szCs w:val="18"/>
        </w:rPr>
        <w:t xml:space="preserve"> submission to the Supplementary Consultation, </w:t>
      </w:r>
      <w:r w:rsidR="00E47C47" w:rsidRPr="00AB5FFD">
        <w:rPr>
          <w:sz w:val="18"/>
          <w:szCs w:val="18"/>
        </w:rPr>
        <w:t>p.</w:t>
      </w:r>
      <w:r w:rsidR="00E017C5">
        <w:rPr>
          <w:sz w:val="18"/>
          <w:szCs w:val="18"/>
        </w:rPr>
        <w:t xml:space="preserve"> </w:t>
      </w:r>
      <w:r w:rsidR="00E47C47" w:rsidRPr="00AB5FFD">
        <w:rPr>
          <w:sz w:val="18"/>
          <w:szCs w:val="18"/>
        </w:rPr>
        <w:t>28.</w:t>
      </w:r>
    </w:p>
  </w:footnote>
  <w:footnote w:id="136">
    <w:p w14:paraId="121CC422" w14:textId="70909188" w:rsidR="00A8462C" w:rsidRPr="00AB5FFD" w:rsidRDefault="00A8462C" w:rsidP="00E017C5">
      <w:pPr>
        <w:pStyle w:val="FootnoteText"/>
        <w:ind w:left="0" w:firstLine="0"/>
        <w:rPr>
          <w:sz w:val="18"/>
          <w:szCs w:val="18"/>
        </w:rPr>
      </w:pPr>
      <w:r>
        <w:rPr>
          <w:rStyle w:val="FootnoteReference"/>
        </w:rPr>
        <w:footnoteRef/>
      </w:r>
      <w:r w:rsidRPr="00AB5FFD">
        <w:rPr>
          <w:sz w:val="18"/>
          <w:szCs w:val="18"/>
        </w:rPr>
        <w:t xml:space="preserve"> ALMBC submission to the Supplementary Consultation, p</w:t>
      </w:r>
      <w:r w:rsidR="00E017C5">
        <w:rPr>
          <w:sz w:val="18"/>
          <w:szCs w:val="18"/>
        </w:rPr>
        <w:t xml:space="preserve"> </w:t>
      </w:r>
      <w:r w:rsidRPr="00AB5FFD">
        <w:rPr>
          <w:sz w:val="18"/>
          <w:szCs w:val="18"/>
        </w:rPr>
        <w:t>.4.</w:t>
      </w:r>
    </w:p>
  </w:footnote>
  <w:footnote w:id="137">
    <w:p w14:paraId="4C6F3CB0" w14:textId="3A0EDB9B" w:rsidR="00406CD0" w:rsidRPr="00F34120" w:rsidRDefault="00406CD0" w:rsidP="00576AF7">
      <w:pPr>
        <w:pStyle w:val="FootnoteText"/>
        <w:ind w:left="170" w:hanging="227"/>
        <w:rPr>
          <w:sz w:val="18"/>
          <w:szCs w:val="18"/>
        </w:rPr>
      </w:pPr>
      <w:r w:rsidRPr="00F34120">
        <w:rPr>
          <w:rStyle w:val="FootnoteReference"/>
          <w:szCs w:val="18"/>
        </w:rPr>
        <w:footnoteRef/>
      </w:r>
      <w:r w:rsidRPr="00F34120">
        <w:rPr>
          <w:sz w:val="18"/>
          <w:szCs w:val="18"/>
        </w:rPr>
        <w:t xml:space="preserve"> </w:t>
      </w:r>
      <w:r w:rsidR="00D93E74" w:rsidRPr="00F34120">
        <w:rPr>
          <w:sz w:val="18"/>
          <w:szCs w:val="18"/>
        </w:rPr>
        <w:t>BCA submission to the Supplementary Consultation, p. 12;</w:t>
      </w:r>
      <w:r w:rsidRPr="00F34120">
        <w:rPr>
          <w:sz w:val="18"/>
          <w:szCs w:val="18"/>
        </w:rPr>
        <w:t xml:space="preserve"> Law Council of Australia submission to the Supplementary Consultation, p.</w:t>
      </w:r>
      <w:r w:rsidR="00E017C5">
        <w:rPr>
          <w:sz w:val="18"/>
          <w:szCs w:val="18"/>
        </w:rPr>
        <w:t xml:space="preserve"> </w:t>
      </w:r>
      <w:r w:rsidRPr="00F34120">
        <w:rPr>
          <w:sz w:val="18"/>
          <w:szCs w:val="18"/>
        </w:rPr>
        <w:t>30.</w:t>
      </w:r>
    </w:p>
  </w:footnote>
  <w:footnote w:id="138">
    <w:p w14:paraId="18E41225" w14:textId="6CFA5B38" w:rsidR="00CB63C0" w:rsidRPr="00AB5FFD" w:rsidRDefault="00CB63C0" w:rsidP="00576AF7">
      <w:pPr>
        <w:pStyle w:val="FootnoteText"/>
        <w:ind w:left="170" w:hanging="227"/>
        <w:rPr>
          <w:sz w:val="18"/>
          <w:szCs w:val="18"/>
        </w:rPr>
      </w:pPr>
      <w:r>
        <w:rPr>
          <w:rStyle w:val="FootnoteReference"/>
        </w:rPr>
        <w:footnoteRef/>
      </w:r>
      <w:r w:rsidR="00E017C5">
        <w:rPr>
          <w:sz w:val="18"/>
          <w:szCs w:val="18"/>
        </w:rPr>
        <w:t xml:space="preserve"> </w:t>
      </w:r>
      <w:r w:rsidRPr="00F34120">
        <w:rPr>
          <w:sz w:val="18"/>
          <w:szCs w:val="18"/>
        </w:rPr>
        <w:t>Live Performance Australia submission to the Supplementary Consultation, p.</w:t>
      </w:r>
      <w:r w:rsidR="00E017C5">
        <w:rPr>
          <w:sz w:val="18"/>
          <w:szCs w:val="18"/>
        </w:rPr>
        <w:t xml:space="preserve"> </w:t>
      </w:r>
      <w:r w:rsidRPr="00F34120">
        <w:rPr>
          <w:sz w:val="18"/>
          <w:szCs w:val="18"/>
        </w:rPr>
        <w:t xml:space="preserve">6. Live Performance Australia </w:t>
      </w:r>
      <w:r w:rsidR="00F15AC6">
        <w:rPr>
          <w:sz w:val="18"/>
          <w:szCs w:val="18"/>
        </w:rPr>
        <w:t>submitted</w:t>
      </w:r>
      <w:r w:rsidRPr="00F34120">
        <w:rPr>
          <w:sz w:val="18"/>
          <w:szCs w:val="18"/>
        </w:rPr>
        <w:t xml:space="preserve"> that some of its members noted the difficulties in dealing with credit card fraud and ticket scalping when customers have completed their ticket purchase a guest.</w:t>
      </w:r>
    </w:p>
  </w:footnote>
  <w:footnote w:id="139">
    <w:p w14:paraId="3459B43F" w14:textId="77777777" w:rsidR="00406CD0" w:rsidRDefault="00406CD0" w:rsidP="00576AF7">
      <w:pPr>
        <w:pStyle w:val="FootnoteText"/>
        <w:ind w:left="170" w:hanging="227"/>
      </w:pPr>
      <w:r>
        <w:rPr>
          <w:rStyle w:val="FootnoteReference"/>
        </w:rPr>
        <w:footnoteRef/>
      </w:r>
      <w:r w:rsidRPr="00AB5FFD">
        <w:rPr>
          <w:sz w:val="18"/>
          <w:szCs w:val="18"/>
        </w:rPr>
        <w:t xml:space="preserve"> </w:t>
      </w:r>
      <w:r w:rsidRPr="00F42C94">
        <w:rPr>
          <w:sz w:val="18"/>
          <w:szCs w:val="18"/>
        </w:rPr>
        <w:t xml:space="preserve">The </w:t>
      </w:r>
      <w:r w:rsidRPr="0098640F">
        <w:rPr>
          <w:i/>
          <w:sz w:val="18"/>
          <w:szCs w:val="18"/>
        </w:rPr>
        <w:t>Spam Act 2003</w:t>
      </w:r>
      <w:r w:rsidRPr="00F42C94">
        <w:rPr>
          <w:sz w:val="18"/>
          <w:szCs w:val="18"/>
        </w:rPr>
        <w:t xml:space="preserve"> (Cth) prohibits the sending of commercial electronic messages (including marketing emails and text messages) without the consent of the receiver.</w:t>
      </w:r>
      <w:r>
        <w:t xml:space="preserve">  </w:t>
      </w:r>
    </w:p>
  </w:footnote>
  <w:footnote w:id="140">
    <w:p w14:paraId="49DC547A" w14:textId="162A0E62" w:rsidR="00F858C1" w:rsidRPr="00453192" w:rsidRDefault="00F858C1" w:rsidP="00576AF7">
      <w:pPr>
        <w:pStyle w:val="FootnoteText"/>
        <w:ind w:left="170" w:hanging="227"/>
        <w:rPr>
          <w:sz w:val="18"/>
          <w:szCs w:val="18"/>
        </w:rPr>
      </w:pPr>
      <w:r>
        <w:rPr>
          <w:rStyle w:val="FootnoteReference"/>
        </w:rPr>
        <w:footnoteRef/>
      </w:r>
      <w:r>
        <w:t xml:space="preserve"> </w:t>
      </w:r>
      <w:r w:rsidR="00A74B1A" w:rsidRPr="00453192">
        <w:rPr>
          <w:sz w:val="18"/>
          <w:szCs w:val="18"/>
        </w:rPr>
        <w:t>ACCI</w:t>
      </w:r>
      <w:r w:rsidR="00B4676B" w:rsidRPr="00453192">
        <w:rPr>
          <w:sz w:val="18"/>
          <w:szCs w:val="18"/>
        </w:rPr>
        <w:t xml:space="preserve"> submission to the Supplementary Consultation, p</w:t>
      </w:r>
      <w:r w:rsidR="00AC23EB">
        <w:rPr>
          <w:sz w:val="18"/>
          <w:szCs w:val="18"/>
        </w:rPr>
        <w:t>.</w:t>
      </w:r>
      <w:r w:rsidR="00E911A0" w:rsidRPr="00453192">
        <w:rPr>
          <w:sz w:val="18"/>
          <w:szCs w:val="18"/>
        </w:rPr>
        <w:t xml:space="preserve"> 5</w:t>
      </w:r>
      <w:r w:rsidR="00B4676B" w:rsidRPr="00453192">
        <w:rPr>
          <w:sz w:val="18"/>
          <w:szCs w:val="18"/>
        </w:rPr>
        <w:t>;</w:t>
      </w:r>
      <w:r w:rsidR="00A74B1A" w:rsidRPr="00453192">
        <w:rPr>
          <w:sz w:val="18"/>
          <w:szCs w:val="18"/>
        </w:rPr>
        <w:t xml:space="preserve"> </w:t>
      </w:r>
      <w:r w:rsidR="00B96839" w:rsidRPr="00453192">
        <w:rPr>
          <w:sz w:val="18"/>
          <w:szCs w:val="18"/>
        </w:rPr>
        <w:t>DIGI</w:t>
      </w:r>
      <w:r w:rsidR="00B4676B" w:rsidRPr="00453192">
        <w:rPr>
          <w:sz w:val="18"/>
          <w:szCs w:val="18"/>
        </w:rPr>
        <w:t xml:space="preserve"> submission to the Supplementary Consultation</w:t>
      </w:r>
      <w:r w:rsidR="005B5CBF" w:rsidRPr="00453192">
        <w:rPr>
          <w:sz w:val="18"/>
          <w:szCs w:val="18"/>
        </w:rPr>
        <w:t>,</w:t>
      </w:r>
      <w:r w:rsidR="00B96839" w:rsidRPr="00453192">
        <w:rPr>
          <w:sz w:val="18"/>
          <w:szCs w:val="18"/>
        </w:rPr>
        <w:t xml:space="preserve"> </w:t>
      </w:r>
      <w:r w:rsidR="007D6218" w:rsidRPr="00453192">
        <w:rPr>
          <w:sz w:val="18"/>
          <w:szCs w:val="18"/>
        </w:rPr>
        <w:t>p</w:t>
      </w:r>
      <w:r w:rsidR="00AC23EB">
        <w:rPr>
          <w:sz w:val="18"/>
          <w:szCs w:val="18"/>
        </w:rPr>
        <w:t>.</w:t>
      </w:r>
      <w:r w:rsidR="00B96839" w:rsidRPr="00453192">
        <w:rPr>
          <w:sz w:val="18"/>
          <w:szCs w:val="18"/>
        </w:rPr>
        <w:t xml:space="preserve"> 15</w:t>
      </w:r>
      <w:r w:rsidR="005B5CBF" w:rsidRPr="00453192">
        <w:rPr>
          <w:sz w:val="18"/>
          <w:szCs w:val="18"/>
        </w:rPr>
        <w:t>;</w:t>
      </w:r>
      <w:r w:rsidR="00B96839" w:rsidRPr="00453192">
        <w:rPr>
          <w:sz w:val="18"/>
          <w:szCs w:val="18"/>
        </w:rPr>
        <w:t xml:space="preserve"> </w:t>
      </w:r>
      <w:r w:rsidR="00A74B1A" w:rsidRPr="00453192">
        <w:rPr>
          <w:sz w:val="18"/>
          <w:szCs w:val="18"/>
        </w:rPr>
        <w:t>BCA</w:t>
      </w:r>
      <w:r w:rsidR="00A00139" w:rsidRPr="00453192">
        <w:rPr>
          <w:sz w:val="18"/>
          <w:szCs w:val="18"/>
        </w:rPr>
        <w:t xml:space="preserve"> </w:t>
      </w:r>
      <w:r w:rsidR="005B5CBF" w:rsidRPr="00453192">
        <w:rPr>
          <w:sz w:val="18"/>
          <w:szCs w:val="18"/>
        </w:rPr>
        <w:t>submission to the Supplementary Consultation,</w:t>
      </w:r>
      <w:r w:rsidR="00A44843">
        <w:rPr>
          <w:sz w:val="18"/>
          <w:szCs w:val="18"/>
        </w:rPr>
        <w:t xml:space="preserve"> </w:t>
      </w:r>
      <w:r w:rsidR="005B5CBF" w:rsidRPr="00453192">
        <w:rPr>
          <w:sz w:val="18"/>
          <w:szCs w:val="18"/>
        </w:rPr>
        <w:t>p</w:t>
      </w:r>
      <w:r w:rsidR="00AC23EB">
        <w:rPr>
          <w:sz w:val="18"/>
          <w:szCs w:val="18"/>
        </w:rPr>
        <w:t>.</w:t>
      </w:r>
      <w:r w:rsidR="005B5CBF" w:rsidRPr="00453192">
        <w:rPr>
          <w:sz w:val="18"/>
          <w:szCs w:val="18"/>
        </w:rPr>
        <w:t xml:space="preserve"> </w:t>
      </w:r>
      <w:r w:rsidR="00077C48" w:rsidRPr="00453192">
        <w:rPr>
          <w:sz w:val="18"/>
          <w:szCs w:val="18"/>
        </w:rPr>
        <w:t>15</w:t>
      </w:r>
      <w:r w:rsidR="005B5CBF" w:rsidRPr="00453192">
        <w:rPr>
          <w:sz w:val="18"/>
          <w:szCs w:val="18"/>
        </w:rPr>
        <w:t>.</w:t>
      </w:r>
    </w:p>
  </w:footnote>
  <w:footnote w:id="141">
    <w:p w14:paraId="2C6924ED" w14:textId="3ED47541" w:rsidR="00F858C1" w:rsidRDefault="00F858C1" w:rsidP="00576AF7">
      <w:pPr>
        <w:pStyle w:val="FootnoteText"/>
        <w:ind w:left="0" w:firstLine="0"/>
      </w:pPr>
      <w:r>
        <w:rPr>
          <w:rStyle w:val="FootnoteReference"/>
        </w:rPr>
        <w:footnoteRef/>
      </w:r>
      <w:r w:rsidRPr="00453192">
        <w:rPr>
          <w:sz w:val="18"/>
          <w:szCs w:val="18"/>
        </w:rPr>
        <w:t xml:space="preserve"> </w:t>
      </w:r>
      <w:r w:rsidR="00D96E1E" w:rsidRPr="00453192">
        <w:rPr>
          <w:sz w:val="18"/>
          <w:szCs w:val="18"/>
        </w:rPr>
        <w:t xml:space="preserve">ACCI </w:t>
      </w:r>
      <w:r w:rsidR="005B5CBF" w:rsidRPr="00453192">
        <w:rPr>
          <w:sz w:val="18"/>
          <w:szCs w:val="18"/>
        </w:rPr>
        <w:t>submission to the Supplementary Consultation, p</w:t>
      </w:r>
      <w:r w:rsidR="002E7E52">
        <w:rPr>
          <w:sz w:val="18"/>
          <w:szCs w:val="18"/>
        </w:rPr>
        <w:t>.</w:t>
      </w:r>
      <w:r w:rsidR="005B5CBF" w:rsidRPr="00453192">
        <w:rPr>
          <w:sz w:val="18"/>
          <w:szCs w:val="18"/>
        </w:rPr>
        <w:t xml:space="preserve"> </w:t>
      </w:r>
      <w:r w:rsidR="00D96E1E" w:rsidRPr="00453192">
        <w:rPr>
          <w:sz w:val="18"/>
          <w:szCs w:val="18"/>
        </w:rPr>
        <w:t>5</w:t>
      </w:r>
      <w:r w:rsidR="005B5CBF" w:rsidRPr="00453192">
        <w:rPr>
          <w:sz w:val="18"/>
          <w:szCs w:val="18"/>
        </w:rPr>
        <w:t>.</w:t>
      </w:r>
    </w:p>
  </w:footnote>
  <w:footnote w:id="142">
    <w:p w14:paraId="7064A774" w14:textId="59420B2A" w:rsidR="00406CD0" w:rsidRPr="00D13672" w:rsidRDefault="00406CD0" w:rsidP="00407FB4">
      <w:pPr>
        <w:pStyle w:val="FootnoteText"/>
        <w:ind w:left="170" w:hanging="227"/>
        <w:rPr>
          <w:sz w:val="18"/>
          <w:szCs w:val="18"/>
        </w:rPr>
      </w:pPr>
      <w:r w:rsidRPr="00D13672">
        <w:rPr>
          <w:rStyle w:val="FootnoteReference"/>
          <w:szCs w:val="18"/>
        </w:rPr>
        <w:footnoteRef/>
      </w:r>
      <w:r w:rsidRPr="00D13672">
        <w:rPr>
          <w:sz w:val="18"/>
          <w:szCs w:val="18"/>
        </w:rPr>
        <w:t xml:space="preserve"> ACCC submission to 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2E7E52">
        <w:rPr>
          <w:sz w:val="18"/>
          <w:szCs w:val="18"/>
        </w:rPr>
        <w:t xml:space="preserve"> </w:t>
      </w:r>
      <w:r w:rsidRPr="00D13672">
        <w:rPr>
          <w:sz w:val="18"/>
          <w:szCs w:val="18"/>
        </w:rPr>
        <w:t xml:space="preserve">23; </w:t>
      </w:r>
      <w:r w:rsidR="00F34120" w:rsidRPr="00F34120">
        <w:rPr>
          <w:sz w:val="18"/>
          <w:szCs w:val="18"/>
        </w:rPr>
        <w:t>Joint Consumer Advocates</w:t>
      </w:r>
      <w:r w:rsidRPr="00D13672">
        <w:rPr>
          <w:sz w:val="18"/>
          <w:szCs w:val="18"/>
        </w:rPr>
        <w:t xml:space="preserve"> submission to the </w:t>
      </w:r>
      <w:r>
        <w:rPr>
          <w:sz w:val="18"/>
          <w:szCs w:val="18"/>
        </w:rPr>
        <w:t>S</w:t>
      </w:r>
      <w:r w:rsidRPr="00D13672">
        <w:rPr>
          <w:sz w:val="18"/>
          <w:szCs w:val="18"/>
        </w:rPr>
        <w:t xml:space="preserve">upplementary </w:t>
      </w:r>
      <w:r>
        <w:rPr>
          <w:sz w:val="18"/>
          <w:szCs w:val="18"/>
        </w:rPr>
        <w:t>C</w:t>
      </w:r>
      <w:r w:rsidRPr="00D13672">
        <w:rPr>
          <w:sz w:val="18"/>
          <w:szCs w:val="18"/>
        </w:rPr>
        <w:t>onsultation pp. 29-30.</w:t>
      </w:r>
    </w:p>
  </w:footnote>
  <w:footnote w:id="143">
    <w:p w14:paraId="3EA047C7" w14:textId="3CBDEDD3" w:rsidR="0042528D" w:rsidRDefault="0042528D">
      <w:pPr>
        <w:pStyle w:val="FootnoteText"/>
      </w:pPr>
      <w:r>
        <w:rPr>
          <w:rStyle w:val="FootnoteReference"/>
        </w:rPr>
        <w:footnoteRef/>
      </w:r>
      <w:r>
        <w:t xml:space="preserve"> </w:t>
      </w:r>
      <w:r w:rsidR="00B80872" w:rsidRPr="00D13672">
        <w:rPr>
          <w:sz w:val="18"/>
          <w:szCs w:val="18"/>
        </w:rPr>
        <w:t xml:space="preserve"> OECD</w:t>
      </w:r>
      <w:r w:rsidR="00DC0E85">
        <w:rPr>
          <w:sz w:val="18"/>
          <w:szCs w:val="18"/>
        </w:rPr>
        <w:t xml:space="preserve">, </w:t>
      </w:r>
      <w:r w:rsidR="00A44843">
        <w:rPr>
          <w:sz w:val="18"/>
          <w:szCs w:val="18"/>
        </w:rPr>
        <w:t>‘</w:t>
      </w:r>
      <w:r w:rsidR="00B80872" w:rsidRPr="00DC0E85">
        <w:rPr>
          <w:sz w:val="18"/>
          <w:szCs w:val="18"/>
        </w:rPr>
        <w:t>Dark commercial patterns’</w:t>
      </w:r>
      <w:r w:rsidR="00DC0E85">
        <w:rPr>
          <w:sz w:val="18"/>
          <w:szCs w:val="18"/>
        </w:rPr>
        <w:t>,</w:t>
      </w:r>
      <w:r w:rsidR="009C23F7">
        <w:rPr>
          <w:sz w:val="18"/>
          <w:szCs w:val="18"/>
        </w:rPr>
        <w:t xml:space="preserve"> p.</w:t>
      </w:r>
      <w:r w:rsidR="002E7E52">
        <w:rPr>
          <w:sz w:val="18"/>
          <w:szCs w:val="18"/>
        </w:rPr>
        <w:t xml:space="preserve"> </w:t>
      </w:r>
      <w:r w:rsidR="009C23F7">
        <w:rPr>
          <w:sz w:val="18"/>
          <w:szCs w:val="18"/>
        </w:rPr>
        <w:t>28.</w:t>
      </w:r>
    </w:p>
  </w:footnote>
  <w:footnote w:id="144">
    <w:p w14:paraId="69F3CD44" w14:textId="113553F7" w:rsidR="001E4CF9" w:rsidRDefault="001E4CF9" w:rsidP="00DA5449">
      <w:pPr>
        <w:pStyle w:val="FootnoteText"/>
        <w:ind w:left="170" w:hanging="170"/>
      </w:pPr>
      <w:r>
        <w:rPr>
          <w:rStyle w:val="FootnoteReference"/>
        </w:rPr>
        <w:footnoteRef/>
      </w:r>
      <w:r>
        <w:t xml:space="preserve"> </w:t>
      </w:r>
      <w:r w:rsidR="00D479EE" w:rsidRPr="00DA5449">
        <w:rPr>
          <w:sz w:val="18"/>
          <w:szCs w:val="18"/>
        </w:rPr>
        <w:t xml:space="preserve">The Government will consider what changes, if any, </w:t>
      </w:r>
      <w:r w:rsidR="00F066FD" w:rsidRPr="00DA5449">
        <w:rPr>
          <w:sz w:val="18"/>
          <w:szCs w:val="18"/>
        </w:rPr>
        <w:t>are required to f</w:t>
      </w:r>
      <w:r w:rsidR="0047609F" w:rsidRPr="00DA5449">
        <w:rPr>
          <w:sz w:val="18"/>
          <w:szCs w:val="18"/>
        </w:rPr>
        <w:t xml:space="preserve">inancial </w:t>
      </w:r>
      <w:r w:rsidR="00A31DDC" w:rsidRPr="00DA5449">
        <w:rPr>
          <w:sz w:val="18"/>
          <w:szCs w:val="18"/>
        </w:rPr>
        <w:t>services</w:t>
      </w:r>
      <w:r w:rsidR="0047609F" w:rsidRPr="00DA5449">
        <w:rPr>
          <w:sz w:val="18"/>
          <w:szCs w:val="18"/>
        </w:rPr>
        <w:t xml:space="preserve"> regulated </w:t>
      </w:r>
      <w:r w:rsidR="00134F63" w:rsidRPr="00DA5449">
        <w:rPr>
          <w:sz w:val="18"/>
          <w:szCs w:val="18"/>
        </w:rPr>
        <w:t>by</w:t>
      </w:r>
      <w:r w:rsidR="0047609F" w:rsidRPr="00DA5449">
        <w:rPr>
          <w:sz w:val="18"/>
          <w:szCs w:val="18"/>
        </w:rPr>
        <w:t xml:space="preserve"> the ASIC Act </w:t>
      </w:r>
      <w:r w:rsidR="00552FCA" w:rsidRPr="00DA5449">
        <w:rPr>
          <w:sz w:val="18"/>
          <w:szCs w:val="18"/>
        </w:rPr>
        <w:t>to ensure appropriate alignment across the ACL and financial services laws</w:t>
      </w:r>
      <w:r w:rsidR="00D920CD" w:rsidRPr="00DA5449">
        <w:rPr>
          <w:sz w:val="18"/>
          <w:szCs w:val="18"/>
        </w:rPr>
        <w:t xml:space="preserve"> </w:t>
      </w:r>
      <w:r w:rsidR="003776B1" w:rsidRPr="00DA5449">
        <w:rPr>
          <w:sz w:val="18"/>
          <w:szCs w:val="18"/>
        </w:rPr>
        <w:t xml:space="preserve">once options to amend the </w:t>
      </w:r>
      <w:r w:rsidR="008C2253" w:rsidRPr="00DA5449">
        <w:rPr>
          <w:sz w:val="18"/>
          <w:szCs w:val="18"/>
        </w:rPr>
        <w:t xml:space="preserve">ACL </w:t>
      </w:r>
      <w:r w:rsidR="003776B1" w:rsidRPr="00DA5449">
        <w:rPr>
          <w:sz w:val="18"/>
          <w:szCs w:val="18"/>
        </w:rPr>
        <w:t>have been agreed</w:t>
      </w:r>
      <w:r w:rsidR="00552FCA" w:rsidRPr="00DA5449">
        <w:rPr>
          <w:sz w:val="18"/>
          <w:szCs w:val="18"/>
        </w:rPr>
        <w:t>.</w:t>
      </w:r>
    </w:p>
  </w:footnote>
  <w:footnote w:id="145">
    <w:p w14:paraId="572787AD" w14:textId="77777777" w:rsidR="00DA2A25" w:rsidRPr="00E86AAC" w:rsidRDefault="00DA2A25" w:rsidP="00DA2A25">
      <w:pPr>
        <w:pStyle w:val="FootnoteText"/>
        <w:ind w:left="170" w:hanging="170"/>
        <w:rPr>
          <w:sz w:val="18"/>
          <w:szCs w:val="18"/>
        </w:rPr>
      </w:pPr>
      <w:r>
        <w:rPr>
          <w:rStyle w:val="FootnoteReference"/>
        </w:rPr>
        <w:footnoteRef/>
      </w:r>
      <w:r>
        <w:t xml:space="preserve"> </w:t>
      </w:r>
      <w:r w:rsidRPr="00E86AAC">
        <w:rPr>
          <w:sz w:val="18"/>
          <w:szCs w:val="18"/>
        </w:rPr>
        <w:t xml:space="preserve">Council of Australian Governments, </w:t>
      </w:r>
      <w:hyperlink r:id="rId39" w:history="1">
        <w:r w:rsidRPr="00E86AAC">
          <w:rPr>
            <w:rStyle w:val="Hyperlink"/>
            <w:i/>
            <w:sz w:val="18"/>
            <w:szCs w:val="18"/>
          </w:rPr>
          <w:t>Intergovernmental Agreement for the Australian Consumer Law</w:t>
        </w:r>
      </w:hyperlink>
      <w:r w:rsidRPr="00E86AAC">
        <w:rPr>
          <w:sz w:val="18"/>
          <w:szCs w:val="18"/>
        </w:rPr>
        <w:t xml:space="preserve">, 2019, </w:t>
      </w:r>
      <w:r>
        <w:rPr>
          <w:sz w:val="18"/>
          <w:szCs w:val="18"/>
        </w:rPr>
        <w:t>a</w:t>
      </w:r>
      <w:r w:rsidRPr="00E86AAC">
        <w:rPr>
          <w:sz w:val="18"/>
          <w:szCs w:val="18"/>
        </w:rPr>
        <w:t>ccessed 14 July 2025</w:t>
      </w:r>
      <w:r>
        <w:rPr>
          <w:sz w:val="18"/>
          <w:szCs w:val="18"/>
        </w:rPr>
        <w:t>.</w:t>
      </w:r>
    </w:p>
  </w:footnote>
  <w:footnote w:id="146">
    <w:p w14:paraId="73583BB5" w14:textId="4460E14F" w:rsidR="005A24A9" w:rsidRPr="00C0499C" w:rsidRDefault="005A24A9" w:rsidP="00C0499C">
      <w:pPr>
        <w:pStyle w:val="FootnoteText"/>
        <w:ind w:left="227" w:hanging="227"/>
        <w:rPr>
          <w:sz w:val="18"/>
          <w:szCs w:val="18"/>
        </w:rPr>
      </w:pPr>
      <w:r>
        <w:rPr>
          <w:rStyle w:val="FootnoteReference"/>
        </w:rPr>
        <w:footnoteRef/>
      </w:r>
      <w:r>
        <w:t xml:space="preserve"> </w:t>
      </w:r>
      <w:r w:rsidR="00DE2ECF">
        <w:rPr>
          <w:sz w:val="18"/>
          <w:szCs w:val="18"/>
        </w:rPr>
        <w:t>Such</w:t>
      </w:r>
      <w:r w:rsidR="00BC53B3" w:rsidRPr="00C0499C">
        <w:rPr>
          <w:sz w:val="18"/>
          <w:szCs w:val="18"/>
        </w:rPr>
        <w:t xml:space="preserve"> as </w:t>
      </w:r>
      <w:r w:rsidR="00AE64F7" w:rsidRPr="00C0499C">
        <w:rPr>
          <w:sz w:val="18"/>
          <w:szCs w:val="18"/>
        </w:rPr>
        <w:t xml:space="preserve">the Consumer Ministers Network, </w:t>
      </w:r>
      <w:r w:rsidR="007A642A" w:rsidRPr="00C0499C">
        <w:rPr>
          <w:sz w:val="18"/>
          <w:szCs w:val="18"/>
        </w:rPr>
        <w:t xml:space="preserve">the </w:t>
      </w:r>
      <w:r w:rsidR="00A57383" w:rsidRPr="00C0499C">
        <w:rPr>
          <w:sz w:val="18"/>
          <w:szCs w:val="18"/>
        </w:rPr>
        <w:t>Consumer</w:t>
      </w:r>
      <w:r w:rsidR="00341946" w:rsidRPr="00C0499C">
        <w:rPr>
          <w:sz w:val="18"/>
          <w:szCs w:val="18"/>
        </w:rPr>
        <w:t xml:space="preserve"> Senior Officials’ Network and </w:t>
      </w:r>
      <w:r w:rsidR="007A642A" w:rsidRPr="00C0499C">
        <w:rPr>
          <w:sz w:val="18"/>
          <w:szCs w:val="18"/>
        </w:rPr>
        <w:t>the Consumer Policy Officials Network.</w:t>
      </w:r>
    </w:p>
  </w:footnote>
  <w:footnote w:id="147">
    <w:p w14:paraId="607913C9" w14:textId="75659C1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3C141F">
        <w:rPr>
          <w:sz w:val="18"/>
          <w:szCs w:val="18"/>
        </w:rPr>
        <w:t>ACCC</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673B35">
        <w:rPr>
          <w:sz w:val="18"/>
          <w:szCs w:val="18"/>
        </w:rPr>
        <w:t>.</w:t>
      </w:r>
      <w:r w:rsidRPr="00D13672">
        <w:rPr>
          <w:sz w:val="18"/>
          <w:szCs w:val="18"/>
        </w:rPr>
        <w:t xml:space="preserve"> 14.</w:t>
      </w:r>
    </w:p>
  </w:footnote>
  <w:footnote w:id="148">
    <w:p w14:paraId="1FF8EF99" w14:textId="3643D5A5"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w:t>
      </w:r>
      <w:r w:rsidR="00EE28E2">
        <w:rPr>
          <w:sz w:val="18"/>
          <w:szCs w:val="18"/>
        </w:rPr>
        <w:t>ACCC</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EE28E2">
        <w:rPr>
          <w:sz w:val="18"/>
          <w:szCs w:val="18"/>
        </w:rPr>
        <w:t>.</w:t>
      </w:r>
      <w:r w:rsidRPr="00D13672">
        <w:rPr>
          <w:sz w:val="18"/>
          <w:szCs w:val="18"/>
        </w:rPr>
        <w:t xml:space="preserve"> 14.</w:t>
      </w:r>
    </w:p>
  </w:footnote>
  <w:footnote w:id="149">
    <w:p w14:paraId="2C0C7170" w14:textId="2724ED4D"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B</w:t>
      </w:r>
      <w:r w:rsidR="00EE28E2">
        <w:rPr>
          <w:sz w:val="18"/>
          <w:szCs w:val="18"/>
        </w:rPr>
        <w:t>CA</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74082">
        <w:rPr>
          <w:sz w:val="18"/>
          <w:szCs w:val="18"/>
        </w:rPr>
        <w:t>.</w:t>
      </w:r>
      <w:r w:rsidRPr="00D13672">
        <w:rPr>
          <w:sz w:val="18"/>
          <w:szCs w:val="18"/>
        </w:rPr>
        <w:t xml:space="preserve"> 6.</w:t>
      </w:r>
    </w:p>
  </w:footnote>
  <w:footnote w:id="150">
    <w:p w14:paraId="746899A5" w14:textId="65D6A10C"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w:t>
      </w:r>
      <w:r w:rsidR="00C840C8">
        <w:rPr>
          <w:sz w:val="18"/>
          <w:szCs w:val="18"/>
        </w:rPr>
        <w:t>CCI</w:t>
      </w:r>
      <w:r w:rsidRPr="00D13672">
        <w:rPr>
          <w:sz w:val="18"/>
          <w:szCs w:val="18"/>
        </w:rPr>
        <w:t xml:space="preserve"> submission to </w:t>
      </w:r>
      <w:r w:rsidR="007869CC">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174082">
        <w:rPr>
          <w:sz w:val="18"/>
          <w:szCs w:val="18"/>
        </w:rPr>
        <w:t>.</w:t>
      </w:r>
      <w:r w:rsidRPr="00D13672">
        <w:rPr>
          <w:sz w:val="18"/>
          <w:szCs w:val="18"/>
        </w:rPr>
        <w:t xml:space="preserve"> 3. </w:t>
      </w:r>
    </w:p>
  </w:footnote>
  <w:footnote w:id="151">
    <w:p w14:paraId="6F87AD58" w14:textId="12DB4B9D" w:rsidR="00267C18" w:rsidRDefault="00267C18">
      <w:pPr>
        <w:pStyle w:val="FootnoteText"/>
      </w:pPr>
      <w:r>
        <w:rPr>
          <w:rStyle w:val="FootnoteReference"/>
        </w:rPr>
        <w:footnoteRef/>
      </w:r>
      <w:r>
        <w:t xml:space="preserve"> </w:t>
      </w:r>
      <w:r w:rsidR="00F9349F">
        <w:rPr>
          <w:sz w:val="18"/>
          <w:szCs w:val="18"/>
        </w:rPr>
        <w:t>ACCC</w:t>
      </w:r>
      <w:r w:rsidR="00F9349F" w:rsidRPr="00D13672">
        <w:rPr>
          <w:sz w:val="18"/>
          <w:szCs w:val="18"/>
        </w:rPr>
        <w:t xml:space="preserve"> submission to </w:t>
      </w:r>
      <w:r w:rsidR="007869CC">
        <w:rPr>
          <w:sz w:val="18"/>
          <w:szCs w:val="18"/>
        </w:rPr>
        <w:t xml:space="preserve">the </w:t>
      </w:r>
      <w:r w:rsidR="00F9349F">
        <w:rPr>
          <w:sz w:val="18"/>
          <w:szCs w:val="18"/>
        </w:rPr>
        <w:t>S</w:t>
      </w:r>
      <w:r w:rsidR="00F9349F" w:rsidRPr="00D13672">
        <w:rPr>
          <w:sz w:val="18"/>
          <w:szCs w:val="18"/>
        </w:rPr>
        <w:t xml:space="preserve">upplementary </w:t>
      </w:r>
      <w:r w:rsidR="00F9349F">
        <w:rPr>
          <w:sz w:val="18"/>
          <w:szCs w:val="18"/>
        </w:rPr>
        <w:t>C</w:t>
      </w:r>
      <w:r w:rsidR="00F9349F" w:rsidRPr="00D13672">
        <w:rPr>
          <w:sz w:val="18"/>
          <w:szCs w:val="18"/>
        </w:rPr>
        <w:t>onsultation, p</w:t>
      </w:r>
      <w:r w:rsidR="00F9349F">
        <w:rPr>
          <w:sz w:val="18"/>
          <w:szCs w:val="18"/>
        </w:rPr>
        <w:t>.</w:t>
      </w:r>
      <w:r w:rsidR="00F9349F" w:rsidRPr="00D13672">
        <w:rPr>
          <w:sz w:val="18"/>
          <w:szCs w:val="18"/>
        </w:rPr>
        <w:t xml:space="preserve"> 1</w:t>
      </w:r>
      <w:r w:rsidR="00F9349F">
        <w:rPr>
          <w:sz w:val="18"/>
          <w:szCs w:val="18"/>
        </w:rPr>
        <w:t>4.</w:t>
      </w:r>
    </w:p>
  </w:footnote>
  <w:footnote w:id="152">
    <w:p w14:paraId="6BDB457A" w14:textId="3F0587CF"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National Legal Aid submission to </w:t>
      </w:r>
      <w:r w:rsidR="00314DF0">
        <w:rPr>
          <w:sz w:val="18"/>
          <w:szCs w:val="18"/>
        </w:rPr>
        <w:t xml:space="preserve">the </w:t>
      </w:r>
      <w:r>
        <w:rPr>
          <w:sz w:val="18"/>
          <w:szCs w:val="18"/>
        </w:rPr>
        <w:t>S</w:t>
      </w:r>
      <w:r w:rsidRPr="00D13672">
        <w:rPr>
          <w:sz w:val="18"/>
          <w:szCs w:val="18"/>
        </w:rPr>
        <w:t xml:space="preserve">upplementary </w:t>
      </w:r>
      <w:r>
        <w:rPr>
          <w:sz w:val="18"/>
          <w:szCs w:val="18"/>
        </w:rPr>
        <w:t>C</w:t>
      </w:r>
      <w:r w:rsidRPr="00D13672">
        <w:rPr>
          <w:sz w:val="18"/>
          <w:szCs w:val="18"/>
        </w:rPr>
        <w:t>onsultation, p</w:t>
      </w:r>
      <w:r w:rsidR="008A24CF">
        <w:rPr>
          <w:sz w:val="18"/>
          <w:szCs w:val="18"/>
        </w:rPr>
        <w:t>.</w:t>
      </w:r>
      <w:r w:rsidRPr="00D13672">
        <w:rPr>
          <w:sz w:val="18"/>
          <w:szCs w:val="18"/>
        </w:rPr>
        <w:t xml:space="preserve"> 5.</w:t>
      </w:r>
    </w:p>
  </w:footnote>
  <w:footnote w:id="153">
    <w:p w14:paraId="56BB8BB4" w14:textId="1B0ECEA5" w:rsidR="004367F4" w:rsidRPr="00D13672" w:rsidRDefault="004367F4" w:rsidP="004367F4">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 recent example of this type of research is the C</w:t>
      </w:r>
      <w:r>
        <w:rPr>
          <w:sz w:val="18"/>
          <w:szCs w:val="18"/>
        </w:rPr>
        <w:t>PRC’s</w:t>
      </w:r>
      <w:r w:rsidR="0058537F">
        <w:rPr>
          <w:sz w:val="18"/>
          <w:szCs w:val="18"/>
        </w:rPr>
        <w:t>,</w:t>
      </w:r>
      <w:r w:rsidR="0058537F" w:rsidRPr="0081728B">
        <w:rPr>
          <w:sz w:val="18"/>
          <w:szCs w:val="18"/>
        </w:rPr>
        <w:t xml:space="preserve"> </w:t>
      </w:r>
      <w:hyperlink r:id="rId40" w:history="1">
        <w:r w:rsidR="0058537F" w:rsidRPr="002E742D">
          <w:rPr>
            <w:rStyle w:val="Hyperlink"/>
            <w:i/>
            <w:sz w:val="18"/>
            <w:szCs w:val="18"/>
          </w:rPr>
          <w:t>Let me out - Subscription trap practices in Australia</w:t>
        </w:r>
      </w:hyperlink>
      <w:r w:rsidR="0058537F" w:rsidRPr="0081728B">
        <w:rPr>
          <w:sz w:val="18"/>
          <w:szCs w:val="18"/>
        </w:rPr>
        <w:t xml:space="preserve">, </w:t>
      </w:r>
      <w:r w:rsidR="0058537F">
        <w:rPr>
          <w:sz w:val="18"/>
          <w:szCs w:val="18"/>
        </w:rPr>
        <w:t>2024.</w:t>
      </w:r>
    </w:p>
  </w:footnote>
  <w:footnote w:id="154">
    <w:p w14:paraId="71E4F8D1" w14:textId="3F7EDCC6" w:rsidR="00406CD0" w:rsidRDefault="00406CD0" w:rsidP="00406CD0">
      <w:pPr>
        <w:pStyle w:val="FootnoteText"/>
        <w:ind w:left="170" w:hanging="170"/>
      </w:pPr>
      <w:r>
        <w:rPr>
          <w:rStyle w:val="FootnoteReference"/>
          <w:rFonts w:eastAsiaTheme="majorEastAsia"/>
        </w:rPr>
        <w:footnoteRef/>
      </w:r>
      <w:r>
        <w:t xml:space="preserve"> </w:t>
      </w:r>
      <w:r w:rsidRPr="00D13672">
        <w:rPr>
          <w:sz w:val="18"/>
          <w:szCs w:val="18"/>
        </w:rPr>
        <w:t xml:space="preserve">See </w:t>
      </w:r>
      <w:r w:rsidRPr="00DA5449">
        <w:rPr>
          <w:i/>
          <w:sz w:val="18"/>
          <w:szCs w:val="18"/>
        </w:rPr>
        <w:t>Commercial Bank of Australia Ltd v Amadio</w:t>
      </w:r>
      <w:r w:rsidR="00DC0E85">
        <w:rPr>
          <w:sz w:val="18"/>
          <w:szCs w:val="18"/>
        </w:rPr>
        <w:t>,</w:t>
      </w:r>
      <w:r w:rsidRPr="00D13672">
        <w:rPr>
          <w:sz w:val="18"/>
          <w:szCs w:val="18"/>
        </w:rPr>
        <w:t xml:space="preserve"> 151 CLR 447</w:t>
      </w:r>
      <w:r w:rsidR="00DC0E85">
        <w:rPr>
          <w:sz w:val="18"/>
          <w:szCs w:val="18"/>
        </w:rPr>
        <w:t>, 1983</w:t>
      </w:r>
      <w:r w:rsidRPr="00D13672">
        <w:rPr>
          <w:sz w:val="18"/>
          <w:szCs w:val="18"/>
        </w:rPr>
        <w:t xml:space="preserve">. </w:t>
      </w:r>
    </w:p>
  </w:footnote>
  <w:footnote w:id="155">
    <w:p w14:paraId="782A5299" w14:textId="370E03C7" w:rsidR="00406CD0" w:rsidRPr="00D13672" w:rsidRDefault="00406CD0" w:rsidP="00406CD0">
      <w:pPr>
        <w:pStyle w:val="FootnoteText"/>
        <w:rPr>
          <w:sz w:val="18"/>
          <w:szCs w:val="18"/>
        </w:rPr>
      </w:pPr>
      <w:r w:rsidRPr="00F42C94">
        <w:rPr>
          <w:rFonts w:eastAsiaTheme="majorEastAsia"/>
          <w:sz w:val="18"/>
          <w:szCs w:val="18"/>
          <w:vertAlign w:val="superscript"/>
        </w:rPr>
        <w:footnoteRef/>
      </w:r>
      <w:r w:rsidRPr="00D13672">
        <w:rPr>
          <w:sz w:val="18"/>
          <w:szCs w:val="18"/>
        </w:rPr>
        <w:t xml:space="preserve"> Section 21(4)(a) of the ACL</w:t>
      </w:r>
      <w:r w:rsidR="00974F7C">
        <w:rPr>
          <w:sz w:val="18"/>
          <w:szCs w:val="18"/>
        </w:rPr>
        <w:t xml:space="preserve">. </w:t>
      </w:r>
    </w:p>
  </w:footnote>
  <w:footnote w:id="156">
    <w:p w14:paraId="0AAFAE59" w14:textId="3CC03EEC" w:rsidR="00406CD0" w:rsidRPr="00D13672" w:rsidRDefault="00406CD0" w:rsidP="00406CD0">
      <w:pPr>
        <w:pStyle w:val="FooterOdd"/>
        <w:ind w:left="170" w:hanging="170"/>
        <w:jc w:val="left"/>
      </w:pPr>
      <w:r w:rsidRPr="00F42C94">
        <w:rPr>
          <w:rFonts w:eastAsiaTheme="majorEastAsia"/>
          <w:sz w:val="18"/>
          <w:szCs w:val="18"/>
          <w:vertAlign w:val="superscript"/>
        </w:rPr>
        <w:footnoteRef/>
      </w:r>
      <w:r w:rsidRPr="00D13672">
        <w:rPr>
          <w:sz w:val="18"/>
          <w:szCs w:val="18"/>
        </w:rPr>
        <w:t xml:space="preserve"> </w:t>
      </w:r>
      <w:r w:rsidR="008B0CFB">
        <w:rPr>
          <w:sz w:val="18"/>
          <w:szCs w:val="18"/>
        </w:rPr>
        <w:t>ACCC,</w:t>
      </w:r>
      <w:r w:rsidRPr="00D13672">
        <w:rPr>
          <w:sz w:val="18"/>
          <w:szCs w:val="18"/>
        </w:rPr>
        <w:t xml:space="preserve"> </w:t>
      </w:r>
      <w:hyperlink r:id="rId41" w:history="1">
        <w:r w:rsidRPr="00823D6B">
          <w:rPr>
            <w:rStyle w:val="Hyperlink"/>
            <w:sz w:val="18"/>
            <w:szCs w:val="18"/>
          </w:rPr>
          <w:t>Unfair business practices</w:t>
        </w:r>
      </w:hyperlink>
      <w:r w:rsidRPr="00D13672">
        <w:rPr>
          <w:sz w:val="18"/>
          <w:szCs w:val="18"/>
        </w:rPr>
        <w:t xml:space="preserve">, </w:t>
      </w:r>
      <w:r w:rsidR="008B0CFB">
        <w:rPr>
          <w:sz w:val="18"/>
          <w:szCs w:val="18"/>
        </w:rPr>
        <w:t xml:space="preserve">ACCC, </w:t>
      </w:r>
      <w:r w:rsidR="00DC0E85">
        <w:rPr>
          <w:sz w:val="18"/>
          <w:szCs w:val="18"/>
        </w:rPr>
        <w:t xml:space="preserve">n.d., </w:t>
      </w:r>
      <w:r w:rsidR="00823D6B">
        <w:rPr>
          <w:sz w:val="18"/>
          <w:szCs w:val="18"/>
        </w:rPr>
        <w:t>accessed 9 July 2025</w:t>
      </w:r>
      <w:r>
        <w:rPr>
          <w:sz w:val="18"/>
          <w:szCs w:val="18"/>
        </w:rPr>
        <w:t>.</w:t>
      </w:r>
    </w:p>
  </w:footnote>
  <w:footnote w:id="157">
    <w:p w14:paraId="10C03C11" w14:textId="77777777" w:rsidR="00406CD0" w:rsidRPr="00D13672" w:rsidRDefault="00406CD0" w:rsidP="00406CD0">
      <w:pPr>
        <w:pStyle w:val="FooterOdd"/>
        <w:ind w:left="170" w:hanging="170"/>
        <w:jc w:val="left"/>
        <w:rPr>
          <w:sz w:val="18"/>
          <w:szCs w:val="18"/>
        </w:rPr>
      </w:pPr>
      <w:r w:rsidRPr="00F42C94">
        <w:rPr>
          <w:rFonts w:eastAsiaTheme="majorEastAsia"/>
          <w:sz w:val="18"/>
          <w:szCs w:val="18"/>
          <w:vertAlign w:val="superscript"/>
        </w:rPr>
        <w:footnoteRef/>
      </w:r>
      <w:r w:rsidRPr="00D13672">
        <w:rPr>
          <w:sz w:val="18"/>
          <w:szCs w:val="18"/>
        </w:rPr>
        <w:t xml:space="preserve"> Section 22 of the ACL. </w:t>
      </w:r>
    </w:p>
    <w:p w14:paraId="39CD0057" w14:textId="77777777" w:rsidR="00406CD0" w:rsidRPr="00D13672" w:rsidRDefault="00406CD0" w:rsidP="00406CD0">
      <w:pPr>
        <w:pStyle w:val="FootnoteText"/>
        <w:ind w:left="170" w:hanging="170"/>
        <w:rPr>
          <w:sz w:val="18"/>
          <w:szCs w:val="18"/>
        </w:rPr>
      </w:pPr>
    </w:p>
  </w:footnote>
  <w:footnote w:id="158">
    <w:p w14:paraId="0892CADF" w14:textId="50A2E823"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Primarily </w:t>
      </w:r>
      <w:r w:rsidR="004A06C6">
        <w:rPr>
          <w:sz w:val="18"/>
          <w:szCs w:val="18"/>
        </w:rPr>
        <w:t>business</w:t>
      </w:r>
      <w:r w:rsidR="000271B7">
        <w:rPr>
          <w:sz w:val="18"/>
          <w:szCs w:val="18"/>
        </w:rPr>
        <w:t>-</w:t>
      </w:r>
      <w:r w:rsidR="004A06C6">
        <w:rPr>
          <w:sz w:val="18"/>
          <w:szCs w:val="18"/>
        </w:rPr>
        <w:t>to</w:t>
      </w:r>
      <w:r w:rsidR="000271B7">
        <w:rPr>
          <w:sz w:val="18"/>
          <w:szCs w:val="18"/>
        </w:rPr>
        <w:t>-</w:t>
      </w:r>
      <w:r w:rsidR="004A06C6">
        <w:rPr>
          <w:sz w:val="18"/>
          <w:szCs w:val="18"/>
        </w:rPr>
        <w:t>business</w:t>
      </w:r>
      <w:r w:rsidRPr="00D13672">
        <w:rPr>
          <w:sz w:val="18"/>
          <w:szCs w:val="18"/>
        </w:rPr>
        <w:t xml:space="preserve"> sectors including mining and wholesale trade have not been counted, while primarily </w:t>
      </w:r>
      <w:r w:rsidR="004A06C6">
        <w:rPr>
          <w:sz w:val="18"/>
          <w:szCs w:val="18"/>
        </w:rPr>
        <w:t>business</w:t>
      </w:r>
      <w:r w:rsidR="000271B7">
        <w:rPr>
          <w:sz w:val="18"/>
          <w:szCs w:val="18"/>
        </w:rPr>
        <w:t>-</w:t>
      </w:r>
      <w:r w:rsidR="004A06C6">
        <w:rPr>
          <w:sz w:val="18"/>
          <w:szCs w:val="18"/>
        </w:rPr>
        <w:t>to</w:t>
      </w:r>
      <w:r w:rsidR="000271B7">
        <w:rPr>
          <w:sz w:val="18"/>
          <w:szCs w:val="18"/>
        </w:rPr>
        <w:t>-</w:t>
      </w:r>
      <w:r w:rsidR="004A06C6">
        <w:rPr>
          <w:sz w:val="18"/>
          <w:szCs w:val="18"/>
        </w:rPr>
        <w:t>consumer</w:t>
      </w:r>
      <w:r w:rsidRPr="00D13672">
        <w:rPr>
          <w:sz w:val="18"/>
          <w:szCs w:val="18"/>
        </w:rPr>
        <w:t xml:space="preserve"> sectors including retail trade and accommodation and food services businesses are fully counted as amongst the impacted cohort. Financial and insurance services businesses are not </w:t>
      </w:r>
      <w:r w:rsidR="003F18DA">
        <w:rPr>
          <w:sz w:val="18"/>
          <w:szCs w:val="18"/>
        </w:rPr>
        <w:t>included</w:t>
      </w:r>
      <w:r w:rsidRPr="00D13672">
        <w:rPr>
          <w:sz w:val="18"/>
          <w:szCs w:val="18"/>
        </w:rPr>
        <w:t>. Sectors with a mix of customer types including construction and transport, postal and warehousing are partly counted with a general assumption of half being consumer-facing.</w:t>
      </w:r>
    </w:p>
  </w:footnote>
  <w:footnote w:id="159">
    <w:p w14:paraId="24EA9F3F" w14:textId="24DE5B59"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The percentage of businesses that will incur adjustment costs is unknown. This figure is based on the European Commission’s</w:t>
      </w:r>
      <w:r w:rsidR="004A06C6">
        <w:rPr>
          <w:sz w:val="18"/>
          <w:szCs w:val="18"/>
        </w:rPr>
        <w:t xml:space="preserve"> </w:t>
      </w:r>
      <w:r w:rsidRPr="004A06C6">
        <w:rPr>
          <w:i/>
          <w:sz w:val="18"/>
          <w:szCs w:val="18"/>
        </w:rPr>
        <w:t>Fitness Check of EU Consumer Law on Digital Fairness</w:t>
      </w:r>
      <w:r w:rsidR="004A06C6">
        <w:rPr>
          <w:sz w:val="18"/>
          <w:szCs w:val="18"/>
        </w:rPr>
        <w:t xml:space="preserve">, </w:t>
      </w:r>
      <w:r w:rsidRPr="00D13672">
        <w:rPr>
          <w:sz w:val="18"/>
          <w:szCs w:val="18"/>
        </w:rPr>
        <w:t xml:space="preserve">which covered </w:t>
      </w:r>
      <w:r w:rsidR="00B95C0F">
        <w:rPr>
          <w:sz w:val="18"/>
          <w:szCs w:val="18"/>
        </w:rPr>
        <w:t>3</w:t>
      </w:r>
      <w:r w:rsidRPr="00D13672">
        <w:rPr>
          <w:sz w:val="18"/>
          <w:szCs w:val="18"/>
        </w:rPr>
        <w:t xml:space="preserve"> directives, including the Unfair Commercial Practices Directive. The review found that 10% of businesses reported incurring high costs relating to adjustment and implementing legal requirements arising from the </w:t>
      </w:r>
      <w:r w:rsidR="00B95C0F">
        <w:rPr>
          <w:sz w:val="18"/>
          <w:szCs w:val="18"/>
        </w:rPr>
        <w:t>3</w:t>
      </w:r>
      <w:r w:rsidR="00B95C0F" w:rsidRPr="00D13672">
        <w:rPr>
          <w:sz w:val="18"/>
          <w:szCs w:val="18"/>
        </w:rPr>
        <w:t xml:space="preserve"> </w:t>
      </w:r>
      <w:r w:rsidRPr="00D13672">
        <w:rPr>
          <w:sz w:val="18"/>
          <w:szCs w:val="18"/>
        </w:rPr>
        <w:t xml:space="preserve">relevant directives into business procedures.  </w:t>
      </w:r>
    </w:p>
  </w:footnote>
  <w:footnote w:id="160">
    <w:p w14:paraId="57EBFA52" w14:textId="3D583359" w:rsidR="00406CD0" w:rsidRPr="00DA5449" w:rsidRDefault="00406CD0" w:rsidP="005D67D9">
      <w:pPr>
        <w:pStyle w:val="FootnoteText"/>
        <w:ind w:left="227" w:hanging="227"/>
        <w:rPr>
          <w:sz w:val="18"/>
          <w:szCs w:val="18"/>
        </w:rPr>
      </w:pPr>
      <w:r>
        <w:rPr>
          <w:rStyle w:val="FootnoteReference"/>
        </w:rPr>
        <w:footnoteRef/>
      </w:r>
      <w:r w:rsidRPr="00DA5449">
        <w:rPr>
          <w:sz w:val="18"/>
          <w:szCs w:val="18"/>
        </w:rPr>
        <w:t xml:space="preserve"> Office of Impact Analysis, </w:t>
      </w:r>
      <w:hyperlink r:id="rId42" w:history="1">
        <w:r w:rsidRPr="00DA5449">
          <w:rPr>
            <w:rStyle w:val="Hyperlink"/>
            <w:i/>
            <w:sz w:val="18"/>
            <w:szCs w:val="18"/>
          </w:rPr>
          <w:t>Regulatory Burden Measurement Framework</w:t>
        </w:r>
      </w:hyperlink>
      <w:r w:rsidRPr="00DA5449">
        <w:rPr>
          <w:sz w:val="18"/>
          <w:szCs w:val="18"/>
        </w:rPr>
        <w:t>,</w:t>
      </w:r>
      <w:r>
        <w:rPr>
          <w:sz w:val="18"/>
          <w:szCs w:val="18"/>
        </w:rPr>
        <w:t xml:space="preserve"> </w:t>
      </w:r>
      <w:r w:rsidR="00B102FE">
        <w:rPr>
          <w:sz w:val="18"/>
          <w:szCs w:val="18"/>
        </w:rPr>
        <w:t>Department of Prime Minister and Cabinet</w:t>
      </w:r>
      <w:r w:rsidR="006A5C9A">
        <w:rPr>
          <w:sz w:val="18"/>
          <w:szCs w:val="18"/>
        </w:rPr>
        <w:t xml:space="preserve">, </w:t>
      </w:r>
      <w:r w:rsidR="004A06C6">
        <w:rPr>
          <w:sz w:val="18"/>
          <w:szCs w:val="18"/>
        </w:rPr>
        <w:t xml:space="preserve">2024, </w:t>
      </w:r>
      <w:r w:rsidRPr="00DA5449">
        <w:rPr>
          <w:sz w:val="18"/>
          <w:szCs w:val="18"/>
        </w:rPr>
        <w:t>p.</w:t>
      </w:r>
      <w:r w:rsidR="000E67B8">
        <w:rPr>
          <w:sz w:val="18"/>
          <w:szCs w:val="18"/>
        </w:rPr>
        <w:t xml:space="preserve"> </w:t>
      </w:r>
      <w:r w:rsidRPr="00DA5449">
        <w:rPr>
          <w:sz w:val="18"/>
          <w:szCs w:val="18"/>
        </w:rPr>
        <w:t xml:space="preserve">12. </w:t>
      </w:r>
      <w:r w:rsidR="00577FDF" w:rsidRPr="00DA5449">
        <w:rPr>
          <w:sz w:val="18"/>
          <w:szCs w:val="18"/>
        </w:rPr>
        <w:t>As per the framework guidance</w:t>
      </w:r>
      <w:r w:rsidR="00920B36" w:rsidRPr="00DA5449">
        <w:rPr>
          <w:sz w:val="18"/>
          <w:szCs w:val="18"/>
        </w:rPr>
        <w:t>,</w:t>
      </w:r>
      <w:r w:rsidRPr="00DA5449">
        <w:rPr>
          <w:sz w:val="18"/>
          <w:szCs w:val="18"/>
        </w:rPr>
        <w:t xml:space="preserve"> </w:t>
      </w:r>
      <w:r w:rsidR="00C95D38" w:rsidRPr="00DA5449">
        <w:rPr>
          <w:sz w:val="18"/>
          <w:szCs w:val="18"/>
        </w:rPr>
        <w:t>the $85.17 per hour default has been used as the</w:t>
      </w:r>
      <w:r w:rsidR="007A46F7" w:rsidRPr="00DA5449">
        <w:rPr>
          <w:sz w:val="18"/>
          <w:szCs w:val="18"/>
        </w:rPr>
        <w:t xml:space="preserve"> </w:t>
      </w:r>
      <w:r w:rsidR="00600640" w:rsidRPr="00DA5449">
        <w:rPr>
          <w:sz w:val="18"/>
          <w:szCs w:val="18"/>
        </w:rPr>
        <w:t>general, subscription and drip pricing policy proposals each cut across a number of sectors</w:t>
      </w:r>
      <w:r w:rsidR="00577FDF" w:rsidRPr="00DA5449">
        <w:rPr>
          <w:sz w:val="18"/>
          <w:szCs w:val="18"/>
        </w:rPr>
        <w:t>.</w:t>
      </w:r>
    </w:p>
  </w:footnote>
  <w:footnote w:id="161">
    <w:p w14:paraId="12EF02BE" w14:textId="5FC699CE" w:rsidR="00406CD0" w:rsidRPr="00D13672" w:rsidRDefault="00406CD0" w:rsidP="005D67D9">
      <w:pPr>
        <w:pStyle w:val="FootnoteText"/>
        <w:ind w:left="227" w:hanging="227"/>
        <w:rPr>
          <w:sz w:val="18"/>
          <w:szCs w:val="18"/>
        </w:rPr>
      </w:pPr>
      <w:r w:rsidRPr="00D13672">
        <w:rPr>
          <w:rStyle w:val="FootnoteReference"/>
          <w:szCs w:val="18"/>
        </w:rPr>
        <w:footnoteRef/>
      </w:r>
      <w:r w:rsidRPr="00D13672">
        <w:rPr>
          <w:sz w:val="18"/>
          <w:szCs w:val="18"/>
        </w:rPr>
        <w:t xml:space="preserve"> Kantar Public, </w:t>
      </w:r>
      <w:r w:rsidRPr="004A06C6">
        <w:rPr>
          <w:i/>
          <w:sz w:val="18"/>
          <w:szCs w:val="18"/>
        </w:rPr>
        <w:t>Australian Consumer Survey 2023 - Final Report</w:t>
      </w:r>
      <w:r w:rsidRPr="00D13672">
        <w:rPr>
          <w:sz w:val="18"/>
          <w:szCs w:val="18"/>
        </w:rPr>
        <w:t>, p.</w:t>
      </w:r>
      <w:r w:rsidR="00F0205B">
        <w:rPr>
          <w:sz w:val="18"/>
          <w:szCs w:val="18"/>
        </w:rPr>
        <w:t xml:space="preserve"> </w:t>
      </w:r>
      <w:r w:rsidRPr="00D13672">
        <w:rPr>
          <w:sz w:val="18"/>
          <w:szCs w:val="18"/>
        </w:rPr>
        <w:t>100</w:t>
      </w:r>
      <w:r w:rsidR="00B102FE">
        <w:rPr>
          <w:sz w:val="18"/>
          <w:szCs w:val="18"/>
        </w:rPr>
        <w:t xml:space="preserve">. The </w:t>
      </w:r>
      <w:r w:rsidRPr="00D13672">
        <w:rPr>
          <w:sz w:val="18"/>
          <w:szCs w:val="18"/>
        </w:rPr>
        <w:t xml:space="preserve">report </w:t>
      </w:r>
      <w:r w:rsidR="00B102FE">
        <w:rPr>
          <w:sz w:val="18"/>
          <w:szCs w:val="18"/>
        </w:rPr>
        <w:t>stated that</w:t>
      </w:r>
      <w:r w:rsidRPr="00D13672">
        <w:rPr>
          <w:sz w:val="18"/>
          <w:szCs w:val="18"/>
        </w:rPr>
        <w:t xml:space="preserve"> 24% of businesses surveyed reported that a solicitor or lawyer would be the main channel they would use to seek advice on the Australian Consumer Law.</w:t>
      </w:r>
      <w:r>
        <w:rPr>
          <w:sz w:val="18"/>
          <w:szCs w:val="18"/>
        </w:rPr>
        <w:t xml:space="preserve"> The survey results showed this rate did not significantly vary by business size. </w:t>
      </w:r>
    </w:p>
  </w:footnote>
  <w:footnote w:id="162">
    <w:p w14:paraId="7648FC86" w14:textId="29A691A2" w:rsidR="00406CD0" w:rsidRPr="004204F0" w:rsidRDefault="00406CD0" w:rsidP="005D67D9">
      <w:pPr>
        <w:pStyle w:val="FootnoteText"/>
        <w:ind w:left="227" w:hanging="227"/>
        <w:rPr>
          <w:sz w:val="18"/>
          <w:szCs w:val="18"/>
        </w:rPr>
      </w:pPr>
      <w:r w:rsidRPr="00D13672">
        <w:rPr>
          <w:rStyle w:val="FootnoteReference"/>
          <w:rFonts w:eastAsiaTheme="majorEastAsia"/>
          <w:szCs w:val="18"/>
        </w:rPr>
        <w:footnoteRef/>
      </w:r>
      <w:r w:rsidRPr="00D13672">
        <w:rPr>
          <w:sz w:val="18"/>
          <w:szCs w:val="18"/>
        </w:rPr>
        <w:t xml:space="preserve"> </w:t>
      </w:r>
      <w:r w:rsidR="00C2366F">
        <w:rPr>
          <w:sz w:val="18"/>
          <w:szCs w:val="18"/>
        </w:rPr>
        <w:t>DBT (UK)</w:t>
      </w:r>
      <w:r w:rsidR="00C2366F" w:rsidRPr="0081728B">
        <w:rPr>
          <w:sz w:val="18"/>
          <w:szCs w:val="18"/>
        </w:rPr>
        <w:t xml:space="preserve">, </w:t>
      </w:r>
      <w:hyperlink r:id="rId43" w:history="1">
        <w:r w:rsidR="00C2366F" w:rsidRPr="00A178D0">
          <w:rPr>
            <w:rStyle w:val="Hyperlink"/>
            <w:i/>
            <w:sz w:val="18"/>
            <w:szCs w:val="18"/>
          </w:rPr>
          <w:t>Impact Assessment for the Digital Markets, Competition and Consumers Act</w:t>
        </w:r>
        <w:r w:rsidR="00C2366F" w:rsidRPr="00A178D0">
          <w:rPr>
            <w:rStyle w:val="Hyperlink"/>
            <w:i/>
            <w:iCs/>
            <w:sz w:val="18"/>
            <w:szCs w:val="18"/>
          </w:rPr>
          <w:t>: Subscription traps: annex 2 impact assessment</w:t>
        </w:r>
      </w:hyperlink>
      <w:r w:rsidR="00C2366F">
        <w:rPr>
          <w:sz w:val="18"/>
          <w:szCs w:val="18"/>
        </w:rPr>
        <w:t>, UK Government, 2023.</w:t>
      </w:r>
    </w:p>
  </w:footnote>
  <w:footnote w:id="163">
    <w:p w14:paraId="690CA826" w14:textId="5BC0249B" w:rsidR="00406CD0" w:rsidRPr="00D13672" w:rsidRDefault="00406CD0" w:rsidP="00406CD0">
      <w:pPr>
        <w:pStyle w:val="FootnoteText"/>
        <w:ind w:left="170" w:hanging="170"/>
        <w:rPr>
          <w:sz w:val="18"/>
          <w:szCs w:val="18"/>
        </w:rPr>
      </w:pPr>
      <w:r w:rsidRPr="00D13672">
        <w:rPr>
          <w:rStyle w:val="FootnoteReference"/>
          <w:szCs w:val="18"/>
        </w:rPr>
        <w:footnoteRef/>
      </w:r>
      <w:r w:rsidRPr="00D13672">
        <w:rPr>
          <w:sz w:val="18"/>
          <w:szCs w:val="18"/>
        </w:rPr>
        <w:t xml:space="preserve"> </w:t>
      </w:r>
      <w:r w:rsidR="005C1FB4">
        <w:rPr>
          <w:sz w:val="18"/>
          <w:szCs w:val="18"/>
        </w:rPr>
        <w:t xml:space="preserve">US </w:t>
      </w:r>
      <w:r w:rsidRPr="00D13672">
        <w:rPr>
          <w:sz w:val="18"/>
          <w:szCs w:val="18"/>
        </w:rPr>
        <w:t>F</w:t>
      </w:r>
      <w:r w:rsidR="004A06C6">
        <w:rPr>
          <w:sz w:val="18"/>
          <w:szCs w:val="18"/>
        </w:rPr>
        <w:t xml:space="preserve">TC, </w:t>
      </w:r>
      <w:hyperlink r:id="rId44" w:history="1">
        <w:r w:rsidR="00B911A5" w:rsidRPr="00B911A5">
          <w:rPr>
            <w:rStyle w:val="Hyperlink"/>
            <w:i/>
            <w:iCs/>
            <w:sz w:val="18"/>
            <w:szCs w:val="18"/>
          </w:rPr>
          <w:t xml:space="preserve">Final </w:t>
        </w:r>
        <w:r w:rsidR="00B911A5" w:rsidRPr="00B911A5">
          <w:rPr>
            <w:rStyle w:val="Hyperlink"/>
            <w:i/>
            <w:sz w:val="18"/>
            <w:szCs w:val="18"/>
          </w:rPr>
          <w:t>Rule Concerning Recurring Subscriptions and Other Negative Option Programs</w:t>
        </w:r>
      </w:hyperlink>
      <w:r w:rsidRPr="00D13672">
        <w:rPr>
          <w:sz w:val="18"/>
          <w:szCs w:val="18"/>
        </w:rPr>
        <w:t>,</w:t>
      </w:r>
      <w:r w:rsidR="005B7EE2">
        <w:rPr>
          <w:sz w:val="18"/>
          <w:szCs w:val="18"/>
        </w:rPr>
        <w:t xml:space="preserve"> </w:t>
      </w:r>
      <w:r w:rsidR="003C01C0">
        <w:rPr>
          <w:sz w:val="18"/>
          <w:szCs w:val="18"/>
        </w:rPr>
        <w:t>FTC</w:t>
      </w:r>
      <w:r w:rsidR="004A06C6">
        <w:rPr>
          <w:sz w:val="18"/>
          <w:szCs w:val="18"/>
        </w:rPr>
        <w:t>, 2024</w:t>
      </w:r>
      <w:r w:rsidR="003C01C0">
        <w:rPr>
          <w:sz w:val="18"/>
          <w:szCs w:val="18"/>
        </w:rPr>
        <w:t xml:space="preserve">. </w:t>
      </w:r>
    </w:p>
  </w:footnote>
  <w:footnote w:id="164">
    <w:p w14:paraId="259BA33B" w14:textId="77777777" w:rsidR="00406CD0" w:rsidRPr="00E62104" w:rsidRDefault="00406CD0" w:rsidP="00406CD0">
      <w:pPr>
        <w:pStyle w:val="FootnoteText"/>
        <w:ind w:left="170" w:hanging="170"/>
        <w:rPr>
          <w:sz w:val="18"/>
          <w:szCs w:val="18"/>
        </w:rPr>
      </w:pPr>
      <w:r>
        <w:rPr>
          <w:rStyle w:val="FootnoteReference"/>
        </w:rPr>
        <w:footnoteRef/>
      </w:r>
      <w:r w:rsidRPr="00E62104">
        <w:rPr>
          <w:sz w:val="18"/>
          <w:szCs w:val="18"/>
        </w:rPr>
        <w:t xml:space="preserve"> A negative option rule, in the context of consumer protection, refers to a business practice where a seller assumes a customer's consent to a transaction or ongoing service based on the customer's inaction or failure to specifically decline an offer.</w:t>
      </w:r>
    </w:p>
  </w:footnote>
  <w:footnote w:id="165">
    <w:p w14:paraId="4BEE06ED" w14:textId="3BFF86CF" w:rsidR="00444370" w:rsidRPr="00E62104" w:rsidRDefault="00444370" w:rsidP="00C030FA">
      <w:pPr>
        <w:pStyle w:val="FootnoteText"/>
        <w:ind w:left="227" w:hanging="227"/>
        <w:rPr>
          <w:sz w:val="18"/>
          <w:szCs w:val="18"/>
        </w:rPr>
      </w:pPr>
      <w:r>
        <w:rPr>
          <w:rStyle w:val="FootnoteReference"/>
        </w:rPr>
        <w:footnoteRef/>
      </w:r>
      <w:r w:rsidRPr="00E62104">
        <w:rPr>
          <w:sz w:val="18"/>
          <w:szCs w:val="18"/>
        </w:rPr>
        <w:t xml:space="preserve"> </w:t>
      </w:r>
      <w:r w:rsidR="00A05A3E" w:rsidRPr="00E62104">
        <w:rPr>
          <w:sz w:val="18"/>
          <w:szCs w:val="18"/>
        </w:rPr>
        <w:t xml:space="preserve">As outlined in the Subscription policy proposal section, the Rule was vacated </w:t>
      </w:r>
      <w:r w:rsidR="00CD7820">
        <w:rPr>
          <w:sz w:val="18"/>
          <w:szCs w:val="18"/>
        </w:rPr>
        <w:t>by</w:t>
      </w:r>
      <w:r w:rsidR="00A05A3E" w:rsidRPr="00E62104">
        <w:rPr>
          <w:sz w:val="18"/>
          <w:szCs w:val="18"/>
        </w:rPr>
        <w:t xml:space="preserve"> </w:t>
      </w:r>
      <w:r w:rsidR="00BC413B">
        <w:rPr>
          <w:sz w:val="18"/>
          <w:szCs w:val="18"/>
        </w:rPr>
        <w:t>a US appe</w:t>
      </w:r>
      <w:r w:rsidR="007D1A4B">
        <w:rPr>
          <w:sz w:val="18"/>
          <w:szCs w:val="18"/>
        </w:rPr>
        <w:t>als</w:t>
      </w:r>
      <w:r w:rsidR="00BC413B">
        <w:rPr>
          <w:sz w:val="18"/>
          <w:szCs w:val="18"/>
        </w:rPr>
        <w:t xml:space="preserve"> court</w:t>
      </w:r>
      <w:r w:rsidR="00A05A3E" w:rsidRPr="00E62104">
        <w:rPr>
          <w:sz w:val="18"/>
          <w:szCs w:val="18"/>
        </w:rPr>
        <w:t xml:space="preserve"> on 8 July</w:t>
      </w:r>
      <w:r w:rsidR="006B0B48">
        <w:rPr>
          <w:sz w:val="18"/>
          <w:szCs w:val="18"/>
        </w:rPr>
        <w:t xml:space="preserve"> 2025 on </w:t>
      </w:r>
      <w:r w:rsidR="00A05A3E" w:rsidRPr="00E62104">
        <w:rPr>
          <w:sz w:val="18"/>
          <w:szCs w:val="18"/>
        </w:rPr>
        <w:t xml:space="preserve">procedural </w:t>
      </w:r>
      <w:r w:rsidR="006B0B48">
        <w:rPr>
          <w:sz w:val="18"/>
          <w:szCs w:val="18"/>
        </w:rPr>
        <w:t>grounds</w:t>
      </w:r>
      <w:r w:rsidR="000E6297">
        <w:rPr>
          <w:sz w:val="18"/>
          <w:szCs w:val="18"/>
        </w:rPr>
        <w:t>.</w:t>
      </w:r>
      <w:r w:rsidR="00A05A3E" w:rsidRPr="00E62104">
        <w:rPr>
          <w:sz w:val="18"/>
          <w:szCs w:val="18"/>
        </w:rPr>
        <w:t xml:space="preserve"> </w:t>
      </w:r>
    </w:p>
  </w:footnote>
  <w:footnote w:id="166">
    <w:p w14:paraId="5ED1D7B6" w14:textId="6C8BAC91"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Unless otherwise stated, lower and upper bound figure</w:t>
      </w:r>
      <w:r w:rsidR="00A457FB">
        <w:rPr>
          <w:sz w:val="18"/>
          <w:szCs w:val="18"/>
        </w:rPr>
        <w:t>s</w:t>
      </w:r>
      <w:r w:rsidRPr="00D13672">
        <w:rPr>
          <w:sz w:val="18"/>
          <w:szCs w:val="18"/>
        </w:rPr>
        <w:t xml:space="preserve"> </w:t>
      </w:r>
      <w:r w:rsidR="00A457FB">
        <w:rPr>
          <w:sz w:val="18"/>
          <w:szCs w:val="18"/>
        </w:rPr>
        <w:t>are</w:t>
      </w:r>
      <w:r w:rsidRPr="00D13672">
        <w:rPr>
          <w:sz w:val="18"/>
          <w:szCs w:val="18"/>
        </w:rPr>
        <w:t xml:space="preserve"> 25% either side of the central estimate.</w:t>
      </w:r>
    </w:p>
  </w:footnote>
  <w:footnote w:id="167">
    <w:p w14:paraId="334D53AF" w14:textId="456826B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Australian population 16 and above a</w:t>
      </w:r>
      <w:r w:rsidR="00C650AC">
        <w:rPr>
          <w:sz w:val="18"/>
          <w:szCs w:val="18"/>
        </w:rPr>
        <w:t>s of</w:t>
      </w:r>
      <w:r w:rsidRPr="00D13672">
        <w:rPr>
          <w:sz w:val="18"/>
          <w:szCs w:val="18"/>
        </w:rPr>
        <w:t xml:space="preserve"> September 2024</w:t>
      </w:r>
      <w:r w:rsidR="008075FC">
        <w:rPr>
          <w:sz w:val="18"/>
          <w:szCs w:val="18"/>
        </w:rPr>
        <w:t xml:space="preserve">: </w:t>
      </w:r>
      <w:r w:rsidR="00C650AC">
        <w:rPr>
          <w:sz w:val="18"/>
          <w:szCs w:val="18"/>
        </w:rPr>
        <w:t xml:space="preserve">Australian </w:t>
      </w:r>
      <w:r w:rsidR="00044716">
        <w:rPr>
          <w:sz w:val="18"/>
          <w:szCs w:val="18"/>
        </w:rPr>
        <w:t>Bureau</w:t>
      </w:r>
      <w:r w:rsidR="00C650AC">
        <w:rPr>
          <w:sz w:val="18"/>
          <w:szCs w:val="18"/>
        </w:rPr>
        <w:t xml:space="preserve"> of </w:t>
      </w:r>
      <w:r w:rsidR="00044716">
        <w:rPr>
          <w:sz w:val="18"/>
          <w:szCs w:val="18"/>
        </w:rPr>
        <w:t>Statistics</w:t>
      </w:r>
      <w:r w:rsidR="00C650AC">
        <w:rPr>
          <w:sz w:val="18"/>
          <w:szCs w:val="18"/>
        </w:rPr>
        <w:t>,</w:t>
      </w:r>
      <w:r w:rsidRPr="00D13672">
        <w:rPr>
          <w:sz w:val="18"/>
          <w:szCs w:val="18"/>
        </w:rPr>
        <w:t xml:space="preserve"> </w:t>
      </w:r>
      <w:hyperlink r:id="rId45" w:anchor="data-downloads" w:history="1">
        <w:r w:rsidR="00CC483B">
          <w:rPr>
            <w:rStyle w:val="Hyperlink"/>
            <w:sz w:val="18"/>
            <w:szCs w:val="18"/>
          </w:rPr>
          <w:t>National, state and territory population</w:t>
        </w:r>
      </w:hyperlink>
      <w:r w:rsidR="00CC483B">
        <w:t xml:space="preserve">, </w:t>
      </w:r>
      <w:r w:rsidR="008B5871">
        <w:rPr>
          <w:sz w:val="18"/>
          <w:szCs w:val="18"/>
        </w:rPr>
        <w:t>ABS</w:t>
      </w:r>
      <w:r w:rsidR="00044716">
        <w:rPr>
          <w:sz w:val="18"/>
          <w:szCs w:val="18"/>
        </w:rPr>
        <w:t>, 2024</w:t>
      </w:r>
      <w:r w:rsidR="008075FC">
        <w:rPr>
          <w:sz w:val="18"/>
          <w:szCs w:val="18"/>
        </w:rPr>
        <w:t xml:space="preserve">, accessed 11 July 2025. </w:t>
      </w:r>
    </w:p>
  </w:footnote>
  <w:footnote w:id="168">
    <w:p w14:paraId="38903000" w14:textId="1F9C4676"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(Adult population) </w:t>
      </w:r>
      <w:r w:rsidR="00F46911">
        <w:rPr>
          <w:sz w:val="18"/>
          <w:szCs w:val="18"/>
        </w:rPr>
        <w:t>multiplied by</w:t>
      </w:r>
      <w:r w:rsidRPr="00D13672">
        <w:rPr>
          <w:sz w:val="18"/>
          <w:szCs w:val="18"/>
        </w:rPr>
        <w:t xml:space="preserve"> (average number of subscriptions) </w:t>
      </w:r>
      <w:r w:rsidR="00BE4185">
        <w:rPr>
          <w:sz w:val="18"/>
          <w:szCs w:val="18"/>
        </w:rPr>
        <w:t>multiplied by</w:t>
      </w:r>
      <w:r w:rsidRPr="00D13672">
        <w:rPr>
          <w:sz w:val="18"/>
          <w:szCs w:val="18"/>
        </w:rPr>
        <w:t xml:space="preserve"> (share of unwanted subscriptions)</w:t>
      </w:r>
      <w:r w:rsidR="00ED41C9">
        <w:rPr>
          <w:sz w:val="18"/>
          <w:szCs w:val="18"/>
        </w:rPr>
        <w:t>.</w:t>
      </w:r>
    </w:p>
  </w:footnote>
  <w:footnote w:id="169">
    <w:p w14:paraId="0E8E3829" w14:textId="77777777"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(Annual spending on unwanted subscriptions) divided by (population of 16 and over).</w:t>
      </w:r>
    </w:p>
  </w:footnote>
  <w:footnote w:id="170">
    <w:p w14:paraId="2C27E8F1" w14:textId="6F8D871D" w:rsidR="00271593" w:rsidRPr="00946C79" w:rsidRDefault="00271593" w:rsidP="000666A3">
      <w:pPr>
        <w:pStyle w:val="FootnoteText"/>
        <w:ind w:left="170" w:hanging="170"/>
        <w:rPr>
          <w:sz w:val="18"/>
          <w:szCs w:val="18"/>
        </w:rPr>
      </w:pPr>
      <w:r>
        <w:rPr>
          <w:rStyle w:val="FootnoteReference"/>
        </w:rPr>
        <w:footnoteRef/>
      </w:r>
      <w:r>
        <w:t xml:space="preserve"> </w:t>
      </w:r>
      <w:r w:rsidR="00567B68">
        <w:rPr>
          <w:sz w:val="18"/>
          <w:szCs w:val="18"/>
        </w:rPr>
        <w:t>This formula was based upon the</w:t>
      </w:r>
      <w:r w:rsidR="00DE2B79">
        <w:rPr>
          <w:sz w:val="18"/>
          <w:szCs w:val="18"/>
        </w:rPr>
        <w:t xml:space="preserve"> 2021</w:t>
      </w:r>
      <w:r w:rsidR="00567B68">
        <w:rPr>
          <w:sz w:val="18"/>
          <w:szCs w:val="18"/>
        </w:rPr>
        <w:t xml:space="preserve"> </w:t>
      </w:r>
      <w:r w:rsidR="00F56DC6">
        <w:rPr>
          <w:sz w:val="18"/>
          <w:szCs w:val="18"/>
        </w:rPr>
        <w:t>UK Impact Assessment:</w:t>
      </w:r>
      <w:r w:rsidR="00BF2168">
        <w:rPr>
          <w:sz w:val="18"/>
          <w:szCs w:val="18"/>
        </w:rPr>
        <w:t xml:space="preserve"> UK Department for Business, Energy and Industrial </w:t>
      </w:r>
      <w:r w:rsidR="00BF2168" w:rsidRPr="00AF6D81">
        <w:rPr>
          <w:sz w:val="18"/>
          <w:szCs w:val="18"/>
        </w:rPr>
        <w:t xml:space="preserve">Strategy, </w:t>
      </w:r>
      <w:hyperlink r:id="rId46" w:history="1">
        <w:r w:rsidR="00ED41C9">
          <w:rPr>
            <w:rStyle w:val="Hyperlink"/>
            <w:sz w:val="18"/>
            <w:szCs w:val="18"/>
          </w:rPr>
          <w:t>Consumer and competition reform: Subscription regulations</w:t>
        </w:r>
      </w:hyperlink>
      <w:r w:rsidR="00ED41C9">
        <w:t xml:space="preserve">, </w:t>
      </w:r>
      <w:r w:rsidR="00BF2168" w:rsidRPr="00AF6D81">
        <w:rPr>
          <w:sz w:val="18"/>
          <w:szCs w:val="18"/>
        </w:rPr>
        <w:t>UK</w:t>
      </w:r>
      <w:r w:rsidR="00BF2168">
        <w:rPr>
          <w:sz w:val="18"/>
          <w:szCs w:val="18"/>
        </w:rPr>
        <w:t xml:space="preserve"> Government, 2021,</w:t>
      </w:r>
      <w:r w:rsidR="00F56DC6">
        <w:rPr>
          <w:i/>
          <w:iCs/>
          <w:sz w:val="18"/>
          <w:szCs w:val="18"/>
        </w:rPr>
        <w:t xml:space="preserve"> </w:t>
      </w:r>
      <w:r w:rsidR="00F56DC6" w:rsidRPr="00D13672">
        <w:rPr>
          <w:sz w:val="18"/>
          <w:szCs w:val="18"/>
        </w:rPr>
        <w:t xml:space="preserve">p. </w:t>
      </w:r>
      <w:r w:rsidR="00F56DC6">
        <w:rPr>
          <w:sz w:val="18"/>
          <w:szCs w:val="18"/>
        </w:rPr>
        <w:t>39</w:t>
      </w:r>
      <w:r w:rsidR="00F56DC6" w:rsidRPr="00D13672">
        <w:rPr>
          <w:sz w:val="18"/>
          <w:szCs w:val="18"/>
        </w:rPr>
        <w:t>.</w:t>
      </w:r>
      <w:r w:rsidR="00BF2168">
        <w:rPr>
          <w:sz w:val="18"/>
          <w:szCs w:val="18"/>
        </w:rPr>
        <w:t xml:space="preserve"> The</w:t>
      </w:r>
      <w:r w:rsidR="0074462B">
        <w:rPr>
          <w:sz w:val="18"/>
          <w:szCs w:val="18"/>
        </w:rPr>
        <w:t xml:space="preserve"> 2023</w:t>
      </w:r>
      <w:r w:rsidR="00BF2168">
        <w:rPr>
          <w:sz w:val="18"/>
          <w:szCs w:val="18"/>
        </w:rPr>
        <w:t xml:space="preserve"> UK</w:t>
      </w:r>
      <w:r w:rsidR="0074462B">
        <w:rPr>
          <w:sz w:val="18"/>
          <w:szCs w:val="18"/>
        </w:rPr>
        <w:t xml:space="preserve"> Impact Assessment </w:t>
      </w:r>
      <w:r w:rsidR="00300C18">
        <w:rPr>
          <w:sz w:val="18"/>
          <w:szCs w:val="18"/>
        </w:rPr>
        <w:t xml:space="preserve">used </w:t>
      </w:r>
      <w:r w:rsidR="0074462B">
        <w:rPr>
          <w:sz w:val="18"/>
          <w:szCs w:val="18"/>
        </w:rPr>
        <w:t xml:space="preserve">a simplified formula: </w:t>
      </w:r>
      <w:r w:rsidR="00376CA2">
        <w:rPr>
          <w:sz w:val="18"/>
          <w:szCs w:val="18"/>
        </w:rPr>
        <w:t>DBT (UK)</w:t>
      </w:r>
      <w:r w:rsidR="00376CA2" w:rsidRPr="0081728B">
        <w:rPr>
          <w:sz w:val="18"/>
          <w:szCs w:val="18"/>
        </w:rPr>
        <w:t xml:space="preserve">, </w:t>
      </w:r>
      <w:hyperlink r:id="rId47" w:history="1">
        <w:r w:rsidR="00376CA2" w:rsidRPr="00A178D0">
          <w:rPr>
            <w:rStyle w:val="Hyperlink"/>
            <w:i/>
            <w:sz w:val="18"/>
            <w:szCs w:val="18"/>
          </w:rPr>
          <w:t>Impact Assessment for the Digital Markets, Competition and Consumers Act</w:t>
        </w:r>
        <w:r w:rsidR="00376CA2" w:rsidRPr="00A178D0">
          <w:rPr>
            <w:rStyle w:val="Hyperlink"/>
            <w:i/>
            <w:iCs/>
            <w:sz w:val="18"/>
            <w:szCs w:val="18"/>
          </w:rPr>
          <w:t>: Subscription traps: annex 2 impact assessment</w:t>
        </w:r>
      </w:hyperlink>
      <w:r w:rsidR="00376CA2">
        <w:rPr>
          <w:sz w:val="18"/>
          <w:szCs w:val="18"/>
        </w:rPr>
        <w:t>, UK Government, 2023</w:t>
      </w:r>
      <w:r w:rsidR="00616145">
        <w:rPr>
          <w:sz w:val="18"/>
          <w:szCs w:val="18"/>
        </w:rPr>
        <w:t>, p.</w:t>
      </w:r>
      <w:r w:rsidR="00ED41C9">
        <w:rPr>
          <w:sz w:val="18"/>
          <w:szCs w:val="18"/>
        </w:rPr>
        <w:t xml:space="preserve"> </w:t>
      </w:r>
      <w:r w:rsidR="00616145">
        <w:rPr>
          <w:sz w:val="18"/>
          <w:szCs w:val="18"/>
        </w:rPr>
        <w:t>17.</w:t>
      </w:r>
    </w:p>
  </w:footnote>
  <w:footnote w:id="171">
    <w:p w14:paraId="010D2D4D" w14:textId="3341E380"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Regulated sectors with equivalent or higher rules in relation to subscription contracts (or where there is a compelling public policy reason) are exempt or largely exempt from scope as per the UK’s IA. This includes telecommunications, financial services and insurance, the regulated supply of gas, electricity, water and the supply of medicine and certain medical products/devices supplied by a healthcare professional including a prescriber</w:t>
      </w:r>
      <w:r w:rsidR="00F36756">
        <w:rPr>
          <w:sz w:val="18"/>
          <w:szCs w:val="18"/>
        </w:rPr>
        <w:t>:</w:t>
      </w:r>
      <w:r w:rsidRPr="00D13672">
        <w:rPr>
          <w:sz w:val="18"/>
          <w:szCs w:val="18"/>
        </w:rPr>
        <w:t xml:space="preserve"> </w:t>
      </w:r>
      <w:r w:rsidR="00EF615A">
        <w:rPr>
          <w:sz w:val="18"/>
          <w:szCs w:val="18"/>
        </w:rPr>
        <w:t>DBT</w:t>
      </w:r>
      <w:r w:rsidR="00471BC8">
        <w:rPr>
          <w:sz w:val="18"/>
          <w:szCs w:val="18"/>
        </w:rPr>
        <w:t xml:space="preserve"> (UK)</w:t>
      </w:r>
      <w:r w:rsidR="00EF615A">
        <w:rPr>
          <w:sz w:val="18"/>
          <w:szCs w:val="18"/>
        </w:rPr>
        <w:t xml:space="preserve">, </w:t>
      </w:r>
      <w:hyperlink r:id="rId48" w:history="1">
        <w:r w:rsidR="00471BC8" w:rsidRPr="00A178D0">
          <w:rPr>
            <w:rStyle w:val="Hyperlink"/>
            <w:i/>
            <w:sz w:val="18"/>
            <w:szCs w:val="18"/>
          </w:rPr>
          <w:t>Impact Assessment for the Digital Markets, Competition and Consumers Act</w:t>
        </w:r>
        <w:r w:rsidR="00471BC8" w:rsidRPr="00A178D0">
          <w:rPr>
            <w:rStyle w:val="Hyperlink"/>
            <w:i/>
            <w:iCs/>
            <w:sz w:val="18"/>
            <w:szCs w:val="18"/>
          </w:rPr>
          <w:t>: Subscription traps: annex 2 impact assessment</w:t>
        </w:r>
      </w:hyperlink>
      <w:r w:rsidRPr="00D13672">
        <w:rPr>
          <w:sz w:val="18"/>
          <w:szCs w:val="18"/>
        </w:rPr>
        <w:t>, p. 24.</w:t>
      </w:r>
    </w:p>
  </w:footnote>
  <w:footnote w:id="172">
    <w:p w14:paraId="718FA37C" w14:textId="708CC784"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3672">
        <w:rPr>
          <w:sz w:val="18"/>
          <w:szCs w:val="18"/>
        </w:rPr>
        <w:t xml:space="preserve"> In 2023, the number of mobile cellular subscriptions per 100 inhabitants in Australia was 110 (1.1 per person): </w:t>
      </w:r>
      <w:r w:rsidR="003D6307">
        <w:rPr>
          <w:sz w:val="18"/>
          <w:szCs w:val="18"/>
        </w:rPr>
        <w:t>Statista</w:t>
      </w:r>
      <w:r w:rsidR="003D6307" w:rsidRPr="0055025E">
        <w:rPr>
          <w:sz w:val="18"/>
          <w:szCs w:val="18"/>
        </w:rPr>
        <w:t xml:space="preserve">, </w:t>
      </w:r>
      <w:hyperlink r:id="rId49" w:anchor=":~:text=The%20number%20of%20mobile%20cellular,in%20the%20country%20in%202023." w:history="1">
        <w:r w:rsidRPr="0055025E">
          <w:rPr>
            <w:rStyle w:val="Hyperlink"/>
            <w:i/>
            <w:sz w:val="18"/>
            <w:szCs w:val="18"/>
          </w:rPr>
          <w:t>Mobile subscription penetration Australia 2023| Statista</w:t>
        </w:r>
      </w:hyperlink>
      <w:r w:rsidR="003D6307">
        <w:rPr>
          <w:sz w:val="18"/>
          <w:szCs w:val="18"/>
        </w:rPr>
        <w:t xml:space="preserve">, Statista, </w:t>
      </w:r>
      <w:r w:rsidR="007E0D0C">
        <w:rPr>
          <w:sz w:val="18"/>
          <w:szCs w:val="18"/>
        </w:rPr>
        <w:t xml:space="preserve">2024, </w:t>
      </w:r>
      <w:r w:rsidR="003D6307">
        <w:rPr>
          <w:sz w:val="18"/>
          <w:szCs w:val="18"/>
        </w:rPr>
        <w:t>accessed 9 July 2025.</w:t>
      </w:r>
    </w:p>
  </w:footnote>
  <w:footnote w:id="173">
    <w:p w14:paraId="2E7FB4F3" w14:textId="5F290434" w:rsidR="00406CD0" w:rsidRPr="00E62104" w:rsidRDefault="00406CD0" w:rsidP="00406CD0">
      <w:pPr>
        <w:pStyle w:val="FootnoteText"/>
        <w:ind w:left="170" w:hanging="170"/>
        <w:rPr>
          <w:sz w:val="18"/>
          <w:szCs w:val="18"/>
        </w:rPr>
      </w:pPr>
      <w:r>
        <w:rPr>
          <w:rStyle w:val="FootnoteReference"/>
        </w:rPr>
        <w:footnoteRef/>
      </w:r>
      <w:r w:rsidRPr="00E62104">
        <w:rPr>
          <w:sz w:val="18"/>
          <w:szCs w:val="18"/>
        </w:rPr>
        <w:t xml:space="preserve"> </w:t>
      </w:r>
      <w:r w:rsidRPr="00D13672">
        <w:rPr>
          <w:sz w:val="18"/>
          <w:szCs w:val="18"/>
        </w:rPr>
        <w:t>Share of subscriptions that are unwanted</w:t>
      </w:r>
      <w:r w:rsidR="001D18CE">
        <w:rPr>
          <w:sz w:val="18"/>
          <w:szCs w:val="18"/>
        </w:rPr>
        <w:t>:</w:t>
      </w:r>
      <w:r w:rsidRPr="00D13672">
        <w:rPr>
          <w:sz w:val="18"/>
          <w:szCs w:val="18"/>
        </w:rPr>
        <w:t xml:space="preserve"> </w:t>
      </w:r>
      <w:r w:rsidR="00F11041">
        <w:rPr>
          <w:sz w:val="18"/>
          <w:szCs w:val="18"/>
        </w:rPr>
        <w:t xml:space="preserve">DBT (UK), </w:t>
      </w:r>
      <w:hyperlink r:id="rId50" w:history="1">
        <w:r w:rsidR="00F11041" w:rsidRPr="00A178D0">
          <w:rPr>
            <w:rStyle w:val="Hyperlink"/>
            <w:i/>
            <w:sz w:val="18"/>
            <w:szCs w:val="18"/>
          </w:rPr>
          <w:t>Impact Assessment for the Digital Markets, Competition and Consumers Act</w:t>
        </w:r>
        <w:r w:rsidR="00F11041" w:rsidRPr="00A178D0">
          <w:rPr>
            <w:rStyle w:val="Hyperlink"/>
            <w:i/>
            <w:iCs/>
            <w:sz w:val="18"/>
            <w:szCs w:val="18"/>
          </w:rPr>
          <w:t>: Subscription traps: annex 2 impact assessment</w:t>
        </w:r>
      </w:hyperlink>
      <w:r w:rsidR="00F11041" w:rsidRPr="00D13672">
        <w:rPr>
          <w:sz w:val="18"/>
          <w:szCs w:val="18"/>
        </w:rPr>
        <w:t>, p. 2</w:t>
      </w:r>
      <w:r w:rsidR="00F11041">
        <w:rPr>
          <w:sz w:val="18"/>
          <w:szCs w:val="18"/>
        </w:rPr>
        <w:t xml:space="preserve">0. </w:t>
      </w:r>
    </w:p>
  </w:footnote>
  <w:footnote w:id="174">
    <w:p w14:paraId="744D98AE" w14:textId="21588232" w:rsidR="00406CD0" w:rsidRPr="00D13672" w:rsidRDefault="00406CD0" w:rsidP="00406CD0">
      <w:pPr>
        <w:pStyle w:val="FootnoteText"/>
        <w:ind w:left="170" w:hanging="170"/>
        <w:rPr>
          <w:sz w:val="18"/>
          <w:szCs w:val="18"/>
        </w:rPr>
      </w:pPr>
      <w:r w:rsidRPr="00D13672">
        <w:rPr>
          <w:rStyle w:val="FootnoteReference"/>
          <w:rFonts w:eastAsiaTheme="majorEastAsia"/>
          <w:szCs w:val="18"/>
        </w:rPr>
        <w:footnoteRef/>
      </w:r>
      <w:r w:rsidRPr="00D11555">
        <w:rPr>
          <w:sz w:val="18"/>
          <w:szCs w:val="18"/>
        </w:rPr>
        <w:t xml:space="preserve"> U</w:t>
      </w:r>
      <w:r w:rsidR="00B911A5">
        <w:rPr>
          <w:sz w:val="18"/>
          <w:szCs w:val="18"/>
        </w:rPr>
        <w:t xml:space="preserve">S FTC, </w:t>
      </w:r>
      <w:r w:rsidRPr="00B911A5">
        <w:rPr>
          <w:i/>
          <w:iCs/>
          <w:sz w:val="18"/>
          <w:szCs w:val="18"/>
        </w:rPr>
        <w:t>Final Rule Concerning Recurring Subscriptions and Other Negative Option Programs</w:t>
      </w:r>
      <w:r w:rsidR="0007399A">
        <w:rPr>
          <w:i/>
          <w:iCs/>
          <w:sz w:val="18"/>
          <w:szCs w:val="18"/>
        </w:rPr>
        <w:t>,</w:t>
      </w:r>
      <w:r w:rsidR="00F65C25">
        <w:rPr>
          <w:i/>
          <w:iCs/>
          <w:sz w:val="18"/>
          <w:szCs w:val="18"/>
        </w:rPr>
        <w:t xml:space="preserve"> </w:t>
      </w:r>
      <w:r w:rsidR="00F65C25">
        <w:rPr>
          <w:sz w:val="18"/>
          <w:szCs w:val="18"/>
        </w:rPr>
        <w:t xml:space="preserve">p. </w:t>
      </w:r>
      <w:r w:rsidR="00DC72EB">
        <w:rPr>
          <w:sz w:val="18"/>
          <w:szCs w:val="18"/>
        </w:rPr>
        <w:t>90523</w:t>
      </w:r>
      <w:r w:rsidR="00B911A5" w:rsidRPr="00B911A5">
        <w:rPr>
          <w:i/>
          <w:iCs/>
          <w:sz w:val="18"/>
          <w:szCs w:val="18"/>
        </w:rPr>
        <w:t>.</w:t>
      </w:r>
      <w:r w:rsidR="00B911A5">
        <w:rPr>
          <w:sz w:val="18"/>
          <w:szCs w:val="18"/>
        </w:rPr>
        <w:t xml:space="preserve"> </w:t>
      </w:r>
    </w:p>
  </w:footnote>
  <w:footnote w:id="175">
    <w:p w14:paraId="5FE73336" w14:textId="556A9B4C" w:rsidR="00406CD0" w:rsidRPr="00FA4A92" w:rsidRDefault="00406CD0" w:rsidP="00406CD0">
      <w:pPr>
        <w:pStyle w:val="FootnoteText"/>
        <w:ind w:left="170" w:hanging="170"/>
        <w:rPr>
          <w:sz w:val="18"/>
          <w:szCs w:val="18"/>
        </w:rPr>
      </w:pPr>
      <w:r>
        <w:rPr>
          <w:rStyle w:val="FootnoteReference"/>
        </w:rPr>
        <w:footnoteRef/>
      </w:r>
      <w:r w:rsidRPr="00FA4A92">
        <w:rPr>
          <w:sz w:val="18"/>
          <w:szCs w:val="18"/>
        </w:rPr>
        <w:t xml:space="preserve"> </w:t>
      </w:r>
      <w:r w:rsidRPr="00D13672">
        <w:rPr>
          <w:sz w:val="18"/>
          <w:szCs w:val="18"/>
        </w:rPr>
        <w:t>Share of subscriptions that are unwanted:</w:t>
      </w:r>
      <w:r w:rsidR="00B911A5">
        <w:rPr>
          <w:sz w:val="18"/>
          <w:szCs w:val="18"/>
        </w:rPr>
        <w:t xml:space="preserve"> </w:t>
      </w:r>
      <w:r w:rsidR="00F11041">
        <w:rPr>
          <w:sz w:val="18"/>
          <w:szCs w:val="18"/>
        </w:rPr>
        <w:t xml:space="preserve">DBT (UK), </w:t>
      </w:r>
      <w:hyperlink r:id="rId51" w:history="1">
        <w:r w:rsidR="00F11041" w:rsidRPr="00A178D0">
          <w:rPr>
            <w:rStyle w:val="Hyperlink"/>
            <w:i/>
            <w:sz w:val="18"/>
            <w:szCs w:val="18"/>
          </w:rPr>
          <w:t>Impact Assessment for the Digital Markets, Competition and Consumers Act</w:t>
        </w:r>
        <w:r w:rsidR="00F11041" w:rsidRPr="00A178D0">
          <w:rPr>
            <w:rStyle w:val="Hyperlink"/>
            <w:i/>
            <w:iCs/>
            <w:sz w:val="18"/>
            <w:szCs w:val="18"/>
          </w:rPr>
          <w:t>: Subscription traps: annex 2 impact assessment</w:t>
        </w:r>
      </w:hyperlink>
      <w:r w:rsidR="00F11041" w:rsidRPr="00D13672">
        <w:rPr>
          <w:sz w:val="18"/>
          <w:szCs w:val="18"/>
        </w:rPr>
        <w:t>, p. 2</w:t>
      </w:r>
      <w:r w:rsidR="00F11041">
        <w:rPr>
          <w:sz w:val="18"/>
          <w:szCs w:val="18"/>
        </w:rPr>
        <w:t>0.</w:t>
      </w:r>
    </w:p>
  </w:footnote>
  <w:footnote w:id="176">
    <w:p w14:paraId="43A47CF4" w14:textId="2660A825" w:rsidR="00406CD0" w:rsidRPr="005E45AC" w:rsidRDefault="00406CD0" w:rsidP="00406CD0">
      <w:pPr>
        <w:pStyle w:val="FootnoteText"/>
        <w:ind w:left="170" w:hanging="170"/>
        <w:rPr>
          <w:i/>
          <w:sz w:val="18"/>
          <w:szCs w:val="18"/>
        </w:rPr>
      </w:pPr>
      <w:r w:rsidRPr="65868D92">
        <w:rPr>
          <w:rStyle w:val="FootnoteReference"/>
          <w:rFonts w:eastAsiaTheme="majorEastAsia"/>
        </w:rPr>
        <w:footnoteRef/>
      </w:r>
      <w:r w:rsidRPr="00D13672">
        <w:rPr>
          <w:sz w:val="18"/>
          <w:szCs w:val="18"/>
        </w:rPr>
        <w:t xml:space="preserve"> ING research found 56 per cent of respondents with outgoing payments continue to sign up to new subscriptions, spending an additional $48 per month on average in 2022</w:t>
      </w:r>
      <w:r w:rsidR="00CB085C">
        <w:rPr>
          <w:sz w:val="18"/>
          <w:szCs w:val="18"/>
        </w:rPr>
        <w:t xml:space="preserve">: </w:t>
      </w:r>
      <w:r>
        <w:rPr>
          <w:sz w:val="18"/>
          <w:szCs w:val="18"/>
        </w:rPr>
        <w:t xml:space="preserve">ING </w:t>
      </w:r>
      <w:r w:rsidR="00CB085C">
        <w:rPr>
          <w:sz w:val="18"/>
          <w:szCs w:val="18"/>
        </w:rPr>
        <w:t>Bank</w:t>
      </w:r>
      <w:r w:rsidR="00B911A5">
        <w:rPr>
          <w:sz w:val="18"/>
          <w:szCs w:val="18"/>
        </w:rPr>
        <w:t xml:space="preserve">, </w:t>
      </w:r>
      <w:hyperlink r:id="rId52" w:history="1">
        <w:r w:rsidRPr="00B911A5">
          <w:rPr>
            <w:rStyle w:val="Hyperlink"/>
            <w:i/>
            <w:sz w:val="18"/>
            <w:szCs w:val="18"/>
          </w:rPr>
          <w:t>Unused subscriptions and forgotten outgoings could cost each Aussie up to $1,261 a year – ING Newsroom</w:t>
        </w:r>
      </w:hyperlink>
      <w:r w:rsidR="00CB085C">
        <w:rPr>
          <w:sz w:val="18"/>
          <w:szCs w:val="18"/>
        </w:rPr>
        <w:t>, ING Bank</w:t>
      </w:r>
      <w:r w:rsidR="65868D92">
        <w:rPr>
          <w:sz w:val="18"/>
          <w:szCs w:val="18"/>
        </w:rPr>
        <w:t>,</w:t>
      </w:r>
      <w:r w:rsidR="00B911A5">
        <w:rPr>
          <w:sz w:val="18"/>
          <w:szCs w:val="18"/>
        </w:rPr>
        <w:t xml:space="preserve"> </w:t>
      </w:r>
      <w:r>
        <w:rPr>
          <w:sz w:val="18"/>
          <w:szCs w:val="18"/>
        </w:rPr>
        <w:t>2023</w:t>
      </w:r>
      <w:r w:rsidR="00B911A5">
        <w:rPr>
          <w:sz w:val="18"/>
          <w:szCs w:val="18"/>
        </w:rPr>
        <w:t>,</w:t>
      </w:r>
      <w:r w:rsidR="65868D92">
        <w:rPr>
          <w:sz w:val="18"/>
          <w:szCs w:val="18"/>
        </w:rPr>
        <w:t xml:space="preserve"> accessed 9 July</w:t>
      </w:r>
      <w:r w:rsidR="00494C31">
        <w:rPr>
          <w:sz w:val="18"/>
          <w:szCs w:val="18"/>
        </w:rPr>
        <w:t>;</w:t>
      </w:r>
      <w:r w:rsidRPr="00D13672">
        <w:rPr>
          <w:sz w:val="18"/>
          <w:szCs w:val="18"/>
        </w:rPr>
        <w:t xml:space="preserve"> </w:t>
      </w:r>
      <w:r w:rsidRPr="00527D04">
        <w:rPr>
          <w:sz w:val="18"/>
          <w:szCs w:val="18"/>
        </w:rPr>
        <w:t>T</w:t>
      </w:r>
      <w:r>
        <w:rPr>
          <w:sz w:val="18"/>
          <w:szCs w:val="18"/>
        </w:rPr>
        <w:t>elsyte reported the</w:t>
      </w:r>
      <w:r w:rsidRPr="00527D04">
        <w:rPr>
          <w:sz w:val="18"/>
          <w:szCs w:val="18"/>
        </w:rPr>
        <w:t xml:space="preserve"> Australian entertainment subscription market, which includes video, music and game services, grew by 5 per cent in the 12 months to June 2024</w:t>
      </w:r>
      <w:r w:rsidR="65868D92" w:rsidRPr="00527D04">
        <w:rPr>
          <w:sz w:val="18"/>
          <w:szCs w:val="18"/>
        </w:rPr>
        <w:t xml:space="preserve">: </w:t>
      </w:r>
      <w:r>
        <w:rPr>
          <w:sz w:val="18"/>
          <w:szCs w:val="18"/>
        </w:rPr>
        <w:t xml:space="preserve">Telsyte, </w:t>
      </w:r>
      <w:hyperlink r:id="rId53" w:anchor=":~:text=Ad%2Dsupported%20subscriptions%20now%20account,are%20increasingly%20tightening%20their%20wallets." w:history="1">
        <w:r w:rsidRPr="00DE3987">
          <w:rPr>
            <w:rStyle w:val="Hyperlink"/>
            <w:i/>
            <w:iCs/>
            <w:sz w:val="18"/>
            <w:szCs w:val="18"/>
          </w:rPr>
          <w:t>Ad- Supported streaming surges as Australians seek budget- friendly entertainment</w:t>
        </w:r>
        <w:r w:rsidR="65868D92" w:rsidRPr="00B911A5">
          <w:rPr>
            <w:rStyle w:val="Hyperlink"/>
            <w:i/>
            <w:iCs/>
            <w:sz w:val="18"/>
            <w:szCs w:val="18"/>
          </w:rPr>
          <w:t>,</w:t>
        </w:r>
      </w:hyperlink>
      <w:r w:rsidR="65868D92">
        <w:rPr>
          <w:sz w:val="18"/>
          <w:szCs w:val="18"/>
        </w:rPr>
        <w:t xml:space="preserve"> Telsyte,</w:t>
      </w:r>
      <w:r w:rsidR="00B911A5">
        <w:rPr>
          <w:sz w:val="18"/>
          <w:szCs w:val="18"/>
        </w:rPr>
        <w:t xml:space="preserve"> 2024,</w:t>
      </w:r>
      <w:r w:rsidR="65868D92">
        <w:rPr>
          <w:sz w:val="18"/>
          <w:szCs w:val="18"/>
        </w:rPr>
        <w:t xml:space="preserve"> accessed 9 July;</w:t>
      </w:r>
      <w:r>
        <w:rPr>
          <w:sz w:val="18"/>
          <w:szCs w:val="18"/>
        </w:rPr>
        <w:t xml:space="preserve"> Precedence Research reported the </w:t>
      </w:r>
      <w:r w:rsidRPr="00636DBC">
        <w:rPr>
          <w:sz w:val="18"/>
          <w:szCs w:val="18"/>
        </w:rPr>
        <w:t>global subscription e-commerce market size accounted for USD 18.82 billion in 2024 and is predicted to increase from USD 20.58 billion in 2025 to approximately USD 46.05 billion by 2034</w:t>
      </w:r>
      <w:r w:rsidR="65868D92" w:rsidRPr="00636DBC">
        <w:rPr>
          <w:sz w:val="18"/>
          <w:szCs w:val="18"/>
        </w:rPr>
        <w:t xml:space="preserve">: </w:t>
      </w:r>
      <w:r>
        <w:rPr>
          <w:sz w:val="18"/>
          <w:szCs w:val="18"/>
        </w:rPr>
        <w:t xml:space="preserve">Precedence Research, </w:t>
      </w:r>
      <w:hyperlink r:id="rId54" w:history="1">
        <w:r w:rsidRPr="00BC4055">
          <w:rPr>
            <w:rStyle w:val="Hyperlink"/>
            <w:i/>
            <w:iCs/>
            <w:sz w:val="18"/>
            <w:szCs w:val="18"/>
          </w:rPr>
          <w:t>Subscription E-Commerce Market Size, Share and Trends 2025 to 2034</w:t>
        </w:r>
        <w:r w:rsidR="00B66AF3">
          <w:rPr>
            <w:i/>
            <w:iCs/>
            <w:sz w:val="18"/>
            <w:szCs w:val="18"/>
          </w:rPr>
          <w:t>,</w:t>
        </w:r>
        <w:r w:rsidR="65868D92">
          <w:rPr>
            <w:i/>
            <w:sz w:val="18"/>
            <w:szCs w:val="18"/>
          </w:rPr>
          <w:t xml:space="preserve"> </w:t>
        </w:r>
        <w:r w:rsidR="65868D92" w:rsidRPr="65868D92">
          <w:rPr>
            <w:sz w:val="18"/>
            <w:szCs w:val="18"/>
          </w:rPr>
          <w:t>Precede</w:t>
        </w:r>
      </w:hyperlink>
      <w:r w:rsidR="65868D92" w:rsidRPr="65868D92">
        <w:rPr>
          <w:sz w:val="18"/>
          <w:szCs w:val="18"/>
        </w:rPr>
        <w:t xml:space="preserve">nce Research, </w:t>
      </w:r>
      <w:r w:rsidR="00B911A5">
        <w:rPr>
          <w:sz w:val="18"/>
          <w:szCs w:val="18"/>
        </w:rPr>
        <w:t xml:space="preserve">2025, </w:t>
      </w:r>
      <w:r w:rsidR="65868D92" w:rsidRPr="65868D92">
        <w:rPr>
          <w:sz w:val="18"/>
          <w:szCs w:val="18"/>
        </w:rPr>
        <w:t xml:space="preserve">accessed 9 July. </w:t>
      </w:r>
    </w:p>
  </w:footnote>
  <w:footnote w:id="177">
    <w:p w14:paraId="0545EEDA" w14:textId="18BD6C00" w:rsidR="00B56D27" w:rsidRPr="00D13672" w:rsidRDefault="00B56D27" w:rsidP="00AE5BC1">
      <w:pPr>
        <w:pStyle w:val="FootnoteText"/>
        <w:ind w:left="227" w:hanging="227"/>
        <w:rPr>
          <w:sz w:val="18"/>
          <w:szCs w:val="18"/>
        </w:rPr>
      </w:pPr>
      <w:r w:rsidRPr="00D13672">
        <w:rPr>
          <w:rStyle w:val="FootnoteReference"/>
          <w:szCs w:val="18"/>
        </w:rPr>
        <w:footnoteRef/>
      </w:r>
      <w:r w:rsidRPr="00D13672">
        <w:rPr>
          <w:sz w:val="18"/>
          <w:szCs w:val="18"/>
        </w:rPr>
        <w:t xml:space="preserve"> </w:t>
      </w:r>
      <w:r w:rsidRPr="009911FD">
        <w:rPr>
          <w:sz w:val="18"/>
          <w:szCs w:val="18"/>
        </w:rPr>
        <w:t>Labour Costs = Familiarisation Costs + Adjustment Costs, where: Familiarisation Costs = ($85.17) x (hours required) x (number of affected businesses) and Adjustment Costs = ($85.17) x (hours required) x (number of non-compliant businesses)</w:t>
      </w:r>
      <w:r w:rsidR="001E4515">
        <w:rPr>
          <w:sz w:val="18"/>
          <w:szCs w:val="18"/>
        </w:rPr>
        <w:t>.</w:t>
      </w:r>
      <w:r>
        <w:rPr>
          <w:sz w:val="18"/>
          <w:szCs w:val="18"/>
        </w:rPr>
        <w:t xml:space="preserve"> </w:t>
      </w:r>
    </w:p>
  </w:footnote>
  <w:footnote w:id="178">
    <w:p w14:paraId="30D0CA0D" w14:textId="321AB1A7" w:rsidR="00406CD0" w:rsidRPr="00D13672" w:rsidRDefault="00406CD0" w:rsidP="002E254F">
      <w:pPr>
        <w:pStyle w:val="FootnoteText"/>
        <w:ind w:left="227" w:hanging="227"/>
        <w:rPr>
          <w:sz w:val="18"/>
          <w:szCs w:val="18"/>
        </w:rPr>
      </w:pPr>
      <w:r w:rsidRPr="00D13672">
        <w:rPr>
          <w:rStyle w:val="FootnoteReference"/>
          <w:szCs w:val="18"/>
        </w:rPr>
        <w:footnoteRef/>
      </w:r>
      <w:r w:rsidRPr="00D13672">
        <w:rPr>
          <w:sz w:val="18"/>
          <w:szCs w:val="18"/>
        </w:rPr>
        <w:t xml:space="preserve"> Included sectors: Retail Trade, Accommodation and Food Services, Information Media and Telecommunications, Professional, Scientific and Technical Services, Education and Training, Health Care and Social Assistance, Arts and Recreation Services and Other Services. </w:t>
      </w:r>
      <w:r>
        <w:rPr>
          <w:sz w:val="18"/>
          <w:szCs w:val="18"/>
        </w:rPr>
        <w:t>Excluded sectors:</w:t>
      </w:r>
      <w:r w:rsidRPr="00D13672">
        <w:rPr>
          <w:sz w:val="18"/>
          <w:szCs w:val="18"/>
        </w:rPr>
        <w:t xml:space="preserve"> </w:t>
      </w:r>
      <w:r w:rsidR="004575B1">
        <w:rPr>
          <w:sz w:val="18"/>
          <w:szCs w:val="18"/>
        </w:rPr>
        <w:t>S</w:t>
      </w:r>
      <w:r w:rsidRPr="00D13672">
        <w:rPr>
          <w:sz w:val="18"/>
          <w:szCs w:val="18"/>
        </w:rPr>
        <w:t xml:space="preserve">upply of </w:t>
      </w:r>
      <w:r w:rsidR="004575B1">
        <w:rPr>
          <w:sz w:val="18"/>
          <w:szCs w:val="18"/>
        </w:rPr>
        <w:t>E</w:t>
      </w:r>
      <w:r w:rsidRPr="00D13672">
        <w:rPr>
          <w:sz w:val="18"/>
          <w:szCs w:val="18"/>
        </w:rPr>
        <w:t xml:space="preserve">lectricity, </w:t>
      </w:r>
      <w:r w:rsidR="004575B1">
        <w:rPr>
          <w:sz w:val="18"/>
          <w:szCs w:val="18"/>
        </w:rPr>
        <w:t>W</w:t>
      </w:r>
      <w:r w:rsidRPr="00D13672">
        <w:rPr>
          <w:sz w:val="18"/>
          <w:szCs w:val="18"/>
        </w:rPr>
        <w:t xml:space="preserve">ater, </w:t>
      </w:r>
      <w:r w:rsidR="004575B1">
        <w:rPr>
          <w:sz w:val="18"/>
          <w:szCs w:val="18"/>
        </w:rPr>
        <w:t>G</w:t>
      </w:r>
      <w:r w:rsidRPr="00D13672">
        <w:rPr>
          <w:sz w:val="18"/>
          <w:szCs w:val="18"/>
        </w:rPr>
        <w:t xml:space="preserve">as and </w:t>
      </w:r>
      <w:r w:rsidR="004575B1">
        <w:rPr>
          <w:sz w:val="18"/>
          <w:szCs w:val="18"/>
        </w:rPr>
        <w:t>S</w:t>
      </w:r>
      <w:r w:rsidRPr="00D13672">
        <w:rPr>
          <w:sz w:val="18"/>
          <w:szCs w:val="18"/>
        </w:rPr>
        <w:t xml:space="preserve">ewerage, </w:t>
      </w:r>
      <w:r w:rsidR="004575B1">
        <w:rPr>
          <w:sz w:val="18"/>
          <w:szCs w:val="18"/>
        </w:rPr>
        <w:t>F</w:t>
      </w:r>
      <w:r w:rsidRPr="00D13672">
        <w:rPr>
          <w:sz w:val="18"/>
          <w:szCs w:val="18"/>
        </w:rPr>
        <w:t xml:space="preserve">inance </w:t>
      </w:r>
      <w:r w:rsidR="004575B1">
        <w:rPr>
          <w:sz w:val="18"/>
          <w:szCs w:val="18"/>
        </w:rPr>
        <w:t>S</w:t>
      </w:r>
      <w:r w:rsidRPr="00D13672">
        <w:rPr>
          <w:sz w:val="18"/>
          <w:szCs w:val="18"/>
        </w:rPr>
        <w:t xml:space="preserve">ervices and </w:t>
      </w:r>
      <w:r w:rsidR="004575B1">
        <w:rPr>
          <w:sz w:val="18"/>
          <w:szCs w:val="18"/>
        </w:rPr>
        <w:t>I</w:t>
      </w:r>
      <w:r w:rsidRPr="00D13672">
        <w:rPr>
          <w:sz w:val="18"/>
          <w:szCs w:val="18"/>
        </w:rPr>
        <w:t>nsurance.</w:t>
      </w:r>
    </w:p>
  </w:footnote>
  <w:footnote w:id="179">
    <w:p w14:paraId="4D25F34B" w14:textId="5F9B67F3" w:rsidR="00905C92" w:rsidRPr="00DA5449" w:rsidRDefault="00905C92" w:rsidP="002E254F">
      <w:pPr>
        <w:pStyle w:val="FootnoteText"/>
        <w:ind w:left="227" w:hanging="227"/>
        <w:rPr>
          <w:sz w:val="16"/>
          <w:szCs w:val="16"/>
        </w:rPr>
      </w:pPr>
      <w:r>
        <w:rPr>
          <w:rStyle w:val="FootnoteReference"/>
        </w:rPr>
        <w:footnoteRef/>
      </w:r>
      <w:r>
        <w:t xml:space="preserve"> </w:t>
      </w:r>
      <w:r w:rsidRPr="00DA5449">
        <w:rPr>
          <w:sz w:val="18"/>
          <w:szCs w:val="18"/>
        </w:rPr>
        <w:t xml:space="preserve">The estimate of the proportion of businesses that offer subscriptions was reduced for non-employing and small businesses </w:t>
      </w:r>
      <w:r w:rsidR="00076FA3">
        <w:rPr>
          <w:sz w:val="18"/>
          <w:szCs w:val="18"/>
        </w:rPr>
        <w:t xml:space="preserve">as we assume </w:t>
      </w:r>
      <w:r w:rsidR="00EF7208">
        <w:rPr>
          <w:sz w:val="18"/>
          <w:szCs w:val="18"/>
        </w:rPr>
        <w:t xml:space="preserve">a smaller percentage of businesses of these sizes are offering subscription </w:t>
      </w:r>
      <w:r w:rsidR="003E2995">
        <w:rPr>
          <w:sz w:val="18"/>
          <w:szCs w:val="18"/>
        </w:rPr>
        <w:t xml:space="preserve">products and services in Australia. </w:t>
      </w:r>
    </w:p>
  </w:footnote>
  <w:footnote w:id="180">
    <w:p w14:paraId="54E4335B" w14:textId="155ED823" w:rsidR="00406CD0" w:rsidRPr="00D13672" w:rsidRDefault="00406CD0" w:rsidP="003D1657">
      <w:pPr>
        <w:pStyle w:val="FootnoteText"/>
        <w:ind w:left="170" w:hanging="170"/>
        <w:rPr>
          <w:sz w:val="18"/>
          <w:szCs w:val="18"/>
        </w:rPr>
      </w:pPr>
      <w:r w:rsidRPr="00D13672">
        <w:rPr>
          <w:rStyle w:val="FootnoteReference"/>
          <w:szCs w:val="18"/>
        </w:rPr>
        <w:footnoteRef/>
      </w:r>
      <w:r w:rsidRPr="00D13672">
        <w:rPr>
          <w:sz w:val="18"/>
          <w:szCs w:val="18"/>
        </w:rPr>
        <w:t xml:space="preserve"> </w:t>
      </w:r>
      <w:r w:rsidR="00B911A5">
        <w:rPr>
          <w:sz w:val="18"/>
          <w:szCs w:val="18"/>
        </w:rPr>
        <w:t xml:space="preserve">UK DBT, </w:t>
      </w:r>
      <w:r w:rsidR="00B911A5" w:rsidRPr="007E0D0C">
        <w:rPr>
          <w:i/>
          <w:iCs/>
          <w:sz w:val="18"/>
          <w:szCs w:val="18"/>
        </w:rPr>
        <w:t>Digital Markets, Competition and Consumers Bill impact assessment annex 2: subscription traps</w:t>
      </w:r>
      <w:r w:rsidR="00B911A5" w:rsidRPr="00D13672">
        <w:rPr>
          <w:sz w:val="18"/>
          <w:szCs w:val="18"/>
        </w:rPr>
        <w:t xml:space="preserve">, </w:t>
      </w:r>
      <w:r w:rsidRPr="00241E0C">
        <w:rPr>
          <w:sz w:val="18"/>
          <w:szCs w:val="18"/>
        </w:rPr>
        <w:t>p. 26</w:t>
      </w:r>
      <w:r w:rsidR="00B911A5">
        <w:rPr>
          <w:sz w:val="18"/>
          <w:szCs w:val="18"/>
        </w:rPr>
        <w:t xml:space="preserve">. </w:t>
      </w:r>
    </w:p>
  </w:footnote>
  <w:footnote w:id="181">
    <w:p w14:paraId="519313B5" w14:textId="0ED977E2" w:rsidR="00406CD0" w:rsidRPr="00D13672" w:rsidRDefault="00406CD0" w:rsidP="002E254F">
      <w:pPr>
        <w:pStyle w:val="FootnoteText"/>
        <w:ind w:left="227" w:hanging="227"/>
        <w:rPr>
          <w:sz w:val="18"/>
          <w:szCs w:val="18"/>
        </w:rPr>
      </w:pPr>
      <w:r w:rsidRPr="00D13672">
        <w:rPr>
          <w:rStyle w:val="FootnoteReference"/>
          <w:szCs w:val="18"/>
        </w:rPr>
        <w:footnoteRef/>
      </w:r>
      <w:r w:rsidRPr="00D13672">
        <w:rPr>
          <w:sz w:val="18"/>
          <w:szCs w:val="18"/>
        </w:rPr>
        <w:t xml:space="preserve"> </w:t>
      </w:r>
      <w:r w:rsidR="007624F2">
        <w:rPr>
          <w:sz w:val="18"/>
          <w:szCs w:val="18"/>
        </w:rPr>
        <w:t>T</w:t>
      </w:r>
      <w:r w:rsidRPr="00D13672">
        <w:rPr>
          <w:sz w:val="18"/>
          <w:szCs w:val="18"/>
        </w:rPr>
        <w:t>he UK’s IA estimated that many businesses already complied with some of the subscription reforms and therefore would not incur additional costs</w:t>
      </w:r>
      <w:r w:rsidR="00270747">
        <w:rPr>
          <w:sz w:val="18"/>
          <w:szCs w:val="18"/>
        </w:rPr>
        <w:t xml:space="preserve">: </w:t>
      </w:r>
      <w:r w:rsidR="00CF3F63">
        <w:rPr>
          <w:sz w:val="18"/>
          <w:szCs w:val="18"/>
        </w:rPr>
        <w:t xml:space="preserve">DBT (UK), </w:t>
      </w:r>
      <w:hyperlink r:id="rId55" w:history="1">
        <w:r w:rsidR="00CF3F63" w:rsidRPr="00A178D0">
          <w:rPr>
            <w:rStyle w:val="Hyperlink"/>
            <w:i/>
            <w:sz w:val="18"/>
            <w:szCs w:val="18"/>
          </w:rPr>
          <w:t>Impact Assessment for the Digital Markets, Competition and Consumers Act</w:t>
        </w:r>
        <w:r w:rsidR="00CF3F63" w:rsidRPr="00A178D0">
          <w:rPr>
            <w:rStyle w:val="Hyperlink"/>
            <w:i/>
            <w:iCs/>
            <w:sz w:val="18"/>
            <w:szCs w:val="18"/>
          </w:rPr>
          <w:t>: Subscription traps: annex 2 impact assessment</w:t>
        </w:r>
      </w:hyperlink>
      <w:r w:rsidR="00CF3F63" w:rsidRPr="00D13672">
        <w:rPr>
          <w:sz w:val="18"/>
          <w:szCs w:val="18"/>
        </w:rPr>
        <w:t xml:space="preserve">, p. </w:t>
      </w:r>
      <w:r w:rsidR="00CF3F63">
        <w:rPr>
          <w:sz w:val="18"/>
          <w:szCs w:val="18"/>
        </w:rPr>
        <w:t>48.</w:t>
      </w:r>
    </w:p>
  </w:footnote>
  <w:footnote w:id="182">
    <w:p w14:paraId="6CABD3D4" w14:textId="2C7A332E"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UK IA assumed eight hours</w:t>
      </w:r>
      <w:r w:rsidR="001C16DA">
        <w:rPr>
          <w:sz w:val="18"/>
          <w:szCs w:val="18"/>
        </w:rPr>
        <w:t xml:space="preserve"> of</w:t>
      </w:r>
      <w:r w:rsidRPr="00D13672">
        <w:rPr>
          <w:sz w:val="18"/>
          <w:szCs w:val="18"/>
        </w:rPr>
        <w:t xml:space="preserve"> work from an IT professional </w:t>
      </w:r>
      <w:r w:rsidR="0061715E">
        <w:rPr>
          <w:sz w:val="18"/>
          <w:szCs w:val="18"/>
        </w:rPr>
        <w:t xml:space="preserve">is </w:t>
      </w:r>
      <w:r w:rsidRPr="00D13672">
        <w:rPr>
          <w:sz w:val="18"/>
          <w:szCs w:val="18"/>
        </w:rPr>
        <w:t>required and that these costs were uncorrelated with the size of the business</w:t>
      </w:r>
      <w:r w:rsidR="00A25A8B">
        <w:rPr>
          <w:sz w:val="18"/>
          <w:szCs w:val="18"/>
        </w:rPr>
        <w:t>:</w:t>
      </w:r>
      <w:r w:rsidRPr="00D13672">
        <w:rPr>
          <w:sz w:val="18"/>
          <w:szCs w:val="18"/>
        </w:rPr>
        <w:t xml:space="preserve"> </w:t>
      </w:r>
      <w:r w:rsidR="00055C97">
        <w:rPr>
          <w:sz w:val="18"/>
          <w:szCs w:val="18"/>
        </w:rPr>
        <w:t xml:space="preserve">DBT (UK), </w:t>
      </w:r>
      <w:hyperlink r:id="rId56" w:history="1">
        <w:r w:rsidR="00055C97" w:rsidRPr="00A178D0">
          <w:rPr>
            <w:rStyle w:val="Hyperlink"/>
            <w:i/>
            <w:sz w:val="18"/>
            <w:szCs w:val="18"/>
          </w:rPr>
          <w:t>Impact Assessment for the Digital Markets, Competition and Consumers Act</w:t>
        </w:r>
        <w:r w:rsidR="00055C97" w:rsidRPr="00A178D0">
          <w:rPr>
            <w:rStyle w:val="Hyperlink"/>
            <w:i/>
            <w:iCs/>
            <w:sz w:val="18"/>
            <w:szCs w:val="18"/>
          </w:rPr>
          <w:t>: Subscription traps: annex 2 impact assessment</w:t>
        </w:r>
      </w:hyperlink>
      <w:r w:rsidR="00055C97" w:rsidRPr="00D13672">
        <w:rPr>
          <w:sz w:val="18"/>
          <w:szCs w:val="18"/>
        </w:rPr>
        <w:t>, p. 2</w:t>
      </w:r>
      <w:r w:rsidR="00055C97">
        <w:rPr>
          <w:sz w:val="18"/>
          <w:szCs w:val="18"/>
        </w:rPr>
        <w:t>6.</w:t>
      </w:r>
    </w:p>
  </w:footnote>
  <w:footnote w:id="183">
    <w:p w14:paraId="16EA4FD3" w14:textId="0239C110"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The FTC in its Final Rule found that “many payment processors and website hosting platforms used by many businesses, particularly small and medium sized businesses, provide marketers with consumer subscription account management tools that provide consumers with “click-to-cancel” functionality at no direct incremental cost to marketers.</w:t>
      </w:r>
      <w:r>
        <w:rPr>
          <w:sz w:val="18"/>
          <w:szCs w:val="18"/>
        </w:rPr>
        <w:t>”</w:t>
      </w:r>
      <w:r w:rsidRPr="00D13672">
        <w:rPr>
          <w:sz w:val="18"/>
          <w:szCs w:val="18"/>
        </w:rPr>
        <w:t xml:space="preserve"> </w:t>
      </w:r>
      <w:r w:rsidR="00B911A5">
        <w:rPr>
          <w:sz w:val="18"/>
          <w:szCs w:val="18"/>
        </w:rPr>
        <w:t xml:space="preserve">US </w:t>
      </w:r>
      <w:r w:rsidRPr="00D13672">
        <w:rPr>
          <w:sz w:val="18"/>
          <w:szCs w:val="18"/>
        </w:rPr>
        <w:t>FTC</w:t>
      </w:r>
      <w:r w:rsidR="00B911A5">
        <w:rPr>
          <w:sz w:val="18"/>
          <w:szCs w:val="18"/>
        </w:rPr>
        <w:t>,</w:t>
      </w:r>
      <w:r w:rsidRPr="00D13672">
        <w:rPr>
          <w:sz w:val="18"/>
          <w:szCs w:val="18"/>
        </w:rPr>
        <w:t xml:space="preserve"> </w:t>
      </w:r>
      <w:r w:rsidR="00773F47" w:rsidRPr="00B911A5">
        <w:rPr>
          <w:i/>
          <w:iCs/>
          <w:sz w:val="18"/>
          <w:szCs w:val="18"/>
        </w:rPr>
        <w:t>Final Rule Concerning Recurring Subscriptions and Other Negative Option Programs</w:t>
      </w:r>
      <w:r w:rsidRPr="00D13672">
        <w:rPr>
          <w:sz w:val="18"/>
          <w:szCs w:val="18"/>
        </w:rPr>
        <w:t xml:space="preserve">, p. </w:t>
      </w:r>
      <w:r w:rsidR="00830C27">
        <w:rPr>
          <w:sz w:val="18"/>
          <w:szCs w:val="18"/>
        </w:rPr>
        <w:t>90529</w:t>
      </w:r>
      <w:r w:rsidRPr="00D13672">
        <w:rPr>
          <w:sz w:val="18"/>
          <w:szCs w:val="18"/>
        </w:rPr>
        <w:t>.</w:t>
      </w:r>
    </w:p>
  </w:footnote>
  <w:footnote w:id="184">
    <w:p w14:paraId="36050308" w14:textId="3F5B7E6B" w:rsidR="00406CD0" w:rsidRPr="00D13672" w:rsidRDefault="00406CD0" w:rsidP="00907076">
      <w:pPr>
        <w:pStyle w:val="FootnoteText"/>
        <w:ind w:left="227" w:hanging="227"/>
        <w:rPr>
          <w:sz w:val="18"/>
          <w:szCs w:val="18"/>
        </w:rPr>
      </w:pPr>
      <w:r w:rsidRPr="00D13672">
        <w:rPr>
          <w:rStyle w:val="FootnoteReference"/>
          <w:szCs w:val="18"/>
        </w:rPr>
        <w:footnoteRef/>
      </w:r>
      <w:r w:rsidRPr="00D13672">
        <w:rPr>
          <w:sz w:val="18"/>
          <w:szCs w:val="18"/>
        </w:rPr>
        <w:t xml:space="preserve"> 24% of businesses surveyed reported that a solicitor or lawyer would be the main channel they would use to seek advice on the Australian Consumer Law</w:t>
      </w:r>
      <w:r w:rsidR="00E175F0">
        <w:rPr>
          <w:sz w:val="18"/>
          <w:szCs w:val="18"/>
        </w:rPr>
        <w:t xml:space="preserve">: </w:t>
      </w:r>
      <w:r w:rsidR="00E175F0" w:rsidRPr="00D13672">
        <w:rPr>
          <w:sz w:val="18"/>
          <w:szCs w:val="18"/>
        </w:rPr>
        <w:t xml:space="preserve">Kantar Public, </w:t>
      </w:r>
      <w:r w:rsidR="00E175F0" w:rsidRPr="00B911A5">
        <w:rPr>
          <w:i/>
          <w:sz w:val="18"/>
          <w:szCs w:val="18"/>
        </w:rPr>
        <w:t>Australian Consumer Survey 2023 - Final Report</w:t>
      </w:r>
      <w:r w:rsidR="00E175F0" w:rsidRPr="00D13672">
        <w:rPr>
          <w:sz w:val="18"/>
          <w:szCs w:val="18"/>
        </w:rPr>
        <w:t>, p.</w:t>
      </w:r>
      <w:r w:rsidR="00F1343B">
        <w:rPr>
          <w:sz w:val="18"/>
          <w:szCs w:val="18"/>
        </w:rPr>
        <w:t xml:space="preserve"> </w:t>
      </w:r>
      <w:r w:rsidR="00E175F0" w:rsidRPr="00D13672">
        <w:rPr>
          <w:sz w:val="18"/>
          <w:szCs w:val="18"/>
        </w:rPr>
        <w:t>100</w:t>
      </w:r>
      <w:r w:rsidR="00F1343B">
        <w:rPr>
          <w:sz w:val="18"/>
          <w:szCs w:val="18"/>
        </w:rPr>
        <w:t>.</w:t>
      </w:r>
    </w:p>
  </w:footnote>
  <w:footnote w:id="185">
    <w:p w14:paraId="178A8EA5" w14:textId="670A4459" w:rsidR="00962EEF" w:rsidRDefault="00962EEF" w:rsidP="00907076">
      <w:pPr>
        <w:pStyle w:val="FootnoteText"/>
        <w:ind w:left="227" w:hanging="227"/>
      </w:pPr>
      <w:r w:rsidRPr="1439A9A9">
        <w:rPr>
          <w:rStyle w:val="FootnoteReference"/>
        </w:rPr>
        <w:footnoteRef/>
      </w:r>
      <w:r>
        <w:t xml:space="preserve"> </w:t>
      </w:r>
      <w:r w:rsidRPr="007B0C21">
        <w:rPr>
          <w:rFonts w:eastAsia="Calibri Light"/>
          <w:sz w:val="18"/>
          <w:szCs w:val="18"/>
        </w:rPr>
        <w:t xml:space="preserve">Labour </w:t>
      </w:r>
      <w:r w:rsidRPr="007B0C21">
        <w:rPr>
          <w:sz w:val="18"/>
          <w:szCs w:val="18"/>
        </w:rPr>
        <w:t xml:space="preserve">Costs </w:t>
      </w:r>
      <w:r w:rsidRPr="007B0C21">
        <w:rPr>
          <w:rFonts w:eastAsia="Calibri Light"/>
          <w:sz w:val="18"/>
          <w:szCs w:val="18"/>
        </w:rPr>
        <w:t xml:space="preserve">= Familiarisation </w:t>
      </w:r>
      <w:r w:rsidRPr="007B0C21">
        <w:rPr>
          <w:sz w:val="18"/>
          <w:szCs w:val="18"/>
        </w:rPr>
        <w:t>Costs + Adjustment Costs, where: Familiarisation Costs = ($85.17) x (</w:t>
      </w:r>
      <w:r w:rsidRPr="007B0C21">
        <w:rPr>
          <w:rFonts w:eastAsia="Calibri Light"/>
          <w:sz w:val="18"/>
          <w:szCs w:val="18"/>
        </w:rPr>
        <w:t>hours required</w:t>
      </w:r>
      <w:r w:rsidRPr="007B0C21">
        <w:rPr>
          <w:sz w:val="18"/>
          <w:szCs w:val="18"/>
        </w:rPr>
        <w:t>) x (number of affected businesses) and Adjustment Costs = ($85.17) x (hours required) x (number of non-compliant businesses)</w:t>
      </w:r>
      <w:r w:rsidR="00F1343B">
        <w:rPr>
          <w:rFonts w:eastAsia="Calibri Light" w:cs="Calibri Light"/>
          <w:sz w:val="16"/>
          <w:szCs w:val="16"/>
        </w:rPr>
        <w:t>.</w:t>
      </w:r>
    </w:p>
  </w:footnote>
  <w:footnote w:id="186">
    <w:p w14:paraId="3A2257A5" w14:textId="77BCD2B7" w:rsidR="00406CD0" w:rsidRPr="00F96056" w:rsidRDefault="00406CD0" w:rsidP="00406CD0">
      <w:pPr>
        <w:pStyle w:val="FootnoteText"/>
        <w:ind w:left="284" w:hanging="284"/>
        <w:rPr>
          <w:sz w:val="18"/>
          <w:szCs w:val="18"/>
        </w:rPr>
      </w:pPr>
      <w:r>
        <w:rPr>
          <w:rStyle w:val="FootnoteReference"/>
        </w:rPr>
        <w:footnoteRef/>
      </w:r>
      <w:r w:rsidR="00900993">
        <w:t xml:space="preserve"> </w:t>
      </w:r>
      <w:r w:rsidR="00900993" w:rsidRPr="00CF14A8">
        <w:rPr>
          <w:sz w:val="18"/>
          <w:szCs w:val="18"/>
        </w:rPr>
        <w:t>FTC</w:t>
      </w:r>
      <w:r w:rsidR="005532A6">
        <w:rPr>
          <w:sz w:val="18"/>
          <w:szCs w:val="18"/>
        </w:rPr>
        <w:t xml:space="preserve"> (US)</w:t>
      </w:r>
      <w:r w:rsidR="00900993" w:rsidRPr="008455A0">
        <w:rPr>
          <w:sz w:val="16"/>
          <w:szCs w:val="16"/>
        </w:rPr>
        <w:t xml:space="preserve">, </w:t>
      </w:r>
      <w:r w:rsidR="00900993" w:rsidRPr="008455A0">
        <w:rPr>
          <w:i/>
          <w:sz w:val="18"/>
          <w:szCs w:val="18"/>
        </w:rPr>
        <w:t>The Trade Regulation Rule on Unfair or Deceptive Fees</w:t>
      </w:r>
      <w:r w:rsidR="00900993" w:rsidRPr="008455A0">
        <w:rPr>
          <w:sz w:val="16"/>
          <w:szCs w:val="16"/>
        </w:rPr>
        <w:t>.</w:t>
      </w:r>
    </w:p>
  </w:footnote>
  <w:footnote w:id="187">
    <w:p w14:paraId="5289172D" w14:textId="30F8ADC9" w:rsidR="00406CD0" w:rsidRPr="00F2430B" w:rsidRDefault="00406CD0" w:rsidP="00406CD0">
      <w:pPr>
        <w:pStyle w:val="FootnoteText"/>
        <w:ind w:left="284" w:hanging="284"/>
        <w:rPr>
          <w:sz w:val="18"/>
          <w:szCs w:val="18"/>
        </w:rPr>
      </w:pPr>
      <w:r w:rsidRPr="00F96056">
        <w:rPr>
          <w:rStyle w:val="FootnoteReference"/>
          <w:szCs w:val="18"/>
        </w:rPr>
        <w:footnoteRef/>
      </w:r>
      <w:r w:rsidRPr="00F96056">
        <w:rPr>
          <w:sz w:val="18"/>
          <w:szCs w:val="18"/>
        </w:rPr>
        <w:t xml:space="preserve"> Alma Economics, </w:t>
      </w:r>
      <w:r w:rsidRPr="00900993">
        <w:rPr>
          <w:rFonts w:eastAsia="Aptos" w:cs="Calibri Light"/>
          <w:i/>
          <w:iCs/>
          <w:sz w:val="18"/>
          <w:szCs w:val="18"/>
        </w:rPr>
        <w:t>Estimating the prevalence and impact of online drip pricing</w:t>
      </w:r>
      <w:r w:rsidR="00900993">
        <w:rPr>
          <w:sz w:val="18"/>
          <w:szCs w:val="18"/>
        </w:rPr>
        <w:t xml:space="preserve">. </w:t>
      </w:r>
      <w:r w:rsidR="00377F6D">
        <w:rPr>
          <w:sz w:val="18"/>
          <w:szCs w:val="18"/>
        </w:rPr>
        <w:t xml:space="preserve"> </w:t>
      </w:r>
    </w:p>
  </w:footnote>
  <w:footnote w:id="188">
    <w:p w14:paraId="704B0910" w14:textId="77777777" w:rsidR="00406CD0" w:rsidRPr="00F96056" w:rsidRDefault="00406CD0" w:rsidP="00907076">
      <w:pPr>
        <w:pStyle w:val="FootnoteText"/>
        <w:ind w:left="227" w:hanging="227"/>
        <w:rPr>
          <w:sz w:val="18"/>
          <w:szCs w:val="18"/>
        </w:rPr>
      </w:pPr>
      <w:r w:rsidRPr="00F96056">
        <w:rPr>
          <w:rStyle w:val="FootnoteReference"/>
          <w:szCs w:val="18"/>
        </w:rPr>
        <w:footnoteRef/>
      </w:r>
      <w:r w:rsidRPr="00F2430B">
        <w:rPr>
          <w:sz w:val="18"/>
          <w:szCs w:val="18"/>
        </w:rPr>
        <w:t xml:space="preserve"> </w:t>
      </w:r>
      <w:r w:rsidRPr="00F2430B">
        <w:rPr>
          <w:rFonts w:eastAsia="Calibri Light" w:cs="Calibri Light"/>
          <w:sz w:val="18"/>
          <w:szCs w:val="18"/>
        </w:rPr>
        <w:t>Business-to-business sectors such as mining and wholesale trade have not been counted, while primarily sectors including retail trade and accommodation and food services businesses are counted amongst the impacted cohort. Financial and insurance services businesses are not counted.</w:t>
      </w:r>
      <w:r w:rsidRPr="00F96056">
        <w:rPr>
          <w:rFonts w:eastAsia="Calibri Light" w:cs="Calibri Light"/>
          <w:sz w:val="18"/>
          <w:szCs w:val="18"/>
        </w:rPr>
        <w:t xml:space="preserve"> </w:t>
      </w:r>
      <w:r w:rsidRPr="00F96056">
        <w:rPr>
          <w:sz w:val="18"/>
          <w:szCs w:val="18"/>
        </w:rPr>
        <w:t xml:space="preserve"> </w:t>
      </w:r>
    </w:p>
  </w:footnote>
  <w:footnote w:id="189">
    <w:p w14:paraId="09A7A45A" w14:textId="026F4E66" w:rsidR="00406CD0" w:rsidRPr="00900993" w:rsidRDefault="00406CD0" w:rsidP="00907076">
      <w:pPr>
        <w:pStyle w:val="FootnoteText"/>
        <w:ind w:left="227" w:hanging="227"/>
        <w:rPr>
          <w:sz w:val="18"/>
          <w:szCs w:val="18"/>
        </w:rPr>
      </w:pPr>
      <w:r w:rsidRPr="00F96056">
        <w:rPr>
          <w:rStyle w:val="FootnoteReference"/>
          <w:szCs w:val="18"/>
        </w:rPr>
        <w:footnoteRef/>
      </w:r>
      <w:r w:rsidRPr="00F96056">
        <w:rPr>
          <w:sz w:val="18"/>
          <w:szCs w:val="18"/>
        </w:rPr>
        <w:t xml:space="preserve"> Stat Data Explorer (BETA</w:t>
      </w:r>
      <w:r w:rsidR="003F0464">
        <w:rPr>
          <w:sz w:val="18"/>
          <w:szCs w:val="18"/>
        </w:rPr>
        <w:t xml:space="preserve">), </w:t>
      </w:r>
      <w:hyperlink r:id="rId57" w:history="1">
        <w:r w:rsidRPr="00900993">
          <w:rPr>
            <w:rStyle w:val="Hyperlink"/>
            <w:i/>
            <w:iCs/>
            <w:sz w:val="18"/>
            <w:szCs w:val="18"/>
          </w:rPr>
          <w:t>Internet connec</w:t>
        </w:r>
        <w:r w:rsidRPr="00900993">
          <w:rPr>
            <w:rStyle w:val="Hyperlink"/>
            <w:i/>
            <w:sz w:val="18"/>
            <w:szCs w:val="18"/>
          </w:rPr>
          <w:t>tivity, Online presence and E-commerce</w:t>
        </w:r>
      </w:hyperlink>
      <w:r w:rsidRPr="00900993">
        <w:rPr>
          <w:sz w:val="18"/>
          <w:szCs w:val="18"/>
        </w:rPr>
        <w:t>,</w:t>
      </w:r>
      <w:r w:rsidRPr="00180330">
        <w:rPr>
          <w:sz w:val="16"/>
          <w:szCs w:val="16"/>
        </w:rPr>
        <w:t xml:space="preserve"> </w:t>
      </w:r>
      <w:r w:rsidR="00EF5E1F" w:rsidRPr="00900993">
        <w:rPr>
          <w:sz w:val="18"/>
          <w:szCs w:val="18"/>
        </w:rPr>
        <w:t xml:space="preserve">Australian Bureau of </w:t>
      </w:r>
      <w:r w:rsidR="00F76626" w:rsidRPr="00900993">
        <w:rPr>
          <w:sz w:val="18"/>
          <w:szCs w:val="18"/>
        </w:rPr>
        <w:t>Statistics</w:t>
      </w:r>
      <w:r w:rsidR="00EF5E1F" w:rsidRPr="00900993">
        <w:rPr>
          <w:sz w:val="18"/>
          <w:szCs w:val="18"/>
        </w:rPr>
        <w:t>,</w:t>
      </w:r>
      <w:r w:rsidR="00F76626" w:rsidRPr="00900993">
        <w:rPr>
          <w:sz w:val="18"/>
          <w:szCs w:val="18"/>
        </w:rPr>
        <w:t xml:space="preserve"> 2022, accessed 11 July 2025. </w:t>
      </w:r>
    </w:p>
  </w:footnote>
  <w:footnote w:id="190">
    <w:p w14:paraId="7F58B5C8" w14:textId="690FAC7E" w:rsidR="00406CD0" w:rsidRDefault="00406CD0" w:rsidP="00907076">
      <w:pPr>
        <w:pStyle w:val="FootnoteText"/>
        <w:ind w:left="227" w:hanging="227"/>
      </w:pPr>
      <w:r w:rsidRPr="09E9CCA7">
        <w:rPr>
          <w:rStyle w:val="FootnoteReference"/>
        </w:rPr>
        <w:footnoteRef/>
      </w:r>
      <w:r>
        <w:t xml:space="preserve"> </w:t>
      </w:r>
      <w:r w:rsidRPr="00DC1FDB">
        <w:rPr>
          <w:rFonts w:eastAsia="Calibri Light" w:cs="Calibri Light"/>
          <w:sz w:val="18"/>
          <w:szCs w:val="18"/>
        </w:rPr>
        <w:t>The US FTC estimated that there is 10% non-compliance with drip pricing within the whole economy excluding live event ticketing, restaurants and the short-term lodging industries</w:t>
      </w:r>
      <w:r w:rsidR="004C7ACA">
        <w:rPr>
          <w:rFonts w:eastAsia="Calibri Light" w:cs="Calibri Light"/>
          <w:sz w:val="18"/>
          <w:szCs w:val="18"/>
        </w:rPr>
        <w:t xml:space="preserve">: </w:t>
      </w:r>
      <w:r w:rsidR="00900993">
        <w:rPr>
          <w:sz w:val="18"/>
          <w:szCs w:val="18"/>
        </w:rPr>
        <w:t xml:space="preserve"> FTC</w:t>
      </w:r>
      <w:r w:rsidR="00264695">
        <w:rPr>
          <w:sz w:val="18"/>
          <w:szCs w:val="18"/>
        </w:rPr>
        <w:t xml:space="preserve"> (US)</w:t>
      </w:r>
      <w:r w:rsidR="00900993">
        <w:rPr>
          <w:sz w:val="18"/>
          <w:szCs w:val="18"/>
        </w:rPr>
        <w:t>,</w:t>
      </w:r>
      <w:r>
        <w:rPr>
          <w:sz w:val="18"/>
          <w:szCs w:val="18"/>
        </w:rPr>
        <w:t xml:space="preserve"> </w:t>
      </w:r>
      <w:hyperlink r:id="rId58" w:history="1">
        <w:r w:rsidRPr="00377F6D">
          <w:rPr>
            <w:rStyle w:val="Hyperlink"/>
            <w:i/>
            <w:iCs/>
            <w:sz w:val="18"/>
            <w:szCs w:val="18"/>
          </w:rPr>
          <w:t>Trade Regulation Rule on Unfair or Deceptive Fees: notice of proposed rulemaking</w:t>
        </w:r>
      </w:hyperlink>
      <w:r>
        <w:rPr>
          <w:sz w:val="18"/>
          <w:szCs w:val="18"/>
        </w:rPr>
        <w:t xml:space="preserve">, </w:t>
      </w:r>
      <w:r w:rsidR="00377F6D">
        <w:rPr>
          <w:sz w:val="18"/>
          <w:szCs w:val="18"/>
        </w:rPr>
        <w:t xml:space="preserve">FTC, 2023, </w:t>
      </w:r>
      <w:r>
        <w:rPr>
          <w:sz w:val="18"/>
          <w:szCs w:val="18"/>
        </w:rPr>
        <w:t>p.774</w:t>
      </w:r>
      <w:r w:rsidR="00E26B40">
        <w:rPr>
          <w:sz w:val="18"/>
          <w:szCs w:val="18"/>
        </w:rPr>
        <w:t>48</w:t>
      </w:r>
      <w:r>
        <w:rPr>
          <w:sz w:val="18"/>
          <w:szCs w:val="18"/>
        </w:rPr>
        <w:t>.</w:t>
      </w:r>
      <w:r w:rsidR="0046009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06CD0" w14:paraId="6E25778D" w14:textId="77777777">
      <w:trPr>
        <w:trHeight w:val="300"/>
      </w:trPr>
      <w:tc>
        <w:tcPr>
          <w:tcW w:w="3020" w:type="dxa"/>
        </w:tcPr>
        <w:p w14:paraId="0942B67E" w14:textId="2045F63E" w:rsidR="00406CD0" w:rsidRDefault="00406CD0">
          <w:pPr>
            <w:pStyle w:val="Header"/>
            <w:ind w:left="-115"/>
            <w:jc w:val="left"/>
          </w:pPr>
        </w:p>
      </w:tc>
      <w:tc>
        <w:tcPr>
          <w:tcW w:w="3020" w:type="dxa"/>
        </w:tcPr>
        <w:p w14:paraId="5F5FA490" w14:textId="77777777" w:rsidR="00406CD0" w:rsidRDefault="00406CD0">
          <w:pPr>
            <w:pStyle w:val="Header"/>
            <w:jc w:val="center"/>
          </w:pPr>
        </w:p>
      </w:tc>
      <w:tc>
        <w:tcPr>
          <w:tcW w:w="3020" w:type="dxa"/>
        </w:tcPr>
        <w:p w14:paraId="73390944" w14:textId="77777777" w:rsidR="00406CD0" w:rsidRDefault="00406CD0">
          <w:pPr>
            <w:pStyle w:val="Header"/>
            <w:ind w:right="-115"/>
          </w:pPr>
        </w:p>
      </w:tc>
    </w:tr>
  </w:tbl>
  <w:p w14:paraId="2E68542F" w14:textId="6E5158F0" w:rsidR="00406CD0" w:rsidRDefault="00406C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EB0E" w14:textId="6E656377" w:rsidR="00783C23" w:rsidRDefault="00783C23">
    <w:pPr>
      <w:pStyle w:val="Header"/>
    </w:pPr>
  </w:p>
  <w:p w14:paraId="15714C30" w14:textId="7662188F" w:rsidR="00990F86" w:rsidRDefault="00990F86">
    <w:pPr>
      <w:pStyle w:val="Header"/>
    </w:pPr>
  </w:p>
  <w:p w14:paraId="7139888A" w14:textId="4E51AE8D" w:rsidR="00990F86" w:rsidRDefault="00990F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21F4" w14:textId="6A9009D8" w:rsidR="00990F86" w:rsidRDefault="0099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CC23" w14:textId="430C9851" w:rsidR="00406CD0" w:rsidRDefault="00406CD0">
    <w:pPr>
      <w:pStyle w:val="Header"/>
    </w:pPr>
    <w:r>
      <w:rPr>
        <w:noProof/>
      </w:rPr>
      <w:drawing>
        <wp:anchor distT="0" distB="0" distL="114300" distR="114300" simplePos="0" relativeHeight="251658240" behindDoc="1" locked="1" layoutInCell="1" allowOverlap="1" wp14:anchorId="2025662F" wp14:editId="55CDE26E">
          <wp:simplePos x="0" y="0"/>
          <wp:positionH relativeFrom="page">
            <wp:posOffset>0</wp:posOffset>
          </wp:positionH>
          <wp:positionV relativeFrom="page">
            <wp:posOffset>0</wp:posOffset>
          </wp:positionV>
          <wp:extent cx="7578000" cy="10720800"/>
          <wp:effectExtent l="0" t="0" r="4445" b="4445"/>
          <wp:wrapNone/>
          <wp:docPr id="735760137" name="Picture 735760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3ACF" w14:textId="1FB07673" w:rsidR="00990F86" w:rsidRDefault="00990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06CD0" w14:paraId="3E040FFC" w14:textId="77777777">
      <w:trPr>
        <w:trHeight w:val="300"/>
      </w:trPr>
      <w:tc>
        <w:tcPr>
          <w:tcW w:w="3020" w:type="dxa"/>
        </w:tcPr>
        <w:p w14:paraId="28211A15" w14:textId="6D3AE0D7" w:rsidR="00406CD0" w:rsidRDefault="00406CD0">
          <w:pPr>
            <w:pStyle w:val="Header"/>
            <w:ind w:left="-115"/>
            <w:jc w:val="left"/>
          </w:pPr>
        </w:p>
      </w:tc>
      <w:tc>
        <w:tcPr>
          <w:tcW w:w="3020" w:type="dxa"/>
        </w:tcPr>
        <w:p w14:paraId="18F250A7" w14:textId="77777777" w:rsidR="00406CD0" w:rsidRDefault="00406CD0">
          <w:pPr>
            <w:pStyle w:val="Header"/>
            <w:jc w:val="center"/>
          </w:pPr>
        </w:p>
      </w:tc>
      <w:tc>
        <w:tcPr>
          <w:tcW w:w="3020" w:type="dxa"/>
        </w:tcPr>
        <w:p w14:paraId="230CD2EA" w14:textId="77777777" w:rsidR="00406CD0" w:rsidRDefault="00406CD0">
          <w:pPr>
            <w:pStyle w:val="Header"/>
            <w:ind w:right="-115"/>
          </w:pPr>
        </w:p>
      </w:tc>
    </w:tr>
  </w:tbl>
  <w:p w14:paraId="3CE5FA22" w14:textId="1A1F707A" w:rsidR="00406CD0" w:rsidRDefault="00406C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00BB" w14:textId="220727ED" w:rsidR="00406CD0" w:rsidRDefault="00406C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A279" w14:textId="1004C01C" w:rsidR="00E81A40" w:rsidRPr="001F3912" w:rsidRDefault="00E81A40" w:rsidP="0017089D">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DD8E" w14:textId="3F585F85" w:rsidR="00E81A40" w:rsidRPr="009C6E29" w:rsidRDefault="00E81A40" w:rsidP="009C6E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358B" w14:textId="7ACE455B" w:rsidR="00E81A40" w:rsidRDefault="00E81A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D1AD" w14:textId="67CFC0C7" w:rsidR="00990F86" w:rsidRDefault="0099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C37"/>
    <w:multiLevelType w:val="hybridMultilevel"/>
    <w:tmpl w:val="FFFFFFFF"/>
    <w:lvl w:ilvl="0" w:tplc="1CF074F8">
      <w:start w:val="1"/>
      <w:numFmt w:val="bullet"/>
      <w:lvlText w:val="-"/>
      <w:lvlJc w:val="left"/>
      <w:pPr>
        <w:ind w:left="720" w:hanging="360"/>
      </w:pPr>
      <w:rPr>
        <w:rFonts w:ascii="Aptos" w:hAnsi="Aptos" w:hint="default"/>
      </w:rPr>
    </w:lvl>
    <w:lvl w:ilvl="1" w:tplc="CB4CC6F0">
      <w:start w:val="1"/>
      <w:numFmt w:val="bullet"/>
      <w:lvlText w:val="o"/>
      <w:lvlJc w:val="left"/>
      <w:pPr>
        <w:ind w:left="1440" w:hanging="360"/>
      </w:pPr>
      <w:rPr>
        <w:rFonts w:ascii="Courier New" w:hAnsi="Courier New" w:hint="default"/>
      </w:rPr>
    </w:lvl>
    <w:lvl w:ilvl="2" w:tplc="9604A678">
      <w:start w:val="1"/>
      <w:numFmt w:val="bullet"/>
      <w:lvlText w:val=""/>
      <w:lvlJc w:val="left"/>
      <w:pPr>
        <w:ind w:left="2160" w:hanging="360"/>
      </w:pPr>
      <w:rPr>
        <w:rFonts w:ascii="Wingdings" w:hAnsi="Wingdings" w:hint="default"/>
      </w:rPr>
    </w:lvl>
    <w:lvl w:ilvl="3" w:tplc="EF1822A2">
      <w:start w:val="1"/>
      <w:numFmt w:val="bullet"/>
      <w:lvlText w:val=""/>
      <w:lvlJc w:val="left"/>
      <w:pPr>
        <w:ind w:left="2880" w:hanging="360"/>
      </w:pPr>
      <w:rPr>
        <w:rFonts w:ascii="Symbol" w:hAnsi="Symbol" w:hint="default"/>
      </w:rPr>
    </w:lvl>
    <w:lvl w:ilvl="4" w:tplc="238292E6">
      <w:start w:val="1"/>
      <w:numFmt w:val="bullet"/>
      <w:lvlText w:val="o"/>
      <w:lvlJc w:val="left"/>
      <w:pPr>
        <w:ind w:left="3600" w:hanging="360"/>
      </w:pPr>
      <w:rPr>
        <w:rFonts w:ascii="Courier New" w:hAnsi="Courier New" w:hint="default"/>
      </w:rPr>
    </w:lvl>
    <w:lvl w:ilvl="5" w:tplc="E7C29030">
      <w:start w:val="1"/>
      <w:numFmt w:val="bullet"/>
      <w:lvlText w:val=""/>
      <w:lvlJc w:val="left"/>
      <w:pPr>
        <w:ind w:left="4320" w:hanging="360"/>
      </w:pPr>
      <w:rPr>
        <w:rFonts w:ascii="Wingdings" w:hAnsi="Wingdings" w:hint="default"/>
      </w:rPr>
    </w:lvl>
    <w:lvl w:ilvl="6" w:tplc="1D4A0F8E">
      <w:start w:val="1"/>
      <w:numFmt w:val="bullet"/>
      <w:lvlText w:val=""/>
      <w:lvlJc w:val="left"/>
      <w:pPr>
        <w:ind w:left="5040" w:hanging="360"/>
      </w:pPr>
      <w:rPr>
        <w:rFonts w:ascii="Symbol" w:hAnsi="Symbol" w:hint="default"/>
      </w:rPr>
    </w:lvl>
    <w:lvl w:ilvl="7" w:tplc="1394520A">
      <w:start w:val="1"/>
      <w:numFmt w:val="bullet"/>
      <w:lvlText w:val="o"/>
      <w:lvlJc w:val="left"/>
      <w:pPr>
        <w:ind w:left="5760" w:hanging="360"/>
      </w:pPr>
      <w:rPr>
        <w:rFonts w:ascii="Courier New" w:hAnsi="Courier New" w:hint="default"/>
      </w:rPr>
    </w:lvl>
    <w:lvl w:ilvl="8" w:tplc="9EE8C5DC">
      <w:start w:val="1"/>
      <w:numFmt w:val="bullet"/>
      <w:lvlText w:val=""/>
      <w:lvlJc w:val="left"/>
      <w:pPr>
        <w:ind w:left="6480" w:hanging="360"/>
      </w:pPr>
      <w:rPr>
        <w:rFonts w:ascii="Wingdings" w:hAnsi="Wingdings" w:hint="default"/>
      </w:rPr>
    </w:lvl>
  </w:abstractNum>
  <w:abstractNum w:abstractNumId="1" w15:restartNumberingAfterBreak="0">
    <w:nsid w:val="069835F5"/>
    <w:multiLevelType w:val="hybridMultilevel"/>
    <w:tmpl w:val="4CF8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8F62D9"/>
    <w:multiLevelType w:val="hybridMultilevel"/>
    <w:tmpl w:val="1586F4D6"/>
    <w:lvl w:ilvl="0" w:tplc="FFFFFFFF">
      <w:start w:val="1"/>
      <w:numFmt w:val="bullet"/>
      <w:lvlRestart w:val="0"/>
      <w:lvlText w:val="•"/>
      <w:lvlJc w:val="left"/>
      <w:pPr>
        <w:tabs>
          <w:tab w:val="num" w:pos="283"/>
        </w:tabs>
        <w:ind w:left="283" w:hanging="283"/>
      </w:pPr>
      <w:rPr>
        <w:rFonts w:ascii="Times New Roman" w:hAnsi="Times New Roman" w:hint="default"/>
        <w:b w:val="0"/>
        <w:i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850"/>
        </w:tabs>
        <w:ind w:left="850" w:hanging="283"/>
      </w:pPr>
      <w:rPr>
        <w:rFonts w:ascii="Times New Roman" w:hAnsi="Times New Roman" w:hint="default"/>
        <w:b w:val="0"/>
        <w:i w:val="0"/>
      </w:rPr>
    </w:lvl>
    <w:lvl w:ilvl="3" w:tplc="FFFFFFFF">
      <w:start w:val="1"/>
      <w:numFmt w:val="decimal"/>
      <w:lvlText w:val="(%4)"/>
      <w:lvlJc w:val="left"/>
      <w:pPr>
        <w:tabs>
          <w:tab w:val="num" w:pos="1440"/>
        </w:tabs>
        <w:ind w:left="1440" w:hanging="360"/>
      </w:pPr>
      <w:rPr>
        <w:b w:val="0"/>
        <w:i w:val="0"/>
      </w:rPr>
    </w:lvl>
    <w:lvl w:ilvl="4" w:tplc="FFFFFFFF">
      <w:start w:val="1"/>
      <w:numFmt w:val="lowerLetter"/>
      <w:lvlText w:val="(%5)"/>
      <w:lvlJc w:val="left"/>
      <w:pPr>
        <w:tabs>
          <w:tab w:val="num" w:pos="1800"/>
        </w:tabs>
        <w:ind w:left="1800" w:hanging="360"/>
      </w:pPr>
      <w:rPr>
        <w:b w:val="0"/>
        <w:i w:val="0"/>
      </w:rPr>
    </w:lvl>
    <w:lvl w:ilvl="5" w:tplc="FFFFFFFF">
      <w:start w:val="1"/>
      <w:numFmt w:val="lowerRoman"/>
      <w:lvlText w:val="(%6)"/>
      <w:lvlJc w:val="left"/>
      <w:pPr>
        <w:tabs>
          <w:tab w:val="num" w:pos="2160"/>
        </w:tabs>
        <w:ind w:left="2160" w:hanging="360"/>
      </w:pPr>
      <w:rPr>
        <w:b w:val="0"/>
        <w:i w:val="0"/>
      </w:rPr>
    </w:lvl>
    <w:lvl w:ilvl="6" w:tplc="FFFFFFFF">
      <w:start w:val="1"/>
      <w:numFmt w:val="decimal"/>
      <w:lvlText w:val="%7."/>
      <w:lvlJc w:val="left"/>
      <w:pPr>
        <w:tabs>
          <w:tab w:val="num" w:pos="2520"/>
        </w:tabs>
        <w:ind w:left="2520" w:hanging="360"/>
      </w:pPr>
      <w:rPr>
        <w:b w:val="0"/>
        <w:i w:val="0"/>
      </w:rPr>
    </w:lvl>
    <w:lvl w:ilvl="7" w:tplc="FFFFFFFF">
      <w:start w:val="1"/>
      <w:numFmt w:val="lowerLetter"/>
      <w:lvlText w:val="%8."/>
      <w:lvlJc w:val="left"/>
      <w:pPr>
        <w:tabs>
          <w:tab w:val="num" w:pos="2880"/>
        </w:tabs>
        <w:ind w:left="2880" w:hanging="360"/>
      </w:pPr>
      <w:rPr>
        <w:b w:val="0"/>
        <w:i w:val="0"/>
      </w:rPr>
    </w:lvl>
    <w:lvl w:ilvl="8" w:tplc="FFFFFFFF">
      <w:start w:val="1"/>
      <w:numFmt w:val="lowerRoman"/>
      <w:lvlText w:val="%9."/>
      <w:lvlJc w:val="left"/>
      <w:pPr>
        <w:tabs>
          <w:tab w:val="num" w:pos="3240"/>
        </w:tabs>
        <w:ind w:left="3240" w:hanging="360"/>
      </w:pPr>
      <w:rPr>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ADD4384"/>
    <w:multiLevelType w:val="hybridMultilevel"/>
    <w:tmpl w:val="CF186D6E"/>
    <w:lvl w:ilvl="0" w:tplc="A62C786E">
      <w:start w:val="1"/>
      <w:numFmt w:val="decimal"/>
      <w:lvlText w:val="%1."/>
      <w:lvlJc w:val="left"/>
      <w:pPr>
        <w:ind w:left="1020" w:hanging="360"/>
      </w:pPr>
    </w:lvl>
    <w:lvl w:ilvl="1" w:tplc="9EB03152">
      <w:start w:val="1"/>
      <w:numFmt w:val="decimal"/>
      <w:lvlText w:val="%2."/>
      <w:lvlJc w:val="left"/>
      <w:pPr>
        <w:ind w:left="1020" w:hanging="360"/>
      </w:pPr>
    </w:lvl>
    <w:lvl w:ilvl="2" w:tplc="64848EE8">
      <w:start w:val="1"/>
      <w:numFmt w:val="decimal"/>
      <w:lvlText w:val="%3."/>
      <w:lvlJc w:val="left"/>
      <w:pPr>
        <w:ind w:left="1020" w:hanging="360"/>
      </w:pPr>
    </w:lvl>
    <w:lvl w:ilvl="3" w:tplc="0052850C">
      <w:start w:val="1"/>
      <w:numFmt w:val="decimal"/>
      <w:lvlText w:val="%4."/>
      <w:lvlJc w:val="left"/>
      <w:pPr>
        <w:ind w:left="1020" w:hanging="360"/>
      </w:pPr>
    </w:lvl>
    <w:lvl w:ilvl="4" w:tplc="91AAD444">
      <w:start w:val="1"/>
      <w:numFmt w:val="decimal"/>
      <w:lvlText w:val="%5."/>
      <w:lvlJc w:val="left"/>
      <w:pPr>
        <w:ind w:left="1020" w:hanging="360"/>
      </w:pPr>
    </w:lvl>
    <w:lvl w:ilvl="5" w:tplc="EFC2A28E">
      <w:start w:val="1"/>
      <w:numFmt w:val="decimal"/>
      <w:lvlText w:val="%6."/>
      <w:lvlJc w:val="left"/>
      <w:pPr>
        <w:ind w:left="1020" w:hanging="360"/>
      </w:pPr>
    </w:lvl>
    <w:lvl w:ilvl="6" w:tplc="C7EE7D6C">
      <w:start w:val="1"/>
      <w:numFmt w:val="decimal"/>
      <w:lvlText w:val="%7."/>
      <w:lvlJc w:val="left"/>
      <w:pPr>
        <w:ind w:left="1020" w:hanging="360"/>
      </w:pPr>
    </w:lvl>
    <w:lvl w:ilvl="7" w:tplc="1320F8F2">
      <w:start w:val="1"/>
      <w:numFmt w:val="decimal"/>
      <w:lvlText w:val="%8."/>
      <w:lvlJc w:val="left"/>
      <w:pPr>
        <w:ind w:left="1020" w:hanging="360"/>
      </w:pPr>
    </w:lvl>
    <w:lvl w:ilvl="8" w:tplc="E71A7284">
      <w:start w:val="1"/>
      <w:numFmt w:val="decimal"/>
      <w:lvlText w:val="%9."/>
      <w:lvlJc w:val="left"/>
      <w:pPr>
        <w:ind w:left="1020" w:hanging="360"/>
      </w:p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9E87B5"/>
    <w:multiLevelType w:val="hybridMultilevel"/>
    <w:tmpl w:val="FFFFFFFF"/>
    <w:lvl w:ilvl="0" w:tplc="9A52B350">
      <w:start w:val="1"/>
      <w:numFmt w:val="bullet"/>
      <w:lvlText w:val="o"/>
      <w:lvlJc w:val="left"/>
      <w:pPr>
        <w:ind w:left="720" w:hanging="360"/>
      </w:pPr>
      <w:rPr>
        <w:rFonts w:ascii="&quot;Courier New&quot;" w:hAnsi="&quot;Courier New&quot;" w:hint="default"/>
      </w:rPr>
    </w:lvl>
    <w:lvl w:ilvl="1" w:tplc="706674D0">
      <w:start w:val="1"/>
      <w:numFmt w:val="bullet"/>
      <w:lvlText w:val="o"/>
      <w:lvlJc w:val="left"/>
      <w:pPr>
        <w:ind w:left="1440" w:hanging="360"/>
      </w:pPr>
      <w:rPr>
        <w:rFonts w:ascii="Courier New" w:hAnsi="Courier New" w:hint="default"/>
      </w:rPr>
    </w:lvl>
    <w:lvl w:ilvl="2" w:tplc="C3E81D36">
      <w:start w:val="1"/>
      <w:numFmt w:val="bullet"/>
      <w:lvlText w:val=""/>
      <w:lvlJc w:val="left"/>
      <w:pPr>
        <w:ind w:left="2160" w:hanging="360"/>
      </w:pPr>
      <w:rPr>
        <w:rFonts w:ascii="Wingdings" w:hAnsi="Wingdings" w:hint="default"/>
      </w:rPr>
    </w:lvl>
    <w:lvl w:ilvl="3" w:tplc="EBFEFB92">
      <w:start w:val="1"/>
      <w:numFmt w:val="bullet"/>
      <w:lvlText w:val=""/>
      <w:lvlJc w:val="left"/>
      <w:pPr>
        <w:ind w:left="2880" w:hanging="360"/>
      </w:pPr>
      <w:rPr>
        <w:rFonts w:ascii="Symbol" w:hAnsi="Symbol" w:hint="default"/>
      </w:rPr>
    </w:lvl>
    <w:lvl w:ilvl="4" w:tplc="D8EED77E">
      <w:start w:val="1"/>
      <w:numFmt w:val="bullet"/>
      <w:lvlText w:val="o"/>
      <w:lvlJc w:val="left"/>
      <w:pPr>
        <w:ind w:left="3600" w:hanging="360"/>
      </w:pPr>
      <w:rPr>
        <w:rFonts w:ascii="Courier New" w:hAnsi="Courier New" w:hint="default"/>
      </w:rPr>
    </w:lvl>
    <w:lvl w:ilvl="5" w:tplc="BB8EE304">
      <w:start w:val="1"/>
      <w:numFmt w:val="bullet"/>
      <w:lvlText w:val=""/>
      <w:lvlJc w:val="left"/>
      <w:pPr>
        <w:ind w:left="4320" w:hanging="360"/>
      </w:pPr>
      <w:rPr>
        <w:rFonts w:ascii="Wingdings" w:hAnsi="Wingdings" w:hint="default"/>
      </w:rPr>
    </w:lvl>
    <w:lvl w:ilvl="6" w:tplc="B2F63078">
      <w:start w:val="1"/>
      <w:numFmt w:val="bullet"/>
      <w:lvlText w:val=""/>
      <w:lvlJc w:val="left"/>
      <w:pPr>
        <w:ind w:left="5040" w:hanging="360"/>
      </w:pPr>
      <w:rPr>
        <w:rFonts w:ascii="Symbol" w:hAnsi="Symbol" w:hint="default"/>
      </w:rPr>
    </w:lvl>
    <w:lvl w:ilvl="7" w:tplc="EDA0A966">
      <w:start w:val="1"/>
      <w:numFmt w:val="bullet"/>
      <w:lvlText w:val="o"/>
      <w:lvlJc w:val="left"/>
      <w:pPr>
        <w:ind w:left="5760" w:hanging="360"/>
      </w:pPr>
      <w:rPr>
        <w:rFonts w:ascii="Courier New" w:hAnsi="Courier New" w:hint="default"/>
      </w:rPr>
    </w:lvl>
    <w:lvl w:ilvl="8" w:tplc="3A88C98C">
      <w:start w:val="1"/>
      <w:numFmt w:val="bullet"/>
      <w:lvlText w:val=""/>
      <w:lvlJc w:val="left"/>
      <w:pPr>
        <w:ind w:left="6480" w:hanging="360"/>
      </w:pPr>
      <w:rPr>
        <w:rFonts w:ascii="Wingdings" w:hAnsi="Wingdings" w:hint="default"/>
      </w:rPr>
    </w:lvl>
  </w:abstractNum>
  <w:abstractNum w:abstractNumId="11" w15:restartNumberingAfterBreak="0">
    <w:nsid w:val="2B1E6A9B"/>
    <w:multiLevelType w:val="hybridMultilevel"/>
    <w:tmpl w:val="0436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2F4869"/>
    <w:multiLevelType w:val="hybridMultilevel"/>
    <w:tmpl w:val="4DEE2F94"/>
    <w:lvl w:ilvl="0" w:tplc="B5BC78F2">
      <w:start w:val="1"/>
      <w:numFmt w:val="bullet"/>
      <w:lvlText w:val=""/>
      <w:lvlJc w:val="left"/>
      <w:pPr>
        <w:ind w:left="720" w:hanging="360"/>
      </w:pPr>
      <w:rPr>
        <w:rFonts w:ascii="Symbol" w:hAnsi="Symbol"/>
      </w:rPr>
    </w:lvl>
    <w:lvl w:ilvl="1" w:tplc="538A273E">
      <w:start w:val="1"/>
      <w:numFmt w:val="bullet"/>
      <w:lvlText w:val=""/>
      <w:lvlJc w:val="left"/>
      <w:pPr>
        <w:ind w:left="720" w:hanging="360"/>
      </w:pPr>
      <w:rPr>
        <w:rFonts w:ascii="Symbol" w:hAnsi="Symbol"/>
      </w:rPr>
    </w:lvl>
    <w:lvl w:ilvl="2" w:tplc="FCF03CE4">
      <w:start w:val="1"/>
      <w:numFmt w:val="bullet"/>
      <w:lvlText w:val=""/>
      <w:lvlJc w:val="left"/>
      <w:pPr>
        <w:ind w:left="720" w:hanging="360"/>
      </w:pPr>
      <w:rPr>
        <w:rFonts w:ascii="Symbol" w:hAnsi="Symbol"/>
      </w:rPr>
    </w:lvl>
    <w:lvl w:ilvl="3" w:tplc="3F94A12C">
      <w:start w:val="1"/>
      <w:numFmt w:val="bullet"/>
      <w:lvlText w:val=""/>
      <w:lvlJc w:val="left"/>
      <w:pPr>
        <w:ind w:left="720" w:hanging="360"/>
      </w:pPr>
      <w:rPr>
        <w:rFonts w:ascii="Symbol" w:hAnsi="Symbol"/>
      </w:rPr>
    </w:lvl>
    <w:lvl w:ilvl="4" w:tplc="A1D02BEA">
      <w:start w:val="1"/>
      <w:numFmt w:val="bullet"/>
      <w:lvlText w:val=""/>
      <w:lvlJc w:val="left"/>
      <w:pPr>
        <w:ind w:left="720" w:hanging="360"/>
      </w:pPr>
      <w:rPr>
        <w:rFonts w:ascii="Symbol" w:hAnsi="Symbol"/>
      </w:rPr>
    </w:lvl>
    <w:lvl w:ilvl="5" w:tplc="2766C71C">
      <w:start w:val="1"/>
      <w:numFmt w:val="bullet"/>
      <w:lvlText w:val=""/>
      <w:lvlJc w:val="left"/>
      <w:pPr>
        <w:ind w:left="720" w:hanging="360"/>
      </w:pPr>
      <w:rPr>
        <w:rFonts w:ascii="Symbol" w:hAnsi="Symbol"/>
      </w:rPr>
    </w:lvl>
    <w:lvl w:ilvl="6" w:tplc="F2123556">
      <w:start w:val="1"/>
      <w:numFmt w:val="bullet"/>
      <w:lvlText w:val=""/>
      <w:lvlJc w:val="left"/>
      <w:pPr>
        <w:ind w:left="720" w:hanging="360"/>
      </w:pPr>
      <w:rPr>
        <w:rFonts w:ascii="Symbol" w:hAnsi="Symbol"/>
      </w:rPr>
    </w:lvl>
    <w:lvl w:ilvl="7" w:tplc="87C65D92">
      <w:start w:val="1"/>
      <w:numFmt w:val="bullet"/>
      <w:lvlText w:val=""/>
      <w:lvlJc w:val="left"/>
      <w:pPr>
        <w:ind w:left="720" w:hanging="360"/>
      </w:pPr>
      <w:rPr>
        <w:rFonts w:ascii="Symbol" w:hAnsi="Symbol"/>
      </w:rPr>
    </w:lvl>
    <w:lvl w:ilvl="8" w:tplc="269A26A4">
      <w:start w:val="1"/>
      <w:numFmt w:val="bullet"/>
      <w:lvlText w:val=""/>
      <w:lvlJc w:val="left"/>
      <w:pPr>
        <w:ind w:left="720" w:hanging="360"/>
      </w:pPr>
      <w:rPr>
        <w:rFonts w:ascii="Symbol" w:hAnsi="Symbol"/>
      </w:rPr>
    </w:lvl>
  </w:abstractNum>
  <w:abstractNum w:abstractNumId="16" w15:restartNumberingAfterBreak="0">
    <w:nsid w:val="362D09D8"/>
    <w:multiLevelType w:val="hybridMultilevel"/>
    <w:tmpl w:val="1AA0E78E"/>
    <w:lvl w:ilvl="0" w:tplc="FFFFFFFF">
      <w:start w:val="1"/>
      <w:numFmt w:val="bullet"/>
      <w:lvlRestart w:val="0"/>
      <w:lvlText w:val="•"/>
      <w:lvlJc w:val="left"/>
      <w:pPr>
        <w:tabs>
          <w:tab w:val="num" w:pos="283"/>
        </w:tabs>
        <w:ind w:left="283" w:hanging="283"/>
      </w:pPr>
      <w:rPr>
        <w:rFonts w:ascii="Times New Roman" w:hAnsi="Times New Roman" w:hint="default"/>
        <w:b w:val="0"/>
        <w:i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850"/>
        </w:tabs>
        <w:ind w:left="850" w:hanging="283"/>
      </w:pPr>
      <w:rPr>
        <w:rFonts w:ascii="Times New Roman" w:hAnsi="Times New Roman" w:hint="default"/>
        <w:b w:val="0"/>
        <w:i w:val="0"/>
      </w:rPr>
    </w:lvl>
    <w:lvl w:ilvl="3" w:tplc="FFFFFFFF">
      <w:start w:val="1"/>
      <w:numFmt w:val="decimal"/>
      <w:lvlText w:val="(%4)"/>
      <w:lvlJc w:val="left"/>
      <w:pPr>
        <w:tabs>
          <w:tab w:val="num" w:pos="1440"/>
        </w:tabs>
        <w:ind w:left="1440" w:hanging="360"/>
      </w:pPr>
      <w:rPr>
        <w:b w:val="0"/>
        <w:i w:val="0"/>
      </w:rPr>
    </w:lvl>
    <w:lvl w:ilvl="4" w:tplc="FFFFFFFF">
      <w:start w:val="1"/>
      <w:numFmt w:val="lowerLetter"/>
      <w:lvlText w:val="(%5)"/>
      <w:lvlJc w:val="left"/>
      <w:pPr>
        <w:tabs>
          <w:tab w:val="num" w:pos="1800"/>
        </w:tabs>
        <w:ind w:left="1800" w:hanging="360"/>
      </w:pPr>
      <w:rPr>
        <w:b w:val="0"/>
        <w:i w:val="0"/>
      </w:rPr>
    </w:lvl>
    <w:lvl w:ilvl="5" w:tplc="FFFFFFFF">
      <w:start w:val="1"/>
      <w:numFmt w:val="lowerRoman"/>
      <w:lvlText w:val="(%6)"/>
      <w:lvlJc w:val="left"/>
      <w:pPr>
        <w:tabs>
          <w:tab w:val="num" w:pos="2160"/>
        </w:tabs>
        <w:ind w:left="2160" w:hanging="360"/>
      </w:pPr>
      <w:rPr>
        <w:b w:val="0"/>
        <w:i w:val="0"/>
      </w:rPr>
    </w:lvl>
    <w:lvl w:ilvl="6" w:tplc="FFFFFFFF">
      <w:start w:val="1"/>
      <w:numFmt w:val="decimal"/>
      <w:lvlText w:val="%7."/>
      <w:lvlJc w:val="left"/>
      <w:pPr>
        <w:tabs>
          <w:tab w:val="num" w:pos="2520"/>
        </w:tabs>
        <w:ind w:left="2520" w:hanging="360"/>
      </w:pPr>
      <w:rPr>
        <w:b w:val="0"/>
        <w:i w:val="0"/>
      </w:rPr>
    </w:lvl>
    <w:lvl w:ilvl="7" w:tplc="FFFFFFFF">
      <w:start w:val="1"/>
      <w:numFmt w:val="lowerLetter"/>
      <w:lvlText w:val="%8."/>
      <w:lvlJc w:val="left"/>
      <w:pPr>
        <w:tabs>
          <w:tab w:val="num" w:pos="2880"/>
        </w:tabs>
        <w:ind w:left="2880" w:hanging="360"/>
      </w:pPr>
      <w:rPr>
        <w:b w:val="0"/>
        <w:i w:val="0"/>
      </w:rPr>
    </w:lvl>
    <w:lvl w:ilvl="8" w:tplc="FFFFFFFF">
      <w:start w:val="1"/>
      <w:numFmt w:val="lowerRoman"/>
      <w:lvlText w:val="%9."/>
      <w:lvlJc w:val="left"/>
      <w:pPr>
        <w:tabs>
          <w:tab w:val="num" w:pos="3240"/>
        </w:tabs>
        <w:ind w:left="3240" w:hanging="360"/>
      </w:pPr>
      <w:rPr>
        <w:b w:val="0"/>
        <w:i w:val="0"/>
      </w:rPr>
    </w:lvl>
  </w:abstractNum>
  <w:abstractNum w:abstractNumId="17" w15:restartNumberingAfterBreak="0">
    <w:nsid w:val="39A64652"/>
    <w:multiLevelType w:val="hybridMultilevel"/>
    <w:tmpl w:val="09A2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C2F07"/>
    <w:multiLevelType w:val="hybridMultilevel"/>
    <w:tmpl w:val="D072423C"/>
    <w:lvl w:ilvl="0" w:tplc="C680B72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C55E83"/>
    <w:multiLevelType w:val="hybridMultilevel"/>
    <w:tmpl w:val="FFFFFFFF"/>
    <w:lvl w:ilvl="0" w:tplc="B15A4E86">
      <w:start w:val="1"/>
      <w:numFmt w:val="bullet"/>
      <w:lvlText w:val="-"/>
      <w:lvlJc w:val="left"/>
      <w:pPr>
        <w:ind w:left="720" w:hanging="360"/>
      </w:pPr>
      <w:rPr>
        <w:rFonts w:ascii="Aptos" w:hAnsi="Aptos" w:hint="default"/>
      </w:rPr>
    </w:lvl>
    <w:lvl w:ilvl="1" w:tplc="F0AC9310">
      <w:start w:val="1"/>
      <w:numFmt w:val="bullet"/>
      <w:lvlText w:val="o"/>
      <w:lvlJc w:val="left"/>
      <w:pPr>
        <w:ind w:left="1440" w:hanging="360"/>
      </w:pPr>
      <w:rPr>
        <w:rFonts w:ascii="Courier New" w:hAnsi="Courier New" w:hint="default"/>
      </w:rPr>
    </w:lvl>
    <w:lvl w:ilvl="2" w:tplc="3EB6298C">
      <w:start w:val="1"/>
      <w:numFmt w:val="bullet"/>
      <w:lvlText w:val=""/>
      <w:lvlJc w:val="left"/>
      <w:pPr>
        <w:ind w:left="2160" w:hanging="360"/>
      </w:pPr>
      <w:rPr>
        <w:rFonts w:ascii="Wingdings" w:hAnsi="Wingdings" w:hint="default"/>
      </w:rPr>
    </w:lvl>
    <w:lvl w:ilvl="3" w:tplc="5F9A13B0">
      <w:start w:val="1"/>
      <w:numFmt w:val="bullet"/>
      <w:lvlText w:val=""/>
      <w:lvlJc w:val="left"/>
      <w:pPr>
        <w:ind w:left="2880" w:hanging="360"/>
      </w:pPr>
      <w:rPr>
        <w:rFonts w:ascii="Symbol" w:hAnsi="Symbol" w:hint="default"/>
      </w:rPr>
    </w:lvl>
    <w:lvl w:ilvl="4" w:tplc="A69A1308">
      <w:start w:val="1"/>
      <w:numFmt w:val="bullet"/>
      <w:lvlText w:val="o"/>
      <w:lvlJc w:val="left"/>
      <w:pPr>
        <w:ind w:left="3600" w:hanging="360"/>
      </w:pPr>
      <w:rPr>
        <w:rFonts w:ascii="Courier New" w:hAnsi="Courier New" w:hint="default"/>
      </w:rPr>
    </w:lvl>
    <w:lvl w:ilvl="5" w:tplc="A0A44DD8">
      <w:start w:val="1"/>
      <w:numFmt w:val="bullet"/>
      <w:lvlText w:val=""/>
      <w:lvlJc w:val="left"/>
      <w:pPr>
        <w:ind w:left="4320" w:hanging="360"/>
      </w:pPr>
      <w:rPr>
        <w:rFonts w:ascii="Wingdings" w:hAnsi="Wingdings" w:hint="default"/>
      </w:rPr>
    </w:lvl>
    <w:lvl w:ilvl="6" w:tplc="BC826C40">
      <w:start w:val="1"/>
      <w:numFmt w:val="bullet"/>
      <w:lvlText w:val=""/>
      <w:lvlJc w:val="left"/>
      <w:pPr>
        <w:ind w:left="5040" w:hanging="360"/>
      </w:pPr>
      <w:rPr>
        <w:rFonts w:ascii="Symbol" w:hAnsi="Symbol" w:hint="default"/>
      </w:rPr>
    </w:lvl>
    <w:lvl w:ilvl="7" w:tplc="6FF812EE">
      <w:start w:val="1"/>
      <w:numFmt w:val="bullet"/>
      <w:lvlText w:val="o"/>
      <w:lvlJc w:val="left"/>
      <w:pPr>
        <w:ind w:left="5760" w:hanging="360"/>
      </w:pPr>
      <w:rPr>
        <w:rFonts w:ascii="Courier New" w:hAnsi="Courier New" w:hint="default"/>
      </w:rPr>
    </w:lvl>
    <w:lvl w:ilvl="8" w:tplc="7E90EBCC">
      <w:start w:val="1"/>
      <w:numFmt w:val="bullet"/>
      <w:lvlText w:val=""/>
      <w:lvlJc w:val="left"/>
      <w:pPr>
        <w:ind w:left="6480" w:hanging="360"/>
      </w:pPr>
      <w:rPr>
        <w:rFonts w:ascii="Wingdings" w:hAnsi="Wingdings" w:hint="default"/>
      </w:rPr>
    </w:lvl>
  </w:abstractNum>
  <w:abstractNum w:abstractNumId="20" w15:restartNumberingAfterBreak="0">
    <w:nsid w:val="457E3F9E"/>
    <w:multiLevelType w:val="hybridMultilevel"/>
    <w:tmpl w:val="0194D40E"/>
    <w:lvl w:ilvl="0" w:tplc="A81844E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35CC1"/>
    <w:multiLevelType w:val="hybridMultilevel"/>
    <w:tmpl w:val="516AC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9EB7B1C"/>
    <w:multiLevelType w:val="hybridMultilevel"/>
    <w:tmpl w:val="1966A6E8"/>
    <w:lvl w:ilvl="0" w:tplc="3458966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76B91"/>
    <w:multiLevelType w:val="multilevel"/>
    <w:tmpl w:val="CD5843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D2021"/>
    <w:multiLevelType w:val="multilevel"/>
    <w:tmpl w:val="72F8140E"/>
    <w:numStyleLink w:val="OutlineList"/>
  </w:abstractNum>
  <w:abstractNum w:abstractNumId="25" w15:restartNumberingAfterBreak="0">
    <w:nsid w:val="5C025896"/>
    <w:multiLevelType w:val="hybridMultilevel"/>
    <w:tmpl w:val="FFFFFFFF"/>
    <w:lvl w:ilvl="0" w:tplc="BE66E152">
      <w:start w:val="1"/>
      <w:numFmt w:val="bullet"/>
      <w:lvlText w:val="o"/>
      <w:lvlJc w:val="left"/>
      <w:pPr>
        <w:ind w:left="720" w:hanging="360"/>
      </w:pPr>
      <w:rPr>
        <w:rFonts w:ascii="&quot;Courier New&quot;" w:hAnsi="&quot;Courier New&quot;" w:hint="default"/>
      </w:rPr>
    </w:lvl>
    <w:lvl w:ilvl="1" w:tplc="9CFCF314">
      <w:start w:val="1"/>
      <w:numFmt w:val="bullet"/>
      <w:lvlText w:val="o"/>
      <w:lvlJc w:val="left"/>
      <w:pPr>
        <w:ind w:left="1440" w:hanging="360"/>
      </w:pPr>
      <w:rPr>
        <w:rFonts w:ascii="Courier New" w:hAnsi="Courier New" w:hint="default"/>
      </w:rPr>
    </w:lvl>
    <w:lvl w:ilvl="2" w:tplc="E624A748">
      <w:start w:val="1"/>
      <w:numFmt w:val="bullet"/>
      <w:lvlText w:val=""/>
      <w:lvlJc w:val="left"/>
      <w:pPr>
        <w:ind w:left="2160" w:hanging="360"/>
      </w:pPr>
      <w:rPr>
        <w:rFonts w:ascii="Wingdings" w:hAnsi="Wingdings" w:hint="default"/>
      </w:rPr>
    </w:lvl>
    <w:lvl w:ilvl="3" w:tplc="F056AAAC">
      <w:start w:val="1"/>
      <w:numFmt w:val="bullet"/>
      <w:lvlText w:val=""/>
      <w:lvlJc w:val="left"/>
      <w:pPr>
        <w:ind w:left="2880" w:hanging="360"/>
      </w:pPr>
      <w:rPr>
        <w:rFonts w:ascii="Symbol" w:hAnsi="Symbol" w:hint="default"/>
      </w:rPr>
    </w:lvl>
    <w:lvl w:ilvl="4" w:tplc="188E705C">
      <w:start w:val="1"/>
      <w:numFmt w:val="bullet"/>
      <w:lvlText w:val="o"/>
      <w:lvlJc w:val="left"/>
      <w:pPr>
        <w:ind w:left="3600" w:hanging="360"/>
      </w:pPr>
      <w:rPr>
        <w:rFonts w:ascii="Courier New" w:hAnsi="Courier New" w:hint="default"/>
      </w:rPr>
    </w:lvl>
    <w:lvl w:ilvl="5" w:tplc="0DF49D90">
      <w:start w:val="1"/>
      <w:numFmt w:val="bullet"/>
      <w:lvlText w:val=""/>
      <w:lvlJc w:val="left"/>
      <w:pPr>
        <w:ind w:left="4320" w:hanging="360"/>
      </w:pPr>
      <w:rPr>
        <w:rFonts w:ascii="Wingdings" w:hAnsi="Wingdings" w:hint="default"/>
      </w:rPr>
    </w:lvl>
    <w:lvl w:ilvl="6" w:tplc="26C6D580">
      <w:start w:val="1"/>
      <w:numFmt w:val="bullet"/>
      <w:lvlText w:val=""/>
      <w:lvlJc w:val="left"/>
      <w:pPr>
        <w:ind w:left="5040" w:hanging="360"/>
      </w:pPr>
      <w:rPr>
        <w:rFonts w:ascii="Symbol" w:hAnsi="Symbol" w:hint="default"/>
      </w:rPr>
    </w:lvl>
    <w:lvl w:ilvl="7" w:tplc="30FEFF22">
      <w:start w:val="1"/>
      <w:numFmt w:val="bullet"/>
      <w:lvlText w:val="o"/>
      <w:lvlJc w:val="left"/>
      <w:pPr>
        <w:ind w:left="5760" w:hanging="360"/>
      </w:pPr>
      <w:rPr>
        <w:rFonts w:ascii="Courier New" w:hAnsi="Courier New" w:hint="default"/>
      </w:rPr>
    </w:lvl>
    <w:lvl w:ilvl="8" w:tplc="4D16B340">
      <w:start w:val="1"/>
      <w:numFmt w:val="bullet"/>
      <w:lvlText w:val=""/>
      <w:lvlJc w:val="left"/>
      <w:pPr>
        <w:ind w:left="6480" w:hanging="360"/>
      </w:pPr>
      <w:rPr>
        <w:rFonts w:ascii="Wingdings" w:hAnsi="Wingdings" w:hint="default"/>
      </w:rPr>
    </w:lvl>
  </w:abstractNum>
  <w:abstractNum w:abstractNumId="26" w15:restartNumberingAfterBreak="0">
    <w:nsid w:val="62BA13AC"/>
    <w:multiLevelType w:val="hybridMultilevel"/>
    <w:tmpl w:val="FFFFFFFF"/>
    <w:lvl w:ilvl="0" w:tplc="EEF24156">
      <w:start w:val="1"/>
      <w:numFmt w:val="bullet"/>
      <w:lvlText w:val="-"/>
      <w:lvlJc w:val="left"/>
      <w:pPr>
        <w:ind w:left="720" w:hanging="360"/>
      </w:pPr>
      <w:rPr>
        <w:rFonts w:ascii="Aptos" w:hAnsi="Aptos" w:hint="default"/>
      </w:rPr>
    </w:lvl>
    <w:lvl w:ilvl="1" w:tplc="0F94E7C8">
      <w:start w:val="1"/>
      <w:numFmt w:val="bullet"/>
      <w:lvlText w:val="o"/>
      <w:lvlJc w:val="left"/>
      <w:pPr>
        <w:ind w:left="1440" w:hanging="360"/>
      </w:pPr>
      <w:rPr>
        <w:rFonts w:ascii="Courier New" w:hAnsi="Courier New" w:hint="default"/>
      </w:rPr>
    </w:lvl>
    <w:lvl w:ilvl="2" w:tplc="5FDCF49A">
      <w:start w:val="1"/>
      <w:numFmt w:val="bullet"/>
      <w:lvlText w:val=""/>
      <w:lvlJc w:val="left"/>
      <w:pPr>
        <w:ind w:left="2160" w:hanging="360"/>
      </w:pPr>
      <w:rPr>
        <w:rFonts w:ascii="Wingdings" w:hAnsi="Wingdings" w:hint="default"/>
      </w:rPr>
    </w:lvl>
    <w:lvl w:ilvl="3" w:tplc="601EB68A">
      <w:start w:val="1"/>
      <w:numFmt w:val="bullet"/>
      <w:lvlText w:val=""/>
      <w:lvlJc w:val="left"/>
      <w:pPr>
        <w:ind w:left="2880" w:hanging="360"/>
      </w:pPr>
      <w:rPr>
        <w:rFonts w:ascii="Symbol" w:hAnsi="Symbol" w:hint="default"/>
      </w:rPr>
    </w:lvl>
    <w:lvl w:ilvl="4" w:tplc="73702EC4">
      <w:start w:val="1"/>
      <w:numFmt w:val="bullet"/>
      <w:lvlText w:val="o"/>
      <w:lvlJc w:val="left"/>
      <w:pPr>
        <w:ind w:left="3600" w:hanging="360"/>
      </w:pPr>
      <w:rPr>
        <w:rFonts w:ascii="Courier New" w:hAnsi="Courier New" w:hint="default"/>
      </w:rPr>
    </w:lvl>
    <w:lvl w:ilvl="5" w:tplc="5AF85070">
      <w:start w:val="1"/>
      <w:numFmt w:val="bullet"/>
      <w:lvlText w:val=""/>
      <w:lvlJc w:val="left"/>
      <w:pPr>
        <w:ind w:left="4320" w:hanging="360"/>
      </w:pPr>
      <w:rPr>
        <w:rFonts w:ascii="Wingdings" w:hAnsi="Wingdings" w:hint="default"/>
      </w:rPr>
    </w:lvl>
    <w:lvl w:ilvl="6" w:tplc="58FAC69E">
      <w:start w:val="1"/>
      <w:numFmt w:val="bullet"/>
      <w:lvlText w:val=""/>
      <w:lvlJc w:val="left"/>
      <w:pPr>
        <w:ind w:left="5040" w:hanging="360"/>
      </w:pPr>
      <w:rPr>
        <w:rFonts w:ascii="Symbol" w:hAnsi="Symbol" w:hint="default"/>
      </w:rPr>
    </w:lvl>
    <w:lvl w:ilvl="7" w:tplc="18B6843C">
      <w:start w:val="1"/>
      <w:numFmt w:val="bullet"/>
      <w:lvlText w:val="o"/>
      <w:lvlJc w:val="left"/>
      <w:pPr>
        <w:ind w:left="5760" w:hanging="360"/>
      </w:pPr>
      <w:rPr>
        <w:rFonts w:ascii="Courier New" w:hAnsi="Courier New" w:hint="default"/>
      </w:rPr>
    </w:lvl>
    <w:lvl w:ilvl="8" w:tplc="8710E66E">
      <w:start w:val="1"/>
      <w:numFmt w:val="bullet"/>
      <w:lvlText w:val=""/>
      <w:lvlJc w:val="left"/>
      <w:pPr>
        <w:ind w:left="6480" w:hanging="360"/>
      </w:pPr>
      <w:rPr>
        <w:rFonts w:ascii="Wingdings" w:hAnsi="Wingdings" w:hint="default"/>
      </w:rPr>
    </w:lvl>
  </w:abstractNum>
  <w:abstractNum w:abstractNumId="27" w15:restartNumberingAfterBreak="0">
    <w:nsid w:val="65B64F98"/>
    <w:multiLevelType w:val="hybridMultilevel"/>
    <w:tmpl w:val="5036A042"/>
    <w:lvl w:ilvl="0" w:tplc="756C25EC">
      <w:start w:val="1"/>
      <w:numFmt w:val="bullet"/>
      <w:lvlText w:val="-"/>
      <w:lvlJc w:val="left"/>
      <w:pPr>
        <w:ind w:left="720" w:hanging="360"/>
      </w:pPr>
      <w:rPr>
        <w:rFonts w:ascii="Aptos" w:hAnsi="Aptos" w:hint="default"/>
      </w:rPr>
    </w:lvl>
    <w:lvl w:ilvl="1" w:tplc="57C0D9B8" w:tentative="1">
      <w:start w:val="1"/>
      <w:numFmt w:val="bullet"/>
      <w:lvlText w:val="o"/>
      <w:lvlJc w:val="left"/>
      <w:pPr>
        <w:ind w:left="1440" w:hanging="360"/>
      </w:pPr>
      <w:rPr>
        <w:rFonts w:ascii="Courier New" w:hAnsi="Courier New" w:hint="default"/>
      </w:rPr>
    </w:lvl>
    <w:lvl w:ilvl="2" w:tplc="23D62992" w:tentative="1">
      <w:start w:val="1"/>
      <w:numFmt w:val="bullet"/>
      <w:lvlText w:val=""/>
      <w:lvlJc w:val="left"/>
      <w:pPr>
        <w:ind w:left="2160" w:hanging="360"/>
      </w:pPr>
      <w:rPr>
        <w:rFonts w:ascii="Wingdings" w:hAnsi="Wingdings" w:hint="default"/>
      </w:rPr>
    </w:lvl>
    <w:lvl w:ilvl="3" w:tplc="42A2C82A" w:tentative="1">
      <w:start w:val="1"/>
      <w:numFmt w:val="bullet"/>
      <w:lvlText w:val=""/>
      <w:lvlJc w:val="left"/>
      <w:pPr>
        <w:ind w:left="2880" w:hanging="360"/>
      </w:pPr>
      <w:rPr>
        <w:rFonts w:ascii="Symbol" w:hAnsi="Symbol" w:hint="default"/>
      </w:rPr>
    </w:lvl>
    <w:lvl w:ilvl="4" w:tplc="89A6263C" w:tentative="1">
      <w:start w:val="1"/>
      <w:numFmt w:val="bullet"/>
      <w:lvlText w:val="o"/>
      <w:lvlJc w:val="left"/>
      <w:pPr>
        <w:ind w:left="3600" w:hanging="360"/>
      </w:pPr>
      <w:rPr>
        <w:rFonts w:ascii="Courier New" w:hAnsi="Courier New" w:hint="default"/>
      </w:rPr>
    </w:lvl>
    <w:lvl w:ilvl="5" w:tplc="47E20222" w:tentative="1">
      <w:start w:val="1"/>
      <w:numFmt w:val="bullet"/>
      <w:lvlText w:val=""/>
      <w:lvlJc w:val="left"/>
      <w:pPr>
        <w:ind w:left="4320" w:hanging="360"/>
      </w:pPr>
      <w:rPr>
        <w:rFonts w:ascii="Wingdings" w:hAnsi="Wingdings" w:hint="default"/>
      </w:rPr>
    </w:lvl>
    <w:lvl w:ilvl="6" w:tplc="54188B4C" w:tentative="1">
      <w:start w:val="1"/>
      <w:numFmt w:val="bullet"/>
      <w:lvlText w:val=""/>
      <w:lvlJc w:val="left"/>
      <w:pPr>
        <w:ind w:left="5040" w:hanging="360"/>
      </w:pPr>
      <w:rPr>
        <w:rFonts w:ascii="Symbol" w:hAnsi="Symbol" w:hint="default"/>
      </w:rPr>
    </w:lvl>
    <w:lvl w:ilvl="7" w:tplc="491894F6" w:tentative="1">
      <w:start w:val="1"/>
      <w:numFmt w:val="bullet"/>
      <w:lvlText w:val="o"/>
      <w:lvlJc w:val="left"/>
      <w:pPr>
        <w:ind w:left="5760" w:hanging="360"/>
      </w:pPr>
      <w:rPr>
        <w:rFonts w:ascii="Courier New" w:hAnsi="Courier New" w:hint="default"/>
      </w:rPr>
    </w:lvl>
    <w:lvl w:ilvl="8" w:tplc="4A38A736" w:tentative="1">
      <w:start w:val="1"/>
      <w:numFmt w:val="bullet"/>
      <w:lvlText w:val=""/>
      <w:lvlJc w:val="left"/>
      <w:pPr>
        <w:ind w:left="6480" w:hanging="360"/>
      </w:pPr>
      <w:rPr>
        <w:rFonts w:ascii="Wingdings" w:hAnsi="Wingdings" w:hint="default"/>
      </w:rPr>
    </w:lvl>
  </w:abstractNum>
  <w:abstractNum w:abstractNumId="28" w15:restartNumberingAfterBreak="0">
    <w:nsid w:val="6BBA1346"/>
    <w:multiLevelType w:val="hybridMultilevel"/>
    <w:tmpl w:val="3C3E9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05CB5A"/>
    <w:multiLevelType w:val="hybridMultilevel"/>
    <w:tmpl w:val="FFFFFFFF"/>
    <w:lvl w:ilvl="0" w:tplc="5C080BB8">
      <w:start w:val="1"/>
      <w:numFmt w:val="bullet"/>
      <w:lvlText w:val="-"/>
      <w:lvlJc w:val="left"/>
      <w:pPr>
        <w:ind w:left="720" w:hanging="360"/>
      </w:pPr>
      <w:rPr>
        <w:rFonts w:ascii="Aptos" w:hAnsi="Aptos" w:hint="default"/>
      </w:rPr>
    </w:lvl>
    <w:lvl w:ilvl="1" w:tplc="D7A456F2">
      <w:start w:val="1"/>
      <w:numFmt w:val="bullet"/>
      <w:lvlText w:val="o"/>
      <w:lvlJc w:val="left"/>
      <w:pPr>
        <w:ind w:left="1440" w:hanging="360"/>
      </w:pPr>
      <w:rPr>
        <w:rFonts w:ascii="Courier New" w:hAnsi="Courier New" w:hint="default"/>
      </w:rPr>
    </w:lvl>
    <w:lvl w:ilvl="2" w:tplc="061828E4">
      <w:start w:val="1"/>
      <w:numFmt w:val="bullet"/>
      <w:lvlText w:val=""/>
      <w:lvlJc w:val="left"/>
      <w:pPr>
        <w:ind w:left="2160" w:hanging="360"/>
      </w:pPr>
      <w:rPr>
        <w:rFonts w:ascii="Wingdings" w:hAnsi="Wingdings" w:hint="default"/>
      </w:rPr>
    </w:lvl>
    <w:lvl w:ilvl="3" w:tplc="3780B658">
      <w:start w:val="1"/>
      <w:numFmt w:val="bullet"/>
      <w:lvlText w:val=""/>
      <w:lvlJc w:val="left"/>
      <w:pPr>
        <w:ind w:left="2880" w:hanging="360"/>
      </w:pPr>
      <w:rPr>
        <w:rFonts w:ascii="Symbol" w:hAnsi="Symbol" w:hint="default"/>
      </w:rPr>
    </w:lvl>
    <w:lvl w:ilvl="4" w:tplc="DD8E09BA">
      <w:start w:val="1"/>
      <w:numFmt w:val="bullet"/>
      <w:lvlText w:val="o"/>
      <w:lvlJc w:val="left"/>
      <w:pPr>
        <w:ind w:left="3600" w:hanging="360"/>
      </w:pPr>
      <w:rPr>
        <w:rFonts w:ascii="Courier New" w:hAnsi="Courier New" w:hint="default"/>
      </w:rPr>
    </w:lvl>
    <w:lvl w:ilvl="5" w:tplc="686EDCDA">
      <w:start w:val="1"/>
      <w:numFmt w:val="bullet"/>
      <w:lvlText w:val=""/>
      <w:lvlJc w:val="left"/>
      <w:pPr>
        <w:ind w:left="4320" w:hanging="360"/>
      </w:pPr>
      <w:rPr>
        <w:rFonts w:ascii="Wingdings" w:hAnsi="Wingdings" w:hint="default"/>
      </w:rPr>
    </w:lvl>
    <w:lvl w:ilvl="6" w:tplc="26804758">
      <w:start w:val="1"/>
      <w:numFmt w:val="bullet"/>
      <w:lvlText w:val=""/>
      <w:lvlJc w:val="left"/>
      <w:pPr>
        <w:ind w:left="5040" w:hanging="360"/>
      </w:pPr>
      <w:rPr>
        <w:rFonts w:ascii="Symbol" w:hAnsi="Symbol" w:hint="default"/>
      </w:rPr>
    </w:lvl>
    <w:lvl w:ilvl="7" w:tplc="693825A4">
      <w:start w:val="1"/>
      <w:numFmt w:val="bullet"/>
      <w:lvlText w:val="o"/>
      <w:lvlJc w:val="left"/>
      <w:pPr>
        <w:ind w:left="5760" w:hanging="360"/>
      </w:pPr>
      <w:rPr>
        <w:rFonts w:ascii="Courier New" w:hAnsi="Courier New" w:hint="default"/>
      </w:rPr>
    </w:lvl>
    <w:lvl w:ilvl="8" w:tplc="7130B8F4">
      <w:start w:val="1"/>
      <w:numFmt w:val="bullet"/>
      <w:lvlText w:val=""/>
      <w:lvlJc w:val="left"/>
      <w:pPr>
        <w:ind w:left="6480" w:hanging="360"/>
      </w:pPr>
      <w:rPr>
        <w:rFonts w:ascii="Wingdings" w:hAnsi="Wingdings" w:hint="default"/>
      </w:rPr>
    </w:lvl>
  </w:abstractNum>
  <w:abstractNum w:abstractNumId="30" w15:restartNumberingAfterBreak="0">
    <w:nsid w:val="75553979"/>
    <w:multiLevelType w:val="hybridMultilevel"/>
    <w:tmpl w:val="FFFFFFFF"/>
    <w:lvl w:ilvl="0" w:tplc="ECD8C91C">
      <w:start w:val="1"/>
      <w:numFmt w:val="bullet"/>
      <w:lvlText w:val="-"/>
      <w:lvlJc w:val="left"/>
      <w:pPr>
        <w:ind w:left="720" w:hanging="360"/>
      </w:pPr>
      <w:rPr>
        <w:rFonts w:ascii="Aptos" w:hAnsi="Aptos" w:hint="default"/>
      </w:rPr>
    </w:lvl>
    <w:lvl w:ilvl="1" w:tplc="DAAC9380">
      <w:start w:val="1"/>
      <w:numFmt w:val="bullet"/>
      <w:lvlText w:val="o"/>
      <w:lvlJc w:val="left"/>
      <w:pPr>
        <w:ind w:left="1440" w:hanging="360"/>
      </w:pPr>
      <w:rPr>
        <w:rFonts w:ascii="Courier New" w:hAnsi="Courier New" w:hint="default"/>
      </w:rPr>
    </w:lvl>
    <w:lvl w:ilvl="2" w:tplc="16CE4216">
      <w:start w:val="1"/>
      <w:numFmt w:val="bullet"/>
      <w:lvlText w:val=""/>
      <w:lvlJc w:val="left"/>
      <w:pPr>
        <w:ind w:left="2160" w:hanging="360"/>
      </w:pPr>
      <w:rPr>
        <w:rFonts w:ascii="Wingdings" w:hAnsi="Wingdings" w:hint="default"/>
      </w:rPr>
    </w:lvl>
    <w:lvl w:ilvl="3" w:tplc="ABC07D5A">
      <w:start w:val="1"/>
      <w:numFmt w:val="bullet"/>
      <w:lvlText w:val=""/>
      <w:lvlJc w:val="left"/>
      <w:pPr>
        <w:ind w:left="2880" w:hanging="360"/>
      </w:pPr>
      <w:rPr>
        <w:rFonts w:ascii="Symbol" w:hAnsi="Symbol" w:hint="default"/>
      </w:rPr>
    </w:lvl>
    <w:lvl w:ilvl="4" w:tplc="6E4E3ED8">
      <w:start w:val="1"/>
      <w:numFmt w:val="bullet"/>
      <w:lvlText w:val="o"/>
      <w:lvlJc w:val="left"/>
      <w:pPr>
        <w:ind w:left="3600" w:hanging="360"/>
      </w:pPr>
      <w:rPr>
        <w:rFonts w:ascii="Courier New" w:hAnsi="Courier New" w:hint="default"/>
      </w:rPr>
    </w:lvl>
    <w:lvl w:ilvl="5" w:tplc="73C23D30">
      <w:start w:val="1"/>
      <w:numFmt w:val="bullet"/>
      <w:lvlText w:val=""/>
      <w:lvlJc w:val="left"/>
      <w:pPr>
        <w:ind w:left="4320" w:hanging="360"/>
      </w:pPr>
      <w:rPr>
        <w:rFonts w:ascii="Wingdings" w:hAnsi="Wingdings" w:hint="default"/>
      </w:rPr>
    </w:lvl>
    <w:lvl w:ilvl="6" w:tplc="AD40F1A0">
      <w:start w:val="1"/>
      <w:numFmt w:val="bullet"/>
      <w:lvlText w:val=""/>
      <w:lvlJc w:val="left"/>
      <w:pPr>
        <w:ind w:left="5040" w:hanging="360"/>
      </w:pPr>
      <w:rPr>
        <w:rFonts w:ascii="Symbol" w:hAnsi="Symbol" w:hint="default"/>
      </w:rPr>
    </w:lvl>
    <w:lvl w:ilvl="7" w:tplc="279CDEE8">
      <w:start w:val="1"/>
      <w:numFmt w:val="bullet"/>
      <w:lvlText w:val="o"/>
      <w:lvlJc w:val="left"/>
      <w:pPr>
        <w:ind w:left="5760" w:hanging="360"/>
      </w:pPr>
      <w:rPr>
        <w:rFonts w:ascii="Courier New" w:hAnsi="Courier New" w:hint="default"/>
      </w:rPr>
    </w:lvl>
    <w:lvl w:ilvl="8" w:tplc="066006CC">
      <w:start w:val="1"/>
      <w:numFmt w:val="bullet"/>
      <w:lvlText w:val=""/>
      <w:lvlJc w:val="left"/>
      <w:pPr>
        <w:ind w:left="6480" w:hanging="360"/>
      </w:pPr>
      <w:rPr>
        <w:rFonts w:ascii="Wingdings" w:hAnsi="Wingdings" w:hint="default"/>
      </w:rPr>
    </w:lvl>
  </w:abstractNum>
  <w:abstractNum w:abstractNumId="3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2"/>
  </w:num>
  <w:num w:numId="2" w16cid:durableId="1706755449">
    <w:abstractNumId w:val="2"/>
  </w:num>
  <w:num w:numId="3" w16cid:durableId="1834367553">
    <w:abstractNumId w:val="14"/>
  </w:num>
  <w:num w:numId="4" w16cid:durableId="223613474">
    <w:abstractNumId w:val="4"/>
  </w:num>
  <w:num w:numId="5" w16cid:durableId="1777865357">
    <w:abstractNumId w:val="13"/>
  </w:num>
  <w:num w:numId="6" w16cid:durableId="200030280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2"/>
  </w:num>
  <w:num w:numId="8" w16cid:durableId="1133983262">
    <w:abstractNumId w:val="13"/>
  </w:num>
  <w:num w:numId="9" w16cid:durableId="1558320821">
    <w:abstractNumId w:val="7"/>
  </w:num>
  <w:num w:numId="10" w16cid:durableId="818570052">
    <w:abstractNumId w:val="6"/>
  </w:num>
  <w:num w:numId="11" w16cid:durableId="144929880">
    <w:abstractNumId w:val="24"/>
  </w:num>
  <w:num w:numId="12" w16cid:durableId="536553998">
    <w:abstractNumId w:val="9"/>
  </w:num>
  <w:num w:numId="13" w16cid:durableId="840391136">
    <w:abstractNumId w:val="31"/>
  </w:num>
  <w:num w:numId="14" w16cid:durableId="2133287082">
    <w:abstractNumId w:val="27"/>
  </w:num>
  <w:num w:numId="15" w16cid:durableId="569390664">
    <w:abstractNumId w:val="17"/>
  </w:num>
  <w:num w:numId="16" w16cid:durableId="85852693">
    <w:abstractNumId w:val="1"/>
  </w:num>
  <w:num w:numId="17" w16cid:durableId="1201481780">
    <w:abstractNumId w:val="23"/>
  </w:num>
  <w:num w:numId="18" w16cid:durableId="729502405">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285694570">
    <w:abstractNumId w:val="3"/>
  </w:num>
  <w:num w:numId="20" w16cid:durableId="77561056">
    <w:abstractNumId w:val="32"/>
  </w:num>
  <w:num w:numId="21" w16cid:durableId="1491097783">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1634866293">
    <w:abstractNumId w:val="16"/>
  </w:num>
  <w:num w:numId="23" w16cid:durableId="1789930001">
    <w:abstractNumId w:val="5"/>
  </w:num>
  <w:num w:numId="24" w16cid:durableId="1782142444">
    <w:abstractNumId w:val="0"/>
  </w:num>
  <w:num w:numId="25" w16cid:durableId="525756132">
    <w:abstractNumId w:val="25"/>
  </w:num>
  <w:num w:numId="26" w16cid:durableId="1870531621">
    <w:abstractNumId w:val="26"/>
  </w:num>
  <w:num w:numId="27" w16cid:durableId="1440829437">
    <w:abstractNumId w:val="10"/>
  </w:num>
  <w:num w:numId="28" w16cid:durableId="1645161955">
    <w:abstractNumId w:val="29"/>
  </w:num>
  <w:num w:numId="29" w16cid:durableId="666514619">
    <w:abstractNumId w:val="30"/>
  </w:num>
  <w:num w:numId="30" w16cid:durableId="1774592598">
    <w:abstractNumId w:val="19"/>
  </w:num>
  <w:num w:numId="31" w16cid:durableId="1153326895">
    <w:abstractNumId w:val="28"/>
  </w:num>
  <w:num w:numId="32" w16cid:durableId="754863358">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9455748">
    <w:abstractNumId w:val="18"/>
  </w:num>
  <w:num w:numId="34" w16cid:durableId="326983558">
    <w:abstractNumId w:val="20"/>
  </w:num>
  <w:num w:numId="35" w16cid:durableId="1000546343">
    <w:abstractNumId w:val="11"/>
  </w:num>
  <w:num w:numId="36" w16cid:durableId="1025210993">
    <w:abstractNumId w:val="22"/>
  </w:num>
  <w:num w:numId="37" w16cid:durableId="1754011456">
    <w:abstractNumId w:val="8"/>
  </w:num>
  <w:num w:numId="38" w16cid:durableId="1776092119">
    <w:abstractNumId w:val="15"/>
  </w:num>
  <w:num w:numId="39" w16cid:durableId="1198588482">
    <w:abstractNumId w:val="21"/>
  </w:num>
  <w:num w:numId="40" w16cid:durableId="116184691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65707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0"/>
    <w:rsid w:val="000000D9"/>
    <w:rsid w:val="0000011B"/>
    <w:rsid w:val="000002DB"/>
    <w:rsid w:val="00000334"/>
    <w:rsid w:val="000003F6"/>
    <w:rsid w:val="000006B7"/>
    <w:rsid w:val="00000702"/>
    <w:rsid w:val="00000800"/>
    <w:rsid w:val="000008D5"/>
    <w:rsid w:val="000008D7"/>
    <w:rsid w:val="00000903"/>
    <w:rsid w:val="00000960"/>
    <w:rsid w:val="000009BD"/>
    <w:rsid w:val="00000A97"/>
    <w:rsid w:val="00000B9B"/>
    <w:rsid w:val="00000D35"/>
    <w:rsid w:val="00000E87"/>
    <w:rsid w:val="00000EB8"/>
    <w:rsid w:val="00000F3B"/>
    <w:rsid w:val="00000F6A"/>
    <w:rsid w:val="00000FB2"/>
    <w:rsid w:val="000010AF"/>
    <w:rsid w:val="000010B8"/>
    <w:rsid w:val="0000114E"/>
    <w:rsid w:val="00001192"/>
    <w:rsid w:val="000011A5"/>
    <w:rsid w:val="000011B3"/>
    <w:rsid w:val="000011C6"/>
    <w:rsid w:val="00001237"/>
    <w:rsid w:val="000012C9"/>
    <w:rsid w:val="000012EA"/>
    <w:rsid w:val="00001373"/>
    <w:rsid w:val="000013B0"/>
    <w:rsid w:val="00001408"/>
    <w:rsid w:val="00001430"/>
    <w:rsid w:val="00001438"/>
    <w:rsid w:val="0000147E"/>
    <w:rsid w:val="000016F2"/>
    <w:rsid w:val="00001756"/>
    <w:rsid w:val="00001762"/>
    <w:rsid w:val="000017B2"/>
    <w:rsid w:val="0000182F"/>
    <w:rsid w:val="0000189F"/>
    <w:rsid w:val="000019C3"/>
    <w:rsid w:val="000019E0"/>
    <w:rsid w:val="00001A5B"/>
    <w:rsid w:val="00001B8B"/>
    <w:rsid w:val="00001D05"/>
    <w:rsid w:val="00001E9A"/>
    <w:rsid w:val="000020E8"/>
    <w:rsid w:val="000020F6"/>
    <w:rsid w:val="00002147"/>
    <w:rsid w:val="000021CD"/>
    <w:rsid w:val="000024C3"/>
    <w:rsid w:val="000026B7"/>
    <w:rsid w:val="000029E2"/>
    <w:rsid w:val="000029E7"/>
    <w:rsid w:val="00002AA0"/>
    <w:rsid w:val="00002C60"/>
    <w:rsid w:val="00002E74"/>
    <w:rsid w:val="00002EDB"/>
    <w:rsid w:val="0000303D"/>
    <w:rsid w:val="00003186"/>
    <w:rsid w:val="000032A9"/>
    <w:rsid w:val="000034B0"/>
    <w:rsid w:val="00003645"/>
    <w:rsid w:val="0000364B"/>
    <w:rsid w:val="000037BF"/>
    <w:rsid w:val="0000380A"/>
    <w:rsid w:val="000039B0"/>
    <w:rsid w:val="000039DA"/>
    <w:rsid w:val="000039FB"/>
    <w:rsid w:val="00003BA7"/>
    <w:rsid w:val="00003BAE"/>
    <w:rsid w:val="00003C3D"/>
    <w:rsid w:val="00003D19"/>
    <w:rsid w:val="00003F3A"/>
    <w:rsid w:val="00003F60"/>
    <w:rsid w:val="00003FB6"/>
    <w:rsid w:val="00004007"/>
    <w:rsid w:val="0000405F"/>
    <w:rsid w:val="000040AF"/>
    <w:rsid w:val="000040CD"/>
    <w:rsid w:val="00004192"/>
    <w:rsid w:val="000041C9"/>
    <w:rsid w:val="000041FD"/>
    <w:rsid w:val="00004367"/>
    <w:rsid w:val="000043CD"/>
    <w:rsid w:val="000043F3"/>
    <w:rsid w:val="00004478"/>
    <w:rsid w:val="000044DE"/>
    <w:rsid w:val="00004520"/>
    <w:rsid w:val="00004909"/>
    <w:rsid w:val="0000499A"/>
    <w:rsid w:val="000049EA"/>
    <w:rsid w:val="00004A34"/>
    <w:rsid w:val="00004BC1"/>
    <w:rsid w:val="00004C5E"/>
    <w:rsid w:val="00004C93"/>
    <w:rsid w:val="00004D47"/>
    <w:rsid w:val="00004DB6"/>
    <w:rsid w:val="00004E6A"/>
    <w:rsid w:val="00004EB5"/>
    <w:rsid w:val="00004F28"/>
    <w:rsid w:val="00005026"/>
    <w:rsid w:val="00005132"/>
    <w:rsid w:val="000051F1"/>
    <w:rsid w:val="0000533E"/>
    <w:rsid w:val="00005473"/>
    <w:rsid w:val="0000550F"/>
    <w:rsid w:val="00005523"/>
    <w:rsid w:val="0000553F"/>
    <w:rsid w:val="000058B9"/>
    <w:rsid w:val="00005915"/>
    <w:rsid w:val="00005967"/>
    <w:rsid w:val="00005B0C"/>
    <w:rsid w:val="00005B8E"/>
    <w:rsid w:val="00005BA5"/>
    <w:rsid w:val="00005C0C"/>
    <w:rsid w:val="00005C15"/>
    <w:rsid w:val="00005CBD"/>
    <w:rsid w:val="00005D7B"/>
    <w:rsid w:val="00005E6A"/>
    <w:rsid w:val="00005F1B"/>
    <w:rsid w:val="00005F1C"/>
    <w:rsid w:val="00005F86"/>
    <w:rsid w:val="00006017"/>
    <w:rsid w:val="000060C6"/>
    <w:rsid w:val="000061B4"/>
    <w:rsid w:val="000064CA"/>
    <w:rsid w:val="0000661C"/>
    <w:rsid w:val="00006666"/>
    <w:rsid w:val="00006870"/>
    <w:rsid w:val="000069DA"/>
    <w:rsid w:val="00006A0C"/>
    <w:rsid w:val="00006C66"/>
    <w:rsid w:val="00006EAC"/>
    <w:rsid w:val="0000728E"/>
    <w:rsid w:val="00007296"/>
    <w:rsid w:val="00007392"/>
    <w:rsid w:val="0000746E"/>
    <w:rsid w:val="00007690"/>
    <w:rsid w:val="000076E6"/>
    <w:rsid w:val="0000779A"/>
    <w:rsid w:val="00007809"/>
    <w:rsid w:val="00007993"/>
    <w:rsid w:val="000079AD"/>
    <w:rsid w:val="00007A5E"/>
    <w:rsid w:val="00007AA0"/>
    <w:rsid w:val="00007AA5"/>
    <w:rsid w:val="00007B61"/>
    <w:rsid w:val="00007B7B"/>
    <w:rsid w:val="00007CC1"/>
    <w:rsid w:val="00007CF4"/>
    <w:rsid w:val="00007D0B"/>
    <w:rsid w:val="00007D2E"/>
    <w:rsid w:val="00007D91"/>
    <w:rsid w:val="00007F5A"/>
    <w:rsid w:val="00007F9C"/>
    <w:rsid w:val="00007FAD"/>
    <w:rsid w:val="00010010"/>
    <w:rsid w:val="00010059"/>
    <w:rsid w:val="000100A4"/>
    <w:rsid w:val="000100F6"/>
    <w:rsid w:val="0001028A"/>
    <w:rsid w:val="000102CB"/>
    <w:rsid w:val="0001033A"/>
    <w:rsid w:val="00010403"/>
    <w:rsid w:val="000105B7"/>
    <w:rsid w:val="00010693"/>
    <w:rsid w:val="00010695"/>
    <w:rsid w:val="000106EB"/>
    <w:rsid w:val="00010974"/>
    <w:rsid w:val="00010A00"/>
    <w:rsid w:val="00010BEB"/>
    <w:rsid w:val="00010C5A"/>
    <w:rsid w:val="00010C8E"/>
    <w:rsid w:val="00010E92"/>
    <w:rsid w:val="0001107E"/>
    <w:rsid w:val="000110CF"/>
    <w:rsid w:val="000110E9"/>
    <w:rsid w:val="00011107"/>
    <w:rsid w:val="00011111"/>
    <w:rsid w:val="0001112B"/>
    <w:rsid w:val="0001116D"/>
    <w:rsid w:val="00011296"/>
    <w:rsid w:val="0001138C"/>
    <w:rsid w:val="000113C6"/>
    <w:rsid w:val="0001153B"/>
    <w:rsid w:val="00011553"/>
    <w:rsid w:val="00011581"/>
    <w:rsid w:val="000115CD"/>
    <w:rsid w:val="00011725"/>
    <w:rsid w:val="0001176D"/>
    <w:rsid w:val="000117F2"/>
    <w:rsid w:val="0001187A"/>
    <w:rsid w:val="000118B7"/>
    <w:rsid w:val="00011958"/>
    <w:rsid w:val="00011B13"/>
    <w:rsid w:val="00011B21"/>
    <w:rsid w:val="00011B2E"/>
    <w:rsid w:val="00011C8F"/>
    <w:rsid w:val="00011CCB"/>
    <w:rsid w:val="00011D45"/>
    <w:rsid w:val="00011EE8"/>
    <w:rsid w:val="00011FDA"/>
    <w:rsid w:val="000120EE"/>
    <w:rsid w:val="00012136"/>
    <w:rsid w:val="000121EF"/>
    <w:rsid w:val="00012222"/>
    <w:rsid w:val="0001226D"/>
    <w:rsid w:val="000122D7"/>
    <w:rsid w:val="00012423"/>
    <w:rsid w:val="00012445"/>
    <w:rsid w:val="000126A1"/>
    <w:rsid w:val="000126F6"/>
    <w:rsid w:val="0001277B"/>
    <w:rsid w:val="00012792"/>
    <w:rsid w:val="00012808"/>
    <w:rsid w:val="00012976"/>
    <w:rsid w:val="00012A3A"/>
    <w:rsid w:val="00012A51"/>
    <w:rsid w:val="00012B02"/>
    <w:rsid w:val="00012B85"/>
    <w:rsid w:val="00012C62"/>
    <w:rsid w:val="00012CE2"/>
    <w:rsid w:val="00012DE0"/>
    <w:rsid w:val="000132F0"/>
    <w:rsid w:val="00013342"/>
    <w:rsid w:val="00013388"/>
    <w:rsid w:val="00013431"/>
    <w:rsid w:val="00013609"/>
    <w:rsid w:val="000137CB"/>
    <w:rsid w:val="00013884"/>
    <w:rsid w:val="000138C6"/>
    <w:rsid w:val="0001398A"/>
    <w:rsid w:val="00013991"/>
    <w:rsid w:val="00013A08"/>
    <w:rsid w:val="00013AAD"/>
    <w:rsid w:val="00013C91"/>
    <w:rsid w:val="00013D8C"/>
    <w:rsid w:val="00013E2F"/>
    <w:rsid w:val="00013F3E"/>
    <w:rsid w:val="00013F4E"/>
    <w:rsid w:val="00013F6C"/>
    <w:rsid w:val="00013FB3"/>
    <w:rsid w:val="00014003"/>
    <w:rsid w:val="00014026"/>
    <w:rsid w:val="0001414F"/>
    <w:rsid w:val="0001415F"/>
    <w:rsid w:val="00014191"/>
    <w:rsid w:val="00014302"/>
    <w:rsid w:val="000143E6"/>
    <w:rsid w:val="000144B2"/>
    <w:rsid w:val="000144FA"/>
    <w:rsid w:val="00014591"/>
    <w:rsid w:val="000145B1"/>
    <w:rsid w:val="00014771"/>
    <w:rsid w:val="000148A5"/>
    <w:rsid w:val="000148D4"/>
    <w:rsid w:val="000149CF"/>
    <w:rsid w:val="000149F2"/>
    <w:rsid w:val="00014AFD"/>
    <w:rsid w:val="00014B7F"/>
    <w:rsid w:val="00014C1F"/>
    <w:rsid w:val="00014DAA"/>
    <w:rsid w:val="00014F1A"/>
    <w:rsid w:val="00015015"/>
    <w:rsid w:val="0001515C"/>
    <w:rsid w:val="000152CC"/>
    <w:rsid w:val="00015416"/>
    <w:rsid w:val="00015439"/>
    <w:rsid w:val="0001543F"/>
    <w:rsid w:val="000154E7"/>
    <w:rsid w:val="000155DF"/>
    <w:rsid w:val="000156D4"/>
    <w:rsid w:val="000156E6"/>
    <w:rsid w:val="000158C1"/>
    <w:rsid w:val="0001597C"/>
    <w:rsid w:val="00015A09"/>
    <w:rsid w:val="00015B33"/>
    <w:rsid w:val="00015B52"/>
    <w:rsid w:val="00015E0C"/>
    <w:rsid w:val="00015E92"/>
    <w:rsid w:val="00015EF7"/>
    <w:rsid w:val="00015F07"/>
    <w:rsid w:val="00015F0B"/>
    <w:rsid w:val="00015F15"/>
    <w:rsid w:val="00015FB0"/>
    <w:rsid w:val="0001604A"/>
    <w:rsid w:val="00016158"/>
    <w:rsid w:val="000162F7"/>
    <w:rsid w:val="00016362"/>
    <w:rsid w:val="0001636E"/>
    <w:rsid w:val="000163D3"/>
    <w:rsid w:val="0001658D"/>
    <w:rsid w:val="0001659B"/>
    <w:rsid w:val="00016621"/>
    <w:rsid w:val="00016743"/>
    <w:rsid w:val="0001677C"/>
    <w:rsid w:val="0001683F"/>
    <w:rsid w:val="00016850"/>
    <w:rsid w:val="000169D1"/>
    <w:rsid w:val="00016BA2"/>
    <w:rsid w:val="00016D59"/>
    <w:rsid w:val="00016DF8"/>
    <w:rsid w:val="00016E0A"/>
    <w:rsid w:val="00017074"/>
    <w:rsid w:val="000173BF"/>
    <w:rsid w:val="0001744F"/>
    <w:rsid w:val="00017490"/>
    <w:rsid w:val="000174B6"/>
    <w:rsid w:val="00017574"/>
    <w:rsid w:val="0001758F"/>
    <w:rsid w:val="0001759A"/>
    <w:rsid w:val="00017661"/>
    <w:rsid w:val="0001770F"/>
    <w:rsid w:val="0001774B"/>
    <w:rsid w:val="00017926"/>
    <w:rsid w:val="000179B3"/>
    <w:rsid w:val="00017A03"/>
    <w:rsid w:val="00017A08"/>
    <w:rsid w:val="00017ACE"/>
    <w:rsid w:val="00017B8C"/>
    <w:rsid w:val="00017BEC"/>
    <w:rsid w:val="00017DAE"/>
    <w:rsid w:val="00017F24"/>
    <w:rsid w:val="00017FA6"/>
    <w:rsid w:val="00020130"/>
    <w:rsid w:val="00020146"/>
    <w:rsid w:val="00020217"/>
    <w:rsid w:val="000203F7"/>
    <w:rsid w:val="000204A8"/>
    <w:rsid w:val="00020642"/>
    <w:rsid w:val="0002076C"/>
    <w:rsid w:val="000209CD"/>
    <w:rsid w:val="00020BB3"/>
    <w:rsid w:val="00020BBD"/>
    <w:rsid w:val="00020C44"/>
    <w:rsid w:val="00020CC3"/>
    <w:rsid w:val="00020FB4"/>
    <w:rsid w:val="0002103F"/>
    <w:rsid w:val="000210C5"/>
    <w:rsid w:val="00021171"/>
    <w:rsid w:val="00021175"/>
    <w:rsid w:val="000211AB"/>
    <w:rsid w:val="000211C3"/>
    <w:rsid w:val="00021273"/>
    <w:rsid w:val="000212C6"/>
    <w:rsid w:val="000212E3"/>
    <w:rsid w:val="000213B0"/>
    <w:rsid w:val="000213F7"/>
    <w:rsid w:val="00021435"/>
    <w:rsid w:val="0002155C"/>
    <w:rsid w:val="0002170C"/>
    <w:rsid w:val="0002187F"/>
    <w:rsid w:val="00021898"/>
    <w:rsid w:val="00021972"/>
    <w:rsid w:val="00021BE6"/>
    <w:rsid w:val="00021D46"/>
    <w:rsid w:val="00021EF0"/>
    <w:rsid w:val="00021F85"/>
    <w:rsid w:val="00021FF1"/>
    <w:rsid w:val="0002206D"/>
    <w:rsid w:val="00022194"/>
    <w:rsid w:val="000222BA"/>
    <w:rsid w:val="000223B5"/>
    <w:rsid w:val="00022506"/>
    <w:rsid w:val="00022521"/>
    <w:rsid w:val="00022657"/>
    <w:rsid w:val="0002299F"/>
    <w:rsid w:val="000229C5"/>
    <w:rsid w:val="00022B7D"/>
    <w:rsid w:val="00022B84"/>
    <w:rsid w:val="00022BA9"/>
    <w:rsid w:val="00022BB0"/>
    <w:rsid w:val="00022CF4"/>
    <w:rsid w:val="00022EFB"/>
    <w:rsid w:val="00022FDD"/>
    <w:rsid w:val="000231AE"/>
    <w:rsid w:val="00023286"/>
    <w:rsid w:val="0002337B"/>
    <w:rsid w:val="00023388"/>
    <w:rsid w:val="00023489"/>
    <w:rsid w:val="00023703"/>
    <w:rsid w:val="0002377A"/>
    <w:rsid w:val="000237D2"/>
    <w:rsid w:val="0002386B"/>
    <w:rsid w:val="000239F7"/>
    <w:rsid w:val="00023BEC"/>
    <w:rsid w:val="00023DAA"/>
    <w:rsid w:val="00023E11"/>
    <w:rsid w:val="00023E9E"/>
    <w:rsid w:val="00023EF7"/>
    <w:rsid w:val="0002404A"/>
    <w:rsid w:val="000240F7"/>
    <w:rsid w:val="00024180"/>
    <w:rsid w:val="000241C4"/>
    <w:rsid w:val="000241E6"/>
    <w:rsid w:val="00024250"/>
    <w:rsid w:val="00024281"/>
    <w:rsid w:val="000242E3"/>
    <w:rsid w:val="00024326"/>
    <w:rsid w:val="0002437F"/>
    <w:rsid w:val="000243EB"/>
    <w:rsid w:val="00024405"/>
    <w:rsid w:val="00024407"/>
    <w:rsid w:val="0002440F"/>
    <w:rsid w:val="00024599"/>
    <w:rsid w:val="0002472F"/>
    <w:rsid w:val="0002473E"/>
    <w:rsid w:val="00024751"/>
    <w:rsid w:val="0002479C"/>
    <w:rsid w:val="0002485A"/>
    <w:rsid w:val="000248BF"/>
    <w:rsid w:val="0002496A"/>
    <w:rsid w:val="00024973"/>
    <w:rsid w:val="00024A4D"/>
    <w:rsid w:val="00024AA6"/>
    <w:rsid w:val="00024BF5"/>
    <w:rsid w:val="00024C23"/>
    <w:rsid w:val="00024CE5"/>
    <w:rsid w:val="00024DBD"/>
    <w:rsid w:val="00024DD2"/>
    <w:rsid w:val="00024F4C"/>
    <w:rsid w:val="00024F9A"/>
    <w:rsid w:val="00025022"/>
    <w:rsid w:val="00025306"/>
    <w:rsid w:val="00025345"/>
    <w:rsid w:val="0002544D"/>
    <w:rsid w:val="000254A9"/>
    <w:rsid w:val="000255CF"/>
    <w:rsid w:val="00025A4A"/>
    <w:rsid w:val="00025D9C"/>
    <w:rsid w:val="00025E45"/>
    <w:rsid w:val="00025F42"/>
    <w:rsid w:val="0002608A"/>
    <w:rsid w:val="00026103"/>
    <w:rsid w:val="00026114"/>
    <w:rsid w:val="0002612B"/>
    <w:rsid w:val="00026178"/>
    <w:rsid w:val="000262D1"/>
    <w:rsid w:val="000262F8"/>
    <w:rsid w:val="00026392"/>
    <w:rsid w:val="00026401"/>
    <w:rsid w:val="00026786"/>
    <w:rsid w:val="000267E2"/>
    <w:rsid w:val="0002692E"/>
    <w:rsid w:val="000269DB"/>
    <w:rsid w:val="000269F7"/>
    <w:rsid w:val="00026A17"/>
    <w:rsid w:val="00026A60"/>
    <w:rsid w:val="00026B21"/>
    <w:rsid w:val="00026CBE"/>
    <w:rsid w:val="00026D85"/>
    <w:rsid w:val="00026F04"/>
    <w:rsid w:val="00027028"/>
    <w:rsid w:val="000271B7"/>
    <w:rsid w:val="00027346"/>
    <w:rsid w:val="000274DF"/>
    <w:rsid w:val="00027555"/>
    <w:rsid w:val="00027589"/>
    <w:rsid w:val="00027624"/>
    <w:rsid w:val="00027663"/>
    <w:rsid w:val="0002776F"/>
    <w:rsid w:val="00027873"/>
    <w:rsid w:val="00027898"/>
    <w:rsid w:val="000278AA"/>
    <w:rsid w:val="000279B0"/>
    <w:rsid w:val="00027AC6"/>
    <w:rsid w:val="00027ADB"/>
    <w:rsid w:val="00027C40"/>
    <w:rsid w:val="00027CE7"/>
    <w:rsid w:val="00027EBE"/>
    <w:rsid w:val="00027EC0"/>
    <w:rsid w:val="00027FA7"/>
    <w:rsid w:val="00027FBC"/>
    <w:rsid w:val="000301C1"/>
    <w:rsid w:val="000301FC"/>
    <w:rsid w:val="00030223"/>
    <w:rsid w:val="0003038F"/>
    <w:rsid w:val="000303CD"/>
    <w:rsid w:val="0003045A"/>
    <w:rsid w:val="00030462"/>
    <w:rsid w:val="000304A8"/>
    <w:rsid w:val="000304B8"/>
    <w:rsid w:val="0003056F"/>
    <w:rsid w:val="0003076A"/>
    <w:rsid w:val="0003082E"/>
    <w:rsid w:val="000309D0"/>
    <w:rsid w:val="00030B9F"/>
    <w:rsid w:val="00030D0D"/>
    <w:rsid w:val="00030DEB"/>
    <w:rsid w:val="00030E0D"/>
    <w:rsid w:val="00030E39"/>
    <w:rsid w:val="0003108B"/>
    <w:rsid w:val="000310A1"/>
    <w:rsid w:val="0003110C"/>
    <w:rsid w:val="00031144"/>
    <w:rsid w:val="000311DF"/>
    <w:rsid w:val="000312C8"/>
    <w:rsid w:val="00031320"/>
    <w:rsid w:val="000313B3"/>
    <w:rsid w:val="000313EE"/>
    <w:rsid w:val="00031447"/>
    <w:rsid w:val="0003147F"/>
    <w:rsid w:val="0003157B"/>
    <w:rsid w:val="00031609"/>
    <w:rsid w:val="0003163E"/>
    <w:rsid w:val="000316FC"/>
    <w:rsid w:val="0003176B"/>
    <w:rsid w:val="00031770"/>
    <w:rsid w:val="000318C1"/>
    <w:rsid w:val="000318D7"/>
    <w:rsid w:val="00031A69"/>
    <w:rsid w:val="00031C1F"/>
    <w:rsid w:val="00031D00"/>
    <w:rsid w:val="00031E0F"/>
    <w:rsid w:val="00031EBB"/>
    <w:rsid w:val="00031F6A"/>
    <w:rsid w:val="00032077"/>
    <w:rsid w:val="000320E8"/>
    <w:rsid w:val="0003216B"/>
    <w:rsid w:val="0003222A"/>
    <w:rsid w:val="00032272"/>
    <w:rsid w:val="000322FE"/>
    <w:rsid w:val="00032314"/>
    <w:rsid w:val="0003233F"/>
    <w:rsid w:val="00032599"/>
    <w:rsid w:val="00032652"/>
    <w:rsid w:val="00032871"/>
    <w:rsid w:val="00032924"/>
    <w:rsid w:val="00032956"/>
    <w:rsid w:val="00032A55"/>
    <w:rsid w:val="00032A99"/>
    <w:rsid w:val="00032B1D"/>
    <w:rsid w:val="00032B98"/>
    <w:rsid w:val="00032DB1"/>
    <w:rsid w:val="00032E2D"/>
    <w:rsid w:val="000330DA"/>
    <w:rsid w:val="00033156"/>
    <w:rsid w:val="0003333B"/>
    <w:rsid w:val="0003334F"/>
    <w:rsid w:val="00033594"/>
    <w:rsid w:val="0003359D"/>
    <w:rsid w:val="00033747"/>
    <w:rsid w:val="0003376B"/>
    <w:rsid w:val="00033999"/>
    <w:rsid w:val="00033C3B"/>
    <w:rsid w:val="00033DEF"/>
    <w:rsid w:val="00033F9E"/>
    <w:rsid w:val="00033FA3"/>
    <w:rsid w:val="00033FF5"/>
    <w:rsid w:val="000340EE"/>
    <w:rsid w:val="00034107"/>
    <w:rsid w:val="0003419E"/>
    <w:rsid w:val="000341FA"/>
    <w:rsid w:val="00034247"/>
    <w:rsid w:val="000342DD"/>
    <w:rsid w:val="000343CB"/>
    <w:rsid w:val="00034544"/>
    <w:rsid w:val="000345CE"/>
    <w:rsid w:val="0003461F"/>
    <w:rsid w:val="000346E8"/>
    <w:rsid w:val="000348A2"/>
    <w:rsid w:val="00034B10"/>
    <w:rsid w:val="00034B3D"/>
    <w:rsid w:val="00034CA6"/>
    <w:rsid w:val="00034D28"/>
    <w:rsid w:val="00034D37"/>
    <w:rsid w:val="00034F54"/>
    <w:rsid w:val="00035061"/>
    <w:rsid w:val="000350AB"/>
    <w:rsid w:val="000350D1"/>
    <w:rsid w:val="000351C2"/>
    <w:rsid w:val="00035214"/>
    <w:rsid w:val="00035228"/>
    <w:rsid w:val="00035237"/>
    <w:rsid w:val="00035302"/>
    <w:rsid w:val="00035393"/>
    <w:rsid w:val="00035527"/>
    <w:rsid w:val="000355C8"/>
    <w:rsid w:val="00035664"/>
    <w:rsid w:val="00035739"/>
    <w:rsid w:val="0003596B"/>
    <w:rsid w:val="000359AD"/>
    <w:rsid w:val="000359E5"/>
    <w:rsid w:val="00035BE1"/>
    <w:rsid w:val="00035C66"/>
    <w:rsid w:val="00035D89"/>
    <w:rsid w:val="00035E84"/>
    <w:rsid w:val="00035EA3"/>
    <w:rsid w:val="00035EF8"/>
    <w:rsid w:val="00035F7E"/>
    <w:rsid w:val="000360F6"/>
    <w:rsid w:val="00036273"/>
    <w:rsid w:val="00036281"/>
    <w:rsid w:val="00036344"/>
    <w:rsid w:val="00036434"/>
    <w:rsid w:val="00036508"/>
    <w:rsid w:val="000365BA"/>
    <w:rsid w:val="00036617"/>
    <w:rsid w:val="00036660"/>
    <w:rsid w:val="0003682B"/>
    <w:rsid w:val="000368EE"/>
    <w:rsid w:val="000369E2"/>
    <w:rsid w:val="00036A39"/>
    <w:rsid w:val="00036A5E"/>
    <w:rsid w:val="00036B0B"/>
    <w:rsid w:val="00036B70"/>
    <w:rsid w:val="00036C80"/>
    <w:rsid w:val="00036DF7"/>
    <w:rsid w:val="000372D1"/>
    <w:rsid w:val="00037346"/>
    <w:rsid w:val="00037378"/>
    <w:rsid w:val="0003738B"/>
    <w:rsid w:val="00037503"/>
    <w:rsid w:val="00037656"/>
    <w:rsid w:val="00037722"/>
    <w:rsid w:val="000377A5"/>
    <w:rsid w:val="00037866"/>
    <w:rsid w:val="00037B79"/>
    <w:rsid w:val="00037BD7"/>
    <w:rsid w:val="00037DE1"/>
    <w:rsid w:val="00037E78"/>
    <w:rsid w:val="00037F38"/>
    <w:rsid w:val="0004014A"/>
    <w:rsid w:val="00040168"/>
    <w:rsid w:val="00040169"/>
    <w:rsid w:val="00040275"/>
    <w:rsid w:val="00040279"/>
    <w:rsid w:val="0004031A"/>
    <w:rsid w:val="0004035C"/>
    <w:rsid w:val="000405C8"/>
    <w:rsid w:val="0004071E"/>
    <w:rsid w:val="0004072D"/>
    <w:rsid w:val="00040A4B"/>
    <w:rsid w:val="00040BBB"/>
    <w:rsid w:val="00040E69"/>
    <w:rsid w:val="00040F03"/>
    <w:rsid w:val="00040F15"/>
    <w:rsid w:val="00040FEB"/>
    <w:rsid w:val="00041011"/>
    <w:rsid w:val="00041079"/>
    <w:rsid w:val="0004114B"/>
    <w:rsid w:val="00041214"/>
    <w:rsid w:val="000413AB"/>
    <w:rsid w:val="000414D5"/>
    <w:rsid w:val="00041616"/>
    <w:rsid w:val="00041620"/>
    <w:rsid w:val="00041682"/>
    <w:rsid w:val="0004175C"/>
    <w:rsid w:val="000418F4"/>
    <w:rsid w:val="0004195B"/>
    <w:rsid w:val="00041A5B"/>
    <w:rsid w:val="00041A80"/>
    <w:rsid w:val="00041A8B"/>
    <w:rsid w:val="00041A97"/>
    <w:rsid w:val="00041B1C"/>
    <w:rsid w:val="00041B2F"/>
    <w:rsid w:val="00041BC8"/>
    <w:rsid w:val="00041BFD"/>
    <w:rsid w:val="00041D15"/>
    <w:rsid w:val="00041D80"/>
    <w:rsid w:val="00041DF4"/>
    <w:rsid w:val="00041EAC"/>
    <w:rsid w:val="00041FC9"/>
    <w:rsid w:val="00042304"/>
    <w:rsid w:val="00042315"/>
    <w:rsid w:val="00042343"/>
    <w:rsid w:val="00042368"/>
    <w:rsid w:val="00042383"/>
    <w:rsid w:val="000424E0"/>
    <w:rsid w:val="000425AE"/>
    <w:rsid w:val="000426BD"/>
    <w:rsid w:val="0004274D"/>
    <w:rsid w:val="000427BC"/>
    <w:rsid w:val="00042904"/>
    <w:rsid w:val="00042A2B"/>
    <w:rsid w:val="00042CA2"/>
    <w:rsid w:val="00042E1F"/>
    <w:rsid w:val="00042EFE"/>
    <w:rsid w:val="00042F6F"/>
    <w:rsid w:val="00042F93"/>
    <w:rsid w:val="000430C1"/>
    <w:rsid w:val="00043187"/>
    <w:rsid w:val="000431A3"/>
    <w:rsid w:val="000431E4"/>
    <w:rsid w:val="00043282"/>
    <w:rsid w:val="000434B9"/>
    <w:rsid w:val="00043575"/>
    <w:rsid w:val="00043646"/>
    <w:rsid w:val="000436A5"/>
    <w:rsid w:val="000437C4"/>
    <w:rsid w:val="000438A4"/>
    <w:rsid w:val="00043941"/>
    <w:rsid w:val="0004398A"/>
    <w:rsid w:val="000439BD"/>
    <w:rsid w:val="00043A09"/>
    <w:rsid w:val="00043A2A"/>
    <w:rsid w:val="00043A9E"/>
    <w:rsid w:val="00043B15"/>
    <w:rsid w:val="00043F0D"/>
    <w:rsid w:val="00043F27"/>
    <w:rsid w:val="00043F8D"/>
    <w:rsid w:val="00043FF9"/>
    <w:rsid w:val="0004400B"/>
    <w:rsid w:val="000441AD"/>
    <w:rsid w:val="00044228"/>
    <w:rsid w:val="00044344"/>
    <w:rsid w:val="0004447D"/>
    <w:rsid w:val="000445C5"/>
    <w:rsid w:val="00044653"/>
    <w:rsid w:val="0004467E"/>
    <w:rsid w:val="000446CA"/>
    <w:rsid w:val="000446DB"/>
    <w:rsid w:val="00044716"/>
    <w:rsid w:val="00044907"/>
    <w:rsid w:val="000449BC"/>
    <w:rsid w:val="00044B2E"/>
    <w:rsid w:val="00044B71"/>
    <w:rsid w:val="00044BCB"/>
    <w:rsid w:val="00044C0A"/>
    <w:rsid w:val="00044C71"/>
    <w:rsid w:val="00044CA2"/>
    <w:rsid w:val="00044DBE"/>
    <w:rsid w:val="00044F6B"/>
    <w:rsid w:val="000450D2"/>
    <w:rsid w:val="000450FA"/>
    <w:rsid w:val="00045156"/>
    <w:rsid w:val="000451C0"/>
    <w:rsid w:val="0004523B"/>
    <w:rsid w:val="0004528C"/>
    <w:rsid w:val="000454A7"/>
    <w:rsid w:val="000454E6"/>
    <w:rsid w:val="00045587"/>
    <w:rsid w:val="0004562D"/>
    <w:rsid w:val="00045658"/>
    <w:rsid w:val="000456DD"/>
    <w:rsid w:val="0004577B"/>
    <w:rsid w:val="0004582D"/>
    <w:rsid w:val="0004585C"/>
    <w:rsid w:val="000458A3"/>
    <w:rsid w:val="000458B1"/>
    <w:rsid w:val="000459B0"/>
    <w:rsid w:val="000459B2"/>
    <w:rsid w:val="00045B61"/>
    <w:rsid w:val="00045BE5"/>
    <w:rsid w:val="00045D32"/>
    <w:rsid w:val="00045DDD"/>
    <w:rsid w:val="00045E63"/>
    <w:rsid w:val="00045EA5"/>
    <w:rsid w:val="0004601E"/>
    <w:rsid w:val="000460C6"/>
    <w:rsid w:val="0004610C"/>
    <w:rsid w:val="000463E1"/>
    <w:rsid w:val="000464C8"/>
    <w:rsid w:val="000465F8"/>
    <w:rsid w:val="00046721"/>
    <w:rsid w:val="00046833"/>
    <w:rsid w:val="0004687F"/>
    <w:rsid w:val="000468EC"/>
    <w:rsid w:val="000469E5"/>
    <w:rsid w:val="00046A4E"/>
    <w:rsid w:val="00046ADD"/>
    <w:rsid w:val="00046B54"/>
    <w:rsid w:val="00046E0F"/>
    <w:rsid w:val="00046E76"/>
    <w:rsid w:val="00046F15"/>
    <w:rsid w:val="0004716C"/>
    <w:rsid w:val="0004718A"/>
    <w:rsid w:val="000471D2"/>
    <w:rsid w:val="00047293"/>
    <w:rsid w:val="000472AF"/>
    <w:rsid w:val="000473C4"/>
    <w:rsid w:val="00047407"/>
    <w:rsid w:val="00047650"/>
    <w:rsid w:val="0004781C"/>
    <w:rsid w:val="00047ABB"/>
    <w:rsid w:val="00047B2A"/>
    <w:rsid w:val="00047C41"/>
    <w:rsid w:val="00047D2E"/>
    <w:rsid w:val="00047DEA"/>
    <w:rsid w:val="00047EFF"/>
    <w:rsid w:val="00047F66"/>
    <w:rsid w:val="00047FCC"/>
    <w:rsid w:val="00050013"/>
    <w:rsid w:val="00050052"/>
    <w:rsid w:val="00050158"/>
    <w:rsid w:val="0005019A"/>
    <w:rsid w:val="00050445"/>
    <w:rsid w:val="0005052D"/>
    <w:rsid w:val="00050734"/>
    <w:rsid w:val="00050766"/>
    <w:rsid w:val="00050823"/>
    <w:rsid w:val="0005084A"/>
    <w:rsid w:val="0005095D"/>
    <w:rsid w:val="00050961"/>
    <w:rsid w:val="00050A46"/>
    <w:rsid w:val="00050BF9"/>
    <w:rsid w:val="00050C47"/>
    <w:rsid w:val="00050D56"/>
    <w:rsid w:val="00050DA1"/>
    <w:rsid w:val="00050DDC"/>
    <w:rsid w:val="00050E79"/>
    <w:rsid w:val="00050E9D"/>
    <w:rsid w:val="00051148"/>
    <w:rsid w:val="00051265"/>
    <w:rsid w:val="000513FC"/>
    <w:rsid w:val="000513FE"/>
    <w:rsid w:val="00051414"/>
    <w:rsid w:val="00051461"/>
    <w:rsid w:val="00051467"/>
    <w:rsid w:val="00051570"/>
    <w:rsid w:val="00051689"/>
    <w:rsid w:val="000516F3"/>
    <w:rsid w:val="0005172F"/>
    <w:rsid w:val="00051863"/>
    <w:rsid w:val="0005187A"/>
    <w:rsid w:val="00051907"/>
    <w:rsid w:val="00051920"/>
    <w:rsid w:val="00051928"/>
    <w:rsid w:val="00051970"/>
    <w:rsid w:val="000519A4"/>
    <w:rsid w:val="00051A03"/>
    <w:rsid w:val="00051A6D"/>
    <w:rsid w:val="00051A9F"/>
    <w:rsid w:val="00051ABA"/>
    <w:rsid w:val="00051BF0"/>
    <w:rsid w:val="00051CBA"/>
    <w:rsid w:val="00051D60"/>
    <w:rsid w:val="00051D75"/>
    <w:rsid w:val="00051EDC"/>
    <w:rsid w:val="00051F37"/>
    <w:rsid w:val="00051F45"/>
    <w:rsid w:val="00051F6B"/>
    <w:rsid w:val="0005202D"/>
    <w:rsid w:val="00052242"/>
    <w:rsid w:val="000522B7"/>
    <w:rsid w:val="000522CC"/>
    <w:rsid w:val="00052300"/>
    <w:rsid w:val="00052323"/>
    <w:rsid w:val="00052356"/>
    <w:rsid w:val="00052555"/>
    <w:rsid w:val="0005258A"/>
    <w:rsid w:val="00052595"/>
    <w:rsid w:val="00052772"/>
    <w:rsid w:val="00052795"/>
    <w:rsid w:val="000527D9"/>
    <w:rsid w:val="0005281C"/>
    <w:rsid w:val="0005292F"/>
    <w:rsid w:val="00052A1C"/>
    <w:rsid w:val="00052A5D"/>
    <w:rsid w:val="00052AB2"/>
    <w:rsid w:val="00052ABA"/>
    <w:rsid w:val="00052ACB"/>
    <w:rsid w:val="00052CEC"/>
    <w:rsid w:val="00052D53"/>
    <w:rsid w:val="00052F1E"/>
    <w:rsid w:val="00052F9A"/>
    <w:rsid w:val="000530A4"/>
    <w:rsid w:val="0005318C"/>
    <w:rsid w:val="00053228"/>
    <w:rsid w:val="000532AD"/>
    <w:rsid w:val="000533F7"/>
    <w:rsid w:val="00053595"/>
    <w:rsid w:val="000536C1"/>
    <w:rsid w:val="00053765"/>
    <w:rsid w:val="000538EF"/>
    <w:rsid w:val="00053920"/>
    <w:rsid w:val="00053ABD"/>
    <w:rsid w:val="00053AFA"/>
    <w:rsid w:val="00053C1F"/>
    <w:rsid w:val="00053D7B"/>
    <w:rsid w:val="00053D88"/>
    <w:rsid w:val="00053D9A"/>
    <w:rsid w:val="00053E02"/>
    <w:rsid w:val="00053FD1"/>
    <w:rsid w:val="00054078"/>
    <w:rsid w:val="0005407F"/>
    <w:rsid w:val="0005417D"/>
    <w:rsid w:val="000544A5"/>
    <w:rsid w:val="00054564"/>
    <w:rsid w:val="00054648"/>
    <w:rsid w:val="00054653"/>
    <w:rsid w:val="00054715"/>
    <w:rsid w:val="0005493E"/>
    <w:rsid w:val="00054BCA"/>
    <w:rsid w:val="00054BDD"/>
    <w:rsid w:val="00054CE1"/>
    <w:rsid w:val="00054D03"/>
    <w:rsid w:val="00054DE0"/>
    <w:rsid w:val="00055064"/>
    <w:rsid w:val="00055145"/>
    <w:rsid w:val="00055175"/>
    <w:rsid w:val="000551C8"/>
    <w:rsid w:val="000552B0"/>
    <w:rsid w:val="000552B9"/>
    <w:rsid w:val="000553E7"/>
    <w:rsid w:val="000554A8"/>
    <w:rsid w:val="0005550A"/>
    <w:rsid w:val="000558CD"/>
    <w:rsid w:val="00055A85"/>
    <w:rsid w:val="00055AC4"/>
    <w:rsid w:val="00055AC7"/>
    <w:rsid w:val="00055AE5"/>
    <w:rsid w:val="00055B33"/>
    <w:rsid w:val="00055C97"/>
    <w:rsid w:val="00055D0B"/>
    <w:rsid w:val="00055F95"/>
    <w:rsid w:val="000560BB"/>
    <w:rsid w:val="000560FC"/>
    <w:rsid w:val="0005633C"/>
    <w:rsid w:val="0005646C"/>
    <w:rsid w:val="0005647B"/>
    <w:rsid w:val="000564F2"/>
    <w:rsid w:val="0005667E"/>
    <w:rsid w:val="00056762"/>
    <w:rsid w:val="00056880"/>
    <w:rsid w:val="000568C7"/>
    <w:rsid w:val="00056967"/>
    <w:rsid w:val="00056A2F"/>
    <w:rsid w:val="00056AD3"/>
    <w:rsid w:val="00056D23"/>
    <w:rsid w:val="00056D4A"/>
    <w:rsid w:val="00056DBB"/>
    <w:rsid w:val="00056DCE"/>
    <w:rsid w:val="00056E63"/>
    <w:rsid w:val="00056F17"/>
    <w:rsid w:val="00056F20"/>
    <w:rsid w:val="00056FAA"/>
    <w:rsid w:val="00057040"/>
    <w:rsid w:val="000571E8"/>
    <w:rsid w:val="000571F2"/>
    <w:rsid w:val="00057252"/>
    <w:rsid w:val="00057254"/>
    <w:rsid w:val="000572C3"/>
    <w:rsid w:val="00057351"/>
    <w:rsid w:val="00057394"/>
    <w:rsid w:val="000574E8"/>
    <w:rsid w:val="000574F8"/>
    <w:rsid w:val="0005759A"/>
    <w:rsid w:val="000575F8"/>
    <w:rsid w:val="00057633"/>
    <w:rsid w:val="0005773C"/>
    <w:rsid w:val="000577DE"/>
    <w:rsid w:val="00057808"/>
    <w:rsid w:val="00057932"/>
    <w:rsid w:val="0005797E"/>
    <w:rsid w:val="00057AD0"/>
    <w:rsid w:val="00057B3D"/>
    <w:rsid w:val="00057B99"/>
    <w:rsid w:val="00057C73"/>
    <w:rsid w:val="00057E94"/>
    <w:rsid w:val="00057F1D"/>
    <w:rsid w:val="00057F61"/>
    <w:rsid w:val="000601EC"/>
    <w:rsid w:val="000602AB"/>
    <w:rsid w:val="00060334"/>
    <w:rsid w:val="000606C0"/>
    <w:rsid w:val="000607B7"/>
    <w:rsid w:val="00060C50"/>
    <w:rsid w:val="00060C94"/>
    <w:rsid w:val="00060D27"/>
    <w:rsid w:val="00060D67"/>
    <w:rsid w:val="00060E93"/>
    <w:rsid w:val="00060F50"/>
    <w:rsid w:val="00060FCC"/>
    <w:rsid w:val="00061047"/>
    <w:rsid w:val="00061058"/>
    <w:rsid w:val="000610AB"/>
    <w:rsid w:val="0006115D"/>
    <w:rsid w:val="0006124A"/>
    <w:rsid w:val="0006131C"/>
    <w:rsid w:val="0006135F"/>
    <w:rsid w:val="00061400"/>
    <w:rsid w:val="000614A8"/>
    <w:rsid w:val="000614D3"/>
    <w:rsid w:val="00061523"/>
    <w:rsid w:val="000615B4"/>
    <w:rsid w:val="00061677"/>
    <w:rsid w:val="00061684"/>
    <w:rsid w:val="000616C7"/>
    <w:rsid w:val="00061765"/>
    <w:rsid w:val="00061A02"/>
    <w:rsid w:val="00061A42"/>
    <w:rsid w:val="00061B9C"/>
    <w:rsid w:val="00061B9F"/>
    <w:rsid w:val="00061C4F"/>
    <w:rsid w:val="00061C5F"/>
    <w:rsid w:val="00061DA1"/>
    <w:rsid w:val="00061DF0"/>
    <w:rsid w:val="00061E77"/>
    <w:rsid w:val="00061FC5"/>
    <w:rsid w:val="0006219E"/>
    <w:rsid w:val="000621EC"/>
    <w:rsid w:val="00062401"/>
    <w:rsid w:val="00062558"/>
    <w:rsid w:val="00062642"/>
    <w:rsid w:val="0006278D"/>
    <w:rsid w:val="0006279A"/>
    <w:rsid w:val="000627E4"/>
    <w:rsid w:val="00062834"/>
    <w:rsid w:val="0006289A"/>
    <w:rsid w:val="0006289D"/>
    <w:rsid w:val="000628FF"/>
    <w:rsid w:val="00062CEE"/>
    <w:rsid w:val="00062CEF"/>
    <w:rsid w:val="00062D06"/>
    <w:rsid w:val="00062DD1"/>
    <w:rsid w:val="00062E3B"/>
    <w:rsid w:val="00062EDF"/>
    <w:rsid w:val="0006308E"/>
    <w:rsid w:val="000630E9"/>
    <w:rsid w:val="000630EC"/>
    <w:rsid w:val="0006311B"/>
    <w:rsid w:val="00063156"/>
    <w:rsid w:val="00063167"/>
    <w:rsid w:val="000632D0"/>
    <w:rsid w:val="00063458"/>
    <w:rsid w:val="0006351D"/>
    <w:rsid w:val="0006359C"/>
    <w:rsid w:val="00063601"/>
    <w:rsid w:val="0006379B"/>
    <w:rsid w:val="0006397B"/>
    <w:rsid w:val="00063AC6"/>
    <w:rsid w:val="00063B59"/>
    <w:rsid w:val="00063B74"/>
    <w:rsid w:val="00063D05"/>
    <w:rsid w:val="00063D5B"/>
    <w:rsid w:val="00063D6C"/>
    <w:rsid w:val="00063F6E"/>
    <w:rsid w:val="00063F85"/>
    <w:rsid w:val="000640A7"/>
    <w:rsid w:val="000640CD"/>
    <w:rsid w:val="000641A5"/>
    <w:rsid w:val="00064307"/>
    <w:rsid w:val="00064316"/>
    <w:rsid w:val="00064420"/>
    <w:rsid w:val="00064425"/>
    <w:rsid w:val="000644E8"/>
    <w:rsid w:val="0006474E"/>
    <w:rsid w:val="00064907"/>
    <w:rsid w:val="00064921"/>
    <w:rsid w:val="0006498F"/>
    <w:rsid w:val="00064A26"/>
    <w:rsid w:val="00064B0A"/>
    <w:rsid w:val="00064B78"/>
    <w:rsid w:val="00064B91"/>
    <w:rsid w:val="00064D91"/>
    <w:rsid w:val="00064E4B"/>
    <w:rsid w:val="00064E68"/>
    <w:rsid w:val="00064EAA"/>
    <w:rsid w:val="00064EFD"/>
    <w:rsid w:val="00064F28"/>
    <w:rsid w:val="0006504D"/>
    <w:rsid w:val="00065068"/>
    <w:rsid w:val="000650FD"/>
    <w:rsid w:val="00065176"/>
    <w:rsid w:val="000651B2"/>
    <w:rsid w:val="0006528B"/>
    <w:rsid w:val="000652DC"/>
    <w:rsid w:val="00065397"/>
    <w:rsid w:val="0006545F"/>
    <w:rsid w:val="00065516"/>
    <w:rsid w:val="00065694"/>
    <w:rsid w:val="000656E5"/>
    <w:rsid w:val="00065801"/>
    <w:rsid w:val="0006591F"/>
    <w:rsid w:val="00065928"/>
    <w:rsid w:val="000659B5"/>
    <w:rsid w:val="00065A77"/>
    <w:rsid w:val="00065A8C"/>
    <w:rsid w:val="00065B19"/>
    <w:rsid w:val="00065B61"/>
    <w:rsid w:val="00065DF0"/>
    <w:rsid w:val="00065E7C"/>
    <w:rsid w:val="00065F79"/>
    <w:rsid w:val="00065F88"/>
    <w:rsid w:val="000660C8"/>
    <w:rsid w:val="00066103"/>
    <w:rsid w:val="00066170"/>
    <w:rsid w:val="000662B3"/>
    <w:rsid w:val="00066387"/>
    <w:rsid w:val="0006650A"/>
    <w:rsid w:val="000666A3"/>
    <w:rsid w:val="0006680E"/>
    <w:rsid w:val="00066871"/>
    <w:rsid w:val="0006687C"/>
    <w:rsid w:val="0006697B"/>
    <w:rsid w:val="000669C2"/>
    <w:rsid w:val="000669D0"/>
    <w:rsid w:val="00066A12"/>
    <w:rsid w:val="00066B7A"/>
    <w:rsid w:val="00066B7E"/>
    <w:rsid w:val="00066C08"/>
    <w:rsid w:val="00066EB7"/>
    <w:rsid w:val="00066EEF"/>
    <w:rsid w:val="00067092"/>
    <w:rsid w:val="000670D5"/>
    <w:rsid w:val="0006713B"/>
    <w:rsid w:val="0006730F"/>
    <w:rsid w:val="00067350"/>
    <w:rsid w:val="00067469"/>
    <w:rsid w:val="000674F0"/>
    <w:rsid w:val="000675D1"/>
    <w:rsid w:val="0006764E"/>
    <w:rsid w:val="000677D5"/>
    <w:rsid w:val="00067810"/>
    <w:rsid w:val="00067889"/>
    <w:rsid w:val="00067B00"/>
    <w:rsid w:val="00067BAD"/>
    <w:rsid w:val="00067CCA"/>
    <w:rsid w:val="00067CF2"/>
    <w:rsid w:val="00067D85"/>
    <w:rsid w:val="00070031"/>
    <w:rsid w:val="0007006F"/>
    <w:rsid w:val="000700B9"/>
    <w:rsid w:val="00070117"/>
    <w:rsid w:val="000702B2"/>
    <w:rsid w:val="000703C0"/>
    <w:rsid w:val="000703CF"/>
    <w:rsid w:val="00070420"/>
    <w:rsid w:val="0007044E"/>
    <w:rsid w:val="000705DB"/>
    <w:rsid w:val="000706B5"/>
    <w:rsid w:val="000706CD"/>
    <w:rsid w:val="000707B7"/>
    <w:rsid w:val="00070A56"/>
    <w:rsid w:val="00070B10"/>
    <w:rsid w:val="00070B53"/>
    <w:rsid w:val="00070CFC"/>
    <w:rsid w:val="00070EE7"/>
    <w:rsid w:val="00070F1F"/>
    <w:rsid w:val="00070F44"/>
    <w:rsid w:val="00070FE6"/>
    <w:rsid w:val="0007102C"/>
    <w:rsid w:val="00071032"/>
    <w:rsid w:val="000710A6"/>
    <w:rsid w:val="000710BC"/>
    <w:rsid w:val="000711E3"/>
    <w:rsid w:val="00071358"/>
    <w:rsid w:val="00071360"/>
    <w:rsid w:val="000713A5"/>
    <w:rsid w:val="0007155D"/>
    <w:rsid w:val="0007184E"/>
    <w:rsid w:val="00071881"/>
    <w:rsid w:val="0007192F"/>
    <w:rsid w:val="00071978"/>
    <w:rsid w:val="00071B32"/>
    <w:rsid w:val="00071B6B"/>
    <w:rsid w:val="00071BB3"/>
    <w:rsid w:val="00071CE2"/>
    <w:rsid w:val="00071E0D"/>
    <w:rsid w:val="00071E95"/>
    <w:rsid w:val="00071ED3"/>
    <w:rsid w:val="00071EED"/>
    <w:rsid w:val="00071EF1"/>
    <w:rsid w:val="00071F12"/>
    <w:rsid w:val="00071F55"/>
    <w:rsid w:val="00072178"/>
    <w:rsid w:val="00072352"/>
    <w:rsid w:val="0007255D"/>
    <w:rsid w:val="00072789"/>
    <w:rsid w:val="00072791"/>
    <w:rsid w:val="0007292D"/>
    <w:rsid w:val="00072C01"/>
    <w:rsid w:val="00072CFE"/>
    <w:rsid w:val="00072D04"/>
    <w:rsid w:val="00072D1C"/>
    <w:rsid w:val="00072F4F"/>
    <w:rsid w:val="0007305E"/>
    <w:rsid w:val="000730AE"/>
    <w:rsid w:val="0007311B"/>
    <w:rsid w:val="0007327F"/>
    <w:rsid w:val="00073297"/>
    <w:rsid w:val="000732E6"/>
    <w:rsid w:val="0007335B"/>
    <w:rsid w:val="00073479"/>
    <w:rsid w:val="00073521"/>
    <w:rsid w:val="00073776"/>
    <w:rsid w:val="00073799"/>
    <w:rsid w:val="000737C2"/>
    <w:rsid w:val="000738B4"/>
    <w:rsid w:val="00073911"/>
    <w:rsid w:val="0007399A"/>
    <w:rsid w:val="00073A05"/>
    <w:rsid w:val="00073A54"/>
    <w:rsid w:val="00073AF3"/>
    <w:rsid w:val="00073B38"/>
    <w:rsid w:val="00073E47"/>
    <w:rsid w:val="00073F4D"/>
    <w:rsid w:val="00074014"/>
    <w:rsid w:val="00074024"/>
    <w:rsid w:val="00074048"/>
    <w:rsid w:val="00074098"/>
    <w:rsid w:val="000740FB"/>
    <w:rsid w:val="000741C3"/>
    <w:rsid w:val="00074211"/>
    <w:rsid w:val="000742A3"/>
    <w:rsid w:val="00074535"/>
    <w:rsid w:val="00074626"/>
    <w:rsid w:val="000746B2"/>
    <w:rsid w:val="000746D3"/>
    <w:rsid w:val="000746F2"/>
    <w:rsid w:val="00074AB1"/>
    <w:rsid w:val="00074B3E"/>
    <w:rsid w:val="00074B4F"/>
    <w:rsid w:val="00074BD0"/>
    <w:rsid w:val="00074C7A"/>
    <w:rsid w:val="00074D12"/>
    <w:rsid w:val="00074D92"/>
    <w:rsid w:val="00074DDF"/>
    <w:rsid w:val="00074EFD"/>
    <w:rsid w:val="00074F48"/>
    <w:rsid w:val="000750B0"/>
    <w:rsid w:val="000750B9"/>
    <w:rsid w:val="000750BC"/>
    <w:rsid w:val="000750F3"/>
    <w:rsid w:val="0007517B"/>
    <w:rsid w:val="00075326"/>
    <w:rsid w:val="0007537C"/>
    <w:rsid w:val="00075510"/>
    <w:rsid w:val="000755E1"/>
    <w:rsid w:val="000756D6"/>
    <w:rsid w:val="00075787"/>
    <w:rsid w:val="00075798"/>
    <w:rsid w:val="0007579B"/>
    <w:rsid w:val="00075A97"/>
    <w:rsid w:val="00075C74"/>
    <w:rsid w:val="00075CFC"/>
    <w:rsid w:val="00075DCC"/>
    <w:rsid w:val="00075DF1"/>
    <w:rsid w:val="00075E2F"/>
    <w:rsid w:val="00075E3A"/>
    <w:rsid w:val="00075E3B"/>
    <w:rsid w:val="00075EFB"/>
    <w:rsid w:val="0007629E"/>
    <w:rsid w:val="00076460"/>
    <w:rsid w:val="00076467"/>
    <w:rsid w:val="00076493"/>
    <w:rsid w:val="0007649E"/>
    <w:rsid w:val="000764AF"/>
    <w:rsid w:val="0007652F"/>
    <w:rsid w:val="0007661A"/>
    <w:rsid w:val="0007663C"/>
    <w:rsid w:val="00076751"/>
    <w:rsid w:val="0007675B"/>
    <w:rsid w:val="000768E0"/>
    <w:rsid w:val="00076AAF"/>
    <w:rsid w:val="00076C0D"/>
    <w:rsid w:val="00076DA0"/>
    <w:rsid w:val="00076ED7"/>
    <w:rsid w:val="00076FA3"/>
    <w:rsid w:val="000771A1"/>
    <w:rsid w:val="000771D1"/>
    <w:rsid w:val="00077368"/>
    <w:rsid w:val="0007736A"/>
    <w:rsid w:val="000775DE"/>
    <w:rsid w:val="0007768F"/>
    <w:rsid w:val="000776FD"/>
    <w:rsid w:val="000778EA"/>
    <w:rsid w:val="00077AB0"/>
    <w:rsid w:val="00077AF4"/>
    <w:rsid w:val="00077B80"/>
    <w:rsid w:val="00077C43"/>
    <w:rsid w:val="00077C48"/>
    <w:rsid w:val="00077C68"/>
    <w:rsid w:val="00077D8E"/>
    <w:rsid w:val="00077E83"/>
    <w:rsid w:val="00077FA3"/>
    <w:rsid w:val="00080008"/>
    <w:rsid w:val="000801D2"/>
    <w:rsid w:val="000802FD"/>
    <w:rsid w:val="0008040A"/>
    <w:rsid w:val="00080427"/>
    <w:rsid w:val="0008058B"/>
    <w:rsid w:val="000805D4"/>
    <w:rsid w:val="000806DD"/>
    <w:rsid w:val="00080911"/>
    <w:rsid w:val="00080C5E"/>
    <w:rsid w:val="00080E3B"/>
    <w:rsid w:val="00080F7C"/>
    <w:rsid w:val="00080FA9"/>
    <w:rsid w:val="00081095"/>
    <w:rsid w:val="00081117"/>
    <w:rsid w:val="0008154C"/>
    <w:rsid w:val="000816DD"/>
    <w:rsid w:val="00081712"/>
    <w:rsid w:val="000818CC"/>
    <w:rsid w:val="00081A24"/>
    <w:rsid w:val="00081A61"/>
    <w:rsid w:val="00081C1D"/>
    <w:rsid w:val="00081CC7"/>
    <w:rsid w:val="00081DD8"/>
    <w:rsid w:val="00081E6E"/>
    <w:rsid w:val="00081EDC"/>
    <w:rsid w:val="00081FFC"/>
    <w:rsid w:val="0008229B"/>
    <w:rsid w:val="0008237D"/>
    <w:rsid w:val="000823A5"/>
    <w:rsid w:val="0008241C"/>
    <w:rsid w:val="00082459"/>
    <w:rsid w:val="000828A7"/>
    <w:rsid w:val="000829FA"/>
    <w:rsid w:val="00082B40"/>
    <w:rsid w:val="00082C86"/>
    <w:rsid w:val="00082F1C"/>
    <w:rsid w:val="00082FA8"/>
    <w:rsid w:val="00082FC2"/>
    <w:rsid w:val="00083064"/>
    <w:rsid w:val="00083431"/>
    <w:rsid w:val="0008345D"/>
    <w:rsid w:val="00083495"/>
    <w:rsid w:val="000834AE"/>
    <w:rsid w:val="0008358C"/>
    <w:rsid w:val="000837A0"/>
    <w:rsid w:val="00083867"/>
    <w:rsid w:val="0008386E"/>
    <w:rsid w:val="000838DD"/>
    <w:rsid w:val="00083930"/>
    <w:rsid w:val="000839B0"/>
    <w:rsid w:val="00083AEA"/>
    <w:rsid w:val="00083C2F"/>
    <w:rsid w:val="00083D5D"/>
    <w:rsid w:val="00083DFD"/>
    <w:rsid w:val="00083FA4"/>
    <w:rsid w:val="00083FCF"/>
    <w:rsid w:val="00084108"/>
    <w:rsid w:val="0008426B"/>
    <w:rsid w:val="000842BE"/>
    <w:rsid w:val="00084364"/>
    <w:rsid w:val="000844A0"/>
    <w:rsid w:val="000844F2"/>
    <w:rsid w:val="00084512"/>
    <w:rsid w:val="0008458C"/>
    <w:rsid w:val="000845B2"/>
    <w:rsid w:val="0008476C"/>
    <w:rsid w:val="000847C7"/>
    <w:rsid w:val="00084832"/>
    <w:rsid w:val="00084910"/>
    <w:rsid w:val="00084BE2"/>
    <w:rsid w:val="00084CE1"/>
    <w:rsid w:val="00084D6C"/>
    <w:rsid w:val="000850D3"/>
    <w:rsid w:val="000852B4"/>
    <w:rsid w:val="0008537A"/>
    <w:rsid w:val="00085439"/>
    <w:rsid w:val="00085501"/>
    <w:rsid w:val="0008554E"/>
    <w:rsid w:val="000855DE"/>
    <w:rsid w:val="000855EB"/>
    <w:rsid w:val="0008560D"/>
    <w:rsid w:val="00085805"/>
    <w:rsid w:val="0008587F"/>
    <w:rsid w:val="000858B4"/>
    <w:rsid w:val="000858C5"/>
    <w:rsid w:val="000858D5"/>
    <w:rsid w:val="000858F2"/>
    <w:rsid w:val="000859C8"/>
    <w:rsid w:val="00085A61"/>
    <w:rsid w:val="00085A98"/>
    <w:rsid w:val="00085B75"/>
    <w:rsid w:val="00085BBC"/>
    <w:rsid w:val="00085E8B"/>
    <w:rsid w:val="00085F42"/>
    <w:rsid w:val="0008609A"/>
    <w:rsid w:val="00086126"/>
    <w:rsid w:val="00086384"/>
    <w:rsid w:val="00086402"/>
    <w:rsid w:val="000864C6"/>
    <w:rsid w:val="000864F9"/>
    <w:rsid w:val="0008657A"/>
    <w:rsid w:val="000865F2"/>
    <w:rsid w:val="0008661A"/>
    <w:rsid w:val="0008662A"/>
    <w:rsid w:val="000866DE"/>
    <w:rsid w:val="00086873"/>
    <w:rsid w:val="000868E1"/>
    <w:rsid w:val="00086937"/>
    <w:rsid w:val="0008697C"/>
    <w:rsid w:val="00086A4C"/>
    <w:rsid w:val="00086A88"/>
    <w:rsid w:val="00086B97"/>
    <w:rsid w:val="00086BDD"/>
    <w:rsid w:val="00086E71"/>
    <w:rsid w:val="00086EDF"/>
    <w:rsid w:val="00087121"/>
    <w:rsid w:val="00087228"/>
    <w:rsid w:val="00087353"/>
    <w:rsid w:val="0008738A"/>
    <w:rsid w:val="000873BD"/>
    <w:rsid w:val="000873D4"/>
    <w:rsid w:val="000874A0"/>
    <w:rsid w:val="000874AB"/>
    <w:rsid w:val="000874F1"/>
    <w:rsid w:val="000875C2"/>
    <w:rsid w:val="00087687"/>
    <w:rsid w:val="000876AB"/>
    <w:rsid w:val="00087921"/>
    <w:rsid w:val="00087923"/>
    <w:rsid w:val="000879F2"/>
    <w:rsid w:val="00087A52"/>
    <w:rsid w:val="00087BBA"/>
    <w:rsid w:val="00087C21"/>
    <w:rsid w:val="00087DCB"/>
    <w:rsid w:val="00087FAF"/>
    <w:rsid w:val="00087FCF"/>
    <w:rsid w:val="00090357"/>
    <w:rsid w:val="00090379"/>
    <w:rsid w:val="0009045D"/>
    <w:rsid w:val="00090561"/>
    <w:rsid w:val="000906B4"/>
    <w:rsid w:val="00090846"/>
    <w:rsid w:val="00090934"/>
    <w:rsid w:val="0009098B"/>
    <w:rsid w:val="000909D7"/>
    <w:rsid w:val="00090AA6"/>
    <w:rsid w:val="00090B47"/>
    <w:rsid w:val="00090B77"/>
    <w:rsid w:val="00090C6B"/>
    <w:rsid w:val="00090C73"/>
    <w:rsid w:val="00090DC6"/>
    <w:rsid w:val="00090E35"/>
    <w:rsid w:val="00090EC6"/>
    <w:rsid w:val="000910A6"/>
    <w:rsid w:val="00091127"/>
    <w:rsid w:val="000913F6"/>
    <w:rsid w:val="00091478"/>
    <w:rsid w:val="0009151A"/>
    <w:rsid w:val="00091545"/>
    <w:rsid w:val="00091587"/>
    <w:rsid w:val="000915C7"/>
    <w:rsid w:val="0009160B"/>
    <w:rsid w:val="00091681"/>
    <w:rsid w:val="000916EE"/>
    <w:rsid w:val="00091711"/>
    <w:rsid w:val="00091912"/>
    <w:rsid w:val="0009195D"/>
    <w:rsid w:val="00091A84"/>
    <w:rsid w:val="00091AB5"/>
    <w:rsid w:val="00091B61"/>
    <w:rsid w:val="00091BE0"/>
    <w:rsid w:val="00091D3E"/>
    <w:rsid w:val="00091DBE"/>
    <w:rsid w:val="00091EFD"/>
    <w:rsid w:val="00091F25"/>
    <w:rsid w:val="00092126"/>
    <w:rsid w:val="000922CC"/>
    <w:rsid w:val="000925EC"/>
    <w:rsid w:val="0009263D"/>
    <w:rsid w:val="00092641"/>
    <w:rsid w:val="00092725"/>
    <w:rsid w:val="0009274D"/>
    <w:rsid w:val="0009279B"/>
    <w:rsid w:val="0009284E"/>
    <w:rsid w:val="000928DA"/>
    <w:rsid w:val="000928F3"/>
    <w:rsid w:val="000929EE"/>
    <w:rsid w:val="00092A97"/>
    <w:rsid w:val="00092B67"/>
    <w:rsid w:val="00092F4B"/>
    <w:rsid w:val="000930B3"/>
    <w:rsid w:val="0009319F"/>
    <w:rsid w:val="000931BA"/>
    <w:rsid w:val="00093241"/>
    <w:rsid w:val="00093255"/>
    <w:rsid w:val="00093344"/>
    <w:rsid w:val="000936AB"/>
    <w:rsid w:val="00093902"/>
    <w:rsid w:val="00093A82"/>
    <w:rsid w:val="00093BD5"/>
    <w:rsid w:val="00093C6F"/>
    <w:rsid w:val="00093CA2"/>
    <w:rsid w:val="00093D21"/>
    <w:rsid w:val="00093E6B"/>
    <w:rsid w:val="00094103"/>
    <w:rsid w:val="00094117"/>
    <w:rsid w:val="00094316"/>
    <w:rsid w:val="00094561"/>
    <w:rsid w:val="000945A5"/>
    <w:rsid w:val="00094704"/>
    <w:rsid w:val="0009472A"/>
    <w:rsid w:val="00094850"/>
    <w:rsid w:val="000949D4"/>
    <w:rsid w:val="00094B52"/>
    <w:rsid w:val="00094B87"/>
    <w:rsid w:val="00094DD0"/>
    <w:rsid w:val="00094E19"/>
    <w:rsid w:val="00094E75"/>
    <w:rsid w:val="00094EA0"/>
    <w:rsid w:val="00094FBA"/>
    <w:rsid w:val="00095069"/>
    <w:rsid w:val="00095081"/>
    <w:rsid w:val="000950FD"/>
    <w:rsid w:val="000951DF"/>
    <w:rsid w:val="00095205"/>
    <w:rsid w:val="00095208"/>
    <w:rsid w:val="0009520F"/>
    <w:rsid w:val="00095305"/>
    <w:rsid w:val="000953A4"/>
    <w:rsid w:val="000953EE"/>
    <w:rsid w:val="0009555B"/>
    <w:rsid w:val="000957DF"/>
    <w:rsid w:val="0009582A"/>
    <w:rsid w:val="00095A4D"/>
    <w:rsid w:val="00095A5C"/>
    <w:rsid w:val="00095B40"/>
    <w:rsid w:val="00095B6C"/>
    <w:rsid w:val="00095C23"/>
    <w:rsid w:val="00095DE2"/>
    <w:rsid w:val="00095E53"/>
    <w:rsid w:val="00095EE8"/>
    <w:rsid w:val="00095F1B"/>
    <w:rsid w:val="00095F59"/>
    <w:rsid w:val="00095F7D"/>
    <w:rsid w:val="00096059"/>
    <w:rsid w:val="0009609E"/>
    <w:rsid w:val="0009618E"/>
    <w:rsid w:val="0009626F"/>
    <w:rsid w:val="000962EA"/>
    <w:rsid w:val="000963AF"/>
    <w:rsid w:val="000964CF"/>
    <w:rsid w:val="00096571"/>
    <w:rsid w:val="000966A7"/>
    <w:rsid w:val="00096710"/>
    <w:rsid w:val="0009674E"/>
    <w:rsid w:val="000968AD"/>
    <w:rsid w:val="000969C6"/>
    <w:rsid w:val="00096A0E"/>
    <w:rsid w:val="00096A37"/>
    <w:rsid w:val="00096A8B"/>
    <w:rsid w:val="00096D09"/>
    <w:rsid w:val="00096D83"/>
    <w:rsid w:val="0009702E"/>
    <w:rsid w:val="0009704D"/>
    <w:rsid w:val="0009712A"/>
    <w:rsid w:val="000973CD"/>
    <w:rsid w:val="00097449"/>
    <w:rsid w:val="0009747C"/>
    <w:rsid w:val="00097967"/>
    <w:rsid w:val="00097A81"/>
    <w:rsid w:val="00097C5C"/>
    <w:rsid w:val="00097D19"/>
    <w:rsid w:val="00097D8E"/>
    <w:rsid w:val="00097DBC"/>
    <w:rsid w:val="00097E70"/>
    <w:rsid w:val="00097EA1"/>
    <w:rsid w:val="00097EB9"/>
    <w:rsid w:val="00097EC7"/>
    <w:rsid w:val="00097EDC"/>
    <w:rsid w:val="00097F10"/>
    <w:rsid w:val="000A0104"/>
    <w:rsid w:val="000A015C"/>
    <w:rsid w:val="000A03C1"/>
    <w:rsid w:val="000A0465"/>
    <w:rsid w:val="000A0682"/>
    <w:rsid w:val="000A079A"/>
    <w:rsid w:val="000A07F2"/>
    <w:rsid w:val="000A0940"/>
    <w:rsid w:val="000A0A0C"/>
    <w:rsid w:val="000A0B25"/>
    <w:rsid w:val="000A0BAD"/>
    <w:rsid w:val="000A0C85"/>
    <w:rsid w:val="000A0C92"/>
    <w:rsid w:val="000A0DD1"/>
    <w:rsid w:val="000A0EAA"/>
    <w:rsid w:val="000A0EC5"/>
    <w:rsid w:val="000A0FA5"/>
    <w:rsid w:val="000A1306"/>
    <w:rsid w:val="000A13C8"/>
    <w:rsid w:val="000A1427"/>
    <w:rsid w:val="000A15B5"/>
    <w:rsid w:val="000A16CB"/>
    <w:rsid w:val="000A187B"/>
    <w:rsid w:val="000A18DC"/>
    <w:rsid w:val="000A18E8"/>
    <w:rsid w:val="000A19F9"/>
    <w:rsid w:val="000A1A02"/>
    <w:rsid w:val="000A1BDA"/>
    <w:rsid w:val="000A1C92"/>
    <w:rsid w:val="000A1CDF"/>
    <w:rsid w:val="000A1ED0"/>
    <w:rsid w:val="000A1F89"/>
    <w:rsid w:val="000A1FE4"/>
    <w:rsid w:val="000A20D5"/>
    <w:rsid w:val="000A21F7"/>
    <w:rsid w:val="000A223A"/>
    <w:rsid w:val="000A22BA"/>
    <w:rsid w:val="000A22EE"/>
    <w:rsid w:val="000A2307"/>
    <w:rsid w:val="000A2332"/>
    <w:rsid w:val="000A23D1"/>
    <w:rsid w:val="000A250C"/>
    <w:rsid w:val="000A254D"/>
    <w:rsid w:val="000A2935"/>
    <w:rsid w:val="000A298F"/>
    <w:rsid w:val="000A29A3"/>
    <w:rsid w:val="000A2A4E"/>
    <w:rsid w:val="000A2B2C"/>
    <w:rsid w:val="000A2BFF"/>
    <w:rsid w:val="000A2C18"/>
    <w:rsid w:val="000A2CB2"/>
    <w:rsid w:val="000A2CD2"/>
    <w:rsid w:val="000A2D1E"/>
    <w:rsid w:val="000A2E80"/>
    <w:rsid w:val="000A2F55"/>
    <w:rsid w:val="000A30C8"/>
    <w:rsid w:val="000A3224"/>
    <w:rsid w:val="000A3237"/>
    <w:rsid w:val="000A32CD"/>
    <w:rsid w:val="000A332B"/>
    <w:rsid w:val="000A3391"/>
    <w:rsid w:val="000A348C"/>
    <w:rsid w:val="000A3603"/>
    <w:rsid w:val="000A3703"/>
    <w:rsid w:val="000A3724"/>
    <w:rsid w:val="000A37F2"/>
    <w:rsid w:val="000A3914"/>
    <w:rsid w:val="000A3920"/>
    <w:rsid w:val="000A39FA"/>
    <w:rsid w:val="000A3A98"/>
    <w:rsid w:val="000A3A9A"/>
    <w:rsid w:val="000A3CDA"/>
    <w:rsid w:val="000A417C"/>
    <w:rsid w:val="000A41F8"/>
    <w:rsid w:val="000A4268"/>
    <w:rsid w:val="000A42A2"/>
    <w:rsid w:val="000A439C"/>
    <w:rsid w:val="000A43B5"/>
    <w:rsid w:val="000A445B"/>
    <w:rsid w:val="000A462A"/>
    <w:rsid w:val="000A4826"/>
    <w:rsid w:val="000A486C"/>
    <w:rsid w:val="000A4946"/>
    <w:rsid w:val="000A497F"/>
    <w:rsid w:val="000A4C84"/>
    <w:rsid w:val="000A4CAE"/>
    <w:rsid w:val="000A4DC1"/>
    <w:rsid w:val="000A4ED5"/>
    <w:rsid w:val="000A4F64"/>
    <w:rsid w:val="000A5041"/>
    <w:rsid w:val="000A508B"/>
    <w:rsid w:val="000A52C9"/>
    <w:rsid w:val="000A5402"/>
    <w:rsid w:val="000A5524"/>
    <w:rsid w:val="000A5628"/>
    <w:rsid w:val="000A592E"/>
    <w:rsid w:val="000A5A2D"/>
    <w:rsid w:val="000A5BC5"/>
    <w:rsid w:val="000A5C05"/>
    <w:rsid w:val="000A5C3D"/>
    <w:rsid w:val="000A5DF1"/>
    <w:rsid w:val="000A5E38"/>
    <w:rsid w:val="000A5ECB"/>
    <w:rsid w:val="000A5FA8"/>
    <w:rsid w:val="000A5FE7"/>
    <w:rsid w:val="000A6248"/>
    <w:rsid w:val="000A63A9"/>
    <w:rsid w:val="000A6432"/>
    <w:rsid w:val="000A64BC"/>
    <w:rsid w:val="000A656C"/>
    <w:rsid w:val="000A6571"/>
    <w:rsid w:val="000A65E6"/>
    <w:rsid w:val="000A6640"/>
    <w:rsid w:val="000A6667"/>
    <w:rsid w:val="000A66B0"/>
    <w:rsid w:val="000A68D0"/>
    <w:rsid w:val="000A68F2"/>
    <w:rsid w:val="000A6929"/>
    <w:rsid w:val="000A6A13"/>
    <w:rsid w:val="000A6A70"/>
    <w:rsid w:val="000A6B0F"/>
    <w:rsid w:val="000A6B21"/>
    <w:rsid w:val="000A6CB3"/>
    <w:rsid w:val="000A6CBD"/>
    <w:rsid w:val="000A6D12"/>
    <w:rsid w:val="000A6D3C"/>
    <w:rsid w:val="000A6FA6"/>
    <w:rsid w:val="000A7027"/>
    <w:rsid w:val="000A70B4"/>
    <w:rsid w:val="000A7279"/>
    <w:rsid w:val="000A734D"/>
    <w:rsid w:val="000A73DC"/>
    <w:rsid w:val="000A76E9"/>
    <w:rsid w:val="000A77B8"/>
    <w:rsid w:val="000A7848"/>
    <w:rsid w:val="000A795C"/>
    <w:rsid w:val="000A7971"/>
    <w:rsid w:val="000A7988"/>
    <w:rsid w:val="000A799D"/>
    <w:rsid w:val="000A7A5F"/>
    <w:rsid w:val="000A7A76"/>
    <w:rsid w:val="000A7B7B"/>
    <w:rsid w:val="000A7C27"/>
    <w:rsid w:val="000A7D07"/>
    <w:rsid w:val="000A7D5E"/>
    <w:rsid w:val="000A7D7A"/>
    <w:rsid w:val="000A7DBA"/>
    <w:rsid w:val="000B01AE"/>
    <w:rsid w:val="000B01B5"/>
    <w:rsid w:val="000B0535"/>
    <w:rsid w:val="000B0A16"/>
    <w:rsid w:val="000B0A8F"/>
    <w:rsid w:val="000B0AAB"/>
    <w:rsid w:val="000B0BCA"/>
    <w:rsid w:val="000B0C06"/>
    <w:rsid w:val="000B0CDC"/>
    <w:rsid w:val="000B0E31"/>
    <w:rsid w:val="000B0E8D"/>
    <w:rsid w:val="000B0F2B"/>
    <w:rsid w:val="000B0F8B"/>
    <w:rsid w:val="000B0FC4"/>
    <w:rsid w:val="000B12D8"/>
    <w:rsid w:val="000B139D"/>
    <w:rsid w:val="000B13AC"/>
    <w:rsid w:val="000B1628"/>
    <w:rsid w:val="000B170E"/>
    <w:rsid w:val="000B1860"/>
    <w:rsid w:val="000B18F6"/>
    <w:rsid w:val="000B1992"/>
    <w:rsid w:val="000B19CB"/>
    <w:rsid w:val="000B1B94"/>
    <w:rsid w:val="000B1BA9"/>
    <w:rsid w:val="000B1CA0"/>
    <w:rsid w:val="000B1DF2"/>
    <w:rsid w:val="000B1E71"/>
    <w:rsid w:val="000B1E75"/>
    <w:rsid w:val="000B1F68"/>
    <w:rsid w:val="000B20FE"/>
    <w:rsid w:val="000B2157"/>
    <w:rsid w:val="000B222B"/>
    <w:rsid w:val="000B223C"/>
    <w:rsid w:val="000B226F"/>
    <w:rsid w:val="000B22FD"/>
    <w:rsid w:val="000B2687"/>
    <w:rsid w:val="000B2AAE"/>
    <w:rsid w:val="000B2C63"/>
    <w:rsid w:val="000B2E0B"/>
    <w:rsid w:val="000B2F35"/>
    <w:rsid w:val="000B2F39"/>
    <w:rsid w:val="000B30A8"/>
    <w:rsid w:val="000B31C7"/>
    <w:rsid w:val="000B320A"/>
    <w:rsid w:val="000B3360"/>
    <w:rsid w:val="000B342C"/>
    <w:rsid w:val="000B34D9"/>
    <w:rsid w:val="000B3505"/>
    <w:rsid w:val="000B3563"/>
    <w:rsid w:val="000B36B6"/>
    <w:rsid w:val="000B36E4"/>
    <w:rsid w:val="000B386E"/>
    <w:rsid w:val="000B3956"/>
    <w:rsid w:val="000B395E"/>
    <w:rsid w:val="000B3A5B"/>
    <w:rsid w:val="000B3B12"/>
    <w:rsid w:val="000B3C57"/>
    <w:rsid w:val="000B3D85"/>
    <w:rsid w:val="000B3ED9"/>
    <w:rsid w:val="000B40BA"/>
    <w:rsid w:val="000B40CF"/>
    <w:rsid w:val="000B4118"/>
    <w:rsid w:val="000B412C"/>
    <w:rsid w:val="000B422E"/>
    <w:rsid w:val="000B42AE"/>
    <w:rsid w:val="000B42FD"/>
    <w:rsid w:val="000B4445"/>
    <w:rsid w:val="000B45FF"/>
    <w:rsid w:val="000B461A"/>
    <w:rsid w:val="000B4783"/>
    <w:rsid w:val="000B47E8"/>
    <w:rsid w:val="000B481E"/>
    <w:rsid w:val="000B4A5E"/>
    <w:rsid w:val="000B4C0B"/>
    <w:rsid w:val="000B4E0C"/>
    <w:rsid w:val="000B4ED4"/>
    <w:rsid w:val="000B5034"/>
    <w:rsid w:val="000B506A"/>
    <w:rsid w:val="000B508C"/>
    <w:rsid w:val="000B515E"/>
    <w:rsid w:val="000B5182"/>
    <w:rsid w:val="000B5192"/>
    <w:rsid w:val="000B525E"/>
    <w:rsid w:val="000B538A"/>
    <w:rsid w:val="000B53DB"/>
    <w:rsid w:val="000B541A"/>
    <w:rsid w:val="000B5482"/>
    <w:rsid w:val="000B57BE"/>
    <w:rsid w:val="000B5849"/>
    <w:rsid w:val="000B5986"/>
    <w:rsid w:val="000B5A3F"/>
    <w:rsid w:val="000B5BD0"/>
    <w:rsid w:val="000B5D93"/>
    <w:rsid w:val="000B5D99"/>
    <w:rsid w:val="000B5EBC"/>
    <w:rsid w:val="000B5F62"/>
    <w:rsid w:val="000B5F63"/>
    <w:rsid w:val="000B60D4"/>
    <w:rsid w:val="000B6104"/>
    <w:rsid w:val="000B6256"/>
    <w:rsid w:val="000B6292"/>
    <w:rsid w:val="000B62B2"/>
    <w:rsid w:val="000B6436"/>
    <w:rsid w:val="000B649B"/>
    <w:rsid w:val="000B64F3"/>
    <w:rsid w:val="000B6590"/>
    <w:rsid w:val="000B65C6"/>
    <w:rsid w:val="000B668A"/>
    <w:rsid w:val="000B69F4"/>
    <w:rsid w:val="000B6A5D"/>
    <w:rsid w:val="000B6AF5"/>
    <w:rsid w:val="000B6BA8"/>
    <w:rsid w:val="000B6CAD"/>
    <w:rsid w:val="000B6F4F"/>
    <w:rsid w:val="000B7060"/>
    <w:rsid w:val="000B7090"/>
    <w:rsid w:val="000B7200"/>
    <w:rsid w:val="000B7393"/>
    <w:rsid w:val="000B73BF"/>
    <w:rsid w:val="000B740F"/>
    <w:rsid w:val="000B7453"/>
    <w:rsid w:val="000B74D1"/>
    <w:rsid w:val="000B7520"/>
    <w:rsid w:val="000B7724"/>
    <w:rsid w:val="000B77C7"/>
    <w:rsid w:val="000B7827"/>
    <w:rsid w:val="000B782A"/>
    <w:rsid w:val="000B78C1"/>
    <w:rsid w:val="000B7917"/>
    <w:rsid w:val="000B7B29"/>
    <w:rsid w:val="000B7B8B"/>
    <w:rsid w:val="000B7BC9"/>
    <w:rsid w:val="000B7D45"/>
    <w:rsid w:val="000B7D7B"/>
    <w:rsid w:val="000C0144"/>
    <w:rsid w:val="000C0377"/>
    <w:rsid w:val="000C03B4"/>
    <w:rsid w:val="000C0435"/>
    <w:rsid w:val="000C05E9"/>
    <w:rsid w:val="000C05F3"/>
    <w:rsid w:val="000C05FF"/>
    <w:rsid w:val="000C061B"/>
    <w:rsid w:val="000C0650"/>
    <w:rsid w:val="000C068C"/>
    <w:rsid w:val="000C08C6"/>
    <w:rsid w:val="000C0D79"/>
    <w:rsid w:val="000C1097"/>
    <w:rsid w:val="000C1148"/>
    <w:rsid w:val="000C118D"/>
    <w:rsid w:val="000C1209"/>
    <w:rsid w:val="000C12B9"/>
    <w:rsid w:val="000C1695"/>
    <w:rsid w:val="000C18E1"/>
    <w:rsid w:val="000C197D"/>
    <w:rsid w:val="000C1BE6"/>
    <w:rsid w:val="000C1C6E"/>
    <w:rsid w:val="000C1CFC"/>
    <w:rsid w:val="000C1F6F"/>
    <w:rsid w:val="000C1F9A"/>
    <w:rsid w:val="000C2028"/>
    <w:rsid w:val="000C2131"/>
    <w:rsid w:val="000C22B8"/>
    <w:rsid w:val="000C232F"/>
    <w:rsid w:val="000C2352"/>
    <w:rsid w:val="000C2425"/>
    <w:rsid w:val="000C253D"/>
    <w:rsid w:val="000C25A1"/>
    <w:rsid w:val="000C2634"/>
    <w:rsid w:val="000C280B"/>
    <w:rsid w:val="000C2A51"/>
    <w:rsid w:val="000C2AC7"/>
    <w:rsid w:val="000C2D6A"/>
    <w:rsid w:val="000C2E5E"/>
    <w:rsid w:val="000C30B4"/>
    <w:rsid w:val="000C30D7"/>
    <w:rsid w:val="000C3117"/>
    <w:rsid w:val="000C32E1"/>
    <w:rsid w:val="000C3353"/>
    <w:rsid w:val="000C3543"/>
    <w:rsid w:val="000C3633"/>
    <w:rsid w:val="000C3640"/>
    <w:rsid w:val="000C3662"/>
    <w:rsid w:val="000C36BD"/>
    <w:rsid w:val="000C36EF"/>
    <w:rsid w:val="000C38DB"/>
    <w:rsid w:val="000C38E1"/>
    <w:rsid w:val="000C3968"/>
    <w:rsid w:val="000C39DE"/>
    <w:rsid w:val="000C3A99"/>
    <w:rsid w:val="000C3B1F"/>
    <w:rsid w:val="000C3B6A"/>
    <w:rsid w:val="000C3BF9"/>
    <w:rsid w:val="000C3C2C"/>
    <w:rsid w:val="000C3DA3"/>
    <w:rsid w:val="000C3DCF"/>
    <w:rsid w:val="000C3E8A"/>
    <w:rsid w:val="000C3F88"/>
    <w:rsid w:val="000C3FBF"/>
    <w:rsid w:val="000C4262"/>
    <w:rsid w:val="000C448C"/>
    <w:rsid w:val="000C449C"/>
    <w:rsid w:val="000C45FB"/>
    <w:rsid w:val="000C473A"/>
    <w:rsid w:val="000C477E"/>
    <w:rsid w:val="000C48D6"/>
    <w:rsid w:val="000C4A62"/>
    <w:rsid w:val="000C4CBF"/>
    <w:rsid w:val="000C4CF5"/>
    <w:rsid w:val="000C4D92"/>
    <w:rsid w:val="000C4F4B"/>
    <w:rsid w:val="000C4FFA"/>
    <w:rsid w:val="000C5005"/>
    <w:rsid w:val="000C5187"/>
    <w:rsid w:val="000C51B1"/>
    <w:rsid w:val="000C5348"/>
    <w:rsid w:val="000C5451"/>
    <w:rsid w:val="000C5555"/>
    <w:rsid w:val="000C564A"/>
    <w:rsid w:val="000C579C"/>
    <w:rsid w:val="000C58DC"/>
    <w:rsid w:val="000C5ACE"/>
    <w:rsid w:val="000C5BA5"/>
    <w:rsid w:val="000C5DCA"/>
    <w:rsid w:val="000C5DE9"/>
    <w:rsid w:val="000C5E3E"/>
    <w:rsid w:val="000C5EA2"/>
    <w:rsid w:val="000C5F40"/>
    <w:rsid w:val="000C5FD3"/>
    <w:rsid w:val="000C5FFE"/>
    <w:rsid w:val="000C602F"/>
    <w:rsid w:val="000C615D"/>
    <w:rsid w:val="000C61DB"/>
    <w:rsid w:val="000C6218"/>
    <w:rsid w:val="000C622E"/>
    <w:rsid w:val="000C6291"/>
    <w:rsid w:val="000C6327"/>
    <w:rsid w:val="000C63BA"/>
    <w:rsid w:val="000C661E"/>
    <w:rsid w:val="000C6701"/>
    <w:rsid w:val="000C6724"/>
    <w:rsid w:val="000C6730"/>
    <w:rsid w:val="000C67F4"/>
    <w:rsid w:val="000C6984"/>
    <w:rsid w:val="000C6AB5"/>
    <w:rsid w:val="000C6AF5"/>
    <w:rsid w:val="000C6B5C"/>
    <w:rsid w:val="000C6DF3"/>
    <w:rsid w:val="000C6E2B"/>
    <w:rsid w:val="000C6E31"/>
    <w:rsid w:val="000C6E44"/>
    <w:rsid w:val="000C6EF9"/>
    <w:rsid w:val="000C6FCB"/>
    <w:rsid w:val="000C70A7"/>
    <w:rsid w:val="000C70C9"/>
    <w:rsid w:val="000C7272"/>
    <w:rsid w:val="000C7367"/>
    <w:rsid w:val="000C73AA"/>
    <w:rsid w:val="000C747E"/>
    <w:rsid w:val="000C75EE"/>
    <w:rsid w:val="000C7676"/>
    <w:rsid w:val="000C770E"/>
    <w:rsid w:val="000C773F"/>
    <w:rsid w:val="000C7A1A"/>
    <w:rsid w:val="000C7A6A"/>
    <w:rsid w:val="000C7B52"/>
    <w:rsid w:val="000C7DA9"/>
    <w:rsid w:val="000C7DD9"/>
    <w:rsid w:val="000C7E6F"/>
    <w:rsid w:val="000C7ED8"/>
    <w:rsid w:val="000C7F56"/>
    <w:rsid w:val="000D0277"/>
    <w:rsid w:val="000D02E6"/>
    <w:rsid w:val="000D038B"/>
    <w:rsid w:val="000D0459"/>
    <w:rsid w:val="000D0637"/>
    <w:rsid w:val="000D064C"/>
    <w:rsid w:val="000D06A7"/>
    <w:rsid w:val="000D06DE"/>
    <w:rsid w:val="000D0719"/>
    <w:rsid w:val="000D0774"/>
    <w:rsid w:val="000D0881"/>
    <w:rsid w:val="000D08CF"/>
    <w:rsid w:val="000D09AB"/>
    <w:rsid w:val="000D0A86"/>
    <w:rsid w:val="000D0B69"/>
    <w:rsid w:val="000D0B78"/>
    <w:rsid w:val="000D0B8B"/>
    <w:rsid w:val="000D0B95"/>
    <w:rsid w:val="000D0C41"/>
    <w:rsid w:val="000D0D3B"/>
    <w:rsid w:val="000D0E3A"/>
    <w:rsid w:val="000D0E51"/>
    <w:rsid w:val="000D0E6A"/>
    <w:rsid w:val="000D0F0F"/>
    <w:rsid w:val="000D11B3"/>
    <w:rsid w:val="000D11E1"/>
    <w:rsid w:val="000D1284"/>
    <w:rsid w:val="000D12A0"/>
    <w:rsid w:val="000D12AE"/>
    <w:rsid w:val="000D12B0"/>
    <w:rsid w:val="000D130C"/>
    <w:rsid w:val="000D1356"/>
    <w:rsid w:val="000D15CA"/>
    <w:rsid w:val="000D160E"/>
    <w:rsid w:val="000D1622"/>
    <w:rsid w:val="000D1665"/>
    <w:rsid w:val="000D1755"/>
    <w:rsid w:val="000D175A"/>
    <w:rsid w:val="000D176F"/>
    <w:rsid w:val="000D17B8"/>
    <w:rsid w:val="000D17C9"/>
    <w:rsid w:val="000D1812"/>
    <w:rsid w:val="000D19D1"/>
    <w:rsid w:val="000D1A1B"/>
    <w:rsid w:val="000D1B2C"/>
    <w:rsid w:val="000D1BA0"/>
    <w:rsid w:val="000D1BC2"/>
    <w:rsid w:val="000D1C0C"/>
    <w:rsid w:val="000D1D3A"/>
    <w:rsid w:val="000D1D5D"/>
    <w:rsid w:val="000D1DA4"/>
    <w:rsid w:val="000D1FB9"/>
    <w:rsid w:val="000D203B"/>
    <w:rsid w:val="000D209E"/>
    <w:rsid w:val="000D20A7"/>
    <w:rsid w:val="000D2128"/>
    <w:rsid w:val="000D2312"/>
    <w:rsid w:val="000D2395"/>
    <w:rsid w:val="000D2766"/>
    <w:rsid w:val="000D2832"/>
    <w:rsid w:val="000D2852"/>
    <w:rsid w:val="000D2917"/>
    <w:rsid w:val="000D294B"/>
    <w:rsid w:val="000D2A06"/>
    <w:rsid w:val="000D2BD9"/>
    <w:rsid w:val="000D2D0A"/>
    <w:rsid w:val="000D2E43"/>
    <w:rsid w:val="000D2F76"/>
    <w:rsid w:val="000D2FF4"/>
    <w:rsid w:val="000D309F"/>
    <w:rsid w:val="000D30C9"/>
    <w:rsid w:val="000D3157"/>
    <w:rsid w:val="000D3270"/>
    <w:rsid w:val="000D3351"/>
    <w:rsid w:val="000D369F"/>
    <w:rsid w:val="000D36AD"/>
    <w:rsid w:val="000D36AE"/>
    <w:rsid w:val="000D380C"/>
    <w:rsid w:val="000D3865"/>
    <w:rsid w:val="000D39F1"/>
    <w:rsid w:val="000D3A48"/>
    <w:rsid w:val="000D3C9C"/>
    <w:rsid w:val="000D3D64"/>
    <w:rsid w:val="000D3E04"/>
    <w:rsid w:val="000D3E44"/>
    <w:rsid w:val="000D3E70"/>
    <w:rsid w:val="000D3F27"/>
    <w:rsid w:val="000D409D"/>
    <w:rsid w:val="000D41AF"/>
    <w:rsid w:val="000D41FC"/>
    <w:rsid w:val="000D424C"/>
    <w:rsid w:val="000D448F"/>
    <w:rsid w:val="000D4536"/>
    <w:rsid w:val="000D4553"/>
    <w:rsid w:val="000D45B1"/>
    <w:rsid w:val="000D4633"/>
    <w:rsid w:val="000D4671"/>
    <w:rsid w:val="000D46C9"/>
    <w:rsid w:val="000D4808"/>
    <w:rsid w:val="000D4A47"/>
    <w:rsid w:val="000D4B14"/>
    <w:rsid w:val="000D4B54"/>
    <w:rsid w:val="000D4DC1"/>
    <w:rsid w:val="000D4E02"/>
    <w:rsid w:val="000D4E4A"/>
    <w:rsid w:val="000D50D3"/>
    <w:rsid w:val="000D5208"/>
    <w:rsid w:val="000D5247"/>
    <w:rsid w:val="000D526D"/>
    <w:rsid w:val="000D52E5"/>
    <w:rsid w:val="000D542F"/>
    <w:rsid w:val="000D54B0"/>
    <w:rsid w:val="000D54CF"/>
    <w:rsid w:val="000D5575"/>
    <w:rsid w:val="000D5612"/>
    <w:rsid w:val="000D5657"/>
    <w:rsid w:val="000D5B21"/>
    <w:rsid w:val="000D5C92"/>
    <w:rsid w:val="000D5CC9"/>
    <w:rsid w:val="000D5D01"/>
    <w:rsid w:val="000D5D87"/>
    <w:rsid w:val="000D5D96"/>
    <w:rsid w:val="000D5ED9"/>
    <w:rsid w:val="000D5FC9"/>
    <w:rsid w:val="000D617A"/>
    <w:rsid w:val="000D62AB"/>
    <w:rsid w:val="000D6781"/>
    <w:rsid w:val="000D6836"/>
    <w:rsid w:val="000D6860"/>
    <w:rsid w:val="000D68D8"/>
    <w:rsid w:val="000D69F4"/>
    <w:rsid w:val="000D6A40"/>
    <w:rsid w:val="000D6AD2"/>
    <w:rsid w:val="000D6B39"/>
    <w:rsid w:val="000D6C41"/>
    <w:rsid w:val="000D6C59"/>
    <w:rsid w:val="000D6C6D"/>
    <w:rsid w:val="000D6CE3"/>
    <w:rsid w:val="000D6D6A"/>
    <w:rsid w:val="000D6DA0"/>
    <w:rsid w:val="000D6DC1"/>
    <w:rsid w:val="000D6E23"/>
    <w:rsid w:val="000D6E54"/>
    <w:rsid w:val="000D6EA5"/>
    <w:rsid w:val="000D6EA8"/>
    <w:rsid w:val="000D70C8"/>
    <w:rsid w:val="000D7265"/>
    <w:rsid w:val="000D72D9"/>
    <w:rsid w:val="000D7337"/>
    <w:rsid w:val="000D743E"/>
    <w:rsid w:val="000D76BF"/>
    <w:rsid w:val="000D7761"/>
    <w:rsid w:val="000D7804"/>
    <w:rsid w:val="000D787B"/>
    <w:rsid w:val="000D7A33"/>
    <w:rsid w:val="000D7B1B"/>
    <w:rsid w:val="000D7BD3"/>
    <w:rsid w:val="000D7BE4"/>
    <w:rsid w:val="000D7D1C"/>
    <w:rsid w:val="000D7E1D"/>
    <w:rsid w:val="000D7E44"/>
    <w:rsid w:val="000D7EAF"/>
    <w:rsid w:val="000D7EC2"/>
    <w:rsid w:val="000D7FE4"/>
    <w:rsid w:val="000E02DE"/>
    <w:rsid w:val="000E0380"/>
    <w:rsid w:val="000E04EA"/>
    <w:rsid w:val="000E07DB"/>
    <w:rsid w:val="000E081A"/>
    <w:rsid w:val="000E0B3D"/>
    <w:rsid w:val="000E0B74"/>
    <w:rsid w:val="000E0BF2"/>
    <w:rsid w:val="000E0D5B"/>
    <w:rsid w:val="000E0E7E"/>
    <w:rsid w:val="000E125E"/>
    <w:rsid w:val="000E12B4"/>
    <w:rsid w:val="000E14F2"/>
    <w:rsid w:val="000E1525"/>
    <w:rsid w:val="000E1543"/>
    <w:rsid w:val="000E15AE"/>
    <w:rsid w:val="000E16BE"/>
    <w:rsid w:val="000E16D2"/>
    <w:rsid w:val="000E177A"/>
    <w:rsid w:val="000E1803"/>
    <w:rsid w:val="000E189E"/>
    <w:rsid w:val="000E19F2"/>
    <w:rsid w:val="000E1C63"/>
    <w:rsid w:val="000E1CC0"/>
    <w:rsid w:val="000E1E72"/>
    <w:rsid w:val="000E1F03"/>
    <w:rsid w:val="000E21C1"/>
    <w:rsid w:val="000E21C9"/>
    <w:rsid w:val="000E22A4"/>
    <w:rsid w:val="000E22CA"/>
    <w:rsid w:val="000E23AD"/>
    <w:rsid w:val="000E2467"/>
    <w:rsid w:val="000E2487"/>
    <w:rsid w:val="000E24C8"/>
    <w:rsid w:val="000E26A3"/>
    <w:rsid w:val="000E2707"/>
    <w:rsid w:val="000E2770"/>
    <w:rsid w:val="000E27C5"/>
    <w:rsid w:val="000E27DA"/>
    <w:rsid w:val="000E27F2"/>
    <w:rsid w:val="000E2974"/>
    <w:rsid w:val="000E29E5"/>
    <w:rsid w:val="000E2A1B"/>
    <w:rsid w:val="000E2ABC"/>
    <w:rsid w:val="000E2CA2"/>
    <w:rsid w:val="000E2E27"/>
    <w:rsid w:val="000E305C"/>
    <w:rsid w:val="000E30F4"/>
    <w:rsid w:val="000E3316"/>
    <w:rsid w:val="000E343E"/>
    <w:rsid w:val="000E36D7"/>
    <w:rsid w:val="000E374C"/>
    <w:rsid w:val="000E3786"/>
    <w:rsid w:val="000E3AC6"/>
    <w:rsid w:val="000E3B94"/>
    <w:rsid w:val="000E3C41"/>
    <w:rsid w:val="000E41EF"/>
    <w:rsid w:val="000E424A"/>
    <w:rsid w:val="000E435B"/>
    <w:rsid w:val="000E43F3"/>
    <w:rsid w:val="000E4443"/>
    <w:rsid w:val="000E44E9"/>
    <w:rsid w:val="000E451A"/>
    <w:rsid w:val="000E4526"/>
    <w:rsid w:val="000E4781"/>
    <w:rsid w:val="000E4910"/>
    <w:rsid w:val="000E497B"/>
    <w:rsid w:val="000E4A01"/>
    <w:rsid w:val="000E4AB1"/>
    <w:rsid w:val="000E4AC6"/>
    <w:rsid w:val="000E4C32"/>
    <w:rsid w:val="000E4C71"/>
    <w:rsid w:val="000E4DAB"/>
    <w:rsid w:val="000E4E87"/>
    <w:rsid w:val="000E4F6D"/>
    <w:rsid w:val="000E508D"/>
    <w:rsid w:val="000E50A8"/>
    <w:rsid w:val="000E50F4"/>
    <w:rsid w:val="000E513E"/>
    <w:rsid w:val="000E52D3"/>
    <w:rsid w:val="000E5453"/>
    <w:rsid w:val="000E55F0"/>
    <w:rsid w:val="000E562B"/>
    <w:rsid w:val="000E5697"/>
    <w:rsid w:val="000E575F"/>
    <w:rsid w:val="000E5787"/>
    <w:rsid w:val="000E5856"/>
    <w:rsid w:val="000E59BD"/>
    <w:rsid w:val="000E5B3C"/>
    <w:rsid w:val="000E5B8B"/>
    <w:rsid w:val="000E5CB2"/>
    <w:rsid w:val="000E5CFC"/>
    <w:rsid w:val="000E5D0D"/>
    <w:rsid w:val="000E5E73"/>
    <w:rsid w:val="000E5E84"/>
    <w:rsid w:val="000E5E9F"/>
    <w:rsid w:val="000E5F10"/>
    <w:rsid w:val="000E5F6B"/>
    <w:rsid w:val="000E5F77"/>
    <w:rsid w:val="000E626E"/>
    <w:rsid w:val="000E6297"/>
    <w:rsid w:val="000E6300"/>
    <w:rsid w:val="000E630F"/>
    <w:rsid w:val="000E639D"/>
    <w:rsid w:val="000E63FD"/>
    <w:rsid w:val="000E645D"/>
    <w:rsid w:val="000E676B"/>
    <w:rsid w:val="000E67B8"/>
    <w:rsid w:val="000E6844"/>
    <w:rsid w:val="000E6851"/>
    <w:rsid w:val="000E68B4"/>
    <w:rsid w:val="000E6915"/>
    <w:rsid w:val="000E6965"/>
    <w:rsid w:val="000E69FC"/>
    <w:rsid w:val="000E6A72"/>
    <w:rsid w:val="000E6AFB"/>
    <w:rsid w:val="000E6B97"/>
    <w:rsid w:val="000E6C2B"/>
    <w:rsid w:val="000E6D99"/>
    <w:rsid w:val="000E6D9F"/>
    <w:rsid w:val="000E710E"/>
    <w:rsid w:val="000E71D4"/>
    <w:rsid w:val="000E722C"/>
    <w:rsid w:val="000E73AE"/>
    <w:rsid w:val="000E741B"/>
    <w:rsid w:val="000E7444"/>
    <w:rsid w:val="000E7489"/>
    <w:rsid w:val="000E752A"/>
    <w:rsid w:val="000E75F8"/>
    <w:rsid w:val="000E7ABC"/>
    <w:rsid w:val="000E7B11"/>
    <w:rsid w:val="000E7BD2"/>
    <w:rsid w:val="000E7C4E"/>
    <w:rsid w:val="000E7CD9"/>
    <w:rsid w:val="000E7D23"/>
    <w:rsid w:val="000E7D79"/>
    <w:rsid w:val="000E7D82"/>
    <w:rsid w:val="000E7D87"/>
    <w:rsid w:val="000E7DFF"/>
    <w:rsid w:val="000E7F44"/>
    <w:rsid w:val="000F005B"/>
    <w:rsid w:val="000F007E"/>
    <w:rsid w:val="000F00D7"/>
    <w:rsid w:val="000F00F7"/>
    <w:rsid w:val="000F0303"/>
    <w:rsid w:val="000F0530"/>
    <w:rsid w:val="000F053E"/>
    <w:rsid w:val="000F060D"/>
    <w:rsid w:val="000F0611"/>
    <w:rsid w:val="000F061A"/>
    <w:rsid w:val="000F0634"/>
    <w:rsid w:val="000F071C"/>
    <w:rsid w:val="000F0804"/>
    <w:rsid w:val="000F09E0"/>
    <w:rsid w:val="000F0A18"/>
    <w:rsid w:val="000F0B4A"/>
    <w:rsid w:val="000F0B59"/>
    <w:rsid w:val="000F0BF8"/>
    <w:rsid w:val="000F0C8F"/>
    <w:rsid w:val="000F0E85"/>
    <w:rsid w:val="000F0F81"/>
    <w:rsid w:val="000F1070"/>
    <w:rsid w:val="000F1170"/>
    <w:rsid w:val="000F1201"/>
    <w:rsid w:val="000F1257"/>
    <w:rsid w:val="000F12EF"/>
    <w:rsid w:val="000F134C"/>
    <w:rsid w:val="000F135D"/>
    <w:rsid w:val="000F1612"/>
    <w:rsid w:val="000F1671"/>
    <w:rsid w:val="000F16DD"/>
    <w:rsid w:val="000F1A76"/>
    <w:rsid w:val="000F1ADB"/>
    <w:rsid w:val="000F1D40"/>
    <w:rsid w:val="000F1F72"/>
    <w:rsid w:val="000F22A5"/>
    <w:rsid w:val="000F22E8"/>
    <w:rsid w:val="000F237F"/>
    <w:rsid w:val="000F23BB"/>
    <w:rsid w:val="000F2414"/>
    <w:rsid w:val="000F24E1"/>
    <w:rsid w:val="000F26D7"/>
    <w:rsid w:val="000F26F9"/>
    <w:rsid w:val="000F28FC"/>
    <w:rsid w:val="000F29E4"/>
    <w:rsid w:val="000F2C2F"/>
    <w:rsid w:val="000F2C6E"/>
    <w:rsid w:val="000F2C8E"/>
    <w:rsid w:val="000F2D0C"/>
    <w:rsid w:val="000F2D8B"/>
    <w:rsid w:val="000F2F9E"/>
    <w:rsid w:val="000F302F"/>
    <w:rsid w:val="000F30DB"/>
    <w:rsid w:val="000F30F5"/>
    <w:rsid w:val="000F3175"/>
    <w:rsid w:val="000F31A3"/>
    <w:rsid w:val="000F31EE"/>
    <w:rsid w:val="000F3203"/>
    <w:rsid w:val="000F3256"/>
    <w:rsid w:val="000F327A"/>
    <w:rsid w:val="000F33F4"/>
    <w:rsid w:val="000F340A"/>
    <w:rsid w:val="000F347C"/>
    <w:rsid w:val="000F3520"/>
    <w:rsid w:val="000F36EB"/>
    <w:rsid w:val="000F36ED"/>
    <w:rsid w:val="000F377F"/>
    <w:rsid w:val="000F37F1"/>
    <w:rsid w:val="000F399B"/>
    <w:rsid w:val="000F3A19"/>
    <w:rsid w:val="000F3A87"/>
    <w:rsid w:val="000F3C25"/>
    <w:rsid w:val="000F3D91"/>
    <w:rsid w:val="000F3DFB"/>
    <w:rsid w:val="000F3E06"/>
    <w:rsid w:val="000F3E15"/>
    <w:rsid w:val="000F405F"/>
    <w:rsid w:val="000F4141"/>
    <w:rsid w:val="000F4165"/>
    <w:rsid w:val="000F420D"/>
    <w:rsid w:val="000F4386"/>
    <w:rsid w:val="000F4457"/>
    <w:rsid w:val="000F4682"/>
    <w:rsid w:val="000F46D6"/>
    <w:rsid w:val="000F47DB"/>
    <w:rsid w:val="000F47EC"/>
    <w:rsid w:val="000F495F"/>
    <w:rsid w:val="000F4AA3"/>
    <w:rsid w:val="000F4AEC"/>
    <w:rsid w:val="000F4B16"/>
    <w:rsid w:val="000F4D0E"/>
    <w:rsid w:val="000F4D77"/>
    <w:rsid w:val="000F4E65"/>
    <w:rsid w:val="000F4EF9"/>
    <w:rsid w:val="000F4F8D"/>
    <w:rsid w:val="000F4FAB"/>
    <w:rsid w:val="000F5152"/>
    <w:rsid w:val="000F5243"/>
    <w:rsid w:val="000F533B"/>
    <w:rsid w:val="000F5488"/>
    <w:rsid w:val="000F54C7"/>
    <w:rsid w:val="000F56E7"/>
    <w:rsid w:val="000F572A"/>
    <w:rsid w:val="000F579C"/>
    <w:rsid w:val="000F5959"/>
    <w:rsid w:val="000F5969"/>
    <w:rsid w:val="000F5A9D"/>
    <w:rsid w:val="000F5AE1"/>
    <w:rsid w:val="000F5AE6"/>
    <w:rsid w:val="000F5C1A"/>
    <w:rsid w:val="000F5C7A"/>
    <w:rsid w:val="000F5CA1"/>
    <w:rsid w:val="000F5D22"/>
    <w:rsid w:val="000F5E9B"/>
    <w:rsid w:val="000F5F4C"/>
    <w:rsid w:val="000F606F"/>
    <w:rsid w:val="000F6252"/>
    <w:rsid w:val="000F63DB"/>
    <w:rsid w:val="000F63FB"/>
    <w:rsid w:val="000F64C8"/>
    <w:rsid w:val="000F65BA"/>
    <w:rsid w:val="000F661A"/>
    <w:rsid w:val="000F684B"/>
    <w:rsid w:val="000F695E"/>
    <w:rsid w:val="000F69BA"/>
    <w:rsid w:val="000F6A24"/>
    <w:rsid w:val="000F6B36"/>
    <w:rsid w:val="000F6CA5"/>
    <w:rsid w:val="000F6CCF"/>
    <w:rsid w:val="000F6D45"/>
    <w:rsid w:val="000F6DF5"/>
    <w:rsid w:val="000F6ECA"/>
    <w:rsid w:val="000F6FB4"/>
    <w:rsid w:val="000F7097"/>
    <w:rsid w:val="000F74E0"/>
    <w:rsid w:val="000F7517"/>
    <w:rsid w:val="000F764B"/>
    <w:rsid w:val="000F767E"/>
    <w:rsid w:val="000F76DE"/>
    <w:rsid w:val="000F780B"/>
    <w:rsid w:val="000F7A44"/>
    <w:rsid w:val="000F7DFB"/>
    <w:rsid w:val="000F7EB4"/>
    <w:rsid w:val="001000BB"/>
    <w:rsid w:val="001000C6"/>
    <w:rsid w:val="001000E9"/>
    <w:rsid w:val="00100141"/>
    <w:rsid w:val="0010014A"/>
    <w:rsid w:val="001001B3"/>
    <w:rsid w:val="001002EE"/>
    <w:rsid w:val="00100311"/>
    <w:rsid w:val="00100476"/>
    <w:rsid w:val="001006F5"/>
    <w:rsid w:val="001006FA"/>
    <w:rsid w:val="00100864"/>
    <w:rsid w:val="00100914"/>
    <w:rsid w:val="0010093A"/>
    <w:rsid w:val="0010095C"/>
    <w:rsid w:val="001009DF"/>
    <w:rsid w:val="00100A8B"/>
    <w:rsid w:val="00100BDF"/>
    <w:rsid w:val="00100BEE"/>
    <w:rsid w:val="00100BFF"/>
    <w:rsid w:val="00100EB7"/>
    <w:rsid w:val="00100ECA"/>
    <w:rsid w:val="00100F99"/>
    <w:rsid w:val="00101151"/>
    <w:rsid w:val="001011F6"/>
    <w:rsid w:val="001011FC"/>
    <w:rsid w:val="00101392"/>
    <w:rsid w:val="001013FB"/>
    <w:rsid w:val="00101476"/>
    <w:rsid w:val="0010180A"/>
    <w:rsid w:val="0010180C"/>
    <w:rsid w:val="00101933"/>
    <w:rsid w:val="001019EC"/>
    <w:rsid w:val="00101A04"/>
    <w:rsid w:val="00101DBA"/>
    <w:rsid w:val="00101E96"/>
    <w:rsid w:val="00101F1F"/>
    <w:rsid w:val="00101F61"/>
    <w:rsid w:val="00101FF8"/>
    <w:rsid w:val="00102108"/>
    <w:rsid w:val="001021A1"/>
    <w:rsid w:val="00102204"/>
    <w:rsid w:val="001022E0"/>
    <w:rsid w:val="00102379"/>
    <w:rsid w:val="001023A2"/>
    <w:rsid w:val="00102498"/>
    <w:rsid w:val="001024ED"/>
    <w:rsid w:val="001026B8"/>
    <w:rsid w:val="0010271D"/>
    <w:rsid w:val="00102774"/>
    <w:rsid w:val="0010283C"/>
    <w:rsid w:val="00102864"/>
    <w:rsid w:val="0010293E"/>
    <w:rsid w:val="00102A4E"/>
    <w:rsid w:val="00102AA3"/>
    <w:rsid w:val="00102BD7"/>
    <w:rsid w:val="00102BF4"/>
    <w:rsid w:val="00102F1F"/>
    <w:rsid w:val="00102F96"/>
    <w:rsid w:val="00102FB3"/>
    <w:rsid w:val="00103088"/>
    <w:rsid w:val="001030D8"/>
    <w:rsid w:val="0010312A"/>
    <w:rsid w:val="0010316E"/>
    <w:rsid w:val="001031A1"/>
    <w:rsid w:val="00103234"/>
    <w:rsid w:val="00103342"/>
    <w:rsid w:val="0010338C"/>
    <w:rsid w:val="0010341F"/>
    <w:rsid w:val="0010342E"/>
    <w:rsid w:val="00103512"/>
    <w:rsid w:val="00103716"/>
    <w:rsid w:val="0010374B"/>
    <w:rsid w:val="00103837"/>
    <w:rsid w:val="0010388D"/>
    <w:rsid w:val="001038CE"/>
    <w:rsid w:val="00103AA0"/>
    <w:rsid w:val="00103AA6"/>
    <w:rsid w:val="00103DAB"/>
    <w:rsid w:val="00103EE3"/>
    <w:rsid w:val="00103F74"/>
    <w:rsid w:val="00103FD0"/>
    <w:rsid w:val="0010432C"/>
    <w:rsid w:val="001043AD"/>
    <w:rsid w:val="001043C4"/>
    <w:rsid w:val="0010478D"/>
    <w:rsid w:val="0010485E"/>
    <w:rsid w:val="0010486A"/>
    <w:rsid w:val="00104967"/>
    <w:rsid w:val="00104B00"/>
    <w:rsid w:val="00104C3C"/>
    <w:rsid w:val="00104C51"/>
    <w:rsid w:val="00104C71"/>
    <w:rsid w:val="00104D19"/>
    <w:rsid w:val="00104DF9"/>
    <w:rsid w:val="00104FEE"/>
    <w:rsid w:val="00105012"/>
    <w:rsid w:val="00105096"/>
    <w:rsid w:val="00105176"/>
    <w:rsid w:val="00105208"/>
    <w:rsid w:val="00105347"/>
    <w:rsid w:val="001053F0"/>
    <w:rsid w:val="0010565C"/>
    <w:rsid w:val="0010565D"/>
    <w:rsid w:val="0010567E"/>
    <w:rsid w:val="001057A3"/>
    <w:rsid w:val="00105862"/>
    <w:rsid w:val="00105905"/>
    <w:rsid w:val="0010590F"/>
    <w:rsid w:val="00105A21"/>
    <w:rsid w:val="00105A64"/>
    <w:rsid w:val="00105BFC"/>
    <w:rsid w:val="00105D66"/>
    <w:rsid w:val="00105DFC"/>
    <w:rsid w:val="00105F2C"/>
    <w:rsid w:val="00105F6C"/>
    <w:rsid w:val="00106079"/>
    <w:rsid w:val="001060AC"/>
    <w:rsid w:val="00106246"/>
    <w:rsid w:val="00106270"/>
    <w:rsid w:val="001062E0"/>
    <w:rsid w:val="001063F2"/>
    <w:rsid w:val="001064DF"/>
    <w:rsid w:val="001067DD"/>
    <w:rsid w:val="001068BB"/>
    <w:rsid w:val="00106932"/>
    <w:rsid w:val="0010693B"/>
    <w:rsid w:val="00106990"/>
    <w:rsid w:val="001069CA"/>
    <w:rsid w:val="00106AE9"/>
    <w:rsid w:val="00106B87"/>
    <w:rsid w:val="00106D2F"/>
    <w:rsid w:val="00106E72"/>
    <w:rsid w:val="00106F50"/>
    <w:rsid w:val="00106F76"/>
    <w:rsid w:val="0010700B"/>
    <w:rsid w:val="00107041"/>
    <w:rsid w:val="001070DB"/>
    <w:rsid w:val="0010714A"/>
    <w:rsid w:val="00107218"/>
    <w:rsid w:val="00107296"/>
    <w:rsid w:val="00107350"/>
    <w:rsid w:val="001073DF"/>
    <w:rsid w:val="0010742F"/>
    <w:rsid w:val="001074A7"/>
    <w:rsid w:val="00107512"/>
    <w:rsid w:val="00107628"/>
    <w:rsid w:val="001077D5"/>
    <w:rsid w:val="00107A7F"/>
    <w:rsid w:val="00107ADC"/>
    <w:rsid w:val="00107B9C"/>
    <w:rsid w:val="00107BC5"/>
    <w:rsid w:val="00107C15"/>
    <w:rsid w:val="00107CAF"/>
    <w:rsid w:val="00107CE4"/>
    <w:rsid w:val="0011000D"/>
    <w:rsid w:val="001100E8"/>
    <w:rsid w:val="00110262"/>
    <w:rsid w:val="0011027E"/>
    <w:rsid w:val="001103AA"/>
    <w:rsid w:val="001103E3"/>
    <w:rsid w:val="001105E8"/>
    <w:rsid w:val="001105FF"/>
    <w:rsid w:val="0011070E"/>
    <w:rsid w:val="001107FA"/>
    <w:rsid w:val="00110865"/>
    <w:rsid w:val="001108CD"/>
    <w:rsid w:val="001108FB"/>
    <w:rsid w:val="00110946"/>
    <w:rsid w:val="001109EE"/>
    <w:rsid w:val="00110AB8"/>
    <w:rsid w:val="00110ACC"/>
    <w:rsid w:val="00110B1D"/>
    <w:rsid w:val="00110BC3"/>
    <w:rsid w:val="00110BDF"/>
    <w:rsid w:val="00110C1D"/>
    <w:rsid w:val="00110C8F"/>
    <w:rsid w:val="00110E15"/>
    <w:rsid w:val="00110E72"/>
    <w:rsid w:val="00110ED9"/>
    <w:rsid w:val="00110F10"/>
    <w:rsid w:val="00110F4B"/>
    <w:rsid w:val="00111076"/>
    <w:rsid w:val="00111131"/>
    <w:rsid w:val="00111153"/>
    <w:rsid w:val="00111264"/>
    <w:rsid w:val="00111394"/>
    <w:rsid w:val="001114CE"/>
    <w:rsid w:val="001114E9"/>
    <w:rsid w:val="00111516"/>
    <w:rsid w:val="001115D6"/>
    <w:rsid w:val="00111630"/>
    <w:rsid w:val="00111635"/>
    <w:rsid w:val="00111663"/>
    <w:rsid w:val="001117A2"/>
    <w:rsid w:val="00111A58"/>
    <w:rsid w:val="00111AB5"/>
    <w:rsid w:val="00111B2D"/>
    <w:rsid w:val="00111BCF"/>
    <w:rsid w:val="00111C2D"/>
    <w:rsid w:val="00111D5E"/>
    <w:rsid w:val="00111E68"/>
    <w:rsid w:val="00111E8B"/>
    <w:rsid w:val="00111EB9"/>
    <w:rsid w:val="00111FB0"/>
    <w:rsid w:val="00111FDB"/>
    <w:rsid w:val="00112037"/>
    <w:rsid w:val="00112126"/>
    <w:rsid w:val="00112344"/>
    <w:rsid w:val="00112491"/>
    <w:rsid w:val="001125AC"/>
    <w:rsid w:val="001125B0"/>
    <w:rsid w:val="00112660"/>
    <w:rsid w:val="001127CD"/>
    <w:rsid w:val="001127D2"/>
    <w:rsid w:val="00112825"/>
    <w:rsid w:val="001129E5"/>
    <w:rsid w:val="00112A70"/>
    <w:rsid w:val="00112A81"/>
    <w:rsid w:val="00112CEC"/>
    <w:rsid w:val="00113061"/>
    <w:rsid w:val="0011314C"/>
    <w:rsid w:val="0011326C"/>
    <w:rsid w:val="00113350"/>
    <w:rsid w:val="0011344B"/>
    <w:rsid w:val="0011349E"/>
    <w:rsid w:val="00113542"/>
    <w:rsid w:val="00113593"/>
    <w:rsid w:val="001135FB"/>
    <w:rsid w:val="00113774"/>
    <w:rsid w:val="00113791"/>
    <w:rsid w:val="001137DE"/>
    <w:rsid w:val="00113858"/>
    <w:rsid w:val="00113947"/>
    <w:rsid w:val="00113950"/>
    <w:rsid w:val="00113A5C"/>
    <w:rsid w:val="00113AB1"/>
    <w:rsid w:val="00113AD0"/>
    <w:rsid w:val="00113BB4"/>
    <w:rsid w:val="00113C11"/>
    <w:rsid w:val="00113CAA"/>
    <w:rsid w:val="00113D0A"/>
    <w:rsid w:val="00113EE8"/>
    <w:rsid w:val="00113F45"/>
    <w:rsid w:val="00113FB9"/>
    <w:rsid w:val="00114089"/>
    <w:rsid w:val="001144FE"/>
    <w:rsid w:val="00114576"/>
    <w:rsid w:val="0011458E"/>
    <w:rsid w:val="001146AB"/>
    <w:rsid w:val="00114744"/>
    <w:rsid w:val="0011477B"/>
    <w:rsid w:val="001147F7"/>
    <w:rsid w:val="00114800"/>
    <w:rsid w:val="0011485D"/>
    <w:rsid w:val="001148A9"/>
    <w:rsid w:val="00114A1C"/>
    <w:rsid w:val="00114AFF"/>
    <w:rsid w:val="00114C36"/>
    <w:rsid w:val="00114C48"/>
    <w:rsid w:val="00114D55"/>
    <w:rsid w:val="001150EA"/>
    <w:rsid w:val="001151E0"/>
    <w:rsid w:val="001152C6"/>
    <w:rsid w:val="001155B0"/>
    <w:rsid w:val="0011581D"/>
    <w:rsid w:val="0011584B"/>
    <w:rsid w:val="001158CE"/>
    <w:rsid w:val="0011592F"/>
    <w:rsid w:val="001159A4"/>
    <w:rsid w:val="00115A27"/>
    <w:rsid w:val="00115C48"/>
    <w:rsid w:val="00115E1D"/>
    <w:rsid w:val="00115E55"/>
    <w:rsid w:val="00115EDF"/>
    <w:rsid w:val="00115F45"/>
    <w:rsid w:val="00116132"/>
    <w:rsid w:val="0011616C"/>
    <w:rsid w:val="00116292"/>
    <w:rsid w:val="001162B0"/>
    <w:rsid w:val="00116320"/>
    <w:rsid w:val="0011640C"/>
    <w:rsid w:val="00116488"/>
    <w:rsid w:val="0011664C"/>
    <w:rsid w:val="00116763"/>
    <w:rsid w:val="00116855"/>
    <w:rsid w:val="00116A3F"/>
    <w:rsid w:val="00116BA9"/>
    <w:rsid w:val="00116D25"/>
    <w:rsid w:val="00116E8B"/>
    <w:rsid w:val="00116FDC"/>
    <w:rsid w:val="00116FE5"/>
    <w:rsid w:val="00117044"/>
    <w:rsid w:val="00117145"/>
    <w:rsid w:val="001171E0"/>
    <w:rsid w:val="001174D7"/>
    <w:rsid w:val="0011752B"/>
    <w:rsid w:val="00117542"/>
    <w:rsid w:val="00117575"/>
    <w:rsid w:val="001175EE"/>
    <w:rsid w:val="001177B0"/>
    <w:rsid w:val="00117874"/>
    <w:rsid w:val="001178B7"/>
    <w:rsid w:val="00117900"/>
    <w:rsid w:val="00117986"/>
    <w:rsid w:val="001179F0"/>
    <w:rsid w:val="00117A3F"/>
    <w:rsid w:val="00117AF5"/>
    <w:rsid w:val="00117C4A"/>
    <w:rsid w:val="00117C99"/>
    <w:rsid w:val="00117DA2"/>
    <w:rsid w:val="00117DAA"/>
    <w:rsid w:val="00117DD6"/>
    <w:rsid w:val="00117F57"/>
    <w:rsid w:val="001200A2"/>
    <w:rsid w:val="001200F0"/>
    <w:rsid w:val="00120148"/>
    <w:rsid w:val="00120463"/>
    <w:rsid w:val="001205C6"/>
    <w:rsid w:val="001206E8"/>
    <w:rsid w:val="001207DC"/>
    <w:rsid w:val="00120897"/>
    <w:rsid w:val="001208B0"/>
    <w:rsid w:val="001208D5"/>
    <w:rsid w:val="00120979"/>
    <w:rsid w:val="00120A4B"/>
    <w:rsid w:val="00120B2F"/>
    <w:rsid w:val="00120B38"/>
    <w:rsid w:val="00120B6E"/>
    <w:rsid w:val="00120C4E"/>
    <w:rsid w:val="00120C7D"/>
    <w:rsid w:val="00120D11"/>
    <w:rsid w:val="00120F25"/>
    <w:rsid w:val="00120FB3"/>
    <w:rsid w:val="001210F9"/>
    <w:rsid w:val="0012115D"/>
    <w:rsid w:val="001211B3"/>
    <w:rsid w:val="00121314"/>
    <w:rsid w:val="0012134C"/>
    <w:rsid w:val="00121507"/>
    <w:rsid w:val="0012153B"/>
    <w:rsid w:val="0012154B"/>
    <w:rsid w:val="0012178E"/>
    <w:rsid w:val="00121895"/>
    <w:rsid w:val="001218BA"/>
    <w:rsid w:val="001218FA"/>
    <w:rsid w:val="00121989"/>
    <w:rsid w:val="00121C8F"/>
    <w:rsid w:val="00121FA7"/>
    <w:rsid w:val="00121FFE"/>
    <w:rsid w:val="00122056"/>
    <w:rsid w:val="0012207D"/>
    <w:rsid w:val="0012220B"/>
    <w:rsid w:val="00122415"/>
    <w:rsid w:val="0012244C"/>
    <w:rsid w:val="001224EB"/>
    <w:rsid w:val="00122507"/>
    <w:rsid w:val="0012274E"/>
    <w:rsid w:val="00122C42"/>
    <w:rsid w:val="00122D54"/>
    <w:rsid w:val="00122E98"/>
    <w:rsid w:val="00122EAD"/>
    <w:rsid w:val="00122F22"/>
    <w:rsid w:val="00122F6A"/>
    <w:rsid w:val="0012309F"/>
    <w:rsid w:val="001231AA"/>
    <w:rsid w:val="001232AC"/>
    <w:rsid w:val="001232C3"/>
    <w:rsid w:val="0012333F"/>
    <w:rsid w:val="0012353A"/>
    <w:rsid w:val="001235C9"/>
    <w:rsid w:val="001236E7"/>
    <w:rsid w:val="0012372F"/>
    <w:rsid w:val="00123876"/>
    <w:rsid w:val="0012398C"/>
    <w:rsid w:val="00123A7D"/>
    <w:rsid w:val="00123B55"/>
    <w:rsid w:val="00123E16"/>
    <w:rsid w:val="00123EFE"/>
    <w:rsid w:val="00123F71"/>
    <w:rsid w:val="00124163"/>
    <w:rsid w:val="001241B2"/>
    <w:rsid w:val="001242E7"/>
    <w:rsid w:val="0012436B"/>
    <w:rsid w:val="0012437D"/>
    <w:rsid w:val="00124396"/>
    <w:rsid w:val="001244AE"/>
    <w:rsid w:val="001244BE"/>
    <w:rsid w:val="00124529"/>
    <w:rsid w:val="0012458C"/>
    <w:rsid w:val="00124624"/>
    <w:rsid w:val="0012463B"/>
    <w:rsid w:val="00124733"/>
    <w:rsid w:val="001247E2"/>
    <w:rsid w:val="00124A27"/>
    <w:rsid w:val="00124AAD"/>
    <w:rsid w:val="00124AC4"/>
    <w:rsid w:val="00124B58"/>
    <w:rsid w:val="00124D2F"/>
    <w:rsid w:val="00124D56"/>
    <w:rsid w:val="00124D5B"/>
    <w:rsid w:val="00124DC1"/>
    <w:rsid w:val="00124ECB"/>
    <w:rsid w:val="00124EE3"/>
    <w:rsid w:val="00124EEB"/>
    <w:rsid w:val="00124F83"/>
    <w:rsid w:val="00125045"/>
    <w:rsid w:val="00125097"/>
    <w:rsid w:val="001250AA"/>
    <w:rsid w:val="00125116"/>
    <w:rsid w:val="001251DE"/>
    <w:rsid w:val="00125202"/>
    <w:rsid w:val="0012523B"/>
    <w:rsid w:val="00125276"/>
    <w:rsid w:val="0012530C"/>
    <w:rsid w:val="001253EB"/>
    <w:rsid w:val="00125459"/>
    <w:rsid w:val="0012549B"/>
    <w:rsid w:val="00125542"/>
    <w:rsid w:val="00125574"/>
    <w:rsid w:val="001255B7"/>
    <w:rsid w:val="001256B6"/>
    <w:rsid w:val="0012584E"/>
    <w:rsid w:val="00125AE9"/>
    <w:rsid w:val="00125AFC"/>
    <w:rsid w:val="00125C38"/>
    <w:rsid w:val="00125C76"/>
    <w:rsid w:val="00125F9F"/>
    <w:rsid w:val="00125FA4"/>
    <w:rsid w:val="0012602F"/>
    <w:rsid w:val="0012610B"/>
    <w:rsid w:val="001263D5"/>
    <w:rsid w:val="001263F9"/>
    <w:rsid w:val="0012664F"/>
    <w:rsid w:val="0012668A"/>
    <w:rsid w:val="0012673E"/>
    <w:rsid w:val="001267A3"/>
    <w:rsid w:val="001267C1"/>
    <w:rsid w:val="001267D2"/>
    <w:rsid w:val="001269DC"/>
    <w:rsid w:val="00126A4B"/>
    <w:rsid w:val="00126D46"/>
    <w:rsid w:val="00126E56"/>
    <w:rsid w:val="00126F36"/>
    <w:rsid w:val="00126F88"/>
    <w:rsid w:val="00126FC8"/>
    <w:rsid w:val="001270FA"/>
    <w:rsid w:val="0012710C"/>
    <w:rsid w:val="00127343"/>
    <w:rsid w:val="00127463"/>
    <w:rsid w:val="001275A7"/>
    <w:rsid w:val="0012774E"/>
    <w:rsid w:val="00127829"/>
    <w:rsid w:val="00127869"/>
    <w:rsid w:val="00127B1A"/>
    <w:rsid w:val="00127C3D"/>
    <w:rsid w:val="00127CF6"/>
    <w:rsid w:val="00127ED9"/>
    <w:rsid w:val="00127F2B"/>
    <w:rsid w:val="00130053"/>
    <w:rsid w:val="001302B7"/>
    <w:rsid w:val="001303D8"/>
    <w:rsid w:val="00130407"/>
    <w:rsid w:val="001304C4"/>
    <w:rsid w:val="001304EA"/>
    <w:rsid w:val="0013056A"/>
    <w:rsid w:val="0013064A"/>
    <w:rsid w:val="001307A2"/>
    <w:rsid w:val="00130B44"/>
    <w:rsid w:val="00130B62"/>
    <w:rsid w:val="00130B64"/>
    <w:rsid w:val="00130B79"/>
    <w:rsid w:val="00130C4C"/>
    <w:rsid w:val="00130CA6"/>
    <w:rsid w:val="00130D5A"/>
    <w:rsid w:val="00130EA9"/>
    <w:rsid w:val="0013110F"/>
    <w:rsid w:val="00131149"/>
    <w:rsid w:val="001311DD"/>
    <w:rsid w:val="001312A3"/>
    <w:rsid w:val="001313BC"/>
    <w:rsid w:val="0013149F"/>
    <w:rsid w:val="0013153C"/>
    <w:rsid w:val="0013191C"/>
    <w:rsid w:val="001319BF"/>
    <w:rsid w:val="00131A1C"/>
    <w:rsid w:val="00131A44"/>
    <w:rsid w:val="00131AD3"/>
    <w:rsid w:val="00131B37"/>
    <w:rsid w:val="00131BB6"/>
    <w:rsid w:val="00131BFB"/>
    <w:rsid w:val="00131C44"/>
    <w:rsid w:val="00131C54"/>
    <w:rsid w:val="00131C7A"/>
    <w:rsid w:val="00131CC1"/>
    <w:rsid w:val="00131CDF"/>
    <w:rsid w:val="00131EBF"/>
    <w:rsid w:val="00131F3A"/>
    <w:rsid w:val="00131F3E"/>
    <w:rsid w:val="00131F47"/>
    <w:rsid w:val="001321A1"/>
    <w:rsid w:val="001321E2"/>
    <w:rsid w:val="0013220F"/>
    <w:rsid w:val="00132386"/>
    <w:rsid w:val="001323E3"/>
    <w:rsid w:val="00132407"/>
    <w:rsid w:val="001326B0"/>
    <w:rsid w:val="0013271B"/>
    <w:rsid w:val="00132750"/>
    <w:rsid w:val="001328CB"/>
    <w:rsid w:val="00132A28"/>
    <w:rsid w:val="00132AC8"/>
    <w:rsid w:val="00132C61"/>
    <w:rsid w:val="00132D8A"/>
    <w:rsid w:val="00132DAC"/>
    <w:rsid w:val="00132DB4"/>
    <w:rsid w:val="00132E80"/>
    <w:rsid w:val="00132F90"/>
    <w:rsid w:val="00133038"/>
    <w:rsid w:val="001330D3"/>
    <w:rsid w:val="0013324D"/>
    <w:rsid w:val="00133277"/>
    <w:rsid w:val="00133399"/>
    <w:rsid w:val="00133406"/>
    <w:rsid w:val="00133484"/>
    <w:rsid w:val="00133610"/>
    <w:rsid w:val="00133655"/>
    <w:rsid w:val="00133741"/>
    <w:rsid w:val="0013374D"/>
    <w:rsid w:val="001338CB"/>
    <w:rsid w:val="00133A6F"/>
    <w:rsid w:val="00133B93"/>
    <w:rsid w:val="00133C42"/>
    <w:rsid w:val="00133E32"/>
    <w:rsid w:val="00133ECA"/>
    <w:rsid w:val="00133EE0"/>
    <w:rsid w:val="00133F53"/>
    <w:rsid w:val="00133F7C"/>
    <w:rsid w:val="001340C0"/>
    <w:rsid w:val="001340C2"/>
    <w:rsid w:val="00134161"/>
    <w:rsid w:val="00134340"/>
    <w:rsid w:val="001343A9"/>
    <w:rsid w:val="0013440A"/>
    <w:rsid w:val="0013454C"/>
    <w:rsid w:val="001345AF"/>
    <w:rsid w:val="001345DB"/>
    <w:rsid w:val="001346F3"/>
    <w:rsid w:val="00134760"/>
    <w:rsid w:val="001347AD"/>
    <w:rsid w:val="0013480B"/>
    <w:rsid w:val="001348AB"/>
    <w:rsid w:val="001349B3"/>
    <w:rsid w:val="00134AE3"/>
    <w:rsid w:val="00134B68"/>
    <w:rsid w:val="00134B82"/>
    <w:rsid w:val="00134BD0"/>
    <w:rsid w:val="00134D53"/>
    <w:rsid w:val="00134F63"/>
    <w:rsid w:val="00134FC7"/>
    <w:rsid w:val="001350AE"/>
    <w:rsid w:val="001350EC"/>
    <w:rsid w:val="001353FE"/>
    <w:rsid w:val="00135429"/>
    <w:rsid w:val="0013543F"/>
    <w:rsid w:val="0013568B"/>
    <w:rsid w:val="00135786"/>
    <w:rsid w:val="00135871"/>
    <w:rsid w:val="00135A39"/>
    <w:rsid w:val="00135AC5"/>
    <w:rsid w:val="00135BD6"/>
    <w:rsid w:val="00135C28"/>
    <w:rsid w:val="00135CCB"/>
    <w:rsid w:val="00135DED"/>
    <w:rsid w:val="00135F5F"/>
    <w:rsid w:val="00135F7A"/>
    <w:rsid w:val="001360C7"/>
    <w:rsid w:val="00136118"/>
    <w:rsid w:val="00136174"/>
    <w:rsid w:val="0013617A"/>
    <w:rsid w:val="001361C7"/>
    <w:rsid w:val="0013621D"/>
    <w:rsid w:val="00136260"/>
    <w:rsid w:val="00136419"/>
    <w:rsid w:val="001364B9"/>
    <w:rsid w:val="00136513"/>
    <w:rsid w:val="00136765"/>
    <w:rsid w:val="001368F8"/>
    <w:rsid w:val="00136B09"/>
    <w:rsid w:val="00136B70"/>
    <w:rsid w:val="00136B91"/>
    <w:rsid w:val="00136C12"/>
    <w:rsid w:val="00136C1A"/>
    <w:rsid w:val="00136E26"/>
    <w:rsid w:val="00136F88"/>
    <w:rsid w:val="00136FFB"/>
    <w:rsid w:val="0013701D"/>
    <w:rsid w:val="0013709D"/>
    <w:rsid w:val="001371B6"/>
    <w:rsid w:val="001371DA"/>
    <w:rsid w:val="00137349"/>
    <w:rsid w:val="00137370"/>
    <w:rsid w:val="001373FC"/>
    <w:rsid w:val="001374C6"/>
    <w:rsid w:val="001374E7"/>
    <w:rsid w:val="001375F8"/>
    <w:rsid w:val="0013779F"/>
    <w:rsid w:val="00137864"/>
    <w:rsid w:val="001378BB"/>
    <w:rsid w:val="001379F0"/>
    <w:rsid w:val="00137A3C"/>
    <w:rsid w:val="00137C07"/>
    <w:rsid w:val="00137D07"/>
    <w:rsid w:val="00137ECD"/>
    <w:rsid w:val="00140085"/>
    <w:rsid w:val="001400C1"/>
    <w:rsid w:val="001400C8"/>
    <w:rsid w:val="001400E0"/>
    <w:rsid w:val="001403A5"/>
    <w:rsid w:val="0014043C"/>
    <w:rsid w:val="0014048E"/>
    <w:rsid w:val="001406D1"/>
    <w:rsid w:val="001406FF"/>
    <w:rsid w:val="00140778"/>
    <w:rsid w:val="00140796"/>
    <w:rsid w:val="00140916"/>
    <w:rsid w:val="0014091C"/>
    <w:rsid w:val="001409D5"/>
    <w:rsid w:val="00140A25"/>
    <w:rsid w:val="00140A40"/>
    <w:rsid w:val="00140A8C"/>
    <w:rsid w:val="00140C83"/>
    <w:rsid w:val="00140CBA"/>
    <w:rsid w:val="00140CDA"/>
    <w:rsid w:val="00140D67"/>
    <w:rsid w:val="00140DA1"/>
    <w:rsid w:val="00140E42"/>
    <w:rsid w:val="00140EDC"/>
    <w:rsid w:val="00140F4B"/>
    <w:rsid w:val="00141046"/>
    <w:rsid w:val="0014104C"/>
    <w:rsid w:val="001411A5"/>
    <w:rsid w:val="00141347"/>
    <w:rsid w:val="001414CB"/>
    <w:rsid w:val="001417A5"/>
    <w:rsid w:val="0014182D"/>
    <w:rsid w:val="0014188D"/>
    <w:rsid w:val="0014189E"/>
    <w:rsid w:val="001419A8"/>
    <w:rsid w:val="001419B4"/>
    <w:rsid w:val="00141AD2"/>
    <w:rsid w:val="00141B04"/>
    <w:rsid w:val="00141B1C"/>
    <w:rsid w:val="00141B29"/>
    <w:rsid w:val="00141B96"/>
    <w:rsid w:val="00141C34"/>
    <w:rsid w:val="00141E00"/>
    <w:rsid w:val="00141E28"/>
    <w:rsid w:val="00141F4A"/>
    <w:rsid w:val="00141FE3"/>
    <w:rsid w:val="00142037"/>
    <w:rsid w:val="0014205D"/>
    <w:rsid w:val="001420F9"/>
    <w:rsid w:val="001420FD"/>
    <w:rsid w:val="00142394"/>
    <w:rsid w:val="00142435"/>
    <w:rsid w:val="00142459"/>
    <w:rsid w:val="00142468"/>
    <w:rsid w:val="0014261D"/>
    <w:rsid w:val="00142653"/>
    <w:rsid w:val="00142680"/>
    <w:rsid w:val="001426B2"/>
    <w:rsid w:val="001427C4"/>
    <w:rsid w:val="0014288D"/>
    <w:rsid w:val="001428C3"/>
    <w:rsid w:val="001428EB"/>
    <w:rsid w:val="00142933"/>
    <w:rsid w:val="001429FD"/>
    <w:rsid w:val="00142AE0"/>
    <w:rsid w:val="00142B10"/>
    <w:rsid w:val="00142BCB"/>
    <w:rsid w:val="00142BE9"/>
    <w:rsid w:val="00142D76"/>
    <w:rsid w:val="00142D77"/>
    <w:rsid w:val="00142EFB"/>
    <w:rsid w:val="00142F32"/>
    <w:rsid w:val="00143070"/>
    <w:rsid w:val="00143115"/>
    <w:rsid w:val="0014337D"/>
    <w:rsid w:val="00143634"/>
    <w:rsid w:val="0014385F"/>
    <w:rsid w:val="001438CD"/>
    <w:rsid w:val="001438EB"/>
    <w:rsid w:val="001439FA"/>
    <w:rsid w:val="00143A37"/>
    <w:rsid w:val="00143C04"/>
    <w:rsid w:val="00143D48"/>
    <w:rsid w:val="00143DF3"/>
    <w:rsid w:val="00143E9E"/>
    <w:rsid w:val="00143F85"/>
    <w:rsid w:val="001440C6"/>
    <w:rsid w:val="0014415E"/>
    <w:rsid w:val="00144301"/>
    <w:rsid w:val="001444EE"/>
    <w:rsid w:val="001446B5"/>
    <w:rsid w:val="00144734"/>
    <w:rsid w:val="0014481F"/>
    <w:rsid w:val="00144852"/>
    <w:rsid w:val="00144857"/>
    <w:rsid w:val="001448CD"/>
    <w:rsid w:val="00144C77"/>
    <w:rsid w:val="00144C97"/>
    <w:rsid w:val="00144CDE"/>
    <w:rsid w:val="00144D56"/>
    <w:rsid w:val="00144D96"/>
    <w:rsid w:val="00144E25"/>
    <w:rsid w:val="00144E5D"/>
    <w:rsid w:val="00144FF3"/>
    <w:rsid w:val="0014500B"/>
    <w:rsid w:val="001451AF"/>
    <w:rsid w:val="0014530A"/>
    <w:rsid w:val="0014559E"/>
    <w:rsid w:val="0014560A"/>
    <w:rsid w:val="00145632"/>
    <w:rsid w:val="0014567F"/>
    <w:rsid w:val="001456CA"/>
    <w:rsid w:val="001457CD"/>
    <w:rsid w:val="00145983"/>
    <w:rsid w:val="00145C40"/>
    <w:rsid w:val="00145F4B"/>
    <w:rsid w:val="00145FEC"/>
    <w:rsid w:val="0014604F"/>
    <w:rsid w:val="00146094"/>
    <w:rsid w:val="001460A9"/>
    <w:rsid w:val="001461A1"/>
    <w:rsid w:val="00146213"/>
    <w:rsid w:val="00146315"/>
    <w:rsid w:val="001463AF"/>
    <w:rsid w:val="00146459"/>
    <w:rsid w:val="001464C2"/>
    <w:rsid w:val="00146599"/>
    <w:rsid w:val="0014660F"/>
    <w:rsid w:val="00146A52"/>
    <w:rsid w:val="00146AE6"/>
    <w:rsid w:val="00146C4C"/>
    <w:rsid w:val="00146C9E"/>
    <w:rsid w:val="00146D59"/>
    <w:rsid w:val="00146DA0"/>
    <w:rsid w:val="00146E31"/>
    <w:rsid w:val="00146F6D"/>
    <w:rsid w:val="0014723A"/>
    <w:rsid w:val="00147324"/>
    <w:rsid w:val="001473DD"/>
    <w:rsid w:val="00147533"/>
    <w:rsid w:val="001476BF"/>
    <w:rsid w:val="00147847"/>
    <w:rsid w:val="001479A3"/>
    <w:rsid w:val="001479C3"/>
    <w:rsid w:val="00147A1B"/>
    <w:rsid w:val="00147BF6"/>
    <w:rsid w:val="00147C49"/>
    <w:rsid w:val="00147DF3"/>
    <w:rsid w:val="00147F05"/>
    <w:rsid w:val="00147F2A"/>
    <w:rsid w:val="001502ED"/>
    <w:rsid w:val="001503B1"/>
    <w:rsid w:val="0015043F"/>
    <w:rsid w:val="001507A5"/>
    <w:rsid w:val="001508F9"/>
    <w:rsid w:val="0015091C"/>
    <w:rsid w:val="001509E8"/>
    <w:rsid w:val="00150A43"/>
    <w:rsid w:val="00150B18"/>
    <w:rsid w:val="00150B5D"/>
    <w:rsid w:val="00150BAE"/>
    <w:rsid w:val="00150D1E"/>
    <w:rsid w:val="00150D7A"/>
    <w:rsid w:val="00150ECE"/>
    <w:rsid w:val="00150ED9"/>
    <w:rsid w:val="00150F5E"/>
    <w:rsid w:val="00150FEC"/>
    <w:rsid w:val="001511A7"/>
    <w:rsid w:val="00151241"/>
    <w:rsid w:val="00151299"/>
    <w:rsid w:val="001513B1"/>
    <w:rsid w:val="0015165D"/>
    <w:rsid w:val="00151792"/>
    <w:rsid w:val="001517A0"/>
    <w:rsid w:val="0015180F"/>
    <w:rsid w:val="001518B2"/>
    <w:rsid w:val="00151910"/>
    <w:rsid w:val="00151918"/>
    <w:rsid w:val="0015194F"/>
    <w:rsid w:val="00151B2E"/>
    <w:rsid w:val="00151C4B"/>
    <w:rsid w:val="00151D2B"/>
    <w:rsid w:val="00151D3E"/>
    <w:rsid w:val="00151D42"/>
    <w:rsid w:val="00151DAA"/>
    <w:rsid w:val="00151E29"/>
    <w:rsid w:val="00151ED8"/>
    <w:rsid w:val="00151F36"/>
    <w:rsid w:val="00152043"/>
    <w:rsid w:val="001520F9"/>
    <w:rsid w:val="001521E4"/>
    <w:rsid w:val="0015222F"/>
    <w:rsid w:val="00152248"/>
    <w:rsid w:val="00152326"/>
    <w:rsid w:val="00152516"/>
    <w:rsid w:val="001525A3"/>
    <w:rsid w:val="0015265D"/>
    <w:rsid w:val="0015267C"/>
    <w:rsid w:val="001526AD"/>
    <w:rsid w:val="001527AA"/>
    <w:rsid w:val="0015282E"/>
    <w:rsid w:val="0015289E"/>
    <w:rsid w:val="00152922"/>
    <w:rsid w:val="001529D8"/>
    <w:rsid w:val="001529D9"/>
    <w:rsid w:val="00152A32"/>
    <w:rsid w:val="00152AE4"/>
    <w:rsid w:val="00152B9F"/>
    <w:rsid w:val="00152C0F"/>
    <w:rsid w:val="00152CC1"/>
    <w:rsid w:val="00152FAE"/>
    <w:rsid w:val="00153079"/>
    <w:rsid w:val="001530A3"/>
    <w:rsid w:val="001530C9"/>
    <w:rsid w:val="00153124"/>
    <w:rsid w:val="00153213"/>
    <w:rsid w:val="001533B4"/>
    <w:rsid w:val="0015341B"/>
    <w:rsid w:val="001535A5"/>
    <w:rsid w:val="001536D5"/>
    <w:rsid w:val="001537B7"/>
    <w:rsid w:val="00153890"/>
    <w:rsid w:val="001538E0"/>
    <w:rsid w:val="00153A20"/>
    <w:rsid w:val="00153BAA"/>
    <w:rsid w:val="00153C19"/>
    <w:rsid w:val="00153C67"/>
    <w:rsid w:val="00153D99"/>
    <w:rsid w:val="00153DA5"/>
    <w:rsid w:val="00153F49"/>
    <w:rsid w:val="00153FA4"/>
    <w:rsid w:val="00154157"/>
    <w:rsid w:val="0015416F"/>
    <w:rsid w:val="001541D4"/>
    <w:rsid w:val="0015423A"/>
    <w:rsid w:val="00154270"/>
    <w:rsid w:val="0015428F"/>
    <w:rsid w:val="00154318"/>
    <w:rsid w:val="00154530"/>
    <w:rsid w:val="00154575"/>
    <w:rsid w:val="0015457A"/>
    <w:rsid w:val="00154811"/>
    <w:rsid w:val="00154BD5"/>
    <w:rsid w:val="00154CE8"/>
    <w:rsid w:val="00154D34"/>
    <w:rsid w:val="00154D5B"/>
    <w:rsid w:val="00154E09"/>
    <w:rsid w:val="0015503B"/>
    <w:rsid w:val="00155044"/>
    <w:rsid w:val="0015513E"/>
    <w:rsid w:val="001552EB"/>
    <w:rsid w:val="001553AE"/>
    <w:rsid w:val="00155522"/>
    <w:rsid w:val="0015553A"/>
    <w:rsid w:val="001557E2"/>
    <w:rsid w:val="0015585A"/>
    <w:rsid w:val="00155B75"/>
    <w:rsid w:val="00155C95"/>
    <w:rsid w:val="00155D85"/>
    <w:rsid w:val="0015605E"/>
    <w:rsid w:val="00156087"/>
    <w:rsid w:val="00156091"/>
    <w:rsid w:val="001560B7"/>
    <w:rsid w:val="001560FB"/>
    <w:rsid w:val="00156192"/>
    <w:rsid w:val="001561D8"/>
    <w:rsid w:val="0015630A"/>
    <w:rsid w:val="001564E0"/>
    <w:rsid w:val="00156688"/>
    <w:rsid w:val="001566C0"/>
    <w:rsid w:val="001567B8"/>
    <w:rsid w:val="001569C1"/>
    <w:rsid w:val="00156B71"/>
    <w:rsid w:val="00156C48"/>
    <w:rsid w:val="00156D41"/>
    <w:rsid w:val="00156D4E"/>
    <w:rsid w:val="00156DEE"/>
    <w:rsid w:val="00156E28"/>
    <w:rsid w:val="00156E92"/>
    <w:rsid w:val="0015714C"/>
    <w:rsid w:val="00157245"/>
    <w:rsid w:val="00157343"/>
    <w:rsid w:val="00157443"/>
    <w:rsid w:val="00157487"/>
    <w:rsid w:val="001574A6"/>
    <w:rsid w:val="00157501"/>
    <w:rsid w:val="00157759"/>
    <w:rsid w:val="001577B8"/>
    <w:rsid w:val="00157833"/>
    <w:rsid w:val="00157969"/>
    <w:rsid w:val="00157A38"/>
    <w:rsid w:val="00157B8D"/>
    <w:rsid w:val="00157D44"/>
    <w:rsid w:val="00157DA9"/>
    <w:rsid w:val="00157F3F"/>
    <w:rsid w:val="00157FC3"/>
    <w:rsid w:val="0016002A"/>
    <w:rsid w:val="001600ED"/>
    <w:rsid w:val="0016012C"/>
    <w:rsid w:val="00160429"/>
    <w:rsid w:val="001604F4"/>
    <w:rsid w:val="001606CF"/>
    <w:rsid w:val="0016073B"/>
    <w:rsid w:val="00160757"/>
    <w:rsid w:val="0016088F"/>
    <w:rsid w:val="00160A0D"/>
    <w:rsid w:val="00160A33"/>
    <w:rsid w:val="00160B33"/>
    <w:rsid w:val="00160B9B"/>
    <w:rsid w:val="00160E35"/>
    <w:rsid w:val="00160E37"/>
    <w:rsid w:val="00160E98"/>
    <w:rsid w:val="00160F0E"/>
    <w:rsid w:val="00160FD9"/>
    <w:rsid w:val="00161227"/>
    <w:rsid w:val="0016128D"/>
    <w:rsid w:val="00161480"/>
    <w:rsid w:val="001614FC"/>
    <w:rsid w:val="00161513"/>
    <w:rsid w:val="001615A2"/>
    <w:rsid w:val="00161610"/>
    <w:rsid w:val="001616DF"/>
    <w:rsid w:val="0016197C"/>
    <w:rsid w:val="00161B31"/>
    <w:rsid w:val="00161B4F"/>
    <w:rsid w:val="00161BD3"/>
    <w:rsid w:val="00161C3B"/>
    <w:rsid w:val="00161DCD"/>
    <w:rsid w:val="00161DE1"/>
    <w:rsid w:val="00161DF0"/>
    <w:rsid w:val="00161EDB"/>
    <w:rsid w:val="00161F70"/>
    <w:rsid w:val="00162056"/>
    <w:rsid w:val="00162069"/>
    <w:rsid w:val="001620C1"/>
    <w:rsid w:val="0016229E"/>
    <w:rsid w:val="00162430"/>
    <w:rsid w:val="00162469"/>
    <w:rsid w:val="00162476"/>
    <w:rsid w:val="001627EF"/>
    <w:rsid w:val="001628E2"/>
    <w:rsid w:val="001629C5"/>
    <w:rsid w:val="00162A09"/>
    <w:rsid w:val="00162AB3"/>
    <w:rsid w:val="00162AD0"/>
    <w:rsid w:val="00162C4F"/>
    <w:rsid w:val="00162D58"/>
    <w:rsid w:val="00162D68"/>
    <w:rsid w:val="00162DFC"/>
    <w:rsid w:val="00162E21"/>
    <w:rsid w:val="00162FD0"/>
    <w:rsid w:val="001631A0"/>
    <w:rsid w:val="00163469"/>
    <w:rsid w:val="001634C0"/>
    <w:rsid w:val="00163622"/>
    <w:rsid w:val="00163665"/>
    <w:rsid w:val="001636B7"/>
    <w:rsid w:val="00163760"/>
    <w:rsid w:val="00163AA6"/>
    <w:rsid w:val="00163BF4"/>
    <w:rsid w:val="00163CCB"/>
    <w:rsid w:val="00163DB7"/>
    <w:rsid w:val="00163E02"/>
    <w:rsid w:val="00163E44"/>
    <w:rsid w:val="00163FA6"/>
    <w:rsid w:val="00164210"/>
    <w:rsid w:val="0016423E"/>
    <w:rsid w:val="00164244"/>
    <w:rsid w:val="001642B7"/>
    <w:rsid w:val="001643A3"/>
    <w:rsid w:val="00164401"/>
    <w:rsid w:val="001644FB"/>
    <w:rsid w:val="00164554"/>
    <w:rsid w:val="00164691"/>
    <w:rsid w:val="0016474B"/>
    <w:rsid w:val="00164763"/>
    <w:rsid w:val="00164964"/>
    <w:rsid w:val="0016499D"/>
    <w:rsid w:val="00164A26"/>
    <w:rsid w:val="00164A70"/>
    <w:rsid w:val="00164C12"/>
    <w:rsid w:val="00164C19"/>
    <w:rsid w:val="00164C28"/>
    <w:rsid w:val="00164DA5"/>
    <w:rsid w:val="00164E11"/>
    <w:rsid w:val="00164FC5"/>
    <w:rsid w:val="00164FED"/>
    <w:rsid w:val="00164FF4"/>
    <w:rsid w:val="001650DD"/>
    <w:rsid w:val="0016548E"/>
    <w:rsid w:val="001655AB"/>
    <w:rsid w:val="0016560A"/>
    <w:rsid w:val="001656F2"/>
    <w:rsid w:val="001657AE"/>
    <w:rsid w:val="00165866"/>
    <w:rsid w:val="00165AE8"/>
    <w:rsid w:val="00165C9C"/>
    <w:rsid w:val="00165D86"/>
    <w:rsid w:val="00165DE0"/>
    <w:rsid w:val="00165DF5"/>
    <w:rsid w:val="00165E78"/>
    <w:rsid w:val="00165ECC"/>
    <w:rsid w:val="00165FF5"/>
    <w:rsid w:val="00166000"/>
    <w:rsid w:val="00166029"/>
    <w:rsid w:val="0016602E"/>
    <w:rsid w:val="00166109"/>
    <w:rsid w:val="001663DD"/>
    <w:rsid w:val="00166596"/>
    <w:rsid w:val="00166616"/>
    <w:rsid w:val="0016673C"/>
    <w:rsid w:val="00166837"/>
    <w:rsid w:val="00166B34"/>
    <w:rsid w:val="00166B48"/>
    <w:rsid w:val="00166BF5"/>
    <w:rsid w:val="00166C13"/>
    <w:rsid w:val="00166C6C"/>
    <w:rsid w:val="00166CA7"/>
    <w:rsid w:val="00166CB4"/>
    <w:rsid w:val="00166DBC"/>
    <w:rsid w:val="00166FA7"/>
    <w:rsid w:val="00166FF3"/>
    <w:rsid w:val="0016713B"/>
    <w:rsid w:val="0016740D"/>
    <w:rsid w:val="0016750A"/>
    <w:rsid w:val="0016764E"/>
    <w:rsid w:val="001676ED"/>
    <w:rsid w:val="00167737"/>
    <w:rsid w:val="00167750"/>
    <w:rsid w:val="00167804"/>
    <w:rsid w:val="001678C5"/>
    <w:rsid w:val="001678FE"/>
    <w:rsid w:val="00167946"/>
    <w:rsid w:val="001679F1"/>
    <w:rsid w:val="00167B0D"/>
    <w:rsid w:val="00167BE8"/>
    <w:rsid w:val="00167CF8"/>
    <w:rsid w:val="00167DB4"/>
    <w:rsid w:val="00167F12"/>
    <w:rsid w:val="00170092"/>
    <w:rsid w:val="001700FF"/>
    <w:rsid w:val="00170267"/>
    <w:rsid w:val="001703F8"/>
    <w:rsid w:val="0017042B"/>
    <w:rsid w:val="0017044D"/>
    <w:rsid w:val="001704E1"/>
    <w:rsid w:val="0017067D"/>
    <w:rsid w:val="0017077E"/>
    <w:rsid w:val="0017089D"/>
    <w:rsid w:val="0017094A"/>
    <w:rsid w:val="00170C87"/>
    <w:rsid w:val="00170C8A"/>
    <w:rsid w:val="00170DF2"/>
    <w:rsid w:val="00170E99"/>
    <w:rsid w:val="00170F72"/>
    <w:rsid w:val="0017102E"/>
    <w:rsid w:val="001711B6"/>
    <w:rsid w:val="001711C1"/>
    <w:rsid w:val="00171209"/>
    <w:rsid w:val="001712CE"/>
    <w:rsid w:val="001713D8"/>
    <w:rsid w:val="001714F2"/>
    <w:rsid w:val="00171541"/>
    <w:rsid w:val="00171548"/>
    <w:rsid w:val="00171691"/>
    <w:rsid w:val="00171694"/>
    <w:rsid w:val="00171760"/>
    <w:rsid w:val="001717AB"/>
    <w:rsid w:val="001717C9"/>
    <w:rsid w:val="0017180C"/>
    <w:rsid w:val="0017188E"/>
    <w:rsid w:val="00171895"/>
    <w:rsid w:val="0017191F"/>
    <w:rsid w:val="00171A16"/>
    <w:rsid w:val="00171A1C"/>
    <w:rsid w:val="00171AE7"/>
    <w:rsid w:val="00171B36"/>
    <w:rsid w:val="00171C33"/>
    <w:rsid w:val="00171D3C"/>
    <w:rsid w:val="001720BF"/>
    <w:rsid w:val="001720C0"/>
    <w:rsid w:val="00172160"/>
    <w:rsid w:val="00172308"/>
    <w:rsid w:val="0017244F"/>
    <w:rsid w:val="0017247E"/>
    <w:rsid w:val="001728BC"/>
    <w:rsid w:val="0017290B"/>
    <w:rsid w:val="00172939"/>
    <w:rsid w:val="00172960"/>
    <w:rsid w:val="001729BC"/>
    <w:rsid w:val="00172A01"/>
    <w:rsid w:val="00172C65"/>
    <w:rsid w:val="00172C88"/>
    <w:rsid w:val="00172EB3"/>
    <w:rsid w:val="00172F31"/>
    <w:rsid w:val="00173224"/>
    <w:rsid w:val="001733C6"/>
    <w:rsid w:val="001733EB"/>
    <w:rsid w:val="001735CE"/>
    <w:rsid w:val="001735D8"/>
    <w:rsid w:val="001738F4"/>
    <w:rsid w:val="001739D7"/>
    <w:rsid w:val="00173A43"/>
    <w:rsid w:val="00173A9E"/>
    <w:rsid w:val="00173B3F"/>
    <w:rsid w:val="00173B7E"/>
    <w:rsid w:val="00173D92"/>
    <w:rsid w:val="00173DC0"/>
    <w:rsid w:val="00173ECF"/>
    <w:rsid w:val="00173F50"/>
    <w:rsid w:val="00174082"/>
    <w:rsid w:val="00174165"/>
    <w:rsid w:val="001741BE"/>
    <w:rsid w:val="00174240"/>
    <w:rsid w:val="00174277"/>
    <w:rsid w:val="0017439B"/>
    <w:rsid w:val="0017446A"/>
    <w:rsid w:val="00174777"/>
    <w:rsid w:val="0017485D"/>
    <w:rsid w:val="0017493A"/>
    <w:rsid w:val="00174A0A"/>
    <w:rsid w:val="00174AC7"/>
    <w:rsid w:val="00174B00"/>
    <w:rsid w:val="00174B3E"/>
    <w:rsid w:val="00174D57"/>
    <w:rsid w:val="00174DEF"/>
    <w:rsid w:val="00174EE1"/>
    <w:rsid w:val="001750AC"/>
    <w:rsid w:val="00175103"/>
    <w:rsid w:val="001754D8"/>
    <w:rsid w:val="00175533"/>
    <w:rsid w:val="00175657"/>
    <w:rsid w:val="001757BC"/>
    <w:rsid w:val="001759EA"/>
    <w:rsid w:val="00175A26"/>
    <w:rsid w:val="00175A4F"/>
    <w:rsid w:val="00175B24"/>
    <w:rsid w:val="00175B4B"/>
    <w:rsid w:val="00176027"/>
    <w:rsid w:val="0017605F"/>
    <w:rsid w:val="00176148"/>
    <w:rsid w:val="00176224"/>
    <w:rsid w:val="001763CC"/>
    <w:rsid w:val="001763D7"/>
    <w:rsid w:val="0017657A"/>
    <w:rsid w:val="0017666D"/>
    <w:rsid w:val="0017674F"/>
    <w:rsid w:val="0017675D"/>
    <w:rsid w:val="001767D1"/>
    <w:rsid w:val="001767F9"/>
    <w:rsid w:val="0017681A"/>
    <w:rsid w:val="00176854"/>
    <w:rsid w:val="001768C1"/>
    <w:rsid w:val="00176A49"/>
    <w:rsid w:val="00176B5E"/>
    <w:rsid w:val="00176CF7"/>
    <w:rsid w:val="00176D39"/>
    <w:rsid w:val="00176D5F"/>
    <w:rsid w:val="00176DC7"/>
    <w:rsid w:val="00176DE3"/>
    <w:rsid w:val="00176E96"/>
    <w:rsid w:val="00176EC9"/>
    <w:rsid w:val="00176F1F"/>
    <w:rsid w:val="00176F39"/>
    <w:rsid w:val="0017723A"/>
    <w:rsid w:val="00177245"/>
    <w:rsid w:val="00177289"/>
    <w:rsid w:val="001772D3"/>
    <w:rsid w:val="0017740C"/>
    <w:rsid w:val="0017746F"/>
    <w:rsid w:val="00177535"/>
    <w:rsid w:val="0017761B"/>
    <w:rsid w:val="0017766C"/>
    <w:rsid w:val="00177693"/>
    <w:rsid w:val="00177904"/>
    <w:rsid w:val="00177AB0"/>
    <w:rsid w:val="00177AF9"/>
    <w:rsid w:val="00177BB1"/>
    <w:rsid w:val="00177CD9"/>
    <w:rsid w:val="00177CF0"/>
    <w:rsid w:val="00177D95"/>
    <w:rsid w:val="00177E93"/>
    <w:rsid w:val="00177EA5"/>
    <w:rsid w:val="00177F81"/>
    <w:rsid w:val="00177F9D"/>
    <w:rsid w:val="00177FC1"/>
    <w:rsid w:val="00180000"/>
    <w:rsid w:val="001800A2"/>
    <w:rsid w:val="001800B9"/>
    <w:rsid w:val="001801A3"/>
    <w:rsid w:val="001801A4"/>
    <w:rsid w:val="00180300"/>
    <w:rsid w:val="001805C1"/>
    <w:rsid w:val="00180624"/>
    <w:rsid w:val="00180643"/>
    <w:rsid w:val="0018064A"/>
    <w:rsid w:val="00180679"/>
    <w:rsid w:val="00180718"/>
    <w:rsid w:val="001807A7"/>
    <w:rsid w:val="001807F0"/>
    <w:rsid w:val="001808EA"/>
    <w:rsid w:val="001809C6"/>
    <w:rsid w:val="00180B4A"/>
    <w:rsid w:val="00180BC6"/>
    <w:rsid w:val="00180C20"/>
    <w:rsid w:val="00180C98"/>
    <w:rsid w:val="00180DC4"/>
    <w:rsid w:val="00180F62"/>
    <w:rsid w:val="0018122D"/>
    <w:rsid w:val="00181270"/>
    <w:rsid w:val="0018127A"/>
    <w:rsid w:val="00181339"/>
    <w:rsid w:val="00181483"/>
    <w:rsid w:val="0018148B"/>
    <w:rsid w:val="00181516"/>
    <w:rsid w:val="001815BA"/>
    <w:rsid w:val="001815BB"/>
    <w:rsid w:val="001815C9"/>
    <w:rsid w:val="001815CA"/>
    <w:rsid w:val="00181682"/>
    <w:rsid w:val="0018173F"/>
    <w:rsid w:val="0018177B"/>
    <w:rsid w:val="0018178C"/>
    <w:rsid w:val="001818E9"/>
    <w:rsid w:val="00181A03"/>
    <w:rsid w:val="00181A5C"/>
    <w:rsid w:val="00181AAA"/>
    <w:rsid w:val="00181D1D"/>
    <w:rsid w:val="00181D78"/>
    <w:rsid w:val="00181FEA"/>
    <w:rsid w:val="00182039"/>
    <w:rsid w:val="001820B0"/>
    <w:rsid w:val="001820E4"/>
    <w:rsid w:val="001820EC"/>
    <w:rsid w:val="0018211F"/>
    <w:rsid w:val="0018212E"/>
    <w:rsid w:val="00182163"/>
    <w:rsid w:val="00182234"/>
    <w:rsid w:val="0018237A"/>
    <w:rsid w:val="00182386"/>
    <w:rsid w:val="00182423"/>
    <w:rsid w:val="0018244B"/>
    <w:rsid w:val="00182491"/>
    <w:rsid w:val="001826AB"/>
    <w:rsid w:val="001827BC"/>
    <w:rsid w:val="001828D1"/>
    <w:rsid w:val="00182A4E"/>
    <w:rsid w:val="00182ABB"/>
    <w:rsid w:val="00182B69"/>
    <w:rsid w:val="00182BB3"/>
    <w:rsid w:val="00182C61"/>
    <w:rsid w:val="00182D00"/>
    <w:rsid w:val="00182DF5"/>
    <w:rsid w:val="00182F95"/>
    <w:rsid w:val="00182FF5"/>
    <w:rsid w:val="0018323A"/>
    <w:rsid w:val="00183285"/>
    <w:rsid w:val="0018333E"/>
    <w:rsid w:val="00183438"/>
    <w:rsid w:val="00183452"/>
    <w:rsid w:val="00183465"/>
    <w:rsid w:val="0018350D"/>
    <w:rsid w:val="00183526"/>
    <w:rsid w:val="00183739"/>
    <w:rsid w:val="0018381E"/>
    <w:rsid w:val="00183834"/>
    <w:rsid w:val="00183A1C"/>
    <w:rsid w:val="00183A9C"/>
    <w:rsid w:val="00183C24"/>
    <w:rsid w:val="00183D18"/>
    <w:rsid w:val="00183D4F"/>
    <w:rsid w:val="00183DB7"/>
    <w:rsid w:val="00183E26"/>
    <w:rsid w:val="00183E52"/>
    <w:rsid w:val="00183EAA"/>
    <w:rsid w:val="00183F58"/>
    <w:rsid w:val="001840AA"/>
    <w:rsid w:val="00184267"/>
    <w:rsid w:val="001842DC"/>
    <w:rsid w:val="001843B4"/>
    <w:rsid w:val="00184501"/>
    <w:rsid w:val="0018453C"/>
    <w:rsid w:val="0018456E"/>
    <w:rsid w:val="001845D7"/>
    <w:rsid w:val="00184884"/>
    <w:rsid w:val="00184919"/>
    <w:rsid w:val="0018492D"/>
    <w:rsid w:val="0018493D"/>
    <w:rsid w:val="00184A19"/>
    <w:rsid w:val="00184B18"/>
    <w:rsid w:val="00184C6E"/>
    <w:rsid w:val="00184E33"/>
    <w:rsid w:val="00184F2E"/>
    <w:rsid w:val="00184F90"/>
    <w:rsid w:val="0018503F"/>
    <w:rsid w:val="001850E2"/>
    <w:rsid w:val="00185131"/>
    <w:rsid w:val="001851FE"/>
    <w:rsid w:val="0018523C"/>
    <w:rsid w:val="001855B3"/>
    <w:rsid w:val="001855BF"/>
    <w:rsid w:val="0018564E"/>
    <w:rsid w:val="001856CA"/>
    <w:rsid w:val="00185822"/>
    <w:rsid w:val="00185854"/>
    <w:rsid w:val="001858C8"/>
    <w:rsid w:val="00185AC9"/>
    <w:rsid w:val="00185BDC"/>
    <w:rsid w:val="00185BF4"/>
    <w:rsid w:val="00185C0D"/>
    <w:rsid w:val="00185D0F"/>
    <w:rsid w:val="00185D8E"/>
    <w:rsid w:val="00185DD5"/>
    <w:rsid w:val="00185E3D"/>
    <w:rsid w:val="00186019"/>
    <w:rsid w:val="001861A9"/>
    <w:rsid w:val="001861ED"/>
    <w:rsid w:val="001865C3"/>
    <w:rsid w:val="00186605"/>
    <w:rsid w:val="001868CE"/>
    <w:rsid w:val="00186994"/>
    <w:rsid w:val="00186AA5"/>
    <w:rsid w:val="00186AB5"/>
    <w:rsid w:val="00186AC6"/>
    <w:rsid w:val="00186B25"/>
    <w:rsid w:val="00186B7F"/>
    <w:rsid w:val="00186C2A"/>
    <w:rsid w:val="00186DA0"/>
    <w:rsid w:val="00186DB0"/>
    <w:rsid w:val="00186DC2"/>
    <w:rsid w:val="00186E35"/>
    <w:rsid w:val="00187115"/>
    <w:rsid w:val="001872E7"/>
    <w:rsid w:val="001873F3"/>
    <w:rsid w:val="00187435"/>
    <w:rsid w:val="0018765D"/>
    <w:rsid w:val="001876F7"/>
    <w:rsid w:val="00187745"/>
    <w:rsid w:val="0018785E"/>
    <w:rsid w:val="00187A3F"/>
    <w:rsid w:val="00187BFE"/>
    <w:rsid w:val="00187C8D"/>
    <w:rsid w:val="00187D79"/>
    <w:rsid w:val="00187EC2"/>
    <w:rsid w:val="00187F78"/>
    <w:rsid w:val="001900B6"/>
    <w:rsid w:val="0019015C"/>
    <w:rsid w:val="001901DD"/>
    <w:rsid w:val="0019032D"/>
    <w:rsid w:val="001903DF"/>
    <w:rsid w:val="00190447"/>
    <w:rsid w:val="00190462"/>
    <w:rsid w:val="001905F0"/>
    <w:rsid w:val="00190624"/>
    <w:rsid w:val="00190638"/>
    <w:rsid w:val="001907F4"/>
    <w:rsid w:val="001908E1"/>
    <w:rsid w:val="00190908"/>
    <w:rsid w:val="00190A56"/>
    <w:rsid w:val="00190B4F"/>
    <w:rsid w:val="00190F35"/>
    <w:rsid w:val="0019101A"/>
    <w:rsid w:val="00191058"/>
    <w:rsid w:val="00191064"/>
    <w:rsid w:val="0019132A"/>
    <w:rsid w:val="0019136C"/>
    <w:rsid w:val="00191381"/>
    <w:rsid w:val="0019143A"/>
    <w:rsid w:val="001914BD"/>
    <w:rsid w:val="00191556"/>
    <w:rsid w:val="0019181F"/>
    <w:rsid w:val="00191917"/>
    <w:rsid w:val="00191DE1"/>
    <w:rsid w:val="00191E94"/>
    <w:rsid w:val="00191F96"/>
    <w:rsid w:val="0019226C"/>
    <w:rsid w:val="0019235C"/>
    <w:rsid w:val="001924E1"/>
    <w:rsid w:val="0019261D"/>
    <w:rsid w:val="001927E9"/>
    <w:rsid w:val="00192802"/>
    <w:rsid w:val="00192892"/>
    <w:rsid w:val="001928D7"/>
    <w:rsid w:val="001929B1"/>
    <w:rsid w:val="00192A5D"/>
    <w:rsid w:val="00192AA3"/>
    <w:rsid w:val="00192C0D"/>
    <w:rsid w:val="00192EE0"/>
    <w:rsid w:val="001931B5"/>
    <w:rsid w:val="001931C4"/>
    <w:rsid w:val="001932C0"/>
    <w:rsid w:val="00193669"/>
    <w:rsid w:val="001936CF"/>
    <w:rsid w:val="001936D3"/>
    <w:rsid w:val="00193790"/>
    <w:rsid w:val="00193928"/>
    <w:rsid w:val="0019393B"/>
    <w:rsid w:val="001939D8"/>
    <w:rsid w:val="00193AED"/>
    <w:rsid w:val="00193B10"/>
    <w:rsid w:val="00193B85"/>
    <w:rsid w:val="00193D32"/>
    <w:rsid w:val="00193D41"/>
    <w:rsid w:val="00193D54"/>
    <w:rsid w:val="00193DC0"/>
    <w:rsid w:val="00193ECE"/>
    <w:rsid w:val="00193F16"/>
    <w:rsid w:val="00193F58"/>
    <w:rsid w:val="00193FBA"/>
    <w:rsid w:val="00194075"/>
    <w:rsid w:val="001940ED"/>
    <w:rsid w:val="001941C4"/>
    <w:rsid w:val="001942EC"/>
    <w:rsid w:val="00194373"/>
    <w:rsid w:val="001943FA"/>
    <w:rsid w:val="0019461A"/>
    <w:rsid w:val="00194643"/>
    <w:rsid w:val="0019472B"/>
    <w:rsid w:val="00194799"/>
    <w:rsid w:val="00194825"/>
    <w:rsid w:val="00194853"/>
    <w:rsid w:val="00194B07"/>
    <w:rsid w:val="00194B46"/>
    <w:rsid w:val="00194C3D"/>
    <w:rsid w:val="001950C7"/>
    <w:rsid w:val="00195168"/>
    <w:rsid w:val="001951A9"/>
    <w:rsid w:val="00195211"/>
    <w:rsid w:val="001952A5"/>
    <w:rsid w:val="00195354"/>
    <w:rsid w:val="0019550D"/>
    <w:rsid w:val="00195553"/>
    <w:rsid w:val="0019557E"/>
    <w:rsid w:val="001955FB"/>
    <w:rsid w:val="00195623"/>
    <w:rsid w:val="0019571F"/>
    <w:rsid w:val="00195747"/>
    <w:rsid w:val="001958B7"/>
    <w:rsid w:val="0019590F"/>
    <w:rsid w:val="001959C8"/>
    <w:rsid w:val="00195B2C"/>
    <w:rsid w:val="00195C39"/>
    <w:rsid w:val="00195C98"/>
    <w:rsid w:val="00195C9F"/>
    <w:rsid w:val="00195CE7"/>
    <w:rsid w:val="00195E50"/>
    <w:rsid w:val="0019601E"/>
    <w:rsid w:val="001960C9"/>
    <w:rsid w:val="00196154"/>
    <w:rsid w:val="00196163"/>
    <w:rsid w:val="00196278"/>
    <w:rsid w:val="00196328"/>
    <w:rsid w:val="0019645A"/>
    <w:rsid w:val="001964E9"/>
    <w:rsid w:val="0019665D"/>
    <w:rsid w:val="001966C7"/>
    <w:rsid w:val="001967E3"/>
    <w:rsid w:val="001967F0"/>
    <w:rsid w:val="0019694B"/>
    <w:rsid w:val="00196A07"/>
    <w:rsid w:val="00196A6B"/>
    <w:rsid w:val="00196AF8"/>
    <w:rsid w:val="00196BD2"/>
    <w:rsid w:val="00196CC8"/>
    <w:rsid w:val="00196E6E"/>
    <w:rsid w:val="00197029"/>
    <w:rsid w:val="00197085"/>
    <w:rsid w:val="001970CD"/>
    <w:rsid w:val="001970DE"/>
    <w:rsid w:val="0019725A"/>
    <w:rsid w:val="00197308"/>
    <w:rsid w:val="001973BB"/>
    <w:rsid w:val="001974F5"/>
    <w:rsid w:val="00197561"/>
    <w:rsid w:val="001975E0"/>
    <w:rsid w:val="001975F4"/>
    <w:rsid w:val="00197687"/>
    <w:rsid w:val="0019768D"/>
    <w:rsid w:val="00197894"/>
    <w:rsid w:val="00197A80"/>
    <w:rsid w:val="00197ACE"/>
    <w:rsid w:val="00197BFC"/>
    <w:rsid w:val="00197D03"/>
    <w:rsid w:val="00197DAB"/>
    <w:rsid w:val="00197E49"/>
    <w:rsid w:val="00197E57"/>
    <w:rsid w:val="00197F3C"/>
    <w:rsid w:val="00197F94"/>
    <w:rsid w:val="001A0032"/>
    <w:rsid w:val="001A0066"/>
    <w:rsid w:val="001A02F5"/>
    <w:rsid w:val="001A04AF"/>
    <w:rsid w:val="001A04BB"/>
    <w:rsid w:val="001A0619"/>
    <w:rsid w:val="001A0640"/>
    <w:rsid w:val="001A06C1"/>
    <w:rsid w:val="001A07EF"/>
    <w:rsid w:val="001A07FA"/>
    <w:rsid w:val="001A08E7"/>
    <w:rsid w:val="001A0A4B"/>
    <w:rsid w:val="001A0AAB"/>
    <w:rsid w:val="001A0B3D"/>
    <w:rsid w:val="001A0CA2"/>
    <w:rsid w:val="001A0CAB"/>
    <w:rsid w:val="001A0CCF"/>
    <w:rsid w:val="001A0CFE"/>
    <w:rsid w:val="001A0D66"/>
    <w:rsid w:val="001A0DBE"/>
    <w:rsid w:val="001A0EA8"/>
    <w:rsid w:val="001A0F22"/>
    <w:rsid w:val="001A0F85"/>
    <w:rsid w:val="001A0F94"/>
    <w:rsid w:val="001A1392"/>
    <w:rsid w:val="001A156D"/>
    <w:rsid w:val="001A15F9"/>
    <w:rsid w:val="001A1644"/>
    <w:rsid w:val="001A16A2"/>
    <w:rsid w:val="001A16B7"/>
    <w:rsid w:val="001A1709"/>
    <w:rsid w:val="001A172E"/>
    <w:rsid w:val="001A18D6"/>
    <w:rsid w:val="001A1A21"/>
    <w:rsid w:val="001A1A55"/>
    <w:rsid w:val="001A1B33"/>
    <w:rsid w:val="001A1BE4"/>
    <w:rsid w:val="001A1BE8"/>
    <w:rsid w:val="001A1C8E"/>
    <w:rsid w:val="001A1D73"/>
    <w:rsid w:val="001A1DC9"/>
    <w:rsid w:val="001A1E79"/>
    <w:rsid w:val="001A1F37"/>
    <w:rsid w:val="001A1F7C"/>
    <w:rsid w:val="001A1FDB"/>
    <w:rsid w:val="001A2012"/>
    <w:rsid w:val="001A201C"/>
    <w:rsid w:val="001A202F"/>
    <w:rsid w:val="001A208B"/>
    <w:rsid w:val="001A208C"/>
    <w:rsid w:val="001A209C"/>
    <w:rsid w:val="001A20A0"/>
    <w:rsid w:val="001A2168"/>
    <w:rsid w:val="001A2210"/>
    <w:rsid w:val="001A227B"/>
    <w:rsid w:val="001A24A7"/>
    <w:rsid w:val="001A24EA"/>
    <w:rsid w:val="001A25E3"/>
    <w:rsid w:val="001A270B"/>
    <w:rsid w:val="001A2742"/>
    <w:rsid w:val="001A2829"/>
    <w:rsid w:val="001A2904"/>
    <w:rsid w:val="001A2925"/>
    <w:rsid w:val="001A2A1C"/>
    <w:rsid w:val="001A2B4B"/>
    <w:rsid w:val="001A2D0F"/>
    <w:rsid w:val="001A2DFA"/>
    <w:rsid w:val="001A304C"/>
    <w:rsid w:val="001A30ED"/>
    <w:rsid w:val="001A3210"/>
    <w:rsid w:val="001A331D"/>
    <w:rsid w:val="001A3329"/>
    <w:rsid w:val="001A3516"/>
    <w:rsid w:val="001A3690"/>
    <w:rsid w:val="001A3706"/>
    <w:rsid w:val="001A3818"/>
    <w:rsid w:val="001A3824"/>
    <w:rsid w:val="001A383B"/>
    <w:rsid w:val="001A386D"/>
    <w:rsid w:val="001A38C8"/>
    <w:rsid w:val="001A38E7"/>
    <w:rsid w:val="001A394C"/>
    <w:rsid w:val="001A3AC4"/>
    <w:rsid w:val="001A3AD0"/>
    <w:rsid w:val="001A3B36"/>
    <w:rsid w:val="001A3CE2"/>
    <w:rsid w:val="001A3DD6"/>
    <w:rsid w:val="001A3E43"/>
    <w:rsid w:val="001A3E63"/>
    <w:rsid w:val="001A3FC3"/>
    <w:rsid w:val="001A4136"/>
    <w:rsid w:val="001A415E"/>
    <w:rsid w:val="001A41B4"/>
    <w:rsid w:val="001A4271"/>
    <w:rsid w:val="001A4377"/>
    <w:rsid w:val="001A44AA"/>
    <w:rsid w:val="001A44DA"/>
    <w:rsid w:val="001A44F1"/>
    <w:rsid w:val="001A4644"/>
    <w:rsid w:val="001A467C"/>
    <w:rsid w:val="001A49A7"/>
    <w:rsid w:val="001A4A74"/>
    <w:rsid w:val="001A4B07"/>
    <w:rsid w:val="001A4BD4"/>
    <w:rsid w:val="001A4BF9"/>
    <w:rsid w:val="001A4CB6"/>
    <w:rsid w:val="001A4DD5"/>
    <w:rsid w:val="001A4E64"/>
    <w:rsid w:val="001A4E80"/>
    <w:rsid w:val="001A4EA5"/>
    <w:rsid w:val="001A512C"/>
    <w:rsid w:val="001A515E"/>
    <w:rsid w:val="001A51E9"/>
    <w:rsid w:val="001A52F2"/>
    <w:rsid w:val="001A54BD"/>
    <w:rsid w:val="001A556B"/>
    <w:rsid w:val="001A55D5"/>
    <w:rsid w:val="001A5851"/>
    <w:rsid w:val="001A592A"/>
    <w:rsid w:val="001A5A4B"/>
    <w:rsid w:val="001A5A8F"/>
    <w:rsid w:val="001A5AA5"/>
    <w:rsid w:val="001A5B38"/>
    <w:rsid w:val="001A5D25"/>
    <w:rsid w:val="001A5D2E"/>
    <w:rsid w:val="001A5D8B"/>
    <w:rsid w:val="001A5E69"/>
    <w:rsid w:val="001A5F98"/>
    <w:rsid w:val="001A5FC3"/>
    <w:rsid w:val="001A608D"/>
    <w:rsid w:val="001A6104"/>
    <w:rsid w:val="001A6163"/>
    <w:rsid w:val="001A6169"/>
    <w:rsid w:val="001A61F1"/>
    <w:rsid w:val="001A6325"/>
    <w:rsid w:val="001A646C"/>
    <w:rsid w:val="001A658D"/>
    <w:rsid w:val="001A67FC"/>
    <w:rsid w:val="001A687C"/>
    <w:rsid w:val="001A6893"/>
    <w:rsid w:val="001A6960"/>
    <w:rsid w:val="001A6A11"/>
    <w:rsid w:val="001A6D47"/>
    <w:rsid w:val="001A6E27"/>
    <w:rsid w:val="001A6EBA"/>
    <w:rsid w:val="001A6F50"/>
    <w:rsid w:val="001A6F97"/>
    <w:rsid w:val="001A702D"/>
    <w:rsid w:val="001A7063"/>
    <w:rsid w:val="001A7086"/>
    <w:rsid w:val="001A7189"/>
    <w:rsid w:val="001A719E"/>
    <w:rsid w:val="001A7323"/>
    <w:rsid w:val="001A7333"/>
    <w:rsid w:val="001A7425"/>
    <w:rsid w:val="001A74C0"/>
    <w:rsid w:val="001A7648"/>
    <w:rsid w:val="001A7794"/>
    <w:rsid w:val="001A7A5B"/>
    <w:rsid w:val="001A7ACF"/>
    <w:rsid w:val="001A7AF3"/>
    <w:rsid w:val="001A7DA5"/>
    <w:rsid w:val="001A7DC1"/>
    <w:rsid w:val="001A7EA0"/>
    <w:rsid w:val="001A7EB8"/>
    <w:rsid w:val="001A7F78"/>
    <w:rsid w:val="001B0002"/>
    <w:rsid w:val="001B010D"/>
    <w:rsid w:val="001B047B"/>
    <w:rsid w:val="001B0574"/>
    <w:rsid w:val="001B05C3"/>
    <w:rsid w:val="001B066A"/>
    <w:rsid w:val="001B06AA"/>
    <w:rsid w:val="001B0772"/>
    <w:rsid w:val="001B09B4"/>
    <w:rsid w:val="001B0AD1"/>
    <w:rsid w:val="001B0BE0"/>
    <w:rsid w:val="001B0C03"/>
    <w:rsid w:val="001B0D0F"/>
    <w:rsid w:val="001B0F5F"/>
    <w:rsid w:val="001B10FC"/>
    <w:rsid w:val="001B1171"/>
    <w:rsid w:val="001B127C"/>
    <w:rsid w:val="001B1345"/>
    <w:rsid w:val="001B1389"/>
    <w:rsid w:val="001B1425"/>
    <w:rsid w:val="001B14D3"/>
    <w:rsid w:val="001B1569"/>
    <w:rsid w:val="001B15F4"/>
    <w:rsid w:val="001B15FD"/>
    <w:rsid w:val="001B172A"/>
    <w:rsid w:val="001B19D2"/>
    <w:rsid w:val="001B1A2D"/>
    <w:rsid w:val="001B1A32"/>
    <w:rsid w:val="001B1B63"/>
    <w:rsid w:val="001B1BCF"/>
    <w:rsid w:val="001B1BF1"/>
    <w:rsid w:val="001B1C08"/>
    <w:rsid w:val="001B1C7F"/>
    <w:rsid w:val="001B1D66"/>
    <w:rsid w:val="001B1E8C"/>
    <w:rsid w:val="001B1F03"/>
    <w:rsid w:val="001B2173"/>
    <w:rsid w:val="001B21E6"/>
    <w:rsid w:val="001B2292"/>
    <w:rsid w:val="001B2335"/>
    <w:rsid w:val="001B236A"/>
    <w:rsid w:val="001B237A"/>
    <w:rsid w:val="001B23E4"/>
    <w:rsid w:val="001B2481"/>
    <w:rsid w:val="001B248C"/>
    <w:rsid w:val="001B24C2"/>
    <w:rsid w:val="001B2509"/>
    <w:rsid w:val="001B283B"/>
    <w:rsid w:val="001B2867"/>
    <w:rsid w:val="001B2997"/>
    <w:rsid w:val="001B2A28"/>
    <w:rsid w:val="001B2C1A"/>
    <w:rsid w:val="001B2C54"/>
    <w:rsid w:val="001B2DD9"/>
    <w:rsid w:val="001B3047"/>
    <w:rsid w:val="001B3087"/>
    <w:rsid w:val="001B317E"/>
    <w:rsid w:val="001B31F4"/>
    <w:rsid w:val="001B326D"/>
    <w:rsid w:val="001B32F5"/>
    <w:rsid w:val="001B3308"/>
    <w:rsid w:val="001B350E"/>
    <w:rsid w:val="001B3525"/>
    <w:rsid w:val="001B3586"/>
    <w:rsid w:val="001B35EF"/>
    <w:rsid w:val="001B3625"/>
    <w:rsid w:val="001B36C6"/>
    <w:rsid w:val="001B37B1"/>
    <w:rsid w:val="001B3810"/>
    <w:rsid w:val="001B381F"/>
    <w:rsid w:val="001B386F"/>
    <w:rsid w:val="001B3A0B"/>
    <w:rsid w:val="001B3AB8"/>
    <w:rsid w:val="001B3ADC"/>
    <w:rsid w:val="001B3BFA"/>
    <w:rsid w:val="001B3BFC"/>
    <w:rsid w:val="001B3C98"/>
    <w:rsid w:val="001B3D1B"/>
    <w:rsid w:val="001B3E94"/>
    <w:rsid w:val="001B3EDD"/>
    <w:rsid w:val="001B3F30"/>
    <w:rsid w:val="001B4047"/>
    <w:rsid w:val="001B40E4"/>
    <w:rsid w:val="001B4323"/>
    <w:rsid w:val="001B4364"/>
    <w:rsid w:val="001B436D"/>
    <w:rsid w:val="001B437B"/>
    <w:rsid w:val="001B44BE"/>
    <w:rsid w:val="001B44F0"/>
    <w:rsid w:val="001B4564"/>
    <w:rsid w:val="001B46E6"/>
    <w:rsid w:val="001B4818"/>
    <w:rsid w:val="001B494E"/>
    <w:rsid w:val="001B4B2A"/>
    <w:rsid w:val="001B4BF3"/>
    <w:rsid w:val="001B4C13"/>
    <w:rsid w:val="001B4C5E"/>
    <w:rsid w:val="001B4D0D"/>
    <w:rsid w:val="001B4D89"/>
    <w:rsid w:val="001B4DEA"/>
    <w:rsid w:val="001B4E50"/>
    <w:rsid w:val="001B4E7C"/>
    <w:rsid w:val="001B4EF6"/>
    <w:rsid w:val="001B4F5D"/>
    <w:rsid w:val="001B4FCA"/>
    <w:rsid w:val="001B505E"/>
    <w:rsid w:val="001B50B3"/>
    <w:rsid w:val="001B5159"/>
    <w:rsid w:val="001B5190"/>
    <w:rsid w:val="001B5342"/>
    <w:rsid w:val="001B5429"/>
    <w:rsid w:val="001B5602"/>
    <w:rsid w:val="001B56A0"/>
    <w:rsid w:val="001B5730"/>
    <w:rsid w:val="001B57A1"/>
    <w:rsid w:val="001B57A9"/>
    <w:rsid w:val="001B5965"/>
    <w:rsid w:val="001B596C"/>
    <w:rsid w:val="001B5A0A"/>
    <w:rsid w:val="001B5A41"/>
    <w:rsid w:val="001B5AE7"/>
    <w:rsid w:val="001B5B5C"/>
    <w:rsid w:val="001B5B6A"/>
    <w:rsid w:val="001B5BEA"/>
    <w:rsid w:val="001B5CE4"/>
    <w:rsid w:val="001B5D10"/>
    <w:rsid w:val="001B5D3F"/>
    <w:rsid w:val="001B5DD4"/>
    <w:rsid w:val="001B5EF3"/>
    <w:rsid w:val="001B5F84"/>
    <w:rsid w:val="001B6089"/>
    <w:rsid w:val="001B60B6"/>
    <w:rsid w:val="001B626B"/>
    <w:rsid w:val="001B62E9"/>
    <w:rsid w:val="001B62ED"/>
    <w:rsid w:val="001B62FB"/>
    <w:rsid w:val="001B64AB"/>
    <w:rsid w:val="001B6593"/>
    <w:rsid w:val="001B660E"/>
    <w:rsid w:val="001B66A2"/>
    <w:rsid w:val="001B6707"/>
    <w:rsid w:val="001B6A0F"/>
    <w:rsid w:val="001B6A59"/>
    <w:rsid w:val="001B6AB8"/>
    <w:rsid w:val="001B6D6B"/>
    <w:rsid w:val="001B6DB9"/>
    <w:rsid w:val="001B6F4C"/>
    <w:rsid w:val="001B7194"/>
    <w:rsid w:val="001B72B3"/>
    <w:rsid w:val="001B7780"/>
    <w:rsid w:val="001B7782"/>
    <w:rsid w:val="001B77AD"/>
    <w:rsid w:val="001B77BB"/>
    <w:rsid w:val="001B77EB"/>
    <w:rsid w:val="001B7A58"/>
    <w:rsid w:val="001B7BC6"/>
    <w:rsid w:val="001B7CB3"/>
    <w:rsid w:val="001B7CBD"/>
    <w:rsid w:val="001B7E5E"/>
    <w:rsid w:val="001B7F28"/>
    <w:rsid w:val="001B7FE7"/>
    <w:rsid w:val="001C001C"/>
    <w:rsid w:val="001C0191"/>
    <w:rsid w:val="001C0263"/>
    <w:rsid w:val="001C02A7"/>
    <w:rsid w:val="001C02DA"/>
    <w:rsid w:val="001C02FA"/>
    <w:rsid w:val="001C0348"/>
    <w:rsid w:val="001C03F5"/>
    <w:rsid w:val="001C055D"/>
    <w:rsid w:val="001C0578"/>
    <w:rsid w:val="001C06A7"/>
    <w:rsid w:val="001C0706"/>
    <w:rsid w:val="001C0713"/>
    <w:rsid w:val="001C07F7"/>
    <w:rsid w:val="001C07FA"/>
    <w:rsid w:val="001C08AA"/>
    <w:rsid w:val="001C08D3"/>
    <w:rsid w:val="001C0A13"/>
    <w:rsid w:val="001C0A47"/>
    <w:rsid w:val="001C0B75"/>
    <w:rsid w:val="001C0B87"/>
    <w:rsid w:val="001C1037"/>
    <w:rsid w:val="001C111B"/>
    <w:rsid w:val="001C1122"/>
    <w:rsid w:val="001C112E"/>
    <w:rsid w:val="001C12DF"/>
    <w:rsid w:val="001C12FE"/>
    <w:rsid w:val="001C13F6"/>
    <w:rsid w:val="001C1676"/>
    <w:rsid w:val="001C16DA"/>
    <w:rsid w:val="001C17CF"/>
    <w:rsid w:val="001C1A0A"/>
    <w:rsid w:val="001C1A38"/>
    <w:rsid w:val="001C1A83"/>
    <w:rsid w:val="001C1B02"/>
    <w:rsid w:val="001C1D8B"/>
    <w:rsid w:val="001C1F3B"/>
    <w:rsid w:val="001C1F87"/>
    <w:rsid w:val="001C2022"/>
    <w:rsid w:val="001C202C"/>
    <w:rsid w:val="001C2089"/>
    <w:rsid w:val="001C20AE"/>
    <w:rsid w:val="001C217B"/>
    <w:rsid w:val="001C22E2"/>
    <w:rsid w:val="001C2476"/>
    <w:rsid w:val="001C255F"/>
    <w:rsid w:val="001C26A9"/>
    <w:rsid w:val="001C26B0"/>
    <w:rsid w:val="001C2738"/>
    <w:rsid w:val="001C27FA"/>
    <w:rsid w:val="001C2813"/>
    <w:rsid w:val="001C283A"/>
    <w:rsid w:val="001C29A4"/>
    <w:rsid w:val="001C2C50"/>
    <w:rsid w:val="001C2C5F"/>
    <w:rsid w:val="001C2E6F"/>
    <w:rsid w:val="001C2F99"/>
    <w:rsid w:val="001C2FFC"/>
    <w:rsid w:val="001C301B"/>
    <w:rsid w:val="001C30BE"/>
    <w:rsid w:val="001C31DE"/>
    <w:rsid w:val="001C3238"/>
    <w:rsid w:val="001C3368"/>
    <w:rsid w:val="001C355E"/>
    <w:rsid w:val="001C358D"/>
    <w:rsid w:val="001C362F"/>
    <w:rsid w:val="001C3651"/>
    <w:rsid w:val="001C370D"/>
    <w:rsid w:val="001C3739"/>
    <w:rsid w:val="001C37BC"/>
    <w:rsid w:val="001C3832"/>
    <w:rsid w:val="001C3A4E"/>
    <w:rsid w:val="001C3ACE"/>
    <w:rsid w:val="001C3BF0"/>
    <w:rsid w:val="001C3D40"/>
    <w:rsid w:val="001C3D5E"/>
    <w:rsid w:val="001C3DAA"/>
    <w:rsid w:val="001C3E36"/>
    <w:rsid w:val="001C3ECE"/>
    <w:rsid w:val="001C4070"/>
    <w:rsid w:val="001C4213"/>
    <w:rsid w:val="001C426C"/>
    <w:rsid w:val="001C4377"/>
    <w:rsid w:val="001C43BE"/>
    <w:rsid w:val="001C43D4"/>
    <w:rsid w:val="001C47EA"/>
    <w:rsid w:val="001C47EF"/>
    <w:rsid w:val="001C488F"/>
    <w:rsid w:val="001C49B9"/>
    <w:rsid w:val="001C49F4"/>
    <w:rsid w:val="001C4B26"/>
    <w:rsid w:val="001C4D80"/>
    <w:rsid w:val="001C4F18"/>
    <w:rsid w:val="001C4F54"/>
    <w:rsid w:val="001C5113"/>
    <w:rsid w:val="001C5142"/>
    <w:rsid w:val="001C51CD"/>
    <w:rsid w:val="001C51F9"/>
    <w:rsid w:val="001C534B"/>
    <w:rsid w:val="001C5450"/>
    <w:rsid w:val="001C55C3"/>
    <w:rsid w:val="001C55CA"/>
    <w:rsid w:val="001C563F"/>
    <w:rsid w:val="001C5758"/>
    <w:rsid w:val="001C578F"/>
    <w:rsid w:val="001C579E"/>
    <w:rsid w:val="001C58BF"/>
    <w:rsid w:val="001C599E"/>
    <w:rsid w:val="001C5A42"/>
    <w:rsid w:val="001C5CA1"/>
    <w:rsid w:val="001C5CEF"/>
    <w:rsid w:val="001C5D24"/>
    <w:rsid w:val="001C5E1C"/>
    <w:rsid w:val="001C5E33"/>
    <w:rsid w:val="001C5F50"/>
    <w:rsid w:val="001C61C4"/>
    <w:rsid w:val="001C6302"/>
    <w:rsid w:val="001C633E"/>
    <w:rsid w:val="001C6399"/>
    <w:rsid w:val="001C650B"/>
    <w:rsid w:val="001C681C"/>
    <w:rsid w:val="001C6989"/>
    <w:rsid w:val="001C69B6"/>
    <w:rsid w:val="001C6BCE"/>
    <w:rsid w:val="001C6C75"/>
    <w:rsid w:val="001C6D3F"/>
    <w:rsid w:val="001C6E79"/>
    <w:rsid w:val="001C6F49"/>
    <w:rsid w:val="001C7055"/>
    <w:rsid w:val="001C7057"/>
    <w:rsid w:val="001C7209"/>
    <w:rsid w:val="001C731B"/>
    <w:rsid w:val="001C7320"/>
    <w:rsid w:val="001C7340"/>
    <w:rsid w:val="001C74BC"/>
    <w:rsid w:val="001C764D"/>
    <w:rsid w:val="001C77C7"/>
    <w:rsid w:val="001C7910"/>
    <w:rsid w:val="001C79B7"/>
    <w:rsid w:val="001C7A25"/>
    <w:rsid w:val="001C7B5F"/>
    <w:rsid w:val="001C7B9F"/>
    <w:rsid w:val="001C7BA5"/>
    <w:rsid w:val="001C7C14"/>
    <w:rsid w:val="001C7CDF"/>
    <w:rsid w:val="001C7DB5"/>
    <w:rsid w:val="001C7EB6"/>
    <w:rsid w:val="001C7F0C"/>
    <w:rsid w:val="001C7F29"/>
    <w:rsid w:val="001C7F9B"/>
    <w:rsid w:val="001D0015"/>
    <w:rsid w:val="001D0066"/>
    <w:rsid w:val="001D0170"/>
    <w:rsid w:val="001D0281"/>
    <w:rsid w:val="001D02A0"/>
    <w:rsid w:val="001D02F4"/>
    <w:rsid w:val="001D0363"/>
    <w:rsid w:val="001D040C"/>
    <w:rsid w:val="001D0416"/>
    <w:rsid w:val="001D04AD"/>
    <w:rsid w:val="001D04E4"/>
    <w:rsid w:val="001D05A6"/>
    <w:rsid w:val="001D06D3"/>
    <w:rsid w:val="001D0701"/>
    <w:rsid w:val="001D077A"/>
    <w:rsid w:val="001D0A13"/>
    <w:rsid w:val="001D0B89"/>
    <w:rsid w:val="001D0C44"/>
    <w:rsid w:val="001D0D29"/>
    <w:rsid w:val="001D0D5A"/>
    <w:rsid w:val="001D0E42"/>
    <w:rsid w:val="001D0F52"/>
    <w:rsid w:val="001D10A9"/>
    <w:rsid w:val="001D110B"/>
    <w:rsid w:val="001D1207"/>
    <w:rsid w:val="001D13C5"/>
    <w:rsid w:val="001D14FD"/>
    <w:rsid w:val="001D1584"/>
    <w:rsid w:val="001D15E6"/>
    <w:rsid w:val="001D160C"/>
    <w:rsid w:val="001D1618"/>
    <w:rsid w:val="001D161A"/>
    <w:rsid w:val="001D164E"/>
    <w:rsid w:val="001D1748"/>
    <w:rsid w:val="001D17BF"/>
    <w:rsid w:val="001D18CE"/>
    <w:rsid w:val="001D1A8D"/>
    <w:rsid w:val="001D1B5D"/>
    <w:rsid w:val="001D1C3F"/>
    <w:rsid w:val="001D1C53"/>
    <w:rsid w:val="001D1C88"/>
    <w:rsid w:val="001D1CDE"/>
    <w:rsid w:val="001D1D4F"/>
    <w:rsid w:val="001D1D60"/>
    <w:rsid w:val="001D1E79"/>
    <w:rsid w:val="001D1E80"/>
    <w:rsid w:val="001D22A0"/>
    <w:rsid w:val="001D236C"/>
    <w:rsid w:val="001D2376"/>
    <w:rsid w:val="001D2408"/>
    <w:rsid w:val="001D2548"/>
    <w:rsid w:val="001D25C2"/>
    <w:rsid w:val="001D25E7"/>
    <w:rsid w:val="001D267E"/>
    <w:rsid w:val="001D2804"/>
    <w:rsid w:val="001D2A36"/>
    <w:rsid w:val="001D2A59"/>
    <w:rsid w:val="001D2A6E"/>
    <w:rsid w:val="001D2B65"/>
    <w:rsid w:val="001D2BDC"/>
    <w:rsid w:val="001D2C70"/>
    <w:rsid w:val="001D2C76"/>
    <w:rsid w:val="001D2C79"/>
    <w:rsid w:val="001D2DEC"/>
    <w:rsid w:val="001D2E21"/>
    <w:rsid w:val="001D2FB4"/>
    <w:rsid w:val="001D2FFD"/>
    <w:rsid w:val="001D300D"/>
    <w:rsid w:val="001D311E"/>
    <w:rsid w:val="001D319A"/>
    <w:rsid w:val="001D31D6"/>
    <w:rsid w:val="001D3216"/>
    <w:rsid w:val="001D3407"/>
    <w:rsid w:val="001D34EB"/>
    <w:rsid w:val="001D34FF"/>
    <w:rsid w:val="001D362C"/>
    <w:rsid w:val="001D3717"/>
    <w:rsid w:val="001D3817"/>
    <w:rsid w:val="001D38A5"/>
    <w:rsid w:val="001D3AFC"/>
    <w:rsid w:val="001D3C02"/>
    <w:rsid w:val="001D3DAC"/>
    <w:rsid w:val="001D3F62"/>
    <w:rsid w:val="001D3F8E"/>
    <w:rsid w:val="001D3FAC"/>
    <w:rsid w:val="001D4037"/>
    <w:rsid w:val="001D4044"/>
    <w:rsid w:val="001D4175"/>
    <w:rsid w:val="001D417C"/>
    <w:rsid w:val="001D421D"/>
    <w:rsid w:val="001D4284"/>
    <w:rsid w:val="001D43AD"/>
    <w:rsid w:val="001D4654"/>
    <w:rsid w:val="001D468B"/>
    <w:rsid w:val="001D4769"/>
    <w:rsid w:val="001D4B80"/>
    <w:rsid w:val="001D4BF9"/>
    <w:rsid w:val="001D4CC6"/>
    <w:rsid w:val="001D4E84"/>
    <w:rsid w:val="001D4EAA"/>
    <w:rsid w:val="001D4ECF"/>
    <w:rsid w:val="001D4F21"/>
    <w:rsid w:val="001D5145"/>
    <w:rsid w:val="001D516D"/>
    <w:rsid w:val="001D523E"/>
    <w:rsid w:val="001D52BE"/>
    <w:rsid w:val="001D53AC"/>
    <w:rsid w:val="001D53B0"/>
    <w:rsid w:val="001D541F"/>
    <w:rsid w:val="001D549C"/>
    <w:rsid w:val="001D5509"/>
    <w:rsid w:val="001D555F"/>
    <w:rsid w:val="001D58C0"/>
    <w:rsid w:val="001D590F"/>
    <w:rsid w:val="001D5941"/>
    <w:rsid w:val="001D597C"/>
    <w:rsid w:val="001D5A5D"/>
    <w:rsid w:val="001D5A66"/>
    <w:rsid w:val="001D5C26"/>
    <w:rsid w:val="001D5C62"/>
    <w:rsid w:val="001D5C99"/>
    <w:rsid w:val="001D5CCE"/>
    <w:rsid w:val="001D5D3D"/>
    <w:rsid w:val="001D5D70"/>
    <w:rsid w:val="001D5DE3"/>
    <w:rsid w:val="001D5DF6"/>
    <w:rsid w:val="001D5ECF"/>
    <w:rsid w:val="001D5F14"/>
    <w:rsid w:val="001D5F52"/>
    <w:rsid w:val="001D5F9B"/>
    <w:rsid w:val="001D613B"/>
    <w:rsid w:val="001D62E7"/>
    <w:rsid w:val="001D660C"/>
    <w:rsid w:val="001D66DD"/>
    <w:rsid w:val="001D6764"/>
    <w:rsid w:val="001D67BA"/>
    <w:rsid w:val="001D686F"/>
    <w:rsid w:val="001D68B9"/>
    <w:rsid w:val="001D69EC"/>
    <w:rsid w:val="001D69F7"/>
    <w:rsid w:val="001D6A3E"/>
    <w:rsid w:val="001D6D19"/>
    <w:rsid w:val="001D6DE8"/>
    <w:rsid w:val="001D6E4C"/>
    <w:rsid w:val="001D6F2D"/>
    <w:rsid w:val="001D6FBA"/>
    <w:rsid w:val="001D718F"/>
    <w:rsid w:val="001D7200"/>
    <w:rsid w:val="001D7206"/>
    <w:rsid w:val="001D7225"/>
    <w:rsid w:val="001D72EB"/>
    <w:rsid w:val="001D731B"/>
    <w:rsid w:val="001D740F"/>
    <w:rsid w:val="001D74C2"/>
    <w:rsid w:val="001D759E"/>
    <w:rsid w:val="001D75A4"/>
    <w:rsid w:val="001D75AA"/>
    <w:rsid w:val="001D7697"/>
    <w:rsid w:val="001D776D"/>
    <w:rsid w:val="001D79CC"/>
    <w:rsid w:val="001D79E0"/>
    <w:rsid w:val="001D7A1A"/>
    <w:rsid w:val="001D7B49"/>
    <w:rsid w:val="001D7B93"/>
    <w:rsid w:val="001D7DD6"/>
    <w:rsid w:val="001D7FB8"/>
    <w:rsid w:val="001E017F"/>
    <w:rsid w:val="001E01F1"/>
    <w:rsid w:val="001E0374"/>
    <w:rsid w:val="001E046A"/>
    <w:rsid w:val="001E0498"/>
    <w:rsid w:val="001E060B"/>
    <w:rsid w:val="001E0740"/>
    <w:rsid w:val="001E0827"/>
    <w:rsid w:val="001E0961"/>
    <w:rsid w:val="001E0A9F"/>
    <w:rsid w:val="001E0B65"/>
    <w:rsid w:val="001E0C6E"/>
    <w:rsid w:val="001E0CE5"/>
    <w:rsid w:val="001E0DD4"/>
    <w:rsid w:val="001E0F66"/>
    <w:rsid w:val="001E10BF"/>
    <w:rsid w:val="001E10C8"/>
    <w:rsid w:val="001E122D"/>
    <w:rsid w:val="001E1256"/>
    <w:rsid w:val="001E1392"/>
    <w:rsid w:val="001E140A"/>
    <w:rsid w:val="001E14C9"/>
    <w:rsid w:val="001E1633"/>
    <w:rsid w:val="001E17EC"/>
    <w:rsid w:val="001E1847"/>
    <w:rsid w:val="001E19B5"/>
    <w:rsid w:val="001E1AE3"/>
    <w:rsid w:val="001E1B2B"/>
    <w:rsid w:val="001E1C4C"/>
    <w:rsid w:val="001E1E80"/>
    <w:rsid w:val="001E1EE8"/>
    <w:rsid w:val="001E1F09"/>
    <w:rsid w:val="001E1F6F"/>
    <w:rsid w:val="001E1F8B"/>
    <w:rsid w:val="001E2183"/>
    <w:rsid w:val="001E21FA"/>
    <w:rsid w:val="001E2202"/>
    <w:rsid w:val="001E243D"/>
    <w:rsid w:val="001E24DB"/>
    <w:rsid w:val="001E25DE"/>
    <w:rsid w:val="001E264F"/>
    <w:rsid w:val="001E26A5"/>
    <w:rsid w:val="001E274D"/>
    <w:rsid w:val="001E2768"/>
    <w:rsid w:val="001E2796"/>
    <w:rsid w:val="001E2BCB"/>
    <w:rsid w:val="001E2C78"/>
    <w:rsid w:val="001E2DD7"/>
    <w:rsid w:val="001E2E31"/>
    <w:rsid w:val="001E2FE8"/>
    <w:rsid w:val="001E300E"/>
    <w:rsid w:val="001E3053"/>
    <w:rsid w:val="001E30C8"/>
    <w:rsid w:val="001E31E4"/>
    <w:rsid w:val="001E323E"/>
    <w:rsid w:val="001E33F4"/>
    <w:rsid w:val="001E340C"/>
    <w:rsid w:val="001E349D"/>
    <w:rsid w:val="001E3682"/>
    <w:rsid w:val="001E36C4"/>
    <w:rsid w:val="001E3716"/>
    <w:rsid w:val="001E378E"/>
    <w:rsid w:val="001E3A02"/>
    <w:rsid w:val="001E3B8B"/>
    <w:rsid w:val="001E3C4D"/>
    <w:rsid w:val="001E3C8F"/>
    <w:rsid w:val="001E3C9F"/>
    <w:rsid w:val="001E3D43"/>
    <w:rsid w:val="001E3FDC"/>
    <w:rsid w:val="001E41CA"/>
    <w:rsid w:val="001E43A5"/>
    <w:rsid w:val="001E43CB"/>
    <w:rsid w:val="001E43F2"/>
    <w:rsid w:val="001E4515"/>
    <w:rsid w:val="001E46C0"/>
    <w:rsid w:val="001E47B3"/>
    <w:rsid w:val="001E489F"/>
    <w:rsid w:val="001E4909"/>
    <w:rsid w:val="001E4CF9"/>
    <w:rsid w:val="001E4CFF"/>
    <w:rsid w:val="001E4E7E"/>
    <w:rsid w:val="001E4EC0"/>
    <w:rsid w:val="001E4F36"/>
    <w:rsid w:val="001E4FEF"/>
    <w:rsid w:val="001E50AE"/>
    <w:rsid w:val="001E5318"/>
    <w:rsid w:val="001E541E"/>
    <w:rsid w:val="001E542B"/>
    <w:rsid w:val="001E5480"/>
    <w:rsid w:val="001E54CD"/>
    <w:rsid w:val="001E54D2"/>
    <w:rsid w:val="001E558B"/>
    <w:rsid w:val="001E5702"/>
    <w:rsid w:val="001E575F"/>
    <w:rsid w:val="001E57F4"/>
    <w:rsid w:val="001E5806"/>
    <w:rsid w:val="001E595F"/>
    <w:rsid w:val="001E59AB"/>
    <w:rsid w:val="001E5A1B"/>
    <w:rsid w:val="001E5AFF"/>
    <w:rsid w:val="001E5BDD"/>
    <w:rsid w:val="001E5BF3"/>
    <w:rsid w:val="001E5CAB"/>
    <w:rsid w:val="001E5D81"/>
    <w:rsid w:val="001E5DB8"/>
    <w:rsid w:val="001E5EBE"/>
    <w:rsid w:val="001E5ECD"/>
    <w:rsid w:val="001E60AC"/>
    <w:rsid w:val="001E63DB"/>
    <w:rsid w:val="001E64C2"/>
    <w:rsid w:val="001E662A"/>
    <w:rsid w:val="001E6677"/>
    <w:rsid w:val="001E668B"/>
    <w:rsid w:val="001E6747"/>
    <w:rsid w:val="001E68AF"/>
    <w:rsid w:val="001E68C0"/>
    <w:rsid w:val="001E6AC7"/>
    <w:rsid w:val="001E6AD5"/>
    <w:rsid w:val="001E6B44"/>
    <w:rsid w:val="001E6F96"/>
    <w:rsid w:val="001E6FF4"/>
    <w:rsid w:val="001E7008"/>
    <w:rsid w:val="001E707A"/>
    <w:rsid w:val="001E70FE"/>
    <w:rsid w:val="001E711C"/>
    <w:rsid w:val="001E7179"/>
    <w:rsid w:val="001E71D8"/>
    <w:rsid w:val="001E7223"/>
    <w:rsid w:val="001E7226"/>
    <w:rsid w:val="001E7227"/>
    <w:rsid w:val="001E729B"/>
    <w:rsid w:val="001E7359"/>
    <w:rsid w:val="001E73EC"/>
    <w:rsid w:val="001E745B"/>
    <w:rsid w:val="001E752E"/>
    <w:rsid w:val="001E7549"/>
    <w:rsid w:val="001E756B"/>
    <w:rsid w:val="001E7728"/>
    <w:rsid w:val="001E775B"/>
    <w:rsid w:val="001E7920"/>
    <w:rsid w:val="001E79B2"/>
    <w:rsid w:val="001E7A27"/>
    <w:rsid w:val="001E7ADD"/>
    <w:rsid w:val="001E7B4A"/>
    <w:rsid w:val="001E7BE7"/>
    <w:rsid w:val="001E7E96"/>
    <w:rsid w:val="001E7F59"/>
    <w:rsid w:val="001F0140"/>
    <w:rsid w:val="001F01B3"/>
    <w:rsid w:val="001F020A"/>
    <w:rsid w:val="001F0212"/>
    <w:rsid w:val="001F03F7"/>
    <w:rsid w:val="001F0515"/>
    <w:rsid w:val="001F053C"/>
    <w:rsid w:val="001F055B"/>
    <w:rsid w:val="001F0662"/>
    <w:rsid w:val="001F08C1"/>
    <w:rsid w:val="001F096E"/>
    <w:rsid w:val="001F09BC"/>
    <w:rsid w:val="001F0B38"/>
    <w:rsid w:val="001F0D97"/>
    <w:rsid w:val="001F0E30"/>
    <w:rsid w:val="001F0E73"/>
    <w:rsid w:val="001F0F29"/>
    <w:rsid w:val="001F0F69"/>
    <w:rsid w:val="001F117F"/>
    <w:rsid w:val="001F11C7"/>
    <w:rsid w:val="001F11F7"/>
    <w:rsid w:val="001F129B"/>
    <w:rsid w:val="001F132D"/>
    <w:rsid w:val="001F139B"/>
    <w:rsid w:val="001F13C2"/>
    <w:rsid w:val="001F1421"/>
    <w:rsid w:val="001F1460"/>
    <w:rsid w:val="001F16C9"/>
    <w:rsid w:val="001F180F"/>
    <w:rsid w:val="001F1852"/>
    <w:rsid w:val="001F1896"/>
    <w:rsid w:val="001F1A4C"/>
    <w:rsid w:val="001F1AEA"/>
    <w:rsid w:val="001F1DD4"/>
    <w:rsid w:val="001F1F1D"/>
    <w:rsid w:val="001F1F65"/>
    <w:rsid w:val="001F1FF5"/>
    <w:rsid w:val="001F204E"/>
    <w:rsid w:val="001F2057"/>
    <w:rsid w:val="001F21AB"/>
    <w:rsid w:val="001F21CD"/>
    <w:rsid w:val="001F2232"/>
    <w:rsid w:val="001F2267"/>
    <w:rsid w:val="001F22BF"/>
    <w:rsid w:val="001F22FF"/>
    <w:rsid w:val="001F2350"/>
    <w:rsid w:val="001F23C5"/>
    <w:rsid w:val="001F2406"/>
    <w:rsid w:val="001F2604"/>
    <w:rsid w:val="001F2626"/>
    <w:rsid w:val="001F265C"/>
    <w:rsid w:val="001F2C09"/>
    <w:rsid w:val="001F2C27"/>
    <w:rsid w:val="001F2C3D"/>
    <w:rsid w:val="001F2D13"/>
    <w:rsid w:val="001F2D29"/>
    <w:rsid w:val="001F2D58"/>
    <w:rsid w:val="001F2E62"/>
    <w:rsid w:val="001F319F"/>
    <w:rsid w:val="001F31DC"/>
    <w:rsid w:val="001F331E"/>
    <w:rsid w:val="001F3369"/>
    <w:rsid w:val="001F3377"/>
    <w:rsid w:val="001F349C"/>
    <w:rsid w:val="001F3576"/>
    <w:rsid w:val="001F357B"/>
    <w:rsid w:val="001F3CA6"/>
    <w:rsid w:val="001F3CB1"/>
    <w:rsid w:val="001F3D64"/>
    <w:rsid w:val="001F3D7C"/>
    <w:rsid w:val="001F3DD2"/>
    <w:rsid w:val="001F40CB"/>
    <w:rsid w:val="001F40E1"/>
    <w:rsid w:val="001F416C"/>
    <w:rsid w:val="001F4197"/>
    <w:rsid w:val="001F41B6"/>
    <w:rsid w:val="001F4374"/>
    <w:rsid w:val="001F43BC"/>
    <w:rsid w:val="001F44D7"/>
    <w:rsid w:val="001F4522"/>
    <w:rsid w:val="001F4693"/>
    <w:rsid w:val="001F46F0"/>
    <w:rsid w:val="001F47FA"/>
    <w:rsid w:val="001F4C90"/>
    <w:rsid w:val="001F4D8B"/>
    <w:rsid w:val="001F4E6C"/>
    <w:rsid w:val="001F5392"/>
    <w:rsid w:val="001F53B5"/>
    <w:rsid w:val="001F5411"/>
    <w:rsid w:val="001F54A7"/>
    <w:rsid w:val="001F54CE"/>
    <w:rsid w:val="001F55D7"/>
    <w:rsid w:val="001F5711"/>
    <w:rsid w:val="001F5997"/>
    <w:rsid w:val="001F59E7"/>
    <w:rsid w:val="001F5A4D"/>
    <w:rsid w:val="001F5A97"/>
    <w:rsid w:val="001F5B18"/>
    <w:rsid w:val="001F5D12"/>
    <w:rsid w:val="001F5E54"/>
    <w:rsid w:val="001F63DA"/>
    <w:rsid w:val="001F641C"/>
    <w:rsid w:val="001F6438"/>
    <w:rsid w:val="001F6466"/>
    <w:rsid w:val="001F64B5"/>
    <w:rsid w:val="001F656F"/>
    <w:rsid w:val="001F659E"/>
    <w:rsid w:val="001F65CC"/>
    <w:rsid w:val="001F6610"/>
    <w:rsid w:val="001F6624"/>
    <w:rsid w:val="001F67AA"/>
    <w:rsid w:val="001F67D3"/>
    <w:rsid w:val="001F68C7"/>
    <w:rsid w:val="001F69EF"/>
    <w:rsid w:val="001F6AA2"/>
    <w:rsid w:val="001F6B30"/>
    <w:rsid w:val="001F6B4D"/>
    <w:rsid w:val="001F6CE6"/>
    <w:rsid w:val="001F6D28"/>
    <w:rsid w:val="001F6D29"/>
    <w:rsid w:val="001F6D68"/>
    <w:rsid w:val="001F6D96"/>
    <w:rsid w:val="001F6D97"/>
    <w:rsid w:val="001F6F54"/>
    <w:rsid w:val="001F704D"/>
    <w:rsid w:val="001F70F1"/>
    <w:rsid w:val="001F711E"/>
    <w:rsid w:val="001F7223"/>
    <w:rsid w:val="001F7267"/>
    <w:rsid w:val="001F72C3"/>
    <w:rsid w:val="001F738C"/>
    <w:rsid w:val="001F74BC"/>
    <w:rsid w:val="001F74E2"/>
    <w:rsid w:val="001F7617"/>
    <w:rsid w:val="001F7645"/>
    <w:rsid w:val="001F778D"/>
    <w:rsid w:val="001F7C37"/>
    <w:rsid w:val="001F7D67"/>
    <w:rsid w:val="001F7D90"/>
    <w:rsid w:val="001F7DD6"/>
    <w:rsid w:val="001F7E28"/>
    <w:rsid w:val="00200085"/>
    <w:rsid w:val="002001A6"/>
    <w:rsid w:val="002001BC"/>
    <w:rsid w:val="002001F5"/>
    <w:rsid w:val="00200386"/>
    <w:rsid w:val="002003A3"/>
    <w:rsid w:val="00200418"/>
    <w:rsid w:val="002004AF"/>
    <w:rsid w:val="0020054C"/>
    <w:rsid w:val="00200703"/>
    <w:rsid w:val="002007E0"/>
    <w:rsid w:val="002008B8"/>
    <w:rsid w:val="0020095B"/>
    <w:rsid w:val="0020097F"/>
    <w:rsid w:val="00200A1C"/>
    <w:rsid w:val="00200B1D"/>
    <w:rsid w:val="00200BA5"/>
    <w:rsid w:val="00200C01"/>
    <w:rsid w:val="00200C0A"/>
    <w:rsid w:val="00200C20"/>
    <w:rsid w:val="00200E7C"/>
    <w:rsid w:val="00200F9A"/>
    <w:rsid w:val="002011EA"/>
    <w:rsid w:val="0020131B"/>
    <w:rsid w:val="00201473"/>
    <w:rsid w:val="002015AC"/>
    <w:rsid w:val="002016BC"/>
    <w:rsid w:val="00201A45"/>
    <w:rsid w:val="00201AA5"/>
    <w:rsid w:val="00201C53"/>
    <w:rsid w:val="00201D70"/>
    <w:rsid w:val="00201F20"/>
    <w:rsid w:val="00201F7D"/>
    <w:rsid w:val="00201F92"/>
    <w:rsid w:val="002020C9"/>
    <w:rsid w:val="0020243E"/>
    <w:rsid w:val="00202463"/>
    <w:rsid w:val="00202494"/>
    <w:rsid w:val="00202543"/>
    <w:rsid w:val="0020259B"/>
    <w:rsid w:val="002025FD"/>
    <w:rsid w:val="002026CF"/>
    <w:rsid w:val="002027AA"/>
    <w:rsid w:val="0020289A"/>
    <w:rsid w:val="002028BA"/>
    <w:rsid w:val="0020295D"/>
    <w:rsid w:val="00202A3C"/>
    <w:rsid w:val="00202B2D"/>
    <w:rsid w:val="00202C27"/>
    <w:rsid w:val="00202D84"/>
    <w:rsid w:val="00202D9C"/>
    <w:rsid w:val="00202E53"/>
    <w:rsid w:val="00202E80"/>
    <w:rsid w:val="00202FA8"/>
    <w:rsid w:val="00203023"/>
    <w:rsid w:val="00203105"/>
    <w:rsid w:val="002031A0"/>
    <w:rsid w:val="0020323C"/>
    <w:rsid w:val="002032AD"/>
    <w:rsid w:val="0020331C"/>
    <w:rsid w:val="0020335B"/>
    <w:rsid w:val="002035AA"/>
    <w:rsid w:val="002035CD"/>
    <w:rsid w:val="002035F8"/>
    <w:rsid w:val="00203613"/>
    <w:rsid w:val="00203624"/>
    <w:rsid w:val="0020367C"/>
    <w:rsid w:val="002037EC"/>
    <w:rsid w:val="00203979"/>
    <w:rsid w:val="002039A6"/>
    <w:rsid w:val="00203B75"/>
    <w:rsid w:val="00203B77"/>
    <w:rsid w:val="00203BD2"/>
    <w:rsid w:val="00203EA3"/>
    <w:rsid w:val="00203FA9"/>
    <w:rsid w:val="00203FCB"/>
    <w:rsid w:val="0020429A"/>
    <w:rsid w:val="002043F5"/>
    <w:rsid w:val="002044A2"/>
    <w:rsid w:val="00204554"/>
    <w:rsid w:val="00204816"/>
    <w:rsid w:val="00204842"/>
    <w:rsid w:val="0020490C"/>
    <w:rsid w:val="002049C8"/>
    <w:rsid w:val="00204A13"/>
    <w:rsid w:val="00204AFB"/>
    <w:rsid w:val="00204CB3"/>
    <w:rsid w:val="00204D78"/>
    <w:rsid w:val="00204DCE"/>
    <w:rsid w:val="00204E45"/>
    <w:rsid w:val="00204EFA"/>
    <w:rsid w:val="00204EFE"/>
    <w:rsid w:val="00204F4D"/>
    <w:rsid w:val="00205089"/>
    <w:rsid w:val="002050E1"/>
    <w:rsid w:val="00205114"/>
    <w:rsid w:val="00205153"/>
    <w:rsid w:val="002051F4"/>
    <w:rsid w:val="002051FF"/>
    <w:rsid w:val="0020520C"/>
    <w:rsid w:val="002052AD"/>
    <w:rsid w:val="00205460"/>
    <w:rsid w:val="00205528"/>
    <w:rsid w:val="00205684"/>
    <w:rsid w:val="002056BB"/>
    <w:rsid w:val="002057E0"/>
    <w:rsid w:val="0020596F"/>
    <w:rsid w:val="00205993"/>
    <w:rsid w:val="00205994"/>
    <w:rsid w:val="00205A9E"/>
    <w:rsid w:val="00205AAB"/>
    <w:rsid w:val="00205B63"/>
    <w:rsid w:val="00205CFE"/>
    <w:rsid w:val="00205DF6"/>
    <w:rsid w:val="00205DF7"/>
    <w:rsid w:val="00205E65"/>
    <w:rsid w:val="00205E8C"/>
    <w:rsid w:val="00205EBB"/>
    <w:rsid w:val="00205F27"/>
    <w:rsid w:val="00206104"/>
    <w:rsid w:val="00206183"/>
    <w:rsid w:val="00206243"/>
    <w:rsid w:val="00206258"/>
    <w:rsid w:val="0020625F"/>
    <w:rsid w:val="002062D4"/>
    <w:rsid w:val="00206374"/>
    <w:rsid w:val="00206606"/>
    <w:rsid w:val="002067FD"/>
    <w:rsid w:val="00206943"/>
    <w:rsid w:val="00206ACC"/>
    <w:rsid w:val="00206B78"/>
    <w:rsid w:val="00206C08"/>
    <w:rsid w:val="00206C44"/>
    <w:rsid w:val="00206C89"/>
    <w:rsid w:val="00206ED1"/>
    <w:rsid w:val="00206EDF"/>
    <w:rsid w:val="002071DC"/>
    <w:rsid w:val="0020735C"/>
    <w:rsid w:val="002074C8"/>
    <w:rsid w:val="00207667"/>
    <w:rsid w:val="002076FE"/>
    <w:rsid w:val="0020772A"/>
    <w:rsid w:val="00207741"/>
    <w:rsid w:val="0020776B"/>
    <w:rsid w:val="0020778E"/>
    <w:rsid w:val="00207A3A"/>
    <w:rsid w:val="00207AB2"/>
    <w:rsid w:val="00207CA6"/>
    <w:rsid w:val="00207E5D"/>
    <w:rsid w:val="00207E62"/>
    <w:rsid w:val="00207E67"/>
    <w:rsid w:val="002102EA"/>
    <w:rsid w:val="00210487"/>
    <w:rsid w:val="0021051D"/>
    <w:rsid w:val="00210574"/>
    <w:rsid w:val="0021062F"/>
    <w:rsid w:val="0021070F"/>
    <w:rsid w:val="00210768"/>
    <w:rsid w:val="002109DD"/>
    <w:rsid w:val="00210A48"/>
    <w:rsid w:val="00210A57"/>
    <w:rsid w:val="00210B5B"/>
    <w:rsid w:val="00210C3A"/>
    <w:rsid w:val="00210DCB"/>
    <w:rsid w:val="00210FDE"/>
    <w:rsid w:val="00211035"/>
    <w:rsid w:val="002110E4"/>
    <w:rsid w:val="00211141"/>
    <w:rsid w:val="002111C5"/>
    <w:rsid w:val="002111CB"/>
    <w:rsid w:val="00211204"/>
    <w:rsid w:val="00211355"/>
    <w:rsid w:val="0021143E"/>
    <w:rsid w:val="002114A4"/>
    <w:rsid w:val="002114D6"/>
    <w:rsid w:val="0021152F"/>
    <w:rsid w:val="002116A5"/>
    <w:rsid w:val="002116CB"/>
    <w:rsid w:val="002116CE"/>
    <w:rsid w:val="00211755"/>
    <w:rsid w:val="00211769"/>
    <w:rsid w:val="002117F6"/>
    <w:rsid w:val="00211A1A"/>
    <w:rsid w:val="00211A82"/>
    <w:rsid w:val="00211B9D"/>
    <w:rsid w:val="00211BDD"/>
    <w:rsid w:val="00211BE8"/>
    <w:rsid w:val="00211C32"/>
    <w:rsid w:val="00211C43"/>
    <w:rsid w:val="00211D31"/>
    <w:rsid w:val="00211E61"/>
    <w:rsid w:val="00211F70"/>
    <w:rsid w:val="00211FFB"/>
    <w:rsid w:val="00212032"/>
    <w:rsid w:val="002121F2"/>
    <w:rsid w:val="002122E3"/>
    <w:rsid w:val="002123FF"/>
    <w:rsid w:val="002124D0"/>
    <w:rsid w:val="002124F0"/>
    <w:rsid w:val="0021257E"/>
    <w:rsid w:val="002125AB"/>
    <w:rsid w:val="0021266A"/>
    <w:rsid w:val="0021267C"/>
    <w:rsid w:val="002127C8"/>
    <w:rsid w:val="0021281F"/>
    <w:rsid w:val="00212871"/>
    <w:rsid w:val="002128C7"/>
    <w:rsid w:val="002128DE"/>
    <w:rsid w:val="00212983"/>
    <w:rsid w:val="002129B3"/>
    <w:rsid w:val="002129DC"/>
    <w:rsid w:val="00212A7E"/>
    <w:rsid w:val="00212CF8"/>
    <w:rsid w:val="00212F3E"/>
    <w:rsid w:val="00212F87"/>
    <w:rsid w:val="00212FFC"/>
    <w:rsid w:val="002130BA"/>
    <w:rsid w:val="002130F6"/>
    <w:rsid w:val="00213425"/>
    <w:rsid w:val="00213580"/>
    <w:rsid w:val="002135A9"/>
    <w:rsid w:val="002135B2"/>
    <w:rsid w:val="002135ED"/>
    <w:rsid w:val="0021365E"/>
    <w:rsid w:val="0021369D"/>
    <w:rsid w:val="00213802"/>
    <w:rsid w:val="002139A4"/>
    <w:rsid w:val="00213A94"/>
    <w:rsid w:val="00213D8F"/>
    <w:rsid w:val="00214029"/>
    <w:rsid w:val="002140E5"/>
    <w:rsid w:val="002140F8"/>
    <w:rsid w:val="0021422B"/>
    <w:rsid w:val="00214356"/>
    <w:rsid w:val="002143E9"/>
    <w:rsid w:val="002144EF"/>
    <w:rsid w:val="00214611"/>
    <w:rsid w:val="00214718"/>
    <w:rsid w:val="002147C5"/>
    <w:rsid w:val="00214882"/>
    <w:rsid w:val="00214999"/>
    <w:rsid w:val="002149B8"/>
    <w:rsid w:val="002149D0"/>
    <w:rsid w:val="00214B34"/>
    <w:rsid w:val="00214C50"/>
    <w:rsid w:val="00214C85"/>
    <w:rsid w:val="00214D1B"/>
    <w:rsid w:val="00214DF0"/>
    <w:rsid w:val="00214E15"/>
    <w:rsid w:val="00214F5F"/>
    <w:rsid w:val="00214F71"/>
    <w:rsid w:val="00214F99"/>
    <w:rsid w:val="00215045"/>
    <w:rsid w:val="0021510B"/>
    <w:rsid w:val="00215226"/>
    <w:rsid w:val="00215374"/>
    <w:rsid w:val="002153C9"/>
    <w:rsid w:val="00215472"/>
    <w:rsid w:val="002155BC"/>
    <w:rsid w:val="00215664"/>
    <w:rsid w:val="002157EC"/>
    <w:rsid w:val="00215A1E"/>
    <w:rsid w:val="00215C3C"/>
    <w:rsid w:val="00215FE8"/>
    <w:rsid w:val="0021601C"/>
    <w:rsid w:val="00216071"/>
    <w:rsid w:val="0021612D"/>
    <w:rsid w:val="002162E2"/>
    <w:rsid w:val="0021634B"/>
    <w:rsid w:val="00216494"/>
    <w:rsid w:val="00216554"/>
    <w:rsid w:val="002165A9"/>
    <w:rsid w:val="00216761"/>
    <w:rsid w:val="002167D7"/>
    <w:rsid w:val="00216805"/>
    <w:rsid w:val="00216901"/>
    <w:rsid w:val="00216928"/>
    <w:rsid w:val="00216954"/>
    <w:rsid w:val="00216C35"/>
    <w:rsid w:val="00216CC9"/>
    <w:rsid w:val="00216FD1"/>
    <w:rsid w:val="00217227"/>
    <w:rsid w:val="0021732F"/>
    <w:rsid w:val="00217469"/>
    <w:rsid w:val="0021753C"/>
    <w:rsid w:val="00217614"/>
    <w:rsid w:val="00217722"/>
    <w:rsid w:val="00217836"/>
    <w:rsid w:val="00217866"/>
    <w:rsid w:val="002179D2"/>
    <w:rsid w:val="00217A7E"/>
    <w:rsid w:val="00217AF1"/>
    <w:rsid w:val="00217BBF"/>
    <w:rsid w:val="00217C04"/>
    <w:rsid w:val="00217C0C"/>
    <w:rsid w:val="00217CC3"/>
    <w:rsid w:val="00217E10"/>
    <w:rsid w:val="00217E5C"/>
    <w:rsid w:val="00217E8F"/>
    <w:rsid w:val="00217EB9"/>
    <w:rsid w:val="00217F2B"/>
    <w:rsid w:val="00217FAA"/>
    <w:rsid w:val="00217FCA"/>
    <w:rsid w:val="0022026A"/>
    <w:rsid w:val="00220496"/>
    <w:rsid w:val="002204AB"/>
    <w:rsid w:val="00220641"/>
    <w:rsid w:val="002206DF"/>
    <w:rsid w:val="0022086F"/>
    <w:rsid w:val="00220954"/>
    <w:rsid w:val="00220A24"/>
    <w:rsid w:val="00220A29"/>
    <w:rsid w:val="00220B04"/>
    <w:rsid w:val="00220ED3"/>
    <w:rsid w:val="00220F33"/>
    <w:rsid w:val="00220F9B"/>
    <w:rsid w:val="0022108D"/>
    <w:rsid w:val="00221167"/>
    <w:rsid w:val="0022131B"/>
    <w:rsid w:val="00221470"/>
    <w:rsid w:val="00221474"/>
    <w:rsid w:val="00221734"/>
    <w:rsid w:val="002218B6"/>
    <w:rsid w:val="002218CE"/>
    <w:rsid w:val="0022190E"/>
    <w:rsid w:val="002219C3"/>
    <w:rsid w:val="00221DC1"/>
    <w:rsid w:val="00221E71"/>
    <w:rsid w:val="00221F9B"/>
    <w:rsid w:val="0022209C"/>
    <w:rsid w:val="0022219C"/>
    <w:rsid w:val="002222B1"/>
    <w:rsid w:val="002222BE"/>
    <w:rsid w:val="00222393"/>
    <w:rsid w:val="0022263C"/>
    <w:rsid w:val="00222790"/>
    <w:rsid w:val="002227C7"/>
    <w:rsid w:val="002227CA"/>
    <w:rsid w:val="00222B8A"/>
    <w:rsid w:val="00222BA8"/>
    <w:rsid w:val="00222C4A"/>
    <w:rsid w:val="00222DB7"/>
    <w:rsid w:val="00222DF7"/>
    <w:rsid w:val="00222E35"/>
    <w:rsid w:val="00223328"/>
    <w:rsid w:val="00223625"/>
    <w:rsid w:val="002236E0"/>
    <w:rsid w:val="002239B9"/>
    <w:rsid w:val="00223B17"/>
    <w:rsid w:val="00223C7C"/>
    <w:rsid w:val="00223EA8"/>
    <w:rsid w:val="0022414C"/>
    <w:rsid w:val="00224157"/>
    <w:rsid w:val="002242CE"/>
    <w:rsid w:val="00224363"/>
    <w:rsid w:val="00224522"/>
    <w:rsid w:val="00224769"/>
    <w:rsid w:val="0022483B"/>
    <w:rsid w:val="0022497E"/>
    <w:rsid w:val="00224A40"/>
    <w:rsid w:val="00224A9F"/>
    <w:rsid w:val="00224BAB"/>
    <w:rsid w:val="00224D29"/>
    <w:rsid w:val="00224EB9"/>
    <w:rsid w:val="002250A8"/>
    <w:rsid w:val="0022552C"/>
    <w:rsid w:val="002258E1"/>
    <w:rsid w:val="002259AB"/>
    <w:rsid w:val="00225A7F"/>
    <w:rsid w:val="00225B3E"/>
    <w:rsid w:val="00225B55"/>
    <w:rsid w:val="00225C12"/>
    <w:rsid w:val="00225C21"/>
    <w:rsid w:val="00225C50"/>
    <w:rsid w:val="00225C6B"/>
    <w:rsid w:val="00225CC8"/>
    <w:rsid w:val="00225F0C"/>
    <w:rsid w:val="00226127"/>
    <w:rsid w:val="00226264"/>
    <w:rsid w:val="0022627C"/>
    <w:rsid w:val="002263AE"/>
    <w:rsid w:val="00226408"/>
    <w:rsid w:val="0022647C"/>
    <w:rsid w:val="002264AA"/>
    <w:rsid w:val="0022659D"/>
    <w:rsid w:val="002266E3"/>
    <w:rsid w:val="00226761"/>
    <w:rsid w:val="0022694D"/>
    <w:rsid w:val="0022697B"/>
    <w:rsid w:val="002269B7"/>
    <w:rsid w:val="00226BE3"/>
    <w:rsid w:val="00226C94"/>
    <w:rsid w:val="00226DE0"/>
    <w:rsid w:val="00226DF3"/>
    <w:rsid w:val="0022703D"/>
    <w:rsid w:val="00227434"/>
    <w:rsid w:val="00227461"/>
    <w:rsid w:val="002274BE"/>
    <w:rsid w:val="00227596"/>
    <w:rsid w:val="002275E8"/>
    <w:rsid w:val="0022764C"/>
    <w:rsid w:val="002277AE"/>
    <w:rsid w:val="002277B7"/>
    <w:rsid w:val="002277E8"/>
    <w:rsid w:val="0022785E"/>
    <w:rsid w:val="002278B1"/>
    <w:rsid w:val="002278C1"/>
    <w:rsid w:val="002278E5"/>
    <w:rsid w:val="00227B28"/>
    <w:rsid w:val="00227D4D"/>
    <w:rsid w:val="00227DB9"/>
    <w:rsid w:val="00227E6C"/>
    <w:rsid w:val="002300EC"/>
    <w:rsid w:val="00230125"/>
    <w:rsid w:val="0023013A"/>
    <w:rsid w:val="00230291"/>
    <w:rsid w:val="0023044C"/>
    <w:rsid w:val="00230489"/>
    <w:rsid w:val="002304F5"/>
    <w:rsid w:val="0023055C"/>
    <w:rsid w:val="0023063E"/>
    <w:rsid w:val="00230736"/>
    <w:rsid w:val="00230811"/>
    <w:rsid w:val="00230923"/>
    <w:rsid w:val="00230999"/>
    <w:rsid w:val="002309F0"/>
    <w:rsid w:val="00230A72"/>
    <w:rsid w:val="00230B23"/>
    <w:rsid w:val="00230B56"/>
    <w:rsid w:val="00230C11"/>
    <w:rsid w:val="00230D43"/>
    <w:rsid w:val="00230DE9"/>
    <w:rsid w:val="00230E60"/>
    <w:rsid w:val="00230E85"/>
    <w:rsid w:val="0023101F"/>
    <w:rsid w:val="00231049"/>
    <w:rsid w:val="002312B7"/>
    <w:rsid w:val="00231323"/>
    <w:rsid w:val="002313B0"/>
    <w:rsid w:val="002313B7"/>
    <w:rsid w:val="002313C4"/>
    <w:rsid w:val="002313E5"/>
    <w:rsid w:val="002314D2"/>
    <w:rsid w:val="0023152D"/>
    <w:rsid w:val="00231542"/>
    <w:rsid w:val="0023154E"/>
    <w:rsid w:val="002316D0"/>
    <w:rsid w:val="002316F8"/>
    <w:rsid w:val="00231776"/>
    <w:rsid w:val="00231A09"/>
    <w:rsid w:val="00231A44"/>
    <w:rsid w:val="00231A6C"/>
    <w:rsid w:val="00231AD7"/>
    <w:rsid w:val="00231B96"/>
    <w:rsid w:val="00232006"/>
    <w:rsid w:val="0023201C"/>
    <w:rsid w:val="00232042"/>
    <w:rsid w:val="00232056"/>
    <w:rsid w:val="00232152"/>
    <w:rsid w:val="002321C7"/>
    <w:rsid w:val="002321DA"/>
    <w:rsid w:val="002323AC"/>
    <w:rsid w:val="002323B1"/>
    <w:rsid w:val="002324AA"/>
    <w:rsid w:val="002325B8"/>
    <w:rsid w:val="00232656"/>
    <w:rsid w:val="002326BE"/>
    <w:rsid w:val="002326D1"/>
    <w:rsid w:val="0023277C"/>
    <w:rsid w:val="00232870"/>
    <w:rsid w:val="002328A2"/>
    <w:rsid w:val="0023299D"/>
    <w:rsid w:val="00232A98"/>
    <w:rsid w:val="00232B74"/>
    <w:rsid w:val="00232C45"/>
    <w:rsid w:val="00232C4F"/>
    <w:rsid w:val="00232C5A"/>
    <w:rsid w:val="00232C6A"/>
    <w:rsid w:val="00232FA0"/>
    <w:rsid w:val="002332B2"/>
    <w:rsid w:val="002334AA"/>
    <w:rsid w:val="002334DE"/>
    <w:rsid w:val="002334FE"/>
    <w:rsid w:val="0023368E"/>
    <w:rsid w:val="002336EB"/>
    <w:rsid w:val="00233736"/>
    <w:rsid w:val="00233889"/>
    <w:rsid w:val="002339A5"/>
    <w:rsid w:val="002339D0"/>
    <w:rsid w:val="002339D6"/>
    <w:rsid w:val="00233A20"/>
    <w:rsid w:val="00233A2A"/>
    <w:rsid w:val="00233AB2"/>
    <w:rsid w:val="00233D16"/>
    <w:rsid w:val="00233D1C"/>
    <w:rsid w:val="00233E32"/>
    <w:rsid w:val="00233F00"/>
    <w:rsid w:val="00233F8C"/>
    <w:rsid w:val="0023413F"/>
    <w:rsid w:val="00234166"/>
    <w:rsid w:val="0023420F"/>
    <w:rsid w:val="00234248"/>
    <w:rsid w:val="00234272"/>
    <w:rsid w:val="00234298"/>
    <w:rsid w:val="0023429D"/>
    <w:rsid w:val="002342BF"/>
    <w:rsid w:val="00234679"/>
    <w:rsid w:val="00234800"/>
    <w:rsid w:val="00234814"/>
    <w:rsid w:val="00234936"/>
    <w:rsid w:val="00234955"/>
    <w:rsid w:val="002349ED"/>
    <w:rsid w:val="00234A9D"/>
    <w:rsid w:val="00234B8F"/>
    <w:rsid w:val="00234BB3"/>
    <w:rsid w:val="00234C0E"/>
    <w:rsid w:val="00234EDA"/>
    <w:rsid w:val="002350AA"/>
    <w:rsid w:val="00235191"/>
    <w:rsid w:val="002351E9"/>
    <w:rsid w:val="002352B3"/>
    <w:rsid w:val="00235393"/>
    <w:rsid w:val="002353FF"/>
    <w:rsid w:val="00235432"/>
    <w:rsid w:val="00235510"/>
    <w:rsid w:val="00235597"/>
    <w:rsid w:val="002355F7"/>
    <w:rsid w:val="0023565F"/>
    <w:rsid w:val="002356BD"/>
    <w:rsid w:val="00235792"/>
    <w:rsid w:val="002357FC"/>
    <w:rsid w:val="002359BD"/>
    <w:rsid w:val="002359BE"/>
    <w:rsid w:val="00235AB0"/>
    <w:rsid w:val="00235BCD"/>
    <w:rsid w:val="00235BF0"/>
    <w:rsid w:val="00235C5C"/>
    <w:rsid w:val="00235DD9"/>
    <w:rsid w:val="002360EA"/>
    <w:rsid w:val="00236239"/>
    <w:rsid w:val="0023635E"/>
    <w:rsid w:val="0023636E"/>
    <w:rsid w:val="002364EF"/>
    <w:rsid w:val="00236550"/>
    <w:rsid w:val="00236865"/>
    <w:rsid w:val="002368D2"/>
    <w:rsid w:val="00236941"/>
    <w:rsid w:val="00236985"/>
    <w:rsid w:val="002369A0"/>
    <w:rsid w:val="00236CCB"/>
    <w:rsid w:val="00236CD8"/>
    <w:rsid w:val="00236D3F"/>
    <w:rsid w:val="00236D91"/>
    <w:rsid w:val="00236E75"/>
    <w:rsid w:val="002371E2"/>
    <w:rsid w:val="002372A6"/>
    <w:rsid w:val="002372F3"/>
    <w:rsid w:val="00237348"/>
    <w:rsid w:val="00237399"/>
    <w:rsid w:val="002373D1"/>
    <w:rsid w:val="0023741F"/>
    <w:rsid w:val="002375AA"/>
    <w:rsid w:val="0023766B"/>
    <w:rsid w:val="002377E0"/>
    <w:rsid w:val="00237979"/>
    <w:rsid w:val="00237A2F"/>
    <w:rsid w:val="00237A8D"/>
    <w:rsid w:val="00237D29"/>
    <w:rsid w:val="00237E00"/>
    <w:rsid w:val="00237E46"/>
    <w:rsid w:val="00237F6A"/>
    <w:rsid w:val="002402C1"/>
    <w:rsid w:val="002402EE"/>
    <w:rsid w:val="0024033B"/>
    <w:rsid w:val="002403BB"/>
    <w:rsid w:val="00240418"/>
    <w:rsid w:val="002404D1"/>
    <w:rsid w:val="00240653"/>
    <w:rsid w:val="002406FA"/>
    <w:rsid w:val="00240798"/>
    <w:rsid w:val="002407DD"/>
    <w:rsid w:val="002408D7"/>
    <w:rsid w:val="0024093B"/>
    <w:rsid w:val="00240A65"/>
    <w:rsid w:val="00240C26"/>
    <w:rsid w:val="00240C78"/>
    <w:rsid w:val="00240C90"/>
    <w:rsid w:val="00240E90"/>
    <w:rsid w:val="0024117E"/>
    <w:rsid w:val="0024139D"/>
    <w:rsid w:val="00241546"/>
    <w:rsid w:val="002415E3"/>
    <w:rsid w:val="00241630"/>
    <w:rsid w:val="0024193F"/>
    <w:rsid w:val="00241A09"/>
    <w:rsid w:val="00241B6C"/>
    <w:rsid w:val="00241BB8"/>
    <w:rsid w:val="00241BD7"/>
    <w:rsid w:val="00241CF7"/>
    <w:rsid w:val="00241E0C"/>
    <w:rsid w:val="00241E1A"/>
    <w:rsid w:val="0024205C"/>
    <w:rsid w:val="0024206A"/>
    <w:rsid w:val="00242093"/>
    <w:rsid w:val="002420D4"/>
    <w:rsid w:val="00242242"/>
    <w:rsid w:val="00242247"/>
    <w:rsid w:val="00242268"/>
    <w:rsid w:val="002424C4"/>
    <w:rsid w:val="0024251B"/>
    <w:rsid w:val="00242587"/>
    <w:rsid w:val="00242663"/>
    <w:rsid w:val="00242671"/>
    <w:rsid w:val="0024269D"/>
    <w:rsid w:val="002426A5"/>
    <w:rsid w:val="00242793"/>
    <w:rsid w:val="002428EB"/>
    <w:rsid w:val="00242989"/>
    <w:rsid w:val="00242ABF"/>
    <w:rsid w:val="00242B2E"/>
    <w:rsid w:val="00242B7F"/>
    <w:rsid w:val="00242DBE"/>
    <w:rsid w:val="00242E56"/>
    <w:rsid w:val="00242ED6"/>
    <w:rsid w:val="00242FB5"/>
    <w:rsid w:val="0024315F"/>
    <w:rsid w:val="002431E1"/>
    <w:rsid w:val="0024323B"/>
    <w:rsid w:val="00243374"/>
    <w:rsid w:val="002433AE"/>
    <w:rsid w:val="00243696"/>
    <w:rsid w:val="00243721"/>
    <w:rsid w:val="00243834"/>
    <w:rsid w:val="0024388A"/>
    <w:rsid w:val="002438A7"/>
    <w:rsid w:val="002438D2"/>
    <w:rsid w:val="002438FD"/>
    <w:rsid w:val="00243B7D"/>
    <w:rsid w:val="00243BF6"/>
    <w:rsid w:val="00244098"/>
    <w:rsid w:val="002440AF"/>
    <w:rsid w:val="002440D1"/>
    <w:rsid w:val="00244124"/>
    <w:rsid w:val="002442FE"/>
    <w:rsid w:val="00244487"/>
    <w:rsid w:val="002446BF"/>
    <w:rsid w:val="00244756"/>
    <w:rsid w:val="002447B3"/>
    <w:rsid w:val="002447E3"/>
    <w:rsid w:val="00244917"/>
    <w:rsid w:val="00244979"/>
    <w:rsid w:val="002449B4"/>
    <w:rsid w:val="00244A3D"/>
    <w:rsid w:val="00244A79"/>
    <w:rsid w:val="00244B3A"/>
    <w:rsid w:val="00244C65"/>
    <w:rsid w:val="00244D61"/>
    <w:rsid w:val="00244F4F"/>
    <w:rsid w:val="00244FCF"/>
    <w:rsid w:val="00244FF4"/>
    <w:rsid w:val="00245071"/>
    <w:rsid w:val="002450AC"/>
    <w:rsid w:val="002450ED"/>
    <w:rsid w:val="002450F7"/>
    <w:rsid w:val="002451FC"/>
    <w:rsid w:val="0024536C"/>
    <w:rsid w:val="00245441"/>
    <w:rsid w:val="0024544A"/>
    <w:rsid w:val="0024544F"/>
    <w:rsid w:val="00245526"/>
    <w:rsid w:val="002455B3"/>
    <w:rsid w:val="002456C0"/>
    <w:rsid w:val="00245780"/>
    <w:rsid w:val="002458FA"/>
    <w:rsid w:val="00245987"/>
    <w:rsid w:val="002459AB"/>
    <w:rsid w:val="002459ED"/>
    <w:rsid w:val="00245BAE"/>
    <w:rsid w:val="00245D30"/>
    <w:rsid w:val="00245DD8"/>
    <w:rsid w:val="00245E43"/>
    <w:rsid w:val="00245F01"/>
    <w:rsid w:val="00245F7F"/>
    <w:rsid w:val="00245FC2"/>
    <w:rsid w:val="00245FD8"/>
    <w:rsid w:val="00246074"/>
    <w:rsid w:val="002460A8"/>
    <w:rsid w:val="002460BD"/>
    <w:rsid w:val="0024624B"/>
    <w:rsid w:val="00246473"/>
    <w:rsid w:val="00246582"/>
    <w:rsid w:val="00246591"/>
    <w:rsid w:val="002465DA"/>
    <w:rsid w:val="002465E6"/>
    <w:rsid w:val="00246612"/>
    <w:rsid w:val="00246634"/>
    <w:rsid w:val="002466E6"/>
    <w:rsid w:val="0024674C"/>
    <w:rsid w:val="00246756"/>
    <w:rsid w:val="002467E9"/>
    <w:rsid w:val="0024695D"/>
    <w:rsid w:val="002469A1"/>
    <w:rsid w:val="00246A7D"/>
    <w:rsid w:val="00246B09"/>
    <w:rsid w:val="00246B1E"/>
    <w:rsid w:val="00246DEC"/>
    <w:rsid w:val="00246E2F"/>
    <w:rsid w:val="00246EBE"/>
    <w:rsid w:val="00246F2C"/>
    <w:rsid w:val="0024706C"/>
    <w:rsid w:val="00247134"/>
    <w:rsid w:val="00247135"/>
    <w:rsid w:val="002471F0"/>
    <w:rsid w:val="002472B8"/>
    <w:rsid w:val="002472E4"/>
    <w:rsid w:val="00247310"/>
    <w:rsid w:val="00247353"/>
    <w:rsid w:val="002473F1"/>
    <w:rsid w:val="0024748D"/>
    <w:rsid w:val="00247509"/>
    <w:rsid w:val="0024779D"/>
    <w:rsid w:val="00247A86"/>
    <w:rsid w:val="00247AB3"/>
    <w:rsid w:val="00247AB4"/>
    <w:rsid w:val="00247AFA"/>
    <w:rsid w:val="00247B48"/>
    <w:rsid w:val="00247C55"/>
    <w:rsid w:val="00247D16"/>
    <w:rsid w:val="00247D30"/>
    <w:rsid w:val="00247DB3"/>
    <w:rsid w:val="00247F01"/>
    <w:rsid w:val="00247F5A"/>
    <w:rsid w:val="0025007E"/>
    <w:rsid w:val="002500F3"/>
    <w:rsid w:val="00250248"/>
    <w:rsid w:val="00250556"/>
    <w:rsid w:val="0025056D"/>
    <w:rsid w:val="002506A3"/>
    <w:rsid w:val="00250731"/>
    <w:rsid w:val="00250776"/>
    <w:rsid w:val="002507A8"/>
    <w:rsid w:val="002507F4"/>
    <w:rsid w:val="00250800"/>
    <w:rsid w:val="00250895"/>
    <w:rsid w:val="00250AB8"/>
    <w:rsid w:val="00250AC4"/>
    <w:rsid w:val="00250AE2"/>
    <w:rsid w:val="00250BA5"/>
    <w:rsid w:val="00250C48"/>
    <w:rsid w:val="00250CE8"/>
    <w:rsid w:val="00250DA1"/>
    <w:rsid w:val="00250E36"/>
    <w:rsid w:val="0025102A"/>
    <w:rsid w:val="002512A7"/>
    <w:rsid w:val="00251431"/>
    <w:rsid w:val="002514C8"/>
    <w:rsid w:val="00251591"/>
    <w:rsid w:val="00251697"/>
    <w:rsid w:val="002517D9"/>
    <w:rsid w:val="002518AC"/>
    <w:rsid w:val="00251927"/>
    <w:rsid w:val="00251937"/>
    <w:rsid w:val="002519AD"/>
    <w:rsid w:val="00251A5F"/>
    <w:rsid w:val="00251B09"/>
    <w:rsid w:val="00251C3A"/>
    <w:rsid w:val="00251C73"/>
    <w:rsid w:val="00251D55"/>
    <w:rsid w:val="00251EEA"/>
    <w:rsid w:val="00251F8A"/>
    <w:rsid w:val="0025216B"/>
    <w:rsid w:val="00252193"/>
    <w:rsid w:val="002522CC"/>
    <w:rsid w:val="00252316"/>
    <w:rsid w:val="0025233A"/>
    <w:rsid w:val="002523AF"/>
    <w:rsid w:val="002523C6"/>
    <w:rsid w:val="0025248B"/>
    <w:rsid w:val="0025249A"/>
    <w:rsid w:val="002524BE"/>
    <w:rsid w:val="0025255F"/>
    <w:rsid w:val="0025260C"/>
    <w:rsid w:val="00252650"/>
    <w:rsid w:val="0025267E"/>
    <w:rsid w:val="002526C8"/>
    <w:rsid w:val="002527B3"/>
    <w:rsid w:val="002527BD"/>
    <w:rsid w:val="002527DA"/>
    <w:rsid w:val="00252980"/>
    <w:rsid w:val="00252ADD"/>
    <w:rsid w:val="00252F0D"/>
    <w:rsid w:val="00253046"/>
    <w:rsid w:val="00253076"/>
    <w:rsid w:val="00253115"/>
    <w:rsid w:val="002531F0"/>
    <w:rsid w:val="002532A2"/>
    <w:rsid w:val="002532FF"/>
    <w:rsid w:val="0025332A"/>
    <w:rsid w:val="00253356"/>
    <w:rsid w:val="00253490"/>
    <w:rsid w:val="00253640"/>
    <w:rsid w:val="0025374B"/>
    <w:rsid w:val="0025377C"/>
    <w:rsid w:val="002539B9"/>
    <w:rsid w:val="002539C6"/>
    <w:rsid w:val="00253AF4"/>
    <w:rsid w:val="00253C94"/>
    <w:rsid w:val="00253CD3"/>
    <w:rsid w:val="00253D64"/>
    <w:rsid w:val="00253DC9"/>
    <w:rsid w:val="00253DE0"/>
    <w:rsid w:val="00253EA5"/>
    <w:rsid w:val="00254043"/>
    <w:rsid w:val="0025407C"/>
    <w:rsid w:val="002540B9"/>
    <w:rsid w:val="002541B2"/>
    <w:rsid w:val="002541D0"/>
    <w:rsid w:val="00254270"/>
    <w:rsid w:val="00254380"/>
    <w:rsid w:val="00254419"/>
    <w:rsid w:val="00254515"/>
    <w:rsid w:val="0025451E"/>
    <w:rsid w:val="002546B9"/>
    <w:rsid w:val="002549F4"/>
    <w:rsid w:val="00254A3E"/>
    <w:rsid w:val="00254A4F"/>
    <w:rsid w:val="00254B02"/>
    <w:rsid w:val="00254BFE"/>
    <w:rsid w:val="00254C06"/>
    <w:rsid w:val="00254C39"/>
    <w:rsid w:val="00254CFE"/>
    <w:rsid w:val="00254D78"/>
    <w:rsid w:val="00254E37"/>
    <w:rsid w:val="0025506C"/>
    <w:rsid w:val="00255186"/>
    <w:rsid w:val="00255202"/>
    <w:rsid w:val="002552CC"/>
    <w:rsid w:val="00255426"/>
    <w:rsid w:val="002554A7"/>
    <w:rsid w:val="00255605"/>
    <w:rsid w:val="002557B4"/>
    <w:rsid w:val="002558B3"/>
    <w:rsid w:val="00255ADA"/>
    <w:rsid w:val="00255AF4"/>
    <w:rsid w:val="00255B43"/>
    <w:rsid w:val="00255BC4"/>
    <w:rsid w:val="00255BCF"/>
    <w:rsid w:val="00255CBF"/>
    <w:rsid w:val="00255F09"/>
    <w:rsid w:val="00255F40"/>
    <w:rsid w:val="00255FD8"/>
    <w:rsid w:val="0025606A"/>
    <w:rsid w:val="0025626A"/>
    <w:rsid w:val="0025636C"/>
    <w:rsid w:val="0025636D"/>
    <w:rsid w:val="0025648A"/>
    <w:rsid w:val="00256655"/>
    <w:rsid w:val="0025677A"/>
    <w:rsid w:val="00256811"/>
    <w:rsid w:val="00256A0D"/>
    <w:rsid w:val="00256A3B"/>
    <w:rsid w:val="00256CA9"/>
    <w:rsid w:val="00256CFE"/>
    <w:rsid w:val="00256DF4"/>
    <w:rsid w:val="00256F8D"/>
    <w:rsid w:val="002570B4"/>
    <w:rsid w:val="0025730D"/>
    <w:rsid w:val="0025732D"/>
    <w:rsid w:val="002573FE"/>
    <w:rsid w:val="002575D7"/>
    <w:rsid w:val="00257655"/>
    <w:rsid w:val="00257702"/>
    <w:rsid w:val="00257979"/>
    <w:rsid w:val="002579AD"/>
    <w:rsid w:val="00257A26"/>
    <w:rsid w:val="00257A93"/>
    <w:rsid w:val="00257AEE"/>
    <w:rsid w:val="00257B6C"/>
    <w:rsid w:val="00257BDD"/>
    <w:rsid w:val="00257C9F"/>
    <w:rsid w:val="00257D2D"/>
    <w:rsid w:val="00257E36"/>
    <w:rsid w:val="00257E81"/>
    <w:rsid w:val="00257EA3"/>
    <w:rsid w:val="00257EBC"/>
    <w:rsid w:val="00257FD3"/>
    <w:rsid w:val="00260015"/>
    <w:rsid w:val="0026006B"/>
    <w:rsid w:val="0026019D"/>
    <w:rsid w:val="00260278"/>
    <w:rsid w:val="00260587"/>
    <w:rsid w:val="0026062E"/>
    <w:rsid w:val="002606A6"/>
    <w:rsid w:val="002607E5"/>
    <w:rsid w:val="00260995"/>
    <w:rsid w:val="00260ACE"/>
    <w:rsid w:val="00260B1B"/>
    <w:rsid w:val="00260CBB"/>
    <w:rsid w:val="00260CEA"/>
    <w:rsid w:val="00261029"/>
    <w:rsid w:val="002612D9"/>
    <w:rsid w:val="002613ED"/>
    <w:rsid w:val="002614EC"/>
    <w:rsid w:val="00261524"/>
    <w:rsid w:val="002615CC"/>
    <w:rsid w:val="00261602"/>
    <w:rsid w:val="002616BC"/>
    <w:rsid w:val="00261B0A"/>
    <w:rsid w:val="00261B57"/>
    <w:rsid w:val="00261C1C"/>
    <w:rsid w:val="00261CAF"/>
    <w:rsid w:val="00261CC9"/>
    <w:rsid w:val="00261D70"/>
    <w:rsid w:val="00261E26"/>
    <w:rsid w:val="00261E4F"/>
    <w:rsid w:val="00261E57"/>
    <w:rsid w:val="00261F79"/>
    <w:rsid w:val="002620F6"/>
    <w:rsid w:val="00262171"/>
    <w:rsid w:val="002621E0"/>
    <w:rsid w:val="002621FA"/>
    <w:rsid w:val="002622DB"/>
    <w:rsid w:val="00262380"/>
    <w:rsid w:val="002623C1"/>
    <w:rsid w:val="0026245F"/>
    <w:rsid w:val="002625E2"/>
    <w:rsid w:val="0026262C"/>
    <w:rsid w:val="00262890"/>
    <w:rsid w:val="00262952"/>
    <w:rsid w:val="00262959"/>
    <w:rsid w:val="00262A98"/>
    <w:rsid w:val="00262AA9"/>
    <w:rsid w:val="00262AF1"/>
    <w:rsid w:val="00262BB4"/>
    <w:rsid w:val="00262C44"/>
    <w:rsid w:val="00262C4E"/>
    <w:rsid w:val="00262D49"/>
    <w:rsid w:val="00263273"/>
    <w:rsid w:val="002633C2"/>
    <w:rsid w:val="0026351B"/>
    <w:rsid w:val="002635D1"/>
    <w:rsid w:val="002636BD"/>
    <w:rsid w:val="0026385F"/>
    <w:rsid w:val="00263867"/>
    <w:rsid w:val="00263890"/>
    <w:rsid w:val="002638DE"/>
    <w:rsid w:val="00263977"/>
    <w:rsid w:val="002639B3"/>
    <w:rsid w:val="00263A22"/>
    <w:rsid w:val="00263A68"/>
    <w:rsid w:val="00263B6C"/>
    <w:rsid w:val="00263B8A"/>
    <w:rsid w:val="00263C1F"/>
    <w:rsid w:val="00263D5A"/>
    <w:rsid w:val="00263DF8"/>
    <w:rsid w:val="002640EB"/>
    <w:rsid w:val="0026416B"/>
    <w:rsid w:val="002642B8"/>
    <w:rsid w:val="002645C1"/>
    <w:rsid w:val="00264659"/>
    <w:rsid w:val="0026468A"/>
    <w:rsid w:val="00264695"/>
    <w:rsid w:val="00264697"/>
    <w:rsid w:val="002646F0"/>
    <w:rsid w:val="00264733"/>
    <w:rsid w:val="002648F9"/>
    <w:rsid w:val="002649AA"/>
    <w:rsid w:val="00264AF2"/>
    <w:rsid w:val="00264AF6"/>
    <w:rsid w:val="00264B23"/>
    <w:rsid w:val="00264B89"/>
    <w:rsid w:val="00264C16"/>
    <w:rsid w:val="00264E6F"/>
    <w:rsid w:val="00264E93"/>
    <w:rsid w:val="00264F2A"/>
    <w:rsid w:val="00265035"/>
    <w:rsid w:val="00265157"/>
    <w:rsid w:val="00265288"/>
    <w:rsid w:val="00265353"/>
    <w:rsid w:val="0026535E"/>
    <w:rsid w:val="00265365"/>
    <w:rsid w:val="002654D8"/>
    <w:rsid w:val="002655B9"/>
    <w:rsid w:val="00265644"/>
    <w:rsid w:val="002656F9"/>
    <w:rsid w:val="002657B0"/>
    <w:rsid w:val="00265833"/>
    <w:rsid w:val="002658D8"/>
    <w:rsid w:val="00265A32"/>
    <w:rsid w:val="00265A9D"/>
    <w:rsid w:val="00265B38"/>
    <w:rsid w:val="00265D2E"/>
    <w:rsid w:val="00265D8B"/>
    <w:rsid w:val="00265DB1"/>
    <w:rsid w:val="00265FE4"/>
    <w:rsid w:val="00265FF3"/>
    <w:rsid w:val="00266044"/>
    <w:rsid w:val="002660C1"/>
    <w:rsid w:val="002660ED"/>
    <w:rsid w:val="0026618D"/>
    <w:rsid w:val="002661B6"/>
    <w:rsid w:val="002661C5"/>
    <w:rsid w:val="0026628A"/>
    <w:rsid w:val="00266300"/>
    <w:rsid w:val="00266329"/>
    <w:rsid w:val="00266345"/>
    <w:rsid w:val="002664FB"/>
    <w:rsid w:val="0026685A"/>
    <w:rsid w:val="002669C0"/>
    <w:rsid w:val="00266B79"/>
    <w:rsid w:val="00266C69"/>
    <w:rsid w:val="00266F32"/>
    <w:rsid w:val="00266F58"/>
    <w:rsid w:val="0026715C"/>
    <w:rsid w:val="00267455"/>
    <w:rsid w:val="0026751E"/>
    <w:rsid w:val="002675AB"/>
    <w:rsid w:val="00267772"/>
    <w:rsid w:val="002677C9"/>
    <w:rsid w:val="00267823"/>
    <w:rsid w:val="0026784B"/>
    <w:rsid w:val="002679A0"/>
    <w:rsid w:val="00267A1A"/>
    <w:rsid w:val="00267C18"/>
    <w:rsid w:val="00267D04"/>
    <w:rsid w:val="00267E51"/>
    <w:rsid w:val="00267EC7"/>
    <w:rsid w:val="00267F5F"/>
    <w:rsid w:val="00267FDF"/>
    <w:rsid w:val="002701CB"/>
    <w:rsid w:val="0027022B"/>
    <w:rsid w:val="00270249"/>
    <w:rsid w:val="002703CF"/>
    <w:rsid w:val="00270513"/>
    <w:rsid w:val="002706D5"/>
    <w:rsid w:val="00270747"/>
    <w:rsid w:val="002709E9"/>
    <w:rsid w:val="00270AB4"/>
    <w:rsid w:val="00270B0C"/>
    <w:rsid w:val="00270BA3"/>
    <w:rsid w:val="00270CB6"/>
    <w:rsid w:val="00270CCB"/>
    <w:rsid w:val="00270D55"/>
    <w:rsid w:val="00270D94"/>
    <w:rsid w:val="00270E6C"/>
    <w:rsid w:val="0027118D"/>
    <w:rsid w:val="0027127F"/>
    <w:rsid w:val="0027129B"/>
    <w:rsid w:val="00271341"/>
    <w:rsid w:val="002713B5"/>
    <w:rsid w:val="0027140E"/>
    <w:rsid w:val="00271440"/>
    <w:rsid w:val="00271589"/>
    <w:rsid w:val="00271593"/>
    <w:rsid w:val="0027159F"/>
    <w:rsid w:val="002715E2"/>
    <w:rsid w:val="0027169C"/>
    <w:rsid w:val="002717AC"/>
    <w:rsid w:val="00271856"/>
    <w:rsid w:val="00271950"/>
    <w:rsid w:val="002719B6"/>
    <w:rsid w:val="00271A1B"/>
    <w:rsid w:val="00271A52"/>
    <w:rsid w:val="00271BB1"/>
    <w:rsid w:val="00271BC3"/>
    <w:rsid w:val="00271BC9"/>
    <w:rsid w:val="00271C8D"/>
    <w:rsid w:val="00271CE9"/>
    <w:rsid w:val="00271D4D"/>
    <w:rsid w:val="00271DFE"/>
    <w:rsid w:val="00271E27"/>
    <w:rsid w:val="00271FA5"/>
    <w:rsid w:val="00271FD1"/>
    <w:rsid w:val="00272085"/>
    <w:rsid w:val="00272311"/>
    <w:rsid w:val="00272498"/>
    <w:rsid w:val="002724D1"/>
    <w:rsid w:val="00272515"/>
    <w:rsid w:val="0027259D"/>
    <w:rsid w:val="0027263D"/>
    <w:rsid w:val="0027265F"/>
    <w:rsid w:val="002726EE"/>
    <w:rsid w:val="0027294F"/>
    <w:rsid w:val="00272A71"/>
    <w:rsid w:val="00272AA7"/>
    <w:rsid w:val="00272ABC"/>
    <w:rsid w:val="00272FFD"/>
    <w:rsid w:val="00273060"/>
    <w:rsid w:val="0027323D"/>
    <w:rsid w:val="00273297"/>
    <w:rsid w:val="002732A8"/>
    <w:rsid w:val="00273362"/>
    <w:rsid w:val="002733BC"/>
    <w:rsid w:val="002733E1"/>
    <w:rsid w:val="002734B6"/>
    <w:rsid w:val="00273598"/>
    <w:rsid w:val="002735D5"/>
    <w:rsid w:val="00273699"/>
    <w:rsid w:val="002737B9"/>
    <w:rsid w:val="002737F2"/>
    <w:rsid w:val="002738AF"/>
    <w:rsid w:val="00273987"/>
    <w:rsid w:val="002739E2"/>
    <w:rsid w:val="00273A0B"/>
    <w:rsid w:val="00273A1F"/>
    <w:rsid w:val="00273C28"/>
    <w:rsid w:val="00273C54"/>
    <w:rsid w:val="00273EFC"/>
    <w:rsid w:val="00273F4B"/>
    <w:rsid w:val="00274005"/>
    <w:rsid w:val="00274021"/>
    <w:rsid w:val="0027419E"/>
    <w:rsid w:val="00274349"/>
    <w:rsid w:val="0027435C"/>
    <w:rsid w:val="0027435F"/>
    <w:rsid w:val="002743AB"/>
    <w:rsid w:val="002743F2"/>
    <w:rsid w:val="002745D4"/>
    <w:rsid w:val="00274745"/>
    <w:rsid w:val="00274771"/>
    <w:rsid w:val="002747B8"/>
    <w:rsid w:val="002747E2"/>
    <w:rsid w:val="00274835"/>
    <w:rsid w:val="00274890"/>
    <w:rsid w:val="002748B6"/>
    <w:rsid w:val="00274941"/>
    <w:rsid w:val="00274983"/>
    <w:rsid w:val="00274A7F"/>
    <w:rsid w:val="00274D25"/>
    <w:rsid w:val="00274F12"/>
    <w:rsid w:val="00274F3C"/>
    <w:rsid w:val="00274FA7"/>
    <w:rsid w:val="002750B3"/>
    <w:rsid w:val="002751A5"/>
    <w:rsid w:val="002752FE"/>
    <w:rsid w:val="002753B5"/>
    <w:rsid w:val="0027543B"/>
    <w:rsid w:val="00275523"/>
    <w:rsid w:val="00275723"/>
    <w:rsid w:val="002758AA"/>
    <w:rsid w:val="0027590B"/>
    <w:rsid w:val="002759C6"/>
    <w:rsid w:val="002759F2"/>
    <w:rsid w:val="00275A28"/>
    <w:rsid w:val="00275AA7"/>
    <w:rsid w:val="00275AE4"/>
    <w:rsid w:val="00275DDF"/>
    <w:rsid w:val="00275E73"/>
    <w:rsid w:val="00275EBA"/>
    <w:rsid w:val="002760A6"/>
    <w:rsid w:val="002760EF"/>
    <w:rsid w:val="002763BE"/>
    <w:rsid w:val="0027643F"/>
    <w:rsid w:val="00276503"/>
    <w:rsid w:val="00276566"/>
    <w:rsid w:val="0027658A"/>
    <w:rsid w:val="0027659F"/>
    <w:rsid w:val="0027691F"/>
    <w:rsid w:val="002769F0"/>
    <w:rsid w:val="00276A1E"/>
    <w:rsid w:val="00276B40"/>
    <w:rsid w:val="00276B89"/>
    <w:rsid w:val="00276BB5"/>
    <w:rsid w:val="00276C34"/>
    <w:rsid w:val="00276DD3"/>
    <w:rsid w:val="00277049"/>
    <w:rsid w:val="00277069"/>
    <w:rsid w:val="00277094"/>
    <w:rsid w:val="002770FD"/>
    <w:rsid w:val="0027727A"/>
    <w:rsid w:val="00277302"/>
    <w:rsid w:val="00277371"/>
    <w:rsid w:val="00277393"/>
    <w:rsid w:val="00277508"/>
    <w:rsid w:val="0027758F"/>
    <w:rsid w:val="00277596"/>
    <w:rsid w:val="0027763A"/>
    <w:rsid w:val="002777FC"/>
    <w:rsid w:val="00277804"/>
    <w:rsid w:val="00277926"/>
    <w:rsid w:val="002779B4"/>
    <w:rsid w:val="00277A03"/>
    <w:rsid w:val="00277A16"/>
    <w:rsid w:val="00277A24"/>
    <w:rsid w:val="00277A5C"/>
    <w:rsid w:val="00277A6B"/>
    <w:rsid w:val="00277B66"/>
    <w:rsid w:val="00277F2D"/>
    <w:rsid w:val="00277FA7"/>
    <w:rsid w:val="00277FDC"/>
    <w:rsid w:val="00280106"/>
    <w:rsid w:val="002803C8"/>
    <w:rsid w:val="00280503"/>
    <w:rsid w:val="0028064C"/>
    <w:rsid w:val="00280796"/>
    <w:rsid w:val="002807DC"/>
    <w:rsid w:val="00280847"/>
    <w:rsid w:val="002808B0"/>
    <w:rsid w:val="002808C8"/>
    <w:rsid w:val="002809A3"/>
    <w:rsid w:val="00280DB3"/>
    <w:rsid w:val="00280DD0"/>
    <w:rsid w:val="00280F92"/>
    <w:rsid w:val="0028108F"/>
    <w:rsid w:val="002810DF"/>
    <w:rsid w:val="0028110B"/>
    <w:rsid w:val="00281460"/>
    <w:rsid w:val="002814F1"/>
    <w:rsid w:val="0028154D"/>
    <w:rsid w:val="00281582"/>
    <w:rsid w:val="00281593"/>
    <w:rsid w:val="00281615"/>
    <w:rsid w:val="0028162C"/>
    <w:rsid w:val="00281665"/>
    <w:rsid w:val="002816B6"/>
    <w:rsid w:val="00281752"/>
    <w:rsid w:val="002818CB"/>
    <w:rsid w:val="00281927"/>
    <w:rsid w:val="0028193E"/>
    <w:rsid w:val="002819E3"/>
    <w:rsid w:val="00281AFF"/>
    <w:rsid w:val="00281BF4"/>
    <w:rsid w:val="00281C01"/>
    <w:rsid w:val="00281C16"/>
    <w:rsid w:val="00281C8B"/>
    <w:rsid w:val="00281D81"/>
    <w:rsid w:val="00281DC3"/>
    <w:rsid w:val="00281EA3"/>
    <w:rsid w:val="002820C4"/>
    <w:rsid w:val="002820D3"/>
    <w:rsid w:val="002821AF"/>
    <w:rsid w:val="00282244"/>
    <w:rsid w:val="002822B6"/>
    <w:rsid w:val="0028231E"/>
    <w:rsid w:val="002823E8"/>
    <w:rsid w:val="0028241C"/>
    <w:rsid w:val="00282706"/>
    <w:rsid w:val="0028274F"/>
    <w:rsid w:val="00282755"/>
    <w:rsid w:val="0028288C"/>
    <w:rsid w:val="00282901"/>
    <w:rsid w:val="00282FB6"/>
    <w:rsid w:val="00283073"/>
    <w:rsid w:val="0028316F"/>
    <w:rsid w:val="00283184"/>
    <w:rsid w:val="00283269"/>
    <w:rsid w:val="00283461"/>
    <w:rsid w:val="002834BB"/>
    <w:rsid w:val="0028363F"/>
    <w:rsid w:val="0028368C"/>
    <w:rsid w:val="00283761"/>
    <w:rsid w:val="002837D1"/>
    <w:rsid w:val="002837D4"/>
    <w:rsid w:val="00283807"/>
    <w:rsid w:val="002838B4"/>
    <w:rsid w:val="00283949"/>
    <w:rsid w:val="002839F6"/>
    <w:rsid w:val="00283A4C"/>
    <w:rsid w:val="00283A66"/>
    <w:rsid w:val="00283B76"/>
    <w:rsid w:val="00283C50"/>
    <w:rsid w:val="00283C85"/>
    <w:rsid w:val="00283CB4"/>
    <w:rsid w:val="00283E7F"/>
    <w:rsid w:val="00283EEA"/>
    <w:rsid w:val="00283FA0"/>
    <w:rsid w:val="00283FDF"/>
    <w:rsid w:val="0028412E"/>
    <w:rsid w:val="002841D3"/>
    <w:rsid w:val="00284275"/>
    <w:rsid w:val="002842F3"/>
    <w:rsid w:val="002844D7"/>
    <w:rsid w:val="00284B8C"/>
    <w:rsid w:val="00284BD4"/>
    <w:rsid w:val="00284CF1"/>
    <w:rsid w:val="00284D18"/>
    <w:rsid w:val="00284D35"/>
    <w:rsid w:val="00284DA6"/>
    <w:rsid w:val="00284E4F"/>
    <w:rsid w:val="00284EB7"/>
    <w:rsid w:val="00284F35"/>
    <w:rsid w:val="00284F49"/>
    <w:rsid w:val="00284FE1"/>
    <w:rsid w:val="00285008"/>
    <w:rsid w:val="00285400"/>
    <w:rsid w:val="00285430"/>
    <w:rsid w:val="0028568A"/>
    <w:rsid w:val="002856FE"/>
    <w:rsid w:val="002857DF"/>
    <w:rsid w:val="00285969"/>
    <w:rsid w:val="00285A5B"/>
    <w:rsid w:val="00285DA2"/>
    <w:rsid w:val="00285DE5"/>
    <w:rsid w:val="00285EE6"/>
    <w:rsid w:val="00285EF6"/>
    <w:rsid w:val="002862E2"/>
    <w:rsid w:val="0028630C"/>
    <w:rsid w:val="00286462"/>
    <w:rsid w:val="002864E2"/>
    <w:rsid w:val="002864EA"/>
    <w:rsid w:val="00286948"/>
    <w:rsid w:val="00286990"/>
    <w:rsid w:val="00286B13"/>
    <w:rsid w:val="00286C4B"/>
    <w:rsid w:val="00286C67"/>
    <w:rsid w:val="00286D8B"/>
    <w:rsid w:val="00286DCD"/>
    <w:rsid w:val="00286E0F"/>
    <w:rsid w:val="00286EB2"/>
    <w:rsid w:val="002870EC"/>
    <w:rsid w:val="0028715D"/>
    <w:rsid w:val="002871A4"/>
    <w:rsid w:val="0028722F"/>
    <w:rsid w:val="00287274"/>
    <w:rsid w:val="002873DE"/>
    <w:rsid w:val="00287475"/>
    <w:rsid w:val="002875EE"/>
    <w:rsid w:val="00287743"/>
    <w:rsid w:val="00287804"/>
    <w:rsid w:val="00287903"/>
    <w:rsid w:val="00287CC0"/>
    <w:rsid w:val="00287CFC"/>
    <w:rsid w:val="00287D22"/>
    <w:rsid w:val="00287D32"/>
    <w:rsid w:val="00287F7A"/>
    <w:rsid w:val="00287FF3"/>
    <w:rsid w:val="0029024A"/>
    <w:rsid w:val="00290251"/>
    <w:rsid w:val="0029026D"/>
    <w:rsid w:val="0029035A"/>
    <w:rsid w:val="0029036D"/>
    <w:rsid w:val="0029038C"/>
    <w:rsid w:val="00290404"/>
    <w:rsid w:val="002905DC"/>
    <w:rsid w:val="00290631"/>
    <w:rsid w:val="00290653"/>
    <w:rsid w:val="00290A8A"/>
    <w:rsid w:val="00290AF4"/>
    <w:rsid w:val="00290BA2"/>
    <w:rsid w:val="00290BA9"/>
    <w:rsid w:val="00290D5E"/>
    <w:rsid w:val="00290DEA"/>
    <w:rsid w:val="00290F1B"/>
    <w:rsid w:val="00291038"/>
    <w:rsid w:val="00291201"/>
    <w:rsid w:val="00291293"/>
    <w:rsid w:val="002913B6"/>
    <w:rsid w:val="002914C4"/>
    <w:rsid w:val="0029162F"/>
    <w:rsid w:val="0029164A"/>
    <w:rsid w:val="002917D0"/>
    <w:rsid w:val="0029186E"/>
    <w:rsid w:val="00291924"/>
    <w:rsid w:val="00291A20"/>
    <w:rsid w:val="00291AED"/>
    <w:rsid w:val="00291BBF"/>
    <w:rsid w:val="00291C50"/>
    <w:rsid w:val="00291D9A"/>
    <w:rsid w:val="00291DD6"/>
    <w:rsid w:val="00291EFD"/>
    <w:rsid w:val="00292030"/>
    <w:rsid w:val="00292092"/>
    <w:rsid w:val="00292234"/>
    <w:rsid w:val="00292260"/>
    <w:rsid w:val="002922B8"/>
    <w:rsid w:val="002923CB"/>
    <w:rsid w:val="00292522"/>
    <w:rsid w:val="002926AC"/>
    <w:rsid w:val="002926D8"/>
    <w:rsid w:val="00292729"/>
    <w:rsid w:val="0029299A"/>
    <w:rsid w:val="00292A63"/>
    <w:rsid w:val="00292CDF"/>
    <w:rsid w:val="00292DF2"/>
    <w:rsid w:val="00292E64"/>
    <w:rsid w:val="00292F19"/>
    <w:rsid w:val="00292FA7"/>
    <w:rsid w:val="002930FC"/>
    <w:rsid w:val="0029314A"/>
    <w:rsid w:val="002933D4"/>
    <w:rsid w:val="00293631"/>
    <w:rsid w:val="0029363C"/>
    <w:rsid w:val="0029385E"/>
    <w:rsid w:val="00293B35"/>
    <w:rsid w:val="00293D88"/>
    <w:rsid w:val="00293DF3"/>
    <w:rsid w:val="00293ED4"/>
    <w:rsid w:val="00293EEC"/>
    <w:rsid w:val="00293FA6"/>
    <w:rsid w:val="00293FED"/>
    <w:rsid w:val="00294000"/>
    <w:rsid w:val="0029406C"/>
    <w:rsid w:val="002940EC"/>
    <w:rsid w:val="0029435D"/>
    <w:rsid w:val="002943CA"/>
    <w:rsid w:val="00294449"/>
    <w:rsid w:val="002945CD"/>
    <w:rsid w:val="00294782"/>
    <w:rsid w:val="00294811"/>
    <w:rsid w:val="0029493B"/>
    <w:rsid w:val="002949D3"/>
    <w:rsid w:val="00294A3C"/>
    <w:rsid w:val="00294AAA"/>
    <w:rsid w:val="00294AE0"/>
    <w:rsid w:val="00294C87"/>
    <w:rsid w:val="00294E49"/>
    <w:rsid w:val="00295047"/>
    <w:rsid w:val="00295094"/>
    <w:rsid w:val="0029549E"/>
    <w:rsid w:val="002954C4"/>
    <w:rsid w:val="002955C5"/>
    <w:rsid w:val="00295805"/>
    <w:rsid w:val="002958C2"/>
    <w:rsid w:val="0029594A"/>
    <w:rsid w:val="00295A31"/>
    <w:rsid w:val="00295DDE"/>
    <w:rsid w:val="00295F5B"/>
    <w:rsid w:val="00296001"/>
    <w:rsid w:val="0029621D"/>
    <w:rsid w:val="002962C0"/>
    <w:rsid w:val="00296372"/>
    <w:rsid w:val="00296384"/>
    <w:rsid w:val="002965F5"/>
    <w:rsid w:val="002965F8"/>
    <w:rsid w:val="002966B5"/>
    <w:rsid w:val="00296768"/>
    <w:rsid w:val="002968C5"/>
    <w:rsid w:val="002968F6"/>
    <w:rsid w:val="00296921"/>
    <w:rsid w:val="002969A9"/>
    <w:rsid w:val="00296A85"/>
    <w:rsid w:val="00296C32"/>
    <w:rsid w:val="00296C48"/>
    <w:rsid w:val="00296FB4"/>
    <w:rsid w:val="00296FCE"/>
    <w:rsid w:val="00297009"/>
    <w:rsid w:val="00297084"/>
    <w:rsid w:val="002970D7"/>
    <w:rsid w:val="002971D4"/>
    <w:rsid w:val="00297208"/>
    <w:rsid w:val="00297275"/>
    <w:rsid w:val="00297370"/>
    <w:rsid w:val="00297586"/>
    <w:rsid w:val="00297723"/>
    <w:rsid w:val="00297AF9"/>
    <w:rsid w:val="00297AFC"/>
    <w:rsid w:val="00297BA7"/>
    <w:rsid w:val="002A0185"/>
    <w:rsid w:val="002A01FB"/>
    <w:rsid w:val="002A023A"/>
    <w:rsid w:val="002A0262"/>
    <w:rsid w:val="002A028E"/>
    <w:rsid w:val="002A02AA"/>
    <w:rsid w:val="002A0391"/>
    <w:rsid w:val="002A0551"/>
    <w:rsid w:val="002A06C4"/>
    <w:rsid w:val="002A06DC"/>
    <w:rsid w:val="002A089C"/>
    <w:rsid w:val="002A08E7"/>
    <w:rsid w:val="002A0B51"/>
    <w:rsid w:val="002A0C1B"/>
    <w:rsid w:val="002A0D33"/>
    <w:rsid w:val="002A0D3F"/>
    <w:rsid w:val="002A0D8A"/>
    <w:rsid w:val="002A0DF4"/>
    <w:rsid w:val="002A0E65"/>
    <w:rsid w:val="002A0E94"/>
    <w:rsid w:val="002A0EB6"/>
    <w:rsid w:val="002A0F98"/>
    <w:rsid w:val="002A1047"/>
    <w:rsid w:val="002A10BF"/>
    <w:rsid w:val="002A10D8"/>
    <w:rsid w:val="002A1225"/>
    <w:rsid w:val="002A1393"/>
    <w:rsid w:val="002A13B5"/>
    <w:rsid w:val="002A13FF"/>
    <w:rsid w:val="002A1705"/>
    <w:rsid w:val="002A183D"/>
    <w:rsid w:val="002A19F8"/>
    <w:rsid w:val="002A1A2A"/>
    <w:rsid w:val="002A1AC3"/>
    <w:rsid w:val="002A1B0B"/>
    <w:rsid w:val="002A1B97"/>
    <w:rsid w:val="002A1C81"/>
    <w:rsid w:val="002A1EA0"/>
    <w:rsid w:val="002A1F68"/>
    <w:rsid w:val="002A1FBB"/>
    <w:rsid w:val="002A1FC3"/>
    <w:rsid w:val="002A1FD2"/>
    <w:rsid w:val="002A2009"/>
    <w:rsid w:val="002A21A0"/>
    <w:rsid w:val="002A21A4"/>
    <w:rsid w:val="002A22A3"/>
    <w:rsid w:val="002A247F"/>
    <w:rsid w:val="002A2561"/>
    <w:rsid w:val="002A2674"/>
    <w:rsid w:val="002A2760"/>
    <w:rsid w:val="002A2987"/>
    <w:rsid w:val="002A29AE"/>
    <w:rsid w:val="002A2A9D"/>
    <w:rsid w:val="002A2B4B"/>
    <w:rsid w:val="002A2B6B"/>
    <w:rsid w:val="002A2BE8"/>
    <w:rsid w:val="002A2D62"/>
    <w:rsid w:val="002A2DEC"/>
    <w:rsid w:val="002A2DFD"/>
    <w:rsid w:val="002A304C"/>
    <w:rsid w:val="002A32DD"/>
    <w:rsid w:val="002A3374"/>
    <w:rsid w:val="002A352E"/>
    <w:rsid w:val="002A3567"/>
    <w:rsid w:val="002A356B"/>
    <w:rsid w:val="002A35D4"/>
    <w:rsid w:val="002A36FA"/>
    <w:rsid w:val="002A382A"/>
    <w:rsid w:val="002A382B"/>
    <w:rsid w:val="002A3910"/>
    <w:rsid w:val="002A3A40"/>
    <w:rsid w:val="002A3ABB"/>
    <w:rsid w:val="002A3B9C"/>
    <w:rsid w:val="002A3BE1"/>
    <w:rsid w:val="002A3F36"/>
    <w:rsid w:val="002A3F79"/>
    <w:rsid w:val="002A3FE4"/>
    <w:rsid w:val="002A4060"/>
    <w:rsid w:val="002A40BB"/>
    <w:rsid w:val="002A4151"/>
    <w:rsid w:val="002A417E"/>
    <w:rsid w:val="002A41F3"/>
    <w:rsid w:val="002A4258"/>
    <w:rsid w:val="002A42AB"/>
    <w:rsid w:val="002A431F"/>
    <w:rsid w:val="002A432A"/>
    <w:rsid w:val="002A45B2"/>
    <w:rsid w:val="002A4670"/>
    <w:rsid w:val="002A4736"/>
    <w:rsid w:val="002A476B"/>
    <w:rsid w:val="002A48E7"/>
    <w:rsid w:val="002A492B"/>
    <w:rsid w:val="002A4955"/>
    <w:rsid w:val="002A4990"/>
    <w:rsid w:val="002A49B0"/>
    <w:rsid w:val="002A4C2F"/>
    <w:rsid w:val="002A5017"/>
    <w:rsid w:val="002A5219"/>
    <w:rsid w:val="002A530E"/>
    <w:rsid w:val="002A5343"/>
    <w:rsid w:val="002A5377"/>
    <w:rsid w:val="002A54A6"/>
    <w:rsid w:val="002A55BA"/>
    <w:rsid w:val="002A55CD"/>
    <w:rsid w:val="002A5600"/>
    <w:rsid w:val="002A5655"/>
    <w:rsid w:val="002A565B"/>
    <w:rsid w:val="002A56B8"/>
    <w:rsid w:val="002A56F5"/>
    <w:rsid w:val="002A5964"/>
    <w:rsid w:val="002A59DC"/>
    <w:rsid w:val="002A5A9F"/>
    <w:rsid w:val="002A5C57"/>
    <w:rsid w:val="002A5D87"/>
    <w:rsid w:val="002A5DB5"/>
    <w:rsid w:val="002A6042"/>
    <w:rsid w:val="002A632B"/>
    <w:rsid w:val="002A656A"/>
    <w:rsid w:val="002A65AB"/>
    <w:rsid w:val="002A65BD"/>
    <w:rsid w:val="002A68C1"/>
    <w:rsid w:val="002A69B1"/>
    <w:rsid w:val="002A6A9A"/>
    <w:rsid w:val="002A6D08"/>
    <w:rsid w:val="002A6DFB"/>
    <w:rsid w:val="002A6FC0"/>
    <w:rsid w:val="002A704E"/>
    <w:rsid w:val="002A7128"/>
    <w:rsid w:val="002A758B"/>
    <w:rsid w:val="002A764A"/>
    <w:rsid w:val="002A790B"/>
    <w:rsid w:val="002A7A74"/>
    <w:rsid w:val="002A7A96"/>
    <w:rsid w:val="002A7B8C"/>
    <w:rsid w:val="002A7BB7"/>
    <w:rsid w:val="002A7CD4"/>
    <w:rsid w:val="002A7D14"/>
    <w:rsid w:val="002A7D4D"/>
    <w:rsid w:val="002A7ECB"/>
    <w:rsid w:val="002A7F8F"/>
    <w:rsid w:val="002A7FC4"/>
    <w:rsid w:val="002B008E"/>
    <w:rsid w:val="002B02B4"/>
    <w:rsid w:val="002B0572"/>
    <w:rsid w:val="002B062A"/>
    <w:rsid w:val="002B07CB"/>
    <w:rsid w:val="002B08E2"/>
    <w:rsid w:val="002B090F"/>
    <w:rsid w:val="002B0A1E"/>
    <w:rsid w:val="002B0A46"/>
    <w:rsid w:val="002B0A78"/>
    <w:rsid w:val="002B0AAD"/>
    <w:rsid w:val="002B0C2D"/>
    <w:rsid w:val="002B0D23"/>
    <w:rsid w:val="002B0D4E"/>
    <w:rsid w:val="002B0D63"/>
    <w:rsid w:val="002B0DF2"/>
    <w:rsid w:val="002B0FB6"/>
    <w:rsid w:val="002B1062"/>
    <w:rsid w:val="002B1085"/>
    <w:rsid w:val="002B1095"/>
    <w:rsid w:val="002B12A0"/>
    <w:rsid w:val="002B12AF"/>
    <w:rsid w:val="002B132F"/>
    <w:rsid w:val="002B16FD"/>
    <w:rsid w:val="002B17DF"/>
    <w:rsid w:val="002B1AD6"/>
    <w:rsid w:val="002B1D02"/>
    <w:rsid w:val="002B1D28"/>
    <w:rsid w:val="002B1E78"/>
    <w:rsid w:val="002B20E9"/>
    <w:rsid w:val="002B22C9"/>
    <w:rsid w:val="002B2353"/>
    <w:rsid w:val="002B23CE"/>
    <w:rsid w:val="002B2467"/>
    <w:rsid w:val="002B25AB"/>
    <w:rsid w:val="002B26D7"/>
    <w:rsid w:val="002B278C"/>
    <w:rsid w:val="002B27AD"/>
    <w:rsid w:val="002B27FF"/>
    <w:rsid w:val="002B2894"/>
    <w:rsid w:val="002B28A0"/>
    <w:rsid w:val="002B28B3"/>
    <w:rsid w:val="002B29FF"/>
    <w:rsid w:val="002B2A55"/>
    <w:rsid w:val="002B2A6B"/>
    <w:rsid w:val="002B2A80"/>
    <w:rsid w:val="002B2B3D"/>
    <w:rsid w:val="002B2D96"/>
    <w:rsid w:val="002B2E25"/>
    <w:rsid w:val="002B321A"/>
    <w:rsid w:val="002B3247"/>
    <w:rsid w:val="002B3476"/>
    <w:rsid w:val="002B3498"/>
    <w:rsid w:val="002B3748"/>
    <w:rsid w:val="002B375E"/>
    <w:rsid w:val="002B3829"/>
    <w:rsid w:val="002B391F"/>
    <w:rsid w:val="002B39B4"/>
    <w:rsid w:val="002B3A2C"/>
    <w:rsid w:val="002B3A7C"/>
    <w:rsid w:val="002B3AD9"/>
    <w:rsid w:val="002B3BB7"/>
    <w:rsid w:val="002B3CB7"/>
    <w:rsid w:val="002B3CCF"/>
    <w:rsid w:val="002B3DFD"/>
    <w:rsid w:val="002B3F42"/>
    <w:rsid w:val="002B3F5F"/>
    <w:rsid w:val="002B417E"/>
    <w:rsid w:val="002B41B6"/>
    <w:rsid w:val="002B43E6"/>
    <w:rsid w:val="002B441E"/>
    <w:rsid w:val="002B4432"/>
    <w:rsid w:val="002B444C"/>
    <w:rsid w:val="002B46D4"/>
    <w:rsid w:val="002B48F1"/>
    <w:rsid w:val="002B4930"/>
    <w:rsid w:val="002B4C22"/>
    <w:rsid w:val="002B4CAE"/>
    <w:rsid w:val="002B4CDC"/>
    <w:rsid w:val="002B4CFD"/>
    <w:rsid w:val="002B4D28"/>
    <w:rsid w:val="002B4D4D"/>
    <w:rsid w:val="002B4D95"/>
    <w:rsid w:val="002B4E45"/>
    <w:rsid w:val="002B4E9E"/>
    <w:rsid w:val="002B4EE0"/>
    <w:rsid w:val="002B501F"/>
    <w:rsid w:val="002B5068"/>
    <w:rsid w:val="002B50FF"/>
    <w:rsid w:val="002B5196"/>
    <w:rsid w:val="002B5309"/>
    <w:rsid w:val="002B54E2"/>
    <w:rsid w:val="002B55CC"/>
    <w:rsid w:val="002B56B2"/>
    <w:rsid w:val="002B56B8"/>
    <w:rsid w:val="002B5839"/>
    <w:rsid w:val="002B588E"/>
    <w:rsid w:val="002B58BB"/>
    <w:rsid w:val="002B598A"/>
    <w:rsid w:val="002B5A30"/>
    <w:rsid w:val="002B5AAC"/>
    <w:rsid w:val="002B5BC3"/>
    <w:rsid w:val="002B5BCA"/>
    <w:rsid w:val="002B5C39"/>
    <w:rsid w:val="002B5CF9"/>
    <w:rsid w:val="002B5E42"/>
    <w:rsid w:val="002B5EC0"/>
    <w:rsid w:val="002B5EF4"/>
    <w:rsid w:val="002B606E"/>
    <w:rsid w:val="002B62D4"/>
    <w:rsid w:val="002B6392"/>
    <w:rsid w:val="002B63F2"/>
    <w:rsid w:val="002B6510"/>
    <w:rsid w:val="002B65A8"/>
    <w:rsid w:val="002B6604"/>
    <w:rsid w:val="002B6713"/>
    <w:rsid w:val="002B681F"/>
    <w:rsid w:val="002B6B54"/>
    <w:rsid w:val="002B6D18"/>
    <w:rsid w:val="002B6EF7"/>
    <w:rsid w:val="002B7035"/>
    <w:rsid w:val="002B70B7"/>
    <w:rsid w:val="002B717C"/>
    <w:rsid w:val="002B7268"/>
    <w:rsid w:val="002B727B"/>
    <w:rsid w:val="002B72E1"/>
    <w:rsid w:val="002B7385"/>
    <w:rsid w:val="002B739F"/>
    <w:rsid w:val="002B7502"/>
    <w:rsid w:val="002B7585"/>
    <w:rsid w:val="002B7825"/>
    <w:rsid w:val="002B7875"/>
    <w:rsid w:val="002B7911"/>
    <w:rsid w:val="002B7A25"/>
    <w:rsid w:val="002B7AC2"/>
    <w:rsid w:val="002B7B3B"/>
    <w:rsid w:val="002B7D4C"/>
    <w:rsid w:val="002B7DEA"/>
    <w:rsid w:val="002B7E43"/>
    <w:rsid w:val="002B7E46"/>
    <w:rsid w:val="002B7FC4"/>
    <w:rsid w:val="002C002E"/>
    <w:rsid w:val="002C0084"/>
    <w:rsid w:val="002C01DE"/>
    <w:rsid w:val="002C020C"/>
    <w:rsid w:val="002C0238"/>
    <w:rsid w:val="002C02CB"/>
    <w:rsid w:val="002C030B"/>
    <w:rsid w:val="002C0355"/>
    <w:rsid w:val="002C0384"/>
    <w:rsid w:val="002C03A5"/>
    <w:rsid w:val="002C0429"/>
    <w:rsid w:val="002C045E"/>
    <w:rsid w:val="002C0769"/>
    <w:rsid w:val="002C083F"/>
    <w:rsid w:val="002C08DD"/>
    <w:rsid w:val="002C099F"/>
    <w:rsid w:val="002C09BE"/>
    <w:rsid w:val="002C09DE"/>
    <w:rsid w:val="002C09F7"/>
    <w:rsid w:val="002C0A6E"/>
    <w:rsid w:val="002C0C55"/>
    <w:rsid w:val="002C0CAD"/>
    <w:rsid w:val="002C0D6E"/>
    <w:rsid w:val="002C0DE8"/>
    <w:rsid w:val="002C0E08"/>
    <w:rsid w:val="002C0E7C"/>
    <w:rsid w:val="002C116F"/>
    <w:rsid w:val="002C12E7"/>
    <w:rsid w:val="002C133F"/>
    <w:rsid w:val="002C134A"/>
    <w:rsid w:val="002C1378"/>
    <w:rsid w:val="002C1400"/>
    <w:rsid w:val="002C1501"/>
    <w:rsid w:val="002C172C"/>
    <w:rsid w:val="002C18B8"/>
    <w:rsid w:val="002C194A"/>
    <w:rsid w:val="002C1F34"/>
    <w:rsid w:val="002C1F44"/>
    <w:rsid w:val="002C2082"/>
    <w:rsid w:val="002C23FA"/>
    <w:rsid w:val="002C2493"/>
    <w:rsid w:val="002C2709"/>
    <w:rsid w:val="002C272F"/>
    <w:rsid w:val="002C279A"/>
    <w:rsid w:val="002C2826"/>
    <w:rsid w:val="002C292D"/>
    <w:rsid w:val="002C2970"/>
    <w:rsid w:val="002C2A02"/>
    <w:rsid w:val="002C2AA2"/>
    <w:rsid w:val="002C2AEE"/>
    <w:rsid w:val="002C2B05"/>
    <w:rsid w:val="002C2B2C"/>
    <w:rsid w:val="002C2C72"/>
    <w:rsid w:val="002C2DFA"/>
    <w:rsid w:val="002C2F9C"/>
    <w:rsid w:val="002C2FB1"/>
    <w:rsid w:val="002C3045"/>
    <w:rsid w:val="002C30A7"/>
    <w:rsid w:val="002C3165"/>
    <w:rsid w:val="002C32E9"/>
    <w:rsid w:val="002C3400"/>
    <w:rsid w:val="002C361B"/>
    <w:rsid w:val="002C36C2"/>
    <w:rsid w:val="002C37DE"/>
    <w:rsid w:val="002C3954"/>
    <w:rsid w:val="002C3AF5"/>
    <w:rsid w:val="002C3C59"/>
    <w:rsid w:val="002C3C6D"/>
    <w:rsid w:val="002C3F25"/>
    <w:rsid w:val="002C3F5F"/>
    <w:rsid w:val="002C4012"/>
    <w:rsid w:val="002C404D"/>
    <w:rsid w:val="002C4143"/>
    <w:rsid w:val="002C4181"/>
    <w:rsid w:val="002C4198"/>
    <w:rsid w:val="002C4529"/>
    <w:rsid w:val="002C453E"/>
    <w:rsid w:val="002C478E"/>
    <w:rsid w:val="002C485A"/>
    <w:rsid w:val="002C4B5F"/>
    <w:rsid w:val="002C4B83"/>
    <w:rsid w:val="002C4D0C"/>
    <w:rsid w:val="002C4D3F"/>
    <w:rsid w:val="002C4D9F"/>
    <w:rsid w:val="002C4DEB"/>
    <w:rsid w:val="002C4E80"/>
    <w:rsid w:val="002C4E8D"/>
    <w:rsid w:val="002C4EC9"/>
    <w:rsid w:val="002C4F2A"/>
    <w:rsid w:val="002C509A"/>
    <w:rsid w:val="002C51C2"/>
    <w:rsid w:val="002C51C6"/>
    <w:rsid w:val="002C5322"/>
    <w:rsid w:val="002C548C"/>
    <w:rsid w:val="002C54BB"/>
    <w:rsid w:val="002C5552"/>
    <w:rsid w:val="002C559C"/>
    <w:rsid w:val="002C55B7"/>
    <w:rsid w:val="002C56C0"/>
    <w:rsid w:val="002C571D"/>
    <w:rsid w:val="002C5803"/>
    <w:rsid w:val="002C58E4"/>
    <w:rsid w:val="002C5992"/>
    <w:rsid w:val="002C59D7"/>
    <w:rsid w:val="002C59EE"/>
    <w:rsid w:val="002C5B31"/>
    <w:rsid w:val="002C5BEA"/>
    <w:rsid w:val="002C5D10"/>
    <w:rsid w:val="002C5DD8"/>
    <w:rsid w:val="002C5DEF"/>
    <w:rsid w:val="002C5E08"/>
    <w:rsid w:val="002C5E71"/>
    <w:rsid w:val="002C5EC3"/>
    <w:rsid w:val="002C5F9D"/>
    <w:rsid w:val="002C5FFA"/>
    <w:rsid w:val="002C6080"/>
    <w:rsid w:val="002C6131"/>
    <w:rsid w:val="002C63F1"/>
    <w:rsid w:val="002C641A"/>
    <w:rsid w:val="002C6437"/>
    <w:rsid w:val="002C644F"/>
    <w:rsid w:val="002C6499"/>
    <w:rsid w:val="002C64AB"/>
    <w:rsid w:val="002C64BC"/>
    <w:rsid w:val="002C64F4"/>
    <w:rsid w:val="002C6585"/>
    <w:rsid w:val="002C66B1"/>
    <w:rsid w:val="002C67DF"/>
    <w:rsid w:val="002C68AC"/>
    <w:rsid w:val="002C6B22"/>
    <w:rsid w:val="002C6BFE"/>
    <w:rsid w:val="002C6C95"/>
    <w:rsid w:val="002C6E62"/>
    <w:rsid w:val="002C6EE4"/>
    <w:rsid w:val="002C6F23"/>
    <w:rsid w:val="002C6FF0"/>
    <w:rsid w:val="002C7051"/>
    <w:rsid w:val="002C70F7"/>
    <w:rsid w:val="002C74DC"/>
    <w:rsid w:val="002C7522"/>
    <w:rsid w:val="002C75F9"/>
    <w:rsid w:val="002C786E"/>
    <w:rsid w:val="002C792C"/>
    <w:rsid w:val="002C7938"/>
    <w:rsid w:val="002C795C"/>
    <w:rsid w:val="002C7A1D"/>
    <w:rsid w:val="002C7A5C"/>
    <w:rsid w:val="002C7BA5"/>
    <w:rsid w:val="002C7BD2"/>
    <w:rsid w:val="002C7BE9"/>
    <w:rsid w:val="002C7C5A"/>
    <w:rsid w:val="002C7CC2"/>
    <w:rsid w:val="002C7CF5"/>
    <w:rsid w:val="002C7D27"/>
    <w:rsid w:val="002C7D63"/>
    <w:rsid w:val="002C7D82"/>
    <w:rsid w:val="002C7E4F"/>
    <w:rsid w:val="002C7EBD"/>
    <w:rsid w:val="002C7EE1"/>
    <w:rsid w:val="002C7F72"/>
    <w:rsid w:val="002D0101"/>
    <w:rsid w:val="002D0174"/>
    <w:rsid w:val="002D0193"/>
    <w:rsid w:val="002D01EF"/>
    <w:rsid w:val="002D034B"/>
    <w:rsid w:val="002D0467"/>
    <w:rsid w:val="002D0487"/>
    <w:rsid w:val="002D0506"/>
    <w:rsid w:val="002D05D9"/>
    <w:rsid w:val="002D05F2"/>
    <w:rsid w:val="002D077C"/>
    <w:rsid w:val="002D093E"/>
    <w:rsid w:val="002D09F3"/>
    <w:rsid w:val="002D0AB6"/>
    <w:rsid w:val="002D0CDC"/>
    <w:rsid w:val="002D0D7A"/>
    <w:rsid w:val="002D0EBC"/>
    <w:rsid w:val="002D102B"/>
    <w:rsid w:val="002D104A"/>
    <w:rsid w:val="002D1062"/>
    <w:rsid w:val="002D1079"/>
    <w:rsid w:val="002D138F"/>
    <w:rsid w:val="002D1705"/>
    <w:rsid w:val="002D17EE"/>
    <w:rsid w:val="002D188C"/>
    <w:rsid w:val="002D18DC"/>
    <w:rsid w:val="002D1AB8"/>
    <w:rsid w:val="002D1B02"/>
    <w:rsid w:val="002D1C2D"/>
    <w:rsid w:val="002D1D1D"/>
    <w:rsid w:val="002D1D22"/>
    <w:rsid w:val="002D1DB0"/>
    <w:rsid w:val="002D1DDB"/>
    <w:rsid w:val="002D1F90"/>
    <w:rsid w:val="002D1FB6"/>
    <w:rsid w:val="002D1FFF"/>
    <w:rsid w:val="002D2136"/>
    <w:rsid w:val="002D21E8"/>
    <w:rsid w:val="002D226C"/>
    <w:rsid w:val="002D23CA"/>
    <w:rsid w:val="002D255B"/>
    <w:rsid w:val="002D27FD"/>
    <w:rsid w:val="002D280F"/>
    <w:rsid w:val="002D29AE"/>
    <w:rsid w:val="002D29EB"/>
    <w:rsid w:val="002D2B51"/>
    <w:rsid w:val="002D2B94"/>
    <w:rsid w:val="002D2D7F"/>
    <w:rsid w:val="002D2D82"/>
    <w:rsid w:val="002D2EA1"/>
    <w:rsid w:val="002D30F7"/>
    <w:rsid w:val="002D32F9"/>
    <w:rsid w:val="002D33AD"/>
    <w:rsid w:val="002D3446"/>
    <w:rsid w:val="002D34A2"/>
    <w:rsid w:val="002D35B8"/>
    <w:rsid w:val="002D3631"/>
    <w:rsid w:val="002D3803"/>
    <w:rsid w:val="002D3918"/>
    <w:rsid w:val="002D3933"/>
    <w:rsid w:val="002D39A9"/>
    <w:rsid w:val="002D39B4"/>
    <w:rsid w:val="002D3A37"/>
    <w:rsid w:val="002D3B10"/>
    <w:rsid w:val="002D3B67"/>
    <w:rsid w:val="002D3BC7"/>
    <w:rsid w:val="002D3BE2"/>
    <w:rsid w:val="002D3BEC"/>
    <w:rsid w:val="002D3BF9"/>
    <w:rsid w:val="002D3D94"/>
    <w:rsid w:val="002D3ED0"/>
    <w:rsid w:val="002D3F5C"/>
    <w:rsid w:val="002D400A"/>
    <w:rsid w:val="002D40CA"/>
    <w:rsid w:val="002D41FA"/>
    <w:rsid w:val="002D4307"/>
    <w:rsid w:val="002D4436"/>
    <w:rsid w:val="002D4504"/>
    <w:rsid w:val="002D46A2"/>
    <w:rsid w:val="002D4810"/>
    <w:rsid w:val="002D4822"/>
    <w:rsid w:val="002D4871"/>
    <w:rsid w:val="002D488F"/>
    <w:rsid w:val="002D4936"/>
    <w:rsid w:val="002D4B23"/>
    <w:rsid w:val="002D4B8F"/>
    <w:rsid w:val="002D4BA1"/>
    <w:rsid w:val="002D4C16"/>
    <w:rsid w:val="002D4C61"/>
    <w:rsid w:val="002D4C85"/>
    <w:rsid w:val="002D4CF1"/>
    <w:rsid w:val="002D4D67"/>
    <w:rsid w:val="002D4E47"/>
    <w:rsid w:val="002D4EB3"/>
    <w:rsid w:val="002D4EE4"/>
    <w:rsid w:val="002D4FDD"/>
    <w:rsid w:val="002D5008"/>
    <w:rsid w:val="002D522D"/>
    <w:rsid w:val="002D5277"/>
    <w:rsid w:val="002D5279"/>
    <w:rsid w:val="002D536E"/>
    <w:rsid w:val="002D53C6"/>
    <w:rsid w:val="002D5457"/>
    <w:rsid w:val="002D54AF"/>
    <w:rsid w:val="002D54B7"/>
    <w:rsid w:val="002D5765"/>
    <w:rsid w:val="002D59BC"/>
    <w:rsid w:val="002D5AAC"/>
    <w:rsid w:val="002D5AFD"/>
    <w:rsid w:val="002D5C30"/>
    <w:rsid w:val="002D5C31"/>
    <w:rsid w:val="002D5CD1"/>
    <w:rsid w:val="002D5ED4"/>
    <w:rsid w:val="002D6069"/>
    <w:rsid w:val="002D6211"/>
    <w:rsid w:val="002D6311"/>
    <w:rsid w:val="002D63EA"/>
    <w:rsid w:val="002D653E"/>
    <w:rsid w:val="002D654A"/>
    <w:rsid w:val="002D65D8"/>
    <w:rsid w:val="002D6634"/>
    <w:rsid w:val="002D6651"/>
    <w:rsid w:val="002D6696"/>
    <w:rsid w:val="002D68A6"/>
    <w:rsid w:val="002D6994"/>
    <w:rsid w:val="002D699F"/>
    <w:rsid w:val="002D6A0D"/>
    <w:rsid w:val="002D6A49"/>
    <w:rsid w:val="002D6A90"/>
    <w:rsid w:val="002D6B58"/>
    <w:rsid w:val="002D6C22"/>
    <w:rsid w:val="002D6D94"/>
    <w:rsid w:val="002D701F"/>
    <w:rsid w:val="002D7069"/>
    <w:rsid w:val="002D717E"/>
    <w:rsid w:val="002D74B4"/>
    <w:rsid w:val="002D74B9"/>
    <w:rsid w:val="002D74F2"/>
    <w:rsid w:val="002D7525"/>
    <w:rsid w:val="002D7602"/>
    <w:rsid w:val="002D767D"/>
    <w:rsid w:val="002D776D"/>
    <w:rsid w:val="002D77C3"/>
    <w:rsid w:val="002D7984"/>
    <w:rsid w:val="002D79E2"/>
    <w:rsid w:val="002D79EE"/>
    <w:rsid w:val="002D7A3B"/>
    <w:rsid w:val="002D7BE9"/>
    <w:rsid w:val="002D7E00"/>
    <w:rsid w:val="002D7EB4"/>
    <w:rsid w:val="002D7F70"/>
    <w:rsid w:val="002D7FDD"/>
    <w:rsid w:val="002E001A"/>
    <w:rsid w:val="002E01BB"/>
    <w:rsid w:val="002E0274"/>
    <w:rsid w:val="002E033B"/>
    <w:rsid w:val="002E0399"/>
    <w:rsid w:val="002E051B"/>
    <w:rsid w:val="002E0522"/>
    <w:rsid w:val="002E05B4"/>
    <w:rsid w:val="002E0744"/>
    <w:rsid w:val="002E08AC"/>
    <w:rsid w:val="002E0AA1"/>
    <w:rsid w:val="002E0BED"/>
    <w:rsid w:val="002E0D58"/>
    <w:rsid w:val="002E0DFD"/>
    <w:rsid w:val="002E0FF7"/>
    <w:rsid w:val="002E1024"/>
    <w:rsid w:val="002E1117"/>
    <w:rsid w:val="002E11D4"/>
    <w:rsid w:val="002E120C"/>
    <w:rsid w:val="002E1340"/>
    <w:rsid w:val="002E14A8"/>
    <w:rsid w:val="002E181A"/>
    <w:rsid w:val="002E191B"/>
    <w:rsid w:val="002E196D"/>
    <w:rsid w:val="002E19AF"/>
    <w:rsid w:val="002E19E4"/>
    <w:rsid w:val="002E1A05"/>
    <w:rsid w:val="002E1C88"/>
    <w:rsid w:val="002E1CB1"/>
    <w:rsid w:val="002E1D4F"/>
    <w:rsid w:val="002E1DC0"/>
    <w:rsid w:val="002E1DE0"/>
    <w:rsid w:val="002E1E21"/>
    <w:rsid w:val="002E1EA6"/>
    <w:rsid w:val="002E1F33"/>
    <w:rsid w:val="002E204E"/>
    <w:rsid w:val="002E223F"/>
    <w:rsid w:val="002E2283"/>
    <w:rsid w:val="002E24A9"/>
    <w:rsid w:val="002E24C5"/>
    <w:rsid w:val="002E254F"/>
    <w:rsid w:val="002E25D3"/>
    <w:rsid w:val="002E26A0"/>
    <w:rsid w:val="002E287B"/>
    <w:rsid w:val="002E294B"/>
    <w:rsid w:val="002E2953"/>
    <w:rsid w:val="002E2996"/>
    <w:rsid w:val="002E2A13"/>
    <w:rsid w:val="002E2A3F"/>
    <w:rsid w:val="002E3041"/>
    <w:rsid w:val="002E3106"/>
    <w:rsid w:val="002E3173"/>
    <w:rsid w:val="002E3427"/>
    <w:rsid w:val="002E3470"/>
    <w:rsid w:val="002E35DF"/>
    <w:rsid w:val="002E3676"/>
    <w:rsid w:val="002E36B7"/>
    <w:rsid w:val="002E36B8"/>
    <w:rsid w:val="002E3716"/>
    <w:rsid w:val="002E3792"/>
    <w:rsid w:val="002E381D"/>
    <w:rsid w:val="002E387C"/>
    <w:rsid w:val="002E3908"/>
    <w:rsid w:val="002E39ED"/>
    <w:rsid w:val="002E39EE"/>
    <w:rsid w:val="002E3BCB"/>
    <w:rsid w:val="002E3C30"/>
    <w:rsid w:val="002E3CA9"/>
    <w:rsid w:val="002E3D13"/>
    <w:rsid w:val="002E3E16"/>
    <w:rsid w:val="002E3E39"/>
    <w:rsid w:val="002E3E4F"/>
    <w:rsid w:val="002E3E77"/>
    <w:rsid w:val="002E3F55"/>
    <w:rsid w:val="002E3F6B"/>
    <w:rsid w:val="002E3FC8"/>
    <w:rsid w:val="002E4061"/>
    <w:rsid w:val="002E42A5"/>
    <w:rsid w:val="002E44D6"/>
    <w:rsid w:val="002E45A1"/>
    <w:rsid w:val="002E465E"/>
    <w:rsid w:val="002E46B4"/>
    <w:rsid w:val="002E46C7"/>
    <w:rsid w:val="002E46E4"/>
    <w:rsid w:val="002E4AC3"/>
    <w:rsid w:val="002E4ADA"/>
    <w:rsid w:val="002E4B25"/>
    <w:rsid w:val="002E4C63"/>
    <w:rsid w:val="002E4E7A"/>
    <w:rsid w:val="002E4EB9"/>
    <w:rsid w:val="002E5047"/>
    <w:rsid w:val="002E523F"/>
    <w:rsid w:val="002E53EE"/>
    <w:rsid w:val="002E5461"/>
    <w:rsid w:val="002E55A3"/>
    <w:rsid w:val="002E55D1"/>
    <w:rsid w:val="002E5607"/>
    <w:rsid w:val="002E57D7"/>
    <w:rsid w:val="002E595B"/>
    <w:rsid w:val="002E5A87"/>
    <w:rsid w:val="002E5B86"/>
    <w:rsid w:val="002E5D87"/>
    <w:rsid w:val="002E5F8B"/>
    <w:rsid w:val="002E60FD"/>
    <w:rsid w:val="002E6461"/>
    <w:rsid w:val="002E64A4"/>
    <w:rsid w:val="002E6603"/>
    <w:rsid w:val="002E660A"/>
    <w:rsid w:val="002E6664"/>
    <w:rsid w:val="002E6BF3"/>
    <w:rsid w:val="002E6C88"/>
    <w:rsid w:val="002E6CA1"/>
    <w:rsid w:val="002E6D13"/>
    <w:rsid w:val="002E6E0F"/>
    <w:rsid w:val="002E706F"/>
    <w:rsid w:val="002E70C6"/>
    <w:rsid w:val="002E7164"/>
    <w:rsid w:val="002E72ED"/>
    <w:rsid w:val="002E72F4"/>
    <w:rsid w:val="002E73D0"/>
    <w:rsid w:val="002E73F7"/>
    <w:rsid w:val="002E7420"/>
    <w:rsid w:val="002E7514"/>
    <w:rsid w:val="002E760B"/>
    <w:rsid w:val="002E785C"/>
    <w:rsid w:val="002E7990"/>
    <w:rsid w:val="002E7B18"/>
    <w:rsid w:val="002E7C1B"/>
    <w:rsid w:val="002E7C60"/>
    <w:rsid w:val="002E7D55"/>
    <w:rsid w:val="002E7D61"/>
    <w:rsid w:val="002E7D79"/>
    <w:rsid w:val="002E7E05"/>
    <w:rsid w:val="002E7E32"/>
    <w:rsid w:val="002E7E52"/>
    <w:rsid w:val="002F0059"/>
    <w:rsid w:val="002F0335"/>
    <w:rsid w:val="002F03BD"/>
    <w:rsid w:val="002F0423"/>
    <w:rsid w:val="002F048C"/>
    <w:rsid w:val="002F06A6"/>
    <w:rsid w:val="002F07C0"/>
    <w:rsid w:val="002F07C4"/>
    <w:rsid w:val="002F08CE"/>
    <w:rsid w:val="002F0A16"/>
    <w:rsid w:val="002F0ABB"/>
    <w:rsid w:val="002F0C36"/>
    <w:rsid w:val="002F0C60"/>
    <w:rsid w:val="002F0E67"/>
    <w:rsid w:val="002F113F"/>
    <w:rsid w:val="002F1140"/>
    <w:rsid w:val="002F116D"/>
    <w:rsid w:val="002F121E"/>
    <w:rsid w:val="002F1427"/>
    <w:rsid w:val="002F1557"/>
    <w:rsid w:val="002F15EB"/>
    <w:rsid w:val="002F166A"/>
    <w:rsid w:val="002F1675"/>
    <w:rsid w:val="002F181C"/>
    <w:rsid w:val="002F199D"/>
    <w:rsid w:val="002F19DB"/>
    <w:rsid w:val="002F1A2C"/>
    <w:rsid w:val="002F1AD8"/>
    <w:rsid w:val="002F1ADD"/>
    <w:rsid w:val="002F1B41"/>
    <w:rsid w:val="002F1B85"/>
    <w:rsid w:val="002F1C0B"/>
    <w:rsid w:val="002F1E80"/>
    <w:rsid w:val="002F1EC9"/>
    <w:rsid w:val="002F1FE1"/>
    <w:rsid w:val="002F2030"/>
    <w:rsid w:val="002F20B5"/>
    <w:rsid w:val="002F213D"/>
    <w:rsid w:val="002F2219"/>
    <w:rsid w:val="002F228B"/>
    <w:rsid w:val="002F2353"/>
    <w:rsid w:val="002F23CF"/>
    <w:rsid w:val="002F24F4"/>
    <w:rsid w:val="002F25FB"/>
    <w:rsid w:val="002F26DC"/>
    <w:rsid w:val="002F2ABB"/>
    <w:rsid w:val="002F2C3E"/>
    <w:rsid w:val="002F2CC6"/>
    <w:rsid w:val="002F2D53"/>
    <w:rsid w:val="002F30BD"/>
    <w:rsid w:val="002F3192"/>
    <w:rsid w:val="002F3280"/>
    <w:rsid w:val="002F32EA"/>
    <w:rsid w:val="002F335D"/>
    <w:rsid w:val="002F3365"/>
    <w:rsid w:val="002F3374"/>
    <w:rsid w:val="002F33CE"/>
    <w:rsid w:val="002F33F0"/>
    <w:rsid w:val="002F3485"/>
    <w:rsid w:val="002F34AD"/>
    <w:rsid w:val="002F34D3"/>
    <w:rsid w:val="002F3564"/>
    <w:rsid w:val="002F35E3"/>
    <w:rsid w:val="002F366F"/>
    <w:rsid w:val="002F36E5"/>
    <w:rsid w:val="002F374B"/>
    <w:rsid w:val="002F374D"/>
    <w:rsid w:val="002F37F5"/>
    <w:rsid w:val="002F38BB"/>
    <w:rsid w:val="002F3AFE"/>
    <w:rsid w:val="002F3EB2"/>
    <w:rsid w:val="002F3F58"/>
    <w:rsid w:val="002F3F5B"/>
    <w:rsid w:val="002F3F71"/>
    <w:rsid w:val="002F3FBE"/>
    <w:rsid w:val="002F401B"/>
    <w:rsid w:val="002F4329"/>
    <w:rsid w:val="002F44E3"/>
    <w:rsid w:val="002F46B7"/>
    <w:rsid w:val="002F4AB7"/>
    <w:rsid w:val="002F4AB9"/>
    <w:rsid w:val="002F4AD0"/>
    <w:rsid w:val="002F4B2E"/>
    <w:rsid w:val="002F4C03"/>
    <w:rsid w:val="002F4CB4"/>
    <w:rsid w:val="002F4E4F"/>
    <w:rsid w:val="002F4E6D"/>
    <w:rsid w:val="002F4ED6"/>
    <w:rsid w:val="002F4F0B"/>
    <w:rsid w:val="002F4F0E"/>
    <w:rsid w:val="002F4FCA"/>
    <w:rsid w:val="002F50C6"/>
    <w:rsid w:val="002F5133"/>
    <w:rsid w:val="002F5148"/>
    <w:rsid w:val="002F5188"/>
    <w:rsid w:val="002F51AC"/>
    <w:rsid w:val="002F52C7"/>
    <w:rsid w:val="002F553D"/>
    <w:rsid w:val="002F5579"/>
    <w:rsid w:val="002F56F1"/>
    <w:rsid w:val="002F590D"/>
    <w:rsid w:val="002F5A30"/>
    <w:rsid w:val="002F5A60"/>
    <w:rsid w:val="002F5ADD"/>
    <w:rsid w:val="002F5C26"/>
    <w:rsid w:val="002F5D69"/>
    <w:rsid w:val="002F5D91"/>
    <w:rsid w:val="002F5FEB"/>
    <w:rsid w:val="002F6040"/>
    <w:rsid w:val="002F6109"/>
    <w:rsid w:val="002F617F"/>
    <w:rsid w:val="002F6336"/>
    <w:rsid w:val="002F63CC"/>
    <w:rsid w:val="002F6465"/>
    <w:rsid w:val="002F6526"/>
    <w:rsid w:val="002F656C"/>
    <w:rsid w:val="002F6590"/>
    <w:rsid w:val="002F6621"/>
    <w:rsid w:val="002F667C"/>
    <w:rsid w:val="002F66EA"/>
    <w:rsid w:val="002F68F9"/>
    <w:rsid w:val="002F6917"/>
    <w:rsid w:val="002F6B98"/>
    <w:rsid w:val="002F6DC1"/>
    <w:rsid w:val="002F6F58"/>
    <w:rsid w:val="002F712B"/>
    <w:rsid w:val="002F7190"/>
    <w:rsid w:val="002F71DE"/>
    <w:rsid w:val="002F7267"/>
    <w:rsid w:val="002F7361"/>
    <w:rsid w:val="002F7475"/>
    <w:rsid w:val="002F74D2"/>
    <w:rsid w:val="002F751C"/>
    <w:rsid w:val="002F7537"/>
    <w:rsid w:val="002F75EB"/>
    <w:rsid w:val="002F77A5"/>
    <w:rsid w:val="002F7B1E"/>
    <w:rsid w:val="002F7BC4"/>
    <w:rsid w:val="002F7DA4"/>
    <w:rsid w:val="002F7DE8"/>
    <w:rsid w:val="002F7EB4"/>
    <w:rsid w:val="002F7F56"/>
    <w:rsid w:val="003000E1"/>
    <w:rsid w:val="00300100"/>
    <w:rsid w:val="0030018E"/>
    <w:rsid w:val="00300365"/>
    <w:rsid w:val="00300376"/>
    <w:rsid w:val="00300412"/>
    <w:rsid w:val="00300544"/>
    <w:rsid w:val="0030055F"/>
    <w:rsid w:val="003006D3"/>
    <w:rsid w:val="0030078C"/>
    <w:rsid w:val="003007CA"/>
    <w:rsid w:val="00300ADA"/>
    <w:rsid w:val="00300BF7"/>
    <w:rsid w:val="00300C18"/>
    <w:rsid w:val="00300C21"/>
    <w:rsid w:val="00300C28"/>
    <w:rsid w:val="00300C3F"/>
    <w:rsid w:val="00300C49"/>
    <w:rsid w:val="00300F87"/>
    <w:rsid w:val="00300FE2"/>
    <w:rsid w:val="00301072"/>
    <w:rsid w:val="0030107A"/>
    <w:rsid w:val="00301288"/>
    <w:rsid w:val="00301352"/>
    <w:rsid w:val="00301409"/>
    <w:rsid w:val="003015BD"/>
    <w:rsid w:val="003015E2"/>
    <w:rsid w:val="003015F9"/>
    <w:rsid w:val="0030173E"/>
    <w:rsid w:val="003017CB"/>
    <w:rsid w:val="00301844"/>
    <w:rsid w:val="00301890"/>
    <w:rsid w:val="00301920"/>
    <w:rsid w:val="00301B36"/>
    <w:rsid w:val="00301D2D"/>
    <w:rsid w:val="00301E2D"/>
    <w:rsid w:val="00301E41"/>
    <w:rsid w:val="00301E55"/>
    <w:rsid w:val="00301EBE"/>
    <w:rsid w:val="00301EE1"/>
    <w:rsid w:val="00301F57"/>
    <w:rsid w:val="00302175"/>
    <w:rsid w:val="003021C4"/>
    <w:rsid w:val="00302449"/>
    <w:rsid w:val="0030257B"/>
    <w:rsid w:val="00302884"/>
    <w:rsid w:val="00302885"/>
    <w:rsid w:val="003028CC"/>
    <w:rsid w:val="0030299C"/>
    <w:rsid w:val="00302A6A"/>
    <w:rsid w:val="00302C5F"/>
    <w:rsid w:val="00302CB0"/>
    <w:rsid w:val="00302CB4"/>
    <w:rsid w:val="00302EFC"/>
    <w:rsid w:val="00303024"/>
    <w:rsid w:val="00303184"/>
    <w:rsid w:val="00303192"/>
    <w:rsid w:val="003031A5"/>
    <w:rsid w:val="003032B5"/>
    <w:rsid w:val="003032DD"/>
    <w:rsid w:val="0030337B"/>
    <w:rsid w:val="003033AD"/>
    <w:rsid w:val="0030351D"/>
    <w:rsid w:val="003035FA"/>
    <w:rsid w:val="003036AD"/>
    <w:rsid w:val="00303704"/>
    <w:rsid w:val="0030370A"/>
    <w:rsid w:val="00303849"/>
    <w:rsid w:val="003038DD"/>
    <w:rsid w:val="0030399B"/>
    <w:rsid w:val="003039E8"/>
    <w:rsid w:val="00303B32"/>
    <w:rsid w:val="00303D07"/>
    <w:rsid w:val="00303E40"/>
    <w:rsid w:val="00304009"/>
    <w:rsid w:val="003041AA"/>
    <w:rsid w:val="003041E3"/>
    <w:rsid w:val="003042F7"/>
    <w:rsid w:val="0030441A"/>
    <w:rsid w:val="0030446C"/>
    <w:rsid w:val="0030448C"/>
    <w:rsid w:val="00304542"/>
    <w:rsid w:val="00304689"/>
    <w:rsid w:val="003046D6"/>
    <w:rsid w:val="003049D5"/>
    <w:rsid w:val="00304B2E"/>
    <w:rsid w:val="00304BCB"/>
    <w:rsid w:val="00304D5F"/>
    <w:rsid w:val="00304DB9"/>
    <w:rsid w:val="00304E56"/>
    <w:rsid w:val="00304F81"/>
    <w:rsid w:val="00305018"/>
    <w:rsid w:val="0030516C"/>
    <w:rsid w:val="003052A1"/>
    <w:rsid w:val="003052C3"/>
    <w:rsid w:val="003053D1"/>
    <w:rsid w:val="0030547F"/>
    <w:rsid w:val="003055AD"/>
    <w:rsid w:val="00305698"/>
    <w:rsid w:val="003057E5"/>
    <w:rsid w:val="0030582B"/>
    <w:rsid w:val="003058FA"/>
    <w:rsid w:val="003059A6"/>
    <w:rsid w:val="00305C01"/>
    <w:rsid w:val="00305D77"/>
    <w:rsid w:val="00305D88"/>
    <w:rsid w:val="00305D97"/>
    <w:rsid w:val="00305DA4"/>
    <w:rsid w:val="00305FDE"/>
    <w:rsid w:val="003061EA"/>
    <w:rsid w:val="003062F7"/>
    <w:rsid w:val="0030661E"/>
    <w:rsid w:val="00306658"/>
    <w:rsid w:val="00306724"/>
    <w:rsid w:val="0030680B"/>
    <w:rsid w:val="0030687B"/>
    <w:rsid w:val="003068CD"/>
    <w:rsid w:val="003068D2"/>
    <w:rsid w:val="00306B7E"/>
    <w:rsid w:val="00306C85"/>
    <w:rsid w:val="00306C9A"/>
    <w:rsid w:val="00306D1C"/>
    <w:rsid w:val="00306E35"/>
    <w:rsid w:val="00306F7D"/>
    <w:rsid w:val="00307007"/>
    <w:rsid w:val="0030701A"/>
    <w:rsid w:val="0030703F"/>
    <w:rsid w:val="0030714D"/>
    <w:rsid w:val="003071A3"/>
    <w:rsid w:val="0030721E"/>
    <w:rsid w:val="00307275"/>
    <w:rsid w:val="00307296"/>
    <w:rsid w:val="0030729B"/>
    <w:rsid w:val="003074DB"/>
    <w:rsid w:val="003076A9"/>
    <w:rsid w:val="003077D2"/>
    <w:rsid w:val="003078A0"/>
    <w:rsid w:val="003078A4"/>
    <w:rsid w:val="00307B17"/>
    <w:rsid w:val="00307B4C"/>
    <w:rsid w:val="00307E07"/>
    <w:rsid w:val="00307E4C"/>
    <w:rsid w:val="00307F89"/>
    <w:rsid w:val="00310160"/>
    <w:rsid w:val="003102DD"/>
    <w:rsid w:val="0031030B"/>
    <w:rsid w:val="0031032E"/>
    <w:rsid w:val="00310346"/>
    <w:rsid w:val="003103C8"/>
    <w:rsid w:val="0031046B"/>
    <w:rsid w:val="00310501"/>
    <w:rsid w:val="003105D4"/>
    <w:rsid w:val="0031064F"/>
    <w:rsid w:val="003109AE"/>
    <w:rsid w:val="00310ACB"/>
    <w:rsid w:val="00310B1C"/>
    <w:rsid w:val="00310B3A"/>
    <w:rsid w:val="00310B74"/>
    <w:rsid w:val="00310C2D"/>
    <w:rsid w:val="00310C2F"/>
    <w:rsid w:val="00310CB0"/>
    <w:rsid w:val="00311145"/>
    <w:rsid w:val="003111B0"/>
    <w:rsid w:val="003111D4"/>
    <w:rsid w:val="0031120C"/>
    <w:rsid w:val="00311260"/>
    <w:rsid w:val="003112E1"/>
    <w:rsid w:val="00311310"/>
    <w:rsid w:val="003113AF"/>
    <w:rsid w:val="003114F0"/>
    <w:rsid w:val="00311568"/>
    <w:rsid w:val="00311609"/>
    <w:rsid w:val="0031172C"/>
    <w:rsid w:val="00311888"/>
    <w:rsid w:val="0031189F"/>
    <w:rsid w:val="00311AE0"/>
    <w:rsid w:val="00311BA1"/>
    <w:rsid w:val="00311BCD"/>
    <w:rsid w:val="00311D12"/>
    <w:rsid w:val="00311D3A"/>
    <w:rsid w:val="00311D50"/>
    <w:rsid w:val="00311D92"/>
    <w:rsid w:val="00311DC5"/>
    <w:rsid w:val="00311DFC"/>
    <w:rsid w:val="00311E27"/>
    <w:rsid w:val="00311F45"/>
    <w:rsid w:val="00311FDD"/>
    <w:rsid w:val="00312200"/>
    <w:rsid w:val="003122F4"/>
    <w:rsid w:val="00312363"/>
    <w:rsid w:val="00312380"/>
    <w:rsid w:val="00312666"/>
    <w:rsid w:val="0031276E"/>
    <w:rsid w:val="00312846"/>
    <w:rsid w:val="00312947"/>
    <w:rsid w:val="003129F6"/>
    <w:rsid w:val="00312A5A"/>
    <w:rsid w:val="00312AEF"/>
    <w:rsid w:val="00312B7A"/>
    <w:rsid w:val="0031304C"/>
    <w:rsid w:val="00313124"/>
    <w:rsid w:val="003131AE"/>
    <w:rsid w:val="00313267"/>
    <w:rsid w:val="003132EE"/>
    <w:rsid w:val="00313365"/>
    <w:rsid w:val="0031337C"/>
    <w:rsid w:val="00313408"/>
    <w:rsid w:val="00313454"/>
    <w:rsid w:val="00313693"/>
    <w:rsid w:val="00313AA4"/>
    <w:rsid w:val="00313AB8"/>
    <w:rsid w:val="00313D74"/>
    <w:rsid w:val="00313E11"/>
    <w:rsid w:val="00314040"/>
    <w:rsid w:val="00314049"/>
    <w:rsid w:val="00314097"/>
    <w:rsid w:val="00314111"/>
    <w:rsid w:val="003141C8"/>
    <w:rsid w:val="003141E8"/>
    <w:rsid w:val="003141F5"/>
    <w:rsid w:val="00314284"/>
    <w:rsid w:val="00314343"/>
    <w:rsid w:val="00314389"/>
    <w:rsid w:val="003143A7"/>
    <w:rsid w:val="003143BC"/>
    <w:rsid w:val="00314552"/>
    <w:rsid w:val="00314559"/>
    <w:rsid w:val="00314629"/>
    <w:rsid w:val="00314722"/>
    <w:rsid w:val="00314779"/>
    <w:rsid w:val="003149E9"/>
    <w:rsid w:val="00314A52"/>
    <w:rsid w:val="00314A5E"/>
    <w:rsid w:val="00314C15"/>
    <w:rsid w:val="00314C40"/>
    <w:rsid w:val="00314DF0"/>
    <w:rsid w:val="00314DFB"/>
    <w:rsid w:val="00314EE1"/>
    <w:rsid w:val="00315284"/>
    <w:rsid w:val="0031539D"/>
    <w:rsid w:val="003154C1"/>
    <w:rsid w:val="003155D0"/>
    <w:rsid w:val="0031570A"/>
    <w:rsid w:val="00315776"/>
    <w:rsid w:val="003159AE"/>
    <w:rsid w:val="00315BE5"/>
    <w:rsid w:val="00315ED2"/>
    <w:rsid w:val="00315F14"/>
    <w:rsid w:val="00315FB9"/>
    <w:rsid w:val="00315FFF"/>
    <w:rsid w:val="003160F2"/>
    <w:rsid w:val="003161BD"/>
    <w:rsid w:val="00316342"/>
    <w:rsid w:val="00316636"/>
    <w:rsid w:val="00316709"/>
    <w:rsid w:val="0031675D"/>
    <w:rsid w:val="00316878"/>
    <w:rsid w:val="00316A37"/>
    <w:rsid w:val="00316B97"/>
    <w:rsid w:val="00316C03"/>
    <w:rsid w:val="00316E69"/>
    <w:rsid w:val="00316F77"/>
    <w:rsid w:val="00316FD4"/>
    <w:rsid w:val="00317019"/>
    <w:rsid w:val="0031719B"/>
    <w:rsid w:val="00317223"/>
    <w:rsid w:val="003173ED"/>
    <w:rsid w:val="00317406"/>
    <w:rsid w:val="00317525"/>
    <w:rsid w:val="003176C7"/>
    <w:rsid w:val="00317776"/>
    <w:rsid w:val="003177FC"/>
    <w:rsid w:val="003178A0"/>
    <w:rsid w:val="003178BE"/>
    <w:rsid w:val="003178C9"/>
    <w:rsid w:val="00317BDD"/>
    <w:rsid w:val="00317D89"/>
    <w:rsid w:val="00317D8F"/>
    <w:rsid w:val="00317E76"/>
    <w:rsid w:val="00320217"/>
    <w:rsid w:val="00320305"/>
    <w:rsid w:val="00320310"/>
    <w:rsid w:val="00320319"/>
    <w:rsid w:val="003203A3"/>
    <w:rsid w:val="003203D2"/>
    <w:rsid w:val="0032052C"/>
    <w:rsid w:val="003207F6"/>
    <w:rsid w:val="00320853"/>
    <w:rsid w:val="00320C0D"/>
    <w:rsid w:val="00320C58"/>
    <w:rsid w:val="00320E22"/>
    <w:rsid w:val="00320EC9"/>
    <w:rsid w:val="00320FBF"/>
    <w:rsid w:val="00320FF4"/>
    <w:rsid w:val="0032100C"/>
    <w:rsid w:val="00321016"/>
    <w:rsid w:val="00321050"/>
    <w:rsid w:val="003210B0"/>
    <w:rsid w:val="003210CF"/>
    <w:rsid w:val="0032113B"/>
    <w:rsid w:val="0032130D"/>
    <w:rsid w:val="003214AE"/>
    <w:rsid w:val="0032155A"/>
    <w:rsid w:val="0032166E"/>
    <w:rsid w:val="00321885"/>
    <w:rsid w:val="00321A4C"/>
    <w:rsid w:val="00321AA9"/>
    <w:rsid w:val="00321BC2"/>
    <w:rsid w:val="00321BE6"/>
    <w:rsid w:val="00321CC4"/>
    <w:rsid w:val="00321DCA"/>
    <w:rsid w:val="00321DD3"/>
    <w:rsid w:val="00321E33"/>
    <w:rsid w:val="00322018"/>
    <w:rsid w:val="00322067"/>
    <w:rsid w:val="003220E4"/>
    <w:rsid w:val="00322146"/>
    <w:rsid w:val="003221E0"/>
    <w:rsid w:val="003221F3"/>
    <w:rsid w:val="00322326"/>
    <w:rsid w:val="0032239B"/>
    <w:rsid w:val="003223D0"/>
    <w:rsid w:val="00322517"/>
    <w:rsid w:val="00322584"/>
    <w:rsid w:val="003225A6"/>
    <w:rsid w:val="003225F3"/>
    <w:rsid w:val="0032264F"/>
    <w:rsid w:val="00322707"/>
    <w:rsid w:val="00322752"/>
    <w:rsid w:val="003227A3"/>
    <w:rsid w:val="00322928"/>
    <w:rsid w:val="00322A64"/>
    <w:rsid w:val="00322A8E"/>
    <w:rsid w:val="00322B51"/>
    <w:rsid w:val="00322B6B"/>
    <w:rsid w:val="00322C1E"/>
    <w:rsid w:val="00322C20"/>
    <w:rsid w:val="00322E33"/>
    <w:rsid w:val="00322E3F"/>
    <w:rsid w:val="00322EB0"/>
    <w:rsid w:val="00323064"/>
    <w:rsid w:val="0032312D"/>
    <w:rsid w:val="0032331C"/>
    <w:rsid w:val="003233D9"/>
    <w:rsid w:val="003234A2"/>
    <w:rsid w:val="003234EA"/>
    <w:rsid w:val="00323544"/>
    <w:rsid w:val="0032358C"/>
    <w:rsid w:val="003235D8"/>
    <w:rsid w:val="003235F6"/>
    <w:rsid w:val="00323704"/>
    <w:rsid w:val="00323854"/>
    <w:rsid w:val="00323998"/>
    <w:rsid w:val="00323A37"/>
    <w:rsid w:val="00323B1D"/>
    <w:rsid w:val="00323C16"/>
    <w:rsid w:val="00323C7A"/>
    <w:rsid w:val="00323D2C"/>
    <w:rsid w:val="00323DAE"/>
    <w:rsid w:val="00323EA6"/>
    <w:rsid w:val="00323F44"/>
    <w:rsid w:val="00323F7C"/>
    <w:rsid w:val="003240FF"/>
    <w:rsid w:val="00324202"/>
    <w:rsid w:val="00324295"/>
    <w:rsid w:val="00324316"/>
    <w:rsid w:val="00324547"/>
    <w:rsid w:val="0032458A"/>
    <w:rsid w:val="003245A5"/>
    <w:rsid w:val="003245AD"/>
    <w:rsid w:val="003245B4"/>
    <w:rsid w:val="00324619"/>
    <w:rsid w:val="003246F5"/>
    <w:rsid w:val="00324708"/>
    <w:rsid w:val="00324891"/>
    <w:rsid w:val="00324985"/>
    <w:rsid w:val="0032498C"/>
    <w:rsid w:val="003249C9"/>
    <w:rsid w:val="00324A4B"/>
    <w:rsid w:val="00324BAD"/>
    <w:rsid w:val="00324BE0"/>
    <w:rsid w:val="00324D19"/>
    <w:rsid w:val="00324E69"/>
    <w:rsid w:val="00324F00"/>
    <w:rsid w:val="00324F44"/>
    <w:rsid w:val="00324FE4"/>
    <w:rsid w:val="0032512E"/>
    <w:rsid w:val="003251B4"/>
    <w:rsid w:val="00325220"/>
    <w:rsid w:val="00325270"/>
    <w:rsid w:val="0032543F"/>
    <w:rsid w:val="003254A8"/>
    <w:rsid w:val="00325580"/>
    <w:rsid w:val="00325587"/>
    <w:rsid w:val="00325688"/>
    <w:rsid w:val="00325804"/>
    <w:rsid w:val="00325827"/>
    <w:rsid w:val="003258C7"/>
    <w:rsid w:val="0032597E"/>
    <w:rsid w:val="00325A85"/>
    <w:rsid w:val="00325AFF"/>
    <w:rsid w:val="00325DA6"/>
    <w:rsid w:val="00325F02"/>
    <w:rsid w:val="00325F09"/>
    <w:rsid w:val="0032605E"/>
    <w:rsid w:val="003261C0"/>
    <w:rsid w:val="0032641B"/>
    <w:rsid w:val="003264CE"/>
    <w:rsid w:val="0032653B"/>
    <w:rsid w:val="0032659A"/>
    <w:rsid w:val="00326696"/>
    <w:rsid w:val="003267A7"/>
    <w:rsid w:val="00326809"/>
    <w:rsid w:val="00326843"/>
    <w:rsid w:val="003268D5"/>
    <w:rsid w:val="00326AEF"/>
    <w:rsid w:val="00326C55"/>
    <w:rsid w:val="00326D30"/>
    <w:rsid w:val="00326DD4"/>
    <w:rsid w:val="00326E7C"/>
    <w:rsid w:val="00326FCB"/>
    <w:rsid w:val="0032706F"/>
    <w:rsid w:val="00327259"/>
    <w:rsid w:val="00327348"/>
    <w:rsid w:val="003273C3"/>
    <w:rsid w:val="00327549"/>
    <w:rsid w:val="003275AA"/>
    <w:rsid w:val="00327616"/>
    <w:rsid w:val="003276F3"/>
    <w:rsid w:val="0032771F"/>
    <w:rsid w:val="003279EE"/>
    <w:rsid w:val="00327BF9"/>
    <w:rsid w:val="00327F72"/>
    <w:rsid w:val="00330085"/>
    <w:rsid w:val="003301BC"/>
    <w:rsid w:val="0033021F"/>
    <w:rsid w:val="00330789"/>
    <w:rsid w:val="00330829"/>
    <w:rsid w:val="0033084D"/>
    <w:rsid w:val="0033084E"/>
    <w:rsid w:val="0033089F"/>
    <w:rsid w:val="003308A9"/>
    <w:rsid w:val="00330950"/>
    <w:rsid w:val="003309A4"/>
    <w:rsid w:val="003309C2"/>
    <w:rsid w:val="00330A68"/>
    <w:rsid w:val="00330A8E"/>
    <w:rsid w:val="00330AB5"/>
    <w:rsid w:val="00330AF3"/>
    <w:rsid w:val="00330B07"/>
    <w:rsid w:val="00330CA5"/>
    <w:rsid w:val="00330CA7"/>
    <w:rsid w:val="00330D52"/>
    <w:rsid w:val="00330D62"/>
    <w:rsid w:val="00330DFF"/>
    <w:rsid w:val="00330E1F"/>
    <w:rsid w:val="00330F4F"/>
    <w:rsid w:val="00330F5E"/>
    <w:rsid w:val="003310C2"/>
    <w:rsid w:val="0033112E"/>
    <w:rsid w:val="00331261"/>
    <w:rsid w:val="003312A0"/>
    <w:rsid w:val="00331398"/>
    <w:rsid w:val="00331591"/>
    <w:rsid w:val="00331621"/>
    <w:rsid w:val="0033169A"/>
    <w:rsid w:val="00331809"/>
    <w:rsid w:val="003319DF"/>
    <w:rsid w:val="00331B07"/>
    <w:rsid w:val="00331B3E"/>
    <w:rsid w:val="00331B54"/>
    <w:rsid w:val="00331BFE"/>
    <w:rsid w:val="00331E3E"/>
    <w:rsid w:val="00331E92"/>
    <w:rsid w:val="00331E98"/>
    <w:rsid w:val="00331EA1"/>
    <w:rsid w:val="00332131"/>
    <w:rsid w:val="00332160"/>
    <w:rsid w:val="003323F2"/>
    <w:rsid w:val="003324D6"/>
    <w:rsid w:val="00332602"/>
    <w:rsid w:val="0033266E"/>
    <w:rsid w:val="00332808"/>
    <w:rsid w:val="00332918"/>
    <w:rsid w:val="00332924"/>
    <w:rsid w:val="00332A53"/>
    <w:rsid w:val="00332A68"/>
    <w:rsid w:val="00332C61"/>
    <w:rsid w:val="00332D08"/>
    <w:rsid w:val="00332E13"/>
    <w:rsid w:val="00332F5A"/>
    <w:rsid w:val="00332F73"/>
    <w:rsid w:val="00332F85"/>
    <w:rsid w:val="00333015"/>
    <w:rsid w:val="00333065"/>
    <w:rsid w:val="0033329B"/>
    <w:rsid w:val="003333DA"/>
    <w:rsid w:val="00333666"/>
    <w:rsid w:val="0033382A"/>
    <w:rsid w:val="00333876"/>
    <w:rsid w:val="00333956"/>
    <w:rsid w:val="003339CD"/>
    <w:rsid w:val="00333A36"/>
    <w:rsid w:val="00333A8D"/>
    <w:rsid w:val="0033401F"/>
    <w:rsid w:val="00334251"/>
    <w:rsid w:val="00334362"/>
    <w:rsid w:val="003345B5"/>
    <w:rsid w:val="003346A3"/>
    <w:rsid w:val="00334761"/>
    <w:rsid w:val="003347AD"/>
    <w:rsid w:val="00334830"/>
    <w:rsid w:val="0033484E"/>
    <w:rsid w:val="00334886"/>
    <w:rsid w:val="0033489C"/>
    <w:rsid w:val="00334952"/>
    <w:rsid w:val="00334C56"/>
    <w:rsid w:val="00334E59"/>
    <w:rsid w:val="00334E6B"/>
    <w:rsid w:val="00334EDA"/>
    <w:rsid w:val="00334EF1"/>
    <w:rsid w:val="00334F9D"/>
    <w:rsid w:val="0033500E"/>
    <w:rsid w:val="00335022"/>
    <w:rsid w:val="003351BE"/>
    <w:rsid w:val="00335558"/>
    <w:rsid w:val="003355C1"/>
    <w:rsid w:val="00335640"/>
    <w:rsid w:val="003356B5"/>
    <w:rsid w:val="00335701"/>
    <w:rsid w:val="00335707"/>
    <w:rsid w:val="00335A01"/>
    <w:rsid w:val="00335A5C"/>
    <w:rsid w:val="00335B68"/>
    <w:rsid w:val="00335BFF"/>
    <w:rsid w:val="00335C24"/>
    <w:rsid w:val="00335C34"/>
    <w:rsid w:val="00335E33"/>
    <w:rsid w:val="00335FB7"/>
    <w:rsid w:val="003361BE"/>
    <w:rsid w:val="0033621D"/>
    <w:rsid w:val="0033624C"/>
    <w:rsid w:val="003362F2"/>
    <w:rsid w:val="00336399"/>
    <w:rsid w:val="00336484"/>
    <w:rsid w:val="003364D1"/>
    <w:rsid w:val="003365C7"/>
    <w:rsid w:val="0033675A"/>
    <w:rsid w:val="00336828"/>
    <w:rsid w:val="00336832"/>
    <w:rsid w:val="00336834"/>
    <w:rsid w:val="00336882"/>
    <w:rsid w:val="00336A3F"/>
    <w:rsid w:val="00336AC2"/>
    <w:rsid w:val="00336B8B"/>
    <w:rsid w:val="00336BC6"/>
    <w:rsid w:val="00336C15"/>
    <w:rsid w:val="00336C2D"/>
    <w:rsid w:val="00336C89"/>
    <w:rsid w:val="00336DE5"/>
    <w:rsid w:val="00336E70"/>
    <w:rsid w:val="00336EE2"/>
    <w:rsid w:val="00336F1F"/>
    <w:rsid w:val="003375EC"/>
    <w:rsid w:val="00337692"/>
    <w:rsid w:val="003376A8"/>
    <w:rsid w:val="00337782"/>
    <w:rsid w:val="00337899"/>
    <w:rsid w:val="003378E0"/>
    <w:rsid w:val="00337B15"/>
    <w:rsid w:val="003400BD"/>
    <w:rsid w:val="00340371"/>
    <w:rsid w:val="003403D5"/>
    <w:rsid w:val="0034043F"/>
    <w:rsid w:val="003404C5"/>
    <w:rsid w:val="00340561"/>
    <w:rsid w:val="0034062B"/>
    <w:rsid w:val="003407D4"/>
    <w:rsid w:val="00340B02"/>
    <w:rsid w:val="00340D36"/>
    <w:rsid w:val="00340D63"/>
    <w:rsid w:val="00340D69"/>
    <w:rsid w:val="00340F75"/>
    <w:rsid w:val="0034101F"/>
    <w:rsid w:val="0034123C"/>
    <w:rsid w:val="0034127B"/>
    <w:rsid w:val="0034132D"/>
    <w:rsid w:val="00341461"/>
    <w:rsid w:val="00341569"/>
    <w:rsid w:val="00341729"/>
    <w:rsid w:val="003417B5"/>
    <w:rsid w:val="0034181B"/>
    <w:rsid w:val="003418A0"/>
    <w:rsid w:val="0034192C"/>
    <w:rsid w:val="00341946"/>
    <w:rsid w:val="00341983"/>
    <w:rsid w:val="00341B46"/>
    <w:rsid w:val="00341B4D"/>
    <w:rsid w:val="00341B53"/>
    <w:rsid w:val="00341BE0"/>
    <w:rsid w:val="00341CCA"/>
    <w:rsid w:val="00341E4A"/>
    <w:rsid w:val="00341E59"/>
    <w:rsid w:val="00341F52"/>
    <w:rsid w:val="00342029"/>
    <w:rsid w:val="003420A5"/>
    <w:rsid w:val="003420EF"/>
    <w:rsid w:val="00342112"/>
    <w:rsid w:val="0034217A"/>
    <w:rsid w:val="003422BF"/>
    <w:rsid w:val="003423A2"/>
    <w:rsid w:val="003423D8"/>
    <w:rsid w:val="00342431"/>
    <w:rsid w:val="003424D6"/>
    <w:rsid w:val="003426E3"/>
    <w:rsid w:val="003426E9"/>
    <w:rsid w:val="003428A5"/>
    <w:rsid w:val="003428BD"/>
    <w:rsid w:val="003429CA"/>
    <w:rsid w:val="00342C9E"/>
    <w:rsid w:val="00342E0E"/>
    <w:rsid w:val="00342E67"/>
    <w:rsid w:val="00342E86"/>
    <w:rsid w:val="00342F1B"/>
    <w:rsid w:val="00342F29"/>
    <w:rsid w:val="00342FE9"/>
    <w:rsid w:val="0034303C"/>
    <w:rsid w:val="00343127"/>
    <w:rsid w:val="00343425"/>
    <w:rsid w:val="003434B7"/>
    <w:rsid w:val="0034363C"/>
    <w:rsid w:val="003436EE"/>
    <w:rsid w:val="003436F7"/>
    <w:rsid w:val="003438A8"/>
    <w:rsid w:val="00343ADD"/>
    <w:rsid w:val="00343B9F"/>
    <w:rsid w:val="00343C52"/>
    <w:rsid w:val="00343EE9"/>
    <w:rsid w:val="0034417F"/>
    <w:rsid w:val="00344229"/>
    <w:rsid w:val="003443C5"/>
    <w:rsid w:val="0034445E"/>
    <w:rsid w:val="003444D9"/>
    <w:rsid w:val="0034456E"/>
    <w:rsid w:val="00344755"/>
    <w:rsid w:val="00344770"/>
    <w:rsid w:val="00344779"/>
    <w:rsid w:val="003447DA"/>
    <w:rsid w:val="0034484A"/>
    <w:rsid w:val="003449DC"/>
    <w:rsid w:val="00344B23"/>
    <w:rsid w:val="00344BAE"/>
    <w:rsid w:val="00344BED"/>
    <w:rsid w:val="00344C36"/>
    <w:rsid w:val="00344D01"/>
    <w:rsid w:val="00344DC3"/>
    <w:rsid w:val="00344F09"/>
    <w:rsid w:val="00344F4A"/>
    <w:rsid w:val="0034529D"/>
    <w:rsid w:val="003452C2"/>
    <w:rsid w:val="003453AB"/>
    <w:rsid w:val="003453CF"/>
    <w:rsid w:val="003453DF"/>
    <w:rsid w:val="00345558"/>
    <w:rsid w:val="00345620"/>
    <w:rsid w:val="00345857"/>
    <w:rsid w:val="003458D7"/>
    <w:rsid w:val="003458E5"/>
    <w:rsid w:val="003459C8"/>
    <w:rsid w:val="00345A5D"/>
    <w:rsid w:val="00345C1C"/>
    <w:rsid w:val="00345C93"/>
    <w:rsid w:val="00345CF5"/>
    <w:rsid w:val="00345D25"/>
    <w:rsid w:val="00345D6C"/>
    <w:rsid w:val="00345DAD"/>
    <w:rsid w:val="00345E55"/>
    <w:rsid w:val="00345E78"/>
    <w:rsid w:val="00346190"/>
    <w:rsid w:val="003462F3"/>
    <w:rsid w:val="00346382"/>
    <w:rsid w:val="00346476"/>
    <w:rsid w:val="00346550"/>
    <w:rsid w:val="00346646"/>
    <w:rsid w:val="003466C1"/>
    <w:rsid w:val="00346713"/>
    <w:rsid w:val="003468C9"/>
    <w:rsid w:val="0034698D"/>
    <w:rsid w:val="00346B89"/>
    <w:rsid w:val="00346B8D"/>
    <w:rsid w:val="00346DDF"/>
    <w:rsid w:val="00346FF1"/>
    <w:rsid w:val="00347084"/>
    <w:rsid w:val="003470C6"/>
    <w:rsid w:val="00347316"/>
    <w:rsid w:val="003473B3"/>
    <w:rsid w:val="003473CF"/>
    <w:rsid w:val="003474DE"/>
    <w:rsid w:val="003475A3"/>
    <w:rsid w:val="00347664"/>
    <w:rsid w:val="003476CB"/>
    <w:rsid w:val="003476E6"/>
    <w:rsid w:val="00347708"/>
    <w:rsid w:val="0034777C"/>
    <w:rsid w:val="003477A5"/>
    <w:rsid w:val="003477CD"/>
    <w:rsid w:val="00347942"/>
    <w:rsid w:val="003479C4"/>
    <w:rsid w:val="00347A7D"/>
    <w:rsid w:val="00347A90"/>
    <w:rsid w:val="00347AED"/>
    <w:rsid w:val="00347AF8"/>
    <w:rsid w:val="00347B19"/>
    <w:rsid w:val="00347B24"/>
    <w:rsid w:val="00347BC3"/>
    <w:rsid w:val="00347E78"/>
    <w:rsid w:val="00347F09"/>
    <w:rsid w:val="003501C0"/>
    <w:rsid w:val="003502CE"/>
    <w:rsid w:val="00350530"/>
    <w:rsid w:val="0035057D"/>
    <w:rsid w:val="00350731"/>
    <w:rsid w:val="00350AB9"/>
    <w:rsid w:val="00350BFF"/>
    <w:rsid w:val="00350CD1"/>
    <w:rsid w:val="00350D9F"/>
    <w:rsid w:val="00350E09"/>
    <w:rsid w:val="00350E43"/>
    <w:rsid w:val="00350ECC"/>
    <w:rsid w:val="00351099"/>
    <w:rsid w:val="003511A1"/>
    <w:rsid w:val="00351233"/>
    <w:rsid w:val="00351546"/>
    <w:rsid w:val="00351653"/>
    <w:rsid w:val="003517BA"/>
    <w:rsid w:val="00351985"/>
    <w:rsid w:val="00351A46"/>
    <w:rsid w:val="00351AA3"/>
    <w:rsid w:val="00351C76"/>
    <w:rsid w:val="00351EAE"/>
    <w:rsid w:val="00351EC0"/>
    <w:rsid w:val="00351ED4"/>
    <w:rsid w:val="00351FCA"/>
    <w:rsid w:val="0035212A"/>
    <w:rsid w:val="0035216D"/>
    <w:rsid w:val="003521EE"/>
    <w:rsid w:val="00352204"/>
    <w:rsid w:val="0035225F"/>
    <w:rsid w:val="003523CB"/>
    <w:rsid w:val="00352439"/>
    <w:rsid w:val="0035250B"/>
    <w:rsid w:val="0035260D"/>
    <w:rsid w:val="00352618"/>
    <w:rsid w:val="00352701"/>
    <w:rsid w:val="00352755"/>
    <w:rsid w:val="003527A8"/>
    <w:rsid w:val="00352A89"/>
    <w:rsid w:val="00352B12"/>
    <w:rsid w:val="00352C49"/>
    <w:rsid w:val="00352C9D"/>
    <w:rsid w:val="00352DB8"/>
    <w:rsid w:val="00352E1F"/>
    <w:rsid w:val="00352EAA"/>
    <w:rsid w:val="0035314D"/>
    <w:rsid w:val="00353771"/>
    <w:rsid w:val="0035377F"/>
    <w:rsid w:val="003538BC"/>
    <w:rsid w:val="003538D7"/>
    <w:rsid w:val="00353982"/>
    <w:rsid w:val="0035398E"/>
    <w:rsid w:val="00353A0E"/>
    <w:rsid w:val="00353A6F"/>
    <w:rsid w:val="00353A9C"/>
    <w:rsid w:val="00353AA1"/>
    <w:rsid w:val="00353D67"/>
    <w:rsid w:val="00353D9D"/>
    <w:rsid w:val="00353E04"/>
    <w:rsid w:val="00353EB0"/>
    <w:rsid w:val="00353FA3"/>
    <w:rsid w:val="00353FEF"/>
    <w:rsid w:val="0035428C"/>
    <w:rsid w:val="003542F7"/>
    <w:rsid w:val="00354382"/>
    <w:rsid w:val="00354517"/>
    <w:rsid w:val="0035458A"/>
    <w:rsid w:val="003546D5"/>
    <w:rsid w:val="00354747"/>
    <w:rsid w:val="003547C0"/>
    <w:rsid w:val="00354978"/>
    <w:rsid w:val="0035497B"/>
    <w:rsid w:val="003549D0"/>
    <w:rsid w:val="003549DF"/>
    <w:rsid w:val="00354AE4"/>
    <w:rsid w:val="00354CB5"/>
    <w:rsid w:val="00354D27"/>
    <w:rsid w:val="00354DA4"/>
    <w:rsid w:val="00354E61"/>
    <w:rsid w:val="00354FBB"/>
    <w:rsid w:val="00354FF1"/>
    <w:rsid w:val="0035517C"/>
    <w:rsid w:val="00355183"/>
    <w:rsid w:val="003551DA"/>
    <w:rsid w:val="0035522D"/>
    <w:rsid w:val="003552F0"/>
    <w:rsid w:val="0035532A"/>
    <w:rsid w:val="00355354"/>
    <w:rsid w:val="00355375"/>
    <w:rsid w:val="003555C4"/>
    <w:rsid w:val="003555EC"/>
    <w:rsid w:val="0035591D"/>
    <w:rsid w:val="003559A5"/>
    <w:rsid w:val="003559D1"/>
    <w:rsid w:val="00355AAD"/>
    <w:rsid w:val="00355B42"/>
    <w:rsid w:val="00355B88"/>
    <w:rsid w:val="00355E2C"/>
    <w:rsid w:val="00355F14"/>
    <w:rsid w:val="00355F34"/>
    <w:rsid w:val="00355F51"/>
    <w:rsid w:val="003561FA"/>
    <w:rsid w:val="0035621C"/>
    <w:rsid w:val="003562A6"/>
    <w:rsid w:val="00356336"/>
    <w:rsid w:val="0035637E"/>
    <w:rsid w:val="003563CA"/>
    <w:rsid w:val="003563FD"/>
    <w:rsid w:val="00356584"/>
    <w:rsid w:val="003565A9"/>
    <w:rsid w:val="00356793"/>
    <w:rsid w:val="00356798"/>
    <w:rsid w:val="003567B0"/>
    <w:rsid w:val="003568CB"/>
    <w:rsid w:val="003568EF"/>
    <w:rsid w:val="003569BE"/>
    <w:rsid w:val="00356B60"/>
    <w:rsid w:val="00356C49"/>
    <w:rsid w:val="00356F17"/>
    <w:rsid w:val="00356F48"/>
    <w:rsid w:val="003572DF"/>
    <w:rsid w:val="00357423"/>
    <w:rsid w:val="003574A9"/>
    <w:rsid w:val="003574FB"/>
    <w:rsid w:val="00357520"/>
    <w:rsid w:val="00357684"/>
    <w:rsid w:val="00357784"/>
    <w:rsid w:val="0035783F"/>
    <w:rsid w:val="00357853"/>
    <w:rsid w:val="00357857"/>
    <w:rsid w:val="0035791D"/>
    <w:rsid w:val="00357A4A"/>
    <w:rsid w:val="00357B73"/>
    <w:rsid w:val="00357D93"/>
    <w:rsid w:val="00357EF3"/>
    <w:rsid w:val="00357EFE"/>
    <w:rsid w:val="00357F99"/>
    <w:rsid w:val="0036006A"/>
    <w:rsid w:val="00360190"/>
    <w:rsid w:val="003602A9"/>
    <w:rsid w:val="0036031D"/>
    <w:rsid w:val="00360375"/>
    <w:rsid w:val="0036040A"/>
    <w:rsid w:val="003604C4"/>
    <w:rsid w:val="00360607"/>
    <w:rsid w:val="0036068C"/>
    <w:rsid w:val="0036081E"/>
    <w:rsid w:val="00360841"/>
    <w:rsid w:val="0036085D"/>
    <w:rsid w:val="00360864"/>
    <w:rsid w:val="00360A55"/>
    <w:rsid w:val="00360E45"/>
    <w:rsid w:val="0036123F"/>
    <w:rsid w:val="0036129B"/>
    <w:rsid w:val="003612E8"/>
    <w:rsid w:val="00361492"/>
    <w:rsid w:val="00361536"/>
    <w:rsid w:val="0036177A"/>
    <w:rsid w:val="0036179B"/>
    <w:rsid w:val="0036183B"/>
    <w:rsid w:val="00361A53"/>
    <w:rsid w:val="00361AC5"/>
    <w:rsid w:val="00361DEA"/>
    <w:rsid w:val="00361E10"/>
    <w:rsid w:val="00361F80"/>
    <w:rsid w:val="0036200C"/>
    <w:rsid w:val="0036213D"/>
    <w:rsid w:val="00362337"/>
    <w:rsid w:val="0036235A"/>
    <w:rsid w:val="003623B5"/>
    <w:rsid w:val="003624F5"/>
    <w:rsid w:val="0036255E"/>
    <w:rsid w:val="0036264E"/>
    <w:rsid w:val="003626D2"/>
    <w:rsid w:val="003627A2"/>
    <w:rsid w:val="00362865"/>
    <w:rsid w:val="003628DD"/>
    <w:rsid w:val="0036294E"/>
    <w:rsid w:val="003629A5"/>
    <w:rsid w:val="00362B17"/>
    <w:rsid w:val="00362C94"/>
    <w:rsid w:val="00362D90"/>
    <w:rsid w:val="00362EDB"/>
    <w:rsid w:val="00362F5A"/>
    <w:rsid w:val="00362F75"/>
    <w:rsid w:val="00362F87"/>
    <w:rsid w:val="00362FF4"/>
    <w:rsid w:val="0036307F"/>
    <w:rsid w:val="0036315A"/>
    <w:rsid w:val="003631B6"/>
    <w:rsid w:val="00363267"/>
    <w:rsid w:val="00363425"/>
    <w:rsid w:val="00363483"/>
    <w:rsid w:val="003634DA"/>
    <w:rsid w:val="00363625"/>
    <w:rsid w:val="0036371A"/>
    <w:rsid w:val="003637C3"/>
    <w:rsid w:val="003638F6"/>
    <w:rsid w:val="00363970"/>
    <w:rsid w:val="00363980"/>
    <w:rsid w:val="00363D90"/>
    <w:rsid w:val="00363DB5"/>
    <w:rsid w:val="00363DBA"/>
    <w:rsid w:val="00363E7A"/>
    <w:rsid w:val="00363EFE"/>
    <w:rsid w:val="00363F14"/>
    <w:rsid w:val="00363F20"/>
    <w:rsid w:val="0036415A"/>
    <w:rsid w:val="00364284"/>
    <w:rsid w:val="003642DC"/>
    <w:rsid w:val="003643EF"/>
    <w:rsid w:val="00364489"/>
    <w:rsid w:val="00364490"/>
    <w:rsid w:val="00364509"/>
    <w:rsid w:val="003645F4"/>
    <w:rsid w:val="003646D2"/>
    <w:rsid w:val="0036471C"/>
    <w:rsid w:val="00364721"/>
    <w:rsid w:val="00364799"/>
    <w:rsid w:val="00364974"/>
    <w:rsid w:val="003649A8"/>
    <w:rsid w:val="00364BAC"/>
    <w:rsid w:val="00364C62"/>
    <w:rsid w:val="00364D8E"/>
    <w:rsid w:val="00365112"/>
    <w:rsid w:val="00365206"/>
    <w:rsid w:val="0036524C"/>
    <w:rsid w:val="0036532C"/>
    <w:rsid w:val="0036553B"/>
    <w:rsid w:val="0036572A"/>
    <w:rsid w:val="00365823"/>
    <w:rsid w:val="00365C09"/>
    <w:rsid w:val="00365C57"/>
    <w:rsid w:val="00365C90"/>
    <w:rsid w:val="00365C9D"/>
    <w:rsid w:val="00365E49"/>
    <w:rsid w:val="00365F3C"/>
    <w:rsid w:val="0036609B"/>
    <w:rsid w:val="00366386"/>
    <w:rsid w:val="0036640E"/>
    <w:rsid w:val="003664A9"/>
    <w:rsid w:val="003664C6"/>
    <w:rsid w:val="003664EB"/>
    <w:rsid w:val="00366524"/>
    <w:rsid w:val="00366554"/>
    <w:rsid w:val="003665DE"/>
    <w:rsid w:val="00366615"/>
    <w:rsid w:val="00366684"/>
    <w:rsid w:val="0036671F"/>
    <w:rsid w:val="0036688A"/>
    <w:rsid w:val="00366899"/>
    <w:rsid w:val="003668AE"/>
    <w:rsid w:val="003668C6"/>
    <w:rsid w:val="00366990"/>
    <w:rsid w:val="00366A5B"/>
    <w:rsid w:val="00366AE7"/>
    <w:rsid w:val="00366BA1"/>
    <w:rsid w:val="00366C57"/>
    <w:rsid w:val="00366C90"/>
    <w:rsid w:val="00367139"/>
    <w:rsid w:val="0036714F"/>
    <w:rsid w:val="00367155"/>
    <w:rsid w:val="0036724B"/>
    <w:rsid w:val="00367396"/>
    <w:rsid w:val="003673B8"/>
    <w:rsid w:val="003673DD"/>
    <w:rsid w:val="003674F7"/>
    <w:rsid w:val="0036757F"/>
    <w:rsid w:val="00367598"/>
    <w:rsid w:val="00367630"/>
    <w:rsid w:val="0036772A"/>
    <w:rsid w:val="0036791F"/>
    <w:rsid w:val="003679E4"/>
    <w:rsid w:val="003679EA"/>
    <w:rsid w:val="00367BB7"/>
    <w:rsid w:val="00367CB9"/>
    <w:rsid w:val="00367E89"/>
    <w:rsid w:val="00367EBE"/>
    <w:rsid w:val="00367EEF"/>
    <w:rsid w:val="00367FEE"/>
    <w:rsid w:val="00370460"/>
    <w:rsid w:val="003704A9"/>
    <w:rsid w:val="003704C8"/>
    <w:rsid w:val="003705E6"/>
    <w:rsid w:val="003706BD"/>
    <w:rsid w:val="003708AC"/>
    <w:rsid w:val="003708D2"/>
    <w:rsid w:val="003708D6"/>
    <w:rsid w:val="003708EB"/>
    <w:rsid w:val="00370900"/>
    <w:rsid w:val="00370907"/>
    <w:rsid w:val="0037098F"/>
    <w:rsid w:val="00370A2F"/>
    <w:rsid w:val="00370C19"/>
    <w:rsid w:val="00370C47"/>
    <w:rsid w:val="00370CF1"/>
    <w:rsid w:val="00370E44"/>
    <w:rsid w:val="00370F77"/>
    <w:rsid w:val="00370FA5"/>
    <w:rsid w:val="00370FD5"/>
    <w:rsid w:val="00370FE9"/>
    <w:rsid w:val="0037102B"/>
    <w:rsid w:val="00371165"/>
    <w:rsid w:val="00371183"/>
    <w:rsid w:val="0037128F"/>
    <w:rsid w:val="00371292"/>
    <w:rsid w:val="003712F6"/>
    <w:rsid w:val="00371300"/>
    <w:rsid w:val="00371336"/>
    <w:rsid w:val="00371367"/>
    <w:rsid w:val="003713C1"/>
    <w:rsid w:val="0037156C"/>
    <w:rsid w:val="00371642"/>
    <w:rsid w:val="003716DB"/>
    <w:rsid w:val="003716FE"/>
    <w:rsid w:val="003717A5"/>
    <w:rsid w:val="0037190B"/>
    <w:rsid w:val="003719B1"/>
    <w:rsid w:val="00371AEA"/>
    <w:rsid w:val="00371C6A"/>
    <w:rsid w:val="00371C91"/>
    <w:rsid w:val="00372201"/>
    <w:rsid w:val="00372207"/>
    <w:rsid w:val="00372377"/>
    <w:rsid w:val="00372418"/>
    <w:rsid w:val="003724A9"/>
    <w:rsid w:val="0037252E"/>
    <w:rsid w:val="003725C3"/>
    <w:rsid w:val="00372623"/>
    <w:rsid w:val="003726C3"/>
    <w:rsid w:val="00372779"/>
    <w:rsid w:val="00372904"/>
    <w:rsid w:val="003729C4"/>
    <w:rsid w:val="003729F8"/>
    <w:rsid w:val="00372A58"/>
    <w:rsid w:val="00372A78"/>
    <w:rsid w:val="00372B1B"/>
    <w:rsid w:val="00372B51"/>
    <w:rsid w:val="00372C5C"/>
    <w:rsid w:val="00372C74"/>
    <w:rsid w:val="00372C81"/>
    <w:rsid w:val="00372CE6"/>
    <w:rsid w:val="00372E68"/>
    <w:rsid w:val="00373162"/>
    <w:rsid w:val="00373198"/>
    <w:rsid w:val="003731F2"/>
    <w:rsid w:val="003731FC"/>
    <w:rsid w:val="00373233"/>
    <w:rsid w:val="00373401"/>
    <w:rsid w:val="00373445"/>
    <w:rsid w:val="0037345E"/>
    <w:rsid w:val="003734B8"/>
    <w:rsid w:val="003735D8"/>
    <w:rsid w:val="003737DA"/>
    <w:rsid w:val="00373860"/>
    <w:rsid w:val="003738EF"/>
    <w:rsid w:val="0037391B"/>
    <w:rsid w:val="00373A5F"/>
    <w:rsid w:val="00373BCE"/>
    <w:rsid w:val="00373D0B"/>
    <w:rsid w:val="00373D25"/>
    <w:rsid w:val="00373EF6"/>
    <w:rsid w:val="00373F06"/>
    <w:rsid w:val="00373F16"/>
    <w:rsid w:val="00373F28"/>
    <w:rsid w:val="0037425D"/>
    <w:rsid w:val="003742A7"/>
    <w:rsid w:val="00374329"/>
    <w:rsid w:val="00374352"/>
    <w:rsid w:val="00374473"/>
    <w:rsid w:val="00374497"/>
    <w:rsid w:val="0037451E"/>
    <w:rsid w:val="0037461A"/>
    <w:rsid w:val="00374678"/>
    <w:rsid w:val="003746F2"/>
    <w:rsid w:val="0037475D"/>
    <w:rsid w:val="00374814"/>
    <w:rsid w:val="00374817"/>
    <w:rsid w:val="0037481E"/>
    <w:rsid w:val="00374983"/>
    <w:rsid w:val="003749C6"/>
    <w:rsid w:val="00374A34"/>
    <w:rsid w:val="00374B2F"/>
    <w:rsid w:val="00374CCB"/>
    <w:rsid w:val="00374DB7"/>
    <w:rsid w:val="00374EB0"/>
    <w:rsid w:val="00374FD0"/>
    <w:rsid w:val="0037502E"/>
    <w:rsid w:val="0037508F"/>
    <w:rsid w:val="003750EF"/>
    <w:rsid w:val="00375204"/>
    <w:rsid w:val="00375325"/>
    <w:rsid w:val="00375525"/>
    <w:rsid w:val="00375639"/>
    <w:rsid w:val="00375A68"/>
    <w:rsid w:val="00375ACD"/>
    <w:rsid w:val="00375B24"/>
    <w:rsid w:val="00375C2A"/>
    <w:rsid w:val="00375C79"/>
    <w:rsid w:val="00375CD7"/>
    <w:rsid w:val="00375D8C"/>
    <w:rsid w:val="00375E02"/>
    <w:rsid w:val="00375EF3"/>
    <w:rsid w:val="00376129"/>
    <w:rsid w:val="003761AA"/>
    <w:rsid w:val="00376264"/>
    <w:rsid w:val="0037630B"/>
    <w:rsid w:val="003763CE"/>
    <w:rsid w:val="003763CF"/>
    <w:rsid w:val="00376525"/>
    <w:rsid w:val="00376A5F"/>
    <w:rsid w:val="00376C3A"/>
    <w:rsid w:val="00376CA2"/>
    <w:rsid w:val="00376CED"/>
    <w:rsid w:val="00376FFE"/>
    <w:rsid w:val="003771A3"/>
    <w:rsid w:val="0037720E"/>
    <w:rsid w:val="003772B8"/>
    <w:rsid w:val="003772F3"/>
    <w:rsid w:val="0037740B"/>
    <w:rsid w:val="003774A4"/>
    <w:rsid w:val="003774E5"/>
    <w:rsid w:val="003776B1"/>
    <w:rsid w:val="0037772B"/>
    <w:rsid w:val="0037777E"/>
    <w:rsid w:val="0037792D"/>
    <w:rsid w:val="003779C5"/>
    <w:rsid w:val="00377AE6"/>
    <w:rsid w:val="00377AF5"/>
    <w:rsid w:val="00377B23"/>
    <w:rsid w:val="00377B42"/>
    <w:rsid w:val="00377B50"/>
    <w:rsid w:val="00377BDD"/>
    <w:rsid w:val="00377BE9"/>
    <w:rsid w:val="00377D78"/>
    <w:rsid w:val="00377D9F"/>
    <w:rsid w:val="00377DC5"/>
    <w:rsid w:val="00377E81"/>
    <w:rsid w:val="00377F6D"/>
    <w:rsid w:val="00377FD0"/>
    <w:rsid w:val="00377FF0"/>
    <w:rsid w:val="00380039"/>
    <w:rsid w:val="00380143"/>
    <w:rsid w:val="00380190"/>
    <w:rsid w:val="003801BC"/>
    <w:rsid w:val="00380201"/>
    <w:rsid w:val="00380214"/>
    <w:rsid w:val="003803C6"/>
    <w:rsid w:val="003803CA"/>
    <w:rsid w:val="00380426"/>
    <w:rsid w:val="00380434"/>
    <w:rsid w:val="003804F6"/>
    <w:rsid w:val="00380563"/>
    <w:rsid w:val="003806B7"/>
    <w:rsid w:val="00380787"/>
    <w:rsid w:val="0038085B"/>
    <w:rsid w:val="0038093A"/>
    <w:rsid w:val="003809DD"/>
    <w:rsid w:val="00380AA3"/>
    <w:rsid w:val="00380B4C"/>
    <w:rsid w:val="00380E65"/>
    <w:rsid w:val="00380E93"/>
    <w:rsid w:val="00380EF9"/>
    <w:rsid w:val="00380FA8"/>
    <w:rsid w:val="00380FEB"/>
    <w:rsid w:val="00381049"/>
    <w:rsid w:val="00381075"/>
    <w:rsid w:val="00381159"/>
    <w:rsid w:val="0038138C"/>
    <w:rsid w:val="003813D8"/>
    <w:rsid w:val="00381448"/>
    <w:rsid w:val="00381540"/>
    <w:rsid w:val="003815A4"/>
    <w:rsid w:val="0038162B"/>
    <w:rsid w:val="0038173C"/>
    <w:rsid w:val="0038174F"/>
    <w:rsid w:val="00381A67"/>
    <w:rsid w:val="00381C06"/>
    <w:rsid w:val="00381C58"/>
    <w:rsid w:val="00381DB9"/>
    <w:rsid w:val="00381DD1"/>
    <w:rsid w:val="00381DD6"/>
    <w:rsid w:val="00381DDE"/>
    <w:rsid w:val="00381E56"/>
    <w:rsid w:val="00381F53"/>
    <w:rsid w:val="0038227C"/>
    <w:rsid w:val="00382339"/>
    <w:rsid w:val="003823B1"/>
    <w:rsid w:val="00382418"/>
    <w:rsid w:val="0038241A"/>
    <w:rsid w:val="003824A1"/>
    <w:rsid w:val="003825A8"/>
    <w:rsid w:val="003825BF"/>
    <w:rsid w:val="00382659"/>
    <w:rsid w:val="00382677"/>
    <w:rsid w:val="00382828"/>
    <w:rsid w:val="003828C5"/>
    <w:rsid w:val="00382A28"/>
    <w:rsid w:val="00382AF3"/>
    <w:rsid w:val="00382DC8"/>
    <w:rsid w:val="00382E39"/>
    <w:rsid w:val="00382E52"/>
    <w:rsid w:val="00382E70"/>
    <w:rsid w:val="00382E72"/>
    <w:rsid w:val="00382F06"/>
    <w:rsid w:val="00383109"/>
    <w:rsid w:val="0038319D"/>
    <w:rsid w:val="003833B6"/>
    <w:rsid w:val="003836D2"/>
    <w:rsid w:val="00383747"/>
    <w:rsid w:val="0038374B"/>
    <w:rsid w:val="0038380C"/>
    <w:rsid w:val="0038386C"/>
    <w:rsid w:val="003839F0"/>
    <w:rsid w:val="00383AA1"/>
    <w:rsid w:val="00383B33"/>
    <w:rsid w:val="00383F2E"/>
    <w:rsid w:val="00384129"/>
    <w:rsid w:val="0038420C"/>
    <w:rsid w:val="0038429B"/>
    <w:rsid w:val="003842C0"/>
    <w:rsid w:val="00384430"/>
    <w:rsid w:val="0038450A"/>
    <w:rsid w:val="00384729"/>
    <w:rsid w:val="00384816"/>
    <w:rsid w:val="0038494F"/>
    <w:rsid w:val="003849B0"/>
    <w:rsid w:val="00384AD2"/>
    <w:rsid w:val="00384BB1"/>
    <w:rsid w:val="00384C66"/>
    <w:rsid w:val="00384DAB"/>
    <w:rsid w:val="00385037"/>
    <w:rsid w:val="003851A6"/>
    <w:rsid w:val="003851AF"/>
    <w:rsid w:val="003851F8"/>
    <w:rsid w:val="0038527B"/>
    <w:rsid w:val="0038528F"/>
    <w:rsid w:val="00385323"/>
    <w:rsid w:val="0038532B"/>
    <w:rsid w:val="00385400"/>
    <w:rsid w:val="0038540A"/>
    <w:rsid w:val="00385443"/>
    <w:rsid w:val="0038554F"/>
    <w:rsid w:val="003856CB"/>
    <w:rsid w:val="00385876"/>
    <w:rsid w:val="003858A6"/>
    <w:rsid w:val="003858AF"/>
    <w:rsid w:val="00385BAA"/>
    <w:rsid w:val="00385C5B"/>
    <w:rsid w:val="00385CD3"/>
    <w:rsid w:val="00385CDA"/>
    <w:rsid w:val="00385DB5"/>
    <w:rsid w:val="00385EFC"/>
    <w:rsid w:val="00385F3E"/>
    <w:rsid w:val="003860A4"/>
    <w:rsid w:val="003860B3"/>
    <w:rsid w:val="003860D2"/>
    <w:rsid w:val="00386140"/>
    <w:rsid w:val="00386204"/>
    <w:rsid w:val="00386570"/>
    <w:rsid w:val="003866A5"/>
    <w:rsid w:val="003866CC"/>
    <w:rsid w:val="003868A9"/>
    <w:rsid w:val="0038694F"/>
    <w:rsid w:val="003869AC"/>
    <w:rsid w:val="003869FC"/>
    <w:rsid w:val="00386A04"/>
    <w:rsid w:val="00386A2A"/>
    <w:rsid w:val="00386ABE"/>
    <w:rsid w:val="00386B0A"/>
    <w:rsid w:val="00386D59"/>
    <w:rsid w:val="00386D91"/>
    <w:rsid w:val="00386DD1"/>
    <w:rsid w:val="00386E10"/>
    <w:rsid w:val="00386E9B"/>
    <w:rsid w:val="00386E9E"/>
    <w:rsid w:val="00386F3B"/>
    <w:rsid w:val="00386F85"/>
    <w:rsid w:val="003870BE"/>
    <w:rsid w:val="0038735F"/>
    <w:rsid w:val="00387380"/>
    <w:rsid w:val="003874EF"/>
    <w:rsid w:val="003875F6"/>
    <w:rsid w:val="003877E3"/>
    <w:rsid w:val="0038780E"/>
    <w:rsid w:val="0038784F"/>
    <w:rsid w:val="00387959"/>
    <w:rsid w:val="00387A09"/>
    <w:rsid w:val="00387A3D"/>
    <w:rsid w:val="00387A49"/>
    <w:rsid w:val="00387A99"/>
    <w:rsid w:val="00387AC7"/>
    <w:rsid w:val="00387BD4"/>
    <w:rsid w:val="00387C2C"/>
    <w:rsid w:val="00387C47"/>
    <w:rsid w:val="00387D90"/>
    <w:rsid w:val="0039009D"/>
    <w:rsid w:val="003900EE"/>
    <w:rsid w:val="00390502"/>
    <w:rsid w:val="003905C4"/>
    <w:rsid w:val="003906C5"/>
    <w:rsid w:val="0039075C"/>
    <w:rsid w:val="00390986"/>
    <w:rsid w:val="00390A86"/>
    <w:rsid w:val="00390A9D"/>
    <w:rsid w:val="00390ACB"/>
    <w:rsid w:val="00390B25"/>
    <w:rsid w:val="00390E4A"/>
    <w:rsid w:val="00390F40"/>
    <w:rsid w:val="00390FFC"/>
    <w:rsid w:val="003910DA"/>
    <w:rsid w:val="00391114"/>
    <w:rsid w:val="0039115F"/>
    <w:rsid w:val="00391233"/>
    <w:rsid w:val="00391462"/>
    <w:rsid w:val="003914BC"/>
    <w:rsid w:val="00391774"/>
    <w:rsid w:val="003917A5"/>
    <w:rsid w:val="00391871"/>
    <w:rsid w:val="0039188D"/>
    <w:rsid w:val="003918B5"/>
    <w:rsid w:val="00391B0B"/>
    <w:rsid w:val="00391B45"/>
    <w:rsid w:val="00391D79"/>
    <w:rsid w:val="00391F26"/>
    <w:rsid w:val="00392219"/>
    <w:rsid w:val="0039225A"/>
    <w:rsid w:val="0039227A"/>
    <w:rsid w:val="003922A1"/>
    <w:rsid w:val="00392364"/>
    <w:rsid w:val="0039268A"/>
    <w:rsid w:val="003926C0"/>
    <w:rsid w:val="003927AD"/>
    <w:rsid w:val="0039292D"/>
    <w:rsid w:val="003929AD"/>
    <w:rsid w:val="00392A13"/>
    <w:rsid w:val="00392C6E"/>
    <w:rsid w:val="00392DA8"/>
    <w:rsid w:val="00392DCC"/>
    <w:rsid w:val="00392E4A"/>
    <w:rsid w:val="00392EFD"/>
    <w:rsid w:val="00392FB1"/>
    <w:rsid w:val="00393000"/>
    <w:rsid w:val="00393137"/>
    <w:rsid w:val="0039326D"/>
    <w:rsid w:val="003932C4"/>
    <w:rsid w:val="003932E7"/>
    <w:rsid w:val="00393387"/>
    <w:rsid w:val="00393494"/>
    <w:rsid w:val="003935B0"/>
    <w:rsid w:val="003935F8"/>
    <w:rsid w:val="0039369B"/>
    <w:rsid w:val="00393770"/>
    <w:rsid w:val="003937BC"/>
    <w:rsid w:val="003938FF"/>
    <w:rsid w:val="00393A44"/>
    <w:rsid w:val="00393AE4"/>
    <w:rsid w:val="00393B79"/>
    <w:rsid w:val="00393B95"/>
    <w:rsid w:val="00393C44"/>
    <w:rsid w:val="00393C8F"/>
    <w:rsid w:val="00393CD9"/>
    <w:rsid w:val="00393D0A"/>
    <w:rsid w:val="00393DB1"/>
    <w:rsid w:val="00393F27"/>
    <w:rsid w:val="00393FB9"/>
    <w:rsid w:val="00394197"/>
    <w:rsid w:val="0039430F"/>
    <w:rsid w:val="00394399"/>
    <w:rsid w:val="003943A4"/>
    <w:rsid w:val="003943F5"/>
    <w:rsid w:val="0039442F"/>
    <w:rsid w:val="003946B0"/>
    <w:rsid w:val="003946BD"/>
    <w:rsid w:val="003947AC"/>
    <w:rsid w:val="003947FD"/>
    <w:rsid w:val="003948E2"/>
    <w:rsid w:val="0039494B"/>
    <w:rsid w:val="003949D6"/>
    <w:rsid w:val="00394C3A"/>
    <w:rsid w:val="00394C9D"/>
    <w:rsid w:val="00394D50"/>
    <w:rsid w:val="00394F54"/>
    <w:rsid w:val="0039524B"/>
    <w:rsid w:val="00395297"/>
    <w:rsid w:val="00395815"/>
    <w:rsid w:val="003958ED"/>
    <w:rsid w:val="0039592A"/>
    <w:rsid w:val="00395A17"/>
    <w:rsid w:val="00395A34"/>
    <w:rsid w:val="00395CC2"/>
    <w:rsid w:val="00395E2E"/>
    <w:rsid w:val="00395ED6"/>
    <w:rsid w:val="00396296"/>
    <w:rsid w:val="00396398"/>
    <w:rsid w:val="00396617"/>
    <w:rsid w:val="00396663"/>
    <w:rsid w:val="0039667B"/>
    <w:rsid w:val="003966EF"/>
    <w:rsid w:val="003966FB"/>
    <w:rsid w:val="00396792"/>
    <w:rsid w:val="0039688C"/>
    <w:rsid w:val="00396A5B"/>
    <w:rsid w:val="00396A7F"/>
    <w:rsid w:val="00396AA2"/>
    <w:rsid w:val="00396BD9"/>
    <w:rsid w:val="00396C04"/>
    <w:rsid w:val="00396C16"/>
    <w:rsid w:val="00396C41"/>
    <w:rsid w:val="00396D37"/>
    <w:rsid w:val="00397012"/>
    <w:rsid w:val="00397046"/>
    <w:rsid w:val="003970A0"/>
    <w:rsid w:val="003970FB"/>
    <w:rsid w:val="003971C4"/>
    <w:rsid w:val="003972E1"/>
    <w:rsid w:val="003973EC"/>
    <w:rsid w:val="00397477"/>
    <w:rsid w:val="00397719"/>
    <w:rsid w:val="003977FA"/>
    <w:rsid w:val="00397847"/>
    <w:rsid w:val="00397969"/>
    <w:rsid w:val="003979A4"/>
    <w:rsid w:val="00397A18"/>
    <w:rsid w:val="00397A24"/>
    <w:rsid w:val="00397BAC"/>
    <w:rsid w:val="00397BE0"/>
    <w:rsid w:val="003A0059"/>
    <w:rsid w:val="003A0068"/>
    <w:rsid w:val="003A02D2"/>
    <w:rsid w:val="003A03D9"/>
    <w:rsid w:val="003A03E1"/>
    <w:rsid w:val="003A0595"/>
    <w:rsid w:val="003A0646"/>
    <w:rsid w:val="003A06A9"/>
    <w:rsid w:val="003A06F3"/>
    <w:rsid w:val="003A0744"/>
    <w:rsid w:val="003A079E"/>
    <w:rsid w:val="003A0A89"/>
    <w:rsid w:val="003A0BCB"/>
    <w:rsid w:val="003A0BEF"/>
    <w:rsid w:val="003A0C0F"/>
    <w:rsid w:val="003A0D98"/>
    <w:rsid w:val="003A0EAE"/>
    <w:rsid w:val="003A0FC7"/>
    <w:rsid w:val="003A10B6"/>
    <w:rsid w:val="003A10F4"/>
    <w:rsid w:val="003A1251"/>
    <w:rsid w:val="003A1518"/>
    <w:rsid w:val="003A151A"/>
    <w:rsid w:val="003A1557"/>
    <w:rsid w:val="003A161F"/>
    <w:rsid w:val="003A16E5"/>
    <w:rsid w:val="003A17BA"/>
    <w:rsid w:val="003A1949"/>
    <w:rsid w:val="003A199F"/>
    <w:rsid w:val="003A1A26"/>
    <w:rsid w:val="003A1BEE"/>
    <w:rsid w:val="003A1D25"/>
    <w:rsid w:val="003A1DA9"/>
    <w:rsid w:val="003A1E22"/>
    <w:rsid w:val="003A1F6A"/>
    <w:rsid w:val="003A1FF9"/>
    <w:rsid w:val="003A204B"/>
    <w:rsid w:val="003A2103"/>
    <w:rsid w:val="003A2154"/>
    <w:rsid w:val="003A22A5"/>
    <w:rsid w:val="003A23B7"/>
    <w:rsid w:val="003A25CE"/>
    <w:rsid w:val="003A26C1"/>
    <w:rsid w:val="003A2710"/>
    <w:rsid w:val="003A2801"/>
    <w:rsid w:val="003A2817"/>
    <w:rsid w:val="003A283E"/>
    <w:rsid w:val="003A28EE"/>
    <w:rsid w:val="003A297D"/>
    <w:rsid w:val="003A2AAC"/>
    <w:rsid w:val="003A2B32"/>
    <w:rsid w:val="003A2BD1"/>
    <w:rsid w:val="003A2C0C"/>
    <w:rsid w:val="003A2CE3"/>
    <w:rsid w:val="003A2CEF"/>
    <w:rsid w:val="003A3011"/>
    <w:rsid w:val="003A3158"/>
    <w:rsid w:val="003A31C8"/>
    <w:rsid w:val="003A31DF"/>
    <w:rsid w:val="003A32C4"/>
    <w:rsid w:val="003A339C"/>
    <w:rsid w:val="003A33F1"/>
    <w:rsid w:val="003A355A"/>
    <w:rsid w:val="003A374B"/>
    <w:rsid w:val="003A3861"/>
    <w:rsid w:val="003A39BF"/>
    <w:rsid w:val="003A39DF"/>
    <w:rsid w:val="003A3FCF"/>
    <w:rsid w:val="003A3FD1"/>
    <w:rsid w:val="003A409C"/>
    <w:rsid w:val="003A4172"/>
    <w:rsid w:val="003A417D"/>
    <w:rsid w:val="003A427D"/>
    <w:rsid w:val="003A43AF"/>
    <w:rsid w:val="003A43EC"/>
    <w:rsid w:val="003A45C3"/>
    <w:rsid w:val="003A468D"/>
    <w:rsid w:val="003A46BD"/>
    <w:rsid w:val="003A48A9"/>
    <w:rsid w:val="003A492D"/>
    <w:rsid w:val="003A4957"/>
    <w:rsid w:val="003A4AAE"/>
    <w:rsid w:val="003A4C2A"/>
    <w:rsid w:val="003A4CFF"/>
    <w:rsid w:val="003A4DBE"/>
    <w:rsid w:val="003A4E98"/>
    <w:rsid w:val="003A4F28"/>
    <w:rsid w:val="003A5013"/>
    <w:rsid w:val="003A5033"/>
    <w:rsid w:val="003A5068"/>
    <w:rsid w:val="003A5149"/>
    <w:rsid w:val="003A516C"/>
    <w:rsid w:val="003A5199"/>
    <w:rsid w:val="003A525A"/>
    <w:rsid w:val="003A5385"/>
    <w:rsid w:val="003A5430"/>
    <w:rsid w:val="003A570F"/>
    <w:rsid w:val="003A58D3"/>
    <w:rsid w:val="003A58D8"/>
    <w:rsid w:val="003A5A6B"/>
    <w:rsid w:val="003A5B28"/>
    <w:rsid w:val="003A5B6E"/>
    <w:rsid w:val="003A5BAA"/>
    <w:rsid w:val="003A5CBF"/>
    <w:rsid w:val="003A5D29"/>
    <w:rsid w:val="003A5F01"/>
    <w:rsid w:val="003A5F5A"/>
    <w:rsid w:val="003A5FE9"/>
    <w:rsid w:val="003A6039"/>
    <w:rsid w:val="003A6090"/>
    <w:rsid w:val="003A60B5"/>
    <w:rsid w:val="003A6363"/>
    <w:rsid w:val="003A6382"/>
    <w:rsid w:val="003A6529"/>
    <w:rsid w:val="003A652D"/>
    <w:rsid w:val="003A65B2"/>
    <w:rsid w:val="003A66ED"/>
    <w:rsid w:val="003A677B"/>
    <w:rsid w:val="003A6987"/>
    <w:rsid w:val="003A6999"/>
    <w:rsid w:val="003A6A10"/>
    <w:rsid w:val="003A6D09"/>
    <w:rsid w:val="003A6E66"/>
    <w:rsid w:val="003A6EEB"/>
    <w:rsid w:val="003A6F46"/>
    <w:rsid w:val="003A6F4F"/>
    <w:rsid w:val="003A6F7F"/>
    <w:rsid w:val="003A714F"/>
    <w:rsid w:val="003A7215"/>
    <w:rsid w:val="003A7227"/>
    <w:rsid w:val="003A7415"/>
    <w:rsid w:val="003A758A"/>
    <w:rsid w:val="003A7592"/>
    <w:rsid w:val="003A763A"/>
    <w:rsid w:val="003A7704"/>
    <w:rsid w:val="003A77A9"/>
    <w:rsid w:val="003A77D0"/>
    <w:rsid w:val="003A7866"/>
    <w:rsid w:val="003A7B5F"/>
    <w:rsid w:val="003A7B9D"/>
    <w:rsid w:val="003A7C1F"/>
    <w:rsid w:val="003A7C27"/>
    <w:rsid w:val="003A7D12"/>
    <w:rsid w:val="003A7D44"/>
    <w:rsid w:val="003A7EC4"/>
    <w:rsid w:val="003A7F8F"/>
    <w:rsid w:val="003B00FB"/>
    <w:rsid w:val="003B029C"/>
    <w:rsid w:val="003B02E8"/>
    <w:rsid w:val="003B047B"/>
    <w:rsid w:val="003B0566"/>
    <w:rsid w:val="003B064F"/>
    <w:rsid w:val="003B087C"/>
    <w:rsid w:val="003B08C3"/>
    <w:rsid w:val="003B08D5"/>
    <w:rsid w:val="003B0901"/>
    <w:rsid w:val="003B090B"/>
    <w:rsid w:val="003B096F"/>
    <w:rsid w:val="003B0977"/>
    <w:rsid w:val="003B0AE8"/>
    <w:rsid w:val="003B0AF6"/>
    <w:rsid w:val="003B0B45"/>
    <w:rsid w:val="003B0C96"/>
    <w:rsid w:val="003B0D07"/>
    <w:rsid w:val="003B0E0D"/>
    <w:rsid w:val="003B0E38"/>
    <w:rsid w:val="003B0EBB"/>
    <w:rsid w:val="003B0F8B"/>
    <w:rsid w:val="003B0F8D"/>
    <w:rsid w:val="003B0FCF"/>
    <w:rsid w:val="003B10F7"/>
    <w:rsid w:val="003B1317"/>
    <w:rsid w:val="003B1376"/>
    <w:rsid w:val="003B13B2"/>
    <w:rsid w:val="003B143D"/>
    <w:rsid w:val="003B185A"/>
    <w:rsid w:val="003B1902"/>
    <w:rsid w:val="003B1930"/>
    <w:rsid w:val="003B1962"/>
    <w:rsid w:val="003B19C3"/>
    <w:rsid w:val="003B1B01"/>
    <w:rsid w:val="003B1B19"/>
    <w:rsid w:val="003B1D21"/>
    <w:rsid w:val="003B1DEC"/>
    <w:rsid w:val="003B1E48"/>
    <w:rsid w:val="003B1E8B"/>
    <w:rsid w:val="003B1E9E"/>
    <w:rsid w:val="003B2121"/>
    <w:rsid w:val="003B221D"/>
    <w:rsid w:val="003B22DD"/>
    <w:rsid w:val="003B233E"/>
    <w:rsid w:val="003B2417"/>
    <w:rsid w:val="003B25F2"/>
    <w:rsid w:val="003B27EC"/>
    <w:rsid w:val="003B27F2"/>
    <w:rsid w:val="003B2867"/>
    <w:rsid w:val="003B2868"/>
    <w:rsid w:val="003B2B8B"/>
    <w:rsid w:val="003B2D24"/>
    <w:rsid w:val="003B2DC6"/>
    <w:rsid w:val="003B2E17"/>
    <w:rsid w:val="003B312E"/>
    <w:rsid w:val="003B31FD"/>
    <w:rsid w:val="003B32EE"/>
    <w:rsid w:val="003B349A"/>
    <w:rsid w:val="003B34A3"/>
    <w:rsid w:val="003B35F5"/>
    <w:rsid w:val="003B36DA"/>
    <w:rsid w:val="003B37D2"/>
    <w:rsid w:val="003B391A"/>
    <w:rsid w:val="003B3A28"/>
    <w:rsid w:val="003B3B55"/>
    <w:rsid w:val="003B3BB3"/>
    <w:rsid w:val="003B3C3C"/>
    <w:rsid w:val="003B3D9C"/>
    <w:rsid w:val="003B3EA0"/>
    <w:rsid w:val="003B3F29"/>
    <w:rsid w:val="003B415C"/>
    <w:rsid w:val="003B4213"/>
    <w:rsid w:val="003B42FE"/>
    <w:rsid w:val="003B444E"/>
    <w:rsid w:val="003B454A"/>
    <w:rsid w:val="003B4578"/>
    <w:rsid w:val="003B482F"/>
    <w:rsid w:val="003B4C51"/>
    <w:rsid w:val="003B4C8D"/>
    <w:rsid w:val="003B4CFC"/>
    <w:rsid w:val="003B4D79"/>
    <w:rsid w:val="003B4DC6"/>
    <w:rsid w:val="003B510E"/>
    <w:rsid w:val="003B5213"/>
    <w:rsid w:val="003B521C"/>
    <w:rsid w:val="003B52AC"/>
    <w:rsid w:val="003B52EF"/>
    <w:rsid w:val="003B5494"/>
    <w:rsid w:val="003B54D8"/>
    <w:rsid w:val="003B567A"/>
    <w:rsid w:val="003B58B0"/>
    <w:rsid w:val="003B58CC"/>
    <w:rsid w:val="003B58D9"/>
    <w:rsid w:val="003B59FB"/>
    <w:rsid w:val="003B5A0B"/>
    <w:rsid w:val="003B5BDC"/>
    <w:rsid w:val="003B5C45"/>
    <w:rsid w:val="003B5E0B"/>
    <w:rsid w:val="003B5EC8"/>
    <w:rsid w:val="003B600E"/>
    <w:rsid w:val="003B61E1"/>
    <w:rsid w:val="003B620F"/>
    <w:rsid w:val="003B6233"/>
    <w:rsid w:val="003B6257"/>
    <w:rsid w:val="003B655B"/>
    <w:rsid w:val="003B655E"/>
    <w:rsid w:val="003B683A"/>
    <w:rsid w:val="003B6908"/>
    <w:rsid w:val="003B6934"/>
    <w:rsid w:val="003B6A23"/>
    <w:rsid w:val="003B6AD8"/>
    <w:rsid w:val="003B6BA7"/>
    <w:rsid w:val="003B6D00"/>
    <w:rsid w:val="003B6DE9"/>
    <w:rsid w:val="003B6DF2"/>
    <w:rsid w:val="003B7162"/>
    <w:rsid w:val="003B72DA"/>
    <w:rsid w:val="003B733B"/>
    <w:rsid w:val="003B734C"/>
    <w:rsid w:val="003B742C"/>
    <w:rsid w:val="003B7563"/>
    <w:rsid w:val="003B7564"/>
    <w:rsid w:val="003B757F"/>
    <w:rsid w:val="003B7627"/>
    <w:rsid w:val="003B7729"/>
    <w:rsid w:val="003B772F"/>
    <w:rsid w:val="003B77B3"/>
    <w:rsid w:val="003B787B"/>
    <w:rsid w:val="003B78EF"/>
    <w:rsid w:val="003B7964"/>
    <w:rsid w:val="003B7990"/>
    <w:rsid w:val="003B7A7E"/>
    <w:rsid w:val="003B7B6B"/>
    <w:rsid w:val="003B7BAE"/>
    <w:rsid w:val="003B7BB9"/>
    <w:rsid w:val="003B7C58"/>
    <w:rsid w:val="003B7D10"/>
    <w:rsid w:val="003B7FB6"/>
    <w:rsid w:val="003C009F"/>
    <w:rsid w:val="003C01C0"/>
    <w:rsid w:val="003C02A7"/>
    <w:rsid w:val="003C03CB"/>
    <w:rsid w:val="003C041D"/>
    <w:rsid w:val="003C04AC"/>
    <w:rsid w:val="003C04CF"/>
    <w:rsid w:val="003C051F"/>
    <w:rsid w:val="003C052E"/>
    <w:rsid w:val="003C060E"/>
    <w:rsid w:val="003C07D8"/>
    <w:rsid w:val="003C0839"/>
    <w:rsid w:val="003C0884"/>
    <w:rsid w:val="003C0987"/>
    <w:rsid w:val="003C0AD4"/>
    <w:rsid w:val="003C0B20"/>
    <w:rsid w:val="003C0B81"/>
    <w:rsid w:val="003C0C8D"/>
    <w:rsid w:val="003C0CD4"/>
    <w:rsid w:val="003C0FCF"/>
    <w:rsid w:val="003C10AC"/>
    <w:rsid w:val="003C10C7"/>
    <w:rsid w:val="003C10E1"/>
    <w:rsid w:val="003C1122"/>
    <w:rsid w:val="003C11CA"/>
    <w:rsid w:val="003C1270"/>
    <w:rsid w:val="003C12A4"/>
    <w:rsid w:val="003C1303"/>
    <w:rsid w:val="003C134E"/>
    <w:rsid w:val="003C1359"/>
    <w:rsid w:val="003C141F"/>
    <w:rsid w:val="003C1458"/>
    <w:rsid w:val="003C1488"/>
    <w:rsid w:val="003C15EB"/>
    <w:rsid w:val="003C169F"/>
    <w:rsid w:val="003C17C0"/>
    <w:rsid w:val="003C1864"/>
    <w:rsid w:val="003C18B5"/>
    <w:rsid w:val="003C1979"/>
    <w:rsid w:val="003C1A60"/>
    <w:rsid w:val="003C1C6F"/>
    <w:rsid w:val="003C1CBD"/>
    <w:rsid w:val="003C1CE1"/>
    <w:rsid w:val="003C1D3B"/>
    <w:rsid w:val="003C1DD7"/>
    <w:rsid w:val="003C1DDF"/>
    <w:rsid w:val="003C1ECF"/>
    <w:rsid w:val="003C2125"/>
    <w:rsid w:val="003C2284"/>
    <w:rsid w:val="003C22FD"/>
    <w:rsid w:val="003C2336"/>
    <w:rsid w:val="003C2352"/>
    <w:rsid w:val="003C24A7"/>
    <w:rsid w:val="003C24BB"/>
    <w:rsid w:val="003C2623"/>
    <w:rsid w:val="003C26AA"/>
    <w:rsid w:val="003C26ED"/>
    <w:rsid w:val="003C277F"/>
    <w:rsid w:val="003C2887"/>
    <w:rsid w:val="003C2B69"/>
    <w:rsid w:val="003C2B97"/>
    <w:rsid w:val="003C2C79"/>
    <w:rsid w:val="003C2DB1"/>
    <w:rsid w:val="003C2EC7"/>
    <w:rsid w:val="003C3146"/>
    <w:rsid w:val="003C32BF"/>
    <w:rsid w:val="003C337B"/>
    <w:rsid w:val="003C34C1"/>
    <w:rsid w:val="003C352F"/>
    <w:rsid w:val="003C35A0"/>
    <w:rsid w:val="003C3720"/>
    <w:rsid w:val="003C3794"/>
    <w:rsid w:val="003C3975"/>
    <w:rsid w:val="003C3BBF"/>
    <w:rsid w:val="003C3BD1"/>
    <w:rsid w:val="003C3DAA"/>
    <w:rsid w:val="003C3E07"/>
    <w:rsid w:val="003C41FB"/>
    <w:rsid w:val="003C42A6"/>
    <w:rsid w:val="003C435F"/>
    <w:rsid w:val="003C4414"/>
    <w:rsid w:val="003C443C"/>
    <w:rsid w:val="003C44A8"/>
    <w:rsid w:val="003C44B7"/>
    <w:rsid w:val="003C4520"/>
    <w:rsid w:val="003C46D6"/>
    <w:rsid w:val="003C4762"/>
    <w:rsid w:val="003C48E7"/>
    <w:rsid w:val="003C499C"/>
    <w:rsid w:val="003C4EB0"/>
    <w:rsid w:val="003C4F22"/>
    <w:rsid w:val="003C5209"/>
    <w:rsid w:val="003C53BB"/>
    <w:rsid w:val="003C53E5"/>
    <w:rsid w:val="003C56AE"/>
    <w:rsid w:val="003C572F"/>
    <w:rsid w:val="003C5730"/>
    <w:rsid w:val="003C57F5"/>
    <w:rsid w:val="003C58F6"/>
    <w:rsid w:val="003C5A1B"/>
    <w:rsid w:val="003C5AFF"/>
    <w:rsid w:val="003C5B06"/>
    <w:rsid w:val="003C5B50"/>
    <w:rsid w:val="003C5B7C"/>
    <w:rsid w:val="003C5DA5"/>
    <w:rsid w:val="003C5DAD"/>
    <w:rsid w:val="003C5E44"/>
    <w:rsid w:val="003C5E8C"/>
    <w:rsid w:val="003C5F05"/>
    <w:rsid w:val="003C5F16"/>
    <w:rsid w:val="003C5F46"/>
    <w:rsid w:val="003C5F4F"/>
    <w:rsid w:val="003C5F66"/>
    <w:rsid w:val="003C6057"/>
    <w:rsid w:val="003C6249"/>
    <w:rsid w:val="003C62C7"/>
    <w:rsid w:val="003C63F3"/>
    <w:rsid w:val="003C646E"/>
    <w:rsid w:val="003C64E3"/>
    <w:rsid w:val="003C6529"/>
    <w:rsid w:val="003C6608"/>
    <w:rsid w:val="003C667B"/>
    <w:rsid w:val="003C6765"/>
    <w:rsid w:val="003C6767"/>
    <w:rsid w:val="003C67F9"/>
    <w:rsid w:val="003C680C"/>
    <w:rsid w:val="003C69B4"/>
    <w:rsid w:val="003C6B2A"/>
    <w:rsid w:val="003C6B41"/>
    <w:rsid w:val="003C6BA8"/>
    <w:rsid w:val="003C6BFA"/>
    <w:rsid w:val="003C6C18"/>
    <w:rsid w:val="003C6C92"/>
    <w:rsid w:val="003C6D3F"/>
    <w:rsid w:val="003C6D83"/>
    <w:rsid w:val="003C6DA0"/>
    <w:rsid w:val="003C6DBF"/>
    <w:rsid w:val="003C6DC8"/>
    <w:rsid w:val="003C6DDA"/>
    <w:rsid w:val="003C6E3A"/>
    <w:rsid w:val="003C7058"/>
    <w:rsid w:val="003C70AD"/>
    <w:rsid w:val="003C7250"/>
    <w:rsid w:val="003C7432"/>
    <w:rsid w:val="003C747C"/>
    <w:rsid w:val="003C76A2"/>
    <w:rsid w:val="003C76D1"/>
    <w:rsid w:val="003C76D2"/>
    <w:rsid w:val="003C7715"/>
    <w:rsid w:val="003C77E7"/>
    <w:rsid w:val="003C7948"/>
    <w:rsid w:val="003C79AC"/>
    <w:rsid w:val="003C79DD"/>
    <w:rsid w:val="003C7B21"/>
    <w:rsid w:val="003C7BF8"/>
    <w:rsid w:val="003C7D57"/>
    <w:rsid w:val="003C7E84"/>
    <w:rsid w:val="003C7F9C"/>
    <w:rsid w:val="003D0081"/>
    <w:rsid w:val="003D00EF"/>
    <w:rsid w:val="003D0126"/>
    <w:rsid w:val="003D0248"/>
    <w:rsid w:val="003D0321"/>
    <w:rsid w:val="003D0396"/>
    <w:rsid w:val="003D04A2"/>
    <w:rsid w:val="003D04AF"/>
    <w:rsid w:val="003D057F"/>
    <w:rsid w:val="003D062C"/>
    <w:rsid w:val="003D0664"/>
    <w:rsid w:val="003D0681"/>
    <w:rsid w:val="003D070B"/>
    <w:rsid w:val="003D0878"/>
    <w:rsid w:val="003D08FA"/>
    <w:rsid w:val="003D08FB"/>
    <w:rsid w:val="003D096A"/>
    <w:rsid w:val="003D0AC7"/>
    <w:rsid w:val="003D0B00"/>
    <w:rsid w:val="003D0B7E"/>
    <w:rsid w:val="003D0BA9"/>
    <w:rsid w:val="003D0BC9"/>
    <w:rsid w:val="003D0D22"/>
    <w:rsid w:val="003D0F98"/>
    <w:rsid w:val="003D1048"/>
    <w:rsid w:val="003D1154"/>
    <w:rsid w:val="003D1202"/>
    <w:rsid w:val="003D129C"/>
    <w:rsid w:val="003D12D2"/>
    <w:rsid w:val="003D14DF"/>
    <w:rsid w:val="003D1589"/>
    <w:rsid w:val="003D15F4"/>
    <w:rsid w:val="003D1657"/>
    <w:rsid w:val="003D1762"/>
    <w:rsid w:val="003D18B5"/>
    <w:rsid w:val="003D19F5"/>
    <w:rsid w:val="003D1AA8"/>
    <w:rsid w:val="003D1B7F"/>
    <w:rsid w:val="003D1C29"/>
    <w:rsid w:val="003D1D58"/>
    <w:rsid w:val="003D1E91"/>
    <w:rsid w:val="003D1F84"/>
    <w:rsid w:val="003D205B"/>
    <w:rsid w:val="003D2134"/>
    <w:rsid w:val="003D2257"/>
    <w:rsid w:val="003D232A"/>
    <w:rsid w:val="003D24DD"/>
    <w:rsid w:val="003D25A6"/>
    <w:rsid w:val="003D263D"/>
    <w:rsid w:val="003D2674"/>
    <w:rsid w:val="003D268C"/>
    <w:rsid w:val="003D2802"/>
    <w:rsid w:val="003D2861"/>
    <w:rsid w:val="003D29B1"/>
    <w:rsid w:val="003D2A64"/>
    <w:rsid w:val="003D2AC1"/>
    <w:rsid w:val="003D2AD4"/>
    <w:rsid w:val="003D2AE0"/>
    <w:rsid w:val="003D2B99"/>
    <w:rsid w:val="003D2BD0"/>
    <w:rsid w:val="003D2CBD"/>
    <w:rsid w:val="003D2CC8"/>
    <w:rsid w:val="003D2CD2"/>
    <w:rsid w:val="003D2CF1"/>
    <w:rsid w:val="003D2DB0"/>
    <w:rsid w:val="003D2EC9"/>
    <w:rsid w:val="003D2F7E"/>
    <w:rsid w:val="003D30A6"/>
    <w:rsid w:val="003D3203"/>
    <w:rsid w:val="003D3222"/>
    <w:rsid w:val="003D32E7"/>
    <w:rsid w:val="003D3317"/>
    <w:rsid w:val="003D34AE"/>
    <w:rsid w:val="003D36FB"/>
    <w:rsid w:val="003D3705"/>
    <w:rsid w:val="003D371E"/>
    <w:rsid w:val="003D372B"/>
    <w:rsid w:val="003D378E"/>
    <w:rsid w:val="003D3793"/>
    <w:rsid w:val="003D385B"/>
    <w:rsid w:val="003D39E0"/>
    <w:rsid w:val="003D3A3D"/>
    <w:rsid w:val="003D3B1C"/>
    <w:rsid w:val="003D3B86"/>
    <w:rsid w:val="003D3BAB"/>
    <w:rsid w:val="003D3C9D"/>
    <w:rsid w:val="003D3C9F"/>
    <w:rsid w:val="003D3DFA"/>
    <w:rsid w:val="003D3E4F"/>
    <w:rsid w:val="003D3F06"/>
    <w:rsid w:val="003D3F0D"/>
    <w:rsid w:val="003D420A"/>
    <w:rsid w:val="003D427C"/>
    <w:rsid w:val="003D42F2"/>
    <w:rsid w:val="003D4363"/>
    <w:rsid w:val="003D444D"/>
    <w:rsid w:val="003D4515"/>
    <w:rsid w:val="003D45DC"/>
    <w:rsid w:val="003D463D"/>
    <w:rsid w:val="003D46A3"/>
    <w:rsid w:val="003D46C4"/>
    <w:rsid w:val="003D4AB6"/>
    <w:rsid w:val="003D4EBB"/>
    <w:rsid w:val="003D511F"/>
    <w:rsid w:val="003D5142"/>
    <w:rsid w:val="003D5235"/>
    <w:rsid w:val="003D5255"/>
    <w:rsid w:val="003D5283"/>
    <w:rsid w:val="003D52A5"/>
    <w:rsid w:val="003D5350"/>
    <w:rsid w:val="003D5390"/>
    <w:rsid w:val="003D5443"/>
    <w:rsid w:val="003D54E6"/>
    <w:rsid w:val="003D555F"/>
    <w:rsid w:val="003D5745"/>
    <w:rsid w:val="003D584D"/>
    <w:rsid w:val="003D588F"/>
    <w:rsid w:val="003D5A20"/>
    <w:rsid w:val="003D5A40"/>
    <w:rsid w:val="003D5BAE"/>
    <w:rsid w:val="003D5C86"/>
    <w:rsid w:val="003D5E36"/>
    <w:rsid w:val="003D5F80"/>
    <w:rsid w:val="003D5FB8"/>
    <w:rsid w:val="003D601E"/>
    <w:rsid w:val="003D62B9"/>
    <w:rsid w:val="003D6307"/>
    <w:rsid w:val="003D6340"/>
    <w:rsid w:val="003D6379"/>
    <w:rsid w:val="003D643C"/>
    <w:rsid w:val="003D6485"/>
    <w:rsid w:val="003D64AD"/>
    <w:rsid w:val="003D659A"/>
    <w:rsid w:val="003D6744"/>
    <w:rsid w:val="003D67DF"/>
    <w:rsid w:val="003D6846"/>
    <w:rsid w:val="003D69AF"/>
    <w:rsid w:val="003D6B2B"/>
    <w:rsid w:val="003D6B60"/>
    <w:rsid w:val="003D6B7F"/>
    <w:rsid w:val="003D6BDF"/>
    <w:rsid w:val="003D6C4B"/>
    <w:rsid w:val="003D6C69"/>
    <w:rsid w:val="003D6CE4"/>
    <w:rsid w:val="003D6FEC"/>
    <w:rsid w:val="003D704D"/>
    <w:rsid w:val="003D70F3"/>
    <w:rsid w:val="003D724F"/>
    <w:rsid w:val="003D72B3"/>
    <w:rsid w:val="003D72D2"/>
    <w:rsid w:val="003D75F8"/>
    <w:rsid w:val="003D7668"/>
    <w:rsid w:val="003D767A"/>
    <w:rsid w:val="003D76E5"/>
    <w:rsid w:val="003D7ADB"/>
    <w:rsid w:val="003D7B22"/>
    <w:rsid w:val="003D7B37"/>
    <w:rsid w:val="003D7B90"/>
    <w:rsid w:val="003D7BB1"/>
    <w:rsid w:val="003D7D58"/>
    <w:rsid w:val="003D7E26"/>
    <w:rsid w:val="003D7EFD"/>
    <w:rsid w:val="003D7F2F"/>
    <w:rsid w:val="003D7F54"/>
    <w:rsid w:val="003E0048"/>
    <w:rsid w:val="003E00D7"/>
    <w:rsid w:val="003E01CE"/>
    <w:rsid w:val="003E0229"/>
    <w:rsid w:val="003E0252"/>
    <w:rsid w:val="003E0364"/>
    <w:rsid w:val="003E03B0"/>
    <w:rsid w:val="003E03DD"/>
    <w:rsid w:val="003E044B"/>
    <w:rsid w:val="003E05C3"/>
    <w:rsid w:val="003E0709"/>
    <w:rsid w:val="003E09C2"/>
    <w:rsid w:val="003E0AC6"/>
    <w:rsid w:val="003E0B79"/>
    <w:rsid w:val="003E0C27"/>
    <w:rsid w:val="003E0C38"/>
    <w:rsid w:val="003E0C7D"/>
    <w:rsid w:val="003E0D71"/>
    <w:rsid w:val="003E0E2D"/>
    <w:rsid w:val="003E0F2D"/>
    <w:rsid w:val="003E11E5"/>
    <w:rsid w:val="003E1239"/>
    <w:rsid w:val="003E1580"/>
    <w:rsid w:val="003E16EA"/>
    <w:rsid w:val="003E1888"/>
    <w:rsid w:val="003E18B4"/>
    <w:rsid w:val="003E19B0"/>
    <w:rsid w:val="003E1AE1"/>
    <w:rsid w:val="003E1B0A"/>
    <w:rsid w:val="003E1B47"/>
    <w:rsid w:val="003E1BDE"/>
    <w:rsid w:val="003E1BF9"/>
    <w:rsid w:val="003E1CA8"/>
    <w:rsid w:val="003E1D00"/>
    <w:rsid w:val="003E1D74"/>
    <w:rsid w:val="003E1EF8"/>
    <w:rsid w:val="003E1F73"/>
    <w:rsid w:val="003E1FA6"/>
    <w:rsid w:val="003E217C"/>
    <w:rsid w:val="003E2299"/>
    <w:rsid w:val="003E256D"/>
    <w:rsid w:val="003E25B1"/>
    <w:rsid w:val="003E263B"/>
    <w:rsid w:val="003E2648"/>
    <w:rsid w:val="003E2681"/>
    <w:rsid w:val="003E2789"/>
    <w:rsid w:val="003E28B2"/>
    <w:rsid w:val="003E28E4"/>
    <w:rsid w:val="003E2995"/>
    <w:rsid w:val="003E2A3E"/>
    <w:rsid w:val="003E2A6E"/>
    <w:rsid w:val="003E2B2F"/>
    <w:rsid w:val="003E2B8E"/>
    <w:rsid w:val="003E2C4C"/>
    <w:rsid w:val="003E2CD0"/>
    <w:rsid w:val="003E2D8F"/>
    <w:rsid w:val="003E2DFB"/>
    <w:rsid w:val="003E2E56"/>
    <w:rsid w:val="003E2EE4"/>
    <w:rsid w:val="003E2F3B"/>
    <w:rsid w:val="003E33AE"/>
    <w:rsid w:val="003E3445"/>
    <w:rsid w:val="003E348E"/>
    <w:rsid w:val="003E34E7"/>
    <w:rsid w:val="003E34F2"/>
    <w:rsid w:val="003E3539"/>
    <w:rsid w:val="003E35B4"/>
    <w:rsid w:val="003E3610"/>
    <w:rsid w:val="003E3676"/>
    <w:rsid w:val="003E38B0"/>
    <w:rsid w:val="003E38C8"/>
    <w:rsid w:val="003E39F2"/>
    <w:rsid w:val="003E3A8F"/>
    <w:rsid w:val="003E3ACA"/>
    <w:rsid w:val="003E3B4C"/>
    <w:rsid w:val="003E3DF6"/>
    <w:rsid w:val="003E3ED1"/>
    <w:rsid w:val="003E3F84"/>
    <w:rsid w:val="003E4146"/>
    <w:rsid w:val="003E41B1"/>
    <w:rsid w:val="003E41EB"/>
    <w:rsid w:val="003E426C"/>
    <w:rsid w:val="003E429F"/>
    <w:rsid w:val="003E4360"/>
    <w:rsid w:val="003E43A0"/>
    <w:rsid w:val="003E442B"/>
    <w:rsid w:val="003E4437"/>
    <w:rsid w:val="003E446D"/>
    <w:rsid w:val="003E451E"/>
    <w:rsid w:val="003E461C"/>
    <w:rsid w:val="003E4743"/>
    <w:rsid w:val="003E487A"/>
    <w:rsid w:val="003E4947"/>
    <w:rsid w:val="003E49A0"/>
    <w:rsid w:val="003E4A24"/>
    <w:rsid w:val="003E4AEA"/>
    <w:rsid w:val="003E4BE0"/>
    <w:rsid w:val="003E4C80"/>
    <w:rsid w:val="003E4D87"/>
    <w:rsid w:val="003E4E04"/>
    <w:rsid w:val="003E4E88"/>
    <w:rsid w:val="003E4E9F"/>
    <w:rsid w:val="003E5093"/>
    <w:rsid w:val="003E50B2"/>
    <w:rsid w:val="003E50D1"/>
    <w:rsid w:val="003E5122"/>
    <w:rsid w:val="003E5194"/>
    <w:rsid w:val="003E521E"/>
    <w:rsid w:val="003E5223"/>
    <w:rsid w:val="003E5396"/>
    <w:rsid w:val="003E5527"/>
    <w:rsid w:val="003E563F"/>
    <w:rsid w:val="003E56C5"/>
    <w:rsid w:val="003E57F1"/>
    <w:rsid w:val="003E5843"/>
    <w:rsid w:val="003E587C"/>
    <w:rsid w:val="003E58C7"/>
    <w:rsid w:val="003E58D7"/>
    <w:rsid w:val="003E59BD"/>
    <w:rsid w:val="003E5A62"/>
    <w:rsid w:val="003E5D09"/>
    <w:rsid w:val="003E5D41"/>
    <w:rsid w:val="003E5DC4"/>
    <w:rsid w:val="003E605A"/>
    <w:rsid w:val="003E6113"/>
    <w:rsid w:val="003E6244"/>
    <w:rsid w:val="003E6292"/>
    <w:rsid w:val="003E62A1"/>
    <w:rsid w:val="003E6374"/>
    <w:rsid w:val="003E64BF"/>
    <w:rsid w:val="003E6729"/>
    <w:rsid w:val="003E689D"/>
    <w:rsid w:val="003E68D2"/>
    <w:rsid w:val="003E6A94"/>
    <w:rsid w:val="003E6ADB"/>
    <w:rsid w:val="003E6D06"/>
    <w:rsid w:val="003E6E39"/>
    <w:rsid w:val="003E6F97"/>
    <w:rsid w:val="003E710C"/>
    <w:rsid w:val="003E7119"/>
    <w:rsid w:val="003E717D"/>
    <w:rsid w:val="003E71C1"/>
    <w:rsid w:val="003E720A"/>
    <w:rsid w:val="003E7243"/>
    <w:rsid w:val="003E7335"/>
    <w:rsid w:val="003E7475"/>
    <w:rsid w:val="003E747B"/>
    <w:rsid w:val="003E74AF"/>
    <w:rsid w:val="003E74C3"/>
    <w:rsid w:val="003E75F5"/>
    <w:rsid w:val="003E7611"/>
    <w:rsid w:val="003E77D2"/>
    <w:rsid w:val="003E784A"/>
    <w:rsid w:val="003E7AD1"/>
    <w:rsid w:val="003E7D41"/>
    <w:rsid w:val="003E7E00"/>
    <w:rsid w:val="003E7F2A"/>
    <w:rsid w:val="003E7F4E"/>
    <w:rsid w:val="003F000A"/>
    <w:rsid w:val="003F0034"/>
    <w:rsid w:val="003F00CE"/>
    <w:rsid w:val="003F00FB"/>
    <w:rsid w:val="003F0464"/>
    <w:rsid w:val="003F0550"/>
    <w:rsid w:val="003F0621"/>
    <w:rsid w:val="003F0673"/>
    <w:rsid w:val="003F086C"/>
    <w:rsid w:val="003F09EE"/>
    <w:rsid w:val="003F0A12"/>
    <w:rsid w:val="003F0A60"/>
    <w:rsid w:val="003F0A86"/>
    <w:rsid w:val="003F0C0B"/>
    <w:rsid w:val="003F0F6E"/>
    <w:rsid w:val="003F10E3"/>
    <w:rsid w:val="003F12BA"/>
    <w:rsid w:val="003F1310"/>
    <w:rsid w:val="003F1352"/>
    <w:rsid w:val="003F13E6"/>
    <w:rsid w:val="003F14D7"/>
    <w:rsid w:val="003F17F1"/>
    <w:rsid w:val="003F1805"/>
    <w:rsid w:val="003F182D"/>
    <w:rsid w:val="003F18A4"/>
    <w:rsid w:val="003F18D2"/>
    <w:rsid w:val="003F18DA"/>
    <w:rsid w:val="003F1C55"/>
    <w:rsid w:val="003F1DCF"/>
    <w:rsid w:val="003F1DEE"/>
    <w:rsid w:val="003F1DEF"/>
    <w:rsid w:val="003F1E8F"/>
    <w:rsid w:val="003F1EE5"/>
    <w:rsid w:val="003F1EF5"/>
    <w:rsid w:val="003F202A"/>
    <w:rsid w:val="003F2221"/>
    <w:rsid w:val="003F2492"/>
    <w:rsid w:val="003F249A"/>
    <w:rsid w:val="003F267B"/>
    <w:rsid w:val="003F270C"/>
    <w:rsid w:val="003F2780"/>
    <w:rsid w:val="003F2949"/>
    <w:rsid w:val="003F298E"/>
    <w:rsid w:val="003F2A63"/>
    <w:rsid w:val="003F2B41"/>
    <w:rsid w:val="003F2B51"/>
    <w:rsid w:val="003F2D4F"/>
    <w:rsid w:val="003F2E03"/>
    <w:rsid w:val="003F2E52"/>
    <w:rsid w:val="003F2F2D"/>
    <w:rsid w:val="003F3040"/>
    <w:rsid w:val="003F3051"/>
    <w:rsid w:val="003F3060"/>
    <w:rsid w:val="003F3103"/>
    <w:rsid w:val="003F3196"/>
    <w:rsid w:val="003F31E9"/>
    <w:rsid w:val="003F3396"/>
    <w:rsid w:val="003F35B7"/>
    <w:rsid w:val="003F3628"/>
    <w:rsid w:val="003F36CB"/>
    <w:rsid w:val="003F3792"/>
    <w:rsid w:val="003F3809"/>
    <w:rsid w:val="003F39BE"/>
    <w:rsid w:val="003F39FD"/>
    <w:rsid w:val="003F3A22"/>
    <w:rsid w:val="003F3A2A"/>
    <w:rsid w:val="003F3E51"/>
    <w:rsid w:val="003F3E93"/>
    <w:rsid w:val="003F4278"/>
    <w:rsid w:val="003F4497"/>
    <w:rsid w:val="003F458B"/>
    <w:rsid w:val="003F45C7"/>
    <w:rsid w:val="003F4614"/>
    <w:rsid w:val="003F49B0"/>
    <w:rsid w:val="003F4AE3"/>
    <w:rsid w:val="003F4B94"/>
    <w:rsid w:val="003F4DE2"/>
    <w:rsid w:val="003F4E66"/>
    <w:rsid w:val="003F4F54"/>
    <w:rsid w:val="003F4FF3"/>
    <w:rsid w:val="003F4FFD"/>
    <w:rsid w:val="003F50AB"/>
    <w:rsid w:val="003F50E5"/>
    <w:rsid w:val="003F5171"/>
    <w:rsid w:val="003F53F0"/>
    <w:rsid w:val="003F5584"/>
    <w:rsid w:val="003F55B2"/>
    <w:rsid w:val="003F5674"/>
    <w:rsid w:val="003F5801"/>
    <w:rsid w:val="003F582A"/>
    <w:rsid w:val="003F5977"/>
    <w:rsid w:val="003F59CC"/>
    <w:rsid w:val="003F5A66"/>
    <w:rsid w:val="003F5E8F"/>
    <w:rsid w:val="003F5E91"/>
    <w:rsid w:val="003F5F6F"/>
    <w:rsid w:val="003F5F98"/>
    <w:rsid w:val="003F5FE6"/>
    <w:rsid w:val="003F610E"/>
    <w:rsid w:val="003F61CB"/>
    <w:rsid w:val="003F628E"/>
    <w:rsid w:val="003F63DB"/>
    <w:rsid w:val="003F65FE"/>
    <w:rsid w:val="003F676D"/>
    <w:rsid w:val="003F67EB"/>
    <w:rsid w:val="003F67FD"/>
    <w:rsid w:val="003F6871"/>
    <w:rsid w:val="003F6964"/>
    <w:rsid w:val="003F6A56"/>
    <w:rsid w:val="003F6A89"/>
    <w:rsid w:val="003F6ABB"/>
    <w:rsid w:val="003F6B79"/>
    <w:rsid w:val="003F6B7B"/>
    <w:rsid w:val="003F6BFD"/>
    <w:rsid w:val="003F6C4A"/>
    <w:rsid w:val="003F6C60"/>
    <w:rsid w:val="003F6C9F"/>
    <w:rsid w:val="003F6CF4"/>
    <w:rsid w:val="003F6E2E"/>
    <w:rsid w:val="003F6ECE"/>
    <w:rsid w:val="003F6FB4"/>
    <w:rsid w:val="003F7187"/>
    <w:rsid w:val="003F71F2"/>
    <w:rsid w:val="003F724E"/>
    <w:rsid w:val="003F73BD"/>
    <w:rsid w:val="003F7472"/>
    <w:rsid w:val="003F7486"/>
    <w:rsid w:val="003F7591"/>
    <w:rsid w:val="003F789C"/>
    <w:rsid w:val="003F79D1"/>
    <w:rsid w:val="003F7A34"/>
    <w:rsid w:val="003F7A89"/>
    <w:rsid w:val="003F7B04"/>
    <w:rsid w:val="003F7B13"/>
    <w:rsid w:val="003F7B5D"/>
    <w:rsid w:val="003F7BBD"/>
    <w:rsid w:val="003F7BF8"/>
    <w:rsid w:val="003F7FE4"/>
    <w:rsid w:val="00400262"/>
    <w:rsid w:val="00400288"/>
    <w:rsid w:val="0040028D"/>
    <w:rsid w:val="00400371"/>
    <w:rsid w:val="00400448"/>
    <w:rsid w:val="004006FC"/>
    <w:rsid w:val="0040072E"/>
    <w:rsid w:val="00400780"/>
    <w:rsid w:val="0040087B"/>
    <w:rsid w:val="004008B5"/>
    <w:rsid w:val="004009E8"/>
    <w:rsid w:val="00400ABE"/>
    <w:rsid w:val="00400AD3"/>
    <w:rsid w:val="00400C96"/>
    <w:rsid w:val="00400D71"/>
    <w:rsid w:val="00400D92"/>
    <w:rsid w:val="00400DC6"/>
    <w:rsid w:val="00400E16"/>
    <w:rsid w:val="00400E94"/>
    <w:rsid w:val="00400ED1"/>
    <w:rsid w:val="00400EE0"/>
    <w:rsid w:val="00401036"/>
    <w:rsid w:val="004010FE"/>
    <w:rsid w:val="00401108"/>
    <w:rsid w:val="004011D6"/>
    <w:rsid w:val="0040120E"/>
    <w:rsid w:val="004012F0"/>
    <w:rsid w:val="00401318"/>
    <w:rsid w:val="00401352"/>
    <w:rsid w:val="00401362"/>
    <w:rsid w:val="004014A4"/>
    <w:rsid w:val="0040154C"/>
    <w:rsid w:val="00401729"/>
    <w:rsid w:val="004019CB"/>
    <w:rsid w:val="00401A18"/>
    <w:rsid w:val="00401ACB"/>
    <w:rsid w:val="00401B51"/>
    <w:rsid w:val="00401C63"/>
    <w:rsid w:val="00401CF0"/>
    <w:rsid w:val="00401D6A"/>
    <w:rsid w:val="00401E76"/>
    <w:rsid w:val="00402029"/>
    <w:rsid w:val="004021D3"/>
    <w:rsid w:val="0040229B"/>
    <w:rsid w:val="00402797"/>
    <w:rsid w:val="0040281C"/>
    <w:rsid w:val="0040289F"/>
    <w:rsid w:val="00402C18"/>
    <w:rsid w:val="00402DF8"/>
    <w:rsid w:val="00403200"/>
    <w:rsid w:val="00403261"/>
    <w:rsid w:val="00403327"/>
    <w:rsid w:val="00403353"/>
    <w:rsid w:val="0040345D"/>
    <w:rsid w:val="0040347C"/>
    <w:rsid w:val="004035D2"/>
    <w:rsid w:val="00403698"/>
    <w:rsid w:val="004037C7"/>
    <w:rsid w:val="00403804"/>
    <w:rsid w:val="00403830"/>
    <w:rsid w:val="00403887"/>
    <w:rsid w:val="004038BB"/>
    <w:rsid w:val="00403A21"/>
    <w:rsid w:val="00403A9C"/>
    <w:rsid w:val="00403AF0"/>
    <w:rsid w:val="00403DA1"/>
    <w:rsid w:val="00403DED"/>
    <w:rsid w:val="00403E04"/>
    <w:rsid w:val="00403E46"/>
    <w:rsid w:val="00403E6D"/>
    <w:rsid w:val="00403EB7"/>
    <w:rsid w:val="00403ED0"/>
    <w:rsid w:val="00403FC2"/>
    <w:rsid w:val="00404041"/>
    <w:rsid w:val="00404220"/>
    <w:rsid w:val="00404319"/>
    <w:rsid w:val="00404341"/>
    <w:rsid w:val="00404359"/>
    <w:rsid w:val="0040439E"/>
    <w:rsid w:val="00404964"/>
    <w:rsid w:val="004049DA"/>
    <w:rsid w:val="00404B49"/>
    <w:rsid w:val="00404BD4"/>
    <w:rsid w:val="00404CA5"/>
    <w:rsid w:val="00404CAF"/>
    <w:rsid w:val="00404D4A"/>
    <w:rsid w:val="00404EEC"/>
    <w:rsid w:val="0040500F"/>
    <w:rsid w:val="0040502B"/>
    <w:rsid w:val="00405298"/>
    <w:rsid w:val="0040538A"/>
    <w:rsid w:val="004053FD"/>
    <w:rsid w:val="0040548B"/>
    <w:rsid w:val="0040552C"/>
    <w:rsid w:val="0040590A"/>
    <w:rsid w:val="00405C2E"/>
    <w:rsid w:val="00405C95"/>
    <w:rsid w:val="00405CBD"/>
    <w:rsid w:val="00405DD2"/>
    <w:rsid w:val="00405E04"/>
    <w:rsid w:val="00405E8F"/>
    <w:rsid w:val="00405F05"/>
    <w:rsid w:val="00405F6A"/>
    <w:rsid w:val="004060A9"/>
    <w:rsid w:val="00406446"/>
    <w:rsid w:val="004064AA"/>
    <w:rsid w:val="00406509"/>
    <w:rsid w:val="004066F5"/>
    <w:rsid w:val="0040690C"/>
    <w:rsid w:val="0040694B"/>
    <w:rsid w:val="00406BBC"/>
    <w:rsid w:val="00406CBC"/>
    <w:rsid w:val="00406CD0"/>
    <w:rsid w:val="00406D00"/>
    <w:rsid w:val="0040737E"/>
    <w:rsid w:val="00407579"/>
    <w:rsid w:val="004077AA"/>
    <w:rsid w:val="00407836"/>
    <w:rsid w:val="0040784E"/>
    <w:rsid w:val="00407864"/>
    <w:rsid w:val="004078D5"/>
    <w:rsid w:val="00407A8F"/>
    <w:rsid w:val="00407B98"/>
    <w:rsid w:val="00407C2C"/>
    <w:rsid w:val="00407CB7"/>
    <w:rsid w:val="00407CBE"/>
    <w:rsid w:val="00407F7C"/>
    <w:rsid w:val="00407FB4"/>
    <w:rsid w:val="004101CF"/>
    <w:rsid w:val="0041043E"/>
    <w:rsid w:val="00410519"/>
    <w:rsid w:val="00410705"/>
    <w:rsid w:val="004108DD"/>
    <w:rsid w:val="00410909"/>
    <w:rsid w:val="004109E4"/>
    <w:rsid w:val="00410A47"/>
    <w:rsid w:val="00410B31"/>
    <w:rsid w:val="00410CD0"/>
    <w:rsid w:val="00410CF2"/>
    <w:rsid w:val="00410E00"/>
    <w:rsid w:val="00410E1C"/>
    <w:rsid w:val="00410E6E"/>
    <w:rsid w:val="00410E87"/>
    <w:rsid w:val="00411028"/>
    <w:rsid w:val="0041121F"/>
    <w:rsid w:val="00411322"/>
    <w:rsid w:val="0041146E"/>
    <w:rsid w:val="004114C6"/>
    <w:rsid w:val="004115C9"/>
    <w:rsid w:val="0041162C"/>
    <w:rsid w:val="00411781"/>
    <w:rsid w:val="0041190D"/>
    <w:rsid w:val="00411B14"/>
    <w:rsid w:val="00411CA2"/>
    <w:rsid w:val="00411CDB"/>
    <w:rsid w:val="00411CDD"/>
    <w:rsid w:val="00411E40"/>
    <w:rsid w:val="00411F00"/>
    <w:rsid w:val="00412012"/>
    <w:rsid w:val="00412033"/>
    <w:rsid w:val="00412100"/>
    <w:rsid w:val="004121ED"/>
    <w:rsid w:val="004123DC"/>
    <w:rsid w:val="00412640"/>
    <w:rsid w:val="004126EE"/>
    <w:rsid w:val="004127E8"/>
    <w:rsid w:val="00412807"/>
    <w:rsid w:val="0041294D"/>
    <w:rsid w:val="00412A31"/>
    <w:rsid w:val="00412CAB"/>
    <w:rsid w:val="00412CF6"/>
    <w:rsid w:val="00412CFD"/>
    <w:rsid w:val="00412DA6"/>
    <w:rsid w:val="00412EAE"/>
    <w:rsid w:val="00412ECB"/>
    <w:rsid w:val="0041308B"/>
    <w:rsid w:val="0041315E"/>
    <w:rsid w:val="00413189"/>
    <w:rsid w:val="00413230"/>
    <w:rsid w:val="004136A9"/>
    <w:rsid w:val="00413809"/>
    <w:rsid w:val="00413909"/>
    <w:rsid w:val="00413B00"/>
    <w:rsid w:val="00413B2F"/>
    <w:rsid w:val="00413BD5"/>
    <w:rsid w:val="00413CBE"/>
    <w:rsid w:val="00413CD7"/>
    <w:rsid w:val="00413D05"/>
    <w:rsid w:val="00413D1A"/>
    <w:rsid w:val="00413D42"/>
    <w:rsid w:val="00413ED4"/>
    <w:rsid w:val="00414159"/>
    <w:rsid w:val="00414279"/>
    <w:rsid w:val="00414327"/>
    <w:rsid w:val="00414466"/>
    <w:rsid w:val="004144E2"/>
    <w:rsid w:val="0041457B"/>
    <w:rsid w:val="004146C1"/>
    <w:rsid w:val="0041481B"/>
    <w:rsid w:val="004148D1"/>
    <w:rsid w:val="004148ED"/>
    <w:rsid w:val="00414B11"/>
    <w:rsid w:val="00414E21"/>
    <w:rsid w:val="00414F04"/>
    <w:rsid w:val="00414F2A"/>
    <w:rsid w:val="00414FDC"/>
    <w:rsid w:val="0041510F"/>
    <w:rsid w:val="00415121"/>
    <w:rsid w:val="004154F0"/>
    <w:rsid w:val="00415506"/>
    <w:rsid w:val="004156A8"/>
    <w:rsid w:val="0041576A"/>
    <w:rsid w:val="004157B9"/>
    <w:rsid w:val="00415911"/>
    <w:rsid w:val="0041591D"/>
    <w:rsid w:val="00415A17"/>
    <w:rsid w:val="00415B37"/>
    <w:rsid w:val="00416055"/>
    <w:rsid w:val="0041631A"/>
    <w:rsid w:val="004163B7"/>
    <w:rsid w:val="0041674E"/>
    <w:rsid w:val="00416762"/>
    <w:rsid w:val="004167B3"/>
    <w:rsid w:val="0041682C"/>
    <w:rsid w:val="004168C0"/>
    <w:rsid w:val="00416975"/>
    <w:rsid w:val="00416B1F"/>
    <w:rsid w:val="00416C1E"/>
    <w:rsid w:val="00416D5A"/>
    <w:rsid w:val="00416E0C"/>
    <w:rsid w:val="004170AE"/>
    <w:rsid w:val="004172D8"/>
    <w:rsid w:val="00417393"/>
    <w:rsid w:val="004173FC"/>
    <w:rsid w:val="00417478"/>
    <w:rsid w:val="00417533"/>
    <w:rsid w:val="004175A3"/>
    <w:rsid w:val="0041760E"/>
    <w:rsid w:val="004176B3"/>
    <w:rsid w:val="004177D7"/>
    <w:rsid w:val="00417913"/>
    <w:rsid w:val="00417BCF"/>
    <w:rsid w:val="00417C90"/>
    <w:rsid w:val="00417CD1"/>
    <w:rsid w:val="00417D2F"/>
    <w:rsid w:val="00417DE5"/>
    <w:rsid w:val="00417DF8"/>
    <w:rsid w:val="00417F25"/>
    <w:rsid w:val="00420041"/>
    <w:rsid w:val="00420057"/>
    <w:rsid w:val="0042009F"/>
    <w:rsid w:val="004202EF"/>
    <w:rsid w:val="00420332"/>
    <w:rsid w:val="00420430"/>
    <w:rsid w:val="004204CC"/>
    <w:rsid w:val="004204F0"/>
    <w:rsid w:val="004204F4"/>
    <w:rsid w:val="00420669"/>
    <w:rsid w:val="0042068C"/>
    <w:rsid w:val="00420801"/>
    <w:rsid w:val="00420924"/>
    <w:rsid w:val="00420A22"/>
    <w:rsid w:val="00420A34"/>
    <w:rsid w:val="00420B4A"/>
    <w:rsid w:val="00420E44"/>
    <w:rsid w:val="00420E56"/>
    <w:rsid w:val="00420E8B"/>
    <w:rsid w:val="00420F7B"/>
    <w:rsid w:val="00421042"/>
    <w:rsid w:val="00421082"/>
    <w:rsid w:val="004211DC"/>
    <w:rsid w:val="0042124F"/>
    <w:rsid w:val="00421351"/>
    <w:rsid w:val="00421389"/>
    <w:rsid w:val="004214A2"/>
    <w:rsid w:val="004214DA"/>
    <w:rsid w:val="00421549"/>
    <w:rsid w:val="00421572"/>
    <w:rsid w:val="00421699"/>
    <w:rsid w:val="004216A0"/>
    <w:rsid w:val="0042180D"/>
    <w:rsid w:val="00421817"/>
    <w:rsid w:val="00421888"/>
    <w:rsid w:val="004218C3"/>
    <w:rsid w:val="00421A0A"/>
    <w:rsid w:val="00421A59"/>
    <w:rsid w:val="00421AAF"/>
    <w:rsid w:val="00421AE7"/>
    <w:rsid w:val="00421B96"/>
    <w:rsid w:val="00421BD3"/>
    <w:rsid w:val="00421C3D"/>
    <w:rsid w:val="00421C7E"/>
    <w:rsid w:val="00421EAF"/>
    <w:rsid w:val="00422117"/>
    <w:rsid w:val="0042228C"/>
    <w:rsid w:val="004222E1"/>
    <w:rsid w:val="00422325"/>
    <w:rsid w:val="004224F1"/>
    <w:rsid w:val="00422541"/>
    <w:rsid w:val="00422679"/>
    <w:rsid w:val="004226C5"/>
    <w:rsid w:val="004226C9"/>
    <w:rsid w:val="00422712"/>
    <w:rsid w:val="004228D8"/>
    <w:rsid w:val="00422A7B"/>
    <w:rsid w:val="00422B3D"/>
    <w:rsid w:val="00422C0F"/>
    <w:rsid w:val="00422C7E"/>
    <w:rsid w:val="00422CC5"/>
    <w:rsid w:val="00422CF6"/>
    <w:rsid w:val="00422DB8"/>
    <w:rsid w:val="00422E1F"/>
    <w:rsid w:val="00422EDD"/>
    <w:rsid w:val="00422F80"/>
    <w:rsid w:val="00422FFF"/>
    <w:rsid w:val="00423059"/>
    <w:rsid w:val="004230B2"/>
    <w:rsid w:val="004230DF"/>
    <w:rsid w:val="00423138"/>
    <w:rsid w:val="00423216"/>
    <w:rsid w:val="0042336F"/>
    <w:rsid w:val="00423414"/>
    <w:rsid w:val="00423613"/>
    <w:rsid w:val="0042384E"/>
    <w:rsid w:val="00423A75"/>
    <w:rsid w:val="00423ABB"/>
    <w:rsid w:val="00423B3B"/>
    <w:rsid w:val="00423CA6"/>
    <w:rsid w:val="00423EA2"/>
    <w:rsid w:val="00423FE5"/>
    <w:rsid w:val="00424058"/>
    <w:rsid w:val="00424123"/>
    <w:rsid w:val="004241FA"/>
    <w:rsid w:val="0042441D"/>
    <w:rsid w:val="00424476"/>
    <w:rsid w:val="00424529"/>
    <w:rsid w:val="00424665"/>
    <w:rsid w:val="004246DB"/>
    <w:rsid w:val="00424707"/>
    <w:rsid w:val="00424853"/>
    <w:rsid w:val="00424861"/>
    <w:rsid w:val="00424A9F"/>
    <w:rsid w:val="00424B84"/>
    <w:rsid w:val="00424BCA"/>
    <w:rsid w:val="00424C7B"/>
    <w:rsid w:val="00424D06"/>
    <w:rsid w:val="00424D2C"/>
    <w:rsid w:val="00424F08"/>
    <w:rsid w:val="00425013"/>
    <w:rsid w:val="00425219"/>
    <w:rsid w:val="0042528D"/>
    <w:rsid w:val="00425370"/>
    <w:rsid w:val="00425374"/>
    <w:rsid w:val="00425594"/>
    <w:rsid w:val="004255E2"/>
    <w:rsid w:val="004256C2"/>
    <w:rsid w:val="00425840"/>
    <w:rsid w:val="004258E3"/>
    <w:rsid w:val="004258F6"/>
    <w:rsid w:val="0042598B"/>
    <w:rsid w:val="004259D7"/>
    <w:rsid w:val="00425A8A"/>
    <w:rsid w:val="00425AB9"/>
    <w:rsid w:val="00425CD7"/>
    <w:rsid w:val="00425EF2"/>
    <w:rsid w:val="00425F14"/>
    <w:rsid w:val="00426078"/>
    <w:rsid w:val="0042608C"/>
    <w:rsid w:val="004262D0"/>
    <w:rsid w:val="0042636C"/>
    <w:rsid w:val="00426385"/>
    <w:rsid w:val="004263C3"/>
    <w:rsid w:val="004263E8"/>
    <w:rsid w:val="00426430"/>
    <w:rsid w:val="00426436"/>
    <w:rsid w:val="00426574"/>
    <w:rsid w:val="004265D6"/>
    <w:rsid w:val="0042661A"/>
    <w:rsid w:val="00426666"/>
    <w:rsid w:val="004266D0"/>
    <w:rsid w:val="00426723"/>
    <w:rsid w:val="00426828"/>
    <w:rsid w:val="00426893"/>
    <w:rsid w:val="004268A7"/>
    <w:rsid w:val="004269F8"/>
    <w:rsid w:val="00426A3A"/>
    <w:rsid w:val="00426A42"/>
    <w:rsid w:val="00426AD4"/>
    <w:rsid w:val="00426AF6"/>
    <w:rsid w:val="00426B60"/>
    <w:rsid w:val="00426CDA"/>
    <w:rsid w:val="00426E00"/>
    <w:rsid w:val="00426EDD"/>
    <w:rsid w:val="00426FFC"/>
    <w:rsid w:val="0042704A"/>
    <w:rsid w:val="004270B5"/>
    <w:rsid w:val="00427287"/>
    <w:rsid w:val="0042743C"/>
    <w:rsid w:val="00427458"/>
    <w:rsid w:val="004276E9"/>
    <w:rsid w:val="004277F6"/>
    <w:rsid w:val="00427884"/>
    <w:rsid w:val="004278D4"/>
    <w:rsid w:val="00427AE2"/>
    <w:rsid w:val="00427C8D"/>
    <w:rsid w:val="00427E7D"/>
    <w:rsid w:val="00427F89"/>
    <w:rsid w:val="00427F96"/>
    <w:rsid w:val="00430131"/>
    <w:rsid w:val="0043013C"/>
    <w:rsid w:val="0043028D"/>
    <w:rsid w:val="004305AE"/>
    <w:rsid w:val="00430790"/>
    <w:rsid w:val="004307D3"/>
    <w:rsid w:val="004307F9"/>
    <w:rsid w:val="0043088A"/>
    <w:rsid w:val="004308EB"/>
    <w:rsid w:val="0043095F"/>
    <w:rsid w:val="00430C83"/>
    <w:rsid w:val="00430D86"/>
    <w:rsid w:val="00430E06"/>
    <w:rsid w:val="00430EF5"/>
    <w:rsid w:val="00430F60"/>
    <w:rsid w:val="00431278"/>
    <w:rsid w:val="004312BB"/>
    <w:rsid w:val="00431379"/>
    <w:rsid w:val="004315B5"/>
    <w:rsid w:val="004319FB"/>
    <w:rsid w:val="00431AFD"/>
    <w:rsid w:val="00431B23"/>
    <w:rsid w:val="00431B26"/>
    <w:rsid w:val="00431BF4"/>
    <w:rsid w:val="00431E3E"/>
    <w:rsid w:val="00431E7E"/>
    <w:rsid w:val="00432097"/>
    <w:rsid w:val="004320AC"/>
    <w:rsid w:val="00432109"/>
    <w:rsid w:val="004321B1"/>
    <w:rsid w:val="004321DC"/>
    <w:rsid w:val="00432347"/>
    <w:rsid w:val="004323D6"/>
    <w:rsid w:val="004323E0"/>
    <w:rsid w:val="004324BB"/>
    <w:rsid w:val="00432529"/>
    <w:rsid w:val="004325F2"/>
    <w:rsid w:val="004326E1"/>
    <w:rsid w:val="0043282D"/>
    <w:rsid w:val="00432831"/>
    <w:rsid w:val="00432841"/>
    <w:rsid w:val="0043284F"/>
    <w:rsid w:val="00432898"/>
    <w:rsid w:val="00432D27"/>
    <w:rsid w:val="00432DA8"/>
    <w:rsid w:val="00432DD1"/>
    <w:rsid w:val="00432EE9"/>
    <w:rsid w:val="00432F10"/>
    <w:rsid w:val="0043300C"/>
    <w:rsid w:val="0043301E"/>
    <w:rsid w:val="00433124"/>
    <w:rsid w:val="00433146"/>
    <w:rsid w:val="00433152"/>
    <w:rsid w:val="00433160"/>
    <w:rsid w:val="004331F3"/>
    <w:rsid w:val="004333D3"/>
    <w:rsid w:val="004334A0"/>
    <w:rsid w:val="0043354B"/>
    <w:rsid w:val="0043357D"/>
    <w:rsid w:val="00433A22"/>
    <w:rsid w:val="00433BB9"/>
    <w:rsid w:val="00433BF2"/>
    <w:rsid w:val="00433C9F"/>
    <w:rsid w:val="00433D90"/>
    <w:rsid w:val="00433DD9"/>
    <w:rsid w:val="00433DDB"/>
    <w:rsid w:val="00433E74"/>
    <w:rsid w:val="00433ED4"/>
    <w:rsid w:val="00433F2C"/>
    <w:rsid w:val="00433FBE"/>
    <w:rsid w:val="0043403E"/>
    <w:rsid w:val="00434050"/>
    <w:rsid w:val="00434241"/>
    <w:rsid w:val="00434250"/>
    <w:rsid w:val="00434373"/>
    <w:rsid w:val="00434392"/>
    <w:rsid w:val="00434399"/>
    <w:rsid w:val="00434516"/>
    <w:rsid w:val="004345CE"/>
    <w:rsid w:val="004346FA"/>
    <w:rsid w:val="00434751"/>
    <w:rsid w:val="004347F9"/>
    <w:rsid w:val="004348AE"/>
    <w:rsid w:val="00434962"/>
    <w:rsid w:val="004349A9"/>
    <w:rsid w:val="00434BD5"/>
    <w:rsid w:val="00434BD8"/>
    <w:rsid w:val="00434C2F"/>
    <w:rsid w:val="00434CE5"/>
    <w:rsid w:val="00434DA9"/>
    <w:rsid w:val="00435134"/>
    <w:rsid w:val="00435322"/>
    <w:rsid w:val="004353A3"/>
    <w:rsid w:val="004353B0"/>
    <w:rsid w:val="004353C2"/>
    <w:rsid w:val="00435523"/>
    <w:rsid w:val="0043573E"/>
    <w:rsid w:val="0043588D"/>
    <w:rsid w:val="0043598D"/>
    <w:rsid w:val="00435AA1"/>
    <w:rsid w:val="00435BBE"/>
    <w:rsid w:val="00435BE9"/>
    <w:rsid w:val="00435DA8"/>
    <w:rsid w:val="00435F53"/>
    <w:rsid w:val="00435F7F"/>
    <w:rsid w:val="00435FA2"/>
    <w:rsid w:val="004360EA"/>
    <w:rsid w:val="00436129"/>
    <w:rsid w:val="00436240"/>
    <w:rsid w:val="004362D9"/>
    <w:rsid w:val="004362E3"/>
    <w:rsid w:val="004362F4"/>
    <w:rsid w:val="004363F8"/>
    <w:rsid w:val="00436524"/>
    <w:rsid w:val="004366D8"/>
    <w:rsid w:val="004367F4"/>
    <w:rsid w:val="004368B5"/>
    <w:rsid w:val="00436988"/>
    <w:rsid w:val="004369C2"/>
    <w:rsid w:val="00436A98"/>
    <w:rsid w:val="00436AA8"/>
    <w:rsid w:val="00436BA2"/>
    <w:rsid w:val="00436CB5"/>
    <w:rsid w:val="00436E5F"/>
    <w:rsid w:val="00436FEE"/>
    <w:rsid w:val="00437083"/>
    <w:rsid w:val="00437227"/>
    <w:rsid w:val="00437280"/>
    <w:rsid w:val="00437444"/>
    <w:rsid w:val="0043752C"/>
    <w:rsid w:val="00437679"/>
    <w:rsid w:val="004376D0"/>
    <w:rsid w:val="004379CD"/>
    <w:rsid w:val="00437B66"/>
    <w:rsid w:val="00437BF7"/>
    <w:rsid w:val="00437CB0"/>
    <w:rsid w:val="00437D36"/>
    <w:rsid w:val="00437E74"/>
    <w:rsid w:val="00437EEF"/>
    <w:rsid w:val="004400B8"/>
    <w:rsid w:val="004402CA"/>
    <w:rsid w:val="004403D2"/>
    <w:rsid w:val="004403EE"/>
    <w:rsid w:val="004404BE"/>
    <w:rsid w:val="004406DA"/>
    <w:rsid w:val="00440812"/>
    <w:rsid w:val="00440837"/>
    <w:rsid w:val="004409CA"/>
    <w:rsid w:val="004409FD"/>
    <w:rsid w:val="00440A0D"/>
    <w:rsid w:val="00440A29"/>
    <w:rsid w:val="00440AE7"/>
    <w:rsid w:val="00440C0F"/>
    <w:rsid w:val="00440D3C"/>
    <w:rsid w:val="00440E56"/>
    <w:rsid w:val="00440E78"/>
    <w:rsid w:val="00440F32"/>
    <w:rsid w:val="00440F7E"/>
    <w:rsid w:val="00441062"/>
    <w:rsid w:val="0044113F"/>
    <w:rsid w:val="00441167"/>
    <w:rsid w:val="004411D6"/>
    <w:rsid w:val="00441247"/>
    <w:rsid w:val="004416C1"/>
    <w:rsid w:val="00441706"/>
    <w:rsid w:val="0044171A"/>
    <w:rsid w:val="004418A2"/>
    <w:rsid w:val="004418F6"/>
    <w:rsid w:val="004419C3"/>
    <w:rsid w:val="004419CB"/>
    <w:rsid w:val="00441BE4"/>
    <w:rsid w:val="00441C05"/>
    <w:rsid w:val="00441D2B"/>
    <w:rsid w:val="00441DD6"/>
    <w:rsid w:val="00441F79"/>
    <w:rsid w:val="0044216A"/>
    <w:rsid w:val="004421E5"/>
    <w:rsid w:val="00442290"/>
    <w:rsid w:val="00442368"/>
    <w:rsid w:val="004423D4"/>
    <w:rsid w:val="0044246A"/>
    <w:rsid w:val="0044248B"/>
    <w:rsid w:val="004424F0"/>
    <w:rsid w:val="0044255B"/>
    <w:rsid w:val="00442597"/>
    <w:rsid w:val="00442611"/>
    <w:rsid w:val="00442685"/>
    <w:rsid w:val="00442858"/>
    <w:rsid w:val="004429F9"/>
    <w:rsid w:val="00442A92"/>
    <w:rsid w:val="00442AE7"/>
    <w:rsid w:val="00442C1A"/>
    <w:rsid w:val="00442C2A"/>
    <w:rsid w:val="00442C2F"/>
    <w:rsid w:val="00442C61"/>
    <w:rsid w:val="00442E34"/>
    <w:rsid w:val="00442EEF"/>
    <w:rsid w:val="00442F46"/>
    <w:rsid w:val="00442FA2"/>
    <w:rsid w:val="00442FDB"/>
    <w:rsid w:val="00442FEE"/>
    <w:rsid w:val="0044308B"/>
    <w:rsid w:val="0044315C"/>
    <w:rsid w:val="004431D8"/>
    <w:rsid w:val="00443286"/>
    <w:rsid w:val="00443385"/>
    <w:rsid w:val="00443690"/>
    <w:rsid w:val="00443694"/>
    <w:rsid w:val="004436D2"/>
    <w:rsid w:val="0044370B"/>
    <w:rsid w:val="00443796"/>
    <w:rsid w:val="0044385C"/>
    <w:rsid w:val="00443A0B"/>
    <w:rsid w:val="00443AB0"/>
    <w:rsid w:val="00443AD9"/>
    <w:rsid w:val="00443CB0"/>
    <w:rsid w:val="00443E9B"/>
    <w:rsid w:val="00444028"/>
    <w:rsid w:val="00444094"/>
    <w:rsid w:val="004440FE"/>
    <w:rsid w:val="004441E2"/>
    <w:rsid w:val="0044423A"/>
    <w:rsid w:val="0044425A"/>
    <w:rsid w:val="00444370"/>
    <w:rsid w:val="004444FE"/>
    <w:rsid w:val="0044456A"/>
    <w:rsid w:val="0044459B"/>
    <w:rsid w:val="004445B7"/>
    <w:rsid w:val="00444616"/>
    <w:rsid w:val="00444718"/>
    <w:rsid w:val="004448B4"/>
    <w:rsid w:val="004448F4"/>
    <w:rsid w:val="00444900"/>
    <w:rsid w:val="00444A3A"/>
    <w:rsid w:val="00444A80"/>
    <w:rsid w:val="00444AE0"/>
    <w:rsid w:val="00444AFD"/>
    <w:rsid w:val="00444B3A"/>
    <w:rsid w:val="00444C29"/>
    <w:rsid w:val="00444CC6"/>
    <w:rsid w:val="00444CDE"/>
    <w:rsid w:val="00444D78"/>
    <w:rsid w:val="00444F34"/>
    <w:rsid w:val="0044504C"/>
    <w:rsid w:val="004451D9"/>
    <w:rsid w:val="00445265"/>
    <w:rsid w:val="004453C3"/>
    <w:rsid w:val="004453F3"/>
    <w:rsid w:val="004454D5"/>
    <w:rsid w:val="0044579C"/>
    <w:rsid w:val="00445857"/>
    <w:rsid w:val="004458E9"/>
    <w:rsid w:val="00445ADB"/>
    <w:rsid w:val="00445AF5"/>
    <w:rsid w:val="00445DA7"/>
    <w:rsid w:val="00445DE6"/>
    <w:rsid w:val="00445DFF"/>
    <w:rsid w:val="00445E4B"/>
    <w:rsid w:val="00445EB3"/>
    <w:rsid w:val="00445F12"/>
    <w:rsid w:val="0044603D"/>
    <w:rsid w:val="004461CC"/>
    <w:rsid w:val="004461F1"/>
    <w:rsid w:val="00446233"/>
    <w:rsid w:val="004462E2"/>
    <w:rsid w:val="004462EA"/>
    <w:rsid w:val="00446300"/>
    <w:rsid w:val="0044630F"/>
    <w:rsid w:val="004463A1"/>
    <w:rsid w:val="004463BE"/>
    <w:rsid w:val="00446473"/>
    <w:rsid w:val="004465C9"/>
    <w:rsid w:val="004465F4"/>
    <w:rsid w:val="00446735"/>
    <w:rsid w:val="0044697C"/>
    <w:rsid w:val="00446AA7"/>
    <w:rsid w:val="00446AB8"/>
    <w:rsid w:val="00446B8C"/>
    <w:rsid w:val="00446C63"/>
    <w:rsid w:val="00446C8E"/>
    <w:rsid w:val="00446D6F"/>
    <w:rsid w:val="00446E55"/>
    <w:rsid w:val="00446E69"/>
    <w:rsid w:val="00446F42"/>
    <w:rsid w:val="004470C3"/>
    <w:rsid w:val="0044718F"/>
    <w:rsid w:val="004471EA"/>
    <w:rsid w:val="0044726B"/>
    <w:rsid w:val="004472C0"/>
    <w:rsid w:val="00447443"/>
    <w:rsid w:val="0044746A"/>
    <w:rsid w:val="00447613"/>
    <w:rsid w:val="00447673"/>
    <w:rsid w:val="004478E1"/>
    <w:rsid w:val="00447A77"/>
    <w:rsid w:val="00447AFD"/>
    <w:rsid w:val="00447B35"/>
    <w:rsid w:val="00447C3D"/>
    <w:rsid w:val="00447C7D"/>
    <w:rsid w:val="00447E2E"/>
    <w:rsid w:val="00447E4B"/>
    <w:rsid w:val="00450117"/>
    <w:rsid w:val="004501B8"/>
    <w:rsid w:val="004502C2"/>
    <w:rsid w:val="004502D5"/>
    <w:rsid w:val="00450320"/>
    <w:rsid w:val="004504F3"/>
    <w:rsid w:val="00450528"/>
    <w:rsid w:val="004507C2"/>
    <w:rsid w:val="00450A09"/>
    <w:rsid w:val="00450B19"/>
    <w:rsid w:val="00450B66"/>
    <w:rsid w:val="00450BAE"/>
    <w:rsid w:val="00450C3B"/>
    <w:rsid w:val="00450CE1"/>
    <w:rsid w:val="00450D81"/>
    <w:rsid w:val="00450E88"/>
    <w:rsid w:val="00451341"/>
    <w:rsid w:val="0045176F"/>
    <w:rsid w:val="0045184D"/>
    <w:rsid w:val="0045189D"/>
    <w:rsid w:val="004519EA"/>
    <w:rsid w:val="00451A3E"/>
    <w:rsid w:val="00451B27"/>
    <w:rsid w:val="00451C9F"/>
    <w:rsid w:val="00451CE1"/>
    <w:rsid w:val="00451D7F"/>
    <w:rsid w:val="00451E07"/>
    <w:rsid w:val="00451EDB"/>
    <w:rsid w:val="00451F6F"/>
    <w:rsid w:val="00451FD9"/>
    <w:rsid w:val="00452002"/>
    <w:rsid w:val="004520D3"/>
    <w:rsid w:val="00452299"/>
    <w:rsid w:val="0045241D"/>
    <w:rsid w:val="0045243D"/>
    <w:rsid w:val="00452452"/>
    <w:rsid w:val="00452541"/>
    <w:rsid w:val="00452599"/>
    <w:rsid w:val="004525C9"/>
    <w:rsid w:val="004525EC"/>
    <w:rsid w:val="00452700"/>
    <w:rsid w:val="0045286B"/>
    <w:rsid w:val="004528DD"/>
    <w:rsid w:val="004529A9"/>
    <w:rsid w:val="004529B0"/>
    <w:rsid w:val="00452A17"/>
    <w:rsid w:val="00452C0F"/>
    <w:rsid w:val="00452C4A"/>
    <w:rsid w:val="00452CEA"/>
    <w:rsid w:val="00452E9C"/>
    <w:rsid w:val="00452F13"/>
    <w:rsid w:val="00453178"/>
    <w:rsid w:val="00453192"/>
    <w:rsid w:val="00453232"/>
    <w:rsid w:val="00453238"/>
    <w:rsid w:val="00453358"/>
    <w:rsid w:val="00453364"/>
    <w:rsid w:val="004533B9"/>
    <w:rsid w:val="00453408"/>
    <w:rsid w:val="0045341C"/>
    <w:rsid w:val="004534A2"/>
    <w:rsid w:val="00453516"/>
    <w:rsid w:val="004535D7"/>
    <w:rsid w:val="0045360C"/>
    <w:rsid w:val="004536D4"/>
    <w:rsid w:val="0045373E"/>
    <w:rsid w:val="0045375F"/>
    <w:rsid w:val="00453893"/>
    <w:rsid w:val="00453925"/>
    <w:rsid w:val="00453969"/>
    <w:rsid w:val="00453970"/>
    <w:rsid w:val="00453B1B"/>
    <w:rsid w:val="00453CD7"/>
    <w:rsid w:val="00453D59"/>
    <w:rsid w:val="00453E45"/>
    <w:rsid w:val="00453ED9"/>
    <w:rsid w:val="00453F2E"/>
    <w:rsid w:val="00453FBA"/>
    <w:rsid w:val="004541A8"/>
    <w:rsid w:val="004541B6"/>
    <w:rsid w:val="004541C5"/>
    <w:rsid w:val="004542A1"/>
    <w:rsid w:val="004544A0"/>
    <w:rsid w:val="00454563"/>
    <w:rsid w:val="00454610"/>
    <w:rsid w:val="00454635"/>
    <w:rsid w:val="0045469F"/>
    <w:rsid w:val="00454711"/>
    <w:rsid w:val="004547A4"/>
    <w:rsid w:val="004548C2"/>
    <w:rsid w:val="00454B04"/>
    <w:rsid w:val="00454B73"/>
    <w:rsid w:val="00454D00"/>
    <w:rsid w:val="00454FC8"/>
    <w:rsid w:val="00454FF1"/>
    <w:rsid w:val="00455083"/>
    <w:rsid w:val="00455090"/>
    <w:rsid w:val="00455122"/>
    <w:rsid w:val="00455163"/>
    <w:rsid w:val="00455230"/>
    <w:rsid w:val="00455268"/>
    <w:rsid w:val="004552F8"/>
    <w:rsid w:val="00455369"/>
    <w:rsid w:val="004554E5"/>
    <w:rsid w:val="004555EB"/>
    <w:rsid w:val="004556A5"/>
    <w:rsid w:val="004557BD"/>
    <w:rsid w:val="0045580A"/>
    <w:rsid w:val="00455837"/>
    <w:rsid w:val="00455864"/>
    <w:rsid w:val="00455896"/>
    <w:rsid w:val="004559BC"/>
    <w:rsid w:val="004559CE"/>
    <w:rsid w:val="00455A32"/>
    <w:rsid w:val="00455BB9"/>
    <w:rsid w:val="00455C88"/>
    <w:rsid w:val="00455CAF"/>
    <w:rsid w:val="00455F03"/>
    <w:rsid w:val="00456111"/>
    <w:rsid w:val="0045615D"/>
    <w:rsid w:val="004561DD"/>
    <w:rsid w:val="004561FC"/>
    <w:rsid w:val="00456281"/>
    <w:rsid w:val="0045635B"/>
    <w:rsid w:val="004563D8"/>
    <w:rsid w:val="004563F0"/>
    <w:rsid w:val="0045642A"/>
    <w:rsid w:val="00456602"/>
    <w:rsid w:val="00456701"/>
    <w:rsid w:val="004568FF"/>
    <w:rsid w:val="0045697A"/>
    <w:rsid w:val="004569F1"/>
    <w:rsid w:val="00456B8E"/>
    <w:rsid w:val="00456C0D"/>
    <w:rsid w:val="00456C0E"/>
    <w:rsid w:val="00456C3E"/>
    <w:rsid w:val="00456D2E"/>
    <w:rsid w:val="00456ED2"/>
    <w:rsid w:val="00456FD2"/>
    <w:rsid w:val="0045708C"/>
    <w:rsid w:val="004570A7"/>
    <w:rsid w:val="0045710A"/>
    <w:rsid w:val="004571CF"/>
    <w:rsid w:val="004571E1"/>
    <w:rsid w:val="00457262"/>
    <w:rsid w:val="004574A6"/>
    <w:rsid w:val="004574AD"/>
    <w:rsid w:val="00457503"/>
    <w:rsid w:val="00457542"/>
    <w:rsid w:val="004575B1"/>
    <w:rsid w:val="00457AFB"/>
    <w:rsid w:val="00457B27"/>
    <w:rsid w:val="00457BC2"/>
    <w:rsid w:val="00457CF8"/>
    <w:rsid w:val="00457CFE"/>
    <w:rsid w:val="00457D1D"/>
    <w:rsid w:val="00457E6A"/>
    <w:rsid w:val="0046000C"/>
    <w:rsid w:val="00460091"/>
    <w:rsid w:val="004600FD"/>
    <w:rsid w:val="0046014B"/>
    <w:rsid w:val="0046035D"/>
    <w:rsid w:val="004604C6"/>
    <w:rsid w:val="004604EB"/>
    <w:rsid w:val="0046056F"/>
    <w:rsid w:val="004605A0"/>
    <w:rsid w:val="0046065E"/>
    <w:rsid w:val="004606A2"/>
    <w:rsid w:val="004607AE"/>
    <w:rsid w:val="00460847"/>
    <w:rsid w:val="004609C6"/>
    <w:rsid w:val="00460AF5"/>
    <w:rsid w:val="00460B8C"/>
    <w:rsid w:val="00460C28"/>
    <w:rsid w:val="00460D64"/>
    <w:rsid w:val="00460E39"/>
    <w:rsid w:val="00460E50"/>
    <w:rsid w:val="00460F13"/>
    <w:rsid w:val="00460F8E"/>
    <w:rsid w:val="00461097"/>
    <w:rsid w:val="004610C4"/>
    <w:rsid w:val="004611DA"/>
    <w:rsid w:val="0046135C"/>
    <w:rsid w:val="004615AD"/>
    <w:rsid w:val="00461632"/>
    <w:rsid w:val="004616D8"/>
    <w:rsid w:val="00461720"/>
    <w:rsid w:val="0046173D"/>
    <w:rsid w:val="004618ED"/>
    <w:rsid w:val="004619BB"/>
    <w:rsid w:val="00461B09"/>
    <w:rsid w:val="00461CDB"/>
    <w:rsid w:val="00461D56"/>
    <w:rsid w:val="00461E5D"/>
    <w:rsid w:val="00461E77"/>
    <w:rsid w:val="004620EA"/>
    <w:rsid w:val="00462105"/>
    <w:rsid w:val="0046213D"/>
    <w:rsid w:val="004622A0"/>
    <w:rsid w:val="0046231F"/>
    <w:rsid w:val="00462404"/>
    <w:rsid w:val="00462419"/>
    <w:rsid w:val="00462588"/>
    <w:rsid w:val="00462810"/>
    <w:rsid w:val="0046294A"/>
    <w:rsid w:val="00462952"/>
    <w:rsid w:val="00462984"/>
    <w:rsid w:val="00462B03"/>
    <w:rsid w:val="00462B2B"/>
    <w:rsid w:val="00463034"/>
    <w:rsid w:val="004630C5"/>
    <w:rsid w:val="004630E5"/>
    <w:rsid w:val="00463223"/>
    <w:rsid w:val="0046322B"/>
    <w:rsid w:val="00463596"/>
    <w:rsid w:val="004635FC"/>
    <w:rsid w:val="004636FD"/>
    <w:rsid w:val="0046373E"/>
    <w:rsid w:val="00463843"/>
    <w:rsid w:val="004638A7"/>
    <w:rsid w:val="00463949"/>
    <w:rsid w:val="00463A1B"/>
    <w:rsid w:val="00463A27"/>
    <w:rsid w:val="00463B4F"/>
    <w:rsid w:val="00463BC4"/>
    <w:rsid w:val="00463D53"/>
    <w:rsid w:val="004640BB"/>
    <w:rsid w:val="00464103"/>
    <w:rsid w:val="004641BF"/>
    <w:rsid w:val="0046431A"/>
    <w:rsid w:val="00464403"/>
    <w:rsid w:val="00464422"/>
    <w:rsid w:val="00464613"/>
    <w:rsid w:val="0046461F"/>
    <w:rsid w:val="00464631"/>
    <w:rsid w:val="0046476F"/>
    <w:rsid w:val="004647CC"/>
    <w:rsid w:val="004647EB"/>
    <w:rsid w:val="004648AF"/>
    <w:rsid w:val="0046499B"/>
    <w:rsid w:val="004649C8"/>
    <w:rsid w:val="00464AEC"/>
    <w:rsid w:val="00464C91"/>
    <w:rsid w:val="00464DE8"/>
    <w:rsid w:val="00464EA6"/>
    <w:rsid w:val="00464FB7"/>
    <w:rsid w:val="00465019"/>
    <w:rsid w:val="00465036"/>
    <w:rsid w:val="00465053"/>
    <w:rsid w:val="00465095"/>
    <w:rsid w:val="004650D2"/>
    <w:rsid w:val="00465116"/>
    <w:rsid w:val="004653A5"/>
    <w:rsid w:val="00465408"/>
    <w:rsid w:val="00465410"/>
    <w:rsid w:val="00465436"/>
    <w:rsid w:val="0046559C"/>
    <w:rsid w:val="0046566C"/>
    <w:rsid w:val="00465719"/>
    <w:rsid w:val="004657BC"/>
    <w:rsid w:val="0046581D"/>
    <w:rsid w:val="00465848"/>
    <w:rsid w:val="00465ADC"/>
    <w:rsid w:val="00465ADE"/>
    <w:rsid w:val="00465B48"/>
    <w:rsid w:val="00465C4C"/>
    <w:rsid w:val="00465CC3"/>
    <w:rsid w:val="00465CE1"/>
    <w:rsid w:val="00465D33"/>
    <w:rsid w:val="00465DB1"/>
    <w:rsid w:val="00465E82"/>
    <w:rsid w:val="00465F37"/>
    <w:rsid w:val="00465F69"/>
    <w:rsid w:val="0046605F"/>
    <w:rsid w:val="00466327"/>
    <w:rsid w:val="00466535"/>
    <w:rsid w:val="00466563"/>
    <w:rsid w:val="004665CB"/>
    <w:rsid w:val="0046667A"/>
    <w:rsid w:val="00466726"/>
    <w:rsid w:val="00466872"/>
    <w:rsid w:val="004668C6"/>
    <w:rsid w:val="00466A9F"/>
    <w:rsid w:val="00466B92"/>
    <w:rsid w:val="00466C5D"/>
    <w:rsid w:val="00466CB0"/>
    <w:rsid w:val="00466DEA"/>
    <w:rsid w:val="00466E76"/>
    <w:rsid w:val="00466F93"/>
    <w:rsid w:val="00467030"/>
    <w:rsid w:val="00467074"/>
    <w:rsid w:val="004672C6"/>
    <w:rsid w:val="004672E7"/>
    <w:rsid w:val="004672F5"/>
    <w:rsid w:val="00467473"/>
    <w:rsid w:val="00467568"/>
    <w:rsid w:val="004675BC"/>
    <w:rsid w:val="0046776F"/>
    <w:rsid w:val="00467779"/>
    <w:rsid w:val="004677F2"/>
    <w:rsid w:val="00467BFD"/>
    <w:rsid w:val="00467C57"/>
    <w:rsid w:val="00467CBE"/>
    <w:rsid w:val="00470148"/>
    <w:rsid w:val="00470604"/>
    <w:rsid w:val="00470781"/>
    <w:rsid w:val="00470AD9"/>
    <w:rsid w:val="00470C6A"/>
    <w:rsid w:val="00470D42"/>
    <w:rsid w:val="00470D8E"/>
    <w:rsid w:val="00470E88"/>
    <w:rsid w:val="00470ED7"/>
    <w:rsid w:val="004710B3"/>
    <w:rsid w:val="004710B8"/>
    <w:rsid w:val="004710F5"/>
    <w:rsid w:val="00471103"/>
    <w:rsid w:val="00471174"/>
    <w:rsid w:val="00471182"/>
    <w:rsid w:val="0047122E"/>
    <w:rsid w:val="0047130F"/>
    <w:rsid w:val="00471335"/>
    <w:rsid w:val="004714A1"/>
    <w:rsid w:val="00471526"/>
    <w:rsid w:val="00471752"/>
    <w:rsid w:val="00471838"/>
    <w:rsid w:val="0047184C"/>
    <w:rsid w:val="004718B7"/>
    <w:rsid w:val="00471A6F"/>
    <w:rsid w:val="00471B15"/>
    <w:rsid w:val="00471B20"/>
    <w:rsid w:val="00471BC8"/>
    <w:rsid w:val="00471C45"/>
    <w:rsid w:val="00471CFF"/>
    <w:rsid w:val="00471E00"/>
    <w:rsid w:val="00471E7C"/>
    <w:rsid w:val="00471EF8"/>
    <w:rsid w:val="00471F19"/>
    <w:rsid w:val="00471FBC"/>
    <w:rsid w:val="00472097"/>
    <w:rsid w:val="00472491"/>
    <w:rsid w:val="0047251C"/>
    <w:rsid w:val="004725D1"/>
    <w:rsid w:val="0047263C"/>
    <w:rsid w:val="00472710"/>
    <w:rsid w:val="0047289A"/>
    <w:rsid w:val="0047296F"/>
    <w:rsid w:val="004729EB"/>
    <w:rsid w:val="00472ADB"/>
    <w:rsid w:val="00472C70"/>
    <w:rsid w:val="00472D3C"/>
    <w:rsid w:val="00472DBF"/>
    <w:rsid w:val="00472E06"/>
    <w:rsid w:val="00472EB8"/>
    <w:rsid w:val="00473115"/>
    <w:rsid w:val="004732BE"/>
    <w:rsid w:val="004734B5"/>
    <w:rsid w:val="004734C5"/>
    <w:rsid w:val="004735BE"/>
    <w:rsid w:val="004736F0"/>
    <w:rsid w:val="00473982"/>
    <w:rsid w:val="004739D9"/>
    <w:rsid w:val="00473BBB"/>
    <w:rsid w:val="00473D35"/>
    <w:rsid w:val="00473F01"/>
    <w:rsid w:val="00474020"/>
    <w:rsid w:val="00474059"/>
    <w:rsid w:val="0047405D"/>
    <w:rsid w:val="00474211"/>
    <w:rsid w:val="00474263"/>
    <w:rsid w:val="004742C5"/>
    <w:rsid w:val="004744A5"/>
    <w:rsid w:val="004744B5"/>
    <w:rsid w:val="004744B8"/>
    <w:rsid w:val="00474521"/>
    <w:rsid w:val="0047456B"/>
    <w:rsid w:val="0047459D"/>
    <w:rsid w:val="00474703"/>
    <w:rsid w:val="00474903"/>
    <w:rsid w:val="004749E9"/>
    <w:rsid w:val="00474A63"/>
    <w:rsid w:val="00474ABD"/>
    <w:rsid w:val="00474B0C"/>
    <w:rsid w:val="00474B20"/>
    <w:rsid w:val="00474C6D"/>
    <w:rsid w:val="00474C8A"/>
    <w:rsid w:val="00474CC9"/>
    <w:rsid w:val="00474D28"/>
    <w:rsid w:val="00474D4C"/>
    <w:rsid w:val="00475073"/>
    <w:rsid w:val="00475075"/>
    <w:rsid w:val="00475134"/>
    <w:rsid w:val="00475136"/>
    <w:rsid w:val="00475178"/>
    <w:rsid w:val="004751AE"/>
    <w:rsid w:val="004753AE"/>
    <w:rsid w:val="004754C6"/>
    <w:rsid w:val="004754DB"/>
    <w:rsid w:val="00475650"/>
    <w:rsid w:val="004756DF"/>
    <w:rsid w:val="004757F1"/>
    <w:rsid w:val="00475B58"/>
    <w:rsid w:val="00475B7B"/>
    <w:rsid w:val="00475B95"/>
    <w:rsid w:val="00475C54"/>
    <w:rsid w:val="00475C5B"/>
    <w:rsid w:val="00475CD7"/>
    <w:rsid w:val="00475E37"/>
    <w:rsid w:val="00475E8E"/>
    <w:rsid w:val="00475F4D"/>
    <w:rsid w:val="00475F82"/>
    <w:rsid w:val="00476043"/>
    <w:rsid w:val="0047604D"/>
    <w:rsid w:val="0047607B"/>
    <w:rsid w:val="00476089"/>
    <w:rsid w:val="0047608F"/>
    <w:rsid w:val="0047609F"/>
    <w:rsid w:val="0047640C"/>
    <w:rsid w:val="004764EA"/>
    <w:rsid w:val="0047658F"/>
    <w:rsid w:val="004765B7"/>
    <w:rsid w:val="0047663F"/>
    <w:rsid w:val="0047665E"/>
    <w:rsid w:val="0047676F"/>
    <w:rsid w:val="0047697A"/>
    <w:rsid w:val="004769B1"/>
    <w:rsid w:val="00476AAF"/>
    <w:rsid w:val="00476BA2"/>
    <w:rsid w:val="00476BD2"/>
    <w:rsid w:val="00476D05"/>
    <w:rsid w:val="00476D7C"/>
    <w:rsid w:val="00476E06"/>
    <w:rsid w:val="00476E62"/>
    <w:rsid w:val="00476F15"/>
    <w:rsid w:val="00476F96"/>
    <w:rsid w:val="00476FC0"/>
    <w:rsid w:val="00476FEF"/>
    <w:rsid w:val="00477049"/>
    <w:rsid w:val="004770AC"/>
    <w:rsid w:val="0047716B"/>
    <w:rsid w:val="00477220"/>
    <w:rsid w:val="00477479"/>
    <w:rsid w:val="004777B9"/>
    <w:rsid w:val="0047785C"/>
    <w:rsid w:val="00477A31"/>
    <w:rsid w:val="00477ADA"/>
    <w:rsid w:val="00477D53"/>
    <w:rsid w:val="00477D84"/>
    <w:rsid w:val="00477E3F"/>
    <w:rsid w:val="00477FE3"/>
    <w:rsid w:val="004800A4"/>
    <w:rsid w:val="004800AA"/>
    <w:rsid w:val="004800F7"/>
    <w:rsid w:val="00480185"/>
    <w:rsid w:val="004805E1"/>
    <w:rsid w:val="00480646"/>
    <w:rsid w:val="00480653"/>
    <w:rsid w:val="0048069E"/>
    <w:rsid w:val="00480833"/>
    <w:rsid w:val="004808D4"/>
    <w:rsid w:val="0048093C"/>
    <w:rsid w:val="00480A24"/>
    <w:rsid w:val="00480B73"/>
    <w:rsid w:val="00480BE5"/>
    <w:rsid w:val="00480CD5"/>
    <w:rsid w:val="00480E67"/>
    <w:rsid w:val="00480FA4"/>
    <w:rsid w:val="0048105C"/>
    <w:rsid w:val="004811B0"/>
    <w:rsid w:val="004811F5"/>
    <w:rsid w:val="00481295"/>
    <w:rsid w:val="0048139C"/>
    <w:rsid w:val="004813E6"/>
    <w:rsid w:val="00481677"/>
    <w:rsid w:val="004816DC"/>
    <w:rsid w:val="004818A1"/>
    <w:rsid w:val="004818F2"/>
    <w:rsid w:val="004819A8"/>
    <w:rsid w:val="00481A2F"/>
    <w:rsid w:val="00481C3C"/>
    <w:rsid w:val="00481C6C"/>
    <w:rsid w:val="00481D4E"/>
    <w:rsid w:val="00481DF6"/>
    <w:rsid w:val="00481E17"/>
    <w:rsid w:val="004820E2"/>
    <w:rsid w:val="0048213E"/>
    <w:rsid w:val="00482144"/>
    <w:rsid w:val="004822BF"/>
    <w:rsid w:val="0048240C"/>
    <w:rsid w:val="0048246C"/>
    <w:rsid w:val="004825A6"/>
    <w:rsid w:val="0048290B"/>
    <w:rsid w:val="00482A78"/>
    <w:rsid w:val="00482AD1"/>
    <w:rsid w:val="00482C62"/>
    <w:rsid w:val="00482EBF"/>
    <w:rsid w:val="00483049"/>
    <w:rsid w:val="004831B8"/>
    <w:rsid w:val="0048337A"/>
    <w:rsid w:val="004833F1"/>
    <w:rsid w:val="00483438"/>
    <w:rsid w:val="004834AB"/>
    <w:rsid w:val="0048356E"/>
    <w:rsid w:val="00483591"/>
    <w:rsid w:val="0048368F"/>
    <w:rsid w:val="0048369C"/>
    <w:rsid w:val="00483747"/>
    <w:rsid w:val="0048379D"/>
    <w:rsid w:val="004837F1"/>
    <w:rsid w:val="00483831"/>
    <w:rsid w:val="00483849"/>
    <w:rsid w:val="0048398A"/>
    <w:rsid w:val="00483B26"/>
    <w:rsid w:val="00483B92"/>
    <w:rsid w:val="00483BCC"/>
    <w:rsid w:val="00483CC9"/>
    <w:rsid w:val="00483D1A"/>
    <w:rsid w:val="00483FD6"/>
    <w:rsid w:val="0048401E"/>
    <w:rsid w:val="00484297"/>
    <w:rsid w:val="004842C8"/>
    <w:rsid w:val="00484531"/>
    <w:rsid w:val="00484A2C"/>
    <w:rsid w:val="00484ABF"/>
    <w:rsid w:val="00484ACE"/>
    <w:rsid w:val="00484B4C"/>
    <w:rsid w:val="00484C70"/>
    <w:rsid w:val="00484C8F"/>
    <w:rsid w:val="00484C9A"/>
    <w:rsid w:val="00484DB5"/>
    <w:rsid w:val="00484F59"/>
    <w:rsid w:val="00484FA2"/>
    <w:rsid w:val="00485109"/>
    <w:rsid w:val="00485236"/>
    <w:rsid w:val="00485285"/>
    <w:rsid w:val="004853F8"/>
    <w:rsid w:val="00485469"/>
    <w:rsid w:val="0048550F"/>
    <w:rsid w:val="00485527"/>
    <w:rsid w:val="00485565"/>
    <w:rsid w:val="00485569"/>
    <w:rsid w:val="0048563B"/>
    <w:rsid w:val="00485793"/>
    <w:rsid w:val="0048586B"/>
    <w:rsid w:val="004858CD"/>
    <w:rsid w:val="00485A0E"/>
    <w:rsid w:val="00485C29"/>
    <w:rsid w:val="00485DBC"/>
    <w:rsid w:val="00485E9D"/>
    <w:rsid w:val="00485ECD"/>
    <w:rsid w:val="00485F24"/>
    <w:rsid w:val="00485F27"/>
    <w:rsid w:val="004860A0"/>
    <w:rsid w:val="00486293"/>
    <w:rsid w:val="004863D4"/>
    <w:rsid w:val="004863EC"/>
    <w:rsid w:val="004864BA"/>
    <w:rsid w:val="004864C2"/>
    <w:rsid w:val="004865C4"/>
    <w:rsid w:val="004867AC"/>
    <w:rsid w:val="004867C5"/>
    <w:rsid w:val="004867EE"/>
    <w:rsid w:val="00486856"/>
    <w:rsid w:val="004869D7"/>
    <w:rsid w:val="004869E5"/>
    <w:rsid w:val="00486AB0"/>
    <w:rsid w:val="00486F3F"/>
    <w:rsid w:val="00486FB2"/>
    <w:rsid w:val="00486FE1"/>
    <w:rsid w:val="00487054"/>
    <w:rsid w:val="00487059"/>
    <w:rsid w:val="00487173"/>
    <w:rsid w:val="004871BF"/>
    <w:rsid w:val="0048741E"/>
    <w:rsid w:val="004876F7"/>
    <w:rsid w:val="00487789"/>
    <w:rsid w:val="0048785E"/>
    <w:rsid w:val="00487904"/>
    <w:rsid w:val="004879FA"/>
    <w:rsid w:val="00487A8F"/>
    <w:rsid w:val="00487A9C"/>
    <w:rsid w:val="00487ADB"/>
    <w:rsid w:val="00487B3D"/>
    <w:rsid w:val="00487B47"/>
    <w:rsid w:val="00487BC1"/>
    <w:rsid w:val="00487DA6"/>
    <w:rsid w:val="00487F35"/>
    <w:rsid w:val="00487F52"/>
    <w:rsid w:val="004900A0"/>
    <w:rsid w:val="0049015A"/>
    <w:rsid w:val="004901F4"/>
    <w:rsid w:val="0049026B"/>
    <w:rsid w:val="0049037E"/>
    <w:rsid w:val="004903EC"/>
    <w:rsid w:val="004904FC"/>
    <w:rsid w:val="004906C8"/>
    <w:rsid w:val="004906EC"/>
    <w:rsid w:val="0049098C"/>
    <w:rsid w:val="00490991"/>
    <w:rsid w:val="004909EC"/>
    <w:rsid w:val="00490CC5"/>
    <w:rsid w:val="00490CF3"/>
    <w:rsid w:val="00490D0C"/>
    <w:rsid w:val="00490D89"/>
    <w:rsid w:val="00490E81"/>
    <w:rsid w:val="00490F40"/>
    <w:rsid w:val="00490F66"/>
    <w:rsid w:val="00491054"/>
    <w:rsid w:val="00491119"/>
    <w:rsid w:val="004912E8"/>
    <w:rsid w:val="004912EF"/>
    <w:rsid w:val="00491379"/>
    <w:rsid w:val="004916A1"/>
    <w:rsid w:val="00491709"/>
    <w:rsid w:val="00491779"/>
    <w:rsid w:val="004917A5"/>
    <w:rsid w:val="004917D4"/>
    <w:rsid w:val="0049185E"/>
    <w:rsid w:val="00491962"/>
    <w:rsid w:val="004919AD"/>
    <w:rsid w:val="004919ED"/>
    <w:rsid w:val="00491A19"/>
    <w:rsid w:val="00491A47"/>
    <w:rsid w:val="00491C76"/>
    <w:rsid w:val="00491D67"/>
    <w:rsid w:val="00491E7A"/>
    <w:rsid w:val="004921BF"/>
    <w:rsid w:val="004922E4"/>
    <w:rsid w:val="0049232F"/>
    <w:rsid w:val="00492662"/>
    <w:rsid w:val="004926E3"/>
    <w:rsid w:val="00492700"/>
    <w:rsid w:val="00492A83"/>
    <w:rsid w:val="00492ABD"/>
    <w:rsid w:val="00492AD0"/>
    <w:rsid w:val="00492E37"/>
    <w:rsid w:val="00492E92"/>
    <w:rsid w:val="00492FCB"/>
    <w:rsid w:val="00493010"/>
    <w:rsid w:val="00493058"/>
    <w:rsid w:val="00493075"/>
    <w:rsid w:val="004930B7"/>
    <w:rsid w:val="004931AA"/>
    <w:rsid w:val="0049329F"/>
    <w:rsid w:val="0049336E"/>
    <w:rsid w:val="00493485"/>
    <w:rsid w:val="00493872"/>
    <w:rsid w:val="00493899"/>
    <w:rsid w:val="004938D1"/>
    <w:rsid w:val="00493910"/>
    <w:rsid w:val="0049391B"/>
    <w:rsid w:val="004939DA"/>
    <w:rsid w:val="004939F3"/>
    <w:rsid w:val="00493AE3"/>
    <w:rsid w:val="00493B59"/>
    <w:rsid w:val="00493BE6"/>
    <w:rsid w:val="00493D50"/>
    <w:rsid w:val="00493E83"/>
    <w:rsid w:val="00493F92"/>
    <w:rsid w:val="00494414"/>
    <w:rsid w:val="00494543"/>
    <w:rsid w:val="00494589"/>
    <w:rsid w:val="00494611"/>
    <w:rsid w:val="004946DB"/>
    <w:rsid w:val="00494781"/>
    <w:rsid w:val="004947DA"/>
    <w:rsid w:val="00494C31"/>
    <w:rsid w:val="00494CDA"/>
    <w:rsid w:val="00494EAE"/>
    <w:rsid w:val="00494FF3"/>
    <w:rsid w:val="00495088"/>
    <w:rsid w:val="004950B1"/>
    <w:rsid w:val="00495104"/>
    <w:rsid w:val="0049517B"/>
    <w:rsid w:val="00495192"/>
    <w:rsid w:val="004951A8"/>
    <w:rsid w:val="0049549A"/>
    <w:rsid w:val="004954C2"/>
    <w:rsid w:val="004954D8"/>
    <w:rsid w:val="0049556A"/>
    <w:rsid w:val="0049569E"/>
    <w:rsid w:val="00495763"/>
    <w:rsid w:val="0049576F"/>
    <w:rsid w:val="004957A8"/>
    <w:rsid w:val="00495809"/>
    <w:rsid w:val="00495832"/>
    <w:rsid w:val="004958B3"/>
    <w:rsid w:val="00495A0D"/>
    <w:rsid w:val="00495A97"/>
    <w:rsid w:val="00495BF1"/>
    <w:rsid w:val="00495CEE"/>
    <w:rsid w:val="00495D64"/>
    <w:rsid w:val="00495D6D"/>
    <w:rsid w:val="00495E70"/>
    <w:rsid w:val="00496135"/>
    <w:rsid w:val="0049620E"/>
    <w:rsid w:val="0049621E"/>
    <w:rsid w:val="004962E7"/>
    <w:rsid w:val="00496322"/>
    <w:rsid w:val="00496453"/>
    <w:rsid w:val="0049646D"/>
    <w:rsid w:val="004964C0"/>
    <w:rsid w:val="00496569"/>
    <w:rsid w:val="00496797"/>
    <w:rsid w:val="004967A2"/>
    <w:rsid w:val="004967DA"/>
    <w:rsid w:val="004967DC"/>
    <w:rsid w:val="004968C1"/>
    <w:rsid w:val="00496994"/>
    <w:rsid w:val="004969BB"/>
    <w:rsid w:val="004969E5"/>
    <w:rsid w:val="00496AC4"/>
    <w:rsid w:val="00496D27"/>
    <w:rsid w:val="00496DB6"/>
    <w:rsid w:val="00496DBC"/>
    <w:rsid w:val="00496E1B"/>
    <w:rsid w:val="00496E31"/>
    <w:rsid w:val="00496F50"/>
    <w:rsid w:val="00496FD4"/>
    <w:rsid w:val="0049700E"/>
    <w:rsid w:val="00497010"/>
    <w:rsid w:val="00497028"/>
    <w:rsid w:val="004970E7"/>
    <w:rsid w:val="0049721B"/>
    <w:rsid w:val="00497446"/>
    <w:rsid w:val="00497516"/>
    <w:rsid w:val="00497586"/>
    <w:rsid w:val="0049764E"/>
    <w:rsid w:val="0049770E"/>
    <w:rsid w:val="00497718"/>
    <w:rsid w:val="00497941"/>
    <w:rsid w:val="004979BE"/>
    <w:rsid w:val="00497B0F"/>
    <w:rsid w:val="00497B43"/>
    <w:rsid w:val="00497D6A"/>
    <w:rsid w:val="004A000C"/>
    <w:rsid w:val="004A00C2"/>
    <w:rsid w:val="004A0279"/>
    <w:rsid w:val="004A02D5"/>
    <w:rsid w:val="004A02F9"/>
    <w:rsid w:val="004A049F"/>
    <w:rsid w:val="004A04A8"/>
    <w:rsid w:val="004A0568"/>
    <w:rsid w:val="004A05CE"/>
    <w:rsid w:val="004A05FF"/>
    <w:rsid w:val="004A060F"/>
    <w:rsid w:val="004A0627"/>
    <w:rsid w:val="004A06C6"/>
    <w:rsid w:val="004A077D"/>
    <w:rsid w:val="004A08A6"/>
    <w:rsid w:val="004A0A9B"/>
    <w:rsid w:val="004A0D79"/>
    <w:rsid w:val="004A0E18"/>
    <w:rsid w:val="004A0E74"/>
    <w:rsid w:val="004A0F53"/>
    <w:rsid w:val="004A0FB0"/>
    <w:rsid w:val="004A1016"/>
    <w:rsid w:val="004A103B"/>
    <w:rsid w:val="004A120C"/>
    <w:rsid w:val="004A1252"/>
    <w:rsid w:val="004A1336"/>
    <w:rsid w:val="004A1353"/>
    <w:rsid w:val="004A15CA"/>
    <w:rsid w:val="004A169C"/>
    <w:rsid w:val="004A179A"/>
    <w:rsid w:val="004A1B06"/>
    <w:rsid w:val="004A1B5D"/>
    <w:rsid w:val="004A1CA9"/>
    <w:rsid w:val="004A1CD1"/>
    <w:rsid w:val="004A1E03"/>
    <w:rsid w:val="004A1EFE"/>
    <w:rsid w:val="004A1F8C"/>
    <w:rsid w:val="004A20D2"/>
    <w:rsid w:val="004A21F9"/>
    <w:rsid w:val="004A2268"/>
    <w:rsid w:val="004A23B9"/>
    <w:rsid w:val="004A2514"/>
    <w:rsid w:val="004A265B"/>
    <w:rsid w:val="004A26A0"/>
    <w:rsid w:val="004A26CC"/>
    <w:rsid w:val="004A2791"/>
    <w:rsid w:val="004A27D5"/>
    <w:rsid w:val="004A290D"/>
    <w:rsid w:val="004A2AB2"/>
    <w:rsid w:val="004A2AC6"/>
    <w:rsid w:val="004A2AE7"/>
    <w:rsid w:val="004A2B19"/>
    <w:rsid w:val="004A2B2D"/>
    <w:rsid w:val="004A2E89"/>
    <w:rsid w:val="004A2FCD"/>
    <w:rsid w:val="004A314A"/>
    <w:rsid w:val="004A3171"/>
    <w:rsid w:val="004A3285"/>
    <w:rsid w:val="004A32A5"/>
    <w:rsid w:val="004A337F"/>
    <w:rsid w:val="004A34BD"/>
    <w:rsid w:val="004A34F2"/>
    <w:rsid w:val="004A3548"/>
    <w:rsid w:val="004A39A9"/>
    <w:rsid w:val="004A39B0"/>
    <w:rsid w:val="004A3A70"/>
    <w:rsid w:val="004A3BD2"/>
    <w:rsid w:val="004A3C4F"/>
    <w:rsid w:val="004A3D40"/>
    <w:rsid w:val="004A3ED2"/>
    <w:rsid w:val="004A3F4B"/>
    <w:rsid w:val="004A3F72"/>
    <w:rsid w:val="004A3FA5"/>
    <w:rsid w:val="004A4240"/>
    <w:rsid w:val="004A43CF"/>
    <w:rsid w:val="004A43E0"/>
    <w:rsid w:val="004A4510"/>
    <w:rsid w:val="004A4544"/>
    <w:rsid w:val="004A45A6"/>
    <w:rsid w:val="004A46DE"/>
    <w:rsid w:val="004A4921"/>
    <w:rsid w:val="004A4A82"/>
    <w:rsid w:val="004A4AC9"/>
    <w:rsid w:val="004A4ACC"/>
    <w:rsid w:val="004A4B09"/>
    <w:rsid w:val="004A4B46"/>
    <w:rsid w:val="004A4BD6"/>
    <w:rsid w:val="004A4C49"/>
    <w:rsid w:val="004A4DED"/>
    <w:rsid w:val="004A4E29"/>
    <w:rsid w:val="004A4E78"/>
    <w:rsid w:val="004A4F98"/>
    <w:rsid w:val="004A4FFA"/>
    <w:rsid w:val="004A50F0"/>
    <w:rsid w:val="004A51E2"/>
    <w:rsid w:val="004A5213"/>
    <w:rsid w:val="004A5219"/>
    <w:rsid w:val="004A5384"/>
    <w:rsid w:val="004A54CD"/>
    <w:rsid w:val="004A553D"/>
    <w:rsid w:val="004A554F"/>
    <w:rsid w:val="004A56F1"/>
    <w:rsid w:val="004A576D"/>
    <w:rsid w:val="004A5907"/>
    <w:rsid w:val="004A5933"/>
    <w:rsid w:val="004A5A24"/>
    <w:rsid w:val="004A5A27"/>
    <w:rsid w:val="004A5A3F"/>
    <w:rsid w:val="004A5B9B"/>
    <w:rsid w:val="004A5CDB"/>
    <w:rsid w:val="004A5E24"/>
    <w:rsid w:val="004A6005"/>
    <w:rsid w:val="004A61A7"/>
    <w:rsid w:val="004A62A2"/>
    <w:rsid w:val="004A62CB"/>
    <w:rsid w:val="004A6323"/>
    <w:rsid w:val="004A64CC"/>
    <w:rsid w:val="004A6510"/>
    <w:rsid w:val="004A6532"/>
    <w:rsid w:val="004A6550"/>
    <w:rsid w:val="004A6590"/>
    <w:rsid w:val="004A65C9"/>
    <w:rsid w:val="004A661C"/>
    <w:rsid w:val="004A664C"/>
    <w:rsid w:val="004A66CD"/>
    <w:rsid w:val="004A67F6"/>
    <w:rsid w:val="004A6876"/>
    <w:rsid w:val="004A689A"/>
    <w:rsid w:val="004A6A6F"/>
    <w:rsid w:val="004A6AC8"/>
    <w:rsid w:val="004A6BA2"/>
    <w:rsid w:val="004A6D98"/>
    <w:rsid w:val="004A6E87"/>
    <w:rsid w:val="004A6EF5"/>
    <w:rsid w:val="004A6F1B"/>
    <w:rsid w:val="004A7137"/>
    <w:rsid w:val="004A7153"/>
    <w:rsid w:val="004A7300"/>
    <w:rsid w:val="004A7339"/>
    <w:rsid w:val="004A7369"/>
    <w:rsid w:val="004A7765"/>
    <w:rsid w:val="004A7767"/>
    <w:rsid w:val="004A7785"/>
    <w:rsid w:val="004A7826"/>
    <w:rsid w:val="004A798A"/>
    <w:rsid w:val="004A7AB0"/>
    <w:rsid w:val="004A7AF4"/>
    <w:rsid w:val="004A7B8F"/>
    <w:rsid w:val="004A7BC2"/>
    <w:rsid w:val="004A7C49"/>
    <w:rsid w:val="004A7CCC"/>
    <w:rsid w:val="004A7CFF"/>
    <w:rsid w:val="004A7D40"/>
    <w:rsid w:val="004A7E15"/>
    <w:rsid w:val="004A7F46"/>
    <w:rsid w:val="004A7F95"/>
    <w:rsid w:val="004A7FBC"/>
    <w:rsid w:val="004B0198"/>
    <w:rsid w:val="004B0311"/>
    <w:rsid w:val="004B034C"/>
    <w:rsid w:val="004B0529"/>
    <w:rsid w:val="004B06F0"/>
    <w:rsid w:val="004B0AB5"/>
    <w:rsid w:val="004B0C09"/>
    <w:rsid w:val="004B0C27"/>
    <w:rsid w:val="004B0D3E"/>
    <w:rsid w:val="004B0DA4"/>
    <w:rsid w:val="004B0FDA"/>
    <w:rsid w:val="004B1061"/>
    <w:rsid w:val="004B1102"/>
    <w:rsid w:val="004B11B7"/>
    <w:rsid w:val="004B1224"/>
    <w:rsid w:val="004B1276"/>
    <w:rsid w:val="004B1348"/>
    <w:rsid w:val="004B1483"/>
    <w:rsid w:val="004B14A3"/>
    <w:rsid w:val="004B14EC"/>
    <w:rsid w:val="004B1585"/>
    <w:rsid w:val="004B16EC"/>
    <w:rsid w:val="004B1725"/>
    <w:rsid w:val="004B1800"/>
    <w:rsid w:val="004B19A6"/>
    <w:rsid w:val="004B1B39"/>
    <w:rsid w:val="004B1B89"/>
    <w:rsid w:val="004B1DE9"/>
    <w:rsid w:val="004B21C6"/>
    <w:rsid w:val="004B2206"/>
    <w:rsid w:val="004B2277"/>
    <w:rsid w:val="004B2332"/>
    <w:rsid w:val="004B2378"/>
    <w:rsid w:val="004B24AC"/>
    <w:rsid w:val="004B2582"/>
    <w:rsid w:val="004B2624"/>
    <w:rsid w:val="004B2693"/>
    <w:rsid w:val="004B2695"/>
    <w:rsid w:val="004B27FD"/>
    <w:rsid w:val="004B295D"/>
    <w:rsid w:val="004B2A32"/>
    <w:rsid w:val="004B2BF6"/>
    <w:rsid w:val="004B2C53"/>
    <w:rsid w:val="004B2C6D"/>
    <w:rsid w:val="004B2C7F"/>
    <w:rsid w:val="004B2C95"/>
    <w:rsid w:val="004B2E5E"/>
    <w:rsid w:val="004B2ED4"/>
    <w:rsid w:val="004B2F17"/>
    <w:rsid w:val="004B2F5D"/>
    <w:rsid w:val="004B2FAB"/>
    <w:rsid w:val="004B327D"/>
    <w:rsid w:val="004B334F"/>
    <w:rsid w:val="004B340C"/>
    <w:rsid w:val="004B34A0"/>
    <w:rsid w:val="004B34D1"/>
    <w:rsid w:val="004B3579"/>
    <w:rsid w:val="004B373F"/>
    <w:rsid w:val="004B3796"/>
    <w:rsid w:val="004B37FE"/>
    <w:rsid w:val="004B3836"/>
    <w:rsid w:val="004B3855"/>
    <w:rsid w:val="004B38FB"/>
    <w:rsid w:val="004B395D"/>
    <w:rsid w:val="004B3A07"/>
    <w:rsid w:val="004B3A60"/>
    <w:rsid w:val="004B3D99"/>
    <w:rsid w:val="004B3E7B"/>
    <w:rsid w:val="004B3F57"/>
    <w:rsid w:val="004B3FB5"/>
    <w:rsid w:val="004B4126"/>
    <w:rsid w:val="004B4251"/>
    <w:rsid w:val="004B42E0"/>
    <w:rsid w:val="004B4379"/>
    <w:rsid w:val="004B4416"/>
    <w:rsid w:val="004B4518"/>
    <w:rsid w:val="004B462B"/>
    <w:rsid w:val="004B46D1"/>
    <w:rsid w:val="004B46DB"/>
    <w:rsid w:val="004B4862"/>
    <w:rsid w:val="004B4A74"/>
    <w:rsid w:val="004B4AC5"/>
    <w:rsid w:val="004B4C34"/>
    <w:rsid w:val="004B4C68"/>
    <w:rsid w:val="004B4C8A"/>
    <w:rsid w:val="004B4CF8"/>
    <w:rsid w:val="004B4D54"/>
    <w:rsid w:val="004B4E78"/>
    <w:rsid w:val="004B4F85"/>
    <w:rsid w:val="004B4F8D"/>
    <w:rsid w:val="004B5030"/>
    <w:rsid w:val="004B5044"/>
    <w:rsid w:val="004B5074"/>
    <w:rsid w:val="004B5145"/>
    <w:rsid w:val="004B517F"/>
    <w:rsid w:val="004B52C7"/>
    <w:rsid w:val="004B5329"/>
    <w:rsid w:val="004B535B"/>
    <w:rsid w:val="004B5445"/>
    <w:rsid w:val="004B577A"/>
    <w:rsid w:val="004B57B7"/>
    <w:rsid w:val="004B5809"/>
    <w:rsid w:val="004B5946"/>
    <w:rsid w:val="004B5A05"/>
    <w:rsid w:val="004B5B25"/>
    <w:rsid w:val="004B5D3B"/>
    <w:rsid w:val="004B5DF1"/>
    <w:rsid w:val="004B5E7D"/>
    <w:rsid w:val="004B607B"/>
    <w:rsid w:val="004B60E8"/>
    <w:rsid w:val="004B6263"/>
    <w:rsid w:val="004B62AF"/>
    <w:rsid w:val="004B63FA"/>
    <w:rsid w:val="004B6430"/>
    <w:rsid w:val="004B6445"/>
    <w:rsid w:val="004B65CF"/>
    <w:rsid w:val="004B665C"/>
    <w:rsid w:val="004B6688"/>
    <w:rsid w:val="004B67F8"/>
    <w:rsid w:val="004B69C3"/>
    <w:rsid w:val="004B69D3"/>
    <w:rsid w:val="004B6A2F"/>
    <w:rsid w:val="004B6BA3"/>
    <w:rsid w:val="004B6C3D"/>
    <w:rsid w:val="004B6C8E"/>
    <w:rsid w:val="004B6CE3"/>
    <w:rsid w:val="004B6EC6"/>
    <w:rsid w:val="004B6F1D"/>
    <w:rsid w:val="004B6F68"/>
    <w:rsid w:val="004B7141"/>
    <w:rsid w:val="004B739C"/>
    <w:rsid w:val="004B73FA"/>
    <w:rsid w:val="004B73FC"/>
    <w:rsid w:val="004B74B3"/>
    <w:rsid w:val="004B7572"/>
    <w:rsid w:val="004B762C"/>
    <w:rsid w:val="004B76EE"/>
    <w:rsid w:val="004B7C36"/>
    <w:rsid w:val="004B7CBF"/>
    <w:rsid w:val="004B7E82"/>
    <w:rsid w:val="004B7E8F"/>
    <w:rsid w:val="004B7FE4"/>
    <w:rsid w:val="004C018B"/>
    <w:rsid w:val="004C0294"/>
    <w:rsid w:val="004C02B4"/>
    <w:rsid w:val="004C02C3"/>
    <w:rsid w:val="004C03A6"/>
    <w:rsid w:val="004C0686"/>
    <w:rsid w:val="004C0750"/>
    <w:rsid w:val="004C0923"/>
    <w:rsid w:val="004C093A"/>
    <w:rsid w:val="004C0B88"/>
    <w:rsid w:val="004C0D0B"/>
    <w:rsid w:val="004C0D2E"/>
    <w:rsid w:val="004C0D5D"/>
    <w:rsid w:val="004C0D6B"/>
    <w:rsid w:val="004C0F23"/>
    <w:rsid w:val="004C0F97"/>
    <w:rsid w:val="004C109E"/>
    <w:rsid w:val="004C11DB"/>
    <w:rsid w:val="004C12CF"/>
    <w:rsid w:val="004C1387"/>
    <w:rsid w:val="004C141F"/>
    <w:rsid w:val="004C1519"/>
    <w:rsid w:val="004C16C4"/>
    <w:rsid w:val="004C1780"/>
    <w:rsid w:val="004C18C5"/>
    <w:rsid w:val="004C194A"/>
    <w:rsid w:val="004C236C"/>
    <w:rsid w:val="004C261E"/>
    <w:rsid w:val="004C28DC"/>
    <w:rsid w:val="004C2992"/>
    <w:rsid w:val="004C2C59"/>
    <w:rsid w:val="004C2D9A"/>
    <w:rsid w:val="004C2F28"/>
    <w:rsid w:val="004C2F75"/>
    <w:rsid w:val="004C303A"/>
    <w:rsid w:val="004C32C9"/>
    <w:rsid w:val="004C32D4"/>
    <w:rsid w:val="004C32EE"/>
    <w:rsid w:val="004C34C3"/>
    <w:rsid w:val="004C3513"/>
    <w:rsid w:val="004C3711"/>
    <w:rsid w:val="004C37A0"/>
    <w:rsid w:val="004C39AF"/>
    <w:rsid w:val="004C3AFE"/>
    <w:rsid w:val="004C3C06"/>
    <w:rsid w:val="004C3D18"/>
    <w:rsid w:val="004C3E25"/>
    <w:rsid w:val="004C3FA1"/>
    <w:rsid w:val="004C40EE"/>
    <w:rsid w:val="004C43A0"/>
    <w:rsid w:val="004C442B"/>
    <w:rsid w:val="004C44DD"/>
    <w:rsid w:val="004C4517"/>
    <w:rsid w:val="004C454E"/>
    <w:rsid w:val="004C4584"/>
    <w:rsid w:val="004C45A8"/>
    <w:rsid w:val="004C45CA"/>
    <w:rsid w:val="004C46E5"/>
    <w:rsid w:val="004C482D"/>
    <w:rsid w:val="004C4A52"/>
    <w:rsid w:val="004C4A80"/>
    <w:rsid w:val="004C4ADB"/>
    <w:rsid w:val="004C4B5C"/>
    <w:rsid w:val="004C4B67"/>
    <w:rsid w:val="004C4BC9"/>
    <w:rsid w:val="004C4C07"/>
    <w:rsid w:val="004C4C80"/>
    <w:rsid w:val="004C4DAF"/>
    <w:rsid w:val="004C4F8B"/>
    <w:rsid w:val="004C4F90"/>
    <w:rsid w:val="004C5006"/>
    <w:rsid w:val="004C5219"/>
    <w:rsid w:val="004C5279"/>
    <w:rsid w:val="004C53E3"/>
    <w:rsid w:val="004C5461"/>
    <w:rsid w:val="004C5462"/>
    <w:rsid w:val="004C546C"/>
    <w:rsid w:val="004C56C8"/>
    <w:rsid w:val="004C56F2"/>
    <w:rsid w:val="004C5759"/>
    <w:rsid w:val="004C5DFA"/>
    <w:rsid w:val="004C5F49"/>
    <w:rsid w:val="004C6130"/>
    <w:rsid w:val="004C614F"/>
    <w:rsid w:val="004C61B1"/>
    <w:rsid w:val="004C64F7"/>
    <w:rsid w:val="004C6636"/>
    <w:rsid w:val="004C67D7"/>
    <w:rsid w:val="004C6865"/>
    <w:rsid w:val="004C691E"/>
    <w:rsid w:val="004C6BBF"/>
    <w:rsid w:val="004C6C38"/>
    <w:rsid w:val="004C6D42"/>
    <w:rsid w:val="004C6D77"/>
    <w:rsid w:val="004C6DA1"/>
    <w:rsid w:val="004C6F7D"/>
    <w:rsid w:val="004C7099"/>
    <w:rsid w:val="004C709E"/>
    <w:rsid w:val="004C71AE"/>
    <w:rsid w:val="004C72E6"/>
    <w:rsid w:val="004C7314"/>
    <w:rsid w:val="004C73AC"/>
    <w:rsid w:val="004C750B"/>
    <w:rsid w:val="004C750D"/>
    <w:rsid w:val="004C759D"/>
    <w:rsid w:val="004C7637"/>
    <w:rsid w:val="004C7794"/>
    <w:rsid w:val="004C78C3"/>
    <w:rsid w:val="004C78EB"/>
    <w:rsid w:val="004C7901"/>
    <w:rsid w:val="004C7A63"/>
    <w:rsid w:val="004C7AC4"/>
    <w:rsid w:val="004C7ACA"/>
    <w:rsid w:val="004C7BCA"/>
    <w:rsid w:val="004C7CA5"/>
    <w:rsid w:val="004C7E6C"/>
    <w:rsid w:val="004C7EB9"/>
    <w:rsid w:val="004C7FB8"/>
    <w:rsid w:val="004D0048"/>
    <w:rsid w:val="004D0075"/>
    <w:rsid w:val="004D0281"/>
    <w:rsid w:val="004D02DC"/>
    <w:rsid w:val="004D0309"/>
    <w:rsid w:val="004D0497"/>
    <w:rsid w:val="004D05A7"/>
    <w:rsid w:val="004D0602"/>
    <w:rsid w:val="004D068C"/>
    <w:rsid w:val="004D06F7"/>
    <w:rsid w:val="004D0882"/>
    <w:rsid w:val="004D0890"/>
    <w:rsid w:val="004D09F6"/>
    <w:rsid w:val="004D0A6C"/>
    <w:rsid w:val="004D0ABF"/>
    <w:rsid w:val="004D0C44"/>
    <w:rsid w:val="004D0C9E"/>
    <w:rsid w:val="004D1027"/>
    <w:rsid w:val="004D102B"/>
    <w:rsid w:val="004D11E3"/>
    <w:rsid w:val="004D1280"/>
    <w:rsid w:val="004D1291"/>
    <w:rsid w:val="004D129E"/>
    <w:rsid w:val="004D1422"/>
    <w:rsid w:val="004D14F5"/>
    <w:rsid w:val="004D1504"/>
    <w:rsid w:val="004D1638"/>
    <w:rsid w:val="004D1769"/>
    <w:rsid w:val="004D1771"/>
    <w:rsid w:val="004D1993"/>
    <w:rsid w:val="004D1A1A"/>
    <w:rsid w:val="004D1B9B"/>
    <w:rsid w:val="004D1BEA"/>
    <w:rsid w:val="004D1D6A"/>
    <w:rsid w:val="004D1DC6"/>
    <w:rsid w:val="004D1E36"/>
    <w:rsid w:val="004D1EB0"/>
    <w:rsid w:val="004D1EF3"/>
    <w:rsid w:val="004D1F37"/>
    <w:rsid w:val="004D203B"/>
    <w:rsid w:val="004D2067"/>
    <w:rsid w:val="004D2070"/>
    <w:rsid w:val="004D207A"/>
    <w:rsid w:val="004D207F"/>
    <w:rsid w:val="004D21ED"/>
    <w:rsid w:val="004D2420"/>
    <w:rsid w:val="004D248A"/>
    <w:rsid w:val="004D24B5"/>
    <w:rsid w:val="004D24C4"/>
    <w:rsid w:val="004D254D"/>
    <w:rsid w:val="004D2660"/>
    <w:rsid w:val="004D26B5"/>
    <w:rsid w:val="004D26E3"/>
    <w:rsid w:val="004D27FE"/>
    <w:rsid w:val="004D2844"/>
    <w:rsid w:val="004D28BF"/>
    <w:rsid w:val="004D295E"/>
    <w:rsid w:val="004D29D5"/>
    <w:rsid w:val="004D2C43"/>
    <w:rsid w:val="004D2CA0"/>
    <w:rsid w:val="004D2F9E"/>
    <w:rsid w:val="004D3111"/>
    <w:rsid w:val="004D31A9"/>
    <w:rsid w:val="004D334F"/>
    <w:rsid w:val="004D33FA"/>
    <w:rsid w:val="004D34A2"/>
    <w:rsid w:val="004D34BD"/>
    <w:rsid w:val="004D34EA"/>
    <w:rsid w:val="004D354C"/>
    <w:rsid w:val="004D355F"/>
    <w:rsid w:val="004D35EB"/>
    <w:rsid w:val="004D3838"/>
    <w:rsid w:val="004D3944"/>
    <w:rsid w:val="004D3960"/>
    <w:rsid w:val="004D3A70"/>
    <w:rsid w:val="004D3AB8"/>
    <w:rsid w:val="004D3B37"/>
    <w:rsid w:val="004D3B56"/>
    <w:rsid w:val="004D3CD1"/>
    <w:rsid w:val="004D3D48"/>
    <w:rsid w:val="004D3D8D"/>
    <w:rsid w:val="004D3E43"/>
    <w:rsid w:val="004D3F77"/>
    <w:rsid w:val="004D4008"/>
    <w:rsid w:val="004D4129"/>
    <w:rsid w:val="004D417D"/>
    <w:rsid w:val="004D41A1"/>
    <w:rsid w:val="004D4227"/>
    <w:rsid w:val="004D4306"/>
    <w:rsid w:val="004D43C4"/>
    <w:rsid w:val="004D43C6"/>
    <w:rsid w:val="004D44FB"/>
    <w:rsid w:val="004D4512"/>
    <w:rsid w:val="004D4527"/>
    <w:rsid w:val="004D475A"/>
    <w:rsid w:val="004D47DB"/>
    <w:rsid w:val="004D4CBC"/>
    <w:rsid w:val="004D4E6E"/>
    <w:rsid w:val="004D4F2A"/>
    <w:rsid w:val="004D4F7E"/>
    <w:rsid w:val="004D5041"/>
    <w:rsid w:val="004D513F"/>
    <w:rsid w:val="004D5375"/>
    <w:rsid w:val="004D5397"/>
    <w:rsid w:val="004D53E0"/>
    <w:rsid w:val="004D5424"/>
    <w:rsid w:val="004D54AB"/>
    <w:rsid w:val="004D550F"/>
    <w:rsid w:val="004D55ED"/>
    <w:rsid w:val="004D56E3"/>
    <w:rsid w:val="004D57AB"/>
    <w:rsid w:val="004D57BC"/>
    <w:rsid w:val="004D57D2"/>
    <w:rsid w:val="004D5878"/>
    <w:rsid w:val="004D5932"/>
    <w:rsid w:val="004D5962"/>
    <w:rsid w:val="004D5A0C"/>
    <w:rsid w:val="004D5AF6"/>
    <w:rsid w:val="004D5B03"/>
    <w:rsid w:val="004D5C5E"/>
    <w:rsid w:val="004D6028"/>
    <w:rsid w:val="004D60AB"/>
    <w:rsid w:val="004D6119"/>
    <w:rsid w:val="004D6270"/>
    <w:rsid w:val="004D62D3"/>
    <w:rsid w:val="004D6351"/>
    <w:rsid w:val="004D6390"/>
    <w:rsid w:val="004D6478"/>
    <w:rsid w:val="004D65FF"/>
    <w:rsid w:val="004D6731"/>
    <w:rsid w:val="004D6781"/>
    <w:rsid w:val="004D6803"/>
    <w:rsid w:val="004D6878"/>
    <w:rsid w:val="004D6AA3"/>
    <w:rsid w:val="004D6BAC"/>
    <w:rsid w:val="004D6C2D"/>
    <w:rsid w:val="004D6CAB"/>
    <w:rsid w:val="004D6D51"/>
    <w:rsid w:val="004D7006"/>
    <w:rsid w:val="004D7054"/>
    <w:rsid w:val="004D7092"/>
    <w:rsid w:val="004D70A9"/>
    <w:rsid w:val="004D70B4"/>
    <w:rsid w:val="004D7136"/>
    <w:rsid w:val="004D72BB"/>
    <w:rsid w:val="004D7390"/>
    <w:rsid w:val="004D7414"/>
    <w:rsid w:val="004D7435"/>
    <w:rsid w:val="004D7495"/>
    <w:rsid w:val="004D750E"/>
    <w:rsid w:val="004D7534"/>
    <w:rsid w:val="004D76BF"/>
    <w:rsid w:val="004D7732"/>
    <w:rsid w:val="004D7899"/>
    <w:rsid w:val="004D79EC"/>
    <w:rsid w:val="004D7AE6"/>
    <w:rsid w:val="004D7C49"/>
    <w:rsid w:val="004D7D03"/>
    <w:rsid w:val="004E00DE"/>
    <w:rsid w:val="004E021A"/>
    <w:rsid w:val="004E02D4"/>
    <w:rsid w:val="004E037F"/>
    <w:rsid w:val="004E0588"/>
    <w:rsid w:val="004E0630"/>
    <w:rsid w:val="004E0645"/>
    <w:rsid w:val="004E09B1"/>
    <w:rsid w:val="004E0ADD"/>
    <w:rsid w:val="004E0D65"/>
    <w:rsid w:val="004E0E8E"/>
    <w:rsid w:val="004E0F1E"/>
    <w:rsid w:val="004E0F46"/>
    <w:rsid w:val="004E0F69"/>
    <w:rsid w:val="004E0F86"/>
    <w:rsid w:val="004E0FBB"/>
    <w:rsid w:val="004E109D"/>
    <w:rsid w:val="004E1148"/>
    <w:rsid w:val="004E11C1"/>
    <w:rsid w:val="004E1225"/>
    <w:rsid w:val="004E1257"/>
    <w:rsid w:val="004E13FB"/>
    <w:rsid w:val="004E1455"/>
    <w:rsid w:val="004E154B"/>
    <w:rsid w:val="004E1799"/>
    <w:rsid w:val="004E1923"/>
    <w:rsid w:val="004E1972"/>
    <w:rsid w:val="004E1999"/>
    <w:rsid w:val="004E1B6A"/>
    <w:rsid w:val="004E1C49"/>
    <w:rsid w:val="004E1D6B"/>
    <w:rsid w:val="004E1F5F"/>
    <w:rsid w:val="004E2006"/>
    <w:rsid w:val="004E20BE"/>
    <w:rsid w:val="004E2108"/>
    <w:rsid w:val="004E212C"/>
    <w:rsid w:val="004E2346"/>
    <w:rsid w:val="004E2348"/>
    <w:rsid w:val="004E2570"/>
    <w:rsid w:val="004E26E2"/>
    <w:rsid w:val="004E28E4"/>
    <w:rsid w:val="004E2918"/>
    <w:rsid w:val="004E2A37"/>
    <w:rsid w:val="004E2B75"/>
    <w:rsid w:val="004E2B8B"/>
    <w:rsid w:val="004E2CFE"/>
    <w:rsid w:val="004E2D49"/>
    <w:rsid w:val="004E3016"/>
    <w:rsid w:val="004E309E"/>
    <w:rsid w:val="004E3157"/>
    <w:rsid w:val="004E315F"/>
    <w:rsid w:val="004E3287"/>
    <w:rsid w:val="004E3294"/>
    <w:rsid w:val="004E3356"/>
    <w:rsid w:val="004E3383"/>
    <w:rsid w:val="004E3516"/>
    <w:rsid w:val="004E359D"/>
    <w:rsid w:val="004E3651"/>
    <w:rsid w:val="004E3713"/>
    <w:rsid w:val="004E3764"/>
    <w:rsid w:val="004E379D"/>
    <w:rsid w:val="004E37B3"/>
    <w:rsid w:val="004E39AC"/>
    <w:rsid w:val="004E3A6D"/>
    <w:rsid w:val="004E3B05"/>
    <w:rsid w:val="004E3EB0"/>
    <w:rsid w:val="004E4017"/>
    <w:rsid w:val="004E404B"/>
    <w:rsid w:val="004E40B0"/>
    <w:rsid w:val="004E413E"/>
    <w:rsid w:val="004E41D6"/>
    <w:rsid w:val="004E420C"/>
    <w:rsid w:val="004E4232"/>
    <w:rsid w:val="004E423B"/>
    <w:rsid w:val="004E429F"/>
    <w:rsid w:val="004E42FA"/>
    <w:rsid w:val="004E43EF"/>
    <w:rsid w:val="004E4458"/>
    <w:rsid w:val="004E44F7"/>
    <w:rsid w:val="004E452A"/>
    <w:rsid w:val="004E4581"/>
    <w:rsid w:val="004E45D0"/>
    <w:rsid w:val="004E4629"/>
    <w:rsid w:val="004E470A"/>
    <w:rsid w:val="004E47EA"/>
    <w:rsid w:val="004E482B"/>
    <w:rsid w:val="004E48AD"/>
    <w:rsid w:val="004E48FE"/>
    <w:rsid w:val="004E4A39"/>
    <w:rsid w:val="004E4B1B"/>
    <w:rsid w:val="004E4BA6"/>
    <w:rsid w:val="004E4CB5"/>
    <w:rsid w:val="004E4DB6"/>
    <w:rsid w:val="004E4FBF"/>
    <w:rsid w:val="004E4FDF"/>
    <w:rsid w:val="004E5047"/>
    <w:rsid w:val="004E5056"/>
    <w:rsid w:val="004E51EB"/>
    <w:rsid w:val="004E5239"/>
    <w:rsid w:val="004E52CE"/>
    <w:rsid w:val="004E52F3"/>
    <w:rsid w:val="004E52F8"/>
    <w:rsid w:val="004E54F2"/>
    <w:rsid w:val="004E55B1"/>
    <w:rsid w:val="004E59E4"/>
    <w:rsid w:val="004E5ACB"/>
    <w:rsid w:val="004E5AEB"/>
    <w:rsid w:val="004E5B7D"/>
    <w:rsid w:val="004E5BB2"/>
    <w:rsid w:val="004E5BD2"/>
    <w:rsid w:val="004E5C59"/>
    <w:rsid w:val="004E5C93"/>
    <w:rsid w:val="004E5CC0"/>
    <w:rsid w:val="004E5DED"/>
    <w:rsid w:val="004E5E33"/>
    <w:rsid w:val="004E6009"/>
    <w:rsid w:val="004E6141"/>
    <w:rsid w:val="004E6174"/>
    <w:rsid w:val="004E6389"/>
    <w:rsid w:val="004E63BE"/>
    <w:rsid w:val="004E644A"/>
    <w:rsid w:val="004E6487"/>
    <w:rsid w:val="004E64A0"/>
    <w:rsid w:val="004E64F4"/>
    <w:rsid w:val="004E6790"/>
    <w:rsid w:val="004E687C"/>
    <w:rsid w:val="004E68BB"/>
    <w:rsid w:val="004E68C3"/>
    <w:rsid w:val="004E68CB"/>
    <w:rsid w:val="004E69E0"/>
    <w:rsid w:val="004E69FF"/>
    <w:rsid w:val="004E6A20"/>
    <w:rsid w:val="004E6AD6"/>
    <w:rsid w:val="004E6C14"/>
    <w:rsid w:val="004E6C1B"/>
    <w:rsid w:val="004E6C25"/>
    <w:rsid w:val="004E6D81"/>
    <w:rsid w:val="004E6DB5"/>
    <w:rsid w:val="004E6E24"/>
    <w:rsid w:val="004E6ED8"/>
    <w:rsid w:val="004E7257"/>
    <w:rsid w:val="004E728E"/>
    <w:rsid w:val="004E735A"/>
    <w:rsid w:val="004E7395"/>
    <w:rsid w:val="004E73F5"/>
    <w:rsid w:val="004E74F3"/>
    <w:rsid w:val="004E770A"/>
    <w:rsid w:val="004E77EE"/>
    <w:rsid w:val="004E77F0"/>
    <w:rsid w:val="004E7818"/>
    <w:rsid w:val="004E78AF"/>
    <w:rsid w:val="004E7D03"/>
    <w:rsid w:val="004E7E22"/>
    <w:rsid w:val="004E7EBD"/>
    <w:rsid w:val="004E7EF2"/>
    <w:rsid w:val="004E7F4C"/>
    <w:rsid w:val="004F001B"/>
    <w:rsid w:val="004F011C"/>
    <w:rsid w:val="004F024E"/>
    <w:rsid w:val="004F0378"/>
    <w:rsid w:val="004F041D"/>
    <w:rsid w:val="004F0565"/>
    <w:rsid w:val="004F05A8"/>
    <w:rsid w:val="004F0641"/>
    <w:rsid w:val="004F06A6"/>
    <w:rsid w:val="004F0739"/>
    <w:rsid w:val="004F0925"/>
    <w:rsid w:val="004F0A7E"/>
    <w:rsid w:val="004F0BC2"/>
    <w:rsid w:val="004F0D09"/>
    <w:rsid w:val="004F0E84"/>
    <w:rsid w:val="004F1144"/>
    <w:rsid w:val="004F1164"/>
    <w:rsid w:val="004F11CD"/>
    <w:rsid w:val="004F135A"/>
    <w:rsid w:val="004F13E7"/>
    <w:rsid w:val="004F1582"/>
    <w:rsid w:val="004F16D5"/>
    <w:rsid w:val="004F185D"/>
    <w:rsid w:val="004F18CD"/>
    <w:rsid w:val="004F18D7"/>
    <w:rsid w:val="004F19FB"/>
    <w:rsid w:val="004F1AE5"/>
    <w:rsid w:val="004F1CCC"/>
    <w:rsid w:val="004F1CF6"/>
    <w:rsid w:val="004F1D6E"/>
    <w:rsid w:val="004F1DEB"/>
    <w:rsid w:val="004F1F73"/>
    <w:rsid w:val="004F20E2"/>
    <w:rsid w:val="004F2125"/>
    <w:rsid w:val="004F217F"/>
    <w:rsid w:val="004F223C"/>
    <w:rsid w:val="004F22CE"/>
    <w:rsid w:val="004F2396"/>
    <w:rsid w:val="004F242D"/>
    <w:rsid w:val="004F24A3"/>
    <w:rsid w:val="004F24B9"/>
    <w:rsid w:val="004F2598"/>
    <w:rsid w:val="004F26A1"/>
    <w:rsid w:val="004F2724"/>
    <w:rsid w:val="004F28A6"/>
    <w:rsid w:val="004F2926"/>
    <w:rsid w:val="004F29C4"/>
    <w:rsid w:val="004F2CAE"/>
    <w:rsid w:val="004F2D61"/>
    <w:rsid w:val="004F2D8B"/>
    <w:rsid w:val="004F3055"/>
    <w:rsid w:val="004F30F2"/>
    <w:rsid w:val="004F32C8"/>
    <w:rsid w:val="004F32DE"/>
    <w:rsid w:val="004F3381"/>
    <w:rsid w:val="004F34C1"/>
    <w:rsid w:val="004F3655"/>
    <w:rsid w:val="004F36FB"/>
    <w:rsid w:val="004F37D7"/>
    <w:rsid w:val="004F3857"/>
    <w:rsid w:val="004F39E1"/>
    <w:rsid w:val="004F3A2D"/>
    <w:rsid w:val="004F3B25"/>
    <w:rsid w:val="004F3C0C"/>
    <w:rsid w:val="004F3D8D"/>
    <w:rsid w:val="004F3DBE"/>
    <w:rsid w:val="004F3E04"/>
    <w:rsid w:val="004F3F65"/>
    <w:rsid w:val="004F3F69"/>
    <w:rsid w:val="004F3FA1"/>
    <w:rsid w:val="004F3FD0"/>
    <w:rsid w:val="004F402B"/>
    <w:rsid w:val="004F403B"/>
    <w:rsid w:val="004F4099"/>
    <w:rsid w:val="004F4126"/>
    <w:rsid w:val="004F41B8"/>
    <w:rsid w:val="004F422F"/>
    <w:rsid w:val="004F4260"/>
    <w:rsid w:val="004F427A"/>
    <w:rsid w:val="004F42D8"/>
    <w:rsid w:val="004F44DF"/>
    <w:rsid w:val="004F4606"/>
    <w:rsid w:val="004F465B"/>
    <w:rsid w:val="004F46A9"/>
    <w:rsid w:val="004F4862"/>
    <w:rsid w:val="004F4943"/>
    <w:rsid w:val="004F4B39"/>
    <w:rsid w:val="004F4D55"/>
    <w:rsid w:val="004F4DAA"/>
    <w:rsid w:val="004F4E62"/>
    <w:rsid w:val="004F4E9E"/>
    <w:rsid w:val="004F4F06"/>
    <w:rsid w:val="004F4F27"/>
    <w:rsid w:val="004F5001"/>
    <w:rsid w:val="004F5098"/>
    <w:rsid w:val="004F50AF"/>
    <w:rsid w:val="004F523E"/>
    <w:rsid w:val="004F52FD"/>
    <w:rsid w:val="004F54A9"/>
    <w:rsid w:val="004F54E9"/>
    <w:rsid w:val="004F5605"/>
    <w:rsid w:val="004F56D8"/>
    <w:rsid w:val="004F5B99"/>
    <w:rsid w:val="004F5C70"/>
    <w:rsid w:val="004F5D2F"/>
    <w:rsid w:val="004F5DE3"/>
    <w:rsid w:val="004F5EAA"/>
    <w:rsid w:val="004F5FA3"/>
    <w:rsid w:val="004F5FDA"/>
    <w:rsid w:val="004F6235"/>
    <w:rsid w:val="004F62B4"/>
    <w:rsid w:val="004F62C5"/>
    <w:rsid w:val="004F63B5"/>
    <w:rsid w:val="004F63C8"/>
    <w:rsid w:val="004F64AD"/>
    <w:rsid w:val="004F664F"/>
    <w:rsid w:val="004F6684"/>
    <w:rsid w:val="004F672C"/>
    <w:rsid w:val="004F6A69"/>
    <w:rsid w:val="004F6B57"/>
    <w:rsid w:val="004F6BF2"/>
    <w:rsid w:val="004F6C17"/>
    <w:rsid w:val="004F6C7D"/>
    <w:rsid w:val="004F6CD1"/>
    <w:rsid w:val="004F7176"/>
    <w:rsid w:val="004F72E3"/>
    <w:rsid w:val="004F74AD"/>
    <w:rsid w:val="004F7576"/>
    <w:rsid w:val="004F75D9"/>
    <w:rsid w:val="004F761A"/>
    <w:rsid w:val="004F79D7"/>
    <w:rsid w:val="004F79DF"/>
    <w:rsid w:val="004F7A77"/>
    <w:rsid w:val="004F7A7C"/>
    <w:rsid w:val="004F7B22"/>
    <w:rsid w:val="004F7D52"/>
    <w:rsid w:val="004F7D65"/>
    <w:rsid w:val="004F7DA3"/>
    <w:rsid w:val="004F7E59"/>
    <w:rsid w:val="00500194"/>
    <w:rsid w:val="005001CC"/>
    <w:rsid w:val="005001E3"/>
    <w:rsid w:val="00500256"/>
    <w:rsid w:val="005002A3"/>
    <w:rsid w:val="00500344"/>
    <w:rsid w:val="00500469"/>
    <w:rsid w:val="005004BF"/>
    <w:rsid w:val="00500590"/>
    <w:rsid w:val="00500627"/>
    <w:rsid w:val="005007A5"/>
    <w:rsid w:val="005007F1"/>
    <w:rsid w:val="0050080A"/>
    <w:rsid w:val="0050083A"/>
    <w:rsid w:val="00500920"/>
    <w:rsid w:val="00500A12"/>
    <w:rsid w:val="00500BFB"/>
    <w:rsid w:val="00500E85"/>
    <w:rsid w:val="00500F9C"/>
    <w:rsid w:val="0050119C"/>
    <w:rsid w:val="0050124F"/>
    <w:rsid w:val="0050137A"/>
    <w:rsid w:val="00501467"/>
    <w:rsid w:val="00501534"/>
    <w:rsid w:val="005015A7"/>
    <w:rsid w:val="005016B0"/>
    <w:rsid w:val="00501707"/>
    <w:rsid w:val="00501723"/>
    <w:rsid w:val="00501769"/>
    <w:rsid w:val="005017B8"/>
    <w:rsid w:val="005019C6"/>
    <w:rsid w:val="005019EC"/>
    <w:rsid w:val="00501A62"/>
    <w:rsid w:val="00501BE5"/>
    <w:rsid w:val="00501CB5"/>
    <w:rsid w:val="00501D38"/>
    <w:rsid w:val="00501D88"/>
    <w:rsid w:val="00501E89"/>
    <w:rsid w:val="0050202E"/>
    <w:rsid w:val="005020EF"/>
    <w:rsid w:val="005022DB"/>
    <w:rsid w:val="005022EE"/>
    <w:rsid w:val="00502304"/>
    <w:rsid w:val="005023AD"/>
    <w:rsid w:val="00502422"/>
    <w:rsid w:val="005024A1"/>
    <w:rsid w:val="005025A0"/>
    <w:rsid w:val="005025B5"/>
    <w:rsid w:val="005026DD"/>
    <w:rsid w:val="00502766"/>
    <w:rsid w:val="0050277C"/>
    <w:rsid w:val="00502835"/>
    <w:rsid w:val="0050286A"/>
    <w:rsid w:val="00502883"/>
    <w:rsid w:val="00502BAC"/>
    <w:rsid w:val="00502BC6"/>
    <w:rsid w:val="00502C3B"/>
    <w:rsid w:val="00502CCD"/>
    <w:rsid w:val="0050300A"/>
    <w:rsid w:val="00503067"/>
    <w:rsid w:val="005032AE"/>
    <w:rsid w:val="0050354D"/>
    <w:rsid w:val="00503710"/>
    <w:rsid w:val="00503756"/>
    <w:rsid w:val="00503768"/>
    <w:rsid w:val="005037F9"/>
    <w:rsid w:val="00503806"/>
    <w:rsid w:val="0050381B"/>
    <w:rsid w:val="00503864"/>
    <w:rsid w:val="00503D22"/>
    <w:rsid w:val="00503D5F"/>
    <w:rsid w:val="00503E76"/>
    <w:rsid w:val="00503FA5"/>
    <w:rsid w:val="0050417A"/>
    <w:rsid w:val="005041EB"/>
    <w:rsid w:val="00504565"/>
    <w:rsid w:val="00504623"/>
    <w:rsid w:val="005049D6"/>
    <w:rsid w:val="00504BC4"/>
    <w:rsid w:val="00504C61"/>
    <w:rsid w:val="00504DE9"/>
    <w:rsid w:val="00504DEF"/>
    <w:rsid w:val="00504E30"/>
    <w:rsid w:val="00504F5E"/>
    <w:rsid w:val="00504F8D"/>
    <w:rsid w:val="00504FA1"/>
    <w:rsid w:val="00505170"/>
    <w:rsid w:val="005053FA"/>
    <w:rsid w:val="0050548C"/>
    <w:rsid w:val="00505495"/>
    <w:rsid w:val="00505504"/>
    <w:rsid w:val="00505633"/>
    <w:rsid w:val="005056CC"/>
    <w:rsid w:val="005056DF"/>
    <w:rsid w:val="00505713"/>
    <w:rsid w:val="00505771"/>
    <w:rsid w:val="0050578A"/>
    <w:rsid w:val="005058FC"/>
    <w:rsid w:val="0050595E"/>
    <w:rsid w:val="0050597A"/>
    <w:rsid w:val="005059AF"/>
    <w:rsid w:val="005059BA"/>
    <w:rsid w:val="00505C9D"/>
    <w:rsid w:val="00505CB9"/>
    <w:rsid w:val="00505F29"/>
    <w:rsid w:val="00505FB7"/>
    <w:rsid w:val="00506146"/>
    <w:rsid w:val="00506186"/>
    <w:rsid w:val="0050621A"/>
    <w:rsid w:val="00506295"/>
    <w:rsid w:val="005062F5"/>
    <w:rsid w:val="00506515"/>
    <w:rsid w:val="005065E7"/>
    <w:rsid w:val="00506669"/>
    <w:rsid w:val="00506891"/>
    <w:rsid w:val="00506911"/>
    <w:rsid w:val="00506952"/>
    <w:rsid w:val="00506A6B"/>
    <w:rsid w:val="00506AF3"/>
    <w:rsid w:val="00506C9C"/>
    <w:rsid w:val="00506EF4"/>
    <w:rsid w:val="00506EFD"/>
    <w:rsid w:val="00506F5B"/>
    <w:rsid w:val="00506F5F"/>
    <w:rsid w:val="00507195"/>
    <w:rsid w:val="005071B8"/>
    <w:rsid w:val="0050727F"/>
    <w:rsid w:val="005074AB"/>
    <w:rsid w:val="005074E8"/>
    <w:rsid w:val="005074F7"/>
    <w:rsid w:val="00507574"/>
    <w:rsid w:val="00507658"/>
    <w:rsid w:val="00507683"/>
    <w:rsid w:val="005076CB"/>
    <w:rsid w:val="00507731"/>
    <w:rsid w:val="005077E4"/>
    <w:rsid w:val="0050788C"/>
    <w:rsid w:val="005078F5"/>
    <w:rsid w:val="00507916"/>
    <w:rsid w:val="00507976"/>
    <w:rsid w:val="00507A05"/>
    <w:rsid w:val="00507B09"/>
    <w:rsid w:val="00507B4A"/>
    <w:rsid w:val="00507B91"/>
    <w:rsid w:val="00507E8B"/>
    <w:rsid w:val="00507F4F"/>
    <w:rsid w:val="00507F8C"/>
    <w:rsid w:val="005100A0"/>
    <w:rsid w:val="005100A8"/>
    <w:rsid w:val="005100E0"/>
    <w:rsid w:val="00510137"/>
    <w:rsid w:val="005101CE"/>
    <w:rsid w:val="0051021E"/>
    <w:rsid w:val="00510284"/>
    <w:rsid w:val="0051028C"/>
    <w:rsid w:val="005103E7"/>
    <w:rsid w:val="00510414"/>
    <w:rsid w:val="005104F5"/>
    <w:rsid w:val="0051065D"/>
    <w:rsid w:val="005106CF"/>
    <w:rsid w:val="0051080F"/>
    <w:rsid w:val="005108CA"/>
    <w:rsid w:val="00510911"/>
    <w:rsid w:val="005109DB"/>
    <w:rsid w:val="00510A72"/>
    <w:rsid w:val="00510AB1"/>
    <w:rsid w:val="00510AE9"/>
    <w:rsid w:val="00510B8F"/>
    <w:rsid w:val="00510B93"/>
    <w:rsid w:val="00510B99"/>
    <w:rsid w:val="00510CA9"/>
    <w:rsid w:val="00510DB6"/>
    <w:rsid w:val="00510DE9"/>
    <w:rsid w:val="00510FB8"/>
    <w:rsid w:val="005110CD"/>
    <w:rsid w:val="00511249"/>
    <w:rsid w:val="00511268"/>
    <w:rsid w:val="0051145B"/>
    <w:rsid w:val="005114F5"/>
    <w:rsid w:val="00511500"/>
    <w:rsid w:val="00511546"/>
    <w:rsid w:val="005115A4"/>
    <w:rsid w:val="00511619"/>
    <w:rsid w:val="005116DA"/>
    <w:rsid w:val="00511908"/>
    <w:rsid w:val="00511991"/>
    <w:rsid w:val="005119BE"/>
    <w:rsid w:val="00511ACF"/>
    <w:rsid w:val="00511B3E"/>
    <w:rsid w:val="00511CE3"/>
    <w:rsid w:val="00511D59"/>
    <w:rsid w:val="00511D84"/>
    <w:rsid w:val="00511DFD"/>
    <w:rsid w:val="00511F60"/>
    <w:rsid w:val="00512034"/>
    <w:rsid w:val="005121E7"/>
    <w:rsid w:val="00512557"/>
    <w:rsid w:val="005125BE"/>
    <w:rsid w:val="0051274E"/>
    <w:rsid w:val="00512791"/>
    <w:rsid w:val="00512794"/>
    <w:rsid w:val="0051282B"/>
    <w:rsid w:val="00512854"/>
    <w:rsid w:val="00512AC9"/>
    <w:rsid w:val="00512B3D"/>
    <w:rsid w:val="00512B66"/>
    <w:rsid w:val="00512C51"/>
    <w:rsid w:val="00512C85"/>
    <w:rsid w:val="00512DB4"/>
    <w:rsid w:val="00512EE7"/>
    <w:rsid w:val="00512F75"/>
    <w:rsid w:val="00512FF2"/>
    <w:rsid w:val="005130DC"/>
    <w:rsid w:val="0051311C"/>
    <w:rsid w:val="00513330"/>
    <w:rsid w:val="00513586"/>
    <w:rsid w:val="00513A2B"/>
    <w:rsid w:val="00513AD6"/>
    <w:rsid w:val="00513B09"/>
    <w:rsid w:val="00513C24"/>
    <w:rsid w:val="0051401F"/>
    <w:rsid w:val="0051406D"/>
    <w:rsid w:val="005141A3"/>
    <w:rsid w:val="005142AA"/>
    <w:rsid w:val="005142F5"/>
    <w:rsid w:val="0051440D"/>
    <w:rsid w:val="00514510"/>
    <w:rsid w:val="005145C3"/>
    <w:rsid w:val="005147BE"/>
    <w:rsid w:val="005148DE"/>
    <w:rsid w:val="00514B4A"/>
    <w:rsid w:val="00514B56"/>
    <w:rsid w:val="00514C37"/>
    <w:rsid w:val="00514C97"/>
    <w:rsid w:val="00514FFA"/>
    <w:rsid w:val="00515028"/>
    <w:rsid w:val="0051512A"/>
    <w:rsid w:val="005151FA"/>
    <w:rsid w:val="0051523B"/>
    <w:rsid w:val="00515303"/>
    <w:rsid w:val="00515392"/>
    <w:rsid w:val="00515584"/>
    <w:rsid w:val="00515669"/>
    <w:rsid w:val="00515852"/>
    <w:rsid w:val="005159F7"/>
    <w:rsid w:val="00515A53"/>
    <w:rsid w:val="00515B4E"/>
    <w:rsid w:val="00515B64"/>
    <w:rsid w:val="00515C17"/>
    <w:rsid w:val="00515C4D"/>
    <w:rsid w:val="00515CCE"/>
    <w:rsid w:val="00515D49"/>
    <w:rsid w:val="00515E0F"/>
    <w:rsid w:val="00515F35"/>
    <w:rsid w:val="005161BE"/>
    <w:rsid w:val="005162A5"/>
    <w:rsid w:val="005162E2"/>
    <w:rsid w:val="00516785"/>
    <w:rsid w:val="005167A7"/>
    <w:rsid w:val="005169B8"/>
    <w:rsid w:val="005169E0"/>
    <w:rsid w:val="00516A58"/>
    <w:rsid w:val="00516A94"/>
    <w:rsid w:val="00516C8D"/>
    <w:rsid w:val="00516D15"/>
    <w:rsid w:val="00516D2E"/>
    <w:rsid w:val="00516EAC"/>
    <w:rsid w:val="00516F23"/>
    <w:rsid w:val="00516F43"/>
    <w:rsid w:val="00516FB9"/>
    <w:rsid w:val="005170EB"/>
    <w:rsid w:val="005172D4"/>
    <w:rsid w:val="005172FF"/>
    <w:rsid w:val="0051733A"/>
    <w:rsid w:val="005173C3"/>
    <w:rsid w:val="005174C0"/>
    <w:rsid w:val="00517586"/>
    <w:rsid w:val="005175CA"/>
    <w:rsid w:val="00517763"/>
    <w:rsid w:val="00517880"/>
    <w:rsid w:val="005178A4"/>
    <w:rsid w:val="00517B8C"/>
    <w:rsid w:val="00517BE4"/>
    <w:rsid w:val="00517CBF"/>
    <w:rsid w:val="00517CD6"/>
    <w:rsid w:val="00517CED"/>
    <w:rsid w:val="00517FB3"/>
    <w:rsid w:val="00517FE2"/>
    <w:rsid w:val="0052006A"/>
    <w:rsid w:val="00520122"/>
    <w:rsid w:val="005201B8"/>
    <w:rsid w:val="005201D6"/>
    <w:rsid w:val="00520236"/>
    <w:rsid w:val="0052029B"/>
    <w:rsid w:val="005202BC"/>
    <w:rsid w:val="005204B0"/>
    <w:rsid w:val="005204CE"/>
    <w:rsid w:val="00520531"/>
    <w:rsid w:val="005206A9"/>
    <w:rsid w:val="00520723"/>
    <w:rsid w:val="005207FD"/>
    <w:rsid w:val="00520802"/>
    <w:rsid w:val="00520871"/>
    <w:rsid w:val="00520A11"/>
    <w:rsid w:val="00520C21"/>
    <w:rsid w:val="00521007"/>
    <w:rsid w:val="00521162"/>
    <w:rsid w:val="00521286"/>
    <w:rsid w:val="0052129B"/>
    <w:rsid w:val="005216EB"/>
    <w:rsid w:val="0052198F"/>
    <w:rsid w:val="005219D5"/>
    <w:rsid w:val="00521A8B"/>
    <w:rsid w:val="00521C1F"/>
    <w:rsid w:val="00521EDD"/>
    <w:rsid w:val="005220C3"/>
    <w:rsid w:val="00522254"/>
    <w:rsid w:val="0052228A"/>
    <w:rsid w:val="00522394"/>
    <w:rsid w:val="005223A4"/>
    <w:rsid w:val="00522562"/>
    <w:rsid w:val="005225D1"/>
    <w:rsid w:val="005226AC"/>
    <w:rsid w:val="005227C3"/>
    <w:rsid w:val="005229AF"/>
    <w:rsid w:val="00522A4D"/>
    <w:rsid w:val="00522AEE"/>
    <w:rsid w:val="00522B6A"/>
    <w:rsid w:val="00522B70"/>
    <w:rsid w:val="00522CEF"/>
    <w:rsid w:val="00522D2C"/>
    <w:rsid w:val="00522E59"/>
    <w:rsid w:val="00522EDA"/>
    <w:rsid w:val="005231E3"/>
    <w:rsid w:val="00523262"/>
    <w:rsid w:val="00523272"/>
    <w:rsid w:val="00523295"/>
    <w:rsid w:val="005232A1"/>
    <w:rsid w:val="005232A4"/>
    <w:rsid w:val="005232B4"/>
    <w:rsid w:val="0052338D"/>
    <w:rsid w:val="00523514"/>
    <w:rsid w:val="0052352A"/>
    <w:rsid w:val="005236E0"/>
    <w:rsid w:val="00523760"/>
    <w:rsid w:val="00523827"/>
    <w:rsid w:val="00523BC6"/>
    <w:rsid w:val="00523C5B"/>
    <w:rsid w:val="00523D3C"/>
    <w:rsid w:val="00523EF2"/>
    <w:rsid w:val="00523F2B"/>
    <w:rsid w:val="00523F8D"/>
    <w:rsid w:val="00523FF6"/>
    <w:rsid w:val="00524115"/>
    <w:rsid w:val="0052416D"/>
    <w:rsid w:val="0052419D"/>
    <w:rsid w:val="005241BF"/>
    <w:rsid w:val="005241C3"/>
    <w:rsid w:val="005241D2"/>
    <w:rsid w:val="00524216"/>
    <w:rsid w:val="0052428F"/>
    <w:rsid w:val="00524364"/>
    <w:rsid w:val="005243A6"/>
    <w:rsid w:val="00524414"/>
    <w:rsid w:val="0052443F"/>
    <w:rsid w:val="0052446F"/>
    <w:rsid w:val="005244C9"/>
    <w:rsid w:val="00524597"/>
    <w:rsid w:val="005245AA"/>
    <w:rsid w:val="005245FA"/>
    <w:rsid w:val="005246B8"/>
    <w:rsid w:val="005246EA"/>
    <w:rsid w:val="00524726"/>
    <w:rsid w:val="00524AC4"/>
    <w:rsid w:val="00524B98"/>
    <w:rsid w:val="00524C2F"/>
    <w:rsid w:val="00524C50"/>
    <w:rsid w:val="00524CAC"/>
    <w:rsid w:val="00524E62"/>
    <w:rsid w:val="00524ED8"/>
    <w:rsid w:val="00525010"/>
    <w:rsid w:val="0052501E"/>
    <w:rsid w:val="0052516A"/>
    <w:rsid w:val="00525197"/>
    <w:rsid w:val="0052538C"/>
    <w:rsid w:val="00525427"/>
    <w:rsid w:val="005254D8"/>
    <w:rsid w:val="00525936"/>
    <w:rsid w:val="00525B2B"/>
    <w:rsid w:val="00525B64"/>
    <w:rsid w:val="00525BA6"/>
    <w:rsid w:val="00525BAF"/>
    <w:rsid w:val="00525BE8"/>
    <w:rsid w:val="00525C45"/>
    <w:rsid w:val="00525C48"/>
    <w:rsid w:val="00525C5A"/>
    <w:rsid w:val="00525C60"/>
    <w:rsid w:val="00525CBA"/>
    <w:rsid w:val="00525D53"/>
    <w:rsid w:val="00525F60"/>
    <w:rsid w:val="00525FCE"/>
    <w:rsid w:val="00525FD2"/>
    <w:rsid w:val="00526011"/>
    <w:rsid w:val="00526048"/>
    <w:rsid w:val="005260FA"/>
    <w:rsid w:val="00526114"/>
    <w:rsid w:val="00526203"/>
    <w:rsid w:val="00526273"/>
    <w:rsid w:val="00526403"/>
    <w:rsid w:val="0052641A"/>
    <w:rsid w:val="0052660C"/>
    <w:rsid w:val="005266B7"/>
    <w:rsid w:val="005266CF"/>
    <w:rsid w:val="0052673A"/>
    <w:rsid w:val="0052686A"/>
    <w:rsid w:val="005268AF"/>
    <w:rsid w:val="005269A8"/>
    <w:rsid w:val="00526A1D"/>
    <w:rsid w:val="00526A1F"/>
    <w:rsid w:val="00526C4D"/>
    <w:rsid w:val="00526CEB"/>
    <w:rsid w:val="00526D88"/>
    <w:rsid w:val="00526E12"/>
    <w:rsid w:val="00526FDE"/>
    <w:rsid w:val="0052704D"/>
    <w:rsid w:val="0052716B"/>
    <w:rsid w:val="0052727B"/>
    <w:rsid w:val="005272E2"/>
    <w:rsid w:val="005272F9"/>
    <w:rsid w:val="005274F3"/>
    <w:rsid w:val="00527671"/>
    <w:rsid w:val="0052781A"/>
    <w:rsid w:val="005278F7"/>
    <w:rsid w:val="00527A78"/>
    <w:rsid w:val="00527B41"/>
    <w:rsid w:val="00527D5A"/>
    <w:rsid w:val="00527DE2"/>
    <w:rsid w:val="00527E24"/>
    <w:rsid w:val="00527E4D"/>
    <w:rsid w:val="00530094"/>
    <w:rsid w:val="005300EF"/>
    <w:rsid w:val="005301F8"/>
    <w:rsid w:val="00530208"/>
    <w:rsid w:val="005302AF"/>
    <w:rsid w:val="0053046B"/>
    <w:rsid w:val="00530546"/>
    <w:rsid w:val="0053057A"/>
    <w:rsid w:val="00530582"/>
    <w:rsid w:val="00530636"/>
    <w:rsid w:val="00530A8A"/>
    <w:rsid w:val="00530BA6"/>
    <w:rsid w:val="00530D54"/>
    <w:rsid w:val="00530D70"/>
    <w:rsid w:val="00530D71"/>
    <w:rsid w:val="00530DB5"/>
    <w:rsid w:val="00530DC0"/>
    <w:rsid w:val="0053118B"/>
    <w:rsid w:val="00531259"/>
    <w:rsid w:val="005312FC"/>
    <w:rsid w:val="005313C6"/>
    <w:rsid w:val="0053152C"/>
    <w:rsid w:val="00531558"/>
    <w:rsid w:val="00531580"/>
    <w:rsid w:val="005315F0"/>
    <w:rsid w:val="0053175E"/>
    <w:rsid w:val="005317A1"/>
    <w:rsid w:val="005317EC"/>
    <w:rsid w:val="0053181E"/>
    <w:rsid w:val="00531928"/>
    <w:rsid w:val="00531B52"/>
    <w:rsid w:val="00531C46"/>
    <w:rsid w:val="0053209E"/>
    <w:rsid w:val="00532155"/>
    <w:rsid w:val="005321C1"/>
    <w:rsid w:val="00532271"/>
    <w:rsid w:val="00532292"/>
    <w:rsid w:val="005322D6"/>
    <w:rsid w:val="00532316"/>
    <w:rsid w:val="00532501"/>
    <w:rsid w:val="005325D5"/>
    <w:rsid w:val="00532628"/>
    <w:rsid w:val="005326DD"/>
    <w:rsid w:val="00532903"/>
    <w:rsid w:val="00532A5E"/>
    <w:rsid w:val="00532A8A"/>
    <w:rsid w:val="00532AF1"/>
    <w:rsid w:val="00532B4D"/>
    <w:rsid w:val="00532B8B"/>
    <w:rsid w:val="00532BDE"/>
    <w:rsid w:val="00532D60"/>
    <w:rsid w:val="00532E2A"/>
    <w:rsid w:val="00532F9E"/>
    <w:rsid w:val="00533027"/>
    <w:rsid w:val="005330D0"/>
    <w:rsid w:val="00533189"/>
    <w:rsid w:val="005331C4"/>
    <w:rsid w:val="005331ED"/>
    <w:rsid w:val="0053324B"/>
    <w:rsid w:val="0053328A"/>
    <w:rsid w:val="005333AD"/>
    <w:rsid w:val="00533424"/>
    <w:rsid w:val="0053343D"/>
    <w:rsid w:val="0053352D"/>
    <w:rsid w:val="00533556"/>
    <w:rsid w:val="00533661"/>
    <w:rsid w:val="0053366E"/>
    <w:rsid w:val="00533951"/>
    <w:rsid w:val="00533A55"/>
    <w:rsid w:val="00533A5F"/>
    <w:rsid w:val="00533A6A"/>
    <w:rsid w:val="00533AD8"/>
    <w:rsid w:val="00533C2F"/>
    <w:rsid w:val="00533CE8"/>
    <w:rsid w:val="00533DB2"/>
    <w:rsid w:val="00534171"/>
    <w:rsid w:val="00534259"/>
    <w:rsid w:val="00534260"/>
    <w:rsid w:val="0053441A"/>
    <w:rsid w:val="005344B5"/>
    <w:rsid w:val="005344D9"/>
    <w:rsid w:val="0053467C"/>
    <w:rsid w:val="005347B5"/>
    <w:rsid w:val="005347BA"/>
    <w:rsid w:val="00534BE8"/>
    <w:rsid w:val="00534CDB"/>
    <w:rsid w:val="00534D0A"/>
    <w:rsid w:val="00534DAD"/>
    <w:rsid w:val="00534E32"/>
    <w:rsid w:val="00534F91"/>
    <w:rsid w:val="00535059"/>
    <w:rsid w:val="005350A7"/>
    <w:rsid w:val="00535164"/>
    <w:rsid w:val="00535284"/>
    <w:rsid w:val="0053557F"/>
    <w:rsid w:val="005355A2"/>
    <w:rsid w:val="005355EC"/>
    <w:rsid w:val="00535723"/>
    <w:rsid w:val="0053584C"/>
    <w:rsid w:val="0053585B"/>
    <w:rsid w:val="005359E3"/>
    <w:rsid w:val="00535DBF"/>
    <w:rsid w:val="00535DDF"/>
    <w:rsid w:val="00535E4D"/>
    <w:rsid w:val="00535E50"/>
    <w:rsid w:val="00535E7F"/>
    <w:rsid w:val="00535F4F"/>
    <w:rsid w:val="00535FAB"/>
    <w:rsid w:val="00535FD4"/>
    <w:rsid w:val="00536029"/>
    <w:rsid w:val="0053603D"/>
    <w:rsid w:val="0053616F"/>
    <w:rsid w:val="0053617F"/>
    <w:rsid w:val="0053628D"/>
    <w:rsid w:val="005362EC"/>
    <w:rsid w:val="00536445"/>
    <w:rsid w:val="005364C8"/>
    <w:rsid w:val="00536539"/>
    <w:rsid w:val="00536580"/>
    <w:rsid w:val="0053662A"/>
    <w:rsid w:val="005368E4"/>
    <w:rsid w:val="00536A04"/>
    <w:rsid w:val="00536B31"/>
    <w:rsid w:val="00536C5B"/>
    <w:rsid w:val="00536D22"/>
    <w:rsid w:val="00536FFE"/>
    <w:rsid w:val="00537004"/>
    <w:rsid w:val="00537029"/>
    <w:rsid w:val="00537039"/>
    <w:rsid w:val="00537042"/>
    <w:rsid w:val="00537107"/>
    <w:rsid w:val="0053719B"/>
    <w:rsid w:val="005371E7"/>
    <w:rsid w:val="0053720B"/>
    <w:rsid w:val="00537448"/>
    <w:rsid w:val="005375E5"/>
    <w:rsid w:val="0053760C"/>
    <w:rsid w:val="00537640"/>
    <w:rsid w:val="005377A7"/>
    <w:rsid w:val="00537AB3"/>
    <w:rsid w:val="00537C20"/>
    <w:rsid w:val="00537D09"/>
    <w:rsid w:val="00537ED3"/>
    <w:rsid w:val="00537F4E"/>
    <w:rsid w:val="005400F2"/>
    <w:rsid w:val="00540142"/>
    <w:rsid w:val="00540144"/>
    <w:rsid w:val="00540199"/>
    <w:rsid w:val="005402A2"/>
    <w:rsid w:val="00540345"/>
    <w:rsid w:val="0054039F"/>
    <w:rsid w:val="00540582"/>
    <w:rsid w:val="00540593"/>
    <w:rsid w:val="00540597"/>
    <w:rsid w:val="00540608"/>
    <w:rsid w:val="0054063D"/>
    <w:rsid w:val="00540A96"/>
    <w:rsid w:val="00540BED"/>
    <w:rsid w:val="00540D36"/>
    <w:rsid w:val="00540E72"/>
    <w:rsid w:val="00540F56"/>
    <w:rsid w:val="00541043"/>
    <w:rsid w:val="0054107B"/>
    <w:rsid w:val="0054135C"/>
    <w:rsid w:val="0054144C"/>
    <w:rsid w:val="00541464"/>
    <w:rsid w:val="0054151A"/>
    <w:rsid w:val="00541563"/>
    <w:rsid w:val="0054161F"/>
    <w:rsid w:val="0054168D"/>
    <w:rsid w:val="00541700"/>
    <w:rsid w:val="005417DD"/>
    <w:rsid w:val="0054186E"/>
    <w:rsid w:val="005418F5"/>
    <w:rsid w:val="00541941"/>
    <w:rsid w:val="00541983"/>
    <w:rsid w:val="005419E5"/>
    <w:rsid w:val="00541A15"/>
    <w:rsid w:val="00541A8B"/>
    <w:rsid w:val="00541B17"/>
    <w:rsid w:val="00541BBD"/>
    <w:rsid w:val="00541C94"/>
    <w:rsid w:val="00541CEB"/>
    <w:rsid w:val="0054208E"/>
    <w:rsid w:val="00542134"/>
    <w:rsid w:val="00542154"/>
    <w:rsid w:val="005421AA"/>
    <w:rsid w:val="0054224F"/>
    <w:rsid w:val="005423B4"/>
    <w:rsid w:val="00542484"/>
    <w:rsid w:val="00542486"/>
    <w:rsid w:val="0054248A"/>
    <w:rsid w:val="0054251C"/>
    <w:rsid w:val="0054254B"/>
    <w:rsid w:val="005426DF"/>
    <w:rsid w:val="00542873"/>
    <w:rsid w:val="005428AA"/>
    <w:rsid w:val="00542A26"/>
    <w:rsid w:val="00542B34"/>
    <w:rsid w:val="00542BE6"/>
    <w:rsid w:val="00542E4C"/>
    <w:rsid w:val="00542EBA"/>
    <w:rsid w:val="00543005"/>
    <w:rsid w:val="00543038"/>
    <w:rsid w:val="00543063"/>
    <w:rsid w:val="0054308E"/>
    <w:rsid w:val="005431DA"/>
    <w:rsid w:val="0054325D"/>
    <w:rsid w:val="0054332F"/>
    <w:rsid w:val="00543402"/>
    <w:rsid w:val="00543438"/>
    <w:rsid w:val="00543503"/>
    <w:rsid w:val="0054351C"/>
    <w:rsid w:val="00543548"/>
    <w:rsid w:val="00543593"/>
    <w:rsid w:val="005435D0"/>
    <w:rsid w:val="00543636"/>
    <w:rsid w:val="005436D6"/>
    <w:rsid w:val="0054387B"/>
    <w:rsid w:val="00543889"/>
    <w:rsid w:val="0054388A"/>
    <w:rsid w:val="005438BA"/>
    <w:rsid w:val="00543B1C"/>
    <w:rsid w:val="00543B22"/>
    <w:rsid w:val="00543B6E"/>
    <w:rsid w:val="00543CD9"/>
    <w:rsid w:val="00543CE5"/>
    <w:rsid w:val="00543CE7"/>
    <w:rsid w:val="00543E17"/>
    <w:rsid w:val="00543EDD"/>
    <w:rsid w:val="00544024"/>
    <w:rsid w:val="00544047"/>
    <w:rsid w:val="0054404E"/>
    <w:rsid w:val="005440F2"/>
    <w:rsid w:val="0054414C"/>
    <w:rsid w:val="0054419B"/>
    <w:rsid w:val="00544435"/>
    <w:rsid w:val="00544646"/>
    <w:rsid w:val="005446F1"/>
    <w:rsid w:val="00544782"/>
    <w:rsid w:val="005447F5"/>
    <w:rsid w:val="0054480E"/>
    <w:rsid w:val="00544930"/>
    <w:rsid w:val="00544C4B"/>
    <w:rsid w:val="00544EBB"/>
    <w:rsid w:val="00544EC8"/>
    <w:rsid w:val="00544F0D"/>
    <w:rsid w:val="00544F71"/>
    <w:rsid w:val="00544FE2"/>
    <w:rsid w:val="005450A5"/>
    <w:rsid w:val="00545233"/>
    <w:rsid w:val="00545273"/>
    <w:rsid w:val="00545275"/>
    <w:rsid w:val="005452D2"/>
    <w:rsid w:val="00545392"/>
    <w:rsid w:val="00545699"/>
    <w:rsid w:val="0054578C"/>
    <w:rsid w:val="0054578F"/>
    <w:rsid w:val="00545856"/>
    <w:rsid w:val="00545890"/>
    <w:rsid w:val="00545D7B"/>
    <w:rsid w:val="00545E1E"/>
    <w:rsid w:val="00545EF3"/>
    <w:rsid w:val="00546017"/>
    <w:rsid w:val="00546118"/>
    <w:rsid w:val="0054618E"/>
    <w:rsid w:val="005461FC"/>
    <w:rsid w:val="00546420"/>
    <w:rsid w:val="00546496"/>
    <w:rsid w:val="005465C9"/>
    <w:rsid w:val="005465CD"/>
    <w:rsid w:val="00546681"/>
    <w:rsid w:val="00546A54"/>
    <w:rsid w:val="00546AA3"/>
    <w:rsid w:val="00546AFF"/>
    <w:rsid w:val="00546B28"/>
    <w:rsid w:val="00546C18"/>
    <w:rsid w:val="00546E87"/>
    <w:rsid w:val="00546ECD"/>
    <w:rsid w:val="00546F27"/>
    <w:rsid w:val="00547066"/>
    <w:rsid w:val="005470E6"/>
    <w:rsid w:val="005472AE"/>
    <w:rsid w:val="005472FC"/>
    <w:rsid w:val="00547320"/>
    <w:rsid w:val="00547333"/>
    <w:rsid w:val="0054744A"/>
    <w:rsid w:val="005475BF"/>
    <w:rsid w:val="00547655"/>
    <w:rsid w:val="00547800"/>
    <w:rsid w:val="0054785A"/>
    <w:rsid w:val="005478CB"/>
    <w:rsid w:val="005478F9"/>
    <w:rsid w:val="0054793C"/>
    <w:rsid w:val="00547B7A"/>
    <w:rsid w:val="00547BA8"/>
    <w:rsid w:val="00547ECB"/>
    <w:rsid w:val="00547FBB"/>
    <w:rsid w:val="00550151"/>
    <w:rsid w:val="00550243"/>
    <w:rsid w:val="0055025E"/>
    <w:rsid w:val="00550310"/>
    <w:rsid w:val="005503C0"/>
    <w:rsid w:val="005505C3"/>
    <w:rsid w:val="005506CC"/>
    <w:rsid w:val="0055072D"/>
    <w:rsid w:val="00550749"/>
    <w:rsid w:val="0055079A"/>
    <w:rsid w:val="005508A8"/>
    <w:rsid w:val="0055096F"/>
    <w:rsid w:val="00550A03"/>
    <w:rsid w:val="00550B1A"/>
    <w:rsid w:val="00550C88"/>
    <w:rsid w:val="00550F28"/>
    <w:rsid w:val="00550FAE"/>
    <w:rsid w:val="00551003"/>
    <w:rsid w:val="00551016"/>
    <w:rsid w:val="005510AD"/>
    <w:rsid w:val="0055121E"/>
    <w:rsid w:val="00551288"/>
    <w:rsid w:val="00551475"/>
    <w:rsid w:val="0055153E"/>
    <w:rsid w:val="00551599"/>
    <w:rsid w:val="00551689"/>
    <w:rsid w:val="005517DE"/>
    <w:rsid w:val="00551997"/>
    <w:rsid w:val="00551A70"/>
    <w:rsid w:val="00551AC1"/>
    <w:rsid w:val="00551C0C"/>
    <w:rsid w:val="00551E41"/>
    <w:rsid w:val="00552006"/>
    <w:rsid w:val="005520C5"/>
    <w:rsid w:val="005521DD"/>
    <w:rsid w:val="0055234E"/>
    <w:rsid w:val="00552387"/>
    <w:rsid w:val="005523A0"/>
    <w:rsid w:val="00552513"/>
    <w:rsid w:val="0055257B"/>
    <w:rsid w:val="005526C8"/>
    <w:rsid w:val="005526E2"/>
    <w:rsid w:val="0055272C"/>
    <w:rsid w:val="005527FF"/>
    <w:rsid w:val="005528DE"/>
    <w:rsid w:val="0055298D"/>
    <w:rsid w:val="005529AE"/>
    <w:rsid w:val="00552A78"/>
    <w:rsid w:val="00552B44"/>
    <w:rsid w:val="00552EE3"/>
    <w:rsid w:val="00552FA2"/>
    <w:rsid w:val="00552FCA"/>
    <w:rsid w:val="00553029"/>
    <w:rsid w:val="00553087"/>
    <w:rsid w:val="005530AC"/>
    <w:rsid w:val="005530B2"/>
    <w:rsid w:val="005530F6"/>
    <w:rsid w:val="005532A6"/>
    <w:rsid w:val="00553301"/>
    <w:rsid w:val="005534CC"/>
    <w:rsid w:val="005535FE"/>
    <w:rsid w:val="0055391B"/>
    <w:rsid w:val="0055397C"/>
    <w:rsid w:val="00553B28"/>
    <w:rsid w:val="00553C5F"/>
    <w:rsid w:val="00553CE5"/>
    <w:rsid w:val="00553F62"/>
    <w:rsid w:val="00554129"/>
    <w:rsid w:val="00554136"/>
    <w:rsid w:val="0055417F"/>
    <w:rsid w:val="005541B4"/>
    <w:rsid w:val="00554322"/>
    <w:rsid w:val="005543AC"/>
    <w:rsid w:val="005543AF"/>
    <w:rsid w:val="005543B5"/>
    <w:rsid w:val="00554442"/>
    <w:rsid w:val="0055453C"/>
    <w:rsid w:val="0055467A"/>
    <w:rsid w:val="005546BD"/>
    <w:rsid w:val="00554734"/>
    <w:rsid w:val="00554A0E"/>
    <w:rsid w:val="00554B28"/>
    <w:rsid w:val="00554C04"/>
    <w:rsid w:val="00554D27"/>
    <w:rsid w:val="00554D7A"/>
    <w:rsid w:val="00554E99"/>
    <w:rsid w:val="00554F2F"/>
    <w:rsid w:val="0055504D"/>
    <w:rsid w:val="005550C3"/>
    <w:rsid w:val="005552B8"/>
    <w:rsid w:val="00555305"/>
    <w:rsid w:val="00555379"/>
    <w:rsid w:val="00555391"/>
    <w:rsid w:val="005553AE"/>
    <w:rsid w:val="00555422"/>
    <w:rsid w:val="00555A37"/>
    <w:rsid w:val="00555B58"/>
    <w:rsid w:val="00555BEE"/>
    <w:rsid w:val="00555D14"/>
    <w:rsid w:val="00555EBB"/>
    <w:rsid w:val="00555F58"/>
    <w:rsid w:val="00555F8F"/>
    <w:rsid w:val="00556052"/>
    <w:rsid w:val="00556278"/>
    <w:rsid w:val="00556310"/>
    <w:rsid w:val="0055635F"/>
    <w:rsid w:val="0055636C"/>
    <w:rsid w:val="005563C7"/>
    <w:rsid w:val="005564B6"/>
    <w:rsid w:val="00556545"/>
    <w:rsid w:val="00556692"/>
    <w:rsid w:val="005566B6"/>
    <w:rsid w:val="0055674E"/>
    <w:rsid w:val="00556824"/>
    <w:rsid w:val="00556855"/>
    <w:rsid w:val="005568AD"/>
    <w:rsid w:val="00556A2F"/>
    <w:rsid w:val="00556AF0"/>
    <w:rsid w:val="00556AFF"/>
    <w:rsid w:val="00556BCF"/>
    <w:rsid w:val="00556C63"/>
    <w:rsid w:val="00556C9F"/>
    <w:rsid w:val="00556CB3"/>
    <w:rsid w:val="00556CED"/>
    <w:rsid w:val="00556D68"/>
    <w:rsid w:val="00556E53"/>
    <w:rsid w:val="00556E77"/>
    <w:rsid w:val="00556ED2"/>
    <w:rsid w:val="005570C9"/>
    <w:rsid w:val="005572D8"/>
    <w:rsid w:val="005573A2"/>
    <w:rsid w:val="005573A6"/>
    <w:rsid w:val="00557448"/>
    <w:rsid w:val="00557466"/>
    <w:rsid w:val="005574D5"/>
    <w:rsid w:val="00557779"/>
    <w:rsid w:val="00557892"/>
    <w:rsid w:val="005578AB"/>
    <w:rsid w:val="00557954"/>
    <w:rsid w:val="005579AF"/>
    <w:rsid w:val="00557B5F"/>
    <w:rsid w:val="00557B96"/>
    <w:rsid w:val="00557C34"/>
    <w:rsid w:val="00557D38"/>
    <w:rsid w:val="00557D5A"/>
    <w:rsid w:val="00557E44"/>
    <w:rsid w:val="00557E80"/>
    <w:rsid w:val="00557EA4"/>
    <w:rsid w:val="00557ED4"/>
    <w:rsid w:val="00557F16"/>
    <w:rsid w:val="00557F27"/>
    <w:rsid w:val="00560104"/>
    <w:rsid w:val="00560161"/>
    <w:rsid w:val="0056035F"/>
    <w:rsid w:val="005604E4"/>
    <w:rsid w:val="005605E0"/>
    <w:rsid w:val="0056061C"/>
    <w:rsid w:val="00560679"/>
    <w:rsid w:val="00560730"/>
    <w:rsid w:val="00560774"/>
    <w:rsid w:val="005607A2"/>
    <w:rsid w:val="005607AF"/>
    <w:rsid w:val="005609F6"/>
    <w:rsid w:val="00560A4C"/>
    <w:rsid w:val="00560B25"/>
    <w:rsid w:val="00560DF1"/>
    <w:rsid w:val="0056131C"/>
    <w:rsid w:val="00561353"/>
    <w:rsid w:val="0056135D"/>
    <w:rsid w:val="005613D6"/>
    <w:rsid w:val="00561403"/>
    <w:rsid w:val="005615C7"/>
    <w:rsid w:val="005615F1"/>
    <w:rsid w:val="00561626"/>
    <w:rsid w:val="00561683"/>
    <w:rsid w:val="00561795"/>
    <w:rsid w:val="005618DD"/>
    <w:rsid w:val="00561A9E"/>
    <w:rsid w:val="00561AE5"/>
    <w:rsid w:val="00561AFE"/>
    <w:rsid w:val="00561B22"/>
    <w:rsid w:val="00561CAA"/>
    <w:rsid w:val="00561D42"/>
    <w:rsid w:val="00561F71"/>
    <w:rsid w:val="0056202A"/>
    <w:rsid w:val="00562137"/>
    <w:rsid w:val="00562156"/>
    <w:rsid w:val="005621CC"/>
    <w:rsid w:val="0056226B"/>
    <w:rsid w:val="005622D4"/>
    <w:rsid w:val="005622E2"/>
    <w:rsid w:val="005623EA"/>
    <w:rsid w:val="005623F0"/>
    <w:rsid w:val="0056261E"/>
    <w:rsid w:val="005627EC"/>
    <w:rsid w:val="00562805"/>
    <w:rsid w:val="00562847"/>
    <w:rsid w:val="005628B2"/>
    <w:rsid w:val="00562984"/>
    <w:rsid w:val="00562992"/>
    <w:rsid w:val="00562A59"/>
    <w:rsid w:val="00562B57"/>
    <w:rsid w:val="00562E52"/>
    <w:rsid w:val="00562E61"/>
    <w:rsid w:val="00563019"/>
    <w:rsid w:val="00563067"/>
    <w:rsid w:val="00563266"/>
    <w:rsid w:val="00563279"/>
    <w:rsid w:val="005632C6"/>
    <w:rsid w:val="00563333"/>
    <w:rsid w:val="0056344E"/>
    <w:rsid w:val="00563474"/>
    <w:rsid w:val="005634F8"/>
    <w:rsid w:val="005635B4"/>
    <w:rsid w:val="005636A5"/>
    <w:rsid w:val="00563737"/>
    <w:rsid w:val="00563748"/>
    <w:rsid w:val="00563791"/>
    <w:rsid w:val="005637D3"/>
    <w:rsid w:val="005638F0"/>
    <w:rsid w:val="00563934"/>
    <w:rsid w:val="0056397F"/>
    <w:rsid w:val="00563A13"/>
    <w:rsid w:val="00563A55"/>
    <w:rsid w:val="00563B4B"/>
    <w:rsid w:val="00563C56"/>
    <w:rsid w:val="00563C83"/>
    <w:rsid w:val="00563C9E"/>
    <w:rsid w:val="00563D5B"/>
    <w:rsid w:val="00563DE9"/>
    <w:rsid w:val="00563E3B"/>
    <w:rsid w:val="00563FDB"/>
    <w:rsid w:val="00564008"/>
    <w:rsid w:val="00564067"/>
    <w:rsid w:val="00564174"/>
    <w:rsid w:val="005641A4"/>
    <w:rsid w:val="005643A3"/>
    <w:rsid w:val="005643B6"/>
    <w:rsid w:val="00564666"/>
    <w:rsid w:val="00564667"/>
    <w:rsid w:val="0056474E"/>
    <w:rsid w:val="005647B4"/>
    <w:rsid w:val="00564848"/>
    <w:rsid w:val="00564902"/>
    <w:rsid w:val="0056494E"/>
    <w:rsid w:val="0056496F"/>
    <w:rsid w:val="00564996"/>
    <w:rsid w:val="005649D1"/>
    <w:rsid w:val="00564BAB"/>
    <w:rsid w:val="00564BE8"/>
    <w:rsid w:val="00564D1D"/>
    <w:rsid w:val="00564DBA"/>
    <w:rsid w:val="00564E5C"/>
    <w:rsid w:val="00564E6C"/>
    <w:rsid w:val="00564EF4"/>
    <w:rsid w:val="00564EF9"/>
    <w:rsid w:val="00564EFF"/>
    <w:rsid w:val="00564F6B"/>
    <w:rsid w:val="00565173"/>
    <w:rsid w:val="005651F2"/>
    <w:rsid w:val="00565282"/>
    <w:rsid w:val="005652F3"/>
    <w:rsid w:val="0056533E"/>
    <w:rsid w:val="005653AC"/>
    <w:rsid w:val="005654CE"/>
    <w:rsid w:val="005654F8"/>
    <w:rsid w:val="00565508"/>
    <w:rsid w:val="005657C2"/>
    <w:rsid w:val="00565965"/>
    <w:rsid w:val="00565B68"/>
    <w:rsid w:val="00565D59"/>
    <w:rsid w:val="00565DC7"/>
    <w:rsid w:val="00565E88"/>
    <w:rsid w:val="00565F11"/>
    <w:rsid w:val="00565FE9"/>
    <w:rsid w:val="00565FEF"/>
    <w:rsid w:val="005660DB"/>
    <w:rsid w:val="0056625C"/>
    <w:rsid w:val="00566282"/>
    <w:rsid w:val="0056671D"/>
    <w:rsid w:val="00566779"/>
    <w:rsid w:val="005667FA"/>
    <w:rsid w:val="0056683E"/>
    <w:rsid w:val="00566BBD"/>
    <w:rsid w:val="00566D0A"/>
    <w:rsid w:val="00566F0A"/>
    <w:rsid w:val="0056704B"/>
    <w:rsid w:val="0056711C"/>
    <w:rsid w:val="005671F9"/>
    <w:rsid w:val="0056725D"/>
    <w:rsid w:val="005673CA"/>
    <w:rsid w:val="00567491"/>
    <w:rsid w:val="005674E7"/>
    <w:rsid w:val="00567594"/>
    <w:rsid w:val="00567609"/>
    <w:rsid w:val="00567758"/>
    <w:rsid w:val="00567760"/>
    <w:rsid w:val="00567785"/>
    <w:rsid w:val="00567876"/>
    <w:rsid w:val="00567924"/>
    <w:rsid w:val="00567B68"/>
    <w:rsid w:val="00567C3D"/>
    <w:rsid w:val="00567C6E"/>
    <w:rsid w:val="00567C74"/>
    <w:rsid w:val="00567C7E"/>
    <w:rsid w:val="00567CE9"/>
    <w:rsid w:val="00567F1A"/>
    <w:rsid w:val="00567F39"/>
    <w:rsid w:val="00570048"/>
    <w:rsid w:val="0057010A"/>
    <w:rsid w:val="0057013C"/>
    <w:rsid w:val="00570188"/>
    <w:rsid w:val="00570395"/>
    <w:rsid w:val="00570718"/>
    <w:rsid w:val="0057082B"/>
    <w:rsid w:val="005708DD"/>
    <w:rsid w:val="00570901"/>
    <w:rsid w:val="0057095E"/>
    <w:rsid w:val="00570984"/>
    <w:rsid w:val="005709BD"/>
    <w:rsid w:val="00570A77"/>
    <w:rsid w:val="00570A7A"/>
    <w:rsid w:val="00570C7E"/>
    <w:rsid w:val="00570CA8"/>
    <w:rsid w:val="00570DA9"/>
    <w:rsid w:val="00570EA3"/>
    <w:rsid w:val="00570FB7"/>
    <w:rsid w:val="00570FDD"/>
    <w:rsid w:val="00571051"/>
    <w:rsid w:val="005710DB"/>
    <w:rsid w:val="005711A7"/>
    <w:rsid w:val="005711B1"/>
    <w:rsid w:val="005714F2"/>
    <w:rsid w:val="0057157B"/>
    <w:rsid w:val="0057158D"/>
    <w:rsid w:val="005715B6"/>
    <w:rsid w:val="005717C2"/>
    <w:rsid w:val="00571888"/>
    <w:rsid w:val="005719ED"/>
    <w:rsid w:val="00571AF2"/>
    <w:rsid w:val="00571AFC"/>
    <w:rsid w:val="00571C0A"/>
    <w:rsid w:val="00571C48"/>
    <w:rsid w:val="00571EC1"/>
    <w:rsid w:val="0057211C"/>
    <w:rsid w:val="005723A7"/>
    <w:rsid w:val="005723C4"/>
    <w:rsid w:val="005723DD"/>
    <w:rsid w:val="0057289F"/>
    <w:rsid w:val="005728C5"/>
    <w:rsid w:val="005729F5"/>
    <w:rsid w:val="00572A15"/>
    <w:rsid w:val="00572A6D"/>
    <w:rsid w:val="00572B8B"/>
    <w:rsid w:val="00572BA2"/>
    <w:rsid w:val="00572D47"/>
    <w:rsid w:val="00572DF3"/>
    <w:rsid w:val="0057302D"/>
    <w:rsid w:val="00573118"/>
    <w:rsid w:val="00573155"/>
    <w:rsid w:val="005732EC"/>
    <w:rsid w:val="005734D4"/>
    <w:rsid w:val="0057357F"/>
    <w:rsid w:val="005735E3"/>
    <w:rsid w:val="00573614"/>
    <w:rsid w:val="0057382C"/>
    <w:rsid w:val="00573A3B"/>
    <w:rsid w:val="00573A50"/>
    <w:rsid w:val="00573B2A"/>
    <w:rsid w:val="00573B99"/>
    <w:rsid w:val="00573BD4"/>
    <w:rsid w:val="00573CBE"/>
    <w:rsid w:val="00573D6E"/>
    <w:rsid w:val="00573D78"/>
    <w:rsid w:val="00573DED"/>
    <w:rsid w:val="00573EA1"/>
    <w:rsid w:val="00574025"/>
    <w:rsid w:val="0057413B"/>
    <w:rsid w:val="00574181"/>
    <w:rsid w:val="005741A3"/>
    <w:rsid w:val="005741C4"/>
    <w:rsid w:val="00574278"/>
    <w:rsid w:val="00574331"/>
    <w:rsid w:val="00574346"/>
    <w:rsid w:val="00574440"/>
    <w:rsid w:val="005745C4"/>
    <w:rsid w:val="005745D5"/>
    <w:rsid w:val="00574675"/>
    <w:rsid w:val="0057472C"/>
    <w:rsid w:val="0057474C"/>
    <w:rsid w:val="00574832"/>
    <w:rsid w:val="00574A6C"/>
    <w:rsid w:val="00574B4A"/>
    <w:rsid w:val="00574D36"/>
    <w:rsid w:val="00574F1E"/>
    <w:rsid w:val="005750D1"/>
    <w:rsid w:val="00575122"/>
    <w:rsid w:val="005751E9"/>
    <w:rsid w:val="00575203"/>
    <w:rsid w:val="005752E3"/>
    <w:rsid w:val="00575352"/>
    <w:rsid w:val="0057537A"/>
    <w:rsid w:val="005753FD"/>
    <w:rsid w:val="0057563E"/>
    <w:rsid w:val="005757C7"/>
    <w:rsid w:val="0057595D"/>
    <w:rsid w:val="00575C13"/>
    <w:rsid w:val="00575CB3"/>
    <w:rsid w:val="00575CC3"/>
    <w:rsid w:val="00575CD3"/>
    <w:rsid w:val="00575CFE"/>
    <w:rsid w:val="00575E11"/>
    <w:rsid w:val="00575E33"/>
    <w:rsid w:val="00575E4B"/>
    <w:rsid w:val="00576312"/>
    <w:rsid w:val="0057637A"/>
    <w:rsid w:val="0057646E"/>
    <w:rsid w:val="005764A1"/>
    <w:rsid w:val="0057657F"/>
    <w:rsid w:val="0057677B"/>
    <w:rsid w:val="00576AF7"/>
    <w:rsid w:val="00576B4A"/>
    <w:rsid w:val="00576E59"/>
    <w:rsid w:val="00576F05"/>
    <w:rsid w:val="00576F53"/>
    <w:rsid w:val="005770C8"/>
    <w:rsid w:val="005771AD"/>
    <w:rsid w:val="005772D0"/>
    <w:rsid w:val="005773A4"/>
    <w:rsid w:val="00577539"/>
    <w:rsid w:val="005775F0"/>
    <w:rsid w:val="0057764F"/>
    <w:rsid w:val="0057787C"/>
    <w:rsid w:val="00577A2F"/>
    <w:rsid w:val="00577C6C"/>
    <w:rsid w:val="00577DF3"/>
    <w:rsid w:val="00577E77"/>
    <w:rsid w:val="00577EB7"/>
    <w:rsid w:val="00577EC4"/>
    <w:rsid w:val="00577F55"/>
    <w:rsid w:val="00577FDD"/>
    <w:rsid w:val="00577FDF"/>
    <w:rsid w:val="0058007E"/>
    <w:rsid w:val="0058008B"/>
    <w:rsid w:val="005800AA"/>
    <w:rsid w:val="00580125"/>
    <w:rsid w:val="005801BF"/>
    <w:rsid w:val="00580301"/>
    <w:rsid w:val="005804DA"/>
    <w:rsid w:val="00580598"/>
    <w:rsid w:val="00580673"/>
    <w:rsid w:val="005806D6"/>
    <w:rsid w:val="005807D4"/>
    <w:rsid w:val="005808ED"/>
    <w:rsid w:val="005808F5"/>
    <w:rsid w:val="0058090F"/>
    <w:rsid w:val="00580958"/>
    <w:rsid w:val="00580A04"/>
    <w:rsid w:val="00580A22"/>
    <w:rsid w:val="00580AF1"/>
    <w:rsid w:val="00580C19"/>
    <w:rsid w:val="00580C4F"/>
    <w:rsid w:val="00580C8F"/>
    <w:rsid w:val="00580D8F"/>
    <w:rsid w:val="00580DE0"/>
    <w:rsid w:val="00580DF8"/>
    <w:rsid w:val="00581128"/>
    <w:rsid w:val="00581188"/>
    <w:rsid w:val="005811FB"/>
    <w:rsid w:val="005812FE"/>
    <w:rsid w:val="00581468"/>
    <w:rsid w:val="0058146E"/>
    <w:rsid w:val="0058149B"/>
    <w:rsid w:val="0058152D"/>
    <w:rsid w:val="0058153A"/>
    <w:rsid w:val="005815C0"/>
    <w:rsid w:val="00581859"/>
    <w:rsid w:val="00581969"/>
    <w:rsid w:val="00581AF0"/>
    <w:rsid w:val="00581BF1"/>
    <w:rsid w:val="00581DB1"/>
    <w:rsid w:val="00581E03"/>
    <w:rsid w:val="00581ED5"/>
    <w:rsid w:val="00581F00"/>
    <w:rsid w:val="00582089"/>
    <w:rsid w:val="005820F2"/>
    <w:rsid w:val="0058212C"/>
    <w:rsid w:val="00582187"/>
    <w:rsid w:val="00582223"/>
    <w:rsid w:val="0058226E"/>
    <w:rsid w:val="0058229C"/>
    <w:rsid w:val="00582327"/>
    <w:rsid w:val="0058253A"/>
    <w:rsid w:val="00582796"/>
    <w:rsid w:val="005827F1"/>
    <w:rsid w:val="00582950"/>
    <w:rsid w:val="00582A16"/>
    <w:rsid w:val="00582A64"/>
    <w:rsid w:val="00582BDF"/>
    <w:rsid w:val="00582CA5"/>
    <w:rsid w:val="00582D4E"/>
    <w:rsid w:val="00582D7D"/>
    <w:rsid w:val="00582F32"/>
    <w:rsid w:val="00582FC2"/>
    <w:rsid w:val="005830F7"/>
    <w:rsid w:val="0058329C"/>
    <w:rsid w:val="00583418"/>
    <w:rsid w:val="00583543"/>
    <w:rsid w:val="00583551"/>
    <w:rsid w:val="0058359B"/>
    <w:rsid w:val="00583730"/>
    <w:rsid w:val="0058378E"/>
    <w:rsid w:val="005838E7"/>
    <w:rsid w:val="0058390A"/>
    <w:rsid w:val="00583965"/>
    <w:rsid w:val="00583A42"/>
    <w:rsid w:val="00583C59"/>
    <w:rsid w:val="00583C7D"/>
    <w:rsid w:val="00583CD9"/>
    <w:rsid w:val="00583D88"/>
    <w:rsid w:val="00583DEF"/>
    <w:rsid w:val="00583E3D"/>
    <w:rsid w:val="0058403E"/>
    <w:rsid w:val="00584251"/>
    <w:rsid w:val="0058427E"/>
    <w:rsid w:val="00584320"/>
    <w:rsid w:val="00584435"/>
    <w:rsid w:val="00584693"/>
    <w:rsid w:val="005846B3"/>
    <w:rsid w:val="005849E5"/>
    <w:rsid w:val="00584A71"/>
    <w:rsid w:val="00584BD3"/>
    <w:rsid w:val="00584C77"/>
    <w:rsid w:val="00584CDD"/>
    <w:rsid w:val="00584DEB"/>
    <w:rsid w:val="00584E3A"/>
    <w:rsid w:val="00584FB8"/>
    <w:rsid w:val="0058513A"/>
    <w:rsid w:val="00585158"/>
    <w:rsid w:val="0058537F"/>
    <w:rsid w:val="00585381"/>
    <w:rsid w:val="005853EA"/>
    <w:rsid w:val="00585409"/>
    <w:rsid w:val="0058549B"/>
    <w:rsid w:val="005854F0"/>
    <w:rsid w:val="00585597"/>
    <w:rsid w:val="0058564E"/>
    <w:rsid w:val="00585692"/>
    <w:rsid w:val="0058579E"/>
    <w:rsid w:val="00585841"/>
    <w:rsid w:val="00585B9A"/>
    <w:rsid w:val="00585D94"/>
    <w:rsid w:val="00585DD6"/>
    <w:rsid w:val="00585DFE"/>
    <w:rsid w:val="00585EE4"/>
    <w:rsid w:val="00585EE7"/>
    <w:rsid w:val="0058600C"/>
    <w:rsid w:val="005861C4"/>
    <w:rsid w:val="005862EF"/>
    <w:rsid w:val="0058647F"/>
    <w:rsid w:val="0058649A"/>
    <w:rsid w:val="00586547"/>
    <w:rsid w:val="005866C0"/>
    <w:rsid w:val="00586728"/>
    <w:rsid w:val="00586878"/>
    <w:rsid w:val="0058687B"/>
    <w:rsid w:val="0058688E"/>
    <w:rsid w:val="005868DE"/>
    <w:rsid w:val="00586910"/>
    <w:rsid w:val="005869A9"/>
    <w:rsid w:val="005869C0"/>
    <w:rsid w:val="00586A1B"/>
    <w:rsid w:val="00586A6C"/>
    <w:rsid w:val="00586B30"/>
    <w:rsid w:val="00586C1D"/>
    <w:rsid w:val="00586C2D"/>
    <w:rsid w:val="00586C91"/>
    <w:rsid w:val="00586CB7"/>
    <w:rsid w:val="00586D74"/>
    <w:rsid w:val="00586F51"/>
    <w:rsid w:val="00586F54"/>
    <w:rsid w:val="0058715C"/>
    <w:rsid w:val="00587211"/>
    <w:rsid w:val="0058730C"/>
    <w:rsid w:val="00587415"/>
    <w:rsid w:val="0058744E"/>
    <w:rsid w:val="005874AA"/>
    <w:rsid w:val="00587601"/>
    <w:rsid w:val="005876DF"/>
    <w:rsid w:val="0058772D"/>
    <w:rsid w:val="00587792"/>
    <w:rsid w:val="005877E2"/>
    <w:rsid w:val="00587843"/>
    <w:rsid w:val="00587873"/>
    <w:rsid w:val="005878F4"/>
    <w:rsid w:val="005879BB"/>
    <w:rsid w:val="00587AC6"/>
    <w:rsid w:val="00587AD2"/>
    <w:rsid w:val="00587C59"/>
    <w:rsid w:val="00587C60"/>
    <w:rsid w:val="00587D1F"/>
    <w:rsid w:val="00587F12"/>
    <w:rsid w:val="00587F58"/>
    <w:rsid w:val="00587F6D"/>
    <w:rsid w:val="005900C8"/>
    <w:rsid w:val="0059029F"/>
    <w:rsid w:val="00590361"/>
    <w:rsid w:val="00590423"/>
    <w:rsid w:val="0059057E"/>
    <w:rsid w:val="00590654"/>
    <w:rsid w:val="00590681"/>
    <w:rsid w:val="00590836"/>
    <w:rsid w:val="00590893"/>
    <w:rsid w:val="005908F0"/>
    <w:rsid w:val="00590C1E"/>
    <w:rsid w:val="00590CA5"/>
    <w:rsid w:val="00590CFF"/>
    <w:rsid w:val="00590D11"/>
    <w:rsid w:val="00590D79"/>
    <w:rsid w:val="00590F16"/>
    <w:rsid w:val="00590F86"/>
    <w:rsid w:val="0059102B"/>
    <w:rsid w:val="0059102C"/>
    <w:rsid w:val="0059104B"/>
    <w:rsid w:val="005910C1"/>
    <w:rsid w:val="0059121D"/>
    <w:rsid w:val="0059133E"/>
    <w:rsid w:val="0059134F"/>
    <w:rsid w:val="005916BA"/>
    <w:rsid w:val="005917E0"/>
    <w:rsid w:val="005917F3"/>
    <w:rsid w:val="00591839"/>
    <w:rsid w:val="00591A8D"/>
    <w:rsid w:val="00591ECF"/>
    <w:rsid w:val="00591F4F"/>
    <w:rsid w:val="00592085"/>
    <w:rsid w:val="00592226"/>
    <w:rsid w:val="00592256"/>
    <w:rsid w:val="00592306"/>
    <w:rsid w:val="0059235A"/>
    <w:rsid w:val="00592373"/>
    <w:rsid w:val="005924C2"/>
    <w:rsid w:val="005925C4"/>
    <w:rsid w:val="00592693"/>
    <w:rsid w:val="00592752"/>
    <w:rsid w:val="00592775"/>
    <w:rsid w:val="00592888"/>
    <w:rsid w:val="005928B1"/>
    <w:rsid w:val="005928F0"/>
    <w:rsid w:val="00592A4B"/>
    <w:rsid w:val="00592AB8"/>
    <w:rsid w:val="00592BAF"/>
    <w:rsid w:val="00592F51"/>
    <w:rsid w:val="00592F7B"/>
    <w:rsid w:val="00593006"/>
    <w:rsid w:val="00593127"/>
    <w:rsid w:val="005932DA"/>
    <w:rsid w:val="00593353"/>
    <w:rsid w:val="005933A9"/>
    <w:rsid w:val="00593430"/>
    <w:rsid w:val="005934DA"/>
    <w:rsid w:val="005937A5"/>
    <w:rsid w:val="0059382A"/>
    <w:rsid w:val="00593835"/>
    <w:rsid w:val="005938A9"/>
    <w:rsid w:val="005938FF"/>
    <w:rsid w:val="0059391F"/>
    <w:rsid w:val="00593958"/>
    <w:rsid w:val="00593977"/>
    <w:rsid w:val="00593ABB"/>
    <w:rsid w:val="00593BD0"/>
    <w:rsid w:val="00593BED"/>
    <w:rsid w:val="00593E20"/>
    <w:rsid w:val="00593E55"/>
    <w:rsid w:val="00593EEB"/>
    <w:rsid w:val="00593F3F"/>
    <w:rsid w:val="00593F72"/>
    <w:rsid w:val="0059404B"/>
    <w:rsid w:val="00594121"/>
    <w:rsid w:val="00594142"/>
    <w:rsid w:val="005941D3"/>
    <w:rsid w:val="00594379"/>
    <w:rsid w:val="005943D7"/>
    <w:rsid w:val="0059445D"/>
    <w:rsid w:val="00594504"/>
    <w:rsid w:val="00594508"/>
    <w:rsid w:val="0059463C"/>
    <w:rsid w:val="00594699"/>
    <w:rsid w:val="005948DB"/>
    <w:rsid w:val="00594937"/>
    <w:rsid w:val="00594940"/>
    <w:rsid w:val="00594993"/>
    <w:rsid w:val="00594A90"/>
    <w:rsid w:val="00594AA8"/>
    <w:rsid w:val="00594AB3"/>
    <w:rsid w:val="00594BEA"/>
    <w:rsid w:val="00594CF0"/>
    <w:rsid w:val="00594D1D"/>
    <w:rsid w:val="00594DF3"/>
    <w:rsid w:val="00594E9E"/>
    <w:rsid w:val="00594FB5"/>
    <w:rsid w:val="00595089"/>
    <w:rsid w:val="00595099"/>
    <w:rsid w:val="00595115"/>
    <w:rsid w:val="00595132"/>
    <w:rsid w:val="0059513D"/>
    <w:rsid w:val="005951F6"/>
    <w:rsid w:val="0059525A"/>
    <w:rsid w:val="00595490"/>
    <w:rsid w:val="005954AE"/>
    <w:rsid w:val="005954D8"/>
    <w:rsid w:val="00595519"/>
    <w:rsid w:val="0059555F"/>
    <w:rsid w:val="0059575E"/>
    <w:rsid w:val="00595763"/>
    <w:rsid w:val="005957D8"/>
    <w:rsid w:val="005957F0"/>
    <w:rsid w:val="00595803"/>
    <w:rsid w:val="0059580D"/>
    <w:rsid w:val="00595971"/>
    <w:rsid w:val="00595979"/>
    <w:rsid w:val="00595A3B"/>
    <w:rsid w:val="00595A94"/>
    <w:rsid w:val="00595B20"/>
    <w:rsid w:val="00595D2C"/>
    <w:rsid w:val="00595E01"/>
    <w:rsid w:val="00595F56"/>
    <w:rsid w:val="00595FD8"/>
    <w:rsid w:val="0059602E"/>
    <w:rsid w:val="00596032"/>
    <w:rsid w:val="0059608D"/>
    <w:rsid w:val="005961BD"/>
    <w:rsid w:val="00596335"/>
    <w:rsid w:val="00596387"/>
    <w:rsid w:val="00596400"/>
    <w:rsid w:val="0059643E"/>
    <w:rsid w:val="005966AA"/>
    <w:rsid w:val="005966D1"/>
    <w:rsid w:val="005968E8"/>
    <w:rsid w:val="00596A00"/>
    <w:rsid w:val="00596A9F"/>
    <w:rsid w:val="00596B12"/>
    <w:rsid w:val="00596BE3"/>
    <w:rsid w:val="00596EDD"/>
    <w:rsid w:val="005970ED"/>
    <w:rsid w:val="005970EE"/>
    <w:rsid w:val="0059747C"/>
    <w:rsid w:val="00597622"/>
    <w:rsid w:val="0059773F"/>
    <w:rsid w:val="005978E7"/>
    <w:rsid w:val="005979CF"/>
    <w:rsid w:val="00597B57"/>
    <w:rsid w:val="00597BBC"/>
    <w:rsid w:val="00597BF0"/>
    <w:rsid w:val="00597C40"/>
    <w:rsid w:val="00597C4E"/>
    <w:rsid w:val="00597C51"/>
    <w:rsid w:val="005A0077"/>
    <w:rsid w:val="005A007D"/>
    <w:rsid w:val="005A014E"/>
    <w:rsid w:val="005A022E"/>
    <w:rsid w:val="005A027D"/>
    <w:rsid w:val="005A02A2"/>
    <w:rsid w:val="005A033F"/>
    <w:rsid w:val="005A044D"/>
    <w:rsid w:val="005A047F"/>
    <w:rsid w:val="005A04B7"/>
    <w:rsid w:val="005A04C7"/>
    <w:rsid w:val="005A04F5"/>
    <w:rsid w:val="005A053C"/>
    <w:rsid w:val="005A057C"/>
    <w:rsid w:val="005A066A"/>
    <w:rsid w:val="005A07FF"/>
    <w:rsid w:val="005A0874"/>
    <w:rsid w:val="005A099C"/>
    <w:rsid w:val="005A09F2"/>
    <w:rsid w:val="005A0A31"/>
    <w:rsid w:val="005A0B96"/>
    <w:rsid w:val="005A0BCF"/>
    <w:rsid w:val="005A0C3C"/>
    <w:rsid w:val="005A0D14"/>
    <w:rsid w:val="005A0D93"/>
    <w:rsid w:val="005A0EAF"/>
    <w:rsid w:val="005A1069"/>
    <w:rsid w:val="005A1218"/>
    <w:rsid w:val="005A1482"/>
    <w:rsid w:val="005A156D"/>
    <w:rsid w:val="005A15DB"/>
    <w:rsid w:val="005A1774"/>
    <w:rsid w:val="005A1997"/>
    <w:rsid w:val="005A19FC"/>
    <w:rsid w:val="005A1A6F"/>
    <w:rsid w:val="005A1A76"/>
    <w:rsid w:val="005A1C37"/>
    <w:rsid w:val="005A2052"/>
    <w:rsid w:val="005A205D"/>
    <w:rsid w:val="005A207B"/>
    <w:rsid w:val="005A2226"/>
    <w:rsid w:val="005A23E0"/>
    <w:rsid w:val="005A2411"/>
    <w:rsid w:val="005A24A9"/>
    <w:rsid w:val="005A252A"/>
    <w:rsid w:val="005A25CC"/>
    <w:rsid w:val="005A2631"/>
    <w:rsid w:val="005A2704"/>
    <w:rsid w:val="005A280E"/>
    <w:rsid w:val="005A2B34"/>
    <w:rsid w:val="005A2B38"/>
    <w:rsid w:val="005A2BFC"/>
    <w:rsid w:val="005A2CAF"/>
    <w:rsid w:val="005A2DD1"/>
    <w:rsid w:val="005A2DE7"/>
    <w:rsid w:val="005A2FF7"/>
    <w:rsid w:val="005A31AF"/>
    <w:rsid w:val="005A3229"/>
    <w:rsid w:val="005A3369"/>
    <w:rsid w:val="005A3564"/>
    <w:rsid w:val="005A358C"/>
    <w:rsid w:val="005A3764"/>
    <w:rsid w:val="005A3903"/>
    <w:rsid w:val="005A394A"/>
    <w:rsid w:val="005A3A3F"/>
    <w:rsid w:val="005A3BB4"/>
    <w:rsid w:val="005A3BE4"/>
    <w:rsid w:val="005A3C38"/>
    <w:rsid w:val="005A3E79"/>
    <w:rsid w:val="005A3E9E"/>
    <w:rsid w:val="005A3ED6"/>
    <w:rsid w:val="005A4072"/>
    <w:rsid w:val="005A410D"/>
    <w:rsid w:val="005A41C9"/>
    <w:rsid w:val="005A4266"/>
    <w:rsid w:val="005A426C"/>
    <w:rsid w:val="005A42AE"/>
    <w:rsid w:val="005A43C5"/>
    <w:rsid w:val="005A444B"/>
    <w:rsid w:val="005A454C"/>
    <w:rsid w:val="005A45A4"/>
    <w:rsid w:val="005A45CF"/>
    <w:rsid w:val="005A463F"/>
    <w:rsid w:val="005A473F"/>
    <w:rsid w:val="005A4BD0"/>
    <w:rsid w:val="005A4BD8"/>
    <w:rsid w:val="005A4C19"/>
    <w:rsid w:val="005A4CFE"/>
    <w:rsid w:val="005A4D49"/>
    <w:rsid w:val="005A4DDC"/>
    <w:rsid w:val="005A5046"/>
    <w:rsid w:val="005A50CC"/>
    <w:rsid w:val="005A50ED"/>
    <w:rsid w:val="005A5298"/>
    <w:rsid w:val="005A52AC"/>
    <w:rsid w:val="005A5468"/>
    <w:rsid w:val="005A54A3"/>
    <w:rsid w:val="005A55E7"/>
    <w:rsid w:val="005A56EF"/>
    <w:rsid w:val="005A582D"/>
    <w:rsid w:val="005A584C"/>
    <w:rsid w:val="005A5886"/>
    <w:rsid w:val="005A58AB"/>
    <w:rsid w:val="005A5905"/>
    <w:rsid w:val="005A5A58"/>
    <w:rsid w:val="005A5C99"/>
    <w:rsid w:val="005A5CA2"/>
    <w:rsid w:val="005A5EBE"/>
    <w:rsid w:val="005A5FAF"/>
    <w:rsid w:val="005A608F"/>
    <w:rsid w:val="005A60E2"/>
    <w:rsid w:val="005A61E5"/>
    <w:rsid w:val="005A6266"/>
    <w:rsid w:val="005A6324"/>
    <w:rsid w:val="005A63C6"/>
    <w:rsid w:val="005A6412"/>
    <w:rsid w:val="005A644F"/>
    <w:rsid w:val="005A665B"/>
    <w:rsid w:val="005A6699"/>
    <w:rsid w:val="005A67E3"/>
    <w:rsid w:val="005A6881"/>
    <w:rsid w:val="005A690B"/>
    <w:rsid w:val="005A6961"/>
    <w:rsid w:val="005A69ED"/>
    <w:rsid w:val="005A6A76"/>
    <w:rsid w:val="005A6F47"/>
    <w:rsid w:val="005A6F8D"/>
    <w:rsid w:val="005A704F"/>
    <w:rsid w:val="005A711E"/>
    <w:rsid w:val="005A72FB"/>
    <w:rsid w:val="005A7489"/>
    <w:rsid w:val="005A7494"/>
    <w:rsid w:val="005A758F"/>
    <w:rsid w:val="005A765B"/>
    <w:rsid w:val="005A76C3"/>
    <w:rsid w:val="005A76D0"/>
    <w:rsid w:val="005A76EB"/>
    <w:rsid w:val="005A7702"/>
    <w:rsid w:val="005A78B4"/>
    <w:rsid w:val="005A79EF"/>
    <w:rsid w:val="005A7A96"/>
    <w:rsid w:val="005A7ACD"/>
    <w:rsid w:val="005A7AF1"/>
    <w:rsid w:val="005A7BFA"/>
    <w:rsid w:val="005A7C9A"/>
    <w:rsid w:val="005A7ECA"/>
    <w:rsid w:val="005A7EFC"/>
    <w:rsid w:val="005A7F2E"/>
    <w:rsid w:val="005B000B"/>
    <w:rsid w:val="005B00B3"/>
    <w:rsid w:val="005B0105"/>
    <w:rsid w:val="005B01EA"/>
    <w:rsid w:val="005B02AE"/>
    <w:rsid w:val="005B0338"/>
    <w:rsid w:val="005B04DC"/>
    <w:rsid w:val="005B0593"/>
    <w:rsid w:val="005B063A"/>
    <w:rsid w:val="005B075F"/>
    <w:rsid w:val="005B08BA"/>
    <w:rsid w:val="005B08D9"/>
    <w:rsid w:val="005B0B3E"/>
    <w:rsid w:val="005B0CBE"/>
    <w:rsid w:val="005B0D1F"/>
    <w:rsid w:val="005B0DB8"/>
    <w:rsid w:val="005B0EA1"/>
    <w:rsid w:val="005B0F83"/>
    <w:rsid w:val="005B1326"/>
    <w:rsid w:val="005B13E8"/>
    <w:rsid w:val="005B1564"/>
    <w:rsid w:val="005B1645"/>
    <w:rsid w:val="005B1648"/>
    <w:rsid w:val="005B177B"/>
    <w:rsid w:val="005B17C1"/>
    <w:rsid w:val="005B1812"/>
    <w:rsid w:val="005B185D"/>
    <w:rsid w:val="005B18A2"/>
    <w:rsid w:val="005B1977"/>
    <w:rsid w:val="005B19E1"/>
    <w:rsid w:val="005B1A05"/>
    <w:rsid w:val="005B1B90"/>
    <w:rsid w:val="005B1D10"/>
    <w:rsid w:val="005B1D4C"/>
    <w:rsid w:val="005B1EC6"/>
    <w:rsid w:val="005B1EE0"/>
    <w:rsid w:val="005B20C0"/>
    <w:rsid w:val="005B2117"/>
    <w:rsid w:val="005B21AA"/>
    <w:rsid w:val="005B229C"/>
    <w:rsid w:val="005B235A"/>
    <w:rsid w:val="005B2518"/>
    <w:rsid w:val="005B253B"/>
    <w:rsid w:val="005B2990"/>
    <w:rsid w:val="005B29BC"/>
    <w:rsid w:val="005B2A38"/>
    <w:rsid w:val="005B2AC7"/>
    <w:rsid w:val="005B2AD3"/>
    <w:rsid w:val="005B2ADA"/>
    <w:rsid w:val="005B2B8C"/>
    <w:rsid w:val="005B2DC7"/>
    <w:rsid w:val="005B2F7F"/>
    <w:rsid w:val="005B2FC4"/>
    <w:rsid w:val="005B3076"/>
    <w:rsid w:val="005B30DC"/>
    <w:rsid w:val="005B3168"/>
    <w:rsid w:val="005B31CB"/>
    <w:rsid w:val="005B31F1"/>
    <w:rsid w:val="005B3319"/>
    <w:rsid w:val="005B333D"/>
    <w:rsid w:val="005B3355"/>
    <w:rsid w:val="005B3372"/>
    <w:rsid w:val="005B3435"/>
    <w:rsid w:val="005B34DF"/>
    <w:rsid w:val="005B3703"/>
    <w:rsid w:val="005B381A"/>
    <w:rsid w:val="005B38D0"/>
    <w:rsid w:val="005B38F6"/>
    <w:rsid w:val="005B3918"/>
    <w:rsid w:val="005B3943"/>
    <w:rsid w:val="005B3B7A"/>
    <w:rsid w:val="005B3FC6"/>
    <w:rsid w:val="005B408B"/>
    <w:rsid w:val="005B43AA"/>
    <w:rsid w:val="005B4434"/>
    <w:rsid w:val="005B4493"/>
    <w:rsid w:val="005B4510"/>
    <w:rsid w:val="005B4520"/>
    <w:rsid w:val="005B4567"/>
    <w:rsid w:val="005B458B"/>
    <w:rsid w:val="005B459A"/>
    <w:rsid w:val="005B45EA"/>
    <w:rsid w:val="005B4635"/>
    <w:rsid w:val="005B473D"/>
    <w:rsid w:val="005B49F8"/>
    <w:rsid w:val="005B4BC4"/>
    <w:rsid w:val="005B4C3A"/>
    <w:rsid w:val="005B4C41"/>
    <w:rsid w:val="005B4EC0"/>
    <w:rsid w:val="005B4EFE"/>
    <w:rsid w:val="005B506B"/>
    <w:rsid w:val="005B5154"/>
    <w:rsid w:val="005B5356"/>
    <w:rsid w:val="005B5396"/>
    <w:rsid w:val="005B544E"/>
    <w:rsid w:val="005B552C"/>
    <w:rsid w:val="005B5570"/>
    <w:rsid w:val="005B566A"/>
    <w:rsid w:val="005B569C"/>
    <w:rsid w:val="005B5742"/>
    <w:rsid w:val="005B5805"/>
    <w:rsid w:val="005B5898"/>
    <w:rsid w:val="005B59BC"/>
    <w:rsid w:val="005B5AF3"/>
    <w:rsid w:val="005B5B27"/>
    <w:rsid w:val="005B5C8E"/>
    <w:rsid w:val="005B5CBF"/>
    <w:rsid w:val="005B5CED"/>
    <w:rsid w:val="005B5EA2"/>
    <w:rsid w:val="005B6043"/>
    <w:rsid w:val="005B60C0"/>
    <w:rsid w:val="005B60D0"/>
    <w:rsid w:val="005B60DA"/>
    <w:rsid w:val="005B614B"/>
    <w:rsid w:val="005B62D7"/>
    <w:rsid w:val="005B6307"/>
    <w:rsid w:val="005B6311"/>
    <w:rsid w:val="005B6347"/>
    <w:rsid w:val="005B6536"/>
    <w:rsid w:val="005B6548"/>
    <w:rsid w:val="005B6577"/>
    <w:rsid w:val="005B65BC"/>
    <w:rsid w:val="005B67A8"/>
    <w:rsid w:val="005B68F0"/>
    <w:rsid w:val="005B6922"/>
    <w:rsid w:val="005B6A1A"/>
    <w:rsid w:val="005B6D0C"/>
    <w:rsid w:val="005B6D2B"/>
    <w:rsid w:val="005B6D83"/>
    <w:rsid w:val="005B7022"/>
    <w:rsid w:val="005B7118"/>
    <w:rsid w:val="005B71D5"/>
    <w:rsid w:val="005B7272"/>
    <w:rsid w:val="005B72A6"/>
    <w:rsid w:val="005B72C2"/>
    <w:rsid w:val="005B72E7"/>
    <w:rsid w:val="005B7811"/>
    <w:rsid w:val="005B783C"/>
    <w:rsid w:val="005B7846"/>
    <w:rsid w:val="005B78E9"/>
    <w:rsid w:val="005B7C09"/>
    <w:rsid w:val="005B7C86"/>
    <w:rsid w:val="005B7C9A"/>
    <w:rsid w:val="005B7CF5"/>
    <w:rsid w:val="005B7D7F"/>
    <w:rsid w:val="005B7DC5"/>
    <w:rsid w:val="005B7EE2"/>
    <w:rsid w:val="005B7FF4"/>
    <w:rsid w:val="005C00C4"/>
    <w:rsid w:val="005C013D"/>
    <w:rsid w:val="005C0448"/>
    <w:rsid w:val="005C0533"/>
    <w:rsid w:val="005C0673"/>
    <w:rsid w:val="005C070C"/>
    <w:rsid w:val="005C093F"/>
    <w:rsid w:val="005C09D1"/>
    <w:rsid w:val="005C09DA"/>
    <w:rsid w:val="005C0A21"/>
    <w:rsid w:val="005C0A50"/>
    <w:rsid w:val="005C0B23"/>
    <w:rsid w:val="005C0B4C"/>
    <w:rsid w:val="005C0BAE"/>
    <w:rsid w:val="005C0C2A"/>
    <w:rsid w:val="005C0C80"/>
    <w:rsid w:val="005C0CA4"/>
    <w:rsid w:val="005C0DBC"/>
    <w:rsid w:val="005C0DF9"/>
    <w:rsid w:val="005C0FD0"/>
    <w:rsid w:val="005C102A"/>
    <w:rsid w:val="005C1070"/>
    <w:rsid w:val="005C1104"/>
    <w:rsid w:val="005C11F9"/>
    <w:rsid w:val="005C140A"/>
    <w:rsid w:val="005C14E0"/>
    <w:rsid w:val="005C161F"/>
    <w:rsid w:val="005C1859"/>
    <w:rsid w:val="005C19CF"/>
    <w:rsid w:val="005C1BA5"/>
    <w:rsid w:val="005C1FB4"/>
    <w:rsid w:val="005C207B"/>
    <w:rsid w:val="005C20DB"/>
    <w:rsid w:val="005C2147"/>
    <w:rsid w:val="005C2228"/>
    <w:rsid w:val="005C22BF"/>
    <w:rsid w:val="005C242F"/>
    <w:rsid w:val="005C243C"/>
    <w:rsid w:val="005C2578"/>
    <w:rsid w:val="005C282F"/>
    <w:rsid w:val="005C2849"/>
    <w:rsid w:val="005C297E"/>
    <w:rsid w:val="005C2A8C"/>
    <w:rsid w:val="005C2AAC"/>
    <w:rsid w:val="005C2B35"/>
    <w:rsid w:val="005C2BCA"/>
    <w:rsid w:val="005C2C29"/>
    <w:rsid w:val="005C2FAD"/>
    <w:rsid w:val="005C30ED"/>
    <w:rsid w:val="005C32A1"/>
    <w:rsid w:val="005C34E6"/>
    <w:rsid w:val="005C357E"/>
    <w:rsid w:val="005C3595"/>
    <w:rsid w:val="005C3672"/>
    <w:rsid w:val="005C38D8"/>
    <w:rsid w:val="005C3B6A"/>
    <w:rsid w:val="005C3BE9"/>
    <w:rsid w:val="005C3C6E"/>
    <w:rsid w:val="005C3CAA"/>
    <w:rsid w:val="005C4149"/>
    <w:rsid w:val="005C422B"/>
    <w:rsid w:val="005C42CC"/>
    <w:rsid w:val="005C442B"/>
    <w:rsid w:val="005C4496"/>
    <w:rsid w:val="005C44A9"/>
    <w:rsid w:val="005C450B"/>
    <w:rsid w:val="005C45A7"/>
    <w:rsid w:val="005C465E"/>
    <w:rsid w:val="005C4679"/>
    <w:rsid w:val="005C488B"/>
    <w:rsid w:val="005C497B"/>
    <w:rsid w:val="005C4A17"/>
    <w:rsid w:val="005C4A40"/>
    <w:rsid w:val="005C4A7D"/>
    <w:rsid w:val="005C4A92"/>
    <w:rsid w:val="005C4AC8"/>
    <w:rsid w:val="005C4D07"/>
    <w:rsid w:val="005C4D28"/>
    <w:rsid w:val="005C4E29"/>
    <w:rsid w:val="005C4E2C"/>
    <w:rsid w:val="005C4F3D"/>
    <w:rsid w:val="005C500D"/>
    <w:rsid w:val="005C5021"/>
    <w:rsid w:val="005C5023"/>
    <w:rsid w:val="005C5088"/>
    <w:rsid w:val="005C5119"/>
    <w:rsid w:val="005C5224"/>
    <w:rsid w:val="005C54DC"/>
    <w:rsid w:val="005C5511"/>
    <w:rsid w:val="005C5570"/>
    <w:rsid w:val="005C55D7"/>
    <w:rsid w:val="005C563C"/>
    <w:rsid w:val="005C56ED"/>
    <w:rsid w:val="005C5762"/>
    <w:rsid w:val="005C59D8"/>
    <w:rsid w:val="005C5B15"/>
    <w:rsid w:val="005C5B4A"/>
    <w:rsid w:val="005C5D68"/>
    <w:rsid w:val="005C5D83"/>
    <w:rsid w:val="005C5E25"/>
    <w:rsid w:val="005C5F98"/>
    <w:rsid w:val="005C5FE0"/>
    <w:rsid w:val="005C5FE3"/>
    <w:rsid w:val="005C601D"/>
    <w:rsid w:val="005C6087"/>
    <w:rsid w:val="005C608E"/>
    <w:rsid w:val="005C612A"/>
    <w:rsid w:val="005C6307"/>
    <w:rsid w:val="005C6352"/>
    <w:rsid w:val="005C637E"/>
    <w:rsid w:val="005C63A0"/>
    <w:rsid w:val="005C63F2"/>
    <w:rsid w:val="005C6445"/>
    <w:rsid w:val="005C64C0"/>
    <w:rsid w:val="005C6507"/>
    <w:rsid w:val="005C653B"/>
    <w:rsid w:val="005C6540"/>
    <w:rsid w:val="005C67B1"/>
    <w:rsid w:val="005C694C"/>
    <w:rsid w:val="005C6A19"/>
    <w:rsid w:val="005C6A2D"/>
    <w:rsid w:val="005C6A60"/>
    <w:rsid w:val="005C6C55"/>
    <w:rsid w:val="005C6CCD"/>
    <w:rsid w:val="005C6CCF"/>
    <w:rsid w:val="005C6CED"/>
    <w:rsid w:val="005C6D19"/>
    <w:rsid w:val="005C6DA1"/>
    <w:rsid w:val="005C6DB2"/>
    <w:rsid w:val="005C6EA9"/>
    <w:rsid w:val="005C6F24"/>
    <w:rsid w:val="005C707C"/>
    <w:rsid w:val="005C7412"/>
    <w:rsid w:val="005C751D"/>
    <w:rsid w:val="005C765A"/>
    <w:rsid w:val="005C771B"/>
    <w:rsid w:val="005C7882"/>
    <w:rsid w:val="005C7C70"/>
    <w:rsid w:val="005C7CA3"/>
    <w:rsid w:val="005C7DC7"/>
    <w:rsid w:val="005C7DC8"/>
    <w:rsid w:val="005C7E28"/>
    <w:rsid w:val="005C7E7E"/>
    <w:rsid w:val="005C7EB1"/>
    <w:rsid w:val="005D00B5"/>
    <w:rsid w:val="005D0403"/>
    <w:rsid w:val="005D0582"/>
    <w:rsid w:val="005D062B"/>
    <w:rsid w:val="005D076E"/>
    <w:rsid w:val="005D0776"/>
    <w:rsid w:val="005D07C3"/>
    <w:rsid w:val="005D07E4"/>
    <w:rsid w:val="005D083D"/>
    <w:rsid w:val="005D0931"/>
    <w:rsid w:val="005D097A"/>
    <w:rsid w:val="005D0A01"/>
    <w:rsid w:val="005D0AE7"/>
    <w:rsid w:val="005D0C06"/>
    <w:rsid w:val="005D0E7E"/>
    <w:rsid w:val="005D0ED8"/>
    <w:rsid w:val="005D122C"/>
    <w:rsid w:val="005D1241"/>
    <w:rsid w:val="005D124B"/>
    <w:rsid w:val="005D1269"/>
    <w:rsid w:val="005D1327"/>
    <w:rsid w:val="005D13E6"/>
    <w:rsid w:val="005D15AC"/>
    <w:rsid w:val="005D1629"/>
    <w:rsid w:val="005D1888"/>
    <w:rsid w:val="005D1895"/>
    <w:rsid w:val="005D1A26"/>
    <w:rsid w:val="005D1B15"/>
    <w:rsid w:val="005D1BCE"/>
    <w:rsid w:val="005D1C0F"/>
    <w:rsid w:val="005D1C3B"/>
    <w:rsid w:val="005D1CF3"/>
    <w:rsid w:val="005D1DED"/>
    <w:rsid w:val="005D1F29"/>
    <w:rsid w:val="005D2373"/>
    <w:rsid w:val="005D23EA"/>
    <w:rsid w:val="005D2463"/>
    <w:rsid w:val="005D2576"/>
    <w:rsid w:val="005D261C"/>
    <w:rsid w:val="005D2632"/>
    <w:rsid w:val="005D2682"/>
    <w:rsid w:val="005D2714"/>
    <w:rsid w:val="005D2771"/>
    <w:rsid w:val="005D2964"/>
    <w:rsid w:val="005D2AA1"/>
    <w:rsid w:val="005D2AB2"/>
    <w:rsid w:val="005D2B99"/>
    <w:rsid w:val="005D2BE9"/>
    <w:rsid w:val="005D2D8F"/>
    <w:rsid w:val="005D2ED7"/>
    <w:rsid w:val="005D2F27"/>
    <w:rsid w:val="005D2FA9"/>
    <w:rsid w:val="005D3165"/>
    <w:rsid w:val="005D3269"/>
    <w:rsid w:val="005D33CC"/>
    <w:rsid w:val="005D3515"/>
    <w:rsid w:val="005D35B6"/>
    <w:rsid w:val="005D3917"/>
    <w:rsid w:val="005D39CB"/>
    <w:rsid w:val="005D3CF0"/>
    <w:rsid w:val="005D3E74"/>
    <w:rsid w:val="005D3EC6"/>
    <w:rsid w:val="005D3ED5"/>
    <w:rsid w:val="005D3F10"/>
    <w:rsid w:val="005D3F46"/>
    <w:rsid w:val="005D409D"/>
    <w:rsid w:val="005D40BB"/>
    <w:rsid w:val="005D4334"/>
    <w:rsid w:val="005D44D8"/>
    <w:rsid w:val="005D4583"/>
    <w:rsid w:val="005D4630"/>
    <w:rsid w:val="005D4697"/>
    <w:rsid w:val="005D46A0"/>
    <w:rsid w:val="005D4740"/>
    <w:rsid w:val="005D4839"/>
    <w:rsid w:val="005D4864"/>
    <w:rsid w:val="005D48B4"/>
    <w:rsid w:val="005D491B"/>
    <w:rsid w:val="005D49A1"/>
    <w:rsid w:val="005D4AD4"/>
    <w:rsid w:val="005D4E23"/>
    <w:rsid w:val="005D4E7E"/>
    <w:rsid w:val="005D4F7C"/>
    <w:rsid w:val="005D4F96"/>
    <w:rsid w:val="005D4FB6"/>
    <w:rsid w:val="005D4FC7"/>
    <w:rsid w:val="005D5127"/>
    <w:rsid w:val="005D519E"/>
    <w:rsid w:val="005D51BA"/>
    <w:rsid w:val="005D549D"/>
    <w:rsid w:val="005D54A1"/>
    <w:rsid w:val="005D55D3"/>
    <w:rsid w:val="005D56C8"/>
    <w:rsid w:val="005D57AA"/>
    <w:rsid w:val="005D57C7"/>
    <w:rsid w:val="005D58B7"/>
    <w:rsid w:val="005D597D"/>
    <w:rsid w:val="005D5A07"/>
    <w:rsid w:val="005D5B50"/>
    <w:rsid w:val="005D5C62"/>
    <w:rsid w:val="005D5D0E"/>
    <w:rsid w:val="005D5F06"/>
    <w:rsid w:val="005D60A9"/>
    <w:rsid w:val="005D60B1"/>
    <w:rsid w:val="005D60F4"/>
    <w:rsid w:val="005D6363"/>
    <w:rsid w:val="005D63C1"/>
    <w:rsid w:val="005D648F"/>
    <w:rsid w:val="005D64C4"/>
    <w:rsid w:val="005D6612"/>
    <w:rsid w:val="005D6674"/>
    <w:rsid w:val="005D6759"/>
    <w:rsid w:val="005D67D9"/>
    <w:rsid w:val="005D68A3"/>
    <w:rsid w:val="005D6925"/>
    <w:rsid w:val="005D69EE"/>
    <w:rsid w:val="005D6A05"/>
    <w:rsid w:val="005D6AF6"/>
    <w:rsid w:val="005D6BC3"/>
    <w:rsid w:val="005D6BE3"/>
    <w:rsid w:val="005D6C1C"/>
    <w:rsid w:val="005D6D21"/>
    <w:rsid w:val="005D6D8C"/>
    <w:rsid w:val="005D6ED7"/>
    <w:rsid w:val="005D6EDD"/>
    <w:rsid w:val="005D6F70"/>
    <w:rsid w:val="005D6F81"/>
    <w:rsid w:val="005D7000"/>
    <w:rsid w:val="005D7032"/>
    <w:rsid w:val="005D722F"/>
    <w:rsid w:val="005D72AE"/>
    <w:rsid w:val="005D73FC"/>
    <w:rsid w:val="005D761E"/>
    <w:rsid w:val="005D7678"/>
    <w:rsid w:val="005D76E2"/>
    <w:rsid w:val="005D7709"/>
    <w:rsid w:val="005D78C0"/>
    <w:rsid w:val="005D79F7"/>
    <w:rsid w:val="005D7A4F"/>
    <w:rsid w:val="005D7A9E"/>
    <w:rsid w:val="005D7B2B"/>
    <w:rsid w:val="005D7C89"/>
    <w:rsid w:val="005D7CA5"/>
    <w:rsid w:val="005D7E16"/>
    <w:rsid w:val="005D7E6E"/>
    <w:rsid w:val="005D7E88"/>
    <w:rsid w:val="005D7EC9"/>
    <w:rsid w:val="005D7EFD"/>
    <w:rsid w:val="005D7FE5"/>
    <w:rsid w:val="005E004C"/>
    <w:rsid w:val="005E010C"/>
    <w:rsid w:val="005E0276"/>
    <w:rsid w:val="005E033F"/>
    <w:rsid w:val="005E03D8"/>
    <w:rsid w:val="005E041B"/>
    <w:rsid w:val="005E0484"/>
    <w:rsid w:val="005E0507"/>
    <w:rsid w:val="005E0516"/>
    <w:rsid w:val="005E05D0"/>
    <w:rsid w:val="005E06F5"/>
    <w:rsid w:val="005E08F1"/>
    <w:rsid w:val="005E0916"/>
    <w:rsid w:val="005E09E2"/>
    <w:rsid w:val="005E0A31"/>
    <w:rsid w:val="005E0A4F"/>
    <w:rsid w:val="005E0CD0"/>
    <w:rsid w:val="005E0D25"/>
    <w:rsid w:val="005E0DBB"/>
    <w:rsid w:val="005E0E9C"/>
    <w:rsid w:val="005E0FCF"/>
    <w:rsid w:val="005E10B0"/>
    <w:rsid w:val="005E11F9"/>
    <w:rsid w:val="005E1259"/>
    <w:rsid w:val="005E12F6"/>
    <w:rsid w:val="005E144E"/>
    <w:rsid w:val="005E145B"/>
    <w:rsid w:val="005E155A"/>
    <w:rsid w:val="005E1608"/>
    <w:rsid w:val="005E16B0"/>
    <w:rsid w:val="005E17C4"/>
    <w:rsid w:val="005E18F7"/>
    <w:rsid w:val="005E1948"/>
    <w:rsid w:val="005E194E"/>
    <w:rsid w:val="005E1ACB"/>
    <w:rsid w:val="005E1D09"/>
    <w:rsid w:val="005E1D4B"/>
    <w:rsid w:val="005E1E99"/>
    <w:rsid w:val="005E1EE6"/>
    <w:rsid w:val="005E1F5D"/>
    <w:rsid w:val="005E2148"/>
    <w:rsid w:val="005E214A"/>
    <w:rsid w:val="005E21C2"/>
    <w:rsid w:val="005E2342"/>
    <w:rsid w:val="005E2574"/>
    <w:rsid w:val="005E2743"/>
    <w:rsid w:val="005E27AB"/>
    <w:rsid w:val="005E27EA"/>
    <w:rsid w:val="005E2873"/>
    <w:rsid w:val="005E2910"/>
    <w:rsid w:val="005E2A2B"/>
    <w:rsid w:val="005E2AB2"/>
    <w:rsid w:val="005E2AC3"/>
    <w:rsid w:val="005E2C18"/>
    <w:rsid w:val="005E2C3D"/>
    <w:rsid w:val="005E2D21"/>
    <w:rsid w:val="005E2E52"/>
    <w:rsid w:val="005E2F23"/>
    <w:rsid w:val="005E2FDC"/>
    <w:rsid w:val="005E303B"/>
    <w:rsid w:val="005E3150"/>
    <w:rsid w:val="005E31F2"/>
    <w:rsid w:val="005E3293"/>
    <w:rsid w:val="005E32D0"/>
    <w:rsid w:val="005E32D4"/>
    <w:rsid w:val="005E32D9"/>
    <w:rsid w:val="005E32E9"/>
    <w:rsid w:val="005E335F"/>
    <w:rsid w:val="005E356E"/>
    <w:rsid w:val="005E3585"/>
    <w:rsid w:val="005E364F"/>
    <w:rsid w:val="005E366D"/>
    <w:rsid w:val="005E3726"/>
    <w:rsid w:val="005E37B2"/>
    <w:rsid w:val="005E3879"/>
    <w:rsid w:val="005E3935"/>
    <w:rsid w:val="005E393F"/>
    <w:rsid w:val="005E398C"/>
    <w:rsid w:val="005E39E0"/>
    <w:rsid w:val="005E3A69"/>
    <w:rsid w:val="005E3A92"/>
    <w:rsid w:val="005E3AE6"/>
    <w:rsid w:val="005E3B36"/>
    <w:rsid w:val="005E3B38"/>
    <w:rsid w:val="005E3B52"/>
    <w:rsid w:val="005E3B96"/>
    <w:rsid w:val="005E3BA4"/>
    <w:rsid w:val="005E3C02"/>
    <w:rsid w:val="005E3C69"/>
    <w:rsid w:val="005E3D57"/>
    <w:rsid w:val="005E3DE5"/>
    <w:rsid w:val="005E3F15"/>
    <w:rsid w:val="005E3FCB"/>
    <w:rsid w:val="005E3FD3"/>
    <w:rsid w:val="005E4104"/>
    <w:rsid w:val="005E412A"/>
    <w:rsid w:val="005E4307"/>
    <w:rsid w:val="005E45EF"/>
    <w:rsid w:val="005E460E"/>
    <w:rsid w:val="005E4837"/>
    <w:rsid w:val="005E486D"/>
    <w:rsid w:val="005E4997"/>
    <w:rsid w:val="005E4A25"/>
    <w:rsid w:val="005E4B6A"/>
    <w:rsid w:val="005E4B9B"/>
    <w:rsid w:val="005E4BE5"/>
    <w:rsid w:val="005E4BEA"/>
    <w:rsid w:val="005E4C64"/>
    <w:rsid w:val="005E4CFD"/>
    <w:rsid w:val="005E4D0F"/>
    <w:rsid w:val="005E4DE9"/>
    <w:rsid w:val="005E4E32"/>
    <w:rsid w:val="005E4F7A"/>
    <w:rsid w:val="005E4F8C"/>
    <w:rsid w:val="005E5237"/>
    <w:rsid w:val="005E53C5"/>
    <w:rsid w:val="005E5522"/>
    <w:rsid w:val="005E5736"/>
    <w:rsid w:val="005E5741"/>
    <w:rsid w:val="005E584C"/>
    <w:rsid w:val="005E588C"/>
    <w:rsid w:val="005E590B"/>
    <w:rsid w:val="005E5937"/>
    <w:rsid w:val="005E5A89"/>
    <w:rsid w:val="005E5B5A"/>
    <w:rsid w:val="005E5D33"/>
    <w:rsid w:val="005E5DBB"/>
    <w:rsid w:val="005E5DFF"/>
    <w:rsid w:val="005E5E22"/>
    <w:rsid w:val="005E5EB2"/>
    <w:rsid w:val="005E5ED4"/>
    <w:rsid w:val="005E5F6D"/>
    <w:rsid w:val="005E6086"/>
    <w:rsid w:val="005E6128"/>
    <w:rsid w:val="005E61CA"/>
    <w:rsid w:val="005E61E6"/>
    <w:rsid w:val="005E6209"/>
    <w:rsid w:val="005E6254"/>
    <w:rsid w:val="005E62F5"/>
    <w:rsid w:val="005E6338"/>
    <w:rsid w:val="005E6492"/>
    <w:rsid w:val="005E65A1"/>
    <w:rsid w:val="005E6657"/>
    <w:rsid w:val="005E669C"/>
    <w:rsid w:val="005E679B"/>
    <w:rsid w:val="005E6AAE"/>
    <w:rsid w:val="005E6B00"/>
    <w:rsid w:val="005E6B9A"/>
    <w:rsid w:val="005E6BAC"/>
    <w:rsid w:val="005E6C1D"/>
    <w:rsid w:val="005E6C33"/>
    <w:rsid w:val="005E6CB6"/>
    <w:rsid w:val="005E6D61"/>
    <w:rsid w:val="005E6E2D"/>
    <w:rsid w:val="005E6E33"/>
    <w:rsid w:val="005E6F1D"/>
    <w:rsid w:val="005E7084"/>
    <w:rsid w:val="005E70F9"/>
    <w:rsid w:val="005E71D9"/>
    <w:rsid w:val="005E7347"/>
    <w:rsid w:val="005E7391"/>
    <w:rsid w:val="005E7447"/>
    <w:rsid w:val="005E7510"/>
    <w:rsid w:val="005E75C3"/>
    <w:rsid w:val="005E765C"/>
    <w:rsid w:val="005E77AC"/>
    <w:rsid w:val="005E77BB"/>
    <w:rsid w:val="005E77CD"/>
    <w:rsid w:val="005E786D"/>
    <w:rsid w:val="005E7A81"/>
    <w:rsid w:val="005E7ABD"/>
    <w:rsid w:val="005E7B36"/>
    <w:rsid w:val="005E7C2C"/>
    <w:rsid w:val="005E7CA0"/>
    <w:rsid w:val="005E7DB5"/>
    <w:rsid w:val="005E7E14"/>
    <w:rsid w:val="005E7F35"/>
    <w:rsid w:val="005E7F51"/>
    <w:rsid w:val="005F01F9"/>
    <w:rsid w:val="005F03EE"/>
    <w:rsid w:val="005F0404"/>
    <w:rsid w:val="005F048B"/>
    <w:rsid w:val="005F0495"/>
    <w:rsid w:val="005F04A4"/>
    <w:rsid w:val="005F050D"/>
    <w:rsid w:val="005F0580"/>
    <w:rsid w:val="005F05B9"/>
    <w:rsid w:val="005F0656"/>
    <w:rsid w:val="005F0766"/>
    <w:rsid w:val="005F0872"/>
    <w:rsid w:val="005F0923"/>
    <w:rsid w:val="005F0989"/>
    <w:rsid w:val="005F0A0C"/>
    <w:rsid w:val="005F0C2E"/>
    <w:rsid w:val="005F0C5B"/>
    <w:rsid w:val="005F0D72"/>
    <w:rsid w:val="005F0F7E"/>
    <w:rsid w:val="005F117D"/>
    <w:rsid w:val="005F11ED"/>
    <w:rsid w:val="005F1251"/>
    <w:rsid w:val="005F125D"/>
    <w:rsid w:val="005F1322"/>
    <w:rsid w:val="005F1560"/>
    <w:rsid w:val="005F1577"/>
    <w:rsid w:val="005F1614"/>
    <w:rsid w:val="005F1759"/>
    <w:rsid w:val="005F177A"/>
    <w:rsid w:val="005F1832"/>
    <w:rsid w:val="005F1A3F"/>
    <w:rsid w:val="005F1B18"/>
    <w:rsid w:val="005F1C40"/>
    <w:rsid w:val="005F1C92"/>
    <w:rsid w:val="005F1DE0"/>
    <w:rsid w:val="005F1F6F"/>
    <w:rsid w:val="005F1FBF"/>
    <w:rsid w:val="005F200E"/>
    <w:rsid w:val="005F2073"/>
    <w:rsid w:val="005F2127"/>
    <w:rsid w:val="005F21DC"/>
    <w:rsid w:val="005F2220"/>
    <w:rsid w:val="005F225D"/>
    <w:rsid w:val="005F2332"/>
    <w:rsid w:val="005F2347"/>
    <w:rsid w:val="005F2537"/>
    <w:rsid w:val="005F2552"/>
    <w:rsid w:val="005F281A"/>
    <w:rsid w:val="005F2974"/>
    <w:rsid w:val="005F2D1E"/>
    <w:rsid w:val="005F2D9F"/>
    <w:rsid w:val="005F2DB8"/>
    <w:rsid w:val="005F2DBB"/>
    <w:rsid w:val="005F2DD3"/>
    <w:rsid w:val="005F2DE8"/>
    <w:rsid w:val="005F2F18"/>
    <w:rsid w:val="005F2F6C"/>
    <w:rsid w:val="005F30F5"/>
    <w:rsid w:val="005F3346"/>
    <w:rsid w:val="005F336A"/>
    <w:rsid w:val="005F33F9"/>
    <w:rsid w:val="005F340D"/>
    <w:rsid w:val="005F349A"/>
    <w:rsid w:val="005F34B4"/>
    <w:rsid w:val="005F3575"/>
    <w:rsid w:val="005F3581"/>
    <w:rsid w:val="005F3602"/>
    <w:rsid w:val="005F3720"/>
    <w:rsid w:val="005F387B"/>
    <w:rsid w:val="005F3883"/>
    <w:rsid w:val="005F3B4F"/>
    <w:rsid w:val="005F3B99"/>
    <w:rsid w:val="005F3BEC"/>
    <w:rsid w:val="005F3CA3"/>
    <w:rsid w:val="005F3D69"/>
    <w:rsid w:val="005F3DA1"/>
    <w:rsid w:val="005F3DDB"/>
    <w:rsid w:val="005F3E50"/>
    <w:rsid w:val="005F3F4F"/>
    <w:rsid w:val="005F3F72"/>
    <w:rsid w:val="005F42C7"/>
    <w:rsid w:val="005F4459"/>
    <w:rsid w:val="005F44D2"/>
    <w:rsid w:val="005F4567"/>
    <w:rsid w:val="005F45B6"/>
    <w:rsid w:val="005F45D5"/>
    <w:rsid w:val="005F461D"/>
    <w:rsid w:val="005F466C"/>
    <w:rsid w:val="005F4713"/>
    <w:rsid w:val="005F4730"/>
    <w:rsid w:val="005F4762"/>
    <w:rsid w:val="005F47D2"/>
    <w:rsid w:val="005F49B0"/>
    <w:rsid w:val="005F49C9"/>
    <w:rsid w:val="005F4AC0"/>
    <w:rsid w:val="005F4AC1"/>
    <w:rsid w:val="005F4B1F"/>
    <w:rsid w:val="005F4B7E"/>
    <w:rsid w:val="005F4C53"/>
    <w:rsid w:val="005F4CE9"/>
    <w:rsid w:val="005F4D7D"/>
    <w:rsid w:val="005F4DD6"/>
    <w:rsid w:val="005F4E2C"/>
    <w:rsid w:val="005F4EB7"/>
    <w:rsid w:val="005F4ECE"/>
    <w:rsid w:val="005F4F25"/>
    <w:rsid w:val="005F512C"/>
    <w:rsid w:val="005F51D8"/>
    <w:rsid w:val="005F5220"/>
    <w:rsid w:val="005F52AB"/>
    <w:rsid w:val="005F5465"/>
    <w:rsid w:val="005F54E8"/>
    <w:rsid w:val="005F5664"/>
    <w:rsid w:val="005F56E2"/>
    <w:rsid w:val="005F57BD"/>
    <w:rsid w:val="005F58CB"/>
    <w:rsid w:val="005F591F"/>
    <w:rsid w:val="005F5BA4"/>
    <w:rsid w:val="005F5DAF"/>
    <w:rsid w:val="005F5DFD"/>
    <w:rsid w:val="005F5F80"/>
    <w:rsid w:val="005F5FAA"/>
    <w:rsid w:val="005F5FE5"/>
    <w:rsid w:val="005F60E5"/>
    <w:rsid w:val="005F6141"/>
    <w:rsid w:val="005F61CE"/>
    <w:rsid w:val="005F6455"/>
    <w:rsid w:val="005F6510"/>
    <w:rsid w:val="005F6564"/>
    <w:rsid w:val="005F65A0"/>
    <w:rsid w:val="005F65EF"/>
    <w:rsid w:val="005F6733"/>
    <w:rsid w:val="005F68F6"/>
    <w:rsid w:val="005F691B"/>
    <w:rsid w:val="005F69A9"/>
    <w:rsid w:val="005F6CD7"/>
    <w:rsid w:val="005F6D72"/>
    <w:rsid w:val="005F6F92"/>
    <w:rsid w:val="005F6FCD"/>
    <w:rsid w:val="005F7260"/>
    <w:rsid w:val="005F73AA"/>
    <w:rsid w:val="005F7461"/>
    <w:rsid w:val="005F74BF"/>
    <w:rsid w:val="005F759C"/>
    <w:rsid w:val="005F7619"/>
    <w:rsid w:val="005F7650"/>
    <w:rsid w:val="005F76D7"/>
    <w:rsid w:val="005F7852"/>
    <w:rsid w:val="005F7A40"/>
    <w:rsid w:val="005F7A52"/>
    <w:rsid w:val="005F7B4B"/>
    <w:rsid w:val="005F7D36"/>
    <w:rsid w:val="005F7E7D"/>
    <w:rsid w:val="005F7FF2"/>
    <w:rsid w:val="0060004D"/>
    <w:rsid w:val="0060017E"/>
    <w:rsid w:val="0060019E"/>
    <w:rsid w:val="0060020A"/>
    <w:rsid w:val="00600237"/>
    <w:rsid w:val="00600308"/>
    <w:rsid w:val="00600315"/>
    <w:rsid w:val="00600406"/>
    <w:rsid w:val="006005B4"/>
    <w:rsid w:val="00600640"/>
    <w:rsid w:val="00600790"/>
    <w:rsid w:val="00600851"/>
    <w:rsid w:val="006009EE"/>
    <w:rsid w:val="00600A2C"/>
    <w:rsid w:val="00600A91"/>
    <w:rsid w:val="00600CA7"/>
    <w:rsid w:val="00600D87"/>
    <w:rsid w:val="00600DA1"/>
    <w:rsid w:val="00601050"/>
    <w:rsid w:val="006011E1"/>
    <w:rsid w:val="006014EF"/>
    <w:rsid w:val="006016A6"/>
    <w:rsid w:val="006016CA"/>
    <w:rsid w:val="006016F5"/>
    <w:rsid w:val="00601718"/>
    <w:rsid w:val="00601773"/>
    <w:rsid w:val="0060177E"/>
    <w:rsid w:val="0060189D"/>
    <w:rsid w:val="00601AAF"/>
    <w:rsid w:val="00601B01"/>
    <w:rsid w:val="00601B27"/>
    <w:rsid w:val="00601B2D"/>
    <w:rsid w:val="00601C7F"/>
    <w:rsid w:val="00601CE9"/>
    <w:rsid w:val="00601DE7"/>
    <w:rsid w:val="00601E48"/>
    <w:rsid w:val="00601EAD"/>
    <w:rsid w:val="00601FB3"/>
    <w:rsid w:val="00602035"/>
    <w:rsid w:val="006021C0"/>
    <w:rsid w:val="006021FC"/>
    <w:rsid w:val="0060227A"/>
    <w:rsid w:val="00602456"/>
    <w:rsid w:val="00602543"/>
    <w:rsid w:val="006025C3"/>
    <w:rsid w:val="0060261C"/>
    <w:rsid w:val="0060266C"/>
    <w:rsid w:val="00602688"/>
    <w:rsid w:val="0060278A"/>
    <w:rsid w:val="00602893"/>
    <w:rsid w:val="006029EA"/>
    <w:rsid w:val="00602D72"/>
    <w:rsid w:val="00602E0D"/>
    <w:rsid w:val="00602EAD"/>
    <w:rsid w:val="00602F05"/>
    <w:rsid w:val="00603032"/>
    <w:rsid w:val="00603054"/>
    <w:rsid w:val="0060305D"/>
    <w:rsid w:val="00603176"/>
    <w:rsid w:val="006032E7"/>
    <w:rsid w:val="006035CE"/>
    <w:rsid w:val="00603728"/>
    <w:rsid w:val="0060377E"/>
    <w:rsid w:val="00603932"/>
    <w:rsid w:val="00603991"/>
    <w:rsid w:val="00603AA1"/>
    <w:rsid w:val="00603AF4"/>
    <w:rsid w:val="00603B11"/>
    <w:rsid w:val="00603BB4"/>
    <w:rsid w:val="00603C80"/>
    <w:rsid w:val="00603D41"/>
    <w:rsid w:val="00603D4F"/>
    <w:rsid w:val="00603E0C"/>
    <w:rsid w:val="00604053"/>
    <w:rsid w:val="006041A5"/>
    <w:rsid w:val="00604433"/>
    <w:rsid w:val="00604441"/>
    <w:rsid w:val="00604596"/>
    <w:rsid w:val="006045E2"/>
    <w:rsid w:val="006046D7"/>
    <w:rsid w:val="0060474E"/>
    <w:rsid w:val="006047A7"/>
    <w:rsid w:val="006047B6"/>
    <w:rsid w:val="006047BA"/>
    <w:rsid w:val="00604811"/>
    <w:rsid w:val="00604872"/>
    <w:rsid w:val="006048CC"/>
    <w:rsid w:val="006048FD"/>
    <w:rsid w:val="00604901"/>
    <w:rsid w:val="006049AE"/>
    <w:rsid w:val="00604ACE"/>
    <w:rsid w:val="00604B3C"/>
    <w:rsid w:val="00604BB0"/>
    <w:rsid w:val="00604C0D"/>
    <w:rsid w:val="00604D73"/>
    <w:rsid w:val="00604DCF"/>
    <w:rsid w:val="00604DF4"/>
    <w:rsid w:val="00604E40"/>
    <w:rsid w:val="00604ECC"/>
    <w:rsid w:val="00604ED0"/>
    <w:rsid w:val="00604F2E"/>
    <w:rsid w:val="00604FAD"/>
    <w:rsid w:val="0060512F"/>
    <w:rsid w:val="0060513D"/>
    <w:rsid w:val="006051C1"/>
    <w:rsid w:val="006054BB"/>
    <w:rsid w:val="00605802"/>
    <w:rsid w:val="0060595B"/>
    <w:rsid w:val="00605A8F"/>
    <w:rsid w:val="00605AFD"/>
    <w:rsid w:val="00605B2F"/>
    <w:rsid w:val="00605B7B"/>
    <w:rsid w:val="00605C1C"/>
    <w:rsid w:val="00605ED2"/>
    <w:rsid w:val="00605F44"/>
    <w:rsid w:val="006060C3"/>
    <w:rsid w:val="006061C5"/>
    <w:rsid w:val="0060623C"/>
    <w:rsid w:val="00606430"/>
    <w:rsid w:val="006064DE"/>
    <w:rsid w:val="00606501"/>
    <w:rsid w:val="00606857"/>
    <w:rsid w:val="0060698C"/>
    <w:rsid w:val="006069F2"/>
    <w:rsid w:val="00606AA0"/>
    <w:rsid w:val="00606B25"/>
    <w:rsid w:val="00606C3D"/>
    <w:rsid w:val="00606C6C"/>
    <w:rsid w:val="00606C7B"/>
    <w:rsid w:val="00606DFE"/>
    <w:rsid w:val="00606E31"/>
    <w:rsid w:val="006070EE"/>
    <w:rsid w:val="0060731F"/>
    <w:rsid w:val="006074DF"/>
    <w:rsid w:val="006075DD"/>
    <w:rsid w:val="0060782B"/>
    <w:rsid w:val="00607897"/>
    <w:rsid w:val="006079C5"/>
    <w:rsid w:val="00607A85"/>
    <w:rsid w:val="00607C2B"/>
    <w:rsid w:val="00607C74"/>
    <w:rsid w:val="00607C7C"/>
    <w:rsid w:val="00607CA4"/>
    <w:rsid w:val="00607D83"/>
    <w:rsid w:val="00607F5C"/>
    <w:rsid w:val="00607FA7"/>
    <w:rsid w:val="0061003A"/>
    <w:rsid w:val="00610143"/>
    <w:rsid w:val="006101B3"/>
    <w:rsid w:val="006102A7"/>
    <w:rsid w:val="006102D7"/>
    <w:rsid w:val="006102E4"/>
    <w:rsid w:val="0061040C"/>
    <w:rsid w:val="006104D3"/>
    <w:rsid w:val="00610504"/>
    <w:rsid w:val="0061090C"/>
    <w:rsid w:val="00610A2B"/>
    <w:rsid w:val="00610CDF"/>
    <w:rsid w:val="00610D84"/>
    <w:rsid w:val="00610E1B"/>
    <w:rsid w:val="00610F3F"/>
    <w:rsid w:val="00610F99"/>
    <w:rsid w:val="00610FF6"/>
    <w:rsid w:val="00610FFA"/>
    <w:rsid w:val="0061106C"/>
    <w:rsid w:val="0061116B"/>
    <w:rsid w:val="0061117B"/>
    <w:rsid w:val="00611229"/>
    <w:rsid w:val="00611353"/>
    <w:rsid w:val="006113AD"/>
    <w:rsid w:val="00611648"/>
    <w:rsid w:val="0061164B"/>
    <w:rsid w:val="006116C0"/>
    <w:rsid w:val="00611715"/>
    <w:rsid w:val="0061176B"/>
    <w:rsid w:val="006117A3"/>
    <w:rsid w:val="006117D6"/>
    <w:rsid w:val="00611813"/>
    <w:rsid w:val="00611862"/>
    <w:rsid w:val="0061186D"/>
    <w:rsid w:val="0061197F"/>
    <w:rsid w:val="00611A53"/>
    <w:rsid w:val="00611A56"/>
    <w:rsid w:val="00611A8D"/>
    <w:rsid w:val="00611B2F"/>
    <w:rsid w:val="00611CC0"/>
    <w:rsid w:val="00611DF7"/>
    <w:rsid w:val="00611FAB"/>
    <w:rsid w:val="006120DA"/>
    <w:rsid w:val="0061211A"/>
    <w:rsid w:val="00612299"/>
    <w:rsid w:val="006122E4"/>
    <w:rsid w:val="006123D4"/>
    <w:rsid w:val="006123E9"/>
    <w:rsid w:val="006124C3"/>
    <w:rsid w:val="006126DD"/>
    <w:rsid w:val="0061275E"/>
    <w:rsid w:val="0061278A"/>
    <w:rsid w:val="00612AB8"/>
    <w:rsid w:val="00612C49"/>
    <w:rsid w:val="00612E00"/>
    <w:rsid w:val="00612E18"/>
    <w:rsid w:val="00612E23"/>
    <w:rsid w:val="00612EDF"/>
    <w:rsid w:val="00612F7D"/>
    <w:rsid w:val="0061318B"/>
    <w:rsid w:val="006131BB"/>
    <w:rsid w:val="00613311"/>
    <w:rsid w:val="006133E2"/>
    <w:rsid w:val="0061354E"/>
    <w:rsid w:val="00613564"/>
    <w:rsid w:val="00613595"/>
    <w:rsid w:val="006135EF"/>
    <w:rsid w:val="0061367E"/>
    <w:rsid w:val="00613745"/>
    <w:rsid w:val="006138F4"/>
    <w:rsid w:val="0061395A"/>
    <w:rsid w:val="00613B5E"/>
    <w:rsid w:val="00613CB5"/>
    <w:rsid w:val="00613F2A"/>
    <w:rsid w:val="00613FA4"/>
    <w:rsid w:val="00613FBE"/>
    <w:rsid w:val="00614279"/>
    <w:rsid w:val="006142C1"/>
    <w:rsid w:val="00614320"/>
    <w:rsid w:val="006143D6"/>
    <w:rsid w:val="006144E9"/>
    <w:rsid w:val="006146EF"/>
    <w:rsid w:val="006147A5"/>
    <w:rsid w:val="006147D5"/>
    <w:rsid w:val="006147FE"/>
    <w:rsid w:val="0061488E"/>
    <w:rsid w:val="006148A8"/>
    <w:rsid w:val="006148C5"/>
    <w:rsid w:val="006148DA"/>
    <w:rsid w:val="006149AB"/>
    <w:rsid w:val="00614ACF"/>
    <w:rsid w:val="00614BE0"/>
    <w:rsid w:val="00614BF6"/>
    <w:rsid w:val="00614D65"/>
    <w:rsid w:val="00614DB7"/>
    <w:rsid w:val="00614F14"/>
    <w:rsid w:val="006150BA"/>
    <w:rsid w:val="006150C6"/>
    <w:rsid w:val="00615255"/>
    <w:rsid w:val="006153B8"/>
    <w:rsid w:val="00615557"/>
    <w:rsid w:val="006156DA"/>
    <w:rsid w:val="006156E4"/>
    <w:rsid w:val="006156F2"/>
    <w:rsid w:val="00615702"/>
    <w:rsid w:val="00615771"/>
    <w:rsid w:val="006157E9"/>
    <w:rsid w:val="00615838"/>
    <w:rsid w:val="00615907"/>
    <w:rsid w:val="006159BC"/>
    <w:rsid w:val="00615A51"/>
    <w:rsid w:val="00615AFF"/>
    <w:rsid w:val="00615BD4"/>
    <w:rsid w:val="00615E09"/>
    <w:rsid w:val="00615FBC"/>
    <w:rsid w:val="006160BF"/>
    <w:rsid w:val="006160F5"/>
    <w:rsid w:val="00616145"/>
    <w:rsid w:val="00616147"/>
    <w:rsid w:val="00616237"/>
    <w:rsid w:val="0061635F"/>
    <w:rsid w:val="0061661C"/>
    <w:rsid w:val="0061688F"/>
    <w:rsid w:val="00616998"/>
    <w:rsid w:val="00616A6E"/>
    <w:rsid w:val="00616AB9"/>
    <w:rsid w:val="00616B9C"/>
    <w:rsid w:val="00616BEB"/>
    <w:rsid w:val="00616D80"/>
    <w:rsid w:val="00616DFB"/>
    <w:rsid w:val="006170A8"/>
    <w:rsid w:val="0061715E"/>
    <w:rsid w:val="0061727A"/>
    <w:rsid w:val="00617404"/>
    <w:rsid w:val="00617426"/>
    <w:rsid w:val="006174D8"/>
    <w:rsid w:val="006174F7"/>
    <w:rsid w:val="00617546"/>
    <w:rsid w:val="006178FE"/>
    <w:rsid w:val="00617903"/>
    <w:rsid w:val="0061792A"/>
    <w:rsid w:val="00617A06"/>
    <w:rsid w:val="00617A15"/>
    <w:rsid w:val="00617A7B"/>
    <w:rsid w:val="00617C21"/>
    <w:rsid w:val="00617C3B"/>
    <w:rsid w:val="00617C3D"/>
    <w:rsid w:val="00617CE9"/>
    <w:rsid w:val="00617DEE"/>
    <w:rsid w:val="00617DFD"/>
    <w:rsid w:val="00617E17"/>
    <w:rsid w:val="00617EB2"/>
    <w:rsid w:val="00617F39"/>
    <w:rsid w:val="00617F95"/>
    <w:rsid w:val="0062006D"/>
    <w:rsid w:val="0062016A"/>
    <w:rsid w:val="006201B8"/>
    <w:rsid w:val="00620256"/>
    <w:rsid w:val="0062052B"/>
    <w:rsid w:val="0062061E"/>
    <w:rsid w:val="006208D7"/>
    <w:rsid w:val="006208FD"/>
    <w:rsid w:val="00620A71"/>
    <w:rsid w:val="00620B97"/>
    <w:rsid w:val="00620BC2"/>
    <w:rsid w:val="00620C5E"/>
    <w:rsid w:val="00621045"/>
    <w:rsid w:val="006210C3"/>
    <w:rsid w:val="00621148"/>
    <w:rsid w:val="006212DF"/>
    <w:rsid w:val="006213D6"/>
    <w:rsid w:val="00621405"/>
    <w:rsid w:val="006214A7"/>
    <w:rsid w:val="00621565"/>
    <w:rsid w:val="00621588"/>
    <w:rsid w:val="006215D0"/>
    <w:rsid w:val="006216C3"/>
    <w:rsid w:val="00621890"/>
    <w:rsid w:val="00621B13"/>
    <w:rsid w:val="00621C17"/>
    <w:rsid w:val="00621C46"/>
    <w:rsid w:val="00621D1E"/>
    <w:rsid w:val="00621D99"/>
    <w:rsid w:val="006220BD"/>
    <w:rsid w:val="006223C6"/>
    <w:rsid w:val="006223CC"/>
    <w:rsid w:val="006224C6"/>
    <w:rsid w:val="00622518"/>
    <w:rsid w:val="00622584"/>
    <w:rsid w:val="0062264F"/>
    <w:rsid w:val="00622688"/>
    <w:rsid w:val="00622689"/>
    <w:rsid w:val="00622C94"/>
    <w:rsid w:val="00622CBB"/>
    <w:rsid w:val="00622EED"/>
    <w:rsid w:val="00622F18"/>
    <w:rsid w:val="00622FD0"/>
    <w:rsid w:val="00623005"/>
    <w:rsid w:val="006230BE"/>
    <w:rsid w:val="0062318A"/>
    <w:rsid w:val="00623195"/>
    <w:rsid w:val="006231BD"/>
    <w:rsid w:val="00623298"/>
    <w:rsid w:val="006232FF"/>
    <w:rsid w:val="00623320"/>
    <w:rsid w:val="00623324"/>
    <w:rsid w:val="00623737"/>
    <w:rsid w:val="00623AE7"/>
    <w:rsid w:val="00623B61"/>
    <w:rsid w:val="00623BBE"/>
    <w:rsid w:val="00623C07"/>
    <w:rsid w:val="00623D25"/>
    <w:rsid w:val="00623E0F"/>
    <w:rsid w:val="00623E1C"/>
    <w:rsid w:val="00623EE7"/>
    <w:rsid w:val="00623F3A"/>
    <w:rsid w:val="00624093"/>
    <w:rsid w:val="006241B9"/>
    <w:rsid w:val="00624217"/>
    <w:rsid w:val="0062425F"/>
    <w:rsid w:val="0062443F"/>
    <w:rsid w:val="00624444"/>
    <w:rsid w:val="00624463"/>
    <w:rsid w:val="00624475"/>
    <w:rsid w:val="006245BD"/>
    <w:rsid w:val="006245EB"/>
    <w:rsid w:val="006246AD"/>
    <w:rsid w:val="006247B3"/>
    <w:rsid w:val="0062490E"/>
    <w:rsid w:val="0062493C"/>
    <w:rsid w:val="006249DE"/>
    <w:rsid w:val="00624B3F"/>
    <w:rsid w:val="00624BAE"/>
    <w:rsid w:val="00624C5E"/>
    <w:rsid w:val="00624CED"/>
    <w:rsid w:val="00624DB6"/>
    <w:rsid w:val="00624DFD"/>
    <w:rsid w:val="00624E29"/>
    <w:rsid w:val="00624EB2"/>
    <w:rsid w:val="00624EC7"/>
    <w:rsid w:val="006250A3"/>
    <w:rsid w:val="006250D8"/>
    <w:rsid w:val="006250DF"/>
    <w:rsid w:val="00625158"/>
    <w:rsid w:val="0062515A"/>
    <w:rsid w:val="00625316"/>
    <w:rsid w:val="00625439"/>
    <w:rsid w:val="0062568D"/>
    <w:rsid w:val="0062573C"/>
    <w:rsid w:val="0062578B"/>
    <w:rsid w:val="006257DC"/>
    <w:rsid w:val="00625875"/>
    <w:rsid w:val="0062595E"/>
    <w:rsid w:val="00625A72"/>
    <w:rsid w:val="00625A8D"/>
    <w:rsid w:val="00625AD1"/>
    <w:rsid w:val="00625B5F"/>
    <w:rsid w:val="00625CC0"/>
    <w:rsid w:val="00625D0E"/>
    <w:rsid w:val="00625DDC"/>
    <w:rsid w:val="00626057"/>
    <w:rsid w:val="0062616B"/>
    <w:rsid w:val="006261E8"/>
    <w:rsid w:val="00626271"/>
    <w:rsid w:val="0062629B"/>
    <w:rsid w:val="00626335"/>
    <w:rsid w:val="00626403"/>
    <w:rsid w:val="006265F5"/>
    <w:rsid w:val="00626635"/>
    <w:rsid w:val="00626682"/>
    <w:rsid w:val="00626763"/>
    <w:rsid w:val="006268CC"/>
    <w:rsid w:val="006268F3"/>
    <w:rsid w:val="00626903"/>
    <w:rsid w:val="00626952"/>
    <w:rsid w:val="006269FF"/>
    <w:rsid w:val="00626A7A"/>
    <w:rsid w:val="00626B88"/>
    <w:rsid w:val="00626BEB"/>
    <w:rsid w:val="00626C28"/>
    <w:rsid w:val="00626D04"/>
    <w:rsid w:val="00626DA9"/>
    <w:rsid w:val="00626FD3"/>
    <w:rsid w:val="0062713A"/>
    <w:rsid w:val="006271F9"/>
    <w:rsid w:val="00627201"/>
    <w:rsid w:val="006272B7"/>
    <w:rsid w:val="00627326"/>
    <w:rsid w:val="00627556"/>
    <w:rsid w:val="00627624"/>
    <w:rsid w:val="0062762A"/>
    <w:rsid w:val="00627713"/>
    <w:rsid w:val="00627B4C"/>
    <w:rsid w:val="00627B78"/>
    <w:rsid w:val="00627C8C"/>
    <w:rsid w:val="00627D9F"/>
    <w:rsid w:val="00627E38"/>
    <w:rsid w:val="00627E4C"/>
    <w:rsid w:val="00627F68"/>
    <w:rsid w:val="00630138"/>
    <w:rsid w:val="006301DF"/>
    <w:rsid w:val="006304E0"/>
    <w:rsid w:val="0063056C"/>
    <w:rsid w:val="00630794"/>
    <w:rsid w:val="006308CF"/>
    <w:rsid w:val="0063096F"/>
    <w:rsid w:val="00630A17"/>
    <w:rsid w:val="00630A7F"/>
    <w:rsid w:val="00630D5B"/>
    <w:rsid w:val="00630DE3"/>
    <w:rsid w:val="00630EB4"/>
    <w:rsid w:val="00630FB1"/>
    <w:rsid w:val="00630FF9"/>
    <w:rsid w:val="006310E7"/>
    <w:rsid w:val="006312F7"/>
    <w:rsid w:val="006314B1"/>
    <w:rsid w:val="00631500"/>
    <w:rsid w:val="0063177D"/>
    <w:rsid w:val="006317DA"/>
    <w:rsid w:val="00631831"/>
    <w:rsid w:val="00631A7C"/>
    <w:rsid w:val="00631B9C"/>
    <w:rsid w:val="00631C2F"/>
    <w:rsid w:val="00631C7D"/>
    <w:rsid w:val="00631C85"/>
    <w:rsid w:val="00631ED9"/>
    <w:rsid w:val="00631F34"/>
    <w:rsid w:val="006320A9"/>
    <w:rsid w:val="00632137"/>
    <w:rsid w:val="006321BE"/>
    <w:rsid w:val="0063239A"/>
    <w:rsid w:val="00632451"/>
    <w:rsid w:val="00632455"/>
    <w:rsid w:val="0063248F"/>
    <w:rsid w:val="0063252F"/>
    <w:rsid w:val="00632539"/>
    <w:rsid w:val="00632954"/>
    <w:rsid w:val="00632BD7"/>
    <w:rsid w:val="00632D79"/>
    <w:rsid w:val="00632E3F"/>
    <w:rsid w:val="00632FBC"/>
    <w:rsid w:val="00633082"/>
    <w:rsid w:val="00633325"/>
    <w:rsid w:val="00633364"/>
    <w:rsid w:val="00633407"/>
    <w:rsid w:val="00633609"/>
    <w:rsid w:val="00633765"/>
    <w:rsid w:val="0063377C"/>
    <w:rsid w:val="00633818"/>
    <w:rsid w:val="00633878"/>
    <w:rsid w:val="0063387B"/>
    <w:rsid w:val="006338FE"/>
    <w:rsid w:val="00633995"/>
    <w:rsid w:val="00633A48"/>
    <w:rsid w:val="00633AB0"/>
    <w:rsid w:val="00633B09"/>
    <w:rsid w:val="00633CEF"/>
    <w:rsid w:val="00633F34"/>
    <w:rsid w:val="00633F98"/>
    <w:rsid w:val="00634163"/>
    <w:rsid w:val="0063436B"/>
    <w:rsid w:val="006343BE"/>
    <w:rsid w:val="0063442F"/>
    <w:rsid w:val="00634567"/>
    <w:rsid w:val="0063463A"/>
    <w:rsid w:val="00634644"/>
    <w:rsid w:val="00634736"/>
    <w:rsid w:val="00634C78"/>
    <w:rsid w:val="00634C86"/>
    <w:rsid w:val="00634CDA"/>
    <w:rsid w:val="00634F36"/>
    <w:rsid w:val="00635022"/>
    <w:rsid w:val="006351AF"/>
    <w:rsid w:val="006353AC"/>
    <w:rsid w:val="006353CF"/>
    <w:rsid w:val="00635408"/>
    <w:rsid w:val="00635457"/>
    <w:rsid w:val="006355B3"/>
    <w:rsid w:val="006356FC"/>
    <w:rsid w:val="00635723"/>
    <w:rsid w:val="0063573E"/>
    <w:rsid w:val="0063594F"/>
    <w:rsid w:val="006359D3"/>
    <w:rsid w:val="00635A25"/>
    <w:rsid w:val="00635C97"/>
    <w:rsid w:val="00635CCC"/>
    <w:rsid w:val="00635D33"/>
    <w:rsid w:val="00635DF7"/>
    <w:rsid w:val="00635EDA"/>
    <w:rsid w:val="00635F02"/>
    <w:rsid w:val="00635F40"/>
    <w:rsid w:val="0063611D"/>
    <w:rsid w:val="0063629E"/>
    <w:rsid w:val="0063648D"/>
    <w:rsid w:val="006366BC"/>
    <w:rsid w:val="00636885"/>
    <w:rsid w:val="00636D8A"/>
    <w:rsid w:val="00636EE1"/>
    <w:rsid w:val="00636F07"/>
    <w:rsid w:val="00636F3C"/>
    <w:rsid w:val="00637137"/>
    <w:rsid w:val="00637175"/>
    <w:rsid w:val="006371A7"/>
    <w:rsid w:val="0063732E"/>
    <w:rsid w:val="00637369"/>
    <w:rsid w:val="00637428"/>
    <w:rsid w:val="006375A6"/>
    <w:rsid w:val="0063776D"/>
    <w:rsid w:val="006378C4"/>
    <w:rsid w:val="006379C1"/>
    <w:rsid w:val="00637A90"/>
    <w:rsid w:val="00637AA2"/>
    <w:rsid w:val="00637BAB"/>
    <w:rsid w:val="00637BC1"/>
    <w:rsid w:val="00637C14"/>
    <w:rsid w:val="00637CC0"/>
    <w:rsid w:val="00637CED"/>
    <w:rsid w:val="00637D22"/>
    <w:rsid w:val="00637F4B"/>
    <w:rsid w:val="00637F5C"/>
    <w:rsid w:val="00637F6E"/>
    <w:rsid w:val="00637FBD"/>
    <w:rsid w:val="0064009F"/>
    <w:rsid w:val="006403DA"/>
    <w:rsid w:val="006404B7"/>
    <w:rsid w:val="00640588"/>
    <w:rsid w:val="006407A7"/>
    <w:rsid w:val="006408F4"/>
    <w:rsid w:val="006408FD"/>
    <w:rsid w:val="00640991"/>
    <w:rsid w:val="00640BD2"/>
    <w:rsid w:val="00640E7E"/>
    <w:rsid w:val="00640ED6"/>
    <w:rsid w:val="00640F46"/>
    <w:rsid w:val="00640F67"/>
    <w:rsid w:val="00640FE4"/>
    <w:rsid w:val="00641010"/>
    <w:rsid w:val="006410CC"/>
    <w:rsid w:val="0064116B"/>
    <w:rsid w:val="006411BC"/>
    <w:rsid w:val="0064134A"/>
    <w:rsid w:val="0064136A"/>
    <w:rsid w:val="0064136D"/>
    <w:rsid w:val="006413DE"/>
    <w:rsid w:val="00641550"/>
    <w:rsid w:val="006416B0"/>
    <w:rsid w:val="0064186C"/>
    <w:rsid w:val="00641875"/>
    <w:rsid w:val="00641879"/>
    <w:rsid w:val="006418C5"/>
    <w:rsid w:val="006418D2"/>
    <w:rsid w:val="00641A16"/>
    <w:rsid w:val="00641E0E"/>
    <w:rsid w:val="00641E9A"/>
    <w:rsid w:val="00641F31"/>
    <w:rsid w:val="00641F43"/>
    <w:rsid w:val="00641FBD"/>
    <w:rsid w:val="006421EA"/>
    <w:rsid w:val="00642224"/>
    <w:rsid w:val="00642366"/>
    <w:rsid w:val="006423B9"/>
    <w:rsid w:val="006424A1"/>
    <w:rsid w:val="00642573"/>
    <w:rsid w:val="0064264A"/>
    <w:rsid w:val="00642660"/>
    <w:rsid w:val="006426B5"/>
    <w:rsid w:val="006429F2"/>
    <w:rsid w:val="00642BA6"/>
    <w:rsid w:val="00642D01"/>
    <w:rsid w:val="00642D0B"/>
    <w:rsid w:val="00642D5C"/>
    <w:rsid w:val="00642DA6"/>
    <w:rsid w:val="00642EB1"/>
    <w:rsid w:val="00643044"/>
    <w:rsid w:val="00643104"/>
    <w:rsid w:val="00643119"/>
    <w:rsid w:val="00643277"/>
    <w:rsid w:val="00643302"/>
    <w:rsid w:val="00643498"/>
    <w:rsid w:val="006434DD"/>
    <w:rsid w:val="006436D9"/>
    <w:rsid w:val="0064371B"/>
    <w:rsid w:val="00643723"/>
    <w:rsid w:val="0064374B"/>
    <w:rsid w:val="00643981"/>
    <w:rsid w:val="00643A2F"/>
    <w:rsid w:val="00643BD0"/>
    <w:rsid w:val="00643C96"/>
    <w:rsid w:val="00643F0E"/>
    <w:rsid w:val="00643F2A"/>
    <w:rsid w:val="00644050"/>
    <w:rsid w:val="00644229"/>
    <w:rsid w:val="006442C7"/>
    <w:rsid w:val="006444C1"/>
    <w:rsid w:val="00644592"/>
    <w:rsid w:val="006446AE"/>
    <w:rsid w:val="00644729"/>
    <w:rsid w:val="00644830"/>
    <w:rsid w:val="006448AB"/>
    <w:rsid w:val="006448DA"/>
    <w:rsid w:val="00644937"/>
    <w:rsid w:val="00644A92"/>
    <w:rsid w:val="00644AE2"/>
    <w:rsid w:val="00644C97"/>
    <w:rsid w:val="00644D5E"/>
    <w:rsid w:val="00644DE0"/>
    <w:rsid w:val="00644E36"/>
    <w:rsid w:val="00644E7A"/>
    <w:rsid w:val="00644FB2"/>
    <w:rsid w:val="00645004"/>
    <w:rsid w:val="006450D1"/>
    <w:rsid w:val="00645176"/>
    <w:rsid w:val="006451F9"/>
    <w:rsid w:val="00645263"/>
    <w:rsid w:val="006452C8"/>
    <w:rsid w:val="00645370"/>
    <w:rsid w:val="006454CA"/>
    <w:rsid w:val="006454D7"/>
    <w:rsid w:val="00645578"/>
    <w:rsid w:val="006455CD"/>
    <w:rsid w:val="006458CD"/>
    <w:rsid w:val="0064592D"/>
    <w:rsid w:val="00645976"/>
    <w:rsid w:val="006459EA"/>
    <w:rsid w:val="00645A24"/>
    <w:rsid w:val="00645A2D"/>
    <w:rsid w:val="00645D00"/>
    <w:rsid w:val="00645F5A"/>
    <w:rsid w:val="00645F61"/>
    <w:rsid w:val="0064600E"/>
    <w:rsid w:val="00646044"/>
    <w:rsid w:val="006460A3"/>
    <w:rsid w:val="006460D2"/>
    <w:rsid w:val="00646130"/>
    <w:rsid w:val="00646141"/>
    <w:rsid w:val="00646187"/>
    <w:rsid w:val="0064622C"/>
    <w:rsid w:val="00646288"/>
    <w:rsid w:val="00646435"/>
    <w:rsid w:val="006464E2"/>
    <w:rsid w:val="00646503"/>
    <w:rsid w:val="0064655E"/>
    <w:rsid w:val="00646562"/>
    <w:rsid w:val="006466DF"/>
    <w:rsid w:val="006466E7"/>
    <w:rsid w:val="00646751"/>
    <w:rsid w:val="0064684B"/>
    <w:rsid w:val="006468BC"/>
    <w:rsid w:val="00646944"/>
    <w:rsid w:val="006469E0"/>
    <w:rsid w:val="00646AE3"/>
    <w:rsid w:val="00646B4E"/>
    <w:rsid w:val="00646B63"/>
    <w:rsid w:val="00646D3A"/>
    <w:rsid w:val="0064701B"/>
    <w:rsid w:val="006471D5"/>
    <w:rsid w:val="00647349"/>
    <w:rsid w:val="00647548"/>
    <w:rsid w:val="006479C5"/>
    <w:rsid w:val="00647A16"/>
    <w:rsid w:val="00647A50"/>
    <w:rsid w:val="00647C05"/>
    <w:rsid w:val="00647C31"/>
    <w:rsid w:val="00647C3C"/>
    <w:rsid w:val="00647D01"/>
    <w:rsid w:val="00647D65"/>
    <w:rsid w:val="00647DB6"/>
    <w:rsid w:val="00647ED7"/>
    <w:rsid w:val="00647F5E"/>
    <w:rsid w:val="0065011E"/>
    <w:rsid w:val="006501E4"/>
    <w:rsid w:val="00650220"/>
    <w:rsid w:val="006502D7"/>
    <w:rsid w:val="0065032A"/>
    <w:rsid w:val="00650573"/>
    <w:rsid w:val="00650677"/>
    <w:rsid w:val="00650681"/>
    <w:rsid w:val="006506E6"/>
    <w:rsid w:val="006506FE"/>
    <w:rsid w:val="006507E4"/>
    <w:rsid w:val="006509CE"/>
    <w:rsid w:val="006509DA"/>
    <w:rsid w:val="00650CE2"/>
    <w:rsid w:val="00650D28"/>
    <w:rsid w:val="00650DA9"/>
    <w:rsid w:val="00651063"/>
    <w:rsid w:val="00651163"/>
    <w:rsid w:val="00651252"/>
    <w:rsid w:val="00651373"/>
    <w:rsid w:val="0065145A"/>
    <w:rsid w:val="006514BD"/>
    <w:rsid w:val="00651564"/>
    <w:rsid w:val="0065158A"/>
    <w:rsid w:val="006516B9"/>
    <w:rsid w:val="006516E8"/>
    <w:rsid w:val="0065170B"/>
    <w:rsid w:val="00651872"/>
    <w:rsid w:val="00651A0B"/>
    <w:rsid w:val="00651A52"/>
    <w:rsid w:val="00651B28"/>
    <w:rsid w:val="00651B4E"/>
    <w:rsid w:val="00651B6F"/>
    <w:rsid w:val="00651BCF"/>
    <w:rsid w:val="00651C62"/>
    <w:rsid w:val="00651C85"/>
    <w:rsid w:val="00651D31"/>
    <w:rsid w:val="00651DB8"/>
    <w:rsid w:val="00651E25"/>
    <w:rsid w:val="00651E35"/>
    <w:rsid w:val="00651E3C"/>
    <w:rsid w:val="00651E4A"/>
    <w:rsid w:val="00651EE7"/>
    <w:rsid w:val="00651F15"/>
    <w:rsid w:val="006520C0"/>
    <w:rsid w:val="00652437"/>
    <w:rsid w:val="006525EC"/>
    <w:rsid w:val="00652627"/>
    <w:rsid w:val="006526C5"/>
    <w:rsid w:val="0065275A"/>
    <w:rsid w:val="0065276C"/>
    <w:rsid w:val="0065281D"/>
    <w:rsid w:val="006529A6"/>
    <w:rsid w:val="00652AE6"/>
    <w:rsid w:val="00652B1E"/>
    <w:rsid w:val="00652EE7"/>
    <w:rsid w:val="00652FFE"/>
    <w:rsid w:val="006533D6"/>
    <w:rsid w:val="006535FC"/>
    <w:rsid w:val="00653704"/>
    <w:rsid w:val="00653812"/>
    <w:rsid w:val="006538B8"/>
    <w:rsid w:val="006538F1"/>
    <w:rsid w:val="006538F9"/>
    <w:rsid w:val="00653991"/>
    <w:rsid w:val="006539A1"/>
    <w:rsid w:val="00653A3A"/>
    <w:rsid w:val="00653A4E"/>
    <w:rsid w:val="00653C3F"/>
    <w:rsid w:val="00653D33"/>
    <w:rsid w:val="00653E19"/>
    <w:rsid w:val="00653E6C"/>
    <w:rsid w:val="00653E9D"/>
    <w:rsid w:val="00653ED0"/>
    <w:rsid w:val="00653F54"/>
    <w:rsid w:val="0065402C"/>
    <w:rsid w:val="0065423F"/>
    <w:rsid w:val="0065428C"/>
    <w:rsid w:val="006544EB"/>
    <w:rsid w:val="006544F3"/>
    <w:rsid w:val="00654797"/>
    <w:rsid w:val="0065481C"/>
    <w:rsid w:val="0065492D"/>
    <w:rsid w:val="006549D0"/>
    <w:rsid w:val="006549E0"/>
    <w:rsid w:val="00654D42"/>
    <w:rsid w:val="00654E8B"/>
    <w:rsid w:val="00654F0A"/>
    <w:rsid w:val="00654FD4"/>
    <w:rsid w:val="00655040"/>
    <w:rsid w:val="0065518C"/>
    <w:rsid w:val="00655235"/>
    <w:rsid w:val="006556CC"/>
    <w:rsid w:val="00655831"/>
    <w:rsid w:val="00655866"/>
    <w:rsid w:val="00655985"/>
    <w:rsid w:val="00655AD9"/>
    <w:rsid w:val="00655C08"/>
    <w:rsid w:val="00655C79"/>
    <w:rsid w:val="00655CF6"/>
    <w:rsid w:val="00655D41"/>
    <w:rsid w:val="00655F3D"/>
    <w:rsid w:val="00655FC9"/>
    <w:rsid w:val="00656043"/>
    <w:rsid w:val="00656091"/>
    <w:rsid w:val="00656281"/>
    <w:rsid w:val="006562A3"/>
    <w:rsid w:val="00656356"/>
    <w:rsid w:val="006563C7"/>
    <w:rsid w:val="006564DD"/>
    <w:rsid w:val="0065676D"/>
    <w:rsid w:val="006567AC"/>
    <w:rsid w:val="006567B3"/>
    <w:rsid w:val="00656862"/>
    <w:rsid w:val="00656874"/>
    <w:rsid w:val="006568A3"/>
    <w:rsid w:val="006568EF"/>
    <w:rsid w:val="00656909"/>
    <w:rsid w:val="00656B52"/>
    <w:rsid w:val="00656B9B"/>
    <w:rsid w:val="00656CC9"/>
    <w:rsid w:val="00656D6F"/>
    <w:rsid w:val="00656E52"/>
    <w:rsid w:val="00656F5B"/>
    <w:rsid w:val="00656F9D"/>
    <w:rsid w:val="00656FE4"/>
    <w:rsid w:val="00657000"/>
    <w:rsid w:val="00657035"/>
    <w:rsid w:val="0065704D"/>
    <w:rsid w:val="006570AD"/>
    <w:rsid w:val="006570BD"/>
    <w:rsid w:val="006570CC"/>
    <w:rsid w:val="0065713D"/>
    <w:rsid w:val="0065723E"/>
    <w:rsid w:val="00657283"/>
    <w:rsid w:val="00657499"/>
    <w:rsid w:val="006575D9"/>
    <w:rsid w:val="00657662"/>
    <w:rsid w:val="00657721"/>
    <w:rsid w:val="0065775A"/>
    <w:rsid w:val="006578D4"/>
    <w:rsid w:val="00657989"/>
    <w:rsid w:val="006579D2"/>
    <w:rsid w:val="00657A45"/>
    <w:rsid w:val="00657A4D"/>
    <w:rsid w:val="00657A6C"/>
    <w:rsid w:val="00657B16"/>
    <w:rsid w:val="00657B67"/>
    <w:rsid w:val="00657C23"/>
    <w:rsid w:val="00657CF7"/>
    <w:rsid w:val="00657D98"/>
    <w:rsid w:val="00657DEF"/>
    <w:rsid w:val="0066017C"/>
    <w:rsid w:val="00660203"/>
    <w:rsid w:val="006602B1"/>
    <w:rsid w:val="006602E0"/>
    <w:rsid w:val="00660307"/>
    <w:rsid w:val="006604A0"/>
    <w:rsid w:val="0066056A"/>
    <w:rsid w:val="00660594"/>
    <w:rsid w:val="00660597"/>
    <w:rsid w:val="00660892"/>
    <w:rsid w:val="006608A4"/>
    <w:rsid w:val="006608F4"/>
    <w:rsid w:val="00660AA6"/>
    <w:rsid w:val="00660B16"/>
    <w:rsid w:val="00660B91"/>
    <w:rsid w:val="00660C25"/>
    <w:rsid w:val="00660CC3"/>
    <w:rsid w:val="00660EAD"/>
    <w:rsid w:val="00660F3A"/>
    <w:rsid w:val="00660F4A"/>
    <w:rsid w:val="00660FBC"/>
    <w:rsid w:val="0066113C"/>
    <w:rsid w:val="006612A3"/>
    <w:rsid w:val="006612C6"/>
    <w:rsid w:val="00661396"/>
    <w:rsid w:val="0066139A"/>
    <w:rsid w:val="006613DD"/>
    <w:rsid w:val="006613F2"/>
    <w:rsid w:val="006614C4"/>
    <w:rsid w:val="0066153D"/>
    <w:rsid w:val="00661593"/>
    <w:rsid w:val="00661614"/>
    <w:rsid w:val="0066171C"/>
    <w:rsid w:val="006617B1"/>
    <w:rsid w:val="006618FD"/>
    <w:rsid w:val="006619D7"/>
    <w:rsid w:val="00661BD1"/>
    <w:rsid w:val="00662201"/>
    <w:rsid w:val="006622D9"/>
    <w:rsid w:val="006624D8"/>
    <w:rsid w:val="0066258C"/>
    <w:rsid w:val="0066259B"/>
    <w:rsid w:val="006626CC"/>
    <w:rsid w:val="006626F1"/>
    <w:rsid w:val="00662754"/>
    <w:rsid w:val="0066275F"/>
    <w:rsid w:val="00662792"/>
    <w:rsid w:val="006627DD"/>
    <w:rsid w:val="00662B9E"/>
    <w:rsid w:val="00662C13"/>
    <w:rsid w:val="00662D48"/>
    <w:rsid w:val="00662D9C"/>
    <w:rsid w:val="00663060"/>
    <w:rsid w:val="00663334"/>
    <w:rsid w:val="006633EE"/>
    <w:rsid w:val="00663437"/>
    <w:rsid w:val="00663447"/>
    <w:rsid w:val="00663724"/>
    <w:rsid w:val="00663784"/>
    <w:rsid w:val="006637C2"/>
    <w:rsid w:val="00663803"/>
    <w:rsid w:val="00663819"/>
    <w:rsid w:val="0066397E"/>
    <w:rsid w:val="00663A7F"/>
    <w:rsid w:val="00663BBF"/>
    <w:rsid w:val="00663BCB"/>
    <w:rsid w:val="00663ECE"/>
    <w:rsid w:val="006640C3"/>
    <w:rsid w:val="006641E7"/>
    <w:rsid w:val="0066457F"/>
    <w:rsid w:val="0066468C"/>
    <w:rsid w:val="006646C3"/>
    <w:rsid w:val="006648A4"/>
    <w:rsid w:val="00664A64"/>
    <w:rsid w:val="00664A96"/>
    <w:rsid w:val="00664AAE"/>
    <w:rsid w:val="00664AE0"/>
    <w:rsid w:val="00664CF2"/>
    <w:rsid w:val="00664D3E"/>
    <w:rsid w:val="00664EED"/>
    <w:rsid w:val="00664FCB"/>
    <w:rsid w:val="00665100"/>
    <w:rsid w:val="00665139"/>
    <w:rsid w:val="00665232"/>
    <w:rsid w:val="006654E9"/>
    <w:rsid w:val="006654F9"/>
    <w:rsid w:val="006656B1"/>
    <w:rsid w:val="00665829"/>
    <w:rsid w:val="00665880"/>
    <w:rsid w:val="0066588B"/>
    <w:rsid w:val="00665949"/>
    <w:rsid w:val="00665952"/>
    <w:rsid w:val="00665A42"/>
    <w:rsid w:val="00665B73"/>
    <w:rsid w:val="00665BFD"/>
    <w:rsid w:val="00665CB8"/>
    <w:rsid w:val="00665CE1"/>
    <w:rsid w:val="00665DFD"/>
    <w:rsid w:val="00665E0C"/>
    <w:rsid w:val="00665E63"/>
    <w:rsid w:val="00665F10"/>
    <w:rsid w:val="00666218"/>
    <w:rsid w:val="006662BE"/>
    <w:rsid w:val="00666384"/>
    <w:rsid w:val="006663B4"/>
    <w:rsid w:val="006663C2"/>
    <w:rsid w:val="0066657B"/>
    <w:rsid w:val="006665CE"/>
    <w:rsid w:val="0066665A"/>
    <w:rsid w:val="006666A2"/>
    <w:rsid w:val="006666CE"/>
    <w:rsid w:val="006667DA"/>
    <w:rsid w:val="006667ED"/>
    <w:rsid w:val="00666837"/>
    <w:rsid w:val="00666863"/>
    <w:rsid w:val="0066695F"/>
    <w:rsid w:val="006669AD"/>
    <w:rsid w:val="00666A43"/>
    <w:rsid w:val="00666B61"/>
    <w:rsid w:val="00666EDB"/>
    <w:rsid w:val="00667150"/>
    <w:rsid w:val="00667190"/>
    <w:rsid w:val="0066736B"/>
    <w:rsid w:val="006673C1"/>
    <w:rsid w:val="00667689"/>
    <w:rsid w:val="006677C7"/>
    <w:rsid w:val="00667814"/>
    <w:rsid w:val="00667857"/>
    <w:rsid w:val="006679DE"/>
    <w:rsid w:val="00667B00"/>
    <w:rsid w:val="00667DD5"/>
    <w:rsid w:val="00667DE3"/>
    <w:rsid w:val="00667F3A"/>
    <w:rsid w:val="0067002D"/>
    <w:rsid w:val="0067005C"/>
    <w:rsid w:val="0067019A"/>
    <w:rsid w:val="006702F3"/>
    <w:rsid w:val="006703F9"/>
    <w:rsid w:val="006704EB"/>
    <w:rsid w:val="00670768"/>
    <w:rsid w:val="0067076A"/>
    <w:rsid w:val="006708E4"/>
    <w:rsid w:val="00670920"/>
    <w:rsid w:val="00670A8F"/>
    <w:rsid w:val="00670AC9"/>
    <w:rsid w:val="00670AF8"/>
    <w:rsid w:val="00670B0D"/>
    <w:rsid w:val="00670C37"/>
    <w:rsid w:val="00670C3E"/>
    <w:rsid w:val="00670CF5"/>
    <w:rsid w:val="00670DF1"/>
    <w:rsid w:val="00670E1D"/>
    <w:rsid w:val="00670FED"/>
    <w:rsid w:val="00671109"/>
    <w:rsid w:val="00671187"/>
    <w:rsid w:val="006713F0"/>
    <w:rsid w:val="0067141B"/>
    <w:rsid w:val="00671509"/>
    <w:rsid w:val="00671630"/>
    <w:rsid w:val="0067174D"/>
    <w:rsid w:val="006717A6"/>
    <w:rsid w:val="006718C7"/>
    <w:rsid w:val="0067191D"/>
    <w:rsid w:val="00671A6D"/>
    <w:rsid w:val="00671AEF"/>
    <w:rsid w:val="00671BA8"/>
    <w:rsid w:val="00671BCC"/>
    <w:rsid w:val="00671E9C"/>
    <w:rsid w:val="00671EAF"/>
    <w:rsid w:val="00672120"/>
    <w:rsid w:val="00672167"/>
    <w:rsid w:val="00672211"/>
    <w:rsid w:val="0067236D"/>
    <w:rsid w:val="00672385"/>
    <w:rsid w:val="006724D6"/>
    <w:rsid w:val="006726F7"/>
    <w:rsid w:val="00672778"/>
    <w:rsid w:val="00672878"/>
    <w:rsid w:val="006728B0"/>
    <w:rsid w:val="00672BFB"/>
    <w:rsid w:val="00672CBF"/>
    <w:rsid w:val="00672CC1"/>
    <w:rsid w:val="00672E05"/>
    <w:rsid w:val="00672E7D"/>
    <w:rsid w:val="00673076"/>
    <w:rsid w:val="00673305"/>
    <w:rsid w:val="006733A0"/>
    <w:rsid w:val="0067344A"/>
    <w:rsid w:val="0067369A"/>
    <w:rsid w:val="00673709"/>
    <w:rsid w:val="0067376D"/>
    <w:rsid w:val="0067380D"/>
    <w:rsid w:val="00673872"/>
    <w:rsid w:val="00673A13"/>
    <w:rsid w:val="00673A89"/>
    <w:rsid w:val="00673A95"/>
    <w:rsid w:val="00673B35"/>
    <w:rsid w:val="00673B4D"/>
    <w:rsid w:val="00673B83"/>
    <w:rsid w:val="00673D07"/>
    <w:rsid w:val="00673D7B"/>
    <w:rsid w:val="00673E6B"/>
    <w:rsid w:val="00674034"/>
    <w:rsid w:val="0067408D"/>
    <w:rsid w:val="006742DE"/>
    <w:rsid w:val="00674329"/>
    <w:rsid w:val="00674399"/>
    <w:rsid w:val="006743DA"/>
    <w:rsid w:val="0067441A"/>
    <w:rsid w:val="0067444D"/>
    <w:rsid w:val="00674498"/>
    <w:rsid w:val="00674728"/>
    <w:rsid w:val="00674742"/>
    <w:rsid w:val="0067477E"/>
    <w:rsid w:val="006748C2"/>
    <w:rsid w:val="006749B5"/>
    <w:rsid w:val="00674AC1"/>
    <w:rsid w:val="00674ADC"/>
    <w:rsid w:val="00674BD4"/>
    <w:rsid w:val="00674BF0"/>
    <w:rsid w:val="00674C14"/>
    <w:rsid w:val="00674C66"/>
    <w:rsid w:val="00674C81"/>
    <w:rsid w:val="00674D17"/>
    <w:rsid w:val="00674EB8"/>
    <w:rsid w:val="0067512F"/>
    <w:rsid w:val="006752AA"/>
    <w:rsid w:val="0067542C"/>
    <w:rsid w:val="00675483"/>
    <w:rsid w:val="0067551B"/>
    <w:rsid w:val="006755BF"/>
    <w:rsid w:val="006756AC"/>
    <w:rsid w:val="006756E7"/>
    <w:rsid w:val="00675719"/>
    <w:rsid w:val="0067571E"/>
    <w:rsid w:val="00675A6E"/>
    <w:rsid w:val="00675C4D"/>
    <w:rsid w:val="00675CC7"/>
    <w:rsid w:val="00675DBB"/>
    <w:rsid w:val="00675EDF"/>
    <w:rsid w:val="00675F03"/>
    <w:rsid w:val="006762AB"/>
    <w:rsid w:val="00676314"/>
    <w:rsid w:val="00676346"/>
    <w:rsid w:val="00676366"/>
    <w:rsid w:val="00676405"/>
    <w:rsid w:val="006766BF"/>
    <w:rsid w:val="00676830"/>
    <w:rsid w:val="00676D0C"/>
    <w:rsid w:val="00676EF5"/>
    <w:rsid w:val="00676FE0"/>
    <w:rsid w:val="0067701D"/>
    <w:rsid w:val="0067703F"/>
    <w:rsid w:val="0067711F"/>
    <w:rsid w:val="0067722F"/>
    <w:rsid w:val="0067723C"/>
    <w:rsid w:val="0067724F"/>
    <w:rsid w:val="0067729D"/>
    <w:rsid w:val="006772EB"/>
    <w:rsid w:val="00677445"/>
    <w:rsid w:val="006774DB"/>
    <w:rsid w:val="0067752A"/>
    <w:rsid w:val="0067789C"/>
    <w:rsid w:val="00677985"/>
    <w:rsid w:val="00677BAF"/>
    <w:rsid w:val="00677E2A"/>
    <w:rsid w:val="00677EA6"/>
    <w:rsid w:val="00677EE1"/>
    <w:rsid w:val="00677FE4"/>
    <w:rsid w:val="00677FED"/>
    <w:rsid w:val="00680112"/>
    <w:rsid w:val="00680171"/>
    <w:rsid w:val="006802B9"/>
    <w:rsid w:val="006802C2"/>
    <w:rsid w:val="006802E3"/>
    <w:rsid w:val="0068034B"/>
    <w:rsid w:val="00680536"/>
    <w:rsid w:val="00680560"/>
    <w:rsid w:val="0068056B"/>
    <w:rsid w:val="006805CB"/>
    <w:rsid w:val="006805E3"/>
    <w:rsid w:val="00680740"/>
    <w:rsid w:val="0068076C"/>
    <w:rsid w:val="0068079D"/>
    <w:rsid w:val="006807D2"/>
    <w:rsid w:val="00680807"/>
    <w:rsid w:val="006808E1"/>
    <w:rsid w:val="00680AA7"/>
    <w:rsid w:val="00680C38"/>
    <w:rsid w:val="00680C4E"/>
    <w:rsid w:val="00680C5D"/>
    <w:rsid w:val="00680DF8"/>
    <w:rsid w:val="00680F12"/>
    <w:rsid w:val="00680F46"/>
    <w:rsid w:val="00680FC5"/>
    <w:rsid w:val="00681198"/>
    <w:rsid w:val="00681263"/>
    <w:rsid w:val="00681264"/>
    <w:rsid w:val="006814B0"/>
    <w:rsid w:val="00681623"/>
    <w:rsid w:val="0068175A"/>
    <w:rsid w:val="006817A3"/>
    <w:rsid w:val="006817C0"/>
    <w:rsid w:val="006817E6"/>
    <w:rsid w:val="00681808"/>
    <w:rsid w:val="006818F1"/>
    <w:rsid w:val="00681976"/>
    <w:rsid w:val="00681B1D"/>
    <w:rsid w:val="00681B54"/>
    <w:rsid w:val="00681BC4"/>
    <w:rsid w:val="00681BCB"/>
    <w:rsid w:val="00681C2C"/>
    <w:rsid w:val="00681C86"/>
    <w:rsid w:val="00681CBD"/>
    <w:rsid w:val="00681D30"/>
    <w:rsid w:val="00681D36"/>
    <w:rsid w:val="00681F61"/>
    <w:rsid w:val="00681F6F"/>
    <w:rsid w:val="0068202D"/>
    <w:rsid w:val="006821F8"/>
    <w:rsid w:val="00682220"/>
    <w:rsid w:val="0068227D"/>
    <w:rsid w:val="006823DE"/>
    <w:rsid w:val="00682492"/>
    <w:rsid w:val="006824E5"/>
    <w:rsid w:val="006824F7"/>
    <w:rsid w:val="00682532"/>
    <w:rsid w:val="00682571"/>
    <w:rsid w:val="006825F0"/>
    <w:rsid w:val="0068277D"/>
    <w:rsid w:val="006827BC"/>
    <w:rsid w:val="0068293E"/>
    <w:rsid w:val="0068296E"/>
    <w:rsid w:val="006829C2"/>
    <w:rsid w:val="006829DA"/>
    <w:rsid w:val="00682B27"/>
    <w:rsid w:val="00682B75"/>
    <w:rsid w:val="00682C32"/>
    <w:rsid w:val="00682C83"/>
    <w:rsid w:val="00682CCB"/>
    <w:rsid w:val="00682E03"/>
    <w:rsid w:val="00682E0C"/>
    <w:rsid w:val="00682EEB"/>
    <w:rsid w:val="00682F44"/>
    <w:rsid w:val="00682F7C"/>
    <w:rsid w:val="00682FEE"/>
    <w:rsid w:val="00683048"/>
    <w:rsid w:val="006832DC"/>
    <w:rsid w:val="00683346"/>
    <w:rsid w:val="0068341B"/>
    <w:rsid w:val="0068387D"/>
    <w:rsid w:val="0068388F"/>
    <w:rsid w:val="0068393C"/>
    <w:rsid w:val="00683A55"/>
    <w:rsid w:val="00683AF0"/>
    <w:rsid w:val="00683C2C"/>
    <w:rsid w:val="00683C84"/>
    <w:rsid w:val="00683CAE"/>
    <w:rsid w:val="00683DC4"/>
    <w:rsid w:val="00683E17"/>
    <w:rsid w:val="006840A6"/>
    <w:rsid w:val="0068411B"/>
    <w:rsid w:val="006842F7"/>
    <w:rsid w:val="006844A3"/>
    <w:rsid w:val="006844CC"/>
    <w:rsid w:val="00684532"/>
    <w:rsid w:val="00684853"/>
    <w:rsid w:val="006848B3"/>
    <w:rsid w:val="0068493F"/>
    <w:rsid w:val="0068498F"/>
    <w:rsid w:val="006849FE"/>
    <w:rsid w:val="00684A64"/>
    <w:rsid w:val="00684B1A"/>
    <w:rsid w:val="00684B2D"/>
    <w:rsid w:val="00684CCD"/>
    <w:rsid w:val="00684D44"/>
    <w:rsid w:val="00684DF6"/>
    <w:rsid w:val="00684E30"/>
    <w:rsid w:val="00684E35"/>
    <w:rsid w:val="00684E88"/>
    <w:rsid w:val="0068510C"/>
    <w:rsid w:val="006852D6"/>
    <w:rsid w:val="00685327"/>
    <w:rsid w:val="0068541B"/>
    <w:rsid w:val="006854B9"/>
    <w:rsid w:val="006854F1"/>
    <w:rsid w:val="00685780"/>
    <w:rsid w:val="006857B0"/>
    <w:rsid w:val="0068587E"/>
    <w:rsid w:val="00685894"/>
    <w:rsid w:val="006858BC"/>
    <w:rsid w:val="00685AB6"/>
    <w:rsid w:val="00685BC7"/>
    <w:rsid w:val="00685D60"/>
    <w:rsid w:val="00685DDA"/>
    <w:rsid w:val="006860EC"/>
    <w:rsid w:val="00686102"/>
    <w:rsid w:val="00686106"/>
    <w:rsid w:val="00686165"/>
    <w:rsid w:val="00686246"/>
    <w:rsid w:val="006862F2"/>
    <w:rsid w:val="006863FA"/>
    <w:rsid w:val="0068642A"/>
    <w:rsid w:val="00686554"/>
    <w:rsid w:val="006866E7"/>
    <w:rsid w:val="006868C0"/>
    <w:rsid w:val="006869AC"/>
    <w:rsid w:val="00686A29"/>
    <w:rsid w:val="00686A5F"/>
    <w:rsid w:val="00686B01"/>
    <w:rsid w:val="00686CDD"/>
    <w:rsid w:val="00686D95"/>
    <w:rsid w:val="00686DD2"/>
    <w:rsid w:val="00686F38"/>
    <w:rsid w:val="00687036"/>
    <w:rsid w:val="0068711B"/>
    <w:rsid w:val="00687148"/>
    <w:rsid w:val="0068724B"/>
    <w:rsid w:val="00687272"/>
    <w:rsid w:val="0068741C"/>
    <w:rsid w:val="00687538"/>
    <w:rsid w:val="006876C2"/>
    <w:rsid w:val="006876E2"/>
    <w:rsid w:val="00687885"/>
    <w:rsid w:val="006878A3"/>
    <w:rsid w:val="0068791E"/>
    <w:rsid w:val="00687966"/>
    <w:rsid w:val="00687B06"/>
    <w:rsid w:val="00687B4E"/>
    <w:rsid w:val="00687C45"/>
    <w:rsid w:val="00687D19"/>
    <w:rsid w:val="00690175"/>
    <w:rsid w:val="006901B8"/>
    <w:rsid w:val="0069030B"/>
    <w:rsid w:val="00690397"/>
    <w:rsid w:val="0069058D"/>
    <w:rsid w:val="006906C1"/>
    <w:rsid w:val="006909FF"/>
    <w:rsid w:val="00690B21"/>
    <w:rsid w:val="00690BA7"/>
    <w:rsid w:val="00690BEF"/>
    <w:rsid w:val="00690C35"/>
    <w:rsid w:val="00690DF0"/>
    <w:rsid w:val="00690E57"/>
    <w:rsid w:val="00690E80"/>
    <w:rsid w:val="00690ECE"/>
    <w:rsid w:val="00690EFD"/>
    <w:rsid w:val="006910EC"/>
    <w:rsid w:val="00691102"/>
    <w:rsid w:val="0069112D"/>
    <w:rsid w:val="00691230"/>
    <w:rsid w:val="006915DE"/>
    <w:rsid w:val="0069193C"/>
    <w:rsid w:val="00691AB9"/>
    <w:rsid w:val="00691B04"/>
    <w:rsid w:val="00691B7A"/>
    <w:rsid w:val="00691C18"/>
    <w:rsid w:val="00691CB5"/>
    <w:rsid w:val="00691E08"/>
    <w:rsid w:val="00691F1E"/>
    <w:rsid w:val="0069216E"/>
    <w:rsid w:val="00692235"/>
    <w:rsid w:val="00692307"/>
    <w:rsid w:val="00692444"/>
    <w:rsid w:val="006924E3"/>
    <w:rsid w:val="0069253B"/>
    <w:rsid w:val="0069256E"/>
    <w:rsid w:val="0069266A"/>
    <w:rsid w:val="00692675"/>
    <w:rsid w:val="006926E1"/>
    <w:rsid w:val="00692724"/>
    <w:rsid w:val="00692785"/>
    <w:rsid w:val="0069282F"/>
    <w:rsid w:val="00692881"/>
    <w:rsid w:val="0069296B"/>
    <w:rsid w:val="00692A95"/>
    <w:rsid w:val="00692AB9"/>
    <w:rsid w:val="00692B23"/>
    <w:rsid w:val="00692B63"/>
    <w:rsid w:val="00692CB9"/>
    <w:rsid w:val="00692CE1"/>
    <w:rsid w:val="00692D4E"/>
    <w:rsid w:val="00692DA3"/>
    <w:rsid w:val="00692E96"/>
    <w:rsid w:val="00692F79"/>
    <w:rsid w:val="0069303D"/>
    <w:rsid w:val="006930C5"/>
    <w:rsid w:val="006932A6"/>
    <w:rsid w:val="00693350"/>
    <w:rsid w:val="0069346B"/>
    <w:rsid w:val="00693486"/>
    <w:rsid w:val="006934D6"/>
    <w:rsid w:val="00693537"/>
    <w:rsid w:val="00693948"/>
    <w:rsid w:val="00693A55"/>
    <w:rsid w:val="00693C1D"/>
    <w:rsid w:val="00693C46"/>
    <w:rsid w:val="00693CC7"/>
    <w:rsid w:val="00693D14"/>
    <w:rsid w:val="00693E24"/>
    <w:rsid w:val="00693EEE"/>
    <w:rsid w:val="00693F4D"/>
    <w:rsid w:val="00694077"/>
    <w:rsid w:val="006940DF"/>
    <w:rsid w:val="0069411E"/>
    <w:rsid w:val="006942FD"/>
    <w:rsid w:val="00694385"/>
    <w:rsid w:val="006943B2"/>
    <w:rsid w:val="006947CE"/>
    <w:rsid w:val="00694BF2"/>
    <w:rsid w:val="00694C49"/>
    <w:rsid w:val="00694DA0"/>
    <w:rsid w:val="00694EFD"/>
    <w:rsid w:val="00695078"/>
    <w:rsid w:val="00695094"/>
    <w:rsid w:val="00695103"/>
    <w:rsid w:val="00695131"/>
    <w:rsid w:val="006951C5"/>
    <w:rsid w:val="0069524A"/>
    <w:rsid w:val="0069536D"/>
    <w:rsid w:val="006954C0"/>
    <w:rsid w:val="00695635"/>
    <w:rsid w:val="006956BB"/>
    <w:rsid w:val="00695716"/>
    <w:rsid w:val="0069582B"/>
    <w:rsid w:val="0069586A"/>
    <w:rsid w:val="006958C0"/>
    <w:rsid w:val="00695978"/>
    <w:rsid w:val="006959C6"/>
    <w:rsid w:val="00695A37"/>
    <w:rsid w:val="00695E3C"/>
    <w:rsid w:val="00695EB9"/>
    <w:rsid w:val="00696053"/>
    <w:rsid w:val="00696117"/>
    <w:rsid w:val="00696353"/>
    <w:rsid w:val="0069637A"/>
    <w:rsid w:val="0069643C"/>
    <w:rsid w:val="00696547"/>
    <w:rsid w:val="0069655B"/>
    <w:rsid w:val="0069658D"/>
    <w:rsid w:val="00696656"/>
    <w:rsid w:val="00696683"/>
    <w:rsid w:val="006966A8"/>
    <w:rsid w:val="006967BF"/>
    <w:rsid w:val="0069684F"/>
    <w:rsid w:val="006969F9"/>
    <w:rsid w:val="00696A78"/>
    <w:rsid w:val="00696C07"/>
    <w:rsid w:val="00696CFC"/>
    <w:rsid w:val="00696EDA"/>
    <w:rsid w:val="00696F34"/>
    <w:rsid w:val="00696F70"/>
    <w:rsid w:val="006970C9"/>
    <w:rsid w:val="006970F8"/>
    <w:rsid w:val="0069718B"/>
    <w:rsid w:val="006971AE"/>
    <w:rsid w:val="006972E5"/>
    <w:rsid w:val="006972E8"/>
    <w:rsid w:val="00697364"/>
    <w:rsid w:val="00697388"/>
    <w:rsid w:val="006973BC"/>
    <w:rsid w:val="00697671"/>
    <w:rsid w:val="00697684"/>
    <w:rsid w:val="0069779D"/>
    <w:rsid w:val="0069787E"/>
    <w:rsid w:val="00697922"/>
    <w:rsid w:val="0069796C"/>
    <w:rsid w:val="00697A9C"/>
    <w:rsid w:val="00697B68"/>
    <w:rsid w:val="00697DAE"/>
    <w:rsid w:val="00697E39"/>
    <w:rsid w:val="00697E7D"/>
    <w:rsid w:val="00697E81"/>
    <w:rsid w:val="00697E84"/>
    <w:rsid w:val="00697E87"/>
    <w:rsid w:val="00697F16"/>
    <w:rsid w:val="00697FA3"/>
    <w:rsid w:val="006A0220"/>
    <w:rsid w:val="006A0314"/>
    <w:rsid w:val="006A0668"/>
    <w:rsid w:val="006A0748"/>
    <w:rsid w:val="006A099C"/>
    <w:rsid w:val="006A0A48"/>
    <w:rsid w:val="006A0A69"/>
    <w:rsid w:val="006A0A78"/>
    <w:rsid w:val="006A0BF0"/>
    <w:rsid w:val="006A0CB5"/>
    <w:rsid w:val="006A0CDA"/>
    <w:rsid w:val="006A0D18"/>
    <w:rsid w:val="006A0DFE"/>
    <w:rsid w:val="006A0ED8"/>
    <w:rsid w:val="006A0F6D"/>
    <w:rsid w:val="006A0F6E"/>
    <w:rsid w:val="006A0F83"/>
    <w:rsid w:val="006A10CA"/>
    <w:rsid w:val="006A11CF"/>
    <w:rsid w:val="006A12FD"/>
    <w:rsid w:val="006A132A"/>
    <w:rsid w:val="006A13C5"/>
    <w:rsid w:val="006A13DD"/>
    <w:rsid w:val="006A151A"/>
    <w:rsid w:val="006A1613"/>
    <w:rsid w:val="006A164E"/>
    <w:rsid w:val="006A17E4"/>
    <w:rsid w:val="006A1876"/>
    <w:rsid w:val="006A1AF0"/>
    <w:rsid w:val="006A1B72"/>
    <w:rsid w:val="006A1DA3"/>
    <w:rsid w:val="006A1F67"/>
    <w:rsid w:val="006A1F6E"/>
    <w:rsid w:val="006A1F78"/>
    <w:rsid w:val="006A2033"/>
    <w:rsid w:val="006A2109"/>
    <w:rsid w:val="006A21D7"/>
    <w:rsid w:val="006A230E"/>
    <w:rsid w:val="006A24D5"/>
    <w:rsid w:val="006A25CB"/>
    <w:rsid w:val="006A2714"/>
    <w:rsid w:val="006A27CB"/>
    <w:rsid w:val="006A27E4"/>
    <w:rsid w:val="006A2895"/>
    <w:rsid w:val="006A2ACD"/>
    <w:rsid w:val="006A2B19"/>
    <w:rsid w:val="006A2BC5"/>
    <w:rsid w:val="006A2C53"/>
    <w:rsid w:val="006A2C83"/>
    <w:rsid w:val="006A2D0C"/>
    <w:rsid w:val="006A2D7A"/>
    <w:rsid w:val="006A2DFE"/>
    <w:rsid w:val="006A2E5D"/>
    <w:rsid w:val="006A2FD6"/>
    <w:rsid w:val="006A30FB"/>
    <w:rsid w:val="006A3130"/>
    <w:rsid w:val="006A327C"/>
    <w:rsid w:val="006A32D9"/>
    <w:rsid w:val="006A330E"/>
    <w:rsid w:val="006A3329"/>
    <w:rsid w:val="006A33CF"/>
    <w:rsid w:val="006A3539"/>
    <w:rsid w:val="006A3762"/>
    <w:rsid w:val="006A38AF"/>
    <w:rsid w:val="006A38F7"/>
    <w:rsid w:val="006A390D"/>
    <w:rsid w:val="006A3A13"/>
    <w:rsid w:val="006A3B2E"/>
    <w:rsid w:val="006A3C05"/>
    <w:rsid w:val="006A3C71"/>
    <w:rsid w:val="006A3CE5"/>
    <w:rsid w:val="006A3D27"/>
    <w:rsid w:val="006A3D64"/>
    <w:rsid w:val="006A3DC2"/>
    <w:rsid w:val="006A3E50"/>
    <w:rsid w:val="006A40AC"/>
    <w:rsid w:val="006A40F3"/>
    <w:rsid w:val="006A4108"/>
    <w:rsid w:val="006A4112"/>
    <w:rsid w:val="006A413D"/>
    <w:rsid w:val="006A42C2"/>
    <w:rsid w:val="006A4630"/>
    <w:rsid w:val="006A46D3"/>
    <w:rsid w:val="006A477B"/>
    <w:rsid w:val="006A4809"/>
    <w:rsid w:val="006A4903"/>
    <w:rsid w:val="006A490F"/>
    <w:rsid w:val="006A4AF1"/>
    <w:rsid w:val="006A4B58"/>
    <w:rsid w:val="006A4BD4"/>
    <w:rsid w:val="006A4E17"/>
    <w:rsid w:val="006A4F4B"/>
    <w:rsid w:val="006A505E"/>
    <w:rsid w:val="006A50E4"/>
    <w:rsid w:val="006A5475"/>
    <w:rsid w:val="006A54CF"/>
    <w:rsid w:val="006A5507"/>
    <w:rsid w:val="006A5525"/>
    <w:rsid w:val="006A5536"/>
    <w:rsid w:val="006A555B"/>
    <w:rsid w:val="006A555E"/>
    <w:rsid w:val="006A55A0"/>
    <w:rsid w:val="006A562F"/>
    <w:rsid w:val="006A566D"/>
    <w:rsid w:val="006A56C3"/>
    <w:rsid w:val="006A56FF"/>
    <w:rsid w:val="006A5712"/>
    <w:rsid w:val="006A58E0"/>
    <w:rsid w:val="006A58F8"/>
    <w:rsid w:val="006A5916"/>
    <w:rsid w:val="006A599B"/>
    <w:rsid w:val="006A59BB"/>
    <w:rsid w:val="006A59F5"/>
    <w:rsid w:val="006A5A2F"/>
    <w:rsid w:val="006A5A68"/>
    <w:rsid w:val="006A5A92"/>
    <w:rsid w:val="006A5A9F"/>
    <w:rsid w:val="006A5AF8"/>
    <w:rsid w:val="006A5C03"/>
    <w:rsid w:val="006A5C9A"/>
    <w:rsid w:val="006A5CE3"/>
    <w:rsid w:val="006A5E27"/>
    <w:rsid w:val="006A5E84"/>
    <w:rsid w:val="006A5FFC"/>
    <w:rsid w:val="006A602D"/>
    <w:rsid w:val="006A6215"/>
    <w:rsid w:val="006A621A"/>
    <w:rsid w:val="006A637B"/>
    <w:rsid w:val="006A64B6"/>
    <w:rsid w:val="006A64BA"/>
    <w:rsid w:val="006A6500"/>
    <w:rsid w:val="006A654B"/>
    <w:rsid w:val="006A6580"/>
    <w:rsid w:val="006A65F0"/>
    <w:rsid w:val="006A6659"/>
    <w:rsid w:val="006A6916"/>
    <w:rsid w:val="006A6972"/>
    <w:rsid w:val="006A69B3"/>
    <w:rsid w:val="006A6A4D"/>
    <w:rsid w:val="006A6BC2"/>
    <w:rsid w:val="006A6CDB"/>
    <w:rsid w:val="006A6DB4"/>
    <w:rsid w:val="006A6DD5"/>
    <w:rsid w:val="006A6EE1"/>
    <w:rsid w:val="006A6F75"/>
    <w:rsid w:val="006A701B"/>
    <w:rsid w:val="006A70A5"/>
    <w:rsid w:val="006A7149"/>
    <w:rsid w:val="006A7192"/>
    <w:rsid w:val="006A71FC"/>
    <w:rsid w:val="006A7216"/>
    <w:rsid w:val="006A7398"/>
    <w:rsid w:val="006A7429"/>
    <w:rsid w:val="006A7596"/>
    <w:rsid w:val="006A7667"/>
    <w:rsid w:val="006A77E0"/>
    <w:rsid w:val="006A7A2B"/>
    <w:rsid w:val="006A7AA5"/>
    <w:rsid w:val="006A7C99"/>
    <w:rsid w:val="006A7E60"/>
    <w:rsid w:val="006A7E8F"/>
    <w:rsid w:val="006A7E9D"/>
    <w:rsid w:val="006A7EE3"/>
    <w:rsid w:val="006B000A"/>
    <w:rsid w:val="006B0097"/>
    <w:rsid w:val="006B0189"/>
    <w:rsid w:val="006B0190"/>
    <w:rsid w:val="006B01A8"/>
    <w:rsid w:val="006B021D"/>
    <w:rsid w:val="006B0292"/>
    <w:rsid w:val="006B0336"/>
    <w:rsid w:val="006B0360"/>
    <w:rsid w:val="006B03C3"/>
    <w:rsid w:val="006B049F"/>
    <w:rsid w:val="006B04BE"/>
    <w:rsid w:val="006B057D"/>
    <w:rsid w:val="006B0583"/>
    <w:rsid w:val="006B05E1"/>
    <w:rsid w:val="006B0747"/>
    <w:rsid w:val="006B0821"/>
    <w:rsid w:val="006B0AF8"/>
    <w:rsid w:val="006B0B48"/>
    <w:rsid w:val="006B0C56"/>
    <w:rsid w:val="006B0D9D"/>
    <w:rsid w:val="006B0DFF"/>
    <w:rsid w:val="006B0E66"/>
    <w:rsid w:val="006B10BB"/>
    <w:rsid w:val="006B1116"/>
    <w:rsid w:val="006B1180"/>
    <w:rsid w:val="006B11B5"/>
    <w:rsid w:val="006B1244"/>
    <w:rsid w:val="006B13CD"/>
    <w:rsid w:val="006B145C"/>
    <w:rsid w:val="006B146D"/>
    <w:rsid w:val="006B14A8"/>
    <w:rsid w:val="006B15DC"/>
    <w:rsid w:val="006B1834"/>
    <w:rsid w:val="006B1957"/>
    <w:rsid w:val="006B1979"/>
    <w:rsid w:val="006B19CC"/>
    <w:rsid w:val="006B1A0A"/>
    <w:rsid w:val="006B1AED"/>
    <w:rsid w:val="006B1CFF"/>
    <w:rsid w:val="006B1E5A"/>
    <w:rsid w:val="006B1E9A"/>
    <w:rsid w:val="006B1F15"/>
    <w:rsid w:val="006B208C"/>
    <w:rsid w:val="006B209A"/>
    <w:rsid w:val="006B20AE"/>
    <w:rsid w:val="006B2257"/>
    <w:rsid w:val="006B2259"/>
    <w:rsid w:val="006B24D1"/>
    <w:rsid w:val="006B24D4"/>
    <w:rsid w:val="006B24F0"/>
    <w:rsid w:val="006B2505"/>
    <w:rsid w:val="006B259B"/>
    <w:rsid w:val="006B26CA"/>
    <w:rsid w:val="006B2780"/>
    <w:rsid w:val="006B27E3"/>
    <w:rsid w:val="006B29F5"/>
    <w:rsid w:val="006B2AF8"/>
    <w:rsid w:val="006B2C90"/>
    <w:rsid w:val="006B2CA9"/>
    <w:rsid w:val="006B2CE0"/>
    <w:rsid w:val="006B2D6B"/>
    <w:rsid w:val="006B2E4E"/>
    <w:rsid w:val="006B2F5D"/>
    <w:rsid w:val="006B2F94"/>
    <w:rsid w:val="006B3015"/>
    <w:rsid w:val="006B311E"/>
    <w:rsid w:val="006B3160"/>
    <w:rsid w:val="006B3185"/>
    <w:rsid w:val="006B325A"/>
    <w:rsid w:val="006B33D4"/>
    <w:rsid w:val="006B33F3"/>
    <w:rsid w:val="006B3602"/>
    <w:rsid w:val="006B3646"/>
    <w:rsid w:val="006B3729"/>
    <w:rsid w:val="006B3746"/>
    <w:rsid w:val="006B37A2"/>
    <w:rsid w:val="006B390F"/>
    <w:rsid w:val="006B3B2B"/>
    <w:rsid w:val="006B3B4B"/>
    <w:rsid w:val="006B3B95"/>
    <w:rsid w:val="006B3C02"/>
    <w:rsid w:val="006B3D11"/>
    <w:rsid w:val="006B3D35"/>
    <w:rsid w:val="006B3DDA"/>
    <w:rsid w:val="006B3F6A"/>
    <w:rsid w:val="006B3F77"/>
    <w:rsid w:val="006B3FBE"/>
    <w:rsid w:val="006B3FDD"/>
    <w:rsid w:val="006B4015"/>
    <w:rsid w:val="006B4016"/>
    <w:rsid w:val="006B401D"/>
    <w:rsid w:val="006B4023"/>
    <w:rsid w:val="006B421D"/>
    <w:rsid w:val="006B43A0"/>
    <w:rsid w:val="006B43D2"/>
    <w:rsid w:val="006B43E4"/>
    <w:rsid w:val="006B4474"/>
    <w:rsid w:val="006B4567"/>
    <w:rsid w:val="006B4606"/>
    <w:rsid w:val="006B46E1"/>
    <w:rsid w:val="006B4824"/>
    <w:rsid w:val="006B4858"/>
    <w:rsid w:val="006B48AB"/>
    <w:rsid w:val="006B48AD"/>
    <w:rsid w:val="006B4951"/>
    <w:rsid w:val="006B4B34"/>
    <w:rsid w:val="006B4B9D"/>
    <w:rsid w:val="006B4BA3"/>
    <w:rsid w:val="006B4CB7"/>
    <w:rsid w:val="006B4CE6"/>
    <w:rsid w:val="006B4D71"/>
    <w:rsid w:val="006B51F1"/>
    <w:rsid w:val="006B52CD"/>
    <w:rsid w:val="006B54EF"/>
    <w:rsid w:val="006B55DC"/>
    <w:rsid w:val="006B5824"/>
    <w:rsid w:val="006B59C1"/>
    <w:rsid w:val="006B5A67"/>
    <w:rsid w:val="006B5B24"/>
    <w:rsid w:val="006B5B57"/>
    <w:rsid w:val="006B5D32"/>
    <w:rsid w:val="006B5E74"/>
    <w:rsid w:val="006B5E7C"/>
    <w:rsid w:val="006B5E82"/>
    <w:rsid w:val="006B5EA9"/>
    <w:rsid w:val="006B5EF0"/>
    <w:rsid w:val="006B5F20"/>
    <w:rsid w:val="006B603B"/>
    <w:rsid w:val="006B603D"/>
    <w:rsid w:val="006B605D"/>
    <w:rsid w:val="006B6090"/>
    <w:rsid w:val="006B609F"/>
    <w:rsid w:val="006B60AE"/>
    <w:rsid w:val="006B61B8"/>
    <w:rsid w:val="006B629F"/>
    <w:rsid w:val="006B65C2"/>
    <w:rsid w:val="006B666F"/>
    <w:rsid w:val="006B667F"/>
    <w:rsid w:val="006B67AE"/>
    <w:rsid w:val="006B6A3B"/>
    <w:rsid w:val="006B6AD6"/>
    <w:rsid w:val="006B6B79"/>
    <w:rsid w:val="006B6BA8"/>
    <w:rsid w:val="006B6BEE"/>
    <w:rsid w:val="006B6BFE"/>
    <w:rsid w:val="006B6C62"/>
    <w:rsid w:val="006B6CA3"/>
    <w:rsid w:val="006B6DC0"/>
    <w:rsid w:val="006B70BF"/>
    <w:rsid w:val="006B70C2"/>
    <w:rsid w:val="006B7134"/>
    <w:rsid w:val="006B715B"/>
    <w:rsid w:val="006B71B6"/>
    <w:rsid w:val="006B7207"/>
    <w:rsid w:val="006B720F"/>
    <w:rsid w:val="006B7338"/>
    <w:rsid w:val="006B7575"/>
    <w:rsid w:val="006B7595"/>
    <w:rsid w:val="006B759C"/>
    <w:rsid w:val="006B75C3"/>
    <w:rsid w:val="006B75EC"/>
    <w:rsid w:val="006B760F"/>
    <w:rsid w:val="006B7612"/>
    <w:rsid w:val="006B76A1"/>
    <w:rsid w:val="006B76A6"/>
    <w:rsid w:val="006B76C0"/>
    <w:rsid w:val="006B7875"/>
    <w:rsid w:val="006B79DE"/>
    <w:rsid w:val="006B7A66"/>
    <w:rsid w:val="006B7A79"/>
    <w:rsid w:val="006B7B83"/>
    <w:rsid w:val="006B7BA3"/>
    <w:rsid w:val="006B7C74"/>
    <w:rsid w:val="006B7D15"/>
    <w:rsid w:val="006C003E"/>
    <w:rsid w:val="006C009C"/>
    <w:rsid w:val="006C0197"/>
    <w:rsid w:val="006C0205"/>
    <w:rsid w:val="006C0248"/>
    <w:rsid w:val="006C027A"/>
    <w:rsid w:val="006C028C"/>
    <w:rsid w:val="006C03A2"/>
    <w:rsid w:val="006C05B1"/>
    <w:rsid w:val="006C075D"/>
    <w:rsid w:val="006C07E6"/>
    <w:rsid w:val="006C08B6"/>
    <w:rsid w:val="006C0B87"/>
    <w:rsid w:val="006C0DEA"/>
    <w:rsid w:val="006C0E63"/>
    <w:rsid w:val="006C0F25"/>
    <w:rsid w:val="006C0F53"/>
    <w:rsid w:val="006C1000"/>
    <w:rsid w:val="006C107D"/>
    <w:rsid w:val="006C138F"/>
    <w:rsid w:val="006C1512"/>
    <w:rsid w:val="006C1729"/>
    <w:rsid w:val="006C1851"/>
    <w:rsid w:val="006C197C"/>
    <w:rsid w:val="006C19E2"/>
    <w:rsid w:val="006C1B6D"/>
    <w:rsid w:val="006C1C55"/>
    <w:rsid w:val="006C1CDB"/>
    <w:rsid w:val="006C1EEA"/>
    <w:rsid w:val="006C1FDF"/>
    <w:rsid w:val="006C2084"/>
    <w:rsid w:val="006C217B"/>
    <w:rsid w:val="006C22FA"/>
    <w:rsid w:val="006C24A7"/>
    <w:rsid w:val="006C25AC"/>
    <w:rsid w:val="006C2620"/>
    <w:rsid w:val="006C2630"/>
    <w:rsid w:val="006C267B"/>
    <w:rsid w:val="006C2A33"/>
    <w:rsid w:val="006C2B05"/>
    <w:rsid w:val="006C2C20"/>
    <w:rsid w:val="006C2D59"/>
    <w:rsid w:val="006C2D7B"/>
    <w:rsid w:val="006C2D8B"/>
    <w:rsid w:val="006C2DA2"/>
    <w:rsid w:val="006C3027"/>
    <w:rsid w:val="006C304C"/>
    <w:rsid w:val="006C3142"/>
    <w:rsid w:val="006C314C"/>
    <w:rsid w:val="006C32BF"/>
    <w:rsid w:val="006C32F8"/>
    <w:rsid w:val="006C3303"/>
    <w:rsid w:val="006C330A"/>
    <w:rsid w:val="006C335D"/>
    <w:rsid w:val="006C3377"/>
    <w:rsid w:val="006C33C9"/>
    <w:rsid w:val="006C3518"/>
    <w:rsid w:val="006C35FF"/>
    <w:rsid w:val="006C36B0"/>
    <w:rsid w:val="006C36F9"/>
    <w:rsid w:val="006C371C"/>
    <w:rsid w:val="006C3741"/>
    <w:rsid w:val="006C3819"/>
    <w:rsid w:val="006C3969"/>
    <w:rsid w:val="006C39F1"/>
    <w:rsid w:val="006C3BA8"/>
    <w:rsid w:val="006C3C88"/>
    <w:rsid w:val="006C3CAA"/>
    <w:rsid w:val="006C3E53"/>
    <w:rsid w:val="006C3EAC"/>
    <w:rsid w:val="006C4105"/>
    <w:rsid w:val="006C4123"/>
    <w:rsid w:val="006C4194"/>
    <w:rsid w:val="006C4212"/>
    <w:rsid w:val="006C421E"/>
    <w:rsid w:val="006C422D"/>
    <w:rsid w:val="006C42D7"/>
    <w:rsid w:val="006C43A3"/>
    <w:rsid w:val="006C43D5"/>
    <w:rsid w:val="006C4425"/>
    <w:rsid w:val="006C44D9"/>
    <w:rsid w:val="006C457B"/>
    <w:rsid w:val="006C460F"/>
    <w:rsid w:val="006C4674"/>
    <w:rsid w:val="006C48E6"/>
    <w:rsid w:val="006C4983"/>
    <w:rsid w:val="006C4990"/>
    <w:rsid w:val="006C4999"/>
    <w:rsid w:val="006C4A1A"/>
    <w:rsid w:val="006C4CB1"/>
    <w:rsid w:val="006C4DD5"/>
    <w:rsid w:val="006C4F5D"/>
    <w:rsid w:val="006C4F9E"/>
    <w:rsid w:val="006C516B"/>
    <w:rsid w:val="006C52C9"/>
    <w:rsid w:val="006C545B"/>
    <w:rsid w:val="006C5954"/>
    <w:rsid w:val="006C595A"/>
    <w:rsid w:val="006C5A23"/>
    <w:rsid w:val="006C5ACB"/>
    <w:rsid w:val="006C5E0B"/>
    <w:rsid w:val="006C5EE7"/>
    <w:rsid w:val="006C5F2C"/>
    <w:rsid w:val="006C5FB8"/>
    <w:rsid w:val="006C6159"/>
    <w:rsid w:val="006C615C"/>
    <w:rsid w:val="006C62D2"/>
    <w:rsid w:val="006C645D"/>
    <w:rsid w:val="006C653A"/>
    <w:rsid w:val="006C6585"/>
    <w:rsid w:val="006C65BE"/>
    <w:rsid w:val="006C65F3"/>
    <w:rsid w:val="006C67E5"/>
    <w:rsid w:val="006C68BE"/>
    <w:rsid w:val="006C68BF"/>
    <w:rsid w:val="006C693E"/>
    <w:rsid w:val="006C6C23"/>
    <w:rsid w:val="006C6CAA"/>
    <w:rsid w:val="006C6CEC"/>
    <w:rsid w:val="006C6D13"/>
    <w:rsid w:val="006C6E07"/>
    <w:rsid w:val="006C6FBD"/>
    <w:rsid w:val="006C7182"/>
    <w:rsid w:val="006C7193"/>
    <w:rsid w:val="006C7712"/>
    <w:rsid w:val="006C79D2"/>
    <w:rsid w:val="006C7A0E"/>
    <w:rsid w:val="006C7A5C"/>
    <w:rsid w:val="006C7D4B"/>
    <w:rsid w:val="006C7D9D"/>
    <w:rsid w:val="006C7E1D"/>
    <w:rsid w:val="006C7EC0"/>
    <w:rsid w:val="006C7FA4"/>
    <w:rsid w:val="006D005B"/>
    <w:rsid w:val="006D00C6"/>
    <w:rsid w:val="006D00DF"/>
    <w:rsid w:val="006D0275"/>
    <w:rsid w:val="006D02AD"/>
    <w:rsid w:val="006D02CA"/>
    <w:rsid w:val="006D0309"/>
    <w:rsid w:val="006D0355"/>
    <w:rsid w:val="006D04F1"/>
    <w:rsid w:val="006D0746"/>
    <w:rsid w:val="006D0862"/>
    <w:rsid w:val="006D0984"/>
    <w:rsid w:val="006D0A05"/>
    <w:rsid w:val="006D0AC1"/>
    <w:rsid w:val="006D0C3C"/>
    <w:rsid w:val="006D0CC3"/>
    <w:rsid w:val="006D0CF6"/>
    <w:rsid w:val="006D0EC0"/>
    <w:rsid w:val="006D0F1F"/>
    <w:rsid w:val="006D0F2C"/>
    <w:rsid w:val="006D0F89"/>
    <w:rsid w:val="006D111A"/>
    <w:rsid w:val="006D125B"/>
    <w:rsid w:val="006D1264"/>
    <w:rsid w:val="006D156A"/>
    <w:rsid w:val="006D16A9"/>
    <w:rsid w:val="006D16CD"/>
    <w:rsid w:val="006D16E3"/>
    <w:rsid w:val="006D1799"/>
    <w:rsid w:val="006D1BE9"/>
    <w:rsid w:val="006D1D6F"/>
    <w:rsid w:val="006D1F26"/>
    <w:rsid w:val="006D201E"/>
    <w:rsid w:val="006D2078"/>
    <w:rsid w:val="006D214B"/>
    <w:rsid w:val="006D2270"/>
    <w:rsid w:val="006D22E4"/>
    <w:rsid w:val="006D2356"/>
    <w:rsid w:val="006D2386"/>
    <w:rsid w:val="006D238B"/>
    <w:rsid w:val="006D23A7"/>
    <w:rsid w:val="006D279D"/>
    <w:rsid w:val="006D2866"/>
    <w:rsid w:val="006D28A0"/>
    <w:rsid w:val="006D2908"/>
    <w:rsid w:val="006D29A3"/>
    <w:rsid w:val="006D2A0A"/>
    <w:rsid w:val="006D2B27"/>
    <w:rsid w:val="006D2BA2"/>
    <w:rsid w:val="006D2BA6"/>
    <w:rsid w:val="006D2D59"/>
    <w:rsid w:val="006D2F60"/>
    <w:rsid w:val="006D2F8B"/>
    <w:rsid w:val="006D306E"/>
    <w:rsid w:val="006D33F4"/>
    <w:rsid w:val="006D3468"/>
    <w:rsid w:val="006D34C7"/>
    <w:rsid w:val="006D36AF"/>
    <w:rsid w:val="006D3819"/>
    <w:rsid w:val="006D38E0"/>
    <w:rsid w:val="006D3905"/>
    <w:rsid w:val="006D3942"/>
    <w:rsid w:val="006D3A61"/>
    <w:rsid w:val="006D3B31"/>
    <w:rsid w:val="006D3C25"/>
    <w:rsid w:val="006D3D07"/>
    <w:rsid w:val="006D3E75"/>
    <w:rsid w:val="006D3F5D"/>
    <w:rsid w:val="006D3F67"/>
    <w:rsid w:val="006D4067"/>
    <w:rsid w:val="006D4115"/>
    <w:rsid w:val="006D42C7"/>
    <w:rsid w:val="006D42DC"/>
    <w:rsid w:val="006D434E"/>
    <w:rsid w:val="006D4562"/>
    <w:rsid w:val="006D4A30"/>
    <w:rsid w:val="006D4A50"/>
    <w:rsid w:val="006D4AE9"/>
    <w:rsid w:val="006D4B6E"/>
    <w:rsid w:val="006D4B83"/>
    <w:rsid w:val="006D4CC8"/>
    <w:rsid w:val="006D4D87"/>
    <w:rsid w:val="006D4EE1"/>
    <w:rsid w:val="006D4EE6"/>
    <w:rsid w:val="006D4FFA"/>
    <w:rsid w:val="006D500F"/>
    <w:rsid w:val="006D5039"/>
    <w:rsid w:val="006D50E0"/>
    <w:rsid w:val="006D514D"/>
    <w:rsid w:val="006D518B"/>
    <w:rsid w:val="006D51E7"/>
    <w:rsid w:val="006D520F"/>
    <w:rsid w:val="006D5300"/>
    <w:rsid w:val="006D53B5"/>
    <w:rsid w:val="006D5517"/>
    <w:rsid w:val="006D555A"/>
    <w:rsid w:val="006D55A3"/>
    <w:rsid w:val="006D572C"/>
    <w:rsid w:val="006D574C"/>
    <w:rsid w:val="006D5763"/>
    <w:rsid w:val="006D5771"/>
    <w:rsid w:val="006D583B"/>
    <w:rsid w:val="006D58F6"/>
    <w:rsid w:val="006D5990"/>
    <w:rsid w:val="006D5C31"/>
    <w:rsid w:val="006D5E64"/>
    <w:rsid w:val="006D5F3E"/>
    <w:rsid w:val="006D5F8A"/>
    <w:rsid w:val="006D5FB4"/>
    <w:rsid w:val="006D5FC3"/>
    <w:rsid w:val="006D6042"/>
    <w:rsid w:val="006D6113"/>
    <w:rsid w:val="006D611E"/>
    <w:rsid w:val="006D61E4"/>
    <w:rsid w:val="006D620F"/>
    <w:rsid w:val="006D628B"/>
    <w:rsid w:val="006D631B"/>
    <w:rsid w:val="006D6354"/>
    <w:rsid w:val="006D635F"/>
    <w:rsid w:val="006D6507"/>
    <w:rsid w:val="006D65D8"/>
    <w:rsid w:val="006D662D"/>
    <w:rsid w:val="006D6639"/>
    <w:rsid w:val="006D6648"/>
    <w:rsid w:val="006D66D3"/>
    <w:rsid w:val="006D6874"/>
    <w:rsid w:val="006D6888"/>
    <w:rsid w:val="006D6999"/>
    <w:rsid w:val="006D69AF"/>
    <w:rsid w:val="006D6A48"/>
    <w:rsid w:val="006D6AFA"/>
    <w:rsid w:val="006D6CCF"/>
    <w:rsid w:val="006D6D33"/>
    <w:rsid w:val="006D6D67"/>
    <w:rsid w:val="006D6EAF"/>
    <w:rsid w:val="006D6F1D"/>
    <w:rsid w:val="006D6FD4"/>
    <w:rsid w:val="006D6FE7"/>
    <w:rsid w:val="006D704F"/>
    <w:rsid w:val="006D71C5"/>
    <w:rsid w:val="006D72A9"/>
    <w:rsid w:val="006D72F0"/>
    <w:rsid w:val="006D7307"/>
    <w:rsid w:val="006D732B"/>
    <w:rsid w:val="006D7393"/>
    <w:rsid w:val="006D739E"/>
    <w:rsid w:val="006D7400"/>
    <w:rsid w:val="006D74F4"/>
    <w:rsid w:val="006D7A00"/>
    <w:rsid w:val="006D7BC2"/>
    <w:rsid w:val="006D7C36"/>
    <w:rsid w:val="006D7C8A"/>
    <w:rsid w:val="006D7CC4"/>
    <w:rsid w:val="006D7E51"/>
    <w:rsid w:val="006D7E61"/>
    <w:rsid w:val="006E0059"/>
    <w:rsid w:val="006E0064"/>
    <w:rsid w:val="006E011E"/>
    <w:rsid w:val="006E013A"/>
    <w:rsid w:val="006E020A"/>
    <w:rsid w:val="006E030D"/>
    <w:rsid w:val="006E0355"/>
    <w:rsid w:val="006E03EF"/>
    <w:rsid w:val="006E0419"/>
    <w:rsid w:val="006E04E6"/>
    <w:rsid w:val="006E04F9"/>
    <w:rsid w:val="006E06FA"/>
    <w:rsid w:val="006E0728"/>
    <w:rsid w:val="006E0794"/>
    <w:rsid w:val="006E07CE"/>
    <w:rsid w:val="006E096C"/>
    <w:rsid w:val="006E0C1F"/>
    <w:rsid w:val="006E0E3C"/>
    <w:rsid w:val="006E0EBE"/>
    <w:rsid w:val="006E0EC1"/>
    <w:rsid w:val="006E0F47"/>
    <w:rsid w:val="006E102D"/>
    <w:rsid w:val="006E1093"/>
    <w:rsid w:val="006E10B2"/>
    <w:rsid w:val="006E11E4"/>
    <w:rsid w:val="006E173E"/>
    <w:rsid w:val="006E178E"/>
    <w:rsid w:val="006E1AB9"/>
    <w:rsid w:val="006E1BB0"/>
    <w:rsid w:val="006E1BCF"/>
    <w:rsid w:val="006E1D20"/>
    <w:rsid w:val="006E1D88"/>
    <w:rsid w:val="006E1E0A"/>
    <w:rsid w:val="006E1E47"/>
    <w:rsid w:val="006E1F13"/>
    <w:rsid w:val="006E1FA9"/>
    <w:rsid w:val="006E1FE0"/>
    <w:rsid w:val="006E20B4"/>
    <w:rsid w:val="006E21D7"/>
    <w:rsid w:val="006E23D6"/>
    <w:rsid w:val="006E2426"/>
    <w:rsid w:val="006E2536"/>
    <w:rsid w:val="006E258A"/>
    <w:rsid w:val="006E2607"/>
    <w:rsid w:val="006E2784"/>
    <w:rsid w:val="006E2816"/>
    <w:rsid w:val="006E2A01"/>
    <w:rsid w:val="006E2A24"/>
    <w:rsid w:val="006E2A40"/>
    <w:rsid w:val="006E2A75"/>
    <w:rsid w:val="006E2AE4"/>
    <w:rsid w:val="006E2B80"/>
    <w:rsid w:val="006E2C74"/>
    <w:rsid w:val="006E2D5E"/>
    <w:rsid w:val="006E2EBA"/>
    <w:rsid w:val="006E2EC9"/>
    <w:rsid w:val="006E3016"/>
    <w:rsid w:val="006E319F"/>
    <w:rsid w:val="006E33CA"/>
    <w:rsid w:val="006E3458"/>
    <w:rsid w:val="006E3482"/>
    <w:rsid w:val="006E34EF"/>
    <w:rsid w:val="006E3845"/>
    <w:rsid w:val="006E3852"/>
    <w:rsid w:val="006E388D"/>
    <w:rsid w:val="006E390F"/>
    <w:rsid w:val="006E3989"/>
    <w:rsid w:val="006E39AD"/>
    <w:rsid w:val="006E39C0"/>
    <w:rsid w:val="006E39D5"/>
    <w:rsid w:val="006E3BBB"/>
    <w:rsid w:val="006E3BFD"/>
    <w:rsid w:val="006E3C31"/>
    <w:rsid w:val="006E3C67"/>
    <w:rsid w:val="006E3CC3"/>
    <w:rsid w:val="006E3D2C"/>
    <w:rsid w:val="006E3D5F"/>
    <w:rsid w:val="006E3FBA"/>
    <w:rsid w:val="006E4047"/>
    <w:rsid w:val="006E40B2"/>
    <w:rsid w:val="006E40B4"/>
    <w:rsid w:val="006E4121"/>
    <w:rsid w:val="006E41FB"/>
    <w:rsid w:val="006E42E4"/>
    <w:rsid w:val="006E45A0"/>
    <w:rsid w:val="006E4653"/>
    <w:rsid w:val="006E470F"/>
    <w:rsid w:val="006E474E"/>
    <w:rsid w:val="006E47B3"/>
    <w:rsid w:val="006E49BD"/>
    <w:rsid w:val="006E4AE8"/>
    <w:rsid w:val="006E4BB0"/>
    <w:rsid w:val="006E4C7B"/>
    <w:rsid w:val="006E4D50"/>
    <w:rsid w:val="006E4DC1"/>
    <w:rsid w:val="006E4F10"/>
    <w:rsid w:val="006E4F54"/>
    <w:rsid w:val="006E4F9C"/>
    <w:rsid w:val="006E4FA1"/>
    <w:rsid w:val="006E501F"/>
    <w:rsid w:val="006E5106"/>
    <w:rsid w:val="006E51FC"/>
    <w:rsid w:val="006E5232"/>
    <w:rsid w:val="006E534E"/>
    <w:rsid w:val="006E5370"/>
    <w:rsid w:val="006E5389"/>
    <w:rsid w:val="006E5570"/>
    <w:rsid w:val="006E56B7"/>
    <w:rsid w:val="006E571F"/>
    <w:rsid w:val="006E57B8"/>
    <w:rsid w:val="006E59AD"/>
    <w:rsid w:val="006E59C0"/>
    <w:rsid w:val="006E5A4A"/>
    <w:rsid w:val="006E5A7A"/>
    <w:rsid w:val="006E5BFB"/>
    <w:rsid w:val="006E5CCF"/>
    <w:rsid w:val="006E5CEF"/>
    <w:rsid w:val="006E5D3C"/>
    <w:rsid w:val="006E5E12"/>
    <w:rsid w:val="006E5E83"/>
    <w:rsid w:val="006E5ED2"/>
    <w:rsid w:val="006E6069"/>
    <w:rsid w:val="006E60D6"/>
    <w:rsid w:val="006E6163"/>
    <w:rsid w:val="006E6257"/>
    <w:rsid w:val="006E628F"/>
    <w:rsid w:val="006E6352"/>
    <w:rsid w:val="006E6506"/>
    <w:rsid w:val="006E65D9"/>
    <w:rsid w:val="006E67F1"/>
    <w:rsid w:val="006E687C"/>
    <w:rsid w:val="006E6979"/>
    <w:rsid w:val="006E6C09"/>
    <w:rsid w:val="006E6D4A"/>
    <w:rsid w:val="006E6DAF"/>
    <w:rsid w:val="006E6DEE"/>
    <w:rsid w:val="006E6F12"/>
    <w:rsid w:val="006E6F8F"/>
    <w:rsid w:val="006E7032"/>
    <w:rsid w:val="006E7044"/>
    <w:rsid w:val="006E7253"/>
    <w:rsid w:val="006E7333"/>
    <w:rsid w:val="006E734F"/>
    <w:rsid w:val="006E73BA"/>
    <w:rsid w:val="006E7412"/>
    <w:rsid w:val="006E746A"/>
    <w:rsid w:val="006E74F1"/>
    <w:rsid w:val="006E7756"/>
    <w:rsid w:val="006E77A8"/>
    <w:rsid w:val="006E77E1"/>
    <w:rsid w:val="006E785C"/>
    <w:rsid w:val="006E7922"/>
    <w:rsid w:val="006E7978"/>
    <w:rsid w:val="006E7CA1"/>
    <w:rsid w:val="006E7CC2"/>
    <w:rsid w:val="006E7DC8"/>
    <w:rsid w:val="006E7EE2"/>
    <w:rsid w:val="006E7F2E"/>
    <w:rsid w:val="006E7F72"/>
    <w:rsid w:val="006E7FCA"/>
    <w:rsid w:val="006F004D"/>
    <w:rsid w:val="006F0054"/>
    <w:rsid w:val="006F016C"/>
    <w:rsid w:val="006F0183"/>
    <w:rsid w:val="006F0310"/>
    <w:rsid w:val="006F03EC"/>
    <w:rsid w:val="006F043B"/>
    <w:rsid w:val="006F0526"/>
    <w:rsid w:val="006F0662"/>
    <w:rsid w:val="006F06D2"/>
    <w:rsid w:val="006F0776"/>
    <w:rsid w:val="006F0A78"/>
    <w:rsid w:val="006F0AD1"/>
    <w:rsid w:val="006F0AD3"/>
    <w:rsid w:val="006F0AFD"/>
    <w:rsid w:val="006F0B15"/>
    <w:rsid w:val="006F0B63"/>
    <w:rsid w:val="006F0BB3"/>
    <w:rsid w:val="006F0C72"/>
    <w:rsid w:val="006F0D3F"/>
    <w:rsid w:val="006F0D9C"/>
    <w:rsid w:val="006F0F4F"/>
    <w:rsid w:val="006F0F6F"/>
    <w:rsid w:val="006F1088"/>
    <w:rsid w:val="006F10D6"/>
    <w:rsid w:val="006F1282"/>
    <w:rsid w:val="006F129B"/>
    <w:rsid w:val="006F1378"/>
    <w:rsid w:val="006F1658"/>
    <w:rsid w:val="006F165C"/>
    <w:rsid w:val="006F172F"/>
    <w:rsid w:val="006F1791"/>
    <w:rsid w:val="006F189A"/>
    <w:rsid w:val="006F1A9D"/>
    <w:rsid w:val="006F1B16"/>
    <w:rsid w:val="006F1D04"/>
    <w:rsid w:val="006F1D69"/>
    <w:rsid w:val="006F1E1D"/>
    <w:rsid w:val="006F1F77"/>
    <w:rsid w:val="006F201B"/>
    <w:rsid w:val="006F202D"/>
    <w:rsid w:val="006F208A"/>
    <w:rsid w:val="006F20AF"/>
    <w:rsid w:val="006F2164"/>
    <w:rsid w:val="006F2172"/>
    <w:rsid w:val="006F21FD"/>
    <w:rsid w:val="006F231A"/>
    <w:rsid w:val="006F2370"/>
    <w:rsid w:val="006F24A5"/>
    <w:rsid w:val="006F259E"/>
    <w:rsid w:val="006F26D9"/>
    <w:rsid w:val="006F272B"/>
    <w:rsid w:val="006F2985"/>
    <w:rsid w:val="006F29A4"/>
    <w:rsid w:val="006F29A9"/>
    <w:rsid w:val="006F2A1A"/>
    <w:rsid w:val="006F2AD8"/>
    <w:rsid w:val="006F2BD9"/>
    <w:rsid w:val="006F2D19"/>
    <w:rsid w:val="006F2D3E"/>
    <w:rsid w:val="006F2E99"/>
    <w:rsid w:val="006F2F37"/>
    <w:rsid w:val="006F2F59"/>
    <w:rsid w:val="006F31A7"/>
    <w:rsid w:val="006F31F1"/>
    <w:rsid w:val="006F3220"/>
    <w:rsid w:val="006F32AF"/>
    <w:rsid w:val="006F3303"/>
    <w:rsid w:val="006F3451"/>
    <w:rsid w:val="006F3462"/>
    <w:rsid w:val="006F3472"/>
    <w:rsid w:val="006F3499"/>
    <w:rsid w:val="006F3599"/>
    <w:rsid w:val="006F35A5"/>
    <w:rsid w:val="006F35CE"/>
    <w:rsid w:val="006F360A"/>
    <w:rsid w:val="006F3665"/>
    <w:rsid w:val="006F372D"/>
    <w:rsid w:val="006F3822"/>
    <w:rsid w:val="006F389F"/>
    <w:rsid w:val="006F3BC5"/>
    <w:rsid w:val="006F3BFC"/>
    <w:rsid w:val="006F3DCB"/>
    <w:rsid w:val="006F4008"/>
    <w:rsid w:val="006F41FD"/>
    <w:rsid w:val="006F429E"/>
    <w:rsid w:val="006F43EF"/>
    <w:rsid w:val="006F45FD"/>
    <w:rsid w:val="006F463B"/>
    <w:rsid w:val="006F46F4"/>
    <w:rsid w:val="006F471B"/>
    <w:rsid w:val="006F488E"/>
    <w:rsid w:val="006F48E6"/>
    <w:rsid w:val="006F4912"/>
    <w:rsid w:val="006F494D"/>
    <w:rsid w:val="006F4970"/>
    <w:rsid w:val="006F4D91"/>
    <w:rsid w:val="006F4E13"/>
    <w:rsid w:val="006F4FEB"/>
    <w:rsid w:val="006F51D4"/>
    <w:rsid w:val="006F5272"/>
    <w:rsid w:val="006F52C6"/>
    <w:rsid w:val="006F52FB"/>
    <w:rsid w:val="006F53CE"/>
    <w:rsid w:val="006F5426"/>
    <w:rsid w:val="006F549A"/>
    <w:rsid w:val="006F54E5"/>
    <w:rsid w:val="006F559D"/>
    <w:rsid w:val="006F56C8"/>
    <w:rsid w:val="006F5973"/>
    <w:rsid w:val="006F5A8A"/>
    <w:rsid w:val="006F5AB2"/>
    <w:rsid w:val="006F5B12"/>
    <w:rsid w:val="006F5B55"/>
    <w:rsid w:val="006F5C02"/>
    <w:rsid w:val="006F5E55"/>
    <w:rsid w:val="006F5F06"/>
    <w:rsid w:val="006F5F38"/>
    <w:rsid w:val="006F6009"/>
    <w:rsid w:val="006F61FF"/>
    <w:rsid w:val="006F6322"/>
    <w:rsid w:val="006F6355"/>
    <w:rsid w:val="006F647A"/>
    <w:rsid w:val="006F655F"/>
    <w:rsid w:val="006F6567"/>
    <w:rsid w:val="006F656C"/>
    <w:rsid w:val="006F6761"/>
    <w:rsid w:val="006F68C5"/>
    <w:rsid w:val="006F69DD"/>
    <w:rsid w:val="006F6A4C"/>
    <w:rsid w:val="006F6BBC"/>
    <w:rsid w:val="006F6DC6"/>
    <w:rsid w:val="006F6DD5"/>
    <w:rsid w:val="006F6DDA"/>
    <w:rsid w:val="006F6E4A"/>
    <w:rsid w:val="006F6F99"/>
    <w:rsid w:val="006F6FA6"/>
    <w:rsid w:val="006F6FFC"/>
    <w:rsid w:val="006F700D"/>
    <w:rsid w:val="006F7056"/>
    <w:rsid w:val="006F7061"/>
    <w:rsid w:val="006F7237"/>
    <w:rsid w:val="006F7424"/>
    <w:rsid w:val="006F7440"/>
    <w:rsid w:val="006F748C"/>
    <w:rsid w:val="006F74D0"/>
    <w:rsid w:val="006F768A"/>
    <w:rsid w:val="006F7699"/>
    <w:rsid w:val="006F7875"/>
    <w:rsid w:val="006F790B"/>
    <w:rsid w:val="006F7922"/>
    <w:rsid w:val="006F796F"/>
    <w:rsid w:val="006F7A3F"/>
    <w:rsid w:val="006F7C6F"/>
    <w:rsid w:val="006F7C7B"/>
    <w:rsid w:val="006F7CAE"/>
    <w:rsid w:val="006F7D91"/>
    <w:rsid w:val="0070003F"/>
    <w:rsid w:val="00700091"/>
    <w:rsid w:val="007000B8"/>
    <w:rsid w:val="00700117"/>
    <w:rsid w:val="00700146"/>
    <w:rsid w:val="00700167"/>
    <w:rsid w:val="00700174"/>
    <w:rsid w:val="0070019D"/>
    <w:rsid w:val="00700450"/>
    <w:rsid w:val="0070045C"/>
    <w:rsid w:val="007004FF"/>
    <w:rsid w:val="00700611"/>
    <w:rsid w:val="007007CD"/>
    <w:rsid w:val="00700835"/>
    <w:rsid w:val="007008EC"/>
    <w:rsid w:val="00700937"/>
    <w:rsid w:val="00700972"/>
    <w:rsid w:val="007009A9"/>
    <w:rsid w:val="007009F1"/>
    <w:rsid w:val="00700A7E"/>
    <w:rsid w:val="00700C46"/>
    <w:rsid w:val="00700C47"/>
    <w:rsid w:val="00700DBD"/>
    <w:rsid w:val="00700E49"/>
    <w:rsid w:val="00700E95"/>
    <w:rsid w:val="007011B2"/>
    <w:rsid w:val="007011E7"/>
    <w:rsid w:val="007012F8"/>
    <w:rsid w:val="0070138A"/>
    <w:rsid w:val="0070152C"/>
    <w:rsid w:val="0070174A"/>
    <w:rsid w:val="00701787"/>
    <w:rsid w:val="00701A84"/>
    <w:rsid w:val="00701BB8"/>
    <w:rsid w:val="00701C59"/>
    <w:rsid w:val="00701D24"/>
    <w:rsid w:val="00701D8E"/>
    <w:rsid w:val="00701E68"/>
    <w:rsid w:val="00701EFE"/>
    <w:rsid w:val="00701F37"/>
    <w:rsid w:val="00702040"/>
    <w:rsid w:val="00702143"/>
    <w:rsid w:val="0070228C"/>
    <w:rsid w:val="007023C9"/>
    <w:rsid w:val="00702636"/>
    <w:rsid w:val="00702667"/>
    <w:rsid w:val="0070275C"/>
    <w:rsid w:val="00702803"/>
    <w:rsid w:val="0070282F"/>
    <w:rsid w:val="007029A6"/>
    <w:rsid w:val="00702A54"/>
    <w:rsid w:val="00702B72"/>
    <w:rsid w:val="00702C42"/>
    <w:rsid w:val="00702E7E"/>
    <w:rsid w:val="00703105"/>
    <w:rsid w:val="007031C3"/>
    <w:rsid w:val="007031ED"/>
    <w:rsid w:val="00703225"/>
    <w:rsid w:val="0070325F"/>
    <w:rsid w:val="007033B7"/>
    <w:rsid w:val="00703432"/>
    <w:rsid w:val="007034FB"/>
    <w:rsid w:val="0070356D"/>
    <w:rsid w:val="0070358D"/>
    <w:rsid w:val="00703652"/>
    <w:rsid w:val="007036E8"/>
    <w:rsid w:val="007036FD"/>
    <w:rsid w:val="00703887"/>
    <w:rsid w:val="007038B1"/>
    <w:rsid w:val="00703A1C"/>
    <w:rsid w:val="00703C11"/>
    <w:rsid w:val="00703D32"/>
    <w:rsid w:val="00703DFA"/>
    <w:rsid w:val="00703F82"/>
    <w:rsid w:val="00704081"/>
    <w:rsid w:val="00704101"/>
    <w:rsid w:val="0070425F"/>
    <w:rsid w:val="0070428F"/>
    <w:rsid w:val="0070431C"/>
    <w:rsid w:val="00704567"/>
    <w:rsid w:val="0070468A"/>
    <w:rsid w:val="007046CA"/>
    <w:rsid w:val="0070476A"/>
    <w:rsid w:val="00704829"/>
    <w:rsid w:val="00704874"/>
    <w:rsid w:val="007048B0"/>
    <w:rsid w:val="0070494B"/>
    <w:rsid w:val="0070495E"/>
    <w:rsid w:val="007049D3"/>
    <w:rsid w:val="00704A06"/>
    <w:rsid w:val="00704A5E"/>
    <w:rsid w:val="00704B06"/>
    <w:rsid w:val="00704B11"/>
    <w:rsid w:val="00704C1F"/>
    <w:rsid w:val="00704D79"/>
    <w:rsid w:val="00704F91"/>
    <w:rsid w:val="007050BD"/>
    <w:rsid w:val="00705122"/>
    <w:rsid w:val="007051CE"/>
    <w:rsid w:val="00705396"/>
    <w:rsid w:val="007054BC"/>
    <w:rsid w:val="007055E4"/>
    <w:rsid w:val="007055F8"/>
    <w:rsid w:val="0070568A"/>
    <w:rsid w:val="007057C6"/>
    <w:rsid w:val="00705AE7"/>
    <w:rsid w:val="00705BCA"/>
    <w:rsid w:val="00705BCE"/>
    <w:rsid w:val="00705E79"/>
    <w:rsid w:val="00705E82"/>
    <w:rsid w:val="00705FCF"/>
    <w:rsid w:val="00706149"/>
    <w:rsid w:val="007061C7"/>
    <w:rsid w:val="00706485"/>
    <w:rsid w:val="0070650B"/>
    <w:rsid w:val="00706550"/>
    <w:rsid w:val="007065A4"/>
    <w:rsid w:val="007065F3"/>
    <w:rsid w:val="007067DE"/>
    <w:rsid w:val="0070683A"/>
    <w:rsid w:val="0070699C"/>
    <w:rsid w:val="00706C6D"/>
    <w:rsid w:val="00706E39"/>
    <w:rsid w:val="00706E42"/>
    <w:rsid w:val="00706ECF"/>
    <w:rsid w:val="00706F40"/>
    <w:rsid w:val="00706F6E"/>
    <w:rsid w:val="00706F99"/>
    <w:rsid w:val="00706FC5"/>
    <w:rsid w:val="00707014"/>
    <w:rsid w:val="0070714E"/>
    <w:rsid w:val="007071B4"/>
    <w:rsid w:val="007071D6"/>
    <w:rsid w:val="00707316"/>
    <w:rsid w:val="00707416"/>
    <w:rsid w:val="00707781"/>
    <w:rsid w:val="00707796"/>
    <w:rsid w:val="007079DE"/>
    <w:rsid w:val="00707A6B"/>
    <w:rsid w:val="00707C6C"/>
    <w:rsid w:val="00707DC1"/>
    <w:rsid w:val="00707E57"/>
    <w:rsid w:val="00707EB5"/>
    <w:rsid w:val="00707F7A"/>
    <w:rsid w:val="0071002C"/>
    <w:rsid w:val="00710060"/>
    <w:rsid w:val="007100F0"/>
    <w:rsid w:val="00710148"/>
    <w:rsid w:val="0071016F"/>
    <w:rsid w:val="00710219"/>
    <w:rsid w:val="0071023E"/>
    <w:rsid w:val="0071029A"/>
    <w:rsid w:val="007102FA"/>
    <w:rsid w:val="0071043F"/>
    <w:rsid w:val="0071053F"/>
    <w:rsid w:val="0071058B"/>
    <w:rsid w:val="0071058C"/>
    <w:rsid w:val="00710748"/>
    <w:rsid w:val="0071077A"/>
    <w:rsid w:val="007109AC"/>
    <w:rsid w:val="00710AC8"/>
    <w:rsid w:val="00710ACA"/>
    <w:rsid w:val="00710ACC"/>
    <w:rsid w:val="00710B15"/>
    <w:rsid w:val="00710C1B"/>
    <w:rsid w:val="00710CA8"/>
    <w:rsid w:val="00710D4E"/>
    <w:rsid w:val="00710D97"/>
    <w:rsid w:val="00710E13"/>
    <w:rsid w:val="00710EC6"/>
    <w:rsid w:val="00710F64"/>
    <w:rsid w:val="00710FE8"/>
    <w:rsid w:val="0071126B"/>
    <w:rsid w:val="00711376"/>
    <w:rsid w:val="007113A9"/>
    <w:rsid w:val="0071145A"/>
    <w:rsid w:val="007116CE"/>
    <w:rsid w:val="007118C2"/>
    <w:rsid w:val="007119B2"/>
    <w:rsid w:val="007119E4"/>
    <w:rsid w:val="00711C17"/>
    <w:rsid w:val="00711C1B"/>
    <w:rsid w:val="00711F4E"/>
    <w:rsid w:val="00712017"/>
    <w:rsid w:val="0071203E"/>
    <w:rsid w:val="00712048"/>
    <w:rsid w:val="007121D7"/>
    <w:rsid w:val="00712277"/>
    <w:rsid w:val="007123B2"/>
    <w:rsid w:val="00712408"/>
    <w:rsid w:val="007124B9"/>
    <w:rsid w:val="00712661"/>
    <w:rsid w:val="00712719"/>
    <w:rsid w:val="0071295D"/>
    <w:rsid w:val="00712961"/>
    <w:rsid w:val="00712AB4"/>
    <w:rsid w:val="00712ABC"/>
    <w:rsid w:val="00712D20"/>
    <w:rsid w:val="00712DA6"/>
    <w:rsid w:val="00712E34"/>
    <w:rsid w:val="00712E99"/>
    <w:rsid w:val="00712EE7"/>
    <w:rsid w:val="007130B4"/>
    <w:rsid w:val="0071346D"/>
    <w:rsid w:val="007135CC"/>
    <w:rsid w:val="007135DB"/>
    <w:rsid w:val="0071367B"/>
    <w:rsid w:val="007136D6"/>
    <w:rsid w:val="0071378C"/>
    <w:rsid w:val="007138F1"/>
    <w:rsid w:val="0071391D"/>
    <w:rsid w:val="007139A2"/>
    <w:rsid w:val="007139DF"/>
    <w:rsid w:val="007139EE"/>
    <w:rsid w:val="00713A1D"/>
    <w:rsid w:val="00713BB1"/>
    <w:rsid w:val="00713BFF"/>
    <w:rsid w:val="00713C71"/>
    <w:rsid w:val="00713C84"/>
    <w:rsid w:val="00713D9D"/>
    <w:rsid w:val="00713DA7"/>
    <w:rsid w:val="00713ED5"/>
    <w:rsid w:val="00713EE0"/>
    <w:rsid w:val="00713F0E"/>
    <w:rsid w:val="0071402F"/>
    <w:rsid w:val="007140BA"/>
    <w:rsid w:val="00714284"/>
    <w:rsid w:val="007143C8"/>
    <w:rsid w:val="007144DA"/>
    <w:rsid w:val="007144E5"/>
    <w:rsid w:val="00714585"/>
    <w:rsid w:val="00714667"/>
    <w:rsid w:val="00714699"/>
    <w:rsid w:val="007146BF"/>
    <w:rsid w:val="007146DC"/>
    <w:rsid w:val="00714751"/>
    <w:rsid w:val="00714850"/>
    <w:rsid w:val="00714887"/>
    <w:rsid w:val="0071491C"/>
    <w:rsid w:val="007149B3"/>
    <w:rsid w:val="007149D7"/>
    <w:rsid w:val="00714A51"/>
    <w:rsid w:val="00714B71"/>
    <w:rsid w:val="00714BA0"/>
    <w:rsid w:val="00714CD2"/>
    <w:rsid w:val="00715000"/>
    <w:rsid w:val="007150EA"/>
    <w:rsid w:val="00715296"/>
    <w:rsid w:val="007152D6"/>
    <w:rsid w:val="0071554B"/>
    <w:rsid w:val="007156F6"/>
    <w:rsid w:val="0071572E"/>
    <w:rsid w:val="007157B3"/>
    <w:rsid w:val="0071586C"/>
    <w:rsid w:val="00715999"/>
    <w:rsid w:val="00715AC7"/>
    <w:rsid w:val="00715F5F"/>
    <w:rsid w:val="00715F9F"/>
    <w:rsid w:val="00715FCE"/>
    <w:rsid w:val="00716117"/>
    <w:rsid w:val="007162EC"/>
    <w:rsid w:val="007163FE"/>
    <w:rsid w:val="00716628"/>
    <w:rsid w:val="007166CB"/>
    <w:rsid w:val="007166D4"/>
    <w:rsid w:val="0071686A"/>
    <w:rsid w:val="00716A2A"/>
    <w:rsid w:val="00716BCF"/>
    <w:rsid w:val="00716BE5"/>
    <w:rsid w:val="00716C2B"/>
    <w:rsid w:val="00716CB0"/>
    <w:rsid w:val="00716CC0"/>
    <w:rsid w:val="00716F12"/>
    <w:rsid w:val="00716F71"/>
    <w:rsid w:val="007170C3"/>
    <w:rsid w:val="00717165"/>
    <w:rsid w:val="00717311"/>
    <w:rsid w:val="007174CA"/>
    <w:rsid w:val="0071753E"/>
    <w:rsid w:val="007175BA"/>
    <w:rsid w:val="00717736"/>
    <w:rsid w:val="0071778A"/>
    <w:rsid w:val="007177CC"/>
    <w:rsid w:val="007178D9"/>
    <w:rsid w:val="0071791A"/>
    <w:rsid w:val="00717966"/>
    <w:rsid w:val="00717B48"/>
    <w:rsid w:val="00717BBC"/>
    <w:rsid w:val="00717BE8"/>
    <w:rsid w:val="00717DAC"/>
    <w:rsid w:val="00717FF0"/>
    <w:rsid w:val="00720065"/>
    <w:rsid w:val="007200F3"/>
    <w:rsid w:val="00720185"/>
    <w:rsid w:val="007202C7"/>
    <w:rsid w:val="007202D8"/>
    <w:rsid w:val="00720436"/>
    <w:rsid w:val="00720509"/>
    <w:rsid w:val="0072050B"/>
    <w:rsid w:val="00720682"/>
    <w:rsid w:val="007206C0"/>
    <w:rsid w:val="0072071C"/>
    <w:rsid w:val="0072085C"/>
    <w:rsid w:val="0072089B"/>
    <w:rsid w:val="007208C2"/>
    <w:rsid w:val="007208D6"/>
    <w:rsid w:val="007208D9"/>
    <w:rsid w:val="00720AF2"/>
    <w:rsid w:val="00720BDA"/>
    <w:rsid w:val="00720BF2"/>
    <w:rsid w:val="00720C10"/>
    <w:rsid w:val="00720D58"/>
    <w:rsid w:val="00720F5F"/>
    <w:rsid w:val="00720FA9"/>
    <w:rsid w:val="00721068"/>
    <w:rsid w:val="007210CC"/>
    <w:rsid w:val="00721267"/>
    <w:rsid w:val="007212B4"/>
    <w:rsid w:val="007212BD"/>
    <w:rsid w:val="00721332"/>
    <w:rsid w:val="00721477"/>
    <w:rsid w:val="0072164F"/>
    <w:rsid w:val="0072176F"/>
    <w:rsid w:val="00721A02"/>
    <w:rsid w:val="00721A6B"/>
    <w:rsid w:val="00721C3D"/>
    <w:rsid w:val="00721C56"/>
    <w:rsid w:val="00721C7E"/>
    <w:rsid w:val="00721C95"/>
    <w:rsid w:val="00721CE6"/>
    <w:rsid w:val="00721E21"/>
    <w:rsid w:val="00721E4C"/>
    <w:rsid w:val="00722064"/>
    <w:rsid w:val="00722083"/>
    <w:rsid w:val="0072211E"/>
    <w:rsid w:val="0072242D"/>
    <w:rsid w:val="00722476"/>
    <w:rsid w:val="0072266E"/>
    <w:rsid w:val="007226B8"/>
    <w:rsid w:val="007227A0"/>
    <w:rsid w:val="00722835"/>
    <w:rsid w:val="00722900"/>
    <w:rsid w:val="0072296E"/>
    <w:rsid w:val="007229A0"/>
    <w:rsid w:val="00722B0A"/>
    <w:rsid w:val="00722B37"/>
    <w:rsid w:val="00722BF9"/>
    <w:rsid w:val="00722D33"/>
    <w:rsid w:val="00722E5A"/>
    <w:rsid w:val="00723112"/>
    <w:rsid w:val="0072316D"/>
    <w:rsid w:val="0072322F"/>
    <w:rsid w:val="00723295"/>
    <w:rsid w:val="0072339A"/>
    <w:rsid w:val="0072357C"/>
    <w:rsid w:val="00723652"/>
    <w:rsid w:val="00723686"/>
    <w:rsid w:val="007236EE"/>
    <w:rsid w:val="00723891"/>
    <w:rsid w:val="007238A7"/>
    <w:rsid w:val="007238CF"/>
    <w:rsid w:val="00723965"/>
    <w:rsid w:val="00723A18"/>
    <w:rsid w:val="00723AE1"/>
    <w:rsid w:val="00723C39"/>
    <w:rsid w:val="00723DDC"/>
    <w:rsid w:val="00723FF2"/>
    <w:rsid w:val="00724101"/>
    <w:rsid w:val="0072424B"/>
    <w:rsid w:val="0072428B"/>
    <w:rsid w:val="00724308"/>
    <w:rsid w:val="007244D7"/>
    <w:rsid w:val="00724501"/>
    <w:rsid w:val="0072460B"/>
    <w:rsid w:val="0072461D"/>
    <w:rsid w:val="007247DC"/>
    <w:rsid w:val="007248F7"/>
    <w:rsid w:val="0072494A"/>
    <w:rsid w:val="00724998"/>
    <w:rsid w:val="00724A88"/>
    <w:rsid w:val="00724C83"/>
    <w:rsid w:val="00724E13"/>
    <w:rsid w:val="00724EB5"/>
    <w:rsid w:val="00725009"/>
    <w:rsid w:val="007252C3"/>
    <w:rsid w:val="0072547C"/>
    <w:rsid w:val="00725584"/>
    <w:rsid w:val="007255EA"/>
    <w:rsid w:val="00725620"/>
    <w:rsid w:val="00725857"/>
    <w:rsid w:val="00725A01"/>
    <w:rsid w:val="00725A50"/>
    <w:rsid w:val="00725A53"/>
    <w:rsid w:val="00725A74"/>
    <w:rsid w:val="00725A9C"/>
    <w:rsid w:val="00725BC5"/>
    <w:rsid w:val="00726170"/>
    <w:rsid w:val="007261C4"/>
    <w:rsid w:val="0072643A"/>
    <w:rsid w:val="0072671C"/>
    <w:rsid w:val="00726780"/>
    <w:rsid w:val="007267BD"/>
    <w:rsid w:val="007267F8"/>
    <w:rsid w:val="007268C5"/>
    <w:rsid w:val="00726B41"/>
    <w:rsid w:val="00726CD5"/>
    <w:rsid w:val="00726CE4"/>
    <w:rsid w:val="00726D12"/>
    <w:rsid w:val="00726DBF"/>
    <w:rsid w:val="00726E63"/>
    <w:rsid w:val="00726EE4"/>
    <w:rsid w:val="00726F8E"/>
    <w:rsid w:val="007273CA"/>
    <w:rsid w:val="00727469"/>
    <w:rsid w:val="00727850"/>
    <w:rsid w:val="00727865"/>
    <w:rsid w:val="00727926"/>
    <w:rsid w:val="00727A3B"/>
    <w:rsid w:val="00727BCE"/>
    <w:rsid w:val="00727D40"/>
    <w:rsid w:val="00727D7F"/>
    <w:rsid w:val="00727DC9"/>
    <w:rsid w:val="00727E0F"/>
    <w:rsid w:val="00727E5E"/>
    <w:rsid w:val="00727F1B"/>
    <w:rsid w:val="007300BA"/>
    <w:rsid w:val="0073018C"/>
    <w:rsid w:val="007302F5"/>
    <w:rsid w:val="0073030F"/>
    <w:rsid w:val="007303B9"/>
    <w:rsid w:val="00730418"/>
    <w:rsid w:val="00730544"/>
    <w:rsid w:val="0073054F"/>
    <w:rsid w:val="00730638"/>
    <w:rsid w:val="0073068A"/>
    <w:rsid w:val="0073068B"/>
    <w:rsid w:val="007306F9"/>
    <w:rsid w:val="00730750"/>
    <w:rsid w:val="00730A16"/>
    <w:rsid w:val="00730A1B"/>
    <w:rsid w:val="00730A25"/>
    <w:rsid w:val="00730A26"/>
    <w:rsid w:val="00730A8B"/>
    <w:rsid w:val="00730AA7"/>
    <w:rsid w:val="00730B8A"/>
    <w:rsid w:val="00730C05"/>
    <w:rsid w:val="00730EA9"/>
    <w:rsid w:val="00730F09"/>
    <w:rsid w:val="00730F40"/>
    <w:rsid w:val="0073131B"/>
    <w:rsid w:val="0073137C"/>
    <w:rsid w:val="007313B8"/>
    <w:rsid w:val="007315B0"/>
    <w:rsid w:val="00731617"/>
    <w:rsid w:val="00731636"/>
    <w:rsid w:val="00731913"/>
    <w:rsid w:val="0073195E"/>
    <w:rsid w:val="00731A95"/>
    <w:rsid w:val="00731AF1"/>
    <w:rsid w:val="00731B50"/>
    <w:rsid w:val="007322B9"/>
    <w:rsid w:val="00732478"/>
    <w:rsid w:val="007325E8"/>
    <w:rsid w:val="0073265D"/>
    <w:rsid w:val="007326F2"/>
    <w:rsid w:val="00732929"/>
    <w:rsid w:val="00732AB8"/>
    <w:rsid w:val="00732B69"/>
    <w:rsid w:val="00732ED1"/>
    <w:rsid w:val="00732F5D"/>
    <w:rsid w:val="007330F8"/>
    <w:rsid w:val="0073315F"/>
    <w:rsid w:val="0073318B"/>
    <w:rsid w:val="0073334C"/>
    <w:rsid w:val="007334F6"/>
    <w:rsid w:val="0073352B"/>
    <w:rsid w:val="00733572"/>
    <w:rsid w:val="00733712"/>
    <w:rsid w:val="0073371A"/>
    <w:rsid w:val="007337FB"/>
    <w:rsid w:val="00733A2B"/>
    <w:rsid w:val="00733BD9"/>
    <w:rsid w:val="00733EBA"/>
    <w:rsid w:val="00733F00"/>
    <w:rsid w:val="00733F1B"/>
    <w:rsid w:val="007340DC"/>
    <w:rsid w:val="0073411A"/>
    <w:rsid w:val="00734185"/>
    <w:rsid w:val="007341AB"/>
    <w:rsid w:val="0073420B"/>
    <w:rsid w:val="00734466"/>
    <w:rsid w:val="00734600"/>
    <w:rsid w:val="007347B0"/>
    <w:rsid w:val="00734B47"/>
    <w:rsid w:val="00734B92"/>
    <w:rsid w:val="00734C04"/>
    <w:rsid w:val="00734C2D"/>
    <w:rsid w:val="00734CC8"/>
    <w:rsid w:val="00734D7D"/>
    <w:rsid w:val="00734DCA"/>
    <w:rsid w:val="00734DEE"/>
    <w:rsid w:val="00734F9E"/>
    <w:rsid w:val="0073500F"/>
    <w:rsid w:val="007350A0"/>
    <w:rsid w:val="00735171"/>
    <w:rsid w:val="00735385"/>
    <w:rsid w:val="007353FB"/>
    <w:rsid w:val="0073549A"/>
    <w:rsid w:val="007354FB"/>
    <w:rsid w:val="007354FE"/>
    <w:rsid w:val="00735578"/>
    <w:rsid w:val="0073557C"/>
    <w:rsid w:val="00735796"/>
    <w:rsid w:val="007357C5"/>
    <w:rsid w:val="007357F9"/>
    <w:rsid w:val="007358BA"/>
    <w:rsid w:val="007359AE"/>
    <w:rsid w:val="007359BF"/>
    <w:rsid w:val="00735A48"/>
    <w:rsid w:val="00735C7E"/>
    <w:rsid w:val="00735CAD"/>
    <w:rsid w:val="00735DDE"/>
    <w:rsid w:val="00735E6C"/>
    <w:rsid w:val="007361A1"/>
    <w:rsid w:val="00736216"/>
    <w:rsid w:val="007363B5"/>
    <w:rsid w:val="007363C7"/>
    <w:rsid w:val="00736428"/>
    <w:rsid w:val="00736453"/>
    <w:rsid w:val="0073661A"/>
    <w:rsid w:val="00736707"/>
    <w:rsid w:val="007367CB"/>
    <w:rsid w:val="007368F1"/>
    <w:rsid w:val="00736961"/>
    <w:rsid w:val="007369CD"/>
    <w:rsid w:val="00736A29"/>
    <w:rsid w:val="00736C0F"/>
    <w:rsid w:val="0073708F"/>
    <w:rsid w:val="007370A7"/>
    <w:rsid w:val="00737337"/>
    <w:rsid w:val="0073739A"/>
    <w:rsid w:val="00737474"/>
    <w:rsid w:val="007374E6"/>
    <w:rsid w:val="0073757F"/>
    <w:rsid w:val="00737580"/>
    <w:rsid w:val="007377D4"/>
    <w:rsid w:val="00737894"/>
    <w:rsid w:val="00737909"/>
    <w:rsid w:val="0073790A"/>
    <w:rsid w:val="00737A71"/>
    <w:rsid w:val="00737A9C"/>
    <w:rsid w:val="00737B4A"/>
    <w:rsid w:val="00737C9D"/>
    <w:rsid w:val="00737D3F"/>
    <w:rsid w:val="00737E38"/>
    <w:rsid w:val="00737E9B"/>
    <w:rsid w:val="00737E9F"/>
    <w:rsid w:val="00740221"/>
    <w:rsid w:val="00740278"/>
    <w:rsid w:val="00740293"/>
    <w:rsid w:val="007403BF"/>
    <w:rsid w:val="0074089C"/>
    <w:rsid w:val="00740A03"/>
    <w:rsid w:val="00740A73"/>
    <w:rsid w:val="00740A82"/>
    <w:rsid w:val="00740AD5"/>
    <w:rsid w:val="00740CC3"/>
    <w:rsid w:val="00740DDE"/>
    <w:rsid w:val="00740E00"/>
    <w:rsid w:val="00740E1A"/>
    <w:rsid w:val="00740E27"/>
    <w:rsid w:val="00740E38"/>
    <w:rsid w:val="00740E9B"/>
    <w:rsid w:val="00740F82"/>
    <w:rsid w:val="00740FC7"/>
    <w:rsid w:val="00741171"/>
    <w:rsid w:val="00741321"/>
    <w:rsid w:val="00741322"/>
    <w:rsid w:val="0074135C"/>
    <w:rsid w:val="00741486"/>
    <w:rsid w:val="00741542"/>
    <w:rsid w:val="007417DB"/>
    <w:rsid w:val="007418C6"/>
    <w:rsid w:val="0074197B"/>
    <w:rsid w:val="00741A02"/>
    <w:rsid w:val="00741ABA"/>
    <w:rsid w:val="00741BB0"/>
    <w:rsid w:val="00741C95"/>
    <w:rsid w:val="00741CDC"/>
    <w:rsid w:val="00741F17"/>
    <w:rsid w:val="00741F84"/>
    <w:rsid w:val="00742204"/>
    <w:rsid w:val="00742261"/>
    <w:rsid w:val="00742272"/>
    <w:rsid w:val="0074233E"/>
    <w:rsid w:val="0074238D"/>
    <w:rsid w:val="007424C7"/>
    <w:rsid w:val="007425AF"/>
    <w:rsid w:val="007425D3"/>
    <w:rsid w:val="00742715"/>
    <w:rsid w:val="00742723"/>
    <w:rsid w:val="007427E7"/>
    <w:rsid w:val="0074284C"/>
    <w:rsid w:val="00742897"/>
    <w:rsid w:val="007429AC"/>
    <w:rsid w:val="007429FF"/>
    <w:rsid w:val="00742A7C"/>
    <w:rsid w:val="00742ADA"/>
    <w:rsid w:val="00742B13"/>
    <w:rsid w:val="00742B5C"/>
    <w:rsid w:val="00742C62"/>
    <w:rsid w:val="00742D36"/>
    <w:rsid w:val="00742D98"/>
    <w:rsid w:val="00742DA9"/>
    <w:rsid w:val="00742ED7"/>
    <w:rsid w:val="0074322C"/>
    <w:rsid w:val="007432B3"/>
    <w:rsid w:val="0074331D"/>
    <w:rsid w:val="0074364D"/>
    <w:rsid w:val="007436C6"/>
    <w:rsid w:val="00743896"/>
    <w:rsid w:val="0074391C"/>
    <w:rsid w:val="00743ABA"/>
    <w:rsid w:val="00743BE5"/>
    <w:rsid w:val="0074410B"/>
    <w:rsid w:val="0074426D"/>
    <w:rsid w:val="007442B4"/>
    <w:rsid w:val="007443B6"/>
    <w:rsid w:val="0074462B"/>
    <w:rsid w:val="007446AF"/>
    <w:rsid w:val="007446C8"/>
    <w:rsid w:val="007446F3"/>
    <w:rsid w:val="00744721"/>
    <w:rsid w:val="007449DE"/>
    <w:rsid w:val="00744A2B"/>
    <w:rsid w:val="00744A3A"/>
    <w:rsid w:val="00744B08"/>
    <w:rsid w:val="00744B5D"/>
    <w:rsid w:val="00744BE2"/>
    <w:rsid w:val="00744D75"/>
    <w:rsid w:val="00744E4A"/>
    <w:rsid w:val="0074504D"/>
    <w:rsid w:val="00745191"/>
    <w:rsid w:val="00745199"/>
    <w:rsid w:val="0074531A"/>
    <w:rsid w:val="00745379"/>
    <w:rsid w:val="007455B9"/>
    <w:rsid w:val="00745657"/>
    <w:rsid w:val="00745681"/>
    <w:rsid w:val="00745760"/>
    <w:rsid w:val="007457DB"/>
    <w:rsid w:val="0074586B"/>
    <w:rsid w:val="00745A87"/>
    <w:rsid w:val="00745B5B"/>
    <w:rsid w:val="00745D8D"/>
    <w:rsid w:val="00745F85"/>
    <w:rsid w:val="0074602F"/>
    <w:rsid w:val="007462DB"/>
    <w:rsid w:val="007464FC"/>
    <w:rsid w:val="007465D0"/>
    <w:rsid w:val="00746625"/>
    <w:rsid w:val="0074669F"/>
    <w:rsid w:val="0074676A"/>
    <w:rsid w:val="007467AF"/>
    <w:rsid w:val="00746881"/>
    <w:rsid w:val="0074693B"/>
    <w:rsid w:val="00746A44"/>
    <w:rsid w:val="00746C7C"/>
    <w:rsid w:val="00746D0C"/>
    <w:rsid w:val="00746DA3"/>
    <w:rsid w:val="00746FA4"/>
    <w:rsid w:val="00747090"/>
    <w:rsid w:val="0074712E"/>
    <w:rsid w:val="00747283"/>
    <w:rsid w:val="007474ED"/>
    <w:rsid w:val="007475E2"/>
    <w:rsid w:val="007478F9"/>
    <w:rsid w:val="0074796B"/>
    <w:rsid w:val="00747AC5"/>
    <w:rsid w:val="00747AF2"/>
    <w:rsid w:val="00747C07"/>
    <w:rsid w:val="00747CB2"/>
    <w:rsid w:val="00747D24"/>
    <w:rsid w:val="00747D69"/>
    <w:rsid w:val="00747D73"/>
    <w:rsid w:val="00747E38"/>
    <w:rsid w:val="00747E44"/>
    <w:rsid w:val="00747EAE"/>
    <w:rsid w:val="00750128"/>
    <w:rsid w:val="0075020F"/>
    <w:rsid w:val="007502A3"/>
    <w:rsid w:val="0075036D"/>
    <w:rsid w:val="00750486"/>
    <w:rsid w:val="00750652"/>
    <w:rsid w:val="007507D0"/>
    <w:rsid w:val="007507DE"/>
    <w:rsid w:val="00750842"/>
    <w:rsid w:val="00750872"/>
    <w:rsid w:val="00750A5B"/>
    <w:rsid w:val="00750AE9"/>
    <w:rsid w:val="00751261"/>
    <w:rsid w:val="00751413"/>
    <w:rsid w:val="0075153C"/>
    <w:rsid w:val="00751548"/>
    <w:rsid w:val="007515A0"/>
    <w:rsid w:val="007516D5"/>
    <w:rsid w:val="007517E2"/>
    <w:rsid w:val="0075199F"/>
    <w:rsid w:val="007519A2"/>
    <w:rsid w:val="00751ADC"/>
    <w:rsid w:val="00751B13"/>
    <w:rsid w:val="00751B50"/>
    <w:rsid w:val="00751C60"/>
    <w:rsid w:val="00751CDD"/>
    <w:rsid w:val="00751EB5"/>
    <w:rsid w:val="00751F04"/>
    <w:rsid w:val="00751F37"/>
    <w:rsid w:val="00751FC8"/>
    <w:rsid w:val="00752027"/>
    <w:rsid w:val="00752119"/>
    <w:rsid w:val="0075214A"/>
    <w:rsid w:val="007521F0"/>
    <w:rsid w:val="00752240"/>
    <w:rsid w:val="00752337"/>
    <w:rsid w:val="007523C4"/>
    <w:rsid w:val="007526A4"/>
    <w:rsid w:val="00752799"/>
    <w:rsid w:val="007527AC"/>
    <w:rsid w:val="00752831"/>
    <w:rsid w:val="0075286B"/>
    <w:rsid w:val="00752ADC"/>
    <w:rsid w:val="00752B54"/>
    <w:rsid w:val="00752BC6"/>
    <w:rsid w:val="00752C39"/>
    <w:rsid w:val="00752C9B"/>
    <w:rsid w:val="00752CC9"/>
    <w:rsid w:val="00752D13"/>
    <w:rsid w:val="00752E72"/>
    <w:rsid w:val="00752F09"/>
    <w:rsid w:val="00752F40"/>
    <w:rsid w:val="00752F89"/>
    <w:rsid w:val="007530A5"/>
    <w:rsid w:val="007530B2"/>
    <w:rsid w:val="00753169"/>
    <w:rsid w:val="007531A8"/>
    <w:rsid w:val="007531C2"/>
    <w:rsid w:val="00753285"/>
    <w:rsid w:val="00753294"/>
    <w:rsid w:val="007532F7"/>
    <w:rsid w:val="00753411"/>
    <w:rsid w:val="00753594"/>
    <w:rsid w:val="00753662"/>
    <w:rsid w:val="007536ED"/>
    <w:rsid w:val="0075375D"/>
    <w:rsid w:val="007537FE"/>
    <w:rsid w:val="00753861"/>
    <w:rsid w:val="00753862"/>
    <w:rsid w:val="007538D7"/>
    <w:rsid w:val="00753907"/>
    <w:rsid w:val="00753A43"/>
    <w:rsid w:val="00753A4A"/>
    <w:rsid w:val="00753C4B"/>
    <w:rsid w:val="00753FA4"/>
    <w:rsid w:val="00754110"/>
    <w:rsid w:val="0075418D"/>
    <w:rsid w:val="00754211"/>
    <w:rsid w:val="00754279"/>
    <w:rsid w:val="007542AB"/>
    <w:rsid w:val="0075436B"/>
    <w:rsid w:val="007543D1"/>
    <w:rsid w:val="0075443C"/>
    <w:rsid w:val="00754594"/>
    <w:rsid w:val="007545FA"/>
    <w:rsid w:val="00754781"/>
    <w:rsid w:val="00754799"/>
    <w:rsid w:val="007547B2"/>
    <w:rsid w:val="007547F2"/>
    <w:rsid w:val="00754867"/>
    <w:rsid w:val="00754911"/>
    <w:rsid w:val="0075491E"/>
    <w:rsid w:val="00754B07"/>
    <w:rsid w:val="00754BE5"/>
    <w:rsid w:val="00754C16"/>
    <w:rsid w:val="00754C55"/>
    <w:rsid w:val="00754DF9"/>
    <w:rsid w:val="00754EFE"/>
    <w:rsid w:val="00754F95"/>
    <w:rsid w:val="00754FA8"/>
    <w:rsid w:val="0075508B"/>
    <w:rsid w:val="0075509B"/>
    <w:rsid w:val="00755572"/>
    <w:rsid w:val="007556BD"/>
    <w:rsid w:val="007556DC"/>
    <w:rsid w:val="007557C1"/>
    <w:rsid w:val="0075581A"/>
    <w:rsid w:val="007559A7"/>
    <w:rsid w:val="00755B14"/>
    <w:rsid w:val="00755BE3"/>
    <w:rsid w:val="00755BEF"/>
    <w:rsid w:val="00755C15"/>
    <w:rsid w:val="00755E26"/>
    <w:rsid w:val="00755F4E"/>
    <w:rsid w:val="00756069"/>
    <w:rsid w:val="0075614B"/>
    <w:rsid w:val="0075631D"/>
    <w:rsid w:val="007564F8"/>
    <w:rsid w:val="0075670D"/>
    <w:rsid w:val="0075691A"/>
    <w:rsid w:val="00756A49"/>
    <w:rsid w:val="00756AA1"/>
    <w:rsid w:val="00756B2F"/>
    <w:rsid w:val="00756B5D"/>
    <w:rsid w:val="00756C72"/>
    <w:rsid w:val="00756DA0"/>
    <w:rsid w:val="00756DC6"/>
    <w:rsid w:val="00756E6E"/>
    <w:rsid w:val="00756F13"/>
    <w:rsid w:val="00756F46"/>
    <w:rsid w:val="0075713F"/>
    <w:rsid w:val="00757290"/>
    <w:rsid w:val="007572C0"/>
    <w:rsid w:val="0075749F"/>
    <w:rsid w:val="00757599"/>
    <w:rsid w:val="007575DD"/>
    <w:rsid w:val="00757645"/>
    <w:rsid w:val="00757672"/>
    <w:rsid w:val="00757785"/>
    <w:rsid w:val="00757816"/>
    <w:rsid w:val="0075792B"/>
    <w:rsid w:val="00757A5A"/>
    <w:rsid w:val="00757B01"/>
    <w:rsid w:val="00757B7D"/>
    <w:rsid w:val="00757C6E"/>
    <w:rsid w:val="00757C79"/>
    <w:rsid w:val="00757CC0"/>
    <w:rsid w:val="00757F00"/>
    <w:rsid w:val="00757F17"/>
    <w:rsid w:val="00760042"/>
    <w:rsid w:val="007600C0"/>
    <w:rsid w:val="0076013D"/>
    <w:rsid w:val="007601D5"/>
    <w:rsid w:val="0076023F"/>
    <w:rsid w:val="0076039D"/>
    <w:rsid w:val="0076039E"/>
    <w:rsid w:val="007603CA"/>
    <w:rsid w:val="00760430"/>
    <w:rsid w:val="007605EC"/>
    <w:rsid w:val="00760745"/>
    <w:rsid w:val="0076078D"/>
    <w:rsid w:val="0076079F"/>
    <w:rsid w:val="00760837"/>
    <w:rsid w:val="0076085B"/>
    <w:rsid w:val="00760897"/>
    <w:rsid w:val="00760942"/>
    <w:rsid w:val="007609B6"/>
    <w:rsid w:val="00760B19"/>
    <w:rsid w:val="00760BCB"/>
    <w:rsid w:val="00760D77"/>
    <w:rsid w:val="00760EDE"/>
    <w:rsid w:val="00760FE3"/>
    <w:rsid w:val="0076105B"/>
    <w:rsid w:val="0076106E"/>
    <w:rsid w:val="00761140"/>
    <w:rsid w:val="00761207"/>
    <w:rsid w:val="0076122F"/>
    <w:rsid w:val="007612BC"/>
    <w:rsid w:val="007612D2"/>
    <w:rsid w:val="0076130F"/>
    <w:rsid w:val="007617B7"/>
    <w:rsid w:val="00761801"/>
    <w:rsid w:val="007618AA"/>
    <w:rsid w:val="00761A30"/>
    <w:rsid w:val="00761AA5"/>
    <w:rsid w:val="00761CDC"/>
    <w:rsid w:val="00761D86"/>
    <w:rsid w:val="00761E15"/>
    <w:rsid w:val="00761EDA"/>
    <w:rsid w:val="00761F7C"/>
    <w:rsid w:val="00761FC9"/>
    <w:rsid w:val="00762035"/>
    <w:rsid w:val="00762159"/>
    <w:rsid w:val="007621A8"/>
    <w:rsid w:val="0076220E"/>
    <w:rsid w:val="00762309"/>
    <w:rsid w:val="00762373"/>
    <w:rsid w:val="00762379"/>
    <w:rsid w:val="007624B8"/>
    <w:rsid w:val="007624C5"/>
    <w:rsid w:val="007624F2"/>
    <w:rsid w:val="0076263A"/>
    <w:rsid w:val="007626EF"/>
    <w:rsid w:val="007628C1"/>
    <w:rsid w:val="00762922"/>
    <w:rsid w:val="0076294A"/>
    <w:rsid w:val="00762B3D"/>
    <w:rsid w:val="00762B9E"/>
    <w:rsid w:val="00762BAD"/>
    <w:rsid w:val="00762BE6"/>
    <w:rsid w:val="00762C16"/>
    <w:rsid w:val="00762DC4"/>
    <w:rsid w:val="00762FB4"/>
    <w:rsid w:val="0076312B"/>
    <w:rsid w:val="00763584"/>
    <w:rsid w:val="007636E8"/>
    <w:rsid w:val="00763754"/>
    <w:rsid w:val="00763777"/>
    <w:rsid w:val="007637F3"/>
    <w:rsid w:val="007638CF"/>
    <w:rsid w:val="00763A67"/>
    <w:rsid w:val="00763B7D"/>
    <w:rsid w:val="00763CF8"/>
    <w:rsid w:val="00763D1D"/>
    <w:rsid w:val="00763D30"/>
    <w:rsid w:val="00763D64"/>
    <w:rsid w:val="00763EE1"/>
    <w:rsid w:val="00764030"/>
    <w:rsid w:val="00764135"/>
    <w:rsid w:val="007641E4"/>
    <w:rsid w:val="007642C9"/>
    <w:rsid w:val="0076430F"/>
    <w:rsid w:val="00764321"/>
    <w:rsid w:val="0076438B"/>
    <w:rsid w:val="00764550"/>
    <w:rsid w:val="00764554"/>
    <w:rsid w:val="0076457B"/>
    <w:rsid w:val="0076464B"/>
    <w:rsid w:val="00764698"/>
    <w:rsid w:val="00764705"/>
    <w:rsid w:val="007648BF"/>
    <w:rsid w:val="0076499C"/>
    <w:rsid w:val="00764CF4"/>
    <w:rsid w:val="00764CF7"/>
    <w:rsid w:val="00764E07"/>
    <w:rsid w:val="00764FA7"/>
    <w:rsid w:val="00764FF8"/>
    <w:rsid w:val="007651E3"/>
    <w:rsid w:val="00765262"/>
    <w:rsid w:val="00765387"/>
    <w:rsid w:val="00765423"/>
    <w:rsid w:val="00765469"/>
    <w:rsid w:val="00765569"/>
    <w:rsid w:val="00765570"/>
    <w:rsid w:val="007655C7"/>
    <w:rsid w:val="00765614"/>
    <w:rsid w:val="00765667"/>
    <w:rsid w:val="0076578E"/>
    <w:rsid w:val="007657F9"/>
    <w:rsid w:val="00765827"/>
    <w:rsid w:val="007658F4"/>
    <w:rsid w:val="00765AAF"/>
    <w:rsid w:val="00765AD8"/>
    <w:rsid w:val="00765B1D"/>
    <w:rsid w:val="00765DD4"/>
    <w:rsid w:val="00765F55"/>
    <w:rsid w:val="00766038"/>
    <w:rsid w:val="0076606D"/>
    <w:rsid w:val="00766256"/>
    <w:rsid w:val="0076626A"/>
    <w:rsid w:val="0076629A"/>
    <w:rsid w:val="00766450"/>
    <w:rsid w:val="00766469"/>
    <w:rsid w:val="00766487"/>
    <w:rsid w:val="007664AB"/>
    <w:rsid w:val="00766526"/>
    <w:rsid w:val="00766628"/>
    <w:rsid w:val="00766692"/>
    <w:rsid w:val="0076685F"/>
    <w:rsid w:val="007669D6"/>
    <w:rsid w:val="00766AE2"/>
    <w:rsid w:val="00766D16"/>
    <w:rsid w:val="00766D30"/>
    <w:rsid w:val="00766D35"/>
    <w:rsid w:val="00766EA0"/>
    <w:rsid w:val="00767067"/>
    <w:rsid w:val="0076706E"/>
    <w:rsid w:val="0076716C"/>
    <w:rsid w:val="00767355"/>
    <w:rsid w:val="007673B3"/>
    <w:rsid w:val="007676C4"/>
    <w:rsid w:val="007676FC"/>
    <w:rsid w:val="00767791"/>
    <w:rsid w:val="00767794"/>
    <w:rsid w:val="007678E4"/>
    <w:rsid w:val="007678EC"/>
    <w:rsid w:val="007678F9"/>
    <w:rsid w:val="0076795A"/>
    <w:rsid w:val="007679B8"/>
    <w:rsid w:val="007679FD"/>
    <w:rsid w:val="00767B81"/>
    <w:rsid w:val="00767EEF"/>
    <w:rsid w:val="00767F52"/>
    <w:rsid w:val="00767F71"/>
    <w:rsid w:val="007700BE"/>
    <w:rsid w:val="0077012A"/>
    <w:rsid w:val="00770148"/>
    <w:rsid w:val="0077016F"/>
    <w:rsid w:val="007701AD"/>
    <w:rsid w:val="00770216"/>
    <w:rsid w:val="007702B5"/>
    <w:rsid w:val="007702E6"/>
    <w:rsid w:val="007703CC"/>
    <w:rsid w:val="0077040E"/>
    <w:rsid w:val="00770545"/>
    <w:rsid w:val="00770588"/>
    <w:rsid w:val="0077068E"/>
    <w:rsid w:val="0077081A"/>
    <w:rsid w:val="00770881"/>
    <w:rsid w:val="007709E3"/>
    <w:rsid w:val="00770A68"/>
    <w:rsid w:val="00770C42"/>
    <w:rsid w:val="00770D27"/>
    <w:rsid w:val="00770DE4"/>
    <w:rsid w:val="00770E71"/>
    <w:rsid w:val="00770F47"/>
    <w:rsid w:val="00771036"/>
    <w:rsid w:val="00771084"/>
    <w:rsid w:val="00771094"/>
    <w:rsid w:val="007711A9"/>
    <w:rsid w:val="00771207"/>
    <w:rsid w:val="00771240"/>
    <w:rsid w:val="007712F1"/>
    <w:rsid w:val="00771482"/>
    <w:rsid w:val="00771573"/>
    <w:rsid w:val="007716A9"/>
    <w:rsid w:val="00771958"/>
    <w:rsid w:val="007719C2"/>
    <w:rsid w:val="00771B60"/>
    <w:rsid w:val="00771B7B"/>
    <w:rsid w:val="00771C22"/>
    <w:rsid w:val="00771CE8"/>
    <w:rsid w:val="00771CF8"/>
    <w:rsid w:val="00771D05"/>
    <w:rsid w:val="00771E71"/>
    <w:rsid w:val="0077201C"/>
    <w:rsid w:val="007721BA"/>
    <w:rsid w:val="007722BB"/>
    <w:rsid w:val="0077246D"/>
    <w:rsid w:val="007724E1"/>
    <w:rsid w:val="00772664"/>
    <w:rsid w:val="007727CB"/>
    <w:rsid w:val="0077290D"/>
    <w:rsid w:val="00772961"/>
    <w:rsid w:val="00772991"/>
    <w:rsid w:val="00772BE0"/>
    <w:rsid w:val="00772C33"/>
    <w:rsid w:val="00772D66"/>
    <w:rsid w:val="00772F48"/>
    <w:rsid w:val="007730A1"/>
    <w:rsid w:val="007730E6"/>
    <w:rsid w:val="00773124"/>
    <w:rsid w:val="00773378"/>
    <w:rsid w:val="007734DC"/>
    <w:rsid w:val="0077350A"/>
    <w:rsid w:val="0077367F"/>
    <w:rsid w:val="00773787"/>
    <w:rsid w:val="00773816"/>
    <w:rsid w:val="00773932"/>
    <w:rsid w:val="00773978"/>
    <w:rsid w:val="00773979"/>
    <w:rsid w:val="007739C7"/>
    <w:rsid w:val="007739DC"/>
    <w:rsid w:val="00773A56"/>
    <w:rsid w:val="00773CAD"/>
    <w:rsid w:val="00773CC9"/>
    <w:rsid w:val="00773EB2"/>
    <w:rsid w:val="00773F47"/>
    <w:rsid w:val="00773F88"/>
    <w:rsid w:val="00774068"/>
    <w:rsid w:val="00774124"/>
    <w:rsid w:val="00774345"/>
    <w:rsid w:val="00774488"/>
    <w:rsid w:val="007744B1"/>
    <w:rsid w:val="0077453B"/>
    <w:rsid w:val="0077459C"/>
    <w:rsid w:val="00774674"/>
    <w:rsid w:val="0077473F"/>
    <w:rsid w:val="0077475D"/>
    <w:rsid w:val="00774763"/>
    <w:rsid w:val="007748B0"/>
    <w:rsid w:val="007748F8"/>
    <w:rsid w:val="00774A9B"/>
    <w:rsid w:val="00774C52"/>
    <w:rsid w:val="00774CBF"/>
    <w:rsid w:val="00774D38"/>
    <w:rsid w:val="00774FE4"/>
    <w:rsid w:val="007750A9"/>
    <w:rsid w:val="007750BA"/>
    <w:rsid w:val="007751AE"/>
    <w:rsid w:val="0077527C"/>
    <w:rsid w:val="007752CA"/>
    <w:rsid w:val="007753CB"/>
    <w:rsid w:val="007754A7"/>
    <w:rsid w:val="00775558"/>
    <w:rsid w:val="00775702"/>
    <w:rsid w:val="0077571F"/>
    <w:rsid w:val="007757CD"/>
    <w:rsid w:val="00775884"/>
    <w:rsid w:val="00775945"/>
    <w:rsid w:val="00775AE7"/>
    <w:rsid w:val="00775B91"/>
    <w:rsid w:val="00775B9E"/>
    <w:rsid w:val="00775C17"/>
    <w:rsid w:val="00775CDD"/>
    <w:rsid w:val="00775D79"/>
    <w:rsid w:val="00775D7D"/>
    <w:rsid w:val="00775E0E"/>
    <w:rsid w:val="00775E6E"/>
    <w:rsid w:val="00775E97"/>
    <w:rsid w:val="007760A8"/>
    <w:rsid w:val="007760F9"/>
    <w:rsid w:val="007761EE"/>
    <w:rsid w:val="00776519"/>
    <w:rsid w:val="007767B9"/>
    <w:rsid w:val="007767BA"/>
    <w:rsid w:val="00776863"/>
    <w:rsid w:val="00776B93"/>
    <w:rsid w:val="00776B9E"/>
    <w:rsid w:val="00776BA1"/>
    <w:rsid w:val="00776BCF"/>
    <w:rsid w:val="00776C0C"/>
    <w:rsid w:val="00776C7A"/>
    <w:rsid w:val="00776CB7"/>
    <w:rsid w:val="00776D38"/>
    <w:rsid w:val="00776D8B"/>
    <w:rsid w:val="00776F12"/>
    <w:rsid w:val="00777025"/>
    <w:rsid w:val="007771C8"/>
    <w:rsid w:val="007771E4"/>
    <w:rsid w:val="0077743C"/>
    <w:rsid w:val="00777496"/>
    <w:rsid w:val="007774CB"/>
    <w:rsid w:val="00777700"/>
    <w:rsid w:val="007778FF"/>
    <w:rsid w:val="00777D19"/>
    <w:rsid w:val="00777D99"/>
    <w:rsid w:val="00777DD6"/>
    <w:rsid w:val="00777E66"/>
    <w:rsid w:val="007800D6"/>
    <w:rsid w:val="00780301"/>
    <w:rsid w:val="00780616"/>
    <w:rsid w:val="0078071C"/>
    <w:rsid w:val="00780768"/>
    <w:rsid w:val="007808BC"/>
    <w:rsid w:val="007809E0"/>
    <w:rsid w:val="007809EE"/>
    <w:rsid w:val="00780ED7"/>
    <w:rsid w:val="00780F44"/>
    <w:rsid w:val="00780F6F"/>
    <w:rsid w:val="007810D9"/>
    <w:rsid w:val="0078110D"/>
    <w:rsid w:val="0078116B"/>
    <w:rsid w:val="00781382"/>
    <w:rsid w:val="0078158C"/>
    <w:rsid w:val="007817FB"/>
    <w:rsid w:val="007818AF"/>
    <w:rsid w:val="007818DC"/>
    <w:rsid w:val="007819D5"/>
    <w:rsid w:val="00781A21"/>
    <w:rsid w:val="00781AF1"/>
    <w:rsid w:val="00781B09"/>
    <w:rsid w:val="00781B72"/>
    <w:rsid w:val="00781BA6"/>
    <w:rsid w:val="00781ECA"/>
    <w:rsid w:val="00781EE7"/>
    <w:rsid w:val="0078225D"/>
    <w:rsid w:val="007823ED"/>
    <w:rsid w:val="00782409"/>
    <w:rsid w:val="0078251D"/>
    <w:rsid w:val="00782523"/>
    <w:rsid w:val="0078253A"/>
    <w:rsid w:val="0078257B"/>
    <w:rsid w:val="0078262E"/>
    <w:rsid w:val="00782705"/>
    <w:rsid w:val="007827C9"/>
    <w:rsid w:val="00782841"/>
    <w:rsid w:val="007828C6"/>
    <w:rsid w:val="007828DE"/>
    <w:rsid w:val="00782974"/>
    <w:rsid w:val="007829C4"/>
    <w:rsid w:val="007829D3"/>
    <w:rsid w:val="00782A57"/>
    <w:rsid w:val="00782A89"/>
    <w:rsid w:val="00782AA9"/>
    <w:rsid w:val="00782C46"/>
    <w:rsid w:val="00782D12"/>
    <w:rsid w:val="00782D66"/>
    <w:rsid w:val="00782DD5"/>
    <w:rsid w:val="00782DFC"/>
    <w:rsid w:val="00782E2D"/>
    <w:rsid w:val="00782F38"/>
    <w:rsid w:val="00783022"/>
    <w:rsid w:val="00783099"/>
    <w:rsid w:val="0078312E"/>
    <w:rsid w:val="00783142"/>
    <w:rsid w:val="00783159"/>
    <w:rsid w:val="00783197"/>
    <w:rsid w:val="00783304"/>
    <w:rsid w:val="00783350"/>
    <w:rsid w:val="0078341C"/>
    <w:rsid w:val="00783496"/>
    <w:rsid w:val="007834D9"/>
    <w:rsid w:val="0078360F"/>
    <w:rsid w:val="00783684"/>
    <w:rsid w:val="00783691"/>
    <w:rsid w:val="007836EC"/>
    <w:rsid w:val="00783993"/>
    <w:rsid w:val="00783B2E"/>
    <w:rsid w:val="00783BB4"/>
    <w:rsid w:val="00783C23"/>
    <w:rsid w:val="00783C9E"/>
    <w:rsid w:val="00783CCF"/>
    <w:rsid w:val="00783D76"/>
    <w:rsid w:val="00783DFD"/>
    <w:rsid w:val="00783E9C"/>
    <w:rsid w:val="00784151"/>
    <w:rsid w:val="007842B0"/>
    <w:rsid w:val="007842E6"/>
    <w:rsid w:val="00784392"/>
    <w:rsid w:val="00784491"/>
    <w:rsid w:val="007846DB"/>
    <w:rsid w:val="007847BC"/>
    <w:rsid w:val="00784873"/>
    <w:rsid w:val="00784943"/>
    <w:rsid w:val="00784970"/>
    <w:rsid w:val="00784A93"/>
    <w:rsid w:val="00784A94"/>
    <w:rsid w:val="00784BC5"/>
    <w:rsid w:val="00784DAC"/>
    <w:rsid w:val="00784DB0"/>
    <w:rsid w:val="0078509F"/>
    <w:rsid w:val="007850FB"/>
    <w:rsid w:val="0078511A"/>
    <w:rsid w:val="007851A7"/>
    <w:rsid w:val="00785514"/>
    <w:rsid w:val="00785638"/>
    <w:rsid w:val="00785650"/>
    <w:rsid w:val="00785766"/>
    <w:rsid w:val="007857F3"/>
    <w:rsid w:val="00785923"/>
    <w:rsid w:val="00785960"/>
    <w:rsid w:val="00785A05"/>
    <w:rsid w:val="00785A76"/>
    <w:rsid w:val="00785B03"/>
    <w:rsid w:val="00785B12"/>
    <w:rsid w:val="00785D22"/>
    <w:rsid w:val="00785D5A"/>
    <w:rsid w:val="00785D78"/>
    <w:rsid w:val="00785F55"/>
    <w:rsid w:val="00785FB3"/>
    <w:rsid w:val="0078602E"/>
    <w:rsid w:val="0078613E"/>
    <w:rsid w:val="00786171"/>
    <w:rsid w:val="007861C0"/>
    <w:rsid w:val="0078625C"/>
    <w:rsid w:val="007862A5"/>
    <w:rsid w:val="0078633D"/>
    <w:rsid w:val="0078638D"/>
    <w:rsid w:val="007863DD"/>
    <w:rsid w:val="007863F7"/>
    <w:rsid w:val="0078643F"/>
    <w:rsid w:val="00786440"/>
    <w:rsid w:val="00786460"/>
    <w:rsid w:val="007866AD"/>
    <w:rsid w:val="0078670D"/>
    <w:rsid w:val="00786803"/>
    <w:rsid w:val="007869CC"/>
    <w:rsid w:val="00786A4A"/>
    <w:rsid w:val="00786B82"/>
    <w:rsid w:val="00786BF8"/>
    <w:rsid w:val="00786D1E"/>
    <w:rsid w:val="00786D2D"/>
    <w:rsid w:val="00786D39"/>
    <w:rsid w:val="00786D3E"/>
    <w:rsid w:val="00786D4F"/>
    <w:rsid w:val="00786E0C"/>
    <w:rsid w:val="00786E1D"/>
    <w:rsid w:val="00786EA0"/>
    <w:rsid w:val="00786EE3"/>
    <w:rsid w:val="00786F5C"/>
    <w:rsid w:val="00786F9C"/>
    <w:rsid w:val="00787117"/>
    <w:rsid w:val="00787233"/>
    <w:rsid w:val="007872BA"/>
    <w:rsid w:val="007872D6"/>
    <w:rsid w:val="007873FC"/>
    <w:rsid w:val="00787462"/>
    <w:rsid w:val="007875B8"/>
    <w:rsid w:val="007875E0"/>
    <w:rsid w:val="00787675"/>
    <w:rsid w:val="0078771C"/>
    <w:rsid w:val="00787728"/>
    <w:rsid w:val="007877E8"/>
    <w:rsid w:val="0078790D"/>
    <w:rsid w:val="00787A4C"/>
    <w:rsid w:val="00787B07"/>
    <w:rsid w:val="00787B17"/>
    <w:rsid w:val="00787B3F"/>
    <w:rsid w:val="00787C1A"/>
    <w:rsid w:val="00787C2B"/>
    <w:rsid w:val="00787D22"/>
    <w:rsid w:val="00787DD9"/>
    <w:rsid w:val="00787E27"/>
    <w:rsid w:val="00787FB1"/>
    <w:rsid w:val="0079015B"/>
    <w:rsid w:val="00790286"/>
    <w:rsid w:val="007902BD"/>
    <w:rsid w:val="00790665"/>
    <w:rsid w:val="007906BE"/>
    <w:rsid w:val="00790701"/>
    <w:rsid w:val="00790755"/>
    <w:rsid w:val="00790AAB"/>
    <w:rsid w:val="00790ACB"/>
    <w:rsid w:val="00790BCA"/>
    <w:rsid w:val="00790BD7"/>
    <w:rsid w:val="00790C53"/>
    <w:rsid w:val="00790C55"/>
    <w:rsid w:val="00790C91"/>
    <w:rsid w:val="00790D42"/>
    <w:rsid w:val="00790D7F"/>
    <w:rsid w:val="00790E93"/>
    <w:rsid w:val="00791350"/>
    <w:rsid w:val="0079136D"/>
    <w:rsid w:val="0079137F"/>
    <w:rsid w:val="00791443"/>
    <w:rsid w:val="00791475"/>
    <w:rsid w:val="007915F0"/>
    <w:rsid w:val="0079166F"/>
    <w:rsid w:val="007918EC"/>
    <w:rsid w:val="00791963"/>
    <w:rsid w:val="00791C30"/>
    <w:rsid w:val="00791C48"/>
    <w:rsid w:val="00792075"/>
    <w:rsid w:val="0079213F"/>
    <w:rsid w:val="00792321"/>
    <w:rsid w:val="00792455"/>
    <w:rsid w:val="007925A8"/>
    <w:rsid w:val="00792696"/>
    <w:rsid w:val="00792831"/>
    <w:rsid w:val="00792882"/>
    <w:rsid w:val="007928C8"/>
    <w:rsid w:val="0079297C"/>
    <w:rsid w:val="00792A51"/>
    <w:rsid w:val="00792A92"/>
    <w:rsid w:val="00792C47"/>
    <w:rsid w:val="00792C9A"/>
    <w:rsid w:val="00792D86"/>
    <w:rsid w:val="00792DA5"/>
    <w:rsid w:val="00792DD8"/>
    <w:rsid w:val="00792E16"/>
    <w:rsid w:val="00792FCF"/>
    <w:rsid w:val="007931A2"/>
    <w:rsid w:val="007934DF"/>
    <w:rsid w:val="00793587"/>
    <w:rsid w:val="007935A5"/>
    <w:rsid w:val="007935A9"/>
    <w:rsid w:val="0079362F"/>
    <w:rsid w:val="007936E1"/>
    <w:rsid w:val="0079375C"/>
    <w:rsid w:val="007937BB"/>
    <w:rsid w:val="007937DD"/>
    <w:rsid w:val="007939ED"/>
    <w:rsid w:val="00793A39"/>
    <w:rsid w:val="00793C22"/>
    <w:rsid w:val="00793C32"/>
    <w:rsid w:val="00793CC5"/>
    <w:rsid w:val="00793CE9"/>
    <w:rsid w:val="00793D39"/>
    <w:rsid w:val="00793F55"/>
    <w:rsid w:val="00794035"/>
    <w:rsid w:val="0079407E"/>
    <w:rsid w:val="0079409E"/>
    <w:rsid w:val="007942EA"/>
    <w:rsid w:val="00794490"/>
    <w:rsid w:val="00794499"/>
    <w:rsid w:val="00794624"/>
    <w:rsid w:val="007946E6"/>
    <w:rsid w:val="00794725"/>
    <w:rsid w:val="007948F4"/>
    <w:rsid w:val="00794AE7"/>
    <w:rsid w:val="00794B4D"/>
    <w:rsid w:val="00794BEA"/>
    <w:rsid w:val="00794C9D"/>
    <w:rsid w:val="00794D62"/>
    <w:rsid w:val="00794D6A"/>
    <w:rsid w:val="00794E41"/>
    <w:rsid w:val="00794F69"/>
    <w:rsid w:val="00794F73"/>
    <w:rsid w:val="00794F89"/>
    <w:rsid w:val="00794FBF"/>
    <w:rsid w:val="0079519C"/>
    <w:rsid w:val="00795369"/>
    <w:rsid w:val="00795439"/>
    <w:rsid w:val="007954E8"/>
    <w:rsid w:val="00795528"/>
    <w:rsid w:val="007955F3"/>
    <w:rsid w:val="00795892"/>
    <w:rsid w:val="00795A2C"/>
    <w:rsid w:val="00795AB3"/>
    <w:rsid w:val="00795B19"/>
    <w:rsid w:val="00795B52"/>
    <w:rsid w:val="00795BA2"/>
    <w:rsid w:val="00795C23"/>
    <w:rsid w:val="00795E25"/>
    <w:rsid w:val="00795EBB"/>
    <w:rsid w:val="00795FF9"/>
    <w:rsid w:val="007961A9"/>
    <w:rsid w:val="00796244"/>
    <w:rsid w:val="007962AE"/>
    <w:rsid w:val="00796317"/>
    <w:rsid w:val="00796369"/>
    <w:rsid w:val="00796498"/>
    <w:rsid w:val="0079663C"/>
    <w:rsid w:val="0079671E"/>
    <w:rsid w:val="007967FF"/>
    <w:rsid w:val="00796823"/>
    <w:rsid w:val="0079691D"/>
    <w:rsid w:val="00796944"/>
    <w:rsid w:val="00796A03"/>
    <w:rsid w:val="00796A2C"/>
    <w:rsid w:val="00796BB2"/>
    <w:rsid w:val="00796C3C"/>
    <w:rsid w:val="00796D9C"/>
    <w:rsid w:val="00796E47"/>
    <w:rsid w:val="00796E7A"/>
    <w:rsid w:val="00796E83"/>
    <w:rsid w:val="00797021"/>
    <w:rsid w:val="0079702D"/>
    <w:rsid w:val="0079706C"/>
    <w:rsid w:val="007970D8"/>
    <w:rsid w:val="00797323"/>
    <w:rsid w:val="00797398"/>
    <w:rsid w:val="007973AE"/>
    <w:rsid w:val="007974FF"/>
    <w:rsid w:val="00797641"/>
    <w:rsid w:val="007976CB"/>
    <w:rsid w:val="0079773B"/>
    <w:rsid w:val="007979C9"/>
    <w:rsid w:val="00797BC1"/>
    <w:rsid w:val="00797C19"/>
    <w:rsid w:val="00797C7E"/>
    <w:rsid w:val="00797E0D"/>
    <w:rsid w:val="00797E82"/>
    <w:rsid w:val="00797FFD"/>
    <w:rsid w:val="007A01F1"/>
    <w:rsid w:val="007A0223"/>
    <w:rsid w:val="007A024B"/>
    <w:rsid w:val="007A027E"/>
    <w:rsid w:val="007A031D"/>
    <w:rsid w:val="007A03DB"/>
    <w:rsid w:val="007A0408"/>
    <w:rsid w:val="007A0701"/>
    <w:rsid w:val="007A0772"/>
    <w:rsid w:val="007A0797"/>
    <w:rsid w:val="007A080C"/>
    <w:rsid w:val="007A087E"/>
    <w:rsid w:val="007A09CA"/>
    <w:rsid w:val="007A0BF2"/>
    <w:rsid w:val="007A0C1F"/>
    <w:rsid w:val="007A0E65"/>
    <w:rsid w:val="007A0EB5"/>
    <w:rsid w:val="007A0EC6"/>
    <w:rsid w:val="007A114D"/>
    <w:rsid w:val="007A128A"/>
    <w:rsid w:val="007A13CF"/>
    <w:rsid w:val="007A1487"/>
    <w:rsid w:val="007A15E3"/>
    <w:rsid w:val="007A171E"/>
    <w:rsid w:val="007A177A"/>
    <w:rsid w:val="007A17C4"/>
    <w:rsid w:val="007A1882"/>
    <w:rsid w:val="007A1A66"/>
    <w:rsid w:val="007A1A7D"/>
    <w:rsid w:val="007A1E78"/>
    <w:rsid w:val="007A20AB"/>
    <w:rsid w:val="007A2153"/>
    <w:rsid w:val="007A219F"/>
    <w:rsid w:val="007A22E2"/>
    <w:rsid w:val="007A24B5"/>
    <w:rsid w:val="007A24C0"/>
    <w:rsid w:val="007A24D0"/>
    <w:rsid w:val="007A2518"/>
    <w:rsid w:val="007A257A"/>
    <w:rsid w:val="007A26A8"/>
    <w:rsid w:val="007A2755"/>
    <w:rsid w:val="007A275F"/>
    <w:rsid w:val="007A2973"/>
    <w:rsid w:val="007A29C0"/>
    <w:rsid w:val="007A2B6A"/>
    <w:rsid w:val="007A2C44"/>
    <w:rsid w:val="007A2CEC"/>
    <w:rsid w:val="007A2D5B"/>
    <w:rsid w:val="007A2D84"/>
    <w:rsid w:val="007A2DE0"/>
    <w:rsid w:val="007A2DF8"/>
    <w:rsid w:val="007A3091"/>
    <w:rsid w:val="007A312E"/>
    <w:rsid w:val="007A31BD"/>
    <w:rsid w:val="007A3264"/>
    <w:rsid w:val="007A32D0"/>
    <w:rsid w:val="007A335F"/>
    <w:rsid w:val="007A33B6"/>
    <w:rsid w:val="007A33C4"/>
    <w:rsid w:val="007A35DF"/>
    <w:rsid w:val="007A362C"/>
    <w:rsid w:val="007A3700"/>
    <w:rsid w:val="007A3748"/>
    <w:rsid w:val="007A39C0"/>
    <w:rsid w:val="007A3A78"/>
    <w:rsid w:val="007A3D23"/>
    <w:rsid w:val="007A3D33"/>
    <w:rsid w:val="007A412F"/>
    <w:rsid w:val="007A4159"/>
    <w:rsid w:val="007A4487"/>
    <w:rsid w:val="007A45DD"/>
    <w:rsid w:val="007A46F7"/>
    <w:rsid w:val="007A47EF"/>
    <w:rsid w:val="007A47FA"/>
    <w:rsid w:val="007A4882"/>
    <w:rsid w:val="007A4996"/>
    <w:rsid w:val="007A49A5"/>
    <w:rsid w:val="007A4C1C"/>
    <w:rsid w:val="007A4DE5"/>
    <w:rsid w:val="007A4E16"/>
    <w:rsid w:val="007A4E9A"/>
    <w:rsid w:val="007A50AD"/>
    <w:rsid w:val="007A58EE"/>
    <w:rsid w:val="007A5B86"/>
    <w:rsid w:val="007A5CA8"/>
    <w:rsid w:val="007A5F85"/>
    <w:rsid w:val="007A6015"/>
    <w:rsid w:val="007A6108"/>
    <w:rsid w:val="007A61D3"/>
    <w:rsid w:val="007A6218"/>
    <w:rsid w:val="007A63F1"/>
    <w:rsid w:val="007A642A"/>
    <w:rsid w:val="007A64B1"/>
    <w:rsid w:val="007A64FE"/>
    <w:rsid w:val="007A6514"/>
    <w:rsid w:val="007A653B"/>
    <w:rsid w:val="007A654C"/>
    <w:rsid w:val="007A6566"/>
    <w:rsid w:val="007A65DD"/>
    <w:rsid w:val="007A678A"/>
    <w:rsid w:val="007A6996"/>
    <w:rsid w:val="007A6ABD"/>
    <w:rsid w:val="007A6C9A"/>
    <w:rsid w:val="007A6CAB"/>
    <w:rsid w:val="007A6E40"/>
    <w:rsid w:val="007A6E87"/>
    <w:rsid w:val="007A7115"/>
    <w:rsid w:val="007A7201"/>
    <w:rsid w:val="007A724A"/>
    <w:rsid w:val="007A740E"/>
    <w:rsid w:val="007A7420"/>
    <w:rsid w:val="007A758B"/>
    <w:rsid w:val="007A76CA"/>
    <w:rsid w:val="007A78B7"/>
    <w:rsid w:val="007A7A81"/>
    <w:rsid w:val="007A7A85"/>
    <w:rsid w:val="007A7B36"/>
    <w:rsid w:val="007A7B7C"/>
    <w:rsid w:val="007A7C3E"/>
    <w:rsid w:val="007A7DDA"/>
    <w:rsid w:val="007A7DDE"/>
    <w:rsid w:val="007A7E79"/>
    <w:rsid w:val="007A7FC7"/>
    <w:rsid w:val="007B03C4"/>
    <w:rsid w:val="007B05FB"/>
    <w:rsid w:val="007B061E"/>
    <w:rsid w:val="007B0804"/>
    <w:rsid w:val="007B0953"/>
    <w:rsid w:val="007B0CE3"/>
    <w:rsid w:val="007B100D"/>
    <w:rsid w:val="007B11EB"/>
    <w:rsid w:val="007B12DC"/>
    <w:rsid w:val="007B13AB"/>
    <w:rsid w:val="007B13F3"/>
    <w:rsid w:val="007B1617"/>
    <w:rsid w:val="007B1691"/>
    <w:rsid w:val="007B16EB"/>
    <w:rsid w:val="007B190F"/>
    <w:rsid w:val="007B19FB"/>
    <w:rsid w:val="007B1A81"/>
    <w:rsid w:val="007B1A96"/>
    <w:rsid w:val="007B1ADE"/>
    <w:rsid w:val="007B1B47"/>
    <w:rsid w:val="007B1D3C"/>
    <w:rsid w:val="007B1EAE"/>
    <w:rsid w:val="007B1EF5"/>
    <w:rsid w:val="007B20B0"/>
    <w:rsid w:val="007B20B1"/>
    <w:rsid w:val="007B2114"/>
    <w:rsid w:val="007B2115"/>
    <w:rsid w:val="007B2196"/>
    <w:rsid w:val="007B21CC"/>
    <w:rsid w:val="007B2299"/>
    <w:rsid w:val="007B22AF"/>
    <w:rsid w:val="007B2501"/>
    <w:rsid w:val="007B2522"/>
    <w:rsid w:val="007B25A8"/>
    <w:rsid w:val="007B263A"/>
    <w:rsid w:val="007B2727"/>
    <w:rsid w:val="007B2734"/>
    <w:rsid w:val="007B285B"/>
    <w:rsid w:val="007B2890"/>
    <w:rsid w:val="007B28E4"/>
    <w:rsid w:val="007B29A8"/>
    <w:rsid w:val="007B29DC"/>
    <w:rsid w:val="007B2A38"/>
    <w:rsid w:val="007B2BE7"/>
    <w:rsid w:val="007B2C13"/>
    <w:rsid w:val="007B2DB7"/>
    <w:rsid w:val="007B2E51"/>
    <w:rsid w:val="007B2F5A"/>
    <w:rsid w:val="007B2FA3"/>
    <w:rsid w:val="007B3021"/>
    <w:rsid w:val="007B30A0"/>
    <w:rsid w:val="007B3297"/>
    <w:rsid w:val="007B32E8"/>
    <w:rsid w:val="007B353F"/>
    <w:rsid w:val="007B35F2"/>
    <w:rsid w:val="007B3635"/>
    <w:rsid w:val="007B36A1"/>
    <w:rsid w:val="007B3745"/>
    <w:rsid w:val="007B38FC"/>
    <w:rsid w:val="007B3A59"/>
    <w:rsid w:val="007B3BF4"/>
    <w:rsid w:val="007B3D3A"/>
    <w:rsid w:val="007B3DF3"/>
    <w:rsid w:val="007B3E12"/>
    <w:rsid w:val="007B3F46"/>
    <w:rsid w:val="007B3F6A"/>
    <w:rsid w:val="007B401D"/>
    <w:rsid w:val="007B4220"/>
    <w:rsid w:val="007B4221"/>
    <w:rsid w:val="007B424E"/>
    <w:rsid w:val="007B4272"/>
    <w:rsid w:val="007B42D0"/>
    <w:rsid w:val="007B4311"/>
    <w:rsid w:val="007B43BB"/>
    <w:rsid w:val="007B4532"/>
    <w:rsid w:val="007B45D3"/>
    <w:rsid w:val="007B45DA"/>
    <w:rsid w:val="007B46B1"/>
    <w:rsid w:val="007B47BE"/>
    <w:rsid w:val="007B4840"/>
    <w:rsid w:val="007B4921"/>
    <w:rsid w:val="007B4923"/>
    <w:rsid w:val="007B49ED"/>
    <w:rsid w:val="007B4A33"/>
    <w:rsid w:val="007B4AB6"/>
    <w:rsid w:val="007B4D14"/>
    <w:rsid w:val="007B4D79"/>
    <w:rsid w:val="007B4DBB"/>
    <w:rsid w:val="007B4DDD"/>
    <w:rsid w:val="007B4FA8"/>
    <w:rsid w:val="007B5209"/>
    <w:rsid w:val="007B534F"/>
    <w:rsid w:val="007B557E"/>
    <w:rsid w:val="007B5719"/>
    <w:rsid w:val="007B57FB"/>
    <w:rsid w:val="007B5876"/>
    <w:rsid w:val="007B587D"/>
    <w:rsid w:val="007B58A5"/>
    <w:rsid w:val="007B5916"/>
    <w:rsid w:val="007B5988"/>
    <w:rsid w:val="007B5AAC"/>
    <w:rsid w:val="007B5AD2"/>
    <w:rsid w:val="007B5AE7"/>
    <w:rsid w:val="007B5AF9"/>
    <w:rsid w:val="007B5B2A"/>
    <w:rsid w:val="007B5C42"/>
    <w:rsid w:val="007B5C7C"/>
    <w:rsid w:val="007B5E1B"/>
    <w:rsid w:val="007B5ECE"/>
    <w:rsid w:val="007B6028"/>
    <w:rsid w:val="007B6034"/>
    <w:rsid w:val="007B6258"/>
    <w:rsid w:val="007B6421"/>
    <w:rsid w:val="007B6456"/>
    <w:rsid w:val="007B669B"/>
    <w:rsid w:val="007B6723"/>
    <w:rsid w:val="007B6777"/>
    <w:rsid w:val="007B67E9"/>
    <w:rsid w:val="007B69F4"/>
    <w:rsid w:val="007B69FA"/>
    <w:rsid w:val="007B6A5C"/>
    <w:rsid w:val="007B6C1F"/>
    <w:rsid w:val="007B6EE4"/>
    <w:rsid w:val="007B6F79"/>
    <w:rsid w:val="007B6FA9"/>
    <w:rsid w:val="007B7001"/>
    <w:rsid w:val="007B72DB"/>
    <w:rsid w:val="007B73A5"/>
    <w:rsid w:val="007B74AF"/>
    <w:rsid w:val="007B7726"/>
    <w:rsid w:val="007B77DE"/>
    <w:rsid w:val="007B7876"/>
    <w:rsid w:val="007B7902"/>
    <w:rsid w:val="007B7A1C"/>
    <w:rsid w:val="007B7AB6"/>
    <w:rsid w:val="007B7B84"/>
    <w:rsid w:val="007B7C3C"/>
    <w:rsid w:val="007B7DE3"/>
    <w:rsid w:val="007B7E1F"/>
    <w:rsid w:val="007B7E57"/>
    <w:rsid w:val="007C0325"/>
    <w:rsid w:val="007C035B"/>
    <w:rsid w:val="007C0460"/>
    <w:rsid w:val="007C0476"/>
    <w:rsid w:val="007C049F"/>
    <w:rsid w:val="007C0764"/>
    <w:rsid w:val="007C077A"/>
    <w:rsid w:val="007C086A"/>
    <w:rsid w:val="007C08E1"/>
    <w:rsid w:val="007C0ACE"/>
    <w:rsid w:val="007C0D01"/>
    <w:rsid w:val="007C0D73"/>
    <w:rsid w:val="007C0EAE"/>
    <w:rsid w:val="007C0F8A"/>
    <w:rsid w:val="007C1077"/>
    <w:rsid w:val="007C11D0"/>
    <w:rsid w:val="007C1251"/>
    <w:rsid w:val="007C135B"/>
    <w:rsid w:val="007C13AC"/>
    <w:rsid w:val="007C148B"/>
    <w:rsid w:val="007C1567"/>
    <w:rsid w:val="007C1590"/>
    <w:rsid w:val="007C175C"/>
    <w:rsid w:val="007C1777"/>
    <w:rsid w:val="007C1828"/>
    <w:rsid w:val="007C1B11"/>
    <w:rsid w:val="007C1B3B"/>
    <w:rsid w:val="007C1CE8"/>
    <w:rsid w:val="007C1D29"/>
    <w:rsid w:val="007C1F25"/>
    <w:rsid w:val="007C217F"/>
    <w:rsid w:val="007C22BE"/>
    <w:rsid w:val="007C26A0"/>
    <w:rsid w:val="007C2769"/>
    <w:rsid w:val="007C2871"/>
    <w:rsid w:val="007C2887"/>
    <w:rsid w:val="007C288A"/>
    <w:rsid w:val="007C28C2"/>
    <w:rsid w:val="007C28F5"/>
    <w:rsid w:val="007C29C2"/>
    <w:rsid w:val="007C2B17"/>
    <w:rsid w:val="007C2B67"/>
    <w:rsid w:val="007C2BAD"/>
    <w:rsid w:val="007C2CDD"/>
    <w:rsid w:val="007C2D35"/>
    <w:rsid w:val="007C323C"/>
    <w:rsid w:val="007C3490"/>
    <w:rsid w:val="007C3538"/>
    <w:rsid w:val="007C35AB"/>
    <w:rsid w:val="007C367F"/>
    <w:rsid w:val="007C369E"/>
    <w:rsid w:val="007C371F"/>
    <w:rsid w:val="007C3805"/>
    <w:rsid w:val="007C394E"/>
    <w:rsid w:val="007C3A18"/>
    <w:rsid w:val="007C3BAA"/>
    <w:rsid w:val="007C3C5E"/>
    <w:rsid w:val="007C3CB6"/>
    <w:rsid w:val="007C3D6B"/>
    <w:rsid w:val="007C3F46"/>
    <w:rsid w:val="007C3FF1"/>
    <w:rsid w:val="007C4052"/>
    <w:rsid w:val="007C408F"/>
    <w:rsid w:val="007C40E8"/>
    <w:rsid w:val="007C419D"/>
    <w:rsid w:val="007C41BC"/>
    <w:rsid w:val="007C41EB"/>
    <w:rsid w:val="007C42B5"/>
    <w:rsid w:val="007C431C"/>
    <w:rsid w:val="007C43E8"/>
    <w:rsid w:val="007C43EE"/>
    <w:rsid w:val="007C44B5"/>
    <w:rsid w:val="007C47CD"/>
    <w:rsid w:val="007C48A4"/>
    <w:rsid w:val="007C493D"/>
    <w:rsid w:val="007C4A26"/>
    <w:rsid w:val="007C4B55"/>
    <w:rsid w:val="007C4BC6"/>
    <w:rsid w:val="007C4F1F"/>
    <w:rsid w:val="007C4FB5"/>
    <w:rsid w:val="007C503B"/>
    <w:rsid w:val="007C514C"/>
    <w:rsid w:val="007C522F"/>
    <w:rsid w:val="007C53A6"/>
    <w:rsid w:val="007C540D"/>
    <w:rsid w:val="007C54EA"/>
    <w:rsid w:val="007C54F9"/>
    <w:rsid w:val="007C55D1"/>
    <w:rsid w:val="007C568A"/>
    <w:rsid w:val="007C5773"/>
    <w:rsid w:val="007C5776"/>
    <w:rsid w:val="007C5786"/>
    <w:rsid w:val="007C57E6"/>
    <w:rsid w:val="007C5A87"/>
    <w:rsid w:val="007C5C40"/>
    <w:rsid w:val="007C5C66"/>
    <w:rsid w:val="007C5CEE"/>
    <w:rsid w:val="007C5DA7"/>
    <w:rsid w:val="007C5E9D"/>
    <w:rsid w:val="007C5F07"/>
    <w:rsid w:val="007C5F98"/>
    <w:rsid w:val="007C5FD2"/>
    <w:rsid w:val="007C62D1"/>
    <w:rsid w:val="007C62D3"/>
    <w:rsid w:val="007C63BE"/>
    <w:rsid w:val="007C64F7"/>
    <w:rsid w:val="007C65AA"/>
    <w:rsid w:val="007C65B5"/>
    <w:rsid w:val="007C667F"/>
    <w:rsid w:val="007C672C"/>
    <w:rsid w:val="007C6796"/>
    <w:rsid w:val="007C68E2"/>
    <w:rsid w:val="007C68E5"/>
    <w:rsid w:val="007C6926"/>
    <w:rsid w:val="007C6C75"/>
    <w:rsid w:val="007C6E16"/>
    <w:rsid w:val="007C6EE7"/>
    <w:rsid w:val="007C6F2E"/>
    <w:rsid w:val="007C6FDB"/>
    <w:rsid w:val="007C7027"/>
    <w:rsid w:val="007C70AA"/>
    <w:rsid w:val="007C728D"/>
    <w:rsid w:val="007C7290"/>
    <w:rsid w:val="007C7308"/>
    <w:rsid w:val="007C75C7"/>
    <w:rsid w:val="007C75F5"/>
    <w:rsid w:val="007C7725"/>
    <w:rsid w:val="007C7845"/>
    <w:rsid w:val="007C78FE"/>
    <w:rsid w:val="007C7A25"/>
    <w:rsid w:val="007C7A50"/>
    <w:rsid w:val="007C7BE8"/>
    <w:rsid w:val="007C7C26"/>
    <w:rsid w:val="007C7C3E"/>
    <w:rsid w:val="007C7D19"/>
    <w:rsid w:val="007C7DAE"/>
    <w:rsid w:val="007C7DF3"/>
    <w:rsid w:val="007C7E0C"/>
    <w:rsid w:val="007C7EC4"/>
    <w:rsid w:val="007D0109"/>
    <w:rsid w:val="007D0110"/>
    <w:rsid w:val="007D031D"/>
    <w:rsid w:val="007D0459"/>
    <w:rsid w:val="007D0528"/>
    <w:rsid w:val="007D0660"/>
    <w:rsid w:val="007D06A1"/>
    <w:rsid w:val="007D0707"/>
    <w:rsid w:val="007D0A60"/>
    <w:rsid w:val="007D0A67"/>
    <w:rsid w:val="007D0C47"/>
    <w:rsid w:val="007D0E89"/>
    <w:rsid w:val="007D0EFD"/>
    <w:rsid w:val="007D0F02"/>
    <w:rsid w:val="007D0F03"/>
    <w:rsid w:val="007D0F45"/>
    <w:rsid w:val="007D1003"/>
    <w:rsid w:val="007D11D3"/>
    <w:rsid w:val="007D126D"/>
    <w:rsid w:val="007D14D6"/>
    <w:rsid w:val="007D155B"/>
    <w:rsid w:val="007D16FF"/>
    <w:rsid w:val="007D18C7"/>
    <w:rsid w:val="007D1940"/>
    <w:rsid w:val="007D1A4B"/>
    <w:rsid w:val="007D1B66"/>
    <w:rsid w:val="007D1BEE"/>
    <w:rsid w:val="007D1C6C"/>
    <w:rsid w:val="007D1C90"/>
    <w:rsid w:val="007D1D18"/>
    <w:rsid w:val="007D1E26"/>
    <w:rsid w:val="007D1FC9"/>
    <w:rsid w:val="007D1FD7"/>
    <w:rsid w:val="007D2378"/>
    <w:rsid w:val="007D23D0"/>
    <w:rsid w:val="007D265A"/>
    <w:rsid w:val="007D2729"/>
    <w:rsid w:val="007D2823"/>
    <w:rsid w:val="007D2846"/>
    <w:rsid w:val="007D2944"/>
    <w:rsid w:val="007D2989"/>
    <w:rsid w:val="007D2A2E"/>
    <w:rsid w:val="007D2A38"/>
    <w:rsid w:val="007D2AB4"/>
    <w:rsid w:val="007D2D74"/>
    <w:rsid w:val="007D2D7F"/>
    <w:rsid w:val="007D2DC2"/>
    <w:rsid w:val="007D2E5C"/>
    <w:rsid w:val="007D2E61"/>
    <w:rsid w:val="007D2E85"/>
    <w:rsid w:val="007D2F13"/>
    <w:rsid w:val="007D313B"/>
    <w:rsid w:val="007D3271"/>
    <w:rsid w:val="007D3409"/>
    <w:rsid w:val="007D341E"/>
    <w:rsid w:val="007D3536"/>
    <w:rsid w:val="007D3588"/>
    <w:rsid w:val="007D3589"/>
    <w:rsid w:val="007D3656"/>
    <w:rsid w:val="007D36C0"/>
    <w:rsid w:val="007D39AF"/>
    <w:rsid w:val="007D3D85"/>
    <w:rsid w:val="007D3DCA"/>
    <w:rsid w:val="007D3E2E"/>
    <w:rsid w:val="007D3E92"/>
    <w:rsid w:val="007D3ECC"/>
    <w:rsid w:val="007D3F27"/>
    <w:rsid w:val="007D3FFE"/>
    <w:rsid w:val="007D408D"/>
    <w:rsid w:val="007D40B2"/>
    <w:rsid w:val="007D40C2"/>
    <w:rsid w:val="007D4186"/>
    <w:rsid w:val="007D42BB"/>
    <w:rsid w:val="007D446D"/>
    <w:rsid w:val="007D46A6"/>
    <w:rsid w:val="007D46C9"/>
    <w:rsid w:val="007D46EB"/>
    <w:rsid w:val="007D46FE"/>
    <w:rsid w:val="007D4736"/>
    <w:rsid w:val="007D47EC"/>
    <w:rsid w:val="007D4886"/>
    <w:rsid w:val="007D489D"/>
    <w:rsid w:val="007D4B78"/>
    <w:rsid w:val="007D4BD2"/>
    <w:rsid w:val="007D4BEE"/>
    <w:rsid w:val="007D4CD0"/>
    <w:rsid w:val="007D4D39"/>
    <w:rsid w:val="007D4E64"/>
    <w:rsid w:val="007D4F0E"/>
    <w:rsid w:val="007D4F2D"/>
    <w:rsid w:val="007D4FAC"/>
    <w:rsid w:val="007D4FC5"/>
    <w:rsid w:val="007D5017"/>
    <w:rsid w:val="007D5036"/>
    <w:rsid w:val="007D5189"/>
    <w:rsid w:val="007D5326"/>
    <w:rsid w:val="007D5361"/>
    <w:rsid w:val="007D536F"/>
    <w:rsid w:val="007D538C"/>
    <w:rsid w:val="007D53A0"/>
    <w:rsid w:val="007D55BF"/>
    <w:rsid w:val="007D58EB"/>
    <w:rsid w:val="007D5AA6"/>
    <w:rsid w:val="007D5B3C"/>
    <w:rsid w:val="007D5DF1"/>
    <w:rsid w:val="007D5E3D"/>
    <w:rsid w:val="007D5F0F"/>
    <w:rsid w:val="007D5F62"/>
    <w:rsid w:val="007D5F64"/>
    <w:rsid w:val="007D5F90"/>
    <w:rsid w:val="007D5FDC"/>
    <w:rsid w:val="007D601A"/>
    <w:rsid w:val="007D6218"/>
    <w:rsid w:val="007D6251"/>
    <w:rsid w:val="007D627E"/>
    <w:rsid w:val="007D632D"/>
    <w:rsid w:val="007D6631"/>
    <w:rsid w:val="007D665A"/>
    <w:rsid w:val="007D66B0"/>
    <w:rsid w:val="007D6868"/>
    <w:rsid w:val="007D68FF"/>
    <w:rsid w:val="007D69D8"/>
    <w:rsid w:val="007D6A1D"/>
    <w:rsid w:val="007D6A39"/>
    <w:rsid w:val="007D6A40"/>
    <w:rsid w:val="007D6A85"/>
    <w:rsid w:val="007D6B48"/>
    <w:rsid w:val="007D6CA1"/>
    <w:rsid w:val="007D6EFC"/>
    <w:rsid w:val="007D6EFD"/>
    <w:rsid w:val="007D6F4A"/>
    <w:rsid w:val="007D6F4D"/>
    <w:rsid w:val="007D7117"/>
    <w:rsid w:val="007D713B"/>
    <w:rsid w:val="007D73BA"/>
    <w:rsid w:val="007D73EC"/>
    <w:rsid w:val="007D73EF"/>
    <w:rsid w:val="007D754F"/>
    <w:rsid w:val="007D75CD"/>
    <w:rsid w:val="007D767B"/>
    <w:rsid w:val="007D76BF"/>
    <w:rsid w:val="007D7729"/>
    <w:rsid w:val="007D7775"/>
    <w:rsid w:val="007D7848"/>
    <w:rsid w:val="007D79AF"/>
    <w:rsid w:val="007D7A2A"/>
    <w:rsid w:val="007D7B3D"/>
    <w:rsid w:val="007D7BFA"/>
    <w:rsid w:val="007D7EE2"/>
    <w:rsid w:val="007D7F65"/>
    <w:rsid w:val="007E01BC"/>
    <w:rsid w:val="007E01E7"/>
    <w:rsid w:val="007E0353"/>
    <w:rsid w:val="007E0488"/>
    <w:rsid w:val="007E0754"/>
    <w:rsid w:val="007E08EA"/>
    <w:rsid w:val="007E0906"/>
    <w:rsid w:val="007E0920"/>
    <w:rsid w:val="007E092D"/>
    <w:rsid w:val="007E0A3E"/>
    <w:rsid w:val="007E0AD6"/>
    <w:rsid w:val="007E0AD8"/>
    <w:rsid w:val="007E0B3A"/>
    <w:rsid w:val="007E0D0C"/>
    <w:rsid w:val="007E0D15"/>
    <w:rsid w:val="007E0D87"/>
    <w:rsid w:val="007E0E20"/>
    <w:rsid w:val="007E1084"/>
    <w:rsid w:val="007E11C8"/>
    <w:rsid w:val="007E1288"/>
    <w:rsid w:val="007E130A"/>
    <w:rsid w:val="007E1379"/>
    <w:rsid w:val="007E1477"/>
    <w:rsid w:val="007E1492"/>
    <w:rsid w:val="007E154E"/>
    <w:rsid w:val="007E1717"/>
    <w:rsid w:val="007E1787"/>
    <w:rsid w:val="007E17AB"/>
    <w:rsid w:val="007E18B9"/>
    <w:rsid w:val="007E1A22"/>
    <w:rsid w:val="007E1B88"/>
    <w:rsid w:val="007E1C77"/>
    <w:rsid w:val="007E1D00"/>
    <w:rsid w:val="007E1D60"/>
    <w:rsid w:val="007E1D88"/>
    <w:rsid w:val="007E1DBD"/>
    <w:rsid w:val="007E1DD6"/>
    <w:rsid w:val="007E1DE9"/>
    <w:rsid w:val="007E1EEB"/>
    <w:rsid w:val="007E1F4B"/>
    <w:rsid w:val="007E1FAA"/>
    <w:rsid w:val="007E211B"/>
    <w:rsid w:val="007E2197"/>
    <w:rsid w:val="007E21E8"/>
    <w:rsid w:val="007E224E"/>
    <w:rsid w:val="007E22AF"/>
    <w:rsid w:val="007E22E1"/>
    <w:rsid w:val="007E2314"/>
    <w:rsid w:val="007E234A"/>
    <w:rsid w:val="007E2512"/>
    <w:rsid w:val="007E25EC"/>
    <w:rsid w:val="007E27B6"/>
    <w:rsid w:val="007E286C"/>
    <w:rsid w:val="007E289A"/>
    <w:rsid w:val="007E2923"/>
    <w:rsid w:val="007E2AB9"/>
    <w:rsid w:val="007E2AD1"/>
    <w:rsid w:val="007E2B8E"/>
    <w:rsid w:val="007E2C77"/>
    <w:rsid w:val="007E2E18"/>
    <w:rsid w:val="007E2F34"/>
    <w:rsid w:val="007E2F9A"/>
    <w:rsid w:val="007E2FBC"/>
    <w:rsid w:val="007E3025"/>
    <w:rsid w:val="007E31AE"/>
    <w:rsid w:val="007E31E5"/>
    <w:rsid w:val="007E31F9"/>
    <w:rsid w:val="007E32E6"/>
    <w:rsid w:val="007E3778"/>
    <w:rsid w:val="007E3891"/>
    <w:rsid w:val="007E39B6"/>
    <w:rsid w:val="007E39D0"/>
    <w:rsid w:val="007E39DB"/>
    <w:rsid w:val="007E3A04"/>
    <w:rsid w:val="007E3AC2"/>
    <w:rsid w:val="007E3C9A"/>
    <w:rsid w:val="007E3E5C"/>
    <w:rsid w:val="007E3F43"/>
    <w:rsid w:val="007E40F3"/>
    <w:rsid w:val="007E421D"/>
    <w:rsid w:val="007E4338"/>
    <w:rsid w:val="007E4676"/>
    <w:rsid w:val="007E46CA"/>
    <w:rsid w:val="007E46CB"/>
    <w:rsid w:val="007E47D1"/>
    <w:rsid w:val="007E488E"/>
    <w:rsid w:val="007E49B8"/>
    <w:rsid w:val="007E4A39"/>
    <w:rsid w:val="007E4AA1"/>
    <w:rsid w:val="007E4B97"/>
    <w:rsid w:val="007E4BDA"/>
    <w:rsid w:val="007E4CB6"/>
    <w:rsid w:val="007E4D76"/>
    <w:rsid w:val="007E4E62"/>
    <w:rsid w:val="007E4F41"/>
    <w:rsid w:val="007E4F45"/>
    <w:rsid w:val="007E5076"/>
    <w:rsid w:val="007E50CF"/>
    <w:rsid w:val="007E50F6"/>
    <w:rsid w:val="007E518B"/>
    <w:rsid w:val="007E51ED"/>
    <w:rsid w:val="007E5390"/>
    <w:rsid w:val="007E54AA"/>
    <w:rsid w:val="007E54C5"/>
    <w:rsid w:val="007E55B8"/>
    <w:rsid w:val="007E55C8"/>
    <w:rsid w:val="007E55FE"/>
    <w:rsid w:val="007E560E"/>
    <w:rsid w:val="007E568F"/>
    <w:rsid w:val="007E56F9"/>
    <w:rsid w:val="007E57D1"/>
    <w:rsid w:val="007E5889"/>
    <w:rsid w:val="007E5891"/>
    <w:rsid w:val="007E5941"/>
    <w:rsid w:val="007E59F7"/>
    <w:rsid w:val="007E5A45"/>
    <w:rsid w:val="007E5B19"/>
    <w:rsid w:val="007E5B21"/>
    <w:rsid w:val="007E5B71"/>
    <w:rsid w:val="007E5BD5"/>
    <w:rsid w:val="007E5BDB"/>
    <w:rsid w:val="007E5C05"/>
    <w:rsid w:val="007E5C8B"/>
    <w:rsid w:val="007E5CA7"/>
    <w:rsid w:val="007E5EC9"/>
    <w:rsid w:val="007E5FA0"/>
    <w:rsid w:val="007E6043"/>
    <w:rsid w:val="007E60F5"/>
    <w:rsid w:val="007E6135"/>
    <w:rsid w:val="007E61E9"/>
    <w:rsid w:val="007E6402"/>
    <w:rsid w:val="007E6456"/>
    <w:rsid w:val="007E657E"/>
    <w:rsid w:val="007E65D7"/>
    <w:rsid w:val="007E667C"/>
    <w:rsid w:val="007E6692"/>
    <w:rsid w:val="007E6795"/>
    <w:rsid w:val="007E67AE"/>
    <w:rsid w:val="007E67CF"/>
    <w:rsid w:val="007E67E7"/>
    <w:rsid w:val="007E67EA"/>
    <w:rsid w:val="007E6827"/>
    <w:rsid w:val="007E6918"/>
    <w:rsid w:val="007E6926"/>
    <w:rsid w:val="007E699E"/>
    <w:rsid w:val="007E6B07"/>
    <w:rsid w:val="007E6B47"/>
    <w:rsid w:val="007E6D33"/>
    <w:rsid w:val="007E6DA7"/>
    <w:rsid w:val="007E6F26"/>
    <w:rsid w:val="007E6F34"/>
    <w:rsid w:val="007E7395"/>
    <w:rsid w:val="007E73D7"/>
    <w:rsid w:val="007E7456"/>
    <w:rsid w:val="007E74B9"/>
    <w:rsid w:val="007E75DE"/>
    <w:rsid w:val="007E76D0"/>
    <w:rsid w:val="007E7717"/>
    <w:rsid w:val="007E7864"/>
    <w:rsid w:val="007E78B6"/>
    <w:rsid w:val="007E78F5"/>
    <w:rsid w:val="007E7B07"/>
    <w:rsid w:val="007E7B42"/>
    <w:rsid w:val="007E7BC1"/>
    <w:rsid w:val="007E7BFF"/>
    <w:rsid w:val="007E7C00"/>
    <w:rsid w:val="007E7C1B"/>
    <w:rsid w:val="007E7CCA"/>
    <w:rsid w:val="007E7E11"/>
    <w:rsid w:val="007E7FCF"/>
    <w:rsid w:val="007F0107"/>
    <w:rsid w:val="007F0189"/>
    <w:rsid w:val="007F0199"/>
    <w:rsid w:val="007F01F8"/>
    <w:rsid w:val="007F02E5"/>
    <w:rsid w:val="007F034C"/>
    <w:rsid w:val="007F06C6"/>
    <w:rsid w:val="007F071D"/>
    <w:rsid w:val="007F072C"/>
    <w:rsid w:val="007F0911"/>
    <w:rsid w:val="007F0A34"/>
    <w:rsid w:val="007F0A39"/>
    <w:rsid w:val="007F0A91"/>
    <w:rsid w:val="007F0AA3"/>
    <w:rsid w:val="007F0BC8"/>
    <w:rsid w:val="007F0C4C"/>
    <w:rsid w:val="007F0D15"/>
    <w:rsid w:val="007F0DE7"/>
    <w:rsid w:val="007F0DE9"/>
    <w:rsid w:val="007F0E80"/>
    <w:rsid w:val="007F0F10"/>
    <w:rsid w:val="007F0FAA"/>
    <w:rsid w:val="007F1019"/>
    <w:rsid w:val="007F106F"/>
    <w:rsid w:val="007F1097"/>
    <w:rsid w:val="007F11F6"/>
    <w:rsid w:val="007F1289"/>
    <w:rsid w:val="007F1531"/>
    <w:rsid w:val="007F154E"/>
    <w:rsid w:val="007F1588"/>
    <w:rsid w:val="007F15D0"/>
    <w:rsid w:val="007F1639"/>
    <w:rsid w:val="007F1672"/>
    <w:rsid w:val="007F1688"/>
    <w:rsid w:val="007F17C0"/>
    <w:rsid w:val="007F19CB"/>
    <w:rsid w:val="007F19EF"/>
    <w:rsid w:val="007F1A02"/>
    <w:rsid w:val="007F1C01"/>
    <w:rsid w:val="007F1CCF"/>
    <w:rsid w:val="007F1E79"/>
    <w:rsid w:val="007F1FDD"/>
    <w:rsid w:val="007F20C8"/>
    <w:rsid w:val="007F2118"/>
    <w:rsid w:val="007F226E"/>
    <w:rsid w:val="007F22A4"/>
    <w:rsid w:val="007F22BC"/>
    <w:rsid w:val="007F22D2"/>
    <w:rsid w:val="007F23A9"/>
    <w:rsid w:val="007F2509"/>
    <w:rsid w:val="007F2622"/>
    <w:rsid w:val="007F264A"/>
    <w:rsid w:val="007F265C"/>
    <w:rsid w:val="007F269A"/>
    <w:rsid w:val="007F27BE"/>
    <w:rsid w:val="007F27EA"/>
    <w:rsid w:val="007F280E"/>
    <w:rsid w:val="007F2856"/>
    <w:rsid w:val="007F2903"/>
    <w:rsid w:val="007F290B"/>
    <w:rsid w:val="007F29BE"/>
    <w:rsid w:val="007F2ACE"/>
    <w:rsid w:val="007F2AEF"/>
    <w:rsid w:val="007F2B77"/>
    <w:rsid w:val="007F2C12"/>
    <w:rsid w:val="007F2D3A"/>
    <w:rsid w:val="007F2D4A"/>
    <w:rsid w:val="007F2F56"/>
    <w:rsid w:val="007F2FB7"/>
    <w:rsid w:val="007F308B"/>
    <w:rsid w:val="007F31A8"/>
    <w:rsid w:val="007F323C"/>
    <w:rsid w:val="007F339E"/>
    <w:rsid w:val="007F33E1"/>
    <w:rsid w:val="007F365B"/>
    <w:rsid w:val="007F3725"/>
    <w:rsid w:val="007F3745"/>
    <w:rsid w:val="007F3989"/>
    <w:rsid w:val="007F3B92"/>
    <w:rsid w:val="007F3BBA"/>
    <w:rsid w:val="007F3DAE"/>
    <w:rsid w:val="007F3DC3"/>
    <w:rsid w:val="007F3F6D"/>
    <w:rsid w:val="007F4165"/>
    <w:rsid w:val="007F41A4"/>
    <w:rsid w:val="007F41AB"/>
    <w:rsid w:val="007F4330"/>
    <w:rsid w:val="007F4352"/>
    <w:rsid w:val="007F438C"/>
    <w:rsid w:val="007F4469"/>
    <w:rsid w:val="007F446B"/>
    <w:rsid w:val="007F44B0"/>
    <w:rsid w:val="007F45BF"/>
    <w:rsid w:val="007F4639"/>
    <w:rsid w:val="007F47EF"/>
    <w:rsid w:val="007F4839"/>
    <w:rsid w:val="007F4962"/>
    <w:rsid w:val="007F4996"/>
    <w:rsid w:val="007F49FF"/>
    <w:rsid w:val="007F4C0F"/>
    <w:rsid w:val="007F4EFF"/>
    <w:rsid w:val="007F4F4C"/>
    <w:rsid w:val="007F4FC5"/>
    <w:rsid w:val="007F5208"/>
    <w:rsid w:val="007F5221"/>
    <w:rsid w:val="007F526D"/>
    <w:rsid w:val="007F5355"/>
    <w:rsid w:val="007F5427"/>
    <w:rsid w:val="007F54DD"/>
    <w:rsid w:val="007F5566"/>
    <w:rsid w:val="007F5804"/>
    <w:rsid w:val="007F5812"/>
    <w:rsid w:val="007F5850"/>
    <w:rsid w:val="007F586D"/>
    <w:rsid w:val="007F5938"/>
    <w:rsid w:val="007F59EE"/>
    <w:rsid w:val="007F5A45"/>
    <w:rsid w:val="007F5D83"/>
    <w:rsid w:val="007F5D96"/>
    <w:rsid w:val="007F5E51"/>
    <w:rsid w:val="007F5E74"/>
    <w:rsid w:val="007F5EFC"/>
    <w:rsid w:val="007F6003"/>
    <w:rsid w:val="007F60DF"/>
    <w:rsid w:val="007F6174"/>
    <w:rsid w:val="007F6194"/>
    <w:rsid w:val="007F62D2"/>
    <w:rsid w:val="007F63CA"/>
    <w:rsid w:val="007F646B"/>
    <w:rsid w:val="007F6564"/>
    <w:rsid w:val="007F65E9"/>
    <w:rsid w:val="007F660E"/>
    <w:rsid w:val="007F67B9"/>
    <w:rsid w:val="007F682D"/>
    <w:rsid w:val="007F6906"/>
    <w:rsid w:val="007F69FB"/>
    <w:rsid w:val="007F6A3A"/>
    <w:rsid w:val="007F6A47"/>
    <w:rsid w:val="007F6B07"/>
    <w:rsid w:val="007F6B09"/>
    <w:rsid w:val="007F6BB6"/>
    <w:rsid w:val="007F6C88"/>
    <w:rsid w:val="007F6D0A"/>
    <w:rsid w:val="007F6D9F"/>
    <w:rsid w:val="007F71DE"/>
    <w:rsid w:val="007F7357"/>
    <w:rsid w:val="007F74A8"/>
    <w:rsid w:val="007F7664"/>
    <w:rsid w:val="007F769E"/>
    <w:rsid w:val="007F7704"/>
    <w:rsid w:val="007F7797"/>
    <w:rsid w:val="007F7A92"/>
    <w:rsid w:val="007F7E09"/>
    <w:rsid w:val="007F7F51"/>
    <w:rsid w:val="00800040"/>
    <w:rsid w:val="0080012C"/>
    <w:rsid w:val="00800131"/>
    <w:rsid w:val="0080048E"/>
    <w:rsid w:val="008005C9"/>
    <w:rsid w:val="00800676"/>
    <w:rsid w:val="00800690"/>
    <w:rsid w:val="00800711"/>
    <w:rsid w:val="008008EE"/>
    <w:rsid w:val="00800931"/>
    <w:rsid w:val="00800D11"/>
    <w:rsid w:val="00800D27"/>
    <w:rsid w:val="00800DA7"/>
    <w:rsid w:val="00800EB1"/>
    <w:rsid w:val="00800EE1"/>
    <w:rsid w:val="00800FC5"/>
    <w:rsid w:val="00801061"/>
    <w:rsid w:val="00801138"/>
    <w:rsid w:val="008011CD"/>
    <w:rsid w:val="00801295"/>
    <w:rsid w:val="008013CA"/>
    <w:rsid w:val="00801407"/>
    <w:rsid w:val="00801634"/>
    <w:rsid w:val="00801823"/>
    <w:rsid w:val="008018CD"/>
    <w:rsid w:val="00801AEC"/>
    <w:rsid w:val="00801B3B"/>
    <w:rsid w:val="00801BCC"/>
    <w:rsid w:val="00801C2A"/>
    <w:rsid w:val="00801E37"/>
    <w:rsid w:val="00801E98"/>
    <w:rsid w:val="008022CC"/>
    <w:rsid w:val="00802360"/>
    <w:rsid w:val="00802410"/>
    <w:rsid w:val="008024C9"/>
    <w:rsid w:val="008026B6"/>
    <w:rsid w:val="0080276F"/>
    <w:rsid w:val="00802775"/>
    <w:rsid w:val="00802796"/>
    <w:rsid w:val="008027A8"/>
    <w:rsid w:val="0080282A"/>
    <w:rsid w:val="00802924"/>
    <w:rsid w:val="00802934"/>
    <w:rsid w:val="00802953"/>
    <w:rsid w:val="008029EF"/>
    <w:rsid w:val="00802B09"/>
    <w:rsid w:val="00802BF3"/>
    <w:rsid w:val="00802DE0"/>
    <w:rsid w:val="00802E20"/>
    <w:rsid w:val="00802EE3"/>
    <w:rsid w:val="008030EB"/>
    <w:rsid w:val="008032E5"/>
    <w:rsid w:val="00803641"/>
    <w:rsid w:val="00803841"/>
    <w:rsid w:val="008038D7"/>
    <w:rsid w:val="00803956"/>
    <w:rsid w:val="008039ED"/>
    <w:rsid w:val="00803A56"/>
    <w:rsid w:val="00803B63"/>
    <w:rsid w:val="00803BB5"/>
    <w:rsid w:val="00803BDA"/>
    <w:rsid w:val="00803CEF"/>
    <w:rsid w:val="00803D4B"/>
    <w:rsid w:val="00803D52"/>
    <w:rsid w:val="00803D74"/>
    <w:rsid w:val="00803DB1"/>
    <w:rsid w:val="00803DE7"/>
    <w:rsid w:val="00803F6D"/>
    <w:rsid w:val="00803FE7"/>
    <w:rsid w:val="0080400C"/>
    <w:rsid w:val="0080404C"/>
    <w:rsid w:val="00804062"/>
    <w:rsid w:val="00804086"/>
    <w:rsid w:val="00804168"/>
    <w:rsid w:val="008042B9"/>
    <w:rsid w:val="008043E7"/>
    <w:rsid w:val="008043EA"/>
    <w:rsid w:val="0080446A"/>
    <w:rsid w:val="00804536"/>
    <w:rsid w:val="008045A6"/>
    <w:rsid w:val="008045B9"/>
    <w:rsid w:val="0080464F"/>
    <w:rsid w:val="0080476C"/>
    <w:rsid w:val="00804C16"/>
    <w:rsid w:val="00804CA5"/>
    <w:rsid w:val="00804E15"/>
    <w:rsid w:val="00804EBF"/>
    <w:rsid w:val="00804EE8"/>
    <w:rsid w:val="0080515F"/>
    <w:rsid w:val="008051CF"/>
    <w:rsid w:val="0080520E"/>
    <w:rsid w:val="00805427"/>
    <w:rsid w:val="00805511"/>
    <w:rsid w:val="0080554D"/>
    <w:rsid w:val="008056F0"/>
    <w:rsid w:val="00805779"/>
    <w:rsid w:val="00805815"/>
    <w:rsid w:val="008058A3"/>
    <w:rsid w:val="008058AA"/>
    <w:rsid w:val="008059A0"/>
    <w:rsid w:val="008059BB"/>
    <w:rsid w:val="008059C7"/>
    <w:rsid w:val="00805A24"/>
    <w:rsid w:val="00805AA8"/>
    <w:rsid w:val="00805B67"/>
    <w:rsid w:val="00805B75"/>
    <w:rsid w:val="00805C3C"/>
    <w:rsid w:val="00805D8F"/>
    <w:rsid w:val="00805DB4"/>
    <w:rsid w:val="00806117"/>
    <w:rsid w:val="0080619A"/>
    <w:rsid w:val="0080620D"/>
    <w:rsid w:val="00806274"/>
    <w:rsid w:val="008064CD"/>
    <w:rsid w:val="00806536"/>
    <w:rsid w:val="0080663B"/>
    <w:rsid w:val="0080663E"/>
    <w:rsid w:val="008066AB"/>
    <w:rsid w:val="008066F7"/>
    <w:rsid w:val="00806782"/>
    <w:rsid w:val="008067D6"/>
    <w:rsid w:val="00806829"/>
    <w:rsid w:val="008068FA"/>
    <w:rsid w:val="008069EC"/>
    <w:rsid w:val="00806B01"/>
    <w:rsid w:val="00806B1E"/>
    <w:rsid w:val="00806B47"/>
    <w:rsid w:val="00806B89"/>
    <w:rsid w:val="00806C2D"/>
    <w:rsid w:val="00806C77"/>
    <w:rsid w:val="00806D39"/>
    <w:rsid w:val="00806D41"/>
    <w:rsid w:val="00806F43"/>
    <w:rsid w:val="00806FB1"/>
    <w:rsid w:val="00807097"/>
    <w:rsid w:val="008071BE"/>
    <w:rsid w:val="0080748F"/>
    <w:rsid w:val="008075B5"/>
    <w:rsid w:val="008075C4"/>
    <w:rsid w:val="008075FC"/>
    <w:rsid w:val="0080767C"/>
    <w:rsid w:val="008076B0"/>
    <w:rsid w:val="008076E9"/>
    <w:rsid w:val="00807814"/>
    <w:rsid w:val="008079F8"/>
    <w:rsid w:val="00807C29"/>
    <w:rsid w:val="00807E84"/>
    <w:rsid w:val="00807F29"/>
    <w:rsid w:val="00807F5B"/>
    <w:rsid w:val="00807F66"/>
    <w:rsid w:val="0081010D"/>
    <w:rsid w:val="0081015D"/>
    <w:rsid w:val="00810188"/>
    <w:rsid w:val="0081020A"/>
    <w:rsid w:val="00810221"/>
    <w:rsid w:val="008102CA"/>
    <w:rsid w:val="00810418"/>
    <w:rsid w:val="0081064E"/>
    <w:rsid w:val="008109B5"/>
    <w:rsid w:val="00810A7B"/>
    <w:rsid w:val="00810AD1"/>
    <w:rsid w:val="00810C08"/>
    <w:rsid w:val="00810E59"/>
    <w:rsid w:val="00810E8C"/>
    <w:rsid w:val="00810EBC"/>
    <w:rsid w:val="00811197"/>
    <w:rsid w:val="0081124B"/>
    <w:rsid w:val="0081158D"/>
    <w:rsid w:val="00811608"/>
    <w:rsid w:val="008116C5"/>
    <w:rsid w:val="00811705"/>
    <w:rsid w:val="008118B4"/>
    <w:rsid w:val="00811A24"/>
    <w:rsid w:val="00811BB9"/>
    <w:rsid w:val="00811CF4"/>
    <w:rsid w:val="00811E4A"/>
    <w:rsid w:val="00812023"/>
    <w:rsid w:val="008120B2"/>
    <w:rsid w:val="008121F0"/>
    <w:rsid w:val="00812225"/>
    <w:rsid w:val="00812434"/>
    <w:rsid w:val="008124DC"/>
    <w:rsid w:val="008124E9"/>
    <w:rsid w:val="008126E4"/>
    <w:rsid w:val="00812745"/>
    <w:rsid w:val="00812942"/>
    <w:rsid w:val="0081299B"/>
    <w:rsid w:val="00812A52"/>
    <w:rsid w:val="00812BE4"/>
    <w:rsid w:val="00812CEF"/>
    <w:rsid w:val="00812D6D"/>
    <w:rsid w:val="00812E85"/>
    <w:rsid w:val="00812FA7"/>
    <w:rsid w:val="00813006"/>
    <w:rsid w:val="00813035"/>
    <w:rsid w:val="00813067"/>
    <w:rsid w:val="00813117"/>
    <w:rsid w:val="0081315A"/>
    <w:rsid w:val="00813262"/>
    <w:rsid w:val="0081351C"/>
    <w:rsid w:val="008135F7"/>
    <w:rsid w:val="0081377D"/>
    <w:rsid w:val="00813791"/>
    <w:rsid w:val="008137A8"/>
    <w:rsid w:val="008137F9"/>
    <w:rsid w:val="00813958"/>
    <w:rsid w:val="00813AE4"/>
    <w:rsid w:val="00813B4C"/>
    <w:rsid w:val="00813BA2"/>
    <w:rsid w:val="00813BC8"/>
    <w:rsid w:val="00813EBC"/>
    <w:rsid w:val="00813F27"/>
    <w:rsid w:val="00813F52"/>
    <w:rsid w:val="0081406F"/>
    <w:rsid w:val="008140A2"/>
    <w:rsid w:val="008142A8"/>
    <w:rsid w:val="008143B3"/>
    <w:rsid w:val="008143F0"/>
    <w:rsid w:val="0081446A"/>
    <w:rsid w:val="008144D1"/>
    <w:rsid w:val="00814688"/>
    <w:rsid w:val="008146C0"/>
    <w:rsid w:val="008148AD"/>
    <w:rsid w:val="008148B3"/>
    <w:rsid w:val="008148D4"/>
    <w:rsid w:val="00814A03"/>
    <w:rsid w:val="00814CB7"/>
    <w:rsid w:val="00814F8B"/>
    <w:rsid w:val="0081510F"/>
    <w:rsid w:val="00815119"/>
    <w:rsid w:val="0081546F"/>
    <w:rsid w:val="00815486"/>
    <w:rsid w:val="008154D9"/>
    <w:rsid w:val="00815567"/>
    <w:rsid w:val="00815581"/>
    <w:rsid w:val="00815737"/>
    <w:rsid w:val="0081576A"/>
    <w:rsid w:val="0081577A"/>
    <w:rsid w:val="008158E4"/>
    <w:rsid w:val="00815925"/>
    <w:rsid w:val="008159C5"/>
    <w:rsid w:val="00815B2E"/>
    <w:rsid w:val="00815B6E"/>
    <w:rsid w:val="0081602C"/>
    <w:rsid w:val="0081602E"/>
    <w:rsid w:val="00816160"/>
    <w:rsid w:val="008161B1"/>
    <w:rsid w:val="00816295"/>
    <w:rsid w:val="008163E8"/>
    <w:rsid w:val="008163EA"/>
    <w:rsid w:val="00816434"/>
    <w:rsid w:val="00816439"/>
    <w:rsid w:val="00816725"/>
    <w:rsid w:val="008167B7"/>
    <w:rsid w:val="008167D6"/>
    <w:rsid w:val="00816906"/>
    <w:rsid w:val="00816990"/>
    <w:rsid w:val="00816A61"/>
    <w:rsid w:val="00816CD3"/>
    <w:rsid w:val="00816DB1"/>
    <w:rsid w:val="00816F50"/>
    <w:rsid w:val="00816F75"/>
    <w:rsid w:val="00816F88"/>
    <w:rsid w:val="00816FAD"/>
    <w:rsid w:val="008171FD"/>
    <w:rsid w:val="00817255"/>
    <w:rsid w:val="0081729F"/>
    <w:rsid w:val="008172A2"/>
    <w:rsid w:val="008172AD"/>
    <w:rsid w:val="008174E1"/>
    <w:rsid w:val="008174F8"/>
    <w:rsid w:val="00817507"/>
    <w:rsid w:val="00817585"/>
    <w:rsid w:val="00817732"/>
    <w:rsid w:val="00817967"/>
    <w:rsid w:val="00817A9C"/>
    <w:rsid w:val="00817ACD"/>
    <w:rsid w:val="00817EC4"/>
    <w:rsid w:val="00820032"/>
    <w:rsid w:val="00820109"/>
    <w:rsid w:val="008202CD"/>
    <w:rsid w:val="0082036D"/>
    <w:rsid w:val="008203BA"/>
    <w:rsid w:val="00820409"/>
    <w:rsid w:val="008204A8"/>
    <w:rsid w:val="00820513"/>
    <w:rsid w:val="00820527"/>
    <w:rsid w:val="0082057F"/>
    <w:rsid w:val="0082059B"/>
    <w:rsid w:val="00820639"/>
    <w:rsid w:val="008206EE"/>
    <w:rsid w:val="00820753"/>
    <w:rsid w:val="00820819"/>
    <w:rsid w:val="008208EF"/>
    <w:rsid w:val="00820904"/>
    <w:rsid w:val="0082091A"/>
    <w:rsid w:val="00820986"/>
    <w:rsid w:val="008209FE"/>
    <w:rsid w:val="00820BCD"/>
    <w:rsid w:val="00820CA9"/>
    <w:rsid w:val="00820CBA"/>
    <w:rsid w:val="00820CDA"/>
    <w:rsid w:val="00820CEC"/>
    <w:rsid w:val="00820D45"/>
    <w:rsid w:val="00820D88"/>
    <w:rsid w:val="00820E7C"/>
    <w:rsid w:val="00820FC8"/>
    <w:rsid w:val="00821070"/>
    <w:rsid w:val="00821133"/>
    <w:rsid w:val="008211C0"/>
    <w:rsid w:val="008212C9"/>
    <w:rsid w:val="008215AE"/>
    <w:rsid w:val="008216D5"/>
    <w:rsid w:val="008217CC"/>
    <w:rsid w:val="008217DA"/>
    <w:rsid w:val="00821B89"/>
    <w:rsid w:val="00821B91"/>
    <w:rsid w:val="00821BD7"/>
    <w:rsid w:val="00821C20"/>
    <w:rsid w:val="00821C25"/>
    <w:rsid w:val="00821C5A"/>
    <w:rsid w:val="00821E34"/>
    <w:rsid w:val="00821ED3"/>
    <w:rsid w:val="00821F70"/>
    <w:rsid w:val="00821F73"/>
    <w:rsid w:val="00822101"/>
    <w:rsid w:val="00822141"/>
    <w:rsid w:val="008221D1"/>
    <w:rsid w:val="008223E6"/>
    <w:rsid w:val="0082248D"/>
    <w:rsid w:val="008226A0"/>
    <w:rsid w:val="008226D4"/>
    <w:rsid w:val="008226D7"/>
    <w:rsid w:val="00822786"/>
    <w:rsid w:val="008227F4"/>
    <w:rsid w:val="008227FB"/>
    <w:rsid w:val="00822854"/>
    <w:rsid w:val="0082287F"/>
    <w:rsid w:val="00822973"/>
    <w:rsid w:val="00822C33"/>
    <w:rsid w:val="00822D21"/>
    <w:rsid w:val="00823015"/>
    <w:rsid w:val="00823127"/>
    <w:rsid w:val="00823231"/>
    <w:rsid w:val="0082338A"/>
    <w:rsid w:val="008233CB"/>
    <w:rsid w:val="008233E2"/>
    <w:rsid w:val="008234A0"/>
    <w:rsid w:val="008235EE"/>
    <w:rsid w:val="00823750"/>
    <w:rsid w:val="008238DF"/>
    <w:rsid w:val="00823A0A"/>
    <w:rsid w:val="00823A66"/>
    <w:rsid w:val="00823A87"/>
    <w:rsid w:val="00823D6B"/>
    <w:rsid w:val="00823E53"/>
    <w:rsid w:val="00823FB6"/>
    <w:rsid w:val="00824146"/>
    <w:rsid w:val="008242C4"/>
    <w:rsid w:val="0082432C"/>
    <w:rsid w:val="008243A8"/>
    <w:rsid w:val="00824635"/>
    <w:rsid w:val="008246A3"/>
    <w:rsid w:val="008246A5"/>
    <w:rsid w:val="008247B4"/>
    <w:rsid w:val="00824858"/>
    <w:rsid w:val="008248AF"/>
    <w:rsid w:val="008248B6"/>
    <w:rsid w:val="00824AD3"/>
    <w:rsid w:val="00824BE2"/>
    <w:rsid w:val="00824C1F"/>
    <w:rsid w:val="00824D88"/>
    <w:rsid w:val="00824E5D"/>
    <w:rsid w:val="00824EF2"/>
    <w:rsid w:val="00825004"/>
    <w:rsid w:val="008251D1"/>
    <w:rsid w:val="0082530E"/>
    <w:rsid w:val="008253B8"/>
    <w:rsid w:val="00825424"/>
    <w:rsid w:val="0082564B"/>
    <w:rsid w:val="008258C3"/>
    <w:rsid w:val="008258F2"/>
    <w:rsid w:val="0082599F"/>
    <w:rsid w:val="00825AE4"/>
    <w:rsid w:val="00825BB2"/>
    <w:rsid w:val="00825E60"/>
    <w:rsid w:val="00826009"/>
    <w:rsid w:val="00826090"/>
    <w:rsid w:val="00826091"/>
    <w:rsid w:val="008260EC"/>
    <w:rsid w:val="00826274"/>
    <w:rsid w:val="00826275"/>
    <w:rsid w:val="00826283"/>
    <w:rsid w:val="00826351"/>
    <w:rsid w:val="008263F7"/>
    <w:rsid w:val="008264B8"/>
    <w:rsid w:val="008264E3"/>
    <w:rsid w:val="008267AC"/>
    <w:rsid w:val="008269B8"/>
    <w:rsid w:val="00826A90"/>
    <w:rsid w:val="00826ADB"/>
    <w:rsid w:val="00826F7F"/>
    <w:rsid w:val="00826FAE"/>
    <w:rsid w:val="008270D8"/>
    <w:rsid w:val="00827131"/>
    <w:rsid w:val="00827138"/>
    <w:rsid w:val="008272F9"/>
    <w:rsid w:val="00827556"/>
    <w:rsid w:val="00827571"/>
    <w:rsid w:val="0082757F"/>
    <w:rsid w:val="0082759F"/>
    <w:rsid w:val="00827724"/>
    <w:rsid w:val="008277DD"/>
    <w:rsid w:val="00827886"/>
    <w:rsid w:val="0082789B"/>
    <w:rsid w:val="008278BD"/>
    <w:rsid w:val="00827968"/>
    <w:rsid w:val="00827A1D"/>
    <w:rsid w:val="00827C59"/>
    <w:rsid w:val="00827C8F"/>
    <w:rsid w:val="00827EDD"/>
    <w:rsid w:val="00827F34"/>
    <w:rsid w:val="00827FF0"/>
    <w:rsid w:val="0083015B"/>
    <w:rsid w:val="00830248"/>
    <w:rsid w:val="00830373"/>
    <w:rsid w:val="008303F5"/>
    <w:rsid w:val="0083053C"/>
    <w:rsid w:val="00830666"/>
    <w:rsid w:val="008306A4"/>
    <w:rsid w:val="0083074D"/>
    <w:rsid w:val="008308CB"/>
    <w:rsid w:val="00830B75"/>
    <w:rsid w:val="00830C27"/>
    <w:rsid w:val="00830D1D"/>
    <w:rsid w:val="00830EE6"/>
    <w:rsid w:val="008310AC"/>
    <w:rsid w:val="008310FC"/>
    <w:rsid w:val="0083136E"/>
    <w:rsid w:val="008314BC"/>
    <w:rsid w:val="008315D0"/>
    <w:rsid w:val="008316CF"/>
    <w:rsid w:val="0083186F"/>
    <w:rsid w:val="00831963"/>
    <w:rsid w:val="008319BD"/>
    <w:rsid w:val="008319E9"/>
    <w:rsid w:val="008319F2"/>
    <w:rsid w:val="00831B27"/>
    <w:rsid w:val="00831B87"/>
    <w:rsid w:val="00831D69"/>
    <w:rsid w:val="00831D6A"/>
    <w:rsid w:val="00831D9F"/>
    <w:rsid w:val="00831DEB"/>
    <w:rsid w:val="00831E3A"/>
    <w:rsid w:val="00831EC5"/>
    <w:rsid w:val="00831F1F"/>
    <w:rsid w:val="00831FB4"/>
    <w:rsid w:val="00832055"/>
    <w:rsid w:val="008320B2"/>
    <w:rsid w:val="0083254C"/>
    <w:rsid w:val="0083278A"/>
    <w:rsid w:val="00832860"/>
    <w:rsid w:val="008328BE"/>
    <w:rsid w:val="008328CB"/>
    <w:rsid w:val="00832A82"/>
    <w:rsid w:val="00832A8C"/>
    <w:rsid w:val="00832AA4"/>
    <w:rsid w:val="00832D27"/>
    <w:rsid w:val="00832D60"/>
    <w:rsid w:val="00832E09"/>
    <w:rsid w:val="00832F27"/>
    <w:rsid w:val="00833145"/>
    <w:rsid w:val="008331B8"/>
    <w:rsid w:val="00833440"/>
    <w:rsid w:val="0083346C"/>
    <w:rsid w:val="0083347D"/>
    <w:rsid w:val="0083363D"/>
    <w:rsid w:val="00833669"/>
    <w:rsid w:val="0083368F"/>
    <w:rsid w:val="0083370C"/>
    <w:rsid w:val="00833711"/>
    <w:rsid w:val="0083371F"/>
    <w:rsid w:val="008337D1"/>
    <w:rsid w:val="00833811"/>
    <w:rsid w:val="00833858"/>
    <w:rsid w:val="00833870"/>
    <w:rsid w:val="0083395C"/>
    <w:rsid w:val="008339BD"/>
    <w:rsid w:val="00833B81"/>
    <w:rsid w:val="00833BC0"/>
    <w:rsid w:val="00833C14"/>
    <w:rsid w:val="00833CD2"/>
    <w:rsid w:val="00833FCD"/>
    <w:rsid w:val="008340B8"/>
    <w:rsid w:val="00834243"/>
    <w:rsid w:val="008342ED"/>
    <w:rsid w:val="0083436F"/>
    <w:rsid w:val="008343DE"/>
    <w:rsid w:val="00834430"/>
    <w:rsid w:val="0083465D"/>
    <w:rsid w:val="008346C5"/>
    <w:rsid w:val="008346EE"/>
    <w:rsid w:val="008347CF"/>
    <w:rsid w:val="0083481D"/>
    <w:rsid w:val="00834846"/>
    <w:rsid w:val="00834904"/>
    <w:rsid w:val="00834914"/>
    <w:rsid w:val="0083491B"/>
    <w:rsid w:val="008349D3"/>
    <w:rsid w:val="008349F7"/>
    <w:rsid w:val="00834A04"/>
    <w:rsid w:val="00834B1C"/>
    <w:rsid w:val="00834D19"/>
    <w:rsid w:val="00834EAC"/>
    <w:rsid w:val="008350AD"/>
    <w:rsid w:val="00835105"/>
    <w:rsid w:val="00835162"/>
    <w:rsid w:val="00835291"/>
    <w:rsid w:val="008353AC"/>
    <w:rsid w:val="008353EF"/>
    <w:rsid w:val="00835680"/>
    <w:rsid w:val="00835698"/>
    <w:rsid w:val="008356B7"/>
    <w:rsid w:val="0083574C"/>
    <w:rsid w:val="0083576A"/>
    <w:rsid w:val="008357A4"/>
    <w:rsid w:val="0083581B"/>
    <w:rsid w:val="00835870"/>
    <w:rsid w:val="008359A2"/>
    <w:rsid w:val="008359E0"/>
    <w:rsid w:val="008359F5"/>
    <w:rsid w:val="00835AC7"/>
    <w:rsid w:val="00835BCF"/>
    <w:rsid w:val="00835E81"/>
    <w:rsid w:val="00835F0B"/>
    <w:rsid w:val="00835F11"/>
    <w:rsid w:val="00835F62"/>
    <w:rsid w:val="0083608F"/>
    <w:rsid w:val="00836199"/>
    <w:rsid w:val="008361B4"/>
    <w:rsid w:val="008363C4"/>
    <w:rsid w:val="00836460"/>
    <w:rsid w:val="008364D6"/>
    <w:rsid w:val="008365A7"/>
    <w:rsid w:val="008366B2"/>
    <w:rsid w:val="0083678C"/>
    <w:rsid w:val="008368A5"/>
    <w:rsid w:val="00836A11"/>
    <w:rsid w:val="00836BF8"/>
    <w:rsid w:val="00836C4B"/>
    <w:rsid w:val="00836D4A"/>
    <w:rsid w:val="00836DAC"/>
    <w:rsid w:val="00836E99"/>
    <w:rsid w:val="00836EEF"/>
    <w:rsid w:val="00836F9D"/>
    <w:rsid w:val="00837032"/>
    <w:rsid w:val="00837135"/>
    <w:rsid w:val="008371DA"/>
    <w:rsid w:val="00837453"/>
    <w:rsid w:val="00837599"/>
    <w:rsid w:val="00837721"/>
    <w:rsid w:val="008378AC"/>
    <w:rsid w:val="00837B15"/>
    <w:rsid w:val="00837B88"/>
    <w:rsid w:val="00837B99"/>
    <w:rsid w:val="00837BBA"/>
    <w:rsid w:val="00837BBC"/>
    <w:rsid w:val="00837CA8"/>
    <w:rsid w:val="00837D32"/>
    <w:rsid w:val="00837D9D"/>
    <w:rsid w:val="00837F1D"/>
    <w:rsid w:val="00840100"/>
    <w:rsid w:val="0084019D"/>
    <w:rsid w:val="008401D6"/>
    <w:rsid w:val="00840286"/>
    <w:rsid w:val="00840839"/>
    <w:rsid w:val="008408BB"/>
    <w:rsid w:val="008409CE"/>
    <w:rsid w:val="00840BBF"/>
    <w:rsid w:val="00840C12"/>
    <w:rsid w:val="00840D35"/>
    <w:rsid w:val="00840E8B"/>
    <w:rsid w:val="00840F21"/>
    <w:rsid w:val="00840F5B"/>
    <w:rsid w:val="00841095"/>
    <w:rsid w:val="00841195"/>
    <w:rsid w:val="008411BC"/>
    <w:rsid w:val="00841237"/>
    <w:rsid w:val="00841283"/>
    <w:rsid w:val="00841383"/>
    <w:rsid w:val="00841457"/>
    <w:rsid w:val="008414C7"/>
    <w:rsid w:val="008415EF"/>
    <w:rsid w:val="00841778"/>
    <w:rsid w:val="008418EE"/>
    <w:rsid w:val="008418F0"/>
    <w:rsid w:val="00841ACC"/>
    <w:rsid w:val="00841AD8"/>
    <w:rsid w:val="00841CAC"/>
    <w:rsid w:val="00841CD1"/>
    <w:rsid w:val="00841D14"/>
    <w:rsid w:val="00841D20"/>
    <w:rsid w:val="00841E13"/>
    <w:rsid w:val="00841E71"/>
    <w:rsid w:val="00841ED9"/>
    <w:rsid w:val="00841FA9"/>
    <w:rsid w:val="00841FC8"/>
    <w:rsid w:val="00842008"/>
    <w:rsid w:val="008420A9"/>
    <w:rsid w:val="00842114"/>
    <w:rsid w:val="00842338"/>
    <w:rsid w:val="00842359"/>
    <w:rsid w:val="0084271E"/>
    <w:rsid w:val="008428A6"/>
    <w:rsid w:val="00842B5E"/>
    <w:rsid w:val="00842E88"/>
    <w:rsid w:val="008430EC"/>
    <w:rsid w:val="00843322"/>
    <w:rsid w:val="008435B1"/>
    <w:rsid w:val="0084395E"/>
    <w:rsid w:val="0084399F"/>
    <w:rsid w:val="00843BD3"/>
    <w:rsid w:val="00843C5B"/>
    <w:rsid w:val="00843C9F"/>
    <w:rsid w:val="00843D01"/>
    <w:rsid w:val="00843FB8"/>
    <w:rsid w:val="008440AF"/>
    <w:rsid w:val="008440F3"/>
    <w:rsid w:val="00844130"/>
    <w:rsid w:val="00844241"/>
    <w:rsid w:val="008442AD"/>
    <w:rsid w:val="008442FF"/>
    <w:rsid w:val="00844310"/>
    <w:rsid w:val="00844328"/>
    <w:rsid w:val="00844AC0"/>
    <w:rsid w:val="00844AE3"/>
    <w:rsid w:val="00844B16"/>
    <w:rsid w:val="00844B38"/>
    <w:rsid w:val="00844B5E"/>
    <w:rsid w:val="00844B61"/>
    <w:rsid w:val="00844C0F"/>
    <w:rsid w:val="00844C4C"/>
    <w:rsid w:val="00844CB9"/>
    <w:rsid w:val="00844CDC"/>
    <w:rsid w:val="008450E7"/>
    <w:rsid w:val="00845135"/>
    <w:rsid w:val="0084513B"/>
    <w:rsid w:val="008451E7"/>
    <w:rsid w:val="008453A6"/>
    <w:rsid w:val="008454B1"/>
    <w:rsid w:val="008454EE"/>
    <w:rsid w:val="00845504"/>
    <w:rsid w:val="008455A0"/>
    <w:rsid w:val="008456F5"/>
    <w:rsid w:val="00845805"/>
    <w:rsid w:val="008458A5"/>
    <w:rsid w:val="008458D8"/>
    <w:rsid w:val="0084598B"/>
    <w:rsid w:val="00845AC5"/>
    <w:rsid w:val="00845B06"/>
    <w:rsid w:val="00845B44"/>
    <w:rsid w:val="00845E5B"/>
    <w:rsid w:val="00845E73"/>
    <w:rsid w:val="00845EFA"/>
    <w:rsid w:val="00846171"/>
    <w:rsid w:val="008461DC"/>
    <w:rsid w:val="008461E1"/>
    <w:rsid w:val="0084623C"/>
    <w:rsid w:val="00846293"/>
    <w:rsid w:val="0084633C"/>
    <w:rsid w:val="00846562"/>
    <w:rsid w:val="00846622"/>
    <w:rsid w:val="00846688"/>
    <w:rsid w:val="0084669A"/>
    <w:rsid w:val="0084673F"/>
    <w:rsid w:val="00846816"/>
    <w:rsid w:val="00846AEC"/>
    <w:rsid w:val="00846B43"/>
    <w:rsid w:val="00846B56"/>
    <w:rsid w:val="00846CE1"/>
    <w:rsid w:val="00846D84"/>
    <w:rsid w:val="00846F55"/>
    <w:rsid w:val="0084700D"/>
    <w:rsid w:val="008471B7"/>
    <w:rsid w:val="0084723B"/>
    <w:rsid w:val="00847255"/>
    <w:rsid w:val="00847342"/>
    <w:rsid w:val="008473DC"/>
    <w:rsid w:val="008473E3"/>
    <w:rsid w:val="0084742D"/>
    <w:rsid w:val="0084745F"/>
    <w:rsid w:val="00847529"/>
    <w:rsid w:val="00847590"/>
    <w:rsid w:val="008475B3"/>
    <w:rsid w:val="008475B5"/>
    <w:rsid w:val="008477ED"/>
    <w:rsid w:val="008478F8"/>
    <w:rsid w:val="00847A06"/>
    <w:rsid w:val="00847AA3"/>
    <w:rsid w:val="00847AB8"/>
    <w:rsid w:val="00847AE7"/>
    <w:rsid w:val="00847BB4"/>
    <w:rsid w:val="00847C15"/>
    <w:rsid w:val="00847D29"/>
    <w:rsid w:val="00847DC4"/>
    <w:rsid w:val="00847DE7"/>
    <w:rsid w:val="00847EDC"/>
    <w:rsid w:val="00850020"/>
    <w:rsid w:val="00850071"/>
    <w:rsid w:val="0085008A"/>
    <w:rsid w:val="008501AD"/>
    <w:rsid w:val="008502FE"/>
    <w:rsid w:val="00850390"/>
    <w:rsid w:val="008503EF"/>
    <w:rsid w:val="008504C5"/>
    <w:rsid w:val="008504EB"/>
    <w:rsid w:val="008505A8"/>
    <w:rsid w:val="008506F7"/>
    <w:rsid w:val="00850788"/>
    <w:rsid w:val="00850857"/>
    <w:rsid w:val="008508E1"/>
    <w:rsid w:val="0085099B"/>
    <w:rsid w:val="00850AE8"/>
    <w:rsid w:val="00850C3B"/>
    <w:rsid w:val="00850C60"/>
    <w:rsid w:val="00850C73"/>
    <w:rsid w:val="00850D56"/>
    <w:rsid w:val="00850DA3"/>
    <w:rsid w:val="00850DA8"/>
    <w:rsid w:val="00850ECF"/>
    <w:rsid w:val="00850F72"/>
    <w:rsid w:val="00850F95"/>
    <w:rsid w:val="00850FD7"/>
    <w:rsid w:val="00851026"/>
    <w:rsid w:val="0085102D"/>
    <w:rsid w:val="008510E3"/>
    <w:rsid w:val="008510E5"/>
    <w:rsid w:val="00851148"/>
    <w:rsid w:val="00851156"/>
    <w:rsid w:val="008511C0"/>
    <w:rsid w:val="00851304"/>
    <w:rsid w:val="0085137B"/>
    <w:rsid w:val="008513FE"/>
    <w:rsid w:val="0085146C"/>
    <w:rsid w:val="00851670"/>
    <w:rsid w:val="008516B5"/>
    <w:rsid w:val="008518C4"/>
    <w:rsid w:val="0085199A"/>
    <w:rsid w:val="00851A8D"/>
    <w:rsid w:val="00851C39"/>
    <w:rsid w:val="00851C71"/>
    <w:rsid w:val="00851E20"/>
    <w:rsid w:val="00851E2B"/>
    <w:rsid w:val="00851E2D"/>
    <w:rsid w:val="00851E30"/>
    <w:rsid w:val="00851E8F"/>
    <w:rsid w:val="00851EAF"/>
    <w:rsid w:val="00851EE7"/>
    <w:rsid w:val="0085201C"/>
    <w:rsid w:val="0085203F"/>
    <w:rsid w:val="00852081"/>
    <w:rsid w:val="00852199"/>
    <w:rsid w:val="0085221A"/>
    <w:rsid w:val="0085222C"/>
    <w:rsid w:val="00852266"/>
    <w:rsid w:val="00852281"/>
    <w:rsid w:val="00852337"/>
    <w:rsid w:val="00852494"/>
    <w:rsid w:val="0085263E"/>
    <w:rsid w:val="0085268F"/>
    <w:rsid w:val="00852698"/>
    <w:rsid w:val="0085286E"/>
    <w:rsid w:val="0085288B"/>
    <w:rsid w:val="00852991"/>
    <w:rsid w:val="00852D20"/>
    <w:rsid w:val="00852E69"/>
    <w:rsid w:val="00852E6C"/>
    <w:rsid w:val="00852E8A"/>
    <w:rsid w:val="00852E9B"/>
    <w:rsid w:val="00852F2D"/>
    <w:rsid w:val="0085305E"/>
    <w:rsid w:val="00853077"/>
    <w:rsid w:val="00853184"/>
    <w:rsid w:val="008533B3"/>
    <w:rsid w:val="008533F3"/>
    <w:rsid w:val="00853472"/>
    <w:rsid w:val="008534D1"/>
    <w:rsid w:val="00853559"/>
    <w:rsid w:val="0085361E"/>
    <w:rsid w:val="00853749"/>
    <w:rsid w:val="008538D6"/>
    <w:rsid w:val="008538D8"/>
    <w:rsid w:val="0085391A"/>
    <w:rsid w:val="008539E7"/>
    <w:rsid w:val="00853CCA"/>
    <w:rsid w:val="00853CEB"/>
    <w:rsid w:val="00853D5F"/>
    <w:rsid w:val="00853EF9"/>
    <w:rsid w:val="00853F03"/>
    <w:rsid w:val="00853F79"/>
    <w:rsid w:val="00854023"/>
    <w:rsid w:val="00854077"/>
    <w:rsid w:val="0085407A"/>
    <w:rsid w:val="008540CE"/>
    <w:rsid w:val="00854347"/>
    <w:rsid w:val="0085438A"/>
    <w:rsid w:val="008543A7"/>
    <w:rsid w:val="008543B3"/>
    <w:rsid w:val="008544C3"/>
    <w:rsid w:val="00854536"/>
    <w:rsid w:val="008545E4"/>
    <w:rsid w:val="008547F6"/>
    <w:rsid w:val="008547FB"/>
    <w:rsid w:val="008547FF"/>
    <w:rsid w:val="008548A6"/>
    <w:rsid w:val="00854978"/>
    <w:rsid w:val="00854B14"/>
    <w:rsid w:val="00854BE0"/>
    <w:rsid w:val="00854C18"/>
    <w:rsid w:val="00854C77"/>
    <w:rsid w:val="00854E1C"/>
    <w:rsid w:val="00854EF4"/>
    <w:rsid w:val="00854EFA"/>
    <w:rsid w:val="00854F43"/>
    <w:rsid w:val="0085502A"/>
    <w:rsid w:val="00855087"/>
    <w:rsid w:val="008551A9"/>
    <w:rsid w:val="008551E2"/>
    <w:rsid w:val="0085537E"/>
    <w:rsid w:val="0085541F"/>
    <w:rsid w:val="0085558A"/>
    <w:rsid w:val="00855611"/>
    <w:rsid w:val="00855618"/>
    <w:rsid w:val="008557D2"/>
    <w:rsid w:val="008557E1"/>
    <w:rsid w:val="008557EA"/>
    <w:rsid w:val="00855994"/>
    <w:rsid w:val="00855AA5"/>
    <w:rsid w:val="00855AD1"/>
    <w:rsid w:val="00855B29"/>
    <w:rsid w:val="00855B36"/>
    <w:rsid w:val="00855B40"/>
    <w:rsid w:val="00855BEE"/>
    <w:rsid w:val="00855C34"/>
    <w:rsid w:val="00855CA3"/>
    <w:rsid w:val="00855DD5"/>
    <w:rsid w:val="00855F0C"/>
    <w:rsid w:val="0085618E"/>
    <w:rsid w:val="00856231"/>
    <w:rsid w:val="008562BE"/>
    <w:rsid w:val="00856326"/>
    <w:rsid w:val="008564AB"/>
    <w:rsid w:val="0085655A"/>
    <w:rsid w:val="00856726"/>
    <w:rsid w:val="0085680B"/>
    <w:rsid w:val="00856864"/>
    <w:rsid w:val="00856886"/>
    <w:rsid w:val="008568E7"/>
    <w:rsid w:val="00856A18"/>
    <w:rsid w:val="00856B7C"/>
    <w:rsid w:val="00856B92"/>
    <w:rsid w:val="00856BAA"/>
    <w:rsid w:val="00856BD4"/>
    <w:rsid w:val="00856C5A"/>
    <w:rsid w:val="00856D49"/>
    <w:rsid w:val="00856DBB"/>
    <w:rsid w:val="00856DFD"/>
    <w:rsid w:val="00856EFB"/>
    <w:rsid w:val="0085710B"/>
    <w:rsid w:val="0085731A"/>
    <w:rsid w:val="00857423"/>
    <w:rsid w:val="0085775B"/>
    <w:rsid w:val="008577DB"/>
    <w:rsid w:val="0085782E"/>
    <w:rsid w:val="00857969"/>
    <w:rsid w:val="00857C2A"/>
    <w:rsid w:val="00857C36"/>
    <w:rsid w:val="00857EDB"/>
    <w:rsid w:val="00857F27"/>
    <w:rsid w:val="00857FD7"/>
    <w:rsid w:val="0086003E"/>
    <w:rsid w:val="008600B2"/>
    <w:rsid w:val="0086012A"/>
    <w:rsid w:val="00860203"/>
    <w:rsid w:val="00860239"/>
    <w:rsid w:val="00860513"/>
    <w:rsid w:val="008605A5"/>
    <w:rsid w:val="008605B9"/>
    <w:rsid w:val="008605EA"/>
    <w:rsid w:val="00860618"/>
    <w:rsid w:val="0086075D"/>
    <w:rsid w:val="00860835"/>
    <w:rsid w:val="00860968"/>
    <w:rsid w:val="00860AA8"/>
    <w:rsid w:val="00860AC0"/>
    <w:rsid w:val="00860B0A"/>
    <w:rsid w:val="00860B36"/>
    <w:rsid w:val="00860BBB"/>
    <w:rsid w:val="00860CAA"/>
    <w:rsid w:val="00860DFE"/>
    <w:rsid w:val="0086112F"/>
    <w:rsid w:val="008612F8"/>
    <w:rsid w:val="0086134C"/>
    <w:rsid w:val="0086144B"/>
    <w:rsid w:val="00861477"/>
    <w:rsid w:val="008616B2"/>
    <w:rsid w:val="0086172C"/>
    <w:rsid w:val="008617EC"/>
    <w:rsid w:val="00861820"/>
    <w:rsid w:val="008618AD"/>
    <w:rsid w:val="00861AAD"/>
    <w:rsid w:val="00861B0D"/>
    <w:rsid w:val="00861B7D"/>
    <w:rsid w:val="00861BC2"/>
    <w:rsid w:val="00861C75"/>
    <w:rsid w:val="00861D02"/>
    <w:rsid w:val="00861E6B"/>
    <w:rsid w:val="00861FC3"/>
    <w:rsid w:val="00861FD6"/>
    <w:rsid w:val="00861FF6"/>
    <w:rsid w:val="00862014"/>
    <w:rsid w:val="0086203C"/>
    <w:rsid w:val="00862095"/>
    <w:rsid w:val="0086215B"/>
    <w:rsid w:val="0086216D"/>
    <w:rsid w:val="0086217D"/>
    <w:rsid w:val="00862196"/>
    <w:rsid w:val="008622F4"/>
    <w:rsid w:val="00862371"/>
    <w:rsid w:val="008623F5"/>
    <w:rsid w:val="00862546"/>
    <w:rsid w:val="00862634"/>
    <w:rsid w:val="00862849"/>
    <w:rsid w:val="008628F0"/>
    <w:rsid w:val="00862B47"/>
    <w:rsid w:val="00862C26"/>
    <w:rsid w:val="00862D0B"/>
    <w:rsid w:val="00862FA3"/>
    <w:rsid w:val="00862FC5"/>
    <w:rsid w:val="0086307D"/>
    <w:rsid w:val="00863129"/>
    <w:rsid w:val="008632F0"/>
    <w:rsid w:val="00863329"/>
    <w:rsid w:val="00863557"/>
    <w:rsid w:val="008635A7"/>
    <w:rsid w:val="00863613"/>
    <w:rsid w:val="0086368D"/>
    <w:rsid w:val="008636C7"/>
    <w:rsid w:val="008636DA"/>
    <w:rsid w:val="008636E2"/>
    <w:rsid w:val="008637F7"/>
    <w:rsid w:val="00863806"/>
    <w:rsid w:val="0086386C"/>
    <w:rsid w:val="008638E8"/>
    <w:rsid w:val="0086393F"/>
    <w:rsid w:val="00863C18"/>
    <w:rsid w:val="00863C8B"/>
    <w:rsid w:val="00863DF5"/>
    <w:rsid w:val="00863FE7"/>
    <w:rsid w:val="00864227"/>
    <w:rsid w:val="00864302"/>
    <w:rsid w:val="0086450D"/>
    <w:rsid w:val="00864680"/>
    <w:rsid w:val="008646FE"/>
    <w:rsid w:val="0086472D"/>
    <w:rsid w:val="00864B2F"/>
    <w:rsid w:val="00864BB6"/>
    <w:rsid w:val="00864CD9"/>
    <w:rsid w:val="00864E59"/>
    <w:rsid w:val="00864EC3"/>
    <w:rsid w:val="00864ED8"/>
    <w:rsid w:val="00864EF1"/>
    <w:rsid w:val="00865007"/>
    <w:rsid w:val="00865131"/>
    <w:rsid w:val="00865382"/>
    <w:rsid w:val="00865390"/>
    <w:rsid w:val="0086549B"/>
    <w:rsid w:val="008654D9"/>
    <w:rsid w:val="00865547"/>
    <w:rsid w:val="00865637"/>
    <w:rsid w:val="0086567A"/>
    <w:rsid w:val="008656B1"/>
    <w:rsid w:val="00865792"/>
    <w:rsid w:val="00865844"/>
    <w:rsid w:val="0086590A"/>
    <w:rsid w:val="00865911"/>
    <w:rsid w:val="00865969"/>
    <w:rsid w:val="00865985"/>
    <w:rsid w:val="008659AA"/>
    <w:rsid w:val="00865AE6"/>
    <w:rsid w:val="00865B27"/>
    <w:rsid w:val="00865B39"/>
    <w:rsid w:val="00865C1B"/>
    <w:rsid w:val="00865D38"/>
    <w:rsid w:val="00865EDA"/>
    <w:rsid w:val="00865F6B"/>
    <w:rsid w:val="00865F7A"/>
    <w:rsid w:val="00865FB6"/>
    <w:rsid w:val="008661A0"/>
    <w:rsid w:val="008661F8"/>
    <w:rsid w:val="00866244"/>
    <w:rsid w:val="00866379"/>
    <w:rsid w:val="0086639B"/>
    <w:rsid w:val="0086647D"/>
    <w:rsid w:val="008664DE"/>
    <w:rsid w:val="008665E5"/>
    <w:rsid w:val="008667A5"/>
    <w:rsid w:val="008667B6"/>
    <w:rsid w:val="008668F0"/>
    <w:rsid w:val="00866911"/>
    <w:rsid w:val="008669D0"/>
    <w:rsid w:val="00866A15"/>
    <w:rsid w:val="00866B39"/>
    <w:rsid w:val="00866BD0"/>
    <w:rsid w:val="00866C1D"/>
    <w:rsid w:val="00866C7B"/>
    <w:rsid w:val="00866D4D"/>
    <w:rsid w:val="00866F13"/>
    <w:rsid w:val="00866F22"/>
    <w:rsid w:val="0086706B"/>
    <w:rsid w:val="0086717D"/>
    <w:rsid w:val="00867252"/>
    <w:rsid w:val="00867360"/>
    <w:rsid w:val="00867651"/>
    <w:rsid w:val="00867901"/>
    <w:rsid w:val="00867A13"/>
    <w:rsid w:val="00867EDF"/>
    <w:rsid w:val="00867F1D"/>
    <w:rsid w:val="00867F91"/>
    <w:rsid w:val="00867F9B"/>
    <w:rsid w:val="00870005"/>
    <w:rsid w:val="00870032"/>
    <w:rsid w:val="00870145"/>
    <w:rsid w:val="00870174"/>
    <w:rsid w:val="008702EC"/>
    <w:rsid w:val="0087033F"/>
    <w:rsid w:val="00870379"/>
    <w:rsid w:val="008704A7"/>
    <w:rsid w:val="008704FA"/>
    <w:rsid w:val="00870928"/>
    <w:rsid w:val="0087099D"/>
    <w:rsid w:val="00870A30"/>
    <w:rsid w:val="00870A39"/>
    <w:rsid w:val="00870DD5"/>
    <w:rsid w:val="00870F3E"/>
    <w:rsid w:val="0087109E"/>
    <w:rsid w:val="00871192"/>
    <w:rsid w:val="0087119B"/>
    <w:rsid w:val="0087130D"/>
    <w:rsid w:val="008713AC"/>
    <w:rsid w:val="008713B3"/>
    <w:rsid w:val="0087165C"/>
    <w:rsid w:val="00871678"/>
    <w:rsid w:val="00871725"/>
    <w:rsid w:val="00871827"/>
    <w:rsid w:val="008718E1"/>
    <w:rsid w:val="00871B0A"/>
    <w:rsid w:val="00871CD5"/>
    <w:rsid w:val="00871DB7"/>
    <w:rsid w:val="00871F0A"/>
    <w:rsid w:val="00871F57"/>
    <w:rsid w:val="00872272"/>
    <w:rsid w:val="008722A7"/>
    <w:rsid w:val="008723C7"/>
    <w:rsid w:val="00872484"/>
    <w:rsid w:val="0087275D"/>
    <w:rsid w:val="00872A77"/>
    <w:rsid w:val="00872AD9"/>
    <w:rsid w:val="00872BAD"/>
    <w:rsid w:val="00872C4D"/>
    <w:rsid w:val="00872CBC"/>
    <w:rsid w:val="00872CC7"/>
    <w:rsid w:val="00872CDA"/>
    <w:rsid w:val="00872DB4"/>
    <w:rsid w:val="00872E20"/>
    <w:rsid w:val="00872F02"/>
    <w:rsid w:val="00872F9B"/>
    <w:rsid w:val="00873009"/>
    <w:rsid w:val="00873053"/>
    <w:rsid w:val="008730C0"/>
    <w:rsid w:val="008730C3"/>
    <w:rsid w:val="00873139"/>
    <w:rsid w:val="00873150"/>
    <w:rsid w:val="00873183"/>
    <w:rsid w:val="00873191"/>
    <w:rsid w:val="008731E5"/>
    <w:rsid w:val="00873293"/>
    <w:rsid w:val="00873379"/>
    <w:rsid w:val="0087340D"/>
    <w:rsid w:val="008735D9"/>
    <w:rsid w:val="0087366B"/>
    <w:rsid w:val="00873762"/>
    <w:rsid w:val="00873908"/>
    <w:rsid w:val="00873966"/>
    <w:rsid w:val="00873A3B"/>
    <w:rsid w:val="00873AC1"/>
    <w:rsid w:val="00873B7A"/>
    <w:rsid w:val="00873BB4"/>
    <w:rsid w:val="00873D4E"/>
    <w:rsid w:val="00874217"/>
    <w:rsid w:val="0087430E"/>
    <w:rsid w:val="008744E2"/>
    <w:rsid w:val="00874563"/>
    <w:rsid w:val="00874575"/>
    <w:rsid w:val="00874591"/>
    <w:rsid w:val="008746D7"/>
    <w:rsid w:val="008747B7"/>
    <w:rsid w:val="008747D9"/>
    <w:rsid w:val="0087496C"/>
    <w:rsid w:val="0087496E"/>
    <w:rsid w:val="008749F1"/>
    <w:rsid w:val="00874A58"/>
    <w:rsid w:val="00874B4B"/>
    <w:rsid w:val="00874B71"/>
    <w:rsid w:val="00874C5D"/>
    <w:rsid w:val="00874CAC"/>
    <w:rsid w:val="00874CAF"/>
    <w:rsid w:val="00874CDF"/>
    <w:rsid w:val="00874D19"/>
    <w:rsid w:val="00874F17"/>
    <w:rsid w:val="00875022"/>
    <w:rsid w:val="0087504C"/>
    <w:rsid w:val="00875055"/>
    <w:rsid w:val="008750AE"/>
    <w:rsid w:val="008750B0"/>
    <w:rsid w:val="00875156"/>
    <w:rsid w:val="008751FE"/>
    <w:rsid w:val="00875289"/>
    <w:rsid w:val="008752AA"/>
    <w:rsid w:val="008752F6"/>
    <w:rsid w:val="008752FF"/>
    <w:rsid w:val="00875358"/>
    <w:rsid w:val="008754A8"/>
    <w:rsid w:val="0087556D"/>
    <w:rsid w:val="008755FC"/>
    <w:rsid w:val="0087582F"/>
    <w:rsid w:val="0087586E"/>
    <w:rsid w:val="008759F8"/>
    <w:rsid w:val="00875C7E"/>
    <w:rsid w:val="00875CF3"/>
    <w:rsid w:val="00875EAD"/>
    <w:rsid w:val="00875FEC"/>
    <w:rsid w:val="00876017"/>
    <w:rsid w:val="008762E0"/>
    <w:rsid w:val="0087632D"/>
    <w:rsid w:val="008763AE"/>
    <w:rsid w:val="00876579"/>
    <w:rsid w:val="00876588"/>
    <w:rsid w:val="0087670B"/>
    <w:rsid w:val="0087680E"/>
    <w:rsid w:val="008769EE"/>
    <w:rsid w:val="00876A4C"/>
    <w:rsid w:val="00876A72"/>
    <w:rsid w:val="00876B8A"/>
    <w:rsid w:val="00876B9E"/>
    <w:rsid w:val="00876BD3"/>
    <w:rsid w:val="00876CAD"/>
    <w:rsid w:val="00876DF0"/>
    <w:rsid w:val="00876E80"/>
    <w:rsid w:val="00876F20"/>
    <w:rsid w:val="00876FA9"/>
    <w:rsid w:val="00877020"/>
    <w:rsid w:val="008770D2"/>
    <w:rsid w:val="008770F3"/>
    <w:rsid w:val="00877133"/>
    <w:rsid w:val="008771BD"/>
    <w:rsid w:val="008771C7"/>
    <w:rsid w:val="00877246"/>
    <w:rsid w:val="00877254"/>
    <w:rsid w:val="008772C7"/>
    <w:rsid w:val="0087738B"/>
    <w:rsid w:val="008773BE"/>
    <w:rsid w:val="008774FD"/>
    <w:rsid w:val="00877529"/>
    <w:rsid w:val="0087758B"/>
    <w:rsid w:val="00877682"/>
    <w:rsid w:val="008777B1"/>
    <w:rsid w:val="008777C2"/>
    <w:rsid w:val="008778AE"/>
    <w:rsid w:val="00877B3C"/>
    <w:rsid w:val="00877CBD"/>
    <w:rsid w:val="00877D14"/>
    <w:rsid w:val="00877F78"/>
    <w:rsid w:val="00877FEB"/>
    <w:rsid w:val="00880158"/>
    <w:rsid w:val="00880300"/>
    <w:rsid w:val="008803B1"/>
    <w:rsid w:val="008804FF"/>
    <w:rsid w:val="00880997"/>
    <w:rsid w:val="00880ED3"/>
    <w:rsid w:val="00880EF7"/>
    <w:rsid w:val="00880F24"/>
    <w:rsid w:val="0088106E"/>
    <w:rsid w:val="008810CA"/>
    <w:rsid w:val="00881141"/>
    <w:rsid w:val="008811D7"/>
    <w:rsid w:val="008813EC"/>
    <w:rsid w:val="0088159E"/>
    <w:rsid w:val="00881773"/>
    <w:rsid w:val="00881808"/>
    <w:rsid w:val="00881AB7"/>
    <w:rsid w:val="00881AFC"/>
    <w:rsid w:val="00881B4F"/>
    <w:rsid w:val="00881C43"/>
    <w:rsid w:val="00881C48"/>
    <w:rsid w:val="00881C84"/>
    <w:rsid w:val="00881FF9"/>
    <w:rsid w:val="0088203A"/>
    <w:rsid w:val="008821CE"/>
    <w:rsid w:val="008821FF"/>
    <w:rsid w:val="00882324"/>
    <w:rsid w:val="008824DB"/>
    <w:rsid w:val="0088254C"/>
    <w:rsid w:val="008825E0"/>
    <w:rsid w:val="00882731"/>
    <w:rsid w:val="0088276B"/>
    <w:rsid w:val="00882B44"/>
    <w:rsid w:val="00882B78"/>
    <w:rsid w:val="00882EDD"/>
    <w:rsid w:val="00882F80"/>
    <w:rsid w:val="00882FFD"/>
    <w:rsid w:val="0088308D"/>
    <w:rsid w:val="00883225"/>
    <w:rsid w:val="008833FD"/>
    <w:rsid w:val="0088345A"/>
    <w:rsid w:val="00883478"/>
    <w:rsid w:val="00883544"/>
    <w:rsid w:val="008835A8"/>
    <w:rsid w:val="008836D5"/>
    <w:rsid w:val="008837BA"/>
    <w:rsid w:val="0088380F"/>
    <w:rsid w:val="008838C5"/>
    <w:rsid w:val="0088393A"/>
    <w:rsid w:val="00883A81"/>
    <w:rsid w:val="00883A9F"/>
    <w:rsid w:val="00883AB8"/>
    <w:rsid w:val="00883BED"/>
    <w:rsid w:val="00883BF5"/>
    <w:rsid w:val="00883CA7"/>
    <w:rsid w:val="00883CEF"/>
    <w:rsid w:val="00883D2F"/>
    <w:rsid w:val="00884052"/>
    <w:rsid w:val="00884394"/>
    <w:rsid w:val="008843DE"/>
    <w:rsid w:val="00884578"/>
    <w:rsid w:val="0088461F"/>
    <w:rsid w:val="00884644"/>
    <w:rsid w:val="00884719"/>
    <w:rsid w:val="0088487E"/>
    <w:rsid w:val="008848C1"/>
    <w:rsid w:val="008848EB"/>
    <w:rsid w:val="00884925"/>
    <w:rsid w:val="00884A24"/>
    <w:rsid w:val="00884A29"/>
    <w:rsid w:val="00884CC2"/>
    <w:rsid w:val="00884D16"/>
    <w:rsid w:val="00884E24"/>
    <w:rsid w:val="00884F82"/>
    <w:rsid w:val="008851D7"/>
    <w:rsid w:val="0088534C"/>
    <w:rsid w:val="008853AE"/>
    <w:rsid w:val="008853E0"/>
    <w:rsid w:val="00885408"/>
    <w:rsid w:val="008854DF"/>
    <w:rsid w:val="00885502"/>
    <w:rsid w:val="00885577"/>
    <w:rsid w:val="008855AA"/>
    <w:rsid w:val="00885640"/>
    <w:rsid w:val="0088570D"/>
    <w:rsid w:val="0088576D"/>
    <w:rsid w:val="008858ED"/>
    <w:rsid w:val="00885A09"/>
    <w:rsid w:val="00885A12"/>
    <w:rsid w:val="00885B56"/>
    <w:rsid w:val="00885C5A"/>
    <w:rsid w:val="00885D06"/>
    <w:rsid w:val="00885D3E"/>
    <w:rsid w:val="008860D1"/>
    <w:rsid w:val="008860D6"/>
    <w:rsid w:val="0088616A"/>
    <w:rsid w:val="008861C6"/>
    <w:rsid w:val="00886232"/>
    <w:rsid w:val="0088623D"/>
    <w:rsid w:val="0088632E"/>
    <w:rsid w:val="0088636D"/>
    <w:rsid w:val="00886519"/>
    <w:rsid w:val="008865F9"/>
    <w:rsid w:val="00886629"/>
    <w:rsid w:val="00886967"/>
    <w:rsid w:val="00886A2C"/>
    <w:rsid w:val="00886B24"/>
    <w:rsid w:val="00886B9E"/>
    <w:rsid w:val="00886C5E"/>
    <w:rsid w:val="00886D5A"/>
    <w:rsid w:val="00886F22"/>
    <w:rsid w:val="008872C6"/>
    <w:rsid w:val="00887327"/>
    <w:rsid w:val="00887348"/>
    <w:rsid w:val="00887539"/>
    <w:rsid w:val="008875A2"/>
    <w:rsid w:val="00887610"/>
    <w:rsid w:val="00887698"/>
    <w:rsid w:val="0088774F"/>
    <w:rsid w:val="00887886"/>
    <w:rsid w:val="00887A0B"/>
    <w:rsid w:val="00887AA6"/>
    <w:rsid w:val="00887B82"/>
    <w:rsid w:val="00887C5A"/>
    <w:rsid w:val="00887E55"/>
    <w:rsid w:val="00887F82"/>
    <w:rsid w:val="00887FCE"/>
    <w:rsid w:val="00887FF7"/>
    <w:rsid w:val="00890048"/>
    <w:rsid w:val="008900A9"/>
    <w:rsid w:val="008900CB"/>
    <w:rsid w:val="00890103"/>
    <w:rsid w:val="008901CA"/>
    <w:rsid w:val="0089022D"/>
    <w:rsid w:val="0089023A"/>
    <w:rsid w:val="00890258"/>
    <w:rsid w:val="008902DD"/>
    <w:rsid w:val="00890334"/>
    <w:rsid w:val="0089037F"/>
    <w:rsid w:val="008903DA"/>
    <w:rsid w:val="00890400"/>
    <w:rsid w:val="00890558"/>
    <w:rsid w:val="0089066F"/>
    <w:rsid w:val="008906B3"/>
    <w:rsid w:val="008906B8"/>
    <w:rsid w:val="00890804"/>
    <w:rsid w:val="0089089E"/>
    <w:rsid w:val="00890901"/>
    <w:rsid w:val="00890A25"/>
    <w:rsid w:val="00890AA5"/>
    <w:rsid w:val="00890C48"/>
    <w:rsid w:val="00890D7B"/>
    <w:rsid w:val="00890DC4"/>
    <w:rsid w:val="00890DE5"/>
    <w:rsid w:val="00890EDD"/>
    <w:rsid w:val="00890F72"/>
    <w:rsid w:val="00891267"/>
    <w:rsid w:val="008912F7"/>
    <w:rsid w:val="00891387"/>
    <w:rsid w:val="008913DC"/>
    <w:rsid w:val="00891412"/>
    <w:rsid w:val="00891476"/>
    <w:rsid w:val="00891642"/>
    <w:rsid w:val="0089164F"/>
    <w:rsid w:val="00891781"/>
    <w:rsid w:val="00891833"/>
    <w:rsid w:val="00891B66"/>
    <w:rsid w:val="00891B8B"/>
    <w:rsid w:val="00891DE3"/>
    <w:rsid w:val="00891F8F"/>
    <w:rsid w:val="00892049"/>
    <w:rsid w:val="0089208D"/>
    <w:rsid w:val="008920DB"/>
    <w:rsid w:val="0089231B"/>
    <w:rsid w:val="00892372"/>
    <w:rsid w:val="00892447"/>
    <w:rsid w:val="0089247C"/>
    <w:rsid w:val="008924AB"/>
    <w:rsid w:val="0089262F"/>
    <w:rsid w:val="00892735"/>
    <w:rsid w:val="008927ED"/>
    <w:rsid w:val="00892861"/>
    <w:rsid w:val="008929A5"/>
    <w:rsid w:val="008929E1"/>
    <w:rsid w:val="00892BD2"/>
    <w:rsid w:val="00892C63"/>
    <w:rsid w:val="00892D98"/>
    <w:rsid w:val="00892DCF"/>
    <w:rsid w:val="00892F40"/>
    <w:rsid w:val="00892F45"/>
    <w:rsid w:val="00892FD9"/>
    <w:rsid w:val="0089307E"/>
    <w:rsid w:val="00893095"/>
    <w:rsid w:val="0089319A"/>
    <w:rsid w:val="008931B6"/>
    <w:rsid w:val="00893265"/>
    <w:rsid w:val="008932D1"/>
    <w:rsid w:val="008933AF"/>
    <w:rsid w:val="008934A4"/>
    <w:rsid w:val="008934CF"/>
    <w:rsid w:val="008934FF"/>
    <w:rsid w:val="00893530"/>
    <w:rsid w:val="008936F7"/>
    <w:rsid w:val="008937BC"/>
    <w:rsid w:val="0089380E"/>
    <w:rsid w:val="00893C4C"/>
    <w:rsid w:val="00893C88"/>
    <w:rsid w:val="00893D49"/>
    <w:rsid w:val="00893E62"/>
    <w:rsid w:val="00893EA4"/>
    <w:rsid w:val="00893EA7"/>
    <w:rsid w:val="00893F94"/>
    <w:rsid w:val="00893FF3"/>
    <w:rsid w:val="008940AF"/>
    <w:rsid w:val="008942FF"/>
    <w:rsid w:val="00894323"/>
    <w:rsid w:val="0089438D"/>
    <w:rsid w:val="00894488"/>
    <w:rsid w:val="008944DB"/>
    <w:rsid w:val="008946BB"/>
    <w:rsid w:val="0089485A"/>
    <w:rsid w:val="008948A7"/>
    <w:rsid w:val="008948E7"/>
    <w:rsid w:val="008948EF"/>
    <w:rsid w:val="00894978"/>
    <w:rsid w:val="008949DE"/>
    <w:rsid w:val="00894A7B"/>
    <w:rsid w:val="00894AF1"/>
    <w:rsid w:val="00894BB0"/>
    <w:rsid w:val="00894CF4"/>
    <w:rsid w:val="00894D3E"/>
    <w:rsid w:val="00894FDA"/>
    <w:rsid w:val="00895075"/>
    <w:rsid w:val="008950ED"/>
    <w:rsid w:val="00895120"/>
    <w:rsid w:val="008951CA"/>
    <w:rsid w:val="008952BA"/>
    <w:rsid w:val="00895451"/>
    <w:rsid w:val="0089545A"/>
    <w:rsid w:val="008954B1"/>
    <w:rsid w:val="008954E6"/>
    <w:rsid w:val="00895560"/>
    <w:rsid w:val="00895700"/>
    <w:rsid w:val="00895703"/>
    <w:rsid w:val="00895748"/>
    <w:rsid w:val="0089577C"/>
    <w:rsid w:val="00895783"/>
    <w:rsid w:val="0089579D"/>
    <w:rsid w:val="008957C4"/>
    <w:rsid w:val="0089584D"/>
    <w:rsid w:val="008959CA"/>
    <w:rsid w:val="008959DA"/>
    <w:rsid w:val="00895AC4"/>
    <w:rsid w:val="00895D50"/>
    <w:rsid w:val="00895E16"/>
    <w:rsid w:val="00895EE9"/>
    <w:rsid w:val="00895F5A"/>
    <w:rsid w:val="00895FA3"/>
    <w:rsid w:val="00896198"/>
    <w:rsid w:val="008961B6"/>
    <w:rsid w:val="0089635C"/>
    <w:rsid w:val="0089640B"/>
    <w:rsid w:val="0089668D"/>
    <w:rsid w:val="008966BE"/>
    <w:rsid w:val="008967A7"/>
    <w:rsid w:val="008967F5"/>
    <w:rsid w:val="008968FF"/>
    <w:rsid w:val="00896948"/>
    <w:rsid w:val="00896A13"/>
    <w:rsid w:val="00896A39"/>
    <w:rsid w:val="00896C06"/>
    <w:rsid w:val="00896CDE"/>
    <w:rsid w:val="00896D6F"/>
    <w:rsid w:val="00896F5F"/>
    <w:rsid w:val="00896F90"/>
    <w:rsid w:val="0089721D"/>
    <w:rsid w:val="00897305"/>
    <w:rsid w:val="00897343"/>
    <w:rsid w:val="00897405"/>
    <w:rsid w:val="0089742B"/>
    <w:rsid w:val="00897799"/>
    <w:rsid w:val="0089785A"/>
    <w:rsid w:val="00897863"/>
    <w:rsid w:val="00897A65"/>
    <w:rsid w:val="00897B5E"/>
    <w:rsid w:val="00897DEC"/>
    <w:rsid w:val="00897EC9"/>
    <w:rsid w:val="00897F7E"/>
    <w:rsid w:val="008A0149"/>
    <w:rsid w:val="008A061D"/>
    <w:rsid w:val="008A09F5"/>
    <w:rsid w:val="008A0A1A"/>
    <w:rsid w:val="008A0B17"/>
    <w:rsid w:val="008A0C50"/>
    <w:rsid w:val="008A0E61"/>
    <w:rsid w:val="008A0EB5"/>
    <w:rsid w:val="008A0F92"/>
    <w:rsid w:val="008A104C"/>
    <w:rsid w:val="008A1112"/>
    <w:rsid w:val="008A111E"/>
    <w:rsid w:val="008A115C"/>
    <w:rsid w:val="008A1187"/>
    <w:rsid w:val="008A1373"/>
    <w:rsid w:val="008A1416"/>
    <w:rsid w:val="008A15B6"/>
    <w:rsid w:val="008A1633"/>
    <w:rsid w:val="008A1674"/>
    <w:rsid w:val="008A1721"/>
    <w:rsid w:val="008A172A"/>
    <w:rsid w:val="008A178F"/>
    <w:rsid w:val="008A179D"/>
    <w:rsid w:val="008A179E"/>
    <w:rsid w:val="008A1812"/>
    <w:rsid w:val="008A1842"/>
    <w:rsid w:val="008A18C3"/>
    <w:rsid w:val="008A1A27"/>
    <w:rsid w:val="008A1A57"/>
    <w:rsid w:val="008A1B22"/>
    <w:rsid w:val="008A1B26"/>
    <w:rsid w:val="008A1B28"/>
    <w:rsid w:val="008A1D8D"/>
    <w:rsid w:val="008A1DA3"/>
    <w:rsid w:val="008A1E65"/>
    <w:rsid w:val="008A1EC2"/>
    <w:rsid w:val="008A1ED5"/>
    <w:rsid w:val="008A1F55"/>
    <w:rsid w:val="008A1FE5"/>
    <w:rsid w:val="008A20A3"/>
    <w:rsid w:val="008A219B"/>
    <w:rsid w:val="008A21E4"/>
    <w:rsid w:val="008A2375"/>
    <w:rsid w:val="008A2393"/>
    <w:rsid w:val="008A245C"/>
    <w:rsid w:val="008A24CF"/>
    <w:rsid w:val="008A25A1"/>
    <w:rsid w:val="008A2634"/>
    <w:rsid w:val="008A2635"/>
    <w:rsid w:val="008A2719"/>
    <w:rsid w:val="008A297C"/>
    <w:rsid w:val="008A29A1"/>
    <w:rsid w:val="008A2A53"/>
    <w:rsid w:val="008A2AAB"/>
    <w:rsid w:val="008A2BDF"/>
    <w:rsid w:val="008A2DB9"/>
    <w:rsid w:val="008A2EF5"/>
    <w:rsid w:val="008A2F3F"/>
    <w:rsid w:val="008A2FC8"/>
    <w:rsid w:val="008A2FE9"/>
    <w:rsid w:val="008A301B"/>
    <w:rsid w:val="008A3042"/>
    <w:rsid w:val="008A3155"/>
    <w:rsid w:val="008A3310"/>
    <w:rsid w:val="008A3363"/>
    <w:rsid w:val="008A3720"/>
    <w:rsid w:val="008A374A"/>
    <w:rsid w:val="008A37B0"/>
    <w:rsid w:val="008A37F9"/>
    <w:rsid w:val="008A38DD"/>
    <w:rsid w:val="008A38E0"/>
    <w:rsid w:val="008A3AC9"/>
    <w:rsid w:val="008A3BCC"/>
    <w:rsid w:val="008A3C32"/>
    <w:rsid w:val="008A3DDE"/>
    <w:rsid w:val="008A3E17"/>
    <w:rsid w:val="008A3F2B"/>
    <w:rsid w:val="008A3F40"/>
    <w:rsid w:val="008A3F65"/>
    <w:rsid w:val="008A4008"/>
    <w:rsid w:val="008A405F"/>
    <w:rsid w:val="008A4275"/>
    <w:rsid w:val="008A42F5"/>
    <w:rsid w:val="008A4431"/>
    <w:rsid w:val="008A471F"/>
    <w:rsid w:val="008A4833"/>
    <w:rsid w:val="008A4844"/>
    <w:rsid w:val="008A4B44"/>
    <w:rsid w:val="008A4B9A"/>
    <w:rsid w:val="008A4CA6"/>
    <w:rsid w:val="008A4D6B"/>
    <w:rsid w:val="008A4E33"/>
    <w:rsid w:val="008A4EAE"/>
    <w:rsid w:val="008A4EC1"/>
    <w:rsid w:val="008A4F77"/>
    <w:rsid w:val="008A5059"/>
    <w:rsid w:val="008A514A"/>
    <w:rsid w:val="008A525A"/>
    <w:rsid w:val="008A54E8"/>
    <w:rsid w:val="008A557D"/>
    <w:rsid w:val="008A582A"/>
    <w:rsid w:val="008A5A46"/>
    <w:rsid w:val="008A5B58"/>
    <w:rsid w:val="008A5C60"/>
    <w:rsid w:val="008A5C6E"/>
    <w:rsid w:val="008A5D2C"/>
    <w:rsid w:val="008A5D2F"/>
    <w:rsid w:val="008A5E64"/>
    <w:rsid w:val="008A5EA5"/>
    <w:rsid w:val="008A5F04"/>
    <w:rsid w:val="008A600B"/>
    <w:rsid w:val="008A605D"/>
    <w:rsid w:val="008A62AC"/>
    <w:rsid w:val="008A62C7"/>
    <w:rsid w:val="008A64C7"/>
    <w:rsid w:val="008A64ED"/>
    <w:rsid w:val="008A6667"/>
    <w:rsid w:val="008A6716"/>
    <w:rsid w:val="008A6728"/>
    <w:rsid w:val="008A682B"/>
    <w:rsid w:val="008A68AD"/>
    <w:rsid w:val="008A692D"/>
    <w:rsid w:val="008A6A5B"/>
    <w:rsid w:val="008A6AE5"/>
    <w:rsid w:val="008A6D77"/>
    <w:rsid w:val="008A6D88"/>
    <w:rsid w:val="008A6F3B"/>
    <w:rsid w:val="008A734D"/>
    <w:rsid w:val="008A74FA"/>
    <w:rsid w:val="008A770C"/>
    <w:rsid w:val="008A778E"/>
    <w:rsid w:val="008A7883"/>
    <w:rsid w:val="008A788F"/>
    <w:rsid w:val="008A791A"/>
    <w:rsid w:val="008A7999"/>
    <w:rsid w:val="008A7ACD"/>
    <w:rsid w:val="008A7D12"/>
    <w:rsid w:val="008A7DE3"/>
    <w:rsid w:val="008A7E50"/>
    <w:rsid w:val="008A7FA1"/>
    <w:rsid w:val="008B0199"/>
    <w:rsid w:val="008B0207"/>
    <w:rsid w:val="008B032C"/>
    <w:rsid w:val="008B03C5"/>
    <w:rsid w:val="008B041E"/>
    <w:rsid w:val="008B054C"/>
    <w:rsid w:val="008B063E"/>
    <w:rsid w:val="008B06D4"/>
    <w:rsid w:val="008B06E6"/>
    <w:rsid w:val="008B0989"/>
    <w:rsid w:val="008B0A1E"/>
    <w:rsid w:val="008B0AE2"/>
    <w:rsid w:val="008B0AF7"/>
    <w:rsid w:val="008B0AFE"/>
    <w:rsid w:val="008B0C9F"/>
    <w:rsid w:val="008B0CBE"/>
    <w:rsid w:val="008B0CC6"/>
    <w:rsid w:val="008B0CFB"/>
    <w:rsid w:val="008B0D67"/>
    <w:rsid w:val="008B0F8C"/>
    <w:rsid w:val="008B102E"/>
    <w:rsid w:val="008B10F0"/>
    <w:rsid w:val="008B1164"/>
    <w:rsid w:val="008B146C"/>
    <w:rsid w:val="008B1499"/>
    <w:rsid w:val="008B1531"/>
    <w:rsid w:val="008B178D"/>
    <w:rsid w:val="008B1840"/>
    <w:rsid w:val="008B1884"/>
    <w:rsid w:val="008B1A5B"/>
    <w:rsid w:val="008B1A77"/>
    <w:rsid w:val="008B1AD4"/>
    <w:rsid w:val="008B1BB9"/>
    <w:rsid w:val="008B1BD8"/>
    <w:rsid w:val="008B1C8D"/>
    <w:rsid w:val="008B1CA5"/>
    <w:rsid w:val="008B1D47"/>
    <w:rsid w:val="008B1E85"/>
    <w:rsid w:val="008B1F5C"/>
    <w:rsid w:val="008B1FD3"/>
    <w:rsid w:val="008B2018"/>
    <w:rsid w:val="008B2066"/>
    <w:rsid w:val="008B20CC"/>
    <w:rsid w:val="008B21BC"/>
    <w:rsid w:val="008B22C2"/>
    <w:rsid w:val="008B2359"/>
    <w:rsid w:val="008B243B"/>
    <w:rsid w:val="008B2484"/>
    <w:rsid w:val="008B2518"/>
    <w:rsid w:val="008B2593"/>
    <w:rsid w:val="008B27A8"/>
    <w:rsid w:val="008B2813"/>
    <w:rsid w:val="008B286A"/>
    <w:rsid w:val="008B293E"/>
    <w:rsid w:val="008B2B0B"/>
    <w:rsid w:val="008B2B6B"/>
    <w:rsid w:val="008B2D58"/>
    <w:rsid w:val="008B2D75"/>
    <w:rsid w:val="008B2DD2"/>
    <w:rsid w:val="008B2DE0"/>
    <w:rsid w:val="008B2DFF"/>
    <w:rsid w:val="008B2E4F"/>
    <w:rsid w:val="008B30C2"/>
    <w:rsid w:val="008B30D5"/>
    <w:rsid w:val="008B3179"/>
    <w:rsid w:val="008B322C"/>
    <w:rsid w:val="008B3320"/>
    <w:rsid w:val="008B3325"/>
    <w:rsid w:val="008B34A8"/>
    <w:rsid w:val="008B3576"/>
    <w:rsid w:val="008B37C2"/>
    <w:rsid w:val="008B3867"/>
    <w:rsid w:val="008B3B14"/>
    <w:rsid w:val="008B3B95"/>
    <w:rsid w:val="008B3D26"/>
    <w:rsid w:val="008B3DF6"/>
    <w:rsid w:val="008B3EA6"/>
    <w:rsid w:val="008B415F"/>
    <w:rsid w:val="008B4173"/>
    <w:rsid w:val="008B420D"/>
    <w:rsid w:val="008B424F"/>
    <w:rsid w:val="008B428C"/>
    <w:rsid w:val="008B43CD"/>
    <w:rsid w:val="008B4535"/>
    <w:rsid w:val="008B45AA"/>
    <w:rsid w:val="008B45EE"/>
    <w:rsid w:val="008B4829"/>
    <w:rsid w:val="008B48CC"/>
    <w:rsid w:val="008B4931"/>
    <w:rsid w:val="008B4A04"/>
    <w:rsid w:val="008B4ADD"/>
    <w:rsid w:val="008B4CAD"/>
    <w:rsid w:val="008B4D0B"/>
    <w:rsid w:val="008B4DA7"/>
    <w:rsid w:val="008B4DDD"/>
    <w:rsid w:val="008B4EEA"/>
    <w:rsid w:val="008B4F09"/>
    <w:rsid w:val="008B5015"/>
    <w:rsid w:val="008B508F"/>
    <w:rsid w:val="008B50C2"/>
    <w:rsid w:val="008B5101"/>
    <w:rsid w:val="008B521C"/>
    <w:rsid w:val="008B5246"/>
    <w:rsid w:val="008B5271"/>
    <w:rsid w:val="008B52D5"/>
    <w:rsid w:val="008B538B"/>
    <w:rsid w:val="008B576F"/>
    <w:rsid w:val="008B5820"/>
    <w:rsid w:val="008B5871"/>
    <w:rsid w:val="008B595E"/>
    <w:rsid w:val="008B5AC2"/>
    <w:rsid w:val="008B5ACD"/>
    <w:rsid w:val="008B5BC9"/>
    <w:rsid w:val="008B5C49"/>
    <w:rsid w:val="008B5D63"/>
    <w:rsid w:val="008B5DB7"/>
    <w:rsid w:val="008B5EF4"/>
    <w:rsid w:val="008B5F9D"/>
    <w:rsid w:val="008B6082"/>
    <w:rsid w:val="008B60A5"/>
    <w:rsid w:val="008B6335"/>
    <w:rsid w:val="008B635D"/>
    <w:rsid w:val="008B63A0"/>
    <w:rsid w:val="008B63F8"/>
    <w:rsid w:val="008B6490"/>
    <w:rsid w:val="008B669C"/>
    <w:rsid w:val="008B66AE"/>
    <w:rsid w:val="008B67B6"/>
    <w:rsid w:val="008B67EB"/>
    <w:rsid w:val="008B68DF"/>
    <w:rsid w:val="008B68F0"/>
    <w:rsid w:val="008B69A1"/>
    <w:rsid w:val="008B6AA1"/>
    <w:rsid w:val="008B6AE4"/>
    <w:rsid w:val="008B6B56"/>
    <w:rsid w:val="008B6B9E"/>
    <w:rsid w:val="008B6C86"/>
    <w:rsid w:val="008B6D19"/>
    <w:rsid w:val="008B6D29"/>
    <w:rsid w:val="008B6DCA"/>
    <w:rsid w:val="008B6EEF"/>
    <w:rsid w:val="008B7131"/>
    <w:rsid w:val="008B7317"/>
    <w:rsid w:val="008B736D"/>
    <w:rsid w:val="008B73E4"/>
    <w:rsid w:val="008B749A"/>
    <w:rsid w:val="008B79E1"/>
    <w:rsid w:val="008B79E7"/>
    <w:rsid w:val="008B7A81"/>
    <w:rsid w:val="008B7AFD"/>
    <w:rsid w:val="008B7B6B"/>
    <w:rsid w:val="008B7B90"/>
    <w:rsid w:val="008B7C41"/>
    <w:rsid w:val="008B7CA0"/>
    <w:rsid w:val="008B7CFD"/>
    <w:rsid w:val="008B7D27"/>
    <w:rsid w:val="008B7D36"/>
    <w:rsid w:val="008B7D4F"/>
    <w:rsid w:val="008B7DB2"/>
    <w:rsid w:val="008B7EC7"/>
    <w:rsid w:val="008B7ECE"/>
    <w:rsid w:val="008B7F8B"/>
    <w:rsid w:val="008C0008"/>
    <w:rsid w:val="008C029C"/>
    <w:rsid w:val="008C02C4"/>
    <w:rsid w:val="008C03FF"/>
    <w:rsid w:val="008C0406"/>
    <w:rsid w:val="008C0542"/>
    <w:rsid w:val="008C062D"/>
    <w:rsid w:val="008C06C0"/>
    <w:rsid w:val="008C07E0"/>
    <w:rsid w:val="008C07FD"/>
    <w:rsid w:val="008C092F"/>
    <w:rsid w:val="008C09B7"/>
    <w:rsid w:val="008C0D15"/>
    <w:rsid w:val="008C0D88"/>
    <w:rsid w:val="008C0D8A"/>
    <w:rsid w:val="008C0D93"/>
    <w:rsid w:val="008C0EE1"/>
    <w:rsid w:val="008C0FB4"/>
    <w:rsid w:val="008C1199"/>
    <w:rsid w:val="008C123F"/>
    <w:rsid w:val="008C12A3"/>
    <w:rsid w:val="008C138F"/>
    <w:rsid w:val="008C1474"/>
    <w:rsid w:val="008C14E3"/>
    <w:rsid w:val="008C153E"/>
    <w:rsid w:val="008C15F5"/>
    <w:rsid w:val="008C1985"/>
    <w:rsid w:val="008C1A66"/>
    <w:rsid w:val="008C1BC4"/>
    <w:rsid w:val="008C1BD8"/>
    <w:rsid w:val="008C1C20"/>
    <w:rsid w:val="008C1C5F"/>
    <w:rsid w:val="008C1D6B"/>
    <w:rsid w:val="008C1DB3"/>
    <w:rsid w:val="008C1DD3"/>
    <w:rsid w:val="008C1DE8"/>
    <w:rsid w:val="008C1F29"/>
    <w:rsid w:val="008C2009"/>
    <w:rsid w:val="008C2061"/>
    <w:rsid w:val="008C21D7"/>
    <w:rsid w:val="008C2253"/>
    <w:rsid w:val="008C236C"/>
    <w:rsid w:val="008C2390"/>
    <w:rsid w:val="008C23E8"/>
    <w:rsid w:val="008C240B"/>
    <w:rsid w:val="008C24D9"/>
    <w:rsid w:val="008C24EE"/>
    <w:rsid w:val="008C2511"/>
    <w:rsid w:val="008C25DA"/>
    <w:rsid w:val="008C2759"/>
    <w:rsid w:val="008C27BA"/>
    <w:rsid w:val="008C29EC"/>
    <w:rsid w:val="008C2CE5"/>
    <w:rsid w:val="008C2D9D"/>
    <w:rsid w:val="008C2F46"/>
    <w:rsid w:val="008C310B"/>
    <w:rsid w:val="008C3139"/>
    <w:rsid w:val="008C31A9"/>
    <w:rsid w:val="008C326C"/>
    <w:rsid w:val="008C333B"/>
    <w:rsid w:val="008C33A5"/>
    <w:rsid w:val="008C35C9"/>
    <w:rsid w:val="008C3732"/>
    <w:rsid w:val="008C382C"/>
    <w:rsid w:val="008C3843"/>
    <w:rsid w:val="008C385F"/>
    <w:rsid w:val="008C3A18"/>
    <w:rsid w:val="008C3A87"/>
    <w:rsid w:val="008C3AFE"/>
    <w:rsid w:val="008C3B11"/>
    <w:rsid w:val="008C3BF2"/>
    <w:rsid w:val="008C3C7F"/>
    <w:rsid w:val="008C3CA1"/>
    <w:rsid w:val="008C3D42"/>
    <w:rsid w:val="008C40DB"/>
    <w:rsid w:val="008C41DF"/>
    <w:rsid w:val="008C425E"/>
    <w:rsid w:val="008C427C"/>
    <w:rsid w:val="008C42D2"/>
    <w:rsid w:val="008C4344"/>
    <w:rsid w:val="008C4396"/>
    <w:rsid w:val="008C44E6"/>
    <w:rsid w:val="008C45D9"/>
    <w:rsid w:val="008C46E6"/>
    <w:rsid w:val="008C47B3"/>
    <w:rsid w:val="008C47B9"/>
    <w:rsid w:val="008C49B4"/>
    <w:rsid w:val="008C4A76"/>
    <w:rsid w:val="008C4B6C"/>
    <w:rsid w:val="008C4BD8"/>
    <w:rsid w:val="008C4D01"/>
    <w:rsid w:val="008C4DBB"/>
    <w:rsid w:val="008C4E8D"/>
    <w:rsid w:val="008C4FFF"/>
    <w:rsid w:val="008C542A"/>
    <w:rsid w:val="008C543E"/>
    <w:rsid w:val="008C5448"/>
    <w:rsid w:val="008C5858"/>
    <w:rsid w:val="008C59C3"/>
    <w:rsid w:val="008C5A33"/>
    <w:rsid w:val="008C5A8B"/>
    <w:rsid w:val="008C5B62"/>
    <w:rsid w:val="008C5BA5"/>
    <w:rsid w:val="008C5BE6"/>
    <w:rsid w:val="008C5CFB"/>
    <w:rsid w:val="008C5DA0"/>
    <w:rsid w:val="008C5DE9"/>
    <w:rsid w:val="008C5E2E"/>
    <w:rsid w:val="008C5FB7"/>
    <w:rsid w:val="008C6234"/>
    <w:rsid w:val="008C62A1"/>
    <w:rsid w:val="008C63B7"/>
    <w:rsid w:val="008C63DC"/>
    <w:rsid w:val="008C64B1"/>
    <w:rsid w:val="008C64EA"/>
    <w:rsid w:val="008C653D"/>
    <w:rsid w:val="008C6571"/>
    <w:rsid w:val="008C661A"/>
    <w:rsid w:val="008C6621"/>
    <w:rsid w:val="008C6699"/>
    <w:rsid w:val="008C6715"/>
    <w:rsid w:val="008C673D"/>
    <w:rsid w:val="008C67B1"/>
    <w:rsid w:val="008C6B5D"/>
    <w:rsid w:val="008C6B9B"/>
    <w:rsid w:val="008C6BCC"/>
    <w:rsid w:val="008C6C55"/>
    <w:rsid w:val="008C6E84"/>
    <w:rsid w:val="008C6E85"/>
    <w:rsid w:val="008C6F42"/>
    <w:rsid w:val="008C70E6"/>
    <w:rsid w:val="008C72F6"/>
    <w:rsid w:val="008C73F9"/>
    <w:rsid w:val="008C75E7"/>
    <w:rsid w:val="008C77B1"/>
    <w:rsid w:val="008C786D"/>
    <w:rsid w:val="008C7937"/>
    <w:rsid w:val="008C7A0B"/>
    <w:rsid w:val="008C7AAA"/>
    <w:rsid w:val="008C7AC3"/>
    <w:rsid w:val="008C7B42"/>
    <w:rsid w:val="008C7B56"/>
    <w:rsid w:val="008C7C5C"/>
    <w:rsid w:val="008C7CF1"/>
    <w:rsid w:val="008C7CFD"/>
    <w:rsid w:val="008C7DA0"/>
    <w:rsid w:val="008C7DD1"/>
    <w:rsid w:val="008C7E5D"/>
    <w:rsid w:val="008C7EDB"/>
    <w:rsid w:val="008C7F03"/>
    <w:rsid w:val="008C7FA9"/>
    <w:rsid w:val="008C7FBE"/>
    <w:rsid w:val="008D004B"/>
    <w:rsid w:val="008D017D"/>
    <w:rsid w:val="008D02FF"/>
    <w:rsid w:val="008D036B"/>
    <w:rsid w:val="008D05B4"/>
    <w:rsid w:val="008D063B"/>
    <w:rsid w:val="008D069E"/>
    <w:rsid w:val="008D084E"/>
    <w:rsid w:val="008D0970"/>
    <w:rsid w:val="008D0B6E"/>
    <w:rsid w:val="008D0BF6"/>
    <w:rsid w:val="008D0C0B"/>
    <w:rsid w:val="008D0C1D"/>
    <w:rsid w:val="008D0C9F"/>
    <w:rsid w:val="008D0CDE"/>
    <w:rsid w:val="008D0EA5"/>
    <w:rsid w:val="008D0F16"/>
    <w:rsid w:val="008D1069"/>
    <w:rsid w:val="008D111D"/>
    <w:rsid w:val="008D1201"/>
    <w:rsid w:val="008D12E9"/>
    <w:rsid w:val="008D1382"/>
    <w:rsid w:val="008D13A5"/>
    <w:rsid w:val="008D1424"/>
    <w:rsid w:val="008D1470"/>
    <w:rsid w:val="008D15D3"/>
    <w:rsid w:val="008D15E0"/>
    <w:rsid w:val="008D165D"/>
    <w:rsid w:val="008D1666"/>
    <w:rsid w:val="008D1705"/>
    <w:rsid w:val="008D172A"/>
    <w:rsid w:val="008D1870"/>
    <w:rsid w:val="008D1928"/>
    <w:rsid w:val="008D199D"/>
    <w:rsid w:val="008D19BE"/>
    <w:rsid w:val="008D19DC"/>
    <w:rsid w:val="008D1A1B"/>
    <w:rsid w:val="008D1AB5"/>
    <w:rsid w:val="008D1BD8"/>
    <w:rsid w:val="008D1C01"/>
    <w:rsid w:val="008D1C20"/>
    <w:rsid w:val="008D1D27"/>
    <w:rsid w:val="008D1DF1"/>
    <w:rsid w:val="008D1DF2"/>
    <w:rsid w:val="008D1EA5"/>
    <w:rsid w:val="008D1EBC"/>
    <w:rsid w:val="008D1F39"/>
    <w:rsid w:val="008D1FF7"/>
    <w:rsid w:val="008D2002"/>
    <w:rsid w:val="008D22BF"/>
    <w:rsid w:val="008D2320"/>
    <w:rsid w:val="008D23D2"/>
    <w:rsid w:val="008D24D4"/>
    <w:rsid w:val="008D2560"/>
    <w:rsid w:val="008D2736"/>
    <w:rsid w:val="008D2A59"/>
    <w:rsid w:val="008D2C0A"/>
    <w:rsid w:val="008D2CF1"/>
    <w:rsid w:val="008D2D9B"/>
    <w:rsid w:val="008D2E26"/>
    <w:rsid w:val="008D3027"/>
    <w:rsid w:val="008D30AA"/>
    <w:rsid w:val="008D30DE"/>
    <w:rsid w:val="008D3127"/>
    <w:rsid w:val="008D3144"/>
    <w:rsid w:val="008D32A1"/>
    <w:rsid w:val="008D337E"/>
    <w:rsid w:val="008D339F"/>
    <w:rsid w:val="008D35E9"/>
    <w:rsid w:val="008D3605"/>
    <w:rsid w:val="008D3632"/>
    <w:rsid w:val="008D36FB"/>
    <w:rsid w:val="008D39D1"/>
    <w:rsid w:val="008D3CC7"/>
    <w:rsid w:val="008D3D3D"/>
    <w:rsid w:val="008D3DF9"/>
    <w:rsid w:val="008D3E60"/>
    <w:rsid w:val="008D3F44"/>
    <w:rsid w:val="008D3FE0"/>
    <w:rsid w:val="008D4075"/>
    <w:rsid w:val="008D409C"/>
    <w:rsid w:val="008D41C7"/>
    <w:rsid w:val="008D426A"/>
    <w:rsid w:val="008D4270"/>
    <w:rsid w:val="008D4311"/>
    <w:rsid w:val="008D4357"/>
    <w:rsid w:val="008D4407"/>
    <w:rsid w:val="008D44BC"/>
    <w:rsid w:val="008D4602"/>
    <w:rsid w:val="008D4661"/>
    <w:rsid w:val="008D471C"/>
    <w:rsid w:val="008D47E1"/>
    <w:rsid w:val="008D47EE"/>
    <w:rsid w:val="008D491E"/>
    <w:rsid w:val="008D4983"/>
    <w:rsid w:val="008D4AF0"/>
    <w:rsid w:val="008D4B13"/>
    <w:rsid w:val="008D4B58"/>
    <w:rsid w:val="008D4BBC"/>
    <w:rsid w:val="008D4D9C"/>
    <w:rsid w:val="008D4DAF"/>
    <w:rsid w:val="008D4DBA"/>
    <w:rsid w:val="008D4DD5"/>
    <w:rsid w:val="008D4DD8"/>
    <w:rsid w:val="008D4DEE"/>
    <w:rsid w:val="008D503F"/>
    <w:rsid w:val="008D509E"/>
    <w:rsid w:val="008D5165"/>
    <w:rsid w:val="008D53D2"/>
    <w:rsid w:val="008D5438"/>
    <w:rsid w:val="008D546F"/>
    <w:rsid w:val="008D5536"/>
    <w:rsid w:val="008D568E"/>
    <w:rsid w:val="008D5726"/>
    <w:rsid w:val="008D5776"/>
    <w:rsid w:val="008D5851"/>
    <w:rsid w:val="008D5855"/>
    <w:rsid w:val="008D5CB0"/>
    <w:rsid w:val="008D5DFC"/>
    <w:rsid w:val="008D5E20"/>
    <w:rsid w:val="008D5E55"/>
    <w:rsid w:val="008D5E7E"/>
    <w:rsid w:val="008D5F7F"/>
    <w:rsid w:val="008D5FDE"/>
    <w:rsid w:val="008D6004"/>
    <w:rsid w:val="008D618E"/>
    <w:rsid w:val="008D61B4"/>
    <w:rsid w:val="008D639E"/>
    <w:rsid w:val="008D64AD"/>
    <w:rsid w:val="008D6660"/>
    <w:rsid w:val="008D67AF"/>
    <w:rsid w:val="008D6A5C"/>
    <w:rsid w:val="008D6AC3"/>
    <w:rsid w:val="008D6B9B"/>
    <w:rsid w:val="008D6E01"/>
    <w:rsid w:val="008D6E5C"/>
    <w:rsid w:val="008D6EAD"/>
    <w:rsid w:val="008D6F1B"/>
    <w:rsid w:val="008D6F4A"/>
    <w:rsid w:val="008D6F4F"/>
    <w:rsid w:val="008D70AA"/>
    <w:rsid w:val="008D70C7"/>
    <w:rsid w:val="008D70D8"/>
    <w:rsid w:val="008D7199"/>
    <w:rsid w:val="008D71FE"/>
    <w:rsid w:val="008D73B3"/>
    <w:rsid w:val="008D7415"/>
    <w:rsid w:val="008D74EB"/>
    <w:rsid w:val="008D75A5"/>
    <w:rsid w:val="008D75BF"/>
    <w:rsid w:val="008D75C7"/>
    <w:rsid w:val="008D75D9"/>
    <w:rsid w:val="008D7754"/>
    <w:rsid w:val="008D77F5"/>
    <w:rsid w:val="008D780D"/>
    <w:rsid w:val="008D784A"/>
    <w:rsid w:val="008D7854"/>
    <w:rsid w:val="008D793A"/>
    <w:rsid w:val="008D79C5"/>
    <w:rsid w:val="008D79C6"/>
    <w:rsid w:val="008D7A2D"/>
    <w:rsid w:val="008D7ACC"/>
    <w:rsid w:val="008D7AE0"/>
    <w:rsid w:val="008D7C3E"/>
    <w:rsid w:val="008D7E0F"/>
    <w:rsid w:val="008D7E58"/>
    <w:rsid w:val="008D7E71"/>
    <w:rsid w:val="008D7EBF"/>
    <w:rsid w:val="008D7F38"/>
    <w:rsid w:val="008D7F47"/>
    <w:rsid w:val="008E0099"/>
    <w:rsid w:val="008E023E"/>
    <w:rsid w:val="008E041E"/>
    <w:rsid w:val="008E0433"/>
    <w:rsid w:val="008E046C"/>
    <w:rsid w:val="008E0571"/>
    <w:rsid w:val="008E05B6"/>
    <w:rsid w:val="008E06A6"/>
    <w:rsid w:val="008E0734"/>
    <w:rsid w:val="008E0894"/>
    <w:rsid w:val="008E08FD"/>
    <w:rsid w:val="008E0906"/>
    <w:rsid w:val="008E0A09"/>
    <w:rsid w:val="008E0A1C"/>
    <w:rsid w:val="008E0A30"/>
    <w:rsid w:val="008E0A48"/>
    <w:rsid w:val="008E0D54"/>
    <w:rsid w:val="008E0F5E"/>
    <w:rsid w:val="008E1061"/>
    <w:rsid w:val="008E1163"/>
    <w:rsid w:val="008E11E3"/>
    <w:rsid w:val="008E12D0"/>
    <w:rsid w:val="008E14C9"/>
    <w:rsid w:val="008E1514"/>
    <w:rsid w:val="008E155B"/>
    <w:rsid w:val="008E1560"/>
    <w:rsid w:val="008E15F4"/>
    <w:rsid w:val="008E160E"/>
    <w:rsid w:val="008E168B"/>
    <w:rsid w:val="008E17E6"/>
    <w:rsid w:val="008E1A72"/>
    <w:rsid w:val="008E1BD4"/>
    <w:rsid w:val="008E1CDD"/>
    <w:rsid w:val="008E1F6F"/>
    <w:rsid w:val="008E1F7A"/>
    <w:rsid w:val="008E1FD0"/>
    <w:rsid w:val="008E2223"/>
    <w:rsid w:val="008E2481"/>
    <w:rsid w:val="008E24DC"/>
    <w:rsid w:val="008E2716"/>
    <w:rsid w:val="008E2959"/>
    <w:rsid w:val="008E2B32"/>
    <w:rsid w:val="008E2C11"/>
    <w:rsid w:val="008E2D82"/>
    <w:rsid w:val="008E2E25"/>
    <w:rsid w:val="008E2E97"/>
    <w:rsid w:val="008E2ED0"/>
    <w:rsid w:val="008E3248"/>
    <w:rsid w:val="008E33BB"/>
    <w:rsid w:val="008E350F"/>
    <w:rsid w:val="008E3742"/>
    <w:rsid w:val="008E3902"/>
    <w:rsid w:val="008E3A27"/>
    <w:rsid w:val="008E3A68"/>
    <w:rsid w:val="008E3BF9"/>
    <w:rsid w:val="008E3ED2"/>
    <w:rsid w:val="008E3FEA"/>
    <w:rsid w:val="008E4093"/>
    <w:rsid w:val="008E40A4"/>
    <w:rsid w:val="008E4170"/>
    <w:rsid w:val="008E41DD"/>
    <w:rsid w:val="008E4210"/>
    <w:rsid w:val="008E4AA3"/>
    <w:rsid w:val="008E4B45"/>
    <w:rsid w:val="008E4B84"/>
    <w:rsid w:val="008E4BBF"/>
    <w:rsid w:val="008E4C55"/>
    <w:rsid w:val="008E4CF4"/>
    <w:rsid w:val="008E4E07"/>
    <w:rsid w:val="008E4E12"/>
    <w:rsid w:val="008E4E45"/>
    <w:rsid w:val="008E4E74"/>
    <w:rsid w:val="008E4EA6"/>
    <w:rsid w:val="008E4F09"/>
    <w:rsid w:val="008E5349"/>
    <w:rsid w:val="008E55DC"/>
    <w:rsid w:val="008E55EB"/>
    <w:rsid w:val="008E5674"/>
    <w:rsid w:val="008E575D"/>
    <w:rsid w:val="008E5828"/>
    <w:rsid w:val="008E583A"/>
    <w:rsid w:val="008E594A"/>
    <w:rsid w:val="008E595A"/>
    <w:rsid w:val="008E5B41"/>
    <w:rsid w:val="008E5CF0"/>
    <w:rsid w:val="008E5E12"/>
    <w:rsid w:val="008E5F1C"/>
    <w:rsid w:val="008E6014"/>
    <w:rsid w:val="008E608B"/>
    <w:rsid w:val="008E60A9"/>
    <w:rsid w:val="008E61DA"/>
    <w:rsid w:val="008E6292"/>
    <w:rsid w:val="008E630F"/>
    <w:rsid w:val="008E6583"/>
    <w:rsid w:val="008E66A1"/>
    <w:rsid w:val="008E66ED"/>
    <w:rsid w:val="008E6851"/>
    <w:rsid w:val="008E6918"/>
    <w:rsid w:val="008E6B24"/>
    <w:rsid w:val="008E6CC6"/>
    <w:rsid w:val="008E6CE8"/>
    <w:rsid w:val="008E6D79"/>
    <w:rsid w:val="008E6DA5"/>
    <w:rsid w:val="008E6E3E"/>
    <w:rsid w:val="008E6F3A"/>
    <w:rsid w:val="008E6F67"/>
    <w:rsid w:val="008E70AB"/>
    <w:rsid w:val="008E712C"/>
    <w:rsid w:val="008E72B7"/>
    <w:rsid w:val="008E7392"/>
    <w:rsid w:val="008E7706"/>
    <w:rsid w:val="008E7785"/>
    <w:rsid w:val="008E77F8"/>
    <w:rsid w:val="008E782E"/>
    <w:rsid w:val="008E789C"/>
    <w:rsid w:val="008E7A4D"/>
    <w:rsid w:val="008E7B6A"/>
    <w:rsid w:val="008E7CFF"/>
    <w:rsid w:val="008E7D36"/>
    <w:rsid w:val="008E7DB1"/>
    <w:rsid w:val="008E7DB7"/>
    <w:rsid w:val="008F016A"/>
    <w:rsid w:val="008F01D5"/>
    <w:rsid w:val="008F0256"/>
    <w:rsid w:val="008F026E"/>
    <w:rsid w:val="008F032C"/>
    <w:rsid w:val="008F035A"/>
    <w:rsid w:val="008F03E9"/>
    <w:rsid w:val="008F0415"/>
    <w:rsid w:val="008F04A5"/>
    <w:rsid w:val="008F04F5"/>
    <w:rsid w:val="008F0539"/>
    <w:rsid w:val="008F0613"/>
    <w:rsid w:val="008F06C0"/>
    <w:rsid w:val="008F07BF"/>
    <w:rsid w:val="008F08CB"/>
    <w:rsid w:val="008F0999"/>
    <w:rsid w:val="008F09DD"/>
    <w:rsid w:val="008F0A00"/>
    <w:rsid w:val="008F0A21"/>
    <w:rsid w:val="008F0AEA"/>
    <w:rsid w:val="008F0B14"/>
    <w:rsid w:val="008F0B6E"/>
    <w:rsid w:val="008F0C44"/>
    <w:rsid w:val="008F0C82"/>
    <w:rsid w:val="008F0CF9"/>
    <w:rsid w:val="008F0EF5"/>
    <w:rsid w:val="008F102A"/>
    <w:rsid w:val="008F1127"/>
    <w:rsid w:val="008F11FD"/>
    <w:rsid w:val="008F130A"/>
    <w:rsid w:val="008F1321"/>
    <w:rsid w:val="008F1435"/>
    <w:rsid w:val="008F1599"/>
    <w:rsid w:val="008F15D8"/>
    <w:rsid w:val="008F17CB"/>
    <w:rsid w:val="008F17DC"/>
    <w:rsid w:val="008F188A"/>
    <w:rsid w:val="008F18F1"/>
    <w:rsid w:val="008F1A13"/>
    <w:rsid w:val="008F1B0E"/>
    <w:rsid w:val="008F1B4D"/>
    <w:rsid w:val="008F1BD4"/>
    <w:rsid w:val="008F1C04"/>
    <w:rsid w:val="008F1C3C"/>
    <w:rsid w:val="008F1C9F"/>
    <w:rsid w:val="008F1CC0"/>
    <w:rsid w:val="008F1DD2"/>
    <w:rsid w:val="008F1EA7"/>
    <w:rsid w:val="008F1EF1"/>
    <w:rsid w:val="008F1FA2"/>
    <w:rsid w:val="008F210B"/>
    <w:rsid w:val="008F216E"/>
    <w:rsid w:val="008F2287"/>
    <w:rsid w:val="008F2292"/>
    <w:rsid w:val="008F2328"/>
    <w:rsid w:val="008F2561"/>
    <w:rsid w:val="008F256E"/>
    <w:rsid w:val="008F25BE"/>
    <w:rsid w:val="008F274E"/>
    <w:rsid w:val="008F2782"/>
    <w:rsid w:val="008F2913"/>
    <w:rsid w:val="008F2AA7"/>
    <w:rsid w:val="008F2D37"/>
    <w:rsid w:val="008F2DB4"/>
    <w:rsid w:val="008F2F48"/>
    <w:rsid w:val="008F3319"/>
    <w:rsid w:val="008F3410"/>
    <w:rsid w:val="008F360B"/>
    <w:rsid w:val="008F39A1"/>
    <w:rsid w:val="008F3C73"/>
    <w:rsid w:val="008F3D87"/>
    <w:rsid w:val="008F3DEE"/>
    <w:rsid w:val="008F3E56"/>
    <w:rsid w:val="008F3EF8"/>
    <w:rsid w:val="008F400F"/>
    <w:rsid w:val="008F410B"/>
    <w:rsid w:val="008F41E2"/>
    <w:rsid w:val="008F456C"/>
    <w:rsid w:val="008F469F"/>
    <w:rsid w:val="008F476B"/>
    <w:rsid w:val="008F48D9"/>
    <w:rsid w:val="008F4957"/>
    <w:rsid w:val="008F49BF"/>
    <w:rsid w:val="008F4D91"/>
    <w:rsid w:val="008F4DE6"/>
    <w:rsid w:val="008F55DA"/>
    <w:rsid w:val="008F5696"/>
    <w:rsid w:val="008F5784"/>
    <w:rsid w:val="008F59B0"/>
    <w:rsid w:val="008F5A71"/>
    <w:rsid w:val="008F5A9D"/>
    <w:rsid w:val="008F5C33"/>
    <w:rsid w:val="008F5C39"/>
    <w:rsid w:val="008F5C60"/>
    <w:rsid w:val="008F5C65"/>
    <w:rsid w:val="008F5CCD"/>
    <w:rsid w:val="008F5D89"/>
    <w:rsid w:val="008F5DC2"/>
    <w:rsid w:val="008F5ED3"/>
    <w:rsid w:val="008F5F84"/>
    <w:rsid w:val="008F5FBB"/>
    <w:rsid w:val="008F5FD7"/>
    <w:rsid w:val="008F603A"/>
    <w:rsid w:val="008F60D0"/>
    <w:rsid w:val="008F627F"/>
    <w:rsid w:val="008F63DF"/>
    <w:rsid w:val="008F646D"/>
    <w:rsid w:val="008F6602"/>
    <w:rsid w:val="008F6604"/>
    <w:rsid w:val="008F6757"/>
    <w:rsid w:val="008F6896"/>
    <w:rsid w:val="008F6915"/>
    <w:rsid w:val="008F6B58"/>
    <w:rsid w:val="008F6C11"/>
    <w:rsid w:val="008F6C2B"/>
    <w:rsid w:val="008F6C4E"/>
    <w:rsid w:val="008F6C75"/>
    <w:rsid w:val="008F6CD5"/>
    <w:rsid w:val="008F6D0F"/>
    <w:rsid w:val="008F6E44"/>
    <w:rsid w:val="008F6E76"/>
    <w:rsid w:val="008F708C"/>
    <w:rsid w:val="008F70DE"/>
    <w:rsid w:val="008F7121"/>
    <w:rsid w:val="008F714E"/>
    <w:rsid w:val="008F71C2"/>
    <w:rsid w:val="008F7257"/>
    <w:rsid w:val="008F733D"/>
    <w:rsid w:val="008F7374"/>
    <w:rsid w:val="008F748E"/>
    <w:rsid w:val="008F757C"/>
    <w:rsid w:val="008F759F"/>
    <w:rsid w:val="008F762E"/>
    <w:rsid w:val="008F7654"/>
    <w:rsid w:val="008F766D"/>
    <w:rsid w:val="008F7673"/>
    <w:rsid w:val="008F78BC"/>
    <w:rsid w:val="008F78D2"/>
    <w:rsid w:val="008F7A17"/>
    <w:rsid w:val="008F7AAF"/>
    <w:rsid w:val="008F7B1C"/>
    <w:rsid w:val="008F7C00"/>
    <w:rsid w:val="008F7D5C"/>
    <w:rsid w:val="008F7E14"/>
    <w:rsid w:val="008F7FC9"/>
    <w:rsid w:val="0090000B"/>
    <w:rsid w:val="00900034"/>
    <w:rsid w:val="00900089"/>
    <w:rsid w:val="0090012A"/>
    <w:rsid w:val="009001C7"/>
    <w:rsid w:val="0090026D"/>
    <w:rsid w:val="0090031A"/>
    <w:rsid w:val="009005BF"/>
    <w:rsid w:val="0090063E"/>
    <w:rsid w:val="00900697"/>
    <w:rsid w:val="009006BF"/>
    <w:rsid w:val="009006C2"/>
    <w:rsid w:val="00900736"/>
    <w:rsid w:val="00900993"/>
    <w:rsid w:val="009009EA"/>
    <w:rsid w:val="00900AE8"/>
    <w:rsid w:val="00900B4C"/>
    <w:rsid w:val="00900B9C"/>
    <w:rsid w:val="00900C70"/>
    <w:rsid w:val="00900D0B"/>
    <w:rsid w:val="00900F50"/>
    <w:rsid w:val="00900FD6"/>
    <w:rsid w:val="00900FD9"/>
    <w:rsid w:val="009010FA"/>
    <w:rsid w:val="0090113B"/>
    <w:rsid w:val="00901232"/>
    <w:rsid w:val="009012F7"/>
    <w:rsid w:val="009013FA"/>
    <w:rsid w:val="0090146A"/>
    <w:rsid w:val="00901471"/>
    <w:rsid w:val="009017A9"/>
    <w:rsid w:val="00901844"/>
    <w:rsid w:val="009018CD"/>
    <w:rsid w:val="00901AC1"/>
    <w:rsid w:val="00901CCC"/>
    <w:rsid w:val="00901D27"/>
    <w:rsid w:val="00901EA8"/>
    <w:rsid w:val="00901EF1"/>
    <w:rsid w:val="00902030"/>
    <w:rsid w:val="00902039"/>
    <w:rsid w:val="009020FF"/>
    <w:rsid w:val="00902147"/>
    <w:rsid w:val="009022CA"/>
    <w:rsid w:val="009022FA"/>
    <w:rsid w:val="0090230D"/>
    <w:rsid w:val="00902445"/>
    <w:rsid w:val="009024D8"/>
    <w:rsid w:val="009026AC"/>
    <w:rsid w:val="009026DA"/>
    <w:rsid w:val="0090272C"/>
    <w:rsid w:val="009028BB"/>
    <w:rsid w:val="0090297E"/>
    <w:rsid w:val="00902ADB"/>
    <w:rsid w:val="00902B00"/>
    <w:rsid w:val="00902B3F"/>
    <w:rsid w:val="00902C13"/>
    <w:rsid w:val="00902D35"/>
    <w:rsid w:val="00902DE1"/>
    <w:rsid w:val="00903009"/>
    <w:rsid w:val="00903048"/>
    <w:rsid w:val="0090304D"/>
    <w:rsid w:val="0090306F"/>
    <w:rsid w:val="009030CD"/>
    <w:rsid w:val="0090318F"/>
    <w:rsid w:val="009031A5"/>
    <w:rsid w:val="009031DF"/>
    <w:rsid w:val="00903340"/>
    <w:rsid w:val="009033F7"/>
    <w:rsid w:val="0090352F"/>
    <w:rsid w:val="00903807"/>
    <w:rsid w:val="0090382F"/>
    <w:rsid w:val="0090383F"/>
    <w:rsid w:val="009038EE"/>
    <w:rsid w:val="009039F6"/>
    <w:rsid w:val="00903B35"/>
    <w:rsid w:val="00903B44"/>
    <w:rsid w:val="00903EA7"/>
    <w:rsid w:val="00903F73"/>
    <w:rsid w:val="00903FD0"/>
    <w:rsid w:val="0090404B"/>
    <w:rsid w:val="0090409B"/>
    <w:rsid w:val="00904103"/>
    <w:rsid w:val="00904248"/>
    <w:rsid w:val="00904363"/>
    <w:rsid w:val="00904364"/>
    <w:rsid w:val="009043C8"/>
    <w:rsid w:val="009043FE"/>
    <w:rsid w:val="00904467"/>
    <w:rsid w:val="009044E5"/>
    <w:rsid w:val="0090475A"/>
    <w:rsid w:val="00904931"/>
    <w:rsid w:val="00904A8A"/>
    <w:rsid w:val="00904AD0"/>
    <w:rsid w:val="00904B59"/>
    <w:rsid w:val="00904BC2"/>
    <w:rsid w:val="00904BC7"/>
    <w:rsid w:val="00904C9B"/>
    <w:rsid w:val="00904DBD"/>
    <w:rsid w:val="00904E35"/>
    <w:rsid w:val="00904E39"/>
    <w:rsid w:val="00904E3F"/>
    <w:rsid w:val="0090506C"/>
    <w:rsid w:val="00905291"/>
    <w:rsid w:val="009052BE"/>
    <w:rsid w:val="009053CD"/>
    <w:rsid w:val="00905730"/>
    <w:rsid w:val="0090574A"/>
    <w:rsid w:val="00905B18"/>
    <w:rsid w:val="00905C7B"/>
    <w:rsid w:val="00905C92"/>
    <w:rsid w:val="00905CFB"/>
    <w:rsid w:val="00905D9B"/>
    <w:rsid w:val="00905EC8"/>
    <w:rsid w:val="00905EE3"/>
    <w:rsid w:val="00906088"/>
    <w:rsid w:val="0090609F"/>
    <w:rsid w:val="00906223"/>
    <w:rsid w:val="00906234"/>
    <w:rsid w:val="00906250"/>
    <w:rsid w:val="00906290"/>
    <w:rsid w:val="009063E3"/>
    <w:rsid w:val="009065F0"/>
    <w:rsid w:val="00906679"/>
    <w:rsid w:val="009069D2"/>
    <w:rsid w:val="00906A84"/>
    <w:rsid w:val="00906B8B"/>
    <w:rsid w:val="00906C81"/>
    <w:rsid w:val="00906E5C"/>
    <w:rsid w:val="00906E77"/>
    <w:rsid w:val="00907076"/>
    <w:rsid w:val="00907084"/>
    <w:rsid w:val="009070B3"/>
    <w:rsid w:val="0090726C"/>
    <w:rsid w:val="00907342"/>
    <w:rsid w:val="00907427"/>
    <w:rsid w:val="0090752F"/>
    <w:rsid w:val="00907541"/>
    <w:rsid w:val="009076DC"/>
    <w:rsid w:val="0090770F"/>
    <w:rsid w:val="00907913"/>
    <w:rsid w:val="009079B1"/>
    <w:rsid w:val="009079BC"/>
    <w:rsid w:val="009079BE"/>
    <w:rsid w:val="00907A70"/>
    <w:rsid w:val="00907C3F"/>
    <w:rsid w:val="00907C60"/>
    <w:rsid w:val="00907DDF"/>
    <w:rsid w:val="00907E55"/>
    <w:rsid w:val="00907E5E"/>
    <w:rsid w:val="00907F71"/>
    <w:rsid w:val="00907F7F"/>
    <w:rsid w:val="00907FF1"/>
    <w:rsid w:val="00910343"/>
    <w:rsid w:val="00910383"/>
    <w:rsid w:val="00910410"/>
    <w:rsid w:val="00910472"/>
    <w:rsid w:val="00910609"/>
    <w:rsid w:val="00910643"/>
    <w:rsid w:val="00910663"/>
    <w:rsid w:val="00910791"/>
    <w:rsid w:val="00910799"/>
    <w:rsid w:val="0091083E"/>
    <w:rsid w:val="0091084F"/>
    <w:rsid w:val="0091087A"/>
    <w:rsid w:val="0091091B"/>
    <w:rsid w:val="0091098E"/>
    <w:rsid w:val="00910A12"/>
    <w:rsid w:val="00910A7D"/>
    <w:rsid w:val="00910E3E"/>
    <w:rsid w:val="00911181"/>
    <w:rsid w:val="00911270"/>
    <w:rsid w:val="009114B9"/>
    <w:rsid w:val="009114CD"/>
    <w:rsid w:val="0091166F"/>
    <w:rsid w:val="00911681"/>
    <w:rsid w:val="009118BF"/>
    <w:rsid w:val="00911920"/>
    <w:rsid w:val="00911A1D"/>
    <w:rsid w:val="00911C43"/>
    <w:rsid w:val="00911CC7"/>
    <w:rsid w:val="00911F79"/>
    <w:rsid w:val="00912034"/>
    <w:rsid w:val="009120DA"/>
    <w:rsid w:val="00912166"/>
    <w:rsid w:val="009123F1"/>
    <w:rsid w:val="00912447"/>
    <w:rsid w:val="00912470"/>
    <w:rsid w:val="009124DE"/>
    <w:rsid w:val="00912523"/>
    <w:rsid w:val="00912770"/>
    <w:rsid w:val="0091277D"/>
    <w:rsid w:val="009127AF"/>
    <w:rsid w:val="009128DA"/>
    <w:rsid w:val="00912A01"/>
    <w:rsid w:val="00912A4A"/>
    <w:rsid w:val="00912BC0"/>
    <w:rsid w:val="00912DAA"/>
    <w:rsid w:val="00912E3E"/>
    <w:rsid w:val="00912F0F"/>
    <w:rsid w:val="00912F89"/>
    <w:rsid w:val="0091300A"/>
    <w:rsid w:val="009130D9"/>
    <w:rsid w:val="00913155"/>
    <w:rsid w:val="009134FD"/>
    <w:rsid w:val="00913549"/>
    <w:rsid w:val="0091366E"/>
    <w:rsid w:val="0091384A"/>
    <w:rsid w:val="00913857"/>
    <w:rsid w:val="0091385B"/>
    <w:rsid w:val="00913868"/>
    <w:rsid w:val="00913933"/>
    <w:rsid w:val="00913A17"/>
    <w:rsid w:val="00913BB6"/>
    <w:rsid w:val="00913BD9"/>
    <w:rsid w:val="00913C5E"/>
    <w:rsid w:val="00913D47"/>
    <w:rsid w:val="00913E03"/>
    <w:rsid w:val="00913F01"/>
    <w:rsid w:val="0091400D"/>
    <w:rsid w:val="00914031"/>
    <w:rsid w:val="00914038"/>
    <w:rsid w:val="0091405E"/>
    <w:rsid w:val="00914176"/>
    <w:rsid w:val="009141EB"/>
    <w:rsid w:val="00914243"/>
    <w:rsid w:val="00914273"/>
    <w:rsid w:val="00914368"/>
    <w:rsid w:val="009143CC"/>
    <w:rsid w:val="009143E0"/>
    <w:rsid w:val="009144AB"/>
    <w:rsid w:val="0091451C"/>
    <w:rsid w:val="009145CC"/>
    <w:rsid w:val="009146FA"/>
    <w:rsid w:val="0091470E"/>
    <w:rsid w:val="00914849"/>
    <w:rsid w:val="0091487F"/>
    <w:rsid w:val="00914A37"/>
    <w:rsid w:val="00914A78"/>
    <w:rsid w:val="00914AC5"/>
    <w:rsid w:val="00914BD1"/>
    <w:rsid w:val="00914C5B"/>
    <w:rsid w:val="00914C92"/>
    <w:rsid w:val="00914CE1"/>
    <w:rsid w:val="00914E25"/>
    <w:rsid w:val="00914F77"/>
    <w:rsid w:val="00915143"/>
    <w:rsid w:val="009152B5"/>
    <w:rsid w:val="00915371"/>
    <w:rsid w:val="00915394"/>
    <w:rsid w:val="0091562C"/>
    <w:rsid w:val="009156A3"/>
    <w:rsid w:val="009157A3"/>
    <w:rsid w:val="009157E9"/>
    <w:rsid w:val="009157F2"/>
    <w:rsid w:val="0091592A"/>
    <w:rsid w:val="00915975"/>
    <w:rsid w:val="009159CD"/>
    <w:rsid w:val="00915C97"/>
    <w:rsid w:val="00915D12"/>
    <w:rsid w:val="00915DA3"/>
    <w:rsid w:val="00915E8A"/>
    <w:rsid w:val="00915EAF"/>
    <w:rsid w:val="00915EF1"/>
    <w:rsid w:val="00916072"/>
    <w:rsid w:val="00916213"/>
    <w:rsid w:val="009162DF"/>
    <w:rsid w:val="00916396"/>
    <w:rsid w:val="00916404"/>
    <w:rsid w:val="00916467"/>
    <w:rsid w:val="009164DA"/>
    <w:rsid w:val="009165FC"/>
    <w:rsid w:val="0091665A"/>
    <w:rsid w:val="00916689"/>
    <w:rsid w:val="0091669F"/>
    <w:rsid w:val="00916742"/>
    <w:rsid w:val="009167B5"/>
    <w:rsid w:val="00916870"/>
    <w:rsid w:val="00916883"/>
    <w:rsid w:val="00916B12"/>
    <w:rsid w:val="00916B9C"/>
    <w:rsid w:val="00916C2F"/>
    <w:rsid w:val="00916C61"/>
    <w:rsid w:val="00916D1E"/>
    <w:rsid w:val="00916EB6"/>
    <w:rsid w:val="009170F3"/>
    <w:rsid w:val="009170F4"/>
    <w:rsid w:val="009170F6"/>
    <w:rsid w:val="00917176"/>
    <w:rsid w:val="0091718F"/>
    <w:rsid w:val="009172EF"/>
    <w:rsid w:val="00917689"/>
    <w:rsid w:val="009176E0"/>
    <w:rsid w:val="0091783D"/>
    <w:rsid w:val="009178B8"/>
    <w:rsid w:val="00917900"/>
    <w:rsid w:val="0091798D"/>
    <w:rsid w:val="00917AF3"/>
    <w:rsid w:val="00917B09"/>
    <w:rsid w:val="00917CAA"/>
    <w:rsid w:val="00917D57"/>
    <w:rsid w:val="00917E24"/>
    <w:rsid w:val="00920095"/>
    <w:rsid w:val="00920491"/>
    <w:rsid w:val="009204B2"/>
    <w:rsid w:val="0092056C"/>
    <w:rsid w:val="009205D5"/>
    <w:rsid w:val="00920638"/>
    <w:rsid w:val="0092064A"/>
    <w:rsid w:val="009206B6"/>
    <w:rsid w:val="009206B7"/>
    <w:rsid w:val="0092076F"/>
    <w:rsid w:val="00920788"/>
    <w:rsid w:val="00920792"/>
    <w:rsid w:val="00920B18"/>
    <w:rsid w:val="00920B36"/>
    <w:rsid w:val="00920C04"/>
    <w:rsid w:val="00920C4C"/>
    <w:rsid w:val="00920D22"/>
    <w:rsid w:val="00920FAA"/>
    <w:rsid w:val="009211CE"/>
    <w:rsid w:val="009212A8"/>
    <w:rsid w:val="00921574"/>
    <w:rsid w:val="009215A0"/>
    <w:rsid w:val="00921617"/>
    <w:rsid w:val="009218E7"/>
    <w:rsid w:val="00921964"/>
    <w:rsid w:val="00921983"/>
    <w:rsid w:val="00921A66"/>
    <w:rsid w:val="00921B18"/>
    <w:rsid w:val="00921B1E"/>
    <w:rsid w:val="00921BB6"/>
    <w:rsid w:val="00921DDD"/>
    <w:rsid w:val="00921E92"/>
    <w:rsid w:val="00921EAE"/>
    <w:rsid w:val="00921EB1"/>
    <w:rsid w:val="00921ED9"/>
    <w:rsid w:val="00922057"/>
    <w:rsid w:val="009222CD"/>
    <w:rsid w:val="009223F2"/>
    <w:rsid w:val="00922451"/>
    <w:rsid w:val="0092249E"/>
    <w:rsid w:val="00922531"/>
    <w:rsid w:val="0092259C"/>
    <w:rsid w:val="00922661"/>
    <w:rsid w:val="00922684"/>
    <w:rsid w:val="009226E4"/>
    <w:rsid w:val="00922785"/>
    <w:rsid w:val="00922899"/>
    <w:rsid w:val="00922A55"/>
    <w:rsid w:val="00922AA7"/>
    <w:rsid w:val="00922CC3"/>
    <w:rsid w:val="00922D18"/>
    <w:rsid w:val="00922DA9"/>
    <w:rsid w:val="00922DC9"/>
    <w:rsid w:val="00922E8D"/>
    <w:rsid w:val="00922FA1"/>
    <w:rsid w:val="0092309D"/>
    <w:rsid w:val="0092312B"/>
    <w:rsid w:val="00923142"/>
    <w:rsid w:val="0092314F"/>
    <w:rsid w:val="00923171"/>
    <w:rsid w:val="009231E0"/>
    <w:rsid w:val="009231F0"/>
    <w:rsid w:val="00923270"/>
    <w:rsid w:val="0092337C"/>
    <w:rsid w:val="009233D6"/>
    <w:rsid w:val="0092372D"/>
    <w:rsid w:val="00923B70"/>
    <w:rsid w:val="00923D6F"/>
    <w:rsid w:val="00923DBA"/>
    <w:rsid w:val="00923DDB"/>
    <w:rsid w:val="00923E43"/>
    <w:rsid w:val="00923EFE"/>
    <w:rsid w:val="00923FFA"/>
    <w:rsid w:val="009240ED"/>
    <w:rsid w:val="00924147"/>
    <w:rsid w:val="00924215"/>
    <w:rsid w:val="0092439D"/>
    <w:rsid w:val="009244BE"/>
    <w:rsid w:val="009244E0"/>
    <w:rsid w:val="0092451B"/>
    <w:rsid w:val="00924584"/>
    <w:rsid w:val="009245C4"/>
    <w:rsid w:val="0092462E"/>
    <w:rsid w:val="0092464F"/>
    <w:rsid w:val="009246F1"/>
    <w:rsid w:val="0092474A"/>
    <w:rsid w:val="0092477D"/>
    <w:rsid w:val="0092477E"/>
    <w:rsid w:val="0092480B"/>
    <w:rsid w:val="00924876"/>
    <w:rsid w:val="00924B63"/>
    <w:rsid w:val="00924C1A"/>
    <w:rsid w:val="00924C69"/>
    <w:rsid w:val="00924CCE"/>
    <w:rsid w:val="00924D02"/>
    <w:rsid w:val="00924E33"/>
    <w:rsid w:val="009251F9"/>
    <w:rsid w:val="00925272"/>
    <w:rsid w:val="0092543D"/>
    <w:rsid w:val="009254CF"/>
    <w:rsid w:val="00925514"/>
    <w:rsid w:val="0092563D"/>
    <w:rsid w:val="00925670"/>
    <w:rsid w:val="0092575A"/>
    <w:rsid w:val="00925973"/>
    <w:rsid w:val="00925A0E"/>
    <w:rsid w:val="00925A4C"/>
    <w:rsid w:val="00925AA5"/>
    <w:rsid w:val="00925ACA"/>
    <w:rsid w:val="00925B48"/>
    <w:rsid w:val="00925B5E"/>
    <w:rsid w:val="00925BF9"/>
    <w:rsid w:val="00925C6F"/>
    <w:rsid w:val="00925C7E"/>
    <w:rsid w:val="00925C8C"/>
    <w:rsid w:val="00925D22"/>
    <w:rsid w:val="00925EFE"/>
    <w:rsid w:val="00925FB8"/>
    <w:rsid w:val="0092626A"/>
    <w:rsid w:val="00926363"/>
    <w:rsid w:val="0092640E"/>
    <w:rsid w:val="0092647C"/>
    <w:rsid w:val="009264D6"/>
    <w:rsid w:val="009265FA"/>
    <w:rsid w:val="00926664"/>
    <w:rsid w:val="009266AB"/>
    <w:rsid w:val="00926896"/>
    <w:rsid w:val="009268AC"/>
    <w:rsid w:val="009268B2"/>
    <w:rsid w:val="009268C3"/>
    <w:rsid w:val="00926A28"/>
    <w:rsid w:val="00926AAF"/>
    <w:rsid w:val="00926B25"/>
    <w:rsid w:val="00926B2F"/>
    <w:rsid w:val="00926B94"/>
    <w:rsid w:val="00926FD1"/>
    <w:rsid w:val="009270A5"/>
    <w:rsid w:val="009271DE"/>
    <w:rsid w:val="009274B4"/>
    <w:rsid w:val="009276B2"/>
    <w:rsid w:val="00927750"/>
    <w:rsid w:val="0092775E"/>
    <w:rsid w:val="009277C8"/>
    <w:rsid w:val="00927914"/>
    <w:rsid w:val="00927985"/>
    <w:rsid w:val="00927D5A"/>
    <w:rsid w:val="00927DB0"/>
    <w:rsid w:val="00927E11"/>
    <w:rsid w:val="00927FCE"/>
    <w:rsid w:val="00930014"/>
    <w:rsid w:val="00930054"/>
    <w:rsid w:val="0093006F"/>
    <w:rsid w:val="009300E4"/>
    <w:rsid w:val="00930146"/>
    <w:rsid w:val="00930154"/>
    <w:rsid w:val="0093016B"/>
    <w:rsid w:val="00930402"/>
    <w:rsid w:val="009304CC"/>
    <w:rsid w:val="0093065D"/>
    <w:rsid w:val="00930706"/>
    <w:rsid w:val="00930771"/>
    <w:rsid w:val="00930780"/>
    <w:rsid w:val="009307FA"/>
    <w:rsid w:val="00930986"/>
    <w:rsid w:val="00930987"/>
    <w:rsid w:val="009309CC"/>
    <w:rsid w:val="00930A49"/>
    <w:rsid w:val="00930B9D"/>
    <w:rsid w:val="00930E16"/>
    <w:rsid w:val="00930EAE"/>
    <w:rsid w:val="0093103C"/>
    <w:rsid w:val="009311B0"/>
    <w:rsid w:val="009311BE"/>
    <w:rsid w:val="0093124F"/>
    <w:rsid w:val="00931258"/>
    <w:rsid w:val="009312E8"/>
    <w:rsid w:val="00931406"/>
    <w:rsid w:val="009314D2"/>
    <w:rsid w:val="00931590"/>
    <w:rsid w:val="009315A6"/>
    <w:rsid w:val="00931668"/>
    <w:rsid w:val="009316EE"/>
    <w:rsid w:val="00931849"/>
    <w:rsid w:val="00931853"/>
    <w:rsid w:val="0093185C"/>
    <w:rsid w:val="009318CA"/>
    <w:rsid w:val="00931940"/>
    <w:rsid w:val="009319C8"/>
    <w:rsid w:val="00931A1E"/>
    <w:rsid w:val="00931A75"/>
    <w:rsid w:val="00931A9E"/>
    <w:rsid w:val="00931AAE"/>
    <w:rsid w:val="00931AEF"/>
    <w:rsid w:val="00931B93"/>
    <w:rsid w:val="00931C8A"/>
    <w:rsid w:val="00931D54"/>
    <w:rsid w:val="00931E8E"/>
    <w:rsid w:val="00931EA3"/>
    <w:rsid w:val="00931F02"/>
    <w:rsid w:val="00931F31"/>
    <w:rsid w:val="00931F8A"/>
    <w:rsid w:val="00931F9A"/>
    <w:rsid w:val="0093200A"/>
    <w:rsid w:val="00932098"/>
    <w:rsid w:val="00932270"/>
    <w:rsid w:val="009322BD"/>
    <w:rsid w:val="0093238B"/>
    <w:rsid w:val="0093247E"/>
    <w:rsid w:val="0093248E"/>
    <w:rsid w:val="00932522"/>
    <w:rsid w:val="00932527"/>
    <w:rsid w:val="0093255D"/>
    <w:rsid w:val="00932587"/>
    <w:rsid w:val="0093281E"/>
    <w:rsid w:val="00932845"/>
    <w:rsid w:val="0093287B"/>
    <w:rsid w:val="00932891"/>
    <w:rsid w:val="0093294E"/>
    <w:rsid w:val="00932A0E"/>
    <w:rsid w:val="00932BBF"/>
    <w:rsid w:val="00932DD9"/>
    <w:rsid w:val="00932EE8"/>
    <w:rsid w:val="00932F36"/>
    <w:rsid w:val="00932F88"/>
    <w:rsid w:val="00932FB1"/>
    <w:rsid w:val="00932FBB"/>
    <w:rsid w:val="0093311B"/>
    <w:rsid w:val="0093314D"/>
    <w:rsid w:val="009331E6"/>
    <w:rsid w:val="0093361B"/>
    <w:rsid w:val="00933661"/>
    <w:rsid w:val="009338BF"/>
    <w:rsid w:val="00933946"/>
    <w:rsid w:val="009339E9"/>
    <w:rsid w:val="00933AED"/>
    <w:rsid w:val="00933B50"/>
    <w:rsid w:val="00933EC8"/>
    <w:rsid w:val="0093400D"/>
    <w:rsid w:val="009340F0"/>
    <w:rsid w:val="009341A2"/>
    <w:rsid w:val="00934242"/>
    <w:rsid w:val="00934254"/>
    <w:rsid w:val="0093432D"/>
    <w:rsid w:val="009343A7"/>
    <w:rsid w:val="009343A8"/>
    <w:rsid w:val="00934441"/>
    <w:rsid w:val="00934476"/>
    <w:rsid w:val="00934483"/>
    <w:rsid w:val="0093458C"/>
    <w:rsid w:val="00934611"/>
    <w:rsid w:val="00934689"/>
    <w:rsid w:val="009347AE"/>
    <w:rsid w:val="00934A08"/>
    <w:rsid w:val="00934A3B"/>
    <w:rsid w:val="00934C2F"/>
    <w:rsid w:val="00934CAC"/>
    <w:rsid w:val="00934D52"/>
    <w:rsid w:val="00934E2F"/>
    <w:rsid w:val="00934F8D"/>
    <w:rsid w:val="00934FFF"/>
    <w:rsid w:val="009350E6"/>
    <w:rsid w:val="00935155"/>
    <w:rsid w:val="009351AA"/>
    <w:rsid w:val="00935282"/>
    <w:rsid w:val="009353C7"/>
    <w:rsid w:val="00935413"/>
    <w:rsid w:val="0093547C"/>
    <w:rsid w:val="009355CE"/>
    <w:rsid w:val="00935630"/>
    <w:rsid w:val="0093568D"/>
    <w:rsid w:val="00935911"/>
    <w:rsid w:val="00935A73"/>
    <w:rsid w:val="00935D52"/>
    <w:rsid w:val="00935D88"/>
    <w:rsid w:val="00935E05"/>
    <w:rsid w:val="00935F82"/>
    <w:rsid w:val="00935FAC"/>
    <w:rsid w:val="00936064"/>
    <w:rsid w:val="009360A8"/>
    <w:rsid w:val="009360AB"/>
    <w:rsid w:val="0093610B"/>
    <w:rsid w:val="0093616C"/>
    <w:rsid w:val="009361E9"/>
    <w:rsid w:val="009363A6"/>
    <w:rsid w:val="009365A4"/>
    <w:rsid w:val="009365F9"/>
    <w:rsid w:val="0093660D"/>
    <w:rsid w:val="00936623"/>
    <w:rsid w:val="009367F9"/>
    <w:rsid w:val="00936806"/>
    <w:rsid w:val="00936881"/>
    <w:rsid w:val="00936900"/>
    <w:rsid w:val="00936A22"/>
    <w:rsid w:val="00936A26"/>
    <w:rsid w:val="00936AB3"/>
    <w:rsid w:val="00936AB8"/>
    <w:rsid w:val="00936E37"/>
    <w:rsid w:val="00936F19"/>
    <w:rsid w:val="00937027"/>
    <w:rsid w:val="00937102"/>
    <w:rsid w:val="00937315"/>
    <w:rsid w:val="0093734C"/>
    <w:rsid w:val="0093745B"/>
    <w:rsid w:val="0093758E"/>
    <w:rsid w:val="009375A5"/>
    <w:rsid w:val="00937630"/>
    <w:rsid w:val="0093774F"/>
    <w:rsid w:val="009378DB"/>
    <w:rsid w:val="009379A7"/>
    <w:rsid w:val="009379AD"/>
    <w:rsid w:val="00937A30"/>
    <w:rsid w:val="00937A6F"/>
    <w:rsid w:val="00937AFD"/>
    <w:rsid w:val="00937B16"/>
    <w:rsid w:val="00937B55"/>
    <w:rsid w:val="00937B93"/>
    <w:rsid w:val="00937D5B"/>
    <w:rsid w:val="00937D65"/>
    <w:rsid w:val="00937F2F"/>
    <w:rsid w:val="00937FC0"/>
    <w:rsid w:val="0094001D"/>
    <w:rsid w:val="00940065"/>
    <w:rsid w:val="00940106"/>
    <w:rsid w:val="0094019D"/>
    <w:rsid w:val="0094024D"/>
    <w:rsid w:val="00940339"/>
    <w:rsid w:val="009403B8"/>
    <w:rsid w:val="009403EB"/>
    <w:rsid w:val="00940480"/>
    <w:rsid w:val="009404F6"/>
    <w:rsid w:val="00940668"/>
    <w:rsid w:val="0094066D"/>
    <w:rsid w:val="009406A3"/>
    <w:rsid w:val="0094091B"/>
    <w:rsid w:val="0094091E"/>
    <w:rsid w:val="0094096E"/>
    <w:rsid w:val="00940A22"/>
    <w:rsid w:val="00940AAE"/>
    <w:rsid w:val="00940B51"/>
    <w:rsid w:val="00940BFB"/>
    <w:rsid w:val="00940E07"/>
    <w:rsid w:val="00940E73"/>
    <w:rsid w:val="00940F73"/>
    <w:rsid w:val="009411E8"/>
    <w:rsid w:val="00941249"/>
    <w:rsid w:val="009416C0"/>
    <w:rsid w:val="0094177E"/>
    <w:rsid w:val="0094181A"/>
    <w:rsid w:val="00941827"/>
    <w:rsid w:val="00941848"/>
    <w:rsid w:val="009418E9"/>
    <w:rsid w:val="0094198B"/>
    <w:rsid w:val="00941A93"/>
    <w:rsid w:val="00941DED"/>
    <w:rsid w:val="00941E59"/>
    <w:rsid w:val="00941E68"/>
    <w:rsid w:val="00941EC6"/>
    <w:rsid w:val="00941FEC"/>
    <w:rsid w:val="00941FFF"/>
    <w:rsid w:val="00942144"/>
    <w:rsid w:val="0094220E"/>
    <w:rsid w:val="009422E8"/>
    <w:rsid w:val="00942471"/>
    <w:rsid w:val="0094256C"/>
    <w:rsid w:val="0094279B"/>
    <w:rsid w:val="00942870"/>
    <w:rsid w:val="00942884"/>
    <w:rsid w:val="00942A7E"/>
    <w:rsid w:val="00942AA0"/>
    <w:rsid w:val="00942C11"/>
    <w:rsid w:val="00942C79"/>
    <w:rsid w:val="00942CEB"/>
    <w:rsid w:val="00942D9A"/>
    <w:rsid w:val="00942DD0"/>
    <w:rsid w:val="00942EAD"/>
    <w:rsid w:val="00942FC8"/>
    <w:rsid w:val="00943111"/>
    <w:rsid w:val="0094311F"/>
    <w:rsid w:val="009431D5"/>
    <w:rsid w:val="009432A7"/>
    <w:rsid w:val="0094331D"/>
    <w:rsid w:val="00943352"/>
    <w:rsid w:val="0094338A"/>
    <w:rsid w:val="0094338C"/>
    <w:rsid w:val="009433E5"/>
    <w:rsid w:val="00943579"/>
    <w:rsid w:val="0094370D"/>
    <w:rsid w:val="0094379A"/>
    <w:rsid w:val="009437CB"/>
    <w:rsid w:val="00943843"/>
    <w:rsid w:val="00943895"/>
    <w:rsid w:val="0094392D"/>
    <w:rsid w:val="00943A85"/>
    <w:rsid w:val="00943AA8"/>
    <w:rsid w:val="00943AFA"/>
    <w:rsid w:val="00943B08"/>
    <w:rsid w:val="00943C23"/>
    <w:rsid w:val="00943CB6"/>
    <w:rsid w:val="00943D0A"/>
    <w:rsid w:val="00943D91"/>
    <w:rsid w:val="00944020"/>
    <w:rsid w:val="00944122"/>
    <w:rsid w:val="00944160"/>
    <w:rsid w:val="0094430C"/>
    <w:rsid w:val="00944325"/>
    <w:rsid w:val="00944367"/>
    <w:rsid w:val="009444FD"/>
    <w:rsid w:val="009445B5"/>
    <w:rsid w:val="00944602"/>
    <w:rsid w:val="009446F1"/>
    <w:rsid w:val="009447F3"/>
    <w:rsid w:val="00944877"/>
    <w:rsid w:val="009448D2"/>
    <w:rsid w:val="00944A3D"/>
    <w:rsid w:val="00944BF1"/>
    <w:rsid w:val="00944CF8"/>
    <w:rsid w:val="00944EA8"/>
    <w:rsid w:val="00944EE3"/>
    <w:rsid w:val="00944EE6"/>
    <w:rsid w:val="00944FEE"/>
    <w:rsid w:val="009452EA"/>
    <w:rsid w:val="0094534D"/>
    <w:rsid w:val="0094538F"/>
    <w:rsid w:val="00945621"/>
    <w:rsid w:val="00945730"/>
    <w:rsid w:val="009457BC"/>
    <w:rsid w:val="009457D1"/>
    <w:rsid w:val="0094586E"/>
    <w:rsid w:val="00945889"/>
    <w:rsid w:val="00945A47"/>
    <w:rsid w:val="00945C3E"/>
    <w:rsid w:val="00945E15"/>
    <w:rsid w:val="00945EBE"/>
    <w:rsid w:val="0094601E"/>
    <w:rsid w:val="009460A1"/>
    <w:rsid w:val="00946154"/>
    <w:rsid w:val="0094654B"/>
    <w:rsid w:val="009465DD"/>
    <w:rsid w:val="009465EA"/>
    <w:rsid w:val="009465FA"/>
    <w:rsid w:val="00946770"/>
    <w:rsid w:val="009467A0"/>
    <w:rsid w:val="009468B8"/>
    <w:rsid w:val="009468C8"/>
    <w:rsid w:val="00946C79"/>
    <w:rsid w:val="00946C91"/>
    <w:rsid w:val="00946CE5"/>
    <w:rsid w:val="00946E7D"/>
    <w:rsid w:val="00946E89"/>
    <w:rsid w:val="00946F42"/>
    <w:rsid w:val="009473DA"/>
    <w:rsid w:val="009474B3"/>
    <w:rsid w:val="00947589"/>
    <w:rsid w:val="00947756"/>
    <w:rsid w:val="009477DE"/>
    <w:rsid w:val="00947861"/>
    <w:rsid w:val="009478E5"/>
    <w:rsid w:val="0094796F"/>
    <w:rsid w:val="00947AC7"/>
    <w:rsid w:val="00947AF2"/>
    <w:rsid w:val="00947D08"/>
    <w:rsid w:val="00947F9C"/>
    <w:rsid w:val="00950065"/>
    <w:rsid w:val="00950066"/>
    <w:rsid w:val="00950260"/>
    <w:rsid w:val="009503BF"/>
    <w:rsid w:val="00950568"/>
    <w:rsid w:val="009507A9"/>
    <w:rsid w:val="009507BD"/>
    <w:rsid w:val="00950818"/>
    <w:rsid w:val="0095082C"/>
    <w:rsid w:val="00950834"/>
    <w:rsid w:val="0095084F"/>
    <w:rsid w:val="009509D1"/>
    <w:rsid w:val="009509F1"/>
    <w:rsid w:val="009509FD"/>
    <w:rsid w:val="00950A6D"/>
    <w:rsid w:val="00950B0D"/>
    <w:rsid w:val="00950B9E"/>
    <w:rsid w:val="00950C20"/>
    <w:rsid w:val="00950C7F"/>
    <w:rsid w:val="00950FBD"/>
    <w:rsid w:val="00951015"/>
    <w:rsid w:val="00951135"/>
    <w:rsid w:val="00951303"/>
    <w:rsid w:val="009513DE"/>
    <w:rsid w:val="0095150D"/>
    <w:rsid w:val="00951522"/>
    <w:rsid w:val="009516CD"/>
    <w:rsid w:val="00951875"/>
    <w:rsid w:val="00951904"/>
    <w:rsid w:val="00951960"/>
    <w:rsid w:val="009519C4"/>
    <w:rsid w:val="00951C16"/>
    <w:rsid w:val="00951CE2"/>
    <w:rsid w:val="00951DD8"/>
    <w:rsid w:val="00951DF6"/>
    <w:rsid w:val="00952001"/>
    <w:rsid w:val="0095204D"/>
    <w:rsid w:val="0095207F"/>
    <w:rsid w:val="009520D3"/>
    <w:rsid w:val="00952336"/>
    <w:rsid w:val="0095233E"/>
    <w:rsid w:val="009523DF"/>
    <w:rsid w:val="009523F2"/>
    <w:rsid w:val="009525B8"/>
    <w:rsid w:val="00952618"/>
    <w:rsid w:val="0095265D"/>
    <w:rsid w:val="00952679"/>
    <w:rsid w:val="0095288C"/>
    <w:rsid w:val="00952C66"/>
    <w:rsid w:val="00952D86"/>
    <w:rsid w:val="00952EA2"/>
    <w:rsid w:val="00952F22"/>
    <w:rsid w:val="00953059"/>
    <w:rsid w:val="00953073"/>
    <w:rsid w:val="009534AB"/>
    <w:rsid w:val="00953674"/>
    <w:rsid w:val="0095369B"/>
    <w:rsid w:val="0095369D"/>
    <w:rsid w:val="009536B5"/>
    <w:rsid w:val="00953727"/>
    <w:rsid w:val="00953761"/>
    <w:rsid w:val="00953776"/>
    <w:rsid w:val="0095381C"/>
    <w:rsid w:val="00953895"/>
    <w:rsid w:val="009538B5"/>
    <w:rsid w:val="00953A04"/>
    <w:rsid w:val="00953AD7"/>
    <w:rsid w:val="00953CFE"/>
    <w:rsid w:val="00953D51"/>
    <w:rsid w:val="00953D59"/>
    <w:rsid w:val="00953D62"/>
    <w:rsid w:val="00953D82"/>
    <w:rsid w:val="00953E47"/>
    <w:rsid w:val="00953EB0"/>
    <w:rsid w:val="00954006"/>
    <w:rsid w:val="009541DF"/>
    <w:rsid w:val="009543FA"/>
    <w:rsid w:val="00954490"/>
    <w:rsid w:val="00954535"/>
    <w:rsid w:val="00954596"/>
    <w:rsid w:val="0095461C"/>
    <w:rsid w:val="00954629"/>
    <w:rsid w:val="0095463E"/>
    <w:rsid w:val="009546ED"/>
    <w:rsid w:val="009547C9"/>
    <w:rsid w:val="00954823"/>
    <w:rsid w:val="0095488B"/>
    <w:rsid w:val="009549C5"/>
    <w:rsid w:val="00954A04"/>
    <w:rsid w:val="00954AC4"/>
    <w:rsid w:val="00954B00"/>
    <w:rsid w:val="00954B79"/>
    <w:rsid w:val="00954BC1"/>
    <w:rsid w:val="00954C32"/>
    <w:rsid w:val="00954F9A"/>
    <w:rsid w:val="0095504C"/>
    <w:rsid w:val="00955066"/>
    <w:rsid w:val="00955070"/>
    <w:rsid w:val="009550E6"/>
    <w:rsid w:val="009551B8"/>
    <w:rsid w:val="0095526B"/>
    <w:rsid w:val="009552CD"/>
    <w:rsid w:val="009553D4"/>
    <w:rsid w:val="00955464"/>
    <w:rsid w:val="009555C8"/>
    <w:rsid w:val="0095577E"/>
    <w:rsid w:val="009557EC"/>
    <w:rsid w:val="0095582A"/>
    <w:rsid w:val="00955957"/>
    <w:rsid w:val="00955999"/>
    <w:rsid w:val="00955A5E"/>
    <w:rsid w:val="00955D29"/>
    <w:rsid w:val="00955D9C"/>
    <w:rsid w:val="00955EA1"/>
    <w:rsid w:val="00955EFB"/>
    <w:rsid w:val="00956196"/>
    <w:rsid w:val="009563A5"/>
    <w:rsid w:val="00956761"/>
    <w:rsid w:val="00956A42"/>
    <w:rsid w:val="00956AEF"/>
    <w:rsid w:val="00956B72"/>
    <w:rsid w:val="00956E11"/>
    <w:rsid w:val="00956E26"/>
    <w:rsid w:val="00956ED4"/>
    <w:rsid w:val="00956F76"/>
    <w:rsid w:val="00956F90"/>
    <w:rsid w:val="009570CE"/>
    <w:rsid w:val="00957131"/>
    <w:rsid w:val="0095713E"/>
    <w:rsid w:val="009571ED"/>
    <w:rsid w:val="0095722A"/>
    <w:rsid w:val="0095724A"/>
    <w:rsid w:val="00957291"/>
    <w:rsid w:val="00957503"/>
    <w:rsid w:val="00957531"/>
    <w:rsid w:val="0095755C"/>
    <w:rsid w:val="00957727"/>
    <w:rsid w:val="0095778B"/>
    <w:rsid w:val="009579A5"/>
    <w:rsid w:val="00957AE8"/>
    <w:rsid w:val="00957B53"/>
    <w:rsid w:val="00957B9B"/>
    <w:rsid w:val="00957C1F"/>
    <w:rsid w:val="00957C79"/>
    <w:rsid w:val="00957C8B"/>
    <w:rsid w:val="00957D5D"/>
    <w:rsid w:val="00957DC0"/>
    <w:rsid w:val="00957F6E"/>
    <w:rsid w:val="0096022E"/>
    <w:rsid w:val="0096029A"/>
    <w:rsid w:val="00960376"/>
    <w:rsid w:val="00960446"/>
    <w:rsid w:val="00960503"/>
    <w:rsid w:val="009605B5"/>
    <w:rsid w:val="00960670"/>
    <w:rsid w:val="0096071C"/>
    <w:rsid w:val="0096071E"/>
    <w:rsid w:val="00960BC0"/>
    <w:rsid w:val="00960C61"/>
    <w:rsid w:val="009610D2"/>
    <w:rsid w:val="00961193"/>
    <w:rsid w:val="009611E8"/>
    <w:rsid w:val="009611FE"/>
    <w:rsid w:val="0096127F"/>
    <w:rsid w:val="0096144B"/>
    <w:rsid w:val="0096145A"/>
    <w:rsid w:val="0096159E"/>
    <w:rsid w:val="009615A0"/>
    <w:rsid w:val="00961600"/>
    <w:rsid w:val="0096179A"/>
    <w:rsid w:val="00961845"/>
    <w:rsid w:val="009618C3"/>
    <w:rsid w:val="00961957"/>
    <w:rsid w:val="009619F1"/>
    <w:rsid w:val="00961B4A"/>
    <w:rsid w:val="00961DE8"/>
    <w:rsid w:val="00961EB2"/>
    <w:rsid w:val="00962094"/>
    <w:rsid w:val="00962108"/>
    <w:rsid w:val="0096218C"/>
    <w:rsid w:val="009621F6"/>
    <w:rsid w:val="00962205"/>
    <w:rsid w:val="009623EB"/>
    <w:rsid w:val="0096258A"/>
    <w:rsid w:val="009626FA"/>
    <w:rsid w:val="0096272E"/>
    <w:rsid w:val="00962799"/>
    <w:rsid w:val="00962823"/>
    <w:rsid w:val="009628B6"/>
    <w:rsid w:val="00962932"/>
    <w:rsid w:val="00962A8C"/>
    <w:rsid w:val="00962B14"/>
    <w:rsid w:val="00962B9E"/>
    <w:rsid w:val="00962BB5"/>
    <w:rsid w:val="00962C01"/>
    <w:rsid w:val="00962D23"/>
    <w:rsid w:val="00962D42"/>
    <w:rsid w:val="00962EEF"/>
    <w:rsid w:val="00962FED"/>
    <w:rsid w:val="00962FEF"/>
    <w:rsid w:val="009631AC"/>
    <w:rsid w:val="0096323E"/>
    <w:rsid w:val="0096324F"/>
    <w:rsid w:val="00963272"/>
    <w:rsid w:val="009632E2"/>
    <w:rsid w:val="0096347B"/>
    <w:rsid w:val="009634BD"/>
    <w:rsid w:val="00963545"/>
    <w:rsid w:val="009636C7"/>
    <w:rsid w:val="009637E2"/>
    <w:rsid w:val="00963806"/>
    <w:rsid w:val="00963996"/>
    <w:rsid w:val="00963C3C"/>
    <w:rsid w:val="00963D2E"/>
    <w:rsid w:val="00963E29"/>
    <w:rsid w:val="00963E8D"/>
    <w:rsid w:val="00963EA8"/>
    <w:rsid w:val="00964127"/>
    <w:rsid w:val="00964284"/>
    <w:rsid w:val="009642B6"/>
    <w:rsid w:val="00964397"/>
    <w:rsid w:val="0096442F"/>
    <w:rsid w:val="00964500"/>
    <w:rsid w:val="00964527"/>
    <w:rsid w:val="00964614"/>
    <w:rsid w:val="00964834"/>
    <w:rsid w:val="009648A4"/>
    <w:rsid w:val="009648C5"/>
    <w:rsid w:val="00964958"/>
    <w:rsid w:val="00964B5A"/>
    <w:rsid w:val="00964CF9"/>
    <w:rsid w:val="00964D3F"/>
    <w:rsid w:val="00964DC3"/>
    <w:rsid w:val="00964F51"/>
    <w:rsid w:val="00964FE5"/>
    <w:rsid w:val="00965300"/>
    <w:rsid w:val="0096538B"/>
    <w:rsid w:val="009653F4"/>
    <w:rsid w:val="0096545B"/>
    <w:rsid w:val="00965475"/>
    <w:rsid w:val="009655FD"/>
    <w:rsid w:val="00965672"/>
    <w:rsid w:val="009656D7"/>
    <w:rsid w:val="0096577C"/>
    <w:rsid w:val="009658F3"/>
    <w:rsid w:val="009658FD"/>
    <w:rsid w:val="00965903"/>
    <w:rsid w:val="0096592A"/>
    <w:rsid w:val="00965B79"/>
    <w:rsid w:val="00965B9F"/>
    <w:rsid w:val="00965C0B"/>
    <w:rsid w:val="00965CE3"/>
    <w:rsid w:val="00965D28"/>
    <w:rsid w:val="00965D97"/>
    <w:rsid w:val="00965E1F"/>
    <w:rsid w:val="00965F29"/>
    <w:rsid w:val="00965F90"/>
    <w:rsid w:val="00965FAB"/>
    <w:rsid w:val="009661BE"/>
    <w:rsid w:val="0096624A"/>
    <w:rsid w:val="00966326"/>
    <w:rsid w:val="009663EC"/>
    <w:rsid w:val="009665A5"/>
    <w:rsid w:val="009666BF"/>
    <w:rsid w:val="0096679A"/>
    <w:rsid w:val="0096692B"/>
    <w:rsid w:val="00966A49"/>
    <w:rsid w:val="00966AE9"/>
    <w:rsid w:val="00966B89"/>
    <w:rsid w:val="00966CAE"/>
    <w:rsid w:val="00966FA3"/>
    <w:rsid w:val="00966FC7"/>
    <w:rsid w:val="00966FD7"/>
    <w:rsid w:val="00966FFB"/>
    <w:rsid w:val="00967346"/>
    <w:rsid w:val="009673EA"/>
    <w:rsid w:val="0096749D"/>
    <w:rsid w:val="00967657"/>
    <w:rsid w:val="00967678"/>
    <w:rsid w:val="00967787"/>
    <w:rsid w:val="009677CF"/>
    <w:rsid w:val="00967961"/>
    <w:rsid w:val="00967993"/>
    <w:rsid w:val="00967BF2"/>
    <w:rsid w:val="00967C79"/>
    <w:rsid w:val="00967CF1"/>
    <w:rsid w:val="00967F16"/>
    <w:rsid w:val="00967F5B"/>
    <w:rsid w:val="00967FD4"/>
    <w:rsid w:val="00970004"/>
    <w:rsid w:val="00970084"/>
    <w:rsid w:val="00970105"/>
    <w:rsid w:val="009703BE"/>
    <w:rsid w:val="009704B8"/>
    <w:rsid w:val="0097056E"/>
    <w:rsid w:val="00970A4B"/>
    <w:rsid w:val="00970CE2"/>
    <w:rsid w:val="00970E76"/>
    <w:rsid w:val="00970EAB"/>
    <w:rsid w:val="0097103F"/>
    <w:rsid w:val="0097112A"/>
    <w:rsid w:val="00971264"/>
    <w:rsid w:val="009712E3"/>
    <w:rsid w:val="00971354"/>
    <w:rsid w:val="0097160E"/>
    <w:rsid w:val="00971729"/>
    <w:rsid w:val="00971748"/>
    <w:rsid w:val="00971764"/>
    <w:rsid w:val="009717EB"/>
    <w:rsid w:val="009719D8"/>
    <w:rsid w:val="00971A01"/>
    <w:rsid w:val="00971AEA"/>
    <w:rsid w:val="00971B32"/>
    <w:rsid w:val="00971B85"/>
    <w:rsid w:val="00971BA0"/>
    <w:rsid w:val="00971CB2"/>
    <w:rsid w:val="00971DB5"/>
    <w:rsid w:val="00971DE7"/>
    <w:rsid w:val="0097213B"/>
    <w:rsid w:val="00972802"/>
    <w:rsid w:val="00972839"/>
    <w:rsid w:val="00972894"/>
    <w:rsid w:val="00972AA1"/>
    <w:rsid w:val="00972B33"/>
    <w:rsid w:val="00972B55"/>
    <w:rsid w:val="00972CC2"/>
    <w:rsid w:val="00972DB5"/>
    <w:rsid w:val="00973012"/>
    <w:rsid w:val="009732EC"/>
    <w:rsid w:val="009734B3"/>
    <w:rsid w:val="009737F1"/>
    <w:rsid w:val="0097393F"/>
    <w:rsid w:val="0097396D"/>
    <w:rsid w:val="00973A48"/>
    <w:rsid w:val="00973AB5"/>
    <w:rsid w:val="00973B1E"/>
    <w:rsid w:val="00973C7F"/>
    <w:rsid w:val="00973CAA"/>
    <w:rsid w:val="00973E4A"/>
    <w:rsid w:val="00973F6F"/>
    <w:rsid w:val="009741D3"/>
    <w:rsid w:val="009744D8"/>
    <w:rsid w:val="00974811"/>
    <w:rsid w:val="00974851"/>
    <w:rsid w:val="00974A80"/>
    <w:rsid w:val="00974B82"/>
    <w:rsid w:val="00974D5C"/>
    <w:rsid w:val="00974F7C"/>
    <w:rsid w:val="00974FAB"/>
    <w:rsid w:val="00974FB8"/>
    <w:rsid w:val="00974FF7"/>
    <w:rsid w:val="0097505E"/>
    <w:rsid w:val="009750E1"/>
    <w:rsid w:val="00975220"/>
    <w:rsid w:val="0097542E"/>
    <w:rsid w:val="009754C6"/>
    <w:rsid w:val="009754DD"/>
    <w:rsid w:val="0097551F"/>
    <w:rsid w:val="00975629"/>
    <w:rsid w:val="00975667"/>
    <w:rsid w:val="009756A5"/>
    <w:rsid w:val="00975802"/>
    <w:rsid w:val="00975837"/>
    <w:rsid w:val="00975912"/>
    <w:rsid w:val="00975A2E"/>
    <w:rsid w:val="00975B5F"/>
    <w:rsid w:val="00975BBB"/>
    <w:rsid w:val="00975BEA"/>
    <w:rsid w:val="00975C64"/>
    <w:rsid w:val="00975D0A"/>
    <w:rsid w:val="00975D17"/>
    <w:rsid w:val="00975E7A"/>
    <w:rsid w:val="00975F7C"/>
    <w:rsid w:val="0097603A"/>
    <w:rsid w:val="0097640A"/>
    <w:rsid w:val="009765AB"/>
    <w:rsid w:val="009766E3"/>
    <w:rsid w:val="0097679A"/>
    <w:rsid w:val="0097680C"/>
    <w:rsid w:val="00976820"/>
    <w:rsid w:val="00976867"/>
    <w:rsid w:val="0097693D"/>
    <w:rsid w:val="00976A11"/>
    <w:rsid w:val="00976A22"/>
    <w:rsid w:val="00976A60"/>
    <w:rsid w:val="00976AB7"/>
    <w:rsid w:val="00976B81"/>
    <w:rsid w:val="00976C05"/>
    <w:rsid w:val="00976C3A"/>
    <w:rsid w:val="00976D36"/>
    <w:rsid w:val="00976D96"/>
    <w:rsid w:val="00976D98"/>
    <w:rsid w:val="00976DA9"/>
    <w:rsid w:val="00976ECE"/>
    <w:rsid w:val="00976FA3"/>
    <w:rsid w:val="00977051"/>
    <w:rsid w:val="009770B5"/>
    <w:rsid w:val="00977103"/>
    <w:rsid w:val="0097711D"/>
    <w:rsid w:val="0097712B"/>
    <w:rsid w:val="009772BC"/>
    <w:rsid w:val="009773E2"/>
    <w:rsid w:val="00977426"/>
    <w:rsid w:val="0097770F"/>
    <w:rsid w:val="0097775A"/>
    <w:rsid w:val="00977868"/>
    <w:rsid w:val="00977905"/>
    <w:rsid w:val="00977A62"/>
    <w:rsid w:val="00977AD3"/>
    <w:rsid w:val="00977BBC"/>
    <w:rsid w:val="00977DC2"/>
    <w:rsid w:val="00977FBE"/>
    <w:rsid w:val="00980028"/>
    <w:rsid w:val="00980043"/>
    <w:rsid w:val="00980075"/>
    <w:rsid w:val="00980156"/>
    <w:rsid w:val="009801D5"/>
    <w:rsid w:val="009801EB"/>
    <w:rsid w:val="0098021F"/>
    <w:rsid w:val="009802D9"/>
    <w:rsid w:val="00980359"/>
    <w:rsid w:val="00980374"/>
    <w:rsid w:val="009803AD"/>
    <w:rsid w:val="009803FA"/>
    <w:rsid w:val="0098047E"/>
    <w:rsid w:val="009804AC"/>
    <w:rsid w:val="009805B6"/>
    <w:rsid w:val="0098079A"/>
    <w:rsid w:val="00980944"/>
    <w:rsid w:val="00980B28"/>
    <w:rsid w:val="00980BD6"/>
    <w:rsid w:val="00980CF9"/>
    <w:rsid w:val="00980E25"/>
    <w:rsid w:val="00980F4E"/>
    <w:rsid w:val="00980F5C"/>
    <w:rsid w:val="00980FAF"/>
    <w:rsid w:val="00981237"/>
    <w:rsid w:val="00981242"/>
    <w:rsid w:val="00981281"/>
    <w:rsid w:val="009813A4"/>
    <w:rsid w:val="009814BD"/>
    <w:rsid w:val="009814E8"/>
    <w:rsid w:val="00981680"/>
    <w:rsid w:val="009816EC"/>
    <w:rsid w:val="009817B3"/>
    <w:rsid w:val="009817F0"/>
    <w:rsid w:val="009818AB"/>
    <w:rsid w:val="00981922"/>
    <w:rsid w:val="009819FB"/>
    <w:rsid w:val="00981A75"/>
    <w:rsid w:val="00981B2E"/>
    <w:rsid w:val="00981D28"/>
    <w:rsid w:val="00981D92"/>
    <w:rsid w:val="00981EAD"/>
    <w:rsid w:val="00981F03"/>
    <w:rsid w:val="00981FC8"/>
    <w:rsid w:val="009821CE"/>
    <w:rsid w:val="00982211"/>
    <w:rsid w:val="00982418"/>
    <w:rsid w:val="00982496"/>
    <w:rsid w:val="009825A6"/>
    <w:rsid w:val="00982619"/>
    <w:rsid w:val="00982738"/>
    <w:rsid w:val="00982860"/>
    <w:rsid w:val="00982964"/>
    <w:rsid w:val="00982CA8"/>
    <w:rsid w:val="00982E6A"/>
    <w:rsid w:val="00982F91"/>
    <w:rsid w:val="00982FD5"/>
    <w:rsid w:val="00982FED"/>
    <w:rsid w:val="00982FF2"/>
    <w:rsid w:val="009831AC"/>
    <w:rsid w:val="009832B2"/>
    <w:rsid w:val="00983326"/>
    <w:rsid w:val="009833EF"/>
    <w:rsid w:val="00983407"/>
    <w:rsid w:val="00983454"/>
    <w:rsid w:val="00983488"/>
    <w:rsid w:val="009834B0"/>
    <w:rsid w:val="009834C9"/>
    <w:rsid w:val="009834F6"/>
    <w:rsid w:val="00983541"/>
    <w:rsid w:val="00983583"/>
    <w:rsid w:val="0098362E"/>
    <w:rsid w:val="0098377D"/>
    <w:rsid w:val="00983910"/>
    <w:rsid w:val="00983960"/>
    <w:rsid w:val="00983964"/>
    <w:rsid w:val="00983A75"/>
    <w:rsid w:val="00983C2B"/>
    <w:rsid w:val="00983CA4"/>
    <w:rsid w:val="0098412F"/>
    <w:rsid w:val="00984276"/>
    <w:rsid w:val="0098427A"/>
    <w:rsid w:val="0098433C"/>
    <w:rsid w:val="009843D9"/>
    <w:rsid w:val="0098453B"/>
    <w:rsid w:val="00984554"/>
    <w:rsid w:val="009845F7"/>
    <w:rsid w:val="00984662"/>
    <w:rsid w:val="0098477E"/>
    <w:rsid w:val="00984784"/>
    <w:rsid w:val="009847EF"/>
    <w:rsid w:val="00984835"/>
    <w:rsid w:val="009849FB"/>
    <w:rsid w:val="00984A5D"/>
    <w:rsid w:val="00984BBB"/>
    <w:rsid w:val="00984C16"/>
    <w:rsid w:val="00984E9D"/>
    <w:rsid w:val="00984EE9"/>
    <w:rsid w:val="00984F66"/>
    <w:rsid w:val="0098500A"/>
    <w:rsid w:val="00985074"/>
    <w:rsid w:val="0098512B"/>
    <w:rsid w:val="009852A3"/>
    <w:rsid w:val="009852CF"/>
    <w:rsid w:val="0098533E"/>
    <w:rsid w:val="0098539D"/>
    <w:rsid w:val="009853CA"/>
    <w:rsid w:val="0098542C"/>
    <w:rsid w:val="0098552D"/>
    <w:rsid w:val="009856B7"/>
    <w:rsid w:val="00985738"/>
    <w:rsid w:val="00985753"/>
    <w:rsid w:val="0098590B"/>
    <w:rsid w:val="00985948"/>
    <w:rsid w:val="00985BC8"/>
    <w:rsid w:val="00985C7F"/>
    <w:rsid w:val="00985E12"/>
    <w:rsid w:val="009860D8"/>
    <w:rsid w:val="00986384"/>
    <w:rsid w:val="009863A0"/>
    <w:rsid w:val="0098640F"/>
    <w:rsid w:val="00986527"/>
    <w:rsid w:val="00986580"/>
    <w:rsid w:val="00986583"/>
    <w:rsid w:val="009865BF"/>
    <w:rsid w:val="009865FD"/>
    <w:rsid w:val="0098660F"/>
    <w:rsid w:val="0098670D"/>
    <w:rsid w:val="009868A4"/>
    <w:rsid w:val="00986918"/>
    <w:rsid w:val="00986924"/>
    <w:rsid w:val="009869BB"/>
    <w:rsid w:val="00986B69"/>
    <w:rsid w:val="00986BA9"/>
    <w:rsid w:val="00986C81"/>
    <w:rsid w:val="00986D03"/>
    <w:rsid w:val="00986D3C"/>
    <w:rsid w:val="00986E6D"/>
    <w:rsid w:val="00986F6F"/>
    <w:rsid w:val="009870A6"/>
    <w:rsid w:val="0098711E"/>
    <w:rsid w:val="009871B0"/>
    <w:rsid w:val="0098721A"/>
    <w:rsid w:val="00987449"/>
    <w:rsid w:val="00987469"/>
    <w:rsid w:val="00987470"/>
    <w:rsid w:val="009875F7"/>
    <w:rsid w:val="009877ED"/>
    <w:rsid w:val="009878C3"/>
    <w:rsid w:val="0098792C"/>
    <w:rsid w:val="0098799F"/>
    <w:rsid w:val="00987ABC"/>
    <w:rsid w:val="00987C89"/>
    <w:rsid w:val="00987CBC"/>
    <w:rsid w:val="00987DBF"/>
    <w:rsid w:val="00987F26"/>
    <w:rsid w:val="00987F6E"/>
    <w:rsid w:val="00987F93"/>
    <w:rsid w:val="0099001B"/>
    <w:rsid w:val="00990105"/>
    <w:rsid w:val="00990128"/>
    <w:rsid w:val="009901BE"/>
    <w:rsid w:val="009901F0"/>
    <w:rsid w:val="00990265"/>
    <w:rsid w:val="00990313"/>
    <w:rsid w:val="0099032A"/>
    <w:rsid w:val="00990354"/>
    <w:rsid w:val="009903C2"/>
    <w:rsid w:val="00990570"/>
    <w:rsid w:val="009906C7"/>
    <w:rsid w:val="00990872"/>
    <w:rsid w:val="009908C7"/>
    <w:rsid w:val="009909CC"/>
    <w:rsid w:val="00990C92"/>
    <w:rsid w:val="00990D04"/>
    <w:rsid w:val="00990D07"/>
    <w:rsid w:val="00990D76"/>
    <w:rsid w:val="00990E56"/>
    <w:rsid w:val="00990ED4"/>
    <w:rsid w:val="00990F82"/>
    <w:rsid w:val="00990F86"/>
    <w:rsid w:val="00991132"/>
    <w:rsid w:val="00991141"/>
    <w:rsid w:val="00991183"/>
    <w:rsid w:val="00991310"/>
    <w:rsid w:val="00991595"/>
    <w:rsid w:val="00991692"/>
    <w:rsid w:val="009917CC"/>
    <w:rsid w:val="009918F9"/>
    <w:rsid w:val="0099199D"/>
    <w:rsid w:val="00991A86"/>
    <w:rsid w:val="00991AAF"/>
    <w:rsid w:val="00991B47"/>
    <w:rsid w:val="00991B5E"/>
    <w:rsid w:val="00991BDA"/>
    <w:rsid w:val="00991BE6"/>
    <w:rsid w:val="00991C1E"/>
    <w:rsid w:val="00991C5C"/>
    <w:rsid w:val="00991C9C"/>
    <w:rsid w:val="00991D24"/>
    <w:rsid w:val="00991D7D"/>
    <w:rsid w:val="00991E55"/>
    <w:rsid w:val="00992041"/>
    <w:rsid w:val="009920C0"/>
    <w:rsid w:val="0099221A"/>
    <w:rsid w:val="009922B4"/>
    <w:rsid w:val="009922CA"/>
    <w:rsid w:val="00992360"/>
    <w:rsid w:val="0099239C"/>
    <w:rsid w:val="009924F6"/>
    <w:rsid w:val="009926B2"/>
    <w:rsid w:val="00992706"/>
    <w:rsid w:val="00992757"/>
    <w:rsid w:val="009927E5"/>
    <w:rsid w:val="0099282D"/>
    <w:rsid w:val="0099290D"/>
    <w:rsid w:val="00992A7E"/>
    <w:rsid w:val="00992C69"/>
    <w:rsid w:val="00992D10"/>
    <w:rsid w:val="00992D21"/>
    <w:rsid w:val="00992D36"/>
    <w:rsid w:val="00992E98"/>
    <w:rsid w:val="00992ED9"/>
    <w:rsid w:val="00992F33"/>
    <w:rsid w:val="00992F79"/>
    <w:rsid w:val="0099301A"/>
    <w:rsid w:val="00993037"/>
    <w:rsid w:val="0099306C"/>
    <w:rsid w:val="0099323D"/>
    <w:rsid w:val="009932AF"/>
    <w:rsid w:val="009937A0"/>
    <w:rsid w:val="00993809"/>
    <w:rsid w:val="00993A16"/>
    <w:rsid w:val="00993AA1"/>
    <w:rsid w:val="00993D32"/>
    <w:rsid w:val="00993D5C"/>
    <w:rsid w:val="00993D8D"/>
    <w:rsid w:val="00993E0C"/>
    <w:rsid w:val="00993E57"/>
    <w:rsid w:val="00993FD9"/>
    <w:rsid w:val="0099404C"/>
    <w:rsid w:val="00994081"/>
    <w:rsid w:val="0099412F"/>
    <w:rsid w:val="00994207"/>
    <w:rsid w:val="00994368"/>
    <w:rsid w:val="009943EC"/>
    <w:rsid w:val="0099443F"/>
    <w:rsid w:val="00994765"/>
    <w:rsid w:val="00994928"/>
    <w:rsid w:val="009949BC"/>
    <w:rsid w:val="00994B03"/>
    <w:rsid w:val="00994B54"/>
    <w:rsid w:val="00994C13"/>
    <w:rsid w:val="00994C62"/>
    <w:rsid w:val="00994E71"/>
    <w:rsid w:val="0099506A"/>
    <w:rsid w:val="009950B9"/>
    <w:rsid w:val="00995128"/>
    <w:rsid w:val="00995171"/>
    <w:rsid w:val="009951DB"/>
    <w:rsid w:val="009952C1"/>
    <w:rsid w:val="0099577D"/>
    <w:rsid w:val="009959A9"/>
    <w:rsid w:val="00995A00"/>
    <w:rsid w:val="00995A80"/>
    <w:rsid w:val="00995AF5"/>
    <w:rsid w:val="00995B3C"/>
    <w:rsid w:val="00995C5D"/>
    <w:rsid w:val="00995D2A"/>
    <w:rsid w:val="00995EB0"/>
    <w:rsid w:val="00995EE3"/>
    <w:rsid w:val="0099618A"/>
    <w:rsid w:val="00996244"/>
    <w:rsid w:val="009962F3"/>
    <w:rsid w:val="009964AA"/>
    <w:rsid w:val="009964DB"/>
    <w:rsid w:val="00996ABF"/>
    <w:rsid w:val="00996B18"/>
    <w:rsid w:val="00996C88"/>
    <w:rsid w:val="00996CEA"/>
    <w:rsid w:val="00996D2D"/>
    <w:rsid w:val="00996D6D"/>
    <w:rsid w:val="00996DDC"/>
    <w:rsid w:val="00996E5A"/>
    <w:rsid w:val="00996E6D"/>
    <w:rsid w:val="00996E6F"/>
    <w:rsid w:val="00996EEB"/>
    <w:rsid w:val="00996F93"/>
    <w:rsid w:val="00996FC4"/>
    <w:rsid w:val="0099737D"/>
    <w:rsid w:val="00997428"/>
    <w:rsid w:val="0099744F"/>
    <w:rsid w:val="00997663"/>
    <w:rsid w:val="009977FD"/>
    <w:rsid w:val="0099788A"/>
    <w:rsid w:val="0099794A"/>
    <w:rsid w:val="009979DA"/>
    <w:rsid w:val="00997BFE"/>
    <w:rsid w:val="00997C1D"/>
    <w:rsid w:val="00997C28"/>
    <w:rsid w:val="00997C2E"/>
    <w:rsid w:val="00997C79"/>
    <w:rsid w:val="00997CF0"/>
    <w:rsid w:val="00997D71"/>
    <w:rsid w:val="00997E2B"/>
    <w:rsid w:val="00997FC5"/>
    <w:rsid w:val="009A017E"/>
    <w:rsid w:val="009A022A"/>
    <w:rsid w:val="009A0262"/>
    <w:rsid w:val="009A0278"/>
    <w:rsid w:val="009A034B"/>
    <w:rsid w:val="009A03F1"/>
    <w:rsid w:val="009A0426"/>
    <w:rsid w:val="009A051F"/>
    <w:rsid w:val="009A0644"/>
    <w:rsid w:val="009A065A"/>
    <w:rsid w:val="009A068A"/>
    <w:rsid w:val="009A06E5"/>
    <w:rsid w:val="009A08A4"/>
    <w:rsid w:val="009A095D"/>
    <w:rsid w:val="009A095E"/>
    <w:rsid w:val="009A0AAC"/>
    <w:rsid w:val="009A0D8E"/>
    <w:rsid w:val="009A0DAC"/>
    <w:rsid w:val="009A0EFB"/>
    <w:rsid w:val="009A0F1B"/>
    <w:rsid w:val="009A0F35"/>
    <w:rsid w:val="009A1242"/>
    <w:rsid w:val="009A1261"/>
    <w:rsid w:val="009A13C7"/>
    <w:rsid w:val="009A150A"/>
    <w:rsid w:val="009A165C"/>
    <w:rsid w:val="009A1861"/>
    <w:rsid w:val="009A1902"/>
    <w:rsid w:val="009A1A33"/>
    <w:rsid w:val="009A1AA2"/>
    <w:rsid w:val="009A1B58"/>
    <w:rsid w:val="009A1B81"/>
    <w:rsid w:val="009A1BB4"/>
    <w:rsid w:val="009A1C51"/>
    <w:rsid w:val="009A1C5A"/>
    <w:rsid w:val="009A1D93"/>
    <w:rsid w:val="009A1F25"/>
    <w:rsid w:val="009A20DE"/>
    <w:rsid w:val="009A21C6"/>
    <w:rsid w:val="009A21E8"/>
    <w:rsid w:val="009A232A"/>
    <w:rsid w:val="009A2520"/>
    <w:rsid w:val="009A2596"/>
    <w:rsid w:val="009A25F1"/>
    <w:rsid w:val="009A263C"/>
    <w:rsid w:val="009A26E0"/>
    <w:rsid w:val="009A280A"/>
    <w:rsid w:val="009A2CEC"/>
    <w:rsid w:val="009A2D59"/>
    <w:rsid w:val="009A2EA2"/>
    <w:rsid w:val="009A2F29"/>
    <w:rsid w:val="009A2FFF"/>
    <w:rsid w:val="009A30B3"/>
    <w:rsid w:val="009A3124"/>
    <w:rsid w:val="009A31B9"/>
    <w:rsid w:val="009A3436"/>
    <w:rsid w:val="009A3502"/>
    <w:rsid w:val="009A3511"/>
    <w:rsid w:val="009A3565"/>
    <w:rsid w:val="009A367D"/>
    <w:rsid w:val="009A3806"/>
    <w:rsid w:val="009A392F"/>
    <w:rsid w:val="009A39FE"/>
    <w:rsid w:val="009A3A33"/>
    <w:rsid w:val="009A3A64"/>
    <w:rsid w:val="009A3C61"/>
    <w:rsid w:val="009A3D15"/>
    <w:rsid w:val="009A3D82"/>
    <w:rsid w:val="009A3DB8"/>
    <w:rsid w:val="009A3DC7"/>
    <w:rsid w:val="009A3F3C"/>
    <w:rsid w:val="009A3FA3"/>
    <w:rsid w:val="009A410B"/>
    <w:rsid w:val="009A4220"/>
    <w:rsid w:val="009A4222"/>
    <w:rsid w:val="009A450C"/>
    <w:rsid w:val="009A4533"/>
    <w:rsid w:val="009A4538"/>
    <w:rsid w:val="009A461A"/>
    <w:rsid w:val="009A4625"/>
    <w:rsid w:val="009A4644"/>
    <w:rsid w:val="009A4686"/>
    <w:rsid w:val="009A4690"/>
    <w:rsid w:val="009A46ED"/>
    <w:rsid w:val="009A48AF"/>
    <w:rsid w:val="009A49E3"/>
    <w:rsid w:val="009A4A21"/>
    <w:rsid w:val="009A4D46"/>
    <w:rsid w:val="009A4D91"/>
    <w:rsid w:val="009A4F47"/>
    <w:rsid w:val="009A528C"/>
    <w:rsid w:val="009A5291"/>
    <w:rsid w:val="009A5462"/>
    <w:rsid w:val="009A55EF"/>
    <w:rsid w:val="009A5739"/>
    <w:rsid w:val="009A5794"/>
    <w:rsid w:val="009A5822"/>
    <w:rsid w:val="009A586D"/>
    <w:rsid w:val="009A58EE"/>
    <w:rsid w:val="009A591A"/>
    <w:rsid w:val="009A599D"/>
    <w:rsid w:val="009A5A67"/>
    <w:rsid w:val="009A5B46"/>
    <w:rsid w:val="009A5BB9"/>
    <w:rsid w:val="009A5EDF"/>
    <w:rsid w:val="009A5F11"/>
    <w:rsid w:val="009A5F63"/>
    <w:rsid w:val="009A62AE"/>
    <w:rsid w:val="009A62B3"/>
    <w:rsid w:val="009A6354"/>
    <w:rsid w:val="009A6377"/>
    <w:rsid w:val="009A6439"/>
    <w:rsid w:val="009A652B"/>
    <w:rsid w:val="009A656D"/>
    <w:rsid w:val="009A658F"/>
    <w:rsid w:val="009A65D1"/>
    <w:rsid w:val="009A668A"/>
    <w:rsid w:val="009A6694"/>
    <w:rsid w:val="009A66E8"/>
    <w:rsid w:val="009A69E4"/>
    <w:rsid w:val="009A6A17"/>
    <w:rsid w:val="009A6B1B"/>
    <w:rsid w:val="009A6BC8"/>
    <w:rsid w:val="009A6C47"/>
    <w:rsid w:val="009A6D13"/>
    <w:rsid w:val="009A6E5D"/>
    <w:rsid w:val="009A6ED0"/>
    <w:rsid w:val="009A6F85"/>
    <w:rsid w:val="009A70E1"/>
    <w:rsid w:val="009A7195"/>
    <w:rsid w:val="009A723D"/>
    <w:rsid w:val="009A7380"/>
    <w:rsid w:val="009A7439"/>
    <w:rsid w:val="009A76C9"/>
    <w:rsid w:val="009A773A"/>
    <w:rsid w:val="009A7953"/>
    <w:rsid w:val="009A795B"/>
    <w:rsid w:val="009A7978"/>
    <w:rsid w:val="009A79D6"/>
    <w:rsid w:val="009A7A9D"/>
    <w:rsid w:val="009A7AD0"/>
    <w:rsid w:val="009A7D24"/>
    <w:rsid w:val="009A7D63"/>
    <w:rsid w:val="009A7EE0"/>
    <w:rsid w:val="009B002D"/>
    <w:rsid w:val="009B020F"/>
    <w:rsid w:val="009B0659"/>
    <w:rsid w:val="009B071D"/>
    <w:rsid w:val="009B0804"/>
    <w:rsid w:val="009B089D"/>
    <w:rsid w:val="009B0ABF"/>
    <w:rsid w:val="009B0AE0"/>
    <w:rsid w:val="009B0B81"/>
    <w:rsid w:val="009B0E42"/>
    <w:rsid w:val="009B1070"/>
    <w:rsid w:val="009B1146"/>
    <w:rsid w:val="009B128A"/>
    <w:rsid w:val="009B1598"/>
    <w:rsid w:val="009B160B"/>
    <w:rsid w:val="009B1805"/>
    <w:rsid w:val="009B183D"/>
    <w:rsid w:val="009B1847"/>
    <w:rsid w:val="009B194C"/>
    <w:rsid w:val="009B19BA"/>
    <w:rsid w:val="009B19D4"/>
    <w:rsid w:val="009B1A65"/>
    <w:rsid w:val="009B1B1F"/>
    <w:rsid w:val="009B1C52"/>
    <w:rsid w:val="009B1CA2"/>
    <w:rsid w:val="009B1D12"/>
    <w:rsid w:val="009B1DE5"/>
    <w:rsid w:val="009B1E6C"/>
    <w:rsid w:val="009B1E72"/>
    <w:rsid w:val="009B1EEB"/>
    <w:rsid w:val="009B1F8B"/>
    <w:rsid w:val="009B1FBD"/>
    <w:rsid w:val="009B214E"/>
    <w:rsid w:val="009B22D0"/>
    <w:rsid w:val="009B2320"/>
    <w:rsid w:val="009B24BA"/>
    <w:rsid w:val="009B2538"/>
    <w:rsid w:val="009B2588"/>
    <w:rsid w:val="009B25EA"/>
    <w:rsid w:val="009B2623"/>
    <w:rsid w:val="009B263A"/>
    <w:rsid w:val="009B273B"/>
    <w:rsid w:val="009B27A7"/>
    <w:rsid w:val="009B27BA"/>
    <w:rsid w:val="009B280E"/>
    <w:rsid w:val="009B28FA"/>
    <w:rsid w:val="009B29E4"/>
    <w:rsid w:val="009B2C4F"/>
    <w:rsid w:val="009B2CED"/>
    <w:rsid w:val="009B2CF3"/>
    <w:rsid w:val="009B2D0C"/>
    <w:rsid w:val="009B2E85"/>
    <w:rsid w:val="009B30CC"/>
    <w:rsid w:val="009B31AA"/>
    <w:rsid w:val="009B32E4"/>
    <w:rsid w:val="009B3322"/>
    <w:rsid w:val="009B340D"/>
    <w:rsid w:val="009B365F"/>
    <w:rsid w:val="009B36AB"/>
    <w:rsid w:val="009B37EE"/>
    <w:rsid w:val="009B3800"/>
    <w:rsid w:val="009B3BDA"/>
    <w:rsid w:val="009B3FAF"/>
    <w:rsid w:val="009B40CC"/>
    <w:rsid w:val="009B4138"/>
    <w:rsid w:val="009B4268"/>
    <w:rsid w:val="009B4350"/>
    <w:rsid w:val="009B444F"/>
    <w:rsid w:val="009B46F3"/>
    <w:rsid w:val="009B47F5"/>
    <w:rsid w:val="009B4967"/>
    <w:rsid w:val="009B4A14"/>
    <w:rsid w:val="009B4A9E"/>
    <w:rsid w:val="009B4AC6"/>
    <w:rsid w:val="009B4B49"/>
    <w:rsid w:val="009B4BF1"/>
    <w:rsid w:val="009B4C3B"/>
    <w:rsid w:val="009B4D19"/>
    <w:rsid w:val="009B4D38"/>
    <w:rsid w:val="009B4DE0"/>
    <w:rsid w:val="009B4DE6"/>
    <w:rsid w:val="009B4DEB"/>
    <w:rsid w:val="009B4E53"/>
    <w:rsid w:val="009B4EAC"/>
    <w:rsid w:val="009B4FB7"/>
    <w:rsid w:val="009B5014"/>
    <w:rsid w:val="009B5023"/>
    <w:rsid w:val="009B5229"/>
    <w:rsid w:val="009B52C8"/>
    <w:rsid w:val="009B53B6"/>
    <w:rsid w:val="009B5526"/>
    <w:rsid w:val="009B595F"/>
    <w:rsid w:val="009B5A40"/>
    <w:rsid w:val="009B5AAF"/>
    <w:rsid w:val="009B5B8B"/>
    <w:rsid w:val="009B5BA3"/>
    <w:rsid w:val="009B5BFE"/>
    <w:rsid w:val="009B5C79"/>
    <w:rsid w:val="009B601B"/>
    <w:rsid w:val="009B6024"/>
    <w:rsid w:val="009B6033"/>
    <w:rsid w:val="009B6150"/>
    <w:rsid w:val="009B619C"/>
    <w:rsid w:val="009B638B"/>
    <w:rsid w:val="009B64FC"/>
    <w:rsid w:val="009B653E"/>
    <w:rsid w:val="009B6551"/>
    <w:rsid w:val="009B65F7"/>
    <w:rsid w:val="009B6680"/>
    <w:rsid w:val="009B66C9"/>
    <w:rsid w:val="009B66DF"/>
    <w:rsid w:val="009B670C"/>
    <w:rsid w:val="009B6726"/>
    <w:rsid w:val="009B672E"/>
    <w:rsid w:val="009B67E6"/>
    <w:rsid w:val="009B67ED"/>
    <w:rsid w:val="009B692A"/>
    <w:rsid w:val="009B695B"/>
    <w:rsid w:val="009B69E1"/>
    <w:rsid w:val="009B6A1B"/>
    <w:rsid w:val="009B6A38"/>
    <w:rsid w:val="009B6B65"/>
    <w:rsid w:val="009B6BE3"/>
    <w:rsid w:val="009B6C24"/>
    <w:rsid w:val="009B6D4D"/>
    <w:rsid w:val="009B6D63"/>
    <w:rsid w:val="009B6EC0"/>
    <w:rsid w:val="009B70AD"/>
    <w:rsid w:val="009B7562"/>
    <w:rsid w:val="009B774B"/>
    <w:rsid w:val="009B778C"/>
    <w:rsid w:val="009B778D"/>
    <w:rsid w:val="009B7892"/>
    <w:rsid w:val="009B7A05"/>
    <w:rsid w:val="009B7A96"/>
    <w:rsid w:val="009B7B09"/>
    <w:rsid w:val="009B7B9F"/>
    <w:rsid w:val="009B7BC8"/>
    <w:rsid w:val="009B7BE9"/>
    <w:rsid w:val="009B7C4C"/>
    <w:rsid w:val="009B7CA7"/>
    <w:rsid w:val="009B7D43"/>
    <w:rsid w:val="009B7D74"/>
    <w:rsid w:val="009B7E72"/>
    <w:rsid w:val="009B7EC0"/>
    <w:rsid w:val="009B7F66"/>
    <w:rsid w:val="009C0155"/>
    <w:rsid w:val="009C058B"/>
    <w:rsid w:val="009C0838"/>
    <w:rsid w:val="009C08C2"/>
    <w:rsid w:val="009C0976"/>
    <w:rsid w:val="009C0997"/>
    <w:rsid w:val="009C0AC3"/>
    <w:rsid w:val="009C0C5B"/>
    <w:rsid w:val="009C0D33"/>
    <w:rsid w:val="009C0EC1"/>
    <w:rsid w:val="009C0ECC"/>
    <w:rsid w:val="009C0F29"/>
    <w:rsid w:val="009C1080"/>
    <w:rsid w:val="009C1091"/>
    <w:rsid w:val="009C11DA"/>
    <w:rsid w:val="009C1263"/>
    <w:rsid w:val="009C13C6"/>
    <w:rsid w:val="009C13E7"/>
    <w:rsid w:val="009C1424"/>
    <w:rsid w:val="009C14B7"/>
    <w:rsid w:val="009C1516"/>
    <w:rsid w:val="009C16B3"/>
    <w:rsid w:val="009C17CC"/>
    <w:rsid w:val="009C1886"/>
    <w:rsid w:val="009C18A6"/>
    <w:rsid w:val="009C18EC"/>
    <w:rsid w:val="009C1921"/>
    <w:rsid w:val="009C1BD5"/>
    <w:rsid w:val="009C1CB0"/>
    <w:rsid w:val="009C1CC6"/>
    <w:rsid w:val="009C2101"/>
    <w:rsid w:val="009C2133"/>
    <w:rsid w:val="009C21CF"/>
    <w:rsid w:val="009C2211"/>
    <w:rsid w:val="009C221F"/>
    <w:rsid w:val="009C23A9"/>
    <w:rsid w:val="009C23DF"/>
    <w:rsid w:val="009C23F7"/>
    <w:rsid w:val="009C2487"/>
    <w:rsid w:val="009C273E"/>
    <w:rsid w:val="009C27B2"/>
    <w:rsid w:val="009C27B8"/>
    <w:rsid w:val="009C2849"/>
    <w:rsid w:val="009C28FB"/>
    <w:rsid w:val="009C2920"/>
    <w:rsid w:val="009C2962"/>
    <w:rsid w:val="009C2997"/>
    <w:rsid w:val="009C2A81"/>
    <w:rsid w:val="009C2D56"/>
    <w:rsid w:val="009C2E0D"/>
    <w:rsid w:val="009C2E30"/>
    <w:rsid w:val="009C2E4F"/>
    <w:rsid w:val="009C2E73"/>
    <w:rsid w:val="009C2EDB"/>
    <w:rsid w:val="009C309F"/>
    <w:rsid w:val="009C31A1"/>
    <w:rsid w:val="009C3210"/>
    <w:rsid w:val="009C321C"/>
    <w:rsid w:val="009C3338"/>
    <w:rsid w:val="009C33B9"/>
    <w:rsid w:val="009C3482"/>
    <w:rsid w:val="009C34AB"/>
    <w:rsid w:val="009C359C"/>
    <w:rsid w:val="009C35D4"/>
    <w:rsid w:val="009C364A"/>
    <w:rsid w:val="009C36B0"/>
    <w:rsid w:val="009C391C"/>
    <w:rsid w:val="009C3B7A"/>
    <w:rsid w:val="009C3F91"/>
    <w:rsid w:val="009C4023"/>
    <w:rsid w:val="009C41A3"/>
    <w:rsid w:val="009C43AD"/>
    <w:rsid w:val="009C4405"/>
    <w:rsid w:val="009C440C"/>
    <w:rsid w:val="009C4449"/>
    <w:rsid w:val="009C44B0"/>
    <w:rsid w:val="009C44E7"/>
    <w:rsid w:val="009C476B"/>
    <w:rsid w:val="009C47D7"/>
    <w:rsid w:val="009C48BB"/>
    <w:rsid w:val="009C48C9"/>
    <w:rsid w:val="009C4932"/>
    <w:rsid w:val="009C494D"/>
    <w:rsid w:val="009C4CC2"/>
    <w:rsid w:val="009C4DB9"/>
    <w:rsid w:val="009C4F19"/>
    <w:rsid w:val="009C4F22"/>
    <w:rsid w:val="009C4F2D"/>
    <w:rsid w:val="009C4F65"/>
    <w:rsid w:val="009C4FC5"/>
    <w:rsid w:val="009C4FC6"/>
    <w:rsid w:val="009C4FFC"/>
    <w:rsid w:val="009C5144"/>
    <w:rsid w:val="009C52FF"/>
    <w:rsid w:val="009C533E"/>
    <w:rsid w:val="009C53B6"/>
    <w:rsid w:val="009C53E2"/>
    <w:rsid w:val="009C545F"/>
    <w:rsid w:val="009C54C7"/>
    <w:rsid w:val="009C5654"/>
    <w:rsid w:val="009C5788"/>
    <w:rsid w:val="009C5841"/>
    <w:rsid w:val="009C5873"/>
    <w:rsid w:val="009C58B3"/>
    <w:rsid w:val="009C5AF1"/>
    <w:rsid w:val="009C5C41"/>
    <w:rsid w:val="009C5C78"/>
    <w:rsid w:val="009C5CCA"/>
    <w:rsid w:val="009C5D96"/>
    <w:rsid w:val="009C5E18"/>
    <w:rsid w:val="009C5FB9"/>
    <w:rsid w:val="009C5FF6"/>
    <w:rsid w:val="009C613E"/>
    <w:rsid w:val="009C6167"/>
    <w:rsid w:val="009C6357"/>
    <w:rsid w:val="009C64F6"/>
    <w:rsid w:val="009C6597"/>
    <w:rsid w:val="009C65A2"/>
    <w:rsid w:val="009C662F"/>
    <w:rsid w:val="009C664A"/>
    <w:rsid w:val="009C6699"/>
    <w:rsid w:val="009C66B5"/>
    <w:rsid w:val="009C6866"/>
    <w:rsid w:val="009C6B0E"/>
    <w:rsid w:val="009C6D12"/>
    <w:rsid w:val="009C6E29"/>
    <w:rsid w:val="009C6EF0"/>
    <w:rsid w:val="009C6F14"/>
    <w:rsid w:val="009C6F85"/>
    <w:rsid w:val="009C6FF9"/>
    <w:rsid w:val="009C7029"/>
    <w:rsid w:val="009C7271"/>
    <w:rsid w:val="009C7534"/>
    <w:rsid w:val="009C76ED"/>
    <w:rsid w:val="009C76F5"/>
    <w:rsid w:val="009C7710"/>
    <w:rsid w:val="009C790A"/>
    <w:rsid w:val="009C7931"/>
    <w:rsid w:val="009C7A15"/>
    <w:rsid w:val="009C7BCD"/>
    <w:rsid w:val="009C7D16"/>
    <w:rsid w:val="009C7D77"/>
    <w:rsid w:val="009C7E5E"/>
    <w:rsid w:val="009D00D6"/>
    <w:rsid w:val="009D0114"/>
    <w:rsid w:val="009D019C"/>
    <w:rsid w:val="009D0269"/>
    <w:rsid w:val="009D02AD"/>
    <w:rsid w:val="009D02F0"/>
    <w:rsid w:val="009D03C7"/>
    <w:rsid w:val="009D0499"/>
    <w:rsid w:val="009D06E5"/>
    <w:rsid w:val="009D0980"/>
    <w:rsid w:val="009D0A9D"/>
    <w:rsid w:val="009D0DDE"/>
    <w:rsid w:val="009D0DF0"/>
    <w:rsid w:val="009D0E57"/>
    <w:rsid w:val="009D0EF8"/>
    <w:rsid w:val="009D0FDA"/>
    <w:rsid w:val="009D1102"/>
    <w:rsid w:val="009D1169"/>
    <w:rsid w:val="009D11F7"/>
    <w:rsid w:val="009D1238"/>
    <w:rsid w:val="009D151B"/>
    <w:rsid w:val="009D1593"/>
    <w:rsid w:val="009D1599"/>
    <w:rsid w:val="009D165D"/>
    <w:rsid w:val="009D16D7"/>
    <w:rsid w:val="009D1843"/>
    <w:rsid w:val="009D18D8"/>
    <w:rsid w:val="009D195A"/>
    <w:rsid w:val="009D1967"/>
    <w:rsid w:val="009D1DE1"/>
    <w:rsid w:val="009D20BE"/>
    <w:rsid w:val="009D20E9"/>
    <w:rsid w:val="009D221D"/>
    <w:rsid w:val="009D2226"/>
    <w:rsid w:val="009D2271"/>
    <w:rsid w:val="009D2346"/>
    <w:rsid w:val="009D2365"/>
    <w:rsid w:val="009D2492"/>
    <w:rsid w:val="009D25DB"/>
    <w:rsid w:val="009D2714"/>
    <w:rsid w:val="009D2B61"/>
    <w:rsid w:val="009D2C88"/>
    <w:rsid w:val="009D30B6"/>
    <w:rsid w:val="009D30FB"/>
    <w:rsid w:val="009D3157"/>
    <w:rsid w:val="009D317E"/>
    <w:rsid w:val="009D3314"/>
    <w:rsid w:val="009D33B4"/>
    <w:rsid w:val="009D33FB"/>
    <w:rsid w:val="009D344B"/>
    <w:rsid w:val="009D345A"/>
    <w:rsid w:val="009D3537"/>
    <w:rsid w:val="009D3569"/>
    <w:rsid w:val="009D385B"/>
    <w:rsid w:val="009D38E5"/>
    <w:rsid w:val="009D3A0B"/>
    <w:rsid w:val="009D3A64"/>
    <w:rsid w:val="009D3CA8"/>
    <w:rsid w:val="009D3D65"/>
    <w:rsid w:val="009D3DF2"/>
    <w:rsid w:val="009D3ED6"/>
    <w:rsid w:val="009D3FB2"/>
    <w:rsid w:val="009D406C"/>
    <w:rsid w:val="009D414E"/>
    <w:rsid w:val="009D41B4"/>
    <w:rsid w:val="009D437B"/>
    <w:rsid w:val="009D43A0"/>
    <w:rsid w:val="009D43A6"/>
    <w:rsid w:val="009D43F3"/>
    <w:rsid w:val="009D444C"/>
    <w:rsid w:val="009D44C3"/>
    <w:rsid w:val="009D4523"/>
    <w:rsid w:val="009D455F"/>
    <w:rsid w:val="009D46F1"/>
    <w:rsid w:val="009D4779"/>
    <w:rsid w:val="009D4871"/>
    <w:rsid w:val="009D48D0"/>
    <w:rsid w:val="009D4A5E"/>
    <w:rsid w:val="009D4B02"/>
    <w:rsid w:val="009D4C2B"/>
    <w:rsid w:val="009D4CB0"/>
    <w:rsid w:val="009D4D27"/>
    <w:rsid w:val="009D4E44"/>
    <w:rsid w:val="009D4FA9"/>
    <w:rsid w:val="009D4FB9"/>
    <w:rsid w:val="009D519E"/>
    <w:rsid w:val="009D521F"/>
    <w:rsid w:val="009D5227"/>
    <w:rsid w:val="009D52A7"/>
    <w:rsid w:val="009D52F3"/>
    <w:rsid w:val="009D5326"/>
    <w:rsid w:val="009D59DC"/>
    <w:rsid w:val="009D5A6C"/>
    <w:rsid w:val="009D5BA3"/>
    <w:rsid w:val="009D5BA5"/>
    <w:rsid w:val="009D5C34"/>
    <w:rsid w:val="009D5CDE"/>
    <w:rsid w:val="009D5E6A"/>
    <w:rsid w:val="009D5E8D"/>
    <w:rsid w:val="009D5F3E"/>
    <w:rsid w:val="009D5F53"/>
    <w:rsid w:val="009D5FAF"/>
    <w:rsid w:val="009D6001"/>
    <w:rsid w:val="009D60CF"/>
    <w:rsid w:val="009D61BE"/>
    <w:rsid w:val="009D61C3"/>
    <w:rsid w:val="009D62B8"/>
    <w:rsid w:val="009D637A"/>
    <w:rsid w:val="009D65E2"/>
    <w:rsid w:val="009D65F8"/>
    <w:rsid w:val="009D669F"/>
    <w:rsid w:val="009D6706"/>
    <w:rsid w:val="009D6922"/>
    <w:rsid w:val="009D6B65"/>
    <w:rsid w:val="009D6B70"/>
    <w:rsid w:val="009D6DEB"/>
    <w:rsid w:val="009D6EBA"/>
    <w:rsid w:val="009D6EBE"/>
    <w:rsid w:val="009D7033"/>
    <w:rsid w:val="009D70E5"/>
    <w:rsid w:val="009D71DA"/>
    <w:rsid w:val="009D7253"/>
    <w:rsid w:val="009D727E"/>
    <w:rsid w:val="009D7348"/>
    <w:rsid w:val="009D7364"/>
    <w:rsid w:val="009D740D"/>
    <w:rsid w:val="009D7426"/>
    <w:rsid w:val="009D7492"/>
    <w:rsid w:val="009D74AB"/>
    <w:rsid w:val="009D7605"/>
    <w:rsid w:val="009D76E5"/>
    <w:rsid w:val="009D781B"/>
    <w:rsid w:val="009D78AF"/>
    <w:rsid w:val="009D7A00"/>
    <w:rsid w:val="009D7BFC"/>
    <w:rsid w:val="009D7D59"/>
    <w:rsid w:val="009D7E4B"/>
    <w:rsid w:val="009D7E66"/>
    <w:rsid w:val="009E006E"/>
    <w:rsid w:val="009E009F"/>
    <w:rsid w:val="009E00A7"/>
    <w:rsid w:val="009E030B"/>
    <w:rsid w:val="009E041B"/>
    <w:rsid w:val="009E0496"/>
    <w:rsid w:val="009E071F"/>
    <w:rsid w:val="009E0829"/>
    <w:rsid w:val="009E0861"/>
    <w:rsid w:val="009E0866"/>
    <w:rsid w:val="009E08B5"/>
    <w:rsid w:val="009E08E8"/>
    <w:rsid w:val="009E09BC"/>
    <w:rsid w:val="009E09ED"/>
    <w:rsid w:val="009E0B8F"/>
    <w:rsid w:val="009E0C99"/>
    <w:rsid w:val="009E0D4B"/>
    <w:rsid w:val="009E0D5D"/>
    <w:rsid w:val="009E0DC1"/>
    <w:rsid w:val="009E10BC"/>
    <w:rsid w:val="009E1158"/>
    <w:rsid w:val="009E1206"/>
    <w:rsid w:val="009E12B5"/>
    <w:rsid w:val="009E12C6"/>
    <w:rsid w:val="009E144C"/>
    <w:rsid w:val="009E144D"/>
    <w:rsid w:val="009E1579"/>
    <w:rsid w:val="009E15D2"/>
    <w:rsid w:val="009E16A1"/>
    <w:rsid w:val="009E16CA"/>
    <w:rsid w:val="009E1999"/>
    <w:rsid w:val="009E1BF0"/>
    <w:rsid w:val="009E1D87"/>
    <w:rsid w:val="009E1DE9"/>
    <w:rsid w:val="009E1E10"/>
    <w:rsid w:val="009E21AE"/>
    <w:rsid w:val="009E224E"/>
    <w:rsid w:val="009E22A4"/>
    <w:rsid w:val="009E22AA"/>
    <w:rsid w:val="009E22F8"/>
    <w:rsid w:val="009E243F"/>
    <w:rsid w:val="009E258E"/>
    <w:rsid w:val="009E275B"/>
    <w:rsid w:val="009E278A"/>
    <w:rsid w:val="009E280F"/>
    <w:rsid w:val="009E2908"/>
    <w:rsid w:val="009E297B"/>
    <w:rsid w:val="009E29FA"/>
    <w:rsid w:val="009E2B64"/>
    <w:rsid w:val="009E2C5D"/>
    <w:rsid w:val="009E2CA3"/>
    <w:rsid w:val="009E2CA5"/>
    <w:rsid w:val="009E2D4D"/>
    <w:rsid w:val="009E2F5C"/>
    <w:rsid w:val="009E3251"/>
    <w:rsid w:val="009E33AF"/>
    <w:rsid w:val="009E3520"/>
    <w:rsid w:val="009E36BB"/>
    <w:rsid w:val="009E3867"/>
    <w:rsid w:val="009E38AD"/>
    <w:rsid w:val="009E38FB"/>
    <w:rsid w:val="009E3928"/>
    <w:rsid w:val="009E3A41"/>
    <w:rsid w:val="009E3A46"/>
    <w:rsid w:val="009E3A6E"/>
    <w:rsid w:val="009E3B11"/>
    <w:rsid w:val="009E3DB6"/>
    <w:rsid w:val="009E3EBA"/>
    <w:rsid w:val="009E3EC0"/>
    <w:rsid w:val="009E3EFE"/>
    <w:rsid w:val="009E3F19"/>
    <w:rsid w:val="009E401D"/>
    <w:rsid w:val="009E4180"/>
    <w:rsid w:val="009E418C"/>
    <w:rsid w:val="009E420F"/>
    <w:rsid w:val="009E4239"/>
    <w:rsid w:val="009E4392"/>
    <w:rsid w:val="009E4478"/>
    <w:rsid w:val="009E4646"/>
    <w:rsid w:val="009E487E"/>
    <w:rsid w:val="009E48C8"/>
    <w:rsid w:val="009E49E7"/>
    <w:rsid w:val="009E4A93"/>
    <w:rsid w:val="009E4BE9"/>
    <w:rsid w:val="009E4C60"/>
    <w:rsid w:val="009E4DED"/>
    <w:rsid w:val="009E5190"/>
    <w:rsid w:val="009E5256"/>
    <w:rsid w:val="009E52B1"/>
    <w:rsid w:val="009E5327"/>
    <w:rsid w:val="009E53C6"/>
    <w:rsid w:val="009E54CD"/>
    <w:rsid w:val="009E562C"/>
    <w:rsid w:val="009E5657"/>
    <w:rsid w:val="009E573B"/>
    <w:rsid w:val="009E5746"/>
    <w:rsid w:val="009E57DE"/>
    <w:rsid w:val="009E5895"/>
    <w:rsid w:val="009E59B5"/>
    <w:rsid w:val="009E5CB2"/>
    <w:rsid w:val="009E5F47"/>
    <w:rsid w:val="009E612D"/>
    <w:rsid w:val="009E6211"/>
    <w:rsid w:val="009E625B"/>
    <w:rsid w:val="009E6275"/>
    <w:rsid w:val="009E6297"/>
    <w:rsid w:val="009E629B"/>
    <w:rsid w:val="009E62FA"/>
    <w:rsid w:val="009E6315"/>
    <w:rsid w:val="009E6325"/>
    <w:rsid w:val="009E63E1"/>
    <w:rsid w:val="009E6443"/>
    <w:rsid w:val="009E65DF"/>
    <w:rsid w:val="009E66BE"/>
    <w:rsid w:val="009E66D1"/>
    <w:rsid w:val="009E677D"/>
    <w:rsid w:val="009E6894"/>
    <w:rsid w:val="009E6976"/>
    <w:rsid w:val="009E69DC"/>
    <w:rsid w:val="009E6AB6"/>
    <w:rsid w:val="009E6B41"/>
    <w:rsid w:val="009E6C6C"/>
    <w:rsid w:val="009E6C80"/>
    <w:rsid w:val="009E6D37"/>
    <w:rsid w:val="009E6E94"/>
    <w:rsid w:val="009E6F03"/>
    <w:rsid w:val="009E6F91"/>
    <w:rsid w:val="009E71E8"/>
    <w:rsid w:val="009E722D"/>
    <w:rsid w:val="009E7329"/>
    <w:rsid w:val="009E7346"/>
    <w:rsid w:val="009E73D3"/>
    <w:rsid w:val="009E743E"/>
    <w:rsid w:val="009E76F2"/>
    <w:rsid w:val="009E77E8"/>
    <w:rsid w:val="009E7852"/>
    <w:rsid w:val="009E78C1"/>
    <w:rsid w:val="009E7990"/>
    <w:rsid w:val="009E7B03"/>
    <w:rsid w:val="009E7B94"/>
    <w:rsid w:val="009E7CDF"/>
    <w:rsid w:val="009E7E96"/>
    <w:rsid w:val="009F003E"/>
    <w:rsid w:val="009F026D"/>
    <w:rsid w:val="009F0343"/>
    <w:rsid w:val="009F0372"/>
    <w:rsid w:val="009F04C8"/>
    <w:rsid w:val="009F0596"/>
    <w:rsid w:val="009F05A7"/>
    <w:rsid w:val="009F0715"/>
    <w:rsid w:val="009F0782"/>
    <w:rsid w:val="009F079C"/>
    <w:rsid w:val="009F07CE"/>
    <w:rsid w:val="009F08A7"/>
    <w:rsid w:val="009F0975"/>
    <w:rsid w:val="009F0C17"/>
    <w:rsid w:val="009F0C76"/>
    <w:rsid w:val="009F0C7B"/>
    <w:rsid w:val="009F0D4A"/>
    <w:rsid w:val="009F0DB3"/>
    <w:rsid w:val="009F0E14"/>
    <w:rsid w:val="009F0F16"/>
    <w:rsid w:val="009F0FE8"/>
    <w:rsid w:val="009F1083"/>
    <w:rsid w:val="009F10BD"/>
    <w:rsid w:val="009F1182"/>
    <w:rsid w:val="009F1198"/>
    <w:rsid w:val="009F123E"/>
    <w:rsid w:val="009F1432"/>
    <w:rsid w:val="009F15B4"/>
    <w:rsid w:val="009F15CF"/>
    <w:rsid w:val="009F15D9"/>
    <w:rsid w:val="009F167A"/>
    <w:rsid w:val="009F177A"/>
    <w:rsid w:val="009F17A2"/>
    <w:rsid w:val="009F1A06"/>
    <w:rsid w:val="009F1B6F"/>
    <w:rsid w:val="009F1CD1"/>
    <w:rsid w:val="009F1FF0"/>
    <w:rsid w:val="009F2024"/>
    <w:rsid w:val="009F20BA"/>
    <w:rsid w:val="009F20F3"/>
    <w:rsid w:val="009F2184"/>
    <w:rsid w:val="009F21A2"/>
    <w:rsid w:val="009F23D5"/>
    <w:rsid w:val="009F2548"/>
    <w:rsid w:val="009F25C7"/>
    <w:rsid w:val="009F25D7"/>
    <w:rsid w:val="009F274E"/>
    <w:rsid w:val="009F2820"/>
    <w:rsid w:val="009F28DB"/>
    <w:rsid w:val="009F2A90"/>
    <w:rsid w:val="009F2BBE"/>
    <w:rsid w:val="009F2C12"/>
    <w:rsid w:val="009F2C65"/>
    <w:rsid w:val="009F2CC3"/>
    <w:rsid w:val="009F2D2B"/>
    <w:rsid w:val="009F2DAD"/>
    <w:rsid w:val="009F2DC9"/>
    <w:rsid w:val="009F2E91"/>
    <w:rsid w:val="009F2FCA"/>
    <w:rsid w:val="009F3042"/>
    <w:rsid w:val="009F30BF"/>
    <w:rsid w:val="009F3107"/>
    <w:rsid w:val="009F318C"/>
    <w:rsid w:val="009F322D"/>
    <w:rsid w:val="009F3281"/>
    <w:rsid w:val="009F337E"/>
    <w:rsid w:val="009F339B"/>
    <w:rsid w:val="009F34C5"/>
    <w:rsid w:val="009F3507"/>
    <w:rsid w:val="009F35AE"/>
    <w:rsid w:val="009F35DC"/>
    <w:rsid w:val="009F3665"/>
    <w:rsid w:val="009F36A8"/>
    <w:rsid w:val="009F36FD"/>
    <w:rsid w:val="009F37A5"/>
    <w:rsid w:val="009F37D6"/>
    <w:rsid w:val="009F3857"/>
    <w:rsid w:val="009F39E7"/>
    <w:rsid w:val="009F39EC"/>
    <w:rsid w:val="009F3DCE"/>
    <w:rsid w:val="009F3DF9"/>
    <w:rsid w:val="009F3E2D"/>
    <w:rsid w:val="009F3FFE"/>
    <w:rsid w:val="009F4015"/>
    <w:rsid w:val="009F410A"/>
    <w:rsid w:val="009F412B"/>
    <w:rsid w:val="009F42C5"/>
    <w:rsid w:val="009F444C"/>
    <w:rsid w:val="009F451B"/>
    <w:rsid w:val="009F45C0"/>
    <w:rsid w:val="009F4670"/>
    <w:rsid w:val="009F4734"/>
    <w:rsid w:val="009F4736"/>
    <w:rsid w:val="009F480F"/>
    <w:rsid w:val="009F498F"/>
    <w:rsid w:val="009F4A11"/>
    <w:rsid w:val="009F4A41"/>
    <w:rsid w:val="009F4BB3"/>
    <w:rsid w:val="009F4CAC"/>
    <w:rsid w:val="009F4D15"/>
    <w:rsid w:val="009F4D29"/>
    <w:rsid w:val="009F4FD8"/>
    <w:rsid w:val="009F5193"/>
    <w:rsid w:val="009F5290"/>
    <w:rsid w:val="009F53ED"/>
    <w:rsid w:val="009F5410"/>
    <w:rsid w:val="009F541B"/>
    <w:rsid w:val="009F543E"/>
    <w:rsid w:val="009F5479"/>
    <w:rsid w:val="009F5484"/>
    <w:rsid w:val="009F554F"/>
    <w:rsid w:val="009F573F"/>
    <w:rsid w:val="009F584D"/>
    <w:rsid w:val="009F59C6"/>
    <w:rsid w:val="009F59F2"/>
    <w:rsid w:val="009F5A20"/>
    <w:rsid w:val="009F5BCB"/>
    <w:rsid w:val="009F5C31"/>
    <w:rsid w:val="009F5EDB"/>
    <w:rsid w:val="009F5FDA"/>
    <w:rsid w:val="009F6002"/>
    <w:rsid w:val="009F6188"/>
    <w:rsid w:val="009F6208"/>
    <w:rsid w:val="009F63EA"/>
    <w:rsid w:val="009F6404"/>
    <w:rsid w:val="009F6565"/>
    <w:rsid w:val="009F665D"/>
    <w:rsid w:val="009F6677"/>
    <w:rsid w:val="009F6749"/>
    <w:rsid w:val="009F6880"/>
    <w:rsid w:val="009F68E5"/>
    <w:rsid w:val="009F693A"/>
    <w:rsid w:val="009F694A"/>
    <w:rsid w:val="009F69F3"/>
    <w:rsid w:val="009F6A7F"/>
    <w:rsid w:val="009F6C79"/>
    <w:rsid w:val="009F6CA2"/>
    <w:rsid w:val="009F6DD5"/>
    <w:rsid w:val="009F6E73"/>
    <w:rsid w:val="009F6ED0"/>
    <w:rsid w:val="009F6F60"/>
    <w:rsid w:val="009F6FD0"/>
    <w:rsid w:val="009F6FDE"/>
    <w:rsid w:val="009F7017"/>
    <w:rsid w:val="009F7092"/>
    <w:rsid w:val="009F70A1"/>
    <w:rsid w:val="009F7127"/>
    <w:rsid w:val="009F71E1"/>
    <w:rsid w:val="009F723B"/>
    <w:rsid w:val="009F74E1"/>
    <w:rsid w:val="009F7544"/>
    <w:rsid w:val="009F766E"/>
    <w:rsid w:val="009F7874"/>
    <w:rsid w:val="009F78D5"/>
    <w:rsid w:val="009F79B1"/>
    <w:rsid w:val="009F7A31"/>
    <w:rsid w:val="009F7A5E"/>
    <w:rsid w:val="009F7B98"/>
    <w:rsid w:val="009F7BC2"/>
    <w:rsid w:val="009F7C0A"/>
    <w:rsid w:val="009F7C34"/>
    <w:rsid w:val="009F7C4B"/>
    <w:rsid w:val="009F7CCD"/>
    <w:rsid w:val="009F7D95"/>
    <w:rsid w:val="009F7DAA"/>
    <w:rsid w:val="009F7E0A"/>
    <w:rsid w:val="009F7E3F"/>
    <w:rsid w:val="009F7E7A"/>
    <w:rsid w:val="009F7F0D"/>
    <w:rsid w:val="009F7FE3"/>
    <w:rsid w:val="00A0000C"/>
    <w:rsid w:val="00A0004E"/>
    <w:rsid w:val="00A000EE"/>
    <w:rsid w:val="00A0012F"/>
    <w:rsid w:val="00A00139"/>
    <w:rsid w:val="00A00376"/>
    <w:rsid w:val="00A00393"/>
    <w:rsid w:val="00A003FE"/>
    <w:rsid w:val="00A0042E"/>
    <w:rsid w:val="00A0049D"/>
    <w:rsid w:val="00A00645"/>
    <w:rsid w:val="00A006E2"/>
    <w:rsid w:val="00A00727"/>
    <w:rsid w:val="00A00744"/>
    <w:rsid w:val="00A0078A"/>
    <w:rsid w:val="00A007E2"/>
    <w:rsid w:val="00A0081F"/>
    <w:rsid w:val="00A008CB"/>
    <w:rsid w:val="00A009E9"/>
    <w:rsid w:val="00A00B24"/>
    <w:rsid w:val="00A00C18"/>
    <w:rsid w:val="00A00C66"/>
    <w:rsid w:val="00A00D0D"/>
    <w:rsid w:val="00A00E27"/>
    <w:rsid w:val="00A0107C"/>
    <w:rsid w:val="00A010B1"/>
    <w:rsid w:val="00A012FE"/>
    <w:rsid w:val="00A01313"/>
    <w:rsid w:val="00A0132B"/>
    <w:rsid w:val="00A0140D"/>
    <w:rsid w:val="00A01410"/>
    <w:rsid w:val="00A014F3"/>
    <w:rsid w:val="00A0151A"/>
    <w:rsid w:val="00A01540"/>
    <w:rsid w:val="00A01642"/>
    <w:rsid w:val="00A0169C"/>
    <w:rsid w:val="00A01723"/>
    <w:rsid w:val="00A0182E"/>
    <w:rsid w:val="00A01869"/>
    <w:rsid w:val="00A01929"/>
    <w:rsid w:val="00A01935"/>
    <w:rsid w:val="00A01AA9"/>
    <w:rsid w:val="00A01AFD"/>
    <w:rsid w:val="00A01BDA"/>
    <w:rsid w:val="00A01C02"/>
    <w:rsid w:val="00A01CAE"/>
    <w:rsid w:val="00A01D16"/>
    <w:rsid w:val="00A01D55"/>
    <w:rsid w:val="00A01E20"/>
    <w:rsid w:val="00A01E90"/>
    <w:rsid w:val="00A01FF1"/>
    <w:rsid w:val="00A02087"/>
    <w:rsid w:val="00A020BF"/>
    <w:rsid w:val="00A02153"/>
    <w:rsid w:val="00A022B1"/>
    <w:rsid w:val="00A024A7"/>
    <w:rsid w:val="00A024C0"/>
    <w:rsid w:val="00A025AD"/>
    <w:rsid w:val="00A02615"/>
    <w:rsid w:val="00A0266B"/>
    <w:rsid w:val="00A026A6"/>
    <w:rsid w:val="00A02724"/>
    <w:rsid w:val="00A027CE"/>
    <w:rsid w:val="00A028C8"/>
    <w:rsid w:val="00A028D5"/>
    <w:rsid w:val="00A02A20"/>
    <w:rsid w:val="00A02B51"/>
    <w:rsid w:val="00A02E8E"/>
    <w:rsid w:val="00A02EAC"/>
    <w:rsid w:val="00A03081"/>
    <w:rsid w:val="00A0318A"/>
    <w:rsid w:val="00A031C6"/>
    <w:rsid w:val="00A03454"/>
    <w:rsid w:val="00A034E6"/>
    <w:rsid w:val="00A03633"/>
    <w:rsid w:val="00A03680"/>
    <w:rsid w:val="00A036C4"/>
    <w:rsid w:val="00A039BA"/>
    <w:rsid w:val="00A03AD0"/>
    <w:rsid w:val="00A03D9D"/>
    <w:rsid w:val="00A03DA2"/>
    <w:rsid w:val="00A03E32"/>
    <w:rsid w:val="00A03E6E"/>
    <w:rsid w:val="00A03F6A"/>
    <w:rsid w:val="00A03F8A"/>
    <w:rsid w:val="00A041A2"/>
    <w:rsid w:val="00A04384"/>
    <w:rsid w:val="00A043DD"/>
    <w:rsid w:val="00A04469"/>
    <w:rsid w:val="00A044B5"/>
    <w:rsid w:val="00A04562"/>
    <w:rsid w:val="00A04580"/>
    <w:rsid w:val="00A045E7"/>
    <w:rsid w:val="00A046DC"/>
    <w:rsid w:val="00A0475B"/>
    <w:rsid w:val="00A04ACF"/>
    <w:rsid w:val="00A04D91"/>
    <w:rsid w:val="00A04E83"/>
    <w:rsid w:val="00A04E89"/>
    <w:rsid w:val="00A04F74"/>
    <w:rsid w:val="00A04FB6"/>
    <w:rsid w:val="00A04FE0"/>
    <w:rsid w:val="00A0508E"/>
    <w:rsid w:val="00A05091"/>
    <w:rsid w:val="00A050B3"/>
    <w:rsid w:val="00A050EC"/>
    <w:rsid w:val="00A051B7"/>
    <w:rsid w:val="00A05637"/>
    <w:rsid w:val="00A05780"/>
    <w:rsid w:val="00A057B8"/>
    <w:rsid w:val="00A058D0"/>
    <w:rsid w:val="00A059EE"/>
    <w:rsid w:val="00A05A19"/>
    <w:rsid w:val="00A05A3E"/>
    <w:rsid w:val="00A05A64"/>
    <w:rsid w:val="00A05AE7"/>
    <w:rsid w:val="00A05B47"/>
    <w:rsid w:val="00A05C1F"/>
    <w:rsid w:val="00A05E78"/>
    <w:rsid w:val="00A06082"/>
    <w:rsid w:val="00A06190"/>
    <w:rsid w:val="00A0622F"/>
    <w:rsid w:val="00A06351"/>
    <w:rsid w:val="00A06352"/>
    <w:rsid w:val="00A065AE"/>
    <w:rsid w:val="00A06654"/>
    <w:rsid w:val="00A0680D"/>
    <w:rsid w:val="00A06895"/>
    <w:rsid w:val="00A068E2"/>
    <w:rsid w:val="00A069E2"/>
    <w:rsid w:val="00A06C3A"/>
    <w:rsid w:val="00A06D4E"/>
    <w:rsid w:val="00A06F0B"/>
    <w:rsid w:val="00A06FFF"/>
    <w:rsid w:val="00A070A3"/>
    <w:rsid w:val="00A070B5"/>
    <w:rsid w:val="00A070CF"/>
    <w:rsid w:val="00A0726B"/>
    <w:rsid w:val="00A072C9"/>
    <w:rsid w:val="00A0740E"/>
    <w:rsid w:val="00A0749F"/>
    <w:rsid w:val="00A074FA"/>
    <w:rsid w:val="00A07629"/>
    <w:rsid w:val="00A076BD"/>
    <w:rsid w:val="00A07748"/>
    <w:rsid w:val="00A0778A"/>
    <w:rsid w:val="00A07919"/>
    <w:rsid w:val="00A07AF3"/>
    <w:rsid w:val="00A07B33"/>
    <w:rsid w:val="00A07BDE"/>
    <w:rsid w:val="00A07CAE"/>
    <w:rsid w:val="00A07CCB"/>
    <w:rsid w:val="00A07CDF"/>
    <w:rsid w:val="00A07EAB"/>
    <w:rsid w:val="00A07F16"/>
    <w:rsid w:val="00A07FDF"/>
    <w:rsid w:val="00A100C4"/>
    <w:rsid w:val="00A10129"/>
    <w:rsid w:val="00A10154"/>
    <w:rsid w:val="00A101F1"/>
    <w:rsid w:val="00A104F6"/>
    <w:rsid w:val="00A1063A"/>
    <w:rsid w:val="00A106F1"/>
    <w:rsid w:val="00A1072B"/>
    <w:rsid w:val="00A108EC"/>
    <w:rsid w:val="00A10B3C"/>
    <w:rsid w:val="00A10D75"/>
    <w:rsid w:val="00A10F4C"/>
    <w:rsid w:val="00A10F8A"/>
    <w:rsid w:val="00A110BC"/>
    <w:rsid w:val="00A11101"/>
    <w:rsid w:val="00A11123"/>
    <w:rsid w:val="00A112FB"/>
    <w:rsid w:val="00A112FC"/>
    <w:rsid w:val="00A11314"/>
    <w:rsid w:val="00A1132C"/>
    <w:rsid w:val="00A113A5"/>
    <w:rsid w:val="00A1146C"/>
    <w:rsid w:val="00A114D2"/>
    <w:rsid w:val="00A11719"/>
    <w:rsid w:val="00A1178B"/>
    <w:rsid w:val="00A118F2"/>
    <w:rsid w:val="00A118F5"/>
    <w:rsid w:val="00A119A3"/>
    <w:rsid w:val="00A11A8C"/>
    <w:rsid w:val="00A11ADA"/>
    <w:rsid w:val="00A11B0A"/>
    <w:rsid w:val="00A11C6F"/>
    <w:rsid w:val="00A11CCD"/>
    <w:rsid w:val="00A11D6A"/>
    <w:rsid w:val="00A11DDD"/>
    <w:rsid w:val="00A1217F"/>
    <w:rsid w:val="00A12196"/>
    <w:rsid w:val="00A121BA"/>
    <w:rsid w:val="00A12251"/>
    <w:rsid w:val="00A122E9"/>
    <w:rsid w:val="00A12341"/>
    <w:rsid w:val="00A12350"/>
    <w:rsid w:val="00A12594"/>
    <w:rsid w:val="00A12845"/>
    <w:rsid w:val="00A12903"/>
    <w:rsid w:val="00A1297C"/>
    <w:rsid w:val="00A12B6A"/>
    <w:rsid w:val="00A12B98"/>
    <w:rsid w:val="00A12D53"/>
    <w:rsid w:val="00A12D55"/>
    <w:rsid w:val="00A12D93"/>
    <w:rsid w:val="00A12DFB"/>
    <w:rsid w:val="00A1304E"/>
    <w:rsid w:val="00A130B5"/>
    <w:rsid w:val="00A133D4"/>
    <w:rsid w:val="00A1355D"/>
    <w:rsid w:val="00A1355F"/>
    <w:rsid w:val="00A1375C"/>
    <w:rsid w:val="00A138D3"/>
    <w:rsid w:val="00A13984"/>
    <w:rsid w:val="00A13A40"/>
    <w:rsid w:val="00A13BC2"/>
    <w:rsid w:val="00A13C1A"/>
    <w:rsid w:val="00A13CCA"/>
    <w:rsid w:val="00A13E20"/>
    <w:rsid w:val="00A13E4E"/>
    <w:rsid w:val="00A13E76"/>
    <w:rsid w:val="00A13E87"/>
    <w:rsid w:val="00A13EB7"/>
    <w:rsid w:val="00A13FF4"/>
    <w:rsid w:val="00A14000"/>
    <w:rsid w:val="00A140AB"/>
    <w:rsid w:val="00A14126"/>
    <w:rsid w:val="00A14128"/>
    <w:rsid w:val="00A1434B"/>
    <w:rsid w:val="00A14360"/>
    <w:rsid w:val="00A14425"/>
    <w:rsid w:val="00A145FF"/>
    <w:rsid w:val="00A1466E"/>
    <w:rsid w:val="00A1466F"/>
    <w:rsid w:val="00A146BD"/>
    <w:rsid w:val="00A147B9"/>
    <w:rsid w:val="00A147CE"/>
    <w:rsid w:val="00A147DF"/>
    <w:rsid w:val="00A14853"/>
    <w:rsid w:val="00A14858"/>
    <w:rsid w:val="00A14982"/>
    <w:rsid w:val="00A149A2"/>
    <w:rsid w:val="00A14A6E"/>
    <w:rsid w:val="00A14B28"/>
    <w:rsid w:val="00A14B77"/>
    <w:rsid w:val="00A14BDC"/>
    <w:rsid w:val="00A14C1F"/>
    <w:rsid w:val="00A14C53"/>
    <w:rsid w:val="00A14C5A"/>
    <w:rsid w:val="00A14D01"/>
    <w:rsid w:val="00A14D7E"/>
    <w:rsid w:val="00A14F01"/>
    <w:rsid w:val="00A15073"/>
    <w:rsid w:val="00A15114"/>
    <w:rsid w:val="00A151B1"/>
    <w:rsid w:val="00A151C4"/>
    <w:rsid w:val="00A152A3"/>
    <w:rsid w:val="00A15508"/>
    <w:rsid w:val="00A1560F"/>
    <w:rsid w:val="00A157A3"/>
    <w:rsid w:val="00A15828"/>
    <w:rsid w:val="00A1587D"/>
    <w:rsid w:val="00A158D4"/>
    <w:rsid w:val="00A159C5"/>
    <w:rsid w:val="00A15AF0"/>
    <w:rsid w:val="00A15BE7"/>
    <w:rsid w:val="00A15CB5"/>
    <w:rsid w:val="00A15D8D"/>
    <w:rsid w:val="00A15EAD"/>
    <w:rsid w:val="00A15EB2"/>
    <w:rsid w:val="00A15F3D"/>
    <w:rsid w:val="00A15F4D"/>
    <w:rsid w:val="00A15FF0"/>
    <w:rsid w:val="00A16028"/>
    <w:rsid w:val="00A160BE"/>
    <w:rsid w:val="00A160FC"/>
    <w:rsid w:val="00A161C3"/>
    <w:rsid w:val="00A16463"/>
    <w:rsid w:val="00A16522"/>
    <w:rsid w:val="00A16AA4"/>
    <w:rsid w:val="00A16BA2"/>
    <w:rsid w:val="00A16DDD"/>
    <w:rsid w:val="00A16E03"/>
    <w:rsid w:val="00A16EE7"/>
    <w:rsid w:val="00A16EF2"/>
    <w:rsid w:val="00A16F0E"/>
    <w:rsid w:val="00A16F74"/>
    <w:rsid w:val="00A17235"/>
    <w:rsid w:val="00A17316"/>
    <w:rsid w:val="00A173AC"/>
    <w:rsid w:val="00A17522"/>
    <w:rsid w:val="00A1753F"/>
    <w:rsid w:val="00A17678"/>
    <w:rsid w:val="00A1776F"/>
    <w:rsid w:val="00A177C1"/>
    <w:rsid w:val="00A17842"/>
    <w:rsid w:val="00A17879"/>
    <w:rsid w:val="00A17A02"/>
    <w:rsid w:val="00A17A54"/>
    <w:rsid w:val="00A17B38"/>
    <w:rsid w:val="00A17F83"/>
    <w:rsid w:val="00A17FDF"/>
    <w:rsid w:val="00A20231"/>
    <w:rsid w:val="00A20543"/>
    <w:rsid w:val="00A20564"/>
    <w:rsid w:val="00A20565"/>
    <w:rsid w:val="00A20714"/>
    <w:rsid w:val="00A20945"/>
    <w:rsid w:val="00A20A10"/>
    <w:rsid w:val="00A20AAF"/>
    <w:rsid w:val="00A20AE2"/>
    <w:rsid w:val="00A20B58"/>
    <w:rsid w:val="00A20D90"/>
    <w:rsid w:val="00A20EB4"/>
    <w:rsid w:val="00A20F06"/>
    <w:rsid w:val="00A20FD6"/>
    <w:rsid w:val="00A21029"/>
    <w:rsid w:val="00A210D0"/>
    <w:rsid w:val="00A210D5"/>
    <w:rsid w:val="00A2116E"/>
    <w:rsid w:val="00A211C3"/>
    <w:rsid w:val="00A21680"/>
    <w:rsid w:val="00A21715"/>
    <w:rsid w:val="00A217A1"/>
    <w:rsid w:val="00A217C9"/>
    <w:rsid w:val="00A217E8"/>
    <w:rsid w:val="00A217F6"/>
    <w:rsid w:val="00A2192D"/>
    <w:rsid w:val="00A219A8"/>
    <w:rsid w:val="00A21ABD"/>
    <w:rsid w:val="00A21C74"/>
    <w:rsid w:val="00A21D2D"/>
    <w:rsid w:val="00A21D78"/>
    <w:rsid w:val="00A222BC"/>
    <w:rsid w:val="00A222C2"/>
    <w:rsid w:val="00A2238E"/>
    <w:rsid w:val="00A223A9"/>
    <w:rsid w:val="00A22498"/>
    <w:rsid w:val="00A224C0"/>
    <w:rsid w:val="00A2259A"/>
    <w:rsid w:val="00A226CF"/>
    <w:rsid w:val="00A226DD"/>
    <w:rsid w:val="00A22781"/>
    <w:rsid w:val="00A22CFD"/>
    <w:rsid w:val="00A22E39"/>
    <w:rsid w:val="00A22E64"/>
    <w:rsid w:val="00A22E7E"/>
    <w:rsid w:val="00A22EE6"/>
    <w:rsid w:val="00A22F24"/>
    <w:rsid w:val="00A22F31"/>
    <w:rsid w:val="00A22FB9"/>
    <w:rsid w:val="00A2300B"/>
    <w:rsid w:val="00A2302A"/>
    <w:rsid w:val="00A2334F"/>
    <w:rsid w:val="00A23674"/>
    <w:rsid w:val="00A236B5"/>
    <w:rsid w:val="00A236FB"/>
    <w:rsid w:val="00A237C0"/>
    <w:rsid w:val="00A237D0"/>
    <w:rsid w:val="00A237DC"/>
    <w:rsid w:val="00A23823"/>
    <w:rsid w:val="00A23866"/>
    <w:rsid w:val="00A239DC"/>
    <w:rsid w:val="00A23A78"/>
    <w:rsid w:val="00A23B3B"/>
    <w:rsid w:val="00A23C0B"/>
    <w:rsid w:val="00A23CC1"/>
    <w:rsid w:val="00A23D42"/>
    <w:rsid w:val="00A23E8F"/>
    <w:rsid w:val="00A23FED"/>
    <w:rsid w:val="00A24272"/>
    <w:rsid w:val="00A24483"/>
    <w:rsid w:val="00A2467A"/>
    <w:rsid w:val="00A247FD"/>
    <w:rsid w:val="00A24851"/>
    <w:rsid w:val="00A24914"/>
    <w:rsid w:val="00A24983"/>
    <w:rsid w:val="00A24AAD"/>
    <w:rsid w:val="00A24ABE"/>
    <w:rsid w:val="00A24B3E"/>
    <w:rsid w:val="00A24B97"/>
    <w:rsid w:val="00A24C6C"/>
    <w:rsid w:val="00A24C72"/>
    <w:rsid w:val="00A24C7B"/>
    <w:rsid w:val="00A24CF1"/>
    <w:rsid w:val="00A24D63"/>
    <w:rsid w:val="00A24DCA"/>
    <w:rsid w:val="00A24DD6"/>
    <w:rsid w:val="00A24E49"/>
    <w:rsid w:val="00A24E63"/>
    <w:rsid w:val="00A24F0A"/>
    <w:rsid w:val="00A24FBC"/>
    <w:rsid w:val="00A24FD6"/>
    <w:rsid w:val="00A25302"/>
    <w:rsid w:val="00A253C1"/>
    <w:rsid w:val="00A2550B"/>
    <w:rsid w:val="00A25518"/>
    <w:rsid w:val="00A25522"/>
    <w:rsid w:val="00A255B8"/>
    <w:rsid w:val="00A2570F"/>
    <w:rsid w:val="00A2571F"/>
    <w:rsid w:val="00A25A8B"/>
    <w:rsid w:val="00A25BBC"/>
    <w:rsid w:val="00A25C0F"/>
    <w:rsid w:val="00A25D08"/>
    <w:rsid w:val="00A25D81"/>
    <w:rsid w:val="00A25E08"/>
    <w:rsid w:val="00A25F78"/>
    <w:rsid w:val="00A260CD"/>
    <w:rsid w:val="00A26110"/>
    <w:rsid w:val="00A2611C"/>
    <w:rsid w:val="00A26161"/>
    <w:rsid w:val="00A26193"/>
    <w:rsid w:val="00A26314"/>
    <w:rsid w:val="00A26367"/>
    <w:rsid w:val="00A2668F"/>
    <w:rsid w:val="00A26721"/>
    <w:rsid w:val="00A26897"/>
    <w:rsid w:val="00A268FB"/>
    <w:rsid w:val="00A2690B"/>
    <w:rsid w:val="00A26A3B"/>
    <w:rsid w:val="00A26B43"/>
    <w:rsid w:val="00A26EEF"/>
    <w:rsid w:val="00A2708A"/>
    <w:rsid w:val="00A270F8"/>
    <w:rsid w:val="00A27160"/>
    <w:rsid w:val="00A27222"/>
    <w:rsid w:val="00A27234"/>
    <w:rsid w:val="00A272D9"/>
    <w:rsid w:val="00A273B0"/>
    <w:rsid w:val="00A273C6"/>
    <w:rsid w:val="00A2747F"/>
    <w:rsid w:val="00A276F6"/>
    <w:rsid w:val="00A2777D"/>
    <w:rsid w:val="00A2783A"/>
    <w:rsid w:val="00A278FD"/>
    <w:rsid w:val="00A2796B"/>
    <w:rsid w:val="00A27A0A"/>
    <w:rsid w:val="00A27BB4"/>
    <w:rsid w:val="00A27BB8"/>
    <w:rsid w:val="00A27CF6"/>
    <w:rsid w:val="00A27D50"/>
    <w:rsid w:val="00A27DDB"/>
    <w:rsid w:val="00A27F33"/>
    <w:rsid w:val="00A27FEF"/>
    <w:rsid w:val="00A30018"/>
    <w:rsid w:val="00A30032"/>
    <w:rsid w:val="00A30269"/>
    <w:rsid w:val="00A30278"/>
    <w:rsid w:val="00A30306"/>
    <w:rsid w:val="00A3034B"/>
    <w:rsid w:val="00A303D6"/>
    <w:rsid w:val="00A30428"/>
    <w:rsid w:val="00A304BF"/>
    <w:rsid w:val="00A30548"/>
    <w:rsid w:val="00A30580"/>
    <w:rsid w:val="00A305CA"/>
    <w:rsid w:val="00A306A1"/>
    <w:rsid w:val="00A306E4"/>
    <w:rsid w:val="00A306E8"/>
    <w:rsid w:val="00A30887"/>
    <w:rsid w:val="00A3092F"/>
    <w:rsid w:val="00A30B63"/>
    <w:rsid w:val="00A30C2D"/>
    <w:rsid w:val="00A30C82"/>
    <w:rsid w:val="00A30E2F"/>
    <w:rsid w:val="00A310FE"/>
    <w:rsid w:val="00A31138"/>
    <w:rsid w:val="00A311A0"/>
    <w:rsid w:val="00A312A6"/>
    <w:rsid w:val="00A3142D"/>
    <w:rsid w:val="00A317E6"/>
    <w:rsid w:val="00A31826"/>
    <w:rsid w:val="00A31943"/>
    <w:rsid w:val="00A31D12"/>
    <w:rsid w:val="00A31D70"/>
    <w:rsid w:val="00A31DDC"/>
    <w:rsid w:val="00A31EB2"/>
    <w:rsid w:val="00A31F6F"/>
    <w:rsid w:val="00A32148"/>
    <w:rsid w:val="00A32197"/>
    <w:rsid w:val="00A32255"/>
    <w:rsid w:val="00A322DF"/>
    <w:rsid w:val="00A32426"/>
    <w:rsid w:val="00A32503"/>
    <w:rsid w:val="00A32722"/>
    <w:rsid w:val="00A32760"/>
    <w:rsid w:val="00A32856"/>
    <w:rsid w:val="00A32896"/>
    <w:rsid w:val="00A328BD"/>
    <w:rsid w:val="00A32B23"/>
    <w:rsid w:val="00A32B65"/>
    <w:rsid w:val="00A32B8F"/>
    <w:rsid w:val="00A32DF3"/>
    <w:rsid w:val="00A330EC"/>
    <w:rsid w:val="00A330FA"/>
    <w:rsid w:val="00A331BA"/>
    <w:rsid w:val="00A33655"/>
    <w:rsid w:val="00A3368E"/>
    <w:rsid w:val="00A336AC"/>
    <w:rsid w:val="00A336BF"/>
    <w:rsid w:val="00A33834"/>
    <w:rsid w:val="00A3390E"/>
    <w:rsid w:val="00A33978"/>
    <w:rsid w:val="00A33A59"/>
    <w:rsid w:val="00A33ABF"/>
    <w:rsid w:val="00A33BD2"/>
    <w:rsid w:val="00A33C46"/>
    <w:rsid w:val="00A33D1D"/>
    <w:rsid w:val="00A33D2B"/>
    <w:rsid w:val="00A33D77"/>
    <w:rsid w:val="00A33E01"/>
    <w:rsid w:val="00A33EE2"/>
    <w:rsid w:val="00A340E2"/>
    <w:rsid w:val="00A340E8"/>
    <w:rsid w:val="00A34444"/>
    <w:rsid w:val="00A3466A"/>
    <w:rsid w:val="00A3473A"/>
    <w:rsid w:val="00A34741"/>
    <w:rsid w:val="00A34755"/>
    <w:rsid w:val="00A34795"/>
    <w:rsid w:val="00A347AF"/>
    <w:rsid w:val="00A348A3"/>
    <w:rsid w:val="00A348B2"/>
    <w:rsid w:val="00A34B12"/>
    <w:rsid w:val="00A34D9E"/>
    <w:rsid w:val="00A34E88"/>
    <w:rsid w:val="00A34ED1"/>
    <w:rsid w:val="00A34EDC"/>
    <w:rsid w:val="00A3526A"/>
    <w:rsid w:val="00A35273"/>
    <w:rsid w:val="00A3532F"/>
    <w:rsid w:val="00A353B6"/>
    <w:rsid w:val="00A35404"/>
    <w:rsid w:val="00A3548B"/>
    <w:rsid w:val="00A3548D"/>
    <w:rsid w:val="00A35743"/>
    <w:rsid w:val="00A3576B"/>
    <w:rsid w:val="00A358E2"/>
    <w:rsid w:val="00A35B24"/>
    <w:rsid w:val="00A35B98"/>
    <w:rsid w:val="00A35BD6"/>
    <w:rsid w:val="00A35C0C"/>
    <w:rsid w:val="00A35C62"/>
    <w:rsid w:val="00A35D33"/>
    <w:rsid w:val="00A35D38"/>
    <w:rsid w:val="00A35EE8"/>
    <w:rsid w:val="00A35FD4"/>
    <w:rsid w:val="00A360B4"/>
    <w:rsid w:val="00A3618E"/>
    <w:rsid w:val="00A36221"/>
    <w:rsid w:val="00A36350"/>
    <w:rsid w:val="00A36477"/>
    <w:rsid w:val="00A3669E"/>
    <w:rsid w:val="00A36789"/>
    <w:rsid w:val="00A367C8"/>
    <w:rsid w:val="00A36850"/>
    <w:rsid w:val="00A3690E"/>
    <w:rsid w:val="00A36995"/>
    <w:rsid w:val="00A369B1"/>
    <w:rsid w:val="00A36CDA"/>
    <w:rsid w:val="00A36E06"/>
    <w:rsid w:val="00A36F16"/>
    <w:rsid w:val="00A36FA8"/>
    <w:rsid w:val="00A37227"/>
    <w:rsid w:val="00A372F0"/>
    <w:rsid w:val="00A373BB"/>
    <w:rsid w:val="00A373FD"/>
    <w:rsid w:val="00A37447"/>
    <w:rsid w:val="00A3749B"/>
    <w:rsid w:val="00A37648"/>
    <w:rsid w:val="00A3769C"/>
    <w:rsid w:val="00A3780E"/>
    <w:rsid w:val="00A37828"/>
    <w:rsid w:val="00A378E0"/>
    <w:rsid w:val="00A37A57"/>
    <w:rsid w:val="00A37A65"/>
    <w:rsid w:val="00A37A75"/>
    <w:rsid w:val="00A37B27"/>
    <w:rsid w:val="00A37B95"/>
    <w:rsid w:val="00A37BC2"/>
    <w:rsid w:val="00A37C26"/>
    <w:rsid w:val="00A37C50"/>
    <w:rsid w:val="00A37CAD"/>
    <w:rsid w:val="00A37ED3"/>
    <w:rsid w:val="00A37F38"/>
    <w:rsid w:val="00A40066"/>
    <w:rsid w:val="00A400E2"/>
    <w:rsid w:val="00A4036B"/>
    <w:rsid w:val="00A403C8"/>
    <w:rsid w:val="00A404EA"/>
    <w:rsid w:val="00A405CD"/>
    <w:rsid w:val="00A40637"/>
    <w:rsid w:val="00A4074E"/>
    <w:rsid w:val="00A40883"/>
    <w:rsid w:val="00A408D1"/>
    <w:rsid w:val="00A40988"/>
    <w:rsid w:val="00A409F9"/>
    <w:rsid w:val="00A409FA"/>
    <w:rsid w:val="00A40A45"/>
    <w:rsid w:val="00A40AAC"/>
    <w:rsid w:val="00A40BE0"/>
    <w:rsid w:val="00A40D6A"/>
    <w:rsid w:val="00A40DD0"/>
    <w:rsid w:val="00A40E5B"/>
    <w:rsid w:val="00A40F38"/>
    <w:rsid w:val="00A40F76"/>
    <w:rsid w:val="00A40FAE"/>
    <w:rsid w:val="00A41129"/>
    <w:rsid w:val="00A4115F"/>
    <w:rsid w:val="00A4121F"/>
    <w:rsid w:val="00A41236"/>
    <w:rsid w:val="00A41306"/>
    <w:rsid w:val="00A41682"/>
    <w:rsid w:val="00A4170D"/>
    <w:rsid w:val="00A41ADE"/>
    <w:rsid w:val="00A41C3E"/>
    <w:rsid w:val="00A41CFB"/>
    <w:rsid w:val="00A41DAE"/>
    <w:rsid w:val="00A41DE5"/>
    <w:rsid w:val="00A41E57"/>
    <w:rsid w:val="00A41FEB"/>
    <w:rsid w:val="00A4236A"/>
    <w:rsid w:val="00A4239D"/>
    <w:rsid w:val="00A42444"/>
    <w:rsid w:val="00A42496"/>
    <w:rsid w:val="00A425D5"/>
    <w:rsid w:val="00A42607"/>
    <w:rsid w:val="00A42825"/>
    <w:rsid w:val="00A429B4"/>
    <w:rsid w:val="00A429E9"/>
    <w:rsid w:val="00A42A40"/>
    <w:rsid w:val="00A42A76"/>
    <w:rsid w:val="00A42B40"/>
    <w:rsid w:val="00A42BE2"/>
    <w:rsid w:val="00A42D08"/>
    <w:rsid w:val="00A42D0F"/>
    <w:rsid w:val="00A42D6E"/>
    <w:rsid w:val="00A42DDB"/>
    <w:rsid w:val="00A42E2A"/>
    <w:rsid w:val="00A42F3D"/>
    <w:rsid w:val="00A42FEC"/>
    <w:rsid w:val="00A430FE"/>
    <w:rsid w:val="00A433A3"/>
    <w:rsid w:val="00A4340A"/>
    <w:rsid w:val="00A4362C"/>
    <w:rsid w:val="00A43696"/>
    <w:rsid w:val="00A436DA"/>
    <w:rsid w:val="00A4372E"/>
    <w:rsid w:val="00A437D1"/>
    <w:rsid w:val="00A437EA"/>
    <w:rsid w:val="00A437F8"/>
    <w:rsid w:val="00A4389E"/>
    <w:rsid w:val="00A439F4"/>
    <w:rsid w:val="00A43A44"/>
    <w:rsid w:val="00A43A60"/>
    <w:rsid w:val="00A43A7E"/>
    <w:rsid w:val="00A43AAD"/>
    <w:rsid w:val="00A43AF4"/>
    <w:rsid w:val="00A43B0A"/>
    <w:rsid w:val="00A43C07"/>
    <w:rsid w:val="00A43C7C"/>
    <w:rsid w:val="00A43CAB"/>
    <w:rsid w:val="00A43CF4"/>
    <w:rsid w:val="00A43DA8"/>
    <w:rsid w:val="00A43E34"/>
    <w:rsid w:val="00A43E65"/>
    <w:rsid w:val="00A43FE9"/>
    <w:rsid w:val="00A44181"/>
    <w:rsid w:val="00A442E3"/>
    <w:rsid w:val="00A442F1"/>
    <w:rsid w:val="00A4430E"/>
    <w:rsid w:val="00A44460"/>
    <w:rsid w:val="00A446F6"/>
    <w:rsid w:val="00A44843"/>
    <w:rsid w:val="00A44859"/>
    <w:rsid w:val="00A44926"/>
    <w:rsid w:val="00A449FF"/>
    <w:rsid w:val="00A44B0A"/>
    <w:rsid w:val="00A44B48"/>
    <w:rsid w:val="00A44C36"/>
    <w:rsid w:val="00A44D0B"/>
    <w:rsid w:val="00A44D3D"/>
    <w:rsid w:val="00A44E6F"/>
    <w:rsid w:val="00A44EFB"/>
    <w:rsid w:val="00A44F70"/>
    <w:rsid w:val="00A4513B"/>
    <w:rsid w:val="00A452CA"/>
    <w:rsid w:val="00A4533E"/>
    <w:rsid w:val="00A455A3"/>
    <w:rsid w:val="00A4567A"/>
    <w:rsid w:val="00A456E4"/>
    <w:rsid w:val="00A4570B"/>
    <w:rsid w:val="00A457FB"/>
    <w:rsid w:val="00A458A9"/>
    <w:rsid w:val="00A45920"/>
    <w:rsid w:val="00A45B13"/>
    <w:rsid w:val="00A45B50"/>
    <w:rsid w:val="00A45C25"/>
    <w:rsid w:val="00A45CB0"/>
    <w:rsid w:val="00A45CE8"/>
    <w:rsid w:val="00A45EE6"/>
    <w:rsid w:val="00A45FBD"/>
    <w:rsid w:val="00A45FC0"/>
    <w:rsid w:val="00A4605A"/>
    <w:rsid w:val="00A46098"/>
    <w:rsid w:val="00A460C0"/>
    <w:rsid w:val="00A460EA"/>
    <w:rsid w:val="00A46228"/>
    <w:rsid w:val="00A4657A"/>
    <w:rsid w:val="00A4669B"/>
    <w:rsid w:val="00A46747"/>
    <w:rsid w:val="00A4677D"/>
    <w:rsid w:val="00A467D3"/>
    <w:rsid w:val="00A468DF"/>
    <w:rsid w:val="00A4699C"/>
    <w:rsid w:val="00A46A62"/>
    <w:rsid w:val="00A46E87"/>
    <w:rsid w:val="00A46FCB"/>
    <w:rsid w:val="00A46FD8"/>
    <w:rsid w:val="00A4700A"/>
    <w:rsid w:val="00A470EE"/>
    <w:rsid w:val="00A472C0"/>
    <w:rsid w:val="00A47324"/>
    <w:rsid w:val="00A4739B"/>
    <w:rsid w:val="00A473D2"/>
    <w:rsid w:val="00A47547"/>
    <w:rsid w:val="00A475BA"/>
    <w:rsid w:val="00A47773"/>
    <w:rsid w:val="00A47809"/>
    <w:rsid w:val="00A4788C"/>
    <w:rsid w:val="00A478AC"/>
    <w:rsid w:val="00A47930"/>
    <w:rsid w:val="00A4793D"/>
    <w:rsid w:val="00A47940"/>
    <w:rsid w:val="00A47A0C"/>
    <w:rsid w:val="00A47C91"/>
    <w:rsid w:val="00A47D77"/>
    <w:rsid w:val="00A47DC8"/>
    <w:rsid w:val="00A47E17"/>
    <w:rsid w:val="00A47E49"/>
    <w:rsid w:val="00A47FBC"/>
    <w:rsid w:val="00A500C8"/>
    <w:rsid w:val="00A50139"/>
    <w:rsid w:val="00A50194"/>
    <w:rsid w:val="00A5026D"/>
    <w:rsid w:val="00A50341"/>
    <w:rsid w:val="00A504E8"/>
    <w:rsid w:val="00A50887"/>
    <w:rsid w:val="00A5088A"/>
    <w:rsid w:val="00A50A29"/>
    <w:rsid w:val="00A50BE8"/>
    <w:rsid w:val="00A50CED"/>
    <w:rsid w:val="00A50DF7"/>
    <w:rsid w:val="00A50E90"/>
    <w:rsid w:val="00A50F70"/>
    <w:rsid w:val="00A510F1"/>
    <w:rsid w:val="00A510F5"/>
    <w:rsid w:val="00A51290"/>
    <w:rsid w:val="00A513E1"/>
    <w:rsid w:val="00A5141D"/>
    <w:rsid w:val="00A51655"/>
    <w:rsid w:val="00A5168D"/>
    <w:rsid w:val="00A516DF"/>
    <w:rsid w:val="00A517CE"/>
    <w:rsid w:val="00A51860"/>
    <w:rsid w:val="00A519BF"/>
    <w:rsid w:val="00A51B66"/>
    <w:rsid w:val="00A51CF4"/>
    <w:rsid w:val="00A52136"/>
    <w:rsid w:val="00A52175"/>
    <w:rsid w:val="00A52181"/>
    <w:rsid w:val="00A52255"/>
    <w:rsid w:val="00A52480"/>
    <w:rsid w:val="00A52614"/>
    <w:rsid w:val="00A526BD"/>
    <w:rsid w:val="00A526D4"/>
    <w:rsid w:val="00A5280B"/>
    <w:rsid w:val="00A52874"/>
    <w:rsid w:val="00A5288E"/>
    <w:rsid w:val="00A52961"/>
    <w:rsid w:val="00A52B6B"/>
    <w:rsid w:val="00A52B86"/>
    <w:rsid w:val="00A52BD0"/>
    <w:rsid w:val="00A52CAC"/>
    <w:rsid w:val="00A52CF8"/>
    <w:rsid w:val="00A52F0D"/>
    <w:rsid w:val="00A52F8E"/>
    <w:rsid w:val="00A52F90"/>
    <w:rsid w:val="00A52F99"/>
    <w:rsid w:val="00A5301B"/>
    <w:rsid w:val="00A532E3"/>
    <w:rsid w:val="00A533B3"/>
    <w:rsid w:val="00A534CC"/>
    <w:rsid w:val="00A5355C"/>
    <w:rsid w:val="00A535EE"/>
    <w:rsid w:val="00A5361F"/>
    <w:rsid w:val="00A53636"/>
    <w:rsid w:val="00A5366B"/>
    <w:rsid w:val="00A536B3"/>
    <w:rsid w:val="00A536C2"/>
    <w:rsid w:val="00A537C3"/>
    <w:rsid w:val="00A53977"/>
    <w:rsid w:val="00A53B58"/>
    <w:rsid w:val="00A53B65"/>
    <w:rsid w:val="00A53C28"/>
    <w:rsid w:val="00A53C41"/>
    <w:rsid w:val="00A53CD2"/>
    <w:rsid w:val="00A53D3F"/>
    <w:rsid w:val="00A53E3B"/>
    <w:rsid w:val="00A53EED"/>
    <w:rsid w:val="00A54285"/>
    <w:rsid w:val="00A54291"/>
    <w:rsid w:val="00A542F0"/>
    <w:rsid w:val="00A544CD"/>
    <w:rsid w:val="00A544CF"/>
    <w:rsid w:val="00A54681"/>
    <w:rsid w:val="00A546BD"/>
    <w:rsid w:val="00A5483D"/>
    <w:rsid w:val="00A54998"/>
    <w:rsid w:val="00A5499B"/>
    <w:rsid w:val="00A54EFD"/>
    <w:rsid w:val="00A54FEC"/>
    <w:rsid w:val="00A5504F"/>
    <w:rsid w:val="00A55086"/>
    <w:rsid w:val="00A550B4"/>
    <w:rsid w:val="00A550E4"/>
    <w:rsid w:val="00A55173"/>
    <w:rsid w:val="00A55229"/>
    <w:rsid w:val="00A552D9"/>
    <w:rsid w:val="00A552DC"/>
    <w:rsid w:val="00A55399"/>
    <w:rsid w:val="00A55513"/>
    <w:rsid w:val="00A5555C"/>
    <w:rsid w:val="00A555B8"/>
    <w:rsid w:val="00A55663"/>
    <w:rsid w:val="00A557FC"/>
    <w:rsid w:val="00A55845"/>
    <w:rsid w:val="00A55862"/>
    <w:rsid w:val="00A5595E"/>
    <w:rsid w:val="00A559B7"/>
    <w:rsid w:val="00A559D0"/>
    <w:rsid w:val="00A559E1"/>
    <w:rsid w:val="00A55D14"/>
    <w:rsid w:val="00A55D45"/>
    <w:rsid w:val="00A56133"/>
    <w:rsid w:val="00A562FA"/>
    <w:rsid w:val="00A563BF"/>
    <w:rsid w:val="00A564DD"/>
    <w:rsid w:val="00A565B3"/>
    <w:rsid w:val="00A5666E"/>
    <w:rsid w:val="00A56725"/>
    <w:rsid w:val="00A56730"/>
    <w:rsid w:val="00A56737"/>
    <w:rsid w:val="00A567C7"/>
    <w:rsid w:val="00A567EC"/>
    <w:rsid w:val="00A5682F"/>
    <w:rsid w:val="00A56846"/>
    <w:rsid w:val="00A568F9"/>
    <w:rsid w:val="00A56908"/>
    <w:rsid w:val="00A56A9C"/>
    <w:rsid w:val="00A56AB1"/>
    <w:rsid w:val="00A56AF7"/>
    <w:rsid w:val="00A56BA1"/>
    <w:rsid w:val="00A56D7B"/>
    <w:rsid w:val="00A56DDF"/>
    <w:rsid w:val="00A56DFF"/>
    <w:rsid w:val="00A56E58"/>
    <w:rsid w:val="00A56FA2"/>
    <w:rsid w:val="00A57068"/>
    <w:rsid w:val="00A571FC"/>
    <w:rsid w:val="00A57383"/>
    <w:rsid w:val="00A57481"/>
    <w:rsid w:val="00A575BC"/>
    <w:rsid w:val="00A575DD"/>
    <w:rsid w:val="00A57829"/>
    <w:rsid w:val="00A57887"/>
    <w:rsid w:val="00A578B2"/>
    <w:rsid w:val="00A57ACC"/>
    <w:rsid w:val="00A57B45"/>
    <w:rsid w:val="00A57BE2"/>
    <w:rsid w:val="00A57CCA"/>
    <w:rsid w:val="00A57D4D"/>
    <w:rsid w:val="00A57EB4"/>
    <w:rsid w:val="00A57F09"/>
    <w:rsid w:val="00A57F15"/>
    <w:rsid w:val="00A57F6B"/>
    <w:rsid w:val="00A57FDD"/>
    <w:rsid w:val="00A6005C"/>
    <w:rsid w:val="00A60153"/>
    <w:rsid w:val="00A6020F"/>
    <w:rsid w:val="00A602CA"/>
    <w:rsid w:val="00A6035B"/>
    <w:rsid w:val="00A60365"/>
    <w:rsid w:val="00A603A3"/>
    <w:rsid w:val="00A603FD"/>
    <w:rsid w:val="00A6040A"/>
    <w:rsid w:val="00A6046E"/>
    <w:rsid w:val="00A60639"/>
    <w:rsid w:val="00A60653"/>
    <w:rsid w:val="00A606A5"/>
    <w:rsid w:val="00A6093B"/>
    <w:rsid w:val="00A60969"/>
    <w:rsid w:val="00A609AF"/>
    <w:rsid w:val="00A60A00"/>
    <w:rsid w:val="00A60A1A"/>
    <w:rsid w:val="00A60A35"/>
    <w:rsid w:val="00A60A9C"/>
    <w:rsid w:val="00A60B14"/>
    <w:rsid w:val="00A60B96"/>
    <w:rsid w:val="00A60BA9"/>
    <w:rsid w:val="00A60C11"/>
    <w:rsid w:val="00A60CC1"/>
    <w:rsid w:val="00A60D12"/>
    <w:rsid w:val="00A60F48"/>
    <w:rsid w:val="00A610A7"/>
    <w:rsid w:val="00A611A3"/>
    <w:rsid w:val="00A6132E"/>
    <w:rsid w:val="00A61362"/>
    <w:rsid w:val="00A613D3"/>
    <w:rsid w:val="00A61538"/>
    <w:rsid w:val="00A615E8"/>
    <w:rsid w:val="00A616C1"/>
    <w:rsid w:val="00A61715"/>
    <w:rsid w:val="00A61733"/>
    <w:rsid w:val="00A61793"/>
    <w:rsid w:val="00A617BF"/>
    <w:rsid w:val="00A61808"/>
    <w:rsid w:val="00A61908"/>
    <w:rsid w:val="00A61967"/>
    <w:rsid w:val="00A61A0F"/>
    <w:rsid w:val="00A61A59"/>
    <w:rsid w:val="00A61B5F"/>
    <w:rsid w:val="00A61B7F"/>
    <w:rsid w:val="00A61B89"/>
    <w:rsid w:val="00A61B98"/>
    <w:rsid w:val="00A61C78"/>
    <w:rsid w:val="00A61DB5"/>
    <w:rsid w:val="00A61EF8"/>
    <w:rsid w:val="00A61EFE"/>
    <w:rsid w:val="00A621B1"/>
    <w:rsid w:val="00A62232"/>
    <w:rsid w:val="00A622C9"/>
    <w:rsid w:val="00A622F9"/>
    <w:rsid w:val="00A622FB"/>
    <w:rsid w:val="00A62410"/>
    <w:rsid w:val="00A624FB"/>
    <w:rsid w:val="00A62725"/>
    <w:rsid w:val="00A62786"/>
    <w:rsid w:val="00A62A3C"/>
    <w:rsid w:val="00A62B5B"/>
    <w:rsid w:val="00A62BC2"/>
    <w:rsid w:val="00A62BE1"/>
    <w:rsid w:val="00A62C66"/>
    <w:rsid w:val="00A62DB7"/>
    <w:rsid w:val="00A62E42"/>
    <w:rsid w:val="00A62F5C"/>
    <w:rsid w:val="00A63194"/>
    <w:rsid w:val="00A63342"/>
    <w:rsid w:val="00A636A4"/>
    <w:rsid w:val="00A636AC"/>
    <w:rsid w:val="00A63734"/>
    <w:rsid w:val="00A63788"/>
    <w:rsid w:val="00A637A6"/>
    <w:rsid w:val="00A63A94"/>
    <w:rsid w:val="00A63AF8"/>
    <w:rsid w:val="00A63CC7"/>
    <w:rsid w:val="00A63DC0"/>
    <w:rsid w:val="00A63F71"/>
    <w:rsid w:val="00A64075"/>
    <w:rsid w:val="00A640A7"/>
    <w:rsid w:val="00A6412A"/>
    <w:rsid w:val="00A641B6"/>
    <w:rsid w:val="00A642D8"/>
    <w:rsid w:val="00A64370"/>
    <w:rsid w:val="00A643BA"/>
    <w:rsid w:val="00A646C1"/>
    <w:rsid w:val="00A64779"/>
    <w:rsid w:val="00A6477E"/>
    <w:rsid w:val="00A647F2"/>
    <w:rsid w:val="00A64822"/>
    <w:rsid w:val="00A648A3"/>
    <w:rsid w:val="00A6498A"/>
    <w:rsid w:val="00A649C2"/>
    <w:rsid w:val="00A64A3E"/>
    <w:rsid w:val="00A64A71"/>
    <w:rsid w:val="00A64A74"/>
    <w:rsid w:val="00A64BBC"/>
    <w:rsid w:val="00A64DC9"/>
    <w:rsid w:val="00A64EBE"/>
    <w:rsid w:val="00A650A0"/>
    <w:rsid w:val="00A6516F"/>
    <w:rsid w:val="00A65209"/>
    <w:rsid w:val="00A652B8"/>
    <w:rsid w:val="00A652F2"/>
    <w:rsid w:val="00A65326"/>
    <w:rsid w:val="00A6534A"/>
    <w:rsid w:val="00A65443"/>
    <w:rsid w:val="00A65525"/>
    <w:rsid w:val="00A656AE"/>
    <w:rsid w:val="00A656BA"/>
    <w:rsid w:val="00A6585D"/>
    <w:rsid w:val="00A65926"/>
    <w:rsid w:val="00A65A3F"/>
    <w:rsid w:val="00A65A5E"/>
    <w:rsid w:val="00A65A65"/>
    <w:rsid w:val="00A65BEF"/>
    <w:rsid w:val="00A65CBF"/>
    <w:rsid w:val="00A65F46"/>
    <w:rsid w:val="00A65FE1"/>
    <w:rsid w:val="00A6611F"/>
    <w:rsid w:val="00A66273"/>
    <w:rsid w:val="00A662EF"/>
    <w:rsid w:val="00A663D9"/>
    <w:rsid w:val="00A6640D"/>
    <w:rsid w:val="00A664F9"/>
    <w:rsid w:val="00A665D2"/>
    <w:rsid w:val="00A66799"/>
    <w:rsid w:val="00A668D9"/>
    <w:rsid w:val="00A668ED"/>
    <w:rsid w:val="00A669FC"/>
    <w:rsid w:val="00A66A77"/>
    <w:rsid w:val="00A66B42"/>
    <w:rsid w:val="00A66B5E"/>
    <w:rsid w:val="00A66CFE"/>
    <w:rsid w:val="00A66D68"/>
    <w:rsid w:val="00A66E13"/>
    <w:rsid w:val="00A66E45"/>
    <w:rsid w:val="00A671F4"/>
    <w:rsid w:val="00A67235"/>
    <w:rsid w:val="00A672FE"/>
    <w:rsid w:val="00A67454"/>
    <w:rsid w:val="00A67488"/>
    <w:rsid w:val="00A67533"/>
    <w:rsid w:val="00A67550"/>
    <w:rsid w:val="00A678AB"/>
    <w:rsid w:val="00A67AA4"/>
    <w:rsid w:val="00A67AF4"/>
    <w:rsid w:val="00A67B6E"/>
    <w:rsid w:val="00A67EA4"/>
    <w:rsid w:val="00A7006D"/>
    <w:rsid w:val="00A7008A"/>
    <w:rsid w:val="00A70110"/>
    <w:rsid w:val="00A70129"/>
    <w:rsid w:val="00A7022D"/>
    <w:rsid w:val="00A702BE"/>
    <w:rsid w:val="00A702BF"/>
    <w:rsid w:val="00A7033D"/>
    <w:rsid w:val="00A705D5"/>
    <w:rsid w:val="00A70631"/>
    <w:rsid w:val="00A706B0"/>
    <w:rsid w:val="00A707D1"/>
    <w:rsid w:val="00A70CB5"/>
    <w:rsid w:val="00A70FF8"/>
    <w:rsid w:val="00A71020"/>
    <w:rsid w:val="00A71106"/>
    <w:rsid w:val="00A7129E"/>
    <w:rsid w:val="00A71312"/>
    <w:rsid w:val="00A71381"/>
    <w:rsid w:val="00A714D8"/>
    <w:rsid w:val="00A71517"/>
    <w:rsid w:val="00A71586"/>
    <w:rsid w:val="00A716DF"/>
    <w:rsid w:val="00A717CF"/>
    <w:rsid w:val="00A71859"/>
    <w:rsid w:val="00A719A4"/>
    <w:rsid w:val="00A719E6"/>
    <w:rsid w:val="00A71B63"/>
    <w:rsid w:val="00A71D8A"/>
    <w:rsid w:val="00A71FB3"/>
    <w:rsid w:val="00A7202C"/>
    <w:rsid w:val="00A72095"/>
    <w:rsid w:val="00A720A6"/>
    <w:rsid w:val="00A720E8"/>
    <w:rsid w:val="00A7210C"/>
    <w:rsid w:val="00A722E4"/>
    <w:rsid w:val="00A723F0"/>
    <w:rsid w:val="00A7240F"/>
    <w:rsid w:val="00A72511"/>
    <w:rsid w:val="00A72525"/>
    <w:rsid w:val="00A72639"/>
    <w:rsid w:val="00A726BD"/>
    <w:rsid w:val="00A72703"/>
    <w:rsid w:val="00A7286F"/>
    <w:rsid w:val="00A728F6"/>
    <w:rsid w:val="00A72910"/>
    <w:rsid w:val="00A729E4"/>
    <w:rsid w:val="00A72A6D"/>
    <w:rsid w:val="00A72AC7"/>
    <w:rsid w:val="00A72DD5"/>
    <w:rsid w:val="00A72EF7"/>
    <w:rsid w:val="00A7300C"/>
    <w:rsid w:val="00A73038"/>
    <w:rsid w:val="00A7305E"/>
    <w:rsid w:val="00A7320A"/>
    <w:rsid w:val="00A732F0"/>
    <w:rsid w:val="00A73374"/>
    <w:rsid w:val="00A734D3"/>
    <w:rsid w:val="00A73531"/>
    <w:rsid w:val="00A73543"/>
    <w:rsid w:val="00A735F9"/>
    <w:rsid w:val="00A737F4"/>
    <w:rsid w:val="00A739CB"/>
    <w:rsid w:val="00A73BF2"/>
    <w:rsid w:val="00A73C03"/>
    <w:rsid w:val="00A73C37"/>
    <w:rsid w:val="00A73C44"/>
    <w:rsid w:val="00A73C97"/>
    <w:rsid w:val="00A74228"/>
    <w:rsid w:val="00A743A9"/>
    <w:rsid w:val="00A7455E"/>
    <w:rsid w:val="00A746B2"/>
    <w:rsid w:val="00A7486C"/>
    <w:rsid w:val="00A74932"/>
    <w:rsid w:val="00A74950"/>
    <w:rsid w:val="00A74A22"/>
    <w:rsid w:val="00A74AA0"/>
    <w:rsid w:val="00A74B1A"/>
    <w:rsid w:val="00A74BAA"/>
    <w:rsid w:val="00A74BAE"/>
    <w:rsid w:val="00A74BCB"/>
    <w:rsid w:val="00A74E5C"/>
    <w:rsid w:val="00A74E76"/>
    <w:rsid w:val="00A74FCA"/>
    <w:rsid w:val="00A75066"/>
    <w:rsid w:val="00A750C3"/>
    <w:rsid w:val="00A75185"/>
    <w:rsid w:val="00A75276"/>
    <w:rsid w:val="00A753D9"/>
    <w:rsid w:val="00A75569"/>
    <w:rsid w:val="00A75583"/>
    <w:rsid w:val="00A756D9"/>
    <w:rsid w:val="00A756FB"/>
    <w:rsid w:val="00A757B3"/>
    <w:rsid w:val="00A757DE"/>
    <w:rsid w:val="00A757EE"/>
    <w:rsid w:val="00A75991"/>
    <w:rsid w:val="00A75B30"/>
    <w:rsid w:val="00A75C08"/>
    <w:rsid w:val="00A75EB7"/>
    <w:rsid w:val="00A75ECA"/>
    <w:rsid w:val="00A75FB0"/>
    <w:rsid w:val="00A75FDB"/>
    <w:rsid w:val="00A76090"/>
    <w:rsid w:val="00A761E0"/>
    <w:rsid w:val="00A76297"/>
    <w:rsid w:val="00A762CF"/>
    <w:rsid w:val="00A76332"/>
    <w:rsid w:val="00A7635F"/>
    <w:rsid w:val="00A7648F"/>
    <w:rsid w:val="00A76529"/>
    <w:rsid w:val="00A76554"/>
    <w:rsid w:val="00A766B2"/>
    <w:rsid w:val="00A766E0"/>
    <w:rsid w:val="00A7685A"/>
    <w:rsid w:val="00A76960"/>
    <w:rsid w:val="00A76AC8"/>
    <w:rsid w:val="00A76B47"/>
    <w:rsid w:val="00A76C8C"/>
    <w:rsid w:val="00A76D00"/>
    <w:rsid w:val="00A76D5A"/>
    <w:rsid w:val="00A76EDC"/>
    <w:rsid w:val="00A76F07"/>
    <w:rsid w:val="00A76F1A"/>
    <w:rsid w:val="00A76F3E"/>
    <w:rsid w:val="00A771C0"/>
    <w:rsid w:val="00A774F9"/>
    <w:rsid w:val="00A774FE"/>
    <w:rsid w:val="00A776B0"/>
    <w:rsid w:val="00A776B1"/>
    <w:rsid w:val="00A778BF"/>
    <w:rsid w:val="00A77B05"/>
    <w:rsid w:val="00A77FB4"/>
    <w:rsid w:val="00A80027"/>
    <w:rsid w:val="00A800F4"/>
    <w:rsid w:val="00A8011A"/>
    <w:rsid w:val="00A80191"/>
    <w:rsid w:val="00A801A0"/>
    <w:rsid w:val="00A801B2"/>
    <w:rsid w:val="00A80213"/>
    <w:rsid w:val="00A80295"/>
    <w:rsid w:val="00A803E1"/>
    <w:rsid w:val="00A804DF"/>
    <w:rsid w:val="00A805CD"/>
    <w:rsid w:val="00A80635"/>
    <w:rsid w:val="00A80691"/>
    <w:rsid w:val="00A80863"/>
    <w:rsid w:val="00A8093A"/>
    <w:rsid w:val="00A809CF"/>
    <w:rsid w:val="00A80B9B"/>
    <w:rsid w:val="00A80C1B"/>
    <w:rsid w:val="00A80D67"/>
    <w:rsid w:val="00A80E47"/>
    <w:rsid w:val="00A8110F"/>
    <w:rsid w:val="00A8116E"/>
    <w:rsid w:val="00A811FC"/>
    <w:rsid w:val="00A8126A"/>
    <w:rsid w:val="00A81279"/>
    <w:rsid w:val="00A813CD"/>
    <w:rsid w:val="00A814C7"/>
    <w:rsid w:val="00A81791"/>
    <w:rsid w:val="00A81821"/>
    <w:rsid w:val="00A818A5"/>
    <w:rsid w:val="00A819EE"/>
    <w:rsid w:val="00A81A12"/>
    <w:rsid w:val="00A81A86"/>
    <w:rsid w:val="00A81AFC"/>
    <w:rsid w:val="00A81BB5"/>
    <w:rsid w:val="00A81BBB"/>
    <w:rsid w:val="00A81BCA"/>
    <w:rsid w:val="00A81C6D"/>
    <w:rsid w:val="00A81D22"/>
    <w:rsid w:val="00A81D34"/>
    <w:rsid w:val="00A81D6F"/>
    <w:rsid w:val="00A81ECC"/>
    <w:rsid w:val="00A81EFC"/>
    <w:rsid w:val="00A81F54"/>
    <w:rsid w:val="00A820E5"/>
    <w:rsid w:val="00A82101"/>
    <w:rsid w:val="00A82126"/>
    <w:rsid w:val="00A821F2"/>
    <w:rsid w:val="00A822FD"/>
    <w:rsid w:val="00A82376"/>
    <w:rsid w:val="00A823DB"/>
    <w:rsid w:val="00A826AD"/>
    <w:rsid w:val="00A8282E"/>
    <w:rsid w:val="00A82850"/>
    <w:rsid w:val="00A828F8"/>
    <w:rsid w:val="00A829D2"/>
    <w:rsid w:val="00A82C3D"/>
    <w:rsid w:val="00A82D50"/>
    <w:rsid w:val="00A82DC5"/>
    <w:rsid w:val="00A830DA"/>
    <w:rsid w:val="00A8313F"/>
    <w:rsid w:val="00A8328B"/>
    <w:rsid w:val="00A833CE"/>
    <w:rsid w:val="00A833D2"/>
    <w:rsid w:val="00A8349B"/>
    <w:rsid w:val="00A83510"/>
    <w:rsid w:val="00A83518"/>
    <w:rsid w:val="00A835D6"/>
    <w:rsid w:val="00A83749"/>
    <w:rsid w:val="00A838D4"/>
    <w:rsid w:val="00A83904"/>
    <w:rsid w:val="00A8394C"/>
    <w:rsid w:val="00A83992"/>
    <w:rsid w:val="00A83A56"/>
    <w:rsid w:val="00A83CE5"/>
    <w:rsid w:val="00A83E65"/>
    <w:rsid w:val="00A84259"/>
    <w:rsid w:val="00A8429A"/>
    <w:rsid w:val="00A84380"/>
    <w:rsid w:val="00A84456"/>
    <w:rsid w:val="00A8447B"/>
    <w:rsid w:val="00A844E0"/>
    <w:rsid w:val="00A84613"/>
    <w:rsid w:val="00A8462C"/>
    <w:rsid w:val="00A846BC"/>
    <w:rsid w:val="00A84719"/>
    <w:rsid w:val="00A8483D"/>
    <w:rsid w:val="00A848F0"/>
    <w:rsid w:val="00A8494A"/>
    <w:rsid w:val="00A84A50"/>
    <w:rsid w:val="00A84C73"/>
    <w:rsid w:val="00A84CEB"/>
    <w:rsid w:val="00A84D19"/>
    <w:rsid w:val="00A84DA6"/>
    <w:rsid w:val="00A851EA"/>
    <w:rsid w:val="00A85329"/>
    <w:rsid w:val="00A85347"/>
    <w:rsid w:val="00A854A9"/>
    <w:rsid w:val="00A8560E"/>
    <w:rsid w:val="00A8574D"/>
    <w:rsid w:val="00A85847"/>
    <w:rsid w:val="00A85901"/>
    <w:rsid w:val="00A85942"/>
    <w:rsid w:val="00A859C9"/>
    <w:rsid w:val="00A85A20"/>
    <w:rsid w:val="00A85AF8"/>
    <w:rsid w:val="00A85B41"/>
    <w:rsid w:val="00A85B50"/>
    <w:rsid w:val="00A85BAD"/>
    <w:rsid w:val="00A85BFF"/>
    <w:rsid w:val="00A85CA3"/>
    <w:rsid w:val="00A85D28"/>
    <w:rsid w:val="00A85DAD"/>
    <w:rsid w:val="00A85F0E"/>
    <w:rsid w:val="00A85F94"/>
    <w:rsid w:val="00A85FE9"/>
    <w:rsid w:val="00A86009"/>
    <w:rsid w:val="00A8617B"/>
    <w:rsid w:val="00A86190"/>
    <w:rsid w:val="00A86200"/>
    <w:rsid w:val="00A8621C"/>
    <w:rsid w:val="00A8638E"/>
    <w:rsid w:val="00A86399"/>
    <w:rsid w:val="00A86514"/>
    <w:rsid w:val="00A8672B"/>
    <w:rsid w:val="00A86770"/>
    <w:rsid w:val="00A86821"/>
    <w:rsid w:val="00A86B07"/>
    <w:rsid w:val="00A86B14"/>
    <w:rsid w:val="00A86C56"/>
    <w:rsid w:val="00A86D4D"/>
    <w:rsid w:val="00A86F02"/>
    <w:rsid w:val="00A87067"/>
    <w:rsid w:val="00A87173"/>
    <w:rsid w:val="00A8729F"/>
    <w:rsid w:val="00A87319"/>
    <w:rsid w:val="00A87383"/>
    <w:rsid w:val="00A8748E"/>
    <w:rsid w:val="00A8753F"/>
    <w:rsid w:val="00A87609"/>
    <w:rsid w:val="00A87711"/>
    <w:rsid w:val="00A8771E"/>
    <w:rsid w:val="00A877F5"/>
    <w:rsid w:val="00A87865"/>
    <w:rsid w:val="00A878C6"/>
    <w:rsid w:val="00A879E6"/>
    <w:rsid w:val="00A879FE"/>
    <w:rsid w:val="00A87ABA"/>
    <w:rsid w:val="00A87ABC"/>
    <w:rsid w:val="00A87C23"/>
    <w:rsid w:val="00A87C9B"/>
    <w:rsid w:val="00A87CC8"/>
    <w:rsid w:val="00A87D65"/>
    <w:rsid w:val="00A87EB6"/>
    <w:rsid w:val="00A87F95"/>
    <w:rsid w:val="00A87FD5"/>
    <w:rsid w:val="00A90053"/>
    <w:rsid w:val="00A900CC"/>
    <w:rsid w:val="00A901C7"/>
    <w:rsid w:val="00A9020E"/>
    <w:rsid w:val="00A90245"/>
    <w:rsid w:val="00A9026E"/>
    <w:rsid w:val="00A902BA"/>
    <w:rsid w:val="00A902E1"/>
    <w:rsid w:val="00A9030E"/>
    <w:rsid w:val="00A9038D"/>
    <w:rsid w:val="00A9048D"/>
    <w:rsid w:val="00A90517"/>
    <w:rsid w:val="00A9057E"/>
    <w:rsid w:val="00A905A5"/>
    <w:rsid w:val="00A905AB"/>
    <w:rsid w:val="00A90607"/>
    <w:rsid w:val="00A90666"/>
    <w:rsid w:val="00A90684"/>
    <w:rsid w:val="00A906CC"/>
    <w:rsid w:val="00A906E0"/>
    <w:rsid w:val="00A90A60"/>
    <w:rsid w:val="00A90D46"/>
    <w:rsid w:val="00A90E65"/>
    <w:rsid w:val="00A90FE1"/>
    <w:rsid w:val="00A90FFB"/>
    <w:rsid w:val="00A91037"/>
    <w:rsid w:val="00A91147"/>
    <w:rsid w:val="00A9115A"/>
    <w:rsid w:val="00A9118E"/>
    <w:rsid w:val="00A911C8"/>
    <w:rsid w:val="00A9124D"/>
    <w:rsid w:val="00A912D2"/>
    <w:rsid w:val="00A913B2"/>
    <w:rsid w:val="00A913FD"/>
    <w:rsid w:val="00A916E6"/>
    <w:rsid w:val="00A91850"/>
    <w:rsid w:val="00A9190A"/>
    <w:rsid w:val="00A91983"/>
    <w:rsid w:val="00A919C8"/>
    <w:rsid w:val="00A919CF"/>
    <w:rsid w:val="00A919DE"/>
    <w:rsid w:val="00A91B4C"/>
    <w:rsid w:val="00A91DD3"/>
    <w:rsid w:val="00A91DDF"/>
    <w:rsid w:val="00A91DEE"/>
    <w:rsid w:val="00A91E34"/>
    <w:rsid w:val="00A91EE5"/>
    <w:rsid w:val="00A91F2A"/>
    <w:rsid w:val="00A9209D"/>
    <w:rsid w:val="00A920E9"/>
    <w:rsid w:val="00A92126"/>
    <w:rsid w:val="00A9242C"/>
    <w:rsid w:val="00A92664"/>
    <w:rsid w:val="00A9277C"/>
    <w:rsid w:val="00A92823"/>
    <w:rsid w:val="00A9293C"/>
    <w:rsid w:val="00A92951"/>
    <w:rsid w:val="00A929EA"/>
    <w:rsid w:val="00A92AC2"/>
    <w:rsid w:val="00A92B14"/>
    <w:rsid w:val="00A92B77"/>
    <w:rsid w:val="00A92BB0"/>
    <w:rsid w:val="00A92F59"/>
    <w:rsid w:val="00A93002"/>
    <w:rsid w:val="00A93045"/>
    <w:rsid w:val="00A9307A"/>
    <w:rsid w:val="00A93091"/>
    <w:rsid w:val="00A93255"/>
    <w:rsid w:val="00A93493"/>
    <w:rsid w:val="00A934AD"/>
    <w:rsid w:val="00A93516"/>
    <w:rsid w:val="00A936E6"/>
    <w:rsid w:val="00A93723"/>
    <w:rsid w:val="00A93728"/>
    <w:rsid w:val="00A937F8"/>
    <w:rsid w:val="00A93C3A"/>
    <w:rsid w:val="00A93D5E"/>
    <w:rsid w:val="00A93E40"/>
    <w:rsid w:val="00A93F6F"/>
    <w:rsid w:val="00A93FF0"/>
    <w:rsid w:val="00A940F4"/>
    <w:rsid w:val="00A94150"/>
    <w:rsid w:val="00A941F5"/>
    <w:rsid w:val="00A9421A"/>
    <w:rsid w:val="00A94315"/>
    <w:rsid w:val="00A943A8"/>
    <w:rsid w:val="00A943D2"/>
    <w:rsid w:val="00A94452"/>
    <w:rsid w:val="00A9463A"/>
    <w:rsid w:val="00A946F2"/>
    <w:rsid w:val="00A94725"/>
    <w:rsid w:val="00A947FD"/>
    <w:rsid w:val="00A948C2"/>
    <w:rsid w:val="00A94A83"/>
    <w:rsid w:val="00A94C01"/>
    <w:rsid w:val="00A94C24"/>
    <w:rsid w:val="00A94D17"/>
    <w:rsid w:val="00A95011"/>
    <w:rsid w:val="00A9504D"/>
    <w:rsid w:val="00A9505D"/>
    <w:rsid w:val="00A950BA"/>
    <w:rsid w:val="00A95102"/>
    <w:rsid w:val="00A9518A"/>
    <w:rsid w:val="00A951B9"/>
    <w:rsid w:val="00A9525B"/>
    <w:rsid w:val="00A952AA"/>
    <w:rsid w:val="00A953C3"/>
    <w:rsid w:val="00A9546E"/>
    <w:rsid w:val="00A9550F"/>
    <w:rsid w:val="00A9571B"/>
    <w:rsid w:val="00A957C0"/>
    <w:rsid w:val="00A95835"/>
    <w:rsid w:val="00A9591E"/>
    <w:rsid w:val="00A95A36"/>
    <w:rsid w:val="00A95AA8"/>
    <w:rsid w:val="00A95C94"/>
    <w:rsid w:val="00A95D3D"/>
    <w:rsid w:val="00A95D61"/>
    <w:rsid w:val="00A95E94"/>
    <w:rsid w:val="00A95FBD"/>
    <w:rsid w:val="00A96041"/>
    <w:rsid w:val="00A961E7"/>
    <w:rsid w:val="00A96219"/>
    <w:rsid w:val="00A962C5"/>
    <w:rsid w:val="00A9641A"/>
    <w:rsid w:val="00A964ED"/>
    <w:rsid w:val="00A965A9"/>
    <w:rsid w:val="00A96759"/>
    <w:rsid w:val="00A969F4"/>
    <w:rsid w:val="00A96A87"/>
    <w:rsid w:val="00A96C44"/>
    <w:rsid w:val="00A96C92"/>
    <w:rsid w:val="00A96C93"/>
    <w:rsid w:val="00A96CA2"/>
    <w:rsid w:val="00A96DDE"/>
    <w:rsid w:val="00A96DE7"/>
    <w:rsid w:val="00A96E5F"/>
    <w:rsid w:val="00A96EBD"/>
    <w:rsid w:val="00A96F1A"/>
    <w:rsid w:val="00A96F86"/>
    <w:rsid w:val="00A971D5"/>
    <w:rsid w:val="00A972B2"/>
    <w:rsid w:val="00A97491"/>
    <w:rsid w:val="00A974E2"/>
    <w:rsid w:val="00A9758E"/>
    <w:rsid w:val="00A9778E"/>
    <w:rsid w:val="00A97791"/>
    <w:rsid w:val="00A9780D"/>
    <w:rsid w:val="00A97896"/>
    <w:rsid w:val="00A979F3"/>
    <w:rsid w:val="00A97A78"/>
    <w:rsid w:val="00A97AD3"/>
    <w:rsid w:val="00A97D6E"/>
    <w:rsid w:val="00A97E97"/>
    <w:rsid w:val="00A97F9D"/>
    <w:rsid w:val="00AA0156"/>
    <w:rsid w:val="00AA01DD"/>
    <w:rsid w:val="00AA01F1"/>
    <w:rsid w:val="00AA03D6"/>
    <w:rsid w:val="00AA0421"/>
    <w:rsid w:val="00AA056B"/>
    <w:rsid w:val="00AA0571"/>
    <w:rsid w:val="00AA0645"/>
    <w:rsid w:val="00AA06B0"/>
    <w:rsid w:val="00AA0705"/>
    <w:rsid w:val="00AA078D"/>
    <w:rsid w:val="00AA07E1"/>
    <w:rsid w:val="00AA081A"/>
    <w:rsid w:val="00AA09F5"/>
    <w:rsid w:val="00AA0A1A"/>
    <w:rsid w:val="00AA0AAF"/>
    <w:rsid w:val="00AA0B34"/>
    <w:rsid w:val="00AA0B46"/>
    <w:rsid w:val="00AA0BF7"/>
    <w:rsid w:val="00AA0D5F"/>
    <w:rsid w:val="00AA10E3"/>
    <w:rsid w:val="00AA110F"/>
    <w:rsid w:val="00AA1131"/>
    <w:rsid w:val="00AA1132"/>
    <w:rsid w:val="00AA1161"/>
    <w:rsid w:val="00AA11FB"/>
    <w:rsid w:val="00AA13B9"/>
    <w:rsid w:val="00AA156B"/>
    <w:rsid w:val="00AA15E3"/>
    <w:rsid w:val="00AA161B"/>
    <w:rsid w:val="00AA16B5"/>
    <w:rsid w:val="00AA1839"/>
    <w:rsid w:val="00AA187B"/>
    <w:rsid w:val="00AA18D2"/>
    <w:rsid w:val="00AA18ED"/>
    <w:rsid w:val="00AA18F4"/>
    <w:rsid w:val="00AA197F"/>
    <w:rsid w:val="00AA19BB"/>
    <w:rsid w:val="00AA19D4"/>
    <w:rsid w:val="00AA1AB1"/>
    <w:rsid w:val="00AA1B10"/>
    <w:rsid w:val="00AA1FAC"/>
    <w:rsid w:val="00AA2135"/>
    <w:rsid w:val="00AA2215"/>
    <w:rsid w:val="00AA2222"/>
    <w:rsid w:val="00AA229D"/>
    <w:rsid w:val="00AA2380"/>
    <w:rsid w:val="00AA23C8"/>
    <w:rsid w:val="00AA2409"/>
    <w:rsid w:val="00AA2435"/>
    <w:rsid w:val="00AA2529"/>
    <w:rsid w:val="00AA26B0"/>
    <w:rsid w:val="00AA2702"/>
    <w:rsid w:val="00AA27A6"/>
    <w:rsid w:val="00AA2811"/>
    <w:rsid w:val="00AA2866"/>
    <w:rsid w:val="00AA28DC"/>
    <w:rsid w:val="00AA2A57"/>
    <w:rsid w:val="00AA2C63"/>
    <w:rsid w:val="00AA2CB2"/>
    <w:rsid w:val="00AA2CB7"/>
    <w:rsid w:val="00AA2DF3"/>
    <w:rsid w:val="00AA2E5A"/>
    <w:rsid w:val="00AA2E81"/>
    <w:rsid w:val="00AA2F22"/>
    <w:rsid w:val="00AA2F45"/>
    <w:rsid w:val="00AA2FD3"/>
    <w:rsid w:val="00AA3054"/>
    <w:rsid w:val="00AA322E"/>
    <w:rsid w:val="00AA343A"/>
    <w:rsid w:val="00AA348B"/>
    <w:rsid w:val="00AA36BC"/>
    <w:rsid w:val="00AA39C6"/>
    <w:rsid w:val="00AA39CC"/>
    <w:rsid w:val="00AA39F1"/>
    <w:rsid w:val="00AA3A27"/>
    <w:rsid w:val="00AA3A9D"/>
    <w:rsid w:val="00AA3AE8"/>
    <w:rsid w:val="00AA3B2A"/>
    <w:rsid w:val="00AA3B59"/>
    <w:rsid w:val="00AA3B96"/>
    <w:rsid w:val="00AA3C46"/>
    <w:rsid w:val="00AA3C8C"/>
    <w:rsid w:val="00AA3D86"/>
    <w:rsid w:val="00AA3F04"/>
    <w:rsid w:val="00AA3F5C"/>
    <w:rsid w:val="00AA4215"/>
    <w:rsid w:val="00AA43F5"/>
    <w:rsid w:val="00AA4498"/>
    <w:rsid w:val="00AA46FA"/>
    <w:rsid w:val="00AA470A"/>
    <w:rsid w:val="00AA49DD"/>
    <w:rsid w:val="00AA4C88"/>
    <w:rsid w:val="00AA4D9A"/>
    <w:rsid w:val="00AA4DFF"/>
    <w:rsid w:val="00AA4E6E"/>
    <w:rsid w:val="00AA4EFD"/>
    <w:rsid w:val="00AA50DD"/>
    <w:rsid w:val="00AA5175"/>
    <w:rsid w:val="00AA5201"/>
    <w:rsid w:val="00AA524A"/>
    <w:rsid w:val="00AA5280"/>
    <w:rsid w:val="00AA5328"/>
    <w:rsid w:val="00AA532C"/>
    <w:rsid w:val="00AA5374"/>
    <w:rsid w:val="00AA5377"/>
    <w:rsid w:val="00AA54F9"/>
    <w:rsid w:val="00AA5572"/>
    <w:rsid w:val="00AA596E"/>
    <w:rsid w:val="00AA5BD5"/>
    <w:rsid w:val="00AA5D2D"/>
    <w:rsid w:val="00AA5DFB"/>
    <w:rsid w:val="00AA5E0D"/>
    <w:rsid w:val="00AA5E95"/>
    <w:rsid w:val="00AA5EFC"/>
    <w:rsid w:val="00AA5F16"/>
    <w:rsid w:val="00AA5F20"/>
    <w:rsid w:val="00AA5F4C"/>
    <w:rsid w:val="00AA5FDA"/>
    <w:rsid w:val="00AA6028"/>
    <w:rsid w:val="00AA6206"/>
    <w:rsid w:val="00AA62A3"/>
    <w:rsid w:val="00AA64AE"/>
    <w:rsid w:val="00AA65BC"/>
    <w:rsid w:val="00AA66DD"/>
    <w:rsid w:val="00AA6A17"/>
    <w:rsid w:val="00AA6E4B"/>
    <w:rsid w:val="00AA6FE5"/>
    <w:rsid w:val="00AA7186"/>
    <w:rsid w:val="00AA72BB"/>
    <w:rsid w:val="00AA72F0"/>
    <w:rsid w:val="00AA7426"/>
    <w:rsid w:val="00AA74EC"/>
    <w:rsid w:val="00AA7567"/>
    <w:rsid w:val="00AA75A6"/>
    <w:rsid w:val="00AA7680"/>
    <w:rsid w:val="00AA77D4"/>
    <w:rsid w:val="00AA77F1"/>
    <w:rsid w:val="00AA794B"/>
    <w:rsid w:val="00AA79EF"/>
    <w:rsid w:val="00AA7B0E"/>
    <w:rsid w:val="00AA7B8B"/>
    <w:rsid w:val="00AA7B9A"/>
    <w:rsid w:val="00AA7C79"/>
    <w:rsid w:val="00AA7D0D"/>
    <w:rsid w:val="00AA7DA8"/>
    <w:rsid w:val="00AA7FBC"/>
    <w:rsid w:val="00AB0088"/>
    <w:rsid w:val="00AB00BC"/>
    <w:rsid w:val="00AB00DB"/>
    <w:rsid w:val="00AB010D"/>
    <w:rsid w:val="00AB01D6"/>
    <w:rsid w:val="00AB03A4"/>
    <w:rsid w:val="00AB03D5"/>
    <w:rsid w:val="00AB0531"/>
    <w:rsid w:val="00AB0596"/>
    <w:rsid w:val="00AB07A1"/>
    <w:rsid w:val="00AB0881"/>
    <w:rsid w:val="00AB0930"/>
    <w:rsid w:val="00AB0C6B"/>
    <w:rsid w:val="00AB0CB4"/>
    <w:rsid w:val="00AB0D4E"/>
    <w:rsid w:val="00AB0D54"/>
    <w:rsid w:val="00AB0D63"/>
    <w:rsid w:val="00AB0E3B"/>
    <w:rsid w:val="00AB0E6B"/>
    <w:rsid w:val="00AB0F19"/>
    <w:rsid w:val="00AB1038"/>
    <w:rsid w:val="00AB11FA"/>
    <w:rsid w:val="00AB128D"/>
    <w:rsid w:val="00AB12DB"/>
    <w:rsid w:val="00AB148C"/>
    <w:rsid w:val="00AB14C8"/>
    <w:rsid w:val="00AB14F1"/>
    <w:rsid w:val="00AB158D"/>
    <w:rsid w:val="00AB15FB"/>
    <w:rsid w:val="00AB163B"/>
    <w:rsid w:val="00AB16D9"/>
    <w:rsid w:val="00AB17DA"/>
    <w:rsid w:val="00AB1918"/>
    <w:rsid w:val="00AB1AEB"/>
    <w:rsid w:val="00AB1B6E"/>
    <w:rsid w:val="00AB1BF8"/>
    <w:rsid w:val="00AB1CAA"/>
    <w:rsid w:val="00AB1CC8"/>
    <w:rsid w:val="00AB1E5E"/>
    <w:rsid w:val="00AB1ED6"/>
    <w:rsid w:val="00AB1FCB"/>
    <w:rsid w:val="00AB203E"/>
    <w:rsid w:val="00AB2178"/>
    <w:rsid w:val="00AB2216"/>
    <w:rsid w:val="00AB231B"/>
    <w:rsid w:val="00AB24AB"/>
    <w:rsid w:val="00AB26FA"/>
    <w:rsid w:val="00AB28CC"/>
    <w:rsid w:val="00AB297F"/>
    <w:rsid w:val="00AB2A4B"/>
    <w:rsid w:val="00AB2E4F"/>
    <w:rsid w:val="00AB2E97"/>
    <w:rsid w:val="00AB2F07"/>
    <w:rsid w:val="00AB2FDF"/>
    <w:rsid w:val="00AB310E"/>
    <w:rsid w:val="00AB3225"/>
    <w:rsid w:val="00AB33A3"/>
    <w:rsid w:val="00AB33BA"/>
    <w:rsid w:val="00AB3488"/>
    <w:rsid w:val="00AB3515"/>
    <w:rsid w:val="00AB3739"/>
    <w:rsid w:val="00AB3814"/>
    <w:rsid w:val="00AB383C"/>
    <w:rsid w:val="00AB394A"/>
    <w:rsid w:val="00AB398D"/>
    <w:rsid w:val="00AB3A85"/>
    <w:rsid w:val="00AB3AAF"/>
    <w:rsid w:val="00AB3B96"/>
    <w:rsid w:val="00AB3B9F"/>
    <w:rsid w:val="00AB3C52"/>
    <w:rsid w:val="00AB3CEF"/>
    <w:rsid w:val="00AB3E29"/>
    <w:rsid w:val="00AB3E6A"/>
    <w:rsid w:val="00AB3E7C"/>
    <w:rsid w:val="00AB3EAA"/>
    <w:rsid w:val="00AB40C2"/>
    <w:rsid w:val="00AB427A"/>
    <w:rsid w:val="00AB45FB"/>
    <w:rsid w:val="00AB4621"/>
    <w:rsid w:val="00AB4638"/>
    <w:rsid w:val="00AB468F"/>
    <w:rsid w:val="00AB4776"/>
    <w:rsid w:val="00AB47CF"/>
    <w:rsid w:val="00AB4B96"/>
    <w:rsid w:val="00AB4BCC"/>
    <w:rsid w:val="00AB4C67"/>
    <w:rsid w:val="00AB4D35"/>
    <w:rsid w:val="00AB4EFE"/>
    <w:rsid w:val="00AB4F15"/>
    <w:rsid w:val="00AB4F64"/>
    <w:rsid w:val="00AB5333"/>
    <w:rsid w:val="00AB5364"/>
    <w:rsid w:val="00AB5544"/>
    <w:rsid w:val="00AB5583"/>
    <w:rsid w:val="00AB564B"/>
    <w:rsid w:val="00AB564D"/>
    <w:rsid w:val="00AB5802"/>
    <w:rsid w:val="00AB5929"/>
    <w:rsid w:val="00AB5950"/>
    <w:rsid w:val="00AB5952"/>
    <w:rsid w:val="00AB59A3"/>
    <w:rsid w:val="00AB59E8"/>
    <w:rsid w:val="00AB5DE4"/>
    <w:rsid w:val="00AB5DF7"/>
    <w:rsid w:val="00AB5FFD"/>
    <w:rsid w:val="00AB6086"/>
    <w:rsid w:val="00AB6194"/>
    <w:rsid w:val="00AB621C"/>
    <w:rsid w:val="00AB633F"/>
    <w:rsid w:val="00AB65AA"/>
    <w:rsid w:val="00AB6608"/>
    <w:rsid w:val="00AB6614"/>
    <w:rsid w:val="00AB666C"/>
    <w:rsid w:val="00AB6681"/>
    <w:rsid w:val="00AB66F3"/>
    <w:rsid w:val="00AB6705"/>
    <w:rsid w:val="00AB6756"/>
    <w:rsid w:val="00AB6791"/>
    <w:rsid w:val="00AB6888"/>
    <w:rsid w:val="00AB69AA"/>
    <w:rsid w:val="00AB6A08"/>
    <w:rsid w:val="00AB6AB7"/>
    <w:rsid w:val="00AB6AD6"/>
    <w:rsid w:val="00AB6CE7"/>
    <w:rsid w:val="00AB6ED3"/>
    <w:rsid w:val="00AB70C7"/>
    <w:rsid w:val="00AB7237"/>
    <w:rsid w:val="00AB742D"/>
    <w:rsid w:val="00AB7443"/>
    <w:rsid w:val="00AB7861"/>
    <w:rsid w:val="00AB78A0"/>
    <w:rsid w:val="00AB78E2"/>
    <w:rsid w:val="00AB7946"/>
    <w:rsid w:val="00AB796E"/>
    <w:rsid w:val="00AB7B8C"/>
    <w:rsid w:val="00AB7CC3"/>
    <w:rsid w:val="00AB7CD2"/>
    <w:rsid w:val="00AB7DF5"/>
    <w:rsid w:val="00AB7E28"/>
    <w:rsid w:val="00AB7F82"/>
    <w:rsid w:val="00AC00E2"/>
    <w:rsid w:val="00AC0426"/>
    <w:rsid w:val="00AC04D8"/>
    <w:rsid w:val="00AC050B"/>
    <w:rsid w:val="00AC062F"/>
    <w:rsid w:val="00AC06FE"/>
    <w:rsid w:val="00AC0749"/>
    <w:rsid w:val="00AC0804"/>
    <w:rsid w:val="00AC0866"/>
    <w:rsid w:val="00AC0A11"/>
    <w:rsid w:val="00AC0BC8"/>
    <w:rsid w:val="00AC0CF8"/>
    <w:rsid w:val="00AC0D75"/>
    <w:rsid w:val="00AC0D95"/>
    <w:rsid w:val="00AC0E25"/>
    <w:rsid w:val="00AC0ECC"/>
    <w:rsid w:val="00AC1070"/>
    <w:rsid w:val="00AC1102"/>
    <w:rsid w:val="00AC1271"/>
    <w:rsid w:val="00AC1298"/>
    <w:rsid w:val="00AC1400"/>
    <w:rsid w:val="00AC1476"/>
    <w:rsid w:val="00AC14FC"/>
    <w:rsid w:val="00AC1658"/>
    <w:rsid w:val="00AC16DD"/>
    <w:rsid w:val="00AC174B"/>
    <w:rsid w:val="00AC1873"/>
    <w:rsid w:val="00AC1960"/>
    <w:rsid w:val="00AC1CAF"/>
    <w:rsid w:val="00AC1D10"/>
    <w:rsid w:val="00AC1D4E"/>
    <w:rsid w:val="00AC1E9A"/>
    <w:rsid w:val="00AC20A6"/>
    <w:rsid w:val="00AC20B1"/>
    <w:rsid w:val="00AC22D4"/>
    <w:rsid w:val="00AC23C6"/>
    <w:rsid w:val="00AC23EB"/>
    <w:rsid w:val="00AC2430"/>
    <w:rsid w:val="00AC247E"/>
    <w:rsid w:val="00AC251D"/>
    <w:rsid w:val="00AC2590"/>
    <w:rsid w:val="00AC276F"/>
    <w:rsid w:val="00AC2833"/>
    <w:rsid w:val="00AC284E"/>
    <w:rsid w:val="00AC28FE"/>
    <w:rsid w:val="00AC2925"/>
    <w:rsid w:val="00AC2983"/>
    <w:rsid w:val="00AC2997"/>
    <w:rsid w:val="00AC2A41"/>
    <w:rsid w:val="00AC2A49"/>
    <w:rsid w:val="00AC2A4A"/>
    <w:rsid w:val="00AC2A80"/>
    <w:rsid w:val="00AC2B29"/>
    <w:rsid w:val="00AC2BA2"/>
    <w:rsid w:val="00AC2BA4"/>
    <w:rsid w:val="00AC2BA9"/>
    <w:rsid w:val="00AC2C18"/>
    <w:rsid w:val="00AC2EBD"/>
    <w:rsid w:val="00AC2F05"/>
    <w:rsid w:val="00AC3043"/>
    <w:rsid w:val="00AC30E0"/>
    <w:rsid w:val="00AC31AF"/>
    <w:rsid w:val="00AC33EB"/>
    <w:rsid w:val="00AC33FC"/>
    <w:rsid w:val="00AC37BD"/>
    <w:rsid w:val="00AC3AF0"/>
    <w:rsid w:val="00AC3C33"/>
    <w:rsid w:val="00AC3C77"/>
    <w:rsid w:val="00AC3D7B"/>
    <w:rsid w:val="00AC3F23"/>
    <w:rsid w:val="00AC3F8C"/>
    <w:rsid w:val="00AC405F"/>
    <w:rsid w:val="00AC40BE"/>
    <w:rsid w:val="00AC4183"/>
    <w:rsid w:val="00AC4207"/>
    <w:rsid w:val="00AC4304"/>
    <w:rsid w:val="00AC45F6"/>
    <w:rsid w:val="00AC462E"/>
    <w:rsid w:val="00AC46B3"/>
    <w:rsid w:val="00AC48A9"/>
    <w:rsid w:val="00AC48E8"/>
    <w:rsid w:val="00AC4BB9"/>
    <w:rsid w:val="00AC4BF1"/>
    <w:rsid w:val="00AC4C03"/>
    <w:rsid w:val="00AC4D07"/>
    <w:rsid w:val="00AC4DB7"/>
    <w:rsid w:val="00AC4DDE"/>
    <w:rsid w:val="00AC4DE4"/>
    <w:rsid w:val="00AC4E45"/>
    <w:rsid w:val="00AC4E5E"/>
    <w:rsid w:val="00AC4F2E"/>
    <w:rsid w:val="00AC4F49"/>
    <w:rsid w:val="00AC50EF"/>
    <w:rsid w:val="00AC520B"/>
    <w:rsid w:val="00AC526A"/>
    <w:rsid w:val="00AC531E"/>
    <w:rsid w:val="00AC53E0"/>
    <w:rsid w:val="00AC5401"/>
    <w:rsid w:val="00AC542B"/>
    <w:rsid w:val="00AC54B5"/>
    <w:rsid w:val="00AC54D1"/>
    <w:rsid w:val="00AC5567"/>
    <w:rsid w:val="00AC55F5"/>
    <w:rsid w:val="00AC5827"/>
    <w:rsid w:val="00AC5888"/>
    <w:rsid w:val="00AC5969"/>
    <w:rsid w:val="00AC59F6"/>
    <w:rsid w:val="00AC5BB6"/>
    <w:rsid w:val="00AC5BC2"/>
    <w:rsid w:val="00AC5D11"/>
    <w:rsid w:val="00AC5F86"/>
    <w:rsid w:val="00AC6038"/>
    <w:rsid w:val="00AC6276"/>
    <w:rsid w:val="00AC63A4"/>
    <w:rsid w:val="00AC63E1"/>
    <w:rsid w:val="00AC6510"/>
    <w:rsid w:val="00AC6618"/>
    <w:rsid w:val="00AC6751"/>
    <w:rsid w:val="00AC67EC"/>
    <w:rsid w:val="00AC68A3"/>
    <w:rsid w:val="00AC6A37"/>
    <w:rsid w:val="00AC6C22"/>
    <w:rsid w:val="00AC6C32"/>
    <w:rsid w:val="00AC6C56"/>
    <w:rsid w:val="00AC6CEC"/>
    <w:rsid w:val="00AC6DDE"/>
    <w:rsid w:val="00AC6EAF"/>
    <w:rsid w:val="00AC6F3A"/>
    <w:rsid w:val="00AC6FD4"/>
    <w:rsid w:val="00AC72D3"/>
    <w:rsid w:val="00AC7413"/>
    <w:rsid w:val="00AC74C0"/>
    <w:rsid w:val="00AC74DA"/>
    <w:rsid w:val="00AC74F0"/>
    <w:rsid w:val="00AC75B2"/>
    <w:rsid w:val="00AC774B"/>
    <w:rsid w:val="00AC7A70"/>
    <w:rsid w:val="00AC7AFC"/>
    <w:rsid w:val="00AC7B41"/>
    <w:rsid w:val="00AC7C4D"/>
    <w:rsid w:val="00AC7E78"/>
    <w:rsid w:val="00AD0006"/>
    <w:rsid w:val="00AD0187"/>
    <w:rsid w:val="00AD01B0"/>
    <w:rsid w:val="00AD01BD"/>
    <w:rsid w:val="00AD020F"/>
    <w:rsid w:val="00AD02D4"/>
    <w:rsid w:val="00AD02DC"/>
    <w:rsid w:val="00AD0436"/>
    <w:rsid w:val="00AD053B"/>
    <w:rsid w:val="00AD0627"/>
    <w:rsid w:val="00AD0752"/>
    <w:rsid w:val="00AD07CE"/>
    <w:rsid w:val="00AD07F9"/>
    <w:rsid w:val="00AD0906"/>
    <w:rsid w:val="00AD0A08"/>
    <w:rsid w:val="00AD0A0B"/>
    <w:rsid w:val="00AD0A21"/>
    <w:rsid w:val="00AD0A35"/>
    <w:rsid w:val="00AD0A3F"/>
    <w:rsid w:val="00AD0A53"/>
    <w:rsid w:val="00AD0B04"/>
    <w:rsid w:val="00AD0B9D"/>
    <w:rsid w:val="00AD0CC7"/>
    <w:rsid w:val="00AD0D81"/>
    <w:rsid w:val="00AD0E2B"/>
    <w:rsid w:val="00AD10DB"/>
    <w:rsid w:val="00AD137E"/>
    <w:rsid w:val="00AD13C3"/>
    <w:rsid w:val="00AD1404"/>
    <w:rsid w:val="00AD14F2"/>
    <w:rsid w:val="00AD1538"/>
    <w:rsid w:val="00AD159D"/>
    <w:rsid w:val="00AD15FA"/>
    <w:rsid w:val="00AD17D0"/>
    <w:rsid w:val="00AD1834"/>
    <w:rsid w:val="00AD1978"/>
    <w:rsid w:val="00AD1AC6"/>
    <w:rsid w:val="00AD1DCA"/>
    <w:rsid w:val="00AD1E00"/>
    <w:rsid w:val="00AD2019"/>
    <w:rsid w:val="00AD205B"/>
    <w:rsid w:val="00AD20EB"/>
    <w:rsid w:val="00AD2166"/>
    <w:rsid w:val="00AD242D"/>
    <w:rsid w:val="00AD24AE"/>
    <w:rsid w:val="00AD2549"/>
    <w:rsid w:val="00AD2569"/>
    <w:rsid w:val="00AD25AD"/>
    <w:rsid w:val="00AD25CB"/>
    <w:rsid w:val="00AD260C"/>
    <w:rsid w:val="00AD26A7"/>
    <w:rsid w:val="00AD26CC"/>
    <w:rsid w:val="00AD27E2"/>
    <w:rsid w:val="00AD2AFB"/>
    <w:rsid w:val="00AD2B6F"/>
    <w:rsid w:val="00AD2B93"/>
    <w:rsid w:val="00AD2DB8"/>
    <w:rsid w:val="00AD2F7E"/>
    <w:rsid w:val="00AD3149"/>
    <w:rsid w:val="00AD31DF"/>
    <w:rsid w:val="00AD323C"/>
    <w:rsid w:val="00AD32A4"/>
    <w:rsid w:val="00AD33DA"/>
    <w:rsid w:val="00AD35AE"/>
    <w:rsid w:val="00AD35EE"/>
    <w:rsid w:val="00AD3625"/>
    <w:rsid w:val="00AD36DB"/>
    <w:rsid w:val="00AD38C4"/>
    <w:rsid w:val="00AD397F"/>
    <w:rsid w:val="00AD3ACB"/>
    <w:rsid w:val="00AD3B11"/>
    <w:rsid w:val="00AD3B8F"/>
    <w:rsid w:val="00AD3BBC"/>
    <w:rsid w:val="00AD3D15"/>
    <w:rsid w:val="00AD3FAD"/>
    <w:rsid w:val="00AD40D5"/>
    <w:rsid w:val="00AD417B"/>
    <w:rsid w:val="00AD428E"/>
    <w:rsid w:val="00AD42AA"/>
    <w:rsid w:val="00AD4385"/>
    <w:rsid w:val="00AD441F"/>
    <w:rsid w:val="00AD4456"/>
    <w:rsid w:val="00AD4479"/>
    <w:rsid w:val="00AD451B"/>
    <w:rsid w:val="00AD45BE"/>
    <w:rsid w:val="00AD4654"/>
    <w:rsid w:val="00AD4717"/>
    <w:rsid w:val="00AD4867"/>
    <w:rsid w:val="00AD488C"/>
    <w:rsid w:val="00AD4919"/>
    <w:rsid w:val="00AD49C5"/>
    <w:rsid w:val="00AD4A63"/>
    <w:rsid w:val="00AD4AA1"/>
    <w:rsid w:val="00AD4B56"/>
    <w:rsid w:val="00AD4EC7"/>
    <w:rsid w:val="00AD4F31"/>
    <w:rsid w:val="00AD50D7"/>
    <w:rsid w:val="00AD5296"/>
    <w:rsid w:val="00AD554C"/>
    <w:rsid w:val="00AD55A7"/>
    <w:rsid w:val="00AD5764"/>
    <w:rsid w:val="00AD588F"/>
    <w:rsid w:val="00AD5B21"/>
    <w:rsid w:val="00AD5C9F"/>
    <w:rsid w:val="00AD5D81"/>
    <w:rsid w:val="00AD5DCF"/>
    <w:rsid w:val="00AD5E7D"/>
    <w:rsid w:val="00AD61A9"/>
    <w:rsid w:val="00AD633C"/>
    <w:rsid w:val="00AD63AF"/>
    <w:rsid w:val="00AD64F7"/>
    <w:rsid w:val="00AD671A"/>
    <w:rsid w:val="00AD67A0"/>
    <w:rsid w:val="00AD6839"/>
    <w:rsid w:val="00AD68CE"/>
    <w:rsid w:val="00AD6924"/>
    <w:rsid w:val="00AD6943"/>
    <w:rsid w:val="00AD69A0"/>
    <w:rsid w:val="00AD6B00"/>
    <w:rsid w:val="00AD6D09"/>
    <w:rsid w:val="00AD6D34"/>
    <w:rsid w:val="00AD6D5D"/>
    <w:rsid w:val="00AD6E45"/>
    <w:rsid w:val="00AD6EF4"/>
    <w:rsid w:val="00AD6F69"/>
    <w:rsid w:val="00AD6F7F"/>
    <w:rsid w:val="00AD6FE0"/>
    <w:rsid w:val="00AD7125"/>
    <w:rsid w:val="00AD7191"/>
    <w:rsid w:val="00AD7311"/>
    <w:rsid w:val="00AD736C"/>
    <w:rsid w:val="00AD74A6"/>
    <w:rsid w:val="00AD759C"/>
    <w:rsid w:val="00AD761D"/>
    <w:rsid w:val="00AD789C"/>
    <w:rsid w:val="00AD795D"/>
    <w:rsid w:val="00AD7AE9"/>
    <w:rsid w:val="00AD7B36"/>
    <w:rsid w:val="00AD7D3F"/>
    <w:rsid w:val="00AD7F0C"/>
    <w:rsid w:val="00AD7F3E"/>
    <w:rsid w:val="00AD7F44"/>
    <w:rsid w:val="00AE0062"/>
    <w:rsid w:val="00AE00FF"/>
    <w:rsid w:val="00AE0160"/>
    <w:rsid w:val="00AE01E9"/>
    <w:rsid w:val="00AE026A"/>
    <w:rsid w:val="00AE028D"/>
    <w:rsid w:val="00AE0296"/>
    <w:rsid w:val="00AE032E"/>
    <w:rsid w:val="00AE05AC"/>
    <w:rsid w:val="00AE05BA"/>
    <w:rsid w:val="00AE05E5"/>
    <w:rsid w:val="00AE0706"/>
    <w:rsid w:val="00AE084D"/>
    <w:rsid w:val="00AE0887"/>
    <w:rsid w:val="00AE090C"/>
    <w:rsid w:val="00AE0A46"/>
    <w:rsid w:val="00AE0AD9"/>
    <w:rsid w:val="00AE0B40"/>
    <w:rsid w:val="00AE0D66"/>
    <w:rsid w:val="00AE0EB3"/>
    <w:rsid w:val="00AE12B0"/>
    <w:rsid w:val="00AE143F"/>
    <w:rsid w:val="00AE149F"/>
    <w:rsid w:val="00AE16B8"/>
    <w:rsid w:val="00AE18E7"/>
    <w:rsid w:val="00AE1975"/>
    <w:rsid w:val="00AE19B7"/>
    <w:rsid w:val="00AE1A7A"/>
    <w:rsid w:val="00AE1B44"/>
    <w:rsid w:val="00AE1BAE"/>
    <w:rsid w:val="00AE1C18"/>
    <w:rsid w:val="00AE1C81"/>
    <w:rsid w:val="00AE1D07"/>
    <w:rsid w:val="00AE1DC0"/>
    <w:rsid w:val="00AE1FC4"/>
    <w:rsid w:val="00AE21A6"/>
    <w:rsid w:val="00AE21AF"/>
    <w:rsid w:val="00AE2206"/>
    <w:rsid w:val="00AE2268"/>
    <w:rsid w:val="00AE236A"/>
    <w:rsid w:val="00AE243C"/>
    <w:rsid w:val="00AE26B7"/>
    <w:rsid w:val="00AE2722"/>
    <w:rsid w:val="00AE2736"/>
    <w:rsid w:val="00AE274A"/>
    <w:rsid w:val="00AE2ABC"/>
    <w:rsid w:val="00AE2B6A"/>
    <w:rsid w:val="00AE2B75"/>
    <w:rsid w:val="00AE2C55"/>
    <w:rsid w:val="00AE2C84"/>
    <w:rsid w:val="00AE2CC2"/>
    <w:rsid w:val="00AE2E0D"/>
    <w:rsid w:val="00AE2F18"/>
    <w:rsid w:val="00AE2F30"/>
    <w:rsid w:val="00AE2F48"/>
    <w:rsid w:val="00AE2F90"/>
    <w:rsid w:val="00AE3069"/>
    <w:rsid w:val="00AE31CF"/>
    <w:rsid w:val="00AE31DD"/>
    <w:rsid w:val="00AE31F3"/>
    <w:rsid w:val="00AE3210"/>
    <w:rsid w:val="00AE337C"/>
    <w:rsid w:val="00AE33D3"/>
    <w:rsid w:val="00AE35D2"/>
    <w:rsid w:val="00AE398D"/>
    <w:rsid w:val="00AE3A53"/>
    <w:rsid w:val="00AE3A66"/>
    <w:rsid w:val="00AE3B0A"/>
    <w:rsid w:val="00AE3BC3"/>
    <w:rsid w:val="00AE3BD8"/>
    <w:rsid w:val="00AE3C3C"/>
    <w:rsid w:val="00AE3C92"/>
    <w:rsid w:val="00AE4025"/>
    <w:rsid w:val="00AE4092"/>
    <w:rsid w:val="00AE40AD"/>
    <w:rsid w:val="00AE41BF"/>
    <w:rsid w:val="00AE4324"/>
    <w:rsid w:val="00AE436D"/>
    <w:rsid w:val="00AE4571"/>
    <w:rsid w:val="00AE4646"/>
    <w:rsid w:val="00AE4743"/>
    <w:rsid w:val="00AE47F3"/>
    <w:rsid w:val="00AE4A14"/>
    <w:rsid w:val="00AE4AED"/>
    <w:rsid w:val="00AE4AFC"/>
    <w:rsid w:val="00AE4CD5"/>
    <w:rsid w:val="00AE4EDB"/>
    <w:rsid w:val="00AE4EF6"/>
    <w:rsid w:val="00AE4F1C"/>
    <w:rsid w:val="00AE4F83"/>
    <w:rsid w:val="00AE5173"/>
    <w:rsid w:val="00AE51F9"/>
    <w:rsid w:val="00AE5303"/>
    <w:rsid w:val="00AE53CE"/>
    <w:rsid w:val="00AE5406"/>
    <w:rsid w:val="00AE5475"/>
    <w:rsid w:val="00AE577D"/>
    <w:rsid w:val="00AE57CD"/>
    <w:rsid w:val="00AE57EF"/>
    <w:rsid w:val="00AE59A6"/>
    <w:rsid w:val="00AE5A3B"/>
    <w:rsid w:val="00AE5A9E"/>
    <w:rsid w:val="00AE5B09"/>
    <w:rsid w:val="00AE5B13"/>
    <w:rsid w:val="00AE5BC1"/>
    <w:rsid w:val="00AE5D63"/>
    <w:rsid w:val="00AE5FF9"/>
    <w:rsid w:val="00AE6018"/>
    <w:rsid w:val="00AE608D"/>
    <w:rsid w:val="00AE61B4"/>
    <w:rsid w:val="00AE61CC"/>
    <w:rsid w:val="00AE6349"/>
    <w:rsid w:val="00AE6428"/>
    <w:rsid w:val="00AE642E"/>
    <w:rsid w:val="00AE64F7"/>
    <w:rsid w:val="00AE654D"/>
    <w:rsid w:val="00AE65D3"/>
    <w:rsid w:val="00AE65FE"/>
    <w:rsid w:val="00AE663D"/>
    <w:rsid w:val="00AE671D"/>
    <w:rsid w:val="00AE6723"/>
    <w:rsid w:val="00AE6890"/>
    <w:rsid w:val="00AE6AE8"/>
    <w:rsid w:val="00AE6C47"/>
    <w:rsid w:val="00AE6E6E"/>
    <w:rsid w:val="00AE7020"/>
    <w:rsid w:val="00AE7167"/>
    <w:rsid w:val="00AE724E"/>
    <w:rsid w:val="00AE74BB"/>
    <w:rsid w:val="00AE7607"/>
    <w:rsid w:val="00AE76C0"/>
    <w:rsid w:val="00AE7A90"/>
    <w:rsid w:val="00AE7A99"/>
    <w:rsid w:val="00AE7CFE"/>
    <w:rsid w:val="00AE7DA3"/>
    <w:rsid w:val="00AE7DED"/>
    <w:rsid w:val="00AF0089"/>
    <w:rsid w:val="00AF00BF"/>
    <w:rsid w:val="00AF0263"/>
    <w:rsid w:val="00AF02D0"/>
    <w:rsid w:val="00AF05BD"/>
    <w:rsid w:val="00AF06CE"/>
    <w:rsid w:val="00AF0714"/>
    <w:rsid w:val="00AF072F"/>
    <w:rsid w:val="00AF09D1"/>
    <w:rsid w:val="00AF09DA"/>
    <w:rsid w:val="00AF0AA5"/>
    <w:rsid w:val="00AF0AD6"/>
    <w:rsid w:val="00AF0B4D"/>
    <w:rsid w:val="00AF0B57"/>
    <w:rsid w:val="00AF0BC0"/>
    <w:rsid w:val="00AF0C78"/>
    <w:rsid w:val="00AF0D8A"/>
    <w:rsid w:val="00AF0E4C"/>
    <w:rsid w:val="00AF0F3A"/>
    <w:rsid w:val="00AF1093"/>
    <w:rsid w:val="00AF111D"/>
    <w:rsid w:val="00AF11D4"/>
    <w:rsid w:val="00AF12BD"/>
    <w:rsid w:val="00AF1377"/>
    <w:rsid w:val="00AF13A4"/>
    <w:rsid w:val="00AF13C3"/>
    <w:rsid w:val="00AF1449"/>
    <w:rsid w:val="00AF15D3"/>
    <w:rsid w:val="00AF1601"/>
    <w:rsid w:val="00AF167C"/>
    <w:rsid w:val="00AF174D"/>
    <w:rsid w:val="00AF17B4"/>
    <w:rsid w:val="00AF18B9"/>
    <w:rsid w:val="00AF1AC5"/>
    <w:rsid w:val="00AF1AE4"/>
    <w:rsid w:val="00AF1AE7"/>
    <w:rsid w:val="00AF1BFC"/>
    <w:rsid w:val="00AF1EE4"/>
    <w:rsid w:val="00AF1F21"/>
    <w:rsid w:val="00AF2011"/>
    <w:rsid w:val="00AF208A"/>
    <w:rsid w:val="00AF2101"/>
    <w:rsid w:val="00AF226D"/>
    <w:rsid w:val="00AF2295"/>
    <w:rsid w:val="00AF22A4"/>
    <w:rsid w:val="00AF23A3"/>
    <w:rsid w:val="00AF261B"/>
    <w:rsid w:val="00AF2642"/>
    <w:rsid w:val="00AF26B0"/>
    <w:rsid w:val="00AF26D6"/>
    <w:rsid w:val="00AF292C"/>
    <w:rsid w:val="00AF2A46"/>
    <w:rsid w:val="00AF2BF2"/>
    <w:rsid w:val="00AF2DE5"/>
    <w:rsid w:val="00AF2E78"/>
    <w:rsid w:val="00AF2EA5"/>
    <w:rsid w:val="00AF2F0B"/>
    <w:rsid w:val="00AF2F6B"/>
    <w:rsid w:val="00AF311E"/>
    <w:rsid w:val="00AF31B9"/>
    <w:rsid w:val="00AF325C"/>
    <w:rsid w:val="00AF32DE"/>
    <w:rsid w:val="00AF3556"/>
    <w:rsid w:val="00AF36FD"/>
    <w:rsid w:val="00AF374B"/>
    <w:rsid w:val="00AF38C3"/>
    <w:rsid w:val="00AF3959"/>
    <w:rsid w:val="00AF3B13"/>
    <w:rsid w:val="00AF3C04"/>
    <w:rsid w:val="00AF3C14"/>
    <w:rsid w:val="00AF3C9C"/>
    <w:rsid w:val="00AF3D29"/>
    <w:rsid w:val="00AF3D2D"/>
    <w:rsid w:val="00AF3F19"/>
    <w:rsid w:val="00AF3F3C"/>
    <w:rsid w:val="00AF3F64"/>
    <w:rsid w:val="00AF401D"/>
    <w:rsid w:val="00AF4072"/>
    <w:rsid w:val="00AF40CD"/>
    <w:rsid w:val="00AF428E"/>
    <w:rsid w:val="00AF434A"/>
    <w:rsid w:val="00AF43A1"/>
    <w:rsid w:val="00AF4524"/>
    <w:rsid w:val="00AF454A"/>
    <w:rsid w:val="00AF4671"/>
    <w:rsid w:val="00AF4673"/>
    <w:rsid w:val="00AF473E"/>
    <w:rsid w:val="00AF47A5"/>
    <w:rsid w:val="00AF47B4"/>
    <w:rsid w:val="00AF48F3"/>
    <w:rsid w:val="00AF4BCA"/>
    <w:rsid w:val="00AF4C3D"/>
    <w:rsid w:val="00AF4CA7"/>
    <w:rsid w:val="00AF4D2B"/>
    <w:rsid w:val="00AF4D72"/>
    <w:rsid w:val="00AF4D7B"/>
    <w:rsid w:val="00AF4E4D"/>
    <w:rsid w:val="00AF50BF"/>
    <w:rsid w:val="00AF5234"/>
    <w:rsid w:val="00AF5388"/>
    <w:rsid w:val="00AF53B3"/>
    <w:rsid w:val="00AF5456"/>
    <w:rsid w:val="00AF5457"/>
    <w:rsid w:val="00AF564E"/>
    <w:rsid w:val="00AF568D"/>
    <w:rsid w:val="00AF57FC"/>
    <w:rsid w:val="00AF582E"/>
    <w:rsid w:val="00AF598A"/>
    <w:rsid w:val="00AF598E"/>
    <w:rsid w:val="00AF5B02"/>
    <w:rsid w:val="00AF5B6A"/>
    <w:rsid w:val="00AF5BB4"/>
    <w:rsid w:val="00AF5CFA"/>
    <w:rsid w:val="00AF5D55"/>
    <w:rsid w:val="00AF6190"/>
    <w:rsid w:val="00AF65DB"/>
    <w:rsid w:val="00AF6682"/>
    <w:rsid w:val="00AF668A"/>
    <w:rsid w:val="00AF66B1"/>
    <w:rsid w:val="00AF6763"/>
    <w:rsid w:val="00AF680C"/>
    <w:rsid w:val="00AF6B05"/>
    <w:rsid w:val="00AF6CC9"/>
    <w:rsid w:val="00AF6CFD"/>
    <w:rsid w:val="00AF6D81"/>
    <w:rsid w:val="00AF6EA7"/>
    <w:rsid w:val="00AF6F3A"/>
    <w:rsid w:val="00AF708B"/>
    <w:rsid w:val="00AF70E7"/>
    <w:rsid w:val="00AF72E9"/>
    <w:rsid w:val="00AF7336"/>
    <w:rsid w:val="00AF743F"/>
    <w:rsid w:val="00AF7481"/>
    <w:rsid w:val="00AF74F9"/>
    <w:rsid w:val="00AF754C"/>
    <w:rsid w:val="00AF765A"/>
    <w:rsid w:val="00AF7A59"/>
    <w:rsid w:val="00AF7AEF"/>
    <w:rsid w:val="00AF7B98"/>
    <w:rsid w:val="00AF7BF3"/>
    <w:rsid w:val="00AF7CEC"/>
    <w:rsid w:val="00AF7D59"/>
    <w:rsid w:val="00AF7DA9"/>
    <w:rsid w:val="00AF7DF4"/>
    <w:rsid w:val="00AF7F2C"/>
    <w:rsid w:val="00AF7F40"/>
    <w:rsid w:val="00B001A2"/>
    <w:rsid w:val="00B00377"/>
    <w:rsid w:val="00B003B3"/>
    <w:rsid w:val="00B00463"/>
    <w:rsid w:val="00B004B9"/>
    <w:rsid w:val="00B0055E"/>
    <w:rsid w:val="00B0067E"/>
    <w:rsid w:val="00B00696"/>
    <w:rsid w:val="00B006B2"/>
    <w:rsid w:val="00B006C5"/>
    <w:rsid w:val="00B0076D"/>
    <w:rsid w:val="00B00919"/>
    <w:rsid w:val="00B0091E"/>
    <w:rsid w:val="00B00982"/>
    <w:rsid w:val="00B00A2A"/>
    <w:rsid w:val="00B00AA8"/>
    <w:rsid w:val="00B00D53"/>
    <w:rsid w:val="00B00EB6"/>
    <w:rsid w:val="00B00EC8"/>
    <w:rsid w:val="00B00F84"/>
    <w:rsid w:val="00B0107C"/>
    <w:rsid w:val="00B010E6"/>
    <w:rsid w:val="00B01133"/>
    <w:rsid w:val="00B01259"/>
    <w:rsid w:val="00B0127A"/>
    <w:rsid w:val="00B0152B"/>
    <w:rsid w:val="00B017F7"/>
    <w:rsid w:val="00B018DE"/>
    <w:rsid w:val="00B01A87"/>
    <w:rsid w:val="00B01D93"/>
    <w:rsid w:val="00B01E88"/>
    <w:rsid w:val="00B01EBC"/>
    <w:rsid w:val="00B01FA2"/>
    <w:rsid w:val="00B02032"/>
    <w:rsid w:val="00B02066"/>
    <w:rsid w:val="00B020DB"/>
    <w:rsid w:val="00B020FB"/>
    <w:rsid w:val="00B02298"/>
    <w:rsid w:val="00B02673"/>
    <w:rsid w:val="00B02722"/>
    <w:rsid w:val="00B02848"/>
    <w:rsid w:val="00B028EE"/>
    <w:rsid w:val="00B02A3C"/>
    <w:rsid w:val="00B02B3A"/>
    <w:rsid w:val="00B02B64"/>
    <w:rsid w:val="00B02CB6"/>
    <w:rsid w:val="00B02D5A"/>
    <w:rsid w:val="00B02D7B"/>
    <w:rsid w:val="00B02D81"/>
    <w:rsid w:val="00B02FF5"/>
    <w:rsid w:val="00B03095"/>
    <w:rsid w:val="00B030B5"/>
    <w:rsid w:val="00B03214"/>
    <w:rsid w:val="00B034AF"/>
    <w:rsid w:val="00B034F9"/>
    <w:rsid w:val="00B0364A"/>
    <w:rsid w:val="00B036BB"/>
    <w:rsid w:val="00B036E1"/>
    <w:rsid w:val="00B0375D"/>
    <w:rsid w:val="00B0378E"/>
    <w:rsid w:val="00B039D5"/>
    <w:rsid w:val="00B03AAC"/>
    <w:rsid w:val="00B03B44"/>
    <w:rsid w:val="00B03C9F"/>
    <w:rsid w:val="00B03D0B"/>
    <w:rsid w:val="00B03D31"/>
    <w:rsid w:val="00B03D93"/>
    <w:rsid w:val="00B03DA8"/>
    <w:rsid w:val="00B03DF9"/>
    <w:rsid w:val="00B03E04"/>
    <w:rsid w:val="00B03F4D"/>
    <w:rsid w:val="00B04006"/>
    <w:rsid w:val="00B04062"/>
    <w:rsid w:val="00B040A5"/>
    <w:rsid w:val="00B040B8"/>
    <w:rsid w:val="00B042CD"/>
    <w:rsid w:val="00B0439F"/>
    <w:rsid w:val="00B0486F"/>
    <w:rsid w:val="00B049A0"/>
    <w:rsid w:val="00B04D4C"/>
    <w:rsid w:val="00B04D76"/>
    <w:rsid w:val="00B04E6D"/>
    <w:rsid w:val="00B0500B"/>
    <w:rsid w:val="00B05017"/>
    <w:rsid w:val="00B0501E"/>
    <w:rsid w:val="00B0504E"/>
    <w:rsid w:val="00B050B9"/>
    <w:rsid w:val="00B05147"/>
    <w:rsid w:val="00B05479"/>
    <w:rsid w:val="00B0569F"/>
    <w:rsid w:val="00B056B0"/>
    <w:rsid w:val="00B0573D"/>
    <w:rsid w:val="00B05892"/>
    <w:rsid w:val="00B0595C"/>
    <w:rsid w:val="00B05A1A"/>
    <w:rsid w:val="00B05A2E"/>
    <w:rsid w:val="00B05A83"/>
    <w:rsid w:val="00B05B2B"/>
    <w:rsid w:val="00B05B8F"/>
    <w:rsid w:val="00B05C43"/>
    <w:rsid w:val="00B05C8D"/>
    <w:rsid w:val="00B05D50"/>
    <w:rsid w:val="00B05D7B"/>
    <w:rsid w:val="00B05FEC"/>
    <w:rsid w:val="00B061E0"/>
    <w:rsid w:val="00B06216"/>
    <w:rsid w:val="00B0622B"/>
    <w:rsid w:val="00B064F6"/>
    <w:rsid w:val="00B06543"/>
    <w:rsid w:val="00B067EC"/>
    <w:rsid w:val="00B06804"/>
    <w:rsid w:val="00B06839"/>
    <w:rsid w:val="00B068D1"/>
    <w:rsid w:val="00B06E39"/>
    <w:rsid w:val="00B06FF5"/>
    <w:rsid w:val="00B0703B"/>
    <w:rsid w:val="00B070B2"/>
    <w:rsid w:val="00B071A3"/>
    <w:rsid w:val="00B071DB"/>
    <w:rsid w:val="00B073F9"/>
    <w:rsid w:val="00B074AC"/>
    <w:rsid w:val="00B076E6"/>
    <w:rsid w:val="00B07878"/>
    <w:rsid w:val="00B07925"/>
    <w:rsid w:val="00B07928"/>
    <w:rsid w:val="00B079D4"/>
    <w:rsid w:val="00B07A04"/>
    <w:rsid w:val="00B07A3D"/>
    <w:rsid w:val="00B07BDC"/>
    <w:rsid w:val="00B07D5E"/>
    <w:rsid w:val="00B07E9E"/>
    <w:rsid w:val="00B07EF1"/>
    <w:rsid w:val="00B100C6"/>
    <w:rsid w:val="00B1020F"/>
    <w:rsid w:val="00B10246"/>
    <w:rsid w:val="00B102AD"/>
    <w:rsid w:val="00B102FE"/>
    <w:rsid w:val="00B1039B"/>
    <w:rsid w:val="00B103AE"/>
    <w:rsid w:val="00B103D5"/>
    <w:rsid w:val="00B1052D"/>
    <w:rsid w:val="00B10606"/>
    <w:rsid w:val="00B106ED"/>
    <w:rsid w:val="00B108F8"/>
    <w:rsid w:val="00B10927"/>
    <w:rsid w:val="00B1094A"/>
    <w:rsid w:val="00B10986"/>
    <w:rsid w:val="00B10A1A"/>
    <w:rsid w:val="00B10AFA"/>
    <w:rsid w:val="00B10B77"/>
    <w:rsid w:val="00B110C5"/>
    <w:rsid w:val="00B11194"/>
    <w:rsid w:val="00B113A5"/>
    <w:rsid w:val="00B11814"/>
    <w:rsid w:val="00B118B7"/>
    <w:rsid w:val="00B118B8"/>
    <w:rsid w:val="00B118D7"/>
    <w:rsid w:val="00B11965"/>
    <w:rsid w:val="00B11983"/>
    <w:rsid w:val="00B11A5B"/>
    <w:rsid w:val="00B11A63"/>
    <w:rsid w:val="00B11ACD"/>
    <w:rsid w:val="00B11AEE"/>
    <w:rsid w:val="00B1212E"/>
    <w:rsid w:val="00B12187"/>
    <w:rsid w:val="00B121B9"/>
    <w:rsid w:val="00B12243"/>
    <w:rsid w:val="00B1235A"/>
    <w:rsid w:val="00B12680"/>
    <w:rsid w:val="00B12811"/>
    <w:rsid w:val="00B1282A"/>
    <w:rsid w:val="00B12907"/>
    <w:rsid w:val="00B1292F"/>
    <w:rsid w:val="00B129CF"/>
    <w:rsid w:val="00B12D92"/>
    <w:rsid w:val="00B12E8A"/>
    <w:rsid w:val="00B12EA7"/>
    <w:rsid w:val="00B12EAB"/>
    <w:rsid w:val="00B12F12"/>
    <w:rsid w:val="00B12F71"/>
    <w:rsid w:val="00B12FB7"/>
    <w:rsid w:val="00B13094"/>
    <w:rsid w:val="00B130DA"/>
    <w:rsid w:val="00B1312C"/>
    <w:rsid w:val="00B13215"/>
    <w:rsid w:val="00B132CE"/>
    <w:rsid w:val="00B13505"/>
    <w:rsid w:val="00B13551"/>
    <w:rsid w:val="00B13582"/>
    <w:rsid w:val="00B135B0"/>
    <w:rsid w:val="00B13619"/>
    <w:rsid w:val="00B13665"/>
    <w:rsid w:val="00B13796"/>
    <w:rsid w:val="00B137F5"/>
    <w:rsid w:val="00B1384F"/>
    <w:rsid w:val="00B138F6"/>
    <w:rsid w:val="00B139B8"/>
    <w:rsid w:val="00B13B82"/>
    <w:rsid w:val="00B13C66"/>
    <w:rsid w:val="00B13CBD"/>
    <w:rsid w:val="00B13CE1"/>
    <w:rsid w:val="00B13E8F"/>
    <w:rsid w:val="00B13F69"/>
    <w:rsid w:val="00B13F6F"/>
    <w:rsid w:val="00B13FE8"/>
    <w:rsid w:val="00B1416D"/>
    <w:rsid w:val="00B142C9"/>
    <w:rsid w:val="00B14312"/>
    <w:rsid w:val="00B143DF"/>
    <w:rsid w:val="00B144A3"/>
    <w:rsid w:val="00B14692"/>
    <w:rsid w:val="00B14789"/>
    <w:rsid w:val="00B14797"/>
    <w:rsid w:val="00B14867"/>
    <w:rsid w:val="00B148A3"/>
    <w:rsid w:val="00B148ED"/>
    <w:rsid w:val="00B14A3F"/>
    <w:rsid w:val="00B14B76"/>
    <w:rsid w:val="00B14C3A"/>
    <w:rsid w:val="00B14C4F"/>
    <w:rsid w:val="00B14CDF"/>
    <w:rsid w:val="00B14D88"/>
    <w:rsid w:val="00B14E4C"/>
    <w:rsid w:val="00B14F7A"/>
    <w:rsid w:val="00B14FF5"/>
    <w:rsid w:val="00B150C8"/>
    <w:rsid w:val="00B1515B"/>
    <w:rsid w:val="00B15209"/>
    <w:rsid w:val="00B15238"/>
    <w:rsid w:val="00B1526D"/>
    <w:rsid w:val="00B152BA"/>
    <w:rsid w:val="00B152E4"/>
    <w:rsid w:val="00B15348"/>
    <w:rsid w:val="00B15486"/>
    <w:rsid w:val="00B156F4"/>
    <w:rsid w:val="00B1577F"/>
    <w:rsid w:val="00B157D8"/>
    <w:rsid w:val="00B15938"/>
    <w:rsid w:val="00B1599C"/>
    <w:rsid w:val="00B15ABB"/>
    <w:rsid w:val="00B15B0F"/>
    <w:rsid w:val="00B15BCA"/>
    <w:rsid w:val="00B15DB4"/>
    <w:rsid w:val="00B15EB5"/>
    <w:rsid w:val="00B15FE9"/>
    <w:rsid w:val="00B16058"/>
    <w:rsid w:val="00B16093"/>
    <w:rsid w:val="00B16126"/>
    <w:rsid w:val="00B161C3"/>
    <w:rsid w:val="00B16209"/>
    <w:rsid w:val="00B16285"/>
    <w:rsid w:val="00B16429"/>
    <w:rsid w:val="00B1643D"/>
    <w:rsid w:val="00B1653C"/>
    <w:rsid w:val="00B16678"/>
    <w:rsid w:val="00B1669B"/>
    <w:rsid w:val="00B16899"/>
    <w:rsid w:val="00B16A87"/>
    <w:rsid w:val="00B16AC0"/>
    <w:rsid w:val="00B16DFC"/>
    <w:rsid w:val="00B16F0E"/>
    <w:rsid w:val="00B16F44"/>
    <w:rsid w:val="00B16F58"/>
    <w:rsid w:val="00B1702C"/>
    <w:rsid w:val="00B1707B"/>
    <w:rsid w:val="00B171AC"/>
    <w:rsid w:val="00B1730D"/>
    <w:rsid w:val="00B175A5"/>
    <w:rsid w:val="00B176BE"/>
    <w:rsid w:val="00B17756"/>
    <w:rsid w:val="00B17835"/>
    <w:rsid w:val="00B1785B"/>
    <w:rsid w:val="00B17903"/>
    <w:rsid w:val="00B179BC"/>
    <w:rsid w:val="00B179EF"/>
    <w:rsid w:val="00B17B72"/>
    <w:rsid w:val="00B17B83"/>
    <w:rsid w:val="00B17CC1"/>
    <w:rsid w:val="00B17CD6"/>
    <w:rsid w:val="00B17E7B"/>
    <w:rsid w:val="00B20128"/>
    <w:rsid w:val="00B20156"/>
    <w:rsid w:val="00B20311"/>
    <w:rsid w:val="00B2036F"/>
    <w:rsid w:val="00B20397"/>
    <w:rsid w:val="00B203B9"/>
    <w:rsid w:val="00B203FB"/>
    <w:rsid w:val="00B20418"/>
    <w:rsid w:val="00B20643"/>
    <w:rsid w:val="00B206E5"/>
    <w:rsid w:val="00B206FA"/>
    <w:rsid w:val="00B20753"/>
    <w:rsid w:val="00B207D5"/>
    <w:rsid w:val="00B208AF"/>
    <w:rsid w:val="00B20907"/>
    <w:rsid w:val="00B2096B"/>
    <w:rsid w:val="00B20A82"/>
    <w:rsid w:val="00B20A9F"/>
    <w:rsid w:val="00B20B11"/>
    <w:rsid w:val="00B20B7B"/>
    <w:rsid w:val="00B20CC5"/>
    <w:rsid w:val="00B20CF9"/>
    <w:rsid w:val="00B20D72"/>
    <w:rsid w:val="00B20D96"/>
    <w:rsid w:val="00B20DCE"/>
    <w:rsid w:val="00B20F55"/>
    <w:rsid w:val="00B20FB6"/>
    <w:rsid w:val="00B20FC1"/>
    <w:rsid w:val="00B21438"/>
    <w:rsid w:val="00B2157F"/>
    <w:rsid w:val="00B21649"/>
    <w:rsid w:val="00B2185C"/>
    <w:rsid w:val="00B2188D"/>
    <w:rsid w:val="00B21894"/>
    <w:rsid w:val="00B21B09"/>
    <w:rsid w:val="00B21CDB"/>
    <w:rsid w:val="00B21D89"/>
    <w:rsid w:val="00B21E76"/>
    <w:rsid w:val="00B21EDE"/>
    <w:rsid w:val="00B21F2E"/>
    <w:rsid w:val="00B21FCB"/>
    <w:rsid w:val="00B2253B"/>
    <w:rsid w:val="00B22627"/>
    <w:rsid w:val="00B22662"/>
    <w:rsid w:val="00B2270B"/>
    <w:rsid w:val="00B2277D"/>
    <w:rsid w:val="00B22899"/>
    <w:rsid w:val="00B228CE"/>
    <w:rsid w:val="00B22952"/>
    <w:rsid w:val="00B22CF6"/>
    <w:rsid w:val="00B2303F"/>
    <w:rsid w:val="00B23068"/>
    <w:rsid w:val="00B2315F"/>
    <w:rsid w:val="00B231D8"/>
    <w:rsid w:val="00B2323F"/>
    <w:rsid w:val="00B2324D"/>
    <w:rsid w:val="00B23400"/>
    <w:rsid w:val="00B234D6"/>
    <w:rsid w:val="00B234EA"/>
    <w:rsid w:val="00B23505"/>
    <w:rsid w:val="00B2358E"/>
    <w:rsid w:val="00B235B0"/>
    <w:rsid w:val="00B2365A"/>
    <w:rsid w:val="00B23709"/>
    <w:rsid w:val="00B23839"/>
    <w:rsid w:val="00B2387E"/>
    <w:rsid w:val="00B238A3"/>
    <w:rsid w:val="00B23942"/>
    <w:rsid w:val="00B239F0"/>
    <w:rsid w:val="00B23A10"/>
    <w:rsid w:val="00B23AB5"/>
    <w:rsid w:val="00B23AE9"/>
    <w:rsid w:val="00B23B19"/>
    <w:rsid w:val="00B23B7F"/>
    <w:rsid w:val="00B23BA7"/>
    <w:rsid w:val="00B23C02"/>
    <w:rsid w:val="00B23C9F"/>
    <w:rsid w:val="00B24059"/>
    <w:rsid w:val="00B24082"/>
    <w:rsid w:val="00B240D6"/>
    <w:rsid w:val="00B2410F"/>
    <w:rsid w:val="00B2428F"/>
    <w:rsid w:val="00B2432C"/>
    <w:rsid w:val="00B2436C"/>
    <w:rsid w:val="00B24381"/>
    <w:rsid w:val="00B24399"/>
    <w:rsid w:val="00B243B8"/>
    <w:rsid w:val="00B24649"/>
    <w:rsid w:val="00B24651"/>
    <w:rsid w:val="00B247CF"/>
    <w:rsid w:val="00B247E3"/>
    <w:rsid w:val="00B249D6"/>
    <w:rsid w:val="00B24A0E"/>
    <w:rsid w:val="00B24AD7"/>
    <w:rsid w:val="00B24B06"/>
    <w:rsid w:val="00B24B08"/>
    <w:rsid w:val="00B24C9B"/>
    <w:rsid w:val="00B24CD1"/>
    <w:rsid w:val="00B24D7E"/>
    <w:rsid w:val="00B2501A"/>
    <w:rsid w:val="00B25055"/>
    <w:rsid w:val="00B2505C"/>
    <w:rsid w:val="00B250A6"/>
    <w:rsid w:val="00B25138"/>
    <w:rsid w:val="00B25352"/>
    <w:rsid w:val="00B2535F"/>
    <w:rsid w:val="00B25556"/>
    <w:rsid w:val="00B25784"/>
    <w:rsid w:val="00B258F2"/>
    <w:rsid w:val="00B259C7"/>
    <w:rsid w:val="00B259D8"/>
    <w:rsid w:val="00B25C2F"/>
    <w:rsid w:val="00B25C31"/>
    <w:rsid w:val="00B25C94"/>
    <w:rsid w:val="00B25CB4"/>
    <w:rsid w:val="00B25CD1"/>
    <w:rsid w:val="00B25F5E"/>
    <w:rsid w:val="00B26246"/>
    <w:rsid w:val="00B2626F"/>
    <w:rsid w:val="00B264CA"/>
    <w:rsid w:val="00B26868"/>
    <w:rsid w:val="00B269A7"/>
    <w:rsid w:val="00B26A3B"/>
    <w:rsid w:val="00B26B86"/>
    <w:rsid w:val="00B26C20"/>
    <w:rsid w:val="00B26D33"/>
    <w:rsid w:val="00B26D59"/>
    <w:rsid w:val="00B26DBD"/>
    <w:rsid w:val="00B26E47"/>
    <w:rsid w:val="00B26E70"/>
    <w:rsid w:val="00B26E77"/>
    <w:rsid w:val="00B26FC5"/>
    <w:rsid w:val="00B26FD3"/>
    <w:rsid w:val="00B271D1"/>
    <w:rsid w:val="00B271D6"/>
    <w:rsid w:val="00B27291"/>
    <w:rsid w:val="00B2729E"/>
    <w:rsid w:val="00B2729F"/>
    <w:rsid w:val="00B272C5"/>
    <w:rsid w:val="00B27453"/>
    <w:rsid w:val="00B27482"/>
    <w:rsid w:val="00B275D4"/>
    <w:rsid w:val="00B27615"/>
    <w:rsid w:val="00B2762B"/>
    <w:rsid w:val="00B276DA"/>
    <w:rsid w:val="00B27757"/>
    <w:rsid w:val="00B277F2"/>
    <w:rsid w:val="00B27860"/>
    <w:rsid w:val="00B27AA1"/>
    <w:rsid w:val="00B27B34"/>
    <w:rsid w:val="00B27C6F"/>
    <w:rsid w:val="00B27C77"/>
    <w:rsid w:val="00B27DEF"/>
    <w:rsid w:val="00B27E6A"/>
    <w:rsid w:val="00B27EEE"/>
    <w:rsid w:val="00B27F5E"/>
    <w:rsid w:val="00B30077"/>
    <w:rsid w:val="00B3010E"/>
    <w:rsid w:val="00B30175"/>
    <w:rsid w:val="00B30186"/>
    <w:rsid w:val="00B30463"/>
    <w:rsid w:val="00B30526"/>
    <w:rsid w:val="00B3052D"/>
    <w:rsid w:val="00B30538"/>
    <w:rsid w:val="00B30D30"/>
    <w:rsid w:val="00B30DAE"/>
    <w:rsid w:val="00B30E2C"/>
    <w:rsid w:val="00B30ED0"/>
    <w:rsid w:val="00B30F0D"/>
    <w:rsid w:val="00B30FAC"/>
    <w:rsid w:val="00B31195"/>
    <w:rsid w:val="00B312B4"/>
    <w:rsid w:val="00B312BD"/>
    <w:rsid w:val="00B3135B"/>
    <w:rsid w:val="00B31380"/>
    <w:rsid w:val="00B313AE"/>
    <w:rsid w:val="00B313AF"/>
    <w:rsid w:val="00B31484"/>
    <w:rsid w:val="00B3149D"/>
    <w:rsid w:val="00B315A6"/>
    <w:rsid w:val="00B315D1"/>
    <w:rsid w:val="00B3164F"/>
    <w:rsid w:val="00B316EE"/>
    <w:rsid w:val="00B31926"/>
    <w:rsid w:val="00B31949"/>
    <w:rsid w:val="00B31B24"/>
    <w:rsid w:val="00B31C85"/>
    <w:rsid w:val="00B31DDC"/>
    <w:rsid w:val="00B31FD8"/>
    <w:rsid w:val="00B31FDD"/>
    <w:rsid w:val="00B32059"/>
    <w:rsid w:val="00B32274"/>
    <w:rsid w:val="00B32278"/>
    <w:rsid w:val="00B32299"/>
    <w:rsid w:val="00B32308"/>
    <w:rsid w:val="00B32383"/>
    <w:rsid w:val="00B323D8"/>
    <w:rsid w:val="00B324E9"/>
    <w:rsid w:val="00B32516"/>
    <w:rsid w:val="00B326F7"/>
    <w:rsid w:val="00B329F5"/>
    <w:rsid w:val="00B32A1D"/>
    <w:rsid w:val="00B32A81"/>
    <w:rsid w:val="00B32D71"/>
    <w:rsid w:val="00B32F83"/>
    <w:rsid w:val="00B330C9"/>
    <w:rsid w:val="00B3312D"/>
    <w:rsid w:val="00B331A7"/>
    <w:rsid w:val="00B3322B"/>
    <w:rsid w:val="00B33361"/>
    <w:rsid w:val="00B3336A"/>
    <w:rsid w:val="00B33411"/>
    <w:rsid w:val="00B334F2"/>
    <w:rsid w:val="00B33529"/>
    <w:rsid w:val="00B33557"/>
    <w:rsid w:val="00B3355E"/>
    <w:rsid w:val="00B3359A"/>
    <w:rsid w:val="00B335D0"/>
    <w:rsid w:val="00B33658"/>
    <w:rsid w:val="00B337A3"/>
    <w:rsid w:val="00B338F9"/>
    <w:rsid w:val="00B33C03"/>
    <w:rsid w:val="00B33C48"/>
    <w:rsid w:val="00B33CAD"/>
    <w:rsid w:val="00B33CCB"/>
    <w:rsid w:val="00B33D90"/>
    <w:rsid w:val="00B33D92"/>
    <w:rsid w:val="00B33DAE"/>
    <w:rsid w:val="00B33E44"/>
    <w:rsid w:val="00B33E4B"/>
    <w:rsid w:val="00B33F27"/>
    <w:rsid w:val="00B33F38"/>
    <w:rsid w:val="00B33F9E"/>
    <w:rsid w:val="00B33FDA"/>
    <w:rsid w:val="00B3405F"/>
    <w:rsid w:val="00B340EC"/>
    <w:rsid w:val="00B3427C"/>
    <w:rsid w:val="00B3428B"/>
    <w:rsid w:val="00B343C0"/>
    <w:rsid w:val="00B34532"/>
    <w:rsid w:val="00B3462C"/>
    <w:rsid w:val="00B346ED"/>
    <w:rsid w:val="00B3475D"/>
    <w:rsid w:val="00B34940"/>
    <w:rsid w:val="00B34976"/>
    <w:rsid w:val="00B34AB4"/>
    <w:rsid w:val="00B34AC0"/>
    <w:rsid w:val="00B34AEA"/>
    <w:rsid w:val="00B34C77"/>
    <w:rsid w:val="00B34D4A"/>
    <w:rsid w:val="00B34E34"/>
    <w:rsid w:val="00B34FC3"/>
    <w:rsid w:val="00B3517C"/>
    <w:rsid w:val="00B351BC"/>
    <w:rsid w:val="00B351E4"/>
    <w:rsid w:val="00B35375"/>
    <w:rsid w:val="00B35471"/>
    <w:rsid w:val="00B354AB"/>
    <w:rsid w:val="00B3565A"/>
    <w:rsid w:val="00B358A4"/>
    <w:rsid w:val="00B35920"/>
    <w:rsid w:val="00B359D2"/>
    <w:rsid w:val="00B35AC6"/>
    <w:rsid w:val="00B35BB7"/>
    <w:rsid w:val="00B35BC7"/>
    <w:rsid w:val="00B35CED"/>
    <w:rsid w:val="00B35D7C"/>
    <w:rsid w:val="00B35DF1"/>
    <w:rsid w:val="00B35EDA"/>
    <w:rsid w:val="00B360A8"/>
    <w:rsid w:val="00B360FE"/>
    <w:rsid w:val="00B3614B"/>
    <w:rsid w:val="00B3617F"/>
    <w:rsid w:val="00B3627F"/>
    <w:rsid w:val="00B36286"/>
    <w:rsid w:val="00B3637A"/>
    <w:rsid w:val="00B36386"/>
    <w:rsid w:val="00B363A6"/>
    <w:rsid w:val="00B363D6"/>
    <w:rsid w:val="00B36716"/>
    <w:rsid w:val="00B367AA"/>
    <w:rsid w:val="00B367BC"/>
    <w:rsid w:val="00B368F5"/>
    <w:rsid w:val="00B3692C"/>
    <w:rsid w:val="00B369E6"/>
    <w:rsid w:val="00B369FB"/>
    <w:rsid w:val="00B36B97"/>
    <w:rsid w:val="00B36C66"/>
    <w:rsid w:val="00B36CF1"/>
    <w:rsid w:val="00B36DC0"/>
    <w:rsid w:val="00B371DD"/>
    <w:rsid w:val="00B371F1"/>
    <w:rsid w:val="00B371FB"/>
    <w:rsid w:val="00B37252"/>
    <w:rsid w:val="00B37319"/>
    <w:rsid w:val="00B37327"/>
    <w:rsid w:val="00B3735D"/>
    <w:rsid w:val="00B37500"/>
    <w:rsid w:val="00B3757A"/>
    <w:rsid w:val="00B37583"/>
    <w:rsid w:val="00B3763C"/>
    <w:rsid w:val="00B376A0"/>
    <w:rsid w:val="00B37739"/>
    <w:rsid w:val="00B3774E"/>
    <w:rsid w:val="00B37820"/>
    <w:rsid w:val="00B378D6"/>
    <w:rsid w:val="00B378DC"/>
    <w:rsid w:val="00B37A26"/>
    <w:rsid w:val="00B37C37"/>
    <w:rsid w:val="00B37C3A"/>
    <w:rsid w:val="00B37C43"/>
    <w:rsid w:val="00B37F32"/>
    <w:rsid w:val="00B37FB0"/>
    <w:rsid w:val="00B37FB5"/>
    <w:rsid w:val="00B4007A"/>
    <w:rsid w:val="00B400A2"/>
    <w:rsid w:val="00B4013A"/>
    <w:rsid w:val="00B4024D"/>
    <w:rsid w:val="00B40278"/>
    <w:rsid w:val="00B4029A"/>
    <w:rsid w:val="00B402A3"/>
    <w:rsid w:val="00B40349"/>
    <w:rsid w:val="00B403B7"/>
    <w:rsid w:val="00B4048E"/>
    <w:rsid w:val="00B4053C"/>
    <w:rsid w:val="00B40557"/>
    <w:rsid w:val="00B40587"/>
    <w:rsid w:val="00B40631"/>
    <w:rsid w:val="00B40644"/>
    <w:rsid w:val="00B4064E"/>
    <w:rsid w:val="00B406D9"/>
    <w:rsid w:val="00B40A22"/>
    <w:rsid w:val="00B40B66"/>
    <w:rsid w:val="00B40BE2"/>
    <w:rsid w:val="00B40D9C"/>
    <w:rsid w:val="00B4106A"/>
    <w:rsid w:val="00B411A7"/>
    <w:rsid w:val="00B41293"/>
    <w:rsid w:val="00B412C0"/>
    <w:rsid w:val="00B41327"/>
    <w:rsid w:val="00B4149C"/>
    <w:rsid w:val="00B414F5"/>
    <w:rsid w:val="00B41571"/>
    <w:rsid w:val="00B41593"/>
    <w:rsid w:val="00B4173A"/>
    <w:rsid w:val="00B41874"/>
    <w:rsid w:val="00B418E7"/>
    <w:rsid w:val="00B41A6C"/>
    <w:rsid w:val="00B41A92"/>
    <w:rsid w:val="00B41B0D"/>
    <w:rsid w:val="00B41CF9"/>
    <w:rsid w:val="00B41D70"/>
    <w:rsid w:val="00B41DAA"/>
    <w:rsid w:val="00B41E72"/>
    <w:rsid w:val="00B41F35"/>
    <w:rsid w:val="00B421E9"/>
    <w:rsid w:val="00B421EC"/>
    <w:rsid w:val="00B42289"/>
    <w:rsid w:val="00B4232D"/>
    <w:rsid w:val="00B42348"/>
    <w:rsid w:val="00B425D9"/>
    <w:rsid w:val="00B42615"/>
    <w:rsid w:val="00B42904"/>
    <w:rsid w:val="00B42923"/>
    <w:rsid w:val="00B429B1"/>
    <w:rsid w:val="00B42B6C"/>
    <w:rsid w:val="00B42ED8"/>
    <w:rsid w:val="00B43077"/>
    <w:rsid w:val="00B4315A"/>
    <w:rsid w:val="00B431B4"/>
    <w:rsid w:val="00B431EB"/>
    <w:rsid w:val="00B43225"/>
    <w:rsid w:val="00B43262"/>
    <w:rsid w:val="00B43350"/>
    <w:rsid w:val="00B43455"/>
    <w:rsid w:val="00B4347B"/>
    <w:rsid w:val="00B434A8"/>
    <w:rsid w:val="00B43568"/>
    <w:rsid w:val="00B4357A"/>
    <w:rsid w:val="00B435A9"/>
    <w:rsid w:val="00B435F2"/>
    <w:rsid w:val="00B436D6"/>
    <w:rsid w:val="00B4382D"/>
    <w:rsid w:val="00B438B7"/>
    <w:rsid w:val="00B4393D"/>
    <w:rsid w:val="00B439A1"/>
    <w:rsid w:val="00B439FE"/>
    <w:rsid w:val="00B43A16"/>
    <w:rsid w:val="00B43A4B"/>
    <w:rsid w:val="00B43A8D"/>
    <w:rsid w:val="00B43AF8"/>
    <w:rsid w:val="00B43BC6"/>
    <w:rsid w:val="00B43D52"/>
    <w:rsid w:val="00B43D5D"/>
    <w:rsid w:val="00B43DBA"/>
    <w:rsid w:val="00B43E52"/>
    <w:rsid w:val="00B43E66"/>
    <w:rsid w:val="00B43E9E"/>
    <w:rsid w:val="00B440B4"/>
    <w:rsid w:val="00B44187"/>
    <w:rsid w:val="00B444C1"/>
    <w:rsid w:val="00B4464F"/>
    <w:rsid w:val="00B4465D"/>
    <w:rsid w:val="00B4468C"/>
    <w:rsid w:val="00B44695"/>
    <w:rsid w:val="00B447EF"/>
    <w:rsid w:val="00B448DD"/>
    <w:rsid w:val="00B44BF8"/>
    <w:rsid w:val="00B44C1C"/>
    <w:rsid w:val="00B44C9E"/>
    <w:rsid w:val="00B44F91"/>
    <w:rsid w:val="00B44FDF"/>
    <w:rsid w:val="00B4500D"/>
    <w:rsid w:val="00B45783"/>
    <w:rsid w:val="00B45784"/>
    <w:rsid w:val="00B45799"/>
    <w:rsid w:val="00B4587C"/>
    <w:rsid w:val="00B45A0F"/>
    <w:rsid w:val="00B45A1A"/>
    <w:rsid w:val="00B45B9B"/>
    <w:rsid w:val="00B45C90"/>
    <w:rsid w:val="00B45D25"/>
    <w:rsid w:val="00B45D6D"/>
    <w:rsid w:val="00B45DBD"/>
    <w:rsid w:val="00B45DE3"/>
    <w:rsid w:val="00B45E49"/>
    <w:rsid w:val="00B45F14"/>
    <w:rsid w:val="00B45F35"/>
    <w:rsid w:val="00B45F5B"/>
    <w:rsid w:val="00B460C4"/>
    <w:rsid w:val="00B461BC"/>
    <w:rsid w:val="00B461DA"/>
    <w:rsid w:val="00B4628B"/>
    <w:rsid w:val="00B46293"/>
    <w:rsid w:val="00B46301"/>
    <w:rsid w:val="00B4635D"/>
    <w:rsid w:val="00B4675B"/>
    <w:rsid w:val="00B4676B"/>
    <w:rsid w:val="00B467D6"/>
    <w:rsid w:val="00B46833"/>
    <w:rsid w:val="00B468B8"/>
    <w:rsid w:val="00B4698A"/>
    <w:rsid w:val="00B469AF"/>
    <w:rsid w:val="00B46A4E"/>
    <w:rsid w:val="00B46BBE"/>
    <w:rsid w:val="00B46CD3"/>
    <w:rsid w:val="00B46E37"/>
    <w:rsid w:val="00B46EDD"/>
    <w:rsid w:val="00B470CA"/>
    <w:rsid w:val="00B470E8"/>
    <w:rsid w:val="00B4712D"/>
    <w:rsid w:val="00B4755F"/>
    <w:rsid w:val="00B4758C"/>
    <w:rsid w:val="00B47692"/>
    <w:rsid w:val="00B4769A"/>
    <w:rsid w:val="00B476B9"/>
    <w:rsid w:val="00B476DE"/>
    <w:rsid w:val="00B476F3"/>
    <w:rsid w:val="00B476FA"/>
    <w:rsid w:val="00B4773F"/>
    <w:rsid w:val="00B477F8"/>
    <w:rsid w:val="00B47988"/>
    <w:rsid w:val="00B47AAD"/>
    <w:rsid w:val="00B47BEE"/>
    <w:rsid w:val="00B47BFC"/>
    <w:rsid w:val="00B47C72"/>
    <w:rsid w:val="00B47EA0"/>
    <w:rsid w:val="00B47F63"/>
    <w:rsid w:val="00B47FCD"/>
    <w:rsid w:val="00B50006"/>
    <w:rsid w:val="00B5001F"/>
    <w:rsid w:val="00B501A7"/>
    <w:rsid w:val="00B501D2"/>
    <w:rsid w:val="00B50311"/>
    <w:rsid w:val="00B50745"/>
    <w:rsid w:val="00B508B2"/>
    <w:rsid w:val="00B5099C"/>
    <w:rsid w:val="00B509CD"/>
    <w:rsid w:val="00B50B5C"/>
    <w:rsid w:val="00B50B6F"/>
    <w:rsid w:val="00B50C01"/>
    <w:rsid w:val="00B50C11"/>
    <w:rsid w:val="00B50CC7"/>
    <w:rsid w:val="00B50EA0"/>
    <w:rsid w:val="00B51091"/>
    <w:rsid w:val="00B510E1"/>
    <w:rsid w:val="00B51681"/>
    <w:rsid w:val="00B51757"/>
    <w:rsid w:val="00B51829"/>
    <w:rsid w:val="00B51936"/>
    <w:rsid w:val="00B51B9C"/>
    <w:rsid w:val="00B51C11"/>
    <w:rsid w:val="00B51C3C"/>
    <w:rsid w:val="00B51E7D"/>
    <w:rsid w:val="00B51EE4"/>
    <w:rsid w:val="00B51F29"/>
    <w:rsid w:val="00B51FBA"/>
    <w:rsid w:val="00B520AD"/>
    <w:rsid w:val="00B5226E"/>
    <w:rsid w:val="00B52326"/>
    <w:rsid w:val="00B52392"/>
    <w:rsid w:val="00B523A9"/>
    <w:rsid w:val="00B523EB"/>
    <w:rsid w:val="00B5252F"/>
    <w:rsid w:val="00B52676"/>
    <w:rsid w:val="00B5270D"/>
    <w:rsid w:val="00B52793"/>
    <w:rsid w:val="00B5288A"/>
    <w:rsid w:val="00B52DE2"/>
    <w:rsid w:val="00B52F28"/>
    <w:rsid w:val="00B52F42"/>
    <w:rsid w:val="00B5311B"/>
    <w:rsid w:val="00B53298"/>
    <w:rsid w:val="00B53357"/>
    <w:rsid w:val="00B53466"/>
    <w:rsid w:val="00B5353F"/>
    <w:rsid w:val="00B5355E"/>
    <w:rsid w:val="00B5360F"/>
    <w:rsid w:val="00B5364F"/>
    <w:rsid w:val="00B53685"/>
    <w:rsid w:val="00B53737"/>
    <w:rsid w:val="00B5373A"/>
    <w:rsid w:val="00B5373E"/>
    <w:rsid w:val="00B5376B"/>
    <w:rsid w:val="00B53810"/>
    <w:rsid w:val="00B53AAB"/>
    <w:rsid w:val="00B53AB1"/>
    <w:rsid w:val="00B53ADC"/>
    <w:rsid w:val="00B53AE4"/>
    <w:rsid w:val="00B53C4C"/>
    <w:rsid w:val="00B53C99"/>
    <w:rsid w:val="00B53CBD"/>
    <w:rsid w:val="00B53D09"/>
    <w:rsid w:val="00B53FAC"/>
    <w:rsid w:val="00B53FFD"/>
    <w:rsid w:val="00B54087"/>
    <w:rsid w:val="00B54381"/>
    <w:rsid w:val="00B5451F"/>
    <w:rsid w:val="00B545F5"/>
    <w:rsid w:val="00B54629"/>
    <w:rsid w:val="00B547B4"/>
    <w:rsid w:val="00B547D4"/>
    <w:rsid w:val="00B549EB"/>
    <w:rsid w:val="00B54A2B"/>
    <w:rsid w:val="00B54B4A"/>
    <w:rsid w:val="00B54B77"/>
    <w:rsid w:val="00B54C61"/>
    <w:rsid w:val="00B54D55"/>
    <w:rsid w:val="00B54DCF"/>
    <w:rsid w:val="00B54EC0"/>
    <w:rsid w:val="00B55119"/>
    <w:rsid w:val="00B55180"/>
    <w:rsid w:val="00B55274"/>
    <w:rsid w:val="00B55400"/>
    <w:rsid w:val="00B55474"/>
    <w:rsid w:val="00B55481"/>
    <w:rsid w:val="00B55677"/>
    <w:rsid w:val="00B5569A"/>
    <w:rsid w:val="00B556F8"/>
    <w:rsid w:val="00B55773"/>
    <w:rsid w:val="00B557B7"/>
    <w:rsid w:val="00B5583B"/>
    <w:rsid w:val="00B559B7"/>
    <w:rsid w:val="00B559F7"/>
    <w:rsid w:val="00B55C66"/>
    <w:rsid w:val="00B55C87"/>
    <w:rsid w:val="00B55CB4"/>
    <w:rsid w:val="00B55CF5"/>
    <w:rsid w:val="00B55D12"/>
    <w:rsid w:val="00B55E95"/>
    <w:rsid w:val="00B55EC0"/>
    <w:rsid w:val="00B55F07"/>
    <w:rsid w:val="00B55FC8"/>
    <w:rsid w:val="00B560B0"/>
    <w:rsid w:val="00B5611C"/>
    <w:rsid w:val="00B561DC"/>
    <w:rsid w:val="00B56214"/>
    <w:rsid w:val="00B56266"/>
    <w:rsid w:val="00B563C8"/>
    <w:rsid w:val="00B56417"/>
    <w:rsid w:val="00B5646B"/>
    <w:rsid w:val="00B564C7"/>
    <w:rsid w:val="00B564DF"/>
    <w:rsid w:val="00B56549"/>
    <w:rsid w:val="00B566B7"/>
    <w:rsid w:val="00B5692C"/>
    <w:rsid w:val="00B569DB"/>
    <w:rsid w:val="00B56AEC"/>
    <w:rsid w:val="00B56C18"/>
    <w:rsid w:val="00B56D27"/>
    <w:rsid w:val="00B56DE0"/>
    <w:rsid w:val="00B56DE4"/>
    <w:rsid w:val="00B56E23"/>
    <w:rsid w:val="00B56E86"/>
    <w:rsid w:val="00B56F21"/>
    <w:rsid w:val="00B56FBD"/>
    <w:rsid w:val="00B57064"/>
    <w:rsid w:val="00B5719F"/>
    <w:rsid w:val="00B57259"/>
    <w:rsid w:val="00B572CC"/>
    <w:rsid w:val="00B573DC"/>
    <w:rsid w:val="00B57790"/>
    <w:rsid w:val="00B577D0"/>
    <w:rsid w:val="00B578D8"/>
    <w:rsid w:val="00B579CB"/>
    <w:rsid w:val="00B57AAD"/>
    <w:rsid w:val="00B57AD9"/>
    <w:rsid w:val="00B57D0F"/>
    <w:rsid w:val="00B57EB4"/>
    <w:rsid w:val="00B60059"/>
    <w:rsid w:val="00B60088"/>
    <w:rsid w:val="00B60141"/>
    <w:rsid w:val="00B60170"/>
    <w:rsid w:val="00B602D0"/>
    <w:rsid w:val="00B60549"/>
    <w:rsid w:val="00B6056D"/>
    <w:rsid w:val="00B60595"/>
    <w:rsid w:val="00B60679"/>
    <w:rsid w:val="00B60936"/>
    <w:rsid w:val="00B60971"/>
    <w:rsid w:val="00B6099A"/>
    <w:rsid w:val="00B60D3C"/>
    <w:rsid w:val="00B60E30"/>
    <w:rsid w:val="00B60F7F"/>
    <w:rsid w:val="00B610D3"/>
    <w:rsid w:val="00B61171"/>
    <w:rsid w:val="00B6122D"/>
    <w:rsid w:val="00B61449"/>
    <w:rsid w:val="00B614E2"/>
    <w:rsid w:val="00B61511"/>
    <w:rsid w:val="00B61598"/>
    <w:rsid w:val="00B6166F"/>
    <w:rsid w:val="00B61720"/>
    <w:rsid w:val="00B61734"/>
    <w:rsid w:val="00B618BC"/>
    <w:rsid w:val="00B618CC"/>
    <w:rsid w:val="00B61A17"/>
    <w:rsid w:val="00B61A7E"/>
    <w:rsid w:val="00B61B3A"/>
    <w:rsid w:val="00B61B6E"/>
    <w:rsid w:val="00B61B9E"/>
    <w:rsid w:val="00B61CB4"/>
    <w:rsid w:val="00B61DB5"/>
    <w:rsid w:val="00B621E3"/>
    <w:rsid w:val="00B62281"/>
    <w:rsid w:val="00B6229E"/>
    <w:rsid w:val="00B622FE"/>
    <w:rsid w:val="00B6236F"/>
    <w:rsid w:val="00B62392"/>
    <w:rsid w:val="00B623B7"/>
    <w:rsid w:val="00B6247D"/>
    <w:rsid w:val="00B624C8"/>
    <w:rsid w:val="00B624E7"/>
    <w:rsid w:val="00B62540"/>
    <w:rsid w:val="00B6259F"/>
    <w:rsid w:val="00B62677"/>
    <w:rsid w:val="00B6277C"/>
    <w:rsid w:val="00B627CD"/>
    <w:rsid w:val="00B62906"/>
    <w:rsid w:val="00B62914"/>
    <w:rsid w:val="00B6294B"/>
    <w:rsid w:val="00B62C13"/>
    <w:rsid w:val="00B62CA7"/>
    <w:rsid w:val="00B62E01"/>
    <w:rsid w:val="00B6319C"/>
    <w:rsid w:val="00B632DF"/>
    <w:rsid w:val="00B63463"/>
    <w:rsid w:val="00B63710"/>
    <w:rsid w:val="00B63866"/>
    <w:rsid w:val="00B638AD"/>
    <w:rsid w:val="00B638BE"/>
    <w:rsid w:val="00B6392C"/>
    <w:rsid w:val="00B63995"/>
    <w:rsid w:val="00B639E3"/>
    <w:rsid w:val="00B63A47"/>
    <w:rsid w:val="00B63A51"/>
    <w:rsid w:val="00B63A83"/>
    <w:rsid w:val="00B63AFC"/>
    <w:rsid w:val="00B63B61"/>
    <w:rsid w:val="00B63CE5"/>
    <w:rsid w:val="00B63DF7"/>
    <w:rsid w:val="00B63E03"/>
    <w:rsid w:val="00B63E11"/>
    <w:rsid w:val="00B6409E"/>
    <w:rsid w:val="00B64161"/>
    <w:rsid w:val="00B641BC"/>
    <w:rsid w:val="00B6425D"/>
    <w:rsid w:val="00B64287"/>
    <w:rsid w:val="00B642F4"/>
    <w:rsid w:val="00B64315"/>
    <w:rsid w:val="00B6431C"/>
    <w:rsid w:val="00B64492"/>
    <w:rsid w:val="00B644EE"/>
    <w:rsid w:val="00B6450B"/>
    <w:rsid w:val="00B64588"/>
    <w:rsid w:val="00B646AE"/>
    <w:rsid w:val="00B6478E"/>
    <w:rsid w:val="00B648A4"/>
    <w:rsid w:val="00B648E5"/>
    <w:rsid w:val="00B648F1"/>
    <w:rsid w:val="00B64A89"/>
    <w:rsid w:val="00B64AF0"/>
    <w:rsid w:val="00B64B1E"/>
    <w:rsid w:val="00B64B33"/>
    <w:rsid w:val="00B64B96"/>
    <w:rsid w:val="00B64DAA"/>
    <w:rsid w:val="00B64DEF"/>
    <w:rsid w:val="00B64F82"/>
    <w:rsid w:val="00B65030"/>
    <w:rsid w:val="00B6504A"/>
    <w:rsid w:val="00B65100"/>
    <w:rsid w:val="00B651F1"/>
    <w:rsid w:val="00B6551C"/>
    <w:rsid w:val="00B65618"/>
    <w:rsid w:val="00B6578A"/>
    <w:rsid w:val="00B6591B"/>
    <w:rsid w:val="00B65ADD"/>
    <w:rsid w:val="00B65C0B"/>
    <w:rsid w:val="00B65CF7"/>
    <w:rsid w:val="00B65D58"/>
    <w:rsid w:val="00B65DDF"/>
    <w:rsid w:val="00B65F7D"/>
    <w:rsid w:val="00B66163"/>
    <w:rsid w:val="00B661B2"/>
    <w:rsid w:val="00B66352"/>
    <w:rsid w:val="00B66384"/>
    <w:rsid w:val="00B66568"/>
    <w:rsid w:val="00B6669C"/>
    <w:rsid w:val="00B66710"/>
    <w:rsid w:val="00B66757"/>
    <w:rsid w:val="00B66878"/>
    <w:rsid w:val="00B66986"/>
    <w:rsid w:val="00B669B4"/>
    <w:rsid w:val="00B66A2B"/>
    <w:rsid w:val="00B66AA8"/>
    <w:rsid w:val="00B66AF3"/>
    <w:rsid w:val="00B66C76"/>
    <w:rsid w:val="00B66F71"/>
    <w:rsid w:val="00B672D4"/>
    <w:rsid w:val="00B673E7"/>
    <w:rsid w:val="00B6741C"/>
    <w:rsid w:val="00B67448"/>
    <w:rsid w:val="00B67507"/>
    <w:rsid w:val="00B675E6"/>
    <w:rsid w:val="00B6761B"/>
    <w:rsid w:val="00B6761D"/>
    <w:rsid w:val="00B67645"/>
    <w:rsid w:val="00B676FB"/>
    <w:rsid w:val="00B6782B"/>
    <w:rsid w:val="00B678A2"/>
    <w:rsid w:val="00B67AB5"/>
    <w:rsid w:val="00B67B0E"/>
    <w:rsid w:val="00B67C5F"/>
    <w:rsid w:val="00B67C7A"/>
    <w:rsid w:val="00B67CE0"/>
    <w:rsid w:val="00B67F54"/>
    <w:rsid w:val="00B67F6B"/>
    <w:rsid w:val="00B70054"/>
    <w:rsid w:val="00B701F0"/>
    <w:rsid w:val="00B701F6"/>
    <w:rsid w:val="00B703D6"/>
    <w:rsid w:val="00B7044D"/>
    <w:rsid w:val="00B704FA"/>
    <w:rsid w:val="00B704FD"/>
    <w:rsid w:val="00B7054F"/>
    <w:rsid w:val="00B705B0"/>
    <w:rsid w:val="00B70621"/>
    <w:rsid w:val="00B70743"/>
    <w:rsid w:val="00B707D6"/>
    <w:rsid w:val="00B707EA"/>
    <w:rsid w:val="00B70855"/>
    <w:rsid w:val="00B70988"/>
    <w:rsid w:val="00B7099B"/>
    <w:rsid w:val="00B709F9"/>
    <w:rsid w:val="00B70ACC"/>
    <w:rsid w:val="00B70B61"/>
    <w:rsid w:val="00B70C7A"/>
    <w:rsid w:val="00B70D5B"/>
    <w:rsid w:val="00B70E64"/>
    <w:rsid w:val="00B70FFD"/>
    <w:rsid w:val="00B71037"/>
    <w:rsid w:val="00B71123"/>
    <w:rsid w:val="00B7118D"/>
    <w:rsid w:val="00B7131A"/>
    <w:rsid w:val="00B71354"/>
    <w:rsid w:val="00B7143E"/>
    <w:rsid w:val="00B714D1"/>
    <w:rsid w:val="00B71565"/>
    <w:rsid w:val="00B71857"/>
    <w:rsid w:val="00B71A4E"/>
    <w:rsid w:val="00B71ACF"/>
    <w:rsid w:val="00B71CC0"/>
    <w:rsid w:val="00B71D96"/>
    <w:rsid w:val="00B71DA4"/>
    <w:rsid w:val="00B71EEB"/>
    <w:rsid w:val="00B71F34"/>
    <w:rsid w:val="00B7200D"/>
    <w:rsid w:val="00B7218C"/>
    <w:rsid w:val="00B721B2"/>
    <w:rsid w:val="00B721F8"/>
    <w:rsid w:val="00B72275"/>
    <w:rsid w:val="00B722AB"/>
    <w:rsid w:val="00B723C3"/>
    <w:rsid w:val="00B72589"/>
    <w:rsid w:val="00B72593"/>
    <w:rsid w:val="00B725A6"/>
    <w:rsid w:val="00B725E8"/>
    <w:rsid w:val="00B72939"/>
    <w:rsid w:val="00B72997"/>
    <w:rsid w:val="00B72A64"/>
    <w:rsid w:val="00B72BD2"/>
    <w:rsid w:val="00B72BF0"/>
    <w:rsid w:val="00B72C91"/>
    <w:rsid w:val="00B72CB8"/>
    <w:rsid w:val="00B72CBD"/>
    <w:rsid w:val="00B72D48"/>
    <w:rsid w:val="00B72E19"/>
    <w:rsid w:val="00B72EF5"/>
    <w:rsid w:val="00B72F19"/>
    <w:rsid w:val="00B72FE6"/>
    <w:rsid w:val="00B7303D"/>
    <w:rsid w:val="00B734F3"/>
    <w:rsid w:val="00B73540"/>
    <w:rsid w:val="00B7376E"/>
    <w:rsid w:val="00B73770"/>
    <w:rsid w:val="00B73AEF"/>
    <w:rsid w:val="00B73B14"/>
    <w:rsid w:val="00B73C0B"/>
    <w:rsid w:val="00B73DC1"/>
    <w:rsid w:val="00B73E45"/>
    <w:rsid w:val="00B73E54"/>
    <w:rsid w:val="00B7400A"/>
    <w:rsid w:val="00B74383"/>
    <w:rsid w:val="00B743D3"/>
    <w:rsid w:val="00B7444A"/>
    <w:rsid w:val="00B74468"/>
    <w:rsid w:val="00B74473"/>
    <w:rsid w:val="00B744A0"/>
    <w:rsid w:val="00B744CC"/>
    <w:rsid w:val="00B74568"/>
    <w:rsid w:val="00B746B2"/>
    <w:rsid w:val="00B746EB"/>
    <w:rsid w:val="00B748EF"/>
    <w:rsid w:val="00B7497C"/>
    <w:rsid w:val="00B74B2C"/>
    <w:rsid w:val="00B74CD2"/>
    <w:rsid w:val="00B74D6F"/>
    <w:rsid w:val="00B74FF7"/>
    <w:rsid w:val="00B75004"/>
    <w:rsid w:val="00B7503B"/>
    <w:rsid w:val="00B75054"/>
    <w:rsid w:val="00B75205"/>
    <w:rsid w:val="00B753AE"/>
    <w:rsid w:val="00B753C2"/>
    <w:rsid w:val="00B755BF"/>
    <w:rsid w:val="00B755ED"/>
    <w:rsid w:val="00B75627"/>
    <w:rsid w:val="00B75924"/>
    <w:rsid w:val="00B759B8"/>
    <w:rsid w:val="00B759F8"/>
    <w:rsid w:val="00B75D88"/>
    <w:rsid w:val="00B75E55"/>
    <w:rsid w:val="00B75F41"/>
    <w:rsid w:val="00B76009"/>
    <w:rsid w:val="00B7612A"/>
    <w:rsid w:val="00B7628B"/>
    <w:rsid w:val="00B7629A"/>
    <w:rsid w:val="00B76339"/>
    <w:rsid w:val="00B76362"/>
    <w:rsid w:val="00B7637C"/>
    <w:rsid w:val="00B7637D"/>
    <w:rsid w:val="00B7637F"/>
    <w:rsid w:val="00B763D9"/>
    <w:rsid w:val="00B76439"/>
    <w:rsid w:val="00B7657A"/>
    <w:rsid w:val="00B7658D"/>
    <w:rsid w:val="00B76612"/>
    <w:rsid w:val="00B76627"/>
    <w:rsid w:val="00B76713"/>
    <w:rsid w:val="00B76767"/>
    <w:rsid w:val="00B767F0"/>
    <w:rsid w:val="00B76890"/>
    <w:rsid w:val="00B76909"/>
    <w:rsid w:val="00B76985"/>
    <w:rsid w:val="00B76AA4"/>
    <w:rsid w:val="00B76ADB"/>
    <w:rsid w:val="00B76ADE"/>
    <w:rsid w:val="00B76B8E"/>
    <w:rsid w:val="00B76C1F"/>
    <w:rsid w:val="00B76D18"/>
    <w:rsid w:val="00B76D43"/>
    <w:rsid w:val="00B76E04"/>
    <w:rsid w:val="00B770FF"/>
    <w:rsid w:val="00B771FF"/>
    <w:rsid w:val="00B77830"/>
    <w:rsid w:val="00B77BC0"/>
    <w:rsid w:val="00B77D50"/>
    <w:rsid w:val="00B77DFF"/>
    <w:rsid w:val="00B77E83"/>
    <w:rsid w:val="00B8008B"/>
    <w:rsid w:val="00B800AD"/>
    <w:rsid w:val="00B8015A"/>
    <w:rsid w:val="00B802BE"/>
    <w:rsid w:val="00B80420"/>
    <w:rsid w:val="00B804BC"/>
    <w:rsid w:val="00B80528"/>
    <w:rsid w:val="00B8055E"/>
    <w:rsid w:val="00B80566"/>
    <w:rsid w:val="00B806CC"/>
    <w:rsid w:val="00B807E9"/>
    <w:rsid w:val="00B80839"/>
    <w:rsid w:val="00B80872"/>
    <w:rsid w:val="00B80953"/>
    <w:rsid w:val="00B80A3A"/>
    <w:rsid w:val="00B80A8C"/>
    <w:rsid w:val="00B80AC8"/>
    <w:rsid w:val="00B80C1D"/>
    <w:rsid w:val="00B80C5C"/>
    <w:rsid w:val="00B80D9B"/>
    <w:rsid w:val="00B80ED1"/>
    <w:rsid w:val="00B81092"/>
    <w:rsid w:val="00B812B2"/>
    <w:rsid w:val="00B8150E"/>
    <w:rsid w:val="00B8157A"/>
    <w:rsid w:val="00B815F8"/>
    <w:rsid w:val="00B81649"/>
    <w:rsid w:val="00B816BD"/>
    <w:rsid w:val="00B81713"/>
    <w:rsid w:val="00B81801"/>
    <w:rsid w:val="00B81845"/>
    <w:rsid w:val="00B81915"/>
    <w:rsid w:val="00B81A8F"/>
    <w:rsid w:val="00B81C4B"/>
    <w:rsid w:val="00B81D5C"/>
    <w:rsid w:val="00B81DE3"/>
    <w:rsid w:val="00B81E6B"/>
    <w:rsid w:val="00B81E93"/>
    <w:rsid w:val="00B81E9A"/>
    <w:rsid w:val="00B8215E"/>
    <w:rsid w:val="00B821DA"/>
    <w:rsid w:val="00B82235"/>
    <w:rsid w:val="00B822E1"/>
    <w:rsid w:val="00B82359"/>
    <w:rsid w:val="00B823F9"/>
    <w:rsid w:val="00B8246E"/>
    <w:rsid w:val="00B824F7"/>
    <w:rsid w:val="00B82526"/>
    <w:rsid w:val="00B82641"/>
    <w:rsid w:val="00B82654"/>
    <w:rsid w:val="00B82729"/>
    <w:rsid w:val="00B8287D"/>
    <w:rsid w:val="00B8289A"/>
    <w:rsid w:val="00B828AA"/>
    <w:rsid w:val="00B82AAA"/>
    <w:rsid w:val="00B82ABE"/>
    <w:rsid w:val="00B82B22"/>
    <w:rsid w:val="00B82B9F"/>
    <w:rsid w:val="00B82C36"/>
    <w:rsid w:val="00B82D03"/>
    <w:rsid w:val="00B82ECB"/>
    <w:rsid w:val="00B82EF9"/>
    <w:rsid w:val="00B82EFA"/>
    <w:rsid w:val="00B82F17"/>
    <w:rsid w:val="00B82FA7"/>
    <w:rsid w:val="00B83003"/>
    <w:rsid w:val="00B830B5"/>
    <w:rsid w:val="00B83197"/>
    <w:rsid w:val="00B831BB"/>
    <w:rsid w:val="00B83287"/>
    <w:rsid w:val="00B83327"/>
    <w:rsid w:val="00B8334A"/>
    <w:rsid w:val="00B8347A"/>
    <w:rsid w:val="00B8349F"/>
    <w:rsid w:val="00B83874"/>
    <w:rsid w:val="00B839A0"/>
    <w:rsid w:val="00B839C9"/>
    <w:rsid w:val="00B83B20"/>
    <w:rsid w:val="00B83C95"/>
    <w:rsid w:val="00B83CFB"/>
    <w:rsid w:val="00B83DCA"/>
    <w:rsid w:val="00B83E5F"/>
    <w:rsid w:val="00B83EDD"/>
    <w:rsid w:val="00B84116"/>
    <w:rsid w:val="00B84271"/>
    <w:rsid w:val="00B84748"/>
    <w:rsid w:val="00B847C6"/>
    <w:rsid w:val="00B84999"/>
    <w:rsid w:val="00B849AE"/>
    <w:rsid w:val="00B84A2E"/>
    <w:rsid w:val="00B84A4F"/>
    <w:rsid w:val="00B84AC4"/>
    <w:rsid w:val="00B84B6B"/>
    <w:rsid w:val="00B84B6E"/>
    <w:rsid w:val="00B84B7C"/>
    <w:rsid w:val="00B84B7D"/>
    <w:rsid w:val="00B84C56"/>
    <w:rsid w:val="00B84C99"/>
    <w:rsid w:val="00B84CC0"/>
    <w:rsid w:val="00B84D78"/>
    <w:rsid w:val="00B84DE3"/>
    <w:rsid w:val="00B84E7F"/>
    <w:rsid w:val="00B84F1D"/>
    <w:rsid w:val="00B84F6B"/>
    <w:rsid w:val="00B85075"/>
    <w:rsid w:val="00B851E9"/>
    <w:rsid w:val="00B85354"/>
    <w:rsid w:val="00B853A8"/>
    <w:rsid w:val="00B8542F"/>
    <w:rsid w:val="00B854D3"/>
    <w:rsid w:val="00B85584"/>
    <w:rsid w:val="00B8569A"/>
    <w:rsid w:val="00B857EC"/>
    <w:rsid w:val="00B857F4"/>
    <w:rsid w:val="00B85912"/>
    <w:rsid w:val="00B85928"/>
    <w:rsid w:val="00B85A3A"/>
    <w:rsid w:val="00B85A7E"/>
    <w:rsid w:val="00B85AA3"/>
    <w:rsid w:val="00B85AD0"/>
    <w:rsid w:val="00B85AEB"/>
    <w:rsid w:val="00B85CA8"/>
    <w:rsid w:val="00B85D27"/>
    <w:rsid w:val="00B85E69"/>
    <w:rsid w:val="00B85EBA"/>
    <w:rsid w:val="00B85F47"/>
    <w:rsid w:val="00B85F49"/>
    <w:rsid w:val="00B85F8D"/>
    <w:rsid w:val="00B85FC2"/>
    <w:rsid w:val="00B85FEC"/>
    <w:rsid w:val="00B86144"/>
    <w:rsid w:val="00B86239"/>
    <w:rsid w:val="00B86416"/>
    <w:rsid w:val="00B864F2"/>
    <w:rsid w:val="00B86553"/>
    <w:rsid w:val="00B86710"/>
    <w:rsid w:val="00B86761"/>
    <w:rsid w:val="00B867C2"/>
    <w:rsid w:val="00B868AD"/>
    <w:rsid w:val="00B86935"/>
    <w:rsid w:val="00B86A7F"/>
    <w:rsid w:val="00B86BDC"/>
    <w:rsid w:val="00B86BEA"/>
    <w:rsid w:val="00B86C7A"/>
    <w:rsid w:val="00B86DE8"/>
    <w:rsid w:val="00B86DEF"/>
    <w:rsid w:val="00B86F39"/>
    <w:rsid w:val="00B86F6C"/>
    <w:rsid w:val="00B870CA"/>
    <w:rsid w:val="00B870EC"/>
    <w:rsid w:val="00B87393"/>
    <w:rsid w:val="00B87424"/>
    <w:rsid w:val="00B874D2"/>
    <w:rsid w:val="00B87607"/>
    <w:rsid w:val="00B8764E"/>
    <w:rsid w:val="00B87660"/>
    <w:rsid w:val="00B87673"/>
    <w:rsid w:val="00B876AD"/>
    <w:rsid w:val="00B87927"/>
    <w:rsid w:val="00B879D9"/>
    <w:rsid w:val="00B87A8C"/>
    <w:rsid w:val="00B87B3C"/>
    <w:rsid w:val="00B87BDE"/>
    <w:rsid w:val="00B87CBF"/>
    <w:rsid w:val="00B87E36"/>
    <w:rsid w:val="00B87EDF"/>
    <w:rsid w:val="00B87EFC"/>
    <w:rsid w:val="00B87F0B"/>
    <w:rsid w:val="00B9004D"/>
    <w:rsid w:val="00B90087"/>
    <w:rsid w:val="00B90244"/>
    <w:rsid w:val="00B90372"/>
    <w:rsid w:val="00B90468"/>
    <w:rsid w:val="00B904B3"/>
    <w:rsid w:val="00B905B9"/>
    <w:rsid w:val="00B90622"/>
    <w:rsid w:val="00B90682"/>
    <w:rsid w:val="00B90936"/>
    <w:rsid w:val="00B90A68"/>
    <w:rsid w:val="00B90B73"/>
    <w:rsid w:val="00B90D30"/>
    <w:rsid w:val="00B90DBC"/>
    <w:rsid w:val="00B90DE4"/>
    <w:rsid w:val="00B90DFE"/>
    <w:rsid w:val="00B90E01"/>
    <w:rsid w:val="00B90E99"/>
    <w:rsid w:val="00B90FB1"/>
    <w:rsid w:val="00B90FB7"/>
    <w:rsid w:val="00B91085"/>
    <w:rsid w:val="00B910A7"/>
    <w:rsid w:val="00B91108"/>
    <w:rsid w:val="00B9114D"/>
    <w:rsid w:val="00B911A5"/>
    <w:rsid w:val="00B91227"/>
    <w:rsid w:val="00B91249"/>
    <w:rsid w:val="00B913C7"/>
    <w:rsid w:val="00B91551"/>
    <w:rsid w:val="00B9167F"/>
    <w:rsid w:val="00B9175A"/>
    <w:rsid w:val="00B918CD"/>
    <w:rsid w:val="00B91A51"/>
    <w:rsid w:val="00B91AB1"/>
    <w:rsid w:val="00B91C1F"/>
    <w:rsid w:val="00B91E21"/>
    <w:rsid w:val="00B91EAA"/>
    <w:rsid w:val="00B91F0E"/>
    <w:rsid w:val="00B91F1B"/>
    <w:rsid w:val="00B91F60"/>
    <w:rsid w:val="00B920CE"/>
    <w:rsid w:val="00B9211B"/>
    <w:rsid w:val="00B92336"/>
    <w:rsid w:val="00B92480"/>
    <w:rsid w:val="00B92619"/>
    <w:rsid w:val="00B92861"/>
    <w:rsid w:val="00B92947"/>
    <w:rsid w:val="00B92AD0"/>
    <w:rsid w:val="00B92ADC"/>
    <w:rsid w:val="00B92DCA"/>
    <w:rsid w:val="00B92E3F"/>
    <w:rsid w:val="00B92E72"/>
    <w:rsid w:val="00B92F10"/>
    <w:rsid w:val="00B92FB3"/>
    <w:rsid w:val="00B93112"/>
    <w:rsid w:val="00B931C1"/>
    <w:rsid w:val="00B9333F"/>
    <w:rsid w:val="00B9340C"/>
    <w:rsid w:val="00B935FD"/>
    <w:rsid w:val="00B9362B"/>
    <w:rsid w:val="00B937DA"/>
    <w:rsid w:val="00B937FB"/>
    <w:rsid w:val="00B93890"/>
    <w:rsid w:val="00B93940"/>
    <w:rsid w:val="00B93950"/>
    <w:rsid w:val="00B939AF"/>
    <w:rsid w:val="00B93C19"/>
    <w:rsid w:val="00B93F02"/>
    <w:rsid w:val="00B93F51"/>
    <w:rsid w:val="00B93F9F"/>
    <w:rsid w:val="00B94010"/>
    <w:rsid w:val="00B9408B"/>
    <w:rsid w:val="00B940CF"/>
    <w:rsid w:val="00B9419C"/>
    <w:rsid w:val="00B944E8"/>
    <w:rsid w:val="00B94553"/>
    <w:rsid w:val="00B946B7"/>
    <w:rsid w:val="00B946C6"/>
    <w:rsid w:val="00B947F7"/>
    <w:rsid w:val="00B948AC"/>
    <w:rsid w:val="00B94B1B"/>
    <w:rsid w:val="00B94D0D"/>
    <w:rsid w:val="00B94F0C"/>
    <w:rsid w:val="00B94F40"/>
    <w:rsid w:val="00B9500C"/>
    <w:rsid w:val="00B95019"/>
    <w:rsid w:val="00B9509D"/>
    <w:rsid w:val="00B951FF"/>
    <w:rsid w:val="00B95600"/>
    <w:rsid w:val="00B956C8"/>
    <w:rsid w:val="00B95748"/>
    <w:rsid w:val="00B95773"/>
    <w:rsid w:val="00B95BC5"/>
    <w:rsid w:val="00B95C0F"/>
    <w:rsid w:val="00B95C55"/>
    <w:rsid w:val="00B95D02"/>
    <w:rsid w:val="00B95E62"/>
    <w:rsid w:val="00B95F77"/>
    <w:rsid w:val="00B960C8"/>
    <w:rsid w:val="00B9620A"/>
    <w:rsid w:val="00B962B5"/>
    <w:rsid w:val="00B96317"/>
    <w:rsid w:val="00B964E0"/>
    <w:rsid w:val="00B96524"/>
    <w:rsid w:val="00B9660D"/>
    <w:rsid w:val="00B9668F"/>
    <w:rsid w:val="00B966A1"/>
    <w:rsid w:val="00B966FB"/>
    <w:rsid w:val="00B96701"/>
    <w:rsid w:val="00B9675A"/>
    <w:rsid w:val="00B967F5"/>
    <w:rsid w:val="00B96821"/>
    <w:rsid w:val="00B96839"/>
    <w:rsid w:val="00B969BC"/>
    <w:rsid w:val="00B96BE5"/>
    <w:rsid w:val="00B96C0F"/>
    <w:rsid w:val="00B96D5A"/>
    <w:rsid w:val="00B96D87"/>
    <w:rsid w:val="00B96E00"/>
    <w:rsid w:val="00B96E7B"/>
    <w:rsid w:val="00B9706D"/>
    <w:rsid w:val="00B970E5"/>
    <w:rsid w:val="00B97114"/>
    <w:rsid w:val="00B97141"/>
    <w:rsid w:val="00B971F6"/>
    <w:rsid w:val="00B97250"/>
    <w:rsid w:val="00B97361"/>
    <w:rsid w:val="00B9752B"/>
    <w:rsid w:val="00B97617"/>
    <w:rsid w:val="00B9774F"/>
    <w:rsid w:val="00B97789"/>
    <w:rsid w:val="00B977C5"/>
    <w:rsid w:val="00B97882"/>
    <w:rsid w:val="00B978C1"/>
    <w:rsid w:val="00B978FC"/>
    <w:rsid w:val="00B97AAD"/>
    <w:rsid w:val="00B97CA6"/>
    <w:rsid w:val="00B97CAC"/>
    <w:rsid w:val="00B97D92"/>
    <w:rsid w:val="00B97EFE"/>
    <w:rsid w:val="00B97F1C"/>
    <w:rsid w:val="00BA00E0"/>
    <w:rsid w:val="00BA0120"/>
    <w:rsid w:val="00BA01CD"/>
    <w:rsid w:val="00BA037F"/>
    <w:rsid w:val="00BA0412"/>
    <w:rsid w:val="00BA0495"/>
    <w:rsid w:val="00BA0524"/>
    <w:rsid w:val="00BA05CC"/>
    <w:rsid w:val="00BA062A"/>
    <w:rsid w:val="00BA06D1"/>
    <w:rsid w:val="00BA0774"/>
    <w:rsid w:val="00BA08AC"/>
    <w:rsid w:val="00BA0940"/>
    <w:rsid w:val="00BA098C"/>
    <w:rsid w:val="00BA0A4A"/>
    <w:rsid w:val="00BA0B2A"/>
    <w:rsid w:val="00BA0C46"/>
    <w:rsid w:val="00BA0D96"/>
    <w:rsid w:val="00BA0F12"/>
    <w:rsid w:val="00BA108B"/>
    <w:rsid w:val="00BA11B8"/>
    <w:rsid w:val="00BA11C1"/>
    <w:rsid w:val="00BA120B"/>
    <w:rsid w:val="00BA135D"/>
    <w:rsid w:val="00BA136E"/>
    <w:rsid w:val="00BA13F8"/>
    <w:rsid w:val="00BA13FC"/>
    <w:rsid w:val="00BA1463"/>
    <w:rsid w:val="00BA147B"/>
    <w:rsid w:val="00BA14DB"/>
    <w:rsid w:val="00BA1619"/>
    <w:rsid w:val="00BA164A"/>
    <w:rsid w:val="00BA17F7"/>
    <w:rsid w:val="00BA181B"/>
    <w:rsid w:val="00BA1847"/>
    <w:rsid w:val="00BA18C2"/>
    <w:rsid w:val="00BA1910"/>
    <w:rsid w:val="00BA1A3D"/>
    <w:rsid w:val="00BA1C76"/>
    <w:rsid w:val="00BA1CF1"/>
    <w:rsid w:val="00BA1DEE"/>
    <w:rsid w:val="00BA1EA6"/>
    <w:rsid w:val="00BA1EDF"/>
    <w:rsid w:val="00BA2010"/>
    <w:rsid w:val="00BA2183"/>
    <w:rsid w:val="00BA2185"/>
    <w:rsid w:val="00BA22BE"/>
    <w:rsid w:val="00BA22BF"/>
    <w:rsid w:val="00BA2326"/>
    <w:rsid w:val="00BA234C"/>
    <w:rsid w:val="00BA24A1"/>
    <w:rsid w:val="00BA24F7"/>
    <w:rsid w:val="00BA26C7"/>
    <w:rsid w:val="00BA270F"/>
    <w:rsid w:val="00BA2740"/>
    <w:rsid w:val="00BA27CA"/>
    <w:rsid w:val="00BA27DA"/>
    <w:rsid w:val="00BA2AD9"/>
    <w:rsid w:val="00BA2B17"/>
    <w:rsid w:val="00BA2C49"/>
    <w:rsid w:val="00BA2CA3"/>
    <w:rsid w:val="00BA2CBF"/>
    <w:rsid w:val="00BA2D07"/>
    <w:rsid w:val="00BA2EB1"/>
    <w:rsid w:val="00BA2F34"/>
    <w:rsid w:val="00BA2FEF"/>
    <w:rsid w:val="00BA2FFC"/>
    <w:rsid w:val="00BA305F"/>
    <w:rsid w:val="00BA35D4"/>
    <w:rsid w:val="00BA36E3"/>
    <w:rsid w:val="00BA395E"/>
    <w:rsid w:val="00BA3A19"/>
    <w:rsid w:val="00BA3A5B"/>
    <w:rsid w:val="00BA3AA7"/>
    <w:rsid w:val="00BA3ACD"/>
    <w:rsid w:val="00BA3ADC"/>
    <w:rsid w:val="00BA3AE5"/>
    <w:rsid w:val="00BA3B38"/>
    <w:rsid w:val="00BA3BCC"/>
    <w:rsid w:val="00BA3BCF"/>
    <w:rsid w:val="00BA3BD0"/>
    <w:rsid w:val="00BA3C06"/>
    <w:rsid w:val="00BA3C11"/>
    <w:rsid w:val="00BA3C97"/>
    <w:rsid w:val="00BA3D37"/>
    <w:rsid w:val="00BA3E19"/>
    <w:rsid w:val="00BA3E3D"/>
    <w:rsid w:val="00BA3E6F"/>
    <w:rsid w:val="00BA3F38"/>
    <w:rsid w:val="00BA3F3F"/>
    <w:rsid w:val="00BA400B"/>
    <w:rsid w:val="00BA4094"/>
    <w:rsid w:val="00BA40F2"/>
    <w:rsid w:val="00BA4152"/>
    <w:rsid w:val="00BA4160"/>
    <w:rsid w:val="00BA42C9"/>
    <w:rsid w:val="00BA42E9"/>
    <w:rsid w:val="00BA4529"/>
    <w:rsid w:val="00BA45DC"/>
    <w:rsid w:val="00BA46E1"/>
    <w:rsid w:val="00BA47CC"/>
    <w:rsid w:val="00BA48DF"/>
    <w:rsid w:val="00BA499D"/>
    <w:rsid w:val="00BA49CB"/>
    <w:rsid w:val="00BA49D0"/>
    <w:rsid w:val="00BA4A2B"/>
    <w:rsid w:val="00BA4BAD"/>
    <w:rsid w:val="00BA4C14"/>
    <w:rsid w:val="00BA4C45"/>
    <w:rsid w:val="00BA4EC4"/>
    <w:rsid w:val="00BA4F5C"/>
    <w:rsid w:val="00BA51ED"/>
    <w:rsid w:val="00BA5226"/>
    <w:rsid w:val="00BA5275"/>
    <w:rsid w:val="00BA54DC"/>
    <w:rsid w:val="00BA553D"/>
    <w:rsid w:val="00BA5573"/>
    <w:rsid w:val="00BA5635"/>
    <w:rsid w:val="00BA57C3"/>
    <w:rsid w:val="00BA5879"/>
    <w:rsid w:val="00BA587C"/>
    <w:rsid w:val="00BA5AE7"/>
    <w:rsid w:val="00BA5BE8"/>
    <w:rsid w:val="00BA5CD3"/>
    <w:rsid w:val="00BA5DDC"/>
    <w:rsid w:val="00BA6134"/>
    <w:rsid w:val="00BA61D5"/>
    <w:rsid w:val="00BA6326"/>
    <w:rsid w:val="00BA63C7"/>
    <w:rsid w:val="00BA65A2"/>
    <w:rsid w:val="00BA6640"/>
    <w:rsid w:val="00BA664E"/>
    <w:rsid w:val="00BA6738"/>
    <w:rsid w:val="00BA688F"/>
    <w:rsid w:val="00BA68CD"/>
    <w:rsid w:val="00BA68DB"/>
    <w:rsid w:val="00BA68FB"/>
    <w:rsid w:val="00BA6A1B"/>
    <w:rsid w:val="00BA6ADB"/>
    <w:rsid w:val="00BA6B6B"/>
    <w:rsid w:val="00BA6BCB"/>
    <w:rsid w:val="00BA6C55"/>
    <w:rsid w:val="00BA6DFA"/>
    <w:rsid w:val="00BA6F16"/>
    <w:rsid w:val="00BA6FD1"/>
    <w:rsid w:val="00BA6FD4"/>
    <w:rsid w:val="00BA7074"/>
    <w:rsid w:val="00BA717E"/>
    <w:rsid w:val="00BA71CC"/>
    <w:rsid w:val="00BA72BB"/>
    <w:rsid w:val="00BA73D3"/>
    <w:rsid w:val="00BA73F0"/>
    <w:rsid w:val="00BA741F"/>
    <w:rsid w:val="00BA749B"/>
    <w:rsid w:val="00BA74AA"/>
    <w:rsid w:val="00BA7542"/>
    <w:rsid w:val="00BA7789"/>
    <w:rsid w:val="00BA7791"/>
    <w:rsid w:val="00BA77CE"/>
    <w:rsid w:val="00BA780A"/>
    <w:rsid w:val="00BA78E8"/>
    <w:rsid w:val="00BA7947"/>
    <w:rsid w:val="00BA7A81"/>
    <w:rsid w:val="00BA7AF4"/>
    <w:rsid w:val="00BA7B53"/>
    <w:rsid w:val="00BA7BCB"/>
    <w:rsid w:val="00BA7C53"/>
    <w:rsid w:val="00BA7C5E"/>
    <w:rsid w:val="00BA7D23"/>
    <w:rsid w:val="00BA7ED4"/>
    <w:rsid w:val="00BB0130"/>
    <w:rsid w:val="00BB0163"/>
    <w:rsid w:val="00BB027C"/>
    <w:rsid w:val="00BB03C1"/>
    <w:rsid w:val="00BB040C"/>
    <w:rsid w:val="00BB0438"/>
    <w:rsid w:val="00BB05B9"/>
    <w:rsid w:val="00BB05F6"/>
    <w:rsid w:val="00BB061F"/>
    <w:rsid w:val="00BB0668"/>
    <w:rsid w:val="00BB06E2"/>
    <w:rsid w:val="00BB0797"/>
    <w:rsid w:val="00BB07CB"/>
    <w:rsid w:val="00BB0877"/>
    <w:rsid w:val="00BB08BC"/>
    <w:rsid w:val="00BB0978"/>
    <w:rsid w:val="00BB0AD8"/>
    <w:rsid w:val="00BB0B22"/>
    <w:rsid w:val="00BB0C12"/>
    <w:rsid w:val="00BB0CA2"/>
    <w:rsid w:val="00BB0E09"/>
    <w:rsid w:val="00BB0F7C"/>
    <w:rsid w:val="00BB1098"/>
    <w:rsid w:val="00BB1186"/>
    <w:rsid w:val="00BB158E"/>
    <w:rsid w:val="00BB16A7"/>
    <w:rsid w:val="00BB16CE"/>
    <w:rsid w:val="00BB17D2"/>
    <w:rsid w:val="00BB193D"/>
    <w:rsid w:val="00BB1ABB"/>
    <w:rsid w:val="00BB1AD2"/>
    <w:rsid w:val="00BB1AEF"/>
    <w:rsid w:val="00BB1C38"/>
    <w:rsid w:val="00BB1CAB"/>
    <w:rsid w:val="00BB1ECC"/>
    <w:rsid w:val="00BB1F33"/>
    <w:rsid w:val="00BB1FE7"/>
    <w:rsid w:val="00BB203E"/>
    <w:rsid w:val="00BB20B2"/>
    <w:rsid w:val="00BB214E"/>
    <w:rsid w:val="00BB2193"/>
    <w:rsid w:val="00BB2393"/>
    <w:rsid w:val="00BB23AC"/>
    <w:rsid w:val="00BB245B"/>
    <w:rsid w:val="00BB2477"/>
    <w:rsid w:val="00BB248F"/>
    <w:rsid w:val="00BB2565"/>
    <w:rsid w:val="00BB25B3"/>
    <w:rsid w:val="00BB26C3"/>
    <w:rsid w:val="00BB2732"/>
    <w:rsid w:val="00BB277E"/>
    <w:rsid w:val="00BB2865"/>
    <w:rsid w:val="00BB2896"/>
    <w:rsid w:val="00BB2BAB"/>
    <w:rsid w:val="00BB2C6F"/>
    <w:rsid w:val="00BB31A2"/>
    <w:rsid w:val="00BB3222"/>
    <w:rsid w:val="00BB3270"/>
    <w:rsid w:val="00BB32D3"/>
    <w:rsid w:val="00BB3573"/>
    <w:rsid w:val="00BB35EE"/>
    <w:rsid w:val="00BB3796"/>
    <w:rsid w:val="00BB37CC"/>
    <w:rsid w:val="00BB3865"/>
    <w:rsid w:val="00BB38FB"/>
    <w:rsid w:val="00BB3A82"/>
    <w:rsid w:val="00BB3AA8"/>
    <w:rsid w:val="00BB3C4E"/>
    <w:rsid w:val="00BB3C95"/>
    <w:rsid w:val="00BB3EFB"/>
    <w:rsid w:val="00BB40D4"/>
    <w:rsid w:val="00BB40F6"/>
    <w:rsid w:val="00BB411F"/>
    <w:rsid w:val="00BB4151"/>
    <w:rsid w:val="00BB41DA"/>
    <w:rsid w:val="00BB4254"/>
    <w:rsid w:val="00BB430E"/>
    <w:rsid w:val="00BB44A4"/>
    <w:rsid w:val="00BB4631"/>
    <w:rsid w:val="00BB46D0"/>
    <w:rsid w:val="00BB46F9"/>
    <w:rsid w:val="00BB474B"/>
    <w:rsid w:val="00BB4806"/>
    <w:rsid w:val="00BB4850"/>
    <w:rsid w:val="00BB49B9"/>
    <w:rsid w:val="00BB4A3F"/>
    <w:rsid w:val="00BB4AE3"/>
    <w:rsid w:val="00BB4C93"/>
    <w:rsid w:val="00BB4CE8"/>
    <w:rsid w:val="00BB4D0B"/>
    <w:rsid w:val="00BB4D2A"/>
    <w:rsid w:val="00BB4EAC"/>
    <w:rsid w:val="00BB4ECC"/>
    <w:rsid w:val="00BB4F17"/>
    <w:rsid w:val="00BB5136"/>
    <w:rsid w:val="00BB51CC"/>
    <w:rsid w:val="00BB5219"/>
    <w:rsid w:val="00BB52FC"/>
    <w:rsid w:val="00BB5459"/>
    <w:rsid w:val="00BB547B"/>
    <w:rsid w:val="00BB5631"/>
    <w:rsid w:val="00BB565F"/>
    <w:rsid w:val="00BB570A"/>
    <w:rsid w:val="00BB58E1"/>
    <w:rsid w:val="00BB590E"/>
    <w:rsid w:val="00BB5B7F"/>
    <w:rsid w:val="00BB5CCF"/>
    <w:rsid w:val="00BB5DC4"/>
    <w:rsid w:val="00BB5FDC"/>
    <w:rsid w:val="00BB610C"/>
    <w:rsid w:val="00BB634A"/>
    <w:rsid w:val="00BB6449"/>
    <w:rsid w:val="00BB654E"/>
    <w:rsid w:val="00BB6667"/>
    <w:rsid w:val="00BB67F9"/>
    <w:rsid w:val="00BB69D1"/>
    <w:rsid w:val="00BB6A34"/>
    <w:rsid w:val="00BB6A67"/>
    <w:rsid w:val="00BB6B39"/>
    <w:rsid w:val="00BB6C16"/>
    <w:rsid w:val="00BB6CCC"/>
    <w:rsid w:val="00BB6D78"/>
    <w:rsid w:val="00BB6DAA"/>
    <w:rsid w:val="00BB6E05"/>
    <w:rsid w:val="00BB6F53"/>
    <w:rsid w:val="00BB707F"/>
    <w:rsid w:val="00BB71A7"/>
    <w:rsid w:val="00BB721F"/>
    <w:rsid w:val="00BB7297"/>
    <w:rsid w:val="00BB7347"/>
    <w:rsid w:val="00BB73F5"/>
    <w:rsid w:val="00BB74D6"/>
    <w:rsid w:val="00BB74F4"/>
    <w:rsid w:val="00BB7518"/>
    <w:rsid w:val="00BB7770"/>
    <w:rsid w:val="00BB7778"/>
    <w:rsid w:val="00BB77A4"/>
    <w:rsid w:val="00BB77B4"/>
    <w:rsid w:val="00BB78A7"/>
    <w:rsid w:val="00BB79BE"/>
    <w:rsid w:val="00BB7A2F"/>
    <w:rsid w:val="00BB7A86"/>
    <w:rsid w:val="00BB7B24"/>
    <w:rsid w:val="00BB7D2E"/>
    <w:rsid w:val="00BB7E14"/>
    <w:rsid w:val="00BB7ECE"/>
    <w:rsid w:val="00BB7EE1"/>
    <w:rsid w:val="00BB7F1C"/>
    <w:rsid w:val="00BC007A"/>
    <w:rsid w:val="00BC010D"/>
    <w:rsid w:val="00BC0157"/>
    <w:rsid w:val="00BC03C9"/>
    <w:rsid w:val="00BC0643"/>
    <w:rsid w:val="00BC0705"/>
    <w:rsid w:val="00BC08B9"/>
    <w:rsid w:val="00BC0A55"/>
    <w:rsid w:val="00BC0AB5"/>
    <w:rsid w:val="00BC0E19"/>
    <w:rsid w:val="00BC0E5E"/>
    <w:rsid w:val="00BC0EBD"/>
    <w:rsid w:val="00BC0F69"/>
    <w:rsid w:val="00BC1003"/>
    <w:rsid w:val="00BC11D5"/>
    <w:rsid w:val="00BC125B"/>
    <w:rsid w:val="00BC12DE"/>
    <w:rsid w:val="00BC1361"/>
    <w:rsid w:val="00BC148B"/>
    <w:rsid w:val="00BC1504"/>
    <w:rsid w:val="00BC1506"/>
    <w:rsid w:val="00BC158F"/>
    <w:rsid w:val="00BC1744"/>
    <w:rsid w:val="00BC176A"/>
    <w:rsid w:val="00BC1B89"/>
    <w:rsid w:val="00BC1BE0"/>
    <w:rsid w:val="00BC1C3C"/>
    <w:rsid w:val="00BC1CE2"/>
    <w:rsid w:val="00BC1DF8"/>
    <w:rsid w:val="00BC1E59"/>
    <w:rsid w:val="00BC1EFD"/>
    <w:rsid w:val="00BC1FF6"/>
    <w:rsid w:val="00BC2048"/>
    <w:rsid w:val="00BC2121"/>
    <w:rsid w:val="00BC2292"/>
    <w:rsid w:val="00BC23AB"/>
    <w:rsid w:val="00BC252D"/>
    <w:rsid w:val="00BC2586"/>
    <w:rsid w:val="00BC25B0"/>
    <w:rsid w:val="00BC27E3"/>
    <w:rsid w:val="00BC2841"/>
    <w:rsid w:val="00BC2B1A"/>
    <w:rsid w:val="00BC2B8F"/>
    <w:rsid w:val="00BC2BB3"/>
    <w:rsid w:val="00BC2BF9"/>
    <w:rsid w:val="00BC2D0B"/>
    <w:rsid w:val="00BC2DC4"/>
    <w:rsid w:val="00BC2E2D"/>
    <w:rsid w:val="00BC2E6B"/>
    <w:rsid w:val="00BC2EC0"/>
    <w:rsid w:val="00BC301E"/>
    <w:rsid w:val="00BC32D4"/>
    <w:rsid w:val="00BC35DB"/>
    <w:rsid w:val="00BC36BE"/>
    <w:rsid w:val="00BC383B"/>
    <w:rsid w:val="00BC3861"/>
    <w:rsid w:val="00BC394E"/>
    <w:rsid w:val="00BC3AAF"/>
    <w:rsid w:val="00BC3CCA"/>
    <w:rsid w:val="00BC3EAC"/>
    <w:rsid w:val="00BC3FE6"/>
    <w:rsid w:val="00BC4124"/>
    <w:rsid w:val="00BC413B"/>
    <w:rsid w:val="00BC4179"/>
    <w:rsid w:val="00BC419E"/>
    <w:rsid w:val="00BC42EC"/>
    <w:rsid w:val="00BC43FF"/>
    <w:rsid w:val="00BC445A"/>
    <w:rsid w:val="00BC45C4"/>
    <w:rsid w:val="00BC45CB"/>
    <w:rsid w:val="00BC485B"/>
    <w:rsid w:val="00BC48BD"/>
    <w:rsid w:val="00BC48BF"/>
    <w:rsid w:val="00BC49B4"/>
    <w:rsid w:val="00BC4A24"/>
    <w:rsid w:val="00BC4A4F"/>
    <w:rsid w:val="00BC4BF6"/>
    <w:rsid w:val="00BC4C38"/>
    <w:rsid w:val="00BC4D0D"/>
    <w:rsid w:val="00BC4F07"/>
    <w:rsid w:val="00BC4F49"/>
    <w:rsid w:val="00BC4FC6"/>
    <w:rsid w:val="00BC504F"/>
    <w:rsid w:val="00BC508E"/>
    <w:rsid w:val="00BC5163"/>
    <w:rsid w:val="00BC51B8"/>
    <w:rsid w:val="00BC5225"/>
    <w:rsid w:val="00BC5279"/>
    <w:rsid w:val="00BC532E"/>
    <w:rsid w:val="00BC5350"/>
    <w:rsid w:val="00BC5391"/>
    <w:rsid w:val="00BC53B3"/>
    <w:rsid w:val="00BC5420"/>
    <w:rsid w:val="00BC5497"/>
    <w:rsid w:val="00BC55B8"/>
    <w:rsid w:val="00BC561E"/>
    <w:rsid w:val="00BC565C"/>
    <w:rsid w:val="00BC5753"/>
    <w:rsid w:val="00BC57DF"/>
    <w:rsid w:val="00BC589A"/>
    <w:rsid w:val="00BC58D3"/>
    <w:rsid w:val="00BC5929"/>
    <w:rsid w:val="00BC5969"/>
    <w:rsid w:val="00BC5BB3"/>
    <w:rsid w:val="00BC5C4D"/>
    <w:rsid w:val="00BC5C4E"/>
    <w:rsid w:val="00BC5D79"/>
    <w:rsid w:val="00BC5DB7"/>
    <w:rsid w:val="00BC5E9E"/>
    <w:rsid w:val="00BC5ED0"/>
    <w:rsid w:val="00BC5F83"/>
    <w:rsid w:val="00BC5F97"/>
    <w:rsid w:val="00BC6186"/>
    <w:rsid w:val="00BC61D8"/>
    <w:rsid w:val="00BC61F9"/>
    <w:rsid w:val="00BC62C1"/>
    <w:rsid w:val="00BC632A"/>
    <w:rsid w:val="00BC637E"/>
    <w:rsid w:val="00BC64F1"/>
    <w:rsid w:val="00BC6548"/>
    <w:rsid w:val="00BC661A"/>
    <w:rsid w:val="00BC6662"/>
    <w:rsid w:val="00BC6665"/>
    <w:rsid w:val="00BC6724"/>
    <w:rsid w:val="00BC676B"/>
    <w:rsid w:val="00BC6777"/>
    <w:rsid w:val="00BC67F7"/>
    <w:rsid w:val="00BC68B4"/>
    <w:rsid w:val="00BC6B4D"/>
    <w:rsid w:val="00BC6BF7"/>
    <w:rsid w:val="00BC6D68"/>
    <w:rsid w:val="00BC6F9B"/>
    <w:rsid w:val="00BC701A"/>
    <w:rsid w:val="00BC7174"/>
    <w:rsid w:val="00BC740F"/>
    <w:rsid w:val="00BC75DB"/>
    <w:rsid w:val="00BC76EA"/>
    <w:rsid w:val="00BC7784"/>
    <w:rsid w:val="00BC7792"/>
    <w:rsid w:val="00BC77A0"/>
    <w:rsid w:val="00BC790F"/>
    <w:rsid w:val="00BC7BBB"/>
    <w:rsid w:val="00BC7C1D"/>
    <w:rsid w:val="00BC7C1F"/>
    <w:rsid w:val="00BC7CD8"/>
    <w:rsid w:val="00BC7CE6"/>
    <w:rsid w:val="00BC7DF6"/>
    <w:rsid w:val="00BC7E99"/>
    <w:rsid w:val="00BC7F11"/>
    <w:rsid w:val="00BC7F26"/>
    <w:rsid w:val="00BD02FE"/>
    <w:rsid w:val="00BD038D"/>
    <w:rsid w:val="00BD056B"/>
    <w:rsid w:val="00BD05FA"/>
    <w:rsid w:val="00BD0700"/>
    <w:rsid w:val="00BD082B"/>
    <w:rsid w:val="00BD0ACE"/>
    <w:rsid w:val="00BD0B57"/>
    <w:rsid w:val="00BD0E68"/>
    <w:rsid w:val="00BD0F24"/>
    <w:rsid w:val="00BD10E7"/>
    <w:rsid w:val="00BD122E"/>
    <w:rsid w:val="00BD12AC"/>
    <w:rsid w:val="00BD1726"/>
    <w:rsid w:val="00BD18D5"/>
    <w:rsid w:val="00BD19D3"/>
    <w:rsid w:val="00BD1C98"/>
    <w:rsid w:val="00BD1CB1"/>
    <w:rsid w:val="00BD1D94"/>
    <w:rsid w:val="00BD1EDC"/>
    <w:rsid w:val="00BD1FE0"/>
    <w:rsid w:val="00BD202D"/>
    <w:rsid w:val="00BD2440"/>
    <w:rsid w:val="00BD2567"/>
    <w:rsid w:val="00BD2656"/>
    <w:rsid w:val="00BD274F"/>
    <w:rsid w:val="00BD2798"/>
    <w:rsid w:val="00BD2A81"/>
    <w:rsid w:val="00BD2AC3"/>
    <w:rsid w:val="00BD2B4E"/>
    <w:rsid w:val="00BD2C79"/>
    <w:rsid w:val="00BD2E78"/>
    <w:rsid w:val="00BD2FFF"/>
    <w:rsid w:val="00BD304D"/>
    <w:rsid w:val="00BD3125"/>
    <w:rsid w:val="00BD3154"/>
    <w:rsid w:val="00BD326C"/>
    <w:rsid w:val="00BD3280"/>
    <w:rsid w:val="00BD3680"/>
    <w:rsid w:val="00BD36E0"/>
    <w:rsid w:val="00BD38DF"/>
    <w:rsid w:val="00BD39B8"/>
    <w:rsid w:val="00BD3DAC"/>
    <w:rsid w:val="00BD3E36"/>
    <w:rsid w:val="00BD3E3D"/>
    <w:rsid w:val="00BD3E6C"/>
    <w:rsid w:val="00BD3F0D"/>
    <w:rsid w:val="00BD42F7"/>
    <w:rsid w:val="00BD4431"/>
    <w:rsid w:val="00BD4543"/>
    <w:rsid w:val="00BD45E2"/>
    <w:rsid w:val="00BD46D6"/>
    <w:rsid w:val="00BD476D"/>
    <w:rsid w:val="00BD4798"/>
    <w:rsid w:val="00BD47E9"/>
    <w:rsid w:val="00BD48E1"/>
    <w:rsid w:val="00BD4960"/>
    <w:rsid w:val="00BD4AF5"/>
    <w:rsid w:val="00BD4C6E"/>
    <w:rsid w:val="00BD4CAE"/>
    <w:rsid w:val="00BD4CFC"/>
    <w:rsid w:val="00BD4D15"/>
    <w:rsid w:val="00BD4D59"/>
    <w:rsid w:val="00BD4E4F"/>
    <w:rsid w:val="00BD4F25"/>
    <w:rsid w:val="00BD5041"/>
    <w:rsid w:val="00BD504A"/>
    <w:rsid w:val="00BD50C5"/>
    <w:rsid w:val="00BD5424"/>
    <w:rsid w:val="00BD544D"/>
    <w:rsid w:val="00BD54D6"/>
    <w:rsid w:val="00BD551C"/>
    <w:rsid w:val="00BD5612"/>
    <w:rsid w:val="00BD5650"/>
    <w:rsid w:val="00BD5736"/>
    <w:rsid w:val="00BD5790"/>
    <w:rsid w:val="00BD57BE"/>
    <w:rsid w:val="00BD581F"/>
    <w:rsid w:val="00BD5864"/>
    <w:rsid w:val="00BD596D"/>
    <w:rsid w:val="00BD59A1"/>
    <w:rsid w:val="00BD59B3"/>
    <w:rsid w:val="00BD5A7D"/>
    <w:rsid w:val="00BD5B63"/>
    <w:rsid w:val="00BD5BF8"/>
    <w:rsid w:val="00BD5EF7"/>
    <w:rsid w:val="00BD5F75"/>
    <w:rsid w:val="00BD601F"/>
    <w:rsid w:val="00BD60FF"/>
    <w:rsid w:val="00BD6171"/>
    <w:rsid w:val="00BD6330"/>
    <w:rsid w:val="00BD63CF"/>
    <w:rsid w:val="00BD6598"/>
    <w:rsid w:val="00BD65F1"/>
    <w:rsid w:val="00BD6688"/>
    <w:rsid w:val="00BD66A6"/>
    <w:rsid w:val="00BD66E2"/>
    <w:rsid w:val="00BD6744"/>
    <w:rsid w:val="00BD6822"/>
    <w:rsid w:val="00BD694A"/>
    <w:rsid w:val="00BD69C5"/>
    <w:rsid w:val="00BD69E7"/>
    <w:rsid w:val="00BD6A6A"/>
    <w:rsid w:val="00BD6B11"/>
    <w:rsid w:val="00BD6B2B"/>
    <w:rsid w:val="00BD6C85"/>
    <w:rsid w:val="00BD6E3A"/>
    <w:rsid w:val="00BD6E5E"/>
    <w:rsid w:val="00BD6EA3"/>
    <w:rsid w:val="00BD6EC2"/>
    <w:rsid w:val="00BD6EEE"/>
    <w:rsid w:val="00BD6F13"/>
    <w:rsid w:val="00BD6F92"/>
    <w:rsid w:val="00BD6F96"/>
    <w:rsid w:val="00BD7095"/>
    <w:rsid w:val="00BD7581"/>
    <w:rsid w:val="00BD76EE"/>
    <w:rsid w:val="00BD77CC"/>
    <w:rsid w:val="00BD781F"/>
    <w:rsid w:val="00BD7A8E"/>
    <w:rsid w:val="00BD7AF3"/>
    <w:rsid w:val="00BD7AF6"/>
    <w:rsid w:val="00BD7B37"/>
    <w:rsid w:val="00BD7E96"/>
    <w:rsid w:val="00BD7F02"/>
    <w:rsid w:val="00BD7FE9"/>
    <w:rsid w:val="00BE006E"/>
    <w:rsid w:val="00BE027F"/>
    <w:rsid w:val="00BE0401"/>
    <w:rsid w:val="00BE0502"/>
    <w:rsid w:val="00BE0562"/>
    <w:rsid w:val="00BE05A0"/>
    <w:rsid w:val="00BE071F"/>
    <w:rsid w:val="00BE0ABE"/>
    <w:rsid w:val="00BE0B18"/>
    <w:rsid w:val="00BE0B43"/>
    <w:rsid w:val="00BE0B6A"/>
    <w:rsid w:val="00BE0BDE"/>
    <w:rsid w:val="00BE0BE3"/>
    <w:rsid w:val="00BE0BEA"/>
    <w:rsid w:val="00BE0CB4"/>
    <w:rsid w:val="00BE0ED0"/>
    <w:rsid w:val="00BE0F63"/>
    <w:rsid w:val="00BE0FC6"/>
    <w:rsid w:val="00BE10BE"/>
    <w:rsid w:val="00BE112C"/>
    <w:rsid w:val="00BE124D"/>
    <w:rsid w:val="00BE1274"/>
    <w:rsid w:val="00BE1362"/>
    <w:rsid w:val="00BE1384"/>
    <w:rsid w:val="00BE1639"/>
    <w:rsid w:val="00BE17A5"/>
    <w:rsid w:val="00BE192C"/>
    <w:rsid w:val="00BE19D9"/>
    <w:rsid w:val="00BE19DC"/>
    <w:rsid w:val="00BE1BB0"/>
    <w:rsid w:val="00BE1C08"/>
    <w:rsid w:val="00BE1C94"/>
    <w:rsid w:val="00BE1CC8"/>
    <w:rsid w:val="00BE1CC9"/>
    <w:rsid w:val="00BE1EE3"/>
    <w:rsid w:val="00BE1F23"/>
    <w:rsid w:val="00BE1FFB"/>
    <w:rsid w:val="00BE2082"/>
    <w:rsid w:val="00BE2087"/>
    <w:rsid w:val="00BE209B"/>
    <w:rsid w:val="00BE2317"/>
    <w:rsid w:val="00BE2435"/>
    <w:rsid w:val="00BE245A"/>
    <w:rsid w:val="00BE259D"/>
    <w:rsid w:val="00BE26FD"/>
    <w:rsid w:val="00BE28E5"/>
    <w:rsid w:val="00BE28FB"/>
    <w:rsid w:val="00BE2A1D"/>
    <w:rsid w:val="00BE2A8D"/>
    <w:rsid w:val="00BE2AE2"/>
    <w:rsid w:val="00BE2B1F"/>
    <w:rsid w:val="00BE2D22"/>
    <w:rsid w:val="00BE2D88"/>
    <w:rsid w:val="00BE2E0D"/>
    <w:rsid w:val="00BE30BE"/>
    <w:rsid w:val="00BE348E"/>
    <w:rsid w:val="00BE366A"/>
    <w:rsid w:val="00BE3733"/>
    <w:rsid w:val="00BE389F"/>
    <w:rsid w:val="00BE3978"/>
    <w:rsid w:val="00BE39D8"/>
    <w:rsid w:val="00BE3BF1"/>
    <w:rsid w:val="00BE3C29"/>
    <w:rsid w:val="00BE3C7F"/>
    <w:rsid w:val="00BE3DAC"/>
    <w:rsid w:val="00BE3E1A"/>
    <w:rsid w:val="00BE3E1E"/>
    <w:rsid w:val="00BE3E26"/>
    <w:rsid w:val="00BE3E65"/>
    <w:rsid w:val="00BE3E76"/>
    <w:rsid w:val="00BE412F"/>
    <w:rsid w:val="00BE4185"/>
    <w:rsid w:val="00BE434A"/>
    <w:rsid w:val="00BE436A"/>
    <w:rsid w:val="00BE43DC"/>
    <w:rsid w:val="00BE441D"/>
    <w:rsid w:val="00BE4679"/>
    <w:rsid w:val="00BE4697"/>
    <w:rsid w:val="00BE4793"/>
    <w:rsid w:val="00BE47FF"/>
    <w:rsid w:val="00BE4818"/>
    <w:rsid w:val="00BE48EC"/>
    <w:rsid w:val="00BE4915"/>
    <w:rsid w:val="00BE495C"/>
    <w:rsid w:val="00BE4989"/>
    <w:rsid w:val="00BE4A97"/>
    <w:rsid w:val="00BE4CD6"/>
    <w:rsid w:val="00BE4CD9"/>
    <w:rsid w:val="00BE4DD8"/>
    <w:rsid w:val="00BE4DDF"/>
    <w:rsid w:val="00BE4E07"/>
    <w:rsid w:val="00BE4E96"/>
    <w:rsid w:val="00BE5004"/>
    <w:rsid w:val="00BE5058"/>
    <w:rsid w:val="00BE5092"/>
    <w:rsid w:val="00BE50A7"/>
    <w:rsid w:val="00BE50AE"/>
    <w:rsid w:val="00BE5151"/>
    <w:rsid w:val="00BE5275"/>
    <w:rsid w:val="00BE52EE"/>
    <w:rsid w:val="00BE5551"/>
    <w:rsid w:val="00BE5557"/>
    <w:rsid w:val="00BE55C6"/>
    <w:rsid w:val="00BE55F3"/>
    <w:rsid w:val="00BE5618"/>
    <w:rsid w:val="00BE57C9"/>
    <w:rsid w:val="00BE58C8"/>
    <w:rsid w:val="00BE592A"/>
    <w:rsid w:val="00BE5947"/>
    <w:rsid w:val="00BE59A1"/>
    <w:rsid w:val="00BE5B85"/>
    <w:rsid w:val="00BE5C44"/>
    <w:rsid w:val="00BE5D4B"/>
    <w:rsid w:val="00BE5D95"/>
    <w:rsid w:val="00BE5DF6"/>
    <w:rsid w:val="00BE5F9B"/>
    <w:rsid w:val="00BE601C"/>
    <w:rsid w:val="00BE60DE"/>
    <w:rsid w:val="00BE61FC"/>
    <w:rsid w:val="00BE6256"/>
    <w:rsid w:val="00BE6914"/>
    <w:rsid w:val="00BE6A22"/>
    <w:rsid w:val="00BE6AAB"/>
    <w:rsid w:val="00BE6B63"/>
    <w:rsid w:val="00BE6C19"/>
    <w:rsid w:val="00BE6C5F"/>
    <w:rsid w:val="00BE6C82"/>
    <w:rsid w:val="00BE6E2C"/>
    <w:rsid w:val="00BE6EA9"/>
    <w:rsid w:val="00BE6FC6"/>
    <w:rsid w:val="00BE7088"/>
    <w:rsid w:val="00BE709F"/>
    <w:rsid w:val="00BE7222"/>
    <w:rsid w:val="00BE72DE"/>
    <w:rsid w:val="00BE7651"/>
    <w:rsid w:val="00BE7655"/>
    <w:rsid w:val="00BE76BC"/>
    <w:rsid w:val="00BE7753"/>
    <w:rsid w:val="00BE783B"/>
    <w:rsid w:val="00BE7862"/>
    <w:rsid w:val="00BE7924"/>
    <w:rsid w:val="00BE792A"/>
    <w:rsid w:val="00BE7D2A"/>
    <w:rsid w:val="00BE7D66"/>
    <w:rsid w:val="00BE7DA3"/>
    <w:rsid w:val="00BE7E88"/>
    <w:rsid w:val="00BE7F11"/>
    <w:rsid w:val="00BE7F52"/>
    <w:rsid w:val="00BF02AA"/>
    <w:rsid w:val="00BF048E"/>
    <w:rsid w:val="00BF04BA"/>
    <w:rsid w:val="00BF0547"/>
    <w:rsid w:val="00BF0699"/>
    <w:rsid w:val="00BF0848"/>
    <w:rsid w:val="00BF0853"/>
    <w:rsid w:val="00BF0B11"/>
    <w:rsid w:val="00BF0C0D"/>
    <w:rsid w:val="00BF0D98"/>
    <w:rsid w:val="00BF0E0A"/>
    <w:rsid w:val="00BF0E0B"/>
    <w:rsid w:val="00BF0F91"/>
    <w:rsid w:val="00BF115E"/>
    <w:rsid w:val="00BF1302"/>
    <w:rsid w:val="00BF1401"/>
    <w:rsid w:val="00BF1682"/>
    <w:rsid w:val="00BF17B2"/>
    <w:rsid w:val="00BF1A32"/>
    <w:rsid w:val="00BF1E19"/>
    <w:rsid w:val="00BF1F9D"/>
    <w:rsid w:val="00BF2026"/>
    <w:rsid w:val="00BF2168"/>
    <w:rsid w:val="00BF2188"/>
    <w:rsid w:val="00BF21FD"/>
    <w:rsid w:val="00BF2294"/>
    <w:rsid w:val="00BF2572"/>
    <w:rsid w:val="00BF261D"/>
    <w:rsid w:val="00BF26AD"/>
    <w:rsid w:val="00BF27A7"/>
    <w:rsid w:val="00BF284A"/>
    <w:rsid w:val="00BF28DC"/>
    <w:rsid w:val="00BF29EC"/>
    <w:rsid w:val="00BF2A2D"/>
    <w:rsid w:val="00BF2C1F"/>
    <w:rsid w:val="00BF2C3B"/>
    <w:rsid w:val="00BF2CAD"/>
    <w:rsid w:val="00BF2CD4"/>
    <w:rsid w:val="00BF2E5D"/>
    <w:rsid w:val="00BF2E86"/>
    <w:rsid w:val="00BF2FF3"/>
    <w:rsid w:val="00BF3092"/>
    <w:rsid w:val="00BF30B2"/>
    <w:rsid w:val="00BF3178"/>
    <w:rsid w:val="00BF3263"/>
    <w:rsid w:val="00BF32AD"/>
    <w:rsid w:val="00BF32C5"/>
    <w:rsid w:val="00BF33CA"/>
    <w:rsid w:val="00BF34F4"/>
    <w:rsid w:val="00BF35E6"/>
    <w:rsid w:val="00BF36B2"/>
    <w:rsid w:val="00BF378B"/>
    <w:rsid w:val="00BF3797"/>
    <w:rsid w:val="00BF3820"/>
    <w:rsid w:val="00BF3830"/>
    <w:rsid w:val="00BF3962"/>
    <w:rsid w:val="00BF39B3"/>
    <w:rsid w:val="00BF3A84"/>
    <w:rsid w:val="00BF3A8D"/>
    <w:rsid w:val="00BF3B68"/>
    <w:rsid w:val="00BF3BAB"/>
    <w:rsid w:val="00BF3C21"/>
    <w:rsid w:val="00BF3D49"/>
    <w:rsid w:val="00BF3E01"/>
    <w:rsid w:val="00BF3E10"/>
    <w:rsid w:val="00BF3F17"/>
    <w:rsid w:val="00BF3F2C"/>
    <w:rsid w:val="00BF3F60"/>
    <w:rsid w:val="00BF3FAC"/>
    <w:rsid w:val="00BF43ED"/>
    <w:rsid w:val="00BF444E"/>
    <w:rsid w:val="00BF454B"/>
    <w:rsid w:val="00BF4557"/>
    <w:rsid w:val="00BF465E"/>
    <w:rsid w:val="00BF46BF"/>
    <w:rsid w:val="00BF491D"/>
    <w:rsid w:val="00BF499B"/>
    <w:rsid w:val="00BF49A4"/>
    <w:rsid w:val="00BF49FB"/>
    <w:rsid w:val="00BF4AE0"/>
    <w:rsid w:val="00BF4C30"/>
    <w:rsid w:val="00BF4DA0"/>
    <w:rsid w:val="00BF4E86"/>
    <w:rsid w:val="00BF4EB2"/>
    <w:rsid w:val="00BF4F26"/>
    <w:rsid w:val="00BF4F63"/>
    <w:rsid w:val="00BF50B2"/>
    <w:rsid w:val="00BF51D3"/>
    <w:rsid w:val="00BF53AF"/>
    <w:rsid w:val="00BF5427"/>
    <w:rsid w:val="00BF542C"/>
    <w:rsid w:val="00BF55B8"/>
    <w:rsid w:val="00BF5746"/>
    <w:rsid w:val="00BF57EB"/>
    <w:rsid w:val="00BF58DF"/>
    <w:rsid w:val="00BF5A18"/>
    <w:rsid w:val="00BF5D08"/>
    <w:rsid w:val="00BF5D56"/>
    <w:rsid w:val="00BF5D90"/>
    <w:rsid w:val="00BF5EB2"/>
    <w:rsid w:val="00BF600D"/>
    <w:rsid w:val="00BF6123"/>
    <w:rsid w:val="00BF612D"/>
    <w:rsid w:val="00BF6242"/>
    <w:rsid w:val="00BF635D"/>
    <w:rsid w:val="00BF647A"/>
    <w:rsid w:val="00BF6597"/>
    <w:rsid w:val="00BF65FA"/>
    <w:rsid w:val="00BF67FB"/>
    <w:rsid w:val="00BF6870"/>
    <w:rsid w:val="00BF68A4"/>
    <w:rsid w:val="00BF68CD"/>
    <w:rsid w:val="00BF6A87"/>
    <w:rsid w:val="00BF6A90"/>
    <w:rsid w:val="00BF6ABC"/>
    <w:rsid w:val="00BF6BAF"/>
    <w:rsid w:val="00BF6D62"/>
    <w:rsid w:val="00BF6D7A"/>
    <w:rsid w:val="00BF6DD4"/>
    <w:rsid w:val="00BF6E01"/>
    <w:rsid w:val="00BF6E0E"/>
    <w:rsid w:val="00BF6F82"/>
    <w:rsid w:val="00BF6FF9"/>
    <w:rsid w:val="00BF7173"/>
    <w:rsid w:val="00BF721D"/>
    <w:rsid w:val="00BF725B"/>
    <w:rsid w:val="00BF72C5"/>
    <w:rsid w:val="00BF73B9"/>
    <w:rsid w:val="00BF7416"/>
    <w:rsid w:val="00BF7442"/>
    <w:rsid w:val="00BF745D"/>
    <w:rsid w:val="00BF75A0"/>
    <w:rsid w:val="00BF75B3"/>
    <w:rsid w:val="00BF7630"/>
    <w:rsid w:val="00BF7724"/>
    <w:rsid w:val="00BF7760"/>
    <w:rsid w:val="00BF77B2"/>
    <w:rsid w:val="00BF7911"/>
    <w:rsid w:val="00BF793A"/>
    <w:rsid w:val="00BF7A38"/>
    <w:rsid w:val="00BF7AAC"/>
    <w:rsid w:val="00BF7C2E"/>
    <w:rsid w:val="00BF7CFA"/>
    <w:rsid w:val="00BF7D21"/>
    <w:rsid w:val="00BF7DA6"/>
    <w:rsid w:val="00BF7DAA"/>
    <w:rsid w:val="00C0009D"/>
    <w:rsid w:val="00C0018D"/>
    <w:rsid w:val="00C001A4"/>
    <w:rsid w:val="00C001AC"/>
    <w:rsid w:val="00C00337"/>
    <w:rsid w:val="00C004A7"/>
    <w:rsid w:val="00C0062F"/>
    <w:rsid w:val="00C0063E"/>
    <w:rsid w:val="00C00800"/>
    <w:rsid w:val="00C00855"/>
    <w:rsid w:val="00C00A45"/>
    <w:rsid w:val="00C00A99"/>
    <w:rsid w:val="00C00ACE"/>
    <w:rsid w:val="00C00AF7"/>
    <w:rsid w:val="00C00B8E"/>
    <w:rsid w:val="00C00C32"/>
    <w:rsid w:val="00C00C80"/>
    <w:rsid w:val="00C00D6B"/>
    <w:rsid w:val="00C00D74"/>
    <w:rsid w:val="00C00E20"/>
    <w:rsid w:val="00C00F30"/>
    <w:rsid w:val="00C00F97"/>
    <w:rsid w:val="00C01097"/>
    <w:rsid w:val="00C0116F"/>
    <w:rsid w:val="00C01225"/>
    <w:rsid w:val="00C0127E"/>
    <w:rsid w:val="00C012CB"/>
    <w:rsid w:val="00C01347"/>
    <w:rsid w:val="00C01393"/>
    <w:rsid w:val="00C01398"/>
    <w:rsid w:val="00C0145B"/>
    <w:rsid w:val="00C014C0"/>
    <w:rsid w:val="00C014E8"/>
    <w:rsid w:val="00C016E4"/>
    <w:rsid w:val="00C0171E"/>
    <w:rsid w:val="00C01733"/>
    <w:rsid w:val="00C0183B"/>
    <w:rsid w:val="00C01913"/>
    <w:rsid w:val="00C01AFF"/>
    <w:rsid w:val="00C01CE9"/>
    <w:rsid w:val="00C01DA7"/>
    <w:rsid w:val="00C01F9D"/>
    <w:rsid w:val="00C0201B"/>
    <w:rsid w:val="00C0207F"/>
    <w:rsid w:val="00C0223F"/>
    <w:rsid w:val="00C02292"/>
    <w:rsid w:val="00C022DE"/>
    <w:rsid w:val="00C0230F"/>
    <w:rsid w:val="00C02395"/>
    <w:rsid w:val="00C025A5"/>
    <w:rsid w:val="00C02606"/>
    <w:rsid w:val="00C02772"/>
    <w:rsid w:val="00C027AD"/>
    <w:rsid w:val="00C027B5"/>
    <w:rsid w:val="00C0295B"/>
    <w:rsid w:val="00C029CE"/>
    <w:rsid w:val="00C02BED"/>
    <w:rsid w:val="00C02C0E"/>
    <w:rsid w:val="00C02D8D"/>
    <w:rsid w:val="00C02E65"/>
    <w:rsid w:val="00C02F73"/>
    <w:rsid w:val="00C03010"/>
    <w:rsid w:val="00C030B0"/>
    <w:rsid w:val="00C030FA"/>
    <w:rsid w:val="00C03172"/>
    <w:rsid w:val="00C032EE"/>
    <w:rsid w:val="00C0339D"/>
    <w:rsid w:val="00C0340A"/>
    <w:rsid w:val="00C03534"/>
    <w:rsid w:val="00C035D1"/>
    <w:rsid w:val="00C03617"/>
    <w:rsid w:val="00C039A0"/>
    <w:rsid w:val="00C03A61"/>
    <w:rsid w:val="00C03D2B"/>
    <w:rsid w:val="00C03D54"/>
    <w:rsid w:val="00C03DBC"/>
    <w:rsid w:val="00C03E12"/>
    <w:rsid w:val="00C03E9F"/>
    <w:rsid w:val="00C03EE9"/>
    <w:rsid w:val="00C03EF8"/>
    <w:rsid w:val="00C03FFD"/>
    <w:rsid w:val="00C040C3"/>
    <w:rsid w:val="00C040C4"/>
    <w:rsid w:val="00C041CB"/>
    <w:rsid w:val="00C0425F"/>
    <w:rsid w:val="00C042C9"/>
    <w:rsid w:val="00C043BE"/>
    <w:rsid w:val="00C043D1"/>
    <w:rsid w:val="00C043EE"/>
    <w:rsid w:val="00C04426"/>
    <w:rsid w:val="00C04527"/>
    <w:rsid w:val="00C04574"/>
    <w:rsid w:val="00C046A7"/>
    <w:rsid w:val="00C04777"/>
    <w:rsid w:val="00C0479B"/>
    <w:rsid w:val="00C047F8"/>
    <w:rsid w:val="00C0491C"/>
    <w:rsid w:val="00C0497A"/>
    <w:rsid w:val="00C0499C"/>
    <w:rsid w:val="00C04A43"/>
    <w:rsid w:val="00C04B17"/>
    <w:rsid w:val="00C04C6E"/>
    <w:rsid w:val="00C04E14"/>
    <w:rsid w:val="00C04E37"/>
    <w:rsid w:val="00C0500F"/>
    <w:rsid w:val="00C0507A"/>
    <w:rsid w:val="00C0514F"/>
    <w:rsid w:val="00C051E4"/>
    <w:rsid w:val="00C0538E"/>
    <w:rsid w:val="00C053FB"/>
    <w:rsid w:val="00C05582"/>
    <w:rsid w:val="00C055BF"/>
    <w:rsid w:val="00C05625"/>
    <w:rsid w:val="00C0565A"/>
    <w:rsid w:val="00C05795"/>
    <w:rsid w:val="00C058A5"/>
    <w:rsid w:val="00C058B8"/>
    <w:rsid w:val="00C059BF"/>
    <w:rsid w:val="00C05B09"/>
    <w:rsid w:val="00C05D95"/>
    <w:rsid w:val="00C05E2D"/>
    <w:rsid w:val="00C05E4A"/>
    <w:rsid w:val="00C05FFC"/>
    <w:rsid w:val="00C060BE"/>
    <w:rsid w:val="00C06142"/>
    <w:rsid w:val="00C0619A"/>
    <w:rsid w:val="00C06417"/>
    <w:rsid w:val="00C06524"/>
    <w:rsid w:val="00C068A7"/>
    <w:rsid w:val="00C06B4E"/>
    <w:rsid w:val="00C06B6B"/>
    <w:rsid w:val="00C06B72"/>
    <w:rsid w:val="00C06E1D"/>
    <w:rsid w:val="00C06EB6"/>
    <w:rsid w:val="00C07095"/>
    <w:rsid w:val="00C070A9"/>
    <w:rsid w:val="00C0710A"/>
    <w:rsid w:val="00C074AC"/>
    <w:rsid w:val="00C075B9"/>
    <w:rsid w:val="00C075CF"/>
    <w:rsid w:val="00C076C7"/>
    <w:rsid w:val="00C076F2"/>
    <w:rsid w:val="00C0774D"/>
    <w:rsid w:val="00C077DE"/>
    <w:rsid w:val="00C077E5"/>
    <w:rsid w:val="00C077F9"/>
    <w:rsid w:val="00C07819"/>
    <w:rsid w:val="00C07929"/>
    <w:rsid w:val="00C0796D"/>
    <w:rsid w:val="00C07B2C"/>
    <w:rsid w:val="00C07B91"/>
    <w:rsid w:val="00C07C5C"/>
    <w:rsid w:val="00C07CAB"/>
    <w:rsid w:val="00C07D44"/>
    <w:rsid w:val="00C07E1D"/>
    <w:rsid w:val="00C07E29"/>
    <w:rsid w:val="00C07E37"/>
    <w:rsid w:val="00C07E74"/>
    <w:rsid w:val="00C07F07"/>
    <w:rsid w:val="00C07F0D"/>
    <w:rsid w:val="00C07FAA"/>
    <w:rsid w:val="00C10100"/>
    <w:rsid w:val="00C101B2"/>
    <w:rsid w:val="00C10473"/>
    <w:rsid w:val="00C10505"/>
    <w:rsid w:val="00C10528"/>
    <w:rsid w:val="00C105C4"/>
    <w:rsid w:val="00C10672"/>
    <w:rsid w:val="00C10954"/>
    <w:rsid w:val="00C1095F"/>
    <w:rsid w:val="00C1097E"/>
    <w:rsid w:val="00C10A35"/>
    <w:rsid w:val="00C10A4B"/>
    <w:rsid w:val="00C10A77"/>
    <w:rsid w:val="00C10AE5"/>
    <w:rsid w:val="00C10BCD"/>
    <w:rsid w:val="00C10C6A"/>
    <w:rsid w:val="00C10CFB"/>
    <w:rsid w:val="00C10EC9"/>
    <w:rsid w:val="00C10EF5"/>
    <w:rsid w:val="00C10F3A"/>
    <w:rsid w:val="00C10F98"/>
    <w:rsid w:val="00C11007"/>
    <w:rsid w:val="00C1106F"/>
    <w:rsid w:val="00C111EC"/>
    <w:rsid w:val="00C112C0"/>
    <w:rsid w:val="00C112C6"/>
    <w:rsid w:val="00C11318"/>
    <w:rsid w:val="00C11394"/>
    <w:rsid w:val="00C113B9"/>
    <w:rsid w:val="00C1150C"/>
    <w:rsid w:val="00C1152C"/>
    <w:rsid w:val="00C1152F"/>
    <w:rsid w:val="00C116B8"/>
    <w:rsid w:val="00C11747"/>
    <w:rsid w:val="00C117A1"/>
    <w:rsid w:val="00C117F7"/>
    <w:rsid w:val="00C117F8"/>
    <w:rsid w:val="00C11971"/>
    <w:rsid w:val="00C119E4"/>
    <w:rsid w:val="00C11A6D"/>
    <w:rsid w:val="00C11AA5"/>
    <w:rsid w:val="00C11ACA"/>
    <w:rsid w:val="00C11BF6"/>
    <w:rsid w:val="00C11C56"/>
    <w:rsid w:val="00C11D92"/>
    <w:rsid w:val="00C11E17"/>
    <w:rsid w:val="00C11F78"/>
    <w:rsid w:val="00C12044"/>
    <w:rsid w:val="00C120B8"/>
    <w:rsid w:val="00C12139"/>
    <w:rsid w:val="00C12159"/>
    <w:rsid w:val="00C1217E"/>
    <w:rsid w:val="00C122B1"/>
    <w:rsid w:val="00C123F6"/>
    <w:rsid w:val="00C123F8"/>
    <w:rsid w:val="00C123FE"/>
    <w:rsid w:val="00C12511"/>
    <w:rsid w:val="00C1258E"/>
    <w:rsid w:val="00C12667"/>
    <w:rsid w:val="00C12732"/>
    <w:rsid w:val="00C12932"/>
    <w:rsid w:val="00C1297A"/>
    <w:rsid w:val="00C129DD"/>
    <w:rsid w:val="00C12AA8"/>
    <w:rsid w:val="00C12C07"/>
    <w:rsid w:val="00C12C2D"/>
    <w:rsid w:val="00C12D85"/>
    <w:rsid w:val="00C12E68"/>
    <w:rsid w:val="00C12FF7"/>
    <w:rsid w:val="00C13104"/>
    <w:rsid w:val="00C131CF"/>
    <w:rsid w:val="00C133AE"/>
    <w:rsid w:val="00C133BB"/>
    <w:rsid w:val="00C135A1"/>
    <w:rsid w:val="00C1366E"/>
    <w:rsid w:val="00C1376F"/>
    <w:rsid w:val="00C137FB"/>
    <w:rsid w:val="00C1392F"/>
    <w:rsid w:val="00C139A1"/>
    <w:rsid w:val="00C139F9"/>
    <w:rsid w:val="00C13A6E"/>
    <w:rsid w:val="00C13BCC"/>
    <w:rsid w:val="00C13C41"/>
    <w:rsid w:val="00C13C4D"/>
    <w:rsid w:val="00C13CF4"/>
    <w:rsid w:val="00C13DBF"/>
    <w:rsid w:val="00C13DFF"/>
    <w:rsid w:val="00C13EEF"/>
    <w:rsid w:val="00C141D4"/>
    <w:rsid w:val="00C141D7"/>
    <w:rsid w:val="00C14250"/>
    <w:rsid w:val="00C142EE"/>
    <w:rsid w:val="00C1431B"/>
    <w:rsid w:val="00C14371"/>
    <w:rsid w:val="00C14384"/>
    <w:rsid w:val="00C1438A"/>
    <w:rsid w:val="00C144B9"/>
    <w:rsid w:val="00C146BB"/>
    <w:rsid w:val="00C146D2"/>
    <w:rsid w:val="00C146D7"/>
    <w:rsid w:val="00C14784"/>
    <w:rsid w:val="00C14806"/>
    <w:rsid w:val="00C149DC"/>
    <w:rsid w:val="00C14B4C"/>
    <w:rsid w:val="00C14CF8"/>
    <w:rsid w:val="00C14D41"/>
    <w:rsid w:val="00C14D89"/>
    <w:rsid w:val="00C14E39"/>
    <w:rsid w:val="00C14E97"/>
    <w:rsid w:val="00C14EF5"/>
    <w:rsid w:val="00C14F76"/>
    <w:rsid w:val="00C151A8"/>
    <w:rsid w:val="00C152D4"/>
    <w:rsid w:val="00C15394"/>
    <w:rsid w:val="00C153EF"/>
    <w:rsid w:val="00C15453"/>
    <w:rsid w:val="00C154AE"/>
    <w:rsid w:val="00C15646"/>
    <w:rsid w:val="00C15853"/>
    <w:rsid w:val="00C15879"/>
    <w:rsid w:val="00C1590C"/>
    <w:rsid w:val="00C15BA0"/>
    <w:rsid w:val="00C15CBF"/>
    <w:rsid w:val="00C15D24"/>
    <w:rsid w:val="00C15D41"/>
    <w:rsid w:val="00C15D6C"/>
    <w:rsid w:val="00C15D9C"/>
    <w:rsid w:val="00C15E05"/>
    <w:rsid w:val="00C15E95"/>
    <w:rsid w:val="00C15FBB"/>
    <w:rsid w:val="00C160D7"/>
    <w:rsid w:val="00C16159"/>
    <w:rsid w:val="00C1615F"/>
    <w:rsid w:val="00C16226"/>
    <w:rsid w:val="00C1626B"/>
    <w:rsid w:val="00C16283"/>
    <w:rsid w:val="00C16357"/>
    <w:rsid w:val="00C16388"/>
    <w:rsid w:val="00C1648D"/>
    <w:rsid w:val="00C16627"/>
    <w:rsid w:val="00C16677"/>
    <w:rsid w:val="00C16726"/>
    <w:rsid w:val="00C1672C"/>
    <w:rsid w:val="00C16771"/>
    <w:rsid w:val="00C167FA"/>
    <w:rsid w:val="00C16AB9"/>
    <w:rsid w:val="00C16BD6"/>
    <w:rsid w:val="00C16C7A"/>
    <w:rsid w:val="00C16D6A"/>
    <w:rsid w:val="00C16D8D"/>
    <w:rsid w:val="00C170F1"/>
    <w:rsid w:val="00C171DD"/>
    <w:rsid w:val="00C17214"/>
    <w:rsid w:val="00C17239"/>
    <w:rsid w:val="00C172AE"/>
    <w:rsid w:val="00C172F2"/>
    <w:rsid w:val="00C17338"/>
    <w:rsid w:val="00C17360"/>
    <w:rsid w:val="00C17764"/>
    <w:rsid w:val="00C1781C"/>
    <w:rsid w:val="00C1784F"/>
    <w:rsid w:val="00C1792B"/>
    <w:rsid w:val="00C17A70"/>
    <w:rsid w:val="00C17B93"/>
    <w:rsid w:val="00C17BC3"/>
    <w:rsid w:val="00C17D05"/>
    <w:rsid w:val="00C17DFE"/>
    <w:rsid w:val="00C17E71"/>
    <w:rsid w:val="00C17E9A"/>
    <w:rsid w:val="00C17F0F"/>
    <w:rsid w:val="00C17F51"/>
    <w:rsid w:val="00C17F6A"/>
    <w:rsid w:val="00C17F9F"/>
    <w:rsid w:val="00C17FA7"/>
    <w:rsid w:val="00C20089"/>
    <w:rsid w:val="00C200D7"/>
    <w:rsid w:val="00C20339"/>
    <w:rsid w:val="00C20379"/>
    <w:rsid w:val="00C20463"/>
    <w:rsid w:val="00C204BD"/>
    <w:rsid w:val="00C2051A"/>
    <w:rsid w:val="00C20707"/>
    <w:rsid w:val="00C2080B"/>
    <w:rsid w:val="00C20838"/>
    <w:rsid w:val="00C2085C"/>
    <w:rsid w:val="00C20882"/>
    <w:rsid w:val="00C20A94"/>
    <w:rsid w:val="00C20B10"/>
    <w:rsid w:val="00C20B7F"/>
    <w:rsid w:val="00C20B8B"/>
    <w:rsid w:val="00C20C8D"/>
    <w:rsid w:val="00C20CFD"/>
    <w:rsid w:val="00C20DBF"/>
    <w:rsid w:val="00C20DEC"/>
    <w:rsid w:val="00C20E4E"/>
    <w:rsid w:val="00C20F70"/>
    <w:rsid w:val="00C20FA2"/>
    <w:rsid w:val="00C21081"/>
    <w:rsid w:val="00C21138"/>
    <w:rsid w:val="00C211AA"/>
    <w:rsid w:val="00C2138F"/>
    <w:rsid w:val="00C2139B"/>
    <w:rsid w:val="00C2160D"/>
    <w:rsid w:val="00C2165D"/>
    <w:rsid w:val="00C216D9"/>
    <w:rsid w:val="00C216EE"/>
    <w:rsid w:val="00C2188D"/>
    <w:rsid w:val="00C2197B"/>
    <w:rsid w:val="00C21987"/>
    <w:rsid w:val="00C219E3"/>
    <w:rsid w:val="00C219E6"/>
    <w:rsid w:val="00C21A25"/>
    <w:rsid w:val="00C21B51"/>
    <w:rsid w:val="00C21F0D"/>
    <w:rsid w:val="00C21F59"/>
    <w:rsid w:val="00C21F79"/>
    <w:rsid w:val="00C22042"/>
    <w:rsid w:val="00C22112"/>
    <w:rsid w:val="00C221A6"/>
    <w:rsid w:val="00C22416"/>
    <w:rsid w:val="00C22577"/>
    <w:rsid w:val="00C22672"/>
    <w:rsid w:val="00C22748"/>
    <w:rsid w:val="00C2280D"/>
    <w:rsid w:val="00C22AB4"/>
    <w:rsid w:val="00C22C77"/>
    <w:rsid w:val="00C22CDC"/>
    <w:rsid w:val="00C22D05"/>
    <w:rsid w:val="00C22F2F"/>
    <w:rsid w:val="00C23382"/>
    <w:rsid w:val="00C233C4"/>
    <w:rsid w:val="00C2366F"/>
    <w:rsid w:val="00C23681"/>
    <w:rsid w:val="00C237C1"/>
    <w:rsid w:val="00C238A9"/>
    <w:rsid w:val="00C23A0F"/>
    <w:rsid w:val="00C23B45"/>
    <w:rsid w:val="00C23BA4"/>
    <w:rsid w:val="00C23BDB"/>
    <w:rsid w:val="00C23C0F"/>
    <w:rsid w:val="00C23C8E"/>
    <w:rsid w:val="00C23CE4"/>
    <w:rsid w:val="00C23E10"/>
    <w:rsid w:val="00C23EC6"/>
    <w:rsid w:val="00C2404E"/>
    <w:rsid w:val="00C241D3"/>
    <w:rsid w:val="00C2428E"/>
    <w:rsid w:val="00C24395"/>
    <w:rsid w:val="00C243AF"/>
    <w:rsid w:val="00C24494"/>
    <w:rsid w:val="00C244F9"/>
    <w:rsid w:val="00C24530"/>
    <w:rsid w:val="00C245A3"/>
    <w:rsid w:val="00C24602"/>
    <w:rsid w:val="00C246A5"/>
    <w:rsid w:val="00C247E5"/>
    <w:rsid w:val="00C2483B"/>
    <w:rsid w:val="00C2493C"/>
    <w:rsid w:val="00C24A43"/>
    <w:rsid w:val="00C24AAC"/>
    <w:rsid w:val="00C24B3D"/>
    <w:rsid w:val="00C24BD3"/>
    <w:rsid w:val="00C24C22"/>
    <w:rsid w:val="00C24DF7"/>
    <w:rsid w:val="00C24EA8"/>
    <w:rsid w:val="00C24EBC"/>
    <w:rsid w:val="00C2512E"/>
    <w:rsid w:val="00C252E2"/>
    <w:rsid w:val="00C25435"/>
    <w:rsid w:val="00C254B2"/>
    <w:rsid w:val="00C254D6"/>
    <w:rsid w:val="00C255C2"/>
    <w:rsid w:val="00C256AE"/>
    <w:rsid w:val="00C25826"/>
    <w:rsid w:val="00C258F4"/>
    <w:rsid w:val="00C25926"/>
    <w:rsid w:val="00C25A39"/>
    <w:rsid w:val="00C25ACE"/>
    <w:rsid w:val="00C25AEC"/>
    <w:rsid w:val="00C25AF2"/>
    <w:rsid w:val="00C25BD1"/>
    <w:rsid w:val="00C25BFD"/>
    <w:rsid w:val="00C25C04"/>
    <w:rsid w:val="00C25DB8"/>
    <w:rsid w:val="00C25E5E"/>
    <w:rsid w:val="00C25EA3"/>
    <w:rsid w:val="00C25FEF"/>
    <w:rsid w:val="00C2619E"/>
    <w:rsid w:val="00C26290"/>
    <w:rsid w:val="00C262BB"/>
    <w:rsid w:val="00C26413"/>
    <w:rsid w:val="00C2644F"/>
    <w:rsid w:val="00C26850"/>
    <w:rsid w:val="00C268B3"/>
    <w:rsid w:val="00C26A29"/>
    <w:rsid w:val="00C26CED"/>
    <w:rsid w:val="00C26CF8"/>
    <w:rsid w:val="00C26D62"/>
    <w:rsid w:val="00C26D6B"/>
    <w:rsid w:val="00C26DDA"/>
    <w:rsid w:val="00C26EA9"/>
    <w:rsid w:val="00C26FEF"/>
    <w:rsid w:val="00C27045"/>
    <w:rsid w:val="00C271FF"/>
    <w:rsid w:val="00C27253"/>
    <w:rsid w:val="00C27440"/>
    <w:rsid w:val="00C2750E"/>
    <w:rsid w:val="00C27523"/>
    <w:rsid w:val="00C27585"/>
    <w:rsid w:val="00C27640"/>
    <w:rsid w:val="00C27647"/>
    <w:rsid w:val="00C276A9"/>
    <w:rsid w:val="00C276C2"/>
    <w:rsid w:val="00C2790F"/>
    <w:rsid w:val="00C27A57"/>
    <w:rsid w:val="00C27A65"/>
    <w:rsid w:val="00C27B33"/>
    <w:rsid w:val="00C27BCF"/>
    <w:rsid w:val="00C27D59"/>
    <w:rsid w:val="00C27E51"/>
    <w:rsid w:val="00C30076"/>
    <w:rsid w:val="00C300DC"/>
    <w:rsid w:val="00C30177"/>
    <w:rsid w:val="00C30297"/>
    <w:rsid w:val="00C30485"/>
    <w:rsid w:val="00C305D4"/>
    <w:rsid w:val="00C3075A"/>
    <w:rsid w:val="00C307B9"/>
    <w:rsid w:val="00C30877"/>
    <w:rsid w:val="00C309EA"/>
    <w:rsid w:val="00C30A64"/>
    <w:rsid w:val="00C30A92"/>
    <w:rsid w:val="00C30B6F"/>
    <w:rsid w:val="00C30C12"/>
    <w:rsid w:val="00C30C47"/>
    <w:rsid w:val="00C30C60"/>
    <w:rsid w:val="00C30C64"/>
    <w:rsid w:val="00C30CBD"/>
    <w:rsid w:val="00C30FB8"/>
    <w:rsid w:val="00C31007"/>
    <w:rsid w:val="00C31015"/>
    <w:rsid w:val="00C310E9"/>
    <w:rsid w:val="00C310F0"/>
    <w:rsid w:val="00C3130B"/>
    <w:rsid w:val="00C3156D"/>
    <w:rsid w:val="00C315CA"/>
    <w:rsid w:val="00C315D2"/>
    <w:rsid w:val="00C31C40"/>
    <w:rsid w:val="00C31C80"/>
    <w:rsid w:val="00C31DBB"/>
    <w:rsid w:val="00C31EA2"/>
    <w:rsid w:val="00C31FBA"/>
    <w:rsid w:val="00C32037"/>
    <w:rsid w:val="00C32638"/>
    <w:rsid w:val="00C326DE"/>
    <w:rsid w:val="00C327B1"/>
    <w:rsid w:val="00C32954"/>
    <w:rsid w:val="00C329BA"/>
    <w:rsid w:val="00C32A56"/>
    <w:rsid w:val="00C32C64"/>
    <w:rsid w:val="00C32D40"/>
    <w:rsid w:val="00C32DEA"/>
    <w:rsid w:val="00C32ED5"/>
    <w:rsid w:val="00C32F08"/>
    <w:rsid w:val="00C32F6D"/>
    <w:rsid w:val="00C33061"/>
    <w:rsid w:val="00C33287"/>
    <w:rsid w:val="00C33379"/>
    <w:rsid w:val="00C33387"/>
    <w:rsid w:val="00C334CA"/>
    <w:rsid w:val="00C3352F"/>
    <w:rsid w:val="00C33625"/>
    <w:rsid w:val="00C33669"/>
    <w:rsid w:val="00C336B0"/>
    <w:rsid w:val="00C336C8"/>
    <w:rsid w:val="00C337FF"/>
    <w:rsid w:val="00C338A9"/>
    <w:rsid w:val="00C33A8D"/>
    <w:rsid w:val="00C33AC9"/>
    <w:rsid w:val="00C33AED"/>
    <w:rsid w:val="00C33C53"/>
    <w:rsid w:val="00C33D32"/>
    <w:rsid w:val="00C33D42"/>
    <w:rsid w:val="00C33E1B"/>
    <w:rsid w:val="00C3402E"/>
    <w:rsid w:val="00C3403F"/>
    <w:rsid w:val="00C3405C"/>
    <w:rsid w:val="00C3409E"/>
    <w:rsid w:val="00C340BE"/>
    <w:rsid w:val="00C3412F"/>
    <w:rsid w:val="00C3421A"/>
    <w:rsid w:val="00C34255"/>
    <w:rsid w:val="00C342ED"/>
    <w:rsid w:val="00C34401"/>
    <w:rsid w:val="00C3442B"/>
    <w:rsid w:val="00C34474"/>
    <w:rsid w:val="00C34495"/>
    <w:rsid w:val="00C345FE"/>
    <w:rsid w:val="00C3462C"/>
    <w:rsid w:val="00C34669"/>
    <w:rsid w:val="00C3469F"/>
    <w:rsid w:val="00C349EB"/>
    <w:rsid w:val="00C34B9D"/>
    <w:rsid w:val="00C34BC8"/>
    <w:rsid w:val="00C34CEC"/>
    <w:rsid w:val="00C34F7A"/>
    <w:rsid w:val="00C350D1"/>
    <w:rsid w:val="00C350FA"/>
    <w:rsid w:val="00C3539F"/>
    <w:rsid w:val="00C353B9"/>
    <w:rsid w:val="00C3552C"/>
    <w:rsid w:val="00C35549"/>
    <w:rsid w:val="00C35589"/>
    <w:rsid w:val="00C356B8"/>
    <w:rsid w:val="00C35751"/>
    <w:rsid w:val="00C3578F"/>
    <w:rsid w:val="00C357A5"/>
    <w:rsid w:val="00C357AA"/>
    <w:rsid w:val="00C357D8"/>
    <w:rsid w:val="00C35907"/>
    <w:rsid w:val="00C35924"/>
    <w:rsid w:val="00C35AB7"/>
    <w:rsid w:val="00C35B87"/>
    <w:rsid w:val="00C35CD7"/>
    <w:rsid w:val="00C35E07"/>
    <w:rsid w:val="00C35E69"/>
    <w:rsid w:val="00C35EA9"/>
    <w:rsid w:val="00C35F47"/>
    <w:rsid w:val="00C36092"/>
    <w:rsid w:val="00C36178"/>
    <w:rsid w:val="00C362A5"/>
    <w:rsid w:val="00C362D8"/>
    <w:rsid w:val="00C36372"/>
    <w:rsid w:val="00C364FF"/>
    <w:rsid w:val="00C36544"/>
    <w:rsid w:val="00C366ED"/>
    <w:rsid w:val="00C366F3"/>
    <w:rsid w:val="00C367A0"/>
    <w:rsid w:val="00C369EA"/>
    <w:rsid w:val="00C36A48"/>
    <w:rsid w:val="00C36AD0"/>
    <w:rsid w:val="00C36C87"/>
    <w:rsid w:val="00C36D0B"/>
    <w:rsid w:val="00C36DA4"/>
    <w:rsid w:val="00C37067"/>
    <w:rsid w:val="00C370E9"/>
    <w:rsid w:val="00C3711A"/>
    <w:rsid w:val="00C3715B"/>
    <w:rsid w:val="00C371F9"/>
    <w:rsid w:val="00C37206"/>
    <w:rsid w:val="00C37287"/>
    <w:rsid w:val="00C3763A"/>
    <w:rsid w:val="00C376B5"/>
    <w:rsid w:val="00C376B7"/>
    <w:rsid w:val="00C37704"/>
    <w:rsid w:val="00C377D8"/>
    <w:rsid w:val="00C378F8"/>
    <w:rsid w:val="00C3790B"/>
    <w:rsid w:val="00C37965"/>
    <w:rsid w:val="00C37A82"/>
    <w:rsid w:val="00C37B0C"/>
    <w:rsid w:val="00C37BCE"/>
    <w:rsid w:val="00C37C38"/>
    <w:rsid w:val="00C37DCA"/>
    <w:rsid w:val="00C37EA0"/>
    <w:rsid w:val="00C37FDB"/>
    <w:rsid w:val="00C40081"/>
    <w:rsid w:val="00C400BA"/>
    <w:rsid w:val="00C40255"/>
    <w:rsid w:val="00C4029E"/>
    <w:rsid w:val="00C403C7"/>
    <w:rsid w:val="00C40428"/>
    <w:rsid w:val="00C4091B"/>
    <w:rsid w:val="00C40930"/>
    <w:rsid w:val="00C40999"/>
    <w:rsid w:val="00C4099A"/>
    <w:rsid w:val="00C409DE"/>
    <w:rsid w:val="00C40A48"/>
    <w:rsid w:val="00C40A64"/>
    <w:rsid w:val="00C40AE9"/>
    <w:rsid w:val="00C40B7C"/>
    <w:rsid w:val="00C40BAC"/>
    <w:rsid w:val="00C40D48"/>
    <w:rsid w:val="00C40E9B"/>
    <w:rsid w:val="00C40EBA"/>
    <w:rsid w:val="00C40ED3"/>
    <w:rsid w:val="00C40FB1"/>
    <w:rsid w:val="00C4108A"/>
    <w:rsid w:val="00C410E6"/>
    <w:rsid w:val="00C41376"/>
    <w:rsid w:val="00C413A2"/>
    <w:rsid w:val="00C413C7"/>
    <w:rsid w:val="00C41549"/>
    <w:rsid w:val="00C415A4"/>
    <w:rsid w:val="00C4160D"/>
    <w:rsid w:val="00C4194C"/>
    <w:rsid w:val="00C419A3"/>
    <w:rsid w:val="00C419D5"/>
    <w:rsid w:val="00C419EC"/>
    <w:rsid w:val="00C41AD2"/>
    <w:rsid w:val="00C41C42"/>
    <w:rsid w:val="00C41CDA"/>
    <w:rsid w:val="00C41D1C"/>
    <w:rsid w:val="00C41F1A"/>
    <w:rsid w:val="00C41F35"/>
    <w:rsid w:val="00C42254"/>
    <w:rsid w:val="00C422A0"/>
    <w:rsid w:val="00C422F2"/>
    <w:rsid w:val="00C42669"/>
    <w:rsid w:val="00C42714"/>
    <w:rsid w:val="00C4276C"/>
    <w:rsid w:val="00C42860"/>
    <w:rsid w:val="00C42875"/>
    <w:rsid w:val="00C429A1"/>
    <w:rsid w:val="00C42A69"/>
    <w:rsid w:val="00C42A94"/>
    <w:rsid w:val="00C42C0C"/>
    <w:rsid w:val="00C42C1E"/>
    <w:rsid w:val="00C42D22"/>
    <w:rsid w:val="00C42D58"/>
    <w:rsid w:val="00C42D72"/>
    <w:rsid w:val="00C42DAA"/>
    <w:rsid w:val="00C42DFC"/>
    <w:rsid w:val="00C42E92"/>
    <w:rsid w:val="00C42EDE"/>
    <w:rsid w:val="00C43009"/>
    <w:rsid w:val="00C43223"/>
    <w:rsid w:val="00C4325D"/>
    <w:rsid w:val="00C433B4"/>
    <w:rsid w:val="00C4348F"/>
    <w:rsid w:val="00C4349C"/>
    <w:rsid w:val="00C434BB"/>
    <w:rsid w:val="00C43638"/>
    <w:rsid w:val="00C43674"/>
    <w:rsid w:val="00C43852"/>
    <w:rsid w:val="00C43A0C"/>
    <w:rsid w:val="00C43A28"/>
    <w:rsid w:val="00C43A30"/>
    <w:rsid w:val="00C43A6E"/>
    <w:rsid w:val="00C43BB8"/>
    <w:rsid w:val="00C43C30"/>
    <w:rsid w:val="00C43D41"/>
    <w:rsid w:val="00C43F0D"/>
    <w:rsid w:val="00C4410C"/>
    <w:rsid w:val="00C4415B"/>
    <w:rsid w:val="00C44164"/>
    <w:rsid w:val="00C441F9"/>
    <w:rsid w:val="00C442F9"/>
    <w:rsid w:val="00C443B4"/>
    <w:rsid w:val="00C44413"/>
    <w:rsid w:val="00C445A6"/>
    <w:rsid w:val="00C4466E"/>
    <w:rsid w:val="00C447C8"/>
    <w:rsid w:val="00C447D3"/>
    <w:rsid w:val="00C44928"/>
    <w:rsid w:val="00C4498A"/>
    <w:rsid w:val="00C44A04"/>
    <w:rsid w:val="00C44A1F"/>
    <w:rsid w:val="00C44A48"/>
    <w:rsid w:val="00C44AAB"/>
    <w:rsid w:val="00C44AC4"/>
    <w:rsid w:val="00C44AE7"/>
    <w:rsid w:val="00C44BBF"/>
    <w:rsid w:val="00C44BF4"/>
    <w:rsid w:val="00C44C0D"/>
    <w:rsid w:val="00C44D60"/>
    <w:rsid w:val="00C44DBD"/>
    <w:rsid w:val="00C44E04"/>
    <w:rsid w:val="00C44E7A"/>
    <w:rsid w:val="00C44F28"/>
    <w:rsid w:val="00C45018"/>
    <w:rsid w:val="00C45232"/>
    <w:rsid w:val="00C45271"/>
    <w:rsid w:val="00C452D3"/>
    <w:rsid w:val="00C45455"/>
    <w:rsid w:val="00C4553B"/>
    <w:rsid w:val="00C45557"/>
    <w:rsid w:val="00C45735"/>
    <w:rsid w:val="00C45743"/>
    <w:rsid w:val="00C45759"/>
    <w:rsid w:val="00C4578C"/>
    <w:rsid w:val="00C45799"/>
    <w:rsid w:val="00C459EF"/>
    <w:rsid w:val="00C45A99"/>
    <w:rsid w:val="00C45B70"/>
    <w:rsid w:val="00C45C29"/>
    <w:rsid w:val="00C45C71"/>
    <w:rsid w:val="00C45DFB"/>
    <w:rsid w:val="00C45E77"/>
    <w:rsid w:val="00C45EFC"/>
    <w:rsid w:val="00C45F27"/>
    <w:rsid w:val="00C460B8"/>
    <w:rsid w:val="00C460CA"/>
    <w:rsid w:val="00C461CE"/>
    <w:rsid w:val="00C4632B"/>
    <w:rsid w:val="00C464D0"/>
    <w:rsid w:val="00C464D7"/>
    <w:rsid w:val="00C46552"/>
    <w:rsid w:val="00C4671F"/>
    <w:rsid w:val="00C4673F"/>
    <w:rsid w:val="00C4679D"/>
    <w:rsid w:val="00C467C2"/>
    <w:rsid w:val="00C4697C"/>
    <w:rsid w:val="00C46983"/>
    <w:rsid w:val="00C46B1D"/>
    <w:rsid w:val="00C46B4E"/>
    <w:rsid w:val="00C46BF1"/>
    <w:rsid w:val="00C46C7D"/>
    <w:rsid w:val="00C46CAE"/>
    <w:rsid w:val="00C46E70"/>
    <w:rsid w:val="00C46F56"/>
    <w:rsid w:val="00C46F7B"/>
    <w:rsid w:val="00C46FB7"/>
    <w:rsid w:val="00C46FFF"/>
    <w:rsid w:val="00C470E2"/>
    <w:rsid w:val="00C471EB"/>
    <w:rsid w:val="00C47205"/>
    <w:rsid w:val="00C472BB"/>
    <w:rsid w:val="00C4736D"/>
    <w:rsid w:val="00C4740F"/>
    <w:rsid w:val="00C47449"/>
    <w:rsid w:val="00C475BF"/>
    <w:rsid w:val="00C4768D"/>
    <w:rsid w:val="00C4774F"/>
    <w:rsid w:val="00C47799"/>
    <w:rsid w:val="00C47886"/>
    <w:rsid w:val="00C47A45"/>
    <w:rsid w:val="00C47B83"/>
    <w:rsid w:val="00C47CF2"/>
    <w:rsid w:val="00C47DBE"/>
    <w:rsid w:val="00C47E7E"/>
    <w:rsid w:val="00C47ECD"/>
    <w:rsid w:val="00C501A2"/>
    <w:rsid w:val="00C501D5"/>
    <w:rsid w:val="00C5029F"/>
    <w:rsid w:val="00C50323"/>
    <w:rsid w:val="00C5040D"/>
    <w:rsid w:val="00C50471"/>
    <w:rsid w:val="00C50514"/>
    <w:rsid w:val="00C5057E"/>
    <w:rsid w:val="00C506F7"/>
    <w:rsid w:val="00C508C3"/>
    <w:rsid w:val="00C50972"/>
    <w:rsid w:val="00C50A28"/>
    <w:rsid w:val="00C50B73"/>
    <w:rsid w:val="00C50D74"/>
    <w:rsid w:val="00C50DF4"/>
    <w:rsid w:val="00C50E3F"/>
    <w:rsid w:val="00C51056"/>
    <w:rsid w:val="00C5106B"/>
    <w:rsid w:val="00C51152"/>
    <w:rsid w:val="00C51210"/>
    <w:rsid w:val="00C5133B"/>
    <w:rsid w:val="00C514D9"/>
    <w:rsid w:val="00C514FC"/>
    <w:rsid w:val="00C515A3"/>
    <w:rsid w:val="00C51672"/>
    <w:rsid w:val="00C516A1"/>
    <w:rsid w:val="00C516B3"/>
    <w:rsid w:val="00C5176A"/>
    <w:rsid w:val="00C51815"/>
    <w:rsid w:val="00C518B7"/>
    <w:rsid w:val="00C518BB"/>
    <w:rsid w:val="00C51935"/>
    <w:rsid w:val="00C5195E"/>
    <w:rsid w:val="00C51960"/>
    <w:rsid w:val="00C519F8"/>
    <w:rsid w:val="00C51A71"/>
    <w:rsid w:val="00C51B39"/>
    <w:rsid w:val="00C51BA8"/>
    <w:rsid w:val="00C51BD3"/>
    <w:rsid w:val="00C51EB4"/>
    <w:rsid w:val="00C51F17"/>
    <w:rsid w:val="00C52343"/>
    <w:rsid w:val="00C52410"/>
    <w:rsid w:val="00C5253D"/>
    <w:rsid w:val="00C528E3"/>
    <w:rsid w:val="00C528E9"/>
    <w:rsid w:val="00C528F2"/>
    <w:rsid w:val="00C52AE0"/>
    <w:rsid w:val="00C52D30"/>
    <w:rsid w:val="00C53018"/>
    <w:rsid w:val="00C5301A"/>
    <w:rsid w:val="00C53182"/>
    <w:rsid w:val="00C531A8"/>
    <w:rsid w:val="00C532C2"/>
    <w:rsid w:val="00C532F0"/>
    <w:rsid w:val="00C53304"/>
    <w:rsid w:val="00C53332"/>
    <w:rsid w:val="00C533AC"/>
    <w:rsid w:val="00C53494"/>
    <w:rsid w:val="00C534C1"/>
    <w:rsid w:val="00C5354D"/>
    <w:rsid w:val="00C53558"/>
    <w:rsid w:val="00C5366C"/>
    <w:rsid w:val="00C5386C"/>
    <w:rsid w:val="00C53873"/>
    <w:rsid w:val="00C538B5"/>
    <w:rsid w:val="00C5394B"/>
    <w:rsid w:val="00C53A09"/>
    <w:rsid w:val="00C53AC8"/>
    <w:rsid w:val="00C53BF7"/>
    <w:rsid w:val="00C53D7B"/>
    <w:rsid w:val="00C53E28"/>
    <w:rsid w:val="00C53E58"/>
    <w:rsid w:val="00C53ED1"/>
    <w:rsid w:val="00C54289"/>
    <w:rsid w:val="00C5464F"/>
    <w:rsid w:val="00C5467E"/>
    <w:rsid w:val="00C547D7"/>
    <w:rsid w:val="00C548D0"/>
    <w:rsid w:val="00C54947"/>
    <w:rsid w:val="00C54A67"/>
    <w:rsid w:val="00C54DC8"/>
    <w:rsid w:val="00C54E3B"/>
    <w:rsid w:val="00C54E4E"/>
    <w:rsid w:val="00C54F66"/>
    <w:rsid w:val="00C550C6"/>
    <w:rsid w:val="00C551D8"/>
    <w:rsid w:val="00C551E4"/>
    <w:rsid w:val="00C55308"/>
    <w:rsid w:val="00C5533B"/>
    <w:rsid w:val="00C555F2"/>
    <w:rsid w:val="00C5563E"/>
    <w:rsid w:val="00C557C4"/>
    <w:rsid w:val="00C557EF"/>
    <w:rsid w:val="00C55868"/>
    <w:rsid w:val="00C55B36"/>
    <w:rsid w:val="00C55BF3"/>
    <w:rsid w:val="00C55C26"/>
    <w:rsid w:val="00C55DB4"/>
    <w:rsid w:val="00C55E6C"/>
    <w:rsid w:val="00C55EFE"/>
    <w:rsid w:val="00C55F0F"/>
    <w:rsid w:val="00C55FC5"/>
    <w:rsid w:val="00C56043"/>
    <w:rsid w:val="00C56066"/>
    <w:rsid w:val="00C561B2"/>
    <w:rsid w:val="00C562C1"/>
    <w:rsid w:val="00C563BB"/>
    <w:rsid w:val="00C5659B"/>
    <w:rsid w:val="00C568B7"/>
    <w:rsid w:val="00C568EF"/>
    <w:rsid w:val="00C56945"/>
    <w:rsid w:val="00C56B3B"/>
    <w:rsid w:val="00C56CA1"/>
    <w:rsid w:val="00C56CAD"/>
    <w:rsid w:val="00C56D40"/>
    <w:rsid w:val="00C56D59"/>
    <w:rsid w:val="00C56D68"/>
    <w:rsid w:val="00C56E30"/>
    <w:rsid w:val="00C56E36"/>
    <w:rsid w:val="00C56F47"/>
    <w:rsid w:val="00C56FF4"/>
    <w:rsid w:val="00C57089"/>
    <w:rsid w:val="00C570C6"/>
    <w:rsid w:val="00C57123"/>
    <w:rsid w:val="00C5720E"/>
    <w:rsid w:val="00C572BB"/>
    <w:rsid w:val="00C573CF"/>
    <w:rsid w:val="00C57440"/>
    <w:rsid w:val="00C57531"/>
    <w:rsid w:val="00C5766B"/>
    <w:rsid w:val="00C57735"/>
    <w:rsid w:val="00C57843"/>
    <w:rsid w:val="00C57868"/>
    <w:rsid w:val="00C5798C"/>
    <w:rsid w:val="00C57A85"/>
    <w:rsid w:val="00C57BDB"/>
    <w:rsid w:val="00C57C53"/>
    <w:rsid w:val="00C57ED7"/>
    <w:rsid w:val="00C57F57"/>
    <w:rsid w:val="00C57FA3"/>
    <w:rsid w:val="00C57FF6"/>
    <w:rsid w:val="00C60033"/>
    <w:rsid w:val="00C60183"/>
    <w:rsid w:val="00C601AF"/>
    <w:rsid w:val="00C6026B"/>
    <w:rsid w:val="00C6041D"/>
    <w:rsid w:val="00C60510"/>
    <w:rsid w:val="00C60596"/>
    <w:rsid w:val="00C60675"/>
    <w:rsid w:val="00C607BA"/>
    <w:rsid w:val="00C607EA"/>
    <w:rsid w:val="00C60CA5"/>
    <w:rsid w:val="00C60CCB"/>
    <w:rsid w:val="00C60CED"/>
    <w:rsid w:val="00C60D50"/>
    <w:rsid w:val="00C60D93"/>
    <w:rsid w:val="00C60DE7"/>
    <w:rsid w:val="00C60ECA"/>
    <w:rsid w:val="00C60F35"/>
    <w:rsid w:val="00C610F9"/>
    <w:rsid w:val="00C61106"/>
    <w:rsid w:val="00C61140"/>
    <w:rsid w:val="00C61209"/>
    <w:rsid w:val="00C61223"/>
    <w:rsid w:val="00C6146E"/>
    <w:rsid w:val="00C61604"/>
    <w:rsid w:val="00C618C5"/>
    <w:rsid w:val="00C618D5"/>
    <w:rsid w:val="00C619DD"/>
    <w:rsid w:val="00C61A90"/>
    <w:rsid w:val="00C61AE4"/>
    <w:rsid w:val="00C61AE7"/>
    <w:rsid w:val="00C61B92"/>
    <w:rsid w:val="00C61CE0"/>
    <w:rsid w:val="00C61E29"/>
    <w:rsid w:val="00C61F0A"/>
    <w:rsid w:val="00C61F49"/>
    <w:rsid w:val="00C61F91"/>
    <w:rsid w:val="00C61FF3"/>
    <w:rsid w:val="00C620D9"/>
    <w:rsid w:val="00C62107"/>
    <w:rsid w:val="00C621EC"/>
    <w:rsid w:val="00C6232A"/>
    <w:rsid w:val="00C62424"/>
    <w:rsid w:val="00C6255F"/>
    <w:rsid w:val="00C625B3"/>
    <w:rsid w:val="00C6288A"/>
    <w:rsid w:val="00C628E8"/>
    <w:rsid w:val="00C628EA"/>
    <w:rsid w:val="00C62B95"/>
    <w:rsid w:val="00C62BCD"/>
    <w:rsid w:val="00C62C88"/>
    <w:rsid w:val="00C62D04"/>
    <w:rsid w:val="00C62D83"/>
    <w:rsid w:val="00C62E39"/>
    <w:rsid w:val="00C62F57"/>
    <w:rsid w:val="00C63027"/>
    <w:rsid w:val="00C63252"/>
    <w:rsid w:val="00C6327C"/>
    <w:rsid w:val="00C63341"/>
    <w:rsid w:val="00C6394E"/>
    <w:rsid w:val="00C63A50"/>
    <w:rsid w:val="00C63ACA"/>
    <w:rsid w:val="00C63AF1"/>
    <w:rsid w:val="00C63B05"/>
    <w:rsid w:val="00C63B60"/>
    <w:rsid w:val="00C63C91"/>
    <w:rsid w:val="00C63D13"/>
    <w:rsid w:val="00C63D1A"/>
    <w:rsid w:val="00C63E83"/>
    <w:rsid w:val="00C63EA1"/>
    <w:rsid w:val="00C64000"/>
    <w:rsid w:val="00C64015"/>
    <w:rsid w:val="00C6408A"/>
    <w:rsid w:val="00C6424B"/>
    <w:rsid w:val="00C6429C"/>
    <w:rsid w:val="00C643F7"/>
    <w:rsid w:val="00C6445D"/>
    <w:rsid w:val="00C646E8"/>
    <w:rsid w:val="00C64826"/>
    <w:rsid w:val="00C64856"/>
    <w:rsid w:val="00C6486C"/>
    <w:rsid w:val="00C6487B"/>
    <w:rsid w:val="00C64928"/>
    <w:rsid w:val="00C64BF3"/>
    <w:rsid w:val="00C64D67"/>
    <w:rsid w:val="00C64DD2"/>
    <w:rsid w:val="00C650AC"/>
    <w:rsid w:val="00C650CB"/>
    <w:rsid w:val="00C650D1"/>
    <w:rsid w:val="00C65135"/>
    <w:rsid w:val="00C652B0"/>
    <w:rsid w:val="00C65402"/>
    <w:rsid w:val="00C65490"/>
    <w:rsid w:val="00C65644"/>
    <w:rsid w:val="00C658BE"/>
    <w:rsid w:val="00C65994"/>
    <w:rsid w:val="00C65A5C"/>
    <w:rsid w:val="00C65C60"/>
    <w:rsid w:val="00C65C67"/>
    <w:rsid w:val="00C65D73"/>
    <w:rsid w:val="00C65EE0"/>
    <w:rsid w:val="00C65F3D"/>
    <w:rsid w:val="00C65FF1"/>
    <w:rsid w:val="00C66053"/>
    <w:rsid w:val="00C66080"/>
    <w:rsid w:val="00C6618F"/>
    <w:rsid w:val="00C663AB"/>
    <w:rsid w:val="00C66578"/>
    <w:rsid w:val="00C66586"/>
    <w:rsid w:val="00C665E5"/>
    <w:rsid w:val="00C6672F"/>
    <w:rsid w:val="00C66A06"/>
    <w:rsid w:val="00C66A1A"/>
    <w:rsid w:val="00C66B31"/>
    <w:rsid w:val="00C66DA0"/>
    <w:rsid w:val="00C66E60"/>
    <w:rsid w:val="00C66FD6"/>
    <w:rsid w:val="00C670E9"/>
    <w:rsid w:val="00C6720D"/>
    <w:rsid w:val="00C672BA"/>
    <w:rsid w:val="00C6740B"/>
    <w:rsid w:val="00C6749F"/>
    <w:rsid w:val="00C674CE"/>
    <w:rsid w:val="00C6759B"/>
    <w:rsid w:val="00C67659"/>
    <w:rsid w:val="00C6769E"/>
    <w:rsid w:val="00C67721"/>
    <w:rsid w:val="00C6775D"/>
    <w:rsid w:val="00C67902"/>
    <w:rsid w:val="00C67938"/>
    <w:rsid w:val="00C679B2"/>
    <w:rsid w:val="00C679DF"/>
    <w:rsid w:val="00C679EE"/>
    <w:rsid w:val="00C67BD9"/>
    <w:rsid w:val="00C67BE9"/>
    <w:rsid w:val="00C67CB5"/>
    <w:rsid w:val="00C67D5D"/>
    <w:rsid w:val="00C67E2F"/>
    <w:rsid w:val="00C67E8E"/>
    <w:rsid w:val="00C67F27"/>
    <w:rsid w:val="00C67FA8"/>
    <w:rsid w:val="00C7006D"/>
    <w:rsid w:val="00C700C4"/>
    <w:rsid w:val="00C700DF"/>
    <w:rsid w:val="00C701A4"/>
    <w:rsid w:val="00C701F9"/>
    <w:rsid w:val="00C70424"/>
    <w:rsid w:val="00C70469"/>
    <w:rsid w:val="00C704EF"/>
    <w:rsid w:val="00C70503"/>
    <w:rsid w:val="00C7065A"/>
    <w:rsid w:val="00C708DA"/>
    <w:rsid w:val="00C70AAB"/>
    <w:rsid w:val="00C70B34"/>
    <w:rsid w:val="00C70B90"/>
    <w:rsid w:val="00C70C7D"/>
    <w:rsid w:val="00C70D3C"/>
    <w:rsid w:val="00C70DD1"/>
    <w:rsid w:val="00C71064"/>
    <w:rsid w:val="00C71090"/>
    <w:rsid w:val="00C7110D"/>
    <w:rsid w:val="00C71242"/>
    <w:rsid w:val="00C712B3"/>
    <w:rsid w:val="00C712C1"/>
    <w:rsid w:val="00C712FF"/>
    <w:rsid w:val="00C71350"/>
    <w:rsid w:val="00C7156E"/>
    <w:rsid w:val="00C71678"/>
    <w:rsid w:val="00C71742"/>
    <w:rsid w:val="00C717B1"/>
    <w:rsid w:val="00C71845"/>
    <w:rsid w:val="00C7188F"/>
    <w:rsid w:val="00C718F0"/>
    <w:rsid w:val="00C71AB8"/>
    <w:rsid w:val="00C71BEF"/>
    <w:rsid w:val="00C71C7C"/>
    <w:rsid w:val="00C71DAF"/>
    <w:rsid w:val="00C71E01"/>
    <w:rsid w:val="00C71EA9"/>
    <w:rsid w:val="00C71FF9"/>
    <w:rsid w:val="00C7200A"/>
    <w:rsid w:val="00C7201A"/>
    <w:rsid w:val="00C7212A"/>
    <w:rsid w:val="00C72143"/>
    <w:rsid w:val="00C721FA"/>
    <w:rsid w:val="00C7228D"/>
    <w:rsid w:val="00C7259B"/>
    <w:rsid w:val="00C72644"/>
    <w:rsid w:val="00C72694"/>
    <w:rsid w:val="00C726B0"/>
    <w:rsid w:val="00C72899"/>
    <w:rsid w:val="00C728AC"/>
    <w:rsid w:val="00C72A1C"/>
    <w:rsid w:val="00C72BC1"/>
    <w:rsid w:val="00C72C66"/>
    <w:rsid w:val="00C72E73"/>
    <w:rsid w:val="00C72ECF"/>
    <w:rsid w:val="00C72F4E"/>
    <w:rsid w:val="00C73136"/>
    <w:rsid w:val="00C731CE"/>
    <w:rsid w:val="00C7322F"/>
    <w:rsid w:val="00C7333B"/>
    <w:rsid w:val="00C73581"/>
    <w:rsid w:val="00C735D5"/>
    <w:rsid w:val="00C735E5"/>
    <w:rsid w:val="00C7373B"/>
    <w:rsid w:val="00C7384B"/>
    <w:rsid w:val="00C73878"/>
    <w:rsid w:val="00C7387D"/>
    <w:rsid w:val="00C73E0C"/>
    <w:rsid w:val="00C73E4D"/>
    <w:rsid w:val="00C73E81"/>
    <w:rsid w:val="00C73ECD"/>
    <w:rsid w:val="00C73FEA"/>
    <w:rsid w:val="00C7402B"/>
    <w:rsid w:val="00C741F0"/>
    <w:rsid w:val="00C741F2"/>
    <w:rsid w:val="00C74399"/>
    <w:rsid w:val="00C7445F"/>
    <w:rsid w:val="00C745CF"/>
    <w:rsid w:val="00C745D0"/>
    <w:rsid w:val="00C745F1"/>
    <w:rsid w:val="00C74703"/>
    <w:rsid w:val="00C74808"/>
    <w:rsid w:val="00C749D3"/>
    <w:rsid w:val="00C74A0D"/>
    <w:rsid w:val="00C74AE2"/>
    <w:rsid w:val="00C74B7D"/>
    <w:rsid w:val="00C74C55"/>
    <w:rsid w:val="00C74EA0"/>
    <w:rsid w:val="00C74FFA"/>
    <w:rsid w:val="00C7519C"/>
    <w:rsid w:val="00C751C4"/>
    <w:rsid w:val="00C75210"/>
    <w:rsid w:val="00C75252"/>
    <w:rsid w:val="00C752AD"/>
    <w:rsid w:val="00C752CD"/>
    <w:rsid w:val="00C7531E"/>
    <w:rsid w:val="00C753B6"/>
    <w:rsid w:val="00C754E3"/>
    <w:rsid w:val="00C75604"/>
    <w:rsid w:val="00C757BE"/>
    <w:rsid w:val="00C758D9"/>
    <w:rsid w:val="00C758E1"/>
    <w:rsid w:val="00C75932"/>
    <w:rsid w:val="00C75940"/>
    <w:rsid w:val="00C75A17"/>
    <w:rsid w:val="00C75AB5"/>
    <w:rsid w:val="00C75AF2"/>
    <w:rsid w:val="00C75B37"/>
    <w:rsid w:val="00C75CB5"/>
    <w:rsid w:val="00C75D23"/>
    <w:rsid w:val="00C75D4E"/>
    <w:rsid w:val="00C75DBF"/>
    <w:rsid w:val="00C75E06"/>
    <w:rsid w:val="00C75E79"/>
    <w:rsid w:val="00C75F60"/>
    <w:rsid w:val="00C75F8F"/>
    <w:rsid w:val="00C76456"/>
    <w:rsid w:val="00C767CE"/>
    <w:rsid w:val="00C769EE"/>
    <w:rsid w:val="00C76A76"/>
    <w:rsid w:val="00C76AB5"/>
    <w:rsid w:val="00C76BAF"/>
    <w:rsid w:val="00C76C1D"/>
    <w:rsid w:val="00C76C94"/>
    <w:rsid w:val="00C76C99"/>
    <w:rsid w:val="00C76F19"/>
    <w:rsid w:val="00C76F33"/>
    <w:rsid w:val="00C770E2"/>
    <w:rsid w:val="00C7722A"/>
    <w:rsid w:val="00C77329"/>
    <w:rsid w:val="00C773F7"/>
    <w:rsid w:val="00C7745A"/>
    <w:rsid w:val="00C774BD"/>
    <w:rsid w:val="00C774EA"/>
    <w:rsid w:val="00C77501"/>
    <w:rsid w:val="00C77520"/>
    <w:rsid w:val="00C776FB"/>
    <w:rsid w:val="00C7772B"/>
    <w:rsid w:val="00C7784E"/>
    <w:rsid w:val="00C778BD"/>
    <w:rsid w:val="00C77A0B"/>
    <w:rsid w:val="00C77BB4"/>
    <w:rsid w:val="00C77BE2"/>
    <w:rsid w:val="00C77C1F"/>
    <w:rsid w:val="00C77D3F"/>
    <w:rsid w:val="00C77E51"/>
    <w:rsid w:val="00C77F9C"/>
    <w:rsid w:val="00C80036"/>
    <w:rsid w:val="00C800CE"/>
    <w:rsid w:val="00C8017F"/>
    <w:rsid w:val="00C801E2"/>
    <w:rsid w:val="00C8020F"/>
    <w:rsid w:val="00C803F4"/>
    <w:rsid w:val="00C8045A"/>
    <w:rsid w:val="00C804EC"/>
    <w:rsid w:val="00C8050E"/>
    <w:rsid w:val="00C8056D"/>
    <w:rsid w:val="00C805D6"/>
    <w:rsid w:val="00C8061B"/>
    <w:rsid w:val="00C806BD"/>
    <w:rsid w:val="00C809CB"/>
    <w:rsid w:val="00C80A73"/>
    <w:rsid w:val="00C80B2E"/>
    <w:rsid w:val="00C80B4E"/>
    <w:rsid w:val="00C80BF4"/>
    <w:rsid w:val="00C80CA7"/>
    <w:rsid w:val="00C80EAD"/>
    <w:rsid w:val="00C80FF0"/>
    <w:rsid w:val="00C8115C"/>
    <w:rsid w:val="00C81187"/>
    <w:rsid w:val="00C81234"/>
    <w:rsid w:val="00C81727"/>
    <w:rsid w:val="00C8185B"/>
    <w:rsid w:val="00C81A77"/>
    <w:rsid w:val="00C81F64"/>
    <w:rsid w:val="00C82089"/>
    <w:rsid w:val="00C82104"/>
    <w:rsid w:val="00C82156"/>
    <w:rsid w:val="00C821C6"/>
    <w:rsid w:val="00C8222A"/>
    <w:rsid w:val="00C8228A"/>
    <w:rsid w:val="00C824B9"/>
    <w:rsid w:val="00C82632"/>
    <w:rsid w:val="00C8273C"/>
    <w:rsid w:val="00C82764"/>
    <w:rsid w:val="00C827CE"/>
    <w:rsid w:val="00C8282C"/>
    <w:rsid w:val="00C82862"/>
    <w:rsid w:val="00C82896"/>
    <w:rsid w:val="00C828AF"/>
    <w:rsid w:val="00C82980"/>
    <w:rsid w:val="00C82997"/>
    <w:rsid w:val="00C82A10"/>
    <w:rsid w:val="00C82A73"/>
    <w:rsid w:val="00C82A9F"/>
    <w:rsid w:val="00C82B36"/>
    <w:rsid w:val="00C82B5F"/>
    <w:rsid w:val="00C82B6E"/>
    <w:rsid w:val="00C82D18"/>
    <w:rsid w:val="00C830D4"/>
    <w:rsid w:val="00C8310E"/>
    <w:rsid w:val="00C8319A"/>
    <w:rsid w:val="00C83240"/>
    <w:rsid w:val="00C83254"/>
    <w:rsid w:val="00C834CC"/>
    <w:rsid w:val="00C8365D"/>
    <w:rsid w:val="00C83681"/>
    <w:rsid w:val="00C8372E"/>
    <w:rsid w:val="00C837B7"/>
    <w:rsid w:val="00C83845"/>
    <w:rsid w:val="00C83912"/>
    <w:rsid w:val="00C83964"/>
    <w:rsid w:val="00C83972"/>
    <w:rsid w:val="00C83A64"/>
    <w:rsid w:val="00C83ACB"/>
    <w:rsid w:val="00C83B7B"/>
    <w:rsid w:val="00C83C09"/>
    <w:rsid w:val="00C83CC8"/>
    <w:rsid w:val="00C83DCD"/>
    <w:rsid w:val="00C83DDD"/>
    <w:rsid w:val="00C83FBA"/>
    <w:rsid w:val="00C840C8"/>
    <w:rsid w:val="00C8412A"/>
    <w:rsid w:val="00C841E7"/>
    <w:rsid w:val="00C841F1"/>
    <w:rsid w:val="00C845B0"/>
    <w:rsid w:val="00C8467C"/>
    <w:rsid w:val="00C84710"/>
    <w:rsid w:val="00C847D3"/>
    <w:rsid w:val="00C8488A"/>
    <w:rsid w:val="00C848B5"/>
    <w:rsid w:val="00C849AC"/>
    <w:rsid w:val="00C84A15"/>
    <w:rsid w:val="00C84B73"/>
    <w:rsid w:val="00C84C3A"/>
    <w:rsid w:val="00C84DF7"/>
    <w:rsid w:val="00C84ED7"/>
    <w:rsid w:val="00C84F6D"/>
    <w:rsid w:val="00C84F78"/>
    <w:rsid w:val="00C84FC2"/>
    <w:rsid w:val="00C8501F"/>
    <w:rsid w:val="00C85253"/>
    <w:rsid w:val="00C85276"/>
    <w:rsid w:val="00C85314"/>
    <w:rsid w:val="00C8546A"/>
    <w:rsid w:val="00C8549E"/>
    <w:rsid w:val="00C854F8"/>
    <w:rsid w:val="00C8553E"/>
    <w:rsid w:val="00C8563F"/>
    <w:rsid w:val="00C8565A"/>
    <w:rsid w:val="00C8584B"/>
    <w:rsid w:val="00C85B01"/>
    <w:rsid w:val="00C85C76"/>
    <w:rsid w:val="00C85CC8"/>
    <w:rsid w:val="00C85F08"/>
    <w:rsid w:val="00C85F38"/>
    <w:rsid w:val="00C8603F"/>
    <w:rsid w:val="00C86399"/>
    <w:rsid w:val="00C863C5"/>
    <w:rsid w:val="00C86451"/>
    <w:rsid w:val="00C86677"/>
    <w:rsid w:val="00C8669A"/>
    <w:rsid w:val="00C866B0"/>
    <w:rsid w:val="00C8687B"/>
    <w:rsid w:val="00C868A7"/>
    <w:rsid w:val="00C868EA"/>
    <w:rsid w:val="00C869FC"/>
    <w:rsid w:val="00C86A32"/>
    <w:rsid w:val="00C86A77"/>
    <w:rsid w:val="00C86A8A"/>
    <w:rsid w:val="00C86A8B"/>
    <w:rsid w:val="00C86AEE"/>
    <w:rsid w:val="00C86B60"/>
    <w:rsid w:val="00C86E6D"/>
    <w:rsid w:val="00C86E85"/>
    <w:rsid w:val="00C86F41"/>
    <w:rsid w:val="00C87048"/>
    <w:rsid w:val="00C87190"/>
    <w:rsid w:val="00C87255"/>
    <w:rsid w:val="00C875F4"/>
    <w:rsid w:val="00C8769D"/>
    <w:rsid w:val="00C876FD"/>
    <w:rsid w:val="00C878B0"/>
    <w:rsid w:val="00C87AA1"/>
    <w:rsid w:val="00C87AD7"/>
    <w:rsid w:val="00C87BD9"/>
    <w:rsid w:val="00C87BF1"/>
    <w:rsid w:val="00C87C21"/>
    <w:rsid w:val="00C87C41"/>
    <w:rsid w:val="00C87CAA"/>
    <w:rsid w:val="00C87D09"/>
    <w:rsid w:val="00C87DF5"/>
    <w:rsid w:val="00C87E5E"/>
    <w:rsid w:val="00C87EE8"/>
    <w:rsid w:val="00C900C1"/>
    <w:rsid w:val="00C90174"/>
    <w:rsid w:val="00C901F0"/>
    <w:rsid w:val="00C90211"/>
    <w:rsid w:val="00C9024C"/>
    <w:rsid w:val="00C9032F"/>
    <w:rsid w:val="00C904BD"/>
    <w:rsid w:val="00C90605"/>
    <w:rsid w:val="00C9066C"/>
    <w:rsid w:val="00C90684"/>
    <w:rsid w:val="00C906B1"/>
    <w:rsid w:val="00C90765"/>
    <w:rsid w:val="00C90784"/>
    <w:rsid w:val="00C9081D"/>
    <w:rsid w:val="00C90D1C"/>
    <w:rsid w:val="00C90D6D"/>
    <w:rsid w:val="00C90F2D"/>
    <w:rsid w:val="00C9100B"/>
    <w:rsid w:val="00C91070"/>
    <w:rsid w:val="00C91229"/>
    <w:rsid w:val="00C912F3"/>
    <w:rsid w:val="00C9139F"/>
    <w:rsid w:val="00C91670"/>
    <w:rsid w:val="00C91707"/>
    <w:rsid w:val="00C91744"/>
    <w:rsid w:val="00C91899"/>
    <w:rsid w:val="00C9190C"/>
    <w:rsid w:val="00C91A19"/>
    <w:rsid w:val="00C91A6F"/>
    <w:rsid w:val="00C91FC6"/>
    <w:rsid w:val="00C9206A"/>
    <w:rsid w:val="00C920B5"/>
    <w:rsid w:val="00C920CB"/>
    <w:rsid w:val="00C92294"/>
    <w:rsid w:val="00C922D6"/>
    <w:rsid w:val="00C9232E"/>
    <w:rsid w:val="00C92389"/>
    <w:rsid w:val="00C923CE"/>
    <w:rsid w:val="00C9242B"/>
    <w:rsid w:val="00C92458"/>
    <w:rsid w:val="00C9254C"/>
    <w:rsid w:val="00C92732"/>
    <w:rsid w:val="00C92753"/>
    <w:rsid w:val="00C9276A"/>
    <w:rsid w:val="00C92865"/>
    <w:rsid w:val="00C928D2"/>
    <w:rsid w:val="00C92973"/>
    <w:rsid w:val="00C92992"/>
    <w:rsid w:val="00C929AF"/>
    <w:rsid w:val="00C92AB6"/>
    <w:rsid w:val="00C92B1E"/>
    <w:rsid w:val="00C92B32"/>
    <w:rsid w:val="00C92CD4"/>
    <w:rsid w:val="00C92E82"/>
    <w:rsid w:val="00C92EC2"/>
    <w:rsid w:val="00C93144"/>
    <w:rsid w:val="00C9326F"/>
    <w:rsid w:val="00C933A3"/>
    <w:rsid w:val="00C93518"/>
    <w:rsid w:val="00C936F1"/>
    <w:rsid w:val="00C937AB"/>
    <w:rsid w:val="00C9380E"/>
    <w:rsid w:val="00C93A40"/>
    <w:rsid w:val="00C93A4E"/>
    <w:rsid w:val="00C93A84"/>
    <w:rsid w:val="00C93D06"/>
    <w:rsid w:val="00C93D5F"/>
    <w:rsid w:val="00C93DA7"/>
    <w:rsid w:val="00C93E14"/>
    <w:rsid w:val="00C93FC0"/>
    <w:rsid w:val="00C93FD7"/>
    <w:rsid w:val="00C941A5"/>
    <w:rsid w:val="00C94214"/>
    <w:rsid w:val="00C942D8"/>
    <w:rsid w:val="00C9439C"/>
    <w:rsid w:val="00C94455"/>
    <w:rsid w:val="00C9446C"/>
    <w:rsid w:val="00C94636"/>
    <w:rsid w:val="00C9472C"/>
    <w:rsid w:val="00C9474F"/>
    <w:rsid w:val="00C94942"/>
    <w:rsid w:val="00C949EE"/>
    <w:rsid w:val="00C94A39"/>
    <w:rsid w:val="00C94A93"/>
    <w:rsid w:val="00C94C05"/>
    <w:rsid w:val="00C94C43"/>
    <w:rsid w:val="00C94E27"/>
    <w:rsid w:val="00C94EBB"/>
    <w:rsid w:val="00C94F19"/>
    <w:rsid w:val="00C94FAA"/>
    <w:rsid w:val="00C95029"/>
    <w:rsid w:val="00C95069"/>
    <w:rsid w:val="00C95376"/>
    <w:rsid w:val="00C9558A"/>
    <w:rsid w:val="00C955F9"/>
    <w:rsid w:val="00C95652"/>
    <w:rsid w:val="00C956EE"/>
    <w:rsid w:val="00C958AE"/>
    <w:rsid w:val="00C95958"/>
    <w:rsid w:val="00C95AA0"/>
    <w:rsid w:val="00C95AC9"/>
    <w:rsid w:val="00C95BB9"/>
    <w:rsid w:val="00C95C03"/>
    <w:rsid w:val="00C95C41"/>
    <w:rsid w:val="00C95D23"/>
    <w:rsid w:val="00C95D38"/>
    <w:rsid w:val="00C95EC0"/>
    <w:rsid w:val="00C96190"/>
    <w:rsid w:val="00C962F9"/>
    <w:rsid w:val="00C963D8"/>
    <w:rsid w:val="00C96777"/>
    <w:rsid w:val="00C9688F"/>
    <w:rsid w:val="00C96C2C"/>
    <w:rsid w:val="00C96D25"/>
    <w:rsid w:val="00C96D88"/>
    <w:rsid w:val="00C96DE2"/>
    <w:rsid w:val="00C96E8F"/>
    <w:rsid w:val="00C96F3F"/>
    <w:rsid w:val="00C96FF3"/>
    <w:rsid w:val="00C97118"/>
    <w:rsid w:val="00C9752B"/>
    <w:rsid w:val="00C9768F"/>
    <w:rsid w:val="00C976E8"/>
    <w:rsid w:val="00C97AE5"/>
    <w:rsid w:val="00C97AF5"/>
    <w:rsid w:val="00C97C58"/>
    <w:rsid w:val="00C97CFF"/>
    <w:rsid w:val="00CA00FB"/>
    <w:rsid w:val="00CA0207"/>
    <w:rsid w:val="00CA020F"/>
    <w:rsid w:val="00CA03A0"/>
    <w:rsid w:val="00CA03B6"/>
    <w:rsid w:val="00CA03EE"/>
    <w:rsid w:val="00CA046D"/>
    <w:rsid w:val="00CA05D8"/>
    <w:rsid w:val="00CA0754"/>
    <w:rsid w:val="00CA0B5D"/>
    <w:rsid w:val="00CA0B88"/>
    <w:rsid w:val="00CA0BB7"/>
    <w:rsid w:val="00CA0C8C"/>
    <w:rsid w:val="00CA0E4D"/>
    <w:rsid w:val="00CA0E80"/>
    <w:rsid w:val="00CA0FB2"/>
    <w:rsid w:val="00CA111C"/>
    <w:rsid w:val="00CA1126"/>
    <w:rsid w:val="00CA1147"/>
    <w:rsid w:val="00CA114C"/>
    <w:rsid w:val="00CA1239"/>
    <w:rsid w:val="00CA1428"/>
    <w:rsid w:val="00CA14E8"/>
    <w:rsid w:val="00CA1579"/>
    <w:rsid w:val="00CA1627"/>
    <w:rsid w:val="00CA163C"/>
    <w:rsid w:val="00CA1704"/>
    <w:rsid w:val="00CA1792"/>
    <w:rsid w:val="00CA1882"/>
    <w:rsid w:val="00CA1916"/>
    <w:rsid w:val="00CA1A82"/>
    <w:rsid w:val="00CA1BA3"/>
    <w:rsid w:val="00CA1CB1"/>
    <w:rsid w:val="00CA1D07"/>
    <w:rsid w:val="00CA1D11"/>
    <w:rsid w:val="00CA1D57"/>
    <w:rsid w:val="00CA1DEF"/>
    <w:rsid w:val="00CA1E00"/>
    <w:rsid w:val="00CA1E9B"/>
    <w:rsid w:val="00CA1FAD"/>
    <w:rsid w:val="00CA2058"/>
    <w:rsid w:val="00CA20C3"/>
    <w:rsid w:val="00CA2115"/>
    <w:rsid w:val="00CA21A2"/>
    <w:rsid w:val="00CA22C7"/>
    <w:rsid w:val="00CA23D6"/>
    <w:rsid w:val="00CA240D"/>
    <w:rsid w:val="00CA2422"/>
    <w:rsid w:val="00CA2531"/>
    <w:rsid w:val="00CA2592"/>
    <w:rsid w:val="00CA2596"/>
    <w:rsid w:val="00CA25A9"/>
    <w:rsid w:val="00CA2869"/>
    <w:rsid w:val="00CA2893"/>
    <w:rsid w:val="00CA2A43"/>
    <w:rsid w:val="00CA2BAE"/>
    <w:rsid w:val="00CA2BB4"/>
    <w:rsid w:val="00CA2C62"/>
    <w:rsid w:val="00CA2C88"/>
    <w:rsid w:val="00CA2CE4"/>
    <w:rsid w:val="00CA2F7A"/>
    <w:rsid w:val="00CA2FD1"/>
    <w:rsid w:val="00CA2FDE"/>
    <w:rsid w:val="00CA3108"/>
    <w:rsid w:val="00CA3237"/>
    <w:rsid w:val="00CA335D"/>
    <w:rsid w:val="00CA3533"/>
    <w:rsid w:val="00CA3554"/>
    <w:rsid w:val="00CA3698"/>
    <w:rsid w:val="00CA37AA"/>
    <w:rsid w:val="00CA3829"/>
    <w:rsid w:val="00CA385B"/>
    <w:rsid w:val="00CA394B"/>
    <w:rsid w:val="00CA39AA"/>
    <w:rsid w:val="00CA39CE"/>
    <w:rsid w:val="00CA3A70"/>
    <w:rsid w:val="00CA3AB3"/>
    <w:rsid w:val="00CA3B68"/>
    <w:rsid w:val="00CA3BEA"/>
    <w:rsid w:val="00CA3C87"/>
    <w:rsid w:val="00CA3E32"/>
    <w:rsid w:val="00CA3E7E"/>
    <w:rsid w:val="00CA3EBB"/>
    <w:rsid w:val="00CA4068"/>
    <w:rsid w:val="00CA420B"/>
    <w:rsid w:val="00CA4299"/>
    <w:rsid w:val="00CA429C"/>
    <w:rsid w:val="00CA43AC"/>
    <w:rsid w:val="00CA441F"/>
    <w:rsid w:val="00CA44B6"/>
    <w:rsid w:val="00CA44D0"/>
    <w:rsid w:val="00CA44EA"/>
    <w:rsid w:val="00CA45C0"/>
    <w:rsid w:val="00CA46D6"/>
    <w:rsid w:val="00CA46F6"/>
    <w:rsid w:val="00CA48D4"/>
    <w:rsid w:val="00CA4995"/>
    <w:rsid w:val="00CA4A81"/>
    <w:rsid w:val="00CA4AA8"/>
    <w:rsid w:val="00CA4BC0"/>
    <w:rsid w:val="00CA4C8C"/>
    <w:rsid w:val="00CA4D27"/>
    <w:rsid w:val="00CA4D39"/>
    <w:rsid w:val="00CA4D59"/>
    <w:rsid w:val="00CA4DD5"/>
    <w:rsid w:val="00CA4DE3"/>
    <w:rsid w:val="00CA4DF5"/>
    <w:rsid w:val="00CA4E17"/>
    <w:rsid w:val="00CA4E24"/>
    <w:rsid w:val="00CA50DF"/>
    <w:rsid w:val="00CA5266"/>
    <w:rsid w:val="00CA5488"/>
    <w:rsid w:val="00CA54D9"/>
    <w:rsid w:val="00CA552A"/>
    <w:rsid w:val="00CA5554"/>
    <w:rsid w:val="00CA559D"/>
    <w:rsid w:val="00CA568A"/>
    <w:rsid w:val="00CA5825"/>
    <w:rsid w:val="00CA58F8"/>
    <w:rsid w:val="00CA5991"/>
    <w:rsid w:val="00CA5A2A"/>
    <w:rsid w:val="00CA5A31"/>
    <w:rsid w:val="00CA5AA0"/>
    <w:rsid w:val="00CA5B9E"/>
    <w:rsid w:val="00CA5BCB"/>
    <w:rsid w:val="00CA5C1D"/>
    <w:rsid w:val="00CA5C91"/>
    <w:rsid w:val="00CA5CDF"/>
    <w:rsid w:val="00CA5EB0"/>
    <w:rsid w:val="00CA5F49"/>
    <w:rsid w:val="00CA6109"/>
    <w:rsid w:val="00CA6288"/>
    <w:rsid w:val="00CA62B9"/>
    <w:rsid w:val="00CA6377"/>
    <w:rsid w:val="00CA63A9"/>
    <w:rsid w:val="00CA652F"/>
    <w:rsid w:val="00CA6643"/>
    <w:rsid w:val="00CA6649"/>
    <w:rsid w:val="00CA6849"/>
    <w:rsid w:val="00CA6875"/>
    <w:rsid w:val="00CA68D8"/>
    <w:rsid w:val="00CA6C2A"/>
    <w:rsid w:val="00CA6C5C"/>
    <w:rsid w:val="00CA6DF1"/>
    <w:rsid w:val="00CA6E6B"/>
    <w:rsid w:val="00CA6EB6"/>
    <w:rsid w:val="00CA6F3B"/>
    <w:rsid w:val="00CA6FC4"/>
    <w:rsid w:val="00CA7053"/>
    <w:rsid w:val="00CA7162"/>
    <w:rsid w:val="00CA7220"/>
    <w:rsid w:val="00CA726F"/>
    <w:rsid w:val="00CA735B"/>
    <w:rsid w:val="00CA735F"/>
    <w:rsid w:val="00CA7400"/>
    <w:rsid w:val="00CA7547"/>
    <w:rsid w:val="00CA7574"/>
    <w:rsid w:val="00CA75B6"/>
    <w:rsid w:val="00CA75DE"/>
    <w:rsid w:val="00CA769D"/>
    <w:rsid w:val="00CA7800"/>
    <w:rsid w:val="00CA78B3"/>
    <w:rsid w:val="00CA7971"/>
    <w:rsid w:val="00CA7A97"/>
    <w:rsid w:val="00CA7B16"/>
    <w:rsid w:val="00CA7BB3"/>
    <w:rsid w:val="00CA7C65"/>
    <w:rsid w:val="00CA7DAD"/>
    <w:rsid w:val="00CA7EE1"/>
    <w:rsid w:val="00CA7F10"/>
    <w:rsid w:val="00CA7F15"/>
    <w:rsid w:val="00CA7F38"/>
    <w:rsid w:val="00CB00E7"/>
    <w:rsid w:val="00CB025B"/>
    <w:rsid w:val="00CB02BE"/>
    <w:rsid w:val="00CB02CC"/>
    <w:rsid w:val="00CB02D4"/>
    <w:rsid w:val="00CB0384"/>
    <w:rsid w:val="00CB0425"/>
    <w:rsid w:val="00CB050B"/>
    <w:rsid w:val="00CB05F7"/>
    <w:rsid w:val="00CB0672"/>
    <w:rsid w:val="00CB07A0"/>
    <w:rsid w:val="00CB07F3"/>
    <w:rsid w:val="00CB085C"/>
    <w:rsid w:val="00CB0940"/>
    <w:rsid w:val="00CB0B27"/>
    <w:rsid w:val="00CB0C3B"/>
    <w:rsid w:val="00CB0D40"/>
    <w:rsid w:val="00CB0D45"/>
    <w:rsid w:val="00CB0DD3"/>
    <w:rsid w:val="00CB0DED"/>
    <w:rsid w:val="00CB0E7E"/>
    <w:rsid w:val="00CB0EB2"/>
    <w:rsid w:val="00CB1019"/>
    <w:rsid w:val="00CB128E"/>
    <w:rsid w:val="00CB12DF"/>
    <w:rsid w:val="00CB12E7"/>
    <w:rsid w:val="00CB1458"/>
    <w:rsid w:val="00CB1598"/>
    <w:rsid w:val="00CB1632"/>
    <w:rsid w:val="00CB167F"/>
    <w:rsid w:val="00CB1721"/>
    <w:rsid w:val="00CB172E"/>
    <w:rsid w:val="00CB1766"/>
    <w:rsid w:val="00CB17CA"/>
    <w:rsid w:val="00CB1C42"/>
    <w:rsid w:val="00CB1E69"/>
    <w:rsid w:val="00CB1EC5"/>
    <w:rsid w:val="00CB1FC7"/>
    <w:rsid w:val="00CB201A"/>
    <w:rsid w:val="00CB2030"/>
    <w:rsid w:val="00CB2058"/>
    <w:rsid w:val="00CB209C"/>
    <w:rsid w:val="00CB20D4"/>
    <w:rsid w:val="00CB21E4"/>
    <w:rsid w:val="00CB2568"/>
    <w:rsid w:val="00CB263C"/>
    <w:rsid w:val="00CB2741"/>
    <w:rsid w:val="00CB2798"/>
    <w:rsid w:val="00CB27BF"/>
    <w:rsid w:val="00CB27D4"/>
    <w:rsid w:val="00CB2822"/>
    <w:rsid w:val="00CB286A"/>
    <w:rsid w:val="00CB288D"/>
    <w:rsid w:val="00CB2955"/>
    <w:rsid w:val="00CB2A41"/>
    <w:rsid w:val="00CB2AB7"/>
    <w:rsid w:val="00CB2B2B"/>
    <w:rsid w:val="00CB2B99"/>
    <w:rsid w:val="00CB2C3D"/>
    <w:rsid w:val="00CB2C45"/>
    <w:rsid w:val="00CB2F3E"/>
    <w:rsid w:val="00CB30AF"/>
    <w:rsid w:val="00CB30D4"/>
    <w:rsid w:val="00CB3358"/>
    <w:rsid w:val="00CB34A8"/>
    <w:rsid w:val="00CB3597"/>
    <w:rsid w:val="00CB35E9"/>
    <w:rsid w:val="00CB364C"/>
    <w:rsid w:val="00CB36CF"/>
    <w:rsid w:val="00CB3702"/>
    <w:rsid w:val="00CB37A1"/>
    <w:rsid w:val="00CB3996"/>
    <w:rsid w:val="00CB3B1D"/>
    <w:rsid w:val="00CB3B6D"/>
    <w:rsid w:val="00CB3BD0"/>
    <w:rsid w:val="00CB3C25"/>
    <w:rsid w:val="00CB3D98"/>
    <w:rsid w:val="00CB3E67"/>
    <w:rsid w:val="00CB3F92"/>
    <w:rsid w:val="00CB3F9C"/>
    <w:rsid w:val="00CB401B"/>
    <w:rsid w:val="00CB419A"/>
    <w:rsid w:val="00CB41F1"/>
    <w:rsid w:val="00CB4345"/>
    <w:rsid w:val="00CB446F"/>
    <w:rsid w:val="00CB4558"/>
    <w:rsid w:val="00CB46A1"/>
    <w:rsid w:val="00CB4879"/>
    <w:rsid w:val="00CB48D1"/>
    <w:rsid w:val="00CB4973"/>
    <w:rsid w:val="00CB49E5"/>
    <w:rsid w:val="00CB4AA8"/>
    <w:rsid w:val="00CB4B16"/>
    <w:rsid w:val="00CB4B7A"/>
    <w:rsid w:val="00CB4BA0"/>
    <w:rsid w:val="00CB4CA3"/>
    <w:rsid w:val="00CB4DEE"/>
    <w:rsid w:val="00CB4F84"/>
    <w:rsid w:val="00CB5087"/>
    <w:rsid w:val="00CB5116"/>
    <w:rsid w:val="00CB51D2"/>
    <w:rsid w:val="00CB5213"/>
    <w:rsid w:val="00CB538D"/>
    <w:rsid w:val="00CB53FE"/>
    <w:rsid w:val="00CB5419"/>
    <w:rsid w:val="00CB5465"/>
    <w:rsid w:val="00CB549D"/>
    <w:rsid w:val="00CB54AC"/>
    <w:rsid w:val="00CB54C0"/>
    <w:rsid w:val="00CB556B"/>
    <w:rsid w:val="00CB5714"/>
    <w:rsid w:val="00CB5786"/>
    <w:rsid w:val="00CB5787"/>
    <w:rsid w:val="00CB5886"/>
    <w:rsid w:val="00CB5994"/>
    <w:rsid w:val="00CB5A46"/>
    <w:rsid w:val="00CB5AB9"/>
    <w:rsid w:val="00CB5AE1"/>
    <w:rsid w:val="00CB5C18"/>
    <w:rsid w:val="00CB5D71"/>
    <w:rsid w:val="00CB5E5A"/>
    <w:rsid w:val="00CB5E79"/>
    <w:rsid w:val="00CB6053"/>
    <w:rsid w:val="00CB60DA"/>
    <w:rsid w:val="00CB6359"/>
    <w:rsid w:val="00CB63AE"/>
    <w:rsid w:val="00CB63C0"/>
    <w:rsid w:val="00CB6490"/>
    <w:rsid w:val="00CB668E"/>
    <w:rsid w:val="00CB67EC"/>
    <w:rsid w:val="00CB6855"/>
    <w:rsid w:val="00CB68AF"/>
    <w:rsid w:val="00CB68F5"/>
    <w:rsid w:val="00CB6940"/>
    <w:rsid w:val="00CB6AA6"/>
    <w:rsid w:val="00CB6B8E"/>
    <w:rsid w:val="00CB6D4C"/>
    <w:rsid w:val="00CB6D75"/>
    <w:rsid w:val="00CB6D83"/>
    <w:rsid w:val="00CB6E39"/>
    <w:rsid w:val="00CB6EEA"/>
    <w:rsid w:val="00CB6FEA"/>
    <w:rsid w:val="00CB700B"/>
    <w:rsid w:val="00CB717F"/>
    <w:rsid w:val="00CB71EB"/>
    <w:rsid w:val="00CB73A2"/>
    <w:rsid w:val="00CB73E2"/>
    <w:rsid w:val="00CB73EB"/>
    <w:rsid w:val="00CB75EF"/>
    <w:rsid w:val="00CB7619"/>
    <w:rsid w:val="00CB790D"/>
    <w:rsid w:val="00CB7947"/>
    <w:rsid w:val="00CB7962"/>
    <w:rsid w:val="00CB7983"/>
    <w:rsid w:val="00CB7BF6"/>
    <w:rsid w:val="00CB7CE7"/>
    <w:rsid w:val="00CB7DF7"/>
    <w:rsid w:val="00CB7F08"/>
    <w:rsid w:val="00CB7F3A"/>
    <w:rsid w:val="00CC005C"/>
    <w:rsid w:val="00CC00D7"/>
    <w:rsid w:val="00CC02AD"/>
    <w:rsid w:val="00CC03A8"/>
    <w:rsid w:val="00CC043C"/>
    <w:rsid w:val="00CC05D0"/>
    <w:rsid w:val="00CC0892"/>
    <w:rsid w:val="00CC08C3"/>
    <w:rsid w:val="00CC08C9"/>
    <w:rsid w:val="00CC09C7"/>
    <w:rsid w:val="00CC0A97"/>
    <w:rsid w:val="00CC0B3E"/>
    <w:rsid w:val="00CC0B7A"/>
    <w:rsid w:val="00CC0D5E"/>
    <w:rsid w:val="00CC0DF4"/>
    <w:rsid w:val="00CC0E04"/>
    <w:rsid w:val="00CC0E7D"/>
    <w:rsid w:val="00CC0FE9"/>
    <w:rsid w:val="00CC12D4"/>
    <w:rsid w:val="00CC140A"/>
    <w:rsid w:val="00CC148C"/>
    <w:rsid w:val="00CC1748"/>
    <w:rsid w:val="00CC1E60"/>
    <w:rsid w:val="00CC1EB5"/>
    <w:rsid w:val="00CC2009"/>
    <w:rsid w:val="00CC208E"/>
    <w:rsid w:val="00CC20C7"/>
    <w:rsid w:val="00CC2239"/>
    <w:rsid w:val="00CC2272"/>
    <w:rsid w:val="00CC2355"/>
    <w:rsid w:val="00CC23B4"/>
    <w:rsid w:val="00CC26A9"/>
    <w:rsid w:val="00CC2875"/>
    <w:rsid w:val="00CC2A80"/>
    <w:rsid w:val="00CC2A8E"/>
    <w:rsid w:val="00CC2A95"/>
    <w:rsid w:val="00CC2AD3"/>
    <w:rsid w:val="00CC2B0C"/>
    <w:rsid w:val="00CC2B3F"/>
    <w:rsid w:val="00CC2C6E"/>
    <w:rsid w:val="00CC2D5E"/>
    <w:rsid w:val="00CC2EA3"/>
    <w:rsid w:val="00CC2F22"/>
    <w:rsid w:val="00CC2FB0"/>
    <w:rsid w:val="00CC3099"/>
    <w:rsid w:val="00CC30D3"/>
    <w:rsid w:val="00CC32AE"/>
    <w:rsid w:val="00CC3462"/>
    <w:rsid w:val="00CC347E"/>
    <w:rsid w:val="00CC34B9"/>
    <w:rsid w:val="00CC355A"/>
    <w:rsid w:val="00CC3595"/>
    <w:rsid w:val="00CC359B"/>
    <w:rsid w:val="00CC35EC"/>
    <w:rsid w:val="00CC3A6C"/>
    <w:rsid w:val="00CC3A77"/>
    <w:rsid w:val="00CC3BC3"/>
    <w:rsid w:val="00CC3C03"/>
    <w:rsid w:val="00CC3C15"/>
    <w:rsid w:val="00CC3D90"/>
    <w:rsid w:val="00CC3DBF"/>
    <w:rsid w:val="00CC3F31"/>
    <w:rsid w:val="00CC3FF9"/>
    <w:rsid w:val="00CC404F"/>
    <w:rsid w:val="00CC40A6"/>
    <w:rsid w:val="00CC40CE"/>
    <w:rsid w:val="00CC4284"/>
    <w:rsid w:val="00CC436D"/>
    <w:rsid w:val="00CC4375"/>
    <w:rsid w:val="00CC437D"/>
    <w:rsid w:val="00CC44B7"/>
    <w:rsid w:val="00CC452C"/>
    <w:rsid w:val="00CC45C0"/>
    <w:rsid w:val="00CC4681"/>
    <w:rsid w:val="00CC473A"/>
    <w:rsid w:val="00CC4814"/>
    <w:rsid w:val="00CC483B"/>
    <w:rsid w:val="00CC483C"/>
    <w:rsid w:val="00CC48CC"/>
    <w:rsid w:val="00CC48FC"/>
    <w:rsid w:val="00CC49CC"/>
    <w:rsid w:val="00CC4A2D"/>
    <w:rsid w:val="00CC4AA1"/>
    <w:rsid w:val="00CC4B08"/>
    <w:rsid w:val="00CC4B3F"/>
    <w:rsid w:val="00CC4BBE"/>
    <w:rsid w:val="00CC4C07"/>
    <w:rsid w:val="00CC4C3B"/>
    <w:rsid w:val="00CC4C60"/>
    <w:rsid w:val="00CC4CBF"/>
    <w:rsid w:val="00CC4D9E"/>
    <w:rsid w:val="00CC506C"/>
    <w:rsid w:val="00CC509E"/>
    <w:rsid w:val="00CC511A"/>
    <w:rsid w:val="00CC5155"/>
    <w:rsid w:val="00CC51DA"/>
    <w:rsid w:val="00CC5254"/>
    <w:rsid w:val="00CC5377"/>
    <w:rsid w:val="00CC5380"/>
    <w:rsid w:val="00CC5433"/>
    <w:rsid w:val="00CC54EA"/>
    <w:rsid w:val="00CC5528"/>
    <w:rsid w:val="00CC559D"/>
    <w:rsid w:val="00CC57F8"/>
    <w:rsid w:val="00CC587C"/>
    <w:rsid w:val="00CC587E"/>
    <w:rsid w:val="00CC592C"/>
    <w:rsid w:val="00CC5A70"/>
    <w:rsid w:val="00CC5AC8"/>
    <w:rsid w:val="00CC5B00"/>
    <w:rsid w:val="00CC5BD3"/>
    <w:rsid w:val="00CC5BE7"/>
    <w:rsid w:val="00CC5C7B"/>
    <w:rsid w:val="00CC5F31"/>
    <w:rsid w:val="00CC5FDB"/>
    <w:rsid w:val="00CC60AC"/>
    <w:rsid w:val="00CC60DF"/>
    <w:rsid w:val="00CC60FF"/>
    <w:rsid w:val="00CC6338"/>
    <w:rsid w:val="00CC63BF"/>
    <w:rsid w:val="00CC63CA"/>
    <w:rsid w:val="00CC6662"/>
    <w:rsid w:val="00CC679F"/>
    <w:rsid w:val="00CC69B0"/>
    <w:rsid w:val="00CC69C9"/>
    <w:rsid w:val="00CC69CB"/>
    <w:rsid w:val="00CC6A58"/>
    <w:rsid w:val="00CC6CBA"/>
    <w:rsid w:val="00CC6D22"/>
    <w:rsid w:val="00CC6DF4"/>
    <w:rsid w:val="00CC6E24"/>
    <w:rsid w:val="00CC6F6B"/>
    <w:rsid w:val="00CC6FD2"/>
    <w:rsid w:val="00CC70DD"/>
    <w:rsid w:val="00CC7139"/>
    <w:rsid w:val="00CC720D"/>
    <w:rsid w:val="00CC73F6"/>
    <w:rsid w:val="00CC7400"/>
    <w:rsid w:val="00CC74FB"/>
    <w:rsid w:val="00CC762F"/>
    <w:rsid w:val="00CC7898"/>
    <w:rsid w:val="00CC7A34"/>
    <w:rsid w:val="00CC7AC2"/>
    <w:rsid w:val="00CC7B77"/>
    <w:rsid w:val="00CC7BED"/>
    <w:rsid w:val="00CC7E8A"/>
    <w:rsid w:val="00CC7EAB"/>
    <w:rsid w:val="00CC7F6B"/>
    <w:rsid w:val="00CC7F84"/>
    <w:rsid w:val="00CD0099"/>
    <w:rsid w:val="00CD0156"/>
    <w:rsid w:val="00CD04CE"/>
    <w:rsid w:val="00CD0528"/>
    <w:rsid w:val="00CD0569"/>
    <w:rsid w:val="00CD063C"/>
    <w:rsid w:val="00CD0673"/>
    <w:rsid w:val="00CD07C6"/>
    <w:rsid w:val="00CD07E1"/>
    <w:rsid w:val="00CD08BB"/>
    <w:rsid w:val="00CD095A"/>
    <w:rsid w:val="00CD09A4"/>
    <w:rsid w:val="00CD0A0E"/>
    <w:rsid w:val="00CD0A14"/>
    <w:rsid w:val="00CD0AED"/>
    <w:rsid w:val="00CD0B12"/>
    <w:rsid w:val="00CD0BB3"/>
    <w:rsid w:val="00CD0C28"/>
    <w:rsid w:val="00CD0C6F"/>
    <w:rsid w:val="00CD106B"/>
    <w:rsid w:val="00CD116B"/>
    <w:rsid w:val="00CD11B5"/>
    <w:rsid w:val="00CD120E"/>
    <w:rsid w:val="00CD125D"/>
    <w:rsid w:val="00CD1278"/>
    <w:rsid w:val="00CD12E1"/>
    <w:rsid w:val="00CD1518"/>
    <w:rsid w:val="00CD15C5"/>
    <w:rsid w:val="00CD1628"/>
    <w:rsid w:val="00CD1872"/>
    <w:rsid w:val="00CD1988"/>
    <w:rsid w:val="00CD1B6A"/>
    <w:rsid w:val="00CD1C0D"/>
    <w:rsid w:val="00CD1C43"/>
    <w:rsid w:val="00CD1D9F"/>
    <w:rsid w:val="00CD1F03"/>
    <w:rsid w:val="00CD1F27"/>
    <w:rsid w:val="00CD1F47"/>
    <w:rsid w:val="00CD1F59"/>
    <w:rsid w:val="00CD1FD2"/>
    <w:rsid w:val="00CD20FE"/>
    <w:rsid w:val="00CD2118"/>
    <w:rsid w:val="00CD214D"/>
    <w:rsid w:val="00CD2157"/>
    <w:rsid w:val="00CD2181"/>
    <w:rsid w:val="00CD2232"/>
    <w:rsid w:val="00CD2351"/>
    <w:rsid w:val="00CD250B"/>
    <w:rsid w:val="00CD2597"/>
    <w:rsid w:val="00CD274F"/>
    <w:rsid w:val="00CD2762"/>
    <w:rsid w:val="00CD2779"/>
    <w:rsid w:val="00CD27A4"/>
    <w:rsid w:val="00CD28EC"/>
    <w:rsid w:val="00CD2973"/>
    <w:rsid w:val="00CD2ADD"/>
    <w:rsid w:val="00CD2C0F"/>
    <w:rsid w:val="00CD2C38"/>
    <w:rsid w:val="00CD2D9A"/>
    <w:rsid w:val="00CD2DD7"/>
    <w:rsid w:val="00CD2E2C"/>
    <w:rsid w:val="00CD2F73"/>
    <w:rsid w:val="00CD2F79"/>
    <w:rsid w:val="00CD2FB7"/>
    <w:rsid w:val="00CD306E"/>
    <w:rsid w:val="00CD316B"/>
    <w:rsid w:val="00CD34B8"/>
    <w:rsid w:val="00CD35AD"/>
    <w:rsid w:val="00CD372B"/>
    <w:rsid w:val="00CD3775"/>
    <w:rsid w:val="00CD381E"/>
    <w:rsid w:val="00CD388E"/>
    <w:rsid w:val="00CD38C4"/>
    <w:rsid w:val="00CD396E"/>
    <w:rsid w:val="00CD39E2"/>
    <w:rsid w:val="00CD39FC"/>
    <w:rsid w:val="00CD3B9B"/>
    <w:rsid w:val="00CD3EFB"/>
    <w:rsid w:val="00CD4089"/>
    <w:rsid w:val="00CD40B1"/>
    <w:rsid w:val="00CD40E5"/>
    <w:rsid w:val="00CD4267"/>
    <w:rsid w:val="00CD427E"/>
    <w:rsid w:val="00CD4285"/>
    <w:rsid w:val="00CD42F8"/>
    <w:rsid w:val="00CD4314"/>
    <w:rsid w:val="00CD434B"/>
    <w:rsid w:val="00CD446A"/>
    <w:rsid w:val="00CD467A"/>
    <w:rsid w:val="00CD4691"/>
    <w:rsid w:val="00CD4849"/>
    <w:rsid w:val="00CD4996"/>
    <w:rsid w:val="00CD4B39"/>
    <w:rsid w:val="00CD4BAF"/>
    <w:rsid w:val="00CD4BF6"/>
    <w:rsid w:val="00CD4DBB"/>
    <w:rsid w:val="00CD4EB1"/>
    <w:rsid w:val="00CD4F08"/>
    <w:rsid w:val="00CD4FD5"/>
    <w:rsid w:val="00CD5103"/>
    <w:rsid w:val="00CD510F"/>
    <w:rsid w:val="00CD5154"/>
    <w:rsid w:val="00CD51ED"/>
    <w:rsid w:val="00CD5243"/>
    <w:rsid w:val="00CD524F"/>
    <w:rsid w:val="00CD534F"/>
    <w:rsid w:val="00CD59E6"/>
    <w:rsid w:val="00CD5CAA"/>
    <w:rsid w:val="00CD5CDD"/>
    <w:rsid w:val="00CD5D6C"/>
    <w:rsid w:val="00CD5E03"/>
    <w:rsid w:val="00CD5E50"/>
    <w:rsid w:val="00CD5EAE"/>
    <w:rsid w:val="00CD5F5C"/>
    <w:rsid w:val="00CD60D3"/>
    <w:rsid w:val="00CD61A0"/>
    <w:rsid w:val="00CD61D2"/>
    <w:rsid w:val="00CD6383"/>
    <w:rsid w:val="00CD6433"/>
    <w:rsid w:val="00CD64C6"/>
    <w:rsid w:val="00CD654B"/>
    <w:rsid w:val="00CD65B4"/>
    <w:rsid w:val="00CD66B4"/>
    <w:rsid w:val="00CD6856"/>
    <w:rsid w:val="00CD69B6"/>
    <w:rsid w:val="00CD6AA0"/>
    <w:rsid w:val="00CD6BD4"/>
    <w:rsid w:val="00CD6C47"/>
    <w:rsid w:val="00CD6CF1"/>
    <w:rsid w:val="00CD6D3C"/>
    <w:rsid w:val="00CD6D8D"/>
    <w:rsid w:val="00CD6D9C"/>
    <w:rsid w:val="00CD6F33"/>
    <w:rsid w:val="00CD6FD9"/>
    <w:rsid w:val="00CD6FE4"/>
    <w:rsid w:val="00CD7109"/>
    <w:rsid w:val="00CD718A"/>
    <w:rsid w:val="00CD7421"/>
    <w:rsid w:val="00CD7521"/>
    <w:rsid w:val="00CD76CC"/>
    <w:rsid w:val="00CD76F6"/>
    <w:rsid w:val="00CD77F0"/>
    <w:rsid w:val="00CD7820"/>
    <w:rsid w:val="00CD78FE"/>
    <w:rsid w:val="00CD7966"/>
    <w:rsid w:val="00CD799F"/>
    <w:rsid w:val="00CD7A41"/>
    <w:rsid w:val="00CD7B6B"/>
    <w:rsid w:val="00CD7C60"/>
    <w:rsid w:val="00CD7CA3"/>
    <w:rsid w:val="00CD7D77"/>
    <w:rsid w:val="00CD7E6F"/>
    <w:rsid w:val="00CD7FF5"/>
    <w:rsid w:val="00CE0108"/>
    <w:rsid w:val="00CE041B"/>
    <w:rsid w:val="00CE0439"/>
    <w:rsid w:val="00CE04A8"/>
    <w:rsid w:val="00CE059B"/>
    <w:rsid w:val="00CE0682"/>
    <w:rsid w:val="00CE0696"/>
    <w:rsid w:val="00CE0769"/>
    <w:rsid w:val="00CE076B"/>
    <w:rsid w:val="00CE0899"/>
    <w:rsid w:val="00CE09C8"/>
    <w:rsid w:val="00CE0A4C"/>
    <w:rsid w:val="00CE0A50"/>
    <w:rsid w:val="00CE0AC3"/>
    <w:rsid w:val="00CE0ADA"/>
    <w:rsid w:val="00CE0B33"/>
    <w:rsid w:val="00CE0D9A"/>
    <w:rsid w:val="00CE0E76"/>
    <w:rsid w:val="00CE0E9F"/>
    <w:rsid w:val="00CE0F1F"/>
    <w:rsid w:val="00CE0F41"/>
    <w:rsid w:val="00CE0F90"/>
    <w:rsid w:val="00CE1141"/>
    <w:rsid w:val="00CE12DA"/>
    <w:rsid w:val="00CE1340"/>
    <w:rsid w:val="00CE1390"/>
    <w:rsid w:val="00CE13C0"/>
    <w:rsid w:val="00CE178B"/>
    <w:rsid w:val="00CE1C03"/>
    <w:rsid w:val="00CE1C6C"/>
    <w:rsid w:val="00CE1C99"/>
    <w:rsid w:val="00CE1CA3"/>
    <w:rsid w:val="00CE1CD3"/>
    <w:rsid w:val="00CE1D04"/>
    <w:rsid w:val="00CE1D90"/>
    <w:rsid w:val="00CE1DB5"/>
    <w:rsid w:val="00CE1ED5"/>
    <w:rsid w:val="00CE200A"/>
    <w:rsid w:val="00CE2035"/>
    <w:rsid w:val="00CE20B3"/>
    <w:rsid w:val="00CE21A7"/>
    <w:rsid w:val="00CE21D2"/>
    <w:rsid w:val="00CE223E"/>
    <w:rsid w:val="00CE2364"/>
    <w:rsid w:val="00CE2439"/>
    <w:rsid w:val="00CE2448"/>
    <w:rsid w:val="00CE25EA"/>
    <w:rsid w:val="00CE283A"/>
    <w:rsid w:val="00CE2906"/>
    <w:rsid w:val="00CE2A7F"/>
    <w:rsid w:val="00CE2AA5"/>
    <w:rsid w:val="00CE2BC1"/>
    <w:rsid w:val="00CE2D1C"/>
    <w:rsid w:val="00CE2ECE"/>
    <w:rsid w:val="00CE2F8D"/>
    <w:rsid w:val="00CE3022"/>
    <w:rsid w:val="00CE3063"/>
    <w:rsid w:val="00CE3279"/>
    <w:rsid w:val="00CE334E"/>
    <w:rsid w:val="00CE34DD"/>
    <w:rsid w:val="00CE35F6"/>
    <w:rsid w:val="00CE3620"/>
    <w:rsid w:val="00CE3639"/>
    <w:rsid w:val="00CE3772"/>
    <w:rsid w:val="00CE37CC"/>
    <w:rsid w:val="00CE384F"/>
    <w:rsid w:val="00CE3B5F"/>
    <w:rsid w:val="00CE3BEB"/>
    <w:rsid w:val="00CE3BF8"/>
    <w:rsid w:val="00CE3E84"/>
    <w:rsid w:val="00CE3F59"/>
    <w:rsid w:val="00CE4094"/>
    <w:rsid w:val="00CE4155"/>
    <w:rsid w:val="00CE43F9"/>
    <w:rsid w:val="00CE4442"/>
    <w:rsid w:val="00CE4459"/>
    <w:rsid w:val="00CE44B2"/>
    <w:rsid w:val="00CE451E"/>
    <w:rsid w:val="00CE4571"/>
    <w:rsid w:val="00CE45FA"/>
    <w:rsid w:val="00CE467C"/>
    <w:rsid w:val="00CE46A0"/>
    <w:rsid w:val="00CE46AE"/>
    <w:rsid w:val="00CE4711"/>
    <w:rsid w:val="00CE47BE"/>
    <w:rsid w:val="00CE4831"/>
    <w:rsid w:val="00CE4934"/>
    <w:rsid w:val="00CE4938"/>
    <w:rsid w:val="00CE4B56"/>
    <w:rsid w:val="00CE4B90"/>
    <w:rsid w:val="00CE4C0E"/>
    <w:rsid w:val="00CE4C5A"/>
    <w:rsid w:val="00CE4C5C"/>
    <w:rsid w:val="00CE4CE1"/>
    <w:rsid w:val="00CE4E98"/>
    <w:rsid w:val="00CE4F7A"/>
    <w:rsid w:val="00CE4FA8"/>
    <w:rsid w:val="00CE4FB7"/>
    <w:rsid w:val="00CE4FF6"/>
    <w:rsid w:val="00CE512A"/>
    <w:rsid w:val="00CE5288"/>
    <w:rsid w:val="00CE52EE"/>
    <w:rsid w:val="00CE530D"/>
    <w:rsid w:val="00CE57F6"/>
    <w:rsid w:val="00CE5836"/>
    <w:rsid w:val="00CE596A"/>
    <w:rsid w:val="00CE5ABB"/>
    <w:rsid w:val="00CE5AE6"/>
    <w:rsid w:val="00CE5B0C"/>
    <w:rsid w:val="00CE5DC5"/>
    <w:rsid w:val="00CE620A"/>
    <w:rsid w:val="00CE621E"/>
    <w:rsid w:val="00CE62BD"/>
    <w:rsid w:val="00CE642A"/>
    <w:rsid w:val="00CE6569"/>
    <w:rsid w:val="00CE6579"/>
    <w:rsid w:val="00CE6589"/>
    <w:rsid w:val="00CE6615"/>
    <w:rsid w:val="00CE6633"/>
    <w:rsid w:val="00CE666E"/>
    <w:rsid w:val="00CE684F"/>
    <w:rsid w:val="00CE6856"/>
    <w:rsid w:val="00CE6995"/>
    <w:rsid w:val="00CE69C6"/>
    <w:rsid w:val="00CE6A2C"/>
    <w:rsid w:val="00CE6CA5"/>
    <w:rsid w:val="00CE6D57"/>
    <w:rsid w:val="00CE6D8B"/>
    <w:rsid w:val="00CE6FE6"/>
    <w:rsid w:val="00CE6FEF"/>
    <w:rsid w:val="00CE7137"/>
    <w:rsid w:val="00CE7154"/>
    <w:rsid w:val="00CE722E"/>
    <w:rsid w:val="00CE7294"/>
    <w:rsid w:val="00CE73AF"/>
    <w:rsid w:val="00CE7585"/>
    <w:rsid w:val="00CE76D8"/>
    <w:rsid w:val="00CE7818"/>
    <w:rsid w:val="00CE7C20"/>
    <w:rsid w:val="00CE7C51"/>
    <w:rsid w:val="00CE7D6A"/>
    <w:rsid w:val="00CE7E4D"/>
    <w:rsid w:val="00CE7E9C"/>
    <w:rsid w:val="00CE7EF8"/>
    <w:rsid w:val="00CE7F02"/>
    <w:rsid w:val="00CE7F46"/>
    <w:rsid w:val="00CE7FA1"/>
    <w:rsid w:val="00CF00B9"/>
    <w:rsid w:val="00CF00F3"/>
    <w:rsid w:val="00CF011E"/>
    <w:rsid w:val="00CF0143"/>
    <w:rsid w:val="00CF0209"/>
    <w:rsid w:val="00CF026D"/>
    <w:rsid w:val="00CF0300"/>
    <w:rsid w:val="00CF0380"/>
    <w:rsid w:val="00CF053E"/>
    <w:rsid w:val="00CF073F"/>
    <w:rsid w:val="00CF076B"/>
    <w:rsid w:val="00CF076E"/>
    <w:rsid w:val="00CF0777"/>
    <w:rsid w:val="00CF07AD"/>
    <w:rsid w:val="00CF0810"/>
    <w:rsid w:val="00CF0928"/>
    <w:rsid w:val="00CF0944"/>
    <w:rsid w:val="00CF09A9"/>
    <w:rsid w:val="00CF0B19"/>
    <w:rsid w:val="00CF0B65"/>
    <w:rsid w:val="00CF0FA3"/>
    <w:rsid w:val="00CF0FCF"/>
    <w:rsid w:val="00CF11D8"/>
    <w:rsid w:val="00CF1232"/>
    <w:rsid w:val="00CF130C"/>
    <w:rsid w:val="00CF1356"/>
    <w:rsid w:val="00CF14A8"/>
    <w:rsid w:val="00CF14B9"/>
    <w:rsid w:val="00CF14C2"/>
    <w:rsid w:val="00CF15AE"/>
    <w:rsid w:val="00CF161C"/>
    <w:rsid w:val="00CF1880"/>
    <w:rsid w:val="00CF192F"/>
    <w:rsid w:val="00CF1968"/>
    <w:rsid w:val="00CF198D"/>
    <w:rsid w:val="00CF1A7F"/>
    <w:rsid w:val="00CF1AB7"/>
    <w:rsid w:val="00CF1C5C"/>
    <w:rsid w:val="00CF1C66"/>
    <w:rsid w:val="00CF1DF2"/>
    <w:rsid w:val="00CF2062"/>
    <w:rsid w:val="00CF23AA"/>
    <w:rsid w:val="00CF23FA"/>
    <w:rsid w:val="00CF24F8"/>
    <w:rsid w:val="00CF2517"/>
    <w:rsid w:val="00CF269E"/>
    <w:rsid w:val="00CF278E"/>
    <w:rsid w:val="00CF27A5"/>
    <w:rsid w:val="00CF2807"/>
    <w:rsid w:val="00CF2AA9"/>
    <w:rsid w:val="00CF2CF5"/>
    <w:rsid w:val="00CF2DF9"/>
    <w:rsid w:val="00CF2E0F"/>
    <w:rsid w:val="00CF2E3B"/>
    <w:rsid w:val="00CF2E44"/>
    <w:rsid w:val="00CF2E50"/>
    <w:rsid w:val="00CF2F84"/>
    <w:rsid w:val="00CF2F9F"/>
    <w:rsid w:val="00CF2FEA"/>
    <w:rsid w:val="00CF301F"/>
    <w:rsid w:val="00CF315D"/>
    <w:rsid w:val="00CF322A"/>
    <w:rsid w:val="00CF32D4"/>
    <w:rsid w:val="00CF330D"/>
    <w:rsid w:val="00CF336B"/>
    <w:rsid w:val="00CF357A"/>
    <w:rsid w:val="00CF35B4"/>
    <w:rsid w:val="00CF35E6"/>
    <w:rsid w:val="00CF373C"/>
    <w:rsid w:val="00CF37FE"/>
    <w:rsid w:val="00CF383C"/>
    <w:rsid w:val="00CF3894"/>
    <w:rsid w:val="00CF3964"/>
    <w:rsid w:val="00CF39A7"/>
    <w:rsid w:val="00CF3A22"/>
    <w:rsid w:val="00CF3CF7"/>
    <w:rsid w:val="00CF3E7B"/>
    <w:rsid w:val="00CF3E7E"/>
    <w:rsid w:val="00CF3EBF"/>
    <w:rsid w:val="00CF3F3F"/>
    <w:rsid w:val="00CF3F63"/>
    <w:rsid w:val="00CF3F81"/>
    <w:rsid w:val="00CF4169"/>
    <w:rsid w:val="00CF41EC"/>
    <w:rsid w:val="00CF431D"/>
    <w:rsid w:val="00CF436E"/>
    <w:rsid w:val="00CF4399"/>
    <w:rsid w:val="00CF43F3"/>
    <w:rsid w:val="00CF4441"/>
    <w:rsid w:val="00CF4574"/>
    <w:rsid w:val="00CF49D1"/>
    <w:rsid w:val="00CF49D5"/>
    <w:rsid w:val="00CF4B39"/>
    <w:rsid w:val="00CF4BD8"/>
    <w:rsid w:val="00CF4BE7"/>
    <w:rsid w:val="00CF4C78"/>
    <w:rsid w:val="00CF4D54"/>
    <w:rsid w:val="00CF4E59"/>
    <w:rsid w:val="00CF4E8C"/>
    <w:rsid w:val="00CF5075"/>
    <w:rsid w:val="00CF5098"/>
    <w:rsid w:val="00CF50A6"/>
    <w:rsid w:val="00CF51B3"/>
    <w:rsid w:val="00CF5214"/>
    <w:rsid w:val="00CF5398"/>
    <w:rsid w:val="00CF53D0"/>
    <w:rsid w:val="00CF57ED"/>
    <w:rsid w:val="00CF5825"/>
    <w:rsid w:val="00CF584F"/>
    <w:rsid w:val="00CF5860"/>
    <w:rsid w:val="00CF60DF"/>
    <w:rsid w:val="00CF6305"/>
    <w:rsid w:val="00CF632B"/>
    <w:rsid w:val="00CF632C"/>
    <w:rsid w:val="00CF6473"/>
    <w:rsid w:val="00CF65B5"/>
    <w:rsid w:val="00CF66BD"/>
    <w:rsid w:val="00CF6985"/>
    <w:rsid w:val="00CF6A99"/>
    <w:rsid w:val="00CF6B1F"/>
    <w:rsid w:val="00CF6C06"/>
    <w:rsid w:val="00CF6C13"/>
    <w:rsid w:val="00CF6C1E"/>
    <w:rsid w:val="00CF6D2A"/>
    <w:rsid w:val="00CF6D74"/>
    <w:rsid w:val="00CF6DD4"/>
    <w:rsid w:val="00CF6DE3"/>
    <w:rsid w:val="00CF6E5C"/>
    <w:rsid w:val="00CF6F2D"/>
    <w:rsid w:val="00CF7034"/>
    <w:rsid w:val="00CF7160"/>
    <w:rsid w:val="00CF71A8"/>
    <w:rsid w:val="00CF71CA"/>
    <w:rsid w:val="00CF72C6"/>
    <w:rsid w:val="00CF7377"/>
    <w:rsid w:val="00CF73CA"/>
    <w:rsid w:val="00CF73CF"/>
    <w:rsid w:val="00CF7577"/>
    <w:rsid w:val="00CF75BF"/>
    <w:rsid w:val="00CF75EE"/>
    <w:rsid w:val="00CF7606"/>
    <w:rsid w:val="00CF76FB"/>
    <w:rsid w:val="00CF77C9"/>
    <w:rsid w:val="00CF77CE"/>
    <w:rsid w:val="00CF7826"/>
    <w:rsid w:val="00CF78CF"/>
    <w:rsid w:val="00CF7963"/>
    <w:rsid w:val="00CF7A1E"/>
    <w:rsid w:val="00CF7A69"/>
    <w:rsid w:val="00CF7B48"/>
    <w:rsid w:val="00CF7BAE"/>
    <w:rsid w:val="00CF7CE6"/>
    <w:rsid w:val="00CF7E72"/>
    <w:rsid w:val="00CF7F4F"/>
    <w:rsid w:val="00D001C3"/>
    <w:rsid w:val="00D001D5"/>
    <w:rsid w:val="00D00266"/>
    <w:rsid w:val="00D0032E"/>
    <w:rsid w:val="00D00397"/>
    <w:rsid w:val="00D00629"/>
    <w:rsid w:val="00D006A8"/>
    <w:rsid w:val="00D0093B"/>
    <w:rsid w:val="00D00B04"/>
    <w:rsid w:val="00D00B32"/>
    <w:rsid w:val="00D00C2B"/>
    <w:rsid w:val="00D00DA7"/>
    <w:rsid w:val="00D00DF3"/>
    <w:rsid w:val="00D00E33"/>
    <w:rsid w:val="00D00EBB"/>
    <w:rsid w:val="00D00F4F"/>
    <w:rsid w:val="00D010B8"/>
    <w:rsid w:val="00D010C2"/>
    <w:rsid w:val="00D011B5"/>
    <w:rsid w:val="00D0146E"/>
    <w:rsid w:val="00D01482"/>
    <w:rsid w:val="00D01692"/>
    <w:rsid w:val="00D0171A"/>
    <w:rsid w:val="00D017E0"/>
    <w:rsid w:val="00D0191D"/>
    <w:rsid w:val="00D01AA5"/>
    <w:rsid w:val="00D01D39"/>
    <w:rsid w:val="00D01D5E"/>
    <w:rsid w:val="00D01DED"/>
    <w:rsid w:val="00D01E82"/>
    <w:rsid w:val="00D01FD1"/>
    <w:rsid w:val="00D02248"/>
    <w:rsid w:val="00D022C7"/>
    <w:rsid w:val="00D023D6"/>
    <w:rsid w:val="00D02412"/>
    <w:rsid w:val="00D0256E"/>
    <w:rsid w:val="00D0257A"/>
    <w:rsid w:val="00D025EA"/>
    <w:rsid w:val="00D026EF"/>
    <w:rsid w:val="00D02AC2"/>
    <w:rsid w:val="00D02D68"/>
    <w:rsid w:val="00D02E32"/>
    <w:rsid w:val="00D03031"/>
    <w:rsid w:val="00D03038"/>
    <w:rsid w:val="00D031C7"/>
    <w:rsid w:val="00D03342"/>
    <w:rsid w:val="00D0336D"/>
    <w:rsid w:val="00D034ED"/>
    <w:rsid w:val="00D0355F"/>
    <w:rsid w:val="00D03696"/>
    <w:rsid w:val="00D038E1"/>
    <w:rsid w:val="00D03943"/>
    <w:rsid w:val="00D03B18"/>
    <w:rsid w:val="00D03C78"/>
    <w:rsid w:val="00D03D2C"/>
    <w:rsid w:val="00D03E93"/>
    <w:rsid w:val="00D03EB4"/>
    <w:rsid w:val="00D03F2A"/>
    <w:rsid w:val="00D03FE0"/>
    <w:rsid w:val="00D04043"/>
    <w:rsid w:val="00D04553"/>
    <w:rsid w:val="00D046D1"/>
    <w:rsid w:val="00D04859"/>
    <w:rsid w:val="00D04C30"/>
    <w:rsid w:val="00D04C79"/>
    <w:rsid w:val="00D04C7D"/>
    <w:rsid w:val="00D04E1D"/>
    <w:rsid w:val="00D04E6B"/>
    <w:rsid w:val="00D05198"/>
    <w:rsid w:val="00D05354"/>
    <w:rsid w:val="00D053FB"/>
    <w:rsid w:val="00D05496"/>
    <w:rsid w:val="00D0582C"/>
    <w:rsid w:val="00D05834"/>
    <w:rsid w:val="00D0583D"/>
    <w:rsid w:val="00D05AA2"/>
    <w:rsid w:val="00D05AF7"/>
    <w:rsid w:val="00D05C22"/>
    <w:rsid w:val="00D05C6C"/>
    <w:rsid w:val="00D05C7E"/>
    <w:rsid w:val="00D05CEB"/>
    <w:rsid w:val="00D05D03"/>
    <w:rsid w:val="00D05D66"/>
    <w:rsid w:val="00D05EFA"/>
    <w:rsid w:val="00D05F17"/>
    <w:rsid w:val="00D05F1E"/>
    <w:rsid w:val="00D05F38"/>
    <w:rsid w:val="00D05F61"/>
    <w:rsid w:val="00D05F88"/>
    <w:rsid w:val="00D06406"/>
    <w:rsid w:val="00D06497"/>
    <w:rsid w:val="00D064ED"/>
    <w:rsid w:val="00D065EE"/>
    <w:rsid w:val="00D066BB"/>
    <w:rsid w:val="00D067E6"/>
    <w:rsid w:val="00D0680C"/>
    <w:rsid w:val="00D0685A"/>
    <w:rsid w:val="00D0689E"/>
    <w:rsid w:val="00D068A1"/>
    <w:rsid w:val="00D0694B"/>
    <w:rsid w:val="00D06AA6"/>
    <w:rsid w:val="00D06AB4"/>
    <w:rsid w:val="00D06AE3"/>
    <w:rsid w:val="00D06B53"/>
    <w:rsid w:val="00D06B5E"/>
    <w:rsid w:val="00D06B9F"/>
    <w:rsid w:val="00D06BDC"/>
    <w:rsid w:val="00D06C16"/>
    <w:rsid w:val="00D06D96"/>
    <w:rsid w:val="00D06DF2"/>
    <w:rsid w:val="00D06E0A"/>
    <w:rsid w:val="00D06F44"/>
    <w:rsid w:val="00D06F51"/>
    <w:rsid w:val="00D0723D"/>
    <w:rsid w:val="00D072B6"/>
    <w:rsid w:val="00D073CD"/>
    <w:rsid w:val="00D073D1"/>
    <w:rsid w:val="00D0740B"/>
    <w:rsid w:val="00D0757D"/>
    <w:rsid w:val="00D077FA"/>
    <w:rsid w:val="00D0797D"/>
    <w:rsid w:val="00D07AFC"/>
    <w:rsid w:val="00D07C89"/>
    <w:rsid w:val="00D07CAD"/>
    <w:rsid w:val="00D07D08"/>
    <w:rsid w:val="00D07D16"/>
    <w:rsid w:val="00D07D8A"/>
    <w:rsid w:val="00D10070"/>
    <w:rsid w:val="00D10141"/>
    <w:rsid w:val="00D10258"/>
    <w:rsid w:val="00D10423"/>
    <w:rsid w:val="00D10514"/>
    <w:rsid w:val="00D10551"/>
    <w:rsid w:val="00D10618"/>
    <w:rsid w:val="00D106C6"/>
    <w:rsid w:val="00D10782"/>
    <w:rsid w:val="00D10797"/>
    <w:rsid w:val="00D10911"/>
    <w:rsid w:val="00D109A2"/>
    <w:rsid w:val="00D10ABA"/>
    <w:rsid w:val="00D10ABD"/>
    <w:rsid w:val="00D10B1F"/>
    <w:rsid w:val="00D10C10"/>
    <w:rsid w:val="00D10EAA"/>
    <w:rsid w:val="00D10EBE"/>
    <w:rsid w:val="00D10F7D"/>
    <w:rsid w:val="00D11125"/>
    <w:rsid w:val="00D11154"/>
    <w:rsid w:val="00D111A1"/>
    <w:rsid w:val="00D1123D"/>
    <w:rsid w:val="00D11245"/>
    <w:rsid w:val="00D112AC"/>
    <w:rsid w:val="00D1141A"/>
    <w:rsid w:val="00D1158E"/>
    <w:rsid w:val="00D1161A"/>
    <w:rsid w:val="00D1162D"/>
    <w:rsid w:val="00D1165F"/>
    <w:rsid w:val="00D118F0"/>
    <w:rsid w:val="00D118F6"/>
    <w:rsid w:val="00D11922"/>
    <w:rsid w:val="00D11A07"/>
    <w:rsid w:val="00D11B06"/>
    <w:rsid w:val="00D11C09"/>
    <w:rsid w:val="00D11E39"/>
    <w:rsid w:val="00D11E3D"/>
    <w:rsid w:val="00D11FE2"/>
    <w:rsid w:val="00D120C7"/>
    <w:rsid w:val="00D12208"/>
    <w:rsid w:val="00D1234C"/>
    <w:rsid w:val="00D123DB"/>
    <w:rsid w:val="00D124B8"/>
    <w:rsid w:val="00D1252A"/>
    <w:rsid w:val="00D1253F"/>
    <w:rsid w:val="00D128BB"/>
    <w:rsid w:val="00D12959"/>
    <w:rsid w:val="00D12989"/>
    <w:rsid w:val="00D12A71"/>
    <w:rsid w:val="00D12D26"/>
    <w:rsid w:val="00D12D9C"/>
    <w:rsid w:val="00D12E6B"/>
    <w:rsid w:val="00D12FA6"/>
    <w:rsid w:val="00D12FC6"/>
    <w:rsid w:val="00D12FD2"/>
    <w:rsid w:val="00D13215"/>
    <w:rsid w:val="00D1322C"/>
    <w:rsid w:val="00D137CE"/>
    <w:rsid w:val="00D1385A"/>
    <w:rsid w:val="00D13931"/>
    <w:rsid w:val="00D139A8"/>
    <w:rsid w:val="00D13C5D"/>
    <w:rsid w:val="00D13D5E"/>
    <w:rsid w:val="00D13DF4"/>
    <w:rsid w:val="00D13E66"/>
    <w:rsid w:val="00D1400E"/>
    <w:rsid w:val="00D140DC"/>
    <w:rsid w:val="00D14171"/>
    <w:rsid w:val="00D141D6"/>
    <w:rsid w:val="00D1432E"/>
    <w:rsid w:val="00D1453A"/>
    <w:rsid w:val="00D145F5"/>
    <w:rsid w:val="00D14862"/>
    <w:rsid w:val="00D148A0"/>
    <w:rsid w:val="00D148F6"/>
    <w:rsid w:val="00D148F7"/>
    <w:rsid w:val="00D14AE7"/>
    <w:rsid w:val="00D14C18"/>
    <w:rsid w:val="00D14C6F"/>
    <w:rsid w:val="00D14CB4"/>
    <w:rsid w:val="00D14CCA"/>
    <w:rsid w:val="00D14D5A"/>
    <w:rsid w:val="00D14DB8"/>
    <w:rsid w:val="00D14FDF"/>
    <w:rsid w:val="00D14FEA"/>
    <w:rsid w:val="00D15000"/>
    <w:rsid w:val="00D15039"/>
    <w:rsid w:val="00D151EC"/>
    <w:rsid w:val="00D15311"/>
    <w:rsid w:val="00D155FF"/>
    <w:rsid w:val="00D15660"/>
    <w:rsid w:val="00D156B2"/>
    <w:rsid w:val="00D1582A"/>
    <w:rsid w:val="00D158A8"/>
    <w:rsid w:val="00D158B2"/>
    <w:rsid w:val="00D15936"/>
    <w:rsid w:val="00D1596C"/>
    <w:rsid w:val="00D15981"/>
    <w:rsid w:val="00D15AFE"/>
    <w:rsid w:val="00D15B3D"/>
    <w:rsid w:val="00D15EA9"/>
    <w:rsid w:val="00D15FFB"/>
    <w:rsid w:val="00D16116"/>
    <w:rsid w:val="00D16137"/>
    <w:rsid w:val="00D16347"/>
    <w:rsid w:val="00D163DB"/>
    <w:rsid w:val="00D163E6"/>
    <w:rsid w:val="00D166FF"/>
    <w:rsid w:val="00D16713"/>
    <w:rsid w:val="00D16765"/>
    <w:rsid w:val="00D1686C"/>
    <w:rsid w:val="00D16871"/>
    <w:rsid w:val="00D168AE"/>
    <w:rsid w:val="00D169AB"/>
    <w:rsid w:val="00D16A25"/>
    <w:rsid w:val="00D16AD1"/>
    <w:rsid w:val="00D16B37"/>
    <w:rsid w:val="00D16B8C"/>
    <w:rsid w:val="00D16CC5"/>
    <w:rsid w:val="00D16D1B"/>
    <w:rsid w:val="00D16E4A"/>
    <w:rsid w:val="00D16EBB"/>
    <w:rsid w:val="00D16F51"/>
    <w:rsid w:val="00D16FA2"/>
    <w:rsid w:val="00D16FAD"/>
    <w:rsid w:val="00D171DD"/>
    <w:rsid w:val="00D17338"/>
    <w:rsid w:val="00D17346"/>
    <w:rsid w:val="00D1738C"/>
    <w:rsid w:val="00D174C3"/>
    <w:rsid w:val="00D175DF"/>
    <w:rsid w:val="00D175E8"/>
    <w:rsid w:val="00D17778"/>
    <w:rsid w:val="00D177C0"/>
    <w:rsid w:val="00D17899"/>
    <w:rsid w:val="00D178A2"/>
    <w:rsid w:val="00D17966"/>
    <w:rsid w:val="00D17A9D"/>
    <w:rsid w:val="00D17AB6"/>
    <w:rsid w:val="00D17B33"/>
    <w:rsid w:val="00D17B68"/>
    <w:rsid w:val="00D17BC1"/>
    <w:rsid w:val="00D17BD0"/>
    <w:rsid w:val="00D17BD9"/>
    <w:rsid w:val="00D17EB9"/>
    <w:rsid w:val="00D17FE1"/>
    <w:rsid w:val="00D20065"/>
    <w:rsid w:val="00D200FF"/>
    <w:rsid w:val="00D201EE"/>
    <w:rsid w:val="00D2020A"/>
    <w:rsid w:val="00D2024F"/>
    <w:rsid w:val="00D20297"/>
    <w:rsid w:val="00D2039F"/>
    <w:rsid w:val="00D203BD"/>
    <w:rsid w:val="00D2052A"/>
    <w:rsid w:val="00D20742"/>
    <w:rsid w:val="00D20866"/>
    <w:rsid w:val="00D20B10"/>
    <w:rsid w:val="00D20C47"/>
    <w:rsid w:val="00D20F1A"/>
    <w:rsid w:val="00D20FE8"/>
    <w:rsid w:val="00D2107B"/>
    <w:rsid w:val="00D2121A"/>
    <w:rsid w:val="00D212AE"/>
    <w:rsid w:val="00D21436"/>
    <w:rsid w:val="00D214E7"/>
    <w:rsid w:val="00D21504"/>
    <w:rsid w:val="00D215BD"/>
    <w:rsid w:val="00D21784"/>
    <w:rsid w:val="00D21858"/>
    <w:rsid w:val="00D219DF"/>
    <w:rsid w:val="00D21A9D"/>
    <w:rsid w:val="00D21B78"/>
    <w:rsid w:val="00D21BCB"/>
    <w:rsid w:val="00D21C18"/>
    <w:rsid w:val="00D21C23"/>
    <w:rsid w:val="00D21D7E"/>
    <w:rsid w:val="00D21DD1"/>
    <w:rsid w:val="00D21EB1"/>
    <w:rsid w:val="00D21EC5"/>
    <w:rsid w:val="00D22004"/>
    <w:rsid w:val="00D2241B"/>
    <w:rsid w:val="00D224E2"/>
    <w:rsid w:val="00D2260E"/>
    <w:rsid w:val="00D227D6"/>
    <w:rsid w:val="00D22AF3"/>
    <w:rsid w:val="00D22C02"/>
    <w:rsid w:val="00D22CC3"/>
    <w:rsid w:val="00D22D34"/>
    <w:rsid w:val="00D22D49"/>
    <w:rsid w:val="00D22D6C"/>
    <w:rsid w:val="00D22DAC"/>
    <w:rsid w:val="00D2302E"/>
    <w:rsid w:val="00D230C9"/>
    <w:rsid w:val="00D23190"/>
    <w:rsid w:val="00D2325F"/>
    <w:rsid w:val="00D23420"/>
    <w:rsid w:val="00D234A1"/>
    <w:rsid w:val="00D2358A"/>
    <w:rsid w:val="00D2361B"/>
    <w:rsid w:val="00D23726"/>
    <w:rsid w:val="00D2392A"/>
    <w:rsid w:val="00D239D1"/>
    <w:rsid w:val="00D239F3"/>
    <w:rsid w:val="00D23ADF"/>
    <w:rsid w:val="00D23B04"/>
    <w:rsid w:val="00D23B3F"/>
    <w:rsid w:val="00D23CAE"/>
    <w:rsid w:val="00D23DCC"/>
    <w:rsid w:val="00D23FFF"/>
    <w:rsid w:val="00D2444E"/>
    <w:rsid w:val="00D244B0"/>
    <w:rsid w:val="00D244ED"/>
    <w:rsid w:val="00D2459B"/>
    <w:rsid w:val="00D24600"/>
    <w:rsid w:val="00D2465B"/>
    <w:rsid w:val="00D246F0"/>
    <w:rsid w:val="00D24712"/>
    <w:rsid w:val="00D2471F"/>
    <w:rsid w:val="00D24755"/>
    <w:rsid w:val="00D2475B"/>
    <w:rsid w:val="00D2493E"/>
    <w:rsid w:val="00D24A79"/>
    <w:rsid w:val="00D24B4D"/>
    <w:rsid w:val="00D24B7E"/>
    <w:rsid w:val="00D24BC3"/>
    <w:rsid w:val="00D24BEC"/>
    <w:rsid w:val="00D24DF5"/>
    <w:rsid w:val="00D24EE2"/>
    <w:rsid w:val="00D25058"/>
    <w:rsid w:val="00D25224"/>
    <w:rsid w:val="00D25286"/>
    <w:rsid w:val="00D2536C"/>
    <w:rsid w:val="00D25390"/>
    <w:rsid w:val="00D25572"/>
    <w:rsid w:val="00D255CF"/>
    <w:rsid w:val="00D256EB"/>
    <w:rsid w:val="00D256F2"/>
    <w:rsid w:val="00D25A7D"/>
    <w:rsid w:val="00D25AFF"/>
    <w:rsid w:val="00D25B64"/>
    <w:rsid w:val="00D25B75"/>
    <w:rsid w:val="00D25B94"/>
    <w:rsid w:val="00D25D23"/>
    <w:rsid w:val="00D25EBC"/>
    <w:rsid w:val="00D25EBE"/>
    <w:rsid w:val="00D25FCA"/>
    <w:rsid w:val="00D260FD"/>
    <w:rsid w:val="00D26166"/>
    <w:rsid w:val="00D264A0"/>
    <w:rsid w:val="00D265AE"/>
    <w:rsid w:val="00D2692D"/>
    <w:rsid w:val="00D269B4"/>
    <w:rsid w:val="00D26A17"/>
    <w:rsid w:val="00D26BDE"/>
    <w:rsid w:val="00D26BF5"/>
    <w:rsid w:val="00D26D38"/>
    <w:rsid w:val="00D26E24"/>
    <w:rsid w:val="00D26FB1"/>
    <w:rsid w:val="00D2712C"/>
    <w:rsid w:val="00D2727D"/>
    <w:rsid w:val="00D272E7"/>
    <w:rsid w:val="00D27320"/>
    <w:rsid w:val="00D2747B"/>
    <w:rsid w:val="00D277BF"/>
    <w:rsid w:val="00D27C69"/>
    <w:rsid w:val="00D27D1E"/>
    <w:rsid w:val="00D27D6B"/>
    <w:rsid w:val="00D27EB8"/>
    <w:rsid w:val="00D27F15"/>
    <w:rsid w:val="00D27F44"/>
    <w:rsid w:val="00D27FEB"/>
    <w:rsid w:val="00D30556"/>
    <w:rsid w:val="00D30628"/>
    <w:rsid w:val="00D3079D"/>
    <w:rsid w:val="00D309C6"/>
    <w:rsid w:val="00D30AB2"/>
    <w:rsid w:val="00D30B05"/>
    <w:rsid w:val="00D30B36"/>
    <w:rsid w:val="00D30BC6"/>
    <w:rsid w:val="00D30C04"/>
    <w:rsid w:val="00D30C85"/>
    <w:rsid w:val="00D31203"/>
    <w:rsid w:val="00D31300"/>
    <w:rsid w:val="00D31435"/>
    <w:rsid w:val="00D31464"/>
    <w:rsid w:val="00D3167F"/>
    <w:rsid w:val="00D31858"/>
    <w:rsid w:val="00D3190A"/>
    <w:rsid w:val="00D31A53"/>
    <w:rsid w:val="00D31AF9"/>
    <w:rsid w:val="00D31CA3"/>
    <w:rsid w:val="00D31D4E"/>
    <w:rsid w:val="00D31DD8"/>
    <w:rsid w:val="00D31DED"/>
    <w:rsid w:val="00D31F2D"/>
    <w:rsid w:val="00D32076"/>
    <w:rsid w:val="00D3207E"/>
    <w:rsid w:val="00D32193"/>
    <w:rsid w:val="00D3220E"/>
    <w:rsid w:val="00D32534"/>
    <w:rsid w:val="00D32553"/>
    <w:rsid w:val="00D325D3"/>
    <w:rsid w:val="00D32620"/>
    <w:rsid w:val="00D3269E"/>
    <w:rsid w:val="00D3274B"/>
    <w:rsid w:val="00D327CA"/>
    <w:rsid w:val="00D327F6"/>
    <w:rsid w:val="00D3293C"/>
    <w:rsid w:val="00D32A8E"/>
    <w:rsid w:val="00D32A92"/>
    <w:rsid w:val="00D32AE6"/>
    <w:rsid w:val="00D32B1B"/>
    <w:rsid w:val="00D32BB8"/>
    <w:rsid w:val="00D3313B"/>
    <w:rsid w:val="00D33143"/>
    <w:rsid w:val="00D33287"/>
    <w:rsid w:val="00D3328B"/>
    <w:rsid w:val="00D332C4"/>
    <w:rsid w:val="00D3331F"/>
    <w:rsid w:val="00D3332D"/>
    <w:rsid w:val="00D333E9"/>
    <w:rsid w:val="00D333EF"/>
    <w:rsid w:val="00D33419"/>
    <w:rsid w:val="00D33436"/>
    <w:rsid w:val="00D33462"/>
    <w:rsid w:val="00D336A4"/>
    <w:rsid w:val="00D336FD"/>
    <w:rsid w:val="00D33737"/>
    <w:rsid w:val="00D33826"/>
    <w:rsid w:val="00D33A13"/>
    <w:rsid w:val="00D33AE7"/>
    <w:rsid w:val="00D33BDC"/>
    <w:rsid w:val="00D33C79"/>
    <w:rsid w:val="00D33D2D"/>
    <w:rsid w:val="00D33D30"/>
    <w:rsid w:val="00D33D67"/>
    <w:rsid w:val="00D33DFC"/>
    <w:rsid w:val="00D33E03"/>
    <w:rsid w:val="00D33EC5"/>
    <w:rsid w:val="00D33F09"/>
    <w:rsid w:val="00D3403F"/>
    <w:rsid w:val="00D34115"/>
    <w:rsid w:val="00D34124"/>
    <w:rsid w:val="00D341BD"/>
    <w:rsid w:val="00D343B0"/>
    <w:rsid w:val="00D345E7"/>
    <w:rsid w:val="00D34636"/>
    <w:rsid w:val="00D346DA"/>
    <w:rsid w:val="00D34772"/>
    <w:rsid w:val="00D347B7"/>
    <w:rsid w:val="00D348D8"/>
    <w:rsid w:val="00D348E5"/>
    <w:rsid w:val="00D34915"/>
    <w:rsid w:val="00D3495F"/>
    <w:rsid w:val="00D349EE"/>
    <w:rsid w:val="00D34AB4"/>
    <w:rsid w:val="00D34C44"/>
    <w:rsid w:val="00D34CCF"/>
    <w:rsid w:val="00D34D79"/>
    <w:rsid w:val="00D34DA0"/>
    <w:rsid w:val="00D34ECD"/>
    <w:rsid w:val="00D34F4F"/>
    <w:rsid w:val="00D35075"/>
    <w:rsid w:val="00D351B2"/>
    <w:rsid w:val="00D3524E"/>
    <w:rsid w:val="00D355F0"/>
    <w:rsid w:val="00D35664"/>
    <w:rsid w:val="00D35787"/>
    <w:rsid w:val="00D357C0"/>
    <w:rsid w:val="00D3582B"/>
    <w:rsid w:val="00D3591B"/>
    <w:rsid w:val="00D359BD"/>
    <w:rsid w:val="00D35A56"/>
    <w:rsid w:val="00D35C60"/>
    <w:rsid w:val="00D35C68"/>
    <w:rsid w:val="00D35D99"/>
    <w:rsid w:val="00D35FBA"/>
    <w:rsid w:val="00D36169"/>
    <w:rsid w:val="00D3617A"/>
    <w:rsid w:val="00D361CC"/>
    <w:rsid w:val="00D36355"/>
    <w:rsid w:val="00D364FC"/>
    <w:rsid w:val="00D36571"/>
    <w:rsid w:val="00D3670C"/>
    <w:rsid w:val="00D36AC6"/>
    <w:rsid w:val="00D36C15"/>
    <w:rsid w:val="00D36EBF"/>
    <w:rsid w:val="00D370B7"/>
    <w:rsid w:val="00D3717F"/>
    <w:rsid w:val="00D37221"/>
    <w:rsid w:val="00D37457"/>
    <w:rsid w:val="00D374FC"/>
    <w:rsid w:val="00D37575"/>
    <w:rsid w:val="00D3757C"/>
    <w:rsid w:val="00D3759F"/>
    <w:rsid w:val="00D3761B"/>
    <w:rsid w:val="00D37792"/>
    <w:rsid w:val="00D37803"/>
    <w:rsid w:val="00D3798B"/>
    <w:rsid w:val="00D379E1"/>
    <w:rsid w:val="00D37C85"/>
    <w:rsid w:val="00D37CC5"/>
    <w:rsid w:val="00D37F25"/>
    <w:rsid w:val="00D4005A"/>
    <w:rsid w:val="00D40097"/>
    <w:rsid w:val="00D400CC"/>
    <w:rsid w:val="00D401AD"/>
    <w:rsid w:val="00D40298"/>
    <w:rsid w:val="00D402CC"/>
    <w:rsid w:val="00D40346"/>
    <w:rsid w:val="00D40373"/>
    <w:rsid w:val="00D40444"/>
    <w:rsid w:val="00D405E6"/>
    <w:rsid w:val="00D40632"/>
    <w:rsid w:val="00D407CD"/>
    <w:rsid w:val="00D407E9"/>
    <w:rsid w:val="00D408FE"/>
    <w:rsid w:val="00D409D9"/>
    <w:rsid w:val="00D40B35"/>
    <w:rsid w:val="00D40B4E"/>
    <w:rsid w:val="00D40C63"/>
    <w:rsid w:val="00D40DA7"/>
    <w:rsid w:val="00D40DE1"/>
    <w:rsid w:val="00D40EFC"/>
    <w:rsid w:val="00D40FFE"/>
    <w:rsid w:val="00D4113F"/>
    <w:rsid w:val="00D411D3"/>
    <w:rsid w:val="00D4123E"/>
    <w:rsid w:val="00D41346"/>
    <w:rsid w:val="00D4136A"/>
    <w:rsid w:val="00D413E4"/>
    <w:rsid w:val="00D41438"/>
    <w:rsid w:val="00D4143A"/>
    <w:rsid w:val="00D41467"/>
    <w:rsid w:val="00D41541"/>
    <w:rsid w:val="00D41779"/>
    <w:rsid w:val="00D41835"/>
    <w:rsid w:val="00D41883"/>
    <w:rsid w:val="00D418BA"/>
    <w:rsid w:val="00D41B8A"/>
    <w:rsid w:val="00D41C31"/>
    <w:rsid w:val="00D41D51"/>
    <w:rsid w:val="00D41DE6"/>
    <w:rsid w:val="00D41EBD"/>
    <w:rsid w:val="00D41F08"/>
    <w:rsid w:val="00D41F0D"/>
    <w:rsid w:val="00D41F12"/>
    <w:rsid w:val="00D41F44"/>
    <w:rsid w:val="00D41F78"/>
    <w:rsid w:val="00D41FAD"/>
    <w:rsid w:val="00D41FD8"/>
    <w:rsid w:val="00D41FF3"/>
    <w:rsid w:val="00D4222E"/>
    <w:rsid w:val="00D4223D"/>
    <w:rsid w:val="00D4227D"/>
    <w:rsid w:val="00D423DF"/>
    <w:rsid w:val="00D4245C"/>
    <w:rsid w:val="00D42897"/>
    <w:rsid w:val="00D428CD"/>
    <w:rsid w:val="00D42A0F"/>
    <w:rsid w:val="00D42C71"/>
    <w:rsid w:val="00D42E13"/>
    <w:rsid w:val="00D42F85"/>
    <w:rsid w:val="00D42FAF"/>
    <w:rsid w:val="00D42FE4"/>
    <w:rsid w:val="00D431FD"/>
    <w:rsid w:val="00D432FC"/>
    <w:rsid w:val="00D433D1"/>
    <w:rsid w:val="00D43579"/>
    <w:rsid w:val="00D43676"/>
    <w:rsid w:val="00D436F9"/>
    <w:rsid w:val="00D437C8"/>
    <w:rsid w:val="00D439AF"/>
    <w:rsid w:val="00D43AA2"/>
    <w:rsid w:val="00D43B28"/>
    <w:rsid w:val="00D43C10"/>
    <w:rsid w:val="00D43D5A"/>
    <w:rsid w:val="00D43DFD"/>
    <w:rsid w:val="00D43E08"/>
    <w:rsid w:val="00D4404F"/>
    <w:rsid w:val="00D44184"/>
    <w:rsid w:val="00D44245"/>
    <w:rsid w:val="00D443A4"/>
    <w:rsid w:val="00D443C7"/>
    <w:rsid w:val="00D443F2"/>
    <w:rsid w:val="00D44518"/>
    <w:rsid w:val="00D44866"/>
    <w:rsid w:val="00D4496D"/>
    <w:rsid w:val="00D44AA9"/>
    <w:rsid w:val="00D44B7E"/>
    <w:rsid w:val="00D44C88"/>
    <w:rsid w:val="00D44CA2"/>
    <w:rsid w:val="00D44E53"/>
    <w:rsid w:val="00D44EE4"/>
    <w:rsid w:val="00D44F45"/>
    <w:rsid w:val="00D450B4"/>
    <w:rsid w:val="00D451E1"/>
    <w:rsid w:val="00D45252"/>
    <w:rsid w:val="00D4528D"/>
    <w:rsid w:val="00D45338"/>
    <w:rsid w:val="00D4535B"/>
    <w:rsid w:val="00D45632"/>
    <w:rsid w:val="00D4586B"/>
    <w:rsid w:val="00D45936"/>
    <w:rsid w:val="00D45A8C"/>
    <w:rsid w:val="00D45AF8"/>
    <w:rsid w:val="00D45D7B"/>
    <w:rsid w:val="00D45D81"/>
    <w:rsid w:val="00D45E3C"/>
    <w:rsid w:val="00D46031"/>
    <w:rsid w:val="00D4604D"/>
    <w:rsid w:val="00D460ED"/>
    <w:rsid w:val="00D461C2"/>
    <w:rsid w:val="00D461DF"/>
    <w:rsid w:val="00D4624C"/>
    <w:rsid w:val="00D4628E"/>
    <w:rsid w:val="00D4630E"/>
    <w:rsid w:val="00D46384"/>
    <w:rsid w:val="00D4640A"/>
    <w:rsid w:val="00D46425"/>
    <w:rsid w:val="00D465E6"/>
    <w:rsid w:val="00D46648"/>
    <w:rsid w:val="00D4666D"/>
    <w:rsid w:val="00D46726"/>
    <w:rsid w:val="00D46728"/>
    <w:rsid w:val="00D467D3"/>
    <w:rsid w:val="00D46A44"/>
    <w:rsid w:val="00D46AEC"/>
    <w:rsid w:val="00D46C8E"/>
    <w:rsid w:val="00D46CB9"/>
    <w:rsid w:val="00D46DBE"/>
    <w:rsid w:val="00D46E40"/>
    <w:rsid w:val="00D46F1B"/>
    <w:rsid w:val="00D46F42"/>
    <w:rsid w:val="00D47003"/>
    <w:rsid w:val="00D4713F"/>
    <w:rsid w:val="00D47189"/>
    <w:rsid w:val="00D473ED"/>
    <w:rsid w:val="00D4745B"/>
    <w:rsid w:val="00D47513"/>
    <w:rsid w:val="00D475E2"/>
    <w:rsid w:val="00D476DA"/>
    <w:rsid w:val="00D47793"/>
    <w:rsid w:val="00D4780E"/>
    <w:rsid w:val="00D478F4"/>
    <w:rsid w:val="00D47989"/>
    <w:rsid w:val="00D479EE"/>
    <w:rsid w:val="00D47A75"/>
    <w:rsid w:val="00D47B13"/>
    <w:rsid w:val="00D47BA1"/>
    <w:rsid w:val="00D47C87"/>
    <w:rsid w:val="00D47CF9"/>
    <w:rsid w:val="00D47D0E"/>
    <w:rsid w:val="00D47D5D"/>
    <w:rsid w:val="00D47D77"/>
    <w:rsid w:val="00D5019E"/>
    <w:rsid w:val="00D5034E"/>
    <w:rsid w:val="00D5074E"/>
    <w:rsid w:val="00D507C6"/>
    <w:rsid w:val="00D50841"/>
    <w:rsid w:val="00D50943"/>
    <w:rsid w:val="00D50A40"/>
    <w:rsid w:val="00D50CA4"/>
    <w:rsid w:val="00D50DBB"/>
    <w:rsid w:val="00D50E00"/>
    <w:rsid w:val="00D50FB9"/>
    <w:rsid w:val="00D51003"/>
    <w:rsid w:val="00D51023"/>
    <w:rsid w:val="00D51141"/>
    <w:rsid w:val="00D513C1"/>
    <w:rsid w:val="00D5144A"/>
    <w:rsid w:val="00D51473"/>
    <w:rsid w:val="00D514EB"/>
    <w:rsid w:val="00D5174A"/>
    <w:rsid w:val="00D51836"/>
    <w:rsid w:val="00D51885"/>
    <w:rsid w:val="00D519BC"/>
    <w:rsid w:val="00D519DF"/>
    <w:rsid w:val="00D51C05"/>
    <w:rsid w:val="00D51C36"/>
    <w:rsid w:val="00D51C57"/>
    <w:rsid w:val="00D51CD9"/>
    <w:rsid w:val="00D51D08"/>
    <w:rsid w:val="00D51D3B"/>
    <w:rsid w:val="00D51D9A"/>
    <w:rsid w:val="00D51FB9"/>
    <w:rsid w:val="00D51FCF"/>
    <w:rsid w:val="00D522E0"/>
    <w:rsid w:val="00D5241D"/>
    <w:rsid w:val="00D524DD"/>
    <w:rsid w:val="00D5252D"/>
    <w:rsid w:val="00D52619"/>
    <w:rsid w:val="00D52652"/>
    <w:rsid w:val="00D526ED"/>
    <w:rsid w:val="00D52706"/>
    <w:rsid w:val="00D5293C"/>
    <w:rsid w:val="00D52AE7"/>
    <w:rsid w:val="00D52B40"/>
    <w:rsid w:val="00D52B86"/>
    <w:rsid w:val="00D52BC4"/>
    <w:rsid w:val="00D52F86"/>
    <w:rsid w:val="00D53121"/>
    <w:rsid w:val="00D531B1"/>
    <w:rsid w:val="00D532E3"/>
    <w:rsid w:val="00D53636"/>
    <w:rsid w:val="00D53671"/>
    <w:rsid w:val="00D537F9"/>
    <w:rsid w:val="00D53884"/>
    <w:rsid w:val="00D53902"/>
    <w:rsid w:val="00D53C20"/>
    <w:rsid w:val="00D53C5C"/>
    <w:rsid w:val="00D53CE8"/>
    <w:rsid w:val="00D53D61"/>
    <w:rsid w:val="00D53D79"/>
    <w:rsid w:val="00D53ED1"/>
    <w:rsid w:val="00D53F14"/>
    <w:rsid w:val="00D53FED"/>
    <w:rsid w:val="00D54049"/>
    <w:rsid w:val="00D54118"/>
    <w:rsid w:val="00D541E0"/>
    <w:rsid w:val="00D542DC"/>
    <w:rsid w:val="00D5442E"/>
    <w:rsid w:val="00D5453A"/>
    <w:rsid w:val="00D5456B"/>
    <w:rsid w:val="00D54606"/>
    <w:rsid w:val="00D5461B"/>
    <w:rsid w:val="00D547C3"/>
    <w:rsid w:val="00D54828"/>
    <w:rsid w:val="00D549E6"/>
    <w:rsid w:val="00D54D6D"/>
    <w:rsid w:val="00D54DD4"/>
    <w:rsid w:val="00D54E12"/>
    <w:rsid w:val="00D54E39"/>
    <w:rsid w:val="00D55122"/>
    <w:rsid w:val="00D551E5"/>
    <w:rsid w:val="00D55219"/>
    <w:rsid w:val="00D554D9"/>
    <w:rsid w:val="00D55608"/>
    <w:rsid w:val="00D5563D"/>
    <w:rsid w:val="00D558F5"/>
    <w:rsid w:val="00D55929"/>
    <w:rsid w:val="00D55A03"/>
    <w:rsid w:val="00D55A51"/>
    <w:rsid w:val="00D55C8E"/>
    <w:rsid w:val="00D55DCE"/>
    <w:rsid w:val="00D55E19"/>
    <w:rsid w:val="00D55ED2"/>
    <w:rsid w:val="00D56023"/>
    <w:rsid w:val="00D560F1"/>
    <w:rsid w:val="00D561E4"/>
    <w:rsid w:val="00D56269"/>
    <w:rsid w:val="00D562DD"/>
    <w:rsid w:val="00D562F1"/>
    <w:rsid w:val="00D56346"/>
    <w:rsid w:val="00D563A1"/>
    <w:rsid w:val="00D564B4"/>
    <w:rsid w:val="00D564C7"/>
    <w:rsid w:val="00D56546"/>
    <w:rsid w:val="00D565BD"/>
    <w:rsid w:val="00D565C2"/>
    <w:rsid w:val="00D5669F"/>
    <w:rsid w:val="00D568CF"/>
    <w:rsid w:val="00D5696F"/>
    <w:rsid w:val="00D56AC9"/>
    <w:rsid w:val="00D56ADA"/>
    <w:rsid w:val="00D56D1A"/>
    <w:rsid w:val="00D56D45"/>
    <w:rsid w:val="00D56F64"/>
    <w:rsid w:val="00D56FE0"/>
    <w:rsid w:val="00D57367"/>
    <w:rsid w:val="00D57416"/>
    <w:rsid w:val="00D5741D"/>
    <w:rsid w:val="00D575B0"/>
    <w:rsid w:val="00D57692"/>
    <w:rsid w:val="00D576E2"/>
    <w:rsid w:val="00D5775B"/>
    <w:rsid w:val="00D57837"/>
    <w:rsid w:val="00D578F6"/>
    <w:rsid w:val="00D579E1"/>
    <w:rsid w:val="00D57A89"/>
    <w:rsid w:val="00D57AE4"/>
    <w:rsid w:val="00D57AF2"/>
    <w:rsid w:val="00D57BC1"/>
    <w:rsid w:val="00D57C27"/>
    <w:rsid w:val="00D57D15"/>
    <w:rsid w:val="00D57D74"/>
    <w:rsid w:val="00D57DF9"/>
    <w:rsid w:val="00D57E61"/>
    <w:rsid w:val="00D57EBD"/>
    <w:rsid w:val="00D60019"/>
    <w:rsid w:val="00D600F5"/>
    <w:rsid w:val="00D604A2"/>
    <w:rsid w:val="00D604D8"/>
    <w:rsid w:val="00D604F6"/>
    <w:rsid w:val="00D60567"/>
    <w:rsid w:val="00D607B7"/>
    <w:rsid w:val="00D609BD"/>
    <w:rsid w:val="00D60A13"/>
    <w:rsid w:val="00D60AAB"/>
    <w:rsid w:val="00D60AE4"/>
    <w:rsid w:val="00D60B01"/>
    <w:rsid w:val="00D60C33"/>
    <w:rsid w:val="00D60C4E"/>
    <w:rsid w:val="00D60D17"/>
    <w:rsid w:val="00D60D58"/>
    <w:rsid w:val="00D60DAF"/>
    <w:rsid w:val="00D60DEB"/>
    <w:rsid w:val="00D60E5C"/>
    <w:rsid w:val="00D60E64"/>
    <w:rsid w:val="00D60EF1"/>
    <w:rsid w:val="00D60F26"/>
    <w:rsid w:val="00D60F41"/>
    <w:rsid w:val="00D60FB0"/>
    <w:rsid w:val="00D61199"/>
    <w:rsid w:val="00D611A7"/>
    <w:rsid w:val="00D611C3"/>
    <w:rsid w:val="00D61312"/>
    <w:rsid w:val="00D6131B"/>
    <w:rsid w:val="00D61394"/>
    <w:rsid w:val="00D614E3"/>
    <w:rsid w:val="00D61587"/>
    <w:rsid w:val="00D615CB"/>
    <w:rsid w:val="00D619E3"/>
    <w:rsid w:val="00D61A27"/>
    <w:rsid w:val="00D61B4E"/>
    <w:rsid w:val="00D61B7F"/>
    <w:rsid w:val="00D61C4D"/>
    <w:rsid w:val="00D61D93"/>
    <w:rsid w:val="00D61E48"/>
    <w:rsid w:val="00D61EE8"/>
    <w:rsid w:val="00D61EEC"/>
    <w:rsid w:val="00D621C2"/>
    <w:rsid w:val="00D62202"/>
    <w:rsid w:val="00D62269"/>
    <w:rsid w:val="00D62290"/>
    <w:rsid w:val="00D622D7"/>
    <w:rsid w:val="00D62555"/>
    <w:rsid w:val="00D626E3"/>
    <w:rsid w:val="00D6272E"/>
    <w:rsid w:val="00D627EE"/>
    <w:rsid w:val="00D62A4E"/>
    <w:rsid w:val="00D62CA1"/>
    <w:rsid w:val="00D62CE4"/>
    <w:rsid w:val="00D62DE0"/>
    <w:rsid w:val="00D62F59"/>
    <w:rsid w:val="00D62F72"/>
    <w:rsid w:val="00D63021"/>
    <w:rsid w:val="00D6311C"/>
    <w:rsid w:val="00D6327E"/>
    <w:rsid w:val="00D634BF"/>
    <w:rsid w:val="00D634EE"/>
    <w:rsid w:val="00D63541"/>
    <w:rsid w:val="00D6359F"/>
    <w:rsid w:val="00D63618"/>
    <w:rsid w:val="00D637BF"/>
    <w:rsid w:val="00D63826"/>
    <w:rsid w:val="00D63893"/>
    <w:rsid w:val="00D638D1"/>
    <w:rsid w:val="00D638DB"/>
    <w:rsid w:val="00D63904"/>
    <w:rsid w:val="00D63963"/>
    <w:rsid w:val="00D63A49"/>
    <w:rsid w:val="00D63A83"/>
    <w:rsid w:val="00D63AA2"/>
    <w:rsid w:val="00D63B19"/>
    <w:rsid w:val="00D63B9E"/>
    <w:rsid w:val="00D63CBA"/>
    <w:rsid w:val="00D63D22"/>
    <w:rsid w:val="00D63D45"/>
    <w:rsid w:val="00D63DEB"/>
    <w:rsid w:val="00D63E6D"/>
    <w:rsid w:val="00D63FF7"/>
    <w:rsid w:val="00D6418E"/>
    <w:rsid w:val="00D64193"/>
    <w:rsid w:val="00D6420E"/>
    <w:rsid w:val="00D6436E"/>
    <w:rsid w:val="00D6447C"/>
    <w:rsid w:val="00D6457A"/>
    <w:rsid w:val="00D645EF"/>
    <w:rsid w:val="00D6467C"/>
    <w:rsid w:val="00D6475D"/>
    <w:rsid w:val="00D64810"/>
    <w:rsid w:val="00D648B3"/>
    <w:rsid w:val="00D64A7B"/>
    <w:rsid w:val="00D64B16"/>
    <w:rsid w:val="00D64B36"/>
    <w:rsid w:val="00D64C66"/>
    <w:rsid w:val="00D64E46"/>
    <w:rsid w:val="00D64E4E"/>
    <w:rsid w:val="00D64EB3"/>
    <w:rsid w:val="00D64EEE"/>
    <w:rsid w:val="00D64FEB"/>
    <w:rsid w:val="00D6500C"/>
    <w:rsid w:val="00D6502F"/>
    <w:rsid w:val="00D6505C"/>
    <w:rsid w:val="00D65063"/>
    <w:rsid w:val="00D6507E"/>
    <w:rsid w:val="00D651B9"/>
    <w:rsid w:val="00D65495"/>
    <w:rsid w:val="00D654BB"/>
    <w:rsid w:val="00D6552F"/>
    <w:rsid w:val="00D65590"/>
    <w:rsid w:val="00D656FA"/>
    <w:rsid w:val="00D6580E"/>
    <w:rsid w:val="00D6585D"/>
    <w:rsid w:val="00D65932"/>
    <w:rsid w:val="00D65939"/>
    <w:rsid w:val="00D65986"/>
    <w:rsid w:val="00D65993"/>
    <w:rsid w:val="00D65B7C"/>
    <w:rsid w:val="00D65BF0"/>
    <w:rsid w:val="00D65CD0"/>
    <w:rsid w:val="00D65D3F"/>
    <w:rsid w:val="00D65E0B"/>
    <w:rsid w:val="00D65EC6"/>
    <w:rsid w:val="00D65FDB"/>
    <w:rsid w:val="00D66356"/>
    <w:rsid w:val="00D6638A"/>
    <w:rsid w:val="00D663A8"/>
    <w:rsid w:val="00D6640D"/>
    <w:rsid w:val="00D66745"/>
    <w:rsid w:val="00D667B6"/>
    <w:rsid w:val="00D66947"/>
    <w:rsid w:val="00D66ADA"/>
    <w:rsid w:val="00D66BD1"/>
    <w:rsid w:val="00D66D7E"/>
    <w:rsid w:val="00D66DC8"/>
    <w:rsid w:val="00D66E68"/>
    <w:rsid w:val="00D66F9C"/>
    <w:rsid w:val="00D67052"/>
    <w:rsid w:val="00D67096"/>
    <w:rsid w:val="00D67191"/>
    <w:rsid w:val="00D671A4"/>
    <w:rsid w:val="00D67206"/>
    <w:rsid w:val="00D6726E"/>
    <w:rsid w:val="00D6729D"/>
    <w:rsid w:val="00D672B7"/>
    <w:rsid w:val="00D672DD"/>
    <w:rsid w:val="00D6734D"/>
    <w:rsid w:val="00D6748C"/>
    <w:rsid w:val="00D675BA"/>
    <w:rsid w:val="00D675E6"/>
    <w:rsid w:val="00D67683"/>
    <w:rsid w:val="00D676E8"/>
    <w:rsid w:val="00D6787F"/>
    <w:rsid w:val="00D678EC"/>
    <w:rsid w:val="00D67930"/>
    <w:rsid w:val="00D6793D"/>
    <w:rsid w:val="00D679C3"/>
    <w:rsid w:val="00D67D09"/>
    <w:rsid w:val="00D67DA3"/>
    <w:rsid w:val="00D67E04"/>
    <w:rsid w:val="00D67E0A"/>
    <w:rsid w:val="00D67E75"/>
    <w:rsid w:val="00D67FB5"/>
    <w:rsid w:val="00D67FD3"/>
    <w:rsid w:val="00D67FE9"/>
    <w:rsid w:val="00D67FFE"/>
    <w:rsid w:val="00D70023"/>
    <w:rsid w:val="00D70081"/>
    <w:rsid w:val="00D700AC"/>
    <w:rsid w:val="00D701FF"/>
    <w:rsid w:val="00D70342"/>
    <w:rsid w:val="00D7036C"/>
    <w:rsid w:val="00D70578"/>
    <w:rsid w:val="00D7058D"/>
    <w:rsid w:val="00D705FA"/>
    <w:rsid w:val="00D70600"/>
    <w:rsid w:val="00D706E1"/>
    <w:rsid w:val="00D707EE"/>
    <w:rsid w:val="00D70909"/>
    <w:rsid w:val="00D70A61"/>
    <w:rsid w:val="00D70B6D"/>
    <w:rsid w:val="00D70B8B"/>
    <w:rsid w:val="00D70C79"/>
    <w:rsid w:val="00D70DEF"/>
    <w:rsid w:val="00D70E22"/>
    <w:rsid w:val="00D71142"/>
    <w:rsid w:val="00D7158B"/>
    <w:rsid w:val="00D7159E"/>
    <w:rsid w:val="00D715E2"/>
    <w:rsid w:val="00D715EE"/>
    <w:rsid w:val="00D7175D"/>
    <w:rsid w:val="00D71813"/>
    <w:rsid w:val="00D7184C"/>
    <w:rsid w:val="00D718EA"/>
    <w:rsid w:val="00D719BD"/>
    <w:rsid w:val="00D71E7B"/>
    <w:rsid w:val="00D71F90"/>
    <w:rsid w:val="00D71FBA"/>
    <w:rsid w:val="00D7202A"/>
    <w:rsid w:val="00D7209D"/>
    <w:rsid w:val="00D72374"/>
    <w:rsid w:val="00D72462"/>
    <w:rsid w:val="00D72535"/>
    <w:rsid w:val="00D725D8"/>
    <w:rsid w:val="00D7276E"/>
    <w:rsid w:val="00D7291B"/>
    <w:rsid w:val="00D72A9E"/>
    <w:rsid w:val="00D72ADC"/>
    <w:rsid w:val="00D72C30"/>
    <w:rsid w:val="00D72CA3"/>
    <w:rsid w:val="00D72D17"/>
    <w:rsid w:val="00D72D20"/>
    <w:rsid w:val="00D72D42"/>
    <w:rsid w:val="00D72DF3"/>
    <w:rsid w:val="00D72EBF"/>
    <w:rsid w:val="00D72EC3"/>
    <w:rsid w:val="00D72F46"/>
    <w:rsid w:val="00D73173"/>
    <w:rsid w:val="00D73217"/>
    <w:rsid w:val="00D732A7"/>
    <w:rsid w:val="00D734C9"/>
    <w:rsid w:val="00D73A26"/>
    <w:rsid w:val="00D73AC3"/>
    <w:rsid w:val="00D73AF2"/>
    <w:rsid w:val="00D73B5F"/>
    <w:rsid w:val="00D73BFD"/>
    <w:rsid w:val="00D73C13"/>
    <w:rsid w:val="00D73D3D"/>
    <w:rsid w:val="00D73D59"/>
    <w:rsid w:val="00D73E7A"/>
    <w:rsid w:val="00D74114"/>
    <w:rsid w:val="00D74177"/>
    <w:rsid w:val="00D7422E"/>
    <w:rsid w:val="00D742C4"/>
    <w:rsid w:val="00D7437F"/>
    <w:rsid w:val="00D744C6"/>
    <w:rsid w:val="00D746A5"/>
    <w:rsid w:val="00D74778"/>
    <w:rsid w:val="00D747F7"/>
    <w:rsid w:val="00D7481A"/>
    <w:rsid w:val="00D7485C"/>
    <w:rsid w:val="00D749BB"/>
    <w:rsid w:val="00D749D7"/>
    <w:rsid w:val="00D74B21"/>
    <w:rsid w:val="00D74BD9"/>
    <w:rsid w:val="00D74BE4"/>
    <w:rsid w:val="00D74C7D"/>
    <w:rsid w:val="00D74D0D"/>
    <w:rsid w:val="00D74EA4"/>
    <w:rsid w:val="00D74F68"/>
    <w:rsid w:val="00D75065"/>
    <w:rsid w:val="00D75074"/>
    <w:rsid w:val="00D7521F"/>
    <w:rsid w:val="00D7529E"/>
    <w:rsid w:val="00D752BA"/>
    <w:rsid w:val="00D7547D"/>
    <w:rsid w:val="00D754F7"/>
    <w:rsid w:val="00D75522"/>
    <w:rsid w:val="00D7559E"/>
    <w:rsid w:val="00D75620"/>
    <w:rsid w:val="00D756E0"/>
    <w:rsid w:val="00D757FD"/>
    <w:rsid w:val="00D75861"/>
    <w:rsid w:val="00D759CD"/>
    <w:rsid w:val="00D75A23"/>
    <w:rsid w:val="00D75FAF"/>
    <w:rsid w:val="00D76034"/>
    <w:rsid w:val="00D760A4"/>
    <w:rsid w:val="00D7614D"/>
    <w:rsid w:val="00D76237"/>
    <w:rsid w:val="00D76481"/>
    <w:rsid w:val="00D764D3"/>
    <w:rsid w:val="00D76552"/>
    <w:rsid w:val="00D7656C"/>
    <w:rsid w:val="00D765BD"/>
    <w:rsid w:val="00D7666D"/>
    <w:rsid w:val="00D7682C"/>
    <w:rsid w:val="00D76919"/>
    <w:rsid w:val="00D769CF"/>
    <w:rsid w:val="00D76AF2"/>
    <w:rsid w:val="00D76AF8"/>
    <w:rsid w:val="00D76CC5"/>
    <w:rsid w:val="00D76E2F"/>
    <w:rsid w:val="00D76ECF"/>
    <w:rsid w:val="00D76F13"/>
    <w:rsid w:val="00D76F7F"/>
    <w:rsid w:val="00D77294"/>
    <w:rsid w:val="00D772DD"/>
    <w:rsid w:val="00D77329"/>
    <w:rsid w:val="00D7735C"/>
    <w:rsid w:val="00D773F6"/>
    <w:rsid w:val="00D7748B"/>
    <w:rsid w:val="00D7753B"/>
    <w:rsid w:val="00D77685"/>
    <w:rsid w:val="00D776B0"/>
    <w:rsid w:val="00D7794B"/>
    <w:rsid w:val="00D77A54"/>
    <w:rsid w:val="00D77B79"/>
    <w:rsid w:val="00D77BF3"/>
    <w:rsid w:val="00D77D50"/>
    <w:rsid w:val="00D80007"/>
    <w:rsid w:val="00D800C9"/>
    <w:rsid w:val="00D80127"/>
    <w:rsid w:val="00D801B3"/>
    <w:rsid w:val="00D8032F"/>
    <w:rsid w:val="00D8034E"/>
    <w:rsid w:val="00D80513"/>
    <w:rsid w:val="00D80557"/>
    <w:rsid w:val="00D80562"/>
    <w:rsid w:val="00D80685"/>
    <w:rsid w:val="00D80766"/>
    <w:rsid w:val="00D808A9"/>
    <w:rsid w:val="00D80A05"/>
    <w:rsid w:val="00D80BB4"/>
    <w:rsid w:val="00D80BD5"/>
    <w:rsid w:val="00D80C22"/>
    <w:rsid w:val="00D80D61"/>
    <w:rsid w:val="00D80D99"/>
    <w:rsid w:val="00D80E73"/>
    <w:rsid w:val="00D81019"/>
    <w:rsid w:val="00D811AF"/>
    <w:rsid w:val="00D81456"/>
    <w:rsid w:val="00D815F9"/>
    <w:rsid w:val="00D81757"/>
    <w:rsid w:val="00D8178D"/>
    <w:rsid w:val="00D81792"/>
    <w:rsid w:val="00D81799"/>
    <w:rsid w:val="00D817D6"/>
    <w:rsid w:val="00D81881"/>
    <w:rsid w:val="00D818A9"/>
    <w:rsid w:val="00D819B4"/>
    <w:rsid w:val="00D81CC6"/>
    <w:rsid w:val="00D81DA0"/>
    <w:rsid w:val="00D81EAD"/>
    <w:rsid w:val="00D81EF2"/>
    <w:rsid w:val="00D8202C"/>
    <w:rsid w:val="00D8222B"/>
    <w:rsid w:val="00D8223B"/>
    <w:rsid w:val="00D82389"/>
    <w:rsid w:val="00D82496"/>
    <w:rsid w:val="00D82976"/>
    <w:rsid w:val="00D82981"/>
    <w:rsid w:val="00D829EF"/>
    <w:rsid w:val="00D82A9C"/>
    <w:rsid w:val="00D82B1A"/>
    <w:rsid w:val="00D82C15"/>
    <w:rsid w:val="00D82E6C"/>
    <w:rsid w:val="00D82EC4"/>
    <w:rsid w:val="00D83057"/>
    <w:rsid w:val="00D8317A"/>
    <w:rsid w:val="00D83399"/>
    <w:rsid w:val="00D8341A"/>
    <w:rsid w:val="00D834EF"/>
    <w:rsid w:val="00D8360F"/>
    <w:rsid w:val="00D83651"/>
    <w:rsid w:val="00D8373C"/>
    <w:rsid w:val="00D83754"/>
    <w:rsid w:val="00D8378F"/>
    <w:rsid w:val="00D8398E"/>
    <w:rsid w:val="00D839F2"/>
    <w:rsid w:val="00D83A93"/>
    <w:rsid w:val="00D83A95"/>
    <w:rsid w:val="00D83B8C"/>
    <w:rsid w:val="00D83BD3"/>
    <w:rsid w:val="00D83BD9"/>
    <w:rsid w:val="00D83C16"/>
    <w:rsid w:val="00D83C4F"/>
    <w:rsid w:val="00D83E71"/>
    <w:rsid w:val="00D843F2"/>
    <w:rsid w:val="00D844CA"/>
    <w:rsid w:val="00D8453F"/>
    <w:rsid w:val="00D846A9"/>
    <w:rsid w:val="00D84CD9"/>
    <w:rsid w:val="00D84DC0"/>
    <w:rsid w:val="00D84EAB"/>
    <w:rsid w:val="00D84F83"/>
    <w:rsid w:val="00D851C4"/>
    <w:rsid w:val="00D852A2"/>
    <w:rsid w:val="00D85329"/>
    <w:rsid w:val="00D853B6"/>
    <w:rsid w:val="00D85404"/>
    <w:rsid w:val="00D8559A"/>
    <w:rsid w:val="00D855E7"/>
    <w:rsid w:val="00D856A4"/>
    <w:rsid w:val="00D8577E"/>
    <w:rsid w:val="00D85796"/>
    <w:rsid w:val="00D85833"/>
    <w:rsid w:val="00D859D0"/>
    <w:rsid w:val="00D85A0F"/>
    <w:rsid w:val="00D85B39"/>
    <w:rsid w:val="00D85C8D"/>
    <w:rsid w:val="00D85D06"/>
    <w:rsid w:val="00D85E1F"/>
    <w:rsid w:val="00D85E93"/>
    <w:rsid w:val="00D85F4D"/>
    <w:rsid w:val="00D85FB7"/>
    <w:rsid w:val="00D8610D"/>
    <w:rsid w:val="00D862A6"/>
    <w:rsid w:val="00D86357"/>
    <w:rsid w:val="00D863B0"/>
    <w:rsid w:val="00D864A5"/>
    <w:rsid w:val="00D865FE"/>
    <w:rsid w:val="00D8661A"/>
    <w:rsid w:val="00D86629"/>
    <w:rsid w:val="00D866F5"/>
    <w:rsid w:val="00D86795"/>
    <w:rsid w:val="00D867CA"/>
    <w:rsid w:val="00D8680A"/>
    <w:rsid w:val="00D86843"/>
    <w:rsid w:val="00D869E6"/>
    <w:rsid w:val="00D86A31"/>
    <w:rsid w:val="00D86AFD"/>
    <w:rsid w:val="00D86B8B"/>
    <w:rsid w:val="00D86BFD"/>
    <w:rsid w:val="00D86C4E"/>
    <w:rsid w:val="00D86D3F"/>
    <w:rsid w:val="00D86D94"/>
    <w:rsid w:val="00D86EB6"/>
    <w:rsid w:val="00D87074"/>
    <w:rsid w:val="00D87273"/>
    <w:rsid w:val="00D8738E"/>
    <w:rsid w:val="00D874B1"/>
    <w:rsid w:val="00D874DE"/>
    <w:rsid w:val="00D87543"/>
    <w:rsid w:val="00D8757D"/>
    <w:rsid w:val="00D87627"/>
    <w:rsid w:val="00D87683"/>
    <w:rsid w:val="00D8777E"/>
    <w:rsid w:val="00D877A0"/>
    <w:rsid w:val="00D878BF"/>
    <w:rsid w:val="00D87912"/>
    <w:rsid w:val="00D879B9"/>
    <w:rsid w:val="00D87A7C"/>
    <w:rsid w:val="00D87ADC"/>
    <w:rsid w:val="00D87B59"/>
    <w:rsid w:val="00D87B77"/>
    <w:rsid w:val="00D87B7F"/>
    <w:rsid w:val="00D87BFA"/>
    <w:rsid w:val="00D87C4C"/>
    <w:rsid w:val="00D87D36"/>
    <w:rsid w:val="00D87E8A"/>
    <w:rsid w:val="00D87EF9"/>
    <w:rsid w:val="00D87F1E"/>
    <w:rsid w:val="00D87F24"/>
    <w:rsid w:val="00D901B9"/>
    <w:rsid w:val="00D901E8"/>
    <w:rsid w:val="00D90227"/>
    <w:rsid w:val="00D90259"/>
    <w:rsid w:val="00D90281"/>
    <w:rsid w:val="00D90287"/>
    <w:rsid w:val="00D90296"/>
    <w:rsid w:val="00D902E2"/>
    <w:rsid w:val="00D9034A"/>
    <w:rsid w:val="00D9047C"/>
    <w:rsid w:val="00D9079B"/>
    <w:rsid w:val="00D907B1"/>
    <w:rsid w:val="00D90890"/>
    <w:rsid w:val="00D908B0"/>
    <w:rsid w:val="00D90BEF"/>
    <w:rsid w:val="00D90E0A"/>
    <w:rsid w:val="00D90E38"/>
    <w:rsid w:val="00D90F02"/>
    <w:rsid w:val="00D90FD1"/>
    <w:rsid w:val="00D91271"/>
    <w:rsid w:val="00D9140D"/>
    <w:rsid w:val="00D9146C"/>
    <w:rsid w:val="00D9148A"/>
    <w:rsid w:val="00D9152D"/>
    <w:rsid w:val="00D91954"/>
    <w:rsid w:val="00D919C6"/>
    <w:rsid w:val="00D91A76"/>
    <w:rsid w:val="00D91A9D"/>
    <w:rsid w:val="00D91B52"/>
    <w:rsid w:val="00D91C8F"/>
    <w:rsid w:val="00D91E61"/>
    <w:rsid w:val="00D91E8B"/>
    <w:rsid w:val="00D91E8E"/>
    <w:rsid w:val="00D91F03"/>
    <w:rsid w:val="00D91F7B"/>
    <w:rsid w:val="00D91F85"/>
    <w:rsid w:val="00D91FB6"/>
    <w:rsid w:val="00D920B8"/>
    <w:rsid w:val="00D920CD"/>
    <w:rsid w:val="00D921A8"/>
    <w:rsid w:val="00D922B1"/>
    <w:rsid w:val="00D92391"/>
    <w:rsid w:val="00D925CB"/>
    <w:rsid w:val="00D92BF3"/>
    <w:rsid w:val="00D92CCF"/>
    <w:rsid w:val="00D92CFB"/>
    <w:rsid w:val="00D92D98"/>
    <w:rsid w:val="00D92E80"/>
    <w:rsid w:val="00D92F3A"/>
    <w:rsid w:val="00D93049"/>
    <w:rsid w:val="00D93191"/>
    <w:rsid w:val="00D9335C"/>
    <w:rsid w:val="00D938E8"/>
    <w:rsid w:val="00D93AA5"/>
    <w:rsid w:val="00D93B67"/>
    <w:rsid w:val="00D93B93"/>
    <w:rsid w:val="00D93BA1"/>
    <w:rsid w:val="00D93BB2"/>
    <w:rsid w:val="00D93C83"/>
    <w:rsid w:val="00D93C97"/>
    <w:rsid w:val="00D93CBC"/>
    <w:rsid w:val="00D93D00"/>
    <w:rsid w:val="00D93D9D"/>
    <w:rsid w:val="00D93E74"/>
    <w:rsid w:val="00D93E99"/>
    <w:rsid w:val="00D94082"/>
    <w:rsid w:val="00D9409D"/>
    <w:rsid w:val="00D94115"/>
    <w:rsid w:val="00D94290"/>
    <w:rsid w:val="00D943B4"/>
    <w:rsid w:val="00D9448E"/>
    <w:rsid w:val="00D94632"/>
    <w:rsid w:val="00D94839"/>
    <w:rsid w:val="00D948B3"/>
    <w:rsid w:val="00D94928"/>
    <w:rsid w:val="00D94A6E"/>
    <w:rsid w:val="00D94AA6"/>
    <w:rsid w:val="00D94BBC"/>
    <w:rsid w:val="00D94BBD"/>
    <w:rsid w:val="00D94C44"/>
    <w:rsid w:val="00D94CAD"/>
    <w:rsid w:val="00D94E3B"/>
    <w:rsid w:val="00D94E71"/>
    <w:rsid w:val="00D94EBD"/>
    <w:rsid w:val="00D94F6A"/>
    <w:rsid w:val="00D9511B"/>
    <w:rsid w:val="00D95271"/>
    <w:rsid w:val="00D952F2"/>
    <w:rsid w:val="00D95308"/>
    <w:rsid w:val="00D9545C"/>
    <w:rsid w:val="00D95870"/>
    <w:rsid w:val="00D95B5F"/>
    <w:rsid w:val="00D95B6C"/>
    <w:rsid w:val="00D95D15"/>
    <w:rsid w:val="00D95EB0"/>
    <w:rsid w:val="00D95F59"/>
    <w:rsid w:val="00D95F70"/>
    <w:rsid w:val="00D95FB9"/>
    <w:rsid w:val="00D961DA"/>
    <w:rsid w:val="00D961FB"/>
    <w:rsid w:val="00D9636A"/>
    <w:rsid w:val="00D96385"/>
    <w:rsid w:val="00D96401"/>
    <w:rsid w:val="00D9654A"/>
    <w:rsid w:val="00D96576"/>
    <w:rsid w:val="00D966BF"/>
    <w:rsid w:val="00D969B4"/>
    <w:rsid w:val="00D96A87"/>
    <w:rsid w:val="00D96B81"/>
    <w:rsid w:val="00D96D08"/>
    <w:rsid w:val="00D96DB4"/>
    <w:rsid w:val="00D96DF5"/>
    <w:rsid w:val="00D96E1E"/>
    <w:rsid w:val="00D96E6A"/>
    <w:rsid w:val="00D96E8E"/>
    <w:rsid w:val="00D96EC7"/>
    <w:rsid w:val="00D96FA3"/>
    <w:rsid w:val="00D97143"/>
    <w:rsid w:val="00D97240"/>
    <w:rsid w:val="00D9726C"/>
    <w:rsid w:val="00D97395"/>
    <w:rsid w:val="00D974D6"/>
    <w:rsid w:val="00D97722"/>
    <w:rsid w:val="00D97738"/>
    <w:rsid w:val="00D97739"/>
    <w:rsid w:val="00D9783C"/>
    <w:rsid w:val="00D978A1"/>
    <w:rsid w:val="00D978D1"/>
    <w:rsid w:val="00D97992"/>
    <w:rsid w:val="00D97A4C"/>
    <w:rsid w:val="00D97BD2"/>
    <w:rsid w:val="00DA005B"/>
    <w:rsid w:val="00DA00F0"/>
    <w:rsid w:val="00DA013B"/>
    <w:rsid w:val="00DA0169"/>
    <w:rsid w:val="00DA0279"/>
    <w:rsid w:val="00DA037B"/>
    <w:rsid w:val="00DA051F"/>
    <w:rsid w:val="00DA05A9"/>
    <w:rsid w:val="00DA05F5"/>
    <w:rsid w:val="00DA068D"/>
    <w:rsid w:val="00DA07B4"/>
    <w:rsid w:val="00DA0860"/>
    <w:rsid w:val="00DA086B"/>
    <w:rsid w:val="00DA08C5"/>
    <w:rsid w:val="00DA0918"/>
    <w:rsid w:val="00DA0986"/>
    <w:rsid w:val="00DA09FA"/>
    <w:rsid w:val="00DA0A7F"/>
    <w:rsid w:val="00DA0B1A"/>
    <w:rsid w:val="00DA0C0E"/>
    <w:rsid w:val="00DA0C44"/>
    <w:rsid w:val="00DA0DA4"/>
    <w:rsid w:val="00DA0F73"/>
    <w:rsid w:val="00DA1186"/>
    <w:rsid w:val="00DA11B4"/>
    <w:rsid w:val="00DA122E"/>
    <w:rsid w:val="00DA128D"/>
    <w:rsid w:val="00DA1540"/>
    <w:rsid w:val="00DA17D8"/>
    <w:rsid w:val="00DA184C"/>
    <w:rsid w:val="00DA18AC"/>
    <w:rsid w:val="00DA1DB8"/>
    <w:rsid w:val="00DA1E16"/>
    <w:rsid w:val="00DA1EB1"/>
    <w:rsid w:val="00DA1F44"/>
    <w:rsid w:val="00DA2031"/>
    <w:rsid w:val="00DA209E"/>
    <w:rsid w:val="00DA21D2"/>
    <w:rsid w:val="00DA223B"/>
    <w:rsid w:val="00DA2277"/>
    <w:rsid w:val="00DA2306"/>
    <w:rsid w:val="00DA2599"/>
    <w:rsid w:val="00DA25AC"/>
    <w:rsid w:val="00DA2647"/>
    <w:rsid w:val="00DA27A2"/>
    <w:rsid w:val="00DA2883"/>
    <w:rsid w:val="00DA29B4"/>
    <w:rsid w:val="00DA2A25"/>
    <w:rsid w:val="00DA2B32"/>
    <w:rsid w:val="00DA2CFF"/>
    <w:rsid w:val="00DA2D98"/>
    <w:rsid w:val="00DA2E29"/>
    <w:rsid w:val="00DA2E61"/>
    <w:rsid w:val="00DA2E9C"/>
    <w:rsid w:val="00DA2FB1"/>
    <w:rsid w:val="00DA303A"/>
    <w:rsid w:val="00DA305E"/>
    <w:rsid w:val="00DA30B3"/>
    <w:rsid w:val="00DA3391"/>
    <w:rsid w:val="00DA33F0"/>
    <w:rsid w:val="00DA3411"/>
    <w:rsid w:val="00DA342F"/>
    <w:rsid w:val="00DA3559"/>
    <w:rsid w:val="00DA3698"/>
    <w:rsid w:val="00DA374D"/>
    <w:rsid w:val="00DA37AC"/>
    <w:rsid w:val="00DA3839"/>
    <w:rsid w:val="00DA3A5F"/>
    <w:rsid w:val="00DA3A94"/>
    <w:rsid w:val="00DA3E4F"/>
    <w:rsid w:val="00DA3E50"/>
    <w:rsid w:val="00DA3F08"/>
    <w:rsid w:val="00DA3F2A"/>
    <w:rsid w:val="00DA3F51"/>
    <w:rsid w:val="00DA4050"/>
    <w:rsid w:val="00DA407A"/>
    <w:rsid w:val="00DA4087"/>
    <w:rsid w:val="00DA4119"/>
    <w:rsid w:val="00DA4145"/>
    <w:rsid w:val="00DA4185"/>
    <w:rsid w:val="00DA420B"/>
    <w:rsid w:val="00DA423B"/>
    <w:rsid w:val="00DA4324"/>
    <w:rsid w:val="00DA4353"/>
    <w:rsid w:val="00DA4381"/>
    <w:rsid w:val="00DA4534"/>
    <w:rsid w:val="00DA4656"/>
    <w:rsid w:val="00DA4698"/>
    <w:rsid w:val="00DA46B4"/>
    <w:rsid w:val="00DA46D7"/>
    <w:rsid w:val="00DA4784"/>
    <w:rsid w:val="00DA4838"/>
    <w:rsid w:val="00DA49E4"/>
    <w:rsid w:val="00DA4D47"/>
    <w:rsid w:val="00DA4DD5"/>
    <w:rsid w:val="00DA4EDF"/>
    <w:rsid w:val="00DA4EEE"/>
    <w:rsid w:val="00DA4EFA"/>
    <w:rsid w:val="00DA5167"/>
    <w:rsid w:val="00DA5172"/>
    <w:rsid w:val="00DA5209"/>
    <w:rsid w:val="00DA5371"/>
    <w:rsid w:val="00DA538C"/>
    <w:rsid w:val="00DA53C1"/>
    <w:rsid w:val="00DA5449"/>
    <w:rsid w:val="00DA54E4"/>
    <w:rsid w:val="00DA561B"/>
    <w:rsid w:val="00DA57EA"/>
    <w:rsid w:val="00DA587C"/>
    <w:rsid w:val="00DA5897"/>
    <w:rsid w:val="00DA595C"/>
    <w:rsid w:val="00DA5989"/>
    <w:rsid w:val="00DA5AD9"/>
    <w:rsid w:val="00DA5BF9"/>
    <w:rsid w:val="00DA5D28"/>
    <w:rsid w:val="00DA5E80"/>
    <w:rsid w:val="00DA5EDC"/>
    <w:rsid w:val="00DA5F08"/>
    <w:rsid w:val="00DA5F9E"/>
    <w:rsid w:val="00DA5FC2"/>
    <w:rsid w:val="00DA5FD4"/>
    <w:rsid w:val="00DA6014"/>
    <w:rsid w:val="00DA6265"/>
    <w:rsid w:val="00DA63EF"/>
    <w:rsid w:val="00DA6463"/>
    <w:rsid w:val="00DA64E1"/>
    <w:rsid w:val="00DA6613"/>
    <w:rsid w:val="00DA6755"/>
    <w:rsid w:val="00DA6775"/>
    <w:rsid w:val="00DA686B"/>
    <w:rsid w:val="00DA68FF"/>
    <w:rsid w:val="00DA6A3A"/>
    <w:rsid w:val="00DA6AC4"/>
    <w:rsid w:val="00DA6AD2"/>
    <w:rsid w:val="00DA6C46"/>
    <w:rsid w:val="00DA6CB6"/>
    <w:rsid w:val="00DA6D5F"/>
    <w:rsid w:val="00DA6D9D"/>
    <w:rsid w:val="00DA6DC8"/>
    <w:rsid w:val="00DA6F9B"/>
    <w:rsid w:val="00DA708F"/>
    <w:rsid w:val="00DA711D"/>
    <w:rsid w:val="00DA718F"/>
    <w:rsid w:val="00DA71F1"/>
    <w:rsid w:val="00DA72C8"/>
    <w:rsid w:val="00DA72EF"/>
    <w:rsid w:val="00DA732F"/>
    <w:rsid w:val="00DA7352"/>
    <w:rsid w:val="00DA7361"/>
    <w:rsid w:val="00DA7495"/>
    <w:rsid w:val="00DA7540"/>
    <w:rsid w:val="00DA75B6"/>
    <w:rsid w:val="00DA7729"/>
    <w:rsid w:val="00DA77DA"/>
    <w:rsid w:val="00DA7990"/>
    <w:rsid w:val="00DA7A2B"/>
    <w:rsid w:val="00DA7A80"/>
    <w:rsid w:val="00DA7A9D"/>
    <w:rsid w:val="00DA7B39"/>
    <w:rsid w:val="00DA7D71"/>
    <w:rsid w:val="00DA7E55"/>
    <w:rsid w:val="00DA7F1E"/>
    <w:rsid w:val="00DA7F21"/>
    <w:rsid w:val="00DA7FC1"/>
    <w:rsid w:val="00DB02CA"/>
    <w:rsid w:val="00DB0342"/>
    <w:rsid w:val="00DB0ABE"/>
    <w:rsid w:val="00DB0B70"/>
    <w:rsid w:val="00DB0D40"/>
    <w:rsid w:val="00DB0DA8"/>
    <w:rsid w:val="00DB10A3"/>
    <w:rsid w:val="00DB112C"/>
    <w:rsid w:val="00DB12A3"/>
    <w:rsid w:val="00DB12B2"/>
    <w:rsid w:val="00DB1447"/>
    <w:rsid w:val="00DB1599"/>
    <w:rsid w:val="00DB15C2"/>
    <w:rsid w:val="00DB1627"/>
    <w:rsid w:val="00DB1689"/>
    <w:rsid w:val="00DB168E"/>
    <w:rsid w:val="00DB16A6"/>
    <w:rsid w:val="00DB1904"/>
    <w:rsid w:val="00DB1908"/>
    <w:rsid w:val="00DB19A0"/>
    <w:rsid w:val="00DB19E8"/>
    <w:rsid w:val="00DB1ADD"/>
    <w:rsid w:val="00DB1C41"/>
    <w:rsid w:val="00DB1D89"/>
    <w:rsid w:val="00DB1F77"/>
    <w:rsid w:val="00DB207E"/>
    <w:rsid w:val="00DB20AC"/>
    <w:rsid w:val="00DB20FD"/>
    <w:rsid w:val="00DB22C6"/>
    <w:rsid w:val="00DB2571"/>
    <w:rsid w:val="00DB278C"/>
    <w:rsid w:val="00DB2933"/>
    <w:rsid w:val="00DB2B24"/>
    <w:rsid w:val="00DB2DAB"/>
    <w:rsid w:val="00DB2E9B"/>
    <w:rsid w:val="00DB2F76"/>
    <w:rsid w:val="00DB2F88"/>
    <w:rsid w:val="00DB2FDB"/>
    <w:rsid w:val="00DB30BA"/>
    <w:rsid w:val="00DB3224"/>
    <w:rsid w:val="00DB335C"/>
    <w:rsid w:val="00DB34B5"/>
    <w:rsid w:val="00DB357F"/>
    <w:rsid w:val="00DB35C7"/>
    <w:rsid w:val="00DB35EE"/>
    <w:rsid w:val="00DB3605"/>
    <w:rsid w:val="00DB37CF"/>
    <w:rsid w:val="00DB37F7"/>
    <w:rsid w:val="00DB3937"/>
    <w:rsid w:val="00DB3BA0"/>
    <w:rsid w:val="00DB3CE9"/>
    <w:rsid w:val="00DB3D09"/>
    <w:rsid w:val="00DB3E5B"/>
    <w:rsid w:val="00DB3E7C"/>
    <w:rsid w:val="00DB3F99"/>
    <w:rsid w:val="00DB4083"/>
    <w:rsid w:val="00DB40B5"/>
    <w:rsid w:val="00DB422D"/>
    <w:rsid w:val="00DB4250"/>
    <w:rsid w:val="00DB427E"/>
    <w:rsid w:val="00DB43DE"/>
    <w:rsid w:val="00DB442D"/>
    <w:rsid w:val="00DB4453"/>
    <w:rsid w:val="00DB451F"/>
    <w:rsid w:val="00DB4524"/>
    <w:rsid w:val="00DB4646"/>
    <w:rsid w:val="00DB469A"/>
    <w:rsid w:val="00DB4AC5"/>
    <w:rsid w:val="00DB4B5E"/>
    <w:rsid w:val="00DB4C47"/>
    <w:rsid w:val="00DB4E2E"/>
    <w:rsid w:val="00DB4E74"/>
    <w:rsid w:val="00DB4F74"/>
    <w:rsid w:val="00DB4F80"/>
    <w:rsid w:val="00DB5132"/>
    <w:rsid w:val="00DB513D"/>
    <w:rsid w:val="00DB52E2"/>
    <w:rsid w:val="00DB5332"/>
    <w:rsid w:val="00DB53B5"/>
    <w:rsid w:val="00DB53CB"/>
    <w:rsid w:val="00DB55BE"/>
    <w:rsid w:val="00DB55D5"/>
    <w:rsid w:val="00DB570E"/>
    <w:rsid w:val="00DB5779"/>
    <w:rsid w:val="00DB5803"/>
    <w:rsid w:val="00DB5867"/>
    <w:rsid w:val="00DB5895"/>
    <w:rsid w:val="00DB58D9"/>
    <w:rsid w:val="00DB58FB"/>
    <w:rsid w:val="00DB5A0A"/>
    <w:rsid w:val="00DB5A19"/>
    <w:rsid w:val="00DB5B49"/>
    <w:rsid w:val="00DB5B7D"/>
    <w:rsid w:val="00DB5B9A"/>
    <w:rsid w:val="00DB5C12"/>
    <w:rsid w:val="00DB5D0C"/>
    <w:rsid w:val="00DB5F69"/>
    <w:rsid w:val="00DB5F91"/>
    <w:rsid w:val="00DB5FDD"/>
    <w:rsid w:val="00DB6061"/>
    <w:rsid w:val="00DB61D7"/>
    <w:rsid w:val="00DB6269"/>
    <w:rsid w:val="00DB62D3"/>
    <w:rsid w:val="00DB6358"/>
    <w:rsid w:val="00DB6445"/>
    <w:rsid w:val="00DB64A5"/>
    <w:rsid w:val="00DB6636"/>
    <w:rsid w:val="00DB67B4"/>
    <w:rsid w:val="00DB6835"/>
    <w:rsid w:val="00DB6B12"/>
    <w:rsid w:val="00DB6B7A"/>
    <w:rsid w:val="00DB6C11"/>
    <w:rsid w:val="00DB6D62"/>
    <w:rsid w:val="00DB6D81"/>
    <w:rsid w:val="00DB6E0E"/>
    <w:rsid w:val="00DB6E30"/>
    <w:rsid w:val="00DB6F22"/>
    <w:rsid w:val="00DB6F30"/>
    <w:rsid w:val="00DB704E"/>
    <w:rsid w:val="00DB70A9"/>
    <w:rsid w:val="00DB7118"/>
    <w:rsid w:val="00DB7138"/>
    <w:rsid w:val="00DB716C"/>
    <w:rsid w:val="00DB7294"/>
    <w:rsid w:val="00DB7319"/>
    <w:rsid w:val="00DB73CC"/>
    <w:rsid w:val="00DB745F"/>
    <w:rsid w:val="00DB7617"/>
    <w:rsid w:val="00DB76BF"/>
    <w:rsid w:val="00DB76DB"/>
    <w:rsid w:val="00DB779D"/>
    <w:rsid w:val="00DB77AA"/>
    <w:rsid w:val="00DB77B6"/>
    <w:rsid w:val="00DB77DB"/>
    <w:rsid w:val="00DB7A22"/>
    <w:rsid w:val="00DB7ABB"/>
    <w:rsid w:val="00DB7BDB"/>
    <w:rsid w:val="00DB7CC6"/>
    <w:rsid w:val="00DB7D77"/>
    <w:rsid w:val="00DB7EFB"/>
    <w:rsid w:val="00DB7F09"/>
    <w:rsid w:val="00DC00E8"/>
    <w:rsid w:val="00DC0228"/>
    <w:rsid w:val="00DC0355"/>
    <w:rsid w:val="00DC03EF"/>
    <w:rsid w:val="00DC041D"/>
    <w:rsid w:val="00DC05D8"/>
    <w:rsid w:val="00DC06C4"/>
    <w:rsid w:val="00DC06F9"/>
    <w:rsid w:val="00DC0ABC"/>
    <w:rsid w:val="00DC0C67"/>
    <w:rsid w:val="00DC0C9C"/>
    <w:rsid w:val="00DC0E2E"/>
    <w:rsid w:val="00DC0E85"/>
    <w:rsid w:val="00DC0F8B"/>
    <w:rsid w:val="00DC1037"/>
    <w:rsid w:val="00DC114F"/>
    <w:rsid w:val="00DC1158"/>
    <w:rsid w:val="00DC116A"/>
    <w:rsid w:val="00DC1284"/>
    <w:rsid w:val="00DC129A"/>
    <w:rsid w:val="00DC12B6"/>
    <w:rsid w:val="00DC1391"/>
    <w:rsid w:val="00DC1589"/>
    <w:rsid w:val="00DC16DC"/>
    <w:rsid w:val="00DC17A0"/>
    <w:rsid w:val="00DC17E9"/>
    <w:rsid w:val="00DC17F6"/>
    <w:rsid w:val="00DC18F1"/>
    <w:rsid w:val="00DC1916"/>
    <w:rsid w:val="00DC1A2C"/>
    <w:rsid w:val="00DC1C77"/>
    <w:rsid w:val="00DC1DBD"/>
    <w:rsid w:val="00DC1DDC"/>
    <w:rsid w:val="00DC2257"/>
    <w:rsid w:val="00DC229A"/>
    <w:rsid w:val="00DC2406"/>
    <w:rsid w:val="00DC2446"/>
    <w:rsid w:val="00DC245D"/>
    <w:rsid w:val="00DC24AC"/>
    <w:rsid w:val="00DC24C4"/>
    <w:rsid w:val="00DC2531"/>
    <w:rsid w:val="00DC2607"/>
    <w:rsid w:val="00DC2711"/>
    <w:rsid w:val="00DC279F"/>
    <w:rsid w:val="00DC27CB"/>
    <w:rsid w:val="00DC285A"/>
    <w:rsid w:val="00DC296D"/>
    <w:rsid w:val="00DC29F3"/>
    <w:rsid w:val="00DC2A97"/>
    <w:rsid w:val="00DC2B13"/>
    <w:rsid w:val="00DC2B5A"/>
    <w:rsid w:val="00DC2C68"/>
    <w:rsid w:val="00DC2DEE"/>
    <w:rsid w:val="00DC2DF8"/>
    <w:rsid w:val="00DC2DFB"/>
    <w:rsid w:val="00DC2E54"/>
    <w:rsid w:val="00DC2FFC"/>
    <w:rsid w:val="00DC30E8"/>
    <w:rsid w:val="00DC3188"/>
    <w:rsid w:val="00DC31CE"/>
    <w:rsid w:val="00DC3283"/>
    <w:rsid w:val="00DC32A1"/>
    <w:rsid w:val="00DC32DA"/>
    <w:rsid w:val="00DC3369"/>
    <w:rsid w:val="00DC358D"/>
    <w:rsid w:val="00DC35C2"/>
    <w:rsid w:val="00DC3678"/>
    <w:rsid w:val="00DC3789"/>
    <w:rsid w:val="00DC398C"/>
    <w:rsid w:val="00DC3D24"/>
    <w:rsid w:val="00DC3E0E"/>
    <w:rsid w:val="00DC3F4C"/>
    <w:rsid w:val="00DC3FD7"/>
    <w:rsid w:val="00DC3FD8"/>
    <w:rsid w:val="00DC4009"/>
    <w:rsid w:val="00DC402C"/>
    <w:rsid w:val="00DC4131"/>
    <w:rsid w:val="00DC4152"/>
    <w:rsid w:val="00DC4330"/>
    <w:rsid w:val="00DC4455"/>
    <w:rsid w:val="00DC459B"/>
    <w:rsid w:val="00DC46AA"/>
    <w:rsid w:val="00DC470E"/>
    <w:rsid w:val="00DC47E1"/>
    <w:rsid w:val="00DC48CE"/>
    <w:rsid w:val="00DC4930"/>
    <w:rsid w:val="00DC4966"/>
    <w:rsid w:val="00DC4AD2"/>
    <w:rsid w:val="00DC4B62"/>
    <w:rsid w:val="00DC4CD0"/>
    <w:rsid w:val="00DC4EFD"/>
    <w:rsid w:val="00DC4F28"/>
    <w:rsid w:val="00DC530D"/>
    <w:rsid w:val="00DC534E"/>
    <w:rsid w:val="00DC53E1"/>
    <w:rsid w:val="00DC5458"/>
    <w:rsid w:val="00DC5496"/>
    <w:rsid w:val="00DC5575"/>
    <w:rsid w:val="00DC5782"/>
    <w:rsid w:val="00DC591F"/>
    <w:rsid w:val="00DC5AD4"/>
    <w:rsid w:val="00DC5AD9"/>
    <w:rsid w:val="00DC5B6E"/>
    <w:rsid w:val="00DC5BE0"/>
    <w:rsid w:val="00DC5BFE"/>
    <w:rsid w:val="00DC5EC0"/>
    <w:rsid w:val="00DC60EB"/>
    <w:rsid w:val="00DC613A"/>
    <w:rsid w:val="00DC6279"/>
    <w:rsid w:val="00DC6325"/>
    <w:rsid w:val="00DC6374"/>
    <w:rsid w:val="00DC63F8"/>
    <w:rsid w:val="00DC6649"/>
    <w:rsid w:val="00DC6751"/>
    <w:rsid w:val="00DC67CF"/>
    <w:rsid w:val="00DC6821"/>
    <w:rsid w:val="00DC68C7"/>
    <w:rsid w:val="00DC6906"/>
    <w:rsid w:val="00DC69BB"/>
    <w:rsid w:val="00DC6AE9"/>
    <w:rsid w:val="00DC6B15"/>
    <w:rsid w:val="00DC6DAB"/>
    <w:rsid w:val="00DC6DE7"/>
    <w:rsid w:val="00DC6E4E"/>
    <w:rsid w:val="00DC6E90"/>
    <w:rsid w:val="00DC703D"/>
    <w:rsid w:val="00DC70E8"/>
    <w:rsid w:val="00DC70F9"/>
    <w:rsid w:val="00DC7164"/>
    <w:rsid w:val="00DC718E"/>
    <w:rsid w:val="00DC72EB"/>
    <w:rsid w:val="00DC73D0"/>
    <w:rsid w:val="00DC7452"/>
    <w:rsid w:val="00DC74EA"/>
    <w:rsid w:val="00DC7573"/>
    <w:rsid w:val="00DC75D1"/>
    <w:rsid w:val="00DC7635"/>
    <w:rsid w:val="00DC77FC"/>
    <w:rsid w:val="00DC793F"/>
    <w:rsid w:val="00DC79A8"/>
    <w:rsid w:val="00DC7B53"/>
    <w:rsid w:val="00DC7B9B"/>
    <w:rsid w:val="00DC7BA4"/>
    <w:rsid w:val="00DC7BC1"/>
    <w:rsid w:val="00DC7D54"/>
    <w:rsid w:val="00DC7EB5"/>
    <w:rsid w:val="00DC7ECE"/>
    <w:rsid w:val="00DC7EF1"/>
    <w:rsid w:val="00DD0072"/>
    <w:rsid w:val="00DD00B0"/>
    <w:rsid w:val="00DD0198"/>
    <w:rsid w:val="00DD025F"/>
    <w:rsid w:val="00DD0383"/>
    <w:rsid w:val="00DD03E2"/>
    <w:rsid w:val="00DD0546"/>
    <w:rsid w:val="00DD05EF"/>
    <w:rsid w:val="00DD0600"/>
    <w:rsid w:val="00DD0788"/>
    <w:rsid w:val="00DD079D"/>
    <w:rsid w:val="00DD0851"/>
    <w:rsid w:val="00DD08FD"/>
    <w:rsid w:val="00DD09A3"/>
    <w:rsid w:val="00DD0A65"/>
    <w:rsid w:val="00DD0C01"/>
    <w:rsid w:val="00DD0C3A"/>
    <w:rsid w:val="00DD0E75"/>
    <w:rsid w:val="00DD0EEA"/>
    <w:rsid w:val="00DD10A2"/>
    <w:rsid w:val="00DD10F9"/>
    <w:rsid w:val="00DD11A8"/>
    <w:rsid w:val="00DD1334"/>
    <w:rsid w:val="00DD149B"/>
    <w:rsid w:val="00DD17E9"/>
    <w:rsid w:val="00DD181B"/>
    <w:rsid w:val="00DD19EA"/>
    <w:rsid w:val="00DD1B36"/>
    <w:rsid w:val="00DD1C68"/>
    <w:rsid w:val="00DD1FEC"/>
    <w:rsid w:val="00DD21AF"/>
    <w:rsid w:val="00DD21C0"/>
    <w:rsid w:val="00DD2387"/>
    <w:rsid w:val="00DD23A2"/>
    <w:rsid w:val="00DD23F2"/>
    <w:rsid w:val="00DD2666"/>
    <w:rsid w:val="00DD2714"/>
    <w:rsid w:val="00DD2778"/>
    <w:rsid w:val="00DD29D0"/>
    <w:rsid w:val="00DD2B7E"/>
    <w:rsid w:val="00DD2BBE"/>
    <w:rsid w:val="00DD2C8E"/>
    <w:rsid w:val="00DD2D20"/>
    <w:rsid w:val="00DD2F3F"/>
    <w:rsid w:val="00DD2FBD"/>
    <w:rsid w:val="00DD32FE"/>
    <w:rsid w:val="00DD334D"/>
    <w:rsid w:val="00DD338C"/>
    <w:rsid w:val="00DD34B6"/>
    <w:rsid w:val="00DD34B8"/>
    <w:rsid w:val="00DD352A"/>
    <w:rsid w:val="00DD35EF"/>
    <w:rsid w:val="00DD36BF"/>
    <w:rsid w:val="00DD36D6"/>
    <w:rsid w:val="00DD3871"/>
    <w:rsid w:val="00DD3988"/>
    <w:rsid w:val="00DD3B41"/>
    <w:rsid w:val="00DD3B71"/>
    <w:rsid w:val="00DD3BF3"/>
    <w:rsid w:val="00DD3D1D"/>
    <w:rsid w:val="00DD3E33"/>
    <w:rsid w:val="00DD3E35"/>
    <w:rsid w:val="00DD3E56"/>
    <w:rsid w:val="00DD4152"/>
    <w:rsid w:val="00DD41C5"/>
    <w:rsid w:val="00DD4227"/>
    <w:rsid w:val="00DD43A9"/>
    <w:rsid w:val="00DD44DB"/>
    <w:rsid w:val="00DD457A"/>
    <w:rsid w:val="00DD4741"/>
    <w:rsid w:val="00DD4863"/>
    <w:rsid w:val="00DD490C"/>
    <w:rsid w:val="00DD4A3D"/>
    <w:rsid w:val="00DD4AF2"/>
    <w:rsid w:val="00DD4B59"/>
    <w:rsid w:val="00DD4C69"/>
    <w:rsid w:val="00DD4CDE"/>
    <w:rsid w:val="00DD4CF2"/>
    <w:rsid w:val="00DD4DC2"/>
    <w:rsid w:val="00DD4DDB"/>
    <w:rsid w:val="00DD4FE8"/>
    <w:rsid w:val="00DD50DE"/>
    <w:rsid w:val="00DD51D5"/>
    <w:rsid w:val="00DD51FE"/>
    <w:rsid w:val="00DD537D"/>
    <w:rsid w:val="00DD5470"/>
    <w:rsid w:val="00DD54D8"/>
    <w:rsid w:val="00DD55E1"/>
    <w:rsid w:val="00DD56DB"/>
    <w:rsid w:val="00DD57CB"/>
    <w:rsid w:val="00DD5816"/>
    <w:rsid w:val="00DD5896"/>
    <w:rsid w:val="00DD59CE"/>
    <w:rsid w:val="00DD59F9"/>
    <w:rsid w:val="00DD5A1F"/>
    <w:rsid w:val="00DD5AEE"/>
    <w:rsid w:val="00DD5B17"/>
    <w:rsid w:val="00DD5B39"/>
    <w:rsid w:val="00DD5B82"/>
    <w:rsid w:val="00DD5C3E"/>
    <w:rsid w:val="00DD5C66"/>
    <w:rsid w:val="00DD5C90"/>
    <w:rsid w:val="00DD5CF2"/>
    <w:rsid w:val="00DD5DB9"/>
    <w:rsid w:val="00DD5F34"/>
    <w:rsid w:val="00DD6000"/>
    <w:rsid w:val="00DD6005"/>
    <w:rsid w:val="00DD6022"/>
    <w:rsid w:val="00DD604C"/>
    <w:rsid w:val="00DD607A"/>
    <w:rsid w:val="00DD60E1"/>
    <w:rsid w:val="00DD612B"/>
    <w:rsid w:val="00DD633B"/>
    <w:rsid w:val="00DD6445"/>
    <w:rsid w:val="00DD66D0"/>
    <w:rsid w:val="00DD6772"/>
    <w:rsid w:val="00DD691A"/>
    <w:rsid w:val="00DD6A02"/>
    <w:rsid w:val="00DD6BB6"/>
    <w:rsid w:val="00DD6CDE"/>
    <w:rsid w:val="00DD6ED5"/>
    <w:rsid w:val="00DD6F9B"/>
    <w:rsid w:val="00DD7003"/>
    <w:rsid w:val="00DD706C"/>
    <w:rsid w:val="00DD7199"/>
    <w:rsid w:val="00DD7264"/>
    <w:rsid w:val="00DD732A"/>
    <w:rsid w:val="00DD744D"/>
    <w:rsid w:val="00DD744E"/>
    <w:rsid w:val="00DD74A0"/>
    <w:rsid w:val="00DD766C"/>
    <w:rsid w:val="00DD76FA"/>
    <w:rsid w:val="00DD76FC"/>
    <w:rsid w:val="00DD774D"/>
    <w:rsid w:val="00DD77CD"/>
    <w:rsid w:val="00DD780C"/>
    <w:rsid w:val="00DD7B7E"/>
    <w:rsid w:val="00DD7D09"/>
    <w:rsid w:val="00DD7DBA"/>
    <w:rsid w:val="00DD7E14"/>
    <w:rsid w:val="00DD7ECB"/>
    <w:rsid w:val="00DE02B7"/>
    <w:rsid w:val="00DE05CB"/>
    <w:rsid w:val="00DE05E6"/>
    <w:rsid w:val="00DE078A"/>
    <w:rsid w:val="00DE0791"/>
    <w:rsid w:val="00DE07AA"/>
    <w:rsid w:val="00DE07B1"/>
    <w:rsid w:val="00DE081D"/>
    <w:rsid w:val="00DE08A2"/>
    <w:rsid w:val="00DE08CA"/>
    <w:rsid w:val="00DE0915"/>
    <w:rsid w:val="00DE09B3"/>
    <w:rsid w:val="00DE0ACB"/>
    <w:rsid w:val="00DE0B67"/>
    <w:rsid w:val="00DE0C9F"/>
    <w:rsid w:val="00DE0CC3"/>
    <w:rsid w:val="00DE0E6E"/>
    <w:rsid w:val="00DE0E99"/>
    <w:rsid w:val="00DE1187"/>
    <w:rsid w:val="00DE1202"/>
    <w:rsid w:val="00DE1531"/>
    <w:rsid w:val="00DE1640"/>
    <w:rsid w:val="00DE17B0"/>
    <w:rsid w:val="00DE1921"/>
    <w:rsid w:val="00DE1C2D"/>
    <w:rsid w:val="00DE1F07"/>
    <w:rsid w:val="00DE2020"/>
    <w:rsid w:val="00DE20D2"/>
    <w:rsid w:val="00DE2500"/>
    <w:rsid w:val="00DE26B5"/>
    <w:rsid w:val="00DE27F2"/>
    <w:rsid w:val="00DE29C3"/>
    <w:rsid w:val="00DE29DB"/>
    <w:rsid w:val="00DE2A97"/>
    <w:rsid w:val="00DE2AB2"/>
    <w:rsid w:val="00DE2AE5"/>
    <w:rsid w:val="00DE2B51"/>
    <w:rsid w:val="00DE2B79"/>
    <w:rsid w:val="00DE2B83"/>
    <w:rsid w:val="00DE2D40"/>
    <w:rsid w:val="00DE2ECF"/>
    <w:rsid w:val="00DE2F13"/>
    <w:rsid w:val="00DE2FCA"/>
    <w:rsid w:val="00DE3068"/>
    <w:rsid w:val="00DE30CB"/>
    <w:rsid w:val="00DE311C"/>
    <w:rsid w:val="00DE318D"/>
    <w:rsid w:val="00DE324D"/>
    <w:rsid w:val="00DE3265"/>
    <w:rsid w:val="00DE32BA"/>
    <w:rsid w:val="00DE333C"/>
    <w:rsid w:val="00DE336F"/>
    <w:rsid w:val="00DE33B6"/>
    <w:rsid w:val="00DE3534"/>
    <w:rsid w:val="00DE356F"/>
    <w:rsid w:val="00DE3826"/>
    <w:rsid w:val="00DE38B5"/>
    <w:rsid w:val="00DE398A"/>
    <w:rsid w:val="00DE3D44"/>
    <w:rsid w:val="00DE40B7"/>
    <w:rsid w:val="00DE41E5"/>
    <w:rsid w:val="00DE41F7"/>
    <w:rsid w:val="00DE426C"/>
    <w:rsid w:val="00DE4277"/>
    <w:rsid w:val="00DE42DC"/>
    <w:rsid w:val="00DE43C2"/>
    <w:rsid w:val="00DE44E9"/>
    <w:rsid w:val="00DE454B"/>
    <w:rsid w:val="00DE4607"/>
    <w:rsid w:val="00DE48CD"/>
    <w:rsid w:val="00DE48D9"/>
    <w:rsid w:val="00DE48E8"/>
    <w:rsid w:val="00DE4946"/>
    <w:rsid w:val="00DE49D1"/>
    <w:rsid w:val="00DE49ED"/>
    <w:rsid w:val="00DE4A27"/>
    <w:rsid w:val="00DE4CB8"/>
    <w:rsid w:val="00DE4D66"/>
    <w:rsid w:val="00DE4E69"/>
    <w:rsid w:val="00DE50A7"/>
    <w:rsid w:val="00DE5140"/>
    <w:rsid w:val="00DE516E"/>
    <w:rsid w:val="00DE521E"/>
    <w:rsid w:val="00DE526B"/>
    <w:rsid w:val="00DE5338"/>
    <w:rsid w:val="00DE5392"/>
    <w:rsid w:val="00DE5460"/>
    <w:rsid w:val="00DE54D7"/>
    <w:rsid w:val="00DE5575"/>
    <w:rsid w:val="00DE55FA"/>
    <w:rsid w:val="00DE5685"/>
    <w:rsid w:val="00DE57F7"/>
    <w:rsid w:val="00DE5922"/>
    <w:rsid w:val="00DE59ED"/>
    <w:rsid w:val="00DE5A74"/>
    <w:rsid w:val="00DE5B73"/>
    <w:rsid w:val="00DE5CFA"/>
    <w:rsid w:val="00DE5D7B"/>
    <w:rsid w:val="00DE5EC5"/>
    <w:rsid w:val="00DE5F60"/>
    <w:rsid w:val="00DE5FA9"/>
    <w:rsid w:val="00DE608F"/>
    <w:rsid w:val="00DE60AC"/>
    <w:rsid w:val="00DE62E6"/>
    <w:rsid w:val="00DE6379"/>
    <w:rsid w:val="00DE64D6"/>
    <w:rsid w:val="00DE66CC"/>
    <w:rsid w:val="00DE6729"/>
    <w:rsid w:val="00DE69FA"/>
    <w:rsid w:val="00DE6A46"/>
    <w:rsid w:val="00DE6B8F"/>
    <w:rsid w:val="00DE6C32"/>
    <w:rsid w:val="00DE6C62"/>
    <w:rsid w:val="00DE6D31"/>
    <w:rsid w:val="00DE6D3E"/>
    <w:rsid w:val="00DE6DEA"/>
    <w:rsid w:val="00DE6E59"/>
    <w:rsid w:val="00DE6EDA"/>
    <w:rsid w:val="00DE6F45"/>
    <w:rsid w:val="00DE6FA3"/>
    <w:rsid w:val="00DE6FD7"/>
    <w:rsid w:val="00DE6FDF"/>
    <w:rsid w:val="00DE710D"/>
    <w:rsid w:val="00DE715A"/>
    <w:rsid w:val="00DE7202"/>
    <w:rsid w:val="00DE7247"/>
    <w:rsid w:val="00DE731C"/>
    <w:rsid w:val="00DE7339"/>
    <w:rsid w:val="00DE7466"/>
    <w:rsid w:val="00DE753F"/>
    <w:rsid w:val="00DE7629"/>
    <w:rsid w:val="00DE7693"/>
    <w:rsid w:val="00DE7697"/>
    <w:rsid w:val="00DE774B"/>
    <w:rsid w:val="00DE7850"/>
    <w:rsid w:val="00DE7983"/>
    <w:rsid w:val="00DE79E8"/>
    <w:rsid w:val="00DE7A07"/>
    <w:rsid w:val="00DE7A90"/>
    <w:rsid w:val="00DE7B73"/>
    <w:rsid w:val="00DE7BB1"/>
    <w:rsid w:val="00DE7D80"/>
    <w:rsid w:val="00DE7ECA"/>
    <w:rsid w:val="00DE7F9D"/>
    <w:rsid w:val="00DE7FAC"/>
    <w:rsid w:val="00DF00FB"/>
    <w:rsid w:val="00DF014C"/>
    <w:rsid w:val="00DF022B"/>
    <w:rsid w:val="00DF0318"/>
    <w:rsid w:val="00DF0323"/>
    <w:rsid w:val="00DF0441"/>
    <w:rsid w:val="00DF04F0"/>
    <w:rsid w:val="00DF05D6"/>
    <w:rsid w:val="00DF05F3"/>
    <w:rsid w:val="00DF0637"/>
    <w:rsid w:val="00DF09B8"/>
    <w:rsid w:val="00DF0B4A"/>
    <w:rsid w:val="00DF0C26"/>
    <w:rsid w:val="00DF0D40"/>
    <w:rsid w:val="00DF0D52"/>
    <w:rsid w:val="00DF0D6A"/>
    <w:rsid w:val="00DF0D73"/>
    <w:rsid w:val="00DF0E79"/>
    <w:rsid w:val="00DF1015"/>
    <w:rsid w:val="00DF151C"/>
    <w:rsid w:val="00DF1668"/>
    <w:rsid w:val="00DF179F"/>
    <w:rsid w:val="00DF190B"/>
    <w:rsid w:val="00DF19C3"/>
    <w:rsid w:val="00DF1A3C"/>
    <w:rsid w:val="00DF1C5B"/>
    <w:rsid w:val="00DF1C97"/>
    <w:rsid w:val="00DF1E02"/>
    <w:rsid w:val="00DF1F08"/>
    <w:rsid w:val="00DF1F18"/>
    <w:rsid w:val="00DF1FE9"/>
    <w:rsid w:val="00DF215F"/>
    <w:rsid w:val="00DF21DC"/>
    <w:rsid w:val="00DF21E5"/>
    <w:rsid w:val="00DF22C8"/>
    <w:rsid w:val="00DF2383"/>
    <w:rsid w:val="00DF24F0"/>
    <w:rsid w:val="00DF2511"/>
    <w:rsid w:val="00DF2581"/>
    <w:rsid w:val="00DF259D"/>
    <w:rsid w:val="00DF26EC"/>
    <w:rsid w:val="00DF278A"/>
    <w:rsid w:val="00DF2873"/>
    <w:rsid w:val="00DF28ED"/>
    <w:rsid w:val="00DF2925"/>
    <w:rsid w:val="00DF2B28"/>
    <w:rsid w:val="00DF2B3C"/>
    <w:rsid w:val="00DF2C65"/>
    <w:rsid w:val="00DF2CAD"/>
    <w:rsid w:val="00DF2CBA"/>
    <w:rsid w:val="00DF2E33"/>
    <w:rsid w:val="00DF2E74"/>
    <w:rsid w:val="00DF32A2"/>
    <w:rsid w:val="00DF3388"/>
    <w:rsid w:val="00DF3475"/>
    <w:rsid w:val="00DF34B2"/>
    <w:rsid w:val="00DF35B3"/>
    <w:rsid w:val="00DF35CF"/>
    <w:rsid w:val="00DF3676"/>
    <w:rsid w:val="00DF370A"/>
    <w:rsid w:val="00DF3711"/>
    <w:rsid w:val="00DF37C8"/>
    <w:rsid w:val="00DF38A0"/>
    <w:rsid w:val="00DF3942"/>
    <w:rsid w:val="00DF394C"/>
    <w:rsid w:val="00DF397A"/>
    <w:rsid w:val="00DF398F"/>
    <w:rsid w:val="00DF3998"/>
    <w:rsid w:val="00DF399A"/>
    <w:rsid w:val="00DF3C30"/>
    <w:rsid w:val="00DF3CFF"/>
    <w:rsid w:val="00DF3D29"/>
    <w:rsid w:val="00DF3E83"/>
    <w:rsid w:val="00DF3E9D"/>
    <w:rsid w:val="00DF4012"/>
    <w:rsid w:val="00DF41D3"/>
    <w:rsid w:val="00DF437B"/>
    <w:rsid w:val="00DF443D"/>
    <w:rsid w:val="00DF4446"/>
    <w:rsid w:val="00DF4484"/>
    <w:rsid w:val="00DF4510"/>
    <w:rsid w:val="00DF4782"/>
    <w:rsid w:val="00DF47A0"/>
    <w:rsid w:val="00DF4972"/>
    <w:rsid w:val="00DF4A1F"/>
    <w:rsid w:val="00DF4B5F"/>
    <w:rsid w:val="00DF4C2F"/>
    <w:rsid w:val="00DF4D27"/>
    <w:rsid w:val="00DF4EE8"/>
    <w:rsid w:val="00DF4F64"/>
    <w:rsid w:val="00DF4FEE"/>
    <w:rsid w:val="00DF5000"/>
    <w:rsid w:val="00DF50C8"/>
    <w:rsid w:val="00DF52DC"/>
    <w:rsid w:val="00DF5445"/>
    <w:rsid w:val="00DF5454"/>
    <w:rsid w:val="00DF54C7"/>
    <w:rsid w:val="00DF55AC"/>
    <w:rsid w:val="00DF56B4"/>
    <w:rsid w:val="00DF56DB"/>
    <w:rsid w:val="00DF5758"/>
    <w:rsid w:val="00DF57CE"/>
    <w:rsid w:val="00DF59A7"/>
    <w:rsid w:val="00DF5B08"/>
    <w:rsid w:val="00DF5E15"/>
    <w:rsid w:val="00DF5E29"/>
    <w:rsid w:val="00DF5E35"/>
    <w:rsid w:val="00DF5E42"/>
    <w:rsid w:val="00DF5E47"/>
    <w:rsid w:val="00DF5F08"/>
    <w:rsid w:val="00DF61DE"/>
    <w:rsid w:val="00DF6405"/>
    <w:rsid w:val="00DF6522"/>
    <w:rsid w:val="00DF6586"/>
    <w:rsid w:val="00DF66B9"/>
    <w:rsid w:val="00DF685F"/>
    <w:rsid w:val="00DF68DB"/>
    <w:rsid w:val="00DF69BB"/>
    <w:rsid w:val="00DF6A61"/>
    <w:rsid w:val="00DF6B98"/>
    <w:rsid w:val="00DF6BBA"/>
    <w:rsid w:val="00DF6C48"/>
    <w:rsid w:val="00DF6E30"/>
    <w:rsid w:val="00DF6F39"/>
    <w:rsid w:val="00DF6FEE"/>
    <w:rsid w:val="00DF707D"/>
    <w:rsid w:val="00DF71B0"/>
    <w:rsid w:val="00DF71D9"/>
    <w:rsid w:val="00DF7207"/>
    <w:rsid w:val="00DF7241"/>
    <w:rsid w:val="00DF7374"/>
    <w:rsid w:val="00DF766E"/>
    <w:rsid w:val="00DF76D4"/>
    <w:rsid w:val="00DF76D9"/>
    <w:rsid w:val="00DF77F9"/>
    <w:rsid w:val="00DF787F"/>
    <w:rsid w:val="00DF78C3"/>
    <w:rsid w:val="00DF799A"/>
    <w:rsid w:val="00DF7A9C"/>
    <w:rsid w:val="00DF7C72"/>
    <w:rsid w:val="00DF7CC8"/>
    <w:rsid w:val="00DF7DA1"/>
    <w:rsid w:val="00DF7EE3"/>
    <w:rsid w:val="00DF7F08"/>
    <w:rsid w:val="00DF7F44"/>
    <w:rsid w:val="00E001BF"/>
    <w:rsid w:val="00E00240"/>
    <w:rsid w:val="00E002C5"/>
    <w:rsid w:val="00E002F4"/>
    <w:rsid w:val="00E00396"/>
    <w:rsid w:val="00E00863"/>
    <w:rsid w:val="00E008AB"/>
    <w:rsid w:val="00E00930"/>
    <w:rsid w:val="00E00A2B"/>
    <w:rsid w:val="00E00A3C"/>
    <w:rsid w:val="00E00ABE"/>
    <w:rsid w:val="00E00B9D"/>
    <w:rsid w:val="00E00C3A"/>
    <w:rsid w:val="00E00C9E"/>
    <w:rsid w:val="00E00DC9"/>
    <w:rsid w:val="00E00E4B"/>
    <w:rsid w:val="00E00EDB"/>
    <w:rsid w:val="00E00EE9"/>
    <w:rsid w:val="00E00FA7"/>
    <w:rsid w:val="00E00FBA"/>
    <w:rsid w:val="00E010C2"/>
    <w:rsid w:val="00E011AA"/>
    <w:rsid w:val="00E01281"/>
    <w:rsid w:val="00E012F4"/>
    <w:rsid w:val="00E0143E"/>
    <w:rsid w:val="00E0145B"/>
    <w:rsid w:val="00E01478"/>
    <w:rsid w:val="00E015E3"/>
    <w:rsid w:val="00E0162F"/>
    <w:rsid w:val="00E017C5"/>
    <w:rsid w:val="00E01873"/>
    <w:rsid w:val="00E01921"/>
    <w:rsid w:val="00E01955"/>
    <w:rsid w:val="00E01AAB"/>
    <w:rsid w:val="00E01AC8"/>
    <w:rsid w:val="00E01B40"/>
    <w:rsid w:val="00E01BE1"/>
    <w:rsid w:val="00E01C0B"/>
    <w:rsid w:val="00E01C91"/>
    <w:rsid w:val="00E01D02"/>
    <w:rsid w:val="00E02083"/>
    <w:rsid w:val="00E0210A"/>
    <w:rsid w:val="00E0213B"/>
    <w:rsid w:val="00E02156"/>
    <w:rsid w:val="00E02342"/>
    <w:rsid w:val="00E023A9"/>
    <w:rsid w:val="00E02431"/>
    <w:rsid w:val="00E02478"/>
    <w:rsid w:val="00E02585"/>
    <w:rsid w:val="00E02726"/>
    <w:rsid w:val="00E027D6"/>
    <w:rsid w:val="00E02871"/>
    <w:rsid w:val="00E028D4"/>
    <w:rsid w:val="00E02A08"/>
    <w:rsid w:val="00E02A50"/>
    <w:rsid w:val="00E02A71"/>
    <w:rsid w:val="00E02AA0"/>
    <w:rsid w:val="00E02C45"/>
    <w:rsid w:val="00E02CB8"/>
    <w:rsid w:val="00E02CBB"/>
    <w:rsid w:val="00E02D55"/>
    <w:rsid w:val="00E02E4C"/>
    <w:rsid w:val="00E02F66"/>
    <w:rsid w:val="00E02FEE"/>
    <w:rsid w:val="00E0310F"/>
    <w:rsid w:val="00E03159"/>
    <w:rsid w:val="00E03186"/>
    <w:rsid w:val="00E033FD"/>
    <w:rsid w:val="00E03612"/>
    <w:rsid w:val="00E038C4"/>
    <w:rsid w:val="00E03994"/>
    <w:rsid w:val="00E039EF"/>
    <w:rsid w:val="00E03B97"/>
    <w:rsid w:val="00E03D21"/>
    <w:rsid w:val="00E03E6A"/>
    <w:rsid w:val="00E03FED"/>
    <w:rsid w:val="00E040EA"/>
    <w:rsid w:val="00E04124"/>
    <w:rsid w:val="00E04388"/>
    <w:rsid w:val="00E043F8"/>
    <w:rsid w:val="00E04408"/>
    <w:rsid w:val="00E0453D"/>
    <w:rsid w:val="00E0464F"/>
    <w:rsid w:val="00E046CA"/>
    <w:rsid w:val="00E046FD"/>
    <w:rsid w:val="00E04737"/>
    <w:rsid w:val="00E049E1"/>
    <w:rsid w:val="00E04B03"/>
    <w:rsid w:val="00E04B6B"/>
    <w:rsid w:val="00E04BFE"/>
    <w:rsid w:val="00E04C18"/>
    <w:rsid w:val="00E04C4A"/>
    <w:rsid w:val="00E04D40"/>
    <w:rsid w:val="00E04D80"/>
    <w:rsid w:val="00E04DF5"/>
    <w:rsid w:val="00E04DFD"/>
    <w:rsid w:val="00E04F69"/>
    <w:rsid w:val="00E050A8"/>
    <w:rsid w:val="00E052A7"/>
    <w:rsid w:val="00E052B4"/>
    <w:rsid w:val="00E05424"/>
    <w:rsid w:val="00E055CA"/>
    <w:rsid w:val="00E055F7"/>
    <w:rsid w:val="00E057AA"/>
    <w:rsid w:val="00E057C7"/>
    <w:rsid w:val="00E057E2"/>
    <w:rsid w:val="00E05838"/>
    <w:rsid w:val="00E05970"/>
    <w:rsid w:val="00E059B2"/>
    <w:rsid w:val="00E059D9"/>
    <w:rsid w:val="00E05BC4"/>
    <w:rsid w:val="00E05DAA"/>
    <w:rsid w:val="00E05DF8"/>
    <w:rsid w:val="00E05E31"/>
    <w:rsid w:val="00E05E45"/>
    <w:rsid w:val="00E06066"/>
    <w:rsid w:val="00E0640E"/>
    <w:rsid w:val="00E0655E"/>
    <w:rsid w:val="00E06560"/>
    <w:rsid w:val="00E0661C"/>
    <w:rsid w:val="00E066CA"/>
    <w:rsid w:val="00E068D3"/>
    <w:rsid w:val="00E06905"/>
    <w:rsid w:val="00E06A34"/>
    <w:rsid w:val="00E06A42"/>
    <w:rsid w:val="00E06A48"/>
    <w:rsid w:val="00E06BB0"/>
    <w:rsid w:val="00E06E66"/>
    <w:rsid w:val="00E07043"/>
    <w:rsid w:val="00E07078"/>
    <w:rsid w:val="00E07182"/>
    <w:rsid w:val="00E0721C"/>
    <w:rsid w:val="00E073FF"/>
    <w:rsid w:val="00E0744C"/>
    <w:rsid w:val="00E0744D"/>
    <w:rsid w:val="00E07451"/>
    <w:rsid w:val="00E075A2"/>
    <w:rsid w:val="00E0762C"/>
    <w:rsid w:val="00E07702"/>
    <w:rsid w:val="00E0774F"/>
    <w:rsid w:val="00E0777B"/>
    <w:rsid w:val="00E0778B"/>
    <w:rsid w:val="00E078C6"/>
    <w:rsid w:val="00E07A99"/>
    <w:rsid w:val="00E07AE8"/>
    <w:rsid w:val="00E07B28"/>
    <w:rsid w:val="00E07B70"/>
    <w:rsid w:val="00E07B79"/>
    <w:rsid w:val="00E07C4A"/>
    <w:rsid w:val="00E07C6E"/>
    <w:rsid w:val="00E10152"/>
    <w:rsid w:val="00E10386"/>
    <w:rsid w:val="00E103C0"/>
    <w:rsid w:val="00E10414"/>
    <w:rsid w:val="00E10469"/>
    <w:rsid w:val="00E10491"/>
    <w:rsid w:val="00E10587"/>
    <w:rsid w:val="00E105B7"/>
    <w:rsid w:val="00E107FD"/>
    <w:rsid w:val="00E10C57"/>
    <w:rsid w:val="00E10C62"/>
    <w:rsid w:val="00E10D39"/>
    <w:rsid w:val="00E10D6B"/>
    <w:rsid w:val="00E10E5A"/>
    <w:rsid w:val="00E10EB5"/>
    <w:rsid w:val="00E10EDF"/>
    <w:rsid w:val="00E1103B"/>
    <w:rsid w:val="00E11052"/>
    <w:rsid w:val="00E11191"/>
    <w:rsid w:val="00E111F9"/>
    <w:rsid w:val="00E1129F"/>
    <w:rsid w:val="00E112A7"/>
    <w:rsid w:val="00E11315"/>
    <w:rsid w:val="00E1136B"/>
    <w:rsid w:val="00E113FF"/>
    <w:rsid w:val="00E11665"/>
    <w:rsid w:val="00E11857"/>
    <w:rsid w:val="00E118EE"/>
    <w:rsid w:val="00E11A2E"/>
    <w:rsid w:val="00E11CEE"/>
    <w:rsid w:val="00E11D6D"/>
    <w:rsid w:val="00E11D71"/>
    <w:rsid w:val="00E11E85"/>
    <w:rsid w:val="00E11F6F"/>
    <w:rsid w:val="00E11FB8"/>
    <w:rsid w:val="00E120D6"/>
    <w:rsid w:val="00E12281"/>
    <w:rsid w:val="00E12513"/>
    <w:rsid w:val="00E12623"/>
    <w:rsid w:val="00E12750"/>
    <w:rsid w:val="00E12A96"/>
    <w:rsid w:val="00E12AA8"/>
    <w:rsid w:val="00E12BA5"/>
    <w:rsid w:val="00E12BBC"/>
    <w:rsid w:val="00E12C3E"/>
    <w:rsid w:val="00E12F9D"/>
    <w:rsid w:val="00E13108"/>
    <w:rsid w:val="00E13318"/>
    <w:rsid w:val="00E1332F"/>
    <w:rsid w:val="00E13355"/>
    <w:rsid w:val="00E133EA"/>
    <w:rsid w:val="00E135CB"/>
    <w:rsid w:val="00E135DC"/>
    <w:rsid w:val="00E13621"/>
    <w:rsid w:val="00E1362C"/>
    <w:rsid w:val="00E13755"/>
    <w:rsid w:val="00E1376C"/>
    <w:rsid w:val="00E13798"/>
    <w:rsid w:val="00E138D9"/>
    <w:rsid w:val="00E13974"/>
    <w:rsid w:val="00E13991"/>
    <w:rsid w:val="00E13B1F"/>
    <w:rsid w:val="00E13B37"/>
    <w:rsid w:val="00E13CB9"/>
    <w:rsid w:val="00E13D91"/>
    <w:rsid w:val="00E13E90"/>
    <w:rsid w:val="00E13FAB"/>
    <w:rsid w:val="00E13FB2"/>
    <w:rsid w:val="00E14044"/>
    <w:rsid w:val="00E14165"/>
    <w:rsid w:val="00E141DE"/>
    <w:rsid w:val="00E14307"/>
    <w:rsid w:val="00E14493"/>
    <w:rsid w:val="00E1462C"/>
    <w:rsid w:val="00E1468B"/>
    <w:rsid w:val="00E146E5"/>
    <w:rsid w:val="00E147E8"/>
    <w:rsid w:val="00E14837"/>
    <w:rsid w:val="00E1487D"/>
    <w:rsid w:val="00E14920"/>
    <w:rsid w:val="00E14932"/>
    <w:rsid w:val="00E14A7A"/>
    <w:rsid w:val="00E14AA0"/>
    <w:rsid w:val="00E14AAA"/>
    <w:rsid w:val="00E14B9A"/>
    <w:rsid w:val="00E14BB4"/>
    <w:rsid w:val="00E14CB1"/>
    <w:rsid w:val="00E14CD7"/>
    <w:rsid w:val="00E14E13"/>
    <w:rsid w:val="00E14EBD"/>
    <w:rsid w:val="00E14EC7"/>
    <w:rsid w:val="00E15110"/>
    <w:rsid w:val="00E1517D"/>
    <w:rsid w:val="00E151A7"/>
    <w:rsid w:val="00E15249"/>
    <w:rsid w:val="00E15418"/>
    <w:rsid w:val="00E15441"/>
    <w:rsid w:val="00E15515"/>
    <w:rsid w:val="00E15609"/>
    <w:rsid w:val="00E1567B"/>
    <w:rsid w:val="00E1582B"/>
    <w:rsid w:val="00E1586B"/>
    <w:rsid w:val="00E15975"/>
    <w:rsid w:val="00E15B19"/>
    <w:rsid w:val="00E15F5E"/>
    <w:rsid w:val="00E16121"/>
    <w:rsid w:val="00E16279"/>
    <w:rsid w:val="00E1632D"/>
    <w:rsid w:val="00E1644F"/>
    <w:rsid w:val="00E16606"/>
    <w:rsid w:val="00E166B8"/>
    <w:rsid w:val="00E1670B"/>
    <w:rsid w:val="00E16775"/>
    <w:rsid w:val="00E16873"/>
    <w:rsid w:val="00E168F1"/>
    <w:rsid w:val="00E16BF9"/>
    <w:rsid w:val="00E16E19"/>
    <w:rsid w:val="00E16F97"/>
    <w:rsid w:val="00E16FBC"/>
    <w:rsid w:val="00E16FCC"/>
    <w:rsid w:val="00E17023"/>
    <w:rsid w:val="00E17055"/>
    <w:rsid w:val="00E17092"/>
    <w:rsid w:val="00E17128"/>
    <w:rsid w:val="00E1712B"/>
    <w:rsid w:val="00E17234"/>
    <w:rsid w:val="00E17297"/>
    <w:rsid w:val="00E1739D"/>
    <w:rsid w:val="00E17467"/>
    <w:rsid w:val="00E175F0"/>
    <w:rsid w:val="00E1766F"/>
    <w:rsid w:val="00E176DE"/>
    <w:rsid w:val="00E177CE"/>
    <w:rsid w:val="00E177E7"/>
    <w:rsid w:val="00E177F2"/>
    <w:rsid w:val="00E17923"/>
    <w:rsid w:val="00E17A07"/>
    <w:rsid w:val="00E17A2E"/>
    <w:rsid w:val="00E17A8F"/>
    <w:rsid w:val="00E17ACD"/>
    <w:rsid w:val="00E17B6D"/>
    <w:rsid w:val="00E17BE3"/>
    <w:rsid w:val="00E17C2E"/>
    <w:rsid w:val="00E17F9D"/>
    <w:rsid w:val="00E17FC1"/>
    <w:rsid w:val="00E2006B"/>
    <w:rsid w:val="00E201D6"/>
    <w:rsid w:val="00E2036B"/>
    <w:rsid w:val="00E20522"/>
    <w:rsid w:val="00E2072B"/>
    <w:rsid w:val="00E207C1"/>
    <w:rsid w:val="00E20897"/>
    <w:rsid w:val="00E20BC3"/>
    <w:rsid w:val="00E20E97"/>
    <w:rsid w:val="00E20EC3"/>
    <w:rsid w:val="00E20FE5"/>
    <w:rsid w:val="00E210CD"/>
    <w:rsid w:val="00E212EC"/>
    <w:rsid w:val="00E213A9"/>
    <w:rsid w:val="00E21489"/>
    <w:rsid w:val="00E21669"/>
    <w:rsid w:val="00E21958"/>
    <w:rsid w:val="00E21A89"/>
    <w:rsid w:val="00E21C3A"/>
    <w:rsid w:val="00E21CCA"/>
    <w:rsid w:val="00E21CE0"/>
    <w:rsid w:val="00E21F58"/>
    <w:rsid w:val="00E21FE7"/>
    <w:rsid w:val="00E2202D"/>
    <w:rsid w:val="00E2204B"/>
    <w:rsid w:val="00E2215E"/>
    <w:rsid w:val="00E221D8"/>
    <w:rsid w:val="00E22214"/>
    <w:rsid w:val="00E22372"/>
    <w:rsid w:val="00E2243E"/>
    <w:rsid w:val="00E224AE"/>
    <w:rsid w:val="00E225A9"/>
    <w:rsid w:val="00E2262D"/>
    <w:rsid w:val="00E226A1"/>
    <w:rsid w:val="00E22730"/>
    <w:rsid w:val="00E22776"/>
    <w:rsid w:val="00E22796"/>
    <w:rsid w:val="00E228E2"/>
    <w:rsid w:val="00E229A0"/>
    <w:rsid w:val="00E229A4"/>
    <w:rsid w:val="00E22B4D"/>
    <w:rsid w:val="00E22B69"/>
    <w:rsid w:val="00E22B8E"/>
    <w:rsid w:val="00E22D1E"/>
    <w:rsid w:val="00E22D51"/>
    <w:rsid w:val="00E22F41"/>
    <w:rsid w:val="00E232DC"/>
    <w:rsid w:val="00E23399"/>
    <w:rsid w:val="00E2365B"/>
    <w:rsid w:val="00E23705"/>
    <w:rsid w:val="00E238B5"/>
    <w:rsid w:val="00E23AF0"/>
    <w:rsid w:val="00E23CB1"/>
    <w:rsid w:val="00E23D09"/>
    <w:rsid w:val="00E23D73"/>
    <w:rsid w:val="00E23E80"/>
    <w:rsid w:val="00E240D6"/>
    <w:rsid w:val="00E2421F"/>
    <w:rsid w:val="00E2427C"/>
    <w:rsid w:val="00E24470"/>
    <w:rsid w:val="00E244D6"/>
    <w:rsid w:val="00E24535"/>
    <w:rsid w:val="00E24961"/>
    <w:rsid w:val="00E24A23"/>
    <w:rsid w:val="00E24B3E"/>
    <w:rsid w:val="00E24BA2"/>
    <w:rsid w:val="00E24C22"/>
    <w:rsid w:val="00E24C96"/>
    <w:rsid w:val="00E24D5F"/>
    <w:rsid w:val="00E24D8C"/>
    <w:rsid w:val="00E24DD6"/>
    <w:rsid w:val="00E24EA1"/>
    <w:rsid w:val="00E24F79"/>
    <w:rsid w:val="00E24F9A"/>
    <w:rsid w:val="00E25160"/>
    <w:rsid w:val="00E2528F"/>
    <w:rsid w:val="00E25593"/>
    <w:rsid w:val="00E25645"/>
    <w:rsid w:val="00E2565F"/>
    <w:rsid w:val="00E257A9"/>
    <w:rsid w:val="00E25998"/>
    <w:rsid w:val="00E2599E"/>
    <w:rsid w:val="00E25A35"/>
    <w:rsid w:val="00E25A63"/>
    <w:rsid w:val="00E25AB3"/>
    <w:rsid w:val="00E25AFA"/>
    <w:rsid w:val="00E25C7C"/>
    <w:rsid w:val="00E25C8C"/>
    <w:rsid w:val="00E25E49"/>
    <w:rsid w:val="00E25F84"/>
    <w:rsid w:val="00E261AF"/>
    <w:rsid w:val="00E261E6"/>
    <w:rsid w:val="00E26493"/>
    <w:rsid w:val="00E264C3"/>
    <w:rsid w:val="00E264CD"/>
    <w:rsid w:val="00E2655A"/>
    <w:rsid w:val="00E26612"/>
    <w:rsid w:val="00E2666D"/>
    <w:rsid w:val="00E26703"/>
    <w:rsid w:val="00E2670A"/>
    <w:rsid w:val="00E2671C"/>
    <w:rsid w:val="00E26830"/>
    <w:rsid w:val="00E269C6"/>
    <w:rsid w:val="00E26A5F"/>
    <w:rsid w:val="00E26B1C"/>
    <w:rsid w:val="00E26B40"/>
    <w:rsid w:val="00E26C00"/>
    <w:rsid w:val="00E26DD0"/>
    <w:rsid w:val="00E26EBE"/>
    <w:rsid w:val="00E26EDF"/>
    <w:rsid w:val="00E26FB8"/>
    <w:rsid w:val="00E26FDE"/>
    <w:rsid w:val="00E26FFC"/>
    <w:rsid w:val="00E27115"/>
    <w:rsid w:val="00E27195"/>
    <w:rsid w:val="00E27230"/>
    <w:rsid w:val="00E27243"/>
    <w:rsid w:val="00E27316"/>
    <w:rsid w:val="00E274BA"/>
    <w:rsid w:val="00E27578"/>
    <w:rsid w:val="00E2758C"/>
    <w:rsid w:val="00E2759B"/>
    <w:rsid w:val="00E278D0"/>
    <w:rsid w:val="00E27904"/>
    <w:rsid w:val="00E27A78"/>
    <w:rsid w:val="00E27B53"/>
    <w:rsid w:val="00E27C54"/>
    <w:rsid w:val="00E27C69"/>
    <w:rsid w:val="00E27C95"/>
    <w:rsid w:val="00E27D83"/>
    <w:rsid w:val="00E27D9E"/>
    <w:rsid w:val="00E27DE8"/>
    <w:rsid w:val="00E27E3B"/>
    <w:rsid w:val="00E27EDA"/>
    <w:rsid w:val="00E27FE5"/>
    <w:rsid w:val="00E3001B"/>
    <w:rsid w:val="00E30080"/>
    <w:rsid w:val="00E300CA"/>
    <w:rsid w:val="00E300E3"/>
    <w:rsid w:val="00E3024C"/>
    <w:rsid w:val="00E30304"/>
    <w:rsid w:val="00E30346"/>
    <w:rsid w:val="00E303A6"/>
    <w:rsid w:val="00E30403"/>
    <w:rsid w:val="00E30552"/>
    <w:rsid w:val="00E30568"/>
    <w:rsid w:val="00E30995"/>
    <w:rsid w:val="00E309EC"/>
    <w:rsid w:val="00E30A2D"/>
    <w:rsid w:val="00E30AC5"/>
    <w:rsid w:val="00E30B1A"/>
    <w:rsid w:val="00E30B60"/>
    <w:rsid w:val="00E30D92"/>
    <w:rsid w:val="00E30DB6"/>
    <w:rsid w:val="00E30F16"/>
    <w:rsid w:val="00E31045"/>
    <w:rsid w:val="00E311A8"/>
    <w:rsid w:val="00E312A5"/>
    <w:rsid w:val="00E31466"/>
    <w:rsid w:val="00E314A2"/>
    <w:rsid w:val="00E3152F"/>
    <w:rsid w:val="00E315C0"/>
    <w:rsid w:val="00E3164E"/>
    <w:rsid w:val="00E3166C"/>
    <w:rsid w:val="00E3171D"/>
    <w:rsid w:val="00E31750"/>
    <w:rsid w:val="00E3177D"/>
    <w:rsid w:val="00E318CA"/>
    <w:rsid w:val="00E31A50"/>
    <w:rsid w:val="00E31B45"/>
    <w:rsid w:val="00E31B6A"/>
    <w:rsid w:val="00E31B88"/>
    <w:rsid w:val="00E31BA6"/>
    <w:rsid w:val="00E31C72"/>
    <w:rsid w:val="00E31CB2"/>
    <w:rsid w:val="00E31CD3"/>
    <w:rsid w:val="00E31DB8"/>
    <w:rsid w:val="00E3202F"/>
    <w:rsid w:val="00E32180"/>
    <w:rsid w:val="00E3225B"/>
    <w:rsid w:val="00E3227D"/>
    <w:rsid w:val="00E323A6"/>
    <w:rsid w:val="00E323F5"/>
    <w:rsid w:val="00E326B4"/>
    <w:rsid w:val="00E32700"/>
    <w:rsid w:val="00E3270F"/>
    <w:rsid w:val="00E32719"/>
    <w:rsid w:val="00E3274C"/>
    <w:rsid w:val="00E32905"/>
    <w:rsid w:val="00E32950"/>
    <w:rsid w:val="00E32ACE"/>
    <w:rsid w:val="00E32AF4"/>
    <w:rsid w:val="00E32B2F"/>
    <w:rsid w:val="00E32BE6"/>
    <w:rsid w:val="00E32C0B"/>
    <w:rsid w:val="00E32C51"/>
    <w:rsid w:val="00E32CBA"/>
    <w:rsid w:val="00E32D3B"/>
    <w:rsid w:val="00E32E31"/>
    <w:rsid w:val="00E32E5A"/>
    <w:rsid w:val="00E32F26"/>
    <w:rsid w:val="00E32F87"/>
    <w:rsid w:val="00E32FA0"/>
    <w:rsid w:val="00E330A3"/>
    <w:rsid w:val="00E33173"/>
    <w:rsid w:val="00E33234"/>
    <w:rsid w:val="00E33295"/>
    <w:rsid w:val="00E332BE"/>
    <w:rsid w:val="00E334F0"/>
    <w:rsid w:val="00E3368F"/>
    <w:rsid w:val="00E337E0"/>
    <w:rsid w:val="00E338A1"/>
    <w:rsid w:val="00E33990"/>
    <w:rsid w:val="00E339F4"/>
    <w:rsid w:val="00E33A1B"/>
    <w:rsid w:val="00E33A60"/>
    <w:rsid w:val="00E33AA2"/>
    <w:rsid w:val="00E33B59"/>
    <w:rsid w:val="00E33C37"/>
    <w:rsid w:val="00E33DD7"/>
    <w:rsid w:val="00E33EEF"/>
    <w:rsid w:val="00E3421F"/>
    <w:rsid w:val="00E34316"/>
    <w:rsid w:val="00E3431E"/>
    <w:rsid w:val="00E345F3"/>
    <w:rsid w:val="00E34986"/>
    <w:rsid w:val="00E349E8"/>
    <w:rsid w:val="00E349E9"/>
    <w:rsid w:val="00E34AB3"/>
    <w:rsid w:val="00E34BDD"/>
    <w:rsid w:val="00E34CB1"/>
    <w:rsid w:val="00E34DED"/>
    <w:rsid w:val="00E34EC0"/>
    <w:rsid w:val="00E351DE"/>
    <w:rsid w:val="00E3535E"/>
    <w:rsid w:val="00E353E8"/>
    <w:rsid w:val="00E35499"/>
    <w:rsid w:val="00E354B5"/>
    <w:rsid w:val="00E35628"/>
    <w:rsid w:val="00E357EE"/>
    <w:rsid w:val="00E35878"/>
    <w:rsid w:val="00E3587A"/>
    <w:rsid w:val="00E35909"/>
    <w:rsid w:val="00E359B8"/>
    <w:rsid w:val="00E359E8"/>
    <w:rsid w:val="00E35A08"/>
    <w:rsid w:val="00E35A16"/>
    <w:rsid w:val="00E35A4F"/>
    <w:rsid w:val="00E35ACE"/>
    <w:rsid w:val="00E35AE5"/>
    <w:rsid w:val="00E35E9A"/>
    <w:rsid w:val="00E35F3D"/>
    <w:rsid w:val="00E35FA1"/>
    <w:rsid w:val="00E3605C"/>
    <w:rsid w:val="00E360FB"/>
    <w:rsid w:val="00E36187"/>
    <w:rsid w:val="00E36326"/>
    <w:rsid w:val="00E36333"/>
    <w:rsid w:val="00E36363"/>
    <w:rsid w:val="00E36576"/>
    <w:rsid w:val="00E36636"/>
    <w:rsid w:val="00E3669F"/>
    <w:rsid w:val="00E36704"/>
    <w:rsid w:val="00E367DA"/>
    <w:rsid w:val="00E36831"/>
    <w:rsid w:val="00E36832"/>
    <w:rsid w:val="00E368E7"/>
    <w:rsid w:val="00E36A6E"/>
    <w:rsid w:val="00E36A83"/>
    <w:rsid w:val="00E36B1E"/>
    <w:rsid w:val="00E36B2C"/>
    <w:rsid w:val="00E36B9F"/>
    <w:rsid w:val="00E36C29"/>
    <w:rsid w:val="00E36E13"/>
    <w:rsid w:val="00E36F08"/>
    <w:rsid w:val="00E36FBB"/>
    <w:rsid w:val="00E3706E"/>
    <w:rsid w:val="00E372F6"/>
    <w:rsid w:val="00E373DF"/>
    <w:rsid w:val="00E374B1"/>
    <w:rsid w:val="00E376C2"/>
    <w:rsid w:val="00E37713"/>
    <w:rsid w:val="00E377AB"/>
    <w:rsid w:val="00E379CC"/>
    <w:rsid w:val="00E37B85"/>
    <w:rsid w:val="00E37BF8"/>
    <w:rsid w:val="00E37C3E"/>
    <w:rsid w:val="00E37C5B"/>
    <w:rsid w:val="00E37CA6"/>
    <w:rsid w:val="00E37CAF"/>
    <w:rsid w:val="00E37CDF"/>
    <w:rsid w:val="00E37FDC"/>
    <w:rsid w:val="00E37FE9"/>
    <w:rsid w:val="00E4011A"/>
    <w:rsid w:val="00E40272"/>
    <w:rsid w:val="00E402CD"/>
    <w:rsid w:val="00E402D7"/>
    <w:rsid w:val="00E402DE"/>
    <w:rsid w:val="00E402E1"/>
    <w:rsid w:val="00E40372"/>
    <w:rsid w:val="00E404D8"/>
    <w:rsid w:val="00E40567"/>
    <w:rsid w:val="00E40601"/>
    <w:rsid w:val="00E4062C"/>
    <w:rsid w:val="00E4063A"/>
    <w:rsid w:val="00E40693"/>
    <w:rsid w:val="00E406B2"/>
    <w:rsid w:val="00E409A5"/>
    <w:rsid w:val="00E40B04"/>
    <w:rsid w:val="00E40C2D"/>
    <w:rsid w:val="00E40DCB"/>
    <w:rsid w:val="00E40E63"/>
    <w:rsid w:val="00E40EC4"/>
    <w:rsid w:val="00E40FAD"/>
    <w:rsid w:val="00E41057"/>
    <w:rsid w:val="00E41095"/>
    <w:rsid w:val="00E41108"/>
    <w:rsid w:val="00E41177"/>
    <w:rsid w:val="00E412B2"/>
    <w:rsid w:val="00E413DD"/>
    <w:rsid w:val="00E414A3"/>
    <w:rsid w:val="00E41579"/>
    <w:rsid w:val="00E41585"/>
    <w:rsid w:val="00E41601"/>
    <w:rsid w:val="00E4160B"/>
    <w:rsid w:val="00E4164A"/>
    <w:rsid w:val="00E416F7"/>
    <w:rsid w:val="00E41738"/>
    <w:rsid w:val="00E4188C"/>
    <w:rsid w:val="00E41939"/>
    <w:rsid w:val="00E41A6A"/>
    <w:rsid w:val="00E41A87"/>
    <w:rsid w:val="00E41B63"/>
    <w:rsid w:val="00E41DAF"/>
    <w:rsid w:val="00E41EAA"/>
    <w:rsid w:val="00E41F75"/>
    <w:rsid w:val="00E420CB"/>
    <w:rsid w:val="00E42183"/>
    <w:rsid w:val="00E42209"/>
    <w:rsid w:val="00E422C5"/>
    <w:rsid w:val="00E42338"/>
    <w:rsid w:val="00E424C9"/>
    <w:rsid w:val="00E424D6"/>
    <w:rsid w:val="00E4255B"/>
    <w:rsid w:val="00E42572"/>
    <w:rsid w:val="00E425C4"/>
    <w:rsid w:val="00E426CE"/>
    <w:rsid w:val="00E426DA"/>
    <w:rsid w:val="00E426E3"/>
    <w:rsid w:val="00E42740"/>
    <w:rsid w:val="00E42805"/>
    <w:rsid w:val="00E42838"/>
    <w:rsid w:val="00E42890"/>
    <w:rsid w:val="00E4298A"/>
    <w:rsid w:val="00E42A10"/>
    <w:rsid w:val="00E42A71"/>
    <w:rsid w:val="00E42B65"/>
    <w:rsid w:val="00E42BB9"/>
    <w:rsid w:val="00E42BC6"/>
    <w:rsid w:val="00E42DB5"/>
    <w:rsid w:val="00E42E3C"/>
    <w:rsid w:val="00E42F4D"/>
    <w:rsid w:val="00E42F51"/>
    <w:rsid w:val="00E42F92"/>
    <w:rsid w:val="00E42FA8"/>
    <w:rsid w:val="00E42FAC"/>
    <w:rsid w:val="00E43019"/>
    <w:rsid w:val="00E43168"/>
    <w:rsid w:val="00E43398"/>
    <w:rsid w:val="00E433CE"/>
    <w:rsid w:val="00E4346B"/>
    <w:rsid w:val="00E435F4"/>
    <w:rsid w:val="00E43647"/>
    <w:rsid w:val="00E43849"/>
    <w:rsid w:val="00E43898"/>
    <w:rsid w:val="00E438FB"/>
    <w:rsid w:val="00E439DD"/>
    <w:rsid w:val="00E43AAD"/>
    <w:rsid w:val="00E43BB1"/>
    <w:rsid w:val="00E43C5D"/>
    <w:rsid w:val="00E43DAC"/>
    <w:rsid w:val="00E43E8F"/>
    <w:rsid w:val="00E43FDA"/>
    <w:rsid w:val="00E44029"/>
    <w:rsid w:val="00E44195"/>
    <w:rsid w:val="00E441E1"/>
    <w:rsid w:val="00E44289"/>
    <w:rsid w:val="00E4435B"/>
    <w:rsid w:val="00E44409"/>
    <w:rsid w:val="00E444E9"/>
    <w:rsid w:val="00E4452C"/>
    <w:rsid w:val="00E4470B"/>
    <w:rsid w:val="00E44B8C"/>
    <w:rsid w:val="00E44BB6"/>
    <w:rsid w:val="00E44BF0"/>
    <w:rsid w:val="00E44C86"/>
    <w:rsid w:val="00E44CFC"/>
    <w:rsid w:val="00E4501E"/>
    <w:rsid w:val="00E45216"/>
    <w:rsid w:val="00E45262"/>
    <w:rsid w:val="00E454B9"/>
    <w:rsid w:val="00E45633"/>
    <w:rsid w:val="00E45716"/>
    <w:rsid w:val="00E4571C"/>
    <w:rsid w:val="00E45AB7"/>
    <w:rsid w:val="00E45AEA"/>
    <w:rsid w:val="00E45B26"/>
    <w:rsid w:val="00E45B9E"/>
    <w:rsid w:val="00E45E2F"/>
    <w:rsid w:val="00E45F6C"/>
    <w:rsid w:val="00E45F72"/>
    <w:rsid w:val="00E45FCD"/>
    <w:rsid w:val="00E46016"/>
    <w:rsid w:val="00E46038"/>
    <w:rsid w:val="00E46077"/>
    <w:rsid w:val="00E460B8"/>
    <w:rsid w:val="00E46183"/>
    <w:rsid w:val="00E462E6"/>
    <w:rsid w:val="00E463DA"/>
    <w:rsid w:val="00E4645E"/>
    <w:rsid w:val="00E4658D"/>
    <w:rsid w:val="00E467EF"/>
    <w:rsid w:val="00E468F8"/>
    <w:rsid w:val="00E4690A"/>
    <w:rsid w:val="00E4696A"/>
    <w:rsid w:val="00E46971"/>
    <w:rsid w:val="00E46B33"/>
    <w:rsid w:val="00E46D15"/>
    <w:rsid w:val="00E47127"/>
    <w:rsid w:val="00E471E3"/>
    <w:rsid w:val="00E47272"/>
    <w:rsid w:val="00E47274"/>
    <w:rsid w:val="00E472E6"/>
    <w:rsid w:val="00E47382"/>
    <w:rsid w:val="00E4743D"/>
    <w:rsid w:val="00E4745E"/>
    <w:rsid w:val="00E474A2"/>
    <w:rsid w:val="00E4751B"/>
    <w:rsid w:val="00E475B0"/>
    <w:rsid w:val="00E47735"/>
    <w:rsid w:val="00E47825"/>
    <w:rsid w:val="00E478B8"/>
    <w:rsid w:val="00E4791A"/>
    <w:rsid w:val="00E479A5"/>
    <w:rsid w:val="00E47B8B"/>
    <w:rsid w:val="00E47BED"/>
    <w:rsid w:val="00E47C47"/>
    <w:rsid w:val="00E47C51"/>
    <w:rsid w:val="00E47F79"/>
    <w:rsid w:val="00E501D0"/>
    <w:rsid w:val="00E502FE"/>
    <w:rsid w:val="00E5030F"/>
    <w:rsid w:val="00E50358"/>
    <w:rsid w:val="00E50433"/>
    <w:rsid w:val="00E504AA"/>
    <w:rsid w:val="00E504C8"/>
    <w:rsid w:val="00E50524"/>
    <w:rsid w:val="00E5071E"/>
    <w:rsid w:val="00E50B49"/>
    <w:rsid w:val="00E50B70"/>
    <w:rsid w:val="00E50CE7"/>
    <w:rsid w:val="00E50E7C"/>
    <w:rsid w:val="00E50EF8"/>
    <w:rsid w:val="00E50FF7"/>
    <w:rsid w:val="00E510EC"/>
    <w:rsid w:val="00E51106"/>
    <w:rsid w:val="00E51160"/>
    <w:rsid w:val="00E5117D"/>
    <w:rsid w:val="00E51286"/>
    <w:rsid w:val="00E51545"/>
    <w:rsid w:val="00E51643"/>
    <w:rsid w:val="00E51680"/>
    <w:rsid w:val="00E51860"/>
    <w:rsid w:val="00E5194F"/>
    <w:rsid w:val="00E519D7"/>
    <w:rsid w:val="00E51A9C"/>
    <w:rsid w:val="00E51B3A"/>
    <w:rsid w:val="00E51C28"/>
    <w:rsid w:val="00E51CC1"/>
    <w:rsid w:val="00E520B3"/>
    <w:rsid w:val="00E521CD"/>
    <w:rsid w:val="00E521FC"/>
    <w:rsid w:val="00E5235D"/>
    <w:rsid w:val="00E523F7"/>
    <w:rsid w:val="00E52537"/>
    <w:rsid w:val="00E52653"/>
    <w:rsid w:val="00E5269E"/>
    <w:rsid w:val="00E526CC"/>
    <w:rsid w:val="00E5279B"/>
    <w:rsid w:val="00E528E0"/>
    <w:rsid w:val="00E52905"/>
    <w:rsid w:val="00E52C15"/>
    <w:rsid w:val="00E52D26"/>
    <w:rsid w:val="00E52D83"/>
    <w:rsid w:val="00E52E6C"/>
    <w:rsid w:val="00E52F40"/>
    <w:rsid w:val="00E52FAE"/>
    <w:rsid w:val="00E52FCB"/>
    <w:rsid w:val="00E53039"/>
    <w:rsid w:val="00E530F1"/>
    <w:rsid w:val="00E53146"/>
    <w:rsid w:val="00E53152"/>
    <w:rsid w:val="00E531A3"/>
    <w:rsid w:val="00E531B3"/>
    <w:rsid w:val="00E53247"/>
    <w:rsid w:val="00E5369B"/>
    <w:rsid w:val="00E5376B"/>
    <w:rsid w:val="00E5384E"/>
    <w:rsid w:val="00E538A8"/>
    <w:rsid w:val="00E53906"/>
    <w:rsid w:val="00E53BBA"/>
    <w:rsid w:val="00E53C93"/>
    <w:rsid w:val="00E53D6D"/>
    <w:rsid w:val="00E53DFA"/>
    <w:rsid w:val="00E53DFE"/>
    <w:rsid w:val="00E54105"/>
    <w:rsid w:val="00E54207"/>
    <w:rsid w:val="00E5420D"/>
    <w:rsid w:val="00E54337"/>
    <w:rsid w:val="00E54354"/>
    <w:rsid w:val="00E543C7"/>
    <w:rsid w:val="00E543F4"/>
    <w:rsid w:val="00E5440E"/>
    <w:rsid w:val="00E54531"/>
    <w:rsid w:val="00E5483F"/>
    <w:rsid w:val="00E5485E"/>
    <w:rsid w:val="00E5486F"/>
    <w:rsid w:val="00E548EC"/>
    <w:rsid w:val="00E54911"/>
    <w:rsid w:val="00E54AF7"/>
    <w:rsid w:val="00E54B37"/>
    <w:rsid w:val="00E54BDC"/>
    <w:rsid w:val="00E54E95"/>
    <w:rsid w:val="00E54EB8"/>
    <w:rsid w:val="00E55014"/>
    <w:rsid w:val="00E55031"/>
    <w:rsid w:val="00E55082"/>
    <w:rsid w:val="00E5508F"/>
    <w:rsid w:val="00E550A1"/>
    <w:rsid w:val="00E550B3"/>
    <w:rsid w:val="00E5510F"/>
    <w:rsid w:val="00E55321"/>
    <w:rsid w:val="00E55326"/>
    <w:rsid w:val="00E553BF"/>
    <w:rsid w:val="00E5541F"/>
    <w:rsid w:val="00E55441"/>
    <w:rsid w:val="00E5544C"/>
    <w:rsid w:val="00E55490"/>
    <w:rsid w:val="00E55739"/>
    <w:rsid w:val="00E55793"/>
    <w:rsid w:val="00E557A2"/>
    <w:rsid w:val="00E55884"/>
    <w:rsid w:val="00E558AE"/>
    <w:rsid w:val="00E55B56"/>
    <w:rsid w:val="00E55C3F"/>
    <w:rsid w:val="00E55CD8"/>
    <w:rsid w:val="00E55EB3"/>
    <w:rsid w:val="00E55FE4"/>
    <w:rsid w:val="00E560A2"/>
    <w:rsid w:val="00E561CF"/>
    <w:rsid w:val="00E561EC"/>
    <w:rsid w:val="00E56234"/>
    <w:rsid w:val="00E56304"/>
    <w:rsid w:val="00E5631E"/>
    <w:rsid w:val="00E5639B"/>
    <w:rsid w:val="00E5649A"/>
    <w:rsid w:val="00E565C5"/>
    <w:rsid w:val="00E565D5"/>
    <w:rsid w:val="00E567B5"/>
    <w:rsid w:val="00E568A5"/>
    <w:rsid w:val="00E56A21"/>
    <w:rsid w:val="00E56A65"/>
    <w:rsid w:val="00E56A66"/>
    <w:rsid w:val="00E56B5D"/>
    <w:rsid w:val="00E56C8F"/>
    <w:rsid w:val="00E56D21"/>
    <w:rsid w:val="00E56EBA"/>
    <w:rsid w:val="00E57164"/>
    <w:rsid w:val="00E571E0"/>
    <w:rsid w:val="00E571E2"/>
    <w:rsid w:val="00E572CB"/>
    <w:rsid w:val="00E573B6"/>
    <w:rsid w:val="00E573FD"/>
    <w:rsid w:val="00E5780F"/>
    <w:rsid w:val="00E578DF"/>
    <w:rsid w:val="00E57C46"/>
    <w:rsid w:val="00E57CE2"/>
    <w:rsid w:val="00E57DF0"/>
    <w:rsid w:val="00E57E2B"/>
    <w:rsid w:val="00E57EBA"/>
    <w:rsid w:val="00E60017"/>
    <w:rsid w:val="00E6003F"/>
    <w:rsid w:val="00E60057"/>
    <w:rsid w:val="00E60070"/>
    <w:rsid w:val="00E600C0"/>
    <w:rsid w:val="00E600DA"/>
    <w:rsid w:val="00E60129"/>
    <w:rsid w:val="00E60190"/>
    <w:rsid w:val="00E601F5"/>
    <w:rsid w:val="00E60233"/>
    <w:rsid w:val="00E6023C"/>
    <w:rsid w:val="00E602E7"/>
    <w:rsid w:val="00E60465"/>
    <w:rsid w:val="00E604C7"/>
    <w:rsid w:val="00E607E5"/>
    <w:rsid w:val="00E608B7"/>
    <w:rsid w:val="00E608DF"/>
    <w:rsid w:val="00E609EB"/>
    <w:rsid w:val="00E60A45"/>
    <w:rsid w:val="00E60A4E"/>
    <w:rsid w:val="00E60ABC"/>
    <w:rsid w:val="00E60B6E"/>
    <w:rsid w:val="00E60C83"/>
    <w:rsid w:val="00E60D82"/>
    <w:rsid w:val="00E60DC4"/>
    <w:rsid w:val="00E60E51"/>
    <w:rsid w:val="00E60ED8"/>
    <w:rsid w:val="00E60F6C"/>
    <w:rsid w:val="00E6102F"/>
    <w:rsid w:val="00E610BC"/>
    <w:rsid w:val="00E61143"/>
    <w:rsid w:val="00E6134F"/>
    <w:rsid w:val="00E6138D"/>
    <w:rsid w:val="00E613C5"/>
    <w:rsid w:val="00E615B7"/>
    <w:rsid w:val="00E615C2"/>
    <w:rsid w:val="00E61634"/>
    <w:rsid w:val="00E618F8"/>
    <w:rsid w:val="00E6199C"/>
    <w:rsid w:val="00E61B39"/>
    <w:rsid w:val="00E61B48"/>
    <w:rsid w:val="00E61B95"/>
    <w:rsid w:val="00E61BB2"/>
    <w:rsid w:val="00E61CAF"/>
    <w:rsid w:val="00E61E57"/>
    <w:rsid w:val="00E620B3"/>
    <w:rsid w:val="00E62104"/>
    <w:rsid w:val="00E622C8"/>
    <w:rsid w:val="00E622E0"/>
    <w:rsid w:val="00E62311"/>
    <w:rsid w:val="00E6237C"/>
    <w:rsid w:val="00E6244F"/>
    <w:rsid w:val="00E624CD"/>
    <w:rsid w:val="00E6262A"/>
    <w:rsid w:val="00E6271B"/>
    <w:rsid w:val="00E62904"/>
    <w:rsid w:val="00E62B1A"/>
    <w:rsid w:val="00E62B82"/>
    <w:rsid w:val="00E62D53"/>
    <w:rsid w:val="00E62D98"/>
    <w:rsid w:val="00E62DF8"/>
    <w:rsid w:val="00E62E2D"/>
    <w:rsid w:val="00E62EAA"/>
    <w:rsid w:val="00E62FF3"/>
    <w:rsid w:val="00E6310F"/>
    <w:rsid w:val="00E63194"/>
    <w:rsid w:val="00E634C4"/>
    <w:rsid w:val="00E6397D"/>
    <w:rsid w:val="00E639AE"/>
    <w:rsid w:val="00E639DC"/>
    <w:rsid w:val="00E64056"/>
    <w:rsid w:val="00E640E3"/>
    <w:rsid w:val="00E6415D"/>
    <w:rsid w:val="00E644F9"/>
    <w:rsid w:val="00E6454F"/>
    <w:rsid w:val="00E64554"/>
    <w:rsid w:val="00E64555"/>
    <w:rsid w:val="00E645B6"/>
    <w:rsid w:val="00E646A7"/>
    <w:rsid w:val="00E6488D"/>
    <w:rsid w:val="00E64A31"/>
    <w:rsid w:val="00E64B1B"/>
    <w:rsid w:val="00E64BBD"/>
    <w:rsid w:val="00E64BC7"/>
    <w:rsid w:val="00E64BE2"/>
    <w:rsid w:val="00E64C13"/>
    <w:rsid w:val="00E64C7F"/>
    <w:rsid w:val="00E64CD3"/>
    <w:rsid w:val="00E64E65"/>
    <w:rsid w:val="00E64FE8"/>
    <w:rsid w:val="00E65043"/>
    <w:rsid w:val="00E65078"/>
    <w:rsid w:val="00E6509D"/>
    <w:rsid w:val="00E65119"/>
    <w:rsid w:val="00E651EF"/>
    <w:rsid w:val="00E65363"/>
    <w:rsid w:val="00E65570"/>
    <w:rsid w:val="00E65695"/>
    <w:rsid w:val="00E656FD"/>
    <w:rsid w:val="00E65B17"/>
    <w:rsid w:val="00E65B90"/>
    <w:rsid w:val="00E65BFB"/>
    <w:rsid w:val="00E65C76"/>
    <w:rsid w:val="00E65F48"/>
    <w:rsid w:val="00E66007"/>
    <w:rsid w:val="00E662CE"/>
    <w:rsid w:val="00E662D7"/>
    <w:rsid w:val="00E66405"/>
    <w:rsid w:val="00E66420"/>
    <w:rsid w:val="00E66476"/>
    <w:rsid w:val="00E6647E"/>
    <w:rsid w:val="00E66490"/>
    <w:rsid w:val="00E66535"/>
    <w:rsid w:val="00E665D4"/>
    <w:rsid w:val="00E666EE"/>
    <w:rsid w:val="00E66710"/>
    <w:rsid w:val="00E667A3"/>
    <w:rsid w:val="00E667D1"/>
    <w:rsid w:val="00E66818"/>
    <w:rsid w:val="00E66A6B"/>
    <w:rsid w:val="00E66B6E"/>
    <w:rsid w:val="00E66B71"/>
    <w:rsid w:val="00E66DA2"/>
    <w:rsid w:val="00E66E12"/>
    <w:rsid w:val="00E66E54"/>
    <w:rsid w:val="00E66EC5"/>
    <w:rsid w:val="00E66FEB"/>
    <w:rsid w:val="00E67082"/>
    <w:rsid w:val="00E670B9"/>
    <w:rsid w:val="00E670CE"/>
    <w:rsid w:val="00E671CC"/>
    <w:rsid w:val="00E67202"/>
    <w:rsid w:val="00E67353"/>
    <w:rsid w:val="00E67380"/>
    <w:rsid w:val="00E67556"/>
    <w:rsid w:val="00E67614"/>
    <w:rsid w:val="00E67615"/>
    <w:rsid w:val="00E6766E"/>
    <w:rsid w:val="00E676A6"/>
    <w:rsid w:val="00E67863"/>
    <w:rsid w:val="00E67886"/>
    <w:rsid w:val="00E678EC"/>
    <w:rsid w:val="00E67A0F"/>
    <w:rsid w:val="00E67B44"/>
    <w:rsid w:val="00E67B81"/>
    <w:rsid w:val="00E67B84"/>
    <w:rsid w:val="00E67BFE"/>
    <w:rsid w:val="00E67E45"/>
    <w:rsid w:val="00E67EC6"/>
    <w:rsid w:val="00E70176"/>
    <w:rsid w:val="00E701B9"/>
    <w:rsid w:val="00E7039C"/>
    <w:rsid w:val="00E7046F"/>
    <w:rsid w:val="00E7048C"/>
    <w:rsid w:val="00E7048E"/>
    <w:rsid w:val="00E704E4"/>
    <w:rsid w:val="00E705ED"/>
    <w:rsid w:val="00E706C7"/>
    <w:rsid w:val="00E7070E"/>
    <w:rsid w:val="00E7080C"/>
    <w:rsid w:val="00E70848"/>
    <w:rsid w:val="00E7085A"/>
    <w:rsid w:val="00E70878"/>
    <w:rsid w:val="00E708A4"/>
    <w:rsid w:val="00E709CC"/>
    <w:rsid w:val="00E70A2C"/>
    <w:rsid w:val="00E70A4B"/>
    <w:rsid w:val="00E70CA8"/>
    <w:rsid w:val="00E70DE7"/>
    <w:rsid w:val="00E70E07"/>
    <w:rsid w:val="00E70E9C"/>
    <w:rsid w:val="00E70EDD"/>
    <w:rsid w:val="00E70F3E"/>
    <w:rsid w:val="00E70F6E"/>
    <w:rsid w:val="00E70FAD"/>
    <w:rsid w:val="00E70FB1"/>
    <w:rsid w:val="00E70FC8"/>
    <w:rsid w:val="00E710BE"/>
    <w:rsid w:val="00E71182"/>
    <w:rsid w:val="00E7118C"/>
    <w:rsid w:val="00E711A9"/>
    <w:rsid w:val="00E711D7"/>
    <w:rsid w:val="00E71251"/>
    <w:rsid w:val="00E71255"/>
    <w:rsid w:val="00E713B8"/>
    <w:rsid w:val="00E714A0"/>
    <w:rsid w:val="00E714F3"/>
    <w:rsid w:val="00E71520"/>
    <w:rsid w:val="00E716D1"/>
    <w:rsid w:val="00E7181C"/>
    <w:rsid w:val="00E71855"/>
    <w:rsid w:val="00E719E9"/>
    <w:rsid w:val="00E71A2B"/>
    <w:rsid w:val="00E71C11"/>
    <w:rsid w:val="00E71C95"/>
    <w:rsid w:val="00E71CBE"/>
    <w:rsid w:val="00E71DE6"/>
    <w:rsid w:val="00E71E2A"/>
    <w:rsid w:val="00E71E3E"/>
    <w:rsid w:val="00E71EB0"/>
    <w:rsid w:val="00E71F3F"/>
    <w:rsid w:val="00E71F86"/>
    <w:rsid w:val="00E71FD4"/>
    <w:rsid w:val="00E72101"/>
    <w:rsid w:val="00E7222D"/>
    <w:rsid w:val="00E7238C"/>
    <w:rsid w:val="00E72469"/>
    <w:rsid w:val="00E72568"/>
    <w:rsid w:val="00E725D9"/>
    <w:rsid w:val="00E72AA1"/>
    <w:rsid w:val="00E72B24"/>
    <w:rsid w:val="00E72CC3"/>
    <w:rsid w:val="00E72E77"/>
    <w:rsid w:val="00E72F22"/>
    <w:rsid w:val="00E72F33"/>
    <w:rsid w:val="00E72F5E"/>
    <w:rsid w:val="00E72FB5"/>
    <w:rsid w:val="00E730B4"/>
    <w:rsid w:val="00E7312E"/>
    <w:rsid w:val="00E731E3"/>
    <w:rsid w:val="00E7322C"/>
    <w:rsid w:val="00E7323F"/>
    <w:rsid w:val="00E732C0"/>
    <w:rsid w:val="00E73362"/>
    <w:rsid w:val="00E7341D"/>
    <w:rsid w:val="00E735D3"/>
    <w:rsid w:val="00E735D4"/>
    <w:rsid w:val="00E7366C"/>
    <w:rsid w:val="00E737D7"/>
    <w:rsid w:val="00E73895"/>
    <w:rsid w:val="00E738A9"/>
    <w:rsid w:val="00E739C2"/>
    <w:rsid w:val="00E73C78"/>
    <w:rsid w:val="00E73CBB"/>
    <w:rsid w:val="00E73D16"/>
    <w:rsid w:val="00E73D90"/>
    <w:rsid w:val="00E7401B"/>
    <w:rsid w:val="00E741F3"/>
    <w:rsid w:val="00E7440C"/>
    <w:rsid w:val="00E7448F"/>
    <w:rsid w:val="00E74745"/>
    <w:rsid w:val="00E74995"/>
    <w:rsid w:val="00E74A3A"/>
    <w:rsid w:val="00E74BAC"/>
    <w:rsid w:val="00E74C23"/>
    <w:rsid w:val="00E74E9D"/>
    <w:rsid w:val="00E74EEB"/>
    <w:rsid w:val="00E75141"/>
    <w:rsid w:val="00E75208"/>
    <w:rsid w:val="00E75308"/>
    <w:rsid w:val="00E753AD"/>
    <w:rsid w:val="00E754FB"/>
    <w:rsid w:val="00E75525"/>
    <w:rsid w:val="00E755D2"/>
    <w:rsid w:val="00E755E6"/>
    <w:rsid w:val="00E75658"/>
    <w:rsid w:val="00E7568C"/>
    <w:rsid w:val="00E756A5"/>
    <w:rsid w:val="00E756EE"/>
    <w:rsid w:val="00E75754"/>
    <w:rsid w:val="00E7583C"/>
    <w:rsid w:val="00E758E4"/>
    <w:rsid w:val="00E759AC"/>
    <w:rsid w:val="00E759D8"/>
    <w:rsid w:val="00E75A15"/>
    <w:rsid w:val="00E75CD2"/>
    <w:rsid w:val="00E760AC"/>
    <w:rsid w:val="00E760CE"/>
    <w:rsid w:val="00E76225"/>
    <w:rsid w:val="00E7627E"/>
    <w:rsid w:val="00E76289"/>
    <w:rsid w:val="00E7634F"/>
    <w:rsid w:val="00E76547"/>
    <w:rsid w:val="00E76587"/>
    <w:rsid w:val="00E7663C"/>
    <w:rsid w:val="00E76843"/>
    <w:rsid w:val="00E76AA3"/>
    <w:rsid w:val="00E76C39"/>
    <w:rsid w:val="00E76E09"/>
    <w:rsid w:val="00E76EBE"/>
    <w:rsid w:val="00E76F83"/>
    <w:rsid w:val="00E76FEA"/>
    <w:rsid w:val="00E77273"/>
    <w:rsid w:val="00E77343"/>
    <w:rsid w:val="00E774C4"/>
    <w:rsid w:val="00E7754C"/>
    <w:rsid w:val="00E77699"/>
    <w:rsid w:val="00E7774F"/>
    <w:rsid w:val="00E779D9"/>
    <w:rsid w:val="00E77B07"/>
    <w:rsid w:val="00E77B2E"/>
    <w:rsid w:val="00E77BAB"/>
    <w:rsid w:val="00E77C5E"/>
    <w:rsid w:val="00E77C7E"/>
    <w:rsid w:val="00E77CC9"/>
    <w:rsid w:val="00E80126"/>
    <w:rsid w:val="00E802E4"/>
    <w:rsid w:val="00E803A0"/>
    <w:rsid w:val="00E80441"/>
    <w:rsid w:val="00E80873"/>
    <w:rsid w:val="00E808B0"/>
    <w:rsid w:val="00E80943"/>
    <w:rsid w:val="00E80981"/>
    <w:rsid w:val="00E80995"/>
    <w:rsid w:val="00E80AD8"/>
    <w:rsid w:val="00E80B7E"/>
    <w:rsid w:val="00E80EFC"/>
    <w:rsid w:val="00E80F0B"/>
    <w:rsid w:val="00E811B3"/>
    <w:rsid w:val="00E81384"/>
    <w:rsid w:val="00E8156C"/>
    <w:rsid w:val="00E8169B"/>
    <w:rsid w:val="00E816AB"/>
    <w:rsid w:val="00E817A2"/>
    <w:rsid w:val="00E81819"/>
    <w:rsid w:val="00E81934"/>
    <w:rsid w:val="00E819F4"/>
    <w:rsid w:val="00E81A2C"/>
    <w:rsid w:val="00E81A40"/>
    <w:rsid w:val="00E81A95"/>
    <w:rsid w:val="00E81BAC"/>
    <w:rsid w:val="00E81CC8"/>
    <w:rsid w:val="00E81DB9"/>
    <w:rsid w:val="00E81E21"/>
    <w:rsid w:val="00E81F0E"/>
    <w:rsid w:val="00E81F24"/>
    <w:rsid w:val="00E81FA8"/>
    <w:rsid w:val="00E81FE0"/>
    <w:rsid w:val="00E8202A"/>
    <w:rsid w:val="00E82116"/>
    <w:rsid w:val="00E8213B"/>
    <w:rsid w:val="00E8213E"/>
    <w:rsid w:val="00E8215B"/>
    <w:rsid w:val="00E82185"/>
    <w:rsid w:val="00E821ED"/>
    <w:rsid w:val="00E8221B"/>
    <w:rsid w:val="00E823C1"/>
    <w:rsid w:val="00E82441"/>
    <w:rsid w:val="00E825FD"/>
    <w:rsid w:val="00E826B6"/>
    <w:rsid w:val="00E82721"/>
    <w:rsid w:val="00E827E7"/>
    <w:rsid w:val="00E82885"/>
    <w:rsid w:val="00E82892"/>
    <w:rsid w:val="00E82A8B"/>
    <w:rsid w:val="00E82C7E"/>
    <w:rsid w:val="00E82E1A"/>
    <w:rsid w:val="00E82F7E"/>
    <w:rsid w:val="00E83024"/>
    <w:rsid w:val="00E83101"/>
    <w:rsid w:val="00E83106"/>
    <w:rsid w:val="00E8310A"/>
    <w:rsid w:val="00E8311A"/>
    <w:rsid w:val="00E832C2"/>
    <w:rsid w:val="00E8331A"/>
    <w:rsid w:val="00E83426"/>
    <w:rsid w:val="00E834EA"/>
    <w:rsid w:val="00E83540"/>
    <w:rsid w:val="00E835E7"/>
    <w:rsid w:val="00E8369A"/>
    <w:rsid w:val="00E836B4"/>
    <w:rsid w:val="00E836BB"/>
    <w:rsid w:val="00E83833"/>
    <w:rsid w:val="00E8384F"/>
    <w:rsid w:val="00E83862"/>
    <w:rsid w:val="00E838AF"/>
    <w:rsid w:val="00E8395D"/>
    <w:rsid w:val="00E83A50"/>
    <w:rsid w:val="00E83AA5"/>
    <w:rsid w:val="00E83DD0"/>
    <w:rsid w:val="00E83FEC"/>
    <w:rsid w:val="00E840F4"/>
    <w:rsid w:val="00E84123"/>
    <w:rsid w:val="00E84223"/>
    <w:rsid w:val="00E8426B"/>
    <w:rsid w:val="00E84359"/>
    <w:rsid w:val="00E84517"/>
    <w:rsid w:val="00E8463B"/>
    <w:rsid w:val="00E84881"/>
    <w:rsid w:val="00E848B6"/>
    <w:rsid w:val="00E84BC1"/>
    <w:rsid w:val="00E84BF3"/>
    <w:rsid w:val="00E84C11"/>
    <w:rsid w:val="00E84C56"/>
    <w:rsid w:val="00E84C5A"/>
    <w:rsid w:val="00E84D05"/>
    <w:rsid w:val="00E84FB3"/>
    <w:rsid w:val="00E84FC2"/>
    <w:rsid w:val="00E8502D"/>
    <w:rsid w:val="00E85052"/>
    <w:rsid w:val="00E850B7"/>
    <w:rsid w:val="00E850C0"/>
    <w:rsid w:val="00E850E5"/>
    <w:rsid w:val="00E851D7"/>
    <w:rsid w:val="00E85241"/>
    <w:rsid w:val="00E85312"/>
    <w:rsid w:val="00E85361"/>
    <w:rsid w:val="00E853D2"/>
    <w:rsid w:val="00E855FA"/>
    <w:rsid w:val="00E8567E"/>
    <w:rsid w:val="00E857EB"/>
    <w:rsid w:val="00E8593D"/>
    <w:rsid w:val="00E85A7E"/>
    <w:rsid w:val="00E85AC1"/>
    <w:rsid w:val="00E85B12"/>
    <w:rsid w:val="00E85B65"/>
    <w:rsid w:val="00E85B6A"/>
    <w:rsid w:val="00E85B74"/>
    <w:rsid w:val="00E85CB1"/>
    <w:rsid w:val="00E85CBC"/>
    <w:rsid w:val="00E85CE7"/>
    <w:rsid w:val="00E85D4E"/>
    <w:rsid w:val="00E85DC7"/>
    <w:rsid w:val="00E85E8A"/>
    <w:rsid w:val="00E8603A"/>
    <w:rsid w:val="00E860C4"/>
    <w:rsid w:val="00E8623C"/>
    <w:rsid w:val="00E8645F"/>
    <w:rsid w:val="00E864AA"/>
    <w:rsid w:val="00E86911"/>
    <w:rsid w:val="00E86A1D"/>
    <w:rsid w:val="00E86AAC"/>
    <w:rsid w:val="00E86B48"/>
    <w:rsid w:val="00E86B53"/>
    <w:rsid w:val="00E86EAA"/>
    <w:rsid w:val="00E86EB9"/>
    <w:rsid w:val="00E86F19"/>
    <w:rsid w:val="00E86F4C"/>
    <w:rsid w:val="00E87264"/>
    <w:rsid w:val="00E872E3"/>
    <w:rsid w:val="00E8748F"/>
    <w:rsid w:val="00E87A2F"/>
    <w:rsid w:val="00E87AF4"/>
    <w:rsid w:val="00E87B4F"/>
    <w:rsid w:val="00E87BA2"/>
    <w:rsid w:val="00E87BE1"/>
    <w:rsid w:val="00E87C0E"/>
    <w:rsid w:val="00E87C13"/>
    <w:rsid w:val="00E87D10"/>
    <w:rsid w:val="00E87D43"/>
    <w:rsid w:val="00E87E23"/>
    <w:rsid w:val="00E87E9E"/>
    <w:rsid w:val="00E87FA8"/>
    <w:rsid w:val="00E902B0"/>
    <w:rsid w:val="00E902E8"/>
    <w:rsid w:val="00E90418"/>
    <w:rsid w:val="00E904BA"/>
    <w:rsid w:val="00E906FD"/>
    <w:rsid w:val="00E90773"/>
    <w:rsid w:val="00E9079A"/>
    <w:rsid w:val="00E90862"/>
    <w:rsid w:val="00E908B5"/>
    <w:rsid w:val="00E90928"/>
    <w:rsid w:val="00E9099E"/>
    <w:rsid w:val="00E909E7"/>
    <w:rsid w:val="00E90ADC"/>
    <w:rsid w:val="00E90B45"/>
    <w:rsid w:val="00E90B89"/>
    <w:rsid w:val="00E90D70"/>
    <w:rsid w:val="00E90DA2"/>
    <w:rsid w:val="00E90DC9"/>
    <w:rsid w:val="00E90E64"/>
    <w:rsid w:val="00E90F13"/>
    <w:rsid w:val="00E90F6A"/>
    <w:rsid w:val="00E91063"/>
    <w:rsid w:val="00E910D5"/>
    <w:rsid w:val="00E911A0"/>
    <w:rsid w:val="00E9124C"/>
    <w:rsid w:val="00E91480"/>
    <w:rsid w:val="00E9150B"/>
    <w:rsid w:val="00E91562"/>
    <w:rsid w:val="00E91588"/>
    <w:rsid w:val="00E91604"/>
    <w:rsid w:val="00E91610"/>
    <w:rsid w:val="00E9170B"/>
    <w:rsid w:val="00E918C2"/>
    <w:rsid w:val="00E919EC"/>
    <w:rsid w:val="00E91A33"/>
    <w:rsid w:val="00E91C23"/>
    <w:rsid w:val="00E91E16"/>
    <w:rsid w:val="00E91F14"/>
    <w:rsid w:val="00E92060"/>
    <w:rsid w:val="00E9210F"/>
    <w:rsid w:val="00E92189"/>
    <w:rsid w:val="00E922D5"/>
    <w:rsid w:val="00E92479"/>
    <w:rsid w:val="00E9260F"/>
    <w:rsid w:val="00E92764"/>
    <w:rsid w:val="00E92A98"/>
    <w:rsid w:val="00E92B63"/>
    <w:rsid w:val="00E92C3A"/>
    <w:rsid w:val="00E92C87"/>
    <w:rsid w:val="00E92D0D"/>
    <w:rsid w:val="00E92D79"/>
    <w:rsid w:val="00E92DCB"/>
    <w:rsid w:val="00E92FA8"/>
    <w:rsid w:val="00E92FCA"/>
    <w:rsid w:val="00E93062"/>
    <w:rsid w:val="00E930C6"/>
    <w:rsid w:val="00E9316F"/>
    <w:rsid w:val="00E9328E"/>
    <w:rsid w:val="00E93470"/>
    <w:rsid w:val="00E935BE"/>
    <w:rsid w:val="00E935F2"/>
    <w:rsid w:val="00E9363E"/>
    <w:rsid w:val="00E93669"/>
    <w:rsid w:val="00E937AF"/>
    <w:rsid w:val="00E937DB"/>
    <w:rsid w:val="00E9393E"/>
    <w:rsid w:val="00E939F6"/>
    <w:rsid w:val="00E93A8F"/>
    <w:rsid w:val="00E93CBB"/>
    <w:rsid w:val="00E93DD3"/>
    <w:rsid w:val="00E93F1E"/>
    <w:rsid w:val="00E93F9F"/>
    <w:rsid w:val="00E93FF3"/>
    <w:rsid w:val="00E94055"/>
    <w:rsid w:val="00E9409C"/>
    <w:rsid w:val="00E940B1"/>
    <w:rsid w:val="00E94102"/>
    <w:rsid w:val="00E941B7"/>
    <w:rsid w:val="00E94242"/>
    <w:rsid w:val="00E94276"/>
    <w:rsid w:val="00E9447E"/>
    <w:rsid w:val="00E944AE"/>
    <w:rsid w:val="00E9458B"/>
    <w:rsid w:val="00E94730"/>
    <w:rsid w:val="00E949EB"/>
    <w:rsid w:val="00E949FA"/>
    <w:rsid w:val="00E94A1B"/>
    <w:rsid w:val="00E94ACA"/>
    <w:rsid w:val="00E94B46"/>
    <w:rsid w:val="00E94BC0"/>
    <w:rsid w:val="00E94C34"/>
    <w:rsid w:val="00E94E44"/>
    <w:rsid w:val="00E95000"/>
    <w:rsid w:val="00E95034"/>
    <w:rsid w:val="00E951E1"/>
    <w:rsid w:val="00E953E5"/>
    <w:rsid w:val="00E95405"/>
    <w:rsid w:val="00E956BC"/>
    <w:rsid w:val="00E9573C"/>
    <w:rsid w:val="00E95746"/>
    <w:rsid w:val="00E9575C"/>
    <w:rsid w:val="00E95807"/>
    <w:rsid w:val="00E9582C"/>
    <w:rsid w:val="00E9583D"/>
    <w:rsid w:val="00E95947"/>
    <w:rsid w:val="00E95A60"/>
    <w:rsid w:val="00E95AA9"/>
    <w:rsid w:val="00E95BC6"/>
    <w:rsid w:val="00E95C8C"/>
    <w:rsid w:val="00E95CCA"/>
    <w:rsid w:val="00E95DAC"/>
    <w:rsid w:val="00E95DE3"/>
    <w:rsid w:val="00E95F38"/>
    <w:rsid w:val="00E95F48"/>
    <w:rsid w:val="00E95FC4"/>
    <w:rsid w:val="00E960E6"/>
    <w:rsid w:val="00E96254"/>
    <w:rsid w:val="00E96269"/>
    <w:rsid w:val="00E96367"/>
    <w:rsid w:val="00E96436"/>
    <w:rsid w:val="00E96471"/>
    <w:rsid w:val="00E96492"/>
    <w:rsid w:val="00E96498"/>
    <w:rsid w:val="00E966B1"/>
    <w:rsid w:val="00E96911"/>
    <w:rsid w:val="00E96CED"/>
    <w:rsid w:val="00E96CF7"/>
    <w:rsid w:val="00E96DA9"/>
    <w:rsid w:val="00E96E0D"/>
    <w:rsid w:val="00E96E6B"/>
    <w:rsid w:val="00E96F70"/>
    <w:rsid w:val="00E96F91"/>
    <w:rsid w:val="00E96FB5"/>
    <w:rsid w:val="00E970AE"/>
    <w:rsid w:val="00E970B8"/>
    <w:rsid w:val="00E970C2"/>
    <w:rsid w:val="00E971D1"/>
    <w:rsid w:val="00E97209"/>
    <w:rsid w:val="00E97245"/>
    <w:rsid w:val="00E9727A"/>
    <w:rsid w:val="00E97417"/>
    <w:rsid w:val="00E9750E"/>
    <w:rsid w:val="00E976EC"/>
    <w:rsid w:val="00E97850"/>
    <w:rsid w:val="00E97862"/>
    <w:rsid w:val="00E978D0"/>
    <w:rsid w:val="00E97A41"/>
    <w:rsid w:val="00E97B12"/>
    <w:rsid w:val="00E97B17"/>
    <w:rsid w:val="00E97C87"/>
    <w:rsid w:val="00E97CC3"/>
    <w:rsid w:val="00E97F56"/>
    <w:rsid w:val="00E97F7D"/>
    <w:rsid w:val="00E97FB5"/>
    <w:rsid w:val="00E97FDF"/>
    <w:rsid w:val="00EA01C7"/>
    <w:rsid w:val="00EA024E"/>
    <w:rsid w:val="00EA026A"/>
    <w:rsid w:val="00EA0272"/>
    <w:rsid w:val="00EA0300"/>
    <w:rsid w:val="00EA03A1"/>
    <w:rsid w:val="00EA0454"/>
    <w:rsid w:val="00EA0459"/>
    <w:rsid w:val="00EA04F1"/>
    <w:rsid w:val="00EA072E"/>
    <w:rsid w:val="00EA0740"/>
    <w:rsid w:val="00EA078D"/>
    <w:rsid w:val="00EA0815"/>
    <w:rsid w:val="00EA0865"/>
    <w:rsid w:val="00EA0AD9"/>
    <w:rsid w:val="00EA0C1E"/>
    <w:rsid w:val="00EA0E4A"/>
    <w:rsid w:val="00EA0EA1"/>
    <w:rsid w:val="00EA0EAC"/>
    <w:rsid w:val="00EA0ED1"/>
    <w:rsid w:val="00EA0F18"/>
    <w:rsid w:val="00EA0F23"/>
    <w:rsid w:val="00EA0F6D"/>
    <w:rsid w:val="00EA120F"/>
    <w:rsid w:val="00EA16FE"/>
    <w:rsid w:val="00EA17D1"/>
    <w:rsid w:val="00EA17FD"/>
    <w:rsid w:val="00EA1817"/>
    <w:rsid w:val="00EA1866"/>
    <w:rsid w:val="00EA1960"/>
    <w:rsid w:val="00EA19ED"/>
    <w:rsid w:val="00EA1CBC"/>
    <w:rsid w:val="00EA1D98"/>
    <w:rsid w:val="00EA1F90"/>
    <w:rsid w:val="00EA2109"/>
    <w:rsid w:val="00EA25DA"/>
    <w:rsid w:val="00EA2688"/>
    <w:rsid w:val="00EA2770"/>
    <w:rsid w:val="00EA2816"/>
    <w:rsid w:val="00EA2A40"/>
    <w:rsid w:val="00EA2AA1"/>
    <w:rsid w:val="00EA2AE2"/>
    <w:rsid w:val="00EA2B69"/>
    <w:rsid w:val="00EA2C50"/>
    <w:rsid w:val="00EA2CA5"/>
    <w:rsid w:val="00EA2CE3"/>
    <w:rsid w:val="00EA2DB2"/>
    <w:rsid w:val="00EA2FB9"/>
    <w:rsid w:val="00EA30D8"/>
    <w:rsid w:val="00EA328F"/>
    <w:rsid w:val="00EA3291"/>
    <w:rsid w:val="00EA32EF"/>
    <w:rsid w:val="00EA3337"/>
    <w:rsid w:val="00EA33BE"/>
    <w:rsid w:val="00EA33D5"/>
    <w:rsid w:val="00EA3475"/>
    <w:rsid w:val="00EA3482"/>
    <w:rsid w:val="00EA34B3"/>
    <w:rsid w:val="00EA34B9"/>
    <w:rsid w:val="00EA35AB"/>
    <w:rsid w:val="00EA3698"/>
    <w:rsid w:val="00EA36AD"/>
    <w:rsid w:val="00EA37D1"/>
    <w:rsid w:val="00EA38EB"/>
    <w:rsid w:val="00EA39B6"/>
    <w:rsid w:val="00EA3A02"/>
    <w:rsid w:val="00EA3AF7"/>
    <w:rsid w:val="00EA3B68"/>
    <w:rsid w:val="00EA3BAF"/>
    <w:rsid w:val="00EA3DFD"/>
    <w:rsid w:val="00EA3F7F"/>
    <w:rsid w:val="00EA402D"/>
    <w:rsid w:val="00EA4093"/>
    <w:rsid w:val="00EA4162"/>
    <w:rsid w:val="00EA4327"/>
    <w:rsid w:val="00EA44CB"/>
    <w:rsid w:val="00EA44E7"/>
    <w:rsid w:val="00EA45D5"/>
    <w:rsid w:val="00EA4787"/>
    <w:rsid w:val="00EA4955"/>
    <w:rsid w:val="00EA4A28"/>
    <w:rsid w:val="00EA4BB8"/>
    <w:rsid w:val="00EA4C8E"/>
    <w:rsid w:val="00EA4E17"/>
    <w:rsid w:val="00EA4E65"/>
    <w:rsid w:val="00EA4E9A"/>
    <w:rsid w:val="00EA4EDC"/>
    <w:rsid w:val="00EA4F50"/>
    <w:rsid w:val="00EA518A"/>
    <w:rsid w:val="00EA526A"/>
    <w:rsid w:val="00EA546C"/>
    <w:rsid w:val="00EA54B5"/>
    <w:rsid w:val="00EA5537"/>
    <w:rsid w:val="00EA5622"/>
    <w:rsid w:val="00EA5817"/>
    <w:rsid w:val="00EA581D"/>
    <w:rsid w:val="00EA59A7"/>
    <w:rsid w:val="00EA5A69"/>
    <w:rsid w:val="00EA5AA9"/>
    <w:rsid w:val="00EA5DA6"/>
    <w:rsid w:val="00EA5DDE"/>
    <w:rsid w:val="00EA5FA5"/>
    <w:rsid w:val="00EA6129"/>
    <w:rsid w:val="00EA61EC"/>
    <w:rsid w:val="00EA622A"/>
    <w:rsid w:val="00EA634A"/>
    <w:rsid w:val="00EA6834"/>
    <w:rsid w:val="00EA6A90"/>
    <w:rsid w:val="00EA6AA8"/>
    <w:rsid w:val="00EA6DDE"/>
    <w:rsid w:val="00EA6F1D"/>
    <w:rsid w:val="00EA6F45"/>
    <w:rsid w:val="00EA70E4"/>
    <w:rsid w:val="00EA72E1"/>
    <w:rsid w:val="00EA7609"/>
    <w:rsid w:val="00EA7612"/>
    <w:rsid w:val="00EA763D"/>
    <w:rsid w:val="00EA7660"/>
    <w:rsid w:val="00EA76D9"/>
    <w:rsid w:val="00EA7735"/>
    <w:rsid w:val="00EA791D"/>
    <w:rsid w:val="00EA795A"/>
    <w:rsid w:val="00EA79B1"/>
    <w:rsid w:val="00EA7A61"/>
    <w:rsid w:val="00EA7ABC"/>
    <w:rsid w:val="00EA7B3D"/>
    <w:rsid w:val="00EA7B6E"/>
    <w:rsid w:val="00EA7BDA"/>
    <w:rsid w:val="00EA7D98"/>
    <w:rsid w:val="00EA7FE6"/>
    <w:rsid w:val="00EB01E9"/>
    <w:rsid w:val="00EB030F"/>
    <w:rsid w:val="00EB0323"/>
    <w:rsid w:val="00EB035A"/>
    <w:rsid w:val="00EB03A9"/>
    <w:rsid w:val="00EB0421"/>
    <w:rsid w:val="00EB05E2"/>
    <w:rsid w:val="00EB05E6"/>
    <w:rsid w:val="00EB074E"/>
    <w:rsid w:val="00EB074F"/>
    <w:rsid w:val="00EB09E3"/>
    <w:rsid w:val="00EB0A6D"/>
    <w:rsid w:val="00EB0B06"/>
    <w:rsid w:val="00EB0B4D"/>
    <w:rsid w:val="00EB0B56"/>
    <w:rsid w:val="00EB0BE0"/>
    <w:rsid w:val="00EB0BF9"/>
    <w:rsid w:val="00EB0CAD"/>
    <w:rsid w:val="00EB0CB8"/>
    <w:rsid w:val="00EB0D6E"/>
    <w:rsid w:val="00EB0E21"/>
    <w:rsid w:val="00EB0EA9"/>
    <w:rsid w:val="00EB0EFF"/>
    <w:rsid w:val="00EB0FD7"/>
    <w:rsid w:val="00EB1078"/>
    <w:rsid w:val="00EB11AB"/>
    <w:rsid w:val="00EB1346"/>
    <w:rsid w:val="00EB13FF"/>
    <w:rsid w:val="00EB1446"/>
    <w:rsid w:val="00EB144A"/>
    <w:rsid w:val="00EB14D4"/>
    <w:rsid w:val="00EB158C"/>
    <w:rsid w:val="00EB1609"/>
    <w:rsid w:val="00EB1660"/>
    <w:rsid w:val="00EB1668"/>
    <w:rsid w:val="00EB1762"/>
    <w:rsid w:val="00EB19BC"/>
    <w:rsid w:val="00EB1AB7"/>
    <w:rsid w:val="00EB1AD9"/>
    <w:rsid w:val="00EB1B76"/>
    <w:rsid w:val="00EB1C21"/>
    <w:rsid w:val="00EB1C55"/>
    <w:rsid w:val="00EB1E69"/>
    <w:rsid w:val="00EB20EA"/>
    <w:rsid w:val="00EB218F"/>
    <w:rsid w:val="00EB2257"/>
    <w:rsid w:val="00EB22B4"/>
    <w:rsid w:val="00EB233B"/>
    <w:rsid w:val="00EB2359"/>
    <w:rsid w:val="00EB246F"/>
    <w:rsid w:val="00EB268E"/>
    <w:rsid w:val="00EB2724"/>
    <w:rsid w:val="00EB27E8"/>
    <w:rsid w:val="00EB27FF"/>
    <w:rsid w:val="00EB2952"/>
    <w:rsid w:val="00EB29F9"/>
    <w:rsid w:val="00EB2AAD"/>
    <w:rsid w:val="00EB2C0A"/>
    <w:rsid w:val="00EB2DB8"/>
    <w:rsid w:val="00EB2E99"/>
    <w:rsid w:val="00EB2ED7"/>
    <w:rsid w:val="00EB2EE9"/>
    <w:rsid w:val="00EB3095"/>
    <w:rsid w:val="00EB3238"/>
    <w:rsid w:val="00EB32DC"/>
    <w:rsid w:val="00EB3361"/>
    <w:rsid w:val="00EB34F6"/>
    <w:rsid w:val="00EB3512"/>
    <w:rsid w:val="00EB372B"/>
    <w:rsid w:val="00EB397F"/>
    <w:rsid w:val="00EB3A8C"/>
    <w:rsid w:val="00EB3AA4"/>
    <w:rsid w:val="00EB3ABE"/>
    <w:rsid w:val="00EB3AC0"/>
    <w:rsid w:val="00EB3B47"/>
    <w:rsid w:val="00EB3B89"/>
    <w:rsid w:val="00EB3D20"/>
    <w:rsid w:val="00EB3DE5"/>
    <w:rsid w:val="00EB3E3B"/>
    <w:rsid w:val="00EB3FA7"/>
    <w:rsid w:val="00EB4040"/>
    <w:rsid w:val="00EB405C"/>
    <w:rsid w:val="00EB41F6"/>
    <w:rsid w:val="00EB4222"/>
    <w:rsid w:val="00EB4264"/>
    <w:rsid w:val="00EB428B"/>
    <w:rsid w:val="00EB438C"/>
    <w:rsid w:val="00EB4444"/>
    <w:rsid w:val="00EB4566"/>
    <w:rsid w:val="00EB45DB"/>
    <w:rsid w:val="00EB45EE"/>
    <w:rsid w:val="00EB4861"/>
    <w:rsid w:val="00EB488F"/>
    <w:rsid w:val="00EB4A1B"/>
    <w:rsid w:val="00EB4A9A"/>
    <w:rsid w:val="00EB4B0C"/>
    <w:rsid w:val="00EB4B3F"/>
    <w:rsid w:val="00EB4B53"/>
    <w:rsid w:val="00EB4B8F"/>
    <w:rsid w:val="00EB4BAE"/>
    <w:rsid w:val="00EB4C31"/>
    <w:rsid w:val="00EB4D10"/>
    <w:rsid w:val="00EB4DBE"/>
    <w:rsid w:val="00EB4DCC"/>
    <w:rsid w:val="00EB4FF7"/>
    <w:rsid w:val="00EB5146"/>
    <w:rsid w:val="00EB5148"/>
    <w:rsid w:val="00EB5153"/>
    <w:rsid w:val="00EB519A"/>
    <w:rsid w:val="00EB51B1"/>
    <w:rsid w:val="00EB51C3"/>
    <w:rsid w:val="00EB51D3"/>
    <w:rsid w:val="00EB525B"/>
    <w:rsid w:val="00EB5378"/>
    <w:rsid w:val="00EB546F"/>
    <w:rsid w:val="00EB54E0"/>
    <w:rsid w:val="00EB555E"/>
    <w:rsid w:val="00EB55C2"/>
    <w:rsid w:val="00EB5611"/>
    <w:rsid w:val="00EB561D"/>
    <w:rsid w:val="00EB567C"/>
    <w:rsid w:val="00EB576E"/>
    <w:rsid w:val="00EB5902"/>
    <w:rsid w:val="00EB5A93"/>
    <w:rsid w:val="00EB5B8B"/>
    <w:rsid w:val="00EB5DAA"/>
    <w:rsid w:val="00EB5EAE"/>
    <w:rsid w:val="00EB5EF4"/>
    <w:rsid w:val="00EB60C4"/>
    <w:rsid w:val="00EB61D1"/>
    <w:rsid w:val="00EB6285"/>
    <w:rsid w:val="00EB62A0"/>
    <w:rsid w:val="00EB62BF"/>
    <w:rsid w:val="00EB64A6"/>
    <w:rsid w:val="00EB6538"/>
    <w:rsid w:val="00EB6639"/>
    <w:rsid w:val="00EB67C8"/>
    <w:rsid w:val="00EB68F6"/>
    <w:rsid w:val="00EB692D"/>
    <w:rsid w:val="00EB6A6C"/>
    <w:rsid w:val="00EB6B5D"/>
    <w:rsid w:val="00EB6B84"/>
    <w:rsid w:val="00EB6B8B"/>
    <w:rsid w:val="00EB6CAD"/>
    <w:rsid w:val="00EB6CC0"/>
    <w:rsid w:val="00EB6CCE"/>
    <w:rsid w:val="00EB6E6E"/>
    <w:rsid w:val="00EB6F42"/>
    <w:rsid w:val="00EB7062"/>
    <w:rsid w:val="00EB7067"/>
    <w:rsid w:val="00EB70B2"/>
    <w:rsid w:val="00EB719E"/>
    <w:rsid w:val="00EB7208"/>
    <w:rsid w:val="00EB7280"/>
    <w:rsid w:val="00EB7295"/>
    <w:rsid w:val="00EB72FE"/>
    <w:rsid w:val="00EB760C"/>
    <w:rsid w:val="00EB76B7"/>
    <w:rsid w:val="00EB7954"/>
    <w:rsid w:val="00EB7AC7"/>
    <w:rsid w:val="00EB7B58"/>
    <w:rsid w:val="00EB7B85"/>
    <w:rsid w:val="00EB7BA6"/>
    <w:rsid w:val="00EB7BC4"/>
    <w:rsid w:val="00EB7CB2"/>
    <w:rsid w:val="00EB7DAE"/>
    <w:rsid w:val="00EB7E26"/>
    <w:rsid w:val="00EB7FCF"/>
    <w:rsid w:val="00EB7FE2"/>
    <w:rsid w:val="00EC0116"/>
    <w:rsid w:val="00EC01FE"/>
    <w:rsid w:val="00EC032B"/>
    <w:rsid w:val="00EC038B"/>
    <w:rsid w:val="00EC03A7"/>
    <w:rsid w:val="00EC0423"/>
    <w:rsid w:val="00EC0708"/>
    <w:rsid w:val="00EC0769"/>
    <w:rsid w:val="00EC07BD"/>
    <w:rsid w:val="00EC0828"/>
    <w:rsid w:val="00EC09E9"/>
    <w:rsid w:val="00EC09F4"/>
    <w:rsid w:val="00EC0A0F"/>
    <w:rsid w:val="00EC0ABF"/>
    <w:rsid w:val="00EC0ACF"/>
    <w:rsid w:val="00EC0AD5"/>
    <w:rsid w:val="00EC0B3D"/>
    <w:rsid w:val="00EC0D3B"/>
    <w:rsid w:val="00EC0DA3"/>
    <w:rsid w:val="00EC0EB5"/>
    <w:rsid w:val="00EC0F13"/>
    <w:rsid w:val="00EC118E"/>
    <w:rsid w:val="00EC12D0"/>
    <w:rsid w:val="00EC1480"/>
    <w:rsid w:val="00EC15E4"/>
    <w:rsid w:val="00EC161D"/>
    <w:rsid w:val="00EC163E"/>
    <w:rsid w:val="00EC16BA"/>
    <w:rsid w:val="00EC1712"/>
    <w:rsid w:val="00EC185A"/>
    <w:rsid w:val="00EC1CEE"/>
    <w:rsid w:val="00EC1D3A"/>
    <w:rsid w:val="00EC1DF3"/>
    <w:rsid w:val="00EC1E71"/>
    <w:rsid w:val="00EC1F67"/>
    <w:rsid w:val="00EC1FE2"/>
    <w:rsid w:val="00EC214B"/>
    <w:rsid w:val="00EC21C4"/>
    <w:rsid w:val="00EC22B6"/>
    <w:rsid w:val="00EC23CE"/>
    <w:rsid w:val="00EC23E1"/>
    <w:rsid w:val="00EC2589"/>
    <w:rsid w:val="00EC2805"/>
    <w:rsid w:val="00EC28CE"/>
    <w:rsid w:val="00EC2905"/>
    <w:rsid w:val="00EC2B55"/>
    <w:rsid w:val="00EC2BDD"/>
    <w:rsid w:val="00EC2BE3"/>
    <w:rsid w:val="00EC2D69"/>
    <w:rsid w:val="00EC2E2B"/>
    <w:rsid w:val="00EC2F11"/>
    <w:rsid w:val="00EC30B7"/>
    <w:rsid w:val="00EC30CC"/>
    <w:rsid w:val="00EC32FF"/>
    <w:rsid w:val="00EC35A9"/>
    <w:rsid w:val="00EC3620"/>
    <w:rsid w:val="00EC37E3"/>
    <w:rsid w:val="00EC3852"/>
    <w:rsid w:val="00EC389B"/>
    <w:rsid w:val="00EC3A84"/>
    <w:rsid w:val="00EC3AD3"/>
    <w:rsid w:val="00EC3BF9"/>
    <w:rsid w:val="00EC3C25"/>
    <w:rsid w:val="00EC3C3D"/>
    <w:rsid w:val="00EC3C5B"/>
    <w:rsid w:val="00EC3D90"/>
    <w:rsid w:val="00EC3EEE"/>
    <w:rsid w:val="00EC4056"/>
    <w:rsid w:val="00EC417E"/>
    <w:rsid w:val="00EC4187"/>
    <w:rsid w:val="00EC425C"/>
    <w:rsid w:val="00EC437F"/>
    <w:rsid w:val="00EC4489"/>
    <w:rsid w:val="00EC4508"/>
    <w:rsid w:val="00EC46C8"/>
    <w:rsid w:val="00EC47A2"/>
    <w:rsid w:val="00EC4942"/>
    <w:rsid w:val="00EC4ACA"/>
    <w:rsid w:val="00EC4B17"/>
    <w:rsid w:val="00EC4B2D"/>
    <w:rsid w:val="00EC4BA5"/>
    <w:rsid w:val="00EC4BC7"/>
    <w:rsid w:val="00EC4E46"/>
    <w:rsid w:val="00EC4ED6"/>
    <w:rsid w:val="00EC505B"/>
    <w:rsid w:val="00EC5118"/>
    <w:rsid w:val="00EC51A8"/>
    <w:rsid w:val="00EC5246"/>
    <w:rsid w:val="00EC547D"/>
    <w:rsid w:val="00EC5616"/>
    <w:rsid w:val="00EC5638"/>
    <w:rsid w:val="00EC5671"/>
    <w:rsid w:val="00EC5680"/>
    <w:rsid w:val="00EC56C8"/>
    <w:rsid w:val="00EC57B9"/>
    <w:rsid w:val="00EC5833"/>
    <w:rsid w:val="00EC5882"/>
    <w:rsid w:val="00EC598F"/>
    <w:rsid w:val="00EC5AAF"/>
    <w:rsid w:val="00EC5AE0"/>
    <w:rsid w:val="00EC5B61"/>
    <w:rsid w:val="00EC5C18"/>
    <w:rsid w:val="00EC5C37"/>
    <w:rsid w:val="00EC5D20"/>
    <w:rsid w:val="00EC5DED"/>
    <w:rsid w:val="00EC5E5F"/>
    <w:rsid w:val="00EC5ECA"/>
    <w:rsid w:val="00EC5EDE"/>
    <w:rsid w:val="00EC621A"/>
    <w:rsid w:val="00EC626C"/>
    <w:rsid w:val="00EC6292"/>
    <w:rsid w:val="00EC62C4"/>
    <w:rsid w:val="00EC63D1"/>
    <w:rsid w:val="00EC64D6"/>
    <w:rsid w:val="00EC64F1"/>
    <w:rsid w:val="00EC6610"/>
    <w:rsid w:val="00EC6733"/>
    <w:rsid w:val="00EC6751"/>
    <w:rsid w:val="00EC67C4"/>
    <w:rsid w:val="00EC6955"/>
    <w:rsid w:val="00EC6980"/>
    <w:rsid w:val="00EC69BB"/>
    <w:rsid w:val="00EC6A6D"/>
    <w:rsid w:val="00EC6AF1"/>
    <w:rsid w:val="00EC6B16"/>
    <w:rsid w:val="00EC6B4C"/>
    <w:rsid w:val="00EC6B99"/>
    <w:rsid w:val="00EC6BEE"/>
    <w:rsid w:val="00EC6CEE"/>
    <w:rsid w:val="00EC6D38"/>
    <w:rsid w:val="00EC6D79"/>
    <w:rsid w:val="00EC6E57"/>
    <w:rsid w:val="00EC6EFA"/>
    <w:rsid w:val="00EC70B6"/>
    <w:rsid w:val="00EC70E3"/>
    <w:rsid w:val="00EC712A"/>
    <w:rsid w:val="00EC7164"/>
    <w:rsid w:val="00EC719F"/>
    <w:rsid w:val="00EC71E7"/>
    <w:rsid w:val="00EC71F9"/>
    <w:rsid w:val="00EC724A"/>
    <w:rsid w:val="00EC7402"/>
    <w:rsid w:val="00EC7510"/>
    <w:rsid w:val="00EC7511"/>
    <w:rsid w:val="00EC7512"/>
    <w:rsid w:val="00EC760B"/>
    <w:rsid w:val="00EC767D"/>
    <w:rsid w:val="00EC7684"/>
    <w:rsid w:val="00EC76C6"/>
    <w:rsid w:val="00EC77A1"/>
    <w:rsid w:val="00EC7808"/>
    <w:rsid w:val="00EC79BC"/>
    <w:rsid w:val="00EC7A0D"/>
    <w:rsid w:val="00EC7B52"/>
    <w:rsid w:val="00EC7B89"/>
    <w:rsid w:val="00EC7BD2"/>
    <w:rsid w:val="00EC7CC2"/>
    <w:rsid w:val="00EC7CD7"/>
    <w:rsid w:val="00ED00FB"/>
    <w:rsid w:val="00ED01F8"/>
    <w:rsid w:val="00ED047D"/>
    <w:rsid w:val="00ED0515"/>
    <w:rsid w:val="00ED0587"/>
    <w:rsid w:val="00ED07F4"/>
    <w:rsid w:val="00ED0844"/>
    <w:rsid w:val="00ED08BF"/>
    <w:rsid w:val="00ED098C"/>
    <w:rsid w:val="00ED0AC3"/>
    <w:rsid w:val="00ED0B1F"/>
    <w:rsid w:val="00ED0C72"/>
    <w:rsid w:val="00ED0C7D"/>
    <w:rsid w:val="00ED0D7F"/>
    <w:rsid w:val="00ED0D9E"/>
    <w:rsid w:val="00ED0EF4"/>
    <w:rsid w:val="00ED0F98"/>
    <w:rsid w:val="00ED106D"/>
    <w:rsid w:val="00ED135B"/>
    <w:rsid w:val="00ED1458"/>
    <w:rsid w:val="00ED14FB"/>
    <w:rsid w:val="00ED18CB"/>
    <w:rsid w:val="00ED19AE"/>
    <w:rsid w:val="00ED19EE"/>
    <w:rsid w:val="00ED1CE2"/>
    <w:rsid w:val="00ED1D2F"/>
    <w:rsid w:val="00ED1E19"/>
    <w:rsid w:val="00ED1F08"/>
    <w:rsid w:val="00ED216E"/>
    <w:rsid w:val="00ED21AE"/>
    <w:rsid w:val="00ED2207"/>
    <w:rsid w:val="00ED2258"/>
    <w:rsid w:val="00ED2290"/>
    <w:rsid w:val="00ED22C1"/>
    <w:rsid w:val="00ED22ED"/>
    <w:rsid w:val="00ED23C2"/>
    <w:rsid w:val="00ED2410"/>
    <w:rsid w:val="00ED24CD"/>
    <w:rsid w:val="00ED250D"/>
    <w:rsid w:val="00ED271D"/>
    <w:rsid w:val="00ED286A"/>
    <w:rsid w:val="00ED287A"/>
    <w:rsid w:val="00ED296F"/>
    <w:rsid w:val="00ED2A2A"/>
    <w:rsid w:val="00ED2A6B"/>
    <w:rsid w:val="00ED2A8A"/>
    <w:rsid w:val="00ED2C81"/>
    <w:rsid w:val="00ED2DEC"/>
    <w:rsid w:val="00ED2E2E"/>
    <w:rsid w:val="00ED2E34"/>
    <w:rsid w:val="00ED3090"/>
    <w:rsid w:val="00ED30E7"/>
    <w:rsid w:val="00ED32FF"/>
    <w:rsid w:val="00ED33C3"/>
    <w:rsid w:val="00ED36F3"/>
    <w:rsid w:val="00ED39D0"/>
    <w:rsid w:val="00ED3AD4"/>
    <w:rsid w:val="00ED3AEE"/>
    <w:rsid w:val="00ED3BBA"/>
    <w:rsid w:val="00ED3CFE"/>
    <w:rsid w:val="00ED3D8F"/>
    <w:rsid w:val="00ED3E6B"/>
    <w:rsid w:val="00ED40D0"/>
    <w:rsid w:val="00ED4104"/>
    <w:rsid w:val="00ED41C9"/>
    <w:rsid w:val="00ED4272"/>
    <w:rsid w:val="00ED4356"/>
    <w:rsid w:val="00ED4359"/>
    <w:rsid w:val="00ED4474"/>
    <w:rsid w:val="00ED4562"/>
    <w:rsid w:val="00ED4752"/>
    <w:rsid w:val="00ED4A36"/>
    <w:rsid w:val="00ED4C09"/>
    <w:rsid w:val="00ED4C7D"/>
    <w:rsid w:val="00ED4D00"/>
    <w:rsid w:val="00ED4D31"/>
    <w:rsid w:val="00ED4D39"/>
    <w:rsid w:val="00ED4D82"/>
    <w:rsid w:val="00ED4E69"/>
    <w:rsid w:val="00ED4EF7"/>
    <w:rsid w:val="00ED4F12"/>
    <w:rsid w:val="00ED4FA1"/>
    <w:rsid w:val="00ED4FA6"/>
    <w:rsid w:val="00ED50B0"/>
    <w:rsid w:val="00ED50F5"/>
    <w:rsid w:val="00ED514E"/>
    <w:rsid w:val="00ED52A3"/>
    <w:rsid w:val="00ED52AA"/>
    <w:rsid w:val="00ED531F"/>
    <w:rsid w:val="00ED5389"/>
    <w:rsid w:val="00ED5721"/>
    <w:rsid w:val="00ED575B"/>
    <w:rsid w:val="00ED58AB"/>
    <w:rsid w:val="00ED5957"/>
    <w:rsid w:val="00ED5A17"/>
    <w:rsid w:val="00ED5A21"/>
    <w:rsid w:val="00ED5A3B"/>
    <w:rsid w:val="00ED5B56"/>
    <w:rsid w:val="00ED5D64"/>
    <w:rsid w:val="00ED5DC2"/>
    <w:rsid w:val="00ED5EE3"/>
    <w:rsid w:val="00ED5EEB"/>
    <w:rsid w:val="00ED5F9A"/>
    <w:rsid w:val="00ED6015"/>
    <w:rsid w:val="00ED61E2"/>
    <w:rsid w:val="00ED63BF"/>
    <w:rsid w:val="00ED640C"/>
    <w:rsid w:val="00ED65E4"/>
    <w:rsid w:val="00ED6611"/>
    <w:rsid w:val="00ED672E"/>
    <w:rsid w:val="00ED67E7"/>
    <w:rsid w:val="00ED6835"/>
    <w:rsid w:val="00ED688E"/>
    <w:rsid w:val="00ED69F9"/>
    <w:rsid w:val="00ED6A3F"/>
    <w:rsid w:val="00ED6B48"/>
    <w:rsid w:val="00ED6CA9"/>
    <w:rsid w:val="00ED6CB7"/>
    <w:rsid w:val="00ED6CCB"/>
    <w:rsid w:val="00ED6E4D"/>
    <w:rsid w:val="00ED6ECB"/>
    <w:rsid w:val="00ED6F9D"/>
    <w:rsid w:val="00ED7111"/>
    <w:rsid w:val="00ED71A8"/>
    <w:rsid w:val="00ED7441"/>
    <w:rsid w:val="00ED76EB"/>
    <w:rsid w:val="00ED77B5"/>
    <w:rsid w:val="00ED7888"/>
    <w:rsid w:val="00ED78FF"/>
    <w:rsid w:val="00ED7922"/>
    <w:rsid w:val="00ED7982"/>
    <w:rsid w:val="00ED7A32"/>
    <w:rsid w:val="00ED7B97"/>
    <w:rsid w:val="00ED7BCF"/>
    <w:rsid w:val="00ED7BE5"/>
    <w:rsid w:val="00ED7C83"/>
    <w:rsid w:val="00ED7D9B"/>
    <w:rsid w:val="00ED7E85"/>
    <w:rsid w:val="00ED7FD3"/>
    <w:rsid w:val="00EE012F"/>
    <w:rsid w:val="00EE0192"/>
    <w:rsid w:val="00EE01AC"/>
    <w:rsid w:val="00EE0205"/>
    <w:rsid w:val="00EE0298"/>
    <w:rsid w:val="00EE0337"/>
    <w:rsid w:val="00EE0363"/>
    <w:rsid w:val="00EE05F1"/>
    <w:rsid w:val="00EE069B"/>
    <w:rsid w:val="00EE06D2"/>
    <w:rsid w:val="00EE0755"/>
    <w:rsid w:val="00EE07E7"/>
    <w:rsid w:val="00EE083C"/>
    <w:rsid w:val="00EE0955"/>
    <w:rsid w:val="00EE09B4"/>
    <w:rsid w:val="00EE0B6A"/>
    <w:rsid w:val="00EE0B98"/>
    <w:rsid w:val="00EE0BFD"/>
    <w:rsid w:val="00EE0C2C"/>
    <w:rsid w:val="00EE0C4C"/>
    <w:rsid w:val="00EE0DAC"/>
    <w:rsid w:val="00EE0E15"/>
    <w:rsid w:val="00EE0E64"/>
    <w:rsid w:val="00EE0EF1"/>
    <w:rsid w:val="00EE0F0B"/>
    <w:rsid w:val="00EE100C"/>
    <w:rsid w:val="00EE10B2"/>
    <w:rsid w:val="00EE12CF"/>
    <w:rsid w:val="00EE1448"/>
    <w:rsid w:val="00EE149F"/>
    <w:rsid w:val="00EE14FA"/>
    <w:rsid w:val="00EE15A1"/>
    <w:rsid w:val="00EE1631"/>
    <w:rsid w:val="00EE16BC"/>
    <w:rsid w:val="00EE1782"/>
    <w:rsid w:val="00EE17D5"/>
    <w:rsid w:val="00EE184B"/>
    <w:rsid w:val="00EE1A1D"/>
    <w:rsid w:val="00EE1B66"/>
    <w:rsid w:val="00EE1B9B"/>
    <w:rsid w:val="00EE1BA3"/>
    <w:rsid w:val="00EE1BB8"/>
    <w:rsid w:val="00EE1C27"/>
    <w:rsid w:val="00EE1D99"/>
    <w:rsid w:val="00EE1E8B"/>
    <w:rsid w:val="00EE223D"/>
    <w:rsid w:val="00EE2255"/>
    <w:rsid w:val="00EE2257"/>
    <w:rsid w:val="00EE2277"/>
    <w:rsid w:val="00EE2312"/>
    <w:rsid w:val="00EE2313"/>
    <w:rsid w:val="00EE2473"/>
    <w:rsid w:val="00EE249F"/>
    <w:rsid w:val="00EE263D"/>
    <w:rsid w:val="00EE27B1"/>
    <w:rsid w:val="00EE283F"/>
    <w:rsid w:val="00EE28E2"/>
    <w:rsid w:val="00EE2A98"/>
    <w:rsid w:val="00EE2BA5"/>
    <w:rsid w:val="00EE2BDF"/>
    <w:rsid w:val="00EE2BE3"/>
    <w:rsid w:val="00EE2C1D"/>
    <w:rsid w:val="00EE2C95"/>
    <w:rsid w:val="00EE2D97"/>
    <w:rsid w:val="00EE2F17"/>
    <w:rsid w:val="00EE3178"/>
    <w:rsid w:val="00EE323D"/>
    <w:rsid w:val="00EE33ED"/>
    <w:rsid w:val="00EE3406"/>
    <w:rsid w:val="00EE340F"/>
    <w:rsid w:val="00EE34B7"/>
    <w:rsid w:val="00EE3552"/>
    <w:rsid w:val="00EE3565"/>
    <w:rsid w:val="00EE35D5"/>
    <w:rsid w:val="00EE3779"/>
    <w:rsid w:val="00EE37F1"/>
    <w:rsid w:val="00EE3803"/>
    <w:rsid w:val="00EE391A"/>
    <w:rsid w:val="00EE3B49"/>
    <w:rsid w:val="00EE3BA1"/>
    <w:rsid w:val="00EE3EB2"/>
    <w:rsid w:val="00EE4026"/>
    <w:rsid w:val="00EE404B"/>
    <w:rsid w:val="00EE40B1"/>
    <w:rsid w:val="00EE4280"/>
    <w:rsid w:val="00EE42EF"/>
    <w:rsid w:val="00EE4305"/>
    <w:rsid w:val="00EE439D"/>
    <w:rsid w:val="00EE44CA"/>
    <w:rsid w:val="00EE45A0"/>
    <w:rsid w:val="00EE45B3"/>
    <w:rsid w:val="00EE4668"/>
    <w:rsid w:val="00EE49DB"/>
    <w:rsid w:val="00EE4A76"/>
    <w:rsid w:val="00EE4B3E"/>
    <w:rsid w:val="00EE4BD5"/>
    <w:rsid w:val="00EE4C19"/>
    <w:rsid w:val="00EE4CA4"/>
    <w:rsid w:val="00EE4D67"/>
    <w:rsid w:val="00EE4EB2"/>
    <w:rsid w:val="00EE4FC9"/>
    <w:rsid w:val="00EE50DD"/>
    <w:rsid w:val="00EE5106"/>
    <w:rsid w:val="00EE5152"/>
    <w:rsid w:val="00EE5221"/>
    <w:rsid w:val="00EE5241"/>
    <w:rsid w:val="00EE526A"/>
    <w:rsid w:val="00EE52E5"/>
    <w:rsid w:val="00EE54A3"/>
    <w:rsid w:val="00EE555F"/>
    <w:rsid w:val="00EE562D"/>
    <w:rsid w:val="00EE573E"/>
    <w:rsid w:val="00EE57C2"/>
    <w:rsid w:val="00EE5816"/>
    <w:rsid w:val="00EE599A"/>
    <w:rsid w:val="00EE5C2D"/>
    <w:rsid w:val="00EE5C3A"/>
    <w:rsid w:val="00EE5CFE"/>
    <w:rsid w:val="00EE5DFC"/>
    <w:rsid w:val="00EE5E43"/>
    <w:rsid w:val="00EE5FB0"/>
    <w:rsid w:val="00EE5FD4"/>
    <w:rsid w:val="00EE614E"/>
    <w:rsid w:val="00EE61F0"/>
    <w:rsid w:val="00EE6260"/>
    <w:rsid w:val="00EE626C"/>
    <w:rsid w:val="00EE629A"/>
    <w:rsid w:val="00EE64BD"/>
    <w:rsid w:val="00EE65AB"/>
    <w:rsid w:val="00EE660C"/>
    <w:rsid w:val="00EE677F"/>
    <w:rsid w:val="00EE69A8"/>
    <w:rsid w:val="00EE6A3F"/>
    <w:rsid w:val="00EE6AA0"/>
    <w:rsid w:val="00EE6B33"/>
    <w:rsid w:val="00EE6B3F"/>
    <w:rsid w:val="00EE6C74"/>
    <w:rsid w:val="00EE6DCF"/>
    <w:rsid w:val="00EE6E24"/>
    <w:rsid w:val="00EE6EC9"/>
    <w:rsid w:val="00EE7120"/>
    <w:rsid w:val="00EE713B"/>
    <w:rsid w:val="00EE7274"/>
    <w:rsid w:val="00EE73D2"/>
    <w:rsid w:val="00EE7545"/>
    <w:rsid w:val="00EE76A8"/>
    <w:rsid w:val="00EE7B51"/>
    <w:rsid w:val="00EE7BAA"/>
    <w:rsid w:val="00EE7C7F"/>
    <w:rsid w:val="00EE7DC1"/>
    <w:rsid w:val="00EE7DE5"/>
    <w:rsid w:val="00EE7DEA"/>
    <w:rsid w:val="00EE7E48"/>
    <w:rsid w:val="00EE7F27"/>
    <w:rsid w:val="00EF0114"/>
    <w:rsid w:val="00EF01CB"/>
    <w:rsid w:val="00EF0280"/>
    <w:rsid w:val="00EF031C"/>
    <w:rsid w:val="00EF0328"/>
    <w:rsid w:val="00EF0500"/>
    <w:rsid w:val="00EF0522"/>
    <w:rsid w:val="00EF06D7"/>
    <w:rsid w:val="00EF0914"/>
    <w:rsid w:val="00EF091A"/>
    <w:rsid w:val="00EF092E"/>
    <w:rsid w:val="00EF09FB"/>
    <w:rsid w:val="00EF0AC6"/>
    <w:rsid w:val="00EF0C75"/>
    <w:rsid w:val="00EF0D46"/>
    <w:rsid w:val="00EF106D"/>
    <w:rsid w:val="00EF119A"/>
    <w:rsid w:val="00EF12D2"/>
    <w:rsid w:val="00EF1352"/>
    <w:rsid w:val="00EF1467"/>
    <w:rsid w:val="00EF149D"/>
    <w:rsid w:val="00EF15AC"/>
    <w:rsid w:val="00EF15E4"/>
    <w:rsid w:val="00EF15EB"/>
    <w:rsid w:val="00EF161C"/>
    <w:rsid w:val="00EF161F"/>
    <w:rsid w:val="00EF1674"/>
    <w:rsid w:val="00EF168D"/>
    <w:rsid w:val="00EF175B"/>
    <w:rsid w:val="00EF1894"/>
    <w:rsid w:val="00EF1AA5"/>
    <w:rsid w:val="00EF1BC9"/>
    <w:rsid w:val="00EF1D6C"/>
    <w:rsid w:val="00EF1FB1"/>
    <w:rsid w:val="00EF203C"/>
    <w:rsid w:val="00EF210E"/>
    <w:rsid w:val="00EF2122"/>
    <w:rsid w:val="00EF22CC"/>
    <w:rsid w:val="00EF250F"/>
    <w:rsid w:val="00EF2634"/>
    <w:rsid w:val="00EF2698"/>
    <w:rsid w:val="00EF26D5"/>
    <w:rsid w:val="00EF26DD"/>
    <w:rsid w:val="00EF2720"/>
    <w:rsid w:val="00EF2B1B"/>
    <w:rsid w:val="00EF2BCA"/>
    <w:rsid w:val="00EF2C85"/>
    <w:rsid w:val="00EF2D0D"/>
    <w:rsid w:val="00EF2D30"/>
    <w:rsid w:val="00EF2DC0"/>
    <w:rsid w:val="00EF2E6F"/>
    <w:rsid w:val="00EF2F9F"/>
    <w:rsid w:val="00EF2FBF"/>
    <w:rsid w:val="00EF30BF"/>
    <w:rsid w:val="00EF30C2"/>
    <w:rsid w:val="00EF3243"/>
    <w:rsid w:val="00EF3245"/>
    <w:rsid w:val="00EF329D"/>
    <w:rsid w:val="00EF339F"/>
    <w:rsid w:val="00EF33AB"/>
    <w:rsid w:val="00EF36B1"/>
    <w:rsid w:val="00EF3732"/>
    <w:rsid w:val="00EF373C"/>
    <w:rsid w:val="00EF388E"/>
    <w:rsid w:val="00EF3991"/>
    <w:rsid w:val="00EF3A4B"/>
    <w:rsid w:val="00EF3C75"/>
    <w:rsid w:val="00EF3CE5"/>
    <w:rsid w:val="00EF3D61"/>
    <w:rsid w:val="00EF3E68"/>
    <w:rsid w:val="00EF3E6E"/>
    <w:rsid w:val="00EF3F18"/>
    <w:rsid w:val="00EF3F7C"/>
    <w:rsid w:val="00EF411C"/>
    <w:rsid w:val="00EF4340"/>
    <w:rsid w:val="00EF43DF"/>
    <w:rsid w:val="00EF44AD"/>
    <w:rsid w:val="00EF4667"/>
    <w:rsid w:val="00EF46B0"/>
    <w:rsid w:val="00EF4764"/>
    <w:rsid w:val="00EF47C5"/>
    <w:rsid w:val="00EF47FD"/>
    <w:rsid w:val="00EF4998"/>
    <w:rsid w:val="00EF49A7"/>
    <w:rsid w:val="00EF49C8"/>
    <w:rsid w:val="00EF4A30"/>
    <w:rsid w:val="00EF4A45"/>
    <w:rsid w:val="00EF4AA5"/>
    <w:rsid w:val="00EF4AFF"/>
    <w:rsid w:val="00EF4BDF"/>
    <w:rsid w:val="00EF4C9B"/>
    <w:rsid w:val="00EF4DC7"/>
    <w:rsid w:val="00EF4DE7"/>
    <w:rsid w:val="00EF4F83"/>
    <w:rsid w:val="00EF5114"/>
    <w:rsid w:val="00EF5148"/>
    <w:rsid w:val="00EF520F"/>
    <w:rsid w:val="00EF5210"/>
    <w:rsid w:val="00EF52E7"/>
    <w:rsid w:val="00EF52E9"/>
    <w:rsid w:val="00EF53FE"/>
    <w:rsid w:val="00EF553B"/>
    <w:rsid w:val="00EF558F"/>
    <w:rsid w:val="00EF5661"/>
    <w:rsid w:val="00EF56F2"/>
    <w:rsid w:val="00EF577F"/>
    <w:rsid w:val="00EF5888"/>
    <w:rsid w:val="00EF5A1A"/>
    <w:rsid w:val="00EF5A7E"/>
    <w:rsid w:val="00EF5B40"/>
    <w:rsid w:val="00EF5D83"/>
    <w:rsid w:val="00EF5E1F"/>
    <w:rsid w:val="00EF5F43"/>
    <w:rsid w:val="00EF615A"/>
    <w:rsid w:val="00EF61A4"/>
    <w:rsid w:val="00EF61D7"/>
    <w:rsid w:val="00EF62BC"/>
    <w:rsid w:val="00EF633E"/>
    <w:rsid w:val="00EF648E"/>
    <w:rsid w:val="00EF6516"/>
    <w:rsid w:val="00EF6650"/>
    <w:rsid w:val="00EF6715"/>
    <w:rsid w:val="00EF687E"/>
    <w:rsid w:val="00EF69A8"/>
    <w:rsid w:val="00EF69CD"/>
    <w:rsid w:val="00EF6ADF"/>
    <w:rsid w:val="00EF6B32"/>
    <w:rsid w:val="00EF6C84"/>
    <w:rsid w:val="00EF6F66"/>
    <w:rsid w:val="00EF7020"/>
    <w:rsid w:val="00EF70EE"/>
    <w:rsid w:val="00EF715B"/>
    <w:rsid w:val="00EF71C4"/>
    <w:rsid w:val="00EF7207"/>
    <w:rsid w:val="00EF7208"/>
    <w:rsid w:val="00EF73C8"/>
    <w:rsid w:val="00EF75B9"/>
    <w:rsid w:val="00EF76CF"/>
    <w:rsid w:val="00EF76D9"/>
    <w:rsid w:val="00EF76DE"/>
    <w:rsid w:val="00EF770D"/>
    <w:rsid w:val="00EF7820"/>
    <w:rsid w:val="00EF7867"/>
    <w:rsid w:val="00EF79EC"/>
    <w:rsid w:val="00EF7A45"/>
    <w:rsid w:val="00EF7ADD"/>
    <w:rsid w:val="00EF7B2B"/>
    <w:rsid w:val="00EF7C3B"/>
    <w:rsid w:val="00EF7C5E"/>
    <w:rsid w:val="00EF7CB6"/>
    <w:rsid w:val="00EF7CBC"/>
    <w:rsid w:val="00EF7D76"/>
    <w:rsid w:val="00EF7DB0"/>
    <w:rsid w:val="00EF7EEC"/>
    <w:rsid w:val="00EF7FD6"/>
    <w:rsid w:val="00EF7FE2"/>
    <w:rsid w:val="00F00013"/>
    <w:rsid w:val="00F0003D"/>
    <w:rsid w:val="00F000B1"/>
    <w:rsid w:val="00F00285"/>
    <w:rsid w:val="00F003C4"/>
    <w:rsid w:val="00F00438"/>
    <w:rsid w:val="00F00592"/>
    <w:rsid w:val="00F00649"/>
    <w:rsid w:val="00F0078B"/>
    <w:rsid w:val="00F0082D"/>
    <w:rsid w:val="00F008AD"/>
    <w:rsid w:val="00F008D3"/>
    <w:rsid w:val="00F009CE"/>
    <w:rsid w:val="00F00CD1"/>
    <w:rsid w:val="00F00D03"/>
    <w:rsid w:val="00F00D25"/>
    <w:rsid w:val="00F00E87"/>
    <w:rsid w:val="00F00F64"/>
    <w:rsid w:val="00F01009"/>
    <w:rsid w:val="00F0107F"/>
    <w:rsid w:val="00F0109C"/>
    <w:rsid w:val="00F0125E"/>
    <w:rsid w:val="00F0138D"/>
    <w:rsid w:val="00F0167F"/>
    <w:rsid w:val="00F016FD"/>
    <w:rsid w:val="00F018A0"/>
    <w:rsid w:val="00F018DF"/>
    <w:rsid w:val="00F0196E"/>
    <w:rsid w:val="00F01BEE"/>
    <w:rsid w:val="00F01C97"/>
    <w:rsid w:val="00F01E23"/>
    <w:rsid w:val="00F01FB3"/>
    <w:rsid w:val="00F01FF5"/>
    <w:rsid w:val="00F0205B"/>
    <w:rsid w:val="00F02167"/>
    <w:rsid w:val="00F02178"/>
    <w:rsid w:val="00F021C1"/>
    <w:rsid w:val="00F021D4"/>
    <w:rsid w:val="00F02217"/>
    <w:rsid w:val="00F02347"/>
    <w:rsid w:val="00F024F6"/>
    <w:rsid w:val="00F02527"/>
    <w:rsid w:val="00F025B3"/>
    <w:rsid w:val="00F02641"/>
    <w:rsid w:val="00F0278A"/>
    <w:rsid w:val="00F02891"/>
    <w:rsid w:val="00F028F1"/>
    <w:rsid w:val="00F02929"/>
    <w:rsid w:val="00F02B58"/>
    <w:rsid w:val="00F02B78"/>
    <w:rsid w:val="00F02BF5"/>
    <w:rsid w:val="00F02EA7"/>
    <w:rsid w:val="00F02ECA"/>
    <w:rsid w:val="00F02F42"/>
    <w:rsid w:val="00F02F9C"/>
    <w:rsid w:val="00F03041"/>
    <w:rsid w:val="00F0308A"/>
    <w:rsid w:val="00F030EB"/>
    <w:rsid w:val="00F030EC"/>
    <w:rsid w:val="00F03135"/>
    <w:rsid w:val="00F031F5"/>
    <w:rsid w:val="00F03286"/>
    <w:rsid w:val="00F032CD"/>
    <w:rsid w:val="00F03485"/>
    <w:rsid w:val="00F0366B"/>
    <w:rsid w:val="00F03A96"/>
    <w:rsid w:val="00F03B02"/>
    <w:rsid w:val="00F03BE6"/>
    <w:rsid w:val="00F03D09"/>
    <w:rsid w:val="00F03DDE"/>
    <w:rsid w:val="00F03F35"/>
    <w:rsid w:val="00F03F72"/>
    <w:rsid w:val="00F03FBF"/>
    <w:rsid w:val="00F0408C"/>
    <w:rsid w:val="00F04099"/>
    <w:rsid w:val="00F041AE"/>
    <w:rsid w:val="00F04257"/>
    <w:rsid w:val="00F0475E"/>
    <w:rsid w:val="00F04834"/>
    <w:rsid w:val="00F04840"/>
    <w:rsid w:val="00F04863"/>
    <w:rsid w:val="00F048A6"/>
    <w:rsid w:val="00F04AED"/>
    <w:rsid w:val="00F04C54"/>
    <w:rsid w:val="00F04E6F"/>
    <w:rsid w:val="00F04E8B"/>
    <w:rsid w:val="00F05146"/>
    <w:rsid w:val="00F052B9"/>
    <w:rsid w:val="00F0533D"/>
    <w:rsid w:val="00F05373"/>
    <w:rsid w:val="00F053AE"/>
    <w:rsid w:val="00F054B9"/>
    <w:rsid w:val="00F05541"/>
    <w:rsid w:val="00F0557D"/>
    <w:rsid w:val="00F0585C"/>
    <w:rsid w:val="00F058BA"/>
    <w:rsid w:val="00F059C4"/>
    <w:rsid w:val="00F05A6D"/>
    <w:rsid w:val="00F05AC7"/>
    <w:rsid w:val="00F05B9B"/>
    <w:rsid w:val="00F05C54"/>
    <w:rsid w:val="00F05CF7"/>
    <w:rsid w:val="00F05D41"/>
    <w:rsid w:val="00F05EF7"/>
    <w:rsid w:val="00F05F68"/>
    <w:rsid w:val="00F05F76"/>
    <w:rsid w:val="00F06256"/>
    <w:rsid w:val="00F062D3"/>
    <w:rsid w:val="00F06483"/>
    <w:rsid w:val="00F064CB"/>
    <w:rsid w:val="00F06553"/>
    <w:rsid w:val="00F06615"/>
    <w:rsid w:val="00F06618"/>
    <w:rsid w:val="00F0663A"/>
    <w:rsid w:val="00F066FD"/>
    <w:rsid w:val="00F0676A"/>
    <w:rsid w:val="00F0693B"/>
    <w:rsid w:val="00F069C7"/>
    <w:rsid w:val="00F06A12"/>
    <w:rsid w:val="00F06A5C"/>
    <w:rsid w:val="00F06AD8"/>
    <w:rsid w:val="00F06CB9"/>
    <w:rsid w:val="00F06D37"/>
    <w:rsid w:val="00F06EF9"/>
    <w:rsid w:val="00F071AF"/>
    <w:rsid w:val="00F07259"/>
    <w:rsid w:val="00F07464"/>
    <w:rsid w:val="00F074AA"/>
    <w:rsid w:val="00F074D5"/>
    <w:rsid w:val="00F075D2"/>
    <w:rsid w:val="00F07638"/>
    <w:rsid w:val="00F07907"/>
    <w:rsid w:val="00F079A3"/>
    <w:rsid w:val="00F07ADC"/>
    <w:rsid w:val="00F07B9B"/>
    <w:rsid w:val="00F07C08"/>
    <w:rsid w:val="00F07C90"/>
    <w:rsid w:val="00F07EE3"/>
    <w:rsid w:val="00F07F82"/>
    <w:rsid w:val="00F10057"/>
    <w:rsid w:val="00F1028D"/>
    <w:rsid w:val="00F102B5"/>
    <w:rsid w:val="00F103ED"/>
    <w:rsid w:val="00F10513"/>
    <w:rsid w:val="00F105FC"/>
    <w:rsid w:val="00F106CA"/>
    <w:rsid w:val="00F108C9"/>
    <w:rsid w:val="00F1092C"/>
    <w:rsid w:val="00F10A72"/>
    <w:rsid w:val="00F10ABF"/>
    <w:rsid w:val="00F10B7C"/>
    <w:rsid w:val="00F10C60"/>
    <w:rsid w:val="00F10D4A"/>
    <w:rsid w:val="00F10DD2"/>
    <w:rsid w:val="00F10E1B"/>
    <w:rsid w:val="00F11041"/>
    <w:rsid w:val="00F110EE"/>
    <w:rsid w:val="00F111F9"/>
    <w:rsid w:val="00F11257"/>
    <w:rsid w:val="00F11276"/>
    <w:rsid w:val="00F11385"/>
    <w:rsid w:val="00F11519"/>
    <w:rsid w:val="00F11548"/>
    <w:rsid w:val="00F11583"/>
    <w:rsid w:val="00F116CC"/>
    <w:rsid w:val="00F117A3"/>
    <w:rsid w:val="00F117B7"/>
    <w:rsid w:val="00F117E8"/>
    <w:rsid w:val="00F1188D"/>
    <w:rsid w:val="00F118A9"/>
    <w:rsid w:val="00F11987"/>
    <w:rsid w:val="00F11BA1"/>
    <w:rsid w:val="00F11CEA"/>
    <w:rsid w:val="00F11FCB"/>
    <w:rsid w:val="00F120CF"/>
    <w:rsid w:val="00F1254E"/>
    <w:rsid w:val="00F12630"/>
    <w:rsid w:val="00F12694"/>
    <w:rsid w:val="00F12720"/>
    <w:rsid w:val="00F12747"/>
    <w:rsid w:val="00F12857"/>
    <w:rsid w:val="00F129F6"/>
    <w:rsid w:val="00F12C00"/>
    <w:rsid w:val="00F12C94"/>
    <w:rsid w:val="00F12CA7"/>
    <w:rsid w:val="00F12D89"/>
    <w:rsid w:val="00F12DA7"/>
    <w:rsid w:val="00F12DE1"/>
    <w:rsid w:val="00F12E97"/>
    <w:rsid w:val="00F12EA5"/>
    <w:rsid w:val="00F12FAC"/>
    <w:rsid w:val="00F12FF2"/>
    <w:rsid w:val="00F130E4"/>
    <w:rsid w:val="00F131EC"/>
    <w:rsid w:val="00F13294"/>
    <w:rsid w:val="00F132E2"/>
    <w:rsid w:val="00F13308"/>
    <w:rsid w:val="00F13401"/>
    <w:rsid w:val="00F1343B"/>
    <w:rsid w:val="00F1346F"/>
    <w:rsid w:val="00F13553"/>
    <w:rsid w:val="00F1357A"/>
    <w:rsid w:val="00F135EF"/>
    <w:rsid w:val="00F136C4"/>
    <w:rsid w:val="00F1384D"/>
    <w:rsid w:val="00F13A2A"/>
    <w:rsid w:val="00F13A30"/>
    <w:rsid w:val="00F13AD0"/>
    <w:rsid w:val="00F13B37"/>
    <w:rsid w:val="00F13FBC"/>
    <w:rsid w:val="00F13FFD"/>
    <w:rsid w:val="00F14063"/>
    <w:rsid w:val="00F14169"/>
    <w:rsid w:val="00F14189"/>
    <w:rsid w:val="00F141B4"/>
    <w:rsid w:val="00F143FE"/>
    <w:rsid w:val="00F14433"/>
    <w:rsid w:val="00F1471F"/>
    <w:rsid w:val="00F1474D"/>
    <w:rsid w:val="00F148A0"/>
    <w:rsid w:val="00F148E6"/>
    <w:rsid w:val="00F148FF"/>
    <w:rsid w:val="00F149C8"/>
    <w:rsid w:val="00F149D7"/>
    <w:rsid w:val="00F14AB0"/>
    <w:rsid w:val="00F14AB6"/>
    <w:rsid w:val="00F14AC2"/>
    <w:rsid w:val="00F14ADC"/>
    <w:rsid w:val="00F14BA1"/>
    <w:rsid w:val="00F14BEF"/>
    <w:rsid w:val="00F14BFD"/>
    <w:rsid w:val="00F14CE6"/>
    <w:rsid w:val="00F14D24"/>
    <w:rsid w:val="00F14DC4"/>
    <w:rsid w:val="00F14DE0"/>
    <w:rsid w:val="00F14F50"/>
    <w:rsid w:val="00F14F5A"/>
    <w:rsid w:val="00F14F7E"/>
    <w:rsid w:val="00F1505E"/>
    <w:rsid w:val="00F150CD"/>
    <w:rsid w:val="00F1518C"/>
    <w:rsid w:val="00F152CF"/>
    <w:rsid w:val="00F1531E"/>
    <w:rsid w:val="00F1536F"/>
    <w:rsid w:val="00F15427"/>
    <w:rsid w:val="00F15477"/>
    <w:rsid w:val="00F15538"/>
    <w:rsid w:val="00F1560D"/>
    <w:rsid w:val="00F15859"/>
    <w:rsid w:val="00F15A1B"/>
    <w:rsid w:val="00F15AC6"/>
    <w:rsid w:val="00F15BB2"/>
    <w:rsid w:val="00F15C09"/>
    <w:rsid w:val="00F15D89"/>
    <w:rsid w:val="00F15DF0"/>
    <w:rsid w:val="00F15F3B"/>
    <w:rsid w:val="00F15F6C"/>
    <w:rsid w:val="00F16115"/>
    <w:rsid w:val="00F16280"/>
    <w:rsid w:val="00F162A0"/>
    <w:rsid w:val="00F162BA"/>
    <w:rsid w:val="00F16430"/>
    <w:rsid w:val="00F16575"/>
    <w:rsid w:val="00F16619"/>
    <w:rsid w:val="00F1662E"/>
    <w:rsid w:val="00F1675F"/>
    <w:rsid w:val="00F16771"/>
    <w:rsid w:val="00F167C2"/>
    <w:rsid w:val="00F167C7"/>
    <w:rsid w:val="00F16987"/>
    <w:rsid w:val="00F16AC2"/>
    <w:rsid w:val="00F16C8F"/>
    <w:rsid w:val="00F16C91"/>
    <w:rsid w:val="00F16D73"/>
    <w:rsid w:val="00F16DF1"/>
    <w:rsid w:val="00F17117"/>
    <w:rsid w:val="00F1716C"/>
    <w:rsid w:val="00F17170"/>
    <w:rsid w:val="00F171CD"/>
    <w:rsid w:val="00F1726E"/>
    <w:rsid w:val="00F172BA"/>
    <w:rsid w:val="00F17343"/>
    <w:rsid w:val="00F173A0"/>
    <w:rsid w:val="00F174A2"/>
    <w:rsid w:val="00F178BE"/>
    <w:rsid w:val="00F17A3E"/>
    <w:rsid w:val="00F17BC9"/>
    <w:rsid w:val="00F17BE2"/>
    <w:rsid w:val="00F17CEC"/>
    <w:rsid w:val="00F17D57"/>
    <w:rsid w:val="00F17DB6"/>
    <w:rsid w:val="00F17DCF"/>
    <w:rsid w:val="00F17E96"/>
    <w:rsid w:val="00F17EE7"/>
    <w:rsid w:val="00F17EF8"/>
    <w:rsid w:val="00F202FF"/>
    <w:rsid w:val="00F20469"/>
    <w:rsid w:val="00F20513"/>
    <w:rsid w:val="00F208FB"/>
    <w:rsid w:val="00F20AC0"/>
    <w:rsid w:val="00F20ACA"/>
    <w:rsid w:val="00F20AD8"/>
    <w:rsid w:val="00F20D41"/>
    <w:rsid w:val="00F20DB3"/>
    <w:rsid w:val="00F20E90"/>
    <w:rsid w:val="00F20F04"/>
    <w:rsid w:val="00F20FE2"/>
    <w:rsid w:val="00F2100F"/>
    <w:rsid w:val="00F21053"/>
    <w:rsid w:val="00F21058"/>
    <w:rsid w:val="00F21148"/>
    <w:rsid w:val="00F21164"/>
    <w:rsid w:val="00F211EC"/>
    <w:rsid w:val="00F21206"/>
    <w:rsid w:val="00F21328"/>
    <w:rsid w:val="00F213AE"/>
    <w:rsid w:val="00F213BD"/>
    <w:rsid w:val="00F213CE"/>
    <w:rsid w:val="00F21433"/>
    <w:rsid w:val="00F21796"/>
    <w:rsid w:val="00F21933"/>
    <w:rsid w:val="00F21966"/>
    <w:rsid w:val="00F21BD0"/>
    <w:rsid w:val="00F21C97"/>
    <w:rsid w:val="00F21CDA"/>
    <w:rsid w:val="00F21D60"/>
    <w:rsid w:val="00F21F0F"/>
    <w:rsid w:val="00F2213D"/>
    <w:rsid w:val="00F222EA"/>
    <w:rsid w:val="00F22302"/>
    <w:rsid w:val="00F22322"/>
    <w:rsid w:val="00F2244D"/>
    <w:rsid w:val="00F224CF"/>
    <w:rsid w:val="00F22500"/>
    <w:rsid w:val="00F22613"/>
    <w:rsid w:val="00F227CD"/>
    <w:rsid w:val="00F22879"/>
    <w:rsid w:val="00F229B0"/>
    <w:rsid w:val="00F229E5"/>
    <w:rsid w:val="00F22D04"/>
    <w:rsid w:val="00F22D99"/>
    <w:rsid w:val="00F22E27"/>
    <w:rsid w:val="00F22EB4"/>
    <w:rsid w:val="00F230AA"/>
    <w:rsid w:val="00F230AF"/>
    <w:rsid w:val="00F230D7"/>
    <w:rsid w:val="00F2316A"/>
    <w:rsid w:val="00F23212"/>
    <w:rsid w:val="00F23241"/>
    <w:rsid w:val="00F233C3"/>
    <w:rsid w:val="00F233C8"/>
    <w:rsid w:val="00F234D6"/>
    <w:rsid w:val="00F2352D"/>
    <w:rsid w:val="00F23569"/>
    <w:rsid w:val="00F2376C"/>
    <w:rsid w:val="00F2379D"/>
    <w:rsid w:val="00F23973"/>
    <w:rsid w:val="00F23A40"/>
    <w:rsid w:val="00F23D52"/>
    <w:rsid w:val="00F23EBF"/>
    <w:rsid w:val="00F23F3B"/>
    <w:rsid w:val="00F240A2"/>
    <w:rsid w:val="00F2412B"/>
    <w:rsid w:val="00F242C9"/>
    <w:rsid w:val="00F242D9"/>
    <w:rsid w:val="00F242ED"/>
    <w:rsid w:val="00F24452"/>
    <w:rsid w:val="00F247FF"/>
    <w:rsid w:val="00F248DD"/>
    <w:rsid w:val="00F24AB5"/>
    <w:rsid w:val="00F24AF0"/>
    <w:rsid w:val="00F24B7D"/>
    <w:rsid w:val="00F24BD4"/>
    <w:rsid w:val="00F24C0F"/>
    <w:rsid w:val="00F24D43"/>
    <w:rsid w:val="00F24DE4"/>
    <w:rsid w:val="00F24E1A"/>
    <w:rsid w:val="00F24F6F"/>
    <w:rsid w:val="00F25026"/>
    <w:rsid w:val="00F25041"/>
    <w:rsid w:val="00F25131"/>
    <w:rsid w:val="00F25241"/>
    <w:rsid w:val="00F25287"/>
    <w:rsid w:val="00F25324"/>
    <w:rsid w:val="00F25536"/>
    <w:rsid w:val="00F25688"/>
    <w:rsid w:val="00F25709"/>
    <w:rsid w:val="00F25731"/>
    <w:rsid w:val="00F25754"/>
    <w:rsid w:val="00F257A5"/>
    <w:rsid w:val="00F257CF"/>
    <w:rsid w:val="00F257F2"/>
    <w:rsid w:val="00F25808"/>
    <w:rsid w:val="00F2592B"/>
    <w:rsid w:val="00F25965"/>
    <w:rsid w:val="00F259AA"/>
    <w:rsid w:val="00F259DF"/>
    <w:rsid w:val="00F25AD8"/>
    <w:rsid w:val="00F25B45"/>
    <w:rsid w:val="00F25B7F"/>
    <w:rsid w:val="00F25BA5"/>
    <w:rsid w:val="00F25C15"/>
    <w:rsid w:val="00F25CB4"/>
    <w:rsid w:val="00F25DBF"/>
    <w:rsid w:val="00F25F95"/>
    <w:rsid w:val="00F25FEB"/>
    <w:rsid w:val="00F26045"/>
    <w:rsid w:val="00F26279"/>
    <w:rsid w:val="00F26316"/>
    <w:rsid w:val="00F263A9"/>
    <w:rsid w:val="00F265E7"/>
    <w:rsid w:val="00F2662C"/>
    <w:rsid w:val="00F2681A"/>
    <w:rsid w:val="00F26821"/>
    <w:rsid w:val="00F269A4"/>
    <w:rsid w:val="00F26C14"/>
    <w:rsid w:val="00F26DE8"/>
    <w:rsid w:val="00F26DED"/>
    <w:rsid w:val="00F26DEE"/>
    <w:rsid w:val="00F26DFD"/>
    <w:rsid w:val="00F26E52"/>
    <w:rsid w:val="00F26FC0"/>
    <w:rsid w:val="00F27055"/>
    <w:rsid w:val="00F272F7"/>
    <w:rsid w:val="00F2761E"/>
    <w:rsid w:val="00F276A7"/>
    <w:rsid w:val="00F27709"/>
    <w:rsid w:val="00F27798"/>
    <w:rsid w:val="00F279CF"/>
    <w:rsid w:val="00F27A4C"/>
    <w:rsid w:val="00F27A5A"/>
    <w:rsid w:val="00F27B1F"/>
    <w:rsid w:val="00F27BB2"/>
    <w:rsid w:val="00F27D78"/>
    <w:rsid w:val="00F27F6E"/>
    <w:rsid w:val="00F30218"/>
    <w:rsid w:val="00F30221"/>
    <w:rsid w:val="00F302DF"/>
    <w:rsid w:val="00F303BE"/>
    <w:rsid w:val="00F3061E"/>
    <w:rsid w:val="00F30645"/>
    <w:rsid w:val="00F30694"/>
    <w:rsid w:val="00F306CB"/>
    <w:rsid w:val="00F30706"/>
    <w:rsid w:val="00F30899"/>
    <w:rsid w:val="00F30970"/>
    <w:rsid w:val="00F309CF"/>
    <w:rsid w:val="00F30A5F"/>
    <w:rsid w:val="00F30BD6"/>
    <w:rsid w:val="00F31140"/>
    <w:rsid w:val="00F31192"/>
    <w:rsid w:val="00F312CC"/>
    <w:rsid w:val="00F31421"/>
    <w:rsid w:val="00F3145B"/>
    <w:rsid w:val="00F314B7"/>
    <w:rsid w:val="00F31978"/>
    <w:rsid w:val="00F31A49"/>
    <w:rsid w:val="00F31AC8"/>
    <w:rsid w:val="00F31BA2"/>
    <w:rsid w:val="00F31BEE"/>
    <w:rsid w:val="00F31BF0"/>
    <w:rsid w:val="00F31C36"/>
    <w:rsid w:val="00F31C8B"/>
    <w:rsid w:val="00F31C99"/>
    <w:rsid w:val="00F31E75"/>
    <w:rsid w:val="00F31E81"/>
    <w:rsid w:val="00F31F21"/>
    <w:rsid w:val="00F32098"/>
    <w:rsid w:val="00F320BC"/>
    <w:rsid w:val="00F322B2"/>
    <w:rsid w:val="00F322D3"/>
    <w:rsid w:val="00F32306"/>
    <w:rsid w:val="00F32496"/>
    <w:rsid w:val="00F324CF"/>
    <w:rsid w:val="00F325E6"/>
    <w:rsid w:val="00F327C9"/>
    <w:rsid w:val="00F327F8"/>
    <w:rsid w:val="00F3293D"/>
    <w:rsid w:val="00F329CD"/>
    <w:rsid w:val="00F32A01"/>
    <w:rsid w:val="00F32B67"/>
    <w:rsid w:val="00F32D19"/>
    <w:rsid w:val="00F32D64"/>
    <w:rsid w:val="00F32D70"/>
    <w:rsid w:val="00F32ED1"/>
    <w:rsid w:val="00F32EFC"/>
    <w:rsid w:val="00F32F57"/>
    <w:rsid w:val="00F32FE9"/>
    <w:rsid w:val="00F33075"/>
    <w:rsid w:val="00F334CB"/>
    <w:rsid w:val="00F334FB"/>
    <w:rsid w:val="00F33535"/>
    <w:rsid w:val="00F335CA"/>
    <w:rsid w:val="00F33780"/>
    <w:rsid w:val="00F33839"/>
    <w:rsid w:val="00F3388B"/>
    <w:rsid w:val="00F33B51"/>
    <w:rsid w:val="00F33CC1"/>
    <w:rsid w:val="00F33DBA"/>
    <w:rsid w:val="00F33E42"/>
    <w:rsid w:val="00F33F0B"/>
    <w:rsid w:val="00F33F13"/>
    <w:rsid w:val="00F33F2C"/>
    <w:rsid w:val="00F3400F"/>
    <w:rsid w:val="00F34060"/>
    <w:rsid w:val="00F34091"/>
    <w:rsid w:val="00F340DF"/>
    <w:rsid w:val="00F340FC"/>
    <w:rsid w:val="00F34120"/>
    <w:rsid w:val="00F341FD"/>
    <w:rsid w:val="00F344F5"/>
    <w:rsid w:val="00F347A4"/>
    <w:rsid w:val="00F3482F"/>
    <w:rsid w:val="00F34967"/>
    <w:rsid w:val="00F34A01"/>
    <w:rsid w:val="00F34CED"/>
    <w:rsid w:val="00F34D8D"/>
    <w:rsid w:val="00F34E0E"/>
    <w:rsid w:val="00F34E32"/>
    <w:rsid w:val="00F35056"/>
    <w:rsid w:val="00F350C0"/>
    <w:rsid w:val="00F3510A"/>
    <w:rsid w:val="00F352A2"/>
    <w:rsid w:val="00F35460"/>
    <w:rsid w:val="00F35590"/>
    <w:rsid w:val="00F3560E"/>
    <w:rsid w:val="00F3568F"/>
    <w:rsid w:val="00F356EA"/>
    <w:rsid w:val="00F35770"/>
    <w:rsid w:val="00F3577B"/>
    <w:rsid w:val="00F35836"/>
    <w:rsid w:val="00F35935"/>
    <w:rsid w:val="00F35E4B"/>
    <w:rsid w:val="00F35EFF"/>
    <w:rsid w:val="00F35F06"/>
    <w:rsid w:val="00F3601C"/>
    <w:rsid w:val="00F36406"/>
    <w:rsid w:val="00F364B2"/>
    <w:rsid w:val="00F3650D"/>
    <w:rsid w:val="00F36539"/>
    <w:rsid w:val="00F3654D"/>
    <w:rsid w:val="00F36603"/>
    <w:rsid w:val="00F36649"/>
    <w:rsid w:val="00F36661"/>
    <w:rsid w:val="00F3667C"/>
    <w:rsid w:val="00F366CA"/>
    <w:rsid w:val="00F366E4"/>
    <w:rsid w:val="00F36756"/>
    <w:rsid w:val="00F368BE"/>
    <w:rsid w:val="00F368CB"/>
    <w:rsid w:val="00F36943"/>
    <w:rsid w:val="00F36960"/>
    <w:rsid w:val="00F369D6"/>
    <w:rsid w:val="00F36B8F"/>
    <w:rsid w:val="00F36BE7"/>
    <w:rsid w:val="00F36E6D"/>
    <w:rsid w:val="00F371E8"/>
    <w:rsid w:val="00F372E3"/>
    <w:rsid w:val="00F374A0"/>
    <w:rsid w:val="00F37515"/>
    <w:rsid w:val="00F375BB"/>
    <w:rsid w:val="00F376C8"/>
    <w:rsid w:val="00F376F5"/>
    <w:rsid w:val="00F377DE"/>
    <w:rsid w:val="00F378A4"/>
    <w:rsid w:val="00F37924"/>
    <w:rsid w:val="00F37C20"/>
    <w:rsid w:val="00F37C98"/>
    <w:rsid w:val="00F37F67"/>
    <w:rsid w:val="00F37F83"/>
    <w:rsid w:val="00F4017B"/>
    <w:rsid w:val="00F401F2"/>
    <w:rsid w:val="00F40205"/>
    <w:rsid w:val="00F402B5"/>
    <w:rsid w:val="00F403D7"/>
    <w:rsid w:val="00F403F5"/>
    <w:rsid w:val="00F404B3"/>
    <w:rsid w:val="00F404DE"/>
    <w:rsid w:val="00F405CB"/>
    <w:rsid w:val="00F40679"/>
    <w:rsid w:val="00F407D5"/>
    <w:rsid w:val="00F40873"/>
    <w:rsid w:val="00F408DB"/>
    <w:rsid w:val="00F409FE"/>
    <w:rsid w:val="00F40A39"/>
    <w:rsid w:val="00F40B8A"/>
    <w:rsid w:val="00F40DDB"/>
    <w:rsid w:val="00F40E0C"/>
    <w:rsid w:val="00F40F2E"/>
    <w:rsid w:val="00F40F50"/>
    <w:rsid w:val="00F40FF7"/>
    <w:rsid w:val="00F41114"/>
    <w:rsid w:val="00F41169"/>
    <w:rsid w:val="00F41225"/>
    <w:rsid w:val="00F413A1"/>
    <w:rsid w:val="00F413AC"/>
    <w:rsid w:val="00F413C1"/>
    <w:rsid w:val="00F413F2"/>
    <w:rsid w:val="00F41722"/>
    <w:rsid w:val="00F41739"/>
    <w:rsid w:val="00F419AF"/>
    <w:rsid w:val="00F41B16"/>
    <w:rsid w:val="00F41B89"/>
    <w:rsid w:val="00F41C55"/>
    <w:rsid w:val="00F41F82"/>
    <w:rsid w:val="00F42042"/>
    <w:rsid w:val="00F420E7"/>
    <w:rsid w:val="00F42183"/>
    <w:rsid w:val="00F42223"/>
    <w:rsid w:val="00F422EE"/>
    <w:rsid w:val="00F42327"/>
    <w:rsid w:val="00F423A9"/>
    <w:rsid w:val="00F423C9"/>
    <w:rsid w:val="00F423CA"/>
    <w:rsid w:val="00F42423"/>
    <w:rsid w:val="00F425DA"/>
    <w:rsid w:val="00F4290B"/>
    <w:rsid w:val="00F42A88"/>
    <w:rsid w:val="00F42B43"/>
    <w:rsid w:val="00F42B4E"/>
    <w:rsid w:val="00F42B72"/>
    <w:rsid w:val="00F42B9D"/>
    <w:rsid w:val="00F42CFD"/>
    <w:rsid w:val="00F4300C"/>
    <w:rsid w:val="00F4304B"/>
    <w:rsid w:val="00F43093"/>
    <w:rsid w:val="00F4329C"/>
    <w:rsid w:val="00F437C2"/>
    <w:rsid w:val="00F43B37"/>
    <w:rsid w:val="00F43B81"/>
    <w:rsid w:val="00F43BD0"/>
    <w:rsid w:val="00F43C16"/>
    <w:rsid w:val="00F43C1A"/>
    <w:rsid w:val="00F43C4D"/>
    <w:rsid w:val="00F43D0B"/>
    <w:rsid w:val="00F43D44"/>
    <w:rsid w:val="00F43D9D"/>
    <w:rsid w:val="00F43DB9"/>
    <w:rsid w:val="00F440CA"/>
    <w:rsid w:val="00F4414A"/>
    <w:rsid w:val="00F441A6"/>
    <w:rsid w:val="00F441AE"/>
    <w:rsid w:val="00F4421C"/>
    <w:rsid w:val="00F4472A"/>
    <w:rsid w:val="00F44A9A"/>
    <w:rsid w:val="00F44AC8"/>
    <w:rsid w:val="00F44B9C"/>
    <w:rsid w:val="00F44C3B"/>
    <w:rsid w:val="00F44CA2"/>
    <w:rsid w:val="00F44E25"/>
    <w:rsid w:val="00F44F3B"/>
    <w:rsid w:val="00F44FE2"/>
    <w:rsid w:val="00F450D1"/>
    <w:rsid w:val="00F45454"/>
    <w:rsid w:val="00F4569D"/>
    <w:rsid w:val="00F456C5"/>
    <w:rsid w:val="00F45706"/>
    <w:rsid w:val="00F45729"/>
    <w:rsid w:val="00F45751"/>
    <w:rsid w:val="00F4583B"/>
    <w:rsid w:val="00F45899"/>
    <w:rsid w:val="00F458D5"/>
    <w:rsid w:val="00F45AD0"/>
    <w:rsid w:val="00F45AEC"/>
    <w:rsid w:val="00F45C08"/>
    <w:rsid w:val="00F45C4D"/>
    <w:rsid w:val="00F45CD2"/>
    <w:rsid w:val="00F45EA0"/>
    <w:rsid w:val="00F45F91"/>
    <w:rsid w:val="00F46018"/>
    <w:rsid w:val="00F46020"/>
    <w:rsid w:val="00F46142"/>
    <w:rsid w:val="00F4614D"/>
    <w:rsid w:val="00F462D1"/>
    <w:rsid w:val="00F465CD"/>
    <w:rsid w:val="00F4680F"/>
    <w:rsid w:val="00F46860"/>
    <w:rsid w:val="00F468D0"/>
    <w:rsid w:val="00F468DD"/>
    <w:rsid w:val="00F46911"/>
    <w:rsid w:val="00F46A48"/>
    <w:rsid w:val="00F46DED"/>
    <w:rsid w:val="00F46FD2"/>
    <w:rsid w:val="00F46FF0"/>
    <w:rsid w:val="00F470EA"/>
    <w:rsid w:val="00F4710E"/>
    <w:rsid w:val="00F4728F"/>
    <w:rsid w:val="00F47377"/>
    <w:rsid w:val="00F473C0"/>
    <w:rsid w:val="00F47610"/>
    <w:rsid w:val="00F476B1"/>
    <w:rsid w:val="00F4786B"/>
    <w:rsid w:val="00F479AF"/>
    <w:rsid w:val="00F47A9D"/>
    <w:rsid w:val="00F47B9C"/>
    <w:rsid w:val="00F47EEB"/>
    <w:rsid w:val="00F47F93"/>
    <w:rsid w:val="00F50189"/>
    <w:rsid w:val="00F5044F"/>
    <w:rsid w:val="00F50609"/>
    <w:rsid w:val="00F507B4"/>
    <w:rsid w:val="00F50884"/>
    <w:rsid w:val="00F50B1D"/>
    <w:rsid w:val="00F50B78"/>
    <w:rsid w:val="00F50C3D"/>
    <w:rsid w:val="00F50DDB"/>
    <w:rsid w:val="00F50E95"/>
    <w:rsid w:val="00F50F3D"/>
    <w:rsid w:val="00F50F50"/>
    <w:rsid w:val="00F50F9D"/>
    <w:rsid w:val="00F51017"/>
    <w:rsid w:val="00F510DB"/>
    <w:rsid w:val="00F5151F"/>
    <w:rsid w:val="00F5159E"/>
    <w:rsid w:val="00F51917"/>
    <w:rsid w:val="00F519E8"/>
    <w:rsid w:val="00F519F5"/>
    <w:rsid w:val="00F51BD4"/>
    <w:rsid w:val="00F51C96"/>
    <w:rsid w:val="00F51EE6"/>
    <w:rsid w:val="00F51FD0"/>
    <w:rsid w:val="00F5210F"/>
    <w:rsid w:val="00F52427"/>
    <w:rsid w:val="00F52569"/>
    <w:rsid w:val="00F52577"/>
    <w:rsid w:val="00F52589"/>
    <w:rsid w:val="00F526FA"/>
    <w:rsid w:val="00F5275B"/>
    <w:rsid w:val="00F52765"/>
    <w:rsid w:val="00F527EB"/>
    <w:rsid w:val="00F528CD"/>
    <w:rsid w:val="00F52B2E"/>
    <w:rsid w:val="00F52B71"/>
    <w:rsid w:val="00F52C07"/>
    <w:rsid w:val="00F52C45"/>
    <w:rsid w:val="00F52C4C"/>
    <w:rsid w:val="00F52D67"/>
    <w:rsid w:val="00F530E0"/>
    <w:rsid w:val="00F5314D"/>
    <w:rsid w:val="00F531AC"/>
    <w:rsid w:val="00F532A3"/>
    <w:rsid w:val="00F532AE"/>
    <w:rsid w:val="00F53334"/>
    <w:rsid w:val="00F533A2"/>
    <w:rsid w:val="00F533EF"/>
    <w:rsid w:val="00F53510"/>
    <w:rsid w:val="00F53633"/>
    <w:rsid w:val="00F53686"/>
    <w:rsid w:val="00F536E3"/>
    <w:rsid w:val="00F5377C"/>
    <w:rsid w:val="00F53791"/>
    <w:rsid w:val="00F537B3"/>
    <w:rsid w:val="00F5382E"/>
    <w:rsid w:val="00F539C0"/>
    <w:rsid w:val="00F53A73"/>
    <w:rsid w:val="00F53B1D"/>
    <w:rsid w:val="00F53BFF"/>
    <w:rsid w:val="00F53C2E"/>
    <w:rsid w:val="00F53F2A"/>
    <w:rsid w:val="00F53F84"/>
    <w:rsid w:val="00F54009"/>
    <w:rsid w:val="00F5402D"/>
    <w:rsid w:val="00F5410B"/>
    <w:rsid w:val="00F541FF"/>
    <w:rsid w:val="00F543C5"/>
    <w:rsid w:val="00F5448B"/>
    <w:rsid w:val="00F54683"/>
    <w:rsid w:val="00F5468D"/>
    <w:rsid w:val="00F546A1"/>
    <w:rsid w:val="00F546CB"/>
    <w:rsid w:val="00F546F0"/>
    <w:rsid w:val="00F54969"/>
    <w:rsid w:val="00F54A1F"/>
    <w:rsid w:val="00F54ADE"/>
    <w:rsid w:val="00F54B01"/>
    <w:rsid w:val="00F54B46"/>
    <w:rsid w:val="00F54B94"/>
    <w:rsid w:val="00F54C64"/>
    <w:rsid w:val="00F54C90"/>
    <w:rsid w:val="00F54CB7"/>
    <w:rsid w:val="00F54E08"/>
    <w:rsid w:val="00F54ED1"/>
    <w:rsid w:val="00F54F23"/>
    <w:rsid w:val="00F54FAC"/>
    <w:rsid w:val="00F550AB"/>
    <w:rsid w:val="00F5548E"/>
    <w:rsid w:val="00F55491"/>
    <w:rsid w:val="00F5556C"/>
    <w:rsid w:val="00F55719"/>
    <w:rsid w:val="00F5584C"/>
    <w:rsid w:val="00F55983"/>
    <w:rsid w:val="00F55AA3"/>
    <w:rsid w:val="00F5612F"/>
    <w:rsid w:val="00F561C0"/>
    <w:rsid w:val="00F56263"/>
    <w:rsid w:val="00F56507"/>
    <w:rsid w:val="00F565B2"/>
    <w:rsid w:val="00F565D7"/>
    <w:rsid w:val="00F566ED"/>
    <w:rsid w:val="00F567C5"/>
    <w:rsid w:val="00F567EE"/>
    <w:rsid w:val="00F569D9"/>
    <w:rsid w:val="00F56B71"/>
    <w:rsid w:val="00F56DC6"/>
    <w:rsid w:val="00F56F30"/>
    <w:rsid w:val="00F56F49"/>
    <w:rsid w:val="00F572B2"/>
    <w:rsid w:val="00F572DD"/>
    <w:rsid w:val="00F5739C"/>
    <w:rsid w:val="00F57533"/>
    <w:rsid w:val="00F575A3"/>
    <w:rsid w:val="00F575B1"/>
    <w:rsid w:val="00F57A72"/>
    <w:rsid w:val="00F57BCF"/>
    <w:rsid w:val="00F57C49"/>
    <w:rsid w:val="00F57D18"/>
    <w:rsid w:val="00F57F04"/>
    <w:rsid w:val="00F57F7B"/>
    <w:rsid w:val="00F60175"/>
    <w:rsid w:val="00F60195"/>
    <w:rsid w:val="00F601F2"/>
    <w:rsid w:val="00F60247"/>
    <w:rsid w:val="00F602AB"/>
    <w:rsid w:val="00F602D3"/>
    <w:rsid w:val="00F602FF"/>
    <w:rsid w:val="00F603C8"/>
    <w:rsid w:val="00F60442"/>
    <w:rsid w:val="00F605DF"/>
    <w:rsid w:val="00F6062D"/>
    <w:rsid w:val="00F60685"/>
    <w:rsid w:val="00F606EC"/>
    <w:rsid w:val="00F6078B"/>
    <w:rsid w:val="00F6086F"/>
    <w:rsid w:val="00F608EF"/>
    <w:rsid w:val="00F609CA"/>
    <w:rsid w:val="00F60BCB"/>
    <w:rsid w:val="00F60BF7"/>
    <w:rsid w:val="00F60CCF"/>
    <w:rsid w:val="00F60D97"/>
    <w:rsid w:val="00F60DA1"/>
    <w:rsid w:val="00F61063"/>
    <w:rsid w:val="00F61167"/>
    <w:rsid w:val="00F611DC"/>
    <w:rsid w:val="00F612C1"/>
    <w:rsid w:val="00F6131A"/>
    <w:rsid w:val="00F61402"/>
    <w:rsid w:val="00F61606"/>
    <w:rsid w:val="00F616AE"/>
    <w:rsid w:val="00F61778"/>
    <w:rsid w:val="00F61A29"/>
    <w:rsid w:val="00F61B21"/>
    <w:rsid w:val="00F61C80"/>
    <w:rsid w:val="00F61DC0"/>
    <w:rsid w:val="00F61EC3"/>
    <w:rsid w:val="00F61EDD"/>
    <w:rsid w:val="00F61EF0"/>
    <w:rsid w:val="00F61FBF"/>
    <w:rsid w:val="00F6203B"/>
    <w:rsid w:val="00F6204B"/>
    <w:rsid w:val="00F620B2"/>
    <w:rsid w:val="00F62295"/>
    <w:rsid w:val="00F6233F"/>
    <w:rsid w:val="00F6234B"/>
    <w:rsid w:val="00F6246A"/>
    <w:rsid w:val="00F62676"/>
    <w:rsid w:val="00F6269F"/>
    <w:rsid w:val="00F62718"/>
    <w:rsid w:val="00F62824"/>
    <w:rsid w:val="00F6288F"/>
    <w:rsid w:val="00F628D9"/>
    <w:rsid w:val="00F62964"/>
    <w:rsid w:val="00F629EB"/>
    <w:rsid w:val="00F62A93"/>
    <w:rsid w:val="00F62BE8"/>
    <w:rsid w:val="00F62C1E"/>
    <w:rsid w:val="00F62C44"/>
    <w:rsid w:val="00F62CF4"/>
    <w:rsid w:val="00F62E7E"/>
    <w:rsid w:val="00F62E8F"/>
    <w:rsid w:val="00F6310D"/>
    <w:rsid w:val="00F63156"/>
    <w:rsid w:val="00F63390"/>
    <w:rsid w:val="00F6350A"/>
    <w:rsid w:val="00F63615"/>
    <w:rsid w:val="00F6361C"/>
    <w:rsid w:val="00F636DA"/>
    <w:rsid w:val="00F63731"/>
    <w:rsid w:val="00F63905"/>
    <w:rsid w:val="00F6391B"/>
    <w:rsid w:val="00F6397C"/>
    <w:rsid w:val="00F63B75"/>
    <w:rsid w:val="00F63B86"/>
    <w:rsid w:val="00F63BC5"/>
    <w:rsid w:val="00F63C65"/>
    <w:rsid w:val="00F63C73"/>
    <w:rsid w:val="00F63D85"/>
    <w:rsid w:val="00F63FF5"/>
    <w:rsid w:val="00F643DF"/>
    <w:rsid w:val="00F644A8"/>
    <w:rsid w:val="00F64539"/>
    <w:rsid w:val="00F645F7"/>
    <w:rsid w:val="00F646F8"/>
    <w:rsid w:val="00F6470A"/>
    <w:rsid w:val="00F6479B"/>
    <w:rsid w:val="00F647C2"/>
    <w:rsid w:val="00F6486F"/>
    <w:rsid w:val="00F64952"/>
    <w:rsid w:val="00F64A61"/>
    <w:rsid w:val="00F64B16"/>
    <w:rsid w:val="00F64B2A"/>
    <w:rsid w:val="00F64BBD"/>
    <w:rsid w:val="00F64BC3"/>
    <w:rsid w:val="00F64CFE"/>
    <w:rsid w:val="00F64D41"/>
    <w:rsid w:val="00F64D42"/>
    <w:rsid w:val="00F64D58"/>
    <w:rsid w:val="00F64D7B"/>
    <w:rsid w:val="00F64DAD"/>
    <w:rsid w:val="00F64DB9"/>
    <w:rsid w:val="00F64DE8"/>
    <w:rsid w:val="00F64F09"/>
    <w:rsid w:val="00F650E7"/>
    <w:rsid w:val="00F652CC"/>
    <w:rsid w:val="00F65459"/>
    <w:rsid w:val="00F6553A"/>
    <w:rsid w:val="00F656DF"/>
    <w:rsid w:val="00F65717"/>
    <w:rsid w:val="00F6575B"/>
    <w:rsid w:val="00F6577A"/>
    <w:rsid w:val="00F65837"/>
    <w:rsid w:val="00F6583A"/>
    <w:rsid w:val="00F65884"/>
    <w:rsid w:val="00F658CA"/>
    <w:rsid w:val="00F65916"/>
    <w:rsid w:val="00F65921"/>
    <w:rsid w:val="00F659DC"/>
    <w:rsid w:val="00F65B02"/>
    <w:rsid w:val="00F65C25"/>
    <w:rsid w:val="00F65C4C"/>
    <w:rsid w:val="00F65EC5"/>
    <w:rsid w:val="00F661F7"/>
    <w:rsid w:val="00F665B0"/>
    <w:rsid w:val="00F6668E"/>
    <w:rsid w:val="00F666D0"/>
    <w:rsid w:val="00F6672B"/>
    <w:rsid w:val="00F66785"/>
    <w:rsid w:val="00F66866"/>
    <w:rsid w:val="00F66A59"/>
    <w:rsid w:val="00F66A82"/>
    <w:rsid w:val="00F66AC8"/>
    <w:rsid w:val="00F66B6D"/>
    <w:rsid w:val="00F66B99"/>
    <w:rsid w:val="00F66B9F"/>
    <w:rsid w:val="00F66F1F"/>
    <w:rsid w:val="00F66F5E"/>
    <w:rsid w:val="00F66FB8"/>
    <w:rsid w:val="00F6709A"/>
    <w:rsid w:val="00F670E2"/>
    <w:rsid w:val="00F670F4"/>
    <w:rsid w:val="00F671BF"/>
    <w:rsid w:val="00F6720B"/>
    <w:rsid w:val="00F67211"/>
    <w:rsid w:val="00F67279"/>
    <w:rsid w:val="00F67283"/>
    <w:rsid w:val="00F67454"/>
    <w:rsid w:val="00F6749B"/>
    <w:rsid w:val="00F67514"/>
    <w:rsid w:val="00F6766F"/>
    <w:rsid w:val="00F67751"/>
    <w:rsid w:val="00F678DB"/>
    <w:rsid w:val="00F678E8"/>
    <w:rsid w:val="00F67A5C"/>
    <w:rsid w:val="00F67B34"/>
    <w:rsid w:val="00F67B8D"/>
    <w:rsid w:val="00F67C0E"/>
    <w:rsid w:val="00F67C8A"/>
    <w:rsid w:val="00F67D30"/>
    <w:rsid w:val="00F67EE3"/>
    <w:rsid w:val="00F700F6"/>
    <w:rsid w:val="00F70151"/>
    <w:rsid w:val="00F70289"/>
    <w:rsid w:val="00F704DE"/>
    <w:rsid w:val="00F7055F"/>
    <w:rsid w:val="00F70591"/>
    <w:rsid w:val="00F705B3"/>
    <w:rsid w:val="00F707B1"/>
    <w:rsid w:val="00F707EB"/>
    <w:rsid w:val="00F70A1A"/>
    <w:rsid w:val="00F70A7C"/>
    <w:rsid w:val="00F70B11"/>
    <w:rsid w:val="00F70B63"/>
    <w:rsid w:val="00F70BC1"/>
    <w:rsid w:val="00F70BC8"/>
    <w:rsid w:val="00F70D02"/>
    <w:rsid w:val="00F71025"/>
    <w:rsid w:val="00F71232"/>
    <w:rsid w:val="00F712BF"/>
    <w:rsid w:val="00F71354"/>
    <w:rsid w:val="00F715DC"/>
    <w:rsid w:val="00F71611"/>
    <w:rsid w:val="00F71A0E"/>
    <w:rsid w:val="00F71A5B"/>
    <w:rsid w:val="00F71C0A"/>
    <w:rsid w:val="00F71C54"/>
    <w:rsid w:val="00F71D0E"/>
    <w:rsid w:val="00F71E41"/>
    <w:rsid w:val="00F720AC"/>
    <w:rsid w:val="00F720DA"/>
    <w:rsid w:val="00F720F3"/>
    <w:rsid w:val="00F721A2"/>
    <w:rsid w:val="00F721F2"/>
    <w:rsid w:val="00F7234E"/>
    <w:rsid w:val="00F723DC"/>
    <w:rsid w:val="00F72432"/>
    <w:rsid w:val="00F72443"/>
    <w:rsid w:val="00F724A7"/>
    <w:rsid w:val="00F7263F"/>
    <w:rsid w:val="00F7281B"/>
    <w:rsid w:val="00F729A7"/>
    <w:rsid w:val="00F72AF7"/>
    <w:rsid w:val="00F72BC1"/>
    <w:rsid w:val="00F72CA9"/>
    <w:rsid w:val="00F72D44"/>
    <w:rsid w:val="00F72E4D"/>
    <w:rsid w:val="00F72FFF"/>
    <w:rsid w:val="00F73035"/>
    <w:rsid w:val="00F73079"/>
    <w:rsid w:val="00F7312B"/>
    <w:rsid w:val="00F7317C"/>
    <w:rsid w:val="00F731E8"/>
    <w:rsid w:val="00F73239"/>
    <w:rsid w:val="00F7327E"/>
    <w:rsid w:val="00F73489"/>
    <w:rsid w:val="00F73532"/>
    <w:rsid w:val="00F735B6"/>
    <w:rsid w:val="00F735E1"/>
    <w:rsid w:val="00F735E4"/>
    <w:rsid w:val="00F735FF"/>
    <w:rsid w:val="00F73633"/>
    <w:rsid w:val="00F736E5"/>
    <w:rsid w:val="00F737B4"/>
    <w:rsid w:val="00F737C2"/>
    <w:rsid w:val="00F73839"/>
    <w:rsid w:val="00F73960"/>
    <w:rsid w:val="00F73979"/>
    <w:rsid w:val="00F739D6"/>
    <w:rsid w:val="00F73AFE"/>
    <w:rsid w:val="00F73C79"/>
    <w:rsid w:val="00F73CD1"/>
    <w:rsid w:val="00F73D1D"/>
    <w:rsid w:val="00F73D81"/>
    <w:rsid w:val="00F740E1"/>
    <w:rsid w:val="00F74179"/>
    <w:rsid w:val="00F741F7"/>
    <w:rsid w:val="00F742FE"/>
    <w:rsid w:val="00F7431F"/>
    <w:rsid w:val="00F744FF"/>
    <w:rsid w:val="00F74564"/>
    <w:rsid w:val="00F7469F"/>
    <w:rsid w:val="00F746F3"/>
    <w:rsid w:val="00F7474B"/>
    <w:rsid w:val="00F747A3"/>
    <w:rsid w:val="00F748E6"/>
    <w:rsid w:val="00F749C9"/>
    <w:rsid w:val="00F74B09"/>
    <w:rsid w:val="00F74B80"/>
    <w:rsid w:val="00F74DE6"/>
    <w:rsid w:val="00F74E88"/>
    <w:rsid w:val="00F74EA5"/>
    <w:rsid w:val="00F74F0F"/>
    <w:rsid w:val="00F75069"/>
    <w:rsid w:val="00F7507F"/>
    <w:rsid w:val="00F7526B"/>
    <w:rsid w:val="00F752C6"/>
    <w:rsid w:val="00F75404"/>
    <w:rsid w:val="00F75422"/>
    <w:rsid w:val="00F7549B"/>
    <w:rsid w:val="00F757FD"/>
    <w:rsid w:val="00F7581A"/>
    <w:rsid w:val="00F75879"/>
    <w:rsid w:val="00F758C4"/>
    <w:rsid w:val="00F75B50"/>
    <w:rsid w:val="00F75D8A"/>
    <w:rsid w:val="00F75E1D"/>
    <w:rsid w:val="00F75EB9"/>
    <w:rsid w:val="00F75FC9"/>
    <w:rsid w:val="00F76004"/>
    <w:rsid w:val="00F76197"/>
    <w:rsid w:val="00F761E0"/>
    <w:rsid w:val="00F76272"/>
    <w:rsid w:val="00F7638C"/>
    <w:rsid w:val="00F7658C"/>
    <w:rsid w:val="00F765C8"/>
    <w:rsid w:val="00F76624"/>
    <w:rsid w:val="00F76626"/>
    <w:rsid w:val="00F76718"/>
    <w:rsid w:val="00F76805"/>
    <w:rsid w:val="00F76B4A"/>
    <w:rsid w:val="00F76C5A"/>
    <w:rsid w:val="00F76CF3"/>
    <w:rsid w:val="00F76E3E"/>
    <w:rsid w:val="00F76E47"/>
    <w:rsid w:val="00F76F44"/>
    <w:rsid w:val="00F76F57"/>
    <w:rsid w:val="00F771BD"/>
    <w:rsid w:val="00F77204"/>
    <w:rsid w:val="00F772A8"/>
    <w:rsid w:val="00F772F4"/>
    <w:rsid w:val="00F77374"/>
    <w:rsid w:val="00F77382"/>
    <w:rsid w:val="00F773B7"/>
    <w:rsid w:val="00F7742B"/>
    <w:rsid w:val="00F776DF"/>
    <w:rsid w:val="00F77AC2"/>
    <w:rsid w:val="00F77C1C"/>
    <w:rsid w:val="00F77C29"/>
    <w:rsid w:val="00F77E02"/>
    <w:rsid w:val="00F77E46"/>
    <w:rsid w:val="00F80146"/>
    <w:rsid w:val="00F802E4"/>
    <w:rsid w:val="00F803E3"/>
    <w:rsid w:val="00F804A6"/>
    <w:rsid w:val="00F804AB"/>
    <w:rsid w:val="00F80749"/>
    <w:rsid w:val="00F80936"/>
    <w:rsid w:val="00F809AD"/>
    <w:rsid w:val="00F80A87"/>
    <w:rsid w:val="00F80ADC"/>
    <w:rsid w:val="00F80CB8"/>
    <w:rsid w:val="00F80CD7"/>
    <w:rsid w:val="00F80DB8"/>
    <w:rsid w:val="00F811F1"/>
    <w:rsid w:val="00F8136C"/>
    <w:rsid w:val="00F81479"/>
    <w:rsid w:val="00F81543"/>
    <w:rsid w:val="00F81696"/>
    <w:rsid w:val="00F816F4"/>
    <w:rsid w:val="00F81780"/>
    <w:rsid w:val="00F81783"/>
    <w:rsid w:val="00F81826"/>
    <w:rsid w:val="00F818AB"/>
    <w:rsid w:val="00F818E8"/>
    <w:rsid w:val="00F81B74"/>
    <w:rsid w:val="00F81BD8"/>
    <w:rsid w:val="00F81C8A"/>
    <w:rsid w:val="00F8215E"/>
    <w:rsid w:val="00F82193"/>
    <w:rsid w:val="00F82258"/>
    <w:rsid w:val="00F8226F"/>
    <w:rsid w:val="00F82337"/>
    <w:rsid w:val="00F82432"/>
    <w:rsid w:val="00F825BF"/>
    <w:rsid w:val="00F825FE"/>
    <w:rsid w:val="00F82649"/>
    <w:rsid w:val="00F82A83"/>
    <w:rsid w:val="00F82A9D"/>
    <w:rsid w:val="00F82B9C"/>
    <w:rsid w:val="00F82BED"/>
    <w:rsid w:val="00F82D55"/>
    <w:rsid w:val="00F82ED7"/>
    <w:rsid w:val="00F82EE6"/>
    <w:rsid w:val="00F830BB"/>
    <w:rsid w:val="00F830F0"/>
    <w:rsid w:val="00F8329F"/>
    <w:rsid w:val="00F833F9"/>
    <w:rsid w:val="00F8362F"/>
    <w:rsid w:val="00F83662"/>
    <w:rsid w:val="00F838B1"/>
    <w:rsid w:val="00F83B85"/>
    <w:rsid w:val="00F83BD3"/>
    <w:rsid w:val="00F83C7D"/>
    <w:rsid w:val="00F83D08"/>
    <w:rsid w:val="00F83DFF"/>
    <w:rsid w:val="00F83E09"/>
    <w:rsid w:val="00F84114"/>
    <w:rsid w:val="00F841F0"/>
    <w:rsid w:val="00F84217"/>
    <w:rsid w:val="00F842E3"/>
    <w:rsid w:val="00F84332"/>
    <w:rsid w:val="00F8433F"/>
    <w:rsid w:val="00F843FE"/>
    <w:rsid w:val="00F84588"/>
    <w:rsid w:val="00F846B8"/>
    <w:rsid w:val="00F84740"/>
    <w:rsid w:val="00F8475A"/>
    <w:rsid w:val="00F8483D"/>
    <w:rsid w:val="00F84885"/>
    <w:rsid w:val="00F848DB"/>
    <w:rsid w:val="00F84988"/>
    <w:rsid w:val="00F84993"/>
    <w:rsid w:val="00F849AF"/>
    <w:rsid w:val="00F849C8"/>
    <w:rsid w:val="00F84AB1"/>
    <w:rsid w:val="00F84B5C"/>
    <w:rsid w:val="00F84BB4"/>
    <w:rsid w:val="00F84BBA"/>
    <w:rsid w:val="00F84C04"/>
    <w:rsid w:val="00F84CB0"/>
    <w:rsid w:val="00F84CE5"/>
    <w:rsid w:val="00F84D28"/>
    <w:rsid w:val="00F84E55"/>
    <w:rsid w:val="00F84F94"/>
    <w:rsid w:val="00F84FDA"/>
    <w:rsid w:val="00F85021"/>
    <w:rsid w:val="00F8507A"/>
    <w:rsid w:val="00F850F3"/>
    <w:rsid w:val="00F85279"/>
    <w:rsid w:val="00F852E7"/>
    <w:rsid w:val="00F85364"/>
    <w:rsid w:val="00F85482"/>
    <w:rsid w:val="00F855D4"/>
    <w:rsid w:val="00F85686"/>
    <w:rsid w:val="00F856C7"/>
    <w:rsid w:val="00F85774"/>
    <w:rsid w:val="00F858C1"/>
    <w:rsid w:val="00F8590B"/>
    <w:rsid w:val="00F85923"/>
    <w:rsid w:val="00F85933"/>
    <w:rsid w:val="00F85A92"/>
    <w:rsid w:val="00F85C48"/>
    <w:rsid w:val="00F85CF0"/>
    <w:rsid w:val="00F85DCD"/>
    <w:rsid w:val="00F8622C"/>
    <w:rsid w:val="00F863BA"/>
    <w:rsid w:val="00F864A8"/>
    <w:rsid w:val="00F8657F"/>
    <w:rsid w:val="00F86637"/>
    <w:rsid w:val="00F86641"/>
    <w:rsid w:val="00F8669F"/>
    <w:rsid w:val="00F86B25"/>
    <w:rsid w:val="00F86B6C"/>
    <w:rsid w:val="00F86BBF"/>
    <w:rsid w:val="00F86C1A"/>
    <w:rsid w:val="00F86C1D"/>
    <w:rsid w:val="00F86CE7"/>
    <w:rsid w:val="00F86EBD"/>
    <w:rsid w:val="00F86F82"/>
    <w:rsid w:val="00F86FE7"/>
    <w:rsid w:val="00F87193"/>
    <w:rsid w:val="00F871AC"/>
    <w:rsid w:val="00F87264"/>
    <w:rsid w:val="00F872CD"/>
    <w:rsid w:val="00F873C1"/>
    <w:rsid w:val="00F873E4"/>
    <w:rsid w:val="00F8781A"/>
    <w:rsid w:val="00F878A5"/>
    <w:rsid w:val="00F879D3"/>
    <w:rsid w:val="00F87A64"/>
    <w:rsid w:val="00F87C48"/>
    <w:rsid w:val="00F87D33"/>
    <w:rsid w:val="00F87DDD"/>
    <w:rsid w:val="00F87E53"/>
    <w:rsid w:val="00F9001E"/>
    <w:rsid w:val="00F90218"/>
    <w:rsid w:val="00F9048A"/>
    <w:rsid w:val="00F90511"/>
    <w:rsid w:val="00F90548"/>
    <w:rsid w:val="00F9057E"/>
    <w:rsid w:val="00F907DA"/>
    <w:rsid w:val="00F90877"/>
    <w:rsid w:val="00F908CC"/>
    <w:rsid w:val="00F90953"/>
    <w:rsid w:val="00F90AC9"/>
    <w:rsid w:val="00F90C97"/>
    <w:rsid w:val="00F90DCD"/>
    <w:rsid w:val="00F90E45"/>
    <w:rsid w:val="00F90E52"/>
    <w:rsid w:val="00F90FF3"/>
    <w:rsid w:val="00F9102A"/>
    <w:rsid w:val="00F91045"/>
    <w:rsid w:val="00F911FB"/>
    <w:rsid w:val="00F91231"/>
    <w:rsid w:val="00F912FD"/>
    <w:rsid w:val="00F9157F"/>
    <w:rsid w:val="00F91666"/>
    <w:rsid w:val="00F917A1"/>
    <w:rsid w:val="00F91897"/>
    <w:rsid w:val="00F91910"/>
    <w:rsid w:val="00F91BB5"/>
    <w:rsid w:val="00F91D1E"/>
    <w:rsid w:val="00F91D88"/>
    <w:rsid w:val="00F91F0C"/>
    <w:rsid w:val="00F92215"/>
    <w:rsid w:val="00F9221B"/>
    <w:rsid w:val="00F92279"/>
    <w:rsid w:val="00F922C4"/>
    <w:rsid w:val="00F924BC"/>
    <w:rsid w:val="00F924F7"/>
    <w:rsid w:val="00F926DE"/>
    <w:rsid w:val="00F9281B"/>
    <w:rsid w:val="00F92936"/>
    <w:rsid w:val="00F92B2B"/>
    <w:rsid w:val="00F92BAC"/>
    <w:rsid w:val="00F92BC7"/>
    <w:rsid w:val="00F92CAC"/>
    <w:rsid w:val="00F92D51"/>
    <w:rsid w:val="00F92D92"/>
    <w:rsid w:val="00F92EF3"/>
    <w:rsid w:val="00F92F07"/>
    <w:rsid w:val="00F92F9E"/>
    <w:rsid w:val="00F9324E"/>
    <w:rsid w:val="00F932E4"/>
    <w:rsid w:val="00F9334D"/>
    <w:rsid w:val="00F9349F"/>
    <w:rsid w:val="00F934DA"/>
    <w:rsid w:val="00F9351A"/>
    <w:rsid w:val="00F93542"/>
    <w:rsid w:val="00F93551"/>
    <w:rsid w:val="00F9367B"/>
    <w:rsid w:val="00F938FA"/>
    <w:rsid w:val="00F93936"/>
    <w:rsid w:val="00F93A6F"/>
    <w:rsid w:val="00F93B5F"/>
    <w:rsid w:val="00F93C21"/>
    <w:rsid w:val="00F93C7C"/>
    <w:rsid w:val="00F93C9D"/>
    <w:rsid w:val="00F93FF6"/>
    <w:rsid w:val="00F9407F"/>
    <w:rsid w:val="00F940C5"/>
    <w:rsid w:val="00F94234"/>
    <w:rsid w:val="00F94318"/>
    <w:rsid w:val="00F944C8"/>
    <w:rsid w:val="00F944EC"/>
    <w:rsid w:val="00F94543"/>
    <w:rsid w:val="00F94897"/>
    <w:rsid w:val="00F94973"/>
    <w:rsid w:val="00F94A63"/>
    <w:rsid w:val="00F94AD5"/>
    <w:rsid w:val="00F94C4E"/>
    <w:rsid w:val="00F94CE7"/>
    <w:rsid w:val="00F94D4B"/>
    <w:rsid w:val="00F94D5C"/>
    <w:rsid w:val="00F94D80"/>
    <w:rsid w:val="00F94EA0"/>
    <w:rsid w:val="00F94EC7"/>
    <w:rsid w:val="00F94F71"/>
    <w:rsid w:val="00F94FD1"/>
    <w:rsid w:val="00F94FEA"/>
    <w:rsid w:val="00F950A0"/>
    <w:rsid w:val="00F950D8"/>
    <w:rsid w:val="00F95113"/>
    <w:rsid w:val="00F952A9"/>
    <w:rsid w:val="00F95458"/>
    <w:rsid w:val="00F954A9"/>
    <w:rsid w:val="00F95596"/>
    <w:rsid w:val="00F95605"/>
    <w:rsid w:val="00F95607"/>
    <w:rsid w:val="00F956B3"/>
    <w:rsid w:val="00F957FA"/>
    <w:rsid w:val="00F958F5"/>
    <w:rsid w:val="00F959EC"/>
    <w:rsid w:val="00F95AB0"/>
    <w:rsid w:val="00F95ADD"/>
    <w:rsid w:val="00F95AF1"/>
    <w:rsid w:val="00F95C77"/>
    <w:rsid w:val="00F95CA4"/>
    <w:rsid w:val="00F95D54"/>
    <w:rsid w:val="00F95DD6"/>
    <w:rsid w:val="00F95E91"/>
    <w:rsid w:val="00F95E97"/>
    <w:rsid w:val="00F95F45"/>
    <w:rsid w:val="00F96056"/>
    <w:rsid w:val="00F96169"/>
    <w:rsid w:val="00F96184"/>
    <w:rsid w:val="00F96287"/>
    <w:rsid w:val="00F96312"/>
    <w:rsid w:val="00F96476"/>
    <w:rsid w:val="00F9656E"/>
    <w:rsid w:val="00F965B8"/>
    <w:rsid w:val="00F9694C"/>
    <w:rsid w:val="00F96954"/>
    <w:rsid w:val="00F96B82"/>
    <w:rsid w:val="00F96BAA"/>
    <w:rsid w:val="00F96CA1"/>
    <w:rsid w:val="00F96CD2"/>
    <w:rsid w:val="00F96DF8"/>
    <w:rsid w:val="00F96DFF"/>
    <w:rsid w:val="00F96E39"/>
    <w:rsid w:val="00F970B8"/>
    <w:rsid w:val="00F9711F"/>
    <w:rsid w:val="00F971A0"/>
    <w:rsid w:val="00F973B4"/>
    <w:rsid w:val="00F974B2"/>
    <w:rsid w:val="00F9751D"/>
    <w:rsid w:val="00F97530"/>
    <w:rsid w:val="00F977A5"/>
    <w:rsid w:val="00F977F1"/>
    <w:rsid w:val="00F97856"/>
    <w:rsid w:val="00F978FA"/>
    <w:rsid w:val="00F97909"/>
    <w:rsid w:val="00F97926"/>
    <w:rsid w:val="00F97994"/>
    <w:rsid w:val="00F97A46"/>
    <w:rsid w:val="00F97B88"/>
    <w:rsid w:val="00F97BF9"/>
    <w:rsid w:val="00F97CCC"/>
    <w:rsid w:val="00F97D98"/>
    <w:rsid w:val="00F97D9C"/>
    <w:rsid w:val="00F97EE1"/>
    <w:rsid w:val="00F97F2E"/>
    <w:rsid w:val="00F97FC8"/>
    <w:rsid w:val="00FA0059"/>
    <w:rsid w:val="00FA006F"/>
    <w:rsid w:val="00FA008B"/>
    <w:rsid w:val="00FA00A3"/>
    <w:rsid w:val="00FA018A"/>
    <w:rsid w:val="00FA0319"/>
    <w:rsid w:val="00FA0569"/>
    <w:rsid w:val="00FA06C9"/>
    <w:rsid w:val="00FA0766"/>
    <w:rsid w:val="00FA07A7"/>
    <w:rsid w:val="00FA07F0"/>
    <w:rsid w:val="00FA0948"/>
    <w:rsid w:val="00FA09BF"/>
    <w:rsid w:val="00FA0A06"/>
    <w:rsid w:val="00FA0A5D"/>
    <w:rsid w:val="00FA0AC3"/>
    <w:rsid w:val="00FA0B1C"/>
    <w:rsid w:val="00FA0BE4"/>
    <w:rsid w:val="00FA0F21"/>
    <w:rsid w:val="00FA0FB9"/>
    <w:rsid w:val="00FA10C4"/>
    <w:rsid w:val="00FA134C"/>
    <w:rsid w:val="00FA1383"/>
    <w:rsid w:val="00FA13A8"/>
    <w:rsid w:val="00FA13AB"/>
    <w:rsid w:val="00FA14C2"/>
    <w:rsid w:val="00FA1708"/>
    <w:rsid w:val="00FA1719"/>
    <w:rsid w:val="00FA19CD"/>
    <w:rsid w:val="00FA19D5"/>
    <w:rsid w:val="00FA19D9"/>
    <w:rsid w:val="00FA1AD9"/>
    <w:rsid w:val="00FA1BA1"/>
    <w:rsid w:val="00FA1C86"/>
    <w:rsid w:val="00FA1CB5"/>
    <w:rsid w:val="00FA1DBB"/>
    <w:rsid w:val="00FA1E70"/>
    <w:rsid w:val="00FA2085"/>
    <w:rsid w:val="00FA2099"/>
    <w:rsid w:val="00FA2110"/>
    <w:rsid w:val="00FA2115"/>
    <w:rsid w:val="00FA2195"/>
    <w:rsid w:val="00FA219D"/>
    <w:rsid w:val="00FA223B"/>
    <w:rsid w:val="00FA228F"/>
    <w:rsid w:val="00FA22BC"/>
    <w:rsid w:val="00FA2361"/>
    <w:rsid w:val="00FA2508"/>
    <w:rsid w:val="00FA257D"/>
    <w:rsid w:val="00FA25CD"/>
    <w:rsid w:val="00FA2827"/>
    <w:rsid w:val="00FA2874"/>
    <w:rsid w:val="00FA296D"/>
    <w:rsid w:val="00FA2A6F"/>
    <w:rsid w:val="00FA2B19"/>
    <w:rsid w:val="00FA2C63"/>
    <w:rsid w:val="00FA2E0D"/>
    <w:rsid w:val="00FA2E40"/>
    <w:rsid w:val="00FA2E6B"/>
    <w:rsid w:val="00FA2F5E"/>
    <w:rsid w:val="00FA3231"/>
    <w:rsid w:val="00FA3251"/>
    <w:rsid w:val="00FA33F5"/>
    <w:rsid w:val="00FA3462"/>
    <w:rsid w:val="00FA354C"/>
    <w:rsid w:val="00FA36D8"/>
    <w:rsid w:val="00FA37C7"/>
    <w:rsid w:val="00FA3823"/>
    <w:rsid w:val="00FA38EC"/>
    <w:rsid w:val="00FA38F4"/>
    <w:rsid w:val="00FA3B66"/>
    <w:rsid w:val="00FA3BD9"/>
    <w:rsid w:val="00FA3D64"/>
    <w:rsid w:val="00FA3D68"/>
    <w:rsid w:val="00FA3D7A"/>
    <w:rsid w:val="00FA3E61"/>
    <w:rsid w:val="00FA3F0B"/>
    <w:rsid w:val="00FA41C3"/>
    <w:rsid w:val="00FA422B"/>
    <w:rsid w:val="00FA43A2"/>
    <w:rsid w:val="00FA44D1"/>
    <w:rsid w:val="00FA4568"/>
    <w:rsid w:val="00FA46C8"/>
    <w:rsid w:val="00FA46CA"/>
    <w:rsid w:val="00FA4744"/>
    <w:rsid w:val="00FA4861"/>
    <w:rsid w:val="00FA48E5"/>
    <w:rsid w:val="00FA4A3C"/>
    <w:rsid w:val="00FA4A40"/>
    <w:rsid w:val="00FA4A73"/>
    <w:rsid w:val="00FA4B5F"/>
    <w:rsid w:val="00FA4BF9"/>
    <w:rsid w:val="00FA4E94"/>
    <w:rsid w:val="00FA4F07"/>
    <w:rsid w:val="00FA4F63"/>
    <w:rsid w:val="00FA501E"/>
    <w:rsid w:val="00FA51C5"/>
    <w:rsid w:val="00FA529E"/>
    <w:rsid w:val="00FA5571"/>
    <w:rsid w:val="00FA56FA"/>
    <w:rsid w:val="00FA574E"/>
    <w:rsid w:val="00FA58D5"/>
    <w:rsid w:val="00FA58D6"/>
    <w:rsid w:val="00FA5968"/>
    <w:rsid w:val="00FA59FA"/>
    <w:rsid w:val="00FA5A45"/>
    <w:rsid w:val="00FA5BF2"/>
    <w:rsid w:val="00FA5D2A"/>
    <w:rsid w:val="00FA5D34"/>
    <w:rsid w:val="00FA5DBB"/>
    <w:rsid w:val="00FA5EE5"/>
    <w:rsid w:val="00FA5F25"/>
    <w:rsid w:val="00FA5FE3"/>
    <w:rsid w:val="00FA602F"/>
    <w:rsid w:val="00FA6108"/>
    <w:rsid w:val="00FA6158"/>
    <w:rsid w:val="00FA6297"/>
    <w:rsid w:val="00FA62CE"/>
    <w:rsid w:val="00FA630E"/>
    <w:rsid w:val="00FA631D"/>
    <w:rsid w:val="00FA6424"/>
    <w:rsid w:val="00FA64FB"/>
    <w:rsid w:val="00FA6533"/>
    <w:rsid w:val="00FA66C5"/>
    <w:rsid w:val="00FA6778"/>
    <w:rsid w:val="00FA6834"/>
    <w:rsid w:val="00FA69F3"/>
    <w:rsid w:val="00FA6A88"/>
    <w:rsid w:val="00FA6B0D"/>
    <w:rsid w:val="00FA6C63"/>
    <w:rsid w:val="00FA6CC0"/>
    <w:rsid w:val="00FA6CE0"/>
    <w:rsid w:val="00FA6D3A"/>
    <w:rsid w:val="00FA6DF2"/>
    <w:rsid w:val="00FA6E87"/>
    <w:rsid w:val="00FA6F5C"/>
    <w:rsid w:val="00FA6F7E"/>
    <w:rsid w:val="00FA720F"/>
    <w:rsid w:val="00FA740F"/>
    <w:rsid w:val="00FA7424"/>
    <w:rsid w:val="00FA754D"/>
    <w:rsid w:val="00FA76B4"/>
    <w:rsid w:val="00FA7952"/>
    <w:rsid w:val="00FA7AEF"/>
    <w:rsid w:val="00FA7BB8"/>
    <w:rsid w:val="00FA7C15"/>
    <w:rsid w:val="00FA7C1F"/>
    <w:rsid w:val="00FA7E9C"/>
    <w:rsid w:val="00FA7EAA"/>
    <w:rsid w:val="00FA7FA8"/>
    <w:rsid w:val="00FB0052"/>
    <w:rsid w:val="00FB00C4"/>
    <w:rsid w:val="00FB00FC"/>
    <w:rsid w:val="00FB0134"/>
    <w:rsid w:val="00FB01C6"/>
    <w:rsid w:val="00FB01D0"/>
    <w:rsid w:val="00FB053D"/>
    <w:rsid w:val="00FB06D4"/>
    <w:rsid w:val="00FB07E9"/>
    <w:rsid w:val="00FB08B2"/>
    <w:rsid w:val="00FB0940"/>
    <w:rsid w:val="00FB09CF"/>
    <w:rsid w:val="00FB09FB"/>
    <w:rsid w:val="00FB0AD5"/>
    <w:rsid w:val="00FB0AF8"/>
    <w:rsid w:val="00FB0B52"/>
    <w:rsid w:val="00FB0CB3"/>
    <w:rsid w:val="00FB0D57"/>
    <w:rsid w:val="00FB1087"/>
    <w:rsid w:val="00FB120D"/>
    <w:rsid w:val="00FB1232"/>
    <w:rsid w:val="00FB124B"/>
    <w:rsid w:val="00FB1270"/>
    <w:rsid w:val="00FB12D7"/>
    <w:rsid w:val="00FB142A"/>
    <w:rsid w:val="00FB1810"/>
    <w:rsid w:val="00FB1882"/>
    <w:rsid w:val="00FB18EF"/>
    <w:rsid w:val="00FB18F9"/>
    <w:rsid w:val="00FB192D"/>
    <w:rsid w:val="00FB1BCB"/>
    <w:rsid w:val="00FB1BCE"/>
    <w:rsid w:val="00FB1C04"/>
    <w:rsid w:val="00FB1C68"/>
    <w:rsid w:val="00FB1DEC"/>
    <w:rsid w:val="00FB2037"/>
    <w:rsid w:val="00FB2134"/>
    <w:rsid w:val="00FB21A1"/>
    <w:rsid w:val="00FB21F4"/>
    <w:rsid w:val="00FB23A7"/>
    <w:rsid w:val="00FB23E7"/>
    <w:rsid w:val="00FB23EE"/>
    <w:rsid w:val="00FB257E"/>
    <w:rsid w:val="00FB25A0"/>
    <w:rsid w:val="00FB25F5"/>
    <w:rsid w:val="00FB26E8"/>
    <w:rsid w:val="00FB277E"/>
    <w:rsid w:val="00FB2802"/>
    <w:rsid w:val="00FB28CE"/>
    <w:rsid w:val="00FB2964"/>
    <w:rsid w:val="00FB2B27"/>
    <w:rsid w:val="00FB2B89"/>
    <w:rsid w:val="00FB2B9A"/>
    <w:rsid w:val="00FB2C63"/>
    <w:rsid w:val="00FB2D6C"/>
    <w:rsid w:val="00FB3033"/>
    <w:rsid w:val="00FB3197"/>
    <w:rsid w:val="00FB3249"/>
    <w:rsid w:val="00FB3305"/>
    <w:rsid w:val="00FB3319"/>
    <w:rsid w:val="00FB33AC"/>
    <w:rsid w:val="00FB34A8"/>
    <w:rsid w:val="00FB36F9"/>
    <w:rsid w:val="00FB37D4"/>
    <w:rsid w:val="00FB3939"/>
    <w:rsid w:val="00FB396B"/>
    <w:rsid w:val="00FB39E8"/>
    <w:rsid w:val="00FB3B7F"/>
    <w:rsid w:val="00FB3C57"/>
    <w:rsid w:val="00FB3CC4"/>
    <w:rsid w:val="00FB3D9B"/>
    <w:rsid w:val="00FB3E5D"/>
    <w:rsid w:val="00FB40A4"/>
    <w:rsid w:val="00FB40B0"/>
    <w:rsid w:val="00FB4196"/>
    <w:rsid w:val="00FB445D"/>
    <w:rsid w:val="00FB4541"/>
    <w:rsid w:val="00FB4558"/>
    <w:rsid w:val="00FB45D9"/>
    <w:rsid w:val="00FB4607"/>
    <w:rsid w:val="00FB4685"/>
    <w:rsid w:val="00FB4731"/>
    <w:rsid w:val="00FB4827"/>
    <w:rsid w:val="00FB4896"/>
    <w:rsid w:val="00FB4C82"/>
    <w:rsid w:val="00FB4E54"/>
    <w:rsid w:val="00FB4E57"/>
    <w:rsid w:val="00FB4F77"/>
    <w:rsid w:val="00FB4FB0"/>
    <w:rsid w:val="00FB4FC1"/>
    <w:rsid w:val="00FB512A"/>
    <w:rsid w:val="00FB517C"/>
    <w:rsid w:val="00FB52C9"/>
    <w:rsid w:val="00FB5487"/>
    <w:rsid w:val="00FB54FD"/>
    <w:rsid w:val="00FB5562"/>
    <w:rsid w:val="00FB5568"/>
    <w:rsid w:val="00FB5570"/>
    <w:rsid w:val="00FB55FF"/>
    <w:rsid w:val="00FB56FC"/>
    <w:rsid w:val="00FB5847"/>
    <w:rsid w:val="00FB5977"/>
    <w:rsid w:val="00FB59B2"/>
    <w:rsid w:val="00FB5B3D"/>
    <w:rsid w:val="00FB5C4C"/>
    <w:rsid w:val="00FB5C87"/>
    <w:rsid w:val="00FB5C98"/>
    <w:rsid w:val="00FB5CC1"/>
    <w:rsid w:val="00FB5CDC"/>
    <w:rsid w:val="00FB5FC2"/>
    <w:rsid w:val="00FB5FC6"/>
    <w:rsid w:val="00FB60D6"/>
    <w:rsid w:val="00FB641B"/>
    <w:rsid w:val="00FB641D"/>
    <w:rsid w:val="00FB644F"/>
    <w:rsid w:val="00FB64AA"/>
    <w:rsid w:val="00FB65A9"/>
    <w:rsid w:val="00FB665F"/>
    <w:rsid w:val="00FB6713"/>
    <w:rsid w:val="00FB67A2"/>
    <w:rsid w:val="00FB685D"/>
    <w:rsid w:val="00FB6953"/>
    <w:rsid w:val="00FB6967"/>
    <w:rsid w:val="00FB69B3"/>
    <w:rsid w:val="00FB6A7A"/>
    <w:rsid w:val="00FB6A9E"/>
    <w:rsid w:val="00FB6AA5"/>
    <w:rsid w:val="00FB70A4"/>
    <w:rsid w:val="00FB70E4"/>
    <w:rsid w:val="00FB712E"/>
    <w:rsid w:val="00FB71CC"/>
    <w:rsid w:val="00FB725E"/>
    <w:rsid w:val="00FB732A"/>
    <w:rsid w:val="00FB737C"/>
    <w:rsid w:val="00FB73A6"/>
    <w:rsid w:val="00FB7471"/>
    <w:rsid w:val="00FB74DB"/>
    <w:rsid w:val="00FB7560"/>
    <w:rsid w:val="00FB75E5"/>
    <w:rsid w:val="00FB760A"/>
    <w:rsid w:val="00FB769E"/>
    <w:rsid w:val="00FB7786"/>
    <w:rsid w:val="00FB7985"/>
    <w:rsid w:val="00FB7B5E"/>
    <w:rsid w:val="00FB7D9C"/>
    <w:rsid w:val="00FB7E08"/>
    <w:rsid w:val="00FB7E68"/>
    <w:rsid w:val="00FB7EA3"/>
    <w:rsid w:val="00FB7FA1"/>
    <w:rsid w:val="00FB7FA4"/>
    <w:rsid w:val="00FC018E"/>
    <w:rsid w:val="00FC03A8"/>
    <w:rsid w:val="00FC0753"/>
    <w:rsid w:val="00FC077A"/>
    <w:rsid w:val="00FC0797"/>
    <w:rsid w:val="00FC07E5"/>
    <w:rsid w:val="00FC0841"/>
    <w:rsid w:val="00FC08FB"/>
    <w:rsid w:val="00FC0AF7"/>
    <w:rsid w:val="00FC0B56"/>
    <w:rsid w:val="00FC0B65"/>
    <w:rsid w:val="00FC0B6D"/>
    <w:rsid w:val="00FC0CE2"/>
    <w:rsid w:val="00FC0D2C"/>
    <w:rsid w:val="00FC0D3F"/>
    <w:rsid w:val="00FC0D43"/>
    <w:rsid w:val="00FC0F09"/>
    <w:rsid w:val="00FC0FF0"/>
    <w:rsid w:val="00FC1039"/>
    <w:rsid w:val="00FC10BF"/>
    <w:rsid w:val="00FC1171"/>
    <w:rsid w:val="00FC1176"/>
    <w:rsid w:val="00FC1402"/>
    <w:rsid w:val="00FC1451"/>
    <w:rsid w:val="00FC15DE"/>
    <w:rsid w:val="00FC15F9"/>
    <w:rsid w:val="00FC167F"/>
    <w:rsid w:val="00FC17E0"/>
    <w:rsid w:val="00FC17F5"/>
    <w:rsid w:val="00FC17F6"/>
    <w:rsid w:val="00FC19F1"/>
    <w:rsid w:val="00FC1A93"/>
    <w:rsid w:val="00FC1BCA"/>
    <w:rsid w:val="00FC1D8E"/>
    <w:rsid w:val="00FC1DB3"/>
    <w:rsid w:val="00FC1DDB"/>
    <w:rsid w:val="00FC1F39"/>
    <w:rsid w:val="00FC1F3E"/>
    <w:rsid w:val="00FC1FE6"/>
    <w:rsid w:val="00FC20E5"/>
    <w:rsid w:val="00FC215D"/>
    <w:rsid w:val="00FC21A7"/>
    <w:rsid w:val="00FC274F"/>
    <w:rsid w:val="00FC27A2"/>
    <w:rsid w:val="00FC28E2"/>
    <w:rsid w:val="00FC290A"/>
    <w:rsid w:val="00FC2933"/>
    <w:rsid w:val="00FC2959"/>
    <w:rsid w:val="00FC29C6"/>
    <w:rsid w:val="00FC2B60"/>
    <w:rsid w:val="00FC2B65"/>
    <w:rsid w:val="00FC2C42"/>
    <w:rsid w:val="00FC2CE0"/>
    <w:rsid w:val="00FC2D24"/>
    <w:rsid w:val="00FC2E77"/>
    <w:rsid w:val="00FC3016"/>
    <w:rsid w:val="00FC302A"/>
    <w:rsid w:val="00FC3095"/>
    <w:rsid w:val="00FC31AC"/>
    <w:rsid w:val="00FC32C4"/>
    <w:rsid w:val="00FC337A"/>
    <w:rsid w:val="00FC3458"/>
    <w:rsid w:val="00FC34C1"/>
    <w:rsid w:val="00FC3522"/>
    <w:rsid w:val="00FC3633"/>
    <w:rsid w:val="00FC3675"/>
    <w:rsid w:val="00FC37D3"/>
    <w:rsid w:val="00FC37D6"/>
    <w:rsid w:val="00FC39ED"/>
    <w:rsid w:val="00FC3A0D"/>
    <w:rsid w:val="00FC3B54"/>
    <w:rsid w:val="00FC3C47"/>
    <w:rsid w:val="00FC3C53"/>
    <w:rsid w:val="00FC3CE1"/>
    <w:rsid w:val="00FC3D2C"/>
    <w:rsid w:val="00FC3E14"/>
    <w:rsid w:val="00FC3E2F"/>
    <w:rsid w:val="00FC3EFC"/>
    <w:rsid w:val="00FC4037"/>
    <w:rsid w:val="00FC4102"/>
    <w:rsid w:val="00FC411B"/>
    <w:rsid w:val="00FC41BF"/>
    <w:rsid w:val="00FC44B4"/>
    <w:rsid w:val="00FC45E3"/>
    <w:rsid w:val="00FC46FE"/>
    <w:rsid w:val="00FC4762"/>
    <w:rsid w:val="00FC47DC"/>
    <w:rsid w:val="00FC484E"/>
    <w:rsid w:val="00FC4981"/>
    <w:rsid w:val="00FC4AD3"/>
    <w:rsid w:val="00FC4B26"/>
    <w:rsid w:val="00FC4C3E"/>
    <w:rsid w:val="00FC4CC8"/>
    <w:rsid w:val="00FC4D8B"/>
    <w:rsid w:val="00FC4DE9"/>
    <w:rsid w:val="00FC4F2B"/>
    <w:rsid w:val="00FC4FAA"/>
    <w:rsid w:val="00FC5084"/>
    <w:rsid w:val="00FC5129"/>
    <w:rsid w:val="00FC51B2"/>
    <w:rsid w:val="00FC51D0"/>
    <w:rsid w:val="00FC5432"/>
    <w:rsid w:val="00FC5477"/>
    <w:rsid w:val="00FC54C3"/>
    <w:rsid w:val="00FC5612"/>
    <w:rsid w:val="00FC564B"/>
    <w:rsid w:val="00FC564C"/>
    <w:rsid w:val="00FC5764"/>
    <w:rsid w:val="00FC5790"/>
    <w:rsid w:val="00FC57C4"/>
    <w:rsid w:val="00FC57EE"/>
    <w:rsid w:val="00FC58B4"/>
    <w:rsid w:val="00FC5905"/>
    <w:rsid w:val="00FC591E"/>
    <w:rsid w:val="00FC5934"/>
    <w:rsid w:val="00FC5957"/>
    <w:rsid w:val="00FC5958"/>
    <w:rsid w:val="00FC5AC1"/>
    <w:rsid w:val="00FC5B98"/>
    <w:rsid w:val="00FC5C78"/>
    <w:rsid w:val="00FC5D1E"/>
    <w:rsid w:val="00FC5DA3"/>
    <w:rsid w:val="00FC6031"/>
    <w:rsid w:val="00FC616C"/>
    <w:rsid w:val="00FC630B"/>
    <w:rsid w:val="00FC634D"/>
    <w:rsid w:val="00FC63B3"/>
    <w:rsid w:val="00FC63C4"/>
    <w:rsid w:val="00FC644B"/>
    <w:rsid w:val="00FC6465"/>
    <w:rsid w:val="00FC6482"/>
    <w:rsid w:val="00FC648E"/>
    <w:rsid w:val="00FC65A2"/>
    <w:rsid w:val="00FC6635"/>
    <w:rsid w:val="00FC6685"/>
    <w:rsid w:val="00FC66F0"/>
    <w:rsid w:val="00FC67CC"/>
    <w:rsid w:val="00FC698F"/>
    <w:rsid w:val="00FC6A56"/>
    <w:rsid w:val="00FC6ADA"/>
    <w:rsid w:val="00FC6B09"/>
    <w:rsid w:val="00FC6B11"/>
    <w:rsid w:val="00FC6C8A"/>
    <w:rsid w:val="00FC6CB0"/>
    <w:rsid w:val="00FC6D09"/>
    <w:rsid w:val="00FC6DEF"/>
    <w:rsid w:val="00FC6F61"/>
    <w:rsid w:val="00FC7054"/>
    <w:rsid w:val="00FC705F"/>
    <w:rsid w:val="00FC7145"/>
    <w:rsid w:val="00FC7172"/>
    <w:rsid w:val="00FC729B"/>
    <w:rsid w:val="00FC736F"/>
    <w:rsid w:val="00FC738D"/>
    <w:rsid w:val="00FC73A8"/>
    <w:rsid w:val="00FC7460"/>
    <w:rsid w:val="00FC748F"/>
    <w:rsid w:val="00FC7587"/>
    <w:rsid w:val="00FC7605"/>
    <w:rsid w:val="00FC7724"/>
    <w:rsid w:val="00FC78AF"/>
    <w:rsid w:val="00FC7999"/>
    <w:rsid w:val="00FC7A33"/>
    <w:rsid w:val="00FC7B17"/>
    <w:rsid w:val="00FC7BE6"/>
    <w:rsid w:val="00FC7C0C"/>
    <w:rsid w:val="00FD00DE"/>
    <w:rsid w:val="00FD0181"/>
    <w:rsid w:val="00FD01E3"/>
    <w:rsid w:val="00FD0235"/>
    <w:rsid w:val="00FD0247"/>
    <w:rsid w:val="00FD0398"/>
    <w:rsid w:val="00FD0411"/>
    <w:rsid w:val="00FD0427"/>
    <w:rsid w:val="00FD046B"/>
    <w:rsid w:val="00FD0478"/>
    <w:rsid w:val="00FD053C"/>
    <w:rsid w:val="00FD0686"/>
    <w:rsid w:val="00FD0713"/>
    <w:rsid w:val="00FD0764"/>
    <w:rsid w:val="00FD088C"/>
    <w:rsid w:val="00FD092C"/>
    <w:rsid w:val="00FD0A66"/>
    <w:rsid w:val="00FD0C0D"/>
    <w:rsid w:val="00FD0D90"/>
    <w:rsid w:val="00FD0F3F"/>
    <w:rsid w:val="00FD128B"/>
    <w:rsid w:val="00FD1301"/>
    <w:rsid w:val="00FD144F"/>
    <w:rsid w:val="00FD154D"/>
    <w:rsid w:val="00FD159F"/>
    <w:rsid w:val="00FD15E2"/>
    <w:rsid w:val="00FD16C9"/>
    <w:rsid w:val="00FD1777"/>
    <w:rsid w:val="00FD1A1C"/>
    <w:rsid w:val="00FD1B9C"/>
    <w:rsid w:val="00FD1BDF"/>
    <w:rsid w:val="00FD1C1F"/>
    <w:rsid w:val="00FD1CB5"/>
    <w:rsid w:val="00FD1DA5"/>
    <w:rsid w:val="00FD1ED0"/>
    <w:rsid w:val="00FD1F5B"/>
    <w:rsid w:val="00FD1F6D"/>
    <w:rsid w:val="00FD2026"/>
    <w:rsid w:val="00FD2094"/>
    <w:rsid w:val="00FD247F"/>
    <w:rsid w:val="00FD24A5"/>
    <w:rsid w:val="00FD26E3"/>
    <w:rsid w:val="00FD27FA"/>
    <w:rsid w:val="00FD28B8"/>
    <w:rsid w:val="00FD29A5"/>
    <w:rsid w:val="00FD2A06"/>
    <w:rsid w:val="00FD2BBC"/>
    <w:rsid w:val="00FD2BFE"/>
    <w:rsid w:val="00FD3214"/>
    <w:rsid w:val="00FD3223"/>
    <w:rsid w:val="00FD332C"/>
    <w:rsid w:val="00FD3372"/>
    <w:rsid w:val="00FD33FD"/>
    <w:rsid w:val="00FD3412"/>
    <w:rsid w:val="00FD342C"/>
    <w:rsid w:val="00FD34D1"/>
    <w:rsid w:val="00FD34E9"/>
    <w:rsid w:val="00FD35BB"/>
    <w:rsid w:val="00FD3608"/>
    <w:rsid w:val="00FD3632"/>
    <w:rsid w:val="00FD363C"/>
    <w:rsid w:val="00FD384C"/>
    <w:rsid w:val="00FD3871"/>
    <w:rsid w:val="00FD3A20"/>
    <w:rsid w:val="00FD3BFA"/>
    <w:rsid w:val="00FD3CB8"/>
    <w:rsid w:val="00FD3D23"/>
    <w:rsid w:val="00FD3E44"/>
    <w:rsid w:val="00FD4325"/>
    <w:rsid w:val="00FD4425"/>
    <w:rsid w:val="00FD4550"/>
    <w:rsid w:val="00FD45DF"/>
    <w:rsid w:val="00FD45E1"/>
    <w:rsid w:val="00FD46FB"/>
    <w:rsid w:val="00FD480B"/>
    <w:rsid w:val="00FD4811"/>
    <w:rsid w:val="00FD4999"/>
    <w:rsid w:val="00FD49E3"/>
    <w:rsid w:val="00FD4A35"/>
    <w:rsid w:val="00FD4A80"/>
    <w:rsid w:val="00FD4B0A"/>
    <w:rsid w:val="00FD4BF9"/>
    <w:rsid w:val="00FD4C4A"/>
    <w:rsid w:val="00FD4CA8"/>
    <w:rsid w:val="00FD4CB9"/>
    <w:rsid w:val="00FD4DA7"/>
    <w:rsid w:val="00FD503E"/>
    <w:rsid w:val="00FD5091"/>
    <w:rsid w:val="00FD52D5"/>
    <w:rsid w:val="00FD544D"/>
    <w:rsid w:val="00FD56DE"/>
    <w:rsid w:val="00FD5791"/>
    <w:rsid w:val="00FD57AC"/>
    <w:rsid w:val="00FD57B9"/>
    <w:rsid w:val="00FD58BF"/>
    <w:rsid w:val="00FD5A37"/>
    <w:rsid w:val="00FD5A6B"/>
    <w:rsid w:val="00FD5B56"/>
    <w:rsid w:val="00FD5C07"/>
    <w:rsid w:val="00FD5CAF"/>
    <w:rsid w:val="00FD5EC8"/>
    <w:rsid w:val="00FD5EE8"/>
    <w:rsid w:val="00FD5FD9"/>
    <w:rsid w:val="00FD5FEE"/>
    <w:rsid w:val="00FD606F"/>
    <w:rsid w:val="00FD60CC"/>
    <w:rsid w:val="00FD625C"/>
    <w:rsid w:val="00FD6266"/>
    <w:rsid w:val="00FD6320"/>
    <w:rsid w:val="00FD6478"/>
    <w:rsid w:val="00FD64D4"/>
    <w:rsid w:val="00FD6625"/>
    <w:rsid w:val="00FD675A"/>
    <w:rsid w:val="00FD67AA"/>
    <w:rsid w:val="00FD6855"/>
    <w:rsid w:val="00FD68EF"/>
    <w:rsid w:val="00FD6920"/>
    <w:rsid w:val="00FD6949"/>
    <w:rsid w:val="00FD6DD1"/>
    <w:rsid w:val="00FD6EC8"/>
    <w:rsid w:val="00FD7047"/>
    <w:rsid w:val="00FD70D6"/>
    <w:rsid w:val="00FD7386"/>
    <w:rsid w:val="00FD739F"/>
    <w:rsid w:val="00FD73EA"/>
    <w:rsid w:val="00FD7464"/>
    <w:rsid w:val="00FD74D1"/>
    <w:rsid w:val="00FD77F3"/>
    <w:rsid w:val="00FD7819"/>
    <w:rsid w:val="00FD786D"/>
    <w:rsid w:val="00FD7958"/>
    <w:rsid w:val="00FD7B07"/>
    <w:rsid w:val="00FD7DEA"/>
    <w:rsid w:val="00FD7EC9"/>
    <w:rsid w:val="00FE0025"/>
    <w:rsid w:val="00FE00AF"/>
    <w:rsid w:val="00FE02B9"/>
    <w:rsid w:val="00FE0439"/>
    <w:rsid w:val="00FE04C5"/>
    <w:rsid w:val="00FE0579"/>
    <w:rsid w:val="00FE0592"/>
    <w:rsid w:val="00FE05F4"/>
    <w:rsid w:val="00FE0675"/>
    <w:rsid w:val="00FE06E0"/>
    <w:rsid w:val="00FE06E1"/>
    <w:rsid w:val="00FE08A4"/>
    <w:rsid w:val="00FE0938"/>
    <w:rsid w:val="00FE097B"/>
    <w:rsid w:val="00FE097E"/>
    <w:rsid w:val="00FE0A86"/>
    <w:rsid w:val="00FE0AEA"/>
    <w:rsid w:val="00FE0B3E"/>
    <w:rsid w:val="00FE0BA6"/>
    <w:rsid w:val="00FE0C22"/>
    <w:rsid w:val="00FE0E0A"/>
    <w:rsid w:val="00FE0E69"/>
    <w:rsid w:val="00FE0F8E"/>
    <w:rsid w:val="00FE103D"/>
    <w:rsid w:val="00FE11EF"/>
    <w:rsid w:val="00FE120D"/>
    <w:rsid w:val="00FE1221"/>
    <w:rsid w:val="00FE131E"/>
    <w:rsid w:val="00FE148D"/>
    <w:rsid w:val="00FE14E1"/>
    <w:rsid w:val="00FE161E"/>
    <w:rsid w:val="00FE1620"/>
    <w:rsid w:val="00FE1630"/>
    <w:rsid w:val="00FE171D"/>
    <w:rsid w:val="00FE173A"/>
    <w:rsid w:val="00FE17C7"/>
    <w:rsid w:val="00FE19B1"/>
    <w:rsid w:val="00FE19C4"/>
    <w:rsid w:val="00FE1A54"/>
    <w:rsid w:val="00FE1AF6"/>
    <w:rsid w:val="00FE1BFE"/>
    <w:rsid w:val="00FE1C87"/>
    <w:rsid w:val="00FE1E56"/>
    <w:rsid w:val="00FE1FFB"/>
    <w:rsid w:val="00FE20AF"/>
    <w:rsid w:val="00FE2122"/>
    <w:rsid w:val="00FE2169"/>
    <w:rsid w:val="00FE23C3"/>
    <w:rsid w:val="00FE24CE"/>
    <w:rsid w:val="00FE261C"/>
    <w:rsid w:val="00FE265A"/>
    <w:rsid w:val="00FE27F7"/>
    <w:rsid w:val="00FE280D"/>
    <w:rsid w:val="00FE2870"/>
    <w:rsid w:val="00FE2C54"/>
    <w:rsid w:val="00FE2DC4"/>
    <w:rsid w:val="00FE2F5D"/>
    <w:rsid w:val="00FE2FFC"/>
    <w:rsid w:val="00FE3335"/>
    <w:rsid w:val="00FE334C"/>
    <w:rsid w:val="00FE344F"/>
    <w:rsid w:val="00FE360E"/>
    <w:rsid w:val="00FE36DF"/>
    <w:rsid w:val="00FE36E3"/>
    <w:rsid w:val="00FE37E8"/>
    <w:rsid w:val="00FE3822"/>
    <w:rsid w:val="00FE3825"/>
    <w:rsid w:val="00FE3B22"/>
    <w:rsid w:val="00FE3CE0"/>
    <w:rsid w:val="00FE3DDC"/>
    <w:rsid w:val="00FE3FD1"/>
    <w:rsid w:val="00FE3FE9"/>
    <w:rsid w:val="00FE4034"/>
    <w:rsid w:val="00FE40A6"/>
    <w:rsid w:val="00FE4397"/>
    <w:rsid w:val="00FE456D"/>
    <w:rsid w:val="00FE45C2"/>
    <w:rsid w:val="00FE4781"/>
    <w:rsid w:val="00FE48AF"/>
    <w:rsid w:val="00FE493F"/>
    <w:rsid w:val="00FE49A4"/>
    <w:rsid w:val="00FE49D7"/>
    <w:rsid w:val="00FE4B8B"/>
    <w:rsid w:val="00FE4CB7"/>
    <w:rsid w:val="00FE4CFC"/>
    <w:rsid w:val="00FE4E4C"/>
    <w:rsid w:val="00FE4EF8"/>
    <w:rsid w:val="00FE4FCD"/>
    <w:rsid w:val="00FE5283"/>
    <w:rsid w:val="00FE5396"/>
    <w:rsid w:val="00FE5415"/>
    <w:rsid w:val="00FE5560"/>
    <w:rsid w:val="00FE581B"/>
    <w:rsid w:val="00FE58AD"/>
    <w:rsid w:val="00FE58E1"/>
    <w:rsid w:val="00FE5921"/>
    <w:rsid w:val="00FE5ABA"/>
    <w:rsid w:val="00FE5B2C"/>
    <w:rsid w:val="00FE5C2E"/>
    <w:rsid w:val="00FE5C81"/>
    <w:rsid w:val="00FE5D9C"/>
    <w:rsid w:val="00FE5EE2"/>
    <w:rsid w:val="00FE604B"/>
    <w:rsid w:val="00FE6088"/>
    <w:rsid w:val="00FE608D"/>
    <w:rsid w:val="00FE6733"/>
    <w:rsid w:val="00FE6742"/>
    <w:rsid w:val="00FE6787"/>
    <w:rsid w:val="00FE6825"/>
    <w:rsid w:val="00FE6947"/>
    <w:rsid w:val="00FE69EC"/>
    <w:rsid w:val="00FE6A8F"/>
    <w:rsid w:val="00FE6B7D"/>
    <w:rsid w:val="00FE6CBC"/>
    <w:rsid w:val="00FE6CF1"/>
    <w:rsid w:val="00FE6CF4"/>
    <w:rsid w:val="00FE6DD4"/>
    <w:rsid w:val="00FE6E2B"/>
    <w:rsid w:val="00FE6ECA"/>
    <w:rsid w:val="00FE6FE4"/>
    <w:rsid w:val="00FE7149"/>
    <w:rsid w:val="00FE7219"/>
    <w:rsid w:val="00FE7243"/>
    <w:rsid w:val="00FE7358"/>
    <w:rsid w:val="00FE73DC"/>
    <w:rsid w:val="00FE7406"/>
    <w:rsid w:val="00FE7468"/>
    <w:rsid w:val="00FE7674"/>
    <w:rsid w:val="00FE7692"/>
    <w:rsid w:val="00FE76B2"/>
    <w:rsid w:val="00FE772B"/>
    <w:rsid w:val="00FE781E"/>
    <w:rsid w:val="00FE78B3"/>
    <w:rsid w:val="00FE7945"/>
    <w:rsid w:val="00FE7A8C"/>
    <w:rsid w:val="00FE7C14"/>
    <w:rsid w:val="00FE7CBB"/>
    <w:rsid w:val="00FE7E49"/>
    <w:rsid w:val="00FE7FDC"/>
    <w:rsid w:val="00FF0439"/>
    <w:rsid w:val="00FF0512"/>
    <w:rsid w:val="00FF0530"/>
    <w:rsid w:val="00FF0735"/>
    <w:rsid w:val="00FF07C5"/>
    <w:rsid w:val="00FF07DD"/>
    <w:rsid w:val="00FF08E8"/>
    <w:rsid w:val="00FF0AD3"/>
    <w:rsid w:val="00FF0B3A"/>
    <w:rsid w:val="00FF0B80"/>
    <w:rsid w:val="00FF0C0D"/>
    <w:rsid w:val="00FF0C75"/>
    <w:rsid w:val="00FF0CBF"/>
    <w:rsid w:val="00FF0D55"/>
    <w:rsid w:val="00FF0E12"/>
    <w:rsid w:val="00FF0EB5"/>
    <w:rsid w:val="00FF0F1F"/>
    <w:rsid w:val="00FF0F89"/>
    <w:rsid w:val="00FF1027"/>
    <w:rsid w:val="00FF1061"/>
    <w:rsid w:val="00FF1411"/>
    <w:rsid w:val="00FF15AB"/>
    <w:rsid w:val="00FF16B5"/>
    <w:rsid w:val="00FF18F3"/>
    <w:rsid w:val="00FF18FB"/>
    <w:rsid w:val="00FF1C03"/>
    <w:rsid w:val="00FF1F80"/>
    <w:rsid w:val="00FF1FD5"/>
    <w:rsid w:val="00FF1FEC"/>
    <w:rsid w:val="00FF2132"/>
    <w:rsid w:val="00FF21DE"/>
    <w:rsid w:val="00FF21E4"/>
    <w:rsid w:val="00FF227C"/>
    <w:rsid w:val="00FF236B"/>
    <w:rsid w:val="00FF237E"/>
    <w:rsid w:val="00FF2428"/>
    <w:rsid w:val="00FF248C"/>
    <w:rsid w:val="00FF26D3"/>
    <w:rsid w:val="00FF2821"/>
    <w:rsid w:val="00FF2831"/>
    <w:rsid w:val="00FF285F"/>
    <w:rsid w:val="00FF28E6"/>
    <w:rsid w:val="00FF2932"/>
    <w:rsid w:val="00FF2965"/>
    <w:rsid w:val="00FF29A8"/>
    <w:rsid w:val="00FF29DA"/>
    <w:rsid w:val="00FF2A3D"/>
    <w:rsid w:val="00FF2A6A"/>
    <w:rsid w:val="00FF2AD5"/>
    <w:rsid w:val="00FF2AF3"/>
    <w:rsid w:val="00FF2B53"/>
    <w:rsid w:val="00FF2BC8"/>
    <w:rsid w:val="00FF2CC2"/>
    <w:rsid w:val="00FF32BB"/>
    <w:rsid w:val="00FF3355"/>
    <w:rsid w:val="00FF349F"/>
    <w:rsid w:val="00FF3538"/>
    <w:rsid w:val="00FF35DA"/>
    <w:rsid w:val="00FF3669"/>
    <w:rsid w:val="00FF3677"/>
    <w:rsid w:val="00FF36B3"/>
    <w:rsid w:val="00FF374C"/>
    <w:rsid w:val="00FF3782"/>
    <w:rsid w:val="00FF3911"/>
    <w:rsid w:val="00FF3927"/>
    <w:rsid w:val="00FF3951"/>
    <w:rsid w:val="00FF3991"/>
    <w:rsid w:val="00FF3A60"/>
    <w:rsid w:val="00FF3E1A"/>
    <w:rsid w:val="00FF3F07"/>
    <w:rsid w:val="00FF40BF"/>
    <w:rsid w:val="00FF43A8"/>
    <w:rsid w:val="00FF44D1"/>
    <w:rsid w:val="00FF451F"/>
    <w:rsid w:val="00FF4624"/>
    <w:rsid w:val="00FF4A31"/>
    <w:rsid w:val="00FF4A3B"/>
    <w:rsid w:val="00FF4A3F"/>
    <w:rsid w:val="00FF4AAE"/>
    <w:rsid w:val="00FF4C2F"/>
    <w:rsid w:val="00FF4CA2"/>
    <w:rsid w:val="00FF4D8E"/>
    <w:rsid w:val="00FF4E5D"/>
    <w:rsid w:val="00FF4EB1"/>
    <w:rsid w:val="00FF4FF5"/>
    <w:rsid w:val="00FF5012"/>
    <w:rsid w:val="00FF50EC"/>
    <w:rsid w:val="00FF5101"/>
    <w:rsid w:val="00FF51A6"/>
    <w:rsid w:val="00FF526A"/>
    <w:rsid w:val="00FF5286"/>
    <w:rsid w:val="00FF52F4"/>
    <w:rsid w:val="00FF534B"/>
    <w:rsid w:val="00FF5382"/>
    <w:rsid w:val="00FF545F"/>
    <w:rsid w:val="00FF5632"/>
    <w:rsid w:val="00FF5693"/>
    <w:rsid w:val="00FF56B5"/>
    <w:rsid w:val="00FF5819"/>
    <w:rsid w:val="00FF582B"/>
    <w:rsid w:val="00FF5914"/>
    <w:rsid w:val="00FF59FA"/>
    <w:rsid w:val="00FF5A39"/>
    <w:rsid w:val="00FF5EE3"/>
    <w:rsid w:val="00FF5F7F"/>
    <w:rsid w:val="00FF6201"/>
    <w:rsid w:val="00FF6254"/>
    <w:rsid w:val="00FF64A6"/>
    <w:rsid w:val="00FF64C8"/>
    <w:rsid w:val="00FF65A1"/>
    <w:rsid w:val="00FF665D"/>
    <w:rsid w:val="00FF6724"/>
    <w:rsid w:val="00FF68E4"/>
    <w:rsid w:val="00FF6A19"/>
    <w:rsid w:val="00FF6A25"/>
    <w:rsid w:val="00FF6BBB"/>
    <w:rsid w:val="00FF6CBB"/>
    <w:rsid w:val="00FF7032"/>
    <w:rsid w:val="00FF7049"/>
    <w:rsid w:val="00FF71EC"/>
    <w:rsid w:val="00FF71EF"/>
    <w:rsid w:val="00FF7294"/>
    <w:rsid w:val="00FF7395"/>
    <w:rsid w:val="00FF73F4"/>
    <w:rsid w:val="00FF744A"/>
    <w:rsid w:val="00FF7450"/>
    <w:rsid w:val="00FF7500"/>
    <w:rsid w:val="00FF775E"/>
    <w:rsid w:val="00FF783C"/>
    <w:rsid w:val="00FF7B42"/>
    <w:rsid w:val="00FF7B45"/>
    <w:rsid w:val="00FF7B87"/>
    <w:rsid w:val="00FF7F45"/>
    <w:rsid w:val="00FF7F8F"/>
    <w:rsid w:val="015372A5"/>
    <w:rsid w:val="01D9501E"/>
    <w:rsid w:val="022091AF"/>
    <w:rsid w:val="02398E74"/>
    <w:rsid w:val="027A5578"/>
    <w:rsid w:val="02C6EEFC"/>
    <w:rsid w:val="02ECC9C8"/>
    <w:rsid w:val="03B78956"/>
    <w:rsid w:val="03D06DE2"/>
    <w:rsid w:val="041764F1"/>
    <w:rsid w:val="0445CCB8"/>
    <w:rsid w:val="047B8726"/>
    <w:rsid w:val="04926EC2"/>
    <w:rsid w:val="04A64311"/>
    <w:rsid w:val="04EA10AD"/>
    <w:rsid w:val="04EC70EE"/>
    <w:rsid w:val="051EF671"/>
    <w:rsid w:val="056F3087"/>
    <w:rsid w:val="05A6970F"/>
    <w:rsid w:val="05B6EC7E"/>
    <w:rsid w:val="05BB73BB"/>
    <w:rsid w:val="0641ABCE"/>
    <w:rsid w:val="06A0024F"/>
    <w:rsid w:val="0714C86A"/>
    <w:rsid w:val="07411C14"/>
    <w:rsid w:val="075C74E3"/>
    <w:rsid w:val="07CA669B"/>
    <w:rsid w:val="07E2B107"/>
    <w:rsid w:val="07F10D2F"/>
    <w:rsid w:val="088A7E88"/>
    <w:rsid w:val="08D7E8C1"/>
    <w:rsid w:val="08E5E493"/>
    <w:rsid w:val="0931FDBC"/>
    <w:rsid w:val="09A52BFD"/>
    <w:rsid w:val="0A88016E"/>
    <w:rsid w:val="0A966760"/>
    <w:rsid w:val="0AFE2211"/>
    <w:rsid w:val="0B2206CD"/>
    <w:rsid w:val="0BD4B242"/>
    <w:rsid w:val="0C738BA6"/>
    <w:rsid w:val="0C766D76"/>
    <w:rsid w:val="0CB6B315"/>
    <w:rsid w:val="0D15F6A9"/>
    <w:rsid w:val="0D66CE47"/>
    <w:rsid w:val="0D9E662E"/>
    <w:rsid w:val="0DB7FF6B"/>
    <w:rsid w:val="0E6684B5"/>
    <w:rsid w:val="0E8AE3E0"/>
    <w:rsid w:val="0ECA6593"/>
    <w:rsid w:val="0EDD70E1"/>
    <w:rsid w:val="0F212FD8"/>
    <w:rsid w:val="101740A1"/>
    <w:rsid w:val="103CC4C0"/>
    <w:rsid w:val="1046B1F4"/>
    <w:rsid w:val="107636DC"/>
    <w:rsid w:val="1105D50D"/>
    <w:rsid w:val="113FB239"/>
    <w:rsid w:val="11562D7E"/>
    <w:rsid w:val="11735536"/>
    <w:rsid w:val="11AEDEBF"/>
    <w:rsid w:val="1201FE80"/>
    <w:rsid w:val="1269908B"/>
    <w:rsid w:val="12935473"/>
    <w:rsid w:val="12CD75A5"/>
    <w:rsid w:val="12FAE315"/>
    <w:rsid w:val="138CC8F8"/>
    <w:rsid w:val="13AA7677"/>
    <w:rsid w:val="13CF4199"/>
    <w:rsid w:val="13D5D545"/>
    <w:rsid w:val="143B78B4"/>
    <w:rsid w:val="1485C1E0"/>
    <w:rsid w:val="149B6B7D"/>
    <w:rsid w:val="14C38E38"/>
    <w:rsid w:val="156275AD"/>
    <w:rsid w:val="168ACC84"/>
    <w:rsid w:val="169C434F"/>
    <w:rsid w:val="16ED028B"/>
    <w:rsid w:val="17033746"/>
    <w:rsid w:val="174A919A"/>
    <w:rsid w:val="1751B7D6"/>
    <w:rsid w:val="1759A956"/>
    <w:rsid w:val="17968D9E"/>
    <w:rsid w:val="179B9BD6"/>
    <w:rsid w:val="17B1C0D2"/>
    <w:rsid w:val="17D6986D"/>
    <w:rsid w:val="184ADFA1"/>
    <w:rsid w:val="186E3F96"/>
    <w:rsid w:val="18B8B4EF"/>
    <w:rsid w:val="192EE64A"/>
    <w:rsid w:val="193EB8BA"/>
    <w:rsid w:val="1A37DB96"/>
    <w:rsid w:val="1A4FBD07"/>
    <w:rsid w:val="1A788A93"/>
    <w:rsid w:val="1AC9FD98"/>
    <w:rsid w:val="1B188F7A"/>
    <w:rsid w:val="1B3FA210"/>
    <w:rsid w:val="1B7A971A"/>
    <w:rsid w:val="1BAC8C9E"/>
    <w:rsid w:val="1C13C49A"/>
    <w:rsid w:val="1C163B1A"/>
    <w:rsid w:val="1C19B5B7"/>
    <w:rsid w:val="1C8E7896"/>
    <w:rsid w:val="1C91227A"/>
    <w:rsid w:val="1CA5081C"/>
    <w:rsid w:val="1CB4AD98"/>
    <w:rsid w:val="1CDDB37F"/>
    <w:rsid w:val="1CE1A43E"/>
    <w:rsid w:val="1D24D956"/>
    <w:rsid w:val="1D675545"/>
    <w:rsid w:val="1D88B643"/>
    <w:rsid w:val="1DC67ADA"/>
    <w:rsid w:val="1E52809C"/>
    <w:rsid w:val="1E7FC3AC"/>
    <w:rsid w:val="1E8B9DE1"/>
    <w:rsid w:val="1F730914"/>
    <w:rsid w:val="1F961262"/>
    <w:rsid w:val="1FC9C782"/>
    <w:rsid w:val="201B6C69"/>
    <w:rsid w:val="204106E5"/>
    <w:rsid w:val="205848D3"/>
    <w:rsid w:val="20788289"/>
    <w:rsid w:val="208D6F65"/>
    <w:rsid w:val="20B6AEF9"/>
    <w:rsid w:val="211D5255"/>
    <w:rsid w:val="21ACE0AA"/>
    <w:rsid w:val="22029763"/>
    <w:rsid w:val="220CCAB2"/>
    <w:rsid w:val="221A5CDA"/>
    <w:rsid w:val="225A6FE5"/>
    <w:rsid w:val="229DC26F"/>
    <w:rsid w:val="22B2534F"/>
    <w:rsid w:val="22C78C1B"/>
    <w:rsid w:val="235F754B"/>
    <w:rsid w:val="237F065F"/>
    <w:rsid w:val="23B334C6"/>
    <w:rsid w:val="23FF10F3"/>
    <w:rsid w:val="243259DB"/>
    <w:rsid w:val="25265007"/>
    <w:rsid w:val="260B5F34"/>
    <w:rsid w:val="26C2F47C"/>
    <w:rsid w:val="26CEF345"/>
    <w:rsid w:val="26FE2782"/>
    <w:rsid w:val="2702018B"/>
    <w:rsid w:val="2705AF20"/>
    <w:rsid w:val="2731163D"/>
    <w:rsid w:val="279559DA"/>
    <w:rsid w:val="27D28E48"/>
    <w:rsid w:val="2830D022"/>
    <w:rsid w:val="284EAA7F"/>
    <w:rsid w:val="28F18325"/>
    <w:rsid w:val="2902FD60"/>
    <w:rsid w:val="2917A346"/>
    <w:rsid w:val="29183830"/>
    <w:rsid w:val="29803AB7"/>
    <w:rsid w:val="2A03D1CA"/>
    <w:rsid w:val="2A1E669E"/>
    <w:rsid w:val="2A740A6C"/>
    <w:rsid w:val="2ADD40D2"/>
    <w:rsid w:val="2B241547"/>
    <w:rsid w:val="2B352527"/>
    <w:rsid w:val="2B616D09"/>
    <w:rsid w:val="2BFC4838"/>
    <w:rsid w:val="2C02489D"/>
    <w:rsid w:val="2C153A0E"/>
    <w:rsid w:val="2C8D2C1C"/>
    <w:rsid w:val="2D06CC30"/>
    <w:rsid w:val="2D1C9DCF"/>
    <w:rsid w:val="2D26160D"/>
    <w:rsid w:val="2D2DDFA0"/>
    <w:rsid w:val="2D6F1CF5"/>
    <w:rsid w:val="2E248CF6"/>
    <w:rsid w:val="2E573F7B"/>
    <w:rsid w:val="2EEB7BDE"/>
    <w:rsid w:val="2EFA35DA"/>
    <w:rsid w:val="2F43EFE6"/>
    <w:rsid w:val="301B1AA2"/>
    <w:rsid w:val="302F87F0"/>
    <w:rsid w:val="303F523E"/>
    <w:rsid w:val="30964083"/>
    <w:rsid w:val="30E9E164"/>
    <w:rsid w:val="3146A034"/>
    <w:rsid w:val="314C34C2"/>
    <w:rsid w:val="31508F38"/>
    <w:rsid w:val="31696981"/>
    <w:rsid w:val="31A86A6B"/>
    <w:rsid w:val="31BEE853"/>
    <w:rsid w:val="31EFA212"/>
    <w:rsid w:val="32069EE2"/>
    <w:rsid w:val="32BE0730"/>
    <w:rsid w:val="32FAB8E9"/>
    <w:rsid w:val="331D3ADA"/>
    <w:rsid w:val="33B11EDC"/>
    <w:rsid w:val="33DD1315"/>
    <w:rsid w:val="34645E66"/>
    <w:rsid w:val="34BC519D"/>
    <w:rsid w:val="34D8A367"/>
    <w:rsid w:val="3502A818"/>
    <w:rsid w:val="35196B73"/>
    <w:rsid w:val="3564A496"/>
    <w:rsid w:val="357DEC2E"/>
    <w:rsid w:val="35DF1385"/>
    <w:rsid w:val="36787495"/>
    <w:rsid w:val="3680C86C"/>
    <w:rsid w:val="368181C0"/>
    <w:rsid w:val="3697DF40"/>
    <w:rsid w:val="36AF5E44"/>
    <w:rsid w:val="36E5B2F6"/>
    <w:rsid w:val="36E71799"/>
    <w:rsid w:val="36E7E1BB"/>
    <w:rsid w:val="379D67AD"/>
    <w:rsid w:val="37CBD0F4"/>
    <w:rsid w:val="380AD6FD"/>
    <w:rsid w:val="3815FCB3"/>
    <w:rsid w:val="382AF1EF"/>
    <w:rsid w:val="38ED793B"/>
    <w:rsid w:val="3928A44C"/>
    <w:rsid w:val="393026DA"/>
    <w:rsid w:val="393987C1"/>
    <w:rsid w:val="39552041"/>
    <w:rsid w:val="39A97511"/>
    <w:rsid w:val="39BABE33"/>
    <w:rsid w:val="39E9887A"/>
    <w:rsid w:val="39ECF76F"/>
    <w:rsid w:val="3A465B86"/>
    <w:rsid w:val="3A4B32B3"/>
    <w:rsid w:val="3B33944D"/>
    <w:rsid w:val="3B57D21B"/>
    <w:rsid w:val="3B6F87BE"/>
    <w:rsid w:val="3BCB47C4"/>
    <w:rsid w:val="3C08703F"/>
    <w:rsid w:val="3C190854"/>
    <w:rsid w:val="3D3A1551"/>
    <w:rsid w:val="3E4C1BF4"/>
    <w:rsid w:val="3EA8DB4B"/>
    <w:rsid w:val="3EBF7C91"/>
    <w:rsid w:val="3ED94D68"/>
    <w:rsid w:val="3F25CCA1"/>
    <w:rsid w:val="3F5CE80B"/>
    <w:rsid w:val="3F75B809"/>
    <w:rsid w:val="3F9047BF"/>
    <w:rsid w:val="401585B4"/>
    <w:rsid w:val="406360B1"/>
    <w:rsid w:val="406A473E"/>
    <w:rsid w:val="406BFD9D"/>
    <w:rsid w:val="4117948F"/>
    <w:rsid w:val="41593049"/>
    <w:rsid w:val="417B2AA1"/>
    <w:rsid w:val="41858AC6"/>
    <w:rsid w:val="419E9785"/>
    <w:rsid w:val="42C1E67B"/>
    <w:rsid w:val="430EAD60"/>
    <w:rsid w:val="4349A757"/>
    <w:rsid w:val="43CDD65B"/>
    <w:rsid w:val="43D0B6E1"/>
    <w:rsid w:val="43D74D0F"/>
    <w:rsid w:val="44226B4F"/>
    <w:rsid w:val="4474531E"/>
    <w:rsid w:val="44B4F70C"/>
    <w:rsid w:val="44CF1581"/>
    <w:rsid w:val="45854467"/>
    <w:rsid w:val="46084EAD"/>
    <w:rsid w:val="46C3C37B"/>
    <w:rsid w:val="46E96ADE"/>
    <w:rsid w:val="4707F093"/>
    <w:rsid w:val="471CEAB2"/>
    <w:rsid w:val="4776F7B0"/>
    <w:rsid w:val="4782EF69"/>
    <w:rsid w:val="478384B5"/>
    <w:rsid w:val="47AAA6C8"/>
    <w:rsid w:val="47CCDC70"/>
    <w:rsid w:val="47D283A6"/>
    <w:rsid w:val="48394233"/>
    <w:rsid w:val="48DA632E"/>
    <w:rsid w:val="48EB1132"/>
    <w:rsid w:val="490A2D39"/>
    <w:rsid w:val="493BC8CA"/>
    <w:rsid w:val="498F8A10"/>
    <w:rsid w:val="49E01456"/>
    <w:rsid w:val="4A300391"/>
    <w:rsid w:val="4A5BB52C"/>
    <w:rsid w:val="4A762B78"/>
    <w:rsid w:val="4AF594B7"/>
    <w:rsid w:val="4BAF1B17"/>
    <w:rsid w:val="4C39FAEB"/>
    <w:rsid w:val="4C61AD48"/>
    <w:rsid w:val="4CC4129F"/>
    <w:rsid w:val="4CF0ECA3"/>
    <w:rsid w:val="4CF8C189"/>
    <w:rsid w:val="4D4524B7"/>
    <w:rsid w:val="4D5DEF19"/>
    <w:rsid w:val="4D74D57C"/>
    <w:rsid w:val="4DAB0CEF"/>
    <w:rsid w:val="4F0147DA"/>
    <w:rsid w:val="4F23CA10"/>
    <w:rsid w:val="4F2B7849"/>
    <w:rsid w:val="4F9BB69D"/>
    <w:rsid w:val="4FB8E488"/>
    <w:rsid w:val="4FEDBBF7"/>
    <w:rsid w:val="50086991"/>
    <w:rsid w:val="50204157"/>
    <w:rsid w:val="50A6A706"/>
    <w:rsid w:val="50F48FC9"/>
    <w:rsid w:val="51518EAE"/>
    <w:rsid w:val="518A3B49"/>
    <w:rsid w:val="519E94D5"/>
    <w:rsid w:val="51C567AA"/>
    <w:rsid w:val="52545A22"/>
    <w:rsid w:val="528D626C"/>
    <w:rsid w:val="53862162"/>
    <w:rsid w:val="54020D30"/>
    <w:rsid w:val="542BEF0A"/>
    <w:rsid w:val="5443D7F6"/>
    <w:rsid w:val="54634B9F"/>
    <w:rsid w:val="546FFEEE"/>
    <w:rsid w:val="5470498B"/>
    <w:rsid w:val="54A8DDF0"/>
    <w:rsid w:val="5501AD25"/>
    <w:rsid w:val="5524C9BE"/>
    <w:rsid w:val="5534CE61"/>
    <w:rsid w:val="55A06FBF"/>
    <w:rsid w:val="55DC419A"/>
    <w:rsid w:val="55F4981A"/>
    <w:rsid w:val="560CF240"/>
    <w:rsid w:val="567D9CB3"/>
    <w:rsid w:val="56940FA9"/>
    <w:rsid w:val="5696EFD5"/>
    <w:rsid w:val="56C14F1F"/>
    <w:rsid w:val="56E162A0"/>
    <w:rsid w:val="56E52FBE"/>
    <w:rsid w:val="57952ED8"/>
    <w:rsid w:val="57AF5D0D"/>
    <w:rsid w:val="58168AAE"/>
    <w:rsid w:val="5827FAC6"/>
    <w:rsid w:val="58CA5EF3"/>
    <w:rsid w:val="591DC3B6"/>
    <w:rsid w:val="5947FC99"/>
    <w:rsid w:val="594D2BF3"/>
    <w:rsid w:val="59A94F94"/>
    <w:rsid w:val="59D3EB47"/>
    <w:rsid w:val="59DF8827"/>
    <w:rsid w:val="59EE78E3"/>
    <w:rsid w:val="59F3BB31"/>
    <w:rsid w:val="5A1C2867"/>
    <w:rsid w:val="5A2F8DFE"/>
    <w:rsid w:val="5A3F5B03"/>
    <w:rsid w:val="5A7A618D"/>
    <w:rsid w:val="5B286FF8"/>
    <w:rsid w:val="5BCE58FD"/>
    <w:rsid w:val="5C1A89B6"/>
    <w:rsid w:val="5CA59EDD"/>
    <w:rsid w:val="5DAC24F0"/>
    <w:rsid w:val="5DACC0C4"/>
    <w:rsid w:val="5DB10664"/>
    <w:rsid w:val="5E0B7C51"/>
    <w:rsid w:val="5E0D4EE3"/>
    <w:rsid w:val="5E60C5F2"/>
    <w:rsid w:val="5E7D914A"/>
    <w:rsid w:val="5EE99A74"/>
    <w:rsid w:val="5EEA43B6"/>
    <w:rsid w:val="5FF3C353"/>
    <w:rsid w:val="600B7332"/>
    <w:rsid w:val="61098D79"/>
    <w:rsid w:val="618A1986"/>
    <w:rsid w:val="61BA05C5"/>
    <w:rsid w:val="62E6C3F9"/>
    <w:rsid w:val="62EC3701"/>
    <w:rsid w:val="62F87056"/>
    <w:rsid w:val="63174F9A"/>
    <w:rsid w:val="6324EE78"/>
    <w:rsid w:val="6353D7DB"/>
    <w:rsid w:val="63D33DAC"/>
    <w:rsid w:val="63FE138E"/>
    <w:rsid w:val="64794749"/>
    <w:rsid w:val="648077AB"/>
    <w:rsid w:val="64D2CF61"/>
    <w:rsid w:val="64E23C9D"/>
    <w:rsid w:val="64F8F82A"/>
    <w:rsid w:val="64F9A8C2"/>
    <w:rsid w:val="64FD44C8"/>
    <w:rsid w:val="6501594A"/>
    <w:rsid w:val="65399CBE"/>
    <w:rsid w:val="6540832F"/>
    <w:rsid w:val="65868D92"/>
    <w:rsid w:val="65BBBECA"/>
    <w:rsid w:val="660CCAC9"/>
    <w:rsid w:val="66623551"/>
    <w:rsid w:val="670F25B7"/>
    <w:rsid w:val="672C6A9A"/>
    <w:rsid w:val="673E281E"/>
    <w:rsid w:val="67B01EE3"/>
    <w:rsid w:val="67D87B4C"/>
    <w:rsid w:val="67FFD9CE"/>
    <w:rsid w:val="68156449"/>
    <w:rsid w:val="684B1692"/>
    <w:rsid w:val="684BA45D"/>
    <w:rsid w:val="6858A576"/>
    <w:rsid w:val="68683F45"/>
    <w:rsid w:val="68A8EEE6"/>
    <w:rsid w:val="68DBE52B"/>
    <w:rsid w:val="68E90BFF"/>
    <w:rsid w:val="6912D474"/>
    <w:rsid w:val="69E47745"/>
    <w:rsid w:val="6AA163C7"/>
    <w:rsid w:val="6AAC0CAC"/>
    <w:rsid w:val="6AB33672"/>
    <w:rsid w:val="6AED847B"/>
    <w:rsid w:val="6B14D86A"/>
    <w:rsid w:val="6B5DC97F"/>
    <w:rsid w:val="6B71163A"/>
    <w:rsid w:val="6BA21D1D"/>
    <w:rsid w:val="6BB1DBA2"/>
    <w:rsid w:val="6C3A4FAD"/>
    <w:rsid w:val="6CBECE26"/>
    <w:rsid w:val="6CE981D1"/>
    <w:rsid w:val="6CFC894E"/>
    <w:rsid w:val="6D0C7D92"/>
    <w:rsid w:val="6DB701E7"/>
    <w:rsid w:val="6DC8AF22"/>
    <w:rsid w:val="6E3972EE"/>
    <w:rsid w:val="6E588926"/>
    <w:rsid w:val="6E5B1A4C"/>
    <w:rsid w:val="6FAA3F4E"/>
    <w:rsid w:val="701F54FC"/>
    <w:rsid w:val="70AE7D3F"/>
    <w:rsid w:val="712D0177"/>
    <w:rsid w:val="718B3DD2"/>
    <w:rsid w:val="71CAA448"/>
    <w:rsid w:val="71E06923"/>
    <w:rsid w:val="720CAF9E"/>
    <w:rsid w:val="72320509"/>
    <w:rsid w:val="7237E6AF"/>
    <w:rsid w:val="72D53728"/>
    <w:rsid w:val="72D91710"/>
    <w:rsid w:val="730F143F"/>
    <w:rsid w:val="730F7BE8"/>
    <w:rsid w:val="73C57C75"/>
    <w:rsid w:val="73CE444F"/>
    <w:rsid w:val="73E232E7"/>
    <w:rsid w:val="744F825E"/>
    <w:rsid w:val="74A610C7"/>
    <w:rsid w:val="755271B2"/>
    <w:rsid w:val="7566F587"/>
    <w:rsid w:val="76621889"/>
    <w:rsid w:val="76A95006"/>
    <w:rsid w:val="7718B624"/>
    <w:rsid w:val="77AF80F7"/>
    <w:rsid w:val="77F835E2"/>
    <w:rsid w:val="796F64AC"/>
    <w:rsid w:val="79A30503"/>
    <w:rsid w:val="79C92FB1"/>
    <w:rsid w:val="79D5408F"/>
    <w:rsid w:val="7A09BAFC"/>
    <w:rsid w:val="7AB92678"/>
    <w:rsid w:val="7AEBCA9F"/>
    <w:rsid w:val="7AF96B38"/>
    <w:rsid w:val="7B6EAE33"/>
    <w:rsid w:val="7BBFCC1D"/>
    <w:rsid w:val="7CA211A2"/>
    <w:rsid w:val="7D82FADD"/>
    <w:rsid w:val="7DB5DF99"/>
    <w:rsid w:val="7DCB5CF2"/>
    <w:rsid w:val="7E11A302"/>
    <w:rsid w:val="7E120A83"/>
    <w:rsid w:val="7E2BEACB"/>
    <w:rsid w:val="7E5F774F"/>
    <w:rsid w:val="7F552614"/>
    <w:rsid w:val="7F74D666"/>
    <w:rsid w:val="7FD5EC20"/>
    <w:rsid w:val="7FE48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F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D0"/>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8043E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qFormat/>
    <w:rsid w:val="00406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列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1"/>
    <w:rsid w:val="00555D14"/>
    <w:rPr>
      <w:b/>
      <w:bCs/>
    </w:rPr>
  </w:style>
  <w:style w:type="paragraph" w:customStyle="1" w:styleId="Instructions">
    <w:name w:val="Instructions"/>
    <w:basedOn w:val="Normal"/>
    <w:uiPriority w:val="1"/>
    <w:qFormat/>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customStyle="1" w:styleId="Heading7Char">
    <w:name w:val="Heading 7 Char"/>
    <w:basedOn w:val="DefaultParagraphFont"/>
    <w:link w:val="Heading7"/>
    <w:uiPriority w:val="9"/>
    <w:semiHidden/>
    <w:rsid w:val="00406CD0"/>
    <w:rPr>
      <w:rFonts w:ascii="Calibri Light" w:eastAsiaTheme="majorEastAsia" w:hAnsi="Calibri Light" w:cstheme="majorBidi"/>
      <w:color w:val="595959" w:themeColor="text1" w:themeTint="A6"/>
      <w:szCs w:val="20"/>
      <w:lang w:eastAsia="en-AU"/>
    </w:rPr>
  </w:style>
  <w:style w:type="character" w:customStyle="1" w:styleId="Heading8Char">
    <w:name w:val="Heading 8 Char"/>
    <w:basedOn w:val="DefaultParagraphFont"/>
    <w:link w:val="Heading8"/>
    <w:uiPriority w:val="9"/>
    <w:semiHidden/>
    <w:rsid w:val="00406CD0"/>
    <w:rPr>
      <w:rFonts w:ascii="Calibri Light" w:eastAsiaTheme="majorEastAsia" w:hAnsi="Calibri Light" w:cstheme="majorBidi"/>
      <w:i/>
      <w:iCs/>
      <w:color w:val="272727" w:themeColor="text1" w:themeTint="D8"/>
      <w:szCs w:val="20"/>
      <w:lang w:eastAsia="en-AU"/>
    </w:rPr>
  </w:style>
  <w:style w:type="character" w:customStyle="1" w:styleId="Heading9Char">
    <w:name w:val="Heading 9 Char"/>
    <w:basedOn w:val="DefaultParagraphFont"/>
    <w:link w:val="Heading9"/>
    <w:uiPriority w:val="9"/>
    <w:semiHidden/>
    <w:rsid w:val="00406CD0"/>
    <w:rPr>
      <w:rFonts w:ascii="Calibri Light" w:eastAsiaTheme="majorEastAsia" w:hAnsi="Calibri Light" w:cstheme="majorBidi"/>
      <w:color w:val="272727" w:themeColor="text1" w:themeTint="D8"/>
      <w:szCs w:val="20"/>
      <w:lang w:eastAsia="en-AU"/>
    </w:rPr>
  </w:style>
  <w:style w:type="paragraph" w:styleId="Quote">
    <w:name w:val="Quote"/>
    <w:basedOn w:val="Normal"/>
    <w:next w:val="Normal"/>
    <w:link w:val="QuoteChar"/>
    <w:uiPriority w:val="29"/>
    <w:qFormat/>
    <w:rsid w:val="00406CD0"/>
    <w:pPr>
      <w:spacing w:before="160"/>
      <w:jc w:val="center"/>
    </w:pPr>
    <w:rPr>
      <w:i/>
      <w:iCs/>
      <w:color w:val="404040" w:themeColor="text1" w:themeTint="BF"/>
    </w:rPr>
  </w:style>
  <w:style w:type="character" w:customStyle="1" w:styleId="QuoteChar">
    <w:name w:val="Quote Char"/>
    <w:basedOn w:val="DefaultParagraphFont"/>
    <w:link w:val="Quote"/>
    <w:uiPriority w:val="29"/>
    <w:rsid w:val="00406CD0"/>
    <w:rPr>
      <w:rFonts w:ascii="Calibri Light" w:eastAsia="Times New Roman" w:hAnsi="Calibri Light" w:cs="Times New Roman"/>
      <w:i/>
      <w:iCs/>
      <w:color w:val="404040" w:themeColor="text1" w:themeTint="BF"/>
      <w:szCs w:val="20"/>
      <w:lang w:eastAsia="en-AU"/>
    </w:rPr>
  </w:style>
  <w:style w:type="paragraph" w:styleId="ListParagraph">
    <w:name w:val="List Paragraph"/>
    <w:basedOn w:val="Normal"/>
    <w:uiPriority w:val="34"/>
    <w:qFormat/>
    <w:rsid w:val="00406CD0"/>
    <w:pPr>
      <w:ind w:left="720"/>
      <w:contextualSpacing/>
    </w:pPr>
  </w:style>
  <w:style w:type="character" w:styleId="IntenseEmphasis">
    <w:name w:val="Intense Emphasis"/>
    <w:basedOn w:val="DefaultParagraphFont"/>
    <w:uiPriority w:val="21"/>
    <w:qFormat/>
    <w:rsid w:val="00406CD0"/>
    <w:rPr>
      <w:i/>
      <w:iCs/>
      <w:color w:val="212937" w:themeColor="accent1" w:themeShade="BF"/>
    </w:rPr>
  </w:style>
  <w:style w:type="paragraph" w:styleId="IntenseQuote">
    <w:name w:val="Intense Quote"/>
    <w:basedOn w:val="Normal"/>
    <w:next w:val="Normal"/>
    <w:link w:val="IntenseQuoteChar"/>
    <w:uiPriority w:val="30"/>
    <w:qFormat/>
    <w:rsid w:val="00406CD0"/>
    <w:pPr>
      <w:pBdr>
        <w:top w:val="single" w:sz="4" w:space="10" w:color="212937" w:themeColor="accent1" w:themeShade="BF"/>
        <w:bottom w:val="single" w:sz="4" w:space="10" w:color="212937" w:themeColor="accent1" w:themeShade="BF"/>
      </w:pBdr>
      <w:spacing w:before="360" w:after="360"/>
      <w:ind w:left="864" w:right="864"/>
      <w:jc w:val="center"/>
    </w:pPr>
    <w:rPr>
      <w:i/>
      <w:iCs/>
      <w:color w:val="212937" w:themeColor="accent1" w:themeShade="BF"/>
    </w:rPr>
  </w:style>
  <w:style w:type="character" w:customStyle="1" w:styleId="IntenseQuoteChar">
    <w:name w:val="Intense Quote Char"/>
    <w:basedOn w:val="DefaultParagraphFont"/>
    <w:link w:val="IntenseQuote"/>
    <w:uiPriority w:val="30"/>
    <w:rsid w:val="00406CD0"/>
    <w:rPr>
      <w:rFonts w:ascii="Calibri Light" w:eastAsia="Times New Roman" w:hAnsi="Calibri Light" w:cs="Times New Roman"/>
      <w:i/>
      <w:iCs/>
      <w:color w:val="212937" w:themeColor="accent1" w:themeShade="BF"/>
      <w:szCs w:val="20"/>
      <w:lang w:eastAsia="en-AU"/>
    </w:rPr>
  </w:style>
  <w:style w:type="character" w:styleId="IntenseReference">
    <w:name w:val="Intense Reference"/>
    <w:basedOn w:val="DefaultParagraphFont"/>
    <w:uiPriority w:val="32"/>
    <w:qFormat/>
    <w:rsid w:val="00406CD0"/>
    <w:rPr>
      <w:b/>
      <w:bCs/>
      <w:smallCaps/>
      <w:color w:val="212937" w:themeColor="accent1" w:themeShade="BF"/>
      <w:spacing w:val="5"/>
    </w:rPr>
  </w:style>
  <w:style w:type="paragraph" w:customStyle="1" w:styleId="CoverTitleMain">
    <w:name w:val="Cover Title Main"/>
    <w:basedOn w:val="Normal"/>
    <w:next w:val="Normal"/>
    <w:autoRedefine/>
    <w:qFormat/>
    <w:rsid w:val="00406CD0"/>
    <w:pPr>
      <w:keepNext/>
      <w:spacing w:before="3360" w:after="720" w:line="300" w:lineRule="auto"/>
      <w:jc w:val="right"/>
    </w:pPr>
    <w:rPr>
      <w:rFonts w:ascii="Calibri" w:hAnsi="Calibri"/>
      <w:color w:val="2C384A" w:themeColor="accent1"/>
      <w:sz w:val="56"/>
      <w:szCs w:val="40"/>
    </w:rPr>
  </w:style>
  <w:style w:type="paragraph" w:customStyle="1" w:styleId="CoverTitleSub">
    <w:name w:val="Cover Title Sub"/>
    <w:basedOn w:val="Normal"/>
    <w:rsid w:val="00406CD0"/>
    <w:pPr>
      <w:keepNext/>
      <w:jc w:val="right"/>
    </w:pPr>
    <w:rPr>
      <w:rFonts w:ascii="Calibri" w:hAnsi="Calibri"/>
      <w:color w:val="2C384A" w:themeColor="accent1"/>
      <w:sz w:val="40"/>
    </w:rPr>
  </w:style>
  <w:style w:type="character" w:styleId="CommentReference">
    <w:name w:val="annotation reference"/>
    <w:basedOn w:val="DefaultParagraphFont"/>
    <w:uiPriority w:val="99"/>
    <w:semiHidden/>
    <w:unhideWhenUsed/>
    <w:rsid w:val="00406CD0"/>
    <w:rPr>
      <w:sz w:val="16"/>
      <w:szCs w:val="16"/>
    </w:rPr>
  </w:style>
  <w:style w:type="paragraph" w:styleId="CommentText">
    <w:name w:val="annotation text"/>
    <w:basedOn w:val="Normal"/>
    <w:link w:val="CommentTextChar"/>
    <w:uiPriority w:val="99"/>
    <w:unhideWhenUsed/>
    <w:rsid w:val="00406CD0"/>
    <w:rPr>
      <w:rFonts w:ascii="Calibri" w:hAnsi="Calibri"/>
      <w:sz w:val="20"/>
    </w:rPr>
  </w:style>
  <w:style w:type="character" w:customStyle="1" w:styleId="CommentTextChar">
    <w:name w:val="Comment Text Char"/>
    <w:basedOn w:val="DefaultParagraphFont"/>
    <w:link w:val="CommentText"/>
    <w:uiPriority w:val="99"/>
    <w:rsid w:val="00406CD0"/>
    <w:rPr>
      <w:rFonts w:ascii="Calibri" w:eastAsia="Times New Roman" w:hAnsi="Calibri" w:cs="Times New Roman"/>
      <w:sz w:val="20"/>
      <w:szCs w:val="20"/>
      <w:lang w:eastAsia="en-AU"/>
    </w:rPr>
  </w:style>
  <w:style w:type="character" w:styleId="Mention">
    <w:name w:val="Mention"/>
    <w:basedOn w:val="DefaultParagraphFont"/>
    <w:uiPriority w:val="99"/>
    <w:unhideWhenUsed/>
    <w:rsid w:val="00406CD0"/>
    <w:rPr>
      <w:color w:val="2B579A"/>
      <w:shd w:val="clear" w:color="auto" w:fill="E1DFDD"/>
    </w:rPr>
  </w:style>
  <w:style w:type="paragraph" w:styleId="EnvelopeAddress">
    <w:name w:val="envelope address"/>
    <w:basedOn w:val="Normal"/>
    <w:uiPriority w:val="99"/>
    <w:semiHidden/>
    <w:unhideWhenUsed/>
    <w:rsid w:val="00406CD0"/>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OCHeading">
    <w:name w:val="TOC Heading"/>
    <w:basedOn w:val="Heading1"/>
    <w:next w:val="Normal"/>
    <w:uiPriority w:val="39"/>
    <w:unhideWhenUsed/>
    <w:qFormat/>
    <w:rsid w:val="00406CD0"/>
    <w:pPr>
      <w:outlineLvl w:val="9"/>
    </w:pPr>
    <w:rPr>
      <w:lang w:val="en-US" w:eastAsia="ja-JP"/>
    </w:rPr>
  </w:style>
  <w:style w:type="paragraph" w:customStyle="1" w:styleId="Singleparagraph0">
    <w:name w:val="Single paragraph"/>
    <w:basedOn w:val="Normal"/>
    <w:qFormat/>
    <w:rsid w:val="00406CD0"/>
    <w:pPr>
      <w:spacing w:after="0"/>
    </w:pPr>
  </w:style>
  <w:style w:type="paragraph" w:customStyle="1" w:styleId="AppendixHeading">
    <w:name w:val="Appendix Heading"/>
    <w:basedOn w:val="Heading1"/>
    <w:next w:val="Normal"/>
    <w:rsid w:val="00406CD0"/>
  </w:style>
  <w:style w:type="paragraph" w:customStyle="1" w:styleId="HeaderEven">
    <w:name w:val="Header Even"/>
    <w:basedOn w:val="Header"/>
    <w:qFormat/>
    <w:rsid w:val="00406CD0"/>
    <w:pPr>
      <w:spacing w:before="120"/>
      <w:jc w:val="left"/>
    </w:pPr>
    <w:rPr>
      <w:color w:val="002C47"/>
    </w:rPr>
  </w:style>
  <w:style w:type="paragraph" w:customStyle="1" w:styleId="HeaderOdd">
    <w:name w:val="Header Odd"/>
    <w:basedOn w:val="Header"/>
    <w:qFormat/>
    <w:rsid w:val="00406CD0"/>
    <w:pPr>
      <w:spacing w:before="120"/>
    </w:pPr>
    <w:rPr>
      <w:color w:val="002C47"/>
    </w:rPr>
  </w:style>
  <w:style w:type="paragraph" w:customStyle="1" w:styleId="NotesHeading">
    <w:name w:val="Notes Heading"/>
    <w:basedOn w:val="Normal"/>
    <w:rsid w:val="00406CD0"/>
    <w:pPr>
      <w:keepNext/>
      <w:spacing w:before="240" w:after="360"/>
      <w:jc w:val="center"/>
    </w:pPr>
    <w:rPr>
      <w:rFonts w:ascii="Century Gothic" w:hAnsi="Century Gothic"/>
      <w:smallCaps/>
      <w:color w:val="5F5F5F" w:themeColor="text2"/>
      <w:sz w:val="36"/>
      <w:szCs w:val="36"/>
    </w:rPr>
  </w:style>
  <w:style w:type="paragraph" w:customStyle="1" w:styleId="CoverDate">
    <w:name w:val="Cover Date"/>
    <w:basedOn w:val="Normal"/>
    <w:rsid w:val="00406CD0"/>
    <w:pPr>
      <w:keepNext/>
      <w:spacing w:before="840" w:after="0"/>
      <w:jc w:val="right"/>
    </w:pPr>
    <w:rPr>
      <w:color w:val="2C384A" w:themeColor="accent1"/>
      <w:sz w:val="28"/>
    </w:rPr>
  </w:style>
  <w:style w:type="character" w:styleId="FollowedHyperlink">
    <w:name w:val="FollowedHyperlink"/>
    <w:basedOn w:val="DefaultParagraphFont"/>
    <w:uiPriority w:val="99"/>
    <w:semiHidden/>
    <w:unhideWhenUsed/>
    <w:rsid w:val="00406CD0"/>
    <w:rPr>
      <w:color w:val="844D9E" w:themeColor="followedHyperlink"/>
      <w:u w:val="single"/>
    </w:rPr>
  </w:style>
  <w:style w:type="paragraph" w:styleId="CommentSubject">
    <w:name w:val="annotation subject"/>
    <w:basedOn w:val="CommentText"/>
    <w:next w:val="CommentText"/>
    <w:link w:val="CommentSubjectChar"/>
    <w:uiPriority w:val="99"/>
    <w:semiHidden/>
    <w:unhideWhenUsed/>
    <w:rsid w:val="00406CD0"/>
    <w:rPr>
      <w:rFonts w:ascii="Calibri Light" w:hAnsi="Calibri Light"/>
      <w:b/>
      <w:bCs/>
    </w:rPr>
  </w:style>
  <w:style w:type="character" w:customStyle="1" w:styleId="CommentSubjectChar">
    <w:name w:val="Comment Subject Char"/>
    <w:basedOn w:val="CommentTextChar"/>
    <w:link w:val="CommentSubject"/>
    <w:uiPriority w:val="99"/>
    <w:semiHidden/>
    <w:rsid w:val="00406CD0"/>
    <w:rPr>
      <w:rFonts w:ascii="Calibri Light" w:eastAsia="Times New Roman" w:hAnsi="Calibri Light" w:cs="Times New Roman"/>
      <w:b/>
      <w:bCs/>
      <w:sz w:val="20"/>
      <w:szCs w:val="20"/>
      <w:lang w:eastAsia="en-AU"/>
    </w:rPr>
  </w:style>
  <w:style w:type="table" w:styleId="GridTable1Light">
    <w:name w:val="Grid Table 1 Light"/>
    <w:basedOn w:val="TableNormal"/>
    <w:uiPriority w:val="46"/>
    <w:rsid w:val="00406C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406CD0"/>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customStyle="1" w:styleId="normaltextrun">
    <w:name w:val="normaltextrun"/>
    <w:basedOn w:val="DefaultParagraphFont"/>
    <w:rsid w:val="00406CD0"/>
  </w:style>
  <w:style w:type="character" w:customStyle="1" w:styleId="eop">
    <w:name w:val="eop"/>
    <w:basedOn w:val="DefaultParagraphFont"/>
    <w:rsid w:val="00406CD0"/>
  </w:style>
  <w:style w:type="paragraph" w:styleId="NormalWeb">
    <w:name w:val="Normal (Web)"/>
    <w:basedOn w:val="Normal"/>
    <w:uiPriority w:val="99"/>
    <w:semiHidden/>
    <w:unhideWhenUsed/>
    <w:rsid w:val="00406CD0"/>
    <w:rPr>
      <w:rFonts w:ascii="Times New Roman" w:hAnsi="Times New Roman"/>
      <w:sz w:val="24"/>
      <w:szCs w:val="24"/>
    </w:rPr>
  </w:style>
  <w:style w:type="paragraph" w:styleId="Revision">
    <w:name w:val="Revision"/>
    <w:hidden/>
    <w:uiPriority w:val="99"/>
    <w:semiHidden/>
    <w:rsid w:val="00406CD0"/>
    <w:pPr>
      <w:spacing w:after="0" w:line="240" w:lineRule="auto"/>
    </w:pPr>
    <w:rPr>
      <w:rFonts w:ascii="Calibri Light" w:eastAsia="Times New Roman" w:hAnsi="Calibri Light" w:cs="Times New Roman"/>
      <w:szCs w:val="20"/>
      <w:lang w:eastAsia="en-AU"/>
    </w:rPr>
  </w:style>
  <w:style w:type="table" w:styleId="PlainTable1">
    <w:name w:val="Plain Table 1"/>
    <w:basedOn w:val="TableNormal"/>
    <w:uiPriority w:val="41"/>
    <w:rsid w:val="00406C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06CD0"/>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character" w:customStyle="1" w:styleId="OutlineNumbered1Char">
    <w:name w:val="Outline Numbered 1 Char"/>
    <w:basedOn w:val="DashChar"/>
    <w:link w:val="OutlineNumbered1"/>
    <w:rsid w:val="00406CD0"/>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406CD0"/>
    <w:pPr>
      <w:spacing w:before="0" w:after="0"/>
    </w:pPr>
    <w:rPr>
      <w:sz w:val="20"/>
    </w:rPr>
  </w:style>
  <w:style w:type="character" w:customStyle="1" w:styleId="EndnoteTextChar">
    <w:name w:val="Endnote Text Char"/>
    <w:basedOn w:val="DefaultParagraphFont"/>
    <w:link w:val="EndnoteText"/>
    <w:uiPriority w:val="99"/>
    <w:semiHidden/>
    <w:rsid w:val="00406CD0"/>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06CD0"/>
    <w:rPr>
      <w:vertAlign w:val="superscript"/>
    </w:rPr>
  </w:style>
  <w:style w:type="table" w:styleId="GridTable1Light-Accent2">
    <w:name w:val="Grid Table 1 Light Accent 2"/>
    <w:basedOn w:val="TableNormal"/>
    <w:uiPriority w:val="46"/>
    <w:rsid w:val="00406CD0"/>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406C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406CD0"/>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3-Accent3">
    <w:name w:val="List Table 3 Accent 3"/>
    <w:basedOn w:val="TableNormal"/>
    <w:uiPriority w:val="48"/>
    <w:rsid w:val="00406CD0"/>
    <w:pPr>
      <w:spacing w:after="0" w:line="240" w:lineRule="auto"/>
    </w:pPr>
    <w:tblPr>
      <w:tblStyleRowBandSize w:val="1"/>
      <w:tblStyleColBandSize w:val="1"/>
      <w:tblBorders>
        <w:top w:val="single" w:sz="4" w:space="0" w:color="5D779D" w:themeColor="accent3"/>
        <w:left w:val="single" w:sz="4" w:space="0" w:color="5D779D" w:themeColor="accent3"/>
        <w:bottom w:val="single" w:sz="4" w:space="0" w:color="5D779D" w:themeColor="accent3"/>
        <w:right w:val="single" w:sz="4" w:space="0" w:color="5D779D" w:themeColor="accent3"/>
      </w:tblBorders>
    </w:tbl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79D" w:themeColor="accent3"/>
          <w:right w:val="single" w:sz="4" w:space="0" w:color="5D779D" w:themeColor="accent3"/>
        </w:tcBorders>
      </w:tcPr>
    </w:tblStylePr>
    <w:tblStylePr w:type="band1Horz">
      <w:tblPr/>
      <w:tcPr>
        <w:tcBorders>
          <w:top w:val="single" w:sz="4" w:space="0" w:color="5D779D" w:themeColor="accent3"/>
          <w:bottom w:val="single" w:sz="4" w:space="0" w:color="5D77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GridTable5Dark-Accent1">
    <w:name w:val="Grid Table 5 Dark Accent 1"/>
    <w:basedOn w:val="TableNormal"/>
    <w:uiPriority w:val="50"/>
    <w:rsid w:val="00406C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A" w:themeFill="accent1"/>
      </w:tcPr>
    </w:tblStylePr>
    <w:tblStylePr w:type="band1Vert">
      <w:tblPr/>
      <w:tcPr>
        <w:shd w:val="clear" w:color="auto" w:fill="9CACC4" w:themeFill="accent1" w:themeFillTint="66"/>
      </w:tcPr>
    </w:tblStylePr>
    <w:tblStylePr w:type="band1Horz">
      <w:tblPr/>
      <w:tcPr>
        <w:shd w:val="clear" w:color="auto" w:fill="9CACC4" w:themeFill="accent1" w:themeFillTint="66"/>
      </w:tcPr>
    </w:tblStylePr>
  </w:style>
  <w:style w:type="table" w:styleId="GridTable3-Accent3">
    <w:name w:val="Grid Table 3 Accent 3"/>
    <w:basedOn w:val="TableNormal"/>
    <w:uiPriority w:val="48"/>
    <w:rsid w:val="00406CD0"/>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3-Accent1">
    <w:name w:val="List Table 3 Accent 1"/>
    <w:basedOn w:val="TableNormal"/>
    <w:uiPriority w:val="48"/>
    <w:rsid w:val="00406CD0"/>
    <w:pPr>
      <w:spacing w:after="0" w:line="240" w:lineRule="auto"/>
    </w:p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table" w:styleId="ListTable3">
    <w:name w:val="List Table 3"/>
    <w:basedOn w:val="TableNormal"/>
    <w:uiPriority w:val="48"/>
    <w:rsid w:val="00406CD0"/>
    <w:pPr>
      <w:spacing w:after="0" w:line="240" w:lineRule="auto"/>
    </w:pPr>
    <w:rPr>
      <w:kern w:val="2"/>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3">
    <w:name w:val="Grid Table 1 Light Accent 3"/>
    <w:basedOn w:val="TableNormal"/>
    <w:uiPriority w:val="46"/>
    <w:rsid w:val="00406CD0"/>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86B07"/>
    <w:pPr>
      <w:spacing w:after="0" w:line="240" w:lineRule="auto"/>
    </w:pPr>
    <w:tblPr>
      <w:tblStyleRowBandSize w:val="1"/>
      <w:tblStyleColBandSize w:val="1"/>
      <w:tblBorders>
        <w:top w:val="single" w:sz="2" w:space="0" w:color="6B83A7" w:themeColor="accent1" w:themeTint="99"/>
        <w:bottom w:val="single" w:sz="2" w:space="0" w:color="6B83A7" w:themeColor="accent1" w:themeTint="99"/>
        <w:insideH w:val="single" w:sz="2" w:space="0" w:color="6B83A7" w:themeColor="accent1" w:themeTint="99"/>
        <w:insideV w:val="single" w:sz="2" w:space="0" w:color="6B83A7" w:themeColor="accent1" w:themeTint="99"/>
      </w:tblBorders>
    </w:tblPr>
    <w:tblStylePr w:type="firstRow">
      <w:rPr>
        <w:b/>
        <w:bCs/>
      </w:rPr>
      <w:tblPr/>
      <w:tcPr>
        <w:tcBorders>
          <w:top w:val="nil"/>
          <w:bottom w:val="single" w:sz="12" w:space="0" w:color="6B83A7" w:themeColor="accent1" w:themeTint="99"/>
          <w:insideH w:val="nil"/>
          <w:insideV w:val="nil"/>
        </w:tcBorders>
        <w:shd w:val="clear" w:color="auto" w:fill="FFFFFF" w:themeFill="background1"/>
      </w:tcPr>
    </w:tblStylePr>
    <w:tblStylePr w:type="lastRow">
      <w:rPr>
        <w:b/>
        <w:bCs/>
      </w:rPr>
      <w:tblPr/>
      <w:tcPr>
        <w:tcBorders>
          <w:top w:val="double" w:sz="2" w:space="0" w:color="6B83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2">
    <w:name w:val="Grid Table 2"/>
    <w:basedOn w:val="TableNormal"/>
    <w:uiPriority w:val="47"/>
    <w:rsid w:val="00A86B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A86B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0151">
      <w:bodyDiv w:val="1"/>
      <w:marLeft w:val="0"/>
      <w:marRight w:val="0"/>
      <w:marTop w:val="0"/>
      <w:marBottom w:val="0"/>
      <w:divBdr>
        <w:top w:val="none" w:sz="0" w:space="0" w:color="auto"/>
        <w:left w:val="none" w:sz="0" w:space="0" w:color="auto"/>
        <w:bottom w:val="none" w:sz="0" w:space="0" w:color="auto"/>
        <w:right w:val="none" w:sz="0" w:space="0" w:color="auto"/>
      </w:divBdr>
    </w:div>
    <w:div w:id="178743871">
      <w:bodyDiv w:val="1"/>
      <w:marLeft w:val="0"/>
      <w:marRight w:val="0"/>
      <w:marTop w:val="0"/>
      <w:marBottom w:val="0"/>
      <w:divBdr>
        <w:top w:val="none" w:sz="0" w:space="0" w:color="auto"/>
        <w:left w:val="none" w:sz="0" w:space="0" w:color="auto"/>
        <w:bottom w:val="none" w:sz="0" w:space="0" w:color="auto"/>
        <w:right w:val="none" w:sz="0" w:space="0" w:color="auto"/>
      </w:divBdr>
    </w:div>
    <w:div w:id="197282658">
      <w:bodyDiv w:val="1"/>
      <w:marLeft w:val="0"/>
      <w:marRight w:val="0"/>
      <w:marTop w:val="0"/>
      <w:marBottom w:val="0"/>
      <w:divBdr>
        <w:top w:val="none" w:sz="0" w:space="0" w:color="auto"/>
        <w:left w:val="none" w:sz="0" w:space="0" w:color="auto"/>
        <w:bottom w:val="none" w:sz="0" w:space="0" w:color="auto"/>
        <w:right w:val="none" w:sz="0" w:space="0" w:color="auto"/>
      </w:divBdr>
    </w:div>
    <w:div w:id="387384361">
      <w:bodyDiv w:val="1"/>
      <w:marLeft w:val="0"/>
      <w:marRight w:val="0"/>
      <w:marTop w:val="0"/>
      <w:marBottom w:val="0"/>
      <w:divBdr>
        <w:top w:val="none" w:sz="0" w:space="0" w:color="auto"/>
        <w:left w:val="none" w:sz="0" w:space="0" w:color="auto"/>
        <w:bottom w:val="none" w:sz="0" w:space="0" w:color="auto"/>
        <w:right w:val="none" w:sz="0" w:space="0" w:color="auto"/>
      </w:divBdr>
    </w:div>
    <w:div w:id="430122879">
      <w:bodyDiv w:val="1"/>
      <w:marLeft w:val="0"/>
      <w:marRight w:val="0"/>
      <w:marTop w:val="0"/>
      <w:marBottom w:val="0"/>
      <w:divBdr>
        <w:top w:val="none" w:sz="0" w:space="0" w:color="auto"/>
        <w:left w:val="none" w:sz="0" w:space="0" w:color="auto"/>
        <w:bottom w:val="none" w:sz="0" w:space="0" w:color="auto"/>
        <w:right w:val="none" w:sz="0" w:space="0" w:color="auto"/>
      </w:divBdr>
    </w:div>
    <w:div w:id="651637737">
      <w:bodyDiv w:val="1"/>
      <w:marLeft w:val="0"/>
      <w:marRight w:val="0"/>
      <w:marTop w:val="0"/>
      <w:marBottom w:val="0"/>
      <w:divBdr>
        <w:top w:val="none" w:sz="0" w:space="0" w:color="auto"/>
        <w:left w:val="none" w:sz="0" w:space="0" w:color="auto"/>
        <w:bottom w:val="none" w:sz="0" w:space="0" w:color="auto"/>
        <w:right w:val="none" w:sz="0" w:space="0" w:color="auto"/>
      </w:divBdr>
    </w:div>
    <w:div w:id="841701798">
      <w:bodyDiv w:val="1"/>
      <w:marLeft w:val="0"/>
      <w:marRight w:val="0"/>
      <w:marTop w:val="0"/>
      <w:marBottom w:val="0"/>
      <w:divBdr>
        <w:top w:val="none" w:sz="0" w:space="0" w:color="auto"/>
        <w:left w:val="none" w:sz="0" w:space="0" w:color="auto"/>
        <w:bottom w:val="none" w:sz="0" w:space="0" w:color="auto"/>
        <w:right w:val="none" w:sz="0" w:space="0" w:color="auto"/>
      </w:divBdr>
    </w:div>
    <w:div w:id="980234324">
      <w:bodyDiv w:val="1"/>
      <w:marLeft w:val="0"/>
      <w:marRight w:val="0"/>
      <w:marTop w:val="0"/>
      <w:marBottom w:val="0"/>
      <w:divBdr>
        <w:top w:val="none" w:sz="0" w:space="0" w:color="auto"/>
        <w:left w:val="none" w:sz="0" w:space="0" w:color="auto"/>
        <w:bottom w:val="none" w:sz="0" w:space="0" w:color="auto"/>
        <w:right w:val="none" w:sz="0" w:space="0" w:color="auto"/>
      </w:divBdr>
    </w:div>
    <w:div w:id="1010371213">
      <w:bodyDiv w:val="1"/>
      <w:marLeft w:val="0"/>
      <w:marRight w:val="0"/>
      <w:marTop w:val="0"/>
      <w:marBottom w:val="0"/>
      <w:divBdr>
        <w:top w:val="none" w:sz="0" w:space="0" w:color="auto"/>
        <w:left w:val="none" w:sz="0" w:space="0" w:color="auto"/>
        <w:bottom w:val="none" w:sz="0" w:space="0" w:color="auto"/>
        <w:right w:val="none" w:sz="0" w:space="0" w:color="auto"/>
      </w:divBdr>
    </w:div>
    <w:div w:id="1051617978">
      <w:bodyDiv w:val="1"/>
      <w:marLeft w:val="0"/>
      <w:marRight w:val="0"/>
      <w:marTop w:val="0"/>
      <w:marBottom w:val="0"/>
      <w:divBdr>
        <w:top w:val="none" w:sz="0" w:space="0" w:color="auto"/>
        <w:left w:val="none" w:sz="0" w:space="0" w:color="auto"/>
        <w:bottom w:val="none" w:sz="0" w:space="0" w:color="auto"/>
        <w:right w:val="none" w:sz="0" w:space="0" w:color="auto"/>
      </w:divBdr>
    </w:div>
    <w:div w:id="1117679654">
      <w:bodyDiv w:val="1"/>
      <w:marLeft w:val="0"/>
      <w:marRight w:val="0"/>
      <w:marTop w:val="0"/>
      <w:marBottom w:val="0"/>
      <w:divBdr>
        <w:top w:val="none" w:sz="0" w:space="0" w:color="auto"/>
        <w:left w:val="none" w:sz="0" w:space="0" w:color="auto"/>
        <w:bottom w:val="none" w:sz="0" w:space="0" w:color="auto"/>
        <w:right w:val="none" w:sz="0" w:space="0" w:color="auto"/>
      </w:divBdr>
    </w:div>
    <w:div w:id="1196312101">
      <w:bodyDiv w:val="1"/>
      <w:marLeft w:val="0"/>
      <w:marRight w:val="0"/>
      <w:marTop w:val="0"/>
      <w:marBottom w:val="0"/>
      <w:divBdr>
        <w:top w:val="none" w:sz="0" w:space="0" w:color="auto"/>
        <w:left w:val="none" w:sz="0" w:space="0" w:color="auto"/>
        <w:bottom w:val="none" w:sz="0" w:space="0" w:color="auto"/>
        <w:right w:val="none" w:sz="0" w:space="0" w:color="auto"/>
      </w:divBdr>
    </w:div>
    <w:div w:id="1268393393">
      <w:bodyDiv w:val="1"/>
      <w:marLeft w:val="0"/>
      <w:marRight w:val="0"/>
      <w:marTop w:val="0"/>
      <w:marBottom w:val="0"/>
      <w:divBdr>
        <w:top w:val="none" w:sz="0" w:space="0" w:color="auto"/>
        <w:left w:val="none" w:sz="0" w:space="0" w:color="auto"/>
        <w:bottom w:val="none" w:sz="0" w:space="0" w:color="auto"/>
        <w:right w:val="none" w:sz="0" w:space="0" w:color="auto"/>
      </w:divBdr>
    </w:div>
    <w:div w:id="1332416224">
      <w:bodyDiv w:val="1"/>
      <w:marLeft w:val="0"/>
      <w:marRight w:val="0"/>
      <w:marTop w:val="0"/>
      <w:marBottom w:val="0"/>
      <w:divBdr>
        <w:top w:val="none" w:sz="0" w:space="0" w:color="auto"/>
        <w:left w:val="none" w:sz="0" w:space="0" w:color="auto"/>
        <w:bottom w:val="none" w:sz="0" w:space="0" w:color="auto"/>
        <w:right w:val="none" w:sz="0" w:space="0" w:color="auto"/>
      </w:divBdr>
    </w:div>
    <w:div w:id="1531602849">
      <w:bodyDiv w:val="1"/>
      <w:marLeft w:val="0"/>
      <w:marRight w:val="0"/>
      <w:marTop w:val="0"/>
      <w:marBottom w:val="0"/>
      <w:divBdr>
        <w:top w:val="none" w:sz="0" w:space="0" w:color="auto"/>
        <w:left w:val="none" w:sz="0" w:space="0" w:color="auto"/>
        <w:bottom w:val="none" w:sz="0" w:space="0" w:color="auto"/>
        <w:right w:val="none" w:sz="0" w:space="0" w:color="auto"/>
      </w:divBdr>
    </w:div>
    <w:div w:id="1594390467">
      <w:bodyDiv w:val="1"/>
      <w:marLeft w:val="0"/>
      <w:marRight w:val="0"/>
      <w:marTop w:val="0"/>
      <w:marBottom w:val="0"/>
      <w:divBdr>
        <w:top w:val="none" w:sz="0" w:space="0" w:color="auto"/>
        <w:left w:val="none" w:sz="0" w:space="0" w:color="auto"/>
        <w:bottom w:val="none" w:sz="0" w:space="0" w:color="auto"/>
        <w:right w:val="none" w:sz="0" w:space="0" w:color="auto"/>
      </w:divBdr>
    </w:div>
    <w:div w:id="1688949468">
      <w:bodyDiv w:val="1"/>
      <w:marLeft w:val="0"/>
      <w:marRight w:val="0"/>
      <w:marTop w:val="0"/>
      <w:marBottom w:val="0"/>
      <w:divBdr>
        <w:top w:val="none" w:sz="0" w:space="0" w:color="auto"/>
        <w:left w:val="none" w:sz="0" w:space="0" w:color="auto"/>
        <w:bottom w:val="none" w:sz="0" w:space="0" w:color="auto"/>
        <w:right w:val="none" w:sz="0" w:space="0" w:color="auto"/>
      </w:divBdr>
    </w:div>
    <w:div w:id="1693458852">
      <w:bodyDiv w:val="1"/>
      <w:marLeft w:val="0"/>
      <w:marRight w:val="0"/>
      <w:marTop w:val="0"/>
      <w:marBottom w:val="0"/>
      <w:divBdr>
        <w:top w:val="none" w:sz="0" w:space="0" w:color="auto"/>
        <w:left w:val="none" w:sz="0" w:space="0" w:color="auto"/>
        <w:bottom w:val="none" w:sz="0" w:space="0" w:color="auto"/>
        <w:right w:val="none" w:sz="0" w:space="0" w:color="auto"/>
      </w:divBdr>
    </w:div>
    <w:div w:id="1741098804">
      <w:bodyDiv w:val="1"/>
      <w:marLeft w:val="0"/>
      <w:marRight w:val="0"/>
      <w:marTop w:val="0"/>
      <w:marBottom w:val="0"/>
      <w:divBdr>
        <w:top w:val="none" w:sz="0" w:space="0" w:color="auto"/>
        <w:left w:val="none" w:sz="0" w:space="0" w:color="auto"/>
        <w:bottom w:val="none" w:sz="0" w:space="0" w:color="auto"/>
        <w:right w:val="none" w:sz="0" w:space="0" w:color="auto"/>
      </w:divBdr>
    </w:div>
    <w:div w:id="1793665500">
      <w:bodyDiv w:val="1"/>
      <w:marLeft w:val="0"/>
      <w:marRight w:val="0"/>
      <w:marTop w:val="0"/>
      <w:marBottom w:val="0"/>
      <w:divBdr>
        <w:top w:val="none" w:sz="0" w:space="0" w:color="auto"/>
        <w:left w:val="none" w:sz="0" w:space="0" w:color="auto"/>
        <w:bottom w:val="none" w:sz="0" w:space="0" w:color="auto"/>
        <w:right w:val="none" w:sz="0" w:space="0" w:color="auto"/>
      </w:divBdr>
    </w:div>
    <w:div w:id="1873229583">
      <w:bodyDiv w:val="1"/>
      <w:marLeft w:val="0"/>
      <w:marRight w:val="0"/>
      <w:marTop w:val="0"/>
      <w:marBottom w:val="0"/>
      <w:divBdr>
        <w:top w:val="none" w:sz="0" w:space="0" w:color="auto"/>
        <w:left w:val="none" w:sz="0" w:space="0" w:color="auto"/>
        <w:bottom w:val="none" w:sz="0" w:space="0" w:color="auto"/>
        <w:right w:val="none" w:sz="0" w:space="0" w:color="auto"/>
      </w:divBdr>
    </w:div>
    <w:div w:id="1906144220">
      <w:bodyDiv w:val="1"/>
      <w:marLeft w:val="0"/>
      <w:marRight w:val="0"/>
      <w:marTop w:val="0"/>
      <w:marBottom w:val="0"/>
      <w:divBdr>
        <w:top w:val="none" w:sz="0" w:space="0" w:color="auto"/>
        <w:left w:val="none" w:sz="0" w:space="0" w:color="auto"/>
        <w:bottom w:val="none" w:sz="0" w:space="0" w:color="auto"/>
        <w:right w:val="none" w:sz="0" w:space="0" w:color="auto"/>
      </w:divBdr>
    </w:div>
    <w:div w:id="2045131344">
      <w:bodyDiv w:val="1"/>
      <w:marLeft w:val="0"/>
      <w:marRight w:val="0"/>
      <w:marTop w:val="0"/>
      <w:marBottom w:val="0"/>
      <w:divBdr>
        <w:top w:val="none" w:sz="0" w:space="0" w:color="auto"/>
        <w:left w:val="none" w:sz="0" w:space="0" w:color="auto"/>
        <w:bottom w:val="none" w:sz="0" w:space="0" w:color="auto"/>
        <w:right w:val="none" w:sz="0" w:space="0" w:color="auto"/>
      </w:divBdr>
    </w:div>
    <w:div w:id="21360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media@treasury.gov.au"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pmc.gov.au/government/commonwealth-coat-arms"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footer" Target="footer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66524/Online_choice_architecture_discussion_paper.pdf" TargetMode="External"/><Relationship Id="rId18" Type="http://schemas.openxmlformats.org/officeDocument/2006/relationships/hyperlink" Target="https://cprc.org.au/wp-content/uploads/2024/01/CPRC-Duped-by-Design-Final-Report-June-2022.pdf" TargetMode="External"/><Relationship Id="rId26" Type="http://schemas.openxmlformats.org/officeDocument/2006/relationships/hyperlink" Target="https://www.gov.uk/government/publications/digital-markets-competition-and-consumers-bill-supporting-documentation" TargetMode="External"/><Relationship Id="rId39" Type="http://schemas.openxmlformats.org/officeDocument/2006/relationships/hyperlink" Target="https://consumer.gov.au/about/ministers-network/intergovernmental-agreement" TargetMode="External"/><Relationship Id="rId21" Type="http://schemas.openxmlformats.org/officeDocument/2006/relationships/hyperlink" Target="https://cprc.org.au/report/let-me-out" TargetMode="External"/><Relationship Id="rId34" Type="http://schemas.openxmlformats.org/officeDocument/2006/relationships/hyperlink" Target="https://www.accc.gov.au/media-release/20m-penalty-for-meta-companies-for-conduct-liable-to-mislead-consumers-about-use-of-their-data" TargetMode="External"/><Relationship Id="rId42" Type="http://schemas.openxmlformats.org/officeDocument/2006/relationships/hyperlink" Target="https://oia.pmc.gov.au/sites/default/files/2024-02/regulatory-burden-measurement-framework.pdf" TargetMode="External"/><Relationship Id="rId47" Type="http://schemas.openxmlformats.org/officeDocument/2006/relationships/hyperlink" Target="https://www.gov.uk/government/publications/digital-markets-competition-and-consumers-bill-supporting-documentation" TargetMode="External"/><Relationship Id="rId50" Type="http://schemas.openxmlformats.org/officeDocument/2006/relationships/hyperlink" Target="https://www.gov.uk/government/publications/digital-markets-competition-and-consumers-bill-supporting-documentation" TargetMode="External"/><Relationship Id="rId55" Type="http://schemas.openxmlformats.org/officeDocument/2006/relationships/hyperlink" Target="https://www.gov.uk/government/publications/digital-markets-competition-and-consumers-bill-supporting-documentation" TargetMode="External"/><Relationship Id="rId7" Type="http://schemas.openxmlformats.org/officeDocument/2006/relationships/hyperlink" Target="https://www.oecd.org/en/publications/consumer-vulnerability-in-the-digital-age_4d013cc5-en.html" TargetMode="External"/><Relationship Id="rId2" Type="http://schemas.openxmlformats.org/officeDocument/2006/relationships/hyperlink" Target="https://treasury.gov.au/consultation/c2023-430458" TargetMode="External"/><Relationship Id="rId16" Type="http://schemas.openxmlformats.org/officeDocument/2006/relationships/hyperlink" Target="https://icpen.org/sites/default/files/2024-07/Public%20Report%20ICPEN%20Dark%20Patterns%20Sweep.pdf" TargetMode="External"/><Relationship Id="rId29" Type="http://schemas.openxmlformats.org/officeDocument/2006/relationships/hyperlink" Target="https://www.gov.uk/government/publications/estimating-the-prevalence-and-impact-of-drip-pricing" TargetMode="External"/><Relationship Id="rId11" Type="http://schemas.openxmlformats.org/officeDocument/2006/relationships/hyperlink" Target="https://cprc.org.au/report/made-to-manipulate-report" TargetMode="External"/><Relationship Id="rId24" Type="http://schemas.openxmlformats.org/officeDocument/2006/relationships/hyperlink" Target="https://www.citizensadvice.org.uk/about-us/media-centre/press-releases/consumers-spend-688-million-on-unused-subscriptions-in-the-last-year/" TargetMode="External"/><Relationship Id="rId32" Type="http://schemas.openxmlformats.org/officeDocument/2006/relationships/hyperlink" Target="https://www.oecd.org/en/publications/consumer-vulnerability-in-the-digital-age_4d013cc5-en.html" TargetMode="External"/><Relationship Id="rId37" Type="http://schemas.openxmlformats.org/officeDocument/2006/relationships/hyperlink" Target="https://www.gov.uk/government/publications/digital-markets-competition-and-consumers-bill-supporting-documentation" TargetMode="External"/><Relationship Id="rId40" Type="http://schemas.openxmlformats.org/officeDocument/2006/relationships/hyperlink" Target="https://cprc.org.au/report/let-me-out" TargetMode="External"/><Relationship Id="rId45" Type="http://schemas.openxmlformats.org/officeDocument/2006/relationships/hyperlink" Target="https://www.abs.gov.au/statistics/people/population/national-state-and-territory-population/sep-2024" TargetMode="External"/><Relationship Id="rId53" Type="http://schemas.openxmlformats.org/officeDocument/2006/relationships/hyperlink" Target="https://www.telsyte.com.au/announcements/ad-supported-streaming-surges-as-australians-seek-budget-friendly-entertainment" TargetMode="External"/><Relationship Id="rId58" Type="http://schemas.openxmlformats.org/officeDocument/2006/relationships/hyperlink" Target="https://www.govinfo.gov/content/pkg/FR-2023-11-09/pdf/2023-24234.pdf" TargetMode="External"/><Relationship Id="rId5" Type="http://schemas.openxmlformats.org/officeDocument/2006/relationships/hyperlink" Target="https://ministers.treasury.gov.au/ministers/stephen-jones-2022/media-releases/consultation-underway-ban-business-practices-ripping" TargetMode="External"/><Relationship Id="rId19" Type="http://schemas.openxmlformats.org/officeDocument/2006/relationships/hyperlink" Target="https://cprc.org.au/report/the-digital-checkout/" TargetMode="External"/><Relationship Id="rId4" Type="http://schemas.openxmlformats.org/officeDocument/2006/relationships/hyperlink" Target="https://ministers.treasury.gov.au/ministers/julie-collins-2024/media-releases/albanese-labor-government-extend-unfair-trading" TargetMode="External"/><Relationship Id="rId9" Type="http://schemas.openxmlformats.org/officeDocument/2006/relationships/hyperlink" Target="https://doi.org/10.1787/44f5e846-en" TargetMode="External"/><Relationship Id="rId14" Type="http://schemas.openxmlformats.org/officeDocument/2006/relationships/hyperlink" Target="https://www.deceptive.design/" TargetMode="External"/><Relationship Id="rId22" Type="http://schemas.openxmlformats.org/officeDocument/2006/relationships/hyperlink" Target="https://www.accc.gov.au/system/files/dpsi-consumer-survey-research-report-lonergan-research-feb2025.pdf?ref=0&amp;download=y" TargetMode="External"/><Relationship Id="rId27" Type="http://schemas.openxmlformats.org/officeDocument/2006/relationships/hyperlink" Target="https://assets.publishing.service.gov.uk/media/624c27c68fa8f527710aaf58/Online_choice_architecture_discussion_paper.pdf" TargetMode="External"/><Relationship Id="rId30" Type="http://schemas.openxmlformats.org/officeDocument/2006/relationships/hyperlink" Target="https://www.gov.uk/government/publications/digital-markets-competition-and-consumers-bill-supporting-documentation" TargetMode="External"/><Relationship Id="rId35" Type="http://schemas.openxmlformats.org/officeDocument/2006/relationships/hyperlink" Target="https://www.accc.gov.au/media-release/google-llc-to-pay-60-million-for-misleading-representations" TargetMode="External"/><Relationship Id="rId43" Type="http://schemas.openxmlformats.org/officeDocument/2006/relationships/hyperlink" Target="https://www.gov.uk/government/publications/digital-markets-competition-and-consumers-bill-supporting-documentation" TargetMode="External"/><Relationship Id="rId48" Type="http://schemas.openxmlformats.org/officeDocument/2006/relationships/hyperlink" Target="https://www.gov.uk/government/publications/digital-markets-competition-and-consumers-bill-supporting-documentation" TargetMode="External"/><Relationship Id="rId56" Type="http://schemas.openxmlformats.org/officeDocument/2006/relationships/hyperlink" Target="https://www.gov.uk/government/publications/digital-markets-competition-and-consumers-bill-supporting-documentation" TargetMode="External"/><Relationship Id="rId8" Type="http://schemas.openxmlformats.org/officeDocument/2006/relationships/hyperlink" Target="https://www.oecd.org/en/publications/consumer-vulnerability-in-the-digital-age_4d013cc5-en.html" TargetMode="External"/><Relationship Id="rId51" Type="http://schemas.openxmlformats.org/officeDocument/2006/relationships/hyperlink" Target="https://www.gov.uk/government/publications/digital-markets-competition-and-consumers-bill-supporting-documentation" TargetMode="External"/><Relationship Id="rId3" Type="http://schemas.openxmlformats.org/officeDocument/2006/relationships/hyperlink" Target="https://treasury.gov.au/consultation/c2024-602157" TargetMode="External"/><Relationship Id="rId12" Type="http://schemas.openxmlformats.org/officeDocument/2006/relationships/hyperlink" Target="https://www.ftc.gov/system/files/ftc_gov/pdf/P214800%20Dark%20Patterns%20Report%209.14.2022%20-%20FINAL.pdf" TargetMode="External"/><Relationship Id="rId17" Type="http://schemas.openxmlformats.org/officeDocument/2006/relationships/hyperlink" Target="https://op.europa.eu/en/publication-detail/-/publication/606365bc-d58b-11ec-a95f-01aa75ed71a1/language-en" TargetMode="External"/><Relationship Id="rId25" Type="http://schemas.openxmlformats.org/officeDocument/2006/relationships/hyperlink" Target="https://newsroom.ing.com.au/unused-subscriptions-and-forgotten-outgoings-could-cost-each-aussie-up-to-1261-a-year/" TargetMode="External"/><Relationship Id="rId33" Type="http://schemas.openxmlformats.org/officeDocument/2006/relationships/hyperlink" Target="https://eur-lex.europa.eu/legal-content/EN/TXT/?uri=CELEX%3A32005L0029" TargetMode="External"/><Relationship Id="rId38" Type="http://schemas.openxmlformats.org/officeDocument/2006/relationships/hyperlink" Target="https://www.federalregister.gov/documents/2025/01/10/2024-30293/trade-regulation-rule-on-unfair-or-deceptive-fees" TargetMode="External"/><Relationship Id="rId46" Type="http://schemas.openxmlformats.org/officeDocument/2006/relationships/hyperlink" Target="https://assets.publishing.service.gov.uk/media/60f672b98fa8f50c76838794/rccp-subscriptions-traps-ia.pdf" TargetMode="External"/><Relationship Id="rId20" Type="http://schemas.openxmlformats.org/officeDocument/2006/relationships/hyperlink" Target="https://www.accc.gov.au/system/files/digital-platform-services-inquiry-final-report-march2025.pdf" TargetMode="External"/><Relationship Id="rId41" Type="http://schemas.openxmlformats.org/officeDocument/2006/relationships/hyperlink" Target="https://www.accc.gov.au/business/selling-products-and-services/unfair-business-practices" TargetMode="External"/><Relationship Id="rId54" Type="http://schemas.openxmlformats.org/officeDocument/2006/relationships/hyperlink" Target="https://www.precedenceresearch.com/subscription-e-commerce-market" TargetMode="External"/><Relationship Id="rId1" Type="http://schemas.openxmlformats.org/officeDocument/2006/relationships/hyperlink" Target="https://consumer.gov.au/sites/consumer/files/2025-02/final-report-australian-consumer-law-review-2017.pdf" TargetMode="External"/><Relationship Id="rId6" Type="http://schemas.openxmlformats.org/officeDocument/2006/relationships/hyperlink" Target="https://cprc.org.au/report/the-digital-checkout/" TargetMode="External"/><Relationship Id="rId15" Type="http://schemas.openxmlformats.org/officeDocument/2006/relationships/hyperlink" Target="https://consumer.gov.au/updates-and-reports/australian-consumer-survey-2023" TargetMode="External"/><Relationship Id="rId23" Type="http://schemas.openxmlformats.org/officeDocument/2006/relationships/hyperlink" Target="https://www.gov.uk/government/news/7-out-of-10-people-have-experienced-potential-rip-offs-online-worrying-new-cma-research-reveals" TargetMode="External"/><Relationship Id="rId28" Type="http://schemas.openxmlformats.org/officeDocument/2006/relationships/hyperlink" Target="http://faculty.haas.berkeley.edu/stadelis/AIP.pdf?_gl=1*gbuusn*_gcl_au*MTMxODI1NTI2Ni4xNzUzMzI0NzE2*_ga*MzQyNjYzMDYyLjE3NTMzMjQ3MTY.*_ga_EW2RSBHHX6*czE3NTMzMjQ3MTYkbzEkZzAkdDE3NTMzMjQ3MTYkajYwJGwwJGgw" TargetMode="External"/><Relationship Id="rId36" Type="http://schemas.openxmlformats.org/officeDocument/2006/relationships/hyperlink" Target="https://commission.europa.eu/document/download/707d7404-78e5-4aef-acfa-82b4cf639f55_en?filename=Commission%20Staff%20Working%20Document%20Fitness%20Check%20on%20EU%20consumer%20law%20on%20digital%20fairness.pdf" TargetMode="External"/><Relationship Id="rId49" Type="http://schemas.openxmlformats.org/officeDocument/2006/relationships/hyperlink" Target="https://www.statista.com/statistics/501927/mobile-cellular-subscriptions-per-100-inhabitants-in-australia/" TargetMode="External"/><Relationship Id="rId57" Type="http://schemas.openxmlformats.org/officeDocument/2006/relationships/hyperlink" Target="https://dataexplorer.abs.gov.au/vis?tm=e-commerce&amp;pg=0&amp;snb=123&amp;df%5bds%5d=INDUSTRY_TOPICS&amp;df%5bid%5d=BCS_BUSINT&amp;df%5bag%5d=ABS&amp;df%5bvs%5d=1.0.0&amp;dq=P_D_REOR_ANY%2BH6.PB4%2BPB3%2BPB2%2BPB1%2B9999.TOTAL.TOTAL.9999..A&amp;pd=2022%2C2022&amp;to%5bTIME_PERIOD%5d=false&amp;ly%5bcl%5d=IT_EMP_SIZE&amp;ly%5brw%5d=MEASURE" TargetMode="External"/><Relationship Id="rId10" Type="http://schemas.openxmlformats.org/officeDocument/2006/relationships/hyperlink" Target="https://cprc.org.au/report/duped-by-design-manipulative-online-design-dark-patterns-in-australia/" TargetMode="External"/><Relationship Id="rId31" Type="http://schemas.openxmlformats.org/officeDocument/2006/relationships/hyperlink" Target="https://ministers.treasury.gov.au/ministers/stephen-jones-2022/media-releases/consumer-affairs-ministers-renew-commitment-protecting" TargetMode="External"/><Relationship Id="rId44" Type="http://schemas.openxmlformats.org/officeDocument/2006/relationships/hyperlink" Target="https://www.govinfo.gov/content/pkg/FR-2024-11-15/pdf/2024-25534.pdf" TargetMode="External"/><Relationship Id="rId52" Type="http://schemas.openxmlformats.org/officeDocument/2006/relationships/hyperlink" Target="https://newsroom.ing.com.au/unused-subscriptions-and-forgotten-outgoings-could-cost-each-aussie-up-to-1261-a-ye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25000</Words>
  <Characters>142503</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Decision Regulation Impact Statement – Protecting consumers from unfair trading practices</vt:lpstr>
    </vt:vector>
  </TitlesOfParts>
  <Company/>
  <LinksUpToDate>false</LinksUpToDate>
  <CharactersWithSpaces>167169</CharactersWithSpaces>
  <SharedDoc>false</SharedDoc>
  <HLinks>
    <vt:vector size="660" baseType="variant">
      <vt:variant>
        <vt:i4>1310771</vt:i4>
      </vt:variant>
      <vt:variant>
        <vt:i4>293</vt:i4>
      </vt:variant>
      <vt:variant>
        <vt:i4>0</vt:i4>
      </vt:variant>
      <vt:variant>
        <vt:i4>5</vt:i4>
      </vt:variant>
      <vt:variant>
        <vt:lpwstr/>
      </vt:variant>
      <vt:variant>
        <vt:lpwstr>_Toc206422550</vt:lpwstr>
      </vt:variant>
      <vt:variant>
        <vt:i4>1376307</vt:i4>
      </vt:variant>
      <vt:variant>
        <vt:i4>287</vt:i4>
      </vt:variant>
      <vt:variant>
        <vt:i4>0</vt:i4>
      </vt:variant>
      <vt:variant>
        <vt:i4>5</vt:i4>
      </vt:variant>
      <vt:variant>
        <vt:lpwstr/>
      </vt:variant>
      <vt:variant>
        <vt:lpwstr>_Toc206422549</vt:lpwstr>
      </vt:variant>
      <vt:variant>
        <vt:i4>1376307</vt:i4>
      </vt:variant>
      <vt:variant>
        <vt:i4>281</vt:i4>
      </vt:variant>
      <vt:variant>
        <vt:i4>0</vt:i4>
      </vt:variant>
      <vt:variant>
        <vt:i4>5</vt:i4>
      </vt:variant>
      <vt:variant>
        <vt:lpwstr/>
      </vt:variant>
      <vt:variant>
        <vt:lpwstr>_Toc206422548</vt:lpwstr>
      </vt:variant>
      <vt:variant>
        <vt:i4>1376307</vt:i4>
      </vt:variant>
      <vt:variant>
        <vt:i4>275</vt:i4>
      </vt:variant>
      <vt:variant>
        <vt:i4>0</vt:i4>
      </vt:variant>
      <vt:variant>
        <vt:i4>5</vt:i4>
      </vt:variant>
      <vt:variant>
        <vt:lpwstr/>
      </vt:variant>
      <vt:variant>
        <vt:lpwstr>_Toc206422547</vt:lpwstr>
      </vt:variant>
      <vt:variant>
        <vt:i4>1376307</vt:i4>
      </vt:variant>
      <vt:variant>
        <vt:i4>269</vt:i4>
      </vt:variant>
      <vt:variant>
        <vt:i4>0</vt:i4>
      </vt:variant>
      <vt:variant>
        <vt:i4>5</vt:i4>
      </vt:variant>
      <vt:variant>
        <vt:lpwstr/>
      </vt:variant>
      <vt:variant>
        <vt:lpwstr>_Toc206422546</vt:lpwstr>
      </vt:variant>
      <vt:variant>
        <vt:i4>1376307</vt:i4>
      </vt:variant>
      <vt:variant>
        <vt:i4>263</vt:i4>
      </vt:variant>
      <vt:variant>
        <vt:i4>0</vt:i4>
      </vt:variant>
      <vt:variant>
        <vt:i4>5</vt:i4>
      </vt:variant>
      <vt:variant>
        <vt:lpwstr/>
      </vt:variant>
      <vt:variant>
        <vt:lpwstr>_Toc206422545</vt:lpwstr>
      </vt:variant>
      <vt:variant>
        <vt:i4>1376307</vt:i4>
      </vt:variant>
      <vt:variant>
        <vt:i4>257</vt:i4>
      </vt:variant>
      <vt:variant>
        <vt:i4>0</vt:i4>
      </vt:variant>
      <vt:variant>
        <vt:i4>5</vt:i4>
      </vt:variant>
      <vt:variant>
        <vt:lpwstr/>
      </vt:variant>
      <vt:variant>
        <vt:lpwstr>_Toc206422544</vt:lpwstr>
      </vt:variant>
      <vt:variant>
        <vt:i4>1376307</vt:i4>
      </vt:variant>
      <vt:variant>
        <vt:i4>251</vt:i4>
      </vt:variant>
      <vt:variant>
        <vt:i4>0</vt:i4>
      </vt:variant>
      <vt:variant>
        <vt:i4>5</vt:i4>
      </vt:variant>
      <vt:variant>
        <vt:lpwstr/>
      </vt:variant>
      <vt:variant>
        <vt:lpwstr>_Toc206422543</vt:lpwstr>
      </vt:variant>
      <vt:variant>
        <vt:i4>1376307</vt:i4>
      </vt:variant>
      <vt:variant>
        <vt:i4>245</vt:i4>
      </vt:variant>
      <vt:variant>
        <vt:i4>0</vt:i4>
      </vt:variant>
      <vt:variant>
        <vt:i4>5</vt:i4>
      </vt:variant>
      <vt:variant>
        <vt:lpwstr/>
      </vt:variant>
      <vt:variant>
        <vt:lpwstr>_Toc206422542</vt:lpwstr>
      </vt:variant>
      <vt:variant>
        <vt:i4>1376307</vt:i4>
      </vt:variant>
      <vt:variant>
        <vt:i4>239</vt:i4>
      </vt:variant>
      <vt:variant>
        <vt:i4>0</vt:i4>
      </vt:variant>
      <vt:variant>
        <vt:i4>5</vt:i4>
      </vt:variant>
      <vt:variant>
        <vt:lpwstr/>
      </vt:variant>
      <vt:variant>
        <vt:lpwstr>_Toc206422541</vt:lpwstr>
      </vt:variant>
      <vt:variant>
        <vt:i4>1376307</vt:i4>
      </vt:variant>
      <vt:variant>
        <vt:i4>233</vt:i4>
      </vt:variant>
      <vt:variant>
        <vt:i4>0</vt:i4>
      </vt:variant>
      <vt:variant>
        <vt:i4>5</vt:i4>
      </vt:variant>
      <vt:variant>
        <vt:lpwstr/>
      </vt:variant>
      <vt:variant>
        <vt:lpwstr>_Toc206422540</vt:lpwstr>
      </vt:variant>
      <vt:variant>
        <vt:i4>1179699</vt:i4>
      </vt:variant>
      <vt:variant>
        <vt:i4>227</vt:i4>
      </vt:variant>
      <vt:variant>
        <vt:i4>0</vt:i4>
      </vt:variant>
      <vt:variant>
        <vt:i4>5</vt:i4>
      </vt:variant>
      <vt:variant>
        <vt:lpwstr/>
      </vt:variant>
      <vt:variant>
        <vt:lpwstr>_Toc206422539</vt:lpwstr>
      </vt:variant>
      <vt:variant>
        <vt:i4>1179699</vt:i4>
      </vt:variant>
      <vt:variant>
        <vt:i4>221</vt:i4>
      </vt:variant>
      <vt:variant>
        <vt:i4>0</vt:i4>
      </vt:variant>
      <vt:variant>
        <vt:i4>5</vt:i4>
      </vt:variant>
      <vt:variant>
        <vt:lpwstr/>
      </vt:variant>
      <vt:variant>
        <vt:lpwstr>_Toc206422538</vt:lpwstr>
      </vt:variant>
      <vt:variant>
        <vt:i4>1179699</vt:i4>
      </vt:variant>
      <vt:variant>
        <vt:i4>215</vt:i4>
      </vt:variant>
      <vt:variant>
        <vt:i4>0</vt:i4>
      </vt:variant>
      <vt:variant>
        <vt:i4>5</vt:i4>
      </vt:variant>
      <vt:variant>
        <vt:lpwstr/>
      </vt:variant>
      <vt:variant>
        <vt:lpwstr>_Toc206422537</vt:lpwstr>
      </vt:variant>
      <vt:variant>
        <vt:i4>1179699</vt:i4>
      </vt:variant>
      <vt:variant>
        <vt:i4>209</vt:i4>
      </vt:variant>
      <vt:variant>
        <vt:i4>0</vt:i4>
      </vt:variant>
      <vt:variant>
        <vt:i4>5</vt:i4>
      </vt:variant>
      <vt:variant>
        <vt:lpwstr/>
      </vt:variant>
      <vt:variant>
        <vt:lpwstr>_Toc206422536</vt:lpwstr>
      </vt:variant>
      <vt:variant>
        <vt:i4>1179699</vt:i4>
      </vt:variant>
      <vt:variant>
        <vt:i4>203</vt:i4>
      </vt:variant>
      <vt:variant>
        <vt:i4>0</vt:i4>
      </vt:variant>
      <vt:variant>
        <vt:i4>5</vt:i4>
      </vt:variant>
      <vt:variant>
        <vt:lpwstr/>
      </vt:variant>
      <vt:variant>
        <vt:lpwstr>_Toc206422535</vt:lpwstr>
      </vt:variant>
      <vt:variant>
        <vt:i4>1179699</vt:i4>
      </vt:variant>
      <vt:variant>
        <vt:i4>197</vt:i4>
      </vt:variant>
      <vt:variant>
        <vt:i4>0</vt:i4>
      </vt:variant>
      <vt:variant>
        <vt:i4>5</vt:i4>
      </vt:variant>
      <vt:variant>
        <vt:lpwstr/>
      </vt:variant>
      <vt:variant>
        <vt:lpwstr>_Toc206422534</vt:lpwstr>
      </vt:variant>
      <vt:variant>
        <vt:i4>1179699</vt:i4>
      </vt:variant>
      <vt:variant>
        <vt:i4>191</vt:i4>
      </vt:variant>
      <vt:variant>
        <vt:i4>0</vt:i4>
      </vt:variant>
      <vt:variant>
        <vt:i4>5</vt:i4>
      </vt:variant>
      <vt:variant>
        <vt:lpwstr/>
      </vt:variant>
      <vt:variant>
        <vt:lpwstr>_Toc206422533</vt:lpwstr>
      </vt:variant>
      <vt:variant>
        <vt:i4>1179699</vt:i4>
      </vt:variant>
      <vt:variant>
        <vt:i4>185</vt:i4>
      </vt:variant>
      <vt:variant>
        <vt:i4>0</vt:i4>
      </vt:variant>
      <vt:variant>
        <vt:i4>5</vt:i4>
      </vt:variant>
      <vt:variant>
        <vt:lpwstr/>
      </vt:variant>
      <vt:variant>
        <vt:lpwstr>_Toc206422532</vt:lpwstr>
      </vt:variant>
      <vt:variant>
        <vt:i4>1179699</vt:i4>
      </vt:variant>
      <vt:variant>
        <vt:i4>179</vt:i4>
      </vt:variant>
      <vt:variant>
        <vt:i4>0</vt:i4>
      </vt:variant>
      <vt:variant>
        <vt:i4>5</vt:i4>
      </vt:variant>
      <vt:variant>
        <vt:lpwstr/>
      </vt:variant>
      <vt:variant>
        <vt:lpwstr>_Toc206422531</vt:lpwstr>
      </vt:variant>
      <vt:variant>
        <vt:i4>1179699</vt:i4>
      </vt:variant>
      <vt:variant>
        <vt:i4>173</vt:i4>
      </vt:variant>
      <vt:variant>
        <vt:i4>0</vt:i4>
      </vt:variant>
      <vt:variant>
        <vt:i4>5</vt:i4>
      </vt:variant>
      <vt:variant>
        <vt:lpwstr/>
      </vt:variant>
      <vt:variant>
        <vt:lpwstr>_Toc206422530</vt:lpwstr>
      </vt:variant>
      <vt:variant>
        <vt:i4>1245235</vt:i4>
      </vt:variant>
      <vt:variant>
        <vt:i4>167</vt:i4>
      </vt:variant>
      <vt:variant>
        <vt:i4>0</vt:i4>
      </vt:variant>
      <vt:variant>
        <vt:i4>5</vt:i4>
      </vt:variant>
      <vt:variant>
        <vt:lpwstr/>
      </vt:variant>
      <vt:variant>
        <vt:lpwstr>_Toc206422529</vt:lpwstr>
      </vt:variant>
      <vt:variant>
        <vt:i4>1245235</vt:i4>
      </vt:variant>
      <vt:variant>
        <vt:i4>161</vt:i4>
      </vt:variant>
      <vt:variant>
        <vt:i4>0</vt:i4>
      </vt:variant>
      <vt:variant>
        <vt:i4>5</vt:i4>
      </vt:variant>
      <vt:variant>
        <vt:lpwstr/>
      </vt:variant>
      <vt:variant>
        <vt:lpwstr>_Toc206422528</vt:lpwstr>
      </vt:variant>
      <vt:variant>
        <vt:i4>1245235</vt:i4>
      </vt:variant>
      <vt:variant>
        <vt:i4>155</vt:i4>
      </vt:variant>
      <vt:variant>
        <vt:i4>0</vt:i4>
      </vt:variant>
      <vt:variant>
        <vt:i4>5</vt:i4>
      </vt:variant>
      <vt:variant>
        <vt:lpwstr/>
      </vt:variant>
      <vt:variant>
        <vt:lpwstr>_Toc206422527</vt:lpwstr>
      </vt:variant>
      <vt:variant>
        <vt:i4>1245235</vt:i4>
      </vt:variant>
      <vt:variant>
        <vt:i4>149</vt:i4>
      </vt:variant>
      <vt:variant>
        <vt:i4>0</vt:i4>
      </vt:variant>
      <vt:variant>
        <vt:i4>5</vt:i4>
      </vt:variant>
      <vt:variant>
        <vt:lpwstr/>
      </vt:variant>
      <vt:variant>
        <vt:lpwstr>_Toc206422526</vt:lpwstr>
      </vt:variant>
      <vt:variant>
        <vt:i4>1245235</vt:i4>
      </vt:variant>
      <vt:variant>
        <vt:i4>143</vt:i4>
      </vt:variant>
      <vt:variant>
        <vt:i4>0</vt:i4>
      </vt:variant>
      <vt:variant>
        <vt:i4>5</vt:i4>
      </vt:variant>
      <vt:variant>
        <vt:lpwstr/>
      </vt:variant>
      <vt:variant>
        <vt:lpwstr>_Toc206422525</vt:lpwstr>
      </vt:variant>
      <vt:variant>
        <vt:i4>1245235</vt:i4>
      </vt:variant>
      <vt:variant>
        <vt:i4>137</vt:i4>
      </vt:variant>
      <vt:variant>
        <vt:i4>0</vt:i4>
      </vt:variant>
      <vt:variant>
        <vt:i4>5</vt:i4>
      </vt:variant>
      <vt:variant>
        <vt:lpwstr/>
      </vt:variant>
      <vt:variant>
        <vt:lpwstr>_Toc206422524</vt:lpwstr>
      </vt:variant>
      <vt:variant>
        <vt:i4>1245235</vt:i4>
      </vt:variant>
      <vt:variant>
        <vt:i4>131</vt:i4>
      </vt:variant>
      <vt:variant>
        <vt:i4>0</vt:i4>
      </vt:variant>
      <vt:variant>
        <vt:i4>5</vt:i4>
      </vt:variant>
      <vt:variant>
        <vt:lpwstr/>
      </vt:variant>
      <vt:variant>
        <vt:lpwstr>_Toc206422523</vt:lpwstr>
      </vt:variant>
      <vt:variant>
        <vt:i4>1245235</vt:i4>
      </vt:variant>
      <vt:variant>
        <vt:i4>125</vt:i4>
      </vt:variant>
      <vt:variant>
        <vt:i4>0</vt:i4>
      </vt:variant>
      <vt:variant>
        <vt:i4>5</vt:i4>
      </vt:variant>
      <vt:variant>
        <vt:lpwstr/>
      </vt:variant>
      <vt:variant>
        <vt:lpwstr>_Toc206422522</vt:lpwstr>
      </vt:variant>
      <vt:variant>
        <vt:i4>1245235</vt:i4>
      </vt:variant>
      <vt:variant>
        <vt:i4>119</vt:i4>
      </vt:variant>
      <vt:variant>
        <vt:i4>0</vt:i4>
      </vt:variant>
      <vt:variant>
        <vt:i4>5</vt:i4>
      </vt:variant>
      <vt:variant>
        <vt:lpwstr/>
      </vt:variant>
      <vt:variant>
        <vt:lpwstr>_Toc206422521</vt:lpwstr>
      </vt:variant>
      <vt:variant>
        <vt:i4>1245235</vt:i4>
      </vt:variant>
      <vt:variant>
        <vt:i4>113</vt:i4>
      </vt:variant>
      <vt:variant>
        <vt:i4>0</vt:i4>
      </vt:variant>
      <vt:variant>
        <vt:i4>5</vt:i4>
      </vt:variant>
      <vt:variant>
        <vt:lpwstr/>
      </vt:variant>
      <vt:variant>
        <vt:lpwstr>_Toc206422520</vt:lpwstr>
      </vt:variant>
      <vt:variant>
        <vt:i4>1048627</vt:i4>
      </vt:variant>
      <vt:variant>
        <vt:i4>107</vt:i4>
      </vt:variant>
      <vt:variant>
        <vt:i4>0</vt:i4>
      </vt:variant>
      <vt:variant>
        <vt:i4>5</vt:i4>
      </vt:variant>
      <vt:variant>
        <vt:lpwstr/>
      </vt:variant>
      <vt:variant>
        <vt:lpwstr>_Toc206422519</vt:lpwstr>
      </vt:variant>
      <vt:variant>
        <vt:i4>1048627</vt:i4>
      </vt:variant>
      <vt:variant>
        <vt:i4>101</vt:i4>
      </vt:variant>
      <vt:variant>
        <vt:i4>0</vt:i4>
      </vt:variant>
      <vt:variant>
        <vt:i4>5</vt:i4>
      </vt:variant>
      <vt:variant>
        <vt:lpwstr/>
      </vt:variant>
      <vt:variant>
        <vt:lpwstr>_Toc206422518</vt:lpwstr>
      </vt:variant>
      <vt:variant>
        <vt:i4>1048627</vt:i4>
      </vt:variant>
      <vt:variant>
        <vt:i4>95</vt:i4>
      </vt:variant>
      <vt:variant>
        <vt:i4>0</vt:i4>
      </vt:variant>
      <vt:variant>
        <vt:i4>5</vt:i4>
      </vt:variant>
      <vt:variant>
        <vt:lpwstr/>
      </vt:variant>
      <vt:variant>
        <vt:lpwstr>_Toc206422517</vt:lpwstr>
      </vt:variant>
      <vt:variant>
        <vt:i4>1048627</vt:i4>
      </vt:variant>
      <vt:variant>
        <vt:i4>89</vt:i4>
      </vt:variant>
      <vt:variant>
        <vt:i4>0</vt:i4>
      </vt:variant>
      <vt:variant>
        <vt:i4>5</vt:i4>
      </vt:variant>
      <vt:variant>
        <vt:lpwstr/>
      </vt:variant>
      <vt:variant>
        <vt:lpwstr>_Toc206422516</vt:lpwstr>
      </vt:variant>
      <vt:variant>
        <vt:i4>1048627</vt:i4>
      </vt:variant>
      <vt:variant>
        <vt:i4>83</vt:i4>
      </vt:variant>
      <vt:variant>
        <vt:i4>0</vt:i4>
      </vt:variant>
      <vt:variant>
        <vt:i4>5</vt:i4>
      </vt:variant>
      <vt:variant>
        <vt:lpwstr/>
      </vt:variant>
      <vt:variant>
        <vt:lpwstr>_Toc206422515</vt:lpwstr>
      </vt:variant>
      <vt:variant>
        <vt:i4>1048627</vt:i4>
      </vt:variant>
      <vt:variant>
        <vt:i4>77</vt:i4>
      </vt:variant>
      <vt:variant>
        <vt:i4>0</vt:i4>
      </vt:variant>
      <vt:variant>
        <vt:i4>5</vt:i4>
      </vt:variant>
      <vt:variant>
        <vt:lpwstr/>
      </vt:variant>
      <vt:variant>
        <vt:lpwstr>_Toc206422514</vt:lpwstr>
      </vt:variant>
      <vt:variant>
        <vt:i4>1048627</vt:i4>
      </vt:variant>
      <vt:variant>
        <vt:i4>71</vt:i4>
      </vt:variant>
      <vt:variant>
        <vt:i4>0</vt:i4>
      </vt:variant>
      <vt:variant>
        <vt:i4>5</vt:i4>
      </vt:variant>
      <vt:variant>
        <vt:lpwstr/>
      </vt:variant>
      <vt:variant>
        <vt:lpwstr>_Toc206422513</vt:lpwstr>
      </vt:variant>
      <vt:variant>
        <vt:i4>1048627</vt:i4>
      </vt:variant>
      <vt:variant>
        <vt:i4>65</vt:i4>
      </vt:variant>
      <vt:variant>
        <vt:i4>0</vt:i4>
      </vt:variant>
      <vt:variant>
        <vt:i4>5</vt:i4>
      </vt:variant>
      <vt:variant>
        <vt:lpwstr/>
      </vt:variant>
      <vt:variant>
        <vt:lpwstr>_Toc206422512</vt:lpwstr>
      </vt:variant>
      <vt:variant>
        <vt:i4>1048627</vt:i4>
      </vt:variant>
      <vt:variant>
        <vt:i4>59</vt:i4>
      </vt:variant>
      <vt:variant>
        <vt:i4>0</vt:i4>
      </vt:variant>
      <vt:variant>
        <vt:i4>5</vt:i4>
      </vt:variant>
      <vt:variant>
        <vt:lpwstr/>
      </vt:variant>
      <vt:variant>
        <vt:lpwstr>_Toc206422511</vt:lpwstr>
      </vt:variant>
      <vt:variant>
        <vt:i4>1048627</vt:i4>
      </vt:variant>
      <vt:variant>
        <vt:i4>53</vt:i4>
      </vt:variant>
      <vt:variant>
        <vt:i4>0</vt:i4>
      </vt:variant>
      <vt:variant>
        <vt:i4>5</vt:i4>
      </vt:variant>
      <vt:variant>
        <vt:lpwstr/>
      </vt:variant>
      <vt:variant>
        <vt:lpwstr>_Toc206422510</vt:lpwstr>
      </vt:variant>
      <vt:variant>
        <vt:i4>1114163</vt:i4>
      </vt:variant>
      <vt:variant>
        <vt:i4>47</vt:i4>
      </vt:variant>
      <vt:variant>
        <vt:i4>0</vt:i4>
      </vt:variant>
      <vt:variant>
        <vt:i4>5</vt:i4>
      </vt:variant>
      <vt:variant>
        <vt:lpwstr/>
      </vt:variant>
      <vt:variant>
        <vt:lpwstr>_Toc206422509</vt:lpwstr>
      </vt:variant>
      <vt:variant>
        <vt:i4>1114163</vt:i4>
      </vt:variant>
      <vt:variant>
        <vt:i4>41</vt:i4>
      </vt:variant>
      <vt:variant>
        <vt:i4>0</vt:i4>
      </vt:variant>
      <vt:variant>
        <vt:i4>5</vt:i4>
      </vt:variant>
      <vt:variant>
        <vt:lpwstr/>
      </vt:variant>
      <vt:variant>
        <vt:lpwstr>_Toc206422508</vt:lpwstr>
      </vt:variant>
      <vt:variant>
        <vt:i4>1114163</vt:i4>
      </vt:variant>
      <vt:variant>
        <vt:i4>35</vt:i4>
      </vt:variant>
      <vt:variant>
        <vt:i4>0</vt:i4>
      </vt:variant>
      <vt:variant>
        <vt:i4>5</vt:i4>
      </vt:variant>
      <vt:variant>
        <vt:lpwstr/>
      </vt:variant>
      <vt:variant>
        <vt:lpwstr>_Toc206422507</vt:lpwstr>
      </vt:variant>
      <vt:variant>
        <vt:i4>1114163</vt:i4>
      </vt:variant>
      <vt:variant>
        <vt:i4>29</vt:i4>
      </vt:variant>
      <vt:variant>
        <vt:i4>0</vt:i4>
      </vt:variant>
      <vt:variant>
        <vt:i4>5</vt:i4>
      </vt:variant>
      <vt:variant>
        <vt:lpwstr/>
      </vt:variant>
      <vt:variant>
        <vt:lpwstr>_Toc206422506</vt:lpwstr>
      </vt:variant>
      <vt:variant>
        <vt:i4>1114163</vt:i4>
      </vt:variant>
      <vt:variant>
        <vt:i4>23</vt:i4>
      </vt:variant>
      <vt:variant>
        <vt:i4>0</vt:i4>
      </vt:variant>
      <vt:variant>
        <vt:i4>5</vt:i4>
      </vt:variant>
      <vt:variant>
        <vt:lpwstr/>
      </vt:variant>
      <vt:variant>
        <vt:lpwstr>_Toc206422505</vt:lpwstr>
      </vt:variant>
      <vt:variant>
        <vt:i4>1114163</vt:i4>
      </vt:variant>
      <vt:variant>
        <vt:i4>17</vt:i4>
      </vt:variant>
      <vt:variant>
        <vt:i4>0</vt:i4>
      </vt:variant>
      <vt:variant>
        <vt:i4>5</vt:i4>
      </vt:variant>
      <vt:variant>
        <vt:lpwstr/>
      </vt:variant>
      <vt:variant>
        <vt:lpwstr>_Toc206422504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4390993</vt:i4>
      </vt:variant>
      <vt:variant>
        <vt:i4>171</vt:i4>
      </vt:variant>
      <vt:variant>
        <vt:i4>0</vt:i4>
      </vt:variant>
      <vt:variant>
        <vt:i4>5</vt:i4>
      </vt:variant>
      <vt:variant>
        <vt:lpwstr>https://www.govinfo.gov/content/pkg/FR-2023-11-09/pdf/2023-24234.pdf</vt:lpwstr>
      </vt:variant>
      <vt:variant>
        <vt:lpwstr/>
      </vt:variant>
      <vt:variant>
        <vt:i4>1638415</vt:i4>
      </vt:variant>
      <vt:variant>
        <vt:i4>168</vt:i4>
      </vt:variant>
      <vt:variant>
        <vt:i4>0</vt:i4>
      </vt:variant>
      <vt:variant>
        <vt:i4>5</vt:i4>
      </vt:variant>
      <vt:variant>
        <vt:lpwstr>https://dataexplorer.abs.gov.au/vis?tm=e-commerce&amp;pg=0&amp;snb=123&amp;df%5bds%5d=INDUSTRY_TOPICS&amp;df%5bid%5d=BCS_BUSINT&amp;df%5bag%5d=ABS&amp;df%5bvs%5d=1.0.0&amp;dq=P_D_REOR_ANY%2BH6.PB4%2BPB3%2BPB2%2BPB1%2B9999.TOTAL.TOTAL.9999..A&amp;pd=2022%2C2022&amp;to%5bTIME_PERIOD%5d=false&amp;ly%5bcl%5d=IT_EMP_SIZE&amp;ly%5brw%5d=MEASURE</vt:lpwstr>
      </vt:variant>
      <vt:variant>
        <vt:lpwstr/>
      </vt:variant>
      <vt:variant>
        <vt:i4>8060973</vt:i4>
      </vt:variant>
      <vt:variant>
        <vt:i4>165</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162</vt:i4>
      </vt:variant>
      <vt:variant>
        <vt:i4>0</vt:i4>
      </vt:variant>
      <vt:variant>
        <vt:i4>5</vt:i4>
      </vt:variant>
      <vt:variant>
        <vt:lpwstr>https://www.gov.uk/government/publications/digital-markets-competition-and-consumers-bill-supporting-documentation</vt:lpwstr>
      </vt:variant>
      <vt:variant>
        <vt:lpwstr/>
      </vt:variant>
      <vt:variant>
        <vt:i4>5046290</vt:i4>
      </vt:variant>
      <vt:variant>
        <vt:i4>159</vt:i4>
      </vt:variant>
      <vt:variant>
        <vt:i4>0</vt:i4>
      </vt:variant>
      <vt:variant>
        <vt:i4>5</vt:i4>
      </vt:variant>
      <vt:variant>
        <vt:lpwstr>https://www.precedenceresearch.com/subscription-e-commerce-market</vt:lpwstr>
      </vt:variant>
      <vt:variant>
        <vt:lpwstr/>
      </vt:variant>
      <vt:variant>
        <vt:i4>4325470</vt:i4>
      </vt:variant>
      <vt:variant>
        <vt:i4>156</vt:i4>
      </vt:variant>
      <vt:variant>
        <vt:i4>0</vt:i4>
      </vt:variant>
      <vt:variant>
        <vt:i4>5</vt:i4>
      </vt:variant>
      <vt:variant>
        <vt:lpwstr>https://www.telsyte.com.au/announcements/ad-supported-streaming-surges-as-australians-seek-budget-friendly-entertainment</vt:lpwstr>
      </vt:variant>
      <vt:variant>
        <vt:lpwstr>:~:text=Ad%2Dsupported%20subscriptions%20now%20account,are%20increasingly%20tightening%20their%20wallets.</vt:lpwstr>
      </vt:variant>
      <vt:variant>
        <vt:i4>2097252</vt:i4>
      </vt:variant>
      <vt:variant>
        <vt:i4>153</vt:i4>
      </vt:variant>
      <vt:variant>
        <vt:i4>0</vt:i4>
      </vt:variant>
      <vt:variant>
        <vt:i4>5</vt:i4>
      </vt:variant>
      <vt:variant>
        <vt:lpwstr>https://newsroom.ing.com.au/unused-subscriptions-and-forgotten-outgoings-could-cost-each-aussie-up-to-1261-a-year/</vt:lpwstr>
      </vt:variant>
      <vt:variant>
        <vt:lpwstr/>
      </vt:variant>
      <vt:variant>
        <vt:i4>8060973</vt:i4>
      </vt:variant>
      <vt:variant>
        <vt:i4>150</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147</vt:i4>
      </vt:variant>
      <vt:variant>
        <vt:i4>0</vt:i4>
      </vt:variant>
      <vt:variant>
        <vt:i4>5</vt:i4>
      </vt:variant>
      <vt:variant>
        <vt:lpwstr>https://www.gov.uk/government/publications/digital-markets-competition-and-consumers-bill-supporting-documentation</vt:lpwstr>
      </vt:variant>
      <vt:variant>
        <vt:lpwstr/>
      </vt:variant>
      <vt:variant>
        <vt:i4>3670125</vt:i4>
      </vt:variant>
      <vt:variant>
        <vt:i4>144</vt:i4>
      </vt:variant>
      <vt:variant>
        <vt:i4>0</vt:i4>
      </vt:variant>
      <vt:variant>
        <vt:i4>5</vt:i4>
      </vt:variant>
      <vt:variant>
        <vt:lpwstr>https://www.statista.com/statistics/501927/mobile-cellular-subscriptions-per-100-inhabitants-in-australia/</vt:lpwstr>
      </vt:variant>
      <vt:variant>
        <vt:lpwstr>:~:text=The%20number%20of%20mobile%20cellular,in%20the%20country%20in%202023.</vt:lpwstr>
      </vt:variant>
      <vt:variant>
        <vt:i4>8060973</vt:i4>
      </vt:variant>
      <vt:variant>
        <vt:i4>141</vt:i4>
      </vt:variant>
      <vt:variant>
        <vt:i4>0</vt:i4>
      </vt:variant>
      <vt:variant>
        <vt:i4>5</vt:i4>
      </vt:variant>
      <vt:variant>
        <vt:lpwstr>https://www.gov.uk/government/publications/digital-markets-competition-and-consumers-bill-supporting-documentation</vt:lpwstr>
      </vt:variant>
      <vt:variant>
        <vt:lpwstr/>
      </vt:variant>
      <vt:variant>
        <vt:i4>8060973</vt:i4>
      </vt:variant>
      <vt:variant>
        <vt:i4>138</vt:i4>
      </vt:variant>
      <vt:variant>
        <vt:i4>0</vt:i4>
      </vt:variant>
      <vt:variant>
        <vt:i4>5</vt:i4>
      </vt:variant>
      <vt:variant>
        <vt:lpwstr>https://www.gov.uk/government/publications/digital-markets-competition-and-consumers-bill-supporting-documentation</vt:lpwstr>
      </vt:variant>
      <vt:variant>
        <vt:lpwstr/>
      </vt:variant>
      <vt:variant>
        <vt:i4>3473446</vt:i4>
      </vt:variant>
      <vt:variant>
        <vt:i4>135</vt:i4>
      </vt:variant>
      <vt:variant>
        <vt:i4>0</vt:i4>
      </vt:variant>
      <vt:variant>
        <vt:i4>5</vt:i4>
      </vt:variant>
      <vt:variant>
        <vt:lpwstr>https://assets.publishing.service.gov.uk/media/60f672b98fa8f50c76838794/rccp-subscriptions-traps-ia.pdf</vt:lpwstr>
      </vt:variant>
      <vt:variant>
        <vt:lpwstr/>
      </vt:variant>
      <vt:variant>
        <vt:i4>2293863</vt:i4>
      </vt:variant>
      <vt:variant>
        <vt:i4>132</vt:i4>
      </vt:variant>
      <vt:variant>
        <vt:i4>0</vt:i4>
      </vt:variant>
      <vt:variant>
        <vt:i4>5</vt:i4>
      </vt:variant>
      <vt:variant>
        <vt:lpwstr>https://www.abs.gov.au/statistics/people/population/national-state-and-territory-population/sep-2024</vt:lpwstr>
      </vt:variant>
      <vt:variant>
        <vt:lpwstr>data-downloads</vt:lpwstr>
      </vt:variant>
      <vt:variant>
        <vt:i4>4325467</vt:i4>
      </vt:variant>
      <vt:variant>
        <vt:i4>129</vt:i4>
      </vt:variant>
      <vt:variant>
        <vt:i4>0</vt:i4>
      </vt:variant>
      <vt:variant>
        <vt:i4>5</vt:i4>
      </vt:variant>
      <vt:variant>
        <vt:lpwstr>https://www.govinfo.gov/content/pkg/FR-2024-11-15/pdf/2024-25534.pdf</vt:lpwstr>
      </vt:variant>
      <vt:variant>
        <vt:lpwstr/>
      </vt:variant>
      <vt:variant>
        <vt:i4>8060973</vt:i4>
      </vt:variant>
      <vt:variant>
        <vt:i4>126</vt:i4>
      </vt:variant>
      <vt:variant>
        <vt:i4>0</vt:i4>
      </vt:variant>
      <vt:variant>
        <vt:i4>5</vt:i4>
      </vt:variant>
      <vt:variant>
        <vt:lpwstr>https://www.gov.uk/government/publications/digital-markets-competition-and-consumers-bill-supporting-documentation</vt:lpwstr>
      </vt:variant>
      <vt:variant>
        <vt:lpwstr/>
      </vt:variant>
      <vt:variant>
        <vt:i4>6291579</vt:i4>
      </vt:variant>
      <vt:variant>
        <vt:i4>123</vt:i4>
      </vt:variant>
      <vt:variant>
        <vt:i4>0</vt:i4>
      </vt:variant>
      <vt:variant>
        <vt:i4>5</vt:i4>
      </vt:variant>
      <vt:variant>
        <vt:lpwstr>https://oia.pmc.gov.au/sites/default/files/2024-02/regulatory-burden-measurement-framework.pdf</vt:lpwstr>
      </vt:variant>
      <vt:variant>
        <vt:lpwstr/>
      </vt:variant>
      <vt:variant>
        <vt:i4>5701713</vt:i4>
      </vt:variant>
      <vt:variant>
        <vt:i4>120</vt:i4>
      </vt:variant>
      <vt:variant>
        <vt:i4>0</vt:i4>
      </vt:variant>
      <vt:variant>
        <vt:i4>5</vt:i4>
      </vt:variant>
      <vt:variant>
        <vt:lpwstr>https://www.accc.gov.au/business/selling-products-and-services/unfair-business-practices</vt:lpwstr>
      </vt:variant>
      <vt:variant>
        <vt:lpwstr/>
      </vt:variant>
      <vt:variant>
        <vt:i4>1507403</vt:i4>
      </vt:variant>
      <vt:variant>
        <vt:i4>117</vt:i4>
      </vt:variant>
      <vt:variant>
        <vt:i4>0</vt:i4>
      </vt:variant>
      <vt:variant>
        <vt:i4>5</vt:i4>
      </vt:variant>
      <vt:variant>
        <vt:lpwstr>https://cprc.org.au/report/let-me-out</vt:lpwstr>
      </vt:variant>
      <vt:variant>
        <vt:lpwstr/>
      </vt:variant>
      <vt:variant>
        <vt:i4>3604512</vt:i4>
      </vt:variant>
      <vt:variant>
        <vt:i4>114</vt:i4>
      </vt:variant>
      <vt:variant>
        <vt:i4>0</vt:i4>
      </vt:variant>
      <vt:variant>
        <vt:i4>5</vt:i4>
      </vt:variant>
      <vt:variant>
        <vt:lpwstr>https://consumer.gov.au/about/ministers-network/intergovernmental-agreement</vt:lpwstr>
      </vt:variant>
      <vt:variant>
        <vt:lpwstr/>
      </vt:variant>
      <vt:variant>
        <vt:i4>786462</vt:i4>
      </vt:variant>
      <vt:variant>
        <vt:i4>111</vt:i4>
      </vt:variant>
      <vt:variant>
        <vt:i4>0</vt:i4>
      </vt:variant>
      <vt:variant>
        <vt:i4>5</vt:i4>
      </vt:variant>
      <vt:variant>
        <vt:lpwstr>https://www.federalregister.gov/documents/2025/01/10/2024-30293/trade-regulation-rule-on-unfair-or-deceptive-fees</vt:lpwstr>
      </vt:variant>
      <vt:variant>
        <vt:lpwstr/>
      </vt:variant>
      <vt:variant>
        <vt:i4>8060973</vt:i4>
      </vt:variant>
      <vt:variant>
        <vt:i4>108</vt:i4>
      </vt:variant>
      <vt:variant>
        <vt:i4>0</vt:i4>
      </vt:variant>
      <vt:variant>
        <vt:i4>5</vt:i4>
      </vt:variant>
      <vt:variant>
        <vt:lpwstr>https://www.gov.uk/government/publications/digital-markets-competition-and-consumers-bill-supporting-documentation</vt:lpwstr>
      </vt:variant>
      <vt:variant>
        <vt:lpwstr/>
      </vt:variant>
      <vt:variant>
        <vt:i4>5832800</vt:i4>
      </vt:variant>
      <vt:variant>
        <vt:i4>105</vt:i4>
      </vt:variant>
      <vt:variant>
        <vt:i4>0</vt:i4>
      </vt:variant>
      <vt:variant>
        <vt:i4>5</vt:i4>
      </vt:variant>
      <vt:variant>
        <vt:lpwstr>https://commission.europa.eu/document/download/707d7404-78e5-4aef-acfa-82b4cf639f55_en?filename=Commission%20Staff%20Working%20Document%20Fitness%20Check%20on%20EU%20consumer%20law%20on%20digital%20fairness.pdf</vt:lpwstr>
      </vt:variant>
      <vt:variant>
        <vt:lpwstr/>
      </vt:variant>
      <vt:variant>
        <vt:i4>983133</vt:i4>
      </vt:variant>
      <vt:variant>
        <vt:i4>102</vt:i4>
      </vt:variant>
      <vt:variant>
        <vt:i4>0</vt:i4>
      </vt:variant>
      <vt:variant>
        <vt:i4>5</vt:i4>
      </vt:variant>
      <vt:variant>
        <vt:lpwstr>https://www.accc.gov.au/media-release/google-llc-to-pay-60-million-for-misleading-representations</vt:lpwstr>
      </vt:variant>
      <vt:variant>
        <vt:lpwstr/>
      </vt:variant>
      <vt:variant>
        <vt:i4>5701697</vt:i4>
      </vt:variant>
      <vt:variant>
        <vt:i4>99</vt:i4>
      </vt:variant>
      <vt:variant>
        <vt:i4>0</vt:i4>
      </vt:variant>
      <vt:variant>
        <vt:i4>5</vt:i4>
      </vt:variant>
      <vt:variant>
        <vt:lpwstr>https://www.accc.gov.au/media-release/20m-penalty-for-meta-companies-for-conduct-liable-to-mislead-consumers-about-use-of-their-data</vt:lpwstr>
      </vt:variant>
      <vt:variant>
        <vt:lpwstr/>
      </vt:variant>
      <vt:variant>
        <vt:i4>8192117</vt:i4>
      </vt:variant>
      <vt:variant>
        <vt:i4>96</vt:i4>
      </vt:variant>
      <vt:variant>
        <vt:i4>0</vt:i4>
      </vt:variant>
      <vt:variant>
        <vt:i4>5</vt:i4>
      </vt:variant>
      <vt:variant>
        <vt:lpwstr>https://eur-lex.europa.eu/legal-content/EN/TXT/?uri=CELEX%3A32005L0029</vt:lpwstr>
      </vt:variant>
      <vt:variant>
        <vt:lpwstr/>
      </vt:variant>
      <vt:variant>
        <vt:i4>6619214</vt:i4>
      </vt:variant>
      <vt:variant>
        <vt:i4>93</vt:i4>
      </vt:variant>
      <vt:variant>
        <vt:i4>0</vt:i4>
      </vt:variant>
      <vt:variant>
        <vt:i4>5</vt:i4>
      </vt:variant>
      <vt:variant>
        <vt:lpwstr>https://www.oecd.org/en/publications/consumer-vulnerability-in-the-digital-age_4d013cc5-en.html</vt:lpwstr>
      </vt:variant>
      <vt:variant>
        <vt:lpwstr/>
      </vt:variant>
      <vt:variant>
        <vt:i4>5570634</vt:i4>
      </vt:variant>
      <vt:variant>
        <vt:i4>90</vt:i4>
      </vt:variant>
      <vt:variant>
        <vt:i4>0</vt:i4>
      </vt:variant>
      <vt:variant>
        <vt:i4>5</vt:i4>
      </vt:variant>
      <vt:variant>
        <vt:lpwstr>https://ministers.treasury.gov.au/ministers/stephen-jones-2022/media-releases/consumer-affairs-ministers-renew-commitment-protecting</vt:lpwstr>
      </vt:variant>
      <vt:variant>
        <vt:lpwstr/>
      </vt:variant>
      <vt:variant>
        <vt:i4>8060973</vt:i4>
      </vt:variant>
      <vt:variant>
        <vt:i4>87</vt:i4>
      </vt:variant>
      <vt:variant>
        <vt:i4>0</vt:i4>
      </vt:variant>
      <vt:variant>
        <vt:i4>5</vt:i4>
      </vt:variant>
      <vt:variant>
        <vt:lpwstr>https://www.gov.uk/government/publications/digital-markets-competition-and-consumers-bill-supporting-documentation</vt:lpwstr>
      </vt:variant>
      <vt:variant>
        <vt:lpwstr/>
      </vt:variant>
      <vt:variant>
        <vt:i4>3735676</vt:i4>
      </vt:variant>
      <vt:variant>
        <vt:i4>84</vt:i4>
      </vt:variant>
      <vt:variant>
        <vt:i4>0</vt:i4>
      </vt:variant>
      <vt:variant>
        <vt:i4>5</vt:i4>
      </vt:variant>
      <vt:variant>
        <vt:lpwstr>https://www.gov.uk/government/publications/estimating-the-prevalence-and-impact-of-drip-pricing</vt:lpwstr>
      </vt:variant>
      <vt:variant>
        <vt:lpwstr/>
      </vt:variant>
      <vt:variant>
        <vt:i4>7602230</vt:i4>
      </vt:variant>
      <vt:variant>
        <vt:i4>81</vt:i4>
      </vt:variant>
      <vt:variant>
        <vt:i4>0</vt:i4>
      </vt:variant>
      <vt:variant>
        <vt:i4>5</vt:i4>
      </vt:variant>
      <vt:variant>
        <vt:lpwstr>http://faculty.haas.berkeley.edu/stadelis/AIP.pdf?_gl=1*gbuusn*_gcl_au*MTMxODI1NTI2Ni4xNzUzMzI0NzE2*_ga*MzQyNjYzMDYyLjE3NTMzMjQ3MTY.*_ga_EW2RSBHHX6*czE3NTMzMjQ3MTYkbzEkZzAkdDE3NTMzMjQ3MTYkajYwJGwwJGgw</vt:lpwstr>
      </vt:variant>
      <vt:variant>
        <vt:lpwstr/>
      </vt:variant>
      <vt:variant>
        <vt:i4>3735670</vt:i4>
      </vt:variant>
      <vt:variant>
        <vt:i4>78</vt:i4>
      </vt:variant>
      <vt:variant>
        <vt:i4>0</vt:i4>
      </vt:variant>
      <vt:variant>
        <vt:i4>5</vt:i4>
      </vt:variant>
      <vt:variant>
        <vt:lpwstr>https://assets.publishing.service.gov.uk/media/624c27c68fa8f527710aaf58/Online_choice_architecture_discussion_paper.pdf</vt:lpwstr>
      </vt:variant>
      <vt:variant>
        <vt:lpwstr/>
      </vt:variant>
      <vt:variant>
        <vt:i4>8060973</vt:i4>
      </vt:variant>
      <vt:variant>
        <vt:i4>75</vt:i4>
      </vt:variant>
      <vt:variant>
        <vt:i4>0</vt:i4>
      </vt:variant>
      <vt:variant>
        <vt:i4>5</vt:i4>
      </vt:variant>
      <vt:variant>
        <vt:lpwstr>https://www.gov.uk/government/publications/digital-markets-competition-and-consumers-bill-supporting-documentation</vt:lpwstr>
      </vt:variant>
      <vt:variant>
        <vt:lpwstr/>
      </vt:variant>
      <vt:variant>
        <vt:i4>2097252</vt:i4>
      </vt:variant>
      <vt:variant>
        <vt:i4>72</vt:i4>
      </vt:variant>
      <vt:variant>
        <vt:i4>0</vt:i4>
      </vt:variant>
      <vt:variant>
        <vt:i4>5</vt:i4>
      </vt:variant>
      <vt:variant>
        <vt:lpwstr>https://newsroom.ing.com.au/unused-subscriptions-and-forgotten-outgoings-could-cost-each-aussie-up-to-1261-a-year/</vt:lpwstr>
      </vt:variant>
      <vt:variant>
        <vt:lpwstr/>
      </vt:variant>
      <vt:variant>
        <vt:i4>5505045</vt:i4>
      </vt:variant>
      <vt:variant>
        <vt:i4>69</vt:i4>
      </vt:variant>
      <vt:variant>
        <vt:i4>0</vt:i4>
      </vt:variant>
      <vt:variant>
        <vt:i4>5</vt:i4>
      </vt:variant>
      <vt:variant>
        <vt:lpwstr>https://www.citizensadvice.org.uk/about-us/media-centre/press-releases/consumers-spend-688-million-on-unused-subscriptions-in-the-last-year/</vt:lpwstr>
      </vt:variant>
      <vt:variant>
        <vt:lpwstr>:~:text=New%20research%20from%20Citizens%20Advice,pet%20food%20to%20magazine%20subscriptions.</vt:lpwstr>
      </vt:variant>
      <vt:variant>
        <vt:i4>2752575</vt:i4>
      </vt:variant>
      <vt:variant>
        <vt:i4>66</vt:i4>
      </vt:variant>
      <vt:variant>
        <vt:i4>0</vt:i4>
      </vt:variant>
      <vt:variant>
        <vt:i4>5</vt:i4>
      </vt:variant>
      <vt:variant>
        <vt:lpwstr>https://www.gov.uk/government/news/7-out-of-10-people-have-experienced-potential-rip-offs-online-worrying-new-cma-research-reveals</vt:lpwstr>
      </vt:variant>
      <vt:variant>
        <vt:lpwstr/>
      </vt:variant>
      <vt:variant>
        <vt:i4>589828</vt:i4>
      </vt:variant>
      <vt:variant>
        <vt:i4>63</vt:i4>
      </vt:variant>
      <vt:variant>
        <vt:i4>0</vt:i4>
      </vt:variant>
      <vt:variant>
        <vt:i4>5</vt:i4>
      </vt:variant>
      <vt:variant>
        <vt:lpwstr>https://www.accc.gov.au/system/files/dpsi-consumer-survey-research-report-lonergan-research-feb2025.pdf?ref=0&amp;download=y</vt:lpwstr>
      </vt:variant>
      <vt:variant>
        <vt:lpwstr/>
      </vt:variant>
      <vt:variant>
        <vt:i4>1507403</vt:i4>
      </vt:variant>
      <vt:variant>
        <vt:i4>60</vt:i4>
      </vt:variant>
      <vt:variant>
        <vt:i4>0</vt:i4>
      </vt:variant>
      <vt:variant>
        <vt:i4>5</vt:i4>
      </vt:variant>
      <vt:variant>
        <vt:lpwstr>https://cprc.org.au/report/let-me-out</vt:lpwstr>
      </vt:variant>
      <vt:variant>
        <vt:lpwstr/>
      </vt:variant>
      <vt:variant>
        <vt:i4>4653146</vt:i4>
      </vt:variant>
      <vt:variant>
        <vt:i4>57</vt:i4>
      </vt:variant>
      <vt:variant>
        <vt:i4>0</vt:i4>
      </vt:variant>
      <vt:variant>
        <vt:i4>5</vt:i4>
      </vt:variant>
      <vt:variant>
        <vt:lpwstr>https://www.accc.gov.au/system/files/digital-platform-services-inquiry-final-report-march2025.pdf</vt:lpwstr>
      </vt:variant>
      <vt:variant>
        <vt:lpwstr/>
      </vt:variant>
      <vt:variant>
        <vt:i4>458768</vt:i4>
      </vt:variant>
      <vt:variant>
        <vt:i4>54</vt:i4>
      </vt:variant>
      <vt:variant>
        <vt:i4>0</vt:i4>
      </vt:variant>
      <vt:variant>
        <vt:i4>5</vt:i4>
      </vt:variant>
      <vt:variant>
        <vt:lpwstr>https://cprc.org.au/report/the-digital-checkout/</vt:lpwstr>
      </vt:variant>
      <vt:variant>
        <vt:lpwstr/>
      </vt:variant>
      <vt:variant>
        <vt:i4>8257588</vt:i4>
      </vt:variant>
      <vt:variant>
        <vt:i4>51</vt:i4>
      </vt:variant>
      <vt:variant>
        <vt:i4>0</vt:i4>
      </vt:variant>
      <vt:variant>
        <vt:i4>5</vt:i4>
      </vt:variant>
      <vt:variant>
        <vt:lpwstr>https://cprc.org.au/wp-content/uploads/2024/01/CPRC-Duped-by-Design-Final-Report-June-2022.pdf</vt:lpwstr>
      </vt:variant>
      <vt:variant>
        <vt:lpwstr/>
      </vt:variant>
      <vt:variant>
        <vt:i4>1441863</vt:i4>
      </vt:variant>
      <vt:variant>
        <vt:i4>48</vt:i4>
      </vt:variant>
      <vt:variant>
        <vt:i4>0</vt:i4>
      </vt:variant>
      <vt:variant>
        <vt:i4>5</vt:i4>
      </vt:variant>
      <vt:variant>
        <vt:lpwstr>https://op.europa.eu/en/publication-detail/-/publication/606365bc-d58b-11ec-a95f-01aa75ed71a1/language-en</vt:lpwstr>
      </vt:variant>
      <vt:variant>
        <vt:lpwstr/>
      </vt:variant>
      <vt:variant>
        <vt:i4>4784205</vt:i4>
      </vt:variant>
      <vt:variant>
        <vt:i4>45</vt:i4>
      </vt:variant>
      <vt:variant>
        <vt:i4>0</vt:i4>
      </vt:variant>
      <vt:variant>
        <vt:i4>5</vt:i4>
      </vt:variant>
      <vt:variant>
        <vt:lpwstr>https://icpen.org/sites/default/files/2024-07/Public Report ICPEN Dark Patterns Sweep.pdf</vt:lpwstr>
      </vt:variant>
      <vt:variant>
        <vt:lpwstr/>
      </vt:variant>
      <vt:variant>
        <vt:i4>2818157</vt:i4>
      </vt:variant>
      <vt:variant>
        <vt:i4>42</vt:i4>
      </vt:variant>
      <vt:variant>
        <vt:i4>0</vt:i4>
      </vt:variant>
      <vt:variant>
        <vt:i4>5</vt:i4>
      </vt:variant>
      <vt:variant>
        <vt:lpwstr>https://consumer.gov.au/updates-and-reports/australian-consumer-survey-2023</vt:lpwstr>
      </vt:variant>
      <vt:variant>
        <vt:lpwstr/>
      </vt:variant>
      <vt:variant>
        <vt:i4>393291</vt:i4>
      </vt:variant>
      <vt:variant>
        <vt:i4>39</vt:i4>
      </vt:variant>
      <vt:variant>
        <vt:i4>0</vt:i4>
      </vt:variant>
      <vt:variant>
        <vt:i4>5</vt:i4>
      </vt:variant>
      <vt:variant>
        <vt:lpwstr>https://www.deceptive.design/</vt:lpwstr>
      </vt:variant>
      <vt:variant>
        <vt:lpwstr/>
      </vt:variant>
      <vt:variant>
        <vt:i4>1507438</vt:i4>
      </vt:variant>
      <vt:variant>
        <vt:i4>36</vt:i4>
      </vt:variant>
      <vt:variant>
        <vt:i4>0</vt:i4>
      </vt:variant>
      <vt:variant>
        <vt:i4>5</vt:i4>
      </vt:variant>
      <vt:variant>
        <vt:lpwstr>https://assets.publishing.service.gov.uk/government/uploads/system/uploads/attachment_data/file/1066524/Online_choice_architecture_discussion_paper.pdf</vt:lpwstr>
      </vt:variant>
      <vt:variant>
        <vt:lpwstr/>
      </vt:variant>
      <vt:variant>
        <vt:i4>2752589</vt:i4>
      </vt:variant>
      <vt:variant>
        <vt:i4>33</vt:i4>
      </vt:variant>
      <vt:variant>
        <vt:i4>0</vt:i4>
      </vt:variant>
      <vt:variant>
        <vt:i4>5</vt:i4>
      </vt:variant>
      <vt:variant>
        <vt:lpwstr>https://www.ftc.gov/system/files/ftc_gov/pdf/P214800 Dark Patterns Report 9.14.2022 - FINAL.pdf</vt:lpwstr>
      </vt:variant>
      <vt:variant>
        <vt:lpwstr/>
      </vt:variant>
      <vt:variant>
        <vt:i4>4784221</vt:i4>
      </vt:variant>
      <vt:variant>
        <vt:i4>30</vt:i4>
      </vt:variant>
      <vt:variant>
        <vt:i4>0</vt:i4>
      </vt:variant>
      <vt:variant>
        <vt:i4>5</vt:i4>
      </vt:variant>
      <vt:variant>
        <vt:lpwstr>https://cprc.org.au/report/made-to-manipulate-report</vt:lpwstr>
      </vt:variant>
      <vt:variant>
        <vt:lpwstr/>
      </vt:variant>
      <vt:variant>
        <vt:i4>4390976</vt:i4>
      </vt:variant>
      <vt:variant>
        <vt:i4>27</vt:i4>
      </vt:variant>
      <vt:variant>
        <vt:i4>0</vt:i4>
      </vt:variant>
      <vt:variant>
        <vt:i4>5</vt:i4>
      </vt:variant>
      <vt:variant>
        <vt:lpwstr>https://cprc.org.au/report/duped-by-design-manipulative-online-design-dark-patterns-in-australia/</vt:lpwstr>
      </vt:variant>
      <vt:variant>
        <vt:lpwstr/>
      </vt:variant>
      <vt:variant>
        <vt:i4>7405684</vt:i4>
      </vt:variant>
      <vt:variant>
        <vt:i4>24</vt:i4>
      </vt:variant>
      <vt:variant>
        <vt:i4>0</vt:i4>
      </vt:variant>
      <vt:variant>
        <vt:i4>5</vt:i4>
      </vt:variant>
      <vt:variant>
        <vt:lpwstr>https://doi.org/10.1787/44f5e846-en</vt:lpwstr>
      </vt:variant>
      <vt:variant>
        <vt:lpwstr/>
      </vt:variant>
      <vt:variant>
        <vt:i4>6619214</vt:i4>
      </vt:variant>
      <vt:variant>
        <vt:i4>21</vt:i4>
      </vt:variant>
      <vt:variant>
        <vt:i4>0</vt:i4>
      </vt:variant>
      <vt:variant>
        <vt:i4>5</vt:i4>
      </vt:variant>
      <vt:variant>
        <vt:lpwstr>https://www.oecd.org/en/publications/consumer-vulnerability-in-the-digital-age_4d013cc5-en.html</vt:lpwstr>
      </vt:variant>
      <vt:variant>
        <vt:lpwstr/>
      </vt:variant>
      <vt:variant>
        <vt:i4>6619214</vt:i4>
      </vt:variant>
      <vt:variant>
        <vt:i4>18</vt:i4>
      </vt:variant>
      <vt:variant>
        <vt:i4>0</vt:i4>
      </vt:variant>
      <vt:variant>
        <vt:i4>5</vt:i4>
      </vt:variant>
      <vt:variant>
        <vt:lpwstr>https://www.oecd.org/en/publications/consumer-vulnerability-in-the-digital-age_4d013cc5-en.html</vt:lpwstr>
      </vt:variant>
      <vt:variant>
        <vt:lpwstr/>
      </vt:variant>
      <vt:variant>
        <vt:i4>458768</vt:i4>
      </vt:variant>
      <vt:variant>
        <vt:i4>15</vt:i4>
      </vt:variant>
      <vt:variant>
        <vt:i4>0</vt:i4>
      </vt:variant>
      <vt:variant>
        <vt:i4>5</vt:i4>
      </vt:variant>
      <vt:variant>
        <vt:lpwstr>https://cprc.org.au/report/the-digital-checkout/</vt:lpwstr>
      </vt:variant>
      <vt:variant>
        <vt:lpwstr/>
      </vt:variant>
      <vt:variant>
        <vt:i4>6422646</vt:i4>
      </vt:variant>
      <vt:variant>
        <vt:i4>12</vt:i4>
      </vt:variant>
      <vt:variant>
        <vt:i4>0</vt:i4>
      </vt:variant>
      <vt:variant>
        <vt:i4>5</vt:i4>
      </vt:variant>
      <vt:variant>
        <vt:lpwstr>https://ministers.treasury.gov.au/ministers/stephen-jones-2022/media-releases/consultation-underway-ban-business-practices-ripping</vt:lpwstr>
      </vt:variant>
      <vt:variant>
        <vt:lpwstr/>
      </vt:variant>
      <vt:variant>
        <vt:i4>1179652</vt:i4>
      </vt:variant>
      <vt:variant>
        <vt:i4>9</vt:i4>
      </vt:variant>
      <vt:variant>
        <vt:i4>0</vt:i4>
      </vt:variant>
      <vt:variant>
        <vt:i4>5</vt:i4>
      </vt:variant>
      <vt:variant>
        <vt:lpwstr>https://ministers.treasury.gov.au/ministers/julie-collins-2024/media-releases/albanese-labor-government-extend-unfair-trading</vt:lpwstr>
      </vt:variant>
      <vt:variant>
        <vt:lpwstr/>
      </vt:variant>
      <vt:variant>
        <vt:i4>1114206</vt:i4>
      </vt:variant>
      <vt:variant>
        <vt:i4>6</vt:i4>
      </vt:variant>
      <vt:variant>
        <vt:i4>0</vt:i4>
      </vt:variant>
      <vt:variant>
        <vt:i4>5</vt:i4>
      </vt:variant>
      <vt:variant>
        <vt:lpwstr>https://treasury.gov.au/consultation/c2024-602157</vt:lpwstr>
      </vt:variant>
      <vt:variant>
        <vt:lpwstr/>
      </vt:variant>
      <vt:variant>
        <vt:i4>1441880</vt:i4>
      </vt:variant>
      <vt:variant>
        <vt:i4>3</vt:i4>
      </vt:variant>
      <vt:variant>
        <vt:i4>0</vt:i4>
      </vt:variant>
      <vt:variant>
        <vt:i4>5</vt:i4>
      </vt:variant>
      <vt:variant>
        <vt:lpwstr>https://treasury.gov.au/consultation/c2023-430458</vt:lpwstr>
      </vt:variant>
      <vt:variant>
        <vt:lpwstr/>
      </vt:variant>
      <vt:variant>
        <vt:i4>1769472</vt:i4>
      </vt:variant>
      <vt:variant>
        <vt:i4>0</vt:i4>
      </vt:variant>
      <vt:variant>
        <vt:i4>0</vt:i4>
      </vt:variant>
      <vt:variant>
        <vt:i4>5</vt:i4>
      </vt:variant>
      <vt:variant>
        <vt:lpwstr>https://consumer.gov.au/sites/consumer/files/2025-02/final-report-australian-consumer-law-review-2017.pdf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Regulation Impact Statement – Protecting consumers from unfair trading practices</dc:title>
  <dc:subject/>
  <dc:creator>Treasury</dc:creator>
  <cp:keywords/>
  <dc:description/>
  <cp:lastModifiedBy/>
  <cp:revision>1</cp:revision>
  <dcterms:created xsi:type="dcterms:W3CDTF">2025-12-19T00:28:00Z</dcterms:created>
  <dcterms:modified xsi:type="dcterms:W3CDTF">2025-12-19T00:29:00Z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2025-12-19T00:29:12Z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3056d615-e3ab-4a34-8d79-5d72278e3a98</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